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267B1BCB" w14:textId="77777777" w:rsidTr="00A704A8">
        <w:trPr>
          <w:trHeight w:hRule="exact" w:val="851"/>
        </w:trPr>
        <w:tc>
          <w:tcPr>
            <w:tcW w:w="1276" w:type="dxa"/>
            <w:tcBorders>
              <w:bottom w:val="single" w:sz="4" w:space="0" w:color="auto"/>
            </w:tcBorders>
          </w:tcPr>
          <w:p w14:paraId="2D5977DB" w14:textId="77777777" w:rsidR="00807D21" w:rsidRPr="00DB58B5" w:rsidRDefault="00807D21" w:rsidP="00ED6917"/>
        </w:tc>
        <w:tc>
          <w:tcPr>
            <w:tcW w:w="2268" w:type="dxa"/>
            <w:tcBorders>
              <w:bottom w:val="single" w:sz="4" w:space="0" w:color="auto"/>
            </w:tcBorders>
            <w:vAlign w:val="bottom"/>
          </w:tcPr>
          <w:p w14:paraId="5C57D144"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0040D33" w14:textId="4288D64A" w:rsidR="00807D21" w:rsidRPr="000875BB" w:rsidRDefault="000875BB" w:rsidP="000875BB">
            <w:pPr>
              <w:jc w:val="right"/>
            </w:pPr>
            <w:r w:rsidRPr="000875BB">
              <w:rPr>
                <w:sz w:val="40"/>
              </w:rPr>
              <w:t>CAT</w:t>
            </w:r>
            <w:r>
              <w:t>/C/SEN/QPR/5</w:t>
            </w:r>
          </w:p>
        </w:tc>
      </w:tr>
      <w:tr w:rsidR="00807D21" w:rsidRPr="00DB58B5" w14:paraId="01BDBCA7" w14:textId="77777777" w:rsidTr="00A704A8">
        <w:trPr>
          <w:trHeight w:hRule="exact" w:val="2835"/>
        </w:trPr>
        <w:tc>
          <w:tcPr>
            <w:tcW w:w="1276" w:type="dxa"/>
            <w:tcBorders>
              <w:top w:val="single" w:sz="4" w:space="0" w:color="auto"/>
              <w:bottom w:val="single" w:sz="12" w:space="0" w:color="auto"/>
            </w:tcBorders>
          </w:tcPr>
          <w:p w14:paraId="5BE61269" w14:textId="77777777" w:rsidR="00807D21" w:rsidRPr="00DB58B5" w:rsidRDefault="00807D21" w:rsidP="00A704A8">
            <w:pPr>
              <w:spacing w:before="120"/>
              <w:jc w:val="center"/>
            </w:pPr>
            <w:r>
              <w:rPr>
                <w:noProof/>
                <w:lang w:val="en-GB" w:eastAsia="en-GB"/>
              </w:rPr>
              <w:drawing>
                <wp:inline distT="0" distB="0" distL="0" distR="0" wp14:anchorId="292D3B0F" wp14:editId="473F766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45D33EB" w14:textId="6F2D24F0" w:rsidR="00807D21" w:rsidRPr="00740562" w:rsidRDefault="00807D21" w:rsidP="00A704A8">
            <w:pPr>
              <w:spacing w:before="120" w:line="380" w:lineRule="exact"/>
              <w:rPr>
                <w:b/>
                <w:sz w:val="40"/>
                <w:szCs w:val="40"/>
              </w:rPr>
            </w:pPr>
            <w:r w:rsidRPr="0027083C">
              <w:rPr>
                <w:b/>
                <w:sz w:val="34"/>
                <w:szCs w:val="34"/>
              </w:rPr>
              <w:t>Convention contre</w:t>
            </w:r>
            <w:r w:rsidR="00ED6917">
              <w:rPr>
                <w:b/>
                <w:sz w:val="34"/>
                <w:szCs w:val="34"/>
              </w:rPr>
              <w:t xml:space="preserve"> </w:t>
            </w:r>
            <w:r w:rsidRPr="0027083C">
              <w:rPr>
                <w:b/>
                <w:sz w:val="34"/>
                <w:szCs w:val="34"/>
              </w:rPr>
              <w:br/>
              <w:t>la torture et autres peines</w:t>
            </w:r>
            <w:r w:rsidR="00ED6917">
              <w:rPr>
                <w:b/>
                <w:sz w:val="34"/>
                <w:szCs w:val="34"/>
              </w:rPr>
              <w:t xml:space="preserve"> </w:t>
            </w:r>
            <w:r w:rsidRPr="0027083C">
              <w:rPr>
                <w:b/>
                <w:sz w:val="34"/>
                <w:szCs w:val="34"/>
              </w:rPr>
              <w:br/>
              <w:t>ou traitements cruels,</w:t>
            </w:r>
            <w:r w:rsidR="00ED6917">
              <w:rPr>
                <w:b/>
                <w:sz w:val="34"/>
                <w:szCs w:val="34"/>
              </w:rPr>
              <w:t xml:space="preserve"> </w:t>
            </w:r>
            <w:r w:rsidRPr="0027083C">
              <w:rPr>
                <w:b/>
                <w:sz w:val="34"/>
                <w:szCs w:val="34"/>
              </w:rPr>
              <w:br/>
              <w:t>inhumains ou dégradants</w:t>
            </w:r>
          </w:p>
        </w:tc>
        <w:tc>
          <w:tcPr>
            <w:tcW w:w="2835" w:type="dxa"/>
            <w:tcBorders>
              <w:top w:val="single" w:sz="4" w:space="0" w:color="auto"/>
              <w:bottom w:val="single" w:sz="12" w:space="0" w:color="auto"/>
            </w:tcBorders>
          </w:tcPr>
          <w:p w14:paraId="26D02846" w14:textId="77777777" w:rsidR="00807D21" w:rsidRDefault="00ED6917" w:rsidP="00A704A8">
            <w:pPr>
              <w:spacing w:before="240"/>
            </w:pPr>
            <w:r>
              <w:t>Distr. générale</w:t>
            </w:r>
          </w:p>
          <w:p w14:paraId="0657F87F" w14:textId="0B2AE33D" w:rsidR="00ED6917" w:rsidRDefault="00ED6917" w:rsidP="00ED6917">
            <w:pPr>
              <w:spacing w:line="240" w:lineRule="exact"/>
            </w:pPr>
            <w:r>
              <w:t>2</w:t>
            </w:r>
            <w:r w:rsidR="003919FE">
              <w:t>5</w:t>
            </w:r>
            <w:r>
              <w:t> mai 2021</w:t>
            </w:r>
          </w:p>
          <w:p w14:paraId="2284BA5E" w14:textId="3EC8EE8C" w:rsidR="00ED6917" w:rsidRDefault="00ED6917" w:rsidP="00ED6917">
            <w:pPr>
              <w:spacing w:line="240" w:lineRule="exact"/>
            </w:pPr>
          </w:p>
          <w:p w14:paraId="2B85A382" w14:textId="77777777" w:rsidR="00ED6917" w:rsidRDefault="00ED6917" w:rsidP="00ED6917">
            <w:pPr>
              <w:spacing w:line="240" w:lineRule="exact"/>
            </w:pPr>
            <w:r>
              <w:t>Original : français</w:t>
            </w:r>
          </w:p>
          <w:p w14:paraId="269D75D2" w14:textId="040941E6" w:rsidR="00ED6917" w:rsidRPr="00DB58B5" w:rsidRDefault="00ED6917" w:rsidP="00ED6917">
            <w:pPr>
              <w:spacing w:line="240" w:lineRule="exact"/>
            </w:pPr>
            <w:r>
              <w:t>Anglais, espagnol et français seulement</w:t>
            </w:r>
          </w:p>
        </w:tc>
      </w:tr>
    </w:tbl>
    <w:p w14:paraId="66FB1175"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338D0E32" w14:textId="1463AB6F" w:rsidR="00ED6917" w:rsidRDefault="00ED6917" w:rsidP="00635064">
      <w:pPr>
        <w:pStyle w:val="HChG"/>
      </w:pPr>
      <w:r>
        <w:tab/>
      </w:r>
      <w:r>
        <w:tab/>
        <w:t>Liste de points établie avant la soumission du cinquième rapport périodique du Sénégal</w:t>
      </w:r>
      <w:r w:rsidR="00635064" w:rsidRPr="004F20FC">
        <w:rPr>
          <w:rStyle w:val="Appelnotedebasdep"/>
          <w:b w:val="0"/>
          <w:bCs/>
          <w:sz w:val="20"/>
          <w:vertAlign w:val="baseline"/>
        </w:rPr>
        <w:footnoteReference w:customMarkFollows="1" w:id="2"/>
        <w:t>*</w:t>
      </w:r>
    </w:p>
    <w:p w14:paraId="456675A5" w14:textId="3FB9FC81" w:rsidR="00ED6917" w:rsidRDefault="00ED6917" w:rsidP="004F20FC">
      <w:pPr>
        <w:pStyle w:val="H1G"/>
      </w:pPr>
      <w:r>
        <w:tab/>
      </w:r>
      <w:r>
        <w:tab/>
        <w:t>Renseignements concernant spécifiquement la mise en œuvre des articles</w:t>
      </w:r>
      <w:r w:rsidR="00635064">
        <w:t> </w:t>
      </w:r>
      <w:r>
        <w:t>1</w:t>
      </w:r>
      <w:r>
        <w:rPr>
          <w:vertAlign w:val="superscript"/>
        </w:rPr>
        <w:t>er</w:t>
      </w:r>
      <w:r>
        <w:t xml:space="preserve"> à 16 de la Convention, notamment au regard des précédentes recommandations du Comité</w:t>
      </w:r>
    </w:p>
    <w:p w14:paraId="06BC20D9" w14:textId="640CD982" w:rsidR="00ED6917" w:rsidRPr="008C2525" w:rsidRDefault="00ED6917" w:rsidP="004F20FC">
      <w:pPr>
        <w:pStyle w:val="H23G"/>
      </w:pPr>
      <w:r>
        <w:rPr>
          <w:lang w:val="fr-FR"/>
        </w:rPr>
        <w:tab/>
      </w:r>
      <w:r>
        <w:rPr>
          <w:lang w:val="fr-FR"/>
        </w:rPr>
        <w:tab/>
      </w:r>
      <w:r w:rsidRPr="008C2525">
        <w:rPr>
          <w:lang w:val="fr-FR"/>
        </w:rPr>
        <w:t xml:space="preserve">Renseignements sur la suite donnée à certaines des recommandations </w:t>
      </w:r>
      <w:r w:rsidR="001B526F">
        <w:rPr>
          <w:lang w:val="fr-FR"/>
        </w:rPr>
        <w:br/>
      </w:r>
      <w:r w:rsidRPr="008C2525">
        <w:rPr>
          <w:lang w:val="fr-FR"/>
        </w:rPr>
        <w:t>figurant dans</w:t>
      </w:r>
      <w:r w:rsidR="001B526F">
        <w:rPr>
          <w:lang w:val="fr-FR"/>
        </w:rPr>
        <w:t xml:space="preserve"> </w:t>
      </w:r>
      <w:r w:rsidRPr="008C2525">
        <w:rPr>
          <w:lang w:val="fr-FR"/>
        </w:rPr>
        <w:t>les précédentes observations finales</w:t>
      </w:r>
    </w:p>
    <w:p w14:paraId="7A44D981" w14:textId="59E15F02" w:rsidR="00ED6917" w:rsidRPr="008C2525" w:rsidRDefault="00ED6917" w:rsidP="00ED6917">
      <w:pPr>
        <w:pStyle w:val="SingleTxtG"/>
      </w:pPr>
      <w:r w:rsidRPr="008C2525">
        <w:t>1.</w:t>
      </w:r>
      <w:r w:rsidRPr="008C2525">
        <w:tab/>
        <w:t>Dans ses précédentes observations finales (par. 41)</w:t>
      </w:r>
      <w:r w:rsidRPr="007E387A">
        <w:rPr>
          <w:rStyle w:val="Appelnotedebasdep"/>
        </w:rPr>
        <w:footnoteReference w:id="3"/>
      </w:r>
      <w:r w:rsidRPr="008C2525">
        <w:t xml:space="preserve">, le Comité </w:t>
      </w:r>
      <w:r>
        <w:t>priait</w:t>
      </w:r>
      <w:r w:rsidRPr="008C2525">
        <w:t xml:space="preserve"> l</w:t>
      </w:r>
      <w:r>
        <w:t>’</w:t>
      </w:r>
      <w:r w:rsidRPr="008C2525">
        <w:t>État partie de lui faire parvenir des renseignements sur la suite donnée aux recommandations</w:t>
      </w:r>
      <w:r w:rsidRPr="003634CA">
        <w:t xml:space="preserve"> </w:t>
      </w:r>
      <w:r w:rsidRPr="008C2525">
        <w:t>formulées aux paragraphes </w:t>
      </w:r>
      <w:r w:rsidRPr="008C2525">
        <w:rPr>
          <w:rFonts w:eastAsia="Calibri"/>
          <w:spacing w:val="-2"/>
        </w:rPr>
        <w:t>10</w:t>
      </w:r>
      <w:r>
        <w:rPr>
          <w:rFonts w:eastAsia="Calibri"/>
          <w:spacing w:val="-2"/>
        </w:rPr>
        <w:t> </w:t>
      </w:r>
      <w:r w:rsidRPr="008C2525">
        <w:rPr>
          <w:rFonts w:eastAsia="Calibri"/>
          <w:spacing w:val="-2"/>
        </w:rPr>
        <w:t>d), 28 et 32</w:t>
      </w:r>
      <w:r w:rsidRPr="000065AD">
        <w:rPr>
          <w:rFonts w:eastAsia="Calibri"/>
          <w:bCs/>
          <w:spacing w:val="-2"/>
        </w:rPr>
        <w:t xml:space="preserve"> </w:t>
      </w:r>
      <w:r w:rsidRPr="008C2525">
        <w:t>dudit document</w:t>
      </w:r>
      <w:r>
        <w:t>,</w:t>
      </w:r>
      <w:r w:rsidRPr="008C2525">
        <w:t xml:space="preserve"> concernant</w:t>
      </w:r>
      <w:r>
        <w:t xml:space="preserve"> respectivement</w:t>
      </w:r>
      <w:r w:rsidRPr="008C2525">
        <w:t> : a) l</w:t>
      </w:r>
      <w:r>
        <w:t>’</w:t>
      </w:r>
      <w:r w:rsidRPr="008C2525">
        <w:t>accès de toutes les personnes démunies à l</w:t>
      </w:r>
      <w:r>
        <w:t>’</w:t>
      </w:r>
      <w:r w:rsidRPr="008C2525">
        <w:t>aide juridictionnelle</w:t>
      </w:r>
      <w:r>
        <w:t> </w:t>
      </w:r>
      <w:r w:rsidRPr="008C2525">
        <w:t>; b)</w:t>
      </w:r>
      <w:r w:rsidR="00635064">
        <w:t> </w:t>
      </w:r>
      <w:r w:rsidRPr="008C2525">
        <w:rPr>
          <w:rFonts w:cs="Calibri"/>
          <w:shd w:val="clear" w:color="auto" w:fill="FFFFFF"/>
          <w:lang w:val="fr-FR"/>
        </w:rPr>
        <w:t>l</w:t>
      </w:r>
      <w:r>
        <w:rPr>
          <w:rFonts w:cs="Calibri"/>
          <w:shd w:val="clear" w:color="auto" w:fill="FFFFFF"/>
          <w:lang w:val="fr-FR"/>
        </w:rPr>
        <w:t>’</w:t>
      </w:r>
      <w:r>
        <w:t>Observatoire</w:t>
      </w:r>
      <w:r w:rsidRPr="008C2525">
        <w:t xml:space="preserve"> national des lieux de privation de liberté, afin qu</w:t>
      </w:r>
      <w:r>
        <w:t>’</w:t>
      </w:r>
      <w:r w:rsidRPr="008C2525">
        <w:t xml:space="preserve">il soit une institution indépendante, choisie par un processus </w:t>
      </w:r>
      <w:r w:rsidRPr="008C2525">
        <w:rPr>
          <w:lang w:val="fr-FR"/>
        </w:rPr>
        <w:t>transparent et inclusif, avec les ressources nécessaires, et qu</w:t>
      </w:r>
      <w:r>
        <w:rPr>
          <w:lang w:val="fr-FR"/>
        </w:rPr>
        <w:t>’</w:t>
      </w:r>
      <w:r w:rsidRPr="008C2525">
        <w:rPr>
          <w:lang w:val="fr-FR"/>
        </w:rPr>
        <w:t>il puisse mener des visites inopinées dans tous les lieux de détention</w:t>
      </w:r>
      <w:r>
        <w:rPr>
          <w:lang w:val="fr-FR"/>
        </w:rPr>
        <w:t> </w:t>
      </w:r>
      <w:r w:rsidRPr="008C2525">
        <w:rPr>
          <w:lang w:val="fr-FR"/>
        </w:rPr>
        <w:t>;</w:t>
      </w:r>
      <w:r w:rsidRPr="006117CD">
        <w:rPr>
          <w:bCs/>
          <w:lang w:val="fr-FR"/>
        </w:rPr>
        <w:t xml:space="preserve"> et</w:t>
      </w:r>
      <w:r w:rsidRPr="004F20FC">
        <w:rPr>
          <w:bCs/>
          <w:lang w:val="fr-FR"/>
        </w:rPr>
        <w:t xml:space="preserve"> </w:t>
      </w:r>
      <w:r w:rsidRPr="008C2525">
        <w:rPr>
          <w:lang w:val="fr-FR"/>
        </w:rPr>
        <w:t>c)</w:t>
      </w:r>
      <w:r w:rsidR="00635064" w:rsidRPr="004F20FC">
        <w:rPr>
          <w:bCs/>
          <w:lang w:val="fr-FR"/>
        </w:rPr>
        <w:t> </w:t>
      </w:r>
      <w:r w:rsidRPr="008C2525">
        <w:rPr>
          <w:lang w:val="fr-FR"/>
        </w:rPr>
        <w:t>la prise en charge des enfants talibés, afin de les protéger contre l</w:t>
      </w:r>
      <w:r>
        <w:rPr>
          <w:lang w:val="fr-FR"/>
        </w:rPr>
        <w:t>’</w:t>
      </w:r>
      <w:r w:rsidRPr="008C2525">
        <w:rPr>
          <w:lang w:val="fr-FR"/>
        </w:rPr>
        <w:t>exploitation et les mauvais traitements</w:t>
      </w:r>
      <w:r w:rsidRPr="008C2525">
        <w:t>. Compte tenu des renseignements reçus du Sénégal au sujet de la suite donnée aux précédentes observations finales</w:t>
      </w:r>
      <w:r w:rsidRPr="007E387A">
        <w:rPr>
          <w:rStyle w:val="Appelnotedebasdep"/>
        </w:rPr>
        <w:footnoteReference w:id="4"/>
      </w:r>
      <w:r w:rsidRPr="008C2525">
        <w:t>, le Comité considère que les recommandations figurant au paragraphe</w:t>
      </w:r>
      <w:r w:rsidR="00635064">
        <w:t> </w:t>
      </w:r>
      <w:r w:rsidRPr="008C2525">
        <w:t>41 de ces dernières ont été partiellement mises en œuvre.</w:t>
      </w:r>
    </w:p>
    <w:p w14:paraId="3E591E4D" w14:textId="5C39E697" w:rsidR="00ED6917" w:rsidRPr="008C2525" w:rsidRDefault="00ED6917" w:rsidP="004F20FC">
      <w:pPr>
        <w:pStyle w:val="H23G"/>
        <w:rPr>
          <w:lang w:val="fr-FR"/>
        </w:rPr>
      </w:pPr>
      <w:r w:rsidRPr="008C2525">
        <w:rPr>
          <w:lang w:val="fr-FR"/>
        </w:rPr>
        <w:tab/>
      </w:r>
      <w:r w:rsidRPr="008C2525">
        <w:rPr>
          <w:lang w:val="fr-FR"/>
        </w:rPr>
        <w:tab/>
        <w:t>Articles</w:t>
      </w:r>
      <w:r w:rsidR="00635064">
        <w:rPr>
          <w:lang w:val="fr-FR"/>
        </w:rPr>
        <w:t> </w:t>
      </w:r>
      <w:r w:rsidRPr="008C2525">
        <w:rPr>
          <w:lang w:val="fr-FR"/>
        </w:rPr>
        <w:t>1</w:t>
      </w:r>
      <w:r w:rsidRPr="008C2525">
        <w:rPr>
          <w:vertAlign w:val="superscript"/>
          <w:lang w:val="fr-FR"/>
        </w:rPr>
        <w:t>er</w:t>
      </w:r>
      <w:r w:rsidRPr="008C2525">
        <w:rPr>
          <w:lang w:val="fr-FR"/>
        </w:rPr>
        <w:t xml:space="preserve"> et 4</w:t>
      </w:r>
    </w:p>
    <w:p w14:paraId="3EF07CB0" w14:textId="37EED97F" w:rsidR="00635064" w:rsidRPr="004F20FC" w:rsidRDefault="00ED6917" w:rsidP="00ED6917">
      <w:pPr>
        <w:pStyle w:val="SingleTxtG"/>
        <w:rPr>
          <w:lang w:val="fr-FR" w:eastAsia="es-ES"/>
        </w:rPr>
      </w:pPr>
      <w:r w:rsidRPr="008C2525">
        <w:rPr>
          <w:lang w:val="fr-FR"/>
        </w:rPr>
        <w:t>2.</w:t>
      </w:r>
      <w:r w:rsidRPr="008C2525">
        <w:rPr>
          <w:lang w:val="fr-FR"/>
        </w:rPr>
        <w:tab/>
        <w:t xml:space="preserve">Eu égard aux </w:t>
      </w:r>
      <w:r w:rsidRPr="008C2525">
        <w:t>précédentes observations finales du Comité (par.</w:t>
      </w:r>
      <w:r w:rsidR="00635064">
        <w:t> </w:t>
      </w:r>
      <w:r w:rsidRPr="008C2525">
        <w:t>7 et 8)</w:t>
      </w:r>
      <w:r w:rsidRPr="007E387A">
        <w:rPr>
          <w:rStyle w:val="Appelnotedebasdep"/>
        </w:rPr>
        <w:footnoteReference w:id="5"/>
      </w:r>
      <w:r w:rsidRPr="008C2525">
        <w:t xml:space="preserve"> et au fait que les modifications introduites dans la </w:t>
      </w:r>
      <w:r>
        <w:t>l</w:t>
      </w:r>
      <w:r w:rsidRPr="008C2525">
        <w:t xml:space="preserve">oi </w:t>
      </w:r>
      <w:r>
        <w:t>n</w:t>
      </w:r>
      <w:r w:rsidRPr="006117CD">
        <w:rPr>
          <w:vertAlign w:val="superscript"/>
        </w:rPr>
        <w:t>o</w:t>
      </w:r>
      <w:r>
        <w:t> </w:t>
      </w:r>
      <w:r w:rsidRPr="008C2525">
        <w:t xml:space="preserve">2020-05 </w:t>
      </w:r>
      <w:r>
        <w:t>du 10 janvier</w:t>
      </w:r>
      <w:r w:rsidR="000065AD">
        <w:t xml:space="preserve"> </w:t>
      </w:r>
      <w:r w:rsidRPr="008C2525">
        <w:t>2020 portant modification du Code pénal n</w:t>
      </w:r>
      <w:r>
        <w:t>’</w:t>
      </w:r>
      <w:r w:rsidRPr="008C2525">
        <w:t>ont pas changé l</w:t>
      </w:r>
      <w:r>
        <w:t>’</w:t>
      </w:r>
      <w:r w:rsidRPr="008C2525">
        <w:t>article</w:t>
      </w:r>
      <w:r w:rsidR="00635064">
        <w:t> </w:t>
      </w:r>
      <w:r w:rsidRPr="008C2525">
        <w:t xml:space="preserve">295-1 du Code pénal qui définit le crime de torture, </w:t>
      </w:r>
      <w:r w:rsidRPr="008C2525">
        <w:rPr>
          <w:lang w:val="fr-FR" w:eastAsia="es-ES"/>
        </w:rPr>
        <w:t>préciser si l</w:t>
      </w:r>
      <w:r>
        <w:rPr>
          <w:lang w:val="fr-FR" w:eastAsia="es-ES"/>
        </w:rPr>
        <w:t>’État</w:t>
      </w:r>
      <w:r w:rsidRPr="008C2525">
        <w:rPr>
          <w:lang w:val="fr-FR" w:eastAsia="es-ES"/>
        </w:rPr>
        <w:t xml:space="preserve"> partie envisage toujours de </w:t>
      </w:r>
      <w:r w:rsidRPr="008C2525">
        <w:t>modifier cet article pour y inclure les actes visant à obtenir des renseignements, à punir, à intimider ou à faire pression sur une tierce personne</w:t>
      </w:r>
      <w:r>
        <w:t>,</w:t>
      </w:r>
      <w:r w:rsidRPr="008C2525">
        <w:t xml:space="preserve"> et de sorte que le crime soit passible de peines appropriées qui prennent en considération la gravité des faits, conformément à la </w:t>
      </w:r>
      <w:r>
        <w:t>Convention</w:t>
      </w:r>
      <w:r w:rsidRPr="007E387A">
        <w:rPr>
          <w:rStyle w:val="Appelnotedebasdep"/>
        </w:rPr>
        <w:footnoteReference w:id="6"/>
      </w:r>
      <w:r>
        <w:t>.</w:t>
      </w:r>
      <w:r w:rsidRPr="008C2525">
        <w:t xml:space="preserve"> Dans l</w:t>
      </w:r>
      <w:r>
        <w:t>’</w:t>
      </w:r>
      <w:r w:rsidRPr="008C2525">
        <w:t xml:space="preserve">affirmative, </w:t>
      </w:r>
      <w:r w:rsidRPr="008C2525">
        <w:rPr>
          <w:lang w:val="fr-FR" w:eastAsia="es-ES"/>
        </w:rPr>
        <w:t>indiquer si un calendrier a été arrêté pour cette réforme.</w:t>
      </w:r>
    </w:p>
    <w:p w14:paraId="346AF021" w14:textId="00B62FDB" w:rsidR="00ED6917" w:rsidRPr="008C2525" w:rsidRDefault="00ED6917" w:rsidP="004F20FC">
      <w:pPr>
        <w:pStyle w:val="H23G"/>
        <w:rPr>
          <w:lang w:val="fr-FR"/>
        </w:rPr>
      </w:pPr>
      <w:r w:rsidRPr="008C2525">
        <w:rPr>
          <w:lang w:val="fr-FR"/>
        </w:rPr>
        <w:lastRenderedPageBreak/>
        <w:tab/>
      </w:r>
      <w:r w:rsidRPr="008C2525">
        <w:rPr>
          <w:lang w:val="fr-FR"/>
        </w:rPr>
        <w:tab/>
        <w:t>Article</w:t>
      </w:r>
      <w:r w:rsidR="00635064">
        <w:rPr>
          <w:lang w:val="fr-FR"/>
        </w:rPr>
        <w:t> </w:t>
      </w:r>
      <w:r w:rsidRPr="008C2525">
        <w:rPr>
          <w:lang w:val="fr-FR"/>
        </w:rPr>
        <w:t>2</w:t>
      </w:r>
      <w:r w:rsidRPr="004F20FC">
        <w:rPr>
          <w:rStyle w:val="Appelnotedebasdep"/>
          <w:b w:val="0"/>
          <w:bCs/>
        </w:rPr>
        <w:footnoteReference w:id="7"/>
      </w:r>
      <w:r w:rsidRPr="008C2525">
        <w:rPr>
          <w:lang w:val="fr-FR"/>
        </w:rPr>
        <w:t> </w:t>
      </w:r>
    </w:p>
    <w:p w14:paraId="058AFA08" w14:textId="0670F524" w:rsidR="00ED6917" w:rsidRPr="008C2525" w:rsidRDefault="00ED6917" w:rsidP="00ED6917">
      <w:pPr>
        <w:pStyle w:val="SingleTxtG"/>
        <w:rPr>
          <w:lang w:val="fr-FR"/>
        </w:rPr>
      </w:pPr>
      <w:r w:rsidRPr="008C2525">
        <w:rPr>
          <w:lang w:val="fr-FR"/>
        </w:rPr>
        <w:t>3.</w:t>
      </w:r>
      <w:r w:rsidRPr="008C2525">
        <w:rPr>
          <w:lang w:val="fr-FR"/>
        </w:rPr>
        <w:tab/>
      </w:r>
      <w:r w:rsidRPr="008C2525">
        <w:t>À la lumière des précédentes observations finales du Comité (par.</w:t>
      </w:r>
      <w:r w:rsidR="00635064">
        <w:t> </w:t>
      </w:r>
      <w:r w:rsidRPr="008C2525">
        <w:t>9 et 10</w:t>
      </w:r>
      <w:r w:rsidR="00635064">
        <w:t> </w:t>
      </w:r>
      <w:r w:rsidRPr="008C2525">
        <w:t xml:space="preserve">d)), des renseignements reçus du Sénégal au sujet de la suite donnée </w:t>
      </w:r>
      <w:r>
        <w:t>à ces dernières</w:t>
      </w:r>
      <w:r w:rsidRPr="007E387A">
        <w:rPr>
          <w:rStyle w:val="Appelnotedebasdep"/>
        </w:rPr>
        <w:footnoteReference w:id="8"/>
      </w:r>
      <w:r w:rsidRPr="008C2525">
        <w:t xml:space="preserve"> et de la lettre du Rapporteur </w:t>
      </w:r>
      <w:r>
        <w:t>spécial chargé du</w:t>
      </w:r>
      <w:r w:rsidRPr="008C2525">
        <w:t xml:space="preserve"> s</w:t>
      </w:r>
      <w:r>
        <w:t>uivi des observations finales du Comité, en date du 9 octobre</w:t>
      </w:r>
      <w:r w:rsidR="000065AD">
        <w:t xml:space="preserve"> </w:t>
      </w:r>
      <w:r>
        <w:t>2019,</w:t>
      </w:r>
      <w:r w:rsidRPr="008C2525">
        <w:t xml:space="preserve"> indiquer le nombre d</w:t>
      </w:r>
      <w:r>
        <w:t>’</w:t>
      </w:r>
      <w:r w:rsidRPr="008C2525">
        <w:t>avocats recrutés dans le cadre des concours du barreau depuis 2018 et leur affectation au niveau régional par rapport à la totalité des avocats inscrits</w:t>
      </w:r>
      <w:r w:rsidRPr="007E387A">
        <w:rPr>
          <w:rStyle w:val="Appelnotedebasdep"/>
        </w:rPr>
        <w:footnoteReference w:id="9"/>
      </w:r>
      <w:r>
        <w:t>.</w:t>
      </w:r>
      <w:r w:rsidRPr="008C2525">
        <w:t xml:space="preserve"> </w:t>
      </w:r>
      <w:r>
        <w:t>De</w:t>
      </w:r>
      <w:r w:rsidR="000065AD">
        <w:t> </w:t>
      </w:r>
      <w:r>
        <w:t>plus,</w:t>
      </w:r>
      <w:r w:rsidRPr="008C2525">
        <w:t xml:space="preserve"> préciser si le fond</w:t>
      </w:r>
      <w:r>
        <w:t>s</w:t>
      </w:r>
      <w:r w:rsidRPr="008C2525">
        <w:t xml:space="preserve"> d</w:t>
      </w:r>
      <w:r>
        <w:t>’</w:t>
      </w:r>
      <w:r w:rsidRPr="008C2525">
        <w:t xml:space="preserve">assistance judiciaire prévu est suffisant pour </w:t>
      </w:r>
      <w:r w:rsidRPr="008C2525">
        <w:rPr>
          <w:lang w:val="fr-FR"/>
        </w:rPr>
        <w:t>faciliter l</w:t>
      </w:r>
      <w:r>
        <w:rPr>
          <w:lang w:val="fr-FR"/>
        </w:rPr>
        <w:t>’</w:t>
      </w:r>
      <w:r w:rsidRPr="008C2525">
        <w:rPr>
          <w:lang w:val="fr-FR"/>
        </w:rPr>
        <w:t xml:space="preserve">accès de toutes les personnes démunies à un conseil dès </w:t>
      </w:r>
      <w:r w:rsidRPr="008C2525">
        <w:t>l</w:t>
      </w:r>
      <w:r>
        <w:t>’</w:t>
      </w:r>
      <w:r w:rsidRPr="008C2525">
        <w:t>interpellation</w:t>
      </w:r>
      <w:r w:rsidRPr="008C2525">
        <w:rPr>
          <w:lang w:val="fr-FR"/>
        </w:rPr>
        <w:t xml:space="preserve"> et à tous les stades de la procédure pénale, indépendamment des peines encourues</w:t>
      </w:r>
      <w:r w:rsidRPr="007E387A">
        <w:rPr>
          <w:rStyle w:val="Appelnotedebasdep"/>
        </w:rPr>
        <w:footnoteReference w:id="10"/>
      </w:r>
      <w:r>
        <w:rPr>
          <w:lang w:val="fr-FR"/>
        </w:rPr>
        <w:t>.</w:t>
      </w:r>
    </w:p>
    <w:p w14:paraId="3FA6C8CB" w14:textId="73FD8133" w:rsidR="00ED6917" w:rsidRPr="008C2525" w:rsidRDefault="00ED6917" w:rsidP="00ED6917">
      <w:pPr>
        <w:pStyle w:val="SingleTxtG"/>
      </w:pPr>
      <w:r w:rsidRPr="008C2525">
        <w:rPr>
          <w:spacing w:val="-8"/>
          <w:lang w:val="fr-FR"/>
        </w:rPr>
        <w:t>4.</w:t>
      </w:r>
      <w:r w:rsidRPr="008C2525">
        <w:rPr>
          <w:spacing w:val="-8"/>
          <w:lang w:val="fr-FR"/>
        </w:rPr>
        <w:tab/>
      </w:r>
      <w:r w:rsidRPr="008C2525">
        <w:t>Compte tenu des précédentes observations finales du Comité (par.</w:t>
      </w:r>
      <w:r w:rsidR="00635064">
        <w:t> </w:t>
      </w:r>
      <w:r w:rsidRPr="008C2525">
        <w:t xml:space="preserve">9 </w:t>
      </w:r>
      <w:r>
        <w:t>et</w:t>
      </w:r>
      <w:r w:rsidRPr="008C2525">
        <w:t xml:space="preserve"> 10), </w:t>
      </w:r>
      <w:r w:rsidRPr="008C2525">
        <w:rPr>
          <w:lang w:val="fr-FR"/>
        </w:rPr>
        <w:t>spécifier les mesures législatives prises ou en cours pour modifier le Code de procédure pénale afin que : a)</w:t>
      </w:r>
      <w:r w:rsidR="00635064">
        <w:rPr>
          <w:lang w:val="fr-FR"/>
        </w:rPr>
        <w:t> </w:t>
      </w:r>
      <w:r w:rsidRPr="008C2525">
        <w:rPr>
          <w:lang w:val="fr-FR"/>
        </w:rPr>
        <w:t>la durée maximale de la garde à vue, indépendamment du motif et dans toutes les juridictions, n</w:t>
      </w:r>
      <w:r>
        <w:rPr>
          <w:lang w:val="fr-FR"/>
        </w:rPr>
        <w:t>’</w:t>
      </w:r>
      <w:r w:rsidRPr="008C2525">
        <w:rPr>
          <w:lang w:val="fr-FR"/>
        </w:rPr>
        <w:t xml:space="preserve">excède pas quarante-huit heures, </w:t>
      </w:r>
      <w:r w:rsidRPr="008C2525">
        <w:t>ou vingt-quatre heures pour les enfants,</w:t>
      </w:r>
      <w:r w:rsidRPr="008C2525">
        <w:rPr>
          <w:b/>
        </w:rPr>
        <w:t xml:space="preserve"> </w:t>
      </w:r>
      <w:r w:rsidRPr="008C2525">
        <w:rPr>
          <w:lang w:val="fr-FR"/>
        </w:rPr>
        <w:t>durée renouvelable une fois dans des circonstances exceptionnelles dûment justifiées par des éléments tangibles, et qu</w:t>
      </w:r>
      <w:r>
        <w:rPr>
          <w:lang w:val="fr-FR"/>
        </w:rPr>
        <w:t>’</w:t>
      </w:r>
      <w:r w:rsidRPr="008C2525">
        <w:rPr>
          <w:lang w:val="fr-FR"/>
        </w:rPr>
        <w:t xml:space="preserve">à la fin de ce délai, la personne détenue soit présentée physiquement devant un juge </w:t>
      </w:r>
      <w:r w:rsidRPr="008C2525">
        <w:rPr>
          <w:rFonts w:ascii="Times" w:hAnsi="Times"/>
          <w:color w:val="000000" w:themeColor="text1"/>
          <w:lang w:eastAsia="fr-FR"/>
        </w:rPr>
        <w:t>indépendant et impartial par rapport aux questions traitées</w:t>
      </w:r>
      <w:r>
        <w:rPr>
          <w:rFonts w:ascii="Times" w:hAnsi="Times"/>
          <w:color w:val="000000" w:themeColor="text1"/>
          <w:lang w:eastAsia="fr-FR"/>
        </w:rPr>
        <w:t> ;</w:t>
      </w:r>
      <w:r w:rsidRPr="008C2525">
        <w:rPr>
          <w:lang w:val="fr-FR"/>
        </w:rPr>
        <w:t xml:space="preserve"> b)</w:t>
      </w:r>
      <w:r w:rsidR="00635064">
        <w:rPr>
          <w:lang w:val="fr-FR"/>
        </w:rPr>
        <w:t> </w:t>
      </w:r>
      <w:r w:rsidRPr="008C2525">
        <w:t>le droit des détenus d</w:t>
      </w:r>
      <w:r>
        <w:t>’</w:t>
      </w:r>
      <w:r w:rsidRPr="008C2525">
        <w:t>informer leurs proches dès le début de leur privation de liberté soit reconnu dans la loi</w:t>
      </w:r>
      <w:r>
        <w:t> </w:t>
      </w:r>
      <w:r w:rsidRPr="008C2525">
        <w:t xml:space="preserve">; </w:t>
      </w:r>
      <w:r>
        <w:t xml:space="preserve">et </w:t>
      </w:r>
      <w:r w:rsidRPr="008C2525">
        <w:t>c)</w:t>
      </w:r>
      <w:r w:rsidR="00BD20F5">
        <w:t> </w:t>
      </w:r>
      <w:r w:rsidRPr="008C2525">
        <w:t>les personnes détenues puissent bénéficier d</w:t>
      </w:r>
      <w:r>
        <w:t>’</w:t>
      </w:r>
      <w:r w:rsidRPr="008C2525">
        <w:t>un accès confidentiel et sans délai à un avocat indépendant ou à l</w:t>
      </w:r>
      <w:r>
        <w:t>’</w:t>
      </w:r>
      <w:r w:rsidRPr="008C2525">
        <w:t xml:space="preserve">aide juridictionnelle, pour toute la durée nécessaire à une défense efficace et </w:t>
      </w:r>
      <w:r>
        <w:t>non</w:t>
      </w:r>
      <w:r w:rsidRPr="008C2525">
        <w:t xml:space="preserve"> seulement pendant trente minutes</w:t>
      </w:r>
      <w:r w:rsidRPr="007E387A">
        <w:rPr>
          <w:rStyle w:val="Appelnotedebasdep"/>
        </w:rPr>
        <w:footnoteReference w:id="11"/>
      </w:r>
      <w:r>
        <w:t>.</w:t>
      </w:r>
      <w:r w:rsidRPr="008C2525">
        <w:t xml:space="preserve"> </w:t>
      </w:r>
      <w:r w:rsidRPr="008C2525">
        <w:rPr>
          <w:lang w:val="fr-FR"/>
        </w:rPr>
        <w:t>Indiquer aussi les mesures de contrôle prises, y</w:t>
      </w:r>
      <w:r w:rsidR="00635064">
        <w:rPr>
          <w:lang w:val="fr-FR"/>
        </w:rPr>
        <w:t> </w:t>
      </w:r>
      <w:r w:rsidRPr="008C2525">
        <w:rPr>
          <w:lang w:val="fr-FR"/>
        </w:rPr>
        <w:t xml:space="preserve">compris les sanctions </w:t>
      </w:r>
      <w:r w:rsidRPr="008C2525">
        <w:rPr>
          <w:lang w:val="fr-FR" w:eastAsia="es-ES"/>
        </w:rPr>
        <w:t xml:space="preserve">disciplinaires, </w:t>
      </w:r>
      <w:r w:rsidRPr="008C2525">
        <w:rPr>
          <w:lang w:val="fr-FR"/>
        </w:rPr>
        <w:t>pour que la police respecte dans la pratique, et dès l</w:t>
      </w:r>
      <w:r>
        <w:rPr>
          <w:lang w:val="fr-FR"/>
        </w:rPr>
        <w:t>’</w:t>
      </w:r>
      <w:r w:rsidRPr="008C2525">
        <w:rPr>
          <w:lang w:val="fr-FR"/>
        </w:rPr>
        <w:t>instant où intervient la privation de liberté, toutes les garanties juridiques fondamentales des personnes détenues</w:t>
      </w:r>
      <w:r w:rsidRPr="007E387A">
        <w:rPr>
          <w:rStyle w:val="Appelnotedebasdep"/>
        </w:rPr>
        <w:footnoteReference w:id="12"/>
      </w:r>
      <w:r>
        <w:rPr>
          <w:lang w:val="fr-FR"/>
        </w:rPr>
        <w:t>,</w:t>
      </w:r>
      <w:r w:rsidRPr="008C2525">
        <w:rPr>
          <w:lang w:val="fr-FR"/>
        </w:rPr>
        <w:t xml:space="preserve"> y</w:t>
      </w:r>
      <w:r w:rsidR="00635064">
        <w:rPr>
          <w:lang w:val="fr-FR"/>
        </w:rPr>
        <w:t> </w:t>
      </w:r>
      <w:r w:rsidRPr="008C2525">
        <w:rPr>
          <w:lang w:val="fr-FR"/>
        </w:rPr>
        <w:t>compris la tenue de registres</w:t>
      </w:r>
      <w:r>
        <w:rPr>
          <w:lang w:val="fr-FR"/>
        </w:rPr>
        <w:t>.</w:t>
      </w:r>
      <w:r w:rsidRPr="008C2525">
        <w:rPr>
          <w:lang w:val="fr-FR"/>
        </w:rPr>
        <w:t xml:space="preserve"> </w:t>
      </w:r>
      <w:r>
        <w:rPr>
          <w:lang w:val="fr-FR"/>
        </w:rPr>
        <w:t>En outre,</w:t>
      </w:r>
      <w:r w:rsidRPr="008C2525">
        <w:rPr>
          <w:lang w:val="fr-FR"/>
        </w:rPr>
        <w:t xml:space="preserve"> indiquer les mesures prises pour interdire</w:t>
      </w:r>
      <w:r w:rsidRPr="008C2525">
        <w:t xml:space="preserve"> la pratique dite du «</w:t>
      </w:r>
      <w:r>
        <w:t> </w:t>
      </w:r>
      <w:r w:rsidRPr="008C2525">
        <w:t>retour de parquet</w:t>
      </w:r>
      <w:r>
        <w:t> </w:t>
      </w:r>
      <w:r w:rsidRPr="008C2525">
        <w:t xml:space="preserve">» ou ordre de remise à disposition, afin que le </w:t>
      </w:r>
      <w:r w:rsidRPr="008C2525">
        <w:rPr>
          <w:rFonts w:cstheme="minorHAnsi"/>
          <w:lang w:val="fr-FR"/>
        </w:rPr>
        <w:t>délai de garde à vue ne soit pas prolongé sans fondement</w:t>
      </w:r>
      <w:r w:rsidRPr="007E387A">
        <w:rPr>
          <w:rStyle w:val="Appelnotedebasdep"/>
        </w:rPr>
        <w:footnoteReference w:id="13"/>
      </w:r>
      <w:r>
        <w:rPr>
          <w:rFonts w:cstheme="minorHAnsi"/>
        </w:rPr>
        <w:t>.</w:t>
      </w:r>
    </w:p>
    <w:p w14:paraId="7C71DCF3" w14:textId="0A7DAB0B" w:rsidR="00ED6917" w:rsidRPr="008C2525" w:rsidRDefault="00ED6917" w:rsidP="00ED6917">
      <w:pPr>
        <w:pStyle w:val="SingleTxtG"/>
      </w:pPr>
      <w:r w:rsidRPr="008C2525">
        <w:rPr>
          <w:lang w:val="fr-FR" w:eastAsia="es-ES"/>
        </w:rPr>
        <w:t>5.</w:t>
      </w:r>
      <w:r w:rsidRPr="008C2525">
        <w:rPr>
          <w:lang w:val="fr-FR" w:eastAsia="es-ES"/>
        </w:rPr>
        <w:tab/>
        <w:t xml:space="preserve">Préciser si un examen médical et un dépistage de la </w:t>
      </w:r>
      <w:r>
        <w:rPr>
          <w:lang w:val="fr-FR" w:eastAsia="es-ES"/>
        </w:rPr>
        <w:t>maladie à coronavirus (</w:t>
      </w:r>
      <w:r w:rsidRPr="008C2525">
        <w:rPr>
          <w:lang w:val="fr-FR" w:eastAsia="es-ES"/>
        </w:rPr>
        <w:t>COVID</w:t>
      </w:r>
      <w:r w:rsidR="00635064">
        <w:rPr>
          <w:lang w:val="fr-FR" w:eastAsia="es-ES"/>
        </w:rPr>
        <w:noBreakHyphen/>
      </w:r>
      <w:r w:rsidRPr="008C2525">
        <w:rPr>
          <w:lang w:val="fr-FR" w:eastAsia="es-ES"/>
        </w:rPr>
        <w:t>19</w:t>
      </w:r>
      <w:r>
        <w:rPr>
          <w:lang w:val="fr-FR" w:eastAsia="es-ES"/>
        </w:rPr>
        <w:t>)</w:t>
      </w:r>
      <w:r w:rsidRPr="008C2525">
        <w:rPr>
          <w:lang w:val="fr-FR" w:eastAsia="es-ES"/>
        </w:rPr>
        <w:t xml:space="preserve"> sont systématiquement pratiqués </w:t>
      </w:r>
      <w:r w:rsidRPr="008C2525">
        <w:rPr>
          <w:lang w:val="fr-FR"/>
        </w:rPr>
        <w:t>pendant la garde à vue</w:t>
      </w:r>
      <w:r w:rsidRPr="008C2525">
        <w:rPr>
          <w:lang w:val="fr-FR" w:eastAsia="es-ES"/>
        </w:rPr>
        <w:t xml:space="preserve"> et au moment de l</w:t>
      </w:r>
      <w:r>
        <w:rPr>
          <w:lang w:val="fr-FR" w:eastAsia="es-ES"/>
        </w:rPr>
        <w:t>’</w:t>
      </w:r>
      <w:r w:rsidRPr="008C2525">
        <w:rPr>
          <w:lang w:val="fr-FR" w:eastAsia="es-ES"/>
        </w:rPr>
        <w:t>admission dans un centre de détention,</w:t>
      </w:r>
      <w:r w:rsidRPr="008C2525">
        <w:rPr>
          <w:lang w:val="fr-FR"/>
        </w:rPr>
        <w:t xml:space="preserve"> en indiquant s</w:t>
      </w:r>
      <w:r>
        <w:rPr>
          <w:lang w:val="fr-FR"/>
        </w:rPr>
        <w:t>’</w:t>
      </w:r>
      <w:r w:rsidRPr="008C2525">
        <w:rPr>
          <w:lang w:val="fr-FR"/>
        </w:rPr>
        <w:t xml:space="preserve">ils permettent de détecter des traces physiques et psychologiques de torture et de mauvais traitements. </w:t>
      </w:r>
      <w:r>
        <w:rPr>
          <w:lang w:val="fr-FR"/>
        </w:rPr>
        <w:t>Indiquer s’il existe</w:t>
      </w:r>
      <w:r w:rsidRPr="008C2525">
        <w:rPr>
          <w:lang w:val="fr-FR"/>
        </w:rPr>
        <w:t xml:space="preserve"> un mécanisme pour que </w:t>
      </w:r>
      <w:r w:rsidRPr="008C2525">
        <w:t>le personnel médical signale tout signe de torture ou de mauvais traitement à une autorité d</w:t>
      </w:r>
      <w:r>
        <w:t>’</w:t>
      </w:r>
      <w:r w:rsidRPr="008C2525">
        <w:t>enquête indépendante, en toute confiance et sans s</w:t>
      </w:r>
      <w:r>
        <w:t>’</w:t>
      </w:r>
      <w:r w:rsidRPr="008C2525">
        <w:t>exposer à des représailles</w:t>
      </w:r>
      <w:r>
        <w:t>.</w:t>
      </w:r>
      <w:r w:rsidRPr="008C2525">
        <w:t xml:space="preserve"> Dans l</w:t>
      </w:r>
      <w:r>
        <w:t>’</w:t>
      </w:r>
      <w:r w:rsidRPr="008C2525">
        <w:t>affirmative, indiquer le nombre de cas identifiés grâce à ce mécanisme depuis 2018, et les résultats des enquêtes concernant ces cas.</w:t>
      </w:r>
    </w:p>
    <w:p w14:paraId="373641E0" w14:textId="7D3BAE25" w:rsidR="00ED6917" w:rsidRPr="008C2525" w:rsidRDefault="00ED6917" w:rsidP="00ED6917">
      <w:pPr>
        <w:pStyle w:val="SingleTxtG"/>
      </w:pPr>
      <w:r w:rsidRPr="008C2525">
        <w:t>6.</w:t>
      </w:r>
      <w:r w:rsidRPr="008C2525">
        <w:tab/>
        <w:t>À la lumière des précédentes observations finales du Comité (par.</w:t>
      </w:r>
      <w:r w:rsidR="00635064">
        <w:t> </w:t>
      </w:r>
      <w:r w:rsidRPr="008C2525">
        <w:t xml:space="preserve">27 </w:t>
      </w:r>
      <w:r>
        <w:t>et</w:t>
      </w:r>
      <w:r w:rsidRPr="008C2525">
        <w:t xml:space="preserve"> 28) et des renseignements reçus du Sénégal au sujet de la suite donnée </w:t>
      </w:r>
      <w:r>
        <w:t>à ces dernières</w:t>
      </w:r>
      <w:r w:rsidRPr="007E387A">
        <w:rPr>
          <w:rStyle w:val="Appelnotedebasdep"/>
        </w:rPr>
        <w:footnoteReference w:id="14"/>
      </w:r>
      <w:r w:rsidRPr="008C2525">
        <w:rPr>
          <w:lang w:val="fr-FR"/>
        </w:rPr>
        <w:t>, indiquant</w:t>
      </w:r>
      <w:r w:rsidRPr="008C2525">
        <w:t xml:space="preserve"> que le non</w:t>
      </w:r>
      <w:r>
        <w:t>-</w:t>
      </w:r>
      <w:r w:rsidRPr="008C2525">
        <w:t>rattachement de l</w:t>
      </w:r>
      <w:r>
        <w:t>’Observatoire</w:t>
      </w:r>
      <w:r w:rsidRPr="008C2525">
        <w:t xml:space="preserve"> national des </w:t>
      </w:r>
      <w:r>
        <w:t>l</w:t>
      </w:r>
      <w:r w:rsidRPr="008C2525">
        <w:t xml:space="preserve">ieux de </w:t>
      </w:r>
      <w:r>
        <w:t>p</w:t>
      </w:r>
      <w:r w:rsidRPr="008C2525">
        <w:t xml:space="preserve">rivation de </w:t>
      </w:r>
      <w:r>
        <w:t>l</w:t>
      </w:r>
      <w:r w:rsidRPr="008C2525">
        <w:t>iberté à l</w:t>
      </w:r>
      <w:r>
        <w:t>’</w:t>
      </w:r>
      <w:r w:rsidRPr="008C2525">
        <w:t>exécutif serait envisageable</w:t>
      </w:r>
      <w:r w:rsidRPr="007E387A">
        <w:rPr>
          <w:rStyle w:val="Appelnotedebasdep"/>
        </w:rPr>
        <w:footnoteReference w:id="15"/>
      </w:r>
      <w:r>
        <w:t>,</w:t>
      </w:r>
      <w:r w:rsidRPr="008C2525">
        <w:t xml:space="preserve"> préciser si le non-rattachement administratif et budgétaire </w:t>
      </w:r>
      <w:r>
        <w:t xml:space="preserve">de l’Observatoire </w:t>
      </w:r>
      <w:r w:rsidRPr="008C2525">
        <w:t xml:space="preserve">au </w:t>
      </w:r>
      <w:r w:rsidRPr="008C2525">
        <w:rPr>
          <w:bCs/>
        </w:rPr>
        <w:t xml:space="preserve">Ministère de la </w:t>
      </w:r>
      <w:r>
        <w:rPr>
          <w:bCs/>
        </w:rPr>
        <w:t>j</w:t>
      </w:r>
      <w:r w:rsidRPr="008C2525">
        <w:rPr>
          <w:bCs/>
        </w:rPr>
        <w:t>ustice</w:t>
      </w:r>
      <w:r w:rsidRPr="008C2525">
        <w:t xml:space="preserve"> a finalement eu lieu</w:t>
      </w:r>
      <w:r w:rsidRPr="007E387A">
        <w:rPr>
          <w:rStyle w:val="Appelnotedebasdep"/>
        </w:rPr>
        <w:footnoteReference w:id="16"/>
      </w:r>
      <w:r>
        <w:t>.</w:t>
      </w:r>
      <w:r>
        <w:rPr>
          <w:bCs/>
        </w:rPr>
        <w:t xml:space="preserve"> </w:t>
      </w:r>
      <w:r w:rsidRPr="008C2525">
        <w:rPr>
          <w:bCs/>
        </w:rPr>
        <w:t>I</w:t>
      </w:r>
      <w:r w:rsidRPr="008C2525">
        <w:t xml:space="preserve">ndiquer les mesures législatives ou autres prises ou envisagées pour que </w:t>
      </w:r>
      <w:r w:rsidRPr="008C2525">
        <w:rPr>
          <w:rFonts w:cs="Calibri"/>
          <w:shd w:val="clear" w:color="auto" w:fill="FFFFFF"/>
          <w:lang w:val="fr-FR"/>
        </w:rPr>
        <w:t>l</w:t>
      </w:r>
      <w:r>
        <w:rPr>
          <w:rFonts w:cs="Calibri"/>
          <w:shd w:val="clear" w:color="auto" w:fill="FFFFFF"/>
          <w:lang w:val="fr-FR"/>
        </w:rPr>
        <w:t>’</w:t>
      </w:r>
      <w:r w:rsidRPr="008C2525">
        <w:t>Observateur</w:t>
      </w:r>
      <w:r>
        <w:t xml:space="preserve"> national</w:t>
      </w:r>
      <w:r w:rsidRPr="008A0DA6">
        <w:t xml:space="preserve"> </w:t>
      </w:r>
      <w:r w:rsidRPr="008C2525">
        <w:t xml:space="preserve">des </w:t>
      </w:r>
      <w:r>
        <w:t>l</w:t>
      </w:r>
      <w:r w:rsidRPr="008C2525">
        <w:t xml:space="preserve">ieux de </w:t>
      </w:r>
      <w:r>
        <w:lastRenderedPageBreak/>
        <w:t>p</w:t>
      </w:r>
      <w:r w:rsidRPr="008C2525">
        <w:t xml:space="preserve">rivation de </w:t>
      </w:r>
      <w:r>
        <w:t>l</w:t>
      </w:r>
      <w:r w:rsidRPr="008C2525">
        <w:t xml:space="preserve">iberté soit </w:t>
      </w:r>
      <w:r w:rsidRPr="008C2525">
        <w:rPr>
          <w:bCs/>
        </w:rPr>
        <w:t>nommé selon une procédure inclusive, participative et transparente, et pour que les personnes qui occupent des positions susceptibles de donner lieu à des conflits d</w:t>
      </w:r>
      <w:r>
        <w:rPr>
          <w:bCs/>
        </w:rPr>
        <w:t>’</w:t>
      </w:r>
      <w:r w:rsidRPr="008C2525">
        <w:rPr>
          <w:bCs/>
        </w:rPr>
        <w:t>intérêt</w:t>
      </w:r>
      <w:r>
        <w:rPr>
          <w:bCs/>
        </w:rPr>
        <w:t>s</w:t>
      </w:r>
      <w:r w:rsidRPr="008C2525">
        <w:rPr>
          <w:bCs/>
        </w:rPr>
        <w:t xml:space="preserve"> </w:t>
      </w:r>
      <w:r w:rsidRPr="008C2525">
        <w:rPr>
          <w:rFonts w:cstheme="minorHAnsi"/>
        </w:rPr>
        <w:t>réels ou perçus</w:t>
      </w:r>
      <w:r w:rsidRPr="008C2525">
        <w:rPr>
          <w:bCs/>
        </w:rPr>
        <w:t>, comme les membres des forces de sécurité, ne puissent pas être nommées à ce poste</w:t>
      </w:r>
      <w:r w:rsidRPr="007E387A">
        <w:rPr>
          <w:rStyle w:val="Appelnotedebasdep"/>
        </w:rPr>
        <w:footnoteReference w:id="17"/>
      </w:r>
      <w:r>
        <w:rPr>
          <w:bCs/>
        </w:rPr>
        <w:t>.</w:t>
      </w:r>
      <w:r w:rsidRPr="008C2525">
        <w:rPr>
          <w:bCs/>
        </w:rPr>
        <w:t xml:space="preserve"> </w:t>
      </w:r>
      <w:r>
        <w:rPr>
          <w:bCs/>
        </w:rPr>
        <w:t>E</w:t>
      </w:r>
      <w:r w:rsidRPr="008C2525">
        <w:rPr>
          <w:bCs/>
        </w:rPr>
        <w:t>u égard aux informations indiquant que l</w:t>
      </w:r>
      <w:r w:rsidRPr="008C2525">
        <w:rPr>
          <w:rFonts w:cstheme="minorHAnsi"/>
        </w:rPr>
        <w:t>e budget</w:t>
      </w:r>
      <w:r w:rsidRPr="008C2525">
        <w:rPr>
          <w:rFonts w:eastAsia="Times New Roman" w:cstheme="minorHAnsi"/>
        </w:rPr>
        <w:t xml:space="preserve"> </w:t>
      </w:r>
      <w:r>
        <w:rPr>
          <w:rFonts w:eastAsia="Times New Roman" w:cstheme="minorHAnsi"/>
        </w:rPr>
        <w:t xml:space="preserve">de l’Observatoire </w:t>
      </w:r>
      <w:r>
        <w:rPr>
          <w:rFonts w:cstheme="minorHAnsi"/>
        </w:rPr>
        <w:t>demeure toujours insuffisant,</w:t>
      </w:r>
      <w:r w:rsidRPr="008C2525" w:rsidDel="00942854">
        <w:rPr>
          <w:bCs/>
        </w:rPr>
        <w:t xml:space="preserve"> </w:t>
      </w:r>
      <w:r>
        <w:rPr>
          <w:bCs/>
        </w:rPr>
        <w:t>et malgré</w:t>
      </w:r>
      <w:r w:rsidRPr="008C2525">
        <w:rPr>
          <w:bCs/>
        </w:rPr>
        <w:t xml:space="preserve"> l</w:t>
      </w:r>
      <w:r>
        <w:rPr>
          <w:bCs/>
        </w:rPr>
        <w:t>’</w:t>
      </w:r>
      <w:r w:rsidRPr="008C2525">
        <w:rPr>
          <w:bCs/>
        </w:rPr>
        <w:t>augmentation progressive du</w:t>
      </w:r>
      <w:r>
        <w:rPr>
          <w:bCs/>
        </w:rPr>
        <w:t>dit</w:t>
      </w:r>
      <w:r w:rsidRPr="008C2525">
        <w:rPr>
          <w:bCs/>
        </w:rPr>
        <w:t xml:space="preserve"> budget</w:t>
      </w:r>
      <w:r w:rsidRPr="007E387A">
        <w:rPr>
          <w:rStyle w:val="Appelnotedebasdep"/>
        </w:rPr>
        <w:footnoteReference w:id="18"/>
      </w:r>
      <w:r>
        <w:rPr>
          <w:rFonts w:cstheme="minorHAnsi"/>
        </w:rPr>
        <w:t>,</w:t>
      </w:r>
      <w:r w:rsidRPr="008C2525">
        <w:rPr>
          <w:rFonts w:cstheme="minorHAnsi"/>
        </w:rPr>
        <w:t xml:space="preserve"> indiquer si l</w:t>
      </w:r>
      <w:r>
        <w:rPr>
          <w:rFonts w:cstheme="minorHAnsi"/>
        </w:rPr>
        <w:t>’État</w:t>
      </w:r>
      <w:r w:rsidRPr="008C2525">
        <w:rPr>
          <w:rFonts w:cstheme="minorHAnsi"/>
        </w:rPr>
        <w:t xml:space="preserve"> partie envisage des mesures pour que l</w:t>
      </w:r>
      <w:r>
        <w:rPr>
          <w:rFonts w:cstheme="minorHAnsi"/>
        </w:rPr>
        <w:t>’Observatoire</w:t>
      </w:r>
      <w:r w:rsidRPr="008C2525">
        <w:rPr>
          <w:rFonts w:cstheme="minorHAnsi"/>
        </w:rPr>
        <w:t xml:space="preserve"> p</w:t>
      </w:r>
      <w:r w:rsidRPr="008C2525">
        <w:rPr>
          <w:bCs/>
        </w:rPr>
        <w:t>uisse disposer d</w:t>
      </w:r>
      <w:r>
        <w:rPr>
          <w:bCs/>
        </w:rPr>
        <w:t>’</w:t>
      </w:r>
      <w:r w:rsidRPr="008C2525">
        <w:rPr>
          <w:bCs/>
        </w:rPr>
        <w:t>un budget distinct et suffisant pour</w:t>
      </w:r>
      <w:r w:rsidRPr="008C2525">
        <w:rPr>
          <w:lang w:val="fr-FR"/>
        </w:rPr>
        <w:t xml:space="preserve"> s</w:t>
      </w:r>
      <w:r>
        <w:rPr>
          <w:lang w:val="fr-FR"/>
        </w:rPr>
        <w:t>’</w:t>
      </w:r>
      <w:r w:rsidRPr="008C2525">
        <w:rPr>
          <w:lang w:val="fr-FR"/>
        </w:rPr>
        <w:t>acquitter efficacement de son mandat</w:t>
      </w:r>
      <w:r w:rsidRPr="007E387A">
        <w:rPr>
          <w:rStyle w:val="Appelnotedebasdep"/>
        </w:rPr>
        <w:footnoteReference w:id="19"/>
      </w:r>
      <w:r>
        <w:t>.</w:t>
      </w:r>
      <w:r w:rsidRPr="008C2525">
        <w:rPr>
          <w:bCs/>
        </w:rPr>
        <w:t xml:space="preserve"> </w:t>
      </w:r>
      <w:r w:rsidRPr="008C2525">
        <w:t>P</w:t>
      </w:r>
      <w:r w:rsidRPr="008C2525">
        <w:rPr>
          <w:lang w:val="fr-FR"/>
        </w:rPr>
        <w:t>réciser le nombre de visites annuelles menées par l</w:t>
      </w:r>
      <w:r>
        <w:rPr>
          <w:lang w:val="fr-FR"/>
        </w:rPr>
        <w:t>’</w:t>
      </w:r>
      <w:r w:rsidRPr="008C2525">
        <w:rPr>
          <w:lang w:val="fr-FR"/>
        </w:rPr>
        <w:t>institution depuis 2018 et les suites données aux recommandations formulées.</w:t>
      </w:r>
      <w:r w:rsidRPr="008C2525">
        <w:rPr>
          <w:bCs/>
        </w:rPr>
        <w:t xml:space="preserve"> C</w:t>
      </w:r>
      <w:r w:rsidRPr="008C2525">
        <w:rPr>
          <w:lang w:val="fr-FR"/>
        </w:rPr>
        <w:t>larifier si l</w:t>
      </w:r>
      <w:r>
        <w:rPr>
          <w:lang w:val="fr-FR"/>
        </w:rPr>
        <w:t>’Observatoire</w:t>
      </w:r>
      <w:r w:rsidRPr="008C2525">
        <w:rPr>
          <w:lang w:val="fr-FR"/>
        </w:rPr>
        <w:t xml:space="preserve"> peut mener des visites inopinées dans </w:t>
      </w:r>
      <w:r w:rsidRPr="008C2525">
        <w:rPr>
          <w:lang w:val="fr-SN"/>
        </w:rPr>
        <w:t>des casernes de la police, de la gendarmerie et de l</w:t>
      </w:r>
      <w:r>
        <w:rPr>
          <w:lang w:val="fr-SN"/>
        </w:rPr>
        <w:t>’</w:t>
      </w:r>
      <w:r w:rsidRPr="008C2525">
        <w:rPr>
          <w:lang w:val="fr-SN"/>
        </w:rPr>
        <w:t>armée</w:t>
      </w:r>
      <w:r w:rsidRPr="007E387A">
        <w:rPr>
          <w:rStyle w:val="Appelnotedebasdep"/>
        </w:rPr>
        <w:footnoteReference w:id="20"/>
      </w:r>
      <w:r w:rsidRPr="008C2525">
        <w:rPr>
          <w:lang w:val="fr-FR"/>
        </w:rPr>
        <w:t xml:space="preserve"> et, dans l</w:t>
      </w:r>
      <w:r>
        <w:rPr>
          <w:lang w:val="fr-FR"/>
        </w:rPr>
        <w:t>’</w:t>
      </w:r>
      <w:r w:rsidRPr="008C2525">
        <w:rPr>
          <w:lang w:val="fr-FR"/>
        </w:rPr>
        <w:t>affirmative, combien de</w:t>
      </w:r>
      <w:r>
        <w:rPr>
          <w:lang w:val="fr-FR"/>
        </w:rPr>
        <w:t xml:space="preserve"> telle</w:t>
      </w:r>
      <w:r w:rsidRPr="008C2525">
        <w:rPr>
          <w:lang w:val="fr-FR"/>
        </w:rPr>
        <w:t>s visites inopinées ont été menées dans ces lieux depuis la création de l</w:t>
      </w:r>
      <w:r>
        <w:rPr>
          <w:lang w:val="fr-FR"/>
        </w:rPr>
        <w:t>’</w:t>
      </w:r>
      <w:r w:rsidRPr="008C2525">
        <w:rPr>
          <w:lang w:val="fr-FR"/>
        </w:rPr>
        <w:t xml:space="preserve">institution. </w:t>
      </w:r>
      <w:r w:rsidRPr="008C2525">
        <w:rPr>
          <w:lang w:val="fr-FR" w:eastAsia="es-ES"/>
        </w:rPr>
        <w:t>Donner des renseignements détaillés sur l</w:t>
      </w:r>
      <w:r>
        <w:rPr>
          <w:lang w:val="fr-FR" w:eastAsia="es-ES"/>
        </w:rPr>
        <w:t>’</w:t>
      </w:r>
      <w:r w:rsidRPr="008C2525">
        <w:rPr>
          <w:lang w:val="fr-FR" w:eastAsia="es-ES"/>
        </w:rPr>
        <w:t xml:space="preserve">issue des enquêtes menées par le </w:t>
      </w:r>
      <w:r w:rsidRPr="008C2525">
        <w:t>Procureur de la République pour des faits dénoncés par l</w:t>
      </w:r>
      <w:r>
        <w:t>’Observatoire</w:t>
      </w:r>
      <w:r w:rsidRPr="008C2525">
        <w:t xml:space="preserve"> </w:t>
      </w:r>
      <w:r>
        <w:t xml:space="preserve">par </w:t>
      </w:r>
      <w:r w:rsidRPr="008C2525">
        <w:t xml:space="preserve">suite </w:t>
      </w:r>
      <w:r>
        <w:t>des</w:t>
      </w:r>
      <w:r w:rsidRPr="008C2525">
        <w:t xml:space="preserve"> visites effectuées en 2017 </w:t>
      </w:r>
      <w:r>
        <w:t>aux maisons d’arrêt et de correction</w:t>
      </w:r>
      <w:r w:rsidRPr="008C2525">
        <w:t xml:space="preserve"> de Thiès et de Mbour</w:t>
      </w:r>
      <w:r w:rsidRPr="007E387A">
        <w:rPr>
          <w:rStyle w:val="Appelnotedebasdep"/>
        </w:rPr>
        <w:footnoteReference w:id="21"/>
      </w:r>
      <w:r>
        <w:t>.</w:t>
      </w:r>
      <w:r w:rsidRPr="008C2525">
        <w:t xml:space="preserve"> Clarifier si l</w:t>
      </w:r>
      <w:r>
        <w:t>’État</w:t>
      </w:r>
      <w:r w:rsidRPr="008C2525">
        <w:t xml:space="preserve"> partie envisage d</w:t>
      </w:r>
      <w:r>
        <w:t>’</w:t>
      </w:r>
      <w:r w:rsidRPr="008C2525">
        <w:t>autoriser les organisations de la société civile à effectuer des visites répétées et inopinées dans tous le</w:t>
      </w:r>
      <w:r>
        <w:t>s lieux de privation de liberté,</w:t>
      </w:r>
      <w:r w:rsidRPr="008C2525">
        <w:t xml:space="preserve"> </w:t>
      </w:r>
      <w:r w:rsidRPr="008C2525">
        <w:rPr>
          <w:lang w:val="fr-FR"/>
        </w:rPr>
        <w:t>conformément aux recommandations incluses dans les précédentes observations finales du Comité (par.</w:t>
      </w:r>
      <w:r w:rsidR="00635064">
        <w:rPr>
          <w:lang w:val="fr-FR"/>
        </w:rPr>
        <w:t> </w:t>
      </w:r>
      <w:r w:rsidRPr="008C2525">
        <w:rPr>
          <w:lang w:val="fr-FR"/>
        </w:rPr>
        <w:t>14</w:t>
      </w:r>
      <w:r w:rsidR="00635064">
        <w:rPr>
          <w:lang w:val="fr-FR"/>
        </w:rPr>
        <w:t> </w:t>
      </w:r>
      <w:r w:rsidRPr="008C2525">
        <w:rPr>
          <w:lang w:val="fr-FR"/>
        </w:rPr>
        <w:t>i)).</w:t>
      </w:r>
    </w:p>
    <w:p w14:paraId="378A01EC" w14:textId="45D2C742" w:rsidR="00ED6917" w:rsidRPr="009000F2" w:rsidRDefault="00ED6917" w:rsidP="00ED6917">
      <w:pPr>
        <w:pStyle w:val="SingleTxtG"/>
      </w:pPr>
      <w:r w:rsidRPr="008C2525">
        <w:t>7.</w:t>
      </w:r>
      <w:r w:rsidRPr="008C2525">
        <w:tab/>
      </w:r>
      <w:r w:rsidRPr="008C2525">
        <w:rPr>
          <w:lang w:val="fr-FR"/>
        </w:rPr>
        <w:t>Compte tenu des précédentes observations finales du Comité (par.</w:t>
      </w:r>
      <w:r w:rsidR="00BD20F5">
        <w:rPr>
          <w:lang w:val="fr-FR"/>
        </w:rPr>
        <w:t> </w:t>
      </w:r>
      <w:r w:rsidRPr="008C2525">
        <w:rPr>
          <w:lang w:val="fr-FR"/>
        </w:rPr>
        <w:t xml:space="preserve">25 </w:t>
      </w:r>
      <w:r>
        <w:rPr>
          <w:lang w:val="fr-FR"/>
        </w:rPr>
        <w:t>et</w:t>
      </w:r>
      <w:r w:rsidRPr="008C2525">
        <w:rPr>
          <w:lang w:val="fr-FR"/>
        </w:rPr>
        <w:t xml:space="preserve"> 26) et de l</w:t>
      </w:r>
      <w:r>
        <w:rPr>
          <w:lang w:val="fr-FR"/>
        </w:rPr>
        <w:t>’</w:t>
      </w:r>
      <w:r w:rsidRPr="008C2525">
        <w:rPr>
          <w:lang w:val="fr-FR"/>
        </w:rPr>
        <w:t>engagement de l</w:t>
      </w:r>
      <w:r>
        <w:rPr>
          <w:lang w:val="fr-FR"/>
        </w:rPr>
        <w:t>’État</w:t>
      </w:r>
      <w:r w:rsidRPr="008C2525">
        <w:rPr>
          <w:lang w:val="fr-FR"/>
        </w:rPr>
        <w:t xml:space="preserve"> partie d</w:t>
      </w:r>
      <w:r>
        <w:rPr>
          <w:lang w:val="fr-FR"/>
        </w:rPr>
        <w:t>’</w:t>
      </w:r>
      <w:r w:rsidRPr="008C2525">
        <w:rPr>
          <w:lang w:val="fr-FR"/>
        </w:rPr>
        <w:t>adopter une nouvelle loi afin de permettre au Comité sénégalais des droits de l</w:t>
      </w:r>
      <w:r>
        <w:rPr>
          <w:lang w:val="fr-FR"/>
        </w:rPr>
        <w:t>’</w:t>
      </w:r>
      <w:r w:rsidRPr="008C2525">
        <w:rPr>
          <w:lang w:val="fr-FR"/>
        </w:rPr>
        <w:t xml:space="preserve">homme </w:t>
      </w:r>
      <w:r w:rsidRPr="008C2525">
        <w:t xml:space="preserve">de se </w:t>
      </w:r>
      <w:r w:rsidRPr="008C2525">
        <w:rPr>
          <w:lang w:val="fr-FR"/>
        </w:rPr>
        <w:t xml:space="preserve">conformer aux </w:t>
      </w:r>
      <w:r w:rsidRPr="008C2525">
        <w:t>Principes concernant le statut des institutions nationales pour la promotion et la protection des droits de l</w:t>
      </w:r>
      <w:r>
        <w:t>’</w:t>
      </w:r>
      <w:r w:rsidRPr="008C2525">
        <w:t>homme</w:t>
      </w:r>
      <w:r w:rsidRPr="008C2525">
        <w:rPr>
          <w:lang w:val="fr-FR"/>
        </w:rPr>
        <w:t xml:space="preserve"> (Principes de Paris), </w:t>
      </w:r>
      <w:r w:rsidRPr="008C2525">
        <w:rPr>
          <w:lang w:val="fr-FR" w:eastAsia="es-ES"/>
        </w:rPr>
        <w:t>indiquer si un calendrier a été arrêté pour cette réforme.</w:t>
      </w:r>
      <w:r w:rsidRPr="008C2525">
        <w:rPr>
          <w:lang w:val="fr-FR"/>
        </w:rPr>
        <w:t xml:space="preserve"> Indiquer </w:t>
      </w:r>
      <w:r>
        <w:rPr>
          <w:lang w:val="fr-FR"/>
        </w:rPr>
        <w:t xml:space="preserve">également </w:t>
      </w:r>
      <w:r w:rsidRPr="008C2525">
        <w:rPr>
          <w:lang w:val="fr-FR"/>
        </w:rPr>
        <w:t>si l</w:t>
      </w:r>
      <w:r>
        <w:rPr>
          <w:lang w:val="fr-FR"/>
        </w:rPr>
        <w:t>’État</w:t>
      </w:r>
      <w:r w:rsidRPr="008C2525">
        <w:rPr>
          <w:lang w:val="fr-FR"/>
        </w:rPr>
        <w:t xml:space="preserve"> partie envisage d</w:t>
      </w:r>
      <w:r>
        <w:rPr>
          <w:lang w:val="fr-FR"/>
        </w:rPr>
        <w:t>’</w:t>
      </w:r>
      <w:r w:rsidRPr="008C2525">
        <w:rPr>
          <w:lang w:val="fr-FR"/>
        </w:rPr>
        <w:t xml:space="preserve">établir un processus transparent et </w:t>
      </w:r>
      <w:r w:rsidRPr="008C2525">
        <w:rPr>
          <w:lang w:val="fr-FR" w:eastAsia="en-GB"/>
        </w:rPr>
        <w:t>participatif de sélection des membres du</w:t>
      </w:r>
      <w:r>
        <w:rPr>
          <w:lang w:val="fr-FR" w:eastAsia="en-GB"/>
        </w:rPr>
        <w:t>dit</w:t>
      </w:r>
      <w:r w:rsidRPr="008C2525">
        <w:rPr>
          <w:lang w:val="fr-FR" w:eastAsia="en-GB"/>
        </w:rPr>
        <w:t xml:space="preserve"> Comité, </w:t>
      </w:r>
      <w:r w:rsidRPr="008C2525">
        <w:rPr>
          <w:rFonts w:cstheme="minorHAnsi"/>
          <w:lang w:val="fr-FR"/>
        </w:rPr>
        <w:t>en évitant des conflits d</w:t>
      </w:r>
      <w:r>
        <w:rPr>
          <w:rFonts w:cstheme="minorHAnsi"/>
          <w:lang w:val="fr-FR"/>
        </w:rPr>
        <w:t>’</w:t>
      </w:r>
      <w:r w:rsidRPr="008C2525">
        <w:rPr>
          <w:rFonts w:cstheme="minorHAnsi"/>
          <w:lang w:val="fr-FR"/>
        </w:rPr>
        <w:t>intérêts</w:t>
      </w:r>
      <w:r w:rsidRPr="008C2525">
        <w:rPr>
          <w:lang w:val="fr-FR" w:eastAsia="en-GB"/>
        </w:rPr>
        <w:t xml:space="preserve">, et de </w:t>
      </w:r>
      <w:r w:rsidRPr="008C2525">
        <w:rPr>
          <w:lang w:val="fr-FR"/>
        </w:rPr>
        <w:t>garantir l</w:t>
      </w:r>
      <w:r>
        <w:rPr>
          <w:lang w:val="fr-FR"/>
        </w:rPr>
        <w:t>’</w:t>
      </w:r>
      <w:r w:rsidRPr="008C2525">
        <w:rPr>
          <w:lang w:val="fr-FR"/>
        </w:rPr>
        <w:t>autonomie financière et fonctionnelle de cette institution, en lui fournissant les ressources nécessaires et en lui permettant</w:t>
      </w:r>
      <w:r>
        <w:rPr>
          <w:lang w:val="fr-FR"/>
        </w:rPr>
        <w:t xml:space="preserve"> de nommer son propre personnel, comme l’a recommandé le S</w:t>
      </w:r>
      <w:r w:rsidRPr="00DE13CC">
        <w:rPr>
          <w:lang w:val="fr-FR"/>
        </w:rPr>
        <w:t>o</w:t>
      </w:r>
      <w:r>
        <w:rPr>
          <w:lang w:val="fr-FR"/>
        </w:rPr>
        <w:t xml:space="preserve">us-Comité d’accréditation </w:t>
      </w:r>
      <w:r w:rsidRPr="00DE13CC">
        <w:rPr>
          <w:lang w:val="fr-FR"/>
        </w:rPr>
        <w:t>de l</w:t>
      </w:r>
      <w:r>
        <w:rPr>
          <w:lang w:val="fr-FR"/>
        </w:rPr>
        <w:t>’</w:t>
      </w:r>
      <w:r w:rsidRPr="00DE13CC">
        <w:rPr>
          <w:lang w:val="fr-FR"/>
        </w:rPr>
        <w:t xml:space="preserve">Alliance </w:t>
      </w:r>
      <w:r>
        <w:rPr>
          <w:lang w:val="fr-FR"/>
        </w:rPr>
        <w:t>globale</w:t>
      </w:r>
      <w:r w:rsidRPr="00DE13CC">
        <w:rPr>
          <w:lang w:val="fr-FR"/>
        </w:rPr>
        <w:t xml:space="preserve"> des institutions nationale</w:t>
      </w:r>
      <w:r>
        <w:rPr>
          <w:lang w:val="fr-FR"/>
        </w:rPr>
        <w:t>s des droits de l’homme</w:t>
      </w:r>
      <w:r w:rsidRPr="007E387A">
        <w:rPr>
          <w:rStyle w:val="Appelnotedebasdep"/>
        </w:rPr>
        <w:footnoteReference w:id="22"/>
      </w:r>
      <w:r>
        <w:t>.</w:t>
      </w:r>
    </w:p>
    <w:p w14:paraId="44788284" w14:textId="57E09453" w:rsidR="00ED6917" w:rsidRPr="008C2525" w:rsidRDefault="00ED6917" w:rsidP="00ED6917">
      <w:pPr>
        <w:pStyle w:val="SingleTxtG"/>
      </w:pPr>
      <w:r w:rsidRPr="008C2525">
        <w:rPr>
          <w:lang w:val="fr-FR"/>
        </w:rPr>
        <w:t>8.</w:t>
      </w:r>
      <w:r w:rsidRPr="008C2525">
        <w:rPr>
          <w:lang w:val="fr-FR"/>
        </w:rPr>
        <w:tab/>
        <w:t>Eu égard aux précédentes observations finales du Comité (par.</w:t>
      </w:r>
      <w:r w:rsidR="00BD20F5">
        <w:rPr>
          <w:lang w:val="fr-FR"/>
        </w:rPr>
        <w:t> </w:t>
      </w:r>
      <w:r w:rsidRPr="008C2525">
        <w:rPr>
          <w:lang w:val="fr-FR"/>
        </w:rPr>
        <w:t>31 et 32)</w:t>
      </w:r>
      <w:r w:rsidRPr="007E387A">
        <w:rPr>
          <w:rStyle w:val="Appelnotedebasdep"/>
        </w:rPr>
        <w:footnoteReference w:id="23"/>
      </w:r>
      <w:r w:rsidRPr="008C2525">
        <w:t xml:space="preserve"> et aux renseignements reçus du Sénégal au sujet de la suite donnée </w:t>
      </w:r>
      <w:r>
        <w:t>à ces dernières</w:t>
      </w:r>
      <w:r w:rsidRPr="007E387A">
        <w:rPr>
          <w:rStyle w:val="Appelnotedebasdep"/>
        </w:rPr>
        <w:footnoteReference w:id="24"/>
      </w:r>
      <w:r w:rsidRPr="008C2525">
        <w:t xml:space="preserve"> constatant </w:t>
      </w:r>
      <w:r w:rsidRPr="008C2525">
        <w:rPr>
          <w:lang w:val="fr-FR"/>
        </w:rPr>
        <w:t xml:space="preserve">le </w:t>
      </w:r>
      <w:r w:rsidRPr="008C2525">
        <w:t>retrait de nombreux enfants de la rue et leur retour au milieu familial</w:t>
      </w:r>
      <w:r>
        <w:t>,</w:t>
      </w:r>
      <w:r w:rsidRPr="008C2525">
        <w:t xml:space="preserve"> clarifier si l</w:t>
      </w:r>
      <w:r>
        <w:t>’État</w:t>
      </w:r>
      <w:r w:rsidRPr="008C2525">
        <w:t xml:space="preserve"> partie envisage toujours d</w:t>
      </w:r>
      <w:r>
        <w:t>’</w:t>
      </w:r>
      <w:r w:rsidRPr="008C2525">
        <w:t xml:space="preserve">adopter le projet de loi relatif au statut </w:t>
      </w:r>
      <w:r>
        <w:t>des</w:t>
      </w:r>
      <w:r w:rsidRPr="008C2525">
        <w:t xml:space="preserve"> </w:t>
      </w:r>
      <w:r w:rsidRPr="006117CD">
        <w:t>daara</w:t>
      </w:r>
      <w:r>
        <w:t>s</w:t>
      </w:r>
      <w:r w:rsidRPr="00B92666">
        <w:t xml:space="preserve"> </w:t>
      </w:r>
      <w:r w:rsidRPr="008C2525">
        <w:t>(école</w:t>
      </w:r>
      <w:r>
        <w:t>s</w:t>
      </w:r>
      <w:r w:rsidRPr="008C2525">
        <w:t xml:space="preserve"> coranique</w:t>
      </w:r>
      <w:r>
        <w:t>s</w:t>
      </w:r>
      <w:r w:rsidRPr="008C2525">
        <w:t xml:space="preserve">), </w:t>
      </w:r>
      <w:r w:rsidRPr="008C2525">
        <w:rPr>
          <w:rFonts w:cstheme="minorHAnsi"/>
          <w:lang w:val="fr-FR"/>
        </w:rPr>
        <w:t>visant à accroître les contrôles dans ces établissements</w:t>
      </w:r>
      <w:r w:rsidRPr="007E387A">
        <w:rPr>
          <w:rStyle w:val="Appelnotedebasdep"/>
        </w:rPr>
        <w:footnoteReference w:id="25"/>
      </w:r>
      <w:r>
        <w:rPr>
          <w:rFonts w:cstheme="minorHAnsi"/>
        </w:rPr>
        <w:t>.</w:t>
      </w:r>
      <w:r w:rsidRPr="008C2525">
        <w:rPr>
          <w:rFonts w:cstheme="minorHAnsi"/>
          <w:lang w:val="fr-FR"/>
        </w:rPr>
        <w:t xml:space="preserve"> D</w:t>
      </w:r>
      <w:r w:rsidRPr="008C2525">
        <w:t>ans l</w:t>
      </w:r>
      <w:r>
        <w:t>’</w:t>
      </w:r>
      <w:r w:rsidRPr="008C2525">
        <w:t xml:space="preserve">affirmative, </w:t>
      </w:r>
      <w:r w:rsidRPr="008C2525">
        <w:rPr>
          <w:lang w:val="fr-FR" w:eastAsia="es-ES"/>
        </w:rPr>
        <w:t>indiquer si un calendrier a été arrêté pour son adoption</w:t>
      </w:r>
      <w:r w:rsidRPr="008C2525">
        <w:t>. Indiquer aussi les mesures prises entre</w:t>
      </w:r>
      <w:r>
        <w:t>-</w:t>
      </w:r>
      <w:r w:rsidRPr="008C2525">
        <w:t xml:space="preserve">temps pour établir un mécanisme spécifique </w:t>
      </w:r>
      <w:r w:rsidRPr="008C2525">
        <w:rPr>
          <w:lang w:val="fr-FR"/>
        </w:rPr>
        <w:t>de surveillance, d</w:t>
      </w:r>
      <w:r>
        <w:rPr>
          <w:lang w:val="fr-FR"/>
        </w:rPr>
        <w:t>’</w:t>
      </w:r>
      <w:r w:rsidRPr="008C2525">
        <w:rPr>
          <w:lang w:val="fr-FR"/>
        </w:rPr>
        <w:t xml:space="preserve">inspection efficace des </w:t>
      </w:r>
      <w:r w:rsidRPr="006117CD">
        <w:rPr>
          <w:iCs/>
          <w:lang w:val="fr-FR"/>
        </w:rPr>
        <w:t>daaras</w:t>
      </w:r>
      <w:r w:rsidRPr="008C2525">
        <w:rPr>
          <w:lang w:val="fr-FR"/>
        </w:rPr>
        <w:t xml:space="preserve"> et de suivi des enfants dans ces écoles, pour les protéger contre l</w:t>
      </w:r>
      <w:r>
        <w:rPr>
          <w:lang w:val="fr-FR"/>
        </w:rPr>
        <w:t>’</w:t>
      </w:r>
      <w:r w:rsidRPr="008C2525">
        <w:rPr>
          <w:lang w:val="fr-FR"/>
        </w:rPr>
        <w:t>insalubrité, l</w:t>
      </w:r>
      <w:r>
        <w:rPr>
          <w:lang w:val="fr-FR"/>
        </w:rPr>
        <w:t>’</w:t>
      </w:r>
      <w:r w:rsidRPr="008C2525">
        <w:rPr>
          <w:lang w:val="fr-FR"/>
        </w:rPr>
        <w:t>exploitation</w:t>
      </w:r>
      <w:r w:rsidRPr="00BD20F5">
        <w:rPr>
          <w:bCs/>
          <w:lang w:val="fr-FR"/>
        </w:rPr>
        <w:t xml:space="preserve"> </w:t>
      </w:r>
      <w:r w:rsidRPr="008C2525">
        <w:rPr>
          <w:lang w:val="fr-FR"/>
        </w:rPr>
        <w:t>et les mauvais traitements</w:t>
      </w:r>
      <w:r>
        <w:rPr>
          <w:lang w:val="fr-FR"/>
        </w:rPr>
        <w:t>,</w:t>
      </w:r>
      <w:r w:rsidRPr="008C2525">
        <w:rPr>
          <w:lang w:val="fr-FR"/>
        </w:rPr>
        <w:t xml:space="preserve"> et prévenir la récidive</w:t>
      </w:r>
      <w:r w:rsidRPr="007E387A">
        <w:rPr>
          <w:rStyle w:val="Appelnotedebasdep"/>
        </w:rPr>
        <w:footnoteReference w:id="26"/>
      </w:r>
      <w:r>
        <w:t>.</w:t>
      </w:r>
      <w:r w:rsidRPr="008C2525">
        <w:rPr>
          <w:lang w:val="fr-FR"/>
        </w:rPr>
        <w:t xml:space="preserve"> </w:t>
      </w:r>
      <w:r>
        <w:rPr>
          <w:lang w:val="fr-FR"/>
        </w:rPr>
        <w:t>En outre,</w:t>
      </w:r>
      <w:r w:rsidRPr="008C2525">
        <w:rPr>
          <w:lang w:val="fr-FR"/>
        </w:rPr>
        <w:t xml:space="preserve"> indiquer les mesures prises pour renforcer la coordination entre la police, les travailleurs sociaux et le pouvoir judiciaire</w:t>
      </w:r>
      <w:r>
        <w:rPr>
          <w:lang w:val="fr-FR"/>
        </w:rPr>
        <w:t>,</w:t>
      </w:r>
      <w:r w:rsidRPr="008C2525">
        <w:rPr>
          <w:lang w:val="fr-FR"/>
        </w:rPr>
        <w:t xml:space="preserve"> et mener des </w:t>
      </w:r>
      <w:r w:rsidRPr="008C2525">
        <w:rPr>
          <w:rFonts w:cstheme="minorHAnsi"/>
          <w:lang w:val="fr-FR"/>
        </w:rPr>
        <w:t xml:space="preserve">enquêtes efficaces </w:t>
      </w:r>
      <w:r w:rsidRPr="008C2525">
        <w:t>sur les marabouts qui ont forcé des enfants à mendier ou à commettre d</w:t>
      </w:r>
      <w:r>
        <w:t>’</w:t>
      </w:r>
      <w:r w:rsidRPr="008C2525">
        <w:t xml:space="preserve">autres abus, ainsi que sur </w:t>
      </w:r>
      <w:r w:rsidRPr="008C2525">
        <w:rPr>
          <w:rFonts w:cstheme="minorHAnsi"/>
          <w:lang w:val="fr-FR"/>
        </w:rPr>
        <w:t>ceux qui les ont maltraité</w:t>
      </w:r>
      <w:r>
        <w:rPr>
          <w:rFonts w:cstheme="minorHAnsi"/>
          <w:lang w:val="fr-FR"/>
        </w:rPr>
        <w:t>s</w:t>
      </w:r>
      <w:r w:rsidRPr="007E387A">
        <w:rPr>
          <w:rStyle w:val="Appelnotedebasdep"/>
        </w:rPr>
        <w:footnoteReference w:id="27"/>
      </w:r>
      <w:r>
        <w:rPr>
          <w:rFonts w:cstheme="minorHAnsi"/>
        </w:rPr>
        <w:t>.</w:t>
      </w:r>
      <w:r w:rsidRPr="008C2525">
        <w:t xml:space="preserve"> Clarifier</w:t>
      </w:r>
      <w:r w:rsidRPr="008C2525">
        <w:rPr>
          <w:lang w:val="fr-FR"/>
        </w:rPr>
        <w:t xml:space="preserve"> si l</w:t>
      </w:r>
      <w:r>
        <w:rPr>
          <w:lang w:val="fr-FR"/>
        </w:rPr>
        <w:t>’État</w:t>
      </w:r>
      <w:r w:rsidRPr="008C2525">
        <w:rPr>
          <w:lang w:val="fr-FR"/>
        </w:rPr>
        <w:t xml:space="preserve"> partie a adopté une procédure standardisée et des mécanismes de plainte confidentiels et indépendants contre</w:t>
      </w:r>
      <w:r w:rsidRPr="008C2525">
        <w:rPr>
          <w:spacing w:val="30"/>
          <w:lang w:val="fr-FR"/>
        </w:rPr>
        <w:t xml:space="preserve"> </w:t>
      </w:r>
      <w:r w:rsidRPr="008C2525">
        <w:rPr>
          <w:lang w:val="fr-FR"/>
        </w:rPr>
        <w:t xml:space="preserve">la violence et les abus en milieu scolaire dans toutes les </w:t>
      </w:r>
      <w:r>
        <w:rPr>
          <w:lang w:val="fr-FR"/>
        </w:rPr>
        <w:t>écoles du pays</w:t>
      </w:r>
      <w:r w:rsidRPr="007E387A">
        <w:rPr>
          <w:rStyle w:val="Appelnotedebasdep"/>
        </w:rPr>
        <w:footnoteReference w:id="28"/>
      </w:r>
      <w:r>
        <w:t>,</w:t>
      </w:r>
      <w:r w:rsidRPr="008C2525">
        <w:rPr>
          <w:lang w:val="fr-FR"/>
        </w:rPr>
        <w:t xml:space="preserve"> </w:t>
      </w:r>
      <w:r w:rsidRPr="008C2525">
        <w:rPr>
          <w:lang w:val="fr-FR"/>
        </w:rPr>
        <w:lastRenderedPageBreak/>
        <w:t>y</w:t>
      </w:r>
      <w:r w:rsidR="00635064">
        <w:rPr>
          <w:lang w:val="fr-FR"/>
        </w:rPr>
        <w:t> </w:t>
      </w:r>
      <w:r w:rsidRPr="008C2525">
        <w:rPr>
          <w:lang w:val="fr-FR"/>
        </w:rPr>
        <w:t xml:space="preserve">compris dans les </w:t>
      </w:r>
      <w:r w:rsidRPr="006117CD">
        <w:rPr>
          <w:iCs/>
          <w:lang w:val="fr-FR"/>
        </w:rPr>
        <w:t>daaras</w:t>
      </w:r>
      <w:r w:rsidRPr="008C2525">
        <w:rPr>
          <w:lang w:val="fr-FR"/>
        </w:rPr>
        <w:t>, afin de protéger l</w:t>
      </w:r>
      <w:r>
        <w:rPr>
          <w:lang w:val="fr-FR"/>
        </w:rPr>
        <w:t>’</w:t>
      </w:r>
      <w:r w:rsidRPr="008C2525">
        <w:rPr>
          <w:lang w:val="fr-FR"/>
        </w:rPr>
        <w:t xml:space="preserve">enfant victime contre la stigmatisation et les représailles. </w:t>
      </w:r>
      <w:r>
        <w:rPr>
          <w:lang w:val="fr-FR"/>
        </w:rPr>
        <w:t>I</w:t>
      </w:r>
      <w:r w:rsidRPr="008C2525">
        <w:rPr>
          <w:lang w:val="fr-FR"/>
        </w:rPr>
        <w:t xml:space="preserve">ndiquer </w:t>
      </w:r>
      <w:r>
        <w:rPr>
          <w:lang w:val="fr-FR"/>
        </w:rPr>
        <w:t xml:space="preserve">aussi </w:t>
      </w:r>
      <w:r w:rsidRPr="008C2525">
        <w:rPr>
          <w:lang w:val="fr-FR"/>
        </w:rPr>
        <w:t>l</w:t>
      </w:r>
      <w:r>
        <w:rPr>
          <w:lang w:val="fr-FR"/>
        </w:rPr>
        <w:t>’</w:t>
      </w:r>
      <w:r w:rsidRPr="008C2525">
        <w:rPr>
          <w:lang w:val="fr-FR"/>
        </w:rPr>
        <w:t>impact que les initiatives</w:t>
      </w:r>
      <w:r w:rsidRPr="008C2525">
        <w:rPr>
          <w:spacing w:val="18"/>
          <w:lang w:val="fr-FR"/>
        </w:rPr>
        <w:t xml:space="preserve"> </w:t>
      </w:r>
      <w:r w:rsidRPr="008C2525">
        <w:rPr>
          <w:lang w:val="fr-FR"/>
        </w:rPr>
        <w:t>prises</w:t>
      </w:r>
      <w:r w:rsidRPr="008C2525">
        <w:rPr>
          <w:spacing w:val="33"/>
          <w:lang w:val="fr-FR"/>
        </w:rPr>
        <w:t xml:space="preserve"> </w:t>
      </w:r>
      <w:r w:rsidRPr="008C2525">
        <w:rPr>
          <w:lang w:val="fr-FR"/>
        </w:rPr>
        <w:t>pour</w:t>
      </w:r>
      <w:r w:rsidRPr="008C2525">
        <w:rPr>
          <w:spacing w:val="31"/>
          <w:lang w:val="fr-FR"/>
        </w:rPr>
        <w:t xml:space="preserve"> </w:t>
      </w:r>
      <w:r w:rsidRPr="008C2525">
        <w:rPr>
          <w:lang w:val="fr-FR"/>
        </w:rPr>
        <w:t>lutter</w:t>
      </w:r>
      <w:r w:rsidRPr="008C2525">
        <w:rPr>
          <w:spacing w:val="33"/>
          <w:lang w:val="fr-FR"/>
        </w:rPr>
        <w:t xml:space="preserve"> </w:t>
      </w:r>
      <w:r w:rsidRPr="008C2525">
        <w:rPr>
          <w:lang w:val="fr-FR"/>
        </w:rPr>
        <w:t>contre</w:t>
      </w:r>
      <w:r w:rsidRPr="008C2525">
        <w:rPr>
          <w:spacing w:val="30"/>
          <w:lang w:val="fr-FR"/>
        </w:rPr>
        <w:t xml:space="preserve"> </w:t>
      </w:r>
      <w:r w:rsidRPr="008C2525">
        <w:rPr>
          <w:lang w:val="fr-FR"/>
        </w:rPr>
        <w:t>la</w:t>
      </w:r>
      <w:r w:rsidRPr="008C2525">
        <w:rPr>
          <w:spacing w:val="38"/>
          <w:lang w:val="fr-FR"/>
        </w:rPr>
        <w:t xml:space="preserve"> </w:t>
      </w:r>
      <w:r w:rsidRPr="008C2525">
        <w:rPr>
          <w:lang w:val="fr-FR"/>
        </w:rPr>
        <w:t>violence sexuelle</w:t>
      </w:r>
      <w:r w:rsidRPr="008C2525">
        <w:rPr>
          <w:spacing w:val="24"/>
          <w:lang w:val="fr-FR"/>
        </w:rPr>
        <w:t xml:space="preserve"> </w:t>
      </w:r>
      <w:r w:rsidRPr="008C2525">
        <w:rPr>
          <w:lang w:val="fr-FR"/>
        </w:rPr>
        <w:t>en</w:t>
      </w:r>
      <w:r w:rsidRPr="008C2525">
        <w:rPr>
          <w:spacing w:val="32"/>
          <w:lang w:val="fr-FR"/>
        </w:rPr>
        <w:t xml:space="preserve"> </w:t>
      </w:r>
      <w:r w:rsidRPr="008C2525">
        <w:rPr>
          <w:lang w:val="fr-FR"/>
        </w:rPr>
        <w:t>milieu</w:t>
      </w:r>
      <w:r w:rsidRPr="008C2525">
        <w:rPr>
          <w:spacing w:val="35"/>
          <w:lang w:val="fr-FR"/>
        </w:rPr>
        <w:t xml:space="preserve"> </w:t>
      </w:r>
      <w:r>
        <w:rPr>
          <w:lang w:val="fr-FR"/>
        </w:rPr>
        <w:t>scolaire</w:t>
      </w:r>
      <w:r w:rsidRPr="007E387A">
        <w:rPr>
          <w:rStyle w:val="Appelnotedebasdep"/>
        </w:rPr>
        <w:footnoteReference w:id="29"/>
      </w:r>
      <w:r>
        <w:t>,</w:t>
      </w:r>
      <w:r w:rsidRPr="008C2525">
        <w:rPr>
          <w:lang w:val="fr-FR"/>
        </w:rPr>
        <w:t xml:space="preserve"> majoritairemen</w:t>
      </w:r>
      <w:r>
        <w:rPr>
          <w:lang w:val="fr-FR"/>
        </w:rPr>
        <w:t>t à destination des enseignants</w:t>
      </w:r>
      <w:r w:rsidRPr="007E387A">
        <w:rPr>
          <w:rStyle w:val="Appelnotedebasdep"/>
        </w:rPr>
        <w:footnoteReference w:id="30"/>
      </w:r>
      <w:r>
        <w:t>,</w:t>
      </w:r>
      <w:r w:rsidRPr="008C2525">
        <w:rPr>
          <w:lang w:val="fr-FR"/>
        </w:rPr>
        <w:t xml:space="preserve"> a eu sur la prévalence de ce </w:t>
      </w:r>
      <w:r w:rsidRPr="008C2525">
        <w:rPr>
          <w:rFonts w:cstheme="minorHAnsi"/>
          <w:lang w:val="fr-FR"/>
        </w:rPr>
        <w:t>fléau</w:t>
      </w:r>
      <w:r w:rsidRPr="008C2525">
        <w:rPr>
          <w:lang w:val="fr-FR"/>
        </w:rPr>
        <w:t xml:space="preserve"> depuis 2018, et préciser si des campagnes destinées aux enfants et à leurs familles, plus ciblées sur la mendicité forcée et l</w:t>
      </w:r>
      <w:r>
        <w:rPr>
          <w:lang w:val="fr-FR"/>
        </w:rPr>
        <w:t>’</w:t>
      </w:r>
      <w:r w:rsidRPr="008C2525">
        <w:rPr>
          <w:lang w:val="fr-FR"/>
        </w:rPr>
        <w:t>abus sexuel des enfants dans les écoles, ont été organisées.</w:t>
      </w:r>
      <w:r w:rsidRPr="006117CD">
        <w:rPr>
          <w:bCs/>
          <w:lang w:val="fr-FR"/>
        </w:rPr>
        <w:t xml:space="preserve"> </w:t>
      </w:r>
      <w:r w:rsidRPr="008C2525">
        <w:rPr>
          <w:lang w:val="fr-FR" w:eastAsia="es-ES"/>
        </w:rPr>
        <w:t>I</w:t>
      </w:r>
      <w:r w:rsidRPr="008C2525">
        <w:rPr>
          <w:lang w:val="fr-FR"/>
        </w:rPr>
        <w:t xml:space="preserve">ndiquer </w:t>
      </w:r>
      <w:r>
        <w:rPr>
          <w:lang w:val="fr-FR"/>
        </w:rPr>
        <w:t>en outre</w:t>
      </w:r>
      <w:r w:rsidRPr="008C2525">
        <w:rPr>
          <w:lang w:val="fr-FR"/>
        </w:rPr>
        <w:t xml:space="preserve"> les mesures prises pour </w:t>
      </w:r>
      <w:r w:rsidRPr="008C2525">
        <w:rPr>
          <w:bCs/>
          <w:lang w:val="fr-FR"/>
        </w:rPr>
        <w:t>abroger toutes les dispositions autorisant les châtiments corporels, notamment l</w:t>
      </w:r>
      <w:r>
        <w:rPr>
          <w:bCs/>
          <w:lang w:val="fr-FR"/>
        </w:rPr>
        <w:t>’</w:t>
      </w:r>
      <w:r w:rsidRPr="008C2525">
        <w:rPr>
          <w:bCs/>
          <w:lang w:val="fr-FR"/>
        </w:rPr>
        <w:t>ar</w:t>
      </w:r>
      <w:r>
        <w:rPr>
          <w:bCs/>
          <w:lang w:val="fr-FR"/>
        </w:rPr>
        <w:t>ticle</w:t>
      </w:r>
      <w:r w:rsidR="00BD20F5">
        <w:rPr>
          <w:bCs/>
          <w:lang w:val="fr-FR"/>
        </w:rPr>
        <w:t> </w:t>
      </w:r>
      <w:r>
        <w:rPr>
          <w:bCs/>
          <w:lang w:val="fr-FR"/>
        </w:rPr>
        <w:t>285 du Code de la famille</w:t>
      </w:r>
      <w:r w:rsidRPr="007E387A">
        <w:rPr>
          <w:rStyle w:val="Appelnotedebasdep"/>
        </w:rPr>
        <w:footnoteReference w:id="31"/>
      </w:r>
      <w:r>
        <w:rPr>
          <w:bCs/>
        </w:rPr>
        <w:t>,</w:t>
      </w:r>
      <w:r w:rsidRPr="008C2525">
        <w:rPr>
          <w:bCs/>
          <w:lang w:val="fr-FR"/>
        </w:rPr>
        <w:t xml:space="preserve"> et</w:t>
      </w:r>
      <w:r w:rsidRPr="004F20FC">
        <w:rPr>
          <w:lang w:val="fr-FR"/>
        </w:rPr>
        <w:t xml:space="preserve"> </w:t>
      </w:r>
      <w:r w:rsidRPr="008C2525">
        <w:rPr>
          <w:lang w:val="fr-FR"/>
        </w:rPr>
        <w:t>interdire expressément les châtiments corporels en tout lieu</w:t>
      </w:r>
      <w:r w:rsidRPr="008C2525">
        <w:t>,</w:t>
      </w:r>
      <w:r w:rsidRPr="008C2525">
        <w:rPr>
          <w:lang w:val="fr-FR"/>
        </w:rPr>
        <w:t xml:space="preserve"> enquêter sur ces pratiques et mettre en place des programmes de sensibilisation quant à </w:t>
      </w:r>
      <w:r>
        <w:rPr>
          <w:lang w:val="fr-FR"/>
        </w:rPr>
        <w:t>leurs</w:t>
      </w:r>
      <w:r w:rsidRPr="008C2525">
        <w:rPr>
          <w:lang w:val="fr-FR"/>
        </w:rPr>
        <w:t xml:space="preserve"> effets préjudiciables. </w:t>
      </w:r>
      <w:r w:rsidRPr="008C2525">
        <w:rPr>
          <w:lang w:val="fr-FR" w:eastAsia="es-ES"/>
        </w:rPr>
        <w:t>Fournir, pour la période écoulée depuis 2018, des données statistiques ventilées par milieu dans lequel l</w:t>
      </w:r>
      <w:r>
        <w:rPr>
          <w:lang w:val="fr-FR" w:eastAsia="es-ES"/>
        </w:rPr>
        <w:t>’</w:t>
      </w:r>
      <w:r w:rsidRPr="008C2525">
        <w:rPr>
          <w:lang w:val="fr-FR" w:eastAsia="es-ES"/>
        </w:rPr>
        <w:t>infraction a eu lieu (</w:t>
      </w:r>
      <w:r w:rsidRPr="006117CD">
        <w:rPr>
          <w:iCs/>
          <w:lang w:val="fr-FR" w:eastAsia="es-ES"/>
        </w:rPr>
        <w:t>daaras</w:t>
      </w:r>
      <w:r w:rsidRPr="008C2525">
        <w:rPr>
          <w:lang w:val="fr-FR" w:eastAsia="es-ES"/>
        </w:rPr>
        <w:t xml:space="preserve">, </w:t>
      </w:r>
      <w:r>
        <w:rPr>
          <w:lang w:val="fr-FR" w:eastAsia="es-ES"/>
        </w:rPr>
        <w:t xml:space="preserve">milieu </w:t>
      </w:r>
      <w:r w:rsidRPr="008C2525">
        <w:rPr>
          <w:lang w:val="fr-FR" w:eastAsia="es-ES"/>
        </w:rPr>
        <w:t xml:space="preserve">scolaire, </w:t>
      </w:r>
      <w:r>
        <w:rPr>
          <w:lang w:val="fr-FR" w:eastAsia="es-ES"/>
        </w:rPr>
        <w:t xml:space="preserve">milieu </w:t>
      </w:r>
      <w:r w:rsidRPr="008C2525">
        <w:rPr>
          <w:lang w:val="fr-FR" w:eastAsia="es-ES"/>
        </w:rPr>
        <w:t xml:space="preserve">familial, </w:t>
      </w:r>
      <w:r>
        <w:rPr>
          <w:lang w:val="fr-FR" w:eastAsia="es-ES"/>
        </w:rPr>
        <w:t xml:space="preserve">zones </w:t>
      </w:r>
      <w:r w:rsidRPr="008C2525">
        <w:rPr>
          <w:lang w:val="fr-FR" w:eastAsia="es-ES"/>
        </w:rPr>
        <w:t>touristique</w:t>
      </w:r>
      <w:r>
        <w:rPr>
          <w:lang w:val="fr-FR" w:eastAsia="es-ES"/>
        </w:rPr>
        <w:t>s</w:t>
      </w:r>
      <w:r w:rsidRPr="007E387A">
        <w:rPr>
          <w:rStyle w:val="Appelnotedebasdep"/>
        </w:rPr>
        <w:footnoteReference w:id="32"/>
      </w:r>
      <w:r>
        <w:rPr>
          <w:lang w:eastAsia="es-ES"/>
        </w:rPr>
        <w:t>,</w:t>
      </w:r>
      <w:r w:rsidRPr="008C2525">
        <w:rPr>
          <w:lang w:val="fr-FR" w:eastAsia="es-ES"/>
        </w:rPr>
        <w:t xml:space="preserve"> zones aurifères</w:t>
      </w:r>
      <w:r w:rsidRPr="007E387A">
        <w:rPr>
          <w:rStyle w:val="Appelnotedebasdep"/>
        </w:rPr>
        <w:footnoteReference w:id="33"/>
      </w:r>
      <w:r>
        <w:rPr>
          <w:lang w:eastAsia="es-ES"/>
        </w:rPr>
        <w:t>,</w:t>
      </w:r>
      <w:r w:rsidRPr="008C2525">
        <w:rPr>
          <w:lang w:val="fr-FR" w:eastAsia="es-ES"/>
        </w:rPr>
        <w:t xml:space="preserve"> etc.) et sexe de la victime, sur la mendicité forcée, les mauvais traitements, les châtiments corporels, le harcèlement sexuel, et l</w:t>
      </w:r>
      <w:r>
        <w:rPr>
          <w:lang w:val="fr-FR" w:eastAsia="es-ES"/>
        </w:rPr>
        <w:t>’</w:t>
      </w:r>
      <w:r w:rsidRPr="008C2525">
        <w:rPr>
          <w:lang w:val="fr-FR" w:eastAsia="es-ES"/>
        </w:rPr>
        <w:t xml:space="preserve">exploitation ou traite et </w:t>
      </w:r>
      <w:r>
        <w:rPr>
          <w:lang w:val="fr-FR" w:eastAsia="es-ES"/>
        </w:rPr>
        <w:t>les abus sexuels des enfants</w:t>
      </w:r>
      <w:r w:rsidRPr="007E387A">
        <w:rPr>
          <w:rStyle w:val="Appelnotedebasdep"/>
        </w:rPr>
        <w:footnoteReference w:id="34"/>
      </w:r>
      <w:r>
        <w:rPr>
          <w:lang w:eastAsia="es-ES"/>
        </w:rPr>
        <w:t>,</w:t>
      </w:r>
      <w:r w:rsidRPr="008C2525">
        <w:rPr>
          <w:lang w:val="fr-FR" w:eastAsia="es-ES"/>
        </w:rPr>
        <w:t xml:space="preserve"> montrant le nombre de cas enregistrés, de plaintes déposées, d</w:t>
      </w:r>
      <w:r>
        <w:rPr>
          <w:lang w:val="fr-FR" w:eastAsia="es-ES"/>
        </w:rPr>
        <w:t>’</w:t>
      </w:r>
      <w:r w:rsidRPr="008C2525">
        <w:rPr>
          <w:lang w:val="fr-FR" w:eastAsia="es-ES"/>
        </w:rPr>
        <w:t>enquêtes et de poursuites engagées, de jugements et de condamnations prononcés, ainsi que les mesures de ré</w:t>
      </w:r>
      <w:r>
        <w:rPr>
          <w:lang w:val="fr-FR" w:eastAsia="es-ES"/>
        </w:rPr>
        <w:t>paration accordées aux victimes</w:t>
      </w:r>
      <w:r w:rsidRPr="007E387A">
        <w:rPr>
          <w:rStyle w:val="Appelnotedebasdep"/>
        </w:rPr>
        <w:footnoteReference w:id="35"/>
      </w:r>
      <w:r>
        <w:rPr>
          <w:lang w:eastAsia="es-ES"/>
        </w:rPr>
        <w:t>.</w:t>
      </w:r>
      <w:r w:rsidRPr="008C2525">
        <w:rPr>
          <w:lang w:val="fr-FR" w:eastAsia="es-ES"/>
        </w:rPr>
        <w:t xml:space="preserve"> </w:t>
      </w:r>
      <w:r w:rsidRPr="008C2525">
        <w:t xml:space="preserve">Indiquer notamment si des enquêtes ont été ouvertes, et leurs résultats, concernant : </w:t>
      </w:r>
      <w:r>
        <w:t>a</w:t>
      </w:r>
      <w:r w:rsidRPr="008C2525">
        <w:t>)</w:t>
      </w:r>
      <w:r w:rsidR="00635064">
        <w:t> </w:t>
      </w:r>
      <w:r w:rsidRPr="008C2525">
        <w:t>la mort d</w:t>
      </w:r>
      <w:r>
        <w:t>’</w:t>
      </w:r>
      <w:r w:rsidRPr="008C2525">
        <w:t>un garçon le 6</w:t>
      </w:r>
      <w:r w:rsidR="00635064">
        <w:t> </w:t>
      </w:r>
      <w:r w:rsidRPr="008C2525">
        <w:t xml:space="preserve">avril 2019, des </w:t>
      </w:r>
      <w:r w:rsidRPr="008C2525">
        <w:rPr>
          <w:lang w:val="fr-FR" w:eastAsia="es-ES"/>
        </w:rPr>
        <w:t>suites des coups qu</w:t>
      </w:r>
      <w:r>
        <w:rPr>
          <w:lang w:val="fr-FR" w:eastAsia="es-ES"/>
        </w:rPr>
        <w:t>’</w:t>
      </w:r>
      <w:r w:rsidRPr="008C2525">
        <w:rPr>
          <w:lang w:val="fr-FR" w:eastAsia="es-ES"/>
        </w:rPr>
        <w:t xml:space="preserve">il aurait reçus dans un </w:t>
      </w:r>
      <w:r w:rsidRPr="006117CD">
        <w:rPr>
          <w:iCs/>
          <w:lang w:val="fr-FR" w:eastAsia="es-ES"/>
        </w:rPr>
        <w:t>daara </w:t>
      </w:r>
      <w:r w:rsidRPr="006117CD">
        <w:rPr>
          <w:iCs/>
          <w:lang w:eastAsia="es-ES"/>
        </w:rPr>
        <w:t>;</w:t>
      </w:r>
      <w:r w:rsidRPr="006117CD">
        <w:rPr>
          <w:iCs/>
          <w:lang w:val="fr-FR" w:eastAsia="es-ES"/>
        </w:rPr>
        <w:t xml:space="preserve"> </w:t>
      </w:r>
      <w:r>
        <w:rPr>
          <w:iCs/>
          <w:lang w:val="fr-FR" w:eastAsia="es-ES"/>
        </w:rPr>
        <w:t xml:space="preserve">et </w:t>
      </w:r>
      <w:r>
        <w:rPr>
          <w:lang w:val="fr-FR" w:eastAsia="es-ES"/>
        </w:rPr>
        <w:t>b</w:t>
      </w:r>
      <w:r w:rsidRPr="008C2525">
        <w:rPr>
          <w:lang w:val="fr-FR" w:eastAsia="es-ES"/>
        </w:rPr>
        <w:t>)</w:t>
      </w:r>
      <w:r w:rsidR="00635064">
        <w:rPr>
          <w:lang w:val="fr-FR" w:eastAsia="es-ES"/>
        </w:rPr>
        <w:t> </w:t>
      </w:r>
      <w:r w:rsidRPr="008C2525">
        <w:rPr>
          <w:lang w:val="fr-FR" w:eastAsia="es-ES"/>
        </w:rPr>
        <w:t>l</w:t>
      </w:r>
      <w:r>
        <w:rPr>
          <w:lang w:val="fr-FR" w:eastAsia="es-ES"/>
        </w:rPr>
        <w:t>’</w:t>
      </w:r>
      <w:r w:rsidRPr="008C2525">
        <w:rPr>
          <w:lang w:val="fr-FR" w:eastAsia="es-ES"/>
        </w:rPr>
        <w:t>encha</w:t>
      </w:r>
      <w:r>
        <w:rPr>
          <w:lang w:val="fr-FR" w:eastAsia="es-ES"/>
        </w:rPr>
        <w:t>î</w:t>
      </w:r>
      <w:r w:rsidRPr="008C2525">
        <w:rPr>
          <w:lang w:val="fr-FR" w:eastAsia="es-ES"/>
        </w:rPr>
        <w:t>nement de cinq garçons retrouvés le 23</w:t>
      </w:r>
      <w:r w:rsidR="00635064">
        <w:rPr>
          <w:lang w:val="fr-FR" w:eastAsia="es-ES"/>
        </w:rPr>
        <w:t> </w:t>
      </w:r>
      <w:r w:rsidRPr="008C2525">
        <w:rPr>
          <w:lang w:val="fr-FR" w:eastAsia="es-ES"/>
        </w:rPr>
        <w:t xml:space="preserve">novembre 2019 dans un </w:t>
      </w:r>
      <w:r w:rsidRPr="006117CD">
        <w:rPr>
          <w:iCs/>
          <w:lang w:val="fr-FR" w:eastAsia="es-ES"/>
        </w:rPr>
        <w:t>daara</w:t>
      </w:r>
      <w:r>
        <w:rPr>
          <w:i/>
          <w:lang w:eastAsia="es-ES"/>
        </w:rPr>
        <w:t>.</w:t>
      </w:r>
    </w:p>
    <w:p w14:paraId="5E33DC3D" w14:textId="55636427" w:rsidR="00ED6917" w:rsidRPr="008C2525" w:rsidRDefault="00ED6917" w:rsidP="00ED6917">
      <w:pPr>
        <w:pStyle w:val="SingleTxtG"/>
      </w:pPr>
      <w:r w:rsidRPr="008C2525">
        <w:rPr>
          <w:lang w:val="fr-FR"/>
        </w:rPr>
        <w:t>9.</w:t>
      </w:r>
      <w:r w:rsidRPr="008C2525">
        <w:rPr>
          <w:lang w:val="fr-FR"/>
        </w:rPr>
        <w:tab/>
        <w:t>D</w:t>
      </w:r>
      <w:r w:rsidRPr="008C2525">
        <w:rPr>
          <w:lang w:val="fr-FR" w:eastAsia="es-ES"/>
        </w:rPr>
        <w:t xml:space="preserve">onner des renseignements sur les mesures prises pour lutter contre </w:t>
      </w:r>
      <w:r w:rsidRPr="008C2525">
        <w:t>toute forme de violence fondée sur le genre</w:t>
      </w:r>
      <w:r w:rsidRPr="007E387A">
        <w:rPr>
          <w:rStyle w:val="Appelnotedebasdep"/>
        </w:rPr>
        <w:footnoteReference w:id="36"/>
      </w:r>
      <w:r>
        <w:t>,</w:t>
      </w:r>
      <w:r w:rsidRPr="008C2525">
        <w:t xml:space="preserve"> en</w:t>
      </w:r>
      <w:r w:rsidRPr="008C2525">
        <w:rPr>
          <w:lang w:val="fr-FR" w:eastAsia="es-ES"/>
        </w:rPr>
        <w:t xml:space="preserve"> particulier </w:t>
      </w:r>
      <w:r w:rsidRPr="008C2525">
        <w:rPr>
          <w:lang w:val="fr-FR"/>
        </w:rPr>
        <w:t>lorsque des actes ou des omissions ont été commis par des agents de l</w:t>
      </w:r>
      <w:r>
        <w:rPr>
          <w:lang w:val="fr-FR"/>
        </w:rPr>
        <w:t>’</w:t>
      </w:r>
      <w:r w:rsidRPr="008C2525">
        <w:rPr>
          <w:lang w:val="fr-FR"/>
        </w:rPr>
        <w:t>État ou d</w:t>
      </w:r>
      <w:r>
        <w:rPr>
          <w:lang w:val="fr-FR"/>
        </w:rPr>
        <w:t>’</w:t>
      </w:r>
      <w:r w:rsidRPr="008C2525">
        <w:rPr>
          <w:lang w:val="fr-FR"/>
        </w:rPr>
        <w:t>autres personnes agissant au nom de l</w:t>
      </w:r>
      <w:r>
        <w:rPr>
          <w:lang w:val="fr-FR"/>
        </w:rPr>
        <w:t>’</w:t>
      </w:r>
      <w:r w:rsidRPr="008C2525">
        <w:rPr>
          <w:lang w:val="fr-FR"/>
        </w:rPr>
        <w:t>État, ou sur leurs instructions</w:t>
      </w:r>
      <w:r w:rsidRPr="008C2525">
        <w:rPr>
          <w:color w:val="000000"/>
        </w:rPr>
        <w:t xml:space="preserve">. </w:t>
      </w:r>
      <w:r w:rsidRPr="008C2525">
        <w:rPr>
          <w:lang w:val="fr-FR" w:eastAsia="es-ES"/>
        </w:rPr>
        <w:t>Fournir, pour la période écoulée depuis 2018, des données statistiques ventilées par type d</w:t>
      </w:r>
      <w:r>
        <w:rPr>
          <w:lang w:val="fr-FR" w:eastAsia="es-ES"/>
        </w:rPr>
        <w:t>’</w:t>
      </w:r>
      <w:r w:rsidRPr="008C2525">
        <w:rPr>
          <w:lang w:val="fr-FR" w:eastAsia="es-ES"/>
        </w:rPr>
        <w:t>infraction, groupe d</w:t>
      </w:r>
      <w:r>
        <w:rPr>
          <w:lang w:val="fr-FR" w:eastAsia="es-ES"/>
        </w:rPr>
        <w:t>’</w:t>
      </w:r>
      <w:r w:rsidRPr="008C2525">
        <w:rPr>
          <w:lang w:val="fr-FR" w:eastAsia="es-ES"/>
        </w:rPr>
        <w:t xml:space="preserve">âge (mineur/adulte), et origine ethnique ou nationalité de la victime, sur les violences </w:t>
      </w:r>
      <w:r w:rsidRPr="008C2525">
        <w:t>fondées sur le genre</w:t>
      </w:r>
      <w:r w:rsidRPr="008C2525">
        <w:rPr>
          <w:lang w:val="fr-FR" w:eastAsia="es-ES"/>
        </w:rPr>
        <w:t xml:space="preserve">, y compris </w:t>
      </w:r>
      <w:r w:rsidRPr="008C2525">
        <w:rPr>
          <w:lang w:val="fr-FR"/>
        </w:rPr>
        <w:t>la violence sexuelle</w:t>
      </w:r>
      <w:r w:rsidRPr="008C2525">
        <w:t xml:space="preserve"> et </w:t>
      </w:r>
      <w:r w:rsidRPr="008C2525">
        <w:rPr>
          <w:lang w:val="fr-FR" w:eastAsia="es-ES"/>
        </w:rPr>
        <w:t xml:space="preserve">le viol </w:t>
      </w:r>
      <w:r w:rsidRPr="008C2525">
        <w:rPr>
          <w:lang w:val="fr-FR"/>
        </w:rPr>
        <w:t>(en</w:t>
      </w:r>
      <w:r w:rsidR="00635064">
        <w:rPr>
          <w:lang w:val="fr-FR"/>
        </w:rPr>
        <w:t> </w:t>
      </w:r>
      <w:r w:rsidRPr="008C2525">
        <w:rPr>
          <w:lang w:val="fr-FR"/>
        </w:rPr>
        <w:t>dehors du milieu scolaire)</w:t>
      </w:r>
      <w:r w:rsidRPr="008C2525">
        <w:rPr>
          <w:lang w:val="fr-FR" w:eastAsia="es-ES"/>
        </w:rPr>
        <w:t xml:space="preserve">, </w:t>
      </w:r>
      <w:r>
        <w:rPr>
          <w:lang w:val="fr-FR" w:eastAsia="es-ES"/>
        </w:rPr>
        <w:t>la traite des personnes</w:t>
      </w:r>
      <w:r w:rsidRPr="007E387A">
        <w:rPr>
          <w:rStyle w:val="Appelnotedebasdep"/>
        </w:rPr>
        <w:footnoteReference w:id="37"/>
      </w:r>
      <w:r>
        <w:rPr>
          <w:lang w:eastAsia="es-ES"/>
        </w:rPr>
        <w:t>,</w:t>
      </w:r>
      <w:r w:rsidRPr="008C2525">
        <w:rPr>
          <w:lang w:val="fr-FR" w:eastAsia="es-ES"/>
        </w:rPr>
        <w:t xml:space="preserve"> ou </w:t>
      </w:r>
      <w:r w:rsidRPr="008C2525">
        <w:rPr>
          <w:spacing w:val="-2"/>
        </w:rPr>
        <w:t>les mutilations génitales féminines</w:t>
      </w:r>
      <w:r w:rsidRPr="007E387A">
        <w:rPr>
          <w:rStyle w:val="Appelnotedebasdep"/>
        </w:rPr>
        <w:footnoteReference w:id="38"/>
      </w:r>
      <w:r>
        <w:rPr>
          <w:spacing w:val="-2"/>
        </w:rPr>
        <w:t>,</w:t>
      </w:r>
      <w:r w:rsidRPr="008C2525">
        <w:rPr>
          <w:lang w:val="fr-FR" w:eastAsia="es-ES"/>
        </w:rPr>
        <w:t xml:space="preserve"> montrant le nombre de cas enregistrés, de plaintes déposées, d</w:t>
      </w:r>
      <w:r>
        <w:rPr>
          <w:lang w:val="fr-FR" w:eastAsia="es-ES"/>
        </w:rPr>
        <w:t>’</w:t>
      </w:r>
      <w:r w:rsidRPr="008C2525">
        <w:rPr>
          <w:lang w:val="fr-FR" w:eastAsia="es-ES"/>
        </w:rPr>
        <w:t>enquêtes et de poursuites engagées, de jugements et de condamnations prononcés, ainsi que les mesures de ré</w:t>
      </w:r>
      <w:r>
        <w:rPr>
          <w:lang w:val="fr-FR" w:eastAsia="es-ES"/>
        </w:rPr>
        <w:t>paration accordées aux victimes</w:t>
      </w:r>
      <w:r w:rsidRPr="007E387A">
        <w:rPr>
          <w:rStyle w:val="Appelnotedebasdep"/>
        </w:rPr>
        <w:footnoteReference w:id="39"/>
      </w:r>
      <w:r>
        <w:rPr>
          <w:lang w:eastAsia="es-ES"/>
        </w:rPr>
        <w:t>.</w:t>
      </w:r>
      <w:r w:rsidRPr="008C2525">
        <w:rPr>
          <w:lang w:val="fr-FR" w:eastAsia="es-ES"/>
        </w:rPr>
        <w:t xml:space="preserve"> </w:t>
      </w:r>
      <w:r w:rsidRPr="008C2525">
        <w:rPr>
          <w:lang w:val="fr-FR"/>
        </w:rPr>
        <w:t xml:space="preserve">Compte tenu de </w:t>
      </w:r>
      <w:r w:rsidRPr="008C2525">
        <w:rPr>
          <w:lang w:val="fr-FR" w:eastAsia="es-ES"/>
        </w:rPr>
        <w:t>l</w:t>
      </w:r>
      <w:r>
        <w:rPr>
          <w:lang w:val="fr-FR" w:eastAsia="es-ES"/>
        </w:rPr>
        <w:t>’</w:t>
      </w:r>
      <w:r w:rsidRPr="008C2525">
        <w:rPr>
          <w:lang w:val="fr-FR" w:eastAsia="es-ES"/>
        </w:rPr>
        <w:t>adoption de la loi n</w:t>
      </w:r>
      <w:r w:rsidR="00635064" w:rsidRPr="004F20FC">
        <w:rPr>
          <w:vertAlign w:val="superscript"/>
          <w:lang w:val="fr-FR" w:eastAsia="es-ES"/>
        </w:rPr>
        <w:t>o</w:t>
      </w:r>
      <w:r w:rsidR="00635064">
        <w:rPr>
          <w:lang w:val="fr-FR" w:eastAsia="es-ES"/>
        </w:rPr>
        <w:t> </w:t>
      </w:r>
      <w:r w:rsidRPr="008C2525">
        <w:rPr>
          <w:lang w:val="fr-FR" w:eastAsia="es-ES"/>
        </w:rPr>
        <w:t>2020-05</w:t>
      </w:r>
      <w:r w:rsidRPr="008C2525">
        <w:t xml:space="preserve">, qui augmente les peines pour </w:t>
      </w:r>
      <w:r w:rsidRPr="008C2525">
        <w:rPr>
          <w:lang w:val="fr-FR" w:eastAsia="es-ES"/>
        </w:rPr>
        <w:t>viol</w:t>
      </w:r>
      <w:r>
        <w:rPr>
          <w:lang w:val="fr-FR" w:eastAsia="es-ES"/>
        </w:rPr>
        <w:t>,</w:t>
      </w:r>
      <w:r w:rsidRPr="008C2525">
        <w:rPr>
          <w:lang w:val="fr-FR" w:eastAsia="es-ES"/>
        </w:rPr>
        <w:t xml:space="preserve"> c</w:t>
      </w:r>
      <w:r w:rsidRPr="008C2525">
        <w:rPr>
          <w:lang w:val="fr-FR"/>
        </w:rPr>
        <w:t>larifier s</w:t>
      </w:r>
      <w:r>
        <w:rPr>
          <w:lang w:val="fr-FR"/>
        </w:rPr>
        <w:t>’</w:t>
      </w:r>
      <w:r w:rsidRPr="008C2525">
        <w:rPr>
          <w:lang w:val="fr-FR"/>
        </w:rPr>
        <w:t>il est prévu de modifier davantage le Code pénal afin de garantir légalement</w:t>
      </w:r>
      <w:r w:rsidRPr="00BD20F5">
        <w:rPr>
          <w:bCs/>
        </w:rPr>
        <w:t xml:space="preserve"> </w:t>
      </w:r>
      <w:r w:rsidRPr="008C2525">
        <w:t>l</w:t>
      </w:r>
      <w:r>
        <w:t>’</w:t>
      </w:r>
      <w:r w:rsidRPr="008C2525">
        <w:t xml:space="preserve">accès effectif à </w:t>
      </w:r>
      <w:r w:rsidRPr="008C2525">
        <w:rPr>
          <w:lang w:val="fr-FR"/>
        </w:rPr>
        <w:t xml:space="preserve">une interruption volontaire de grossesse médicalisée, lorsque la vie de la femme ou de la jeune fille enceinte est en danger et lorsque </w:t>
      </w:r>
      <w:r w:rsidRPr="008C2525">
        <w:t>le fait de mener la grossesse à terme</w:t>
      </w:r>
      <w:r w:rsidRPr="00CE6835">
        <w:rPr>
          <w:bCs/>
        </w:rPr>
        <w:t xml:space="preserve"> </w:t>
      </w:r>
      <w:r w:rsidRPr="008C2525">
        <w:rPr>
          <w:lang w:val="fr-FR"/>
        </w:rPr>
        <w:t>pourrait causer une souffrance ou un préjudice grave à la femme ou à la jeune fille enceinte, notamment dans les cas où la grossesse résulte d</w:t>
      </w:r>
      <w:r>
        <w:rPr>
          <w:lang w:val="fr-FR"/>
        </w:rPr>
        <w:t>’</w:t>
      </w:r>
      <w:r w:rsidRPr="008C2525">
        <w:rPr>
          <w:lang w:val="fr-FR"/>
        </w:rPr>
        <w:t>un viol ou d</w:t>
      </w:r>
      <w:r>
        <w:rPr>
          <w:lang w:val="fr-FR"/>
        </w:rPr>
        <w:t>’</w:t>
      </w:r>
      <w:r w:rsidRPr="008C2525">
        <w:rPr>
          <w:lang w:val="fr-FR"/>
        </w:rPr>
        <w:t>un inceste ou lorsque la grossesse n</w:t>
      </w:r>
      <w:r>
        <w:rPr>
          <w:lang w:val="fr-FR"/>
        </w:rPr>
        <w:t>’</w:t>
      </w:r>
      <w:r w:rsidRPr="008C2525">
        <w:rPr>
          <w:lang w:val="fr-FR"/>
        </w:rPr>
        <w:t>est pas viable</w:t>
      </w:r>
      <w:r w:rsidRPr="007E387A">
        <w:rPr>
          <w:rStyle w:val="Appelnotedebasdep"/>
        </w:rPr>
        <w:footnoteReference w:id="40"/>
      </w:r>
      <w:r>
        <w:t>.</w:t>
      </w:r>
    </w:p>
    <w:p w14:paraId="06950BA5" w14:textId="61060BB3" w:rsidR="00ED6917" w:rsidRPr="00FE5FAB" w:rsidRDefault="00ED6917" w:rsidP="004F20FC">
      <w:pPr>
        <w:pStyle w:val="H23G"/>
        <w:rPr>
          <w:lang w:val="fr-FR"/>
        </w:rPr>
      </w:pPr>
      <w:r w:rsidRPr="008C2525">
        <w:rPr>
          <w:lang w:val="fr-FR"/>
        </w:rPr>
        <w:tab/>
      </w:r>
      <w:r w:rsidRPr="008C2525">
        <w:rPr>
          <w:lang w:val="fr-FR"/>
        </w:rPr>
        <w:tab/>
        <w:t>Article</w:t>
      </w:r>
      <w:r w:rsidR="00635064">
        <w:rPr>
          <w:lang w:val="fr-FR"/>
        </w:rPr>
        <w:t> </w:t>
      </w:r>
      <w:r w:rsidRPr="008C2525">
        <w:rPr>
          <w:lang w:val="fr-FR"/>
        </w:rPr>
        <w:t>3</w:t>
      </w:r>
    </w:p>
    <w:p w14:paraId="1EEC799B" w14:textId="3FFBC292" w:rsidR="00ED6917" w:rsidRPr="008C2525" w:rsidRDefault="00ED6917" w:rsidP="00ED6917">
      <w:pPr>
        <w:pStyle w:val="SingleTxtG"/>
        <w:rPr>
          <w:lang w:val="fr-FR"/>
        </w:rPr>
      </w:pPr>
      <w:r w:rsidRPr="008C2525">
        <w:rPr>
          <w:lang w:val="fr-FR"/>
        </w:rPr>
        <w:t>10.</w:t>
      </w:r>
      <w:r w:rsidRPr="008C2525">
        <w:rPr>
          <w:lang w:val="fr-FR"/>
        </w:rPr>
        <w:tab/>
        <w:t>Fournir des statistiques annuelles, pour la période écoulée depuis 2018, ventilées par sexe, pays d</w:t>
      </w:r>
      <w:r>
        <w:rPr>
          <w:lang w:val="fr-FR"/>
        </w:rPr>
        <w:t>’</w:t>
      </w:r>
      <w:r w:rsidRPr="008C2525">
        <w:rPr>
          <w:lang w:val="fr-FR"/>
        </w:rPr>
        <w:t>origine et groupe d</w:t>
      </w:r>
      <w:r>
        <w:rPr>
          <w:lang w:val="fr-FR"/>
        </w:rPr>
        <w:t>’</w:t>
      </w:r>
      <w:r w:rsidRPr="008C2525">
        <w:rPr>
          <w:lang w:val="fr-FR"/>
        </w:rPr>
        <w:t>âge (mineur/adulte) des personnes demandant l</w:t>
      </w:r>
      <w:r>
        <w:rPr>
          <w:lang w:val="fr-FR"/>
        </w:rPr>
        <w:t>’</w:t>
      </w:r>
      <w:r w:rsidRPr="008C2525">
        <w:rPr>
          <w:lang w:val="fr-FR"/>
        </w:rPr>
        <w:t>asile, sur</w:t>
      </w:r>
      <w:r w:rsidR="00635064">
        <w:rPr>
          <w:lang w:val="fr-FR"/>
        </w:rPr>
        <w:t> </w:t>
      </w:r>
      <w:r w:rsidRPr="008C2525">
        <w:rPr>
          <w:lang w:val="fr-FR"/>
        </w:rPr>
        <w:t>:</w:t>
      </w:r>
    </w:p>
    <w:p w14:paraId="7101FFC7" w14:textId="64840804" w:rsidR="00ED6917" w:rsidRPr="008C2525" w:rsidRDefault="00635064" w:rsidP="004F20FC">
      <w:pPr>
        <w:pStyle w:val="SingleTxtG"/>
        <w:ind w:firstLine="567"/>
        <w:rPr>
          <w:lang w:val="fr-FR"/>
        </w:rPr>
      </w:pPr>
      <w:r>
        <w:rPr>
          <w:lang w:val="fr-FR"/>
        </w:rPr>
        <w:t>a)</w:t>
      </w:r>
      <w:r>
        <w:rPr>
          <w:lang w:val="fr-FR"/>
        </w:rPr>
        <w:tab/>
      </w:r>
      <w:r w:rsidR="00ED6917" w:rsidRPr="008C2525">
        <w:rPr>
          <w:lang w:val="fr-FR"/>
        </w:rPr>
        <w:t>Le nombre de demandes d</w:t>
      </w:r>
      <w:r w:rsidR="00ED6917">
        <w:rPr>
          <w:lang w:val="fr-FR"/>
        </w:rPr>
        <w:t>’</w:t>
      </w:r>
      <w:r w:rsidR="00ED6917" w:rsidRPr="008C2525">
        <w:rPr>
          <w:lang w:val="fr-FR"/>
        </w:rPr>
        <w:t>asile enregistrées ;</w:t>
      </w:r>
    </w:p>
    <w:p w14:paraId="74BE78A4" w14:textId="66ED576F" w:rsidR="00ED6917" w:rsidRPr="008C2525" w:rsidRDefault="00635064" w:rsidP="004F20FC">
      <w:pPr>
        <w:pStyle w:val="SingleTxtG"/>
        <w:ind w:firstLine="567"/>
        <w:rPr>
          <w:lang w:val="fr-FR"/>
        </w:rPr>
      </w:pPr>
      <w:r>
        <w:rPr>
          <w:lang w:val="fr-FR"/>
        </w:rPr>
        <w:lastRenderedPageBreak/>
        <w:t>b)</w:t>
      </w:r>
      <w:r>
        <w:rPr>
          <w:lang w:val="fr-FR"/>
        </w:rPr>
        <w:tab/>
      </w:r>
      <w:r w:rsidR="00ED6917" w:rsidRPr="008C2525">
        <w:rPr>
          <w:lang w:val="fr-FR"/>
        </w:rPr>
        <w:t>Le nombre de demandes d</w:t>
      </w:r>
      <w:r w:rsidR="00ED6917">
        <w:rPr>
          <w:lang w:val="fr-FR"/>
        </w:rPr>
        <w:t>’</w:t>
      </w:r>
      <w:r w:rsidR="00ED6917" w:rsidRPr="008C2525">
        <w:rPr>
          <w:lang w:val="fr-FR"/>
        </w:rPr>
        <w:t>asile, de statut de réfugié ou d</w:t>
      </w:r>
      <w:r w:rsidR="00ED6917">
        <w:rPr>
          <w:lang w:val="fr-FR"/>
        </w:rPr>
        <w:t>’</w:t>
      </w:r>
      <w:r w:rsidR="00ED6917" w:rsidRPr="008C2525">
        <w:rPr>
          <w:lang w:val="fr-FR"/>
        </w:rPr>
        <w:t>autres formes de protection humanitaire acceptées, et le nombre de requérants dont la demande a été acceptée sur le fondement qu</w:t>
      </w:r>
      <w:r w:rsidR="00ED6917">
        <w:rPr>
          <w:lang w:val="fr-FR"/>
        </w:rPr>
        <w:t>’</w:t>
      </w:r>
      <w:r w:rsidR="00ED6917" w:rsidRPr="008C2525">
        <w:rPr>
          <w:lang w:val="fr-FR"/>
        </w:rPr>
        <w:t xml:space="preserve">ils avaient subi ou risquaient de subir </w:t>
      </w:r>
      <w:r w:rsidR="00ED6917">
        <w:rPr>
          <w:lang w:val="fr-FR"/>
        </w:rPr>
        <w:t xml:space="preserve">de </w:t>
      </w:r>
      <w:r w:rsidR="00ED6917" w:rsidRPr="008C2525">
        <w:rPr>
          <w:lang w:val="fr-FR"/>
        </w:rPr>
        <w:t>la torture en cas de renvoi ou d</w:t>
      </w:r>
      <w:r w:rsidR="00ED6917">
        <w:rPr>
          <w:lang w:val="fr-FR"/>
        </w:rPr>
        <w:t>’</w:t>
      </w:r>
      <w:r w:rsidR="00ED6917" w:rsidRPr="008C2525">
        <w:rPr>
          <w:lang w:val="fr-FR"/>
        </w:rPr>
        <w:t>expulsion ;</w:t>
      </w:r>
    </w:p>
    <w:p w14:paraId="4A271574" w14:textId="0CAEC242" w:rsidR="00ED6917" w:rsidRPr="008C2525" w:rsidRDefault="00635064" w:rsidP="004F20FC">
      <w:pPr>
        <w:pStyle w:val="SingleTxtG"/>
        <w:ind w:firstLine="567"/>
        <w:rPr>
          <w:lang w:val="fr-FR"/>
        </w:rPr>
      </w:pPr>
      <w:r>
        <w:rPr>
          <w:lang w:val="fr-FR"/>
        </w:rPr>
        <w:t>c)</w:t>
      </w:r>
      <w:r>
        <w:rPr>
          <w:lang w:val="fr-FR"/>
        </w:rPr>
        <w:tab/>
      </w:r>
      <w:r w:rsidR="00ED6917" w:rsidRPr="008C2525">
        <w:rPr>
          <w:lang w:val="fr-FR"/>
        </w:rPr>
        <w:t>Le nombre de personnes extradées, expulsées ou renvoyées ainsi que les pays vers lesquels elles l</w:t>
      </w:r>
      <w:r w:rsidR="00ED6917">
        <w:rPr>
          <w:lang w:val="fr-FR"/>
        </w:rPr>
        <w:t>’</w:t>
      </w:r>
      <w:r w:rsidR="00ED6917" w:rsidRPr="008C2525">
        <w:rPr>
          <w:lang w:val="fr-FR"/>
        </w:rPr>
        <w:t>ont été ;</w:t>
      </w:r>
    </w:p>
    <w:p w14:paraId="586ECFF1" w14:textId="194280DD" w:rsidR="00ED6917" w:rsidRPr="008C2525" w:rsidRDefault="00635064" w:rsidP="004F20FC">
      <w:pPr>
        <w:pStyle w:val="SingleTxtG"/>
        <w:ind w:firstLine="567"/>
        <w:rPr>
          <w:lang w:val="fr-FR"/>
        </w:rPr>
      </w:pPr>
      <w:r>
        <w:rPr>
          <w:lang w:val="fr-FR"/>
        </w:rPr>
        <w:t>d)</w:t>
      </w:r>
      <w:r>
        <w:rPr>
          <w:lang w:val="fr-FR"/>
        </w:rPr>
        <w:tab/>
      </w:r>
      <w:r w:rsidR="00ED6917" w:rsidRPr="008C2525">
        <w:rPr>
          <w:lang w:val="fr-FR"/>
        </w:rPr>
        <w:t>Le nombre de recours présentés contre des décisions d</w:t>
      </w:r>
      <w:r w:rsidR="00ED6917">
        <w:rPr>
          <w:lang w:val="fr-FR"/>
        </w:rPr>
        <w:t>’</w:t>
      </w:r>
      <w:r w:rsidR="00ED6917" w:rsidRPr="008C2525">
        <w:rPr>
          <w:lang w:val="fr-FR"/>
        </w:rPr>
        <w:t>expulsion et le nombre d</w:t>
      </w:r>
      <w:r w:rsidR="00ED6917">
        <w:rPr>
          <w:lang w:val="fr-FR"/>
        </w:rPr>
        <w:t>’</w:t>
      </w:r>
      <w:r w:rsidR="00ED6917" w:rsidRPr="008C2525">
        <w:rPr>
          <w:lang w:val="fr-FR"/>
        </w:rPr>
        <w:t>annulations de renvoi ou d</w:t>
      </w:r>
      <w:r w:rsidR="00ED6917">
        <w:rPr>
          <w:lang w:val="fr-FR"/>
        </w:rPr>
        <w:t>’</w:t>
      </w:r>
      <w:r w:rsidR="00ED6917" w:rsidRPr="008C2525">
        <w:rPr>
          <w:lang w:val="fr-FR"/>
        </w:rPr>
        <w:t xml:space="preserve">expulsion prononcées, le cas échéant, sur le fondement que les requérants avaient subi ou risquaient de subir </w:t>
      </w:r>
      <w:r w:rsidR="00ED6917">
        <w:rPr>
          <w:lang w:val="fr-FR"/>
        </w:rPr>
        <w:t xml:space="preserve">de </w:t>
      </w:r>
      <w:r w:rsidR="00ED6917" w:rsidRPr="008C2525">
        <w:rPr>
          <w:lang w:val="fr-FR"/>
        </w:rPr>
        <w:t>la torture en cas de renvoi ou d</w:t>
      </w:r>
      <w:r w:rsidR="00ED6917">
        <w:rPr>
          <w:lang w:val="fr-FR"/>
        </w:rPr>
        <w:t>’</w:t>
      </w:r>
      <w:r w:rsidR="00ED6917" w:rsidRPr="008C2525">
        <w:rPr>
          <w:lang w:val="fr-FR"/>
        </w:rPr>
        <w:t>expulsion.</w:t>
      </w:r>
    </w:p>
    <w:p w14:paraId="2E2C315C" w14:textId="2BA9F460" w:rsidR="00ED6917" w:rsidRPr="008C2525" w:rsidRDefault="00ED6917" w:rsidP="00ED6917">
      <w:pPr>
        <w:pStyle w:val="SingleTxtG"/>
        <w:rPr>
          <w:lang w:eastAsia="es-ES"/>
        </w:rPr>
      </w:pPr>
      <w:r w:rsidRPr="008C2525">
        <w:rPr>
          <w:lang w:val="fr-FR"/>
        </w:rPr>
        <w:t>11.</w:t>
      </w:r>
      <w:r w:rsidRPr="008C2525">
        <w:rPr>
          <w:lang w:val="fr-FR"/>
        </w:rPr>
        <w:tab/>
      </w:r>
      <w:r w:rsidRPr="008C2525">
        <w:t>Compte tenu des précédentes observations finales du Comité (par.</w:t>
      </w:r>
      <w:r w:rsidR="00635064">
        <w:t> </w:t>
      </w:r>
      <w:r w:rsidRPr="008C2525">
        <w:t xml:space="preserve">33 et 34), </w:t>
      </w:r>
      <w:r w:rsidRPr="008C2525">
        <w:rPr>
          <w:lang w:val="fr-FR"/>
        </w:rPr>
        <w:t xml:space="preserve">spécifier les mesures législatives prises ou en cours visant à modifier les </w:t>
      </w:r>
      <w:r w:rsidRPr="008C2525">
        <w:t>lois régissant l</w:t>
      </w:r>
      <w:r>
        <w:t>’</w:t>
      </w:r>
      <w:r w:rsidRPr="008C2525">
        <w:t>asile, l</w:t>
      </w:r>
      <w:r>
        <w:t>’</w:t>
      </w:r>
      <w:r w:rsidRPr="008C2525">
        <w:t>extradition et l</w:t>
      </w:r>
      <w:r>
        <w:t>’</w:t>
      </w:r>
      <w:r w:rsidRPr="008C2525">
        <w:t>expulsion de migrants sans papiers pour</w:t>
      </w:r>
      <w:r>
        <w:t xml:space="preserve"> que celles-ci </w:t>
      </w:r>
      <w:r w:rsidRPr="008C2525">
        <w:rPr>
          <w:lang w:val="fr-FR"/>
        </w:rPr>
        <w:t>: a)</w:t>
      </w:r>
      <w:r w:rsidR="00635064">
        <w:rPr>
          <w:lang w:val="fr-FR"/>
        </w:rPr>
        <w:t> </w:t>
      </w:r>
      <w:r w:rsidRPr="008C2525">
        <w:t>reconnaissent explicitement le principe de non-refoulement</w:t>
      </w:r>
      <w:r w:rsidRPr="00CE6835">
        <w:rPr>
          <w:bCs/>
        </w:rPr>
        <w:t xml:space="preserve"> </w:t>
      </w:r>
      <w:r w:rsidRPr="008C2525">
        <w:rPr>
          <w:lang w:val="fr-FR"/>
        </w:rPr>
        <w:t xml:space="preserve">sur la base du risque </w:t>
      </w:r>
      <w:r w:rsidRPr="008C2525">
        <w:t>d</w:t>
      </w:r>
      <w:r>
        <w:t>’</w:t>
      </w:r>
      <w:r w:rsidRPr="008C2525">
        <w:t>être soumis à la torture</w:t>
      </w:r>
      <w:r w:rsidRPr="007E387A">
        <w:rPr>
          <w:rStyle w:val="Appelnotedebasdep"/>
        </w:rPr>
        <w:footnoteReference w:id="41"/>
      </w:r>
      <w:r>
        <w:t> ; et</w:t>
      </w:r>
      <w:r w:rsidRPr="008C2525">
        <w:t xml:space="preserve"> b)</w:t>
      </w:r>
      <w:r w:rsidR="00635064">
        <w:t> </w:t>
      </w:r>
      <w:r>
        <w:rPr>
          <w:lang w:val="fr-FR"/>
        </w:rPr>
        <w:t>établissent</w:t>
      </w:r>
      <w:r w:rsidRPr="008C2525">
        <w:rPr>
          <w:lang w:val="fr-FR"/>
        </w:rPr>
        <w:t xml:space="preserve"> un recours juridictionnel </w:t>
      </w:r>
      <w:r>
        <w:rPr>
          <w:lang w:val="fr-FR"/>
        </w:rPr>
        <w:t>permettant de</w:t>
      </w:r>
      <w:r w:rsidRPr="008C2525">
        <w:rPr>
          <w:lang w:val="fr-FR"/>
        </w:rPr>
        <w:t xml:space="preserve"> faire appel de la décision d</w:t>
      </w:r>
      <w:r>
        <w:rPr>
          <w:lang w:val="fr-FR"/>
        </w:rPr>
        <w:t>’</w:t>
      </w:r>
      <w:r w:rsidRPr="008C2525">
        <w:rPr>
          <w:lang w:val="fr-FR"/>
        </w:rPr>
        <w:t>expulsion avec effet suspensif automatique, devant un tribunal ayant compétence pour examiner le bien-fondé de l</w:t>
      </w:r>
      <w:r>
        <w:rPr>
          <w:lang w:val="fr-FR"/>
        </w:rPr>
        <w:t>’</w:t>
      </w:r>
      <w:r w:rsidRPr="008C2525">
        <w:rPr>
          <w:lang w:val="fr-FR"/>
        </w:rPr>
        <w:t xml:space="preserve">appel. Indiquer aussi les mesures prises pour </w:t>
      </w:r>
      <w:r w:rsidRPr="008C2525">
        <w:t xml:space="preserve">accélérer la procédure de détermination du statut de réfugié </w:t>
      </w:r>
      <w:r w:rsidRPr="008C2525">
        <w:rPr>
          <w:rFonts w:cstheme="minorHAnsi"/>
          <w:lang w:val="fr-FR"/>
        </w:rPr>
        <w:t xml:space="preserve">devant la Commission </w:t>
      </w:r>
      <w:r>
        <w:rPr>
          <w:rFonts w:cstheme="minorHAnsi"/>
          <w:lang w:val="fr-FR"/>
        </w:rPr>
        <w:t>n</w:t>
      </w:r>
      <w:r w:rsidRPr="008C2525">
        <w:rPr>
          <w:rFonts w:cstheme="minorHAnsi"/>
          <w:lang w:val="fr-FR"/>
        </w:rPr>
        <w:t>ationale d</w:t>
      </w:r>
      <w:r>
        <w:rPr>
          <w:rFonts w:cstheme="minorHAnsi"/>
          <w:lang w:val="fr-FR"/>
        </w:rPr>
        <w:t>’é</w:t>
      </w:r>
      <w:r w:rsidRPr="008C2525">
        <w:rPr>
          <w:rFonts w:cstheme="minorHAnsi"/>
          <w:lang w:val="fr-FR"/>
        </w:rPr>
        <w:t>ligibilité</w:t>
      </w:r>
      <w:r w:rsidRPr="007E387A">
        <w:rPr>
          <w:rStyle w:val="Appelnotedebasdep"/>
        </w:rPr>
        <w:footnoteReference w:id="42"/>
      </w:r>
      <w:r>
        <w:rPr>
          <w:rFonts w:cstheme="minorHAnsi"/>
        </w:rPr>
        <w:t>.</w:t>
      </w:r>
      <w:r w:rsidRPr="008C2525">
        <w:rPr>
          <w:rFonts w:cstheme="minorHAnsi"/>
          <w:lang w:val="fr-FR"/>
        </w:rPr>
        <w:t xml:space="preserve"> </w:t>
      </w:r>
      <w:r w:rsidRPr="008C2525">
        <w:t xml:space="preserve">Clarifier </w:t>
      </w:r>
      <w:r w:rsidRPr="008C2525">
        <w:rPr>
          <w:lang w:val="fr-FR"/>
        </w:rPr>
        <w:t>si les personnes visées par une mesure d</w:t>
      </w:r>
      <w:r>
        <w:rPr>
          <w:lang w:val="fr-FR"/>
        </w:rPr>
        <w:t>’</w:t>
      </w:r>
      <w:r w:rsidRPr="008C2525">
        <w:rPr>
          <w:lang w:val="fr-FR"/>
        </w:rPr>
        <w:t>expulsion, de renvoi ou d</w:t>
      </w:r>
      <w:r>
        <w:rPr>
          <w:lang w:val="fr-FR"/>
        </w:rPr>
        <w:t>’</w:t>
      </w:r>
      <w:r w:rsidRPr="008C2525">
        <w:rPr>
          <w:lang w:val="fr-FR"/>
        </w:rPr>
        <w:t>extradition sont informées de leur droit de demander l</w:t>
      </w:r>
      <w:r>
        <w:rPr>
          <w:lang w:val="fr-FR"/>
        </w:rPr>
        <w:t>’</w:t>
      </w:r>
      <w:r w:rsidRPr="008C2525">
        <w:rPr>
          <w:lang w:val="fr-FR"/>
        </w:rPr>
        <w:t>asile ou d</w:t>
      </w:r>
      <w:r>
        <w:rPr>
          <w:lang w:val="fr-FR"/>
        </w:rPr>
        <w:t>’</w:t>
      </w:r>
      <w:r w:rsidRPr="008C2525">
        <w:rPr>
          <w:lang w:val="fr-FR"/>
        </w:rPr>
        <w:t>autres formes de protection humanitaire acceptées. Expliquer comment l</w:t>
      </w:r>
      <w:r>
        <w:rPr>
          <w:lang w:val="fr-FR"/>
        </w:rPr>
        <w:t>’</w:t>
      </w:r>
      <w:r w:rsidRPr="008C2525">
        <w:rPr>
          <w:lang w:val="fr-FR"/>
        </w:rPr>
        <w:t>État partie garantit l</w:t>
      </w:r>
      <w:r>
        <w:rPr>
          <w:lang w:val="fr-FR"/>
        </w:rPr>
        <w:t>’</w:t>
      </w:r>
      <w:r w:rsidRPr="008C2525">
        <w:rPr>
          <w:lang w:val="fr-FR"/>
        </w:rPr>
        <w:t>accès des demandeurs d</w:t>
      </w:r>
      <w:r>
        <w:rPr>
          <w:lang w:val="fr-FR"/>
        </w:rPr>
        <w:t>’</w:t>
      </w:r>
      <w:r w:rsidRPr="008C2525">
        <w:rPr>
          <w:lang w:val="fr-FR"/>
        </w:rPr>
        <w:t>asile à des services d</w:t>
      </w:r>
      <w:r>
        <w:rPr>
          <w:lang w:val="fr-FR"/>
        </w:rPr>
        <w:t>’</w:t>
      </w:r>
      <w:r w:rsidRPr="008C2525">
        <w:rPr>
          <w:lang w:val="fr-FR"/>
        </w:rPr>
        <w:t>aide juridictionnelle et d</w:t>
      </w:r>
      <w:r>
        <w:rPr>
          <w:lang w:val="fr-FR"/>
        </w:rPr>
        <w:t>’</w:t>
      </w:r>
      <w:r w:rsidRPr="008C2525">
        <w:rPr>
          <w:lang w:val="fr-FR"/>
        </w:rPr>
        <w:t>interprétation</w:t>
      </w:r>
      <w:r w:rsidRPr="008C2525">
        <w:t xml:space="preserve">. </w:t>
      </w:r>
      <w:r w:rsidRPr="008C2525">
        <w:rPr>
          <w:lang w:eastAsia="es-ES"/>
        </w:rPr>
        <w:t>Décrire les dispositifs ou protocoles qui permettent de repérer parmi les demandeurs d</w:t>
      </w:r>
      <w:r>
        <w:rPr>
          <w:lang w:eastAsia="es-ES"/>
        </w:rPr>
        <w:t>’</w:t>
      </w:r>
      <w:r w:rsidRPr="008C2525">
        <w:rPr>
          <w:lang w:eastAsia="es-ES"/>
        </w:rPr>
        <w:t>asile les personnes en situation de vulnérabilité, y compris les victimes de torture, de traite ou de violence fondée sur le genre, ainsi que les mineurs non accompagnés ou séparés de leur famille, et de les orienter sans délai vers les services appropriés. Préciser si ces dispositifs prévoient un examen médical indépendant.</w:t>
      </w:r>
    </w:p>
    <w:p w14:paraId="706E63F8" w14:textId="77777777" w:rsidR="00ED6917" w:rsidRPr="008C2525" w:rsidRDefault="00ED6917" w:rsidP="00ED6917">
      <w:pPr>
        <w:pStyle w:val="SingleTxtG"/>
      </w:pPr>
      <w:r w:rsidRPr="008C2525">
        <w:t>12.</w:t>
      </w:r>
      <w:r w:rsidRPr="008C2525">
        <w:tab/>
      </w:r>
      <w:r w:rsidRPr="008C2525">
        <w:rPr>
          <w:lang w:val="fr-FR"/>
        </w:rPr>
        <w:t>Indiquer le nombre de renvois, d</w:t>
      </w:r>
      <w:r>
        <w:rPr>
          <w:lang w:val="fr-FR"/>
        </w:rPr>
        <w:t>’</w:t>
      </w:r>
      <w:r w:rsidRPr="008C2525">
        <w:rPr>
          <w:lang w:val="fr-FR"/>
        </w:rPr>
        <w:t>extraditions et d</w:t>
      </w:r>
      <w:r>
        <w:rPr>
          <w:lang w:val="fr-FR"/>
        </w:rPr>
        <w:t>’</w:t>
      </w:r>
      <w:r w:rsidRPr="008C2525">
        <w:rPr>
          <w:lang w:val="fr-FR"/>
        </w:rPr>
        <w:t>expulsions auxquels l</w:t>
      </w:r>
      <w:r>
        <w:rPr>
          <w:lang w:val="fr-FR"/>
        </w:rPr>
        <w:t>’</w:t>
      </w:r>
      <w:r w:rsidRPr="008C2525">
        <w:rPr>
          <w:lang w:val="fr-FR"/>
        </w:rPr>
        <w:t>État partie a procédé depuis 2018 après avoir reçu des assurances diplomatiques, et préciser les cas où il a lui-même offert de telles assurances ou garanties. Préciser le minimum exigé pour ces assurances et garanties diplomatiques, offertes ou reçues, et les dispositions qui ont été prises pour surveiller le respect de ces assurances dans les cas en question.</w:t>
      </w:r>
    </w:p>
    <w:p w14:paraId="55FE2138" w14:textId="3210D9D2" w:rsidR="00ED6917" w:rsidRPr="008C2525" w:rsidRDefault="00ED6917" w:rsidP="004F20FC">
      <w:pPr>
        <w:pStyle w:val="H23G"/>
        <w:rPr>
          <w:lang w:val="fr-FR"/>
        </w:rPr>
      </w:pPr>
      <w:r w:rsidRPr="008C2525">
        <w:rPr>
          <w:lang w:val="fr-FR"/>
        </w:rPr>
        <w:tab/>
      </w:r>
      <w:r w:rsidRPr="008C2525">
        <w:rPr>
          <w:lang w:val="fr-FR"/>
        </w:rPr>
        <w:tab/>
        <w:t>Articles</w:t>
      </w:r>
      <w:r w:rsidR="00635064">
        <w:rPr>
          <w:lang w:val="fr-FR"/>
        </w:rPr>
        <w:t> </w:t>
      </w:r>
      <w:r w:rsidRPr="008C2525">
        <w:rPr>
          <w:lang w:val="fr-FR"/>
        </w:rPr>
        <w:t>5 à 9</w:t>
      </w:r>
    </w:p>
    <w:p w14:paraId="114D5290" w14:textId="15C2D266" w:rsidR="00ED6917" w:rsidRPr="008C2525" w:rsidRDefault="00ED6917" w:rsidP="00ED6917">
      <w:pPr>
        <w:pStyle w:val="SingleTxtG"/>
      </w:pPr>
      <w:r w:rsidRPr="008C2525">
        <w:rPr>
          <w:lang w:val="fr-FR"/>
        </w:rPr>
        <w:t>13.</w:t>
      </w:r>
      <w:r w:rsidRPr="008C2525">
        <w:rPr>
          <w:lang w:val="fr-FR"/>
        </w:rPr>
        <w:tab/>
      </w:r>
      <w:r>
        <w:t>I</w:t>
      </w:r>
      <w:r w:rsidRPr="008C2525">
        <w:t xml:space="preserve">ndiquer si, depuis </w:t>
      </w:r>
      <w:r>
        <w:t>que le Comité a examiné le précédent rapport de</w:t>
      </w:r>
      <w:r w:rsidRPr="008C2525">
        <w:t xml:space="preserve"> l</w:t>
      </w:r>
      <w:r>
        <w:t>’</w:t>
      </w:r>
      <w:r w:rsidRPr="008C2525">
        <w:t>État partie</w:t>
      </w:r>
      <w:r>
        <w:t>,</w:t>
      </w:r>
      <w:r w:rsidRPr="008C2525">
        <w:t xml:space="preserve"> </w:t>
      </w:r>
      <w:r>
        <w:t>celui</w:t>
      </w:r>
      <w:r w:rsidR="00CE6835">
        <w:noBreakHyphen/>
      </w:r>
      <w:r>
        <w:t xml:space="preserve">ci </w:t>
      </w:r>
      <w:r w:rsidRPr="008C2525">
        <w:t xml:space="preserve">a rejeté, pour quelque </w:t>
      </w:r>
      <w:r>
        <w:t>raison</w:t>
      </w:r>
      <w:r w:rsidRPr="008C2525">
        <w:t xml:space="preserve"> que ce soit, une demande </w:t>
      </w:r>
      <w:r>
        <w:t>émanant d’un État en vue de l’extradition d’</w:t>
      </w:r>
      <w:r w:rsidRPr="008C2525">
        <w:t>une personne soupçonnée d</w:t>
      </w:r>
      <w:r>
        <w:t>’</w:t>
      </w:r>
      <w:r w:rsidRPr="008C2525">
        <w:t xml:space="preserve">avoir commis </w:t>
      </w:r>
      <w:r>
        <w:t>des</w:t>
      </w:r>
      <w:r w:rsidRPr="008C2525">
        <w:t xml:space="preserve"> acte</w:t>
      </w:r>
      <w:r>
        <w:t>s</w:t>
      </w:r>
      <w:r w:rsidRPr="008C2525">
        <w:t xml:space="preserve"> de torture et s</w:t>
      </w:r>
      <w:r>
        <w:t>’</w:t>
      </w:r>
      <w:r w:rsidRPr="008C2525">
        <w:t xml:space="preserve">il a par </w:t>
      </w:r>
      <w:r>
        <w:t>conséquent engagé des poursuites contre cette personne</w:t>
      </w:r>
      <w:r w:rsidRPr="008C2525">
        <w:t xml:space="preserve">. </w:t>
      </w:r>
      <w:r w:rsidRPr="008C2525">
        <w:rPr>
          <w:lang w:val="fr-FR"/>
        </w:rPr>
        <w:t>Dans l</w:t>
      </w:r>
      <w:r>
        <w:rPr>
          <w:lang w:val="fr-FR"/>
        </w:rPr>
        <w:t>’</w:t>
      </w:r>
      <w:r w:rsidRPr="008C2525">
        <w:rPr>
          <w:lang w:val="fr-FR"/>
        </w:rPr>
        <w:t>affirmative, fournir des informations sur l</w:t>
      </w:r>
      <w:r>
        <w:rPr>
          <w:lang w:val="fr-FR"/>
        </w:rPr>
        <w:t>’</w:t>
      </w:r>
      <w:r w:rsidRPr="008C2525">
        <w:rPr>
          <w:lang w:val="fr-FR"/>
        </w:rPr>
        <w:t>état d</w:t>
      </w:r>
      <w:r>
        <w:rPr>
          <w:lang w:val="fr-FR"/>
        </w:rPr>
        <w:t>’</w:t>
      </w:r>
      <w:r w:rsidRPr="008C2525">
        <w:rPr>
          <w:lang w:val="fr-FR"/>
        </w:rPr>
        <w:t>avancement de la procédure</w:t>
      </w:r>
      <w:r>
        <w:rPr>
          <w:lang w:val="fr-FR"/>
        </w:rPr>
        <w:t xml:space="preserve"> et sur l’issue de celle-ci</w:t>
      </w:r>
      <w:r w:rsidRPr="008C2525">
        <w:rPr>
          <w:lang w:val="fr-FR"/>
        </w:rPr>
        <w:t>.</w:t>
      </w:r>
      <w:r w:rsidRPr="008C2525">
        <w:rPr>
          <w:lang w:eastAsia="es-ES"/>
        </w:rPr>
        <w:t xml:space="preserve"> Donner également des renseignements sur les cas dans lesquels l</w:t>
      </w:r>
      <w:r>
        <w:rPr>
          <w:lang w:eastAsia="es-ES"/>
        </w:rPr>
        <w:t>’</w:t>
      </w:r>
      <w:r w:rsidRPr="008C2525">
        <w:rPr>
          <w:lang w:eastAsia="es-ES"/>
        </w:rPr>
        <w:t>État partie a accepté la demande d</w:t>
      </w:r>
      <w:r>
        <w:rPr>
          <w:lang w:eastAsia="es-ES"/>
        </w:rPr>
        <w:t>’</w:t>
      </w:r>
      <w:r w:rsidRPr="008C2525">
        <w:rPr>
          <w:lang w:eastAsia="es-ES"/>
        </w:rPr>
        <w:t xml:space="preserve">extradition pour des faits de torture et des infractions connexes. </w:t>
      </w:r>
      <w:r w:rsidRPr="008C2525">
        <w:rPr>
          <w:lang w:val="fr-FR"/>
        </w:rPr>
        <w:t>Indiquer si la torture et les infractions connexes visées à l</w:t>
      </w:r>
      <w:r>
        <w:rPr>
          <w:lang w:val="fr-FR"/>
        </w:rPr>
        <w:t>’</w:t>
      </w:r>
      <w:r w:rsidRPr="008C2525">
        <w:rPr>
          <w:lang w:val="fr-FR"/>
        </w:rPr>
        <w:t>article 4 de la Convention figurent dans les traités d</w:t>
      </w:r>
      <w:r>
        <w:rPr>
          <w:lang w:val="fr-FR"/>
        </w:rPr>
        <w:t>’</w:t>
      </w:r>
      <w:r w:rsidRPr="008C2525">
        <w:rPr>
          <w:lang w:val="fr-FR"/>
        </w:rPr>
        <w:t>extradition conclus avec d</w:t>
      </w:r>
      <w:r>
        <w:rPr>
          <w:lang w:val="fr-FR"/>
        </w:rPr>
        <w:t>’</w:t>
      </w:r>
      <w:r w:rsidRPr="008C2525">
        <w:rPr>
          <w:lang w:val="fr-FR"/>
        </w:rPr>
        <w:t>autres États parties. Préciser quels traités ou accords d</w:t>
      </w:r>
      <w:r>
        <w:rPr>
          <w:lang w:val="fr-FR"/>
        </w:rPr>
        <w:t>’</w:t>
      </w:r>
      <w:r w:rsidRPr="008C2525">
        <w:rPr>
          <w:lang w:val="fr-FR"/>
        </w:rPr>
        <w:t>entraide judiciaire l</w:t>
      </w:r>
      <w:r>
        <w:rPr>
          <w:lang w:val="fr-FR"/>
        </w:rPr>
        <w:t>’</w:t>
      </w:r>
      <w:r w:rsidRPr="008C2525">
        <w:rPr>
          <w:lang w:val="fr-FR"/>
        </w:rPr>
        <w:t>État partie a signés avec d</w:t>
      </w:r>
      <w:r>
        <w:rPr>
          <w:lang w:val="fr-FR"/>
        </w:rPr>
        <w:t>’</w:t>
      </w:r>
      <w:r w:rsidRPr="008C2525">
        <w:rPr>
          <w:lang w:val="fr-FR"/>
        </w:rPr>
        <w:t>autres entités, qu</w:t>
      </w:r>
      <w:r>
        <w:rPr>
          <w:lang w:val="fr-FR"/>
        </w:rPr>
        <w:t>’</w:t>
      </w:r>
      <w:r w:rsidRPr="008C2525">
        <w:rPr>
          <w:lang w:val="fr-FR"/>
        </w:rPr>
        <w:t>il s</w:t>
      </w:r>
      <w:r>
        <w:rPr>
          <w:lang w:val="fr-FR"/>
        </w:rPr>
        <w:t>’</w:t>
      </w:r>
      <w:r w:rsidRPr="008C2525">
        <w:rPr>
          <w:lang w:val="fr-FR"/>
        </w:rPr>
        <w:t>agisse d</w:t>
      </w:r>
      <w:r>
        <w:rPr>
          <w:lang w:val="fr-FR"/>
        </w:rPr>
        <w:t>’</w:t>
      </w:r>
      <w:r w:rsidRPr="008C2525">
        <w:rPr>
          <w:lang w:val="fr-FR"/>
        </w:rPr>
        <w:t>États, de tribunaux internationaux ou d</w:t>
      </w:r>
      <w:r>
        <w:rPr>
          <w:lang w:val="fr-FR"/>
        </w:rPr>
        <w:t>’</w:t>
      </w:r>
      <w:r w:rsidRPr="008C2525">
        <w:rPr>
          <w:lang w:val="fr-FR"/>
        </w:rPr>
        <w:t>institutions internationales, et indiquer si ces traités ou accords ont donné lieu, en pratique, à la communication de preuves dans le cadre de poursuites pour torture ou mauvais traitements. Donner des exemples.</w:t>
      </w:r>
    </w:p>
    <w:p w14:paraId="5E652365" w14:textId="4B812A0D" w:rsidR="00ED6917" w:rsidRPr="008C2525" w:rsidRDefault="00ED6917" w:rsidP="004F20FC">
      <w:pPr>
        <w:pStyle w:val="H23G"/>
        <w:rPr>
          <w:lang w:val="fr-FR"/>
        </w:rPr>
      </w:pPr>
      <w:r w:rsidRPr="008C2525">
        <w:rPr>
          <w:lang w:val="fr-FR"/>
        </w:rPr>
        <w:tab/>
      </w:r>
      <w:r w:rsidRPr="008C2525">
        <w:rPr>
          <w:lang w:val="fr-FR"/>
        </w:rPr>
        <w:tab/>
        <w:t>Article</w:t>
      </w:r>
      <w:r w:rsidR="00635064">
        <w:rPr>
          <w:lang w:val="fr-FR"/>
        </w:rPr>
        <w:t> </w:t>
      </w:r>
      <w:r w:rsidRPr="008C2525">
        <w:rPr>
          <w:lang w:val="fr-FR"/>
        </w:rPr>
        <w:t>10</w:t>
      </w:r>
    </w:p>
    <w:p w14:paraId="690BC5A9" w14:textId="1B78C486" w:rsidR="00ED6917" w:rsidRPr="008C2525" w:rsidRDefault="00ED6917" w:rsidP="00ED6917">
      <w:pPr>
        <w:pStyle w:val="SingleTxtG"/>
        <w:rPr>
          <w:lang w:eastAsia="es-ES"/>
        </w:rPr>
      </w:pPr>
      <w:r w:rsidRPr="008C2525">
        <w:rPr>
          <w:lang w:val="fr-FR"/>
        </w:rPr>
        <w:t>14.</w:t>
      </w:r>
      <w:r w:rsidRPr="008C2525">
        <w:rPr>
          <w:lang w:val="fr-FR"/>
        </w:rPr>
        <w:tab/>
        <w:t>Eu égard aux précédentes observations finales du Comité (par.</w:t>
      </w:r>
      <w:r w:rsidR="00635064">
        <w:rPr>
          <w:lang w:val="fr-FR"/>
        </w:rPr>
        <w:t> </w:t>
      </w:r>
      <w:r w:rsidRPr="008C2525">
        <w:rPr>
          <w:lang w:val="fr-FR"/>
        </w:rPr>
        <w:t>37 et 38), d</w:t>
      </w:r>
      <w:r w:rsidRPr="008C2525">
        <w:rPr>
          <w:lang w:eastAsia="es-ES"/>
        </w:rPr>
        <w:t>onner des renseignements sur les programmes de formation qui ont été élaborés depuis 2018 pour obtenir que tous les agents de l</w:t>
      </w:r>
      <w:r>
        <w:rPr>
          <w:lang w:eastAsia="es-ES"/>
        </w:rPr>
        <w:t>’</w:t>
      </w:r>
      <w:r w:rsidRPr="008C2525">
        <w:rPr>
          <w:lang w:eastAsia="es-ES"/>
        </w:rPr>
        <w:t>État, en particulier les membres des forces armées et de la police, le personnel pénitentiaire, et les agents des services de l</w:t>
      </w:r>
      <w:r>
        <w:rPr>
          <w:lang w:eastAsia="es-ES"/>
        </w:rPr>
        <w:t>’</w:t>
      </w:r>
      <w:r w:rsidRPr="008C2525">
        <w:rPr>
          <w:lang w:eastAsia="es-ES"/>
        </w:rPr>
        <w:t>immigration et de la police aux frontières : a) connaissent bien les dispositions de la Convention et sachent qu</w:t>
      </w:r>
      <w:r>
        <w:rPr>
          <w:lang w:eastAsia="es-ES"/>
        </w:rPr>
        <w:t>’</w:t>
      </w:r>
      <w:r w:rsidRPr="008C2525">
        <w:rPr>
          <w:lang w:eastAsia="es-ES"/>
        </w:rPr>
        <w:t xml:space="preserve">aucun </w:t>
      </w:r>
      <w:r w:rsidRPr="008C2525">
        <w:rPr>
          <w:lang w:eastAsia="es-ES"/>
        </w:rPr>
        <w:lastRenderedPageBreak/>
        <w:t xml:space="preserve">manquement ne sera toléré, que toute infraction donnera lieu à une enquête et que les auteurs </w:t>
      </w:r>
      <w:r>
        <w:rPr>
          <w:lang w:eastAsia="es-ES"/>
        </w:rPr>
        <w:t xml:space="preserve">de telles infractions </w:t>
      </w:r>
      <w:r w:rsidRPr="008C2525">
        <w:rPr>
          <w:lang w:eastAsia="es-ES"/>
        </w:rPr>
        <w:t>seront traduits en justice</w:t>
      </w:r>
      <w:r>
        <w:rPr>
          <w:lang w:eastAsia="es-ES"/>
        </w:rPr>
        <w:t> ;</w:t>
      </w:r>
      <w:r w:rsidRPr="008C2525">
        <w:rPr>
          <w:lang w:eastAsia="es-ES"/>
        </w:rPr>
        <w:t xml:space="preserve"> b) réservent un traitement approprié aux personnes appartenant à des groupes en situation de vulnérabilité ; c) connaissent les dispositions qui garantissent le principe de non-refoulement et le droit d</w:t>
      </w:r>
      <w:r>
        <w:rPr>
          <w:lang w:eastAsia="es-ES"/>
        </w:rPr>
        <w:t>’</w:t>
      </w:r>
      <w:r w:rsidRPr="008C2525">
        <w:rPr>
          <w:lang w:eastAsia="es-ES"/>
        </w:rPr>
        <w:t>asile</w:t>
      </w:r>
      <w:r w:rsidRPr="008C2525">
        <w:rPr>
          <w:lang w:val="fr-FR"/>
        </w:rPr>
        <w:t>, ainsi que celles</w:t>
      </w:r>
      <w:r w:rsidRPr="008C2525">
        <w:rPr>
          <w:lang w:eastAsia="es-ES"/>
        </w:rPr>
        <w:t xml:space="preserve"> qui permettent de repérer les victimes de torture, de traite ou de violence fondée sur le genre parmi les demandeurs d</w:t>
      </w:r>
      <w:r>
        <w:rPr>
          <w:lang w:eastAsia="es-ES"/>
        </w:rPr>
        <w:t>’</w:t>
      </w:r>
      <w:r w:rsidRPr="008C2525">
        <w:rPr>
          <w:lang w:eastAsia="es-ES"/>
        </w:rPr>
        <w:t xml:space="preserve">asile ; </w:t>
      </w:r>
      <w:r>
        <w:rPr>
          <w:lang w:eastAsia="es-ES"/>
        </w:rPr>
        <w:t xml:space="preserve">et </w:t>
      </w:r>
      <w:r w:rsidRPr="008C2525">
        <w:rPr>
          <w:lang w:eastAsia="es-ES"/>
        </w:rPr>
        <w:t>d)</w:t>
      </w:r>
      <w:r w:rsidR="00635064">
        <w:rPr>
          <w:lang w:eastAsia="es-ES"/>
        </w:rPr>
        <w:t> </w:t>
      </w:r>
      <w:r w:rsidRPr="008C2525">
        <w:rPr>
          <w:lang w:eastAsia="es-ES"/>
        </w:rPr>
        <w:t xml:space="preserve">connaissent </w:t>
      </w:r>
      <w:r w:rsidRPr="008C2525">
        <w:rPr>
          <w:lang w:val="fr-FR"/>
        </w:rPr>
        <w:t>les méthodes d</w:t>
      </w:r>
      <w:r>
        <w:rPr>
          <w:lang w:val="fr-FR"/>
        </w:rPr>
        <w:t>’</w:t>
      </w:r>
      <w:r w:rsidRPr="008C2525">
        <w:rPr>
          <w:lang w:val="fr-FR"/>
        </w:rPr>
        <w:t>interrogation non coercitive.</w:t>
      </w:r>
      <w:r w:rsidRPr="008C2525">
        <w:rPr>
          <w:lang w:eastAsia="es-ES"/>
        </w:rPr>
        <w:t xml:space="preserve"> Indiquer si ces formations sont obligatoires ou facultatives</w:t>
      </w:r>
      <w:r>
        <w:rPr>
          <w:lang w:eastAsia="es-ES"/>
        </w:rPr>
        <w:t xml:space="preserve"> et si elles</w:t>
      </w:r>
      <w:r w:rsidRPr="008C2525">
        <w:rPr>
          <w:lang w:eastAsia="es-ES"/>
        </w:rPr>
        <w:t xml:space="preserve"> sont dispensées </w:t>
      </w:r>
      <w:r w:rsidRPr="008C2525">
        <w:rPr>
          <w:lang w:val="fr-FR"/>
        </w:rPr>
        <w:t>régulièrement et systématiquement</w:t>
      </w:r>
      <w:r w:rsidRPr="008C2525">
        <w:rPr>
          <w:lang w:eastAsia="es-ES"/>
        </w:rPr>
        <w:t>, combien de membres de chaque service les ont déjà suivies, quelle proportion cela représente, et quelles dispositions ont été prises pour former les agents restants. Indiquer aussi si l</w:t>
      </w:r>
      <w:r>
        <w:rPr>
          <w:lang w:eastAsia="es-ES"/>
        </w:rPr>
        <w:t>’</w:t>
      </w:r>
      <w:r w:rsidRPr="008C2525">
        <w:rPr>
          <w:lang w:eastAsia="es-ES"/>
        </w:rPr>
        <w:t>État partie a mis au point une méthode visant à évaluer les résultats de ces programmes et leur efficacité pour réduire le nombre de cas de torture et de mauvais traitements. Dans l</w:t>
      </w:r>
      <w:r>
        <w:rPr>
          <w:lang w:eastAsia="es-ES"/>
        </w:rPr>
        <w:t>’</w:t>
      </w:r>
      <w:r w:rsidRPr="008C2525">
        <w:rPr>
          <w:lang w:eastAsia="es-ES"/>
        </w:rPr>
        <w:t>affirmative, donner des renseignements sur le contenu de cette méthode et son application.</w:t>
      </w:r>
    </w:p>
    <w:p w14:paraId="03AADAC9" w14:textId="1DAB9BE9" w:rsidR="00ED6917" w:rsidRPr="008C2525" w:rsidRDefault="00ED6917" w:rsidP="00ED6917">
      <w:pPr>
        <w:pStyle w:val="SingleTxtG"/>
        <w:rPr>
          <w:lang w:val="fr-FR" w:eastAsia="es-ES"/>
        </w:rPr>
      </w:pPr>
      <w:r w:rsidRPr="008C2525">
        <w:rPr>
          <w:lang w:val="fr-FR" w:eastAsia="es-ES"/>
        </w:rPr>
        <w:t>15.</w:t>
      </w:r>
      <w:r w:rsidRPr="008C2525">
        <w:rPr>
          <w:lang w:val="fr-FR" w:eastAsia="es-ES"/>
        </w:rPr>
        <w:tab/>
        <w:t>Donner des renseignements détaillés sur les programmes visant à former les juges, les procureurs ainsi que les médecins légistes et les professionnels de la santé qui s</w:t>
      </w:r>
      <w:r>
        <w:rPr>
          <w:lang w:val="fr-FR" w:eastAsia="es-ES"/>
        </w:rPr>
        <w:t>’</w:t>
      </w:r>
      <w:r w:rsidRPr="008C2525">
        <w:rPr>
          <w:lang w:val="fr-FR" w:eastAsia="es-ES"/>
        </w:rPr>
        <w:t>occupent des personnes privées de liberté, afin qu</w:t>
      </w:r>
      <w:r>
        <w:rPr>
          <w:lang w:val="fr-FR" w:eastAsia="es-ES"/>
        </w:rPr>
        <w:t>’</w:t>
      </w:r>
      <w:r w:rsidRPr="008C2525">
        <w:rPr>
          <w:lang w:val="fr-FR" w:eastAsia="es-ES"/>
        </w:rPr>
        <w:t xml:space="preserve">ils puissent détecter les séquelles physiques et psychologiques de la torture, établir la réalité des faits de torture et </w:t>
      </w:r>
      <w:r w:rsidRPr="008C2525">
        <w:rPr>
          <w:lang w:val="fr-FR"/>
        </w:rPr>
        <w:t>vérifier la recevabilité des aveux, conformément aux recommandations incluses dans les précédentes observations finales du Comité (par.</w:t>
      </w:r>
      <w:r w:rsidR="00635064">
        <w:rPr>
          <w:lang w:val="fr-FR"/>
        </w:rPr>
        <w:t> </w:t>
      </w:r>
      <w:r w:rsidRPr="008C2525">
        <w:rPr>
          <w:lang w:val="fr-FR"/>
        </w:rPr>
        <w:t>24</w:t>
      </w:r>
      <w:r w:rsidR="00635064">
        <w:rPr>
          <w:lang w:val="fr-FR"/>
        </w:rPr>
        <w:t> </w:t>
      </w:r>
      <w:r w:rsidRPr="008C2525">
        <w:rPr>
          <w:lang w:val="fr-FR"/>
        </w:rPr>
        <w:t>c) et 38</w:t>
      </w:r>
      <w:r w:rsidR="00635064">
        <w:rPr>
          <w:lang w:val="fr-FR"/>
        </w:rPr>
        <w:t> </w:t>
      </w:r>
      <w:r w:rsidRPr="008C2525">
        <w:rPr>
          <w:lang w:val="fr-FR"/>
        </w:rPr>
        <w:t>b))</w:t>
      </w:r>
      <w:r w:rsidRPr="008C2525">
        <w:rPr>
          <w:lang w:val="fr-FR" w:eastAsia="es-ES"/>
        </w:rPr>
        <w:t>. Préciser si ces programmes prévoient une formation spécifique concernant le Manuel pour enquêter efficacement sur la torture et autres peines ou traitements cruels, inhumains ou dégradants (Protocole d</w:t>
      </w:r>
      <w:r>
        <w:rPr>
          <w:lang w:val="fr-FR" w:eastAsia="es-ES"/>
        </w:rPr>
        <w:t>’</w:t>
      </w:r>
      <w:r w:rsidRPr="008C2525">
        <w:rPr>
          <w:lang w:val="fr-FR" w:eastAsia="es-ES"/>
        </w:rPr>
        <w:t>Istanbul).</w:t>
      </w:r>
    </w:p>
    <w:p w14:paraId="4C980432" w14:textId="5B89077E" w:rsidR="00ED6917" w:rsidRPr="008C2525" w:rsidRDefault="00ED6917" w:rsidP="004F20FC">
      <w:pPr>
        <w:pStyle w:val="H23G"/>
        <w:rPr>
          <w:lang w:val="fr-FR"/>
        </w:rPr>
      </w:pPr>
      <w:r w:rsidRPr="008C2525">
        <w:rPr>
          <w:lang w:val="fr-FR"/>
        </w:rPr>
        <w:tab/>
      </w:r>
      <w:r w:rsidRPr="008C2525">
        <w:rPr>
          <w:lang w:val="fr-FR"/>
        </w:rPr>
        <w:tab/>
        <w:t>Article</w:t>
      </w:r>
      <w:r w:rsidR="00635064">
        <w:rPr>
          <w:lang w:val="fr-FR"/>
        </w:rPr>
        <w:t> </w:t>
      </w:r>
      <w:r w:rsidRPr="008C2525">
        <w:rPr>
          <w:lang w:val="fr-FR"/>
        </w:rPr>
        <w:t>11</w:t>
      </w:r>
    </w:p>
    <w:p w14:paraId="7EE5CE53" w14:textId="06955C95" w:rsidR="00ED6917" w:rsidRPr="008C2525" w:rsidRDefault="00ED6917" w:rsidP="00ED6917">
      <w:pPr>
        <w:pStyle w:val="SingleTxtG"/>
      </w:pPr>
      <w:r w:rsidRPr="008C2525">
        <w:rPr>
          <w:lang w:val="fr-FR"/>
        </w:rPr>
        <w:t>16.</w:t>
      </w:r>
      <w:r w:rsidRPr="008C2525">
        <w:rPr>
          <w:lang w:val="fr-FR"/>
        </w:rPr>
        <w:tab/>
        <w:t>Compte tenu des précédentes observations finales</w:t>
      </w:r>
      <w:r>
        <w:rPr>
          <w:lang w:val="fr-FR"/>
        </w:rPr>
        <w:t xml:space="preserve"> du Comité</w:t>
      </w:r>
      <w:r w:rsidRPr="008C2525">
        <w:rPr>
          <w:lang w:val="fr-FR"/>
        </w:rPr>
        <w:t xml:space="preserve"> (par. 13 à 16), spécifier les mesures législatives prises ou en cours pour : </w:t>
      </w:r>
      <w:r>
        <w:rPr>
          <w:lang w:val="fr-FR"/>
        </w:rPr>
        <w:t>a</w:t>
      </w:r>
      <w:r w:rsidRPr="008C2525">
        <w:rPr>
          <w:lang w:val="fr-FR"/>
        </w:rPr>
        <w:t>)</w:t>
      </w:r>
      <w:r w:rsidR="00635064">
        <w:rPr>
          <w:lang w:val="fr-FR"/>
        </w:rPr>
        <w:t> </w:t>
      </w:r>
      <w:r w:rsidRPr="008C2525">
        <w:rPr>
          <w:lang w:val="fr-FR"/>
        </w:rPr>
        <w:t xml:space="preserve">modifier </w:t>
      </w:r>
      <w:r w:rsidRPr="008C2525">
        <w:rPr>
          <w:rFonts w:eastAsia="Times New Roman"/>
          <w:lang w:val="fr-FR"/>
        </w:rPr>
        <w:t xml:space="preserve">le Code de procédure pénale </w:t>
      </w:r>
      <w:r w:rsidRPr="008C2525">
        <w:t xml:space="preserve">afin de </w:t>
      </w:r>
      <w:r w:rsidRPr="008C2525">
        <w:rPr>
          <w:lang w:val="fr-FR"/>
        </w:rPr>
        <w:t xml:space="preserve">préciser les circonstances qui peuvent justifier </w:t>
      </w:r>
      <w:r w:rsidRPr="008C2525">
        <w:t>la détention provisoire</w:t>
      </w:r>
      <w:r w:rsidRPr="008C2525">
        <w:rPr>
          <w:lang w:val="fr-FR"/>
        </w:rPr>
        <w:t>, de manière qu</w:t>
      </w:r>
      <w:r>
        <w:rPr>
          <w:lang w:val="fr-FR"/>
        </w:rPr>
        <w:t>’</w:t>
      </w:r>
      <w:r w:rsidRPr="008C2525">
        <w:rPr>
          <w:lang w:val="fr-FR"/>
        </w:rPr>
        <w:t xml:space="preserve">elle </w:t>
      </w:r>
      <w:r w:rsidRPr="008C2525">
        <w:t>ne soit imposée qu</w:t>
      </w:r>
      <w:r>
        <w:t>’</w:t>
      </w:r>
      <w:r w:rsidRPr="008C2525">
        <w:t>à titre exceptionnel et pour des périodes limitées</w:t>
      </w:r>
      <w:r w:rsidRPr="008C2525">
        <w:rPr>
          <w:lang w:val="fr-FR"/>
        </w:rPr>
        <w:t>, lorsqu</w:t>
      </w:r>
      <w:r>
        <w:rPr>
          <w:lang w:val="fr-FR"/>
        </w:rPr>
        <w:t>’</w:t>
      </w:r>
      <w:r w:rsidRPr="008C2525">
        <w:rPr>
          <w:lang w:val="fr-FR"/>
        </w:rPr>
        <w:t>il a été déterminé qu</w:t>
      </w:r>
      <w:r>
        <w:rPr>
          <w:lang w:val="fr-FR"/>
        </w:rPr>
        <w:t>’</w:t>
      </w:r>
      <w:r w:rsidRPr="008C2525">
        <w:rPr>
          <w:lang w:val="fr-FR"/>
        </w:rPr>
        <w:t>elle était raisonnable et nécessaire au regard des circonstances individuelles</w:t>
      </w:r>
      <w:r w:rsidRPr="007E387A">
        <w:rPr>
          <w:rStyle w:val="Appelnotedebasdep"/>
        </w:rPr>
        <w:footnoteReference w:id="43"/>
      </w:r>
      <w:r>
        <w:rPr>
          <w:lang w:val="fr-FR"/>
        </w:rPr>
        <w:t> </w:t>
      </w:r>
      <w:r>
        <w:t>;</w:t>
      </w:r>
      <w:r w:rsidRPr="008C2525">
        <w:rPr>
          <w:lang w:val="fr-FR"/>
        </w:rPr>
        <w:t xml:space="preserve"> </w:t>
      </w:r>
      <w:r>
        <w:rPr>
          <w:lang w:val="fr-FR"/>
        </w:rPr>
        <w:t>et b</w:t>
      </w:r>
      <w:r w:rsidRPr="008C2525">
        <w:rPr>
          <w:lang w:val="fr-FR"/>
        </w:rPr>
        <w:t>)</w:t>
      </w:r>
      <w:r w:rsidR="00635064">
        <w:rPr>
          <w:lang w:val="fr-FR"/>
        </w:rPr>
        <w:t> </w:t>
      </w:r>
      <w:r w:rsidRPr="008C2525">
        <w:rPr>
          <w:lang w:val="fr-FR"/>
        </w:rPr>
        <w:t xml:space="preserve">adopter </w:t>
      </w:r>
      <w:r w:rsidRPr="008C2525">
        <w:t xml:space="preserve">la loi relative à la justice juvénile, qui prévoit des mesures de substitution à la détention et à la peine. </w:t>
      </w:r>
      <w:r w:rsidRPr="008C2525">
        <w:rPr>
          <w:lang w:val="fr-FR"/>
        </w:rPr>
        <w:t xml:space="preserve">Décrire les mesures qui ont été prises pour réduire dans la pratique le recours à la détention provisoire et sa durée ainsi que la </w:t>
      </w:r>
      <w:r w:rsidRPr="008C2525">
        <w:t xml:space="preserve">surpopulation </w:t>
      </w:r>
      <w:r>
        <w:t xml:space="preserve">carcérale </w:t>
      </w:r>
      <w:r w:rsidRPr="008C2525">
        <w:t>chronique</w:t>
      </w:r>
      <w:r w:rsidRPr="008C2525">
        <w:rPr>
          <w:lang w:val="fr-FR"/>
        </w:rPr>
        <w:t xml:space="preserve">, </w:t>
      </w:r>
      <w:r w:rsidRPr="008C2525">
        <w:t>notamment en</w:t>
      </w:r>
      <w:r>
        <w:t xml:space="preserve"> matière de formation des juges,</w:t>
      </w:r>
      <w:r w:rsidRPr="008C2525">
        <w:t xml:space="preserve"> promouvoir le recours aux mesures de substitution à la détention provisoire</w:t>
      </w:r>
      <w:r w:rsidRPr="008C2525">
        <w:rPr>
          <w:lang w:val="fr-FR"/>
        </w:rPr>
        <w:t xml:space="preserve"> et à </w:t>
      </w:r>
      <w:r w:rsidRPr="008C2525">
        <w:t>l</w:t>
      </w:r>
      <w:r>
        <w:t>’aménagement des peines</w:t>
      </w:r>
      <w:r w:rsidRPr="007E387A">
        <w:rPr>
          <w:rStyle w:val="Appelnotedebasdep"/>
        </w:rPr>
        <w:footnoteReference w:id="44"/>
      </w:r>
      <w:r>
        <w:t>,</w:t>
      </w:r>
      <w:r w:rsidRPr="008C2525">
        <w:t xml:space="preserve"> particulièrement dans les cas des enfants en conflit avec la loi, et </w:t>
      </w:r>
      <w:r>
        <w:t>accélérer</w:t>
      </w:r>
      <w:r w:rsidRPr="008C2525">
        <w:t xml:space="preserve"> la procédure de nomination des membres des organes </w:t>
      </w:r>
      <w:r w:rsidRPr="008C2525">
        <w:rPr>
          <w:lang w:val="fr-FR"/>
        </w:rPr>
        <w:t>chargés de les mettre en œuvre. F</w:t>
      </w:r>
      <w:r w:rsidRPr="008C2525">
        <w:rPr>
          <w:lang w:eastAsia="es-ES"/>
        </w:rPr>
        <w:t xml:space="preserve">ournir </w:t>
      </w:r>
      <w:r w:rsidRPr="008C2525">
        <w:rPr>
          <w:lang w:val="fr-FR"/>
        </w:rPr>
        <w:t>des données chiffrées pour chaque année depuis 2018 sur le nombre de personnes en détention provisoire et le nombre de personnes condamnées, ainsi que sur le taux d</w:t>
      </w:r>
      <w:r>
        <w:rPr>
          <w:lang w:val="fr-FR"/>
        </w:rPr>
        <w:t>’</w:t>
      </w:r>
      <w:r w:rsidRPr="008C2525">
        <w:rPr>
          <w:lang w:val="fr-FR"/>
        </w:rPr>
        <w:t>occupation de chaque centre de détention, ventilées par sexe, groupe d</w:t>
      </w:r>
      <w:r>
        <w:rPr>
          <w:lang w:val="fr-FR"/>
        </w:rPr>
        <w:t>’</w:t>
      </w:r>
      <w:r w:rsidRPr="008C2525">
        <w:rPr>
          <w:lang w:val="fr-FR"/>
        </w:rPr>
        <w:t>âge (mineur/adulte) et nationalité des personnes détenues (sénégalaise/étrangère)</w:t>
      </w:r>
      <w:r>
        <w:rPr>
          <w:lang w:val="fr-FR"/>
        </w:rPr>
        <w:t>. Fournir également des données</w:t>
      </w:r>
      <w:r w:rsidRPr="008C2525">
        <w:rPr>
          <w:lang w:val="fr-FR"/>
        </w:rPr>
        <w:t xml:space="preserve"> sur l</w:t>
      </w:r>
      <w:r>
        <w:rPr>
          <w:lang w:val="fr-FR"/>
        </w:rPr>
        <w:t>’</w:t>
      </w:r>
      <w:r w:rsidRPr="008C2525">
        <w:rPr>
          <w:lang w:val="fr-FR"/>
        </w:rPr>
        <w:t>évolution du taux d</w:t>
      </w:r>
      <w:r>
        <w:rPr>
          <w:lang w:val="fr-FR"/>
        </w:rPr>
        <w:t>’</w:t>
      </w:r>
      <w:r w:rsidRPr="008C2525">
        <w:rPr>
          <w:lang w:val="fr-FR"/>
        </w:rPr>
        <w:t xml:space="preserve">application des mesures de substitution, </w:t>
      </w:r>
      <w:r w:rsidRPr="008C2525">
        <w:rPr>
          <w:lang w:eastAsia="es-ES"/>
        </w:rPr>
        <w:t>en particulier dans le cas des mineurs en conflit avec la loi</w:t>
      </w:r>
      <w:r w:rsidRPr="008C2525">
        <w:rPr>
          <w:lang w:val="fr-FR" w:eastAsia="es-ES"/>
        </w:rPr>
        <w:t>. I</w:t>
      </w:r>
      <w:r w:rsidRPr="008C2525">
        <w:rPr>
          <w:lang w:eastAsia="es-ES"/>
        </w:rPr>
        <w:t xml:space="preserve">ndiquer aussi les mesures </w:t>
      </w:r>
      <w:r w:rsidRPr="008C2525">
        <w:rPr>
          <w:lang w:val="fr-FR"/>
        </w:rPr>
        <w:t>de contrôle prises, y</w:t>
      </w:r>
      <w:r w:rsidR="00D667DC">
        <w:rPr>
          <w:lang w:val="fr-FR"/>
        </w:rPr>
        <w:t> </w:t>
      </w:r>
      <w:r w:rsidRPr="008C2525">
        <w:rPr>
          <w:lang w:val="fr-FR"/>
        </w:rPr>
        <w:t xml:space="preserve">compris les sanctions </w:t>
      </w:r>
      <w:r w:rsidRPr="008C2525">
        <w:rPr>
          <w:lang w:val="fr-FR" w:eastAsia="es-ES"/>
        </w:rPr>
        <w:t xml:space="preserve">disciplinaires, </w:t>
      </w:r>
      <w:r w:rsidRPr="008C2525">
        <w:rPr>
          <w:lang w:val="fr-FR"/>
        </w:rPr>
        <w:t>afin que les</w:t>
      </w:r>
      <w:r w:rsidRPr="00CE6835">
        <w:rPr>
          <w:bCs/>
          <w:lang w:val="fr-FR"/>
        </w:rPr>
        <w:t xml:space="preserve"> </w:t>
      </w:r>
      <w:r w:rsidRPr="008C2525">
        <w:t xml:space="preserve">personnes détenues ne restent pas en détention provisoire au-delà de </w:t>
      </w:r>
      <w:r w:rsidRPr="008C2525">
        <w:rPr>
          <w:lang w:val="fr-FR"/>
        </w:rPr>
        <w:t xml:space="preserve">la peine </w:t>
      </w:r>
      <w:r>
        <w:rPr>
          <w:lang w:val="fr-FR"/>
        </w:rPr>
        <w:t xml:space="preserve">maximale </w:t>
      </w:r>
      <w:r w:rsidRPr="008C2525">
        <w:rPr>
          <w:lang w:val="fr-FR"/>
        </w:rPr>
        <w:t xml:space="preserve">susceptible </w:t>
      </w:r>
      <w:r>
        <w:rPr>
          <w:lang w:val="fr-FR"/>
        </w:rPr>
        <w:t>d’</w:t>
      </w:r>
      <w:r w:rsidRPr="008C2525">
        <w:rPr>
          <w:lang w:val="fr-FR"/>
        </w:rPr>
        <w:t>être prononcée</w:t>
      </w:r>
      <w:r w:rsidRPr="008C2525">
        <w:t>.</w:t>
      </w:r>
    </w:p>
    <w:p w14:paraId="51293006" w14:textId="3FF03DC5" w:rsidR="00ED6917" w:rsidRPr="008C2525" w:rsidRDefault="00ED6917" w:rsidP="00ED6917">
      <w:pPr>
        <w:pStyle w:val="SingleTxtG"/>
        <w:rPr>
          <w:b/>
          <w:lang w:val="fr-FR"/>
        </w:rPr>
      </w:pPr>
      <w:r w:rsidRPr="008C2525">
        <w:rPr>
          <w:lang w:val="fr-FR"/>
        </w:rPr>
        <w:t>17.</w:t>
      </w:r>
      <w:r w:rsidRPr="008C2525">
        <w:rPr>
          <w:lang w:val="fr-FR"/>
        </w:rPr>
        <w:tab/>
        <w:t>Eu égard aux précédentes observations finales du Comité (par.</w:t>
      </w:r>
      <w:r w:rsidR="00635064">
        <w:rPr>
          <w:lang w:val="fr-FR"/>
        </w:rPr>
        <w:t> </w:t>
      </w:r>
      <w:r w:rsidRPr="008C2525">
        <w:rPr>
          <w:lang w:val="fr-FR"/>
        </w:rPr>
        <w:t xml:space="preserve">15 </w:t>
      </w:r>
      <w:r>
        <w:rPr>
          <w:lang w:val="fr-FR"/>
        </w:rPr>
        <w:t>et</w:t>
      </w:r>
      <w:r w:rsidRPr="008C2525">
        <w:rPr>
          <w:lang w:val="fr-FR"/>
        </w:rPr>
        <w:t xml:space="preserve"> 16) et aux informations faisant état de conditions de détention difficiles, f</w:t>
      </w:r>
      <w:r w:rsidRPr="008C2525">
        <w:t>ournir d</w:t>
      </w:r>
      <w:r w:rsidRPr="008C2525">
        <w:rPr>
          <w:lang w:val="fr-FR"/>
        </w:rPr>
        <w:t>es informations actualisées sur l</w:t>
      </w:r>
      <w:r>
        <w:rPr>
          <w:lang w:val="fr-FR"/>
        </w:rPr>
        <w:t>’</w:t>
      </w:r>
      <w:r w:rsidRPr="008C2525">
        <w:rPr>
          <w:lang w:val="fr-FR"/>
        </w:rPr>
        <w:t>avancement des projets d</w:t>
      </w:r>
      <w:r>
        <w:rPr>
          <w:lang w:val="fr-FR"/>
        </w:rPr>
        <w:t>’</w:t>
      </w:r>
      <w:r w:rsidRPr="008C2525">
        <w:rPr>
          <w:lang w:val="fr-FR"/>
        </w:rPr>
        <w:t>amélioration des conditions d</w:t>
      </w:r>
      <w:r>
        <w:rPr>
          <w:lang w:val="fr-FR"/>
        </w:rPr>
        <w:t>’</w:t>
      </w:r>
      <w:r w:rsidRPr="008C2525">
        <w:rPr>
          <w:lang w:val="fr-FR"/>
        </w:rPr>
        <w:t>hébergement, d</w:t>
      </w:r>
      <w:r>
        <w:rPr>
          <w:lang w:val="fr-FR"/>
        </w:rPr>
        <w:t>’</w:t>
      </w:r>
      <w:r w:rsidRPr="008C2525">
        <w:rPr>
          <w:lang w:val="fr-FR"/>
        </w:rPr>
        <w:t>hygiène, d</w:t>
      </w:r>
      <w:r>
        <w:rPr>
          <w:lang w:val="fr-FR"/>
        </w:rPr>
        <w:t>’</w:t>
      </w:r>
      <w:r w:rsidRPr="008C2525">
        <w:rPr>
          <w:lang w:val="fr-FR"/>
        </w:rPr>
        <w:t>assainissement et d</w:t>
      </w:r>
      <w:r>
        <w:rPr>
          <w:lang w:val="fr-FR"/>
        </w:rPr>
        <w:t>’</w:t>
      </w:r>
      <w:r w:rsidRPr="008C2525">
        <w:rPr>
          <w:lang w:val="fr-FR"/>
        </w:rPr>
        <w:t>alimentation dans les lieux de détention</w:t>
      </w:r>
      <w:r w:rsidRPr="007E387A">
        <w:rPr>
          <w:rStyle w:val="Appelnotedebasdep"/>
        </w:rPr>
        <w:footnoteReference w:id="45"/>
      </w:r>
      <w:r>
        <w:t>,</w:t>
      </w:r>
      <w:r w:rsidRPr="008C2525">
        <w:t xml:space="preserve"> ainsi que sur l</w:t>
      </w:r>
      <w:r>
        <w:t>’</w:t>
      </w:r>
      <w:r w:rsidRPr="008C2525">
        <w:t xml:space="preserve">augmentation des effectifs du personnel pénitentiaire et médical et sur une prise en charge psychique adéquate, </w:t>
      </w:r>
      <w:r w:rsidRPr="008C2525">
        <w:rPr>
          <w:lang w:val="fr-FR"/>
        </w:rPr>
        <w:t xml:space="preserve">conformément </w:t>
      </w:r>
      <w:r>
        <w:rPr>
          <w:lang w:val="fr-FR"/>
        </w:rPr>
        <w:t>aux</w:t>
      </w:r>
      <w:r w:rsidRPr="008C2525">
        <w:rPr>
          <w:lang w:val="fr-FR"/>
        </w:rPr>
        <w:t xml:space="preserve"> recommandation</w:t>
      </w:r>
      <w:r>
        <w:rPr>
          <w:lang w:val="fr-FR"/>
        </w:rPr>
        <w:t>s</w:t>
      </w:r>
      <w:r w:rsidRPr="008C2525">
        <w:rPr>
          <w:lang w:val="fr-FR"/>
        </w:rPr>
        <w:t xml:space="preserve"> du</w:t>
      </w:r>
      <w:r w:rsidRPr="008C2525">
        <w:t xml:space="preserve"> Comité. Clarifier si l</w:t>
      </w:r>
      <w:r>
        <w:t>’État</w:t>
      </w:r>
      <w:r w:rsidRPr="008C2525">
        <w:t xml:space="preserve"> partie envisage de transférer des détenus </w:t>
      </w:r>
      <w:r w:rsidRPr="008C2525">
        <w:rPr>
          <w:lang w:val="fr-FR"/>
        </w:rPr>
        <w:t xml:space="preserve">souffrant de handicap intellectuel </w:t>
      </w:r>
      <w:r>
        <w:rPr>
          <w:lang w:val="fr-FR"/>
        </w:rPr>
        <w:t>ou</w:t>
      </w:r>
      <w:r w:rsidRPr="008C2525">
        <w:rPr>
          <w:lang w:val="fr-FR"/>
        </w:rPr>
        <w:t xml:space="preserve"> </w:t>
      </w:r>
      <w:r>
        <w:rPr>
          <w:lang w:val="fr-FR"/>
        </w:rPr>
        <w:t>psychosocial</w:t>
      </w:r>
      <w:r w:rsidRPr="008C2525">
        <w:t xml:space="preserve"> </w:t>
      </w:r>
      <w:r w:rsidRPr="008C2525">
        <w:rPr>
          <w:lang w:val="fr-FR"/>
        </w:rPr>
        <w:t>vers de</w:t>
      </w:r>
      <w:r>
        <w:rPr>
          <w:lang w:val="fr-FR"/>
        </w:rPr>
        <w:t>s établissements psychiatriques</w:t>
      </w:r>
      <w:r>
        <w:t xml:space="preserve">. </w:t>
      </w:r>
      <w:r w:rsidRPr="008C2525">
        <w:t xml:space="preserve">Décrire les conditions </w:t>
      </w:r>
      <w:r w:rsidRPr="008C2525">
        <w:rPr>
          <w:lang w:val="fr-FR"/>
        </w:rPr>
        <w:t xml:space="preserve">de détention des </w:t>
      </w:r>
      <w:r w:rsidRPr="008C2525">
        <w:rPr>
          <w:rFonts w:cs="Calibri"/>
          <w:color w:val="000000"/>
          <w:shd w:val="clear" w:color="auto" w:fill="FFFFFF"/>
          <w:lang w:val="fr-FR"/>
        </w:rPr>
        <w:t>personnes accusées de terrorisme et préciser s</w:t>
      </w:r>
      <w:r>
        <w:rPr>
          <w:rFonts w:cs="Calibri"/>
          <w:color w:val="000000"/>
          <w:shd w:val="clear" w:color="auto" w:fill="FFFFFF"/>
          <w:lang w:val="fr-FR"/>
        </w:rPr>
        <w:t>’</w:t>
      </w:r>
      <w:r w:rsidRPr="008C2525">
        <w:rPr>
          <w:rFonts w:cs="Calibri"/>
          <w:color w:val="000000"/>
          <w:shd w:val="clear" w:color="auto" w:fill="FFFFFF"/>
          <w:lang w:val="fr-FR"/>
        </w:rPr>
        <w:t>il y a eu des incidents de refus d</w:t>
      </w:r>
      <w:r>
        <w:rPr>
          <w:rFonts w:cs="Calibri"/>
          <w:color w:val="000000"/>
          <w:shd w:val="clear" w:color="auto" w:fill="FFFFFF"/>
          <w:lang w:val="fr-FR"/>
        </w:rPr>
        <w:t>’</w:t>
      </w:r>
      <w:r w:rsidRPr="008C2525">
        <w:rPr>
          <w:rFonts w:cs="Calibri"/>
          <w:color w:val="000000"/>
          <w:shd w:val="clear" w:color="auto" w:fill="FFFFFF"/>
          <w:lang w:val="fr-FR"/>
        </w:rPr>
        <w:t xml:space="preserve">accès </w:t>
      </w:r>
      <w:r w:rsidRPr="008C2525">
        <w:rPr>
          <w:lang w:val="fr-FR"/>
        </w:rPr>
        <w:t>aux soins de santé les concernant depuis 2018. Indiquer si l</w:t>
      </w:r>
      <w:r>
        <w:rPr>
          <w:lang w:val="fr-FR"/>
        </w:rPr>
        <w:t>’État</w:t>
      </w:r>
      <w:r w:rsidRPr="008C2525">
        <w:rPr>
          <w:lang w:val="fr-FR"/>
        </w:rPr>
        <w:t xml:space="preserve"> partie envisage d</w:t>
      </w:r>
      <w:r>
        <w:rPr>
          <w:lang w:val="fr-FR"/>
        </w:rPr>
        <w:t>’</w:t>
      </w:r>
      <w:r w:rsidRPr="008C2525">
        <w:t xml:space="preserve">organiser le service de santé </w:t>
      </w:r>
      <w:r w:rsidRPr="008C2525">
        <w:lastRenderedPageBreak/>
        <w:t>en relation étroite avec l</w:t>
      </w:r>
      <w:r>
        <w:t>’</w:t>
      </w:r>
      <w:r w:rsidRPr="008C2525">
        <w:t>administration générale de santé publique, sur le principe de l</w:t>
      </w:r>
      <w:r>
        <w:t>’</w:t>
      </w:r>
      <w:r w:rsidRPr="008C2525">
        <w:t>accès pour tous les détenus à des soins de même qualité que ceux disponibles dans la société sénégalaise.</w:t>
      </w:r>
      <w:r w:rsidRPr="006117CD">
        <w:rPr>
          <w:bCs/>
        </w:rPr>
        <w:t xml:space="preserve"> </w:t>
      </w:r>
      <w:r w:rsidRPr="008C2525">
        <w:rPr>
          <w:lang w:val="fr-FR" w:eastAsia="es-ES"/>
        </w:rPr>
        <w:t xml:space="preserve">Expliquer quelles mesures ont été prises pour assurer la séparation entre </w:t>
      </w:r>
      <w:r w:rsidRPr="008C2525">
        <w:rPr>
          <w:lang w:eastAsia="es-ES"/>
        </w:rPr>
        <w:t xml:space="preserve">prévenus et condamnés, et </w:t>
      </w:r>
      <w:r w:rsidRPr="008C2525">
        <w:rPr>
          <w:lang w:val="fr-FR" w:eastAsia="es-ES"/>
        </w:rPr>
        <w:t xml:space="preserve">entre mineurs et adultes </w:t>
      </w:r>
      <w:r w:rsidRPr="008C2525">
        <w:rPr>
          <w:lang w:val="fr-FR"/>
        </w:rPr>
        <w:t>dans les prisons et postes de police</w:t>
      </w:r>
      <w:r w:rsidRPr="007E387A">
        <w:rPr>
          <w:rStyle w:val="Appelnotedebasdep"/>
        </w:rPr>
        <w:footnoteReference w:id="46"/>
      </w:r>
      <w:r>
        <w:t>,</w:t>
      </w:r>
      <w:r w:rsidRPr="008C2525">
        <w:rPr>
          <w:lang w:val="fr-FR" w:eastAsia="es-ES"/>
        </w:rPr>
        <w:t xml:space="preserve"> et indiquer dans quels lieux de détention cette séparation n</w:t>
      </w:r>
      <w:r>
        <w:rPr>
          <w:lang w:val="fr-FR" w:eastAsia="es-ES"/>
        </w:rPr>
        <w:t>’</w:t>
      </w:r>
      <w:r w:rsidRPr="008C2525">
        <w:rPr>
          <w:lang w:val="fr-FR" w:eastAsia="es-ES"/>
        </w:rPr>
        <w:t xml:space="preserve">est pas encore effective. </w:t>
      </w:r>
      <w:r w:rsidRPr="008C2525">
        <w:rPr>
          <w:spacing w:val="-2"/>
          <w:lang w:val="fr-FR" w:eastAsia="es-ES"/>
        </w:rPr>
        <w:t>Décrire ce qui est fait pour répondre aux besoins spéciaux des enfants en conflit avec la loi</w:t>
      </w:r>
      <w:r w:rsidRPr="008C2525">
        <w:rPr>
          <w:lang w:val="fr-FR" w:eastAsia="es-ES"/>
        </w:rPr>
        <w:t xml:space="preserve"> pénale, notamment en ce qui concerne les services de </w:t>
      </w:r>
      <w:r w:rsidRPr="008C2525">
        <w:rPr>
          <w:lang w:val="fr-FR"/>
        </w:rPr>
        <w:t>réadaptation</w:t>
      </w:r>
      <w:r w:rsidRPr="008C2525">
        <w:rPr>
          <w:lang w:val="fr-FR" w:eastAsia="es-ES"/>
        </w:rPr>
        <w:t xml:space="preserve"> et d</w:t>
      </w:r>
      <w:r>
        <w:rPr>
          <w:lang w:val="fr-FR" w:eastAsia="es-ES"/>
        </w:rPr>
        <w:t>’</w:t>
      </w:r>
      <w:r w:rsidRPr="008C2525">
        <w:rPr>
          <w:lang w:val="fr-FR" w:eastAsia="es-ES"/>
        </w:rPr>
        <w:t>éducation</w:t>
      </w:r>
      <w:r w:rsidRPr="007E387A">
        <w:rPr>
          <w:rStyle w:val="Appelnotedebasdep"/>
        </w:rPr>
        <w:footnoteReference w:id="47"/>
      </w:r>
      <w:r>
        <w:rPr>
          <w:lang w:eastAsia="es-ES"/>
        </w:rPr>
        <w:t>.</w:t>
      </w:r>
      <w:r w:rsidRPr="008C2525">
        <w:rPr>
          <w:lang w:val="fr-FR" w:eastAsia="es-ES"/>
        </w:rPr>
        <w:t xml:space="preserve"> Indiquer aussi les mesures prises pour répondre aux besoins des femmes privées de liberté,</w:t>
      </w:r>
      <w:r w:rsidRPr="008C2525">
        <w:rPr>
          <w:lang w:val="fr-FR"/>
        </w:rPr>
        <w:t xml:space="preserve"> en particulier des femmes enceintes ou détenues avec leurs enfants</w:t>
      </w:r>
      <w:r w:rsidRPr="007E387A">
        <w:rPr>
          <w:rStyle w:val="Appelnotedebasdep"/>
        </w:rPr>
        <w:footnoteReference w:id="48"/>
      </w:r>
      <w:r>
        <w:t>,</w:t>
      </w:r>
      <w:r w:rsidRPr="008C2525">
        <w:rPr>
          <w:lang w:val="fr-FR"/>
        </w:rPr>
        <w:t xml:space="preserve"> et pour faciliter leur accès aux </w:t>
      </w:r>
      <w:r w:rsidRPr="008C2525">
        <w:t xml:space="preserve">activités récréatives et culturelles, </w:t>
      </w:r>
      <w:r w:rsidRPr="008C2525">
        <w:rPr>
          <w:lang w:val="fr-FR"/>
        </w:rPr>
        <w:t>ainsi qu</w:t>
      </w:r>
      <w:r>
        <w:rPr>
          <w:lang w:val="fr-FR"/>
        </w:rPr>
        <w:t>’</w:t>
      </w:r>
      <w:r w:rsidRPr="008C2525">
        <w:rPr>
          <w:lang w:val="fr-FR"/>
        </w:rPr>
        <w:t>à la formation professionnelle et à l</w:t>
      </w:r>
      <w:r>
        <w:rPr>
          <w:lang w:val="fr-FR"/>
        </w:rPr>
        <w:t>’</w:t>
      </w:r>
      <w:r w:rsidRPr="008C2525">
        <w:rPr>
          <w:lang w:val="fr-FR"/>
        </w:rPr>
        <w:t>enseignement.</w:t>
      </w:r>
      <w:r w:rsidRPr="006117CD">
        <w:rPr>
          <w:bCs/>
          <w:lang w:val="fr-FR"/>
        </w:rPr>
        <w:t xml:space="preserve"> </w:t>
      </w:r>
      <w:r w:rsidRPr="008C2525">
        <w:rPr>
          <w:lang w:val="fr-FR"/>
        </w:rPr>
        <w:t>Donner également des renseignements sur les mesures qui ont été adoptées pour que les droits des personnes privées de liberté en situation particulière de vulnérabilité, notamment les lesbiennes, gays, bisexuels, transgenres et intersexes ou des personnes ayant un handicap psychosocial, soient respectés conformément aux normes internationales.</w:t>
      </w:r>
    </w:p>
    <w:p w14:paraId="34244958" w14:textId="3AE35BB7" w:rsidR="00ED6917" w:rsidRPr="008C2525" w:rsidRDefault="00ED6917" w:rsidP="00ED6917">
      <w:pPr>
        <w:pStyle w:val="SingleTxtG"/>
        <w:rPr>
          <w:rFonts w:eastAsia="Calibri"/>
          <w:bCs/>
          <w:spacing w:val="1"/>
        </w:rPr>
      </w:pPr>
      <w:r w:rsidRPr="008C2525">
        <w:t>18.</w:t>
      </w:r>
      <w:r w:rsidRPr="008C2525">
        <w:tab/>
        <w:t>Compte tenu des précédentes observations finales du Comité (par.</w:t>
      </w:r>
      <w:r w:rsidR="00D667DC">
        <w:t> </w:t>
      </w:r>
      <w:r w:rsidRPr="008C2525">
        <w:t xml:space="preserve">15 à 18), décrire </w:t>
      </w:r>
      <w:r w:rsidRPr="008C2525">
        <w:rPr>
          <w:lang w:val="fr-FR"/>
        </w:rPr>
        <w:t xml:space="preserve">le régime du </w:t>
      </w:r>
      <w:r w:rsidRPr="008C2525">
        <w:rPr>
          <w:spacing w:val="-2"/>
          <w:lang w:val="fr-FR"/>
        </w:rPr>
        <w:t>placement à l</w:t>
      </w:r>
      <w:r>
        <w:rPr>
          <w:spacing w:val="-2"/>
          <w:lang w:val="fr-FR"/>
        </w:rPr>
        <w:t>’</w:t>
      </w:r>
      <w:r w:rsidRPr="008C2525">
        <w:rPr>
          <w:spacing w:val="-2"/>
          <w:lang w:val="fr-FR"/>
        </w:rPr>
        <w:t>isolement</w:t>
      </w:r>
      <w:r w:rsidRPr="008C2525">
        <w:rPr>
          <w:lang w:val="fr-FR"/>
        </w:rPr>
        <w:t xml:space="preserve"> et clarifier s</w:t>
      </w:r>
      <w:r>
        <w:rPr>
          <w:lang w:val="fr-FR"/>
        </w:rPr>
        <w:t>’</w:t>
      </w:r>
      <w:r w:rsidRPr="008C2525">
        <w:rPr>
          <w:lang w:val="fr-FR"/>
        </w:rPr>
        <w:t>il existe une procédure régulière et un organe indépendant qui examine les mesures disciplinaires prises</w:t>
      </w:r>
      <w:r w:rsidRPr="008C2525">
        <w:rPr>
          <w:spacing w:val="-2"/>
          <w:lang w:val="fr-FR"/>
        </w:rPr>
        <w:t>. Fournir également des renseignements sur les mesures que l</w:t>
      </w:r>
      <w:r>
        <w:rPr>
          <w:spacing w:val="-2"/>
          <w:lang w:val="fr-FR"/>
        </w:rPr>
        <w:t>’</w:t>
      </w:r>
      <w:r w:rsidRPr="008C2525">
        <w:rPr>
          <w:spacing w:val="-2"/>
          <w:lang w:val="fr-FR"/>
        </w:rPr>
        <w:t xml:space="preserve">État partie a adoptées pour prévenir et combattre le recours aux châtiments corporels et psychologiques </w:t>
      </w:r>
      <w:r w:rsidRPr="008C2525">
        <w:rPr>
          <w:rFonts w:cstheme="minorHAnsi"/>
        </w:rPr>
        <w:t xml:space="preserve">des détenus récalcitrants par certains agents pénitentiaires. </w:t>
      </w:r>
      <w:r>
        <w:rPr>
          <w:lang w:val="fr-FR"/>
        </w:rPr>
        <w:t>Indiquer</w:t>
      </w:r>
      <w:r w:rsidRPr="008C2525">
        <w:rPr>
          <w:lang w:val="fr-FR"/>
        </w:rPr>
        <w:t xml:space="preserve"> aussi</w:t>
      </w:r>
      <w:r>
        <w:rPr>
          <w:lang w:val="fr-FR"/>
        </w:rPr>
        <w:t> </w:t>
      </w:r>
      <w:r w:rsidRPr="008C2525">
        <w:rPr>
          <w:lang w:val="fr-FR"/>
        </w:rPr>
        <w:t>: a)</w:t>
      </w:r>
      <w:r w:rsidR="00D667DC">
        <w:rPr>
          <w:lang w:val="fr-FR"/>
        </w:rPr>
        <w:t> </w:t>
      </w:r>
      <w:r w:rsidRPr="008C2525">
        <w:rPr>
          <w:lang w:val="fr-FR"/>
        </w:rPr>
        <w:t>la durée maximale, en droit et en pratique, de l</w:t>
      </w:r>
      <w:r>
        <w:rPr>
          <w:lang w:val="fr-FR"/>
        </w:rPr>
        <w:t>’</w:t>
      </w:r>
      <w:r w:rsidRPr="008C2525">
        <w:rPr>
          <w:lang w:val="fr-FR"/>
        </w:rPr>
        <w:t>isolement</w:t>
      </w:r>
      <w:r>
        <w:rPr>
          <w:lang w:val="fr-FR"/>
        </w:rPr>
        <w:t> </w:t>
      </w:r>
      <w:r w:rsidRPr="008C2525">
        <w:rPr>
          <w:lang w:val="fr-FR"/>
        </w:rPr>
        <w:t>; b)</w:t>
      </w:r>
      <w:r w:rsidR="00D667DC">
        <w:rPr>
          <w:lang w:val="fr-FR"/>
        </w:rPr>
        <w:t> </w:t>
      </w:r>
      <w:r w:rsidRPr="008C2525">
        <w:rPr>
          <w:lang w:val="fr-FR"/>
        </w:rPr>
        <w:t>les mesures en place pour garantir que l</w:t>
      </w:r>
      <w:r>
        <w:rPr>
          <w:lang w:val="fr-FR"/>
        </w:rPr>
        <w:t>’</w:t>
      </w:r>
      <w:r w:rsidRPr="008C2525">
        <w:rPr>
          <w:lang w:val="fr-FR"/>
        </w:rPr>
        <w:t xml:space="preserve">isolement </w:t>
      </w:r>
      <w:r>
        <w:rPr>
          <w:lang w:val="fr-FR"/>
        </w:rPr>
        <w:t>n’est</w:t>
      </w:r>
      <w:r w:rsidRPr="008C2525">
        <w:rPr>
          <w:lang w:val="fr-FR"/>
        </w:rPr>
        <w:t xml:space="preserve"> </w:t>
      </w:r>
      <w:r w:rsidRPr="008C2525">
        <w:rPr>
          <w:spacing w:val="2"/>
        </w:rPr>
        <w:t>utilisé qu</w:t>
      </w:r>
      <w:r>
        <w:rPr>
          <w:spacing w:val="2"/>
        </w:rPr>
        <w:t>’</w:t>
      </w:r>
      <w:r w:rsidRPr="008C2525">
        <w:rPr>
          <w:spacing w:val="2"/>
        </w:rPr>
        <w:t>en dernier recours, pour la durée la plus courte possible,</w:t>
      </w:r>
      <w:r w:rsidRPr="008C2525">
        <w:rPr>
          <w:lang w:val="fr-FR"/>
        </w:rPr>
        <w:t xml:space="preserve"> et ne </w:t>
      </w:r>
      <w:r>
        <w:rPr>
          <w:lang w:val="fr-FR"/>
        </w:rPr>
        <w:t>peut</w:t>
      </w:r>
      <w:r w:rsidRPr="008C2525">
        <w:rPr>
          <w:lang w:val="fr-FR"/>
        </w:rPr>
        <w:t xml:space="preserve"> pas être imposé aux enfants en conflit avec la loi ou aux personnes souffrant de handicap intellectuel </w:t>
      </w:r>
      <w:r>
        <w:rPr>
          <w:lang w:val="fr-FR"/>
        </w:rPr>
        <w:t>ou</w:t>
      </w:r>
      <w:r w:rsidRPr="008C2525">
        <w:rPr>
          <w:lang w:val="fr-FR"/>
        </w:rPr>
        <w:t xml:space="preserve"> </w:t>
      </w:r>
      <w:r>
        <w:rPr>
          <w:lang w:val="fr-FR"/>
        </w:rPr>
        <w:t>psychosocial </w:t>
      </w:r>
      <w:r w:rsidRPr="008C2525">
        <w:rPr>
          <w:lang w:val="fr-FR"/>
        </w:rPr>
        <w:t>; et c)</w:t>
      </w:r>
      <w:r w:rsidR="00D667DC">
        <w:rPr>
          <w:lang w:val="fr-FR"/>
        </w:rPr>
        <w:t> </w:t>
      </w:r>
      <w:r w:rsidRPr="008C2525">
        <w:rPr>
          <w:lang w:val="fr-FR"/>
        </w:rPr>
        <w:t>s</w:t>
      </w:r>
      <w:r>
        <w:rPr>
          <w:lang w:val="fr-FR"/>
        </w:rPr>
        <w:t>’</w:t>
      </w:r>
      <w:r w:rsidRPr="008C2525">
        <w:rPr>
          <w:lang w:val="fr-FR"/>
        </w:rPr>
        <w:t xml:space="preserve">il existe un registre des sanctions disciplinaires et du </w:t>
      </w:r>
      <w:r w:rsidRPr="008C2525">
        <w:rPr>
          <w:spacing w:val="-2"/>
          <w:lang w:val="fr-FR"/>
        </w:rPr>
        <w:t>placement à l</w:t>
      </w:r>
      <w:r>
        <w:rPr>
          <w:spacing w:val="-2"/>
          <w:lang w:val="fr-FR"/>
        </w:rPr>
        <w:t>’</w:t>
      </w:r>
      <w:r w:rsidRPr="008C2525">
        <w:rPr>
          <w:spacing w:val="-2"/>
          <w:lang w:val="fr-FR"/>
        </w:rPr>
        <w:t>isolement</w:t>
      </w:r>
      <w:r w:rsidRPr="008C2525">
        <w:rPr>
          <w:lang w:val="fr-FR"/>
        </w:rPr>
        <w:t xml:space="preserve"> et un contrôle de leur proportionnalité. </w:t>
      </w:r>
      <w:r w:rsidRPr="008C2525">
        <w:rPr>
          <w:spacing w:val="-2"/>
          <w:lang w:val="fr-FR"/>
        </w:rPr>
        <w:t>Clarifier si l</w:t>
      </w:r>
      <w:r>
        <w:rPr>
          <w:spacing w:val="-2"/>
          <w:lang w:val="fr-FR"/>
        </w:rPr>
        <w:t>’État partie</w:t>
      </w:r>
      <w:r w:rsidRPr="008C2525">
        <w:rPr>
          <w:spacing w:val="-2"/>
          <w:lang w:val="fr-FR"/>
        </w:rPr>
        <w:t xml:space="preserve"> a </w:t>
      </w:r>
      <w:r w:rsidRPr="008C2525">
        <w:rPr>
          <w:rFonts w:eastAsia="Calibri"/>
          <w:bCs/>
          <w:spacing w:val="1"/>
        </w:rPr>
        <w:t>priorisé l</w:t>
      </w:r>
      <w:r>
        <w:rPr>
          <w:rFonts w:eastAsia="Calibri"/>
          <w:bCs/>
          <w:spacing w:val="1"/>
        </w:rPr>
        <w:t>’</w:t>
      </w:r>
      <w:r w:rsidRPr="008C2525">
        <w:rPr>
          <w:rFonts w:eastAsia="Calibri"/>
          <w:bCs/>
          <w:spacing w:val="1"/>
        </w:rPr>
        <w:t>installation d</w:t>
      </w:r>
      <w:r>
        <w:rPr>
          <w:rFonts w:eastAsia="Calibri"/>
          <w:bCs/>
          <w:spacing w:val="1"/>
        </w:rPr>
        <w:t>’</w:t>
      </w:r>
      <w:r w:rsidRPr="008C2525">
        <w:rPr>
          <w:rFonts w:eastAsia="Calibri"/>
          <w:bCs/>
          <w:spacing w:val="1"/>
        </w:rPr>
        <w:t>appareils de détection pour remplacer les fouilles personnelles</w:t>
      </w:r>
      <w:r w:rsidRPr="008C2525">
        <w:rPr>
          <w:spacing w:val="-2"/>
          <w:lang w:val="fr-FR"/>
        </w:rPr>
        <w:t xml:space="preserve">. Décrire les mesures qui ont été adoptées pour faire en sorte que les </w:t>
      </w:r>
      <w:r w:rsidRPr="008C2525">
        <w:rPr>
          <w:rFonts w:eastAsia="Calibri"/>
          <w:bCs/>
          <w:spacing w:val="1"/>
        </w:rPr>
        <w:t>fouilles personnelles</w:t>
      </w:r>
      <w:r w:rsidRPr="008C2525">
        <w:rPr>
          <w:spacing w:val="-2"/>
          <w:lang w:val="fr-FR"/>
        </w:rPr>
        <w:t xml:space="preserve"> ne soient </w:t>
      </w:r>
      <w:r w:rsidRPr="008C2525">
        <w:rPr>
          <w:rFonts w:eastAsia="Calibri"/>
          <w:bCs/>
          <w:spacing w:val="1"/>
        </w:rPr>
        <w:t xml:space="preserve">effectuées que si elles sont absolument nécessaires et, dans ce cas, en privé et par un </w:t>
      </w:r>
      <w:r>
        <w:rPr>
          <w:rFonts w:eastAsia="Calibri"/>
          <w:bCs/>
          <w:spacing w:val="1"/>
        </w:rPr>
        <w:t xml:space="preserve">membre du </w:t>
      </w:r>
      <w:r w:rsidRPr="008C2525">
        <w:rPr>
          <w:rFonts w:eastAsia="Calibri"/>
          <w:bCs/>
          <w:spacing w:val="1"/>
        </w:rPr>
        <w:t xml:space="preserve">personnel qualifié </w:t>
      </w:r>
      <w:r>
        <w:rPr>
          <w:rFonts w:eastAsia="Calibri"/>
          <w:bCs/>
          <w:spacing w:val="1"/>
        </w:rPr>
        <w:t xml:space="preserve">et </w:t>
      </w:r>
      <w:r w:rsidRPr="008C2525">
        <w:rPr>
          <w:rFonts w:eastAsia="Calibri"/>
          <w:bCs/>
          <w:spacing w:val="1"/>
        </w:rPr>
        <w:t>du même sexe que la personne détenue.</w:t>
      </w:r>
    </w:p>
    <w:p w14:paraId="6F1E95C6" w14:textId="4FB05A7C" w:rsidR="00ED6917" w:rsidRPr="008C2525" w:rsidRDefault="00ED6917" w:rsidP="00ED6917">
      <w:pPr>
        <w:pStyle w:val="SingleTxtG"/>
      </w:pPr>
      <w:r w:rsidRPr="008C2525">
        <w:t>19.</w:t>
      </w:r>
      <w:r w:rsidRPr="008C2525">
        <w:tab/>
      </w:r>
      <w:r w:rsidRPr="008C2525">
        <w:rPr>
          <w:lang w:val="fr-FR"/>
        </w:rPr>
        <w:t>Compte tenu des précédentes observations finales du Comité (par.</w:t>
      </w:r>
      <w:r>
        <w:rPr>
          <w:lang w:val="fr-FR"/>
        </w:rPr>
        <w:t> </w:t>
      </w:r>
      <w:r w:rsidRPr="008C2525">
        <w:rPr>
          <w:lang w:val="fr-FR"/>
        </w:rPr>
        <w:t xml:space="preserve">17 et 18) et des informations </w:t>
      </w:r>
      <w:r>
        <w:rPr>
          <w:lang w:val="fr-FR"/>
        </w:rPr>
        <w:t>faisant état de</w:t>
      </w:r>
      <w:r w:rsidRPr="008C2525">
        <w:rPr>
          <w:lang w:val="fr-FR"/>
        </w:rPr>
        <w:t xml:space="preserve"> décès en garde à vue et en milieu carcéral</w:t>
      </w:r>
      <w:r>
        <w:t>,</w:t>
      </w:r>
      <w:r w:rsidRPr="008C2525">
        <w:rPr>
          <w:lang w:val="fr-FR"/>
        </w:rPr>
        <w:t xml:space="preserve"> fournir</w:t>
      </w:r>
      <w:r w:rsidRPr="008C2525">
        <w:t xml:space="preserve"> des données </w:t>
      </w:r>
      <w:r w:rsidRPr="008C2525">
        <w:rPr>
          <w:lang w:val="fr-FR"/>
        </w:rPr>
        <w:t>sur le nombre de décès de personnes privées de liberté depuis 2018, y</w:t>
      </w:r>
      <w:r w:rsidR="00DF008E">
        <w:rPr>
          <w:lang w:val="fr-FR"/>
        </w:rPr>
        <w:t> </w:t>
      </w:r>
      <w:r w:rsidRPr="008C2525">
        <w:rPr>
          <w:lang w:val="fr-FR"/>
        </w:rPr>
        <w:t>compris dans les établissements de santé mentale et les locaux de garde à vue, ventilées par lieu de détention, sexe, groupe d</w:t>
      </w:r>
      <w:r>
        <w:rPr>
          <w:lang w:val="fr-FR"/>
        </w:rPr>
        <w:t>’</w:t>
      </w:r>
      <w:r w:rsidRPr="008C2525">
        <w:rPr>
          <w:lang w:val="fr-FR"/>
        </w:rPr>
        <w:t xml:space="preserve">âge (mineur/adulte), origine ethnique ou nationalité </w:t>
      </w:r>
      <w:r w:rsidRPr="008C2525">
        <w:rPr>
          <w:lang w:val="fr-FR" w:eastAsia="es-ES"/>
        </w:rPr>
        <w:t xml:space="preserve">(sénégalais/étranger) </w:t>
      </w:r>
      <w:r w:rsidRPr="008C2525">
        <w:rPr>
          <w:lang w:val="fr-FR"/>
        </w:rPr>
        <w:t xml:space="preserve">du défunt et cause du décès </w:t>
      </w:r>
      <w:r w:rsidRPr="008C2525">
        <w:rPr>
          <w:lang w:val="fr-FR" w:eastAsia="es-ES"/>
        </w:rPr>
        <w:t>(</w:t>
      </w:r>
      <w:r w:rsidRPr="008C2525">
        <w:rPr>
          <w:lang w:val="fr-FR"/>
        </w:rPr>
        <w:t>mort des suites de violences entre ou contre les personnes privées de liberté</w:t>
      </w:r>
      <w:r w:rsidRPr="008C2525">
        <w:rPr>
          <w:lang w:val="fr-FR" w:eastAsia="es-ES"/>
        </w:rPr>
        <w:t>, suicide, mort naturelle</w:t>
      </w:r>
      <w:r w:rsidRPr="008C2525">
        <w:rPr>
          <w:lang w:val="fr-FR" w:eastAsia="en-GB"/>
        </w:rPr>
        <w:t>, maladie)</w:t>
      </w:r>
      <w:r w:rsidRPr="008C2525">
        <w:rPr>
          <w:lang w:val="fr-FR"/>
        </w:rPr>
        <w:t xml:space="preserve">. </w:t>
      </w:r>
      <w:r w:rsidRPr="008C2525">
        <w:rPr>
          <w:lang w:val="fr-FR" w:eastAsia="es-ES"/>
        </w:rPr>
        <w:t>Donner des renseignements détaillés sur le nombre et l</w:t>
      </w:r>
      <w:r>
        <w:rPr>
          <w:lang w:val="fr-FR" w:eastAsia="es-ES"/>
        </w:rPr>
        <w:t>’</w:t>
      </w:r>
      <w:r w:rsidRPr="008C2525">
        <w:rPr>
          <w:lang w:val="fr-FR" w:eastAsia="es-ES"/>
        </w:rPr>
        <w:t xml:space="preserve">issue des enquêtes menées dans ces affaires, en précisant si </w:t>
      </w:r>
      <w:r w:rsidRPr="008C2525">
        <w:t>une expertise médico</w:t>
      </w:r>
      <w:r w:rsidR="00D667DC">
        <w:noBreakHyphen/>
      </w:r>
      <w:r w:rsidRPr="008C2525">
        <w:t>légale comprenant une autopsie</w:t>
      </w:r>
      <w:r w:rsidRPr="006117CD">
        <w:rPr>
          <w:bCs/>
        </w:rPr>
        <w:t xml:space="preserve"> </w:t>
      </w:r>
      <w:r w:rsidRPr="008C2525">
        <w:rPr>
          <w:lang w:val="fr-FR" w:eastAsia="es-ES"/>
        </w:rPr>
        <w:t>a été réalisée, et sur le nombre de décès qui auraient été causés par des agressions commises ou tolérées par des agents de l</w:t>
      </w:r>
      <w:r>
        <w:rPr>
          <w:lang w:val="fr-FR" w:eastAsia="es-ES"/>
        </w:rPr>
        <w:t>’</w:t>
      </w:r>
      <w:r w:rsidRPr="008C2525">
        <w:rPr>
          <w:lang w:val="fr-FR" w:eastAsia="es-ES"/>
        </w:rPr>
        <w:t>État, au cours desquelles une force excessive aurait été utilisée, ou à la suite desquelles le détenu n</w:t>
      </w:r>
      <w:r>
        <w:rPr>
          <w:lang w:val="fr-FR" w:eastAsia="es-ES"/>
        </w:rPr>
        <w:t>’</w:t>
      </w:r>
      <w:r w:rsidRPr="008C2525">
        <w:rPr>
          <w:lang w:val="fr-FR" w:eastAsia="es-ES"/>
        </w:rPr>
        <w:t>aurait pas reçu à temps les soins médica</w:t>
      </w:r>
      <w:r>
        <w:rPr>
          <w:lang w:val="fr-FR" w:eastAsia="es-ES"/>
        </w:rPr>
        <w:t>ux et le traitement nécessaires</w:t>
      </w:r>
      <w:r w:rsidRPr="007E387A">
        <w:rPr>
          <w:rStyle w:val="Appelnotedebasdep"/>
        </w:rPr>
        <w:footnoteReference w:id="49"/>
      </w:r>
      <w:r>
        <w:rPr>
          <w:lang w:eastAsia="es-ES"/>
        </w:rPr>
        <w:t>.</w:t>
      </w:r>
      <w:r w:rsidRPr="008C2525">
        <w:rPr>
          <w:lang w:val="fr-FR" w:eastAsia="es-ES"/>
        </w:rPr>
        <w:t xml:space="preserve"> Indiquer aussi </w:t>
      </w:r>
      <w:r w:rsidRPr="008C2525">
        <w:rPr>
          <w:lang w:val="fr-FR" w:eastAsia="en-GB"/>
        </w:rPr>
        <w:t>les condamnations prononcées, les sanctions pénales et disciplinaires appliquées</w:t>
      </w:r>
      <w:r w:rsidRPr="008C2525">
        <w:rPr>
          <w:lang w:val="fr-FR" w:eastAsia="es-ES"/>
        </w:rPr>
        <w:t xml:space="preserve">, </w:t>
      </w:r>
      <w:r w:rsidRPr="008C2525">
        <w:rPr>
          <w:lang w:val="fr-FR" w:eastAsia="en-GB"/>
        </w:rPr>
        <w:t>les mesures de réparation octroyées aux victimes et à leurs ayants droit,</w:t>
      </w:r>
      <w:r w:rsidRPr="008C2525">
        <w:rPr>
          <w:lang w:val="fr-FR" w:eastAsia="es-ES"/>
        </w:rPr>
        <w:t xml:space="preserve"> ainsi que les mesures prises pour empêcher que de tels faits se reproduisent</w:t>
      </w:r>
      <w:r w:rsidRPr="008C2525">
        <w:rPr>
          <w:lang w:eastAsia="es-ES"/>
        </w:rPr>
        <w:t>.</w:t>
      </w:r>
      <w:r w:rsidRPr="008C2525">
        <w:rPr>
          <w:lang w:val="fr-FR" w:eastAsia="en-GB"/>
        </w:rPr>
        <w:t xml:space="preserve"> Spécifier si les </w:t>
      </w:r>
      <w:r w:rsidRPr="008C2525">
        <w:rPr>
          <w:rFonts w:eastAsia="Calibri"/>
          <w:lang w:val="fr-FR"/>
        </w:rPr>
        <w:t xml:space="preserve">examens médico-légaux sont pratiqués conformément au Protocole type pour les enquêtes judiciaires concernant les exécutions extrajudiciaires, arbitraires et sommaires (Protocole du Minnesota). </w:t>
      </w:r>
      <w:r w:rsidRPr="008C2525">
        <w:rPr>
          <w:lang w:val="fr-FR"/>
        </w:rPr>
        <w:t xml:space="preserve">Clarifier aussi si des enquêtes ont été ouvertes et si des poursuites ont été engagées, ainsi que les résultats de ces enquêtes, concernant les </w:t>
      </w:r>
      <w:r w:rsidRPr="008C2525">
        <w:rPr>
          <w:rFonts w:eastAsia="Times New Roman"/>
          <w:lang w:eastAsia="fr-CH"/>
        </w:rPr>
        <w:t>exécutions de Yamadou Sagna, Abdoulaye Baldé et Mbaye Mboup</w:t>
      </w:r>
      <w:r w:rsidRPr="008C2525">
        <w:rPr>
          <w:lang w:val="fr-FR"/>
        </w:rPr>
        <w:t>, mentionnées dans les précédentes observations finales du Comité (par.</w:t>
      </w:r>
      <w:r w:rsidR="00D667DC">
        <w:rPr>
          <w:lang w:val="fr-FR"/>
        </w:rPr>
        <w:t> </w:t>
      </w:r>
      <w:r w:rsidRPr="008C2525">
        <w:rPr>
          <w:lang w:val="fr-FR"/>
        </w:rPr>
        <w:t xml:space="preserve">29). </w:t>
      </w:r>
      <w:r w:rsidRPr="008C2525">
        <w:rPr>
          <w:lang w:val="fr-FR" w:eastAsia="es-ES"/>
        </w:rPr>
        <w:t>En</w:t>
      </w:r>
      <w:r w:rsidR="00D667DC">
        <w:rPr>
          <w:lang w:val="fr-FR" w:eastAsia="es-ES"/>
        </w:rPr>
        <w:t> </w:t>
      </w:r>
      <w:r w:rsidRPr="008C2525">
        <w:rPr>
          <w:lang w:val="fr-FR" w:eastAsia="es-ES"/>
        </w:rPr>
        <w:t>particulier, présenter les résultats des enquêtes pénales ouvertes sur les décès en détention de</w:t>
      </w:r>
      <w:r>
        <w:rPr>
          <w:lang w:val="fr-FR" w:eastAsia="es-ES"/>
        </w:rPr>
        <w:t> </w:t>
      </w:r>
      <w:r w:rsidRPr="008C2525">
        <w:rPr>
          <w:lang w:val="fr-FR" w:eastAsia="es-ES"/>
        </w:rPr>
        <w:t xml:space="preserve">: </w:t>
      </w:r>
      <w:r>
        <w:rPr>
          <w:lang w:val="fr-FR" w:eastAsia="es-ES"/>
        </w:rPr>
        <w:t>a</w:t>
      </w:r>
      <w:r w:rsidRPr="008C2525">
        <w:rPr>
          <w:lang w:val="fr-FR" w:eastAsia="es-ES"/>
        </w:rPr>
        <w:t>)</w:t>
      </w:r>
      <w:r w:rsidR="00D667DC">
        <w:rPr>
          <w:lang w:val="fr-FR" w:eastAsia="es-ES"/>
        </w:rPr>
        <w:t> </w:t>
      </w:r>
      <w:r w:rsidRPr="008C2525">
        <w:rPr>
          <w:lang w:val="fr-FR" w:eastAsia="es-ES"/>
        </w:rPr>
        <w:t>Louis Dieng, mort le 20</w:t>
      </w:r>
      <w:r w:rsidR="00D667DC">
        <w:rPr>
          <w:lang w:val="fr-FR" w:eastAsia="es-ES"/>
        </w:rPr>
        <w:t> </w:t>
      </w:r>
      <w:r w:rsidRPr="008C2525">
        <w:rPr>
          <w:lang w:val="fr-FR" w:eastAsia="es-ES"/>
        </w:rPr>
        <w:t>février 2019 des suites d</w:t>
      </w:r>
      <w:r>
        <w:rPr>
          <w:lang w:val="fr-FR" w:eastAsia="es-ES"/>
        </w:rPr>
        <w:t>’</w:t>
      </w:r>
      <w:r w:rsidRPr="008C2525">
        <w:rPr>
          <w:lang w:val="fr-FR" w:eastAsia="es-ES"/>
        </w:rPr>
        <w:t>une crise d</w:t>
      </w:r>
      <w:r>
        <w:rPr>
          <w:lang w:val="fr-FR" w:eastAsia="es-ES"/>
        </w:rPr>
        <w:t>’</w:t>
      </w:r>
      <w:r w:rsidRPr="008C2525">
        <w:rPr>
          <w:lang w:val="fr-FR" w:eastAsia="es-ES"/>
        </w:rPr>
        <w:t>asthme alors qu</w:t>
      </w:r>
      <w:r>
        <w:rPr>
          <w:lang w:val="fr-FR" w:eastAsia="es-ES"/>
        </w:rPr>
        <w:t>’</w:t>
      </w:r>
      <w:r w:rsidRPr="008C2525">
        <w:rPr>
          <w:lang w:val="fr-FR" w:eastAsia="es-ES"/>
        </w:rPr>
        <w:t>il partageait sa c</w:t>
      </w:r>
      <w:r>
        <w:rPr>
          <w:lang w:val="fr-FR" w:eastAsia="es-ES"/>
        </w:rPr>
        <w:t>ellule avec 87</w:t>
      </w:r>
      <w:r w:rsidR="00D667DC">
        <w:rPr>
          <w:lang w:val="fr-FR" w:eastAsia="es-ES"/>
        </w:rPr>
        <w:t> </w:t>
      </w:r>
      <w:r>
        <w:rPr>
          <w:lang w:val="fr-FR" w:eastAsia="es-ES"/>
        </w:rPr>
        <w:t>autres détenus </w:t>
      </w:r>
      <w:r>
        <w:rPr>
          <w:lang w:eastAsia="es-ES"/>
        </w:rPr>
        <w:t>;</w:t>
      </w:r>
      <w:r w:rsidRPr="008C2525">
        <w:rPr>
          <w:lang w:val="fr-FR" w:eastAsia="es-ES"/>
        </w:rPr>
        <w:t xml:space="preserve"> </w:t>
      </w:r>
      <w:r>
        <w:rPr>
          <w:lang w:val="fr-FR" w:eastAsia="es-ES"/>
        </w:rPr>
        <w:t>b</w:t>
      </w:r>
      <w:r w:rsidRPr="008C2525">
        <w:rPr>
          <w:lang w:val="fr-FR" w:eastAsia="es-ES"/>
        </w:rPr>
        <w:t>)</w:t>
      </w:r>
      <w:r w:rsidR="00D667DC">
        <w:rPr>
          <w:lang w:val="fr-FR" w:eastAsia="es-ES"/>
        </w:rPr>
        <w:t> </w:t>
      </w:r>
      <w:r w:rsidRPr="008C2525">
        <w:rPr>
          <w:lang w:val="fr-FR" w:eastAsia="es-ES"/>
        </w:rPr>
        <w:t xml:space="preserve">Serigne Fallou Ka, </w:t>
      </w:r>
      <w:r>
        <w:t>battu</w:t>
      </w:r>
      <w:r w:rsidRPr="008C2525">
        <w:t xml:space="preserve"> à mort</w:t>
      </w:r>
      <w:r w:rsidRPr="008C2525">
        <w:rPr>
          <w:lang w:val="fr-FR" w:eastAsia="es-ES"/>
        </w:rPr>
        <w:t xml:space="preserve"> le 2</w:t>
      </w:r>
      <w:r w:rsidR="00D667DC">
        <w:rPr>
          <w:lang w:val="fr-FR" w:eastAsia="es-ES"/>
        </w:rPr>
        <w:t> </w:t>
      </w:r>
      <w:r w:rsidRPr="008C2525">
        <w:rPr>
          <w:lang w:val="fr-FR" w:eastAsia="es-ES"/>
        </w:rPr>
        <w:t>mai 2019 à la maison d</w:t>
      </w:r>
      <w:r>
        <w:rPr>
          <w:lang w:val="fr-FR" w:eastAsia="es-ES"/>
        </w:rPr>
        <w:t>’</w:t>
      </w:r>
      <w:r w:rsidRPr="008C2525">
        <w:rPr>
          <w:lang w:val="fr-FR" w:eastAsia="es-ES"/>
        </w:rPr>
        <w:t>arrê</w:t>
      </w:r>
      <w:r>
        <w:rPr>
          <w:lang w:val="fr-FR" w:eastAsia="es-ES"/>
        </w:rPr>
        <w:t>t et de correction de Diourbel </w:t>
      </w:r>
      <w:r>
        <w:rPr>
          <w:lang w:eastAsia="es-ES"/>
        </w:rPr>
        <w:t>;</w:t>
      </w:r>
      <w:r w:rsidRPr="008C2525">
        <w:rPr>
          <w:lang w:val="fr-FR" w:eastAsia="es-ES"/>
        </w:rPr>
        <w:t xml:space="preserve"> </w:t>
      </w:r>
      <w:r>
        <w:rPr>
          <w:lang w:val="fr-FR" w:eastAsia="es-ES"/>
        </w:rPr>
        <w:t>c</w:t>
      </w:r>
      <w:r w:rsidRPr="008C2525">
        <w:rPr>
          <w:lang w:val="fr-FR" w:eastAsia="es-ES"/>
        </w:rPr>
        <w:t>)</w:t>
      </w:r>
      <w:r w:rsidR="00D667DC">
        <w:rPr>
          <w:lang w:val="fr-FR" w:eastAsia="es-ES"/>
        </w:rPr>
        <w:t> </w:t>
      </w:r>
      <w:r w:rsidRPr="008C2525">
        <w:rPr>
          <w:lang w:val="fr-FR" w:eastAsia="es-ES"/>
        </w:rPr>
        <w:t xml:space="preserve">Babacar Mané et Cheikh Ndiaye, morts </w:t>
      </w:r>
      <w:r w:rsidRPr="008C2525">
        <w:rPr>
          <w:lang w:val="fr-FR" w:eastAsia="es-ES"/>
        </w:rPr>
        <w:lastRenderedPageBreak/>
        <w:t>le 29</w:t>
      </w:r>
      <w:r w:rsidR="00D667DC">
        <w:rPr>
          <w:lang w:val="fr-FR" w:eastAsia="es-ES"/>
        </w:rPr>
        <w:t> </w:t>
      </w:r>
      <w:r w:rsidRPr="008C2525">
        <w:rPr>
          <w:lang w:val="fr-FR" w:eastAsia="es-ES"/>
        </w:rPr>
        <w:t>août 2019 à la maison d</w:t>
      </w:r>
      <w:r>
        <w:rPr>
          <w:lang w:val="fr-FR" w:eastAsia="es-ES"/>
        </w:rPr>
        <w:t>’</w:t>
      </w:r>
      <w:r w:rsidRPr="008C2525">
        <w:rPr>
          <w:lang w:val="fr-FR" w:eastAsia="es-ES"/>
        </w:rPr>
        <w:t>arrêt de Rebeuss d</w:t>
      </w:r>
      <w:r>
        <w:rPr>
          <w:lang w:val="fr-FR" w:eastAsia="es-ES"/>
        </w:rPr>
        <w:t>’</w:t>
      </w:r>
      <w:r w:rsidRPr="008C2525">
        <w:rPr>
          <w:lang w:val="fr-FR" w:eastAsia="es-ES"/>
        </w:rPr>
        <w:t>un arrêt cardiocirculatoire par électrocution</w:t>
      </w:r>
      <w:r>
        <w:rPr>
          <w:lang w:val="fr-FR" w:eastAsia="es-ES"/>
        </w:rPr>
        <w:t> </w:t>
      </w:r>
      <w:r>
        <w:rPr>
          <w:lang w:eastAsia="es-ES"/>
        </w:rPr>
        <w:t>;</w:t>
      </w:r>
      <w:r w:rsidRPr="008C2525">
        <w:rPr>
          <w:lang w:val="fr-FR" w:eastAsia="es-ES"/>
        </w:rPr>
        <w:t xml:space="preserve"> </w:t>
      </w:r>
      <w:r>
        <w:rPr>
          <w:lang w:val="fr-FR" w:eastAsia="es-ES"/>
        </w:rPr>
        <w:t>d</w:t>
      </w:r>
      <w:r w:rsidRPr="008C2525">
        <w:rPr>
          <w:lang w:val="fr-FR" w:eastAsia="es-ES"/>
        </w:rPr>
        <w:t>)</w:t>
      </w:r>
      <w:r w:rsidR="00D667DC">
        <w:rPr>
          <w:lang w:val="fr-FR" w:eastAsia="es-ES"/>
        </w:rPr>
        <w:t> </w:t>
      </w:r>
      <w:r w:rsidRPr="008C2525">
        <w:t>Sény Sané, chef du village de Toubacouta</w:t>
      </w:r>
      <w:r>
        <w:t>,</w:t>
      </w:r>
      <w:r w:rsidRPr="008C2525">
        <w:t xml:space="preserve"> en Casamance, décédé le 1</w:t>
      </w:r>
      <w:r w:rsidRPr="006117CD">
        <w:rPr>
          <w:vertAlign w:val="superscript"/>
        </w:rPr>
        <w:t>er</w:t>
      </w:r>
      <w:r w:rsidR="00D667DC">
        <w:t> </w:t>
      </w:r>
      <w:r w:rsidRPr="008C2525">
        <w:t>août 2019 dans le pavillon spécial de l</w:t>
      </w:r>
      <w:r>
        <w:t>’</w:t>
      </w:r>
      <w:r w:rsidRPr="008C2525">
        <w:t xml:space="preserve">hôpital </w:t>
      </w:r>
      <w:r>
        <w:t>Le Dantec lors de sa détention ; et</w:t>
      </w:r>
      <w:r w:rsidRPr="008C2525">
        <w:t xml:space="preserve"> </w:t>
      </w:r>
      <w:r>
        <w:t>e</w:t>
      </w:r>
      <w:r w:rsidRPr="008C2525">
        <w:t>)</w:t>
      </w:r>
      <w:r w:rsidR="00D667DC">
        <w:t> </w:t>
      </w:r>
      <w:r w:rsidRPr="008C2525">
        <w:t>El</w:t>
      </w:r>
      <w:r w:rsidR="00D667DC">
        <w:t> </w:t>
      </w:r>
      <w:r w:rsidRPr="008C2525">
        <w:t xml:space="preserve">Hadji Ousmane Diop, arrêté à Nord-Foire et décédé à la </w:t>
      </w:r>
      <w:r w:rsidRPr="008C2525">
        <w:rPr>
          <w:lang w:val="fr-FR" w:eastAsia="es-ES"/>
        </w:rPr>
        <w:t>maison d</w:t>
      </w:r>
      <w:r>
        <w:rPr>
          <w:lang w:val="fr-FR" w:eastAsia="es-ES"/>
        </w:rPr>
        <w:t>’</w:t>
      </w:r>
      <w:r w:rsidRPr="008C2525">
        <w:rPr>
          <w:lang w:val="fr-FR" w:eastAsia="es-ES"/>
        </w:rPr>
        <w:t>arrêt</w:t>
      </w:r>
      <w:r w:rsidRPr="008C2525">
        <w:t xml:space="preserve"> de Rebeuss, le</w:t>
      </w:r>
      <w:r w:rsidR="00D667DC">
        <w:t> </w:t>
      </w:r>
      <w:r w:rsidRPr="008C2525">
        <w:t>31</w:t>
      </w:r>
      <w:r w:rsidR="00D667DC">
        <w:t> </w:t>
      </w:r>
      <w:r w:rsidRPr="008C2525">
        <w:t>mars 2019</w:t>
      </w:r>
      <w:r>
        <w:t>.</w:t>
      </w:r>
    </w:p>
    <w:p w14:paraId="0364C0D9" w14:textId="6C534782" w:rsidR="00ED6917" w:rsidRPr="008C2525" w:rsidRDefault="00ED6917" w:rsidP="00ED6917">
      <w:pPr>
        <w:pStyle w:val="SingleTxtG"/>
        <w:rPr>
          <w:lang w:val="fr-FR"/>
        </w:rPr>
      </w:pPr>
      <w:r>
        <w:rPr>
          <w:lang w:val="fr-FR"/>
        </w:rPr>
        <w:t>20.</w:t>
      </w:r>
      <w:r>
        <w:rPr>
          <w:lang w:val="fr-FR"/>
        </w:rPr>
        <w:tab/>
      </w:r>
      <w:r w:rsidRPr="008C2525">
        <w:rPr>
          <w:lang w:val="fr-FR"/>
        </w:rPr>
        <w:t xml:space="preserve">Compte tenu des précédentes observations finales du Comité (par. 33 </w:t>
      </w:r>
      <w:r>
        <w:rPr>
          <w:lang w:val="fr-FR"/>
        </w:rPr>
        <w:t>et</w:t>
      </w:r>
      <w:r w:rsidRPr="008C2525">
        <w:rPr>
          <w:lang w:val="fr-FR"/>
        </w:rPr>
        <w:t xml:space="preserve"> 34)</w:t>
      </w:r>
      <w:r>
        <w:rPr>
          <w:lang w:val="fr-FR"/>
        </w:rPr>
        <w:t>,</w:t>
      </w:r>
      <w:r w:rsidRPr="008C2525">
        <w:rPr>
          <w:lang w:val="fr-FR"/>
        </w:rPr>
        <w:t xml:space="preserve"> décrire la procédure et les critères utilisés pour évaluer la nécessité et la proportionnalité de la détention pour des motifs liés à l</w:t>
      </w:r>
      <w:r>
        <w:rPr>
          <w:lang w:val="fr-FR"/>
        </w:rPr>
        <w:t>’</w:t>
      </w:r>
      <w:r w:rsidRPr="008C2525">
        <w:rPr>
          <w:lang w:val="fr-FR"/>
        </w:rPr>
        <w:t>immigration</w:t>
      </w:r>
      <w:r>
        <w:rPr>
          <w:lang w:val="fr-FR"/>
        </w:rPr>
        <w:t>,</w:t>
      </w:r>
      <w:r w:rsidRPr="006117CD">
        <w:rPr>
          <w:lang w:val="fr-FR"/>
        </w:rPr>
        <w:t xml:space="preserve"> </w:t>
      </w:r>
      <w:r w:rsidRPr="008C2525">
        <w:rPr>
          <w:lang w:val="fr-FR"/>
        </w:rPr>
        <w:t xml:space="preserve">et indiquer quelles mesures </w:t>
      </w:r>
      <w:r>
        <w:rPr>
          <w:lang w:val="fr-FR"/>
        </w:rPr>
        <w:t>de substitution à la détention</w:t>
      </w:r>
      <w:r w:rsidRPr="008C2525">
        <w:rPr>
          <w:lang w:val="fr-FR"/>
        </w:rPr>
        <w:t xml:space="preserve"> existent. Préciser si les décisions de placement en détention pour des motifs liés à l</w:t>
      </w:r>
      <w:r>
        <w:rPr>
          <w:lang w:val="fr-FR"/>
        </w:rPr>
        <w:t>’</w:t>
      </w:r>
      <w:r w:rsidRPr="008C2525">
        <w:rPr>
          <w:lang w:val="fr-FR"/>
        </w:rPr>
        <w:t>immigration sont périodiquement réexaminées et s</w:t>
      </w:r>
      <w:r>
        <w:rPr>
          <w:lang w:val="fr-FR"/>
        </w:rPr>
        <w:t>’</w:t>
      </w:r>
      <w:r w:rsidRPr="008C2525">
        <w:rPr>
          <w:lang w:val="fr-FR"/>
        </w:rPr>
        <w:t>il est possible de contester la légalité et la proportionnalité de ces décisions ainsi que la durée de la détention qu</w:t>
      </w:r>
      <w:r>
        <w:rPr>
          <w:lang w:val="fr-FR"/>
        </w:rPr>
        <w:t>’</w:t>
      </w:r>
      <w:r w:rsidRPr="008C2525">
        <w:rPr>
          <w:lang w:val="fr-FR"/>
        </w:rPr>
        <w:t>elles imposent. Clarifier si l</w:t>
      </w:r>
      <w:r>
        <w:rPr>
          <w:lang w:val="fr-FR"/>
        </w:rPr>
        <w:t>’État</w:t>
      </w:r>
      <w:r w:rsidRPr="008C2525">
        <w:rPr>
          <w:lang w:val="fr-FR"/>
        </w:rPr>
        <w:t xml:space="preserve"> partie envisage d</w:t>
      </w:r>
      <w:r>
        <w:rPr>
          <w:lang w:val="fr-FR"/>
        </w:rPr>
        <w:t>’</w:t>
      </w:r>
      <w:r w:rsidRPr="008C2525">
        <w:rPr>
          <w:lang w:val="fr-FR"/>
        </w:rPr>
        <w:t>interdire la détention d</w:t>
      </w:r>
      <w:r>
        <w:rPr>
          <w:lang w:val="fr-FR"/>
        </w:rPr>
        <w:t>’</w:t>
      </w:r>
      <w:r w:rsidRPr="008C2525">
        <w:rPr>
          <w:lang w:val="fr-FR"/>
        </w:rPr>
        <w:t>enfants non accompagnés pour des motifs liés à l</w:t>
      </w:r>
      <w:r>
        <w:rPr>
          <w:lang w:val="fr-FR"/>
        </w:rPr>
        <w:t>’</w:t>
      </w:r>
      <w:r w:rsidRPr="008C2525">
        <w:rPr>
          <w:lang w:val="fr-FR"/>
        </w:rPr>
        <w:t>immigration. Préciser les mesures prises pour s</w:t>
      </w:r>
      <w:r>
        <w:rPr>
          <w:lang w:val="fr-FR"/>
        </w:rPr>
        <w:t>’</w:t>
      </w:r>
      <w:r w:rsidRPr="008C2525">
        <w:rPr>
          <w:lang w:val="fr-FR"/>
        </w:rPr>
        <w:t>assurer que les personnes placées en détention pour des motifs liés à l</w:t>
      </w:r>
      <w:r>
        <w:rPr>
          <w:lang w:val="fr-FR"/>
        </w:rPr>
        <w:t>’</w:t>
      </w:r>
      <w:r w:rsidRPr="008C2525">
        <w:rPr>
          <w:lang w:val="fr-FR"/>
        </w:rPr>
        <w:t>immigration</w:t>
      </w:r>
      <w:r w:rsidRPr="004F20FC">
        <w:rPr>
          <w:bCs/>
          <w:lang w:val="fr-FR"/>
        </w:rPr>
        <w:t xml:space="preserve"> </w:t>
      </w:r>
      <w:r w:rsidRPr="008C2525">
        <w:rPr>
          <w:lang w:val="fr-FR"/>
        </w:rPr>
        <w:t>soient séparées des détenus ordinaires. Fournir des données statistiques annuelles depuis 2018, ventilées par sexe, groupe d</w:t>
      </w:r>
      <w:r>
        <w:rPr>
          <w:lang w:val="fr-FR"/>
        </w:rPr>
        <w:t>’</w:t>
      </w:r>
      <w:r w:rsidRPr="008C2525">
        <w:rPr>
          <w:lang w:val="fr-FR"/>
        </w:rPr>
        <w:t>âge (mineur/adulte) et nationalité des détenus, sur le nombre de personnes détenues pour des motifs liés à l</w:t>
      </w:r>
      <w:r>
        <w:rPr>
          <w:lang w:val="fr-FR"/>
        </w:rPr>
        <w:t>’</w:t>
      </w:r>
      <w:r w:rsidRPr="008C2525">
        <w:rPr>
          <w:lang w:val="fr-FR"/>
        </w:rPr>
        <w:t>immigration</w:t>
      </w:r>
      <w:r w:rsidRPr="00DF008E">
        <w:rPr>
          <w:bCs/>
          <w:lang w:val="fr-FR"/>
        </w:rPr>
        <w:t xml:space="preserve"> </w:t>
      </w:r>
      <w:r w:rsidRPr="008C2525">
        <w:rPr>
          <w:lang w:val="fr-FR"/>
        </w:rPr>
        <w:t>et la proportion du nombre total de cas par an dans lesquels des mesures de substitution à la détention ont été utilisées.</w:t>
      </w:r>
    </w:p>
    <w:p w14:paraId="4B46F84F" w14:textId="51EB28C2" w:rsidR="00ED6917" w:rsidRPr="008C2525" w:rsidRDefault="00ED6917" w:rsidP="004F20FC">
      <w:pPr>
        <w:pStyle w:val="H23G"/>
        <w:rPr>
          <w:lang w:val="fr-FR" w:eastAsia="en-GB"/>
        </w:rPr>
      </w:pPr>
      <w:r w:rsidRPr="008C2525">
        <w:rPr>
          <w:lang w:val="fr-FR" w:eastAsia="en-GB"/>
        </w:rPr>
        <w:tab/>
      </w:r>
      <w:r w:rsidRPr="008C2525">
        <w:rPr>
          <w:lang w:val="fr-FR" w:eastAsia="en-GB"/>
        </w:rPr>
        <w:tab/>
      </w:r>
      <w:r w:rsidRPr="008C2525">
        <w:rPr>
          <w:lang w:val="fr-FR" w:eastAsia="en-GB"/>
        </w:rPr>
        <w:tab/>
        <w:t>Articles</w:t>
      </w:r>
      <w:r w:rsidR="00D667DC">
        <w:rPr>
          <w:lang w:val="fr-FR" w:eastAsia="en-GB"/>
        </w:rPr>
        <w:t> </w:t>
      </w:r>
      <w:r w:rsidRPr="008C2525">
        <w:rPr>
          <w:lang w:val="fr-FR" w:eastAsia="en-GB"/>
        </w:rPr>
        <w:t>12 et 13</w:t>
      </w:r>
    </w:p>
    <w:p w14:paraId="7CB0C05E" w14:textId="66BFB89E" w:rsidR="00ED6917" w:rsidRPr="006A1465" w:rsidRDefault="00ED6917" w:rsidP="00ED6917">
      <w:pPr>
        <w:pStyle w:val="SingleTxtG"/>
        <w:rPr>
          <w:w w:val="103"/>
        </w:rPr>
      </w:pPr>
      <w:r w:rsidRPr="008C2525">
        <w:rPr>
          <w:lang w:val="fr-FR"/>
        </w:rPr>
        <w:t>21.</w:t>
      </w:r>
      <w:r w:rsidRPr="008C2525">
        <w:rPr>
          <w:lang w:val="fr-FR"/>
        </w:rPr>
        <w:tab/>
        <w:t>Compte tenu des précédentes observations finales du Comité (par.</w:t>
      </w:r>
      <w:r>
        <w:rPr>
          <w:lang w:val="fr-FR"/>
        </w:rPr>
        <w:t> </w:t>
      </w:r>
      <w:r w:rsidRPr="008C2525">
        <w:rPr>
          <w:lang w:val="fr-FR"/>
        </w:rPr>
        <w:t xml:space="preserve">11 </w:t>
      </w:r>
      <w:r>
        <w:rPr>
          <w:lang w:val="fr-FR"/>
        </w:rPr>
        <w:t>et</w:t>
      </w:r>
      <w:r w:rsidRPr="008C2525">
        <w:rPr>
          <w:lang w:val="fr-FR"/>
        </w:rPr>
        <w:t xml:space="preserve"> 12) concernant </w:t>
      </w:r>
      <w:r w:rsidRPr="008C2525">
        <w:rPr>
          <w:rFonts w:eastAsia="Calibri"/>
        </w:rPr>
        <w:t>les infractions</w:t>
      </w:r>
      <w:r w:rsidRPr="008C2525">
        <w:rPr>
          <w:rFonts w:eastAsia="Calibri" w:cs="Calibri"/>
          <w:lang w:val="fr-FR"/>
        </w:rPr>
        <w:t xml:space="preserve"> commises dans le cadre du conflit armé non international en Casamance</w:t>
      </w:r>
      <w:r w:rsidRPr="008C2525">
        <w:t>,</w:t>
      </w:r>
      <w:r w:rsidRPr="008C2525">
        <w:rPr>
          <w:lang w:val="fr-FR"/>
        </w:rPr>
        <w:t xml:space="preserve"> indiquer : a)</w:t>
      </w:r>
      <w:r w:rsidR="00D667DC">
        <w:rPr>
          <w:lang w:val="fr-FR"/>
        </w:rPr>
        <w:t> </w:t>
      </w:r>
      <w:r w:rsidRPr="008C2525">
        <w:rPr>
          <w:lang w:val="fr-FR"/>
        </w:rPr>
        <w:t>si l</w:t>
      </w:r>
      <w:r>
        <w:rPr>
          <w:lang w:val="fr-FR"/>
        </w:rPr>
        <w:t>’État</w:t>
      </w:r>
      <w:r w:rsidRPr="008C2525">
        <w:rPr>
          <w:lang w:val="fr-FR"/>
        </w:rPr>
        <w:t xml:space="preserve"> partie envisage d</w:t>
      </w:r>
      <w:r>
        <w:rPr>
          <w:lang w:val="fr-FR"/>
        </w:rPr>
        <w:t>’</w:t>
      </w:r>
      <w:r w:rsidRPr="008C2525">
        <w:rPr>
          <w:lang w:val="fr-FR"/>
        </w:rPr>
        <w:t>abroger la loi d</w:t>
      </w:r>
      <w:r>
        <w:rPr>
          <w:lang w:val="fr-FR"/>
        </w:rPr>
        <w:t>’</w:t>
      </w:r>
      <w:r w:rsidRPr="008C2525">
        <w:rPr>
          <w:lang w:val="fr-FR"/>
        </w:rPr>
        <w:t>amnistie pour des actes de torture ou mauvais traitements commis par chacune des parties au conflit, ainsi que pour d</w:t>
      </w:r>
      <w:r>
        <w:rPr>
          <w:lang w:val="fr-FR"/>
        </w:rPr>
        <w:t>’</w:t>
      </w:r>
      <w:r w:rsidRPr="008C2525">
        <w:rPr>
          <w:lang w:val="fr-FR"/>
        </w:rPr>
        <w:t xml:space="preserve">autres infractions commises en Casamance </w:t>
      </w:r>
      <w:r w:rsidRPr="008C2525">
        <w:rPr>
          <w:rFonts w:cs="Calibri"/>
          <w:lang w:val="fr-FR"/>
        </w:rPr>
        <w:t>dans le cadre de ce conflit</w:t>
      </w:r>
      <w:r w:rsidRPr="008C2525">
        <w:rPr>
          <w:lang w:val="fr-FR"/>
        </w:rPr>
        <w:t>, afin de pouvoir mener des enquêtes</w:t>
      </w:r>
      <w:r w:rsidRPr="008C2525">
        <w:t xml:space="preserve"> et </w:t>
      </w:r>
      <w:r>
        <w:t>punir</w:t>
      </w:r>
      <w:r w:rsidRPr="008C2525">
        <w:t xml:space="preserve"> les responsables</w:t>
      </w:r>
      <w:r w:rsidRPr="007E387A">
        <w:rPr>
          <w:rStyle w:val="Appelnotedebasdep"/>
        </w:rPr>
        <w:footnoteReference w:id="50"/>
      </w:r>
      <w:r>
        <w:t> ;</w:t>
      </w:r>
      <w:r w:rsidRPr="008C2525">
        <w:t xml:space="preserve"> b)</w:t>
      </w:r>
      <w:r w:rsidR="00D667DC">
        <w:t> </w:t>
      </w:r>
      <w:r w:rsidRPr="008C2525">
        <w:t>le</w:t>
      </w:r>
      <w:r w:rsidRPr="008C2525">
        <w:rPr>
          <w:w w:val="103"/>
        </w:rPr>
        <w:t xml:space="preserve">s mesures de protection des civils et de </w:t>
      </w:r>
      <w:r w:rsidRPr="008C2525">
        <w:rPr>
          <w:w w:val="103"/>
          <w:lang w:val="fr-CA"/>
        </w:rPr>
        <w:t xml:space="preserve">contrôle des forces de sécurité prises depuis 2018 en Casamance </w:t>
      </w:r>
      <w:r w:rsidRPr="008C2525">
        <w:rPr>
          <w:lang w:val="fr-FR" w:eastAsia="es-ES"/>
        </w:rPr>
        <w:t>pour empêcher qu</w:t>
      </w:r>
      <w:r>
        <w:rPr>
          <w:lang w:val="fr-FR" w:eastAsia="es-ES"/>
        </w:rPr>
        <w:t>e de tels actes se reproduisent</w:t>
      </w:r>
      <w:r w:rsidRPr="007E387A">
        <w:rPr>
          <w:rStyle w:val="Appelnotedebasdep"/>
        </w:rPr>
        <w:footnoteReference w:id="51"/>
      </w:r>
      <w:r>
        <w:rPr>
          <w:lang w:val="fr-FR" w:eastAsia="es-ES"/>
        </w:rPr>
        <w:t> </w:t>
      </w:r>
      <w:r>
        <w:rPr>
          <w:lang w:eastAsia="es-ES"/>
        </w:rPr>
        <w:t>;</w:t>
      </w:r>
      <w:r w:rsidRPr="008C2525">
        <w:rPr>
          <w:lang w:val="fr-FR"/>
        </w:rPr>
        <w:t xml:space="preserve"> </w:t>
      </w:r>
      <w:r w:rsidRPr="008C2525">
        <w:rPr>
          <w:w w:val="103"/>
          <w:lang w:val="fr-CA"/>
        </w:rPr>
        <w:t>c)</w:t>
      </w:r>
      <w:r w:rsidR="00D667DC">
        <w:rPr>
          <w:w w:val="103"/>
          <w:lang w:val="fr-CA"/>
        </w:rPr>
        <w:t> </w:t>
      </w:r>
      <w:r w:rsidRPr="008C2525">
        <w:rPr>
          <w:lang w:val="fr-FR"/>
        </w:rPr>
        <w:t>le résultat des enquêtes menées pour rechercher les personnes signalées comme disparues, en particulier celles qui le seraient après avoir été arrêtées par les forces de l</w:t>
      </w:r>
      <w:r>
        <w:rPr>
          <w:lang w:val="fr-FR"/>
        </w:rPr>
        <w:t>’</w:t>
      </w:r>
      <w:r w:rsidRPr="008C2525">
        <w:rPr>
          <w:lang w:val="fr-FR"/>
        </w:rPr>
        <w:t>ordre ;</w:t>
      </w:r>
      <w:r w:rsidRPr="006117CD">
        <w:rPr>
          <w:bCs/>
          <w:lang w:val="fr-FR"/>
        </w:rPr>
        <w:t xml:space="preserve"> et </w:t>
      </w:r>
      <w:r w:rsidRPr="008C2525">
        <w:rPr>
          <w:lang w:val="fr-FR"/>
        </w:rPr>
        <w:t>d)</w:t>
      </w:r>
      <w:r w:rsidR="00D667DC">
        <w:rPr>
          <w:lang w:val="fr-FR"/>
        </w:rPr>
        <w:t> </w:t>
      </w:r>
      <w:r w:rsidRPr="008C2525">
        <w:rPr>
          <w:lang w:val="fr-FR"/>
        </w:rPr>
        <w:t>les mesures prises pour fournir à toute personne qui a subi un préjudice résultant directement d</w:t>
      </w:r>
      <w:r>
        <w:rPr>
          <w:lang w:val="fr-FR"/>
        </w:rPr>
        <w:t>’</w:t>
      </w:r>
      <w:r w:rsidRPr="008C2525">
        <w:rPr>
          <w:lang w:val="fr-FR"/>
        </w:rPr>
        <w:t>une disparition forcée ou de la détention d</w:t>
      </w:r>
      <w:r>
        <w:rPr>
          <w:lang w:val="fr-FR"/>
        </w:rPr>
        <w:t>’</w:t>
      </w:r>
      <w:r w:rsidRPr="008C2525">
        <w:rPr>
          <w:lang w:val="fr-FR"/>
        </w:rPr>
        <w:t>un proche, des informations qui pourraient être utiles pour déterminer où se trouve la personne disparue ou détenue. Clarifier si des enquêtes ont été ouvertes et si des poursuites ont été engagées, ainsi que les résultats de ces enquêtes, concernant les 15</w:t>
      </w:r>
      <w:r>
        <w:rPr>
          <w:lang w:val="fr-FR"/>
        </w:rPr>
        <w:t> </w:t>
      </w:r>
      <w:r w:rsidRPr="008C2525">
        <w:rPr>
          <w:lang w:val="fr-FR"/>
        </w:rPr>
        <w:t xml:space="preserve">personnes tuées </w:t>
      </w:r>
      <w:r w:rsidRPr="008C2525">
        <w:rPr>
          <w:rFonts w:eastAsia="Calibri" w:cs="Calibri"/>
          <w:lang w:val="fr-FR"/>
        </w:rPr>
        <w:t>dans la forêt de Bofa Bayotte en janvier 2018,</w:t>
      </w:r>
      <w:r w:rsidRPr="008C2525">
        <w:rPr>
          <w:lang w:val="fr-FR"/>
        </w:rPr>
        <w:t xml:space="preserve"> mentionnées dans les précédentes observations finales du Comité (par.</w:t>
      </w:r>
      <w:r w:rsidR="00D667DC">
        <w:rPr>
          <w:lang w:val="fr-FR"/>
        </w:rPr>
        <w:t> </w:t>
      </w:r>
      <w:r w:rsidRPr="008C2525">
        <w:rPr>
          <w:lang w:val="fr-FR"/>
        </w:rPr>
        <w:t>11),</w:t>
      </w:r>
      <w:r w:rsidRPr="008C2525">
        <w:rPr>
          <w:rFonts w:eastAsia="Calibri" w:cs="Calibri"/>
          <w:lang w:val="fr-FR"/>
        </w:rPr>
        <w:t xml:space="preserve"> et clarifier si </w:t>
      </w:r>
      <w:r w:rsidRPr="008C2525">
        <w:t>des enquêtes médico-légales indépendantes et des autopsies ont eu lieu</w:t>
      </w:r>
      <w:r w:rsidRPr="008C2525">
        <w:rPr>
          <w:rFonts w:eastAsia="Calibri" w:cs="Calibri"/>
        </w:rPr>
        <w:t xml:space="preserve">. </w:t>
      </w:r>
      <w:r w:rsidRPr="008C2525">
        <w:rPr>
          <w:lang w:val="fr-FR"/>
        </w:rPr>
        <w:t xml:space="preserve">Préciser si les </w:t>
      </w:r>
      <w:r w:rsidRPr="008C2525">
        <w:rPr>
          <w:lang w:val="fr-FR" w:eastAsia="en-GB"/>
        </w:rPr>
        <w:t>victimes et leurs ayants droit ont obtenu réparation</w:t>
      </w:r>
      <w:r w:rsidRPr="007E387A">
        <w:rPr>
          <w:rStyle w:val="Appelnotedebasdep"/>
        </w:rPr>
        <w:footnoteReference w:id="52"/>
      </w:r>
      <w:r>
        <w:rPr>
          <w:lang w:val="fr-FR" w:eastAsia="en-GB"/>
        </w:rPr>
        <w:t>.</w:t>
      </w:r>
      <w:r w:rsidRPr="008C2525">
        <w:rPr>
          <w:w w:val="103"/>
          <w:lang w:val="fr-FR"/>
        </w:rPr>
        <w:t xml:space="preserve"> Indiquer aussi les résultats des enquêtes </w:t>
      </w:r>
      <w:r>
        <w:rPr>
          <w:w w:val="103"/>
          <w:lang w:val="fr-FR"/>
        </w:rPr>
        <w:t xml:space="preserve">menées </w:t>
      </w:r>
      <w:r w:rsidRPr="008C2525">
        <w:rPr>
          <w:w w:val="103"/>
          <w:lang w:val="fr-FR"/>
        </w:rPr>
        <w:t>sur la mort le 27</w:t>
      </w:r>
      <w:r w:rsidR="00D667DC">
        <w:rPr>
          <w:w w:val="103"/>
          <w:lang w:val="fr-FR"/>
        </w:rPr>
        <w:t> </w:t>
      </w:r>
      <w:r w:rsidRPr="008C2525">
        <w:rPr>
          <w:w w:val="103"/>
          <w:lang w:val="fr-FR"/>
        </w:rPr>
        <w:t xml:space="preserve">octobre 2019 </w:t>
      </w:r>
      <w:r>
        <w:rPr>
          <w:w w:val="103"/>
          <w:lang w:val="fr-FR"/>
        </w:rPr>
        <w:t>d’</w:t>
      </w:r>
      <w:r w:rsidRPr="008C2525">
        <w:rPr>
          <w:w w:val="103"/>
          <w:lang w:val="fr-FR"/>
        </w:rPr>
        <w:t>Abdou Elinkine Diatta, chef de file du Mouvement des forces démocratiques de la Casamance, et sur les bless</w:t>
      </w:r>
      <w:r>
        <w:rPr>
          <w:w w:val="103"/>
          <w:lang w:val="fr-FR"/>
        </w:rPr>
        <w:t>ures subies par trois personnes</w:t>
      </w:r>
      <w:r>
        <w:rPr>
          <w:w w:val="103"/>
        </w:rPr>
        <w:t>.</w:t>
      </w:r>
    </w:p>
    <w:p w14:paraId="23D0D5E7" w14:textId="4848DCDA" w:rsidR="00ED6917" w:rsidRPr="008C2525" w:rsidRDefault="00ED6917" w:rsidP="00ED6917">
      <w:pPr>
        <w:pStyle w:val="SingleTxtG"/>
      </w:pPr>
      <w:r w:rsidRPr="008C2525">
        <w:rPr>
          <w:lang w:val="fr-FR"/>
        </w:rPr>
        <w:t>22.</w:t>
      </w:r>
      <w:r w:rsidRPr="008C2525">
        <w:rPr>
          <w:lang w:val="fr-FR"/>
        </w:rPr>
        <w:tab/>
        <w:t>Eu égard aux précédentes observations finales du Comité (par.</w:t>
      </w:r>
      <w:r>
        <w:rPr>
          <w:lang w:val="fr-FR"/>
        </w:rPr>
        <w:t> </w:t>
      </w:r>
      <w:r w:rsidRPr="008C2525">
        <w:rPr>
          <w:lang w:val="fr-FR"/>
        </w:rPr>
        <w:t xml:space="preserve">21 </w:t>
      </w:r>
      <w:r>
        <w:rPr>
          <w:lang w:val="fr-FR"/>
        </w:rPr>
        <w:t>et</w:t>
      </w:r>
      <w:r w:rsidRPr="008C2525">
        <w:rPr>
          <w:lang w:val="fr-FR"/>
        </w:rPr>
        <w:t xml:space="preserve"> 22), indiquer si l</w:t>
      </w:r>
      <w:r>
        <w:rPr>
          <w:lang w:val="fr-FR"/>
        </w:rPr>
        <w:t>’</w:t>
      </w:r>
      <w:r w:rsidRPr="008C2525">
        <w:rPr>
          <w:lang w:val="fr-FR"/>
        </w:rPr>
        <w:t xml:space="preserve">État partie envisage de réformer les lois relatives au Conseil supérieur de la magistrature et </w:t>
      </w:r>
      <w:r w:rsidRPr="008C2525">
        <w:t>portant sur le statut des magistrats,</w:t>
      </w:r>
      <w:r w:rsidRPr="008C2525">
        <w:rPr>
          <w:lang w:val="fr-FR"/>
        </w:rPr>
        <w:t xml:space="preserve"> afin que le Président de la République et le Ministre de la justice ne soient plus membres du Conseil</w:t>
      </w:r>
      <w:r>
        <w:rPr>
          <w:lang w:val="fr-FR"/>
        </w:rPr>
        <w:t>,</w:t>
      </w:r>
      <w:r w:rsidRPr="008C2525">
        <w:rPr>
          <w:lang w:val="fr-FR"/>
        </w:rPr>
        <w:t xml:space="preserve"> et de prendre toutes les autres mesures nécessaires pour garantir l</w:t>
      </w:r>
      <w:r>
        <w:rPr>
          <w:lang w:val="fr-FR"/>
        </w:rPr>
        <w:t>’</w:t>
      </w:r>
      <w:r w:rsidRPr="008C2525">
        <w:rPr>
          <w:lang w:val="fr-FR"/>
        </w:rPr>
        <w:t>indépendance judiciaire, y</w:t>
      </w:r>
      <w:r w:rsidR="00064F9A">
        <w:rPr>
          <w:lang w:val="fr-FR"/>
        </w:rPr>
        <w:t> </w:t>
      </w:r>
      <w:r w:rsidRPr="008C2525">
        <w:rPr>
          <w:lang w:val="fr-FR"/>
        </w:rPr>
        <w:t>compris la nomination de juges sur la base de critères objectifs et transparents et la</w:t>
      </w:r>
      <w:r>
        <w:rPr>
          <w:lang w:val="fr-FR"/>
        </w:rPr>
        <w:t xml:space="preserve"> garantie de leur inamovibilité</w:t>
      </w:r>
      <w:r w:rsidRPr="007E387A">
        <w:rPr>
          <w:rStyle w:val="Appelnotedebasdep"/>
        </w:rPr>
        <w:footnoteReference w:id="53"/>
      </w:r>
      <w:r>
        <w:t>.</w:t>
      </w:r>
      <w:r w:rsidRPr="008C2525">
        <w:rPr>
          <w:lang w:val="fr-FR"/>
        </w:rPr>
        <w:t xml:space="preserve"> Indiquer aussi si l</w:t>
      </w:r>
      <w:r>
        <w:rPr>
          <w:lang w:val="fr-FR"/>
        </w:rPr>
        <w:t>’État</w:t>
      </w:r>
      <w:r w:rsidRPr="008C2525">
        <w:rPr>
          <w:lang w:val="fr-FR"/>
        </w:rPr>
        <w:t xml:space="preserve"> partie </w:t>
      </w:r>
      <w:r>
        <w:rPr>
          <w:lang w:val="fr-FR"/>
        </w:rPr>
        <w:t>envisage de</w:t>
      </w:r>
      <w:r w:rsidRPr="008C2525">
        <w:rPr>
          <w:lang w:val="fr-FR"/>
        </w:rPr>
        <w:t xml:space="preserve"> supprimer : </w:t>
      </w:r>
      <w:r>
        <w:rPr>
          <w:lang w:val="fr-FR"/>
        </w:rPr>
        <w:t>a</w:t>
      </w:r>
      <w:r w:rsidRPr="008C2525">
        <w:rPr>
          <w:lang w:val="fr-FR"/>
        </w:rPr>
        <w:t>)</w:t>
      </w:r>
      <w:r w:rsidR="00D667DC">
        <w:rPr>
          <w:lang w:val="fr-FR"/>
        </w:rPr>
        <w:t> </w:t>
      </w:r>
      <w:r w:rsidRPr="008C2525">
        <w:rPr>
          <w:lang w:val="fr-FR"/>
        </w:rPr>
        <w:t xml:space="preserve">la possibilité pour le Garde des </w:t>
      </w:r>
      <w:r>
        <w:rPr>
          <w:lang w:val="fr-FR"/>
        </w:rPr>
        <w:t>s</w:t>
      </w:r>
      <w:r w:rsidRPr="008C2525">
        <w:rPr>
          <w:lang w:val="fr-FR"/>
        </w:rPr>
        <w:t>ceaux de donner des instructions aux procureurs dans des affaires individuelles</w:t>
      </w:r>
      <w:r w:rsidRPr="008C2525">
        <w:t xml:space="preserve">, </w:t>
      </w:r>
      <w:r w:rsidRPr="008C2525">
        <w:rPr>
          <w:lang w:val="fr-FR"/>
        </w:rPr>
        <w:t xml:space="preserve">afin de préserver leur </w:t>
      </w:r>
      <w:r w:rsidRPr="008C2525">
        <w:t>pouvoir d</w:t>
      </w:r>
      <w:r>
        <w:t>’</w:t>
      </w:r>
      <w:r w:rsidRPr="008C2525">
        <w:t xml:space="preserve">appréciation </w:t>
      </w:r>
      <w:r w:rsidRPr="008C2525">
        <w:rPr>
          <w:iCs/>
        </w:rPr>
        <w:t>dans les affaires concernant des violations des dispositions de la Convention</w:t>
      </w:r>
      <w:r>
        <w:t xml:space="preserve"> par des agents de l’État</w:t>
      </w:r>
      <w:r w:rsidRPr="007E387A">
        <w:rPr>
          <w:rStyle w:val="Appelnotedebasdep"/>
        </w:rPr>
        <w:footnoteReference w:id="54"/>
      </w:r>
      <w:r>
        <w:t> ; et</w:t>
      </w:r>
      <w:r w:rsidRPr="008C2525">
        <w:t xml:space="preserve"> </w:t>
      </w:r>
      <w:r>
        <w:t>b</w:t>
      </w:r>
      <w:r w:rsidRPr="008C2525">
        <w:t>)</w:t>
      </w:r>
      <w:r w:rsidR="00D667DC">
        <w:t> </w:t>
      </w:r>
      <w:r w:rsidRPr="008C2525">
        <w:rPr>
          <w:lang w:val="fr-FR"/>
        </w:rPr>
        <w:t>l</w:t>
      </w:r>
      <w:r>
        <w:rPr>
          <w:lang w:val="fr-FR"/>
        </w:rPr>
        <w:t>’</w:t>
      </w:r>
      <w:r w:rsidRPr="008C2525">
        <w:t>autorisation du ministre, appelée «</w:t>
      </w:r>
      <w:r>
        <w:t> </w:t>
      </w:r>
      <w:r w:rsidRPr="008C2525">
        <w:t>ordre de poursuite</w:t>
      </w:r>
      <w:r>
        <w:t> </w:t>
      </w:r>
      <w:r w:rsidRPr="008C2525">
        <w:t>», pour pouvoir poursuivre</w:t>
      </w:r>
      <w:r>
        <w:t xml:space="preserve"> un agent des forces de l’ordre</w:t>
      </w:r>
      <w:r w:rsidRPr="007E387A">
        <w:rPr>
          <w:rStyle w:val="Appelnotedebasdep"/>
        </w:rPr>
        <w:footnoteReference w:id="55"/>
      </w:r>
      <w:r>
        <w:t>.</w:t>
      </w:r>
      <w:r w:rsidRPr="008C2525">
        <w:t xml:space="preserve"> </w:t>
      </w:r>
      <w:r w:rsidRPr="008C2525">
        <w:rPr>
          <w:lang w:val="fr-FR"/>
        </w:rPr>
        <w:t>Clarifier si l</w:t>
      </w:r>
      <w:r>
        <w:rPr>
          <w:lang w:val="fr-FR"/>
        </w:rPr>
        <w:t>’</w:t>
      </w:r>
      <w:r w:rsidRPr="008C2525">
        <w:rPr>
          <w:lang w:val="fr-FR"/>
        </w:rPr>
        <w:t xml:space="preserve">État partie a pris des </w:t>
      </w:r>
      <w:r w:rsidRPr="008C2525">
        <w:rPr>
          <w:lang w:val="fr-FR"/>
        </w:rPr>
        <w:lastRenderedPageBreak/>
        <w:t>mesures pour confier les enquêtes à un service différent de cel</w:t>
      </w:r>
      <w:r>
        <w:rPr>
          <w:lang w:val="fr-FR"/>
        </w:rPr>
        <w:t>ui mis en cause dans la plainte</w:t>
      </w:r>
      <w:r w:rsidRPr="007E387A">
        <w:rPr>
          <w:rStyle w:val="Appelnotedebasdep"/>
        </w:rPr>
        <w:footnoteReference w:id="56"/>
      </w:r>
      <w:r>
        <w:t>,</w:t>
      </w:r>
      <w:r w:rsidRPr="008C2525">
        <w:rPr>
          <w:lang w:val="fr-FR"/>
        </w:rPr>
        <w:t xml:space="preserve"> afin qu</w:t>
      </w:r>
      <w:r>
        <w:rPr>
          <w:lang w:val="fr-FR"/>
        </w:rPr>
        <w:t>’</w:t>
      </w:r>
      <w:r w:rsidRPr="008C2525">
        <w:rPr>
          <w:lang w:val="fr-FR"/>
        </w:rPr>
        <w:t>il n</w:t>
      </w:r>
      <w:r>
        <w:rPr>
          <w:lang w:val="fr-FR"/>
        </w:rPr>
        <w:t>’</w:t>
      </w:r>
      <w:r w:rsidRPr="008C2525">
        <w:rPr>
          <w:lang w:val="fr-FR"/>
        </w:rPr>
        <w:t>y ait pas de lien institutionnel ou hiérarchique entre les enquêteurs et les auteurs présumés des faits. S</w:t>
      </w:r>
      <w:r>
        <w:rPr>
          <w:lang w:val="fr-FR"/>
        </w:rPr>
        <w:t>’</w:t>
      </w:r>
      <w:r w:rsidRPr="008C2525">
        <w:rPr>
          <w:lang w:val="fr-FR"/>
        </w:rPr>
        <w:t>agissant des affaires dans lesquelles il existe de fortes présomptions que la plainte pour torture ou mauvais traitements soit fondée, préciser si l</w:t>
      </w:r>
      <w:r>
        <w:rPr>
          <w:lang w:val="fr-FR"/>
        </w:rPr>
        <w:t>’</w:t>
      </w:r>
      <w:r w:rsidRPr="008C2525">
        <w:rPr>
          <w:lang w:val="fr-FR"/>
        </w:rPr>
        <w:t>auteur présumé de ces actes est automatiquement suspendu de ses fonctions ou muté pendant la durée de l</w:t>
      </w:r>
      <w:r>
        <w:rPr>
          <w:lang w:val="fr-FR"/>
        </w:rPr>
        <w:t>’</w:t>
      </w:r>
      <w:r w:rsidRPr="008C2525">
        <w:rPr>
          <w:lang w:val="fr-FR"/>
        </w:rPr>
        <w:t>enquête.</w:t>
      </w:r>
    </w:p>
    <w:p w14:paraId="1DAACD38" w14:textId="38D07627" w:rsidR="00ED6917" w:rsidRPr="008C2525" w:rsidRDefault="00ED6917" w:rsidP="00ED6917">
      <w:pPr>
        <w:pStyle w:val="SingleTxtG"/>
        <w:rPr>
          <w:lang w:val="fr-FR" w:eastAsia="es-ES"/>
        </w:rPr>
      </w:pPr>
      <w:r w:rsidRPr="008C2525">
        <w:rPr>
          <w:lang w:val="fr-FR"/>
        </w:rPr>
        <w:t>23.</w:t>
      </w:r>
      <w:r w:rsidRPr="008C2525">
        <w:rPr>
          <w:lang w:val="fr-FR"/>
        </w:rPr>
        <w:tab/>
        <w:t>Compte tenu des précédentes observations finales du Comité (par.</w:t>
      </w:r>
      <w:r w:rsidR="00D667DC">
        <w:rPr>
          <w:lang w:val="fr-FR"/>
        </w:rPr>
        <w:t> </w:t>
      </w:r>
      <w:r w:rsidRPr="008C2525">
        <w:rPr>
          <w:lang w:val="fr-FR"/>
        </w:rPr>
        <w:t xml:space="preserve">19 </w:t>
      </w:r>
      <w:r>
        <w:rPr>
          <w:lang w:val="fr-FR"/>
        </w:rPr>
        <w:t>et</w:t>
      </w:r>
      <w:r w:rsidRPr="008C2525">
        <w:rPr>
          <w:lang w:val="fr-FR"/>
        </w:rPr>
        <w:t xml:space="preserve"> 20), </w:t>
      </w:r>
      <w:r w:rsidRPr="008C2525">
        <w:rPr>
          <w:lang w:val="fr-FR" w:eastAsia="es-ES"/>
        </w:rPr>
        <w:t xml:space="preserve">fournir, </w:t>
      </w:r>
      <w:r w:rsidRPr="008C2525">
        <w:rPr>
          <w:spacing w:val="-2"/>
          <w:lang w:val="fr-FR" w:eastAsia="es-ES"/>
        </w:rPr>
        <w:t>pour la période écoulée depuis 2018</w:t>
      </w:r>
      <w:r w:rsidRPr="008C2525">
        <w:rPr>
          <w:lang w:val="fr-FR" w:eastAsia="es-ES"/>
        </w:rPr>
        <w:t>, des données statistiques annuelles, ventilées par sexe, groupe d</w:t>
      </w:r>
      <w:r>
        <w:rPr>
          <w:lang w:val="fr-FR" w:eastAsia="es-ES"/>
        </w:rPr>
        <w:t>’</w:t>
      </w:r>
      <w:r w:rsidRPr="008C2525">
        <w:rPr>
          <w:lang w:val="fr-FR" w:eastAsia="es-ES"/>
        </w:rPr>
        <w:t>âge (mineur/adulte), origine ethnique ou nationalité de la victime, et service dont relèvent les personnes accusées d</w:t>
      </w:r>
      <w:r>
        <w:rPr>
          <w:lang w:val="fr-FR" w:eastAsia="es-ES"/>
        </w:rPr>
        <w:t>’</w:t>
      </w:r>
      <w:r w:rsidRPr="008C2525">
        <w:rPr>
          <w:lang w:val="fr-FR" w:eastAsia="es-ES"/>
        </w:rPr>
        <w:t xml:space="preserve">avoir commis des actes de torture, sur les plaintes </w:t>
      </w:r>
      <w:r w:rsidRPr="008C2525">
        <w:t>et rapports d</w:t>
      </w:r>
      <w:r>
        <w:t>’</w:t>
      </w:r>
      <w:r w:rsidRPr="008C2525">
        <w:t xml:space="preserve">enquête </w:t>
      </w:r>
      <w:r w:rsidRPr="008C2525">
        <w:rPr>
          <w:lang w:val="fr-FR" w:eastAsia="es-ES"/>
        </w:rPr>
        <w:t>déposés pour torture et mauvais traitements, tentative, complicité, participation ou consentement tacite à leur commission. Indiquer le nombre d</w:t>
      </w:r>
      <w:r>
        <w:rPr>
          <w:lang w:val="fr-FR" w:eastAsia="es-ES"/>
        </w:rPr>
        <w:t>’</w:t>
      </w:r>
      <w:r w:rsidRPr="008C2525">
        <w:rPr>
          <w:lang w:val="fr-FR" w:eastAsia="es-ES"/>
        </w:rPr>
        <w:t>enquêtes ouvertes d</w:t>
      </w:r>
      <w:r>
        <w:rPr>
          <w:lang w:val="fr-FR" w:eastAsia="es-ES"/>
        </w:rPr>
        <w:t>’</w:t>
      </w:r>
      <w:r w:rsidRPr="008C2525">
        <w:rPr>
          <w:lang w:val="fr-FR" w:eastAsia="es-ES"/>
        </w:rPr>
        <w:t>office sur des infractions de cette nature. Donner des renseignements sur les actions judiciaires et disciplinaires engagées, en précisant si elles ont abouti à une condamnation, à un non-lieu ou au classement de l</w:t>
      </w:r>
      <w:r>
        <w:rPr>
          <w:lang w:val="fr-FR" w:eastAsia="es-ES"/>
        </w:rPr>
        <w:t>’</w:t>
      </w:r>
      <w:r w:rsidRPr="008C2525">
        <w:rPr>
          <w:lang w:val="fr-FR" w:eastAsia="es-ES"/>
        </w:rPr>
        <w:t>affaire, ainsi que sur les sanctions pénales et les mesures discip</w:t>
      </w:r>
      <w:r>
        <w:rPr>
          <w:lang w:val="fr-FR" w:eastAsia="es-ES"/>
        </w:rPr>
        <w:t>linaires qui ont été prononcées</w:t>
      </w:r>
      <w:r w:rsidRPr="007E387A">
        <w:rPr>
          <w:rStyle w:val="Appelnotedebasdep"/>
        </w:rPr>
        <w:footnoteReference w:id="57"/>
      </w:r>
      <w:r>
        <w:rPr>
          <w:lang w:eastAsia="es-ES"/>
        </w:rPr>
        <w:t>.</w:t>
      </w:r>
    </w:p>
    <w:p w14:paraId="3C8FB011" w14:textId="77777777" w:rsidR="00ED6917" w:rsidRPr="008C2525" w:rsidRDefault="00ED6917" w:rsidP="004F20FC">
      <w:pPr>
        <w:pStyle w:val="H23G"/>
        <w:rPr>
          <w:lang w:val="fr-FR"/>
        </w:rPr>
      </w:pPr>
      <w:r w:rsidRPr="008C2525">
        <w:rPr>
          <w:lang w:val="fr-FR"/>
        </w:rPr>
        <w:tab/>
      </w:r>
      <w:r w:rsidRPr="008C2525">
        <w:rPr>
          <w:lang w:val="fr-FR"/>
        </w:rPr>
        <w:tab/>
        <w:t>Article 14</w:t>
      </w:r>
    </w:p>
    <w:p w14:paraId="6F624408" w14:textId="42C99D03" w:rsidR="00ED6917" w:rsidRPr="008C2525" w:rsidRDefault="00ED6917" w:rsidP="00ED6917">
      <w:pPr>
        <w:pStyle w:val="SingleTxtG"/>
        <w:rPr>
          <w:lang w:val="fr-FR"/>
        </w:rPr>
      </w:pPr>
      <w:r w:rsidRPr="008C2525">
        <w:rPr>
          <w:lang w:val="fr-FR"/>
        </w:rPr>
        <w:t>24.</w:t>
      </w:r>
      <w:r w:rsidRPr="008C2525">
        <w:rPr>
          <w:lang w:val="fr-FR"/>
        </w:rPr>
        <w:tab/>
        <w:t>Eu égard aux précédentes observations finales du Comité (par.</w:t>
      </w:r>
      <w:r>
        <w:rPr>
          <w:lang w:val="fr-FR"/>
        </w:rPr>
        <w:t> </w:t>
      </w:r>
      <w:r w:rsidRPr="008C2525">
        <w:rPr>
          <w:lang w:val="fr-FR"/>
        </w:rPr>
        <w:t xml:space="preserve">39 </w:t>
      </w:r>
      <w:r>
        <w:rPr>
          <w:lang w:val="fr-FR"/>
        </w:rPr>
        <w:t>et</w:t>
      </w:r>
      <w:r w:rsidRPr="008C2525">
        <w:rPr>
          <w:lang w:val="fr-FR"/>
        </w:rPr>
        <w:t xml:space="preserve"> 40)</w:t>
      </w:r>
      <w:r w:rsidRPr="008C2525">
        <w:t xml:space="preserve">, </w:t>
      </w:r>
      <w:r w:rsidRPr="008C2525">
        <w:rPr>
          <w:lang w:val="fr-FR"/>
        </w:rPr>
        <w:t>clarifier si l</w:t>
      </w:r>
      <w:r>
        <w:rPr>
          <w:lang w:val="fr-FR"/>
        </w:rPr>
        <w:t>’</w:t>
      </w:r>
      <w:r w:rsidRPr="008C2525">
        <w:rPr>
          <w:lang w:val="fr-FR"/>
        </w:rPr>
        <w:t>État partie a pris ou envisage de prendre des</w:t>
      </w:r>
      <w:r w:rsidRPr="00064F9A">
        <w:rPr>
          <w:bCs/>
          <w:lang w:val="fr-FR"/>
        </w:rPr>
        <w:t xml:space="preserve"> </w:t>
      </w:r>
      <w:r w:rsidRPr="008C2525">
        <w:rPr>
          <w:lang w:val="fr-FR"/>
        </w:rPr>
        <w:t>mesures pour garantir que les victimes d</w:t>
      </w:r>
      <w:r>
        <w:rPr>
          <w:lang w:val="fr-FR"/>
        </w:rPr>
        <w:t>’</w:t>
      </w:r>
      <w:r w:rsidRPr="008C2525">
        <w:rPr>
          <w:lang w:val="fr-FR"/>
        </w:rPr>
        <w:t xml:space="preserve">actes de torture et de mauvais traitements </w:t>
      </w:r>
      <w:r>
        <w:rPr>
          <w:lang w:val="fr-FR"/>
        </w:rPr>
        <w:t>ont</w:t>
      </w:r>
      <w:r w:rsidRPr="008C2525">
        <w:rPr>
          <w:lang w:val="fr-FR"/>
        </w:rPr>
        <w:t xml:space="preserve"> accès à des recours utiles</w:t>
      </w:r>
      <w:r>
        <w:rPr>
          <w:lang w:val="fr-FR"/>
        </w:rPr>
        <w:t xml:space="preserve"> et peuvent obtenir réparation</w:t>
      </w:r>
      <w:r w:rsidRPr="007E387A">
        <w:rPr>
          <w:rStyle w:val="Appelnotedebasdep"/>
        </w:rPr>
        <w:footnoteReference w:id="58"/>
      </w:r>
      <w:r>
        <w:t>,</w:t>
      </w:r>
      <w:r w:rsidRPr="008C2525">
        <w:rPr>
          <w:lang w:val="fr-FR"/>
        </w:rPr>
        <w:t xml:space="preserve"> y</w:t>
      </w:r>
      <w:r w:rsidR="00D667DC">
        <w:rPr>
          <w:lang w:val="fr-FR"/>
        </w:rPr>
        <w:t> </w:t>
      </w:r>
      <w:r w:rsidRPr="008C2525">
        <w:rPr>
          <w:lang w:val="fr-FR"/>
        </w:rPr>
        <w:t>compris dans les cas où l</w:t>
      </w:r>
      <w:r>
        <w:rPr>
          <w:lang w:val="fr-FR"/>
        </w:rPr>
        <w:t>’</w:t>
      </w:r>
      <w:r w:rsidRPr="008C2525">
        <w:rPr>
          <w:lang w:val="fr-FR"/>
        </w:rPr>
        <w:t>auteur des actes de torture n</w:t>
      </w:r>
      <w:r>
        <w:rPr>
          <w:lang w:val="fr-FR"/>
        </w:rPr>
        <w:t>’</w:t>
      </w:r>
      <w:r w:rsidRPr="008C2525">
        <w:rPr>
          <w:lang w:val="fr-FR"/>
        </w:rPr>
        <w:t>a pas été identifié. Clarifier également si l</w:t>
      </w:r>
      <w:r>
        <w:rPr>
          <w:lang w:val="fr-FR"/>
        </w:rPr>
        <w:t>’</w:t>
      </w:r>
      <w:r w:rsidRPr="008C2525">
        <w:rPr>
          <w:lang w:val="fr-FR"/>
        </w:rPr>
        <w:t>État partie a évalué les besoins des victimes d</w:t>
      </w:r>
      <w:r>
        <w:rPr>
          <w:lang w:val="fr-FR"/>
        </w:rPr>
        <w:t>’</w:t>
      </w:r>
      <w:r w:rsidRPr="008C2525">
        <w:rPr>
          <w:lang w:val="fr-FR"/>
        </w:rPr>
        <w:t>actes de torture afin de mettre en place des services spécialisés de réadaptation étatiques ou de financer d</w:t>
      </w:r>
      <w:r>
        <w:rPr>
          <w:lang w:val="fr-FR"/>
        </w:rPr>
        <w:t>’</w:t>
      </w:r>
      <w:r w:rsidRPr="008C2525">
        <w:rPr>
          <w:lang w:val="fr-FR"/>
        </w:rPr>
        <w:t>autres services gérés par des organisations non gouvernementales. Le cas échéant, préciser les ressources allouées.</w:t>
      </w:r>
    </w:p>
    <w:p w14:paraId="27D8C82A" w14:textId="4B995ACC" w:rsidR="00ED6917" w:rsidRPr="006A1465" w:rsidRDefault="00ED6917" w:rsidP="00ED6917">
      <w:pPr>
        <w:pStyle w:val="SingleTxtG"/>
      </w:pPr>
      <w:r w:rsidRPr="008C2525">
        <w:rPr>
          <w:lang w:val="fr-FR"/>
        </w:rPr>
        <w:t>25.</w:t>
      </w:r>
      <w:r w:rsidRPr="008C2525">
        <w:rPr>
          <w:lang w:val="fr-FR"/>
        </w:rPr>
        <w:tab/>
        <w:t>Fournir des statistiques annuelles sur les mesures de réparation et d</w:t>
      </w:r>
      <w:r>
        <w:rPr>
          <w:lang w:val="fr-FR"/>
        </w:rPr>
        <w:t>’</w:t>
      </w:r>
      <w:r w:rsidRPr="008C2525">
        <w:rPr>
          <w:lang w:val="fr-FR"/>
        </w:rPr>
        <w:t>indemnisation, y compris de réadaptation, qui ont été ordonnées par les tribunaux et dont les victimes d</w:t>
      </w:r>
      <w:r>
        <w:rPr>
          <w:lang w:val="fr-FR"/>
        </w:rPr>
        <w:t>’</w:t>
      </w:r>
      <w:r w:rsidRPr="008C2525">
        <w:rPr>
          <w:lang w:val="fr-FR"/>
        </w:rPr>
        <w:t xml:space="preserve">actes de torture ou de mauvais traitements ou leur famille ont effectivement bénéficié </w:t>
      </w:r>
      <w:r w:rsidRPr="008C2525">
        <w:rPr>
          <w:spacing w:val="-2"/>
          <w:lang w:val="fr-FR" w:eastAsia="es-ES"/>
        </w:rPr>
        <w:t>pour la période écoulée depuis 2018</w:t>
      </w:r>
      <w:r w:rsidRPr="008C2525">
        <w:rPr>
          <w:lang w:val="fr-FR"/>
        </w:rPr>
        <w:t xml:space="preserve">. Ces statistiques devraient comprendre des données </w:t>
      </w:r>
      <w:r w:rsidR="00D667DC" w:rsidRPr="008C2525">
        <w:rPr>
          <w:lang w:val="fr-FR"/>
        </w:rPr>
        <w:t>sur</w:t>
      </w:r>
      <w:r w:rsidR="00D667DC">
        <w:rPr>
          <w:lang w:val="fr-FR"/>
        </w:rPr>
        <w:t xml:space="preserve"> </w:t>
      </w:r>
      <w:r w:rsidRPr="008C2525">
        <w:rPr>
          <w:lang w:val="fr-FR"/>
        </w:rPr>
        <w:t>l</w:t>
      </w:r>
      <w:r w:rsidRPr="008C2525">
        <w:t>e nombre de demandes d</w:t>
      </w:r>
      <w:r>
        <w:t>’</w:t>
      </w:r>
      <w:r w:rsidRPr="008C2525">
        <w:t>indemnisation par l</w:t>
      </w:r>
      <w:r>
        <w:t>’</w:t>
      </w:r>
      <w:r w:rsidRPr="008C2525">
        <w:t>État portant sur des actes de torture et de mauvais traitements, le nombre de demandes prescrites du fait de l</w:t>
      </w:r>
      <w:r>
        <w:t>’</w:t>
      </w:r>
      <w:r w:rsidRPr="008C2525">
        <w:t xml:space="preserve">inertie des tribunaux et le nombre de demandes auxquelles il a été fait droit, ainsi que le montant des indemnisations accordées dans les cas où les plaignants ont obtenu gain de cause. Préciser notamment quelles mesures de réparation ont </w:t>
      </w:r>
      <w:r w:rsidRPr="008C2525">
        <w:rPr>
          <w:lang w:val="fr-FR"/>
        </w:rPr>
        <w:t>été ordonnées en faveur des victimes des crimes commis par Hissène Habré</w:t>
      </w:r>
      <w:r>
        <w:t>.</w:t>
      </w:r>
    </w:p>
    <w:p w14:paraId="4283C468" w14:textId="553D34BA" w:rsidR="00ED6917" w:rsidRPr="008C2525" w:rsidRDefault="00ED6917" w:rsidP="004F20FC">
      <w:pPr>
        <w:pStyle w:val="H23G"/>
        <w:rPr>
          <w:lang w:val="fr-FR"/>
        </w:rPr>
      </w:pPr>
      <w:r w:rsidRPr="008C2525">
        <w:rPr>
          <w:lang w:val="fr-FR"/>
        </w:rPr>
        <w:tab/>
      </w:r>
      <w:r w:rsidRPr="008C2525">
        <w:rPr>
          <w:lang w:val="fr-FR"/>
        </w:rPr>
        <w:tab/>
        <w:t>Article</w:t>
      </w:r>
      <w:r w:rsidR="00D667DC">
        <w:rPr>
          <w:lang w:val="fr-FR"/>
        </w:rPr>
        <w:t> </w:t>
      </w:r>
      <w:r w:rsidRPr="008C2525">
        <w:rPr>
          <w:lang w:val="fr-FR"/>
        </w:rPr>
        <w:t>15</w:t>
      </w:r>
    </w:p>
    <w:p w14:paraId="541298C1" w14:textId="77777777" w:rsidR="00ED6917" w:rsidRPr="006A1465" w:rsidRDefault="00ED6917" w:rsidP="00ED6917">
      <w:pPr>
        <w:pStyle w:val="SingleTxtG"/>
        <w:rPr>
          <w:b/>
        </w:rPr>
      </w:pPr>
      <w:r w:rsidRPr="008C2525">
        <w:rPr>
          <w:lang w:val="fr-FR"/>
        </w:rPr>
        <w:t>26.</w:t>
      </w:r>
      <w:r w:rsidRPr="008C2525">
        <w:rPr>
          <w:lang w:val="fr-FR"/>
        </w:rPr>
        <w:tab/>
        <w:t>Compte tenu des précédentes observations finales du Comité (par. 23 et 24)</w:t>
      </w:r>
      <w:r w:rsidRPr="008C2525">
        <w:t>,</w:t>
      </w:r>
      <w:r w:rsidRPr="008C2525">
        <w:rPr>
          <w:lang w:val="fr-FR"/>
        </w:rPr>
        <w:t xml:space="preserve"> indiquer si l</w:t>
      </w:r>
      <w:r>
        <w:rPr>
          <w:lang w:val="fr-FR"/>
        </w:rPr>
        <w:t>’État</w:t>
      </w:r>
      <w:r w:rsidRPr="008C2525">
        <w:rPr>
          <w:lang w:val="fr-FR"/>
        </w:rPr>
        <w:t xml:space="preserve"> partie a pris</w:t>
      </w:r>
      <w:r w:rsidRPr="00064F9A">
        <w:rPr>
          <w:bCs/>
          <w:lang w:val="fr-FR"/>
        </w:rPr>
        <w:t xml:space="preserve"> </w:t>
      </w:r>
      <w:r w:rsidRPr="008C2525">
        <w:rPr>
          <w:lang w:val="fr-FR"/>
        </w:rPr>
        <w:t>des mesures législatives pour que soit mentionnée explicitement dans sa législation l</w:t>
      </w:r>
      <w:r>
        <w:rPr>
          <w:lang w:val="fr-FR"/>
        </w:rPr>
        <w:t>’</w:t>
      </w:r>
      <w:r w:rsidRPr="008C2525">
        <w:rPr>
          <w:lang w:val="fr-FR"/>
        </w:rPr>
        <w:t>irrecevabilité d</w:t>
      </w:r>
      <w:r>
        <w:rPr>
          <w:lang w:val="fr-FR"/>
        </w:rPr>
        <w:t>’</w:t>
      </w:r>
      <w:r w:rsidRPr="008C2525">
        <w:rPr>
          <w:lang w:val="fr-FR"/>
        </w:rPr>
        <w:t xml:space="preserve">aveux ou de déclarations </w:t>
      </w:r>
      <w:r w:rsidRPr="008C2525">
        <w:t xml:space="preserve">extorqués </w:t>
      </w:r>
      <w:r>
        <w:t>par</w:t>
      </w:r>
      <w:r w:rsidRPr="008C2525">
        <w:t xml:space="preserve"> la torture</w:t>
      </w:r>
      <w:r w:rsidRPr="007E387A">
        <w:rPr>
          <w:rStyle w:val="Appelnotedebasdep"/>
        </w:rPr>
        <w:footnoteReference w:id="59"/>
      </w:r>
      <w:r>
        <w:t>.</w:t>
      </w:r>
      <w:r w:rsidRPr="008C2525">
        <w:rPr>
          <w:lang w:val="fr-FR"/>
        </w:rPr>
        <w:t xml:space="preserve"> Fournir des statistiques actualisées depuis 2018 sur : a) le nombre d</w:t>
      </w:r>
      <w:r>
        <w:rPr>
          <w:lang w:val="fr-FR"/>
        </w:rPr>
        <w:t>’</w:t>
      </w:r>
      <w:r w:rsidRPr="008C2525">
        <w:rPr>
          <w:lang w:val="fr-FR"/>
        </w:rPr>
        <w:t xml:space="preserve">affaires dans lesquelles des détenus ont affirmé que leurs aveux avaient été extorqués </w:t>
      </w:r>
      <w:r>
        <w:rPr>
          <w:lang w:val="fr-FR"/>
        </w:rPr>
        <w:t>par</w:t>
      </w:r>
      <w:r w:rsidRPr="008C2525">
        <w:rPr>
          <w:lang w:val="fr-FR"/>
        </w:rPr>
        <w:t xml:space="preserve"> la torture ; b) le nombre de ces affaires dans lesquelles des aveux ont été déclarés irrecevables ; et c) le nombre de ces affaires qui ont donné lieu à des enquêtes ainsi que leur résultat, en précisant si un examen médico-légal de la victime présumée a été réalisé, les peines prononcées contre les personnes reconnues coupables de ces actes, le cas échéant, et les mesures de réparation et d</w:t>
      </w:r>
      <w:r>
        <w:rPr>
          <w:lang w:val="fr-FR"/>
        </w:rPr>
        <w:t>’</w:t>
      </w:r>
      <w:r w:rsidRPr="008C2525">
        <w:rPr>
          <w:lang w:val="fr-FR"/>
        </w:rPr>
        <w:t>indem</w:t>
      </w:r>
      <w:r>
        <w:rPr>
          <w:lang w:val="fr-FR"/>
        </w:rPr>
        <w:t>nisation accordées aux victimes</w:t>
      </w:r>
      <w:r w:rsidRPr="007E387A">
        <w:rPr>
          <w:rStyle w:val="Appelnotedebasdep"/>
        </w:rPr>
        <w:footnoteReference w:id="60"/>
      </w:r>
      <w:r>
        <w:t>.</w:t>
      </w:r>
    </w:p>
    <w:p w14:paraId="687B0F2F" w14:textId="281C9DA3" w:rsidR="00ED6917" w:rsidRPr="008C2525" w:rsidRDefault="00ED6917" w:rsidP="00064F9A">
      <w:pPr>
        <w:pStyle w:val="H23G"/>
        <w:rPr>
          <w:lang w:val="fr-FR"/>
        </w:rPr>
      </w:pPr>
      <w:r w:rsidRPr="008C2525">
        <w:rPr>
          <w:lang w:val="fr-FR"/>
        </w:rPr>
        <w:lastRenderedPageBreak/>
        <w:tab/>
      </w:r>
      <w:r w:rsidRPr="008C2525">
        <w:rPr>
          <w:lang w:val="fr-FR"/>
        </w:rPr>
        <w:tab/>
        <w:t>Article</w:t>
      </w:r>
      <w:r w:rsidR="00D667DC">
        <w:rPr>
          <w:lang w:val="fr-FR"/>
        </w:rPr>
        <w:t> </w:t>
      </w:r>
      <w:r w:rsidRPr="008C2525">
        <w:rPr>
          <w:lang w:val="fr-FR"/>
        </w:rPr>
        <w:t>16</w:t>
      </w:r>
    </w:p>
    <w:p w14:paraId="54026D91" w14:textId="401376E3" w:rsidR="00ED6917" w:rsidRDefault="00ED6917" w:rsidP="00064F9A">
      <w:pPr>
        <w:pStyle w:val="SingleTxtG"/>
        <w:keepNext/>
        <w:keepLines/>
      </w:pPr>
      <w:r w:rsidRPr="008C2525">
        <w:rPr>
          <w:lang w:val="fr-FR"/>
        </w:rPr>
        <w:t>27.</w:t>
      </w:r>
      <w:r w:rsidRPr="008C2525">
        <w:rPr>
          <w:lang w:val="fr-FR"/>
        </w:rPr>
        <w:tab/>
        <w:t>Eu égard aux précédentes observations finales du Comité (par.</w:t>
      </w:r>
      <w:r>
        <w:rPr>
          <w:lang w:val="fr-FR"/>
        </w:rPr>
        <w:t> </w:t>
      </w:r>
      <w:r w:rsidRPr="008C2525">
        <w:rPr>
          <w:lang w:val="fr-FR"/>
        </w:rPr>
        <w:t>29 et 30) faisant état d</w:t>
      </w:r>
      <w:r>
        <w:rPr>
          <w:lang w:val="fr-FR"/>
        </w:rPr>
        <w:t>’</w:t>
      </w:r>
      <w:r w:rsidRPr="008C2525">
        <w:rPr>
          <w:lang w:val="fr-FR"/>
        </w:rPr>
        <w:t>un usage excessif de la force, y</w:t>
      </w:r>
      <w:r w:rsidR="00D667DC">
        <w:rPr>
          <w:lang w:val="fr-FR"/>
        </w:rPr>
        <w:t> </w:t>
      </w:r>
      <w:r w:rsidRPr="008C2525">
        <w:rPr>
          <w:lang w:val="fr-FR"/>
        </w:rPr>
        <w:t>compris d</w:t>
      </w:r>
      <w:r>
        <w:rPr>
          <w:lang w:val="fr-FR"/>
        </w:rPr>
        <w:t>’</w:t>
      </w:r>
      <w:r w:rsidRPr="008C2525">
        <w:rPr>
          <w:lang w:val="fr-FR"/>
        </w:rPr>
        <w:t>exécutions extrajudiciaires</w:t>
      </w:r>
      <w:r w:rsidRPr="008C2525">
        <w:t>,</w:t>
      </w:r>
      <w:r w:rsidRPr="008C2525">
        <w:rPr>
          <w:lang w:val="fr-FR"/>
        </w:rPr>
        <w:t xml:space="preserve"> </w:t>
      </w:r>
      <w:r w:rsidRPr="008C2525">
        <w:t>par les</w:t>
      </w:r>
      <w:r w:rsidRPr="008C2525">
        <w:rPr>
          <w:lang w:val="fr-FR"/>
        </w:rPr>
        <w:t xml:space="preserve"> forces de l</w:t>
      </w:r>
      <w:r>
        <w:rPr>
          <w:lang w:val="fr-FR"/>
        </w:rPr>
        <w:t>’</w:t>
      </w:r>
      <w:r w:rsidRPr="008C2525">
        <w:rPr>
          <w:lang w:val="fr-FR"/>
        </w:rPr>
        <w:t>ordre,</w:t>
      </w:r>
      <w:r w:rsidRPr="008C2525">
        <w:t xml:space="preserve"> et </w:t>
      </w:r>
      <w:r>
        <w:t xml:space="preserve">de </w:t>
      </w:r>
      <w:r w:rsidRPr="008C2525">
        <w:t>l</w:t>
      </w:r>
      <w:r>
        <w:t>’</w:t>
      </w:r>
      <w:r w:rsidRPr="008C2525">
        <w:t>utilisation de balles réelles et de gaz lacrymogènes</w:t>
      </w:r>
      <w:r w:rsidRPr="008C2525">
        <w:rPr>
          <w:lang w:val="fr-FR"/>
        </w:rPr>
        <w:t xml:space="preserve"> pour réprimer des rassemblements et </w:t>
      </w:r>
      <w:r>
        <w:rPr>
          <w:lang w:val="fr-FR"/>
        </w:rPr>
        <w:t xml:space="preserve">des </w:t>
      </w:r>
      <w:r w:rsidRPr="008C2525">
        <w:rPr>
          <w:lang w:val="fr-FR"/>
        </w:rPr>
        <w:t>manifestations à but politique</w:t>
      </w:r>
      <w:r w:rsidRPr="008C2525">
        <w:t>,</w:t>
      </w:r>
      <w:r w:rsidRPr="008C2525">
        <w:rPr>
          <w:lang w:val="fr-FR"/>
        </w:rPr>
        <w:t xml:space="preserve"> </w:t>
      </w:r>
      <w:r w:rsidRPr="008C2525">
        <w:rPr>
          <w:lang w:eastAsia="es-ES"/>
        </w:rPr>
        <w:t xml:space="preserve">donner des renseignements sur les programmes de formation dispensés depuis 2018 </w:t>
      </w:r>
      <w:r w:rsidRPr="008C2525">
        <w:t>à tous les membres des forces de l</w:t>
      </w:r>
      <w:r>
        <w:t>’</w:t>
      </w:r>
      <w:r w:rsidRPr="008C2525">
        <w:t>ordre sur l</w:t>
      </w:r>
      <w:r>
        <w:t>’</w:t>
      </w:r>
      <w:r w:rsidRPr="008C2525">
        <w:t xml:space="preserve">usage de la force, en particulier à ceux qui participent au contrôle des manifestations, compte dûment tenu </w:t>
      </w:r>
      <w:r w:rsidRPr="008C2525">
        <w:rPr>
          <w:lang w:val="fr-FR"/>
        </w:rPr>
        <w:t xml:space="preserve">des </w:t>
      </w:r>
      <w:r w:rsidRPr="008C2525">
        <w:t>Principes de base sur le recours à la force et l</w:t>
      </w:r>
      <w:r>
        <w:t>’</w:t>
      </w:r>
      <w:r w:rsidRPr="008C2525">
        <w:t>utilisation des armes à feu par les respons</w:t>
      </w:r>
      <w:r>
        <w:t>ables de l’application des lois</w:t>
      </w:r>
      <w:r w:rsidRPr="007E387A">
        <w:rPr>
          <w:rStyle w:val="Appelnotedebasdep"/>
        </w:rPr>
        <w:footnoteReference w:id="61"/>
      </w:r>
      <w:r>
        <w:t>.</w:t>
      </w:r>
      <w:r w:rsidRPr="008C2525">
        <w:t xml:space="preserve"> Indiquer les mesures de contrôle en place pour assurer que les forces de sécurité appliquent des mesures non violentes avant d</w:t>
      </w:r>
      <w:r>
        <w:t>’</w:t>
      </w:r>
      <w:r w:rsidRPr="008C2525">
        <w:t xml:space="preserve">employer la force lors du contrôle de manifestations. </w:t>
      </w:r>
      <w:r w:rsidRPr="008C2525">
        <w:rPr>
          <w:lang w:val="fr-FR"/>
        </w:rPr>
        <w:t>Fournir également des données, pour la période écoulée depuis 2018, ventilées par type d</w:t>
      </w:r>
      <w:r>
        <w:rPr>
          <w:lang w:val="fr-FR"/>
        </w:rPr>
        <w:t>’</w:t>
      </w:r>
      <w:r w:rsidRPr="008C2525">
        <w:rPr>
          <w:lang w:val="fr-FR"/>
        </w:rPr>
        <w:t>infraction et par sexe, tranche d</w:t>
      </w:r>
      <w:r>
        <w:rPr>
          <w:lang w:val="fr-FR"/>
        </w:rPr>
        <w:t>’</w:t>
      </w:r>
      <w:r w:rsidRPr="008C2525">
        <w:rPr>
          <w:lang w:val="fr-FR"/>
        </w:rPr>
        <w:t>âge et appartenance ethnique de la victime, sur des allégations d</w:t>
      </w:r>
      <w:r>
        <w:rPr>
          <w:lang w:val="fr-FR"/>
        </w:rPr>
        <w:t>’</w:t>
      </w:r>
      <w:r w:rsidRPr="008C2525">
        <w:rPr>
          <w:lang w:val="fr-FR"/>
        </w:rPr>
        <w:t>usage excessif de la force par des agents de l</w:t>
      </w:r>
      <w:r>
        <w:rPr>
          <w:lang w:val="fr-FR"/>
        </w:rPr>
        <w:t>’</w:t>
      </w:r>
      <w:r w:rsidRPr="008C2525">
        <w:rPr>
          <w:lang w:val="fr-FR"/>
        </w:rPr>
        <w:t xml:space="preserve">État. </w:t>
      </w:r>
      <w:r w:rsidRPr="008C2525">
        <w:rPr>
          <w:lang w:val="fr-FR" w:eastAsia="es-ES"/>
        </w:rPr>
        <w:t>Indiquer les résultats des enquêtes et des actions engagées, les jugements rendus et les peines prononcées</w:t>
      </w:r>
      <w:r w:rsidRPr="007E387A">
        <w:rPr>
          <w:rStyle w:val="Appelnotedebasdep"/>
        </w:rPr>
        <w:footnoteReference w:id="62"/>
      </w:r>
      <w:r>
        <w:rPr>
          <w:lang w:eastAsia="es-ES"/>
        </w:rPr>
        <w:t>.</w:t>
      </w:r>
      <w:r w:rsidRPr="008C2525">
        <w:rPr>
          <w:lang w:val="fr-FR"/>
        </w:rPr>
        <w:t xml:space="preserve"> </w:t>
      </w:r>
      <w:r w:rsidRPr="008C2525">
        <w:t>Indiquer notamment si des enquêtes ont été ouvertes, et leurs résultats, concernant l</w:t>
      </w:r>
      <w:r>
        <w:t>’</w:t>
      </w:r>
      <w:r w:rsidRPr="008C2525">
        <w:t>usage de la force</w:t>
      </w:r>
      <w:r>
        <w:t> :</w:t>
      </w:r>
      <w:r w:rsidRPr="008C2525">
        <w:t xml:space="preserve"> </w:t>
      </w:r>
      <w:r>
        <w:t>a</w:t>
      </w:r>
      <w:r w:rsidRPr="008C2525">
        <w:t>)</w:t>
      </w:r>
      <w:r w:rsidR="00D667DC">
        <w:t> </w:t>
      </w:r>
      <w:r w:rsidRPr="008C2525">
        <w:t>à l</w:t>
      </w:r>
      <w:r>
        <w:t>’</w:t>
      </w:r>
      <w:r w:rsidRPr="008C2525">
        <w:t>encontre des étudiants</w:t>
      </w:r>
      <w:r>
        <w:t xml:space="preserve"> </w:t>
      </w:r>
      <w:r w:rsidRPr="008C2525">
        <w:rPr>
          <w:lang w:val="fr-FR"/>
        </w:rPr>
        <w:t xml:space="preserve">protestant au campus </w:t>
      </w:r>
      <w:r>
        <w:rPr>
          <w:lang w:val="fr-FR"/>
        </w:rPr>
        <w:t>de l’Université</w:t>
      </w:r>
      <w:r w:rsidRPr="008C2525">
        <w:rPr>
          <w:lang w:val="fr-FR"/>
        </w:rPr>
        <w:t xml:space="preserve"> Gaston</w:t>
      </w:r>
      <w:r>
        <w:rPr>
          <w:lang w:val="fr-FR"/>
        </w:rPr>
        <w:t>-</w:t>
      </w:r>
      <w:r w:rsidRPr="008C2525">
        <w:rPr>
          <w:lang w:val="fr-FR"/>
        </w:rPr>
        <w:t xml:space="preserve">Berger de Saint-Louis en mai 2018, </w:t>
      </w:r>
      <w:r w:rsidRPr="008C2525">
        <w:t>y</w:t>
      </w:r>
      <w:r w:rsidR="00D667DC">
        <w:t> </w:t>
      </w:r>
      <w:r w:rsidRPr="008C2525">
        <w:t>compris l</w:t>
      </w:r>
      <w:r>
        <w:t>’</w:t>
      </w:r>
      <w:r w:rsidRPr="008C2525">
        <w:t>usage de la force létale à l</w:t>
      </w:r>
      <w:r>
        <w:t>’</w:t>
      </w:r>
      <w:r w:rsidRPr="008C2525">
        <w:t xml:space="preserve">encontre de </w:t>
      </w:r>
      <w:r>
        <w:rPr>
          <w:lang w:val="fr-FR"/>
        </w:rPr>
        <w:t>Fallou Sène </w:t>
      </w:r>
      <w:r>
        <w:t>;</w:t>
      </w:r>
      <w:r w:rsidRPr="008C2525">
        <w:rPr>
          <w:lang w:val="fr-FR"/>
        </w:rPr>
        <w:t xml:space="preserve"> </w:t>
      </w:r>
      <w:r>
        <w:rPr>
          <w:lang w:val="fr-FR"/>
        </w:rPr>
        <w:t>b</w:t>
      </w:r>
      <w:r w:rsidRPr="008C2525">
        <w:rPr>
          <w:lang w:val="fr-FR"/>
        </w:rPr>
        <w:t>)</w:t>
      </w:r>
      <w:r w:rsidR="00D667DC">
        <w:rPr>
          <w:lang w:val="fr-FR"/>
        </w:rPr>
        <w:t> </w:t>
      </w:r>
      <w:r w:rsidRPr="008C2525">
        <w:rPr>
          <w:lang w:val="fr-FR"/>
        </w:rPr>
        <w:t>lors de la</w:t>
      </w:r>
      <w:r w:rsidRPr="008C2525">
        <w:t xml:space="preserve"> manifestation du 14</w:t>
      </w:r>
      <w:r w:rsidR="00064F9A">
        <w:t> </w:t>
      </w:r>
      <w:r w:rsidRPr="008C2525">
        <w:t>juin 2019 organisée pa</w:t>
      </w:r>
      <w:r>
        <w:t>r la plateforme Aar Li Nu Bokk ; et</w:t>
      </w:r>
      <w:r w:rsidRPr="008C2525">
        <w:t xml:space="preserve"> </w:t>
      </w:r>
      <w:r>
        <w:t>c</w:t>
      </w:r>
      <w:r w:rsidRPr="008C2525">
        <w:t>)</w:t>
      </w:r>
      <w:r w:rsidR="00D667DC">
        <w:t> </w:t>
      </w:r>
      <w:r w:rsidRPr="008C2525">
        <w:t>à l</w:t>
      </w:r>
      <w:r>
        <w:t>’</w:t>
      </w:r>
      <w:r w:rsidRPr="008C2525">
        <w:t>encontre des personnes qui ne respectaient pas le couvre-feu, imposé en mars 2020</w:t>
      </w:r>
      <w:r>
        <w:t xml:space="preserve"> pour lutter contre la pandémie de COVID-19.</w:t>
      </w:r>
    </w:p>
    <w:p w14:paraId="7C32384D" w14:textId="64B2372A" w:rsidR="00ED6917" w:rsidRPr="008C2525" w:rsidRDefault="00ED6917" w:rsidP="00ED6917">
      <w:pPr>
        <w:pStyle w:val="SingleTxtG"/>
        <w:rPr>
          <w:lang w:val="fr-FR"/>
        </w:rPr>
      </w:pPr>
      <w:r w:rsidRPr="008C2525">
        <w:rPr>
          <w:lang w:val="fr-BE"/>
        </w:rPr>
        <w:t>28.</w:t>
      </w:r>
      <w:r w:rsidRPr="008C2525">
        <w:rPr>
          <w:lang w:val="fr-BE"/>
        </w:rPr>
        <w:tab/>
      </w:r>
      <w:r w:rsidRPr="008C2525">
        <w:rPr>
          <w:lang w:val="fr-FR"/>
        </w:rPr>
        <w:t>Eu égard aux précédentes observations finales du Comité (par. </w:t>
      </w:r>
      <w:r>
        <w:rPr>
          <w:lang w:val="fr-FR"/>
        </w:rPr>
        <w:t>35 et 36</w:t>
      </w:r>
      <w:r w:rsidRPr="008C2525">
        <w:rPr>
          <w:lang w:val="fr-FR"/>
        </w:rPr>
        <w:t>), faisant état d</w:t>
      </w:r>
      <w:r>
        <w:rPr>
          <w:lang w:val="fr-FR"/>
        </w:rPr>
        <w:t>’</w:t>
      </w:r>
      <w:r w:rsidRPr="008C2525">
        <w:t>arrestations violentes motivées par l</w:t>
      </w:r>
      <w:r>
        <w:t>’</w:t>
      </w:r>
      <w:r w:rsidRPr="008C2525">
        <w:t xml:space="preserve">orientation sexuelle supposée de la personne et de </w:t>
      </w:r>
      <w:r w:rsidRPr="008C2525">
        <w:rPr>
          <w:rFonts w:eastAsia="Times New Roman"/>
        </w:rPr>
        <w:t>la réponse insuffisante de l</w:t>
      </w:r>
      <w:r>
        <w:rPr>
          <w:rFonts w:eastAsia="Times New Roman"/>
        </w:rPr>
        <w:t>’</w:t>
      </w:r>
      <w:r w:rsidRPr="008C2525">
        <w:rPr>
          <w:rFonts w:eastAsia="Times New Roman"/>
        </w:rPr>
        <w:t xml:space="preserve">État partie pour protéger les personnes </w:t>
      </w:r>
      <w:r>
        <w:rPr>
          <w:rFonts w:eastAsia="Times New Roman"/>
        </w:rPr>
        <w:t>atteintes d’albinisme</w:t>
      </w:r>
      <w:r w:rsidRPr="008C2525">
        <w:rPr>
          <w:rFonts w:eastAsia="Times New Roman"/>
        </w:rPr>
        <w:t xml:space="preserve"> </w:t>
      </w:r>
      <w:r w:rsidRPr="008C2525">
        <w:rPr>
          <w:lang w:val="fr-FR"/>
        </w:rPr>
        <w:t>d</w:t>
      </w:r>
      <w:r>
        <w:rPr>
          <w:lang w:val="fr-FR"/>
        </w:rPr>
        <w:t>’</w:t>
      </w:r>
      <w:r w:rsidRPr="008C2525">
        <w:rPr>
          <w:lang w:val="fr-FR"/>
        </w:rPr>
        <w:t>attaques rituelles et d</w:t>
      </w:r>
      <w:r>
        <w:rPr>
          <w:lang w:val="fr-FR"/>
        </w:rPr>
        <w:t>’</w:t>
      </w:r>
      <w:r w:rsidRPr="008C2525">
        <w:rPr>
          <w:lang w:val="fr-FR"/>
        </w:rPr>
        <w:t>autres pratiques traditionnelles préjudiciables</w:t>
      </w:r>
      <w:r w:rsidRPr="008C2525">
        <w:t>, indiquer si l</w:t>
      </w:r>
      <w:r>
        <w:t>’</w:t>
      </w:r>
      <w:r w:rsidRPr="008C2525">
        <w:t>État partie envisage d</w:t>
      </w:r>
      <w:r>
        <w:t>’</w:t>
      </w:r>
      <w:r w:rsidRPr="008C2525">
        <w:t xml:space="preserve">abroger </w:t>
      </w:r>
      <w:r>
        <w:t xml:space="preserve">le troisième alinéa de </w:t>
      </w:r>
      <w:r w:rsidRPr="008C2525">
        <w:rPr>
          <w:lang w:val="fr-FR"/>
        </w:rPr>
        <w:t>l</w:t>
      </w:r>
      <w:r>
        <w:rPr>
          <w:lang w:val="fr-FR"/>
        </w:rPr>
        <w:t>’</w:t>
      </w:r>
      <w:r w:rsidRPr="008C2525">
        <w:rPr>
          <w:lang w:val="fr-FR"/>
        </w:rPr>
        <w:t>article 319 du Code pénal, invoqué pour poursuivre des comportements homosexuels entre personnes consentantes</w:t>
      </w:r>
      <w:r w:rsidRPr="007E387A">
        <w:rPr>
          <w:rStyle w:val="Appelnotedebasdep"/>
        </w:rPr>
        <w:footnoteReference w:id="63"/>
      </w:r>
      <w:r>
        <w:t>,</w:t>
      </w:r>
      <w:r w:rsidRPr="008C2525">
        <w:t xml:space="preserve"> </w:t>
      </w:r>
      <w:r w:rsidRPr="008C2525">
        <w:rPr>
          <w:lang w:val="fr-FR"/>
        </w:rPr>
        <w:t>et d</w:t>
      </w:r>
      <w:r>
        <w:rPr>
          <w:lang w:val="fr-FR"/>
        </w:rPr>
        <w:t>’</w:t>
      </w:r>
      <w:r w:rsidRPr="008C2525">
        <w:rPr>
          <w:lang w:val="fr-FR"/>
        </w:rPr>
        <w:t xml:space="preserve">appliquer </w:t>
      </w:r>
      <w:r w:rsidRPr="008C2525">
        <w:t>un moratoire entre</w:t>
      </w:r>
      <w:r>
        <w:t>-</w:t>
      </w:r>
      <w:r w:rsidRPr="008C2525">
        <w:t>temps. Indiquer aussi : a)</w:t>
      </w:r>
      <w:r w:rsidR="00D667DC">
        <w:t> </w:t>
      </w:r>
      <w:r w:rsidRPr="008C2525">
        <w:t>les mesures prises en matière de prévention, d</w:t>
      </w:r>
      <w:r>
        <w:t>’</w:t>
      </w:r>
      <w:r w:rsidRPr="008C2525">
        <w:t>enquêtes, de poursuites et de condamnations concernant la violence, y</w:t>
      </w:r>
      <w:r w:rsidR="00D667DC">
        <w:t> </w:t>
      </w:r>
      <w:r w:rsidRPr="008C2525">
        <w:t>compris policière, fondée sur l</w:t>
      </w:r>
      <w:r>
        <w:t>’</w:t>
      </w:r>
      <w:r w:rsidRPr="008C2525">
        <w:t>orientation sexuelle et l</w:t>
      </w:r>
      <w:r>
        <w:t>’</w:t>
      </w:r>
      <w:r w:rsidRPr="008C2525">
        <w:t xml:space="preserve">identité de genre, </w:t>
      </w:r>
      <w:r w:rsidRPr="008C2525">
        <w:rPr>
          <w:lang w:val="fr-FR"/>
        </w:rPr>
        <w:t>réelle ou supposée, de la victime</w:t>
      </w:r>
      <w:r w:rsidRPr="007E387A">
        <w:rPr>
          <w:rStyle w:val="Appelnotedebasdep"/>
        </w:rPr>
        <w:footnoteReference w:id="64"/>
      </w:r>
      <w:r>
        <w:rPr>
          <w:lang w:val="fr-FR"/>
        </w:rPr>
        <w:t xml:space="preserve"> ou sur son albinisme</w:t>
      </w:r>
      <w:r w:rsidRPr="007E387A">
        <w:rPr>
          <w:rStyle w:val="Appelnotedebasdep"/>
        </w:rPr>
        <w:footnoteReference w:id="65"/>
      </w:r>
      <w:r>
        <w:rPr>
          <w:lang w:val="fr-FR"/>
        </w:rPr>
        <w:t> </w:t>
      </w:r>
      <w:r>
        <w:t>;</w:t>
      </w:r>
      <w:r w:rsidRPr="008C2525">
        <w:rPr>
          <w:lang w:val="fr-FR"/>
        </w:rPr>
        <w:t xml:space="preserve"> </w:t>
      </w:r>
      <w:r w:rsidRPr="008C2525">
        <w:t>et b)</w:t>
      </w:r>
      <w:r w:rsidR="00D667DC">
        <w:t> </w:t>
      </w:r>
      <w:r w:rsidRPr="008C2525">
        <w:t xml:space="preserve">les mesures de protection en cours </w:t>
      </w:r>
      <w:r w:rsidRPr="008C2525">
        <w:rPr>
          <w:w w:val="103"/>
          <w:lang w:val="fr-CA"/>
        </w:rPr>
        <w:t>à l</w:t>
      </w:r>
      <w:r>
        <w:rPr>
          <w:w w:val="103"/>
          <w:lang w:val="fr-CA"/>
        </w:rPr>
        <w:t>’</w:t>
      </w:r>
      <w:r w:rsidRPr="008C2525">
        <w:rPr>
          <w:w w:val="103"/>
          <w:lang w:val="fr-CA"/>
        </w:rPr>
        <w:t>égard des</w:t>
      </w:r>
      <w:r w:rsidRPr="008C2525">
        <w:t xml:space="preserve"> lesbiennes, gays, bisexuels</w:t>
      </w:r>
      <w:r>
        <w:t>,</w:t>
      </w:r>
      <w:r w:rsidRPr="008C2525">
        <w:t xml:space="preserve"> transgenres</w:t>
      </w:r>
      <w:r>
        <w:t xml:space="preserve"> et intersexes</w:t>
      </w:r>
      <w:r w:rsidRPr="008C2525">
        <w:rPr>
          <w:lang w:val="fr-FR" w:eastAsia="es-ES"/>
        </w:rPr>
        <w:t xml:space="preserve">, </w:t>
      </w:r>
      <w:r w:rsidRPr="008C2525">
        <w:rPr>
          <w:lang w:val="fr-FR"/>
        </w:rPr>
        <w:t>et à l</w:t>
      </w:r>
      <w:r>
        <w:rPr>
          <w:lang w:val="fr-FR"/>
        </w:rPr>
        <w:t>’</w:t>
      </w:r>
      <w:r w:rsidRPr="008C2525">
        <w:rPr>
          <w:lang w:val="fr-FR"/>
        </w:rPr>
        <w:t xml:space="preserve">égard des personnes </w:t>
      </w:r>
      <w:r>
        <w:rPr>
          <w:lang w:val="fr-FR"/>
        </w:rPr>
        <w:t>atteintes d’albinisme</w:t>
      </w:r>
      <w:r w:rsidRPr="008C2525">
        <w:rPr>
          <w:lang w:val="fr-FR"/>
        </w:rPr>
        <w:t>,</w:t>
      </w:r>
      <w:r w:rsidRPr="008C2525">
        <w:t xml:space="preserve"> y</w:t>
      </w:r>
      <w:r w:rsidR="00D667DC">
        <w:t> </w:t>
      </w:r>
      <w:r w:rsidRPr="008C2525">
        <w:t xml:space="preserve">compris pour encourager les victimes à dénoncer ces </w:t>
      </w:r>
      <w:r>
        <w:t>violences</w:t>
      </w:r>
      <w:r w:rsidRPr="008C2525">
        <w:t>.</w:t>
      </w:r>
      <w:r w:rsidRPr="008C2525">
        <w:rPr>
          <w:lang w:val="fr-FR" w:eastAsia="es-ES"/>
        </w:rPr>
        <w:t xml:space="preserve"> Fournir, pour la période écoulée depuis 2018, des données statistiques sur les crimes de haine, ventilées en fonction du </w:t>
      </w:r>
      <w:r w:rsidR="00D667DC" w:rsidRPr="008C2525">
        <w:rPr>
          <w:lang w:val="fr-FR" w:eastAsia="es-ES"/>
        </w:rPr>
        <w:t>motif</w:t>
      </w:r>
      <w:r w:rsidR="00D667DC">
        <w:rPr>
          <w:lang w:val="fr-FR" w:eastAsia="es-ES"/>
        </w:rPr>
        <w:t xml:space="preserve"> </w:t>
      </w:r>
      <w:r w:rsidRPr="008C2525">
        <w:rPr>
          <w:lang w:val="fr-FR" w:eastAsia="es-ES"/>
        </w:rPr>
        <w:t>ou de la forme de discrimination, y</w:t>
      </w:r>
      <w:r w:rsidR="00064F9A">
        <w:rPr>
          <w:lang w:val="fr-FR" w:eastAsia="es-ES"/>
        </w:rPr>
        <w:t> </w:t>
      </w:r>
      <w:r w:rsidRPr="008C2525">
        <w:rPr>
          <w:lang w:val="fr-FR" w:eastAsia="es-ES"/>
        </w:rPr>
        <w:t xml:space="preserve">compris sur la base de </w:t>
      </w:r>
      <w:r w:rsidRPr="008C2525">
        <w:t>l</w:t>
      </w:r>
      <w:r>
        <w:t>’</w:t>
      </w:r>
      <w:r w:rsidRPr="008C2525">
        <w:t>orientation sexuelle, de l</w:t>
      </w:r>
      <w:r>
        <w:t>’</w:t>
      </w:r>
      <w:r w:rsidRPr="008C2525">
        <w:t>identité de genre, de la condition d</w:t>
      </w:r>
      <w:r>
        <w:t>’albinisme</w:t>
      </w:r>
      <w:r w:rsidRPr="008C2525">
        <w:t>,</w:t>
      </w:r>
      <w:r w:rsidRPr="00064F9A">
        <w:rPr>
          <w:bCs/>
        </w:rPr>
        <w:t xml:space="preserve"> </w:t>
      </w:r>
      <w:r w:rsidRPr="008C2525">
        <w:rPr>
          <w:lang w:val="fr-FR" w:eastAsia="es-ES"/>
        </w:rPr>
        <w:t>du groupe d</w:t>
      </w:r>
      <w:r>
        <w:rPr>
          <w:lang w:val="fr-FR" w:eastAsia="es-ES"/>
        </w:rPr>
        <w:t>’</w:t>
      </w:r>
      <w:r w:rsidRPr="008C2525">
        <w:rPr>
          <w:lang w:val="fr-FR" w:eastAsia="es-ES"/>
        </w:rPr>
        <w:t>âge, du sexe et de l</w:t>
      </w:r>
      <w:r>
        <w:rPr>
          <w:lang w:val="fr-FR" w:eastAsia="es-ES"/>
        </w:rPr>
        <w:t>’</w:t>
      </w:r>
      <w:r w:rsidRPr="008C2525">
        <w:rPr>
          <w:lang w:val="fr-FR" w:eastAsia="es-ES"/>
        </w:rPr>
        <w:t>origine ethnique ou de la nationalité de la victime, en précisant si l</w:t>
      </w:r>
      <w:r>
        <w:rPr>
          <w:lang w:val="fr-FR" w:eastAsia="es-ES"/>
        </w:rPr>
        <w:t>’</w:t>
      </w:r>
      <w:r w:rsidRPr="008C2525">
        <w:rPr>
          <w:lang w:val="fr-FR" w:eastAsia="es-ES"/>
        </w:rPr>
        <w:t>auteur des faits est un agent de l</w:t>
      </w:r>
      <w:r>
        <w:rPr>
          <w:lang w:val="fr-FR" w:eastAsia="es-ES"/>
        </w:rPr>
        <w:t>’</w:t>
      </w:r>
      <w:r w:rsidRPr="008C2525">
        <w:rPr>
          <w:lang w:val="fr-FR" w:eastAsia="es-ES"/>
        </w:rPr>
        <w:t>État. Indiquer les résultats des enquêtes et des actions engagées, les jugements re</w:t>
      </w:r>
      <w:r>
        <w:rPr>
          <w:lang w:val="fr-FR" w:eastAsia="es-ES"/>
        </w:rPr>
        <w:t>ndus et les peines prononcées.</w:t>
      </w:r>
    </w:p>
    <w:p w14:paraId="2DA6E001" w14:textId="77777777" w:rsidR="00ED6917" w:rsidRPr="008C2525" w:rsidRDefault="00ED6917" w:rsidP="004F20FC">
      <w:pPr>
        <w:pStyle w:val="H1G"/>
        <w:rPr>
          <w:lang w:val="fr-FR"/>
        </w:rPr>
      </w:pPr>
      <w:r w:rsidRPr="008C2525">
        <w:rPr>
          <w:lang w:val="fr-FR"/>
        </w:rPr>
        <w:tab/>
      </w:r>
      <w:r w:rsidRPr="008C2525">
        <w:rPr>
          <w:lang w:val="fr-FR"/>
        </w:rPr>
        <w:tab/>
        <w:t>Autres questions</w:t>
      </w:r>
    </w:p>
    <w:p w14:paraId="75EC4DEB" w14:textId="644CB326" w:rsidR="00ED6917" w:rsidRPr="008C2525" w:rsidRDefault="00ED6917" w:rsidP="00ED6917">
      <w:pPr>
        <w:pStyle w:val="SingleTxtG"/>
      </w:pPr>
      <w:r w:rsidRPr="008C2525">
        <w:t>29.</w:t>
      </w:r>
      <w:r w:rsidRPr="008C2525">
        <w:tab/>
        <w:t>Étant donné que l</w:t>
      </w:r>
      <w:r>
        <w:t>’</w:t>
      </w:r>
      <w:r w:rsidRPr="008C2525">
        <w:t>interdiction de la torture est absolue et qu</w:t>
      </w:r>
      <w:r>
        <w:t>’</w:t>
      </w:r>
      <w:r w:rsidRPr="008C2525">
        <w:t>il ne peut y être dérogé, même dans le cadre de mesures liées à l</w:t>
      </w:r>
      <w:r>
        <w:t>’</w:t>
      </w:r>
      <w:r w:rsidRPr="008C2525">
        <w:t>état d</w:t>
      </w:r>
      <w:r>
        <w:t>’</w:t>
      </w:r>
      <w:r w:rsidRPr="008C2525">
        <w:t>urgence et à d</w:t>
      </w:r>
      <w:r>
        <w:t>’</w:t>
      </w:r>
      <w:r w:rsidRPr="008C2525">
        <w:t>autres circonstances exceptionnelles, donner des informations sur les dispositions que l</w:t>
      </w:r>
      <w:r>
        <w:t>’</w:t>
      </w:r>
      <w:r w:rsidRPr="008C2525">
        <w:t>État partie a prises pendant la pandémie de COVID-19 pour faire en sorte que ses politiques et actions soient conformes aux obligations mises à sa charge par la Convention. Donner en outre des précisions sur les mesures prises à l</w:t>
      </w:r>
      <w:r>
        <w:t>’</w:t>
      </w:r>
      <w:r w:rsidRPr="008C2525">
        <w:t>égard des personnes privées de liberté, y</w:t>
      </w:r>
      <w:r w:rsidR="00D667DC">
        <w:t> </w:t>
      </w:r>
      <w:r w:rsidRPr="008C2525">
        <w:t>compris dans des lieux tels que les foyers pour personnes âgées, les hôpitaux ou les établissements pour personnes présentant un handicap intellectuel ou psychosocial.</w:t>
      </w:r>
    </w:p>
    <w:p w14:paraId="05761C1F" w14:textId="33BCD026" w:rsidR="00ED6917" w:rsidRPr="008C2525" w:rsidRDefault="00ED6917" w:rsidP="004F20FC">
      <w:pPr>
        <w:pStyle w:val="H1G"/>
        <w:rPr>
          <w:lang w:val="fr-FR" w:eastAsia="es-ES"/>
        </w:rPr>
      </w:pPr>
      <w:r w:rsidRPr="008C2525">
        <w:rPr>
          <w:lang w:val="fr-FR" w:eastAsia="es-ES"/>
        </w:rPr>
        <w:lastRenderedPageBreak/>
        <w:tab/>
      </w:r>
      <w:r w:rsidRPr="008C2525">
        <w:rPr>
          <w:lang w:val="fr-FR" w:eastAsia="es-ES"/>
        </w:rPr>
        <w:tab/>
      </w:r>
      <w:r w:rsidRPr="008C2525">
        <w:rPr>
          <w:lang w:eastAsia="es-ES"/>
        </w:rPr>
        <w:t>Renseignements d</w:t>
      </w:r>
      <w:r>
        <w:rPr>
          <w:lang w:eastAsia="es-ES"/>
        </w:rPr>
        <w:t>’</w:t>
      </w:r>
      <w:r w:rsidRPr="008C2525">
        <w:rPr>
          <w:lang w:eastAsia="es-ES"/>
        </w:rPr>
        <w:t xml:space="preserve">ordre général sur les autres mesures </w:t>
      </w:r>
      <w:r w:rsidR="001B526F">
        <w:rPr>
          <w:lang w:eastAsia="es-ES"/>
        </w:rPr>
        <w:br/>
      </w:r>
      <w:r w:rsidRPr="008C2525">
        <w:rPr>
          <w:lang w:eastAsia="es-ES"/>
        </w:rPr>
        <w:t xml:space="preserve">et faits nouveaux concernant la mise en œuvre </w:t>
      </w:r>
      <w:r w:rsidR="001B526F">
        <w:rPr>
          <w:lang w:eastAsia="es-ES"/>
        </w:rPr>
        <w:br/>
      </w:r>
      <w:r w:rsidRPr="008C2525">
        <w:rPr>
          <w:lang w:eastAsia="es-ES"/>
        </w:rPr>
        <w:t>de la Convention</w:t>
      </w:r>
      <w:r w:rsidRPr="008C2525">
        <w:rPr>
          <w:sz w:val="18"/>
          <w:vertAlign w:val="superscript"/>
        </w:rPr>
        <w:t xml:space="preserve"> </w:t>
      </w:r>
      <w:r w:rsidRPr="008C2525">
        <w:rPr>
          <w:lang w:eastAsia="es-ES"/>
        </w:rPr>
        <w:t>dans l</w:t>
      </w:r>
      <w:r>
        <w:rPr>
          <w:lang w:eastAsia="es-ES"/>
        </w:rPr>
        <w:t>’</w:t>
      </w:r>
      <w:r w:rsidRPr="008C2525">
        <w:rPr>
          <w:lang w:eastAsia="es-ES"/>
        </w:rPr>
        <w:t>État partie</w:t>
      </w:r>
    </w:p>
    <w:p w14:paraId="1A2D526C" w14:textId="2133BAF9" w:rsidR="00635064" w:rsidRDefault="00ED6917" w:rsidP="00635064">
      <w:pPr>
        <w:pStyle w:val="SingleTxtG"/>
        <w:rPr>
          <w:lang w:val="fr-FR" w:eastAsia="es-ES"/>
        </w:rPr>
      </w:pPr>
      <w:r w:rsidRPr="008C2525">
        <w:rPr>
          <w:lang w:val="fr-FR" w:eastAsia="es-ES"/>
        </w:rPr>
        <w:t>30.</w:t>
      </w:r>
      <w:r w:rsidRPr="008C2525">
        <w:rPr>
          <w:lang w:val="fr-FR" w:eastAsia="es-ES"/>
        </w:rPr>
        <w:tab/>
        <w:t>Donner des informations détaillées sur toute mesure pertinente d</w:t>
      </w:r>
      <w:r>
        <w:rPr>
          <w:lang w:val="fr-FR" w:eastAsia="es-ES"/>
        </w:rPr>
        <w:t>’</w:t>
      </w:r>
      <w:r w:rsidRPr="008C2525">
        <w:rPr>
          <w:lang w:val="fr-FR" w:eastAsia="es-ES"/>
        </w:rPr>
        <w:t>ordre législatif, administratif, judiciaire ou autre qui aurait été prise depuis la ratification de la Convention pour mettre en œuvre les dispositions de cet instrument, y</w:t>
      </w:r>
      <w:r w:rsidR="00D667DC">
        <w:rPr>
          <w:lang w:val="fr-FR" w:eastAsia="es-ES"/>
        </w:rPr>
        <w:t> </w:t>
      </w:r>
      <w:r w:rsidRPr="008C2525">
        <w:rPr>
          <w:lang w:val="fr-FR" w:eastAsia="es-ES"/>
        </w:rPr>
        <w:t>compris les réformes, plans ou programmes institutionnels. Préciser les ressources affectées aux mesures en question et fournir des données statistiques. Fournir également tout autre renseignement que l</w:t>
      </w:r>
      <w:r>
        <w:rPr>
          <w:lang w:val="fr-FR" w:eastAsia="es-ES"/>
        </w:rPr>
        <w:t>’</w:t>
      </w:r>
      <w:r w:rsidRPr="008C2525">
        <w:rPr>
          <w:lang w:val="fr-FR" w:eastAsia="es-ES"/>
        </w:rPr>
        <w:t>État partie juge utile.</w:t>
      </w:r>
    </w:p>
    <w:p w14:paraId="4F9B9A48" w14:textId="3971BA90" w:rsidR="00ED6917" w:rsidRDefault="00635064" w:rsidP="004F20FC">
      <w:pPr>
        <w:pStyle w:val="SingleTxtG"/>
        <w:spacing w:before="240" w:after="0"/>
        <w:jc w:val="center"/>
      </w:pPr>
      <w:r>
        <w:rPr>
          <w:u w:val="single"/>
        </w:rPr>
        <w:tab/>
      </w:r>
      <w:r>
        <w:rPr>
          <w:u w:val="single"/>
        </w:rPr>
        <w:tab/>
      </w:r>
      <w:r>
        <w:rPr>
          <w:u w:val="single"/>
        </w:rPr>
        <w:tab/>
      </w:r>
    </w:p>
    <w:sectPr w:rsidR="00ED6917" w:rsidSect="00ED691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2C0DB" w14:textId="77777777" w:rsidR="00635064" w:rsidRPr="009C4D45" w:rsidRDefault="00635064" w:rsidP="009C4D45">
      <w:pPr>
        <w:pStyle w:val="Pieddepage"/>
      </w:pPr>
    </w:p>
  </w:endnote>
  <w:endnote w:type="continuationSeparator" w:id="0">
    <w:p w14:paraId="4389EB30" w14:textId="77777777" w:rsidR="00635064" w:rsidRPr="009C4D45" w:rsidRDefault="00635064" w:rsidP="009C4D45">
      <w:pPr>
        <w:pStyle w:val="Pieddepage"/>
      </w:pPr>
    </w:p>
  </w:endnote>
  <w:endnote w:type="continuationNotice" w:id="1">
    <w:p w14:paraId="16DE9918" w14:textId="77777777" w:rsidR="00635064" w:rsidRDefault="006350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7C875" w14:textId="1DB4DD29" w:rsidR="00635064" w:rsidRPr="00ED6917" w:rsidRDefault="00635064" w:rsidP="00ED6917">
    <w:pPr>
      <w:pStyle w:val="Pieddepage"/>
      <w:tabs>
        <w:tab w:val="right" w:pos="9638"/>
      </w:tabs>
    </w:pPr>
    <w:r w:rsidRPr="00ED6917">
      <w:rPr>
        <w:b/>
        <w:sz w:val="18"/>
      </w:rPr>
      <w:fldChar w:fldCharType="begin"/>
    </w:r>
    <w:r w:rsidRPr="00ED6917">
      <w:rPr>
        <w:b/>
        <w:sz w:val="18"/>
      </w:rPr>
      <w:instrText xml:space="preserve"> PAGE  \* MERGEFORMAT </w:instrText>
    </w:r>
    <w:r w:rsidRPr="00ED6917">
      <w:rPr>
        <w:b/>
        <w:sz w:val="18"/>
      </w:rPr>
      <w:fldChar w:fldCharType="separate"/>
    </w:r>
    <w:r w:rsidR="003919FE">
      <w:rPr>
        <w:b/>
        <w:noProof/>
        <w:sz w:val="18"/>
      </w:rPr>
      <w:t>10</w:t>
    </w:r>
    <w:r w:rsidRPr="00ED6917">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DF1DC" w14:textId="7D026A97" w:rsidR="00635064" w:rsidRPr="00ED6917" w:rsidRDefault="00635064" w:rsidP="00ED6917">
    <w:pPr>
      <w:pStyle w:val="Pieddepage"/>
      <w:tabs>
        <w:tab w:val="right" w:pos="9638"/>
      </w:tabs>
      <w:rPr>
        <w:b/>
        <w:sz w:val="18"/>
      </w:rPr>
    </w:pPr>
    <w:r>
      <w:tab/>
    </w:r>
    <w:r w:rsidRPr="00ED6917">
      <w:rPr>
        <w:b/>
        <w:sz w:val="18"/>
      </w:rPr>
      <w:fldChar w:fldCharType="begin"/>
    </w:r>
    <w:r w:rsidRPr="00ED6917">
      <w:rPr>
        <w:b/>
        <w:sz w:val="18"/>
      </w:rPr>
      <w:instrText xml:space="preserve"> PAGE  \* MERGEFORMAT </w:instrText>
    </w:r>
    <w:r w:rsidRPr="00ED6917">
      <w:rPr>
        <w:b/>
        <w:sz w:val="18"/>
      </w:rPr>
      <w:fldChar w:fldCharType="separate"/>
    </w:r>
    <w:r w:rsidR="003919FE">
      <w:rPr>
        <w:b/>
        <w:noProof/>
        <w:sz w:val="18"/>
      </w:rPr>
      <w:t>11</w:t>
    </w:r>
    <w:r w:rsidRPr="00ED69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A5244" w14:textId="4A540431" w:rsidR="00635064" w:rsidRPr="000875BB" w:rsidRDefault="000875BB" w:rsidP="000875BB">
    <w:pPr>
      <w:pStyle w:val="Pieddepage"/>
      <w:tabs>
        <w:tab w:val="left" w:pos="6520"/>
        <w:tab w:val="right" w:pos="9638"/>
      </w:tabs>
      <w:spacing w:before="120"/>
      <w:rPr>
        <w:sz w:val="20"/>
      </w:rPr>
    </w:pPr>
    <w:r>
      <w:rPr>
        <w:sz w:val="20"/>
      </w:rPr>
      <w:t>GE.21-06837  (F)</w:t>
    </w:r>
    <w:bookmarkStart w:id="0" w:name="_GoBack"/>
    <w:bookmarkEnd w:id="0"/>
    <w:r>
      <w:rPr>
        <w:sz w:val="20"/>
      </w:rPr>
      <w:tab/>
    </w:r>
    <w:r w:rsidRPr="000875BB">
      <w:rPr>
        <w:noProof/>
        <w:sz w:val="20"/>
        <w:lang w:eastAsia="fr-CH"/>
      </w:rPr>
      <w:drawing>
        <wp:inline distT="0" distB="0" distL="0" distR="0" wp14:anchorId="7BB7EFF4" wp14:editId="5A7D511D">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01939891" wp14:editId="4DA2231E">
          <wp:extent cx="565150" cy="565150"/>
          <wp:effectExtent l="0" t="0" r="635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D4F76" w14:textId="77777777" w:rsidR="00635064" w:rsidRPr="009C4D45" w:rsidRDefault="00635064" w:rsidP="009C4D45">
      <w:pPr>
        <w:pStyle w:val="Pieddepage"/>
        <w:tabs>
          <w:tab w:val="right" w:pos="2155"/>
        </w:tabs>
        <w:spacing w:after="80" w:line="240" w:lineRule="atLeast"/>
        <w:ind w:left="680"/>
        <w:rPr>
          <w:u w:val="single"/>
        </w:rPr>
      </w:pPr>
      <w:r>
        <w:rPr>
          <w:u w:val="single"/>
        </w:rPr>
        <w:tab/>
      </w:r>
    </w:p>
  </w:footnote>
  <w:footnote w:type="continuationSeparator" w:id="0">
    <w:p w14:paraId="15A3D496" w14:textId="77777777" w:rsidR="00635064" w:rsidRPr="00035AE4" w:rsidRDefault="00635064" w:rsidP="00035AE4">
      <w:pPr>
        <w:pStyle w:val="Pieddepage"/>
        <w:tabs>
          <w:tab w:val="right" w:pos="2155"/>
        </w:tabs>
        <w:spacing w:after="80" w:line="240" w:lineRule="atLeast"/>
        <w:ind w:left="680"/>
        <w:rPr>
          <w:u w:val="single"/>
        </w:rPr>
      </w:pPr>
      <w:r>
        <w:rPr>
          <w:u w:val="single"/>
        </w:rPr>
        <w:tab/>
      </w:r>
    </w:p>
  </w:footnote>
  <w:footnote w:type="continuationNotice" w:id="1">
    <w:p w14:paraId="501702DF" w14:textId="77777777" w:rsidR="00635064" w:rsidRPr="00035AE4" w:rsidRDefault="00635064">
      <w:pPr>
        <w:spacing w:line="240" w:lineRule="auto"/>
        <w:rPr>
          <w:sz w:val="2"/>
          <w:szCs w:val="2"/>
        </w:rPr>
      </w:pPr>
    </w:p>
  </w:footnote>
  <w:footnote w:id="2">
    <w:p w14:paraId="4EB48330" w14:textId="5B0EEA0C" w:rsidR="00635064" w:rsidRPr="00635064" w:rsidRDefault="00635064">
      <w:pPr>
        <w:pStyle w:val="Notedebasdepage"/>
      </w:pPr>
      <w:r>
        <w:rPr>
          <w:rStyle w:val="Appelnotedebasdep"/>
        </w:rPr>
        <w:tab/>
      </w:r>
      <w:r w:rsidRPr="00635064">
        <w:rPr>
          <w:rStyle w:val="Appelnotedebasdep"/>
          <w:sz w:val="20"/>
          <w:vertAlign w:val="baseline"/>
        </w:rPr>
        <w:t>*</w:t>
      </w:r>
      <w:r>
        <w:rPr>
          <w:rStyle w:val="Appelnotedebasdep"/>
          <w:sz w:val="20"/>
          <w:vertAlign w:val="baseline"/>
        </w:rPr>
        <w:tab/>
      </w:r>
      <w:r w:rsidRPr="006117CD">
        <w:rPr>
          <w:lang w:val="fr-FR"/>
        </w:rPr>
        <w:t xml:space="preserve">Adoptée par le Comité </w:t>
      </w:r>
      <w:r>
        <w:rPr>
          <w:lang w:val="fr-FR"/>
        </w:rPr>
        <w:t>à</w:t>
      </w:r>
      <w:r w:rsidRPr="006117CD">
        <w:rPr>
          <w:lang w:val="fr-FR"/>
        </w:rPr>
        <w:t xml:space="preserve"> sa soixante-dixième session (26-28</w:t>
      </w:r>
      <w:r>
        <w:rPr>
          <w:lang w:val="fr-FR"/>
        </w:rPr>
        <w:t> </w:t>
      </w:r>
      <w:r w:rsidRPr="006117CD">
        <w:rPr>
          <w:lang w:val="fr-FR"/>
        </w:rPr>
        <w:t>avril 2021).</w:t>
      </w:r>
    </w:p>
  </w:footnote>
  <w:footnote w:id="3">
    <w:p w14:paraId="0CC352E7" w14:textId="77777777" w:rsidR="00635064" w:rsidRPr="00EF7CB1" w:rsidRDefault="00635064" w:rsidP="004F20FC">
      <w:pPr>
        <w:pStyle w:val="Notedebasdepage"/>
        <w:rPr>
          <w:lang w:val="fr-CA"/>
        </w:rPr>
      </w:pPr>
      <w:r>
        <w:tab/>
      </w:r>
      <w:r w:rsidRPr="007E387A">
        <w:rPr>
          <w:rStyle w:val="Appelnotedebasdep"/>
        </w:rPr>
        <w:footnoteRef/>
      </w:r>
      <w:r>
        <w:tab/>
        <w:t xml:space="preserve">Sauf indication </w:t>
      </w:r>
      <w:r w:rsidRPr="008C2525">
        <w:t>contraire</w:t>
      </w:r>
      <w:r>
        <w:t>, les numéros de</w:t>
      </w:r>
      <w:r w:rsidRPr="00C82F73">
        <w:t xml:space="preserve"> paragraphes entre parenthèses renvoient aux précédentes obs</w:t>
      </w:r>
      <w:r>
        <w:t xml:space="preserve">ervations </w:t>
      </w:r>
      <w:r w:rsidRPr="004F20FC">
        <w:rPr>
          <w:lang w:val="fr-FR"/>
        </w:rPr>
        <w:t>finales</w:t>
      </w:r>
      <w:r>
        <w:t xml:space="preserve"> du Comité (CAT/C/SEN/CO/4).</w:t>
      </w:r>
    </w:p>
  </w:footnote>
  <w:footnote w:id="4">
    <w:p w14:paraId="3C501061" w14:textId="77777777" w:rsidR="00635064" w:rsidRPr="006117CD" w:rsidRDefault="00635064" w:rsidP="004F20FC">
      <w:pPr>
        <w:pStyle w:val="Notedebasdepage"/>
        <w:rPr>
          <w:lang w:val="en-US"/>
        </w:rPr>
      </w:pPr>
      <w:r>
        <w:tab/>
      </w:r>
      <w:r w:rsidRPr="007E387A">
        <w:rPr>
          <w:rStyle w:val="Appelnotedebasdep"/>
        </w:rPr>
        <w:footnoteRef/>
      </w:r>
      <w:r w:rsidRPr="006117CD">
        <w:rPr>
          <w:lang w:val="en-US"/>
        </w:rPr>
        <w:tab/>
      </w:r>
      <w:r w:rsidRPr="00064F9A">
        <w:rPr>
          <w:lang w:val="en-US"/>
        </w:rPr>
        <w:t>CAT</w:t>
      </w:r>
      <w:r w:rsidRPr="006117CD">
        <w:rPr>
          <w:lang w:val="en-US"/>
        </w:rPr>
        <w:t>/C/SEN/CO/4/Add.1.</w:t>
      </w:r>
    </w:p>
  </w:footnote>
  <w:footnote w:id="5">
    <w:p w14:paraId="6691365F" w14:textId="6635AFFD" w:rsidR="00635064" w:rsidRPr="006117CD" w:rsidRDefault="00635064" w:rsidP="004F20FC">
      <w:pPr>
        <w:pStyle w:val="Notedebasdepage"/>
        <w:rPr>
          <w:lang w:val="fr-CA"/>
        </w:rPr>
      </w:pPr>
      <w:r w:rsidRPr="006117CD">
        <w:rPr>
          <w:lang w:val="en-US"/>
        </w:rPr>
        <w:tab/>
      </w:r>
      <w:r w:rsidRPr="007E387A">
        <w:rPr>
          <w:rStyle w:val="Appelnotedebasdep"/>
        </w:rPr>
        <w:footnoteRef/>
      </w:r>
      <w:r>
        <w:tab/>
      </w:r>
      <w:r w:rsidRPr="004F20FC">
        <w:rPr>
          <w:lang w:val="fr-FR"/>
        </w:rPr>
        <w:t>Voir</w:t>
      </w:r>
      <w:r>
        <w:t xml:space="preserve"> aussi</w:t>
      </w:r>
      <w:r w:rsidRPr="00A13AAD">
        <w:rPr>
          <w:rFonts w:eastAsia="Calibri"/>
          <w:lang w:val="fr-FR"/>
        </w:rPr>
        <w:t xml:space="preserve"> </w:t>
      </w:r>
      <w:r w:rsidRPr="008C2525">
        <w:rPr>
          <w:rFonts w:eastAsia="Calibri"/>
          <w:lang w:val="fr-FR"/>
        </w:rPr>
        <w:t>CAT/C/SEN/CO/3, par.</w:t>
      </w:r>
      <w:r>
        <w:rPr>
          <w:rFonts w:eastAsia="Calibri"/>
          <w:lang w:val="fr-FR"/>
        </w:rPr>
        <w:t> </w:t>
      </w:r>
      <w:r w:rsidRPr="008C2525">
        <w:rPr>
          <w:rFonts w:eastAsia="Calibri"/>
          <w:lang w:val="fr-FR"/>
        </w:rPr>
        <w:t>8</w:t>
      </w:r>
      <w:r>
        <w:rPr>
          <w:rFonts w:eastAsia="Calibri"/>
          <w:lang w:val="fr-FR"/>
        </w:rPr>
        <w:t>.</w:t>
      </w:r>
    </w:p>
  </w:footnote>
  <w:footnote w:id="6">
    <w:p w14:paraId="6BDFD23F" w14:textId="1DAAF1B0" w:rsidR="00635064" w:rsidRPr="00E10A23" w:rsidRDefault="00635064" w:rsidP="004F20FC">
      <w:pPr>
        <w:pStyle w:val="Notedebasdepage"/>
        <w:rPr>
          <w:lang w:val="fr-FR"/>
        </w:rPr>
      </w:pPr>
      <w:r>
        <w:tab/>
      </w:r>
      <w:r w:rsidRPr="007E387A">
        <w:rPr>
          <w:rStyle w:val="Appelnotedebasdep"/>
        </w:rPr>
        <w:footnoteRef/>
      </w:r>
      <w:r w:rsidRPr="00064F9A">
        <w:tab/>
      </w:r>
      <w:r w:rsidRPr="00635064">
        <w:rPr>
          <w:lang w:val="fr-FR"/>
        </w:rPr>
        <w:t>CCPR</w:t>
      </w:r>
      <w:r w:rsidRPr="00064F9A">
        <w:t>/C/SEN/CO/5, par. </w:t>
      </w:r>
      <w:r>
        <w:rPr>
          <w:lang w:val="fr-FR"/>
        </w:rPr>
        <w:t xml:space="preserve">29 a) ; et </w:t>
      </w:r>
      <w:r w:rsidRPr="00FB0F79">
        <w:rPr>
          <w:lang w:val="fr-FR"/>
        </w:rPr>
        <w:t>A/HRC/WG.6/31/SEN/3, par.</w:t>
      </w:r>
      <w:r>
        <w:rPr>
          <w:lang w:val="fr-FR"/>
        </w:rPr>
        <w:t> </w:t>
      </w:r>
      <w:r w:rsidRPr="00FB0F79">
        <w:rPr>
          <w:lang w:val="fr-FR"/>
        </w:rPr>
        <w:t>28.</w:t>
      </w:r>
    </w:p>
  </w:footnote>
  <w:footnote w:id="7">
    <w:p w14:paraId="04919EC5" w14:textId="77777777" w:rsidR="00635064" w:rsidRDefault="00635064" w:rsidP="004F20FC">
      <w:pPr>
        <w:pStyle w:val="Notedebasdepage"/>
      </w:pPr>
      <w:r w:rsidRPr="00E10A23">
        <w:rPr>
          <w:lang w:val="fr-FR"/>
        </w:rPr>
        <w:tab/>
      </w:r>
      <w:r w:rsidRPr="007E387A">
        <w:rPr>
          <w:rStyle w:val="Appelnotedebasdep"/>
        </w:rPr>
        <w:footnoteRef/>
      </w:r>
      <w:r>
        <w:tab/>
      </w:r>
      <w:r w:rsidRPr="00451580">
        <w:t xml:space="preserve">Les </w:t>
      </w:r>
      <w:r>
        <w:t>questions</w:t>
      </w:r>
      <w:r w:rsidRPr="00451580">
        <w:t xml:space="preserve"> soulevé</w:t>
      </w:r>
      <w:r>
        <w:t>e</w:t>
      </w:r>
      <w:r w:rsidRPr="00451580">
        <w:t>s au titre de l</w:t>
      </w:r>
      <w:r>
        <w:t>’</w:t>
      </w:r>
      <w:r w:rsidRPr="00451580">
        <w:t>article</w:t>
      </w:r>
      <w:r>
        <w:t> </w:t>
      </w:r>
      <w:r w:rsidRPr="00451580">
        <w:t>2 peuvent également l</w:t>
      </w:r>
      <w:r>
        <w:t>’</w:t>
      </w:r>
      <w:r w:rsidRPr="00451580">
        <w:t>être au titre d</w:t>
      </w:r>
      <w:r>
        <w:t>’</w:t>
      </w:r>
      <w:r w:rsidRPr="00451580">
        <w:t>autres articles de la</w:t>
      </w:r>
      <w:r>
        <w:t> </w:t>
      </w:r>
      <w:r w:rsidRPr="00451580">
        <w:t>Convention, notamment de l</w:t>
      </w:r>
      <w:r>
        <w:t>’</w:t>
      </w:r>
      <w:r w:rsidRPr="00451580">
        <w:t>article</w:t>
      </w:r>
      <w:r>
        <w:t> </w:t>
      </w:r>
      <w:r w:rsidRPr="00451580">
        <w:t>16. Comme il est indiqué au paragraphe</w:t>
      </w:r>
      <w:r>
        <w:t> </w:t>
      </w:r>
      <w:r w:rsidRPr="00451580">
        <w:t>3 de l</w:t>
      </w:r>
      <w:r>
        <w:t>’</w:t>
      </w:r>
      <w:r w:rsidRPr="00451580">
        <w:t>observation générale n</w:t>
      </w:r>
      <w:r w:rsidRPr="005570BA">
        <w:rPr>
          <w:vertAlign w:val="superscript"/>
        </w:rPr>
        <w:t>o</w:t>
      </w:r>
      <w:r>
        <w:t> </w:t>
      </w:r>
      <w:r w:rsidRPr="00451580">
        <w:t>2 (2007) du Comité sur l</w:t>
      </w:r>
      <w:r>
        <w:t>’</w:t>
      </w:r>
      <w:r w:rsidRPr="00451580">
        <w:t>application de l</w:t>
      </w:r>
      <w:r>
        <w:t>’</w:t>
      </w:r>
      <w:r w:rsidRPr="00451580">
        <w:t>article</w:t>
      </w:r>
      <w:r>
        <w:t> </w:t>
      </w:r>
      <w:r w:rsidRPr="00451580">
        <w:t>2, l</w:t>
      </w:r>
      <w:r>
        <w:t>’</w:t>
      </w:r>
      <w:r w:rsidRPr="00451580">
        <w:t>obligation de prévenir la torture consacrée à l</w:t>
      </w:r>
      <w:r>
        <w:t>’</w:t>
      </w:r>
      <w:r w:rsidRPr="00451580">
        <w:t>article</w:t>
      </w:r>
      <w:r>
        <w:t> </w:t>
      </w:r>
      <w:r w:rsidRPr="00451580">
        <w:t>2 est de portée large. Cette obligation et celle de prévenir les peines ou traitements cruels, inhumains ou dégradants, énoncée au paragraphe</w:t>
      </w:r>
      <w:r>
        <w:t> </w:t>
      </w:r>
      <w:r w:rsidRPr="00451580">
        <w:t>1 de l</w:t>
      </w:r>
      <w:r>
        <w:t>’</w:t>
      </w:r>
      <w:r w:rsidRPr="00451580">
        <w:t>article</w:t>
      </w:r>
      <w:r>
        <w:t> </w:t>
      </w:r>
      <w:r w:rsidRPr="00451580">
        <w:t>16, sont indissociables, interdépendantes et intimement liées. L</w:t>
      </w:r>
      <w:r>
        <w:t>’</w:t>
      </w:r>
      <w:r w:rsidRPr="00451580">
        <w:t>obligation de prévenir les mauvais traitements recoupe dans la pratique celle d</w:t>
      </w:r>
      <w:r>
        <w:t>’</w:t>
      </w:r>
      <w:r w:rsidRPr="00451580">
        <w:t>empêcher que des actes de torture ne soient commis et lui est dans une large mesure équivalente. Dans la pratique, la ligne de démarcation entre les mauvais traitements et la torture est souvent floue. Voir également la partie</w:t>
      </w:r>
      <w:r>
        <w:t> </w:t>
      </w:r>
      <w:r w:rsidRPr="00451580">
        <w:t>V de cette même observation générale.</w:t>
      </w:r>
    </w:p>
  </w:footnote>
  <w:footnote w:id="8">
    <w:p w14:paraId="6184A3FC" w14:textId="13C34E7E" w:rsidR="00635064" w:rsidRPr="004F20FC" w:rsidRDefault="00635064" w:rsidP="004F20FC">
      <w:pPr>
        <w:pStyle w:val="Notedebasdepage"/>
        <w:rPr>
          <w:lang w:val="en-US"/>
        </w:rPr>
      </w:pPr>
      <w:r w:rsidRPr="008F1A9B">
        <w:rPr>
          <w:lang w:val="fr-BE"/>
        </w:rPr>
        <w:tab/>
      </w:r>
      <w:r w:rsidRPr="007E387A">
        <w:rPr>
          <w:rStyle w:val="Appelnotedebasdep"/>
        </w:rPr>
        <w:footnoteRef/>
      </w:r>
      <w:r w:rsidRPr="006117CD">
        <w:rPr>
          <w:lang w:val="en-GB"/>
        </w:rPr>
        <w:tab/>
        <w:t>CAT/C/SEN/CO/4/Add.1, par.</w:t>
      </w:r>
      <w:r>
        <w:rPr>
          <w:lang w:val="en-GB"/>
        </w:rPr>
        <w:t> </w:t>
      </w:r>
      <w:r w:rsidRPr="004F20FC">
        <w:rPr>
          <w:lang w:val="en-US"/>
        </w:rPr>
        <w:t>5 et 6.</w:t>
      </w:r>
    </w:p>
  </w:footnote>
  <w:footnote w:id="9">
    <w:p w14:paraId="3893F222" w14:textId="082CEF7A" w:rsidR="00635064" w:rsidRPr="004F20FC" w:rsidRDefault="00635064" w:rsidP="004F20FC">
      <w:pPr>
        <w:pStyle w:val="Notedebasdepage"/>
        <w:rPr>
          <w:lang w:val="en-US"/>
        </w:rPr>
      </w:pPr>
      <w:r w:rsidRPr="004F20FC">
        <w:rPr>
          <w:lang w:val="en-US"/>
        </w:rPr>
        <w:tab/>
      </w:r>
      <w:r w:rsidRPr="007E387A">
        <w:rPr>
          <w:rStyle w:val="Appelnotedebasdep"/>
        </w:rPr>
        <w:footnoteRef/>
      </w:r>
      <w:r w:rsidRPr="004F20FC">
        <w:rPr>
          <w:lang w:val="en-US"/>
        </w:rPr>
        <w:tab/>
        <w:t>CCPR/C/SEN/CO/5, par. 35 c).</w:t>
      </w:r>
    </w:p>
  </w:footnote>
  <w:footnote w:id="10">
    <w:p w14:paraId="1EBCD84C" w14:textId="65ADC4B7" w:rsidR="00635064" w:rsidRPr="00A54F0A" w:rsidRDefault="00635064" w:rsidP="004F20FC">
      <w:pPr>
        <w:pStyle w:val="Notedebasdepage"/>
        <w:rPr>
          <w:lang w:val="fr-FR"/>
        </w:rPr>
      </w:pPr>
      <w:r w:rsidRPr="004F20FC">
        <w:rPr>
          <w:lang w:val="en-US"/>
        </w:rPr>
        <w:tab/>
      </w:r>
      <w:r w:rsidRPr="007E387A">
        <w:rPr>
          <w:rStyle w:val="Appelnotedebasdep"/>
        </w:rPr>
        <w:footnoteRef/>
      </w:r>
      <w:r>
        <w:t xml:space="preserve"> </w:t>
      </w:r>
      <w:r>
        <w:tab/>
        <w:t>Ibid., par. 35 c) et d).</w:t>
      </w:r>
    </w:p>
  </w:footnote>
  <w:footnote w:id="11">
    <w:p w14:paraId="4DC29C32" w14:textId="56609631" w:rsidR="00635064" w:rsidRPr="006117CD" w:rsidRDefault="00635064" w:rsidP="004F20FC">
      <w:pPr>
        <w:pStyle w:val="Notedebasdepage"/>
        <w:rPr>
          <w:lang w:val="en-GB"/>
        </w:rPr>
      </w:pPr>
      <w:r>
        <w:tab/>
      </w:r>
      <w:r w:rsidRPr="007E387A">
        <w:rPr>
          <w:rStyle w:val="Appelnotedebasdep"/>
        </w:rPr>
        <w:footnoteRef/>
      </w:r>
      <w:r w:rsidRPr="004F20FC">
        <w:rPr>
          <w:lang w:val="en-US"/>
        </w:rPr>
        <w:tab/>
        <w:t>A/HRC/WG.6/31/SEN/3, par. </w:t>
      </w:r>
      <w:r w:rsidRPr="006117CD">
        <w:rPr>
          <w:lang w:val="en-GB"/>
        </w:rPr>
        <w:t>29.</w:t>
      </w:r>
    </w:p>
  </w:footnote>
  <w:footnote w:id="12">
    <w:p w14:paraId="3DEF1A08" w14:textId="7D630094" w:rsidR="00635064" w:rsidRPr="006117CD" w:rsidRDefault="00635064" w:rsidP="004F20FC">
      <w:pPr>
        <w:pStyle w:val="Notedebasdepage"/>
        <w:rPr>
          <w:lang w:val="en-GB"/>
        </w:rPr>
      </w:pPr>
      <w:r w:rsidRPr="006117CD">
        <w:rPr>
          <w:lang w:val="en-GB"/>
        </w:rPr>
        <w:tab/>
      </w:r>
      <w:r w:rsidRPr="007E387A">
        <w:rPr>
          <w:rStyle w:val="Appelnotedebasdep"/>
        </w:rPr>
        <w:footnoteRef/>
      </w:r>
      <w:r w:rsidRPr="006117CD">
        <w:rPr>
          <w:lang w:val="en-GB"/>
        </w:rPr>
        <w:tab/>
        <w:t>A/HRC/WG.6/31/SEN/2, par.</w:t>
      </w:r>
      <w:r>
        <w:rPr>
          <w:lang w:val="en-GB"/>
        </w:rPr>
        <w:t> </w:t>
      </w:r>
      <w:r w:rsidRPr="006117CD">
        <w:rPr>
          <w:lang w:val="en-GB"/>
        </w:rPr>
        <w:t>29.</w:t>
      </w:r>
    </w:p>
  </w:footnote>
  <w:footnote w:id="13">
    <w:p w14:paraId="18C68604" w14:textId="58D6A41D" w:rsidR="00635064" w:rsidRPr="006117CD" w:rsidRDefault="00635064" w:rsidP="004F20FC">
      <w:pPr>
        <w:pStyle w:val="Notedebasdepage"/>
        <w:rPr>
          <w:lang w:val="en-GB"/>
        </w:rPr>
      </w:pPr>
      <w:r w:rsidRPr="006117CD">
        <w:rPr>
          <w:lang w:val="en-GB"/>
        </w:rPr>
        <w:tab/>
      </w:r>
      <w:r w:rsidRPr="007E387A">
        <w:rPr>
          <w:rStyle w:val="Appelnotedebasdep"/>
        </w:rPr>
        <w:footnoteRef/>
      </w:r>
      <w:r w:rsidRPr="006117CD">
        <w:rPr>
          <w:lang w:val="en-GB"/>
        </w:rPr>
        <w:tab/>
      </w:r>
      <w:r w:rsidRPr="004F20FC">
        <w:rPr>
          <w:lang w:val="en-US"/>
        </w:rPr>
        <w:t>CCPR</w:t>
      </w:r>
      <w:r w:rsidRPr="006117CD">
        <w:rPr>
          <w:lang w:val="en-GB"/>
        </w:rPr>
        <w:t>/C/SEN/CO/5, par.</w:t>
      </w:r>
      <w:r>
        <w:rPr>
          <w:lang w:val="en-GB"/>
        </w:rPr>
        <w:t> </w:t>
      </w:r>
      <w:r w:rsidRPr="006117CD">
        <w:rPr>
          <w:lang w:val="en-GB"/>
        </w:rPr>
        <w:t>35</w:t>
      </w:r>
      <w:r>
        <w:rPr>
          <w:lang w:val="en-GB"/>
        </w:rPr>
        <w:t> </w:t>
      </w:r>
      <w:r w:rsidRPr="006117CD">
        <w:rPr>
          <w:lang w:val="en-GB"/>
        </w:rPr>
        <w:t>a).</w:t>
      </w:r>
    </w:p>
  </w:footnote>
  <w:footnote w:id="14">
    <w:p w14:paraId="13100A84" w14:textId="1360CB88" w:rsidR="00635064" w:rsidRPr="004F20FC" w:rsidRDefault="00635064" w:rsidP="004F20FC">
      <w:pPr>
        <w:pStyle w:val="Notedebasdepage"/>
        <w:rPr>
          <w:lang w:val="en-US"/>
        </w:rPr>
      </w:pPr>
      <w:r w:rsidRPr="006117CD">
        <w:rPr>
          <w:lang w:val="en-GB"/>
        </w:rPr>
        <w:tab/>
      </w:r>
      <w:r w:rsidRPr="007E387A">
        <w:rPr>
          <w:rStyle w:val="Appelnotedebasdep"/>
        </w:rPr>
        <w:footnoteRef/>
      </w:r>
      <w:r w:rsidRPr="006D1B64">
        <w:rPr>
          <w:lang w:val="en-US"/>
        </w:rPr>
        <w:tab/>
      </w:r>
      <w:r w:rsidRPr="00635064">
        <w:rPr>
          <w:lang w:val="en-US"/>
        </w:rPr>
        <w:t>CAT</w:t>
      </w:r>
      <w:r w:rsidRPr="006D1B64">
        <w:rPr>
          <w:lang w:val="en-US"/>
        </w:rPr>
        <w:t>/C/SEN/CO/4/Add.1, par.</w:t>
      </w:r>
      <w:r>
        <w:rPr>
          <w:lang w:val="en-US"/>
        </w:rPr>
        <w:t> </w:t>
      </w:r>
      <w:r w:rsidRPr="004F20FC">
        <w:rPr>
          <w:lang w:val="en-US"/>
        </w:rPr>
        <w:t>7 à 18.</w:t>
      </w:r>
    </w:p>
  </w:footnote>
  <w:footnote w:id="15">
    <w:p w14:paraId="6970333B" w14:textId="036CCECA" w:rsidR="00635064" w:rsidRPr="001B526F" w:rsidRDefault="00635064" w:rsidP="004F20FC">
      <w:pPr>
        <w:pStyle w:val="Notedebasdepage"/>
        <w:rPr>
          <w:lang w:val="en-US"/>
        </w:rPr>
      </w:pPr>
      <w:r w:rsidRPr="004F20FC">
        <w:rPr>
          <w:lang w:val="en-US"/>
        </w:rPr>
        <w:tab/>
      </w:r>
      <w:r w:rsidRPr="007E387A">
        <w:rPr>
          <w:rStyle w:val="Appelnotedebasdep"/>
        </w:rPr>
        <w:footnoteRef/>
      </w:r>
      <w:r w:rsidRPr="001B526F">
        <w:rPr>
          <w:lang w:val="en-US"/>
        </w:rPr>
        <w:tab/>
        <w:t>Ibid., par. 13.</w:t>
      </w:r>
    </w:p>
  </w:footnote>
  <w:footnote w:id="16">
    <w:p w14:paraId="106A5101" w14:textId="139EA2C2" w:rsidR="00635064" w:rsidRPr="001B526F" w:rsidRDefault="00635064" w:rsidP="004F20FC">
      <w:pPr>
        <w:pStyle w:val="Notedebasdepage"/>
        <w:rPr>
          <w:lang w:val="en-US"/>
        </w:rPr>
      </w:pPr>
      <w:r w:rsidRPr="001B526F">
        <w:rPr>
          <w:lang w:val="en-US"/>
        </w:rPr>
        <w:tab/>
      </w:r>
      <w:r w:rsidRPr="007E387A">
        <w:rPr>
          <w:rStyle w:val="Appelnotedebasdep"/>
        </w:rPr>
        <w:footnoteRef/>
      </w:r>
      <w:r w:rsidRPr="001B526F">
        <w:rPr>
          <w:lang w:val="en-US"/>
        </w:rPr>
        <w:tab/>
        <w:t>A/HRC/WG.6/31/SEN/2, par. 27.</w:t>
      </w:r>
    </w:p>
  </w:footnote>
  <w:footnote w:id="17">
    <w:p w14:paraId="59B23C6C" w14:textId="47D6A13A" w:rsidR="00635064" w:rsidRPr="001B526F" w:rsidRDefault="00635064" w:rsidP="004F20FC">
      <w:pPr>
        <w:pStyle w:val="Notedebasdepage"/>
        <w:rPr>
          <w:lang w:val="en-US"/>
        </w:rPr>
      </w:pPr>
      <w:r w:rsidRPr="001B526F">
        <w:rPr>
          <w:lang w:val="en-US"/>
        </w:rPr>
        <w:tab/>
      </w:r>
      <w:r w:rsidRPr="007E387A">
        <w:rPr>
          <w:rStyle w:val="Appelnotedebasdep"/>
        </w:rPr>
        <w:footnoteRef/>
      </w:r>
      <w:r w:rsidRPr="001B526F">
        <w:rPr>
          <w:lang w:val="en-US"/>
        </w:rPr>
        <w:tab/>
        <w:t>Ibid., par. 26.</w:t>
      </w:r>
    </w:p>
  </w:footnote>
  <w:footnote w:id="18">
    <w:p w14:paraId="25C4E9C1" w14:textId="0FF4117C" w:rsidR="00635064" w:rsidRPr="006D1B64" w:rsidRDefault="00635064" w:rsidP="004F20FC">
      <w:pPr>
        <w:pStyle w:val="Notedebasdepage"/>
        <w:rPr>
          <w:lang w:val="en-US"/>
        </w:rPr>
      </w:pPr>
      <w:r w:rsidRPr="001B526F">
        <w:rPr>
          <w:lang w:val="en-US"/>
        </w:rPr>
        <w:tab/>
      </w:r>
      <w:r w:rsidRPr="007E387A">
        <w:rPr>
          <w:rStyle w:val="Appelnotedebasdep"/>
        </w:rPr>
        <w:footnoteRef/>
      </w:r>
      <w:r w:rsidRPr="006D1B64">
        <w:rPr>
          <w:lang w:val="en-US"/>
        </w:rPr>
        <w:tab/>
        <w:t>CAT/C/SEN/CO/4/Add.1, par.</w:t>
      </w:r>
      <w:r>
        <w:rPr>
          <w:lang w:val="en-US"/>
        </w:rPr>
        <w:t> </w:t>
      </w:r>
      <w:r w:rsidRPr="006D1B64">
        <w:rPr>
          <w:lang w:val="en-US"/>
        </w:rPr>
        <w:t>13.</w:t>
      </w:r>
    </w:p>
  </w:footnote>
  <w:footnote w:id="19">
    <w:p w14:paraId="0E4867E2" w14:textId="01C0D752" w:rsidR="00635064" w:rsidRPr="00A575A8" w:rsidRDefault="00635064" w:rsidP="004F20FC">
      <w:pPr>
        <w:pStyle w:val="Notedebasdepage"/>
        <w:rPr>
          <w:lang w:val="fr-FR"/>
        </w:rPr>
      </w:pPr>
      <w:r w:rsidRPr="006117CD">
        <w:rPr>
          <w:lang w:val="en-GB"/>
        </w:rPr>
        <w:tab/>
      </w:r>
      <w:r w:rsidRPr="007E387A">
        <w:rPr>
          <w:rStyle w:val="Appelnotedebasdep"/>
        </w:rPr>
        <w:footnoteRef/>
      </w:r>
      <w:r w:rsidRPr="004F20FC">
        <w:tab/>
        <w:t>A/HRC/WG.6/31/SEN/2, par. </w:t>
      </w:r>
      <w:r w:rsidRPr="00A575A8">
        <w:rPr>
          <w:lang w:val="fr-FR"/>
        </w:rPr>
        <w:t>26</w:t>
      </w:r>
      <w:r>
        <w:rPr>
          <w:lang w:val="fr-FR"/>
        </w:rPr>
        <w:t xml:space="preserve"> et 27 ; et </w:t>
      </w:r>
      <w:r w:rsidRPr="004E7710">
        <w:rPr>
          <w:lang w:val="fr-FR"/>
        </w:rPr>
        <w:t>A/HRC/WG.6/31/SEN/3, par.</w:t>
      </w:r>
      <w:r>
        <w:rPr>
          <w:lang w:val="fr-FR"/>
        </w:rPr>
        <w:t> </w:t>
      </w:r>
      <w:r w:rsidRPr="004E7710">
        <w:rPr>
          <w:lang w:val="fr-FR"/>
        </w:rPr>
        <w:t>39.</w:t>
      </w:r>
    </w:p>
  </w:footnote>
  <w:footnote w:id="20">
    <w:p w14:paraId="0AC6099E" w14:textId="5E110B87" w:rsidR="00635064" w:rsidRPr="006117CD" w:rsidRDefault="00635064" w:rsidP="004F20FC">
      <w:pPr>
        <w:pStyle w:val="Notedebasdepage"/>
        <w:rPr>
          <w:lang w:val="en-GB"/>
        </w:rPr>
      </w:pPr>
      <w:r>
        <w:tab/>
      </w:r>
      <w:r w:rsidRPr="007E387A">
        <w:rPr>
          <w:rStyle w:val="Appelnotedebasdep"/>
        </w:rPr>
        <w:footnoteRef/>
      </w:r>
      <w:r w:rsidRPr="006117CD">
        <w:rPr>
          <w:lang w:val="en-GB"/>
        </w:rPr>
        <w:tab/>
        <w:t>A/HRC/WG.6/31/SEN/3, par. 30.</w:t>
      </w:r>
    </w:p>
  </w:footnote>
  <w:footnote w:id="21">
    <w:p w14:paraId="6A6BB4EF" w14:textId="042493DC" w:rsidR="00635064" w:rsidRPr="00690D15" w:rsidRDefault="00635064" w:rsidP="004F20FC">
      <w:pPr>
        <w:pStyle w:val="Notedebasdepage"/>
        <w:rPr>
          <w:lang w:val="en-US"/>
        </w:rPr>
      </w:pPr>
      <w:r w:rsidRPr="006117CD">
        <w:rPr>
          <w:lang w:val="en-GB"/>
        </w:rPr>
        <w:tab/>
      </w:r>
      <w:r w:rsidRPr="007E387A">
        <w:rPr>
          <w:rStyle w:val="Appelnotedebasdep"/>
        </w:rPr>
        <w:footnoteRef/>
      </w:r>
      <w:r w:rsidRPr="00690D15">
        <w:rPr>
          <w:lang w:val="en-US"/>
        </w:rPr>
        <w:tab/>
        <w:t>CAT/C/SEN/CO/4/Add.1, par.</w:t>
      </w:r>
      <w:r>
        <w:rPr>
          <w:lang w:val="en-US"/>
        </w:rPr>
        <w:t> </w:t>
      </w:r>
      <w:r w:rsidRPr="00690D15">
        <w:rPr>
          <w:lang w:val="en-US"/>
        </w:rPr>
        <w:t>17.</w:t>
      </w:r>
    </w:p>
  </w:footnote>
  <w:footnote w:id="22">
    <w:p w14:paraId="41091A0D" w14:textId="54D78E66" w:rsidR="00635064" w:rsidRPr="006A23E9" w:rsidRDefault="00635064" w:rsidP="004F20FC">
      <w:pPr>
        <w:pStyle w:val="Notedebasdepage"/>
        <w:rPr>
          <w:lang w:val="fr-FR"/>
        </w:rPr>
      </w:pPr>
      <w:r w:rsidRPr="006117CD">
        <w:rPr>
          <w:lang w:val="en-GB"/>
        </w:rPr>
        <w:tab/>
      </w:r>
      <w:r w:rsidRPr="007E387A">
        <w:rPr>
          <w:rStyle w:val="Appelnotedebasdep"/>
        </w:rPr>
        <w:footnoteRef/>
      </w:r>
      <w:r>
        <w:tab/>
        <w:t xml:space="preserve">Voir aussi CCPR/C/SEN/CO/5, par. 7 ; </w:t>
      </w:r>
      <w:r w:rsidRPr="00614141">
        <w:t>E/C.12/SEN/CO/3, par. 6</w:t>
      </w:r>
      <w:r>
        <w:t xml:space="preserve"> et </w:t>
      </w:r>
      <w:r w:rsidRPr="00614141">
        <w:t>7</w:t>
      </w:r>
      <w:r>
        <w:t xml:space="preserve"> ; </w:t>
      </w:r>
      <w:r w:rsidRPr="00B27A19">
        <w:t>A/HRC/WG.6/31/SEN/2, par.</w:t>
      </w:r>
      <w:r>
        <w:t> </w:t>
      </w:r>
      <w:r w:rsidRPr="00B27A19">
        <w:t>11</w:t>
      </w:r>
      <w:r>
        <w:t xml:space="preserve"> ; </w:t>
      </w:r>
      <w:r w:rsidRPr="0098038F">
        <w:t>A/HRC/WG.6/31/SEN/3, par.</w:t>
      </w:r>
      <w:r>
        <w:t> </w:t>
      </w:r>
      <w:r w:rsidRPr="0098038F">
        <w:t>20</w:t>
      </w:r>
      <w:r>
        <w:t> ; et A/HRC/40/5, par.</w:t>
      </w:r>
      <w:r w:rsidR="00BD20F5">
        <w:t> </w:t>
      </w:r>
      <w:r>
        <w:t xml:space="preserve">144.16 à </w:t>
      </w:r>
      <w:r w:rsidRPr="0047384D">
        <w:t>144.20</w:t>
      </w:r>
      <w:r>
        <w:t xml:space="preserve"> et 144.31 à 144.44.</w:t>
      </w:r>
    </w:p>
  </w:footnote>
  <w:footnote w:id="23">
    <w:p w14:paraId="15394DC6" w14:textId="77777777" w:rsidR="00635064" w:rsidRPr="006117CD" w:rsidRDefault="00635064" w:rsidP="004F20FC">
      <w:pPr>
        <w:pStyle w:val="Notedebasdepage"/>
        <w:rPr>
          <w:lang w:val="fr-CA"/>
        </w:rPr>
      </w:pPr>
      <w:r>
        <w:tab/>
      </w:r>
      <w:r w:rsidRPr="007E387A">
        <w:rPr>
          <w:rStyle w:val="Appelnotedebasdep"/>
        </w:rPr>
        <w:footnoteRef/>
      </w:r>
      <w:r>
        <w:tab/>
        <w:t>Voir aussi</w:t>
      </w:r>
      <w:r w:rsidRPr="00B71A67">
        <w:rPr>
          <w:lang w:val="fr-FR"/>
        </w:rPr>
        <w:t xml:space="preserve"> </w:t>
      </w:r>
      <w:r w:rsidRPr="008C2525">
        <w:rPr>
          <w:lang w:val="fr-FR"/>
        </w:rPr>
        <w:t>CAT/C/SEN/CO/3, par.</w:t>
      </w:r>
      <w:r>
        <w:rPr>
          <w:lang w:val="fr-FR"/>
        </w:rPr>
        <w:t> </w:t>
      </w:r>
      <w:r w:rsidRPr="008C2525">
        <w:rPr>
          <w:lang w:val="fr-FR"/>
        </w:rPr>
        <w:t>15</w:t>
      </w:r>
      <w:r>
        <w:rPr>
          <w:lang w:val="fr-FR"/>
        </w:rPr>
        <w:t>.</w:t>
      </w:r>
    </w:p>
  </w:footnote>
  <w:footnote w:id="24">
    <w:p w14:paraId="526971BB" w14:textId="0A490AC2" w:rsidR="00635064" w:rsidRPr="006D1B64" w:rsidRDefault="00635064" w:rsidP="004F20FC">
      <w:pPr>
        <w:pStyle w:val="Notedebasdepage"/>
        <w:rPr>
          <w:lang w:val="fr-FR"/>
        </w:rPr>
      </w:pPr>
      <w:r w:rsidRPr="001A1712">
        <w:rPr>
          <w:lang w:val="fr-FR"/>
        </w:rPr>
        <w:tab/>
      </w:r>
      <w:r w:rsidRPr="007E387A">
        <w:rPr>
          <w:rStyle w:val="Appelnotedebasdep"/>
        </w:rPr>
        <w:footnoteRef/>
      </w:r>
      <w:r w:rsidRPr="006117CD">
        <w:tab/>
        <w:t xml:space="preserve">CAT/C/SEN/CO/4/Add.1, par. </w:t>
      </w:r>
      <w:r>
        <w:rPr>
          <w:lang w:val="fr-FR"/>
        </w:rPr>
        <w:t>21 à 23</w:t>
      </w:r>
      <w:r w:rsidRPr="006D1B64">
        <w:rPr>
          <w:lang w:val="fr-FR"/>
        </w:rPr>
        <w:t>.</w:t>
      </w:r>
    </w:p>
  </w:footnote>
  <w:footnote w:id="25">
    <w:p w14:paraId="323CF3BE" w14:textId="2F2E71EB" w:rsidR="00635064" w:rsidRPr="00387470" w:rsidRDefault="00635064" w:rsidP="004F20FC">
      <w:pPr>
        <w:pStyle w:val="Notedebasdepage"/>
        <w:rPr>
          <w:lang w:val="fr-FR"/>
        </w:rPr>
      </w:pPr>
      <w:r>
        <w:tab/>
      </w:r>
      <w:r w:rsidRPr="007E387A">
        <w:rPr>
          <w:rStyle w:val="Appelnotedebasdep"/>
        </w:rPr>
        <w:footnoteRef/>
      </w:r>
      <w:r w:rsidRPr="004F20FC">
        <w:tab/>
        <w:t>CCPR/C/SEN/CO/5, par. 41 e) ; E/C.12/SEN/CO/3, par. </w:t>
      </w:r>
      <w:r>
        <w:t xml:space="preserve">26 et 27 a) ; </w:t>
      </w:r>
      <w:r w:rsidRPr="00E134A2">
        <w:t>A/HRC/WG.6/31/SEN/2, par.</w:t>
      </w:r>
      <w:r>
        <w:t> </w:t>
      </w:r>
      <w:r w:rsidRPr="00E134A2">
        <w:t>52</w:t>
      </w:r>
      <w:r>
        <w:t xml:space="preserve"> ; </w:t>
      </w:r>
      <w:r w:rsidRPr="008F2495">
        <w:t>A/HRC/WG.6/31/SEN/3, par.</w:t>
      </w:r>
      <w:r>
        <w:t> </w:t>
      </w:r>
      <w:r w:rsidRPr="008F2495">
        <w:t>12</w:t>
      </w:r>
      <w:r>
        <w:t xml:space="preserve">, 13 et 85 ; et </w:t>
      </w:r>
      <w:r w:rsidRPr="00E40A12">
        <w:t xml:space="preserve">A/HRC/40/5, par. 144.119 </w:t>
      </w:r>
      <w:r>
        <w:t>et</w:t>
      </w:r>
      <w:r w:rsidRPr="00E40A12">
        <w:t xml:space="preserve"> 144.120</w:t>
      </w:r>
      <w:r>
        <w:rPr>
          <w:lang w:val="fr-FR"/>
        </w:rPr>
        <w:t>.</w:t>
      </w:r>
    </w:p>
  </w:footnote>
  <w:footnote w:id="26">
    <w:p w14:paraId="675F8D92" w14:textId="1B1A3CFB" w:rsidR="00635064" w:rsidRPr="00387470" w:rsidRDefault="00635064" w:rsidP="004F20FC">
      <w:pPr>
        <w:pStyle w:val="Notedebasdepage"/>
        <w:rPr>
          <w:lang w:val="fr-FR"/>
        </w:rPr>
      </w:pPr>
      <w:r>
        <w:tab/>
      </w:r>
      <w:r w:rsidRPr="007E387A">
        <w:rPr>
          <w:rStyle w:val="Appelnotedebasdep"/>
        </w:rPr>
        <w:footnoteRef/>
      </w:r>
      <w:r w:rsidRPr="004F20FC">
        <w:tab/>
        <w:t>CCPR/C/SEN/CO/5, par. 41 e) ; E/C.12/SEN/CO/3, par. </w:t>
      </w:r>
      <w:r>
        <w:t xml:space="preserve">26 et 27 a) ; </w:t>
      </w:r>
      <w:r w:rsidRPr="007359B4">
        <w:t>A/HRC/WG.6/31/SEN/2, par.</w:t>
      </w:r>
      <w:r>
        <w:t> </w:t>
      </w:r>
      <w:r w:rsidRPr="007359B4">
        <w:t>12</w:t>
      </w:r>
      <w:r>
        <w:t xml:space="preserve">, 40 et 74 ; et </w:t>
      </w:r>
      <w:r w:rsidRPr="00C95507">
        <w:t>A/HRC/40/5, par.</w:t>
      </w:r>
      <w:r>
        <w:t> </w:t>
      </w:r>
      <w:r w:rsidRPr="00C95507">
        <w:t>144.122</w:t>
      </w:r>
      <w:r>
        <w:t xml:space="preserve">, </w:t>
      </w:r>
      <w:r w:rsidRPr="002D33F2">
        <w:t xml:space="preserve">144.219 </w:t>
      </w:r>
      <w:r>
        <w:t>et</w:t>
      </w:r>
      <w:r w:rsidRPr="002D33F2">
        <w:t xml:space="preserve"> </w:t>
      </w:r>
      <w:r>
        <w:t>144.</w:t>
      </w:r>
      <w:r w:rsidRPr="002D33F2">
        <w:t>220</w:t>
      </w:r>
      <w:r>
        <w:rPr>
          <w:lang w:val="fr-FR"/>
        </w:rPr>
        <w:t>.</w:t>
      </w:r>
    </w:p>
  </w:footnote>
  <w:footnote w:id="27">
    <w:p w14:paraId="57C71A2A" w14:textId="1A0767FE" w:rsidR="00635064" w:rsidRPr="0066499A" w:rsidRDefault="00635064" w:rsidP="004F20FC">
      <w:pPr>
        <w:pStyle w:val="Notedebasdepage"/>
        <w:rPr>
          <w:lang w:val="fr-FR"/>
        </w:rPr>
      </w:pPr>
      <w:r w:rsidRPr="004F20FC">
        <w:rPr>
          <w:spacing w:val="-3"/>
        </w:rPr>
        <w:tab/>
      </w:r>
      <w:r w:rsidRPr="004F20FC">
        <w:rPr>
          <w:rStyle w:val="Appelnotedebasdep"/>
          <w:spacing w:val="-3"/>
        </w:rPr>
        <w:footnoteRef/>
      </w:r>
      <w:r w:rsidRPr="004F20FC">
        <w:rPr>
          <w:spacing w:val="-3"/>
          <w:lang w:val="fr-FR"/>
        </w:rPr>
        <w:tab/>
        <w:t>E/C.12/SEN/CO/3, par. 26 et 27 a) ; A/HRC/WG.6/31/SEN/2, par. 34 et 39 ; et A/HRC/WG.6/31/SEN/3,</w:t>
      </w:r>
      <w:r w:rsidRPr="00573DBC">
        <w:rPr>
          <w:lang w:val="fr-FR"/>
        </w:rPr>
        <w:t xml:space="preserve"> par.</w:t>
      </w:r>
      <w:r>
        <w:rPr>
          <w:lang w:val="fr-FR"/>
        </w:rPr>
        <w:t> </w:t>
      </w:r>
      <w:r w:rsidRPr="00573DBC">
        <w:rPr>
          <w:lang w:val="fr-FR"/>
        </w:rPr>
        <w:t>17</w:t>
      </w:r>
      <w:r>
        <w:rPr>
          <w:lang w:val="fr-FR"/>
        </w:rPr>
        <w:t xml:space="preserve">, 50 et </w:t>
      </w:r>
      <w:r w:rsidRPr="00E12999">
        <w:rPr>
          <w:lang w:val="fr-FR"/>
        </w:rPr>
        <w:t>78</w:t>
      </w:r>
      <w:r>
        <w:rPr>
          <w:lang w:val="fr-FR"/>
        </w:rPr>
        <w:t>.</w:t>
      </w:r>
    </w:p>
  </w:footnote>
  <w:footnote w:id="28">
    <w:p w14:paraId="0C43AE54" w14:textId="47ABBDAF" w:rsidR="00635064" w:rsidRPr="00624F45" w:rsidRDefault="00635064" w:rsidP="004F20FC">
      <w:pPr>
        <w:pStyle w:val="Notedebasdepage"/>
        <w:rPr>
          <w:lang w:val="fr-FR"/>
        </w:rPr>
      </w:pPr>
      <w:r>
        <w:tab/>
      </w:r>
      <w:r w:rsidRPr="007E387A">
        <w:rPr>
          <w:rStyle w:val="Appelnotedebasdep"/>
        </w:rPr>
        <w:footnoteRef/>
      </w:r>
      <w:r>
        <w:tab/>
      </w:r>
      <w:r w:rsidRPr="00624F45">
        <w:t>E/C.</w:t>
      </w:r>
      <w:r>
        <w:t xml:space="preserve">12/SEN/CO/3, par. 43 et 44 d) ; A/HRC/WG.6/31/SEN/3, par. 77 ; et </w:t>
      </w:r>
      <w:r w:rsidRPr="0094406A">
        <w:t>A/HRC/40/5, par.</w:t>
      </w:r>
      <w:r>
        <w:t> </w:t>
      </w:r>
      <w:r w:rsidRPr="0094406A">
        <w:t xml:space="preserve">144.132 </w:t>
      </w:r>
      <w:r>
        <w:t>et</w:t>
      </w:r>
      <w:r w:rsidRPr="0094406A">
        <w:t xml:space="preserve"> </w:t>
      </w:r>
      <w:r>
        <w:t>144.</w:t>
      </w:r>
      <w:r w:rsidRPr="0094406A">
        <w:t>133</w:t>
      </w:r>
      <w:r>
        <w:t>.</w:t>
      </w:r>
    </w:p>
  </w:footnote>
  <w:footnote w:id="29">
    <w:p w14:paraId="1B8383AA" w14:textId="32C3FBC6" w:rsidR="00635064" w:rsidRPr="004F20FC" w:rsidRDefault="00635064" w:rsidP="004F20FC">
      <w:pPr>
        <w:pStyle w:val="Notedebasdepage"/>
      </w:pPr>
      <w:r>
        <w:tab/>
      </w:r>
      <w:r w:rsidRPr="007E387A">
        <w:rPr>
          <w:rStyle w:val="Appelnotedebasdep"/>
        </w:rPr>
        <w:footnoteRef/>
      </w:r>
      <w:r w:rsidRPr="004F20FC">
        <w:tab/>
        <w:t>A/HRC/WG.6/31/SEN/2, par. 53 ; et A/HRC/40/5, par. 144.128.</w:t>
      </w:r>
    </w:p>
  </w:footnote>
  <w:footnote w:id="30">
    <w:p w14:paraId="1F5EDE9C" w14:textId="18F74D59" w:rsidR="00635064" w:rsidRPr="006D1B64" w:rsidRDefault="00635064" w:rsidP="004F20FC">
      <w:pPr>
        <w:pStyle w:val="Notedebasdepage"/>
        <w:rPr>
          <w:lang w:val="en-US"/>
        </w:rPr>
      </w:pPr>
      <w:r w:rsidRPr="004F20FC">
        <w:tab/>
      </w:r>
      <w:r w:rsidRPr="007E387A">
        <w:rPr>
          <w:rStyle w:val="Appelnotedebasdep"/>
        </w:rPr>
        <w:footnoteRef/>
      </w:r>
      <w:r w:rsidRPr="006D1B64">
        <w:rPr>
          <w:lang w:val="en-US"/>
        </w:rPr>
        <w:tab/>
        <w:t>CAT/C/SEN/CO/4/Add.1, par.</w:t>
      </w:r>
      <w:r>
        <w:rPr>
          <w:lang w:val="en-US"/>
        </w:rPr>
        <w:t> </w:t>
      </w:r>
      <w:r w:rsidRPr="006D1B64">
        <w:rPr>
          <w:lang w:val="en-US"/>
        </w:rPr>
        <w:t>40.</w:t>
      </w:r>
    </w:p>
  </w:footnote>
  <w:footnote w:id="31">
    <w:p w14:paraId="158ED5F3" w14:textId="10F1A53A" w:rsidR="00635064" w:rsidRPr="000065AD" w:rsidRDefault="00635064" w:rsidP="004F20FC">
      <w:pPr>
        <w:pStyle w:val="Notedebasdepage"/>
        <w:rPr>
          <w:lang w:val="en-US"/>
        </w:rPr>
      </w:pPr>
      <w:r w:rsidRPr="006D1B64">
        <w:rPr>
          <w:lang w:val="en-US"/>
        </w:rPr>
        <w:tab/>
      </w:r>
      <w:r w:rsidRPr="007E387A">
        <w:rPr>
          <w:rStyle w:val="Appelnotedebasdep"/>
        </w:rPr>
        <w:footnoteRef/>
      </w:r>
      <w:r w:rsidRPr="006D1B64">
        <w:rPr>
          <w:lang w:val="en-US"/>
        </w:rPr>
        <w:t xml:space="preserve"> </w:t>
      </w:r>
      <w:r w:rsidRPr="006D1B64">
        <w:rPr>
          <w:lang w:val="en-US"/>
        </w:rPr>
        <w:tab/>
        <w:t>CCPR/C/SEN/CO/5, par.</w:t>
      </w:r>
      <w:r>
        <w:rPr>
          <w:lang w:val="en-US"/>
        </w:rPr>
        <w:t> </w:t>
      </w:r>
      <w:r w:rsidRPr="006D1B64">
        <w:rPr>
          <w:lang w:val="en-US"/>
        </w:rPr>
        <w:t>41</w:t>
      </w:r>
      <w:r>
        <w:rPr>
          <w:lang w:val="en-US"/>
        </w:rPr>
        <w:t> </w:t>
      </w:r>
      <w:r w:rsidRPr="006D1B64">
        <w:rPr>
          <w:lang w:val="en-US"/>
        </w:rPr>
        <w:t>d)</w:t>
      </w:r>
      <w:r>
        <w:rPr>
          <w:lang w:val="en-US"/>
        </w:rPr>
        <w:t> ;</w:t>
      </w:r>
      <w:r w:rsidRPr="006D1B64">
        <w:rPr>
          <w:lang w:val="en-US"/>
        </w:rPr>
        <w:t xml:space="preserve"> CRPD/C/SEN/CO/1, par.</w:t>
      </w:r>
      <w:r>
        <w:rPr>
          <w:lang w:val="en-US"/>
        </w:rPr>
        <w:t> </w:t>
      </w:r>
      <w:r w:rsidRPr="006D1B64">
        <w:rPr>
          <w:lang w:val="en-US"/>
        </w:rPr>
        <w:t>12</w:t>
      </w:r>
      <w:r>
        <w:rPr>
          <w:lang w:val="en-US"/>
        </w:rPr>
        <w:t> </w:t>
      </w:r>
      <w:r w:rsidRPr="006D1B64">
        <w:rPr>
          <w:lang w:val="en-US"/>
        </w:rPr>
        <w:t>c) ; A/HRC/WG.6/31/SEN/2, par.</w:t>
      </w:r>
      <w:r>
        <w:rPr>
          <w:lang w:val="en-US"/>
        </w:rPr>
        <w:t> </w:t>
      </w:r>
      <w:r w:rsidRPr="000065AD">
        <w:rPr>
          <w:lang w:val="en-US"/>
        </w:rPr>
        <w:t>76 ; A/HRC/WG.6/31/SEN/3, par. 15 et 79 ; et A/HRC/40/5, par. 144.181.</w:t>
      </w:r>
    </w:p>
  </w:footnote>
  <w:footnote w:id="32">
    <w:p w14:paraId="23B28580" w14:textId="215C50D4" w:rsidR="00635064" w:rsidRPr="006117CD" w:rsidRDefault="00635064" w:rsidP="004F20FC">
      <w:pPr>
        <w:pStyle w:val="Notedebasdepage"/>
        <w:rPr>
          <w:lang w:val="en-GB"/>
        </w:rPr>
      </w:pPr>
      <w:r w:rsidRPr="000065AD">
        <w:rPr>
          <w:lang w:val="en-US"/>
        </w:rPr>
        <w:tab/>
      </w:r>
      <w:r w:rsidRPr="007E387A">
        <w:rPr>
          <w:rStyle w:val="Appelnotedebasdep"/>
        </w:rPr>
        <w:footnoteRef/>
      </w:r>
      <w:r w:rsidRPr="006117CD">
        <w:rPr>
          <w:lang w:val="en-GB"/>
        </w:rPr>
        <w:tab/>
        <w:t>CCPR/C/SEN/CO/5, par.</w:t>
      </w:r>
      <w:r>
        <w:rPr>
          <w:lang w:val="en-GB"/>
        </w:rPr>
        <w:t> </w:t>
      </w:r>
      <w:r w:rsidRPr="006117CD">
        <w:rPr>
          <w:lang w:val="en-GB"/>
        </w:rPr>
        <w:t>40.</w:t>
      </w:r>
    </w:p>
  </w:footnote>
  <w:footnote w:id="33">
    <w:p w14:paraId="12B83826" w14:textId="6D9595AD" w:rsidR="00635064" w:rsidRPr="00BF1863" w:rsidRDefault="00635064" w:rsidP="004F20FC">
      <w:pPr>
        <w:pStyle w:val="Notedebasdepage"/>
        <w:rPr>
          <w:lang w:val="fr-FR"/>
        </w:rPr>
      </w:pPr>
      <w:r w:rsidRPr="006117CD">
        <w:rPr>
          <w:lang w:val="en-GB"/>
        </w:rPr>
        <w:tab/>
      </w:r>
      <w:r w:rsidRPr="007E387A">
        <w:rPr>
          <w:rStyle w:val="Appelnotedebasdep"/>
        </w:rPr>
        <w:footnoteRef/>
      </w:r>
      <w:r>
        <w:tab/>
        <w:t>Ibid.</w:t>
      </w:r>
    </w:p>
  </w:footnote>
  <w:footnote w:id="34">
    <w:p w14:paraId="404EC992" w14:textId="626C8AB5" w:rsidR="00635064" w:rsidRPr="00062B35" w:rsidRDefault="00635064" w:rsidP="004F20FC">
      <w:pPr>
        <w:pStyle w:val="Notedebasdepage"/>
        <w:rPr>
          <w:lang w:val="fr-FR"/>
        </w:rPr>
      </w:pPr>
      <w:r>
        <w:tab/>
      </w:r>
      <w:r w:rsidRPr="007E387A">
        <w:rPr>
          <w:rStyle w:val="Appelnotedebasdep"/>
        </w:rPr>
        <w:footnoteRef/>
      </w:r>
      <w:r>
        <w:tab/>
        <w:t xml:space="preserve">CRPD/C/SEN/CO/1, par. 29 et 30 ; </w:t>
      </w:r>
      <w:r w:rsidRPr="004D48DD">
        <w:t>A/HRC/WG.6/31/SEN/2, par.</w:t>
      </w:r>
      <w:r>
        <w:t> </w:t>
      </w:r>
      <w:r w:rsidRPr="004D48DD">
        <w:t>12</w:t>
      </w:r>
      <w:r>
        <w:t xml:space="preserve">, 36, 39 à 41 et 71 à 73 ; et </w:t>
      </w:r>
      <w:r w:rsidRPr="004F20FC">
        <w:rPr>
          <w:lang w:val="fr-FR"/>
        </w:rPr>
        <w:t>A/HRC/40/5, par.</w:t>
      </w:r>
      <w:r>
        <w:rPr>
          <w:lang w:val="fr-FR"/>
        </w:rPr>
        <w:t> </w:t>
      </w:r>
      <w:r w:rsidRPr="004F20FC">
        <w:rPr>
          <w:lang w:val="fr-FR"/>
        </w:rPr>
        <w:t>144.88 à 144.95.</w:t>
      </w:r>
    </w:p>
  </w:footnote>
  <w:footnote w:id="35">
    <w:p w14:paraId="2997AF9F" w14:textId="319279AB" w:rsidR="00635064" w:rsidRPr="0043350D" w:rsidRDefault="00635064" w:rsidP="004F20FC">
      <w:pPr>
        <w:pStyle w:val="Notedebasdepage"/>
        <w:rPr>
          <w:lang w:val="fr-FR"/>
        </w:rPr>
      </w:pPr>
      <w:r>
        <w:tab/>
      </w:r>
      <w:r w:rsidRPr="007E387A">
        <w:rPr>
          <w:rStyle w:val="Appelnotedebasdep"/>
        </w:rPr>
        <w:footnoteRef/>
      </w:r>
      <w:r>
        <w:tab/>
      </w:r>
      <w:r w:rsidRPr="0043350D">
        <w:t>E/C.12/SEN/CO/3, par.</w:t>
      </w:r>
      <w:r>
        <w:t> </w:t>
      </w:r>
      <w:r w:rsidRPr="0043350D">
        <w:t>43</w:t>
      </w:r>
      <w:r>
        <w:t xml:space="preserve"> et </w:t>
      </w:r>
      <w:r w:rsidRPr="0043350D">
        <w:t>44</w:t>
      </w:r>
      <w:r>
        <w:t> </w:t>
      </w:r>
      <w:r w:rsidRPr="0043350D">
        <w:t>d) et e)</w:t>
      </w:r>
      <w:r>
        <w:t xml:space="preserve"> ; et </w:t>
      </w:r>
      <w:r w:rsidRPr="00E60B9F">
        <w:t>CRPD/C/SEN/CO/1, par.</w:t>
      </w:r>
      <w:r>
        <w:t> </w:t>
      </w:r>
      <w:r w:rsidRPr="00E60B9F">
        <w:t>12</w:t>
      </w:r>
      <w:r>
        <w:t> </w:t>
      </w:r>
      <w:r w:rsidRPr="00E60B9F">
        <w:t>c).</w:t>
      </w:r>
    </w:p>
  </w:footnote>
  <w:footnote w:id="36">
    <w:p w14:paraId="3B392879" w14:textId="5B526658" w:rsidR="00635064" w:rsidRPr="00E51177" w:rsidRDefault="00635064" w:rsidP="004F20FC">
      <w:pPr>
        <w:pStyle w:val="Notedebasdepage"/>
        <w:rPr>
          <w:lang w:val="fr-FR"/>
        </w:rPr>
      </w:pPr>
      <w:r>
        <w:tab/>
      </w:r>
      <w:r w:rsidRPr="007E387A">
        <w:rPr>
          <w:rStyle w:val="Appelnotedebasdep"/>
        </w:rPr>
        <w:footnoteRef/>
      </w:r>
      <w:r w:rsidRPr="000065AD">
        <w:tab/>
        <w:t>A/HRC/WG.6/31/SEN/2, par. </w:t>
      </w:r>
      <w:r w:rsidRPr="00E51177">
        <w:t>36</w:t>
      </w:r>
      <w:r>
        <w:t xml:space="preserve"> et </w:t>
      </w:r>
      <w:r w:rsidRPr="00DD4822">
        <w:t>66</w:t>
      </w:r>
      <w:r>
        <w:t>.</w:t>
      </w:r>
    </w:p>
  </w:footnote>
  <w:footnote w:id="37">
    <w:p w14:paraId="1AD28F43" w14:textId="06F38F18" w:rsidR="00635064" w:rsidRPr="00930034" w:rsidRDefault="00635064" w:rsidP="004F20FC">
      <w:pPr>
        <w:pStyle w:val="Notedebasdepage"/>
        <w:rPr>
          <w:lang w:val="fr-FR"/>
        </w:rPr>
      </w:pPr>
      <w:r>
        <w:tab/>
      </w:r>
      <w:r w:rsidRPr="007E387A">
        <w:rPr>
          <w:rStyle w:val="Appelnotedebasdep"/>
        </w:rPr>
        <w:footnoteRef/>
      </w:r>
      <w:r w:rsidRPr="00930034">
        <w:rPr>
          <w:lang w:val="fr-FR"/>
        </w:rPr>
        <w:tab/>
      </w:r>
      <w:r>
        <w:rPr>
          <w:lang w:val="fr-FR"/>
        </w:rPr>
        <w:t>Ibid.</w:t>
      </w:r>
      <w:r w:rsidRPr="00930034">
        <w:rPr>
          <w:lang w:val="fr-FR"/>
        </w:rPr>
        <w:t>, par.</w:t>
      </w:r>
      <w:r>
        <w:rPr>
          <w:lang w:val="fr-FR"/>
        </w:rPr>
        <w:t> </w:t>
      </w:r>
      <w:r w:rsidRPr="00930034">
        <w:rPr>
          <w:lang w:val="fr-FR"/>
        </w:rPr>
        <w:t>38</w:t>
      </w:r>
      <w:r>
        <w:rPr>
          <w:lang w:val="fr-FR"/>
        </w:rPr>
        <w:t xml:space="preserve"> à 42 ; et </w:t>
      </w:r>
      <w:r w:rsidRPr="00F06088">
        <w:rPr>
          <w:lang w:val="fr-FR"/>
        </w:rPr>
        <w:t>A/HRC/40/5, par.</w:t>
      </w:r>
      <w:r>
        <w:rPr>
          <w:lang w:val="fr-FR"/>
        </w:rPr>
        <w:t> </w:t>
      </w:r>
      <w:r w:rsidRPr="00F06088">
        <w:rPr>
          <w:lang w:val="fr-FR"/>
        </w:rPr>
        <w:t>144.88 à 144.95</w:t>
      </w:r>
      <w:r>
        <w:rPr>
          <w:lang w:val="fr-FR"/>
        </w:rPr>
        <w:t>.</w:t>
      </w:r>
    </w:p>
  </w:footnote>
  <w:footnote w:id="38">
    <w:p w14:paraId="1ACEC6FF" w14:textId="32F468F1" w:rsidR="00635064" w:rsidRPr="00583044" w:rsidRDefault="00635064" w:rsidP="004F20FC">
      <w:pPr>
        <w:pStyle w:val="Notedebasdepage"/>
        <w:rPr>
          <w:lang w:val="fr-FR"/>
        </w:rPr>
      </w:pPr>
      <w:r w:rsidRPr="00930034">
        <w:rPr>
          <w:lang w:val="fr-FR"/>
        </w:rPr>
        <w:tab/>
      </w:r>
      <w:r w:rsidRPr="007E387A">
        <w:rPr>
          <w:rStyle w:val="Appelnotedebasdep"/>
        </w:rPr>
        <w:footnoteRef/>
      </w:r>
      <w:r w:rsidRPr="000065AD">
        <w:tab/>
        <w:t>A/HRC/WG.6/31/SEN/2, par. </w:t>
      </w:r>
      <w:r w:rsidRPr="00583044">
        <w:t>34</w:t>
      </w:r>
      <w:r>
        <w:t xml:space="preserve"> et 62 ; et </w:t>
      </w:r>
      <w:r w:rsidRPr="00CC24B3">
        <w:t>A/HRC/40/5, par.</w:t>
      </w:r>
      <w:r>
        <w:t> </w:t>
      </w:r>
      <w:r w:rsidRPr="00CC24B3">
        <w:t>144.136</w:t>
      </w:r>
      <w:r>
        <w:t xml:space="preserve"> et</w:t>
      </w:r>
      <w:r w:rsidRPr="00BE1FA6">
        <w:t xml:space="preserve"> 144.196 à </w:t>
      </w:r>
      <w:r>
        <w:t>144.</w:t>
      </w:r>
      <w:r w:rsidRPr="00BE1FA6">
        <w:t>198</w:t>
      </w:r>
      <w:r>
        <w:t>.</w:t>
      </w:r>
    </w:p>
  </w:footnote>
  <w:footnote w:id="39">
    <w:p w14:paraId="09B4ED52" w14:textId="492F28AB" w:rsidR="00635064" w:rsidRPr="00111E01" w:rsidRDefault="00635064" w:rsidP="004F20FC">
      <w:pPr>
        <w:pStyle w:val="Notedebasdepage"/>
        <w:rPr>
          <w:lang w:val="fr-FR"/>
        </w:rPr>
      </w:pPr>
      <w:r>
        <w:tab/>
      </w:r>
      <w:r w:rsidRPr="007E387A">
        <w:rPr>
          <w:rStyle w:val="Appelnotedebasdep"/>
        </w:rPr>
        <w:footnoteRef/>
      </w:r>
      <w:r>
        <w:tab/>
      </w:r>
      <w:r w:rsidRPr="00111E01">
        <w:t>A/HRC/WG.6/31/SEN/3, par.</w:t>
      </w:r>
      <w:r>
        <w:t> </w:t>
      </w:r>
      <w:r w:rsidRPr="00111E01">
        <w:t>14</w:t>
      </w:r>
      <w:r>
        <w:t xml:space="preserve">, 72 et 73 ; et </w:t>
      </w:r>
      <w:r w:rsidRPr="004031D1">
        <w:t>A/HRC/40/5, par.</w:t>
      </w:r>
      <w:r>
        <w:t> </w:t>
      </w:r>
      <w:r w:rsidRPr="004031D1">
        <w:t>144.80</w:t>
      </w:r>
      <w:r>
        <w:t xml:space="preserve">, </w:t>
      </w:r>
      <w:r w:rsidRPr="008E0C52">
        <w:t xml:space="preserve">144.147 à </w:t>
      </w:r>
      <w:r>
        <w:t>144.</w:t>
      </w:r>
      <w:r w:rsidRPr="008E0C52">
        <w:t>155</w:t>
      </w:r>
      <w:r>
        <w:t xml:space="preserve"> et 144.166 à 144.168.</w:t>
      </w:r>
    </w:p>
  </w:footnote>
  <w:footnote w:id="40">
    <w:p w14:paraId="7D011D9B" w14:textId="2A8D1FAF" w:rsidR="00635064" w:rsidRPr="00653826" w:rsidRDefault="00635064" w:rsidP="004F20FC">
      <w:pPr>
        <w:pStyle w:val="Notedebasdepage"/>
        <w:rPr>
          <w:lang w:val="fr-FR"/>
        </w:rPr>
      </w:pPr>
      <w:r>
        <w:tab/>
      </w:r>
      <w:r w:rsidRPr="007E387A">
        <w:rPr>
          <w:rStyle w:val="Appelnotedebasdep"/>
        </w:rPr>
        <w:footnoteRef/>
      </w:r>
      <w:r w:rsidRPr="00653826">
        <w:rPr>
          <w:lang w:val="fr-FR"/>
        </w:rPr>
        <w:tab/>
        <w:t>CCPR/C/SEN/CO/5, par.</w:t>
      </w:r>
      <w:r>
        <w:rPr>
          <w:lang w:val="fr-FR"/>
        </w:rPr>
        <w:t> </w:t>
      </w:r>
      <w:r w:rsidRPr="000065AD">
        <w:t>23 a) ; E/C.12/SEN/CO/3, par. </w:t>
      </w:r>
      <w:r>
        <w:rPr>
          <w:lang w:val="fr-FR"/>
        </w:rPr>
        <w:t xml:space="preserve">36 et 37 a) ; </w:t>
      </w:r>
      <w:r w:rsidRPr="000629F0">
        <w:rPr>
          <w:lang w:val="fr-FR"/>
        </w:rPr>
        <w:t>A/HRC/WG.6/31/SEN/2, par.</w:t>
      </w:r>
      <w:r>
        <w:rPr>
          <w:lang w:val="fr-FR"/>
        </w:rPr>
        <w:t> </w:t>
      </w:r>
      <w:r w:rsidRPr="000629F0">
        <w:rPr>
          <w:lang w:val="fr-FR"/>
        </w:rPr>
        <w:t>50</w:t>
      </w:r>
      <w:r>
        <w:rPr>
          <w:lang w:val="fr-FR"/>
        </w:rPr>
        <w:t xml:space="preserve"> ; et </w:t>
      </w:r>
      <w:r w:rsidRPr="000D7ACC">
        <w:rPr>
          <w:lang w:val="fr-FR"/>
        </w:rPr>
        <w:t>A/HRC/WG.6/31/SEN/3, par.</w:t>
      </w:r>
      <w:r>
        <w:rPr>
          <w:lang w:val="fr-FR"/>
        </w:rPr>
        <w:t> </w:t>
      </w:r>
      <w:r w:rsidRPr="000D7ACC">
        <w:rPr>
          <w:lang w:val="fr-FR"/>
        </w:rPr>
        <w:t>74.</w:t>
      </w:r>
    </w:p>
  </w:footnote>
  <w:footnote w:id="41">
    <w:p w14:paraId="2ED9B3B4" w14:textId="5109809F" w:rsidR="00635064" w:rsidRPr="001B526F" w:rsidRDefault="00635064" w:rsidP="004F20FC">
      <w:pPr>
        <w:pStyle w:val="Notedebasdepage"/>
        <w:rPr>
          <w:lang w:val="en-US"/>
        </w:rPr>
      </w:pPr>
      <w:r>
        <w:tab/>
      </w:r>
      <w:r w:rsidRPr="007E387A">
        <w:rPr>
          <w:rStyle w:val="Appelnotedebasdep"/>
        </w:rPr>
        <w:footnoteRef/>
      </w:r>
      <w:r w:rsidRPr="001B526F">
        <w:rPr>
          <w:lang w:val="en-US"/>
        </w:rPr>
        <w:tab/>
        <w:t>CCPR/C/SEN/CO/5, par. 33 a).</w:t>
      </w:r>
    </w:p>
  </w:footnote>
  <w:footnote w:id="42">
    <w:p w14:paraId="70CFC58C" w14:textId="03D47ED3" w:rsidR="00635064" w:rsidRPr="008D3D96" w:rsidRDefault="00635064" w:rsidP="004F20FC">
      <w:pPr>
        <w:pStyle w:val="Notedebasdepage"/>
        <w:rPr>
          <w:lang w:val="fr-FR"/>
        </w:rPr>
      </w:pPr>
      <w:r w:rsidRPr="001B526F">
        <w:rPr>
          <w:lang w:val="en-US"/>
        </w:rPr>
        <w:tab/>
      </w:r>
      <w:r w:rsidRPr="007E387A">
        <w:rPr>
          <w:rStyle w:val="Appelnotedebasdep"/>
        </w:rPr>
        <w:footnoteRef/>
      </w:r>
      <w:r>
        <w:tab/>
      </w:r>
      <w:proofErr w:type="spellStart"/>
      <w:r w:rsidRPr="004F20FC">
        <w:rPr>
          <w:lang w:val="fr-FR"/>
        </w:rPr>
        <w:t>Ibid</w:t>
      </w:r>
      <w:proofErr w:type="spellEnd"/>
      <w:r>
        <w:t>.</w:t>
      </w:r>
      <w:r w:rsidRPr="00537EE5">
        <w:t>, par.</w:t>
      </w:r>
      <w:r>
        <w:t> </w:t>
      </w:r>
      <w:r w:rsidRPr="00537EE5">
        <w:t>33</w:t>
      </w:r>
      <w:r>
        <w:t> b) et c).</w:t>
      </w:r>
    </w:p>
  </w:footnote>
  <w:footnote w:id="43">
    <w:p w14:paraId="6DDA7ECC" w14:textId="3F97F8E4" w:rsidR="00635064" w:rsidRPr="00A54F0A" w:rsidRDefault="00635064" w:rsidP="004F20FC">
      <w:pPr>
        <w:pStyle w:val="Notedebasdepage"/>
        <w:rPr>
          <w:lang w:val="fr-FR"/>
        </w:rPr>
      </w:pPr>
      <w:r>
        <w:tab/>
      </w:r>
      <w:r w:rsidRPr="007E387A">
        <w:rPr>
          <w:rStyle w:val="Appelnotedebasdep"/>
        </w:rPr>
        <w:footnoteRef/>
      </w:r>
      <w:r>
        <w:tab/>
        <w:t>Ibid.</w:t>
      </w:r>
      <w:r w:rsidRPr="00A54F0A">
        <w:t>, par.</w:t>
      </w:r>
      <w:r>
        <w:t> </w:t>
      </w:r>
      <w:r w:rsidRPr="00A54F0A">
        <w:t>35</w:t>
      </w:r>
      <w:r>
        <w:t> </w:t>
      </w:r>
      <w:r w:rsidRPr="00A54F0A">
        <w:t>e).</w:t>
      </w:r>
    </w:p>
  </w:footnote>
  <w:footnote w:id="44">
    <w:p w14:paraId="723F4A86" w14:textId="7012696D" w:rsidR="00635064" w:rsidRPr="00225E5C" w:rsidRDefault="00635064" w:rsidP="004F20FC">
      <w:pPr>
        <w:pStyle w:val="Notedebasdepage"/>
        <w:rPr>
          <w:lang w:val="fr-FR"/>
        </w:rPr>
      </w:pPr>
      <w:r>
        <w:tab/>
      </w:r>
      <w:r w:rsidRPr="007E387A">
        <w:rPr>
          <w:rStyle w:val="Appelnotedebasdep"/>
        </w:rPr>
        <w:footnoteRef/>
      </w:r>
      <w:r>
        <w:tab/>
      </w:r>
      <w:r w:rsidRPr="004F20FC">
        <w:rPr>
          <w:lang w:val="fr-FR"/>
        </w:rPr>
        <w:t>Ibid</w:t>
      </w:r>
      <w:r>
        <w:t>., par. 39 a) ;</w:t>
      </w:r>
      <w:r w:rsidRPr="007A29EF">
        <w:t xml:space="preserve"> A/HRC/WG.6/31/SEN/3, par.</w:t>
      </w:r>
      <w:r>
        <w:t> </w:t>
      </w:r>
      <w:r w:rsidRPr="007A29EF">
        <w:t>31</w:t>
      </w:r>
      <w:r>
        <w:t xml:space="preserve"> et 32 ; et </w:t>
      </w:r>
      <w:r w:rsidRPr="00C74FAD">
        <w:t>A/HRC/40/5, par.</w:t>
      </w:r>
      <w:r>
        <w:t> </w:t>
      </w:r>
      <w:r w:rsidRPr="00C74FAD">
        <w:t>144.74</w:t>
      </w:r>
      <w:r>
        <w:t>.</w:t>
      </w:r>
    </w:p>
  </w:footnote>
  <w:footnote w:id="45">
    <w:p w14:paraId="011ADE9C" w14:textId="065D1DB4" w:rsidR="00635064" w:rsidRPr="004F20FC" w:rsidRDefault="00635064" w:rsidP="004F20FC">
      <w:pPr>
        <w:pStyle w:val="Notedebasdepage"/>
        <w:rPr>
          <w:b/>
          <w:spacing w:val="-3"/>
          <w:lang w:val="fr-FR"/>
        </w:rPr>
      </w:pPr>
      <w:r w:rsidRPr="004F20FC">
        <w:rPr>
          <w:spacing w:val="-3"/>
        </w:rPr>
        <w:tab/>
      </w:r>
      <w:r w:rsidRPr="004F20FC">
        <w:rPr>
          <w:rStyle w:val="Appelnotedebasdep"/>
          <w:spacing w:val="-3"/>
        </w:rPr>
        <w:footnoteRef/>
      </w:r>
      <w:r w:rsidRPr="004F20FC">
        <w:rPr>
          <w:spacing w:val="-3"/>
        </w:rPr>
        <w:tab/>
        <w:t>CCPR/C/SEN/CO/5, par. </w:t>
      </w:r>
      <w:r w:rsidRPr="000065AD">
        <w:rPr>
          <w:spacing w:val="-3"/>
        </w:rPr>
        <w:t>39 b) ; A/HRC/WG.6/31/SEN/2, par. </w:t>
      </w:r>
      <w:r w:rsidRPr="004F20FC">
        <w:rPr>
          <w:spacing w:val="-3"/>
        </w:rPr>
        <w:t>28 ; et A/HRC/40/5, par. 144.70 à 144.73.</w:t>
      </w:r>
    </w:p>
  </w:footnote>
  <w:footnote w:id="46">
    <w:p w14:paraId="7EDAB7BF" w14:textId="3E92C114" w:rsidR="00635064" w:rsidRPr="001B526F" w:rsidRDefault="00635064" w:rsidP="004F20FC">
      <w:pPr>
        <w:pStyle w:val="Notedebasdepage"/>
        <w:rPr>
          <w:lang w:val="en-US"/>
        </w:rPr>
      </w:pPr>
      <w:r>
        <w:tab/>
      </w:r>
      <w:r w:rsidRPr="007E387A">
        <w:rPr>
          <w:rStyle w:val="Appelnotedebasdep"/>
        </w:rPr>
        <w:footnoteRef/>
      </w:r>
      <w:r w:rsidRPr="001B526F">
        <w:rPr>
          <w:lang w:val="en-US"/>
        </w:rPr>
        <w:tab/>
        <w:t>A/HRC/WG.6/31/SEN/2, par. 78.</w:t>
      </w:r>
    </w:p>
  </w:footnote>
  <w:footnote w:id="47">
    <w:p w14:paraId="27C8199E" w14:textId="1F05E360" w:rsidR="00635064" w:rsidRPr="00E435DD" w:rsidRDefault="00635064" w:rsidP="004F20FC">
      <w:pPr>
        <w:pStyle w:val="Notedebasdepage"/>
        <w:rPr>
          <w:lang w:val="fr-FR"/>
        </w:rPr>
      </w:pPr>
      <w:r w:rsidRPr="001B526F">
        <w:rPr>
          <w:lang w:val="en-US"/>
        </w:rPr>
        <w:tab/>
      </w:r>
      <w:r w:rsidRPr="007E387A">
        <w:rPr>
          <w:rStyle w:val="Appelnotedebasdep"/>
        </w:rPr>
        <w:footnoteRef/>
      </w:r>
      <w:r>
        <w:tab/>
        <w:t>Ibid.</w:t>
      </w:r>
      <w:r w:rsidRPr="00E435DD">
        <w:t>, par.</w:t>
      </w:r>
      <w:r>
        <w:t> </w:t>
      </w:r>
      <w:r w:rsidRPr="00E435DD">
        <w:t>34</w:t>
      </w:r>
      <w:r>
        <w:t>.</w:t>
      </w:r>
    </w:p>
  </w:footnote>
  <w:footnote w:id="48">
    <w:p w14:paraId="428B91BF" w14:textId="0C964E69" w:rsidR="00635064" w:rsidRPr="00126967" w:rsidRDefault="00635064" w:rsidP="004F20FC">
      <w:pPr>
        <w:pStyle w:val="Notedebasdepage"/>
        <w:rPr>
          <w:lang w:val="fr-FR"/>
        </w:rPr>
      </w:pPr>
      <w:r>
        <w:tab/>
      </w:r>
      <w:r w:rsidRPr="007E387A">
        <w:rPr>
          <w:rStyle w:val="Appelnotedebasdep"/>
        </w:rPr>
        <w:footnoteRef/>
      </w:r>
      <w:r>
        <w:t xml:space="preserve"> </w:t>
      </w:r>
      <w:r>
        <w:tab/>
        <w:t>Ibid.</w:t>
      </w:r>
      <w:r w:rsidRPr="00126967">
        <w:t>, par.</w:t>
      </w:r>
      <w:r>
        <w:t> </w:t>
      </w:r>
      <w:r w:rsidRPr="00126967">
        <w:t>28</w:t>
      </w:r>
      <w:r>
        <w:t xml:space="preserve"> et 78.</w:t>
      </w:r>
    </w:p>
  </w:footnote>
  <w:footnote w:id="49">
    <w:p w14:paraId="7F6333EF" w14:textId="3A04C57E" w:rsidR="00635064" w:rsidRPr="006117CD" w:rsidRDefault="00635064" w:rsidP="004F20FC">
      <w:pPr>
        <w:pStyle w:val="Notedebasdepage"/>
        <w:rPr>
          <w:lang w:val="en-GB"/>
        </w:rPr>
      </w:pPr>
      <w:r>
        <w:tab/>
      </w:r>
      <w:r w:rsidRPr="007E387A">
        <w:rPr>
          <w:rStyle w:val="Appelnotedebasdep"/>
        </w:rPr>
        <w:footnoteRef/>
      </w:r>
      <w:r w:rsidRPr="006117CD">
        <w:rPr>
          <w:lang w:val="en-GB"/>
        </w:rPr>
        <w:tab/>
      </w:r>
      <w:r w:rsidRPr="004F20FC">
        <w:rPr>
          <w:lang w:val="en-US"/>
        </w:rPr>
        <w:t>CCPR</w:t>
      </w:r>
      <w:r w:rsidRPr="006117CD">
        <w:rPr>
          <w:lang w:val="en-GB"/>
        </w:rPr>
        <w:t>/C/SEN/CO/5, par.</w:t>
      </w:r>
      <w:r>
        <w:rPr>
          <w:lang w:val="en-GB"/>
        </w:rPr>
        <w:t> </w:t>
      </w:r>
      <w:r w:rsidRPr="006117CD">
        <w:rPr>
          <w:lang w:val="en-GB"/>
        </w:rPr>
        <w:t>27.</w:t>
      </w:r>
    </w:p>
  </w:footnote>
  <w:footnote w:id="50">
    <w:p w14:paraId="1BCC5914" w14:textId="39243A24" w:rsidR="00635064" w:rsidRPr="001B526F" w:rsidRDefault="00635064" w:rsidP="004F20FC">
      <w:pPr>
        <w:pStyle w:val="Notedebasdepage"/>
        <w:rPr>
          <w:lang w:val="en-US"/>
        </w:rPr>
      </w:pPr>
      <w:r w:rsidRPr="006117CD">
        <w:rPr>
          <w:lang w:val="en-GB"/>
        </w:rPr>
        <w:tab/>
      </w:r>
      <w:r w:rsidRPr="007E387A">
        <w:rPr>
          <w:rStyle w:val="Appelnotedebasdep"/>
        </w:rPr>
        <w:footnoteRef/>
      </w:r>
      <w:r w:rsidRPr="001B526F">
        <w:rPr>
          <w:lang w:val="en-US"/>
        </w:rPr>
        <w:tab/>
        <w:t>Ibid., par. 9 a).</w:t>
      </w:r>
    </w:p>
  </w:footnote>
  <w:footnote w:id="51">
    <w:p w14:paraId="0982147C" w14:textId="05683A27" w:rsidR="00635064" w:rsidRPr="001B526F" w:rsidRDefault="00635064" w:rsidP="004F20FC">
      <w:pPr>
        <w:pStyle w:val="Notedebasdepage"/>
        <w:rPr>
          <w:lang w:val="en-US"/>
        </w:rPr>
      </w:pPr>
      <w:r w:rsidRPr="001B526F">
        <w:rPr>
          <w:lang w:val="en-US"/>
        </w:rPr>
        <w:tab/>
      </w:r>
      <w:r w:rsidRPr="007E387A">
        <w:rPr>
          <w:rStyle w:val="Appelnotedebasdep"/>
        </w:rPr>
        <w:footnoteRef/>
      </w:r>
      <w:r w:rsidRPr="001B526F">
        <w:rPr>
          <w:lang w:val="en-US"/>
        </w:rPr>
        <w:tab/>
        <w:t>A/HRC/WG.6/31/SEN/2, par. 94.</w:t>
      </w:r>
    </w:p>
  </w:footnote>
  <w:footnote w:id="52">
    <w:p w14:paraId="5E587FB5" w14:textId="38B48D17" w:rsidR="00635064" w:rsidRPr="001B526F" w:rsidRDefault="00635064" w:rsidP="004F20FC">
      <w:pPr>
        <w:pStyle w:val="Notedebasdepage"/>
        <w:rPr>
          <w:lang w:val="en-US"/>
        </w:rPr>
      </w:pPr>
      <w:r w:rsidRPr="001B526F">
        <w:rPr>
          <w:lang w:val="en-US"/>
        </w:rPr>
        <w:tab/>
      </w:r>
      <w:r w:rsidRPr="007E387A">
        <w:rPr>
          <w:rStyle w:val="Appelnotedebasdep"/>
        </w:rPr>
        <w:footnoteRef/>
      </w:r>
      <w:r w:rsidRPr="001B526F">
        <w:rPr>
          <w:lang w:val="en-US"/>
        </w:rPr>
        <w:tab/>
        <w:t>CCPR/C/SEN/CO/5, par. 9 b).</w:t>
      </w:r>
    </w:p>
  </w:footnote>
  <w:footnote w:id="53">
    <w:p w14:paraId="04283878" w14:textId="60EFB7A7" w:rsidR="00635064" w:rsidRPr="009E417C" w:rsidRDefault="00635064" w:rsidP="004F20FC">
      <w:pPr>
        <w:pStyle w:val="Notedebasdepage"/>
        <w:rPr>
          <w:lang w:val="fr-FR"/>
        </w:rPr>
      </w:pPr>
      <w:r w:rsidRPr="001B526F">
        <w:rPr>
          <w:lang w:val="en-US"/>
        </w:rPr>
        <w:tab/>
      </w:r>
      <w:r w:rsidRPr="007E387A">
        <w:rPr>
          <w:rStyle w:val="Appelnotedebasdep"/>
        </w:rPr>
        <w:footnoteRef/>
      </w:r>
      <w:r>
        <w:t xml:space="preserve"> </w:t>
      </w:r>
      <w:r>
        <w:tab/>
        <w:t xml:space="preserve">Ibid., par. 37 ; et </w:t>
      </w:r>
      <w:r w:rsidRPr="004B35B1">
        <w:t>A/HRC/40/5, par.</w:t>
      </w:r>
      <w:r>
        <w:t> </w:t>
      </w:r>
      <w:r w:rsidRPr="004B35B1">
        <w:t>144.76 à 144.79</w:t>
      </w:r>
      <w:r>
        <w:t>.</w:t>
      </w:r>
    </w:p>
  </w:footnote>
  <w:footnote w:id="54">
    <w:p w14:paraId="160B14C9" w14:textId="38882F70" w:rsidR="00635064" w:rsidRPr="000065AD" w:rsidRDefault="00635064" w:rsidP="004F20FC">
      <w:pPr>
        <w:pStyle w:val="Notedebasdepage"/>
        <w:rPr>
          <w:lang w:val="en-US"/>
        </w:rPr>
      </w:pPr>
      <w:r>
        <w:tab/>
      </w:r>
      <w:r w:rsidRPr="007E387A">
        <w:rPr>
          <w:rStyle w:val="Appelnotedebasdep"/>
        </w:rPr>
        <w:footnoteRef/>
      </w:r>
      <w:r w:rsidRPr="000065AD">
        <w:rPr>
          <w:lang w:val="en-US"/>
        </w:rPr>
        <w:tab/>
        <w:t>CCPR/C/SEN/CO/5, par. 37.</w:t>
      </w:r>
    </w:p>
  </w:footnote>
  <w:footnote w:id="55">
    <w:p w14:paraId="4229178B" w14:textId="75FCE41D" w:rsidR="00635064" w:rsidRPr="001608D4" w:rsidRDefault="00635064" w:rsidP="004F20FC">
      <w:pPr>
        <w:pStyle w:val="Notedebasdepage"/>
        <w:rPr>
          <w:lang w:val="fr-FR"/>
        </w:rPr>
      </w:pPr>
      <w:r w:rsidRPr="000065AD">
        <w:rPr>
          <w:lang w:val="en-US"/>
        </w:rPr>
        <w:tab/>
      </w:r>
      <w:r w:rsidRPr="007E387A">
        <w:rPr>
          <w:rStyle w:val="Appelnotedebasdep"/>
        </w:rPr>
        <w:footnoteRef/>
      </w:r>
      <w:r>
        <w:tab/>
      </w:r>
      <w:r w:rsidRPr="004F20FC">
        <w:rPr>
          <w:lang w:val="fr-FR"/>
        </w:rPr>
        <w:t>Ibid</w:t>
      </w:r>
      <w:r>
        <w:t>.</w:t>
      </w:r>
      <w:r w:rsidRPr="001608D4">
        <w:t>, par.</w:t>
      </w:r>
      <w:r>
        <w:t> </w:t>
      </w:r>
      <w:r w:rsidRPr="001608D4">
        <w:t>28 et 29</w:t>
      </w:r>
      <w:r>
        <w:t> </w:t>
      </w:r>
      <w:r w:rsidRPr="001608D4">
        <w:t>b)</w:t>
      </w:r>
      <w:r>
        <w:t>.</w:t>
      </w:r>
    </w:p>
  </w:footnote>
  <w:footnote w:id="56">
    <w:p w14:paraId="3D791600" w14:textId="01C83582" w:rsidR="00635064" w:rsidRPr="001608D4" w:rsidRDefault="00635064" w:rsidP="004F20FC">
      <w:pPr>
        <w:pStyle w:val="Notedebasdepage"/>
        <w:rPr>
          <w:lang w:val="fr-FR"/>
        </w:rPr>
      </w:pPr>
      <w:r>
        <w:tab/>
      </w:r>
      <w:r w:rsidRPr="007E387A">
        <w:rPr>
          <w:rStyle w:val="Appelnotedebasdep"/>
        </w:rPr>
        <w:footnoteRef/>
      </w:r>
      <w:r>
        <w:tab/>
      </w:r>
      <w:r w:rsidRPr="004F20FC">
        <w:rPr>
          <w:lang w:val="fr-FR"/>
        </w:rPr>
        <w:t>Ibid.</w:t>
      </w:r>
    </w:p>
  </w:footnote>
  <w:footnote w:id="57">
    <w:p w14:paraId="694DC40E" w14:textId="7FB18217" w:rsidR="00635064" w:rsidRPr="00F85947" w:rsidRDefault="00635064" w:rsidP="004F20FC">
      <w:pPr>
        <w:pStyle w:val="Notedebasdepage"/>
        <w:rPr>
          <w:lang w:val="fr-FR"/>
        </w:rPr>
      </w:pPr>
      <w:r w:rsidRPr="004F20FC">
        <w:rPr>
          <w:lang w:val="fr-FR"/>
        </w:rPr>
        <w:tab/>
      </w:r>
      <w:r w:rsidRPr="00635064">
        <w:rPr>
          <w:rStyle w:val="Appelnotedebasdep"/>
        </w:rPr>
        <w:footnoteRef/>
      </w:r>
      <w:r w:rsidRPr="00F85947">
        <w:rPr>
          <w:lang w:val="fr-FR"/>
        </w:rPr>
        <w:tab/>
      </w:r>
      <w:r>
        <w:rPr>
          <w:lang w:val="fr-FR"/>
        </w:rPr>
        <w:t xml:space="preserve">Ibid., par. 29 b) ; et </w:t>
      </w:r>
      <w:r w:rsidRPr="0046401C">
        <w:rPr>
          <w:lang w:val="fr-FR"/>
        </w:rPr>
        <w:t>A/HRC/WG.6/31/SEN/3, par.</w:t>
      </w:r>
      <w:r>
        <w:rPr>
          <w:lang w:val="fr-FR"/>
        </w:rPr>
        <w:t> </w:t>
      </w:r>
      <w:r w:rsidRPr="0046401C">
        <w:rPr>
          <w:lang w:val="fr-FR"/>
        </w:rPr>
        <w:t>27</w:t>
      </w:r>
      <w:r>
        <w:rPr>
          <w:lang w:val="fr-FR"/>
        </w:rPr>
        <w:t>.</w:t>
      </w:r>
    </w:p>
  </w:footnote>
  <w:footnote w:id="58">
    <w:p w14:paraId="676746EB" w14:textId="7D7F90FC" w:rsidR="00635064" w:rsidRPr="0023578F" w:rsidRDefault="00635064" w:rsidP="004F20FC">
      <w:pPr>
        <w:pStyle w:val="Notedebasdepage"/>
        <w:rPr>
          <w:lang w:val="fr-FR"/>
        </w:rPr>
      </w:pPr>
      <w:r w:rsidRPr="004F20FC">
        <w:rPr>
          <w:lang w:val="fr-FR"/>
        </w:rPr>
        <w:tab/>
      </w:r>
      <w:r w:rsidRPr="00635064">
        <w:rPr>
          <w:rStyle w:val="Appelnotedebasdep"/>
        </w:rPr>
        <w:footnoteRef/>
      </w:r>
      <w:r w:rsidRPr="004F20FC">
        <w:rPr>
          <w:lang w:val="fr-FR"/>
        </w:rPr>
        <w:tab/>
        <w:t>CRPD/C/SEN/CO/1, par. 27</w:t>
      </w:r>
      <w:r>
        <w:rPr>
          <w:lang w:val="fr-FR"/>
        </w:rPr>
        <w:t> </w:t>
      </w:r>
      <w:r w:rsidRPr="004F20FC">
        <w:rPr>
          <w:lang w:val="fr-FR"/>
        </w:rPr>
        <w:t>b) et 28</w:t>
      </w:r>
      <w:r>
        <w:rPr>
          <w:lang w:val="fr-FR"/>
        </w:rPr>
        <w:t> </w:t>
      </w:r>
      <w:r w:rsidRPr="004F20FC">
        <w:rPr>
          <w:lang w:val="fr-FR"/>
        </w:rPr>
        <w:t>b).</w:t>
      </w:r>
    </w:p>
  </w:footnote>
  <w:footnote w:id="59">
    <w:p w14:paraId="00188C8D" w14:textId="21EA0BA9" w:rsidR="00635064" w:rsidRPr="00F031CE" w:rsidRDefault="00635064" w:rsidP="004F20FC">
      <w:pPr>
        <w:pStyle w:val="Notedebasdepage"/>
        <w:rPr>
          <w:lang w:val="fr-FR"/>
        </w:rPr>
      </w:pPr>
      <w:r w:rsidRPr="00F85947">
        <w:rPr>
          <w:lang w:val="fr-FR"/>
        </w:rPr>
        <w:tab/>
      </w:r>
      <w:r w:rsidRPr="00635064">
        <w:rPr>
          <w:rStyle w:val="Appelnotedebasdep"/>
        </w:rPr>
        <w:footnoteRef/>
      </w:r>
      <w:r w:rsidRPr="00F031CE">
        <w:rPr>
          <w:lang w:val="fr-FR"/>
        </w:rPr>
        <w:tab/>
      </w:r>
      <w:r>
        <w:rPr>
          <w:lang w:val="fr-FR"/>
        </w:rPr>
        <w:t xml:space="preserve">CCPR/C/SEN/CO/5, par. 29 a) ; et </w:t>
      </w:r>
      <w:r w:rsidRPr="000878A7">
        <w:rPr>
          <w:lang w:val="fr-FR"/>
        </w:rPr>
        <w:t>A/HRC/WG.6/31/SEN/3, par.</w:t>
      </w:r>
      <w:r>
        <w:rPr>
          <w:lang w:val="fr-FR"/>
        </w:rPr>
        <w:t> </w:t>
      </w:r>
      <w:r w:rsidRPr="000878A7">
        <w:rPr>
          <w:lang w:val="fr-FR"/>
        </w:rPr>
        <w:t>29.</w:t>
      </w:r>
    </w:p>
  </w:footnote>
  <w:footnote w:id="60">
    <w:p w14:paraId="48D4B545" w14:textId="2ACE0C77" w:rsidR="00635064" w:rsidRPr="006117CD" w:rsidRDefault="00635064" w:rsidP="004F20FC">
      <w:pPr>
        <w:pStyle w:val="Notedebasdepage"/>
        <w:rPr>
          <w:lang w:val="en-GB"/>
        </w:rPr>
      </w:pPr>
      <w:r w:rsidRPr="004F20FC">
        <w:rPr>
          <w:lang w:val="fr-FR"/>
        </w:rPr>
        <w:tab/>
      </w:r>
      <w:r w:rsidRPr="00635064">
        <w:rPr>
          <w:rStyle w:val="Appelnotedebasdep"/>
        </w:rPr>
        <w:footnoteRef/>
      </w:r>
      <w:r w:rsidRPr="00064F9A">
        <w:rPr>
          <w:lang w:val="en-US"/>
        </w:rPr>
        <w:tab/>
        <w:t>A</w:t>
      </w:r>
      <w:r w:rsidRPr="006117CD">
        <w:rPr>
          <w:lang w:val="en-GB"/>
        </w:rPr>
        <w:t>/HRC/WG.6/31/SEN/3, par. 26.</w:t>
      </w:r>
    </w:p>
  </w:footnote>
  <w:footnote w:id="61">
    <w:p w14:paraId="233AECD0" w14:textId="30823258" w:rsidR="00635064" w:rsidRPr="004F20FC" w:rsidRDefault="00635064" w:rsidP="004F20FC">
      <w:pPr>
        <w:pStyle w:val="Notedebasdepage"/>
        <w:rPr>
          <w:lang w:val="en-US"/>
        </w:rPr>
      </w:pPr>
      <w:r w:rsidRPr="006117CD">
        <w:rPr>
          <w:lang w:val="en-GB"/>
        </w:rPr>
        <w:tab/>
      </w:r>
      <w:r w:rsidRPr="007E387A">
        <w:rPr>
          <w:rStyle w:val="Appelnotedebasdep"/>
        </w:rPr>
        <w:footnoteRef/>
      </w:r>
      <w:r w:rsidRPr="009F5064">
        <w:rPr>
          <w:lang w:val="en-GB"/>
        </w:rPr>
        <w:tab/>
      </w:r>
      <w:r w:rsidRPr="004F20FC">
        <w:rPr>
          <w:lang w:val="en-US"/>
        </w:rPr>
        <w:t>CCPR/C/SEN/CO/5, par. 25.</w:t>
      </w:r>
    </w:p>
  </w:footnote>
  <w:footnote w:id="62">
    <w:p w14:paraId="269BB963" w14:textId="0DD222CD" w:rsidR="00635064" w:rsidRPr="000065AD" w:rsidRDefault="00635064" w:rsidP="004F20FC">
      <w:pPr>
        <w:pStyle w:val="Notedebasdepage"/>
      </w:pPr>
      <w:r w:rsidRPr="004F20FC">
        <w:rPr>
          <w:lang w:val="en-US"/>
        </w:rPr>
        <w:tab/>
      </w:r>
      <w:r w:rsidRPr="00635064">
        <w:rPr>
          <w:rStyle w:val="Appelnotedebasdep"/>
        </w:rPr>
        <w:footnoteRef/>
      </w:r>
      <w:r w:rsidRPr="000065AD">
        <w:tab/>
        <w:t>Ibid. ; et A/HRC/WG.6/31/SEN/3, par. 33.</w:t>
      </w:r>
    </w:p>
  </w:footnote>
  <w:footnote w:id="63">
    <w:p w14:paraId="3F23CBEE" w14:textId="6489EAEE" w:rsidR="00635064" w:rsidRPr="000065AD" w:rsidRDefault="00635064" w:rsidP="004F20FC">
      <w:pPr>
        <w:pStyle w:val="Notedebasdepage"/>
      </w:pPr>
      <w:r w:rsidRPr="000065AD">
        <w:tab/>
      </w:r>
      <w:r w:rsidRPr="00635064">
        <w:rPr>
          <w:rStyle w:val="Appelnotedebasdep"/>
        </w:rPr>
        <w:footnoteRef/>
      </w:r>
      <w:r w:rsidRPr="000065AD">
        <w:tab/>
        <w:t>CCPR/C/SEN/CO/5, par.</w:t>
      </w:r>
      <w:r w:rsidR="00D667DC" w:rsidRPr="000065AD">
        <w:t> </w:t>
      </w:r>
      <w:r w:rsidRPr="004F20FC">
        <w:t>15</w:t>
      </w:r>
      <w:r w:rsidR="00D667DC">
        <w:t> </w:t>
      </w:r>
      <w:r w:rsidRPr="004F20FC">
        <w:t>b) ; et A/HRC/WG.6/31/SEN/3, par. </w:t>
      </w:r>
      <w:r w:rsidRPr="000065AD">
        <w:t>25.</w:t>
      </w:r>
    </w:p>
  </w:footnote>
  <w:footnote w:id="64">
    <w:p w14:paraId="5B532F71" w14:textId="59C4F8D7" w:rsidR="00635064" w:rsidRPr="00E93A5E" w:rsidRDefault="00635064" w:rsidP="004F20FC">
      <w:pPr>
        <w:pStyle w:val="Notedebasdepage"/>
        <w:rPr>
          <w:lang w:val="fr-FR"/>
        </w:rPr>
      </w:pPr>
      <w:r w:rsidRPr="000065AD">
        <w:tab/>
      </w:r>
      <w:r w:rsidRPr="00635064">
        <w:rPr>
          <w:rStyle w:val="Appelnotedebasdep"/>
        </w:rPr>
        <w:footnoteRef/>
      </w:r>
      <w:r w:rsidRPr="000065AD">
        <w:tab/>
        <w:t>CCPR/C/SEN/CO/5, par.</w:t>
      </w:r>
      <w:r w:rsidR="00D667DC" w:rsidRPr="000065AD">
        <w:t> </w:t>
      </w:r>
      <w:r w:rsidRPr="004F20FC">
        <w:t>15</w:t>
      </w:r>
      <w:r w:rsidR="00D667DC" w:rsidRPr="004F20FC">
        <w:t> </w:t>
      </w:r>
      <w:r w:rsidRPr="004F20FC">
        <w:t>c) et d) ; et A/HRC/WG.6/31/SEN/3, par. </w:t>
      </w:r>
      <w:r w:rsidRPr="00103669">
        <w:rPr>
          <w:lang w:val="fr-FR"/>
        </w:rPr>
        <w:t>34</w:t>
      </w:r>
      <w:r>
        <w:rPr>
          <w:lang w:val="fr-FR"/>
        </w:rPr>
        <w:t xml:space="preserve"> et 35</w:t>
      </w:r>
      <w:r w:rsidRPr="00103669">
        <w:rPr>
          <w:lang w:val="fr-FR"/>
        </w:rPr>
        <w:t>.</w:t>
      </w:r>
    </w:p>
  </w:footnote>
  <w:footnote w:id="65">
    <w:p w14:paraId="214FF4EB" w14:textId="1CF0C21F" w:rsidR="00635064" w:rsidRPr="0023578F" w:rsidRDefault="00635064" w:rsidP="004F20FC">
      <w:pPr>
        <w:pStyle w:val="Notedebasdepage"/>
        <w:rPr>
          <w:lang w:val="fr-FR"/>
        </w:rPr>
      </w:pPr>
      <w:r w:rsidRPr="004F20FC">
        <w:rPr>
          <w:lang w:val="fr-FR"/>
        </w:rPr>
        <w:tab/>
      </w:r>
      <w:r w:rsidRPr="00635064">
        <w:rPr>
          <w:rStyle w:val="Appelnotedebasdep"/>
        </w:rPr>
        <w:footnoteRef/>
      </w:r>
      <w:r w:rsidRPr="004F20FC">
        <w:rPr>
          <w:lang w:val="fr-FR"/>
        </w:rPr>
        <w:tab/>
        <w:t>CRPD</w:t>
      </w:r>
      <w:r w:rsidRPr="0023578F">
        <w:t>/C/SEN/CO/1, par.</w:t>
      </w:r>
      <w:r>
        <w:t> </w:t>
      </w:r>
      <w:r w:rsidRPr="0023578F">
        <w:t>27</w:t>
      </w:r>
      <w:r>
        <w:t> </w:t>
      </w:r>
      <w:r w:rsidRPr="0023578F">
        <w:t>a) et 28</w:t>
      </w:r>
      <w:r>
        <w:t> </w:t>
      </w:r>
      <w:r w:rsidRPr="0023578F">
        <w:t>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B6AAF" w14:textId="51278782" w:rsidR="00635064" w:rsidRPr="00ED6917" w:rsidRDefault="006D3D79">
    <w:pPr>
      <w:pStyle w:val="En-tte"/>
    </w:pPr>
    <w:r>
      <w:fldChar w:fldCharType="begin"/>
    </w:r>
    <w:r>
      <w:instrText xml:space="preserve"> TITLE  \* MERGEFORMAT </w:instrText>
    </w:r>
    <w:r>
      <w:fldChar w:fldCharType="separate"/>
    </w:r>
    <w:r w:rsidR="00920989">
      <w:t>CAT/C/SEN/QPR/5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55468" w14:textId="64174737" w:rsidR="00635064" w:rsidRPr="00ED6917" w:rsidRDefault="006D3D79" w:rsidP="00ED6917">
    <w:pPr>
      <w:pStyle w:val="En-tte"/>
      <w:jc w:val="right"/>
    </w:pPr>
    <w:r>
      <w:fldChar w:fldCharType="begin"/>
    </w:r>
    <w:r>
      <w:instrText xml:space="preserve"> TITLE  \* MERGEFORMAT </w:instrText>
    </w:r>
    <w:r>
      <w:fldChar w:fldCharType="separate"/>
    </w:r>
    <w:r w:rsidR="00920989">
      <w:t>CAT/C/SEN/QPR/5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3C628AF"/>
    <w:multiLevelType w:val="hybridMultilevel"/>
    <w:tmpl w:val="0428BF46"/>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3"/>
  </w:num>
  <w:num w:numId="18">
    <w:abstractNumId w:val="11"/>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1E8"/>
    <w:rsid w:val="000065AD"/>
    <w:rsid w:val="00023842"/>
    <w:rsid w:val="00035AE4"/>
    <w:rsid w:val="00037DF1"/>
    <w:rsid w:val="00064F9A"/>
    <w:rsid w:val="0007796D"/>
    <w:rsid w:val="000875BB"/>
    <w:rsid w:val="00101756"/>
    <w:rsid w:val="00111F2F"/>
    <w:rsid w:val="0014365E"/>
    <w:rsid w:val="00176178"/>
    <w:rsid w:val="001B526F"/>
    <w:rsid w:val="001D14FC"/>
    <w:rsid w:val="001F525A"/>
    <w:rsid w:val="0028253C"/>
    <w:rsid w:val="003919FE"/>
    <w:rsid w:val="00405DDC"/>
    <w:rsid w:val="00446FE5"/>
    <w:rsid w:val="004D6539"/>
    <w:rsid w:val="004F046A"/>
    <w:rsid w:val="004F20FC"/>
    <w:rsid w:val="00553A1F"/>
    <w:rsid w:val="00573BE5"/>
    <w:rsid w:val="00586ED3"/>
    <w:rsid w:val="00587A52"/>
    <w:rsid w:val="005970D5"/>
    <w:rsid w:val="005A51D3"/>
    <w:rsid w:val="005B4E23"/>
    <w:rsid w:val="00616CB0"/>
    <w:rsid w:val="00621144"/>
    <w:rsid w:val="00635064"/>
    <w:rsid w:val="006D0BEE"/>
    <w:rsid w:val="006D3D79"/>
    <w:rsid w:val="0071601D"/>
    <w:rsid w:val="007432FB"/>
    <w:rsid w:val="0080684C"/>
    <w:rsid w:val="00807D21"/>
    <w:rsid w:val="00840C6C"/>
    <w:rsid w:val="00853AFA"/>
    <w:rsid w:val="00871C75"/>
    <w:rsid w:val="008776DC"/>
    <w:rsid w:val="008C11E8"/>
    <w:rsid w:val="00920989"/>
    <w:rsid w:val="00935435"/>
    <w:rsid w:val="00945222"/>
    <w:rsid w:val="009705C8"/>
    <w:rsid w:val="009C4D45"/>
    <w:rsid w:val="009F531E"/>
    <w:rsid w:val="00A05770"/>
    <w:rsid w:val="00A37C92"/>
    <w:rsid w:val="00A704A8"/>
    <w:rsid w:val="00AA0CD3"/>
    <w:rsid w:val="00AB1B55"/>
    <w:rsid w:val="00AE323C"/>
    <w:rsid w:val="00BA41F4"/>
    <w:rsid w:val="00BD20F5"/>
    <w:rsid w:val="00C02897"/>
    <w:rsid w:val="00C26921"/>
    <w:rsid w:val="00C84481"/>
    <w:rsid w:val="00CA5CE1"/>
    <w:rsid w:val="00CD326D"/>
    <w:rsid w:val="00CE6835"/>
    <w:rsid w:val="00D21E12"/>
    <w:rsid w:val="00D667DC"/>
    <w:rsid w:val="00DB1831"/>
    <w:rsid w:val="00DD3BFD"/>
    <w:rsid w:val="00DF008E"/>
    <w:rsid w:val="00E554A4"/>
    <w:rsid w:val="00EA0D23"/>
    <w:rsid w:val="00EA3F83"/>
    <w:rsid w:val="00ED6917"/>
    <w:rsid w:val="00EE6EA3"/>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4DB5BD"/>
  <w15:docId w15:val="{97B1DA27-6210-4307-81CC-C4107E4C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4_G Char,4_G Char Char,4_G Char Char Char,ftref Char Char Char Char,Ref"/>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11</Pages>
  <Words>6058</Words>
  <Characters>32896</Characters>
  <Application>Microsoft Office Word</Application>
  <DocSecurity>0</DocSecurity>
  <Lines>469</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CAT/C/SEN/QPR/5</vt:lpstr>
      <vt:lpstr>CAT/C/SEN/QPR/5</vt:lpstr>
    </vt:vector>
  </TitlesOfParts>
  <Company>DCM</Company>
  <LinksUpToDate>false</LinksUpToDate>
  <CharactersWithSpaces>38887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CAT/C/SEN/QPR/5</dc:title>
  <dc:subject/>
  <dc:creator>Marie DESCHAMPS</dc:creator>
  <cp:keywords/>
  <cp:lastModifiedBy>Nathalie Vittoz</cp:lastModifiedBy>
  <cp:revision>2</cp:revision>
  <dcterms:created xsi:type="dcterms:W3CDTF">2021-05-25T10:05:00Z</dcterms:created>
  <dcterms:modified xsi:type="dcterms:W3CDTF">2021-05-25T10:05:00Z</dcterms:modified>
</cp:coreProperties>
</file>