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3A5AA3" w:rsidP="003A5AA3">
            <w:pPr>
              <w:jc w:val="right"/>
            </w:pPr>
            <w:r w:rsidRPr="003A5AA3">
              <w:rPr>
                <w:sz w:val="40"/>
              </w:rPr>
              <w:t>CERD</w:t>
            </w:r>
            <w:r>
              <w:t>/C/DOM/Q/13-14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A5AA3" w:rsidRDefault="003A5AA3" w:rsidP="00593658">
            <w:pPr>
              <w:spacing w:before="240"/>
            </w:pPr>
            <w:r>
              <w:t>Distr. générale</w:t>
            </w:r>
          </w:p>
          <w:p w:rsidR="003A5AA3" w:rsidRDefault="003A5AA3" w:rsidP="003A5AA3">
            <w:pPr>
              <w:spacing w:line="240" w:lineRule="exact"/>
            </w:pPr>
            <w:r>
              <w:t>3 décembre 2012</w:t>
            </w:r>
          </w:p>
          <w:p w:rsidR="003A5AA3" w:rsidRDefault="003A5AA3" w:rsidP="003A5AA3">
            <w:pPr>
              <w:spacing w:line="240" w:lineRule="exact"/>
            </w:pPr>
            <w:r>
              <w:t>Français</w:t>
            </w:r>
          </w:p>
          <w:p w:rsidR="002E0D40" w:rsidRPr="00DB58B5" w:rsidRDefault="003A5AA3" w:rsidP="003A5AA3">
            <w:pPr>
              <w:spacing w:line="240" w:lineRule="exact"/>
            </w:pPr>
            <w:r>
              <w:t>Original: espagnol</w:t>
            </w:r>
          </w:p>
        </w:tc>
      </w:tr>
    </w:tbl>
    <w:p w:rsidR="00FF1DBD" w:rsidRDefault="0078670C" w:rsidP="003A5AA3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</w:t>
      </w:r>
      <w:r w:rsidR="003A5AA3">
        <w:rPr>
          <w:b/>
          <w:sz w:val="24"/>
          <w:szCs w:val="24"/>
        </w:rPr>
        <w:t>on de la discrimination raciale</w:t>
      </w:r>
    </w:p>
    <w:p w:rsidR="003A5AA3" w:rsidRPr="00CA202F" w:rsidRDefault="003A5AA3" w:rsidP="003A5AA3">
      <w:pPr>
        <w:rPr>
          <w:b/>
        </w:rPr>
      </w:pPr>
      <w:r w:rsidRPr="00CA202F">
        <w:rPr>
          <w:b/>
        </w:rPr>
        <w:t>Quatre-vingt-deuxième session</w:t>
      </w:r>
    </w:p>
    <w:p w:rsidR="003A5AA3" w:rsidRPr="000E61BE" w:rsidRDefault="003A5AA3" w:rsidP="003A5AA3">
      <w:r w:rsidRPr="000E61BE">
        <w:t>11 février-1</w:t>
      </w:r>
      <w:r w:rsidRPr="000E61BE">
        <w:rPr>
          <w:vertAlign w:val="superscript"/>
        </w:rPr>
        <w:t>er</w:t>
      </w:r>
      <w:r w:rsidRPr="000E61BE">
        <w:t xml:space="preserve"> mars 2013</w:t>
      </w:r>
    </w:p>
    <w:p w:rsidR="003A5AA3" w:rsidRPr="000E61BE" w:rsidRDefault="003A5AA3" w:rsidP="003A5AA3">
      <w:pPr>
        <w:rPr>
          <w:b/>
        </w:rPr>
      </w:pPr>
      <w:r w:rsidRPr="000E61BE">
        <w:rPr>
          <w:b/>
        </w:rPr>
        <w:t>Point 4 de l</w:t>
      </w:r>
      <w:r>
        <w:rPr>
          <w:b/>
        </w:rPr>
        <w:t>’</w:t>
      </w:r>
      <w:r w:rsidRPr="000E61BE">
        <w:rPr>
          <w:b/>
        </w:rPr>
        <w:t>ordre du jour provisoire</w:t>
      </w:r>
    </w:p>
    <w:p w:rsidR="003A5AA3" w:rsidRPr="000E61BE" w:rsidRDefault="003A5AA3" w:rsidP="003A5AA3">
      <w:pPr>
        <w:rPr>
          <w:b/>
        </w:rPr>
      </w:pPr>
      <w:r w:rsidRPr="000E61BE">
        <w:rPr>
          <w:b/>
        </w:rPr>
        <w:t>Examen des rapports, observations et renseignements soumis</w:t>
      </w:r>
      <w:r>
        <w:rPr>
          <w:b/>
        </w:rPr>
        <w:br/>
      </w:r>
      <w:r w:rsidRPr="000E61BE">
        <w:rPr>
          <w:b/>
        </w:rPr>
        <w:t>par les États parties en application de l</w:t>
      </w:r>
      <w:r>
        <w:rPr>
          <w:b/>
        </w:rPr>
        <w:t>’</w:t>
      </w:r>
      <w:r w:rsidRPr="000E61BE">
        <w:rPr>
          <w:b/>
        </w:rPr>
        <w:t>article 9 de la Convention</w:t>
      </w:r>
    </w:p>
    <w:p w:rsidR="003A5AA3" w:rsidRPr="000E61BE" w:rsidRDefault="003A5AA3" w:rsidP="003A5AA3">
      <w:pPr>
        <w:pStyle w:val="HChG"/>
      </w:pPr>
      <w:r>
        <w:tab/>
      </w:r>
      <w:r>
        <w:tab/>
      </w:r>
      <w:r w:rsidRPr="000E61BE">
        <w:t>Liste de thèmes à traiter à l</w:t>
      </w:r>
      <w:r>
        <w:t>’</w:t>
      </w:r>
      <w:r w:rsidRPr="000E61BE">
        <w:t>occasion de l</w:t>
      </w:r>
      <w:r>
        <w:t>’examen des </w:t>
      </w:r>
      <w:r w:rsidRPr="000E61BE">
        <w:t>treizième et quatorzième rapports périodiques</w:t>
      </w:r>
      <w:r>
        <w:br/>
      </w:r>
      <w:r w:rsidRPr="000E61BE">
        <w:t>de la Répub</w:t>
      </w:r>
      <w:r w:rsidR="00500625">
        <w:t>lique dominicaine (CERD/C/DOM/</w:t>
      </w:r>
      <w:r w:rsidRPr="000E61BE">
        <w:t>13-14)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3A5AA3" w:rsidTr="003A5AA3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AA3" w:rsidRDefault="003A5AA3" w:rsidP="003A5AA3"/>
        </w:tc>
      </w:tr>
      <w:tr w:rsidR="003A5AA3" w:rsidTr="003A5AA3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AA3" w:rsidRDefault="003A5AA3" w:rsidP="003A5AA3">
            <w:pPr>
              <w:spacing w:after="120"/>
              <w:ind w:firstLine="567"/>
              <w:jc w:val="both"/>
            </w:pPr>
            <w:r>
              <w:t xml:space="preserve">On trouvera ci-après une liste de thèmes définis par le rapporteur de pays aux fins de l’examen </w:t>
            </w:r>
            <w:r w:rsidRPr="000E61BE">
              <w:t>des treizième et quatorzième rapports périodiques de la République dominicaine</w:t>
            </w:r>
            <w:r>
              <w:t>. Cette liste a pour but de structurer le dialogue entre la délégation de l’État partie et le Comité, et n’</w:t>
            </w:r>
            <w:r w:rsidRPr="000E61BE">
              <w:rPr>
                <w:i/>
              </w:rPr>
              <w:t xml:space="preserve">appelle </w:t>
            </w:r>
            <w:r>
              <w:rPr>
                <w:i/>
              </w:rPr>
              <w:t>pas de réponses écrites</w:t>
            </w:r>
            <w:r>
              <w:t>. Elle n’est pas exhaustive, et d’autres questions pourront être abordées au cours du dialogue.</w:t>
            </w:r>
          </w:p>
        </w:tc>
      </w:tr>
      <w:tr w:rsidR="003A5AA3" w:rsidTr="003A5AA3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A3" w:rsidRDefault="003A5AA3" w:rsidP="003A5AA3"/>
        </w:tc>
      </w:tr>
    </w:tbl>
    <w:p w:rsidR="003A5AA3" w:rsidRPr="003A5AA3" w:rsidRDefault="003A5AA3" w:rsidP="003A5AA3">
      <w:pPr>
        <w:pStyle w:val="H1G"/>
      </w:pPr>
      <w:r>
        <w:tab/>
      </w:r>
      <w:r w:rsidRPr="003A5AA3">
        <w:t>1.</w:t>
      </w:r>
      <w:r w:rsidRPr="003A5AA3">
        <w:tab/>
        <w:t>Cadre général aux fins de l’application de la Convention, disponibilité et accessibilité des moyens de recours et des m</w:t>
      </w:r>
      <w:r>
        <w:t>écanismes de plainte en </w:t>
      </w:r>
      <w:r w:rsidRPr="003A5AA3">
        <w:t>cas de discrimination raciale (art. 2, 6 et 7)</w:t>
      </w:r>
    </w:p>
    <w:p w:rsidR="003A5AA3" w:rsidRPr="003A5AA3" w:rsidRDefault="003A5AA3" w:rsidP="003A5AA3">
      <w:pPr>
        <w:pStyle w:val="SingleTxtG"/>
        <w:ind w:firstLine="567"/>
      </w:pPr>
      <w:r w:rsidRPr="003A5AA3">
        <w:t>a)</w:t>
      </w:r>
      <w:r w:rsidRPr="003A5AA3">
        <w:tab/>
        <w:t>Évolution démographique de la République dominicaine;</w:t>
      </w:r>
    </w:p>
    <w:p w:rsidR="003A5AA3" w:rsidRPr="003A5AA3" w:rsidRDefault="003A5AA3" w:rsidP="003A5AA3">
      <w:pPr>
        <w:pStyle w:val="SingleTxtG"/>
        <w:ind w:firstLine="567"/>
      </w:pPr>
      <w:r w:rsidRPr="003A5AA3">
        <w:t>b)</w:t>
      </w:r>
      <w:r w:rsidRPr="003A5AA3">
        <w:tab/>
        <w:t>Politiques publiques, cadre légal et institutionnel, et mécanismes permettant de combattre le racisme, la discrimination raciale, la xénophobie et l’intolérance qui y est associée, y compris les instances de dialogue, de consultation et de concertation avec les victimes, s’agissant en particulier des personnes d’ascendance haïtienne;</w:t>
      </w:r>
    </w:p>
    <w:p w:rsidR="003A5AA3" w:rsidRPr="003A5AA3" w:rsidRDefault="003A5AA3" w:rsidP="003A5AA3">
      <w:pPr>
        <w:pStyle w:val="SingleTxtG"/>
        <w:ind w:firstLine="567"/>
      </w:pPr>
      <w:r w:rsidRPr="003A5AA3">
        <w:t>c)</w:t>
      </w:r>
      <w:r w:rsidRPr="003A5AA3">
        <w:tab/>
        <w:t xml:space="preserve">Plaintes déposées, procédures engagées et jugements rendus concernant des infractions de discrimination raciale; </w:t>
      </w:r>
    </w:p>
    <w:p w:rsidR="003A5AA3" w:rsidRPr="003A5AA3" w:rsidRDefault="003A5AA3" w:rsidP="003A5AA3">
      <w:pPr>
        <w:pStyle w:val="SingleTxtG"/>
        <w:ind w:firstLine="567"/>
      </w:pPr>
      <w:r w:rsidRPr="003A5AA3">
        <w:t>d)</w:t>
      </w:r>
      <w:r w:rsidRPr="003A5AA3">
        <w:tab/>
        <w:t xml:space="preserve">Recours en </w:t>
      </w:r>
      <w:r w:rsidRPr="003A5AA3">
        <w:rPr>
          <w:i/>
        </w:rPr>
        <w:t>amparo</w:t>
      </w:r>
      <w:r w:rsidRPr="003A5AA3">
        <w:t xml:space="preserve"> formés pour discrimination raciale auprès du nouveau Tribunal constitutionnel;</w:t>
      </w:r>
    </w:p>
    <w:p w:rsidR="003A5AA3" w:rsidRPr="003A5AA3" w:rsidRDefault="003A5AA3" w:rsidP="003A5AA3">
      <w:pPr>
        <w:pStyle w:val="SingleTxtG"/>
        <w:ind w:firstLine="567"/>
      </w:pPr>
      <w:r w:rsidRPr="003A5AA3">
        <w:t>e)</w:t>
      </w:r>
      <w:r w:rsidRPr="003A5AA3">
        <w:tab/>
        <w:t xml:space="preserve">Exécution de la peine prononcée par la Cour interaméricaine des droits de l’homme dans l’affaire </w:t>
      </w:r>
      <w:r w:rsidRPr="003A5AA3">
        <w:rPr>
          <w:i/>
        </w:rPr>
        <w:t>Yean et Bosico</w:t>
      </w:r>
      <w:r w:rsidRPr="003A5AA3">
        <w:t xml:space="preserve"> c. </w:t>
      </w:r>
      <w:r w:rsidRPr="003A5AA3">
        <w:rPr>
          <w:i/>
        </w:rPr>
        <w:t>République dominicaine</w:t>
      </w:r>
      <w:r w:rsidRPr="003A5AA3">
        <w:t>.</w:t>
      </w:r>
    </w:p>
    <w:p w:rsidR="003A5AA3" w:rsidRPr="003A5AA3" w:rsidRDefault="003A5AA3" w:rsidP="003A5AA3">
      <w:pPr>
        <w:pStyle w:val="H1G"/>
      </w:pPr>
      <w:r>
        <w:tab/>
      </w:r>
      <w:r w:rsidRPr="003A5AA3">
        <w:t>2.</w:t>
      </w:r>
      <w:r w:rsidRPr="003A5AA3">
        <w:tab/>
        <w:t>Application du cadre légal contre la discrimination raciale</w:t>
      </w:r>
      <w:r>
        <w:br/>
      </w:r>
      <w:r w:rsidRPr="003A5AA3">
        <w:t>(art. 1</w:t>
      </w:r>
      <w:r w:rsidRPr="003A5AA3">
        <w:rPr>
          <w:vertAlign w:val="superscript"/>
        </w:rPr>
        <w:t>er</w:t>
      </w:r>
      <w:r w:rsidRPr="003A5AA3">
        <w:t>, 4 et 5)</w:t>
      </w:r>
    </w:p>
    <w:p w:rsidR="003A5AA3" w:rsidRPr="003A5AA3" w:rsidRDefault="003A5AA3" w:rsidP="003A5AA3">
      <w:pPr>
        <w:pStyle w:val="SingleTxtG"/>
        <w:ind w:firstLine="567"/>
      </w:pPr>
      <w:r w:rsidRPr="003A5AA3">
        <w:t>a)</w:t>
      </w:r>
      <w:r w:rsidRPr="003A5AA3">
        <w:tab/>
        <w:t>La nouvelle Constitution de la République dominicaine du 26 janvier 2010 et l’application des dispositions de la Constitution protégeant les droits visés par la Convention;</w:t>
      </w:r>
    </w:p>
    <w:p w:rsidR="003A5AA3" w:rsidRPr="003A5AA3" w:rsidRDefault="003A5AA3" w:rsidP="003A5AA3">
      <w:pPr>
        <w:pStyle w:val="SingleTxtG"/>
        <w:ind w:firstLine="567"/>
      </w:pPr>
      <w:r w:rsidRPr="003A5AA3">
        <w:t>b)</w:t>
      </w:r>
      <w:r w:rsidRPr="003A5AA3">
        <w:tab/>
        <w:t>L’incrimination de la discrimination et l’application des articles 336, 336-1 et 337 du Code pénal (CERD/C/DOM/13-14, par. 26 et 27);</w:t>
      </w:r>
    </w:p>
    <w:p w:rsidR="003A5AA3" w:rsidRPr="003A5AA3" w:rsidRDefault="003A5AA3" w:rsidP="003A5AA3">
      <w:pPr>
        <w:pStyle w:val="SingleTxtG"/>
        <w:ind w:firstLine="567"/>
      </w:pPr>
      <w:r w:rsidRPr="003A5AA3">
        <w:t>c</w:t>
      </w:r>
      <w:r w:rsidRPr="003A5AA3">
        <w:rPr>
          <w:spacing w:val="-2"/>
        </w:rPr>
        <w:t>)</w:t>
      </w:r>
      <w:r w:rsidRPr="003A5AA3">
        <w:rPr>
          <w:spacing w:val="-2"/>
        </w:rPr>
        <w:tab/>
        <w:t>L’application de la loi n</w:t>
      </w:r>
      <w:r w:rsidRPr="003A5AA3">
        <w:rPr>
          <w:spacing w:val="-2"/>
          <w:vertAlign w:val="superscript"/>
        </w:rPr>
        <w:t>o</w:t>
      </w:r>
      <w:r w:rsidRPr="003A5AA3">
        <w:rPr>
          <w:spacing w:val="-2"/>
        </w:rPr>
        <w:t> 6132 relative à l’expression et à la diffusion de la pensée, et de l’article 13 du Code civil de la République dominicaine (CERD/C/DOM/13-14, par.</w:t>
      </w:r>
      <w:r w:rsidRPr="003A5AA3">
        <w:t> 89 et 90).</w:t>
      </w:r>
    </w:p>
    <w:p w:rsidR="003A5AA3" w:rsidRPr="003A5AA3" w:rsidRDefault="003A5AA3" w:rsidP="003A5AA3">
      <w:pPr>
        <w:pStyle w:val="H1G"/>
      </w:pPr>
      <w:r>
        <w:tab/>
      </w:r>
      <w:r w:rsidRPr="003A5AA3">
        <w:t>3.</w:t>
      </w:r>
      <w:r w:rsidRPr="003A5AA3">
        <w:tab/>
        <w:t>Égalité et problèmes rencontrés par les personnes d’ascendance africaine (art. 2, 4, 5 et 7)</w:t>
      </w:r>
    </w:p>
    <w:p w:rsidR="003A5AA3" w:rsidRPr="003A5AA3" w:rsidRDefault="003A5AA3" w:rsidP="003A5AA3">
      <w:pPr>
        <w:pStyle w:val="SingleTxtG"/>
        <w:ind w:firstLine="567"/>
      </w:pPr>
      <w:r w:rsidRPr="003A5AA3">
        <w:t>a)</w:t>
      </w:r>
      <w:r w:rsidRPr="003A5AA3">
        <w:tab/>
        <w:t>Exercice et jouissance des droits de l’homme par les personnes d’ascendance africaine;</w:t>
      </w:r>
    </w:p>
    <w:p w:rsidR="003A5AA3" w:rsidRPr="003A5AA3" w:rsidRDefault="003A5AA3" w:rsidP="003A5AA3">
      <w:pPr>
        <w:pStyle w:val="SingleTxtG"/>
        <w:ind w:firstLine="567"/>
      </w:pPr>
      <w:r w:rsidRPr="003A5AA3">
        <w:t>b)</w:t>
      </w:r>
      <w:r w:rsidRPr="003A5AA3">
        <w:tab/>
        <w:t>Reconnaissance des personnes d’ascendance africaine comme faisant partie intégrante de la société dominicaine;</w:t>
      </w:r>
    </w:p>
    <w:p w:rsidR="003A5AA3" w:rsidRPr="003A5AA3" w:rsidRDefault="003A5AA3" w:rsidP="003A5AA3">
      <w:pPr>
        <w:pStyle w:val="SingleTxtG"/>
        <w:ind w:firstLine="567"/>
      </w:pPr>
      <w:r w:rsidRPr="003A5AA3">
        <w:t>c)</w:t>
      </w:r>
      <w:r w:rsidRPr="003A5AA3">
        <w:tab/>
        <w:t>Sécurité et protection des femmes d’ascendance africaine contre la double discrimination;</w:t>
      </w:r>
    </w:p>
    <w:p w:rsidR="003A5AA3" w:rsidRPr="003A5AA3" w:rsidRDefault="003A5AA3" w:rsidP="003A5AA3">
      <w:pPr>
        <w:pStyle w:val="SingleTxtG"/>
        <w:ind w:firstLine="567"/>
      </w:pPr>
      <w:r w:rsidRPr="003A5AA3">
        <w:t>d)</w:t>
      </w:r>
      <w:r w:rsidRPr="003A5AA3">
        <w:tab/>
        <w:t>Mesures destinées à combattre les préjugés et les stéréotypes raciaux.</w:t>
      </w:r>
    </w:p>
    <w:p w:rsidR="003A5AA3" w:rsidRPr="003A5AA3" w:rsidRDefault="003A5AA3" w:rsidP="003A5AA3">
      <w:pPr>
        <w:pStyle w:val="H1G"/>
      </w:pPr>
      <w:r>
        <w:tab/>
      </w:r>
      <w:r w:rsidRPr="003A5AA3">
        <w:t>4.</w:t>
      </w:r>
      <w:r w:rsidRPr="003A5AA3">
        <w:tab/>
        <w:t>Égalité et problèmes rencontrés par les Haïtiens et les Dominicains d’ascendance haïtienne (art. 2, 4, 5 et 7)</w:t>
      </w:r>
    </w:p>
    <w:p w:rsidR="003A5AA3" w:rsidRPr="003A5AA3" w:rsidRDefault="003A5AA3" w:rsidP="003A5AA3">
      <w:pPr>
        <w:pStyle w:val="SingleTxtG"/>
        <w:ind w:firstLine="567"/>
      </w:pPr>
      <w:r w:rsidRPr="003A5AA3">
        <w:t>a)</w:t>
      </w:r>
      <w:r w:rsidRPr="003A5AA3">
        <w:tab/>
        <w:t>Exercice et jouissance des droits de l’homme par les Haïtiens et les Dominicains d’ascendance haïtienne;</w:t>
      </w:r>
    </w:p>
    <w:p w:rsidR="003A5AA3" w:rsidRPr="003A5AA3" w:rsidRDefault="003A5AA3" w:rsidP="003A5AA3">
      <w:pPr>
        <w:pStyle w:val="SingleTxtG"/>
        <w:ind w:firstLine="567"/>
      </w:pPr>
      <w:r w:rsidRPr="003A5AA3">
        <w:t>b)</w:t>
      </w:r>
      <w:r w:rsidRPr="003A5AA3">
        <w:tab/>
        <w:t>Application rétroactive de la loi n</w:t>
      </w:r>
      <w:r w:rsidRPr="003A5AA3">
        <w:rPr>
          <w:vertAlign w:val="superscript"/>
        </w:rPr>
        <w:t>o</w:t>
      </w:r>
      <w:r w:rsidRPr="003A5AA3">
        <w:t> 285-04, ainsi que des instructions internes telles que la circulaire </w:t>
      </w:r>
      <w:r w:rsidR="005233EC">
        <w:rPr>
          <w:rFonts w:eastAsia="MS Mincho"/>
        </w:rPr>
        <w:t>n</w:t>
      </w:r>
      <w:r w:rsidR="005233EC">
        <w:rPr>
          <w:rFonts w:eastAsia="MS Mincho"/>
          <w:vertAlign w:val="superscript"/>
        </w:rPr>
        <w:t>o</w:t>
      </w:r>
      <w:r w:rsidR="005233EC">
        <w:t> </w:t>
      </w:r>
      <w:r w:rsidRPr="003A5AA3">
        <w:t>017-07 de la Commission centrale électorale concernant l’interdiction d’accorder la nationalité dominicaine aux enfants d’immigrés clandestins, ce qui a des conséquences directes pour les Dominicains d’ascendance haïtienne;</w:t>
      </w:r>
    </w:p>
    <w:p w:rsidR="003A5AA3" w:rsidRPr="003A5AA3" w:rsidRDefault="003A5AA3" w:rsidP="003A5AA3">
      <w:pPr>
        <w:pStyle w:val="SingleTxtG"/>
        <w:ind w:firstLine="567"/>
      </w:pPr>
      <w:r w:rsidRPr="003A5AA3">
        <w:t>c)</w:t>
      </w:r>
      <w:r w:rsidRPr="003A5AA3">
        <w:tab/>
        <w:t>Respect des droits de l’homme des travailleurs haïtiens, en particulier dans les secteurs de l’agriculture, des zones franches et de la construction;</w:t>
      </w:r>
    </w:p>
    <w:p w:rsidR="003A5AA3" w:rsidRPr="003A5AA3" w:rsidRDefault="003A5AA3" w:rsidP="003A5AA3">
      <w:pPr>
        <w:pStyle w:val="SingleTxtG"/>
        <w:ind w:firstLine="567"/>
      </w:pPr>
      <w:r w:rsidRPr="003A5AA3">
        <w:t>d)</w:t>
      </w:r>
      <w:r w:rsidRPr="003A5AA3">
        <w:tab/>
        <w:t>Obstacles que rencontre la population haïtienne dans l’accès à la justice, tels que la pauvreté et les problèmes d’ordre linguistique;</w:t>
      </w:r>
    </w:p>
    <w:p w:rsidR="003A5AA3" w:rsidRPr="003A5AA3" w:rsidRDefault="003A5AA3" w:rsidP="003A5AA3">
      <w:pPr>
        <w:pStyle w:val="SingleTxtG"/>
        <w:ind w:firstLine="567"/>
      </w:pPr>
      <w:r w:rsidRPr="003A5AA3">
        <w:t>e)</w:t>
      </w:r>
      <w:r w:rsidRPr="003A5AA3">
        <w:tab/>
        <w:t>Mesures de sensibilisation, d’information et d’éducation à l’intention des fonctionnaires et de la population en général destinées à combattre les préjugés et les stéréotypes discriminatoires à l’égard des Haïtiens et des Dominicains d’ascendance haïtienne.</w:t>
      </w:r>
    </w:p>
    <w:p w:rsidR="003A5AA3" w:rsidRPr="003A5AA3" w:rsidRDefault="003A5AA3" w:rsidP="003A5A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5AA3" w:rsidRPr="003A5AA3" w:rsidSect="003A5A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F5" w:rsidRDefault="009764F5"/>
  </w:endnote>
  <w:endnote w:type="continuationSeparator" w:id="0">
    <w:p w:rsidR="009764F5" w:rsidRDefault="009764F5"/>
  </w:endnote>
  <w:endnote w:type="continuationNotice" w:id="1">
    <w:p w:rsidR="009764F5" w:rsidRPr="00201F68" w:rsidRDefault="009764F5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3" w:rsidRPr="003A5AA3" w:rsidRDefault="003A5AA3" w:rsidP="003A5AA3">
    <w:pPr>
      <w:pStyle w:val="Footer"/>
      <w:tabs>
        <w:tab w:val="right" w:pos="9638"/>
      </w:tabs>
    </w:pPr>
    <w:r w:rsidRPr="003A5AA3">
      <w:rPr>
        <w:b/>
        <w:sz w:val="18"/>
      </w:rPr>
      <w:fldChar w:fldCharType="begin"/>
    </w:r>
    <w:r w:rsidRPr="003A5AA3">
      <w:rPr>
        <w:b/>
        <w:sz w:val="18"/>
      </w:rPr>
      <w:instrText xml:space="preserve"> PAGE  \* MERGEFORMAT </w:instrText>
    </w:r>
    <w:r w:rsidRPr="003A5AA3">
      <w:rPr>
        <w:b/>
        <w:sz w:val="18"/>
      </w:rPr>
      <w:fldChar w:fldCharType="separate"/>
    </w:r>
    <w:r w:rsidR="00F70AB1">
      <w:rPr>
        <w:b/>
        <w:noProof/>
        <w:sz w:val="18"/>
      </w:rPr>
      <w:t>2</w:t>
    </w:r>
    <w:r w:rsidRPr="003A5AA3">
      <w:rPr>
        <w:b/>
        <w:sz w:val="18"/>
      </w:rPr>
      <w:fldChar w:fldCharType="end"/>
    </w:r>
    <w:r>
      <w:rPr>
        <w:b/>
        <w:sz w:val="18"/>
      </w:rPr>
      <w:tab/>
    </w:r>
    <w:r>
      <w:t>GE.12-48341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3" w:rsidRPr="003A5AA3" w:rsidRDefault="003A5AA3" w:rsidP="003A5AA3">
    <w:pPr>
      <w:pStyle w:val="Footer"/>
      <w:tabs>
        <w:tab w:val="right" w:pos="9638"/>
      </w:tabs>
      <w:rPr>
        <w:b/>
        <w:sz w:val="18"/>
      </w:rPr>
    </w:pPr>
    <w:r>
      <w:t>GE.12-48341</w:t>
    </w:r>
    <w:r>
      <w:tab/>
    </w:r>
    <w:r w:rsidRPr="003A5AA3">
      <w:rPr>
        <w:b/>
        <w:sz w:val="18"/>
      </w:rPr>
      <w:fldChar w:fldCharType="begin"/>
    </w:r>
    <w:r w:rsidRPr="003A5AA3">
      <w:rPr>
        <w:b/>
        <w:sz w:val="18"/>
      </w:rPr>
      <w:instrText xml:space="preserve"> PAGE  \* MERGEFORMAT </w:instrText>
    </w:r>
    <w:r w:rsidRPr="003A5AA3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3A5A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5" w:rsidRDefault="003A5AA3">
    <w:pPr>
      <w:pStyle w:val="Footer"/>
    </w:pPr>
    <w:r>
      <w:rPr>
        <w:sz w:val="20"/>
      </w:rPr>
      <w:t>GE.12-48341</w:t>
    </w:r>
    <w:r w:rsidR="009764F5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111212    201212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F5" w:rsidRPr="00D27D5E" w:rsidRDefault="009764F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64F5" w:rsidRPr="00AA7FE7" w:rsidRDefault="009764F5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9764F5" w:rsidRPr="00201F68" w:rsidRDefault="009764F5" w:rsidP="00201F6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3" w:rsidRPr="003A5AA3" w:rsidRDefault="003A5AA3">
    <w:pPr>
      <w:pStyle w:val="Header"/>
    </w:pPr>
    <w:r>
      <w:t>CERD/C/DOM/Q/13-14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3" w:rsidRPr="003A5AA3" w:rsidRDefault="003A5AA3" w:rsidP="003A5AA3">
    <w:pPr>
      <w:pStyle w:val="Header"/>
      <w:jc w:val="right"/>
    </w:pPr>
    <w:r>
      <w:t>CERD/C/DOM/Q/13-14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41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96A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9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0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F5"/>
    <w:rsid w:val="0000226F"/>
    <w:rsid w:val="00016AC5"/>
    <w:rsid w:val="00054609"/>
    <w:rsid w:val="000A6F55"/>
    <w:rsid w:val="000E7579"/>
    <w:rsid w:val="000F41F2"/>
    <w:rsid w:val="001231AD"/>
    <w:rsid w:val="001450E6"/>
    <w:rsid w:val="00150465"/>
    <w:rsid w:val="00160540"/>
    <w:rsid w:val="00171B9D"/>
    <w:rsid w:val="00192EEB"/>
    <w:rsid w:val="00197832"/>
    <w:rsid w:val="001A20FB"/>
    <w:rsid w:val="001B3867"/>
    <w:rsid w:val="001D72C5"/>
    <w:rsid w:val="001D7F8A"/>
    <w:rsid w:val="001E3FEB"/>
    <w:rsid w:val="001E4A02"/>
    <w:rsid w:val="00201F68"/>
    <w:rsid w:val="00225A8C"/>
    <w:rsid w:val="002626D4"/>
    <w:rsid w:val="002659F1"/>
    <w:rsid w:val="00265CD7"/>
    <w:rsid w:val="00287E79"/>
    <w:rsid w:val="002928F9"/>
    <w:rsid w:val="002A5D07"/>
    <w:rsid w:val="002D3F03"/>
    <w:rsid w:val="002E0D40"/>
    <w:rsid w:val="002E5B0C"/>
    <w:rsid w:val="00300D06"/>
    <w:rsid w:val="003016B7"/>
    <w:rsid w:val="003515AA"/>
    <w:rsid w:val="00374106"/>
    <w:rsid w:val="003976D5"/>
    <w:rsid w:val="003A5AA3"/>
    <w:rsid w:val="003D6C68"/>
    <w:rsid w:val="004159D0"/>
    <w:rsid w:val="00472145"/>
    <w:rsid w:val="00500625"/>
    <w:rsid w:val="005233EC"/>
    <w:rsid w:val="00540389"/>
    <w:rsid w:val="00543D5E"/>
    <w:rsid w:val="00571F41"/>
    <w:rsid w:val="00572D8C"/>
    <w:rsid w:val="00593658"/>
    <w:rsid w:val="005E5D1F"/>
    <w:rsid w:val="006034FC"/>
    <w:rsid w:val="00611D43"/>
    <w:rsid w:val="00612D48"/>
    <w:rsid w:val="00616B45"/>
    <w:rsid w:val="00630D9B"/>
    <w:rsid w:val="00631953"/>
    <w:rsid w:val="006439EC"/>
    <w:rsid w:val="0065167E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F55CB"/>
    <w:rsid w:val="00844750"/>
    <w:rsid w:val="008B44C4"/>
    <w:rsid w:val="008D2259"/>
    <w:rsid w:val="008E7FAE"/>
    <w:rsid w:val="00911BF7"/>
    <w:rsid w:val="009764F5"/>
    <w:rsid w:val="00977EC8"/>
    <w:rsid w:val="009C17F5"/>
    <w:rsid w:val="009D3A8C"/>
    <w:rsid w:val="009E7956"/>
    <w:rsid w:val="00A2492E"/>
    <w:rsid w:val="00A82B6C"/>
    <w:rsid w:val="00AA7FE7"/>
    <w:rsid w:val="00AB3173"/>
    <w:rsid w:val="00AC01AA"/>
    <w:rsid w:val="00AC67A1"/>
    <w:rsid w:val="00AC7977"/>
    <w:rsid w:val="00AE352C"/>
    <w:rsid w:val="00B32E2D"/>
    <w:rsid w:val="00B61990"/>
    <w:rsid w:val="00BF0556"/>
    <w:rsid w:val="00C03431"/>
    <w:rsid w:val="00C261F8"/>
    <w:rsid w:val="00C33100"/>
    <w:rsid w:val="00CD1A71"/>
    <w:rsid w:val="00CD1FBB"/>
    <w:rsid w:val="00D016B5"/>
    <w:rsid w:val="00D034F1"/>
    <w:rsid w:val="00D27D5E"/>
    <w:rsid w:val="00D37345"/>
    <w:rsid w:val="00DC156C"/>
    <w:rsid w:val="00DE6D90"/>
    <w:rsid w:val="00DF002F"/>
    <w:rsid w:val="00E0244D"/>
    <w:rsid w:val="00E42D5E"/>
    <w:rsid w:val="00E81E94"/>
    <w:rsid w:val="00E82607"/>
    <w:rsid w:val="00EC5A42"/>
    <w:rsid w:val="00F63BC6"/>
    <w:rsid w:val="00F70AB1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rsid w:val="00540389"/>
    <w:rPr>
      <w:color w:val="auto"/>
      <w:u w:val="none"/>
    </w:rPr>
  </w:style>
  <w:style w:type="character" w:styleId="FollowedHyperlink">
    <w:name w:val="FollowedHyperlink"/>
    <w:rsid w:val="00540389"/>
    <w:rPr>
      <w:color w:val="auto"/>
      <w:u w:val="none"/>
    </w:rPr>
  </w:style>
  <w:style w:type="table" w:styleId="TableGrid">
    <w:name w:val="Table Grid"/>
    <w:basedOn w:val="TableNormal"/>
    <w:rsid w:val="003A5AA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602</Words>
  <Characters>3543</Characters>
  <Application>Microsoft Office Word</Application>
  <DocSecurity>4</DocSecurity>
  <Lines>78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CERD/C/DOM/Q/13-14</vt:lpstr>
    </vt:vector>
  </TitlesOfParts>
  <Company>CSD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CERD/C/DOM/Q/13-14</dc:title>
  <dc:subject>Semi final</dc:subject>
  <dc:creator>clere</dc:creator>
  <cp:keywords/>
  <dc:description/>
  <cp:lastModifiedBy>clere</cp:lastModifiedBy>
  <cp:revision>2</cp:revision>
  <cp:lastPrinted>2012-12-20T10:42:00Z</cp:lastPrinted>
  <dcterms:created xsi:type="dcterms:W3CDTF">2012-12-20T10:54:00Z</dcterms:created>
  <dcterms:modified xsi:type="dcterms:W3CDTF">2012-12-20T10:54:00Z</dcterms:modified>
</cp:coreProperties>
</file>