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420"/>
        <w:gridCol w:w="2120"/>
        <w:gridCol w:w="2819"/>
      </w:tblGrid>
      <w:tr w:rsidR="00BB5A75" w:rsidRPr="00FD4FF3" w:rsidTr="00905AD7">
        <w:trPr>
          <w:trHeight w:hRule="exact" w:val="851"/>
        </w:trPr>
        <w:tc>
          <w:tcPr>
            <w:tcW w:w="4700" w:type="dxa"/>
            <w:gridSpan w:val="2"/>
            <w:tcBorders>
              <w:bottom w:val="single" w:sz="4" w:space="0" w:color="auto"/>
            </w:tcBorders>
            <w:vAlign w:val="bottom"/>
          </w:tcPr>
          <w:p w:rsidR="00BB5A75" w:rsidRPr="00FD4FF3" w:rsidRDefault="00BB5A75" w:rsidP="00905AD7">
            <w:pPr>
              <w:spacing w:after="80" w:line="300" w:lineRule="exact"/>
              <w:rPr>
                <w:sz w:val="28"/>
              </w:rPr>
            </w:pPr>
            <w:r w:rsidRPr="00FD4FF3">
              <w:rPr>
                <w:sz w:val="28"/>
              </w:rPr>
              <w:t>Организация Объединенных Наций</w:t>
            </w:r>
          </w:p>
        </w:tc>
        <w:tc>
          <w:tcPr>
            <w:tcW w:w="4939" w:type="dxa"/>
            <w:gridSpan w:val="2"/>
            <w:tcBorders>
              <w:bottom w:val="single" w:sz="4" w:space="0" w:color="auto"/>
            </w:tcBorders>
            <w:vAlign w:val="bottom"/>
          </w:tcPr>
          <w:p w:rsidR="00BB5A75" w:rsidRPr="00FD4FF3" w:rsidRDefault="00BB5A75" w:rsidP="00905AD7">
            <w:pPr>
              <w:jc w:val="right"/>
            </w:pPr>
            <w:r w:rsidRPr="00FD4FF3">
              <w:rPr>
                <w:sz w:val="40"/>
                <w:szCs w:val="40"/>
              </w:rPr>
              <w:t>CRPD</w:t>
            </w:r>
            <w:r w:rsidRPr="00FD4FF3">
              <w:t>/</w:t>
            </w:r>
            <w:r w:rsidR="00EF41D4">
              <w:fldChar w:fldCharType="begin"/>
            </w:r>
            <w:r w:rsidR="00EF41D4">
              <w:instrText xml:space="preserve"> FILLIN  "Введите часть символа после CRPD/"  \* MERGEFORMAT </w:instrText>
            </w:r>
            <w:r w:rsidR="00EF41D4">
              <w:fldChar w:fldCharType="separate"/>
            </w:r>
            <w:r w:rsidR="00502275" w:rsidRPr="00FD4FF3">
              <w:t>C/16/D/7/2012</w:t>
            </w:r>
            <w:r w:rsidR="00EF41D4">
              <w:fldChar w:fldCharType="end"/>
            </w:r>
          </w:p>
        </w:tc>
      </w:tr>
      <w:tr w:rsidR="00BB5A75" w:rsidRPr="00FD4FF3" w:rsidTr="00905AD7">
        <w:trPr>
          <w:trHeight w:hRule="exact" w:val="2835"/>
        </w:trPr>
        <w:tc>
          <w:tcPr>
            <w:tcW w:w="1280" w:type="dxa"/>
            <w:tcBorders>
              <w:top w:val="single" w:sz="4" w:space="0" w:color="auto"/>
              <w:bottom w:val="single" w:sz="12" w:space="0" w:color="auto"/>
            </w:tcBorders>
          </w:tcPr>
          <w:p w:rsidR="00BB5A75" w:rsidRPr="00FD4FF3" w:rsidRDefault="00BB5A75" w:rsidP="00905AD7">
            <w:pPr>
              <w:spacing w:before="120"/>
              <w:jc w:val="center"/>
            </w:pPr>
            <w:r w:rsidRPr="00FD4FF3">
              <w:rPr>
                <w:noProof/>
                <w:lang w:eastAsia="ru-RU"/>
              </w:rPr>
              <w:drawing>
                <wp:inline distT="0" distB="0" distL="0" distR="0" wp14:anchorId="2F6455E5" wp14:editId="37401014">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BB5A75" w:rsidRPr="00FD4FF3" w:rsidRDefault="00BB5A75" w:rsidP="00905AD7">
            <w:pPr>
              <w:suppressAutoHyphens/>
              <w:spacing w:before="120" w:line="380" w:lineRule="exact"/>
              <w:rPr>
                <w:b/>
                <w:spacing w:val="-4"/>
                <w:w w:val="100"/>
                <w:sz w:val="34"/>
                <w:szCs w:val="40"/>
              </w:rPr>
            </w:pPr>
            <w:r w:rsidRPr="00FD4FF3">
              <w:rPr>
                <w:b/>
                <w:spacing w:val="-4"/>
                <w:w w:val="100"/>
                <w:sz w:val="34"/>
                <w:szCs w:val="40"/>
              </w:rPr>
              <w:t>Конвенция о правах</w:t>
            </w:r>
            <w:r w:rsidRPr="00FD4FF3">
              <w:rPr>
                <w:b/>
                <w:spacing w:val="-4"/>
                <w:w w:val="100"/>
                <w:sz w:val="34"/>
                <w:szCs w:val="40"/>
              </w:rPr>
              <w:br/>
              <w:t>инвалидов</w:t>
            </w:r>
          </w:p>
        </w:tc>
        <w:tc>
          <w:tcPr>
            <w:tcW w:w="2819" w:type="dxa"/>
            <w:tcBorders>
              <w:top w:val="single" w:sz="4" w:space="0" w:color="auto"/>
              <w:bottom w:val="single" w:sz="12" w:space="0" w:color="auto"/>
            </w:tcBorders>
          </w:tcPr>
          <w:p w:rsidR="00BB5A75" w:rsidRPr="00FD4FF3" w:rsidRDefault="00BB5A75" w:rsidP="00905AD7">
            <w:pPr>
              <w:spacing w:before="240"/>
            </w:pPr>
            <w:proofErr w:type="spellStart"/>
            <w:r w:rsidRPr="00FD4FF3">
              <w:t>Distr</w:t>
            </w:r>
            <w:proofErr w:type="spellEnd"/>
            <w:r w:rsidRPr="00FD4FF3">
              <w:t xml:space="preserve">.: </w:t>
            </w:r>
            <w:bookmarkStart w:id="0" w:name="ПолеСоСписком1"/>
            <w:r w:rsidRPr="00FD4FF3">
              <w:fldChar w:fldCharType="begin">
                <w:ffData>
                  <w:name w:val="ПолеСоСписком1"/>
                  <w:enabled/>
                  <w:calcOnExit w:val="0"/>
                  <w:ddList>
                    <w:listEntry w:val="General"/>
                    <w:listEntry w:val="Limited"/>
                    <w:listEntry w:val="Restricted"/>
                  </w:ddList>
                </w:ffData>
              </w:fldChar>
            </w:r>
            <w:r w:rsidRPr="00FD4FF3">
              <w:instrText xml:space="preserve"> FORMDROPDOWN </w:instrText>
            </w:r>
            <w:r w:rsidR="00EF41D4">
              <w:fldChar w:fldCharType="separate"/>
            </w:r>
            <w:r w:rsidRPr="00FD4FF3">
              <w:fldChar w:fldCharType="end"/>
            </w:r>
            <w:bookmarkEnd w:id="0"/>
          </w:p>
          <w:p w:rsidR="00BB5A75" w:rsidRPr="00FD4FF3" w:rsidRDefault="00EF41D4" w:rsidP="00905AD7">
            <w:r>
              <w:fldChar w:fldCharType="begin"/>
            </w:r>
            <w:r>
              <w:instrText xml:space="preserve"> FILLIN  "Введите дату документа" \* MERGEFORMAT </w:instrText>
            </w:r>
            <w:r>
              <w:fldChar w:fldCharType="separate"/>
            </w:r>
            <w:r w:rsidR="00502275" w:rsidRPr="00FD4FF3">
              <w:t xml:space="preserve">10 </w:t>
            </w:r>
            <w:proofErr w:type="spellStart"/>
            <w:r w:rsidR="00502275" w:rsidRPr="00FD4FF3">
              <w:t>October</w:t>
            </w:r>
            <w:proofErr w:type="spellEnd"/>
            <w:r w:rsidR="00502275" w:rsidRPr="00FD4FF3">
              <w:t xml:space="preserve"> 2016</w:t>
            </w:r>
            <w:r>
              <w:fldChar w:fldCharType="end"/>
            </w:r>
          </w:p>
          <w:p w:rsidR="00BB5A75" w:rsidRPr="00FD4FF3" w:rsidRDefault="00BB5A75" w:rsidP="00905AD7">
            <w:proofErr w:type="spellStart"/>
            <w:r w:rsidRPr="00FD4FF3">
              <w:t>Russian</w:t>
            </w:r>
            <w:proofErr w:type="spellEnd"/>
          </w:p>
          <w:p w:rsidR="00BB5A75" w:rsidRPr="00FD4FF3" w:rsidRDefault="00BB5A75" w:rsidP="00905AD7">
            <w:proofErr w:type="spellStart"/>
            <w:r w:rsidRPr="00FD4FF3">
              <w:t>Original</w:t>
            </w:r>
            <w:proofErr w:type="spellEnd"/>
            <w:r w:rsidRPr="00FD4FF3">
              <w:t xml:space="preserve">: </w:t>
            </w:r>
            <w:bookmarkStart w:id="1" w:name="ПолеСоСписком2"/>
            <w:r w:rsidRPr="00FD4FF3">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FD4FF3">
              <w:instrText xml:space="preserve"> FORMDROPDOWN </w:instrText>
            </w:r>
            <w:r w:rsidR="00EF41D4">
              <w:fldChar w:fldCharType="separate"/>
            </w:r>
            <w:r w:rsidRPr="00FD4FF3">
              <w:fldChar w:fldCharType="end"/>
            </w:r>
            <w:bookmarkEnd w:id="1"/>
          </w:p>
          <w:p w:rsidR="00BB5A75" w:rsidRPr="00FD4FF3" w:rsidRDefault="00BB5A75" w:rsidP="00905AD7"/>
        </w:tc>
      </w:tr>
    </w:tbl>
    <w:p w:rsidR="007636DF" w:rsidRPr="00FD4FF3" w:rsidRDefault="007636DF" w:rsidP="007636DF">
      <w:pPr>
        <w:spacing w:before="120"/>
        <w:rPr>
          <w:b/>
          <w:sz w:val="24"/>
          <w:szCs w:val="24"/>
        </w:rPr>
      </w:pPr>
      <w:r w:rsidRPr="00FD4FF3">
        <w:rPr>
          <w:b/>
          <w:sz w:val="24"/>
          <w:szCs w:val="24"/>
        </w:rPr>
        <w:t>Комитет по правам инвалидов</w:t>
      </w:r>
    </w:p>
    <w:p w:rsidR="007B31D5" w:rsidRPr="00FD4FF3" w:rsidRDefault="007B31D5" w:rsidP="00A43E57">
      <w:pPr>
        <w:pStyle w:val="HChGR"/>
        <w:rPr>
          <w:rStyle w:val="a6"/>
          <w:b w:val="0"/>
          <w:sz w:val="20"/>
          <w:vertAlign w:val="baseline"/>
          <w:lang w:eastAsia="en-US"/>
        </w:rPr>
      </w:pPr>
      <w:r w:rsidRPr="00FD4FF3">
        <w:tab/>
      </w:r>
      <w:r w:rsidR="007636DF" w:rsidRPr="00FD4FF3">
        <w:tab/>
      </w:r>
      <w:r w:rsidRPr="00FD4FF3">
        <w:t>Соображения, принятые Комитетом в соответствии со</w:t>
      </w:r>
      <w:r w:rsidR="0095241D">
        <w:t> </w:t>
      </w:r>
      <w:r w:rsidRPr="00FD4FF3">
        <w:t>статьей 5 Факультативного протокола относительно сообщения № 7/2012</w:t>
      </w:r>
      <w:r w:rsidRPr="00FD4FF3">
        <w:rPr>
          <w:rStyle w:val="a6"/>
          <w:b w:val="0"/>
          <w:sz w:val="20"/>
          <w:vertAlign w:val="baseline"/>
          <w:lang w:eastAsia="en-US"/>
        </w:rPr>
        <w:footnoteReference w:customMarkFollows="1" w:id="1"/>
        <w:sym w:font="Symbol" w:char="F02A"/>
      </w:r>
      <w:r w:rsidR="0095241D">
        <w:rPr>
          <w:b w:val="0"/>
          <w:sz w:val="20"/>
          <w:lang w:eastAsia="en-US"/>
        </w:rPr>
        <w:t xml:space="preserve"> </w:t>
      </w:r>
      <w:r w:rsidRPr="00FD4FF3">
        <w:rPr>
          <w:rStyle w:val="a6"/>
          <w:b w:val="0"/>
          <w:sz w:val="20"/>
          <w:vertAlign w:val="baseline"/>
          <w:lang w:eastAsia="en-US"/>
        </w:rPr>
        <w:footnoteReference w:customMarkFollows="1" w:id="2"/>
        <w:sym w:font="Symbol" w:char="F02A"/>
      </w:r>
      <w:r w:rsidRPr="00FD4FF3">
        <w:rPr>
          <w:rStyle w:val="a6"/>
          <w:b w:val="0"/>
          <w:sz w:val="20"/>
          <w:vertAlign w:val="baseline"/>
          <w:lang w:eastAsia="en-US"/>
        </w:rPr>
        <w:sym w:font="Symbol" w:char="F02A"/>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6E6CDB" w:rsidRPr="00FD4FF3" w:rsidTr="00FE6FCA">
        <w:tc>
          <w:tcPr>
            <w:tcW w:w="3119" w:type="dxa"/>
            <w:shd w:val="clear" w:color="auto" w:fill="auto"/>
          </w:tcPr>
          <w:p w:rsidR="006E6CDB" w:rsidRPr="00FD4FF3" w:rsidRDefault="006E6CDB" w:rsidP="006E6CDB">
            <w:pPr>
              <w:suppressAutoHyphens/>
              <w:spacing w:before="40" w:after="40"/>
              <w:ind w:left="17"/>
              <w:rPr>
                <w:i/>
              </w:rPr>
            </w:pPr>
            <w:r w:rsidRPr="00FD4FF3">
              <w:rPr>
                <w:i/>
              </w:rPr>
              <w:t>Сообщение представлено:</w:t>
            </w:r>
          </w:p>
        </w:tc>
        <w:tc>
          <w:tcPr>
            <w:tcW w:w="3685" w:type="dxa"/>
            <w:shd w:val="clear" w:color="auto" w:fill="auto"/>
          </w:tcPr>
          <w:p w:rsidR="006E6CDB" w:rsidRPr="00FD4FF3" w:rsidRDefault="006E6CDB" w:rsidP="006E6CDB">
            <w:pPr>
              <w:suppressAutoHyphens/>
              <w:spacing w:before="40" w:after="40"/>
              <w:ind w:left="17"/>
            </w:pPr>
            <w:r w:rsidRPr="00FD4FF3">
              <w:t xml:space="preserve">Марлоном Джеймсом </w:t>
            </w:r>
            <w:proofErr w:type="spellStart"/>
            <w:r w:rsidRPr="00FD4FF3">
              <w:t>Ноблом</w:t>
            </w:r>
            <w:proofErr w:type="spellEnd"/>
            <w:r w:rsidRPr="00FD4FF3">
              <w:t xml:space="preserve"> (представлен адвокатом Филипом Френчем)</w:t>
            </w:r>
          </w:p>
        </w:tc>
      </w:tr>
      <w:tr w:rsidR="006E6CDB" w:rsidRPr="00FD4FF3" w:rsidTr="00FE6FCA">
        <w:tc>
          <w:tcPr>
            <w:tcW w:w="3119" w:type="dxa"/>
            <w:shd w:val="clear" w:color="auto" w:fill="auto"/>
          </w:tcPr>
          <w:p w:rsidR="006E6CDB" w:rsidRPr="00FD4FF3" w:rsidRDefault="006E6CDB" w:rsidP="006E6CDB">
            <w:pPr>
              <w:suppressAutoHyphens/>
              <w:spacing w:before="40" w:after="40"/>
              <w:ind w:left="17"/>
              <w:rPr>
                <w:i/>
              </w:rPr>
            </w:pPr>
            <w:r w:rsidRPr="00FD4FF3">
              <w:rPr>
                <w:i/>
              </w:rPr>
              <w:t>Предполагаемая жертва:</w:t>
            </w:r>
          </w:p>
        </w:tc>
        <w:tc>
          <w:tcPr>
            <w:tcW w:w="3685" w:type="dxa"/>
            <w:shd w:val="clear" w:color="auto" w:fill="auto"/>
          </w:tcPr>
          <w:p w:rsidR="006E6CDB" w:rsidRPr="00FD4FF3" w:rsidRDefault="006E6CDB" w:rsidP="006E6CDB">
            <w:pPr>
              <w:suppressAutoHyphens/>
              <w:spacing w:before="40" w:after="40"/>
              <w:ind w:left="17"/>
            </w:pPr>
            <w:r w:rsidRPr="00FD4FF3">
              <w:t>автор</w:t>
            </w:r>
          </w:p>
        </w:tc>
      </w:tr>
      <w:tr w:rsidR="006E6CDB" w:rsidRPr="00FD4FF3" w:rsidTr="00FE6FCA">
        <w:tc>
          <w:tcPr>
            <w:tcW w:w="3119" w:type="dxa"/>
            <w:shd w:val="clear" w:color="auto" w:fill="auto"/>
          </w:tcPr>
          <w:p w:rsidR="006E6CDB" w:rsidRPr="00FD4FF3" w:rsidRDefault="006E6CDB" w:rsidP="006E6CDB">
            <w:pPr>
              <w:suppressAutoHyphens/>
              <w:spacing w:before="40" w:after="40"/>
              <w:ind w:left="17"/>
              <w:rPr>
                <w:i/>
              </w:rPr>
            </w:pPr>
            <w:r w:rsidRPr="00FD4FF3">
              <w:rPr>
                <w:i/>
              </w:rPr>
              <w:t>Государство-участник:</w:t>
            </w:r>
          </w:p>
        </w:tc>
        <w:tc>
          <w:tcPr>
            <w:tcW w:w="3685" w:type="dxa"/>
            <w:shd w:val="clear" w:color="auto" w:fill="auto"/>
          </w:tcPr>
          <w:p w:rsidR="006E6CDB" w:rsidRPr="00FD4FF3" w:rsidRDefault="006E6CDB" w:rsidP="006E6CDB">
            <w:pPr>
              <w:suppressAutoHyphens/>
              <w:spacing w:before="40" w:after="40"/>
              <w:ind w:left="17"/>
            </w:pPr>
            <w:r w:rsidRPr="00FD4FF3">
              <w:t>Австралия</w:t>
            </w:r>
          </w:p>
        </w:tc>
      </w:tr>
      <w:tr w:rsidR="006E6CDB" w:rsidRPr="00FD4FF3" w:rsidTr="00FE6FCA">
        <w:tc>
          <w:tcPr>
            <w:tcW w:w="3119" w:type="dxa"/>
            <w:shd w:val="clear" w:color="auto" w:fill="auto"/>
          </w:tcPr>
          <w:p w:rsidR="006E6CDB" w:rsidRPr="00FD4FF3" w:rsidRDefault="006E6CDB" w:rsidP="006E6CDB">
            <w:pPr>
              <w:suppressAutoHyphens/>
              <w:spacing w:before="40" w:after="40"/>
              <w:ind w:left="17"/>
              <w:rPr>
                <w:i/>
              </w:rPr>
            </w:pPr>
            <w:r w:rsidRPr="00FD4FF3">
              <w:rPr>
                <w:i/>
              </w:rPr>
              <w:t>Дата сообщения:</w:t>
            </w:r>
          </w:p>
        </w:tc>
        <w:tc>
          <w:tcPr>
            <w:tcW w:w="3685" w:type="dxa"/>
            <w:shd w:val="clear" w:color="auto" w:fill="auto"/>
          </w:tcPr>
          <w:p w:rsidR="006E6CDB" w:rsidRPr="00FD4FF3" w:rsidRDefault="006E6CDB" w:rsidP="006E6CDB">
            <w:pPr>
              <w:suppressAutoHyphens/>
              <w:spacing w:before="40" w:after="40"/>
              <w:ind w:left="17"/>
            </w:pPr>
            <w:r w:rsidRPr="00FD4FF3">
              <w:t>12 апреля 2012 года (первоначальное представление)</w:t>
            </w:r>
          </w:p>
        </w:tc>
      </w:tr>
      <w:tr w:rsidR="006E6CDB" w:rsidRPr="00FD4FF3" w:rsidTr="00FE6FCA">
        <w:tc>
          <w:tcPr>
            <w:tcW w:w="3119" w:type="dxa"/>
            <w:shd w:val="clear" w:color="auto" w:fill="auto"/>
          </w:tcPr>
          <w:p w:rsidR="006E6CDB" w:rsidRPr="00FD4FF3" w:rsidRDefault="006E6CDB" w:rsidP="006E6CDB">
            <w:pPr>
              <w:suppressAutoHyphens/>
              <w:spacing w:before="40" w:after="40"/>
              <w:ind w:left="17"/>
              <w:rPr>
                <w:i/>
              </w:rPr>
            </w:pPr>
            <w:r w:rsidRPr="00FD4FF3">
              <w:rPr>
                <w:i/>
              </w:rPr>
              <w:t>Справочная документация:</w:t>
            </w:r>
          </w:p>
        </w:tc>
        <w:tc>
          <w:tcPr>
            <w:tcW w:w="3685" w:type="dxa"/>
            <w:shd w:val="clear" w:color="auto" w:fill="auto"/>
          </w:tcPr>
          <w:p w:rsidR="006E6CDB" w:rsidRPr="00FD4FF3" w:rsidRDefault="006E6CDB" w:rsidP="006E6CDB">
            <w:pPr>
              <w:suppressAutoHyphens/>
              <w:spacing w:before="40" w:after="40"/>
              <w:ind w:left="17"/>
            </w:pPr>
            <w:r w:rsidRPr="00FD4FF3">
              <w:t>решение в соответствии с правилом 70 правил процедуры Комитета, препровожденное государству-участнику 9 августа 2012 года (в виде документа не издавалось)</w:t>
            </w:r>
          </w:p>
        </w:tc>
      </w:tr>
      <w:tr w:rsidR="006E6CDB" w:rsidRPr="00FD4FF3" w:rsidTr="00FE6FCA">
        <w:tc>
          <w:tcPr>
            <w:tcW w:w="3119" w:type="dxa"/>
            <w:shd w:val="clear" w:color="auto" w:fill="auto"/>
          </w:tcPr>
          <w:p w:rsidR="006E6CDB" w:rsidRPr="00FD4FF3" w:rsidRDefault="006E6CDB" w:rsidP="006E6CDB">
            <w:pPr>
              <w:suppressAutoHyphens/>
              <w:spacing w:before="40" w:after="40"/>
              <w:ind w:left="17"/>
              <w:rPr>
                <w:i/>
              </w:rPr>
            </w:pPr>
            <w:r w:rsidRPr="00FD4FF3">
              <w:rPr>
                <w:i/>
              </w:rPr>
              <w:t>Дата принятия Соображений:</w:t>
            </w:r>
          </w:p>
        </w:tc>
        <w:tc>
          <w:tcPr>
            <w:tcW w:w="3685" w:type="dxa"/>
            <w:shd w:val="clear" w:color="auto" w:fill="auto"/>
            <w:vAlign w:val="bottom"/>
          </w:tcPr>
          <w:p w:rsidR="006E6CDB" w:rsidRPr="00FD4FF3" w:rsidRDefault="001E58DE" w:rsidP="006E6CDB">
            <w:pPr>
              <w:suppressAutoHyphens/>
              <w:spacing w:before="40" w:after="40"/>
              <w:ind w:left="17"/>
            </w:pPr>
            <w:r w:rsidRPr="00FD4FF3">
              <w:t>2 сентября 2016 года</w:t>
            </w:r>
          </w:p>
        </w:tc>
      </w:tr>
      <w:tr w:rsidR="006E6CDB" w:rsidRPr="00FD4FF3" w:rsidTr="00FE6FCA">
        <w:tc>
          <w:tcPr>
            <w:tcW w:w="3119" w:type="dxa"/>
            <w:shd w:val="clear" w:color="auto" w:fill="auto"/>
          </w:tcPr>
          <w:p w:rsidR="006E6CDB" w:rsidRPr="00FD4FF3" w:rsidRDefault="006E6CDB" w:rsidP="006E6CDB">
            <w:pPr>
              <w:suppressAutoHyphens/>
              <w:spacing w:before="40" w:after="40"/>
              <w:ind w:left="17"/>
              <w:rPr>
                <w:i/>
              </w:rPr>
            </w:pPr>
            <w:r w:rsidRPr="00FD4FF3">
              <w:rPr>
                <w:i/>
              </w:rPr>
              <w:t>Тема сообщения:</w:t>
            </w:r>
          </w:p>
        </w:tc>
        <w:tc>
          <w:tcPr>
            <w:tcW w:w="3685" w:type="dxa"/>
            <w:shd w:val="clear" w:color="auto" w:fill="auto"/>
          </w:tcPr>
          <w:p w:rsidR="006E6CDB" w:rsidRPr="00FD4FF3" w:rsidRDefault="001E58DE" w:rsidP="006E6CDB">
            <w:pPr>
              <w:suppressAutoHyphens/>
              <w:spacing w:before="40" w:after="40"/>
              <w:ind w:left="17"/>
            </w:pPr>
            <w:r w:rsidRPr="00FD4FF3">
              <w:t>право пользоваться правоспособностью наравне с другими</w:t>
            </w:r>
          </w:p>
        </w:tc>
      </w:tr>
      <w:tr w:rsidR="006E6CDB" w:rsidRPr="00FD4FF3" w:rsidTr="00FE6FCA">
        <w:tc>
          <w:tcPr>
            <w:tcW w:w="3119" w:type="dxa"/>
            <w:shd w:val="clear" w:color="auto" w:fill="auto"/>
          </w:tcPr>
          <w:p w:rsidR="006E6CDB" w:rsidRPr="00FD4FF3" w:rsidRDefault="001E58DE" w:rsidP="006E6CDB">
            <w:pPr>
              <w:suppressAutoHyphens/>
              <w:spacing w:before="40" w:after="40"/>
              <w:ind w:left="17"/>
              <w:rPr>
                <w:i/>
              </w:rPr>
            </w:pPr>
            <w:r w:rsidRPr="00FD4FF3">
              <w:rPr>
                <w:i/>
              </w:rPr>
              <w:t>Процедурные вопросы:</w:t>
            </w:r>
          </w:p>
        </w:tc>
        <w:tc>
          <w:tcPr>
            <w:tcW w:w="3685" w:type="dxa"/>
            <w:shd w:val="clear" w:color="auto" w:fill="auto"/>
          </w:tcPr>
          <w:p w:rsidR="006E6CDB" w:rsidRPr="00FD4FF3" w:rsidRDefault="001E58DE" w:rsidP="006E6CDB">
            <w:pPr>
              <w:suppressAutoHyphens/>
              <w:spacing w:before="40" w:after="40"/>
              <w:ind w:left="17"/>
            </w:pPr>
            <w:r w:rsidRPr="00FD4FF3">
              <w:t xml:space="preserve">приемлемость </w:t>
            </w:r>
            <w:proofErr w:type="spellStart"/>
            <w:r w:rsidRPr="00FD4FF3">
              <w:t>ratione</w:t>
            </w:r>
            <w:proofErr w:type="spellEnd"/>
            <w:r w:rsidRPr="00FD4FF3">
              <w:t xml:space="preserve"> </w:t>
            </w:r>
            <w:proofErr w:type="spellStart"/>
            <w:r w:rsidRPr="00FD4FF3">
              <w:t>temporis</w:t>
            </w:r>
            <w:proofErr w:type="spellEnd"/>
            <w:r w:rsidRPr="00FD4FF3">
              <w:t>, исчерпание внутренних средств правовой защиты, статус жертвы</w:t>
            </w:r>
          </w:p>
        </w:tc>
      </w:tr>
      <w:tr w:rsidR="006E6CDB" w:rsidRPr="00FD4FF3" w:rsidTr="00FE6FCA">
        <w:tc>
          <w:tcPr>
            <w:tcW w:w="3119" w:type="dxa"/>
            <w:shd w:val="clear" w:color="auto" w:fill="auto"/>
          </w:tcPr>
          <w:p w:rsidR="006E6CDB" w:rsidRPr="00FD4FF3" w:rsidRDefault="001E58DE" w:rsidP="002751F2">
            <w:pPr>
              <w:keepNext/>
              <w:suppressAutoHyphens/>
              <w:spacing w:before="40" w:after="40"/>
              <w:ind w:left="17"/>
              <w:rPr>
                <w:i/>
              </w:rPr>
            </w:pPr>
            <w:r w:rsidRPr="00FD4FF3">
              <w:rPr>
                <w:i/>
              </w:rPr>
              <w:lastRenderedPageBreak/>
              <w:t>Вопросы существа:</w:t>
            </w:r>
          </w:p>
        </w:tc>
        <w:tc>
          <w:tcPr>
            <w:tcW w:w="3685" w:type="dxa"/>
            <w:shd w:val="clear" w:color="auto" w:fill="auto"/>
            <w:vAlign w:val="bottom"/>
          </w:tcPr>
          <w:p w:rsidR="006E6CDB" w:rsidRPr="00FD4FF3" w:rsidRDefault="00DD2914" w:rsidP="002751F2">
            <w:pPr>
              <w:keepNext/>
              <w:suppressAutoHyphens/>
              <w:spacing w:before="40" w:after="40"/>
              <w:ind w:left="17"/>
            </w:pPr>
            <w:r w:rsidRPr="00FD4FF3">
              <w:t>доступ к суду, психическая и интеллектуальная недееспособность, реализация правоспособности, лишение свободы, дискриминация по признаку инвалидности, ограничения прав</w:t>
            </w:r>
          </w:p>
        </w:tc>
      </w:tr>
      <w:tr w:rsidR="006E6CDB" w:rsidRPr="00FD4FF3" w:rsidTr="00FE6FCA">
        <w:tc>
          <w:tcPr>
            <w:tcW w:w="3119" w:type="dxa"/>
            <w:shd w:val="clear" w:color="auto" w:fill="auto"/>
          </w:tcPr>
          <w:p w:rsidR="006E6CDB" w:rsidRPr="00FD4FF3" w:rsidRDefault="0050344D" w:rsidP="006E6CDB">
            <w:pPr>
              <w:suppressAutoHyphens/>
              <w:spacing w:before="40" w:after="40"/>
              <w:ind w:left="17"/>
              <w:rPr>
                <w:i/>
              </w:rPr>
            </w:pPr>
            <w:r w:rsidRPr="00FD4FF3">
              <w:rPr>
                <w:i/>
              </w:rPr>
              <w:t>Статьи Конвенции:</w:t>
            </w:r>
          </w:p>
        </w:tc>
        <w:tc>
          <w:tcPr>
            <w:tcW w:w="3685" w:type="dxa"/>
            <w:shd w:val="clear" w:color="auto" w:fill="auto"/>
          </w:tcPr>
          <w:p w:rsidR="006E6CDB" w:rsidRPr="00FD4FF3" w:rsidRDefault="0050344D" w:rsidP="006E6CDB">
            <w:pPr>
              <w:suppressAutoHyphens/>
              <w:spacing w:before="40" w:after="40"/>
              <w:ind w:left="17"/>
            </w:pPr>
            <w:r w:rsidRPr="00FD4FF3">
              <w:t>5, пункт 1; 12; 13; 14, пункт 1 b); 14, пункт 2; и 15</w:t>
            </w:r>
          </w:p>
        </w:tc>
      </w:tr>
      <w:tr w:rsidR="006E6CDB" w:rsidRPr="00FD4FF3" w:rsidTr="00FE6FCA">
        <w:tc>
          <w:tcPr>
            <w:tcW w:w="3119" w:type="dxa"/>
            <w:shd w:val="clear" w:color="auto" w:fill="auto"/>
          </w:tcPr>
          <w:p w:rsidR="006E6CDB" w:rsidRPr="00FD4FF3" w:rsidRDefault="0050344D" w:rsidP="006E6CDB">
            <w:pPr>
              <w:suppressAutoHyphens/>
              <w:spacing w:before="40" w:after="40"/>
              <w:ind w:left="17"/>
              <w:rPr>
                <w:i/>
              </w:rPr>
            </w:pPr>
            <w:r w:rsidRPr="00FD4FF3">
              <w:rPr>
                <w:i/>
              </w:rPr>
              <w:t>Статьи</w:t>
            </w:r>
            <w:r w:rsidR="006E6CDB" w:rsidRPr="00FD4FF3">
              <w:rPr>
                <w:i/>
              </w:rPr>
              <w:t xml:space="preserve"> Факультативного протокола:</w:t>
            </w:r>
          </w:p>
        </w:tc>
        <w:tc>
          <w:tcPr>
            <w:tcW w:w="3685" w:type="dxa"/>
            <w:shd w:val="clear" w:color="auto" w:fill="auto"/>
          </w:tcPr>
          <w:p w:rsidR="006E6CDB" w:rsidRPr="00FD4FF3" w:rsidRDefault="0050344D" w:rsidP="006E6CDB">
            <w:pPr>
              <w:suppressAutoHyphens/>
              <w:spacing w:before="40" w:after="40"/>
              <w:ind w:left="17"/>
            </w:pPr>
            <w:r w:rsidRPr="00FD4FF3">
              <w:t>1 и 2</w:t>
            </w:r>
          </w:p>
        </w:tc>
      </w:tr>
    </w:tbl>
    <w:p w:rsidR="007B31D5" w:rsidRPr="00FD4FF3" w:rsidRDefault="007B31D5" w:rsidP="0050344D">
      <w:pPr>
        <w:pStyle w:val="SingleTxtGR"/>
        <w:spacing w:before="120"/>
      </w:pPr>
      <w:r w:rsidRPr="00FD4FF3">
        <w:t>1.</w:t>
      </w:r>
      <w:r w:rsidRPr="00FD4FF3">
        <w:tab/>
        <w:t xml:space="preserve">Автором сообщения является аборигенный гражданин Австралии Марлон Джеймс </w:t>
      </w:r>
      <w:proofErr w:type="spellStart"/>
      <w:r w:rsidRPr="00FD4FF3">
        <w:t>Нобл</w:t>
      </w:r>
      <w:proofErr w:type="spellEnd"/>
      <w:r w:rsidRPr="00FD4FF3">
        <w:t xml:space="preserve"> 11 февраля 1982 года рождения. Он страдает психической и и</w:t>
      </w:r>
      <w:r w:rsidRPr="00FD4FF3">
        <w:t>н</w:t>
      </w:r>
      <w:r w:rsidRPr="00FD4FF3">
        <w:t>теллектуальной недееспособностью и утверждает, что является жертвой нар</w:t>
      </w:r>
      <w:r w:rsidRPr="00FD4FF3">
        <w:t>у</w:t>
      </w:r>
      <w:r w:rsidRPr="00FD4FF3">
        <w:t xml:space="preserve">шений Австралией его прав по пункту 1 статьи 5, </w:t>
      </w:r>
      <w:r w:rsidR="002751F2">
        <w:t>по статьям 12, 13, по пун</w:t>
      </w:r>
      <w:r w:rsidR="002751F2">
        <w:t>к</w:t>
      </w:r>
      <w:r w:rsidR="002751F2">
        <w:t>там 1 </w:t>
      </w:r>
      <w:r w:rsidRPr="00FD4FF3">
        <w:t>b) и 2 статьи 14 и по статье 15 Конвенции. Факультативный протокол вступил в силу для Австралии 19 сентября 2009 года. Автор представлен адв</w:t>
      </w:r>
      <w:r w:rsidRPr="00FD4FF3">
        <w:t>о</w:t>
      </w:r>
      <w:r w:rsidRPr="00FD4FF3">
        <w:t>катом Филипом Френчем.</w:t>
      </w:r>
    </w:p>
    <w:p w:rsidR="007B31D5" w:rsidRPr="00FD4FF3" w:rsidRDefault="007B31D5" w:rsidP="00A43E57">
      <w:pPr>
        <w:pStyle w:val="H1GR"/>
      </w:pPr>
      <w:r w:rsidRPr="00FD4FF3">
        <w:tab/>
        <w:t>A.</w:t>
      </w:r>
      <w:r w:rsidRPr="00FD4FF3">
        <w:tab/>
        <w:t>Резюме информации и аргументов, представленных сторонами</w:t>
      </w:r>
    </w:p>
    <w:p w:rsidR="007B31D5" w:rsidRPr="00FD4FF3" w:rsidRDefault="007B31D5" w:rsidP="00A43E57">
      <w:pPr>
        <w:pStyle w:val="H23GR"/>
      </w:pPr>
      <w:r w:rsidRPr="00FD4FF3">
        <w:tab/>
      </w:r>
      <w:r w:rsidRPr="00FD4FF3">
        <w:tab/>
        <w:t>Факты в изложении автора</w:t>
      </w:r>
    </w:p>
    <w:p w:rsidR="007B31D5" w:rsidRPr="00FD4FF3" w:rsidRDefault="007B31D5" w:rsidP="007B31D5">
      <w:pPr>
        <w:pStyle w:val="SingleTxtGR"/>
      </w:pPr>
      <w:r w:rsidRPr="00FD4FF3">
        <w:t>2.1</w:t>
      </w:r>
      <w:r w:rsidRPr="00FD4FF3">
        <w:tab/>
        <w:t>В октябре 2001 года, когда автору было 19 лет, ему было предъявлено о</w:t>
      </w:r>
      <w:r w:rsidRPr="00FD4FF3">
        <w:t>б</w:t>
      </w:r>
      <w:r w:rsidRPr="00FD4FF3">
        <w:t xml:space="preserve">винение по двум эпизодам </w:t>
      </w:r>
      <w:r w:rsidR="00FE6FCA" w:rsidRPr="00FD4FF3">
        <w:t>«</w:t>
      </w:r>
      <w:r w:rsidRPr="00FD4FF3">
        <w:t>сексуальных сношений с ребенком в в</w:t>
      </w:r>
      <w:r w:rsidR="002751F2">
        <w:t>озрасте до 13 </w:t>
      </w:r>
      <w:r w:rsidRPr="00FD4FF3">
        <w:t>лет</w:t>
      </w:r>
      <w:r w:rsidR="00FE6FCA" w:rsidRPr="00FD4FF3">
        <w:t>»</w:t>
      </w:r>
      <w:r w:rsidRPr="00FD4FF3">
        <w:t xml:space="preserve"> и по трем эпизодам </w:t>
      </w:r>
      <w:r w:rsidR="00FE6FCA" w:rsidRPr="00FD4FF3">
        <w:t>«</w:t>
      </w:r>
      <w:r w:rsidRPr="00FD4FF3">
        <w:t>непристойного обращения с ребенком в возрасте от 13 до 16 лет</w:t>
      </w:r>
      <w:r w:rsidR="00FE6FCA" w:rsidRPr="00FD4FF3">
        <w:t>»</w:t>
      </w:r>
      <w:r w:rsidRPr="00FD4FF3">
        <w:t>, согласно статьям 320 и 321 Уголовного кодекса Западной А</w:t>
      </w:r>
      <w:r w:rsidRPr="00FD4FF3">
        <w:t>в</w:t>
      </w:r>
      <w:r w:rsidRPr="00FD4FF3">
        <w:t>стралии 1913 года. Эти правонарушения сопряжены с максимальным наказан</w:t>
      </w:r>
      <w:r w:rsidRPr="00FD4FF3">
        <w:t>и</w:t>
      </w:r>
      <w:r w:rsidRPr="00FD4FF3">
        <w:t>ем в виде тюремного заключения сроком соответственно на 20 и 7 лет. Автор был арестован и помещен под стражу в исправительный центр, эксплуатиру</w:t>
      </w:r>
      <w:r w:rsidRPr="00FD4FF3">
        <w:t>е</w:t>
      </w:r>
      <w:r w:rsidRPr="00FD4FF3">
        <w:t>мый Департаментом исправитель</w:t>
      </w:r>
      <w:r w:rsidR="002751F2">
        <w:t>ных служб Западной Австралии, – </w:t>
      </w:r>
      <w:r w:rsidRPr="00FD4FF3">
        <w:t xml:space="preserve">тюрьму </w:t>
      </w:r>
      <w:r w:rsidR="00FE6FCA" w:rsidRPr="00FD4FF3">
        <w:t>«</w:t>
      </w:r>
      <w:proofErr w:type="spellStart"/>
      <w:r w:rsidRPr="00FD4FF3">
        <w:t>Хакеа</w:t>
      </w:r>
      <w:proofErr w:type="spellEnd"/>
      <w:r w:rsidR="00FE6FCA" w:rsidRPr="00FD4FF3">
        <w:t>»</w:t>
      </w:r>
      <w:r w:rsidRPr="00FD4FF3">
        <w:t>, и ему было отказано в освобождении под залог.</w:t>
      </w:r>
    </w:p>
    <w:p w:rsidR="007B31D5" w:rsidRPr="00FD4FF3" w:rsidRDefault="007B31D5" w:rsidP="007B31D5">
      <w:pPr>
        <w:pStyle w:val="SingleTxtGR"/>
      </w:pPr>
      <w:r w:rsidRPr="00FD4FF3">
        <w:t>2.2</w:t>
      </w:r>
      <w:r w:rsidRPr="00FD4FF3">
        <w:tab/>
        <w:t>В начале 2002 года автор предстал перед</w:t>
      </w:r>
      <w:r w:rsidR="002751F2">
        <w:t xml:space="preserve"> судом малых сессий в </w:t>
      </w:r>
      <w:proofErr w:type="spellStart"/>
      <w:r w:rsidR="002751F2">
        <w:t>Перте</w:t>
      </w:r>
      <w:proofErr w:type="spellEnd"/>
      <w:r w:rsidR="002751F2">
        <w:t>. Он </w:t>
      </w:r>
      <w:r w:rsidRPr="00FD4FF3">
        <w:t>был возвращен под стражу для оценки его интеллектуального расстройства. 18 июля 2002 года он предстал перед окружным судом Западной Австралии на основании обвинительного акта по двум статьям. Обвинение представило суду экспертное заключение, в котором указывалось, что автор, возможно, не в с</w:t>
      </w:r>
      <w:r w:rsidRPr="00FD4FF3">
        <w:t>о</w:t>
      </w:r>
      <w:r w:rsidRPr="00FD4FF3">
        <w:t>стоянии отвечать на обвинения. Прокурор расценил это заключение как н</w:t>
      </w:r>
      <w:r w:rsidRPr="00FD4FF3">
        <w:t>е</w:t>
      </w:r>
      <w:r w:rsidRPr="00FD4FF3">
        <w:t>окончательное. Обвинение и защита подали в суд совместное ходатайство о проведении дальнейшего психиатрического освидетельствования автора с</w:t>
      </w:r>
      <w:r w:rsidRPr="00FD4FF3">
        <w:t>о</w:t>
      </w:r>
      <w:r w:rsidRPr="00FD4FF3">
        <w:t>гласно статье 12 Закона 1996 года о душевнобольных обвиняемых. Обвинитель заявил суду, что такое освидетельствование следует проводить по данной ст</w:t>
      </w:r>
      <w:r w:rsidRPr="00FD4FF3">
        <w:t>а</w:t>
      </w:r>
      <w:r w:rsidRPr="00FD4FF3">
        <w:t xml:space="preserve">тье, с тем чтобы его можно было провести без согласия автора. Ходатайство было удовлетворено, и после слушаний автор был возвращен под стражу в тюрьму </w:t>
      </w:r>
      <w:r w:rsidR="00FE6FCA" w:rsidRPr="00FD4FF3">
        <w:t>«</w:t>
      </w:r>
      <w:proofErr w:type="spellStart"/>
      <w:r w:rsidRPr="00FD4FF3">
        <w:t>Хакеа</w:t>
      </w:r>
      <w:proofErr w:type="spellEnd"/>
      <w:r w:rsidR="00FE6FCA" w:rsidRPr="00FD4FF3">
        <w:t>»</w:t>
      </w:r>
      <w:r w:rsidRPr="00FD4FF3">
        <w:t>.</w:t>
      </w:r>
    </w:p>
    <w:p w:rsidR="007B31D5" w:rsidRPr="00FD4FF3" w:rsidRDefault="007B31D5" w:rsidP="007B31D5">
      <w:pPr>
        <w:pStyle w:val="SingleTxtGR"/>
      </w:pPr>
      <w:r w:rsidRPr="00FD4FF3">
        <w:t>2.3</w:t>
      </w:r>
      <w:r w:rsidRPr="00FD4FF3">
        <w:tab/>
        <w:t>В ходе дальнейших слушаний в окр</w:t>
      </w:r>
      <w:r w:rsidR="002751F2">
        <w:t>ужном суде Западной Австралии 2 </w:t>
      </w:r>
      <w:r w:rsidRPr="00FD4FF3">
        <w:t>сентября 2002 года обвинитель известил суд, что автор был освидетельств</w:t>
      </w:r>
      <w:r w:rsidRPr="00FD4FF3">
        <w:t>о</w:t>
      </w:r>
      <w:r w:rsidRPr="00FD4FF3">
        <w:t xml:space="preserve">ван психиатром, но получено лишь предварительное заключение. И поэтому обвинение ходатайствовало об отсрочке, которая и была получена. И автор был опять возвращен под стражу в тюрьму </w:t>
      </w:r>
      <w:r w:rsidR="00FE6FCA" w:rsidRPr="00FD4FF3">
        <w:t>«</w:t>
      </w:r>
      <w:proofErr w:type="spellStart"/>
      <w:r w:rsidRPr="00FD4FF3">
        <w:t>Хакеа</w:t>
      </w:r>
      <w:proofErr w:type="spellEnd"/>
      <w:r w:rsidR="00FE6FCA" w:rsidRPr="00FD4FF3">
        <w:t>»</w:t>
      </w:r>
      <w:r w:rsidRPr="00FD4FF3">
        <w:t xml:space="preserve">. Затем автор предстал перед окружным судом 25 октября 2002 года, когда было принято решение провести 24 января 2003 года слушания на предмет его процессуальной дееспособности. </w:t>
      </w:r>
      <w:r w:rsidRPr="00FD4FF3">
        <w:lastRenderedPageBreak/>
        <w:t>В этот день были представлены заключения трех психиатров: двое из них пр</w:t>
      </w:r>
      <w:r w:rsidRPr="00FD4FF3">
        <w:t>и</w:t>
      </w:r>
      <w:r w:rsidRPr="00FD4FF3">
        <w:t>шли к выводу о процессуальной недееспособности автора, а третий рекоменд</w:t>
      </w:r>
      <w:r w:rsidRPr="00FD4FF3">
        <w:t>о</w:t>
      </w:r>
      <w:r w:rsidRPr="00FD4FF3">
        <w:t>вал дальнейшее освидетельствование. В последнем заключении было отмечено, что автор, похоже, понимает характер обвинений против него и изъявил нам</w:t>
      </w:r>
      <w:r w:rsidRPr="00FD4FF3">
        <w:t>е</w:t>
      </w:r>
      <w:r w:rsidRPr="00FD4FF3">
        <w:t xml:space="preserve">рение заявить о своей невиновности. И хотя и обвинение и защита формально не согласились, что автор страдает процессуальной недееспособностью, обе стороны сообщили суду, что такой вывод все же возможен. И суд отложил свое решение. А между тем автор был возвращен под стражу в тюрьму </w:t>
      </w:r>
      <w:r w:rsidR="00FE6FCA" w:rsidRPr="00FD4FF3">
        <w:t>«</w:t>
      </w:r>
      <w:proofErr w:type="spellStart"/>
      <w:r w:rsidRPr="00FD4FF3">
        <w:t>Хакеа</w:t>
      </w:r>
      <w:proofErr w:type="spellEnd"/>
      <w:r w:rsidR="00FE6FCA" w:rsidRPr="00FD4FF3">
        <w:t>»</w:t>
      </w:r>
      <w:r w:rsidRPr="00FD4FF3">
        <w:t>.</w:t>
      </w:r>
    </w:p>
    <w:p w:rsidR="007B31D5" w:rsidRPr="00FD4FF3" w:rsidRDefault="007B31D5" w:rsidP="007B31D5">
      <w:pPr>
        <w:pStyle w:val="SingleTxtGR"/>
      </w:pPr>
      <w:r w:rsidRPr="00FD4FF3">
        <w:t>2.4</w:t>
      </w:r>
      <w:r w:rsidRPr="00FD4FF3">
        <w:tab/>
        <w:t>Примерно 7 марта 2003 года автор опять предстал перед окружным судом Западной Австралии. Как он утверждает, все судебные протоколы этих слуш</w:t>
      </w:r>
      <w:r w:rsidRPr="00FD4FF3">
        <w:t>а</w:t>
      </w:r>
      <w:r w:rsidRPr="00FD4FF3">
        <w:t>ний были потеряны или уничтожены</w:t>
      </w:r>
      <w:r w:rsidRPr="00F35856">
        <w:rPr>
          <w:sz w:val="18"/>
          <w:vertAlign w:val="superscript"/>
        </w:rPr>
        <w:footnoteReference w:id="3"/>
      </w:r>
      <w:r w:rsidRPr="00FD4FF3">
        <w:t>. Суд признал, что автор страдает проце</w:t>
      </w:r>
      <w:r w:rsidRPr="00FD4FF3">
        <w:t>с</w:t>
      </w:r>
      <w:r w:rsidRPr="00FD4FF3">
        <w:t>суальной недееспособностью, и в отношении него был выдан ордер на арест согласно статьям 16 и 19 Закона 1996 года о душевнобольных обвиняемых. П</w:t>
      </w:r>
      <w:r w:rsidRPr="00FD4FF3">
        <w:t>о</w:t>
      </w:r>
      <w:r w:rsidRPr="00FD4FF3">
        <w:t xml:space="preserve">этому у автора не было возможности заявить о своей невиновности, а суд не вынес заключения о его вине. Ответственность за надзор в связи с ордером на арест автора была возложена на Надзорный совет по делам душевнобольных обвиняемых, который установил, что автор должен содержаться под стражей в </w:t>
      </w:r>
      <w:proofErr w:type="spellStart"/>
      <w:r w:rsidRPr="00FD4FF3">
        <w:t>гринафской</w:t>
      </w:r>
      <w:proofErr w:type="spellEnd"/>
      <w:r w:rsidRPr="00FD4FF3">
        <w:t xml:space="preserve"> окружной тюрьме</w:t>
      </w:r>
      <w:r w:rsidRPr="00F35856">
        <w:rPr>
          <w:sz w:val="18"/>
          <w:vertAlign w:val="superscript"/>
        </w:rPr>
        <w:footnoteReference w:id="4"/>
      </w:r>
      <w:r w:rsidRPr="00FD4FF3">
        <w:t>. И он оставался там с марта 2003 года по 10 я</w:t>
      </w:r>
      <w:r w:rsidRPr="00FD4FF3">
        <w:t>н</w:t>
      </w:r>
      <w:r w:rsidRPr="00FD4FF3">
        <w:t>варя 2012 года, когда он был освобожден на основании постановления об условном освобождении. С учетом 17 месяцев, проведенных им в предвар</w:t>
      </w:r>
      <w:r w:rsidRPr="00FD4FF3">
        <w:t>и</w:t>
      </w:r>
      <w:r w:rsidRPr="00FD4FF3">
        <w:t>тельном заключении, автор находился в заключении вместе с осужденными з</w:t>
      </w:r>
      <w:r w:rsidRPr="00FD4FF3">
        <w:t>а</w:t>
      </w:r>
      <w:r w:rsidRPr="00FD4FF3">
        <w:t>ключенными 10 лет и 3 месяца. Хотя максимальный срок тюремного заключ</w:t>
      </w:r>
      <w:r w:rsidRPr="00FD4FF3">
        <w:t>е</w:t>
      </w:r>
      <w:r w:rsidRPr="00FD4FF3">
        <w:t>ния за правонарушения, в которых он обвинялся изначально, составляет соо</w:t>
      </w:r>
      <w:r w:rsidRPr="00FD4FF3">
        <w:t>т</w:t>
      </w:r>
      <w:r w:rsidRPr="00FD4FF3">
        <w:t>ветственно 20 лет и 7 лет, автор утверждает, что при обычной процедуре он, в</w:t>
      </w:r>
      <w:r w:rsidRPr="00FD4FF3">
        <w:t>е</w:t>
      </w:r>
      <w:r w:rsidRPr="00FD4FF3">
        <w:t>роятно, был бы приговорен к тюремному заключению сроком не свыше двух−трех лет</w:t>
      </w:r>
      <w:r w:rsidRPr="00F35856">
        <w:rPr>
          <w:sz w:val="18"/>
          <w:vertAlign w:val="superscript"/>
        </w:rPr>
        <w:footnoteReference w:id="5"/>
      </w:r>
      <w:r w:rsidRPr="00FD4FF3">
        <w:t>. Вдобавок при расчете срока его тюремного заключения было бы учтено то время, что он провел под стражей до вынесения приговора.</w:t>
      </w:r>
    </w:p>
    <w:p w:rsidR="007B31D5" w:rsidRPr="00FD4FF3" w:rsidRDefault="007B31D5" w:rsidP="007B31D5">
      <w:pPr>
        <w:pStyle w:val="SingleTxtGR"/>
      </w:pPr>
      <w:r w:rsidRPr="00FD4FF3">
        <w:t>2.5</w:t>
      </w:r>
      <w:r w:rsidRPr="00FD4FF3">
        <w:tab/>
        <w:t xml:space="preserve">В 2009 году Надзорный совет разрешил автору ночевки вне тюрьмы при условии полного надзора. 3 сентября 2010 года, когда автор вернулся из одной такой отлучки, тюремные власти потребовали, чтобы он прошел анализ мочи на предмет наркотиков. Первоначальный тест дал положительный результат на </w:t>
      </w:r>
      <w:proofErr w:type="spellStart"/>
      <w:r w:rsidRPr="00FD4FF3">
        <w:t>амфетамин</w:t>
      </w:r>
      <w:proofErr w:type="spellEnd"/>
      <w:r w:rsidRPr="00FD4FF3">
        <w:t>. Однако последующий тест с помощью газового хроматографа и масс-спектрометра подтвердил, что никаких запрещенных веществ не обнар</w:t>
      </w:r>
      <w:r w:rsidRPr="00FD4FF3">
        <w:t>у</w:t>
      </w:r>
      <w:r w:rsidRPr="00FD4FF3">
        <w:t>жено. Несмотря на противоречивые результаты, 7 октября 2010 года автор был обвинен в применении запрещенного вещества, и ему приостановили домашние отлучки. Этот инцидент стал предметом независимого дознания, проведенного по поручению премьер-министра Западной Австралии. В результате домашние отлучки автора были восстановлены, но он не получил ни извинений, ни ко</w:t>
      </w:r>
      <w:r w:rsidRPr="00FD4FF3">
        <w:t>м</w:t>
      </w:r>
      <w:r w:rsidRPr="00FD4FF3">
        <w:t>пенсации</w:t>
      </w:r>
      <w:r w:rsidRPr="00F35856">
        <w:rPr>
          <w:sz w:val="18"/>
          <w:vertAlign w:val="superscript"/>
        </w:rPr>
        <w:footnoteReference w:id="6"/>
      </w:r>
      <w:r w:rsidRPr="00FD4FF3">
        <w:t xml:space="preserve">. </w:t>
      </w:r>
    </w:p>
    <w:p w:rsidR="007B31D5" w:rsidRPr="00FD4FF3" w:rsidRDefault="007B31D5" w:rsidP="007B31D5">
      <w:pPr>
        <w:pStyle w:val="SingleTxtGR"/>
      </w:pPr>
      <w:r w:rsidRPr="00FD4FF3">
        <w:t>2.6</w:t>
      </w:r>
      <w:r w:rsidRPr="00FD4FF3">
        <w:tab/>
        <w:t>20 июня 2010 года судебный эксперт-психолог предпринял дальнейшую оценку интеллектуальной способности автора. Он пришел к выводу, что автор способен предстать перед судом при условии, что будет иметь доступ к соо</w:t>
      </w:r>
      <w:r w:rsidRPr="00FD4FF3">
        <w:t>т</w:t>
      </w:r>
      <w:r w:rsidRPr="00FD4FF3">
        <w:t>ветствующей помощи. И поэтому законный представитель автора попросил окружной суд Западной Австралии принять постановление на тот счет, чтобы признать автора процессуально дееспособными, и дать прокуратуре указание представить в 42-дневный срок либо обвинительный акт, либо постановление о прекращении дела в связи с правонарушениями, в которых автор обвинялся и</w:t>
      </w:r>
      <w:r w:rsidRPr="00FD4FF3">
        <w:t>з</w:t>
      </w:r>
      <w:r w:rsidRPr="00FD4FF3">
        <w:t>начально. 20 сентября 2010 года состоялись слушания. Генеральный прокурор Западной Австралии известил суд, что он не намерен продолжать преследов</w:t>
      </w:r>
      <w:r w:rsidRPr="00FD4FF3">
        <w:t>а</w:t>
      </w:r>
      <w:r w:rsidRPr="00FD4FF3">
        <w:t>ние автора, поскольку: а)</w:t>
      </w:r>
      <w:r w:rsidR="00AF6EE0" w:rsidRPr="00FD4FF3">
        <w:t xml:space="preserve"> </w:t>
      </w:r>
      <w:r w:rsidRPr="00FD4FF3">
        <w:t>существенное время, которое тот уже провел под стражей, намного превосходит любой разумный срок тюремного заключения в случае, если бы он был осужден по всем обвинениям; и b) из-за низкого кач</w:t>
      </w:r>
      <w:r w:rsidRPr="00FD4FF3">
        <w:t>е</w:t>
      </w:r>
      <w:r w:rsidRPr="00FD4FF3">
        <w:t>ства наличных доказательств имеются весьма ограниченные перспективы д</w:t>
      </w:r>
      <w:r w:rsidRPr="00FD4FF3">
        <w:t>о</w:t>
      </w:r>
      <w:r w:rsidRPr="00FD4FF3">
        <w:t>биться осуждения по обвинениям. Законный представитель автора настаивал на своем ходатайстве о постановлении с признанием процессуальной дееспосо</w:t>
      </w:r>
      <w:r w:rsidRPr="00FD4FF3">
        <w:t>б</w:t>
      </w:r>
      <w:r w:rsidRPr="00FD4FF3">
        <w:t>ности своего клиента. 5 ноября 2010 года суд отклонил ходатайство на том о</w:t>
      </w:r>
      <w:r w:rsidRPr="00FD4FF3">
        <w:t>с</w:t>
      </w:r>
      <w:r w:rsidRPr="00FD4FF3">
        <w:t>новании, что он не обладает юрисдикцией. Формальные мотивировки такого решения были опубликованы судом, но они были якобы утеряны или уничтож</w:t>
      </w:r>
      <w:r w:rsidRPr="00FD4FF3">
        <w:t>е</w:t>
      </w:r>
      <w:r w:rsidRPr="00FD4FF3">
        <w:t>ны</w:t>
      </w:r>
      <w:r w:rsidRPr="00F35856">
        <w:rPr>
          <w:sz w:val="18"/>
          <w:vertAlign w:val="superscript"/>
        </w:rPr>
        <w:footnoteReference w:id="7"/>
      </w:r>
      <w:r w:rsidRPr="00FD4FF3">
        <w:t>.</w:t>
      </w:r>
    </w:p>
    <w:p w:rsidR="007B31D5" w:rsidRPr="00FD4FF3" w:rsidRDefault="007B31D5" w:rsidP="007B31D5">
      <w:pPr>
        <w:pStyle w:val="SingleTxtGR"/>
      </w:pPr>
      <w:r w:rsidRPr="00FD4FF3">
        <w:t>2.7</w:t>
      </w:r>
      <w:r w:rsidRPr="00FD4FF3">
        <w:tab/>
        <w:t>22 ноября 2011 года Надзорный совет рекомендовал Генеральному прок</w:t>
      </w:r>
      <w:r w:rsidRPr="00FD4FF3">
        <w:t>у</w:t>
      </w:r>
      <w:r w:rsidRPr="00FD4FF3">
        <w:t>рору Западной Австралии освободить автора условно с его передачей в службу поддержки на предмет адаптации. Губернатор Западной Австралии принял р</w:t>
      </w:r>
      <w:r w:rsidRPr="00FD4FF3">
        <w:t>е</w:t>
      </w:r>
      <w:r w:rsidRPr="00FD4FF3">
        <w:t>комендацию Совета, и 10 января 2012 года автор был выпущен из-под стражи на 10 условиях</w:t>
      </w:r>
      <w:r w:rsidRPr="00F35856">
        <w:rPr>
          <w:sz w:val="18"/>
          <w:vertAlign w:val="superscript"/>
        </w:rPr>
        <w:footnoteReference w:id="8"/>
      </w:r>
      <w:r w:rsidRPr="00FD4FF3">
        <w:t xml:space="preserve">. </w:t>
      </w:r>
    </w:p>
    <w:p w:rsidR="007B31D5" w:rsidRPr="00FD4FF3" w:rsidRDefault="007B31D5" w:rsidP="007B31D5">
      <w:pPr>
        <w:pStyle w:val="SingleTxtGR"/>
      </w:pPr>
      <w:r w:rsidRPr="00FD4FF3">
        <w:t>2.8</w:t>
      </w:r>
      <w:r w:rsidRPr="00FD4FF3">
        <w:tab/>
        <w:t>Автор утверждает, что его сообщение касается фактов, которые продо</w:t>
      </w:r>
      <w:r w:rsidRPr="00FD4FF3">
        <w:t>л</w:t>
      </w:r>
      <w:r w:rsidRPr="00FD4FF3">
        <w:t xml:space="preserve">жались после вступления Факультативного протокола в силу для государства-участника. В частности, он по-прежнему находится под административным арестом; в заключении в </w:t>
      </w:r>
      <w:proofErr w:type="spellStart"/>
      <w:r w:rsidRPr="00FD4FF3">
        <w:t>гринафской</w:t>
      </w:r>
      <w:proofErr w:type="spellEnd"/>
      <w:r w:rsidRPr="00FD4FF3">
        <w:t xml:space="preserve"> окружной тюрьме он находился с 19 се</w:t>
      </w:r>
      <w:r w:rsidRPr="00FD4FF3">
        <w:t>н</w:t>
      </w:r>
      <w:r w:rsidRPr="00FD4FF3">
        <w:t>тября 2009 года по 10 января 2012 года; а с 10 января 2012 года он находится под административным арестом по месту жительства. Он также по-прежнему лишен возможности заявить о своей невиновности и опровергнуть инкримин</w:t>
      </w:r>
      <w:r w:rsidRPr="00FD4FF3">
        <w:t>и</w:t>
      </w:r>
      <w:r w:rsidRPr="00FD4FF3">
        <w:t>рующие его доказательства, и поэтому он все еще считается виновным.</w:t>
      </w:r>
    </w:p>
    <w:p w:rsidR="007B31D5" w:rsidRPr="00FD4FF3" w:rsidRDefault="007B31D5" w:rsidP="007B31D5">
      <w:pPr>
        <w:pStyle w:val="SingleTxtGR"/>
      </w:pPr>
      <w:r w:rsidRPr="00FD4FF3">
        <w:t>2.9</w:t>
      </w:r>
      <w:r w:rsidRPr="00FD4FF3">
        <w:tab/>
        <w:t>Автор утверждает, что он исчерпал все наличные эффективные внутре</w:t>
      </w:r>
      <w:r w:rsidRPr="00FD4FF3">
        <w:t>н</w:t>
      </w:r>
      <w:r w:rsidRPr="00FD4FF3">
        <w:t>ние средства правовой защиты. В марте 2003 года окружной суд Западной А</w:t>
      </w:r>
      <w:r w:rsidRPr="00FD4FF3">
        <w:t>в</w:t>
      </w:r>
      <w:r w:rsidRPr="00FD4FF3">
        <w:t>стралии признал его неспособным отвечать на инкриминирующие его обвин</w:t>
      </w:r>
      <w:r w:rsidRPr="00FD4FF3">
        <w:t>е</w:t>
      </w:r>
      <w:r w:rsidRPr="00FD4FF3">
        <w:t>ния. В августе 2010 года автор подал в суд ходатайство о том, чтобы сделать з</w:t>
      </w:r>
      <w:r w:rsidRPr="00FD4FF3">
        <w:t>а</w:t>
      </w:r>
      <w:r w:rsidRPr="00FD4FF3">
        <w:t>явление о своей невиновности, но суд постановил, что он не имеет юрисдикции для рассмотрения такого ходатайства. В сентябре 2010 года Генеральный пр</w:t>
      </w:r>
      <w:r w:rsidRPr="00FD4FF3">
        <w:t>о</w:t>
      </w:r>
      <w:r w:rsidRPr="00FD4FF3">
        <w:t>курор штата Западная Австралия постановил, что он не будет возбуждать дал</w:t>
      </w:r>
      <w:r w:rsidRPr="00FD4FF3">
        <w:t>ь</w:t>
      </w:r>
      <w:r w:rsidRPr="00FD4FF3">
        <w:t>нейшее преследование в отношении автора, вследствие чего автор не может представить свое дело в каком-то другом суде. Надзорный совет периодически проводил обзоры по делу автора и мог бы рекомендовать, чтобы губернатор штата Западная Австралия освободил его безусловно. Но он не сделал этого, несмотря на доказательства, что автор стал жертвой грубой судебной ошибки. Автор утверждает, что, как определил Высокий суд, австралийское законод</w:t>
      </w:r>
      <w:r w:rsidRPr="00FD4FF3">
        <w:t>а</w:t>
      </w:r>
      <w:r w:rsidRPr="00FD4FF3">
        <w:t>тельство, предусматривающее превентивное задержание по Закону о душевн</w:t>
      </w:r>
      <w:r w:rsidRPr="00FD4FF3">
        <w:t>о</w:t>
      </w:r>
      <w:r w:rsidRPr="00FD4FF3">
        <w:t>больных обвиняемых, носит конституционно действительный характер</w:t>
      </w:r>
      <w:r w:rsidRPr="00F35856">
        <w:rPr>
          <w:sz w:val="18"/>
          <w:vertAlign w:val="superscript"/>
        </w:rPr>
        <w:footnoteReference w:id="9"/>
      </w:r>
      <w:r w:rsidRPr="00FD4FF3">
        <w:t>. И иск о том, что данный Закон носит конституционно недействительный характер, не имеет шансов на успех в национальных судебных инстанциях.</w:t>
      </w:r>
    </w:p>
    <w:p w:rsidR="007B31D5" w:rsidRPr="00FD4FF3" w:rsidRDefault="007B31D5" w:rsidP="00A43E57">
      <w:pPr>
        <w:pStyle w:val="H23GR"/>
      </w:pPr>
      <w:r w:rsidRPr="00FD4FF3">
        <w:tab/>
      </w:r>
      <w:r w:rsidRPr="00FD4FF3">
        <w:tab/>
        <w:t>Жалоба</w:t>
      </w:r>
    </w:p>
    <w:p w:rsidR="007B31D5" w:rsidRPr="00FD4FF3" w:rsidRDefault="007B31D5" w:rsidP="007B31D5">
      <w:pPr>
        <w:pStyle w:val="SingleTxtGR"/>
      </w:pPr>
      <w:r w:rsidRPr="00FD4FF3">
        <w:t>3.1</w:t>
      </w:r>
      <w:r w:rsidRPr="00FD4FF3">
        <w:tab/>
        <w:t>Автор утверждает, что государство-участник нарушило его права по пункту 1 статьи 5, по статьям 12, 13, по пунктам</w:t>
      </w:r>
      <w:r w:rsidR="001D47BE">
        <w:t xml:space="preserve"> 1 b) и 2 статьи 14 и по ст</w:t>
      </w:r>
      <w:r w:rsidR="001D47BE">
        <w:t>а</w:t>
      </w:r>
      <w:r w:rsidR="001D47BE">
        <w:t>тье </w:t>
      </w:r>
      <w:r w:rsidRPr="00FD4FF3">
        <w:t>15 Конвенции.</w:t>
      </w:r>
    </w:p>
    <w:p w:rsidR="007B31D5" w:rsidRPr="00FD4FF3" w:rsidRDefault="007B31D5" w:rsidP="007B31D5">
      <w:pPr>
        <w:pStyle w:val="SingleTxtGR"/>
      </w:pPr>
      <w:r w:rsidRPr="00FD4FF3">
        <w:t>3.2</w:t>
      </w:r>
      <w:r w:rsidRPr="00FD4FF3">
        <w:tab/>
        <w:t>Автор утверждает, что Закон о душевнобольных обвиняемых представл</w:t>
      </w:r>
      <w:r w:rsidRPr="00FD4FF3">
        <w:t>я</w:t>
      </w:r>
      <w:r w:rsidRPr="00FD4FF3">
        <w:t>ет собой дискриминационный – по признаку статуса – закон в нарушение пун</w:t>
      </w:r>
      <w:r w:rsidRPr="00FD4FF3">
        <w:t>к</w:t>
      </w:r>
      <w:r w:rsidRPr="00FD4FF3">
        <w:t>та 1 статьи 5 Конвенции. Как он полагает, коль скоро то или иное лицо призн</w:t>
      </w:r>
      <w:r w:rsidRPr="00FD4FF3">
        <w:t>а</w:t>
      </w:r>
      <w:r w:rsidRPr="00FD4FF3">
        <w:t>ется процессуально недееспособным и если председательствующий судья уд</w:t>
      </w:r>
      <w:r w:rsidRPr="00FD4FF3">
        <w:t>о</w:t>
      </w:r>
      <w:r w:rsidRPr="00FD4FF3">
        <w:t>стоверится, что обвиняемый не станет психически способным предстать перед судом в течение шести месяцев после такого вывода, судья должен распор</w:t>
      </w:r>
      <w:r w:rsidRPr="00FD4FF3">
        <w:t>я</w:t>
      </w:r>
      <w:r w:rsidRPr="00FD4FF3">
        <w:t>диться либо об отмене обвинительного акта, либо об отклонении обвинения, не принимая решения о виновности обвиняемого. Затем судья имеет возможность освободить обвиняемого или, как в случае автора, выдать ордер на его или ее арест. Решение же выдать ордер на арест принимается с учетом следующих факторов: a) вескость доказательств против обвиняемого; b) природа предпол</w:t>
      </w:r>
      <w:r w:rsidRPr="00FD4FF3">
        <w:t>а</w:t>
      </w:r>
      <w:r w:rsidRPr="00FD4FF3">
        <w:t>гаемого правонарушения и предположительных обстоятельств его совершения; c) характер, происхождение, возраст, медико-санитарное и психическое состо</w:t>
      </w:r>
      <w:r w:rsidRPr="00FD4FF3">
        <w:t>я</w:t>
      </w:r>
      <w:r w:rsidRPr="00FD4FF3">
        <w:t>ние обвиняемого; и d) публичный интерес</w:t>
      </w:r>
      <w:r w:rsidRPr="00F35856">
        <w:rPr>
          <w:sz w:val="18"/>
          <w:vertAlign w:val="superscript"/>
        </w:rPr>
        <w:footnoteReference w:id="10"/>
      </w:r>
      <w:r w:rsidRPr="00FD4FF3">
        <w:t>. Срок действия ордера на арест не сопряжен с какими-то ограничениями</w:t>
      </w:r>
      <w:r w:rsidRPr="00F35856">
        <w:rPr>
          <w:sz w:val="18"/>
          <w:vertAlign w:val="superscript"/>
        </w:rPr>
        <w:footnoteReference w:id="11"/>
      </w:r>
      <w:r w:rsidRPr="00FD4FF3">
        <w:t>, и как только обвиняемый признан пр</w:t>
      </w:r>
      <w:r w:rsidRPr="00FD4FF3">
        <w:t>о</w:t>
      </w:r>
      <w:r w:rsidRPr="00FD4FF3">
        <w:t>цессуально недееспособным, у него нет возможности реализовывать свою пр</w:t>
      </w:r>
      <w:r w:rsidRPr="00FD4FF3">
        <w:t>а</w:t>
      </w:r>
      <w:r w:rsidRPr="00FD4FF3">
        <w:t>воспособность в судах. И поэтому он не может заявить о своей невиновности и оспорить инкриминирующие его доказательства. Лица же, не имеющие когн</w:t>
      </w:r>
      <w:r w:rsidRPr="00FD4FF3">
        <w:t>и</w:t>
      </w:r>
      <w:r w:rsidRPr="00FD4FF3">
        <w:t>тивных расстройств, защищены от такого обращения.</w:t>
      </w:r>
    </w:p>
    <w:p w:rsidR="007B31D5" w:rsidRPr="00FD4FF3" w:rsidRDefault="007B31D5" w:rsidP="007B31D5">
      <w:pPr>
        <w:pStyle w:val="SingleTxtGR"/>
      </w:pPr>
      <w:r w:rsidRPr="00FD4FF3">
        <w:t>3.3</w:t>
      </w:r>
      <w:r w:rsidRPr="00FD4FF3">
        <w:tab/>
        <w:t xml:space="preserve">Автор утверждает, что его по-прежнему считают </w:t>
      </w:r>
      <w:r w:rsidR="00FE6FCA" w:rsidRPr="00FD4FF3">
        <w:t>«</w:t>
      </w:r>
      <w:r w:rsidRPr="00FD4FF3">
        <w:t>процессуально неде</w:t>
      </w:r>
      <w:r w:rsidRPr="00FD4FF3">
        <w:t>е</w:t>
      </w:r>
      <w:r w:rsidRPr="00FD4FF3">
        <w:t>способным</w:t>
      </w:r>
      <w:r w:rsidR="00FE6FCA" w:rsidRPr="00FD4FF3">
        <w:t>»</w:t>
      </w:r>
      <w:r w:rsidRPr="00FD4FF3">
        <w:t xml:space="preserve"> в нарушение его права пользоваться правоспособностью наравне с другими. Он также утверждает, что </w:t>
      </w:r>
      <w:r w:rsidR="00673F4C" w:rsidRPr="00FD4FF3">
        <w:t xml:space="preserve">в нарушение пункта 3 статьи 12 и пункта 1 статьи 13 Конвенции </w:t>
      </w:r>
      <w:r w:rsidRPr="00FD4FF3">
        <w:t>он по-прежнему лишен разумной адаптации, которая тр</w:t>
      </w:r>
      <w:r w:rsidRPr="00FD4FF3">
        <w:t>е</w:t>
      </w:r>
      <w:r w:rsidRPr="00FD4FF3">
        <w:t>буется ему для того, чтобы реализовать свою правоспособность, эффективно сделать заявление о своей невиновности и оспорить инкри</w:t>
      </w:r>
      <w:r w:rsidR="00673F4C">
        <w:t>минирующие его д</w:t>
      </w:r>
      <w:r w:rsidR="00673F4C">
        <w:t>о</w:t>
      </w:r>
      <w:r w:rsidR="00673F4C">
        <w:t>казательства</w:t>
      </w:r>
      <w:r w:rsidRPr="00FD4FF3">
        <w:t xml:space="preserve">. </w:t>
      </w:r>
    </w:p>
    <w:p w:rsidR="007B31D5" w:rsidRPr="00FD4FF3" w:rsidRDefault="007B31D5" w:rsidP="007B31D5">
      <w:pPr>
        <w:pStyle w:val="SingleTxtGR"/>
      </w:pPr>
      <w:r w:rsidRPr="00FD4FF3">
        <w:t>3.4</w:t>
      </w:r>
      <w:r w:rsidRPr="00FD4FF3">
        <w:tab/>
        <w:t>Как он далее утверждает, он был лишен свободы согласно Закону о д</w:t>
      </w:r>
      <w:r w:rsidRPr="00FD4FF3">
        <w:t>у</w:t>
      </w:r>
      <w:r w:rsidRPr="00FD4FF3">
        <w:t>шевнобольных обвиняемых, тогда как ввиду состояния доказательств по его д</w:t>
      </w:r>
      <w:r w:rsidRPr="00FD4FF3">
        <w:t>е</w:t>
      </w:r>
      <w:r w:rsidRPr="00FD4FF3">
        <w:t>лу маловероятно, чтобы он был осужден за правонарушения, в которых его о</w:t>
      </w:r>
      <w:r w:rsidRPr="00FD4FF3">
        <w:t>б</w:t>
      </w:r>
      <w:r w:rsidRPr="00FD4FF3">
        <w:t>виняли. Да если бы он и был осужден, он был бы, вероятно, в течение трех лет выпущен из тюрьмы. А вот он больше 10 лет содержался в тюрьме вместе с осужденными преступниками, а в настоящее время еще и подвергается весьма ограничительному административному аресту по месту жительства. Как закл</w:t>
      </w:r>
      <w:r w:rsidRPr="00FD4FF3">
        <w:t>ю</w:t>
      </w:r>
      <w:r w:rsidRPr="00FD4FF3">
        <w:t>чает автор, он был лишен свободы по причине своей инвалидности, и эта сит</w:t>
      </w:r>
      <w:r w:rsidRPr="00FD4FF3">
        <w:t>у</w:t>
      </w:r>
      <w:r w:rsidRPr="00FD4FF3">
        <w:t>ация равносильна нарушению пункта 1 b) статьи 14 Конвенции.</w:t>
      </w:r>
    </w:p>
    <w:p w:rsidR="007B31D5" w:rsidRPr="00FD4FF3" w:rsidRDefault="007B31D5" w:rsidP="007B31D5">
      <w:pPr>
        <w:pStyle w:val="SingleTxtGR"/>
      </w:pPr>
      <w:r w:rsidRPr="00FD4FF3">
        <w:t>3.5</w:t>
      </w:r>
      <w:r w:rsidRPr="00FD4FF3">
        <w:tab/>
        <w:t xml:space="preserve">Автор полагает, что в нарушение пункта 2 статьи 14 Конвенции он по-прежнему лишен свободы, хотя и не был осужден за какое-то преступление. </w:t>
      </w:r>
    </w:p>
    <w:p w:rsidR="007B31D5" w:rsidRPr="00FD4FF3" w:rsidRDefault="007B31D5" w:rsidP="007B31D5">
      <w:pPr>
        <w:pStyle w:val="SingleTxtGR"/>
      </w:pPr>
      <w:r w:rsidRPr="00FD4FF3">
        <w:t>3.6</w:t>
      </w:r>
      <w:r w:rsidRPr="00FD4FF3">
        <w:tab/>
        <w:t>Как он утверждает, находясь в тюрьме, он подвергался серьезному риску вреда со стороны других заключенных, а сейчас он по-прежнему поставлен в условия, которые налагают неоправданные ограничения на его свободу, в нар</w:t>
      </w:r>
      <w:r w:rsidRPr="00FD4FF3">
        <w:t>у</w:t>
      </w:r>
      <w:r w:rsidRPr="00FD4FF3">
        <w:t>шение его прав по пункту 2 статьи 14 и по статье 15 Конвенции.</w:t>
      </w:r>
    </w:p>
    <w:p w:rsidR="007B31D5" w:rsidRPr="00FD4FF3" w:rsidRDefault="007B31D5" w:rsidP="00A43E57">
      <w:pPr>
        <w:pStyle w:val="H23GR"/>
      </w:pPr>
      <w:r w:rsidRPr="00FD4FF3">
        <w:tab/>
      </w:r>
      <w:r w:rsidRPr="00FD4FF3">
        <w:tab/>
        <w:t xml:space="preserve">Замечания государства-участника относительно приемлемости и существа сообщения </w:t>
      </w:r>
    </w:p>
    <w:p w:rsidR="007B31D5" w:rsidRPr="00FD4FF3" w:rsidRDefault="007B31D5" w:rsidP="007B31D5">
      <w:pPr>
        <w:pStyle w:val="SingleTxtGR"/>
      </w:pPr>
      <w:r w:rsidRPr="00FD4FF3">
        <w:t>4.1</w:t>
      </w:r>
      <w:r w:rsidRPr="00FD4FF3">
        <w:tab/>
        <w:t>4 апреля 2014 года государство-участник представило свои замечания о</w:t>
      </w:r>
      <w:r w:rsidRPr="00FD4FF3">
        <w:t>т</w:t>
      </w:r>
      <w:r w:rsidRPr="00FD4FF3">
        <w:t>носительно приемлемости и существа сообщени</w:t>
      </w:r>
      <w:r w:rsidR="00B7656C">
        <w:t>я. Оно считает, что по ст</w:t>
      </w:r>
      <w:r w:rsidR="00B7656C">
        <w:t>а</w:t>
      </w:r>
      <w:r w:rsidR="00B7656C">
        <w:t>тье 2 </w:t>
      </w:r>
      <w:r w:rsidRPr="00FD4FF3">
        <w:t>f) Факультативного протокола временной мандат Комитета применим только к событиям, которые произошли на или после 19 сентября 2009 года, к</w:t>
      </w:r>
      <w:r w:rsidRPr="00FD4FF3">
        <w:t>о</w:t>
      </w:r>
      <w:r w:rsidRPr="00FD4FF3">
        <w:t>гда Факультативный протокол вступил в силу для Австралии</w:t>
      </w:r>
      <w:r w:rsidRPr="00F35856">
        <w:rPr>
          <w:sz w:val="18"/>
          <w:vertAlign w:val="superscript"/>
        </w:rPr>
        <w:footnoteReference w:id="12"/>
      </w:r>
      <w:r w:rsidRPr="00FD4FF3">
        <w:t>. И поэтому оно считает, что события, которые произошли до 19 сентября 2009 года, цитирую</w:t>
      </w:r>
      <w:r w:rsidRPr="00FD4FF3">
        <w:t>т</w:t>
      </w:r>
      <w:r w:rsidRPr="00FD4FF3">
        <w:t>ся только в порядке справочной информации.</w:t>
      </w:r>
    </w:p>
    <w:p w:rsidR="007B31D5" w:rsidRPr="00FD4FF3" w:rsidRDefault="007B31D5" w:rsidP="007B31D5">
      <w:pPr>
        <w:pStyle w:val="SingleTxtGR"/>
      </w:pPr>
      <w:r w:rsidRPr="00FD4FF3">
        <w:t>4.2</w:t>
      </w:r>
      <w:r w:rsidRPr="00FD4FF3">
        <w:tab/>
        <w:t>Государство-участник признает факты в изложении автора. Тем не менее оно сообщает, что копии стенограмм заседаний 2003 года сохраняются в Депа</w:t>
      </w:r>
      <w:r w:rsidRPr="00FD4FF3">
        <w:t>р</w:t>
      </w:r>
      <w:r w:rsidRPr="00FD4FF3">
        <w:t>таменте исправительных служб Западной Австралии</w:t>
      </w:r>
      <w:r w:rsidRPr="00F35856">
        <w:rPr>
          <w:sz w:val="18"/>
          <w:vertAlign w:val="superscript"/>
        </w:rPr>
        <w:footnoteReference w:id="13"/>
      </w:r>
      <w:r w:rsidRPr="00FD4FF3">
        <w:t xml:space="preserve">. </w:t>
      </w:r>
    </w:p>
    <w:p w:rsidR="007B31D5" w:rsidRPr="00FD4FF3" w:rsidRDefault="007B31D5" w:rsidP="007B31D5">
      <w:pPr>
        <w:pStyle w:val="SingleTxtGR"/>
      </w:pPr>
      <w:r w:rsidRPr="00FD4FF3">
        <w:t>4.3</w:t>
      </w:r>
      <w:r w:rsidRPr="00FD4FF3">
        <w:tab/>
        <w:t>Государство-участник сообщает, что 7 марта 2003 го</w:t>
      </w:r>
      <w:r w:rsidR="00B7656C">
        <w:t>да, согласно статье </w:t>
      </w:r>
      <w:r w:rsidRPr="00FD4FF3">
        <w:t>9 Закона о душевнобольных обвиняемых, окружным судом Западной Австралии автор был признан недееспособным участвовать</w:t>
      </w:r>
      <w:r w:rsidR="00B7656C">
        <w:t xml:space="preserve"> в судебном разбирательстве. 11 </w:t>
      </w:r>
      <w:r w:rsidRPr="00FD4FF3">
        <w:t>марта 2003 года суд решил выдать ордер на арест по статье 19 этого Закона, в результате чего автор был переведен в тюрьму под контролем Надзорного с</w:t>
      </w:r>
      <w:r w:rsidRPr="00FD4FF3">
        <w:t>о</w:t>
      </w:r>
      <w:r w:rsidRPr="00FD4FF3">
        <w:t xml:space="preserve">вета. Каких-то официальных письменные мотивировок этих решений не было опубликовано, но, как показывают стенограммы, никакое решение не было принято необдуманно. Как заявил судья, автор отвечал </w:t>
      </w:r>
      <w:r w:rsidR="00FE6FCA" w:rsidRPr="00FD4FF3">
        <w:t>«</w:t>
      </w:r>
      <w:r w:rsidRPr="00FD4FF3">
        <w:t>практически всем кр</w:t>
      </w:r>
      <w:r w:rsidRPr="00FD4FF3">
        <w:t>и</w:t>
      </w:r>
      <w:r w:rsidRPr="00FD4FF3">
        <w:t>териям</w:t>
      </w:r>
      <w:r w:rsidR="00FE6FCA" w:rsidRPr="00FD4FF3">
        <w:t>»</w:t>
      </w:r>
      <w:r w:rsidRPr="00FD4FF3">
        <w:t xml:space="preserve"> статьи 9 Закона о душевнобольных обвиняемых, а именно он был не в состоянии понять: а) характер обвинения; b) требование ответить на обвинение и последствия такого ответа; с) цель судебного разбирательства; и d) право о</w:t>
      </w:r>
      <w:r w:rsidRPr="00FD4FF3">
        <w:t>т</w:t>
      </w:r>
      <w:r w:rsidRPr="00FD4FF3">
        <w:t>вода присяжных. Он также неспособен следить за ходом судебного разбир</w:t>
      </w:r>
      <w:r w:rsidRPr="00FD4FF3">
        <w:t>а</w:t>
      </w:r>
      <w:r w:rsidRPr="00FD4FF3">
        <w:t>тельства и понимать существенный эффект доказательств, представляемых о</w:t>
      </w:r>
      <w:r w:rsidRPr="00FD4FF3">
        <w:t>б</w:t>
      </w:r>
      <w:r w:rsidRPr="00FD4FF3">
        <w:t>винением в судебном разбирательстве, или должным образом оспаривать обв</w:t>
      </w:r>
      <w:r w:rsidRPr="00FD4FF3">
        <w:t>и</w:t>
      </w:r>
      <w:r w:rsidRPr="00FD4FF3">
        <w:t xml:space="preserve">нение. </w:t>
      </w:r>
      <w:bookmarkStart w:id="2" w:name="_Ref349294843"/>
      <w:bookmarkEnd w:id="2"/>
    </w:p>
    <w:p w:rsidR="007B31D5" w:rsidRPr="00FD4FF3" w:rsidRDefault="007B31D5" w:rsidP="007B31D5">
      <w:pPr>
        <w:pStyle w:val="SingleTxtGR"/>
      </w:pPr>
      <w:r w:rsidRPr="00FD4FF3">
        <w:t>4.4</w:t>
      </w:r>
      <w:r w:rsidRPr="00FD4FF3">
        <w:tab/>
        <w:t>Придя к такому выводу, суд должен был аннулировать обвинительный акт и определить, следует ли выдать ордер на арест. Окружной суд заслушал д</w:t>
      </w:r>
      <w:r w:rsidRPr="00FD4FF3">
        <w:t>е</w:t>
      </w:r>
      <w:r w:rsidRPr="00FD4FF3">
        <w:t>тальные аргументы государственного обвинения и законного представителя а</w:t>
      </w:r>
      <w:r w:rsidRPr="00FD4FF3">
        <w:t>в</w:t>
      </w:r>
      <w:r w:rsidRPr="00FD4FF3">
        <w:t>тора. Судья отметил определенные разночтения в показаниях сторон и других свидетелей. Тем не менее он пришел к выводу, что такие нестыковки не явл</w:t>
      </w:r>
      <w:r w:rsidRPr="00FD4FF3">
        <w:t>я</w:t>
      </w:r>
      <w:r w:rsidRPr="00FD4FF3">
        <w:t xml:space="preserve">ются чем-то необычным в делах о сексуальном надругательстве над детьми и доказательства вскрывают случай </w:t>
      </w:r>
      <w:proofErr w:type="spellStart"/>
      <w:r w:rsidRPr="00FD4FF3">
        <w:t>prima</w:t>
      </w:r>
      <w:proofErr w:type="spellEnd"/>
      <w:r w:rsidRPr="00FD4FF3">
        <w:t xml:space="preserve"> </w:t>
      </w:r>
      <w:proofErr w:type="spellStart"/>
      <w:r w:rsidRPr="00FD4FF3">
        <w:t>facie</w:t>
      </w:r>
      <w:proofErr w:type="spellEnd"/>
      <w:r w:rsidRPr="00F35856">
        <w:rPr>
          <w:sz w:val="18"/>
          <w:vertAlign w:val="superscript"/>
        </w:rPr>
        <w:footnoteReference w:id="14"/>
      </w:r>
      <w:r w:rsidRPr="00FD4FF3">
        <w:t>. Судья отметил, что все предп</w:t>
      </w:r>
      <w:r w:rsidRPr="00FD4FF3">
        <w:t>о</w:t>
      </w:r>
      <w:r w:rsidRPr="00FD4FF3">
        <w:t>лагаемые правонарушения связаны с детьми младшего возраста и носят серье</w:t>
      </w:r>
      <w:r w:rsidRPr="00FD4FF3">
        <w:t>з</w:t>
      </w:r>
      <w:r w:rsidRPr="00FD4FF3">
        <w:t>ный характер. Он расценил случай автора как предмет озабоченности с учетом показаний экспертов-психиатров, которые отражают тот факт, что автор несп</w:t>
      </w:r>
      <w:r w:rsidRPr="00FD4FF3">
        <w:t>о</w:t>
      </w:r>
      <w:r w:rsidRPr="00FD4FF3">
        <w:t>собен контролировать свои импульсы</w:t>
      </w:r>
      <w:r w:rsidRPr="00F35856">
        <w:rPr>
          <w:sz w:val="18"/>
          <w:vertAlign w:val="superscript"/>
        </w:rPr>
        <w:footnoteReference w:id="15"/>
      </w:r>
      <w:r w:rsidRPr="00FD4FF3">
        <w:t>. Судья отметил, что автор уже имеет н</w:t>
      </w:r>
      <w:r w:rsidRPr="00FD4FF3">
        <w:t>е</w:t>
      </w:r>
      <w:r w:rsidRPr="00FD4FF3">
        <w:t>однократную судимость за правонарушения, которые постепенно приобретали более тяжкий характер</w:t>
      </w:r>
      <w:r w:rsidRPr="00F35856">
        <w:rPr>
          <w:sz w:val="18"/>
          <w:vertAlign w:val="superscript"/>
        </w:rPr>
        <w:footnoteReference w:id="16"/>
      </w:r>
      <w:r w:rsidRPr="00FD4FF3">
        <w:t xml:space="preserve">. Он квалифицировал жизнь автора в его родном городе как </w:t>
      </w:r>
      <w:r w:rsidR="00FE6FCA" w:rsidRPr="00FD4FF3">
        <w:t>«</w:t>
      </w:r>
      <w:r w:rsidRPr="00FD4FF3">
        <w:t>суматошную</w:t>
      </w:r>
      <w:r w:rsidR="00FE6FCA" w:rsidRPr="00FD4FF3">
        <w:t>»</w:t>
      </w:r>
      <w:r w:rsidRPr="00FD4FF3">
        <w:t xml:space="preserve"> и подчеркнул, что прежние попытки правительственных учреждений обеспечить автору наставления и попечение обернулись неудачей</w:t>
      </w:r>
      <w:r w:rsidRPr="00F35856">
        <w:rPr>
          <w:sz w:val="18"/>
          <w:vertAlign w:val="superscript"/>
        </w:rPr>
        <w:footnoteReference w:id="17"/>
      </w:r>
      <w:r w:rsidRPr="00FD4FF3">
        <w:t>.</w:t>
      </w:r>
    </w:p>
    <w:p w:rsidR="007B31D5" w:rsidRPr="00FD4FF3" w:rsidRDefault="007B31D5" w:rsidP="007B31D5">
      <w:pPr>
        <w:pStyle w:val="SingleTxtGR"/>
      </w:pPr>
      <w:r w:rsidRPr="00FD4FF3">
        <w:t>4.5</w:t>
      </w:r>
      <w:r w:rsidRPr="00FD4FF3">
        <w:tab/>
        <w:t>В этом контексте судья признал, что оценка публичного интереса являе</w:t>
      </w:r>
      <w:r w:rsidRPr="00FD4FF3">
        <w:t>т</w:t>
      </w:r>
      <w:r w:rsidRPr="00FD4FF3">
        <w:t xml:space="preserve">ся трудной задачей, тем более в отсутствие </w:t>
      </w:r>
      <w:r w:rsidR="00FE6FCA" w:rsidRPr="00FD4FF3">
        <w:t>«</w:t>
      </w:r>
      <w:r w:rsidRPr="00FD4FF3">
        <w:t>заявленных учреждений</w:t>
      </w:r>
      <w:r w:rsidR="00FE6FCA" w:rsidRPr="00FD4FF3">
        <w:t>»</w:t>
      </w:r>
      <w:r w:rsidRPr="00F35856">
        <w:rPr>
          <w:sz w:val="18"/>
          <w:vertAlign w:val="superscript"/>
        </w:rPr>
        <w:footnoteReference w:id="18"/>
      </w:r>
      <w:r w:rsidRPr="00FD4FF3">
        <w:t xml:space="preserve"> по З</w:t>
      </w:r>
      <w:r w:rsidRPr="00FD4FF3">
        <w:t>а</w:t>
      </w:r>
      <w:r w:rsidRPr="00FD4FF3">
        <w:t>кону о душевнобольных обвиняемых, и единственные варианты состоят в том, чтобы либо освободить автора, либо отправить его в тюрьму. Судья счел, что публичный интерес должен определяться тяжестью предполагаемых правон</w:t>
      </w:r>
      <w:r w:rsidRPr="00FD4FF3">
        <w:t>а</w:t>
      </w:r>
      <w:r w:rsidRPr="00FD4FF3">
        <w:t>рушений и степенью риска повторения такого рода предположительного пов</w:t>
      </w:r>
      <w:r w:rsidRPr="00FD4FF3">
        <w:t>е</w:t>
      </w:r>
      <w:r w:rsidRPr="00FD4FF3">
        <w:t>дения</w:t>
      </w:r>
      <w:r w:rsidRPr="00F35856">
        <w:rPr>
          <w:sz w:val="18"/>
          <w:vertAlign w:val="superscript"/>
        </w:rPr>
        <w:footnoteReference w:id="19"/>
      </w:r>
      <w:r w:rsidRPr="00FD4FF3">
        <w:t xml:space="preserve">. Судья пришел к выводу, что, несмотря на его </w:t>
      </w:r>
      <w:r w:rsidR="00FE6FCA" w:rsidRPr="00FD4FF3">
        <w:t>«</w:t>
      </w:r>
      <w:r w:rsidRPr="00FD4FF3">
        <w:t>глубокую озабоче</w:t>
      </w:r>
      <w:r w:rsidRPr="00FD4FF3">
        <w:t>н</w:t>
      </w:r>
      <w:r w:rsidRPr="00FD4FF3">
        <w:t>ность</w:t>
      </w:r>
      <w:r w:rsidR="00FE6FCA" w:rsidRPr="00FD4FF3">
        <w:t>»</w:t>
      </w:r>
      <w:r w:rsidRPr="00FD4FF3">
        <w:t xml:space="preserve"> в связи с тем, что тюрьма не является подходящей средой для автора, на первое место надо ставить публичный интерес</w:t>
      </w:r>
      <w:r w:rsidRPr="00F35856">
        <w:rPr>
          <w:sz w:val="18"/>
          <w:vertAlign w:val="superscript"/>
        </w:rPr>
        <w:footnoteReference w:id="20"/>
      </w:r>
      <w:r w:rsidRPr="00FD4FF3">
        <w:t>. И он выдал ордер на арест, п</w:t>
      </w:r>
      <w:r w:rsidRPr="00FD4FF3">
        <w:t>о</w:t>
      </w:r>
      <w:r w:rsidRPr="00FD4FF3">
        <w:t>сле чего был аннулирован обвинительный акт, а значит, и были отклонены о</w:t>
      </w:r>
      <w:r w:rsidRPr="00FD4FF3">
        <w:t>б</w:t>
      </w:r>
      <w:r w:rsidRPr="00FD4FF3">
        <w:t xml:space="preserve">винения против автора. </w:t>
      </w:r>
    </w:p>
    <w:p w:rsidR="007B31D5" w:rsidRPr="00FD4FF3" w:rsidRDefault="007B31D5" w:rsidP="007B31D5">
      <w:pPr>
        <w:pStyle w:val="SingleTxtGR"/>
      </w:pPr>
      <w:r w:rsidRPr="00FD4FF3">
        <w:t>4.6</w:t>
      </w:r>
      <w:r w:rsidRPr="00FD4FF3">
        <w:tab/>
        <w:t xml:space="preserve">Первоначально 18 февраля 2003 года автор был помещен под стражу в тюрьму </w:t>
      </w:r>
      <w:r w:rsidR="00FE6FCA" w:rsidRPr="00FD4FF3">
        <w:t>«</w:t>
      </w:r>
      <w:proofErr w:type="spellStart"/>
      <w:r w:rsidRPr="00FD4FF3">
        <w:t>Хакеа</w:t>
      </w:r>
      <w:proofErr w:type="spellEnd"/>
      <w:r w:rsidR="00FE6FCA" w:rsidRPr="00FD4FF3">
        <w:t>»</w:t>
      </w:r>
      <w:r w:rsidRPr="00FD4FF3">
        <w:t xml:space="preserve">. 26 мая 2003 года он был переведён в </w:t>
      </w:r>
      <w:proofErr w:type="spellStart"/>
      <w:r w:rsidRPr="00FD4FF3">
        <w:t>гринафскую</w:t>
      </w:r>
      <w:proofErr w:type="spellEnd"/>
      <w:r w:rsidRPr="00FD4FF3">
        <w:t xml:space="preserve"> окружную тюрьму, с тем чтобы </w:t>
      </w:r>
      <w:r w:rsidR="00FE6FCA" w:rsidRPr="00FD4FF3">
        <w:t>«</w:t>
      </w:r>
      <w:r w:rsidRPr="00FD4FF3">
        <w:t>приблизить его к сетям его поддержки и укрепить его о</w:t>
      </w:r>
      <w:r w:rsidRPr="00FD4FF3">
        <w:t>т</w:t>
      </w:r>
      <w:r w:rsidRPr="00FD4FF3">
        <w:t>ношения и культурные узы с аборигенной общиной региона</w:t>
      </w:r>
      <w:r w:rsidR="00FE6FCA" w:rsidRPr="00FD4FF3">
        <w:t>»</w:t>
      </w:r>
      <w:r w:rsidRPr="00FD4FF3">
        <w:t>. И он оставался там до своего освобождения 10 января 2012 года, за исключением двух кратк</w:t>
      </w:r>
      <w:r w:rsidRPr="00FD4FF3">
        <w:t>о</w:t>
      </w:r>
      <w:r w:rsidRPr="00FD4FF3">
        <w:t xml:space="preserve">срочных пребываний в </w:t>
      </w:r>
      <w:proofErr w:type="spellStart"/>
      <w:r w:rsidRPr="00FD4FF3">
        <w:t>казуаринской</w:t>
      </w:r>
      <w:proofErr w:type="spellEnd"/>
      <w:r w:rsidRPr="00FD4FF3">
        <w:t xml:space="preserve"> тюрьме с целью облегчить его участие в тюремных программах. </w:t>
      </w:r>
    </w:p>
    <w:p w:rsidR="007B31D5" w:rsidRPr="00FD4FF3" w:rsidRDefault="007B31D5" w:rsidP="007B31D5">
      <w:pPr>
        <w:pStyle w:val="SingleTxtGR"/>
      </w:pPr>
      <w:r w:rsidRPr="00FD4FF3">
        <w:t>4.7</w:t>
      </w:r>
      <w:r w:rsidRPr="00FD4FF3">
        <w:tab/>
        <w:t>Государство-участник напоминает, что в 2010 году автор безуспешно х</w:t>
      </w:r>
      <w:r w:rsidRPr="00FD4FF3">
        <w:t>о</w:t>
      </w:r>
      <w:r w:rsidRPr="00FD4FF3">
        <w:t>датайствовал о постановлении окружного суда насчет его процессуальной де</w:t>
      </w:r>
      <w:r w:rsidRPr="00FD4FF3">
        <w:t>е</w:t>
      </w:r>
      <w:r w:rsidRPr="00FD4FF3">
        <w:t>способности. После первоначального распорядительного заседания от 20 се</w:t>
      </w:r>
      <w:r w:rsidRPr="00FD4FF3">
        <w:t>н</w:t>
      </w:r>
      <w:r w:rsidRPr="00FD4FF3">
        <w:t xml:space="preserve">тября 2010 года ходатайство автора было рассмотрено 4 ноября 2010 года. </w:t>
      </w:r>
    </w:p>
    <w:p w:rsidR="007B31D5" w:rsidRPr="00FD4FF3" w:rsidRDefault="007B31D5" w:rsidP="007B31D5">
      <w:pPr>
        <w:pStyle w:val="SingleTxtGR"/>
      </w:pPr>
      <w:r w:rsidRPr="00FD4FF3">
        <w:t>4.8</w:t>
      </w:r>
      <w:r w:rsidRPr="00FD4FF3">
        <w:tab/>
        <w:t>Запрашиваемые автором постановления столкнулись с вопросом о том, как трактовать полномочия суда по Закону о душевнобольных обвиняемых, коль скоро в отношении обвиняемого был выдан ордер на арест. Представле</w:t>
      </w:r>
      <w:r w:rsidRPr="00FD4FF3">
        <w:t>н</w:t>
      </w:r>
      <w:r w:rsidRPr="00FD4FF3">
        <w:t xml:space="preserve">ная аргументация требовала от суда сделать вывод, что автор все еще </w:t>
      </w:r>
      <w:r w:rsidR="00FE6FCA" w:rsidRPr="00FD4FF3">
        <w:t>«</w:t>
      </w:r>
      <w:r w:rsidRPr="00FD4FF3">
        <w:t>предан</w:t>
      </w:r>
      <w:r w:rsidR="00FE6FCA" w:rsidRPr="00FD4FF3">
        <w:t>»</w:t>
      </w:r>
      <w:r w:rsidRPr="00FD4FF3">
        <w:t xml:space="preserve"> суду, несмотря на то, что обвинительные акты против него были аннулиров</w:t>
      </w:r>
      <w:r w:rsidRPr="00FD4FF3">
        <w:t>а</w:t>
      </w:r>
      <w:r w:rsidRPr="00FD4FF3">
        <w:t>ны</w:t>
      </w:r>
      <w:r w:rsidRPr="00F35856">
        <w:rPr>
          <w:sz w:val="18"/>
          <w:vertAlign w:val="superscript"/>
        </w:rPr>
        <w:footnoteReference w:id="21"/>
      </w:r>
      <w:r w:rsidRPr="00FD4FF3">
        <w:t>. В письменном решении от 5 ноября 2010 года судья пришел к выводу, что суд не обладает юрисдикцией выносить такие постановления, поскольку автор не является лицом, преданным суду по тому или иному обвинению.</w:t>
      </w:r>
    </w:p>
    <w:p w:rsidR="007B31D5" w:rsidRPr="00FD4FF3" w:rsidRDefault="007B31D5" w:rsidP="007B31D5">
      <w:pPr>
        <w:pStyle w:val="SingleTxtGR"/>
      </w:pPr>
      <w:r w:rsidRPr="00FD4FF3">
        <w:t>4.9</w:t>
      </w:r>
      <w:r w:rsidRPr="00FD4FF3">
        <w:tab/>
        <w:t>Государство-участник сообщает, что по закону Надзорный совет обязан докладывать Генеральному прокурору Западной Австралии об обвиняемом, п</w:t>
      </w:r>
      <w:r w:rsidRPr="00FD4FF3">
        <w:t>о</w:t>
      </w:r>
      <w:r w:rsidRPr="00FD4FF3">
        <w:t>мещенном под стражу согласно Закону о душевнобольных обвиняемых, в теч</w:t>
      </w:r>
      <w:r w:rsidRPr="00FD4FF3">
        <w:t>е</w:t>
      </w:r>
      <w:r w:rsidRPr="00FD4FF3">
        <w:t>ние восьми недель с выдачи ордера на арест. Кроме того, он должен делать это по письменному запросу Генерального прокурора и во всяком случае – ежего</w:t>
      </w:r>
      <w:r w:rsidRPr="00FD4FF3">
        <w:t>д</w:t>
      </w:r>
      <w:r w:rsidRPr="00FD4FF3">
        <w:t>но</w:t>
      </w:r>
      <w:r w:rsidRPr="00F35856">
        <w:rPr>
          <w:sz w:val="18"/>
          <w:vertAlign w:val="superscript"/>
        </w:rPr>
        <w:footnoteReference w:id="22"/>
      </w:r>
      <w:r w:rsidRPr="00FD4FF3">
        <w:t>. Докладывая Генеральному прокурору, Надзорный совет должен рекоме</w:t>
      </w:r>
      <w:r w:rsidRPr="00FD4FF3">
        <w:t>н</w:t>
      </w:r>
      <w:r w:rsidRPr="00FD4FF3">
        <w:t>довать, следует ли освободить обвиняемого</w:t>
      </w:r>
      <w:r w:rsidRPr="00F35856">
        <w:rPr>
          <w:sz w:val="18"/>
          <w:vertAlign w:val="superscript"/>
        </w:rPr>
        <w:footnoteReference w:id="23"/>
      </w:r>
      <w:r w:rsidRPr="00FD4FF3">
        <w:t>.</w:t>
      </w:r>
    </w:p>
    <w:p w:rsidR="007B31D5" w:rsidRPr="00FD4FF3" w:rsidRDefault="007B31D5" w:rsidP="007B31D5">
      <w:pPr>
        <w:pStyle w:val="SingleTxtGR"/>
      </w:pPr>
      <w:r w:rsidRPr="00FD4FF3">
        <w:t>4.10</w:t>
      </w:r>
      <w:r w:rsidRPr="00FD4FF3">
        <w:tab/>
        <w:t>В ходе ареста автора восемь раз имели место законные обзоры и доклады по его делу</w:t>
      </w:r>
      <w:r w:rsidRPr="00F35856">
        <w:rPr>
          <w:sz w:val="18"/>
          <w:vertAlign w:val="superscript"/>
        </w:rPr>
        <w:footnoteReference w:id="24"/>
      </w:r>
      <w:r w:rsidRPr="00FD4FF3">
        <w:t>. Проводились промежуточные обзоры на основе заключений м</w:t>
      </w:r>
      <w:r w:rsidRPr="00FD4FF3">
        <w:t>е</w:t>
      </w:r>
      <w:r w:rsidRPr="00FD4FF3">
        <w:t>дицинских экспертов, которые все приводили резоны для того, чтобы возде</w:t>
      </w:r>
      <w:r w:rsidRPr="00FD4FF3">
        <w:t>р</w:t>
      </w:r>
      <w:r w:rsidRPr="00FD4FF3">
        <w:t>жаться от рекомендации об освобождении автора, включая его уязвимость, риск для общества и отсутствие наличных служб поддержки. Доклады рекомендов</w:t>
      </w:r>
      <w:r w:rsidRPr="00FD4FF3">
        <w:t>а</w:t>
      </w:r>
      <w:r w:rsidRPr="00FD4FF3">
        <w:t>ли применительно к автору программу поэтапного освобождения.</w:t>
      </w:r>
    </w:p>
    <w:p w:rsidR="007B31D5" w:rsidRPr="00FD4FF3" w:rsidRDefault="007B31D5" w:rsidP="007B31D5">
      <w:pPr>
        <w:pStyle w:val="SingleTxtGR"/>
      </w:pPr>
      <w:r w:rsidRPr="00FD4FF3">
        <w:t>4.11</w:t>
      </w:r>
      <w:r w:rsidRPr="00FD4FF3">
        <w:tab/>
        <w:t xml:space="preserve">Как говорится в медицинских заключениях, автор проживал в </w:t>
      </w:r>
      <w:proofErr w:type="spellStart"/>
      <w:r w:rsidRPr="00FD4FF3">
        <w:t>гринафской</w:t>
      </w:r>
      <w:proofErr w:type="spellEnd"/>
      <w:r w:rsidRPr="00FD4FF3">
        <w:t xml:space="preserve"> окружной тюрьме в значительной мере без инцидентов и участвовал во множ</w:t>
      </w:r>
      <w:r w:rsidRPr="00FD4FF3">
        <w:t>е</w:t>
      </w:r>
      <w:r w:rsidRPr="00FD4FF3">
        <w:t>стве образовательных и обучающих программ. Вместе с тем в нескольких отч</w:t>
      </w:r>
      <w:r w:rsidRPr="00FD4FF3">
        <w:t>е</w:t>
      </w:r>
      <w:r w:rsidRPr="00FD4FF3">
        <w:t>тах клинических психологов выражалась сохраняющаяся озабоченность по п</w:t>
      </w:r>
      <w:r w:rsidRPr="00FD4FF3">
        <w:t>о</w:t>
      </w:r>
      <w:r w:rsidRPr="00FD4FF3">
        <w:t xml:space="preserve">воду </w:t>
      </w:r>
      <w:r w:rsidR="00FE6FCA" w:rsidRPr="00FD4FF3">
        <w:t>«</w:t>
      </w:r>
      <w:r w:rsidRPr="00FD4FF3">
        <w:t>жажды…</w:t>
      </w:r>
      <w:r w:rsidR="00FE6FCA" w:rsidRPr="00FD4FF3">
        <w:t>»</w:t>
      </w:r>
      <w:r w:rsidRPr="00FD4FF3">
        <w:t xml:space="preserve"> автора </w:t>
      </w:r>
      <w:r w:rsidR="00FE6FCA" w:rsidRPr="00FD4FF3">
        <w:t>«</w:t>
      </w:r>
      <w:r w:rsidRPr="00FD4FF3">
        <w:t>…понравиться</w:t>
      </w:r>
      <w:r w:rsidR="00FE6FCA" w:rsidRPr="00FD4FF3">
        <w:t>»</w:t>
      </w:r>
      <w:r w:rsidRPr="00FD4FF3">
        <w:t xml:space="preserve">, что по-прежнему делает его </w:t>
      </w:r>
      <w:r w:rsidR="00FE6FCA" w:rsidRPr="00FD4FF3">
        <w:t>«</w:t>
      </w:r>
      <w:r w:rsidRPr="00FD4FF3">
        <w:t>поте</w:t>
      </w:r>
      <w:r w:rsidRPr="00FD4FF3">
        <w:t>н</w:t>
      </w:r>
      <w:r w:rsidRPr="00FD4FF3">
        <w:t>циально уязвимым по отношению к принуждению при наличии негативных влияний сверстников</w:t>
      </w:r>
      <w:r w:rsidR="00FE6FCA" w:rsidRPr="00FD4FF3">
        <w:t>»</w:t>
      </w:r>
      <w:r w:rsidRPr="00F35856">
        <w:rPr>
          <w:sz w:val="18"/>
          <w:vertAlign w:val="superscript"/>
        </w:rPr>
        <w:footnoteReference w:id="25"/>
      </w:r>
      <w:r w:rsidRPr="00FD4FF3">
        <w:t xml:space="preserve"> и </w:t>
      </w:r>
      <w:r w:rsidR="00FE6FCA" w:rsidRPr="00FD4FF3">
        <w:t>«</w:t>
      </w:r>
      <w:r w:rsidRPr="00FD4FF3">
        <w:t>по отношению к манипулированию и эксплуат</w:t>
      </w:r>
      <w:r w:rsidRPr="00FD4FF3">
        <w:t>а</w:t>
      </w:r>
      <w:r w:rsidRPr="00FD4FF3">
        <w:t>ции</w:t>
      </w:r>
      <w:r w:rsidR="00FE6FCA" w:rsidRPr="00FD4FF3">
        <w:t>»</w:t>
      </w:r>
      <w:r w:rsidRPr="00F35856">
        <w:rPr>
          <w:sz w:val="18"/>
          <w:vertAlign w:val="superscript"/>
        </w:rPr>
        <w:footnoteReference w:id="26"/>
      </w:r>
      <w:r w:rsidRPr="00FD4FF3">
        <w:t xml:space="preserve">. Это заключение вызвало у медицинских экспертов озабоченность на тот счет, что </w:t>
      </w:r>
      <w:r w:rsidR="00FE6FCA" w:rsidRPr="00FD4FF3">
        <w:t>«</w:t>
      </w:r>
      <w:r w:rsidRPr="00FD4FF3">
        <w:t>интеллектуальная недееспособность автора такова, что в общине ему понадобится непрерывное круглосуточное попечение и поддержка</w:t>
      </w:r>
      <w:r w:rsidR="00FE6FCA" w:rsidRPr="00FD4FF3">
        <w:t>»</w:t>
      </w:r>
      <w:r w:rsidRPr="00F35856">
        <w:rPr>
          <w:sz w:val="18"/>
          <w:vertAlign w:val="superscript"/>
        </w:rPr>
        <w:footnoteReference w:id="27"/>
      </w:r>
      <w:r w:rsidRPr="00FD4FF3">
        <w:t xml:space="preserve">. В отчетах также выражается озабоченность по поводу </w:t>
      </w:r>
      <w:r w:rsidR="00FE6FCA" w:rsidRPr="00FD4FF3">
        <w:t>«</w:t>
      </w:r>
      <w:r w:rsidRPr="00FD4FF3">
        <w:t>импульсивного и конъюнктурн</w:t>
      </w:r>
      <w:r w:rsidRPr="00FD4FF3">
        <w:t>о</w:t>
      </w:r>
      <w:r w:rsidRPr="00FD4FF3">
        <w:t>го</w:t>
      </w:r>
      <w:r w:rsidR="00FE6FCA" w:rsidRPr="00FD4FF3">
        <w:t>»</w:t>
      </w:r>
      <w:r w:rsidRPr="00F35856">
        <w:rPr>
          <w:sz w:val="18"/>
          <w:vertAlign w:val="superscript"/>
        </w:rPr>
        <w:footnoteReference w:id="28"/>
      </w:r>
      <w:r w:rsidRPr="00FD4FF3">
        <w:t xml:space="preserve"> поведения автора и его </w:t>
      </w:r>
      <w:r w:rsidR="00FE6FCA" w:rsidRPr="00FD4FF3">
        <w:t>«</w:t>
      </w:r>
      <w:r w:rsidRPr="00FD4FF3">
        <w:t>агрессивных, непредсказуемых вспышек</w:t>
      </w:r>
      <w:r w:rsidR="00FE6FCA" w:rsidRPr="00FD4FF3">
        <w:t>»</w:t>
      </w:r>
      <w:r w:rsidRPr="00F35856">
        <w:rPr>
          <w:sz w:val="18"/>
          <w:vertAlign w:val="superscript"/>
        </w:rPr>
        <w:footnoteReference w:id="29"/>
      </w:r>
      <w:r w:rsidRPr="00FD4FF3">
        <w:t xml:space="preserve">. </w:t>
      </w:r>
    </w:p>
    <w:p w:rsidR="007B31D5" w:rsidRPr="00FD4FF3" w:rsidRDefault="007B31D5" w:rsidP="007B31D5">
      <w:pPr>
        <w:pStyle w:val="SingleTxtGR"/>
      </w:pPr>
      <w:r w:rsidRPr="00FD4FF3">
        <w:t>4.12</w:t>
      </w:r>
      <w:r w:rsidRPr="00FD4FF3">
        <w:tab/>
        <w:t>Несколько медицинских экспертов пришли к выводу, что в случае осв</w:t>
      </w:r>
      <w:r w:rsidRPr="00FD4FF3">
        <w:t>о</w:t>
      </w:r>
      <w:r w:rsidRPr="00FD4FF3">
        <w:t>бождения автора имеется высокий риск совершения правонарушения</w:t>
      </w:r>
      <w:r w:rsidRPr="00F35856">
        <w:rPr>
          <w:sz w:val="18"/>
          <w:vertAlign w:val="superscript"/>
        </w:rPr>
        <w:footnoteReference w:id="30"/>
      </w:r>
      <w:r w:rsidRPr="00FD4FF3">
        <w:t xml:space="preserve">. Как предположил Надзорный совет, </w:t>
      </w:r>
      <w:r w:rsidR="00FE6FCA" w:rsidRPr="00FD4FF3">
        <w:t>«</w:t>
      </w:r>
      <w:r w:rsidRPr="00FD4FF3">
        <w:t>существенным аспектом реабилитации автора также считается постепенное удлинение домашних отлучек автора, поскольку это позволяет не подвергать его слишком большому стрессу</w:t>
      </w:r>
      <w:r w:rsidR="00FE6FCA" w:rsidRPr="00FD4FF3">
        <w:t>»</w:t>
      </w:r>
      <w:r w:rsidRPr="00F35856">
        <w:rPr>
          <w:sz w:val="18"/>
          <w:vertAlign w:val="superscript"/>
        </w:rPr>
        <w:footnoteReference w:id="31"/>
      </w:r>
      <w:r w:rsidRPr="00FD4FF3">
        <w:t>. Вместе с тем Совет счел, что он не может рекомендовать его немедленное условное осв</w:t>
      </w:r>
      <w:r w:rsidRPr="00FD4FF3">
        <w:t>о</w:t>
      </w:r>
      <w:r w:rsidRPr="00FD4FF3">
        <w:t>бождение в связи с ограниченным контингентом подготовленных надзирающих кураторов и попечителей, чтобы поддерживать его</w:t>
      </w:r>
      <w:r w:rsidRPr="00F35856">
        <w:rPr>
          <w:sz w:val="18"/>
          <w:vertAlign w:val="superscript"/>
        </w:rPr>
        <w:footnoteReference w:id="32"/>
      </w:r>
      <w:r w:rsidRPr="00FD4FF3">
        <w:t>.</w:t>
      </w:r>
    </w:p>
    <w:p w:rsidR="007B31D5" w:rsidRPr="00FD4FF3" w:rsidRDefault="007B31D5" w:rsidP="007B31D5">
      <w:pPr>
        <w:pStyle w:val="SingleTxtGR"/>
      </w:pPr>
      <w:r w:rsidRPr="00FD4FF3">
        <w:t>4.13</w:t>
      </w:r>
      <w:r w:rsidRPr="00FD4FF3">
        <w:tab/>
        <w:t>Автор был освобожден 10 января 2012 года на 10 условиях. С официал</w:t>
      </w:r>
      <w:r w:rsidRPr="00FD4FF3">
        <w:t>ь</w:t>
      </w:r>
      <w:r w:rsidRPr="00FD4FF3">
        <w:t>ного представления сообщения в июле 2012 года дело автора рассматривалось трижды. 11</w:t>
      </w:r>
      <w:r w:rsidR="00AF6EE0" w:rsidRPr="00FD4FF3">
        <w:t xml:space="preserve"> </w:t>
      </w:r>
      <w:r w:rsidRPr="00FD4FF3">
        <w:t>января 2013 года Надзорный совет провел обзор достигнутого пр</w:t>
      </w:r>
      <w:r w:rsidRPr="00FD4FF3">
        <w:t>о</w:t>
      </w:r>
      <w:r w:rsidRPr="00FD4FF3">
        <w:t>гресса. Он рекомендовал смягчить режим автора, позволив ему посещать кафе и рестораны, что и было одобрено губернатором в Исполнительном совете. Б</w:t>
      </w:r>
      <w:r w:rsidRPr="00FD4FF3">
        <w:t>ы</w:t>
      </w:r>
      <w:r w:rsidRPr="00FD4FF3">
        <w:t>ли также одобрены ночные отлучки с его основного места жительства. 23 апр</w:t>
      </w:r>
      <w:r w:rsidRPr="00FD4FF3">
        <w:t>е</w:t>
      </w:r>
      <w:r w:rsidRPr="00FD4FF3">
        <w:t>ля 2013 года состоялся ежегодный законный обзор по делу автора. Надзорный совет рекомендовал отменить условие, требующее от автора посещать все пр</w:t>
      </w:r>
      <w:r w:rsidRPr="00FD4FF3">
        <w:t>о</w:t>
      </w:r>
      <w:r w:rsidRPr="00FD4FF3">
        <w:t>граммы, назначенные его надзирающим куратором, и позволить ему ночные о</w:t>
      </w:r>
      <w:r w:rsidRPr="00FD4FF3">
        <w:t>т</w:t>
      </w:r>
      <w:r w:rsidRPr="00FD4FF3">
        <w:t>лучки с его основного места жительства при условии поддержки со стороны попечителя и без необходимости заручаться предварительным одобрением со стороны Надзорного совета. В июле 2013 года губернатор одобрил эти рек</w:t>
      </w:r>
      <w:r w:rsidRPr="00FD4FF3">
        <w:t>о</w:t>
      </w:r>
      <w:r w:rsidRPr="00FD4FF3">
        <w:t xml:space="preserve">мендации. 14 января 2014 года состоялся еще один законный обзор. И никаких изменений не было произведено. </w:t>
      </w:r>
    </w:p>
    <w:p w:rsidR="007B31D5" w:rsidRPr="00FD4FF3" w:rsidRDefault="007B31D5" w:rsidP="007B31D5">
      <w:pPr>
        <w:pStyle w:val="SingleTxtGR"/>
      </w:pPr>
      <w:r w:rsidRPr="00FD4FF3">
        <w:t>4.14</w:t>
      </w:r>
      <w:r w:rsidRPr="00FD4FF3">
        <w:tab/>
        <w:t xml:space="preserve">Что касается утверждений автора по пункту 2 статьи 14 Конвенции, то государство-участник считает, что с его освобождения в общину он уже не находится в заключении. В той части, в какой претензия автора соотносится с обстоятельствами, предшествовавшими его освобождению в январе 2012 года, государство-участник полагает, что претензия является неприемлемой из-за </w:t>
      </w:r>
      <w:proofErr w:type="spellStart"/>
      <w:r w:rsidRPr="00FD4FF3">
        <w:t>неисчерпанности</w:t>
      </w:r>
      <w:proofErr w:type="spellEnd"/>
      <w:r w:rsidRPr="00FD4FF3">
        <w:t xml:space="preserve"> внутренних средств правовой защиты. Заключение автора б</w:t>
      </w:r>
      <w:r w:rsidRPr="00FD4FF3">
        <w:t>ы</w:t>
      </w:r>
      <w:r w:rsidRPr="00FD4FF3">
        <w:t>ло санкционировано решением губернатора в Исполнительном совете, который действовал на основании рекомендации Надзорного совета по Закону о душе</w:t>
      </w:r>
      <w:r w:rsidRPr="00FD4FF3">
        <w:t>в</w:t>
      </w:r>
      <w:r w:rsidRPr="00FD4FF3">
        <w:t>нобольных обвиняемых. Решения Надзорного совета подлежат судебному надзору путем обращения в Верховный суд Западной Австралии. Решения ан</w:t>
      </w:r>
      <w:r w:rsidRPr="00FD4FF3">
        <w:t>а</w:t>
      </w:r>
      <w:r w:rsidRPr="00FD4FF3">
        <w:t>логичных статутных органов оспариваются по законодательству Западной А</w:t>
      </w:r>
      <w:r w:rsidRPr="00FD4FF3">
        <w:t>в</w:t>
      </w:r>
      <w:r w:rsidRPr="00FD4FF3">
        <w:t>стралии с целью определить, приняты ли они согласно закону. Поскольку г</w:t>
      </w:r>
      <w:r w:rsidRPr="00FD4FF3">
        <w:t>а</w:t>
      </w:r>
      <w:r w:rsidRPr="00FD4FF3">
        <w:t>рантии, связанные с пунктом 2 статьи 14, касаются исключительно правоме</w:t>
      </w:r>
      <w:r w:rsidRPr="00FD4FF3">
        <w:t>р</w:t>
      </w:r>
      <w:r w:rsidRPr="00FD4FF3">
        <w:t>ности заключения с точки зрения отечественного права, эффективным сре</w:t>
      </w:r>
      <w:r w:rsidRPr="00FD4FF3">
        <w:t>д</w:t>
      </w:r>
      <w:r w:rsidRPr="00FD4FF3">
        <w:t>ством правовой защиты был бы судебный надзор в отношении заключения а</w:t>
      </w:r>
      <w:r w:rsidRPr="00FD4FF3">
        <w:t>в</w:t>
      </w:r>
      <w:r w:rsidRPr="00FD4FF3">
        <w:t>тора. Возможность ходатайства о судебном надзоре применительно к решениям Надзорного совета в отношении автора конкретно обсуждалась в ходе слуш</w:t>
      </w:r>
      <w:r w:rsidRPr="00FD4FF3">
        <w:t>а</w:t>
      </w:r>
      <w:r w:rsidRPr="00FD4FF3">
        <w:t>ний окружного суда в 2010 году. Законный представитель автора ответил, что ходатайство о судебном надзоре готовится, но автор предпочел бы, чтобы пр</w:t>
      </w:r>
      <w:r w:rsidRPr="00FD4FF3">
        <w:t>о</w:t>
      </w:r>
      <w:r w:rsidRPr="00FD4FF3">
        <w:t>блема его процессуальной дееспособности была урегулирована судом. И гос</w:t>
      </w:r>
      <w:r w:rsidRPr="00FD4FF3">
        <w:t>у</w:t>
      </w:r>
      <w:r w:rsidRPr="00FD4FF3">
        <w:t>дарству-участнику неизвестно, чтобы было подано какое-то ходатайство такого рода, а следовательно, автор не исчерпал все наличные внутренние средства правовой защиты. Как оно полагает, тут не может быть речи о каком-то нар</w:t>
      </w:r>
      <w:r w:rsidRPr="00FD4FF3">
        <w:t>у</w:t>
      </w:r>
      <w:r w:rsidRPr="00FD4FF3">
        <w:t>шении пункта 2 статьи 14, потому что все то время, что автор находился в з</w:t>
      </w:r>
      <w:r w:rsidRPr="00FD4FF3">
        <w:t>а</w:t>
      </w:r>
      <w:r w:rsidRPr="00FD4FF3">
        <w:t>ключении, он был вправе подать ходатайство о судебном надзоре с целью опр</w:t>
      </w:r>
      <w:r w:rsidRPr="00FD4FF3">
        <w:t>е</w:t>
      </w:r>
      <w:r w:rsidRPr="00FD4FF3">
        <w:t xml:space="preserve">делить правомерность его заключения на основании рекомендаций Надзорного совета. </w:t>
      </w:r>
    </w:p>
    <w:p w:rsidR="007B31D5" w:rsidRPr="00FD4FF3" w:rsidRDefault="007B31D5" w:rsidP="007B31D5">
      <w:pPr>
        <w:pStyle w:val="SingleTxtGR"/>
      </w:pPr>
      <w:r w:rsidRPr="00FD4FF3">
        <w:t>4.15</w:t>
      </w:r>
      <w:r w:rsidRPr="00FD4FF3">
        <w:tab/>
        <w:t>Государство-участник считает неприемлемыми утверждения автора отн</w:t>
      </w:r>
      <w:r w:rsidRPr="00FD4FF3">
        <w:t>о</w:t>
      </w:r>
      <w:r w:rsidRPr="00FD4FF3">
        <w:t>сительно доступа к правосудию, поскольку они носят необоснованный и бе</w:t>
      </w:r>
      <w:r w:rsidRPr="00FD4FF3">
        <w:t>с</w:t>
      </w:r>
      <w:r w:rsidRPr="00FD4FF3">
        <w:t>предметный характер. В отношении автора не ведется никаких гражданских или уголовных разбирательств. Ему не предъявлено обвинений в связи с как</w:t>
      </w:r>
      <w:r w:rsidRPr="00FD4FF3">
        <w:t>и</w:t>
      </w:r>
      <w:r w:rsidRPr="00FD4FF3">
        <w:t xml:space="preserve">ми-либо правонарушениями, поскольку обвинительный акт против него был аннулирован </w:t>
      </w:r>
      <w:r w:rsidR="00FE6FCA" w:rsidRPr="00FD4FF3">
        <w:t>«</w:t>
      </w:r>
      <w:r w:rsidRPr="00FD4FF3">
        <w:t>без определения виновности или невиновности обвиняемого</w:t>
      </w:r>
      <w:r w:rsidR="00FE6FCA" w:rsidRPr="00FD4FF3">
        <w:t>»</w:t>
      </w:r>
      <w:r w:rsidRPr="00FD4FF3">
        <w:t xml:space="preserve">. Таким образом, он не считается виновным, а поскольку против него не осталось никаких уголовных обвинений, отсутствуют и свидетели для заслушивания или доказательства для оспаривания. </w:t>
      </w:r>
    </w:p>
    <w:p w:rsidR="007B31D5" w:rsidRPr="00FD4FF3" w:rsidRDefault="007B31D5" w:rsidP="007B31D5">
      <w:pPr>
        <w:pStyle w:val="SingleTxtGR"/>
      </w:pPr>
      <w:r w:rsidRPr="00FD4FF3">
        <w:t>4.16</w:t>
      </w:r>
      <w:r w:rsidRPr="00FD4FF3">
        <w:tab/>
        <w:t>Государство-участник считает, что утверждения автора в отношении о</w:t>
      </w:r>
      <w:r w:rsidRPr="00FD4FF3">
        <w:t>б</w:t>
      </w:r>
      <w:r w:rsidRPr="00FD4FF3">
        <w:t>ращения с ним в тюрьме носят неприемлемый или беспредметный характер, поскольку автор без конкретных утверждений делает общее заявление о том, что он подвергался риску вреда. Как указывается в отчетах Департамента и</w:t>
      </w:r>
      <w:r w:rsidRPr="00FD4FF3">
        <w:t>с</w:t>
      </w:r>
      <w:r w:rsidRPr="00FD4FF3">
        <w:t>правительных служб Западной Австралии, 7 октября 2005 года и 21 сентября 2007 года имели место две небольшие стычки между автором и другими закл</w:t>
      </w:r>
      <w:r w:rsidRPr="00FD4FF3">
        <w:t>ю</w:t>
      </w:r>
      <w:r w:rsidRPr="00FD4FF3">
        <w:t>ченными. Оба инцидента были успешно улажены, и ни один из них не привел к серьезным травмам у автора. Тюремные власти также установили, что автор нуждается в дополнительной поддержке и мониторинге по причине его статуса в качестве аборигена, страдающего интеллектуальной недееспособностью. С</w:t>
      </w:r>
      <w:r w:rsidRPr="00FD4FF3">
        <w:t>о</w:t>
      </w:r>
      <w:r w:rsidRPr="00FD4FF3">
        <w:t>ответственно его стали курировать по системе поддержки и мониторинга, и он принял участие в программе группы по оценке рисков для заключённых. В к</w:t>
      </w:r>
      <w:r w:rsidRPr="00FD4FF3">
        <w:t>а</w:t>
      </w:r>
      <w:r w:rsidRPr="00FD4FF3">
        <w:t>честве клиента служб по инвалидности автор был также охвачен системой о</w:t>
      </w:r>
      <w:r w:rsidRPr="00FD4FF3">
        <w:t>б</w:t>
      </w:r>
      <w:r w:rsidRPr="00FD4FF3">
        <w:t xml:space="preserve">щего кураторства правонарушителей и получал индивидуальные консультации. Кроме того, в 2003 и 2004 годах он также получал консультирование с учетом его культурных особенностей и прошел коррективный курс по когнитивным навыкам и программу по интеллектуальным расстройствам. </w:t>
      </w:r>
    </w:p>
    <w:p w:rsidR="007B31D5" w:rsidRPr="00FD4FF3" w:rsidRDefault="007B31D5" w:rsidP="007B31D5">
      <w:pPr>
        <w:pStyle w:val="SingleTxtGR"/>
      </w:pPr>
      <w:r w:rsidRPr="00FD4FF3">
        <w:t>4.17</w:t>
      </w:r>
      <w:r w:rsidRPr="00FD4FF3">
        <w:tab/>
        <w:t xml:space="preserve">Что касается утверждений автора по пункту 2 статьи 14 Конвенции, то государство-участник утверждает, что он не является </w:t>
      </w:r>
      <w:r w:rsidR="00FE6FCA" w:rsidRPr="00FD4FF3">
        <w:t>«</w:t>
      </w:r>
      <w:r w:rsidRPr="00FD4FF3">
        <w:t>обвиняемым</w:t>
      </w:r>
      <w:r w:rsidR="00FE6FCA" w:rsidRPr="00FD4FF3">
        <w:t>»</w:t>
      </w:r>
      <w:r w:rsidRPr="00FD4FF3">
        <w:t>, а поэтому и не возникает обязательство по его отделению от других осужденных. Или же, как утверждает государство-участник, оно выполнило обязательство по разд</w:t>
      </w:r>
      <w:r w:rsidRPr="00FD4FF3">
        <w:t>е</w:t>
      </w:r>
      <w:r w:rsidRPr="00FD4FF3">
        <w:t>лению в требуемой степени с учетом его оговорки к пункту 2 статьи 10 Межд</w:t>
      </w:r>
      <w:r w:rsidRPr="00FD4FF3">
        <w:t>у</w:t>
      </w:r>
      <w:r w:rsidRPr="00FD4FF3">
        <w:t>народного пакта о гражданских и политических правах, – оговорки, которая предусматривает признание принципа отделения в качестве цели, которая должна достигаться постепенно.</w:t>
      </w:r>
      <w:bookmarkStart w:id="3" w:name="_Toc347418926"/>
      <w:bookmarkStart w:id="4" w:name="_Toc353377425"/>
    </w:p>
    <w:p w:rsidR="007B31D5" w:rsidRPr="00FD4FF3" w:rsidRDefault="007B31D5" w:rsidP="007B31D5">
      <w:pPr>
        <w:pStyle w:val="SingleTxtGR"/>
      </w:pPr>
      <w:r w:rsidRPr="00FD4FF3">
        <w:t>4.18</w:t>
      </w:r>
      <w:r w:rsidRPr="00FD4FF3">
        <w:tab/>
        <w:t>Государство-участник не оспаривает приемлемость утверждения автора в связи с его неправильным признанием виновным в тюремном правонарушении. Когда ошибка была обнаружена, домашние отлучки автора были немедленно восстановлены и увеличены: ему были позволены две 48-часовые домашние о</w:t>
      </w:r>
      <w:r w:rsidRPr="00FD4FF3">
        <w:t>т</w:t>
      </w:r>
      <w:r w:rsidRPr="00FD4FF3">
        <w:t>лучки. В административном порядке бы</w:t>
      </w:r>
      <w:r w:rsidR="00673F4C">
        <w:t>ло также отменено его признание</w:t>
      </w:r>
      <w:r w:rsidRPr="00FD4FF3">
        <w:t xml:space="preserve"> в</w:t>
      </w:r>
      <w:r w:rsidRPr="00FD4FF3">
        <w:t>и</w:t>
      </w:r>
      <w:r w:rsidRPr="00FD4FF3">
        <w:t>новным. После инцидента специальный советник премьер-министра провел н</w:t>
      </w:r>
      <w:r w:rsidRPr="00FD4FF3">
        <w:t>е</w:t>
      </w:r>
      <w:r w:rsidRPr="00FD4FF3">
        <w:t>зависимое дознание и согласился, что признание автора виновным было прои</w:t>
      </w:r>
      <w:r w:rsidRPr="00FD4FF3">
        <w:t>з</w:t>
      </w:r>
      <w:r w:rsidRPr="00FD4FF3">
        <w:t>ведено неправильно. Департамент исправительных служб Западной Австралии тоже провел внутреннюю проверку и вынес семь рекомендаций о модификации процедур тестирования на предмет тюремных правонарушений. Шесть рек</w:t>
      </w:r>
      <w:r w:rsidRPr="00FD4FF3">
        <w:t>о</w:t>
      </w:r>
      <w:r w:rsidRPr="00FD4FF3">
        <w:t>мендаций уже осуществляются, и разработаны программы подготовки по пр</w:t>
      </w:r>
      <w:r w:rsidRPr="00FD4FF3">
        <w:t>е</w:t>
      </w:r>
      <w:r w:rsidRPr="00FD4FF3">
        <w:t>следованию тюремных правонарушений. Государство-участник признает, что эта ошибка явно вызвала у автора разочарование и угнетенность, но считает, что она не может быть приравнена к унизительному обращению и наказанию.</w:t>
      </w:r>
    </w:p>
    <w:bookmarkEnd w:id="3"/>
    <w:bookmarkEnd w:id="4"/>
    <w:p w:rsidR="007B31D5" w:rsidRPr="00FD4FF3" w:rsidRDefault="007B31D5" w:rsidP="007B31D5">
      <w:pPr>
        <w:pStyle w:val="SingleTxtGR"/>
      </w:pPr>
      <w:r w:rsidRPr="00FD4FF3">
        <w:t>4.19</w:t>
      </w:r>
      <w:r w:rsidRPr="00FD4FF3">
        <w:tab/>
        <w:t>Государство-участник считает неприемлемыми утверждения автора о том, что условия, поставленные в связи с его освобождением, равносильны произвольному задержанию или унизительному обращению, поскольку автор уже не является заключенным и не исчерпал внутренние средства правовой з</w:t>
      </w:r>
      <w:r w:rsidRPr="00FD4FF3">
        <w:t>а</w:t>
      </w:r>
      <w:r w:rsidRPr="00FD4FF3">
        <w:t>щиты, которые могли бы обернуться изменением условий, против которых он возражает. Или же, как утверждает Австралия, эти утверждения беспредметны, поскольку условия, применяемые к автору, носят разумный и подобающий х</w:t>
      </w:r>
      <w:r w:rsidRPr="00FD4FF3">
        <w:t>а</w:t>
      </w:r>
      <w:r w:rsidRPr="00FD4FF3">
        <w:t xml:space="preserve">рактер, чтобы позволить его </w:t>
      </w:r>
      <w:proofErr w:type="spellStart"/>
      <w:r w:rsidRPr="00FD4FF3">
        <w:t>реинтеграцию</w:t>
      </w:r>
      <w:proofErr w:type="spellEnd"/>
      <w:r w:rsidRPr="00FD4FF3">
        <w:t xml:space="preserve"> и в то же время защитить безопа</w:t>
      </w:r>
      <w:r w:rsidRPr="00FD4FF3">
        <w:t>с</w:t>
      </w:r>
      <w:r w:rsidRPr="00FD4FF3">
        <w:t>ность населения.</w:t>
      </w:r>
    </w:p>
    <w:p w:rsidR="007B31D5" w:rsidRPr="00FD4FF3" w:rsidRDefault="007B31D5" w:rsidP="007B31D5">
      <w:pPr>
        <w:pStyle w:val="SingleTxtGR"/>
      </w:pPr>
      <w:r w:rsidRPr="00FD4FF3">
        <w:t>4.20</w:t>
      </w:r>
      <w:r w:rsidRPr="00FD4FF3">
        <w:tab/>
        <w:t>Что касается утверждения автора о том, что Закон о душевнобольных о</w:t>
      </w:r>
      <w:r w:rsidRPr="00FD4FF3">
        <w:t>б</w:t>
      </w:r>
      <w:r w:rsidRPr="00FD4FF3">
        <w:t>виняемых нарушает статью 5 Конвенции, то государство-участник заявляет, что Закон не обходится с людьми иначе по причине их инвалидности, а предусма</w:t>
      </w:r>
      <w:r w:rsidRPr="00FD4FF3">
        <w:t>т</w:t>
      </w:r>
      <w:r w:rsidRPr="00FD4FF3">
        <w:t xml:space="preserve">ривает дифференцированный режим для людей, признанных </w:t>
      </w:r>
      <w:r w:rsidR="00FE6FCA" w:rsidRPr="00FD4FF3">
        <w:t>«</w:t>
      </w:r>
      <w:r w:rsidRPr="00FD4FF3">
        <w:t>неспособными предстать перед судом</w:t>
      </w:r>
      <w:r w:rsidR="00FE6FCA" w:rsidRPr="00FD4FF3">
        <w:t>»</w:t>
      </w:r>
      <w:r w:rsidRPr="00FD4FF3">
        <w:t>. Государство-участник признает, что Закон, вероятно, несоразмерно затрагивает тех, кто может подпадать под такие критерии по пр</w:t>
      </w:r>
      <w:r w:rsidRPr="00FD4FF3">
        <w:t>и</w:t>
      </w:r>
      <w:r w:rsidRPr="00FD4FF3">
        <w:t>чинам, связанным с инвалидностью. Вместе с тем оно считает, что такой ди</w:t>
      </w:r>
      <w:r w:rsidRPr="00FD4FF3">
        <w:t>ф</w:t>
      </w:r>
      <w:r w:rsidRPr="00FD4FF3">
        <w:t>ференцированный режим носит легитимный характер, как было одобрено мн</w:t>
      </w:r>
      <w:r w:rsidRPr="00FD4FF3">
        <w:t>о</w:t>
      </w:r>
      <w:r w:rsidRPr="00FD4FF3">
        <w:t>гими договорными органами Организации Объединенных Наций</w:t>
      </w:r>
      <w:r w:rsidRPr="00F35856">
        <w:rPr>
          <w:sz w:val="18"/>
          <w:vertAlign w:val="superscript"/>
        </w:rPr>
        <w:footnoteReference w:id="33"/>
      </w:r>
      <w:r w:rsidRPr="00FD4FF3">
        <w:t xml:space="preserve">, и статью 5 Конвенции следует толковать в соответствии с таким подходом. </w:t>
      </w:r>
    </w:p>
    <w:p w:rsidR="007B31D5" w:rsidRPr="00FD4FF3" w:rsidRDefault="007B31D5" w:rsidP="007B31D5">
      <w:pPr>
        <w:pStyle w:val="SingleTxtGR"/>
      </w:pPr>
      <w:r w:rsidRPr="00FD4FF3">
        <w:t>4.21</w:t>
      </w:r>
      <w:r w:rsidRPr="00FD4FF3">
        <w:tab/>
        <w:t>Государство-участник утверждает, что этот Закон направлен и на защиту населения</w:t>
      </w:r>
      <w:r w:rsidRPr="00F35856">
        <w:rPr>
          <w:sz w:val="18"/>
          <w:vertAlign w:val="superscript"/>
        </w:rPr>
        <w:footnoteReference w:id="34"/>
      </w:r>
      <w:r w:rsidRPr="00FD4FF3">
        <w:t>. Законодательство, предусматривающее специфические процедуры, включая и ордеры на арест тех, кто признан процессуально недееспособным, является стандартным элементом других юрисдикций и в Австралии</w:t>
      </w:r>
      <w:r w:rsidRPr="00F35856">
        <w:rPr>
          <w:sz w:val="18"/>
          <w:vertAlign w:val="superscript"/>
        </w:rPr>
        <w:footnoteReference w:id="35"/>
      </w:r>
      <w:r w:rsidRPr="00FD4FF3">
        <w:t xml:space="preserve"> и за р</w:t>
      </w:r>
      <w:r w:rsidRPr="00FD4FF3">
        <w:t>у</w:t>
      </w:r>
      <w:r w:rsidRPr="00FD4FF3">
        <w:t>бежом</w:t>
      </w:r>
      <w:r w:rsidRPr="00F35856">
        <w:rPr>
          <w:sz w:val="18"/>
          <w:vertAlign w:val="superscript"/>
        </w:rPr>
        <w:footnoteReference w:id="36"/>
      </w:r>
      <w:r w:rsidRPr="00FD4FF3">
        <w:t>. Когда то или иное лицо становится объектом ордера на арест согласно Закону, Надзорным советом проводятся периодические обзоры</w:t>
      </w:r>
      <w:r w:rsidRPr="00F35856">
        <w:rPr>
          <w:sz w:val="18"/>
          <w:vertAlign w:val="superscript"/>
        </w:rPr>
        <w:footnoteReference w:id="37"/>
      </w:r>
      <w:r w:rsidRPr="00FD4FF3">
        <w:t>. Старший ко</w:t>
      </w:r>
      <w:r w:rsidRPr="00FD4FF3">
        <w:t>н</w:t>
      </w:r>
      <w:r w:rsidRPr="00FD4FF3">
        <w:t>сультант подготавливает подробные отчеты, включающие рекомендацию на тот счет, следует ли освободить данное лицо</w:t>
      </w:r>
      <w:r w:rsidRPr="00F35856">
        <w:rPr>
          <w:sz w:val="18"/>
          <w:vertAlign w:val="superscript"/>
        </w:rPr>
        <w:footnoteReference w:id="38"/>
      </w:r>
      <w:r w:rsidRPr="00FD4FF3">
        <w:t xml:space="preserve">. </w:t>
      </w:r>
      <w:bookmarkStart w:id="5" w:name="_Ref349294587"/>
      <w:bookmarkEnd w:id="5"/>
    </w:p>
    <w:p w:rsidR="007B31D5" w:rsidRPr="00FD4FF3" w:rsidRDefault="007B31D5" w:rsidP="007B31D5">
      <w:pPr>
        <w:pStyle w:val="SingleTxtGR"/>
      </w:pPr>
      <w:r w:rsidRPr="00FD4FF3">
        <w:t>4.22</w:t>
      </w:r>
      <w:r w:rsidRPr="00FD4FF3">
        <w:tab/>
        <w:t>Закон также предусматривает подстраховки с целью обеспечить, чтобы решения принимались независимым и хорошо осведомленным судебным орг</w:t>
      </w:r>
      <w:r w:rsidRPr="00FD4FF3">
        <w:t>а</w:t>
      </w:r>
      <w:r w:rsidRPr="00FD4FF3">
        <w:t>ном; чтобы обвиняемый, признанный неспособным предстать перед судом, все же мог быть освобожден по усмотрению суда; и чтобы решения по данному З</w:t>
      </w:r>
      <w:r w:rsidRPr="00FD4FF3">
        <w:t>а</w:t>
      </w:r>
      <w:r w:rsidRPr="00FD4FF3">
        <w:t>кону могли быть обжалованы. Таким образом, данная структура представляют собой разумный и соразмерный метод достижения целей Закона, опираясь на разумные и объективные критерии, которые не связаны с инвалидностью.</w:t>
      </w:r>
      <w:bookmarkStart w:id="6" w:name="_Ref349294776"/>
      <w:bookmarkEnd w:id="6"/>
    </w:p>
    <w:p w:rsidR="007B31D5" w:rsidRPr="00FD4FF3" w:rsidRDefault="007B31D5" w:rsidP="00C57E01">
      <w:pPr>
        <w:pStyle w:val="H23GR"/>
      </w:pPr>
      <w:r w:rsidRPr="00FD4FF3">
        <w:tab/>
      </w:r>
      <w:r w:rsidRPr="00FD4FF3">
        <w:tab/>
        <w:t>Комментарии автора к замечаниям государства-участника</w:t>
      </w:r>
    </w:p>
    <w:p w:rsidR="007B31D5" w:rsidRPr="00FD4FF3" w:rsidRDefault="007B31D5" w:rsidP="007B31D5">
      <w:pPr>
        <w:pStyle w:val="SingleTxtGR"/>
      </w:pPr>
      <w:r w:rsidRPr="00FD4FF3">
        <w:t>5.1</w:t>
      </w:r>
      <w:r w:rsidRPr="00FD4FF3">
        <w:tab/>
        <w:t>25 июня 2015 года автор представи</w:t>
      </w:r>
      <w:r w:rsidR="00122425">
        <w:t>л дополнительную информацию. Он </w:t>
      </w:r>
      <w:r w:rsidRPr="00FD4FF3">
        <w:t xml:space="preserve">утверждает, что он более 13 лет находится под административным арестом и по-прежнему подвергается ограничениям и лишению свободы. </w:t>
      </w:r>
    </w:p>
    <w:p w:rsidR="007B31D5" w:rsidRPr="00FD4FF3" w:rsidRDefault="007B31D5" w:rsidP="007B31D5">
      <w:pPr>
        <w:pStyle w:val="SingleTxtGR"/>
      </w:pPr>
      <w:r w:rsidRPr="00FD4FF3">
        <w:t>5.2</w:t>
      </w:r>
      <w:r w:rsidRPr="00FD4FF3">
        <w:tab/>
        <w:t xml:space="preserve">Автор отвергает характеристику государства-участника относительно хронологических рамок мандата Комитета. Он ссылается на юриспруденцию Комитета по правам человека о том, что </w:t>
      </w:r>
      <w:r w:rsidR="00FE6FCA" w:rsidRPr="00FD4FF3">
        <w:t>«</w:t>
      </w:r>
      <w:r w:rsidRPr="00FD4FF3">
        <w:t>Комитет... не может рассматривать предполагаемые нарушения Пакта, произошедшие до вступления Факультати</w:t>
      </w:r>
      <w:r w:rsidRPr="00FD4FF3">
        <w:t>в</w:t>
      </w:r>
      <w:r w:rsidRPr="00FD4FF3">
        <w:t>ного протокола в силу для государства-участника, если только обжалуемые нарушения не продолжались после вступления Факультативного протокола в силу. Продолжаемое нарушение следует толковать как подтверждение после вступления в силу Факультативного протокола действием или явным после</w:t>
      </w:r>
      <w:r w:rsidRPr="00FD4FF3">
        <w:t>д</w:t>
      </w:r>
      <w:r w:rsidRPr="00FD4FF3">
        <w:t>ствием предыдущих нарушений</w:t>
      </w:r>
      <w:r w:rsidR="00FE6FCA" w:rsidRPr="00FD4FF3">
        <w:t>»</w:t>
      </w:r>
      <w:r w:rsidRPr="00F35856">
        <w:rPr>
          <w:sz w:val="18"/>
          <w:vertAlign w:val="superscript"/>
        </w:rPr>
        <w:footnoteReference w:id="39"/>
      </w:r>
      <w:r w:rsidRPr="00FD4FF3">
        <w:t>. Автор считает, что такое же толкование сл</w:t>
      </w:r>
      <w:r w:rsidRPr="00FD4FF3">
        <w:t>е</w:t>
      </w:r>
      <w:r w:rsidRPr="00FD4FF3">
        <w:t xml:space="preserve">дует применять и к его делу. </w:t>
      </w:r>
    </w:p>
    <w:p w:rsidR="007B31D5" w:rsidRPr="00FD4FF3" w:rsidRDefault="007B31D5" w:rsidP="007B31D5">
      <w:pPr>
        <w:pStyle w:val="SingleTxtGR"/>
      </w:pPr>
      <w:r w:rsidRPr="00FD4FF3">
        <w:t>5.3</w:t>
      </w:r>
      <w:r w:rsidRPr="00FD4FF3">
        <w:tab/>
        <w:t>Автор считает, что его заключение носит произвольный характер, п</w:t>
      </w:r>
      <w:r w:rsidRPr="00FD4FF3">
        <w:t>о</w:t>
      </w:r>
      <w:r w:rsidRPr="00FD4FF3">
        <w:t>скольку оно было основано на его инвалидн</w:t>
      </w:r>
      <w:r w:rsidR="00122425">
        <w:t>ости в нарушение пункта 1 </w:t>
      </w:r>
      <w:r w:rsidRPr="00FD4FF3">
        <w:t>b) ст</w:t>
      </w:r>
      <w:r w:rsidRPr="00FD4FF3">
        <w:t>а</w:t>
      </w:r>
      <w:r w:rsidRPr="00FD4FF3">
        <w:t>тьи 14. Если бы он не имел инвалидности, то его не могли бы подвергнуть бе</w:t>
      </w:r>
      <w:r w:rsidRPr="00FD4FF3">
        <w:t>с</w:t>
      </w:r>
      <w:r w:rsidRPr="00FD4FF3">
        <w:t>срочному заключению. В случае же оправдания он был бы немедленно и бе</w:t>
      </w:r>
      <w:r w:rsidRPr="00FD4FF3">
        <w:t>з</w:t>
      </w:r>
      <w:r w:rsidRPr="00FD4FF3">
        <w:t>условно освобожден из-под стражи.</w:t>
      </w:r>
    </w:p>
    <w:p w:rsidR="007B31D5" w:rsidRPr="00FD4FF3" w:rsidRDefault="007B31D5" w:rsidP="007B31D5">
      <w:pPr>
        <w:pStyle w:val="SingleTxtGR"/>
      </w:pPr>
      <w:r w:rsidRPr="00FD4FF3">
        <w:t>5.4</w:t>
      </w:r>
      <w:r w:rsidRPr="00FD4FF3">
        <w:tab/>
        <w:t>Автор утверждает, что его заключение носит произвольный характер, п</w:t>
      </w:r>
      <w:r w:rsidRPr="00FD4FF3">
        <w:t>о</w:t>
      </w:r>
      <w:r w:rsidRPr="00FD4FF3">
        <w:t>скольку: a) оно зависит от усмотрения правительства с учетом того, что</w:t>
      </w:r>
      <w:r w:rsidR="00673F4C">
        <w:t>,</w:t>
      </w:r>
      <w:r w:rsidRPr="00FD4FF3">
        <w:t xml:space="preserve"> с</w:t>
      </w:r>
      <w:r w:rsidRPr="00FD4FF3">
        <w:t>о</w:t>
      </w:r>
      <w:r w:rsidRPr="00FD4FF3">
        <w:t>гласно статьям 24 и 35 Закона о душевнобольных обвиняемых, с выдачей орд</w:t>
      </w:r>
      <w:r w:rsidRPr="00FD4FF3">
        <w:t>е</w:t>
      </w:r>
      <w:r w:rsidRPr="00FD4FF3">
        <w:t>ра на арест лицо является задержанным до тех пор, пока оно не будет освобо</w:t>
      </w:r>
      <w:r w:rsidRPr="00FD4FF3">
        <w:t>ж</w:t>
      </w:r>
      <w:r w:rsidRPr="00FD4FF3">
        <w:t>дено распоряжением губернатора Западной Австралии. Губернатор осущест</w:t>
      </w:r>
      <w:r w:rsidRPr="00FD4FF3">
        <w:t>в</w:t>
      </w:r>
      <w:r w:rsidRPr="00FD4FF3">
        <w:t>ляет дискреционные полномочия в соответствии с рекомендациями Исполн</w:t>
      </w:r>
      <w:r w:rsidRPr="00FD4FF3">
        <w:t>и</w:t>
      </w:r>
      <w:r w:rsidRPr="00FD4FF3">
        <w:t>тельного совета, который, в свою очередь, действует по рекомендации министра здравоохранения; b) оно носит несправедливый характер с учетом того, что а</w:t>
      </w:r>
      <w:r w:rsidRPr="00FD4FF3">
        <w:t>в</w:t>
      </w:r>
      <w:r w:rsidRPr="00FD4FF3">
        <w:t>тор не был осужден за правонарушения, в которых он обвинялся, и не имел возможности надлежащим образом оспорить доказательства, на которых были основаны обвинения; c) оно является несоразмерным с учетом того, что, если бы автор был признан виновным в правонарушениях, в которых он был обв</w:t>
      </w:r>
      <w:r w:rsidRPr="00FD4FF3">
        <w:t>и</w:t>
      </w:r>
      <w:r w:rsidRPr="00FD4FF3">
        <w:t>нен, его приговорили бы к двум-трем годам тюремного заключения, после чего он был бы безусловно освобожден; и d) оно носит карательный характер с уч</w:t>
      </w:r>
      <w:r w:rsidRPr="00FD4FF3">
        <w:t>е</w:t>
      </w:r>
      <w:r w:rsidRPr="00FD4FF3">
        <w:t>том того, что автору требовалась и все еще требуется с</w:t>
      </w:r>
      <w:r w:rsidR="00B85B79">
        <w:t xml:space="preserve">оциальная поддержка и помощь. А </w:t>
      </w:r>
      <w:r w:rsidRPr="00FD4FF3">
        <w:t xml:space="preserve">между тем его </w:t>
      </w:r>
      <w:proofErr w:type="spellStart"/>
      <w:r w:rsidRPr="00FD4FF3">
        <w:t>инкарцерация</w:t>
      </w:r>
      <w:proofErr w:type="spellEnd"/>
      <w:r w:rsidRPr="00FD4FF3">
        <w:t xml:space="preserve"> и его продолжающийся администр</w:t>
      </w:r>
      <w:r w:rsidRPr="00FD4FF3">
        <w:t>а</w:t>
      </w:r>
      <w:r w:rsidRPr="00FD4FF3">
        <w:t xml:space="preserve">тивный арест не отражают </w:t>
      </w:r>
      <w:r w:rsidR="00FE6FCA" w:rsidRPr="00FD4FF3">
        <w:t>«</w:t>
      </w:r>
      <w:r w:rsidRPr="00FD4FF3">
        <w:t>наименее инвазивные</w:t>
      </w:r>
      <w:r w:rsidR="00FE6FCA" w:rsidRPr="00FD4FF3">
        <w:t>»</w:t>
      </w:r>
      <w:r w:rsidRPr="00FD4FF3">
        <w:t xml:space="preserve"> или </w:t>
      </w:r>
      <w:r w:rsidR="00FE6FCA" w:rsidRPr="00FD4FF3">
        <w:t>«</w:t>
      </w:r>
      <w:r w:rsidRPr="00FD4FF3">
        <w:t>наименее огранич</w:t>
      </w:r>
      <w:r w:rsidRPr="00FD4FF3">
        <w:t>и</w:t>
      </w:r>
      <w:r w:rsidRPr="00FD4FF3">
        <w:t>тельные</w:t>
      </w:r>
      <w:r w:rsidR="00FE6FCA" w:rsidRPr="00FD4FF3">
        <w:t>»</w:t>
      </w:r>
      <w:r w:rsidRPr="00FD4FF3">
        <w:t xml:space="preserve"> методы удовлетворения его потребностей.</w:t>
      </w:r>
    </w:p>
    <w:p w:rsidR="007B31D5" w:rsidRPr="00FD4FF3" w:rsidRDefault="007B31D5" w:rsidP="007B31D5">
      <w:pPr>
        <w:pStyle w:val="SingleTxtGR"/>
      </w:pPr>
      <w:r w:rsidRPr="00FD4FF3">
        <w:t>5.5</w:t>
      </w:r>
      <w:r w:rsidRPr="00FD4FF3">
        <w:tab/>
        <w:t xml:space="preserve">Автор утверждает, что условия его заключения в </w:t>
      </w:r>
      <w:proofErr w:type="spellStart"/>
      <w:r w:rsidRPr="00FD4FF3">
        <w:t>гринафской</w:t>
      </w:r>
      <w:proofErr w:type="spellEnd"/>
      <w:r w:rsidRPr="00FD4FF3">
        <w:t xml:space="preserve"> окружной тюрьме были точно такие же, как и у осужденных заключенных, хотя он подл</w:t>
      </w:r>
      <w:r w:rsidRPr="00FD4FF3">
        <w:t>е</w:t>
      </w:r>
      <w:r w:rsidRPr="00FD4FF3">
        <w:t>жал задержанию исключительно в целях терапии, попечения и реабилитации. Этот карательный аспект нашел отражение и в реакции Надзорного совета, к</w:t>
      </w:r>
      <w:r w:rsidRPr="00FD4FF3">
        <w:t>о</w:t>
      </w:r>
      <w:r w:rsidRPr="00FD4FF3">
        <w:t>торый, несмотря на то что предполагаемые жертвы правонарушений публично отозвали свои первоначальные показания против автора, рекомендовал мин</w:t>
      </w:r>
      <w:r w:rsidRPr="00FD4FF3">
        <w:t>и</w:t>
      </w:r>
      <w:r w:rsidRPr="00FD4FF3">
        <w:t>стру здравоохранения, чтобы заключение автора продолжалось на протяжении 9 лет с тех пор, как 11 марта 2003 года суд вынес в отношении него постано</w:t>
      </w:r>
      <w:r w:rsidRPr="00FD4FF3">
        <w:t>в</w:t>
      </w:r>
      <w:r w:rsidRPr="00FD4FF3">
        <w:t>ление о режимном надзоре, и вплоть до тех пор, как 10 января 2012</w:t>
      </w:r>
      <w:r w:rsidR="00A1460E">
        <w:t xml:space="preserve"> года</w:t>
      </w:r>
      <w:r w:rsidRPr="00FD4FF3">
        <w:t xml:space="preserve"> в о</w:t>
      </w:r>
      <w:r w:rsidRPr="00FD4FF3">
        <w:t>т</w:t>
      </w:r>
      <w:r w:rsidRPr="00FD4FF3">
        <w:t xml:space="preserve">ношении него было вынесено постановление об условном освобождении. </w:t>
      </w:r>
    </w:p>
    <w:p w:rsidR="007B31D5" w:rsidRPr="00FD4FF3" w:rsidRDefault="007B31D5" w:rsidP="007B31D5">
      <w:pPr>
        <w:pStyle w:val="SingleTxtGR"/>
      </w:pPr>
      <w:r w:rsidRPr="00FD4FF3">
        <w:t>5.6</w:t>
      </w:r>
      <w:r w:rsidRPr="00FD4FF3">
        <w:tab/>
        <w:t>Автор отмечает, что, по словам государства-участника, его задержание носило временный характер – до тех пор, пока не освободится место в специ</w:t>
      </w:r>
      <w:r w:rsidRPr="00FD4FF3">
        <w:t>а</w:t>
      </w:r>
      <w:r w:rsidRPr="00FD4FF3">
        <w:t>лизированном заведении. Но такие места так и не освободились, а его продо</w:t>
      </w:r>
      <w:r w:rsidRPr="00FD4FF3">
        <w:t>л</w:t>
      </w:r>
      <w:r w:rsidRPr="00FD4FF3">
        <w:t xml:space="preserve">жительная </w:t>
      </w:r>
      <w:proofErr w:type="spellStart"/>
      <w:r w:rsidRPr="00FD4FF3">
        <w:t>инкарцерация</w:t>
      </w:r>
      <w:proofErr w:type="spellEnd"/>
      <w:r w:rsidRPr="00FD4FF3">
        <w:t xml:space="preserve"> вместе с осужденными носила оскорбительный и ун</w:t>
      </w:r>
      <w:r w:rsidRPr="00FD4FF3">
        <w:t>и</w:t>
      </w:r>
      <w:r w:rsidRPr="00FD4FF3">
        <w:t xml:space="preserve">зительный характер. Автор отмечает, что правительство Западной Австралии приостановило свое решение о сооружении двух так называемых </w:t>
      </w:r>
      <w:r w:rsidR="00FE6FCA" w:rsidRPr="00FD4FF3">
        <w:t>«</w:t>
      </w:r>
      <w:r w:rsidRPr="00FD4FF3">
        <w:t>центров пр</w:t>
      </w:r>
      <w:r w:rsidRPr="00FD4FF3">
        <w:t>а</w:t>
      </w:r>
      <w:r w:rsidRPr="00FD4FF3">
        <w:t>восудия для инвалидов</w:t>
      </w:r>
      <w:r w:rsidR="00FE6FCA" w:rsidRPr="00FD4FF3">
        <w:t>»</w:t>
      </w:r>
      <w:r w:rsidRPr="00FD4FF3">
        <w:t>. Вместо этого оно построило один такой объект, сп</w:t>
      </w:r>
      <w:r w:rsidRPr="00FD4FF3">
        <w:t>о</w:t>
      </w:r>
      <w:r w:rsidRPr="00FD4FF3">
        <w:t xml:space="preserve">собный обеспечить </w:t>
      </w:r>
      <w:proofErr w:type="spellStart"/>
      <w:r w:rsidRPr="00FD4FF3">
        <w:t>инкарцерацию</w:t>
      </w:r>
      <w:proofErr w:type="spellEnd"/>
      <w:r w:rsidRPr="00FD4FF3">
        <w:t xml:space="preserve"> 10 человек </w:t>
      </w:r>
      <w:r w:rsidR="00122425">
        <w:t>в условиях усиленного режима. И </w:t>
      </w:r>
      <w:r w:rsidRPr="00FD4FF3">
        <w:t>автор опасается, что, как только этот объект начнет функционировать, Надзорный совет отменит свое постановление о его условном освобождении и заточит его туда</w:t>
      </w:r>
      <w:r w:rsidRPr="00F35856">
        <w:rPr>
          <w:sz w:val="18"/>
          <w:vertAlign w:val="superscript"/>
        </w:rPr>
        <w:footnoteReference w:id="40"/>
      </w:r>
      <w:r w:rsidRPr="00FD4FF3">
        <w:t xml:space="preserve">. </w:t>
      </w:r>
    </w:p>
    <w:p w:rsidR="007B31D5" w:rsidRPr="00FD4FF3" w:rsidRDefault="007B31D5" w:rsidP="007B31D5">
      <w:pPr>
        <w:pStyle w:val="SingleTxtGR"/>
      </w:pPr>
      <w:r w:rsidRPr="00FD4FF3">
        <w:t>5.7</w:t>
      </w:r>
      <w:r w:rsidRPr="00FD4FF3">
        <w:tab/>
        <w:t>Что касается ссылки государства-участника на наличные программы по</w:t>
      </w:r>
      <w:r w:rsidRPr="00FD4FF3">
        <w:t>д</w:t>
      </w:r>
      <w:r w:rsidRPr="00FD4FF3">
        <w:t>держки лиц, страдающих когнитивными расстройствами, в системе уголовной юстиции, то автор утверждает, что ему не была предоставлена никакая такая программа, и их существование не имеет отношения к нарушениям прав чел</w:t>
      </w:r>
      <w:r w:rsidRPr="00FD4FF3">
        <w:t>о</w:t>
      </w:r>
      <w:r w:rsidRPr="00FD4FF3">
        <w:t xml:space="preserve">века, о которых он заявляет. </w:t>
      </w:r>
    </w:p>
    <w:p w:rsidR="007B31D5" w:rsidRPr="00FD4FF3" w:rsidRDefault="007B31D5" w:rsidP="007B31D5">
      <w:pPr>
        <w:pStyle w:val="SingleTxtGR"/>
      </w:pPr>
      <w:r w:rsidRPr="00FD4FF3">
        <w:t>5.8</w:t>
      </w:r>
      <w:r w:rsidRPr="00FD4FF3">
        <w:tab/>
        <w:t>Что касается утверждений государства-участника относительно правовой реформы, то автор отмечает, что с тех пор как он представил свое сообщение, Закон 1996 года о душевнобольных обвиняемых так и не был реформирован. Он повторяет, что Закон предусматривает иное обращение с инвалидами, кот</w:t>
      </w:r>
      <w:r w:rsidRPr="00FD4FF3">
        <w:t>о</w:t>
      </w:r>
      <w:r w:rsidRPr="00FD4FF3">
        <w:t>рое по причине инвалидности отлично от обращения с другими обвиняемыми, и что обращение с ним никак не было легитимным дифференцированным о</w:t>
      </w:r>
      <w:r w:rsidRPr="00FD4FF3">
        <w:t>б</w:t>
      </w:r>
      <w:r w:rsidRPr="00FD4FF3">
        <w:t>ращением, а было, в сущности, отягощенным нелегитимным пагубным обращ</w:t>
      </w:r>
      <w:r w:rsidRPr="00FD4FF3">
        <w:t>е</w:t>
      </w:r>
      <w:r w:rsidRPr="00FD4FF3">
        <w:t>нием.</w:t>
      </w:r>
    </w:p>
    <w:p w:rsidR="007B31D5" w:rsidRPr="00FD4FF3" w:rsidRDefault="007B31D5" w:rsidP="007B31D5">
      <w:pPr>
        <w:pStyle w:val="SingleTxtGR"/>
      </w:pPr>
      <w:r w:rsidRPr="00FD4FF3">
        <w:t>5.9</w:t>
      </w:r>
      <w:r w:rsidRPr="00FD4FF3">
        <w:tab/>
        <w:t>Автор утверждает, что представления государства-участника исходят из допущения о том, будто он совершил правонарушения, в которых он был обв</w:t>
      </w:r>
      <w:r w:rsidRPr="00FD4FF3">
        <w:t>и</w:t>
      </w:r>
      <w:r w:rsidRPr="00FD4FF3">
        <w:t>нен, чего он не делал. Установить, что он представляет дальнейшую опасность для общества, не удалось, но он подвергся стигматизации, и обходятся с ним так, будто так оно и есть.</w:t>
      </w:r>
    </w:p>
    <w:p w:rsidR="007B31D5" w:rsidRPr="00FD4FF3" w:rsidRDefault="007B31D5" w:rsidP="007B31D5">
      <w:pPr>
        <w:pStyle w:val="SingleTxtGR"/>
      </w:pPr>
      <w:r w:rsidRPr="00FD4FF3">
        <w:t>5.10</w:t>
      </w:r>
      <w:r w:rsidRPr="00FD4FF3">
        <w:tab/>
        <w:t>Что касается утверждения государства-участника о том, что законод</w:t>
      </w:r>
      <w:r w:rsidRPr="00FD4FF3">
        <w:t>а</w:t>
      </w:r>
      <w:r w:rsidRPr="00FD4FF3">
        <w:t>тельство, подобное Закону о душевнобольных обвиняемых, существует и в др</w:t>
      </w:r>
      <w:r w:rsidRPr="00FD4FF3">
        <w:t>у</w:t>
      </w:r>
      <w:r w:rsidRPr="00FD4FF3">
        <w:t>гих юрисдикциях, то, как считает автор, это вовсе не означает, что такое зак</w:t>
      </w:r>
      <w:r w:rsidRPr="00FD4FF3">
        <w:t>о</w:t>
      </w:r>
      <w:r w:rsidRPr="00FD4FF3">
        <w:t>нодательство служит легитимной цели. Напротив, оно являет собой одну из с</w:t>
      </w:r>
      <w:r w:rsidRPr="00FD4FF3">
        <w:t>а</w:t>
      </w:r>
      <w:r w:rsidRPr="00FD4FF3">
        <w:t xml:space="preserve">мых серьезных и вездесущих форм нарушения прав инвалидов и должно быть экстренно реформировано. </w:t>
      </w:r>
    </w:p>
    <w:p w:rsidR="007B31D5" w:rsidRPr="00FD4FF3" w:rsidRDefault="007B31D5" w:rsidP="007B31D5">
      <w:pPr>
        <w:pStyle w:val="SingleTxtGR"/>
      </w:pPr>
      <w:r w:rsidRPr="00FD4FF3">
        <w:t>5.11</w:t>
      </w:r>
      <w:r w:rsidR="00EF41D4" w:rsidRPr="00EF41D4">
        <w:tab/>
      </w:r>
      <w:bookmarkStart w:id="7" w:name="_GoBack"/>
      <w:bookmarkEnd w:id="7"/>
      <w:r w:rsidRPr="00FD4FF3">
        <w:t>Автор заявляет, что после аннулирования его обвинительного акта он х</w:t>
      </w:r>
      <w:r w:rsidRPr="00FD4FF3">
        <w:t>о</w:t>
      </w:r>
      <w:r w:rsidRPr="00FD4FF3">
        <w:t>датайствовал перед окружным судом Западной Австралии о заключении насчет его психической дееспособности. Ходатайство было рассмотрено судом 4 ноя</w:t>
      </w:r>
      <w:r w:rsidRPr="00FD4FF3">
        <w:t>б</w:t>
      </w:r>
      <w:r w:rsidRPr="00FD4FF3">
        <w:t>ря 2010 года и отклонено 5 ноября 2010 года</w:t>
      </w:r>
      <w:r w:rsidRPr="00F35856">
        <w:rPr>
          <w:sz w:val="18"/>
          <w:vertAlign w:val="superscript"/>
        </w:rPr>
        <w:footnoteReference w:id="41"/>
      </w:r>
      <w:r w:rsidRPr="00FD4FF3">
        <w:t>. Что касается утверждения гос</w:t>
      </w:r>
      <w:r w:rsidRPr="00FD4FF3">
        <w:t>у</w:t>
      </w:r>
      <w:r w:rsidRPr="00FD4FF3">
        <w:t>дарства-участника о том, что автор мог подать апелляцию на решение окружн</w:t>
      </w:r>
      <w:r w:rsidRPr="00FD4FF3">
        <w:t>о</w:t>
      </w:r>
      <w:r w:rsidRPr="00FD4FF3">
        <w:t>го суда в Апелляционный суд Западной Австралии, то автор считает, что это было бы бесполезно; ему надо было бы доказать, что решение окружного суда носило ошибочный характер, тогда как по Закону о душевнобольных обвиня</w:t>
      </w:r>
      <w:r w:rsidRPr="00FD4FF3">
        <w:t>е</w:t>
      </w:r>
      <w:r w:rsidRPr="00FD4FF3">
        <w:t>мых оно было юридически корректным. Что касается возможного спорного и</w:t>
      </w:r>
      <w:r w:rsidRPr="00FD4FF3">
        <w:t>с</w:t>
      </w:r>
      <w:r w:rsidRPr="00FD4FF3">
        <w:t>ка о судебном надзоре, то это ограничивалось бы оспариванием осуществления дискреционных полномочий Надзорного совета давать рекомендации министру здравоохранения или губернатору Западной Австралии относительно его осв</w:t>
      </w:r>
      <w:r w:rsidRPr="00FD4FF3">
        <w:t>о</w:t>
      </w:r>
      <w:r w:rsidRPr="00FD4FF3">
        <w:t>бождения. А поскольку от них не требуется принимать рекомендации Надзо</w:t>
      </w:r>
      <w:r w:rsidRPr="00FD4FF3">
        <w:t>р</w:t>
      </w:r>
      <w:r w:rsidRPr="00FD4FF3">
        <w:t xml:space="preserve">ного совета, любой возможный судебный надзор не мог бы дать автору </w:t>
      </w:r>
      <w:proofErr w:type="spellStart"/>
      <w:r w:rsidRPr="00FD4FF3">
        <w:t>прав</w:t>
      </w:r>
      <w:r w:rsidRPr="00FD4FF3">
        <w:t>о</w:t>
      </w:r>
      <w:r w:rsidRPr="00FD4FF3">
        <w:t>применимое</w:t>
      </w:r>
      <w:proofErr w:type="spellEnd"/>
      <w:r w:rsidRPr="00FD4FF3">
        <w:t xml:space="preserve"> внутреннее средство правовой защиты. </w:t>
      </w:r>
    </w:p>
    <w:p w:rsidR="007B31D5" w:rsidRPr="00FD4FF3" w:rsidRDefault="007B31D5" w:rsidP="007B31D5">
      <w:pPr>
        <w:pStyle w:val="SingleTxtGR"/>
      </w:pPr>
      <w:r w:rsidRPr="00FD4FF3">
        <w:t>5.12</w:t>
      </w:r>
      <w:r w:rsidRPr="00FD4FF3">
        <w:tab/>
        <w:t>Автор считает, что Закон о душевнобольных обвиняемых не налагает на суд никакой обязанности предусмотреть разумные адаптации, которые могли бы позволить обвиняемому, страдающему интеллектуальной недееспособн</w:t>
      </w:r>
      <w:r w:rsidRPr="00FD4FF3">
        <w:t>о</w:t>
      </w:r>
      <w:r w:rsidRPr="00FD4FF3">
        <w:t>стью или психическим заболеванием, предстать перед судом и получить спр</w:t>
      </w:r>
      <w:r w:rsidRPr="00FD4FF3">
        <w:t>а</w:t>
      </w:r>
      <w:r w:rsidRPr="00FD4FF3">
        <w:t>ведливое судебное разбирательство. Автор считает, что, поскольку ему не было предоставлено справедливых гарантий в том, что касается правонарушений, в которых он был обвинен в октябре 2002 года, с ним по-прежнему обходятся так, будто он совершил эти правонарушения, и не дают ему возможности оспорить это допущение.</w:t>
      </w:r>
    </w:p>
    <w:p w:rsidR="007B31D5" w:rsidRPr="00FD4FF3" w:rsidRDefault="007B31D5" w:rsidP="007B31D5">
      <w:pPr>
        <w:pStyle w:val="SingleTxtGR"/>
      </w:pPr>
      <w:r w:rsidRPr="00FD4FF3">
        <w:t>5.13</w:t>
      </w:r>
      <w:r w:rsidRPr="00FD4FF3">
        <w:tab/>
        <w:t>Что касается риска вреда в тюрьме, то автор утверждает, что посягател</w:t>
      </w:r>
      <w:r w:rsidRPr="00FD4FF3">
        <w:t>ь</w:t>
      </w:r>
      <w:r w:rsidRPr="00FD4FF3">
        <w:t>ства, с которыми он сталкивался, носили серьезный характер. Он нередко по</w:t>
      </w:r>
      <w:r w:rsidRPr="00FD4FF3">
        <w:t>д</w:t>
      </w:r>
      <w:r w:rsidRPr="00FD4FF3">
        <w:t>вергался</w:t>
      </w:r>
      <w:r w:rsidR="00810908">
        <w:t xml:space="preserve"> актам насилия и надругательств</w:t>
      </w:r>
      <w:r w:rsidRPr="00FD4FF3">
        <w:t xml:space="preserve"> со стороны других заключенных, что, по всей видимости, не было зафиксиро</w:t>
      </w:r>
      <w:r w:rsidR="00A364FC">
        <w:t>вано тюремной администрацией. В </w:t>
      </w:r>
      <w:r w:rsidRPr="00FD4FF3">
        <w:t>силу их частоты эти правонарушения сделали его более уязвимым; его инвалидность мешала ему защищаться, а такая ситуация равносильна бесчеловечному и ун</w:t>
      </w:r>
      <w:r w:rsidRPr="00FD4FF3">
        <w:t>и</w:t>
      </w:r>
      <w:r w:rsidRPr="00FD4FF3">
        <w:t>зительному обращению.</w:t>
      </w:r>
    </w:p>
    <w:p w:rsidR="007B31D5" w:rsidRPr="00FD4FF3" w:rsidRDefault="007B31D5" w:rsidP="007B31D5">
      <w:pPr>
        <w:pStyle w:val="SingleTxtGR"/>
      </w:pPr>
      <w:r w:rsidRPr="00FD4FF3">
        <w:t>5.14</w:t>
      </w:r>
      <w:r w:rsidRPr="00FD4FF3">
        <w:tab/>
        <w:t>Автор считает, что в результате того, что его неправильно признали в</w:t>
      </w:r>
      <w:r w:rsidRPr="00FD4FF3">
        <w:t>и</w:t>
      </w:r>
      <w:r w:rsidRPr="00FD4FF3">
        <w:t>новным якобы в употреблении наркотиков, он был заточен в тюрьме и лишен отпуска в течение шести месяцев. Впоследствии он был оправдан, но не пол</w:t>
      </w:r>
      <w:r w:rsidRPr="00FD4FF3">
        <w:t>у</w:t>
      </w:r>
      <w:r w:rsidRPr="00FD4FF3">
        <w:t xml:space="preserve">чил ни извинений, ни иных компенсаций, </w:t>
      </w:r>
      <w:r w:rsidR="00810908">
        <w:t>а</w:t>
      </w:r>
      <w:r w:rsidRPr="00FD4FF3">
        <w:t xml:space="preserve"> зато был включен в Австралийский национальный реестр лиц, совершивших правонарушения в отношении детей, что он считает особенно оскорбительным и унизительным. </w:t>
      </w:r>
    </w:p>
    <w:p w:rsidR="007B31D5" w:rsidRPr="00FD4FF3" w:rsidRDefault="007B31D5" w:rsidP="007B31D5">
      <w:pPr>
        <w:pStyle w:val="SingleTxtGR"/>
      </w:pPr>
      <w:r w:rsidRPr="00FD4FF3">
        <w:t>5.15</w:t>
      </w:r>
      <w:r w:rsidRPr="00FD4FF3">
        <w:tab/>
        <w:t>Автор утверждает, что все это время он находился в заключении и усл</w:t>
      </w:r>
      <w:r w:rsidRPr="00FD4FF3">
        <w:t>о</w:t>
      </w:r>
      <w:r w:rsidRPr="00FD4FF3">
        <w:t>вия его условного освобождения равносильны лишению свободы. Вдобавок по статье 37 Закона о душевнобольных обвиняемых Надзорный совет, если он с</w:t>
      </w:r>
      <w:r w:rsidRPr="00FD4FF3">
        <w:t>о</w:t>
      </w:r>
      <w:r w:rsidRPr="00FD4FF3">
        <w:t>чтет, что автор нарушил любое из условий его освобождения, может, в обход обычных правовых процедур, применимых к лицам, не имеющим инвалидн</w:t>
      </w:r>
      <w:r w:rsidRPr="00FD4FF3">
        <w:t>о</w:t>
      </w:r>
      <w:r w:rsidRPr="00FD4FF3">
        <w:t xml:space="preserve">сти, принять новое постановление о режимном надзоре, которое вступит в силу немедленно. </w:t>
      </w:r>
    </w:p>
    <w:p w:rsidR="007B31D5" w:rsidRPr="00FD4FF3" w:rsidRDefault="007B31D5" w:rsidP="00C57E01">
      <w:pPr>
        <w:pStyle w:val="H23GR"/>
      </w:pPr>
      <w:r w:rsidRPr="00FD4FF3">
        <w:tab/>
      </w:r>
      <w:r w:rsidRPr="00FD4FF3">
        <w:tab/>
        <w:t xml:space="preserve">Дополнительные замечания государства-участника </w:t>
      </w:r>
    </w:p>
    <w:p w:rsidR="007B31D5" w:rsidRPr="00FD4FF3" w:rsidRDefault="007B31D5" w:rsidP="007B31D5">
      <w:pPr>
        <w:pStyle w:val="SingleTxtGR"/>
      </w:pPr>
      <w:r w:rsidRPr="00FD4FF3">
        <w:t>6.1</w:t>
      </w:r>
      <w:r w:rsidRPr="00FD4FF3">
        <w:tab/>
        <w:t>23 февраля 2016 года государство-участник представило дополнительные замечания по комментариям автора, повторив свое мнение о том, что временной мандат Комитета применяется в отношении событий, имевших место на или после 19 сентября 2009 года. Государство-участник не считает, что факты, и</w:t>
      </w:r>
      <w:r w:rsidRPr="00FD4FF3">
        <w:t>з</w:t>
      </w:r>
      <w:r w:rsidRPr="00FD4FF3">
        <w:t>ложенные в настоящем сообщении, представляют собой продолжаемое нар</w:t>
      </w:r>
      <w:r w:rsidRPr="00FD4FF3">
        <w:t>у</w:t>
      </w:r>
      <w:r w:rsidRPr="00FD4FF3">
        <w:t>шение</w:t>
      </w:r>
      <w:r w:rsidRPr="00F35856">
        <w:rPr>
          <w:sz w:val="18"/>
          <w:vertAlign w:val="superscript"/>
        </w:rPr>
        <w:footnoteReference w:id="42"/>
      </w:r>
      <w:r w:rsidRPr="00FD4FF3">
        <w:t>.</w:t>
      </w:r>
    </w:p>
    <w:p w:rsidR="007B31D5" w:rsidRPr="00FD4FF3" w:rsidRDefault="007B31D5" w:rsidP="007B31D5">
      <w:pPr>
        <w:pStyle w:val="SingleTxtGR"/>
      </w:pPr>
      <w:r w:rsidRPr="00FD4FF3">
        <w:t>6.2</w:t>
      </w:r>
      <w:r w:rsidRPr="00FD4FF3">
        <w:tab/>
        <w:t>Государство-участник утверждает, что с его освобождения из-под стражи 10 января 2012 года автор никогда не находился под административным арестом и с тех пор проживает в общине. Постановление об условном освобождении а</w:t>
      </w:r>
      <w:r w:rsidRPr="00FD4FF3">
        <w:t>в</w:t>
      </w:r>
      <w:r w:rsidRPr="00FD4FF3">
        <w:t>тора является предметом регулярного обзора со стороны Надзорного совета, к</w:t>
      </w:r>
      <w:r w:rsidRPr="00FD4FF3">
        <w:t>о</w:t>
      </w:r>
      <w:r w:rsidRPr="00FD4FF3">
        <w:t>торый удовлетворён соблюдением автором своих обязательств. Государство-участник не имеет никаких планов отменить постановление об освобождении автора или взять его под стражу.</w:t>
      </w:r>
    </w:p>
    <w:p w:rsidR="007B31D5" w:rsidRPr="00FD4FF3" w:rsidRDefault="007B31D5" w:rsidP="007B31D5">
      <w:pPr>
        <w:pStyle w:val="SingleTxtGR"/>
      </w:pPr>
      <w:r w:rsidRPr="00FD4FF3">
        <w:t>6.3</w:t>
      </w:r>
      <w:r w:rsidRPr="00FD4FF3">
        <w:tab/>
        <w:t>Государство-участник указывает, что в 2015 году Западная Австралия о</w:t>
      </w:r>
      <w:r w:rsidRPr="00FD4FF3">
        <w:t>т</w:t>
      </w:r>
      <w:r w:rsidRPr="00FD4FF3">
        <w:t>крыла центр правосудия для инвалидов с</w:t>
      </w:r>
      <w:r w:rsidR="00810908">
        <w:t xml:space="preserve"> целью обеспечить дополнительные</w:t>
      </w:r>
      <w:r w:rsidRPr="00FD4FF3">
        <w:t xml:space="preserve"> варианты заключения инвалидов, которые были признаны неспособными участвовать в судебных разбирательствах. 30 ноября 2015 года вступил в силу Закон 2014 года об охране психического здоровья. Он ввел меры защиты в о</w:t>
      </w:r>
      <w:r w:rsidRPr="00FD4FF3">
        <w:t>т</w:t>
      </w:r>
      <w:r w:rsidRPr="00FD4FF3">
        <w:t xml:space="preserve">ношении использования полномочий на принудительное лечение и установил новые права для семей и попечителей. Правительство Западной Австралии также завершило обзор Закона о душевнобольных обвиняемых и намерено представить в 2016 году заключительный доклад и рекомендации. </w:t>
      </w:r>
    </w:p>
    <w:p w:rsidR="007B31D5" w:rsidRPr="00FD4FF3" w:rsidRDefault="007B31D5" w:rsidP="00C57E01">
      <w:pPr>
        <w:pStyle w:val="H1GR"/>
      </w:pPr>
      <w:r w:rsidRPr="00FD4FF3">
        <w:tab/>
        <w:t>В.</w:t>
      </w:r>
      <w:r w:rsidRPr="00FD4FF3">
        <w:tab/>
        <w:t>Рассмотрение Комитетом вопроса о приемлемости и существа сообщения</w:t>
      </w:r>
    </w:p>
    <w:p w:rsidR="007B31D5" w:rsidRPr="00FD4FF3" w:rsidRDefault="007B31D5" w:rsidP="00C57E01">
      <w:pPr>
        <w:pStyle w:val="H23GR"/>
      </w:pPr>
      <w:r w:rsidRPr="00FD4FF3">
        <w:tab/>
      </w:r>
      <w:r w:rsidRPr="00FD4FF3">
        <w:tab/>
        <w:t>Рассмотрение вопроса о приемлемости</w:t>
      </w:r>
    </w:p>
    <w:p w:rsidR="007B31D5" w:rsidRPr="00FD4FF3" w:rsidRDefault="007B31D5" w:rsidP="007B31D5">
      <w:pPr>
        <w:pStyle w:val="SingleTxtGR"/>
      </w:pPr>
      <w:r w:rsidRPr="00FD4FF3">
        <w:t>7.1</w:t>
      </w:r>
      <w:r w:rsidRPr="00FD4FF3">
        <w:tab/>
        <w:t>Прежде чем рассматривать любое утверждение, содержащееся в сообщ</w:t>
      </w:r>
      <w:r w:rsidRPr="00FD4FF3">
        <w:t>е</w:t>
      </w:r>
      <w:r w:rsidRPr="00FD4FF3">
        <w:t>нии, Комитет, в соответствии со статьей 2 Факультативного протокола и прав</w:t>
      </w:r>
      <w:r w:rsidRPr="00FD4FF3">
        <w:t>и</w:t>
      </w:r>
      <w:r w:rsidRPr="00FD4FF3">
        <w:t>лом 65 своих правил процедуры, должен решить, является ли оно приемлемым по Факультативному протоколу.</w:t>
      </w:r>
    </w:p>
    <w:p w:rsidR="007B31D5" w:rsidRPr="00FD4FF3" w:rsidRDefault="007B31D5" w:rsidP="007B31D5">
      <w:pPr>
        <w:pStyle w:val="SingleTxtGR"/>
      </w:pPr>
      <w:r w:rsidRPr="00FD4FF3">
        <w:t>7.2</w:t>
      </w:r>
      <w:r w:rsidRPr="00FD4FF3">
        <w:tab/>
        <w:t>В соответствии с пунктом с) статьи 2 Факультативного протокола, Ком</w:t>
      </w:r>
      <w:r w:rsidRPr="00FD4FF3">
        <w:t>и</w:t>
      </w:r>
      <w:r w:rsidRPr="00FD4FF3">
        <w:t>тет удостоверился, что этот же вопрос еще не был изучен Комитетом и не ра</w:t>
      </w:r>
      <w:r w:rsidRPr="00FD4FF3">
        <w:t>с</w:t>
      </w:r>
      <w:r w:rsidRPr="00FD4FF3">
        <w:t>сматривался или не рассматривается в соответствии с другой процедурой ме</w:t>
      </w:r>
      <w:r w:rsidRPr="00FD4FF3">
        <w:t>ж</w:t>
      </w:r>
      <w:r w:rsidRPr="00FD4FF3">
        <w:t>дународного разбирательства или урегулирования.</w:t>
      </w:r>
    </w:p>
    <w:p w:rsidR="007B31D5" w:rsidRPr="00FD4FF3" w:rsidRDefault="007B31D5" w:rsidP="007B31D5">
      <w:pPr>
        <w:pStyle w:val="SingleTxtGR"/>
      </w:pPr>
      <w:r w:rsidRPr="00FD4FF3">
        <w:t>7.3</w:t>
      </w:r>
      <w:r w:rsidRPr="00FD4FF3">
        <w:tab/>
        <w:t>Комитет отмечает, что государство-участник представляет четыре ко</w:t>
      </w:r>
      <w:r w:rsidRPr="00FD4FF3">
        <w:t>м</w:t>
      </w:r>
      <w:r w:rsidRPr="00FD4FF3">
        <w:t>плекса доводов в отношении приемлемости утве</w:t>
      </w:r>
      <w:r w:rsidR="00122425">
        <w:t>рждений автора по статьям 1 и 2 </w:t>
      </w:r>
      <w:r w:rsidRPr="00FD4FF3">
        <w:t>e), d) и f) Факультативного протокола, которые он будет рассматривать о</w:t>
      </w:r>
      <w:r w:rsidRPr="00FD4FF3">
        <w:t>т</w:t>
      </w:r>
      <w:r w:rsidRPr="00FD4FF3">
        <w:t xml:space="preserve">дельно. </w:t>
      </w:r>
    </w:p>
    <w:p w:rsidR="007B31D5" w:rsidRPr="00FD4FF3" w:rsidRDefault="007B31D5" w:rsidP="007B31D5">
      <w:pPr>
        <w:pStyle w:val="SingleTxtGR"/>
      </w:pPr>
      <w:r w:rsidRPr="00FD4FF3">
        <w:t>7.4</w:t>
      </w:r>
      <w:r w:rsidRPr="00FD4FF3">
        <w:tab/>
        <w:t>Во-первых, Комитет отмечает, что, по мнению государства-участника, утверждения автора в отношении событий, имевших место до вступления Ф</w:t>
      </w:r>
      <w:r w:rsidRPr="00FD4FF3">
        <w:t>а</w:t>
      </w:r>
      <w:r w:rsidRPr="00FD4FF3">
        <w:t xml:space="preserve">культативного протокола в силу, следует считать неприемлемыми </w:t>
      </w:r>
      <w:proofErr w:type="spellStart"/>
      <w:r w:rsidRPr="00FD4FF3">
        <w:t>ratione</w:t>
      </w:r>
      <w:proofErr w:type="spellEnd"/>
      <w:r w:rsidRPr="00FD4FF3">
        <w:t xml:space="preserve"> </w:t>
      </w:r>
      <w:proofErr w:type="spellStart"/>
      <w:r w:rsidRPr="00FD4FF3">
        <w:t>temporis</w:t>
      </w:r>
      <w:proofErr w:type="spellEnd"/>
      <w:r w:rsidRPr="00FD4FF3">
        <w:t>. Комитет также отмечает довод автора о том, что некоторые из соб</w:t>
      </w:r>
      <w:r w:rsidRPr="00FD4FF3">
        <w:t>ы</w:t>
      </w:r>
      <w:r w:rsidRPr="00FD4FF3">
        <w:t>тий, которые имели место до вступления Факультативного протокола в силу, входят в компетенцию Комитета, поскольку они являются продолжаемым нарушением. Коми</w:t>
      </w:r>
      <w:r w:rsidR="00122425">
        <w:t>тет напоминает, что по пункту 2 </w:t>
      </w:r>
      <w:r w:rsidRPr="00FD4FF3">
        <w:t>f) Факультативного прот</w:t>
      </w:r>
      <w:r w:rsidRPr="00FD4FF3">
        <w:t>о</w:t>
      </w:r>
      <w:r w:rsidRPr="00FD4FF3">
        <w:t xml:space="preserve">кола Комитет считает сообщение неприемлемым, когда </w:t>
      </w:r>
      <w:r w:rsidR="00FE6FCA" w:rsidRPr="00FD4FF3">
        <w:t>«</w:t>
      </w:r>
      <w:r w:rsidRPr="00FD4FF3">
        <w:t>факты, являющиеся предметом сообщения, имели место до вступления… [Факультативного прот</w:t>
      </w:r>
      <w:r w:rsidRPr="00FD4FF3">
        <w:t>о</w:t>
      </w:r>
      <w:r w:rsidRPr="00FD4FF3">
        <w:t>кола] в силу для соответствующего государства – участника, если только эти факты не продолжались и после упомянутой даты</w:t>
      </w:r>
      <w:r w:rsidR="00FE6FCA" w:rsidRPr="00FD4FF3">
        <w:t>»</w:t>
      </w:r>
      <w:r w:rsidRPr="00FD4FF3">
        <w:t>. Комитет также напоминает, что продолжаемое нарушение должно толковаться после вступления Факульт</w:t>
      </w:r>
      <w:r w:rsidRPr="00FD4FF3">
        <w:t>а</w:t>
      </w:r>
      <w:r w:rsidRPr="00FD4FF3">
        <w:t>тивного протокола в силу как подтверждение действием или явным последств</w:t>
      </w:r>
      <w:r w:rsidRPr="00FD4FF3">
        <w:t>и</w:t>
      </w:r>
      <w:r w:rsidRPr="00FD4FF3">
        <w:t>ем предыдущих нарушений</w:t>
      </w:r>
      <w:r w:rsidRPr="00F35856">
        <w:rPr>
          <w:sz w:val="18"/>
          <w:vertAlign w:val="superscript"/>
        </w:rPr>
        <w:footnoteReference w:id="43"/>
      </w:r>
      <w:r w:rsidRPr="00FD4FF3">
        <w:t xml:space="preserve">. </w:t>
      </w:r>
    </w:p>
    <w:p w:rsidR="007B31D5" w:rsidRPr="00FD4FF3" w:rsidRDefault="007B31D5" w:rsidP="007B31D5">
      <w:pPr>
        <w:pStyle w:val="SingleTxtGR"/>
      </w:pPr>
      <w:r w:rsidRPr="00FD4FF3">
        <w:t>7.5</w:t>
      </w:r>
      <w:r w:rsidRPr="00FD4FF3">
        <w:tab/>
        <w:t>В данном случае Факультативный протокол вступил в силу для госуда</w:t>
      </w:r>
      <w:r w:rsidRPr="00FD4FF3">
        <w:t>р</w:t>
      </w:r>
      <w:r w:rsidRPr="00FD4FF3">
        <w:t xml:space="preserve">ства-участника 19 сентября 2009 года. Комитет отмечает, что автор был впервые задержан в октябре 2001 года по обвинениям </w:t>
      </w:r>
      <w:r w:rsidR="00825757">
        <w:t>в сексуальном посягательстве. С </w:t>
      </w:r>
      <w:r w:rsidRPr="00FD4FF3">
        <w:t>2002 года автор в ходе оценки его интеллектуального расстройства содержа</w:t>
      </w:r>
      <w:r w:rsidRPr="00FD4FF3">
        <w:t>л</w:t>
      </w:r>
      <w:r w:rsidRPr="00FD4FF3">
        <w:t>ся под стражей, что продолжалось до марта 2003 года, когда окружной суд З</w:t>
      </w:r>
      <w:r w:rsidRPr="00FD4FF3">
        <w:t>а</w:t>
      </w:r>
      <w:r w:rsidRPr="00FD4FF3">
        <w:t>падной Австралии пришел к выводу, что автор страдает процессуальной неде</w:t>
      </w:r>
      <w:r w:rsidRPr="00FD4FF3">
        <w:t>е</w:t>
      </w:r>
      <w:r w:rsidRPr="00FD4FF3">
        <w:t>способностью, и в его отношении был выдан ордер на арест. После этой даты и до января 2012 года автор оставался в заключении. И поэтому заключение авт</w:t>
      </w:r>
      <w:r w:rsidRPr="00FD4FF3">
        <w:t>о</w:t>
      </w:r>
      <w:r w:rsidRPr="00FD4FF3">
        <w:t xml:space="preserve">ра явно продолжалось после вступления Факультативного протокола в силу для государства-участника, и утверждение автора по пункту 1 b) статьи 14 входит в компетенцию Комитета </w:t>
      </w:r>
      <w:proofErr w:type="spellStart"/>
      <w:r w:rsidRPr="00FD4FF3">
        <w:t>ratione</w:t>
      </w:r>
      <w:proofErr w:type="spellEnd"/>
      <w:r w:rsidRPr="00FD4FF3">
        <w:t xml:space="preserve"> </w:t>
      </w:r>
      <w:proofErr w:type="spellStart"/>
      <w:r w:rsidRPr="00FD4FF3">
        <w:t>temporis</w:t>
      </w:r>
      <w:proofErr w:type="spellEnd"/>
      <w:r w:rsidRPr="00FD4FF3">
        <w:t xml:space="preserve">. </w:t>
      </w:r>
    </w:p>
    <w:p w:rsidR="007B31D5" w:rsidRPr="00FD4FF3" w:rsidRDefault="007B31D5" w:rsidP="007B31D5">
      <w:pPr>
        <w:pStyle w:val="SingleTxtGR"/>
      </w:pPr>
      <w:r w:rsidRPr="00FD4FF3">
        <w:t>7.6</w:t>
      </w:r>
      <w:r w:rsidRPr="00FD4FF3">
        <w:tab/>
        <w:t xml:space="preserve">Что касается компетенции Комитета </w:t>
      </w:r>
      <w:proofErr w:type="spellStart"/>
      <w:r w:rsidRPr="00FD4FF3">
        <w:t>ratione</w:t>
      </w:r>
      <w:proofErr w:type="spellEnd"/>
      <w:r w:rsidRPr="00FD4FF3">
        <w:t xml:space="preserve"> </w:t>
      </w:r>
      <w:proofErr w:type="spellStart"/>
      <w:r w:rsidRPr="00FD4FF3">
        <w:t>temporis</w:t>
      </w:r>
      <w:proofErr w:type="spellEnd"/>
      <w:r w:rsidRPr="00FD4FF3">
        <w:t xml:space="preserve"> рассматривать утверждения автора по статьям 12 и 13 в связи с последствиями признания а</w:t>
      </w:r>
      <w:r w:rsidRPr="00FD4FF3">
        <w:t>в</w:t>
      </w:r>
      <w:r w:rsidRPr="00FD4FF3">
        <w:t>тора процессуально недееспособным, то Комитет отмечает, что окружной суд Западной Австралии впервые принял такое решение в марте 2003 года. Комитет также отмечает, что это решение было подтверждено де-факто ведомствами государства-участника, и в том числе решением окружного суда Западной А</w:t>
      </w:r>
      <w:r w:rsidRPr="00FD4FF3">
        <w:t>в</w:t>
      </w:r>
      <w:r w:rsidRPr="00FD4FF3">
        <w:t>стралии от 5 ноября 2010 года; и хотя ходатайство законного представителя а</w:t>
      </w:r>
      <w:r w:rsidRPr="00FD4FF3">
        <w:t>в</w:t>
      </w:r>
      <w:r w:rsidRPr="00FD4FF3">
        <w:t>тора о вынесении постановления насчет его процессуальной дееспособности суд отклонил не по существу, а исходя из отсутствия юрисдикции, он не ост</w:t>
      </w:r>
      <w:r w:rsidRPr="00FD4FF3">
        <w:t>а</w:t>
      </w:r>
      <w:r w:rsidRPr="00FD4FF3">
        <w:t>вил автору возможности реализовывать свою правоспособность в судах. И п</w:t>
      </w:r>
      <w:r w:rsidRPr="00FD4FF3">
        <w:t>о</w:t>
      </w:r>
      <w:r w:rsidRPr="00FD4FF3">
        <w:t>этому автор был по-прежнему лишен возможности заявить о своей невиновн</w:t>
      </w:r>
      <w:r w:rsidRPr="00FD4FF3">
        <w:t>о</w:t>
      </w:r>
      <w:r w:rsidRPr="00FD4FF3">
        <w:t>сти и оспорить инкриминирующие его доказательства после вступления Ф</w:t>
      </w:r>
      <w:r w:rsidRPr="00FD4FF3">
        <w:t>а</w:t>
      </w:r>
      <w:r w:rsidRPr="00FD4FF3">
        <w:t>культативного протокола в силу для государства-участника. Ввиду этого Ком</w:t>
      </w:r>
      <w:r w:rsidRPr="00FD4FF3">
        <w:t>и</w:t>
      </w:r>
      <w:r w:rsidRPr="00FD4FF3">
        <w:t xml:space="preserve">тет считает, что он компетентен </w:t>
      </w:r>
      <w:proofErr w:type="spellStart"/>
      <w:r w:rsidRPr="00FD4FF3">
        <w:t>ratione</w:t>
      </w:r>
      <w:proofErr w:type="spellEnd"/>
      <w:r w:rsidRPr="00FD4FF3">
        <w:t xml:space="preserve"> </w:t>
      </w:r>
      <w:proofErr w:type="spellStart"/>
      <w:r w:rsidRPr="00FD4FF3">
        <w:t>temporis</w:t>
      </w:r>
      <w:proofErr w:type="spellEnd"/>
      <w:r w:rsidRPr="00FD4FF3">
        <w:t xml:space="preserve"> рассматривать эту часть наст</w:t>
      </w:r>
      <w:r w:rsidRPr="00FD4FF3">
        <w:t>о</w:t>
      </w:r>
      <w:r w:rsidRPr="00FD4FF3">
        <w:t>ящего сообщения.</w:t>
      </w:r>
    </w:p>
    <w:p w:rsidR="007B31D5" w:rsidRPr="00FD4FF3" w:rsidRDefault="007B31D5" w:rsidP="007B31D5">
      <w:pPr>
        <w:pStyle w:val="SingleTxtGR"/>
      </w:pPr>
      <w:r w:rsidRPr="00FD4FF3">
        <w:t>7.7</w:t>
      </w:r>
      <w:r w:rsidRPr="00FD4FF3">
        <w:tab/>
        <w:t xml:space="preserve">Во-вторых, Комитет отмечает довод государства-участника относительно </w:t>
      </w:r>
      <w:proofErr w:type="spellStart"/>
      <w:r w:rsidRPr="00FD4FF3">
        <w:t>неисчерпанности</w:t>
      </w:r>
      <w:proofErr w:type="spellEnd"/>
      <w:r w:rsidRPr="00FD4FF3">
        <w:t xml:space="preserve"> внутренних средств правовой защиты. В этом отношении К</w:t>
      </w:r>
      <w:r w:rsidRPr="00FD4FF3">
        <w:t>о</w:t>
      </w:r>
      <w:r w:rsidRPr="00FD4FF3">
        <w:t>митет прежде всего отмечает, что, по мнению государства-участника, утве</w:t>
      </w:r>
      <w:r w:rsidRPr="00FD4FF3">
        <w:t>р</w:t>
      </w:r>
      <w:r w:rsidRPr="00FD4FF3">
        <w:t>ждения автора о том, что он был не в состоянии реализовать свою правосп</w:t>
      </w:r>
      <w:r w:rsidRPr="00FD4FF3">
        <w:t>о</w:t>
      </w:r>
      <w:r w:rsidRPr="00FD4FF3">
        <w:t>собность (пункты 2 и 3 статьи 12) и не имел доступа к правосудию (пун</w:t>
      </w:r>
      <w:r w:rsidR="00825757">
        <w:t>кт </w:t>
      </w:r>
      <w:r w:rsidRPr="00FD4FF3">
        <w:t>1 статьи 13), следует признать неприемлемыми, поскольку автор мог бы обжал</w:t>
      </w:r>
      <w:r w:rsidRPr="00FD4FF3">
        <w:t>о</w:t>
      </w:r>
      <w:r w:rsidRPr="00FD4FF3">
        <w:t>вать решение окружного суда от 5 ноября 2010 года в Апелляционном суде З</w:t>
      </w:r>
      <w:r w:rsidRPr="00FD4FF3">
        <w:t>а</w:t>
      </w:r>
      <w:r w:rsidRPr="00FD4FF3">
        <w:t>падной Австралии, но не сделал этого. Комитет также отмечает довод автора о том, что, дабы его апелляция имела какие-то шансы на успех, он должен был бы продемонстрировать, что решение окружного суда носило ошибочный характер, тогда как, в сущности, оно было принято в соответствии с Законом о душевн</w:t>
      </w:r>
      <w:r w:rsidRPr="00FD4FF3">
        <w:t>о</w:t>
      </w:r>
      <w:r w:rsidRPr="00FD4FF3">
        <w:t>больных обвиняемых. Комитет напоминает, что в исчерпании внутренних средств правовой защиты нет необходимости, если они объективно не имеют никаких шансов на успех</w:t>
      </w:r>
      <w:r w:rsidRPr="00F35856">
        <w:rPr>
          <w:sz w:val="18"/>
          <w:vertAlign w:val="superscript"/>
        </w:rPr>
        <w:footnoteReference w:id="44"/>
      </w:r>
      <w:r w:rsidRPr="00FD4FF3">
        <w:t>. Принимая в расчет четкую формулировку соотве</w:t>
      </w:r>
      <w:r w:rsidRPr="00FD4FF3">
        <w:t>т</w:t>
      </w:r>
      <w:r w:rsidRPr="00FD4FF3">
        <w:t>ствующих статей Закона, Комитет приходит к выводу об отсутствии у автора каких-либо дополнительных эффективных средств правовой защиты и конст</w:t>
      </w:r>
      <w:r w:rsidRPr="00FD4FF3">
        <w:t>а</w:t>
      </w:r>
      <w:r w:rsidRPr="00FD4FF3">
        <w:t>тирует, что его утверждения по пунктам 2 и 3 статьи 12) и по пункту 1 статьи 13 являются приемлемыми по статье 2 d) Факультативного протокола.</w:t>
      </w:r>
    </w:p>
    <w:p w:rsidR="007B31D5" w:rsidRPr="00FD4FF3" w:rsidRDefault="007B31D5" w:rsidP="007B31D5">
      <w:pPr>
        <w:pStyle w:val="SingleTxtGR"/>
      </w:pPr>
      <w:r w:rsidRPr="00FD4FF3">
        <w:t>7.8</w:t>
      </w:r>
      <w:r w:rsidRPr="00FD4FF3">
        <w:tab/>
        <w:t>Комитет далее отмечает довод государства-участника о том, что жалобу автора по пункту 2 статьи 14 касательно условий заключения следует признать неприемлемой, поскольку он не исчерпал внутренние средства правовой защ</w:t>
      </w:r>
      <w:r w:rsidRPr="00FD4FF3">
        <w:t>и</w:t>
      </w:r>
      <w:r w:rsidRPr="00FD4FF3">
        <w:t>ты, что могло бы привести к изменению условий, против которых он возражает. Комитет также отмечает, что автор не оспаривает этого заявления и что пред</w:t>
      </w:r>
      <w:r w:rsidRPr="00FD4FF3">
        <w:t>о</w:t>
      </w:r>
      <w:r w:rsidRPr="00FD4FF3">
        <w:t>ставленная информация не отражает, чтобы он подавал какую-либо жалобу в компетентные национальные инстанции в этом отношении. И поэтому Комитет заключает, что эта часть сообщения автора является неприемлемой по ст</w:t>
      </w:r>
      <w:r w:rsidRPr="00FD4FF3">
        <w:t>а</w:t>
      </w:r>
      <w:r w:rsidRPr="00FD4FF3">
        <w:t>т</w:t>
      </w:r>
      <w:r w:rsidR="00825757">
        <w:t>ье </w:t>
      </w:r>
      <w:r w:rsidRPr="00FD4FF3">
        <w:t>2</w:t>
      </w:r>
      <w:r w:rsidR="00825757">
        <w:t> </w:t>
      </w:r>
      <w:r w:rsidRPr="00FD4FF3">
        <w:t xml:space="preserve">f) Факультативного протокола. </w:t>
      </w:r>
    </w:p>
    <w:p w:rsidR="007B31D5" w:rsidRPr="00FD4FF3" w:rsidRDefault="007B31D5" w:rsidP="007B31D5">
      <w:pPr>
        <w:pStyle w:val="SingleTxtGR"/>
      </w:pPr>
      <w:r w:rsidRPr="00FD4FF3">
        <w:t>7.9</w:t>
      </w:r>
      <w:r w:rsidRPr="00FD4FF3">
        <w:tab/>
        <w:t>В-третьих, Комитет отмечает заявление государства-участника о том, что часть утверждений автора следует признать неприемлемыми по статье 1 Ф</w:t>
      </w:r>
      <w:r w:rsidRPr="00FD4FF3">
        <w:t>а</w:t>
      </w:r>
      <w:r w:rsidRPr="00FD4FF3">
        <w:t>культативного протокола. В этом отношении Комитет отмечает довод госуда</w:t>
      </w:r>
      <w:r w:rsidRPr="00FD4FF3">
        <w:t>р</w:t>
      </w:r>
      <w:r w:rsidRPr="00FD4FF3">
        <w:t>ства-участника о том, что утверждение автора, согласно которому Закон о д</w:t>
      </w:r>
      <w:r w:rsidRPr="00FD4FF3">
        <w:t>у</w:t>
      </w:r>
      <w:r w:rsidRPr="00FD4FF3">
        <w:t>шевнобольных обвиняемых нарушает статью 5 Конвенции, следует признать неприемлемым, поскольку оно касается общей правовой структуры и поэтому должно трактоваться Комитетом посредством замечания общего порядка или при рассмотрении им докладов государств-участников. Комитет напоминает, что индивидуальная жалоба не может оспаривать закон или практику теорет</w:t>
      </w:r>
      <w:r w:rsidRPr="00FD4FF3">
        <w:t>и</w:t>
      </w:r>
      <w:r w:rsidRPr="00FD4FF3">
        <w:t xml:space="preserve">чески путем </w:t>
      </w:r>
      <w:proofErr w:type="spellStart"/>
      <w:r w:rsidRPr="00FD4FF3">
        <w:t>actio</w:t>
      </w:r>
      <w:proofErr w:type="spellEnd"/>
      <w:r w:rsidRPr="00FD4FF3">
        <w:t xml:space="preserve"> </w:t>
      </w:r>
      <w:proofErr w:type="spellStart"/>
      <w:r w:rsidRPr="00FD4FF3">
        <w:t>popularis</w:t>
      </w:r>
      <w:proofErr w:type="spellEnd"/>
      <w:r w:rsidRPr="00F35856">
        <w:rPr>
          <w:sz w:val="18"/>
          <w:vertAlign w:val="superscript"/>
        </w:rPr>
        <w:footnoteReference w:id="45"/>
      </w:r>
      <w:r w:rsidRPr="00FD4FF3">
        <w:t>. Однако в данном случае Комитет считает, что а</w:t>
      </w:r>
      <w:r w:rsidRPr="00FD4FF3">
        <w:t>в</w:t>
      </w:r>
      <w:r w:rsidRPr="00FD4FF3">
        <w:t>тор достаточно обосновал то обстоятельство, что Закон оказывает прямое во</w:t>
      </w:r>
      <w:r w:rsidRPr="00FD4FF3">
        <w:t>з</w:t>
      </w:r>
      <w:r w:rsidRPr="00FD4FF3">
        <w:t>действие на пользование его правами, и поэтому считает приемлемой его пр</w:t>
      </w:r>
      <w:r w:rsidRPr="00FD4FF3">
        <w:t>е</w:t>
      </w:r>
      <w:r w:rsidRPr="00FD4FF3">
        <w:t>тензию по пункту 1 статьи 5 Конвенции.</w:t>
      </w:r>
    </w:p>
    <w:p w:rsidR="007B31D5" w:rsidRPr="00FD4FF3" w:rsidRDefault="007B31D5" w:rsidP="007B31D5">
      <w:pPr>
        <w:pStyle w:val="SingleTxtGR"/>
      </w:pPr>
      <w:r w:rsidRPr="00FD4FF3">
        <w:t>7.10</w:t>
      </w:r>
      <w:r w:rsidRPr="00FD4FF3">
        <w:tab/>
        <w:t>В-четвертых, Комитет отмечает довод государства-участника о том, что некоторые из утверждений автора следует признать неприемлемыми в силу их необоснованност</w:t>
      </w:r>
      <w:r w:rsidR="00825757">
        <w:t>и и беспредметности по статье 2 </w:t>
      </w:r>
      <w:r w:rsidRPr="00FD4FF3">
        <w:t>е) Факультативного проток</w:t>
      </w:r>
      <w:r w:rsidRPr="00FD4FF3">
        <w:t>о</w:t>
      </w:r>
      <w:r w:rsidRPr="00FD4FF3">
        <w:t>ла. В этом отношении Комитет отмечает довод государства-участника о том, что претензия автора относительно предполагаем</w:t>
      </w:r>
      <w:r w:rsidR="00825757">
        <w:t>ых нарушений его прав по ст</w:t>
      </w:r>
      <w:r w:rsidR="00825757">
        <w:t>а</w:t>
      </w:r>
      <w:r w:rsidR="00825757">
        <w:t>тье </w:t>
      </w:r>
      <w:r w:rsidRPr="00FD4FF3">
        <w:t>15 Конвенции носит необоснованный характер. Комитет также отмечает з</w:t>
      </w:r>
      <w:r w:rsidRPr="00FD4FF3">
        <w:t>а</w:t>
      </w:r>
      <w:r w:rsidRPr="00FD4FF3">
        <w:t>явление автора о том, что, находясь в тюрьме, он сталкивался со значительным риском вреда со стороны других заключенных, которые подвергали его неодн</w:t>
      </w:r>
      <w:r w:rsidRPr="00FD4FF3">
        <w:t>о</w:t>
      </w:r>
      <w:r w:rsidRPr="00FD4FF3">
        <w:t>кратным актам насилия и надругательств, что посягательства, с которыми он сталкивался, носили серьезный характер, что в силу их частоты они сделали его более уязвимым и что его инвалидность мешала ему защищаться. Комитет д</w:t>
      </w:r>
      <w:r w:rsidRPr="00FD4FF3">
        <w:t>а</w:t>
      </w:r>
      <w:r w:rsidRPr="00FD4FF3">
        <w:t>лее отмечает, что, по мнению автора, эти правонарушения представляют собой бесчеловечное и унизительное обращение и, по всей видимости, остались н</w:t>
      </w:r>
      <w:r w:rsidRPr="00FD4FF3">
        <w:t>е</w:t>
      </w:r>
      <w:r w:rsidRPr="00FD4FF3">
        <w:t>зафиксированными тюремной администрацией. Ввиду вышесказанного и с уч</w:t>
      </w:r>
      <w:r w:rsidRPr="00FD4FF3">
        <w:t>е</w:t>
      </w:r>
      <w:r w:rsidRPr="00FD4FF3">
        <w:t>том конкретных обстоятельств дела Комитет считает, что автор достаточно обосновал свои утверждения по статье 15 для целей приемлемости и делает в</w:t>
      </w:r>
      <w:r w:rsidRPr="00FD4FF3">
        <w:t>ы</w:t>
      </w:r>
      <w:r w:rsidRPr="00FD4FF3">
        <w:t>вод о том, что они являются приемлемыми по статье 2 е) Факультативного пр</w:t>
      </w:r>
      <w:r w:rsidRPr="00FD4FF3">
        <w:t>о</w:t>
      </w:r>
      <w:r w:rsidRPr="00FD4FF3">
        <w:t xml:space="preserve">токола. </w:t>
      </w:r>
    </w:p>
    <w:p w:rsidR="007B31D5" w:rsidRPr="00FD4FF3" w:rsidRDefault="007B31D5" w:rsidP="007B31D5">
      <w:pPr>
        <w:pStyle w:val="SingleTxtGR"/>
      </w:pPr>
      <w:r w:rsidRPr="00FD4FF3">
        <w:t>7.11</w:t>
      </w:r>
      <w:r w:rsidRPr="00FD4FF3">
        <w:tab/>
        <w:t>Соответственно и в отсутствие других препятствий в отношении прие</w:t>
      </w:r>
      <w:r w:rsidRPr="00FD4FF3">
        <w:t>м</w:t>
      </w:r>
      <w:r w:rsidRPr="00FD4FF3">
        <w:t>лемости Комитет признает сообщение приемлемым в той мере, в какой оно к</w:t>
      </w:r>
      <w:r w:rsidRPr="00FD4FF3">
        <w:t>а</w:t>
      </w:r>
      <w:r w:rsidRPr="00FD4FF3">
        <w:t xml:space="preserve">сается претензий автора по пунктам 1 и 2 статьи 5, </w:t>
      </w:r>
      <w:r w:rsidR="00825757">
        <w:t>2 и 3 статьи 12, 1 статьи 13, 1 </w:t>
      </w:r>
      <w:r w:rsidRPr="00FD4FF3">
        <w:t>b) статьи 14 и по статье 15. Исходя из этого Комитет приступает к рассмотр</w:t>
      </w:r>
      <w:r w:rsidRPr="00FD4FF3">
        <w:t>е</w:t>
      </w:r>
      <w:r w:rsidRPr="00FD4FF3">
        <w:t>нию этих утверждений по существу.</w:t>
      </w:r>
    </w:p>
    <w:p w:rsidR="007B31D5" w:rsidRPr="00FD4FF3" w:rsidRDefault="007B31D5" w:rsidP="00C57E01">
      <w:pPr>
        <w:pStyle w:val="H23GR"/>
      </w:pPr>
      <w:r w:rsidRPr="00FD4FF3">
        <w:tab/>
      </w:r>
      <w:r w:rsidRPr="00FD4FF3">
        <w:tab/>
        <w:t>Рассмотрение сообщения по существу</w:t>
      </w:r>
    </w:p>
    <w:p w:rsidR="007B31D5" w:rsidRPr="00FD4FF3" w:rsidRDefault="007B31D5" w:rsidP="007B31D5">
      <w:pPr>
        <w:pStyle w:val="SingleTxtGR"/>
      </w:pPr>
      <w:r w:rsidRPr="00FD4FF3">
        <w:t>8.1</w:t>
      </w:r>
      <w:r w:rsidRPr="00FD4FF3">
        <w:tab/>
        <w:t>Комитет рассмотрел настоящее сообщение в свете всей полученной им информации в соответствии со статьей 5 Факу</w:t>
      </w:r>
      <w:r w:rsidR="00825757">
        <w:t>льтативного протокола и пун</w:t>
      </w:r>
      <w:r w:rsidR="00825757">
        <w:t>к</w:t>
      </w:r>
      <w:r w:rsidR="00825757">
        <w:t>том </w:t>
      </w:r>
      <w:r w:rsidRPr="00FD4FF3">
        <w:t>1 правила 73 правил процедуры.</w:t>
      </w:r>
    </w:p>
    <w:p w:rsidR="007B31D5" w:rsidRPr="00FD4FF3" w:rsidRDefault="007B31D5" w:rsidP="007B31D5">
      <w:pPr>
        <w:pStyle w:val="SingleTxtGR"/>
      </w:pPr>
      <w:r w:rsidRPr="00FD4FF3">
        <w:t>8.2</w:t>
      </w:r>
      <w:r w:rsidRPr="00FD4FF3">
        <w:tab/>
        <w:t>Что касается жалобы автора по статье 5 Конвенции, то Комитет отмечает его заявление о том, что Закон о душевнобольных обвиняемых носит дискр</w:t>
      </w:r>
      <w:r w:rsidRPr="00FD4FF3">
        <w:t>и</w:t>
      </w:r>
      <w:r w:rsidRPr="00FD4FF3">
        <w:t>минационный характер, поскольку он применяется лишь к лицам, страдающим когнитивными расстройствами, и в случае предъявления им обвинения в уг</w:t>
      </w:r>
      <w:r w:rsidRPr="00FD4FF3">
        <w:t>о</w:t>
      </w:r>
      <w:r w:rsidRPr="00FD4FF3">
        <w:t>ловных правонарушениях предусматривает их бессрочный арест без установл</w:t>
      </w:r>
      <w:r w:rsidRPr="00FD4FF3">
        <w:t>е</w:t>
      </w:r>
      <w:r w:rsidRPr="00FD4FF3">
        <w:t>ния вины, тогда как лица, не страдающие когнитивными расстройствами, з</w:t>
      </w:r>
      <w:r w:rsidRPr="00FD4FF3">
        <w:t>а</w:t>
      </w:r>
      <w:r w:rsidRPr="00FD4FF3">
        <w:t>щищены от такого обращения за счет применения норм надлежащей правовой процедуры и справедливого судебного разбирательства. Комитет также отмеч</w:t>
      </w:r>
      <w:r w:rsidRPr="00FD4FF3">
        <w:t>а</w:t>
      </w:r>
      <w:r w:rsidRPr="00FD4FF3">
        <w:t>ет, что, по мнению государства-участника, этот закон не носит дискриминац</w:t>
      </w:r>
      <w:r w:rsidRPr="00FD4FF3">
        <w:t>и</w:t>
      </w:r>
      <w:r w:rsidRPr="00FD4FF3">
        <w:t>онный характер, а предусматривает легитимное дифференцированное обращ</w:t>
      </w:r>
      <w:r w:rsidRPr="00FD4FF3">
        <w:t>е</w:t>
      </w:r>
      <w:r w:rsidRPr="00FD4FF3">
        <w:t>ние с определенными лицами, страдающими инвалидностью, с соблюдением гарантий с целью обеспечить его соразмерность целям закона.</w:t>
      </w:r>
    </w:p>
    <w:p w:rsidR="007B31D5" w:rsidRPr="00FD4FF3" w:rsidRDefault="007B31D5" w:rsidP="007B31D5">
      <w:pPr>
        <w:pStyle w:val="SingleTxtGR"/>
      </w:pPr>
      <w:r w:rsidRPr="00FD4FF3">
        <w:t>8.3</w:t>
      </w:r>
      <w:r w:rsidRPr="00FD4FF3">
        <w:tab/>
        <w:t>Комитет напоминает, что по пунктам 1 и 2 статьи 5 Конвенции госуда</w:t>
      </w:r>
      <w:r w:rsidRPr="00FD4FF3">
        <w:t>р</w:t>
      </w:r>
      <w:r w:rsidRPr="00FD4FF3">
        <w:t>ства-участники должны обеспечивать, чтобы все лица были равны перед зак</w:t>
      </w:r>
      <w:r w:rsidRPr="00FD4FF3">
        <w:t>о</w:t>
      </w:r>
      <w:r w:rsidRPr="00FD4FF3">
        <w:t>ном и по нему и имели право на равную защиту закона и равное пользование им без всякой дискриминации, и для поощрения равенства и устранения ди</w:t>
      </w:r>
      <w:r w:rsidRPr="00FD4FF3">
        <w:t>с</w:t>
      </w:r>
      <w:r w:rsidRPr="00FD4FF3">
        <w:t>криминации должны предпринимать все надлежащие шаги к обеспечению р</w:t>
      </w:r>
      <w:r w:rsidRPr="00FD4FF3">
        <w:t>а</w:t>
      </w:r>
      <w:r w:rsidRPr="00FD4FF3">
        <w:t>зумного приспособления. Комитет также напоминает, что дискриминация м</w:t>
      </w:r>
      <w:r w:rsidRPr="00FD4FF3">
        <w:t>о</w:t>
      </w:r>
      <w:r w:rsidRPr="00FD4FF3">
        <w:t>жет быть результатом дискриминационного эффекта нормы или меры, которые не рассчитаны на дискриминацию, но несоразмерно затрагивают инвалидов</w:t>
      </w:r>
      <w:r w:rsidRPr="00F35856">
        <w:rPr>
          <w:sz w:val="18"/>
          <w:vertAlign w:val="superscript"/>
        </w:rPr>
        <w:footnoteReference w:id="46"/>
      </w:r>
      <w:r w:rsidR="00825757">
        <w:t>. В </w:t>
      </w:r>
      <w:r w:rsidRPr="00FD4FF3">
        <w:t>данном случае Комитет отмечает, что Закон о душевнобольных обвиняемых призван урегулировать ситуацию лиц, страдающих психосоциальными и инте</w:t>
      </w:r>
      <w:r w:rsidRPr="00FD4FF3">
        <w:t>л</w:t>
      </w:r>
      <w:r w:rsidRPr="00FD4FF3">
        <w:t>лектуальными расстройствами, которые признаются неспособными предстать перед судом по причине психического расстройства. И поэтому вопрос, сто</w:t>
      </w:r>
      <w:r w:rsidRPr="00FD4FF3">
        <w:t>я</w:t>
      </w:r>
      <w:r w:rsidRPr="00FD4FF3">
        <w:t>щий перед Комитетом, заключается в том, чтобы определить, носит ли дифф</w:t>
      </w:r>
      <w:r w:rsidRPr="00FD4FF3">
        <w:t>е</w:t>
      </w:r>
      <w:r w:rsidRPr="00FD4FF3">
        <w:t xml:space="preserve">ренцированный режим, предусмотренный по Закону, разумный характер или не приводит ли он к дискриминационному обращению с инвалидами. </w:t>
      </w:r>
    </w:p>
    <w:p w:rsidR="007B31D5" w:rsidRPr="00FD4FF3" w:rsidRDefault="007B31D5" w:rsidP="007B31D5">
      <w:pPr>
        <w:pStyle w:val="SingleTxtGR"/>
      </w:pPr>
      <w:r w:rsidRPr="00FD4FF3">
        <w:t>8.4</w:t>
      </w:r>
      <w:r w:rsidRPr="00FD4FF3">
        <w:tab/>
        <w:t>Комитет отмечает, что по Закону с признанием того или иного лица пр</w:t>
      </w:r>
      <w:r w:rsidRPr="00FD4FF3">
        <w:t>о</w:t>
      </w:r>
      <w:r w:rsidRPr="00FD4FF3">
        <w:t>цессуально недееспособным он или она может содержаться под арестом н</w:t>
      </w:r>
      <w:r w:rsidRPr="00FD4FF3">
        <w:t>е</w:t>
      </w:r>
      <w:r w:rsidRPr="00FD4FF3">
        <w:t>ограниченный промежуток времени. Он или она будут предположительно сч</w:t>
      </w:r>
      <w:r w:rsidRPr="00FD4FF3">
        <w:t>и</w:t>
      </w:r>
      <w:r w:rsidRPr="00FD4FF3">
        <w:t>таться по-прежнему психически неспособными предстать перед судом до тех пор, пока не будет доказано обратное. А между тем такое лицо не имеет во</w:t>
      </w:r>
      <w:r w:rsidRPr="00FD4FF3">
        <w:t>з</w:t>
      </w:r>
      <w:r w:rsidRPr="00FD4FF3">
        <w:t>можности реализовывать свою правоспособность в судах. В данном случае а</w:t>
      </w:r>
      <w:r w:rsidRPr="00FD4FF3">
        <w:t>в</w:t>
      </w:r>
      <w:r w:rsidRPr="00FD4FF3">
        <w:t>тор был обвинен в 2001 году в сексуальных правонарушениях, которые так и не были доказаны. В марте 2003 года он был признан процессуально недееспосо</w:t>
      </w:r>
      <w:r w:rsidRPr="00FD4FF3">
        <w:t>б</w:t>
      </w:r>
      <w:r w:rsidRPr="00FD4FF3">
        <w:t xml:space="preserve">ным. Был выдан ордер на арест, и автор содержался в заключении в </w:t>
      </w:r>
      <w:proofErr w:type="spellStart"/>
      <w:r w:rsidRPr="00FD4FF3">
        <w:t>гринафской</w:t>
      </w:r>
      <w:proofErr w:type="spellEnd"/>
      <w:r w:rsidRPr="00FD4FF3">
        <w:t xml:space="preserve"> окружной тюрьме до 10 января 2012 года, когда он был передан в службу по</w:t>
      </w:r>
      <w:r w:rsidRPr="00FD4FF3">
        <w:t>д</w:t>
      </w:r>
      <w:r w:rsidRPr="00FD4FF3">
        <w:t>держки на предмет адаптации. Комитет отмечает, что на всем протяжении з</w:t>
      </w:r>
      <w:r w:rsidRPr="00FD4FF3">
        <w:t>а</w:t>
      </w:r>
      <w:r w:rsidRPr="00FD4FF3">
        <w:t>ключения автора в тюрьме вся судебная процедура фокусировалась на его у</w:t>
      </w:r>
      <w:r w:rsidRPr="00FD4FF3">
        <w:t>м</w:t>
      </w:r>
      <w:r w:rsidRPr="00FD4FF3">
        <w:t>ственной способности предстать перед судом, и ему не было предоставлено н</w:t>
      </w:r>
      <w:r w:rsidRPr="00FD4FF3">
        <w:t>и</w:t>
      </w:r>
      <w:r w:rsidRPr="00FD4FF3">
        <w:t>какой возможности заявить о своей невиновности и оспорить инкриминиру</w:t>
      </w:r>
      <w:r w:rsidRPr="00FD4FF3">
        <w:t>ю</w:t>
      </w:r>
      <w:r w:rsidRPr="00FD4FF3">
        <w:t>щие его доказательства. Комитет также отмечает, что государство-участник не предоставило автору поддержки или адаптации, которые требуются ему для р</w:t>
      </w:r>
      <w:r w:rsidRPr="00FD4FF3">
        <w:t>е</w:t>
      </w:r>
      <w:r w:rsidRPr="00FD4FF3">
        <w:t>ализации своей правоспособности, и не проанализировало, какие меры могли бы быть приняты с этой целью. Наоборот, в результате применения Закона было полностью приостановлено право автора на справедливое судебное разбир</w:t>
      </w:r>
      <w:r w:rsidRPr="00FD4FF3">
        <w:t>а</w:t>
      </w:r>
      <w:r w:rsidRPr="00FD4FF3">
        <w:t>тельство, что лишило его защиты и равного преимущества закона. И поэтому Комитет считает, что Закон обернулся дискриминационным обращением по д</w:t>
      </w:r>
      <w:r w:rsidRPr="00FD4FF3">
        <w:t>е</w:t>
      </w:r>
      <w:r w:rsidRPr="00FD4FF3">
        <w:t>лу автора в нарушение пунктов 1 и 2 статьи 5 Конвенции.</w:t>
      </w:r>
    </w:p>
    <w:p w:rsidR="007B31D5" w:rsidRPr="00FD4FF3" w:rsidRDefault="007B31D5" w:rsidP="007B31D5">
      <w:pPr>
        <w:pStyle w:val="SingleTxtGR"/>
      </w:pPr>
      <w:r w:rsidRPr="00FD4FF3">
        <w:t>8.5</w:t>
      </w:r>
      <w:r w:rsidRPr="00FD4FF3">
        <w:tab/>
        <w:t>Что касается утверждений автора по пунк</w:t>
      </w:r>
      <w:r w:rsidR="00825757">
        <w:t>там 2 и 3 статьи 12 и по пун</w:t>
      </w:r>
      <w:r w:rsidR="00825757">
        <w:t>к</w:t>
      </w:r>
      <w:r w:rsidR="00825757">
        <w:t>ту </w:t>
      </w:r>
      <w:r w:rsidRPr="00FD4FF3">
        <w:t>1 статьи 13 Конвенции, то Комитет отмечает утверждение автора о том, что решение о его процессуальной недееспособности лишило его возможности р</w:t>
      </w:r>
      <w:r w:rsidRPr="00FD4FF3">
        <w:t>е</w:t>
      </w:r>
      <w:r w:rsidRPr="00FD4FF3">
        <w:t>ализовать свою правоспособность, дабы заявить о своей невиновности и осп</w:t>
      </w:r>
      <w:r w:rsidRPr="00FD4FF3">
        <w:t>о</w:t>
      </w:r>
      <w:r w:rsidRPr="00FD4FF3">
        <w:t>рить инкриминирующие его доказательства, что равносильно нарушению пун</w:t>
      </w:r>
      <w:r w:rsidRPr="00FD4FF3">
        <w:t>к</w:t>
      </w:r>
      <w:r w:rsidRPr="00FD4FF3">
        <w:t>тов 2 и 3 статьи 12 Конвенции. Комитет напоминает, что по пункту 2 статьи 12 государства-участники несут обязанность признать, что инвалиды обладают правоспособностью наравне с другими во в</w:t>
      </w:r>
      <w:r w:rsidR="00A364FC">
        <w:t>сех аспектах жизни. По пункту </w:t>
      </w:r>
      <w:r w:rsidR="00825757">
        <w:t>3</w:t>
      </w:r>
      <w:r w:rsidR="00A364FC">
        <w:t xml:space="preserve"> </w:t>
      </w:r>
      <w:r w:rsidRPr="00FD4FF3">
        <w:t>статьи 12 государства-участники несут обязанность предоставлять инвалидам доступ к поддержке, которая может потребоваться им для реализации своей правоспособности. Комитет также напоминает, что по пункту 1 статьи 13 гос</w:t>
      </w:r>
      <w:r w:rsidRPr="00FD4FF3">
        <w:t>у</w:t>
      </w:r>
      <w:r w:rsidRPr="00FD4FF3">
        <w:t>дарства-участники должны обеспечивать инвалидам наравне с другими эффе</w:t>
      </w:r>
      <w:r w:rsidRPr="00FD4FF3">
        <w:t>к</w:t>
      </w:r>
      <w:r w:rsidRPr="00FD4FF3">
        <w:t>тивный доступ к правосудию, в том числе предусматривая процессуальные и соответствующие возрасту коррективы.</w:t>
      </w:r>
    </w:p>
    <w:p w:rsidR="007B31D5" w:rsidRPr="00FD4FF3" w:rsidRDefault="007B31D5" w:rsidP="007B31D5">
      <w:pPr>
        <w:pStyle w:val="SingleTxtGR"/>
      </w:pPr>
      <w:r w:rsidRPr="00FD4FF3">
        <w:t>8.6</w:t>
      </w:r>
      <w:r w:rsidRPr="00FD4FF3">
        <w:tab/>
        <w:t>В настоящем деле решение о процессуальной недееспособности автора по причине его недееспособности интеллектуальной и психической обернулось отказом ему в праве реализовать свою правоспособность, дабы заявить о своей невиновности и оспорить инкриминирующие его доказательства. Более того, властями государства-участника автору не было предоставлено никакого рода адекватной поддержки, дабы позволить ему предстать перед судом и заявить о своей невиновности, несмотря на его явное намерение сделать это. И поэтому ему так и не была предоставлена возможность добиться определения по инкр</w:t>
      </w:r>
      <w:r w:rsidRPr="00FD4FF3">
        <w:t>и</w:t>
      </w:r>
      <w:r w:rsidRPr="00FD4FF3">
        <w:t>минируемым ему уголовным обвинениям и потенциально обелить свой статус предполагаемого сексуального правонарушителя. Комитет считает, что, хотя государства-участники имеют определенные дискреционные пределы с целью установления процедурных механизмов, дабы позволить инвалидам осущест</w:t>
      </w:r>
      <w:r w:rsidRPr="00FD4FF3">
        <w:t>в</w:t>
      </w:r>
      <w:r w:rsidRPr="00FD4FF3">
        <w:t>лять свою правоспособность</w:t>
      </w:r>
      <w:r w:rsidRPr="00F35856">
        <w:rPr>
          <w:sz w:val="18"/>
          <w:vertAlign w:val="superscript"/>
        </w:rPr>
        <w:footnoteReference w:id="47"/>
      </w:r>
      <w:r w:rsidRPr="00FD4FF3">
        <w:t>, должны соблюдаться соответствующие права данного лица. В случае же автора этого не произошло, ибо он не имел возмо</w:t>
      </w:r>
      <w:r w:rsidRPr="00FD4FF3">
        <w:t>ж</w:t>
      </w:r>
      <w:r w:rsidRPr="00FD4FF3">
        <w:t>ности и ему не было предоставлено адекватной поддержки или адаптации, чт</w:t>
      </w:r>
      <w:r w:rsidRPr="00FD4FF3">
        <w:t>о</w:t>
      </w:r>
      <w:r w:rsidRPr="00FD4FF3">
        <w:t>бы реализовать свои права на доступ к правосудию и на справедливое судебное разбирательство. Ввиду вышесказанного Комитет считает, что рассматриваемая ситуация равносильна нарушению прав автора по пунктам 2 и 3 статьи 12 и по пункту 1 статьи 13 Конвенции.</w:t>
      </w:r>
    </w:p>
    <w:p w:rsidR="007B31D5" w:rsidRPr="00FD4FF3" w:rsidRDefault="007B31D5" w:rsidP="007B31D5">
      <w:pPr>
        <w:pStyle w:val="SingleTxtGR"/>
      </w:pPr>
      <w:r w:rsidRPr="00FD4FF3">
        <w:t>8.7</w:t>
      </w:r>
      <w:r w:rsidRPr="00FD4FF3">
        <w:tab/>
        <w:t>Что касается утверждений автора относительно его заключения, то Ком</w:t>
      </w:r>
      <w:r w:rsidRPr="00FD4FF3">
        <w:t>и</w:t>
      </w:r>
      <w:r w:rsidRPr="00FD4FF3">
        <w:t>тет подтверждает, что одним из наиболее ценных прав, которыми наделен ка</w:t>
      </w:r>
      <w:r w:rsidRPr="00FD4FF3">
        <w:t>ж</w:t>
      </w:r>
      <w:r w:rsidRPr="00FD4FF3">
        <w:t xml:space="preserve">дый, является свобода и личная неприкосновенность. В частности, право на свободу согласно статье 14 Конвенции имеют все инвалиды, и особенно лица, страдающие интеллектуальными и </w:t>
      </w:r>
      <w:r w:rsidR="00FD4FF3">
        <w:t>психосоциальными расстройствами</w:t>
      </w:r>
      <w:r w:rsidRPr="00F35856">
        <w:rPr>
          <w:sz w:val="18"/>
          <w:vertAlign w:val="superscript"/>
        </w:rPr>
        <w:footnoteReference w:id="48"/>
      </w:r>
      <w:r w:rsidR="00825757">
        <w:t>. В </w:t>
      </w:r>
      <w:r w:rsidRPr="00FD4FF3">
        <w:t>настоящем деле Комитет отмечает, что после мартовского 2003 года решения окружного суда Западной Австралии, согласно которому автор был признан процессуально недееспособным, он, после того как в порядке применения З</w:t>
      </w:r>
      <w:r w:rsidRPr="00FD4FF3">
        <w:t>а</w:t>
      </w:r>
      <w:r w:rsidRPr="00FD4FF3">
        <w:t>кона о душевнобольных обвиняемых были аннулированы все обвинения против него, был заключен в тюрьму, не будучи осужден за какое-либо правонаруш</w:t>
      </w:r>
      <w:r w:rsidRPr="00FD4FF3">
        <w:t>е</w:t>
      </w:r>
      <w:r w:rsidRPr="00FD4FF3">
        <w:t>ние. Комитет также отмечает утверждение государства-участника о том, что компетентные ведомства приняли это решение из-за отсутствия наличных ал</w:t>
      </w:r>
      <w:r w:rsidRPr="00FD4FF3">
        <w:t>ь</w:t>
      </w:r>
      <w:r w:rsidRPr="00FD4FF3">
        <w:t xml:space="preserve">тернатив и служб поддержки, хотя они и считали, что тюрьма </w:t>
      </w:r>
      <w:r w:rsidR="00FE6FCA" w:rsidRPr="00FD4FF3">
        <w:t>«</w:t>
      </w:r>
      <w:r w:rsidRPr="00FD4FF3">
        <w:t>не является по</w:t>
      </w:r>
      <w:r w:rsidRPr="00FD4FF3">
        <w:t>д</w:t>
      </w:r>
      <w:r w:rsidRPr="00FD4FF3">
        <w:t>ходящей средой для автора</w:t>
      </w:r>
      <w:r w:rsidR="00FE6FCA" w:rsidRPr="00FD4FF3">
        <w:t>»</w:t>
      </w:r>
      <w:r w:rsidRPr="00FD4FF3">
        <w:t xml:space="preserve"> (см. пункт 4.5 выше). И поэтому заключение авт</w:t>
      </w:r>
      <w:r w:rsidRPr="00FD4FF3">
        <w:t>о</w:t>
      </w:r>
      <w:r w:rsidRPr="00FD4FF3">
        <w:t>ра было избрано на основе оценки ведомствами государства-участника поте</w:t>
      </w:r>
      <w:r w:rsidRPr="00FD4FF3">
        <w:t>н</w:t>
      </w:r>
      <w:r w:rsidRPr="00FD4FF3">
        <w:t>циальных последствий его интеллектуальной недееспособности в отсутствие всякого уголовного обвинительного приговора, сделав тем самым инвалидность основной причиной заключения. И поэтому Комитет считает, что заключение автора равносильно нарушению пункта 1 b) статьи 14 Конвенции, согласно к</w:t>
      </w:r>
      <w:r w:rsidRPr="00FD4FF3">
        <w:t>о</w:t>
      </w:r>
      <w:r w:rsidRPr="00FD4FF3">
        <w:t xml:space="preserve">торой </w:t>
      </w:r>
      <w:r w:rsidR="00FE6FCA" w:rsidRPr="00FD4FF3">
        <w:t>«</w:t>
      </w:r>
      <w:r w:rsidRPr="00FD4FF3">
        <w:t>наличие инвалидности ни в коем случае…</w:t>
      </w:r>
      <w:r w:rsidR="00FE6FCA" w:rsidRPr="00FD4FF3">
        <w:t>»</w:t>
      </w:r>
      <w:r w:rsidRPr="00FD4FF3">
        <w:t xml:space="preserve"> не является </w:t>
      </w:r>
      <w:r w:rsidR="00FE6FCA" w:rsidRPr="00FD4FF3">
        <w:t>«</w:t>
      </w:r>
      <w:r w:rsidRPr="00FD4FF3">
        <w:t>…основанием для лишения свободы</w:t>
      </w:r>
      <w:r w:rsidR="00FE6FCA" w:rsidRPr="00FD4FF3">
        <w:t>»</w:t>
      </w:r>
      <w:r w:rsidRPr="00FD4FF3">
        <w:t>.</w:t>
      </w:r>
    </w:p>
    <w:p w:rsidR="007B31D5" w:rsidRPr="00FD4FF3" w:rsidRDefault="007B31D5" w:rsidP="007B31D5">
      <w:pPr>
        <w:pStyle w:val="SingleTxtGR"/>
      </w:pPr>
      <w:r w:rsidRPr="00FD4FF3">
        <w:t>8.8</w:t>
      </w:r>
      <w:r w:rsidRPr="00FD4FF3">
        <w:tab/>
        <w:t>Комитет отмечает, что 10 января 2012 года автор был выпущен из тюрьмы и передан в службу поддержки на предмет адаптации на 10 условиях. Не вдав</w:t>
      </w:r>
      <w:r w:rsidRPr="00FD4FF3">
        <w:t>а</w:t>
      </w:r>
      <w:r w:rsidRPr="00FD4FF3">
        <w:t>ясь в детальный анализ этих условий, Комитет считает, что, поскольку эти условия были определены как прямое следствие заключения автора, которое признается нарушением Конвенции, они тоже</w:t>
      </w:r>
      <w:r w:rsidR="00825757">
        <w:t xml:space="preserve"> равносильны нарушению пун</w:t>
      </w:r>
      <w:r w:rsidR="00825757">
        <w:t>к</w:t>
      </w:r>
      <w:r w:rsidR="00825757">
        <w:t>та 1 </w:t>
      </w:r>
      <w:r w:rsidRPr="00FD4FF3">
        <w:t xml:space="preserve">b) статьи 14. </w:t>
      </w:r>
    </w:p>
    <w:p w:rsidR="007B31D5" w:rsidRPr="00FD4FF3" w:rsidRDefault="007B31D5" w:rsidP="007B31D5">
      <w:pPr>
        <w:pStyle w:val="SingleTxtGR"/>
      </w:pPr>
      <w:r w:rsidRPr="00FD4FF3">
        <w:t>8.9</w:t>
      </w:r>
      <w:r w:rsidRPr="00FD4FF3">
        <w:tab/>
        <w:t>Что касается утверждений автора по статье 15 Конвенции, то Комитет напоминает, что во время событий, которые сопряжены с настоящим сообщен</w:t>
      </w:r>
      <w:r w:rsidRPr="00FD4FF3">
        <w:t>и</w:t>
      </w:r>
      <w:r w:rsidRPr="00FD4FF3">
        <w:t>ем, автор содержался под стражей. В такой ситуации Комитет подчеркивает, что государства-участники занимают особое место в плане гарантии защиты прав лиц, лишенных свободы, в силу той степени контроля, который</w:t>
      </w:r>
      <w:r w:rsidR="00810908">
        <w:t xml:space="preserve"> они</w:t>
      </w:r>
      <w:r w:rsidRPr="00FD4FF3">
        <w:t xml:space="preserve"> осущест</w:t>
      </w:r>
      <w:r w:rsidRPr="00FD4FF3">
        <w:t>в</w:t>
      </w:r>
      <w:r w:rsidRPr="00FD4FF3">
        <w:t>ляют над этими лицами</w:t>
      </w:r>
      <w:r w:rsidRPr="00F35856">
        <w:rPr>
          <w:sz w:val="18"/>
          <w:vertAlign w:val="superscript"/>
        </w:rPr>
        <w:footnoteReference w:id="49"/>
      </w:r>
      <w:r w:rsidRPr="00FD4FF3">
        <w:t>, включая и предотвращение любой формы обращения вопреки статье 15 Конвенции и гарантию прав</w:t>
      </w:r>
      <w:r w:rsidR="00825757">
        <w:t>, установленных по Конвенции. В </w:t>
      </w:r>
      <w:r w:rsidRPr="00FD4FF3">
        <w:t>этом контексте власти государства-участника должны уделять особое вним</w:t>
      </w:r>
      <w:r w:rsidRPr="00FD4FF3">
        <w:t>а</w:t>
      </w:r>
      <w:r w:rsidRPr="00FD4FF3">
        <w:t>ние конкретным потребностям и возможной уязвимости соответствующего л</w:t>
      </w:r>
      <w:r w:rsidRPr="00FD4FF3">
        <w:t>и</w:t>
      </w:r>
      <w:r w:rsidRPr="00FD4FF3">
        <w:t>ца, в том числе по причине его или ее инвалидности. В настоящем деле Ком</w:t>
      </w:r>
      <w:r w:rsidRPr="00FD4FF3">
        <w:t>и</w:t>
      </w:r>
      <w:r w:rsidRPr="00FD4FF3">
        <w:t>тет отмечает утверждения автора о том, что он подвергался частым актам нас</w:t>
      </w:r>
      <w:r w:rsidRPr="00FD4FF3">
        <w:t>и</w:t>
      </w:r>
      <w:r w:rsidRPr="00FD4FF3">
        <w:t>лия и надругательств, что его инвалидность мешала ему защищаться от таких актов и что власти государства-участника не приняли никаких мер, чтобы нак</w:t>
      </w:r>
      <w:r w:rsidRPr="00FD4FF3">
        <w:t>а</w:t>
      </w:r>
      <w:r w:rsidRPr="00FD4FF3">
        <w:t>зать и предотвратить их или защитить от них автора. Вдобавок Комитет отмеч</w:t>
      </w:r>
      <w:r w:rsidRPr="00FD4FF3">
        <w:t>а</w:t>
      </w:r>
      <w:r w:rsidRPr="00FD4FF3">
        <w:t>ет, что автор со</w:t>
      </w:r>
      <w:r w:rsidR="00825757">
        <w:t>держался в заключении больше 13 </w:t>
      </w:r>
      <w:r w:rsidRPr="00FD4FF3">
        <w:t>лет безо всяких указаний насчет продолжительности его заключения. Как считалось, его заключение н</w:t>
      </w:r>
      <w:r w:rsidRPr="00FD4FF3">
        <w:t>о</w:t>
      </w:r>
      <w:r w:rsidRPr="00FD4FF3">
        <w:t>сит бессрочный характер, поскольку, в соответствии со статьей 10 Закона о д</w:t>
      </w:r>
      <w:r w:rsidRPr="00FD4FF3">
        <w:t>у</w:t>
      </w:r>
      <w:r w:rsidRPr="00FD4FF3">
        <w:t xml:space="preserve">шевнобольных обвиняемых, </w:t>
      </w:r>
      <w:r w:rsidR="00FE6FCA" w:rsidRPr="00FD4FF3">
        <w:t>«</w:t>
      </w:r>
      <w:r w:rsidRPr="00FD4FF3">
        <w:t>обвиняемый, признанный по настоящему разделу психически неспособным предстать перед судом, предположительно считается по-прежнему психически неспособным до тех пор, пока не будет доказано о</w:t>
      </w:r>
      <w:r w:rsidRPr="00FD4FF3">
        <w:t>б</w:t>
      </w:r>
      <w:r w:rsidRPr="00FD4FF3">
        <w:t>ратное</w:t>
      </w:r>
      <w:r w:rsidR="00FE6FCA" w:rsidRPr="00FD4FF3">
        <w:t>»</w:t>
      </w:r>
      <w:r w:rsidRPr="00FD4FF3">
        <w:t>. Принимая в расчет непоправимые психологические последствия, кот</w:t>
      </w:r>
      <w:r w:rsidRPr="00FD4FF3">
        <w:t>о</w:t>
      </w:r>
      <w:r w:rsidRPr="00FD4FF3">
        <w:t>рыми может обернуться для заключенного бессрочное заключение, Комитет п</w:t>
      </w:r>
      <w:r w:rsidRPr="00FD4FF3">
        <w:t>о</w:t>
      </w:r>
      <w:r w:rsidRPr="00FD4FF3">
        <w:t>лагает, что бессрочное заключение, которому он был подвергнут, равносильно бесчеловечному и унижающему достоинство обращению</w:t>
      </w:r>
      <w:r w:rsidRPr="00F35856">
        <w:rPr>
          <w:sz w:val="18"/>
          <w:vertAlign w:val="superscript"/>
        </w:rPr>
        <w:footnoteReference w:id="50"/>
      </w:r>
      <w:r w:rsidRPr="00FD4FF3">
        <w:t>. И поэтому Комитет считает, что бессрочное заключение автора и неоднократные акты насилия, к</w:t>
      </w:r>
      <w:r w:rsidRPr="00FD4FF3">
        <w:t>о</w:t>
      </w:r>
      <w:r w:rsidRPr="00FD4FF3">
        <w:t>торым он подвергался в ходе его заключения, равносильны нарушению гос</w:t>
      </w:r>
      <w:r w:rsidRPr="00FD4FF3">
        <w:t>у</w:t>
      </w:r>
      <w:r w:rsidRPr="00FD4FF3">
        <w:t xml:space="preserve">дарством-участником статьи 15 Конвенции. </w:t>
      </w:r>
    </w:p>
    <w:p w:rsidR="007B31D5" w:rsidRPr="00FD4FF3" w:rsidRDefault="007B31D5" w:rsidP="007B31D5">
      <w:pPr>
        <w:pStyle w:val="SingleTxtGR"/>
      </w:pPr>
      <w:r w:rsidRPr="00FD4FF3">
        <w:t>8.10</w:t>
      </w:r>
      <w:r w:rsidRPr="00FD4FF3">
        <w:tab/>
        <w:t>В свете вышесказанного Комитет делает вывод о том, что государство-участник не выполнило свои обязательства по пунктам 1 и 2 статьи 5, 2 и 3 ст</w:t>
      </w:r>
      <w:r w:rsidRPr="00FD4FF3">
        <w:t>а</w:t>
      </w:r>
      <w:r w:rsidRPr="00FD4FF3">
        <w:t xml:space="preserve">тьи 12, 1 статьи 13, 1 b) статьи 14 и по статье 15 Конвенции. </w:t>
      </w:r>
    </w:p>
    <w:p w:rsidR="007B31D5" w:rsidRPr="00FD4FF3" w:rsidRDefault="007B31D5" w:rsidP="00905AD7">
      <w:pPr>
        <w:pStyle w:val="H1GR"/>
      </w:pPr>
      <w:r w:rsidRPr="00FD4FF3">
        <w:tab/>
        <w:t>C.</w:t>
      </w:r>
      <w:r w:rsidRPr="00FD4FF3">
        <w:tab/>
        <w:t>Выводы и рекомендации</w:t>
      </w:r>
    </w:p>
    <w:p w:rsidR="007B31D5" w:rsidRPr="00FD4FF3" w:rsidRDefault="007B31D5" w:rsidP="007B31D5">
      <w:pPr>
        <w:pStyle w:val="SingleTxtGR"/>
      </w:pPr>
      <w:r w:rsidRPr="00FD4FF3">
        <w:t>9.</w:t>
      </w:r>
      <w:r w:rsidRPr="00FD4FF3">
        <w:tab/>
        <w:t>Комитет, действуя по статье 5 Факультативного протокола, приходит к выводу, что государство-участник не выполнил</w:t>
      </w:r>
      <w:r w:rsidR="00A364FC">
        <w:t>о свои обязательства по пун</w:t>
      </w:r>
      <w:r w:rsidR="00A364FC">
        <w:t>к</w:t>
      </w:r>
      <w:r w:rsidR="00A364FC">
        <w:t>там </w:t>
      </w:r>
      <w:r w:rsidRPr="00FD4FF3">
        <w:t>1 и 2 статьи 5, 2 и 3 статьи 12, 1 статьи 13, 1 b) статьи 14 и по статье 15 Конвенции. И поэтому Комитет выносит государству-участнику следующие р</w:t>
      </w:r>
      <w:r w:rsidRPr="00FD4FF3">
        <w:t>е</w:t>
      </w:r>
      <w:r w:rsidRPr="00FD4FF3">
        <w:t>комендации:</w:t>
      </w:r>
    </w:p>
    <w:p w:rsidR="007B31D5" w:rsidRPr="00FD4FF3" w:rsidRDefault="007B31D5" w:rsidP="007B31D5">
      <w:pPr>
        <w:pStyle w:val="SingleTxtGR"/>
      </w:pPr>
      <w:r w:rsidRPr="00FD4FF3">
        <w:tab/>
        <w:t>a)</w:t>
      </w:r>
      <w:r w:rsidRPr="00FD4FF3">
        <w:tab/>
        <w:t>в отношении автора государство несет обязанность:</w:t>
      </w:r>
    </w:p>
    <w:p w:rsidR="007B31D5" w:rsidRPr="00FD4FF3" w:rsidRDefault="007B31D5" w:rsidP="007B31D5">
      <w:pPr>
        <w:pStyle w:val="SingleTxtGR"/>
        <w:ind w:left="1701" w:hanging="567"/>
      </w:pPr>
      <w:r w:rsidRPr="00FD4FF3">
        <w:tab/>
        <w:t>i)</w:t>
      </w:r>
      <w:r w:rsidRPr="00FD4FF3">
        <w:tab/>
        <w:t>предоставить ему эффективное средство правовой защиты, вкл</w:t>
      </w:r>
      <w:r w:rsidRPr="00FD4FF3">
        <w:t>ю</w:t>
      </w:r>
      <w:r w:rsidRPr="00FD4FF3">
        <w:t>чая возмещение любых понесенных им судебных издержек вместе ко</w:t>
      </w:r>
      <w:r w:rsidRPr="00FD4FF3">
        <w:t>м</w:t>
      </w:r>
      <w:r w:rsidRPr="00FD4FF3">
        <w:t xml:space="preserve">пенсацией; </w:t>
      </w:r>
    </w:p>
    <w:p w:rsidR="007B31D5" w:rsidRPr="00FD4FF3" w:rsidRDefault="007B31D5" w:rsidP="007B31D5">
      <w:pPr>
        <w:pStyle w:val="SingleTxtGR"/>
        <w:ind w:left="1701" w:hanging="567"/>
      </w:pPr>
      <w:r w:rsidRPr="00FD4FF3">
        <w:tab/>
      </w:r>
      <w:proofErr w:type="spellStart"/>
      <w:r w:rsidRPr="00FD4FF3">
        <w:t>ii</w:t>
      </w:r>
      <w:proofErr w:type="spellEnd"/>
      <w:r w:rsidRPr="00FD4FF3">
        <w:t>)</w:t>
      </w:r>
      <w:r w:rsidRPr="00FD4FF3">
        <w:tab/>
        <w:t>немедленно отменить 10 условий, содержащихся в постановлении об освобождении автора, заменив их всеми необходимыми мерами по</w:t>
      </w:r>
      <w:r w:rsidRPr="00FD4FF3">
        <w:t>д</w:t>
      </w:r>
      <w:r w:rsidRPr="00FD4FF3">
        <w:t>держки с целью его интеграции в общину;</w:t>
      </w:r>
    </w:p>
    <w:p w:rsidR="007B31D5" w:rsidRPr="00FD4FF3" w:rsidRDefault="007B31D5" w:rsidP="007B31D5">
      <w:pPr>
        <w:pStyle w:val="SingleTxtGR"/>
        <w:ind w:left="1701" w:hanging="567"/>
      </w:pPr>
      <w:r w:rsidRPr="00FD4FF3">
        <w:tab/>
      </w:r>
      <w:proofErr w:type="spellStart"/>
      <w:r w:rsidRPr="00FD4FF3">
        <w:t>iii</w:t>
      </w:r>
      <w:proofErr w:type="spellEnd"/>
      <w:r w:rsidRPr="00FD4FF3">
        <w:t>)</w:t>
      </w:r>
      <w:r w:rsidRPr="00FD4FF3">
        <w:tab/>
        <w:t>опубликовать настоящие Соображения Комитета и широко распр</w:t>
      </w:r>
      <w:r w:rsidRPr="00FD4FF3">
        <w:t>о</w:t>
      </w:r>
      <w:r w:rsidRPr="00FD4FF3">
        <w:t>странить их в доступных форматах среди всех слоев населения;</w:t>
      </w:r>
    </w:p>
    <w:p w:rsidR="007B31D5" w:rsidRPr="00FD4FF3" w:rsidRDefault="007B31D5" w:rsidP="007B31D5">
      <w:pPr>
        <w:pStyle w:val="SingleTxtGR"/>
      </w:pPr>
      <w:r w:rsidRPr="00FD4FF3">
        <w:tab/>
        <w:t>b)</w:t>
      </w:r>
      <w:r w:rsidRPr="00FD4FF3">
        <w:tab/>
        <w:t>в целом государство-участник несет обязанность принять меры с целью предотвратить подобные нарушения в будущем. В этом отношении К</w:t>
      </w:r>
      <w:r w:rsidRPr="00FD4FF3">
        <w:t>о</w:t>
      </w:r>
      <w:r w:rsidRPr="00FD4FF3">
        <w:t>митет ссылается на рекомендации, содержащиеся в его заключительных зам</w:t>
      </w:r>
      <w:r w:rsidRPr="00FD4FF3">
        <w:t>е</w:t>
      </w:r>
      <w:r w:rsidRPr="00FD4FF3">
        <w:t>чаниях (CRPD/C/AUS/CO/1, пункт 32), и требует от государства-участника:</w:t>
      </w:r>
    </w:p>
    <w:p w:rsidR="007B31D5" w:rsidRPr="00FD4FF3" w:rsidRDefault="007B31D5" w:rsidP="007B31D5">
      <w:pPr>
        <w:pStyle w:val="SingleTxtGR"/>
        <w:ind w:left="1701" w:hanging="567"/>
      </w:pPr>
      <w:r w:rsidRPr="00FD4FF3">
        <w:tab/>
        <w:t>i)</w:t>
      </w:r>
      <w:r w:rsidRPr="00FD4FF3">
        <w:tab/>
        <w:t>принять необходимые поправки в Закон о душевнобольных обв</w:t>
      </w:r>
      <w:r w:rsidRPr="00FD4FF3">
        <w:t>и</w:t>
      </w:r>
      <w:r w:rsidRPr="00FD4FF3">
        <w:t>няемых (Западная Австралия) и во все равноценное или смежное фед</w:t>
      </w:r>
      <w:r w:rsidRPr="00FD4FF3">
        <w:t>е</w:t>
      </w:r>
      <w:r w:rsidRPr="00FD4FF3">
        <w:t>ральное законодательство и законодательство штатов в тесной консульт</w:t>
      </w:r>
      <w:r w:rsidRPr="00FD4FF3">
        <w:t>а</w:t>
      </w:r>
      <w:r w:rsidRPr="00FD4FF3">
        <w:t>ции с инвалидами и их представительными организациями, обеспечивая соблюдение им принципов Конвенции и руководящих принципов Ком</w:t>
      </w:r>
      <w:r w:rsidRPr="00FD4FF3">
        <w:t>и</w:t>
      </w:r>
      <w:r w:rsidRPr="00FD4FF3">
        <w:t xml:space="preserve">тета по статье 14 Конвенции; </w:t>
      </w:r>
    </w:p>
    <w:p w:rsidR="007B31D5" w:rsidRPr="00FD4FF3" w:rsidRDefault="007B31D5" w:rsidP="007B31D5">
      <w:pPr>
        <w:pStyle w:val="SingleTxtGR"/>
        <w:ind w:left="1701" w:hanging="567"/>
      </w:pPr>
      <w:r w:rsidRPr="00FD4FF3">
        <w:tab/>
      </w:r>
      <w:proofErr w:type="spellStart"/>
      <w:r w:rsidRPr="00FD4FF3">
        <w:t>ii</w:t>
      </w:r>
      <w:proofErr w:type="spellEnd"/>
      <w:r w:rsidRPr="00FD4FF3">
        <w:t>)</w:t>
      </w:r>
      <w:r w:rsidRPr="00FD4FF3">
        <w:tab/>
        <w:t>обеспечить предоставление лицам, страдающим психической и и</w:t>
      </w:r>
      <w:r w:rsidRPr="00FD4FF3">
        <w:t>н</w:t>
      </w:r>
      <w:r w:rsidRPr="00FD4FF3">
        <w:t>теллектуальной недееспособностью, мер адекватной поддержки и ада</w:t>
      </w:r>
      <w:r w:rsidRPr="00FD4FF3">
        <w:t>п</w:t>
      </w:r>
      <w:r w:rsidRPr="00FD4FF3">
        <w:t>тации, с тем чтобы позволить им реализовывать свою правоспособность в судах всякий раз, когда необходимо;</w:t>
      </w:r>
    </w:p>
    <w:p w:rsidR="007B31D5" w:rsidRPr="00FD4FF3" w:rsidRDefault="007B31D5" w:rsidP="007B31D5">
      <w:pPr>
        <w:pStyle w:val="SingleTxtGR"/>
        <w:ind w:left="1701" w:hanging="567"/>
      </w:pPr>
      <w:r w:rsidRPr="00FD4FF3">
        <w:tab/>
      </w:r>
      <w:proofErr w:type="spellStart"/>
      <w:r w:rsidRPr="00FD4FF3">
        <w:t>iii</w:t>
      </w:r>
      <w:proofErr w:type="spellEnd"/>
      <w:r w:rsidRPr="00FD4FF3">
        <w:t>)</w:t>
      </w:r>
      <w:r w:rsidRPr="00FD4FF3">
        <w:tab/>
        <w:t>обеспечить предоставление персоналу Надзорного совета, членам Комиссии по правовой реформе и парламента, судебным работникам и персоналу, причастному к облегчению работы судебных органов, соо</w:t>
      </w:r>
      <w:r w:rsidRPr="00FD4FF3">
        <w:t>т</w:t>
      </w:r>
      <w:r w:rsidRPr="00FD4FF3">
        <w:t>ветствующей и регулярной подготовки по сфере Конвенции и ее Факул</w:t>
      </w:r>
      <w:r w:rsidRPr="00FD4FF3">
        <w:t>ь</w:t>
      </w:r>
      <w:r w:rsidRPr="00FD4FF3">
        <w:t>тативного протокола, и в том числе относительно реализации правосп</w:t>
      </w:r>
      <w:r w:rsidRPr="00FD4FF3">
        <w:t>о</w:t>
      </w:r>
      <w:r w:rsidRPr="00FD4FF3">
        <w:t>собности лицами, страдающими психической и интеллектуальной неде</w:t>
      </w:r>
      <w:r w:rsidRPr="00FD4FF3">
        <w:t>е</w:t>
      </w:r>
      <w:r w:rsidRPr="00FD4FF3">
        <w:t>способностью.</w:t>
      </w:r>
    </w:p>
    <w:p w:rsidR="007B31D5" w:rsidRPr="00FD4FF3" w:rsidRDefault="007B31D5" w:rsidP="007B31D5">
      <w:pPr>
        <w:pStyle w:val="SingleTxtGR"/>
      </w:pPr>
      <w:r w:rsidRPr="00FD4FF3">
        <w:t>10.</w:t>
      </w:r>
      <w:r w:rsidRPr="00FD4FF3">
        <w:tab/>
        <w:t>В соответствии со статьей 5 Факул</w:t>
      </w:r>
      <w:r w:rsidR="00825757">
        <w:t>ьтативного протокола и правилом </w:t>
      </w:r>
      <w:r w:rsidRPr="00FD4FF3">
        <w:t>75 правил процедуры Комитета, государство-участник должно представить Ком</w:t>
      </w:r>
      <w:r w:rsidRPr="00FD4FF3">
        <w:t>и</w:t>
      </w:r>
      <w:r w:rsidRPr="00FD4FF3">
        <w:t>тету в течение шести месяцев письменный ответ, включая информацию о л</w:t>
      </w:r>
      <w:r w:rsidRPr="00FD4FF3">
        <w:t>ю</w:t>
      </w:r>
      <w:r w:rsidRPr="00FD4FF3">
        <w:t>бых предпринятых действиях в свете настоящих Соображений и рекомендаций Комитета.</w:t>
      </w:r>
    </w:p>
    <w:p w:rsidR="007B31D5" w:rsidRPr="00FD4FF3" w:rsidRDefault="007B31D5" w:rsidP="00B104DA">
      <w:pPr>
        <w:pStyle w:val="HChGR"/>
      </w:pPr>
      <w:r w:rsidRPr="00FD4FF3">
        <w:t xml:space="preserve"> </w:t>
      </w:r>
      <w:r w:rsidRPr="00B104DA">
        <w:t>Приложение</w:t>
      </w:r>
    </w:p>
    <w:p w:rsidR="007B31D5" w:rsidRPr="00FD4FF3" w:rsidRDefault="007B31D5" w:rsidP="007B31D5">
      <w:pPr>
        <w:pStyle w:val="HChGR"/>
      </w:pPr>
      <w:r w:rsidRPr="00FD4FF3">
        <w:tab/>
      </w:r>
      <w:r w:rsidRPr="00FD4FF3">
        <w:tab/>
        <w:t xml:space="preserve">Особое мнение члена Комитета </w:t>
      </w:r>
      <w:proofErr w:type="spellStart"/>
      <w:r w:rsidRPr="00FD4FF3">
        <w:t>Дамьяна</w:t>
      </w:r>
      <w:proofErr w:type="spellEnd"/>
      <w:r w:rsidRPr="00FD4FF3">
        <w:t xml:space="preserve"> </w:t>
      </w:r>
      <w:proofErr w:type="spellStart"/>
      <w:r w:rsidRPr="00FD4FF3">
        <w:t>Татича</w:t>
      </w:r>
      <w:proofErr w:type="spellEnd"/>
      <w:r w:rsidRPr="00FD4FF3">
        <w:t xml:space="preserve"> (частично несогласное)</w:t>
      </w:r>
    </w:p>
    <w:p w:rsidR="007B31D5" w:rsidRPr="00FD4FF3" w:rsidRDefault="007B31D5" w:rsidP="007B31D5">
      <w:pPr>
        <w:pStyle w:val="SingleTxtGR"/>
      </w:pPr>
      <w:r w:rsidRPr="00FD4FF3">
        <w:t>1.</w:t>
      </w:r>
      <w:r w:rsidRPr="00FD4FF3">
        <w:tab/>
        <w:t>Я согласен с Комитетом, что утверждения автора, относящиеся к пун</w:t>
      </w:r>
      <w:r w:rsidRPr="00FD4FF3">
        <w:t>к</w:t>
      </w:r>
      <w:r w:rsidRPr="00FD4FF3">
        <w:t>там</w:t>
      </w:r>
      <w:r w:rsidR="00A364FC">
        <w:t> </w:t>
      </w:r>
      <w:r w:rsidRPr="00FD4FF3">
        <w:t>1 и 2 статьи 5, 1 b) статьи 14 и к статье 15 Конвенции, являются приемл</w:t>
      </w:r>
      <w:r w:rsidRPr="00FD4FF3">
        <w:t>е</w:t>
      </w:r>
      <w:r w:rsidRPr="00FD4FF3">
        <w:t>мыми по Факультативному протоколу. Я также согласен с мнением Комитета, что государство-участник не выполнило свои обязательст</w:t>
      </w:r>
      <w:r w:rsidR="00825757">
        <w:t>ва по пунктам 1 и 2 статьи 5, 1 </w:t>
      </w:r>
      <w:r w:rsidRPr="00FD4FF3">
        <w:t>b) статьи 14 и по статье 15 Конвенции. Кроме того, я согласен с в</w:t>
      </w:r>
      <w:r w:rsidRPr="00FD4FF3">
        <w:t>ы</w:t>
      </w:r>
      <w:r w:rsidRPr="00FD4FF3">
        <w:t>водами и рекомендациями Комитета государству-участнику относительно его обязанностей, касающихся полного осуществления этих статей.</w:t>
      </w:r>
    </w:p>
    <w:p w:rsidR="007B31D5" w:rsidRPr="00FD4FF3" w:rsidRDefault="007B31D5" w:rsidP="007B31D5">
      <w:pPr>
        <w:pStyle w:val="SingleTxtGR"/>
      </w:pPr>
      <w:r w:rsidRPr="00FD4FF3">
        <w:t>2.</w:t>
      </w:r>
      <w:r w:rsidRPr="00FD4FF3">
        <w:tab/>
        <w:t xml:space="preserve">Однако я меньше убежден в трактовке Комитетом приемлемости </w:t>
      </w:r>
      <w:proofErr w:type="spellStart"/>
      <w:r w:rsidRPr="00FD4FF3">
        <w:t>ratione</w:t>
      </w:r>
      <w:proofErr w:type="spellEnd"/>
      <w:r w:rsidRPr="00FD4FF3">
        <w:t xml:space="preserve"> </w:t>
      </w:r>
      <w:proofErr w:type="spellStart"/>
      <w:r w:rsidRPr="00FD4FF3">
        <w:t>temporis</w:t>
      </w:r>
      <w:proofErr w:type="spellEnd"/>
      <w:r w:rsidRPr="00FD4FF3">
        <w:t xml:space="preserve"> утверждений, касающихся статей 12 и 13. Как я полагаю, 5 ноября 2010 года окружной суд Западной Австралии не рассматривал утверждения а</w:t>
      </w:r>
      <w:r w:rsidRPr="00FD4FF3">
        <w:t>в</w:t>
      </w:r>
      <w:r w:rsidRPr="00FD4FF3">
        <w:t>тора по существу, и все решения, касающиеся способности автора заявить о своей невиновности, имели место до вступления Факультативного протокола в силу для государства-участника. Я считаю, что решение окружного суда никоим образом не подкрепляло предыдущие судебные решения, принятые до вступл</w:t>
      </w:r>
      <w:r w:rsidRPr="00FD4FF3">
        <w:t>е</w:t>
      </w:r>
      <w:r w:rsidRPr="00FD4FF3">
        <w:t xml:space="preserve">ния Факультативного протокола в силу для государства-участника. И поэтому я считаю, что утверждения автора касательно статей 12 и 13 Конвенции являются неприемлемыми </w:t>
      </w:r>
      <w:proofErr w:type="spellStart"/>
      <w:r w:rsidRPr="00FD4FF3">
        <w:t>ratione</w:t>
      </w:r>
      <w:proofErr w:type="spellEnd"/>
      <w:r w:rsidRPr="00FD4FF3">
        <w:t xml:space="preserve"> </w:t>
      </w:r>
      <w:proofErr w:type="spellStart"/>
      <w:r w:rsidRPr="00FD4FF3">
        <w:t>temporis</w:t>
      </w:r>
      <w:proofErr w:type="spellEnd"/>
      <w:r w:rsidRPr="00FD4FF3">
        <w:t>.</w:t>
      </w:r>
    </w:p>
    <w:p w:rsidR="00BB5A75" w:rsidRPr="00FD4FF3" w:rsidRDefault="007B31D5" w:rsidP="007B31D5">
      <w:pPr>
        <w:spacing w:before="240"/>
        <w:jc w:val="center"/>
        <w:rPr>
          <w:u w:val="single"/>
        </w:rPr>
      </w:pPr>
      <w:r w:rsidRPr="00FD4FF3">
        <w:rPr>
          <w:u w:val="single"/>
        </w:rPr>
        <w:tab/>
      </w:r>
      <w:r w:rsidRPr="00FD4FF3">
        <w:rPr>
          <w:u w:val="single"/>
        </w:rPr>
        <w:tab/>
      </w:r>
      <w:r w:rsidRPr="00FD4FF3">
        <w:rPr>
          <w:u w:val="single"/>
        </w:rPr>
        <w:tab/>
      </w:r>
    </w:p>
    <w:sectPr w:rsidR="00BB5A75" w:rsidRPr="00FD4FF3" w:rsidSect="00BB5A75">
      <w:headerReference w:type="even" r:id="rId10"/>
      <w:headerReference w:type="default" r:id="rId11"/>
      <w:footerReference w:type="even" r:id="rId12"/>
      <w:footerReference w:type="default" r:id="rId13"/>
      <w:headerReference w:type="first" r:id="rId14"/>
      <w:footerReference w:type="first" r:id="rId15"/>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177" w:rsidRDefault="00FE6177" w:rsidP="00B471C5">
      <w:r>
        <w:separator/>
      </w:r>
    </w:p>
  </w:endnote>
  <w:endnote w:type="continuationSeparator" w:id="0">
    <w:p w:rsidR="00FE6177" w:rsidRDefault="00FE6177"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77" w:rsidRPr="009A6F4A" w:rsidRDefault="00FE6177">
    <w:pPr>
      <w:pStyle w:val="a7"/>
      <w:rPr>
        <w:lang w:val="en-US"/>
      </w:rPr>
    </w:pPr>
    <w:r>
      <w:rPr>
        <w:rStyle w:val="a9"/>
      </w:rPr>
      <w:fldChar w:fldCharType="begin"/>
    </w:r>
    <w:r>
      <w:rPr>
        <w:rStyle w:val="a9"/>
      </w:rPr>
      <w:instrText xml:space="preserve"> PAGE </w:instrText>
    </w:r>
    <w:r>
      <w:rPr>
        <w:rStyle w:val="a9"/>
      </w:rPr>
      <w:fldChar w:fldCharType="separate"/>
    </w:r>
    <w:r w:rsidR="00EF41D4">
      <w:rPr>
        <w:rStyle w:val="a9"/>
        <w:noProof/>
      </w:rPr>
      <w:t>14</w:t>
    </w:r>
    <w:r>
      <w:rPr>
        <w:rStyle w:val="a9"/>
      </w:rPr>
      <w:fldChar w:fldCharType="end"/>
    </w:r>
    <w:r>
      <w:rPr>
        <w:lang w:val="en-US"/>
      </w:rPr>
      <w:tab/>
      <w:t>GE.16-</w:t>
    </w:r>
    <w:r w:rsidRPr="00EF769C">
      <w:rPr>
        <w:lang w:val="en-US"/>
      </w:rPr>
      <w:t>17471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77" w:rsidRPr="009A6F4A" w:rsidRDefault="00FE6177">
    <w:pPr>
      <w:pStyle w:val="a7"/>
      <w:rPr>
        <w:lang w:val="en-US"/>
      </w:rPr>
    </w:pPr>
    <w:r>
      <w:rPr>
        <w:lang w:val="en-US"/>
      </w:rPr>
      <w:t>GE.16-</w:t>
    </w:r>
    <w:r w:rsidRPr="00EF769C">
      <w:rPr>
        <w:lang w:val="en-US"/>
      </w:rPr>
      <w:t>17471</w:t>
    </w:r>
    <w:r>
      <w:rPr>
        <w:lang w:val="en-US"/>
      </w:rPr>
      <w:tab/>
    </w:r>
    <w:r>
      <w:rPr>
        <w:rStyle w:val="a9"/>
      </w:rPr>
      <w:fldChar w:fldCharType="begin"/>
    </w:r>
    <w:r>
      <w:rPr>
        <w:rStyle w:val="a9"/>
      </w:rPr>
      <w:instrText xml:space="preserve"> PAGE </w:instrText>
    </w:r>
    <w:r>
      <w:rPr>
        <w:rStyle w:val="a9"/>
      </w:rPr>
      <w:fldChar w:fldCharType="separate"/>
    </w:r>
    <w:r w:rsidR="00EF41D4">
      <w:rPr>
        <w:rStyle w:val="a9"/>
        <w:noProof/>
      </w:rPr>
      <w:t>13</w:t>
    </w:r>
    <w:r>
      <w:rPr>
        <w:rStyle w:val="a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FE6177" w:rsidRPr="00797A78" w:rsidTr="00905AD7">
      <w:trPr>
        <w:trHeight w:val="431"/>
      </w:trPr>
      <w:tc>
        <w:tcPr>
          <w:tcW w:w="3648" w:type="dxa"/>
          <w:tcMar>
            <w:left w:w="57" w:type="dxa"/>
            <w:right w:w="57" w:type="dxa"/>
          </w:tcMar>
          <w:vAlign w:val="bottom"/>
        </w:tcPr>
        <w:p w:rsidR="00FE6177" w:rsidRPr="00A3542F" w:rsidRDefault="00FE6177" w:rsidP="00905AD7">
          <w:pPr>
            <w:spacing w:after="40"/>
            <w:rPr>
              <w:rFonts w:ascii="C39T30Lfz" w:hAnsi="C39T30Lfz"/>
              <w:spacing w:val="0"/>
              <w:w w:val="100"/>
              <w:kern w:val="0"/>
              <w:lang w:eastAsia="ru-RU"/>
            </w:rPr>
          </w:pPr>
          <w:r w:rsidRPr="001C3ABC">
            <w:rPr>
              <w:lang w:val="en-US"/>
            </w:rPr>
            <w:t>GE.</w:t>
          </w:r>
          <w:r>
            <w:rPr>
              <w:lang w:val="en-US"/>
            </w:rPr>
            <w:t>16-</w:t>
          </w:r>
          <w:r w:rsidRPr="00EF769C">
            <w:rPr>
              <w:lang w:val="en-US"/>
            </w:rPr>
            <w:t xml:space="preserve">17471 </w:t>
          </w:r>
          <w:r w:rsidRPr="001C3ABC">
            <w:rPr>
              <w:lang w:val="en-US"/>
            </w:rPr>
            <w:t>(R)</w:t>
          </w:r>
          <w:r>
            <w:t xml:space="preserve">  151116  </w:t>
          </w:r>
          <w:r>
            <w:rPr>
              <w:lang w:val="en-US"/>
            </w:rPr>
            <w:t>16</w:t>
          </w:r>
          <w:r>
            <w:t>1116</w:t>
          </w:r>
        </w:p>
      </w:tc>
      <w:tc>
        <w:tcPr>
          <w:tcW w:w="5056" w:type="dxa"/>
          <w:vMerge w:val="restart"/>
          <w:tcMar>
            <w:left w:w="57" w:type="dxa"/>
            <w:right w:w="57" w:type="dxa"/>
          </w:tcMar>
          <w:vAlign w:val="bottom"/>
        </w:tcPr>
        <w:p w:rsidR="00FE6177" w:rsidRDefault="00FE6177" w:rsidP="00905AD7">
          <w:pPr>
            <w:jc w:val="right"/>
          </w:pPr>
          <w:r>
            <w:rPr>
              <w:b/>
              <w:noProof/>
              <w:lang w:eastAsia="ru-RU"/>
            </w:rPr>
            <w:drawing>
              <wp:inline distT="0" distB="0" distL="0" distR="0" wp14:anchorId="492FD7E5" wp14:editId="4B7A3AF1">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FE6177" w:rsidRDefault="00FE6177" w:rsidP="00905AD7">
          <w:pPr>
            <w:jc w:val="right"/>
          </w:pPr>
          <w:r>
            <w:rPr>
              <w:noProof/>
              <w:lang w:eastAsia="ru-RU"/>
            </w:rPr>
            <w:drawing>
              <wp:inline distT="0" distB="0" distL="0" distR="0">
                <wp:extent cx="580390" cy="580390"/>
                <wp:effectExtent l="0" t="0" r="0" b="0"/>
                <wp:docPr id="3" name="Рисунок 3" descr="http://undocs.org/m2/QRCode.ashx?DS=CRPD/C/16/D/7/2012&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16/D/7/2012&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inline>
            </w:drawing>
          </w:r>
        </w:p>
      </w:tc>
    </w:tr>
    <w:tr w:rsidR="00FE6177" w:rsidRPr="00797A78" w:rsidTr="00905AD7">
      <w:trPr>
        <w:trHeight w:hRule="exact" w:val="564"/>
      </w:trPr>
      <w:tc>
        <w:tcPr>
          <w:tcW w:w="3648" w:type="dxa"/>
          <w:tcMar>
            <w:left w:w="57" w:type="dxa"/>
            <w:right w:w="57" w:type="dxa"/>
          </w:tcMar>
          <w:vAlign w:val="bottom"/>
        </w:tcPr>
        <w:p w:rsidR="00FE6177" w:rsidRPr="00EF769C" w:rsidRDefault="00FE6177" w:rsidP="00905AD7">
          <w:pPr>
            <w:spacing w:after="40"/>
            <w:rPr>
              <w:rFonts w:ascii="C39T30Lfz" w:hAnsi="C39T30Lfz"/>
              <w:spacing w:val="0"/>
              <w:w w:val="100"/>
              <w:kern w:val="0"/>
              <w:sz w:val="56"/>
              <w:szCs w:val="56"/>
              <w:lang w:val="en-US" w:eastAsia="ru-RU"/>
            </w:rPr>
          </w:pPr>
          <w:r w:rsidRPr="00EF769C">
            <w:rPr>
              <w:rFonts w:ascii="C39T30Lfz" w:hAnsi="C39T30Lfz"/>
              <w:spacing w:val="0"/>
              <w:w w:val="100"/>
              <w:kern w:val="0"/>
              <w:sz w:val="56"/>
              <w:szCs w:val="56"/>
              <w:lang w:val="en-US" w:eastAsia="ru-RU"/>
            </w:rPr>
            <w:t></w:t>
          </w:r>
          <w:r w:rsidRPr="00EF769C">
            <w:rPr>
              <w:rFonts w:ascii="C39T30Lfz" w:hAnsi="C39T30Lfz"/>
              <w:spacing w:val="0"/>
              <w:w w:val="100"/>
              <w:kern w:val="0"/>
              <w:sz w:val="56"/>
              <w:szCs w:val="56"/>
              <w:lang w:val="en-US" w:eastAsia="ru-RU"/>
            </w:rPr>
            <w:t></w:t>
          </w:r>
          <w:r w:rsidRPr="00EF769C">
            <w:rPr>
              <w:rFonts w:ascii="C39T30Lfz" w:hAnsi="C39T30Lfz"/>
              <w:spacing w:val="0"/>
              <w:w w:val="100"/>
              <w:kern w:val="0"/>
              <w:sz w:val="56"/>
              <w:szCs w:val="56"/>
              <w:lang w:val="en-US" w:eastAsia="ru-RU"/>
            </w:rPr>
            <w:t></w:t>
          </w:r>
          <w:r w:rsidRPr="00EF769C">
            <w:rPr>
              <w:rFonts w:ascii="C39T30Lfz" w:hAnsi="C39T30Lfz"/>
              <w:spacing w:val="0"/>
              <w:w w:val="100"/>
              <w:kern w:val="0"/>
              <w:sz w:val="56"/>
              <w:szCs w:val="56"/>
              <w:lang w:val="en-US" w:eastAsia="ru-RU"/>
            </w:rPr>
            <w:t></w:t>
          </w:r>
          <w:r w:rsidRPr="00EF769C">
            <w:rPr>
              <w:rFonts w:ascii="C39T30Lfz" w:hAnsi="C39T30Lfz"/>
              <w:spacing w:val="0"/>
              <w:w w:val="100"/>
              <w:kern w:val="0"/>
              <w:sz w:val="56"/>
              <w:szCs w:val="56"/>
              <w:lang w:val="en-US" w:eastAsia="ru-RU"/>
            </w:rPr>
            <w:t></w:t>
          </w:r>
          <w:r w:rsidRPr="00EF769C">
            <w:rPr>
              <w:rFonts w:ascii="C39T30Lfz" w:hAnsi="C39T30Lfz"/>
              <w:spacing w:val="0"/>
              <w:w w:val="100"/>
              <w:kern w:val="0"/>
              <w:sz w:val="56"/>
              <w:szCs w:val="56"/>
              <w:lang w:val="en-US" w:eastAsia="ru-RU"/>
            </w:rPr>
            <w:t></w:t>
          </w:r>
          <w:r w:rsidRPr="00EF769C">
            <w:rPr>
              <w:rFonts w:ascii="C39T30Lfz" w:hAnsi="C39T30Lfz"/>
              <w:spacing w:val="0"/>
              <w:w w:val="100"/>
              <w:kern w:val="0"/>
              <w:sz w:val="56"/>
              <w:szCs w:val="56"/>
              <w:lang w:val="en-US" w:eastAsia="ru-RU"/>
            </w:rPr>
            <w:t></w:t>
          </w:r>
          <w:r w:rsidRPr="00EF769C">
            <w:rPr>
              <w:rFonts w:ascii="C39T30Lfz" w:hAnsi="C39T30Lfz"/>
              <w:spacing w:val="0"/>
              <w:w w:val="100"/>
              <w:kern w:val="0"/>
              <w:sz w:val="56"/>
              <w:szCs w:val="56"/>
              <w:lang w:val="en-US" w:eastAsia="ru-RU"/>
            </w:rPr>
            <w:t></w:t>
          </w:r>
          <w:r w:rsidRPr="00EF769C">
            <w:rPr>
              <w:rFonts w:ascii="C39T30Lfz" w:hAnsi="C39T30Lfz"/>
              <w:spacing w:val="0"/>
              <w:w w:val="100"/>
              <w:kern w:val="0"/>
              <w:sz w:val="56"/>
              <w:szCs w:val="56"/>
              <w:lang w:val="en-US" w:eastAsia="ru-RU"/>
            </w:rPr>
            <w:t></w:t>
          </w:r>
        </w:p>
      </w:tc>
      <w:tc>
        <w:tcPr>
          <w:tcW w:w="5056" w:type="dxa"/>
          <w:vMerge/>
          <w:tcMar>
            <w:left w:w="57" w:type="dxa"/>
            <w:right w:w="57" w:type="dxa"/>
          </w:tcMar>
        </w:tcPr>
        <w:p w:rsidR="00FE6177" w:rsidRDefault="00FE6177" w:rsidP="00905AD7"/>
      </w:tc>
      <w:tc>
        <w:tcPr>
          <w:tcW w:w="972" w:type="dxa"/>
          <w:vMerge/>
          <w:tcMar>
            <w:left w:w="57" w:type="dxa"/>
            <w:right w:w="57" w:type="dxa"/>
          </w:tcMar>
        </w:tcPr>
        <w:p w:rsidR="00FE6177" w:rsidRDefault="00FE6177" w:rsidP="00905AD7"/>
      </w:tc>
    </w:tr>
  </w:tbl>
  <w:p w:rsidR="00FE6177" w:rsidRDefault="00FE6177" w:rsidP="00905AD7">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177" w:rsidRPr="009141DC" w:rsidRDefault="00FE6177" w:rsidP="00D1261C">
      <w:pPr>
        <w:tabs>
          <w:tab w:val="left" w:pos="2268"/>
        </w:tabs>
        <w:spacing w:after="80"/>
        <w:ind w:left="680"/>
        <w:rPr>
          <w:u w:val="single"/>
          <w:lang w:val="en-US"/>
        </w:rPr>
      </w:pPr>
      <w:r>
        <w:rPr>
          <w:u w:val="single"/>
          <w:lang w:val="en-US"/>
        </w:rPr>
        <w:tab/>
      </w:r>
    </w:p>
  </w:footnote>
  <w:footnote w:type="continuationSeparator" w:id="0">
    <w:p w:rsidR="00FE6177" w:rsidRPr="00D1261C" w:rsidRDefault="00FE6177" w:rsidP="00D1261C">
      <w:pPr>
        <w:tabs>
          <w:tab w:val="left" w:pos="2268"/>
        </w:tabs>
        <w:spacing w:after="80"/>
        <w:rPr>
          <w:u w:val="single"/>
          <w:lang w:val="en-US"/>
        </w:rPr>
      </w:pPr>
      <w:r>
        <w:rPr>
          <w:u w:val="single"/>
          <w:lang w:val="en-US"/>
        </w:rPr>
        <w:tab/>
      </w:r>
    </w:p>
  </w:footnote>
  <w:footnote w:id="1">
    <w:p w:rsidR="00FE6177" w:rsidRPr="006B3681" w:rsidRDefault="00FE6177" w:rsidP="007B31D5">
      <w:pPr>
        <w:pStyle w:val="aa"/>
        <w:tabs>
          <w:tab w:val="clear" w:pos="1021"/>
          <w:tab w:val="right" w:pos="1134"/>
        </w:tabs>
        <w:ind w:left="1276"/>
        <w:rPr>
          <w:lang w:val="ru-RU"/>
        </w:rPr>
      </w:pPr>
      <w:r>
        <w:rPr>
          <w:lang w:val="ru-RU"/>
        </w:rPr>
        <w:tab/>
      </w:r>
      <w:r w:rsidRPr="00FE6FCA">
        <w:rPr>
          <w:rStyle w:val="a6"/>
          <w:spacing w:val="4"/>
          <w:w w:val="103"/>
          <w:sz w:val="20"/>
          <w:vertAlign w:val="baseline"/>
          <w:lang w:val="ru-RU" w:eastAsia="en-US"/>
        </w:rPr>
        <w:t>*</w:t>
      </w:r>
      <w:r>
        <w:rPr>
          <w:lang w:val="ru-RU"/>
        </w:rPr>
        <w:tab/>
        <w:t>Приняты Комитетом на его шестнадцатой сессии (15 августа – 2 сентября 2016 года).</w:t>
      </w:r>
    </w:p>
  </w:footnote>
  <w:footnote w:id="2">
    <w:p w:rsidR="00FE6177" w:rsidRDefault="00FE6177" w:rsidP="007B31D5">
      <w:pPr>
        <w:pStyle w:val="aa"/>
        <w:tabs>
          <w:tab w:val="clear" w:pos="1021"/>
          <w:tab w:val="right" w:pos="1134"/>
        </w:tabs>
        <w:spacing w:after="60"/>
        <w:ind w:left="1276"/>
        <w:rPr>
          <w:lang w:val="ru-RU"/>
        </w:rPr>
      </w:pPr>
      <w:r>
        <w:rPr>
          <w:lang w:val="ru-RU"/>
        </w:rPr>
        <w:tab/>
        <w:t xml:space="preserve"> </w:t>
      </w:r>
      <w:r w:rsidRPr="00AF6EE0">
        <w:rPr>
          <w:rStyle w:val="a6"/>
          <w:spacing w:val="4"/>
          <w:w w:val="103"/>
          <w:sz w:val="20"/>
          <w:vertAlign w:val="baseline"/>
          <w:lang w:val="ru-RU" w:eastAsia="en-US"/>
        </w:rPr>
        <w:t>**</w:t>
      </w:r>
      <w:r>
        <w:rPr>
          <w:lang w:val="ru-RU"/>
        </w:rPr>
        <w:tab/>
        <w:t xml:space="preserve">В рассмотрении сообщения участвовали следующие члены Комитета: Мухаммед </w:t>
      </w:r>
      <w:r>
        <w:rPr>
          <w:lang w:val="ru-RU"/>
        </w:rPr>
        <w:br/>
      </w:r>
      <w:proofErr w:type="spellStart"/>
      <w:r w:rsidRPr="009F1EE2">
        <w:rPr>
          <w:lang w:val="ru-RU"/>
        </w:rPr>
        <w:t>ат-Таравнех</w:t>
      </w:r>
      <w:proofErr w:type="spellEnd"/>
      <w:r w:rsidRPr="009F1EE2">
        <w:rPr>
          <w:lang w:val="ru-RU"/>
        </w:rPr>
        <w:t xml:space="preserve">, </w:t>
      </w:r>
      <w:proofErr w:type="spellStart"/>
      <w:r w:rsidRPr="009F1EE2">
        <w:rPr>
          <w:lang w:val="ru-RU"/>
        </w:rPr>
        <w:t>Данлами</w:t>
      </w:r>
      <w:proofErr w:type="spellEnd"/>
      <w:r w:rsidRPr="009F1EE2">
        <w:rPr>
          <w:lang w:val="ru-RU"/>
        </w:rPr>
        <w:t xml:space="preserve"> </w:t>
      </w:r>
      <w:proofErr w:type="spellStart"/>
      <w:r w:rsidRPr="009F1EE2">
        <w:rPr>
          <w:lang w:val="ru-RU"/>
        </w:rPr>
        <w:t>Умару</w:t>
      </w:r>
      <w:proofErr w:type="spellEnd"/>
      <w:r w:rsidRPr="009F1EE2">
        <w:rPr>
          <w:lang w:val="ru-RU"/>
        </w:rPr>
        <w:t xml:space="preserve"> </w:t>
      </w:r>
      <w:proofErr w:type="spellStart"/>
      <w:r w:rsidRPr="009F1EE2">
        <w:rPr>
          <w:lang w:val="ru-RU"/>
        </w:rPr>
        <w:t>Башару</w:t>
      </w:r>
      <w:proofErr w:type="spellEnd"/>
      <w:r w:rsidRPr="009F1EE2">
        <w:rPr>
          <w:lang w:val="ru-RU"/>
        </w:rPr>
        <w:t xml:space="preserve">, </w:t>
      </w:r>
      <w:proofErr w:type="spellStart"/>
      <w:r w:rsidRPr="009F1EE2">
        <w:rPr>
          <w:lang w:val="ru-RU"/>
        </w:rPr>
        <w:t>Монтьян</w:t>
      </w:r>
      <w:proofErr w:type="spellEnd"/>
      <w:r w:rsidRPr="009F1EE2">
        <w:rPr>
          <w:lang w:val="ru-RU"/>
        </w:rPr>
        <w:t xml:space="preserve"> </w:t>
      </w:r>
      <w:proofErr w:type="spellStart"/>
      <w:r w:rsidRPr="009F1EE2">
        <w:rPr>
          <w:lang w:val="ru-RU"/>
        </w:rPr>
        <w:t>Бунтан</w:t>
      </w:r>
      <w:proofErr w:type="spellEnd"/>
      <w:r w:rsidRPr="009F1EE2">
        <w:rPr>
          <w:lang w:val="ru-RU"/>
        </w:rPr>
        <w:t xml:space="preserve">, </w:t>
      </w:r>
      <w:proofErr w:type="spellStart"/>
      <w:r w:rsidRPr="009F1EE2">
        <w:rPr>
          <w:lang w:val="ru-RU"/>
        </w:rPr>
        <w:t>Терезия</w:t>
      </w:r>
      <w:proofErr w:type="spellEnd"/>
      <w:r w:rsidRPr="009F1EE2">
        <w:rPr>
          <w:lang w:val="ru-RU"/>
        </w:rPr>
        <w:t xml:space="preserve"> </w:t>
      </w:r>
      <w:proofErr w:type="spellStart"/>
      <w:r w:rsidRPr="009F1EE2">
        <w:rPr>
          <w:lang w:val="ru-RU"/>
        </w:rPr>
        <w:t>Дегенер</w:t>
      </w:r>
      <w:proofErr w:type="spellEnd"/>
      <w:r w:rsidRPr="009F1EE2">
        <w:rPr>
          <w:lang w:val="ru-RU"/>
        </w:rPr>
        <w:t xml:space="preserve">, </w:t>
      </w:r>
      <w:proofErr w:type="spellStart"/>
      <w:r w:rsidRPr="009F1EE2">
        <w:rPr>
          <w:lang w:val="ru-RU"/>
        </w:rPr>
        <w:t>Дайан</w:t>
      </w:r>
      <w:proofErr w:type="spellEnd"/>
      <w:r w:rsidRPr="009F1EE2">
        <w:rPr>
          <w:lang w:val="ru-RU"/>
        </w:rPr>
        <w:t xml:space="preserve"> Кингстон, </w:t>
      </w:r>
      <w:proofErr w:type="spellStart"/>
      <w:r w:rsidRPr="009F1EE2">
        <w:rPr>
          <w:lang w:val="ru-RU"/>
        </w:rPr>
        <w:t>Стиг</w:t>
      </w:r>
      <w:proofErr w:type="spellEnd"/>
      <w:r w:rsidRPr="009F1EE2">
        <w:rPr>
          <w:lang w:val="ru-RU"/>
        </w:rPr>
        <w:t xml:space="preserve"> </w:t>
      </w:r>
      <w:proofErr w:type="spellStart"/>
      <w:r w:rsidRPr="009F1EE2">
        <w:rPr>
          <w:lang w:val="ru-RU"/>
        </w:rPr>
        <w:t>Лангвад</w:t>
      </w:r>
      <w:proofErr w:type="spellEnd"/>
      <w:r w:rsidRPr="009F1EE2">
        <w:rPr>
          <w:lang w:val="ru-RU"/>
        </w:rPr>
        <w:t xml:space="preserve">, </w:t>
      </w:r>
      <w:proofErr w:type="spellStart"/>
      <w:r w:rsidRPr="009F1EE2">
        <w:rPr>
          <w:lang w:val="ru-RU"/>
        </w:rPr>
        <w:t>Ласло</w:t>
      </w:r>
      <w:proofErr w:type="spellEnd"/>
      <w:r w:rsidRPr="009F1EE2">
        <w:rPr>
          <w:lang w:val="ru-RU"/>
        </w:rPr>
        <w:t xml:space="preserve"> </w:t>
      </w:r>
      <w:proofErr w:type="spellStart"/>
      <w:r w:rsidRPr="009F1EE2">
        <w:rPr>
          <w:lang w:val="ru-RU"/>
        </w:rPr>
        <w:t>Габор</w:t>
      </w:r>
      <w:proofErr w:type="spellEnd"/>
      <w:r w:rsidRPr="009F1EE2">
        <w:rPr>
          <w:lang w:val="ru-RU"/>
        </w:rPr>
        <w:t xml:space="preserve"> </w:t>
      </w:r>
      <w:proofErr w:type="spellStart"/>
      <w:r w:rsidRPr="009F1EE2">
        <w:rPr>
          <w:lang w:val="ru-RU"/>
        </w:rPr>
        <w:t>Ловаси</w:t>
      </w:r>
      <w:proofErr w:type="spellEnd"/>
      <w:r w:rsidRPr="009F1EE2">
        <w:rPr>
          <w:lang w:val="ru-RU"/>
        </w:rPr>
        <w:t xml:space="preserve">, Мартин Бабу </w:t>
      </w:r>
      <w:proofErr w:type="spellStart"/>
      <w:r w:rsidRPr="009F1EE2">
        <w:rPr>
          <w:lang w:val="ru-RU"/>
        </w:rPr>
        <w:t>Мвесигва</w:t>
      </w:r>
      <w:proofErr w:type="spellEnd"/>
      <w:r w:rsidRPr="009F1EE2">
        <w:rPr>
          <w:lang w:val="ru-RU"/>
        </w:rPr>
        <w:t xml:space="preserve">, </w:t>
      </w:r>
      <w:proofErr w:type="spellStart"/>
      <w:r w:rsidRPr="009F1EE2">
        <w:rPr>
          <w:lang w:val="ru-RU"/>
        </w:rPr>
        <w:t>Сафак</w:t>
      </w:r>
      <w:proofErr w:type="spellEnd"/>
      <w:r w:rsidRPr="009F1EE2">
        <w:rPr>
          <w:lang w:val="ru-RU"/>
        </w:rPr>
        <w:t xml:space="preserve"> </w:t>
      </w:r>
      <w:proofErr w:type="spellStart"/>
      <w:r w:rsidRPr="009F1EE2">
        <w:rPr>
          <w:lang w:val="ru-RU"/>
        </w:rPr>
        <w:t>Павей</w:t>
      </w:r>
      <w:proofErr w:type="spellEnd"/>
      <w:r w:rsidRPr="009F1EE2">
        <w:rPr>
          <w:lang w:val="ru-RU"/>
        </w:rPr>
        <w:t xml:space="preserve">, Карлос Альберто </w:t>
      </w:r>
      <w:proofErr w:type="spellStart"/>
      <w:r w:rsidRPr="009F1EE2">
        <w:rPr>
          <w:lang w:val="ru-RU"/>
        </w:rPr>
        <w:t>Парра</w:t>
      </w:r>
      <w:proofErr w:type="spellEnd"/>
      <w:r w:rsidRPr="009F1EE2">
        <w:rPr>
          <w:lang w:val="ru-RU"/>
        </w:rPr>
        <w:t xml:space="preserve"> </w:t>
      </w:r>
      <w:proofErr w:type="spellStart"/>
      <w:r w:rsidRPr="009F1EE2">
        <w:rPr>
          <w:lang w:val="ru-RU"/>
        </w:rPr>
        <w:t>Дуссан</w:t>
      </w:r>
      <w:proofErr w:type="spellEnd"/>
      <w:r w:rsidRPr="009F1EE2">
        <w:rPr>
          <w:lang w:val="ru-RU"/>
        </w:rPr>
        <w:t xml:space="preserve">, </w:t>
      </w:r>
      <w:proofErr w:type="spellStart"/>
      <w:r w:rsidRPr="009F1EE2">
        <w:rPr>
          <w:lang w:val="ru-RU"/>
        </w:rPr>
        <w:t>Ана</w:t>
      </w:r>
      <w:proofErr w:type="spellEnd"/>
      <w:r w:rsidRPr="009F1EE2">
        <w:rPr>
          <w:lang w:val="ru-RU"/>
        </w:rPr>
        <w:t xml:space="preserve"> </w:t>
      </w:r>
      <w:proofErr w:type="spellStart"/>
      <w:r w:rsidRPr="009F1EE2">
        <w:rPr>
          <w:lang w:val="ru-RU"/>
        </w:rPr>
        <w:t>Пелаес</w:t>
      </w:r>
      <w:proofErr w:type="spellEnd"/>
      <w:r w:rsidRPr="009F1EE2">
        <w:rPr>
          <w:lang w:val="ru-RU"/>
        </w:rPr>
        <w:t xml:space="preserve"> </w:t>
      </w:r>
      <w:proofErr w:type="spellStart"/>
      <w:r w:rsidRPr="009F1EE2">
        <w:rPr>
          <w:lang w:val="ru-RU"/>
        </w:rPr>
        <w:t>Нарваес</w:t>
      </w:r>
      <w:proofErr w:type="spellEnd"/>
      <w:r w:rsidRPr="009F1EE2">
        <w:rPr>
          <w:lang w:val="ru-RU"/>
        </w:rPr>
        <w:t xml:space="preserve">, </w:t>
      </w:r>
      <w:proofErr w:type="spellStart"/>
      <w:r w:rsidRPr="009F1EE2">
        <w:rPr>
          <w:lang w:val="ru-RU"/>
        </w:rPr>
        <w:t>Кумаравел</w:t>
      </w:r>
      <w:proofErr w:type="spellEnd"/>
      <w:r w:rsidRPr="009F1EE2">
        <w:rPr>
          <w:lang w:val="ru-RU"/>
        </w:rPr>
        <w:t xml:space="preserve"> </w:t>
      </w:r>
      <w:proofErr w:type="spellStart"/>
      <w:r w:rsidRPr="009F1EE2">
        <w:rPr>
          <w:lang w:val="ru-RU"/>
        </w:rPr>
        <w:t>Пьянеанди</w:t>
      </w:r>
      <w:proofErr w:type="spellEnd"/>
      <w:r w:rsidRPr="009F1EE2">
        <w:rPr>
          <w:lang w:val="ru-RU"/>
        </w:rPr>
        <w:t xml:space="preserve">, Мария Соледад </w:t>
      </w:r>
      <w:proofErr w:type="spellStart"/>
      <w:r w:rsidRPr="009F1EE2">
        <w:rPr>
          <w:lang w:val="ru-RU"/>
        </w:rPr>
        <w:t>Систернас</w:t>
      </w:r>
      <w:proofErr w:type="spellEnd"/>
      <w:r w:rsidRPr="009F1EE2">
        <w:rPr>
          <w:lang w:val="ru-RU"/>
        </w:rPr>
        <w:t xml:space="preserve"> </w:t>
      </w:r>
      <w:proofErr w:type="spellStart"/>
      <w:r w:rsidRPr="009F1EE2">
        <w:rPr>
          <w:lang w:val="ru-RU"/>
        </w:rPr>
        <w:t>Рейес</w:t>
      </w:r>
      <w:proofErr w:type="spellEnd"/>
      <w:r w:rsidRPr="009F1EE2">
        <w:rPr>
          <w:lang w:val="ru-RU"/>
        </w:rPr>
        <w:t xml:space="preserve">, </w:t>
      </w:r>
      <w:proofErr w:type="spellStart"/>
      <w:r w:rsidRPr="009F1EE2">
        <w:rPr>
          <w:lang w:val="ru-RU"/>
        </w:rPr>
        <w:t>Джонас</w:t>
      </w:r>
      <w:proofErr w:type="spellEnd"/>
      <w:r w:rsidRPr="009F1EE2">
        <w:rPr>
          <w:lang w:val="ru-RU"/>
        </w:rPr>
        <w:t xml:space="preserve"> </w:t>
      </w:r>
      <w:proofErr w:type="spellStart"/>
      <w:r w:rsidRPr="009F1EE2">
        <w:rPr>
          <w:lang w:val="ru-RU"/>
        </w:rPr>
        <w:t>Рускус</w:t>
      </w:r>
      <w:proofErr w:type="spellEnd"/>
      <w:r w:rsidRPr="009F1EE2">
        <w:rPr>
          <w:lang w:val="ru-RU"/>
        </w:rPr>
        <w:t xml:space="preserve">, </w:t>
      </w:r>
      <w:proofErr w:type="spellStart"/>
      <w:r w:rsidRPr="009F1EE2">
        <w:rPr>
          <w:lang w:val="ru-RU"/>
        </w:rPr>
        <w:t>Дамьян</w:t>
      </w:r>
      <w:proofErr w:type="spellEnd"/>
      <w:r w:rsidRPr="009F1EE2">
        <w:rPr>
          <w:lang w:val="ru-RU"/>
        </w:rPr>
        <w:t xml:space="preserve"> </w:t>
      </w:r>
      <w:proofErr w:type="spellStart"/>
      <w:r w:rsidRPr="009F1EE2">
        <w:rPr>
          <w:lang w:val="ru-RU"/>
        </w:rPr>
        <w:t>Татич</w:t>
      </w:r>
      <w:proofErr w:type="spellEnd"/>
      <w:r w:rsidRPr="009F1EE2">
        <w:rPr>
          <w:lang w:val="ru-RU"/>
        </w:rPr>
        <w:t xml:space="preserve">, Сильвия </w:t>
      </w:r>
      <w:proofErr w:type="spellStart"/>
      <w:r w:rsidRPr="009F1EE2">
        <w:rPr>
          <w:lang w:val="ru-RU"/>
        </w:rPr>
        <w:t>Джудит</w:t>
      </w:r>
      <w:proofErr w:type="spellEnd"/>
      <w:r w:rsidRPr="009F1EE2">
        <w:rPr>
          <w:lang w:val="ru-RU"/>
        </w:rPr>
        <w:t xml:space="preserve"> </w:t>
      </w:r>
      <w:r>
        <w:rPr>
          <w:lang w:val="ru-RU"/>
        </w:rPr>
        <w:br/>
      </w:r>
      <w:proofErr w:type="spellStart"/>
      <w:r w:rsidRPr="009F1EE2">
        <w:rPr>
          <w:lang w:val="ru-RU"/>
        </w:rPr>
        <w:t>Цюань</w:t>
      </w:r>
      <w:proofErr w:type="spellEnd"/>
      <w:r w:rsidRPr="009F1EE2">
        <w:rPr>
          <w:lang w:val="ru-RU"/>
        </w:rPr>
        <w:t xml:space="preserve">-Чан и </w:t>
      </w:r>
      <w:proofErr w:type="gramStart"/>
      <w:r w:rsidRPr="009F1EE2">
        <w:rPr>
          <w:lang w:val="ru-RU"/>
        </w:rPr>
        <w:t>Ю</w:t>
      </w:r>
      <w:proofErr w:type="gramEnd"/>
      <w:r w:rsidRPr="009F1EE2">
        <w:rPr>
          <w:lang w:val="ru-RU"/>
        </w:rPr>
        <w:t xml:space="preserve"> Лян.</w:t>
      </w:r>
    </w:p>
    <w:p w:rsidR="00FE6177" w:rsidRPr="006B3681" w:rsidRDefault="00FE6177" w:rsidP="007B31D5">
      <w:pPr>
        <w:pStyle w:val="aa"/>
        <w:tabs>
          <w:tab w:val="clear" w:pos="1021"/>
          <w:tab w:val="right" w:pos="1134"/>
        </w:tabs>
        <w:spacing w:after="60"/>
        <w:ind w:left="1276"/>
        <w:rPr>
          <w:lang w:val="ru-RU"/>
        </w:rPr>
      </w:pPr>
      <w:r>
        <w:rPr>
          <w:lang w:val="ru-RU"/>
        </w:rPr>
        <w:tab/>
      </w:r>
      <w:r>
        <w:rPr>
          <w:lang w:val="ru-RU"/>
        </w:rPr>
        <w:tab/>
        <w:t xml:space="preserve">К настоящим Соображениям прилагается особое мнение члена Комитета </w:t>
      </w:r>
      <w:proofErr w:type="spellStart"/>
      <w:r>
        <w:rPr>
          <w:lang w:val="ru-RU"/>
        </w:rPr>
        <w:t>Дамьяна</w:t>
      </w:r>
      <w:proofErr w:type="spellEnd"/>
      <w:r>
        <w:rPr>
          <w:lang w:val="ru-RU"/>
        </w:rPr>
        <w:t xml:space="preserve"> </w:t>
      </w:r>
      <w:proofErr w:type="spellStart"/>
      <w:r>
        <w:rPr>
          <w:lang w:val="ru-RU"/>
        </w:rPr>
        <w:t>Татича</w:t>
      </w:r>
      <w:proofErr w:type="spellEnd"/>
      <w:r>
        <w:rPr>
          <w:lang w:val="ru-RU"/>
        </w:rPr>
        <w:t>.</w:t>
      </w:r>
    </w:p>
  </w:footnote>
  <w:footnote w:id="3">
    <w:p w:rsidR="00FE6177" w:rsidRPr="006B3681" w:rsidRDefault="00FE6177" w:rsidP="007B31D5">
      <w:pPr>
        <w:pStyle w:val="aa"/>
        <w:rPr>
          <w:lang w:val="ru-RU"/>
        </w:rPr>
      </w:pPr>
      <w:r>
        <w:rPr>
          <w:lang w:val="ru-RU"/>
        </w:rPr>
        <w:tab/>
      </w:r>
      <w:r>
        <w:rPr>
          <w:rStyle w:val="a6"/>
          <w:lang w:val="ru-RU"/>
        </w:rPr>
        <w:footnoteRef/>
      </w:r>
      <w:r>
        <w:rPr>
          <w:lang w:val="ru-RU"/>
        </w:rPr>
        <w:tab/>
        <w:t xml:space="preserve">Адвокат утверждает, что о </w:t>
      </w:r>
      <w:proofErr w:type="gramStart"/>
      <w:r>
        <w:rPr>
          <w:lang w:val="ru-RU"/>
        </w:rPr>
        <w:t>вышеизложенном</w:t>
      </w:r>
      <w:proofErr w:type="gramEnd"/>
      <w:r>
        <w:rPr>
          <w:lang w:val="ru-RU"/>
        </w:rPr>
        <w:t xml:space="preserve"> он был извещен секретариатом окружного суда Западной Австралии 15 марта 2013 года.</w:t>
      </w:r>
    </w:p>
  </w:footnote>
  <w:footnote w:id="4">
    <w:p w:rsidR="00FE6177" w:rsidRPr="006B3681" w:rsidRDefault="00FE6177" w:rsidP="007B31D5">
      <w:pPr>
        <w:pStyle w:val="aa"/>
        <w:rPr>
          <w:lang w:val="ru-RU"/>
        </w:rPr>
      </w:pPr>
      <w:r>
        <w:rPr>
          <w:lang w:val="ru-RU"/>
        </w:rPr>
        <w:tab/>
      </w:r>
      <w:r>
        <w:rPr>
          <w:rStyle w:val="a6"/>
          <w:lang w:val="ru-RU"/>
        </w:rPr>
        <w:footnoteRef/>
      </w:r>
      <w:r>
        <w:rPr>
          <w:lang w:val="ru-RU"/>
        </w:rPr>
        <w:tab/>
        <w:t>Исправительный центр, управляемый Департаментом исправительных служб Западной Австралии.</w:t>
      </w:r>
    </w:p>
  </w:footnote>
  <w:footnote w:id="5">
    <w:p w:rsidR="00FE6177" w:rsidRPr="00A1677A" w:rsidRDefault="00FE6177" w:rsidP="007B31D5">
      <w:pPr>
        <w:pStyle w:val="aa"/>
        <w:rPr>
          <w:lang w:val="ru-RU"/>
        </w:rPr>
      </w:pPr>
      <w:r>
        <w:rPr>
          <w:lang w:val="ru-RU"/>
        </w:rPr>
        <w:tab/>
      </w:r>
      <w:r>
        <w:rPr>
          <w:rStyle w:val="a6"/>
        </w:rPr>
        <w:footnoteRef/>
      </w:r>
      <w:r w:rsidRPr="00A1677A">
        <w:rPr>
          <w:lang w:val="ru-RU"/>
        </w:rPr>
        <w:t xml:space="preserve"> </w:t>
      </w:r>
      <w:r>
        <w:rPr>
          <w:lang w:val="ru-RU"/>
        </w:rPr>
        <w:tab/>
        <w:t>Автор ссылается на доклад Генеральной прокуратуры Западной Австралии «</w:t>
      </w:r>
      <w:r>
        <w:t>Court</w:t>
      </w:r>
      <w:r w:rsidRPr="00BA48FF">
        <w:rPr>
          <w:lang w:val="ru-RU"/>
        </w:rPr>
        <w:t xml:space="preserve"> </w:t>
      </w:r>
      <w:proofErr w:type="spellStart"/>
      <w:r w:rsidRPr="00F35856">
        <w:rPr>
          <w:lang w:val="ru-RU"/>
        </w:rPr>
        <w:t>Services</w:t>
      </w:r>
      <w:proofErr w:type="spellEnd"/>
      <w:r w:rsidRPr="00BA48FF">
        <w:rPr>
          <w:lang w:val="ru-RU"/>
        </w:rPr>
        <w:t xml:space="preserve"> </w:t>
      </w:r>
      <w:r>
        <w:t>Statistics</w:t>
      </w:r>
      <w:r w:rsidRPr="00BA48FF">
        <w:rPr>
          <w:lang w:val="ru-RU"/>
        </w:rPr>
        <w:t xml:space="preserve">: </w:t>
      </w:r>
      <w:r>
        <w:t>Adult</w:t>
      </w:r>
      <w:r w:rsidRPr="00BA48FF">
        <w:rPr>
          <w:lang w:val="ru-RU"/>
        </w:rPr>
        <w:t xml:space="preserve"> </w:t>
      </w:r>
      <w:r>
        <w:t>Court</w:t>
      </w:r>
      <w:r w:rsidRPr="00BA48FF">
        <w:rPr>
          <w:lang w:val="ru-RU"/>
        </w:rPr>
        <w:t xml:space="preserve"> </w:t>
      </w:r>
      <w:r>
        <w:t>Records</w:t>
      </w:r>
      <w:r>
        <w:rPr>
          <w:lang w:val="ru-RU"/>
        </w:rPr>
        <w:t xml:space="preserve"> 2003», согласно которому в 2003 году медианный приговор в связи с обвинением в совершении того рода правонарушения, которое было ему инкриминировано, составлял 24 месяца, а средний приговор – </w:t>
      </w:r>
      <w:r>
        <w:rPr>
          <w:lang w:val="ru-RU"/>
        </w:rPr>
        <w:br/>
        <w:t>30 месяцев.</w:t>
      </w:r>
    </w:p>
  </w:footnote>
  <w:footnote w:id="6">
    <w:p w:rsidR="00FE6177" w:rsidRPr="006B3681" w:rsidRDefault="00FE6177" w:rsidP="007B31D5">
      <w:pPr>
        <w:pStyle w:val="aa"/>
        <w:rPr>
          <w:lang w:val="ru-RU"/>
        </w:rPr>
      </w:pPr>
      <w:r>
        <w:rPr>
          <w:lang w:val="ru-RU"/>
        </w:rPr>
        <w:tab/>
      </w:r>
      <w:r>
        <w:rPr>
          <w:rStyle w:val="a6"/>
          <w:lang w:val="ru-RU"/>
        </w:rPr>
        <w:footnoteRef/>
      </w:r>
      <w:r>
        <w:rPr>
          <w:lang w:val="ru-RU"/>
        </w:rPr>
        <w:tab/>
        <w:t xml:space="preserve">Была предоставлена копия доклада о дознании от 7 июня 2011 года. </w:t>
      </w:r>
    </w:p>
  </w:footnote>
  <w:footnote w:id="7">
    <w:p w:rsidR="00FE6177" w:rsidRPr="006B3681" w:rsidRDefault="00FE6177" w:rsidP="007B31D5">
      <w:pPr>
        <w:pStyle w:val="aa"/>
        <w:rPr>
          <w:lang w:val="ru-RU"/>
        </w:rPr>
      </w:pPr>
      <w:r>
        <w:rPr>
          <w:lang w:val="ru-RU"/>
        </w:rPr>
        <w:tab/>
      </w:r>
      <w:r>
        <w:rPr>
          <w:rStyle w:val="a6"/>
          <w:lang w:val="ru-RU"/>
        </w:rPr>
        <w:footnoteRef/>
      </w:r>
      <w:r>
        <w:rPr>
          <w:lang w:val="ru-RU"/>
        </w:rPr>
        <w:tab/>
        <w:t xml:space="preserve">Адвокат утверждает, что о </w:t>
      </w:r>
      <w:proofErr w:type="gramStart"/>
      <w:r>
        <w:rPr>
          <w:lang w:val="ru-RU"/>
        </w:rPr>
        <w:t>вышеизложенном</w:t>
      </w:r>
      <w:proofErr w:type="gramEnd"/>
      <w:r>
        <w:rPr>
          <w:lang w:val="ru-RU"/>
        </w:rPr>
        <w:t xml:space="preserve"> он был извещен секретариатом окружного суда Западной Австралии 15 марта 2012 года. </w:t>
      </w:r>
    </w:p>
  </w:footnote>
  <w:footnote w:id="8">
    <w:p w:rsidR="00FE6177" w:rsidRPr="006B3681" w:rsidRDefault="00FE6177" w:rsidP="007B31D5">
      <w:pPr>
        <w:pStyle w:val="aa"/>
        <w:rPr>
          <w:lang w:val="ru-RU"/>
        </w:rPr>
      </w:pPr>
      <w:r>
        <w:rPr>
          <w:lang w:val="ru-RU"/>
        </w:rPr>
        <w:tab/>
      </w:r>
      <w:r>
        <w:rPr>
          <w:rStyle w:val="a6"/>
          <w:lang w:val="ru-RU"/>
        </w:rPr>
        <w:footnoteRef/>
      </w:r>
      <w:r>
        <w:rPr>
          <w:lang w:val="ru-RU"/>
        </w:rPr>
        <w:tab/>
      </w:r>
      <w:proofErr w:type="gramStart"/>
      <w:r w:rsidRPr="00331E1A">
        <w:rPr>
          <w:lang w:val="ru-RU"/>
        </w:rPr>
        <w:t xml:space="preserve">Такие условия состояли в следующем: а) включиться в программы по указанию </w:t>
      </w:r>
      <w:r>
        <w:rPr>
          <w:lang w:val="ru-RU"/>
        </w:rPr>
        <w:t>надзирающего куратора</w:t>
      </w:r>
      <w:r w:rsidRPr="00331E1A">
        <w:rPr>
          <w:lang w:val="ru-RU"/>
        </w:rPr>
        <w:t xml:space="preserve">; b) не иметь и не употреблять никаких запрещенных веществ, включая </w:t>
      </w:r>
      <w:proofErr w:type="spellStart"/>
      <w:r w:rsidRPr="00331E1A">
        <w:rPr>
          <w:lang w:val="ru-RU"/>
        </w:rPr>
        <w:t>каннабис</w:t>
      </w:r>
      <w:proofErr w:type="spellEnd"/>
      <w:r w:rsidRPr="00331E1A">
        <w:rPr>
          <w:lang w:val="ru-RU"/>
        </w:rPr>
        <w:t>; с) не употреблять алкоголь; d) проходить регулярные и выборочные тесты на всякие незаконны</w:t>
      </w:r>
      <w:r>
        <w:rPr>
          <w:lang w:val="ru-RU"/>
        </w:rPr>
        <w:t>е</w:t>
      </w:r>
      <w:r w:rsidRPr="00331E1A">
        <w:rPr>
          <w:lang w:val="ru-RU"/>
        </w:rPr>
        <w:t xml:space="preserve"> вещества и алкоголь по указанию </w:t>
      </w:r>
      <w:r>
        <w:rPr>
          <w:lang w:val="ru-RU"/>
        </w:rPr>
        <w:t>надзорного куратора; е) </w:t>
      </w:r>
      <w:r w:rsidRPr="00331E1A">
        <w:rPr>
          <w:lang w:val="ru-RU"/>
        </w:rPr>
        <w:t>не иметь ни прямых, ни косвенных контактов с предположительными жертвами;</w:t>
      </w:r>
      <w:proofErr w:type="gramEnd"/>
      <w:r w:rsidRPr="00331E1A">
        <w:rPr>
          <w:lang w:val="ru-RU"/>
        </w:rPr>
        <w:t xml:space="preserve"> f)</w:t>
      </w:r>
      <w:r>
        <w:rPr>
          <w:lang w:val="ru-RU"/>
        </w:rPr>
        <w:t> </w:t>
      </w:r>
      <w:r w:rsidRPr="00331E1A">
        <w:rPr>
          <w:lang w:val="ru-RU"/>
        </w:rPr>
        <w:t xml:space="preserve">не иметь </w:t>
      </w:r>
      <w:proofErr w:type="gramStart"/>
      <w:r w:rsidRPr="00331E1A">
        <w:rPr>
          <w:lang w:val="ru-RU"/>
        </w:rPr>
        <w:t>контактов</w:t>
      </w:r>
      <w:proofErr w:type="gramEnd"/>
      <w:r w:rsidRPr="00331E1A">
        <w:rPr>
          <w:lang w:val="ru-RU"/>
        </w:rPr>
        <w:t xml:space="preserve"> с какими бы то ни было детьми женского пола в возрасте до </w:t>
      </w:r>
      <w:r>
        <w:rPr>
          <w:lang w:val="ru-RU"/>
        </w:rPr>
        <w:br/>
      </w:r>
      <w:r w:rsidRPr="00331E1A">
        <w:rPr>
          <w:lang w:val="ru-RU"/>
        </w:rPr>
        <w:t xml:space="preserve">16 лет кроме как под наблюдением взрослого, одобренного предварительно надзирающим </w:t>
      </w:r>
      <w:r>
        <w:rPr>
          <w:lang w:val="ru-RU"/>
        </w:rPr>
        <w:t>куратором</w:t>
      </w:r>
      <w:r w:rsidRPr="00331E1A">
        <w:rPr>
          <w:lang w:val="ru-RU"/>
        </w:rPr>
        <w:t xml:space="preserve">; g) любая ночевка вне основного места жительства должна быть предварительно одобрена Надзорным советом по делам душевнобольных обвиняемых; h) не менять адрес без предварительного одобрения Надзорного совета по делам душевнобольных обвиняемых; i) проходить дыхательный тест по просьбе полиции; и j) не заходить в помещения, </w:t>
      </w:r>
      <w:r>
        <w:rPr>
          <w:lang w:val="ru-RU"/>
        </w:rPr>
        <w:t xml:space="preserve">занимающиеся </w:t>
      </w:r>
      <w:r w:rsidRPr="00331E1A">
        <w:rPr>
          <w:lang w:val="ru-RU"/>
        </w:rPr>
        <w:t>торговл</w:t>
      </w:r>
      <w:r>
        <w:rPr>
          <w:lang w:val="ru-RU"/>
        </w:rPr>
        <w:t>ей</w:t>
      </w:r>
      <w:r w:rsidRPr="00331E1A">
        <w:rPr>
          <w:lang w:val="ru-RU"/>
        </w:rPr>
        <w:t xml:space="preserve"> спиртными напитками</w:t>
      </w:r>
      <w:r>
        <w:rPr>
          <w:lang w:val="ru-RU"/>
        </w:rPr>
        <w:t>.</w:t>
      </w:r>
    </w:p>
  </w:footnote>
  <w:footnote w:id="9">
    <w:p w:rsidR="00FE6177" w:rsidRPr="001E2EF7" w:rsidRDefault="00FE6177" w:rsidP="007B31D5">
      <w:pPr>
        <w:pStyle w:val="aa"/>
        <w:rPr>
          <w:lang w:val="en-US"/>
        </w:rPr>
      </w:pPr>
      <w:r>
        <w:rPr>
          <w:lang w:val="ru-RU"/>
        </w:rPr>
        <w:tab/>
      </w:r>
      <w:r>
        <w:rPr>
          <w:rStyle w:val="a6"/>
          <w:lang w:val="ru-RU"/>
        </w:rPr>
        <w:footnoteRef/>
      </w:r>
      <w:r w:rsidRPr="001E2EF7">
        <w:rPr>
          <w:lang w:val="en-US"/>
        </w:rPr>
        <w:tab/>
      </w:r>
      <w:r>
        <w:rPr>
          <w:lang w:val="ru-RU"/>
        </w:rPr>
        <w:t>Автор</w:t>
      </w:r>
      <w:r w:rsidRPr="001E2EF7">
        <w:rPr>
          <w:lang w:val="en-US"/>
        </w:rPr>
        <w:t xml:space="preserve"> </w:t>
      </w:r>
      <w:r>
        <w:rPr>
          <w:lang w:val="ru-RU"/>
        </w:rPr>
        <w:t>ссылается</w:t>
      </w:r>
      <w:r w:rsidRPr="001E2EF7">
        <w:rPr>
          <w:lang w:val="en-US"/>
        </w:rPr>
        <w:t xml:space="preserve"> </w:t>
      </w:r>
      <w:r>
        <w:rPr>
          <w:lang w:val="ru-RU"/>
        </w:rPr>
        <w:t>на</w:t>
      </w:r>
      <w:r w:rsidRPr="001E2EF7">
        <w:rPr>
          <w:lang w:val="en-US"/>
        </w:rPr>
        <w:t xml:space="preserve"> </w:t>
      </w:r>
      <w:r>
        <w:rPr>
          <w:lang w:val="ru-RU"/>
        </w:rPr>
        <w:t>дело</w:t>
      </w:r>
      <w:r w:rsidRPr="001E2EF7">
        <w:rPr>
          <w:lang w:val="en-US"/>
        </w:rPr>
        <w:t xml:space="preserve"> </w:t>
      </w:r>
      <w:proofErr w:type="spellStart"/>
      <w:r w:rsidRPr="00861C9F">
        <w:rPr>
          <w:i/>
        </w:rPr>
        <w:t>Fardon</w:t>
      </w:r>
      <w:proofErr w:type="spellEnd"/>
      <w:r w:rsidRPr="00861C9F">
        <w:rPr>
          <w:i/>
        </w:rPr>
        <w:t xml:space="preserve"> v. </w:t>
      </w:r>
      <w:proofErr w:type="gramStart"/>
      <w:r w:rsidRPr="00861C9F">
        <w:rPr>
          <w:i/>
        </w:rPr>
        <w:t>Attorney General</w:t>
      </w:r>
      <w:r>
        <w:t xml:space="preserve"> (</w:t>
      </w:r>
      <w:r w:rsidRPr="00673F4C">
        <w:rPr>
          <w:lang w:val="en-US"/>
        </w:rPr>
        <w:t>Queensland</w:t>
      </w:r>
      <w:r>
        <w:t>)</w:t>
      </w:r>
      <w:r w:rsidRPr="001E2EF7">
        <w:rPr>
          <w:lang w:val="en-US"/>
        </w:rPr>
        <w:t xml:space="preserve"> (2004) 210 ALR 50.</w:t>
      </w:r>
      <w:proofErr w:type="gramEnd"/>
      <w:r w:rsidRPr="001E2EF7">
        <w:rPr>
          <w:lang w:val="en-US"/>
        </w:rPr>
        <w:t xml:space="preserve"> </w:t>
      </w:r>
    </w:p>
  </w:footnote>
  <w:footnote w:id="10">
    <w:p w:rsidR="00FE6177" w:rsidRPr="006B3681" w:rsidRDefault="00FE6177" w:rsidP="007B31D5">
      <w:pPr>
        <w:pStyle w:val="aa"/>
        <w:rPr>
          <w:lang w:val="ru-RU"/>
        </w:rPr>
      </w:pPr>
      <w:r w:rsidRPr="001E2EF7">
        <w:rPr>
          <w:lang w:val="en-US"/>
        </w:rPr>
        <w:tab/>
      </w:r>
      <w:r>
        <w:rPr>
          <w:rStyle w:val="a6"/>
          <w:lang w:val="ru-RU"/>
        </w:rPr>
        <w:footnoteRef/>
      </w:r>
      <w:r w:rsidRPr="006B3681">
        <w:rPr>
          <w:lang w:val="en-US"/>
        </w:rPr>
        <w:tab/>
      </w:r>
      <w:r>
        <w:rPr>
          <w:lang w:val="ru-RU"/>
        </w:rPr>
        <w:t>См</w:t>
      </w:r>
      <w:r w:rsidRPr="00624927">
        <w:rPr>
          <w:lang w:val="en-US"/>
        </w:rPr>
        <w:t xml:space="preserve">. Criminal Law (Mentally Impaired Defendants) Act 1996 (Western Australia), </w:t>
      </w:r>
      <w:r w:rsidRPr="00624927">
        <w:rPr>
          <w:lang w:val="en-US"/>
        </w:rPr>
        <w:br/>
        <w:t xml:space="preserve">sect. </w:t>
      </w:r>
      <w:r>
        <w:rPr>
          <w:lang w:val="ru-RU"/>
        </w:rPr>
        <w:t xml:space="preserve">19 (5). </w:t>
      </w:r>
    </w:p>
  </w:footnote>
  <w:footnote w:id="11">
    <w:p w:rsidR="00FE6177" w:rsidRPr="006B3681" w:rsidRDefault="00FE6177" w:rsidP="007B31D5">
      <w:pPr>
        <w:pStyle w:val="aa"/>
        <w:rPr>
          <w:lang w:val="ru-RU"/>
        </w:rPr>
      </w:pPr>
      <w:r>
        <w:rPr>
          <w:lang w:val="ru-RU"/>
        </w:rPr>
        <w:tab/>
      </w:r>
      <w:r>
        <w:rPr>
          <w:rStyle w:val="a6"/>
          <w:lang w:val="ru-RU"/>
        </w:rPr>
        <w:footnoteRef/>
      </w:r>
      <w:r>
        <w:rPr>
          <w:lang w:val="ru-RU"/>
        </w:rPr>
        <w:tab/>
      </w:r>
      <w:proofErr w:type="spellStart"/>
      <w:r>
        <w:rPr>
          <w:lang w:val="ru-RU"/>
        </w:rPr>
        <w:t>Ibid</w:t>
      </w:r>
      <w:proofErr w:type="spellEnd"/>
      <w:r>
        <w:rPr>
          <w:lang w:val="ru-RU"/>
        </w:rPr>
        <w:t xml:space="preserve">., </w:t>
      </w:r>
      <w:proofErr w:type="spellStart"/>
      <w:r>
        <w:rPr>
          <w:lang w:val="ru-RU"/>
        </w:rPr>
        <w:t>sect</w:t>
      </w:r>
      <w:proofErr w:type="spellEnd"/>
      <w:r>
        <w:rPr>
          <w:lang w:val="ru-RU"/>
        </w:rPr>
        <w:t xml:space="preserve">. 19. </w:t>
      </w:r>
    </w:p>
  </w:footnote>
  <w:footnote w:id="12">
    <w:p w:rsidR="00FE6177" w:rsidRPr="006B3681" w:rsidRDefault="00FE6177" w:rsidP="007B31D5">
      <w:pPr>
        <w:pStyle w:val="aa"/>
        <w:rPr>
          <w:lang w:val="ru-RU"/>
        </w:rPr>
      </w:pPr>
      <w:r>
        <w:rPr>
          <w:lang w:val="ru-RU"/>
        </w:rPr>
        <w:tab/>
      </w:r>
      <w:r w:rsidRPr="00973DBA">
        <w:rPr>
          <w:rStyle w:val="a6"/>
          <w:lang w:val="ru-RU"/>
        </w:rPr>
        <w:footnoteRef/>
      </w:r>
      <w:r>
        <w:rPr>
          <w:lang w:val="ru-RU"/>
        </w:rPr>
        <w:tab/>
        <w:t xml:space="preserve">Государство-участник ссылается на юриспруденцию Комитета в сообщении № 6/2011, </w:t>
      </w:r>
      <w:proofErr w:type="spellStart"/>
      <w:r w:rsidRPr="00D75610">
        <w:rPr>
          <w:i/>
          <w:lang w:val="ru-RU"/>
        </w:rPr>
        <w:t>Макэлпайн</w:t>
      </w:r>
      <w:proofErr w:type="spellEnd"/>
      <w:r w:rsidRPr="00D75610">
        <w:rPr>
          <w:lang w:val="ru-RU"/>
        </w:rPr>
        <w:t xml:space="preserve"> </w:t>
      </w:r>
      <w:r w:rsidRPr="00F61443">
        <w:rPr>
          <w:i/>
          <w:lang w:val="ru-RU"/>
        </w:rPr>
        <w:t>против Соединенного Королевства Великобритании и Северной Ирландии</w:t>
      </w:r>
      <w:r>
        <w:rPr>
          <w:lang w:val="ru-RU"/>
        </w:rPr>
        <w:t>, Соображения, принятые 28 сентября 2012 года, пункт 6.4.</w:t>
      </w:r>
    </w:p>
  </w:footnote>
  <w:footnote w:id="13">
    <w:p w:rsidR="00FE6177" w:rsidRPr="006B3681" w:rsidRDefault="00FE6177" w:rsidP="007B31D5">
      <w:pPr>
        <w:pStyle w:val="aa"/>
        <w:rPr>
          <w:lang w:val="ru-RU"/>
        </w:rPr>
      </w:pPr>
      <w:r>
        <w:rPr>
          <w:lang w:val="ru-RU"/>
        </w:rPr>
        <w:tab/>
      </w:r>
      <w:r>
        <w:rPr>
          <w:rStyle w:val="a6"/>
          <w:lang w:val="ru-RU"/>
        </w:rPr>
        <w:footnoteRef/>
      </w:r>
      <w:r>
        <w:rPr>
          <w:lang w:val="ru-RU"/>
        </w:rPr>
        <w:tab/>
        <w:t>Государство-участник предоставило копию документов</w:t>
      </w:r>
      <w:r w:rsidRPr="00F61443">
        <w:rPr>
          <w:lang w:val="ru-RU"/>
        </w:rPr>
        <w:t xml:space="preserve"> </w:t>
      </w:r>
      <w:r>
        <w:rPr>
          <w:lang w:val="ru-RU"/>
        </w:rPr>
        <w:t xml:space="preserve">Комитету и адвокату автора. </w:t>
      </w:r>
    </w:p>
  </w:footnote>
  <w:footnote w:id="14">
    <w:p w:rsidR="00FE6177" w:rsidRPr="00CC0A07" w:rsidRDefault="00FE6177" w:rsidP="007B31D5">
      <w:pPr>
        <w:pStyle w:val="aa"/>
        <w:rPr>
          <w:lang w:val="en-US"/>
        </w:rPr>
      </w:pPr>
      <w:r>
        <w:rPr>
          <w:lang w:val="ru-RU"/>
        </w:rPr>
        <w:tab/>
      </w:r>
      <w:r>
        <w:rPr>
          <w:rStyle w:val="a6"/>
          <w:lang w:val="ru-RU"/>
        </w:rPr>
        <w:footnoteRef/>
      </w:r>
      <w:r w:rsidRPr="00CC0A07">
        <w:rPr>
          <w:lang w:val="en-US"/>
        </w:rPr>
        <w:tab/>
      </w:r>
      <w:r>
        <w:rPr>
          <w:lang w:val="ru-RU"/>
        </w:rPr>
        <w:t>См</w:t>
      </w:r>
      <w:r w:rsidRPr="00CC0A07">
        <w:rPr>
          <w:lang w:val="en-US"/>
        </w:rPr>
        <w:t xml:space="preserve">. </w:t>
      </w:r>
      <w:r w:rsidRPr="00F61443">
        <w:rPr>
          <w:i/>
          <w:lang w:val="en-US"/>
        </w:rPr>
        <w:t>The</w:t>
      </w:r>
      <w:r w:rsidRPr="00CC0A07">
        <w:rPr>
          <w:i/>
          <w:lang w:val="en-US"/>
        </w:rPr>
        <w:t xml:space="preserve"> </w:t>
      </w:r>
      <w:r w:rsidRPr="00F61443">
        <w:rPr>
          <w:i/>
          <w:lang w:val="en-US"/>
        </w:rPr>
        <w:t>Queen</w:t>
      </w:r>
      <w:r w:rsidRPr="00CC0A07">
        <w:rPr>
          <w:i/>
          <w:lang w:val="en-US"/>
        </w:rPr>
        <w:t xml:space="preserve"> </w:t>
      </w:r>
      <w:r w:rsidRPr="00F61443">
        <w:rPr>
          <w:i/>
          <w:lang w:val="en-US"/>
        </w:rPr>
        <w:t>v</w:t>
      </w:r>
      <w:r w:rsidRPr="00CC0A07">
        <w:rPr>
          <w:i/>
          <w:lang w:val="en-US"/>
        </w:rPr>
        <w:t xml:space="preserve">. </w:t>
      </w:r>
      <w:r w:rsidRPr="00F61443">
        <w:rPr>
          <w:i/>
          <w:lang w:val="en-US"/>
        </w:rPr>
        <w:t>Marlon</w:t>
      </w:r>
      <w:r w:rsidRPr="00CC0A07">
        <w:rPr>
          <w:i/>
          <w:lang w:val="en-US"/>
        </w:rPr>
        <w:t xml:space="preserve"> </w:t>
      </w:r>
      <w:r w:rsidRPr="00F61443">
        <w:rPr>
          <w:i/>
          <w:lang w:val="en-US"/>
        </w:rPr>
        <w:t>James</w:t>
      </w:r>
      <w:r w:rsidRPr="00CC0A07">
        <w:rPr>
          <w:i/>
          <w:lang w:val="en-US"/>
        </w:rPr>
        <w:t xml:space="preserve"> </w:t>
      </w:r>
      <w:r w:rsidRPr="00F61443">
        <w:rPr>
          <w:i/>
          <w:lang w:val="en-US"/>
        </w:rPr>
        <w:t>Noble</w:t>
      </w:r>
      <w:r w:rsidRPr="00CC0A07">
        <w:rPr>
          <w:lang w:val="en-US"/>
        </w:rPr>
        <w:t xml:space="preserve"> (1261 </w:t>
      </w:r>
      <w:r w:rsidRPr="006B3681">
        <w:rPr>
          <w:lang w:val="en-US"/>
        </w:rPr>
        <w:t>of</w:t>
      </w:r>
      <w:r w:rsidRPr="00CC0A07">
        <w:rPr>
          <w:lang w:val="en-US"/>
        </w:rPr>
        <w:t xml:space="preserve"> 2002), </w:t>
      </w:r>
      <w:r w:rsidRPr="006B3681">
        <w:rPr>
          <w:lang w:val="en-US"/>
        </w:rPr>
        <w:t>transcript</w:t>
      </w:r>
      <w:r w:rsidRPr="00CC0A07">
        <w:rPr>
          <w:lang w:val="en-US"/>
        </w:rPr>
        <w:t xml:space="preserve"> </w:t>
      </w:r>
      <w:r w:rsidRPr="006B3681">
        <w:rPr>
          <w:lang w:val="en-US"/>
        </w:rPr>
        <w:t>of</w:t>
      </w:r>
      <w:r w:rsidRPr="00CC0A07">
        <w:rPr>
          <w:lang w:val="en-US"/>
        </w:rPr>
        <w:t xml:space="preserve"> </w:t>
      </w:r>
      <w:r w:rsidRPr="006B3681">
        <w:rPr>
          <w:lang w:val="en-US"/>
        </w:rPr>
        <w:t>proceedings</w:t>
      </w:r>
      <w:r w:rsidRPr="00CC0A07">
        <w:rPr>
          <w:lang w:val="en-US"/>
        </w:rPr>
        <w:t xml:space="preserve"> </w:t>
      </w:r>
      <w:r w:rsidRPr="006B3681">
        <w:rPr>
          <w:lang w:val="en-US"/>
        </w:rPr>
        <w:t>before</w:t>
      </w:r>
      <w:r w:rsidRPr="00CC0A07">
        <w:rPr>
          <w:lang w:val="en-US"/>
        </w:rPr>
        <w:t xml:space="preserve"> </w:t>
      </w:r>
      <w:r w:rsidRPr="00E9569C">
        <w:rPr>
          <w:lang w:val="en-US"/>
        </w:rPr>
        <w:t>District</w:t>
      </w:r>
      <w:r w:rsidRPr="00CC0A07">
        <w:rPr>
          <w:lang w:val="en-US"/>
        </w:rPr>
        <w:t xml:space="preserve"> </w:t>
      </w:r>
      <w:r w:rsidRPr="006B3681">
        <w:rPr>
          <w:lang w:val="en-US"/>
        </w:rPr>
        <w:t>Court</w:t>
      </w:r>
      <w:r w:rsidRPr="00CC0A07">
        <w:rPr>
          <w:lang w:val="en-US"/>
        </w:rPr>
        <w:t xml:space="preserve"> </w:t>
      </w:r>
      <w:r w:rsidRPr="006B3681">
        <w:rPr>
          <w:lang w:val="en-US"/>
        </w:rPr>
        <w:t>Judge</w:t>
      </w:r>
      <w:r w:rsidRPr="00CC0A07">
        <w:rPr>
          <w:lang w:val="en-US"/>
        </w:rPr>
        <w:t xml:space="preserve"> </w:t>
      </w:r>
      <w:proofErr w:type="spellStart"/>
      <w:r w:rsidRPr="006B3681">
        <w:rPr>
          <w:lang w:val="en-US"/>
        </w:rPr>
        <w:t>Nisbet</w:t>
      </w:r>
      <w:proofErr w:type="spellEnd"/>
      <w:r w:rsidRPr="00CC0A07">
        <w:rPr>
          <w:lang w:val="en-US"/>
        </w:rPr>
        <w:t xml:space="preserve"> </w:t>
      </w:r>
      <w:r w:rsidRPr="006B3681">
        <w:rPr>
          <w:lang w:val="en-US"/>
        </w:rPr>
        <w:t>at</w:t>
      </w:r>
      <w:r w:rsidRPr="00CC0A07">
        <w:rPr>
          <w:lang w:val="en-US"/>
        </w:rPr>
        <w:t xml:space="preserve"> </w:t>
      </w:r>
      <w:r w:rsidRPr="006B3681">
        <w:rPr>
          <w:lang w:val="en-US"/>
        </w:rPr>
        <w:t>the</w:t>
      </w:r>
      <w:r w:rsidRPr="00CC0A07">
        <w:rPr>
          <w:lang w:val="en-US"/>
        </w:rPr>
        <w:t xml:space="preserve"> </w:t>
      </w:r>
      <w:r w:rsidRPr="006B3681">
        <w:rPr>
          <w:lang w:val="en-US"/>
        </w:rPr>
        <w:t>District</w:t>
      </w:r>
      <w:r w:rsidRPr="00CC0A07">
        <w:rPr>
          <w:lang w:val="en-US"/>
        </w:rPr>
        <w:t xml:space="preserve"> </w:t>
      </w:r>
      <w:r w:rsidRPr="006B3681">
        <w:rPr>
          <w:lang w:val="en-US"/>
        </w:rPr>
        <w:t>Court</w:t>
      </w:r>
      <w:r w:rsidRPr="00CC0A07">
        <w:rPr>
          <w:lang w:val="en-US"/>
        </w:rPr>
        <w:t xml:space="preserve"> </w:t>
      </w:r>
      <w:r w:rsidRPr="006B3681">
        <w:rPr>
          <w:lang w:val="en-US"/>
        </w:rPr>
        <w:t>of</w:t>
      </w:r>
      <w:r w:rsidRPr="00CC0A07">
        <w:rPr>
          <w:lang w:val="en-US"/>
        </w:rPr>
        <w:t xml:space="preserve"> </w:t>
      </w:r>
      <w:r w:rsidRPr="006B3681">
        <w:rPr>
          <w:lang w:val="en-US"/>
        </w:rPr>
        <w:t>Western</w:t>
      </w:r>
      <w:r w:rsidRPr="00CC0A07">
        <w:rPr>
          <w:lang w:val="en-US"/>
        </w:rPr>
        <w:t xml:space="preserve"> </w:t>
      </w:r>
      <w:r w:rsidRPr="006B3681">
        <w:rPr>
          <w:lang w:val="en-US"/>
        </w:rPr>
        <w:t>Australia</w:t>
      </w:r>
      <w:r w:rsidRPr="00CC0A07">
        <w:rPr>
          <w:lang w:val="en-US"/>
        </w:rPr>
        <w:t xml:space="preserve">, 7 </w:t>
      </w:r>
      <w:r w:rsidRPr="006B3681">
        <w:rPr>
          <w:lang w:val="en-US"/>
        </w:rPr>
        <w:t>March</w:t>
      </w:r>
      <w:r w:rsidRPr="00CC0A07">
        <w:rPr>
          <w:lang w:val="en-US"/>
        </w:rPr>
        <w:t xml:space="preserve"> 2003, </w:t>
      </w:r>
      <w:r w:rsidRPr="006B3681">
        <w:rPr>
          <w:lang w:val="en-US"/>
        </w:rPr>
        <w:t>pp</w:t>
      </w:r>
      <w:r>
        <w:rPr>
          <w:lang w:val="en-US"/>
        </w:rPr>
        <w:t>.</w:t>
      </w:r>
      <w:r w:rsidRPr="00E9569C">
        <w:rPr>
          <w:lang w:val="en-US"/>
        </w:rPr>
        <w:t> </w:t>
      </w:r>
      <w:r w:rsidRPr="00CC0A07">
        <w:rPr>
          <w:lang w:val="en-US"/>
        </w:rPr>
        <w:t>37-</w:t>
      </w:r>
      <w:r w:rsidRPr="00E9569C">
        <w:rPr>
          <w:lang w:val="en-US"/>
        </w:rPr>
        <w:t>38</w:t>
      </w:r>
      <w:r w:rsidRPr="00CC0A07">
        <w:rPr>
          <w:lang w:val="en-US"/>
        </w:rPr>
        <w:t xml:space="preserve">. </w:t>
      </w:r>
    </w:p>
  </w:footnote>
  <w:footnote w:id="15">
    <w:p w:rsidR="00FE6177" w:rsidRPr="005942AB" w:rsidRDefault="00FE6177" w:rsidP="007B31D5">
      <w:pPr>
        <w:pStyle w:val="aa"/>
      </w:pPr>
      <w:r w:rsidRPr="00CC0A07">
        <w:rPr>
          <w:lang w:val="en-US"/>
        </w:rPr>
        <w:tab/>
      </w:r>
      <w:r>
        <w:rPr>
          <w:rStyle w:val="a6"/>
          <w:lang w:val="ru-RU"/>
        </w:rPr>
        <w:footnoteRef/>
      </w:r>
      <w:r w:rsidRPr="006B3681">
        <w:rPr>
          <w:lang w:val="en-US"/>
        </w:rPr>
        <w:tab/>
      </w:r>
      <w:proofErr w:type="gramStart"/>
      <w:r w:rsidRPr="00673F4C">
        <w:rPr>
          <w:lang w:val="en-US"/>
        </w:rPr>
        <w:t>Ibid.,</w:t>
      </w:r>
      <w:proofErr w:type="gramEnd"/>
      <w:r w:rsidRPr="00673F4C">
        <w:rPr>
          <w:lang w:val="en-US"/>
        </w:rPr>
        <w:t xml:space="preserve"> p. 38.</w:t>
      </w:r>
      <w:r w:rsidRPr="006B3681">
        <w:rPr>
          <w:lang w:val="en-US"/>
        </w:rPr>
        <w:t xml:space="preserve"> </w:t>
      </w:r>
    </w:p>
  </w:footnote>
  <w:footnote w:id="16">
    <w:p w:rsidR="00FE6177" w:rsidRPr="005942AB" w:rsidRDefault="00FE6177" w:rsidP="007B31D5">
      <w:pPr>
        <w:pStyle w:val="aa"/>
      </w:pPr>
      <w:r w:rsidRPr="006B3681">
        <w:rPr>
          <w:lang w:val="en-US"/>
        </w:rPr>
        <w:tab/>
      </w:r>
      <w:r>
        <w:rPr>
          <w:rStyle w:val="a6"/>
          <w:lang w:val="ru-RU"/>
        </w:rPr>
        <w:footnoteRef/>
      </w:r>
      <w:r w:rsidRPr="006B3681">
        <w:rPr>
          <w:lang w:val="en-US"/>
        </w:rPr>
        <w:tab/>
      </w:r>
      <w:proofErr w:type="gramStart"/>
      <w:r w:rsidRPr="00673F4C">
        <w:rPr>
          <w:lang w:val="en-US"/>
        </w:rPr>
        <w:t>Ibid.,</w:t>
      </w:r>
      <w:proofErr w:type="gramEnd"/>
      <w:r w:rsidRPr="00673F4C">
        <w:rPr>
          <w:lang w:val="en-US"/>
        </w:rPr>
        <w:t xml:space="preserve"> pp. 32 </w:t>
      </w:r>
      <w:r>
        <w:rPr>
          <w:lang w:val="ru-RU"/>
        </w:rPr>
        <w:t>и</w:t>
      </w:r>
      <w:r w:rsidRPr="00673F4C">
        <w:rPr>
          <w:lang w:val="en-US"/>
        </w:rPr>
        <w:t xml:space="preserve"> 38.</w:t>
      </w:r>
      <w:r w:rsidRPr="006B3681">
        <w:rPr>
          <w:lang w:val="en-US"/>
        </w:rPr>
        <w:t xml:space="preserve"> </w:t>
      </w:r>
    </w:p>
  </w:footnote>
  <w:footnote w:id="17">
    <w:p w:rsidR="00FE6177" w:rsidRPr="006B3681" w:rsidRDefault="00FE6177" w:rsidP="007B31D5">
      <w:pPr>
        <w:pStyle w:val="aa"/>
        <w:rPr>
          <w:lang w:val="ru-RU"/>
        </w:rPr>
      </w:pPr>
      <w:r w:rsidRPr="006B3681">
        <w:rPr>
          <w:lang w:val="en-US"/>
        </w:rPr>
        <w:tab/>
      </w:r>
      <w:r>
        <w:rPr>
          <w:rStyle w:val="a6"/>
          <w:lang w:val="ru-RU"/>
        </w:rPr>
        <w:footnoteRef/>
      </w:r>
      <w:r>
        <w:rPr>
          <w:lang w:val="ru-RU"/>
        </w:rPr>
        <w:tab/>
      </w:r>
      <w:proofErr w:type="spellStart"/>
      <w:r>
        <w:rPr>
          <w:lang w:val="ru-RU"/>
        </w:rPr>
        <w:t>Ibid</w:t>
      </w:r>
      <w:proofErr w:type="spellEnd"/>
      <w:r>
        <w:rPr>
          <w:lang w:val="ru-RU"/>
        </w:rPr>
        <w:t>., p. 39.</w:t>
      </w:r>
    </w:p>
  </w:footnote>
  <w:footnote w:id="18">
    <w:p w:rsidR="00FE6177" w:rsidRPr="006B3681" w:rsidRDefault="00FE6177" w:rsidP="007B31D5">
      <w:pPr>
        <w:pStyle w:val="aa"/>
        <w:rPr>
          <w:lang w:val="ru-RU"/>
        </w:rPr>
      </w:pPr>
      <w:r>
        <w:rPr>
          <w:lang w:val="ru-RU"/>
        </w:rPr>
        <w:tab/>
      </w:r>
      <w:r>
        <w:rPr>
          <w:rStyle w:val="a6"/>
          <w:lang w:val="ru-RU"/>
        </w:rPr>
        <w:footnoteRef/>
      </w:r>
      <w:r>
        <w:rPr>
          <w:lang w:val="ru-RU"/>
        </w:rPr>
        <w:tab/>
        <w:t xml:space="preserve">«Заявленное место» представляет собой специализированное заведение для задержания лиц по Закону о душевнобольных обвиняемых в соответствии с их нуждами и обстоятельствами. </w:t>
      </w:r>
    </w:p>
  </w:footnote>
  <w:footnote w:id="19">
    <w:p w:rsidR="00FE6177" w:rsidRPr="002F6C96" w:rsidRDefault="00FE6177" w:rsidP="007B31D5">
      <w:pPr>
        <w:pStyle w:val="aa"/>
      </w:pPr>
      <w:r>
        <w:rPr>
          <w:lang w:val="ru-RU"/>
        </w:rPr>
        <w:tab/>
      </w:r>
      <w:r>
        <w:rPr>
          <w:rStyle w:val="a6"/>
          <w:lang w:val="ru-RU"/>
        </w:rPr>
        <w:footnoteRef/>
      </w:r>
      <w:r w:rsidRPr="006B3681">
        <w:rPr>
          <w:lang w:val="en-US"/>
        </w:rPr>
        <w:tab/>
      </w:r>
      <w:r>
        <w:rPr>
          <w:lang w:val="ru-RU"/>
        </w:rPr>
        <w:t>См</w:t>
      </w:r>
      <w:r w:rsidRPr="006B3681">
        <w:rPr>
          <w:lang w:val="en-US"/>
        </w:rPr>
        <w:t xml:space="preserve">. </w:t>
      </w:r>
      <w:r w:rsidRPr="003D0FE5">
        <w:rPr>
          <w:i/>
          <w:lang w:val="en-US"/>
        </w:rPr>
        <w:t>The Queen v. Marlon James Noble</w:t>
      </w:r>
      <w:r w:rsidRPr="006B3681">
        <w:rPr>
          <w:lang w:val="en-US"/>
        </w:rPr>
        <w:t xml:space="preserve"> (1261 of 2002), pp. 39-40. </w:t>
      </w:r>
    </w:p>
  </w:footnote>
  <w:footnote w:id="20">
    <w:p w:rsidR="00FE6177" w:rsidRPr="006B3681" w:rsidRDefault="00FE6177" w:rsidP="007B31D5">
      <w:pPr>
        <w:pStyle w:val="aa"/>
        <w:rPr>
          <w:lang w:val="ru-RU"/>
        </w:rPr>
      </w:pPr>
      <w:r w:rsidRPr="006B3681">
        <w:rPr>
          <w:lang w:val="en-US"/>
        </w:rPr>
        <w:tab/>
      </w:r>
      <w:r>
        <w:rPr>
          <w:rStyle w:val="a6"/>
          <w:lang w:val="ru-RU"/>
        </w:rPr>
        <w:footnoteRef/>
      </w:r>
      <w:r>
        <w:rPr>
          <w:lang w:val="ru-RU"/>
        </w:rPr>
        <w:tab/>
      </w:r>
      <w:proofErr w:type="spellStart"/>
      <w:r>
        <w:rPr>
          <w:lang w:val="ru-RU"/>
        </w:rPr>
        <w:t>Ibid</w:t>
      </w:r>
      <w:proofErr w:type="spellEnd"/>
      <w:r>
        <w:rPr>
          <w:lang w:val="ru-RU"/>
        </w:rPr>
        <w:t xml:space="preserve">., p. 40. </w:t>
      </w:r>
    </w:p>
  </w:footnote>
  <w:footnote w:id="21">
    <w:p w:rsidR="00FE6177" w:rsidRPr="006B3681" w:rsidRDefault="00FE6177" w:rsidP="007B31D5">
      <w:pPr>
        <w:pStyle w:val="aa"/>
        <w:rPr>
          <w:lang w:val="ru-RU"/>
        </w:rPr>
      </w:pPr>
      <w:r>
        <w:rPr>
          <w:lang w:val="ru-RU"/>
        </w:rPr>
        <w:tab/>
      </w:r>
      <w:r>
        <w:rPr>
          <w:rStyle w:val="a6"/>
          <w:lang w:val="ru-RU"/>
        </w:rPr>
        <w:footnoteRef/>
      </w:r>
      <w:r>
        <w:rPr>
          <w:lang w:val="ru-RU"/>
        </w:rPr>
        <w:tab/>
        <w:t xml:space="preserve">Обвиняемый «предается» суду после слушаний, в ходе которых судья устанавливает, имеется ли достаточно доказательств, чтобы приступить к судебному разбирательству в отношении данного лица. </w:t>
      </w:r>
    </w:p>
  </w:footnote>
  <w:footnote w:id="22">
    <w:p w:rsidR="00FE6177" w:rsidRPr="006B3681" w:rsidRDefault="00FE6177" w:rsidP="007B31D5">
      <w:pPr>
        <w:pStyle w:val="aa"/>
        <w:rPr>
          <w:lang w:val="ru-RU"/>
        </w:rPr>
      </w:pPr>
      <w:r>
        <w:rPr>
          <w:lang w:val="ru-RU"/>
        </w:rPr>
        <w:tab/>
      </w:r>
      <w:r>
        <w:rPr>
          <w:rStyle w:val="a6"/>
          <w:lang w:val="ru-RU"/>
        </w:rPr>
        <w:footnoteRef/>
      </w:r>
      <w:r w:rsidRPr="006B3681">
        <w:rPr>
          <w:lang w:val="en-US"/>
        </w:rPr>
        <w:tab/>
      </w:r>
      <w:r>
        <w:rPr>
          <w:lang w:val="ru-RU"/>
        </w:rPr>
        <w:t>См</w:t>
      </w:r>
      <w:r w:rsidRPr="001D47BE">
        <w:rPr>
          <w:lang w:val="en-US"/>
        </w:rPr>
        <w:t xml:space="preserve">. Criminal Law (Mentally Impaired Defendants) Act 1996 (Western Australia), </w:t>
      </w:r>
      <w:r w:rsidRPr="001D47BE">
        <w:rPr>
          <w:lang w:val="en-US"/>
        </w:rPr>
        <w:br/>
        <w:t xml:space="preserve">sect. </w:t>
      </w:r>
      <w:r>
        <w:rPr>
          <w:lang w:val="ru-RU"/>
        </w:rPr>
        <w:t xml:space="preserve">33 (2). </w:t>
      </w:r>
    </w:p>
  </w:footnote>
  <w:footnote w:id="23">
    <w:p w:rsidR="00FE6177" w:rsidRPr="006B3681" w:rsidRDefault="00FE6177" w:rsidP="007B31D5">
      <w:pPr>
        <w:pStyle w:val="aa"/>
        <w:rPr>
          <w:lang w:val="ru-RU"/>
        </w:rPr>
      </w:pPr>
      <w:r>
        <w:rPr>
          <w:lang w:val="ru-RU"/>
        </w:rPr>
        <w:tab/>
      </w:r>
      <w:r>
        <w:rPr>
          <w:rStyle w:val="a6"/>
          <w:lang w:val="ru-RU"/>
        </w:rPr>
        <w:footnoteRef/>
      </w:r>
      <w:r>
        <w:rPr>
          <w:lang w:val="ru-RU"/>
        </w:rPr>
        <w:tab/>
        <w:t xml:space="preserve">Это решение принимается с учетом факторов, изложенных в пункте 3 статьи 33 Закона 1996 года об уголовном производстве в случае душевнобольных обвиняемых (Западная Австралия). </w:t>
      </w:r>
    </w:p>
  </w:footnote>
  <w:footnote w:id="24">
    <w:p w:rsidR="00FE6177" w:rsidRPr="006B3681" w:rsidRDefault="00FE6177" w:rsidP="007B31D5">
      <w:pPr>
        <w:pStyle w:val="aa"/>
        <w:rPr>
          <w:lang w:val="ru-RU"/>
        </w:rPr>
      </w:pPr>
      <w:r>
        <w:rPr>
          <w:lang w:val="ru-RU"/>
        </w:rPr>
        <w:tab/>
      </w:r>
      <w:r>
        <w:rPr>
          <w:rStyle w:val="a6"/>
          <w:lang w:val="ru-RU"/>
        </w:rPr>
        <w:footnoteRef/>
      </w:r>
      <w:r>
        <w:rPr>
          <w:lang w:val="ru-RU"/>
        </w:rPr>
        <w:tab/>
        <w:t xml:space="preserve">Доклады по делу автора были предоставлены 22 мая 2003 года, 20 августа 2004 года, 19 августа 2005 года, 16 января 2007 года, 16 апреля 2008 года, 15 марта 2010 года, 12 мая 2011 года и в декабре 2011 года. </w:t>
      </w:r>
    </w:p>
  </w:footnote>
  <w:footnote w:id="25">
    <w:p w:rsidR="00FE6177" w:rsidRPr="005942AB" w:rsidRDefault="00FE6177" w:rsidP="007B31D5">
      <w:pPr>
        <w:pStyle w:val="aa"/>
      </w:pPr>
      <w:r>
        <w:rPr>
          <w:lang w:val="ru-RU"/>
        </w:rPr>
        <w:tab/>
      </w:r>
      <w:r>
        <w:rPr>
          <w:rStyle w:val="a6"/>
          <w:lang w:val="ru-RU"/>
        </w:rPr>
        <w:footnoteRef/>
      </w:r>
      <w:r w:rsidRPr="006B3681">
        <w:rPr>
          <w:lang w:val="en-US"/>
        </w:rPr>
        <w:tab/>
      </w:r>
      <w:r>
        <w:rPr>
          <w:lang w:val="ru-RU"/>
        </w:rPr>
        <w:t>См</w:t>
      </w:r>
      <w:r w:rsidRPr="006B3681">
        <w:rPr>
          <w:lang w:val="en-US"/>
        </w:rPr>
        <w:t xml:space="preserve">. </w:t>
      </w:r>
      <w:r w:rsidRPr="00673F4C">
        <w:rPr>
          <w:lang w:val="en-US"/>
        </w:rPr>
        <w:t>Mentally</w:t>
      </w:r>
      <w:r w:rsidRPr="006B3681">
        <w:rPr>
          <w:lang w:val="en-US"/>
        </w:rPr>
        <w:t xml:space="preserve"> Impaired Defendants Review Board Western Australia, </w:t>
      </w:r>
      <w:r w:rsidRPr="005F4AC5">
        <w:rPr>
          <w:i/>
          <w:lang w:val="en-US"/>
        </w:rPr>
        <w:t>Report to the Attorney General: Marlon James Noble</w:t>
      </w:r>
      <w:r w:rsidRPr="006B3681">
        <w:rPr>
          <w:lang w:val="en-US"/>
        </w:rPr>
        <w:t xml:space="preserve">, </w:t>
      </w:r>
      <w:r w:rsidRPr="00673F4C">
        <w:rPr>
          <w:lang w:val="en-US"/>
        </w:rPr>
        <w:t>December</w:t>
      </w:r>
      <w:r w:rsidRPr="006B3681">
        <w:rPr>
          <w:lang w:val="en-US"/>
        </w:rPr>
        <w:t xml:space="preserve"> </w:t>
      </w:r>
      <w:r w:rsidRPr="00673F4C">
        <w:rPr>
          <w:lang w:val="en-US"/>
        </w:rPr>
        <w:t>2011</w:t>
      </w:r>
      <w:r w:rsidRPr="006B3681">
        <w:rPr>
          <w:lang w:val="en-US"/>
        </w:rPr>
        <w:t xml:space="preserve">, p. 9. </w:t>
      </w:r>
    </w:p>
  </w:footnote>
  <w:footnote w:id="26">
    <w:p w:rsidR="00FE6177" w:rsidRPr="00673F4C" w:rsidRDefault="00FE6177" w:rsidP="007B31D5">
      <w:pPr>
        <w:pStyle w:val="aa"/>
        <w:rPr>
          <w:lang w:val="en-US"/>
        </w:rPr>
      </w:pPr>
      <w:r w:rsidRPr="006B3681">
        <w:rPr>
          <w:lang w:val="en-US"/>
        </w:rPr>
        <w:tab/>
      </w:r>
      <w:r>
        <w:rPr>
          <w:rStyle w:val="a6"/>
          <w:lang w:val="ru-RU"/>
        </w:rPr>
        <w:footnoteRef/>
      </w:r>
      <w:r w:rsidRPr="006B3681">
        <w:rPr>
          <w:lang w:val="en-US"/>
        </w:rPr>
        <w:tab/>
      </w:r>
      <w:proofErr w:type="gramStart"/>
      <w:r w:rsidRPr="00673F4C">
        <w:rPr>
          <w:lang w:val="en-US"/>
        </w:rPr>
        <w:t>Ibid.,</w:t>
      </w:r>
      <w:proofErr w:type="gramEnd"/>
      <w:r w:rsidRPr="00673F4C">
        <w:rPr>
          <w:lang w:val="en-US"/>
        </w:rPr>
        <w:t xml:space="preserve"> p. 10. </w:t>
      </w:r>
    </w:p>
  </w:footnote>
  <w:footnote w:id="27">
    <w:p w:rsidR="00FE6177" w:rsidRPr="00722E34" w:rsidRDefault="00FE6177" w:rsidP="007B31D5">
      <w:pPr>
        <w:pStyle w:val="aa"/>
      </w:pPr>
      <w:r w:rsidRPr="006B3681">
        <w:rPr>
          <w:lang w:val="en-US"/>
        </w:rPr>
        <w:tab/>
      </w:r>
      <w:r>
        <w:rPr>
          <w:rStyle w:val="a6"/>
          <w:lang w:val="ru-RU"/>
        </w:rPr>
        <w:footnoteRef/>
      </w:r>
      <w:r w:rsidRPr="006B3681">
        <w:rPr>
          <w:lang w:val="en-US"/>
        </w:rPr>
        <w:tab/>
      </w:r>
      <w:proofErr w:type="gramStart"/>
      <w:r w:rsidRPr="00673F4C">
        <w:rPr>
          <w:lang w:val="en-US"/>
        </w:rPr>
        <w:t>Ibid.,</w:t>
      </w:r>
      <w:proofErr w:type="gramEnd"/>
      <w:r w:rsidRPr="00673F4C">
        <w:rPr>
          <w:lang w:val="en-US"/>
        </w:rPr>
        <w:t xml:space="preserve"> May 2011.</w:t>
      </w:r>
      <w:r w:rsidRPr="006B3681">
        <w:rPr>
          <w:lang w:val="en-US"/>
        </w:rPr>
        <w:t xml:space="preserve"> </w:t>
      </w:r>
    </w:p>
  </w:footnote>
  <w:footnote w:id="28">
    <w:p w:rsidR="00FE6177" w:rsidRPr="002F6C96" w:rsidRDefault="00FE6177" w:rsidP="007B31D5">
      <w:pPr>
        <w:pStyle w:val="aa"/>
      </w:pPr>
      <w:r w:rsidRPr="006B3681">
        <w:rPr>
          <w:lang w:val="en-US"/>
        </w:rPr>
        <w:tab/>
      </w:r>
      <w:r>
        <w:rPr>
          <w:rStyle w:val="a6"/>
          <w:lang w:val="ru-RU"/>
        </w:rPr>
        <w:footnoteRef/>
      </w:r>
      <w:r w:rsidRPr="006B3681">
        <w:rPr>
          <w:lang w:val="en-US"/>
        </w:rPr>
        <w:tab/>
      </w:r>
      <w:proofErr w:type="gramStart"/>
      <w:r w:rsidRPr="00673F4C">
        <w:rPr>
          <w:lang w:val="en-US"/>
        </w:rPr>
        <w:t>Ibid</w:t>
      </w:r>
      <w:r w:rsidRPr="006B3681">
        <w:rPr>
          <w:lang w:val="en-US"/>
        </w:rPr>
        <w:t>.,</w:t>
      </w:r>
      <w:proofErr w:type="gramEnd"/>
      <w:r w:rsidRPr="006B3681">
        <w:rPr>
          <w:lang w:val="en-US"/>
        </w:rPr>
        <w:t xml:space="preserve"> </w:t>
      </w:r>
      <w:r w:rsidRPr="005F4AC5">
        <w:rPr>
          <w:i/>
          <w:lang w:val="en-US"/>
        </w:rPr>
        <w:t>Sixth Statutory Report</w:t>
      </w:r>
      <w:r w:rsidRPr="006B3681">
        <w:rPr>
          <w:lang w:val="en-US"/>
        </w:rPr>
        <w:t xml:space="preserve">, 15 March 2010, p. 7. </w:t>
      </w:r>
    </w:p>
  </w:footnote>
  <w:footnote w:id="29">
    <w:p w:rsidR="00FE6177" w:rsidRPr="002F6C96" w:rsidRDefault="00FE6177" w:rsidP="007B31D5">
      <w:pPr>
        <w:pStyle w:val="aa"/>
      </w:pPr>
      <w:r w:rsidRPr="006B3681">
        <w:rPr>
          <w:lang w:val="en-US"/>
        </w:rPr>
        <w:tab/>
      </w:r>
      <w:r>
        <w:rPr>
          <w:rStyle w:val="a6"/>
          <w:lang w:val="ru-RU"/>
        </w:rPr>
        <w:footnoteRef/>
      </w:r>
      <w:r w:rsidRPr="006B3681">
        <w:rPr>
          <w:lang w:val="en-US"/>
        </w:rPr>
        <w:tab/>
      </w:r>
      <w:r w:rsidRPr="005F4AC5">
        <w:rPr>
          <w:i/>
          <w:lang w:val="en-US"/>
        </w:rPr>
        <w:t>Sixth Statutory Report</w:t>
      </w:r>
      <w:r w:rsidRPr="006B3681">
        <w:rPr>
          <w:lang w:val="en-US"/>
        </w:rPr>
        <w:t>, p. 6 (</w:t>
      </w:r>
      <w:r>
        <w:rPr>
          <w:lang w:val="ru-RU"/>
        </w:rPr>
        <w:t>цитируется</w:t>
      </w:r>
      <w:r w:rsidRPr="005F4AC5">
        <w:rPr>
          <w:lang w:val="en-US"/>
        </w:rPr>
        <w:t xml:space="preserve"> </w:t>
      </w:r>
      <w:r>
        <w:rPr>
          <w:lang w:val="ru-RU"/>
        </w:rPr>
        <w:t>доклад</w:t>
      </w:r>
      <w:r w:rsidRPr="005F4AC5">
        <w:rPr>
          <w:lang w:val="en-US"/>
        </w:rPr>
        <w:t xml:space="preserve"> </w:t>
      </w:r>
      <w:r w:rsidRPr="006B3681">
        <w:rPr>
          <w:lang w:val="en-US"/>
        </w:rPr>
        <w:t xml:space="preserve">2003 </w:t>
      </w:r>
      <w:r>
        <w:rPr>
          <w:lang w:val="ru-RU"/>
        </w:rPr>
        <w:t>года</w:t>
      </w:r>
      <w:r w:rsidRPr="006B3681">
        <w:rPr>
          <w:lang w:val="en-US"/>
        </w:rPr>
        <w:t xml:space="preserve">). </w:t>
      </w:r>
    </w:p>
  </w:footnote>
  <w:footnote w:id="30">
    <w:p w:rsidR="00FE6177" w:rsidRPr="002F6C96" w:rsidRDefault="00FE6177" w:rsidP="007B31D5">
      <w:pPr>
        <w:pStyle w:val="aa"/>
      </w:pPr>
      <w:r w:rsidRPr="006B3681">
        <w:rPr>
          <w:lang w:val="en-US"/>
        </w:rPr>
        <w:tab/>
      </w:r>
      <w:r>
        <w:rPr>
          <w:rStyle w:val="a6"/>
          <w:lang w:val="ru-RU"/>
        </w:rPr>
        <w:footnoteRef/>
      </w:r>
      <w:r w:rsidRPr="006B3681">
        <w:rPr>
          <w:lang w:val="en-US"/>
        </w:rPr>
        <w:tab/>
      </w:r>
      <w:r>
        <w:rPr>
          <w:lang w:val="ru-RU"/>
        </w:rPr>
        <w:t>См</w:t>
      </w:r>
      <w:r w:rsidRPr="006B3681">
        <w:rPr>
          <w:lang w:val="en-US"/>
        </w:rPr>
        <w:t xml:space="preserve">. Mentally Impaired Defendants Review Board </w:t>
      </w:r>
      <w:r w:rsidRPr="00673F4C">
        <w:rPr>
          <w:lang w:val="en-US"/>
        </w:rPr>
        <w:t>Western</w:t>
      </w:r>
      <w:r w:rsidRPr="006B3681">
        <w:rPr>
          <w:lang w:val="en-US"/>
        </w:rPr>
        <w:t xml:space="preserve"> Australia, </w:t>
      </w:r>
      <w:r w:rsidRPr="005F4AC5">
        <w:rPr>
          <w:i/>
          <w:lang w:val="en-US"/>
        </w:rPr>
        <w:t>First Statutory Report: Marlon James Noble</w:t>
      </w:r>
      <w:r w:rsidRPr="006B3681">
        <w:rPr>
          <w:lang w:val="en-US"/>
        </w:rPr>
        <w:t xml:space="preserve">, 22 May 2003, p. 2. </w:t>
      </w:r>
    </w:p>
  </w:footnote>
  <w:footnote w:id="31">
    <w:p w:rsidR="00FE6177" w:rsidRPr="00722E34" w:rsidRDefault="00FE6177" w:rsidP="007B31D5">
      <w:pPr>
        <w:pStyle w:val="aa"/>
      </w:pPr>
      <w:r w:rsidRPr="006B3681">
        <w:rPr>
          <w:lang w:val="en-US"/>
        </w:rPr>
        <w:tab/>
      </w:r>
      <w:r>
        <w:rPr>
          <w:rStyle w:val="a6"/>
          <w:lang w:val="ru-RU"/>
        </w:rPr>
        <w:footnoteRef/>
      </w:r>
      <w:r w:rsidRPr="006B3681">
        <w:rPr>
          <w:lang w:val="en-US"/>
        </w:rPr>
        <w:tab/>
      </w:r>
      <w:r w:rsidRPr="005F4AC5">
        <w:rPr>
          <w:i/>
          <w:lang w:val="en-US"/>
        </w:rPr>
        <w:t>Sixth Statutory Report</w:t>
      </w:r>
      <w:r w:rsidRPr="006B3681">
        <w:rPr>
          <w:lang w:val="en-US"/>
        </w:rPr>
        <w:t xml:space="preserve">, p. 6. </w:t>
      </w:r>
    </w:p>
  </w:footnote>
  <w:footnote w:id="32">
    <w:p w:rsidR="00FE6177" w:rsidRPr="00673F4C" w:rsidRDefault="00FE6177" w:rsidP="007B31D5">
      <w:pPr>
        <w:pStyle w:val="aa"/>
        <w:rPr>
          <w:lang w:val="en-US"/>
        </w:rPr>
      </w:pPr>
      <w:r w:rsidRPr="006B3681">
        <w:rPr>
          <w:lang w:val="en-US"/>
        </w:rPr>
        <w:tab/>
      </w:r>
      <w:r>
        <w:rPr>
          <w:rStyle w:val="a6"/>
          <w:lang w:val="ru-RU"/>
        </w:rPr>
        <w:footnoteRef/>
      </w:r>
      <w:r w:rsidRPr="006B3681">
        <w:rPr>
          <w:lang w:val="en-US"/>
        </w:rPr>
        <w:tab/>
      </w:r>
      <w:proofErr w:type="gramStart"/>
      <w:r w:rsidRPr="00673F4C">
        <w:rPr>
          <w:lang w:val="en-US"/>
        </w:rPr>
        <w:t>Ibid.,</w:t>
      </w:r>
      <w:proofErr w:type="gramEnd"/>
      <w:r w:rsidRPr="00673F4C">
        <w:rPr>
          <w:lang w:val="en-US"/>
        </w:rPr>
        <w:t xml:space="preserve"> December 2011, p. 23; ibid., May 2011, p. 11. </w:t>
      </w:r>
    </w:p>
  </w:footnote>
  <w:footnote w:id="33">
    <w:p w:rsidR="00FE6177" w:rsidRPr="006B3681" w:rsidRDefault="00FE6177" w:rsidP="007B31D5">
      <w:pPr>
        <w:pStyle w:val="aa"/>
        <w:rPr>
          <w:lang w:val="ru-RU"/>
        </w:rPr>
      </w:pPr>
      <w:r w:rsidRPr="006B3681">
        <w:rPr>
          <w:lang w:val="en-US"/>
        </w:rPr>
        <w:tab/>
      </w:r>
      <w:r>
        <w:rPr>
          <w:rStyle w:val="a6"/>
          <w:lang w:val="ru-RU"/>
        </w:rPr>
        <w:footnoteRef/>
      </w:r>
      <w:r>
        <w:rPr>
          <w:lang w:val="ru-RU"/>
        </w:rPr>
        <w:tab/>
        <w:t xml:space="preserve">Государство-участник ссылается на юриспруденцию Комитета по правам человека в сообщении № 983/2000, </w:t>
      </w:r>
      <w:r w:rsidRPr="006F005D">
        <w:rPr>
          <w:i/>
          <w:lang w:val="ru-RU"/>
        </w:rPr>
        <w:t>Лов и др. против Австралии</w:t>
      </w:r>
      <w:r>
        <w:rPr>
          <w:lang w:val="ru-RU"/>
        </w:rPr>
        <w:t xml:space="preserve">, Соображения, принятые 25 марта 2003 года, пункт 8.2. Оно также ссылается на Комитет по экономическим, социальным и культурным правам, замечание общего порядка № 20 (2009) о </w:t>
      </w:r>
      <w:proofErr w:type="spellStart"/>
      <w:r>
        <w:rPr>
          <w:lang w:val="ru-RU"/>
        </w:rPr>
        <w:t>недискриминации</w:t>
      </w:r>
      <w:proofErr w:type="spellEnd"/>
      <w:r>
        <w:rPr>
          <w:lang w:val="ru-RU"/>
        </w:rPr>
        <w:t xml:space="preserve"> экономических, социальных и культурных прав, пункт 13; </w:t>
      </w:r>
      <w:proofErr w:type="gramStart"/>
      <w:r>
        <w:rPr>
          <w:lang w:val="ru-RU"/>
        </w:rPr>
        <w:t xml:space="preserve">Комитет по ликвидации расовой дискриминации, общие рекомендации № 32 (2009) о значении и сфере применения особых мер в Конвенции, пункт 8, № 14 (1993) по пункту 1 статьи 1 Конвенции, пункт 2, и № 30 (2005) о дискриминации </w:t>
      </w:r>
      <w:proofErr w:type="spellStart"/>
      <w:r>
        <w:rPr>
          <w:lang w:val="ru-RU"/>
        </w:rPr>
        <w:t>неграждан</w:t>
      </w:r>
      <w:proofErr w:type="spellEnd"/>
      <w:r>
        <w:rPr>
          <w:lang w:val="ru-RU"/>
        </w:rPr>
        <w:t>, пункт 4, и заключительные замечания Комитета по тринадцатому и четырнадцатому периодическим докладам Австралии (CERD/C/AUS/CO/14), пункт 24;</w:t>
      </w:r>
      <w:proofErr w:type="gramEnd"/>
      <w:r>
        <w:rPr>
          <w:lang w:val="ru-RU"/>
        </w:rPr>
        <w:t xml:space="preserve"> Комитет по правам ребенка, замечание общего порядка № 5 (2003) об общих мерах по осуществлению Конвенции, пункт 12; Комитет по ликвидации дискриминации в отношении женщин, сообщение № 12/2007, </w:t>
      </w:r>
      <w:r w:rsidRPr="00D02A2D">
        <w:rPr>
          <w:i/>
          <w:lang w:val="ru-RU"/>
        </w:rPr>
        <w:t>Ж.Д. и С.Ф. против Франции</w:t>
      </w:r>
      <w:r>
        <w:rPr>
          <w:lang w:val="ru-RU"/>
        </w:rPr>
        <w:t xml:space="preserve">, решение о неприемлемости, принятое 4 августа 2009 года, пункт 12.15. </w:t>
      </w:r>
    </w:p>
  </w:footnote>
  <w:footnote w:id="34">
    <w:p w:rsidR="00FE6177" w:rsidRPr="00973DBA" w:rsidRDefault="00FE6177" w:rsidP="007B31D5">
      <w:pPr>
        <w:pStyle w:val="aa"/>
      </w:pPr>
      <w:r>
        <w:rPr>
          <w:lang w:val="ru-RU"/>
        </w:rPr>
        <w:tab/>
      </w:r>
      <w:r w:rsidRPr="00973DBA">
        <w:rPr>
          <w:rStyle w:val="a6"/>
          <w:lang w:val="ru-RU"/>
        </w:rPr>
        <w:footnoteRef/>
      </w:r>
      <w:r w:rsidRPr="00E60580">
        <w:rPr>
          <w:lang w:val="ru-RU"/>
        </w:rPr>
        <w:tab/>
      </w:r>
      <w:r>
        <w:rPr>
          <w:lang w:val="ru-RU"/>
        </w:rPr>
        <w:t>См</w:t>
      </w:r>
      <w:r w:rsidRPr="00E60580">
        <w:rPr>
          <w:lang w:val="ru-RU"/>
        </w:rPr>
        <w:t xml:space="preserve">. </w:t>
      </w:r>
      <w:r w:rsidR="00673F4C">
        <w:rPr>
          <w:lang w:val="ru-RU"/>
        </w:rPr>
        <w:t>главный</w:t>
      </w:r>
      <w:r>
        <w:rPr>
          <w:lang w:val="ru-RU"/>
        </w:rPr>
        <w:t xml:space="preserve"> судья лорд </w:t>
      </w:r>
      <w:proofErr w:type="spellStart"/>
      <w:r>
        <w:rPr>
          <w:lang w:val="ru-RU"/>
        </w:rPr>
        <w:t>Бингхэм</w:t>
      </w:r>
      <w:proofErr w:type="spellEnd"/>
      <w:r w:rsidRPr="00E60580">
        <w:rPr>
          <w:lang w:val="ru-RU"/>
        </w:rPr>
        <w:t xml:space="preserve"> </w:t>
      </w:r>
      <w:r>
        <w:rPr>
          <w:lang w:val="ru-RU"/>
        </w:rPr>
        <w:t>по</w:t>
      </w:r>
      <w:r w:rsidRPr="00E60580">
        <w:rPr>
          <w:lang w:val="ru-RU"/>
        </w:rPr>
        <w:t xml:space="preserve"> </w:t>
      </w:r>
      <w:r>
        <w:rPr>
          <w:lang w:val="ru-RU"/>
        </w:rPr>
        <w:t>делу</w:t>
      </w:r>
      <w:r w:rsidRPr="00E60580">
        <w:rPr>
          <w:lang w:val="ru-RU"/>
        </w:rPr>
        <w:t xml:space="preserve"> </w:t>
      </w:r>
      <w:r w:rsidRPr="00862667">
        <w:rPr>
          <w:i/>
          <w:lang w:val="en-US"/>
        </w:rPr>
        <w:t>R</w:t>
      </w:r>
      <w:r w:rsidRPr="00E60580">
        <w:rPr>
          <w:i/>
          <w:lang w:val="ru-RU"/>
        </w:rPr>
        <w:t xml:space="preserve">. </w:t>
      </w:r>
      <w:r w:rsidRPr="00862667">
        <w:rPr>
          <w:i/>
          <w:lang w:val="en-US"/>
        </w:rPr>
        <w:t>v</w:t>
      </w:r>
      <w:r w:rsidRPr="00E60580">
        <w:rPr>
          <w:i/>
          <w:lang w:val="ru-RU"/>
        </w:rPr>
        <w:t xml:space="preserve">. </w:t>
      </w:r>
      <w:r w:rsidRPr="00862667">
        <w:rPr>
          <w:i/>
          <w:lang w:val="en-US"/>
        </w:rPr>
        <w:t>Antoine</w:t>
      </w:r>
      <w:r w:rsidRPr="00E60580">
        <w:rPr>
          <w:lang w:val="ru-RU"/>
        </w:rPr>
        <w:t xml:space="preserve"> (1999), </w:t>
      </w:r>
      <w:r w:rsidRPr="006B3681">
        <w:rPr>
          <w:lang w:val="en-US"/>
        </w:rPr>
        <w:t>p</w:t>
      </w:r>
      <w:r w:rsidRPr="00E60580">
        <w:rPr>
          <w:lang w:val="ru-RU"/>
        </w:rPr>
        <w:t xml:space="preserve">. 227. </w:t>
      </w:r>
      <w:r>
        <w:rPr>
          <w:lang w:val="ru-RU"/>
        </w:rPr>
        <w:t>См</w:t>
      </w:r>
      <w:r w:rsidRPr="006B3681">
        <w:rPr>
          <w:lang w:val="en-US"/>
        </w:rPr>
        <w:t xml:space="preserve">. </w:t>
      </w:r>
      <w:r>
        <w:rPr>
          <w:lang w:val="ru-RU"/>
        </w:rPr>
        <w:t>также</w:t>
      </w:r>
      <w:r w:rsidRPr="006B3681">
        <w:rPr>
          <w:lang w:val="en-US"/>
        </w:rPr>
        <w:t xml:space="preserve"> </w:t>
      </w:r>
      <w:r>
        <w:rPr>
          <w:lang w:val="ru-RU"/>
        </w:rPr>
        <w:t>речь</w:t>
      </w:r>
      <w:r w:rsidRPr="00862667">
        <w:rPr>
          <w:lang w:val="en-US"/>
        </w:rPr>
        <w:t xml:space="preserve"> </w:t>
      </w:r>
      <w:r>
        <w:rPr>
          <w:lang w:val="ru-RU"/>
        </w:rPr>
        <w:t>лорда</w:t>
      </w:r>
      <w:r w:rsidRPr="006B3681">
        <w:rPr>
          <w:lang w:val="en-US"/>
        </w:rPr>
        <w:t xml:space="preserve"> </w:t>
      </w:r>
      <w:proofErr w:type="spellStart"/>
      <w:r>
        <w:rPr>
          <w:lang w:val="ru-RU"/>
        </w:rPr>
        <w:t>Бингхэма</w:t>
      </w:r>
      <w:proofErr w:type="spellEnd"/>
      <w:r w:rsidRPr="006B3681">
        <w:rPr>
          <w:lang w:val="en-US"/>
        </w:rPr>
        <w:t xml:space="preserve"> </w:t>
      </w:r>
      <w:r>
        <w:rPr>
          <w:lang w:val="ru-RU"/>
        </w:rPr>
        <w:t>по</w:t>
      </w:r>
      <w:r w:rsidRPr="006B3681">
        <w:rPr>
          <w:lang w:val="en-US"/>
        </w:rPr>
        <w:t xml:space="preserve"> </w:t>
      </w:r>
      <w:r>
        <w:rPr>
          <w:lang w:val="ru-RU"/>
        </w:rPr>
        <w:t>делу</w:t>
      </w:r>
      <w:r w:rsidRPr="006B3681">
        <w:rPr>
          <w:lang w:val="en-US"/>
        </w:rPr>
        <w:t xml:space="preserve"> </w:t>
      </w:r>
      <w:r w:rsidRPr="00862667">
        <w:rPr>
          <w:i/>
          <w:lang w:val="en-US"/>
        </w:rPr>
        <w:t>R v H and SSHD</w:t>
      </w:r>
      <w:r w:rsidRPr="006B3681">
        <w:rPr>
          <w:lang w:val="en-US"/>
        </w:rPr>
        <w:t xml:space="preserve"> (2003) </w:t>
      </w:r>
      <w:r>
        <w:rPr>
          <w:lang w:val="ru-RU"/>
        </w:rPr>
        <w:t>в</w:t>
      </w:r>
      <w:r w:rsidRPr="006B3681">
        <w:rPr>
          <w:lang w:val="en-US"/>
        </w:rPr>
        <w:t xml:space="preserve"> Peter Bartlett and Ralph </w:t>
      </w:r>
      <w:proofErr w:type="spellStart"/>
      <w:r w:rsidRPr="006B3681">
        <w:rPr>
          <w:lang w:val="en-US"/>
        </w:rPr>
        <w:t>Sandland</w:t>
      </w:r>
      <w:proofErr w:type="spellEnd"/>
      <w:r w:rsidRPr="006B3681">
        <w:rPr>
          <w:lang w:val="en-US"/>
        </w:rPr>
        <w:t xml:space="preserve">, </w:t>
      </w:r>
      <w:r w:rsidRPr="00282615">
        <w:rPr>
          <w:i/>
          <w:lang w:val="en-US"/>
        </w:rPr>
        <w:t>Mental Health Law</w:t>
      </w:r>
      <w:r w:rsidRPr="006B3681">
        <w:rPr>
          <w:lang w:val="en-US"/>
        </w:rPr>
        <w:t xml:space="preserve">: </w:t>
      </w:r>
      <w:proofErr w:type="gramStart"/>
      <w:r w:rsidRPr="00282615">
        <w:rPr>
          <w:i/>
          <w:lang w:val="en-US"/>
        </w:rPr>
        <w:t>Policy and Practice</w:t>
      </w:r>
      <w:r w:rsidRPr="006B3681">
        <w:rPr>
          <w:lang w:val="en-US"/>
        </w:rPr>
        <w:t xml:space="preserve"> (Oxford, Oxford University Press, 2007).</w:t>
      </w:r>
      <w:proofErr w:type="gramEnd"/>
    </w:p>
  </w:footnote>
  <w:footnote w:id="35">
    <w:p w:rsidR="00FE6177" w:rsidRPr="00A70629" w:rsidRDefault="00FE6177" w:rsidP="007B31D5">
      <w:pPr>
        <w:pStyle w:val="aa"/>
      </w:pPr>
      <w:r w:rsidRPr="006B3681">
        <w:rPr>
          <w:lang w:val="en-US"/>
        </w:rPr>
        <w:tab/>
      </w:r>
      <w:r>
        <w:rPr>
          <w:rStyle w:val="a6"/>
          <w:lang w:val="ru-RU"/>
        </w:rPr>
        <w:footnoteRef/>
      </w:r>
      <w:r w:rsidRPr="006B3681">
        <w:rPr>
          <w:lang w:val="en-US"/>
        </w:rPr>
        <w:tab/>
      </w:r>
      <w:r>
        <w:rPr>
          <w:lang w:val="ru-RU"/>
        </w:rPr>
        <w:t>См</w:t>
      </w:r>
      <w:r w:rsidRPr="00673F4C">
        <w:rPr>
          <w:lang w:val="en-US"/>
        </w:rPr>
        <w:t xml:space="preserve">. Crimes (Mental Impairment and Unfitness to be Tried) Act 1997 (Victoria), sect. 26 (2), Criminal Law Consolidation Act 1935 (South Australia), sect. 269O, </w:t>
      </w:r>
      <w:r>
        <w:rPr>
          <w:lang w:val="ru-RU"/>
        </w:rPr>
        <w:t>и</w:t>
      </w:r>
      <w:r w:rsidRPr="00673F4C">
        <w:rPr>
          <w:lang w:val="en-US"/>
        </w:rPr>
        <w:t xml:space="preserve"> Criminal Code Act 1983 (Northern Territory), sect. 43ZA.</w:t>
      </w:r>
      <w:r w:rsidRPr="006B3681">
        <w:rPr>
          <w:lang w:val="en-US"/>
        </w:rPr>
        <w:t xml:space="preserve"> </w:t>
      </w:r>
    </w:p>
  </w:footnote>
  <w:footnote w:id="36">
    <w:p w:rsidR="00FE6177" w:rsidRPr="006B3681" w:rsidRDefault="00FE6177" w:rsidP="007B31D5">
      <w:pPr>
        <w:pStyle w:val="aa"/>
        <w:rPr>
          <w:lang w:val="ru-RU"/>
        </w:rPr>
      </w:pPr>
      <w:r w:rsidRPr="006B3681">
        <w:rPr>
          <w:lang w:val="en-US"/>
        </w:rPr>
        <w:tab/>
      </w:r>
      <w:r>
        <w:rPr>
          <w:rStyle w:val="a6"/>
          <w:lang w:val="ru-RU"/>
        </w:rPr>
        <w:footnoteRef/>
      </w:r>
      <w:r w:rsidRPr="006B3681">
        <w:rPr>
          <w:lang w:val="en-US"/>
        </w:rPr>
        <w:tab/>
      </w:r>
      <w:r>
        <w:rPr>
          <w:lang w:val="ru-RU"/>
        </w:rPr>
        <w:t>Государство</w:t>
      </w:r>
      <w:r w:rsidRPr="00673F4C">
        <w:rPr>
          <w:lang w:val="en-US"/>
        </w:rPr>
        <w:t>-</w:t>
      </w:r>
      <w:r>
        <w:rPr>
          <w:lang w:val="ru-RU"/>
        </w:rPr>
        <w:t>участник</w:t>
      </w:r>
      <w:r w:rsidRPr="00673F4C">
        <w:rPr>
          <w:lang w:val="en-US"/>
        </w:rPr>
        <w:t xml:space="preserve"> </w:t>
      </w:r>
      <w:r>
        <w:rPr>
          <w:lang w:val="ru-RU"/>
        </w:rPr>
        <w:t>ссылается</w:t>
      </w:r>
      <w:r w:rsidRPr="00673F4C">
        <w:rPr>
          <w:lang w:val="en-US"/>
        </w:rPr>
        <w:t xml:space="preserve"> </w:t>
      </w:r>
      <w:r>
        <w:rPr>
          <w:lang w:val="ru-RU"/>
        </w:rPr>
        <w:t>на</w:t>
      </w:r>
      <w:r w:rsidRPr="00673F4C">
        <w:rPr>
          <w:lang w:val="en-US"/>
        </w:rPr>
        <w:t xml:space="preserve"> Criminal Procedure (Insanity and Unfitness to Plead) Act 1991 of the United Kingdom, sect. </w:t>
      </w:r>
      <w:r>
        <w:rPr>
          <w:lang w:val="ru-RU"/>
        </w:rPr>
        <w:t xml:space="preserve">3 (2) и </w:t>
      </w:r>
      <w:proofErr w:type="spellStart"/>
      <w:r>
        <w:rPr>
          <w:lang w:val="ru-RU"/>
        </w:rPr>
        <w:t>schedule</w:t>
      </w:r>
      <w:proofErr w:type="spellEnd"/>
      <w:r>
        <w:rPr>
          <w:lang w:val="ru-RU"/>
        </w:rPr>
        <w:t xml:space="preserve"> 2.</w:t>
      </w:r>
    </w:p>
  </w:footnote>
  <w:footnote w:id="37">
    <w:p w:rsidR="00FE6177" w:rsidRPr="00EF41D4" w:rsidRDefault="00FE6177" w:rsidP="007B31D5">
      <w:pPr>
        <w:pStyle w:val="aa"/>
        <w:rPr>
          <w:lang w:val="en-US"/>
        </w:rPr>
      </w:pPr>
      <w:r>
        <w:rPr>
          <w:lang w:val="ru-RU"/>
        </w:rPr>
        <w:tab/>
      </w:r>
      <w:r w:rsidRPr="00973DBA">
        <w:rPr>
          <w:rStyle w:val="a6"/>
          <w:lang w:val="ru-RU"/>
        </w:rPr>
        <w:footnoteRef/>
      </w:r>
      <w:r w:rsidRPr="00EF41D4">
        <w:rPr>
          <w:lang w:val="en-US"/>
        </w:rPr>
        <w:tab/>
      </w:r>
      <w:r w:rsidRPr="00EF41D4">
        <w:rPr>
          <w:lang w:val="en-US"/>
        </w:rPr>
        <w:t xml:space="preserve">Ibid., pp. 4 </w:t>
      </w:r>
      <w:r>
        <w:rPr>
          <w:lang w:val="ru-RU"/>
        </w:rPr>
        <w:t>и</w:t>
      </w:r>
      <w:r w:rsidRPr="00EF41D4">
        <w:rPr>
          <w:lang w:val="en-US"/>
        </w:rPr>
        <w:t xml:space="preserve"> 7.</w:t>
      </w:r>
    </w:p>
  </w:footnote>
  <w:footnote w:id="38">
    <w:p w:rsidR="00FE6177" w:rsidRPr="006B3681" w:rsidRDefault="00FE6177" w:rsidP="007B31D5">
      <w:pPr>
        <w:pStyle w:val="aa"/>
        <w:rPr>
          <w:lang w:val="ru-RU"/>
        </w:rPr>
      </w:pPr>
      <w:r w:rsidRPr="00EF41D4">
        <w:rPr>
          <w:lang w:val="en-US"/>
        </w:rPr>
        <w:tab/>
      </w:r>
      <w:r w:rsidRPr="00973DBA">
        <w:rPr>
          <w:rStyle w:val="a6"/>
          <w:lang w:val="ru-RU"/>
        </w:rPr>
        <w:footnoteRef/>
      </w:r>
      <w:r w:rsidRPr="00EF41D4">
        <w:rPr>
          <w:lang w:val="en-US"/>
        </w:rPr>
        <w:tab/>
        <w:t xml:space="preserve">Ibid., sects. </w:t>
      </w:r>
      <w:r>
        <w:rPr>
          <w:lang w:val="ru-RU"/>
        </w:rPr>
        <w:t>33 (3) и (5).</w:t>
      </w:r>
    </w:p>
  </w:footnote>
  <w:footnote w:id="39">
    <w:p w:rsidR="00FE6177" w:rsidRPr="006B3681" w:rsidRDefault="00FE6177" w:rsidP="007B31D5">
      <w:pPr>
        <w:pStyle w:val="aa"/>
        <w:rPr>
          <w:lang w:val="ru-RU"/>
        </w:rPr>
      </w:pPr>
      <w:r>
        <w:rPr>
          <w:lang w:val="ru-RU"/>
        </w:rPr>
        <w:tab/>
      </w:r>
      <w:r>
        <w:rPr>
          <w:rStyle w:val="a6"/>
          <w:lang w:val="ru-RU"/>
        </w:rPr>
        <w:footnoteRef/>
      </w:r>
      <w:r>
        <w:rPr>
          <w:lang w:val="ru-RU"/>
        </w:rPr>
        <w:tab/>
        <w:t xml:space="preserve">Государство-участник ссылается на Комитет по правам человека, </w:t>
      </w:r>
      <w:r>
        <w:rPr>
          <w:lang w:val="ru-RU"/>
        </w:rPr>
        <w:br/>
        <w:t xml:space="preserve">сообщение № 520/1992, </w:t>
      </w:r>
      <w:proofErr w:type="spellStart"/>
      <w:r w:rsidRPr="00A87BC1">
        <w:rPr>
          <w:i/>
          <w:lang w:val="ru-RU"/>
        </w:rPr>
        <w:t>Кёнье</w:t>
      </w:r>
      <w:proofErr w:type="spellEnd"/>
      <w:r w:rsidRPr="00A87BC1">
        <w:rPr>
          <w:i/>
          <w:lang w:val="ru-RU"/>
        </w:rPr>
        <w:t xml:space="preserve"> и </w:t>
      </w:r>
      <w:proofErr w:type="spellStart"/>
      <w:r w:rsidRPr="00A87BC1">
        <w:rPr>
          <w:i/>
          <w:lang w:val="ru-RU"/>
        </w:rPr>
        <w:t>Кёнье</w:t>
      </w:r>
      <w:proofErr w:type="spellEnd"/>
      <w:r w:rsidRPr="00A87BC1">
        <w:rPr>
          <w:i/>
          <w:lang w:val="ru-RU"/>
        </w:rPr>
        <w:t xml:space="preserve"> против Венгрии</w:t>
      </w:r>
      <w:r>
        <w:rPr>
          <w:lang w:val="ru-RU"/>
        </w:rPr>
        <w:t>, решение о неприемлемости, принятое 7 апреля 1994 года, пункт 6.4.</w:t>
      </w:r>
    </w:p>
  </w:footnote>
  <w:footnote w:id="40">
    <w:p w:rsidR="00FE6177" w:rsidRPr="006B3681" w:rsidRDefault="00FE6177" w:rsidP="007B31D5">
      <w:pPr>
        <w:pStyle w:val="aa"/>
        <w:rPr>
          <w:lang w:val="ru-RU"/>
        </w:rPr>
      </w:pPr>
      <w:r>
        <w:rPr>
          <w:lang w:val="ru-RU"/>
        </w:rPr>
        <w:tab/>
      </w:r>
      <w:r>
        <w:rPr>
          <w:rStyle w:val="a6"/>
          <w:lang w:val="ru-RU"/>
        </w:rPr>
        <w:footnoteRef/>
      </w:r>
      <w:r>
        <w:rPr>
          <w:lang w:val="ru-RU"/>
        </w:rPr>
        <w:tab/>
        <w:t>Автор ссылается на письмо Надзорного совета в его адрес от 22 ноября 2011 года, которое гласит: «Совет считает, что помещение в заявленное место является более подходящим вариантом вашего размещения ввиду ваших потребностей и с учетом факторов риска».</w:t>
      </w:r>
    </w:p>
  </w:footnote>
  <w:footnote w:id="41">
    <w:p w:rsidR="00FE6177" w:rsidRPr="005942AB" w:rsidRDefault="00FE6177" w:rsidP="007B31D5">
      <w:pPr>
        <w:pStyle w:val="aa"/>
      </w:pPr>
      <w:r>
        <w:rPr>
          <w:lang w:val="ru-RU"/>
        </w:rPr>
        <w:tab/>
      </w:r>
      <w:r>
        <w:rPr>
          <w:rStyle w:val="a6"/>
          <w:lang w:val="ru-RU"/>
        </w:rPr>
        <w:footnoteRef/>
      </w:r>
      <w:r w:rsidRPr="006B3681">
        <w:rPr>
          <w:lang w:val="en-US"/>
        </w:rPr>
        <w:tab/>
      </w:r>
      <w:r>
        <w:rPr>
          <w:lang w:val="ru-RU"/>
        </w:rPr>
        <w:t>См</w:t>
      </w:r>
      <w:r w:rsidRPr="006B3681">
        <w:rPr>
          <w:lang w:val="en-US"/>
        </w:rPr>
        <w:t xml:space="preserve">. </w:t>
      </w:r>
      <w:r w:rsidRPr="00F2551E">
        <w:rPr>
          <w:i/>
          <w:lang w:val="en-US"/>
        </w:rPr>
        <w:t xml:space="preserve">The State of Western Australia v. </w:t>
      </w:r>
      <w:proofErr w:type="gramStart"/>
      <w:r w:rsidRPr="00F2551E">
        <w:rPr>
          <w:i/>
          <w:lang w:val="en-US"/>
        </w:rPr>
        <w:t>Noble</w:t>
      </w:r>
      <w:r w:rsidRPr="006B3681">
        <w:rPr>
          <w:lang w:val="en-US"/>
        </w:rPr>
        <w:t xml:space="preserve">, No. 2 (2010), </w:t>
      </w:r>
      <w:r w:rsidRPr="00673F4C">
        <w:rPr>
          <w:lang w:val="en-US"/>
        </w:rPr>
        <w:t>District Court of Western</w:t>
      </w:r>
      <w:r w:rsidRPr="006B3681">
        <w:rPr>
          <w:lang w:val="en-US"/>
        </w:rPr>
        <w:t xml:space="preserve"> </w:t>
      </w:r>
      <w:r w:rsidRPr="00673F4C">
        <w:rPr>
          <w:lang w:val="en-US"/>
        </w:rPr>
        <w:t>Australia.</w:t>
      </w:r>
      <w:proofErr w:type="gramEnd"/>
      <w:r w:rsidRPr="006B3681">
        <w:rPr>
          <w:lang w:val="en-US"/>
        </w:rPr>
        <w:t xml:space="preserve"> </w:t>
      </w:r>
    </w:p>
  </w:footnote>
  <w:footnote w:id="42">
    <w:p w:rsidR="00FE6177" w:rsidRPr="006B3681" w:rsidRDefault="00FE6177" w:rsidP="007B31D5">
      <w:pPr>
        <w:pStyle w:val="aa"/>
        <w:rPr>
          <w:lang w:val="ru-RU"/>
        </w:rPr>
      </w:pPr>
      <w:r w:rsidRPr="006B3681">
        <w:rPr>
          <w:lang w:val="en-US"/>
        </w:rPr>
        <w:tab/>
      </w:r>
      <w:r>
        <w:rPr>
          <w:rStyle w:val="a6"/>
          <w:lang w:val="ru-RU"/>
        </w:rPr>
        <w:footnoteRef/>
      </w:r>
      <w:r>
        <w:rPr>
          <w:lang w:val="ru-RU"/>
        </w:rPr>
        <w:tab/>
        <w:t xml:space="preserve">Государство-участник ссылается на юриспруденцию Комитета в </w:t>
      </w:r>
      <w:r>
        <w:rPr>
          <w:lang w:val="ru-RU"/>
        </w:rPr>
        <w:br/>
        <w:t xml:space="preserve">сообщении № 2021/2010, </w:t>
      </w:r>
      <w:r>
        <w:rPr>
          <w:i/>
          <w:lang w:val="ru-RU"/>
        </w:rPr>
        <w:t xml:space="preserve">Е.З. </w:t>
      </w:r>
      <w:r w:rsidRPr="00912BD4">
        <w:rPr>
          <w:i/>
          <w:lang w:val="ru-RU"/>
        </w:rPr>
        <w:t>против Казахстана</w:t>
      </w:r>
      <w:r>
        <w:rPr>
          <w:lang w:val="ru-RU"/>
        </w:rPr>
        <w:t xml:space="preserve">, решение о неприемлемости, принятое 1 апреля 2015 года, пункт 7.4. </w:t>
      </w:r>
    </w:p>
  </w:footnote>
  <w:footnote w:id="43">
    <w:p w:rsidR="00FE6177" w:rsidRPr="006B3681" w:rsidRDefault="00FE6177" w:rsidP="007B31D5">
      <w:pPr>
        <w:pStyle w:val="aa"/>
        <w:rPr>
          <w:lang w:val="ru-RU"/>
        </w:rPr>
      </w:pPr>
      <w:r>
        <w:rPr>
          <w:lang w:val="ru-RU"/>
        </w:rPr>
        <w:tab/>
      </w:r>
      <w:r>
        <w:rPr>
          <w:rStyle w:val="a6"/>
          <w:lang w:val="ru-RU"/>
        </w:rPr>
        <w:footnoteRef/>
      </w:r>
      <w:r>
        <w:rPr>
          <w:lang w:val="ru-RU"/>
        </w:rPr>
        <w:tab/>
        <w:t xml:space="preserve">См. </w:t>
      </w:r>
      <w:proofErr w:type="spellStart"/>
      <w:r w:rsidRPr="00912BD4">
        <w:rPr>
          <w:i/>
          <w:lang w:val="ru-RU"/>
        </w:rPr>
        <w:t>Кён</w:t>
      </w:r>
      <w:r>
        <w:rPr>
          <w:i/>
          <w:lang w:val="ru-RU"/>
        </w:rPr>
        <w:t>ь</w:t>
      </w:r>
      <w:r w:rsidRPr="00912BD4">
        <w:rPr>
          <w:i/>
          <w:lang w:val="ru-RU"/>
        </w:rPr>
        <w:t>е</w:t>
      </w:r>
      <w:proofErr w:type="spellEnd"/>
      <w:r w:rsidRPr="00912BD4">
        <w:rPr>
          <w:i/>
          <w:lang w:val="ru-RU"/>
        </w:rPr>
        <w:t xml:space="preserve"> и </w:t>
      </w:r>
      <w:proofErr w:type="spellStart"/>
      <w:r w:rsidRPr="00912BD4">
        <w:rPr>
          <w:i/>
          <w:lang w:val="ru-RU"/>
        </w:rPr>
        <w:t>Кён</w:t>
      </w:r>
      <w:r>
        <w:rPr>
          <w:i/>
          <w:lang w:val="ru-RU"/>
        </w:rPr>
        <w:t>ь</w:t>
      </w:r>
      <w:r w:rsidRPr="00912BD4">
        <w:rPr>
          <w:i/>
          <w:lang w:val="ru-RU"/>
        </w:rPr>
        <w:t>е</w:t>
      </w:r>
      <w:proofErr w:type="spellEnd"/>
      <w:r w:rsidRPr="00912BD4">
        <w:rPr>
          <w:i/>
          <w:lang w:val="ru-RU"/>
        </w:rPr>
        <w:t xml:space="preserve"> против Венгрии</w:t>
      </w:r>
      <w:r>
        <w:rPr>
          <w:lang w:val="ru-RU"/>
        </w:rPr>
        <w:t xml:space="preserve">, пункт 6.4. </w:t>
      </w:r>
    </w:p>
  </w:footnote>
  <w:footnote w:id="44">
    <w:p w:rsidR="00FE6177" w:rsidRPr="006B3681" w:rsidRDefault="00FE6177" w:rsidP="007B31D5">
      <w:pPr>
        <w:pStyle w:val="aa"/>
        <w:rPr>
          <w:lang w:val="ru-RU"/>
        </w:rPr>
      </w:pPr>
      <w:r>
        <w:rPr>
          <w:lang w:val="ru-RU"/>
        </w:rPr>
        <w:tab/>
      </w:r>
      <w:r>
        <w:rPr>
          <w:rStyle w:val="a6"/>
          <w:lang w:val="ru-RU"/>
        </w:rPr>
        <w:footnoteRef/>
      </w:r>
      <w:r>
        <w:rPr>
          <w:lang w:val="ru-RU"/>
        </w:rPr>
        <w:tab/>
        <w:t xml:space="preserve">См. Комитет по правам человека, сообщение № 941/2000, </w:t>
      </w:r>
      <w:r w:rsidRPr="00927035">
        <w:rPr>
          <w:i/>
          <w:lang w:val="ru-RU"/>
        </w:rPr>
        <w:t>Янг против Австралии</w:t>
      </w:r>
      <w:r>
        <w:rPr>
          <w:lang w:val="ru-RU"/>
        </w:rPr>
        <w:t xml:space="preserve">, Соображения, принятые 6 августа 2003 года, пункт 9.4. </w:t>
      </w:r>
    </w:p>
  </w:footnote>
  <w:footnote w:id="45">
    <w:p w:rsidR="00FE6177" w:rsidRPr="006B3681" w:rsidRDefault="00FE6177" w:rsidP="007B31D5">
      <w:pPr>
        <w:pStyle w:val="aa"/>
        <w:rPr>
          <w:lang w:val="ru-RU"/>
        </w:rPr>
      </w:pPr>
      <w:r>
        <w:rPr>
          <w:lang w:val="ru-RU"/>
        </w:rPr>
        <w:tab/>
      </w:r>
      <w:r>
        <w:rPr>
          <w:rStyle w:val="a6"/>
          <w:lang w:val="ru-RU"/>
        </w:rPr>
        <w:footnoteRef/>
      </w:r>
      <w:r>
        <w:rPr>
          <w:lang w:val="ru-RU"/>
        </w:rPr>
        <w:tab/>
        <w:t xml:space="preserve">См., например, Комитет по правам человека, сообщение № 1746/2008, </w:t>
      </w:r>
      <w:r w:rsidRPr="00927035">
        <w:rPr>
          <w:i/>
          <w:lang w:val="ru-RU"/>
        </w:rPr>
        <w:t>Гойе против Франции</w:t>
      </w:r>
      <w:r>
        <w:rPr>
          <w:lang w:val="ru-RU"/>
        </w:rPr>
        <w:t xml:space="preserve">, решение о приемлемости, принятое 30 октября 2008 года, пункт 6.3. </w:t>
      </w:r>
    </w:p>
  </w:footnote>
  <w:footnote w:id="46">
    <w:p w:rsidR="00FE6177" w:rsidRPr="006B3681" w:rsidRDefault="00FE6177" w:rsidP="007B31D5">
      <w:pPr>
        <w:pStyle w:val="aa"/>
        <w:rPr>
          <w:lang w:val="ru-RU"/>
        </w:rPr>
      </w:pPr>
      <w:r>
        <w:rPr>
          <w:lang w:val="ru-RU"/>
        </w:rPr>
        <w:tab/>
      </w:r>
      <w:r>
        <w:rPr>
          <w:rStyle w:val="a6"/>
          <w:lang w:val="ru-RU"/>
        </w:rPr>
        <w:footnoteRef/>
      </w:r>
      <w:r>
        <w:rPr>
          <w:lang w:val="ru-RU"/>
        </w:rPr>
        <w:tab/>
        <w:t>См. сообщение № 10/2013,</w:t>
      </w:r>
      <w:r w:rsidRPr="00927035">
        <w:rPr>
          <w:i/>
          <w:lang w:val="ru-RU"/>
        </w:rPr>
        <w:t xml:space="preserve"> С.К. против Бразилии</w:t>
      </w:r>
      <w:r>
        <w:rPr>
          <w:lang w:val="ru-RU"/>
        </w:rPr>
        <w:t xml:space="preserve">, решение о неприемлемости, принятое 2 октября 2014 года, пункт 6.4. </w:t>
      </w:r>
    </w:p>
  </w:footnote>
  <w:footnote w:id="47">
    <w:p w:rsidR="00FE6177" w:rsidRPr="006B3681" w:rsidRDefault="00FE6177" w:rsidP="007B31D5">
      <w:pPr>
        <w:pStyle w:val="aa"/>
        <w:rPr>
          <w:lang w:val="ru-RU"/>
        </w:rPr>
      </w:pPr>
      <w:r>
        <w:rPr>
          <w:lang w:val="ru-RU"/>
        </w:rPr>
        <w:tab/>
      </w:r>
      <w:r>
        <w:rPr>
          <w:rStyle w:val="a6"/>
          <w:lang w:val="ru-RU"/>
        </w:rPr>
        <w:footnoteRef/>
      </w:r>
      <w:r>
        <w:rPr>
          <w:lang w:val="ru-RU"/>
        </w:rPr>
        <w:t xml:space="preserve"> </w:t>
      </w:r>
      <w:r>
        <w:rPr>
          <w:lang w:val="ru-RU"/>
        </w:rPr>
        <w:tab/>
        <w:t xml:space="preserve">См. сообщение № 5/2011, </w:t>
      </w:r>
      <w:proofErr w:type="spellStart"/>
      <w:r w:rsidRPr="00927035">
        <w:rPr>
          <w:i/>
          <w:lang w:val="ru-RU"/>
        </w:rPr>
        <w:t>Юнгелин</w:t>
      </w:r>
      <w:proofErr w:type="spellEnd"/>
      <w:r w:rsidRPr="00927035">
        <w:rPr>
          <w:i/>
          <w:lang w:val="ru-RU"/>
        </w:rPr>
        <w:t xml:space="preserve"> против Швеции</w:t>
      </w:r>
      <w:r>
        <w:rPr>
          <w:lang w:val="ru-RU"/>
        </w:rPr>
        <w:t>, Соображения от 2 октября 2014 года, пункт 10.5.</w:t>
      </w:r>
    </w:p>
  </w:footnote>
  <w:footnote w:id="48">
    <w:p w:rsidR="00FE6177" w:rsidRPr="006B3681" w:rsidRDefault="00FE6177" w:rsidP="007B31D5">
      <w:pPr>
        <w:pStyle w:val="aa"/>
        <w:rPr>
          <w:szCs w:val="18"/>
          <w:lang w:val="ru-RU"/>
        </w:rPr>
      </w:pPr>
      <w:r>
        <w:rPr>
          <w:lang w:val="ru-RU"/>
        </w:rPr>
        <w:tab/>
      </w:r>
      <w:r>
        <w:rPr>
          <w:rStyle w:val="a6"/>
          <w:lang w:val="ru-RU"/>
        </w:rPr>
        <w:footnoteRef/>
      </w:r>
      <w:r>
        <w:rPr>
          <w:lang w:val="ru-RU"/>
        </w:rPr>
        <w:tab/>
        <w:t xml:space="preserve">См. руководящие принципы Комитета по статье 14 Конвенции о праве на свободу и личную неприкосновенность инвалидов, принятые на его четырнадцатой сессии </w:t>
      </w:r>
      <w:r>
        <w:rPr>
          <w:lang w:val="ru-RU"/>
        </w:rPr>
        <w:br/>
        <w:t>(2015 год), пункт 3.</w:t>
      </w:r>
    </w:p>
  </w:footnote>
  <w:footnote w:id="49">
    <w:p w:rsidR="00FE6177" w:rsidRPr="006B3681" w:rsidRDefault="00FE6177" w:rsidP="007B31D5">
      <w:pPr>
        <w:pStyle w:val="aa"/>
        <w:rPr>
          <w:lang w:val="ru-RU"/>
        </w:rPr>
      </w:pPr>
      <w:r w:rsidRPr="00B11AC0">
        <w:rPr>
          <w:lang w:val="ru-RU"/>
        </w:rPr>
        <w:tab/>
      </w:r>
      <w:r w:rsidRPr="00B11AC0">
        <w:rPr>
          <w:rStyle w:val="a6"/>
          <w:lang w:val="ru-RU"/>
        </w:rPr>
        <w:footnoteRef/>
      </w:r>
      <w:r>
        <w:rPr>
          <w:lang w:val="ru-RU"/>
        </w:rPr>
        <w:tab/>
        <w:t xml:space="preserve">См. Комитет против пыток, сообщение № 456/2011, </w:t>
      </w:r>
      <w:proofErr w:type="spellStart"/>
      <w:r w:rsidRPr="006A4A86">
        <w:rPr>
          <w:i/>
          <w:lang w:val="ru-RU"/>
        </w:rPr>
        <w:t>Герреро</w:t>
      </w:r>
      <w:proofErr w:type="spellEnd"/>
      <w:r w:rsidRPr="006A4A86">
        <w:rPr>
          <w:i/>
          <w:lang w:val="ru-RU"/>
        </w:rPr>
        <w:t xml:space="preserve"> </w:t>
      </w:r>
      <w:proofErr w:type="spellStart"/>
      <w:r w:rsidRPr="006A4A86">
        <w:rPr>
          <w:i/>
          <w:lang w:val="ru-RU"/>
        </w:rPr>
        <w:t>Ларес</w:t>
      </w:r>
      <w:proofErr w:type="spellEnd"/>
      <w:r w:rsidRPr="006A4A86">
        <w:rPr>
          <w:i/>
          <w:lang w:val="ru-RU"/>
        </w:rPr>
        <w:t xml:space="preserve"> против </w:t>
      </w:r>
      <w:proofErr w:type="spellStart"/>
      <w:r w:rsidRPr="006A4A86">
        <w:rPr>
          <w:i/>
          <w:lang w:val="ru-RU"/>
        </w:rPr>
        <w:t>Боливарианской</w:t>
      </w:r>
      <w:proofErr w:type="spellEnd"/>
      <w:r w:rsidRPr="006A4A86">
        <w:rPr>
          <w:i/>
          <w:lang w:val="ru-RU"/>
        </w:rPr>
        <w:t xml:space="preserve"> Республики Венесуэла</w:t>
      </w:r>
      <w:r>
        <w:rPr>
          <w:lang w:val="ru-RU"/>
        </w:rPr>
        <w:t xml:space="preserve">, решение, принятое 15 мая 2015 года, пункт 6.4; Комитет по насильственным исчезновениям, сообщение № 1/2013, </w:t>
      </w:r>
      <w:proofErr w:type="spellStart"/>
      <w:r w:rsidRPr="006A4A86">
        <w:rPr>
          <w:i/>
          <w:lang w:val="ru-RU"/>
        </w:rPr>
        <w:t>Ируста</w:t>
      </w:r>
      <w:proofErr w:type="spellEnd"/>
      <w:r w:rsidRPr="006A4A86">
        <w:rPr>
          <w:i/>
          <w:lang w:val="ru-RU"/>
        </w:rPr>
        <w:t xml:space="preserve"> против Аргентины</w:t>
      </w:r>
      <w:r>
        <w:rPr>
          <w:lang w:val="ru-RU"/>
        </w:rPr>
        <w:t>, соображения, принятые 11 марта 2016 года, пункт 10.5.</w:t>
      </w:r>
    </w:p>
  </w:footnote>
  <w:footnote w:id="50">
    <w:p w:rsidR="00FE6177" w:rsidRPr="00466A06" w:rsidRDefault="00FE6177" w:rsidP="007B31D5">
      <w:pPr>
        <w:pStyle w:val="aa"/>
      </w:pPr>
      <w:r>
        <w:rPr>
          <w:lang w:val="ru-RU"/>
        </w:rPr>
        <w:tab/>
      </w:r>
      <w:r>
        <w:rPr>
          <w:rStyle w:val="a6"/>
          <w:lang w:val="ru-RU"/>
        </w:rPr>
        <w:footnoteRef/>
      </w:r>
      <w:r w:rsidRPr="006B3681">
        <w:rPr>
          <w:lang w:val="en-US"/>
        </w:rPr>
        <w:tab/>
      </w:r>
      <w:r>
        <w:rPr>
          <w:lang w:val="ru-RU"/>
        </w:rPr>
        <w:t>См</w:t>
      </w:r>
      <w:r w:rsidRPr="006B3681">
        <w:rPr>
          <w:lang w:val="en-US"/>
        </w:rPr>
        <w:t xml:space="preserve">. Alfred de </w:t>
      </w:r>
      <w:proofErr w:type="spellStart"/>
      <w:r w:rsidRPr="00673F4C">
        <w:rPr>
          <w:lang w:val="en-US"/>
        </w:rPr>
        <w:t>Zayas</w:t>
      </w:r>
      <w:proofErr w:type="spellEnd"/>
      <w:r w:rsidRPr="006B3681">
        <w:rPr>
          <w:lang w:val="en-US"/>
        </w:rPr>
        <w:t xml:space="preserve">, “Human rights and indefinite detention”, </w:t>
      </w:r>
      <w:r w:rsidRPr="006A4A86">
        <w:rPr>
          <w:i/>
          <w:lang w:val="en-US"/>
        </w:rPr>
        <w:t>International Review of the Red Cross</w:t>
      </w:r>
      <w:r w:rsidRPr="006B3681">
        <w:rPr>
          <w:lang w:val="en-US"/>
        </w:rPr>
        <w:t xml:space="preserve">, vol. 87, No. 857 (March 2005), pp. </w:t>
      </w:r>
      <w:r w:rsidRPr="00673F4C">
        <w:rPr>
          <w:lang w:val="en-US"/>
        </w:rPr>
        <w:t>19</w:t>
      </w:r>
      <w:r w:rsidRPr="006B3681">
        <w:rPr>
          <w:lang w:val="en-US"/>
        </w:rPr>
        <w:t>-20.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77" w:rsidRPr="00FE6177" w:rsidRDefault="00FE6177" w:rsidP="00FE6177">
    <w:pPr>
      <w:pStyle w:val="a3"/>
      <w:tabs>
        <w:tab w:val="clear" w:pos="9639"/>
        <w:tab w:val="left" w:pos="2304"/>
      </w:tabs>
      <w:rPr>
        <w:lang w:val="en-US"/>
      </w:rPr>
    </w:pPr>
    <w:r w:rsidRPr="00012107">
      <w:rPr>
        <w:lang w:val="ru-RU"/>
      </w:rPr>
      <w:t>CRPD/C/16/D/7/2012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77" w:rsidRPr="00012107" w:rsidRDefault="00FE6177">
    <w:pPr>
      <w:pStyle w:val="a3"/>
      <w:rPr>
        <w:lang w:val="ru-RU"/>
      </w:rPr>
    </w:pPr>
    <w:r>
      <w:rPr>
        <w:lang w:val="en-US"/>
      </w:rPr>
      <w:tab/>
    </w:r>
    <w:r w:rsidRPr="00012107">
      <w:rPr>
        <w:lang w:val="ru-RU"/>
      </w:rPr>
      <w:t>CRPD/C/16/D/7/2012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77" w:rsidRDefault="00FE6177" w:rsidP="0001210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5"/>
  </w:num>
  <w:num w:numId="3">
    <w:abstractNumId w:val="6"/>
  </w:num>
  <w:num w:numId="4">
    <w:abstractNumId w:val="4"/>
  </w:num>
  <w:num w:numId="5">
    <w:abstractNumId w:val="3"/>
  </w:num>
  <w:num w:numId="6">
    <w:abstractNumId w:val="0"/>
  </w:num>
  <w:num w:numId="7">
    <w:abstractNumId w:val="7"/>
  </w:num>
  <w:num w:numId="8">
    <w:abstractNumId w:val="8"/>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75"/>
    <w:rsid w:val="00012107"/>
    <w:rsid w:val="000450D1"/>
    <w:rsid w:val="0006314D"/>
    <w:rsid w:val="000677ED"/>
    <w:rsid w:val="000B3B68"/>
    <w:rsid w:val="000F2A4F"/>
    <w:rsid w:val="00122425"/>
    <w:rsid w:val="001D47BE"/>
    <w:rsid w:val="001E58DE"/>
    <w:rsid w:val="00203F84"/>
    <w:rsid w:val="00275188"/>
    <w:rsid w:val="002751F2"/>
    <w:rsid w:val="0028687D"/>
    <w:rsid w:val="002B091C"/>
    <w:rsid w:val="002D0CCB"/>
    <w:rsid w:val="00345C79"/>
    <w:rsid w:val="00366A39"/>
    <w:rsid w:val="003D24B3"/>
    <w:rsid w:val="003E6A7A"/>
    <w:rsid w:val="0048005C"/>
    <w:rsid w:val="004E242B"/>
    <w:rsid w:val="00502275"/>
    <w:rsid w:val="0050344D"/>
    <w:rsid w:val="00544379"/>
    <w:rsid w:val="00566944"/>
    <w:rsid w:val="00577714"/>
    <w:rsid w:val="005C4872"/>
    <w:rsid w:val="005D56BF"/>
    <w:rsid w:val="00624927"/>
    <w:rsid w:val="0064497D"/>
    <w:rsid w:val="00665D8D"/>
    <w:rsid w:val="00673F4C"/>
    <w:rsid w:val="006A7A3B"/>
    <w:rsid w:val="006B6B57"/>
    <w:rsid w:val="006E6CDB"/>
    <w:rsid w:val="00705394"/>
    <w:rsid w:val="00716A52"/>
    <w:rsid w:val="00743F62"/>
    <w:rsid w:val="00760D3A"/>
    <w:rsid w:val="007636DF"/>
    <w:rsid w:val="00777042"/>
    <w:rsid w:val="007A1F42"/>
    <w:rsid w:val="007A2E42"/>
    <w:rsid w:val="007B31D5"/>
    <w:rsid w:val="007B4006"/>
    <w:rsid w:val="007C3927"/>
    <w:rsid w:val="007D76DD"/>
    <w:rsid w:val="00810908"/>
    <w:rsid w:val="00821FE1"/>
    <w:rsid w:val="00825757"/>
    <w:rsid w:val="008717E8"/>
    <w:rsid w:val="008D01AE"/>
    <w:rsid w:val="008E0423"/>
    <w:rsid w:val="00905AD7"/>
    <w:rsid w:val="009141DC"/>
    <w:rsid w:val="009174A1"/>
    <w:rsid w:val="0095241D"/>
    <w:rsid w:val="00960F20"/>
    <w:rsid w:val="0098674D"/>
    <w:rsid w:val="00997ACA"/>
    <w:rsid w:val="009A69C1"/>
    <w:rsid w:val="00A03FB7"/>
    <w:rsid w:val="00A1460E"/>
    <w:rsid w:val="00A3542F"/>
    <w:rsid w:val="00A364FC"/>
    <w:rsid w:val="00A43E57"/>
    <w:rsid w:val="00A75A11"/>
    <w:rsid w:val="00A97652"/>
    <w:rsid w:val="00AD7EAD"/>
    <w:rsid w:val="00AF6EE0"/>
    <w:rsid w:val="00B104DA"/>
    <w:rsid w:val="00B35A32"/>
    <w:rsid w:val="00B432C6"/>
    <w:rsid w:val="00B471C5"/>
    <w:rsid w:val="00B6474A"/>
    <w:rsid w:val="00B7656C"/>
    <w:rsid w:val="00B85B79"/>
    <w:rsid w:val="00BB5A75"/>
    <w:rsid w:val="00BE1742"/>
    <w:rsid w:val="00C57E01"/>
    <w:rsid w:val="00CA13F1"/>
    <w:rsid w:val="00D02D3C"/>
    <w:rsid w:val="00D1261C"/>
    <w:rsid w:val="00D75DCE"/>
    <w:rsid w:val="00DD2914"/>
    <w:rsid w:val="00DD35AC"/>
    <w:rsid w:val="00DD479F"/>
    <w:rsid w:val="00E15E48"/>
    <w:rsid w:val="00E82B56"/>
    <w:rsid w:val="00E9569C"/>
    <w:rsid w:val="00EB0723"/>
    <w:rsid w:val="00EE0C1D"/>
    <w:rsid w:val="00EE6F37"/>
    <w:rsid w:val="00EF41D4"/>
    <w:rsid w:val="00EF769C"/>
    <w:rsid w:val="00F1599F"/>
    <w:rsid w:val="00F20B0D"/>
    <w:rsid w:val="00F31EF2"/>
    <w:rsid w:val="00F35856"/>
    <w:rsid w:val="00FD4FF3"/>
    <w:rsid w:val="00FE6177"/>
    <w:rsid w:val="00FE6FCA"/>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B5A75"/>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Table_G"/>
    <w:basedOn w:val="a"/>
    <w:next w:val="a"/>
    <w:link w:val="10"/>
    <w:qFormat/>
    <w:rsid w:val="00BE1742"/>
    <w:pPr>
      <w:keepNext/>
      <w:tabs>
        <w:tab w:val="left" w:pos="567"/>
      </w:tabs>
      <w:jc w:val="both"/>
      <w:outlineLvl w:val="0"/>
    </w:pPr>
    <w:rPr>
      <w:rFonts w:cs="Arial"/>
      <w:b/>
      <w:bCs/>
      <w:szCs w:val="32"/>
      <w:lang w:eastAsia="ru-RU"/>
    </w:rPr>
  </w:style>
  <w:style w:type="paragraph" w:styleId="2">
    <w:name w:val="heading 2"/>
    <w:basedOn w:val="a"/>
    <w:next w:val="a"/>
    <w:link w:val="20"/>
    <w:qFormat/>
    <w:rsid w:val="007B31D5"/>
    <w:pPr>
      <w:suppressAutoHyphens/>
      <w:spacing w:line="240" w:lineRule="auto"/>
      <w:outlineLvl w:val="1"/>
    </w:pPr>
    <w:rPr>
      <w:rFonts w:eastAsia="SimSun"/>
      <w:spacing w:val="0"/>
      <w:w w:val="100"/>
      <w:kern w:val="0"/>
      <w:lang w:val="en-GB" w:eastAsia="zh-CN"/>
    </w:rPr>
  </w:style>
  <w:style w:type="paragraph" w:styleId="3">
    <w:name w:val="heading 3"/>
    <w:basedOn w:val="a"/>
    <w:next w:val="a"/>
    <w:link w:val="30"/>
    <w:qFormat/>
    <w:rsid w:val="007B31D5"/>
    <w:pPr>
      <w:suppressAutoHyphens/>
      <w:spacing w:line="240" w:lineRule="auto"/>
      <w:outlineLvl w:val="2"/>
    </w:pPr>
    <w:rPr>
      <w:rFonts w:eastAsia="SimSun"/>
      <w:spacing w:val="0"/>
      <w:w w:val="100"/>
      <w:kern w:val="0"/>
      <w:lang w:val="en-GB" w:eastAsia="zh-CN"/>
    </w:rPr>
  </w:style>
  <w:style w:type="paragraph" w:styleId="4">
    <w:name w:val="heading 4"/>
    <w:basedOn w:val="a"/>
    <w:next w:val="a"/>
    <w:link w:val="40"/>
    <w:qFormat/>
    <w:rsid w:val="007B31D5"/>
    <w:pPr>
      <w:suppressAutoHyphens/>
      <w:spacing w:line="240" w:lineRule="auto"/>
      <w:outlineLvl w:val="3"/>
    </w:pPr>
    <w:rPr>
      <w:rFonts w:eastAsia="SimSun"/>
      <w:spacing w:val="0"/>
      <w:w w:val="100"/>
      <w:kern w:val="0"/>
      <w:lang w:val="en-GB" w:eastAsia="zh-CN"/>
    </w:rPr>
  </w:style>
  <w:style w:type="paragraph" w:styleId="5">
    <w:name w:val="heading 5"/>
    <w:basedOn w:val="a"/>
    <w:next w:val="a"/>
    <w:link w:val="50"/>
    <w:qFormat/>
    <w:rsid w:val="007B31D5"/>
    <w:pPr>
      <w:suppressAutoHyphens/>
      <w:spacing w:line="240" w:lineRule="auto"/>
      <w:outlineLvl w:val="4"/>
    </w:pPr>
    <w:rPr>
      <w:rFonts w:eastAsia="SimSun"/>
      <w:spacing w:val="0"/>
      <w:w w:val="100"/>
      <w:kern w:val="0"/>
      <w:lang w:val="en-GB" w:eastAsia="zh-CN"/>
    </w:rPr>
  </w:style>
  <w:style w:type="paragraph" w:styleId="6">
    <w:name w:val="heading 6"/>
    <w:basedOn w:val="a"/>
    <w:next w:val="a"/>
    <w:link w:val="60"/>
    <w:qFormat/>
    <w:rsid w:val="007B31D5"/>
    <w:pPr>
      <w:suppressAutoHyphens/>
      <w:spacing w:line="240" w:lineRule="auto"/>
      <w:outlineLvl w:val="5"/>
    </w:pPr>
    <w:rPr>
      <w:rFonts w:eastAsia="SimSun"/>
      <w:spacing w:val="0"/>
      <w:w w:val="100"/>
      <w:kern w:val="0"/>
      <w:lang w:val="en-GB" w:eastAsia="zh-CN"/>
    </w:rPr>
  </w:style>
  <w:style w:type="paragraph" w:styleId="7">
    <w:name w:val="heading 7"/>
    <w:basedOn w:val="a"/>
    <w:next w:val="a"/>
    <w:link w:val="70"/>
    <w:qFormat/>
    <w:rsid w:val="007B31D5"/>
    <w:pPr>
      <w:suppressAutoHyphens/>
      <w:spacing w:line="240" w:lineRule="auto"/>
      <w:outlineLvl w:val="6"/>
    </w:pPr>
    <w:rPr>
      <w:rFonts w:eastAsia="SimSun"/>
      <w:spacing w:val="0"/>
      <w:w w:val="100"/>
      <w:kern w:val="0"/>
      <w:lang w:val="en-GB" w:eastAsia="zh-CN"/>
    </w:rPr>
  </w:style>
  <w:style w:type="paragraph" w:styleId="8">
    <w:name w:val="heading 8"/>
    <w:basedOn w:val="a"/>
    <w:next w:val="a"/>
    <w:link w:val="80"/>
    <w:qFormat/>
    <w:rsid w:val="007B31D5"/>
    <w:pPr>
      <w:suppressAutoHyphens/>
      <w:spacing w:line="240" w:lineRule="auto"/>
      <w:outlineLvl w:val="7"/>
    </w:pPr>
    <w:rPr>
      <w:rFonts w:eastAsia="SimSun"/>
      <w:spacing w:val="0"/>
      <w:w w:val="100"/>
      <w:kern w:val="0"/>
      <w:lang w:val="en-GB" w:eastAsia="zh-CN"/>
    </w:rPr>
  </w:style>
  <w:style w:type="paragraph" w:styleId="9">
    <w:name w:val="heading 9"/>
    <w:basedOn w:val="a"/>
    <w:next w:val="a"/>
    <w:link w:val="90"/>
    <w:qFormat/>
    <w:rsid w:val="007B31D5"/>
    <w:pPr>
      <w:suppressAutoHyphens/>
      <w:spacing w:line="240" w:lineRule="auto"/>
      <w:outlineLvl w:val="8"/>
    </w:pPr>
    <w:rPr>
      <w:rFonts w:eastAsia="SimSun"/>
      <w:spacing w:val="0"/>
      <w:w w:val="100"/>
      <w:kern w:val="0"/>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6_G"/>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6_G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Table_G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1_G"/>
    <w:basedOn w:val="a6"/>
    <w:qFormat/>
    <w:rsid w:val="00BE1742"/>
    <w:rPr>
      <w:rFonts w:ascii="Times New Roman" w:hAnsi="Times New Roman"/>
      <w:dstrike w:val="0"/>
      <w:sz w:val="18"/>
      <w:vertAlign w:val="superscript"/>
    </w:rPr>
  </w:style>
  <w:style w:type="character" w:styleId="a6">
    <w:name w:val="footnote reference"/>
    <w:aliases w:val="4_GR,4_G"/>
    <w:basedOn w:val="a0"/>
    <w:qFormat/>
    <w:rsid w:val="00BE1742"/>
    <w:rPr>
      <w:rFonts w:ascii="Times New Roman" w:hAnsi="Times New Roman"/>
      <w:dstrike w:val="0"/>
      <w:sz w:val="18"/>
      <w:vertAlign w:val="superscript"/>
    </w:rPr>
  </w:style>
  <w:style w:type="paragraph" w:styleId="a7">
    <w:name w:val="footer"/>
    <w:aliases w:val="3_GR,3_G"/>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3_G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7_G"/>
    <w:basedOn w:val="a0"/>
    <w:qFormat/>
    <w:rsid w:val="00BE1742"/>
    <w:rPr>
      <w:rFonts w:ascii="Times New Roman" w:hAnsi="Times New Roman"/>
      <w:b/>
      <w:sz w:val="18"/>
    </w:rPr>
  </w:style>
  <w:style w:type="paragraph" w:styleId="aa">
    <w:name w:val="footnote text"/>
    <w:aliases w:val="5_GR,5_G"/>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5_G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2_G"/>
    <w:basedOn w:val="aa"/>
    <w:link w:val="ad"/>
    <w:qFormat/>
    <w:rsid w:val="00BE1742"/>
  </w:style>
  <w:style w:type="character" w:customStyle="1" w:styleId="ad">
    <w:name w:val="Текст концевой сноски Знак"/>
    <w:aliases w:val="2_GR Знак,2_G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7B31D5"/>
    <w:rPr>
      <w:rFonts w:ascii="Times New Roman" w:eastAsia="SimSun" w:hAnsi="Times New Roman" w:cs="Times New Roman"/>
      <w:sz w:val="20"/>
      <w:szCs w:val="20"/>
      <w:lang w:val="en-GB" w:eastAsia="zh-CN"/>
    </w:rPr>
  </w:style>
  <w:style w:type="character" w:customStyle="1" w:styleId="30">
    <w:name w:val="Заголовок 3 Знак"/>
    <w:basedOn w:val="a0"/>
    <w:link w:val="3"/>
    <w:rsid w:val="007B31D5"/>
    <w:rPr>
      <w:rFonts w:ascii="Times New Roman" w:eastAsia="SimSun" w:hAnsi="Times New Roman" w:cs="Times New Roman"/>
      <w:sz w:val="20"/>
      <w:szCs w:val="20"/>
      <w:lang w:val="en-GB" w:eastAsia="zh-CN"/>
    </w:rPr>
  </w:style>
  <w:style w:type="character" w:customStyle="1" w:styleId="40">
    <w:name w:val="Заголовок 4 Знак"/>
    <w:basedOn w:val="a0"/>
    <w:link w:val="4"/>
    <w:rsid w:val="007B31D5"/>
    <w:rPr>
      <w:rFonts w:ascii="Times New Roman" w:eastAsia="SimSun" w:hAnsi="Times New Roman" w:cs="Times New Roman"/>
      <w:sz w:val="20"/>
      <w:szCs w:val="20"/>
      <w:lang w:val="en-GB" w:eastAsia="zh-CN"/>
    </w:rPr>
  </w:style>
  <w:style w:type="character" w:customStyle="1" w:styleId="50">
    <w:name w:val="Заголовок 5 Знак"/>
    <w:basedOn w:val="a0"/>
    <w:link w:val="5"/>
    <w:rsid w:val="007B31D5"/>
    <w:rPr>
      <w:rFonts w:ascii="Times New Roman" w:eastAsia="SimSun" w:hAnsi="Times New Roman" w:cs="Times New Roman"/>
      <w:sz w:val="20"/>
      <w:szCs w:val="20"/>
      <w:lang w:val="en-GB" w:eastAsia="zh-CN"/>
    </w:rPr>
  </w:style>
  <w:style w:type="character" w:customStyle="1" w:styleId="60">
    <w:name w:val="Заголовок 6 Знак"/>
    <w:basedOn w:val="a0"/>
    <w:link w:val="6"/>
    <w:rsid w:val="007B31D5"/>
    <w:rPr>
      <w:rFonts w:ascii="Times New Roman" w:eastAsia="SimSun" w:hAnsi="Times New Roman" w:cs="Times New Roman"/>
      <w:sz w:val="20"/>
      <w:szCs w:val="20"/>
      <w:lang w:val="en-GB" w:eastAsia="zh-CN"/>
    </w:rPr>
  </w:style>
  <w:style w:type="character" w:customStyle="1" w:styleId="70">
    <w:name w:val="Заголовок 7 Знак"/>
    <w:basedOn w:val="a0"/>
    <w:link w:val="7"/>
    <w:rsid w:val="007B31D5"/>
    <w:rPr>
      <w:rFonts w:ascii="Times New Roman" w:eastAsia="SimSun" w:hAnsi="Times New Roman" w:cs="Times New Roman"/>
      <w:sz w:val="20"/>
      <w:szCs w:val="20"/>
      <w:lang w:val="en-GB" w:eastAsia="zh-CN"/>
    </w:rPr>
  </w:style>
  <w:style w:type="character" w:customStyle="1" w:styleId="80">
    <w:name w:val="Заголовок 8 Знак"/>
    <w:basedOn w:val="a0"/>
    <w:link w:val="8"/>
    <w:rsid w:val="007B31D5"/>
    <w:rPr>
      <w:rFonts w:ascii="Times New Roman" w:eastAsia="SimSun" w:hAnsi="Times New Roman" w:cs="Times New Roman"/>
      <w:sz w:val="20"/>
      <w:szCs w:val="20"/>
      <w:lang w:val="en-GB" w:eastAsia="zh-CN"/>
    </w:rPr>
  </w:style>
  <w:style w:type="character" w:customStyle="1" w:styleId="90">
    <w:name w:val="Заголовок 9 Знак"/>
    <w:basedOn w:val="a0"/>
    <w:link w:val="9"/>
    <w:rsid w:val="007B31D5"/>
    <w:rPr>
      <w:rFonts w:ascii="Times New Roman" w:eastAsia="SimSun" w:hAnsi="Times New Roman" w:cs="Times New Roman"/>
      <w:sz w:val="20"/>
      <w:szCs w:val="20"/>
      <w:lang w:val="en-GB" w:eastAsia="zh-CN"/>
    </w:rPr>
  </w:style>
  <w:style w:type="paragraph" w:customStyle="1" w:styleId="HMG">
    <w:name w:val="_ H __M_G"/>
    <w:basedOn w:val="a"/>
    <w:next w:val="a"/>
    <w:rsid w:val="007B31D5"/>
    <w:pPr>
      <w:keepNext/>
      <w:keepLines/>
      <w:tabs>
        <w:tab w:val="right" w:pos="851"/>
      </w:tabs>
      <w:suppressAutoHyphens/>
      <w:spacing w:before="240" w:after="240" w:line="360" w:lineRule="exact"/>
      <w:ind w:left="1134" w:right="1134" w:hanging="1134"/>
    </w:pPr>
    <w:rPr>
      <w:rFonts w:eastAsia="SimSun"/>
      <w:b/>
      <w:spacing w:val="0"/>
      <w:w w:val="100"/>
      <w:kern w:val="0"/>
      <w:sz w:val="34"/>
      <w:lang w:val="en-GB" w:eastAsia="zh-CN"/>
    </w:rPr>
  </w:style>
  <w:style w:type="paragraph" w:customStyle="1" w:styleId="HChG">
    <w:name w:val="_ H _Ch_G"/>
    <w:basedOn w:val="a"/>
    <w:next w:val="a"/>
    <w:rsid w:val="007B31D5"/>
    <w:pPr>
      <w:keepNext/>
      <w:keepLines/>
      <w:tabs>
        <w:tab w:val="right" w:pos="851"/>
      </w:tabs>
      <w:suppressAutoHyphens/>
      <w:spacing w:before="360" w:after="240" w:line="300" w:lineRule="exact"/>
      <w:ind w:left="1134" w:right="1134" w:hanging="1134"/>
    </w:pPr>
    <w:rPr>
      <w:rFonts w:eastAsia="SimSun"/>
      <w:b/>
      <w:spacing w:val="0"/>
      <w:w w:val="100"/>
      <w:kern w:val="0"/>
      <w:sz w:val="28"/>
      <w:lang w:val="en-GB" w:eastAsia="zh-CN"/>
    </w:rPr>
  </w:style>
  <w:style w:type="paragraph" w:customStyle="1" w:styleId="H1G">
    <w:name w:val="_ H_1_G"/>
    <w:basedOn w:val="a"/>
    <w:next w:val="a"/>
    <w:rsid w:val="007B31D5"/>
    <w:pPr>
      <w:keepNext/>
      <w:keepLines/>
      <w:tabs>
        <w:tab w:val="right" w:pos="851"/>
      </w:tabs>
      <w:suppressAutoHyphens/>
      <w:spacing w:before="360" w:after="240" w:line="270" w:lineRule="exact"/>
      <w:ind w:left="1134" w:right="1134" w:hanging="1134"/>
    </w:pPr>
    <w:rPr>
      <w:rFonts w:eastAsia="SimSun"/>
      <w:b/>
      <w:spacing w:val="0"/>
      <w:w w:val="100"/>
      <w:kern w:val="0"/>
      <w:sz w:val="24"/>
      <w:lang w:val="en-GB" w:eastAsia="zh-CN"/>
    </w:rPr>
  </w:style>
  <w:style w:type="paragraph" w:customStyle="1" w:styleId="H23G">
    <w:name w:val="_ H_2/3_G"/>
    <w:basedOn w:val="a"/>
    <w:next w:val="a"/>
    <w:rsid w:val="007B31D5"/>
    <w:pPr>
      <w:keepNext/>
      <w:keepLines/>
      <w:tabs>
        <w:tab w:val="right" w:pos="851"/>
      </w:tabs>
      <w:suppressAutoHyphens/>
      <w:spacing w:before="240" w:after="120" w:line="240" w:lineRule="exact"/>
      <w:ind w:left="1134" w:right="1134" w:hanging="1134"/>
    </w:pPr>
    <w:rPr>
      <w:rFonts w:eastAsia="SimSun"/>
      <w:b/>
      <w:spacing w:val="0"/>
      <w:w w:val="100"/>
      <w:kern w:val="0"/>
      <w:lang w:val="en-GB" w:eastAsia="zh-CN"/>
    </w:rPr>
  </w:style>
  <w:style w:type="paragraph" w:customStyle="1" w:styleId="H4G">
    <w:name w:val="_ H_4_G"/>
    <w:basedOn w:val="a"/>
    <w:next w:val="a"/>
    <w:rsid w:val="007B31D5"/>
    <w:pPr>
      <w:keepNext/>
      <w:keepLines/>
      <w:tabs>
        <w:tab w:val="right" w:pos="851"/>
      </w:tabs>
      <w:suppressAutoHyphens/>
      <w:spacing w:before="240" w:after="120" w:line="240" w:lineRule="exact"/>
      <w:ind w:left="1134" w:right="1134" w:hanging="1134"/>
    </w:pPr>
    <w:rPr>
      <w:rFonts w:eastAsia="SimSun"/>
      <w:i/>
      <w:spacing w:val="0"/>
      <w:w w:val="100"/>
      <w:kern w:val="0"/>
      <w:lang w:val="en-GB" w:eastAsia="zh-CN"/>
    </w:rPr>
  </w:style>
  <w:style w:type="paragraph" w:customStyle="1" w:styleId="H56G">
    <w:name w:val="_ H_5/6_G"/>
    <w:basedOn w:val="a"/>
    <w:next w:val="a"/>
    <w:rsid w:val="007B31D5"/>
    <w:pPr>
      <w:keepNext/>
      <w:keepLines/>
      <w:tabs>
        <w:tab w:val="right" w:pos="851"/>
      </w:tabs>
      <w:suppressAutoHyphens/>
      <w:spacing w:before="240" w:after="120" w:line="240" w:lineRule="exact"/>
      <w:ind w:left="1134" w:right="1134" w:hanging="1134"/>
    </w:pPr>
    <w:rPr>
      <w:rFonts w:eastAsia="SimSun"/>
      <w:spacing w:val="0"/>
      <w:w w:val="100"/>
      <w:kern w:val="0"/>
      <w:lang w:val="en-GB" w:eastAsia="zh-CN"/>
    </w:rPr>
  </w:style>
  <w:style w:type="paragraph" w:customStyle="1" w:styleId="SingleTxtG">
    <w:name w:val="_ Single Txt_G"/>
    <w:basedOn w:val="a"/>
    <w:link w:val="SingleTxtGChar"/>
    <w:rsid w:val="007B31D5"/>
    <w:pPr>
      <w:suppressAutoHyphens/>
      <w:spacing w:after="120"/>
      <w:ind w:left="1134" w:right="1134"/>
      <w:jc w:val="both"/>
    </w:pPr>
    <w:rPr>
      <w:rFonts w:eastAsia="SimSun"/>
      <w:spacing w:val="0"/>
      <w:w w:val="100"/>
      <w:kern w:val="0"/>
      <w:lang w:val="en-GB" w:eastAsia="zh-CN"/>
    </w:rPr>
  </w:style>
  <w:style w:type="paragraph" w:customStyle="1" w:styleId="SLG">
    <w:name w:val="__S_L_G"/>
    <w:basedOn w:val="a"/>
    <w:next w:val="a"/>
    <w:rsid w:val="007B31D5"/>
    <w:pPr>
      <w:keepNext/>
      <w:keepLines/>
      <w:suppressAutoHyphens/>
      <w:spacing w:before="240" w:after="240" w:line="580" w:lineRule="exact"/>
      <w:ind w:left="1134" w:right="1134"/>
    </w:pPr>
    <w:rPr>
      <w:rFonts w:eastAsia="SimSun"/>
      <w:b/>
      <w:spacing w:val="0"/>
      <w:w w:val="100"/>
      <w:kern w:val="0"/>
      <w:sz w:val="56"/>
      <w:lang w:val="en-GB" w:eastAsia="zh-CN"/>
    </w:rPr>
  </w:style>
  <w:style w:type="paragraph" w:customStyle="1" w:styleId="SMG">
    <w:name w:val="__S_M_G"/>
    <w:basedOn w:val="a"/>
    <w:next w:val="a"/>
    <w:rsid w:val="007B31D5"/>
    <w:pPr>
      <w:keepNext/>
      <w:keepLines/>
      <w:suppressAutoHyphens/>
      <w:spacing w:before="240" w:after="240" w:line="420" w:lineRule="exact"/>
      <w:ind w:left="1134" w:right="1134"/>
    </w:pPr>
    <w:rPr>
      <w:rFonts w:eastAsia="SimSun"/>
      <w:b/>
      <w:spacing w:val="0"/>
      <w:w w:val="100"/>
      <w:kern w:val="0"/>
      <w:sz w:val="40"/>
      <w:lang w:val="en-GB" w:eastAsia="zh-CN"/>
    </w:rPr>
  </w:style>
  <w:style w:type="paragraph" w:customStyle="1" w:styleId="SSG">
    <w:name w:val="__S_S_G"/>
    <w:basedOn w:val="a"/>
    <w:next w:val="a"/>
    <w:rsid w:val="007B31D5"/>
    <w:pPr>
      <w:keepNext/>
      <w:keepLines/>
      <w:suppressAutoHyphens/>
      <w:spacing w:before="240" w:after="240" w:line="300" w:lineRule="exact"/>
      <w:ind w:left="1134" w:right="1134"/>
    </w:pPr>
    <w:rPr>
      <w:rFonts w:eastAsia="SimSun"/>
      <w:b/>
      <w:spacing w:val="0"/>
      <w:w w:val="100"/>
      <w:kern w:val="0"/>
      <w:sz w:val="28"/>
      <w:lang w:val="en-GB" w:eastAsia="zh-CN"/>
    </w:rPr>
  </w:style>
  <w:style w:type="paragraph" w:customStyle="1" w:styleId="XLargeG">
    <w:name w:val="__XLarge_G"/>
    <w:basedOn w:val="a"/>
    <w:next w:val="a"/>
    <w:rsid w:val="007B31D5"/>
    <w:pPr>
      <w:keepNext/>
      <w:keepLines/>
      <w:suppressAutoHyphens/>
      <w:spacing w:before="240" w:after="240" w:line="420" w:lineRule="exact"/>
      <w:ind w:left="1134" w:right="1134"/>
    </w:pPr>
    <w:rPr>
      <w:rFonts w:eastAsia="SimSun"/>
      <w:b/>
      <w:spacing w:val="0"/>
      <w:w w:val="100"/>
      <w:kern w:val="0"/>
      <w:sz w:val="40"/>
      <w:lang w:val="en-GB" w:eastAsia="zh-CN"/>
    </w:rPr>
  </w:style>
  <w:style w:type="paragraph" w:customStyle="1" w:styleId="Bullet1G">
    <w:name w:val="_Bullet 1_G"/>
    <w:basedOn w:val="a"/>
    <w:rsid w:val="007B31D5"/>
    <w:pPr>
      <w:numPr>
        <w:numId w:val="4"/>
      </w:numPr>
      <w:suppressAutoHyphens/>
      <w:spacing w:after="120"/>
      <w:ind w:right="1134"/>
      <w:jc w:val="both"/>
    </w:pPr>
    <w:rPr>
      <w:rFonts w:eastAsia="SimSun"/>
      <w:spacing w:val="0"/>
      <w:w w:val="100"/>
      <w:kern w:val="0"/>
      <w:lang w:val="en-GB" w:eastAsia="zh-CN"/>
    </w:rPr>
  </w:style>
  <w:style w:type="paragraph" w:customStyle="1" w:styleId="Bullet2G">
    <w:name w:val="_Bullet 2_G"/>
    <w:basedOn w:val="a"/>
    <w:rsid w:val="007B31D5"/>
    <w:pPr>
      <w:numPr>
        <w:numId w:val="5"/>
      </w:numPr>
      <w:suppressAutoHyphens/>
      <w:spacing w:after="120"/>
      <w:ind w:right="1134"/>
      <w:jc w:val="both"/>
    </w:pPr>
    <w:rPr>
      <w:rFonts w:eastAsia="SimSun"/>
      <w:spacing w:val="0"/>
      <w:w w:val="100"/>
      <w:kern w:val="0"/>
      <w:lang w:val="en-GB" w:eastAsia="zh-CN"/>
    </w:rPr>
  </w:style>
  <w:style w:type="paragraph" w:customStyle="1" w:styleId="ParaNoG">
    <w:name w:val="_ParaNo._G"/>
    <w:basedOn w:val="SingleTxtG"/>
    <w:rsid w:val="007B31D5"/>
    <w:pPr>
      <w:numPr>
        <w:numId w:val="6"/>
      </w:numPr>
      <w:tabs>
        <w:tab w:val="clear" w:pos="0"/>
        <w:tab w:val="num" w:pos="1491"/>
      </w:tabs>
    </w:pPr>
  </w:style>
  <w:style w:type="numbering" w:styleId="111111">
    <w:name w:val="Outline List 2"/>
    <w:basedOn w:val="a2"/>
    <w:semiHidden/>
    <w:rsid w:val="007B31D5"/>
    <w:pPr>
      <w:numPr>
        <w:numId w:val="8"/>
      </w:numPr>
    </w:pPr>
  </w:style>
  <w:style w:type="numbering" w:styleId="1ai">
    <w:name w:val="Outline List 1"/>
    <w:basedOn w:val="a2"/>
    <w:semiHidden/>
    <w:rsid w:val="007B31D5"/>
    <w:pPr>
      <w:numPr>
        <w:numId w:val="9"/>
      </w:numPr>
    </w:pPr>
  </w:style>
  <w:style w:type="character" w:styleId="af">
    <w:name w:val="Book Title"/>
    <w:basedOn w:val="a0"/>
    <w:uiPriority w:val="33"/>
    <w:rsid w:val="007B31D5"/>
    <w:rPr>
      <w:b/>
      <w:bCs/>
      <w:smallCaps/>
      <w:spacing w:val="5"/>
    </w:rPr>
  </w:style>
  <w:style w:type="paragraph" w:styleId="af0">
    <w:name w:val="Balloon Text"/>
    <w:basedOn w:val="a"/>
    <w:link w:val="af1"/>
    <w:uiPriority w:val="99"/>
    <w:semiHidden/>
    <w:unhideWhenUsed/>
    <w:rsid w:val="007B31D5"/>
    <w:pPr>
      <w:suppressAutoHyphens/>
      <w:spacing w:line="240" w:lineRule="auto"/>
    </w:pPr>
    <w:rPr>
      <w:rFonts w:ascii="Tahoma" w:eastAsia="SimSun" w:hAnsi="Tahoma" w:cs="Tahoma"/>
      <w:spacing w:val="0"/>
      <w:w w:val="100"/>
      <w:kern w:val="0"/>
      <w:sz w:val="16"/>
      <w:szCs w:val="16"/>
      <w:lang w:val="en-GB"/>
    </w:rPr>
  </w:style>
  <w:style w:type="character" w:customStyle="1" w:styleId="af1">
    <w:name w:val="Текст выноски Знак"/>
    <w:basedOn w:val="a0"/>
    <w:link w:val="af0"/>
    <w:uiPriority w:val="99"/>
    <w:semiHidden/>
    <w:rsid w:val="007B31D5"/>
    <w:rPr>
      <w:rFonts w:ascii="Tahoma" w:eastAsia="SimSun" w:hAnsi="Tahoma" w:cs="Tahoma"/>
      <w:sz w:val="16"/>
      <w:szCs w:val="16"/>
      <w:lang w:val="en-GB"/>
    </w:rPr>
  </w:style>
  <w:style w:type="character" w:customStyle="1" w:styleId="SingleTxtGChar">
    <w:name w:val="_ Single Txt_G Char"/>
    <w:basedOn w:val="a0"/>
    <w:link w:val="SingleTxtG"/>
    <w:rsid w:val="007B31D5"/>
    <w:rPr>
      <w:rFonts w:ascii="Times New Roman" w:eastAsia="SimSun" w:hAnsi="Times New Roman" w:cs="Times New Roman"/>
      <w:sz w:val="20"/>
      <w:szCs w:val="20"/>
      <w:lang w:val="en-GB" w:eastAsia="zh-CN"/>
    </w:rPr>
  </w:style>
  <w:style w:type="paragraph" w:styleId="af2">
    <w:name w:val="annotation text"/>
    <w:basedOn w:val="a"/>
    <w:link w:val="af3"/>
    <w:uiPriority w:val="99"/>
    <w:semiHidden/>
    <w:unhideWhenUsed/>
    <w:rsid w:val="007B31D5"/>
    <w:pPr>
      <w:suppressAutoHyphens/>
      <w:spacing w:line="240" w:lineRule="auto"/>
    </w:pPr>
    <w:rPr>
      <w:rFonts w:eastAsia="SimSun"/>
      <w:spacing w:val="0"/>
      <w:w w:val="100"/>
      <w:kern w:val="0"/>
      <w:lang w:val="en-GB"/>
    </w:rPr>
  </w:style>
  <w:style w:type="character" w:customStyle="1" w:styleId="af3">
    <w:name w:val="Текст примечания Знак"/>
    <w:basedOn w:val="a0"/>
    <w:link w:val="af2"/>
    <w:uiPriority w:val="99"/>
    <w:semiHidden/>
    <w:rsid w:val="007B31D5"/>
    <w:rPr>
      <w:rFonts w:ascii="Times New Roman" w:eastAsia="SimSun" w:hAnsi="Times New Roman" w:cs="Times New Roman"/>
      <w:sz w:val="20"/>
      <w:szCs w:val="20"/>
      <w:lang w:val="en-GB"/>
    </w:rPr>
  </w:style>
  <w:style w:type="character" w:styleId="af4">
    <w:name w:val="annotation reference"/>
    <w:basedOn w:val="a0"/>
    <w:uiPriority w:val="99"/>
    <w:semiHidden/>
    <w:unhideWhenUsed/>
    <w:rsid w:val="007B31D5"/>
    <w:rPr>
      <w:sz w:val="16"/>
      <w:szCs w:val="16"/>
    </w:rPr>
  </w:style>
  <w:style w:type="paragraph" w:styleId="af5">
    <w:name w:val="annotation subject"/>
    <w:basedOn w:val="af2"/>
    <w:next w:val="af2"/>
    <w:link w:val="af6"/>
    <w:uiPriority w:val="99"/>
    <w:semiHidden/>
    <w:unhideWhenUsed/>
    <w:rsid w:val="007B31D5"/>
    <w:rPr>
      <w:b/>
      <w:bCs/>
    </w:rPr>
  </w:style>
  <w:style w:type="character" w:customStyle="1" w:styleId="af6">
    <w:name w:val="Тема примечания Знак"/>
    <w:basedOn w:val="af3"/>
    <w:link w:val="af5"/>
    <w:uiPriority w:val="99"/>
    <w:semiHidden/>
    <w:rsid w:val="007B31D5"/>
    <w:rPr>
      <w:rFonts w:ascii="Times New Roman" w:eastAsia="SimSu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B5A75"/>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Table_G"/>
    <w:basedOn w:val="a"/>
    <w:next w:val="a"/>
    <w:link w:val="10"/>
    <w:qFormat/>
    <w:rsid w:val="00BE1742"/>
    <w:pPr>
      <w:keepNext/>
      <w:tabs>
        <w:tab w:val="left" w:pos="567"/>
      </w:tabs>
      <w:jc w:val="both"/>
      <w:outlineLvl w:val="0"/>
    </w:pPr>
    <w:rPr>
      <w:rFonts w:cs="Arial"/>
      <w:b/>
      <w:bCs/>
      <w:szCs w:val="32"/>
      <w:lang w:eastAsia="ru-RU"/>
    </w:rPr>
  </w:style>
  <w:style w:type="paragraph" w:styleId="2">
    <w:name w:val="heading 2"/>
    <w:basedOn w:val="a"/>
    <w:next w:val="a"/>
    <w:link w:val="20"/>
    <w:qFormat/>
    <w:rsid w:val="007B31D5"/>
    <w:pPr>
      <w:suppressAutoHyphens/>
      <w:spacing w:line="240" w:lineRule="auto"/>
      <w:outlineLvl w:val="1"/>
    </w:pPr>
    <w:rPr>
      <w:rFonts w:eastAsia="SimSun"/>
      <w:spacing w:val="0"/>
      <w:w w:val="100"/>
      <w:kern w:val="0"/>
      <w:lang w:val="en-GB" w:eastAsia="zh-CN"/>
    </w:rPr>
  </w:style>
  <w:style w:type="paragraph" w:styleId="3">
    <w:name w:val="heading 3"/>
    <w:basedOn w:val="a"/>
    <w:next w:val="a"/>
    <w:link w:val="30"/>
    <w:qFormat/>
    <w:rsid w:val="007B31D5"/>
    <w:pPr>
      <w:suppressAutoHyphens/>
      <w:spacing w:line="240" w:lineRule="auto"/>
      <w:outlineLvl w:val="2"/>
    </w:pPr>
    <w:rPr>
      <w:rFonts w:eastAsia="SimSun"/>
      <w:spacing w:val="0"/>
      <w:w w:val="100"/>
      <w:kern w:val="0"/>
      <w:lang w:val="en-GB" w:eastAsia="zh-CN"/>
    </w:rPr>
  </w:style>
  <w:style w:type="paragraph" w:styleId="4">
    <w:name w:val="heading 4"/>
    <w:basedOn w:val="a"/>
    <w:next w:val="a"/>
    <w:link w:val="40"/>
    <w:qFormat/>
    <w:rsid w:val="007B31D5"/>
    <w:pPr>
      <w:suppressAutoHyphens/>
      <w:spacing w:line="240" w:lineRule="auto"/>
      <w:outlineLvl w:val="3"/>
    </w:pPr>
    <w:rPr>
      <w:rFonts w:eastAsia="SimSun"/>
      <w:spacing w:val="0"/>
      <w:w w:val="100"/>
      <w:kern w:val="0"/>
      <w:lang w:val="en-GB" w:eastAsia="zh-CN"/>
    </w:rPr>
  </w:style>
  <w:style w:type="paragraph" w:styleId="5">
    <w:name w:val="heading 5"/>
    <w:basedOn w:val="a"/>
    <w:next w:val="a"/>
    <w:link w:val="50"/>
    <w:qFormat/>
    <w:rsid w:val="007B31D5"/>
    <w:pPr>
      <w:suppressAutoHyphens/>
      <w:spacing w:line="240" w:lineRule="auto"/>
      <w:outlineLvl w:val="4"/>
    </w:pPr>
    <w:rPr>
      <w:rFonts w:eastAsia="SimSun"/>
      <w:spacing w:val="0"/>
      <w:w w:val="100"/>
      <w:kern w:val="0"/>
      <w:lang w:val="en-GB" w:eastAsia="zh-CN"/>
    </w:rPr>
  </w:style>
  <w:style w:type="paragraph" w:styleId="6">
    <w:name w:val="heading 6"/>
    <w:basedOn w:val="a"/>
    <w:next w:val="a"/>
    <w:link w:val="60"/>
    <w:qFormat/>
    <w:rsid w:val="007B31D5"/>
    <w:pPr>
      <w:suppressAutoHyphens/>
      <w:spacing w:line="240" w:lineRule="auto"/>
      <w:outlineLvl w:val="5"/>
    </w:pPr>
    <w:rPr>
      <w:rFonts w:eastAsia="SimSun"/>
      <w:spacing w:val="0"/>
      <w:w w:val="100"/>
      <w:kern w:val="0"/>
      <w:lang w:val="en-GB" w:eastAsia="zh-CN"/>
    </w:rPr>
  </w:style>
  <w:style w:type="paragraph" w:styleId="7">
    <w:name w:val="heading 7"/>
    <w:basedOn w:val="a"/>
    <w:next w:val="a"/>
    <w:link w:val="70"/>
    <w:qFormat/>
    <w:rsid w:val="007B31D5"/>
    <w:pPr>
      <w:suppressAutoHyphens/>
      <w:spacing w:line="240" w:lineRule="auto"/>
      <w:outlineLvl w:val="6"/>
    </w:pPr>
    <w:rPr>
      <w:rFonts w:eastAsia="SimSun"/>
      <w:spacing w:val="0"/>
      <w:w w:val="100"/>
      <w:kern w:val="0"/>
      <w:lang w:val="en-GB" w:eastAsia="zh-CN"/>
    </w:rPr>
  </w:style>
  <w:style w:type="paragraph" w:styleId="8">
    <w:name w:val="heading 8"/>
    <w:basedOn w:val="a"/>
    <w:next w:val="a"/>
    <w:link w:val="80"/>
    <w:qFormat/>
    <w:rsid w:val="007B31D5"/>
    <w:pPr>
      <w:suppressAutoHyphens/>
      <w:spacing w:line="240" w:lineRule="auto"/>
      <w:outlineLvl w:val="7"/>
    </w:pPr>
    <w:rPr>
      <w:rFonts w:eastAsia="SimSun"/>
      <w:spacing w:val="0"/>
      <w:w w:val="100"/>
      <w:kern w:val="0"/>
      <w:lang w:val="en-GB" w:eastAsia="zh-CN"/>
    </w:rPr>
  </w:style>
  <w:style w:type="paragraph" w:styleId="9">
    <w:name w:val="heading 9"/>
    <w:basedOn w:val="a"/>
    <w:next w:val="a"/>
    <w:link w:val="90"/>
    <w:qFormat/>
    <w:rsid w:val="007B31D5"/>
    <w:pPr>
      <w:suppressAutoHyphens/>
      <w:spacing w:line="240" w:lineRule="auto"/>
      <w:outlineLvl w:val="8"/>
    </w:pPr>
    <w:rPr>
      <w:rFonts w:eastAsia="SimSun"/>
      <w:spacing w:val="0"/>
      <w:w w:val="100"/>
      <w:kern w:val="0"/>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6_G"/>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6_G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Table_G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1_G"/>
    <w:basedOn w:val="a6"/>
    <w:qFormat/>
    <w:rsid w:val="00BE1742"/>
    <w:rPr>
      <w:rFonts w:ascii="Times New Roman" w:hAnsi="Times New Roman"/>
      <w:dstrike w:val="0"/>
      <w:sz w:val="18"/>
      <w:vertAlign w:val="superscript"/>
    </w:rPr>
  </w:style>
  <w:style w:type="character" w:styleId="a6">
    <w:name w:val="footnote reference"/>
    <w:aliases w:val="4_GR,4_G"/>
    <w:basedOn w:val="a0"/>
    <w:qFormat/>
    <w:rsid w:val="00BE1742"/>
    <w:rPr>
      <w:rFonts w:ascii="Times New Roman" w:hAnsi="Times New Roman"/>
      <w:dstrike w:val="0"/>
      <w:sz w:val="18"/>
      <w:vertAlign w:val="superscript"/>
    </w:rPr>
  </w:style>
  <w:style w:type="paragraph" w:styleId="a7">
    <w:name w:val="footer"/>
    <w:aliases w:val="3_GR,3_G"/>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3_G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7_G"/>
    <w:basedOn w:val="a0"/>
    <w:qFormat/>
    <w:rsid w:val="00BE1742"/>
    <w:rPr>
      <w:rFonts w:ascii="Times New Roman" w:hAnsi="Times New Roman"/>
      <w:b/>
      <w:sz w:val="18"/>
    </w:rPr>
  </w:style>
  <w:style w:type="paragraph" w:styleId="aa">
    <w:name w:val="footnote text"/>
    <w:aliases w:val="5_GR,5_G"/>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5_G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2_G"/>
    <w:basedOn w:val="aa"/>
    <w:link w:val="ad"/>
    <w:qFormat/>
    <w:rsid w:val="00BE1742"/>
  </w:style>
  <w:style w:type="character" w:customStyle="1" w:styleId="ad">
    <w:name w:val="Текст концевой сноски Знак"/>
    <w:aliases w:val="2_GR Знак,2_G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7B31D5"/>
    <w:rPr>
      <w:rFonts w:ascii="Times New Roman" w:eastAsia="SimSun" w:hAnsi="Times New Roman" w:cs="Times New Roman"/>
      <w:sz w:val="20"/>
      <w:szCs w:val="20"/>
      <w:lang w:val="en-GB" w:eastAsia="zh-CN"/>
    </w:rPr>
  </w:style>
  <w:style w:type="character" w:customStyle="1" w:styleId="30">
    <w:name w:val="Заголовок 3 Знак"/>
    <w:basedOn w:val="a0"/>
    <w:link w:val="3"/>
    <w:rsid w:val="007B31D5"/>
    <w:rPr>
      <w:rFonts w:ascii="Times New Roman" w:eastAsia="SimSun" w:hAnsi="Times New Roman" w:cs="Times New Roman"/>
      <w:sz w:val="20"/>
      <w:szCs w:val="20"/>
      <w:lang w:val="en-GB" w:eastAsia="zh-CN"/>
    </w:rPr>
  </w:style>
  <w:style w:type="character" w:customStyle="1" w:styleId="40">
    <w:name w:val="Заголовок 4 Знак"/>
    <w:basedOn w:val="a0"/>
    <w:link w:val="4"/>
    <w:rsid w:val="007B31D5"/>
    <w:rPr>
      <w:rFonts w:ascii="Times New Roman" w:eastAsia="SimSun" w:hAnsi="Times New Roman" w:cs="Times New Roman"/>
      <w:sz w:val="20"/>
      <w:szCs w:val="20"/>
      <w:lang w:val="en-GB" w:eastAsia="zh-CN"/>
    </w:rPr>
  </w:style>
  <w:style w:type="character" w:customStyle="1" w:styleId="50">
    <w:name w:val="Заголовок 5 Знак"/>
    <w:basedOn w:val="a0"/>
    <w:link w:val="5"/>
    <w:rsid w:val="007B31D5"/>
    <w:rPr>
      <w:rFonts w:ascii="Times New Roman" w:eastAsia="SimSun" w:hAnsi="Times New Roman" w:cs="Times New Roman"/>
      <w:sz w:val="20"/>
      <w:szCs w:val="20"/>
      <w:lang w:val="en-GB" w:eastAsia="zh-CN"/>
    </w:rPr>
  </w:style>
  <w:style w:type="character" w:customStyle="1" w:styleId="60">
    <w:name w:val="Заголовок 6 Знак"/>
    <w:basedOn w:val="a0"/>
    <w:link w:val="6"/>
    <w:rsid w:val="007B31D5"/>
    <w:rPr>
      <w:rFonts w:ascii="Times New Roman" w:eastAsia="SimSun" w:hAnsi="Times New Roman" w:cs="Times New Roman"/>
      <w:sz w:val="20"/>
      <w:szCs w:val="20"/>
      <w:lang w:val="en-GB" w:eastAsia="zh-CN"/>
    </w:rPr>
  </w:style>
  <w:style w:type="character" w:customStyle="1" w:styleId="70">
    <w:name w:val="Заголовок 7 Знак"/>
    <w:basedOn w:val="a0"/>
    <w:link w:val="7"/>
    <w:rsid w:val="007B31D5"/>
    <w:rPr>
      <w:rFonts w:ascii="Times New Roman" w:eastAsia="SimSun" w:hAnsi="Times New Roman" w:cs="Times New Roman"/>
      <w:sz w:val="20"/>
      <w:szCs w:val="20"/>
      <w:lang w:val="en-GB" w:eastAsia="zh-CN"/>
    </w:rPr>
  </w:style>
  <w:style w:type="character" w:customStyle="1" w:styleId="80">
    <w:name w:val="Заголовок 8 Знак"/>
    <w:basedOn w:val="a0"/>
    <w:link w:val="8"/>
    <w:rsid w:val="007B31D5"/>
    <w:rPr>
      <w:rFonts w:ascii="Times New Roman" w:eastAsia="SimSun" w:hAnsi="Times New Roman" w:cs="Times New Roman"/>
      <w:sz w:val="20"/>
      <w:szCs w:val="20"/>
      <w:lang w:val="en-GB" w:eastAsia="zh-CN"/>
    </w:rPr>
  </w:style>
  <w:style w:type="character" w:customStyle="1" w:styleId="90">
    <w:name w:val="Заголовок 9 Знак"/>
    <w:basedOn w:val="a0"/>
    <w:link w:val="9"/>
    <w:rsid w:val="007B31D5"/>
    <w:rPr>
      <w:rFonts w:ascii="Times New Roman" w:eastAsia="SimSun" w:hAnsi="Times New Roman" w:cs="Times New Roman"/>
      <w:sz w:val="20"/>
      <w:szCs w:val="20"/>
      <w:lang w:val="en-GB" w:eastAsia="zh-CN"/>
    </w:rPr>
  </w:style>
  <w:style w:type="paragraph" w:customStyle="1" w:styleId="HMG">
    <w:name w:val="_ H __M_G"/>
    <w:basedOn w:val="a"/>
    <w:next w:val="a"/>
    <w:rsid w:val="007B31D5"/>
    <w:pPr>
      <w:keepNext/>
      <w:keepLines/>
      <w:tabs>
        <w:tab w:val="right" w:pos="851"/>
      </w:tabs>
      <w:suppressAutoHyphens/>
      <w:spacing w:before="240" w:after="240" w:line="360" w:lineRule="exact"/>
      <w:ind w:left="1134" w:right="1134" w:hanging="1134"/>
    </w:pPr>
    <w:rPr>
      <w:rFonts w:eastAsia="SimSun"/>
      <w:b/>
      <w:spacing w:val="0"/>
      <w:w w:val="100"/>
      <w:kern w:val="0"/>
      <w:sz w:val="34"/>
      <w:lang w:val="en-GB" w:eastAsia="zh-CN"/>
    </w:rPr>
  </w:style>
  <w:style w:type="paragraph" w:customStyle="1" w:styleId="HChG">
    <w:name w:val="_ H _Ch_G"/>
    <w:basedOn w:val="a"/>
    <w:next w:val="a"/>
    <w:rsid w:val="007B31D5"/>
    <w:pPr>
      <w:keepNext/>
      <w:keepLines/>
      <w:tabs>
        <w:tab w:val="right" w:pos="851"/>
      </w:tabs>
      <w:suppressAutoHyphens/>
      <w:spacing w:before="360" w:after="240" w:line="300" w:lineRule="exact"/>
      <w:ind w:left="1134" w:right="1134" w:hanging="1134"/>
    </w:pPr>
    <w:rPr>
      <w:rFonts w:eastAsia="SimSun"/>
      <w:b/>
      <w:spacing w:val="0"/>
      <w:w w:val="100"/>
      <w:kern w:val="0"/>
      <w:sz w:val="28"/>
      <w:lang w:val="en-GB" w:eastAsia="zh-CN"/>
    </w:rPr>
  </w:style>
  <w:style w:type="paragraph" w:customStyle="1" w:styleId="H1G">
    <w:name w:val="_ H_1_G"/>
    <w:basedOn w:val="a"/>
    <w:next w:val="a"/>
    <w:rsid w:val="007B31D5"/>
    <w:pPr>
      <w:keepNext/>
      <w:keepLines/>
      <w:tabs>
        <w:tab w:val="right" w:pos="851"/>
      </w:tabs>
      <w:suppressAutoHyphens/>
      <w:spacing w:before="360" w:after="240" w:line="270" w:lineRule="exact"/>
      <w:ind w:left="1134" w:right="1134" w:hanging="1134"/>
    </w:pPr>
    <w:rPr>
      <w:rFonts w:eastAsia="SimSun"/>
      <w:b/>
      <w:spacing w:val="0"/>
      <w:w w:val="100"/>
      <w:kern w:val="0"/>
      <w:sz w:val="24"/>
      <w:lang w:val="en-GB" w:eastAsia="zh-CN"/>
    </w:rPr>
  </w:style>
  <w:style w:type="paragraph" w:customStyle="1" w:styleId="H23G">
    <w:name w:val="_ H_2/3_G"/>
    <w:basedOn w:val="a"/>
    <w:next w:val="a"/>
    <w:rsid w:val="007B31D5"/>
    <w:pPr>
      <w:keepNext/>
      <w:keepLines/>
      <w:tabs>
        <w:tab w:val="right" w:pos="851"/>
      </w:tabs>
      <w:suppressAutoHyphens/>
      <w:spacing w:before="240" w:after="120" w:line="240" w:lineRule="exact"/>
      <w:ind w:left="1134" w:right="1134" w:hanging="1134"/>
    </w:pPr>
    <w:rPr>
      <w:rFonts w:eastAsia="SimSun"/>
      <w:b/>
      <w:spacing w:val="0"/>
      <w:w w:val="100"/>
      <w:kern w:val="0"/>
      <w:lang w:val="en-GB" w:eastAsia="zh-CN"/>
    </w:rPr>
  </w:style>
  <w:style w:type="paragraph" w:customStyle="1" w:styleId="H4G">
    <w:name w:val="_ H_4_G"/>
    <w:basedOn w:val="a"/>
    <w:next w:val="a"/>
    <w:rsid w:val="007B31D5"/>
    <w:pPr>
      <w:keepNext/>
      <w:keepLines/>
      <w:tabs>
        <w:tab w:val="right" w:pos="851"/>
      </w:tabs>
      <w:suppressAutoHyphens/>
      <w:spacing w:before="240" w:after="120" w:line="240" w:lineRule="exact"/>
      <w:ind w:left="1134" w:right="1134" w:hanging="1134"/>
    </w:pPr>
    <w:rPr>
      <w:rFonts w:eastAsia="SimSun"/>
      <w:i/>
      <w:spacing w:val="0"/>
      <w:w w:val="100"/>
      <w:kern w:val="0"/>
      <w:lang w:val="en-GB" w:eastAsia="zh-CN"/>
    </w:rPr>
  </w:style>
  <w:style w:type="paragraph" w:customStyle="1" w:styleId="H56G">
    <w:name w:val="_ H_5/6_G"/>
    <w:basedOn w:val="a"/>
    <w:next w:val="a"/>
    <w:rsid w:val="007B31D5"/>
    <w:pPr>
      <w:keepNext/>
      <w:keepLines/>
      <w:tabs>
        <w:tab w:val="right" w:pos="851"/>
      </w:tabs>
      <w:suppressAutoHyphens/>
      <w:spacing w:before="240" w:after="120" w:line="240" w:lineRule="exact"/>
      <w:ind w:left="1134" w:right="1134" w:hanging="1134"/>
    </w:pPr>
    <w:rPr>
      <w:rFonts w:eastAsia="SimSun"/>
      <w:spacing w:val="0"/>
      <w:w w:val="100"/>
      <w:kern w:val="0"/>
      <w:lang w:val="en-GB" w:eastAsia="zh-CN"/>
    </w:rPr>
  </w:style>
  <w:style w:type="paragraph" w:customStyle="1" w:styleId="SingleTxtG">
    <w:name w:val="_ Single Txt_G"/>
    <w:basedOn w:val="a"/>
    <w:link w:val="SingleTxtGChar"/>
    <w:rsid w:val="007B31D5"/>
    <w:pPr>
      <w:suppressAutoHyphens/>
      <w:spacing w:after="120"/>
      <w:ind w:left="1134" w:right="1134"/>
      <w:jc w:val="both"/>
    </w:pPr>
    <w:rPr>
      <w:rFonts w:eastAsia="SimSun"/>
      <w:spacing w:val="0"/>
      <w:w w:val="100"/>
      <w:kern w:val="0"/>
      <w:lang w:val="en-GB" w:eastAsia="zh-CN"/>
    </w:rPr>
  </w:style>
  <w:style w:type="paragraph" w:customStyle="1" w:styleId="SLG">
    <w:name w:val="__S_L_G"/>
    <w:basedOn w:val="a"/>
    <w:next w:val="a"/>
    <w:rsid w:val="007B31D5"/>
    <w:pPr>
      <w:keepNext/>
      <w:keepLines/>
      <w:suppressAutoHyphens/>
      <w:spacing w:before="240" w:after="240" w:line="580" w:lineRule="exact"/>
      <w:ind w:left="1134" w:right="1134"/>
    </w:pPr>
    <w:rPr>
      <w:rFonts w:eastAsia="SimSun"/>
      <w:b/>
      <w:spacing w:val="0"/>
      <w:w w:val="100"/>
      <w:kern w:val="0"/>
      <w:sz w:val="56"/>
      <w:lang w:val="en-GB" w:eastAsia="zh-CN"/>
    </w:rPr>
  </w:style>
  <w:style w:type="paragraph" w:customStyle="1" w:styleId="SMG">
    <w:name w:val="__S_M_G"/>
    <w:basedOn w:val="a"/>
    <w:next w:val="a"/>
    <w:rsid w:val="007B31D5"/>
    <w:pPr>
      <w:keepNext/>
      <w:keepLines/>
      <w:suppressAutoHyphens/>
      <w:spacing w:before="240" w:after="240" w:line="420" w:lineRule="exact"/>
      <w:ind w:left="1134" w:right="1134"/>
    </w:pPr>
    <w:rPr>
      <w:rFonts w:eastAsia="SimSun"/>
      <w:b/>
      <w:spacing w:val="0"/>
      <w:w w:val="100"/>
      <w:kern w:val="0"/>
      <w:sz w:val="40"/>
      <w:lang w:val="en-GB" w:eastAsia="zh-CN"/>
    </w:rPr>
  </w:style>
  <w:style w:type="paragraph" w:customStyle="1" w:styleId="SSG">
    <w:name w:val="__S_S_G"/>
    <w:basedOn w:val="a"/>
    <w:next w:val="a"/>
    <w:rsid w:val="007B31D5"/>
    <w:pPr>
      <w:keepNext/>
      <w:keepLines/>
      <w:suppressAutoHyphens/>
      <w:spacing w:before="240" w:after="240" w:line="300" w:lineRule="exact"/>
      <w:ind w:left="1134" w:right="1134"/>
    </w:pPr>
    <w:rPr>
      <w:rFonts w:eastAsia="SimSun"/>
      <w:b/>
      <w:spacing w:val="0"/>
      <w:w w:val="100"/>
      <w:kern w:val="0"/>
      <w:sz w:val="28"/>
      <w:lang w:val="en-GB" w:eastAsia="zh-CN"/>
    </w:rPr>
  </w:style>
  <w:style w:type="paragraph" w:customStyle="1" w:styleId="XLargeG">
    <w:name w:val="__XLarge_G"/>
    <w:basedOn w:val="a"/>
    <w:next w:val="a"/>
    <w:rsid w:val="007B31D5"/>
    <w:pPr>
      <w:keepNext/>
      <w:keepLines/>
      <w:suppressAutoHyphens/>
      <w:spacing w:before="240" w:after="240" w:line="420" w:lineRule="exact"/>
      <w:ind w:left="1134" w:right="1134"/>
    </w:pPr>
    <w:rPr>
      <w:rFonts w:eastAsia="SimSun"/>
      <w:b/>
      <w:spacing w:val="0"/>
      <w:w w:val="100"/>
      <w:kern w:val="0"/>
      <w:sz w:val="40"/>
      <w:lang w:val="en-GB" w:eastAsia="zh-CN"/>
    </w:rPr>
  </w:style>
  <w:style w:type="paragraph" w:customStyle="1" w:styleId="Bullet1G">
    <w:name w:val="_Bullet 1_G"/>
    <w:basedOn w:val="a"/>
    <w:rsid w:val="007B31D5"/>
    <w:pPr>
      <w:numPr>
        <w:numId w:val="4"/>
      </w:numPr>
      <w:suppressAutoHyphens/>
      <w:spacing w:after="120"/>
      <w:ind w:right="1134"/>
      <w:jc w:val="both"/>
    </w:pPr>
    <w:rPr>
      <w:rFonts w:eastAsia="SimSun"/>
      <w:spacing w:val="0"/>
      <w:w w:val="100"/>
      <w:kern w:val="0"/>
      <w:lang w:val="en-GB" w:eastAsia="zh-CN"/>
    </w:rPr>
  </w:style>
  <w:style w:type="paragraph" w:customStyle="1" w:styleId="Bullet2G">
    <w:name w:val="_Bullet 2_G"/>
    <w:basedOn w:val="a"/>
    <w:rsid w:val="007B31D5"/>
    <w:pPr>
      <w:numPr>
        <w:numId w:val="5"/>
      </w:numPr>
      <w:suppressAutoHyphens/>
      <w:spacing w:after="120"/>
      <w:ind w:right="1134"/>
      <w:jc w:val="both"/>
    </w:pPr>
    <w:rPr>
      <w:rFonts w:eastAsia="SimSun"/>
      <w:spacing w:val="0"/>
      <w:w w:val="100"/>
      <w:kern w:val="0"/>
      <w:lang w:val="en-GB" w:eastAsia="zh-CN"/>
    </w:rPr>
  </w:style>
  <w:style w:type="paragraph" w:customStyle="1" w:styleId="ParaNoG">
    <w:name w:val="_ParaNo._G"/>
    <w:basedOn w:val="SingleTxtG"/>
    <w:rsid w:val="007B31D5"/>
    <w:pPr>
      <w:numPr>
        <w:numId w:val="6"/>
      </w:numPr>
      <w:tabs>
        <w:tab w:val="clear" w:pos="0"/>
        <w:tab w:val="num" w:pos="1491"/>
      </w:tabs>
    </w:pPr>
  </w:style>
  <w:style w:type="numbering" w:styleId="111111">
    <w:name w:val="Outline List 2"/>
    <w:basedOn w:val="a2"/>
    <w:semiHidden/>
    <w:rsid w:val="007B31D5"/>
    <w:pPr>
      <w:numPr>
        <w:numId w:val="8"/>
      </w:numPr>
    </w:pPr>
  </w:style>
  <w:style w:type="numbering" w:styleId="1ai">
    <w:name w:val="Outline List 1"/>
    <w:basedOn w:val="a2"/>
    <w:semiHidden/>
    <w:rsid w:val="007B31D5"/>
    <w:pPr>
      <w:numPr>
        <w:numId w:val="9"/>
      </w:numPr>
    </w:pPr>
  </w:style>
  <w:style w:type="character" w:styleId="af">
    <w:name w:val="Book Title"/>
    <w:basedOn w:val="a0"/>
    <w:uiPriority w:val="33"/>
    <w:rsid w:val="007B31D5"/>
    <w:rPr>
      <w:b/>
      <w:bCs/>
      <w:smallCaps/>
      <w:spacing w:val="5"/>
    </w:rPr>
  </w:style>
  <w:style w:type="paragraph" w:styleId="af0">
    <w:name w:val="Balloon Text"/>
    <w:basedOn w:val="a"/>
    <w:link w:val="af1"/>
    <w:uiPriority w:val="99"/>
    <w:semiHidden/>
    <w:unhideWhenUsed/>
    <w:rsid w:val="007B31D5"/>
    <w:pPr>
      <w:suppressAutoHyphens/>
      <w:spacing w:line="240" w:lineRule="auto"/>
    </w:pPr>
    <w:rPr>
      <w:rFonts w:ascii="Tahoma" w:eastAsia="SimSun" w:hAnsi="Tahoma" w:cs="Tahoma"/>
      <w:spacing w:val="0"/>
      <w:w w:val="100"/>
      <w:kern w:val="0"/>
      <w:sz w:val="16"/>
      <w:szCs w:val="16"/>
      <w:lang w:val="en-GB"/>
    </w:rPr>
  </w:style>
  <w:style w:type="character" w:customStyle="1" w:styleId="af1">
    <w:name w:val="Текст выноски Знак"/>
    <w:basedOn w:val="a0"/>
    <w:link w:val="af0"/>
    <w:uiPriority w:val="99"/>
    <w:semiHidden/>
    <w:rsid w:val="007B31D5"/>
    <w:rPr>
      <w:rFonts w:ascii="Tahoma" w:eastAsia="SimSun" w:hAnsi="Tahoma" w:cs="Tahoma"/>
      <w:sz w:val="16"/>
      <w:szCs w:val="16"/>
      <w:lang w:val="en-GB"/>
    </w:rPr>
  </w:style>
  <w:style w:type="character" w:customStyle="1" w:styleId="SingleTxtGChar">
    <w:name w:val="_ Single Txt_G Char"/>
    <w:basedOn w:val="a0"/>
    <w:link w:val="SingleTxtG"/>
    <w:rsid w:val="007B31D5"/>
    <w:rPr>
      <w:rFonts w:ascii="Times New Roman" w:eastAsia="SimSun" w:hAnsi="Times New Roman" w:cs="Times New Roman"/>
      <w:sz w:val="20"/>
      <w:szCs w:val="20"/>
      <w:lang w:val="en-GB" w:eastAsia="zh-CN"/>
    </w:rPr>
  </w:style>
  <w:style w:type="paragraph" w:styleId="af2">
    <w:name w:val="annotation text"/>
    <w:basedOn w:val="a"/>
    <w:link w:val="af3"/>
    <w:uiPriority w:val="99"/>
    <w:semiHidden/>
    <w:unhideWhenUsed/>
    <w:rsid w:val="007B31D5"/>
    <w:pPr>
      <w:suppressAutoHyphens/>
      <w:spacing w:line="240" w:lineRule="auto"/>
    </w:pPr>
    <w:rPr>
      <w:rFonts w:eastAsia="SimSun"/>
      <w:spacing w:val="0"/>
      <w:w w:val="100"/>
      <w:kern w:val="0"/>
      <w:lang w:val="en-GB"/>
    </w:rPr>
  </w:style>
  <w:style w:type="character" w:customStyle="1" w:styleId="af3">
    <w:name w:val="Текст примечания Знак"/>
    <w:basedOn w:val="a0"/>
    <w:link w:val="af2"/>
    <w:uiPriority w:val="99"/>
    <w:semiHidden/>
    <w:rsid w:val="007B31D5"/>
    <w:rPr>
      <w:rFonts w:ascii="Times New Roman" w:eastAsia="SimSun" w:hAnsi="Times New Roman" w:cs="Times New Roman"/>
      <w:sz w:val="20"/>
      <w:szCs w:val="20"/>
      <w:lang w:val="en-GB"/>
    </w:rPr>
  </w:style>
  <w:style w:type="character" w:styleId="af4">
    <w:name w:val="annotation reference"/>
    <w:basedOn w:val="a0"/>
    <w:uiPriority w:val="99"/>
    <w:semiHidden/>
    <w:unhideWhenUsed/>
    <w:rsid w:val="007B31D5"/>
    <w:rPr>
      <w:sz w:val="16"/>
      <w:szCs w:val="16"/>
    </w:rPr>
  </w:style>
  <w:style w:type="paragraph" w:styleId="af5">
    <w:name w:val="annotation subject"/>
    <w:basedOn w:val="af2"/>
    <w:next w:val="af2"/>
    <w:link w:val="af6"/>
    <w:uiPriority w:val="99"/>
    <w:semiHidden/>
    <w:unhideWhenUsed/>
    <w:rsid w:val="007B31D5"/>
    <w:rPr>
      <w:b/>
      <w:bCs/>
    </w:rPr>
  </w:style>
  <w:style w:type="character" w:customStyle="1" w:styleId="af6">
    <w:name w:val="Тема примечания Знак"/>
    <w:basedOn w:val="af3"/>
    <w:link w:val="af5"/>
    <w:uiPriority w:val="99"/>
    <w:semiHidden/>
    <w:rsid w:val="007B31D5"/>
    <w:rPr>
      <w:rFonts w:ascii="Times New Roman" w:eastAsia="SimSu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PD.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29487-BE2E-46F3-814E-68C7F2BC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22</Pages>
  <Words>8038</Words>
  <Characters>52977</Characters>
  <Application>Microsoft Office Word</Application>
  <DocSecurity>0</DocSecurity>
  <Lines>1471</Lines>
  <Paragraphs>753</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60262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Stepanova</dc:creator>
  <cp:lastModifiedBy>TPSRUS2</cp:lastModifiedBy>
  <cp:revision>3</cp:revision>
  <cp:lastPrinted>2016-11-16T14:23:00Z</cp:lastPrinted>
  <dcterms:created xsi:type="dcterms:W3CDTF">2016-11-16T14:24:00Z</dcterms:created>
  <dcterms:modified xsi:type="dcterms:W3CDTF">2016-11-16T15:05:00Z</dcterms:modified>
</cp:coreProperties>
</file>