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83CB4">
        <w:trPr>
          <w:trHeight w:hRule="exact" w:val="851"/>
        </w:trPr>
        <w:tc>
          <w:tcPr>
            <w:tcW w:w="1280" w:type="dxa"/>
            <w:tcBorders>
              <w:bottom w:val="single" w:sz="4" w:space="0" w:color="auto"/>
            </w:tcBorders>
          </w:tcPr>
          <w:p w:rsidR="002D5AAC" w:rsidRPr="003067C5" w:rsidRDefault="002D5AAC" w:rsidP="00783CB4">
            <w:pPr>
              <w:kinsoku w:val="0"/>
              <w:overflowPunct w:val="0"/>
              <w:autoSpaceDE w:val="0"/>
              <w:autoSpaceDN w:val="0"/>
              <w:adjustRightInd w:val="0"/>
              <w:snapToGrid w:val="0"/>
              <w:rPr>
                <w:rStyle w:val="nfasis"/>
              </w:rPr>
            </w:pPr>
            <w:bookmarkStart w:id="0" w:name="_GoBack"/>
            <w:bookmarkEnd w:id="0"/>
          </w:p>
        </w:tc>
        <w:tc>
          <w:tcPr>
            <w:tcW w:w="2273"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83CB4" w:rsidP="00783CB4">
            <w:pPr>
              <w:jc w:val="right"/>
            </w:pPr>
            <w:r w:rsidRPr="00783CB4">
              <w:rPr>
                <w:sz w:val="40"/>
              </w:rPr>
              <w:t>CAT</w:t>
            </w:r>
            <w:r>
              <w:t>/OP/UKR/3</w:t>
            </w:r>
          </w:p>
        </w:tc>
      </w:tr>
      <w:tr w:rsidR="002D5AAC" w:rsidTr="00783CB4">
        <w:trPr>
          <w:trHeight w:hRule="exact" w:val="2835"/>
        </w:trPr>
        <w:tc>
          <w:tcPr>
            <w:tcW w:w="1280"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2D5AAC" w:rsidRDefault="00783CB4" w:rsidP="00462E81">
            <w:pPr>
              <w:spacing w:before="240"/>
            </w:pPr>
            <w:r>
              <w:t>Distr. general</w:t>
            </w:r>
          </w:p>
          <w:p w:rsidR="00783CB4" w:rsidRDefault="00783CB4" w:rsidP="00783CB4">
            <w:pPr>
              <w:spacing w:line="240" w:lineRule="exact"/>
            </w:pPr>
            <w:r>
              <w:t>18 de mayo de 2017</w:t>
            </w:r>
          </w:p>
          <w:p w:rsidR="00783CB4" w:rsidRDefault="00783CB4" w:rsidP="00783CB4">
            <w:pPr>
              <w:spacing w:line="240" w:lineRule="exact"/>
            </w:pPr>
            <w:r>
              <w:t>Español</w:t>
            </w:r>
          </w:p>
          <w:p w:rsidR="00783CB4" w:rsidRDefault="00783CB4" w:rsidP="00783CB4">
            <w:pPr>
              <w:spacing w:line="240" w:lineRule="exact"/>
            </w:pPr>
            <w:r>
              <w:t>Original: inglés</w:t>
            </w:r>
            <w:r>
              <w:br/>
              <w:t>Español, francés, inglés y ruso únicamente</w:t>
            </w:r>
          </w:p>
        </w:tc>
      </w:tr>
    </w:tbl>
    <w:p w:rsidR="00505971" w:rsidRDefault="00783CB4" w:rsidP="00783CB4">
      <w:pPr>
        <w:spacing w:before="120"/>
      </w:pPr>
      <w:r w:rsidRPr="00783CB4">
        <w:rPr>
          <w:b/>
          <w:sz w:val="24"/>
          <w:szCs w:val="24"/>
        </w:rPr>
        <w:t>Subcomité para la Prevención de la Tortura y Otros</w:t>
      </w:r>
      <w:r w:rsidRPr="00783CB4">
        <w:rPr>
          <w:b/>
          <w:sz w:val="24"/>
          <w:szCs w:val="24"/>
        </w:rPr>
        <w:br/>
        <w:t>Tratos o Penas Crueles, Inhumanos o Degradantes</w:t>
      </w:r>
    </w:p>
    <w:p w:rsidR="00783CB4" w:rsidRPr="00783CB4" w:rsidRDefault="00783CB4" w:rsidP="00783CB4">
      <w:pPr>
        <w:pStyle w:val="HMG"/>
        <w:rPr>
          <w:lang w:val="es-ES_tradnl"/>
        </w:rPr>
      </w:pPr>
      <w:r>
        <w:rPr>
          <w:lang w:val="es-ES_tradnl"/>
        </w:rPr>
        <w:tab/>
      </w:r>
      <w:r>
        <w:rPr>
          <w:lang w:val="es-ES_tradnl"/>
        </w:rPr>
        <w:tab/>
      </w:r>
      <w:r w:rsidRPr="00783CB4">
        <w:rPr>
          <w:lang w:val="es-ES_tradnl"/>
        </w:rPr>
        <w:t>Visita a Ucrania del 19 al 25 de mayo y</w:t>
      </w:r>
      <w:r>
        <w:rPr>
          <w:lang w:val="es-ES_tradnl"/>
        </w:rPr>
        <w:t xml:space="preserve"> </w:t>
      </w:r>
      <w:r w:rsidRPr="00783CB4">
        <w:rPr>
          <w:lang w:val="es-ES_tradnl"/>
        </w:rPr>
        <w:t>del</w:t>
      </w:r>
      <w:r>
        <w:rPr>
          <w:lang w:val="es-ES_tradnl"/>
        </w:rPr>
        <w:t xml:space="preserve"> </w:t>
      </w:r>
      <w:r w:rsidRPr="00783CB4">
        <w:rPr>
          <w:lang w:val="es-ES_tradnl"/>
        </w:rPr>
        <w:t xml:space="preserve">5 </w:t>
      </w:r>
      <w:r>
        <w:rPr>
          <w:lang w:val="es-ES_tradnl"/>
        </w:rPr>
        <w:br/>
      </w:r>
      <w:r w:rsidRPr="00783CB4">
        <w:rPr>
          <w:lang w:val="es-ES_tradnl"/>
        </w:rPr>
        <w:t>al 9 de septiembre de 2016: observaciones y recomendaciones dirigidas al</w:t>
      </w:r>
      <w:r>
        <w:rPr>
          <w:lang w:val="es-ES_tradnl"/>
        </w:rPr>
        <w:t xml:space="preserve"> </w:t>
      </w:r>
      <w:r w:rsidRPr="00783CB4">
        <w:rPr>
          <w:lang w:val="es-ES_tradnl"/>
        </w:rPr>
        <w:t xml:space="preserve">Estado parte </w:t>
      </w:r>
    </w:p>
    <w:p w:rsidR="00783CB4" w:rsidRPr="00783CB4" w:rsidRDefault="00783CB4" w:rsidP="00783CB4">
      <w:pPr>
        <w:pStyle w:val="HChG"/>
        <w:rPr>
          <w:lang w:val="es-ES_tradnl"/>
        </w:rPr>
      </w:pPr>
      <w:r w:rsidRPr="00783CB4">
        <w:rPr>
          <w:lang w:val="es-ES_tradnl"/>
        </w:rPr>
        <w:tab/>
      </w:r>
      <w:r>
        <w:rPr>
          <w:lang w:val="es-ES_tradnl"/>
        </w:rPr>
        <w:tab/>
      </w:r>
      <w:r w:rsidRPr="00783CB4">
        <w:rPr>
          <w:lang w:val="es-ES_tradnl"/>
        </w:rPr>
        <w:t>Informe del Subcomité</w:t>
      </w:r>
      <w:r w:rsidRPr="00783CB4">
        <w:rPr>
          <w:rStyle w:val="Refdenotaalpie"/>
          <w:b w:val="0"/>
          <w:sz w:val="20"/>
          <w:vertAlign w:val="baseline"/>
          <w:lang w:val="es-ES_tradnl"/>
        </w:rPr>
        <w:footnoteReference w:customMarkFollows="1" w:id="1"/>
        <w:t>*</w:t>
      </w:r>
      <w:r w:rsidRPr="00783CB4">
        <w:rPr>
          <w:b w:val="0"/>
          <w:sz w:val="20"/>
          <w:lang w:val="es-ES_tradnl"/>
        </w:rPr>
        <w:t xml:space="preserve"> </w:t>
      </w:r>
      <w:r w:rsidRPr="00783CB4">
        <w:rPr>
          <w:b w:val="0"/>
          <w:sz w:val="20"/>
          <w:lang w:val="es-ES_tradnl"/>
        </w:rPr>
        <w:footnoteReference w:customMarkFollows="1" w:id="2"/>
        <w:t xml:space="preserve">** </w:t>
      </w:r>
    </w:p>
    <w:p w:rsidR="00783CB4" w:rsidRDefault="00783CB4" w:rsidP="00D26304">
      <w:pPr>
        <w:tabs>
          <w:tab w:val="right" w:pos="850"/>
          <w:tab w:val="left" w:pos="1134"/>
          <w:tab w:val="left" w:pos="1559"/>
          <w:tab w:val="left" w:pos="1984"/>
          <w:tab w:val="left" w:leader="dot" w:pos="8787"/>
          <w:tab w:val="right" w:pos="9638"/>
        </w:tabs>
        <w:spacing w:after="120"/>
        <w:rPr>
          <w:sz w:val="28"/>
          <w:lang w:val="es-ES_tradnl"/>
        </w:rPr>
      </w:pPr>
      <w:r w:rsidRPr="00783CB4">
        <w:rPr>
          <w:lang w:val="es-ES_tradnl"/>
        </w:rPr>
        <w:br w:type="page"/>
      </w:r>
      <w:r>
        <w:rPr>
          <w:sz w:val="28"/>
          <w:lang w:val="es-ES_tradnl"/>
        </w:rPr>
        <w:lastRenderedPageBreak/>
        <w:t>Índice</w:t>
      </w:r>
    </w:p>
    <w:p w:rsidR="00783CB4" w:rsidRDefault="00783CB4" w:rsidP="00783CB4">
      <w:pPr>
        <w:tabs>
          <w:tab w:val="right" w:pos="9638"/>
        </w:tabs>
        <w:spacing w:after="120"/>
        <w:ind w:left="283"/>
        <w:rPr>
          <w:i/>
          <w:sz w:val="18"/>
          <w:lang w:val="es-ES_tradnl"/>
        </w:rPr>
      </w:pPr>
      <w:r>
        <w:rPr>
          <w:i/>
          <w:sz w:val="18"/>
          <w:lang w:val="es-ES_tradnl"/>
        </w:rPr>
        <w:tab/>
        <w:t>Página</w:t>
      </w:r>
    </w:p>
    <w:p w:rsidR="00783CB4" w:rsidRPr="00783CB4" w:rsidRDefault="00086EF6" w:rsidP="00086EF6">
      <w:pPr>
        <w:tabs>
          <w:tab w:val="right" w:pos="850"/>
          <w:tab w:val="left" w:pos="1134"/>
          <w:tab w:val="left" w:pos="1559"/>
          <w:tab w:val="left" w:pos="1984"/>
          <w:tab w:val="left" w:leader="dot" w:pos="8787"/>
          <w:tab w:val="right" w:pos="9638"/>
        </w:tabs>
        <w:spacing w:after="120"/>
      </w:pPr>
      <w:r>
        <w:tab/>
      </w:r>
      <w:r w:rsidR="00783CB4" w:rsidRPr="00783CB4">
        <w:t>I.</w:t>
      </w:r>
      <w:r w:rsidR="00783CB4" w:rsidRPr="00783CB4">
        <w:tab/>
      </w:r>
      <w:r w:rsidR="00783CB4" w:rsidRPr="00086EF6">
        <w:rPr>
          <w:rFonts w:eastAsiaTheme="minorHAnsi"/>
        </w:rPr>
        <w:t>Introducción</w:t>
      </w:r>
      <w:r>
        <w:tab/>
      </w:r>
      <w:r w:rsidR="00783CB4">
        <w:tab/>
      </w:r>
      <w:r w:rsidR="00D26304">
        <w:t>3</w:t>
      </w:r>
    </w:p>
    <w:p w:rsidR="00783CB4" w:rsidRPr="00783CB4" w:rsidRDefault="00783CB4" w:rsidP="00086EF6">
      <w:pPr>
        <w:tabs>
          <w:tab w:val="right" w:pos="850"/>
          <w:tab w:val="left" w:pos="1134"/>
          <w:tab w:val="left" w:pos="1559"/>
          <w:tab w:val="left" w:pos="1984"/>
          <w:tab w:val="left" w:leader="dot" w:pos="8787"/>
          <w:tab w:val="right" w:pos="9638"/>
        </w:tabs>
        <w:spacing w:after="120"/>
      </w:pPr>
      <w:r w:rsidRPr="00783CB4">
        <w:tab/>
        <w:t>II.</w:t>
      </w:r>
      <w:r w:rsidRPr="00783CB4">
        <w:tab/>
      </w:r>
      <w:r w:rsidRPr="00086EF6">
        <w:rPr>
          <w:rFonts w:eastAsiaTheme="minorHAnsi"/>
        </w:rPr>
        <w:t>Mecanismo</w:t>
      </w:r>
      <w:r w:rsidRPr="00783CB4">
        <w:t xml:space="preserve"> nacional de prevención</w:t>
      </w:r>
      <w:r w:rsidRPr="00783CB4">
        <w:tab/>
      </w:r>
      <w:r w:rsidR="00086EF6">
        <w:tab/>
      </w:r>
      <w:r w:rsidR="00D26304">
        <w:t>5</w:t>
      </w:r>
    </w:p>
    <w:p w:rsidR="00783CB4" w:rsidRPr="00783CB4" w:rsidRDefault="00783CB4" w:rsidP="00086EF6">
      <w:pPr>
        <w:tabs>
          <w:tab w:val="right" w:pos="850"/>
          <w:tab w:val="left" w:pos="1134"/>
          <w:tab w:val="left" w:pos="1559"/>
          <w:tab w:val="left" w:pos="1984"/>
          <w:tab w:val="left" w:leader="dot" w:pos="8787"/>
          <w:tab w:val="right" w:pos="9638"/>
        </w:tabs>
        <w:spacing w:after="120"/>
      </w:pPr>
      <w:r w:rsidRPr="00783CB4">
        <w:tab/>
        <w:t>III.</w:t>
      </w:r>
      <w:r w:rsidRPr="00783CB4">
        <w:tab/>
      </w:r>
      <w:r w:rsidRPr="00086EF6">
        <w:rPr>
          <w:rFonts w:eastAsiaTheme="minorHAnsi"/>
        </w:rPr>
        <w:t>Cuestiones</w:t>
      </w:r>
      <w:r w:rsidRPr="00783CB4">
        <w:t xml:space="preserve"> generales</w:t>
      </w:r>
      <w:r w:rsidRPr="00783CB4">
        <w:tab/>
      </w:r>
      <w:r w:rsidR="00086EF6">
        <w:tab/>
      </w:r>
      <w:r w:rsidR="00D26304">
        <w:t>6</w:t>
      </w:r>
    </w:p>
    <w:p w:rsidR="00783CB4" w:rsidRPr="00783CB4" w:rsidRDefault="00783CB4" w:rsidP="00086EF6">
      <w:pPr>
        <w:tabs>
          <w:tab w:val="right" w:pos="850"/>
          <w:tab w:val="left" w:pos="1134"/>
          <w:tab w:val="left" w:pos="1559"/>
          <w:tab w:val="left" w:pos="1984"/>
          <w:tab w:val="left" w:leader="dot" w:pos="8787"/>
          <w:tab w:val="right" w:pos="9638"/>
        </w:tabs>
        <w:spacing w:after="120"/>
      </w:pPr>
      <w:r w:rsidRPr="00783CB4">
        <w:tab/>
      </w:r>
      <w:r w:rsidR="00086EF6">
        <w:tab/>
      </w:r>
      <w:r w:rsidRPr="00783CB4">
        <w:t>A.</w:t>
      </w:r>
      <w:r w:rsidRPr="00783CB4">
        <w:tab/>
      </w:r>
      <w:r w:rsidRPr="00086EF6">
        <w:rPr>
          <w:rFonts w:eastAsiaTheme="minorHAnsi"/>
        </w:rPr>
        <w:t>Marco</w:t>
      </w:r>
      <w:r w:rsidRPr="00783CB4">
        <w:t xml:space="preserve"> </w:t>
      </w:r>
      <w:r w:rsidRPr="00086EF6">
        <w:rPr>
          <w:rFonts w:eastAsiaTheme="minorHAnsi"/>
        </w:rPr>
        <w:t>jurídico</w:t>
      </w:r>
      <w:r w:rsidRPr="00783CB4">
        <w:tab/>
      </w:r>
      <w:r w:rsidR="00086EF6">
        <w:tab/>
      </w:r>
      <w:r w:rsidR="00D26304">
        <w:t>6</w:t>
      </w:r>
    </w:p>
    <w:p w:rsidR="00783CB4" w:rsidRPr="00783CB4" w:rsidRDefault="00783CB4" w:rsidP="00086EF6">
      <w:pPr>
        <w:tabs>
          <w:tab w:val="right" w:pos="850"/>
          <w:tab w:val="left" w:pos="1134"/>
          <w:tab w:val="left" w:pos="1559"/>
          <w:tab w:val="left" w:pos="1984"/>
          <w:tab w:val="left" w:leader="dot" w:pos="8787"/>
          <w:tab w:val="right" w:pos="9638"/>
        </w:tabs>
        <w:spacing w:after="120"/>
      </w:pPr>
      <w:r w:rsidRPr="00783CB4">
        <w:tab/>
      </w:r>
      <w:r w:rsidR="00086EF6">
        <w:tab/>
      </w:r>
      <w:r w:rsidRPr="00783CB4">
        <w:t>B.</w:t>
      </w:r>
      <w:r w:rsidRPr="00783CB4">
        <w:tab/>
        <w:t>Marco institucional</w:t>
      </w:r>
      <w:r w:rsidRPr="00783CB4">
        <w:tab/>
      </w:r>
      <w:r w:rsidR="00086EF6">
        <w:tab/>
      </w:r>
      <w:r w:rsidR="00D26304">
        <w:t>7</w:t>
      </w:r>
    </w:p>
    <w:p w:rsidR="00783CB4" w:rsidRPr="00783CB4" w:rsidRDefault="00783CB4" w:rsidP="00086EF6">
      <w:pPr>
        <w:tabs>
          <w:tab w:val="right" w:pos="850"/>
          <w:tab w:val="left" w:pos="1134"/>
          <w:tab w:val="left" w:pos="1559"/>
          <w:tab w:val="left" w:pos="1984"/>
          <w:tab w:val="left" w:leader="dot" w:pos="8787"/>
          <w:tab w:val="right" w:pos="9638"/>
        </w:tabs>
        <w:spacing w:after="120"/>
      </w:pPr>
      <w:r w:rsidRPr="00783CB4">
        <w:tab/>
        <w:t>IV.</w:t>
      </w:r>
      <w:r w:rsidRPr="00783CB4">
        <w:tab/>
        <w:t xml:space="preserve">Situación </w:t>
      </w:r>
      <w:r w:rsidRPr="00086EF6">
        <w:rPr>
          <w:rFonts w:eastAsiaTheme="minorHAnsi"/>
        </w:rPr>
        <w:t>de</w:t>
      </w:r>
      <w:r w:rsidRPr="00783CB4">
        <w:t xml:space="preserve"> las personas privadas de libertad</w:t>
      </w:r>
      <w:r w:rsidRPr="00783CB4">
        <w:tab/>
      </w:r>
      <w:r w:rsidR="00086EF6">
        <w:tab/>
      </w:r>
      <w:r w:rsidR="00D26304">
        <w:t>9</w:t>
      </w:r>
    </w:p>
    <w:p w:rsidR="00783CB4" w:rsidRPr="00783CB4" w:rsidRDefault="00783CB4" w:rsidP="00086EF6">
      <w:pPr>
        <w:tabs>
          <w:tab w:val="right" w:pos="850"/>
          <w:tab w:val="left" w:pos="1134"/>
          <w:tab w:val="left" w:pos="1559"/>
          <w:tab w:val="left" w:pos="1984"/>
          <w:tab w:val="left" w:leader="dot" w:pos="8787"/>
          <w:tab w:val="right" w:pos="9638"/>
        </w:tabs>
        <w:spacing w:after="120"/>
      </w:pPr>
      <w:r w:rsidRPr="00783CB4">
        <w:tab/>
      </w:r>
      <w:r w:rsidR="00086EF6">
        <w:tab/>
      </w:r>
      <w:r w:rsidRPr="00783CB4">
        <w:t>A.</w:t>
      </w:r>
      <w:r w:rsidRPr="00783CB4">
        <w:tab/>
      </w:r>
      <w:r w:rsidRPr="00086EF6">
        <w:rPr>
          <w:rFonts w:eastAsiaTheme="minorHAnsi"/>
        </w:rPr>
        <w:t>Salvaguardias</w:t>
      </w:r>
      <w:r w:rsidRPr="00783CB4">
        <w:t xml:space="preserve"> fundamentales</w:t>
      </w:r>
      <w:r w:rsidRPr="00783CB4">
        <w:tab/>
      </w:r>
      <w:r w:rsidR="00086EF6">
        <w:tab/>
      </w:r>
      <w:r w:rsidR="00D26304">
        <w:t>9</w:t>
      </w:r>
    </w:p>
    <w:p w:rsidR="00783CB4" w:rsidRPr="00783CB4" w:rsidRDefault="00783CB4" w:rsidP="00086EF6">
      <w:pPr>
        <w:tabs>
          <w:tab w:val="right" w:pos="850"/>
          <w:tab w:val="left" w:pos="1134"/>
          <w:tab w:val="left" w:pos="1559"/>
          <w:tab w:val="left" w:pos="1984"/>
          <w:tab w:val="left" w:leader="dot" w:pos="8787"/>
          <w:tab w:val="right" w:pos="9638"/>
        </w:tabs>
        <w:spacing w:after="120"/>
      </w:pPr>
      <w:r w:rsidRPr="00783CB4">
        <w:tab/>
      </w:r>
      <w:r w:rsidR="00086EF6">
        <w:tab/>
      </w:r>
      <w:r w:rsidRPr="00783CB4">
        <w:t>B.</w:t>
      </w:r>
      <w:r w:rsidRPr="00783CB4">
        <w:tab/>
      </w:r>
      <w:r w:rsidRPr="00086EF6">
        <w:rPr>
          <w:rFonts w:eastAsiaTheme="minorHAnsi"/>
        </w:rPr>
        <w:t>Cuestiones</w:t>
      </w:r>
      <w:r w:rsidRPr="00783CB4">
        <w:t xml:space="preserve"> específicas</w:t>
      </w:r>
      <w:r w:rsidRPr="00783CB4">
        <w:tab/>
      </w:r>
      <w:r w:rsidR="00086EF6">
        <w:tab/>
      </w:r>
      <w:r w:rsidR="00D26304">
        <w:t>14</w:t>
      </w:r>
    </w:p>
    <w:p w:rsidR="00783CB4" w:rsidRPr="00783CB4" w:rsidRDefault="00783CB4" w:rsidP="00D26304">
      <w:pPr>
        <w:tabs>
          <w:tab w:val="right" w:pos="850"/>
          <w:tab w:val="left" w:pos="1134"/>
          <w:tab w:val="left" w:pos="1559"/>
          <w:tab w:val="left" w:pos="1984"/>
          <w:tab w:val="left" w:leader="dot" w:pos="8787"/>
          <w:tab w:val="right" w:pos="9638"/>
        </w:tabs>
        <w:spacing w:after="120"/>
      </w:pPr>
      <w:r w:rsidRPr="00783CB4">
        <w:tab/>
        <w:t>V.</w:t>
      </w:r>
      <w:r w:rsidRPr="00783CB4">
        <w:tab/>
        <w:t xml:space="preserve">Repercusiones </w:t>
      </w:r>
      <w:r w:rsidRPr="00086EF6">
        <w:rPr>
          <w:rFonts w:eastAsiaTheme="minorHAnsi"/>
        </w:rPr>
        <w:t>de</w:t>
      </w:r>
      <w:r w:rsidRPr="00783CB4">
        <w:t xml:space="preserve"> la visita</w:t>
      </w:r>
      <w:r w:rsidRPr="00783CB4">
        <w:tab/>
      </w:r>
      <w:r w:rsidR="00086EF6">
        <w:tab/>
      </w:r>
      <w:r w:rsidR="00D26304">
        <w:t>20</w:t>
      </w:r>
    </w:p>
    <w:p w:rsidR="00783CB4" w:rsidRPr="00783CB4" w:rsidRDefault="00783CB4" w:rsidP="00D26304">
      <w:pPr>
        <w:pStyle w:val="H56G"/>
        <w:rPr>
          <w:lang w:val="en-US"/>
        </w:rPr>
      </w:pPr>
      <w:r w:rsidRPr="00783CB4">
        <w:tab/>
      </w:r>
      <w:r w:rsidRPr="00783CB4">
        <w:rPr>
          <w:lang w:val="en-US"/>
        </w:rPr>
        <w:t>Anexos</w:t>
      </w:r>
    </w:p>
    <w:p w:rsidR="00D26304" w:rsidRDefault="00783CB4" w:rsidP="00D26304">
      <w:pPr>
        <w:tabs>
          <w:tab w:val="right" w:pos="850"/>
          <w:tab w:val="left" w:pos="1134"/>
          <w:tab w:val="left" w:pos="1559"/>
          <w:tab w:val="left" w:pos="1984"/>
          <w:tab w:val="left" w:leader="dot" w:pos="8787"/>
          <w:tab w:val="left" w:pos="9477"/>
        </w:tabs>
        <w:spacing w:after="120"/>
        <w:ind w:right="-49"/>
        <w:rPr>
          <w:lang w:val="en-US"/>
        </w:rPr>
      </w:pPr>
      <w:r w:rsidRPr="00783CB4">
        <w:rPr>
          <w:lang w:val="en-US"/>
        </w:rPr>
        <w:tab/>
        <w:t>I.</w:t>
      </w:r>
      <w:r w:rsidRPr="00783CB4">
        <w:rPr>
          <w:lang w:val="en-US"/>
        </w:rPr>
        <w:tab/>
      </w:r>
      <w:r w:rsidRPr="00D26304">
        <w:rPr>
          <w:lang w:val="en-US"/>
        </w:rPr>
        <w:t>List</w:t>
      </w:r>
      <w:r w:rsidRPr="00783CB4">
        <w:rPr>
          <w:lang w:val="en-US"/>
        </w:rPr>
        <w:t xml:space="preserve"> of </w:t>
      </w:r>
      <w:r w:rsidRPr="00086EF6">
        <w:rPr>
          <w:rFonts w:eastAsiaTheme="minorHAnsi"/>
          <w:lang w:val="en-US"/>
        </w:rPr>
        <w:t>places</w:t>
      </w:r>
      <w:r w:rsidRPr="00783CB4">
        <w:rPr>
          <w:lang w:val="en-US"/>
        </w:rPr>
        <w:t xml:space="preserve"> of deprivation of liberty </w:t>
      </w:r>
      <w:r w:rsidRPr="00D26304">
        <w:rPr>
          <w:lang w:val="en-US"/>
        </w:rPr>
        <w:t>visited</w:t>
      </w:r>
      <w:r w:rsidRPr="00783CB4">
        <w:rPr>
          <w:lang w:val="en-US"/>
        </w:rPr>
        <w:t xml:space="preserve"> by the Subcommittee</w:t>
      </w:r>
      <w:r w:rsidRPr="00783CB4">
        <w:rPr>
          <w:lang w:val="en-US"/>
        </w:rPr>
        <w:tab/>
      </w:r>
      <w:r w:rsidR="00D26304">
        <w:rPr>
          <w:lang w:val="en-US"/>
        </w:rPr>
        <w:tab/>
        <w:t>21</w:t>
      </w:r>
    </w:p>
    <w:p w:rsidR="00086EF6" w:rsidRDefault="00086EF6" w:rsidP="00D26304">
      <w:pPr>
        <w:tabs>
          <w:tab w:val="right" w:pos="850"/>
          <w:tab w:val="left" w:pos="1134"/>
          <w:tab w:val="left" w:pos="1559"/>
          <w:tab w:val="left" w:pos="1984"/>
          <w:tab w:val="left" w:leader="dot" w:pos="8787"/>
          <w:tab w:val="left" w:pos="9477"/>
        </w:tabs>
        <w:spacing w:after="120"/>
        <w:ind w:right="-49"/>
        <w:rPr>
          <w:lang w:val="en-US"/>
        </w:rPr>
      </w:pPr>
      <w:r>
        <w:rPr>
          <w:lang w:val="en-US"/>
        </w:rPr>
        <w:tab/>
        <w:t>II</w:t>
      </w:r>
      <w:r>
        <w:rPr>
          <w:lang w:val="en-US"/>
        </w:rPr>
        <w:tab/>
      </w:r>
      <w:r w:rsidR="00783CB4" w:rsidRPr="00783CB4">
        <w:rPr>
          <w:lang w:val="en-US"/>
        </w:rPr>
        <w:t xml:space="preserve">List of government officials and other </w:t>
      </w:r>
      <w:r w:rsidR="00783CB4" w:rsidRPr="00F46882">
        <w:rPr>
          <w:lang w:val="en-US"/>
        </w:rPr>
        <w:t>persons</w:t>
      </w:r>
      <w:r>
        <w:rPr>
          <w:lang w:val="en-US"/>
        </w:rPr>
        <w:t xml:space="preserve"> with whom the Subcommittee met</w:t>
      </w:r>
      <w:r>
        <w:rPr>
          <w:lang w:val="en-US"/>
        </w:rPr>
        <w:tab/>
      </w:r>
      <w:r>
        <w:rPr>
          <w:lang w:val="en-US"/>
        </w:rPr>
        <w:tab/>
      </w:r>
      <w:r w:rsidR="00D26304">
        <w:rPr>
          <w:lang w:val="en-US"/>
        </w:rPr>
        <w:t>23</w:t>
      </w:r>
    </w:p>
    <w:p w:rsidR="00783CB4" w:rsidRPr="0097403E" w:rsidRDefault="0097403E" w:rsidP="00B006D7">
      <w:pPr>
        <w:pStyle w:val="HChG"/>
      </w:pPr>
      <w:r w:rsidRPr="00A92AE2">
        <w:rPr>
          <w:lang w:val="en-US"/>
        </w:rPr>
        <w:br w:type="page"/>
      </w:r>
      <w:r w:rsidR="00086EF6" w:rsidRPr="00A92AE2">
        <w:rPr>
          <w:lang w:val="en-US"/>
        </w:rPr>
        <w:lastRenderedPageBreak/>
        <w:tab/>
      </w:r>
      <w:r w:rsidR="00783CB4" w:rsidRPr="0097403E">
        <w:t>I.</w:t>
      </w:r>
      <w:r w:rsidR="00783CB4" w:rsidRPr="0097403E">
        <w:tab/>
      </w:r>
      <w:r w:rsidR="00783CB4" w:rsidRPr="0097403E">
        <w:rPr>
          <w:lang w:val="es-ES_tradnl"/>
        </w:rPr>
        <w:t>Introducción</w:t>
      </w:r>
    </w:p>
    <w:p w:rsidR="00783CB4" w:rsidRPr="00783CB4" w:rsidRDefault="00783CB4" w:rsidP="00783CB4">
      <w:pPr>
        <w:pStyle w:val="SingleTxtG"/>
        <w:rPr>
          <w:lang w:val="es-ES_tradnl"/>
        </w:rPr>
      </w:pPr>
      <w:r w:rsidRPr="00783CB4">
        <w:rPr>
          <w:lang w:val="es-ES_tradnl"/>
        </w:rPr>
        <w:t>1.</w:t>
      </w:r>
      <w:r w:rsidRPr="00783CB4">
        <w:rPr>
          <w:lang w:val="es-ES_tradnl"/>
        </w:rPr>
        <w:tab/>
        <w:t>De conformidad con el mandato que le confieren los artículos 11 y 13 del Protocolo Facultativo de la Convención contra la Tortura y Otros Tratos o Penas Crueles, Inhumanos o Degradantes, el Subcomité para la Prevención de la Tortura y Otros Tratos o Penas Crueles, Inhumanos o Degradantes realizó su s</w:t>
      </w:r>
      <w:r>
        <w:rPr>
          <w:lang w:val="es-ES_tradnl"/>
        </w:rPr>
        <w:t>egunda visita a Ucrania en 2016. El 25 de mayo de 2016 el Subcomité suspendió la visita, que había comenzado el 19 de mayo, por falta de cooperación</w:t>
      </w:r>
      <w:r w:rsidRPr="00783CB4">
        <w:rPr>
          <w:lang w:val="es-ES_tradnl"/>
        </w:rPr>
        <w:t xml:space="preserve">; la segunda parte de la visita se llevó a cabo del 5 al </w:t>
      </w:r>
      <w:r>
        <w:rPr>
          <w:lang w:val="es-ES_tradnl"/>
        </w:rPr>
        <w:t>9 de septiembre de </w:t>
      </w:r>
      <w:r w:rsidRPr="00783CB4">
        <w:rPr>
          <w:lang w:val="es-ES_tradnl"/>
        </w:rPr>
        <w:t>2016.</w:t>
      </w:r>
    </w:p>
    <w:p w:rsidR="00783CB4" w:rsidRPr="00783CB4" w:rsidRDefault="00783CB4" w:rsidP="00783CB4">
      <w:pPr>
        <w:pStyle w:val="SingleTxtG"/>
        <w:rPr>
          <w:lang w:val="es-ES_tradnl"/>
        </w:rPr>
      </w:pPr>
      <w:r w:rsidRPr="00783CB4">
        <w:rPr>
          <w:lang w:val="es-ES_tradnl"/>
        </w:rPr>
        <w:t>2.</w:t>
      </w:r>
      <w:r w:rsidRPr="00783CB4">
        <w:rPr>
          <w:lang w:val="es-ES_tradnl"/>
        </w:rPr>
        <w:tab/>
        <w:t xml:space="preserve">En mayo de 2016, el Subcomité tenía la intención de visitar </w:t>
      </w:r>
      <w:r>
        <w:rPr>
          <w:lang w:val="es-ES_tradnl"/>
        </w:rPr>
        <w:t xml:space="preserve">numerosas </w:t>
      </w:r>
      <w:r w:rsidRPr="00783CB4">
        <w:rPr>
          <w:lang w:val="es-ES_tradnl"/>
        </w:rPr>
        <w:t xml:space="preserve">instituciones en diferentes partes del país, incluidos centros de prisión preventiva y de detención temporal, instituciones penitenciarias, un hospital de salud mental, una institución de asistencia social y centros </w:t>
      </w:r>
      <w:r>
        <w:rPr>
          <w:lang w:val="es-ES_tradnl"/>
        </w:rPr>
        <w:t>dependientes</w:t>
      </w:r>
      <w:r w:rsidRPr="00783CB4">
        <w:rPr>
          <w:lang w:val="es-ES_tradnl"/>
        </w:rPr>
        <w:t xml:space="preserve"> del Servicio de Seguridad del Estado (véase el anexo I). Sin embargo, el Subcomité no pudo ejecutar plenamente su mandato, </w:t>
      </w:r>
      <w:r>
        <w:rPr>
          <w:lang w:val="es-ES_tradnl"/>
        </w:rPr>
        <w:t xml:space="preserve">ya que se </w:t>
      </w:r>
      <w:r w:rsidR="006F6783">
        <w:rPr>
          <w:lang w:val="es-ES_tradnl"/>
        </w:rPr>
        <w:t>les</w:t>
      </w:r>
      <w:r>
        <w:rPr>
          <w:lang w:val="es-ES_tradnl"/>
        </w:rPr>
        <w:t xml:space="preserve"> denegó </w:t>
      </w:r>
      <w:r w:rsidRPr="00783CB4">
        <w:rPr>
          <w:lang w:val="es-ES_tradnl"/>
        </w:rPr>
        <w:t xml:space="preserve">el acceso a todas las </w:t>
      </w:r>
      <w:r>
        <w:rPr>
          <w:lang w:val="es-ES_tradnl"/>
        </w:rPr>
        <w:t>dependencias</w:t>
      </w:r>
      <w:r w:rsidRPr="00783CB4">
        <w:rPr>
          <w:lang w:val="es-ES_tradnl"/>
        </w:rPr>
        <w:t xml:space="preserve"> del Servicio de Seguridad del Estado</w:t>
      </w:r>
      <w:r>
        <w:rPr>
          <w:lang w:val="es-ES_tradnl"/>
        </w:rPr>
        <w:t>,</w:t>
      </w:r>
      <w:r w:rsidRPr="00783CB4">
        <w:rPr>
          <w:lang w:val="es-ES_tradnl"/>
        </w:rPr>
        <w:t xml:space="preserve"> salvo una, y sufri</w:t>
      </w:r>
      <w:r>
        <w:rPr>
          <w:lang w:val="es-ES_tradnl"/>
        </w:rPr>
        <w:t>ó</w:t>
      </w:r>
      <w:r w:rsidRPr="00783CB4">
        <w:rPr>
          <w:lang w:val="es-ES_tradnl"/>
        </w:rPr>
        <w:t xml:space="preserve"> retrasos para entrar en aquella a la que no se le había denegado el acceso, lo que llevó a la delegación a desconfiar de la integridad de sus constataciones.</w:t>
      </w:r>
    </w:p>
    <w:p w:rsidR="00783CB4" w:rsidRPr="00783CB4" w:rsidRDefault="00783CB4" w:rsidP="00783CB4">
      <w:pPr>
        <w:pStyle w:val="SingleTxtG"/>
        <w:rPr>
          <w:lang w:val="es-ES_tradnl"/>
        </w:rPr>
      </w:pPr>
      <w:r w:rsidRPr="00783CB4">
        <w:rPr>
          <w:lang w:val="es-ES_tradnl"/>
        </w:rPr>
        <w:t>3.</w:t>
      </w:r>
      <w:r w:rsidRPr="00783CB4">
        <w:rPr>
          <w:lang w:val="es-ES_tradnl"/>
        </w:rPr>
        <w:tab/>
        <w:t xml:space="preserve">Además, pese a que las autoridades cooperaron con el Subcomité en la fase preparatoria de la visita, no le facilitaron una lista completa y exhaustiva de todos los lugares de privación de libertad y sus direcciones. Por otro lado, las credenciales que se le proporcionaron no </w:t>
      </w:r>
      <w:r>
        <w:rPr>
          <w:lang w:val="es-ES_tradnl"/>
        </w:rPr>
        <w:t>satisfacían</w:t>
      </w:r>
      <w:r w:rsidRPr="00783CB4">
        <w:rPr>
          <w:lang w:val="es-ES_tradnl"/>
        </w:rPr>
        <w:t xml:space="preserve"> plenamente las condiciones que había solicitado ni las condiciones de acceso </w:t>
      </w:r>
      <w:r>
        <w:rPr>
          <w:lang w:val="es-ES_tradnl"/>
        </w:rPr>
        <w:t>previstas en</w:t>
      </w:r>
      <w:r w:rsidRPr="00783CB4">
        <w:rPr>
          <w:lang w:val="es-ES_tradnl"/>
        </w:rPr>
        <w:t xml:space="preserve"> el Protocolo Facultativo.</w:t>
      </w:r>
    </w:p>
    <w:p w:rsidR="00783CB4" w:rsidRPr="00783CB4" w:rsidRDefault="00783CB4" w:rsidP="00783CB4">
      <w:pPr>
        <w:pStyle w:val="SingleTxtG"/>
        <w:rPr>
          <w:lang w:val="es-ES_tradnl"/>
        </w:rPr>
      </w:pPr>
      <w:r w:rsidRPr="00783CB4">
        <w:rPr>
          <w:lang w:val="es-ES_tradnl"/>
        </w:rPr>
        <w:t>4.</w:t>
      </w:r>
      <w:r w:rsidRPr="00783CB4">
        <w:rPr>
          <w:lang w:val="es-ES_tradnl"/>
        </w:rPr>
        <w:tab/>
      </w:r>
      <w:r>
        <w:rPr>
          <w:lang w:val="es-ES_tradnl"/>
        </w:rPr>
        <w:t>Por todo ello, la delegación concluyó que no podría cumplir las funciones que le encomendaba el Protocolo Facultativo, y, en consulta con la Mesa del Subcomité, decidió</w:t>
      </w:r>
      <w:r w:rsidRPr="00783CB4">
        <w:rPr>
          <w:lang w:val="es-ES_tradnl"/>
        </w:rPr>
        <w:t xml:space="preserve">, suspender la visita el 25 de mayo de 2016. Explicó sus motivos a las autoridades </w:t>
      </w:r>
      <w:r>
        <w:rPr>
          <w:lang w:val="es-ES_tradnl"/>
        </w:rPr>
        <w:t xml:space="preserve">ucranianas </w:t>
      </w:r>
      <w:r w:rsidRPr="00783CB4">
        <w:rPr>
          <w:lang w:val="es-ES_tradnl"/>
        </w:rPr>
        <w:t>de manera verbal y confidencial, resumiendo brevemente sus observaciones preliminares hasta la fecha.</w:t>
      </w:r>
    </w:p>
    <w:p w:rsidR="00783CB4" w:rsidRPr="00783CB4" w:rsidRDefault="00783CB4" w:rsidP="00783CB4">
      <w:pPr>
        <w:pStyle w:val="SingleTxtG"/>
        <w:rPr>
          <w:lang w:val="es-ES_tradnl"/>
        </w:rPr>
      </w:pPr>
      <w:r w:rsidRPr="00783CB4">
        <w:rPr>
          <w:lang w:val="es-ES_tradnl"/>
        </w:rPr>
        <w:t>5.</w:t>
      </w:r>
      <w:r w:rsidRPr="00783CB4">
        <w:rPr>
          <w:lang w:val="es-ES_tradnl"/>
        </w:rPr>
        <w:tab/>
        <w:t>Tras varias conversaciones positivas con el Gobierno de Ucrania, el Subcomité reanudó y concluyó su visita en septiembre de 2016, y durante esa segunda etapa visitó o volvió a visitar nueve centros de detención preventiva y temporal, además</w:t>
      </w:r>
      <w:r>
        <w:rPr>
          <w:lang w:val="es-ES_tradnl"/>
        </w:rPr>
        <w:t xml:space="preserve"> varios</w:t>
      </w:r>
      <w:r w:rsidRPr="00783CB4">
        <w:rPr>
          <w:lang w:val="es-ES_tradnl"/>
        </w:rPr>
        <w:t xml:space="preserve"> de centros dependientes del Servicio de Seguridad del Estado. Durante ese período se concedió a la delegación acceso pleno e inmediato a todos los lugares que deseaba visitar. Sin embargo, el Subcomité sigue preocupado por lo que parece haber sido una política de “saneamiento” de instalaciones antes de su visita con el objeto de reducir al mínimo las probabilidades de que observara posibles aspectos preocupantes; el Subcomité tuvo la clara impresión de</w:t>
      </w:r>
      <w:r>
        <w:rPr>
          <w:lang w:val="es-ES_tradnl"/>
        </w:rPr>
        <w:t xml:space="preserve"> que alguno</w:t>
      </w:r>
      <w:r w:rsidRPr="00783CB4">
        <w:rPr>
          <w:lang w:val="es-ES_tradnl"/>
        </w:rPr>
        <w:t xml:space="preserve">s espacios </w:t>
      </w:r>
      <w:r>
        <w:rPr>
          <w:lang w:val="es-ES_tradnl"/>
        </w:rPr>
        <w:t xml:space="preserve">y </w:t>
      </w:r>
      <w:r w:rsidRPr="00783CB4">
        <w:rPr>
          <w:lang w:val="es-ES_tradnl"/>
        </w:rPr>
        <w:t xml:space="preserve">salas habían sido despejados para que pareciese que no se habían utilizado con fines de </w:t>
      </w:r>
      <w:r>
        <w:rPr>
          <w:lang w:val="es-ES_tradnl"/>
        </w:rPr>
        <w:t>reclusión</w:t>
      </w:r>
      <w:r w:rsidRPr="00783CB4">
        <w:rPr>
          <w:lang w:val="es-ES_tradnl"/>
        </w:rPr>
        <w:t>.</w:t>
      </w:r>
    </w:p>
    <w:p w:rsidR="00783CB4" w:rsidRPr="00783CB4" w:rsidRDefault="00783CB4" w:rsidP="00783CB4">
      <w:pPr>
        <w:pStyle w:val="SingleTxtG"/>
        <w:rPr>
          <w:lang w:val="es-ES_tradnl"/>
        </w:rPr>
      </w:pPr>
      <w:r w:rsidRPr="00783CB4">
        <w:rPr>
          <w:lang w:val="es-ES_tradnl"/>
        </w:rPr>
        <w:t>6.</w:t>
      </w:r>
      <w:r w:rsidRPr="00783CB4">
        <w:rPr>
          <w:lang w:val="es-ES_tradnl"/>
        </w:rPr>
        <w:tab/>
        <w:t xml:space="preserve">Además de visitar algunos lugares </w:t>
      </w:r>
      <w:r>
        <w:rPr>
          <w:lang w:val="es-ES_tradnl"/>
        </w:rPr>
        <w:t xml:space="preserve">de privación </w:t>
      </w:r>
      <w:r w:rsidRPr="00783CB4">
        <w:rPr>
          <w:lang w:val="es-ES_tradnl"/>
        </w:rPr>
        <w:t xml:space="preserve">de libertad, el Subcomité mantuvo conversaciones con las autoridades gubernamentales competentes, el mecanismo nacional de prevención y organizaciones de la sociedad civil, así como con representantes de las Naciones Unidas y otras organizaciones internacionales </w:t>
      </w:r>
      <w:r w:rsidR="00FB2616">
        <w:rPr>
          <w:lang w:val="es-ES_tradnl"/>
        </w:rPr>
        <w:t>presentes en el país (véase el anexo </w:t>
      </w:r>
      <w:r w:rsidRPr="00783CB4">
        <w:rPr>
          <w:lang w:val="es-ES_tradnl"/>
        </w:rPr>
        <w:t xml:space="preserve">II). Se entrevistó con personas privadas de libertad, agentes del orden, </w:t>
      </w:r>
      <w:r w:rsidR="00FB2616">
        <w:rPr>
          <w:lang w:val="es-ES_tradnl"/>
        </w:rPr>
        <w:t xml:space="preserve">profesionales </w:t>
      </w:r>
      <w:r w:rsidRPr="00783CB4">
        <w:rPr>
          <w:lang w:val="es-ES_tradnl"/>
        </w:rPr>
        <w:t>médico</w:t>
      </w:r>
      <w:r w:rsidR="00FB2616">
        <w:rPr>
          <w:lang w:val="es-ES_tradnl"/>
        </w:rPr>
        <w:t>s</w:t>
      </w:r>
      <w:r w:rsidRPr="00783CB4">
        <w:rPr>
          <w:lang w:val="es-ES_tradnl"/>
        </w:rPr>
        <w:t xml:space="preserve"> y personal de las instalaciones penitenciarias. El Subcomité agradece a todas las partes la valiosa información facilitada, y manifiesta su especial gratitud a la </w:t>
      </w:r>
      <w:r w:rsidR="00FB2616" w:rsidRPr="00783CB4">
        <w:rPr>
          <w:lang w:val="es-ES_tradnl"/>
        </w:rPr>
        <w:t xml:space="preserve">Misión </w:t>
      </w:r>
      <w:r w:rsidRPr="00783CB4">
        <w:rPr>
          <w:lang w:val="es-ES_tradnl"/>
        </w:rPr>
        <w:t xml:space="preserve">de las Naciones Unidas de </w:t>
      </w:r>
      <w:r w:rsidR="00FB2616" w:rsidRPr="00783CB4">
        <w:rPr>
          <w:lang w:val="es-ES_tradnl"/>
        </w:rPr>
        <w:t xml:space="preserve">Vigilancia </w:t>
      </w:r>
      <w:r w:rsidRPr="00783CB4">
        <w:rPr>
          <w:lang w:val="es-ES_tradnl"/>
        </w:rPr>
        <w:t xml:space="preserve">de los </w:t>
      </w:r>
      <w:r w:rsidR="00FB2616" w:rsidRPr="00783CB4">
        <w:rPr>
          <w:lang w:val="es-ES_tradnl"/>
        </w:rPr>
        <w:t xml:space="preserve">Derechos Humanos </w:t>
      </w:r>
      <w:r w:rsidRPr="00783CB4">
        <w:rPr>
          <w:lang w:val="es-ES_tradnl"/>
        </w:rPr>
        <w:t>en Ucrania por su apoyo técnico.</w:t>
      </w:r>
    </w:p>
    <w:p w:rsidR="00783CB4" w:rsidRPr="00783CB4" w:rsidRDefault="00783CB4" w:rsidP="00783CB4">
      <w:pPr>
        <w:pStyle w:val="SingleTxtG"/>
        <w:rPr>
          <w:lang w:val="es-ES_tradnl"/>
        </w:rPr>
      </w:pPr>
      <w:r w:rsidRPr="00783CB4">
        <w:rPr>
          <w:lang w:val="es-ES_tradnl"/>
        </w:rPr>
        <w:t>7.</w:t>
      </w:r>
      <w:r w:rsidRPr="00783CB4">
        <w:rPr>
          <w:lang w:val="es-ES_tradnl"/>
        </w:rPr>
        <w:tab/>
        <w:t>En Ucrania el Subcomité estuvo representado por Malcolm Evans (Presidente del Subcomité y jefe de la delegación), Victor Zaharia (</w:t>
      </w:r>
      <w:r w:rsidR="00FB2616" w:rsidRPr="00783CB4">
        <w:rPr>
          <w:lang w:val="es-ES_tradnl"/>
        </w:rPr>
        <w:t xml:space="preserve">Coordinador </w:t>
      </w:r>
      <w:r w:rsidRPr="00783CB4">
        <w:rPr>
          <w:lang w:val="es-ES_tradnl"/>
        </w:rPr>
        <w:t>sobre las represalias), Mari Amos (en mayo de 2016), June Caridad Pagaduan Lopez (en mayo de 2016) y Marija Definis-Gojanović (en septiembre de 2016). El Subcomité contó con la asistencia de oficiales de derechos humanos y oficiales de seguridad de la Oficina del Alto Comisionado de las Naciones Unidas para los Derechos Humanos, así como de intérpretes.</w:t>
      </w:r>
    </w:p>
    <w:p w:rsidR="00783CB4" w:rsidRPr="00783CB4" w:rsidRDefault="00783CB4" w:rsidP="00783CB4">
      <w:pPr>
        <w:pStyle w:val="SingleTxtG"/>
        <w:rPr>
          <w:lang w:val="es-ES_tradnl"/>
        </w:rPr>
      </w:pPr>
      <w:r w:rsidRPr="00783CB4">
        <w:rPr>
          <w:lang w:val="es-ES_tradnl"/>
        </w:rPr>
        <w:t>8.</w:t>
      </w:r>
      <w:r w:rsidRPr="00783CB4">
        <w:rPr>
          <w:lang w:val="es-ES_tradnl"/>
        </w:rPr>
        <w:tab/>
        <w:t>El Subcomité considera que su mandato abarca la totalidad del territorio internacionalmente reconocido de Ucrania, de conformidad con la resolución 68/262 de la Asamblea General.</w:t>
      </w:r>
      <w:r w:rsidR="00196886">
        <w:rPr>
          <w:lang w:val="es-ES_tradnl"/>
        </w:rPr>
        <w:t xml:space="preserve"> </w:t>
      </w:r>
      <w:r w:rsidR="00196886" w:rsidRPr="00A812C1">
        <w:t>El Subcomité trató de visitar</w:t>
      </w:r>
      <w:r w:rsidR="00196886">
        <w:t xml:space="preserve"> varios</w:t>
      </w:r>
      <w:r w:rsidR="00196886" w:rsidRPr="00A812C1">
        <w:t xml:space="preserve"> lugares de </w:t>
      </w:r>
      <w:r w:rsidR="00196886">
        <w:t xml:space="preserve">privación de libertad </w:t>
      </w:r>
      <w:r w:rsidR="00196886">
        <w:lastRenderedPageBreak/>
        <w:t>situados en zonas de la región de Donetsk controladas por grupos armados, y lamenta que,</w:t>
      </w:r>
      <w:r w:rsidRPr="00783CB4">
        <w:rPr>
          <w:lang w:val="es-ES_tradnl"/>
        </w:rPr>
        <w:t xml:space="preserve"> </w:t>
      </w:r>
      <w:r w:rsidR="00196886">
        <w:rPr>
          <w:lang w:val="es-ES_tradnl"/>
        </w:rPr>
        <w:t xml:space="preserve">finalmente </w:t>
      </w:r>
      <w:r w:rsidRPr="00783CB4">
        <w:rPr>
          <w:lang w:val="es-ES_tradnl"/>
        </w:rPr>
        <w:t xml:space="preserve">no pudiera obtener acceso a esos lugares, ya que es consciente de las graves preocupaciones </w:t>
      </w:r>
      <w:r w:rsidR="00196886">
        <w:rPr>
          <w:lang w:val="es-ES_tradnl"/>
        </w:rPr>
        <w:t>que suscita</w:t>
      </w:r>
      <w:r w:rsidRPr="00783CB4">
        <w:rPr>
          <w:lang w:val="es-ES_tradnl"/>
        </w:rPr>
        <w:t xml:space="preserve"> la situación de las personas </w:t>
      </w:r>
      <w:r w:rsidR="00196886">
        <w:rPr>
          <w:lang w:val="es-ES_tradnl"/>
        </w:rPr>
        <w:t xml:space="preserve">recluidas </w:t>
      </w:r>
      <w:r w:rsidRPr="00783CB4">
        <w:rPr>
          <w:lang w:val="es-ES_tradnl"/>
        </w:rPr>
        <w:t>con las que no pudo tener contacto.</w:t>
      </w:r>
    </w:p>
    <w:p w:rsidR="00783CB4" w:rsidRPr="00783CB4" w:rsidRDefault="00783CB4" w:rsidP="00783CB4">
      <w:pPr>
        <w:pStyle w:val="SingleTxtG"/>
        <w:rPr>
          <w:lang w:val="es-ES_tradnl"/>
        </w:rPr>
      </w:pPr>
      <w:r w:rsidRPr="00783CB4">
        <w:rPr>
          <w:lang w:val="es-ES_tradnl"/>
        </w:rPr>
        <w:t>9.</w:t>
      </w:r>
      <w:r w:rsidRPr="00783CB4">
        <w:rPr>
          <w:lang w:val="es-ES_tradnl"/>
        </w:rPr>
        <w:tab/>
        <w:t>El presente informe contiene las conclusiones y las recomendaciones generales acerca de la prevención de la tortura y los malos tratos de las personas privadas de libertad (a las que también se hace referencia como personas “detenidas” o “</w:t>
      </w:r>
      <w:r w:rsidR="00196886">
        <w:rPr>
          <w:lang w:val="es-ES_tradnl"/>
        </w:rPr>
        <w:t>recluidas</w:t>
      </w:r>
      <w:r w:rsidRPr="00783CB4">
        <w:rPr>
          <w:lang w:val="es-ES_tradnl"/>
        </w:rPr>
        <w:t>”) en Ucrania. Para su elaboración, el Subcomité tomó en consideración el informe sobre su primera visita al Estado parte, realizada en 2011, y las medidas adoptadas atendiendo a las recomendaciones formuladas en ese informe (CAT/OP/UKR/1). El término genérico “malos tratos” se utiliza para hacer referencia a cualquier forma de tratos o penas crueles, inhumanos o degradantes</w:t>
      </w:r>
      <w:r w:rsidRPr="00783CB4">
        <w:rPr>
          <w:vertAlign w:val="superscript"/>
          <w:lang w:val="es-ES_tradnl"/>
        </w:rPr>
        <w:footnoteReference w:id="3"/>
      </w:r>
      <w:r w:rsidRPr="00783CB4">
        <w:rPr>
          <w:lang w:val="es-ES_tradnl"/>
        </w:rPr>
        <w:t>.</w:t>
      </w:r>
    </w:p>
    <w:p w:rsidR="00783CB4" w:rsidRPr="00783CB4" w:rsidRDefault="00783CB4" w:rsidP="00783CB4">
      <w:pPr>
        <w:pStyle w:val="SingleTxtG"/>
        <w:rPr>
          <w:lang w:val="es-ES_tradnl"/>
        </w:rPr>
      </w:pPr>
      <w:r w:rsidRPr="00783CB4">
        <w:rPr>
          <w:lang w:val="es-ES_tradnl"/>
        </w:rPr>
        <w:t>10.</w:t>
      </w:r>
      <w:r w:rsidRPr="00783CB4">
        <w:rPr>
          <w:lang w:val="es-ES_tradnl"/>
        </w:rPr>
        <w:tab/>
      </w:r>
      <w:r w:rsidRPr="00783CB4">
        <w:rPr>
          <w:b/>
          <w:lang w:val="es-ES_tradnl"/>
        </w:rPr>
        <w:t>El Subcomité solicita a las autoridades de Ucrania que, en el plazo de seis meses desde la fecha de transmisión del presente informe, le faciliten una respuesta en la que den cuenta de las medidas adoptadas y presente</w:t>
      </w:r>
      <w:r w:rsidR="00196886">
        <w:rPr>
          <w:b/>
          <w:lang w:val="es-ES_tradnl"/>
        </w:rPr>
        <w:t>n</w:t>
      </w:r>
      <w:r w:rsidRPr="00783CB4">
        <w:rPr>
          <w:b/>
          <w:lang w:val="es-ES_tradnl"/>
        </w:rPr>
        <w:t xml:space="preserve"> una hoja de ruta para la plena aplicación de las recomendaciones</w:t>
      </w:r>
      <w:r w:rsidRPr="00783CB4">
        <w:rPr>
          <w:b/>
        </w:rPr>
        <w:t xml:space="preserve"> formuladas en el informe</w:t>
      </w:r>
      <w:r w:rsidRPr="00783CB4">
        <w:rPr>
          <w:b/>
          <w:lang w:val="es-ES_tradnl"/>
        </w:rPr>
        <w:t>.</w:t>
      </w:r>
    </w:p>
    <w:p w:rsidR="00783CB4" w:rsidRPr="00783CB4" w:rsidRDefault="00783CB4" w:rsidP="00783CB4">
      <w:pPr>
        <w:pStyle w:val="SingleTxtG"/>
        <w:rPr>
          <w:lang w:val="es-ES_tradnl"/>
        </w:rPr>
      </w:pPr>
      <w:r w:rsidRPr="00783CB4">
        <w:rPr>
          <w:lang w:val="es-ES_tradnl"/>
        </w:rPr>
        <w:t>11.</w:t>
      </w:r>
      <w:r w:rsidRPr="00783CB4">
        <w:rPr>
          <w:lang w:val="es-ES_tradnl"/>
        </w:rPr>
        <w:tab/>
        <w:t xml:space="preserve">El presente informe </w:t>
      </w:r>
      <w:r w:rsidR="00196886">
        <w:rPr>
          <w:lang w:val="es-ES_tradnl"/>
        </w:rPr>
        <w:t>constituye</w:t>
      </w:r>
      <w:r w:rsidRPr="00783CB4">
        <w:rPr>
          <w:lang w:val="es-ES_tradnl"/>
        </w:rPr>
        <w:t xml:space="preserve"> una herramienta en la que basar el diálogo entre el Subcomité y las autoridades de Ucrania en torno a la prevención de la tortura y otras formas de malos tratos. En él, el Subcomité </w:t>
      </w:r>
      <w:r w:rsidR="00196886">
        <w:rPr>
          <w:lang w:val="es-ES_tradnl"/>
        </w:rPr>
        <w:t>hace</w:t>
      </w:r>
      <w:r w:rsidRPr="00783CB4">
        <w:rPr>
          <w:lang w:val="es-ES_tradnl"/>
        </w:rPr>
        <w:t xml:space="preserve"> observaciones generales que son aplicables a muchos lugares de privación de libertad (a los que también se hace referencia como “lugares de </w:t>
      </w:r>
      <w:r w:rsidR="00196886">
        <w:rPr>
          <w:lang w:val="es-ES_tradnl"/>
        </w:rPr>
        <w:t>reclusión</w:t>
      </w:r>
      <w:r w:rsidRPr="00783CB4">
        <w:rPr>
          <w:lang w:val="es-ES_tradnl"/>
        </w:rPr>
        <w:t xml:space="preserve">”), con miras a que las autoridades apliquen en contextos institucionales concretos las recomendaciones formuladas. Aunque en el informe no se mencionan todos los lugares visitados, el Subcomité se reserva el derecho de referirse a cualquiera de ellos en el diálogo que mantenga en el futuro con el Estado parte. La ausencia de observaciones en el informe acerca de </w:t>
      </w:r>
      <w:r w:rsidR="00196886">
        <w:rPr>
          <w:lang w:val="es-ES_tradnl"/>
        </w:rPr>
        <w:t xml:space="preserve">alguna de las </w:t>
      </w:r>
      <w:r w:rsidRPr="00783CB4">
        <w:rPr>
          <w:lang w:val="es-ES_tradnl"/>
        </w:rPr>
        <w:t>instituci</w:t>
      </w:r>
      <w:r w:rsidR="00196886">
        <w:rPr>
          <w:lang w:val="es-ES_tradnl"/>
        </w:rPr>
        <w:t>ones</w:t>
      </w:r>
      <w:r w:rsidRPr="00783CB4">
        <w:rPr>
          <w:lang w:val="es-ES_tradnl"/>
        </w:rPr>
        <w:t xml:space="preserve"> visitada</w:t>
      </w:r>
      <w:r w:rsidR="00196886">
        <w:rPr>
          <w:lang w:val="es-ES_tradnl"/>
        </w:rPr>
        <w:t>s</w:t>
      </w:r>
      <w:r w:rsidRPr="00783CB4">
        <w:rPr>
          <w:lang w:val="es-ES_tradnl"/>
        </w:rPr>
        <w:t xml:space="preserve"> por el Subcomité no supone que se haya alcanzado una conclusión, favorable o desfavorable, en relación con </w:t>
      </w:r>
      <w:r w:rsidR="00196886">
        <w:rPr>
          <w:lang w:val="es-ES_tradnl"/>
        </w:rPr>
        <w:t>ella</w:t>
      </w:r>
      <w:r w:rsidRPr="00783CB4">
        <w:rPr>
          <w:lang w:val="es-ES_tradnl"/>
        </w:rPr>
        <w:t>. El Subcomité considera que un debate de mesa redonda sobre las medidas de seguimiento sería la forma más eficaz y eficiente de promover el diálogo sobre las cuestiones planteadas.</w:t>
      </w:r>
    </w:p>
    <w:p w:rsidR="00783CB4" w:rsidRPr="00783CB4" w:rsidRDefault="00783CB4" w:rsidP="00783CB4">
      <w:pPr>
        <w:pStyle w:val="SingleTxtG"/>
        <w:rPr>
          <w:b/>
          <w:lang w:val="es-ES_tradnl"/>
        </w:rPr>
      </w:pPr>
      <w:r w:rsidRPr="00783CB4">
        <w:rPr>
          <w:lang w:val="es-ES_tradnl"/>
        </w:rPr>
        <w:t>12.</w:t>
      </w:r>
      <w:r w:rsidRPr="00783CB4">
        <w:rPr>
          <w:lang w:val="es-ES_tradnl"/>
        </w:rPr>
        <w:tab/>
      </w:r>
      <w:r w:rsidR="00196886">
        <w:rPr>
          <w:b/>
          <w:lang w:val="es-ES_tradnl"/>
        </w:rPr>
        <w:t>El Subcomité recomienda a</w:t>
      </w:r>
      <w:r w:rsidRPr="00783CB4">
        <w:rPr>
          <w:b/>
          <w:lang w:val="es-ES_tradnl"/>
        </w:rPr>
        <w:t xml:space="preserve">l Estado parte </w:t>
      </w:r>
      <w:r w:rsidR="00196886">
        <w:rPr>
          <w:b/>
          <w:lang w:val="es-ES_tradnl"/>
        </w:rPr>
        <w:t>que</w:t>
      </w:r>
      <w:r w:rsidR="00196886" w:rsidRPr="00783CB4">
        <w:rPr>
          <w:b/>
          <w:lang w:val="es-ES_tradnl"/>
        </w:rPr>
        <w:t xml:space="preserve"> </w:t>
      </w:r>
      <w:r w:rsidRPr="00783CB4">
        <w:rPr>
          <w:b/>
          <w:lang w:val="es-ES_tradnl"/>
        </w:rPr>
        <w:t>incluya en su respuesta una descripción de la forma en que se aplicarán las recomendaciones, tanto en instituciones concretas como, cuando proceda, en el ámbito de la</w:t>
      </w:r>
      <w:r w:rsidR="00196886">
        <w:rPr>
          <w:b/>
          <w:lang w:val="es-ES_tradnl"/>
        </w:rPr>
        <w:t>s</w:t>
      </w:r>
      <w:r w:rsidRPr="00783CB4">
        <w:rPr>
          <w:b/>
          <w:lang w:val="es-ES_tradnl"/>
        </w:rPr>
        <w:t xml:space="preserve"> política</w:t>
      </w:r>
      <w:r w:rsidR="00196886">
        <w:rPr>
          <w:b/>
          <w:lang w:val="es-ES_tradnl"/>
        </w:rPr>
        <w:t>s</w:t>
      </w:r>
      <w:r w:rsidRPr="00783CB4">
        <w:rPr>
          <w:b/>
          <w:lang w:val="es-ES_tradnl"/>
        </w:rPr>
        <w:t xml:space="preserve"> general</w:t>
      </w:r>
      <w:r w:rsidR="00196886">
        <w:rPr>
          <w:b/>
          <w:lang w:val="es-ES_tradnl"/>
        </w:rPr>
        <w:t>es</w:t>
      </w:r>
      <w:r w:rsidRPr="00783CB4">
        <w:rPr>
          <w:b/>
          <w:lang w:val="es-ES_tradnl"/>
        </w:rPr>
        <w:t xml:space="preserve">. También </w:t>
      </w:r>
      <w:r w:rsidR="00196886">
        <w:rPr>
          <w:b/>
          <w:lang w:val="es-ES_tradnl"/>
        </w:rPr>
        <w:t xml:space="preserve">le </w:t>
      </w:r>
      <w:r w:rsidRPr="00783CB4">
        <w:rPr>
          <w:b/>
          <w:lang w:val="es-ES_tradnl"/>
        </w:rPr>
        <w:t xml:space="preserve">recomienda que en su respuesta </w:t>
      </w:r>
      <w:r w:rsidR="00196886">
        <w:rPr>
          <w:b/>
          <w:lang w:val="es-ES_tradnl"/>
        </w:rPr>
        <w:t xml:space="preserve">proponga formas en las que </w:t>
      </w:r>
      <w:r w:rsidRPr="00783CB4">
        <w:rPr>
          <w:b/>
          <w:lang w:val="es-ES_tradnl"/>
        </w:rPr>
        <w:t xml:space="preserve">el Subcomité </w:t>
      </w:r>
      <w:r w:rsidR="00905F28">
        <w:rPr>
          <w:b/>
          <w:lang w:val="es-ES_tradnl"/>
        </w:rPr>
        <w:t xml:space="preserve">podría proporcionarle </w:t>
      </w:r>
      <w:r w:rsidR="00905F28" w:rsidRPr="00783CB4">
        <w:rPr>
          <w:b/>
          <w:lang w:val="es-ES_tradnl"/>
        </w:rPr>
        <w:t>más ayuda y asesoramiento</w:t>
      </w:r>
      <w:r w:rsidR="00905F28">
        <w:rPr>
          <w:b/>
          <w:lang w:val="es-ES_tradnl"/>
        </w:rPr>
        <w:t xml:space="preserve">, </w:t>
      </w:r>
      <w:r w:rsidRPr="00783CB4">
        <w:rPr>
          <w:b/>
          <w:lang w:val="es-ES_tradnl"/>
        </w:rPr>
        <w:t>en cumplimiento del mandato establecido en el artículo 11 del Protocolo Facultativo.</w:t>
      </w:r>
    </w:p>
    <w:p w:rsidR="00783CB4" w:rsidRPr="00783CB4" w:rsidRDefault="00783CB4" w:rsidP="00783CB4">
      <w:pPr>
        <w:pStyle w:val="SingleTxtG"/>
        <w:rPr>
          <w:b/>
          <w:bCs/>
          <w:lang w:val="es-ES_tradnl"/>
        </w:rPr>
      </w:pPr>
      <w:r w:rsidRPr="00783CB4">
        <w:rPr>
          <w:lang w:val="es-ES_tradnl"/>
        </w:rPr>
        <w:t>13.</w:t>
      </w:r>
      <w:r w:rsidRPr="00783CB4">
        <w:rPr>
          <w:lang w:val="es-ES_tradnl"/>
        </w:rPr>
        <w:tab/>
        <w:t xml:space="preserve">El presente informe tendrá carácter confidencial hasta que el Estado decida hacerlo público, </w:t>
      </w:r>
      <w:r w:rsidR="001524C3">
        <w:rPr>
          <w:lang w:val="es-ES_tradnl"/>
        </w:rPr>
        <w:t xml:space="preserve">según </w:t>
      </w:r>
      <w:r w:rsidR="00B50D28">
        <w:rPr>
          <w:lang w:val="es-ES_tradnl"/>
        </w:rPr>
        <w:t>l</w:t>
      </w:r>
      <w:r w:rsidR="001524C3">
        <w:rPr>
          <w:lang w:val="es-ES_tradnl"/>
        </w:rPr>
        <w:t>o previsto</w:t>
      </w:r>
      <w:r w:rsidRPr="00783CB4">
        <w:rPr>
          <w:lang w:val="es-ES_tradnl"/>
        </w:rPr>
        <w:t xml:space="preserve"> en el artículo 16, párrafo 2, del Protocolo Facultativo. El Subcomité está firmemente convencido de que su publicación contribuiría positivamente a la prevención de la tortura y los malos tratos en el Estado parte, ya que la amplia difusión de las recomendaciones favorecería el establecimiento de un diálogo nacional transparente y fructífero acerca de las cuestiones </w:t>
      </w:r>
      <w:r w:rsidR="001524C3">
        <w:rPr>
          <w:lang w:val="es-ES_tradnl"/>
        </w:rPr>
        <w:t>que</w:t>
      </w:r>
      <w:r w:rsidRPr="00783CB4">
        <w:rPr>
          <w:lang w:val="es-ES_tradnl"/>
        </w:rPr>
        <w:t xml:space="preserve"> en él</w:t>
      </w:r>
      <w:r w:rsidR="001524C3">
        <w:rPr>
          <w:lang w:val="es-ES_tradnl"/>
        </w:rPr>
        <w:t xml:space="preserve"> se tratan</w:t>
      </w:r>
      <w:r w:rsidRPr="00783CB4">
        <w:rPr>
          <w:lang w:val="es-ES_tradnl"/>
        </w:rPr>
        <w:t xml:space="preserve">. </w:t>
      </w:r>
      <w:r w:rsidRPr="00783CB4">
        <w:rPr>
          <w:b/>
          <w:lang w:val="es-ES_tradnl"/>
        </w:rPr>
        <w:t xml:space="preserve">Por consiguiente, el Subcomité recomienda que el Estado parte permita que se publique el informe </w:t>
      </w:r>
      <w:r w:rsidR="001524C3">
        <w:rPr>
          <w:b/>
          <w:lang w:val="es-ES_tradnl"/>
        </w:rPr>
        <w:t xml:space="preserve">y </w:t>
      </w:r>
      <w:r w:rsidRPr="00783CB4">
        <w:rPr>
          <w:b/>
          <w:lang w:val="es-ES_tradnl"/>
        </w:rPr>
        <w:t xml:space="preserve">acoge con </w:t>
      </w:r>
      <w:r w:rsidR="001524C3">
        <w:rPr>
          <w:b/>
          <w:lang w:val="es-ES_tradnl"/>
        </w:rPr>
        <w:t xml:space="preserve">satisfacción </w:t>
      </w:r>
      <w:r w:rsidRPr="00783CB4">
        <w:rPr>
          <w:b/>
          <w:lang w:val="es-ES_tradnl"/>
        </w:rPr>
        <w:t xml:space="preserve">el compromiso verbal </w:t>
      </w:r>
      <w:r w:rsidR="001524C3">
        <w:rPr>
          <w:b/>
          <w:lang w:val="es-ES_tradnl"/>
        </w:rPr>
        <w:t xml:space="preserve">expresado por el </w:t>
      </w:r>
      <w:r w:rsidRPr="00783CB4">
        <w:rPr>
          <w:b/>
          <w:lang w:val="es-ES_tradnl"/>
        </w:rPr>
        <w:t xml:space="preserve">Estado parte </w:t>
      </w:r>
      <w:r w:rsidR="001524C3">
        <w:rPr>
          <w:b/>
          <w:lang w:val="es-ES_tradnl"/>
        </w:rPr>
        <w:t>a tal efecto</w:t>
      </w:r>
      <w:r w:rsidRPr="00783CB4">
        <w:rPr>
          <w:b/>
          <w:lang w:val="es-ES_tradnl"/>
        </w:rPr>
        <w:t>.</w:t>
      </w:r>
    </w:p>
    <w:p w:rsidR="00783CB4" w:rsidRPr="00783CB4" w:rsidRDefault="00783CB4" w:rsidP="00783CB4">
      <w:pPr>
        <w:pStyle w:val="SingleTxtG"/>
        <w:rPr>
          <w:bCs/>
          <w:lang w:val="es-ES_tradnl"/>
        </w:rPr>
      </w:pPr>
      <w:r w:rsidRPr="00783CB4">
        <w:rPr>
          <w:lang w:val="es-ES_tradnl"/>
        </w:rPr>
        <w:t>14.</w:t>
      </w:r>
      <w:r w:rsidRPr="00783CB4">
        <w:rPr>
          <w:lang w:val="es-ES_tradnl"/>
        </w:rPr>
        <w:tab/>
        <w:t xml:space="preserve">Además, el Subcomité señala a la atención del Estado parte la existencia del Fondo Especial establecido en virtud del artículo 26 del Protocolo Facultativo. Las recomendaciones contenidas en los informes sobre las visitas del Subcomité </w:t>
      </w:r>
      <w:r w:rsidR="001524C3">
        <w:rPr>
          <w:lang w:val="es-ES_tradnl"/>
        </w:rPr>
        <w:t xml:space="preserve">que se hayan </w:t>
      </w:r>
      <w:r w:rsidR="001524C3" w:rsidRPr="00783CB4">
        <w:rPr>
          <w:lang w:val="es-ES_tradnl"/>
        </w:rPr>
        <w:t xml:space="preserve">hecho públicos </w:t>
      </w:r>
      <w:r w:rsidRPr="00783CB4">
        <w:rPr>
          <w:lang w:val="es-ES_tradnl"/>
        </w:rPr>
        <w:t>pueden servir para fundamentar una solicitud de financiación para proyectos específicos con cargo a dicho Fondo</w:t>
      </w:r>
      <w:r w:rsidRPr="00783CB4">
        <w:rPr>
          <w:vertAlign w:val="superscript"/>
          <w:lang w:val="es-ES_tradnl"/>
        </w:rPr>
        <w:footnoteReference w:id="4"/>
      </w:r>
      <w:r w:rsidRPr="00783CB4">
        <w:rPr>
          <w:lang w:val="es-ES_tradnl"/>
        </w:rPr>
        <w:t>.</w:t>
      </w:r>
    </w:p>
    <w:p w:rsidR="00783CB4" w:rsidRPr="00783CB4" w:rsidRDefault="00783CB4" w:rsidP="001524C3">
      <w:pPr>
        <w:pStyle w:val="HChG"/>
        <w:rPr>
          <w:lang w:val="es-ES_tradnl"/>
        </w:rPr>
      </w:pPr>
      <w:r w:rsidRPr="00783CB4">
        <w:rPr>
          <w:lang w:val="es-ES_tradnl"/>
        </w:rPr>
        <w:lastRenderedPageBreak/>
        <w:tab/>
        <w:t>II.</w:t>
      </w:r>
      <w:r w:rsidRPr="00783CB4">
        <w:rPr>
          <w:lang w:val="es-ES_tradnl"/>
        </w:rPr>
        <w:tab/>
        <w:t>Mecanismo nacional de prevención</w:t>
      </w:r>
    </w:p>
    <w:p w:rsidR="00783CB4" w:rsidRPr="00783CB4" w:rsidRDefault="00783CB4" w:rsidP="00783CB4">
      <w:pPr>
        <w:pStyle w:val="SingleTxtG"/>
        <w:rPr>
          <w:lang w:val="es-ES_tradnl"/>
        </w:rPr>
      </w:pPr>
      <w:r w:rsidRPr="00783CB4">
        <w:rPr>
          <w:lang w:val="es-ES_tradnl"/>
        </w:rPr>
        <w:t>15.</w:t>
      </w:r>
      <w:r w:rsidRPr="00783CB4">
        <w:rPr>
          <w:lang w:val="es-ES_tradnl"/>
        </w:rPr>
        <w:tab/>
        <w:t xml:space="preserve">La designación de la Oficina del Comisionado del Parlamento de Ucrania </w:t>
      </w:r>
      <w:r w:rsidR="001524C3" w:rsidRPr="00783CB4">
        <w:rPr>
          <w:lang w:val="es-ES_tradnl"/>
        </w:rPr>
        <w:t xml:space="preserve">para los Derechos Humanos </w:t>
      </w:r>
      <w:r w:rsidRPr="00783CB4">
        <w:rPr>
          <w:lang w:val="es-ES_tradnl"/>
        </w:rPr>
        <w:t xml:space="preserve">(el Ombudsman) como mecanismo nacional de prevención ha sido uno de </w:t>
      </w:r>
      <w:r w:rsidR="001524C3">
        <w:rPr>
          <w:lang w:val="es-ES_tradnl"/>
        </w:rPr>
        <w:t xml:space="preserve">los </w:t>
      </w:r>
      <w:r w:rsidRPr="00783CB4">
        <w:rPr>
          <w:lang w:val="es-ES_tradnl"/>
        </w:rPr>
        <w:t xml:space="preserve">varios acontecimientos positivos que han tenido lugar desde la primera visita del Subcomité. Además, la creación de un departamento específico en esa Oficina </w:t>
      </w:r>
      <w:r w:rsidR="001524C3">
        <w:rPr>
          <w:lang w:val="es-ES_tradnl"/>
        </w:rPr>
        <w:t>demuestra</w:t>
      </w:r>
      <w:r w:rsidRPr="00783CB4">
        <w:rPr>
          <w:lang w:val="es-ES_tradnl"/>
        </w:rPr>
        <w:t xml:space="preserve"> un reconocimiento de la especialización necesaria para</w:t>
      </w:r>
      <w:r w:rsidR="001524C3">
        <w:rPr>
          <w:lang w:val="es-ES_tradnl"/>
        </w:rPr>
        <w:t xml:space="preserve"> llevar a cabo las funciones del</w:t>
      </w:r>
      <w:r w:rsidRPr="00783CB4">
        <w:rPr>
          <w:lang w:val="es-ES_tradnl"/>
        </w:rPr>
        <w:t xml:space="preserve"> mecanismo nacional de prevención (véase CAT/OP/UKR/1, párrs. 14 a 16).</w:t>
      </w:r>
    </w:p>
    <w:p w:rsidR="00783CB4" w:rsidRPr="00783CB4" w:rsidRDefault="00783CB4" w:rsidP="00783CB4">
      <w:pPr>
        <w:pStyle w:val="SingleTxtG"/>
        <w:rPr>
          <w:lang w:val="es-ES_tradnl"/>
        </w:rPr>
      </w:pPr>
      <w:r w:rsidRPr="00783CB4">
        <w:rPr>
          <w:lang w:val="es-ES_tradnl"/>
        </w:rPr>
        <w:t>16.</w:t>
      </w:r>
      <w:r w:rsidRPr="00783CB4">
        <w:rPr>
          <w:lang w:val="es-ES_tradnl"/>
        </w:rPr>
        <w:tab/>
        <w:t xml:space="preserve">Pese a este avance positivo, preocupa al Subcomité que el mecanismo nacional de prevención carezca de recursos suficientes para cumplir cabalmente las funciones </w:t>
      </w:r>
      <w:r w:rsidR="001524C3">
        <w:rPr>
          <w:lang w:val="es-ES_tradnl"/>
        </w:rPr>
        <w:t xml:space="preserve">previstas en </w:t>
      </w:r>
      <w:r w:rsidRPr="00783CB4">
        <w:rPr>
          <w:lang w:val="es-ES_tradnl"/>
        </w:rPr>
        <w:t xml:space="preserve">el Protocolo Facultativo, </w:t>
      </w:r>
      <w:r w:rsidR="001524C3">
        <w:rPr>
          <w:lang w:val="es-ES_tradnl"/>
        </w:rPr>
        <w:t xml:space="preserve">especialmente </w:t>
      </w:r>
      <w:r w:rsidRPr="00783CB4">
        <w:rPr>
          <w:lang w:val="es-ES_tradnl"/>
        </w:rPr>
        <w:t xml:space="preserve">habida cuenta de los miles de lugares de </w:t>
      </w:r>
      <w:r w:rsidR="001524C3">
        <w:rPr>
          <w:lang w:val="es-ES_tradnl"/>
        </w:rPr>
        <w:t xml:space="preserve">reclusión </w:t>
      </w:r>
      <w:r w:rsidRPr="00783CB4">
        <w:rPr>
          <w:lang w:val="es-ES_tradnl"/>
        </w:rPr>
        <w:t xml:space="preserve">que hay en Ucrania. </w:t>
      </w:r>
      <w:r w:rsidR="001524C3">
        <w:rPr>
          <w:lang w:val="es-ES_tradnl"/>
        </w:rPr>
        <w:t xml:space="preserve">El mecanismo mantiene </w:t>
      </w:r>
      <w:r w:rsidRPr="00783CB4">
        <w:rPr>
          <w:lang w:val="es-ES_tradnl"/>
        </w:rPr>
        <w:t xml:space="preserve">relaciones productivas con redes internacionales y regionales que </w:t>
      </w:r>
      <w:r w:rsidR="001524C3">
        <w:rPr>
          <w:lang w:val="es-ES_tradnl"/>
        </w:rPr>
        <w:t xml:space="preserve">le </w:t>
      </w:r>
      <w:r w:rsidRPr="00783CB4">
        <w:rPr>
          <w:lang w:val="es-ES_tradnl"/>
        </w:rPr>
        <w:t xml:space="preserve">han permitido aumentar su capacidad, </w:t>
      </w:r>
      <w:r w:rsidR="001524C3">
        <w:rPr>
          <w:lang w:val="es-ES_tradnl"/>
        </w:rPr>
        <w:t>pero el Subcomité observa con</w:t>
      </w:r>
      <w:r w:rsidRPr="00783CB4">
        <w:rPr>
          <w:lang w:val="es-ES_tradnl"/>
        </w:rPr>
        <w:t xml:space="preserve"> preocupa</w:t>
      </w:r>
      <w:r w:rsidR="001524C3">
        <w:rPr>
          <w:lang w:val="es-ES_tradnl"/>
        </w:rPr>
        <w:t>ción</w:t>
      </w:r>
      <w:r w:rsidRPr="00783CB4">
        <w:rPr>
          <w:lang w:val="es-ES_tradnl"/>
        </w:rPr>
        <w:t xml:space="preserve"> que la autonomía del mecanismo se vea en peligro si ha de recurrir a los donantes internacionales para funcionar a pleno rendimiento.</w:t>
      </w:r>
    </w:p>
    <w:p w:rsidR="00783CB4" w:rsidRPr="00783CB4" w:rsidRDefault="00783CB4" w:rsidP="00783CB4">
      <w:pPr>
        <w:pStyle w:val="SingleTxtG"/>
        <w:rPr>
          <w:lang w:val="es-ES_tradnl"/>
        </w:rPr>
      </w:pPr>
      <w:r w:rsidRPr="00783CB4">
        <w:rPr>
          <w:lang w:val="es-ES_tradnl"/>
        </w:rPr>
        <w:t>17.</w:t>
      </w:r>
      <w:r w:rsidRPr="00783CB4">
        <w:rPr>
          <w:lang w:val="es-ES_tradnl"/>
        </w:rPr>
        <w:tab/>
        <w:t xml:space="preserve">El Subcomité </w:t>
      </w:r>
      <w:r w:rsidR="001524C3">
        <w:rPr>
          <w:lang w:val="es-ES_tradnl"/>
        </w:rPr>
        <w:t>observa con satisfacción</w:t>
      </w:r>
      <w:r w:rsidRPr="00783CB4">
        <w:rPr>
          <w:lang w:val="es-ES_tradnl"/>
        </w:rPr>
        <w:t xml:space="preserve"> que el mecanismo nacional de prevención ha realizado centenares de visitas a lugares de </w:t>
      </w:r>
      <w:r w:rsidR="001524C3">
        <w:rPr>
          <w:lang w:val="es-ES_tradnl"/>
        </w:rPr>
        <w:t>reclusión</w:t>
      </w:r>
      <w:r w:rsidRPr="00783CB4">
        <w:rPr>
          <w:lang w:val="es-ES_tradnl"/>
        </w:rPr>
        <w:t xml:space="preserve">, muchas de ellas sin previo aviso. Además, observa que el mecanismo mantiene una sólida relación con la sociedad civil y </w:t>
      </w:r>
      <w:r w:rsidR="001524C3">
        <w:rPr>
          <w:lang w:val="es-ES_tradnl"/>
        </w:rPr>
        <w:t>c</w:t>
      </w:r>
      <w:r w:rsidR="0060287D">
        <w:rPr>
          <w:lang w:val="es-ES_tradnl"/>
        </w:rPr>
        <w:t xml:space="preserve">uenta </w:t>
      </w:r>
      <w:r w:rsidR="001524C3" w:rsidRPr="00783CB4">
        <w:rPr>
          <w:lang w:val="es-ES_tradnl"/>
        </w:rPr>
        <w:t>regularmente</w:t>
      </w:r>
      <w:r w:rsidR="001524C3">
        <w:rPr>
          <w:lang w:val="es-ES_tradnl"/>
        </w:rPr>
        <w:t xml:space="preserve"> con la </w:t>
      </w:r>
      <w:r w:rsidRPr="00783CB4">
        <w:rPr>
          <w:lang w:val="es-ES_tradnl"/>
        </w:rPr>
        <w:t>participa</w:t>
      </w:r>
      <w:r w:rsidR="001524C3">
        <w:rPr>
          <w:lang w:val="es-ES_tradnl"/>
        </w:rPr>
        <w:t>ción</w:t>
      </w:r>
      <w:r w:rsidRPr="00783CB4">
        <w:rPr>
          <w:lang w:val="es-ES_tradnl"/>
        </w:rPr>
        <w:t xml:space="preserve"> </w:t>
      </w:r>
      <w:r w:rsidR="001524C3">
        <w:rPr>
          <w:lang w:val="es-ES_tradnl"/>
        </w:rPr>
        <w:t>de los</w:t>
      </w:r>
      <w:r w:rsidRPr="00783CB4">
        <w:rPr>
          <w:lang w:val="es-ES_tradnl"/>
        </w:rPr>
        <w:t xml:space="preserve"> agentes de esta en sus visitas y consultas, así como en su estructura básica. No obstante, preocupa </w:t>
      </w:r>
      <w:r w:rsidR="001524C3">
        <w:rPr>
          <w:lang w:val="es-ES_tradnl"/>
        </w:rPr>
        <w:t xml:space="preserve">al Subcomité </w:t>
      </w:r>
      <w:r w:rsidRPr="00783CB4">
        <w:rPr>
          <w:lang w:val="es-ES_tradnl"/>
        </w:rPr>
        <w:t xml:space="preserve">que el mecanismo no </w:t>
      </w:r>
      <w:r w:rsidR="001524C3">
        <w:rPr>
          <w:lang w:val="es-ES_tradnl"/>
        </w:rPr>
        <w:t>pueda</w:t>
      </w:r>
      <w:r w:rsidRPr="00783CB4">
        <w:rPr>
          <w:lang w:val="es-ES_tradnl"/>
        </w:rPr>
        <w:t>, en la práctica, visitar todos los lugares de privación de libertad, dado que tiene acceso lim</w:t>
      </w:r>
      <w:r w:rsidR="001524C3">
        <w:rPr>
          <w:lang w:val="es-ES_tradnl"/>
        </w:rPr>
        <w:t xml:space="preserve">itado a </w:t>
      </w:r>
      <w:r w:rsidR="0060287D">
        <w:rPr>
          <w:lang w:val="es-ES_tradnl"/>
        </w:rPr>
        <w:t xml:space="preserve">las </w:t>
      </w:r>
      <w:r w:rsidR="001524C3">
        <w:rPr>
          <w:lang w:val="es-ES_tradnl"/>
        </w:rPr>
        <w:t>dependencias</w:t>
      </w:r>
      <w:r w:rsidRPr="00783CB4">
        <w:rPr>
          <w:lang w:val="es-ES_tradnl"/>
        </w:rPr>
        <w:t xml:space="preserve"> del Servici</w:t>
      </w:r>
      <w:r w:rsidR="001524C3">
        <w:rPr>
          <w:lang w:val="es-ES_tradnl"/>
        </w:rPr>
        <w:t>o de Seguridad del Estado, en la</w:t>
      </w:r>
      <w:r w:rsidRPr="00783CB4">
        <w:rPr>
          <w:lang w:val="es-ES_tradnl"/>
        </w:rPr>
        <w:t xml:space="preserve">s que puede haber personas </w:t>
      </w:r>
      <w:r w:rsidR="001524C3">
        <w:rPr>
          <w:lang w:val="es-ES_tradnl"/>
        </w:rPr>
        <w:t>recluidas</w:t>
      </w:r>
      <w:r w:rsidRPr="00783CB4">
        <w:rPr>
          <w:lang w:val="es-ES_tradnl"/>
        </w:rPr>
        <w:t xml:space="preserve"> mientras son investigadas.</w:t>
      </w:r>
    </w:p>
    <w:p w:rsidR="00783CB4" w:rsidRPr="00783CB4" w:rsidRDefault="00783CB4" w:rsidP="00783CB4">
      <w:pPr>
        <w:pStyle w:val="SingleTxtG"/>
        <w:rPr>
          <w:b/>
          <w:lang w:val="es-ES_tradnl"/>
        </w:rPr>
      </w:pPr>
      <w:r w:rsidRPr="00783CB4">
        <w:rPr>
          <w:lang w:val="es-ES_tradnl"/>
        </w:rPr>
        <w:t>18.</w:t>
      </w:r>
      <w:r w:rsidRPr="00783CB4">
        <w:rPr>
          <w:lang w:val="es-ES_tradnl"/>
        </w:rPr>
        <w:tab/>
        <w:t xml:space="preserve">El Subcomité considera que las actividades de prevención del mecanismo podrían reforzarse. En particular, observa que </w:t>
      </w:r>
      <w:r w:rsidR="001524C3">
        <w:rPr>
          <w:lang w:val="es-ES_tradnl"/>
        </w:rPr>
        <w:t>este</w:t>
      </w:r>
      <w:r w:rsidRPr="00783CB4">
        <w:rPr>
          <w:lang w:val="es-ES_tradnl"/>
        </w:rPr>
        <w:t xml:space="preserve"> se resiente de no ser percibido como una entidad independiente de la Oficina del</w:t>
      </w:r>
      <w:r w:rsidR="00735EC2">
        <w:rPr>
          <w:lang w:val="es-ES_tradnl"/>
        </w:rPr>
        <w:t xml:space="preserve"> Ombudsman. Observa también que</w:t>
      </w:r>
      <w:r w:rsidR="00735EC2" w:rsidRPr="00A41E7A">
        <w:t>, en la mayoría de los casos, el mecanismo act</w:t>
      </w:r>
      <w:r w:rsidR="00735EC2">
        <w:t>úa en respuesta a denuncias individuales</w:t>
      </w:r>
      <w:r w:rsidR="00A92AE2">
        <w:t>.</w:t>
      </w:r>
      <w:r w:rsidRPr="00783CB4">
        <w:rPr>
          <w:lang w:val="es-ES_tradnl"/>
        </w:rPr>
        <w:t xml:space="preserve"> Por otro lado, el Subcomité entiende que no hay ningún procedimiento establecido por el cual el Estado haya de estudiar la aplicación de las recomendaciones del mecanismo.</w:t>
      </w:r>
    </w:p>
    <w:p w:rsidR="00783CB4" w:rsidRPr="00783CB4" w:rsidRDefault="00783CB4" w:rsidP="00783CB4">
      <w:pPr>
        <w:pStyle w:val="SingleTxtG"/>
        <w:rPr>
          <w:b/>
          <w:lang w:val="es-ES_tradnl"/>
        </w:rPr>
      </w:pPr>
      <w:r w:rsidRPr="00783CB4">
        <w:rPr>
          <w:lang w:val="es-ES_tradnl"/>
        </w:rPr>
        <w:t>19.</w:t>
      </w:r>
      <w:r w:rsidRPr="00783CB4">
        <w:rPr>
          <w:lang w:val="es-ES_tradnl"/>
        </w:rPr>
        <w:tab/>
      </w:r>
      <w:r w:rsidRPr="00783CB4">
        <w:rPr>
          <w:b/>
          <w:lang w:val="es-ES_tradnl"/>
        </w:rPr>
        <w:t xml:space="preserve">Recordando que el artículo 18, párrafo 3, del Protocolo Facultativo obliga a los Estados partes a </w:t>
      </w:r>
      <w:r w:rsidR="00735EC2" w:rsidRPr="00735EC2">
        <w:rPr>
          <w:b/>
        </w:rPr>
        <w:t>proporcionar a los mecanismos nacionales de prevención los recursos necesarios para el desempeño de su labor</w:t>
      </w:r>
      <w:r w:rsidRPr="00783CB4">
        <w:rPr>
          <w:b/>
          <w:lang w:val="es-ES_tradnl"/>
        </w:rPr>
        <w:t xml:space="preserve">, el Subcomité recomienda que se dote al mecanismo nacional de prevención de Ucrania de un presupuesto suficiente para que pueda realizar todas las tareas </w:t>
      </w:r>
      <w:r w:rsidR="00735EC2">
        <w:rPr>
          <w:b/>
          <w:lang w:val="es-ES_tradnl"/>
        </w:rPr>
        <w:t>correspondientes a su mandato</w:t>
      </w:r>
      <w:r w:rsidRPr="00783CB4">
        <w:rPr>
          <w:b/>
          <w:lang w:val="es-ES_tradnl"/>
        </w:rPr>
        <w:t xml:space="preserve">. </w:t>
      </w:r>
      <w:r w:rsidR="00735EC2">
        <w:rPr>
          <w:b/>
          <w:lang w:val="es-ES_tradnl"/>
        </w:rPr>
        <w:t xml:space="preserve">Recomienda igualmente </w:t>
      </w:r>
      <w:r w:rsidRPr="00783CB4">
        <w:rPr>
          <w:b/>
          <w:lang w:val="es-ES_tradnl"/>
        </w:rPr>
        <w:t>que esa financiación se proporcione mediante una partida independiente del presupuesto nacional anual destinada específicamente al mecanismo nacional de prevención (véase CAT/C/57/4, anexo, párrs. 11 y 12). También recomienda que se asignen al mecanismo fondos suficientes para permitirle realizar su programa de visitas, contratar a expertos externos como y cuando proceda, aumentar su dotación de personal y recibir capacitación regularmente, con arreglo a su plan de trabajo.</w:t>
      </w:r>
    </w:p>
    <w:p w:rsidR="00783CB4" w:rsidRPr="00783CB4" w:rsidRDefault="00783CB4" w:rsidP="00783CB4">
      <w:pPr>
        <w:pStyle w:val="SingleTxtG"/>
        <w:rPr>
          <w:b/>
          <w:lang w:val="es-ES_tradnl"/>
        </w:rPr>
      </w:pPr>
      <w:r w:rsidRPr="00783CB4">
        <w:rPr>
          <w:lang w:val="es-ES_tradnl"/>
        </w:rPr>
        <w:t>20.</w:t>
      </w:r>
      <w:r w:rsidRPr="00783CB4">
        <w:rPr>
          <w:lang w:val="es-ES_tradnl"/>
        </w:rPr>
        <w:tab/>
      </w:r>
      <w:r w:rsidR="00735EC2" w:rsidRPr="00783CB4">
        <w:rPr>
          <w:b/>
          <w:lang w:val="es-ES_tradnl"/>
        </w:rPr>
        <w:t xml:space="preserve">El </w:t>
      </w:r>
      <w:r w:rsidRPr="00783CB4">
        <w:rPr>
          <w:b/>
          <w:lang w:val="es-ES_tradnl"/>
        </w:rPr>
        <w:t xml:space="preserve">Subcomité recomienda </w:t>
      </w:r>
      <w:r w:rsidR="00735EC2">
        <w:rPr>
          <w:b/>
          <w:lang w:val="es-ES_tradnl"/>
        </w:rPr>
        <w:t>a</w:t>
      </w:r>
      <w:r w:rsidRPr="00783CB4">
        <w:rPr>
          <w:b/>
          <w:lang w:val="es-ES_tradnl"/>
        </w:rPr>
        <w:t>l Estado parte</w:t>
      </w:r>
      <w:r w:rsidR="00735EC2">
        <w:rPr>
          <w:b/>
          <w:lang w:val="es-ES_tradnl"/>
        </w:rPr>
        <w:t xml:space="preserve"> que,</w:t>
      </w:r>
      <w:r w:rsidR="0060287D">
        <w:rPr>
          <w:b/>
          <w:lang w:val="es-ES_tradnl"/>
        </w:rPr>
        <w:t xml:space="preserve"> </w:t>
      </w:r>
      <w:r w:rsidR="0060287D" w:rsidRPr="00735EC2">
        <w:rPr>
          <w:b/>
          <w:lang w:val="es-ES_tradnl"/>
        </w:rPr>
        <w:t>al</w:t>
      </w:r>
      <w:r w:rsidR="0060287D" w:rsidRPr="00783CB4">
        <w:rPr>
          <w:b/>
          <w:lang w:val="es-ES_tradnl"/>
        </w:rPr>
        <w:t xml:space="preserve"> determinar qué constituye un lugar de privación de libertad,</w:t>
      </w:r>
      <w:r w:rsidRPr="00783CB4">
        <w:rPr>
          <w:b/>
          <w:lang w:val="es-ES_tradnl"/>
        </w:rPr>
        <w:t xml:space="preserve"> adopte un enfoque que aproveche al máximo el efecto preventivo del mecanismo (véase </w:t>
      </w:r>
      <w:r w:rsidRPr="00783CB4">
        <w:rPr>
          <w:b/>
        </w:rPr>
        <w:t>CAT/C/57/4, anexo, párrs. 1 a 3)</w:t>
      </w:r>
      <w:r w:rsidRPr="00783CB4">
        <w:rPr>
          <w:b/>
          <w:lang w:val="es-ES_tradnl"/>
        </w:rPr>
        <w:t xml:space="preserve">. Además, </w:t>
      </w:r>
      <w:r w:rsidR="0060287D">
        <w:rPr>
          <w:b/>
          <w:lang w:val="es-ES_tradnl"/>
        </w:rPr>
        <w:t>le</w:t>
      </w:r>
      <w:r w:rsidRPr="00783CB4">
        <w:rPr>
          <w:b/>
          <w:lang w:val="es-ES_tradnl"/>
        </w:rPr>
        <w:t xml:space="preserve"> recomienda que vele por que el mecanismo tenga la autoridad legal y la capacidad práctica necesarias para acceder a cualquier lugar donde crea que </w:t>
      </w:r>
      <w:r w:rsidR="00914C81">
        <w:rPr>
          <w:b/>
          <w:lang w:val="es-ES_tradnl"/>
        </w:rPr>
        <w:t xml:space="preserve">haya o pueda haber </w:t>
      </w:r>
      <w:r w:rsidRPr="00783CB4">
        <w:rPr>
          <w:b/>
          <w:lang w:val="es-ES_tradnl"/>
        </w:rPr>
        <w:t>personas privadas de libertad, de conformidad con el artículo 4 del Protocolo Facultativo.</w:t>
      </w:r>
    </w:p>
    <w:p w:rsidR="00783CB4" w:rsidRPr="00783CB4" w:rsidRDefault="00783CB4" w:rsidP="00783CB4">
      <w:pPr>
        <w:pStyle w:val="SingleTxtG"/>
        <w:rPr>
          <w:b/>
          <w:lang w:val="es-ES_tradnl"/>
        </w:rPr>
      </w:pPr>
      <w:r w:rsidRPr="00783CB4">
        <w:rPr>
          <w:lang w:val="es-ES_tradnl"/>
        </w:rPr>
        <w:t>21.</w:t>
      </w:r>
      <w:r w:rsidRPr="00783CB4">
        <w:rPr>
          <w:lang w:val="es-ES_tradnl"/>
        </w:rPr>
        <w:tab/>
      </w:r>
      <w:r w:rsidR="00914C81">
        <w:rPr>
          <w:b/>
          <w:lang w:val="es-ES_tradnl"/>
        </w:rPr>
        <w:t>Asimismo</w:t>
      </w:r>
      <w:r w:rsidRPr="00783CB4">
        <w:rPr>
          <w:b/>
          <w:lang w:val="es-ES_tradnl"/>
        </w:rPr>
        <w:t xml:space="preserve">, el Subcomité recomienda </w:t>
      </w:r>
      <w:r w:rsidR="00914C81">
        <w:rPr>
          <w:b/>
          <w:lang w:val="es-ES_tradnl"/>
        </w:rPr>
        <w:t>a</w:t>
      </w:r>
      <w:r w:rsidRPr="00783CB4">
        <w:rPr>
          <w:b/>
          <w:lang w:val="es-ES_tradnl"/>
        </w:rPr>
        <w:t xml:space="preserve">l Estado parte </w:t>
      </w:r>
      <w:r w:rsidR="00914C81" w:rsidRPr="00783CB4">
        <w:rPr>
          <w:b/>
          <w:lang w:val="es-ES_tradnl"/>
        </w:rPr>
        <w:t xml:space="preserve">que </w:t>
      </w:r>
      <w:r w:rsidRPr="00783CB4">
        <w:rPr>
          <w:b/>
          <w:lang w:val="es-ES_tradnl"/>
        </w:rPr>
        <w:t>preste asistencia al mecanismo para incrementar su visibilidad, de manera que su mandato y su labor sean más ampliamente conocidos y reconocidos</w:t>
      </w:r>
      <w:r w:rsidR="00A92AE2">
        <w:rPr>
          <w:b/>
          <w:lang w:val="es-ES_tradnl"/>
        </w:rPr>
        <w:t>,</w:t>
      </w:r>
      <w:r w:rsidRPr="00783CB4">
        <w:rPr>
          <w:b/>
          <w:lang w:val="es-ES_tradnl"/>
        </w:rPr>
        <w:t xml:space="preserve"> por ejemplo,</w:t>
      </w:r>
      <w:r w:rsidR="00914C81">
        <w:rPr>
          <w:b/>
          <w:lang w:val="es-ES_tradnl"/>
        </w:rPr>
        <w:t xml:space="preserve"> mediante</w:t>
      </w:r>
      <w:r w:rsidRPr="00783CB4">
        <w:rPr>
          <w:b/>
          <w:lang w:val="es-ES_tradnl"/>
        </w:rPr>
        <w:t xml:space="preserve"> la coordinación de campañas de concienciación pública, la distribución de material </w:t>
      </w:r>
      <w:r w:rsidR="00914C81">
        <w:rPr>
          <w:b/>
          <w:lang w:val="es-ES_tradnl"/>
        </w:rPr>
        <w:t>inform</w:t>
      </w:r>
      <w:r w:rsidR="00A92AE2">
        <w:rPr>
          <w:b/>
          <w:lang w:val="es-ES_tradnl"/>
        </w:rPr>
        <w:t>ativo</w:t>
      </w:r>
      <w:r w:rsidR="00914C81">
        <w:rPr>
          <w:b/>
          <w:lang w:val="es-ES_tradnl"/>
        </w:rPr>
        <w:t xml:space="preserve"> </w:t>
      </w:r>
      <w:r w:rsidRPr="00783CB4">
        <w:rPr>
          <w:b/>
          <w:lang w:val="es-ES_tradnl"/>
        </w:rPr>
        <w:t xml:space="preserve">sobre el mandato y las actividades del mecanismo en diversos idiomas para </w:t>
      </w:r>
      <w:r w:rsidR="00914C81">
        <w:rPr>
          <w:b/>
          <w:lang w:val="es-ES_tradnl"/>
        </w:rPr>
        <w:t xml:space="preserve">el </w:t>
      </w:r>
      <w:r w:rsidRPr="00783CB4">
        <w:rPr>
          <w:b/>
          <w:lang w:val="es-ES_tradnl"/>
        </w:rPr>
        <w:t xml:space="preserve">personal penitenciario, </w:t>
      </w:r>
      <w:r w:rsidR="00914C81">
        <w:rPr>
          <w:b/>
          <w:lang w:val="es-ES_tradnl"/>
        </w:rPr>
        <w:t xml:space="preserve">las </w:t>
      </w:r>
      <w:r w:rsidRPr="00783CB4">
        <w:rPr>
          <w:b/>
          <w:lang w:val="es-ES_tradnl"/>
        </w:rPr>
        <w:t xml:space="preserve">personas privadas de libertad y la sociedad civil, y </w:t>
      </w:r>
      <w:r w:rsidR="00914C81">
        <w:rPr>
          <w:b/>
          <w:lang w:val="es-ES_tradnl"/>
        </w:rPr>
        <w:t>el suministro de</w:t>
      </w:r>
      <w:r w:rsidRPr="00783CB4">
        <w:rPr>
          <w:b/>
          <w:lang w:val="es-ES_tradnl"/>
        </w:rPr>
        <w:t xml:space="preserve"> información </w:t>
      </w:r>
      <w:r w:rsidR="00914C81">
        <w:rPr>
          <w:b/>
          <w:lang w:val="es-ES_tradnl"/>
        </w:rPr>
        <w:t xml:space="preserve">sobre el mandato del mecanismo </w:t>
      </w:r>
      <w:r w:rsidRPr="00783CB4">
        <w:rPr>
          <w:b/>
          <w:lang w:val="es-ES_tradnl"/>
        </w:rPr>
        <w:t xml:space="preserve">a las asociaciones de usuarios de servicios, los abogados y el poder judicial. El Subcomité también recomienda que el Estado parte establezca un medio institucional para examinar y </w:t>
      </w:r>
      <w:r w:rsidRPr="00783CB4">
        <w:rPr>
          <w:b/>
          <w:lang w:val="es-ES_tradnl"/>
        </w:rPr>
        <w:lastRenderedPageBreak/>
        <w:t xml:space="preserve">debatir de manera sistemática con el mecanismo la aplicación de las recomendaciones </w:t>
      </w:r>
      <w:r w:rsidR="00914C81">
        <w:rPr>
          <w:b/>
          <w:lang w:val="es-ES_tradnl"/>
        </w:rPr>
        <w:t>formuladas por</w:t>
      </w:r>
      <w:r w:rsidRPr="00783CB4">
        <w:rPr>
          <w:b/>
          <w:lang w:val="es-ES_tradnl"/>
        </w:rPr>
        <w:t xml:space="preserve"> este y su informe anual.</w:t>
      </w:r>
    </w:p>
    <w:p w:rsidR="00783CB4" w:rsidRPr="00783CB4" w:rsidRDefault="00783CB4" w:rsidP="00914C81">
      <w:pPr>
        <w:pStyle w:val="HChG"/>
        <w:rPr>
          <w:lang w:val="es-ES_tradnl"/>
        </w:rPr>
      </w:pPr>
      <w:r w:rsidRPr="00783CB4">
        <w:rPr>
          <w:lang w:val="es-ES_tradnl"/>
        </w:rPr>
        <w:tab/>
        <w:t>III.</w:t>
      </w:r>
      <w:r w:rsidRPr="00783CB4">
        <w:rPr>
          <w:lang w:val="es-ES_tradnl"/>
        </w:rPr>
        <w:tab/>
        <w:t>Cuestiones generales</w:t>
      </w:r>
    </w:p>
    <w:p w:rsidR="00783CB4" w:rsidRPr="00783CB4" w:rsidRDefault="00783CB4" w:rsidP="00914C81">
      <w:pPr>
        <w:pStyle w:val="H1G"/>
        <w:rPr>
          <w:lang w:val="es-ES_tradnl"/>
        </w:rPr>
      </w:pPr>
      <w:r w:rsidRPr="00783CB4">
        <w:rPr>
          <w:lang w:val="es-ES_tradnl"/>
        </w:rPr>
        <w:tab/>
        <w:t>A.</w:t>
      </w:r>
      <w:r w:rsidRPr="00783CB4">
        <w:rPr>
          <w:lang w:val="es-ES_tradnl"/>
        </w:rPr>
        <w:tab/>
        <w:t>Marco jurídico</w:t>
      </w:r>
    </w:p>
    <w:p w:rsidR="00783CB4" w:rsidRPr="00783CB4" w:rsidRDefault="00914C81" w:rsidP="00914C81">
      <w:pPr>
        <w:pStyle w:val="H23G"/>
        <w:rPr>
          <w:lang w:val="es-ES_tradnl"/>
        </w:rPr>
      </w:pPr>
      <w:r>
        <w:rPr>
          <w:lang w:val="es-ES_tradnl"/>
        </w:rPr>
        <w:tab/>
      </w:r>
      <w:r w:rsidR="00783CB4" w:rsidRPr="00783CB4">
        <w:rPr>
          <w:lang w:val="es-ES_tradnl"/>
        </w:rPr>
        <w:tab/>
        <w:t>Aspectos positivos</w:t>
      </w:r>
    </w:p>
    <w:p w:rsidR="00783CB4" w:rsidRPr="00783CB4" w:rsidRDefault="00783CB4" w:rsidP="00783CB4">
      <w:pPr>
        <w:pStyle w:val="SingleTxtG"/>
        <w:rPr>
          <w:lang w:val="es-ES_tradnl"/>
        </w:rPr>
      </w:pPr>
      <w:r w:rsidRPr="00783CB4">
        <w:rPr>
          <w:lang w:val="es-ES_tradnl"/>
        </w:rPr>
        <w:t>22.</w:t>
      </w:r>
      <w:r w:rsidRPr="00783CB4">
        <w:rPr>
          <w:lang w:val="es-ES_tradnl"/>
        </w:rPr>
        <w:tab/>
        <w:t xml:space="preserve">Desde la visita realizada por el Subcomité en 2011 se han producido en Ucrania una serie de novedades jurídicas positivas. En particular, se ha procedido a una revisión del Código de Procedimiento Penal </w:t>
      </w:r>
      <w:r w:rsidR="00914C81">
        <w:rPr>
          <w:lang w:val="es-ES_tradnl"/>
        </w:rPr>
        <w:t xml:space="preserve">mediante la que se han ampliado las posibilidades de utilizar </w:t>
      </w:r>
      <w:r w:rsidRPr="00783CB4">
        <w:rPr>
          <w:lang w:val="es-ES_tradnl"/>
        </w:rPr>
        <w:t xml:space="preserve">sanciones no privativas de la libertad durante el proceso penal, lo que ha dado lugar a una notable reducción del número de presos preventivos </w:t>
      </w:r>
      <w:r w:rsidR="00914C81">
        <w:t>(véase CAT/OP/UKR/1, párrs. </w:t>
      </w:r>
      <w:r w:rsidRPr="00783CB4">
        <w:t>59</w:t>
      </w:r>
      <w:r w:rsidR="00914C81">
        <w:t>,</w:t>
      </w:r>
      <w:r w:rsidRPr="00783CB4">
        <w:t xml:space="preserve"> 60, 65</w:t>
      </w:r>
      <w:r w:rsidR="00914C81">
        <w:t>,</w:t>
      </w:r>
      <w:r w:rsidRPr="00783CB4">
        <w:t xml:space="preserve"> 66, 97 y 98)</w:t>
      </w:r>
      <w:r w:rsidRPr="00783CB4">
        <w:rPr>
          <w:lang w:val="es-ES_tradnl"/>
        </w:rPr>
        <w:t xml:space="preserve">. Esto ha reducido el hacinamiento y ha contribuido a mejorar la prestación de servicios. Además, la Ley de Asistencia Letrada Gratuita de 2011 ha mejorado considerablemente el sistema de asistencia jurídica en el Estado parte </w:t>
      </w:r>
      <w:r w:rsidRPr="00783CB4">
        <w:t>(véase CAT/OP/UKR/1, párrs. 28 y 29)</w:t>
      </w:r>
      <w:r w:rsidRPr="00783CB4">
        <w:rPr>
          <w:lang w:val="es-ES_tradnl"/>
        </w:rPr>
        <w:t xml:space="preserve">, </w:t>
      </w:r>
      <w:r w:rsidR="00914C81">
        <w:rPr>
          <w:lang w:val="es-ES_tradnl"/>
        </w:rPr>
        <w:t xml:space="preserve">y </w:t>
      </w:r>
      <w:r w:rsidRPr="00783CB4">
        <w:rPr>
          <w:lang w:val="es-ES_tradnl"/>
        </w:rPr>
        <w:t xml:space="preserve">el plan de acción </w:t>
      </w:r>
      <w:r w:rsidR="00914C81">
        <w:rPr>
          <w:lang w:val="es-ES_tradnl"/>
        </w:rPr>
        <w:t xml:space="preserve">de </w:t>
      </w:r>
      <w:r w:rsidRPr="00783CB4">
        <w:rPr>
          <w:lang w:val="es-ES_tradnl"/>
        </w:rPr>
        <w:t xml:space="preserve">derechos humanos de 2015 propone </w:t>
      </w:r>
      <w:r w:rsidR="00914C81">
        <w:rPr>
          <w:lang w:val="es-ES_tradnl"/>
        </w:rPr>
        <w:t xml:space="preserve">reforzar </w:t>
      </w:r>
      <w:r w:rsidRPr="00783CB4">
        <w:rPr>
          <w:lang w:val="es-ES_tradnl"/>
        </w:rPr>
        <w:t>las medidas contra la tortura y los malos tratos.</w:t>
      </w:r>
    </w:p>
    <w:p w:rsidR="00783CB4" w:rsidRPr="00783CB4" w:rsidRDefault="00783CB4" w:rsidP="00783CB4">
      <w:pPr>
        <w:pStyle w:val="SingleTxtG"/>
        <w:rPr>
          <w:b/>
          <w:lang w:val="es-ES_tradnl"/>
        </w:rPr>
      </w:pPr>
      <w:r w:rsidRPr="00783CB4">
        <w:rPr>
          <w:lang w:val="es-ES_tradnl"/>
        </w:rPr>
        <w:t>23.</w:t>
      </w:r>
      <w:r w:rsidRPr="00783CB4">
        <w:rPr>
          <w:lang w:val="es-ES_tradnl"/>
        </w:rPr>
        <w:tab/>
      </w:r>
      <w:r w:rsidRPr="00783CB4">
        <w:rPr>
          <w:b/>
          <w:lang w:val="es-ES_tradnl"/>
        </w:rPr>
        <w:t xml:space="preserve">El Subcomité acoge con satisfacción </w:t>
      </w:r>
      <w:r w:rsidR="00914C81">
        <w:rPr>
          <w:b/>
          <w:lang w:val="es-ES_tradnl"/>
        </w:rPr>
        <w:t>las</w:t>
      </w:r>
      <w:r w:rsidRPr="00783CB4">
        <w:rPr>
          <w:b/>
          <w:lang w:val="es-ES_tradnl"/>
        </w:rPr>
        <w:t xml:space="preserve"> reformas positivas introducidas en el sistema jurídico de Ucrania, ya que probablemente contribuirán a reducir el riesgo de tortura y malos tratos. </w:t>
      </w:r>
      <w:r w:rsidR="00914C81">
        <w:rPr>
          <w:b/>
          <w:lang w:val="es-ES_tradnl"/>
        </w:rPr>
        <w:t>Asimismo,</w:t>
      </w:r>
      <w:r w:rsidRPr="00783CB4">
        <w:rPr>
          <w:b/>
          <w:lang w:val="es-ES_tradnl"/>
        </w:rPr>
        <w:t xml:space="preserve"> recomienda que el Estado parte aplique el plan de acción </w:t>
      </w:r>
      <w:r w:rsidR="00B50D28">
        <w:rPr>
          <w:b/>
          <w:lang w:val="es-ES_tradnl"/>
        </w:rPr>
        <w:t>de</w:t>
      </w:r>
      <w:r w:rsidRPr="00783CB4">
        <w:rPr>
          <w:b/>
          <w:lang w:val="es-ES_tradnl"/>
        </w:rPr>
        <w:t xml:space="preserve"> derechos humanos de 2015, </w:t>
      </w:r>
      <w:r w:rsidR="00B50D28">
        <w:rPr>
          <w:b/>
          <w:lang w:val="es-ES_tradnl"/>
        </w:rPr>
        <w:t>lo que entraña, entre otras cosas, cumplir</w:t>
      </w:r>
      <w:r w:rsidRPr="00783CB4">
        <w:rPr>
          <w:b/>
          <w:lang w:val="es-ES_tradnl"/>
        </w:rPr>
        <w:t xml:space="preserve"> los compromisos contraídos para seguir desarrollando su sistema de registro, reforzar el mecanismo nacional de prevención y fortalecer el sistema de investigación de la tortura y los malos tratos</w:t>
      </w:r>
      <w:r w:rsidRPr="00783CB4">
        <w:rPr>
          <w:vertAlign w:val="superscript"/>
          <w:lang w:val="es-ES_tradnl"/>
        </w:rPr>
        <w:footnoteReference w:id="5"/>
      </w:r>
      <w:r w:rsidRPr="00783CB4">
        <w:rPr>
          <w:b/>
          <w:lang w:val="es-ES_tradnl"/>
        </w:rPr>
        <w:t>.</w:t>
      </w:r>
    </w:p>
    <w:p w:rsidR="00783CB4" w:rsidRPr="00783CB4" w:rsidRDefault="00B50D28" w:rsidP="00B50D28">
      <w:pPr>
        <w:pStyle w:val="H23G"/>
        <w:rPr>
          <w:lang w:val="es-ES_tradnl"/>
        </w:rPr>
      </w:pPr>
      <w:r>
        <w:rPr>
          <w:lang w:val="es-ES_tradnl"/>
        </w:rPr>
        <w:tab/>
      </w:r>
      <w:r w:rsidR="00783CB4" w:rsidRPr="00783CB4">
        <w:rPr>
          <w:lang w:val="es-ES_tradnl"/>
        </w:rPr>
        <w:tab/>
        <w:t>Tipificación de la tortura como delito</w:t>
      </w:r>
    </w:p>
    <w:p w:rsidR="00783CB4" w:rsidRPr="00783CB4" w:rsidRDefault="00783CB4" w:rsidP="00783CB4">
      <w:pPr>
        <w:pStyle w:val="SingleTxtG"/>
        <w:rPr>
          <w:lang w:val="es-ES_tradnl"/>
        </w:rPr>
      </w:pPr>
      <w:r w:rsidRPr="00783CB4">
        <w:rPr>
          <w:lang w:val="es-ES_tradnl"/>
        </w:rPr>
        <w:t>24.</w:t>
      </w:r>
      <w:r w:rsidRPr="00783CB4">
        <w:rPr>
          <w:lang w:val="es-ES_tradnl"/>
        </w:rPr>
        <w:tab/>
        <w:t xml:space="preserve">El Subcomité sigue preocupado por el hecho de que el Código Penal no incorpore a la legislación de Ucrania todos los elementos del delito de tortura según se define en el artículo 1 de la Convención contra la Tortura y Otros Tratos o Penas Crueles, Inhumanos o Degradantes (véase </w:t>
      </w:r>
      <w:r w:rsidRPr="00783CB4">
        <w:rPr>
          <w:bCs/>
        </w:rPr>
        <w:t>CAT/OP/UKR/1, párrs. 18 a 20)</w:t>
      </w:r>
      <w:r w:rsidRPr="00783CB4">
        <w:rPr>
          <w:lang w:val="es-ES_tradnl"/>
        </w:rPr>
        <w:t xml:space="preserve">. En particular, </w:t>
      </w:r>
      <w:r w:rsidR="00B50D28">
        <w:rPr>
          <w:lang w:val="es-ES_tradnl"/>
        </w:rPr>
        <w:t>inquieta</w:t>
      </w:r>
      <w:r w:rsidRPr="00783CB4">
        <w:rPr>
          <w:lang w:val="es-ES_tradnl"/>
        </w:rPr>
        <w:t xml:space="preserve"> al Subcomité que en el artículo 127 del Código, que define el delito de tortura en la legislación nacional, </w:t>
      </w:r>
      <w:r w:rsidR="00B50D28" w:rsidRPr="00E8144B">
        <w:t>no se incluya el t</w:t>
      </w:r>
      <w:r w:rsidR="00B50D28">
        <w:t xml:space="preserve">érmino “funcionario público” </w:t>
      </w:r>
      <w:r w:rsidR="00B50D28" w:rsidRPr="008137FC">
        <w:t>y se restrinja la tortura al</w:t>
      </w:r>
      <w:r w:rsidR="00B50D28" w:rsidRPr="00783CB4">
        <w:rPr>
          <w:lang w:val="es-ES_tradnl"/>
        </w:rPr>
        <w:t xml:space="preserve"> </w:t>
      </w:r>
      <w:r w:rsidRPr="00783CB4">
        <w:rPr>
          <w:lang w:val="es-ES_tradnl"/>
        </w:rPr>
        <w:t xml:space="preserve">sufrimiento </w:t>
      </w:r>
      <w:r w:rsidR="00B50D28">
        <w:rPr>
          <w:lang w:val="es-ES_tradnl"/>
        </w:rPr>
        <w:t>resultante</w:t>
      </w:r>
      <w:r w:rsidRPr="00783CB4">
        <w:rPr>
          <w:lang w:val="es-ES_tradnl"/>
        </w:rPr>
        <w:t xml:space="preserve"> de actos de violencia física. Además, se ha informado al Subcomité de que </w:t>
      </w:r>
      <w:r w:rsidR="00B50D28">
        <w:rPr>
          <w:lang w:val="es-ES_tradnl"/>
        </w:rPr>
        <w:t>algunos</w:t>
      </w:r>
      <w:r w:rsidRPr="00783CB4">
        <w:rPr>
          <w:lang w:val="es-ES_tradnl"/>
        </w:rPr>
        <w:t xml:space="preserve"> actos que podrían constituir tortura y malos tratos </w:t>
      </w:r>
      <w:r w:rsidR="00B50D28">
        <w:rPr>
          <w:lang w:val="es-ES_tradnl"/>
        </w:rPr>
        <w:t xml:space="preserve">en virtud de lo dispuesto en el </w:t>
      </w:r>
      <w:r w:rsidRPr="00783CB4">
        <w:rPr>
          <w:lang w:val="es-ES_tradnl"/>
        </w:rPr>
        <w:t>artículo 1 de la Convención contra la Tortura son enjuiciados en la práctica con arreglo a los artículos del Código Penal relativos al abuso de poder o de autoridad.</w:t>
      </w:r>
    </w:p>
    <w:p w:rsidR="00783CB4" w:rsidRPr="00783CB4" w:rsidRDefault="00783CB4" w:rsidP="00783CB4">
      <w:pPr>
        <w:pStyle w:val="SingleTxtG"/>
        <w:rPr>
          <w:b/>
          <w:lang w:val="es-ES_tradnl"/>
        </w:rPr>
      </w:pPr>
      <w:r w:rsidRPr="00783CB4">
        <w:rPr>
          <w:lang w:val="es-ES_tradnl"/>
        </w:rPr>
        <w:t>25.</w:t>
      </w:r>
      <w:r w:rsidRPr="00783CB4">
        <w:rPr>
          <w:lang w:val="es-ES_tradnl"/>
        </w:rPr>
        <w:tab/>
      </w:r>
      <w:r w:rsidRPr="00783CB4">
        <w:rPr>
          <w:b/>
          <w:lang w:val="es-ES_tradnl"/>
        </w:rPr>
        <w:t xml:space="preserve">El Subcomité reitera su recomendación anterior de que las disposiciones del Código Penal relativas a la definición de tortura se </w:t>
      </w:r>
      <w:r w:rsidR="00B50D28">
        <w:rPr>
          <w:b/>
          <w:lang w:val="es-ES_tradnl"/>
        </w:rPr>
        <w:t xml:space="preserve">armonicen plenamente </w:t>
      </w:r>
      <w:r w:rsidRPr="00783CB4">
        <w:rPr>
          <w:b/>
          <w:lang w:val="es-ES_tradnl"/>
        </w:rPr>
        <w:t xml:space="preserve">con el artículo 1 de la Convención contra la Tortura, a fin de cerrar los resquicios reales o potenciales que </w:t>
      </w:r>
      <w:r w:rsidR="00B50D28">
        <w:rPr>
          <w:b/>
          <w:lang w:val="es-ES_tradnl"/>
        </w:rPr>
        <w:t xml:space="preserve">propician </w:t>
      </w:r>
      <w:r w:rsidRPr="00783CB4">
        <w:rPr>
          <w:b/>
          <w:lang w:val="es-ES_tradnl"/>
        </w:rPr>
        <w:t>la impunidad</w:t>
      </w:r>
      <w:r w:rsidRPr="00783CB4">
        <w:rPr>
          <w:vertAlign w:val="superscript"/>
          <w:lang w:val="es-ES_tradnl"/>
        </w:rPr>
        <w:footnoteReference w:id="6"/>
      </w:r>
      <w:r w:rsidRPr="00783CB4">
        <w:rPr>
          <w:b/>
          <w:lang w:val="es-ES_tradnl"/>
        </w:rPr>
        <w:t xml:space="preserve">. </w:t>
      </w:r>
      <w:r w:rsidR="00B50D28">
        <w:rPr>
          <w:b/>
          <w:lang w:val="es-ES_tradnl"/>
        </w:rPr>
        <w:t>Además</w:t>
      </w:r>
      <w:r w:rsidRPr="00783CB4">
        <w:rPr>
          <w:b/>
          <w:lang w:val="es-ES_tradnl"/>
        </w:rPr>
        <w:t>, el Subcomité recomienda que los delito</w:t>
      </w:r>
      <w:r w:rsidR="00B50D28">
        <w:rPr>
          <w:b/>
          <w:lang w:val="es-ES_tradnl"/>
        </w:rPr>
        <w:t>s</w:t>
      </w:r>
      <w:r w:rsidRPr="00783CB4">
        <w:rPr>
          <w:b/>
          <w:lang w:val="es-ES_tradnl"/>
        </w:rPr>
        <w:t xml:space="preserve"> de tortura se </w:t>
      </w:r>
      <w:r w:rsidR="00B50D28">
        <w:rPr>
          <w:b/>
          <w:lang w:val="es-ES_tradnl"/>
        </w:rPr>
        <w:t xml:space="preserve">enjuicien con arreglo a </w:t>
      </w:r>
      <w:r w:rsidRPr="00783CB4">
        <w:rPr>
          <w:b/>
          <w:lang w:val="es-ES_tradnl"/>
        </w:rPr>
        <w:t>la disposición relativa a la tortura, y no con arreglo a las disposiciones relativas al abuso de poder o de autoridad, y que los actos de tortura y malos tratos se castiguen con penas acordes a su gravedad.</w:t>
      </w:r>
    </w:p>
    <w:p w:rsidR="00783CB4" w:rsidRPr="00783CB4" w:rsidRDefault="00783CB4" w:rsidP="00B50D28">
      <w:pPr>
        <w:pStyle w:val="H1G"/>
        <w:rPr>
          <w:lang w:val="es-ES_tradnl"/>
        </w:rPr>
      </w:pPr>
      <w:r w:rsidRPr="00783CB4">
        <w:rPr>
          <w:lang w:val="es-ES_tradnl"/>
        </w:rPr>
        <w:lastRenderedPageBreak/>
        <w:tab/>
        <w:t>B.</w:t>
      </w:r>
      <w:r w:rsidRPr="00783CB4">
        <w:rPr>
          <w:lang w:val="es-ES_tradnl"/>
        </w:rPr>
        <w:tab/>
        <w:t>Marco institucional</w:t>
      </w:r>
    </w:p>
    <w:p w:rsidR="00783CB4" w:rsidRPr="00783CB4" w:rsidRDefault="00B50D28" w:rsidP="00B50D28">
      <w:pPr>
        <w:pStyle w:val="H23G"/>
        <w:rPr>
          <w:lang w:val="es-ES_tradnl"/>
        </w:rPr>
      </w:pPr>
      <w:r>
        <w:rPr>
          <w:lang w:val="es-ES_tradnl"/>
        </w:rPr>
        <w:tab/>
      </w:r>
      <w:r w:rsidR="00783CB4" w:rsidRPr="00783CB4">
        <w:rPr>
          <w:lang w:val="es-ES_tradnl"/>
        </w:rPr>
        <w:tab/>
        <w:t>Aspectos positivos</w:t>
      </w:r>
    </w:p>
    <w:p w:rsidR="00783CB4" w:rsidRPr="00783CB4" w:rsidRDefault="00783CB4" w:rsidP="00783CB4">
      <w:pPr>
        <w:pStyle w:val="SingleTxtG"/>
        <w:rPr>
          <w:lang w:val="es-ES_tradnl"/>
        </w:rPr>
      </w:pPr>
      <w:r w:rsidRPr="00783CB4">
        <w:rPr>
          <w:lang w:val="es-ES_tradnl"/>
        </w:rPr>
        <w:t>26.</w:t>
      </w:r>
      <w:r w:rsidRPr="00783CB4">
        <w:rPr>
          <w:lang w:val="es-ES_tradnl"/>
        </w:rPr>
        <w:tab/>
        <w:t>El Subcomité o</w:t>
      </w:r>
      <w:r w:rsidR="00B50D28">
        <w:rPr>
          <w:lang w:val="es-ES_tradnl"/>
        </w:rPr>
        <w:t>bserva que, además de designar e</w:t>
      </w:r>
      <w:r w:rsidRPr="00783CB4">
        <w:rPr>
          <w:lang w:val="es-ES_tradnl"/>
        </w:rPr>
        <w:t xml:space="preserve">l mecanismo nacional de prevención, el Estado parte ha introducido varios cambios institucionales desde 2011. En mayo de 2016 estaba en marcha un proceso para disolver el servicio penitenciario, crear un sistema de libertad </w:t>
      </w:r>
      <w:r w:rsidR="00B50D28">
        <w:rPr>
          <w:lang w:val="es-ES_tradnl"/>
        </w:rPr>
        <w:t>vigilada</w:t>
      </w:r>
      <w:r w:rsidRPr="00783CB4">
        <w:rPr>
          <w:lang w:val="es-ES_tradnl"/>
        </w:rPr>
        <w:t xml:space="preserve"> y </w:t>
      </w:r>
      <w:r w:rsidR="00B50D28">
        <w:rPr>
          <w:lang w:val="es-ES_tradnl"/>
        </w:rPr>
        <w:t xml:space="preserve">subordinar </w:t>
      </w:r>
      <w:r w:rsidRPr="00783CB4">
        <w:rPr>
          <w:lang w:val="es-ES_tradnl"/>
        </w:rPr>
        <w:t xml:space="preserve">las instituciones penitenciarias directamente </w:t>
      </w:r>
      <w:r w:rsidR="00B50D28">
        <w:rPr>
          <w:lang w:val="es-ES_tradnl"/>
        </w:rPr>
        <w:t xml:space="preserve">al </w:t>
      </w:r>
      <w:r w:rsidRPr="00783CB4">
        <w:rPr>
          <w:lang w:val="es-ES_tradnl"/>
        </w:rPr>
        <w:t xml:space="preserve">Ministerio de Justicia. El Subcomité entiende </w:t>
      </w:r>
      <w:r w:rsidR="00B50D28">
        <w:rPr>
          <w:lang w:val="es-ES_tradnl"/>
        </w:rPr>
        <w:t xml:space="preserve">asimismo </w:t>
      </w:r>
      <w:r w:rsidRPr="00783CB4">
        <w:rPr>
          <w:lang w:val="es-ES_tradnl"/>
        </w:rPr>
        <w:t xml:space="preserve">que el Estado parte está estudiando la posibilidad de transferir la administración de los servicios médicos penitenciarios al Ministerio de Salud. Además, el Subcomité felicita al Estado parte por las medidas adoptadas </w:t>
      </w:r>
      <w:r w:rsidR="00B50D28">
        <w:rPr>
          <w:lang w:val="es-ES_tradnl"/>
        </w:rPr>
        <w:t xml:space="preserve">para </w:t>
      </w:r>
      <w:r w:rsidRPr="00783CB4">
        <w:rPr>
          <w:lang w:val="es-ES_tradnl"/>
        </w:rPr>
        <w:t>renova</w:t>
      </w:r>
      <w:r w:rsidR="00B50D28">
        <w:rPr>
          <w:lang w:val="es-ES_tradnl"/>
        </w:rPr>
        <w:t xml:space="preserve">r </w:t>
      </w:r>
      <w:r w:rsidRPr="00783CB4">
        <w:rPr>
          <w:lang w:val="es-ES_tradnl"/>
        </w:rPr>
        <w:t xml:space="preserve">las instalaciones de </w:t>
      </w:r>
      <w:r w:rsidR="00B50D28">
        <w:rPr>
          <w:lang w:val="es-ES_tradnl"/>
        </w:rPr>
        <w:t xml:space="preserve">reclusión </w:t>
      </w:r>
      <w:r w:rsidRPr="00783CB4">
        <w:rPr>
          <w:lang w:val="es-ES_tradnl"/>
        </w:rPr>
        <w:t xml:space="preserve">más </w:t>
      </w:r>
      <w:r w:rsidR="00B50D28">
        <w:rPr>
          <w:lang w:val="es-ES_tradnl"/>
        </w:rPr>
        <w:t>antiguas</w:t>
      </w:r>
      <w:r w:rsidRPr="00783CB4">
        <w:rPr>
          <w:lang w:val="es-ES_tradnl"/>
        </w:rPr>
        <w:t>.</w:t>
      </w:r>
    </w:p>
    <w:p w:rsidR="00783CB4" w:rsidRPr="00783CB4" w:rsidRDefault="00783CB4" w:rsidP="00783CB4">
      <w:pPr>
        <w:pStyle w:val="SingleTxtG"/>
        <w:rPr>
          <w:b/>
          <w:lang w:val="es-ES_tradnl"/>
        </w:rPr>
      </w:pPr>
      <w:r w:rsidRPr="00783CB4">
        <w:rPr>
          <w:lang w:val="es-ES_tradnl"/>
        </w:rPr>
        <w:t>27.</w:t>
      </w:r>
      <w:r w:rsidRPr="00783CB4">
        <w:rPr>
          <w:lang w:val="es-ES_tradnl"/>
        </w:rPr>
        <w:tab/>
      </w:r>
      <w:r w:rsidRPr="00783CB4">
        <w:rPr>
          <w:b/>
          <w:lang w:val="es-ES_tradnl"/>
        </w:rPr>
        <w:t xml:space="preserve">El Subcomité acoge con satisfacción las reformas del marco institucional de Ucrania que pueden contribuir a mejorar las condiciones materiales y la prestación de servicios en los lugares de privación de libertad. </w:t>
      </w:r>
      <w:r w:rsidR="00B50D28">
        <w:rPr>
          <w:b/>
          <w:lang w:val="es-ES_tradnl"/>
        </w:rPr>
        <w:t xml:space="preserve">Asimismo, </w:t>
      </w:r>
      <w:r w:rsidRPr="00783CB4">
        <w:rPr>
          <w:b/>
          <w:lang w:val="es-ES_tradnl"/>
        </w:rPr>
        <w:t xml:space="preserve">recomienda que el Estado parte continúe su programa de renovación de las instalaciones de </w:t>
      </w:r>
      <w:r w:rsidR="00B50D28">
        <w:rPr>
          <w:b/>
          <w:lang w:val="es-ES_tradnl"/>
        </w:rPr>
        <w:t>reclusión</w:t>
      </w:r>
      <w:r w:rsidRPr="00783CB4">
        <w:rPr>
          <w:b/>
          <w:lang w:val="es-ES_tradnl"/>
        </w:rPr>
        <w:t xml:space="preserve"> anticuadas y pide que se le proporcione información sobre los avances realizados en el marco de ese programa. Recomienda también que los servicios médicos de las instituciones de justicia penal sean sometidos a la autoridad del Ministerio de Salud, ya que ello ayudaría a garantizar que los presos reciban una atención médica del mismo nivel que las demás personas y a asegurar la independencia de los servicios médicos penitenciarios.</w:t>
      </w:r>
    </w:p>
    <w:p w:rsidR="00783CB4" w:rsidRPr="00783CB4" w:rsidRDefault="00B50D28" w:rsidP="00B50D28">
      <w:pPr>
        <w:pStyle w:val="H23G"/>
        <w:rPr>
          <w:lang w:val="es-ES_tradnl"/>
        </w:rPr>
      </w:pPr>
      <w:r>
        <w:rPr>
          <w:lang w:val="es-ES_tradnl"/>
        </w:rPr>
        <w:tab/>
      </w:r>
      <w:r w:rsidR="00783CB4" w:rsidRPr="00783CB4">
        <w:rPr>
          <w:lang w:val="es-ES_tradnl"/>
        </w:rPr>
        <w:tab/>
      </w:r>
      <w:r>
        <w:rPr>
          <w:lang w:val="es-ES_tradnl"/>
        </w:rPr>
        <w:t>Reinserción</w:t>
      </w:r>
      <w:r w:rsidR="00783CB4" w:rsidRPr="00783CB4">
        <w:rPr>
          <w:lang w:val="es-ES_tradnl"/>
        </w:rPr>
        <w:t xml:space="preserve"> social y rehabilitación</w:t>
      </w:r>
    </w:p>
    <w:p w:rsidR="00783CB4" w:rsidRPr="00783CB4" w:rsidRDefault="00783CB4" w:rsidP="00783CB4">
      <w:pPr>
        <w:pStyle w:val="SingleTxtG"/>
        <w:rPr>
          <w:b/>
          <w:lang w:val="es-ES_tradnl"/>
        </w:rPr>
      </w:pPr>
      <w:r w:rsidRPr="00783CB4">
        <w:rPr>
          <w:lang w:val="es-ES_tradnl"/>
        </w:rPr>
        <w:t>28.</w:t>
      </w:r>
      <w:r w:rsidRPr="00783CB4">
        <w:rPr>
          <w:lang w:val="es-ES_tradnl"/>
        </w:rPr>
        <w:tab/>
        <w:t>El Subcomité observa que, en general, falta</w:t>
      </w:r>
      <w:r w:rsidR="00B50D28">
        <w:rPr>
          <w:lang w:val="es-ES_tradnl"/>
        </w:rPr>
        <w:t xml:space="preserve">n </w:t>
      </w:r>
      <w:r w:rsidRPr="00783CB4">
        <w:rPr>
          <w:lang w:val="es-ES_tradnl"/>
        </w:rPr>
        <w:t xml:space="preserve">servicios sociales y programas de reinserción que preparen a los reclusos para su regreso a la sociedad una vez puestos en libertad. En casi todas las instituciones visitadas por el Subcomité, los reclusos y el personal indicaron que no </w:t>
      </w:r>
      <w:r w:rsidR="00B50D28">
        <w:rPr>
          <w:lang w:val="es-ES_tradnl"/>
        </w:rPr>
        <w:t xml:space="preserve">tenían constancia de </w:t>
      </w:r>
      <w:r w:rsidRPr="00783CB4">
        <w:rPr>
          <w:lang w:val="es-ES_tradnl"/>
        </w:rPr>
        <w:t>que existieran programas de rein</w:t>
      </w:r>
      <w:r w:rsidR="00B50D28">
        <w:rPr>
          <w:lang w:val="es-ES_tradnl"/>
        </w:rPr>
        <w:t xml:space="preserve">serción </w:t>
      </w:r>
      <w:r w:rsidRPr="00783CB4">
        <w:rPr>
          <w:lang w:val="es-ES_tradnl"/>
        </w:rPr>
        <w:t xml:space="preserve">en la comunidad y servicios sociales que prestaran apoyo a los reclusos una vez excarcelados. En los casos en que existen esos programas, las prestaciones no </w:t>
      </w:r>
      <w:r w:rsidR="00B50D28">
        <w:rPr>
          <w:lang w:val="es-ES_tradnl"/>
        </w:rPr>
        <w:t>se conceden automáticamente</w:t>
      </w:r>
      <w:r w:rsidRPr="00783CB4">
        <w:rPr>
          <w:lang w:val="es-ES_tradnl"/>
        </w:rPr>
        <w:t xml:space="preserve">. En las dependencias para madres y bebés, por ejemplo, existen programas para las mujeres desde seis meses antes de su puesta en libertad, pero no se ofrecen automáticamente y solo participan en ellos alrededor del 50% de </w:t>
      </w:r>
      <w:r w:rsidR="00B50D28">
        <w:rPr>
          <w:lang w:val="es-ES_tradnl"/>
        </w:rPr>
        <w:t>ellas</w:t>
      </w:r>
      <w:r w:rsidRPr="00783CB4">
        <w:rPr>
          <w:lang w:val="es-ES_tradnl"/>
        </w:rPr>
        <w:t xml:space="preserve">. Al Subcomité le preocupa que la falta de </w:t>
      </w:r>
      <w:r w:rsidR="00B50D28">
        <w:rPr>
          <w:lang w:val="es-ES_tradnl"/>
        </w:rPr>
        <w:t xml:space="preserve">servicios de </w:t>
      </w:r>
      <w:r w:rsidRPr="00783CB4">
        <w:rPr>
          <w:lang w:val="es-ES_tradnl"/>
        </w:rPr>
        <w:t xml:space="preserve">asistencia social </w:t>
      </w:r>
      <w:r w:rsidR="00B50D28">
        <w:rPr>
          <w:lang w:val="es-ES_tradnl"/>
        </w:rPr>
        <w:t xml:space="preserve">para </w:t>
      </w:r>
      <w:r w:rsidRPr="00783CB4">
        <w:rPr>
          <w:lang w:val="es-ES_tradnl"/>
        </w:rPr>
        <w:t>las madres pueda tener efectos negativos en ellas y sus hijos después de su puesta en libertad. Además, el limitado apoyo social que reciben todas las personas privadas de libertad las expone a un alto riesgo de reincidencia.</w:t>
      </w:r>
    </w:p>
    <w:p w:rsidR="00783CB4" w:rsidRPr="00783CB4" w:rsidRDefault="00783CB4" w:rsidP="00783CB4">
      <w:pPr>
        <w:pStyle w:val="SingleTxtG"/>
        <w:rPr>
          <w:b/>
          <w:lang w:val="es-ES_tradnl"/>
        </w:rPr>
      </w:pPr>
      <w:r w:rsidRPr="00783CB4">
        <w:rPr>
          <w:lang w:val="es-ES_tradnl"/>
        </w:rPr>
        <w:t>29.</w:t>
      </w:r>
      <w:r w:rsidRPr="00783CB4">
        <w:rPr>
          <w:lang w:val="es-ES_tradnl"/>
        </w:rPr>
        <w:tab/>
      </w:r>
      <w:r w:rsidRPr="00783CB4">
        <w:rPr>
          <w:b/>
          <w:lang w:val="es-ES_tradnl"/>
        </w:rPr>
        <w:t xml:space="preserve">El Subcomité recomienda que el Estado parte refuerce los servicios </w:t>
      </w:r>
      <w:r w:rsidR="00B50D28">
        <w:rPr>
          <w:b/>
          <w:lang w:val="es-ES_tradnl"/>
        </w:rPr>
        <w:t xml:space="preserve">que se </w:t>
      </w:r>
      <w:r w:rsidRPr="00783CB4">
        <w:rPr>
          <w:b/>
          <w:lang w:val="es-ES_tradnl"/>
        </w:rPr>
        <w:t>presta</w:t>
      </w:r>
      <w:r w:rsidR="00B50D28">
        <w:rPr>
          <w:b/>
          <w:lang w:val="es-ES_tradnl"/>
        </w:rPr>
        <w:t xml:space="preserve">n </w:t>
      </w:r>
      <w:r w:rsidRPr="00783CB4">
        <w:rPr>
          <w:b/>
          <w:lang w:val="es-ES_tradnl"/>
        </w:rPr>
        <w:t xml:space="preserve">a las personas privadas de libertad </w:t>
      </w:r>
      <w:r w:rsidR="00505B39">
        <w:rPr>
          <w:b/>
          <w:lang w:val="es-ES_tradnl"/>
        </w:rPr>
        <w:t xml:space="preserve">para </w:t>
      </w:r>
      <w:r w:rsidRPr="00783CB4">
        <w:rPr>
          <w:b/>
          <w:lang w:val="es-ES_tradnl"/>
        </w:rPr>
        <w:t xml:space="preserve">garantizar que existan servicios de asistencia social, como la </w:t>
      </w:r>
      <w:r w:rsidR="00505B39">
        <w:rPr>
          <w:b/>
          <w:lang w:val="es-ES_tradnl"/>
        </w:rPr>
        <w:t xml:space="preserve">asistencia para la vida autónoma </w:t>
      </w:r>
      <w:r w:rsidRPr="00783CB4">
        <w:rPr>
          <w:b/>
          <w:lang w:val="es-ES_tradnl"/>
        </w:rPr>
        <w:t xml:space="preserve">y el asesoramiento, y que esos servicios estén coordinados, </w:t>
      </w:r>
      <w:r w:rsidR="00505B39">
        <w:rPr>
          <w:b/>
          <w:lang w:val="es-ES_tradnl"/>
        </w:rPr>
        <w:t>a fin de</w:t>
      </w:r>
      <w:r w:rsidRPr="00783CB4">
        <w:rPr>
          <w:b/>
          <w:lang w:val="es-ES_tradnl"/>
        </w:rPr>
        <w:t xml:space="preserve"> facilitar la transición de </w:t>
      </w:r>
      <w:r w:rsidR="00505B39">
        <w:rPr>
          <w:b/>
          <w:lang w:val="es-ES_tradnl"/>
        </w:rPr>
        <w:t>esas</w:t>
      </w:r>
      <w:r w:rsidRPr="00783CB4">
        <w:rPr>
          <w:b/>
          <w:lang w:val="es-ES_tradnl"/>
        </w:rPr>
        <w:t xml:space="preserve"> personas en su regreso a la sociedad y evitar que vuelvan a ser encarceladas.</w:t>
      </w:r>
    </w:p>
    <w:p w:rsidR="00783CB4" w:rsidRPr="00783CB4" w:rsidRDefault="00505B39" w:rsidP="00505B39">
      <w:pPr>
        <w:pStyle w:val="H23G"/>
        <w:rPr>
          <w:lang w:val="es-ES_tradnl"/>
        </w:rPr>
      </w:pPr>
      <w:r>
        <w:rPr>
          <w:lang w:val="es-ES_tradnl"/>
        </w:rPr>
        <w:tab/>
      </w:r>
      <w:r w:rsidR="00783CB4" w:rsidRPr="00783CB4">
        <w:rPr>
          <w:lang w:val="es-ES_tradnl"/>
        </w:rPr>
        <w:tab/>
        <w:t xml:space="preserve">Intervenciones en materia de salud mental y abuso de sustancias </w:t>
      </w:r>
    </w:p>
    <w:p w:rsidR="00783CB4" w:rsidRPr="00783CB4" w:rsidRDefault="00783CB4" w:rsidP="00783CB4">
      <w:pPr>
        <w:pStyle w:val="SingleTxtG"/>
        <w:rPr>
          <w:lang w:val="es-ES_tradnl"/>
        </w:rPr>
      </w:pPr>
      <w:r w:rsidRPr="00783CB4">
        <w:rPr>
          <w:lang w:val="es-ES_tradnl"/>
        </w:rPr>
        <w:t>30.</w:t>
      </w:r>
      <w:r w:rsidRPr="00783CB4">
        <w:rPr>
          <w:lang w:val="es-ES_tradnl"/>
        </w:rPr>
        <w:tab/>
        <w:t xml:space="preserve">El Subcomité </w:t>
      </w:r>
      <w:r w:rsidR="00505B39" w:rsidRPr="00105156">
        <w:t xml:space="preserve">observa con preocupación que, aunque </w:t>
      </w:r>
      <w:r w:rsidR="00505B39" w:rsidRPr="00FB1164">
        <w:t xml:space="preserve">la prevalencia de </w:t>
      </w:r>
      <w:r w:rsidR="00505B39">
        <w:t xml:space="preserve">los </w:t>
      </w:r>
      <w:r w:rsidR="00505B39" w:rsidRPr="00FB1164">
        <w:t>problemas de salud</w:t>
      </w:r>
      <w:r w:rsidR="00505B39">
        <w:t xml:space="preserve"> mental</w:t>
      </w:r>
      <w:r w:rsidR="00505B39" w:rsidRPr="00FB1164">
        <w:t xml:space="preserve"> entre las personas privadas de libertad</w:t>
      </w:r>
      <w:r w:rsidR="00505B39" w:rsidRPr="00284ED2">
        <w:t xml:space="preserve"> </w:t>
      </w:r>
      <w:r w:rsidR="00505B39" w:rsidRPr="00FB1164">
        <w:t>pare</w:t>
      </w:r>
      <w:r w:rsidR="00505B39">
        <w:t>ce</w:t>
      </w:r>
      <w:r w:rsidR="00505B39" w:rsidRPr="00FB1164">
        <w:t xml:space="preserve"> ser alta</w:t>
      </w:r>
      <w:r w:rsidR="00505B39">
        <w:t>, solo existe un sistema muy limitado para abordar las cuestiones de salud mental en los lugares de reclusión</w:t>
      </w:r>
      <w:r w:rsidR="00A92AE2">
        <w:t>.</w:t>
      </w:r>
      <w:r w:rsidRPr="00783CB4">
        <w:rPr>
          <w:lang w:val="es-ES_tradnl"/>
        </w:rPr>
        <w:t xml:space="preserve"> </w:t>
      </w:r>
      <w:r w:rsidR="00505B39">
        <w:rPr>
          <w:lang w:val="es-ES_tradnl"/>
        </w:rPr>
        <w:t xml:space="preserve">El Subcomité </w:t>
      </w:r>
      <w:r w:rsidR="00A92AE2">
        <w:rPr>
          <w:lang w:val="es-ES_tradnl"/>
        </w:rPr>
        <w:t xml:space="preserve">ha </w:t>
      </w:r>
      <w:r w:rsidR="00505B39">
        <w:rPr>
          <w:lang w:val="es-ES_tradnl"/>
        </w:rPr>
        <w:t>observa</w:t>
      </w:r>
      <w:r w:rsidR="00A92AE2">
        <w:rPr>
          <w:lang w:val="es-ES_tradnl"/>
        </w:rPr>
        <w:t>do</w:t>
      </w:r>
      <w:r w:rsidR="00505B39">
        <w:rPr>
          <w:lang w:val="es-ES_tradnl"/>
        </w:rPr>
        <w:t xml:space="preserve"> que</w:t>
      </w:r>
      <w:r w:rsidR="00A92AE2">
        <w:rPr>
          <w:lang w:val="es-ES_tradnl"/>
        </w:rPr>
        <w:t>,</w:t>
      </w:r>
      <w:r w:rsidR="00505B39">
        <w:rPr>
          <w:lang w:val="es-ES_tradnl"/>
        </w:rPr>
        <w:t xml:space="preserve"> </w:t>
      </w:r>
      <w:r w:rsidRPr="00783CB4">
        <w:rPr>
          <w:lang w:val="es-ES_tradnl"/>
        </w:rPr>
        <w:t xml:space="preserve">en general, </w:t>
      </w:r>
      <w:r w:rsidR="00505B39" w:rsidRPr="00B216A7">
        <w:t>no se llevan a cabo regularmente evaluaciones de la salud mental</w:t>
      </w:r>
      <w:r w:rsidR="00505B39" w:rsidRPr="00783CB4">
        <w:rPr>
          <w:lang w:val="es-ES_tradnl"/>
        </w:rPr>
        <w:t xml:space="preserve"> </w:t>
      </w:r>
      <w:r w:rsidRPr="00783CB4">
        <w:rPr>
          <w:lang w:val="es-ES_tradnl"/>
        </w:rPr>
        <w:t xml:space="preserve">y que el tratamiento necesario puede demorarse o no administrarse nunca, lo que </w:t>
      </w:r>
      <w:r w:rsidR="00505B39">
        <w:rPr>
          <w:lang w:val="es-ES_tradnl"/>
        </w:rPr>
        <w:t>expone a las personas privadas de libertad al riesgo de sufrir daños.</w:t>
      </w:r>
    </w:p>
    <w:p w:rsidR="00783CB4" w:rsidRPr="00783CB4" w:rsidRDefault="00783CB4" w:rsidP="00783CB4">
      <w:pPr>
        <w:pStyle w:val="SingleTxtG"/>
        <w:rPr>
          <w:lang w:val="es-ES_tradnl"/>
        </w:rPr>
      </w:pPr>
      <w:r w:rsidRPr="00783CB4">
        <w:rPr>
          <w:lang w:val="es-ES_tradnl"/>
        </w:rPr>
        <w:t>31.</w:t>
      </w:r>
      <w:r w:rsidRPr="00783CB4">
        <w:rPr>
          <w:lang w:val="es-ES_tradnl"/>
        </w:rPr>
        <w:tab/>
        <w:t xml:space="preserve">Además, no se realizan </w:t>
      </w:r>
      <w:r w:rsidR="00505B39" w:rsidRPr="00783CB4">
        <w:rPr>
          <w:lang w:val="es-ES_tradnl"/>
        </w:rPr>
        <w:t xml:space="preserve">sistemáticamente </w:t>
      </w:r>
      <w:r w:rsidRPr="00783CB4">
        <w:rPr>
          <w:lang w:val="es-ES_tradnl"/>
        </w:rPr>
        <w:t xml:space="preserve">pruebas </w:t>
      </w:r>
      <w:r w:rsidR="00324436">
        <w:rPr>
          <w:lang w:val="es-ES_tradnl"/>
        </w:rPr>
        <w:t>diagnósticas</w:t>
      </w:r>
      <w:r w:rsidRPr="00783CB4">
        <w:rPr>
          <w:lang w:val="es-ES_tradnl"/>
        </w:rPr>
        <w:t xml:space="preserve"> del abuso de sustancias. El Subcomité observó que, en algunos casos, el tratamiento de la toxicomanía se suprimía cuando la persona ingresaba en un lugar de </w:t>
      </w:r>
      <w:r w:rsidR="00324436">
        <w:rPr>
          <w:lang w:val="es-ES_tradnl"/>
        </w:rPr>
        <w:t>reclusión</w:t>
      </w:r>
      <w:r w:rsidRPr="00783CB4">
        <w:rPr>
          <w:lang w:val="es-ES_tradnl"/>
        </w:rPr>
        <w:t xml:space="preserve"> y que, en algunas instituciones, los profesionales </w:t>
      </w:r>
      <w:r w:rsidR="00324436">
        <w:rPr>
          <w:lang w:val="es-ES_tradnl"/>
        </w:rPr>
        <w:t xml:space="preserve">médicos </w:t>
      </w:r>
      <w:r w:rsidRPr="00783CB4">
        <w:rPr>
          <w:lang w:val="es-ES_tradnl"/>
        </w:rPr>
        <w:t xml:space="preserve">trabajaban en dependencias separadas de los trabajadores sociales y los psicólogos. Además, la falta de coordinación o el número insuficiente de profesionales de la salud mental se traducía en un retraso de las respuestas </w:t>
      </w:r>
      <w:r w:rsidRPr="00783CB4">
        <w:rPr>
          <w:lang w:val="es-ES_tradnl"/>
        </w:rPr>
        <w:lastRenderedPageBreak/>
        <w:t xml:space="preserve">ante los indicadores de mala salud. Algunas instituciones </w:t>
      </w:r>
      <w:r w:rsidR="00324436">
        <w:rPr>
          <w:lang w:val="es-ES_tradnl"/>
        </w:rPr>
        <w:t xml:space="preserve">ni siquiera contaban con </w:t>
      </w:r>
      <w:r w:rsidRPr="00783CB4">
        <w:rPr>
          <w:lang w:val="es-ES_tradnl"/>
        </w:rPr>
        <w:t>psicólogos o trabajadores sociales.</w:t>
      </w:r>
    </w:p>
    <w:p w:rsidR="00783CB4" w:rsidRPr="00783CB4" w:rsidRDefault="00783CB4" w:rsidP="00783CB4">
      <w:pPr>
        <w:pStyle w:val="SingleTxtG"/>
        <w:rPr>
          <w:b/>
          <w:lang w:val="es-ES_tradnl"/>
        </w:rPr>
      </w:pPr>
      <w:r w:rsidRPr="00324436">
        <w:rPr>
          <w:lang w:val="es-ES_tradnl"/>
        </w:rPr>
        <w:t>32.</w:t>
      </w:r>
      <w:r w:rsidRPr="00783CB4">
        <w:rPr>
          <w:b/>
          <w:lang w:val="es-ES_tradnl"/>
        </w:rPr>
        <w:tab/>
      </w:r>
      <w:r w:rsidR="00324436" w:rsidRPr="00324436">
        <w:rPr>
          <w:b/>
        </w:rPr>
        <w:t xml:space="preserve">El Subcomité recuerda que la verificación periódica del bienestar psicológico de las personas privadas de libertad es fundamental para reducir los riesgos de malos tratos, y recomienda al Estado parte que incluya sistemáticamente un examen de la salud mental en los reconocimientos médicos que se practican a </w:t>
      </w:r>
      <w:r w:rsidR="00324436">
        <w:rPr>
          <w:b/>
        </w:rPr>
        <w:t xml:space="preserve">las personas que ingresan </w:t>
      </w:r>
      <w:r w:rsidR="00324436" w:rsidRPr="00324436">
        <w:rPr>
          <w:b/>
        </w:rPr>
        <w:t xml:space="preserve">en un lugar de privación de libertad, y que en las revisiones diarias </w:t>
      </w:r>
      <w:r w:rsidR="00B96CF1">
        <w:rPr>
          <w:b/>
        </w:rPr>
        <w:t xml:space="preserve">incorpore </w:t>
      </w:r>
      <w:r w:rsidR="00324436" w:rsidRPr="00324436">
        <w:rPr>
          <w:b/>
        </w:rPr>
        <w:t>una evaluación de la salud mental realizada por personal debidamente capacitado</w:t>
      </w:r>
      <w:r w:rsidRPr="00324436">
        <w:rPr>
          <w:b/>
          <w:lang w:val="es-ES_tradnl"/>
        </w:rPr>
        <w:t>.</w:t>
      </w:r>
      <w:r w:rsidRPr="00783CB4">
        <w:rPr>
          <w:b/>
          <w:lang w:val="es-ES_tradnl"/>
        </w:rPr>
        <w:t xml:space="preserve"> El Subcomité también recomienda al Estado parte que garantice </w:t>
      </w:r>
      <w:r w:rsidR="00B96CF1">
        <w:rPr>
          <w:b/>
          <w:lang w:val="es-ES_tradnl"/>
        </w:rPr>
        <w:t>a</w:t>
      </w:r>
      <w:r w:rsidRPr="00783CB4">
        <w:rPr>
          <w:b/>
          <w:lang w:val="es-ES_tradnl"/>
        </w:rPr>
        <w:t xml:space="preserve"> la</w:t>
      </w:r>
      <w:r w:rsidR="00B96CF1">
        <w:rPr>
          <w:b/>
          <w:lang w:val="es-ES_tradnl"/>
        </w:rPr>
        <w:t>s</w:t>
      </w:r>
      <w:r w:rsidRPr="00783CB4">
        <w:rPr>
          <w:b/>
          <w:lang w:val="es-ES_tradnl"/>
        </w:rPr>
        <w:t xml:space="preserve"> persona</w:t>
      </w:r>
      <w:r w:rsidR="00B96CF1">
        <w:rPr>
          <w:b/>
          <w:lang w:val="es-ES_tradnl"/>
        </w:rPr>
        <w:t>s</w:t>
      </w:r>
      <w:r w:rsidRPr="00783CB4">
        <w:rPr>
          <w:b/>
          <w:lang w:val="es-ES_tradnl"/>
        </w:rPr>
        <w:t xml:space="preserve"> privada</w:t>
      </w:r>
      <w:r w:rsidR="00B96CF1">
        <w:rPr>
          <w:b/>
          <w:lang w:val="es-ES_tradnl"/>
        </w:rPr>
        <w:t>s</w:t>
      </w:r>
      <w:r w:rsidRPr="00783CB4">
        <w:rPr>
          <w:b/>
          <w:lang w:val="es-ES_tradnl"/>
        </w:rPr>
        <w:t xml:space="preserve"> de libertad </w:t>
      </w:r>
      <w:r w:rsidR="00B96CF1" w:rsidRPr="00783CB4">
        <w:rPr>
          <w:b/>
          <w:lang w:val="es-ES_tradnl"/>
        </w:rPr>
        <w:t xml:space="preserve">un acceso rápido </w:t>
      </w:r>
      <w:r w:rsidRPr="00783CB4">
        <w:rPr>
          <w:b/>
          <w:lang w:val="es-ES_tradnl"/>
        </w:rPr>
        <w:t>a los servicios y programas de salud mental, incluido el acceso a un psiquiatra, cuando sea</w:t>
      </w:r>
      <w:r w:rsidR="00A92AE2">
        <w:rPr>
          <w:b/>
          <w:lang w:val="es-ES_tradnl"/>
        </w:rPr>
        <w:t>n</w:t>
      </w:r>
      <w:r w:rsidRPr="00783CB4">
        <w:rPr>
          <w:b/>
          <w:lang w:val="es-ES_tradnl"/>
        </w:rPr>
        <w:t xml:space="preserve"> remitida</w:t>
      </w:r>
      <w:r w:rsidR="00B96CF1">
        <w:rPr>
          <w:b/>
          <w:lang w:val="es-ES_tradnl"/>
        </w:rPr>
        <w:t>s</w:t>
      </w:r>
      <w:r w:rsidRPr="00783CB4">
        <w:rPr>
          <w:b/>
          <w:lang w:val="es-ES_tradnl"/>
        </w:rPr>
        <w:t xml:space="preserve"> por el personal o </w:t>
      </w:r>
      <w:r w:rsidR="00B96CF1">
        <w:rPr>
          <w:b/>
          <w:lang w:val="es-ES_tradnl"/>
        </w:rPr>
        <w:t>cuando ellas mismas lo soliciten</w:t>
      </w:r>
      <w:r w:rsidRPr="00783CB4">
        <w:rPr>
          <w:b/>
          <w:lang w:val="es-ES_tradnl"/>
        </w:rPr>
        <w:t>.</w:t>
      </w:r>
    </w:p>
    <w:p w:rsidR="00783CB4" w:rsidRPr="00783CB4" w:rsidRDefault="00783CB4" w:rsidP="00783CB4">
      <w:pPr>
        <w:pStyle w:val="SingleTxtG"/>
        <w:rPr>
          <w:b/>
          <w:lang w:val="es-ES_tradnl"/>
        </w:rPr>
      </w:pPr>
      <w:r w:rsidRPr="00324436">
        <w:rPr>
          <w:lang w:val="es-ES_tradnl"/>
        </w:rPr>
        <w:t>33.</w:t>
      </w:r>
      <w:r w:rsidRPr="00324436">
        <w:rPr>
          <w:lang w:val="es-ES_tradnl"/>
        </w:rPr>
        <w:tab/>
      </w:r>
      <w:r w:rsidRPr="00783CB4">
        <w:rPr>
          <w:b/>
          <w:lang w:val="es-ES_tradnl"/>
        </w:rPr>
        <w:t xml:space="preserve">El Subcomité recomienda </w:t>
      </w:r>
      <w:r w:rsidR="00B96CF1">
        <w:rPr>
          <w:b/>
          <w:lang w:val="es-ES_tradnl"/>
        </w:rPr>
        <w:t>además</w:t>
      </w:r>
      <w:r w:rsidRPr="00783CB4">
        <w:rPr>
          <w:b/>
          <w:lang w:val="es-ES_tradnl"/>
        </w:rPr>
        <w:t xml:space="preserve"> que el Estado parte vele por </w:t>
      </w:r>
      <w:r w:rsidR="00B96CF1">
        <w:rPr>
          <w:b/>
          <w:lang w:val="es-ES_tradnl"/>
        </w:rPr>
        <w:t xml:space="preserve">que todas las personas </w:t>
      </w:r>
      <w:r w:rsidR="00A92AE2">
        <w:rPr>
          <w:b/>
          <w:lang w:val="es-ES_tradnl"/>
        </w:rPr>
        <w:t>pri</w:t>
      </w:r>
      <w:r w:rsidR="00B96CF1">
        <w:rPr>
          <w:b/>
          <w:lang w:val="es-ES_tradnl"/>
        </w:rPr>
        <w:t>vadas de libertad tengan acceso a servicios de rehabilitación de toxicomanías</w:t>
      </w:r>
      <w:r w:rsidRPr="00783CB4">
        <w:rPr>
          <w:b/>
          <w:lang w:val="es-ES_tradnl"/>
        </w:rPr>
        <w:t xml:space="preserve"> y que </w:t>
      </w:r>
      <w:r w:rsidR="00B96CF1">
        <w:rPr>
          <w:b/>
          <w:lang w:val="es-ES_tradnl"/>
        </w:rPr>
        <w:t xml:space="preserve">estudie </w:t>
      </w:r>
      <w:r w:rsidRPr="00783CB4">
        <w:rPr>
          <w:b/>
          <w:lang w:val="es-ES_tradnl"/>
        </w:rPr>
        <w:t xml:space="preserve">formas de mejorar la comunicación y la colaboración entre los proveedores de servicios médicos, psicológicos y sociales en los centros de </w:t>
      </w:r>
      <w:r w:rsidR="00B96CF1">
        <w:rPr>
          <w:b/>
          <w:lang w:val="es-ES_tradnl"/>
        </w:rPr>
        <w:t>reclusión</w:t>
      </w:r>
      <w:r w:rsidRPr="00783CB4">
        <w:rPr>
          <w:b/>
          <w:lang w:val="es-ES_tradnl"/>
        </w:rPr>
        <w:t>.</w:t>
      </w:r>
    </w:p>
    <w:p w:rsidR="00783CB4" w:rsidRPr="00783CB4" w:rsidRDefault="00783CB4" w:rsidP="00B96CF1">
      <w:pPr>
        <w:pStyle w:val="H23G"/>
        <w:rPr>
          <w:lang w:val="es-ES_tradnl"/>
        </w:rPr>
      </w:pPr>
      <w:r w:rsidRPr="00783CB4">
        <w:rPr>
          <w:lang w:val="es-ES_tradnl"/>
        </w:rPr>
        <w:tab/>
      </w:r>
      <w:r w:rsidR="00B96CF1">
        <w:rPr>
          <w:lang w:val="es-ES_tradnl"/>
        </w:rPr>
        <w:tab/>
      </w:r>
      <w:r w:rsidRPr="00783CB4">
        <w:rPr>
          <w:lang w:val="es-ES_tradnl"/>
        </w:rPr>
        <w:t>Tortura y malos tratos</w:t>
      </w:r>
    </w:p>
    <w:p w:rsidR="00783CB4" w:rsidRPr="00783CB4" w:rsidRDefault="00783CB4" w:rsidP="00783CB4">
      <w:pPr>
        <w:pStyle w:val="SingleTxtG"/>
        <w:rPr>
          <w:lang w:val="es-ES_tradnl"/>
        </w:rPr>
      </w:pPr>
      <w:r w:rsidRPr="00783CB4">
        <w:rPr>
          <w:lang w:val="es-ES_tradnl"/>
        </w:rPr>
        <w:t>34.</w:t>
      </w:r>
      <w:r w:rsidRPr="00783CB4">
        <w:rPr>
          <w:lang w:val="es-ES_tradnl"/>
        </w:rPr>
        <w:tab/>
        <w:t xml:space="preserve">El Subcomité ha recibido numerosas </w:t>
      </w:r>
      <w:r w:rsidR="00B96CF1" w:rsidRPr="00783CB4">
        <w:rPr>
          <w:lang w:val="es-ES_tradnl"/>
        </w:rPr>
        <w:t xml:space="preserve">denuncias </w:t>
      </w:r>
      <w:r w:rsidRPr="00783CB4">
        <w:rPr>
          <w:lang w:val="es-ES_tradnl"/>
        </w:rPr>
        <w:t xml:space="preserve">graves de actos que, de demostrarse, equivaldrían a torturas y malos tratos. </w:t>
      </w:r>
      <w:r w:rsidR="00B96CF1" w:rsidRPr="009A27FF">
        <w:t>En distintas partes del país, el Subcomit</w:t>
      </w:r>
      <w:r w:rsidR="00B96CF1">
        <w:t>é escuchó testimonios de personas que afirmaban haber sido víctimas de</w:t>
      </w:r>
      <w:r w:rsidRPr="00783CB4">
        <w:rPr>
          <w:lang w:val="es-ES_tradnl"/>
        </w:rPr>
        <w:t xml:space="preserve"> palizas, electrocuciones, simulacros de ejecución, intentos de asfixia, actos de intimidación y amenazas de violencia sexual contra ellas mismas y sus familiares. </w:t>
      </w:r>
      <w:r w:rsidR="00B96CF1">
        <w:rPr>
          <w:lang w:val="es-ES_tradnl"/>
        </w:rPr>
        <w:t xml:space="preserve">En vista </w:t>
      </w:r>
      <w:r w:rsidRPr="00783CB4">
        <w:rPr>
          <w:lang w:val="es-ES_tradnl"/>
        </w:rPr>
        <w:t xml:space="preserve">de la totalidad de la labor llevada a cabo y la experiencia adquirida durante la visita, el Subcomité </w:t>
      </w:r>
      <w:r w:rsidR="00B96CF1">
        <w:rPr>
          <w:lang w:val="es-ES_tradnl"/>
        </w:rPr>
        <w:t xml:space="preserve">puede </w:t>
      </w:r>
      <w:r w:rsidRPr="00783CB4">
        <w:rPr>
          <w:lang w:val="es-ES_tradnl"/>
        </w:rPr>
        <w:t xml:space="preserve">concluir que probablemente </w:t>
      </w:r>
      <w:r w:rsidR="00B96CF1">
        <w:rPr>
          <w:lang w:val="es-ES_tradnl"/>
        </w:rPr>
        <w:t xml:space="preserve">esas denuncias sean </w:t>
      </w:r>
      <w:r w:rsidRPr="00783CB4">
        <w:rPr>
          <w:lang w:val="es-ES_tradnl"/>
        </w:rPr>
        <w:t>ciertas.</w:t>
      </w:r>
    </w:p>
    <w:p w:rsidR="00783CB4" w:rsidRPr="00783CB4" w:rsidRDefault="00783CB4" w:rsidP="00783CB4">
      <w:pPr>
        <w:pStyle w:val="SingleTxtG"/>
        <w:rPr>
          <w:lang w:val="es-ES_tradnl"/>
        </w:rPr>
      </w:pPr>
      <w:r w:rsidRPr="00783CB4">
        <w:rPr>
          <w:lang w:val="es-ES_tradnl"/>
        </w:rPr>
        <w:t>35.</w:t>
      </w:r>
      <w:r w:rsidRPr="00783CB4">
        <w:rPr>
          <w:lang w:val="es-ES_tradnl"/>
        </w:rPr>
        <w:tab/>
        <w:t xml:space="preserve">Al parecer, muchos de esos actos se cometieron mientras las personas en cuestión estaban bajo el control del Servicio de Seguridad del Estado o durante períodos de </w:t>
      </w:r>
      <w:r w:rsidR="00B96CF1">
        <w:rPr>
          <w:lang w:val="es-ES_tradnl"/>
        </w:rPr>
        <w:t>reclusión</w:t>
      </w:r>
      <w:r w:rsidRPr="00783CB4">
        <w:rPr>
          <w:lang w:val="es-ES_tradnl"/>
        </w:rPr>
        <w:t xml:space="preserve"> no oficial. En esos casos, se afirma que l</w:t>
      </w:r>
      <w:r w:rsidR="00B96CF1">
        <w:rPr>
          <w:lang w:val="es-ES_tradnl"/>
        </w:rPr>
        <w:t>a</w:t>
      </w:r>
      <w:r w:rsidRPr="00783CB4">
        <w:rPr>
          <w:lang w:val="es-ES_tradnl"/>
        </w:rPr>
        <w:t xml:space="preserve">s </w:t>
      </w:r>
      <w:r w:rsidR="00B96CF1">
        <w:rPr>
          <w:lang w:val="es-ES_tradnl"/>
        </w:rPr>
        <w:t xml:space="preserve">personas privadas de libertad </w:t>
      </w:r>
      <w:r w:rsidRPr="00783CB4">
        <w:rPr>
          <w:lang w:val="es-ES_tradnl"/>
        </w:rPr>
        <w:t>acusad</w:t>
      </w:r>
      <w:r w:rsidR="00B96CF1">
        <w:rPr>
          <w:lang w:val="es-ES_tradnl"/>
        </w:rPr>
        <w:t>a</w:t>
      </w:r>
      <w:r w:rsidRPr="00783CB4">
        <w:rPr>
          <w:lang w:val="es-ES_tradnl"/>
        </w:rPr>
        <w:t>s de delitos relacionados con el conflicto armado de Ucrania</w:t>
      </w:r>
      <w:r w:rsidR="00B96CF1">
        <w:rPr>
          <w:lang w:val="es-ES_tradnl"/>
        </w:rPr>
        <w:t xml:space="preserve"> Oriental</w:t>
      </w:r>
      <w:r w:rsidRPr="00783CB4">
        <w:rPr>
          <w:lang w:val="es-ES_tradnl"/>
        </w:rPr>
        <w:t>, como los tipificados en los artículos 109 a 115, 258, 260 y 261, 437 y 438 del Código Penal, fueron torturad</w:t>
      </w:r>
      <w:r w:rsidR="00B96CF1">
        <w:rPr>
          <w:lang w:val="es-ES_tradnl"/>
        </w:rPr>
        <w:t>a</w:t>
      </w:r>
      <w:r w:rsidRPr="00783CB4">
        <w:rPr>
          <w:lang w:val="es-ES_tradnl"/>
        </w:rPr>
        <w:t>s</w:t>
      </w:r>
      <w:r w:rsidR="00B96CF1">
        <w:rPr>
          <w:lang w:val="es-ES_tradnl"/>
        </w:rPr>
        <w:t xml:space="preserve"> supuestamente</w:t>
      </w:r>
      <w:r w:rsidRPr="00783CB4">
        <w:rPr>
          <w:lang w:val="es-ES_tradnl"/>
        </w:rPr>
        <w:t xml:space="preserve"> para recabar información sobre su participación o la de sus asociados en actividades “separatistas”, y para </w:t>
      </w:r>
      <w:r w:rsidR="00B96CF1">
        <w:rPr>
          <w:lang w:val="es-ES_tradnl"/>
        </w:rPr>
        <w:t>que desvelaran</w:t>
      </w:r>
      <w:r w:rsidRPr="00783CB4">
        <w:rPr>
          <w:lang w:val="es-ES_tradnl"/>
        </w:rPr>
        <w:t xml:space="preserve"> las posiciones militares de los grupos armados. El Subcomité entiende </w:t>
      </w:r>
      <w:r w:rsidR="00B96CF1">
        <w:rPr>
          <w:lang w:val="es-ES_tradnl"/>
        </w:rPr>
        <w:t xml:space="preserve">además </w:t>
      </w:r>
      <w:r w:rsidRPr="00783CB4">
        <w:rPr>
          <w:lang w:val="es-ES_tradnl"/>
        </w:rPr>
        <w:t>que, en algunos casos, los actos fueron cometidos por particulares o por batallones de voluntarios con el consentimiento o la aquiescencia de funcionarios públicos.</w:t>
      </w:r>
    </w:p>
    <w:p w:rsidR="00783CB4" w:rsidRPr="00783CB4" w:rsidRDefault="00783CB4" w:rsidP="00783CB4">
      <w:pPr>
        <w:pStyle w:val="SingleTxtG"/>
        <w:rPr>
          <w:lang w:val="es-ES_tradnl"/>
        </w:rPr>
      </w:pPr>
      <w:r w:rsidRPr="00783CB4">
        <w:rPr>
          <w:lang w:val="es-ES_tradnl"/>
        </w:rPr>
        <w:t>36.</w:t>
      </w:r>
      <w:r w:rsidRPr="00783CB4">
        <w:rPr>
          <w:lang w:val="es-ES_tradnl"/>
        </w:rPr>
        <w:tab/>
        <w:t>Como en su visita de 2011 (</w:t>
      </w:r>
      <w:r w:rsidRPr="00783CB4">
        <w:t>véase CAT/OP/UKR/1, párrs. 64, 93 y 94)</w:t>
      </w:r>
      <w:r w:rsidRPr="00783CB4">
        <w:rPr>
          <w:lang w:val="es-ES_tradnl"/>
        </w:rPr>
        <w:t xml:space="preserve">, el Subcomité también recibió denuncias sobre los malos tratos </w:t>
      </w:r>
      <w:r w:rsidR="00B96CF1">
        <w:rPr>
          <w:lang w:val="es-ES_tradnl"/>
        </w:rPr>
        <w:t>infligidos</w:t>
      </w:r>
      <w:r w:rsidRPr="00783CB4">
        <w:rPr>
          <w:lang w:val="es-ES_tradnl"/>
        </w:rPr>
        <w:t xml:space="preserve"> por la policía a los detenidos, incluidos los menores de edad, durante la detención y el interrogatorio. Las denuncias de menores víctimas de puñetazos, patadas, quemaduras y descargas con pistolas paralizantes se vieron </w:t>
      </w:r>
      <w:r w:rsidR="00B96CF1" w:rsidRPr="008B6606">
        <w:t>corroboradas sistemáticamente por las declaraciones de las personas entrevistadas, la observaci</w:t>
      </w:r>
      <w:r w:rsidR="00B96CF1">
        <w:t>ón de lesiones y el estudio de los registros, incluso si estos no siempre eran completos.</w:t>
      </w:r>
      <w:r w:rsidRPr="00783CB4">
        <w:rPr>
          <w:lang w:val="es-ES_tradnl"/>
        </w:rPr>
        <w:t xml:space="preserve"> Muchos de los detenidos afirmaron que, después de ser maltratados por la policía, se les impedía ingresar en centros de prisión preventiva porque presentaban lesiones visibles, de modo que se los recluía en centros de detención </w:t>
      </w:r>
      <w:r w:rsidR="00B96CF1">
        <w:rPr>
          <w:lang w:val="es-ES_tradnl"/>
        </w:rPr>
        <w:t xml:space="preserve">temporal </w:t>
      </w:r>
      <w:r w:rsidRPr="00783CB4">
        <w:rPr>
          <w:lang w:val="es-ES_tradnl"/>
        </w:rPr>
        <w:t>de la policía nacional para que se les “curase la cara” antes de ser inscritos y sometidos a un reconocimiento médico en el centro de prisión preventiva.</w:t>
      </w:r>
    </w:p>
    <w:p w:rsidR="00783CB4" w:rsidRPr="00783CB4" w:rsidRDefault="00783CB4" w:rsidP="00783CB4">
      <w:pPr>
        <w:pStyle w:val="SingleTxtG"/>
        <w:rPr>
          <w:lang w:val="es-ES_tradnl"/>
        </w:rPr>
      </w:pPr>
      <w:r w:rsidRPr="00783CB4">
        <w:rPr>
          <w:lang w:val="es-ES_tradnl"/>
        </w:rPr>
        <w:t>37.</w:t>
      </w:r>
      <w:r w:rsidRPr="00783CB4">
        <w:rPr>
          <w:lang w:val="es-ES_tradnl"/>
        </w:rPr>
        <w:tab/>
        <w:t xml:space="preserve">Además, parece que los fiscales y los jueces no son especialmente sensibles o comprensivos </w:t>
      </w:r>
      <w:r w:rsidR="00B96CF1">
        <w:rPr>
          <w:lang w:val="es-ES_tradnl"/>
        </w:rPr>
        <w:t>ante</w:t>
      </w:r>
      <w:r w:rsidRPr="00783CB4">
        <w:rPr>
          <w:lang w:val="es-ES_tradnl"/>
        </w:rPr>
        <w:t xml:space="preserve"> las denuncias de tortura y malos tratos</w:t>
      </w:r>
      <w:r w:rsidR="00B96CF1">
        <w:rPr>
          <w:lang w:val="es-ES_tradnl"/>
        </w:rPr>
        <w:t>.</w:t>
      </w:r>
      <w:r w:rsidRPr="00783CB4">
        <w:rPr>
          <w:lang w:val="es-ES_tradnl"/>
        </w:rPr>
        <w:t xml:space="preserve"> </w:t>
      </w:r>
      <w:r w:rsidR="00B96CF1" w:rsidRPr="00783CB4">
        <w:rPr>
          <w:lang w:val="es-ES_tradnl"/>
        </w:rPr>
        <w:t xml:space="preserve">Pueden </w:t>
      </w:r>
      <w:r w:rsidRPr="00783CB4">
        <w:rPr>
          <w:lang w:val="es-ES_tradnl"/>
        </w:rPr>
        <w:t>contribuir a ello</w:t>
      </w:r>
      <w:r w:rsidR="00B96CF1" w:rsidRPr="00B96CF1">
        <w:rPr>
          <w:lang w:val="es-ES_tradnl"/>
        </w:rPr>
        <w:t xml:space="preserve"> </w:t>
      </w:r>
      <w:r w:rsidR="00B96CF1">
        <w:rPr>
          <w:lang w:val="es-ES_tradnl"/>
        </w:rPr>
        <w:t>v</w:t>
      </w:r>
      <w:r w:rsidR="00B96CF1" w:rsidRPr="00783CB4">
        <w:rPr>
          <w:lang w:val="es-ES_tradnl"/>
        </w:rPr>
        <w:t>arios factores</w:t>
      </w:r>
      <w:r w:rsidRPr="00783CB4">
        <w:rPr>
          <w:lang w:val="es-ES_tradnl"/>
        </w:rPr>
        <w:t xml:space="preserve">, </w:t>
      </w:r>
      <w:r w:rsidR="00B96CF1">
        <w:rPr>
          <w:lang w:val="es-ES_tradnl"/>
        </w:rPr>
        <w:t>como</w:t>
      </w:r>
      <w:r w:rsidRPr="00783CB4">
        <w:rPr>
          <w:lang w:val="es-ES_tradnl"/>
        </w:rPr>
        <w:t xml:space="preserve"> la ya pesada carga de trabajo y la escasa capacitación de los fiscales, la deferencia mostrada hacia los investigadores de la policía, habida cuenta de que los fiscales dependen de ellos para otras causas, y cierta tolerancia respecto de los actos de tortura cometidos por “defensores”, (voluntarios que luchan en </w:t>
      </w:r>
      <w:r w:rsidR="00B96CF1" w:rsidRPr="00783CB4">
        <w:rPr>
          <w:lang w:val="es-ES_tradnl"/>
        </w:rPr>
        <w:t xml:space="preserve">Ucrania </w:t>
      </w:r>
      <w:r w:rsidR="00B96CF1">
        <w:rPr>
          <w:lang w:val="es-ES_tradnl"/>
        </w:rPr>
        <w:t>Oriental</w:t>
      </w:r>
      <w:r w:rsidR="00055769">
        <w:rPr>
          <w:lang w:val="es-ES_tradnl"/>
        </w:rPr>
        <w:t xml:space="preserve">), debido a la solidaridad con </w:t>
      </w:r>
      <w:r w:rsidRPr="00783CB4">
        <w:rPr>
          <w:lang w:val="es-ES_tradnl"/>
        </w:rPr>
        <w:t>su causa. Durante su visita, el Subcomité observó que las denuncias de tortura y malos tratos no eran planteadas, o eran planteadas tardíamente, por abogados defensores</w:t>
      </w:r>
      <w:r w:rsidR="00055769">
        <w:rPr>
          <w:lang w:val="es-ES_tradnl"/>
        </w:rPr>
        <w:t>,</w:t>
      </w:r>
      <w:r w:rsidRPr="00783CB4">
        <w:rPr>
          <w:lang w:val="es-ES_tradnl"/>
        </w:rPr>
        <w:t xml:space="preserve"> </w:t>
      </w:r>
      <w:r w:rsidR="00055769">
        <w:rPr>
          <w:lang w:val="es-ES_tradnl"/>
        </w:rPr>
        <w:t xml:space="preserve">quienes </w:t>
      </w:r>
      <w:r w:rsidRPr="00783CB4">
        <w:rPr>
          <w:lang w:val="es-ES_tradnl"/>
        </w:rPr>
        <w:t xml:space="preserve">preferían centrarse en las acusaciones penales formuladas contra sus </w:t>
      </w:r>
      <w:r w:rsidRPr="00783CB4">
        <w:rPr>
          <w:lang w:val="es-ES_tradnl"/>
        </w:rPr>
        <w:lastRenderedPageBreak/>
        <w:t xml:space="preserve">clientes, ya que solo </w:t>
      </w:r>
      <w:r w:rsidR="00055769">
        <w:rPr>
          <w:lang w:val="es-ES_tradnl"/>
        </w:rPr>
        <w:t xml:space="preserve">eran remunerados </w:t>
      </w:r>
      <w:r w:rsidRPr="00783CB4">
        <w:rPr>
          <w:lang w:val="es-ES_tradnl"/>
        </w:rPr>
        <w:t>por ocuparse de esos cargos. Además, el Subcomité se reunió con muchos funcionarios, entre ellos administradores, agentes del orden y profesionales médicos, que no consideraban que fuera de su incumbencia denunciar presuntos casos de tortura y malos tratos.</w:t>
      </w:r>
    </w:p>
    <w:p w:rsidR="00783CB4" w:rsidRPr="00783CB4" w:rsidRDefault="00783CB4" w:rsidP="00783CB4">
      <w:pPr>
        <w:pStyle w:val="SingleTxtG"/>
        <w:rPr>
          <w:lang w:val="es-ES_tradnl"/>
        </w:rPr>
      </w:pPr>
      <w:r w:rsidRPr="00783CB4">
        <w:rPr>
          <w:lang w:val="es-ES_tradnl"/>
        </w:rPr>
        <w:t>38.</w:t>
      </w:r>
      <w:r w:rsidRPr="00783CB4">
        <w:rPr>
          <w:lang w:val="es-ES_tradnl"/>
        </w:rPr>
        <w:tab/>
        <w:t xml:space="preserve">Cuando se tramitaban las denuncias de tortura, algunas </w:t>
      </w:r>
      <w:r w:rsidR="00055769">
        <w:rPr>
          <w:lang w:val="es-ES_tradnl"/>
        </w:rPr>
        <w:t>diligencias</w:t>
      </w:r>
      <w:r w:rsidRPr="00783CB4">
        <w:rPr>
          <w:lang w:val="es-ES_tradnl"/>
        </w:rPr>
        <w:t xml:space="preserve"> de investigación, como los reconocimientos médicos, las entrevistas con testigos y la facilitación, a su debido tiempo, del acceso al lugar de los hechos, eran considerablemente retrasadas o frustradas por completo. Además, el Subcomité observó que </w:t>
      </w:r>
      <w:r w:rsidR="00055769">
        <w:rPr>
          <w:lang w:val="es-ES_tradnl"/>
        </w:rPr>
        <w:t>no se seguía siempre el mismo procedimiento cuando se denunciaban lesiones sospechosas</w:t>
      </w:r>
      <w:r w:rsidRPr="00783CB4">
        <w:rPr>
          <w:lang w:val="es-ES_tradnl"/>
        </w:rPr>
        <w:t>. En algunos casos, se remitía un informe a la fiscalía; en otros, a la policía. Sin embargo, no estaba claro que esos informes dieran lugar sistemáticamente a investigaciones</w:t>
      </w:r>
      <w:r w:rsidR="00055769">
        <w:rPr>
          <w:lang w:val="es-ES_tradnl"/>
        </w:rPr>
        <w:t>,</w:t>
      </w:r>
      <w:r w:rsidRPr="00783CB4">
        <w:rPr>
          <w:lang w:val="es-ES_tradnl"/>
        </w:rPr>
        <w:t xml:space="preserve"> </w:t>
      </w:r>
      <w:r w:rsidR="00055769">
        <w:rPr>
          <w:lang w:val="es-ES_tradnl"/>
        </w:rPr>
        <w:t>quizás por</w:t>
      </w:r>
      <w:r w:rsidRPr="00783CB4">
        <w:rPr>
          <w:lang w:val="es-ES_tradnl"/>
        </w:rPr>
        <w:t xml:space="preserve">que algunos de los informes eran enviados a los mismos agentes de policía acusados de cometer </w:t>
      </w:r>
      <w:r w:rsidR="00055769">
        <w:rPr>
          <w:lang w:val="es-ES_tradnl"/>
        </w:rPr>
        <w:t xml:space="preserve">los </w:t>
      </w:r>
      <w:r w:rsidRPr="00783CB4">
        <w:rPr>
          <w:lang w:val="es-ES_tradnl"/>
        </w:rPr>
        <w:t>acto</w:t>
      </w:r>
      <w:r w:rsidR="00055769">
        <w:rPr>
          <w:lang w:val="es-ES_tradnl"/>
        </w:rPr>
        <w:t>s denunciados</w:t>
      </w:r>
      <w:r w:rsidRPr="00783CB4">
        <w:rPr>
          <w:lang w:val="es-ES_tradnl"/>
        </w:rPr>
        <w:t xml:space="preserve">. Además, algunos informes no recibían respuesta y </w:t>
      </w:r>
      <w:r w:rsidR="00055769">
        <w:rPr>
          <w:lang w:val="es-ES_tradnl"/>
        </w:rPr>
        <w:t>a o</w:t>
      </w:r>
      <w:r w:rsidR="00A92AE2">
        <w:rPr>
          <w:lang w:val="es-ES_tradnl"/>
        </w:rPr>
        <w:t>t</w:t>
      </w:r>
      <w:r w:rsidR="00055769">
        <w:rPr>
          <w:lang w:val="es-ES_tradnl"/>
        </w:rPr>
        <w:t>ros se respondía con un simple acuso de recibo.</w:t>
      </w:r>
    </w:p>
    <w:p w:rsidR="00783CB4" w:rsidRPr="00783CB4" w:rsidRDefault="00783CB4" w:rsidP="00783CB4">
      <w:pPr>
        <w:pStyle w:val="SingleTxtG"/>
        <w:rPr>
          <w:b/>
          <w:lang w:val="es-ES_tradnl"/>
        </w:rPr>
      </w:pPr>
      <w:r w:rsidRPr="00783CB4">
        <w:rPr>
          <w:lang w:val="es-ES_tradnl"/>
        </w:rPr>
        <w:t>39.</w:t>
      </w:r>
      <w:r w:rsidRPr="00783CB4">
        <w:rPr>
          <w:lang w:val="es-ES_tradnl"/>
        </w:rPr>
        <w:tab/>
      </w:r>
      <w:r w:rsidRPr="00783CB4">
        <w:rPr>
          <w:b/>
          <w:lang w:val="es-ES_tradnl"/>
        </w:rPr>
        <w:t xml:space="preserve">El Subcomité recomienda que el Estado parte adopte medidas urgentes para prevenir y castigar todos los actos de tortura y malos tratos </w:t>
      </w:r>
      <w:r w:rsidR="00055769">
        <w:rPr>
          <w:b/>
          <w:lang w:val="es-ES_tradnl"/>
        </w:rPr>
        <w:t>cometidos por</w:t>
      </w:r>
      <w:r w:rsidRPr="00783CB4">
        <w:rPr>
          <w:b/>
          <w:lang w:val="es-ES_tradnl"/>
        </w:rPr>
        <w:t xml:space="preserve"> funcionarios del Estado, o con el consentimiento o la aquiescencia de estos. </w:t>
      </w:r>
      <w:r w:rsidR="00055769">
        <w:rPr>
          <w:b/>
          <w:lang w:val="es-ES_tradnl"/>
        </w:rPr>
        <w:t>A tal</w:t>
      </w:r>
      <w:r w:rsidRPr="00783CB4">
        <w:rPr>
          <w:b/>
          <w:lang w:val="es-ES_tradnl"/>
        </w:rPr>
        <w:t xml:space="preserve"> fin, el Subcomité recomienda que el Estado parte: a) investigue todas las denuncias de tortura y malos tratos mediante procesos rápido</w:t>
      </w:r>
      <w:r w:rsidR="00055769">
        <w:rPr>
          <w:b/>
          <w:lang w:val="es-ES_tradnl"/>
        </w:rPr>
        <w:t>s, imparciales y transparentes, que resulten</w:t>
      </w:r>
      <w:r w:rsidRPr="00783CB4">
        <w:rPr>
          <w:b/>
          <w:lang w:val="es-ES_tradnl"/>
        </w:rPr>
        <w:t xml:space="preserve"> eficientes y eficaces; y b) ejerza la acción penal contra los responsables. Las personas condenadas por actos de tortura y malos tratos deben ser sancionadas con penas proporcionales a la gravedad de sus delitos.</w:t>
      </w:r>
    </w:p>
    <w:p w:rsidR="00783CB4" w:rsidRPr="00783CB4" w:rsidRDefault="00783CB4" w:rsidP="00783CB4">
      <w:pPr>
        <w:pStyle w:val="SingleTxtG"/>
        <w:rPr>
          <w:b/>
          <w:lang w:val="es-ES_tradnl"/>
        </w:rPr>
      </w:pPr>
      <w:r w:rsidRPr="00783CB4">
        <w:rPr>
          <w:lang w:val="es-ES_tradnl"/>
        </w:rPr>
        <w:t>40.</w:t>
      </w:r>
      <w:r w:rsidRPr="00783CB4">
        <w:rPr>
          <w:lang w:val="es-ES_tradnl"/>
        </w:rPr>
        <w:tab/>
      </w:r>
      <w:r w:rsidR="00055769">
        <w:rPr>
          <w:b/>
          <w:lang w:val="es-ES_tradnl"/>
        </w:rPr>
        <w:t xml:space="preserve">El Subcomité recomienda también </w:t>
      </w:r>
      <w:r w:rsidR="00A92AE2">
        <w:rPr>
          <w:b/>
          <w:lang w:val="es-ES_tradnl"/>
        </w:rPr>
        <w:t xml:space="preserve">que </w:t>
      </w:r>
      <w:r w:rsidR="00055769">
        <w:rPr>
          <w:b/>
          <w:lang w:val="es-ES_tradnl"/>
        </w:rPr>
        <w:t>s</w:t>
      </w:r>
      <w:r w:rsidR="00055769" w:rsidRPr="00055769">
        <w:rPr>
          <w:b/>
        </w:rPr>
        <w:t>e responda sistemáticamente de la misma manera a las denuncias de actos de tortura y malos tratos, así como a las sospechas de tales actos derivadas de la observación de lesiones o de la práctica de un reconocimiento médico, y que se proteja contra las represalias a los autores de esas denuncias</w:t>
      </w:r>
      <w:r w:rsidRPr="00055769">
        <w:rPr>
          <w:b/>
          <w:lang w:val="es-ES_tradnl"/>
        </w:rPr>
        <w:t>.</w:t>
      </w:r>
    </w:p>
    <w:p w:rsidR="00783CB4" w:rsidRPr="00783CB4" w:rsidRDefault="00783CB4" w:rsidP="00783CB4">
      <w:pPr>
        <w:pStyle w:val="SingleTxtG"/>
        <w:rPr>
          <w:b/>
          <w:bCs/>
          <w:lang w:val="es-ES_tradnl"/>
        </w:rPr>
      </w:pPr>
      <w:r w:rsidRPr="00783CB4">
        <w:rPr>
          <w:lang w:val="es-ES_tradnl"/>
        </w:rPr>
        <w:t>41.</w:t>
      </w:r>
      <w:r w:rsidRPr="00783CB4">
        <w:rPr>
          <w:lang w:val="es-ES_tradnl"/>
        </w:rPr>
        <w:tab/>
      </w:r>
      <w:r w:rsidR="00055769">
        <w:rPr>
          <w:b/>
          <w:lang w:val="es-ES_tradnl"/>
        </w:rPr>
        <w:t>Además, e</w:t>
      </w:r>
      <w:r w:rsidRPr="00783CB4">
        <w:rPr>
          <w:b/>
          <w:lang w:val="es-ES_tradnl"/>
        </w:rPr>
        <w:t>l Subcomité recomienda que el Estado parte establezca y mantenga un registro nacional de todas las denuncias de tortura y malos tratos, en el que se consigne la siguiente información:</w:t>
      </w:r>
    </w:p>
    <w:p w:rsidR="00783CB4" w:rsidRPr="00783CB4" w:rsidRDefault="00783CB4" w:rsidP="00783CB4">
      <w:pPr>
        <w:pStyle w:val="SingleTxtG"/>
        <w:rPr>
          <w:b/>
          <w:lang w:val="es-ES_tradnl"/>
        </w:rPr>
      </w:pPr>
      <w:r w:rsidRPr="00783CB4">
        <w:rPr>
          <w:b/>
          <w:lang w:val="es-ES_tradnl"/>
        </w:rPr>
        <w:tab/>
        <w:t>a)</w:t>
      </w:r>
      <w:r w:rsidRPr="00783CB4">
        <w:rPr>
          <w:b/>
          <w:lang w:val="es-ES_tradnl"/>
        </w:rPr>
        <w:tab/>
        <w:t>Los pormenores de cada una de las denuncias recibidas;</w:t>
      </w:r>
    </w:p>
    <w:p w:rsidR="00783CB4" w:rsidRPr="00783CB4" w:rsidRDefault="00783CB4" w:rsidP="00783CB4">
      <w:pPr>
        <w:pStyle w:val="SingleTxtG"/>
        <w:rPr>
          <w:b/>
          <w:lang w:val="es-ES_tradnl"/>
        </w:rPr>
      </w:pPr>
      <w:r w:rsidRPr="00783CB4">
        <w:rPr>
          <w:b/>
          <w:lang w:val="es-ES_tradnl"/>
        </w:rPr>
        <w:tab/>
        <w:t>b)</w:t>
      </w:r>
      <w:r w:rsidRPr="00783CB4">
        <w:rPr>
          <w:b/>
          <w:lang w:val="es-ES_tradnl"/>
        </w:rPr>
        <w:tab/>
      </w:r>
      <w:r w:rsidR="00055769" w:rsidRPr="00783CB4">
        <w:rPr>
          <w:b/>
          <w:lang w:val="es-ES_tradnl"/>
        </w:rPr>
        <w:t xml:space="preserve">La </w:t>
      </w:r>
      <w:r w:rsidRPr="00783CB4">
        <w:rPr>
          <w:b/>
          <w:lang w:val="es-ES_tradnl"/>
        </w:rPr>
        <w:t>institución o el lugar en que presuntamente tuvieron lugar los hechos o se dieron las condiciones;</w:t>
      </w:r>
    </w:p>
    <w:p w:rsidR="00783CB4" w:rsidRPr="00783CB4" w:rsidRDefault="00783CB4" w:rsidP="00783CB4">
      <w:pPr>
        <w:pStyle w:val="SingleTxtG"/>
        <w:rPr>
          <w:b/>
          <w:lang w:val="es-ES_tradnl"/>
        </w:rPr>
      </w:pPr>
      <w:r w:rsidRPr="00783CB4">
        <w:rPr>
          <w:b/>
          <w:lang w:val="es-ES_tradnl"/>
        </w:rPr>
        <w:tab/>
        <w:t>c)</w:t>
      </w:r>
      <w:r w:rsidRPr="00783CB4">
        <w:rPr>
          <w:b/>
          <w:lang w:val="es-ES_tradnl"/>
        </w:rPr>
        <w:tab/>
        <w:t>La fecha en que se recibió la denuncia;</w:t>
      </w:r>
    </w:p>
    <w:p w:rsidR="00783CB4" w:rsidRPr="00783CB4" w:rsidRDefault="00783CB4" w:rsidP="00783CB4">
      <w:pPr>
        <w:pStyle w:val="SingleTxtG"/>
        <w:rPr>
          <w:b/>
          <w:lang w:val="es-ES_tradnl"/>
        </w:rPr>
      </w:pPr>
      <w:r w:rsidRPr="00783CB4">
        <w:rPr>
          <w:b/>
          <w:lang w:val="es-ES_tradnl"/>
        </w:rPr>
        <w:tab/>
        <w:t>d)</w:t>
      </w:r>
      <w:r w:rsidRPr="00783CB4">
        <w:rPr>
          <w:b/>
          <w:lang w:val="es-ES_tradnl"/>
        </w:rPr>
        <w:tab/>
        <w:t>La justificación de la decisión adoptada respecto de la denuncia y la fecha en que se adoptó; y</w:t>
      </w:r>
    </w:p>
    <w:p w:rsidR="00783CB4" w:rsidRPr="00783CB4" w:rsidRDefault="00783CB4" w:rsidP="00783CB4">
      <w:pPr>
        <w:pStyle w:val="SingleTxtG"/>
        <w:rPr>
          <w:b/>
          <w:lang w:val="es-ES_tradnl"/>
        </w:rPr>
      </w:pPr>
      <w:r w:rsidRPr="00783CB4">
        <w:rPr>
          <w:b/>
          <w:lang w:val="es-ES_tradnl"/>
        </w:rPr>
        <w:tab/>
        <w:t>e)</w:t>
      </w:r>
      <w:r w:rsidRPr="00783CB4">
        <w:rPr>
          <w:b/>
          <w:lang w:val="es-ES_tradnl"/>
        </w:rPr>
        <w:tab/>
        <w:t>Las medidas adoptadas en consecuencia.</w:t>
      </w:r>
    </w:p>
    <w:p w:rsidR="00783CB4" w:rsidRPr="00783CB4" w:rsidRDefault="00783CB4" w:rsidP="00783CB4">
      <w:pPr>
        <w:pStyle w:val="SingleTxtG"/>
        <w:rPr>
          <w:lang w:val="es-ES_tradnl"/>
        </w:rPr>
      </w:pPr>
      <w:r w:rsidRPr="00BA5AA7">
        <w:rPr>
          <w:lang w:val="es-ES_tradnl"/>
        </w:rPr>
        <w:t>42.</w:t>
      </w:r>
      <w:r w:rsidRPr="00783CB4">
        <w:rPr>
          <w:b/>
          <w:lang w:val="es-ES_tradnl"/>
        </w:rPr>
        <w:tab/>
        <w:t xml:space="preserve">El Subcomité recomienda que se reforme el sistema de asistencia letrada de </w:t>
      </w:r>
      <w:r w:rsidR="00055769">
        <w:rPr>
          <w:b/>
          <w:lang w:val="es-ES_tradnl"/>
        </w:rPr>
        <w:t xml:space="preserve">modo </w:t>
      </w:r>
      <w:r w:rsidRPr="00783CB4">
        <w:rPr>
          <w:b/>
          <w:lang w:val="es-ES_tradnl"/>
        </w:rPr>
        <w:t>que los representantes legales de l</w:t>
      </w:r>
      <w:r w:rsidR="00055769">
        <w:rPr>
          <w:b/>
          <w:lang w:val="es-ES_tradnl"/>
        </w:rPr>
        <w:t>a</w:t>
      </w:r>
      <w:r w:rsidRPr="00783CB4">
        <w:rPr>
          <w:b/>
          <w:lang w:val="es-ES_tradnl"/>
        </w:rPr>
        <w:t xml:space="preserve">s </w:t>
      </w:r>
      <w:r w:rsidR="00055769">
        <w:rPr>
          <w:b/>
          <w:lang w:val="es-ES_tradnl"/>
        </w:rPr>
        <w:t xml:space="preserve">personas privadas de libertad </w:t>
      </w:r>
      <w:r w:rsidRPr="00783CB4">
        <w:rPr>
          <w:b/>
          <w:lang w:val="es-ES_tradnl"/>
        </w:rPr>
        <w:t xml:space="preserve">sean remunerados por toda la labor que realizan en nombre de sus clientes, y no únicamente por la realizada en relación con </w:t>
      </w:r>
      <w:r w:rsidR="00055769">
        <w:rPr>
          <w:b/>
          <w:lang w:val="es-ES_tradnl"/>
        </w:rPr>
        <w:t>los cargos imputados</w:t>
      </w:r>
      <w:r w:rsidRPr="00783CB4">
        <w:rPr>
          <w:b/>
          <w:lang w:val="es-ES_tradnl"/>
        </w:rPr>
        <w:t>.</w:t>
      </w:r>
    </w:p>
    <w:p w:rsidR="00783CB4" w:rsidRPr="00783CB4" w:rsidRDefault="00783CB4" w:rsidP="00055769">
      <w:pPr>
        <w:pStyle w:val="HChG"/>
        <w:rPr>
          <w:lang w:val="es-ES_tradnl"/>
        </w:rPr>
      </w:pPr>
      <w:r w:rsidRPr="00783CB4">
        <w:rPr>
          <w:lang w:val="es-ES_tradnl"/>
        </w:rPr>
        <w:tab/>
        <w:t>IV.</w:t>
      </w:r>
      <w:r w:rsidRPr="00783CB4">
        <w:rPr>
          <w:lang w:val="es-ES_tradnl"/>
        </w:rPr>
        <w:tab/>
        <w:t>Situación de las personas privadas de libertad</w:t>
      </w:r>
    </w:p>
    <w:p w:rsidR="00783CB4" w:rsidRPr="00783CB4" w:rsidRDefault="00783CB4" w:rsidP="00055769">
      <w:pPr>
        <w:pStyle w:val="H1G"/>
        <w:rPr>
          <w:lang w:val="es-ES_tradnl"/>
        </w:rPr>
      </w:pPr>
      <w:r w:rsidRPr="00783CB4">
        <w:rPr>
          <w:lang w:val="es-ES_tradnl"/>
        </w:rPr>
        <w:tab/>
        <w:t>A.</w:t>
      </w:r>
      <w:r w:rsidRPr="00783CB4">
        <w:rPr>
          <w:lang w:val="es-ES_tradnl"/>
        </w:rPr>
        <w:tab/>
        <w:t>Salvaguardias fundamentales</w:t>
      </w:r>
    </w:p>
    <w:p w:rsidR="00783CB4" w:rsidRPr="00783CB4" w:rsidRDefault="00055769" w:rsidP="00055769">
      <w:pPr>
        <w:pStyle w:val="H23G"/>
        <w:rPr>
          <w:lang w:val="es-ES_tradnl"/>
        </w:rPr>
      </w:pPr>
      <w:r>
        <w:rPr>
          <w:lang w:val="es-ES_tradnl"/>
        </w:rPr>
        <w:tab/>
      </w:r>
      <w:r w:rsidR="00783CB4" w:rsidRPr="00783CB4">
        <w:rPr>
          <w:lang w:val="es-ES_tradnl"/>
        </w:rPr>
        <w:tab/>
        <w:t xml:space="preserve">Información sobre los derechos y la </w:t>
      </w:r>
      <w:r>
        <w:rPr>
          <w:lang w:val="es-ES_tradnl"/>
        </w:rPr>
        <w:t>privación de libertad</w:t>
      </w:r>
    </w:p>
    <w:p w:rsidR="00783CB4" w:rsidRPr="00783CB4" w:rsidRDefault="00783CB4" w:rsidP="00783CB4">
      <w:pPr>
        <w:pStyle w:val="SingleTxtG"/>
        <w:rPr>
          <w:lang w:val="es-ES_tradnl"/>
        </w:rPr>
      </w:pPr>
      <w:r w:rsidRPr="00783CB4">
        <w:rPr>
          <w:lang w:val="es-ES_tradnl"/>
        </w:rPr>
        <w:t>43.</w:t>
      </w:r>
      <w:r w:rsidRPr="00783CB4">
        <w:rPr>
          <w:lang w:val="es-ES_tradnl"/>
        </w:rPr>
        <w:tab/>
        <w:t xml:space="preserve">El Código de Procedimiento Penal establece que las personas </w:t>
      </w:r>
      <w:r w:rsidR="00BA5AA7">
        <w:rPr>
          <w:lang w:val="es-ES_tradnl"/>
        </w:rPr>
        <w:t>recluidas</w:t>
      </w:r>
      <w:r w:rsidRPr="00783CB4">
        <w:rPr>
          <w:lang w:val="es-ES_tradnl"/>
        </w:rPr>
        <w:t xml:space="preserve"> en las instituciones de justicia penal tienen derecho a </w:t>
      </w:r>
      <w:r w:rsidR="00BA5AA7">
        <w:rPr>
          <w:lang w:val="es-ES_tradnl"/>
        </w:rPr>
        <w:t xml:space="preserve">recibir </w:t>
      </w:r>
      <w:r w:rsidRPr="00783CB4">
        <w:rPr>
          <w:lang w:val="es-ES_tradnl"/>
        </w:rPr>
        <w:t xml:space="preserve">documentación </w:t>
      </w:r>
      <w:r w:rsidR="00BA5AA7">
        <w:rPr>
          <w:lang w:val="es-ES_tradnl"/>
        </w:rPr>
        <w:t xml:space="preserve">en la </w:t>
      </w:r>
      <w:r w:rsidRPr="00783CB4">
        <w:rPr>
          <w:lang w:val="es-ES_tradnl"/>
        </w:rPr>
        <w:t xml:space="preserve">que </w:t>
      </w:r>
      <w:r w:rsidR="00BA5AA7">
        <w:rPr>
          <w:lang w:val="es-ES_tradnl"/>
        </w:rPr>
        <w:t xml:space="preserve">se </w:t>
      </w:r>
      <w:r w:rsidRPr="00783CB4">
        <w:rPr>
          <w:lang w:val="es-ES_tradnl"/>
        </w:rPr>
        <w:t>exponga</w:t>
      </w:r>
      <w:r w:rsidR="00BA5AA7">
        <w:rPr>
          <w:lang w:val="es-ES_tradnl"/>
        </w:rPr>
        <w:t>n</w:t>
      </w:r>
      <w:r w:rsidRPr="00783CB4">
        <w:rPr>
          <w:lang w:val="es-ES_tradnl"/>
        </w:rPr>
        <w:t xml:space="preserve"> las razones de su </w:t>
      </w:r>
      <w:r w:rsidR="00BA5AA7">
        <w:rPr>
          <w:lang w:val="es-ES_tradnl"/>
        </w:rPr>
        <w:t>reclusión</w:t>
      </w:r>
      <w:r w:rsidRPr="00783CB4">
        <w:rPr>
          <w:lang w:val="es-ES_tradnl"/>
        </w:rPr>
        <w:t>, así como a información sobre sus derechos</w:t>
      </w:r>
      <w:r w:rsidRPr="00783CB4">
        <w:rPr>
          <w:vertAlign w:val="superscript"/>
          <w:lang w:val="es-ES_tradnl"/>
        </w:rPr>
        <w:footnoteReference w:id="7"/>
      </w:r>
      <w:r w:rsidRPr="00783CB4">
        <w:rPr>
          <w:lang w:val="es-ES_tradnl"/>
        </w:rPr>
        <w:t xml:space="preserve">. A pesar </w:t>
      </w:r>
      <w:r w:rsidRPr="00783CB4">
        <w:rPr>
          <w:lang w:val="es-ES_tradnl"/>
        </w:rPr>
        <w:lastRenderedPageBreak/>
        <w:t xml:space="preserve">de ello, el Subcomité observó que, en la práctica, muchas personas privadas de libertad no eran informadas de esos derechos o de las razones de su detención cuando eran detenidas. En algunos casos, se les </w:t>
      </w:r>
      <w:r w:rsidR="00BA5AA7">
        <w:rPr>
          <w:lang w:val="es-ES_tradnl"/>
        </w:rPr>
        <w:t>ordenaba</w:t>
      </w:r>
      <w:r w:rsidRPr="00783CB4">
        <w:rPr>
          <w:lang w:val="es-ES_tradnl"/>
        </w:rPr>
        <w:t xml:space="preserve"> en el momento de su detención que firmar</w:t>
      </w:r>
      <w:r w:rsidR="00BA5AA7">
        <w:rPr>
          <w:lang w:val="es-ES_tradnl"/>
        </w:rPr>
        <w:t>an</w:t>
      </w:r>
      <w:r w:rsidRPr="00783CB4">
        <w:rPr>
          <w:lang w:val="es-ES_tradnl"/>
        </w:rPr>
        <w:t xml:space="preserve"> un documento en el que se enumeraban las disposiciones pertinentes del Código de Procedimiento Penal, sin darles tiempo suficiente para leerlo y comprenderlo. En otros casos, se entregaba a los detenidos el documento para que lo conservaran; sin embargo, el texto era demasiado pequeño, estaba incompleto o era prácticamente ilegible. El Subcomité observó que se proporcionaba poca o ninguna información que explicara </w:t>
      </w:r>
      <w:r w:rsidR="00BA5AA7">
        <w:rPr>
          <w:lang w:val="es-ES_tradnl"/>
        </w:rPr>
        <w:t xml:space="preserve">el modo de denunciar vulneraciones </w:t>
      </w:r>
      <w:r w:rsidRPr="00783CB4">
        <w:rPr>
          <w:lang w:val="es-ES_tradnl"/>
        </w:rPr>
        <w:t xml:space="preserve">de sus derechos. </w:t>
      </w:r>
      <w:r w:rsidR="00BA5AA7">
        <w:rPr>
          <w:lang w:val="es-ES_tradnl"/>
        </w:rPr>
        <w:t xml:space="preserve">Además, </w:t>
      </w:r>
      <w:r w:rsidR="00BA5AA7" w:rsidRPr="00783CB4">
        <w:rPr>
          <w:lang w:val="es-ES_tradnl"/>
        </w:rPr>
        <w:t xml:space="preserve">preocupa </w:t>
      </w:r>
      <w:r w:rsidR="00BA5AA7">
        <w:rPr>
          <w:lang w:val="es-ES_tradnl"/>
        </w:rPr>
        <w:t xml:space="preserve">al Subcomité </w:t>
      </w:r>
      <w:r w:rsidRPr="00783CB4">
        <w:rPr>
          <w:lang w:val="es-ES_tradnl"/>
        </w:rPr>
        <w:t xml:space="preserve">que muchas personas privadas de libertad parecen haber firmado formularios de renuncia a su derecho a obtener asistencia </w:t>
      </w:r>
      <w:r w:rsidR="00BA5AA7">
        <w:rPr>
          <w:lang w:val="es-ES_tradnl"/>
        </w:rPr>
        <w:t>letrada</w:t>
      </w:r>
      <w:r w:rsidRPr="00783CB4">
        <w:rPr>
          <w:lang w:val="es-ES_tradnl"/>
        </w:rPr>
        <w:t>, lo que sugiere que se trata de una práctica habitual.</w:t>
      </w:r>
    </w:p>
    <w:p w:rsidR="00783CB4" w:rsidRPr="00783CB4" w:rsidRDefault="00783CB4" w:rsidP="00783CB4">
      <w:pPr>
        <w:pStyle w:val="SingleTxtG"/>
        <w:rPr>
          <w:b/>
          <w:lang w:val="es-ES_tradnl"/>
        </w:rPr>
      </w:pPr>
      <w:r w:rsidRPr="00783CB4">
        <w:rPr>
          <w:lang w:val="es-ES_tradnl"/>
        </w:rPr>
        <w:t>44.</w:t>
      </w:r>
      <w:r w:rsidRPr="00783CB4">
        <w:rPr>
          <w:lang w:val="es-ES_tradnl"/>
        </w:rPr>
        <w:tab/>
      </w:r>
      <w:r w:rsidRPr="00783CB4">
        <w:rPr>
          <w:b/>
          <w:lang w:val="es-ES_tradnl"/>
        </w:rPr>
        <w:t xml:space="preserve">El Subcomité recomienda al Estado parte que </w:t>
      </w:r>
      <w:r w:rsidR="00BA5AA7">
        <w:rPr>
          <w:b/>
          <w:lang w:val="es-ES_tradnl"/>
        </w:rPr>
        <w:t>se asegure de</w:t>
      </w:r>
      <w:r w:rsidRPr="00783CB4">
        <w:rPr>
          <w:b/>
          <w:lang w:val="es-ES_tradnl"/>
        </w:rPr>
        <w:t xml:space="preserve"> que todas las personas privadas de libertad estén plenamente informadas de los motivos de su detención o reclusión, así como de sus derechos, desde el momento en que son </w:t>
      </w:r>
      <w:r w:rsidR="00BA5AA7">
        <w:rPr>
          <w:b/>
          <w:lang w:val="es-ES_tradnl"/>
        </w:rPr>
        <w:t>detenidas</w:t>
      </w:r>
      <w:r w:rsidRPr="00783CB4">
        <w:rPr>
          <w:b/>
          <w:lang w:val="es-ES_tradnl"/>
        </w:rPr>
        <w:t xml:space="preserve">. También recomienda que la información sobre los derechos se comunique de manera clara y fácilmente comprensible, por ejemplo </w:t>
      </w:r>
      <w:r w:rsidR="00BA5AA7">
        <w:rPr>
          <w:b/>
          <w:lang w:val="es-ES_tradnl"/>
        </w:rPr>
        <w:t>colocando</w:t>
      </w:r>
      <w:r w:rsidRPr="00783CB4">
        <w:rPr>
          <w:b/>
          <w:lang w:val="es-ES_tradnl"/>
        </w:rPr>
        <w:t xml:space="preserve"> carteles en todos los lugares de </w:t>
      </w:r>
      <w:r w:rsidR="00581C97">
        <w:rPr>
          <w:b/>
          <w:lang w:val="es-ES_tradnl"/>
        </w:rPr>
        <w:t>privación de libertad</w:t>
      </w:r>
      <w:r w:rsidRPr="00783CB4">
        <w:rPr>
          <w:b/>
          <w:lang w:val="es-ES_tradnl"/>
        </w:rPr>
        <w:t xml:space="preserve">, </w:t>
      </w:r>
      <w:r w:rsidR="00581C97">
        <w:rPr>
          <w:b/>
          <w:lang w:val="es-ES_tradnl"/>
        </w:rPr>
        <w:t>incluidas</w:t>
      </w:r>
      <w:r w:rsidRPr="00783CB4">
        <w:rPr>
          <w:b/>
          <w:lang w:val="es-ES_tradnl"/>
        </w:rPr>
        <w:t xml:space="preserve"> las salas y celdas, y distribu</w:t>
      </w:r>
      <w:r w:rsidR="00581C97">
        <w:rPr>
          <w:b/>
          <w:lang w:val="es-ES_tradnl"/>
        </w:rPr>
        <w:t xml:space="preserve">yendo </w:t>
      </w:r>
      <w:r w:rsidRPr="00783CB4">
        <w:rPr>
          <w:b/>
          <w:lang w:val="es-ES_tradnl"/>
        </w:rPr>
        <w:t>folletos que sean completos, legibles y comprensibles para l</w:t>
      </w:r>
      <w:r w:rsidR="00581C97">
        <w:rPr>
          <w:b/>
          <w:lang w:val="es-ES_tradnl"/>
        </w:rPr>
        <w:t>a</w:t>
      </w:r>
      <w:r w:rsidRPr="00783CB4">
        <w:rPr>
          <w:b/>
          <w:lang w:val="es-ES_tradnl"/>
        </w:rPr>
        <w:t xml:space="preserve">s </w:t>
      </w:r>
      <w:r w:rsidR="00581C97">
        <w:rPr>
          <w:b/>
          <w:lang w:val="es-ES_tradnl"/>
        </w:rPr>
        <w:t xml:space="preserve">personas recluidas </w:t>
      </w:r>
      <w:r w:rsidRPr="00783CB4">
        <w:rPr>
          <w:b/>
          <w:lang w:val="es-ES_tradnl"/>
        </w:rPr>
        <w:t xml:space="preserve">en su propio idioma. El Subcomité recomienda además que todas las personas privadas de libertad sean informadas (por ejemplo, mediante folletos y carteles) de su derecho a presentar denuncias de forma directa y confidencial a los administradores de los lugares de </w:t>
      </w:r>
      <w:r w:rsidR="00581C97">
        <w:rPr>
          <w:b/>
          <w:lang w:val="es-ES_tradnl"/>
        </w:rPr>
        <w:t>reclusión</w:t>
      </w:r>
      <w:r w:rsidRPr="00783CB4">
        <w:rPr>
          <w:b/>
          <w:lang w:val="es-ES_tradnl"/>
        </w:rPr>
        <w:t xml:space="preserve"> y a las autoridades de nivel superior, incluidas las que tienen atribuciones correctivas, y de</w:t>
      </w:r>
      <w:r w:rsidR="00581C97">
        <w:rPr>
          <w:b/>
          <w:lang w:val="es-ES_tradnl"/>
        </w:rPr>
        <w:t>l</w:t>
      </w:r>
      <w:r w:rsidRPr="00783CB4">
        <w:rPr>
          <w:b/>
          <w:lang w:val="es-ES_tradnl"/>
        </w:rPr>
        <w:t xml:space="preserve"> </w:t>
      </w:r>
      <w:r w:rsidR="00581C97">
        <w:rPr>
          <w:b/>
          <w:lang w:val="es-ES_tradnl"/>
        </w:rPr>
        <w:t xml:space="preserve">modo de ejercer este derecho </w:t>
      </w:r>
      <w:r w:rsidRPr="00783CB4">
        <w:rPr>
          <w:b/>
          <w:lang w:val="es-ES_tradnl"/>
        </w:rPr>
        <w:t>en la práctica de manera segura y confidencial.</w:t>
      </w:r>
    </w:p>
    <w:p w:rsidR="00783CB4" w:rsidRPr="00783CB4" w:rsidRDefault="00581C97" w:rsidP="00581C97">
      <w:pPr>
        <w:pStyle w:val="H23G"/>
        <w:rPr>
          <w:lang w:val="es-ES_tradnl"/>
        </w:rPr>
      </w:pPr>
      <w:r>
        <w:rPr>
          <w:lang w:val="es-ES_tradnl"/>
        </w:rPr>
        <w:tab/>
      </w:r>
      <w:r w:rsidR="00783CB4" w:rsidRPr="00783CB4">
        <w:rPr>
          <w:lang w:val="es-ES_tradnl"/>
        </w:rPr>
        <w:tab/>
        <w:t>Notificación de la privación de libertad</w:t>
      </w:r>
    </w:p>
    <w:p w:rsidR="00783CB4" w:rsidRPr="00783CB4" w:rsidRDefault="00783CB4" w:rsidP="00783CB4">
      <w:pPr>
        <w:pStyle w:val="SingleTxtG"/>
        <w:rPr>
          <w:lang w:val="es-ES_tradnl"/>
        </w:rPr>
      </w:pPr>
      <w:r w:rsidRPr="00783CB4">
        <w:rPr>
          <w:lang w:val="es-ES_tradnl"/>
        </w:rPr>
        <w:t>45.</w:t>
      </w:r>
      <w:r w:rsidRPr="00783CB4">
        <w:rPr>
          <w:lang w:val="es-ES_tradnl"/>
        </w:rPr>
        <w:tab/>
        <w:t xml:space="preserve">El Subcomité lamenta que el derecho de una persona a notificar su detención a un familiar u otra persona de su elección no siempre esté garantizado en la práctica. En particular, preocupa al Subcomité que las personas que se encuentran privadas de libertad en lugares no reconocidos por el Estado parte como lugares de </w:t>
      </w:r>
      <w:r w:rsidR="00581C97">
        <w:rPr>
          <w:lang w:val="es-ES_tradnl"/>
        </w:rPr>
        <w:t>reclusión</w:t>
      </w:r>
      <w:r w:rsidRPr="00783CB4">
        <w:rPr>
          <w:lang w:val="es-ES_tradnl"/>
        </w:rPr>
        <w:t xml:space="preserve"> oficiales pueden </w:t>
      </w:r>
      <w:r w:rsidR="00581C97">
        <w:rPr>
          <w:lang w:val="es-ES_tradnl"/>
        </w:rPr>
        <w:t xml:space="preserve">ver </w:t>
      </w:r>
      <w:r w:rsidRPr="00783CB4">
        <w:rPr>
          <w:lang w:val="es-ES_tradnl"/>
        </w:rPr>
        <w:t>restri</w:t>
      </w:r>
      <w:r w:rsidR="00581C97">
        <w:rPr>
          <w:lang w:val="es-ES_tradnl"/>
        </w:rPr>
        <w:t xml:space="preserve">ngida </w:t>
      </w:r>
      <w:r w:rsidRPr="00783CB4">
        <w:rPr>
          <w:lang w:val="es-ES_tradnl"/>
        </w:rPr>
        <w:t xml:space="preserve">la información que pueden proporcionar a personas del exterior. Por ejemplo, puede que se les permita indicar </w:t>
      </w:r>
      <w:r w:rsidR="00581C97">
        <w:rPr>
          <w:lang w:val="es-ES_tradnl"/>
        </w:rPr>
        <w:t xml:space="preserve">que han sido </w:t>
      </w:r>
      <w:r w:rsidRPr="00783CB4">
        <w:rPr>
          <w:lang w:val="es-ES_tradnl"/>
        </w:rPr>
        <w:t>dete</w:t>
      </w:r>
      <w:r w:rsidR="00581C97">
        <w:rPr>
          <w:lang w:val="es-ES_tradnl"/>
        </w:rPr>
        <w:t>nidas</w:t>
      </w:r>
      <w:r w:rsidR="001D6935">
        <w:rPr>
          <w:lang w:val="es-ES_tradnl"/>
        </w:rPr>
        <w:t>,</w:t>
      </w:r>
      <w:r w:rsidRPr="00783CB4">
        <w:rPr>
          <w:lang w:val="es-ES_tradnl"/>
        </w:rPr>
        <w:t xml:space="preserve"> pero no el lugar en que están </w:t>
      </w:r>
      <w:r w:rsidR="00581C97">
        <w:rPr>
          <w:lang w:val="es-ES_tradnl"/>
        </w:rPr>
        <w:t>recluidas</w:t>
      </w:r>
      <w:r w:rsidRPr="00783CB4">
        <w:rPr>
          <w:lang w:val="es-ES_tradnl"/>
        </w:rPr>
        <w:t>, o puede que</w:t>
      </w:r>
      <w:r w:rsidR="00581C97">
        <w:rPr>
          <w:lang w:val="es-ES_tradnl"/>
        </w:rPr>
        <w:t xml:space="preserve"> </w:t>
      </w:r>
      <w:r w:rsidRPr="00783CB4">
        <w:rPr>
          <w:lang w:val="es-ES_tradnl"/>
        </w:rPr>
        <w:t xml:space="preserve">se les impida durante varias semanas </w:t>
      </w:r>
      <w:r w:rsidR="001D6935">
        <w:rPr>
          <w:lang w:val="es-ES_tradnl"/>
        </w:rPr>
        <w:t>notificar a terceros su privación de libertad</w:t>
      </w:r>
      <w:r w:rsidRPr="00783CB4">
        <w:rPr>
          <w:lang w:val="es-ES_tradnl"/>
        </w:rPr>
        <w:t>, lo que convierte su situación en un caso de desaparición forzada.</w:t>
      </w:r>
    </w:p>
    <w:p w:rsidR="00783CB4" w:rsidRPr="00783CB4" w:rsidRDefault="00783CB4" w:rsidP="00783CB4">
      <w:pPr>
        <w:pStyle w:val="SingleTxtG"/>
        <w:rPr>
          <w:b/>
          <w:lang w:val="es-ES_tradnl"/>
        </w:rPr>
      </w:pPr>
      <w:r w:rsidRPr="00783CB4">
        <w:rPr>
          <w:lang w:val="es-ES_tradnl"/>
        </w:rPr>
        <w:t>46.</w:t>
      </w:r>
      <w:r w:rsidRPr="00783CB4">
        <w:rPr>
          <w:lang w:val="es-ES_tradnl"/>
        </w:rPr>
        <w:tab/>
      </w:r>
      <w:r w:rsidRPr="00783CB4">
        <w:rPr>
          <w:b/>
          <w:lang w:val="es-ES_tradnl"/>
        </w:rPr>
        <w:t xml:space="preserve">El Subcomité recomienda que el Estado parte garantice </w:t>
      </w:r>
      <w:r w:rsidR="001D6935">
        <w:rPr>
          <w:b/>
          <w:lang w:val="es-ES_tradnl"/>
        </w:rPr>
        <w:t>sistemáticamente que</w:t>
      </w:r>
      <w:r w:rsidRPr="00783CB4">
        <w:rPr>
          <w:b/>
          <w:lang w:val="es-ES_tradnl"/>
        </w:rPr>
        <w:t xml:space="preserve"> toda persona privada de libertad pueda asegurarse</w:t>
      </w:r>
      <w:r w:rsidR="001D6935">
        <w:rPr>
          <w:b/>
          <w:lang w:val="es-ES_tradnl"/>
        </w:rPr>
        <w:t>,</w:t>
      </w:r>
      <w:r w:rsidRPr="00783CB4">
        <w:rPr>
          <w:b/>
          <w:lang w:val="es-ES_tradnl"/>
        </w:rPr>
        <w:t xml:space="preserve"> desde el inicio de su </w:t>
      </w:r>
      <w:r w:rsidR="001D6935">
        <w:rPr>
          <w:b/>
          <w:lang w:val="es-ES_tradnl"/>
        </w:rPr>
        <w:t>reclusión</w:t>
      </w:r>
      <w:r w:rsidR="00A92AE2">
        <w:rPr>
          <w:b/>
          <w:lang w:val="es-ES_tradnl"/>
        </w:rPr>
        <w:t>,</w:t>
      </w:r>
      <w:r w:rsidR="001D6935">
        <w:rPr>
          <w:b/>
          <w:lang w:val="es-ES_tradnl"/>
        </w:rPr>
        <w:t xml:space="preserve"> de que </w:t>
      </w:r>
      <w:r w:rsidRPr="00783CB4">
        <w:rPr>
          <w:b/>
          <w:lang w:val="es-ES_tradnl"/>
        </w:rPr>
        <w:t>notifi</w:t>
      </w:r>
      <w:r w:rsidR="001D6935">
        <w:rPr>
          <w:b/>
          <w:lang w:val="es-ES_tradnl"/>
        </w:rPr>
        <w:t xml:space="preserve">que a </w:t>
      </w:r>
      <w:r w:rsidR="001D6935" w:rsidRPr="00783CB4">
        <w:rPr>
          <w:b/>
          <w:lang w:val="es-ES_tradnl"/>
        </w:rPr>
        <w:t xml:space="preserve">un tercero de su elección </w:t>
      </w:r>
      <w:r w:rsidRPr="00783CB4">
        <w:rPr>
          <w:b/>
          <w:lang w:val="es-ES_tradnl"/>
        </w:rPr>
        <w:t>cuándo ha sido detenida</w:t>
      </w:r>
      <w:r w:rsidR="001D6935">
        <w:rPr>
          <w:b/>
          <w:lang w:val="es-ES_tradnl"/>
        </w:rPr>
        <w:t xml:space="preserve"> y dónde se encuentra </w:t>
      </w:r>
      <w:r w:rsidR="00B00214">
        <w:rPr>
          <w:b/>
          <w:lang w:val="es-ES_tradnl"/>
        </w:rPr>
        <w:t>recluida</w:t>
      </w:r>
      <w:r w:rsidR="001D6935">
        <w:rPr>
          <w:b/>
          <w:lang w:val="es-ES_tradnl"/>
        </w:rPr>
        <w:t>.</w:t>
      </w:r>
    </w:p>
    <w:p w:rsidR="00783CB4" w:rsidRPr="00783CB4" w:rsidRDefault="001D6935" w:rsidP="001D6935">
      <w:pPr>
        <w:pStyle w:val="H23G"/>
        <w:rPr>
          <w:lang w:val="es-ES_tradnl"/>
        </w:rPr>
      </w:pPr>
      <w:r>
        <w:rPr>
          <w:lang w:val="es-ES_tradnl"/>
        </w:rPr>
        <w:tab/>
      </w:r>
      <w:r w:rsidR="00783CB4" w:rsidRPr="00783CB4">
        <w:rPr>
          <w:lang w:val="es-ES_tradnl"/>
        </w:rPr>
        <w:tab/>
        <w:t>Acceso a un abogado</w:t>
      </w:r>
    </w:p>
    <w:p w:rsidR="00783CB4" w:rsidRPr="00783CB4" w:rsidRDefault="00783CB4" w:rsidP="00783CB4">
      <w:pPr>
        <w:pStyle w:val="SingleTxtG"/>
        <w:rPr>
          <w:lang w:val="es-ES_tradnl"/>
        </w:rPr>
      </w:pPr>
      <w:r w:rsidRPr="00783CB4">
        <w:rPr>
          <w:lang w:val="es-ES_tradnl"/>
        </w:rPr>
        <w:t>47.</w:t>
      </w:r>
      <w:r w:rsidRPr="00783CB4">
        <w:rPr>
          <w:lang w:val="es-ES_tradnl"/>
        </w:rPr>
        <w:tab/>
        <w:t xml:space="preserve">Al Subcomité le preocupa que el derecho a un abogado no se garantice sistemáticamente en todas las instituciones. Durante su visita, el Subcomité tuvo conocimiento de casos en los que los investigadores no se habían puesto en contacto con los abogados de los detenidos poco después de la detención. </w:t>
      </w:r>
      <w:r w:rsidR="00B00214" w:rsidRPr="00783CB4">
        <w:rPr>
          <w:lang w:val="es-ES_tradnl"/>
        </w:rPr>
        <w:t xml:space="preserve">También </w:t>
      </w:r>
      <w:r w:rsidRPr="00783CB4">
        <w:rPr>
          <w:lang w:val="es-ES_tradnl"/>
        </w:rPr>
        <w:t>observó que</w:t>
      </w:r>
      <w:r w:rsidR="00B00214">
        <w:rPr>
          <w:lang w:val="es-ES_tradnl"/>
        </w:rPr>
        <w:t>,</w:t>
      </w:r>
      <w:r w:rsidRPr="00783CB4">
        <w:rPr>
          <w:lang w:val="es-ES_tradnl"/>
        </w:rPr>
        <w:t xml:space="preserve"> en ocasiones</w:t>
      </w:r>
      <w:r w:rsidR="00B00214">
        <w:rPr>
          <w:lang w:val="es-ES_tradnl"/>
        </w:rPr>
        <w:t>,</w:t>
      </w:r>
      <w:r w:rsidRPr="00783CB4">
        <w:rPr>
          <w:lang w:val="es-ES_tradnl"/>
        </w:rPr>
        <w:t xml:space="preserve"> se interrumpía el acceso a un abogado, por ejemplo cuando los detenidos eran trasladados a centros de detención temporal. Además, las personas detenidas extraoficialmente no tenían acceso a un abogado en cuanto quedaban privadas de libertad, sino después de su traslado a una institución reconocida por el Estado parte como lugar de </w:t>
      </w:r>
      <w:r w:rsidR="00B00214">
        <w:rPr>
          <w:lang w:val="es-ES_tradnl"/>
        </w:rPr>
        <w:t>reclusión</w:t>
      </w:r>
      <w:r w:rsidRPr="00783CB4">
        <w:rPr>
          <w:lang w:val="es-ES_tradnl"/>
        </w:rPr>
        <w:t xml:space="preserve"> oficial, de modo que podían ser retenidas e interrogadas durante largos períodos sin que se respetara su derecho a </w:t>
      </w:r>
      <w:r w:rsidR="00B00214">
        <w:rPr>
          <w:lang w:val="es-ES_tradnl"/>
        </w:rPr>
        <w:t>recibir</w:t>
      </w:r>
      <w:r w:rsidRPr="00783CB4">
        <w:rPr>
          <w:lang w:val="es-ES_tradnl"/>
        </w:rPr>
        <w:t xml:space="preserve"> asesoramiento jurídico.</w:t>
      </w:r>
    </w:p>
    <w:p w:rsidR="00783CB4" w:rsidRPr="00783CB4" w:rsidRDefault="00783CB4" w:rsidP="00783CB4">
      <w:pPr>
        <w:pStyle w:val="SingleTxtG"/>
        <w:rPr>
          <w:lang w:val="es-ES_tradnl"/>
        </w:rPr>
      </w:pPr>
      <w:r w:rsidRPr="00783CB4">
        <w:rPr>
          <w:lang w:val="es-ES_tradnl"/>
        </w:rPr>
        <w:t>48.</w:t>
      </w:r>
      <w:r w:rsidRPr="00783CB4">
        <w:rPr>
          <w:lang w:val="es-ES_tradnl"/>
        </w:rPr>
        <w:tab/>
        <w:t xml:space="preserve">Como ya se ha mencionado, el Subcomité acoge positivamente la creación y el desarrollo continuo del sistema de asistencia letrada </w:t>
      </w:r>
      <w:r w:rsidR="00B00214">
        <w:rPr>
          <w:lang w:val="es-ES_tradnl"/>
        </w:rPr>
        <w:t>financiado</w:t>
      </w:r>
      <w:r w:rsidRPr="00783CB4">
        <w:rPr>
          <w:lang w:val="es-ES_tradnl"/>
        </w:rPr>
        <w:t xml:space="preserve"> por el Estado. Sin embargo, </w:t>
      </w:r>
      <w:r w:rsidR="00B00214">
        <w:rPr>
          <w:lang w:val="es-ES_tradnl"/>
        </w:rPr>
        <w:t>nuestra inquietud porque</w:t>
      </w:r>
      <w:r w:rsidRPr="00783CB4">
        <w:rPr>
          <w:lang w:val="es-ES_tradnl"/>
        </w:rPr>
        <w:t xml:space="preserve">, en muchos casos, los abogados tienen una interacción limitada con sus clientes y a menudo se reúnen con ellos por primera vez durante el período previo al juicio o incluso ya en las audiencias del tribunal, donde no pueden </w:t>
      </w:r>
      <w:r w:rsidR="00B00214">
        <w:rPr>
          <w:lang w:val="es-ES_tradnl"/>
        </w:rPr>
        <w:t>preparar</w:t>
      </w:r>
      <w:r w:rsidRPr="00783CB4">
        <w:rPr>
          <w:lang w:val="es-ES_tradnl"/>
        </w:rPr>
        <w:t xml:space="preserve"> debidamente con los detenidos una estrategia de defensa. Así ocurre en particular en el caso de los abogados de oficio proporcionados por el Estado parte, que muchos detenidos consideran </w:t>
      </w:r>
      <w:r w:rsidR="00B00214">
        <w:rPr>
          <w:lang w:val="es-ES_tradnl"/>
        </w:rPr>
        <w:lastRenderedPageBreak/>
        <w:t>insuficientemente</w:t>
      </w:r>
      <w:r w:rsidRPr="00783CB4">
        <w:rPr>
          <w:lang w:val="es-ES_tradnl"/>
        </w:rPr>
        <w:t xml:space="preserve"> cualificados o no imparciales, y que apoyan indebidamente la labor de los investigadores y presionan </w:t>
      </w:r>
      <w:r w:rsidR="00B00214">
        <w:rPr>
          <w:lang w:val="es-ES_tradnl"/>
        </w:rPr>
        <w:t xml:space="preserve">a los detenidos </w:t>
      </w:r>
      <w:r w:rsidRPr="00783CB4">
        <w:rPr>
          <w:lang w:val="es-ES_tradnl"/>
        </w:rPr>
        <w:t>para que confiesen.</w:t>
      </w:r>
    </w:p>
    <w:p w:rsidR="00783CB4" w:rsidRPr="00783CB4" w:rsidRDefault="00783CB4" w:rsidP="00783CB4">
      <w:pPr>
        <w:pStyle w:val="SingleTxtG"/>
        <w:rPr>
          <w:lang w:val="es-ES_tradnl"/>
        </w:rPr>
      </w:pPr>
      <w:r w:rsidRPr="00783CB4">
        <w:rPr>
          <w:lang w:val="es-ES_tradnl"/>
        </w:rPr>
        <w:t>49.</w:t>
      </w:r>
      <w:r w:rsidRPr="00783CB4">
        <w:rPr>
          <w:lang w:val="es-ES_tradnl"/>
        </w:rPr>
        <w:tab/>
        <w:t xml:space="preserve">Además, </w:t>
      </w:r>
      <w:r w:rsidR="00B00214" w:rsidRPr="00783CB4">
        <w:rPr>
          <w:lang w:val="es-ES_tradnl"/>
        </w:rPr>
        <w:t xml:space="preserve">preocupa </w:t>
      </w:r>
      <w:r w:rsidR="00B00214">
        <w:rPr>
          <w:lang w:val="es-ES_tradnl"/>
        </w:rPr>
        <w:t>a</w:t>
      </w:r>
      <w:r w:rsidRPr="00783CB4">
        <w:rPr>
          <w:lang w:val="es-ES_tradnl"/>
        </w:rPr>
        <w:t xml:space="preserve">l Subcomité que, en algunas instituciones, las consultas entre los abogados y los detenidos tienen lugar en salas de investigación </w:t>
      </w:r>
      <w:r w:rsidR="00B00214">
        <w:rPr>
          <w:lang w:val="es-ES_tradnl"/>
        </w:rPr>
        <w:t>vigiladas mediante sistemas electrónicos</w:t>
      </w:r>
      <w:r w:rsidRPr="00783CB4">
        <w:rPr>
          <w:lang w:val="es-ES_tradnl"/>
        </w:rPr>
        <w:t xml:space="preserve">. En otros casos se restringe la comunicación escrita entre abogados y detenidos, </w:t>
      </w:r>
      <w:r w:rsidR="00B00214">
        <w:rPr>
          <w:lang w:val="es-ES_tradnl"/>
        </w:rPr>
        <w:t xml:space="preserve">por </w:t>
      </w:r>
      <w:r w:rsidRPr="00783CB4">
        <w:rPr>
          <w:lang w:val="es-ES_tradnl"/>
        </w:rPr>
        <w:t xml:space="preserve">lo que los detenidos solo pueden comunicarse confidencialmente durante reuniones </w:t>
      </w:r>
      <w:r w:rsidR="00B00214">
        <w:rPr>
          <w:lang w:val="es-ES_tradnl"/>
        </w:rPr>
        <w:t>presenciales</w:t>
      </w:r>
      <w:r w:rsidRPr="00783CB4">
        <w:rPr>
          <w:lang w:val="es-ES_tradnl"/>
        </w:rPr>
        <w:t>.</w:t>
      </w:r>
    </w:p>
    <w:p w:rsidR="00783CB4" w:rsidRPr="00783CB4" w:rsidRDefault="00783CB4" w:rsidP="00783CB4">
      <w:pPr>
        <w:pStyle w:val="SingleTxtG"/>
        <w:rPr>
          <w:b/>
          <w:lang w:val="es-ES_tradnl"/>
        </w:rPr>
      </w:pPr>
      <w:r w:rsidRPr="00783CB4">
        <w:rPr>
          <w:lang w:val="es-ES_tradnl"/>
        </w:rPr>
        <w:t>50.</w:t>
      </w:r>
      <w:r w:rsidRPr="00783CB4">
        <w:rPr>
          <w:lang w:val="es-ES_tradnl"/>
        </w:rPr>
        <w:tab/>
      </w:r>
      <w:r w:rsidRPr="00783CB4">
        <w:rPr>
          <w:b/>
          <w:lang w:val="es-ES_tradnl"/>
        </w:rPr>
        <w:t>El Subcomité recomienda al Estado parte que vele por que todos los detenidos tengan acceso a un abogado desde el inicio de su privación de libertad y durante todo</w:t>
      </w:r>
      <w:r w:rsidR="00F739A2">
        <w:rPr>
          <w:b/>
          <w:lang w:val="es-ES_tradnl"/>
        </w:rPr>
        <w:t xml:space="preserve"> el tiempo que permanezcan recluidos.</w:t>
      </w:r>
    </w:p>
    <w:p w:rsidR="00783CB4" w:rsidRPr="00783CB4" w:rsidRDefault="00783CB4" w:rsidP="00783CB4">
      <w:pPr>
        <w:pStyle w:val="SingleTxtG"/>
        <w:rPr>
          <w:b/>
          <w:lang w:val="es-ES_tradnl"/>
        </w:rPr>
      </w:pPr>
      <w:r w:rsidRPr="00783CB4">
        <w:rPr>
          <w:lang w:val="es-ES_tradnl"/>
        </w:rPr>
        <w:t>51.</w:t>
      </w:r>
      <w:r w:rsidRPr="00783CB4">
        <w:rPr>
          <w:lang w:val="es-ES_tradnl"/>
        </w:rPr>
        <w:tab/>
      </w:r>
      <w:r w:rsidRPr="00783CB4">
        <w:rPr>
          <w:b/>
          <w:lang w:val="es-ES_tradnl"/>
        </w:rPr>
        <w:t xml:space="preserve">El Subcomité también recomienda que el Estado parte garantice que el asesoramiento jurídico proporcionado por medio de su sistema de asistencia </w:t>
      </w:r>
      <w:r w:rsidR="00F739A2">
        <w:rPr>
          <w:b/>
          <w:lang w:val="es-ES_tradnl"/>
        </w:rPr>
        <w:t>letrada</w:t>
      </w:r>
      <w:r w:rsidRPr="00783CB4">
        <w:rPr>
          <w:b/>
          <w:lang w:val="es-ES_tradnl"/>
        </w:rPr>
        <w:t xml:space="preserve"> sea rápido y profesional y redunde en interés de la persona</w:t>
      </w:r>
      <w:r w:rsidR="00A92AE2">
        <w:rPr>
          <w:b/>
          <w:lang w:val="es-ES_tradnl"/>
        </w:rPr>
        <w:t xml:space="preserve"> privada de libertad</w:t>
      </w:r>
      <w:r w:rsidRPr="00783CB4">
        <w:rPr>
          <w:b/>
          <w:lang w:val="es-ES_tradnl"/>
        </w:rPr>
        <w:t xml:space="preserve">, y no de las autoridades que la </w:t>
      </w:r>
      <w:r w:rsidR="00F739A2">
        <w:rPr>
          <w:b/>
          <w:lang w:val="es-ES_tradnl"/>
        </w:rPr>
        <w:t>m</w:t>
      </w:r>
      <w:r w:rsidR="00CF36F1">
        <w:rPr>
          <w:b/>
          <w:lang w:val="es-ES_tradnl"/>
        </w:rPr>
        <w:t>antienen recluida</w:t>
      </w:r>
      <w:r w:rsidRPr="00783CB4">
        <w:rPr>
          <w:b/>
          <w:lang w:val="es-ES_tradnl"/>
        </w:rPr>
        <w:t>. Los abogados que prestan asistencia letrada deben ser debidamente capacitados por órganos profesionales independientes. El Subcomité recomienda asimismo que esa capacitación inclu</w:t>
      </w:r>
      <w:r w:rsidR="00CF36F1">
        <w:rPr>
          <w:b/>
          <w:lang w:val="es-ES_tradnl"/>
        </w:rPr>
        <w:t>ya</w:t>
      </w:r>
      <w:r w:rsidRPr="00783CB4">
        <w:rPr>
          <w:b/>
          <w:lang w:val="es-ES_tradnl"/>
        </w:rPr>
        <w:t xml:space="preserve"> </w:t>
      </w:r>
      <w:r w:rsidR="00A92AE2">
        <w:rPr>
          <w:b/>
          <w:lang w:val="es-ES_tradnl"/>
        </w:rPr>
        <w:t xml:space="preserve">a </w:t>
      </w:r>
      <w:r w:rsidRPr="00783CB4">
        <w:rPr>
          <w:b/>
          <w:lang w:val="es-ES_tradnl"/>
        </w:rPr>
        <w:t xml:space="preserve">los abogados que representan a </w:t>
      </w:r>
      <w:r w:rsidR="00CF36F1">
        <w:rPr>
          <w:b/>
          <w:lang w:val="es-ES_tradnl"/>
        </w:rPr>
        <w:t xml:space="preserve">las personas privadas de libertad acusadas de </w:t>
      </w:r>
      <w:r w:rsidRPr="00783CB4">
        <w:rPr>
          <w:b/>
          <w:lang w:val="es-ES_tradnl"/>
        </w:rPr>
        <w:t xml:space="preserve">delitos relacionados con el conflicto armado de Ucrania oriental. El Subcomité reitera la recomendación formulada en el párrafo 42 </w:t>
      </w:r>
      <w:r w:rsidRPr="00783CB4">
        <w:rPr>
          <w:b/>
          <w:i/>
          <w:lang w:val="es-ES_tradnl"/>
        </w:rPr>
        <w:t>supra</w:t>
      </w:r>
      <w:r w:rsidRPr="00783CB4">
        <w:rPr>
          <w:b/>
          <w:lang w:val="es-ES_tradnl"/>
        </w:rPr>
        <w:t>.</w:t>
      </w:r>
    </w:p>
    <w:p w:rsidR="00783CB4" w:rsidRPr="00783CB4" w:rsidRDefault="00783CB4" w:rsidP="00783CB4">
      <w:pPr>
        <w:pStyle w:val="SingleTxtG"/>
        <w:rPr>
          <w:b/>
          <w:lang w:val="es-ES_tradnl"/>
        </w:rPr>
      </w:pPr>
      <w:r w:rsidRPr="00783CB4">
        <w:rPr>
          <w:lang w:val="es-ES_tradnl"/>
        </w:rPr>
        <w:t>52.</w:t>
      </w:r>
      <w:r w:rsidRPr="00783CB4">
        <w:rPr>
          <w:lang w:val="es-ES_tradnl"/>
        </w:rPr>
        <w:tab/>
      </w:r>
      <w:r w:rsidRPr="00783CB4">
        <w:rPr>
          <w:b/>
          <w:lang w:val="es-ES_tradnl"/>
        </w:rPr>
        <w:t>Se insta al Estado parte a garantizar la absoluta confidencialidad de las comunicaciones entre los abogados y sus clientes.</w:t>
      </w:r>
    </w:p>
    <w:p w:rsidR="00783CB4" w:rsidRPr="00783CB4" w:rsidRDefault="00CF36F1" w:rsidP="00CF36F1">
      <w:pPr>
        <w:pStyle w:val="H23G"/>
        <w:rPr>
          <w:lang w:val="es-ES_tradnl"/>
        </w:rPr>
      </w:pPr>
      <w:r>
        <w:rPr>
          <w:lang w:val="es-ES_tradnl"/>
        </w:rPr>
        <w:tab/>
      </w:r>
      <w:r w:rsidR="00783CB4" w:rsidRPr="00783CB4">
        <w:rPr>
          <w:lang w:val="es-ES_tradnl"/>
        </w:rPr>
        <w:tab/>
        <w:t>Atención y reconocimientos médicos</w:t>
      </w:r>
    </w:p>
    <w:p w:rsidR="00783CB4" w:rsidRPr="00783CB4" w:rsidRDefault="00783CB4" w:rsidP="00783CB4">
      <w:pPr>
        <w:pStyle w:val="SingleTxtG"/>
        <w:rPr>
          <w:lang w:val="es-ES_tradnl"/>
        </w:rPr>
      </w:pPr>
      <w:r w:rsidRPr="00783CB4">
        <w:rPr>
          <w:lang w:val="es-ES_tradnl"/>
        </w:rPr>
        <w:t>53.</w:t>
      </w:r>
      <w:r w:rsidRPr="00783CB4">
        <w:rPr>
          <w:lang w:val="es-ES_tradnl"/>
        </w:rPr>
        <w:tab/>
        <w:t xml:space="preserve">Tras analizar los registros médicos de todas las instituciones y entrevistarse con </w:t>
      </w:r>
      <w:r w:rsidR="00CF36F1">
        <w:rPr>
          <w:lang w:val="es-ES_tradnl"/>
        </w:rPr>
        <w:t>personas recluidas</w:t>
      </w:r>
      <w:r w:rsidRPr="00783CB4">
        <w:rPr>
          <w:lang w:val="es-ES_tradnl"/>
        </w:rPr>
        <w:t xml:space="preserve">, el Subcomité </w:t>
      </w:r>
      <w:r w:rsidR="00CF36F1">
        <w:rPr>
          <w:lang w:val="es-ES_tradnl"/>
        </w:rPr>
        <w:t xml:space="preserve">constata que dichas </w:t>
      </w:r>
      <w:r w:rsidRPr="00783CB4">
        <w:rPr>
          <w:lang w:val="es-ES_tradnl"/>
        </w:rPr>
        <w:t>personas son sometidas a un reconocimiento médico rutinario, que incluye pruebas de detección del VIH y la tuberculosis, al inicio de su privación de libertad</w:t>
      </w:r>
      <w:r w:rsidR="00CF36F1">
        <w:rPr>
          <w:lang w:val="es-ES_tradnl"/>
        </w:rPr>
        <w:t xml:space="preserve">, pero </w:t>
      </w:r>
      <w:r w:rsidRPr="00783CB4">
        <w:rPr>
          <w:lang w:val="es-ES_tradnl"/>
        </w:rPr>
        <w:t xml:space="preserve">ha observado que, a pesar de ello, los historiales médicos de algunos </w:t>
      </w:r>
      <w:r w:rsidR="00CF36F1">
        <w:rPr>
          <w:lang w:val="es-ES_tradnl"/>
        </w:rPr>
        <w:t xml:space="preserve">reclusos </w:t>
      </w:r>
      <w:r w:rsidRPr="00783CB4">
        <w:rPr>
          <w:lang w:val="es-ES_tradnl"/>
        </w:rPr>
        <w:t xml:space="preserve">parecen repetitivos o escuetos, lo que </w:t>
      </w:r>
      <w:r w:rsidR="00CF36F1">
        <w:rPr>
          <w:lang w:val="es-ES_tradnl"/>
        </w:rPr>
        <w:t>parece indicar q</w:t>
      </w:r>
      <w:r w:rsidRPr="00783CB4">
        <w:rPr>
          <w:lang w:val="es-ES_tradnl"/>
        </w:rPr>
        <w:t xml:space="preserve">ue dichos reconocimientos son superficiales. En varios de los centros de prisión preventiva, en particular, simplemente se pregunta a los presos si tienen algún problema de salud, en lugar de hacerlos examinar por un profesional sanitario. Cuando se registran lesiones, </w:t>
      </w:r>
      <w:r w:rsidR="005E2ECF">
        <w:rPr>
          <w:lang w:val="es-ES_tradnl"/>
        </w:rPr>
        <w:t xml:space="preserve">no se </w:t>
      </w:r>
      <w:r w:rsidRPr="00783CB4">
        <w:rPr>
          <w:lang w:val="es-ES_tradnl"/>
        </w:rPr>
        <w:t xml:space="preserve">indica cómo se </w:t>
      </w:r>
      <w:r w:rsidR="005E2ECF">
        <w:rPr>
          <w:lang w:val="es-ES_tradnl"/>
        </w:rPr>
        <w:t>produjeron</w:t>
      </w:r>
      <w:r w:rsidRPr="00783CB4">
        <w:rPr>
          <w:lang w:val="es-ES_tradnl"/>
        </w:rPr>
        <w:t xml:space="preserve">. Además, los reconocimientos médicos a menudo se realizan en presencia de otros funcionarios, como los </w:t>
      </w:r>
      <w:r w:rsidR="005E2ECF">
        <w:rPr>
          <w:lang w:val="es-ES_tradnl"/>
        </w:rPr>
        <w:t xml:space="preserve">agentes que escoltan a los presos </w:t>
      </w:r>
      <w:r w:rsidRPr="00783CB4">
        <w:rPr>
          <w:lang w:val="es-ES_tradnl"/>
        </w:rPr>
        <w:t xml:space="preserve">o los guardias de servicio, lo que atenta contra la confidencialidad y puede </w:t>
      </w:r>
      <w:r w:rsidR="005E2ECF">
        <w:rPr>
          <w:lang w:val="es-ES_tradnl"/>
        </w:rPr>
        <w:t xml:space="preserve">dificultar que las personas recluidas hablen de </w:t>
      </w:r>
      <w:r w:rsidRPr="00783CB4">
        <w:rPr>
          <w:lang w:val="es-ES_tradnl"/>
        </w:rPr>
        <w:t xml:space="preserve">las lesiones resultantes de actos de tortura y malos tratos. El Subcomité también ha observado que se han practicado reconocimientos médicos a través de los barrotes de la celda o dentro de “jaulas” </w:t>
      </w:r>
      <w:r w:rsidR="005E2ECF">
        <w:rPr>
          <w:lang w:val="es-ES_tradnl"/>
        </w:rPr>
        <w:t xml:space="preserve">metálicas </w:t>
      </w:r>
      <w:r w:rsidRPr="00783CB4">
        <w:rPr>
          <w:lang w:val="es-ES_tradnl"/>
        </w:rPr>
        <w:t>en las celdas.</w:t>
      </w:r>
    </w:p>
    <w:p w:rsidR="00783CB4" w:rsidRPr="00783CB4" w:rsidRDefault="00783CB4" w:rsidP="00783CB4">
      <w:pPr>
        <w:pStyle w:val="SingleTxtG"/>
        <w:rPr>
          <w:lang w:val="es-ES_tradnl"/>
        </w:rPr>
      </w:pPr>
      <w:r w:rsidRPr="00783CB4">
        <w:rPr>
          <w:lang w:val="es-ES_tradnl"/>
        </w:rPr>
        <w:t>54.</w:t>
      </w:r>
      <w:r w:rsidRPr="00783CB4">
        <w:rPr>
          <w:lang w:val="es-ES_tradnl"/>
        </w:rPr>
        <w:tab/>
        <w:t xml:space="preserve">Preocupa al Subcomité que, como en el caso de otras salvaguardias fundamentales, los reconocimientos médicos no parecen estar garantizados para las personas que, a pesar de estar privadas de libertad, no están retenidas en lugares reconocidos por el Estado parte como lugares de </w:t>
      </w:r>
      <w:r w:rsidR="005E2ECF">
        <w:rPr>
          <w:lang w:val="es-ES_tradnl"/>
        </w:rPr>
        <w:t>reclusión</w:t>
      </w:r>
      <w:r w:rsidRPr="00783CB4">
        <w:rPr>
          <w:lang w:val="es-ES_tradnl"/>
        </w:rPr>
        <w:t xml:space="preserve"> oficiales.</w:t>
      </w:r>
    </w:p>
    <w:p w:rsidR="00783CB4" w:rsidRPr="00783CB4" w:rsidRDefault="00783CB4" w:rsidP="00783CB4">
      <w:pPr>
        <w:pStyle w:val="SingleTxtG"/>
        <w:rPr>
          <w:lang w:val="es-ES_tradnl"/>
        </w:rPr>
      </w:pPr>
      <w:r w:rsidRPr="00783CB4">
        <w:rPr>
          <w:lang w:val="es-ES_tradnl"/>
        </w:rPr>
        <w:t>55.</w:t>
      </w:r>
      <w:r w:rsidRPr="00783CB4">
        <w:rPr>
          <w:lang w:val="es-ES_tradnl"/>
        </w:rPr>
        <w:tab/>
        <w:t xml:space="preserve">El Subcomité también ha observado que el personal médico en general no está familiarizado con el Manual para la investigación y documentación eficaces de la tortura y otros tratos o penas crueles, inhumanos o degradantes (Protocolo de Estambul). Si bien considera alentador que los profesionales sanitarios de los centros de prisión preventiva, los centros de detención temporal y las penitenciarías consideran que están debidamente respaldados y pueden desempeñar su labor de manera autónoma, </w:t>
      </w:r>
      <w:r w:rsidR="00FB18F2">
        <w:rPr>
          <w:lang w:val="es-ES_tradnl"/>
        </w:rPr>
        <w:t>encuentra</w:t>
      </w:r>
      <w:r w:rsidRPr="00783CB4">
        <w:rPr>
          <w:lang w:val="es-ES_tradnl"/>
        </w:rPr>
        <w:t xml:space="preserve"> preocupa</w:t>
      </w:r>
      <w:r w:rsidR="00FB18F2">
        <w:rPr>
          <w:lang w:val="es-ES_tradnl"/>
        </w:rPr>
        <w:t>nte</w:t>
      </w:r>
      <w:r w:rsidRPr="00783CB4">
        <w:rPr>
          <w:lang w:val="es-ES_tradnl"/>
        </w:rPr>
        <w:t xml:space="preserve"> que los profesionales médicos </w:t>
      </w:r>
      <w:r w:rsidR="00FB18F2">
        <w:rPr>
          <w:lang w:val="es-ES_tradnl"/>
        </w:rPr>
        <w:t>de</w:t>
      </w:r>
      <w:r w:rsidRPr="00783CB4">
        <w:rPr>
          <w:lang w:val="es-ES_tradnl"/>
        </w:rPr>
        <w:t xml:space="preserve"> los lugares de </w:t>
      </w:r>
      <w:r w:rsidR="00FB18F2">
        <w:rPr>
          <w:lang w:val="es-ES_tradnl"/>
        </w:rPr>
        <w:t>reclusión</w:t>
      </w:r>
      <w:r w:rsidRPr="00783CB4">
        <w:rPr>
          <w:lang w:val="es-ES_tradnl"/>
        </w:rPr>
        <w:t xml:space="preserve"> no consideren que sea su deber preguntarse si las lesiones observadas pueden ser resultado de actos de tortura y malos tratos. El Subcomité </w:t>
      </w:r>
      <w:r w:rsidR="00FB18F2">
        <w:rPr>
          <w:lang w:val="es-ES_tradnl"/>
        </w:rPr>
        <w:t>observa asimismo</w:t>
      </w:r>
      <w:r w:rsidRPr="00783CB4">
        <w:rPr>
          <w:lang w:val="es-ES_tradnl"/>
        </w:rPr>
        <w:t xml:space="preserve"> que los profesionales médicos de las instituciones de justicia penal consideran que el director del establecimiento es su supervisor inmediato. Esta cadena de supervisión puede dar lugar a conflictos de intereses que podrían disuadir a los profesionales sanitarios de denunciar lesiones que prueben la existencia de torturas o malos tratos.</w:t>
      </w:r>
    </w:p>
    <w:p w:rsidR="00783CB4" w:rsidRPr="00783CB4" w:rsidRDefault="00783CB4" w:rsidP="00783CB4">
      <w:pPr>
        <w:pStyle w:val="SingleTxtG"/>
        <w:rPr>
          <w:lang w:val="es-ES_tradnl"/>
        </w:rPr>
      </w:pPr>
      <w:r w:rsidRPr="00783CB4">
        <w:rPr>
          <w:lang w:val="es-ES_tradnl"/>
        </w:rPr>
        <w:lastRenderedPageBreak/>
        <w:t>56.</w:t>
      </w:r>
      <w:r w:rsidRPr="00783CB4">
        <w:rPr>
          <w:lang w:val="es-ES_tradnl"/>
        </w:rPr>
        <w:tab/>
        <w:t xml:space="preserve">Además, el Subcomité observa que el acceso a la atención médica es irregular, </w:t>
      </w:r>
      <w:r w:rsidR="00FB18F2">
        <w:rPr>
          <w:lang w:val="es-ES_tradnl"/>
        </w:rPr>
        <w:t xml:space="preserve">y que al parecer, en muchos casos la asistencia médica se deniega o se presta con </w:t>
      </w:r>
      <w:r w:rsidR="00E50E50">
        <w:rPr>
          <w:lang w:val="es-ES_tradnl"/>
        </w:rPr>
        <w:t xml:space="preserve">retraso. </w:t>
      </w:r>
      <w:r w:rsidRPr="00783CB4">
        <w:rPr>
          <w:lang w:val="es-ES_tradnl"/>
        </w:rPr>
        <w:t xml:space="preserve">A pesar de la disponibilidad general de personal médico en los lugares de </w:t>
      </w:r>
      <w:r w:rsidR="00E50E50">
        <w:rPr>
          <w:lang w:val="es-ES_tradnl"/>
        </w:rPr>
        <w:t>reclusión</w:t>
      </w:r>
      <w:r w:rsidRPr="00783CB4">
        <w:rPr>
          <w:lang w:val="es-ES_tradnl"/>
        </w:rPr>
        <w:t xml:space="preserve">, las diferentes instituciones están desigualmente equipadas y a menudo los presos han de pedir a sus familiares o a donantes que les lleven los medicamentos y productos de higiene personal que necesitan. Raras veces se realizan visitas a especialistas e instituciones del exterior. Además, durante su visita, el Subcomité encontró en numerosas ocasiones a profesionales médicos insensibles a las necesidades médicas de los presos, entre ellos funcionarios que dudaban en </w:t>
      </w:r>
      <w:r w:rsidR="00E00A5B">
        <w:rPr>
          <w:lang w:val="es-ES_tradnl"/>
        </w:rPr>
        <w:t>actuar ante indicaciones</w:t>
      </w:r>
      <w:r w:rsidRPr="00783CB4">
        <w:rPr>
          <w:lang w:val="es-ES_tradnl"/>
        </w:rPr>
        <w:t xml:space="preserve"> de empeoramiento de síntomas físicos y psiquiátricos, que interpretaban meramente como mala conducta.</w:t>
      </w:r>
    </w:p>
    <w:p w:rsidR="00783CB4" w:rsidRPr="00783CB4" w:rsidRDefault="00783CB4" w:rsidP="00783CB4">
      <w:pPr>
        <w:pStyle w:val="SingleTxtG"/>
        <w:rPr>
          <w:b/>
          <w:bCs/>
          <w:lang w:val="es-ES_tradnl"/>
        </w:rPr>
      </w:pPr>
      <w:r w:rsidRPr="00783CB4">
        <w:rPr>
          <w:lang w:val="es-ES_tradnl"/>
        </w:rPr>
        <w:t>57.</w:t>
      </w:r>
      <w:r w:rsidRPr="00783CB4">
        <w:rPr>
          <w:lang w:val="es-ES_tradnl"/>
        </w:rPr>
        <w:tab/>
      </w:r>
      <w:r w:rsidRPr="00783CB4">
        <w:rPr>
          <w:b/>
          <w:lang w:val="es-ES_tradnl"/>
        </w:rPr>
        <w:t>El Comité reitera las recomendaciones que formuló en 2011 (véase CAT/OP/UKR/1, párrs. 76 y 80) y alienta al Estado parte a que garantice que se realicen</w:t>
      </w:r>
      <w:r w:rsidR="00EE3B1B">
        <w:rPr>
          <w:b/>
          <w:lang w:val="es-ES_tradnl"/>
        </w:rPr>
        <w:t xml:space="preserve"> sistemáticamente</w:t>
      </w:r>
      <w:r w:rsidRPr="00783CB4">
        <w:rPr>
          <w:b/>
          <w:lang w:val="es-ES_tradnl"/>
        </w:rPr>
        <w:t xml:space="preserve"> reconocimientos médicos exhaustivos a todas las personas en cuanto sean privadas de libertad. Se recomienda que en ese reconocimiento se registre lo siguiente:</w:t>
      </w:r>
    </w:p>
    <w:p w:rsidR="00783CB4" w:rsidRPr="00783CB4" w:rsidRDefault="00783CB4" w:rsidP="00783CB4">
      <w:pPr>
        <w:pStyle w:val="SingleTxtG"/>
        <w:rPr>
          <w:b/>
          <w:lang w:val="es-ES_tradnl"/>
        </w:rPr>
      </w:pPr>
      <w:r w:rsidRPr="00783CB4">
        <w:rPr>
          <w:b/>
          <w:lang w:val="es-ES_tradnl"/>
        </w:rPr>
        <w:tab/>
        <w:t>a)</w:t>
      </w:r>
      <w:r w:rsidRPr="00783CB4">
        <w:rPr>
          <w:b/>
          <w:lang w:val="es-ES_tradnl"/>
        </w:rPr>
        <w:tab/>
        <w:t xml:space="preserve">Un historial médico del detenido, incluida </w:t>
      </w:r>
      <w:r w:rsidR="00EE3B1B">
        <w:rPr>
          <w:b/>
          <w:lang w:val="es-ES_tradnl"/>
        </w:rPr>
        <w:t>toda</w:t>
      </w:r>
      <w:r w:rsidRPr="00783CB4">
        <w:rPr>
          <w:b/>
          <w:lang w:val="es-ES_tradnl"/>
        </w:rPr>
        <w:t xml:space="preserve"> </w:t>
      </w:r>
      <w:r w:rsidR="00EE3B1B">
        <w:rPr>
          <w:b/>
          <w:lang w:val="es-ES_tradnl"/>
        </w:rPr>
        <w:t>alegación</w:t>
      </w:r>
      <w:r w:rsidRPr="00783CB4">
        <w:rPr>
          <w:b/>
          <w:lang w:val="es-ES_tradnl"/>
        </w:rPr>
        <w:t xml:space="preserve"> de haber sufrido recientemente </w:t>
      </w:r>
      <w:r w:rsidR="00EE3B1B">
        <w:rPr>
          <w:b/>
          <w:lang w:val="es-ES_tradnl"/>
        </w:rPr>
        <w:t xml:space="preserve">actos de </w:t>
      </w:r>
      <w:r w:rsidRPr="00783CB4">
        <w:rPr>
          <w:b/>
          <w:lang w:val="es-ES_tradnl"/>
        </w:rPr>
        <w:t>violencia, tortura o malos tratos;</w:t>
      </w:r>
    </w:p>
    <w:p w:rsidR="00783CB4" w:rsidRPr="00783CB4" w:rsidRDefault="00783CB4" w:rsidP="00783CB4">
      <w:pPr>
        <w:pStyle w:val="SingleTxtG"/>
        <w:rPr>
          <w:b/>
          <w:lang w:val="es-ES_tradnl"/>
        </w:rPr>
      </w:pPr>
      <w:r w:rsidRPr="00783CB4">
        <w:rPr>
          <w:b/>
          <w:lang w:val="es-ES_tradnl"/>
        </w:rPr>
        <w:tab/>
        <w:t>b)</w:t>
      </w:r>
      <w:r w:rsidRPr="00783CB4">
        <w:rPr>
          <w:b/>
          <w:lang w:val="es-ES_tradnl"/>
        </w:rPr>
        <w:tab/>
        <w:t>La existencia de cualquier malestar o síntoma;</w:t>
      </w:r>
    </w:p>
    <w:p w:rsidR="00783CB4" w:rsidRPr="00783CB4" w:rsidRDefault="00783CB4" w:rsidP="00783CB4">
      <w:pPr>
        <w:pStyle w:val="SingleTxtG"/>
        <w:rPr>
          <w:b/>
          <w:lang w:val="es-ES_tradnl"/>
        </w:rPr>
      </w:pPr>
      <w:r w:rsidRPr="00783CB4">
        <w:rPr>
          <w:b/>
          <w:lang w:val="es-ES_tradnl"/>
        </w:rPr>
        <w:tab/>
        <w:t>c)</w:t>
      </w:r>
      <w:r w:rsidRPr="00783CB4">
        <w:rPr>
          <w:b/>
          <w:lang w:val="es-ES_tradnl"/>
        </w:rPr>
        <w:tab/>
        <w:t>El resultado del examen clínico, incluida una descripción de las lesiones observadas y una explicación de la manera en que se produjeron esas lesiones;</w:t>
      </w:r>
    </w:p>
    <w:p w:rsidR="00783CB4" w:rsidRPr="00783CB4" w:rsidRDefault="00783CB4" w:rsidP="00783CB4">
      <w:pPr>
        <w:pStyle w:val="SingleTxtG"/>
        <w:rPr>
          <w:b/>
          <w:lang w:val="es-ES_tradnl"/>
        </w:rPr>
      </w:pPr>
      <w:r w:rsidRPr="00783CB4">
        <w:rPr>
          <w:b/>
          <w:lang w:val="es-ES_tradnl"/>
        </w:rPr>
        <w:tab/>
        <w:t>d)</w:t>
      </w:r>
      <w:r w:rsidRPr="00783CB4">
        <w:rPr>
          <w:b/>
          <w:lang w:val="es-ES_tradnl"/>
        </w:rPr>
        <w:tab/>
        <w:t>Una indicación de</w:t>
      </w:r>
      <w:r w:rsidR="00EE3B1B">
        <w:rPr>
          <w:b/>
          <w:lang w:val="es-ES_tradnl"/>
        </w:rPr>
        <w:t xml:space="preserve"> si se examinó todo el cuerpo; </w:t>
      </w:r>
    </w:p>
    <w:p w:rsidR="00783CB4" w:rsidRPr="00783CB4" w:rsidRDefault="00783CB4" w:rsidP="00783CB4">
      <w:pPr>
        <w:pStyle w:val="SingleTxtG"/>
        <w:rPr>
          <w:b/>
          <w:lang w:val="es-ES_tradnl"/>
        </w:rPr>
      </w:pPr>
      <w:r w:rsidRPr="00783CB4">
        <w:rPr>
          <w:b/>
          <w:lang w:val="es-ES_tradnl"/>
        </w:rPr>
        <w:tab/>
        <w:t>e)</w:t>
      </w:r>
      <w:r w:rsidRPr="00783CB4">
        <w:rPr>
          <w:b/>
          <w:lang w:val="es-ES_tradnl"/>
        </w:rPr>
        <w:tab/>
        <w:t>La conclusión del profesional de la salud en cuanto a la coherencia de todos los elementos registrados.</w:t>
      </w:r>
    </w:p>
    <w:p w:rsidR="00783CB4" w:rsidRPr="00783CB4" w:rsidRDefault="00783CB4" w:rsidP="00783CB4">
      <w:pPr>
        <w:pStyle w:val="SingleTxtG"/>
        <w:rPr>
          <w:b/>
          <w:lang w:val="es-ES_tradnl"/>
        </w:rPr>
      </w:pPr>
      <w:r w:rsidRPr="00783CB4">
        <w:rPr>
          <w:lang w:val="es-ES_tradnl"/>
        </w:rPr>
        <w:t>58.</w:t>
      </w:r>
      <w:r w:rsidRPr="00783CB4">
        <w:rPr>
          <w:lang w:val="es-ES_tradnl"/>
        </w:rPr>
        <w:tab/>
      </w:r>
      <w:r w:rsidRPr="00783CB4">
        <w:rPr>
          <w:b/>
          <w:lang w:val="es-ES_tradnl"/>
        </w:rPr>
        <w:t xml:space="preserve">El Subcomité recomienda que </w:t>
      </w:r>
      <w:r w:rsidR="00EE3B1B">
        <w:rPr>
          <w:b/>
          <w:lang w:val="es-ES_tradnl"/>
        </w:rPr>
        <w:t xml:space="preserve">en </w:t>
      </w:r>
      <w:r w:rsidRPr="00783CB4">
        <w:rPr>
          <w:b/>
          <w:lang w:val="es-ES_tradnl"/>
        </w:rPr>
        <w:t xml:space="preserve">todos los reconocimientos médicos </w:t>
      </w:r>
      <w:r w:rsidR="00EE3B1B">
        <w:rPr>
          <w:b/>
          <w:lang w:val="es-ES_tradnl"/>
        </w:rPr>
        <w:t>se respete</w:t>
      </w:r>
      <w:r w:rsidRPr="00783CB4">
        <w:rPr>
          <w:b/>
          <w:lang w:val="es-ES_tradnl"/>
        </w:rPr>
        <w:t xml:space="preserve"> el principio de la confidencialidad médica permitiendo únicamente la presencia de personal médico. Además, recomienda al Estado parte que </w:t>
      </w:r>
      <w:r w:rsidR="00EE3B1B">
        <w:rPr>
          <w:b/>
          <w:lang w:val="es-ES_tradnl"/>
        </w:rPr>
        <w:t xml:space="preserve">deje de practicar </w:t>
      </w:r>
      <w:r w:rsidRPr="00783CB4">
        <w:rPr>
          <w:b/>
          <w:lang w:val="es-ES_tradnl"/>
        </w:rPr>
        <w:t xml:space="preserve">reconocimientos médicos a través de los barrotes, ya que esos reconocimientos son de por sí </w:t>
      </w:r>
      <w:r w:rsidR="00EE3B1B">
        <w:rPr>
          <w:b/>
          <w:lang w:val="es-ES_tradnl"/>
        </w:rPr>
        <w:t>denigrantes</w:t>
      </w:r>
      <w:r w:rsidRPr="00783CB4">
        <w:rPr>
          <w:b/>
          <w:lang w:val="es-ES_tradnl"/>
        </w:rPr>
        <w:t xml:space="preserve"> y carecen de la minuciosidad prevista en el Protocolo de Estambul.</w:t>
      </w:r>
    </w:p>
    <w:p w:rsidR="00783CB4" w:rsidRPr="00783CB4" w:rsidRDefault="00783CB4" w:rsidP="00783CB4">
      <w:pPr>
        <w:pStyle w:val="SingleTxtG"/>
        <w:rPr>
          <w:b/>
          <w:lang w:val="es-ES_tradnl"/>
        </w:rPr>
      </w:pPr>
      <w:r w:rsidRPr="00783CB4">
        <w:rPr>
          <w:lang w:val="es-ES_tradnl"/>
        </w:rPr>
        <w:t>59.</w:t>
      </w:r>
      <w:r w:rsidRPr="00783CB4">
        <w:rPr>
          <w:lang w:val="es-ES_tradnl"/>
        </w:rPr>
        <w:tab/>
      </w:r>
      <w:r w:rsidRPr="00783CB4">
        <w:rPr>
          <w:b/>
          <w:lang w:val="es-ES_tradnl"/>
        </w:rPr>
        <w:t xml:space="preserve">El Subcomité recomienda que el Estado parte se asegure de que todas las personas privadas de libertad sean sometidas a un reconocimiento médico exhaustivo, con independencia de que se encuentren o no en un lugar oficialmente registrado como lugar de </w:t>
      </w:r>
      <w:r w:rsidR="00AA36D5">
        <w:rPr>
          <w:b/>
          <w:lang w:val="es-ES_tradnl"/>
        </w:rPr>
        <w:t>reclusión</w:t>
      </w:r>
      <w:r w:rsidRPr="00783CB4">
        <w:rPr>
          <w:b/>
          <w:lang w:val="es-ES_tradnl"/>
        </w:rPr>
        <w:t xml:space="preserve"> en el Estado parte.</w:t>
      </w:r>
    </w:p>
    <w:p w:rsidR="00783CB4" w:rsidRPr="00783CB4" w:rsidRDefault="00783CB4" w:rsidP="00783CB4">
      <w:pPr>
        <w:pStyle w:val="SingleTxtG"/>
        <w:rPr>
          <w:b/>
          <w:lang w:val="es-ES_tradnl"/>
        </w:rPr>
      </w:pPr>
      <w:r w:rsidRPr="00783CB4">
        <w:rPr>
          <w:lang w:val="es-ES_tradnl"/>
        </w:rPr>
        <w:t>60.</w:t>
      </w:r>
      <w:r w:rsidRPr="00783CB4">
        <w:rPr>
          <w:lang w:val="es-ES_tradnl"/>
        </w:rPr>
        <w:tab/>
      </w:r>
      <w:r w:rsidRPr="00783CB4">
        <w:rPr>
          <w:b/>
          <w:lang w:val="es-ES_tradnl"/>
        </w:rPr>
        <w:t xml:space="preserve">El Subcomité recomienda igualmente al Estado parte que mejore la capacitación del personal médico que trabaja en los lugares de </w:t>
      </w:r>
      <w:r w:rsidR="00AA36D5">
        <w:rPr>
          <w:b/>
          <w:lang w:val="es-ES_tradnl"/>
        </w:rPr>
        <w:t>reclusión</w:t>
      </w:r>
      <w:r w:rsidRPr="00783CB4">
        <w:rPr>
          <w:b/>
          <w:lang w:val="es-ES_tradnl"/>
        </w:rPr>
        <w:t xml:space="preserve">, </w:t>
      </w:r>
      <w:r w:rsidR="00AA36D5">
        <w:rPr>
          <w:b/>
          <w:lang w:val="es-ES_tradnl"/>
        </w:rPr>
        <w:t xml:space="preserve">sobre todo </w:t>
      </w:r>
      <w:r w:rsidRPr="00783CB4">
        <w:rPr>
          <w:b/>
          <w:lang w:val="es-ES_tradnl"/>
        </w:rPr>
        <w:t xml:space="preserve">en relación con el Protocolo de Estambul y otras normas internacionales, así como </w:t>
      </w:r>
      <w:r w:rsidR="00AA36D5">
        <w:rPr>
          <w:b/>
          <w:lang w:val="es-ES_tradnl"/>
        </w:rPr>
        <w:t>con su</w:t>
      </w:r>
      <w:r w:rsidRPr="00783CB4">
        <w:rPr>
          <w:b/>
          <w:lang w:val="es-ES_tradnl"/>
        </w:rPr>
        <w:t xml:space="preserve"> deber de detectar y denunciar la tortura y los malos tratos. Si el profesional de la salud tiene motivos para sospechar que pudieran haberse producido torturas o malos tratos, el Subcomité recomienda que esto se haga constar en un registro nacional de denuncias de torturas y malos tratos, haciendo referencia expresa a la persona examinada si esta da su consentimiento o, </w:t>
      </w:r>
      <w:r w:rsidR="00AA36D5">
        <w:rPr>
          <w:b/>
          <w:lang w:val="es-ES_tradnl"/>
        </w:rPr>
        <w:t>en ausencia de este</w:t>
      </w:r>
      <w:r w:rsidRPr="00783CB4">
        <w:rPr>
          <w:b/>
          <w:lang w:val="es-ES_tradnl"/>
        </w:rPr>
        <w:t xml:space="preserve">, consignando la denuncia como un caso anónimo. Además, el Subcomité recomienda que </w:t>
      </w:r>
      <w:r w:rsidR="00AA36D5">
        <w:rPr>
          <w:b/>
          <w:lang w:val="es-ES_tradnl"/>
        </w:rPr>
        <w:t xml:space="preserve">el personal </w:t>
      </w:r>
      <w:r w:rsidRPr="00783CB4">
        <w:rPr>
          <w:b/>
          <w:lang w:val="es-ES_tradnl"/>
        </w:rPr>
        <w:t>de la salud, con el consentimiento del detenido, denuncie de inmediato las sospechas de tortura y malos tratos a las autoridades competentes para que pueda realizarse un reconocimiento independiente de conformidad con el Protocolo de Estambul. El informe médico confidencial deberá ponerse a disposición de la persona privada de libertad y de su abogado.</w:t>
      </w:r>
    </w:p>
    <w:p w:rsidR="00783CB4" w:rsidRPr="00783CB4" w:rsidRDefault="00783CB4" w:rsidP="00783CB4">
      <w:pPr>
        <w:pStyle w:val="SingleTxtG"/>
        <w:rPr>
          <w:b/>
          <w:lang w:val="es-ES_tradnl"/>
        </w:rPr>
      </w:pPr>
      <w:r w:rsidRPr="00783CB4">
        <w:rPr>
          <w:lang w:val="es-ES_tradnl"/>
        </w:rPr>
        <w:t>61.</w:t>
      </w:r>
      <w:r w:rsidRPr="00783CB4">
        <w:rPr>
          <w:lang w:val="es-ES_tradnl"/>
        </w:rPr>
        <w:tab/>
      </w:r>
      <w:r w:rsidRPr="00783CB4">
        <w:rPr>
          <w:b/>
          <w:lang w:val="es-ES_tradnl"/>
        </w:rPr>
        <w:t xml:space="preserve">Por último, el Subcomité recomienda que la atención y asistencia médicas estén garantizadas y </w:t>
      </w:r>
      <w:r w:rsidR="00AA36D5">
        <w:rPr>
          <w:b/>
          <w:lang w:val="es-ES_tradnl"/>
        </w:rPr>
        <w:t>sean</w:t>
      </w:r>
      <w:r w:rsidRPr="00783CB4">
        <w:rPr>
          <w:b/>
          <w:lang w:val="es-ES_tradnl"/>
        </w:rPr>
        <w:t xml:space="preserve"> accesibles a todas las personas privadas de libertad </w:t>
      </w:r>
      <w:r w:rsidR="00AA36D5">
        <w:rPr>
          <w:b/>
          <w:lang w:val="es-ES_tradnl"/>
        </w:rPr>
        <w:t xml:space="preserve">que las </w:t>
      </w:r>
      <w:r w:rsidRPr="00783CB4">
        <w:rPr>
          <w:b/>
          <w:lang w:val="es-ES_tradnl"/>
        </w:rPr>
        <w:t>soliciten.</w:t>
      </w:r>
    </w:p>
    <w:p w:rsidR="00783CB4" w:rsidRPr="00783CB4" w:rsidRDefault="00AA36D5" w:rsidP="00AA36D5">
      <w:pPr>
        <w:pStyle w:val="H23G"/>
        <w:rPr>
          <w:lang w:val="es-ES_tradnl"/>
        </w:rPr>
      </w:pPr>
      <w:r>
        <w:rPr>
          <w:lang w:val="es-ES_tradnl"/>
        </w:rPr>
        <w:tab/>
      </w:r>
      <w:r w:rsidR="00783CB4" w:rsidRPr="00783CB4">
        <w:rPr>
          <w:lang w:val="es-ES_tradnl"/>
        </w:rPr>
        <w:tab/>
        <w:t>Registros</w:t>
      </w:r>
    </w:p>
    <w:p w:rsidR="00783CB4" w:rsidRPr="00783CB4" w:rsidRDefault="00783CB4" w:rsidP="00783CB4">
      <w:pPr>
        <w:pStyle w:val="SingleTxtG"/>
        <w:rPr>
          <w:lang w:val="es-ES_tradnl"/>
        </w:rPr>
      </w:pPr>
      <w:r w:rsidRPr="00783CB4">
        <w:rPr>
          <w:lang w:val="es-ES_tradnl"/>
        </w:rPr>
        <w:t>62.</w:t>
      </w:r>
      <w:r w:rsidRPr="00783CB4">
        <w:rPr>
          <w:lang w:val="es-ES_tradnl"/>
        </w:rPr>
        <w:tab/>
        <w:t>El Subcomité observa que el actual sistema d</w:t>
      </w:r>
      <w:r w:rsidR="00AA36D5">
        <w:rPr>
          <w:lang w:val="es-ES_tradnl"/>
        </w:rPr>
        <w:t>e registro de la situación de la</w:t>
      </w:r>
      <w:r w:rsidRPr="00783CB4">
        <w:rPr>
          <w:lang w:val="es-ES_tradnl"/>
        </w:rPr>
        <w:t xml:space="preserve">s </w:t>
      </w:r>
      <w:r w:rsidR="00AA36D5">
        <w:rPr>
          <w:lang w:val="es-ES_tradnl"/>
        </w:rPr>
        <w:t xml:space="preserve">personas privadas de libertad </w:t>
      </w:r>
      <w:r w:rsidRPr="00783CB4">
        <w:rPr>
          <w:lang w:val="es-ES_tradnl"/>
        </w:rPr>
        <w:t xml:space="preserve">necesita mejoras. En particular, durante su visita, constató que los registros de los centros de prisión preventiva constaban de </w:t>
      </w:r>
      <w:r w:rsidR="00AA36D5">
        <w:rPr>
          <w:lang w:val="es-ES_tradnl"/>
        </w:rPr>
        <w:t xml:space="preserve">expedientes compuestos por </w:t>
      </w:r>
      <w:r w:rsidR="00AA36D5">
        <w:rPr>
          <w:lang w:val="es-ES_tradnl"/>
        </w:rPr>
        <w:lastRenderedPageBreak/>
        <w:t>hojas individuales procedentes de distintas instituciones</w:t>
      </w:r>
      <w:r w:rsidRPr="00783CB4">
        <w:rPr>
          <w:lang w:val="es-ES_tradnl"/>
        </w:rPr>
        <w:t>. Ese sistema de mantenimiento de registros se complicab</w:t>
      </w:r>
      <w:r w:rsidR="00AA36D5">
        <w:rPr>
          <w:lang w:val="es-ES_tradnl"/>
        </w:rPr>
        <w:t xml:space="preserve">a además por el traslado </w:t>
      </w:r>
      <w:r w:rsidRPr="00783CB4">
        <w:rPr>
          <w:lang w:val="es-ES_tradnl"/>
        </w:rPr>
        <w:t>de presos</w:t>
      </w:r>
      <w:r w:rsidR="00AA36D5">
        <w:rPr>
          <w:lang w:val="es-ES_tradnl"/>
        </w:rPr>
        <w:t>, junto con sus expedientes,</w:t>
      </w:r>
      <w:r w:rsidRPr="00783CB4">
        <w:rPr>
          <w:lang w:val="es-ES_tradnl"/>
        </w:rPr>
        <w:t xml:space="preserve"> de los centros de prisión preventiva a los centros de detención temporal, en ocasiones situados en otras partes del país, con fines de investigación y para </w:t>
      </w:r>
      <w:r w:rsidR="00AA36D5">
        <w:rPr>
          <w:lang w:val="es-ES_tradnl"/>
        </w:rPr>
        <w:t>que comparecieran en audiencias judiciales</w:t>
      </w:r>
      <w:r w:rsidR="00A92AE2">
        <w:rPr>
          <w:lang w:val="es-ES_tradnl"/>
        </w:rPr>
        <w:t>.</w:t>
      </w:r>
      <w:r w:rsidRPr="00783CB4">
        <w:rPr>
          <w:lang w:val="es-ES_tradnl"/>
        </w:rPr>
        <w:t xml:space="preserve"> Los traslados se registraban de manera irregular, lo que hacía difícil </w:t>
      </w:r>
      <w:r w:rsidR="00AA36D5">
        <w:rPr>
          <w:lang w:val="es-ES_tradnl"/>
        </w:rPr>
        <w:t>conocer</w:t>
      </w:r>
      <w:r w:rsidRPr="00783CB4">
        <w:rPr>
          <w:lang w:val="es-ES_tradnl"/>
        </w:rPr>
        <w:t xml:space="preserve"> la ubicación de una persona que </w:t>
      </w:r>
      <w:r w:rsidR="00AA36D5">
        <w:rPr>
          <w:lang w:val="es-ES_tradnl"/>
        </w:rPr>
        <w:t xml:space="preserve">estuviera siendo </w:t>
      </w:r>
      <w:r w:rsidRPr="00783CB4">
        <w:rPr>
          <w:lang w:val="es-ES_tradnl"/>
        </w:rPr>
        <w:t>investiga</w:t>
      </w:r>
      <w:r w:rsidR="00AA36D5">
        <w:rPr>
          <w:lang w:val="es-ES_tradnl"/>
        </w:rPr>
        <w:t>da</w:t>
      </w:r>
      <w:r w:rsidRPr="00783CB4">
        <w:rPr>
          <w:lang w:val="es-ES_tradnl"/>
        </w:rPr>
        <w:t xml:space="preserve">. Además, en algunos casos no quedaba en la institución remitente ningún registro de la presencia o la ausencia de </w:t>
      </w:r>
      <w:r w:rsidR="00AA36D5">
        <w:rPr>
          <w:lang w:val="es-ES_tradnl"/>
        </w:rPr>
        <w:t>la</w:t>
      </w:r>
      <w:r w:rsidRPr="00783CB4">
        <w:rPr>
          <w:lang w:val="es-ES_tradnl"/>
        </w:rPr>
        <w:t xml:space="preserve"> persona</w:t>
      </w:r>
      <w:r w:rsidR="00AA36D5">
        <w:rPr>
          <w:lang w:val="es-ES_tradnl"/>
        </w:rPr>
        <w:t xml:space="preserve"> transferida</w:t>
      </w:r>
      <w:r w:rsidRPr="00783CB4">
        <w:rPr>
          <w:lang w:val="es-ES_tradnl"/>
        </w:rPr>
        <w:t>. Se trata de un sistema en el que es más fácil perder la pista a una persona que localizarla. Es ineficiente, incoherente y, desde el punto de vista de la prevención, totalmente inapropiado, pues no permite que otros mecanismos externos realicen fácilmente y de forma indepe</w:t>
      </w:r>
      <w:r w:rsidR="00AA36D5">
        <w:rPr>
          <w:lang w:val="es-ES_tradnl"/>
        </w:rPr>
        <w:t>ndiente su labor de supervisión del traslado de personas.</w:t>
      </w:r>
    </w:p>
    <w:p w:rsidR="00783CB4" w:rsidRPr="00783CB4" w:rsidRDefault="00783CB4" w:rsidP="00783CB4">
      <w:pPr>
        <w:pStyle w:val="SingleTxtG"/>
        <w:rPr>
          <w:lang w:val="es-ES_tradnl"/>
        </w:rPr>
      </w:pPr>
      <w:r w:rsidRPr="00783CB4">
        <w:rPr>
          <w:lang w:val="es-ES_tradnl"/>
        </w:rPr>
        <w:t>63.</w:t>
      </w:r>
      <w:r w:rsidRPr="00783CB4">
        <w:rPr>
          <w:lang w:val="es-ES_tradnl"/>
        </w:rPr>
        <w:tab/>
        <w:t>El Subcomité también observó que en l</w:t>
      </w:r>
      <w:r w:rsidR="00AA36D5">
        <w:rPr>
          <w:lang w:val="es-ES_tradnl"/>
        </w:rPr>
        <w:t>a</w:t>
      </w:r>
      <w:r w:rsidRPr="00783CB4">
        <w:rPr>
          <w:lang w:val="es-ES_tradnl"/>
        </w:rPr>
        <w:t xml:space="preserve">s </w:t>
      </w:r>
      <w:r w:rsidR="00AA36D5">
        <w:rPr>
          <w:lang w:val="es-ES_tradnl"/>
        </w:rPr>
        <w:t xml:space="preserve">dependencias </w:t>
      </w:r>
      <w:r w:rsidRPr="00783CB4">
        <w:rPr>
          <w:lang w:val="es-ES_tradnl"/>
        </w:rPr>
        <w:t>del Servicio de Seguridad del Estado podía haber personas privadas de su libertad por períodos que iban desde varias horas hast</w:t>
      </w:r>
      <w:r w:rsidR="00AA36D5">
        <w:rPr>
          <w:lang w:val="es-ES_tradnl"/>
        </w:rPr>
        <w:t>a varios días antes de que se la</w:t>
      </w:r>
      <w:r w:rsidRPr="00783CB4">
        <w:rPr>
          <w:lang w:val="es-ES_tradnl"/>
        </w:rPr>
        <w:t xml:space="preserve">s considerara oficialmente </w:t>
      </w:r>
      <w:r w:rsidR="00AA36D5">
        <w:rPr>
          <w:lang w:val="es-ES_tradnl"/>
        </w:rPr>
        <w:t>recluidas</w:t>
      </w:r>
      <w:r w:rsidRPr="00783CB4">
        <w:rPr>
          <w:lang w:val="es-ES_tradnl"/>
        </w:rPr>
        <w:t xml:space="preserve">. A pesar de que esas personas estaban ya bajo el control de </w:t>
      </w:r>
      <w:r w:rsidR="00AA36D5">
        <w:rPr>
          <w:lang w:val="es-ES_tradnl"/>
        </w:rPr>
        <w:t>los departamentos de investigación y siendo efectivamente investigadas</w:t>
      </w:r>
      <w:r w:rsidRPr="00783CB4">
        <w:rPr>
          <w:lang w:val="es-ES_tradnl"/>
        </w:rPr>
        <w:t xml:space="preserve">, no se </w:t>
      </w:r>
      <w:r w:rsidR="00AA36D5">
        <w:rPr>
          <w:lang w:val="es-ES_tradnl"/>
        </w:rPr>
        <w:t xml:space="preserve">mantenía </w:t>
      </w:r>
      <w:r w:rsidRPr="00783CB4">
        <w:rPr>
          <w:lang w:val="es-ES_tradnl"/>
        </w:rPr>
        <w:t xml:space="preserve">un registro sistemático de su </w:t>
      </w:r>
      <w:r w:rsidR="00AA36D5">
        <w:rPr>
          <w:lang w:val="es-ES_tradnl"/>
        </w:rPr>
        <w:t>ubicación</w:t>
      </w:r>
      <w:r w:rsidRPr="00783CB4">
        <w:rPr>
          <w:lang w:val="es-ES_tradnl"/>
        </w:rPr>
        <w:t xml:space="preserve"> y su situación que estuviera disponible para ser examinado.</w:t>
      </w:r>
    </w:p>
    <w:p w:rsidR="00783CB4" w:rsidRPr="00783CB4" w:rsidRDefault="00783CB4" w:rsidP="00783CB4">
      <w:pPr>
        <w:pStyle w:val="SingleTxtG"/>
        <w:rPr>
          <w:b/>
          <w:lang w:val="es-ES_tradnl"/>
        </w:rPr>
      </w:pPr>
      <w:r w:rsidRPr="00783CB4">
        <w:rPr>
          <w:lang w:val="es-ES_tradnl"/>
        </w:rPr>
        <w:t>64.</w:t>
      </w:r>
      <w:r w:rsidRPr="00783CB4">
        <w:rPr>
          <w:lang w:val="es-ES_tradnl"/>
        </w:rPr>
        <w:tab/>
      </w:r>
      <w:r w:rsidRPr="00783CB4">
        <w:rPr>
          <w:b/>
          <w:lang w:val="es-ES_tradnl"/>
        </w:rPr>
        <w:t>El Subcomité recomienda que el Estado parte examine y reforme su sistema de registro a fin de asegurar que, en todo momento, los re</w:t>
      </w:r>
      <w:r w:rsidR="00FC57C2">
        <w:rPr>
          <w:b/>
          <w:lang w:val="es-ES_tradnl"/>
        </w:rPr>
        <w:t>gistros sean completos, exactos y</w:t>
      </w:r>
      <w:r w:rsidRPr="00783CB4">
        <w:rPr>
          <w:b/>
          <w:lang w:val="es-ES_tradnl"/>
        </w:rPr>
        <w:t xml:space="preserve"> precisos y </w:t>
      </w:r>
      <w:r w:rsidR="00FC57C2">
        <w:rPr>
          <w:b/>
          <w:lang w:val="es-ES_tradnl"/>
        </w:rPr>
        <w:t xml:space="preserve">estén </w:t>
      </w:r>
      <w:r w:rsidRPr="00783CB4">
        <w:rPr>
          <w:b/>
          <w:lang w:val="es-ES_tradnl"/>
        </w:rPr>
        <w:t xml:space="preserve">actualizados. Se recomienda que los registros sean uniformes y accesibles a los representantes autorizados y familiares de las personas privadas de libertad, así como al mecanismo nacional de prevención. Además, el Subcomité recomienda que el sistema que se </w:t>
      </w:r>
      <w:r w:rsidR="00FC57C2">
        <w:rPr>
          <w:b/>
          <w:lang w:val="es-ES_tradnl"/>
        </w:rPr>
        <w:t xml:space="preserve">implante permita a terceros seguir fácilmente los traslados y la localización de las personas privadas de libertad, así como verificar su bienestar, </w:t>
      </w:r>
      <w:r w:rsidRPr="00783CB4">
        <w:rPr>
          <w:b/>
          <w:lang w:val="es-ES_tradnl"/>
        </w:rPr>
        <w:t>sin necesidad de localizar y examinar numerosos expedientes, documentos o certificados.</w:t>
      </w:r>
    </w:p>
    <w:p w:rsidR="00783CB4" w:rsidRPr="00783CB4" w:rsidRDefault="00783CB4" w:rsidP="00783CB4">
      <w:pPr>
        <w:pStyle w:val="SingleTxtG"/>
        <w:rPr>
          <w:b/>
          <w:lang w:val="es-ES_tradnl"/>
        </w:rPr>
      </w:pPr>
      <w:r w:rsidRPr="00783CB4">
        <w:rPr>
          <w:lang w:val="es-ES_tradnl"/>
        </w:rPr>
        <w:t>65.</w:t>
      </w:r>
      <w:r w:rsidRPr="00783CB4">
        <w:rPr>
          <w:lang w:val="es-ES_tradnl"/>
        </w:rPr>
        <w:tab/>
      </w:r>
      <w:r w:rsidRPr="00783CB4">
        <w:rPr>
          <w:b/>
          <w:lang w:val="es-ES_tradnl"/>
        </w:rPr>
        <w:t xml:space="preserve">El Subcomité recomienda que el Estado parte mantenga esos registros respecto de todas las personas privadas de libertad, con independencia de que se encuentren o no en un lugar oficialmente </w:t>
      </w:r>
      <w:r w:rsidR="00FC57C2" w:rsidRPr="00783CB4">
        <w:rPr>
          <w:b/>
          <w:lang w:val="es-ES_tradnl"/>
        </w:rPr>
        <w:t>r</w:t>
      </w:r>
      <w:r w:rsidR="00FC57C2">
        <w:rPr>
          <w:b/>
          <w:lang w:val="es-ES_tradnl"/>
        </w:rPr>
        <w:t xml:space="preserve">econocido </w:t>
      </w:r>
      <w:r w:rsidRPr="00783CB4">
        <w:rPr>
          <w:b/>
          <w:lang w:val="es-ES_tradnl"/>
        </w:rPr>
        <w:t xml:space="preserve">como lugar de </w:t>
      </w:r>
      <w:r w:rsidR="00FC57C2">
        <w:rPr>
          <w:b/>
          <w:lang w:val="es-ES_tradnl"/>
        </w:rPr>
        <w:t>reclusión</w:t>
      </w:r>
      <w:r w:rsidRPr="00783CB4">
        <w:rPr>
          <w:b/>
          <w:lang w:val="es-ES_tradnl"/>
        </w:rPr>
        <w:t xml:space="preserve"> en el Estado parte.</w:t>
      </w:r>
    </w:p>
    <w:p w:rsidR="00783CB4" w:rsidRPr="00783CB4" w:rsidRDefault="00FC57C2" w:rsidP="00FC57C2">
      <w:pPr>
        <w:pStyle w:val="H23G"/>
        <w:rPr>
          <w:lang w:val="es-ES_tradnl"/>
        </w:rPr>
      </w:pPr>
      <w:r>
        <w:rPr>
          <w:lang w:val="es-ES_tradnl"/>
        </w:rPr>
        <w:tab/>
      </w:r>
      <w:r w:rsidR="00783CB4" w:rsidRPr="00783CB4">
        <w:rPr>
          <w:lang w:val="es-ES_tradnl"/>
        </w:rPr>
        <w:tab/>
        <w:t>Contacto con el mundo exterior</w:t>
      </w:r>
    </w:p>
    <w:p w:rsidR="00783CB4" w:rsidRPr="00783CB4" w:rsidRDefault="00783CB4" w:rsidP="00783CB4">
      <w:pPr>
        <w:pStyle w:val="SingleTxtG"/>
        <w:rPr>
          <w:lang w:val="es-ES_tradnl"/>
        </w:rPr>
      </w:pPr>
      <w:r w:rsidRPr="00783CB4">
        <w:rPr>
          <w:lang w:val="es-ES_tradnl"/>
        </w:rPr>
        <w:t>66.</w:t>
      </w:r>
      <w:r w:rsidRPr="00783CB4">
        <w:rPr>
          <w:lang w:val="es-ES_tradnl"/>
        </w:rPr>
        <w:tab/>
        <w:t>El</w:t>
      </w:r>
      <w:r w:rsidR="00FC57C2">
        <w:rPr>
          <w:lang w:val="es-ES_tradnl"/>
        </w:rPr>
        <w:t xml:space="preserve"> Subcomité sigue preocupado por</w:t>
      </w:r>
      <w:r w:rsidRPr="00783CB4">
        <w:rPr>
          <w:lang w:val="es-ES_tradnl"/>
        </w:rPr>
        <w:t xml:space="preserve">que, en el caso de las personas en prisión preventiva, las visitas de los familiares y otras personas solo se permiten con la autorización expresa de los oficiales investigadores (véase </w:t>
      </w:r>
      <w:r w:rsidRPr="00783CB4">
        <w:t>CAT/OP/UKR/1, párrs. 105</w:t>
      </w:r>
      <w:r w:rsidR="001B6CEC">
        <w:t xml:space="preserve"> y </w:t>
      </w:r>
      <w:r w:rsidRPr="00783CB4">
        <w:t>106)</w:t>
      </w:r>
      <w:r w:rsidRPr="00783CB4">
        <w:rPr>
          <w:lang w:val="es-ES_tradnl"/>
        </w:rPr>
        <w:t xml:space="preserve">. En la práctica, rara vez se conceden </w:t>
      </w:r>
      <w:r w:rsidR="00FC57C2">
        <w:rPr>
          <w:lang w:val="es-ES_tradnl"/>
        </w:rPr>
        <w:t>esas autorizaciones</w:t>
      </w:r>
      <w:r w:rsidRPr="00783CB4">
        <w:rPr>
          <w:lang w:val="es-ES_tradnl"/>
        </w:rPr>
        <w:t xml:space="preserve">, por lo que los presos quedan aislados del mundo exterior. Las políticas relativas a las llamadas telefónicas varían entre los centros de prisión preventiva y los centros de detención temporal; </w:t>
      </w:r>
      <w:r w:rsidR="00FC57C2">
        <w:rPr>
          <w:lang w:val="es-ES_tradnl"/>
        </w:rPr>
        <w:t xml:space="preserve">en </w:t>
      </w:r>
      <w:r w:rsidRPr="00783CB4">
        <w:rPr>
          <w:lang w:val="es-ES_tradnl"/>
        </w:rPr>
        <w:t xml:space="preserve">algunos </w:t>
      </w:r>
      <w:r w:rsidR="00FC57C2">
        <w:rPr>
          <w:lang w:val="es-ES_tradnl"/>
        </w:rPr>
        <w:t xml:space="preserve">se </w:t>
      </w:r>
      <w:r w:rsidRPr="00783CB4">
        <w:rPr>
          <w:lang w:val="es-ES_tradnl"/>
        </w:rPr>
        <w:t xml:space="preserve">permiten </w:t>
      </w:r>
      <w:r w:rsidR="00FC57C2">
        <w:rPr>
          <w:lang w:val="es-ES_tradnl"/>
        </w:rPr>
        <w:t xml:space="preserve">las videoconferencias siempre que se realicen en presencia de </w:t>
      </w:r>
      <w:r w:rsidR="00A92AE2">
        <w:rPr>
          <w:lang w:val="es-ES_tradnl"/>
        </w:rPr>
        <w:t xml:space="preserve">un </w:t>
      </w:r>
      <w:r w:rsidR="00FC57C2">
        <w:rPr>
          <w:lang w:val="es-ES_tradnl"/>
        </w:rPr>
        <w:t>guardia y en otros se prohíben todas las llamadas</w:t>
      </w:r>
      <w:r w:rsidRPr="00783CB4">
        <w:rPr>
          <w:lang w:val="es-ES_tradnl"/>
        </w:rPr>
        <w:t>. Habida cuenta de la falta de servicios de correo en muchas zonas afectadas por el conflicto de Ucrania</w:t>
      </w:r>
      <w:r w:rsidR="00FC57C2">
        <w:rPr>
          <w:lang w:val="es-ES_tradnl"/>
        </w:rPr>
        <w:t xml:space="preserve"> Oriental</w:t>
      </w:r>
      <w:r w:rsidRPr="00783CB4">
        <w:rPr>
          <w:lang w:val="es-ES_tradnl"/>
        </w:rPr>
        <w:t xml:space="preserve">, las restricciones </w:t>
      </w:r>
      <w:r w:rsidR="00FC57C2">
        <w:rPr>
          <w:lang w:val="es-ES_tradnl"/>
        </w:rPr>
        <w:t>a</w:t>
      </w:r>
      <w:r w:rsidRPr="00783CB4">
        <w:rPr>
          <w:lang w:val="es-ES_tradnl"/>
        </w:rPr>
        <w:t>l uso de teléfonos pueden aislar por completo a los reclusos que tratan de comunicarse con personas de esas zonas. La</w:t>
      </w:r>
      <w:r w:rsidR="00FC57C2">
        <w:rPr>
          <w:lang w:val="es-ES_tradnl"/>
        </w:rPr>
        <w:t xml:space="preserve"> autorización</w:t>
      </w:r>
      <w:r w:rsidRPr="00783CB4">
        <w:rPr>
          <w:lang w:val="es-ES_tradnl"/>
        </w:rPr>
        <w:t xml:space="preserve"> para enviar cartas a familiares y otras personas también varía; algunos centros de prisión preventiva restringen ese derecho. </w:t>
      </w:r>
      <w:r w:rsidR="00FC57C2">
        <w:rPr>
          <w:lang w:val="es-ES_tradnl"/>
        </w:rPr>
        <w:t>Asimismo,</w:t>
      </w:r>
      <w:r w:rsidRPr="00783CB4">
        <w:rPr>
          <w:lang w:val="es-ES_tradnl"/>
        </w:rPr>
        <w:t xml:space="preserve"> se ha informado de que las instituciones pueden limitar los contactos excesivamente de modo que, en la práctica, las visitas y las llamadas telefónicas </w:t>
      </w:r>
      <w:r w:rsidR="00FC57C2">
        <w:rPr>
          <w:lang w:val="es-ES_tradnl"/>
        </w:rPr>
        <w:t>están más restringidas de lo previsto por ley</w:t>
      </w:r>
      <w:r w:rsidRPr="00783CB4">
        <w:rPr>
          <w:lang w:val="es-ES_tradnl"/>
        </w:rPr>
        <w:t>.</w:t>
      </w:r>
    </w:p>
    <w:p w:rsidR="00E40DAE" w:rsidRDefault="00783CB4" w:rsidP="00783CB4">
      <w:pPr>
        <w:pStyle w:val="SingleTxtG"/>
        <w:rPr>
          <w:lang w:val="es-ES_tradnl"/>
        </w:rPr>
      </w:pPr>
      <w:r w:rsidRPr="00783CB4">
        <w:rPr>
          <w:lang w:val="es-ES_tradnl"/>
        </w:rPr>
        <w:t>67.</w:t>
      </w:r>
      <w:r w:rsidRPr="00783CB4">
        <w:rPr>
          <w:lang w:val="es-ES_tradnl"/>
        </w:rPr>
        <w:tab/>
      </w:r>
      <w:r w:rsidR="001B6CEC" w:rsidRPr="001B6CEC">
        <w:rPr>
          <w:lang w:val="es-ES_tradnl"/>
        </w:rPr>
        <w:t xml:space="preserve">Esta situación se agrava en el caso de las personas privadas de libertad acusadas </w:t>
      </w:r>
      <w:r w:rsidR="001B6CEC">
        <w:rPr>
          <w:lang w:val="es-ES_tradnl"/>
        </w:rPr>
        <w:t xml:space="preserve">de delitos </w:t>
      </w:r>
      <w:r w:rsidR="001B6CEC" w:rsidRPr="001B6CEC">
        <w:rPr>
          <w:lang w:val="es-ES_tradnl"/>
        </w:rPr>
        <w:t>relacionados con el conflicto</w:t>
      </w:r>
      <w:r w:rsidR="00F46882">
        <w:rPr>
          <w:lang w:val="es-ES_tradnl"/>
        </w:rPr>
        <w:t xml:space="preserve"> </w:t>
      </w:r>
      <w:r w:rsidR="001B6CEC">
        <w:rPr>
          <w:lang w:val="es-ES_tradnl"/>
        </w:rPr>
        <w:t>armado de Ucrania Oriental</w:t>
      </w:r>
      <w:r w:rsidR="001B6CEC" w:rsidRPr="001B6CEC">
        <w:rPr>
          <w:lang w:val="es-ES_tradnl"/>
        </w:rPr>
        <w:t xml:space="preserve"> </w:t>
      </w:r>
      <w:r w:rsidR="001B6CEC">
        <w:rPr>
          <w:lang w:val="es-ES_tradnl"/>
        </w:rPr>
        <w:t xml:space="preserve">quienes </w:t>
      </w:r>
      <w:r w:rsidR="001B6CEC" w:rsidRPr="001B6CEC">
        <w:rPr>
          <w:lang w:val="es-ES_tradnl"/>
        </w:rPr>
        <w:t>son objeto de largas investigaciones y, por lo tanto,</w:t>
      </w:r>
      <w:r w:rsidR="00E40DAE">
        <w:rPr>
          <w:lang w:val="es-ES_tradnl"/>
        </w:rPr>
        <w:t xml:space="preserve"> </w:t>
      </w:r>
      <w:r w:rsidR="00E40DAE" w:rsidRPr="00E40DAE">
        <w:t>permanecen recluidas en régimen de prisión preventiva durante períodos prolongados</w:t>
      </w:r>
      <w:r w:rsidR="00A92AE2">
        <w:rPr>
          <w:lang w:val="es-ES_tradnl"/>
        </w:rPr>
        <w:t xml:space="preserve">, </w:t>
      </w:r>
      <w:r w:rsidR="001B6CEC" w:rsidRPr="001B6CEC">
        <w:rPr>
          <w:lang w:val="es-ES_tradnl"/>
        </w:rPr>
        <w:t xml:space="preserve">lo que alarga el tiempo durante el cual </w:t>
      </w:r>
      <w:r w:rsidR="00E40DAE" w:rsidRPr="00FD58ED">
        <w:t>se restringe su contacto con el exterior</w:t>
      </w:r>
      <w:r w:rsidR="00A92AE2">
        <w:rPr>
          <w:lang w:val="es-ES_tradnl"/>
        </w:rPr>
        <w:t>.</w:t>
      </w:r>
    </w:p>
    <w:p w:rsidR="00783CB4" w:rsidRPr="00783CB4" w:rsidRDefault="00783CB4" w:rsidP="00783CB4">
      <w:pPr>
        <w:pStyle w:val="SingleTxtG"/>
        <w:rPr>
          <w:b/>
          <w:lang w:val="es-ES_tradnl"/>
        </w:rPr>
      </w:pPr>
      <w:r w:rsidRPr="00783CB4">
        <w:rPr>
          <w:lang w:val="es-ES_tradnl"/>
        </w:rPr>
        <w:t>68.</w:t>
      </w:r>
      <w:r w:rsidRPr="00783CB4">
        <w:rPr>
          <w:lang w:val="es-ES_tradnl"/>
        </w:rPr>
        <w:tab/>
      </w:r>
      <w:r w:rsidRPr="00783CB4">
        <w:rPr>
          <w:b/>
          <w:lang w:val="es-ES_tradnl"/>
        </w:rPr>
        <w:t xml:space="preserve">El Subcomité recomienda que el Estado parte permita </w:t>
      </w:r>
      <w:r w:rsidR="00E40DAE" w:rsidRPr="00E40DAE">
        <w:rPr>
          <w:b/>
        </w:rPr>
        <w:t>tanto en la legislación como en la práctica</w:t>
      </w:r>
      <w:r w:rsidR="00A92AE2">
        <w:rPr>
          <w:b/>
        </w:rPr>
        <w:t>,</w:t>
      </w:r>
      <w:r w:rsidR="00E40DAE" w:rsidRPr="00E40DAE">
        <w:rPr>
          <w:b/>
          <w:lang w:val="es-ES_tradnl"/>
        </w:rPr>
        <w:t xml:space="preserve"> </w:t>
      </w:r>
      <w:r w:rsidRPr="00783CB4">
        <w:rPr>
          <w:b/>
          <w:lang w:val="es-ES_tradnl"/>
        </w:rPr>
        <w:t xml:space="preserve">a los familiares y a otras personas visitar y comunicarse con personas que se encuentran en centros de prisión preventiva. También recomienda que se impongan restricciones a los contactos únicamente en circunstancias </w:t>
      </w:r>
      <w:r w:rsidRPr="00783CB4">
        <w:rPr>
          <w:b/>
          <w:lang w:val="es-ES_tradnl"/>
        </w:rPr>
        <w:lastRenderedPageBreak/>
        <w:t>excepcionales, y que el Estado parte vele por que su política en materia de contactos con el exterior se aplique de manera uniforme en todas las instituciones similares, por ejemplo en todos los centros de prisión preventiva.</w:t>
      </w:r>
    </w:p>
    <w:p w:rsidR="00783CB4" w:rsidRPr="00783CB4" w:rsidRDefault="00E40DAE" w:rsidP="00E40DAE">
      <w:pPr>
        <w:pStyle w:val="H23G"/>
        <w:rPr>
          <w:lang w:val="es-ES_tradnl"/>
        </w:rPr>
      </w:pPr>
      <w:r>
        <w:rPr>
          <w:lang w:val="es-ES_tradnl"/>
        </w:rPr>
        <w:tab/>
      </w:r>
      <w:r>
        <w:rPr>
          <w:lang w:val="es-ES_tradnl"/>
        </w:rPr>
        <w:tab/>
      </w:r>
      <w:r w:rsidR="00783CB4" w:rsidRPr="00783CB4">
        <w:rPr>
          <w:lang w:val="es-ES_tradnl"/>
        </w:rPr>
        <w:t>Mecanismos de denuncia y supervisión</w:t>
      </w:r>
    </w:p>
    <w:p w:rsidR="00783CB4" w:rsidRPr="00783CB4" w:rsidRDefault="00783CB4" w:rsidP="00783CB4">
      <w:pPr>
        <w:pStyle w:val="SingleTxtG"/>
        <w:rPr>
          <w:lang w:val="es-ES_tradnl"/>
        </w:rPr>
      </w:pPr>
      <w:r w:rsidRPr="00783CB4">
        <w:rPr>
          <w:lang w:val="es-ES_tradnl"/>
        </w:rPr>
        <w:t>69.</w:t>
      </w:r>
      <w:r w:rsidRPr="00783CB4">
        <w:rPr>
          <w:lang w:val="es-ES_tradnl"/>
        </w:rPr>
        <w:tab/>
        <w:t xml:space="preserve">Como se indica en los párrafos 18, 37, 38 y 43 </w:t>
      </w:r>
      <w:r w:rsidRPr="00783CB4">
        <w:rPr>
          <w:i/>
          <w:lang w:val="es-ES_tradnl"/>
        </w:rPr>
        <w:t>supra</w:t>
      </w:r>
      <w:r w:rsidRPr="00783CB4">
        <w:rPr>
          <w:lang w:val="es-ES_tradnl"/>
        </w:rPr>
        <w:t xml:space="preserve">, podrían </w:t>
      </w:r>
      <w:r w:rsidR="00E40DAE">
        <w:rPr>
          <w:lang w:val="es-ES_tradnl"/>
        </w:rPr>
        <w:t>reforzarse</w:t>
      </w:r>
      <w:r w:rsidRPr="00783CB4">
        <w:rPr>
          <w:lang w:val="es-ES_tradnl"/>
        </w:rPr>
        <w:t xml:space="preserve"> los mecanismos establecidos actualmente para responder a cuestiones de procedimiento, por ejemplo en relación con las condiciones y las denuncias de tortura y malos tratos. Much</w:t>
      </w:r>
      <w:r w:rsidR="00E40DAE">
        <w:rPr>
          <w:lang w:val="es-ES_tradnl"/>
        </w:rPr>
        <w:t>a</w:t>
      </w:r>
      <w:r w:rsidRPr="00783CB4">
        <w:rPr>
          <w:lang w:val="es-ES_tradnl"/>
        </w:rPr>
        <w:t xml:space="preserve">s </w:t>
      </w:r>
      <w:r w:rsidR="00E40DAE">
        <w:rPr>
          <w:lang w:val="es-ES_tradnl"/>
        </w:rPr>
        <w:t xml:space="preserve">personas recluidas </w:t>
      </w:r>
      <w:r w:rsidRPr="00783CB4">
        <w:rPr>
          <w:lang w:val="es-ES_tradnl"/>
        </w:rPr>
        <w:t xml:space="preserve">han afirmado que los mecanismos de </w:t>
      </w:r>
      <w:r w:rsidR="00E40DAE">
        <w:rPr>
          <w:lang w:val="es-ES_tradnl"/>
        </w:rPr>
        <w:t>denuncia</w:t>
      </w:r>
      <w:r w:rsidRPr="00783CB4">
        <w:rPr>
          <w:lang w:val="es-ES_tradnl"/>
        </w:rPr>
        <w:t xml:space="preserve"> existentes, incluidos los de la Oficina del Fiscal General, los tribunales y el mecanismo nacional de prevención, han demostrado ser ineficaces, ya que no ofrecen a los denunciantes audiencias sustantivas ni recursos efectivos.</w:t>
      </w:r>
    </w:p>
    <w:p w:rsidR="00783CB4" w:rsidRPr="00783CB4" w:rsidRDefault="00783CB4" w:rsidP="00783CB4">
      <w:pPr>
        <w:pStyle w:val="SingleTxtG"/>
        <w:rPr>
          <w:lang w:val="es-ES_tradnl"/>
        </w:rPr>
      </w:pPr>
      <w:r w:rsidRPr="00783CB4">
        <w:rPr>
          <w:lang w:val="es-ES_tradnl"/>
        </w:rPr>
        <w:t>70.</w:t>
      </w:r>
      <w:r w:rsidRPr="00783CB4">
        <w:rPr>
          <w:lang w:val="es-ES_tradnl"/>
        </w:rPr>
        <w:tab/>
      </w:r>
      <w:r w:rsidR="00E40DAE">
        <w:t>E</w:t>
      </w:r>
      <w:r w:rsidR="00E40DAE" w:rsidRPr="00303F78">
        <w:t>l Subcomité observa</w:t>
      </w:r>
      <w:r w:rsidR="00E40DAE">
        <w:t xml:space="preserve"> asimismo</w:t>
      </w:r>
      <w:r w:rsidR="00E40DAE" w:rsidRPr="00303F78">
        <w:t xml:space="preserve"> con preocupaci</w:t>
      </w:r>
      <w:r w:rsidR="00E40DAE">
        <w:t>ón</w:t>
      </w:r>
      <w:r w:rsidR="00E40DAE" w:rsidRPr="00783CB4">
        <w:rPr>
          <w:lang w:val="es-ES_tradnl"/>
        </w:rPr>
        <w:t xml:space="preserve"> </w:t>
      </w:r>
      <w:r w:rsidRPr="00783CB4">
        <w:rPr>
          <w:lang w:val="es-ES_tradnl"/>
        </w:rPr>
        <w:t>que un evidente temor a sufrir represalias impide a algun</w:t>
      </w:r>
      <w:r w:rsidR="00E40DAE">
        <w:rPr>
          <w:lang w:val="es-ES_tradnl"/>
        </w:rPr>
        <w:t>a</w:t>
      </w:r>
      <w:r w:rsidRPr="00783CB4">
        <w:rPr>
          <w:lang w:val="es-ES_tradnl"/>
        </w:rPr>
        <w:t xml:space="preserve">s </w:t>
      </w:r>
      <w:r w:rsidR="00E40DAE">
        <w:rPr>
          <w:lang w:val="es-ES_tradnl"/>
        </w:rPr>
        <w:t xml:space="preserve">personas privadas de libertad </w:t>
      </w:r>
      <w:r w:rsidRPr="00783CB4">
        <w:rPr>
          <w:lang w:val="es-ES_tradnl"/>
        </w:rPr>
        <w:t>solicitar protección por medio de esos mecanismos. Algun</w:t>
      </w:r>
      <w:r w:rsidR="00E40DAE">
        <w:rPr>
          <w:lang w:val="es-ES_tradnl"/>
        </w:rPr>
        <w:t>a</w:t>
      </w:r>
      <w:r w:rsidRPr="00783CB4">
        <w:rPr>
          <w:lang w:val="es-ES_tradnl"/>
        </w:rPr>
        <w:t xml:space="preserve">s </w:t>
      </w:r>
      <w:r w:rsidR="00E40DAE">
        <w:rPr>
          <w:lang w:val="es-ES_tradnl"/>
        </w:rPr>
        <w:t xml:space="preserve">de ellas </w:t>
      </w:r>
      <w:r w:rsidRPr="00783CB4">
        <w:rPr>
          <w:lang w:val="es-ES_tradnl"/>
        </w:rPr>
        <w:t>han afirmado que, si present</w:t>
      </w:r>
      <w:r w:rsidR="00E40DAE">
        <w:rPr>
          <w:lang w:val="es-ES_tradnl"/>
        </w:rPr>
        <w:t>an denuncias, pueden ser acusada</w:t>
      </w:r>
      <w:r w:rsidRPr="00783CB4">
        <w:rPr>
          <w:lang w:val="es-ES_tradnl"/>
        </w:rPr>
        <w:t>s de “desobediencia” (Código Penal, art. 391) y castigad</w:t>
      </w:r>
      <w:r w:rsidR="00E40DAE">
        <w:rPr>
          <w:lang w:val="es-ES_tradnl"/>
        </w:rPr>
        <w:t>a</w:t>
      </w:r>
      <w:r w:rsidRPr="00783CB4">
        <w:rPr>
          <w:lang w:val="es-ES_tradnl"/>
        </w:rPr>
        <w:t xml:space="preserve">s con sanciones disciplinarias. También han mencionado como elemento disuasorio añadido el temor a sufrir malos tratos </w:t>
      </w:r>
      <w:r w:rsidR="00E40DAE">
        <w:rPr>
          <w:lang w:val="es-ES_tradnl"/>
        </w:rPr>
        <w:t>a manos del</w:t>
      </w:r>
      <w:r w:rsidRPr="00783CB4">
        <w:rPr>
          <w:lang w:val="es-ES_tradnl"/>
        </w:rPr>
        <w:t xml:space="preserve"> personal penitenciario y </w:t>
      </w:r>
      <w:r w:rsidR="00E40DAE">
        <w:rPr>
          <w:lang w:val="es-ES_tradnl"/>
        </w:rPr>
        <w:t>de</w:t>
      </w:r>
      <w:r w:rsidRPr="00783CB4">
        <w:rPr>
          <w:lang w:val="es-ES_tradnl"/>
        </w:rPr>
        <w:t xml:space="preserve"> otros reclusos. Además, el Subcomité ha sido informado de que, en algunos centros de prisión preventiva, </w:t>
      </w:r>
      <w:r w:rsidR="00E40DAE" w:rsidRPr="00783CB4">
        <w:rPr>
          <w:lang w:val="es-ES_tradnl"/>
        </w:rPr>
        <w:t xml:space="preserve">solo están selladas </w:t>
      </w:r>
      <w:r w:rsidRPr="00783CB4">
        <w:rPr>
          <w:lang w:val="es-ES_tradnl"/>
        </w:rPr>
        <w:t xml:space="preserve">las comunicaciones que se envían al juzgado, mientras que las denuncias generales deben ser transmitidas </w:t>
      </w:r>
      <w:r w:rsidR="00E40DAE" w:rsidRPr="00783CB4">
        <w:rPr>
          <w:lang w:val="es-ES_tradnl"/>
        </w:rPr>
        <w:t xml:space="preserve">sin cerrar </w:t>
      </w:r>
      <w:r w:rsidR="00E40DAE">
        <w:rPr>
          <w:lang w:val="es-ES_tradnl"/>
        </w:rPr>
        <w:t>por</w:t>
      </w:r>
      <w:r w:rsidRPr="00783CB4">
        <w:rPr>
          <w:lang w:val="es-ES_tradnl"/>
        </w:rPr>
        <w:t xml:space="preserve"> los funcionarios de servicio a la administración, lo que también </w:t>
      </w:r>
      <w:r w:rsidR="00E40DAE">
        <w:rPr>
          <w:lang w:val="es-ES_tradnl"/>
        </w:rPr>
        <w:t>disuade</w:t>
      </w:r>
      <w:r w:rsidRPr="00783CB4">
        <w:rPr>
          <w:lang w:val="es-ES_tradnl"/>
        </w:rPr>
        <w:t xml:space="preserve"> a los presos de denunciar sus problemas.</w:t>
      </w:r>
    </w:p>
    <w:p w:rsidR="00783CB4" w:rsidRPr="00783CB4" w:rsidRDefault="00783CB4" w:rsidP="00783CB4">
      <w:pPr>
        <w:pStyle w:val="SingleTxtG"/>
        <w:rPr>
          <w:lang w:val="es-ES_tradnl"/>
        </w:rPr>
      </w:pPr>
      <w:r w:rsidRPr="00783CB4">
        <w:rPr>
          <w:lang w:val="es-ES_tradnl"/>
        </w:rPr>
        <w:t>71.</w:t>
      </w:r>
      <w:r w:rsidRPr="00783CB4">
        <w:rPr>
          <w:lang w:val="es-ES_tradnl"/>
        </w:rPr>
        <w:tab/>
        <w:t>Además, el Subcomité sigue preocupado por la multiplicidad de funciones que desempeñan los fiscales, que se encargan tanto de realiza</w:t>
      </w:r>
      <w:r w:rsidR="00E40DAE">
        <w:rPr>
          <w:lang w:val="es-ES_tradnl"/>
        </w:rPr>
        <w:t xml:space="preserve">r </w:t>
      </w:r>
      <w:r w:rsidR="0043555E">
        <w:rPr>
          <w:lang w:val="es-ES_tradnl"/>
        </w:rPr>
        <w:t xml:space="preserve">las </w:t>
      </w:r>
      <w:r w:rsidRPr="00783CB4">
        <w:rPr>
          <w:lang w:val="es-ES_tradnl"/>
        </w:rPr>
        <w:t xml:space="preserve">investigaciones penales y los enjuiciamientos como de supervisar </w:t>
      </w:r>
      <w:r w:rsidR="00A92AE2">
        <w:rPr>
          <w:lang w:val="es-ES_tradnl"/>
        </w:rPr>
        <w:t xml:space="preserve">la </w:t>
      </w:r>
      <w:r w:rsidR="0043555E">
        <w:t>legalidad de es</w:t>
      </w:r>
      <w:r w:rsidR="0043555E" w:rsidRPr="00EB79D8">
        <w:t xml:space="preserve">os procesos y </w:t>
      </w:r>
      <w:r w:rsidR="0043555E">
        <w:t>verificar que durante ellos se respeten los derechos</w:t>
      </w:r>
      <w:r w:rsidR="0043555E" w:rsidRPr="00783CB4">
        <w:t xml:space="preserve"> </w:t>
      </w:r>
      <w:r w:rsidRPr="00783CB4">
        <w:t xml:space="preserve">(véase </w:t>
      </w:r>
      <w:r w:rsidRPr="00783CB4">
        <w:rPr>
          <w:bCs/>
        </w:rPr>
        <w:t>CAT/OP/UKR/1, párrs. 25 a 27)</w:t>
      </w:r>
      <w:r w:rsidRPr="00783CB4">
        <w:rPr>
          <w:lang w:val="es-ES_tradnl"/>
        </w:rPr>
        <w:t xml:space="preserve">. Este conflicto de intereses intrínseco puede impedir que se investiguen exhaustivamente y sin demora las denuncias de tortura y malos tratos. Por ejemplo, durante su visita, el Subcomité pudo examinar documentación de un presunto caso de malos tratos que había sido archivado sumariamente por un fiscal sin aportar justificación alguna, lo que </w:t>
      </w:r>
      <w:r w:rsidR="0043555E">
        <w:rPr>
          <w:lang w:val="es-ES_tradnl"/>
        </w:rPr>
        <w:t>indica</w:t>
      </w:r>
      <w:r w:rsidRPr="00783CB4">
        <w:rPr>
          <w:lang w:val="es-ES_tradnl"/>
        </w:rPr>
        <w:t xml:space="preserve"> que no se había </w:t>
      </w:r>
      <w:r w:rsidR="0043555E" w:rsidRPr="00146975">
        <w:t>llevado a cabo</w:t>
      </w:r>
      <w:r w:rsidR="0043555E" w:rsidRPr="00783CB4">
        <w:rPr>
          <w:lang w:val="es-ES_tradnl"/>
        </w:rPr>
        <w:t xml:space="preserve"> </w:t>
      </w:r>
      <w:r w:rsidRPr="00783CB4">
        <w:rPr>
          <w:lang w:val="es-ES_tradnl"/>
        </w:rPr>
        <w:t>ninguna investigación.</w:t>
      </w:r>
    </w:p>
    <w:p w:rsidR="00783CB4" w:rsidRPr="00783CB4" w:rsidRDefault="00783CB4" w:rsidP="00783CB4">
      <w:pPr>
        <w:pStyle w:val="SingleTxtG"/>
        <w:rPr>
          <w:b/>
          <w:lang w:val="es-ES_tradnl"/>
        </w:rPr>
      </w:pPr>
      <w:r w:rsidRPr="00783CB4">
        <w:rPr>
          <w:lang w:val="es-ES_tradnl"/>
        </w:rPr>
        <w:t>72.</w:t>
      </w:r>
      <w:r w:rsidRPr="00783CB4">
        <w:rPr>
          <w:lang w:val="es-ES_tradnl"/>
        </w:rPr>
        <w:tab/>
      </w:r>
      <w:r w:rsidRPr="00783CB4">
        <w:rPr>
          <w:b/>
          <w:lang w:val="es-ES_tradnl"/>
        </w:rPr>
        <w:t xml:space="preserve">El Subcomité recomienda que el Estado parte garantice el derecho a presentar denuncias, tanto en la legislación como en la práctica (véase </w:t>
      </w:r>
      <w:r w:rsidRPr="00783CB4">
        <w:rPr>
          <w:b/>
        </w:rPr>
        <w:t>CAT/OP/UKR/1, párrs. 18 a 20)</w:t>
      </w:r>
      <w:r w:rsidRPr="00783CB4">
        <w:rPr>
          <w:b/>
          <w:lang w:val="es-ES_tradnl"/>
        </w:rPr>
        <w:t xml:space="preserve">. También recomienda que se proporcionen a los presos los medios para presentar </w:t>
      </w:r>
      <w:r w:rsidR="00A92AE2">
        <w:rPr>
          <w:b/>
          <w:lang w:val="es-ES_tradnl"/>
        </w:rPr>
        <w:t>denuncias</w:t>
      </w:r>
      <w:r w:rsidRPr="00783CB4">
        <w:rPr>
          <w:b/>
          <w:lang w:val="es-ES_tradnl"/>
        </w:rPr>
        <w:t xml:space="preserve"> de manera directa y confidencial a los administradores </w:t>
      </w:r>
      <w:r w:rsidR="0043555E">
        <w:rPr>
          <w:b/>
          <w:lang w:val="es-ES_tradnl"/>
        </w:rPr>
        <w:t>de</w:t>
      </w:r>
      <w:r w:rsidRPr="00783CB4">
        <w:rPr>
          <w:b/>
          <w:lang w:val="es-ES_tradnl"/>
        </w:rPr>
        <w:t xml:space="preserve"> los lugares de </w:t>
      </w:r>
      <w:r w:rsidR="00A92AE2">
        <w:rPr>
          <w:b/>
          <w:lang w:val="es-ES_tradnl"/>
        </w:rPr>
        <w:t>reclusión</w:t>
      </w:r>
      <w:r w:rsidRPr="00783CB4">
        <w:rPr>
          <w:b/>
          <w:lang w:val="es-ES_tradnl"/>
        </w:rPr>
        <w:t xml:space="preserve">, a autoridades de nivel superior, según </w:t>
      </w:r>
      <w:r w:rsidR="0043555E">
        <w:rPr>
          <w:b/>
          <w:lang w:val="es-ES_tradnl"/>
        </w:rPr>
        <w:t>proceda</w:t>
      </w:r>
      <w:r w:rsidRPr="00783CB4">
        <w:rPr>
          <w:b/>
          <w:lang w:val="es-ES_tradnl"/>
        </w:rPr>
        <w:t>, y a autoridades con atribuciones correctivas. El Subcomité alienta al Estado parte a reforzar sus mecanismos de supervisión y de denuncia dando a esos mecanismos la facultad para otorgar recursos efectivos.</w:t>
      </w:r>
    </w:p>
    <w:p w:rsidR="00783CB4" w:rsidRPr="00783CB4" w:rsidRDefault="00783CB4" w:rsidP="00783CB4">
      <w:pPr>
        <w:pStyle w:val="SingleTxtG"/>
        <w:rPr>
          <w:b/>
          <w:lang w:val="es-ES_tradnl"/>
        </w:rPr>
      </w:pPr>
      <w:r w:rsidRPr="00783CB4">
        <w:rPr>
          <w:lang w:val="es-ES_tradnl"/>
        </w:rPr>
        <w:t>73.</w:t>
      </w:r>
      <w:r w:rsidRPr="00783CB4">
        <w:rPr>
          <w:lang w:val="es-ES_tradnl"/>
        </w:rPr>
        <w:tab/>
      </w:r>
      <w:r w:rsidRPr="00783CB4">
        <w:rPr>
          <w:b/>
          <w:lang w:val="es-ES_tradnl"/>
        </w:rPr>
        <w:t>Se insta al Estado parte a proteger a los denunciantes contra las represalias y cualquier otra forma de perjuicio.</w:t>
      </w:r>
    </w:p>
    <w:p w:rsidR="00783CB4" w:rsidRPr="00783CB4" w:rsidRDefault="00783CB4" w:rsidP="00783CB4">
      <w:pPr>
        <w:pStyle w:val="SingleTxtG"/>
        <w:rPr>
          <w:lang w:val="es-ES_tradnl"/>
        </w:rPr>
      </w:pPr>
      <w:r w:rsidRPr="00783CB4">
        <w:rPr>
          <w:lang w:val="es-ES_tradnl"/>
        </w:rPr>
        <w:t>74.</w:t>
      </w:r>
      <w:r w:rsidRPr="00783CB4">
        <w:rPr>
          <w:lang w:val="es-ES_tradnl"/>
        </w:rPr>
        <w:tab/>
      </w:r>
      <w:r w:rsidRPr="00783CB4">
        <w:rPr>
          <w:b/>
          <w:lang w:val="es-ES_tradnl"/>
        </w:rPr>
        <w:t xml:space="preserve">Por último, el Subcomité reitera su recomendación de que </w:t>
      </w:r>
      <w:r w:rsidR="0043555E" w:rsidRPr="0043555E">
        <w:rPr>
          <w:b/>
        </w:rPr>
        <w:t>se revise la multiplicidad de funciones de la fiscalía</w:t>
      </w:r>
      <w:r w:rsidRPr="00783CB4">
        <w:rPr>
          <w:b/>
          <w:lang w:val="es-ES_tradnl"/>
        </w:rPr>
        <w:t xml:space="preserve"> a fin de reforzar la independencia y la eficacia de las investigaciones sobre denuncias de tortura y malos tratos</w:t>
      </w:r>
      <w:r w:rsidRPr="00783CB4">
        <w:rPr>
          <w:lang w:val="es-ES_tradnl"/>
        </w:rPr>
        <w:t xml:space="preserve"> </w:t>
      </w:r>
      <w:r w:rsidRPr="00783CB4">
        <w:rPr>
          <w:b/>
        </w:rPr>
        <w:t>(véase CAT/OP/UKR/1, párr. 55)</w:t>
      </w:r>
      <w:r w:rsidRPr="00783CB4">
        <w:rPr>
          <w:b/>
          <w:lang w:val="es-ES_tradnl"/>
        </w:rPr>
        <w:t>.</w:t>
      </w:r>
    </w:p>
    <w:p w:rsidR="00783CB4" w:rsidRPr="00783CB4" w:rsidRDefault="00783CB4" w:rsidP="0043555E">
      <w:pPr>
        <w:pStyle w:val="H1G"/>
        <w:rPr>
          <w:lang w:val="es-ES_tradnl"/>
        </w:rPr>
      </w:pPr>
      <w:r w:rsidRPr="00783CB4">
        <w:rPr>
          <w:lang w:val="es-ES_tradnl"/>
        </w:rPr>
        <w:tab/>
        <w:t>B.</w:t>
      </w:r>
      <w:r w:rsidRPr="00783CB4">
        <w:rPr>
          <w:lang w:val="es-ES_tradnl"/>
        </w:rPr>
        <w:tab/>
        <w:t>Cuestiones específicas</w:t>
      </w:r>
    </w:p>
    <w:p w:rsidR="00783CB4" w:rsidRPr="00783CB4" w:rsidRDefault="0043555E" w:rsidP="0043555E">
      <w:pPr>
        <w:pStyle w:val="H23G"/>
        <w:rPr>
          <w:lang w:val="es-ES_tradnl"/>
        </w:rPr>
      </w:pPr>
      <w:r>
        <w:rPr>
          <w:lang w:val="es-ES_tradnl"/>
        </w:rPr>
        <w:tab/>
      </w:r>
      <w:r w:rsidR="00783CB4" w:rsidRPr="00783CB4">
        <w:rPr>
          <w:lang w:val="es-ES_tradnl"/>
        </w:rPr>
        <w:tab/>
        <w:t xml:space="preserve">Personas privadas de libertad acusadas de delitos relacionados con el conflicto armado de Ucrania </w:t>
      </w:r>
      <w:r w:rsidRPr="00783CB4">
        <w:rPr>
          <w:lang w:val="es-ES_tradnl"/>
        </w:rPr>
        <w:t>Oriental</w:t>
      </w:r>
    </w:p>
    <w:p w:rsidR="00783CB4" w:rsidRPr="00783CB4" w:rsidRDefault="00783CB4" w:rsidP="00783CB4">
      <w:pPr>
        <w:pStyle w:val="SingleTxtG"/>
        <w:rPr>
          <w:b/>
          <w:lang w:val="es-ES_tradnl"/>
        </w:rPr>
      </w:pPr>
      <w:r w:rsidRPr="00783CB4">
        <w:rPr>
          <w:lang w:val="es-ES_tradnl"/>
        </w:rPr>
        <w:t>75.</w:t>
      </w:r>
      <w:r w:rsidRPr="00783CB4">
        <w:rPr>
          <w:lang w:val="es-ES_tradnl"/>
        </w:rPr>
        <w:tab/>
        <w:t xml:space="preserve">Durante su visita, el Subcomité quedó consternado al descubrir que las salvaguardias fundamentales no se </w:t>
      </w:r>
      <w:r w:rsidR="0043555E">
        <w:rPr>
          <w:lang w:val="es-ES_tradnl"/>
        </w:rPr>
        <w:t>respetaban en el caso de</w:t>
      </w:r>
      <w:r w:rsidRPr="00783CB4">
        <w:rPr>
          <w:lang w:val="es-ES_tradnl"/>
        </w:rPr>
        <w:t xml:space="preserve"> las personas privadas de libertad acusadas de delitos relacionados con el conflicto armado de Ucrania </w:t>
      </w:r>
      <w:r w:rsidR="0043555E" w:rsidRPr="00783CB4">
        <w:rPr>
          <w:lang w:val="es-ES_tradnl"/>
        </w:rPr>
        <w:t>Oriental</w:t>
      </w:r>
      <w:r w:rsidRPr="00783CB4">
        <w:rPr>
          <w:lang w:val="es-ES_tradnl"/>
        </w:rPr>
        <w:t>, qu</w:t>
      </w:r>
      <w:r w:rsidR="0043555E">
        <w:rPr>
          <w:lang w:val="es-ES_tradnl"/>
        </w:rPr>
        <w:t>i</w:t>
      </w:r>
      <w:r w:rsidRPr="00783CB4">
        <w:rPr>
          <w:lang w:val="es-ES_tradnl"/>
        </w:rPr>
        <w:t>e</w:t>
      </w:r>
      <w:r w:rsidR="0043555E">
        <w:rPr>
          <w:lang w:val="es-ES_tradnl"/>
        </w:rPr>
        <w:t>nes</w:t>
      </w:r>
      <w:r w:rsidRPr="00783CB4">
        <w:rPr>
          <w:lang w:val="es-ES_tradnl"/>
        </w:rPr>
        <w:t xml:space="preserve"> denunciaban</w:t>
      </w:r>
      <w:r w:rsidR="0043555E">
        <w:rPr>
          <w:lang w:val="es-ES_tradnl"/>
        </w:rPr>
        <w:t xml:space="preserve"> sistemáticamente</w:t>
      </w:r>
      <w:r w:rsidRPr="00783CB4">
        <w:rPr>
          <w:lang w:val="es-ES_tradnl"/>
        </w:rPr>
        <w:t xml:space="preserve"> que habían sido </w:t>
      </w:r>
      <w:r w:rsidR="0043555E">
        <w:rPr>
          <w:lang w:val="es-ES_tradnl"/>
        </w:rPr>
        <w:t xml:space="preserve">mantenidas </w:t>
      </w:r>
      <w:r w:rsidRPr="00783CB4">
        <w:rPr>
          <w:lang w:val="es-ES_tradnl"/>
        </w:rPr>
        <w:t xml:space="preserve">en primer lugar en lugares de </w:t>
      </w:r>
      <w:r w:rsidR="0043555E">
        <w:rPr>
          <w:lang w:val="es-ES_tradnl"/>
        </w:rPr>
        <w:t xml:space="preserve">reclusión </w:t>
      </w:r>
      <w:r w:rsidRPr="00783CB4">
        <w:rPr>
          <w:lang w:val="es-ES_tradnl"/>
        </w:rPr>
        <w:t xml:space="preserve">secretos donde se les había interrogado durante varios días antes de </w:t>
      </w:r>
      <w:r w:rsidR="0043555E">
        <w:rPr>
          <w:lang w:val="es-ES_tradnl"/>
        </w:rPr>
        <w:t xml:space="preserve">ser </w:t>
      </w:r>
      <w:r w:rsidRPr="00783CB4">
        <w:rPr>
          <w:lang w:val="es-ES_tradnl"/>
        </w:rPr>
        <w:t>traslada</w:t>
      </w:r>
      <w:r w:rsidR="0043555E">
        <w:rPr>
          <w:lang w:val="es-ES_tradnl"/>
        </w:rPr>
        <w:t>d</w:t>
      </w:r>
      <w:r w:rsidRPr="00783CB4">
        <w:rPr>
          <w:lang w:val="es-ES_tradnl"/>
        </w:rPr>
        <w:t xml:space="preserve">as a </w:t>
      </w:r>
      <w:r w:rsidRPr="00783CB4">
        <w:rPr>
          <w:lang w:val="es-ES_tradnl"/>
        </w:rPr>
        <w:lastRenderedPageBreak/>
        <w:t xml:space="preserve">instituciones reconocidas por el Estado. Solo después de ser trasladadas a </w:t>
      </w:r>
      <w:r w:rsidR="0043555E">
        <w:rPr>
          <w:lang w:val="es-ES_tradnl"/>
        </w:rPr>
        <w:t xml:space="preserve">dichos </w:t>
      </w:r>
      <w:r w:rsidRPr="00783CB4">
        <w:rPr>
          <w:lang w:val="es-ES_tradnl"/>
        </w:rPr>
        <w:t xml:space="preserve">centros se inscribía su reclusión en el registro, aunque con indicación incorrecta del momento de la detención. </w:t>
      </w:r>
      <w:r w:rsidR="0043555E">
        <w:rPr>
          <w:lang w:val="es-ES_tradnl"/>
        </w:rPr>
        <w:t>Resulta</w:t>
      </w:r>
      <w:r w:rsidRPr="00783CB4">
        <w:rPr>
          <w:lang w:val="es-ES_tradnl"/>
        </w:rPr>
        <w:t xml:space="preserve"> preocupante que esas personas fueran aparentemente recluidas en régimen de incomunicación y que no se las sometiera a un reconocimiento médico ni </w:t>
      </w:r>
      <w:r w:rsidR="00A92AE2">
        <w:rPr>
          <w:lang w:val="es-ES_tradnl"/>
        </w:rPr>
        <w:t xml:space="preserve">se les </w:t>
      </w:r>
      <w:r w:rsidR="0043555E">
        <w:rPr>
          <w:lang w:val="es-ES_tradnl"/>
        </w:rPr>
        <w:t>ofreciera</w:t>
      </w:r>
      <w:r w:rsidRPr="00783CB4">
        <w:rPr>
          <w:lang w:val="es-ES_tradnl"/>
        </w:rPr>
        <w:t xml:space="preserve"> acceso a un abogado desde el </w:t>
      </w:r>
      <w:r w:rsidR="0043555E">
        <w:rPr>
          <w:lang w:val="es-ES_tradnl"/>
        </w:rPr>
        <w:t xml:space="preserve">momento </w:t>
      </w:r>
      <w:r w:rsidRPr="00783CB4">
        <w:rPr>
          <w:lang w:val="es-ES_tradnl"/>
        </w:rPr>
        <w:t xml:space="preserve">de su detención, </w:t>
      </w:r>
      <w:r w:rsidR="0043555E">
        <w:rPr>
          <w:lang w:val="es-ES_tradnl"/>
        </w:rPr>
        <w:t xml:space="preserve">fuera esta </w:t>
      </w:r>
      <w:r w:rsidRPr="00783CB4">
        <w:rPr>
          <w:lang w:val="es-ES_tradnl"/>
        </w:rPr>
        <w:t>oficial o no.</w:t>
      </w:r>
    </w:p>
    <w:p w:rsidR="00783CB4" w:rsidRPr="00783CB4" w:rsidRDefault="00783CB4" w:rsidP="00783CB4">
      <w:pPr>
        <w:pStyle w:val="SingleTxtG"/>
        <w:rPr>
          <w:b/>
          <w:lang w:val="es-ES_tradnl"/>
        </w:rPr>
      </w:pPr>
      <w:r w:rsidRPr="00783CB4">
        <w:rPr>
          <w:lang w:val="es-ES_tradnl"/>
        </w:rPr>
        <w:t>76.</w:t>
      </w:r>
      <w:r w:rsidRPr="00783CB4">
        <w:rPr>
          <w:lang w:val="es-ES_tradnl"/>
        </w:rPr>
        <w:tab/>
        <w:t xml:space="preserve">Como ya se indicó, el Subcomité ha recibido denuncias sistemáticas de </w:t>
      </w:r>
      <w:r w:rsidR="0043555E">
        <w:rPr>
          <w:lang w:val="es-ES_tradnl"/>
        </w:rPr>
        <w:t>torturas y malos tratos en este contexto</w:t>
      </w:r>
      <w:r w:rsidRPr="00783CB4">
        <w:rPr>
          <w:lang w:val="es-ES_tradnl"/>
        </w:rPr>
        <w:t xml:space="preserve"> (véase el párr. 35).</w:t>
      </w:r>
    </w:p>
    <w:p w:rsidR="00783CB4" w:rsidRPr="00783CB4" w:rsidRDefault="00783CB4" w:rsidP="00783CB4">
      <w:pPr>
        <w:pStyle w:val="SingleTxtG"/>
        <w:rPr>
          <w:b/>
          <w:lang w:val="es-ES_tradnl"/>
        </w:rPr>
      </w:pPr>
      <w:r w:rsidRPr="00783CB4">
        <w:rPr>
          <w:lang w:val="es-ES_tradnl"/>
        </w:rPr>
        <w:t>77.</w:t>
      </w:r>
      <w:r w:rsidRPr="00783CB4">
        <w:rPr>
          <w:lang w:val="es-ES_tradnl"/>
        </w:rPr>
        <w:tab/>
      </w:r>
      <w:r w:rsidR="0043555E" w:rsidRPr="00783CB4">
        <w:rPr>
          <w:lang w:val="es-ES_tradnl"/>
        </w:rPr>
        <w:t xml:space="preserve">Preocupa además </w:t>
      </w:r>
      <w:r w:rsidR="0043555E">
        <w:rPr>
          <w:lang w:val="es-ES_tradnl"/>
        </w:rPr>
        <w:t>a</w:t>
      </w:r>
      <w:r w:rsidRPr="00783CB4">
        <w:rPr>
          <w:lang w:val="es-ES_tradnl"/>
        </w:rPr>
        <w:t xml:space="preserve">l Subcomité </w:t>
      </w:r>
      <w:r w:rsidR="0043555E" w:rsidRPr="00783CB4">
        <w:rPr>
          <w:lang w:val="es-ES_tradnl"/>
        </w:rPr>
        <w:t>que</w:t>
      </w:r>
      <w:r w:rsidRPr="00783CB4">
        <w:rPr>
          <w:lang w:val="es-ES_tradnl"/>
        </w:rPr>
        <w:t xml:space="preserve">, de conformidad con el artículo 176, párrafo 5, del Código Penal, la prisión preventiva es la única medida </w:t>
      </w:r>
      <w:r w:rsidR="0043555E">
        <w:rPr>
          <w:lang w:val="es-ES_tradnl"/>
        </w:rPr>
        <w:t>cautelar prevista</w:t>
      </w:r>
      <w:r w:rsidRPr="00783CB4">
        <w:rPr>
          <w:lang w:val="es-ES_tradnl"/>
        </w:rPr>
        <w:t xml:space="preserve"> para las personas acusadas de delitos relacionados con el conflicto debido a las restricciones que se aplican a los presos preventivos y la tendencia de esos casos a durar varios meses. Los tribunales amplían </w:t>
      </w:r>
      <w:r w:rsidR="0043555E">
        <w:rPr>
          <w:lang w:val="es-ES_tradnl"/>
        </w:rPr>
        <w:t xml:space="preserve">sistemáticamente </w:t>
      </w:r>
      <w:r w:rsidRPr="00783CB4">
        <w:rPr>
          <w:lang w:val="es-ES_tradnl"/>
        </w:rPr>
        <w:t xml:space="preserve">el período de privación de libertad hasta el máximo de los límites legales y con frecuencia aplazan las audiencias judiciales; las personas privadas de libertad acusadas de delitos relacionados con el conflicto armado de Ucrania </w:t>
      </w:r>
      <w:r w:rsidR="00A92AE2" w:rsidRPr="00783CB4">
        <w:rPr>
          <w:lang w:val="es-ES_tradnl"/>
        </w:rPr>
        <w:t xml:space="preserve">Oriental </w:t>
      </w:r>
      <w:r w:rsidRPr="00783CB4">
        <w:rPr>
          <w:lang w:val="es-ES_tradnl"/>
        </w:rPr>
        <w:t>son sometidas a un régimen que limita en gran medida las actividades ocupacionales, los contactos con el exterior y el acceso al aire libre durante períodos superiores a 18 meses.</w:t>
      </w:r>
    </w:p>
    <w:p w:rsidR="00783CB4" w:rsidRPr="00783CB4" w:rsidRDefault="00783CB4" w:rsidP="00783CB4">
      <w:pPr>
        <w:pStyle w:val="SingleTxtG"/>
        <w:rPr>
          <w:b/>
          <w:lang w:val="es-ES_tradnl"/>
        </w:rPr>
      </w:pPr>
      <w:r w:rsidRPr="00783CB4">
        <w:rPr>
          <w:lang w:val="es-ES_tradnl"/>
        </w:rPr>
        <w:t>78.</w:t>
      </w:r>
      <w:r w:rsidRPr="00783CB4">
        <w:rPr>
          <w:lang w:val="es-ES_tradnl"/>
        </w:rPr>
        <w:tab/>
      </w:r>
      <w:r w:rsidRPr="00783CB4">
        <w:rPr>
          <w:b/>
          <w:lang w:val="es-ES_tradnl"/>
        </w:rPr>
        <w:t xml:space="preserve">El Subcomité recomienda que el Estado parte garantice que </w:t>
      </w:r>
      <w:r w:rsidR="00207C3F" w:rsidRPr="00783CB4">
        <w:rPr>
          <w:b/>
          <w:lang w:val="es-ES_tradnl"/>
        </w:rPr>
        <w:t xml:space="preserve">todas las personas privadas de libertad, con independencia de los motivos de su detención </w:t>
      </w:r>
      <w:r w:rsidR="00207C3F">
        <w:rPr>
          <w:b/>
          <w:lang w:val="es-ES_tradnl"/>
        </w:rPr>
        <w:t>o del lugar donde se encuentren</w:t>
      </w:r>
      <w:r w:rsidR="00A92AE2">
        <w:rPr>
          <w:b/>
          <w:lang w:val="es-ES_tradnl"/>
        </w:rPr>
        <w:t>,</w:t>
      </w:r>
      <w:r w:rsidR="00207C3F">
        <w:rPr>
          <w:b/>
          <w:lang w:val="es-ES_tradnl"/>
        </w:rPr>
        <w:t xml:space="preserve"> gocen de </w:t>
      </w:r>
      <w:r w:rsidRPr="00783CB4">
        <w:rPr>
          <w:b/>
          <w:lang w:val="es-ES_tradnl"/>
        </w:rPr>
        <w:t>las salvaguardias fundamentales, incluido el derecho a un abogado, la notificación de la detención y el contacto con el mundo exterior</w:t>
      </w:r>
      <w:r w:rsidR="00207C3F">
        <w:rPr>
          <w:b/>
          <w:lang w:val="es-ES_tradnl"/>
        </w:rPr>
        <w:t>.</w:t>
      </w:r>
      <w:r w:rsidRPr="00783CB4">
        <w:rPr>
          <w:b/>
          <w:lang w:val="es-ES_tradnl"/>
        </w:rPr>
        <w:t xml:space="preserve"> </w:t>
      </w:r>
    </w:p>
    <w:p w:rsidR="00783CB4" w:rsidRPr="00783CB4" w:rsidRDefault="00783CB4" w:rsidP="00783CB4">
      <w:pPr>
        <w:pStyle w:val="SingleTxtG"/>
        <w:rPr>
          <w:b/>
          <w:lang w:val="es-ES_tradnl"/>
        </w:rPr>
      </w:pPr>
      <w:r w:rsidRPr="00783CB4">
        <w:rPr>
          <w:lang w:val="es-ES_tradnl"/>
        </w:rPr>
        <w:t>79.</w:t>
      </w:r>
      <w:r w:rsidRPr="00783CB4">
        <w:rPr>
          <w:lang w:val="es-ES_tradnl"/>
        </w:rPr>
        <w:tab/>
      </w:r>
      <w:r w:rsidRPr="00783CB4">
        <w:rPr>
          <w:b/>
          <w:lang w:val="es-ES_tradnl"/>
        </w:rPr>
        <w:t xml:space="preserve">Habida cuenta </w:t>
      </w:r>
      <w:r w:rsidR="00207C3F" w:rsidRPr="00207C3F">
        <w:rPr>
          <w:b/>
        </w:rPr>
        <w:t>de que en los lugares de reclusión no declarados existe un mayor riesgo de tortura y malos tratos</w:t>
      </w:r>
      <w:r w:rsidRPr="00783CB4">
        <w:rPr>
          <w:b/>
          <w:lang w:val="es-ES_tradnl"/>
        </w:rPr>
        <w:t>, el Subcomité recomienda al Estado parte que ponga fin a la utilización de esos lugares.</w:t>
      </w:r>
    </w:p>
    <w:p w:rsidR="00783CB4" w:rsidRPr="00783CB4" w:rsidRDefault="00783CB4" w:rsidP="00783CB4">
      <w:pPr>
        <w:pStyle w:val="SingleTxtG"/>
        <w:rPr>
          <w:b/>
          <w:lang w:val="es-ES_tradnl"/>
        </w:rPr>
      </w:pPr>
      <w:r w:rsidRPr="00783CB4">
        <w:rPr>
          <w:lang w:val="es-ES_tradnl"/>
        </w:rPr>
        <w:t>80.</w:t>
      </w:r>
      <w:r w:rsidRPr="00783CB4">
        <w:rPr>
          <w:lang w:val="es-ES_tradnl"/>
        </w:rPr>
        <w:tab/>
      </w:r>
      <w:r w:rsidRPr="00783CB4">
        <w:rPr>
          <w:b/>
          <w:lang w:val="es-ES_tradnl"/>
        </w:rPr>
        <w:t xml:space="preserve">El Subcomité recomienda que el Estado parte garantice a observadores internacionales y nacionales, entre ellos el mecanismo nacional de prevención, la misión de las Naciones Unidas de vigilancia de los derechos humanos en Ucrania, la Misión Especial de Observación en Ucrania de la Organización para la Seguridad y la Cooperación en Europa y el Comité Internacional de la Cruz Roja, un acceso pleno y </w:t>
      </w:r>
      <w:r w:rsidR="00207C3F">
        <w:rPr>
          <w:b/>
          <w:lang w:val="es-ES_tradnl"/>
        </w:rPr>
        <w:t xml:space="preserve">e ilimitado </w:t>
      </w:r>
      <w:r w:rsidRPr="00783CB4">
        <w:rPr>
          <w:b/>
          <w:lang w:val="es-ES_tradnl"/>
        </w:rPr>
        <w:t xml:space="preserve">a todos los lugares donde haya o pueda haber personas privadas de libertad, independientemente de si esos lugares están </w:t>
      </w:r>
      <w:r w:rsidR="00207C3F">
        <w:rPr>
          <w:b/>
          <w:lang w:val="es-ES_tradnl"/>
        </w:rPr>
        <w:t xml:space="preserve">o no </w:t>
      </w:r>
      <w:r w:rsidRPr="00783CB4">
        <w:rPr>
          <w:b/>
          <w:lang w:val="es-ES_tradnl"/>
        </w:rPr>
        <w:t xml:space="preserve">reconocidos oficialmente como centros de </w:t>
      </w:r>
      <w:r w:rsidR="00207C3F">
        <w:rPr>
          <w:b/>
          <w:lang w:val="es-ES_tradnl"/>
        </w:rPr>
        <w:t>reclusión</w:t>
      </w:r>
      <w:r w:rsidRPr="00783CB4">
        <w:rPr>
          <w:b/>
          <w:lang w:val="es-ES_tradnl"/>
        </w:rPr>
        <w:t>.</w:t>
      </w:r>
    </w:p>
    <w:p w:rsidR="00783CB4" w:rsidRPr="00783CB4" w:rsidRDefault="00783CB4" w:rsidP="00783CB4">
      <w:pPr>
        <w:pStyle w:val="SingleTxtG"/>
        <w:rPr>
          <w:b/>
          <w:lang w:val="es-ES_tradnl"/>
        </w:rPr>
      </w:pPr>
      <w:r w:rsidRPr="00783CB4">
        <w:rPr>
          <w:lang w:val="es-ES_tradnl"/>
        </w:rPr>
        <w:t>81.</w:t>
      </w:r>
      <w:r w:rsidRPr="00783CB4">
        <w:rPr>
          <w:lang w:val="es-ES_tradnl"/>
        </w:rPr>
        <w:tab/>
      </w:r>
      <w:r w:rsidRPr="00783CB4">
        <w:rPr>
          <w:b/>
          <w:lang w:val="es-ES_tradnl"/>
        </w:rPr>
        <w:t xml:space="preserve">Además, el Subcomité recomienda que el Estado parte vele por que todas las personas, incluidas las acusadas de </w:t>
      </w:r>
      <w:r w:rsidR="00207C3F">
        <w:rPr>
          <w:b/>
          <w:lang w:val="es-ES_tradnl"/>
        </w:rPr>
        <w:t xml:space="preserve">los </w:t>
      </w:r>
      <w:r w:rsidRPr="00783CB4">
        <w:rPr>
          <w:b/>
          <w:lang w:val="es-ES_tradnl"/>
        </w:rPr>
        <w:t xml:space="preserve">delitos </w:t>
      </w:r>
      <w:r w:rsidR="00207C3F">
        <w:rPr>
          <w:b/>
          <w:lang w:val="es-ES_tradnl"/>
        </w:rPr>
        <w:t xml:space="preserve">tipificados en </w:t>
      </w:r>
      <w:r w:rsidRPr="00783CB4">
        <w:rPr>
          <w:b/>
          <w:lang w:val="es-ES_tradnl"/>
        </w:rPr>
        <w:t>los artículos 109 a 115, 258, 260</w:t>
      </w:r>
      <w:r w:rsidR="00207C3F">
        <w:rPr>
          <w:b/>
          <w:lang w:val="es-ES_tradnl"/>
        </w:rPr>
        <w:t>,</w:t>
      </w:r>
      <w:r w:rsidRPr="00783CB4">
        <w:rPr>
          <w:b/>
          <w:lang w:val="es-ES_tradnl"/>
        </w:rPr>
        <w:t xml:space="preserve"> </w:t>
      </w:r>
      <w:r w:rsidR="00207C3F">
        <w:rPr>
          <w:b/>
          <w:lang w:val="es-ES_tradnl"/>
        </w:rPr>
        <w:t>261,</w:t>
      </w:r>
      <w:r w:rsidRPr="00783CB4">
        <w:rPr>
          <w:b/>
          <w:lang w:val="es-ES_tradnl"/>
        </w:rPr>
        <w:t xml:space="preserve"> 437 y 438 del Código Penal, sean juzgadas sin dilaciones indebidas, de conformidad con las normas en materia de juicio imparcial establecidas por el derecho internacional de los derechos humanos.</w:t>
      </w:r>
    </w:p>
    <w:p w:rsidR="00783CB4" w:rsidRPr="00783CB4" w:rsidRDefault="00783CB4" w:rsidP="00783CB4">
      <w:pPr>
        <w:pStyle w:val="SingleTxtG"/>
        <w:rPr>
          <w:b/>
          <w:lang w:val="es-ES_tradnl"/>
        </w:rPr>
      </w:pPr>
      <w:r w:rsidRPr="00783CB4">
        <w:rPr>
          <w:lang w:val="es-ES_tradnl"/>
        </w:rPr>
        <w:t>82.</w:t>
      </w:r>
      <w:r w:rsidRPr="00783CB4">
        <w:rPr>
          <w:lang w:val="es-ES_tradnl"/>
        </w:rPr>
        <w:tab/>
      </w:r>
      <w:r w:rsidRPr="00783CB4">
        <w:rPr>
          <w:b/>
          <w:lang w:val="es-ES_tradnl"/>
        </w:rPr>
        <w:t xml:space="preserve">Recordando la prohibición absoluta de la tortura que figura en el artículo 2, párrafo 2, de la Convención contra la Tortura y Otros Tratos o Penas Crueles, Inhumanos o Degradantes, que afirma que “en ningún caso podrán invocarse circunstancias excepcionales tales como estado de guerra o amenaza de guerra, inestabilidad política interna o cualquier otra emergencia pública como justificación de la tortura”, el Subcomité reitera su recomendación de que todas las denuncias de tortura y malos tratos sean investigadas y perseguidas, y se </w:t>
      </w:r>
      <w:r w:rsidR="00207C3F">
        <w:rPr>
          <w:b/>
          <w:lang w:val="es-ES_tradnl"/>
        </w:rPr>
        <w:t xml:space="preserve">imponga a los autores de esos actos </w:t>
      </w:r>
      <w:r w:rsidRPr="00783CB4">
        <w:rPr>
          <w:b/>
          <w:lang w:val="es-ES_tradnl"/>
        </w:rPr>
        <w:t xml:space="preserve">sanciones acordes con la gravedad de </w:t>
      </w:r>
      <w:r w:rsidR="00207C3F">
        <w:rPr>
          <w:b/>
          <w:lang w:val="es-ES_tradnl"/>
        </w:rPr>
        <w:t>estos</w:t>
      </w:r>
      <w:r w:rsidRPr="00783CB4">
        <w:rPr>
          <w:b/>
          <w:lang w:val="es-ES_tradnl"/>
        </w:rPr>
        <w:t>.</w:t>
      </w:r>
    </w:p>
    <w:p w:rsidR="00783CB4" w:rsidRPr="00783CB4" w:rsidRDefault="00207C3F" w:rsidP="00207C3F">
      <w:pPr>
        <w:pStyle w:val="H23G"/>
        <w:rPr>
          <w:lang w:val="es-ES_tradnl"/>
        </w:rPr>
      </w:pPr>
      <w:r>
        <w:rPr>
          <w:lang w:val="es-ES_tradnl"/>
        </w:rPr>
        <w:tab/>
      </w:r>
      <w:r w:rsidR="00783CB4" w:rsidRPr="00783CB4">
        <w:rPr>
          <w:lang w:val="es-ES_tradnl"/>
        </w:rPr>
        <w:tab/>
        <w:t>Personas que cumplen cadena perpetua</w:t>
      </w:r>
    </w:p>
    <w:p w:rsidR="00783CB4" w:rsidRPr="00783CB4" w:rsidRDefault="00783CB4" w:rsidP="00783CB4">
      <w:pPr>
        <w:pStyle w:val="SingleTxtG"/>
        <w:rPr>
          <w:b/>
          <w:lang w:val="es-ES_tradnl"/>
        </w:rPr>
      </w:pPr>
      <w:r w:rsidRPr="00783CB4">
        <w:rPr>
          <w:lang w:val="es-ES_tradnl"/>
        </w:rPr>
        <w:t>83.</w:t>
      </w:r>
      <w:r w:rsidRPr="00783CB4">
        <w:rPr>
          <w:lang w:val="es-ES_tradnl"/>
        </w:rPr>
        <w:tab/>
        <w:t xml:space="preserve">En consonancia con las observaciones formuladas en </w:t>
      </w:r>
      <w:r w:rsidR="00207C3F">
        <w:rPr>
          <w:lang w:val="es-ES_tradnl"/>
        </w:rPr>
        <w:t>el informe de su visita de 2011</w:t>
      </w:r>
      <w:r w:rsidRPr="00783CB4">
        <w:rPr>
          <w:lang w:val="es-ES_tradnl"/>
        </w:rPr>
        <w:t xml:space="preserve"> </w:t>
      </w:r>
      <w:r w:rsidR="00207C3F">
        <w:rPr>
          <w:lang w:val="es-ES_tradnl"/>
        </w:rPr>
        <w:t>preocupa</w:t>
      </w:r>
      <w:r w:rsidR="00207C3F" w:rsidRPr="00783CB4">
        <w:rPr>
          <w:lang w:val="es-ES_tradnl"/>
        </w:rPr>
        <w:t xml:space="preserve"> </w:t>
      </w:r>
      <w:r w:rsidR="00207C3F">
        <w:rPr>
          <w:lang w:val="es-ES_tradnl"/>
        </w:rPr>
        <w:t>a</w:t>
      </w:r>
      <w:r w:rsidRPr="00783CB4">
        <w:rPr>
          <w:lang w:val="es-ES_tradnl"/>
        </w:rPr>
        <w:t xml:space="preserve">l Subcomité la inhumana situación de las personas que cumplen condenas a cadena perpetua (véase </w:t>
      </w:r>
      <w:r w:rsidRPr="00783CB4">
        <w:t>CAT/OP/UKR/1, párrs. 128 a 132)</w:t>
      </w:r>
      <w:r w:rsidRPr="00783CB4">
        <w:rPr>
          <w:lang w:val="es-ES_tradnl"/>
        </w:rPr>
        <w:t>. En centros de prisión preventiva de todo el país, incluidos los visitados en Kharkiv, Lviv, Bakhmut, Mariupol y Zaporizhzhia, el Subcomité observó que las celdas eran pequeñas y húmedas</w:t>
      </w:r>
      <w:r w:rsidR="00207C3F">
        <w:rPr>
          <w:lang w:val="es-ES_tradnl"/>
        </w:rPr>
        <w:t xml:space="preserve"> </w:t>
      </w:r>
      <w:r w:rsidR="00207C3F" w:rsidRPr="00783CB4">
        <w:rPr>
          <w:lang w:val="es-ES_tradnl"/>
        </w:rPr>
        <w:t>y estaban mal ventiladas</w:t>
      </w:r>
      <w:r w:rsidR="00A92AE2">
        <w:rPr>
          <w:lang w:val="es-ES_tradnl"/>
        </w:rPr>
        <w:t xml:space="preserve"> y</w:t>
      </w:r>
      <w:r w:rsidR="00207C3F">
        <w:rPr>
          <w:lang w:val="es-ES_tradnl"/>
        </w:rPr>
        <w:t xml:space="preserve"> presentaban </w:t>
      </w:r>
      <w:r w:rsidRPr="00783CB4">
        <w:rPr>
          <w:lang w:val="es-ES_tradnl"/>
        </w:rPr>
        <w:t xml:space="preserve">unas condiciones higiénicas desastrosas y falta de saneamiento. </w:t>
      </w:r>
      <w:r w:rsidR="00207C3F">
        <w:rPr>
          <w:lang w:val="es-ES_tradnl"/>
        </w:rPr>
        <w:t>Además, l</w:t>
      </w:r>
      <w:r w:rsidRPr="00783CB4">
        <w:rPr>
          <w:lang w:val="es-ES_tradnl"/>
        </w:rPr>
        <w:t xml:space="preserve">as celdas también estaban prácticamente </w:t>
      </w:r>
      <w:r w:rsidR="00207C3F">
        <w:rPr>
          <w:lang w:val="es-ES_tradnl"/>
        </w:rPr>
        <w:t xml:space="preserve">vacías </w:t>
      </w:r>
      <w:r w:rsidR="00207C3F" w:rsidRPr="00547A97">
        <w:t>y las instalaciones sanitarias y la ropa de cama eran deficientes</w:t>
      </w:r>
      <w:r w:rsidRPr="00783CB4">
        <w:rPr>
          <w:lang w:val="es-ES_tradnl"/>
        </w:rPr>
        <w:t>. Algunas celdas eran oscuras, mientras que en otras los presos estaban sometidos permanentemente</w:t>
      </w:r>
      <w:r w:rsidR="00207C3F">
        <w:rPr>
          <w:lang w:val="es-ES_tradnl"/>
        </w:rPr>
        <w:t xml:space="preserve"> a iluminación artifical</w:t>
      </w:r>
      <w:r w:rsidRPr="00783CB4">
        <w:rPr>
          <w:lang w:val="es-ES_tradnl"/>
        </w:rPr>
        <w:t>.</w:t>
      </w:r>
    </w:p>
    <w:p w:rsidR="00783CB4" w:rsidRPr="00783CB4" w:rsidRDefault="00783CB4" w:rsidP="00783CB4">
      <w:pPr>
        <w:pStyle w:val="SingleTxtG"/>
        <w:rPr>
          <w:b/>
          <w:lang w:val="es-ES_tradnl"/>
        </w:rPr>
      </w:pPr>
      <w:r w:rsidRPr="00783CB4">
        <w:rPr>
          <w:lang w:val="es-ES_tradnl"/>
        </w:rPr>
        <w:lastRenderedPageBreak/>
        <w:t>84.</w:t>
      </w:r>
      <w:r w:rsidRPr="00783CB4">
        <w:rPr>
          <w:lang w:val="es-ES_tradnl"/>
        </w:rPr>
        <w:tab/>
        <w:t xml:space="preserve">Esas condiciones se veían agravadas por el estricto régimen impuesto a los condenados a cadena perpetua. </w:t>
      </w:r>
      <w:r w:rsidR="00207C3F">
        <w:t>Pese a que no se efectuaban evaluaciones de riesgo individuales,</w:t>
      </w:r>
      <w:r w:rsidR="00207C3F" w:rsidRPr="00B6667A">
        <w:t xml:space="preserve"> </w:t>
      </w:r>
      <w:r w:rsidR="00207C3F">
        <w:t>estos reclusos eran considerados</w:t>
      </w:r>
      <w:r w:rsidR="00207C3F" w:rsidRPr="00B6667A">
        <w:t xml:space="preserve"> peligrosos</w:t>
      </w:r>
      <w:r w:rsidR="00207C3F">
        <w:t xml:space="preserve"> y, por consiguiente, obligados a permanecer</w:t>
      </w:r>
      <w:r w:rsidR="00207C3F" w:rsidRPr="00783CB4">
        <w:rPr>
          <w:lang w:val="es-ES_tradnl"/>
        </w:rPr>
        <w:t xml:space="preserve"> </w:t>
      </w:r>
      <w:r w:rsidRPr="00783CB4">
        <w:rPr>
          <w:lang w:val="es-ES_tradnl"/>
        </w:rPr>
        <w:t xml:space="preserve">encerrados en sus celdas 23 horas al día sin </w:t>
      </w:r>
      <w:r w:rsidR="00207C3F">
        <w:rPr>
          <w:lang w:val="es-ES_tradnl"/>
        </w:rPr>
        <w:t xml:space="preserve">que se les brindara </w:t>
      </w:r>
      <w:r w:rsidRPr="00783CB4">
        <w:rPr>
          <w:lang w:val="es-ES_tradnl"/>
        </w:rPr>
        <w:t>la oportunidad de realizar actividades laborales o recreativas. El acceso a instalaciones para hacer ejercicio físico era insuficiente. Además, estos presos denunciaron que eran esposados cuando los sacaban de la celda para hacer ejercicio o durante los reconocimientos médicos. Este régimen general, más estricto que el aplicado a otros reclusos, equivale a someter a los condenados a cadena perpetua a medidas disciplinarias durante toda su reclusión.</w:t>
      </w:r>
    </w:p>
    <w:p w:rsidR="00783CB4" w:rsidRPr="00783CB4" w:rsidRDefault="00783CB4" w:rsidP="00783CB4">
      <w:pPr>
        <w:pStyle w:val="SingleTxtG"/>
        <w:rPr>
          <w:b/>
          <w:lang w:val="es-ES_tradnl"/>
        </w:rPr>
      </w:pPr>
      <w:r w:rsidRPr="00783CB4">
        <w:rPr>
          <w:lang w:val="es-ES_tradnl"/>
        </w:rPr>
        <w:t>85.</w:t>
      </w:r>
      <w:r w:rsidRPr="00783CB4">
        <w:rPr>
          <w:lang w:val="es-ES_tradnl"/>
        </w:rPr>
        <w:tab/>
      </w:r>
      <w:r w:rsidRPr="00783CB4">
        <w:rPr>
          <w:b/>
          <w:lang w:val="es-ES_tradnl"/>
        </w:rPr>
        <w:t xml:space="preserve">El Subcomité reitera su recomendación al Estado parte de que mejore las condiciones materiales de las celdas, en particular el </w:t>
      </w:r>
      <w:r w:rsidR="00207C3F">
        <w:rPr>
          <w:b/>
          <w:lang w:val="es-ES_tradnl"/>
        </w:rPr>
        <w:t xml:space="preserve">suministro de </w:t>
      </w:r>
      <w:r w:rsidRPr="00783CB4">
        <w:rPr>
          <w:b/>
          <w:lang w:val="es-ES_tradnl"/>
        </w:rPr>
        <w:t xml:space="preserve">agua y el saneamiento, y que ponga remedio a la falta de actividades para las personas que cumplen condenas a cadena perpetua (véase </w:t>
      </w:r>
      <w:r w:rsidRPr="00783CB4">
        <w:rPr>
          <w:b/>
        </w:rPr>
        <w:t>CAT/OP/UKR/1, párr. 132)</w:t>
      </w:r>
      <w:r w:rsidRPr="00783CB4">
        <w:rPr>
          <w:b/>
          <w:lang w:val="es-ES_tradnl"/>
        </w:rPr>
        <w:t>.</w:t>
      </w:r>
    </w:p>
    <w:p w:rsidR="00783CB4" w:rsidRPr="00783CB4" w:rsidRDefault="00783CB4" w:rsidP="00783CB4">
      <w:pPr>
        <w:pStyle w:val="SingleTxtG"/>
        <w:rPr>
          <w:b/>
          <w:lang w:val="es-ES_tradnl"/>
        </w:rPr>
      </w:pPr>
      <w:r w:rsidRPr="00783CB4">
        <w:rPr>
          <w:lang w:val="es-ES_tradnl"/>
        </w:rPr>
        <w:t>86.</w:t>
      </w:r>
      <w:r w:rsidRPr="00783CB4">
        <w:rPr>
          <w:lang w:val="es-ES_tradnl"/>
        </w:rPr>
        <w:tab/>
      </w:r>
      <w:r w:rsidRPr="00783CB4">
        <w:rPr>
          <w:b/>
          <w:lang w:val="es-ES_tradnl"/>
        </w:rPr>
        <w:t xml:space="preserve">El Subcomité recomienda que el Estado parte reforme el régimen aplicado a las personas que cumplen condenas a cadena perpetua de </w:t>
      </w:r>
      <w:r w:rsidR="00207C3F">
        <w:rPr>
          <w:b/>
          <w:lang w:val="es-ES_tradnl"/>
        </w:rPr>
        <w:t xml:space="preserve">modo </w:t>
      </w:r>
      <w:r w:rsidRPr="00783CB4">
        <w:rPr>
          <w:b/>
          <w:lang w:val="es-ES_tradnl"/>
        </w:rPr>
        <w:t xml:space="preserve">que no sean </w:t>
      </w:r>
      <w:r w:rsidR="00A15687" w:rsidRPr="00A15687">
        <w:rPr>
          <w:b/>
        </w:rPr>
        <w:t>sometidos uniformemente a un castigo más severo que el dictado en</w:t>
      </w:r>
      <w:r w:rsidR="00A15687" w:rsidRPr="00A15687">
        <w:rPr>
          <w:b/>
          <w:lang w:val="es-ES_tradnl"/>
        </w:rPr>
        <w:t xml:space="preserve"> </w:t>
      </w:r>
      <w:r w:rsidR="00A15687">
        <w:rPr>
          <w:b/>
          <w:lang w:val="es-ES_tradnl"/>
        </w:rPr>
        <w:t>s</w:t>
      </w:r>
      <w:r w:rsidRPr="00783CB4">
        <w:rPr>
          <w:b/>
          <w:lang w:val="es-ES_tradnl"/>
        </w:rPr>
        <w:t xml:space="preserve">u condena. Recomienda también que esos reclusos, al igual que otras personas privadas de libertad, cumplan su pena con arreglo a un plan de tratamiento diseñado sobre la base de una evaluación individual </w:t>
      </w:r>
      <w:r w:rsidR="00A15687">
        <w:rPr>
          <w:b/>
          <w:lang w:val="es-ES_tradnl"/>
        </w:rPr>
        <w:t xml:space="preserve">respecto </w:t>
      </w:r>
      <w:r w:rsidRPr="00783CB4">
        <w:rPr>
          <w:b/>
          <w:lang w:val="es-ES_tradnl"/>
        </w:rPr>
        <w:t>de la seguridad.</w:t>
      </w:r>
    </w:p>
    <w:p w:rsidR="00783CB4" w:rsidRPr="00783CB4" w:rsidRDefault="00A15687" w:rsidP="00A15687">
      <w:pPr>
        <w:pStyle w:val="H23G"/>
        <w:rPr>
          <w:lang w:val="es-ES_tradnl"/>
        </w:rPr>
      </w:pPr>
      <w:r>
        <w:rPr>
          <w:lang w:val="es-ES_tradnl"/>
        </w:rPr>
        <w:tab/>
      </w:r>
      <w:r w:rsidR="00783CB4" w:rsidRPr="00783CB4">
        <w:rPr>
          <w:lang w:val="es-ES_tradnl"/>
        </w:rPr>
        <w:tab/>
        <w:t>Traslados</w:t>
      </w:r>
    </w:p>
    <w:p w:rsidR="00783CB4" w:rsidRPr="00783CB4" w:rsidRDefault="00783CB4" w:rsidP="00783CB4">
      <w:pPr>
        <w:pStyle w:val="SingleTxtG"/>
        <w:rPr>
          <w:b/>
          <w:lang w:val="es-ES_tradnl"/>
        </w:rPr>
      </w:pPr>
      <w:r w:rsidRPr="00783CB4">
        <w:rPr>
          <w:lang w:val="es-ES_tradnl"/>
        </w:rPr>
        <w:t>87.</w:t>
      </w:r>
      <w:r w:rsidRPr="00783CB4">
        <w:rPr>
          <w:lang w:val="es-ES_tradnl"/>
        </w:rPr>
        <w:tab/>
        <w:t xml:space="preserve">Preocupa al Subcomité el sistema de traslado de presos de una institución a otra. En particular, los traslados frecuentes entre los centros de prisión preventiva de diferentes partes del país y de esos centros a centros de detención temporal perturban la rutina diaria, el contacto con el mundo exterior y el acceso a asistencia letrada, entre otras salvaguardias de los reclusos. Esos traslados también pueden relegar a los presos, durante períodos prolongados, a instituciones como los centros de detención temporal, que no ofrecen las mismas condiciones materiales ni igual acceso a actividades ocupacionales que los centros penitenciarios. Por otro lado, cabe la posibilidad de que, cuando se efectúan sin un propósito de investigación bien definido, los traslados frecuentes se empleen para intimidar o castigar a los presos. Como se indica en el párrafo 61 </w:t>
      </w:r>
      <w:r w:rsidRPr="00783CB4">
        <w:rPr>
          <w:i/>
          <w:lang w:val="es-ES_tradnl"/>
        </w:rPr>
        <w:t>supra</w:t>
      </w:r>
      <w:r w:rsidRPr="00783CB4">
        <w:rPr>
          <w:lang w:val="es-ES_tradnl"/>
        </w:rPr>
        <w:t xml:space="preserve">, el sistema de registro de esos traslados también </w:t>
      </w:r>
      <w:r w:rsidR="00A15687">
        <w:rPr>
          <w:lang w:val="es-ES_tradnl"/>
        </w:rPr>
        <w:t>resulta</w:t>
      </w:r>
      <w:r w:rsidRPr="00783CB4">
        <w:rPr>
          <w:lang w:val="es-ES_tradnl"/>
        </w:rPr>
        <w:t xml:space="preserve"> problemático.</w:t>
      </w:r>
    </w:p>
    <w:p w:rsidR="00783CB4" w:rsidRPr="00783CB4" w:rsidRDefault="00783CB4" w:rsidP="00783CB4">
      <w:pPr>
        <w:pStyle w:val="SingleTxtG"/>
        <w:rPr>
          <w:b/>
          <w:lang w:val="es-ES_tradnl"/>
        </w:rPr>
      </w:pPr>
      <w:r w:rsidRPr="00783CB4">
        <w:rPr>
          <w:lang w:val="es-ES_tradnl"/>
        </w:rPr>
        <w:t>88.</w:t>
      </w:r>
      <w:r w:rsidRPr="00783CB4">
        <w:rPr>
          <w:lang w:val="es-ES_tradnl"/>
        </w:rPr>
        <w:tab/>
        <w:t>El Subcomité observó asimismo que los vehículos utilizados para esos traslados eran oscuros, carecían de ventilación y estaban divididos en numerosas jaulas de reducidas dimensiones</w:t>
      </w:r>
      <w:r w:rsidR="00A15687">
        <w:rPr>
          <w:lang w:val="es-ES_tradnl"/>
        </w:rPr>
        <w:t>,</w:t>
      </w:r>
      <w:r w:rsidRPr="00783CB4">
        <w:rPr>
          <w:lang w:val="es-ES_tradnl"/>
        </w:rPr>
        <w:t xml:space="preserve"> una de </w:t>
      </w:r>
      <w:r w:rsidR="00A15687">
        <w:rPr>
          <w:lang w:val="es-ES_tradnl"/>
        </w:rPr>
        <w:t>las cuales</w:t>
      </w:r>
      <w:r w:rsidRPr="00783CB4">
        <w:rPr>
          <w:lang w:val="es-ES_tradnl"/>
        </w:rPr>
        <w:t xml:space="preserve"> apenas medía 90 cm</w:t>
      </w:r>
      <w:r w:rsidRPr="00783CB4">
        <w:rPr>
          <w:vertAlign w:val="superscript"/>
          <w:lang w:val="es-ES_tradnl"/>
        </w:rPr>
        <w:t>2</w:t>
      </w:r>
      <w:r w:rsidRPr="00783CB4">
        <w:rPr>
          <w:lang w:val="es-ES_tradnl"/>
        </w:rPr>
        <w:t xml:space="preserve">. El Subcomité </w:t>
      </w:r>
      <w:r w:rsidR="00A15687">
        <w:rPr>
          <w:lang w:val="es-ES_tradnl"/>
        </w:rPr>
        <w:t xml:space="preserve">muestra </w:t>
      </w:r>
      <w:r w:rsidRPr="00783CB4">
        <w:rPr>
          <w:lang w:val="es-ES_tradnl"/>
        </w:rPr>
        <w:t>preocupa</w:t>
      </w:r>
      <w:r w:rsidR="00A15687">
        <w:rPr>
          <w:lang w:val="es-ES_tradnl"/>
        </w:rPr>
        <w:t>ción</w:t>
      </w:r>
      <w:r w:rsidRPr="00783CB4">
        <w:rPr>
          <w:lang w:val="es-ES_tradnl"/>
        </w:rPr>
        <w:t xml:space="preserve"> por la información según la cual los presos no reciben alimentos o agua cuando son trasladados para participar en </w:t>
      </w:r>
      <w:r w:rsidR="00A15687">
        <w:rPr>
          <w:lang w:val="es-ES_tradnl"/>
        </w:rPr>
        <w:t>actuaciones del proceso</w:t>
      </w:r>
      <w:r w:rsidRPr="00783CB4">
        <w:rPr>
          <w:lang w:val="es-ES_tradnl"/>
        </w:rPr>
        <w:t xml:space="preserve"> y audiencias judiciales, ni siquiera cuando esos traslados duran varios días.</w:t>
      </w:r>
    </w:p>
    <w:p w:rsidR="00783CB4" w:rsidRPr="00783CB4" w:rsidRDefault="00783CB4" w:rsidP="00783CB4">
      <w:pPr>
        <w:pStyle w:val="SingleTxtG"/>
        <w:rPr>
          <w:b/>
          <w:lang w:val="es-ES_tradnl"/>
        </w:rPr>
      </w:pPr>
      <w:r w:rsidRPr="00783CB4">
        <w:rPr>
          <w:lang w:val="es-ES_tradnl"/>
        </w:rPr>
        <w:t>89.</w:t>
      </w:r>
      <w:r w:rsidRPr="00783CB4">
        <w:rPr>
          <w:lang w:val="es-ES_tradnl"/>
        </w:rPr>
        <w:tab/>
      </w:r>
      <w:r w:rsidRPr="00783CB4">
        <w:rPr>
          <w:b/>
          <w:lang w:val="es-ES_tradnl"/>
        </w:rPr>
        <w:t xml:space="preserve">El Subcomité recomienda </w:t>
      </w:r>
      <w:r w:rsidR="00A15687">
        <w:rPr>
          <w:b/>
          <w:lang w:val="es-ES_tradnl"/>
        </w:rPr>
        <w:t>a</w:t>
      </w:r>
      <w:r w:rsidR="00A15687" w:rsidRPr="00783CB4">
        <w:rPr>
          <w:b/>
          <w:lang w:val="es-ES_tradnl"/>
        </w:rPr>
        <w:t xml:space="preserve">l Estado parte </w:t>
      </w:r>
      <w:r w:rsidRPr="00783CB4">
        <w:rPr>
          <w:b/>
          <w:lang w:val="es-ES_tradnl"/>
        </w:rPr>
        <w:t xml:space="preserve">que evalúe su sistema de traslados para asegurar que se lleven a cabo solamente cuando estén debidamente justificados y que no den lugar a la reclusión de los presos en centros de </w:t>
      </w:r>
      <w:r w:rsidR="00A15687">
        <w:rPr>
          <w:b/>
          <w:lang w:val="es-ES_tradnl"/>
        </w:rPr>
        <w:t xml:space="preserve">reclusión </w:t>
      </w:r>
      <w:r w:rsidRPr="00783CB4">
        <w:rPr>
          <w:b/>
          <w:lang w:val="es-ES_tradnl"/>
        </w:rPr>
        <w:t xml:space="preserve">de corto plazo, como los centros de detención temporal, durante períodos prolongados. </w:t>
      </w:r>
      <w:r w:rsidR="00A15687" w:rsidRPr="00783CB4">
        <w:rPr>
          <w:b/>
          <w:lang w:val="es-ES_tradnl"/>
        </w:rPr>
        <w:t xml:space="preserve">También </w:t>
      </w:r>
      <w:r w:rsidR="00A15687">
        <w:rPr>
          <w:b/>
          <w:lang w:val="es-ES_tradnl"/>
        </w:rPr>
        <w:t xml:space="preserve">le </w:t>
      </w:r>
      <w:r w:rsidRPr="00783CB4">
        <w:rPr>
          <w:b/>
          <w:lang w:val="es-ES_tradnl"/>
        </w:rPr>
        <w:t>recomienda que garantice que las salvaguardias fundamentales, incluido el acceso al mundo exterior, la asistencia letrada y la atención médica, no se vean innecesariamente interru</w:t>
      </w:r>
      <w:r w:rsidR="00A15687">
        <w:rPr>
          <w:b/>
          <w:lang w:val="es-ES_tradnl"/>
        </w:rPr>
        <w:t>mpidas por traslados frecuentes</w:t>
      </w:r>
      <w:r w:rsidRPr="00783CB4">
        <w:rPr>
          <w:b/>
          <w:lang w:val="es-ES_tradnl"/>
        </w:rPr>
        <w:t>.</w:t>
      </w:r>
    </w:p>
    <w:p w:rsidR="00783CB4" w:rsidRPr="00783CB4" w:rsidRDefault="00783CB4" w:rsidP="00783CB4">
      <w:pPr>
        <w:pStyle w:val="SingleTxtG"/>
        <w:rPr>
          <w:b/>
          <w:lang w:val="es-ES_tradnl"/>
        </w:rPr>
      </w:pPr>
      <w:r w:rsidRPr="00783CB4">
        <w:rPr>
          <w:lang w:val="es-ES_tradnl"/>
        </w:rPr>
        <w:t>90.</w:t>
      </w:r>
      <w:r w:rsidRPr="00783CB4">
        <w:rPr>
          <w:lang w:val="es-ES_tradnl"/>
        </w:rPr>
        <w:tab/>
      </w:r>
      <w:r w:rsidRPr="00783CB4">
        <w:rPr>
          <w:b/>
          <w:lang w:val="es-ES_tradnl"/>
        </w:rPr>
        <w:t xml:space="preserve">El Subcomité recomienda </w:t>
      </w:r>
      <w:r w:rsidR="00A15687">
        <w:rPr>
          <w:b/>
          <w:lang w:val="es-ES_tradnl"/>
        </w:rPr>
        <w:t>a</w:t>
      </w:r>
      <w:r w:rsidR="00A15687" w:rsidRPr="00783CB4">
        <w:rPr>
          <w:b/>
          <w:lang w:val="es-ES_tradnl"/>
        </w:rPr>
        <w:t xml:space="preserve">l Estado parte </w:t>
      </w:r>
      <w:r w:rsidRPr="00783CB4">
        <w:rPr>
          <w:b/>
          <w:lang w:val="es-ES_tradnl"/>
        </w:rPr>
        <w:t>que sustituya los vehículos que carecen de s</w:t>
      </w:r>
      <w:r w:rsidR="00A15687">
        <w:rPr>
          <w:b/>
          <w:lang w:val="es-ES_tradnl"/>
        </w:rPr>
        <w:t>uficiente espacio y ventilación</w:t>
      </w:r>
      <w:r w:rsidRPr="00783CB4">
        <w:rPr>
          <w:b/>
          <w:lang w:val="es-ES_tradnl"/>
        </w:rPr>
        <w:t xml:space="preserve"> </w:t>
      </w:r>
      <w:r w:rsidR="00A15687">
        <w:rPr>
          <w:b/>
          <w:lang w:val="es-ES_tradnl"/>
        </w:rPr>
        <w:t>y</w:t>
      </w:r>
      <w:r w:rsidRPr="00783CB4">
        <w:rPr>
          <w:b/>
          <w:lang w:val="es-ES_tradnl"/>
        </w:rPr>
        <w:t xml:space="preserve"> que suspenda el uso de jaulas </w:t>
      </w:r>
      <w:r w:rsidR="00A15687">
        <w:rPr>
          <w:b/>
          <w:lang w:val="es-ES_tradnl"/>
        </w:rPr>
        <w:t>metálicas</w:t>
      </w:r>
      <w:r w:rsidRPr="00783CB4">
        <w:rPr>
          <w:b/>
          <w:lang w:val="es-ES_tradnl"/>
        </w:rPr>
        <w:t xml:space="preserve">, que ponen en peligro a los presos durante el transporte. </w:t>
      </w:r>
      <w:r w:rsidR="00A15687">
        <w:rPr>
          <w:b/>
          <w:lang w:val="es-ES_tradnl"/>
        </w:rPr>
        <w:t>Le</w:t>
      </w:r>
      <w:r w:rsidRPr="00783CB4">
        <w:rPr>
          <w:b/>
          <w:lang w:val="es-ES_tradnl"/>
        </w:rPr>
        <w:t xml:space="preserve"> recomienda asimismo que proporcione a los presos los alimentos y el agua a los que tienen derecho mientras están privados de libertad.</w:t>
      </w:r>
    </w:p>
    <w:p w:rsidR="00783CB4" w:rsidRPr="00783CB4" w:rsidRDefault="00A15687" w:rsidP="00A15687">
      <w:pPr>
        <w:pStyle w:val="H23G"/>
        <w:rPr>
          <w:lang w:val="es-ES_tradnl"/>
        </w:rPr>
      </w:pPr>
      <w:r>
        <w:rPr>
          <w:lang w:val="es-ES_tradnl"/>
        </w:rPr>
        <w:tab/>
      </w:r>
      <w:r w:rsidR="00783CB4" w:rsidRPr="00783CB4">
        <w:rPr>
          <w:lang w:val="es-ES_tradnl"/>
        </w:rPr>
        <w:tab/>
        <w:t>Niños y privación de libertad</w:t>
      </w:r>
    </w:p>
    <w:p w:rsidR="00783CB4" w:rsidRPr="00783CB4" w:rsidRDefault="00A15687" w:rsidP="00A15687">
      <w:pPr>
        <w:pStyle w:val="H4G"/>
        <w:rPr>
          <w:lang w:val="es-ES_tradnl"/>
        </w:rPr>
      </w:pPr>
      <w:r>
        <w:rPr>
          <w:lang w:val="es-ES_tradnl"/>
        </w:rPr>
        <w:tab/>
      </w:r>
      <w:r w:rsidR="00783CB4" w:rsidRPr="00783CB4">
        <w:rPr>
          <w:lang w:val="es-ES_tradnl"/>
        </w:rPr>
        <w:tab/>
        <w:t>Dependencias para madres y bebés</w:t>
      </w:r>
    </w:p>
    <w:p w:rsidR="00783CB4" w:rsidRPr="00783CB4" w:rsidRDefault="00783CB4" w:rsidP="00783CB4">
      <w:pPr>
        <w:pStyle w:val="SingleTxtG"/>
        <w:rPr>
          <w:b/>
          <w:lang w:val="es-ES_tradnl"/>
        </w:rPr>
      </w:pPr>
      <w:r w:rsidRPr="00783CB4">
        <w:rPr>
          <w:lang w:val="es-ES_tradnl"/>
        </w:rPr>
        <w:t>91.</w:t>
      </w:r>
      <w:r w:rsidRPr="00783CB4">
        <w:rPr>
          <w:lang w:val="es-ES_tradnl"/>
        </w:rPr>
        <w:tab/>
        <w:t xml:space="preserve">El Subcomité </w:t>
      </w:r>
      <w:r w:rsidR="00A15687" w:rsidRPr="001668C6">
        <w:t xml:space="preserve">observa con satisfacción que en las colonias penitenciarias de Chernigov y </w:t>
      </w:r>
      <w:r w:rsidR="00A15687">
        <w:t xml:space="preserve">Chornomorsk existen instalaciones limpias, luminosas y bien equipadas para </w:t>
      </w:r>
      <w:r w:rsidR="00A15687">
        <w:lastRenderedPageBreak/>
        <w:t>madres y bebés.</w:t>
      </w:r>
      <w:r w:rsidRPr="00783CB4">
        <w:rPr>
          <w:lang w:val="es-ES_tradnl"/>
        </w:rPr>
        <w:t xml:space="preserve"> La dependencia de Chernigov, en particular, incluye una sala de juegos, </w:t>
      </w:r>
      <w:r w:rsidR="00A15687">
        <w:rPr>
          <w:lang w:val="es-ES_tradnl"/>
        </w:rPr>
        <w:t>equipamiento</w:t>
      </w:r>
      <w:r w:rsidRPr="00783CB4">
        <w:rPr>
          <w:lang w:val="es-ES_tradnl"/>
        </w:rPr>
        <w:t xml:space="preserve"> y dormitorios individuales donde las reclusas que han dado a luz recientemente pueden </w:t>
      </w:r>
      <w:r w:rsidR="00A15687">
        <w:rPr>
          <w:lang w:val="es-ES_tradnl"/>
        </w:rPr>
        <w:t>alojarse</w:t>
      </w:r>
      <w:r w:rsidRPr="00783CB4">
        <w:rPr>
          <w:lang w:val="es-ES_tradnl"/>
        </w:rPr>
        <w:t xml:space="preserve"> con sus hijos. Con todo, el Subcomité considera que esas instalaciones pueden adaptarse aún mejor </w:t>
      </w:r>
      <w:r w:rsidR="00A15687">
        <w:rPr>
          <w:lang w:val="es-ES_tradnl"/>
        </w:rPr>
        <w:t>a</w:t>
      </w:r>
      <w:r w:rsidRPr="00783CB4">
        <w:rPr>
          <w:lang w:val="es-ES_tradnl"/>
        </w:rPr>
        <w:t xml:space="preserve"> los niños. Por ejemplo, las salas para las visitas familiares son poco acogedoras y carecen de decoración </w:t>
      </w:r>
      <w:r w:rsidR="00D925F4">
        <w:rPr>
          <w:lang w:val="es-ES_tradnl"/>
        </w:rPr>
        <w:t>infantil</w:t>
      </w:r>
      <w:r w:rsidRPr="00783CB4">
        <w:rPr>
          <w:lang w:val="es-ES_tradnl"/>
        </w:rPr>
        <w:t xml:space="preserve">. Las salas de visitas en ambos lugares tienen separadores de vidrio, lo que </w:t>
      </w:r>
      <w:r w:rsidR="00D925F4">
        <w:rPr>
          <w:lang w:val="es-ES_tradnl"/>
        </w:rPr>
        <w:t>impide</w:t>
      </w:r>
      <w:r w:rsidRPr="00783CB4">
        <w:rPr>
          <w:lang w:val="es-ES_tradnl"/>
        </w:rPr>
        <w:t xml:space="preserve"> a las reclusas y sus hijos tener contacto con los visitantes en un entorno familiar. Por último, las embarazadas son </w:t>
      </w:r>
      <w:r w:rsidR="00D925F4">
        <w:rPr>
          <w:lang w:val="es-ES_tradnl"/>
        </w:rPr>
        <w:t>alojadas</w:t>
      </w:r>
      <w:r w:rsidRPr="00783CB4">
        <w:rPr>
          <w:lang w:val="es-ES_tradnl"/>
        </w:rPr>
        <w:t xml:space="preserve"> con la población reclusa general en dormitorios colectivos, ubicados en instalaciones </w:t>
      </w:r>
      <w:r w:rsidR="00D925F4">
        <w:rPr>
          <w:lang w:val="es-ES_tradnl"/>
        </w:rPr>
        <w:t>más antiguas</w:t>
      </w:r>
      <w:r w:rsidRPr="00783CB4">
        <w:rPr>
          <w:lang w:val="es-ES_tradnl"/>
        </w:rPr>
        <w:t xml:space="preserve"> y mal iluminadas.</w:t>
      </w:r>
    </w:p>
    <w:p w:rsidR="00783CB4" w:rsidRPr="00783CB4" w:rsidRDefault="00783CB4" w:rsidP="00783CB4">
      <w:pPr>
        <w:pStyle w:val="SingleTxtG"/>
        <w:rPr>
          <w:b/>
          <w:lang w:val="es-ES_tradnl"/>
        </w:rPr>
      </w:pPr>
      <w:r w:rsidRPr="00783CB4">
        <w:rPr>
          <w:lang w:val="es-ES_tradnl"/>
        </w:rPr>
        <w:t>92.</w:t>
      </w:r>
      <w:r w:rsidRPr="00783CB4">
        <w:rPr>
          <w:lang w:val="es-ES_tradnl"/>
        </w:rPr>
        <w:tab/>
        <w:t xml:space="preserve">A pesar de las condiciones materiales relativamente buenas </w:t>
      </w:r>
      <w:r w:rsidR="00D925F4">
        <w:rPr>
          <w:lang w:val="es-ES_tradnl"/>
        </w:rPr>
        <w:t xml:space="preserve">de </w:t>
      </w:r>
      <w:r w:rsidRPr="00783CB4">
        <w:rPr>
          <w:lang w:val="es-ES_tradnl"/>
        </w:rPr>
        <w:t xml:space="preserve">las dependencias para madres y niños, preocupa al Subcomité el bienestar psicológico de las madres que se encuentran en ellas. El Subcomité observa con preocupación el hecho de que los niños son separados de sus madres durante varios días después del parto y durante los períodos de enfermedad grave, lo que causa ansiedad a las madres y podría obstaculizar la socialización de los niños. Mientras que </w:t>
      </w:r>
      <w:r w:rsidR="00D925F4" w:rsidRPr="00783CB4">
        <w:rPr>
          <w:lang w:val="es-ES_tradnl"/>
        </w:rPr>
        <w:t xml:space="preserve">en Chernigov </w:t>
      </w:r>
      <w:r w:rsidRPr="00783CB4">
        <w:rPr>
          <w:lang w:val="es-ES_tradnl"/>
        </w:rPr>
        <w:t xml:space="preserve">las madres que han dado a luz viven en alojamientos luminosos junto con sus hijos, en Chornomorsk las madres y los niños no viven juntos sino que </w:t>
      </w:r>
      <w:r w:rsidR="00D925F4" w:rsidRPr="00783CB4">
        <w:rPr>
          <w:lang w:val="es-ES_tradnl"/>
        </w:rPr>
        <w:t xml:space="preserve">se reúnen </w:t>
      </w:r>
      <w:r w:rsidRPr="00783CB4">
        <w:rPr>
          <w:lang w:val="es-ES_tradnl"/>
        </w:rPr>
        <w:t xml:space="preserve">solo dos veces al día durante dos horas, lo que supone un tiempo </w:t>
      </w:r>
      <w:r w:rsidR="00D925F4" w:rsidRPr="00783CB4">
        <w:rPr>
          <w:lang w:val="es-ES_tradnl"/>
        </w:rPr>
        <w:t xml:space="preserve">de contacto </w:t>
      </w:r>
      <w:r w:rsidRPr="00783CB4">
        <w:rPr>
          <w:lang w:val="es-ES_tradnl"/>
        </w:rPr>
        <w:t>insuficiente para el desarrollo</w:t>
      </w:r>
      <w:r w:rsidR="00D925F4">
        <w:rPr>
          <w:lang w:val="es-ES_tradnl"/>
        </w:rPr>
        <w:t xml:space="preserve"> en la primera infancia</w:t>
      </w:r>
      <w:r w:rsidRPr="00783CB4">
        <w:rPr>
          <w:lang w:val="es-ES_tradnl"/>
        </w:rPr>
        <w:t xml:space="preserve">. Además, puesto que las madres y los niños </w:t>
      </w:r>
      <w:r w:rsidR="00D925F4">
        <w:rPr>
          <w:lang w:val="es-ES_tradnl"/>
        </w:rPr>
        <w:t>comen a las mismas horas</w:t>
      </w:r>
      <w:r w:rsidRPr="00783CB4">
        <w:rPr>
          <w:lang w:val="es-ES_tradnl"/>
        </w:rPr>
        <w:t xml:space="preserve"> las madres </w:t>
      </w:r>
      <w:r w:rsidR="00D925F4">
        <w:rPr>
          <w:lang w:val="es-ES_tradnl"/>
        </w:rPr>
        <w:t>deben renunciar a comer si desean ayudar a sus hijos</w:t>
      </w:r>
      <w:r w:rsidRPr="00783CB4">
        <w:rPr>
          <w:lang w:val="es-ES_tradnl"/>
        </w:rPr>
        <w:t xml:space="preserve">. El Subcomité </w:t>
      </w:r>
      <w:r w:rsidR="00D925F4">
        <w:rPr>
          <w:lang w:val="es-ES_tradnl"/>
        </w:rPr>
        <w:t xml:space="preserve">observa </w:t>
      </w:r>
      <w:r w:rsidRPr="00783CB4">
        <w:rPr>
          <w:lang w:val="es-ES_tradnl"/>
        </w:rPr>
        <w:t xml:space="preserve">con </w:t>
      </w:r>
      <w:r w:rsidR="00D925F4">
        <w:rPr>
          <w:lang w:val="es-ES_tradnl"/>
        </w:rPr>
        <w:t xml:space="preserve">reconocimiento </w:t>
      </w:r>
      <w:r w:rsidRPr="00783CB4">
        <w:rPr>
          <w:lang w:val="es-ES_tradnl"/>
        </w:rPr>
        <w:t xml:space="preserve">la </w:t>
      </w:r>
      <w:r w:rsidR="00D925F4">
        <w:rPr>
          <w:lang w:val="es-ES_tradnl"/>
        </w:rPr>
        <w:t xml:space="preserve">designación </w:t>
      </w:r>
      <w:r w:rsidRPr="00783CB4">
        <w:rPr>
          <w:lang w:val="es-ES_tradnl"/>
        </w:rPr>
        <w:t xml:space="preserve">de un psicólogo infantil como </w:t>
      </w:r>
      <w:r w:rsidR="00D925F4">
        <w:rPr>
          <w:lang w:val="es-ES_tradnl"/>
        </w:rPr>
        <w:t>d</w:t>
      </w:r>
      <w:r w:rsidRPr="00783CB4">
        <w:rPr>
          <w:lang w:val="es-ES_tradnl"/>
        </w:rPr>
        <w:t xml:space="preserve">irector de la dependencia de Chernigov, donde las madres y los niños también </w:t>
      </w:r>
      <w:r w:rsidR="00D925F4">
        <w:rPr>
          <w:lang w:val="es-ES_tradnl"/>
        </w:rPr>
        <w:t xml:space="preserve">disponen </w:t>
      </w:r>
      <w:r w:rsidRPr="00783CB4">
        <w:rPr>
          <w:lang w:val="es-ES_tradnl"/>
        </w:rPr>
        <w:t>de una amplia gama de actividades. Sin embargo, no se observó que existieran actividades similares en Chornomorsk, donde tampoco había registros del historial psicológico y psiquiátrico de las reclusas. Además, las reclusas de Chornomorsk mostraban signos de sufrimiento emocion</w:t>
      </w:r>
      <w:r w:rsidR="00D925F4">
        <w:rPr>
          <w:lang w:val="es-ES_tradnl"/>
        </w:rPr>
        <w:t>al, como ansiedad manifiesta y</w:t>
      </w:r>
      <w:r w:rsidR="00D925F4" w:rsidRPr="00E91A0D">
        <w:t>, en algunos casos, cicatrices de cortes en los brazos</w:t>
      </w:r>
      <w:r w:rsidRPr="00783CB4">
        <w:rPr>
          <w:lang w:val="es-ES_tradnl"/>
        </w:rPr>
        <w:t>.</w:t>
      </w:r>
    </w:p>
    <w:p w:rsidR="00783CB4" w:rsidRPr="00783CB4" w:rsidRDefault="00783CB4" w:rsidP="00783CB4">
      <w:pPr>
        <w:pStyle w:val="SingleTxtG"/>
        <w:rPr>
          <w:b/>
          <w:lang w:val="es-ES_tradnl"/>
        </w:rPr>
      </w:pPr>
      <w:r w:rsidRPr="00783CB4">
        <w:rPr>
          <w:lang w:val="es-ES_tradnl"/>
        </w:rPr>
        <w:t>93.</w:t>
      </w:r>
      <w:r w:rsidRPr="00783CB4">
        <w:rPr>
          <w:lang w:val="es-ES_tradnl"/>
        </w:rPr>
        <w:tab/>
        <w:t>Preocupa al Subcomité el trato que reciben las mujeres en Chornomorsk, donde se han denunciado abusos y trabajos forzosos. En particular, el Subcomité ha recibido denuncias de agresiones verbales de funcionarios y cuidadores contra las madres y conductas agresivas hacia sus hijos pequeños. Durante su visita, el Subcomité observó que las reclusas estaban atemorizadas y eran obligadas a ponerse de pie al entrar los funcionarios de la dependencia. Además, el Subcomité ha tenido conocimiento de duras medidas</w:t>
      </w:r>
      <w:r w:rsidR="00D925F4">
        <w:rPr>
          <w:lang w:val="es-ES_tradnl"/>
        </w:rPr>
        <w:t xml:space="preserve"> disciplinarias</w:t>
      </w:r>
      <w:r w:rsidRPr="00783CB4">
        <w:rPr>
          <w:lang w:val="es-ES_tradnl"/>
        </w:rPr>
        <w:t>, entre ellas medidas de aislamiento durante períodos de hasta diez días y</w:t>
      </w:r>
      <w:r w:rsidR="00D925F4">
        <w:rPr>
          <w:lang w:val="es-ES_tradnl"/>
        </w:rPr>
        <w:t xml:space="preserve"> la</w:t>
      </w:r>
      <w:r w:rsidRPr="00783CB4">
        <w:rPr>
          <w:lang w:val="es-ES_tradnl"/>
        </w:rPr>
        <w:t xml:space="preserve"> separación </w:t>
      </w:r>
      <w:r w:rsidR="00D925F4">
        <w:rPr>
          <w:lang w:val="es-ES_tradnl"/>
        </w:rPr>
        <w:t>de las madres respecto de sus hijos</w:t>
      </w:r>
      <w:r w:rsidRPr="00783CB4">
        <w:rPr>
          <w:lang w:val="es-ES_tradnl"/>
        </w:rPr>
        <w:t xml:space="preserve">, impuestas por infracciones. El Subcomité </w:t>
      </w:r>
      <w:r w:rsidR="00D925F4">
        <w:rPr>
          <w:lang w:val="es-ES_tradnl"/>
        </w:rPr>
        <w:t xml:space="preserve">observa </w:t>
      </w:r>
      <w:r w:rsidRPr="00783CB4">
        <w:rPr>
          <w:lang w:val="es-ES_tradnl"/>
        </w:rPr>
        <w:t xml:space="preserve">también que todas las mujeres no embarazadas </w:t>
      </w:r>
      <w:r w:rsidR="00D925F4">
        <w:rPr>
          <w:lang w:val="es-ES_tradnl"/>
        </w:rPr>
        <w:t xml:space="preserve">recluidas en ese centro </w:t>
      </w:r>
      <w:r w:rsidRPr="00783CB4">
        <w:rPr>
          <w:lang w:val="es-ES_tradnl"/>
        </w:rPr>
        <w:t xml:space="preserve">están obligadas a trabajar a cambio de una remuneración insignificante. Se afirma también que algunas madres han sido castigadas por denunciar abusos, </w:t>
      </w:r>
      <w:r w:rsidR="00D925F4">
        <w:rPr>
          <w:lang w:val="es-ES_tradnl"/>
        </w:rPr>
        <w:t>por ejemplo</w:t>
      </w:r>
      <w:r w:rsidRPr="00783CB4">
        <w:rPr>
          <w:lang w:val="es-ES_tradnl"/>
        </w:rPr>
        <w:t xml:space="preserve"> siendo obligadas a realizar trabajos manuales no remunerados.</w:t>
      </w:r>
    </w:p>
    <w:p w:rsidR="00783CB4" w:rsidRPr="00783CB4" w:rsidRDefault="00783CB4" w:rsidP="00783CB4">
      <w:pPr>
        <w:pStyle w:val="SingleTxtG"/>
        <w:rPr>
          <w:b/>
          <w:lang w:val="es-ES_tradnl"/>
        </w:rPr>
      </w:pPr>
      <w:r w:rsidRPr="00783CB4">
        <w:rPr>
          <w:lang w:val="es-ES_tradnl"/>
        </w:rPr>
        <w:t>94.</w:t>
      </w:r>
      <w:r w:rsidRPr="00783CB4">
        <w:rPr>
          <w:lang w:val="es-ES_tradnl"/>
        </w:rPr>
        <w:tab/>
      </w:r>
      <w:r w:rsidRPr="00783CB4">
        <w:rPr>
          <w:b/>
          <w:lang w:val="es-ES_tradnl"/>
        </w:rPr>
        <w:t>El Subcomité recomienda que el Estado parte adapte las dependencias que acogen a madres y niños para fomentar el estrechamiento de</w:t>
      </w:r>
      <w:r w:rsidR="00D925F4">
        <w:rPr>
          <w:b/>
          <w:lang w:val="es-ES_tradnl"/>
        </w:rPr>
        <w:t xml:space="preserve"> los</w:t>
      </w:r>
      <w:r w:rsidRPr="00783CB4">
        <w:rPr>
          <w:b/>
          <w:lang w:val="es-ES_tradnl"/>
        </w:rPr>
        <w:t xml:space="preserve"> lazos familiares entre las madres reclusas y sus hijos, así como entre ellos y las personas que los visitan. También recomienda que las mujeres embarazadas sean alojadas en instalaciones renovadas a fin de </w:t>
      </w:r>
      <w:r w:rsidR="00D925F4">
        <w:rPr>
          <w:b/>
          <w:lang w:val="es-ES_tradnl"/>
        </w:rPr>
        <w:t xml:space="preserve">respetar </w:t>
      </w:r>
      <w:r w:rsidRPr="00783CB4">
        <w:rPr>
          <w:b/>
          <w:lang w:val="es-ES_tradnl"/>
        </w:rPr>
        <w:t xml:space="preserve">su intimidad </w:t>
      </w:r>
      <w:r w:rsidR="00D925F4">
        <w:rPr>
          <w:b/>
          <w:lang w:val="es-ES_tradnl"/>
        </w:rPr>
        <w:t xml:space="preserve">y proteger </w:t>
      </w:r>
      <w:r w:rsidRPr="00783CB4">
        <w:rPr>
          <w:b/>
          <w:lang w:val="es-ES_tradnl"/>
        </w:rPr>
        <w:t>su salud.</w:t>
      </w:r>
    </w:p>
    <w:p w:rsidR="00783CB4" w:rsidRPr="00783CB4" w:rsidRDefault="00783CB4" w:rsidP="00783CB4">
      <w:pPr>
        <w:pStyle w:val="SingleTxtG"/>
        <w:rPr>
          <w:b/>
          <w:lang w:val="es-ES_tradnl"/>
        </w:rPr>
      </w:pPr>
      <w:r w:rsidRPr="00783CB4">
        <w:rPr>
          <w:lang w:val="es-ES_tradnl"/>
        </w:rPr>
        <w:t>95.</w:t>
      </w:r>
      <w:r w:rsidRPr="00783CB4">
        <w:rPr>
          <w:lang w:val="es-ES_tradnl"/>
        </w:rPr>
        <w:tab/>
      </w:r>
      <w:r w:rsidRPr="00783CB4">
        <w:rPr>
          <w:b/>
          <w:lang w:val="es-ES_tradnl"/>
        </w:rPr>
        <w:t xml:space="preserve">El Subcomité recomienda también que el Estado parte garantice la prestación de servicios adecuados de atención psicológica a las mujeres embarazadas y las </w:t>
      </w:r>
      <w:r w:rsidR="002D0FAD">
        <w:rPr>
          <w:b/>
          <w:lang w:val="es-ES_tradnl"/>
        </w:rPr>
        <w:t>recientes</w:t>
      </w:r>
      <w:r w:rsidRPr="00783CB4">
        <w:rPr>
          <w:b/>
          <w:lang w:val="es-ES_tradnl"/>
        </w:rPr>
        <w:t xml:space="preserve"> madres con el fin de reducir el riesgo de sufrimiento psicológico y minimizar los efectos negativos de la privación de libertad en sus hijos. El Estado parte debe </w:t>
      </w:r>
      <w:r w:rsidR="002D0FAD">
        <w:rPr>
          <w:b/>
          <w:lang w:val="es-ES_tradnl"/>
        </w:rPr>
        <w:t>brindar mayor</w:t>
      </w:r>
      <w:r w:rsidRPr="00783CB4">
        <w:rPr>
          <w:b/>
          <w:lang w:val="es-ES_tradnl"/>
        </w:rPr>
        <w:t xml:space="preserve"> orientación, </w:t>
      </w:r>
      <w:r w:rsidR="002D0FAD">
        <w:rPr>
          <w:b/>
          <w:lang w:val="es-ES_tradnl"/>
        </w:rPr>
        <w:t xml:space="preserve">atención </w:t>
      </w:r>
      <w:r w:rsidRPr="00783CB4">
        <w:rPr>
          <w:b/>
          <w:lang w:val="es-ES_tradnl"/>
        </w:rPr>
        <w:t xml:space="preserve">de </w:t>
      </w:r>
      <w:r w:rsidR="002D0FAD">
        <w:rPr>
          <w:b/>
          <w:lang w:val="es-ES_tradnl"/>
        </w:rPr>
        <w:t xml:space="preserve">la </w:t>
      </w:r>
      <w:r w:rsidRPr="00783CB4">
        <w:rPr>
          <w:b/>
          <w:lang w:val="es-ES_tradnl"/>
        </w:rPr>
        <w:t>salud y medicamentos, según sea necesario.</w:t>
      </w:r>
    </w:p>
    <w:p w:rsidR="00783CB4" w:rsidRPr="00783CB4" w:rsidRDefault="00783CB4" w:rsidP="00783CB4">
      <w:pPr>
        <w:pStyle w:val="SingleTxtG"/>
        <w:rPr>
          <w:b/>
          <w:lang w:val="es-ES_tradnl"/>
        </w:rPr>
      </w:pPr>
      <w:r w:rsidRPr="00783CB4">
        <w:rPr>
          <w:lang w:val="es-ES_tradnl"/>
        </w:rPr>
        <w:t>96.</w:t>
      </w:r>
      <w:r w:rsidRPr="00783CB4">
        <w:rPr>
          <w:lang w:val="es-ES_tradnl"/>
        </w:rPr>
        <w:tab/>
      </w:r>
      <w:r w:rsidRPr="00783CB4">
        <w:rPr>
          <w:b/>
          <w:lang w:val="es-ES_tradnl"/>
        </w:rPr>
        <w:t xml:space="preserve">Asimismo, el Subcomité recomienda que el Estado parte reorganice la dependencia para madres y bebés de Chornomorsk, tomando como modelo la de Chernigov, de modo que las madres y los bebés puedan vivir juntos en instalaciones adecuadas. También recomienda que las madres y los niños solo sean separados en casos de grave necesidad médica y que las decisiones sobre esas separaciones se tomen caso por caso, teniendo presente el interés superior de la madre y el niño. Además, el Subcomité recomienda que el Estado parte aumente los recursos que se </w:t>
      </w:r>
      <w:r w:rsidR="002D0FAD">
        <w:rPr>
          <w:b/>
          <w:lang w:val="es-ES_tradnl"/>
        </w:rPr>
        <w:t>asignan</w:t>
      </w:r>
      <w:r w:rsidRPr="00783CB4">
        <w:rPr>
          <w:b/>
          <w:lang w:val="es-ES_tradnl"/>
        </w:rPr>
        <w:t xml:space="preserve"> a esas instalaciones a fin de reducir al mínimo la dependencia </w:t>
      </w:r>
      <w:r w:rsidR="002D0FAD">
        <w:rPr>
          <w:b/>
          <w:lang w:val="es-ES_tradnl"/>
        </w:rPr>
        <w:t>financiera</w:t>
      </w:r>
      <w:r w:rsidRPr="00783CB4">
        <w:rPr>
          <w:b/>
          <w:lang w:val="es-ES_tradnl"/>
        </w:rPr>
        <w:t xml:space="preserve"> de donantes externos.</w:t>
      </w:r>
    </w:p>
    <w:p w:rsidR="00783CB4" w:rsidRPr="00783CB4" w:rsidRDefault="00783CB4" w:rsidP="00783CB4">
      <w:pPr>
        <w:pStyle w:val="SingleTxtG"/>
        <w:rPr>
          <w:b/>
          <w:lang w:val="es-ES_tradnl"/>
        </w:rPr>
      </w:pPr>
      <w:r w:rsidRPr="00783CB4">
        <w:rPr>
          <w:lang w:val="es-ES_tradnl"/>
        </w:rPr>
        <w:lastRenderedPageBreak/>
        <w:t>97.</w:t>
      </w:r>
      <w:r w:rsidRPr="00783CB4">
        <w:rPr>
          <w:lang w:val="es-ES_tradnl"/>
        </w:rPr>
        <w:tab/>
      </w:r>
      <w:r w:rsidRPr="00783CB4">
        <w:rPr>
          <w:b/>
          <w:lang w:val="es-ES_tradnl"/>
        </w:rPr>
        <w:t xml:space="preserve">El Subcomité solicita al Estado parte que aborde con urgencia las denuncias de malos tratos </w:t>
      </w:r>
      <w:r w:rsidR="002D0FAD">
        <w:rPr>
          <w:b/>
          <w:lang w:val="es-ES_tradnl"/>
        </w:rPr>
        <w:t>infligidos a</w:t>
      </w:r>
      <w:r w:rsidRPr="00783CB4">
        <w:rPr>
          <w:b/>
          <w:lang w:val="es-ES_tradnl"/>
        </w:rPr>
        <w:t xml:space="preserve"> las mujeres que se encuentran en la dependencia para madres y bebés de Chornomorsk</w:t>
      </w:r>
      <w:r w:rsidR="002D0FAD">
        <w:rPr>
          <w:b/>
          <w:lang w:val="es-ES_tradnl"/>
        </w:rPr>
        <w:t>, y lo</w:t>
      </w:r>
      <w:r w:rsidRPr="00783CB4">
        <w:rPr>
          <w:b/>
          <w:lang w:val="es-ES_tradnl"/>
        </w:rPr>
        <w:t xml:space="preserve"> alienta a </w:t>
      </w:r>
      <w:r w:rsidR="002D0FAD">
        <w:rPr>
          <w:b/>
          <w:lang w:val="es-ES_tradnl"/>
        </w:rPr>
        <w:t xml:space="preserve">intensificar </w:t>
      </w:r>
      <w:r w:rsidRPr="00783CB4">
        <w:rPr>
          <w:b/>
          <w:lang w:val="es-ES_tradnl"/>
        </w:rPr>
        <w:t xml:space="preserve">la supervisión de esa dependencia y garantizar </w:t>
      </w:r>
      <w:r w:rsidR="002D0FAD">
        <w:rPr>
          <w:b/>
          <w:lang w:val="es-ES_tradnl"/>
        </w:rPr>
        <w:t xml:space="preserve">en consecuencia </w:t>
      </w:r>
      <w:r w:rsidRPr="00783CB4">
        <w:rPr>
          <w:b/>
          <w:lang w:val="es-ES_tradnl"/>
        </w:rPr>
        <w:t xml:space="preserve">recursos efectivos como resultado, </w:t>
      </w:r>
      <w:r w:rsidR="002D0FAD">
        <w:rPr>
          <w:b/>
          <w:lang w:val="es-ES_tradnl"/>
        </w:rPr>
        <w:t xml:space="preserve">como </w:t>
      </w:r>
      <w:r w:rsidRPr="00783CB4">
        <w:rPr>
          <w:b/>
          <w:lang w:val="es-ES_tradnl"/>
        </w:rPr>
        <w:t>la destitución del personal que actúa de forma abusiva. El Subcomité recomienda que se garantice la protección contra las represalias a fin de asegurar la exactitud de la información recibida por los mecanismos de supervisión.</w:t>
      </w:r>
    </w:p>
    <w:p w:rsidR="00783CB4" w:rsidRPr="00783CB4" w:rsidRDefault="002D0FAD" w:rsidP="002D0FAD">
      <w:pPr>
        <w:pStyle w:val="H4G"/>
        <w:rPr>
          <w:lang w:val="es-ES_tradnl"/>
        </w:rPr>
      </w:pPr>
      <w:r>
        <w:rPr>
          <w:lang w:val="es-ES_tradnl"/>
        </w:rPr>
        <w:tab/>
      </w:r>
      <w:r w:rsidR="00783CB4" w:rsidRPr="00783CB4">
        <w:rPr>
          <w:lang w:val="es-ES_tradnl"/>
        </w:rPr>
        <w:tab/>
        <w:t>Centros de acogida para niños</w:t>
      </w:r>
    </w:p>
    <w:p w:rsidR="00783CB4" w:rsidRPr="00783CB4" w:rsidRDefault="00783CB4" w:rsidP="00783CB4">
      <w:pPr>
        <w:pStyle w:val="SingleTxtG"/>
        <w:rPr>
          <w:b/>
          <w:lang w:val="es-ES_tradnl"/>
        </w:rPr>
      </w:pPr>
      <w:r w:rsidRPr="00783CB4">
        <w:rPr>
          <w:lang w:val="es-ES_tradnl"/>
        </w:rPr>
        <w:t>98.</w:t>
      </w:r>
      <w:r w:rsidRPr="00783CB4">
        <w:rPr>
          <w:lang w:val="es-ES_tradnl"/>
        </w:rPr>
        <w:tab/>
        <w:t xml:space="preserve">El Subcomité observa que, a raíz de la revisión de 2012 del Código de Procedimiento Penal, los centros de acogida para niños carecen de un estatuto jurídico claro y </w:t>
      </w:r>
      <w:r w:rsidR="002D0FAD">
        <w:rPr>
          <w:lang w:val="es-ES_tradnl"/>
        </w:rPr>
        <w:t xml:space="preserve">alojan </w:t>
      </w:r>
      <w:r w:rsidRPr="00783CB4">
        <w:rPr>
          <w:lang w:val="es-ES_tradnl"/>
        </w:rPr>
        <w:t xml:space="preserve">solo a un número limitado de niños. El centro de Kiev, por ejemplo, aloja a un máximo de 5 niños a la vez, a pesar de tener capacidad para 40 y una plantilla de 20 personas en servicio. El Subcomité </w:t>
      </w:r>
      <w:r w:rsidR="002D0FAD">
        <w:rPr>
          <w:lang w:val="es-ES_tradnl"/>
        </w:rPr>
        <w:t>entiende</w:t>
      </w:r>
      <w:r w:rsidRPr="00783CB4">
        <w:rPr>
          <w:lang w:val="es-ES_tradnl"/>
        </w:rPr>
        <w:t xml:space="preserve"> que los niños son internados en esos centros como medida de transición antes de ser enviados a otro lugar de </w:t>
      </w:r>
      <w:r w:rsidR="002D0FAD">
        <w:rPr>
          <w:lang w:val="es-ES_tradnl"/>
        </w:rPr>
        <w:t>reclusión</w:t>
      </w:r>
      <w:r w:rsidRPr="00783CB4">
        <w:rPr>
          <w:lang w:val="es-ES_tradnl"/>
        </w:rPr>
        <w:t xml:space="preserve"> o trasladados al extranjero. Sin embargo, no parece que esas instituciones </w:t>
      </w:r>
      <w:r w:rsidR="002D0FAD">
        <w:rPr>
          <w:lang w:val="es-ES_tradnl"/>
        </w:rPr>
        <w:t>se rijan por un conjunto completo de principios</w:t>
      </w:r>
      <w:r w:rsidRPr="00783CB4">
        <w:rPr>
          <w:lang w:val="es-ES_tradnl"/>
        </w:rPr>
        <w:t xml:space="preserve">, su situación en el sistema de privación de libertad no está clara y el Subcomité observa con preocupación que los niños puedan permanecer en ellas hasta 30 días sin beneficiarse de un régimen reglado de actividades </w:t>
      </w:r>
      <w:r w:rsidR="002D0FAD">
        <w:rPr>
          <w:lang w:val="es-ES_tradnl"/>
        </w:rPr>
        <w:t>educativas</w:t>
      </w:r>
      <w:r w:rsidRPr="00783CB4">
        <w:rPr>
          <w:lang w:val="es-ES_tradnl"/>
        </w:rPr>
        <w:t xml:space="preserve"> y sociales.</w:t>
      </w:r>
    </w:p>
    <w:p w:rsidR="00783CB4" w:rsidRPr="00783CB4" w:rsidRDefault="00783CB4" w:rsidP="00783CB4">
      <w:pPr>
        <w:pStyle w:val="SingleTxtG"/>
        <w:rPr>
          <w:b/>
          <w:lang w:val="es-ES_tradnl"/>
        </w:rPr>
      </w:pPr>
      <w:r w:rsidRPr="00783CB4">
        <w:rPr>
          <w:lang w:val="es-ES_tradnl"/>
        </w:rPr>
        <w:t>99.</w:t>
      </w:r>
      <w:r w:rsidRPr="00783CB4">
        <w:rPr>
          <w:lang w:val="es-ES_tradnl"/>
        </w:rPr>
        <w:tab/>
      </w:r>
      <w:r w:rsidRPr="00783CB4">
        <w:rPr>
          <w:b/>
          <w:lang w:val="es-ES_tradnl"/>
        </w:rPr>
        <w:t>El Subcomité recomienda al Estado parte que aclare la función de los centros de acogida</w:t>
      </w:r>
      <w:r w:rsidR="002D0FAD">
        <w:rPr>
          <w:b/>
          <w:lang w:val="es-ES_tradnl"/>
        </w:rPr>
        <w:t xml:space="preserve"> para niños</w:t>
      </w:r>
      <w:r w:rsidRPr="00783CB4">
        <w:rPr>
          <w:b/>
          <w:lang w:val="es-ES_tradnl"/>
        </w:rPr>
        <w:t xml:space="preserve"> en su sistema de privación de libertad, </w:t>
      </w:r>
      <w:r w:rsidR="002D0FAD">
        <w:rPr>
          <w:b/>
          <w:lang w:val="es-ES_tradnl"/>
        </w:rPr>
        <w:t xml:space="preserve">dotando de </w:t>
      </w:r>
      <w:r w:rsidRPr="00783CB4">
        <w:rPr>
          <w:b/>
          <w:lang w:val="es-ES_tradnl"/>
        </w:rPr>
        <w:t xml:space="preserve">una base jurídica apropiada y </w:t>
      </w:r>
      <w:r w:rsidR="002D0FAD">
        <w:rPr>
          <w:b/>
          <w:lang w:val="es-ES_tradnl"/>
        </w:rPr>
        <w:t xml:space="preserve">asignando </w:t>
      </w:r>
      <w:r w:rsidRPr="00783CB4">
        <w:rPr>
          <w:b/>
          <w:lang w:val="es-ES_tradnl"/>
        </w:rPr>
        <w:t>la debida financiación a las instituciones que se han mantenido abiertas tras la revisión del Código de Procedimiento Penal. Recomienda también que el Estado parte proporcione suficientes recursos para intervenciones dirigidas específicamente a ciertos grupos de edad, como en otros lugares de detención, incluida la educación continua, los servicios sociales y la atención médica.</w:t>
      </w:r>
    </w:p>
    <w:p w:rsidR="00783CB4" w:rsidRPr="00783CB4" w:rsidRDefault="002D0FAD" w:rsidP="002D0FAD">
      <w:pPr>
        <w:pStyle w:val="H4G"/>
        <w:rPr>
          <w:lang w:val="es-ES_tradnl"/>
        </w:rPr>
      </w:pPr>
      <w:r>
        <w:rPr>
          <w:lang w:val="es-ES_tradnl"/>
        </w:rPr>
        <w:tab/>
      </w:r>
      <w:r w:rsidR="00783CB4" w:rsidRPr="00783CB4">
        <w:rPr>
          <w:lang w:val="es-ES_tradnl"/>
        </w:rPr>
        <w:tab/>
        <w:t>Instituciones de salud mental</w:t>
      </w:r>
    </w:p>
    <w:p w:rsidR="00783CB4" w:rsidRPr="00783CB4" w:rsidRDefault="00783CB4" w:rsidP="00783CB4">
      <w:pPr>
        <w:pStyle w:val="SingleTxtG"/>
        <w:rPr>
          <w:b/>
          <w:lang w:val="es-ES_tradnl"/>
        </w:rPr>
      </w:pPr>
      <w:r w:rsidRPr="00783CB4">
        <w:rPr>
          <w:lang w:val="es-ES_tradnl"/>
        </w:rPr>
        <w:t>100.</w:t>
      </w:r>
      <w:r w:rsidRPr="00783CB4">
        <w:rPr>
          <w:lang w:val="es-ES_tradnl"/>
        </w:rPr>
        <w:tab/>
      </w:r>
      <w:r w:rsidR="002D0FAD" w:rsidRPr="00BD7ED6">
        <w:t>Preocupa al Subcomité el proce</w:t>
      </w:r>
      <w:r w:rsidR="002D0FAD">
        <w:t>dimiento</w:t>
      </w:r>
      <w:r w:rsidR="002D0FAD" w:rsidRPr="00BD7ED6">
        <w:t xml:space="preserve"> seguido para el internamiento de niños en instituciones de salud mental, ya que, al parecer, ni dicho proce</w:t>
      </w:r>
      <w:r w:rsidR="002D0FAD">
        <w:t>dimiento</w:t>
      </w:r>
      <w:r w:rsidR="002D0FAD" w:rsidRPr="00BD7ED6">
        <w:t xml:space="preserve"> ni el tratamiento m</w:t>
      </w:r>
      <w:r w:rsidR="002D0FAD">
        <w:t>édico administrado a los niños están sujetos a revisión judicial</w:t>
      </w:r>
      <w:r w:rsidRPr="00783CB4">
        <w:rPr>
          <w:lang w:val="es-ES_tradnl"/>
        </w:rPr>
        <w:t xml:space="preserve">. Aunque los administradores confirman que los niños mayores de 14 años están obligados por ley a dar su consentimiento para ser internados en una institución de salud mental, el Subcomité no </w:t>
      </w:r>
      <w:r w:rsidR="002D0FAD">
        <w:rPr>
          <w:lang w:val="es-ES_tradnl"/>
        </w:rPr>
        <w:t xml:space="preserve">cree </w:t>
      </w:r>
      <w:r w:rsidRPr="00783CB4">
        <w:rPr>
          <w:lang w:val="es-ES_tradnl"/>
        </w:rPr>
        <w:t xml:space="preserve">que siempre se satisfaga este requisito en la práctica. Además, los niños menores de 14 años no son consultados ni parecen ser informados antes de ser sometidos a intervenciones psiquiátricas. Por ejemplo, el Subcomité ha tenido conocimiento de que a los niños que son </w:t>
      </w:r>
      <w:r w:rsidR="002D0FAD">
        <w:rPr>
          <w:lang w:val="es-ES_tradnl"/>
        </w:rPr>
        <w:t>atendido</w:t>
      </w:r>
      <w:r w:rsidR="00A92AE2">
        <w:rPr>
          <w:lang w:val="es-ES_tradnl"/>
        </w:rPr>
        <w:t>s</w:t>
      </w:r>
      <w:r w:rsidR="002D0FAD">
        <w:rPr>
          <w:lang w:val="es-ES_tradnl"/>
        </w:rPr>
        <w:t xml:space="preserve"> en </w:t>
      </w:r>
      <w:r w:rsidRPr="00783CB4">
        <w:rPr>
          <w:lang w:val="es-ES_tradnl"/>
        </w:rPr>
        <w:t xml:space="preserve">instituciones de salud mental se les puede mezclar la medicación con la comida si se niegan a recibir tratamiento. Además, parece que la dependencia de menores del hospital psiquiátrico de la ciudad de Pavlova carece de un mecanismo formal </w:t>
      </w:r>
      <w:r w:rsidR="002D0FAD">
        <w:rPr>
          <w:lang w:val="es-ES_tradnl"/>
        </w:rPr>
        <w:t>para la presentación de quejas</w:t>
      </w:r>
      <w:r w:rsidRPr="00783CB4">
        <w:rPr>
          <w:lang w:val="es-ES_tradnl"/>
        </w:rPr>
        <w:t xml:space="preserve">. En su lugar, las </w:t>
      </w:r>
      <w:r w:rsidR="002D0FAD">
        <w:rPr>
          <w:lang w:val="es-ES_tradnl"/>
        </w:rPr>
        <w:t xml:space="preserve">preocupaciones relativas al </w:t>
      </w:r>
      <w:r w:rsidRPr="00783CB4">
        <w:rPr>
          <w:lang w:val="es-ES_tradnl"/>
        </w:rPr>
        <w:t>tratamiento involuntario se comunican y se atienden de palabra.</w:t>
      </w:r>
    </w:p>
    <w:p w:rsidR="00783CB4" w:rsidRPr="00783CB4" w:rsidRDefault="00783CB4" w:rsidP="00783CB4">
      <w:pPr>
        <w:pStyle w:val="SingleTxtG"/>
        <w:rPr>
          <w:b/>
          <w:lang w:val="es-ES_tradnl"/>
        </w:rPr>
      </w:pPr>
      <w:r w:rsidRPr="00783CB4">
        <w:rPr>
          <w:lang w:val="es-ES_tradnl"/>
        </w:rPr>
        <w:t>101.</w:t>
      </w:r>
      <w:r w:rsidRPr="00783CB4">
        <w:rPr>
          <w:lang w:val="es-ES_tradnl"/>
        </w:rPr>
        <w:tab/>
      </w:r>
      <w:r w:rsidRPr="00783CB4">
        <w:rPr>
          <w:b/>
          <w:lang w:val="es-ES_tradnl"/>
        </w:rPr>
        <w:t>El Subcomité recomienda al Estado parte que compr</w:t>
      </w:r>
      <w:r w:rsidR="002D0FAD">
        <w:rPr>
          <w:b/>
          <w:lang w:val="es-ES_tradnl"/>
        </w:rPr>
        <w:t xml:space="preserve">uebe </w:t>
      </w:r>
      <w:r w:rsidRPr="00783CB4">
        <w:rPr>
          <w:b/>
          <w:lang w:val="es-ES_tradnl"/>
        </w:rPr>
        <w:t>sistemática</w:t>
      </w:r>
      <w:r w:rsidR="002D0FAD">
        <w:rPr>
          <w:b/>
          <w:lang w:val="es-ES_tradnl"/>
        </w:rPr>
        <w:t xml:space="preserve">mente </w:t>
      </w:r>
      <w:r w:rsidRPr="00783CB4">
        <w:rPr>
          <w:b/>
          <w:lang w:val="es-ES_tradnl"/>
        </w:rPr>
        <w:t xml:space="preserve">en cada caso la capacidad legal de los pacientes en el momento de su internamiento, antes de permitir que decidan por ellos otras personas, como sus familiares o el personal médico. </w:t>
      </w:r>
      <w:r w:rsidR="002D0FAD">
        <w:rPr>
          <w:b/>
          <w:lang w:val="es-ES_tradnl"/>
        </w:rPr>
        <w:t>En el caso de</w:t>
      </w:r>
      <w:r w:rsidRPr="00783CB4">
        <w:rPr>
          <w:b/>
          <w:lang w:val="es-ES_tradnl"/>
        </w:rPr>
        <w:t xml:space="preserve"> los niños enfermos, se recomienda que la información sobre su estado de salud y sus derechos, las posibles intervenciones y las alternativas a los tratamientos médicos se presente</w:t>
      </w:r>
      <w:r w:rsidR="002D0FAD">
        <w:rPr>
          <w:b/>
          <w:lang w:val="es-ES_tradnl"/>
        </w:rPr>
        <w:t>n en un formato adecuado a su</w:t>
      </w:r>
      <w:r w:rsidRPr="00783CB4">
        <w:rPr>
          <w:b/>
          <w:lang w:val="es-ES_tradnl"/>
        </w:rPr>
        <w:t xml:space="preserve"> edad que les permita comprender su estado de salud, las opciones de tratamiento y las vías de recurso disponibles. Las decisiones relativas a la capacidad legal, la hospitalización involuntaria y el tratamiento involuntario de una persona deben estar sujetas a control judicial.</w:t>
      </w:r>
    </w:p>
    <w:p w:rsidR="00783CB4" w:rsidRPr="00783CB4" w:rsidRDefault="002D0FAD" w:rsidP="002D0FAD">
      <w:pPr>
        <w:pStyle w:val="H4G"/>
        <w:rPr>
          <w:lang w:val="es-ES_tradnl"/>
        </w:rPr>
      </w:pPr>
      <w:r>
        <w:rPr>
          <w:lang w:val="es-ES_tradnl"/>
        </w:rPr>
        <w:tab/>
      </w:r>
      <w:r w:rsidR="00783CB4" w:rsidRPr="00783CB4">
        <w:rPr>
          <w:lang w:val="es-ES_tradnl"/>
        </w:rPr>
        <w:tab/>
        <w:t>Colegios en régimen de internado</w:t>
      </w:r>
    </w:p>
    <w:p w:rsidR="00783CB4" w:rsidRPr="00783CB4" w:rsidRDefault="00783CB4" w:rsidP="00783CB4">
      <w:pPr>
        <w:pStyle w:val="SingleTxtG"/>
        <w:rPr>
          <w:b/>
          <w:lang w:val="es-ES_tradnl"/>
        </w:rPr>
      </w:pPr>
      <w:r w:rsidRPr="00783CB4">
        <w:rPr>
          <w:lang w:val="es-ES_tradnl"/>
        </w:rPr>
        <w:t>102.</w:t>
      </w:r>
      <w:r w:rsidRPr="00783CB4">
        <w:rPr>
          <w:lang w:val="es-ES_tradnl"/>
        </w:rPr>
        <w:tab/>
        <w:t xml:space="preserve">El Subcomité </w:t>
      </w:r>
      <w:r w:rsidR="002D0FAD">
        <w:rPr>
          <w:lang w:val="es-ES_tradnl"/>
        </w:rPr>
        <w:t xml:space="preserve">observa </w:t>
      </w:r>
      <w:r w:rsidR="002D0FAD" w:rsidRPr="00A07465">
        <w:t>con reconocimiento la dedicación del personal del internado para hu</w:t>
      </w:r>
      <w:r w:rsidR="002D0FAD">
        <w:t xml:space="preserve">érfanos de Darnytskyi, en Kiev, y el ambiente de comunidad prevalente en ese centro, pero </w:t>
      </w:r>
      <w:r w:rsidR="002D0FAD" w:rsidRPr="002C43D7">
        <w:t>observa con preocupación que no recibe</w:t>
      </w:r>
      <w:r w:rsidR="002D0FAD">
        <w:t xml:space="preserve"> recursos suficientes para proporcionar</w:t>
      </w:r>
      <w:r w:rsidR="002D0FAD" w:rsidRPr="001B3106">
        <w:t xml:space="preserve"> a los niños </w:t>
      </w:r>
      <w:r w:rsidR="002D0FAD">
        <w:t>a los que acoge una atención acorde con las normas internacionales</w:t>
      </w:r>
      <w:r w:rsidR="006F6783">
        <w:t>.</w:t>
      </w:r>
      <w:r w:rsidRPr="00783CB4">
        <w:rPr>
          <w:lang w:val="es-ES_tradnl"/>
        </w:rPr>
        <w:t xml:space="preserve"> El </w:t>
      </w:r>
      <w:r w:rsidRPr="00783CB4">
        <w:rPr>
          <w:lang w:val="es-ES_tradnl"/>
        </w:rPr>
        <w:lastRenderedPageBreak/>
        <w:t>Subcomité constató que la proporción de niños y maestros es de 15 a 1</w:t>
      </w:r>
      <w:r w:rsidR="002D0FAD">
        <w:rPr>
          <w:lang w:val="es-ES_tradnl"/>
        </w:rPr>
        <w:t xml:space="preserve"> aproximadamente</w:t>
      </w:r>
      <w:r w:rsidRPr="00783CB4">
        <w:rPr>
          <w:lang w:val="es-ES_tradnl"/>
        </w:rPr>
        <w:t xml:space="preserve">, lo que resulta insuficiente dado que los niños padecen una serie de discapacidades intelectuales y físicas y que cada </w:t>
      </w:r>
      <w:r w:rsidR="002D0FAD">
        <w:rPr>
          <w:lang w:val="es-ES_tradnl"/>
        </w:rPr>
        <w:t>miembro del personal</w:t>
      </w:r>
      <w:r w:rsidRPr="00783CB4">
        <w:rPr>
          <w:lang w:val="es-ES_tradnl"/>
        </w:rPr>
        <w:t xml:space="preserve"> se encarga de atender, educar y supervisar a los niños que tiene a su cuidado. Preocupa al Subcomité que el sueldo del personal, que es de aproximadamente 2.400 grivnas (unos 90 dólares de los Estados Unidos) al mes, no remunera suficientemente el trabajo realizado, y que el personal no cuenta con los recursos necesarios para hacer frente a situaciones complicadas, </w:t>
      </w:r>
      <w:r w:rsidR="002D0FAD">
        <w:rPr>
          <w:lang w:val="es-ES_tradnl"/>
        </w:rPr>
        <w:t>como</w:t>
      </w:r>
      <w:r w:rsidRPr="00783CB4">
        <w:rPr>
          <w:lang w:val="es-ES_tradnl"/>
        </w:rPr>
        <w:t xml:space="preserve"> los incidentes inevitables de violencia y de comportamiento difícil. Además, el Subcomité ha observado que tanto los niños como </w:t>
      </w:r>
      <w:r w:rsidR="002D0FAD">
        <w:rPr>
          <w:lang w:val="es-ES_tradnl"/>
        </w:rPr>
        <w:t xml:space="preserve">los miembros del personal </w:t>
      </w:r>
      <w:r w:rsidR="002D0FAD" w:rsidRPr="000B42E9">
        <w:t>se alojan en un espacio reducido, distribuido en habitaciones</w:t>
      </w:r>
      <w:r w:rsidR="002D0FAD">
        <w:t xml:space="preserve"> </w:t>
      </w:r>
      <w:r w:rsidR="002D0FAD" w:rsidRPr="000B42E9">
        <w:t xml:space="preserve">relativamente </w:t>
      </w:r>
      <w:r w:rsidR="002D0FAD">
        <w:t>pequeñas compartidas por varias personas</w:t>
      </w:r>
    </w:p>
    <w:p w:rsidR="00783CB4" w:rsidRPr="00783CB4" w:rsidRDefault="00783CB4" w:rsidP="00783CB4">
      <w:pPr>
        <w:pStyle w:val="SingleTxtG"/>
        <w:rPr>
          <w:b/>
          <w:lang w:val="es-ES_tradnl"/>
        </w:rPr>
      </w:pPr>
      <w:r w:rsidRPr="00783CB4">
        <w:rPr>
          <w:lang w:val="es-ES_tradnl"/>
        </w:rPr>
        <w:t>103.</w:t>
      </w:r>
      <w:r w:rsidRPr="00783CB4">
        <w:rPr>
          <w:lang w:val="es-ES_tradnl"/>
        </w:rPr>
        <w:tab/>
      </w:r>
      <w:r w:rsidRPr="00783CB4">
        <w:rPr>
          <w:b/>
          <w:lang w:val="es-ES_tradnl"/>
        </w:rPr>
        <w:t xml:space="preserve">El Subcomité recomienda al Estado parte que incremente los recursos financieros y humanos que </w:t>
      </w:r>
      <w:r w:rsidR="002A43BB">
        <w:rPr>
          <w:b/>
          <w:lang w:val="es-ES_tradnl"/>
        </w:rPr>
        <w:t>asigna</w:t>
      </w:r>
      <w:r w:rsidRPr="00783CB4">
        <w:rPr>
          <w:b/>
          <w:lang w:val="es-ES_tradnl"/>
        </w:rPr>
        <w:t xml:space="preserve"> </w:t>
      </w:r>
      <w:r w:rsidR="002A43BB">
        <w:rPr>
          <w:b/>
          <w:lang w:val="es-ES_tradnl"/>
        </w:rPr>
        <w:t xml:space="preserve">al internado para huérfanos </w:t>
      </w:r>
      <w:r w:rsidRPr="00783CB4">
        <w:rPr>
          <w:b/>
          <w:lang w:val="es-ES_tradnl"/>
        </w:rPr>
        <w:t xml:space="preserve">de Darnytskyi, así como a otras instituciones similares, a fin de garantizar la capacidad para acoger a niños con discapacidad intelectual y física de conformidad con las normas internacionales. </w:t>
      </w:r>
      <w:r w:rsidR="002A43BB">
        <w:rPr>
          <w:b/>
        </w:rPr>
        <w:t>También le</w:t>
      </w:r>
      <w:r w:rsidR="002A43BB" w:rsidRPr="002A43BB">
        <w:rPr>
          <w:b/>
        </w:rPr>
        <w:t xml:space="preserve"> recomienda que renueve las instalaciones, asignándoles recursos adicionales,</w:t>
      </w:r>
      <w:r w:rsidRPr="00783CB4">
        <w:rPr>
          <w:b/>
          <w:lang w:val="es-ES_tradnl"/>
        </w:rPr>
        <w:t xml:space="preserve"> a fin de aumentar el espacio privado para vivir y para dormir de que disponen los residentes. El Subcomité recomienda </w:t>
      </w:r>
      <w:r w:rsidR="002A43BB">
        <w:rPr>
          <w:b/>
          <w:lang w:val="es-ES_tradnl"/>
        </w:rPr>
        <w:t>igualmente</w:t>
      </w:r>
      <w:r w:rsidRPr="00783CB4">
        <w:rPr>
          <w:b/>
          <w:lang w:val="es-ES_tradnl"/>
        </w:rPr>
        <w:t xml:space="preserve"> al Estado parte que aumente los sueldos del personal.</w:t>
      </w:r>
    </w:p>
    <w:p w:rsidR="00783CB4" w:rsidRPr="00783CB4" w:rsidRDefault="002A43BB" w:rsidP="002A43BB">
      <w:pPr>
        <w:pStyle w:val="H4G"/>
        <w:rPr>
          <w:b/>
          <w:lang w:val="es-ES_tradnl"/>
        </w:rPr>
      </w:pPr>
      <w:r>
        <w:rPr>
          <w:lang w:val="es-ES_tradnl"/>
        </w:rPr>
        <w:tab/>
      </w:r>
      <w:r w:rsidR="00783CB4" w:rsidRPr="00783CB4">
        <w:rPr>
          <w:lang w:val="es-ES_tradnl"/>
        </w:rPr>
        <w:tab/>
        <w:t>Instituciones de justicia penal</w:t>
      </w:r>
    </w:p>
    <w:p w:rsidR="00783CB4" w:rsidRPr="00783CB4" w:rsidRDefault="00783CB4" w:rsidP="00783CB4">
      <w:pPr>
        <w:pStyle w:val="SingleTxtG"/>
        <w:rPr>
          <w:b/>
          <w:lang w:val="es-ES_tradnl"/>
        </w:rPr>
      </w:pPr>
      <w:r w:rsidRPr="00783CB4">
        <w:rPr>
          <w:lang w:val="es-ES_tradnl"/>
        </w:rPr>
        <w:t>104.</w:t>
      </w:r>
      <w:r w:rsidRPr="00783CB4">
        <w:rPr>
          <w:lang w:val="es-ES_tradnl"/>
        </w:rPr>
        <w:tab/>
        <w:t xml:space="preserve">Si bien comprende los esfuerzos del Estado parte para que los menores no sean aislados, el Subcomité está preocupado por el hecho de que los niños puedan ser alojados en los mismos locales que los adultos en las instituciones de justicia penal, lo que, entre otras cosas, los expone al riesgo de sufrir violencia sexual. </w:t>
      </w:r>
      <w:r w:rsidR="002A43BB" w:rsidRPr="00783CB4">
        <w:rPr>
          <w:lang w:val="es-ES_tradnl"/>
        </w:rPr>
        <w:t>Observa</w:t>
      </w:r>
      <w:r w:rsidRPr="00783CB4">
        <w:rPr>
          <w:lang w:val="es-ES_tradnl"/>
        </w:rPr>
        <w:t xml:space="preserve">, en particular, que las mujeres menores de edad pueden ser internadas con </w:t>
      </w:r>
      <w:r w:rsidR="002A43BB">
        <w:rPr>
          <w:lang w:val="es-ES_tradnl"/>
        </w:rPr>
        <w:t>adultas</w:t>
      </w:r>
      <w:r w:rsidRPr="00783CB4">
        <w:rPr>
          <w:lang w:val="es-ES_tradnl"/>
        </w:rPr>
        <w:t xml:space="preserve"> en el centro de prisión preventiva de Mikolayiv si lo autoriza el fiscal. Además, durante su visita al centro de prisión preventiva de Kiev, el Subcomité observó que una menor compartía celda con una mujer adulta en un edificio separado del que ocupa</w:t>
      </w:r>
      <w:r w:rsidR="002A43BB">
        <w:rPr>
          <w:lang w:val="es-ES_tradnl"/>
        </w:rPr>
        <w:t>ba</w:t>
      </w:r>
      <w:r w:rsidRPr="00783CB4">
        <w:rPr>
          <w:lang w:val="es-ES_tradnl"/>
        </w:rPr>
        <w:t xml:space="preserve">n los varones menores de edad, lo que </w:t>
      </w:r>
      <w:r w:rsidR="002A43BB">
        <w:rPr>
          <w:lang w:val="es-ES_tradnl"/>
        </w:rPr>
        <w:t>le suscitó</w:t>
      </w:r>
      <w:r w:rsidRPr="00783CB4">
        <w:rPr>
          <w:lang w:val="es-ES_tradnl"/>
        </w:rPr>
        <w:t xml:space="preserve"> preocupación </w:t>
      </w:r>
      <w:r w:rsidR="002A43BB">
        <w:rPr>
          <w:lang w:val="es-ES_tradnl"/>
        </w:rPr>
        <w:t>de que tal vez no se beneficiase</w:t>
      </w:r>
      <w:r w:rsidRPr="00783CB4">
        <w:rPr>
          <w:lang w:val="es-ES_tradnl"/>
        </w:rPr>
        <w:t xml:space="preserve"> de las mismas oportunidades educativas y de interacción social de que goza</w:t>
      </w:r>
      <w:r w:rsidR="002A43BB">
        <w:rPr>
          <w:lang w:val="es-ES_tradnl"/>
        </w:rPr>
        <w:t>ba</w:t>
      </w:r>
      <w:r w:rsidRPr="00783CB4">
        <w:rPr>
          <w:lang w:val="es-ES_tradnl"/>
        </w:rPr>
        <w:t xml:space="preserve">n sus compañeros. En el centro de prisión preventiva de Kiev, el Subcomité también observó que había menores varones alojados en un pabellón de </w:t>
      </w:r>
      <w:r w:rsidR="002A43BB">
        <w:rPr>
          <w:lang w:val="es-ES_tradnl"/>
        </w:rPr>
        <w:t>adultos</w:t>
      </w:r>
      <w:r w:rsidRPr="00783CB4">
        <w:rPr>
          <w:lang w:val="es-ES_tradnl"/>
        </w:rPr>
        <w:t>.</w:t>
      </w:r>
    </w:p>
    <w:p w:rsidR="00783CB4" w:rsidRPr="00783CB4" w:rsidRDefault="00783CB4" w:rsidP="00783CB4">
      <w:pPr>
        <w:pStyle w:val="SingleTxtG"/>
        <w:rPr>
          <w:lang w:val="es-ES_tradnl"/>
        </w:rPr>
      </w:pPr>
      <w:r w:rsidRPr="00783CB4">
        <w:rPr>
          <w:lang w:val="es-ES_tradnl"/>
        </w:rPr>
        <w:t>105.</w:t>
      </w:r>
      <w:r w:rsidRPr="00783CB4">
        <w:rPr>
          <w:lang w:val="es-ES_tradnl"/>
        </w:rPr>
        <w:tab/>
        <w:t xml:space="preserve">Durante su visita, el Subcomité se reunió con menores </w:t>
      </w:r>
      <w:r w:rsidR="00457BA8">
        <w:rPr>
          <w:lang w:val="es-ES_tradnl"/>
        </w:rPr>
        <w:t>recluidos</w:t>
      </w:r>
      <w:r w:rsidRPr="00783CB4">
        <w:rPr>
          <w:lang w:val="es-ES_tradnl"/>
        </w:rPr>
        <w:t xml:space="preserve"> en centros de prisión preventiva que disponían de salas lum</w:t>
      </w:r>
      <w:r w:rsidR="00457BA8">
        <w:rPr>
          <w:lang w:val="es-ES_tradnl"/>
        </w:rPr>
        <w:t xml:space="preserve">inosas, acceso a libros y buenas condiciones de </w:t>
      </w:r>
      <w:r w:rsidRPr="00783CB4">
        <w:rPr>
          <w:lang w:val="es-ES_tradnl"/>
        </w:rPr>
        <w:t>higiene, pero observ</w:t>
      </w:r>
      <w:r w:rsidR="00457BA8">
        <w:rPr>
          <w:lang w:val="es-ES_tradnl"/>
        </w:rPr>
        <w:t>ó</w:t>
      </w:r>
      <w:r w:rsidRPr="00783CB4">
        <w:rPr>
          <w:lang w:val="es-ES_tradnl"/>
        </w:rPr>
        <w:t xml:space="preserve"> que la calidad de esas condiciones dependía del apoyo de la familia y otras fuentes externas. </w:t>
      </w:r>
      <w:r w:rsidR="00457BA8">
        <w:rPr>
          <w:lang w:val="es-ES_tradnl"/>
        </w:rPr>
        <w:t>Así pues</w:t>
      </w:r>
      <w:r w:rsidRPr="00783CB4">
        <w:rPr>
          <w:lang w:val="es-ES_tradnl"/>
        </w:rPr>
        <w:t xml:space="preserve">, el Subcomité sigue preocupado por los niños </w:t>
      </w:r>
      <w:r w:rsidR="00457BA8">
        <w:rPr>
          <w:lang w:val="es-ES_tradnl"/>
        </w:rPr>
        <w:t xml:space="preserve">recluidos </w:t>
      </w:r>
      <w:r w:rsidRPr="00783CB4">
        <w:rPr>
          <w:lang w:val="es-ES_tradnl"/>
        </w:rPr>
        <w:t xml:space="preserve">en los centros de prisión preventiva y los centros de detención temporal, </w:t>
      </w:r>
      <w:r w:rsidR="00457BA8">
        <w:rPr>
          <w:lang w:val="es-ES_tradnl"/>
        </w:rPr>
        <w:t>en los que</w:t>
      </w:r>
      <w:r w:rsidRPr="00783CB4">
        <w:rPr>
          <w:lang w:val="es-ES_tradnl"/>
        </w:rPr>
        <w:t xml:space="preserve"> también observó a menores que ocupaban celdas mal iluminadas, con falta de higiene y ropa sucia, y </w:t>
      </w:r>
      <w:r w:rsidR="00457BA8">
        <w:rPr>
          <w:lang w:val="es-ES_tradnl"/>
        </w:rPr>
        <w:t xml:space="preserve">en los que, según </w:t>
      </w:r>
      <w:r w:rsidRPr="00783CB4">
        <w:rPr>
          <w:lang w:val="es-ES_tradnl"/>
        </w:rPr>
        <w:t>se le inform</w:t>
      </w:r>
      <w:r w:rsidR="00457BA8">
        <w:rPr>
          <w:lang w:val="es-ES_tradnl"/>
        </w:rPr>
        <w:t xml:space="preserve">ó, </w:t>
      </w:r>
      <w:r w:rsidRPr="00783CB4">
        <w:rPr>
          <w:lang w:val="es-ES_tradnl"/>
        </w:rPr>
        <w:t>se proporciona</w:t>
      </w:r>
      <w:r w:rsidR="00457BA8">
        <w:rPr>
          <w:lang w:val="es-ES_tradnl"/>
        </w:rPr>
        <w:t>ba</w:t>
      </w:r>
      <w:r w:rsidRPr="00783CB4">
        <w:rPr>
          <w:lang w:val="es-ES_tradnl"/>
        </w:rPr>
        <w:t>n alimentos en mal estado.</w:t>
      </w:r>
    </w:p>
    <w:p w:rsidR="00783CB4" w:rsidRPr="00783CB4" w:rsidRDefault="00783CB4" w:rsidP="00783CB4">
      <w:pPr>
        <w:pStyle w:val="SingleTxtG"/>
        <w:rPr>
          <w:b/>
          <w:lang w:val="es-ES_tradnl"/>
        </w:rPr>
      </w:pPr>
      <w:r w:rsidRPr="00783CB4">
        <w:rPr>
          <w:lang w:val="es-ES_tradnl"/>
        </w:rPr>
        <w:t>106.</w:t>
      </w:r>
      <w:r w:rsidRPr="00783CB4">
        <w:rPr>
          <w:lang w:val="es-ES_tradnl"/>
        </w:rPr>
        <w:tab/>
      </w:r>
      <w:r w:rsidRPr="00783CB4">
        <w:rPr>
          <w:b/>
          <w:lang w:val="es-ES_tradnl"/>
        </w:rPr>
        <w:t xml:space="preserve">El Subcomité recomienda al Estado parte que introduzca medidas alternativas a la privación de libertad para los menores de edad y que la </w:t>
      </w:r>
      <w:r w:rsidR="00457BA8">
        <w:rPr>
          <w:b/>
          <w:lang w:val="es-ES_tradnl"/>
        </w:rPr>
        <w:t xml:space="preserve">reclusión </w:t>
      </w:r>
      <w:r w:rsidRPr="00783CB4">
        <w:rPr>
          <w:b/>
          <w:lang w:val="es-ES_tradnl"/>
        </w:rPr>
        <w:t xml:space="preserve">se imponga únicamente como medida de último recurso. Cuando la </w:t>
      </w:r>
      <w:r w:rsidR="00457BA8">
        <w:rPr>
          <w:b/>
          <w:lang w:val="es-ES_tradnl"/>
        </w:rPr>
        <w:t>reclusión</w:t>
      </w:r>
      <w:r w:rsidRPr="00783CB4">
        <w:rPr>
          <w:b/>
          <w:lang w:val="es-ES_tradnl"/>
        </w:rPr>
        <w:t xml:space="preserve"> sea absolutamente necesaria, el Subcomité recomienda que el Estado parte vele por que todos los </w:t>
      </w:r>
      <w:r w:rsidR="00457BA8">
        <w:rPr>
          <w:b/>
          <w:lang w:val="es-ES_tradnl"/>
        </w:rPr>
        <w:t xml:space="preserve">menores </w:t>
      </w:r>
      <w:r w:rsidRPr="00783CB4">
        <w:rPr>
          <w:b/>
          <w:lang w:val="es-ES_tradnl"/>
        </w:rPr>
        <w:t xml:space="preserve">se beneficien de oportunidades educativas y de ocio, así como de la interacción </w:t>
      </w:r>
      <w:r w:rsidR="00457BA8">
        <w:rPr>
          <w:b/>
          <w:lang w:val="es-ES_tradnl"/>
        </w:rPr>
        <w:t>con otros jóvenes</w:t>
      </w:r>
      <w:r w:rsidRPr="00783CB4">
        <w:rPr>
          <w:b/>
          <w:lang w:val="es-ES_tradnl"/>
        </w:rPr>
        <w:t xml:space="preserve">, </w:t>
      </w:r>
      <w:r w:rsidR="00457BA8">
        <w:rPr>
          <w:b/>
          <w:lang w:val="es-ES_tradnl"/>
        </w:rPr>
        <w:t>en igualdad de condiciones</w:t>
      </w:r>
      <w:r w:rsidRPr="00783CB4">
        <w:rPr>
          <w:b/>
          <w:lang w:val="es-ES_tradnl"/>
        </w:rPr>
        <w:t>. El Subcomité recuerda que las directrices internacionales prevén regímenes separados para los menores y los adultos privados de libertad</w:t>
      </w:r>
      <w:r w:rsidRPr="00783CB4">
        <w:rPr>
          <w:vertAlign w:val="superscript"/>
          <w:lang w:val="es-ES_tradnl"/>
        </w:rPr>
        <w:footnoteReference w:id="8"/>
      </w:r>
      <w:r w:rsidRPr="00783CB4">
        <w:rPr>
          <w:b/>
          <w:lang w:val="es-ES_tradnl"/>
        </w:rPr>
        <w:t>.</w:t>
      </w:r>
    </w:p>
    <w:p w:rsidR="00783CB4" w:rsidRPr="00783CB4" w:rsidRDefault="00783CB4" w:rsidP="00783CB4">
      <w:pPr>
        <w:pStyle w:val="SingleTxtG"/>
        <w:rPr>
          <w:b/>
          <w:lang w:val="es-ES_tradnl"/>
        </w:rPr>
      </w:pPr>
      <w:r w:rsidRPr="00783CB4">
        <w:rPr>
          <w:lang w:val="es-ES_tradnl"/>
        </w:rPr>
        <w:t>107.</w:t>
      </w:r>
      <w:r w:rsidRPr="00783CB4">
        <w:rPr>
          <w:lang w:val="es-ES_tradnl"/>
        </w:rPr>
        <w:tab/>
      </w:r>
      <w:r w:rsidRPr="00783CB4">
        <w:rPr>
          <w:b/>
          <w:lang w:val="es-ES_tradnl"/>
        </w:rPr>
        <w:t>El Subcomité recomienda que se mejor</w:t>
      </w:r>
      <w:r w:rsidR="00457BA8">
        <w:rPr>
          <w:b/>
          <w:lang w:val="es-ES_tradnl"/>
        </w:rPr>
        <w:t>en</w:t>
      </w:r>
      <w:r w:rsidRPr="00783CB4">
        <w:rPr>
          <w:b/>
          <w:lang w:val="es-ES_tradnl"/>
        </w:rPr>
        <w:t xml:space="preserve"> las condiciones de higiene, ventilación y temperatura de las celdas que ocupan los menores de edad, en consonancia</w:t>
      </w:r>
      <w:r w:rsidR="00457BA8">
        <w:rPr>
          <w:b/>
          <w:lang w:val="es-ES_tradnl"/>
        </w:rPr>
        <w:t xml:space="preserve"> con las normas internacionales,</w:t>
      </w:r>
      <w:r w:rsidRPr="00783CB4">
        <w:rPr>
          <w:b/>
          <w:lang w:val="es-ES_tradnl"/>
        </w:rPr>
        <w:t xml:space="preserve"> que los espacios destinados a los menores de edad reciban luz natural, y que la comida </w:t>
      </w:r>
      <w:r w:rsidR="00457BA8">
        <w:rPr>
          <w:b/>
          <w:lang w:val="es-ES_tradnl"/>
        </w:rPr>
        <w:t>sea</w:t>
      </w:r>
      <w:r w:rsidRPr="00783CB4">
        <w:rPr>
          <w:b/>
          <w:lang w:val="es-ES_tradnl"/>
        </w:rPr>
        <w:t xml:space="preserve"> nutri</w:t>
      </w:r>
      <w:r w:rsidR="00457BA8">
        <w:rPr>
          <w:b/>
          <w:lang w:val="es-ES_tradnl"/>
        </w:rPr>
        <w:t xml:space="preserve">tiva </w:t>
      </w:r>
      <w:r w:rsidRPr="00783CB4">
        <w:rPr>
          <w:b/>
          <w:lang w:val="es-ES_tradnl"/>
        </w:rPr>
        <w:t xml:space="preserve">y </w:t>
      </w:r>
      <w:r w:rsidR="00457BA8">
        <w:rPr>
          <w:b/>
          <w:lang w:val="es-ES_tradnl"/>
        </w:rPr>
        <w:t>saludable</w:t>
      </w:r>
      <w:r w:rsidRPr="00783CB4">
        <w:rPr>
          <w:b/>
          <w:lang w:val="es-ES_tradnl"/>
        </w:rPr>
        <w:t>.</w:t>
      </w:r>
    </w:p>
    <w:p w:rsidR="00783CB4" w:rsidRPr="00783CB4" w:rsidRDefault="00783CB4" w:rsidP="00457BA8">
      <w:pPr>
        <w:pStyle w:val="HChG"/>
        <w:rPr>
          <w:lang w:val="es-ES_tradnl"/>
        </w:rPr>
      </w:pPr>
      <w:r w:rsidRPr="00783CB4">
        <w:rPr>
          <w:lang w:val="es-ES_tradnl"/>
        </w:rPr>
        <w:lastRenderedPageBreak/>
        <w:tab/>
        <w:t>V.</w:t>
      </w:r>
      <w:r w:rsidRPr="00783CB4">
        <w:rPr>
          <w:lang w:val="es-ES_tradnl"/>
        </w:rPr>
        <w:tab/>
        <w:t>Repercusiones de la visita</w:t>
      </w:r>
    </w:p>
    <w:p w:rsidR="00783CB4" w:rsidRPr="00783CB4" w:rsidRDefault="00783CB4" w:rsidP="00783CB4">
      <w:pPr>
        <w:pStyle w:val="SingleTxtG"/>
        <w:rPr>
          <w:lang w:val="es-ES_tradnl"/>
        </w:rPr>
      </w:pPr>
      <w:r w:rsidRPr="00783CB4">
        <w:rPr>
          <w:lang w:val="es-ES_tradnl"/>
        </w:rPr>
        <w:t>108.</w:t>
      </w:r>
      <w:r w:rsidRPr="00783CB4">
        <w:rPr>
          <w:lang w:val="es-ES_tradnl"/>
        </w:rPr>
        <w:tab/>
        <w:t xml:space="preserve">De conformidad con el artículo 15 del Protocolo Facultativo, el Subcomité exhorta a Ucrania a garantizar que no </w:t>
      </w:r>
      <w:r w:rsidR="00457BA8">
        <w:rPr>
          <w:lang w:val="es-ES_tradnl"/>
        </w:rPr>
        <w:t>se tomen</w:t>
      </w:r>
      <w:r w:rsidRPr="00783CB4">
        <w:rPr>
          <w:lang w:val="es-ES_tradnl"/>
        </w:rPr>
        <w:t xml:space="preserve"> represalias después de la visita del Subcomité. Con ese fin, solicita al Estado parte que, en su respuesta, proporcione información detallada sobre las medidas adoptadas a fin de evitar posibles represalias contra las personas que </w:t>
      </w:r>
      <w:r w:rsidR="00457BA8">
        <w:rPr>
          <w:lang w:val="es-ES_tradnl"/>
        </w:rPr>
        <w:t>facilitaron</w:t>
      </w:r>
      <w:r w:rsidRPr="00783CB4">
        <w:rPr>
          <w:lang w:val="es-ES_tradnl"/>
        </w:rPr>
        <w:t xml:space="preserve"> información al Subcomité.</w:t>
      </w:r>
    </w:p>
    <w:p w:rsidR="00783CB4" w:rsidRPr="00783CB4" w:rsidRDefault="00783CB4" w:rsidP="00783CB4">
      <w:pPr>
        <w:pStyle w:val="SingleTxtG"/>
        <w:rPr>
          <w:lang w:val="es-ES_tradnl"/>
        </w:rPr>
      </w:pPr>
      <w:r w:rsidRPr="00783CB4">
        <w:rPr>
          <w:lang w:val="es-ES_tradnl"/>
        </w:rPr>
        <w:t>109.</w:t>
      </w:r>
      <w:r w:rsidRPr="00783CB4">
        <w:rPr>
          <w:lang w:val="es-ES_tradnl"/>
        </w:rPr>
        <w:tab/>
        <w:t xml:space="preserve">El Subcomité insta al Estado parte a que le brinde su plena cooperación y a que vele por que en futuras visitas ningún obstáculo dificulte la labor del Subcomité, lo que haría peligrar de nuevo la posibilidad de cumplir satisfactoriamente el mandato. Si ello sucediera, el Subcomité podrá </w:t>
      </w:r>
      <w:r w:rsidR="00A92AE2">
        <w:rPr>
          <w:lang w:val="es-ES_tradnl"/>
        </w:rPr>
        <w:t>adoptar</w:t>
      </w:r>
      <w:r w:rsidRPr="00783CB4">
        <w:rPr>
          <w:lang w:val="es-ES_tradnl"/>
        </w:rPr>
        <w:t xml:space="preserve"> todas las medidas que considere oportunas para poner remedio a la situación, como </w:t>
      </w:r>
      <w:r w:rsidR="00457BA8">
        <w:rPr>
          <w:lang w:val="es-ES_tradnl"/>
        </w:rPr>
        <w:t xml:space="preserve">la formulación de </w:t>
      </w:r>
      <w:r w:rsidRPr="00783CB4">
        <w:rPr>
          <w:lang w:val="es-ES_tradnl"/>
        </w:rPr>
        <w:t xml:space="preserve">una declaración pública o </w:t>
      </w:r>
      <w:r w:rsidR="00457BA8">
        <w:rPr>
          <w:lang w:val="es-ES_tradnl"/>
        </w:rPr>
        <w:t xml:space="preserve">la publicación de </w:t>
      </w:r>
      <w:r w:rsidRPr="00783CB4">
        <w:rPr>
          <w:lang w:val="es-ES_tradnl"/>
        </w:rPr>
        <w:t xml:space="preserve">sus conclusiones preliminares, </w:t>
      </w:r>
      <w:r w:rsidR="00457BA8">
        <w:rPr>
          <w:lang w:val="es-ES_tradnl"/>
        </w:rPr>
        <w:t xml:space="preserve">con arreglo a lo dispuesto </w:t>
      </w:r>
      <w:r w:rsidRPr="00783CB4">
        <w:rPr>
          <w:lang w:val="es-ES_tradnl"/>
        </w:rPr>
        <w:t xml:space="preserve">en el artículo 16, párrafo 4, del Protocolo Facultativo. El Subcomité también podrá </w:t>
      </w:r>
      <w:r w:rsidR="00457BA8">
        <w:rPr>
          <w:lang w:val="es-ES_tradnl"/>
        </w:rPr>
        <w:t>adoptar</w:t>
      </w:r>
      <w:r w:rsidRPr="00783CB4">
        <w:rPr>
          <w:lang w:val="es-ES_tradnl"/>
        </w:rPr>
        <w:t xml:space="preserve"> a todos los buenos oficios del sistema de las Naciones Unidas u otros foros pertinentes.</w:t>
      </w:r>
    </w:p>
    <w:p w:rsidR="00783CB4" w:rsidRPr="0097403E" w:rsidRDefault="00783CB4" w:rsidP="00457BA8">
      <w:pPr>
        <w:pStyle w:val="HChG"/>
        <w:rPr>
          <w:lang w:val="en-US"/>
        </w:rPr>
      </w:pPr>
      <w:r w:rsidRPr="00A92AE2">
        <w:rPr>
          <w:lang w:val="en-US"/>
        </w:rPr>
        <w:br w:type="page"/>
      </w:r>
      <w:r w:rsidRPr="0097403E">
        <w:rPr>
          <w:lang w:val="en-US"/>
        </w:rPr>
        <w:lastRenderedPageBreak/>
        <w:t>Anexo I</w:t>
      </w:r>
    </w:p>
    <w:p w:rsidR="00783CB4" w:rsidRPr="0097403E" w:rsidRDefault="00783CB4" w:rsidP="00457BA8">
      <w:pPr>
        <w:pStyle w:val="SingleTxtG"/>
        <w:jc w:val="right"/>
        <w:rPr>
          <w:i/>
          <w:lang w:val="en-US"/>
        </w:rPr>
      </w:pPr>
      <w:r w:rsidRPr="0097403E">
        <w:rPr>
          <w:i/>
          <w:lang w:val="en-US"/>
        </w:rPr>
        <w:t>[Inglés únicamente]</w:t>
      </w:r>
    </w:p>
    <w:p w:rsidR="00457BA8" w:rsidRPr="00457BA8" w:rsidRDefault="00457BA8" w:rsidP="00457BA8">
      <w:pPr>
        <w:pStyle w:val="HChG"/>
        <w:rPr>
          <w:lang w:val="en-US"/>
        </w:rPr>
      </w:pPr>
      <w:bookmarkStart w:id="1" w:name="_Toc482625012"/>
      <w:r>
        <w:rPr>
          <w:lang w:val="en-US"/>
        </w:rPr>
        <w:tab/>
      </w:r>
      <w:r>
        <w:rPr>
          <w:lang w:val="en-US"/>
        </w:rPr>
        <w:tab/>
      </w:r>
      <w:r w:rsidRPr="00457BA8">
        <w:rPr>
          <w:lang w:val="en-US"/>
        </w:rPr>
        <w:t>List of places of deprivation of liberty visited by the Subcommittee</w:t>
      </w:r>
      <w:bookmarkEnd w:id="1"/>
      <w:r w:rsidRPr="00457BA8">
        <w:rPr>
          <w:lang w:val="en-US"/>
        </w:rPr>
        <w:t xml:space="preserve"> </w:t>
      </w:r>
    </w:p>
    <w:p w:rsidR="00457BA8" w:rsidRPr="00457BA8" w:rsidRDefault="00457BA8" w:rsidP="00457BA8">
      <w:pPr>
        <w:pStyle w:val="HChG"/>
        <w:rPr>
          <w:lang w:val="en-US"/>
        </w:rPr>
      </w:pPr>
      <w:r w:rsidRPr="00457BA8">
        <w:rPr>
          <w:lang w:val="en-US"/>
        </w:rPr>
        <w:tab/>
      </w:r>
      <w:bookmarkStart w:id="2" w:name="_Toc482625013"/>
      <w:r w:rsidRPr="00457BA8">
        <w:rPr>
          <w:lang w:val="en-US"/>
        </w:rPr>
        <w:t>I.</w:t>
      </w:r>
      <w:r w:rsidRPr="00457BA8">
        <w:rPr>
          <w:lang w:val="en-US"/>
        </w:rPr>
        <w:tab/>
        <w:t>May 2016</w:t>
      </w:r>
      <w:bookmarkEnd w:id="2"/>
    </w:p>
    <w:p w:rsidR="00457BA8" w:rsidRPr="00457BA8" w:rsidRDefault="00457BA8" w:rsidP="00457BA8">
      <w:pPr>
        <w:pStyle w:val="H23G"/>
        <w:rPr>
          <w:lang w:val="en-US"/>
        </w:rPr>
      </w:pPr>
      <w:r w:rsidRPr="00457BA8">
        <w:rPr>
          <w:lang w:val="en-US"/>
        </w:rPr>
        <w:tab/>
      </w:r>
      <w:r w:rsidRPr="00457BA8">
        <w:rPr>
          <w:lang w:val="en-US"/>
        </w:rPr>
        <w:tab/>
      </w:r>
      <w:bookmarkStart w:id="3" w:name="_Toc482625014"/>
      <w:r w:rsidRPr="00457BA8">
        <w:rPr>
          <w:lang w:val="en-US"/>
        </w:rPr>
        <w:t>Facilities under the Ministry of Internal Affairs</w:t>
      </w:r>
      <w:bookmarkEnd w:id="3"/>
    </w:p>
    <w:p w:rsidR="00457BA8" w:rsidRPr="00457BA8" w:rsidRDefault="00457BA8" w:rsidP="00457BA8">
      <w:pPr>
        <w:pStyle w:val="SingleTxtG"/>
        <w:rPr>
          <w:lang w:val="en-US"/>
        </w:rPr>
      </w:pPr>
      <w:r w:rsidRPr="00457BA8">
        <w:rPr>
          <w:lang w:val="en-US"/>
        </w:rPr>
        <w:t>Pre-trial centre of the Main department of the National Police in Odesa (‘Odesa ITT’)</w:t>
      </w:r>
    </w:p>
    <w:p w:rsidR="00457BA8" w:rsidRPr="00457BA8" w:rsidRDefault="00457BA8" w:rsidP="00457BA8">
      <w:pPr>
        <w:pStyle w:val="SingleTxtG"/>
        <w:rPr>
          <w:lang w:val="en-US"/>
        </w:rPr>
      </w:pPr>
      <w:r w:rsidRPr="00457BA8">
        <w:rPr>
          <w:lang w:val="en-US"/>
        </w:rPr>
        <w:t>Pre-trial centre of the Main department of the National Police in Druzhkivka (‘Druzhkivka ITT’)</w:t>
      </w:r>
    </w:p>
    <w:p w:rsidR="00457BA8" w:rsidRPr="00457BA8" w:rsidRDefault="00457BA8" w:rsidP="00457BA8">
      <w:pPr>
        <w:pStyle w:val="SingleTxtG"/>
        <w:rPr>
          <w:lang w:val="en-US"/>
        </w:rPr>
      </w:pPr>
      <w:r w:rsidRPr="00457BA8">
        <w:rPr>
          <w:lang w:val="en-US"/>
        </w:rPr>
        <w:t>Pre-trial centre of the Main department of the National Police in Kramatorsk (‘Kramatorsk ITT’)</w:t>
      </w:r>
    </w:p>
    <w:p w:rsidR="00457BA8" w:rsidRPr="00457BA8" w:rsidRDefault="00457BA8" w:rsidP="00457BA8">
      <w:pPr>
        <w:pStyle w:val="SingleTxtG"/>
        <w:rPr>
          <w:lang w:val="en-US"/>
        </w:rPr>
      </w:pPr>
      <w:r w:rsidRPr="00457BA8">
        <w:rPr>
          <w:lang w:val="en-US"/>
        </w:rPr>
        <w:t>Reception centre for kids of the Main Department of the National Police in Kyiv</w:t>
      </w:r>
    </w:p>
    <w:p w:rsidR="00457BA8" w:rsidRPr="00457BA8" w:rsidRDefault="00457BA8" w:rsidP="00457BA8">
      <w:pPr>
        <w:pStyle w:val="H23G"/>
        <w:rPr>
          <w:lang w:val="en-US"/>
        </w:rPr>
      </w:pPr>
      <w:r w:rsidRPr="00457BA8">
        <w:rPr>
          <w:lang w:val="en-US"/>
        </w:rPr>
        <w:tab/>
      </w:r>
      <w:r w:rsidRPr="00457BA8">
        <w:rPr>
          <w:lang w:val="en-US"/>
        </w:rPr>
        <w:tab/>
      </w:r>
      <w:bookmarkStart w:id="4" w:name="_Toc482625015"/>
      <w:r w:rsidRPr="00457BA8">
        <w:rPr>
          <w:lang w:val="en-US"/>
        </w:rPr>
        <w:t>Facilities under the Ministry of Justice</w:t>
      </w:r>
      <w:bookmarkEnd w:id="4"/>
    </w:p>
    <w:p w:rsidR="00457BA8" w:rsidRPr="00457BA8" w:rsidRDefault="00457BA8" w:rsidP="00457BA8">
      <w:pPr>
        <w:pStyle w:val="SingleTxtG"/>
        <w:rPr>
          <w:lang w:val="en-US"/>
        </w:rPr>
      </w:pPr>
      <w:r w:rsidRPr="00457BA8">
        <w:rPr>
          <w:lang w:val="en-US"/>
        </w:rPr>
        <w:t>Artemivsk penitentiary institution of the Department of the State Penitentiary Service of Ukraine in Donetsk region (№6) (‘Artemivsk SIZO’)</w:t>
      </w:r>
    </w:p>
    <w:p w:rsidR="00457BA8" w:rsidRPr="00457BA8" w:rsidRDefault="00457BA8" w:rsidP="00457BA8">
      <w:pPr>
        <w:pStyle w:val="SingleTxtG"/>
        <w:rPr>
          <w:lang w:val="en-US"/>
        </w:rPr>
      </w:pPr>
      <w:r w:rsidRPr="00457BA8">
        <w:rPr>
          <w:lang w:val="en-US"/>
        </w:rPr>
        <w:t>Chernihiv Penitentiary Colony of the Department of the Penitentiary Service of Ukraine in Chernihiv region (№ 44)</w:t>
      </w:r>
    </w:p>
    <w:p w:rsidR="00457BA8" w:rsidRPr="00457BA8" w:rsidRDefault="00457BA8" w:rsidP="00457BA8">
      <w:pPr>
        <w:pStyle w:val="SingleTxtG"/>
        <w:rPr>
          <w:lang w:val="en-US"/>
        </w:rPr>
      </w:pPr>
      <w:r w:rsidRPr="00457BA8">
        <w:rPr>
          <w:lang w:val="en-US"/>
        </w:rPr>
        <w:t>Kharkiv penitentiary institution of Department of the State Penitentiary Service of Ukraine in Kharkiv region (№ 27)</w:t>
      </w:r>
    </w:p>
    <w:p w:rsidR="00457BA8" w:rsidRPr="00457BA8" w:rsidRDefault="00457BA8" w:rsidP="00457BA8">
      <w:pPr>
        <w:pStyle w:val="SingleTxtG"/>
        <w:rPr>
          <w:lang w:val="en-US"/>
        </w:rPr>
      </w:pPr>
      <w:r w:rsidRPr="00457BA8">
        <w:rPr>
          <w:lang w:val="en-US"/>
        </w:rPr>
        <w:t>Kyiv detention facility of the Department of the Penitentiary Service of Ukraine in Kyiv and Kyiv region (‘Kyiv SIZO’)</w:t>
      </w:r>
    </w:p>
    <w:p w:rsidR="00457BA8" w:rsidRPr="00457BA8" w:rsidRDefault="00457BA8" w:rsidP="00457BA8">
      <w:pPr>
        <w:pStyle w:val="SingleTxtG"/>
        <w:rPr>
          <w:lang w:val="en-US"/>
        </w:rPr>
      </w:pPr>
      <w:r w:rsidRPr="00457BA8">
        <w:rPr>
          <w:lang w:val="en-US"/>
        </w:rPr>
        <w:t>Kherson detention facility of the Department of the Penitentiary Service of Ukraine in Kherson region (‘Kherson SIZO’) (MOJ)</w:t>
      </w:r>
    </w:p>
    <w:p w:rsidR="00457BA8" w:rsidRPr="00457BA8" w:rsidRDefault="00457BA8" w:rsidP="00457BA8">
      <w:pPr>
        <w:pStyle w:val="SingleTxtG"/>
        <w:rPr>
          <w:lang w:val="en-US"/>
        </w:rPr>
      </w:pPr>
      <w:r w:rsidRPr="00457BA8">
        <w:rPr>
          <w:lang w:val="en-US"/>
        </w:rPr>
        <w:t xml:space="preserve">Mykolaiv detention facility of the Department of the State Penitentiary Service of Ukraine in Mykolaiv region (‘Mykolaiv SIZO’) </w:t>
      </w:r>
    </w:p>
    <w:p w:rsidR="00457BA8" w:rsidRPr="00457BA8" w:rsidRDefault="00457BA8" w:rsidP="00457BA8">
      <w:pPr>
        <w:pStyle w:val="SingleTxtG"/>
        <w:rPr>
          <w:lang w:val="en-US"/>
        </w:rPr>
      </w:pPr>
      <w:r w:rsidRPr="00457BA8">
        <w:rPr>
          <w:lang w:val="en-US"/>
        </w:rPr>
        <w:t>Mariupol detention facility of the Department of the State Penitentiary Service of Ukraine in Donetsk region (‘Mariupol SIZO’)</w:t>
      </w:r>
    </w:p>
    <w:p w:rsidR="00457BA8" w:rsidRPr="00457BA8" w:rsidRDefault="00457BA8" w:rsidP="00457BA8">
      <w:pPr>
        <w:pStyle w:val="SingleTxtG"/>
        <w:rPr>
          <w:lang w:val="en-US"/>
        </w:rPr>
      </w:pPr>
      <w:r w:rsidRPr="00457BA8">
        <w:rPr>
          <w:lang w:val="en-US"/>
        </w:rPr>
        <w:t>Odesa penitentiary institution of Department of the State Penitentiary Service of Ukraine in Odesa region (№ 21) (‘Odesa SIZO’)</w:t>
      </w:r>
    </w:p>
    <w:p w:rsidR="00457BA8" w:rsidRPr="00457BA8" w:rsidRDefault="00457BA8" w:rsidP="00457BA8">
      <w:pPr>
        <w:pStyle w:val="SingleTxtG"/>
        <w:rPr>
          <w:lang w:val="en-US"/>
        </w:rPr>
      </w:pPr>
      <w:r w:rsidRPr="00457BA8">
        <w:rPr>
          <w:lang w:val="en-US"/>
        </w:rPr>
        <w:t>Dnipropetrovsk penal institution of the Department of the State Penitentiary Service of Ukraine in Dnipropetrovsk region (№4) (‘Dnipropetrovsk SIZO’)</w:t>
      </w:r>
    </w:p>
    <w:p w:rsidR="00457BA8" w:rsidRPr="00457BA8" w:rsidRDefault="00457BA8" w:rsidP="00457BA8">
      <w:pPr>
        <w:pStyle w:val="H23G"/>
        <w:rPr>
          <w:lang w:val="en-US"/>
        </w:rPr>
      </w:pPr>
      <w:r w:rsidRPr="00457BA8">
        <w:rPr>
          <w:lang w:val="en-US"/>
        </w:rPr>
        <w:tab/>
      </w:r>
      <w:r w:rsidRPr="00457BA8">
        <w:rPr>
          <w:lang w:val="en-US"/>
        </w:rPr>
        <w:tab/>
      </w:r>
      <w:bookmarkStart w:id="5" w:name="_Toc482625016"/>
      <w:r w:rsidRPr="00457BA8">
        <w:rPr>
          <w:lang w:val="en-US"/>
        </w:rPr>
        <w:t>Chornomorsk penal colony of Department of the State Penitentiary Service of Ukraine in Odesa region (№ 74)</w:t>
      </w:r>
      <w:bookmarkEnd w:id="5"/>
    </w:p>
    <w:p w:rsidR="00457BA8" w:rsidRPr="00457BA8" w:rsidRDefault="00457BA8" w:rsidP="00457BA8">
      <w:pPr>
        <w:pStyle w:val="H23G"/>
        <w:rPr>
          <w:lang w:val="en-US"/>
        </w:rPr>
      </w:pPr>
      <w:r w:rsidRPr="00457BA8">
        <w:rPr>
          <w:lang w:val="en-US"/>
        </w:rPr>
        <w:tab/>
      </w:r>
      <w:r w:rsidRPr="00457BA8">
        <w:rPr>
          <w:lang w:val="en-US"/>
        </w:rPr>
        <w:tab/>
      </w:r>
      <w:bookmarkStart w:id="6" w:name="_Toc482625017"/>
      <w:r w:rsidRPr="00457BA8">
        <w:rPr>
          <w:lang w:val="en-US"/>
        </w:rPr>
        <w:t>Facilities under the Ministry of Health</w:t>
      </w:r>
      <w:bookmarkEnd w:id="6"/>
    </w:p>
    <w:p w:rsidR="00457BA8" w:rsidRPr="00457BA8" w:rsidRDefault="00457BA8" w:rsidP="00457BA8">
      <w:pPr>
        <w:pStyle w:val="SingleTxtG"/>
        <w:rPr>
          <w:lang w:val="en-US"/>
        </w:rPr>
      </w:pPr>
      <w:r w:rsidRPr="00457BA8">
        <w:rPr>
          <w:lang w:val="en-US"/>
        </w:rPr>
        <w:t>Pavlova City Psychiatric Hospital, Kyiv</w:t>
      </w:r>
    </w:p>
    <w:p w:rsidR="00457BA8" w:rsidRPr="00457BA8" w:rsidRDefault="00457BA8" w:rsidP="00457BA8">
      <w:pPr>
        <w:pStyle w:val="H23G"/>
        <w:rPr>
          <w:lang w:val="en-US"/>
        </w:rPr>
      </w:pPr>
      <w:r w:rsidRPr="00457BA8">
        <w:rPr>
          <w:lang w:val="en-US"/>
        </w:rPr>
        <w:tab/>
      </w:r>
      <w:r w:rsidRPr="00457BA8">
        <w:rPr>
          <w:lang w:val="en-US"/>
        </w:rPr>
        <w:tab/>
      </w:r>
      <w:bookmarkStart w:id="7" w:name="_Toc482625018"/>
      <w:r w:rsidRPr="00457BA8">
        <w:rPr>
          <w:lang w:val="en-US"/>
        </w:rPr>
        <w:t>Facilities under the Ministry of Social Policy</w:t>
      </w:r>
      <w:bookmarkEnd w:id="7"/>
    </w:p>
    <w:p w:rsidR="00457BA8" w:rsidRPr="00457BA8" w:rsidRDefault="00457BA8" w:rsidP="00457BA8">
      <w:pPr>
        <w:pStyle w:val="SingleTxtG"/>
        <w:rPr>
          <w:lang w:val="en-US"/>
        </w:rPr>
      </w:pPr>
      <w:r w:rsidRPr="00457BA8">
        <w:rPr>
          <w:lang w:val="en-US"/>
        </w:rPr>
        <w:t>Darnytskyi orphanage boarding school, Kyiv</w:t>
      </w:r>
    </w:p>
    <w:p w:rsidR="00457BA8" w:rsidRPr="00457BA8" w:rsidRDefault="00457BA8" w:rsidP="00457BA8">
      <w:pPr>
        <w:pStyle w:val="H23G"/>
        <w:rPr>
          <w:lang w:val="en-US"/>
        </w:rPr>
      </w:pPr>
      <w:r w:rsidRPr="00457BA8">
        <w:rPr>
          <w:lang w:val="en-US"/>
        </w:rPr>
        <w:tab/>
      </w:r>
      <w:r w:rsidRPr="00457BA8">
        <w:rPr>
          <w:lang w:val="en-US"/>
        </w:rPr>
        <w:tab/>
      </w:r>
      <w:bookmarkStart w:id="8" w:name="_Toc482625019"/>
      <w:r w:rsidRPr="00457BA8">
        <w:rPr>
          <w:lang w:val="en-US"/>
        </w:rPr>
        <w:t>Facilities under the State Security Service</w:t>
      </w:r>
      <w:bookmarkEnd w:id="8"/>
    </w:p>
    <w:p w:rsidR="00457BA8" w:rsidRPr="00457BA8" w:rsidRDefault="00457BA8" w:rsidP="00457BA8">
      <w:pPr>
        <w:pStyle w:val="SingleTxtG"/>
        <w:rPr>
          <w:lang w:val="en-US"/>
        </w:rPr>
      </w:pPr>
      <w:r w:rsidRPr="00457BA8">
        <w:rPr>
          <w:lang w:val="en-US"/>
        </w:rPr>
        <w:t>SBU Premises in Kharkiv (delayed access)</w:t>
      </w:r>
    </w:p>
    <w:p w:rsidR="00457BA8" w:rsidRPr="00457BA8" w:rsidRDefault="00457BA8" w:rsidP="00457BA8">
      <w:pPr>
        <w:pStyle w:val="H23G"/>
        <w:rPr>
          <w:lang w:val="en-US"/>
        </w:rPr>
      </w:pPr>
      <w:r w:rsidRPr="00457BA8">
        <w:rPr>
          <w:lang w:val="en-US"/>
        </w:rPr>
        <w:lastRenderedPageBreak/>
        <w:tab/>
      </w:r>
      <w:r w:rsidRPr="00457BA8">
        <w:rPr>
          <w:lang w:val="en-US"/>
        </w:rPr>
        <w:tab/>
      </w:r>
      <w:bookmarkStart w:id="9" w:name="_Toc482625020"/>
      <w:r w:rsidRPr="00457BA8">
        <w:rPr>
          <w:lang w:val="en-US"/>
        </w:rPr>
        <w:t>Places of deprivation of liberty obstructed from visiting</w:t>
      </w:r>
      <w:bookmarkEnd w:id="9"/>
    </w:p>
    <w:p w:rsidR="00457BA8" w:rsidRPr="00457BA8" w:rsidRDefault="00457BA8" w:rsidP="00457BA8">
      <w:pPr>
        <w:pStyle w:val="H23G"/>
        <w:rPr>
          <w:lang w:val="en-US"/>
        </w:rPr>
      </w:pPr>
      <w:r w:rsidRPr="00457BA8">
        <w:rPr>
          <w:lang w:val="en-US"/>
        </w:rPr>
        <w:tab/>
      </w:r>
      <w:r w:rsidRPr="00457BA8">
        <w:rPr>
          <w:lang w:val="en-US"/>
        </w:rPr>
        <w:tab/>
      </w:r>
      <w:bookmarkStart w:id="10" w:name="_Toc482625021"/>
      <w:r w:rsidRPr="00457BA8">
        <w:rPr>
          <w:lang w:val="en-US"/>
        </w:rPr>
        <w:t>Facilities under the State Security Service</w:t>
      </w:r>
      <w:bookmarkEnd w:id="10"/>
    </w:p>
    <w:p w:rsidR="00457BA8" w:rsidRPr="00457BA8" w:rsidRDefault="00457BA8" w:rsidP="00457BA8">
      <w:pPr>
        <w:pStyle w:val="SingleTxtG"/>
        <w:rPr>
          <w:lang w:val="en-US"/>
        </w:rPr>
      </w:pPr>
      <w:r w:rsidRPr="00457BA8">
        <w:rPr>
          <w:lang w:val="en-US"/>
        </w:rPr>
        <w:t xml:space="preserve">SBU Premises in Kramatorsk </w:t>
      </w:r>
    </w:p>
    <w:p w:rsidR="00457BA8" w:rsidRPr="00457BA8" w:rsidRDefault="00457BA8" w:rsidP="00457BA8">
      <w:pPr>
        <w:pStyle w:val="SingleTxtG"/>
        <w:rPr>
          <w:lang w:val="en-US"/>
        </w:rPr>
      </w:pPr>
      <w:r w:rsidRPr="00457BA8">
        <w:rPr>
          <w:lang w:val="en-US"/>
        </w:rPr>
        <w:t xml:space="preserve">SBU Premises in Konstantinovka </w:t>
      </w:r>
    </w:p>
    <w:p w:rsidR="00457BA8" w:rsidRPr="00457BA8" w:rsidRDefault="00457BA8" w:rsidP="00457BA8">
      <w:pPr>
        <w:pStyle w:val="SingleTxtG"/>
        <w:rPr>
          <w:lang w:val="en-US"/>
        </w:rPr>
      </w:pPr>
      <w:r w:rsidRPr="00457BA8">
        <w:rPr>
          <w:lang w:val="en-US"/>
        </w:rPr>
        <w:t>SBU Premises in Mariupol</w:t>
      </w:r>
    </w:p>
    <w:p w:rsidR="00457BA8" w:rsidRPr="00457BA8" w:rsidRDefault="00457BA8" w:rsidP="00457BA8">
      <w:pPr>
        <w:pStyle w:val="SingleTxtG"/>
        <w:rPr>
          <w:lang w:val="en-US"/>
        </w:rPr>
      </w:pPr>
      <w:r w:rsidRPr="00457BA8">
        <w:rPr>
          <w:lang w:val="en-US"/>
        </w:rPr>
        <w:t>SBU Premises in Odesa</w:t>
      </w:r>
    </w:p>
    <w:p w:rsidR="00457BA8" w:rsidRPr="00457BA8" w:rsidRDefault="00457BA8" w:rsidP="00457BA8">
      <w:pPr>
        <w:pStyle w:val="HChG"/>
        <w:rPr>
          <w:lang w:val="en-US"/>
        </w:rPr>
      </w:pPr>
      <w:r w:rsidRPr="00457BA8">
        <w:rPr>
          <w:lang w:val="en-US"/>
        </w:rPr>
        <w:tab/>
      </w:r>
      <w:bookmarkStart w:id="11" w:name="_Toc482625022"/>
      <w:r w:rsidRPr="00457BA8">
        <w:rPr>
          <w:lang w:val="en-US"/>
        </w:rPr>
        <w:t>II.</w:t>
      </w:r>
      <w:r w:rsidRPr="00457BA8">
        <w:rPr>
          <w:lang w:val="en-US"/>
        </w:rPr>
        <w:tab/>
        <w:t>September 2016</w:t>
      </w:r>
      <w:bookmarkEnd w:id="11"/>
    </w:p>
    <w:p w:rsidR="00457BA8" w:rsidRPr="00457BA8" w:rsidRDefault="00457BA8" w:rsidP="00457BA8">
      <w:pPr>
        <w:pStyle w:val="H23G"/>
        <w:rPr>
          <w:lang w:val="en-US"/>
        </w:rPr>
      </w:pPr>
      <w:r w:rsidRPr="00457BA8">
        <w:rPr>
          <w:lang w:val="en-US"/>
        </w:rPr>
        <w:tab/>
      </w:r>
      <w:r w:rsidRPr="00457BA8">
        <w:rPr>
          <w:lang w:val="en-US"/>
        </w:rPr>
        <w:tab/>
      </w:r>
      <w:bookmarkStart w:id="12" w:name="_Toc482625023"/>
      <w:r w:rsidRPr="00457BA8">
        <w:rPr>
          <w:lang w:val="en-US"/>
        </w:rPr>
        <w:t>Facilities under the Minsitry of Internal Affairs</w:t>
      </w:r>
      <w:bookmarkEnd w:id="12"/>
    </w:p>
    <w:p w:rsidR="00457BA8" w:rsidRPr="00457BA8" w:rsidRDefault="00457BA8" w:rsidP="00457BA8">
      <w:pPr>
        <w:pStyle w:val="SingleTxtG"/>
        <w:rPr>
          <w:lang w:val="en-US"/>
        </w:rPr>
      </w:pPr>
      <w:r w:rsidRPr="00457BA8">
        <w:rPr>
          <w:lang w:val="en-US"/>
        </w:rPr>
        <w:t>Pre-trial centre of the Main department of the National Police in Pustomiti (‘Pustomiti ITT’)</w:t>
      </w:r>
    </w:p>
    <w:p w:rsidR="00457BA8" w:rsidRPr="00457BA8" w:rsidRDefault="00457BA8" w:rsidP="00457BA8">
      <w:pPr>
        <w:pStyle w:val="SingleTxtG"/>
        <w:rPr>
          <w:lang w:val="en-US"/>
        </w:rPr>
      </w:pPr>
      <w:r w:rsidRPr="00457BA8">
        <w:rPr>
          <w:lang w:val="en-US"/>
        </w:rPr>
        <w:t>Pre-trial centre of the Main department of the National Police in Mariupol (‘Mariupol ITT’)</w:t>
      </w:r>
    </w:p>
    <w:p w:rsidR="00457BA8" w:rsidRPr="00457BA8" w:rsidRDefault="00457BA8" w:rsidP="00457BA8">
      <w:pPr>
        <w:pStyle w:val="SingleTxtG"/>
        <w:rPr>
          <w:lang w:val="en-US"/>
        </w:rPr>
      </w:pPr>
      <w:r w:rsidRPr="00457BA8">
        <w:rPr>
          <w:lang w:val="en-US"/>
        </w:rPr>
        <w:t>Mariupol</w:t>
      </w:r>
    </w:p>
    <w:p w:rsidR="00457BA8" w:rsidRPr="00457BA8" w:rsidRDefault="00457BA8" w:rsidP="00457BA8">
      <w:pPr>
        <w:pStyle w:val="SingleTxtG"/>
        <w:rPr>
          <w:lang w:val="en-US"/>
        </w:rPr>
      </w:pPr>
      <w:r w:rsidRPr="00457BA8">
        <w:rPr>
          <w:lang w:val="en-US"/>
        </w:rPr>
        <w:t>Pre-trial centre of the Main department of the National Police in Kramatorsk (‘Kramatorsk ITT’)</w:t>
      </w:r>
    </w:p>
    <w:p w:rsidR="00457BA8" w:rsidRPr="00457BA8" w:rsidRDefault="00457BA8" w:rsidP="00457BA8">
      <w:pPr>
        <w:pStyle w:val="H23G"/>
        <w:rPr>
          <w:lang w:val="en-US"/>
        </w:rPr>
      </w:pPr>
      <w:r w:rsidRPr="00457BA8">
        <w:rPr>
          <w:lang w:val="en-US"/>
        </w:rPr>
        <w:tab/>
      </w:r>
      <w:r w:rsidRPr="00457BA8">
        <w:rPr>
          <w:lang w:val="en-US"/>
        </w:rPr>
        <w:tab/>
      </w:r>
      <w:bookmarkStart w:id="13" w:name="_Toc482625024"/>
      <w:r w:rsidRPr="00457BA8">
        <w:rPr>
          <w:lang w:val="en-US"/>
        </w:rPr>
        <w:t>Facilities under the Ministry of Justice</w:t>
      </w:r>
      <w:bookmarkEnd w:id="13"/>
    </w:p>
    <w:p w:rsidR="00457BA8" w:rsidRPr="00457BA8" w:rsidRDefault="00457BA8" w:rsidP="00457BA8">
      <w:pPr>
        <w:pStyle w:val="SingleTxtG"/>
        <w:rPr>
          <w:lang w:val="en-US"/>
        </w:rPr>
      </w:pPr>
      <w:r w:rsidRPr="00457BA8">
        <w:rPr>
          <w:lang w:val="en-US"/>
        </w:rPr>
        <w:t>Lviv pre-trial institution of the State Penitentiary Service of Ukraine in Lviv region (‘Lviv SIZO’)</w:t>
      </w:r>
    </w:p>
    <w:p w:rsidR="00457BA8" w:rsidRPr="00457BA8" w:rsidRDefault="00457BA8" w:rsidP="00457BA8">
      <w:pPr>
        <w:pStyle w:val="SingleTxtG"/>
        <w:rPr>
          <w:lang w:val="en-US"/>
        </w:rPr>
      </w:pPr>
      <w:r w:rsidRPr="00457BA8">
        <w:rPr>
          <w:lang w:val="en-US"/>
        </w:rPr>
        <w:t>Zaporizhzhia pre-trial institution of the State Penitentiary Service of Ukraine in Zaporizhzhia region (‘Zaporizhzhia SIZO’)</w:t>
      </w:r>
    </w:p>
    <w:p w:rsidR="00457BA8" w:rsidRPr="00457BA8" w:rsidRDefault="00457BA8" w:rsidP="00457BA8">
      <w:pPr>
        <w:pStyle w:val="H23G"/>
        <w:rPr>
          <w:lang w:val="en-US"/>
        </w:rPr>
      </w:pPr>
      <w:r w:rsidRPr="00457BA8">
        <w:rPr>
          <w:lang w:val="en-US"/>
        </w:rPr>
        <w:tab/>
      </w:r>
      <w:r w:rsidRPr="00457BA8">
        <w:rPr>
          <w:lang w:val="en-US"/>
        </w:rPr>
        <w:tab/>
      </w:r>
      <w:bookmarkStart w:id="14" w:name="_Toc482625025"/>
      <w:r w:rsidRPr="00457BA8">
        <w:rPr>
          <w:lang w:val="en-US"/>
        </w:rPr>
        <w:t>Facilities under the State Security Service</w:t>
      </w:r>
      <w:bookmarkEnd w:id="14"/>
    </w:p>
    <w:p w:rsidR="00457BA8" w:rsidRPr="00457BA8" w:rsidRDefault="00457BA8" w:rsidP="00457BA8">
      <w:pPr>
        <w:pStyle w:val="SingleTxtG"/>
        <w:rPr>
          <w:lang w:val="en-US"/>
        </w:rPr>
      </w:pPr>
      <w:r w:rsidRPr="00457BA8">
        <w:rPr>
          <w:lang w:val="en-US"/>
        </w:rPr>
        <w:t xml:space="preserve">SBU Premises in Lviv </w:t>
      </w:r>
    </w:p>
    <w:p w:rsidR="00457BA8" w:rsidRPr="00457BA8" w:rsidRDefault="00457BA8" w:rsidP="00457BA8">
      <w:pPr>
        <w:pStyle w:val="SingleTxtG"/>
        <w:rPr>
          <w:lang w:val="en-US"/>
        </w:rPr>
      </w:pPr>
      <w:r w:rsidRPr="00457BA8">
        <w:rPr>
          <w:lang w:val="en-US"/>
        </w:rPr>
        <w:t>SBU Premises in Zaporizhzhia</w:t>
      </w:r>
    </w:p>
    <w:p w:rsidR="00457BA8" w:rsidRPr="00457BA8" w:rsidRDefault="00457BA8" w:rsidP="00457BA8">
      <w:pPr>
        <w:pStyle w:val="SingleTxtG"/>
        <w:rPr>
          <w:lang w:val="en-US"/>
        </w:rPr>
      </w:pPr>
      <w:r w:rsidRPr="00457BA8">
        <w:rPr>
          <w:lang w:val="en-US"/>
        </w:rPr>
        <w:t>SBU Premises in Mariupol</w:t>
      </w:r>
    </w:p>
    <w:p w:rsidR="00457BA8" w:rsidRPr="00457BA8" w:rsidRDefault="00457BA8" w:rsidP="00457BA8">
      <w:pPr>
        <w:pStyle w:val="SingleTxtG"/>
        <w:rPr>
          <w:lang w:val="en-US"/>
        </w:rPr>
      </w:pPr>
      <w:r w:rsidRPr="00457BA8">
        <w:rPr>
          <w:lang w:val="en-US"/>
        </w:rPr>
        <w:t>SBU Premises in Kramatorsk</w:t>
      </w:r>
    </w:p>
    <w:p w:rsidR="00457BA8" w:rsidRDefault="00783CB4" w:rsidP="00457BA8">
      <w:pPr>
        <w:pStyle w:val="HChG"/>
        <w:rPr>
          <w:lang w:val="en-US"/>
        </w:rPr>
      </w:pPr>
      <w:r w:rsidRPr="00457BA8">
        <w:rPr>
          <w:lang w:val="en-US"/>
        </w:rPr>
        <w:br w:type="page"/>
      </w:r>
      <w:bookmarkStart w:id="15" w:name="_Toc482625026"/>
      <w:r w:rsidR="00457BA8" w:rsidRPr="00457BA8">
        <w:rPr>
          <w:lang w:val="en-US"/>
        </w:rPr>
        <w:lastRenderedPageBreak/>
        <w:t>Annex II</w:t>
      </w:r>
      <w:bookmarkEnd w:id="15"/>
    </w:p>
    <w:p w:rsidR="00457BA8" w:rsidRPr="00457BA8" w:rsidRDefault="00457BA8" w:rsidP="00457BA8">
      <w:pPr>
        <w:pStyle w:val="SingleTxtG"/>
        <w:jc w:val="right"/>
        <w:rPr>
          <w:i/>
          <w:lang w:val="en-US"/>
        </w:rPr>
      </w:pPr>
      <w:r>
        <w:rPr>
          <w:i/>
          <w:lang w:val="en-US"/>
        </w:rPr>
        <w:t>[Inglés únicamente]</w:t>
      </w:r>
    </w:p>
    <w:p w:rsidR="00457BA8" w:rsidRPr="00457BA8" w:rsidRDefault="00457BA8" w:rsidP="00457BA8">
      <w:pPr>
        <w:pStyle w:val="HChG"/>
        <w:rPr>
          <w:lang w:val="en-US"/>
        </w:rPr>
      </w:pPr>
      <w:r w:rsidRPr="00457BA8">
        <w:rPr>
          <w:lang w:val="en-US"/>
        </w:rPr>
        <w:tab/>
      </w:r>
      <w:r w:rsidRPr="00457BA8">
        <w:rPr>
          <w:lang w:val="en-US"/>
        </w:rPr>
        <w:tab/>
      </w:r>
      <w:bookmarkStart w:id="16" w:name="_Toc482625027"/>
      <w:r w:rsidRPr="00457BA8">
        <w:rPr>
          <w:lang w:val="en-US"/>
        </w:rPr>
        <w:t>List of government officials and other persons with whom the Subcommittee met</w:t>
      </w:r>
      <w:bookmarkEnd w:id="16"/>
    </w:p>
    <w:p w:rsidR="00457BA8" w:rsidRPr="00457BA8" w:rsidRDefault="00457BA8" w:rsidP="00457BA8">
      <w:pPr>
        <w:pStyle w:val="HChG"/>
        <w:rPr>
          <w:lang w:val="en-US"/>
        </w:rPr>
      </w:pPr>
      <w:r w:rsidRPr="00457BA8">
        <w:rPr>
          <w:lang w:val="en-US"/>
        </w:rPr>
        <w:tab/>
      </w:r>
      <w:bookmarkStart w:id="17" w:name="_Toc482625028"/>
      <w:r w:rsidRPr="00457BA8">
        <w:rPr>
          <w:lang w:val="en-US"/>
        </w:rPr>
        <w:t>I.</w:t>
      </w:r>
      <w:r w:rsidRPr="00457BA8">
        <w:rPr>
          <w:lang w:val="en-US"/>
        </w:rPr>
        <w:tab/>
        <w:t>May 2016</w:t>
      </w:r>
      <w:bookmarkEnd w:id="17"/>
      <w:r w:rsidRPr="00457BA8">
        <w:rPr>
          <w:lang w:val="en-US"/>
        </w:rPr>
        <w:t xml:space="preserve"> </w:t>
      </w:r>
    </w:p>
    <w:p w:rsidR="00457BA8" w:rsidRPr="00457BA8" w:rsidRDefault="00457BA8" w:rsidP="00457BA8">
      <w:pPr>
        <w:pStyle w:val="H1G"/>
        <w:rPr>
          <w:lang w:val="en-US"/>
        </w:rPr>
      </w:pPr>
      <w:r w:rsidRPr="00457BA8">
        <w:rPr>
          <w:lang w:val="en-US"/>
        </w:rPr>
        <w:tab/>
      </w:r>
      <w:r w:rsidRPr="00457BA8">
        <w:rPr>
          <w:lang w:val="en-US"/>
        </w:rPr>
        <w:tab/>
      </w:r>
      <w:bookmarkStart w:id="18" w:name="_Toc482625029"/>
      <w:r w:rsidRPr="00457BA8">
        <w:rPr>
          <w:lang w:val="en-US"/>
        </w:rPr>
        <w:t>Authorities</w:t>
      </w:r>
      <w:bookmarkEnd w:id="18"/>
    </w:p>
    <w:p w:rsidR="00457BA8" w:rsidRPr="00457BA8" w:rsidRDefault="00457BA8" w:rsidP="00457BA8">
      <w:pPr>
        <w:pStyle w:val="H23G"/>
        <w:rPr>
          <w:lang w:val="en-US"/>
        </w:rPr>
      </w:pPr>
      <w:r w:rsidRPr="00457BA8">
        <w:rPr>
          <w:lang w:val="en-US"/>
        </w:rPr>
        <w:tab/>
      </w:r>
      <w:r w:rsidRPr="00457BA8">
        <w:rPr>
          <w:lang w:val="en-US"/>
        </w:rPr>
        <w:tab/>
      </w:r>
      <w:bookmarkStart w:id="19" w:name="_Toc482625030"/>
      <w:r w:rsidRPr="00457BA8">
        <w:rPr>
          <w:lang w:val="en-US"/>
        </w:rPr>
        <w:t>Ministry of Foreign Affairs</w:t>
      </w:r>
      <w:bookmarkEnd w:id="19"/>
    </w:p>
    <w:p w:rsidR="00457BA8" w:rsidRPr="00457BA8" w:rsidRDefault="00457BA8" w:rsidP="00457BA8">
      <w:pPr>
        <w:pStyle w:val="SingleTxtG"/>
        <w:rPr>
          <w:lang w:val="en-US"/>
        </w:rPr>
      </w:pPr>
      <w:r w:rsidRPr="00457BA8">
        <w:rPr>
          <w:lang w:val="en-US"/>
        </w:rPr>
        <w:t>Antonina Vitaliivna Shlyakotina, First Secretary, Human Rights and Council of Europe Unit, Department for International Organizations</w:t>
      </w:r>
    </w:p>
    <w:p w:rsidR="00457BA8" w:rsidRPr="00457BA8" w:rsidRDefault="00457BA8" w:rsidP="00457BA8">
      <w:pPr>
        <w:pStyle w:val="H23G"/>
        <w:rPr>
          <w:lang w:val="en-US"/>
        </w:rPr>
      </w:pPr>
      <w:r w:rsidRPr="00457BA8">
        <w:rPr>
          <w:lang w:val="en-US"/>
        </w:rPr>
        <w:tab/>
      </w:r>
      <w:r w:rsidRPr="00457BA8">
        <w:rPr>
          <w:lang w:val="en-US"/>
        </w:rPr>
        <w:tab/>
      </w:r>
      <w:bookmarkStart w:id="20" w:name="_Toc482625031"/>
      <w:r w:rsidRPr="00457BA8">
        <w:rPr>
          <w:lang w:val="en-US"/>
        </w:rPr>
        <w:t>Ministry of Justice</w:t>
      </w:r>
      <w:bookmarkEnd w:id="20"/>
    </w:p>
    <w:p w:rsidR="00457BA8" w:rsidRPr="00457BA8" w:rsidRDefault="00457BA8" w:rsidP="00457BA8">
      <w:pPr>
        <w:pStyle w:val="SingleTxtG"/>
        <w:rPr>
          <w:lang w:val="en-US"/>
        </w:rPr>
      </w:pPr>
      <w:r w:rsidRPr="00457BA8">
        <w:rPr>
          <w:lang w:val="en-US"/>
        </w:rPr>
        <w:t>Sergiy Petukhov, Deputy Minister of Justice for European Integration</w:t>
      </w:r>
    </w:p>
    <w:p w:rsidR="00457BA8" w:rsidRPr="00457BA8" w:rsidRDefault="00457BA8" w:rsidP="00457BA8">
      <w:pPr>
        <w:pStyle w:val="SingleTxtG"/>
        <w:rPr>
          <w:lang w:val="en-US"/>
        </w:rPr>
      </w:pPr>
      <w:r w:rsidRPr="00457BA8">
        <w:rPr>
          <w:lang w:val="en-US"/>
        </w:rPr>
        <w:t>Natalia Sevosianova, First Deputy Minister of Justice for European Integration</w:t>
      </w:r>
    </w:p>
    <w:p w:rsidR="00457BA8" w:rsidRPr="00457BA8" w:rsidRDefault="00457BA8" w:rsidP="00457BA8">
      <w:pPr>
        <w:pStyle w:val="SingleTxtG"/>
        <w:rPr>
          <w:lang w:val="en-US"/>
        </w:rPr>
      </w:pPr>
      <w:r w:rsidRPr="00457BA8">
        <w:rPr>
          <w:lang w:val="en-US"/>
        </w:rPr>
        <w:t>Tamara Andriieva, Director of the International Law Department</w:t>
      </w:r>
    </w:p>
    <w:p w:rsidR="00457BA8" w:rsidRPr="00457BA8" w:rsidRDefault="00457BA8" w:rsidP="00457BA8">
      <w:pPr>
        <w:pStyle w:val="SingleTxtG"/>
        <w:rPr>
          <w:lang w:val="en-US"/>
        </w:rPr>
      </w:pPr>
      <w:r w:rsidRPr="00457BA8">
        <w:rPr>
          <w:lang w:val="en-US"/>
        </w:rPr>
        <w:t>Luidmyla Sugak, Deputy Director of the International Law Department</w:t>
      </w:r>
    </w:p>
    <w:p w:rsidR="00457BA8" w:rsidRPr="00457BA8" w:rsidRDefault="00457BA8" w:rsidP="00457BA8">
      <w:pPr>
        <w:pStyle w:val="SingleTxtG"/>
        <w:rPr>
          <w:lang w:val="en-US"/>
        </w:rPr>
      </w:pPr>
      <w:r w:rsidRPr="00457BA8">
        <w:rPr>
          <w:lang w:val="en-US"/>
        </w:rPr>
        <w:t xml:space="preserve">Olena Orendivska, International Law Department, International Treaties Division, Deputy Head of Legal Expertise </w:t>
      </w:r>
    </w:p>
    <w:p w:rsidR="00457BA8" w:rsidRPr="00457BA8" w:rsidRDefault="00457BA8" w:rsidP="00457BA8">
      <w:pPr>
        <w:pStyle w:val="H23G"/>
        <w:rPr>
          <w:lang w:val="en-US"/>
        </w:rPr>
      </w:pPr>
      <w:r w:rsidRPr="00457BA8">
        <w:rPr>
          <w:lang w:val="en-US"/>
        </w:rPr>
        <w:tab/>
      </w:r>
      <w:r w:rsidRPr="00457BA8">
        <w:rPr>
          <w:lang w:val="en-US"/>
        </w:rPr>
        <w:tab/>
      </w:r>
      <w:bookmarkStart w:id="21" w:name="_Toc482625032"/>
      <w:r w:rsidRPr="00457BA8">
        <w:rPr>
          <w:lang w:val="en-US"/>
        </w:rPr>
        <w:t>Office of the Prosecutor General</w:t>
      </w:r>
      <w:bookmarkEnd w:id="21"/>
      <w:r w:rsidRPr="00457BA8">
        <w:rPr>
          <w:lang w:val="en-US"/>
        </w:rPr>
        <w:t xml:space="preserve"> </w:t>
      </w:r>
    </w:p>
    <w:p w:rsidR="00457BA8" w:rsidRPr="00457BA8" w:rsidRDefault="00457BA8" w:rsidP="00457BA8">
      <w:pPr>
        <w:pStyle w:val="SingleTxtG"/>
        <w:rPr>
          <w:lang w:val="en-US"/>
        </w:rPr>
      </w:pPr>
      <w:r w:rsidRPr="00457BA8">
        <w:rPr>
          <w:lang w:val="en-US"/>
        </w:rPr>
        <w:t>Dmytro Volodymyrovych Huzyr, Prosecutor, Division of International Legal Cooperation, International Cooperation Unit</w:t>
      </w:r>
    </w:p>
    <w:p w:rsidR="00457BA8" w:rsidRPr="00457BA8" w:rsidRDefault="00457BA8" w:rsidP="00457BA8">
      <w:pPr>
        <w:pStyle w:val="H23G"/>
        <w:rPr>
          <w:lang w:val="en-US"/>
        </w:rPr>
      </w:pPr>
      <w:r w:rsidRPr="00457BA8">
        <w:rPr>
          <w:lang w:val="en-US"/>
        </w:rPr>
        <w:tab/>
      </w:r>
      <w:r w:rsidRPr="00457BA8">
        <w:rPr>
          <w:lang w:val="en-US"/>
        </w:rPr>
        <w:tab/>
      </w:r>
      <w:bookmarkStart w:id="22" w:name="_Toc482625033"/>
      <w:r w:rsidRPr="00457BA8">
        <w:rPr>
          <w:lang w:val="en-US"/>
        </w:rPr>
        <w:t>State Penitentiary Service</w:t>
      </w:r>
      <w:bookmarkEnd w:id="22"/>
      <w:r w:rsidRPr="00457BA8">
        <w:rPr>
          <w:lang w:val="en-US"/>
        </w:rPr>
        <w:t xml:space="preserve"> </w:t>
      </w:r>
    </w:p>
    <w:p w:rsidR="00457BA8" w:rsidRPr="00457BA8" w:rsidRDefault="00457BA8" w:rsidP="00457BA8">
      <w:pPr>
        <w:pStyle w:val="SingleTxtG"/>
        <w:rPr>
          <w:lang w:val="en-US"/>
        </w:rPr>
      </w:pPr>
      <w:r w:rsidRPr="00457BA8">
        <w:rPr>
          <w:lang w:val="en-US"/>
        </w:rPr>
        <w:t>Vladyslav Ivanovych Klysha, Head of international activities and cooperation with the media</w:t>
      </w:r>
      <w:r w:rsidRPr="00457BA8">
        <w:rPr>
          <w:lang w:val="en-US"/>
        </w:rPr>
        <w:tab/>
      </w:r>
    </w:p>
    <w:p w:rsidR="00457BA8" w:rsidRPr="00457BA8" w:rsidRDefault="00457BA8" w:rsidP="00457BA8">
      <w:pPr>
        <w:pStyle w:val="SingleTxtG"/>
        <w:rPr>
          <w:lang w:val="en-US"/>
        </w:rPr>
      </w:pPr>
      <w:r w:rsidRPr="00457BA8">
        <w:rPr>
          <w:lang w:val="en-US"/>
        </w:rPr>
        <w:t>Mykola Petrovych Ityai</w:t>
      </w:r>
    </w:p>
    <w:p w:rsidR="00457BA8" w:rsidRPr="00457BA8" w:rsidRDefault="00457BA8" w:rsidP="00457BA8">
      <w:pPr>
        <w:pStyle w:val="SingleTxtG"/>
        <w:rPr>
          <w:lang w:val="en-US"/>
        </w:rPr>
      </w:pPr>
      <w:r w:rsidRPr="00457BA8">
        <w:rPr>
          <w:lang w:val="en-US"/>
        </w:rPr>
        <w:t>Oleksandr Lvovych Etnis</w:t>
      </w:r>
    </w:p>
    <w:p w:rsidR="00457BA8" w:rsidRPr="00457BA8" w:rsidRDefault="00457BA8" w:rsidP="00457BA8">
      <w:pPr>
        <w:pStyle w:val="SingleTxtG"/>
        <w:rPr>
          <w:lang w:val="en-US"/>
        </w:rPr>
      </w:pPr>
      <w:r w:rsidRPr="00457BA8">
        <w:rPr>
          <w:lang w:val="en-US"/>
        </w:rPr>
        <w:t>Vitalli Vasylovych Khvedchuk</w:t>
      </w:r>
    </w:p>
    <w:p w:rsidR="00457BA8" w:rsidRPr="00457BA8" w:rsidRDefault="00457BA8" w:rsidP="00457BA8">
      <w:pPr>
        <w:pStyle w:val="SingleTxtG"/>
        <w:rPr>
          <w:lang w:val="en-US"/>
        </w:rPr>
      </w:pPr>
      <w:r w:rsidRPr="00457BA8">
        <w:rPr>
          <w:lang w:val="en-US"/>
        </w:rPr>
        <w:t>Oleksandr Volodymyrovych Nuzhnyui</w:t>
      </w:r>
    </w:p>
    <w:p w:rsidR="00457BA8" w:rsidRPr="00457BA8" w:rsidRDefault="00457BA8" w:rsidP="00457BA8">
      <w:pPr>
        <w:pStyle w:val="H23G"/>
        <w:rPr>
          <w:lang w:val="en-US"/>
        </w:rPr>
      </w:pPr>
      <w:r w:rsidRPr="00457BA8">
        <w:rPr>
          <w:lang w:val="en-US"/>
        </w:rPr>
        <w:tab/>
      </w:r>
      <w:r w:rsidRPr="00457BA8">
        <w:rPr>
          <w:lang w:val="en-US"/>
        </w:rPr>
        <w:tab/>
      </w:r>
      <w:bookmarkStart w:id="23" w:name="_Toc482625034"/>
      <w:r w:rsidRPr="00457BA8">
        <w:rPr>
          <w:lang w:val="en-US"/>
        </w:rPr>
        <w:t>State Migration Service</w:t>
      </w:r>
      <w:bookmarkEnd w:id="23"/>
      <w:r w:rsidRPr="00457BA8">
        <w:rPr>
          <w:lang w:val="en-US"/>
        </w:rPr>
        <w:t xml:space="preserve"> </w:t>
      </w:r>
    </w:p>
    <w:p w:rsidR="00457BA8" w:rsidRPr="00457BA8" w:rsidRDefault="00457BA8" w:rsidP="00457BA8">
      <w:pPr>
        <w:pStyle w:val="SingleTxtG"/>
        <w:rPr>
          <w:lang w:val="en-US"/>
        </w:rPr>
      </w:pPr>
      <w:r w:rsidRPr="00457BA8">
        <w:rPr>
          <w:lang w:val="en-US"/>
        </w:rPr>
        <w:t>Ivan Anatoliyovych Rybalko, Head of the organization of reception centers and temporary stay of refugees and foreigners, Department of Foreigners and Stateless Persons</w:t>
      </w:r>
    </w:p>
    <w:p w:rsidR="00457BA8" w:rsidRPr="00457BA8" w:rsidRDefault="00457BA8" w:rsidP="00457BA8">
      <w:pPr>
        <w:pStyle w:val="H23G"/>
        <w:rPr>
          <w:lang w:val="en-US"/>
        </w:rPr>
      </w:pPr>
      <w:r w:rsidRPr="00457BA8">
        <w:rPr>
          <w:lang w:val="en-US"/>
        </w:rPr>
        <w:tab/>
      </w:r>
      <w:r w:rsidRPr="00457BA8">
        <w:rPr>
          <w:lang w:val="en-US"/>
        </w:rPr>
        <w:tab/>
      </w:r>
      <w:bookmarkStart w:id="24" w:name="_Toc482625035"/>
      <w:r w:rsidRPr="00457BA8">
        <w:rPr>
          <w:lang w:val="en-US"/>
        </w:rPr>
        <w:t>State Border Service</w:t>
      </w:r>
      <w:bookmarkEnd w:id="24"/>
    </w:p>
    <w:p w:rsidR="00457BA8" w:rsidRPr="00457BA8" w:rsidRDefault="00457BA8" w:rsidP="00457BA8">
      <w:pPr>
        <w:pStyle w:val="SingleTxtG"/>
        <w:rPr>
          <w:lang w:val="en-US"/>
        </w:rPr>
      </w:pPr>
      <w:r w:rsidRPr="00457BA8">
        <w:rPr>
          <w:lang w:val="en-US"/>
        </w:rPr>
        <w:t>Oleg Oleksiyovych Laba, Head of the analysis of illegal migration and readmission unit; Colonel</w:t>
      </w:r>
    </w:p>
    <w:p w:rsidR="00457BA8" w:rsidRPr="00457BA8" w:rsidRDefault="00457BA8" w:rsidP="00457BA8">
      <w:pPr>
        <w:pStyle w:val="H23G"/>
        <w:rPr>
          <w:lang w:val="en-US"/>
        </w:rPr>
      </w:pPr>
      <w:r w:rsidRPr="00457BA8">
        <w:rPr>
          <w:lang w:val="en-US"/>
        </w:rPr>
        <w:tab/>
      </w:r>
      <w:r w:rsidRPr="00457BA8">
        <w:rPr>
          <w:lang w:val="en-US"/>
        </w:rPr>
        <w:tab/>
      </w:r>
      <w:bookmarkStart w:id="25" w:name="_Toc482625036"/>
      <w:r w:rsidRPr="00457BA8">
        <w:rPr>
          <w:lang w:val="en-US"/>
        </w:rPr>
        <w:t>State Security Service</w:t>
      </w:r>
      <w:bookmarkEnd w:id="25"/>
    </w:p>
    <w:p w:rsidR="00457BA8" w:rsidRPr="00457BA8" w:rsidRDefault="00457BA8" w:rsidP="00457BA8">
      <w:pPr>
        <w:pStyle w:val="SingleTxtG"/>
        <w:rPr>
          <w:lang w:val="en-US"/>
        </w:rPr>
      </w:pPr>
      <w:r w:rsidRPr="00457BA8">
        <w:rPr>
          <w:lang w:val="en-US"/>
        </w:rPr>
        <w:t>Olexander Petrovych Sychevskii, Central Investigation Department</w:t>
      </w:r>
    </w:p>
    <w:p w:rsidR="00457BA8" w:rsidRPr="00457BA8" w:rsidRDefault="00457BA8" w:rsidP="00457BA8">
      <w:pPr>
        <w:pStyle w:val="SingleTxtG"/>
        <w:rPr>
          <w:lang w:val="en-US"/>
        </w:rPr>
      </w:pPr>
      <w:r w:rsidRPr="00457BA8">
        <w:rPr>
          <w:lang w:val="en-US"/>
        </w:rPr>
        <w:t>Igor Vasylovych Demchenko, Head of Preliminary Investigation Division; Colonel</w:t>
      </w:r>
    </w:p>
    <w:p w:rsidR="00457BA8" w:rsidRPr="00457BA8" w:rsidRDefault="00457BA8" w:rsidP="00457BA8">
      <w:pPr>
        <w:pStyle w:val="H23G"/>
        <w:rPr>
          <w:lang w:val="en-US"/>
        </w:rPr>
      </w:pPr>
      <w:r w:rsidRPr="00457BA8">
        <w:rPr>
          <w:lang w:val="en-US"/>
        </w:rPr>
        <w:lastRenderedPageBreak/>
        <w:tab/>
      </w:r>
      <w:r w:rsidRPr="00457BA8">
        <w:rPr>
          <w:lang w:val="en-US"/>
        </w:rPr>
        <w:tab/>
      </w:r>
      <w:bookmarkStart w:id="26" w:name="_Toc482625037"/>
      <w:r w:rsidRPr="00457BA8">
        <w:rPr>
          <w:lang w:val="en-US"/>
        </w:rPr>
        <w:t>Ministry of Defense</w:t>
      </w:r>
      <w:bookmarkEnd w:id="26"/>
    </w:p>
    <w:p w:rsidR="00457BA8" w:rsidRPr="00457BA8" w:rsidRDefault="00457BA8" w:rsidP="00457BA8">
      <w:pPr>
        <w:pStyle w:val="SingleTxtG"/>
        <w:rPr>
          <w:lang w:val="en-US"/>
        </w:rPr>
      </w:pPr>
      <w:r w:rsidRPr="00457BA8">
        <w:rPr>
          <w:lang w:val="en-US"/>
        </w:rPr>
        <w:t>Olexandr Radyslavovych Pelts, Head of the Division of Health, Patrol-guard service and Investigation, Main Department of Military Service; Colonel</w:t>
      </w:r>
    </w:p>
    <w:p w:rsidR="00457BA8" w:rsidRPr="00457BA8" w:rsidRDefault="00457BA8" w:rsidP="00457BA8">
      <w:pPr>
        <w:pStyle w:val="H23G"/>
        <w:rPr>
          <w:lang w:val="en-US"/>
        </w:rPr>
      </w:pPr>
      <w:r w:rsidRPr="00457BA8">
        <w:rPr>
          <w:lang w:val="en-US"/>
        </w:rPr>
        <w:tab/>
      </w:r>
      <w:r w:rsidRPr="00457BA8">
        <w:rPr>
          <w:lang w:val="en-US"/>
        </w:rPr>
        <w:tab/>
      </w:r>
      <w:bookmarkStart w:id="27" w:name="_Toc482625038"/>
      <w:r w:rsidRPr="00457BA8">
        <w:rPr>
          <w:lang w:val="en-US"/>
        </w:rPr>
        <w:t>Ministry of Internal Affairs</w:t>
      </w:r>
      <w:bookmarkEnd w:id="27"/>
    </w:p>
    <w:p w:rsidR="00457BA8" w:rsidRPr="00457BA8" w:rsidRDefault="00457BA8" w:rsidP="00457BA8">
      <w:pPr>
        <w:pStyle w:val="SingleTxtG"/>
        <w:rPr>
          <w:lang w:val="en-US"/>
        </w:rPr>
      </w:pPr>
      <w:r w:rsidRPr="00457BA8">
        <w:rPr>
          <w:lang w:val="en-US"/>
        </w:rPr>
        <w:t>Eugeniy Valeriyovych Dziuba, Acting Head of the Human Rights Division, National Police</w:t>
      </w:r>
    </w:p>
    <w:p w:rsidR="00457BA8" w:rsidRPr="00457BA8" w:rsidRDefault="00457BA8" w:rsidP="00457BA8">
      <w:pPr>
        <w:pStyle w:val="SingleTxtG"/>
        <w:rPr>
          <w:lang w:val="en-US"/>
        </w:rPr>
      </w:pPr>
      <w:r w:rsidRPr="00457BA8">
        <w:rPr>
          <w:lang w:val="en-US"/>
        </w:rPr>
        <w:t>Olexandr Mykhailovych Guzmenuik, Deputy Head of the Department of Analytical Provision and Rapid Response, National Police</w:t>
      </w:r>
    </w:p>
    <w:p w:rsidR="00457BA8" w:rsidRPr="00457BA8" w:rsidRDefault="00457BA8" w:rsidP="00457BA8">
      <w:pPr>
        <w:pStyle w:val="H23G"/>
        <w:rPr>
          <w:lang w:val="en-US"/>
        </w:rPr>
      </w:pPr>
      <w:r w:rsidRPr="00457BA8">
        <w:rPr>
          <w:lang w:val="en-US"/>
        </w:rPr>
        <w:tab/>
      </w:r>
      <w:r w:rsidRPr="00457BA8">
        <w:rPr>
          <w:lang w:val="en-US"/>
        </w:rPr>
        <w:tab/>
      </w:r>
      <w:bookmarkStart w:id="28" w:name="_Toc482625039"/>
      <w:r w:rsidRPr="00457BA8">
        <w:rPr>
          <w:lang w:val="en-US"/>
        </w:rPr>
        <w:t>Ministry of Social Policy</w:t>
      </w:r>
      <w:bookmarkEnd w:id="28"/>
    </w:p>
    <w:p w:rsidR="00457BA8" w:rsidRPr="00457BA8" w:rsidRDefault="00457BA8" w:rsidP="00457BA8">
      <w:pPr>
        <w:pStyle w:val="SingleTxtG"/>
        <w:rPr>
          <w:lang w:val="en-US"/>
        </w:rPr>
      </w:pPr>
      <w:r w:rsidRPr="00457BA8">
        <w:rPr>
          <w:lang w:val="en-US"/>
        </w:rPr>
        <w:t>Oksana Sulima, Deputy Director of the Department of Social Services</w:t>
      </w:r>
    </w:p>
    <w:p w:rsidR="00457BA8" w:rsidRPr="00457BA8" w:rsidRDefault="00457BA8" w:rsidP="00457BA8">
      <w:pPr>
        <w:pStyle w:val="SingleTxtG"/>
        <w:rPr>
          <w:lang w:val="en-US"/>
        </w:rPr>
      </w:pPr>
      <w:r w:rsidRPr="00457BA8">
        <w:rPr>
          <w:lang w:val="en-US"/>
        </w:rPr>
        <w:t>Lilia Voloshenko, Chief Specialist of the Department of Social Protection of Children’s Rights and Adoption</w:t>
      </w:r>
    </w:p>
    <w:p w:rsidR="00457BA8" w:rsidRPr="00457BA8" w:rsidRDefault="00457BA8" w:rsidP="00457BA8">
      <w:pPr>
        <w:pStyle w:val="SingleTxtG"/>
        <w:rPr>
          <w:lang w:val="en-US"/>
        </w:rPr>
      </w:pPr>
      <w:r w:rsidRPr="00457BA8">
        <w:rPr>
          <w:lang w:val="en-US"/>
        </w:rPr>
        <w:t>Alla Anatoliivna Karpova, Head of the organization of social service institutions unit, Division for the elderly and social services</w:t>
      </w:r>
    </w:p>
    <w:p w:rsidR="00457BA8" w:rsidRPr="00457BA8" w:rsidRDefault="00457BA8" w:rsidP="00457BA8">
      <w:pPr>
        <w:pStyle w:val="SingleTxtG"/>
        <w:rPr>
          <w:lang w:val="en-US"/>
        </w:rPr>
      </w:pPr>
      <w:r w:rsidRPr="00457BA8">
        <w:rPr>
          <w:lang w:val="en-US"/>
        </w:rPr>
        <w:t>Olena Mykhailivna Osypenko, Chief Expert of the organization of social service institutions unit, Division for the elderly and social services</w:t>
      </w:r>
    </w:p>
    <w:p w:rsidR="00457BA8" w:rsidRPr="00457BA8" w:rsidRDefault="00457BA8" w:rsidP="00457BA8">
      <w:pPr>
        <w:pStyle w:val="SingleTxtG"/>
        <w:rPr>
          <w:lang w:val="en-US"/>
        </w:rPr>
      </w:pPr>
      <w:r w:rsidRPr="00457BA8">
        <w:rPr>
          <w:lang w:val="en-US"/>
        </w:rPr>
        <w:t>Kyrylo Gyrgorovych Dombrowskyi, Head of the sector on protection of housing and property rights of the Department for the protection of children and adoption</w:t>
      </w:r>
    </w:p>
    <w:p w:rsidR="00457BA8" w:rsidRPr="00457BA8" w:rsidRDefault="00457BA8" w:rsidP="00457BA8">
      <w:pPr>
        <w:pStyle w:val="H23G"/>
        <w:rPr>
          <w:lang w:val="en-US"/>
        </w:rPr>
      </w:pPr>
      <w:r w:rsidRPr="00457BA8">
        <w:rPr>
          <w:lang w:val="en-US"/>
        </w:rPr>
        <w:tab/>
      </w:r>
      <w:r w:rsidRPr="00457BA8">
        <w:rPr>
          <w:lang w:val="en-US"/>
        </w:rPr>
        <w:tab/>
      </w:r>
      <w:bookmarkStart w:id="29" w:name="_Toc482625040"/>
      <w:r w:rsidRPr="00457BA8">
        <w:rPr>
          <w:lang w:val="en-US"/>
        </w:rPr>
        <w:t>Ministry of Education and Science</w:t>
      </w:r>
      <w:bookmarkEnd w:id="29"/>
      <w:r w:rsidRPr="00457BA8">
        <w:rPr>
          <w:lang w:val="en-US"/>
        </w:rPr>
        <w:t xml:space="preserve"> </w:t>
      </w:r>
    </w:p>
    <w:p w:rsidR="00457BA8" w:rsidRPr="00457BA8" w:rsidRDefault="00457BA8" w:rsidP="00457BA8">
      <w:pPr>
        <w:pStyle w:val="SingleTxtG"/>
        <w:rPr>
          <w:lang w:val="en-US"/>
        </w:rPr>
      </w:pPr>
      <w:r w:rsidRPr="00457BA8">
        <w:rPr>
          <w:lang w:val="en-US"/>
        </w:rPr>
        <w:t>Viktoriia Borysivna Sydorenko, Chief Specialist, Organizational and educational activities and social issues Unit, Professional and Technical Work Department</w:t>
      </w:r>
      <w:r w:rsidRPr="00457BA8">
        <w:rPr>
          <w:lang w:val="en-US"/>
        </w:rPr>
        <w:tab/>
      </w:r>
      <w:r w:rsidRPr="00457BA8">
        <w:rPr>
          <w:lang w:val="en-US"/>
        </w:rPr>
        <w:tab/>
      </w:r>
    </w:p>
    <w:p w:rsidR="00457BA8" w:rsidRPr="00457BA8" w:rsidRDefault="00457BA8" w:rsidP="00457BA8">
      <w:pPr>
        <w:pStyle w:val="SingleTxtG"/>
        <w:rPr>
          <w:lang w:val="en-US"/>
        </w:rPr>
      </w:pPr>
      <w:r w:rsidRPr="00457BA8">
        <w:rPr>
          <w:lang w:val="en-US"/>
        </w:rPr>
        <w:t>Valentyna Oleksandrivna Klemyuk, Chief Specialist, Education of children with Special Needs Unit, Department of Secondary and Primary Education</w:t>
      </w:r>
    </w:p>
    <w:p w:rsidR="00457BA8" w:rsidRPr="00457BA8" w:rsidRDefault="00457BA8" w:rsidP="00457BA8">
      <w:pPr>
        <w:pStyle w:val="H23G"/>
        <w:rPr>
          <w:lang w:val="en-US"/>
        </w:rPr>
      </w:pPr>
      <w:r w:rsidRPr="00457BA8">
        <w:rPr>
          <w:lang w:val="en-US"/>
        </w:rPr>
        <w:tab/>
      </w:r>
      <w:r w:rsidRPr="00457BA8">
        <w:rPr>
          <w:lang w:val="en-US"/>
        </w:rPr>
        <w:tab/>
      </w:r>
      <w:bookmarkStart w:id="30" w:name="_Toc482625041"/>
      <w:r w:rsidRPr="00457BA8">
        <w:rPr>
          <w:lang w:val="en-US"/>
        </w:rPr>
        <w:t>Ministry of Health</w:t>
      </w:r>
      <w:bookmarkEnd w:id="30"/>
      <w:r w:rsidRPr="00457BA8">
        <w:rPr>
          <w:lang w:val="en-US"/>
        </w:rPr>
        <w:t xml:space="preserve"> </w:t>
      </w:r>
    </w:p>
    <w:p w:rsidR="00457BA8" w:rsidRPr="00457BA8" w:rsidRDefault="00457BA8" w:rsidP="00457BA8">
      <w:pPr>
        <w:pStyle w:val="SingleTxtG"/>
        <w:rPr>
          <w:lang w:val="en-US"/>
        </w:rPr>
      </w:pPr>
      <w:r w:rsidRPr="00457BA8">
        <w:rPr>
          <w:lang w:val="en-US"/>
        </w:rPr>
        <w:t>Vasyl Vitaliyovych Kravchenko, Director of the Medical Department</w:t>
      </w:r>
      <w:r w:rsidRPr="00457BA8">
        <w:rPr>
          <w:lang w:val="en-US"/>
        </w:rPr>
        <w:tab/>
      </w:r>
    </w:p>
    <w:p w:rsidR="00457BA8" w:rsidRPr="00457BA8" w:rsidRDefault="00457BA8" w:rsidP="00457BA8">
      <w:pPr>
        <w:pStyle w:val="SingleTxtG"/>
        <w:rPr>
          <w:lang w:val="en-US"/>
        </w:rPr>
      </w:pPr>
      <w:r w:rsidRPr="00457BA8">
        <w:rPr>
          <w:lang w:val="en-US"/>
        </w:rPr>
        <w:t>Sergiy Sergiyovych Shum, Member, Acting Commission on Issues of Change (Correction) of Sexuality</w:t>
      </w:r>
    </w:p>
    <w:p w:rsidR="00457BA8" w:rsidRPr="00457BA8" w:rsidRDefault="00457BA8" w:rsidP="00457BA8">
      <w:pPr>
        <w:pStyle w:val="SingleTxtG"/>
        <w:rPr>
          <w:lang w:val="en-US"/>
        </w:rPr>
      </w:pPr>
      <w:r w:rsidRPr="00457BA8">
        <w:rPr>
          <w:lang w:val="en-US"/>
        </w:rPr>
        <w:t>Yuriy Borysovych Polischuik, Chief Specialist, Medical Department</w:t>
      </w:r>
    </w:p>
    <w:p w:rsidR="00457BA8" w:rsidRPr="00457BA8" w:rsidRDefault="00457BA8" w:rsidP="00457BA8">
      <w:pPr>
        <w:pStyle w:val="SingleTxtG"/>
        <w:rPr>
          <w:lang w:val="en-US"/>
        </w:rPr>
      </w:pPr>
      <w:r w:rsidRPr="00457BA8">
        <w:rPr>
          <w:lang w:val="en-US"/>
        </w:rPr>
        <w:t>Olexandr Vadymovych Tsiomik, Secretary of the Permanent Acting Commission on Issues of Change (Correction) of Sexuality</w:t>
      </w:r>
    </w:p>
    <w:p w:rsidR="00457BA8" w:rsidRPr="00457BA8" w:rsidRDefault="00457BA8" w:rsidP="00457BA8">
      <w:pPr>
        <w:pStyle w:val="H23G"/>
        <w:rPr>
          <w:lang w:val="en-US"/>
        </w:rPr>
      </w:pPr>
      <w:r w:rsidRPr="00457BA8">
        <w:rPr>
          <w:lang w:val="en-US"/>
        </w:rPr>
        <w:tab/>
      </w:r>
      <w:r w:rsidRPr="00457BA8">
        <w:rPr>
          <w:lang w:val="en-US"/>
        </w:rPr>
        <w:tab/>
      </w:r>
      <w:bookmarkStart w:id="31" w:name="_Toc482625042"/>
      <w:r w:rsidRPr="00457BA8">
        <w:rPr>
          <w:lang w:val="en-US"/>
        </w:rPr>
        <w:t>The Verkhovna Rada (Parliament) of Ukraine</w:t>
      </w:r>
      <w:bookmarkEnd w:id="31"/>
    </w:p>
    <w:p w:rsidR="00457BA8" w:rsidRPr="00457BA8" w:rsidRDefault="00457BA8" w:rsidP="00457BA8">
      <w:pPr>
        <w:pStyle w:val="SingleTxtG"/>
        <w:rPr>
          <w:lang w:val="en-US"/>
        </w:rPr>
      </w:pPr>
      <w:r w:rsidRPr="00457BA8">
        <w:rPr>
          <w:lang w:val="en-US"/>
        </w:rPr>
        <w:t>Ruslan Mykhailovych Sydorovych, Member</w:t>
      </w:r>
      <w:r w:rsidRPr="00457BA8" w:rsidDel="00B9746F">
        <w:rPr>
          <w:lang w:val="en-US"/>
        </w:rPr>
        <w:t xml:space="preserve"> </w:t>
      </w:r>
    </w:p>
    <w:p w:rsidR="00457BA8" w:rsidRPr="00457BA8" w:rsidRDefault="00457BA8" w:rsidP="00457BA8">
      <w:pPr>
        <w:pStyle w:val="SingleTxtG"/>
        <w:rPr>
          <w:lang w:val="en-US"/>
        </w:rPr>
      </w:pPr>
      <w:r w:rsidRPr="00457BA8">
        <w:rPr>
          <w:lang w:val="en-US"/>
        </w:rPr>
        <w:t>Igor Sergiyovch Alekseev, Member</w:t>
      </w:r>
    </w:p>
    <w:p w:rsidR="00457BA8" w:rsidRPr="00457BA8" w:rsidRDefault="00457BA8" w:rsidP="00457BA8">
      <w:pPr>
        <w:pStyle w:val="SingleTxtG"/>
        <w:rPr>
          <w:lang w:val="en-US"/>
        </w:rPr>
      </w:pPr>
      <w:r w:rsidRPr="00457BA8">
        <w:rPr>
          <w:lang w:val="en-US"/>
        </w:rPr>
        <w:t>Igor Vasyliovych Kolisnyk, Member</w:t>
      </w:r>
    </w:p>
    <w:p w:rsidR="00457BA8" w:rsidRPr="00457BA8" w:rsidRDefault="00457BA8" w:rsidP="00457BA8">
      <w:pPr>
        <w:pStyle w:val="SingleTxtG"/>
        <w:rPr>
          <w:lang w:val="en-US"/>
        </w:rPr>
      </w:pPr>
      <w:r w:rsidRPr="00457BA8">
        <w:rPr>
          <w:lang w:val="en-US"/>
        </w:rPr>
        <w:t>Valeriy Vasyliovych Patskan, Member</w:t>
      </w:r>
    </w:p>
    <w:p w:rsidR="00457BA8" w:rsidRPr="00457BA8" w:rsidRDefault="00457BA8" w:rsidP="00457BA8">
      <w:pPr>
        <w:pStyle w:val="SingleTxtG"/>
        <w:rPr>
          <w:lang w:val="en-US"/>
        </w:rPr>
      </w:pPr>
      <w:r w:rsidRPr="00457BA8">
        <w:rPr>
          <w:lang w:val="en-US"/>
        </w:rPr>
        <w:t>Tetiana Mykolaivna Kyrylyuk, Senior Consultant of the Secretariat of the Committee on Legal Policy and Justice</w:t>
      </w:r>
    </w:p>
    <w:p w:rsidR="00457BA8" w:rsidRPr="00457BA8" w:rsidRDefault="00457BA8" w:rsidP="00457BA8">
      <w:pPr>
        <w:pStyle w:val="SingleTxtG"/>
        <w:rPr>
          <w:lang w:val="en-US"/>
        </w:rPr>
      </w:pPr>
      <w:r w:rsidRPr="00457BA8">
        <w:rPr>
          <w:lang w:val="en-US"/>
        </w:rPr>
        <w:t>Andriy Vasyliovych Koshman, Senior Consultant of the Secretariat of the Committee on Legal Policy and Justice</w:t>
      </w:r>
      <w:r w:rsidRPr="00457BA8" w:rsidDel="00B9746F">
        <w:rPr>
          <w:lang w:val="en-US"/>
        </w:rPr>
        <w:t xml:space="preserve"> </w:t>
      </w:r>
    </w:p>
    <w:p w:rsidR="00457BA8" w:rsidRPr="00457BA8" w:rsidRDefault="00457BA8" w:rsidP="00457BA8">
      <w:pPr>
        <w:pStyle w:val="H1G"/>
        <w:rPr>
          <w:lang w:val="en-US"/>
        </w:rPr>
      </w:pPr>
      <w:r w:rsidRPr="00457BA8">
        <w:rPr>
          <w:lang w:val="en-US"/>
        </w:rPr>
        <w:tab/>
      </w:r>
      <w:r w:rsidRPr="00457BA8">
        <w:rPr>
          <w:lang w:val="en-US"/>
        </w:rPr>
        <w:tab/>
      </w:r>
      <w:bookmarkStart w:id="32" w:name="_Toc482625043"/>
      <w:r w:rsidRPr="00457BA8">
        <w:rPr>
          <w:lang w:val="en-US"/>
        </w:rPr>
        <w:t>National Preventive Mechanism</w:t>
      </w:r>
      <w:bookmarkEnd w:id="32"/>
    </w:p>
    <w:p w:rsidR="00457BA8" w:rsidRPr="00457BA8" w:rsidRDefault="00457BA8" w:rsidP="00457BA8">
      <w:pPr>
        <w:pStyle w:val="H23G"/>
        <w:rPr>
          <w:lang w:val="en-US"/>
        </w:rPr>
      </w:pPr>
      <w:r w:rsidRPr="00457BA8">
        <w:rPr>
          <w:lang w:val="en-US"/>
        </w:rPr>
        <w:tab/>
      </w:r>
      <w:r w:rsidRPr="00457BA8">
        <w:rPr>
          <w:lang w:val="en-US"/>
        </w:rPr>
        <w:tab/>
      </w:r>
      <w:bookmarkStart w:id="33" w:name="_Toc482625044"/>
      <w:r w:rsidRPr="00457BA8">
        <w:rPr>
          <w:lang w:val="en-US"/>
        </w:rPr>
        <w:t>Ukrainian Parliament Commissioner for Human Rights</w:t>
      </w:r>
      <w:bookmarkEnd w:id="33"/>
    </w:p>
    <w:p w:rsidR="00457BA8" w:rsidRPr="00457BA8" w:rsidRDefault="00457BA8" w:rsidP="00457BA8">
      <w:pPr>
        <w:pStyle w:val="SingleTxtG"/>
        <w:rPr>
          <w:lang w:val="en-US"/>
        </w:rPr>
      </w:pPr>
      <w:r w:rsidRPr="00457BA8">
        <w:rPr>
          <w:lang w:val="en-US"/>
        </w:rPr>
        <w:t xml:space="preserve">Valeriya Lutkovska, Parliament Commissioner for Human Rights </w:t>
      </w:r>
    </w:p>
    <w:p w:rsidR="00457BA8" w:rsidRPr="00457BA8" w:rsidRDefault="00457BA8" w:rsidP="00457BA8">
      <w:pPr>
        <w:pStyle w:val="SingleTxtG"/>
        <w:rPr>
          <w:lang w:val="en-US"/>
        </w:rPr>
      </w:pPr>
      <w:r w:rsidRPr="00457BA8">
        <w:rPr>
          <w:lang w:val="en-US"/>
        </w:rPr>
        <w:lastRenderedPageBreak/>
        <w:t>Bohdan Kryklyvenko, Head of the Secretariat of the Ukrainian Parliament Commissioner for Human Rights</w:t>
      </w:r>
    </w:p>
    <w:p w:rsidR="00457BA8" w:rsidRPr="00457BA8" w:rsidRDefault="00457BA8" w:rsidP="00457BA8">
      <w:pPr>
        <w:pStyle w:val="SingleTxtG"/>
        <w:rPr>
          <w:lang w:val="en-US"/>
        </w:rPr>
      </w:pPr>
      <w:r w:rsidRPr="00457BA8">
        <w:rPr>
          <w:lang w:val="en-US"/>
        </w:rPr>
        <w:t>Ekaterina Chumak, Acting Head of the National Preventive Mechanism Department, Secretariat of the Ukrainian Parliament Commissioner for Human Rights</w:t>
      </w:r>
    </w:p>
    <w:p w:rsidR="00457BA8" w:rsidRPr="00457BA8" w:rsidRDefault="00457BA8" w:rsidP="00457BA8">
      <w:pPr>
        <w:pStyle w:val="SingleTxtG"/>
        <w:rPr>
          <w:lang w:val="en-US"/>
        </w:rPr>
      </w:pPr>
      <w:r w:rsidRPr="00457BA8">
        <w:rPr>
          <w:lang w:val="en-US"/>
        </w:rPr>
        <w:t>(And additional staff)</w:t>
      </w:r>
    </w:p>
    <w:p w:rsidR="00457BA8" w:rsidRPr="00457BA8" w:rsidRDefault="00457BA8" w:rsidP="00457BA8">
      <w:pPr>
        <w:pStyle w:val="H1G"/>
        <w:rPr>
          <w:lang w:val="en-US"/>
        </w:rPr>
      </w:pPr>
      <w:r w:rsidRPr="00457BA8">
        <w:rPr>
          <w:lang w:val="en-US"/>
        </w:rPr>
        <w:tab/>
      </w:r>
      <w:r w:rsidRPr="00457BA8">
        <w:rPr>
          <w:lang w:val="en-US"/>
        </w:rPr>
        <w:tab/>
      </w:r>
      <w:bookmarkStart w:id="34" w:name="_Toc482625045"/>
      <w:r w:rsidRPr="00457BA8">
        <w:rPr>
          <w:lang w:val="en-US"/>
        </w:rPr>
        <w:t>Others</w:t>
      </w:r>
      <w:bookmarkEnd w:id="34"/>
    </w:p>
    <w:p w:rsidR="00457BA8" w:rsidRPr="00457BA8" w:rsidRDefault="00457BA8" w:rsidP="00457BA8">
      <w:pPr>
        <w:pStyle w:val="H23G"/>
        <w:rPr>
          <w:lang w:val="en-US"/>
        </w:rPr>
      </w:pPr>
      <w:r w:rsidRPr="00457BA8">
        <w:rPr>
          <w:lang w:val="en-US"/>
        </w:rPr>
        <w:tab/>
      </w:r>
      <w:r w:rsidRPr="00457BA8">
        <w:rPr>
          <w:lang w:val="en-US"/>
        </w:rPr>
        <w:tab/>
      </w:r>
      <w:bookmarkStart w:id="35" w:name="_Toc482625046"/>
      <w:r w:rsidRPr="00457BA8">
        <w:rPr>
          <w:lang w:val="en-US"/>
        </w:rPr>
        <w:t>United Nations Agencies</w:t>
      </w:r>
      <w:bookmarkEnd w:id="35"/>
    </w:p>
    <w:p w:rsidR="00457BA8" w:rsidRPr="00457BA8" w:rsidRDefault="00457BA8" w:rsidP="00457BA8">
      <w:pPr>
        <w:pStyle w:val="SingleTxtG"/>
        <w:rPr>
          <w:lang w:val="en-US"/>
        </w:rPr>
      </w:pPr>
      <w:r w:rsidRPr="00457BA8">
        <w:rPr>
          <w:lang w:val="en-US"/>
        </w:rPr>
        <w:t>United Nations Human Rights Monitoring Mission in Ukraine</w:t>
      </w:r>
    </w:p>
    <w:p w:rsidR="00457BA8" w:rsidRPr="00457BA8" w:rsidRDefault="00457BA8" w:rsidP="00457BA8">
      <w:pPr>
        <w:pStyle w:val="H23G"/>
        <w:rPr>
          <w:lang w:val="en-US"/>
        </w:rPr>
      </w:pPr>
      <w:r w:rsidRPr="00457BA8">
        <w:rPr>
          <w:lang w:val="en-US"/>
        </w:rPr>
        <w:tab/>
      </w:r>
      <w:r w:rsidRPr="00457BA8">
        <w:rPr>
          <w:lang w:val="en-US"/>
        </w:rPr>
        <w:tab/>
      </w:r>
      <w:bookmarkStart w:id="36" w:name="_Toc482625047"/>
      <w:r w:rsidRPr="00457BA8">
        <w:rPr>
          <w:lang w:val="en-US"/>
        </w:rPr>
        <w:t>Other International Organizations</w:t>
      </w:r>
      <w:bookmarkEnd w:id="36"/>
    </w:p>
    <w:p w:rsidR="00457BA8" w:rsidRPr="00457BA8" w:rsidRDefault="00457BA8" w:rsidP="00457BA8">
      <w:pPr>
        <w:pStyle w:val="SingleTxtG"/>
        <w:rPr>
          <w:lang w:val="en-US"/>
        </w:rPr>
      </w:pPr>
      <w:r w:rsidRPr="00457BA8">
        <w:rPr>
          <w:lang w:val="en-US"/>
        </w:rPr>
        <w:t>European Union Delegation</w:t>
      </w:r>
    </w:p>
    <w:p w:rsidR="00457BA8" w:rsidRPr="00457BA8" w:rsidRDefault="00457BA8" w:rsidP="00457BA8">
      <w:pPr>
        <w:pStyle w:val="SingleTxtG"/>
        <w:rPr>
          <w:lang w:val="en-US"/>
        </w:rPr>
      </w:pPr>
      <w:r w:rsidRPr="00457BA8">
        <w:rPr>
          <w:lang w:val="en-US"/>
        </w:rPr>
        <w:t>Organization for Security and Co-operation in Europe Special Monitoring Mission to Ukraine</w:t>
      </w:r>
    </w:p>
    <w:p w:rsidR="00457BA8" w:rsidRPr="00457BA8" w:rsidRDefault="00457BA8" w:rsidP="00457BA8">
      <w:pPr>
        <w:pStyle w:val="H23G"/>
        <w:rPr>
          <w:lang w:val="en-US"/>
        </w:rPr>
      </w:pPr>
      <w:r w:rsidRPr="00457BA8">
        <w:rPr>
          <w:lang w:val="en-US"/>
        </w:rPr>
        <w:tab/>
      </w:r>
      <w:r w:rsidRPr="00457BA8">
        <w:rPr>
          <w:lang w:val="en-US"/>
        </w:rPr>
        <w:tab/>
      </w:r>
      <w:bookmarkStart w:id="37" w:name="_Toc482625048"/>
      <w:r w:rsidRPr="00457BA8">
        <w:rPr>
          <w:lang w:val="en-US"/>
        </w:rPr>
        <w:t>Civil Society</w:t>
      </w:r>
      <w:bookmarkEnd w:id="37"/>
    </w:p>
    <w:p w:rsidR="00457BA8" w:rsidRPr="00457BA8" w:rsidRDefault="00457BA8" w:rsidP="00457BA8">
      <w:pPr>
        <w:pStyle w:val="SingleTxtG"/>
        <w:rPr>
          <w:lang w:val="en-US"/>
        </w:rPr>
      </w:pPr>
      <w:r w:rsidRPr="00457BA8">
        <w:rPr>
          <w:lang w:val="en-US"/>
        </w:rPr>
        <w:t>Amnesty International Ukraine</w:t>
      </w:r>
    </w:p>
    <w:p w:rsidR="00457BA8" w:rsidRPr="00457BA8" w:rsidRDefault="00457BA8" w:rsidP="00457BA8">
      <w:pPr>
        <w:pStyle w:val="SingleTxtG"/>
        <w:rPr>
          <w:lang w:val="en-US"/>
        </w:rPr>
      </w:pPr>
      <w:r w:rsidRPr="00457BA8">
        <w:rPr>
          <w:lang w:val="en-US"/>
        </w:rPr>
        <w:t>Centre for Civil Liberties</w:t>
      </w:r>
    </w:p>
    <w:p w:rsidR="00457BA8" w:rsidRPr="00457BA8" w:rsidRDefault="00457BA8" w:rsidP="00457BA8">
      <w:pPr>
        <w:pStyle w:val="SingleTxtG"/>
        <w:rPr>
          <w:lang w:val="en-US"/>
        </w:rPr>
      </w:pPr>
      <w:r w:rsidRPr="00457BA8">
        <w:rPr>
          <w:lang w:val="en-US"/>
        </w:rPr>
        <w:t>Health Right International</w:t>
      </w:r>
    </w:p>
    <w:p w:rsidR="00457BA8" w:rsidRPr="00457BA8" w:rsidRDefault="00457BA8" w:rsidP="00457BA8">
      <w:pPr>
        <w:pStyle w:val="SingleTxtG"/>
        <w:rPr>
          <w:lang w:val="en-US"/>
        </w:rPr>
      </w:pPr>
      <w:r w:rsidRPr="00457BA8">
        <w:rPr>
          <w:lang w:val="en-US"/>
        </w:rPr>
        <w:t>Human Rights Information Centre</w:t>
      </w:r>
    </w:p>
    <w:p w:rsidR="00457BA8" w:rsidRPr="00457BA8" w:rsidRDefault="00457BA8" w:rsidP="00457BA8">
      <w:pPr>
        <w:pStyle w:val="SingleTxtG"/>
        <w:rPr>
          <w:lang w:val="en-US"/>
        </w:rPr>
      </w:pPr>
      <w:r w:rsidRPr="00457BA8">
        <w:rPr>
          <w:lang w:val="en-US"/>
        </w:rPr>
        <w:t>Insight</w:t>
      </w:r>
    </w:p>
    <w:p w:rsidR="00457BA8" w:rsidRPr="00457BA8" w:rsidRDefault="00457BA8" w:rsidP="00457BA8">
      <w:pPr>
        <w:pStyle w:val="SingleTxtG"/>
        <w:rPr>
          <w:lang w:val="en-US"/>
        </w:rPr>
      </w:pPr>
      <w:r w:rsidRPr="00457BA8">
        <w:rPr>
          <w:lang w:val="en-US"/>
        </w:rPr>
        <w:t>International Medical Rehabilitation Center</w:t>
      </w:r>
    </w:p>
    <w:p w:rsidR="00457BA8" w:rsidRPr="00457BA8" w:rsidRDefault="00457BA8" w:rsidP="00457BA8">
      <w:pPr>
        <w:pStyle w:val="SingleTxtG"/>
        <w:rPr>
          <w:lang w:val="en-US"/>
        </w:rPr>
      </w:pPr>
      <w:r w:rsidRPr="00457BA8">
        <w:rPr>
          <w:lang w:val="en-US"/>
        </w:rPr>
        <w:t>Kharkiv Human Rights Protection Group</w:t>
      </w:r>
    </w:p>
    <w:p w:rsidR="00457BA8" w:rsidRPr="00457BA8" w:rsidRDefault="00457BA8" w:rsidP="00457BA8">
      <w:pPr>
        <w:pStyle w:val="SingleTxtG"/>
        <w:rPr>
          <w:lang w:val="en-US"/>
        </w:rPr>
      </w:pPr>
      <w:r w:rsidRPr="00457BA8">
        <w:rPr>
          <w:lang w:val="en-US"/>
        </w:rPr>
        <w:t>Ukrainian Helinski Human Rights Union</w:t>
      </w:r>
    </w:p>
    <w:p w:rsidR="00457BA8" w:rsidRPr="00457BA8" w:rsidRDefault="00457BA8" w:rsidP="00457BA8">
      <w:pPr>
        <w:pStyle w:val="HChG"/>
        <w:rPr>
          <w:lang w:val="en-US"/>
        </w:rPr>
      </w:pPr>
      <w:r w:rsidRPr="00457BA8">
        <w:rPr>
          <w:lang w:val="en-US"/>
        </w:rPr>
        <w:tab/>
      </w:r>
      <w:bookmarkStart w:id="38" w:name="_Toc482625049"/>
      <w:r w:rsidRPr="00457BA8">
        <w:rPr>
          <w:lang w:val="en-US"/>
        </w:rPr>
        <w:t>II.</w:t>
      </w:r>
      <w:r w:rsidRPr="00457BA8">
        <w:rPr>
          <w:lang w:val="en-US"/>
        </w:rPr>
        <w:tab/>
        <w:t>September 2016</w:t>
      </w:r>
      <w:bookmarkEnd w:id="38"/>
      <w:r w:rsidRPr="00457BA8">
        <w:rPr>
          <w:lang w:val="en-US"/>
        </w:rPr>
        <w:t xml:space="preserve"> </w:t>
      </w:r>
    </w:p>
    <w:p w:rsidR="00457BA8" w:rsidRPr="00457BA8" w:rsidRDefault="00457BA8" w:rsidP="00457BA8">
      <w:pPr>
        <w:pStyle w:val="H1G"/>
        <w:rPr>
          <w:lang w:val="en-US"/>
        </w:rPr>
      </w:pPr>
      <w:r w:rsidRPr="00457BA8">
        <w:rPr>
          <w:lang w:val="en-US"/>
        </w:rPr>
        <w:tab/>
      </w:r>
      <w:r w:rsidRPr="00457BA8">
        <w:rPr>
          <w:lang w:val="en-US"/>
        </w:rPr>
        <w:tab/>
      </w:r>
      <w:bookmarkStart w:id="39" w:name="_Toc482625050"/>
      <w:r w:rsidRPr="00457BA8">
        <w:rPr>
          <w:lang w:val="en-US"/>
        </w:rPr>
        <w:t>Authorities</w:t>
      </w:r>
      <w:bookmarkEnd w:id="39"/>
    </w:p>
    <w:p w:rsidR="00457BA8" w:rsidRPr="00457BA8" w:rsidRDefault="00457BA8" w:rsidP="00457BA8">
      <w:pPr>
        <w:pStyle w:val="H23G"/>
        <w:rPr>
          <w:lang w:val="en-US"/>
        </w:rPr>
      </w:pPr>
      <w:r w:rsidRPr="00457BA8">
        <w:rPr>
          <w:lang w:val="en-US"/>
        </w:rPr>
        <w:tab/>
      </w:r>
      <w:r w:rsidRPr="00457BA8">
        <w:rPr>
          <w:lang w:val="en-US"/>
        </w:rPr>
        <w:tab/>
      </w:r>
      <w:bookmarkStart w:id="40" w:name="_Toc482625051"/>
      <w:r w:rsidRPr="00457BA8">
        <w:rPr>
          <w:lang w:val="en-US"/>
        </w:rPr>
        <w:t>Ministry of Foreign Affairs</w:t>
      </w:r>
      <w:bookmarkEnd w:id="40"/>
    </w:p>
    <w:p w:rsidR="00457BA8" w:rsidRPr="00457BA8" w:rsidRDefault="00457BA8" w:rsidP="00457BA8">
      <w:pPr>
        <w:pStyle w:val="SingleTxtG"/>
        <w:rPr>
          <w:lang w:val="en-US"/>
        </w:rPr>
      </w:pPr>
      <w:r w:rsidRPr="00457BA8">
        <w:rPr>
          <w:lang w:val="en-US"/>
        </w:rPr>
        <w:t>Antonina Vitaliivna Shlyakotina, First Secretary, Human Rights and Council of Europe Unit, Department for International Organizations</w:t>
      </w:r>
    </w:p>
    <w:p w:rsidR="00457BA8" w:rsidRPr="00457BA8" w:rsidRDefault="00457BA8" w:rsidP="00457BA8">
      <w:pPr>
        <w:pStyle w:val="H23G"/>
        <w:rPr>
          <w:lang w:val="en-US"/>
        </w:rPr>
      </w:pPr>
      <w:r w:rsidRPr="00457BA8">
        <w:rPr>
          <w:lang w:val="en-US"/>
        </w:rPr>
        <w:tab/>
      </w:r>
      <w:r w:rsidRPr="00457BA8">
        <w:rPr>
          <w:lang w:val="en-US"/>
        </w:rPr>
        <w:tab/>
      </w:r>
      <w:bookmarkStart w:id="41" w:name="_Toc482625052"/>
      <w:r w:rsidRPr="00457BA8">
        <w:rPr>
          <w:lang w:val="en-US"/>
        </w:rPr>
        <w:t>Ministry of Justice</w:t>
      </w:r>
      <w:bookmarkEnd w:id="41"/>
    </w:p>
    <w:p w:rsidR="00457BA8" w:rsidRPr="00457BA8" w:rsidRDefault="00457BA8" w:rsidP="00457BA8">
      <w:pPr>
        <w:pStyle w:val="SingleTxtG"/>
        <w:rPr>
          <w:lang w:val="en-US"/>
        </w:rPr>
      </w:pPr>
      <w:r w:rsidRPr="00457BA8">
        <w:rPr>
          <w:lang w:val="en-US"/>
        </w:rPr>
        <w:t>Natalia Sevosianova, First Deputy Minister of Justice for European Integration</w:t>
      </w:r>
    </w:p>
    <w:p w:rsidR="00457BA8" w:rsidRPr="00457BA8" w:rsidRDefault="00457BA8" w:rsidP="00457BA8">
      <w:pPr>
        <w:pStyle w:val="SingleTxtG"/>
        <w:rPr>
          <w:lang w:val="en-US"/>
        </w:rPr>
      </w:pPr>
      <w:r w:rsidRPr="00457BA8">
        <w:rPr>
          <w:lang w:val="en-US"/>
        </w:rPr>
        <w:t>Luidmyla</w:t>
      </w:r>
      <w:r w:rsidRPr="00457BA8" w:rsidDel="001863B8">
        <w:rPr>
          <w:lang w:val="en-US"/>
        </w:rPr>
        <w:t xml:space="preserve"> </w:t>
      </w:r>
      <w:r w:rsidRPr="00457BA8">
        <w:rPr>
          <w:lang w:val="en-US"/>
        </w:rPr>
        <w:t>Sugak, Deputy Director of the International Law Department</w:t>
      </w:r>
    </w:p>
    <w:p w:rsidR="00457BA8" w:rsidRPr="00457BA8" w:rsidRDefault="00457BA8" w:rsidP="00457BA8">
      <w:pPr>
        <w:pStyle w:val="H23G"/>
        <w:rPr>
          <w:lang w:val="en-US"/>
        </w:rPr>
      </w:pPr>
      <w:r w:rsidRPr="00457BA8">
        <w:rPr>
          <w:lang w:val="en-US"/>
        </w:rPr>
        <w:tab/>
      </w:r>
      <w:r w:rsidRPr="00457BA8">
        <w:rPr>
          <w:lang w:val="en-US"/>
        </w:rPr>
        <w:tab/>
      </w:r>
      <w:bookmarkStart w:id="42" w:name="_Toc482625053"/>
      <w:r w:rsidRPr="00457BA8">
        <w:rPr>
          <w:lang w:val="en-US"/>
        </w:rPr>
        <w:t>Office of the Prosecutor General</w:t>
      </w:r>
      <w:bookmarkEnd w:id="42"/>
      <w:r w:rsidRPr="00457BA8">
        <w:rPr>
          <w:lang w:val="en-US"/>
        </w:rPr>
        <w:t xml:space="preserve"> </w:t>
      </w:r>
    </w:p>
    <w:p w:rsidR="00457BA8" w:rsidRPr="00457BA8" w:rsidRDefault="00457BA8" w:rsidP="00457BA8">
      <w:pPr>
        <w:pStyle w:val="SingleTxtG"/>
        <w:rPr>
          <w:lang w:val="en-US"/>
        </w:rPr>
      </w:pPr>
      <w:bookmarkStart w:id="43" w:name="_Toc482625054"/>
      <w:r w:rsidRPr="00457BA8">
        <w:rPr>
          <w:lang w:val="en-US"/>
        </w:rPr>
        <w:t>Maksym Vorotintsev, Prosecutor, Department for International Cooperation</w:t>
      </w:r>
      <w:bookmarkEnd w:id="43"/>
    </w:p>
    <w:p w:rsidR="00457BA8" w:rsidRPr="00457BA8" w:rsidRDefault="00457BA8" w:rsidP="00457BA8">
      <w:pPr>
        <w:pStyle w:val="SingleTxtG"/>
        <w:rPr>
          <w:lang w:val="en-US"/>
        </w:rPr>
      </w:pPr>
      <w:r w:rsidRPr="00457BA8">
        <w:rPr>
          <w:lang w:val="en-US"/>
        </w:rPr>
        <w:t>Oleksandr Prokopov, Head of Branch for Oversight over Compliance with Laws and Execution of Court Decisions in Criminal Proceedings, Department for Investigation of Crimes against the National Security of Ukraine, Office of the Chief Military Prosecutor</w:t>
      </w:r>
    </w:p>
    <w:p w:rsidR="00457BA8" w:rsidRPr="00457BA8" w:rsidRDefault="00457BA8" w:rsidP="00457BA8">
      <w:pPr>
        <w:pStyle w:val="SingleTxtG"/>
        <w:rPr>
          <w:lang w:val="en-US"/>
        </w:rPr>
      </w:pPr>
      <w:r w:rsidRPr="00457BA8">
        <w:rPr>
          <w:lang w:val="en-US"/>
        </w:rPr>
        <w:t>Oleksandr Sorochko, Prosecutor, Branch for Oversight over Compliance with Laws and Execution of Court Decisions in Criminal Proceedings, Department for Investigation of Crimes against the National Security of Ukraine, Office of the Chief Military Prosecutor</w:t>
      </w:r>
    </w:p>
    <w:p w:rsidR="00457BA8" w:rsidRPr="00457BA8" w:rsidRDefault="00457BA8" w:rsidP="00457BA8">
      <w:pPr>
        <w:pStyle w:val="H23G"/>
        <w:rPr>
          <w:lang w:val="en-US"/>
        </w:rPr>
      </w:pPr>
      <w:r w:rsidRPr="00457BA8">
        <w:rPr>
          <w:lang w:val="en-US"/>
        </w:rPr>
        <w:lastRenderedPageBreak/>
        <w:tab/>
      </w:r>
      <w:r w:rsidRPr="00457BA8">
        <w:rPr>
          <w:lang w:val="en-US"/>
        </w:rPr>
        <w:tab/>
      </w:r>
      <w:bookmarkStart w:id="44" w:name="_Toc482625055"/>
      <w:r w:rsidRPr="00457BA8">
        <w:rPr>
          <w:lang w:val="en-US"/>
        </w:rPr>
        <w:t>State Penitentiary Service</w:t>
      </w:r>
      <w:bookmarkEnd w:id="44"/>
      <w:r w:rsidRPr="00457BA8">
        <w:rPr>
          <w:lang w:val="en-US"/>
        </w:rPr>
        <w:t xml:space="preserve"> </w:t>
      </w:r>
    </w:p>
    <w:p w:rsidR="00457BA8" w:rsidRPr="00457BA8" w:rsidRDefault="00457BA8" w:rsidP="00457BA8">
      <w:pPr>
        <w:pStyle w:val="SingleTxtG"/>
        <w:rPr>
          <w:lang w:val="en-US"/>
        </w:rPr>
      </w:pPr>
      <w:r w:rsidRPr="00457BA8">
        <w:rPr>
          <w:lang w:val="en-US"/>
        </w:rPr>
        <w:t>Vladyslav Ivanovych Klysha, Head of international activities and cooperation with the media</w:t>
      </w:r>
      <w:r w:rsidRPr="00457BA8">
        <w:rPr>
          <w:lang w:val="en-US"/>
        </w:rPr>
        <w:tab/>
      </w:r>
    </w:p>
    <w:p w:rsidR="00457BA8" w:rsidRPr="00457BA8" w:rsidRDefault="00457BA8" w:rsidP="00457BA8">
      <w:pPr>
        <w:pStyle w:val="H23G"/>
        <w:rPr>
          <w:lang w:val="en-US"/>
        </w:rPr>
      </w:pPr>
      <w:r w:rsidRPr="00457BA8">
        <w:rPr>
          <w:lang w:val="en-US"/>
        </w:rPr>
        <w:tab/>
      </w:r>
      <w:r w:rsidRPr="00457BA8">
        <w:rPr>
          <w:lang w:val="en-US"/>
        </w:rPr>
        <w:tab/>
      </w:r>
      <w:bookmarkStart w:id="45" w:name="_Toc482625056"/>
      <w:r w:rsidRPr="00457BA8">
        <w:rPr>
          <w:lang w:val="en-US"/>
        </w:rPr>
        <w:t>State Migration Service</w:t>
      </w:r>
      <w:bookmarkEnd w:id="45"/>
      <w:r w:rsidRPr="00457BA8">
        <w:rPr>
          <w:lang w:val="en-US"/>
        </w:rPr>
        <w:t xml:space="preserve"> </w:t>
      </w:r>
    </w:p>
    <w:p w:rsidR="00457BA8" w:rsidRPr="00457BA8" w:rsidRDefault="00457BA8" w:rsidP="00457BA8">
      <w:pPr>
        <w:pStyle w:val="SingleTxtG"/>
        <w:rPr>
          <w:lang w:val="en-US"/>
        </w:rPr>
      </w:pPr>
      <w:r w:rsidRPr="00457BA8">
        <w:rPr>
          <w:lang w:val="en-US"/>
        </w:rPr>
        <w:t>Ivan Anatoliyovych Rybalko, Head of the organization of reception centers and temporary stay of refugees and foreigners, Department of Foreigners and Stateless Persons</w:t>
      </w:r>
    </w:p>
    <w:p w:rsidR="00457BA8" w:rsidRPr="00457BA8" w:rsidRDefault="00457BA8" w:rsidP="00457BA8">
      <w:pPr>
        <w:pStyle w:val="H23G"/>
        <w:rPr>
          <w:lang w:val="en-US"/>
        </w:rPr>
      </w:pPr>
      <w:r w:rsidRPr="00457BA8">
        <w:rPr>
          <w:lang w:val="en-US"/>
        </w:rPr>
        <w:tab/>
      </w:r>
      <w:r w:rsidRPr="00457BA8">
        <w:rPr>
          <w:lang w:val="en-US"/>
        </w:rPr>
        <w:tab/>
      </w:r>
      <w:bookmarkStart w:id="46" w:name="_Toc482625057"/>
      <w:r w:rsidRPr="00457BA8">
        <w:rPr>
          <w:lang w:val="en-US"/>
        </w:rPr>
        <w:t>State Border Service</w:t>
      </w:r>
      <w:bookmarkEnd w:id="46"/>
    </w:p>
    <w:p w:rsidR="00457BA8" w:rsidRPr="00457BA8" w:rsidRDefault="00457BA8" w:rsidP="00457BA8">
      <w:pPr>
        <w:pStyle w:val="SingleTxtG"/>
        <w:rPr>
          <w:lang w:val="en-US"/>
        </w:rPr>
      </w:pPr>
      <w:r w:rsidRPr="00457BA8">
        <w:rPr>
          <w:lang w:val="en-US"/>
        </w:rPr>
        <w:t>Andrii Ivanskyi, Senior Officer, Department of Administrative Proceedings</w:t>
      </w:r>
    </w:p>
    <w:p w:rsidR="00457BA8" w:rsidRPr="00457BA8" w:rsidRDefault="00457BA8" w:rsidP="00457BA8">
      <w:pPr>
        <w:pStyle w:val="H23G"/>
        <w:rPr>
          <w:lang w:val="en-US"/>
        </w:rPr>
      </w:pPr>
      <w:r w:rsidRPr="00457BA8">
        <w:rPr>
          <w:lang w:val="en-US"/>
        </w:rPr>
        <w:tab/>
      </w:r>
      <w:r w:rsidRPr="00457BA8">
        <w:rPr>
          <w:lang w:val="en-US"/>
        </w:rPr>
        <w:tab/>
      </w:r>
      <w:bookmarkStart w:id="47" w:name="_Toc482625058"/>
      <w:r w:rsidRPr="00457BA8">
        <w:rPr>
          <w:lang w:val="en-US"/>
        </w:rPr>
        <w:t>State Security Service</w:t>
      </w:r>
      <w:bookmarkEnd w:id="47"/>
    </w:p>
    <w:p w:rsidR="00457BA8" w:rsidRPr="00457BA8" w:rsidRDefault="00457BA8" w:rsidP="00457BA8">
      <w:pPr>
        <w:pStyle w:val="SingleTxtG"/>
        <w:rPr>
          <w:lang w:val="en-US"/>
        </w:rPr>
      </w:pPr>
      <w:r w:rsidRPr="00457BA8">
        <w:rPr>
          <w:lang w:val="en-US"/>
        </w:rPr>
        <w:t xml:space="preserve">Oleksandr Tkachuk, Director of the Office of the Head </w:t>
      </w:r>
    </w:p>
    <w:p w:rsidR="00457BA8" w:rsidRPr="00457BA8" w:rsidRDefault="00457BA8" w:rsidP="00457BA8">
      <w:pPr>
        <w:pStyle w:val="SingleTxtG"/>
        <w:rPr>
          <w:lang w:val="en-US"/>
        </w:rPr>
      </w:pPr>
      <w:r w:rsidRPr="00457BA8">
        <w:rPr>
          <w:lang w:val="en-US"/>
        </w:rPr>
        <w:t>Oleh Riznychenko, Deputy Head, Centre for International Cooperation</w:t>
      </w:r>
    </w:p>
    <w:p w:rsidR="00457BA8" w:rsidRPr="00457BA8" w:rsidRDefault="00457BA8" w:rsidP="00457BA8">
      <w:pPr>
        <w:pStyle w:val="SingleTxtG"/>
        <w:rPr>
          <w:lang w:val="en-US"/>
        </w:rPr>
      </w:pPr>
      <w:r w:rsidRPr="00457BA8">
        <w:rPr>
          <w:lang w:val="en-US"/>
        </w:rPr>
        <w:t>Ihor Huzkov, Central Apparatus</w:t>
      </w:r>
    </w:p>
    <w:p w:rsidR="00457BA8" w:rsidRPr="00457BA8" w:rsidRDefault="00457BA8" w:rsidP="00457BA8">
      <w:pPr>
        <w:pStyle w:val="H23G"/>
        <w:rPr>
          <w:lang w:val="en-US"/>
        </w:rPr>
      </w:pPr>
      <w:r w:rsidRPr="00457BA8">
        <w:rPr>
          <w:lang w:val="en-US"/>
        </w:rPr>
        <w:tab/>
      </w:r>
      <w:r w:rsidRPr="00457BA8">
        <w:rPr>
          <w:lang w:val="en-US"/>
        </w:rPr>
        <w:tab/>
      </w:r>
      <w:bookmarkStart w:id="48" w:name="_Toc482625059"/>
      <w:r w:rsidRPr="00457BA8">
        <w:rPr>
          <w:lang w:val="en-US"/>
        </w:rPr>
        <w:t>Ministry of Defense</w:t>
      </w:r>
      <w:bookmarkEnd w:id="48"/>
    </w:p>
    <w:p w:rsidR="00457BA8" w:rsidRPr="00457BA8" w:rsidRDefault="00457BA8" w:rsidP="00457BA8">
      <w:pPr>
        <w:pStyle w:val="SingleTxtG"/>
        <w:rPr>
          <w:lang w:val="en-US"/>
        </w:rPr>
      </w:pPr>
      <w:r w:rsidRPr="00457BA8">
        <w:rPr>
          <w:lang w:val="en-US"/>
        </w:rPr>
        <w:t>Yurii Khoroshunov, Deputy Head, Department for Organization of Security Patrol, Checkpoint Service and Search, Main Department of Military Police, Armed Forces of Ukraine</w:t>
      </w:r>
    </w:p>
    <w:p w:rsidR="00457BA8" w:rsidRPr="00457BA8" w:rsidRDefault="00457BA8" w:rsidP="00457BA8">
      <w:pPr>
        <w:pStyle w:val="SingleTxtG"/>
        <w:rPr>
          <w:lang w:val="en-US"/>
        </w:rPr>
      </w:pPr>
      <w:r w:rsidRPr="00457BA8">
        <w:rPr>
          <w:lang w:val="en-US"/>
        </w:rPr>
        <w:t>Oleh Hushchin, Assistant to the Head of the Administrative Department of the General Staff of the Armed Forces of Ukraine</w:t>
      </w:r>
    </w:p>
    <w:p w:rsidR="00457BA8" w:rsidRPr="00457BA8" w:rsidRDefault="00457BA8" w:rsidP="00457BA8">
      <w:pPr>
        <w:pStyle w:val="H23G"/>
        <w:rPr>
          <w:lang w:val="en-US"/>
        </w:rPr>
      </w:pPr>
      <w:r w:rsidRPr="00457BA8">
        <w:rPr>
          <w:lang w:val="en-US"/>
        </w:rPr>
        <w:tab/>
      </w:r>
      <w:r w:rsidRPr="00457BA8">
        <w:rPr>
          <w:lang w:val="en-US"/>
        </w:rPr>
        <w:tab/>
      </w:r>
      <w:bookmarkStart w:id="49" w:name="_Toc482625060"/>
      <w:r w:rsidRPr="00457BA8">
        <w:rPr>
          <w:lang w:val="en-US"/>
        </w:rPr>
        <w:t>Ministry of Internal Affairs</w:t>
      </w:r>
      <w:bookmarkEnd w:id="49"/>
    </w:p>
    <w:p w:rsidR="00457BA8" w:rsidRPr="00457BA8" w:rsidRDefault="00457BA8" w:rsidP="00457BA8">
      <w:pPr>
        <w:pStyle w:val="SingleTxtG"/>
        <w:rPr>
          <w:lang w:val="en-US"/>
        </w:rPr>
      </w:pPr>
      <w:r w:rsidRPr="00457BA8">
        <w:rPr>
          <w:lang w:val="en-US"/>
        </w:rPr>
        <w:t>Olexandr Mykhailovych Guzmenuik, Deputy Head of the Department of Analytical Provision and Rapid Response, National Police</w:t>
      </w:r>
    </w:p>
    <w:p w:rsidR="00457BA8" w:rsidRPr="00457BA8" w:rsidRDefault="00457BA8" w:rsidP="00457BA8">
      <w:pPr>
        <w:pStyle w:val="H23G"/>
        <w:rPr>
          <w:lang w:val="en-US"/>
        </w:rPr>
      </w:pPr>
      <w:r w:rsidRPr="00457BA8">
        <w:rPr>
          <w:lang w:val="en-US"/>
        </w:rPr>
        <w:tab/>
      </w:r>
      <w:r w:rsidRPr="00457BA8">
        <w:rPr>
          <w:lang w:val="en-US"/>
        </w:rPr>
        <w:tab/>
      </w:r>
      <w:bookmarkStart w:id="50" w:name="_Toc482625061"/>
      <w:r w:rsidRPr="00457BA8">
        <w:rPr>
          <w:lang w:val="en-US"/>
        </w:rPr>
        <w:t>Ministry of Social Policy</w:t>
      </w:r>
      <w:bookmarkEnd w:id="50"/>
    </w:p>
    <w:p w:rsidR="00457BA8" w:rsidRPr="00457BA8" w:rsidRDefault="00457BA8" w:rsidP="00457BA8">
      <w:pPr>
        <w:pStyle w:val="SingleTxtG"/>
        <w:rPr>
          <w:lang w:val="en-US"/>
        </w:rPr>
      </w:pPr>
      <w:r w:rsidRPr="00457BA8">
        <w:rPr>
          <w:lang w:val="en-US"/>
        </w:rPr>
        <w:t>Oksana Sulima, Deputy Director of the Department of Social Services</w:t>
      </w:r>
    </w:p>
    <w:p w:rsidR="00457BA8" w:rsidRPr="00457BA8" w:rsidRDefault="00457BA8" w:rsidP="00457BA8">
      <w:pPr>
        <w:pStyle w:val="H23G"/>
        <w:rPr>
          <w:lang w:val="en-US"/>
        </w:rPr>
      </w:pPr>
      <w:r w:rsidRPr="00457BA8">
        <w:rPr>
          <w:lang w:val="en-US"/>
        </w:rPr>
        <w:tab/>
      </w:r>
      <w:r w:rsidRPr="00457BA8">
        <w:rPr>
          <w:lang w:val="en-US"/>
        </w:rPr>
        <w:tab/>
      </w:r>
      <w:bookmarkStart w:id="51" w:name="_Toc482625062"/>
      <w:r w:rsidRPr="00457BA8">
        <w:rPr>
          <w:lang w:val="en-US"/>
        </w:rPr>
        <w:t>Ministry of Education and Science</w:t>
      </w:r>
      <w:bookmarkEnd w:id="51"/>
    </w:p>
    <w:p w:rsidR="00457BA8" w:rsidRPr="00457BA8" w:rsidRDefault="00457BA8" w:rsidP="00457BA8">
      <w:pPr>
        <w:pStyle w:val="SingleTxtG"/>
        <w:rPr>
          <w:lang w:val="en-US"/>
        </w:rPr>
      </w:pPr>
      <w:r w:rsidRPr="00457BA8">
        <w:rPr>
          <w:lang w:val="en-US"/>
        </w:rPr>
        <w:t>Viktoriia Borysivna Sydorenko, Chief Specialist, Organizational and educational activities and social issues Unit, Professional and Technical Work Department</w:t>
      </w:r>
      <w:r w:rsidRPr="00457BA8">
        <w:rPr>
          <w:lang w:val="en-US"/>
        </w:rPr>
        <w:tab/>
      </w:r>
      <w:r w:rsidRPr="00457BA8">
        <w:rPr>
          <w:lang w:val="en-US"/>
        </w:rPr>
        <w:tab/>
      </w:r>
    </w:p>
    <w:p w:rsidR="00457BA8" w:rsidRPr="00457BA8" w:rsidRDefault="00457BA8" w:rsidP="00457BA8">
      <w:pPr>
        <w:pStyle w:val="SingleTxtG"/>
        <w:rPr>
          <w:lang w:val="en-US"/>
        </w:rPr>
      </w:pPr>
      <w:r w:rsidRPr="00457BA8">
        <w:rPr>
          <w:lang w:val="en-US"/>
        </w:rPr>
        <w:t>Valentyna Oleksandrivna Klemyuk, Chief Specialist, Education of children with Special Needs Unit, Department of Secondary and Primary Education</w:t>
      </w:r>
    </w:p>
    <w:p w:rsidR="00457BA8" w:rsidRPr="00457BA8" w:rsidRDefault="00457BA8" w:rsidP="00457BA8">
      <w:pPr>
        <w:pStyle w:val="H23G"/>
        <w:rPr>
          <w:lang w:val="en-US"/>
        </w:rPr>
      </w:pPr>
      <w:r w:rsidRPr="00457BA8">
        <w:rPr>
          <w:lang w:val="en-US"/>
        </w:rPr>
        <w:tab/>
      </w:r>
      <w:r w:rsidRPr="00457BA8">
        <w:rPr>
          <w:lang w:val="en-US"/>
        </w:rPr>
        <w:tab/>
      </w:r>
      <w:bookmarkStart w:id="52" w:name="_Toc482625063"/>
      <w:r w:rsidRPr="00457BA8">
        <w:rPr>
          <w:lang w:val="en-US"/>
        </w:rPr>
        <w:t>Ministry of Health</w:t>
      </w:r>
      <w:bookmarkEnd w:id="52"/>
      <w:r w:rsidRPr="00457BA8">
        <w:rPr>
          <w:lang w:val="en-US"/>
        </w:rPr>
        <w:t xml:space="preserve"> </w:t>
      </w:r>
    </w:p>
    <w:p w:rsidR="00457BA8" w:rsidRPr="00457BA8" w:rsidRDefault="00457BA8" w:rsidP="00457BA8">
      <w:pPr>
        <w:pStyle w:val="SingleTxtG"/>
        <w:rPr>
          <w:lang w:val="en-US"/>
        </w:rPr>
      </w:pPr>
      <w:r w:rsidRPr="00457BA8">
        <w:rPr>
          <w:lang w:val="en-US"/>
        </w:rPr>
        <w:t>Yuriy Borysovych Polischuik, Chief Specialist, Medical Department</w:t>
      </w:r>
    </w:p>
    <w:p w:rsidR="00457BA8" w:rsidRPr="00457BA8" w:rsidRDefault="00457BA8" w:rsidP="00457BA8">
      <w:pPr>
        <w:pStyle w:val="H1G"/>
        <w:rPr>
          <w:lang w:val="en-US"/>
        </w:rPr>
      </w:pPr>
      <w:r w:rsidRPr="00457BA8">
        <w:rPr>
          <w:lang w:val="en-US"/>
        </w:rPr>
        <w:tab/>
      </w:r>
      <w:r w:rsidRPr="00457BA8">
        <w:rPr>
          <w:lang w:val="en-US"/>
        </w:rPr>
        <w:tab/>
      </w:r>
      <w:bookmarkStart w:id="53" w:name="_Toc482625064"/>
      <w:r w:rsidRPr="00457BA8">
        <w:rPr>
          <w:lang w:val="en-US"/>
        </w:rPr>
        <w:t>National Preventive Mechanism</w:t>
      </w:r>
      <w:bookmarkEnd w:id="53"/>
    </w:p>
    <w:p w:rsidR="00457BA8" w:rsidRPr="00457BA8" w:rsidRDefault="00457BA8" w:rsidP="00457BA8">
      <w:pPr>
        <w:pStyle w:val="H23G"/>
        <w:rPr>
          <w:lang w:val="en-US"/>
        </w:rPr>
      </w:pPr>
      <w:r w:rsidRPr="00457BA8">
        <w:rPr>
          <w:lang w:val="en-US"/>
        </w:rPr>
        <w:tab/>
      </w:r>
      <w:r w:rsidRPr="00457BA8">
        <w:rPr>
          <w:lang w:val="en-US"/>
        </w:rPr>
        <w:tab/>
      </w:r>
      <w:bookmarkStart w:id="54" w:name="_Toc482625065"/>
      <w:r w:rsidRPr="00457BA8">
        <w:rPr>
          <w:lang w:val="en-US"/>
        </w:rPr>
        <w:t>Ukrainian Parliament Commissioner for Human Rights</w:t>
      </w:r>
      <w:bookmarkEnd w:id="54"/>
    </w:p>
    <w:p w:rsidR="00457BA8" w:rsidRPr="00457BA8" w:rsidRDefault="00457BA8" w:rsidP="00457BA8">
      <w:pPr>
        <w:pStyle w:val="SingleTxtG"/>
        <w:rPr>
          <w:lang w:val="en-US"/>
        </w:rPr>
      </w:pPr>
      <w:r w:rsidRPr="00457BA8">
        <w:rPr>
          <w:lang w:val="en-US"/>
        </w:rPr>
        <w:t xml:space="preserve">Valeriya Lutkovska, Parliament Commissioner for Human Rights </w:t>
      </w:r>
    </w:p>
    <w:p w:rsidR="00457BA8" w:rsidRPr="00457BA8" w:rsidRDefault="00457BA8" w:rsidP="00457BA8">
      <w:pPr>
        <w:pStyle w:val="SingleTxtG"/>
        <w:rPr>
          <w:lang w:val="en-US"/>
        </w:rPr>
      </w:pPr>
      <w:r w:rsidRPr="00457BA8">
        <w:rPr>
          <w:lang w:val="en-US"/>
        </w:rPr>
        <w:t>Bohdan Kryklyvenko, Head of the Secretariat of the Ukrainian Parliament Commissioner for Human Rights</w:t>
      </w:r>
    </w:p>
    <w:p w:rsidR="00457BA8" w:rsidRPr="00457BA8" w:rsidRDefault="00457BA8" w:rsidP="00086EF6">
      <w:pPr>
        <w:pStyle w:val="H1G"/>
        <w:rPr>
          <w:lang w:val="en-US"/>
        </w:rPr>
      </w:pPr>
      <w:r w:rsidRPr="00457BA8">
        <w:rPr>
          <w:lang w:val="en-US"/>
        </w:rPr>
        <w:lastRenderedPageBreak/>
        <w:tab/>
      </w:r>
      <w:r w:rsidRPr="00457BA8">
        <w:rPr>
          <w:lang w:val="en-US"/>
        </w:rPr>
        <w:tab/>
      </w:r>
      <w:bookmarkStart w:id="55" w:name="_Toc482625066"/>
      <w:r w:rsidRPr="00457BA8">
        <w:rPr>
          <w:lang w:val="en-US"/>
        </w:rPr>
        <w:t>Others</w:t>
      </w:r>
      <w:bookmarkEnd w:id="55"/>
    </w:p>
    <w:p w:rsidR="00457BA8" w:rsidRPr="00457BA8" w:rsidRDefault="00457BA8" w:rsidP="00086EF6">
      <w:pPr>
        <w:pStyle w:val="H23G"/>
        <w:rPr>
          <w:lang w:val="en-US"/>
        </w:rPr>
      </w:pPr>
      <w:r w:rsidRPr="00457BA8">
        <w:rPr>
          <w:lang w:val="en-US"/>
        </w:rPr>
        <w:tab/>
      </w:r>
      <w:r w:rsidRPr="00457BA8">
        <w:rPr>
          <w:lang w:val="en-US"/>
        </w:rPr>
        <w:tab/>
      </w:r>
      <w:bookmarkStart w:id="56" w:name="_Toc482625067"/>
      <w:r w:rsidRPr="00457BA8">
        <w:rPr>
          <w:lang w:val="en-US"/>
        </w:rPr>
        <w:t>United Nations Agencies</w:t>
      </w:r>
      <w:bookmarkEnd w:id="56"/>
    </w:p>
    <w:p w:rsidR="00457BA8" w:rsidRPr="00457BA8" w:rsidRDefault="00457BA8" w:rsidP="00086EF6">
      <w:pPr>
        <w:pStyle w:val="SingleTxtG"/>
        <w:keepNext/>
        <w:keepLines/>
        <w:rPr>
          <w:lang w:val="en-US"/>
        </w:rPr>
      </w:pPr>
      <w:r w:rsidRPr="00457BA8">
        <w:rPr>
          <w:lang w:val="en-US"/>
        </w:rPr>
        <w:t>United Nations Human Rights Monitoring Mission in Ukraine</w:t>
      </w:r>
    </w:p>
    <w:p w:rsidR="00457BA8" w:rsidRPr="00457BA8" w:rsidRDefault="00457BA8" w:rsidP="00086EF6">
      <w:pPr>
        <w:pStyle w:val="SingleTxtG"/>
        <w:keepNext/>
        <w:keepLines/>
        <w:rPr>
          <w:lang w:val="en-US"/>
        </w:rPr>
      </w:pPr>
      <w:r w:rsidRPr="00457BA8">
        <w:rPr>
          <w:lang w:val="en-US"/>
        </w:rPr>
        <w:t>United Nations Resident Coordinator and UNDP Resident Representative</w:t>
      </w:r>
    </w:p>
    <w:p w:rsidR="00457BA8" w:rsidRPr="00A92AE2" w:rsidRDefault="00A92AE2" w:rsidP="00A92AE2">
      <w:pPr>
        <w:pStyle w:val="SingleTxtG"/>
        <w:suppressAutoHyphens/>
        <w:spacing w:before="240" w:after="0"/>
        <w:jc w:val="center"/>
        <w:rPr>
          <w:u w:val="single"/>
          <w:lang w:val="en-US"/>
        </w:rPr>
      </w:pPr>
      <w:r>
        <w:rPr>
          <w:u w:val="single"/>
          <w:lang w:val="en-US"/>
        </w:rPr>
        <w:tab/>
      </w:r>
      <w:r>
        <w:rPr>
          <w:u w:val="single"/>
          <w:lang w:val="en-US"/>
        </w:rPr>
        <w:tab/>
      </w:r>
      <w:r>
        <w:rPr>
          <w:u w:val="single"/>
          <w:lang w:val="en-US"/>
        </w:rPr>
        <w:tab/>
      </w:r>
    </w:p>
    <w:sectPr w:rsidR="00457BA8" w:rsidRPr="00A92AE2" w:rsidSect="00783CB4">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FAD" w:rsidRPr="00A312BC" w:rsidRDefault="002D0FAD" w:rsidP="00A312BC">
      <w:pPr>
        <w:pStyle w:val="Piedepgina"/>
      </w:pPr>
    </w:p>
  </w:endnote>
  <w:endnote w:type="continuationSeparator" w:id="0">
    <w:p w:rsidR="002D0FAD" w:rsidRPr="00A312BC" w:rsidRDefault="002D0FAD"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B0502040204020203"/>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AD" w:rsidRPr="00783CB4" w:rsidRDefault="002D0FAD" w:rsidP="00783CB4">
    <w:pPr>
      <w:pStyle w:val="Piedepgina"/>
      <w:tabs>
        <w:tab w:val="right" w:pos="9638"/>
      </w:tabs>
    </w:pPr>
    <w:r w:rsidRPr="00783CB4">
      <w:rPr>
        <w:b/>
        <w:sz w:val="18"/>
      </w:rPr>
      <w:fldChar w:fldCharType="begin"/>
    </w:r>
    <w:r w:rsidRPr="00783CB4">
      <w:rPr>
        <w:b/>
        <w:sz w:val="18"/>
      </w:rPr>
      <w:instrText xml:space="preserve"> PAGE  \* MERGEFORMAT </w:instrText>
    </w:r>
    <w:r w:rsidRPr="00783CB4">
      <w:rPr>
        <w:b/>
        <w:sz w:val="18"/>
      </w:rPr>
      <w:fldChar w:fldCharType="separate"/>
    </w:r>
    <w:r w:rsidR="00771B25">
      <w:rPr>
        <w:b/>
        <w:noProof/>
        <w:sz w:val="18"/>
      </w:rPr>
      <w:t>20</w:t>
    </w:r>
    <w:r w:rsidRPr="00783CB4">
      <w:rPr>
        <w:b/>
        <w:sz w:val="18"/>
      </w:rPr>
      <w:fldChar w:fldCharType="end"/>
    </w:r>
    <w:r>
      <w:rPr>
        <w:b/>
        <w:sz w:val="18"/>
      </w:rPr>
      <w:tab/>
    </w:r>
    <w:r>
      <w:t>GE.17-07764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AD" w:rsidRPr="00783CB4" w:rsidRDefault="002D0FAD" w:rsidP="00783CB4">
    <w:pPr>
      <w:pStyle w:val="Piedepgina"/>
      <w:tabs>
        <w:tab w:val="right" w:pos="9638"/>
      </w:tabs>
      <w:rPr>
        <w:b/>
        <w:sz w:val="18"/>
      </w:rPr>
    </w:pPr>
    <w:r>
      <w:t>GE.17-07764</w:t>
    </w:r>
    <w:r>
      <w:tab/>
    </w:r>
    <w:r w:rsidRPr="00783CB4">
      <w:rPr>
        <w:b/>
        <w:sz w:val="18"/>
      </w:rPr>
      <w:fldChar w:fldCharType="begin"/>
    </w:r>
    <w:r w:rsidRPr="00783CB4">
      <w:rPr>
        <w:b/>
        <w:sz w:val="18"/>
      </w:rPr>
      <w:instrText xml:space="preserve"> PAGE  \* MERGEFORMAT </w:instrText>
    </w:r>
    <w:r w:rsidRPr="00783CB4">
      <w:rPr>
        <w:b/>
        <w:sz w:val="18"/>
      </w:rPr>
      <w:fldChar w:fldCharType="separate"/>
    </w:r>
    <w:r w:rsidR="00771B25">
      <w:rPr>
        <w:b/>
        <w:noProof/>
        <w:sz w:val="18"/>
      </w:rPr>
      <w:t>21</w:t>
    </w:r>
    <w:r w:rsidRPr="00783C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AD" w:rsidRPr="00783CB4" w:rsidRDefault="002D0FAD" w:rsidP="00783CB4">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17-07764  (S)    010617    0</w:t>
    </w:r>
    <w:r w:rsidR="00305E49">
      <w:rPr>
        <w:sz w:val="20"/>
      </w:rPr>
      <w:t>8</w:t>
    </w:r>
    <w:r>
      <w:rPr>
        <w:sz w:val="20"/>
      </w:rPr>
      <w:t>0617</w:t>
    </w:r>
    <w:r>
      <w:rPr>
        <w:sz w:val="20"/>
      </w:rPr>
      <w:br/>
    </w:r>
    <w:r w:rsidRPr="00783CB4">
      <w:rPr>
        <w:rFonts w:ascii="C39T30Lfz" w:hAnsi="C39T30Lfz"/>
        <w:sz w:val="56"/>
      </w:rPr>
      <w:t></w:t>
    </w:r>
    <w:r w:rsidRPr="00783CB4">
      <w:rPr>
        <w:rFonts w:ascii="C39T30Lfz" w:hAnsi="C39T30Lfz"/>
        <w:sz w:val="56"/>
      </w:rPr>
      <w:t></w:t>
    </w:r>
    <w:r w:rsidRPr="00783CB4">
      <w:rPr>
        <w:rFonts w:ascii="C39T30Lfz" w:hAnsi="C39T30Lfz"/>
        <w:sz w:val="56"/>
      </w:rPr>
      <w:t></w:t>
    </w:r>
    <w:r w:rsidRPr="00783CB4">
      <w:rPr>
        <w:rFonts w:ascii="C39T30Lfz" w:hAnsi="C39T30Lfz"/>
        <w:sz w:val="56"/>
      </w:rPr>
      <w:t></w:t>
    </w:r>
    <w:r w:rsidRPr="00783CB4">
      <w:rPr>
        <w:rFonts w:ascii="C39T30Lfz" w:hAnsi="C39T30Lfz"/>
        <w:sz w:val="56"/>
      </w:rPr>
      <w:t></w:t>
    </w:r>
    <w:r w:rsidRPr="00783CB4">
      <w:rPr>
        <w:rFonts w:ascii="C39T30Lfz" w:hAnsi="C39T30Lfz"/>
        <w:sz w:val="56"/>
      </w:rPr>
      <w:t></w:t>
    </w:r>
    <w:r w:rsidRPr="00783CB4">
      <w:rPr>
        <w:rFonts w:ascii="C39T30Lfz" w:hAnsi="C39T30Lfz"/>
        <w:sz w:val="56"/>
      </w:rPr>
      <w:t></w:t>
    </w:r>
    <w:r w:rsidRPr="00783CB4">
      <w:rPr>
        <w:rFonts w:ascii="C39T30Lfz" w:hAnsi="C39T30Lfz"/>
        <w:sz w:val="56"/>
      </w:rPr>
      <w:t></w:t>
    </w:r>
    <w:r w:rsidRPr="00783CB4">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5" name="Imagen 1" descr="https://undocs.org/m2/QRCode.ashx?DS=CAT/OP/UKR/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UKR/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FAD" w:rsidRPr="001075E9" w:rsidRDefault="002D0FAD" w:rsidP="001075E9">
      <w:pPr>
        <w:tabs>
          <w:tab w:val="right" w:pos="2155"/>
        </w:tabs>
        <w:spacing w:after="80" w:line="240" w:lineRule="auto"/>
        <w:ind w:left="680"/>
        <w:rPr>
          <w:u w:val="single"/>
        </w:rPr>
      </w:pPr>
      <w:r>
        <w:rPr>
          <w:u w:val="single"/>
        </w:rPr>
        <w:tab/>
      </w:r>
    </w:p>
  </w:footnote>
  <w:footnote w:type="continuationSeparator" w:id="0">
    <w:p w:rsidR="002D0FAD" w:rsidRDefault="002D0FAD" w:rsidP="00407B78">
      <w:pPr>
        <w:tabs>
          <w:tab w:val="right" w:pos="2155"/>
        </w:tabs>
        <w:spacing w:after="80"/>
        <w:ind w:left="680"/>
        <w:rPr>
          <w:u w:val="single"/>
        </w:rPr>
      </w:pPr>
      <w:r>
        <w:rPr>
          <w:u w:val="single"/>
        </w:rPr>
        <w:tab/>
      </w:r>
    </w:p>
  </w:footnote>
  <w:footnote w:id="1">
    <w:p w:rsidR="002D0FAD" w:rsidRPr="00783CB4" w:rsidRDefault="002D0FAD" w:rsidP="00B50D28">
      <w:pPr>
        <w:pStyle w:val="Textonotapie"/>
        <w:rPr>
          <w:sz w:val="20"/>
        </w:rPr>
      </w:pPr>
      <w:r>
        <w:tab/>
      </w:r>
      <w:r w:rsidRPr="00783CB4">
        <w:rPr>
          <w:rStyle w:val="Refdenotaalpie"/>
          <w:sz w:val="20"/>
          <w:vertAlign w:val="baseline"/>
        </w:rPr>
        <w:t>*</w:t>
      </w:r>
      <w:r w:rsidRPr="00783CB4">
        <w:rPr>
          <w:rStyle w:val="Refdenotaalpie"/>
          <w:vertAlign w:val="baseline"/>
        </w:rPr>
        <w:tab/>
      </w:r>
      <w:r w:rsidRPr="00783CB4">
        <w:t>De conformidad con el artículo 16, párrafo 1, del Protocolo Facultativo, el presente informe se transmitió con carácter confidencial al Estado parte el 3 de febrero de 2017. El 27 de abril de 2017, Ucrania pidió al Subcomité que publicara el informe, de conformidad con el artículo 16, párrafo 2, del Protocolo Facultativo.</w:t>
      </w:r>
    </w:p>
  </w:footnote>
  <w:footnote w:id="2">
    <w:p w:rsidR="002D0FAD" w:rsidRPr="00E10901" w:rsidRDefault="002D0FAD" w:rsidP="00B50D28">
      <w:pPr>
        <w:pStyle w:val="Textonotapie"/>
      </w:pPr>
      <w:r w:rsidRPr="00E10901">
        <w:tab/>
      </w:r>
      <w:r w:rsidRPr="00E10901">
        <w:rPr>
          <w:rStyle w:val="Refdenotaalpie"/>
          <w:szCs w:val="24"/>
          <w:vertAlign w:val="baseline"/>
        </w:rPr>
        <w:t>**</w:t>
      </w:r>
      <w:r w:rsidRPr="00E10901">
        <w:rPr>
          <w:rStyle w:val="Refdenotaalpie"/>
          <w:szCs w:val="24"/>
          <w:vertAlign w:val="baseline"/>
        </w:rPr>
        <w:tab/>
      </w:r>
      <w:r w:rsidRPr="00E10901">
        <w:t>Los anexos del presente documento se distribuyen únicamente en el idioma en que se presentaron.</w:t>
      </w:r>
    </w:p>
  </w:footnote>
  <w:footnote w:id="3">
    <w:p w:rsidR="002D0FAD" w:rsidRPr="00E10901" w:rsidRDefault="002D0FAD" w:rsidP="00B50D28">
      <w:pPr>
        <w:pStyle w:val="Textonotapie"/>
      </w:pPr>
      <w:r w:rsidRPr="00E10901">
        <w:tab/>
      </w:r>
      <w:r w:rsidRPr="00B50D28">
        <w:rPr>
          <w:rStyle w:val="Refdenotaalpie"/>
        </w:rPr>
        <w:footnoteRef/>
      </w:r>
      <w:r w:rsidRPr="00E10901">
        <w:tab/>
        <w:t>Véase la Convención contra la Tortura y Otros Tratos o Penas Crueles, Inhumanos o Degradantes, art. 16.</w:t>
      </w:r>
    </w:p>
  </w:footnote>
  <w:footnote w:id="4">
    <w:p w:rsidR="002D0FAD" w:rsidRPr="00E10901" w:rsidRDefault="002D0FAD" w:rsidP="00B50D28">
      <w:pPr>
        <w:pStyle w:val="Textonotapie"/>
        <w:rPr>
          <w:lang w:val="fr-CH"/>
        </w:rPr>
      </w:pPr>
      <w:r w:rsidRPr="00E10901">
        <w:tab/>
      </w:r>
      <w:r w:rsidRPr="00B50D28">
        <w:rPr>
          <w:rStyle w:val="Refdenotaalpie"/>
        </w:rPr>
        <w:footnoteRef/>
      </w:r>
      <w:r w:rsidRPr="00E10901">
        <w:rPr>
          <w:lang w:val="fr-CH"/>
        </w:rPr>
        <w:tab/>
        <w:t>Véase http://www.ohchr.org/EN/HRBodies/OPCAT/Fund/Pages/SpecialFund.aspx.</w:t>
      </w:r>
    </w:p>
  </w:footnote>
  <w:footnote w:id="5">
    <w:p w:rsidR="002D0FAD" w:rsidRPr="00E10901" w:rsidRDefault="002D0FAD" w:rsidP="00B50D28">
      <w:pPr>
        <w:pStyle w:val="Textonotapie"/>
      </w:pPr>
      <w:r w:rsidRPr="00E10901">
        <w:rPr>
          <w:lang w:val="fr-CH"/>
        </w:rPr>
        <w:tab/>
      </w:r>
      <w:r w:rsidRPr="00B50D28">
        <w:rPr>
          <w:rStyle w:val="Refdenotaalpie"/>
        </w:rPr>
        <w:footnoteRef/>
      </w:r>
      <w:r w:rsidRPr="00E10901">
        <w:tab/>
        <w:t xml:space="preserve">Véanse el </w:t>
      </w:r>
      <w:r w:rsidR="00A92AE2" w:rsidRPr="00E10901">
        <w:t xml:space="preserve">Decreto </w:t>
      </w:r>
      <w:r w:rsidRPr="00E10901">
        <w:t>del Presidente de Ucrania núm. 501/2015</w:t>
      </w:r>
      <w:r>
        <w:t>,</w:t>
      </w:r>
      <w:r w:rsidRPr="00E10901">
        <w:t xml:space="preserve"> de 25 de agosto de 2015, relativo a la aprobación de la estrategia nacional de derechos humanos de Ucrania, y el Plan de Acción para la Aplicación de la Estrategia Nacional sobre Derechos Humanos hasta 2020 (</w:t>
      </w:r>
      <w:r w:rsidR="00A92AE2" w:rsidRPr="00E10901">
        <w:t xml:space="preserve">Decreto </w:t>
      </w:r>
      <w:r w:rsidRPr="00E10901">
        <w:t xml:space="preserve">del Consejo de Ministros núm. 1393-p, de 23 de noviembre </w:t>
      </w:r>
      <w:r>
        <w:t xml:space="preserve">de 2015, apéndice, </w:t>
      </w:r>
      <w:r w:rsidRPr="00E10901">
        <w:t>“Medidas de lucha contra la tortura y los tratos o penas crueles, inhumanos o degradantes”, págs. 14 a 52).</w:t>
      </w:r>
    </w:p>
  </w:footnote>
  <w:footnote w:id="6">
    <w:p w:rsidR="002D0FAD" w:rsidRPr="00E10901" w:rsidRDefault="002D0FAD" w:rsidP="00B50D28">
      <w:pPr>
        <w:pStyle w:val="Textonotapie"/>
      </w:pPr>
      <w:r w:rsidRPr="00E10901">
        <w:tab/>
      </w:r>
      <w:r w:rsidRPr="00B50D28">
        <w:rPr>
          <w:rStyle w:val="Refdenotaalpie"/>
        </w:rPr>
        <w:footnoteRef/>
      </w:r>
      <w:r w:rsidRPr="00E10901">
        <w:tab/>
        <w:t>Véase la observación general núm. 2 (2007) del Comité contra la Tortura, relativa a la aplicación del artículo 2 por los Estados partes, párr. 9.</w:t>
      </w:r>
    </w:p>
  </w:footnote>
  <w:footnote w:id="7">
    <w:p w:rsidR="002D0FAD" w:rsidRPr="00E10901" w:rsidRDefault="002D0FAD" w:rsidP="00B50D28">
      <w:pPr>
        <w:pStyle w:val="Textonotapie"/>
      </w:pPr>
      <w:r w:rsidRPr="00E10901">
        <w:tab/>
      </w:r>
      <w:r w:rsidRPr="00B50D28">
        <w:rPr>
          <w:rStyle w:val="Refdenotaalpie"/>
        </w:rPr>
        <w:footnoteRef/>
      </w:r>
      <w:r w:rsidRPr="00E10901">
        <w:tab/>
        <w:t>Código de Procedimiento Penal, arts. 208, párr. 4, y 212, párr. 3.2.</w:t>
      </w:r>
    </w:p>
  </w:footnote>
  <w:footnote w:id="8">
    <w:p w:rsidR="002D0FAD" w:rsidRPr="00E10901" w:rsidRDefault="002D0FAD" w:rsidP="00B50D28">
      <w:pPr>
        <w:pStyle w:val="Textonotapie"/>
      </w:pPr>
      <w:r w:rsidRPr="00E10901">
        <w:tab/>
      </w:r>
      <w:r w:rsidRPr="00B50D28">
        <w:rPr>
          <w:rStyle w:val="Refdenotaalpie"/>
        </w:rPr>
        <w:footnoteRef/>
      </w:r>
      <w:r w:rsidRPr="00E10901">
        <w:tab/>
        <w:t>Véanse las Reglas de las Naciones Unidas para la Protección de los Menores Privados de Libertad (Reglas de La Habana), regla 29; las Reglas Mínimas de las Naciones Unidas para la Administración de la Justicia de Menores (Reglas de Beijing), reglas 13.4 y 26.3; y la Convención sobre los Derechos del Niño, art. 37.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AD" w:rsidRPr="00783CB4" w:rsidRDefault="00305E49">
    <w:pPr>
      <w:pStyle w:val="Encabezado"/>
    </w:pPr>
    <w:fldSimple w:instr=" TITLE  \* MERGEFORMAT ">
      <w:r w:rsidR="00771B25">
        <w:t>CAT/OP/UKR/3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AD" w:rsidRPr="00783CB4" w:rsidRDefault="00305E49" w:rsidP="00783CB4">
    <w:pPr>
      <w:pStyle w:val="Encabezado"/>
      <w:jc w:val="right"/>
    </w:pPr>
    <w:fldSimple w:instr=" TITLE  \* MERGEFORMAT ">
      <w:r w:rsidR="00771B25">
        <w:t>CAT/OP/UKR/3</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E49" w:rsidRDefault="00305E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6294A2D"/>
    <w:multiLevelType w:val="hybridMultilevel"/>
    <w:tmpl w:val="429CEFA8"/>
    <w:lvl w:ilvl="0" w:tplc="E1AAE8D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1"/>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4"/>
  </w:num>
  <w:num w:numId="18">
    <w:abstractNumId w:val="13"/>
  </w:num>
  <w:num w:numId="19">
    <w:abstractNumId w:val="16"/>
  </w:num>
  <w:num w:numId="20">
    <w:abstractNumId w:val="11"/>
  </w:num>
  <w:num w:numId="21">
    <w:abstractNumId w:val="17"/>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9B"/>
    <w:rsid w:val="00004304"/>
    <w:rsid w:val="00033EE1"/>
    <w:rsid w:val="00042B72"/>
    <w:rsid w:val="00055769"/>
    <w:rsid w:val="000558BD"/>
    <w:rsid w:val="00086EF6"/>
    <w:rsid w:val="000B57E7"/>
    <w:rsid w:val="000B6373"/>
    <w:rsid w:val="000F09DF"/>
    <w:rsid w:val="000F61B2"/>
    <w:rsid w:val="001075E9"/>
    <w:rsid w:val="001524C3"/>
    <w:rsid w:val="00180183"/>
    <w:rsid w:val="0018024D"/>
    <w:rsid w:val="0018649F"/>
    <w:rsid w:val="00196389"/>
    <w:rsid w:val="00196886"/>
    <w:rsid w:val="001B3EF6"/>
    <w:rsid w:val="001B6CEC"/>
    <w:rsid w:val="001C7A89"/>
    <w:rsid w:val="001D6935"/>
    <w:rsid w:val="00207C3F"/>
    <w:rsid w:val="00217D36"/>
    <w:rsid w:val="00224B04"/>
    <w:rsid w:val="002A2EFC"/>
    <w:rsid w:val="002A43BB"/>
    <w:rsid w:val="002C0E18"/>
    <w:rsid w:val="002D0FAD"/>
    <w:rsid w:val="002D5AAC"/>
    <w:rsid w:val="002F405F"/>
    <w:rsid w:val="00301299"/>
    <w:rsid w:val="00305E49"/>
    <w:rsid w:val="003067C5"/>
    <w:rsid w:val="00307FB6"/>
    <w:rsid w:val="00317339"/>
    <w:rsid w:val="00322004"/>
    <w:rsid w:val="00324436"/>
    <w:rsid w:val="003402C2"/>
    <w:rsid w:val="00381C24"/>
    <w:rsid w:val="003958D0"/>
    <w:rsid w:val="003B00E5"/>
    <w:rsid w:val="00407B78"/>
    <w:rsid w:val="00424203"/>
    <w:rsid w:val="0043555E"/>
    <w:rsid w:val="00452493"/>
    <w:rsid w:val="00454E07"/>
    <w:rsid w:val="00457BA8"/>
    <w:rsid w:val="00462E81"/>
    <w:rsid w:val="0050108D"/>
    <w:rsid w:val="00505971"/>
    <w:rsid w:val="00505B39"/>
    <w:rsid w:val="00513081"/>
    <w:rsid w:val="00517901"/>
    <w:rsid w:val="00526683"/>
    <w:rsid w:val="0055319B"/>
    <w:rsid w:val="005709E0"/>
    <w:rsid w:val="00572E19"/>
    <w:rsid w:val="00581C97"/>
    <w:rsid w:val="005961C8"/>
    <w:rsid w:val="005D7914"/>
    <w:rsid w:val="005E2ECF"/>
    <w:rsid w:val="005F0B42"/>
    <w:rsid w:val="0060287D"/>
    <w:rsid w:val="00663BD3"/>
    <w:rsid w:val="00681A10"/>
    <w:rsid w:val="006C2031"/>
    <w:rsid w:val="006D461A"/>
    <w:rsid w:val="006E7495"/>
    <w:rsid w:val="006F35EE"/>
    <w:rsid w:val="006F6783"/>
    <w:rsid w:val="007021FF"/>
    <w:rsid w:val="00712895"/>
    <w:rsid w:val="00735EC2"/>
    <w:rsid w:val="00740428"/>
    <w:rsid w:val="00757357"/>
    <w:rsid w:val="00771B25"/>
    <w:rsid w:val="00783CB4"/>
    <w:rsid w:val="00825F8D"/>
    <w:rsid w:val="00834B71"/>
    <w:rsid w:val="00844557"/>
    <w:rsid w:val="0086445C"/>
    <w:rsid w:val="00894693"/>
    <w:rsid w:val="008A08D7"/>
    <w:rsid w:val="008B6909"/>
    <w:rsid w:val="00905F28"/>
    <w:rsid w:val="00906890"/>
    <w:rsid w:val="00911BE4"/>
    <w:rsid w:val="00914C81"/>
    <w:rsid w:val="00951972"/>
    <w:rsid w:val="009608F3"/>
    <w:rsid w:val="0097403E"/>
    <w:rsid w:val="00A15687"/>
    <w:rsid w:val="00A312BC"/>
    <w:rsid w:val="00A84021"/>
    <w:rsid w:val="00A917B3"/>
    <w:rsid w:val="00A92AE2"/>
    <w:rsid w:val="00AA36D5"/>
    <w:rsid w:val="00AB4B51"/>
    <w:rsid w:val="00AC611E"/>
    <w:rsid w:val="00B00214"/>
    <w:rsid w:val="00B006D7"/>
    <w:rsid w:val="00B10CC7"/>
    <w:rsid w:val="00B4174A"/>
    <w:rsid w:val="00B50D28"/>
    <w:rsid w:val="00B539E7"/>
    <w:rsid w:val="00B62458"/>
    <w:rsid w:val="00B96CF1"/>
    <w:rsid w:val="00BA5AA7"/>
    <w:rsid w:val="00BC6C8F"/>
    <w:rsid w:val="00BD33EE"/>
    <w:rsid w:val="00C106D6"/>
    <w:rsid w:val="00C1396F"/>
    <w:rsid w:val="00C60F0C"/>
    <w:rsid w:val="00C805C9"/>
    <w:rsid w:val="00C92939"/>
    <w:rsid w:val="00CA1679"/>
    <w:rsid w:val="00CB151C"/>
    <w:rsid w:val="00CE5A1A"/>
    <w:rsid w:val="00CF36F1"/>
    <w:rsid w:val="00CF55F6"/>
    <w:rsid w:val="00D26304"/>
    <w:rsid w:val="00D33D63"/>
    <w:rsid w:val="00D8412A"/>
    <w:rsid w:val="00D90138"/>
    <w:rsid w:val="00D925F4"/>
    <w:rsid w:val="00D95C0E"/>
    <w:rsid w:val="00DE086C"/>
    <w:rsid w:val="00E00A5B"/>
    <w:rsid w:val="00E40DAE"/>
    <w:rsid w:val="00E50E50"/>
    <w:rsid w:val="00E73F76"/>
    <w:rsid w:val="00EA2C9F"/>
    <w:rsid w:val="00ED0BDA"/>
    <w:rsid w:val="00EE3B1B"/>
    <w:rsid w:val="00EE7EDE"/>
    <w:rsid w:val="00EF1360"/>
    <w:rsid w:val="00EF3220"/>
    <w:rsid w:val="00F4145E"/>
    <w:rsid w:val="00F46882"/>
    <w:rsid w:val="00F739A2"/>
    <w:rsid w:val="00F9055E"/>
    <w:rsid w:val="00F94155"/>
    <w:rsid w:val="00FB18F2"/>
    <w:rsid w:val="00FB2616"/>
    <w:rsid w:val="00FC57C2"/>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C56FA9B-D0BD-45E9-9AC8-46333AF0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Texto de nota al pie,referencia nota al pie,Appel note de bas de page,Footnote number,callout,Fago Fußnotenzeichen"/>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Footnote reference,FA Fu,Footnote Text Char Char Char Char Char,Footnote Text Char Char Char Char,Footnote Text Char1,Footnote Text Char Char,Char,Char Char Char Char Char Char Char"/>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semiHidden/>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semiHidden/>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link w:val="TextoindependienteCar"/>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FD6905"/>
    <w:rPr>
      <w:rFonts w:ascii="Tahoma" w:hAnsi="Tahoma" w:cs="Tahoma"/>
      <w:sz w:val="16"/>
      <w:szCs w:val="16"/>
      <w:lang w:val="es-ES" w:eastAsia="es-ES"/>
    </w:rPr>
  </w:style>
  <w:style w:type="character" w:styleId="nfasisintenso">
    <w:name w:val="Intense Emphasis"/>
    <w:uiPriority w:val="21"/>
    <w:semiHidden/>
    <w:rsid w:val="00783CB4"/>
    <w:rPr>
      <w:b/>
      <w:bCs/>
      <w:i/>
      <w:iCs/>
      <w:color w:val="4F81BD"/>
    </w:rPr>
  </w:style>
  <w:style w:type="paragraph" w:styleId="Citadestacada">
    <w:name w:val="Intense Quote"/>
    <w:basedOn w:val="Normal"/>
    <w:next w:val="Normal"/>
    <w:link w:val="CitadestacadaCar"/>
    <w:uiPriority w:val="30"/>
    <w:semiHidden/>
    <w:rsid w:val="00783CB4"/>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783CB4"/>
    <w:rPr>
      <w:b/>
      <w:bCs/>
      <w:i/>
      <w:iCs/>
      <w:color w:val="4F81BD"/>
      <w:lang w:val="es-ES" w:eastAsia="es-ES"/>
    </w:rPr>
  </w:style>
  <w:style w:type="character" w:customStyle="1" w:styleId="Ttulo1Car">
    <w:name w:val="Título 1 Car"/>
    <w:aliases w:val="Table_G Car,Cuadro_G Car"/>
    <w:basedOn w:val="Fuentedeprrafopredeter"/>
    <w:link w:val="Ttulo1"/>
    <w:rsid w:val="00783CB4"/>
    <w:rPr>
      <w:rFonts w:cs="Arial"/>
      <w:bCs/>
      <w:szCs w:val="32"/>
      <w:lang w:val="es-ES" w:eastAsia="es-ES"/>
    </w:rPr>
  </w:style>
  <w:style w:type="character" w:customStyle="1" w:styleId="CierreCar">
    <w:name w:val="Cierre Car"/>
    <w:basedOn w:val="Fuentedeprrafopredeter"/>
    <w:link w:val="Cierre"/>
    <w:semiHidden/>
    <w:rsid w:val="00783CB4"/>
    <w:rPr>
      <w:lang w:val="es-ES" w:eastAsia="es-ES"/>
    </w:rPr>
  </w:style>
  <w:style w:type="character" w:customStyle="1" w:styleId="DireccinHTMLCar">
    <w:name w:val="Dirección HTML Car"/>
    <w:basedOn w:val="Fuentedeprrafopredeter"/>
    <w:link w:val="DireccinHTML"/>
    <w:semiHidden/>
    <w:rsid w:val="00783CB4"/>
    <w:rPr>
      <w:i/>
      <w:iCs/>
      <w:lang w:val="es-ES" w:eastAsia="es-ES"/>
    </w:rPr>
  </w:style>
  <w:style w:type="character" w:customStyle="1" w:styleId="EncabezadodemensajeCar">
    <w:name w:val="Encabezado de mensaje Car"/>
    <w:basedOn w:val="Fuentedeprrafopredeter"/>
    <w:link w:val="Encabezadodemensaje"/>
    <w:semiHidden/>
    <w:rsid w:val="00783CB4"/>
    <w:rPr>
      <w:rFonts w:ascii="Arial" w:hAnsi="Arial" w:cs="Arial"/>
      <w:sz w:val="24"/>
      <w:szCs w:val="24"/>
      <w:shd w:val="pct20" w:color="auto" w:fill="auto"/>
      <w:lang w:val="es-ES" w:eastAsia="es-ES"/>
    </w:rPr>
  </w:style>
  <w:style w:type="character" w:styleId="Refdecomentario">
    <w:name w:val="annotation reference"/>
    <w:rsid w:val="00783CB4"/>
    <w:rPr>
      <w:sz w:val="16"/>
      <w:szCs w:val="16"/>
    </w:rPr>
  </w:style>
  <w:style w:type="paragraph" w:styleId="Textocomentario">
    <w:name w:val="annotation text"/>
    <w:basedOn w:val="Normal"/>
    <w:link w:val="TextocomentarioCar"/>
    <w:rsid w:val="00783CB4"/>
    <w:pPr>
      <w:suppressAutoHyphens/>
    </w:pPr>
    <w:rPr>
      <w:lang w:val="en-GB" w:eastAsia="en-US"/>
    </w:rPr>
  </w:style>
  <w:style w:type="character" w:customStyle="1" w:styleId="TextocomentarioCar">
    <w:name w:val="Texto comentario Car"/>
    <w:basedOn w:val="Fuentedeprrafopredeter"/>
    <w:link w:val="Textocomentario"/>
    <w:rsid w:val="00783CB4"/>
    <w:rPr>
      <w:lang w:val="en-GB" w:eastAsia="en-US"/>
    </w:rPr>
  </w:style>
  <w:style w:type="paragraph" w:styleId="Asuntodelcomentario">
    <w:name w:val="annotation subject"/>
    <w:basedOn w:val="Textocomentario"/>
    <w:next w:val="Textocomentario"/>
    <w:link w:val="AsuntodelcomentarioCar"/>
    <w:rsid w:val="00783CB4"/>
    <w:rPr>
      <w:b/>
      <w:bCs/>
    </w:rPr>
  </w:style>
  <w:style w:type="character" w:customStyle="1" w:styleId="AsuntodelcomentarioCar">
    <w:name w:val="Asunto del comentario Car"/>
    <w:basedOn w:val="TextocomentarioCar"/>
    <w:link w:val="Asuntodelcomentario"/>
    <w:rsid w:val="00783CB4"/>
    <w:rPr>
      <w:b/>
      <w:bCs/>
      <w:lang w:val="en-GB" w:eastAsia="en-US"/>
    </w:rPr>
  </w:style>
  <w:style w:type="paragraph" w:styleId="Prrafodelista">
    <w:name w:val="List Paragraph"/>
    <w:basedOn w:val="Normal"/>
    <w:uiPriority w:val="34"/>
    <w:qFormat/>
    <w:rsid w:val="00783CB4"/>
    <w:pPr>
      <w:widowControl w:val="0"/>
      <w:suppressAutoHyphens/>
      <w:spacing w:line="240" w:lineRule="auto"/>
      <w:ind w:left="720"/>
      <w:contextualSpacing/>
    </w:pPr>
    <w:rPr>
      <w:sz w:val="24"/>
      <w:szCs w:val="24"/>
      <w:lang w:val="en-GB" w:eastAsia="en-US"/>
    </w:rPr>
  </w:style>
  <w:style w:type="character" w:customStyle="1" w:styleId="TextonotapieCar">
    <w:name w:val="Texto nota pie Car"/>
    <w:aliases w:val="5_G Car,Footnote reference Car,FA Fu Car,Footnote Text Char Char Char Char Char Car,Footnote Text Char Char Char Char Car,Footnote Text Char1 Car,Footnote Text Char Char Car,Char Car,Char Char Char Char Char Char Char Car"/>
    <w:basedOn w:val="Fuentedeprrafopredeter"/>
    <w:link w:val="Textonotapie"/>
    <w:rsid w:val="00783CB4"/>
    <w:rPr>
      <w:sz w:val="18"/>
      <w:lang w:val="es-ES" w:eastAsia="es-ES"/>
    </w:rPr>
  </w:style>
  <w:style w:type="character" w:customStyle="1" w:styleId="EncabezadodenotaCar">
    <w:name w:val="Encabezado de nota Car"/>
    <w:basedOn w:val="Fuentedeprrafopredeter"/>
    <w:link w:val="Encabezadodenota"/>
    <w:semiHidden/>
    <w:rsid w:val="00783CB4"/>
    <w:rPr>
      <w:lang w:val="es-ES" w:eastAsia="es-ES"/>
    </w:rPr>
  </w:style>
  <w:style w:type="paragraph" w:styleId="Sinespaciado">
    <w:name w:val="No Spacing"/>
    <w:uiPriority w:val="1"/>
    <w:qFormat/>
    <w:rsid w:val="00783CB4"/>
    <w:pPr>
      <w:widowControl w:val="0"/>
      <w:suppressAutoHyphens/>
    </w:pPr>
    <w:rPr>
      <w:rFonts w:eastAsia="SimSun" w:cs="Mangal"/>
      <w:kern w:val="1"/>
      <w:sz w:val="24"/>
      <w:szCs w:val="21"/>
      <w:lang w:val="ru-RU" w:eastAsia="hi-IN" w:bidi="hi-IN"/>
    </w:rPr>
  </w:style>
  <w:style w:type="paragraph" w:styleId="Revisin">
    <w:name w:val="Revision"/>
    <w:hidden/>
    <w:uiPriority w:val="71"/>
    <w:rsid w:val="00783CB4"/>
    <w:rPr>
      <w:lang w:val="en-GB" w:eastAsia="en-US"/>
    </w:rPr>
  </w:style>
  <w:style w:type="character" w:customStyle="1" w:styleId="EncabezadoCar">
    <w:name w:val="Encabezado Car"/>
    <w:aliases w:val="6_G Car"/>
    <w:basedOn w:val="Fuentedeprrafopredeter"/>
    <w:link w:val="Encabezado"/>
    <w:rsid w:val="00783CB4"/>
    <w:rPr>
      <w:b/>
      <w:sz w:val="18"/>
      <w:lang w:val="es-ES" w:eastAsia="es-ES"/>
    </w:rPr>
  </w:style>
  <w:style w:type="character" w:customStyle="1" w:styleId="TextoindependienteCar">
    <w:name w:val="Texto independiente Car"/>
    <w:basedOn w:val="Fuentedeprrafopredeter"/>
    <w:link w:val="Textoindependiente"/>
    <w:rsid w:val="00783CB4"/>
    <w:rPr>
      <w:lang w:val="es-ES" w:eastAsia="es-ES"/>
    </w:rPr>
  </w:style>
  <w:style w:type="paragraph" w:customStyle="1" w:styleId="FarbigeSchattierung-Akzent11">
    <w:name w:val="Farbige Schattierung - Akzent 11"/>
    <w:hidden/>
    <w:uiPriority w:val="99"/>
    <w:semiHidden/>
    <w:rsid w:val="00783CB4"/>
    <w:rPr>
      <w:sz w:val="24"/>
      <w:szCs w:val="24"/>
      <w:lang w:val="en-GB" w:eastAsia="en-US"/>
    </w:rPr>
  </w:style>
  <w:style w:type="character" w:customStyle="1" w:styleId="FechaCar">
    <w:name w:val="Fecha Car"/>
    <w:basedOn w:val="Fuentedeprrafopredeter"/>
    <w:link w:val="Fecha"/>
    <w:semiHidden/>
    <w:rsid w:val="00783CB4"/>
    <w:rPr>
      <w:lang w:val="es-ES" w:eastAsia="es-ES"/>
    </w:rPr>
  </w:style>
  <w:style w:type="character" w:customStyle="1" w:styleId="FirmaCar">
    <w:name w:val="Firma Car"/>
    <w:basedOn w:val="Fuentedeprrafopredeter"/>
    <w:link w:val="Firma"/>
    <w:semiHidden/>
    <w:rsid w:val="00783CB4"/>
    <w:rPr>
      <w:lang w:val="es-ES" w:eastAsia="es-ES"/>
    </w:rPr>
  </w:style>
  <w:style w:type="paragraph" w:styleId="TtuloTDC">
    <w:name w:val="TOC Heading"/>
    <w:basedOn w:val="Ttulo1"/>
    <w:next w:val="Normal"/>
    <w:uiPriority w:val="39"/>
    <w:unhideWhenUsed/>
    <w:qFormat/>
    <w:rsid w:val="00783CB4"/>
    <w:pPr>
      <w:keepLines/>
      <w:tabs>
        <w:tab w:val="right" w:pos="851"/>
      </w:tabs>
      <w:kinsoku w:val="0"/>
      <w:overflowPunct w:val="0"/>
      <w:autoSpaceDE w:val="0"/>
      <w:autoSpaceDN w:val="0"/>
      <w:adjustRightInd w:val="0"/>
      <w:snapToGrid w:val="0"/>
      <w:spacing w:before="480" w:after="240" w:line="276" w:lineRule="auto"/>
      <w:ind w:left="0" w:hanging="1134"/>
      <w:jc w:val="left"/>
      <w:outlineLvl w:val="9"/>
    </w:pPr>
    <w:rPr>
      <w:rFonts w:ascii="Calibri" w:eastAsia="MS Gothic" w:hAnsi="Calibri" w:cs="Times New Roman"/>
      <w:color w:val="365F91"/>
      <w:sz w:val="28"/>
      <w:szCs w:val="28"/>
      <w:lang w:val="de-DE" w:eastAsia="de-DE"/>
    </w:rPr>
  </w:style>
  <w:style w:type="paragraph" w:styleId="TDC1">
    <w:name w:val="toc 1"/>
    <w:basedOn w:val="Normal"/>
    <w:next w:val="Normal"/>
    <w:autoRedefine/>
    <w:uiPriority w:val="39"/>
    <w:qFormat/>
    <w:rsid w:val="00783CB4"/>
    <w:pPr>
      <w:suppressAutoHyphens/>
      <w:spacing w:before="240" w:after="120"/>
    </w:pPr>
    <w:rPr>
      <w:rFonts w:ascii="Cambria" w:hAnsi="Cambria"/>
      <w:b/>
      <w:caps/>
      <w:sz w:val="22"/>
      <w:szCs w:val="22"/>
      <w:u w:val="single"/>
      <w:lang w:val="en-GB" w:eastAsia="en-US"/>
    </w:rPr>
  </w:style>
  <w:style w:type="paragraph" w:styleId="TDC2">
    <w:name w:val="toc 2"/>
    <w:basedOn w:val="Normal"/>
    <w:next w:val="Normal"/>
    <w:autoRedefine/>
    <w:uiPriority w:val="39"/>
    <w:qFormat/>
    <w:rsid w:val="00783CB4"/>
    <w:pPr>
      <w:suppressAutoHyphens/>
    </w:pPr>
    <w:rPr>
      <w:rFonts w:ascii="Cambria" w:hAnsi="Cambria"/>
      <w:b/>
      <w:smallCaps/>
      <w:sz w:val="22"/>
      <w:szCs w:val="22"/>
      <w:lang w:val="en-GB" w:eastAsia="en-US"/>
    </w:rPr>
  </w:style>
  <w:style w:type="paragraph" w:styleId="TDC3">
    <w:name w:val="toc 3"/>
    <w:basedOn w:val="Normal"/>
    <w:next w:val="Normal"/>
    <w:autoRedefine/>
    <w:uiPriority w:val="39"/>
    <w:qFormat/>
    <w:rsid w:val="00783CB4"/>
    <w:pPr>
      <w:suppressAutoHyphens/>
    </w:pPr>
    <w:rPr>
      <w:rFonts w:ascii="Cambria" w:hAnsi="Cambria"/>
      <w:smallCaps/>
      <w:sz w:val="22"/>
      <w:szCs w:val="22"/>
      <w:lang w:val="en-GB" w:eastAsia="en-US"/>
    </w:rPr>
  </w:style>
  <w:style w:type="paragraph" w:styleId="TDC4">
    <w:name w:val="toc 4"/>
    <w:basedOn w:val="Normal"/>
    <w:next w:val="Normal"/>
    <w:autoRedefine/>
    <w:rsid w:val="00783CB4"/>
    <w:pPr>
      <w:suppressAutoHyphens/>
    </w:pPr>
    <w:rPr>
      <w:rFonts w:ascii="Cambria" w:hAnsi="Cambria"/>
      <w:sz w:val="22"/>
      <w:szCs w:val="22"/>
      <w:lang w:val="en-GB" w:eastAsia="en-US"/>
    </w:rPr>
  </w:style>
  <w:style w:type="paragraph" w:styleId="TDC5">
    <w:name w:val="toc 5"/>
    <w:basedOn w:val="Normal"/>
    <w:next w:val="Normal"/>
    <w:autoRedefine/>
    <w:rsid w:val="00783CB4"/>
    <w:pPr>
      <w:suppressAutoHyphens/>
    </w:pPr>
    <w:rPr>
      <w:rFonts w:ascii="Cambria" w:hAnsi="Cambria"/>
      <w:sz w:val="22"/>
      <w:szCs w:val="22"/>
      <w:lang w:val="en-GB" w:eastAsia="en-US"/>
    </w:rPr>
  </w:style>
  <w:style w:type="paragraph" w:styleId="TDC6">
    <w:name w:val="toc 6"/>
    <w:basedOn w:val="Normal"/>
    <w:next w:val="Normal"/>
    <w:autoRedefine/>
    <w:rsid w:val="00783CB4"/>
    <w:pPr>
      <w:suppressAutoHyphens/>
    </w:pPr>
    <w:rPr>
      <w:rFonts w:ascii="Cambria" w:hAnsi="Cambria"/>
      <w:sz w:val="22"/>
      <w:szCs w:val="22"/>
      <w:lang w:val="en-GB" w:eastAsia="en-US"/>
    </w:rPr>
  </w:style>
  <w:style w:type="paragraph" w:styleId="TDC7">
    <w:name w:val="toc 7"/>
    <w:basedOn w:val="Normal"/>
    <w:next w:val="Normal"/>
    <w:autoRedefine/>
    <w:rsid w:val="00783CB4"/>
    <w:pPr>
      <w:suppressAutoHyphens/>
    </w:pPr>
    <w:rPr>
      <w:rFonts w:ascii="Cambria" w:hAnsi="Cambria"/>
      <w:sz w:val="22"/>
      <w:szCs w:val="22"/>
      <w:lang w:val="en-GB" w:eastAsia="en-US"/>
    </w:rPr>
  </w:style>
  <w:style w:type="paragraph" w:styleId="TDC8">
    <w:name w:val="toc 8"/>
    <w:basedOn w:val="Normal"/>
    <w:next w:val="Normal"/>
    <w:autoRedefine/>
    <w:rsid w:val="00783CB4"/>
    <w:pPr>
      <w:suppressAutoHyphens/>
    </w:pPr>
    <w:rPr>
      <w:rFonts w:ascii="Cambria" w:hAnsi="Cambria"/>
      <w:sz w:val="22"/>
      <w:szCs w:val="22"/>
      <w:lang w:val="en-GB" w:eastAsia="en-US"/>
    </w:rPr>
  </w:style>
  <w:style w:type="paragraph" w:styleId="TDC9">
    <w:name w:val="toc 9"/>
    <w:basedOn w:val="Normal"/>
    <w:next w:val="Normal"/>
    <w:autoRedefine/>
    <w:rsid w:val="00783CB4"/>
    <w:pPr>
      <w:suppressAutoHyphens/>
    </w:pPr>
    <w:rPr>
      <w:rFonts w:ascii="Cambria" w:hAnsi="Cambria"/>
      <w:sz w:val="22"/>
      <w:szCs w:val="22"/>
      <w:lang w:val="en-GB" w:eastAsia="en-US"/>
    </w:rPr>
  </w:style>
  <w:style w:type="character" w:customStyle="1" w:styleId="FirmadecorreoelectrnicoCar">
    <w:name w:val="Firma de correo electrónico Car"/>
    <w:basedOn w:val="Fuentedeprrafopredeter"/>
    <w:link w:val="Firmadecorreoelectrnico"/>
    <w:semiHidden/>
    <w:rsid w:val="00783CB4"/>
    <w:rPr>
      <w:lang w:val="es-ES" w:eastAsia="es-ES"/>
    </w:rPr>
  </w:style>
  <w:style w:type="character" w:customStyle="1" w:styleId="HTMLconformatoprevioCar">
    <w:name w:val="HTML con formato previo Car"/>
    <w:basedOn w:val="Fuentedeprrafopredeter"/>
    <w:link w:val="HTMLconformatoprevio"/>
    <w:semiHidden/>
    <w:rsid w:val="00783CB4"/>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783CB4"/>
    <w:rPr>
      <w:sz w:val="16"/>
      <w:lang w:val="es-ES" w:eastAsia="es-ES"/>
    </w:rPr>
  </w:style>
  <w:style w:type="character" w:customStyle="1" w:styleId="SaludoCar">
    <w:name w:val="Saludo Car"/>
    <w:basedOn w:val="Fuentedeprrafopredeter"/>
    <w:link w:val="Saludo"/>
    <w:semiHidden/>
    <w:rsid w:val="00783CB4"/>
    <w:rPr>
      <w:lang w:val="es-ES" w:eastAsia="es-ES"/>
    </w:rPr>
  </w:style>
  <w:style w:type="character" w:customStyle="1" w:styleId="Sangra2detindependienteCar">
    <w:name w:val="Sangría 2 de t. independiente Car"/>
    <w:basedOn w:val="Fuentedeprrafopredeter"/>
    <w:link w:val="Sangra2detindependiente"/>
    <w:semiHidden/>
    <w:rsid w:val="00783CB4"/>
    <w:rPr>
      <w:lang w:val="es-ES" w:eastAsia="es-ES"/>
    </w:rPr>
  </w:style>
  <w:style w:type="character" w:customStyle="1" w:styleId="Sangra3detindependienteCar">
    <w:name w:val="Sangría 3 de t. independiente Car"/>
    <w:basedOn w:val="Fuentedeprrafopredeter"/>
    <w:link w:val="Sangra3detindependiente"/>
    <w:semiHidden/>
    <w:rsid w:val="00783CB4"/>
    <w:rPr>
      <w:sz w:val="16"/>
      <w:szCs w:val="16"/>
      <w:lang w:val="es-ES" w:eastAsia="es-ES"/>
    </w:rPr>
  </w:style>
  <w:style w:type="character" w:customStyle="1" w:styleId="SangradetextonormalCar">
    <w:name w:val="Sangría de texto normal Car"/>
    <w:basedOn w:val="Fuentedeprrafopredeter"/>
    <w:link w:val="Sangradetextonormal"/>
    <w:semiHidden/>
    <w:rsid w:val="00783CB4"/>
    <w:rPr>
      <w:lang w:val="es-ES" w:eastAsia="es-ES"/>
    </w:rPr>
  </w:style>
  <w:style w:type="character" w:customStyle="1" w:styleId="SubttuloCar">
    <w:name w:val="Subtítulo Car"/>
    <w:basedOn w:val="Fuentedeprrafopredeter"/>
    <w:link w:val="Subttulo"/>
    <w:semiHidden/>
    <w:rsid w:val="00783CB4"/>
    <w:rPr>
      <w:rFonts w:ascii="Arial" w:hAnsi="Arial" w:cs="Arial"/>
      <w:sz w:val="24"/>
      <w:szCs w:val="24"/>
      <w:lang w:val="es-ES" w:eastAsia="es-ES"/>
    </w:rPr>
  </w:style>
  <w:style w:type="character" w:customStyle="1" w:styleId="Textoindependiente2Car">
    <w:name w:val="Texto independiente 2 Car"/>
    <w:basedOn w:val="Fuentedeprrafopredeter"/>
    <w:link w:val="Textoindependiente2"/>
    <w:semiHidden/>
    <w:rsid w:val="00783CB4"/>
    <w:rPr>
      <w:lang w:val="es-ES" w:eastAsia="es-ES"/>
    </w:rPr>
  </w:style>
  <w:style w:type="character" w:customStyle="1" w:styleId="Textoindependiente3Car">
    <w:name w:val="Texto independiente 3 Car"/>
    <w:basedOn w:val="Fuentedeprrafopredeter"/>
    <w:link w:val="Textoindependiente3"/>
    <w:semiHidden/>
    <w:rsid w:val="00783CB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83CB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83CB4"/>
    <w:rPr>
      <w:lang w:val="es-ES" w:eastAsia="es-ES"/>
    </w:rPr>
  </w:style>
  <w:style w:type="character" w:customStyle="1" w:styleId="TextonotaalfinalCar">
    <w:name w:val="Texto nota al final Car"/>
    <w:aliases w:val="2_G Car"/>
    <w:basedOn w:val="Fuentedeprrafopredeter"/>
    <w:link w:val="Textonotaalfinal"/>
    <w:rsid w:val="00783CB4"/>
    <w:rPr>
      <w:sz w:val="18"/>
      <w:lang w:val="es-ES" w:eastAsia="es-ES"/>
    </w:rPr>
  </w:style>
  <w:style w:type="character" w:customStyle="1" w:styleId="TextosinformatoCar">
    <w:name w:val="Texto sin formato Car"/>
    <w:basedOn w:val="Fuentedeprrafopredeter"/>
    <w:link w:val="Textosinformato"/>
    <w:semiHidden/>
    <w:rsid w:val="00783CB4"/>
    <w:rPr>
      <w:rFonts w:ascii="Courier New" w:hAnsi="Courier New" w:cs="Courier New"/>
      <w:lang w:val="es-ES" w:eastAsia="es-ES"/>
    </w:rPr>
  </w:style>
  <w:style w:type="character" w:customStyle="1" w:styleId="TtuloCar">
    <w:name w:val="Título Car"/>
    <w:basedOn w:val="Fuentedeprrafopredeter"/>
    <w:link w:val="Ttulo"/>
    <w:semiHidden/>
    <w:rsid w:val="00783CB4"/>
    <w:rPr>
      <w:rFonts w:ascii="Arial" w:hAnsi="Arial" w:cs="Arial"/>
      <w:b/>
      <w:bCs/>
      <w:kern w:val="28"/>
      <w:sz w:val="32"/>
      <w:szCs w:val="32"/>
      <w:lang w:val="es-ES" w:eastAsia="es-ES"/>
    </w:rPr>
  </w:style>
  <w:style w:type="character" w:customStyle="1" w:styleId="SingleTxtGChar">
    <w:name w:val="_ Single Txt_G Char"/>
    <w:link w:val="SingleTxtG"/>
    <w:rsid w:val="00783CB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7A8CE-DEC4-4B59-9F52-8EAEF3D8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27</Pages>
  <Words>12690</Words>
  <Characters>69801</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CAT/OP/UKR/3</vt:lpstr>
    </vt:vector>
  </TitlesOfParts>
  <Company/>
  <LinksUpToDate>false</LinksUpToDate>
  <CharactersWithSpaces>82327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CAT/OP/UKR/3</dc:title>
  <dc:subject/>
  <dc:creator>Mabel PARADA</dc:creator>
  <cp:keywords/>
  <cp:lastModifiedBy>Maria  DE LA PLAZA</cp:lastModifiedBy>
  <cp:revision>3</cp:revision>
  <cp:lastPrinted>2017-06-08T09:22:00Z</cp:lastPrinted>
  <dcterms:created xsi:type="dcterms:W3CDTF">2017-06-08T09:22:00Z</dcterms:created>
  <dcterms:modified xsi:type="dcterms:W3CDTF">2017-06-08T09:23:00Z</dcterms:modified>
</cp:coreProperties>
</file>