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6B3E27" w:rsidRPr="00DB7679" w:rsidTr="009E247B">
        <w:trPr>
          <w:trHeight w:hRule="exact" w:val="810"/>
        </w:trPr>
        <w:tc>
          <w:tcPr>
            <w:tcW w:w="1274" w:type="dxa"/>
            <w:tcBorders>
              <w:top w:val="nil"/>
              <w:bottom w:val="single" w:sz="4" w:space="0" w:color="auto"/>
            </w:tcBorders>
          </w:tcPr>
          <w:p w:rsidR="006B3E27" w:rsidRPr="00983870" w:rsidRDefault="006B3E27" w:rsidP="00DC1D29">
            <w:pPr>
              <w:bidi w:val="0"/>
              <w:jc w:val="right"/>
            </w:pPr>
          </w:p>
        </w:tc>
        <w:tc>
          <w:tcPr>
            <w:tcW w:w="4767" w:type="dxa"/>
            <w:tcBorders>
              <w:top w:val="nil"/>
              <w:bottom w:val="single" w:sz="4" w:space="0" w:color="auto"/>
            </w:tcBorders>
            <w:vAlign w:val="bottom"/>
          </w:tcPr>
          <w:p w:rsidR="006B3E27" w:rsidRPr="00DB7679" w:rsidRDefault="006B3E27" w:rsidP="00DC1D29">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1723DD" w:rsidP="009E247B">
            <w:pPr>
              <w:bidi w:val="0"/>
              <w:spacing w:after="20"/>
              <w:jc w:val="left"/>
              <w:rPr>
                <w:szCs w:val="20"/>
              </w:rPr>
            </w:pPr>
            <w:r w:rsidRPr="001723DD">
              <w:rPr>
                <w:sz w:val="40"/>
                <w:szCs w:val="20"/>
              </w:rPr>
              <w:t>CAT</w:t>
            </w:r>
            <w:r>
              <w:rPr>
                <w:szCs w:val="20"/>
              </w:rPr>
              <w:t>/C/55/D/530/2012</w:t>
            </w:r>
          </w:p>
        </w:tc>
      </w:tr>
      <w:tr w:rsidR="009E247B" w:rsidRPr="00DB7679" w:rsidTr="009E247B">
        <w:trPr>
          <w:trHeight w:hRule="exact" w:val="2835"/>
        </w:trPr>
        <w:tc>
          <w:tcPr>
            <w:tcW w:w="1274" w:type="dxa"/>
            <w:tcBorders>
              <w:top w:val="single" w:sz="4" w:space="0" w:color="auto"/>
              <w:bottom w:val="single" w:sz="12" w:space="0" w:color="auto"/>
            </w:tcBorders>
          </w:tcPr>
          <w:p w:rsidR="009E247B" w:rsidRPr="00DB7679" w:rsidRDefault="009E247B" w:rsidP="006E21AE">
            <w:pPr>
              <w:jc w:val="center"/>
              <w:rPr>
                <w:rtl/>
              </w:rPr>
            </w:pPr>
            <w:r>
              <w:rPr>
                <w:noProof/>
              </w:rPr>
              <w:drawing>
                <wp:anchor distT="0" distB="0" distL="114300" distR="114300" simplePos="0" relativeHeight="251661312" behindDoc="1" locked="0" layoutInCell="1" allowOverlap="1" wp14:anchorId="5942D202" wp14:editId="737F7B6D">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single" w:sz="4" w:space="0" w:color="auto"/>
              <w:bottom w:val="single" w:sz="12" w:space="0" w:color="auto"/>
            </w:tcBorders>
          </w:tcPr>
          <w:p w:rsidR="009E247B" w:rsidRPr="00817373" w:rsidRDefault="009E247B" w:rsidP="006E21AE">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single" w:sz="4" w:space="0" w:color="auto"/>
              <w:bottom w:val="single" w:sz="12" w:space="0" w:color="auto"/>
            </w:tcBorders>
          </w:tcPr>
          <w:p w:rsidR="00C67BDF" w:rsidRPr="00C67BDF" w:rsidRDefault="00C67BDF" w:rsidP="00C67BDF">
            <w:pPr>
              <w:bidi w:val="0"/>
              <w:spacing w:before="240" w:line="240" w:lineRule="exact"/>
              <w:rPr>
                <w:rFonts w:cs="Times New Roman"/>
                <w:szCs w:val="20"/>
                <w:lang w:val="en-GB"/>
              </w:rPr>
            </w:pPr>
            <w:r w:rsidRPr="00C67BDF">
              <w:rPr>
                <w:rFonts w:cs="Times New Roman"/>
                <w:szCs w:val="20"/>
                <w:lang w:val="en-GB"/>
              </w:rPr>
              <w:t>Distr.: General</w:t>
            </w:r>
          </w:p>
          <w:p w:rsidR="00C67BDF" w:rsidRPr="00C67BDF" w:rsidRDefault="00C67BDF" w:rsidP="00C67BDF">
            <w:pPr>
              <w:suppressAutoHyphens/>
              <w:bidi w:val="0"/>
              <w:spacing w:line="240" w:lineRule="exact"/>
              <w:jc w:val="left"/>
              <w:rPr>
                <w:rFonts w:cs="Times New Roman"/>
                <w:szCs w:val="20"/>
                <w:lang w:val="en-GB"/>
              </w:rPr>
            </w:pPr>
            <w:r w:rsidRPr="00C67BDF">
              <w:rPr>
                <w:rFonts w:cs="Times New Roman"/>
                <w:szCs w:val="20"/>
                <w:lang w:val="en-GB"/>
              </w:rPr>
              <w:t>22 October 2015</w:t>
            </w:r>
          </w:p>
          <w:p w:rsidR="00C67BDF" w:rsidRPr="00C67BDF" w:rsidRDefault="00E15E73" w:rsidP="00C67BDF">
            <w:pPr>
              <w:suppressAutoHyphens/>
              <w:bidi w:val="0"/>
              <w:spacing w:line="240" w:lineRule="exact"/>
              <w:jc w:val="left"/>
              <w:rPr>
                <w:rFonts w:cs="Times New Roman"/>
                <w:szCs w:val="20"/>
                <w:lang w:val="en-GB"/>
              </w:rPr>
            </w:pPr>
            <w:r>
              <w:rPr>
                <w:rFonts w:cs="Times New Roman"/>
                <w:szCs w:val="20"/>
                <w:lang w:val="en-GB"/>
              </w:rPr>
              <w:t>Arabic</w:t>
            </w:r>
          </w:p>
          <w:p w:rsidR="00C67BDF" w:rsidRPr="00C67BDF" w:rsidRDefault="00C67BDF" w:rsidP="00C67BDF">
            <w:pPr>
              <w:suppressAutoHyphens/>
              <w:bidi w:val="0"/>
              <w:spacing w:line="240" w:lineRule="exact"/>
              <w:jc w:val="left"/>
              <w:rPr>
                <w:rFonts w:cs="Times New Roman"/>
                <w:szCs w:val="20"/>
                <w:lang w:val="en-GB"/>
              </w:rPr>
            </w:pPr>
            <w:r w:rsidRPr="00C67BDF">
              <w:rPr>
                <w:rFonts w:cs="Times New Roman"/>
                <w:szCs w:val="20"/>
                <w:lang w:val="en-GB"/>
              </w:rPr>
              <w:t>Original: English</w:t>
            </w:r>
          </w:p>
          <w:p w:rsidR="009E247B" w:rsidRPr="008B4BC6" w:rsidRDefault="009E247B" w:rsidP="006E21AE">
            <w:pPr>
              <w:bidi w:val="0"/>
              <w:spacing w:before="240"/>
              <w:jc w:val="left"/>
            </w:pPr>
          </w:p>
        </w:tc>
      </w:tr>
    </w:tbl>
    <w:p w:rsidR="009E247B" w:rsidRPr="009E247B" w:rsidRDefault="009E247B" w:rsidP="009E247B">
      <w:pPr>
        <w:spacing w:before="120" w:line="380" w:lineRule="exact"/>
        <w:rPr>
          <w:b/>
          <w:bCs/>
          <w:sz w:val="26"/>
          <w:szCs w:val="36"/>
          <w:rtl/>
        </w:rPr>
      </w:pPr>
      <w:r w:rsidRPr="009E247B">
        <w:rPr>
          <w:b/>
          <w:bCs/>
          <w:sz w:val="26"/>
          <w:szCs w:val="36"/>
          <w:rtl/>
        </w:rPr>
        <w:t>لجنة مناهضة التعذيب</w:t>
      </w:r>
    </w:p>
    <w:p w:rsidR="009E247B" w:rsidRPr="007559C2" w:rsidRDefault="009E247B" w:rsidP="009E247B">
      <w:pPr>
        <w:pStyle w:val="HChGA"/>
        <w:rPr>
          <w:rtl/>
        </w:rPr>
      </w:pPr>
      <w:r w:rsidRPr="007559C2">
        <w:rPr>
          <w:rtl/>
        </w:rPr>
        <w:tab/>
      </w:r>
      <w:r w:rsidRPr="007559C2">
        <w:rPr>
          <w:rtl/>
        </w:rPr>
        <w:tab/>
        <w:t xml:space="preserve">البلاغ </w:t>
      </w:r>
      <w:r>
        <w:rPr>
          <w:rtl/>
        </w:rPr>
        <w:t>رقم </w:t>
      </w:r>
      <w:r w:rsidRPr="007559C2">
        <w:rPr>
          <w:rtl/>
        </w:rPr>
        <w:t>5</w:t>
      </w:r>
      <w:r>
        <w:rPr>
          <w:rFonts w:hint="cs"/>
          <w:rtl/>
        </w:rPr>
        <w:t>3</w:t>
      </w:r>
      <w:r w:rsidRPr="007559C2">
        <w:rPr>
          <w:rtl/>
        </w:rPr>
        <w:t>0/201</w:t>
      </w:r>
      <w:r>
        <w:rPr>
          <w:rFonts w:hint="cs"/>
          <w:rtl/>
        </w:rPr>
        <w:t>2</w:t>
      </w:r>
    </w:p>
    <w:p w:rsidR="009E247B" w:rsidRPr="007559C2" w:rsidRDefault="009E247B" w:rsidP="009E247B">
      <w:pPr>
        <w:pStyle w:val="H1GA"/>
        <w:rPr>
          <w:rtl/>
        </w:rPr>
      </w:pPr>
      <w:r w:rsidRPr="007559C2">
        <w:rPr>
          <w:rtl/>
        </w:rPr>
        <w:tab/>
      </w:r>
      <w:r w:rsidRPr="007559C2">
        <w:rPr>
          <w:rtl/>
        </w:rPr>
        <w:tab/>
        <w:t xml:space="preserve">قرار اعتمدته اللجنة في دورتها </w:t>
      </w:r>
      <w:r>
        <w:rPr>
          <w:rFonts w:hint="cs"/>
          <w:rtl/>
        </w:rPr>
        <w:t>الخامسة</w:t>
      </w:r>
      <w:r w:rsidRPr="007559C2">
        <w:rPr>
          <w:rtl/>
        </w:rPr>
        <w:t xml:space="preserve"> والخمسين </w:t>
      </w:r>
      <w:r>
        <w:rPr>
          <w:rFonts w:hint="cs"/>
          <w:rtl/>
        </w:rPr>
        <w:t>(27 تموز/يوليه</w:t>
      </w:r>
      <w:r w:rsidRPr="007559C2">
        <w:rPr>
          <w:rFonts w:hint="cs"/>
          <w:rtl/>
        </w:rPr>
        <w:t xml:space="preserve"> </w:t>
      </w:r>
      <w:r w:rsidRPr="007559C2">
        <w:rPr>
          <w:rtl/>
        </w:rPr>
        <w:t>-</w:t>
      </w:r>
      <w:r w:rsidRPr="007559C2">
        <w:rPr>
          <w:rFonts w:hint="cs"/>
          <w:rtl/>
        </w:rPr>
        <w:t xml:space="preserve"> </w:t>
      </w:r>
      <w:r w:rsidRPr="007559C2">
        <w:rPr>
          <w:rtl/>
        </w:rPr>
        <w:t>1</w:t>
      </w:r>
      <w:r>
        <w:rPr>
          <w:rFonts w:hint="cs"/>
          <w:rtl/>
        </w:rPr>
        <w:t>4</w:t>
      </w:r>
      <w:r w:rsidRPr="007559C2">
        <w:rPr>
          <w:rtl/>
        </w:rPr>
        <w:t xml:space="preserve"> </w:t>
      </w:r>
      <w:r>
        <w:rPr>
          <w:rFonts w:hint="cs"/>
          <w:rtl/>
        </w:rPr>
        <w:t>آب/أغسطس</w:t>
      </w:r>
      <w:r w:rsidRPr="007559C2">
        <w:rPr>
          <w:rtl/>
        </w:rPr>
        <w:t xml:space="preserve"> 2015</w:t>
      </w:r>
      <w:r>
        <w:rPr>
          <w:rFonts w:hint="cs"/>
          <w:rtl/>
        </w:rPr>
        <w:t>)</w:t>
      </w:r>
    </w:p>
    <w:p w:rsidR="009E247B" w:rsidRPr="0081790E" w:rsidRDefault="009E247B" w:rsidP="0081790E">
      <w:pPr>
        <w:pStyle w:val="SingleTxtGA"/>
        <w:tabs>
          <w:tab w:val="clear" w:pos="2608"/>
          <w:tab w:val="clear" w:pos="3289"/>
          <w:tab w:val="clear" w:pos="3969"/>
          <w:tab w:val="clear" w:pos="4649"/>
          <w:tab w:val="left" w:pos="4599"/>
        </w:tabs>
        <w:ind w:left="1928"/>
        <w:rPr>
          <w:spacing w:val="-8"/>
          <w:rtl/>
        </w:rPr>
      </w:pPr>
      <w:r w:rsidRPr="0081790E">
        <w:rPr>
          <w:i/>
          <w:iCs/>
          <w:spacing w:val="-8"/>
          <w:rtl/>
        </w:rPr>
        <w:t>المقدم من:</w:t>
      </w:r>
      <w:r w:rsidRPr="0081790E">
        <w:rPr>
          <w:spacing w:val="-8"/>
          <w:rtl/>
        </w:rPr>
        <w:tab/>
        <w:t xml:space="preserve">س. </w:t>
      </w:r>
      <w:proofErr w:type="spellStart"/>
      <w:r w:rsidRPr="0081790E">
        <w:rPr>
          <w:rFonts w:hint="cs"/>
          <w:spacing w:val="-8"/>
          <w:rtl/>
        </w:rPr>
        <w:t>وص</w:t>
      </w:r>
      <w:proofErr w:type="spellEnd"/>
      <w:r w:rsidRPr="0081790E">
        <w:rPr>
          <w:spacing w:val="-8"/>
          <w:rtl/>
        </w:rPr>
        <w:t>. و</w:t>
      </w:r>
      <w:r w:rsidRPr="0081790E">
        <w:rPr>
          <w:rFonts w:hint="cs"/>
          <w:spacing w:val="-8"/>
          <w:rtl/>
        </w:rPr>
        <w:t>ب</w:t>
      </w:r>
      <w:r w:rsidR="0081790E" w:rsidRPr="0081790E">
        <w:rPr>
          <w:rFonts w:hint="cs"/>
          <w:spacing w:val="-8"/>
          <w:rtl/>
        </w:rPr>
        <w:t>ن</w:t>
      </w:r>
      <w:r w:rsidRPr="0081790E">
        <w:rPr>
          <w:rFonts w:hint="cs"/>
          <w:spacing w:val="-8"/>
          <w:rtl/>
        </w:rPr>
        <w:t>تهما ع.</w:t>
      </w:r>
      <w:r w:rsidRPr="0081790E">
        <w:rPr>
          <w:spacing w:val="-8"/>
          <w:rtl/>
        </w:rPr>
        <w:t xml:space="preserve"> (</w:t>
      </w:r>
      <w:r w:rsidRPr="0081790E">
        <w:rPr>
          <w:rFonts w:hint="cs"/>
          <w:spacing w:val="-8"/>
          <w:rtl/>
        </w:rPr>
        <w:t>ت</w:t>
      </w:r>
      <w:r w:rsidRPr="0081790E">
        <w:rPr>
          <w:spacing w:val="-8"/>
          <w:rtl/>
        </w:rPr>
        <w:t>مثلهم المحام</w:t>
      </w:r>
      <w:r w:rsidRPr="0081790E">
        <w:rPr>
          <w:rFonts w:hint="cs"/>
          <w:spacing w:val="-8"/>
          <w:rtl/>
        </w:rPr>
        <w:t xml:space="preserve">ية </w:t>
      </w:r>
      <w:proofErr w:type="spellStart"/>
      <w:r w:rsidRPr="0081790E">
        <w:rPr>
          <w:rFonts w:hint="cs"/>
          <w:spacing w:val="-8"/>
          <w:rtl/>
        </w:rPr>
        <w:t>تاسيانا</w:t>
      </w:r>
      <w:proofErr w:type="spellEnd"/>
      <w:r w:rsidRPr="0081790E">
        <w:rPr>
          <w:rFonts w:hint="cs"/>
          <w:spacing w:val="-8"/>
          <w:rtl/>
        </w:rPr>
        <w:t xml:space="preserve"> </w:t>
      </w:r>
      <w:proofErr w:type="spellStart"/>
      <w:r w:rsidRPr="0081790E">
        <w:rPr>
          <w:rFonts w:hint="cs"/>
          <w:spacing w:val="-8"/>
          <w:rtl/>
        </w:rPr>
        <w:t>تورغوت</w:t>
      </w:r>
      <w:proofErr w:type="spellEnd"/>
      <w:r w:rsidRPr="0081790E">
        <w:rPr>
          <w:spacing w:val="-8"/>
          <w:rtl/>
        </w:rPr>
        <w:t>)</w:t>
      </w:r>
    </w:p>
    <w:p w:rsidR="009E247B" w:rsidRPr="007559C2" w:rsidRDefault="009E247B" w:rsidP="0081790E">
      <w:pPr>
        <w:pStyle w:val="SingleTxtGA"/>
        <w:tabs>
          <w:tab w:val="clear" w:pos="2608"/>
          <w:tab w:val="clear" w:pos="3289"/>
          <w:tab w:val="clear" w:pos="3969"/>
          <w:tab w:val="clear" w:pos="4649"/>
          <w:tab w:val="left" w:pos="4599"/>
        </w:tabs>
        <w:ind w:left="1928"/>
        <w:rPr>
          <w:rtl/>
        </w:rPr>
      </w:pPr>
      <w:r w:rsidRPr="009E247B">
        <w:rPr>
          <w:i/>
          <w:iCs/>
          <w:rtl/>
        </w:rPr>
        <w:t>الأشخاص المدَّعى أنهم ضحايا:</w:t>
      </w:r>
      <w:r w:rsidRPr="007559C2">
        <w:rPr>
          <w:rtl/>
        </w:rPr>
        <w:tab/>
        <w:t>أصحاب الشكوى</w:t>
      </w:r>
    </w:p>
    <w:p w:rsidR="009E247B" w:rsidRPr="007559C2" w:rsidRDefault="009E247B" w:rsidP="0081790E">
      <w:pPr>
        <w:pStyle w:val="SingleTxtGA"/>
        <w:tabs>
          <w:tab w:val="clear" w:pos="2608"/>
          <w:tab w:val="clear" w:pos="3289"/>
          <w:tab w:val="clear" w:pos="3969"/>
          <w:tab w:val="clear" w:pos="4649"/>
          <w:tab w:val="left" w:pos="4599"/>
        </w:tabs>
        <w:ind w:left="1928"/>
      </w:pPr>
      <w:r w:rsidRPr="009E247B">
        <w:rPr>
          <w:i/>
          <w:iCs/>
          <w:rtl/>
        </w:rPr>
        <w:t>الدولة الطرف:</w:t>
      </w:r>
      <w:r w:rsidRPr="007559C2">
        <w:rPr>
          <w:rtl/>
        </w:rPr>
        <w:tab/>
        <w:t>السويد</w:t>
      </w:r>
    </w:p>
    <w:p w:rsidR="009E247B" w:rsidRPr="009E247B" w:rsidRDefault="009E247B" w:rsidP="0081790E">
      <w:pPr>
        <w:pStyle w:val="SingleTxtGA"/>
        <w:tabs>
          <w:tab w:val="clear" w:pos="2608"/>
          <w:tab w:val="clear" w:pos="3289"/>
          <w:tab w:val="clear" w:pos="3969"/>
          <w:tab w:val="clear" w:pos="4649"/>
          <w:tab w:val="left" w:pos="4599"/>
        </w:tabs>
        <w:ind w:left="1928"/>
        <w:rPr>
          <w:spacing w:val="-6"/>
        </w:rPr>
      </w:pPr>
      <w:r w:rsidRPr="009E247B">
        <w:rPr>
          <w:i/>
          <w:iCs/>
          <w:spacing w:val="-6"/>
          <w:rtl/>
        </w:rPr>
        <w:t>تاريخ تقديم الشكوى:</w:t>
      </w:r>
      <w:r w:rsidRPr="009E247B">
        <w:rPr>
          <w:spacing w:val="-6"/>
          <w:rtl/>
        </w:rPr>
        <w:tab/>
      </w:r>
      <w:r w:rsidRPr="009E247B">
        <w:rPr>
          <w:rFonts w:hint="cs"/>
          <w:spacing w:val="-6"/>
          <w:rtl/>
        </w:rPr>
        <w:t>9 تشرين الثاني/نوفمبر 2012</w:t>
      </w:r>
      <w:r w:rsidRPr="009E247B">
        <w:rPr>
          <w:spacing w:val="-6"/>
          <w:rtl/>
        </w:rPr>
        <w:t xml:space="preserve"> (تاريخ الرسال</w:t>
      </w:r>
      <w:bookmarkStart w:id="0" w:name="_GoBack"/>
      <w:bookmarkEnd w:id="0"/>
      <w:r w:rsidRPr="009E247B">
        <w:rPr>
          <w:spacing w:val="-6"/>
          <w:rtl/>
        </w:rPr>
        <w:t>ة الأولى)</w:t>
      </w:r>
    </w:p>
    <w:p w:rsidR="009E247B" w:rsidRPr="007559C2" w:rsidRDefault="009E247B" w:rsidP="0081790E">
      <w:pPr>
        <w:pStyle w:val="SingleTxtGA"/>
        <w:tabs>
          <w:tab w:val="clear" w:pos="2608"/>
          <w:tab w:val="clear" w:pos="3289"/>
          <w:tab w:val="clear" w:pos="3969"/>
          <w:tab w:val="clear" w:pos="4649"/>
          <w:tab w:val="left" w:pos="4599"/>
        </w:tabs>
        <w:ind w:left="1928"/>
        <w:rPr>
          <w:rtl/>
        </w:rPr>
      </w:pPr>
      <w:r w:rsidRPr="009E247B">
        <w:rPr>
          <w:i/>
          <w:iCs/>
          <w:rtl/>
        </w:rPr>
        <w:t>تاريخ صدور القرار الحالي:</w:t>
      </w:r>
      <w:r w:rsidRPr="007559C2">
        <w:rPr>
          <w:rtl/>
        </w:rPr>
        <w:tab/>
      </w:r>
      <w:r>
        <w:rPr>
          <w:rFonts w:hint="cs"/>
          <w:rtl/>
        </w:rPr>
        <w:t>4 آب/أغسطس</w:t>
      </w:r>
      <w:r w:rsidRPr="007559C2">
        <w:rPr>
          <w:rtl/>
        </w:rPr>
        <w:t xml:space="preserve"> 2015</w:t>
      </w:r>
    </w:p>
    <w:p w:rsidR="009E247B" w:rsidRPr="007559C2" w:rsidRDefault="009E247B" w:rsidP="0081790E">
      <w:pPr>
        <w:pStyle w:val="SingleTxtGA"/>
        <w:tabs>
          <w:tab w:val="clear" w:pos="2608"/>
          <w:tab w:val="clear" w:pos="3289"/>
          <w:tab w:val="clear" w:pos="3969"/>
          <w:tab w:val="clear" w:pos="4649"/>
          <w:tab w:val="left" w:pos="4599"/>
        </w:tabs>
        <w:ind w:left="1928"/>
        <w:rPr>
          <w:rtl/>
        </w:rPr>
      </w:pPr>
      <w:r w:rsidRPr="007559C2">
        <w:rPr>
          <w:i/>
          <w:iCs/>
          <w:rtl/>
        </w:rPr>
        <w:t>الموضوع</w:t>
      </w:r>
      <w:r w:rsidRPr="007559C2">
        <w:rPr>
          <w:iCs/>
          <w:rtl/>
        </w:rPr>
        <w:t>:</w:t>
      </w:r>
      <w:r w:rsidRPr="007559C2">
        <w:rPr>
          <w:iCs/>
          <w:rtl/>
        </w:rPr>
        <w:tab/>
      </w:r>
      <w:r w:rsidRPr="007559C2">
        <w:rPr>
          <w:rtl/>
        </w:rPr>
        <w:t xml:space="preserve">الإبعاد إلى </w:t>
      </w:r>
      <w:r>
        <w:rPr>
          <w:rFonts w:hint="cs"/>
          <w:rtl/>
        </w:rPr>
        <w:t>بيلاروس</w:t>
      </w:r>
    </w:p>
    <w:p w:rsidR="009E247B" w:rsidRPr="007559C2" w:rsidRDefault="009E247B" w:rsidP="0081790E">
      <w:pPr>
        <w:pStyle w:val="SingleTxtGA"/>
        <w:tabs>
          <w:tab w:val="clear" w:pos="2608"/>
          <w:tab w:val="clear" w:pos="3289"/>
          <w:tab w:val="clear" w:pos="3969"/>
          <w:tab w:val="clear" w:pos="4649"/>
          <w:tab w:val="left" w:pos="4599"/>
        </w:tabs>
        <w:ind w:left="1928"/>
        <w:rPr>
          <w:rtl/>
        </w:rPr>
      </w:pPr>
      <w:r w:rsidRPr="007559C2">
        <w:rPr>
          <w:i/>
          <w:iCs/>
          <w:rtl/>
        </w:rPr>
        <w:t>المسألة الإجرائية</w:t>
      </w:r>
      <w:r w:rsidRPr="007559C2">
        <w:rPr>
          <w:iCs/>
          <w:rtl/>
        </w:rPr>
        <w:t>:</w:t>
      </w:r>
      <w:r w:rsidRPr="007559C2">
        <w:rPr>
          <w:iCs/>
          <w:rtl/>
        </w:rPr>
        <w:tab/>
      </w:r>
      <w:r w:rsidRPr="007559C2">
        <w:rPr>
          <w:rtl/>
        </w:rPr>
        <w:t>عدم إثبات الادعاء ب</w:t>
      </w:r>
      <w:r>
        <w:rPr>
          <w:rFonts w:hint="cs"/>
          <w:rtl/>
        </w:rPr>
        <w:t>ال</w:t>
      </w:r>
      <w:r w:rsidRPr="007559C2">
        <w:rPr>
          <w:rtl/>
        </w:rPr>
        <w:t>أدلة</w:t>
      </w:r>
    </w:p>
    <w:p w:rsidR="009E247B" w:rsidRPr="009E247B" w:rsidRDefault="009E247B" w:rsidP="0081790E">
      <w:pPr>
        <w:pStyle w:val="SingleTxtGA"/>
        <w:tabs>
          <w:tab w:val="clear" w:pos="2608"/>
          <w:tab w:val="clear" w:pos="3289"/>
          <w:tab w:val="clear" w:pos="3969"/>
          <w:tab w:val="clear" w:pos="4649"/>
          <w:tab w:val="left" w:pos="4599"/>
        </w:tabs>
        <w:ind w:left="1928"/>
        <w:rPr>
          <w:spacing w:val="-4"/>
        </w:rPr>
      </w:pPr>
      <w:r w:rsidRPr="009E247B">
        <w:rPr>
          <w:i/>
          <w:iCs/>
          <w:spacing w:val="-4"/>
          <w:rtl/>
        </w:rPr>
        <w:t>المسألة الموضوعية</w:t>
      </w:r>
      <w:r w:rsidRPr="009E247B">
        <w:rPr>
          <w:iCs/>
          <w:spacing w:val="-4"/>
          <w:rtl/>
        </w:rPr>
        <w:t>:</w:t>
      </w:r>
      <w:r w:rsidRPr="009E247B">
        <w:rPr>
          <w:iCs/>
          <w:spacing w:val="-4"/>
          <w:rtl/>
        </w:rPr>
        <w:tab/>
      </w:r>
      <w:r w:rsidRPr="009E247B">
        <w:rPr>
          <w:spacing w:val="-4"/>
          <w:rtl/>
        </w:rPr>
        <w:t>خطر التعرّض للتعذيب بعد العودة إلى البلد الأصلي</w:t>
      </w:r>
    </w:p>
    <w:p w:rsidR="009E247B" w:rsidRPr="007559C2" w:rsidRDefault="009E247B" w:rsidP="0081790E">
      <w:pPr>
        <w:pStyle w:val="SingleTxtGA"/>
        <w:tabs>
          <w:tab w:val="clear" w:pos="2608"/>
          <w:tab w:val="clear" w:pos="3289"/>
          <w:tab w:val="clear" w:pos="3969"/>
          <w:tab w:val="clear" w:pos="4649"/>
          <w:tab w:val="left" w:pos="4599"/>
        </w:tabs>
        <w:ind w:left="1928"/>
        <w:rPr>
          <w:rtl/>
        </w:rPr>
      </w:pPr>
      <w:r w:rsidRPr="009E247B">
        <w:rPr>
          <w:i/>
          <w:iCs/>
          <w:rtl/>
        </w:rPr>
        <w:t>مادة الاتفاقية:</w:t>
      </w:r>
      <w:r w:rsidRPr="007559C2">
        <w:rPr>
          <w:rtl/>
        </w:rPr>
        <w:tab/>
        <w:t>المادة 3</w:t>
      </w:r>
    </w:p>
    <w:p w:rsidR="009E247B" w:rsidRPr="007559C2" w:rsidRDefault="009E247B" w:rsidP="009E247B">
      <w:pPr>
        <w:pStyle w:val="HChGA"/>
        <w:pageBreakBefore/>
        <w:spacing w:before="120"/>
        <w:rPr>
          <w:rtl/>
        </w:rPr>
      </w:pPr>
      <w:r w:rsidRPr="007559C2">
        <w:rPr>
          <w:rtl/>
        </w:rPr>
        <w:lastRenderedPageBreak/>
        <w:t>المرفق</w:t>
      </w:r>
    </w:p>
    <w:p w:rsidR="009E247B" w:rsidRPr="007559C2" w:rsidRDefault="009E247B" w:rsidP="009E247B">
      <w:pPr>
        <w:pStyle w:val="HChGA"/>
        <w:rPr>
          <w:rtl/>
        </w:rPr>
      </w:pPr>
      <w:r w:rsidRPr="007559C2">
        <w:rPr>
          <w:rtl/>
        </w:rPr>
        <w:tab/>
      </w:r>
      <w:r w:rsidRPr="007559C2">
        <w:rPr>
          <w:rtl/>
        </w:rPr>
        <w:tab/>
        <w:t>قرار اعتمدته لجنة مناهضة التعذيب بموجب المادة 22 من اتفاقية مناهضة التعذيب وغـيره من ضروب المعاملة</w:t>
      </w:r>
      <w:r>
        <w:rPr>
          <w:rtl/>
        </w:rPr>
        <w:t xml:space="preserve"> أو </w:t>
      </w:r>
      <w:r w:rsidRPr="007559C2">
        <w:rPr>
          <w:rtl/>
        </w:rPr>
        <w:t>العقوبة القاسية</w:t>
      </w:r>
      <w:r>
        <w:rPr>
          <w:rtl/>
        </w:rPr>
        <w:t xml:space="preserve"> أو </w:t>
      </w:r>
      <w:r w:rsidRPr="007559C2">
        <w:rPr>
          <w:rtl/>
        </w:rPr>
        <w:t>اللاإنسانية</w:t>
      </w:r>
      <w:r>
        <w:rPr>
          <w:rtl/>
        </w:rPr>
        <w:t xml:space="preserve"> أو </w:t>
      </w:r>
      <w:r w:rsidRPr="007559C2">
        <w:rPr>
          <w:rtl/>
        </w:rPr>
        <w:t xml:space="preserve">المهينة </w:t>
      </w:r>
      <w:r w:rsidRPr="00E15E73">
        <w:rPr>
          <w:b w:val="0"/>
          <w:bCs w:val="0"/>
          <w:rtl/>
        </w:rPr>
        <w:t xml:space="preserve">(الدورة </w:t>
      </w:r>
      <w:r w:rsidRPr="00E15E73">
        <w:rPr>
          <w:rFonts w:hint="cs"/>
          <w:b w:val="0"/>
          <w:bCs w:val="0"/>
          <w:rtl/>
        </w:rPr>
        <w:t>الخامسة</w:t>
      </w:r>
      <w:r w:rsidRPr="00E15E73">
        <w:rPr>
          <w:b w:val="0"/>
          <w:bCs w:val="0"/>
          <w:rtl/>
        </w:rPr>
        <w:t xml:space="preserve"> </w:t>
      </w:r>
      <w:r w:rsidRPr="00E15E73">
        <w:rPr>
          <w:rFonts w:hint="cs"/>
          <w:b w:val="0"/>
          <w:bCs w:val="0"/>
          <w:rtl/>
        </w:rPr>
        <w:t>و</w:t>
      </w:r>
      <w:r w:rsidRPr="00E15E73">
        <w:rPr>
          <w:b w:val="0"/>
          <w:bCs w:val="0"/>
          <w:rtl/>
        </w:rPr>
        <w:t>الخمسون)</w:t>
      </w:r>
    </w:p>
    <w:p w:rsidR="009E247B" w:rsidRPr="007559C2" w:rsidRDefault="009E247B" w:rsidP="009E247B">
      <w:pPr>
        <w:pStyle w:val="SingleTxtGA"/>
        <w:rPr>
          <w:rtl/>
        </w:rPr>
      </w:pPr>
      <w:r w:rsidRPr="007559C2">
        <w:rPr>
          <w:rtl/>
        </w:rPr>
        <w:t>بشأن</w:t>
      </w:r>
    </w:p>
    <w:p w:rsidR="009E247B" w:rsidRPr="007559C2" w:rsidRDefault="009E247B" w:rsidP="009E247B">
      <w:pPr>
        <w:pStyle w:val="H1GA"/>
        <w:rPr>
          <w:vertAlign w:val="superscript"/>
          <w:rtl/>
        </w:rPr>
      </w:pPr>
      <w:r w:rsidRPr="007559C2">
        <w:rPr>
          <w:rFonts w:hint="cs"/>
          <w:rtl/>
        </w:rPr>
        <w:tab/>
      </w:r>
      <w:r w:rsidRPr="007559C2">
        <w:rPr>
          <w:rFonts w:hint="cs"/>
          <w:rtl/>
        </w:rPr>
        <w:tab/>
      </w:r>
      <w:r w:rsidRPr="007559C2">
        <w:rPr>
          <w:rtl/>
        </w:rPr>
        <w:t xml:space="preserve">البلاغ </w:t>
      </w:r>
      <w:r>
        <w:rPr>
          <w:rtl/>
        </w:rPr>
        <w:t>رقم </w:t>
      </w:r>
      <w:r w:rsidRPr="007559C2">
        <w:rPr>
          <w:rtl/>
        </w:rPr>
        <w:t>5</w:t>
      </w:r>
      <w:r>
        <w:rPr>
          <w:rFonts w:hint="cs"/>
          <w:rtl/>
        </w:rPr>
        <w:t>3</w:t>
      </w:r>
      <w:r w:rsidRPr="007559C2">
        <w:rPr>
          <w:rtl/>
        </w:rPr>
        <w:t>0/201</w:t>
      </w:r>
      <w:r>
        <w:rPr>
          <w:rFonts w:hint="cs"/>
          <w:rtl/>
        </w:rPr>
        <w:t>2</w:t>
      </w:r>
      <w:r w:rsidRPr="007559C2">
        <w:rPr>
          <w:szCs w:val="30"/>
          <w:rtl/>
        </w:rPr>
        <w:footnoteReference w:customMarkFollows="1" w:id="1"/>
        <w:t>*</w:t>
      </w:r>
    </w:p>
    <w:p w:rsidR="009E247B" w:rsidRPr="009E247B" w:rsidRDefault="009E247B" w:rsidP="009E247B">
      <w:pPr>
        <w:pStyle w:val="SingleTxtGA"/>
        <w:tabs>
          <w:tab w:val="clear" w:pos="2608"/>
          <w:tab w:val="clear" w:pos="3289"/>
          <w:tab w:val="clear" w:pos="3969"/>
          <w:tab w:val="clear" w:pos="4649"/>
          <w:tab w:val="left" w:pos="4536"/>
        </w:tabs>
        <w:ind w:left="1928"/>
        <w:rPr>
          <w:spacing w:val="-7"/>
          <w:rtl/>
        </w:rPr>
      </w:pPr>
      <w:r w:rsidRPr="009E247B">
        <w:rPr>
          <w:i/>
          <w:iCs/>
          <w:spacing w:val="-7"/>
          <w:rtl/>
        </w:rPr>
        <w:t>المقدم من:</w:t>
      </w:r>
      <w:r w:rsidRPr="009E247B">
        <w:rPr>
          <w:spacing w:val="-7"/>
          <w:rtl/>
        </w:rPr>
        <w:tab/>
        <w:t xml:space="preserve">س. </w:t>
      </w:r>
      <w:proofErr w:type="spellStart"/>
      <w:r w:rsidRPr="009E247B">
        <w:rPr>
          <w:rFonts w:hint="cs"/>
          <w:spacing w:val="-7"/>
          <w:rtl/>
        </w:rPr>
        <w:t>وص</w:t>
      </w:r>
      <w:proofErr w:type="spellEnd"/>
      <w:r w:rsidRPr="009E247B">
        <w:rPr>
          <w:spacing w:val="-7"/>
          <w:rtl/>
        </w:rPr>
        <w:t>. و</w:t>
      </w:r>
      <w:r w:rsidRPr="009E247B">
        <w:rPr>
          <w:rFonts w:hint="cs"/>
          <w:spacing w:val="-7"/>
          <w:rtl/>
        </w:rPr>
        <w:t>بنتهما ع.</w:t>
      </w:r>
      <w:r w:rsidRPr="009E247B">
        <w:rPr>
          <w:spacing w:val="-7"/>
          <w:rtl/>
        </w:rPr>
        <w:t xml:space="preserve"> (</w:t>
      </w:r>
      <w:r w:rsidRPr="009E247B">
        <w:rPr>
          <w:rFonts w:hint="cs"/>
          <w:spacing w:val="-7"/>
          <w:rtl/>
        </w:rPr>
        <w:t>ت</w:t>
      </w:r>
      <w:r w:rsidRPr="009E247B">
        <w:rPr>
          <w:spacing w:val="-7"/>
          <w:rtl/>
        </w:rPr>
        <w:t>مثلهم المحام</w:t>
      </w:r>
      <w:r w:rsidRPr="009E247B">
        <w:rPr>
          <w:rFonts w:hint="cs"/>
          <w:spacing w:val="-7"/>
          <w:rtl/>
        </w:rPr>
        <w:t xml:space="preserve">ية </w:t>
      </w:r>
      <w:proofErr w:type="spellStart"/>
      <w:r w:rsidRPr="009E247B">
        <w:rPr>
          <w:rFonts w:hint="cs"/>
          <w:spacing w:val="-7"/>
          <w:rtl/>
        </w:rPr>
        <w:t>تاسيانا</w:t>
      </w:r>
      <w:proofErr w:type="spellEnd"/>
      <w:r w:rsidRPr="009E247B">
        <w:rPr>
          <w:rFonts w:hint="cs"/>
          <w:spacing w:val="-7"/>
          <w:rtl/>
        </w:rPr>
        <w:t xml:space="preserve"> </w:t>
      </w:r>
      <w:proofErr w:type="spellStart"/>
      <w:r w:rsidRPr="009E247B">
        <w:rPr>
          <w:rFonts w:hint="cs"/>
          <w:spacing w:val="-7"/>
          <w:rtl/>
        </w:rPr>
        <w:t>تورغوت</w:t>
      </w:r>
      <w:proofErr w:type="spellEnd"/>
      <w:r w:rsidRPr="009E247B">
        <w:rPr>
          <w:spacing w:val="-7"/>
          <w:rtl/>
        </w:rPr>
        <w:t>)</w:t>
      </w:r>
    </w:p>
    <w:p w:rsidR="009E247B" w:rsidRPr="007559C2" w:rsidRDefault="009E247B" w:rsidP="009E247B">
      <w:pPr>
        <w:pStyle w:val="SingleTxtGA"/>
        <w:tabs>
          <w:tab w:val="clear" w:pos="2608"/>
          <w:tab w:val="clear" w:pos="3289"/>
          <w:tab w:val="clear" w:pos="3969"/>
          <w:tab w:val="clear" w:pos="4649"/>
          <w:tab w:val="left" w:pos="4536"/>
        </w:tabs>
        <w:ind w:left="1928"/>
        <w:rPr>
          <w:rtl/>
        </w:rPr>
      </w:pPr>
      <w:r w:rsidRPr="009E247B">
        <w:rPr>
          <w:i/>
          <w:iCs/>
          <w:rtl/>
        </w:rPr>
        <w:t>الأشخاص المدَّعى أنهم ضحايا:</w:t>
      </w:r>
      <w:r w:rsidRPr="007559C2">
        <w:rPr>
          <w:rtl/>
        </w:rPr>
        <w:tab/>
        <w:t>أصحاب الشكوى</w:t>
      </w:r>
    </w:p>
    <w:p w:rsidR="009E247B" w:rsidRPr="007559C2" w:rsidRDefault="009E247B" w:rsidP="009E247B">
      <w:pPr>
        <w:pStyle w:val="SingleTxtGA"/>
        <w:tabs>
          <w:tab w:val="clear" w:pos="2608"/>
          <w:tab w:val="clear" w:pos="3289"/>
          <w:tab w:val="clear" w:pos="3969"/>
          <w:tab w:val="clear" w:pos="4649"/>
          <w:tab w:val="left" w:pos="4536"/>
        </w:tabs>
        <w:ind w:left="1928"/>
      </w:pPr>
      <w:r w:rsidRPr="009E247B">
        <w:rPr>
          <w:i/>
          <w:iCs/>
          <w:rtl/>
        </w:rPr>
        <w:t>الدولة الطرف:</w:t>
      </w:r>
      <w:r w:rsidRPr="007559C2">
        <w:rPr>
          <w:rtl/>
        </w:rPr>
        <w:tab/>
        <w:t>السويد</w:t>
      </w:r>
    </w:p>
    <w:p w:rsidR="009E247B" w:rsidRPr="009E247B" w:rsidRDefault="009E247B" w:rsidP="009E247B">
      <w:pPr>
        <w:pStyle w:val="SingleTxtGA"/>
        <w:tabs>
          <w:tab w:val="clear" w:pos="2608"/>
          <w:tab w:val="clear" w:pos="3289"/>
          <w:tab w:val="clear" w:pos="3969"/>
          <w:tab w:val="clear" w:pos="4649"/>
          <w:tab w:val="left" w:pos="4536"/>
        </w:tabs>
        <w:ind w:left="1928"/>
        <w:rPr>
          <w:spacing w:val="-4"/>
        </w:rPr>
      </w:pPr>
      <w:r w:rsidRPr="009E247B">
        <w:rPr>
          <w:i/>
          <w:iCs/>
          <w:spacing w:val="-4"/>
          <w:rtl/>
        </w:rPr>
        <w:t>تاريخ تقديم الشكوى:</w:t>
      </w:r>
      <w:r w:rsidRPr="009E247B">
        <w:rPr>
          <w:spacing w:val="-4"/>
          <w:rtl/>
        </w:rPr>
        <w:tab/>
      </w:r>
      <w:r w:rsidRPr="009E247B">
        <w:rPr>
          <w:rFonts w:hint="cs"/>
          <w:spacing w:val="-4"/>
          <w:rtl/>
        </w:rPr>
        <w:t>9 تشرين الثاني/نوفمبر 2012</w:t>
      </w:r>
      <w:r w:rsidRPr="009E247B">
        <w:rPr>
          <w:spacing w:val="-4"/>
          <w:rtl/>
        </w:rPr>
        <w:t xml:space="preserve"> (تاريخ الرسالة الأولى)</w:t>
      </w:r>
    </w:p>
    <w:p w:rsidR="009E247B" w:rsidRPr="007559C2" w:rsidRDefault="009E247B" w:rsidP="009E247B">
      <w:pPr>
        <w:pStyle w:val="SingleTxtGA"/>
        <w:rPr>
          <w:rtl/>
        </w:rPr>
      </w:pPr>
      <w:r w:rsidRPr="007559C2">
        <w:rPr>
          <w:rFonts w:ascii="Traditional Arabic" w:hAnsi="Traditional Arabic"/>
          <w:rtl/>
        </w:rPr>
        <w:tab/>
      </w:r>
      <w:r w:rsidRPr="007559C2">
        <w:rPr>
          <w:i/>
          <w:iCs/>
          <w:rtl/>
        </w:rPr>
        <w:t>إن لجنة مناهضة التعذيب،</w:t>
      </w:r>
      <w:r w:rsidRPr="007559C2">
        <w:rPr>
          <w:rtl/>
        </w:rPr>
        <w:t xml:space="preserve"> المنشأة بموجب المادة 17 من اتفاقية مناهضة التعذيب وغيره من ضروب المعاملة</w:t>
      </w:r>
      <w:r>
        <w:rPr>
          <w:rtl/>
        </w:rPr>
        <w:t xml:space="preserve"> أو </w:t>
      </w:r>
      <w:r w:rsidRPr="007559C2">
        <w:rPr>
          <w:rtl/>
        </w:rPr>
        <w:t>العقوبة القاسية</w:t>
      </w:r>
      <w:r>
        <w:rPr>
          <w:rtl/>
        </w:rPr>
        <w:t xml:space="preserve"> أو </w:t>
      </w:r>
      <w:r w:rsidRPr="007559C2">
        <w:rPr>
          <w:rtl/>
        </w:rPr>
        <w:t>اللاإنسانية</w:t>
      </w:r>
      <w:r>
        <w:rPr>
          <w:rtl/>
        </w:rPr>
        <w:t xml:space="preserve"> أو </w:t>
      </w:r>
      <w:r w:rsidRPr="007559C2">
        <w:rPr>
          <w:rtl/>
        </w:rPr>
        <w:t>المهينة،</w:t>
      </w:r>
    </w:p>
    <w:p w:rsidR="009E247B" w:rsidRPr="007559C2" w:rsidRDefault="009E247B" w:rsidP="009E247B">
      <w:pPr>
        <w:pStyle w:val="SingleTxtGA"/>
      </w:pPr>
      <w:r w:rsidRPr="007559C2">
        <w:rPr>
          <w:rFonts w:hint="cs"/>
          <w:i/>
          <w:iCs/>
          <w:rtl/>
        </w:rPr>
        <w:tab/>
      </w:r>
      <w:r w:rsidRPr="007559C2">
        <w:rPr>
          <w:i/>
          <w:iCs/>
          <w:rtl/>
        </w:rPr>
        <w:t>وقد اجتمعت</w:t>
      </w:r>
      <w:r w:rsidRPr="007559C2">
        <w:rPr>
          <w:rtl/>
        </w:rPr>
        <w:t xml:space="preserve"> </w:t>
      </w:r>
      <w:r>
        <w:rPr>
          <w:rFonts w:hint="cs"/>
          <w:rtl/>
        </w:rPr>
        <w:t>يوم</w:t>
      </w:r>
      <w:r w:rsidRPr="007559C2">
        <w:rPr>
          <w:rtl/>
        </w:rPr>
        <w:t xml:space="preserve"> </w:t>
      </w:r>
      <w:r>
        <w:rPr>
          <w:rFonts w:hint="cs"/>
          <w:rtl/>
        </w:rPr>
        <w:t>4 آب/أغسطس</w:t>
      </w:r>
      <w:r w:rsidRPr="007559C2">
        <w:rPr>
          <w:rtl/>
        </w:rPr>
        <w:t xml:space="preserve"> 2015، </w:t>
      </w:r>
    </w:p>
    <w:p w:rsidR="009E247B" w:rsidRPr="007559C2" w:rsidRDefault="009E247B" w:rsidP="00DE340A">
      <w:pPr>
        <w:pStyle w:val="SingleTxtGA"/>
      </w:pPr>
      <w:r w:rsidRPr="007559C2">
        <w:rPr>
          <w:i/>
          <w:iCs/>
          <w:rtl/>
        </w:rPr>
        <w:tab/>
        <w:t>وقد فرغت</w:t>
      </w:r>
      <w:r w:rsidRPr="007559C2">
        <w:rPr>
          <w:rtl/>
        </w:rPr>
        <w:t xml:space="preserve"> من النظر في الشكوى </w:t>
      </w:r>
      <w:r>
        <w:rPr>
          <w:rtl/>
        </w:rPr>
        <w:t>رقم </w:t>
      </w:r>
      <w:r w:rsidRPr="007559C2">
        <w:rPr>
          <w:rtl/>
        </w:rPr>
        <w:t>5</w:t>
      </w:r>
      <w:r>
        <w:rPr>
          <w:rFonts w:hint="cs"/>
          <w:rtl/>
        </w:rPr>
        <w:t>3</w:t>
      </w:r>
      <w:r w:rsidRPr="007559C2">
        <w:rPr>
          <w:rtl/>
        </w:rPr>
        <w:t>0/201</w:t>
      </w:r>
      <w:r>
        <w:rPr>
          <w:rFonts w:hint="cs"/>
          <w:rtl/>
        </w:rPr>
        <w:t>2</w:t>
      </w:r>
      <w:r w:rsidRPr="007559C2">
        <w:rPr>
          <w:rtl/>
        </w:rPr>
        <w:t xml:space="preserve">، المقدمة إليها </w:t>
      </w:r>
      <w:r>
        <w:rPr>
          <w:rFonts w:hint="cs"/>
          <w:rtl/>
        </w:rPr>
        <w:t>م</w:t>
      </w:r>
      <w:r w:rsidRPr="007559C2">
        <w:rPr>
          <w:rtl/>
        </w:rPr>
        <w:t>ن السيد</w:t>
      </w:r>
      <w:r>
        <w:rPr>
          <w:rFonts w:hint="cs"/>
          <w:rtl/>
        </w:rPr>
        <w:t> </w:t>
      </w:r>
      <w:r w:rsidRPr="007559C2">
        <w:rPr>
          <w:rtl/>
        </w:rPr>
        <w:t>س.</w:t>
      </w:r>
      <w:r w:rsidR="00DE340A">
        <w:rPr>
          <w:rFonts w:hint="cs"/>
          <w:rtl/>
        </w:rPr>
        <w:t xml:space="preserve"> </w:t>
      </w:r>
      <w:r>
        <w:rPr>
          <w:rFonts w:hint="cs"/>
          <w:rtl/>
        </w:rPr>
        <w:t>والسيدة ص</w:t>
      </w:r>
      <w:r w:rsidRPr="007559C2">
        <w:rPr>
          <w:rtl/>
        </w:rPr>
        <w:t xml:space="preserve">. </w:t>
      </w:r>
      <w:r>
        <w:rPr>
          <w:rFonts w:hint="cs"/>
          <w:rtl/>
        </w:rPr>
        <w:t>وابنتهما ع</w:t>
      </w:r>
      <w:r>
        <w:rPr>
          <w:rtl/>
        </w:rPr>
        <w:t>.</w:t>
      </w:r>
      <w:r w:rsidRPr="007559C2">
        <w:rPr>
          <w:rtl/>
        </w:rPr>
        <w:t>، بموجب المادة 22 من الاتفاقية،</w:t>
      </w:r>
    </w:p>
    <w:p w:rsidR="009E247B" w:rsidRPr="007559C2" w:rsidRDefault="009E247B" w:rsidP="009E247B">
      <w:pPr>
        <w:pStyle w:val="SingleTxtGA"/>
        <w:rPr>
          <w:rtl/>
        </w:rPr>
      </w:pPr>
      <w:r w:rsidRPr="007559C2">
        <w:rPr>
          <w:rFonts w:hint="cs"/>
          <w:i/>
          <w:iCs/>
          <w:rtl/>
        </w:rPr>
        <w:tab/>
      </w:r>
      <w:r w:rsidRPr="007559C2">
        <w:rPr>
          <w:i/>
          <w:iCs/>
          <w:rtl/>
        </w:rPr>
        <w:t xml:space="preserve">وقد أخذت في حسبانها </w:t>
      </w:r>
      <w:r w:rsidRPr="007559C2">
        <w:rPr>
          <w:rtl/>
        </w:rPr>
        <w:t>جميع المعلومات التي أتاحها لها أصحاب الشكوى ومح</w:t>
      </w:r>
      <w:r>
        <w:rPr>
          <w:rFonts w:hint="cs"/>
          <w:rtl/>
        </w:rPr>
        <w:t>اميتهم</w:t>
      </w:r>
      <w:r w:rsidRPr="007559C2">
        <w:rPr>
          <w:rtl/>
        </w:rPr>
        <w:t xml:space="preserve"> </w:t>
      </w:r>
      <w:r>
        <w:rPr>
          <w:rFonts w:hint="cs"/>
          <w:rtl/>
        </w:rPr>
        <w:t>و</w:t>
      </w:r>
      <w:r w:rsidRPr="007559C2">
        <w:rPr>
          <w:rtl/>
        </w:rPr>
        <w:t>الدولة الطرف،</w:t>
      </w:r>
    </w:p>
    <w:p w:rsidR="009E247B" w:rsidRPr="007559C2" w:rsidRDefault="009E247B" w:rsidP="009E247B">
      <w:pPr>
        <w:pStyle w:val="SingleTxtGA"/>
        <w:rPr>
          <w:rtl/>
        </w:rPr>
      </w:pPr>
      <w:r>
        <w:rPr>
          <w:rFonts w:hint="cs"/>
          <w:i/>
          <w:iCs/>
          <w:rtl/>
        </w:rPr>
        <w:tab/>
      </w:r>
      <w:r w:rsidRPr="007559C2">
        <w:rPr>
          <w:i/>
          <w:iCs/>
          <w:rtl/>
        </w:rPr>
        <w:t>تعتمد</w:t>
      </w:r>
      <w:r>
        <w:rPr>
          <w:rtl/>
        </w:rPr>
        <w:t xml:space="preserve"> ما </w:t>
      </w:r>
      <w:r w:rsidRPr="007559C2">
        <w:rPr>
          <w:rtl/>
        </w:rPr>
        <w:t>يلي:</w:t>
      </w:r>
    </w:p>
    <w:p w:rsidR="009E247B" w:rsidRPr="007559C2" w:rsidRDefault="009E247B" w:rsidP="009E247B">
      <w:pPr>
        <w:pStyle w:val="H1GA"/>
        <w:rPr>
          <w:rtl/>
        </w:rPr>
      </w:pPr>
      <w:r w:rsidRPr="007559C2">
        <w:rPr>
          <w:rFonts w:hint="cs"/>
          <w:rtl/>
        </w:rPr>
        <w:tab/>
      </w:r>
      <w:r w:rsidRPr="007559C2">
        <w:rPr>
          <w:rFonts w:hint="cs"/>
          <w:rtl/>
        </w:rPr>
        <w:tab/>
      </w:r>
      <w:r w:rsidRPr="007559C2">
        <w:rPr>
          <w:rtl/>
        </w:rPr>
        <w:t>قرار مُعتمد بموجب الفقرة 7 من المادة 22 من الاتفاقية</w:t>
      </w:r>
    </w:p>
    <w:p w:rsidR="009E247B" w:rsidRPr="007559C2" w:rsidRDefault="009E247B" w:rsidP="00DE340A">
      <w:pPr>
        <w:pStyle w:val="SingleTxtGA"/>
        <w:rPr>
          <w:rtl/>
        </w:rPr>
      </w:pPr>
      <w:r w:rsidRPr="007559C2">
        <w:rPr>
          <w:rtl/>
        </w:rPr>
        <w:t>1-1</w:t>
      </w:r>
      <w:r w:rsidRPr="007559C2">
        <w:rPr>
          <w:rtl/>
        </w:rPr>
        <w:tab/>
      </w:r>
      <w:r w:rsidR="0081790E">
        <w:rPr>
          <w:rtl/>
        </w:rPr>
        <w:t>صاحبا</w:t>
      </w:r>
      <w:r w:rsidRPr="007559C2">
        <w:rPr>
          <w:rtl/>
        </w:rPr>
        <w:t xml:space="preserve"> الشكوى هم السيد س.</w:t>
      </w:r>
      <w:r w:rsidRPr="007559C2">
        <w:rPr>
          <w:rFonts w:hint="cs"/>
          <w:rtl/>
        </w:rPr>
        <w:t xml:space="preserve"> </w:t>
      </w:r>
      <w:r w:rsidRPr="007559C2">
        <w:rPr>
          <w:rtl/>
        </w:rPr>
        <w:t>(صاحب</w:t>
      </w:r>
      <w:r>
        <w:rPr>
          <w:rFonts w:hint="cs"/>
          <w:rtl/>
        </w:rPr>
        <w:t xml:space="preserve"> الشكوى</w:t>
      </w:r>
      <w:r w:rsidRPr="007559C2">
        <w:rPr>
          <w:rtl/>
        </w:rPr>
        <w:t xml:space="preserve"> الأول) وزوجته السيدة </w:t>
      </w:r>
      <w:r>
        <w:rPr>
          <w:rFonts w:hint="cs"/>
          <w:rtl/>
        </w:rPr>
        <w:t>ص</w:t>
      </w:r>
      <w:r w:rsidRPr="007559C2">
        <w:rPr>
          <w:rtl/>
        </w:rPr>
        <w:t>. (صاحب</w:t>
      </w:r>
      <w:r>
        <w:rPr>
          <w:rFonts w:hint="cs"/>
          <w:rtl/>
        </w:rPr>
        <w:t xml:space="preserve">ة الشكوى </w:t>
      </w:r>
      <w:r w:rsidRPr="007559C2">
        <w:rPr>
          <w:rtl/>
        </w:rPr>
        <w:t>الثانية)</w:t>
      </w:r>
      <w:r>
        <w:rPr>
          <w:rFonts w:hint="cs"/>
          <w:rtl/>
        </w:rPr>
        <w:t>، وكلاهما من مواطني بيلاروس، ومولودين في 1978 و1973 على التوالي. ويقدمان الشكوى بالأصالة عن نفسيهما وبالنيابة عن</w:t>
      </w:r>
      <w:r w:rsidRPr="007559C2">
        <w:rPr>
          <w:rtl/>
        </w:rPr>
        <w:t xml:space="preserve"> ابنتهما </w:t>
      </w:r>
      <w:r>
        <w:rPr>
          <w:rFonts w:hint="cs"/>
          <w:rtl/>
        </w:rPr>
        <w:t>ع</w:t>
      </w:r>
      <w:r>
        <w:rPr>
          <w:rtl/>
        </w:rPr>
        <w:t>.</w:t>
      </w:r>
      <w:r w:rsidRPr="007559C2">
        <w:rPr>
          <w:rtl/>
        </w:rPr>
        <w:t xml:space="preserve">، </w:t>
      </w:r>
      <w:r>
        <w:rPr>
          <w:rFonts w:hint="cs"/>
          <w:rtl/>
        </w:rPr>
        <w:t>وهي من مواطني بيلاروس أيض</w:t>
      </w:r>
      <w:r w:rsidR="00411E5D">
        <w:rPr>
          <w:rFonts w:hint="cs"/>
          <w:rtl/>
        </w:rPr>
        <w:t xml:space="preserve">اً، </w:t>
      </w:r>
      <w:r>
        <w:rPr>
          <w:rFonts w:hint="cs"/>
          <w:rtl/>
        </w:rPr>
        <w:t xml:space="preserve">ومولودة في عام 2011. وقد طلبوا اللجوء في السويد، ورُفض طلبُهم وهم </w:t>
      </w:r>
      <w:r>
        <w:rPr>
          <w:rFonts w:hint="cs"/>
          <w:rtl/>
        </w:rPr>
        <w:lastRenderedPageBreak/>
        <w:t>معرضون للطرد إلى بيلاروس. ويزعمون أن طرد السويد لهم إلى بيلاروس يشكل انتهاك</w:t>
      </w:r>
      <w:r w:rsidR="00531DA7">
        <w:rPr>
          <w:rFonts w:hint="cs"/>
          <w:rtl/>
        </w:rPr>
        <w:t xml:space="preserve">اً </w:t>
      </w:r>
      <w:r>
        <w:rPr>
          <w:rFonts w:hint="cs"/>
          <w:rtl/>
        </w:rPr>
        <w:t>للمادة</w:t>
      </w:r>
      <w:r w:rsidR="00DE340A">
        <w:rPr>
          <w:rFonts w:hint="eastAsia"/>
          <w:rtl/>
        </w:rPr>
        <w:t> </w:t>
      </w:r>
      <w:r>
        <w:rPr>
          <w:rFonts w:hint="cs"/>
          <w:rtl/>
        </w:rPr>
        <w:t xml:space="preserve">3 من اتفاقية مكافحة التعذيب. </w:t>
      </w:r>
      <w:r w:rsidRPr="007559C2">
        <w:rPr>
          <w:rtl/>
        </w:rPr>
        <w:t xml:space="preserve">وأصحاب الشكوى </w:t>
      </w:r>
      <w:r>
        <w:rPr>
          <w:rFonts w:hint="cs"/>
          <w:rtl/>
        </w:rPr>
        <w:t>ممثلون ب</w:t>
      </w:r>
      <w:r w:rsidRPr="007559C2">
        <w:rPr>
          <w:rtl/>
        </w:rPr>
        <w:t>محامي</w:t>
      </w:r>
      <w:r>
        <w:rPr>
          <w:rFonts w:hint="cs"/>
          <w:rtl/>
        </w:rPr>
        <w:t>ة</w:t>
      </w:r>
      <w:r w:rsidRPr="007559C2">
        <w:rPr>
          <w:rFonts w:hint="cs"/>
          <w:rtl/>
        </w:rPr>
        <w:t>.</w:t>
      </w:r>
    </w:p>
    <w:p w:rsidR="009E247B" w:rsidRPr="009A7081" w:rsidRDefault="009E247B" w:rsidP="00DE340A">
      <w:pPr>
        <w:pStyle w:val="SingleTxtGA"/>
        <w:rPr>
          <w:rtl/>
        </w:rPr>
      </w:pPr>
      <w:r w:rsidRPr="007559C2">
        <w:rPr>
          <w:rtl/>
        </w:rPr>
        <w:t>1-2</w:t>
      </w:r>
      <w:r w:rsidRPr="007559C2">
        <w:rPr>
          <w:rtl/>
        </w:rPr>
        <w:tab/>
        <w:t>وفي 2</w:t>
      </w:r>
      <w:r>
        <w:rPr>
          <w:rFonts w:hint="cs"/>
          <w:rtl/>
        </w:rPr>
        <w:t>6</w:t>
      </w:r>
      <w:r w:rsidRPr="007559C2">
        <w:rPr>
          <w:rtl/>
        </w:rPr>
        <w:t xml:space="preserve"> </w:t>
      </w:r>
      <w:r>
        <w:rPr>
          <w:rFonts w:hint="cs"/>
          <w:rtl/>
        </w:rPr>
        <w:t>تشرين الثاني/نوفمبر 2012</w:t>
      </w:r>
      <w:r w:rsidRPr="007559C2">
        <w:rPr>
          <w:rtl/>
        </w:rPr>
        <w:t xml:space="preserve">، </w:t>
      </w:r>
      <w:r>
        <w:rPr>
          <w:rFonts w:hint="cs"/>
          <w:rtl/>
        </w:rPr>
        <w:t>رفضت</w:t>
      </w:r>
      <w:r w:rsidRPr="007559C2">
        <w:rPr>
          <w:rtl/>
        </w:rPr>
        <w:t xml:space="preserve"> اللجنة، عن طريق مقرّرها الخاص المعني بالشكاوى الجديدة والتدابير المؤقتة</w:t>
      </w:r>
      <w:r>
        <w:rPr>
          <w:rFonts w:hint="cs"/>
          <w:rtl/>
        </w:rPr>
        <w:t>، طلب أصحاب الشكوى الاستفادة من التدابير المؤقتة. وفي</w:t>
      </w:r>
      <w:r w:rsidR="00DE340A">
        <w:rPr>
          <w:rFonts w:hint="eastAsia"/>
          <w:rtl/>
        </w:rPr>
        <w:t> </w:t>
      </w:r>
      <w:r>
        <w:rPr>
          <w:rFonts w:hint="cs"/>
          <w:rtl/>
        </w:rPr>
        <w:t>8 شباط/فبراير 2013، طلب أصحاب الشكوى مرة أخرى الاستفادة من التدابير المؤقتة وقدّموا حجج</w:t>
      </w:r>
      <w:r w:rsidR="00531DA7">
        <w:rPr>
          <w:rFonts w:hint="cs"/>
          <w:rtl/>
        </w:rPr>
        <w:t xml:space="preserve">اً </w:t>
      </w:r>
      <w:r>
        <w:rPr>
          <w:rFonts w:hint="cs"/>
          <w:rtl/>
        </w:rPr>
        <w:t>ووثائق جديدة. وفي 14 شباط/فبراير، وبعد مراجعة القضية، أكّدت</w:t>
      </w:r>
      <w:r w:rsidRPr="009A7081">
        <w:rPr>
          <w:rtl/>
        </w:rPr>
        <w:t xml:space="preserve"> </w:t>
      </w:r>
      <w:r w:rsidRPr="007559C2">
        <w:rPr>
          <w:rtl/>
        </w:rPr>
        <w:t>اللجنة، عن طريق مقرّرها الخاص المعني بالشكاوى الجديدة والتدابير المؤقتة</w:t>
      </w:r>
      <w:r>
        <w:rPr>
          <w:rFonts w:hint="cs"/>
          <w:rtl/>
        </w:rPr>
        <w:t>، قرارها بعدم طلب اتخاذ تدابير مؤقتة بخصوص هذه القضية.</w:t>
      </w:r>
    </w:p>
    <w:p w:rsidR="009E247B" w:rsidRPr="007559C2" w:rsidRDefault="009E247B" w:rsidP="009E247B">
      <w:pPr>
        <w:pStyle w:val="H23GA"/>
        <w:rPr>
          <w:rtl/>
        </w:rPr>
      </w:pPr>
      <w:r w:rsidRPr="007559C2">
        <w:rPr>
          <w:rFonts w:hint="cs"/>
          <w:rtl/>
        </w:rPr>
        <w:tab/>
      </w:r>
      <w:r w:rsidRPr="007559C2">
        <w:rPr>
          <w:rFonts w:hint="cs"/>
          <w:rtl/>
        </w:rPr>
        <w:tab/>
      </w:r>
      <w:r w:rsidRPr="007559C2">
        <w:rPr>
          <w:rtl/>
        </w:rPr>
        <w:t>الوقائع</w:t>
      </w:r>
      <w:r>
        <w:rPr>
          <w:rtl/>
        </w:rPr>
        <w:t xml:space="preserve"> كما </w:t>
      </w:r>
      <w:r w:rsidRPr="007559C2">
        <w:rPr>
          <w:rtl/>
        </w:rPr>
        <w:t>عرضها أصحاب الشكوى</w:t>
      </w:r>
    </w:p>
    <w:p w:rsidR="009E247B" w:rsidRDefault="009E247B" w:rsidP="00E15E73">
      <w:pPr>
        <w:pStyle w:val="SingleTxtGA"/>
        <w:rPr>
          <w:rtl/>
        </w:rPr>
      </w:pPr>
      <w:r w:rsidRPr="007559C2">
        <w:rPr>
          <w:rtl/>
        </w:rPr>
        <w:t>2-1</w:t>
      </w:r>
      <w:r w:rsidRPr="007559C2">
        <w:rPr>
          <w:rtl/>
        </w:rPr>
        <w:tab/>
        <w:t xml:space="preserve">كان </w:t>
      </w:r>
      <w:r w:rsidR="0081790E">
        <w:rPr>
          <w:rtl/>
        </w:rPr>
        <w:t>صاحبا</w:t>
      </w:r>
      <w:r w:rsidRPr="007559C2">
        <w:rPr>
          <w:rtl/>
        </w:rPr>
        <w:t xml:space="preserve"> الشكوى</w:t>
      </w:r>
      <w:r>
        <w:rPr>
          <w:rFonts w:hint="cs"/>
          <w:rtl/>
        </w:rPr>
        <w:t xml:space="preserve"> الأول والثاني</w:t>
      </w:r>
      <w:r w:rsidRPr="007559C2">
        <w:rPr>
          <w:rtl/>
        </w:rPr>
        <w:t xml:space="preserve"> </w:t>
      </w:r>
      <w:r>
        <w:rPr>
          <w:rFonts w:hint="cs"/>
          <w:rtl/>
        </w:rPr>
        <w:t xml:space="preserve">من الناشطين في الحقل السياسي في بيلاروس. وكانا يعملان على توزيع نشرات ومعلومات وآراء شخصية عن الوضع السياسي في بيلاروس، بما في ذلك عن طريق </w:t>
      </w:r>
      <w:r w:rsidR="00531DA7">
        <w:rPr>
          <w:rFonts w:hint="cs"/>
          <w:rtl/>
        </w:rPr>
        <w:t>الإنترنت</w:t>
      </w:r>
      <w:r>
        <w:rPr>
          <w:rFonts w:hint="cs"/>
          <w:rtl/>
        </w:rPr>
        <w:t>. وفي 17 آذار/مارس 2004، طلب صاحب الشكوى الأول اللجوء في السويد، باستخدام هوية مزيفة. ورُفض طلبُه وأُعيد إلى بيلاروس</w:t>
      </w:r>
      <w:r w:rsidR="00E15E73" w:rsidRPr="00E15E73">
        <w:rPr>
          <w:rFonts w:hint="cs"/>
          <w:vertAlign w:val="superscript"/>
          <w:rtl/>
        </w:rPr>
        <w:t>(</w:t>
      </w:r>
      <w:r w:rsidRPr="00E15E73">
        <w:rPr>
          <w:rStyle w:val="FootnoteReference"/>
          <w:rtl/>
        </w:rPr>
        <w:footnoteReference w:id="2"/>
      </w:r>
      <w:r w:rsidR="00E15E73" w:rsidRPr="00E15E73">
        <w:rPr>
          <w:rFonts w:hint="cs"/>
          <w:vertAlign w:val="superscript"/>
          <w:rtl/>
        </w:rPr>
        <w:t>)</w:t>
      </w:r>
      <w:r w:rsidR="0081790E" w:rsidRPr="0081790E">
        <w:rPr>
          <w:rFonts w:hint="cs"/>
          <w:rtl/>
        </w:rPr>
        <w:t>.</w:t>
      </w:r>
    </w:p>
    <w:p w:rsidR="009E247B" w:rsidRDefault="009E247B" w:rsidP="009E247B">
      <w:pPr>
        <w:pStyle w:val="SingleTxtGA"/>
        <w:rPr>
          <w:rtl/>
        </w:rPr>
      </w:pPr>
      <w:r w:rsidRPr="007559C2">
        <w:rPr>
          <w:rtl/>
        </w:rPr>
        <w:t>2-2</w:t>
      </w:r>
      <w:r w:rsidRPr="007559C2">
        <w:rPr>
          <w:rtl/>
        </w:rPr>
        <w:tab/>
        <w:t>وفي</w:t>
      </w:r>
      <w:r>
        <w:rPr>
          <w:rtl/>
        </w:rPr>
        <w:t xml:space="preserve"> عام </w:t>
      </w:r>
      <w:r w:rsidRPr="007559C2">
        <w:rPr>
          <w:rtl/>
        </w:rPr>
        <w:t>200</w:t>
      </w:r>
      <w:r>
        <w:rPr>
          <w:rFonts w:hint="cs"/>
          <w:rtl/>
        </w:rPr>
        <w:t>6</w:t>
      </w:r>
      <w:r w:rsidRPr="007559C2">
        <w:rPr>
          <w:rtl/>
        </w:rPr>
        <w:t xml:space="preserve">، </w:t>
      </w:r>
      <w:r>
        <w:rPr>
          <w:rFonts w:hint="cs"/>
          <w:rtl/>
        </w:rPr>
        <w:t>شارك</w:t>
      </w:r>
      <w:r w:rsidRPr="007559C2">
        <w:rPr>
          <w:rtl/>
        </w:rPr>
        <w:t xml:space="preserve"> صاحب</w:t>
      </w:r>
      <w:r>
        <w:rPr>
          <w:rFonts w:hint="cs"/>
          <w:rtl/>
        </w:rPr>
        <w:t>ا</w:t>
      </w:r>
      <w:r w:rsidRPr="007559C2">
        <w:rPr>
          <w:rtl/>
        </w:rPr>
        <w:t xml:space="preserve"> الشكوى</w:t>
      </w:r>
      <w:r>
        <w:rPr>
          <w:rFonts w:hint="cs"/>
          <w:rtl/>
        </w:rPr>
        <w:t xml:space="preserve"> الأول والثاني</w:t>
      </w:r>
      <w:r w:rsidRPr="007559C2">
        <w:rPr>
          <w:rtl/>
        </w:rPr>
        <w:t xml:space="preserve"> </w:t>
      </w:r>
      <w:r>
        <w:rPr>
          <w:rFonts w:hint="cs"/>
          <w:rtl/>
        </w:rPr>
        <w:t>في مظاهرة احتجاج</w:t>
      </w:r>
      <w:r w:rsidR="00531DA7">
        <w:rPr>
          <w:rFonts w:hint="cs"/>
          <w:rtl/>
        </w:rPr>
        <w:t xml:space="preserve">اً </w:t>
      </w:r>
      <w:r>
        <w:rPr>
          <w:rFonts w:hint="cs"/>
          <w:rtl/>
        </w:rPr>
        <w:t>على النظام القائم. وأُلقي القبض عليهما وتعرضت صاحبة الشكوى الثانية للتعذيب على أيدي الشرطة. واستعملت الشرطة معها مكواة لإرغامها على الاعتراف بأنها تلقت أموال</w:t>
      </w:r>
      <w:r w:rsidR="00531DA7">
        <w:rPr>
          <w:rFonts w:hint="cs"/>
          <w:rtl/>
        </w:rPr>
        <w:t xml:space="preserve">اً </w:t>
      </w:r>
      <w:r>
        <w:rPr>
          <w:rFonts w:hint="cs"/>
          <w:rtl/>
        </w:rPr>
        <w:t xml:space="preserve">من المرشح الرئاسي السيد </w:t>
      </w:r>
      <w:proofErr w:type="spellStart"/>
      <w:r>
        <w:rPr>
          <w:rFonts w:hint="cs"/>
          <w:rtl/>
        </w:rPr>
        <w:t>كوزولين</w:t>
      </w:r>
      <w:proofErr w:type="spellEnd"/>
      <w:r>
        <w:rPr>
          <w:rFonts w:hint="cs"/>
          <w:rtl/>
        </w:rPr>
        <w:t xml:space="preserve"> للمشاركة في المظاهرة. ونتيجة للمعاملة التي لقيتها، نُقلت إلى المستشفى. واتُهم صاحب الشكوى الأول بزعزعة النظام العام وغُرِّم. وتلقى صاحب الشكوى الأول، في الفترة من 2006 إلى 2009، تهديدات عبر الهاتف من شرطة مينسك. على أن صاحبة الشكوى الثانية شاركت في عدد من المظاهرات حتى بعد ذلك، ولم تقبض عليها الشرطة. وفي الفترة من تشرين الثاني/نوفمبر 2009 إلى شباط/فبراير 2010، قام </w:t>
      </w:r>
      <w:r w:rsidR="0081790E">
        <w:rPr>
          <w:rFonts w:hint="cs"/>
          <w:rtl/>
        </w:rPr>
        <w:t>صاحبا</w:t>
      </w:r>
      <w:r>
        <w:rPr>
          <w:rFonts w:hint="cs"/>
          <w:rtl/>
        </w:rPr>
        <w:t xml:space="preserve"> الشكوى الأول والثاني بأنشطة تنظيمية لترتيب مظاهرة في تشرين الثاني/نوفمبر 2010، قبيل الانتخابات الرئاسية التي جرت في 19 كانون الأول/ديسمبر 2010. </w:t>
      </w:r>
    </w:p>
    <w:p w:rsidR="009E247B" w:rsidRDefault="009E247B" w:rsidP="00E15E73">
      <w:pPr>
        <w:pStyle w:val="SingleTxtGA"/>
        <w:rPr>
          <w:rtl/>
        </w:rPr>
      </w:pPr>
      <w:r>
        <w:rPr>
          <w:rFonts w:hint="cs"/>
          <w:rtl/>
        </w:rPr>
        <w:t>2-3</w:t>
      </w:r>
      <w:r>
        <w:rPr>
          <w:rFonts w:hint="cs"/>
          <w:rtl/>
        </w:rPr>
        <w:tab/>
        <w:t xml:space="preserve">وفي آذار/مارس 2010، غادر </w:t>
      </w:r>
      <w:r w:rsidR="0081790E">
        <w:rPr>
          <w:rFonts w:hint="cs"/>
          <w:rtl/>
        </w:rPr>
        <w:t>صاحبا</w:t>
      </w:r>
      <w:r>
        <w:rPr>
          <w:rFonts w:hint="cs"/>
          <w:rtl/>
        </w:rPr>
        <w:t xml:space="preserve"> الشكوى بيلاروس برفقة بنتهما. ودخلوا السويد بتأشيرة سياحية صالحة لمدة سنة واحدة. وطلبوا اللجوء في عام 2011، أي بعد دخولهم السويد بعام واحد تقريب</w:t>
      </w:r>
      <w:r w:rsidR="00411E5D">
        <w:rPr>
          <w:rFonts w:hint="cs"/>
          <w:rtl/>
        </w:rPr>
        <w:t xml:space="preserve">اً. </w:t>
      </w:r>
      <w:r>
        <w:rPr>
          <w:rFonts w:hint="cs"/>
          <w:rtl/>
        </w:rPr>
        <w:t>وفي تشرين الثاني/نوفمبر 2010، وفي أثناء قدوم أم صاحب الشكوى الأول وزوجها لزيارة الأسرة في السويد، سلمهما طلب</w:t>
      </w:r>
      <w:r w:rsidR="00531DA7">
        <w:rPr>
          <w:rFonts w:hint="cs"/>
          <w:rtl/>
        </w:rPr>
        <w:t xml:space="preserve">اً </w:t>
      </w:r>
      <w:r>
        <w:rPr>
          <w:rFonts w:hint="cs"/>
          <w:rtl/>
        </w:rPr>
        <w:t>مكتوب</w:t>
      </w:r>
      <w:r w:rsidR="00531DA7">
        <w:rPr>
          <w:rFonts w:hint="cs"/>
          <w:rtl/>
        </w:rPr>
        <w:t xml:space="preserve">اً </w:t>
      </w:r>
      <w:r>
        <w:rPr>
          <w:rFonts w:hint="cs"/>
          <w:rtl/>
        </w:rPr>
        <w:t xml:space="preserve">بخصوص تنظيم مظاهرة </w:t>
      </w:r>
      <w:r>
        <w:rPr>
          <w:rFonts w:hint="cs"/>
          <w:rtl/>
        </w:rPr>
        <w:lastRenderedPageBreak/>
        <w:t>في</w:t>
      </w:r>
      <w:r w:rsidR="00DE340A">
        <w:rPr>
          <w:rFonts w:hint="eastAsia"/>
          <w:rtl/>
        </w:rPr>
        <w:t> </w:t>
      </w:r>
      <w:r>
        <w:rPr>
          <w:rFonts w:hint="cs"/>
          <w:rtl/>
        </w:rPr>
        <w:t>بيلاروس في كانون الأول/ديسمبر 2010. ولدى عودتهما إلى بيلاروس، سلّمت أمّه وزوجها، وهما عضوين في الحزب المدني الوحدوي، طلبه إلى سلطات بيلاروس. وبعد ذلك شاركا في مظاهرة 19 كانون الأول/ديسمبر 2010 وألقت سلطات بيلاروس القبض عليهما. وأثناء استجوابهما، ضغط المحقق، الذي كان على علم بأنشطة صاحب الشكوى الأول السابقة، على أم صاحب الشكوى الأول وزوجها للإقرار بمكان وجود أصحاب الشكوى وأعطيا المحقق رقم هاتف صاحب الشكوى الأول في السويد. وذكر لهما المحقق أن دعوى جنائية قد فُتحت ضد صاحبا الشكوى الأول والثاني لتنظيم محاولة زعزعة النظام العام وسوف يلقى القبض عليهما لدى عودتهما إلى بيلاروس. ومنذ ذلك الوقت، بدأ صاحبا الشكوى يتلقيان تهديدات عبر الهاتف من شرطة منسك</w:t>
      </w:r>
      <w:r w:rsidR="00E15E73" w:rsidRPr="00E15E73">
        <w:rPr>
          <w:rFonts w:hint="cs"/>
          <w:vertAlign w:val="superscript"/>
          <w:rtl/>
        </w:rPr>
        <w:t>(</w:t>
      </w:r>
      <w:r w:rsidRPr="00E15E73">
        <w:rPr>
          <w:rStyle w:val="FootnoteReference"/>
          <w:rtl/>
        </w:rPr>
        <w:footnoteReference w:id="3"/>
      </w:r>
      <w:r w:rsidR="00E15E73" w:rsidRPr="00E15E73">
        <w:rPr>
          <w:rFonts w:hint="cs"/>
          <w:vertAlign w:val="superscript"/>
          <w:rtl/>
        </w:rPr>
        <w:t>)</w:t>
      </w:r>
      <w:r w:rsidR="00E15E73">
        <w:rPr>
          <w:rFonts w:hint="cs"/>
          <w:rtl/>
        </w:rPr>
        <w:t>.</w:t>
      </w:r>
    </w:p>
    <w:p w:rsidR="009E247B" w:rsidRDefault="009E247B" w:rsidP="00C67BDF">
      <w:pPr>
        <w:pStyle w:val="SingleTxtGA"/>
        <w:rPr>
          <w:rtl/>
        </w:rPr>
      </w:pPr>
      <w:r>
        <w:rPr>
          <w:rFonts w:hint="cs"/>
          <w:rtl/>
        </w:rPr>
        <w:t>2-4</w:t>
      </w:r>
      <w:r>
        <w:rPr>
          <w:rFonts w:hint="cs"/>
          <w:rtl/>
        </w:rPr>
        <w:tab/>
        <w:t>وقدّم أصحاب الشكوى طلبهم للجوء إلى المجلس السويدي للهجرة في 16 حزيران/</w:t>
      </w:r>
      <w:r w:rsidR="00C67BDF">
        <w:rPr>
          <w:rFonts w:hint="cs"/>
          <w:rtl/>
        </w:rPr>
        <w:t xml:space="preserve"> </w:t>
      </w:r>
      <w:r>
        <w:rPr>
          <w:rFonts w:hint="cs"/>
          <w:rtl/>
        </w:rPr>
        <w:t>يونيه 2011. وأثناء الاستجواب، ذكرت صاحبة الشكوى الثانية أنها تعرضت للتعذيب في عام</w:t>
      </w:r>
      <w:r w:rsidR="00C67BDF">
        <w:rPr>
          <w:rFonts w:hint="eastAsia"/>
          <w:rtl/>
        </w:rPr>
        <w:t> </w:t>
      </w:r>
      <w:r>
        <w:rPr>
          <w:rFonts w:hint="cs"/>
          <w:rtl/>
        </w:rPr>
        <w:t>2006 وكشفت عن العلامات البادية على جسدها لإثبات ذلك. وقد سُجّل في المحضر أن صاحبة الشكوى الثانية تعرضت لتجاوزات على أيدي الشرطة. وأشارت أيض</w:t>
      </w:r>
      <w:r w:rsidR="00531DA7">
        <w:rPr>
          <w:rFonts w:hint="cs"/>
          <w:rtl/>
        </w:rPr>
        <w:t xml:space="preserve">اً </w:t>
      </w:r>
      <w:r>
        <w:rPr>
          <w:rFonts w:hint="cs"/>
          <w:rtl/>
        </w:rPr>
        <w:t>إلى شهادة طبية صادرة عن خبير علاج في السويد ذكر فيها، في جملة أمور أخرى، أن جروحها قد تكون حصلت طبق</w:t>
      </w:r>
      <w:r w:rsidR="00531DA7">
        <w:rPr>
          <w:rFonts w:hint="cs"/>
          <w:rtl/>
        </w:rPr>
        <w:t xml:space="preserve">اً </w:t>
      </w:r>
      <w:r>
        <w:rPr>
          <w:rFonts w:hint="cs"/>
          <w:rtl/>
        </w:rPr>
        <w:t>للوصف الذي قدمته هي. وفي 9 أيلول/سبتمبر 2011، رفض مجلس الهجرة طلب اللجوء وأمر بترحيل أصحاب الشكوى. وذكر المجلس أن المعلومات المغلوطة بشأن الهوية التي قدمها صاحب الشكوى الأول عند طلب اللجوء في عام 2004 أثرت على مصداقيته هو ومصداقية صاحبة الشكوى الثانية. وفضل</w:t>
      </w:r>
      <w:r w:rsidR="00531DA7">
        <w:rPr>
          <w:rFonts w:hint="cs"/>
          <w:rtl/>
        </w:rPr>
        <w:t xml:space="preserve">اً </w:t>
      </w:r>
      <w:r>
        <w:rPr>
          <w:rFonts w:hint="cs"/>
          <w:rtl/>
        </w:rPr>
        <w:t>عن ذلك، فإن المعلومات التي قدمها صاحب الشكوى الأول بشأن أنشطته السياسية غامضة ويصعب تفسيرها. فقد بدى غريب</w:t>
      </w:r>
      <w:r w:rsidR="00531DA7">
        <w:rPr>
          <w:rFonts w:hint="cs"/>
          <w:rtl/>
        </w:rPr>
        <w:t xml:space="preserve">اً </w:t>
      </w:r>
      <w:r>
        <w:rPr>
          <w:rFonts w:hint="cs"/>
          <w:rtl/>
        </w:rPr>
        <w:t>ألا يذكر شيئ</w:t>
      </w:r>
      <w:r w:rsidR="00531DA7">
        <w:rPr>
          <w:rFonts w:hint="cs"/>
          <w:rtl/>
        </w:rPr>
        <w:t xml:space="preserve">اً </w:t>
      </w:r>
      <w:r>
        <w:rPr>
          <w:rFonts w:hint="cs"/>
          <w:rtl/>
        </w:rPr>
        <w:t>عن أنشطته السياسية أثناء سير الإجراءات بخصوص طلب اللجوء الأول. وكانت الأسرة تسافر بحرية ولم تبد السلطات أي اهتمام بتوقيفها. فلم يكن لصاحبي الشكوى الأول والثاني نشاط سياسي ذي بال بحيث يستدعي اهتمام السلطات بهما. ونظر</w:t>
      </w:r>
      <w:r w:rsidR="00531DA7">
        <w:rPr>
          <w:rFonts w:hint="cs"/>
          <w:rtl/>
        </w:rPr>
        <w:t xml:space="preserve">اً </w:t>
      </w:r>
      <w:r>
        <w:rPr>
          <w:rFonts w:hint="cs"/>
          <w:rtl/>
        </w:rPr>
        <w:t>لعدم وجود وثائق مكتوبة، واهتزاز المصداقية، وكونهما كانا موجودين في السويد أثناء مظاهرات الكبيرة في عام</w:t>
      </w:r>
      <w:r w:rsidR="00C67BDF">
        <w:rPr>
          <w:rFonts w:hint="eastAsia"/>
          <w:rtl/>
        </w:rPr>
        <w:t> </w:t>
      </w:r>
      <w:r>
        <w:rPr>
          <w:rFonts w:hint="cs"/>
          <w:rtl/>
        </w:rPr>
        <w:t xml:space="preserve">2010 (في سياق الانتخابات الرئاسية) كل ذلك يعني أن صاحبي الشكوى الأول والثاني لم يبيّنا أنهما ربما كانا في حاجة إلى الحماية. وفيما يتعلق بالمعاملة التي يُدّعى أن صاحبة الشكوى الثانية تعرضت لها على أيدي شرطة منسك في عام 2006، فقد أشار مجلس الهجرة إلى ذلك على أنه اعتداء من قبل الشرطة، ولم يستخدم المجلس كلمة </w:t>
      </w:r>
      <w:r w:rsidR="00E81171">
        <w:rPr>
          <w:rFonts w:hint="cs"/>
          <w:rtl/>
        </w:rPr>
        <w:t>‘</w:t>
      </w:r>
      <w:r>
        <w:rPr>
          <w:rFonts w:hint="cs"/>
          <w:rtl/>
        </w:rPr>
        <w:t>تعذيب‘.</w:t>
      </w:r>
    </w:p>
    <w:p w:rsidR="009E247B" w:rsidRDefault="009E247B" w:rsidP="009E247B">
      <w:pPr>
        <w:pStyle w:val="SingleTxtGA"/>
        <w:rPr>
          <w:rtl/>
        </w:rPr>
      </w:pPr>
      <w:r>
        <w:rPr>
          <w:rFonts w:hint="cs"/>
          <w:rtl/>
        </w:rPr>
        <w:t>2-5</w:t>
      </w:r>
      <w:r>
        <w:rPr>
          <w:rFonts w:hint="cs"/>
          <w:rtl/>
        </w:rPr>
        <w:tab/>
        <w:t xml:space="preserve">وفي تاريخ لم يُحدد، استُؤنِف على قرار مجلس الهجرة أمام محكمة الهجرة. وفي 20 نيسان/أبريل 2012، رفضت محكمة الهجرة استئناف أصحاب الشكوى، ملاحِظةً، في جملة </w:t>
      </w:r>
      <w:r>
        <w:rPr>
          <w:rFonts w:hint="cs"/>
          <w:rtl/>
        </w:rPr>
        <w:lastRenderedPageBreak/>
        <w:t>أمور أخرى، أن صاحبي الشكوى الأول والثاني تلقيا من الشرطة استدعاءين بالمثول أمام شرطة مينسك للاستجواب جاء فيهما أن عدم المثول في الموعد المحدد يعرضهما للغرامة أو للسجن. وقد فسرت المحكمة عدم ذكر سبب الاستدعاء على أنه دليل على عدم حاجة صاحبي الشكوى للحماية. وأشارت محكمة الهجرة أيض</w:t>
      </w:r>
      <w:r w:rsidR="00531DA7">
        <w:rPr>
          <w:rFonts w:hint="cs"/>
          <w:rtl/>
        </w:rPr>
        <w:t xml:space="preserve">اً </w:t>
      </w:r>
      <w:r>
        <w:rPr>
          <w:rFonts w:hint="cs"/>
          <w:rtl/>
        </w:rPr>
        <w:t>إلى المعاملة التي تعرضت لها صاحبة الشكوى الثانية في عام 2006 على أنه اعتداء من قبل الشرطة وليس تعذيب</w:t>
      </w:r>
      <w:r w:rsidR="00411E5D">
        <w:rPr>
          <w:rFonts w:hint="cs"/>
          <w:rtl/>
        </w:rPr>
        <w:t xml:space="preserve">اً. </w:t>
      </w:r>
      <w:r>
        <w:rPr>
          <w:rFonts w:hint="cs"/>
          <w:rtl/>
        </w:rPr>
        <w:t>وطلب أصحاب الشكوى تمكينهما من الاستئناف أمام محكمة الاستئناف في قضايا الهجرة. وفي 8 حزيران/يونيه 2012، رأت محكمة الاستئناف في قضايا الهجرة أن هذه القضية لا تستدعي كل هذا الاهتمام ورفضت طلب الإذن لهم بالاستئناف.</w:t>
      </w:r>
    </w:p>
    <w:p w:rsidR="009E247B" w:rsidRPr="00C67BDF" w:rsidRDefault="009E247B" w:rsidP="00C67BDF">
      <w:pPr>
        <w:pStyle w:val="SingleTxtGA"/>
        <w:rPr>
          <w:spacing w:val="-2"/>
          <w:rtl/>
        </w:rPr>
      </w:pPr>
      <w:r w:rsidRPr="00C67BDF">
        <w:rPr>
          <w:rFonts w:hint="cs"/>
          <w:spacing w:val="-2"/>
          <w:rtl/>
        </w:rPr>
        <w:t>2-6</w:t>
      </w:r>
      <w:r w:rsidRPr="00C67BDF">
        <w:rPr>
          <w:rFonts w:hint="cs"/>
          <w:spacing w:val="-2"/>
          <w:rtl/>
        </w:rPr>
        <w:tab/>
        <w:t>وفي تاريخ لم يُحدد، طلب أصحاب الشكوى إلى مجلس الهجرة النظر في قضيتهم على أساس حيثيات جديدة. وذكرت صاحبة الشكوى الثانية أن صلبها للجوء قد نُظر فيه على أساس</w:t>
      </w:r>
      <w:r w:rsidR="00C67BDF">
        <w:rPr>
          <w:rFonts w:hint="eastAsia"/>
          <w:spacing w:val="-2"/>
          <w:rtl/>
        </w:rPr>
        <w:t> </w:t>
      </w:r>
      <w:r w:rsidRPr="00C67BDF">
        <w:rPr>
          <w:rFonts w:hint="cs"/>
          <w:spacing w:val="-2"/>
          <w:rtl/>
        </w:rPr>
        <w:t>التجاوزات المزعومة التي تعرضت لها وليس على أساس الادعاء بأنها تعرضت للتعذيب. ثم إنها لم تكن قادرة على قراءة محضر الاستجواب لأنه كان مكتوب</w:t>
      </w:r>
      <w:r w:rsidR="00531DA7">
        <w:rPr>
          <w:rFonts w:hint="cs"/>
          <w:spacing w:val="-2"/>
          <w:rtl/>
        </w:rPr>
        <w:t xml:space="preserve">اً </w:t>
      </w:r>
      <w:r w:rsidRPr="00C67BDF">
        <w:rPr>
          <w:rFonts w:hint="cs"/>
          <w:spacing w:val="-2"/>
          <w:rtl/>
        </w:rPr>
        <w:t>باللغة السويدية. وقد منحت ثقتها للسلطات السويدية واعتقدت أن السلطات السويدية أخذت في الاعتبار ادعاءاتها بالتعرض للتعذيب. وادعى صاحبا الشكوى الأول والثاني أيض</w:t>
      </w:r>
      <w:r w:rsidR="00531DA7">
        <w:rPr>
          <w:rFonts w:hint="cs"/>
          <w:spacing w:val="-2"/>
          <w:rtl/>
        </w:rPr>
        <w:t xml:space="preserve">اً </w:t>
      </w:r>
      <w:r w:rsidRPr="00C67BDF">
        <w:rPr>
          <w:rFonts w:hint="cs"/>
          <w:spacing w:val="-2"/>
          <w:rtl/>
        </w:rPr>
        <w:t>أنهما تلقيا عدد</w:t>
      </w:r>
      <w:r w:rsidR="00531DA7">
        <w:rPr>
          <w:rFonts w:hint="cs"/>
          <w:spacing w:val="-2"/>
          <w:rtl/>
        </w:rPr>
        <w:t xml:space="preserve">اً </w:t>
      </w:r>
      <w:r w:rsidRPr="00C67BDF">
        <w:rPr>
          <w:rFonts w:hint="cs"/>
          <w:spacing w:val="-2"/>
          <w:rtl/>
        </w:rPr>
        <w:t>من المكالمات الجديدة من شرطة مينسك في أثناء ذلك وأشارا إلى الوضع العام في بيلاروس من حيث انتهاكات حقوق الإنسان التي ترتكبها الشرطة. وفي 8 أيلول/سبتمبر 2012، رفض مجلس الهجرة الطلب على أساس أن الحيثيات الجديدة هي وحدها التي تؤخذ في الاعتبار. ورأى المجلس أن العناصر التي احتج بها أصحاب الشكوى قد سبق أخذها في الاعتبار أثناء سير الإجراءات السابقة. وفي الوقت نفسه، لاحظ مجلس الهجرة عدم تقديم أية معلومات أثناء الجزء الأولى من الإجراءات فيما</w:t>
      </w:r>
      <w:r w:rsidR="00C67BDF">
        <w:rPr>
          <w:rFonts w:hint="eastAsia"/>
          <w:spacing w:val="-2"/>
          <w:rtl/>
        </w:rPr>
        <w:t> </w:t>
      </w:r>
      <w:r w:rsidRPr="00C67BDF">
        <w:rPr>
          <w:rFonts w:hint="cs"/>
          <w:spacing w:val="-2"/>
          <w:rtl/>
        </w:rPr>
        <w:t>يتعلق بادعاء صاحب الشكوى الأول بالتعرض للتعذيب. وخلص المجلس أنه ليس هناك ما</w:t>
      </w:r>
      <w:r w:rsidR="00C67BDF">
        <w:rPr>
          <w:rFonts w:hint="eastAsia"/>
          <w:spacing w:val="-2"/>
          <w:rtl/>
        </w:rPr>
        <w:t> </w:t>
      </w:r>
      <w:r w:rsidRPr="00C67BDF">
        <w:rPr>
          <w:rFonts w:hint="cs"/>
          <w:spacing w:val="-2"/>
          <w:rtl/>
        </w:rPr>
        <w:t>يدعو إلى إعادة النظر في طلب اللجوء لعدم تقديم أية حيثيات جديدة.</w:t>
      </w:r>
    </w:p>
    <w:p w:rsidR="009E247B" w:rsidRPr="00BA7813" w:rsidRDefault="009E247B" w:rsidP="00C67BDF">
      <w:pPr>
        <w:pStyle w:val="SingleTxtGA"/>
        <w:rPr>
          <w:rtl/>
        </w:rPr>
      </w:pPr>
      <w:r>
        <w:rPr>
          <w:rFonts w:hint="cs"/>
          <w:rtl/>
        </w:rPr>
        <w:t>2-7</w:t>
      </w:r>
      <w:r>
        <w:rPr>
          <w:rFonts w:hint="cs"/>
          <w:rtl/>
        </w:rPr>
        <w:tab/>
        <w:t>وفي تاريخ لم يُحدد، قدّم أصحاب الشكوى طلب</w:t>
      </w:r>
      <w:r w:rsidR="00531DA7">
        <w:rPr>
          <w:rFonts w:hint="cs"/>
          <w:rtl/>
        </w:rPr>
        <w:t xml:space="preserve">اً </w:t>
      </w:r>
      <w:r>
        <w:rPr>
          <w:rFonts w:hint="cs"/>
          <w:rtl/>
        </w:rPr>
        <w:t>جديد</w:t>
      </w:r>
      <w:r w:rsidR="00531DA7">
        <w:rPr>
          <w:rFonts w:hint="cs"/>
          <w:rtl/>
        </w:rPr>
        <w:t xml:space="preserve">اً </w:t>
      </w:r>
      <w:r>
        <w:rPr>
          <w:rFonts w:hint="cs"/>
          <w:rtl/>
        </w:rPr>
        <w:t>إلى مجلس الهجرة لإعادة النظر في قضيتهم بسبب وجود حيثيات جديدة على أساس تقرير للطب الشرعي صادر في 8 تشرين الأول/أكتوبر 2012. ووفق</w:t>
      </w:r>
      <w:r w:rsidR="00531DA7">
        <w:rPr>
          <w:rFonts w:hint="cs"/>
          <w:rtl/>
        </w:rPr>
        <w:t xml:space="preserve">اً </w:t>
      </w:r>
      <w:r>
        <w:rPr>
          <w:rFonts w:hint="cs"/>
          <w:rtl/>
        </w:rPr>
        <w:t>لهذا التقرير، الذي أصدره الطبيب إ.</w:t>
      </w:r>
      <w:r w:rsidR="00C67BDF">
        <w:rPr>
          <w:rFonts w:hint="cs"/>
          <w:rtl/>
        </w:rPr>
        <w:t xml:space="preserve"> </w:t>
      </w:r>
      <w:r>
        <w:rPr>
          <w:rFonts w:hint="cs"/>
          <w:rtl/>
        </w:rPr>
        <w:t xml:space="preserve">إ.، وهو خبير الطب الشرعي في مركز </w:t>
      </w:r>
      <w:r w:rsidRPr="00BA7813">
        <w:t>Crisis</w:t>
      </w:r>
      <w:r w:rsidR="00C67BDF">
        <w:t> </w:t>
      </w:r>
      <w:r w:rsidRPr="00BA7813">
        <w:t>and</w:t>
      </w:r>
      <w:r w:rsidR="00C67BDF">
        <w:t> </w:t>
      </w:r>
      <w:r w:rsidRPr="00BA7813">
        <w:t>Trauma</w:t>
      </w:r>
      <w:r w:rsidR="00C67BDF">
        <w:t> </w:t>
      </w:r>
      <w:r w:rsidRPr="00BA7813">
        <w:t>Centre</w:t>
      </w:r>
      <w:r>
        <w:rPr>
          <w:rFonts w:hint="cs"/>
          <w:rtl/>
        </w:rPr>
        <w:t xml:space="preserve">، فإن ما اكتُشف أثناء الفحص البدني لصاحبة الشكوى الثانية يدل على أنها تعرضت لتعذيب على النحو الذي وصفته. وأكدت صاحبة الشكوى الثانية أنها أُرغمت من قبل الشرطة في عام 2006 على التوقيع على بيان تطعن فيه في مرشح الرئاسيات السابق السيد </w:t>
      </w:r>
      <w:proofErr w:type="spellStart"/>
      <w:r>
        <w:rPr>
          <w:rFonts w:hint="cs"/>
          <w:rtl/>
        </w:rPr>
        <w:t>كوزولين</w:t>
      </w:r>
      <w:proofErr w:type="spellEnd"/>
      <w:r>
        <w:rPr>
          <w:rFonts w:hint="cs"/>
          <w:rtl/>
        </w:rPr>
        <w:t xml:space="preserve"> ويذكر أنها تلقت أموال</w:t>
      </w:r>
      <w:r w:rsidR="00531DA7">
        <w:rPr>
          <w:rFonts w:hint="cs"/>
          <w:rtl/>
        </w:rPr>
        <w:t xml:space="preserve">اً </w:t>
      </w:r>
      <w:r>
        <w:rPr>
          <w:rFonts w:hint="cs"/>
          <w:rtl/>
        </w:rPr>
        <w:t>للتظاهر ضد النظام القائم. وعندما رفضت التوقيع على الاعتراف، نُقلت إلى المستشفى لأن طبيعة الجروح التي أُصيبت بها كانت تهدد حياتها. ورفض مجلس الهجرة الطلب في 1 تشرين الثاني/نوفمبر 2012. واعتبر أنه لم يقدم أية حيثيات جديدة. وفيما يتعلق بتقرير الطب الشرعي، ذكر المجلس أنه لم يأت بجديد لأن صاحبي الشكوى سبق لهما أن قدما في عام 2011 تقرير</w:t>
      </w:r>
      <w:r w:rsidR="00531DA7">
        <w:rPr>
          <w:rFonts w:hint="cs"/>
          <w:rtl/>
        </w:rPr>
        <w:t xml:space="preserve">اً </w:t>
      </w:r>
      <w:r>
        <w:rPr>
          <w:rFonts w:hint="cs"/>
          <w:rtl/>
        </w:rPr>
        <w:t>طبي</w:t>
      </w:r>
      <w:r w:rsidR="00531DA7">
        <w:rPr>
          <w:rFonts w:hint="cs"/>
          <w:rtl/>
        </w:rPr>
        <w:t xml:space="preserve">اً </w:t>
      </w:r>
      <w:r>
        <w:rPr>
          <w:rFonts w:hint="cs"/>
          <w:rtl/>
        </w:rPr>
        <w:t>آخر يتضمن المزاعم نفسها. وفضل</w:t>
      </w:r>
      <w:r w:rsidR="00531DA7">
        <w:rPr>
          <w:rFonts w:hint="cs"/>
          <w:rtl/>
        </w:rPr>
        <w:t xml:space="preserve">اً </w:t>
      </w:r>
      <w:r>
        <w:rPr>
          <w:rFonts w:hint="cs"/>
          <w:rtl/>
        </w:rPr>
        <w:t xml:space="preserve">عن ذلك، قيَّمت محكمة الهجرة أقوال صاحبا الشكوى على أنها تفتقر إلى المصداقية. </w:t>
      </w:r>
      <w:r>
        <w:rPr>
          <w:rFonts w:hint="cs"/>
          <w:rtl/>
        </w:rPr>
        <w:lastRenderedPageBreak/>
        <w:t>فقد رأت المحكمة أن صاحبي الشكوى لم يكونا ناشطين سياسيين بالقدر الذي يبرر اهتمام السلطات المزعوم بهما. ولم يبينا أيض</w:t>
      </w:r>
      <w:r w:rsidR="00531DA7">
        <w:rPr>
          <w:rFonts w:hint="cs"/>
          <w:rtl/>
        </w:rPr>
        <w:t xml:space="preserve">اً </w:t>
      </w:r>
      <w:r>
        <w:rPr>
          <w:rFonts w:hint="cs"/>
          <w:rtl/>
        </w:rPr>
        <w:t>أن ثمة احتمال</w:t>
      </w:r>
      <w:r w:rsidR="00531DA7">
        <w:rPr>
          <w:rFonts w:hint="cs"/>
          <w:rtl/>
        </w:rPr>
        <w:t xml:space="preserve">اً </w:t>
      </w:r>
      <w:r>
        <w:rPr>
          <w:rFonts w:hint="cs"/>
          <w:rtl/>
        </w:rPr>
        <w:t>لأن يكونا مطلوبين لدى السلطات وأنهما بالتالي في خطر التعرض للملاحقة أو العقاب.</w:t>
      </w:r>
      <w:r w:rsidR="00C67BDF">
        <w:rPr>
          <w:rFonts w:hint="cs"/>
          <w:rtl/>
        </w:rPr>
        <w:t xml:space="preserve"> </w:t>
      </w:r>
      <w:r>
        <w:rPr>
          <w:rFonts w:hint="cs"/>
          <w:rtl/>
        </w:rPr>
        <w:t xml:space="preserve"> </w:t>
      </w:r>
    </w:p>
    <w:p w:rsidR="009E247B" w:rsidRPr="00311A7C" w:rsidRDefault="009E247B" w:rsidP="009E247B">
      <w:pPr>
        <w:pStyle w:val="H4GA"/>
        <w:rPr>
          <w:rtl/>
        </w:rPr>
      </w:pPr>
      <w:r w:rsidRPr="007559C2">
        <w:rPr>
          <w:rFonts w:hint="cs"/>
          <w:rtl/>
        </w:rPr>
        <w:tab/>
      </w:r>
      <w:r w:rsidRPr="007559C2">
        <w:rPr>
          <w:rFonts w:hint="cs"/>
          <w:rtl/>
        </w:rPr>
        <w:tab/>
      </w:r>
      <w:r w:rsidRPr="00311A7C">
        <w:rPr>
          <w:rtl/>
        </w:rPr>
        <w:t>الشكوى</w:t>
      </w:r>
    </w:p>
    <w:p w:rsidR="009E247B" w:rsidRPr="007559C2" w:rsidRDefault="009E247B" w:rsidP="00E15E73">
      <w:pPr>
        <w:pStyle w:val="SingleTxtGA"/>
        <w:rPr>
          <w:rtl/>
        </w:rPr>
      </w:pPr>
      <w:r w:rsidRPr="007559C2">
        <w:rPr>
          <w:rtl/>
        </w:rPr>
        <w:t>3-</w:t>
      </w:r>
      <w:r w:rsidRPr="007559C2">
        <w:rPr>
          <w:rtl/>
        </w:rPr>
        <w:tab/>
        <w:t>ي</w:t>
      </w:r>
      <w:r>
        <w:rPr>
          <w:rtl/>
        </w:rPr>
        <w:t>دّعي أصحاب الشكوى أن</w:t>
      </w:r>
      <w:r>
        <w:rPr>
          <w:rFonts w:hint="cs"/>
          <w:rtl/>
        </w:rPr>
        <w:t xml:space="preserve"> السويد،</w:t>
      </w:r>
      <w:r w:rsidRPr="007559C2">
        <w:rPr>
          <w:rtl/>
        </w:rPr>
        <w:t xml:space="preserve"> </w:t>
      </w:r>
      <w:r>
        <w:rPr>
          <w:rFonts w:hint="cs"/>
          <w:rtl/>
        </w:rPr>
        <w:t>ب</w:t>
      </w:r>
      <w:r w:rsidRPr="007559C2">
        <w:rPr>
          <w:rtl/>
        </w:rPr>
        <w:t xml:space="preserve">إبعادهم إلى </w:t>
      </w:r>
      <w:r>
        <w:rPr>
          <w:rFonts w:hint="cs"/>
          <w:rtl/>
        </w:rPr>
        <w:t>بيلا</w:t>
      </w:r>
      <w:r w:rsidRPr="007559C2">
        <w:rPr>
          <w:rtl/>
        </w:rPr>
        <w:t xml:space="preserve">روس، </w:t>
      </w:r>
      <w:r>
        <w:rPr>
          <w:rFonts w:hint="cs"/>
          <w:rtl/>
        </w:rPr>
        <w:t xml:space="preserve">ستنتهك حقوقهم بموجب المادة 3 من اتفاقية مكافحة التعذيب. وادعى صاحبا الشكوى الأول والثاني أنهما وزعا معلومات عن الوضع السياسي في بيلاروس عن طريق النشرات </w:t>
      </w:r>
      <w:r w:rsidR="00411E5D">
        <w:rPr>
          <w:rFonts w:hint="cs"/>
          <w:rtl/>
        </w:rPr>
        <w:t>والإنترنت</w:t>
      </w:r>
      <w:r>
        <w:rPr>
          <w:rFonts w:hint="cs"/>
          <w:rtl/>
        </w:rPr>
        <w:t xml:space="preserve"> وشفهيا</w:t>
      </w:r>
      <w:r w:rsidR="00411E5D">
        <w:rPr>
          <w:rFonts w:hint="cs"/>
          <w:rtl/>
        </w:rPr>
        <w:t>ً</w:t>
      </w:r>
      <w:r>
        <w:rPr>
          <w:rFonts w:hint="cs"/>
          <w:rtl/>
        </w:rPr>
        <w:t>. وشاركا في العديد من المظاهرات التي نظمتها المعارضة وأنه أُلقي القبض عليهما في إحدى هذه المظاهرات، وأن صاحبة الشكوى الثانية عُذّبت. ودعا صاحبا الشكوى إلى احتجاجات ضد الحكومة قبل الانتخابات الرئاسية التي جرت في عام 2010 وطلبا الإذن بالمشاركة في هذه الاحتجاجات. ودفعا فضل</w:t>
      </w:r>
      <w:r w:rsidR="00531DA7">
        <w:rPr>
          <w:rFonts w:hint="cs"/>
          <w:rtl/>
        </w:rPr>
        <w:t xml:space="preserve">اً </w:t>
      </w:r>
      <w:r>
        <w:rPr>
          <w:rFonts w:hint="cs"/>
          <w:rtl/>
        </w:rPr>
        <w:t>عن ذلك بأن شرطة بيلاروس تضايقهما باستمرار بتفتيش منزلهما، وبالاتصال بهما هاتفي</w:t>
      </w:r>
      <w:r w:rsidR="00531DA7">
        <w:rPr>
          <w:rFonts w:hint="cs"/>
          <w:rtl/>
        </w:rPr>
        <w:t xml:space="preserve">اً </w:t>
      </w:r>
      <w:r>
        <w:rPr>
          <w:rFonts w:hint="cs"/>
          <w:rtl/>
        </w:rPr>
        <w:t>لتهديدهما، وباستدعائهما لدى شرطة مينسك. وبالنظر إلى وجود نهج ثابت من انتهاكات حقوق الإنسان الجسيمة والصارخة والجماعية في بيلاروس، يدعي صاحبا الشكوى أن ثمة خطر</w:t>
      </w:r>
      <w:r w:rsidR="00531DA7">
        <w:rPr>
          <w:rFonts w:hint="cs"/>
          <w:rtl/>
        </w:rPr>
        <w:t xml:space="preserve">اً </w:t>
      </w:r>
      <w:r>
        <w:rPr>
          <w:rFonts w:hint="cs"/>
          <w:rtl/>
        </w:rPr>
        <w:t>متوقع</w:t>
      </w:r>
      <w:r w:rsidR="00531DA7">
        <w:rPr>
          <w:rFonts w:hint="cs"/>
          <w:rtl/>
        </w:rPr>
        <w:t xml:space="preserve">اً </w:t>
      </w:r>
      <w:r>
        <w:rPr>
          <w:rFonts w:hint="cs"/>
          <w:rtl/>
        </w:rPr>
        <w:t>وحقيقي</w:t>
      </w:r>
      <w:r w:rsidR="00531DA7">
        <w:rPr>
          <w:rFonts w:hint="cs"/>
          <w:rtl/>
        </w:rPr>
        <w:t xml:space="preserve">اً </w:t>
      </w:r>
      <w:r>
        <w:rPr>
          <w:rFonts w:hint="cs"/>
          <w:rtl/>
        </w:rPr>
        <w:t>وشخصي</w:t>
      </w:r>
      <w:r w:rsidR="00531DA7">
        <w:rPr>
          <w:rFonts w:hint="cs"/>
          <w:rtl/>
        </w:rPr>
        <w:t xml:space="preserve">اً </w:t>
      </w:r>
      <w:r>
        <w:rPr>
          <w:rFonts w:hint="cs"/>
          <w:rtl/>
        </w:rPr>
        <w:t>لتعرضهما للتعذيب إن أعيدا إلى بيلاروس</w:t>
      </w:r>
      <w:r w:rsidR="00E15E73" w:rsidRPr="00E15E73">
        <w:rPr>
          <w:rFonts w:hint="cs"/>
          <w:vertAlign w:val="superscript"/>
          <w:rtl/>
        </w:rPr>
        <w:t>(</w:t>
      </w:r>
      <w:r w:rsidRPr="00E15E73">
        <w:rPr>
          <w:rStyle w:val="FootnoteReference"/>
          <w:rtl/>
        </w:rPr>
        <w:footnoteReference w:id="4"/>
      </w:r>
      <w:r w:rsidR="00E15E73" w:rsidRPr="00E15E73">
        <w:rPr>
          <w:rFonts w:hint="cs"/>
          <w:vertAlign w:val="superscript"/>
          <w:rtl/>
        </w:rPr>
        <w:t>)</w:t>
      </w:r>
      <w:r w:rsidR="00E15E73">
        <w:rPr>
          <w:rFonts w:hint="cs"/>
          <w:rtl/>
        </w:rPr>
        <w:t>.</w:t>
      </w:r>
      <w:r w:rsidRPr="007559C2">
        <w:rPr>
          <w:rtl/>
        </w:rPr>
        <w:t xml:space="preserve"> </w:t>
      </w:r>
    </w:p>
    <w:p w:rsidR="009E247B" w:rsidRPr="007559C2" w:rsidRDefault="009E247B" w:rsidP="009E247B">
      <w:pPr>
        <w:pStyle w:val="H23GA"/>
        <w:rPr>
          <w:rtl/>
        </w:rPr>
      </w:pPr>
      <w:r w:rsidRPr="007559C2">
        <w:rPr>
          <w:rFonts w:hint="cs"/>
          <w:rtl/>
        </w:rPr>
        <w:tab/>
      </w:r>
      <w:r w:rsidRPr="007559C2">
        <w:rPr>
          <w:rFonts w:hint="cs"/>
          <w:rtl/>
        </w:rPr>
        <w:tab/>
      </w:r>
      <w:r w:rsidRPr="007559C2">
        <w:rPr>
          <w:rtl/>
        </w:rPr>
        <w:t>ملاحظات الدولة الطرف بشأن مقبولية البلاغ وأسسه الموضوعية</w:t>
      </w:r>
    </w:p>
    <w:p w:rsidR="009E247B" w:rsidRDefault="009E247B" w:rsidP="00E81171">
      <w:pPr>
        <w:pStyle w:val="SingleTxtGA"/>
        <w:rPr>
          <w:rtl/>
        </w:rPr>
      </w:pPr>
      <w:r w:rsidRPr="007559C2">
        <w:rPr>
          <w:rtl/>
        </w:rPr>
        <w:t>4-1</w:t>
      </w:r>
      <w:r w:rsidRPr="007559C2">
        <w:rPr>
          <w:rtl/>
        </w:rPr>
        <w:tab/>
      </w:r>
      <w:r>
        <w:rPr>
          <w:rFonts w:hint="cs"/>
          <w:rtl/>
        </w:rPr>
        <w:t xml:space="preserve">في 24 أيار/مايو 2013، </w:t>
      </w:r>
      <w:r w:rsidRPr="007559C2">
        <w:rPr>
          <w:rtl/>
        </w:rPr>
        <w:t>قدمّت الدولة الطرف</w:t>
      </w:r>
      <w:r>
        <w:rPr>
          <w:rFonts w:hint="cs"/>
          <w:rtl/>
        </w:rPr>
        <w:t xml:space="preserve"> </w:t>
      </w:r>
      <w:r w:rsidRPr="007559C2">
        <w:rPr>
          <w:rtl/>
        </w:rPr>
        <w:t xml:space="preserve">ملاحظاتها بشأن مقبولية البلاغ وأسسه الموضوعية. وتُذكّر الدولة الطرف فيها بوقائع القضية وتشير إلى أن </w:t>
      </w:r>
      <w:r>
        <w:rPr>
          <w:rFonts w:hint="cs"/>
          <w:rtl/>
        </w:rPr>
        <w:t>صاحب</w:t>
      </w:r>
      <w:r w:rsidRPr="007559C2">
        <w:rPr>
          <w:rtl/>
        </w:rPr>
        <w:t xml:space="preserve"> الشكوى </w:t>
      </w:r>
      <w:r>
        <w:rPr>
          <w:rFonts w:hint="cs"/>
          <w:rtl/>
        </w:rPr>
        <w:t xml:space="preserve">الأول قدِم </w:t>
      </w:r>
      <w:r w:rsidRPr="007559C2">
        <w:rPr>
          <w:rtl/>
        </w:rPr>
        <w:t xml:space="preserve">إلى السويد </w:t>
      </w:r>
      <w:r>
        <w:rPr>
          <w:rFonts w:hint="cs"/>
          <w:rtl/>
        </w:rPr>
        <w:t xml:space="preserve">في المرة الأولى </w:t>
      </w:r>
      <w:r w:rsidRPr="007559C2">
        <w:rPr>
          <w:rtl/>
        </w:rPr>
        <w:t xml:space="preserve">في </w:t>
      </w:r>
      <w:r>
        <w:rPr>
          <w:rFonts w:hint="cs"/>
          <w:rtl/>
        </w:rPr>
        <w:t>آذار/مارس 2004</w:t>
      </w:r>
      <w:r w:rsidRPr="007559C2">
        <w:rPr>
          <w:rtl/>
        </w:rPr>
        <w:t xml:space="preserve"> وقد</w:t>
      </w:r>
      <w:r>
        <w:rPr>
          <w:rFonts w:hint="cs"/>
          <w:rtl/>
        </w:rPr>
        <w:t>َّ</w:t>
      </w:r>
      <w:r w:rsidRPr="007559C2">
        <w:rPr>
          <w:rtl/>
        </w:rPr>
        <w:t>م طلب</w:t>
      </w:r>
      <w:r w:rsidR="00531DA7">
        <w:rPr>
          <w:rtl/>
        </w:rPr>
        <w:t xml:space="preserve">اً </w:t>
      </w:r>
      <w:r>
        <w:rPr>
          <w:rFonts w:hint="cs"/>
          <w:rtl/>
        </w:rPr>
        <w:t>للحصول على ال</w:t>
      </w:r>
      <w:r w:rsidRPr="007559C2">
        <w:rPr>
          <w:rtl/>
        </w:rPr>
        <w:t xml:space="preserve">لجوء </w:t>
      </w:r>
      <w:r>
        <w:rPr>
          <w:rFonts w:hint="cs"/>
          <w:rtl/>
        </w:rPr>
        <w:t>بعد أن أمسكت به الشرطة. ولم تكن بحوزته أية وثائق هوية، فقدّم معلومات مزيّفة عن اسمه وعن وحياته الشخصية وعن أسباب تقديم طلب اللجوء، وهي المعلومات التي تبيّن أثناء إجراءات اللجوء أنها مغلوطة</w:t>
      </w:r>
      <w:r w:rsidR="00E15E73" w:rsidRPr="00E15E73">
        <w:rPr>
          <w:rFonts w:hint="cs"/>
          <w:vertAlign w:val="superscript"/>
          <w:rtl/>
        </w:rPr>
        <w:t>(</w:t>
      </w:r>
      <w:r w:rsidRPr="00E15E73">
        <w:rPr>
          <w:rStyle w:val="FootnoteReference"/>
          <w:rtl/>
        </w:rPr>
        <w:footnoteReference w:id="5"/>
      </w:r>
      <w:r w:rsidR="00E15E73" w:rsidRPr="00E15E73">
        <w:rPr>
          <w:rFonts w:hint="cs"/>
          <w:vertAlign w:val="superscript"/>
          <w:rtl/>
        </w:rPr>
        <w:t>)</w:t>
      </w:r>
      <w:r w:rsidR="00E15E73">
        <w:rPr>
          <w:rFonts w:hint="cs"/>
          <w:rtl/>
        </w:rPr>
        <w:t>.</w:t>
      </w:r>
      <w:r>
        <w:rPr>
          <w:rFonts w:hint="cs"/>
          <w:rtl/>
        </w:rPr>
        <w:t xml:space="preserve"> ووفق</w:t>
      </w:r>
      <w:r w:rsidR="00531DA7">
        <w:rPr>
          <w:rFonts w:hint="cs"/>
          <w:rtl/>
        </w:rPr>
        <w:t xml:space="preserve">اً </w:t>
      </w:r>
      <w:r>
        <w:rPr>
          <w:rFonts w:hint="cs"/>
          <w:rtl/>
        </w:rPr>
        <w:t>للدولة الطرف، فقد ذكر، في جملة ما ذكر، أن عمره دون</w:t>
      </w:r>
      <w:r w:rsidR="00C67BDF">
        <w:rPr>
          <w:rFonts w:hint="eastAsia"/>
          <w:rtl/>
        </w:rPr>
        <w:t> </w:t>
      </w:r>
      <w:r>
        <w:rPr>
          <w:rFonts w:hint="cs"/>
          <w:rtl/>
        </w:rPr>
        <w:t>18 عام</w:t>
      </w:r>
      <w:r w:rsidR="00531DA7">
        <w:rPr>
          <w:rFonts w:hint="cs"/>
          <w:rtl/>
        </w:rPr>
        <w:t xml:space="preserve">اً </w:t>
      </w:r>
      <w:r>
        <w:rPr>
          <w:rFonts w:hint="cs"/>
          <w:rtl/>
        </w:rPr>
        <w:t>وأنه لم يكن ينشط في الحقل السياسي في بيلاروس على الإطلاق. ورفض مجلس الهجرة طلب اللجوء الذي قدّمه وأمر بترحيله إلى بيلاروس، وهو ما تم في 14 أيار/</w:t>
      </w:r>
      <w:r w:rsidR="00C67BDF">
        <w:rPr>
          <w:rFonts w:hint="cs"/>
          <w:rtl/>
        </w:rPr>
        <w:t xml:space="preserve"> </w:t>
      </w:r>
      <w:r>
        <w:rPr>
          <w:rFonts w:hint="cs"/>
          <w:rtl/>
        </w:rPr>
        <w:t>مايو</w:t>
      </w:r>
      <w:r w:rsidR="00C67BDF">
        <w:rPr>
          <w:rFonts w:hint="eastAsia"/>
          <w:rtl/>
        </w:rPr>
        <w:t> </w:t>
      </w:r>
      <w:r>
        <w:rPr>
          <w:rFonts w:hint="cs"/>
          <w:rtl/>
        </w:rPr>
        <w:t xml:space="preserve">2005. وفي وقت لاحق، زار صاحبا الشكوى الأول والثاني السويد في عام 2009 بتأشيرة صالحة من 20 آب/أغسطس 2009 إلى 20 شباط/فبراير 2010. وغادرا السويد </w:t>
      </w:r>
      <w:r>
        <w:rPr>
          <w:rFonts w:hint="cs"/>
          <w:rtl/>
        </w:rPr>
        <w:lastRenderedPageBreak/>
        <w:t>في</w:t>
      </w:r>
      <w:r w:rsidR="00E81171">
        <w:rPr>
          <w:rFonts w:hint="eastAsia"/>
          <w:rtl/>
        </w:rPr>
        <w:t> </w:t>
      </w:r>
      <w:r>
        <w:rPr>
          <w:rFonts w:hint="cs"/>
          <w:rtl/>
        </w:rPr>
        <w:t>تشرين الثاني/نوفمبر 2009</w:t>
      </w:r>
      <w:r w:rsidR="00594B08">
        <w:rPr>
          <w:rFonts w:hint="cs"/>
          <w:rtl/>
        </w:rPr>
        <w:t xml:space="preserve"> </w:t>
      </w:r>
      <w:r>
        <w:rPr>
          <w:rFonts w:hint="cs"/>
          <w:rtl/>
        </w:rPr>
        <w:t>وعادا في شباط/فبراير 2010 بتأشيرة صالحة من 25 شباط/</w:t>
      </w:r>
      <w:r w:rsidR="00C67BDF">
        <w:rPr>
          <w:rFonts w:hint="cs"/>
          <w:rtl/>
        </w:rPr>
        <w:t xml:space="preserve"> </w:t>
      </w:r>
      <w:r>
        <w:rPr>
          <w:rFonts w:hint="cs"/>
          <w:rtl/>
        </w:rPr>
        <w:t>فبراير</w:t>
      </w:r>
      <w:r w:rsidR="00C67BDF">
        <w:rPr>
          <w:rFonts w:hint="eastAsia"/>
          <w:rtl/>
        </w:rPr>
        <w:t> </w:t>
      </w:r>
      <w:r>
        <w:rPr>
          <w:rFonts w:hint="cs"/>
          <w:rtl/>
        </w:rPr>
        <w:t>2010 إلى 25 شباط/فبراير 2011.</w:t>
      </w:r>
    </w:p>
    <w:p w:rsidR="009E247B" w:rsidRPr="00C67BDF" w:rsidRDefault="009E247B" w:rsidP="009E247B">
      <w:pPr>
        <w:pStyle w:val="SingleTxtGA"/>
        <w:rPr>
          <w:rFonts w:ascii="Traditional Arabic" w:hAnsi="Traditional Arabic"/>
          <w:spacing w:val="-2"/>
          <w:rtl/>
        </w:rPr>
      </w:pPr>
      <w:r w:rsidRPr="00C67BDF">
        <w:rPr>
          <w:rFonts w:ascii="Traditional Arabic" w:hAnsi="Traditional Arabic" w:hint="cs"/>
          <w:spacing w:val="-2"/>
          <w:rtl/>
        </w:rPr>
        <w:t>4-2</w:t>
      </w:r>
      <w:r w:rsidRPr="00C67BDF">
        <w:rPr>
          <w:rFonts w:ascii="Traditional Arabic" w:hAnsi="Traditional Arabic" w:hint="cs"/>
          <w:spacing w:val="-2"/>
          <w:rtl/>
        </w:rPr>
        <w:tab/>
      </w:r>
      <w:r w:rsidRPr="00C67BDF">
        <w:rPr>
          <w:spacing w:val="-2"/>
          <w:rtl/>
        </w:rPr>
        <w:t>و</w:t>
      </w:r>
      <w:r w:rsidRPr="00C67BDF">
        <w:rPr>
          <w:rFonts w:hint="cs"/>
          <w:spacing w:val="-2"/>
          <w:rtl/>
        </w:rPr>
        <w:t>تلاحظ</w:t>
      </w:r>
      <w:r w:rsidRPr="00C67BDF">
        <w:rPr>
          <w:spacing w:val="-2"/>
          <w:rtl/>
        </w:rPr>
        <w:t xml:space="preserve"> الدولة الطرف </w:t>
      </w:r>
      <w:r w:rsidRPr="00C67BDF">
        <w:rPr>
          <w:rFonts w:hint="cs"/>
          <w:spacing w:val="-2"/>
          <w:rtl/>
        </w:rPr>
        <w:t>كذلك</w:t>
      </w:r>
      <w:r w:rsidRPr="00C67BDF">
        <w:rPr>
          <w:spacing w:val="-2"/>
          <w:rtl/>
        </w:rPr>
        <w:t xml:space="preserve"> أنه، وفقاً للفقرة الفرعية (أ) من الفقرة (5) من المادة</w:t>
      </w:r>
      <w:r w:rsidRPr="00C67BDF">
        <w:rPr>
          <w:rFonts w:hint="cs"/>
          <w:spacing w:val="-2"/>
          <w:rtl/>
        </w:rPr>
        <w:t> </w:t>
      </w:r>
      <w:r w:rsidRPr="00C67BDF">
        <w:rPr>
          <w:spacing w:val="-2"/>
          <w:rtl/>
        </w:rPr>
        <w:t xml:space="preserve">22 من الاتفاقية، لا تنظر اللجنة في أي بلاغ ما لم تتأكد من أن المسألة ذاتها لم تُبحث، وليست قيد البحث، في إطار إجراء آخر من إجراءات التحقيق الدولي أو التسوية الدولية، </w:t>
      </w:r>
      <w:r w:rsidRPr="00C67BDF">
        <w:rPr>
          <w:rFonts w:hint="cs"/>
          <w:spacing w:val="-2"/>
          <w:rtl/>
        </w:rPr>
        <w:t>وتلاحظ</w:t>
      </w:r>
      <w:r w:rsidRPr="00C67BDF">
        <w:rPr>
          <w:spacing w:val="-2"/>
          <w:rtl/>
        </w:rPr>
        <w:t xml:space="preserve"> أنها لا تدري إن كانت هذه القضية في السابق أو لا تزال </w:t>
      </w:r>
      <w:r w:rsidRPr="00C67BDF">
        <w:rPr>
          <w:rFonts w:hint="cs"/>
          <w:spacing w:val="-2"/>
          <w:rtl/>
        </w:rPr>
        <w:t>حالي</w:t>
      </w:r>
      <w:r w:rsidR="00531DA7">
        <w:rPr>
          <w:rFonts w:hint="cs"/>
          <w:spacing w:val="-2"/>
          <w:rtl/>
        </w:rPr>
        <w:t xml:space="preserve">اً </w:t>
      </w:r>
      <w:r w:rsidRPr="00C67BDF">
        <w:rPr>
          <w:spacing w:val="-2"/>
          <w:rtl/>
        </w:rPr>
        <w:t xml:space="preserve">موضوع أي تحقيق أو تسوية </w:t>
      </w:r>
      <w:r w:rsidRPr="00C67BDF">
        <w:rPr>
          <w:rFonts w:hint="cs"/>
          <w:spacing w:val="-2"/>
          <w:rtl/>
        </w:rPr>
        <w:t>من هذا القبيل</w:t>
      </w:r>
      <w:r w:rsidRPr="00C67BDF">
        <w:rPr>
          <w:spacing w:val="-2"/>
          <w:rtl/>
        </w:rPr>
        <w:t xml:space="preserve">. </w:t>
      </w:r>
      <w:r w:rsidRPr="00C67BDF">
        <w:rPr>
          <w:rFonts w:hint="cs"/>
          <w:spacing w:val="-2"/>
          <w:rtl/>
        </w:rPr>
        <w:t>وتقر</w:t>
      </w:r>
      <w:r w:rsidRPr="00C67BDF">
        <w:rPr>
          <w:spacing w:val="-2"/>
          <w:rtl/>
        </w:rPr>
        <w:t xml:space="preserve"> الدولة الطرف بأن جميع سبل الانتصاف المحلية المتاحة قد استُنفدت في هذه القضية وفقاً لمقتضيات الفقرة الفرعية (ب) من الفقرة (5) من المادة 22 من الاتفاقية.</w:t>
      </w:r>
    </w:p>
    <w:p w:rsidR="009E247B" w:rsidRPr="007559C2" w:rsidRDefault="009E247B" w:rsidP="00E81171">
      <w:pPr>
        <w:pStyle w:val="SingleTxtGA"/>
        <w:rPr>
          <w:rtl/>
        </w:rPr>
      </w:pPr>
      <w:r w:rsidRPr="007559C2">
        <w:rPr>
          <w:rtl/>
        </w:rPr>
        <w:t>4-</w:t>
      </w:r>
      <w:r>
        <w:rPr>
          <w:rFonts w:hint="cs"/>
          <w:rtl/>
        </w:rPr>
        <w:t>3</w:t>
      </w:r>
      <w:r w:rsidRPr="007559C2">
        <w:rPr>
          <w:rtl/>
        </w:rPr>
        <w:tab/>
        <w:t>و</w:t>
      </w:r>
      <w:r>
        <w:rPr>
          <w:rFonts w:hint="cs"/>
          <w:rtl/>
        </w:rPr>
        <w:t>تدفع</w:t>
      </w:r>
      <w:r w:rsidRPr="007559C2">
        <w:rPr>
          <w:rtl/>
        </w:rPr>
        <w:t xml:space="preserve"> الدولة الطرف </w:t>
      </w:r>
      <w:r>
        <w:rPr>
          <w:rFonts w:hint="cs"/>
          <w:rtl/>
        </w:rPr>
        <w:t>ب</w:t>
      </w:r>
      <w:r w:rsidRPr="007559C2">
        <w:rPr>
          <w:rtl/>
        </w:rPr>
        <w:t xml:space="preserve">أن تأكيد </w:t>
      </w:r>
      <w:r w:rsidR="0081790E">
        <w:rPr>
          <w:rtl/>
        </w:rPr>
        <w:t>صاحبا</w:t>
      </w:r>
      <w:r w:rsidRPr="007559C2">
        <w:rPr>
          <w:rtl/>
        </w:rPr>
        <w:t xml:space="preserve"> الشكوى أنهم</w:t>
      </w:r>
      <w:r>
        <w:rPr>
          <w:rFonts w:hint="cs"/>
          <w:rtl/>
        </w:rPr>
        <w:t>ا معرضان لخطر المعاملة بما يرقى إلى انتهاك</w:t>
      </w:r>
      <w:r w:rsidRPr="007559C2">
        <w:rPr>
          <w:rtl/>
        </w:rPr>
        <w:t xml:space="preserve"> المادة 3 من الاتفاقية إذا أُعيدوا إلى </w:t>
      </w:r>
      <w:r>
        <w:rPr>
          <w:rFonts w:hint="cs"/>
          <w:rtl/>
        </w:rPr>
        <w:t>بيلاروس</w:t>
      </w:r>
      <w:r w:rsidRPr="007559C2">
        <w:rPr>
          <w:rtl/>
        </w:rPr>
        <w:t xml:space="preserve"> </w:t>
      </w:r>
      <w:r>
        <w:rPr>
          <w:rFonts w:hint="cs"/>
          <w:rtl/>
        </w:rPr>
        <w:t>بعيد عن تحقيق</w:t>
      </w:r>
      <w:r w:rsidRPr="007559C2">
        <w:rPr>
          <w:rtl/>
        </w:rPr>
        <w:t xml:space="preserve"> </w:t>
      </w:r>
      <w:r>
        <w:rPr>
          <w:rFonts w:hint="cs"/>
          <w:rtl/>
        </w:rPr>
        <w:t>المستوى</w:t>
      </w:r>
      <w:r w:rsidRPr="007559C2">
        <w:rPr>
          <w:rtl/>
        </w:rPr>
        <w:t xml:space="preserve"> </w:t>
      </w:r>
      <w:r>
        <w:rPr>
          <w:rFonts w:hint="cs"/>
          <w:rtl/>
        </w:rPr>
        <w:t>ال</w:t>
      </w:r>
      <w:r w:rsidRPr="007559C2">
        <w:rPr>
          <w:rtl/>
        </w:rPr>
        <w:t xml:space="preserve">أدنى </w:t>
      </w:r>
      <w:r>
        <w:rPr>
          <w:rFonts w:hint="cs"/>
          <w:rtl/>
        </w:rPr>
        <w:t>من</w:t>
      </w:r>
      <w:r w:rsidR="00E81171">
        <w:rPr>
          <w:rFonts w:hint="cs"/>
          <w:rtl/>
        </w:rPr>
        <w:t> </w:t>
      </w:r>
      <w:r w:rsidRPr="007559C2">
        <w:rPr>
          <w:rtl/>
        </w:rPr>
        <w:t>الإثبات اللازم لأغراض المقبولية. ووفقاً للدولة الطرف، من الواضح أن هذا البلاغ</w:t>
      </w:r>
      <w:r>
        <w:rPr>
          <w:rtl/>
        </w:rPr>
        <w:t xml:space="preserve"> لا </w:t>
      </w:r>
      <w:r w:rsidRPr="007559C2">
        <w:rPr>
          <w:rtl/>
        </w:rPr>
        <w:t>أساس له من الصحة، ومن ثَم، فهو غير مقبول بموجب الفقرة 2 من المادة 22 من الاتفاقية والفقرة</w:t>
      </w:r>
      <w:r w:rsidR="00E81171">
        <w:rPr>
          <w:rFonts w:hint="cs"/>
          <w:rtl/>
        </w:rPr>
        <w:t> </w:t>
      </w:r>
      <w:r w:rsidRPr="007559C2">
        <w:rPr>
          <w:rtl/>
        </w:rPr>
        <w:t>(ب) من المادة 1</w:t>
      </w:r>
      <w:r>
        <w:rPr>
          <w:rFonts w:hint="cs"/>
          <w:rtl/>
        </w:rPr>
        <w:t>07</w:t>
      </w:r>
      <w:r w:rsidRPr="007559C2">
        <w:rPr>
          <w:rtl/>
        </w:rPr>
        <w:t xml:space="preserve"> من نظام اللجنة الداخلي</w:t>
      </w:r>
      <w:r w:rsidRPr="00E15E73">
        <w:rPr>
          <w:rStyle w:val="FootnoteReference"/>
          <w:rFonts w:ascii="Traditional Arabic" w:hAnsi="Traditional Arabic"/>
          <w:sz w:val="20"/>
          <w:szCs w:val="30"/>
          <w:rtl/>
        </w:rPr>
        <w:t>(</w:t>
      </w:r>
      <w:r w:rsidRPr="00E15E73">
        <w:rPr>
          <w:rStyle w:val="FootnoteReference"/>
          <w:rFonts w:ascii="Traditional Arabic" w:hAnsi="Traditional Arabic"/>
          <w:rtl/>
        </w:rPr>
        <w:footnoteReference w:id="6"/>
      </w:r>
      <w:r w:rsidRPr="00E15E73">
        <w:rPr>
          <w:rStyle w:val="FootnoteReference"/>
          <w:rFonts w:ascii="Traditional Arabic" w:hAnsi="Traditional Arabic"/>
          <w:sz w:val="20"/>
          <w:szCs w:val="30"/>
          <w:rtl/>
        </w:rPr>
        <w:t>)</w:t>
      </w:r>
      <w:r w:rsidRPr="007559C2">
        <w:rPr>
          <w:rtl/>
        </w:rPr>
        <w:t xml:space="preserve">. </w:t>
      </w:r>
      <w:r>
        <w:rPr>
          <w:rFonts w:hint="cs"/>
          <w:rtl/>
        </w:rPr>
        <w:t>وفي حال</w:t>
      </w:r>
      <w:r w:rsidRPr="007559C2">
        <w:rPr>
          <w:rtl/>
        </w:rPr>
        <w:t xml:space="preserve"> أقرّت اللجنة مقبوليته، </w:t>
      </w:r>
      <w:r>
        <w:rPr>
          <w:rFonts w:hint="cs"/>
          <w:rtl/>
        </w:rPr>
        <w:t xml:space="preserve">فإن </w:t>
      </w:r>
      <w:r w:rsidRPr="007559C2">
        <w:rPr>
          <w:rtl/>
        </w:rPr>
        <w:t xml:space="preserve">المسألة المعروضة عليها </w:t>
      </w:r>
      <w:r>
        <w:rPr>
          <w:rFonts w:hint="cs"/>
          <w:rtl/>
        </w:rPr>
        <w:t>تتلخص في معرفة ما </w:t>
      </w:r>
      <w:r w:rsidRPr="007559C2">
        <w:rPr>
          <w:rtl/>
        </w:rPr>
        <w:t>إذا كانت إعادة أصحاب الشكوى قسراً تشكّل</w:t>
      </w:r>
      <w:r w:rsidR="00E81171">
        <w:rPr>
          <w:rFonts w:hint="cs"/>
          <w:rtl/>
        </w:rPr>
        <w:t> </w:t>
      </w:r>
      <w:r w:rsidRPr="007559C2">
        <w:rPr>
          <w:rtl/>
        </w:rPr>
        <w:t>انتهاكاً لالتزام السويد بموجب المادة 3 من الاتفاقية بعدم طرد أي شخص</w:t>
      </w:r>
      <w:r>
        <w:rPr>
          <w:rtl/>
        </w:rPr>
        <w:t xml:space="preserve"> أو </w:t>
      </w:r>
      <w:r w:rsidRPr="007559C2">
        <w:rPr>
          <w:rtl/>
        </w:rPr>
        <w:t>إعادته إلى</w:t>
      </w:r>
      <w:r w:rsidR="00E81171">
        <w:rPr>
          <w:rFonts w:hint="cs"/>
          <w:rtl/>
        </w:rPr>
        <w:t> </w:t>
      </w:r>
      <w:r w:rsidRPr="007559C2">
        <w:rPr>
          <w:rtl/>
        </w:rPr>
        <w:t>دولة أخرى متى وُجدت أسباب جوهرية تدعو إلى الاعتقاد أنه قد يتعرّض في تلك الدولة لخطر التعذيب.</w:t>
      </w:r>
    </w:p>
    <w:p w:rsidR="009E247B" w:rsidRPr="00411E5D" w:rsidRDefault="009E247B" w:rsidP="00411E5D">
      <w:pPr>
        <w:pStyle w:val="SingleTxtGA"/>
        <w:rPr>
          <w:spacing w:val="-2"/>
          <w:rtl/>
        </w:rPr>
      </w:pPr>
      <w:r w:rsidRPr="00411E5D">
        <w:rPr>
          <w:spacing w:val="-2"/>
          <w:rtl/>
        </w:rPr>
        <w:t>4-</w:t>
      </w:r>
      <w:r w:rsidRPr="00411E5D">
        <w:rPr>
          <w:rFonts w:hint="cs"/>
          <w:spacing w:val="-2"/>
          <w:rtl/>
        </w:rPr>
        <w:t>4</w:t>
      </w:r>
      <w:r w:rsidRPr="00411E5D">
        <w:rPr>
          <w:spacing w:val="-2"/>
          <w:rtl/>
        </w:rPr>
        <w:tab/>
        <w:t>و</w:t>
      </w:r>
      <w:r w:rsidRPr="00411E5D">
        <w:rPr>
          <w:rFonts w:hint="cs"/>
          <w:spacing w:val="-2"/>
          <w:rtl/>
        </w:rPr>
        <w:t>تلاحظ</w:t>
      </w:r>
      <w:r w:rsidRPr="00411E5D">
        <w:rPr>
          <w:spacing w:val="-2"/>
          <w:rtl/>
        </w:rPr>
        <w:t xml:space="preserve"> الدولة الطرف أنه يتعيّن على اللجنة، عند البتّ فيما إذا كانت إعادة أي</w:t>
      </w:r>
      <w:r w:rsidR="00411E5D" w:rsidRPr="00411E5D">
        <w:rPr>
          <w:rFonts w:hint="cs"/>
          <w:spacing w:val="-2"/>
          <w:rtl/>
        </w:rPr>
        <w:t> </w:t>
      </w:r>
      <w:r w:rsidRPr="00411E5D">
        <w:rPr>
          <w:spacing w:val="-2"/>
          <w:rtl/>
        </w:rPr>
        <w:t xml:space="preserve">شخص قسراً إلى بلد آخر تشكّل انتهاكاً للمادة 3 من الاتفاقية، أن تراعي جميع الاعتبارات ذات الصلة، بما في ذلك </w:t>
      </w:r>
      <w:r w:rsidRPr="00411E5D">
        <w:rPr>
          <w:rFonts w:hint="cs"/>
          <w:spacing w:val="-2"/>
          <w:rtl/>
        </w:rPr>
        <w:t>مدى</w:t>
      </w:r>
      <w:r w:rsidRPr="00411E5D">
        <w:rPr>
          <w:spacing w:val="-2"/>
          <w:rtl/>
        </w:rPr>
        <w:t xml:space="preserve"> وجود نمط ثابت من الانتهاكات الجسيمة أو الصارخة أو الجماعية لحقوق الإنسان في ذلك البلد. </w:t>
      </w:r>
      <w:r w:rsidRPr="00411E5D">
        <w:rPr>
          <w:rFonts w:hint="cs"/>
          <w:spacing w:val="-2"/>
          <w:rtl/>
        </w:rPr>
        <w:t>على</w:t>
      </w:r>
      <w:r w:rsidRPr="00411E5D">
        <w:rPr>
          <w:spacing w:val="-2"/>
          <w:rtl/>
        </w:rPr>
        <w:t xml:space="preserve"> أن الهدف من مثل هذا </w:t>
      </w:r>
      <w:r w:rsidRPr="00411E5D">
        <w:rPr>
          <w:rFonts w:hint="cs"/>
          <w:spacing w:val="-2"/>
          <w:rtl/>
        </w:rPr>
        <w:t>القرار</w:t>
      </w:r>
      <w:r w:rsidRPr="00411E5D">
        <w:rPr>
          <w:spacing w:val="-2"/>
          <w:rtl/>
        </w:rPr>
        <w:t>، وفقاً لما شدّدت عليه اللجنة مراراً، هو تحديد مدى احتمال تعرّض الفرد المعني شخصياً لخطر التعذيب في البلد ال</w:t>
      </w:r>
      <w:r w:rsidRPr="00411E5D">
        <w:rPr>
          <w:rFonts w:hint="cs"/>
          <w:spacing w:val="-2"/>
          <w:rtl/>
        </w:rPr>
        <w:t>ذ</w:t>
      </w:r>
      <w:r w:rsidRPr="00411E5D">
        <w:rPr>
          <w:spacing w:val="-2"/>
          <w:rtl/>
        </w:rPr>
        <w:t>ي سيُعاد إليه. وعلى ذلك، ف</w:t>
      </w:r>
      <w:r w:rsidRPr="00411E5D">
        <w:rPr>
          <w:rFonts w:hint="cs"/>
          <w:spacing w:val="-2"/>
          <w:rtl/>
        </w:rPr>
        <w:t xml:space="preserve">إن </w:t>
      </w:r>
      <w:r w:rsidRPr="00411E5D">
        <w:rPr>
          <w:spacing w:val="-2"/>
          <w:rtl/>
        </w:rPr>
        <w:t xml:space="preserve">وجود نمطٍ ثابت من الانتهاكات الجسيمة أو الصارخة أو الجماعية لحقوق الإنسان في بلدٍ ما لا يشكّل في حدّ ذاته سبباً كافياً لتحديد احتمال تعرّض شخصٍ بعينه لخطر التعذيب بعد إعادته إلى ذلك البلد. إذ يتعيّن، لإقرار وقوع انتهاك للمادة 3 من الاتفاقية، وجود أسباب أخرى </w:t>
      </w:r>
      <w:r w:rsidRPr="00411E5D">
        <w:rPr>
          <w:rFonts w:hint="cs"/>
          <w:spacing w:val="-2"/>
          <w:rtl/>
        </w:rPr>
        <w:t>تبيّن</w:t>
      </w:r>
      <w:r w:rsidRPr="00411E5D">
        <w:rPr>
          <w:spacing w:val="-2"/>
          <w:rtl/>
        </w:rPr>
        <w:t xml:space="preserve"> أن الفرد المعني </w:t>
      </w:r>
      <w:r w:rsidRPr="00411E5D">
        <w:rPr>
          <w:rFonts w:hint="cs"/>
          <w:spacing w:val="-2"/>
          <w:rtl/>
        </w:rPr>
        <w:t>سيكون معرضاً</w:t>
      </w:r>
      <w:r w:rsidRPr="00411E5D">
        <w:rPr>
          <w:spacing w:val="-2"/>
          <w:rtl/>
        </w:rPr>
        <w:t xml:space="preserve"> شخصياً</w:t>
      </w:r>
      <w:r w:rsidRPr="00411E5D">
        <w:rPr>
          <w:rStyle w:val="FootnoteReference"/>
          <w:rFonts w:ascii="Traditional Arabic" w:hAnsi="Traditional Arabic"/>
          <w:spacing w:val="-2"/>
          <w:sz w:val="20"/>
          <w:szCs w:val="30"/>
          <w:rtl/>
        </w:rPr>
        <w:t>(</w:t>
      </w:r>
      <w:r w:rsidRPr="00411E5D">
        <w:rPr>
          <w:rStyle w:val="FootnoteReference"/>
          <w:rFonts w:ascii="Traditional Arabic" w:hAnsi="Traditional Arabic"/>
          <w:spacing w:val="-2"/>
          <w:rtl/>
        </w:rPr>
        <w:footnoteReference w:id="7"/>
      </w:r>
      <w:r w:rsidRPr="00411E5D">
        <w:rPr>
          <w:rStyle w:val="FootnoteReference"/>
          <w:rFonts w:ascii="Traditional Arabic" w:hAnsi="Traditional Arabic"/>
          <w:spacing w:val="-2"/>
          <w:sz w:val="20"/>
          <w:szCs w:val="30"/>
          <w:rtl/>
        </w:rPr>
        <w:t>)</w:t>
      </w:r>
      <w:r w:rsidR="00E81171" w:rsidRPr="00411E5D">
        <w:rPr>
          <w:spacing w:val="-2"/>
          <w:rtl/>
        </w:rPr>
        <w:t>.</w:t>
      </w:r>
    </w:p>
    <w:p w:rsidR="009E247B" w:rsidRPr="007559C2" w:rsidRDefault="009E247B" w:rsidP="009E247B">
      <w:pPr>
        <w:pStyle w:val="SingleTxtGA"/>
        <w:rPr>
          <w:rtl/>
        </w:rPr>
      </w:pPr>
      <w:r w:rsidRPr="007559C2">
        <w:rPr>
          <w:rtl/>
        </w:rPr>
        <w:lastRenderedPageBreak/>
        <w:t>4-</w:t>
      </w:r>
      <w:r>
        <w:rPr>
          <w:rFonts w:hint="cs"/>
          <w:rtl/>
        </w:rPr>
        <w:t>5</w:t>
      </w:r>
      <w:r w:rsidRPr="007559C2">
        <w:rPr>
          <w:rtl/>
        </w:rPr>
        <w:tab/>
        <w:t>وفي ضوء</w:t>
      </w:r>
      <w:r>
        <w:rPr>
          <w:rtl/>
        </w:rPr>
        <w:t xml:space="preserve"> ما </w:t>
      </w:r>
      <w:r w:rsidRPr="007559C2">
        <w:rPr>
          <w:rtl/>
        </w:rPr>
        <w:t xml:space="preserve">تقدّم، </w:t>
      </w:r>
      <w:r>
        <w:rPr>
          <w:rFonts w:hint="cs"/>
          <w:rtl/>
        </w:rPr>
        <w:t>تلاحظ</w:t>
      </w:r>
      <w:r w:rsidRPr="007559C2">
        <w:rPr>
          <w:rtl/>
        </w:rPr>
        <w:t xml:space="preserve"> الدولة الطرف أنه</w:t>
      </w:r>
      <w:r>
        <w:rPr>
          <w:rFonts w:hint="cs"/>
          <w:rtl/>
        </w:rPr>
        <w:t>،</w:t>
      </w:r>
      <w:r w:rsidRPr="007559C2">
        <w:rPr>
          <w:rtl/>
        </w:rPr>
        <w:t xml:space="preserve"> عند البتّ فيما إذا كانت إعادة أصحاب</w:t>
      </w:r>
      <w:r w:rsidRPr="007559C2">
        <w:rPr>
          <w:rFonts w:hint="cs"/>
          <w:rtl/>
        </w:rPr>
        <w:t xml:space="preserve"> </w:t>
      </w:r>
      <w:r w:rsidRPr="007559C2">
        <w:rPr>
          <w:rtl/>
        </w:rPr>
        <w:t xml:space="preserve">الشكوى قسراً إلى </w:t>
      </w:r>
      <w:r>
        <w:rPr>
          <w:rFonts w:hint="cs"/>
          <w:rtl/>
        </w:rPr>
        <w:t>بيلاروس</w:t>
      </w:r>
      <w:r w:rsidRPr="007559C2">
        <w:rPr>
          <w:rtl/>
        </w:rPr>
        <w:t xml:space="preserve"> تشكّل خرقاً للمادة 3 من الاتفاقية، </w:t>
      </w:r>
      <w:r>
        <w:rPr>
          <w:rFonts w:hint="cs"/>
          <w:rtl/>
        </w:rPr>
        <w:t>يكتسي</w:t>
      </w:r>
      <w:r w:rsidRPr="007559C2">
        <w:rPr>
          <w:rtl/>
        </w:rPr>
        <w:t xml:space="preserve"> الاعتباران التاليان</w:t>
      </w:r>
      <w:r>
        <w:rPr>
          <w:rFonts w:hint="cs"/>
          <w:rtl/>
        </w:rPr>
        <w:t xml:space="preserve"> أهمية</w:t>
      </w:r>
      <w:r w:rsidRPr="007559C2">
        <w:rPr>
          <w:rtl/>
        </w:rPr>
        <w:t xml:space="preserve">: </w:t>
      </w:r>
      <w:r>
        <w:rPr>
          <w:rFonts w:hint="cs"/>
          <w:rtl/>
        </w:rPr>
        <w:t xml:space="preserve">(أ) </w:t>
      </w:r>
      <w:r w:rsidRPr="007559C2">
        <w:rPr>
          <w:rtl/>
        </w:rPr>
        <w:t xml:space="preserve">الحالة العامة لحقوق الإنسان في </w:t>
      </w:r>
      <w:r>
        <w:rPr>
          <w:rFonts w:hint="cs"/>
          <w:rtl/>
        </w:rPr>
        <w:t>بيلاروس</w:t>
      </w:r>
      <w:r w:rsidRPr="007559C2">
        <w:rPr>
          <w:rtl/>
        </w:rPr>
        <w:t>،</w:t>
      </w:r>
      <w:r>
        <w:rPr>
          <w:rtl/>
        </w:rPr>
        <w:t xml:space="preserve"> </w:t>
      </w:r>
      <w:r>
        <w:rPr>
          <w:rFonts w:hint="cs"/>
          <w:rtl/>
        </w:rPr>
        <w:t xml:space="preserve">(ب) </w:t>
      </w:r>
      <w:r>
        <w:rPr>
          <w:rtl/>
        </w:rPr>
        <w:t>و</w:t>
      </w:r>
      <w:r>
        <w:rPr>
          <w:rFonts w:hint="cs"/>
          <w:rtl/>
        </w:rPr>
        <w:t>بوجه أخص،</w:t>
      </w:r>
      <w:r w:rsidRPr="007559C2">
        <w:rPr>
          <w:rtl/>
        </w:rPr>
        <w:t xml:space="preserve"> احتمال تعرّض أصحاب الشكوى شخصياً لخطر التعذيب هناك</w:t>
      </w:r>
      <w:r>
        <w:rPr>
          <w:rFonts w:hint="cs"/>
          <w:rtl/>
        </w:rPr>
        <w:t>.</w:t>
      </w:r>
    </w:p>
    <w:p w:rsidR="009E247B" w:rsidRPr="007559C2" w:rsidRDefault="009E247B" w:rsidP="009E247B">
      <w:pPr>
        <w:pStyle w:val="SingleTxtGA"/>
        <w:rPr>
          <w:rtl/>
        </w:rPr>
      </w:pPr>
      <w:r w:rsidRPr="007559C2">
        <w:rPr>
          <w:rtl/>
        </w:rPr>
        <w:t>4-</w:t>
      </w:r>
      <w:r>
        <w:rPr>
          <w:rFonts w:hint="cs"/>
          <w:rtl/>
        </w:rPr>
        <w:t>6</w:t>
      </w:r>
      <w:r w:rsidRPr="007559C2">
        <w:rPr>
          <w:rtl/>
        </w:rPr>
        <w:tab/>
        <w:t>علاوة على ذلك، تذكّر الدولة الطرف باجتهادات اللجنة</w:t>
      </w:r>
      <w:r>
        <w:rPr>
          <w:rFonts w:hint="cs"/>
          <w:rtl/>
        </w:rPr>
        <w:t xml:space="preserve"> ومؤداها أن</w:t>
      </w:r>
      <w:r w:rsidRPr="007559C2">
        <w:rPr>
          <w:rtl/>
        </w:rPr>
        <w:t xml:space="preserve"> </w:t>
      </w:r>
      <w:r>
        <w:rPr>
          <w:rFonts w:hint="cs"/>
          <w:rtl/>
        </w:rPr>
        <w:t>ع</w:t>
      </w:r>
      <w:r w:rsidRPr="007559C2">
        <w:rPr>
          <w:rtl/>
        </w:rPr>
        <w:t xml:space="preserve">بء الإثبات في الحالات المشابهة لهذه الحالة </w:t>
      </w:r>
      <w:r>
        <w:rPr>
          <w:rFonts w:hint="cs"/>
          <w:rtl/>
        </w:rPr>
        <w:t xml:space="preserve">يقع </w:t>
      </w:r>
      <w:r w:rsidRPr="007559C2">
        <w:rPr>
          <w:rtl/>
        </w:rPr>
        <w:t xml:space="preserve">على </w:t>
      </w:r>
      <w:r>
        <w:rPr>
          <w:rFonts w:hint="cs"/>
          <w:rtl/>
        </w:rPr>
        <w:t>أ</w:t>
      </w:r>
      <w:r w:rsidRPr="007559C2">
        <w:rPr>
          <w:rtl/>
        </w:rPr>
        <w:t>صح</w:t>
      </w:r>
      <w:r>
        <w:rPr>
          <w:rFonts w:hint="cs"/>
          <w:rtl/>
        </w:rPr>
        <w:t>ا</w:t>
      </w:r>
      <w:r>
        <w:rPr>
          <w:rtl/>
        </w:rPr>
        <w:t>ب الشكوى</w:t>
      </w:r>
      <w:r w:rsidRPr="007559C2">
        <w:rPr>
          <w:rtl/>
        </w:rPr>
        <w:t xml:space="preserve"> الذي</w:t>
      </w:r>
      <w:r>
        <w:rPr>
          <w:rFonts w:hint="cs"/>
          <w:rtl/>
        </w:rPr>
        <w:t>ن</w:t>
      </w:r>
      <w:r>
        <w:rPr>
          <w:rtl/>
        </w:rPr>
        <w:t xml:space="preserve"> يجب عليه</w:t>
      </w:r>
      <w:r>
        <w:rPr>
          <w:rFonts w:hint="cs"/>
          <w:rtl/>
        </w:rPr>
        <w:t>م</w:t>
      </w:r>
      <w:r>
        <w:rPr>
          <w:rtl/>
        </w:rPr>
        <w:t xml:space="preserve"> أن </w:t>
      </w:r>
      <w:r>
        <w:rPr>
          <w:rFonts w:hint="cs"/>
          <w:rtl/>
        </w:rPr>
        <w:t>يقدموا حججاً يمكن الدفاع عنها</w:t>
      </w:r>
      <w:r w:rsidRPr="007559C2">
        <w:rPr>
          <w:rtl/>
        </w:rPr>
        <w:t xml:space="preserve"> </w:t>
      </w:r>
      <w:r>
        <w:rPr>
          <w:rFonts w:hint="cs"/>
          <w:rtl/>
        </w:rPr>
        <w:t xml:space="preserve">مع بيان أنهم </w:t>
      </w:r>
      <w:r w:rsidRPr="007559C2">
        <w:rPr>
          <w:rtl/>
        </w:rPr>
        <w:t>يواجه</w:t>
      </w:r>
      <w:r>
        <w:rPr>
          <w:rFonts w:hint="cs"/>
          <w:rtl/>
        </w:rPr>
        <w:t>ون</w:t>
      </w:r>
      <w:r w:rsidRPr="007559C2">
        <w:rPr>
          <w:rtl/>
        </w:rPr>
        <w:t xml:space="preserve"> خطر</w:t>
      </w:r>
      <w:r w:rsidR="00531DA7">
        <w:rPr>
          <w:rFonts w:hint="cs"/>
          <w:rtl/>
        </w:rPr>
        <w:t xml:space="preserve">اً </w:t>
      </w:r>
      <w:r w:rsidRPr="007559C2">
        <w:rPr>
          <w:rtl/>
        </w:rPr>
        <w:t xml:space="preserve">حقيقياً وشخصياً </w:t>
      </w:r>
      <w:r>
        <w:rPr>
          <w:rFonts w:hint="cs"/>
          <w:rtl/>
        </w:rPr>
        <w:t>و</w:t>
      </w:r>
      <w:r w:rsidRPr="007559C2">
        <w:rPr>
          <w:rtl/>
        </w:rPr>
        <w:t>يمكن توقّعه</w:t>
      </w:r>
      <w:r>
        <w:rPr>
          <w:rFonts w:hint="cs"/>
          <w:rtl/>
        </w:rPr>
        <w:t xml:space="preserve"> بالتعرض للتعذيب</w:t>
      </w:r>
      <w:r w:rsidRPr="00E15E73">
        <w:rPr>
          <w:rStyle w:val="FootnoteReference"/>
          <w:rFonts w:ascii="Traditional Arabic" w:hAnsi="Traditional Arabic"/>
          <w:sz w:val="20"/>
          <w:szCs w:val="30"/>
          <w:rtl/>
        </w:rPr>
        <w:t>(</w:t>
      </w:r>
      <w:r w:rsidRPr="00E15E73">
        <w:rPr>
          <w:rStyle w:val="FootnoteReference"/>
          <w:rFonts w:ascii="Traditional Arabic" w:hAnsi="Traditional Arabic"/>
          <w:rtl/>
        </w:rPr>
        <w:footnoteReference w:id="8"/>
      </w:r>
      <w:r w:rsidRPr="00E15E73">
        <w:rPr>
          <w:rStyle w:val="FootnoteReference"/>
          <w:rFonts w:ascii="Traditional Arabic" w:hAnsi="Traditional Arabic"/>
          <w:sz w:val="20"/>
          <w:szCs w:val="30"/>
          <w:rtl/>
        </w:rPr>
        <w:t>)</w:t>
      </w:r>
      <w:r w:rsidRPr="007559C2">
        <w:rPr>
          <w:rtl/>
        </w:rPr>
        <w:t xml:space="preserve">. </w:t>
      </w:r>
      <w:r>
        <w:rPr>
          <w:rFonts w:hint="cs"/>
          <w:rtl/>
        </w:rPr>
        <w:t>و</w:t>
      </w:r>
      <w:r w:rsidRPr="007559C2">
        <w:rPr>
          <w:rtl/>
        </w:rPr>
        <w:t xml:space="preserve">إضافةً إلى ذلك، يجب أن يُقيَّم خطر التعرّض للتعذيب على أُسس تتجاوز مجرد </w:t>
      </w:r>
      <w:r>
        <w:rPr>
          <w:rFonts w:hint="cs"/>
          <w:rtl/>
        </w:rPr>
        <w:t>الافتراض</w:t>
      </w:r>
      <w:r>
        <w:rPr>
          <w:rtl/>
        </w:rPr>
        <w:t xml:space="preserve"> أو </w:t>
      </w:r>
      <w:r w:rsidRPr="007559C2">
        <w:rPr>
          <w:rtl/>
        </w:rPr>
        <w:t>الشك. و</w:t>
      </w:r>
      <w:r>
        <w:rPr>
          <w:rFonts w:hint="cs"/>
          <w:rtl/>
        </w:rPr>
        <w:t>إذا لم يكن ضروري</w:t>
      </w:r>
      <w:r w:rsidR="00531DA7">
        <w:rPr>
          <w:rFonts w:hint="cs"/>
          <w:rtl/>
        </w:rPr>
        <w:t xml:space="preserve">اً </w:t>
      </w:r>
      <w:r>
        <w:rPr>
          <w:rFonts w:hint="cs"/>
          <w:rtl/>
        </w:rPr>
        <w:t xml:space="preserve">إثبات أن </w:t>
      </w:r>
      <w:r w:rsidRPr="007559C2">
        <w:rPr>
          <w:rtl/>
        </w:rPr>
        <w:t xml:space="preserve">هذا الخطر </w:t>
      </w:r>
      <w:r>
        <w:rPr>
          <w:rFonts w:hint="cs"/>
          <w:rtl/>
        </w:rPr>
        <w:t>مرجح للغاية، فإن المطلوب هو</w:t>
      </w:r>
      <w:r w:rsidRPr="007559C2">
        <w:rPr>
          <w:rtl/>
        </w:rPr>
        <w:t xml:space="preserve"> </w:t>
      </w:r>
      <w:r>
        <w:rPr>
          <w:rFonts w:hint="cs"/>
          <w:rtl/>
        </w:rPr>
        <w:t>إثبات الطابع الش</w:t>
      </w:r>
      <w:r w:rsidRPr="007559C2">
        <w:rPr>
          <w:rtl/>
        </w:rPr>
        <w:t>خصي و</w:t>
      </w:r>
      <w:r>
        <w:rPr>
          <w:rFonts w:hint="cs"/>
          <w:rtl/>
        </w:rPr>
        <w:t>الوشيك لهذا الخطر</w:t>
      </w:r>
      <w:r w:rsidRPr="00E15E73">
        <w:rPr>
          <w:rStyle w:val="FootnoteReference"/>
          <w:rFonts w:ascii="Traditional Arabic" w:hAnsi="Traditional Arabic"/>
          <w:szCs w:val="30"/>
          <w:rtl/>
        </w:rPr>
        <w:t>(</w:t>
      </w:r>
      <w:r w:rsidRPr="00E15E73">
        <w:rPr>
          <w:rStyle w:val="FootnoteReference"/>
          <w:rFonts w:ascii="Traditional Arabic" w:hAnsi="Traditional Arabic"/>
          <w:rtl/>
        </w:rPr>
        <w:footnoteReference w:id="9"/>
      </w:r>
      <w:r w:rsidRPr="00E15E73">
        <w:rPr>
          <w:rStyle w:val="FootnoteReference"/>
          <w:rFonts w:ascii="Traditional Arabic" w:hAnsi="Traditional Arabic"/>
          <w:szCs w:val="30"/>
          <w:rtl/>
        </w:rPr>
        <w:t>)</w:t>
      </w:r>
      <w:r w:rsidRPr="007559C2">
        <w:rPr>
          <w:rtl/>
        </w:rPr>
        <w:t>.</w:t>
      </w:r>
    </w:p>
    <w:p w:rsidR="009E247B" w:rsidRPr="007559C2" w:rsidRDefault="009E247B" w:rsidP="00E15E73">
      <w:pPr>
        <w:pStyle w:val="SingleTxtGA"/>
        <w:rPr>
          <w:vertAlign w:val="superscript"/>
          <w:rtl/>
        </w:rPr>
      </w:pPr>
      <w:r w:rsidRPr="007559C2">
        <w:rPr>
          <w:rtl/>
        </w:rPr>
        <w:t>4-</w:t>
      </w:r>
      <w:r>
        <w:rPr>
          <w:rFonts w:hint="cs"/>
          <w:rtl/>
        </w:rPr>
        <w:t>7</w:t>
      </w:r>
      <w:r w:rsidRPr="007559C2">
        <w:rPr>
          <w:rtl/>
        </w:rPr>
        <w:tab/>
        <w:t>و</w:t>
      </w:r>
      <w:r>
        <w:rPr>
          <w:rtl/>
        </w:rPr>
        <w:t>فيما يتعلق</w:t>
      </w:r>
      <w:r w:rsidRPr="007559C2">
        <w:rPr>
          <w:rtl/>
        </w:rPr>
        <w:t xml:space="preserve"> بالحالة العامة لحقوق الإنسان في </w:t>
      </w:r>
      <w:r>
        <w:rPr>
          <w:rFonts w:hint="cs"/>
          <w:rtl/>
        </w:rPr>
        <w:t>بيلاروس</w:t>
      </w:r>
      <w:r w:rsidRPr="007559C2">
        <w:rPr>
          <w:rtl/>
        </w:rPr>
        <w:t xml:space="preserve">، </w:t>
      </w:r>
      <w:r>
        <w:rPr>
          <w:rFonts w:hint="cs"/>
          <w:rtl/>
        </w:rPr>
        <w:t>تلاحظ</w:t>
      </w:r>
      <w:r w:rsidRPr="007559C2">
        <w:rPr>
          <w:rtl/>
        </w:rPr>
        <w:t xml:space="preserve"> الدولة الطرف أنه</w:t>
      </w:r>
      <w:r>
        <w:rPr>
          <w:rtl/>
        </w:rPr>
        <w:t xml:space="preserve"> </w:t>
      </w:r>
      <w:r>
        <w:rPr>
          <w:rFonts w:hint="cs"/>
          <w:rtl/>
        </w:rPr>
        <w:t>نظر</w:t>
      </w:r>
      <w:r w:rsidR="00531DA7">
        <w:rPr>
          <w:rFonts w:hint="cs"/>
          <w:rtl/>
        </w:rPr>
        <w:t xml:space="preserve">اً </w:t>
      </w:r>
      <w:r>
        <w:rPr>
          <w:rFonts w:hint="cs"/>
          <w:rtl/>
        </w:rPr>
        <w:t>إلى أن بيلاروس</w:t>
      </w:r>
      <w:r>
        <w:rPr>
          <w:rtl/>
        </w:rPr>
        <w:t xml:space="preserve"> طرف</w:t>
      </w:r>
      <w:r w:rsidRPr="007559C2">
        <w:rPr>
          <w:rtl/>
        </w:rPr>
        <w:t xml:space="preserve"> في الاتفاقية</w:t>
      </w:r>
      <w:r>
        <w:rPr>
          <w:rtl/>
        </w:rPr>
        <w:t xml:space="preserve"> وفي </w:t>
      </w:r>
      <w:r w:rsidRPr="007559C2">
        <w:rPr>
          <w:rtl/>
        </w:rPr>
        <w:t xml:space="preserve">العهد الدولي الخاص بالحقوق المدنية والسياسية، </w:t>
      </w:r>
      <w:r>
        <w:rPr>
          <w:rFonts w:hint="cs"/>
          <w:rtl/>
        </w:rPr>
        <w:t xml:space="preserve">فهي </w:t>
      </w:r>
      <w:r w:rsidRPr="007559C2">
        <w:rPr>
          <w:rtl/>
        </w:rPr>
        <w:t>تفترض أن اللجنة على بيّنة بالحالة العامة لحقوق الإنسان في ذلك البلد،</w:t>
      </w:r>
      <w:r>
        <w:rPr>
          <w:rtl/>
        </w:rPr>
        <w:t xml:space="preserve"> بما </w:t>
      </w:r>
      <w:r w:rsidRPr="007559C2">
        <w:rPr>
          <w:rtl/>
        </w:rPr>
        <w:t xml:space="preserve">في ذلك </w:t>
      </w:r>
      <w:r>
        <w:rPr>
          <w:rFonts w:hint="cs"/>
          <w:rtl/>
        </w:rPr>
        <w:t>حالة المعارضين السياسيين بعد الانتخابات الرئاسية التي جرت في كانون الأول/ديسمبر 2010</w:t>
      </w:r>
      <w:r w:rsidRPr="007559C2">
        <w:rPr>
          <w:rtl/>
        </w:rPr>
        <w:t xml:space="preserve">. لذلك، تكتفي الدولة الطرف، في هذا الصدد، بالإحالة إلى المعلومات المتعلقة بحالة حقوق الإنسان في </w:t>
      </w:r>
      <w:r>
        <w:rPr>
          <w:rFonts w:hint="cs"/>
          <w:rtl/>
        </w:rPr>
        <w:t>بيلاروس</w:t>
      </w:r>
      <w:r w:rsidRPr="007559C2">
        <w:rPr>
          <w:rtl/>
        </w:rPr>
        <w:t xml:space="preserve">، التي يمكن الاطلاع عليها في التقارير الصادرة مؤخراً </w:t>
      </w:r>
      <w:r>
        <w:rPr>
          <w:rFonts w:hint="cs"/>
          <w:rtl/>
        </w:rPr>
        <w:t>مثل ال</w:t>
      </w:r>
      <w:r w:rsidRPr="007559C2">
        <w:rPr>
          <w:rtl/>
        </w:rPr>
        <w:t>تقرير</w:t>
      </w:r>
      <w:r>
        <w:rPr>
          <w:rtl/>
        </w:rPr>
        <w:t xml:space="preserve"> </w:t>
      </w:r>
      <w:r w:rsidRPr="007559C2">
        <w:rPr>
          <w:rtl/>
        </w:rPr>
        <w:t xml:space="preserve">الصادر عن وزارة الخارجية </w:t>
      </w:r>
      <w:r>
        <w:rPr>
          <w:rFonts w:hint="cs"/>
          <w:rtl/>
        </w:rPr>
        <w:t>السويدية</w:t>
      </w:r>
      <w:r w:rsidRPr="00E15E73">
        <w:rPr>
          <w:rStyle w:val="FootnoteReference"/>
          <w:rFonts w:ascii="Traditional Arabic" w:hAnsi="Traditional Arabic"/>
          <w:szCs w:val="30"/>
          <w:rtl/>
        </w:rPr>
        <w:t>(</w:t>
      </w:r>
      <w:r w:rsidRPr="00E15E73">
        <w:rPr>
          <w:rStyle w:val="FootnoteReference"/>
          <w:rFonts w:ascii="Traditional Arabic" w:hAnsi="Traditional Arabic"/>
          <w:rtl/>
        </w:rPr>
        <w:footnoteReference w:id="10"/>
      </w:r>
      <w:r w:rsidRPr="00E15E73">
        <w:rPr>
          <w:rStyle w:val="FootnoteReference"/>
          <w:rFonts w:ascii="Traditional Arabic" w:hAnsi="Traditional Arabic"/>
          <w:szCs w:val="30"/>
          <w:rtl/>
        </w:rPr>
        <w:t>)</w:t>
      </w:r>
      <w:r w:rsidR="00E15E73">
        <w:rPr>
          <w:rFonts w:hint="cs"/>
          <w:rtl/>
        </w:rPr>
        <w:t xml:space="preserve"> </w:t>
      </w:r>
      <w:r w:rsidRPr="007559C2">
        <w:rPr>
          <w:rtl/>
        </w:rPr>
        <w:t>و</w:t>
      </w:r>
      <w:r>
        <w:rPr>
          <w:rFonts w:hint="cs"/>
          <w:rtl/>
        </w:rPr>
        <w:t>ال</w:t>
      </w:r>
      <w:r w:rsidRPr="007559C2">
        <w:rPr>
          <w:rtl/>
        </w:rPr>
        <w:t xml:space="preserve">تقرير </w:t>
      </w:r>
      <w:r>
        <w:rPr>
          <w:rFonts w:hint="cs"/>
          <w:rtl/>
        </w:rPr>
        <w:t>القُطري الصادر عن وزارة الخارجية الأمريكية عن عام</w:t>
      </w:r>
      <w:r w:rsidR="00C67BDF">
        <w:rPr>
          <w:rFonts w:hint="eastAsia"/>
          <w:rtl/>
        </w:rPr>
        <w:t> </w:t>
      </w:r>
      <w:r>
        <w:rPr>
          <w:rFonts w:hint="cs"/>
          <w:rtl/>
        </w:rPr>
        <w:t>2012 عن ممارسات حقوق الإنسان بالنسبة لبيلاروس</w:t>
      </w:r>
      <w:r w:rsidRPr="00E15E73">
        <w:rPr>
          <w:rStyle w:val="FootnoteReference"/>
          <w:rFonts w:ascii="Traditional Arabic" w:hAnsi="Traditional Arabic"/>
          <w:szCs w:val="30"/>
          <w:rtl/>
        </w:rPr>
        <w:t>(</w:t>
      </w:r>
      <w:r w:rsidRPr="00E15E73">
        <w:rPr>
          <w:rStyle w:val="FootnoteReference"/>
          <w:rFonts w:ascii="Traditional Arabic" w:hAnsi="Traditional Arabic"/>
          <w:rtl/>
        </w:rPr>
        <w:footnoteReference w:id="11"/>
      </w:r>
      <w:r w:rsidRPr="00E15E73">
        <w:rPr>
          <w:rStyle w:val="FootnoteReference"/>
          <w:rFonts w:ascii="Traditional Arabic" w:hAnsi="Traditional Arabic"/>
          <w:szCs w:val="30"/>
          <w:rtl/>
        </w:rPr>
        <w:t>)</w:t>
      </w:r>
      <w:r w:rsidR="00E15E73">
        <w:rPr>
          <w:rFonts w:hint="cs"/>
          <w:rtl/>
        </w:rPr>
        <w:t>.</w:t>
      </w:r>
      <w:r w:rsidRPr="007559C2">
        <w:rPr>
          <w:rFonts w:hint="cs"/>
          <w:rtl/>
        </w:rPr>
        <w:t xml:space="preserve"> </w:t>
      </w:r>
    </w:p>
    <w:p w:rsidR="009E247B" w:rsidRPr="00E81171" w:rsidRDefault="009E247B" w:rsidP="009E247B">
      <w:pPr>
        <w:pStyle w:val="SingleTxtGA"/>
        <w:rPr>
          <w:spacing w:val="-4"/>
          <w:rtl/>
        </w:rPr>
      </w:pPr>
      <w:r w:rsidRPr="00E81171">
        <w:rPr>
          <w:spacing w:val="-4"/>
          <w:rtl/>
        </w:rPr>
        <w:t>4-</w:t>
      </w:r>
      <w:r w:rsidRPr="00E81171">
        <w:rPr>
          <w:rFonts w:hint="cs"/>
          <w:spacing w:val="-4"/>
          <w:rtl/>
        </w:rPr>
        <w:t>8</w:t>
      </w:r>
      <w:r w:rsidRPr="00E81171">
        <w:rPr>
          <w:spacing w:val="-4"/>
          <w:rtl/>
        </w:rPr>
        <w:tab/>
        <w:t>وتدفع الدولة الطرف بأنه على الرغم من أن</w:t>
      </w:r>
      <w:r w:rsidRPr="00E81171">
        <w:rPr>
          <w:rFonts w:hint="cs"/>
          <w:spacing w:val="-4"/>
          <w:rtl/>
        </w:rPr>
        <w:t>ها لا تقلل من شأن المخاوف التي قد يُعبَّر عنها بصورة مشروعة إزاء الحالة الراهنة لحقوق الإنسان في بيلاروس، ولا سيما فيما يتعلق بالمعارضين السياسيين، فإن هذه المخاوف ليست في حد ذاتها كافية لإثبات أن طرد</w:t>
      </w:r>
      <w:r w:rsidRPr="00E81171">
        <w:rPr>
          <w:spacing w:val="-4"/>
          <w:rtl/>
        </w:rPr>
        <w:t xml:space="preserve"> أصحاب الشكوى </w:t>
      </w:r>
      <w:r w:rsidRPr="00E81171">
        <w:rPr>
          <w:rFonts w:hint="cs"/>
          <w:spacing w:val="-4"/>
          <w:rtl/>
        </w:rPr>
        <w:t xml:space="preserve">سينجر عنه </w:t>
      </w:r>
      <w:r w:rsidRPr="00E81171">
        <w:rPr>
          <w:spacing w:val="-4"/>
          <w:rtl/>
        </w:rPr>
        <w:t xml:space="preserve">انتهاك للمادة 3 من الاتفاقية. وعليه، </w:t>
      </w:r>
      <w:r w:rsidRPr="00E81171">
        <w:rPr>
          <w:rFonts w:hint="cs"/>
          <w:spacing w:val="-4"/>
          <w:rtl/>
        </w:rPr>
        <w:t xml:space="preserve">فإن </w:t>
      </w:r>
      <w:r w:rsidRPr="00E81171">
        <w:rPr>
          <w:spacing w:val="-4"/>
          <w:rtl/>
        </w:rPr>
        <w:t xml:space="preserve">الدولة الطرف </w:t>
      </w:r>
      <w:r w:rsidRPr="00E81171">
        <w:rPr>
          <w:rFonts w:hint="cs"/>
          <w:spacing w:val="-4"/>
          <w:rtl/>
        </w:rPr>
        <w:t xml:space="preserve">تدفع بأن </w:t>
      </w:r>
      <w:r w:rsidRPr="00E81171">
        <w:rPr>
          <w:spacing w:val="-4"/>
          <w:rtl/>
        </w:rPr>
        <w:t xml:space="preserve">إبعاد أصحاب الشكوى إلى </w:t>
      </w:r>
      <w:r w:rsidRPr="00E81171">
        <w:rPr>
          <w:rFonts w:hint="cs"/>
          <w:spacing w:val="-4"/>
          <w:rtl/>
        </w:rPr>
        <w:t>بيلاروس</w:t>
      </w:r>
      <w:r w:rsidRPr="00E81171">
        <w:rPr>
          <w:spacing w:val="-4"/>
          <w:rtl/>
        </w:rPr>
        <w:t xml:space="preserve"> لن </w:t>
      </w:r>
      <w:r w:rsidRPr="00E81171">
        <w:rPr>
          <w:rFonts w:hint="cs"/>
          <w:spacing w:val="-4"/>
          <w:rtl/>
        </w:rPr>
        <w:t xml:space="preserve">ينطوي </w:t>
      </w:r>
      <w:r w:rsidRPr="00E81171">
        <w:rPr>
          <w:spacing w:val="-4"/>
          <w:rtl/>
        </w:rPr>
        <w:t>على أي خرق لأحكام الاتفاقية إلا </w:t>
      </w:r>
      <w:r w:rsidRPr="00E81171">
        <w:rPr>
          <w:rFonts w:hint="cs"/>
          <w:spacing w:val="-4"/>
          <w:rtl/>
        </w:rPr>
        <w:t>إذا استطاع</w:t>
      </w:r>
      <w:r w:rsidRPr="00E81171">
        <w:rPr>
          <w:spacing w:val="-4"/>
          <w:rtl/>
        </w:rPr>
        <w:t xml:space="preserve"> أصحاب الشكوى إثبات </w:t>
      </w:r>
      <w:r w:rsidRPr="00E81171">
        <w:rPr>
          <w:rFonts w:hint="cs"/>
          <w:spacing w:val="-4"/>
          <w:rtl/>
        </w:rPr>
        <w:t>أنهم سي</w:t>
      </w:r>
      <w:r w:rsidRPr="00E81171">
        <w:rPr>
          <w:spacing w:val="-4"/>
          <w:rtl/>
        </w:rPr>
        <w:t>تعرّض</w:t>
      </w:r>
      <w:r w:rsidRPr="00E81171">
        <w:rPr>
          <w:rFonts w:hint="cs"/>
          <w:spacing w:val="-4"/>
          <w:rtl/>
        </w:rPr>
        <w:t xml:space="preserve">ون </w:t>
      </w:r>
      <w:r w:rsidRPr="00E81171">
        <w:rPr>
          <w:spacing w:val="-4"/>
          <w:rtl/>
        </w:rPr>
        <w:t xml:space="preserve">شخصياً لخطر التعامل معهم على نحو مخالف لأحكام المادة 3 منها. </w:t>
      </w:r>
      <w:r w:rsidRPr="00E81171">
        <w:rPr>
          <w:rFonts w:hint="cs"/>
          <w:spacing w:val="-4"/>
          <w:rtl/>
        </w:rPr>
        <w:t>والحال</w:t>
      </w:r>
      <w:r w:rsidRPr="00E81171">
        <w:rPr>
          <w:spacing w:val="-4"/>
          <w:rtl/>
        </w:rPr>
        <w:t xml:space="preserve"> أن أصحاب الشكوى </w:t>
      </w:r>
      <w:r w:rsidRPr="00E81171">
        <w:rPr>
          <w:rFonts w:hint="cs"/>
          <w:spacing w:val="-4"/>
          <w:rtl/>
        </w:rPr>
        <w:t xml:space="preserve">لم يثبتوا، </w:t>
      </w:r>
      <w:r w:rsidRPr="00E81171">
        <w:rPr>
          <w:spacing w:val="-4"/>
          <w:rtl/>
        </w:rPr>
        <w:t>في هذه القضية</w:t>
      </w:r>
      <w:r w:rsidRPr="00E81171">
        <w:rPr>
          <w:rFonts w:hint="cs"/>
          <w:spacing w:val="-4"/>
          <w:rtl/>
        </w:rPr>
        <w:t>،</w:t>
      </w:r>
      <w:r w:rsidRPr="00E81171">
        <w:rPr>
          <w:spacing w:val="-4"/>
          <w:rtl/>
        </w:rPr>
        <w:t xml:space="preserve"> ادعاءهم </w:t>
      </w:r>
      <w:r w:rsidRPr="00E81171">
        <w:rPr>
          <w:rFonts w:hint="cs"/>
          <w:spacing w:val="-4"/>
          <w:rtl/>
        </w:rPr>
        <w:t>بأنهم سي</w:t>
      </w:r>
      <w:r w:rsidRPr="00E81171">
        <w:rPr>
          <w:spacing w:val="-4"/>
          <w:rtl/>
        </w:rPr>
        <w:t>تعرّض</w:t>
      </w:r>
      <w:r w:rsidRPr="00E81171">
        <w:rPr>
          <w:rFonts w:hint="cs"/>
          <w:spacing w:val="-4"/>
          <w:rtl/>
        </w:rPr>
        <w:t>ون</w:t>
      </w:r>
      <w:r w:rsidRPr="00E81171">
        <w:rPr>
          <w:spacing w:val="-4"/>
          <w:rtl/>
        </w:rPr>
        <w:t xml:space="preserve"> لهذا الخطر. </w:t>
      </w:r>
    </w:p>
    <w:p w:rsidR="009E247B" w:rsidRPr="00E81171" w:rsidRDefault="009E247B" w:rsidP="007A6A45">
      <w:pPr>
        <w:pStyle w:val="SingleTxtGA"/>
        <w:spacing w:after="100"/>
        <w:rPr>
          <w:spacing w:val="-5"/>
          <w:rtl/>
        </w:rPr>
      </w:pPr>
      <w:r w:rsidRPr="00E81171">
        <w:rPr>
          <w:spacing w:val="-5"/>
          <w:rtl/>
        </w:rPr>
        <w:lastRenderedPageBreak/>
        <w:t>4-</w:t>
      </w:r>
      <w:r w:rsidRPr="00E81171">
        <w:rPr>
          <w:rFonts w:hint="cs"/>
          <w:spacing w:val="-5"/>
          <w:rtl/>
        </w:rPr>
        <w:t>9</w:t>
      </w:r>
      <w:r w:rsidRPr="00E81171">
        <w:rPr>
          <w:spacing w:val="-5"/>
          <w:rtl/>
        </w:rPr>
        <w:tab/>
        <w:t>و</w:t>
      </w:r>
      <w:r w:rsidRPr="00E81171">
        <w:rPr>
          <w:rFonts w:hint="cs"/>
          <w:spacing w:val="-5"/>
          <w:rtl/>
        </w:rPr>
        <w:t>تضيف</w:t>
      </w:r>
      <w:r w:rsidRPr="00E81171">
        <w:rPr>
          <w:spacing w:val="-5"/>
          <w:rtl/>
        </w:rPr>
        <w:t xml:space="preserve"> الدولة الطرف أن عدة أحكام في قانون الأجانب السويدي تعكس المبادئ ذاتها</w:t>
      </w:r>
      <w:r w:rsidRPr="00E81171">
        <w:rPr>
          <w:rFonts w:hint="cs"/>
          <w:spacing w:val="-5"/>
          <w:rtl/>
        </w:rPr>
        <w:t xml:space="preserve"> </w:t>
      </w:r>
      <w:r w:rsidRPr="00E81171">
        <w:rPr>
          <w:spacing w:val="-5"/>
          <w:rtl/>
        </w:rPr>
        <w:t xml:space="preserve">المحددة في المادة 3 من الاتفاقية. ومن ثَم، </w:t>
      </w:r>
      <w:r w:rsidRPr="00E81171">
        <w:rPr>
          <w:rFonts w:hint="cs"/>
          <w:spacing w:val="-5"/>
          <w:rtl/>
        </w:rPr>
        <w:t>فإن</w:t>
      </w:r>
      <w:r w:rsidRPr="00E81171">
        <w:rPr>
          <w:spacing w:val="-5"/>
          <w:rtl/>
        </w:rPr>
        <w:t xml:space="preserve"> السلطات السويدية تطبّق</w:t>
      </w:r>
      <w:r w:rsidRPr="00E81171">
        <w:rPr>
          <w:rFonts w:hint="cs"/>
          <w:spacing w:val="-5"/>
          <w:rtl/>
        </w:rPr>
        <w:t>،</w:t>
      </w:r>
      <w:r w:rsidRPr="00E81171">
        <w:rPr>
          <w:spacing w:val="-5"/>
          <w:rtl/>
        </w:rPr>
        <w:t xml:space="preserve"> عند النظر في طلبات اللجوء بموجب قانون الأجانب</w:t>
      </w:r>
      <w:r w:rsidRPr="00E81171">
        <w:rPr>
          <w:rFonts w:hint="cs"/>
          <w:spacing w:val="-5"/>
          <w:rtl/>
        </w:rPr>
        <w:t>،</w:t>
      </w:r>
      <w:r w:rsidRPr="00E81171">
        <w:rPr>
          <w:spacing w:val="-5"/>
          <w:rtl/>
        </w:rPr>
        <w:t xml:space="preserve"> النوع ذاته من الفحوص التي تطبّقها اللجنة عند بحث أي شكاوى تالية لذلك بموجب الاتفاقية. وإحالة السلطات السويدية في قراراتها المتعلقة بهذه القضية إلى المادتين</w:t>
      </w:r>
      <w:r w:rsidR="00E81171" w:rsidRPr="00E81171">
        <w:rPr>
          <w:rFonts w:hint="cs"/>
          <w:spacing w:val="-5"/>
          <w:rtl/>
        </w:rPr>
        <w:t> </w:t>
      </w:r>
      <w:r w:rsidRPr="00E81171">
        <w:rPr>
          <w:spacing w:val="-5"/>
          <w:rtl/>
        </w:rPr>
        <w:t xml:space="preserve">1 و2 والفقرة الفرعية (أ) من المادة 2 من الفصل 4 من قانون الأجانب إنما </w:t>
      </w:r>
      <w:r w:rsidRPr="00E81171">
        <w:rPr>
          <w:rFonts w:hint="cs"/>
          <w:spacing w:val="-5"/>
          <w:rtl/>
        </w:rPr>
        <w:t>ت</w:t>
      </w:r>
      <w:r w:rsidRPr="00E81171">
        <w:rPr>
          <w:spacing w:val="-5"/>
          <w:rtl/>
        </w:rPr>
        <w:t xml:space="preserve">شير إلى أن مثل هذا الاختبار قد طُبّق في هذه القضية. </w:t>
      </w:r>
      <w:r w:rsidRPr="00E81171">
        <w:rPr>
          <w:rFonts w:hint="cs"/>
          <w:spacing w:val="-5"/>
          <w:rtl/>
        </w:rPr>
        <w:t>و</w:t>
      </w:r>
      <w:r w:rsidRPr="00E81171">
        <w:rPr>
          <w:spacing w:val="-5"/>
          <w:rtl/>
        </w:rPr>
        <w:t xml:space="preserve">علاوة على ذلك، </w:t>
      </w:r>
      <w:r w:rsidRPr="00E81171">
        <w:rPr>
          <w:rFonts w:hint="cs"/>
          <w:spacing w:val="-5"/>
          <w:rtl/>
        </w:rPr>
        <w:t>ففيما يتعلق بطلب أصحاب الشكوى بإعادة النظر في طلباتهم للحصول على رخص إقامة، و</w:t>
      </w:r>
      <w:r w:rsidRPr="00E81171">
        <w:rPr>
          <w:spacing w:val="-5"/>
          <w:rtl/>
        </w:rPr>
        <w:t xml:space="preserve">عملاً بالمواد من 1 إلى 3 من الفصل </w:t>
      </w:r>
      <w:r w:rsidRPr="00E81171">
        <w:rPr>
          <w:rFonts w:hint="cs"/>
          <w:spacing w:val="-5"/>
          <w:rtl/>
        </w:rPr>
        <w:t>12</w:t>
      </w:r>
      <w:r w:rsidRPr="00E81171">
        <w:rPr>
          <w:spacing w:val="-5"/>
          <w:rtl/>
        </w:rPr>
        <w:t xml:space="preserve"> من قانون</w:t>
      </w:r>
      <w:r w:rsidRPr="00E81171">
        <w:rPr>
          <w:rFonts w:hint="cs"/>
          <w:spacing w:val="-5"/>
          <w:rtl/>
        </w:rPr>
        <w:t xml:space="preserve"> الأجانب</w:t>
      </w:r>
      <w:r w:rsidRPr="00E81171">
        <w:rPr>
          <w:spacing w:val="-5"/>
          <w:rtl/>
        </w:rPr>
        <w:t xml:space="preserve">، لا يجوز </w:t>
      </w:r>
      <w:r w:rsidRPr="00E81171">
        <w:rPr>
          <w:rFonts w:hint="cs"/>
          <w:spacing w:val="-5"/>
          <w:rtl/>
        </w:rPr>
        <w:t>مطلق</w:t>
      </w:r>
      <w:r w:rsidR="00531DA7" w:rsidRPr="00E81171">
        <w:rPr>
          <w:rFonts w:hint="cs"/>
          <w:spacing w:val="-5"/>
          <w:rtl/>
        </w:rPr>
        <w:t xml:space="preserve">اً </w:t>
      </w:r>
      <w:r w:rsidRPr="00E81171">
        <w:rPr>
          <w:spacing w:val="-5"/>
          <w:rtl/>
        </w:rPr>
        <w:t>إنفاذ إجراء طرد</w:t>
      </w:r>
      <w:r w:rsidRPr="00E81171">
        <w:rPr>
          <w:rFonts w:hint="cs"/>
          <w:spacing w:val="-5"/>
          <w:rtl/>
        </w:rPr>
        <w:t xml:space="preserve"> الأجنبي</w:t>
      </w:r>
      <w:r w:rsidRPr="00E81171">
        <w:rPr>
          <w:spacing w:val="-5"/>
          <w:rtl/>
        </w:rPr>
        <w:t xml:space="preserve"> إلى بلد متى وُجدت أسباب معقولة لافتراض أنه قد يتعرّض فيه لأخطار تشمل التعذيب أو غيره من ضروب المعاملة أو العقوبة اللاإنسانية أو المهينة، أو إلى بلدٍ لن يُحمى فيه </w:t>
      </w:r>
      <w:r w:rsidRPr="00E81171">
        <w:rPr>
          <w:rFonts w:hint="cs"/>
          <w:spacing w:val="-5"/>
          <w:rtl/>
        </w:rPr>
        <w:t xml:space="preserve">الأجنبي </w:t>
      </w:r>
      <w:r w:rsidRPr="00E81171">
        <w:rPr>
          <w:spacing w:val="-5"/>
          <w:rtl/>
        </w:rPr>
        <w:t>من نقل</w:t>
      </w:r>
      <w:r w:rsidRPr="00E81171">
        <w:rPr>
          <w:rFonts w:hint="cs"/>
          <w:spacing w:val="-5"/>
          <w:rtl/>
        </w:rPr>
        <w:t>ه</w:t>
      </w:r>
      <w:r w:rsidRPr="00E81171">
        <w:rPr>
          <w:spacing w:val="-5"/>
          <w:rtl/>
        </w:rPr>
        <w:t xml:space="preserve"> إلى بلد يكون </w:t>
      </w:r>
      <w:r w:rsidRPr="00E81171">
        <w:rPr>
          <w:rFonts w:hint="cs"/>
          <w:spacing w:val="-5"/>
          <w:rtl/>
        </w:rPr>
        <w:t xml:space="preserve">فيه </w:t>
      </w:r>
      <w:r w:rsidRPr="00E81171">
        <w:rPr>
          <w:spacing w:val="-5"/>
          <w:rtl/>
        </w:rPr>
        <w:t xml:space="preserve">معرّضاً لهذه </w:t>
      </w:r>
      <w:r w:rsidRPr="00E81171">
        <w:rPr>
          <w:rFonts w:hint="cs"/>
          <w:spacing w:val="-5"/>
          <w:rtl/>
        </w:rPr>
        <w:t>المخاطر.</w:t>
      </w:r>
    </w:p>
    <w:p w:rsidR="009E247B" w:rsidRPr="00AA0909" w:rsidRDefault="009E247B" w:rsidP="007A6A45">
      <w:pPr>
        <w:pStyle w:val="SingleTxtGA"/>
        <w:spacing w:after="100"/>
        <w:rPr>
          <w:u w:val="single"/>
          <w:rtl/>
        </w:rPr>
      </w:pPr>
      <w:r w:rsidRPr="007559C2">
        <w:rPr>
          <w:rtl/>
        </w:rPr>
        <w:t>4-1</w:t>
      </w:r>
      <w:r>
        <w:rPr>
          <w:rFonts w:hint="cs"/>
          <w:rtl/>
        </w:rPr>
        <w:t>0</w:t>
      </w:r>
      <w:r w:rsidRPr="007559C2">
        <w:rPr>
          <w:rtl/>
        </w:rPr>
        <w:tab/>
        <w:t>وتضيف الدولة الطرف أن سلطاتها الوطنية قادرة تماماً على تقييم المعلومات المقدمة من طالب</w:t>
      </w:r>
      <w:r>
        <w:rPr>
          <w:rFonts w:hint="cs"/>
          <w:rtl/>
        </w:rPr>
        <w:t>ي</w:t>
      </w:r>
      <w:r w:rsidRPr="007559C2">
        <w:rPr>
          <w:rtl/>
        </w:rPr>
        <w:t xml:space="preserve"> اللجوء وتقدير مدى مصداقية ادعاءاته</w:t>
      </w:r>
      <w:r>
        <w:rPr>
          <w:rFonts w:hint="cs"/>
          <w:rtl/>
        </w:rPr>
        <w:t>م</w:t>
      </w:r>
      <w:r w:rsidRPr="007559C2">
        <w:rPr>
          <w:rtl/>
        </w:rPr>
        <w:t>.</w:t>
      </w:r>
      <w:r>
        <w:rPr>
          <w:rtl/>
        </w:rPr>
        <w:t xml:space="preserve"> وفي </w:t>
      </w:r>
      <w:r w:rsidRPr="007559C2">
        <w:rPr>
          <w:rtl/>
        </w:rPr>
        <w:t xml:space="preserve">هذه القضية، </w:t>
      </w:r>
      <w:r>
        <w:rPr>
          <w:rFonts w:hint="cs"/>
          <w:rtl/>
        </w:rPr>
        <w:t>فقد فحص كل من</w:t>
      </w:r>
      <w:r w:rsidRPr="007559C2">
        <w:rPr>
          <w:rtl/>
        </w:rPr>
        <w:t xml:space="preserve"> </w:t>
      </w:r>
      <w:r>
        <w:rPr>
          <w:rFonts w:hint="cs"/>
          <w:rtl/>
        </w:rPr>
        <w:t>مجلس</w:t>
      </w:r>
      <w:r w:rsidRPr="007559C2">
        <w:rPr>
          <w:rtl/>
        </w:rPr>
        <w:t xml:space="preserve"> الهجرة ومحكمة الهجرة قضية أصحاب الشكوى فحصاً مستفيضاً. وأجر</w:t>
      </w:r>
      <w:r>
        <w:rPr>
          <w:rFonts w:hint="cs"/>
          <w:rtl/>
        </w:rPr>
        <w:t>ى</w:t>
      </w:r>
      <w:r w:rsidRPr="007559C2">
        <w:rPr>
          <w:rtl/>
        </w:rPr>
        <w:t xml:space="preserve"> </w:t>
      </w:r>
      <w:r>
        <w:rPr>
          <w:rFonts w:hint="cs"/>
          <w:rtl/>
        </w:rPr>
        <w:t xml:space="preserve">مجلس </w:t>
      </w:r>
      <w:r w:rsidRPr="007559C2">
        <w:rPr>
          <w:rtl/>
        </w:rPr>
        <w:t>الهجرة</w:t>
      </w:r>
      <w:r w:rsidR="00531DA7">
        <w:rPr>
          <w:rtl/>
        </w:rPr>
        <w:t>،</w:t>
      </w:r>
      <w:r>
        <w:rPr>
          <w:rFonts w:hint="cs"/>
          <w:rtl/>
        </w:rPr>
        <w:t xml:space="preserve"> عند تقديم أصحاب الشكوى طلب اللجوء،</w:t>
      </w:r>
      <w:r w:rsidRPr="007559C2">
        <w:rPr>
          <w:rtl/>
        </w:rPr>
        <w:t xml:space="preserve"> مقابلت</w:t>
      </w:r>
      <w:r>
        <w:rPr>
          <w:rFonts w:hint="cs"/>
          <w:rtl/>
        </w:rPr>
        <w:t>ين</w:t>
      </w:r>
      <w:r w:rsidRPr="007559C2">
        <w:rPr>
          <w:rtl/>
        </w:rPr>
        <w:t xml:space="preserve"> شخصي</w:t>
      </w:r>
      <w:r>
        <w:rPr>
          <w:rFonts w:hint="cs"/>
          <w:rtl/>
        </w:rPr>
        <w:t>تين</w:t>
      </w:r>
      <w:r w:rsidRPr="007559C2">
        <w:rPr>
          <w:rtl/>
        </w:rPr>
        <w:t xml:space="preserve"> مع</w:t>
      </w:r>
      <w:r>
        <w:rPr>
          <w:rFonts w:hint="cs"/>
          <w:rtl/>
        </w:rPr>
        <w:t xml:space="preserve"> كل من صاحب الشكوى الأول والثاني</w:t>
      </w:r>
      <w:r>
        <w:rPr>
          <w:rtl/>
        </w:rPr>
        <w:t>. واستغرقت المقابل</w:t>
      </w:r>
      <w:r>
        <w:rPr>
          <w:rFonts w:hint="cs"/>
          <w:rtl/>
        </w:rPr>
        <w:t>ة</w:t>
      </w:r>
      <w:r w:rsidRPr="007559C2">
        <w:rPr>
          <w:rtl/>
        </w:rPr>
        <w:t xml:space="preserve"> </w:t>
      </w:r>
      <w:r>
        <w:rPr>
          <w:rFonts w:hint="cs"/>
          <w:rtl/>
        </w:rPr>
        <w:t>خمس</w:t>
      </w:r>
      <w:r w:rsidRPr="007559C2">
        <w:rPr>
          <w:rtl/>
        </w:rPr>
        <w:t xml:space="preserve"> ساع</w:t>
      </w:r>
      <w:r>
        <w:rPr>
          <w:rFonts w:hint="cs"/>
          <w:rtl/>
        </w:rPr>
        <w:t>ا</w:t>
      </w:r>
      <w:r w:rsidRPr="007559C2">
        <w:rPr>
          <w:rtl/>
        </w:rPr>
        <w:t>ت</w:t>
      </w:r>
      <w:r>
        <w:rPr>
          <w:rFonts w:hint="cs"/>
          <w:rtl/>
        </w:rPr>
        <w:t xml:space="preserve"> تقريب</w:t>
      </w:r>
      <w:r w:rsidR="00531DA7">
        <w:rPr>
          <w:rFonts w:hint="cs"/>
          <w:rtl/>
        </w:rPr>
        <w:t xml:space="preserve">اً </w:t>
      </w:r>
      <w:r w:rsidRPr="007559C2">
        <w:rPr>
          <w:rtl/>
        </w:rPr>
        <w:t>مع صاحب الشكوى الأول وساع</w:t>
      </w:r>
      <w:r>
        <w:rPr>
          <w:rFonts w:hint="cs"/>
          <w:rtl/>
        </w:rPr>
        <w:t>تين تقريب</w:t>
      </w:r>
      <w:r w:rsidR="00531DA7">
        <w:rPr>
          <w:rFonts w:hint="cs"/>
          <w:rtl/>
        </w:rPr>
        <w:t xml:space="preserve">اً </w:t>
      </w:r>
      <w:r w:rsidRPr="007559C2">
        <w:rPr>
          <w:rtl/>
        </w:rPr>
        <w:t>مع صاحبة الشكوى الثانية</w:t>
      </w:r>
      <w:r>
        <w:rPr>
          <w:rFonts w:hint="cs"/>
          <w:rtl/>
        </w:rPr>
        <w:t>.</w:t>
      </w:r>
      <w:r w:rsidRPr="007559C2">
        <w:rPr>
          <w:rtl/>
        </w:rPr>
        <w:t xml:space="preserve"> وكان الغرض من </w:t>
      </w:r>
      <w:r>
        <w:rPr>
          <w:rFonts w:hint="cs"/>
          <w:rtl/>
        </w:rPr>
        <w:t>هاتين</w:t>
      </w:r>
      <w:r w:rsidRPr="007559C2">
        <w:rPr>
          <w:rtl/>
        </w:rPr>
        <w:t xml:space="preserve"> المقابلت</w:t>
      </w:r>
      <w:r>
        <w:rPr>
          <w:rFonts w:hint="cs"/>
          <w:rtl/>
        </w:rPr>
        <w:t>ين</w:t>
      </w:r>
      <w:r w:rsidRPr="007559C2">
        <w:rPr>
          <w:rtl/>
        </w:rPr>
        <w:t xml:space="preserve"> منح ص</w:t>
      </w:r>
      <w:r>
        <w:rPr>
          <w:rFonts w:hint="cs"/>
          <w:rtl/>
        </w:rPr>
        <w:t>ا</w:t>
      </w:r>
      <w:r w:rsidRPr="007559C2">
        <w:rPr>
          <w:rtl/>
        </w:rPr>
        <w:t>ح</w:t>
      </w:r>
      <w:r>
        <w:rPr>
          <w:rFonts w:hint="cs"/>
          <w:rtl/>
        </w:rPr>
        <w:t>بي</w:t>
      </w:r>
      <w:r w:rsidRPr="007559C2">
        <w:rPr>
          <w:rtl/>
        </w:rPr>
        <w:t xml:space="preserve"> الشكوى الفرصة لبيان أسباب حاجتهم إلى الحماية وتوضيح جميع الوقائع المهمة لأغراض التقييم الذي </w:t>
      </w:r>
      <w:r>
        <w:rPr>
          <w:rFonts w:hint="cs"/>
          <w:rtl/>
        </w:rPr>
        <w:t>ي</w:t>
      </w:r>
      <w:r w:rsidRPr="007559C2">
        <w:rPr>
          <w:rtl/>
        </w:rPr>
        <w:t xml:space="preserve">جريه </w:t>
      </w:r>
      <w:r>
        <w:rPr>
          <w:rFonts w:hint="cs"/>
          <w:rtl/>
        </w:rPr>
        <w:t>مجلس</w:t>
      </w:r>
      <w:r w:rsidRPr="007559C2">
        <w:rPr>
          <w:rtl/>
        </w:rPr>
        <w:t xml:space="preserve"> الهجرة. وأُجريت المقابلت</w:t>
      </w:r>
      <w:r>
        <w:rPr>
          <w:rFonts w:hint="cs"/>
          <w:rtl/>
        </w:rPr>
        <w:t>ان</w:t>
      </w:r>
      <w:r w:rsidRPr="007559C2">
        <w:rPr>
          <w:rtl/>
        </w:rPr>
        <w:t xml:space="preserve"> بحضور مترجم </w:t>
      </w:r>
      <w:r>
        <w:rPr>
          <w:rFonts w:hint="cs"/>
          <w:rtl/>
        </w:rPr>
        <w:t>فوري،</w:t>
      </w:r>
      <w:r w:rsidRPr="007559C2">
        <w:rPr>
          <w:rtl/>
        </w:rPr>
        <w:t xml:space="preserve"> </w:t>
      </w:r>
      <w:r>
        <w:rPr>
          <w:rFonts w:hint="cs"/>
          <w:rtl/>
        </w:rPr>
        <w:t>و</w:t>
      </w:r>
      <w:r w:rsidRPr="007559C2">
        <w:rPr>
          <w:rtl/>
        </w:rPr>
        <w:t>أكّد ص</w:t>
      </w:r>
      <w:r>
        <w:rPr>
          <w:rFonts w:hint="cs"/>
          <w:rtl/>
        </w:rPr>
        <w:t>ا</w:t>
      </w:r>
      <w:r w:rsidRPr="007559C2">
        <w:rPr>
          <w:rtl/>
        </w:rPr>
        <w:t>ح</w:t>
      </w:r>
      <w:r>
        <w:rPr>
          <w:rFonts w:hint="cs"/>
          <w:rtl/>
        </w:rPr>
        <w:t>ب</w:t>
      </w:r>
      <w:r w:rsidRPr="007559C2">
        <w:rPr>
          <w:rtl/>
        </w:rPr>
        <w:t>ا الشكوى</w:t>
      </w:r>
      <w:r>
        <w:rPr>
          <w:rFonts w:hint="cs"/>
          <w:rtl/>
        </w:rPr>
        <w:t xml:space="preserve"> </w:t>
      </w:r>
      <w:r w:rsidRPr="007559C2">
        <w:rPr>
          <w:rtl/>
        </w:rPr>
        <w:t>أنهم</w:t>
      </w:r>
      <w:r>
        <w:rPr>
          <w:rFonts w:hint="cs"/>
          <w:rtl/>
        </w:rPr>
        <w:t>ا</w:t>
      </w:r>
      <w:r w:rsidRPr="007559C2">
        <w:rPr>
          <w:rtl/>
        </w:rPr>
        <w:t xml:space="preserve"> فهم</w:t>
      </w:r>
      <w:r>
        <w:rPr>
          <w:rFonts w:hint="cs"/>
          <w:rtl/>
        </w:rPr>
        <w:t>ا</w:t>
      </w:r>
      <w:r w:rsidRPr="007559C2">
        <w:rPr>
          <w:rtl/>
        </w:rPr>
        <w:t xml:space="preserve"> جيداً</w:t>
      </w:r>
      <w:r>
        <w:rPr>
          <w:rFonts w:hint="cs"/>
          <w:rtl/>
        </w:rPr>
        <w:t xml:space="preserve"> محتوى المقابلة</w:t>
      </w:r>
      <w:r w:rsidRPr="007559C2">
        <w:rPr>
          <w:rtl/>
        </w:rPr>
        <w:t xml:space="preserve">. </w:t>
      </w:r>
      <w:r w:rsidRPr="00291645">
        <w:rPr>
          <w:rFonts w:hint="cs"/>
          <w:rtl/>
        </w:rPr>
        <w:t>و</w:t>
      </w:r>
      <w:r w:rsidRPr="00291645">
        <w:rPr>
          <w:rtl/>
        </w:rPr>
        <w:t xml:space="preserve">علاوة على ذلك، </w:t>
      </w:r>
      <w:r w:rsidRPr="00291645">
        <w:rPr>
          <w:rFonts w:hint="cs"/>
          <w:rtl/>
        </w:rPr>
        <w:t xml:space="preserve">قدم </w:t>
      </w:r>
      <w:r w:rsidRPr="00291645">
        <w:rPr>
          <w:rtl/>
        </w:rPr>
        <w:t>ص</w:t>
      </w:r>
      <w:r w:rsidRPr="00291645">
        <w:rPr>
          <w:rFonts w:hint="cs"/>
          <w:rtl/>
        </w:rPr>
        <w:t>ا</w:t>
      </w:r>
      <w:r w:rsidRPr="00291645">
        <w:rPr>
          <w:rtl/>
        </w:rPr>
        <w:t>ح</w:t>
      </w:r>
      <w:r w:rsidRPr="00291645">
        <w:rPr>
          <w:rFonts w:hint="cs"/>
          <w:rtl/>
        </w:rPr>
        <w:t>ب</w:t>
      </w:r>
      <w:r w:rsidRPr="00291645">
        <w:rPr>
          <w:rtl/>
        </w:rPr>
        <w:t xml:space="preserve">ا الشكوى </w:t>
      </w:r>
      <w:r w:rsidRPr="00291645">
        <w:rPr>
          <w:rFonts w:hint="cs"/>
          <w:rtl/>
        </w:rPr>
        <w:t xml:space="preserve">حججهما </w:t>
      </w:r>
      <w:r w:rsidRPr="00291645">
        <w:rPr>
          <w:rtl/>
        </w:rPr>
        <w:t xml:space="preserve">خطياً </w:t>
      </w:r>
      <w:r w:rsidRPr="00291645">
        <w:rPr>
          <w:rFonts w:hint="cs"/>
          <w:rtl/>
        </w:rPr>
        <w:t>إلى</w:t>
      </w:r>
      <w:r w:rsidRPr="00291645">
        <w:rPr>
          <w:rtl/>
        </w:rPr>
        <w:t xml:space="preserve"> </w:t>
      </w:r>
      <w:r w:rsidRPr="00291645">
        <w:rPr>
          <w:rFonts w:hint="cs"/>
          <w:rtl/>
        </w:rPr>
        <w:t>مجلس</w:t>
      </w:r>
      <w:r w:rsidRPr="00291645">
        <w:rPr>
          <w:rtl/>
        </w:rPr>
        <w:t xml:space="preserve"> الهجرة ومحاكم الهجرة. </w:t>
      </w:r>
      <w:r>
        <w:rPr>
          <w:rFonts w:hint="cs"/>
          <w:rtl/>
        </w:rPr>
        <w:t>و</w:t>
      </w:r>
      <w:r w:rsidRPr="005D234A">
        <w:rPr>
          <w:rtl/>
        </w:rPr>
        <w:t xml:space="preserve">كان </w:t>
      </w:r>
      <w:r>
        <w:rPr>
          <w:rFonts w:hint="cs"/>
          <w:rtl/>
        </w:rPr>
        <w:t>أصحاب الشكوى ممثلون ب</w:t>
      </w:r>
      <w:r w:rsidRPr="005D234A">
        <w:rPr>
          <w:rtl/>
        </w:rPr>
        <w:t xml:space="preserve">محامٍ </w:t>
      </w:r>
      <w:r>
        <w:rPr>
          <w:rFonts w:hint="cs"/>
          <w:rtl/>
        </w:rPr>
        <w:t xml:space="preserve">عمومي </w:t>
      </w:r>
      <w:r w:rsidRPr="005D234A">
        <w:rPr>
          <w:rtl/>
        </w:rPr>
        <w:t xml:space="preserve">في جميع مراحل </w:t>
      </w:r>
      <w:r>
        <w:rPr>
          <w:rFonts w:hint="cs"/>
          <w:rtl/>
        </w:rPr>
        <w:t>ال</w:t>
      </w:r>
      <w:r w:rsidRPr="005D234A">
        <w:rPr>
          <w:rtl/>
        </w:rPr>
        <w:t>إجراء</w:t>
      </w:r>
      <w:r>
        <w:rPr>
          <w:rFonts w:hint="cs"/>
          <w:rtl/>
        </w:rPr>
        <w:t>ات التي تخص</w:t>
      </w:r>
      <w:r w:rsidRPr="005D234A">
        <w:rPr>
          <w:rtl/>
        </w:rPr>
        <w:t xml:space="preserve"> طلب</w:t>
      </w:r>
      <w:r>
        <w:rPr>
          <w:rFonts w:hint="cs"/>
          <w:rtl/>
        </w:rPr>
        <w:t>هم الأول للحصول على</w:t>
      </w:r>
      <w:r w:rsidRPr="005D234A">
        <w:rPr>
          <w:rtl/>
        </w:rPr>
        <w:t xml:space="preserve"> اللجوء. و</w:t>
      </w:r>
      <w:r>
        <w:rPr>
          <w:rFonts w:hint="cs"/>
          <w:rtl/>
        </w:rPr>
        <w:t>منذ اكتسب</w:t>
      </w:r>
      <w:r w:rsidRPr="005D234A">
        <w:rPr>
          <w:rtl/>
        </w:rPr>
        <w:t xml:space="preserve"> قرار طردهم </w:t>
      </w:r>
      <w:r>
        <w:rPr>
          <w:rFonts w:hint="cs"/>
          <w:rtl/>
        </w:rPr>
        <w:t>قوة</w:t>
      </w:r>
      <w:r w:rsidRPr="005D234A">
        <w:rPr>
          <w:rtl/>
        </w:rPr>
        <w:t xml:space="preserve"> </w:t>
      </w:r>
      <w:r>
        <w:rPr>
          <w:rFonts w:hint="cs"/>
          <w:rtl/>
        </w:rPr>
        <w:t>ال</w:t>
      </w:r>
      <w:r w:rsidRPr="005D234A">
        <w:rPr>
          <w:rtl/>
        </w:rPr>
        <w:t xml:space="preserve">قانون، أعاد </w:t>
      </w:r>
      <w:r>
        <w:rPr>
          <w:rFonts w:hint="cs"/>
          <w:rtl/>
        </w:rPr>
        <w:t>مجلس</w:t>
      </w:r>
      <w:r w:rsidRPr="005D234A">
        <w:rPr>
          <w:rtl/>
        </w:rPr>
        <w:t xml:space="preserve"> الهجرة النظر </w:t>
      </w:r>
      <w:r>
        <w:rPr>
          <w:rFonts w:hint="cs"/>
          <w:rtl/>
        </w:rPr>
        <w:t xml:space="preserve">أربع مرات </w:t>
      </w:r>
      <w:r w:rsidRPr="005D234A">
        <w:rPr>
          <w:rtl/>
        </w:rPr>
        <w:t xml:space="preserve">في </w:t>
      </w:r>
      <w:r>
        <w:rPr>
          <w:rFonts w:hint="cs"/>
          <w:rtl/>
        </w:rPr>
        <w:t>الحيثيات</w:t>
      </w:r>
      <w:r w:rsidRPr="005D234A">
        <w:rPr>
          <w:rtl/>
        </w:rPr>
        <w:t xml:space="preserve"> الجديدة التي تذرّعوا بها. و</w:t>
      </w:r>
      <w:r>
        <w:rPr>
          <w:rFonts w:hint="cs"/>
          <w:rtl/>
        </w:rPr>
        <w:t xml:space="preserve">في واحدة من هذه المرات، </w:t>
      </w:r>
      <w:r w:rsidRPr="005D234A">
        <w:rPr>
          <w:rtl/>
        </w:rPr>
        <w:t xml:space="preserve">استُؤنفت </w:t>
      </w:r>
      <w:r>
        <w:rPr>
          <w:rFonts w:hint="cs"/>
          <w:rtl/>
        </w:rPr>
        <w:t xml:space="preserve">على </w:t>
      </w:r>
      <w:r w:rsidRPr="005D234A">
        <w:rPr>
          <w:rtl/>
        </w:rPr>
        <w:t xml:space="preserve">قرار </w:t>
      </w:r>
      <w:r>
        <w:rPr>
          <w:rFonts w:hint="cs"/>
          <w:rtl/>
        </w:rPr>
        <w:t>مجلس</w:t>
      </w:r>
      <w:r w:rsidRPr="005D234A">
        <w:rPr>
          <w:rtl/>
        </w:rPr>
        <w:t xml:space="preserve"> الهجرة، لكن محكمة الهجرة لم تُبطله. و</w:t>
      </w:r>
      <w:r>
        <w:rPr>
          <w:rFonts w:hint="cs"/>
          <w:rtl/>
        </w:rPr>
        <w:t>استناد</w:t>
      </w:r>
      <w:r w:rsidR="00531DA7">
        <w:rPr>
          <w:rFonts w:hint="cs"/>
          <w:rtl/>
        </w:rPr>
        <w:t xml:space="preserve">اً </w:t>
      </w:r>
      <w:r>
        <w:rPr>
          <w:rFonts w:hint="cs"/>
          <w:rtl/>
        </w:rPr>
        <w:t xml:space="preserve">إلى هذه الملابسات، </w:t>
      </w:r>
      <w:r w:rsidRPr="005D234A">
        <w:rPr>
          <w:rtl/>
        </w:rPr>
        <w:t xml:space="preserve">ترى الدولة الطرف وجوب </w:t>
      </w:r>
      <w:r w:rsidRPr="005D234A">
        <w:rPr>
          <w:rFonts w:hint="cs"/>
          <w:rtl/>
        </w:rPr>
        <w:t xml:space="preserve">اعتبار أن </w:t>
      </w:r>
      <w:r>
        <w:rPr>
          <w:rFonts w:hint="cs"/>
          <w:rtl/>
        </w:rPr>
        <w:t>مجلس</w:t>
      </w:r>
      <w:r w:rsidRPr="005D234A">
        <w:rPr>
          <w:rtl/>
        </w:rPr>
        <w:t xml:space="preserve"> الهجرة ومحكمة الهجرة </w:t>
      </w:r>
      <w:r w:rsidRPr="005D234A">
        <w:rPr>
          <w:rFonts w:hint="cs"/>
          <w:rtl/>
        </w:rPr>
        <w:t>كانا يملكان ما </w:t>
      </w:r>
      <w:r w:rsidRPr="005D234A">
        <w:rPr>
          <w:rtl/>
        </w:rPr>
        <w:t xml:space="preserve">يكفي من </w:t>
      </w:r>
      <w:r w:rsidRPr="005D234A">
        <w:rPr>
          <w:rFonts w:hint="cs"/>
          <w:rtl/>
        </w:rPr>
        <w:t>ال</w:t>
      </w:r>
      <w:r w:rsidRPr="005D234A">
        <w:rPr>
          <w:rtl/>
        </w:rPr>
        <w:t xml:space="preserve">معلومات </w:t>
      </w:r>
      <w:r>
        <w:rPr>
          <w:rFonts w:hint="cs"/>
          <w:rtl/>
        </w:rPr>
        <w:t>علاوة على</w:t>
      </w:r>
      <w:r w:rsidRPr="005D234A">
        <w:rPr>
          <w:rtl/>
        </w:rPr>
        <w:t xml:space="preserve"> وقائع القضية والوثائق المتصلة </w:t>
      </w:r>
      <w:r>
        <w:rPr>
          <w:rFonts w:hint="cs"/>
          <w:rtl/>
        </w:rPr>
        <w:t>بها بما يمكّنهما من التأكيد على أنهما</w:t>
      </w:r>
      <w:r w:rsidRPr="005D234A">
        <w:rPr>
          <w:rFonts w:hint="cs"/>
          <w:rtl/>
        </w:rPr>
        <w:t xml:space="preserve"> </w:t>
      </w:r>
      <w:r>
        <w:rPr>
          <w:rFonts w:hint="cs"/>
          <w:rtl/>
        </w:rPr>
        <w:t>يستندان</w:t>
      </w:r>
      <w:r w:rsidRPr="005D234A">
        <w:rPr>
          <w:rtl/>
        </w:rPr>
        <w:t xml:space="preserve"> إلى أساس متين </w:t>
      </w:r>
      <w:r>
        <w:rPr>
          <w:rFonts w:hint="cs"/>
          <w:rtl/>
        </w:rPr>
        <w:t>ل</w:t>
      </w:r>
      <w:r w:rsidRPr="005D234A">
        <w:rPr>
          <w:rtl/>
        </w:rPr>
        <w:t xml:space="preserve">تقييم </w:t>
      </w:r>
      <w:r>
        <w:rPr>
          <w:rFonts w:hint="cs"/>
          <w:rtl/>
        </w:rPr>
        <w:t xml:space="preserve">مدى </w:t>
      </w:r>
      <w:r w:rsidRPr="005D234A">
        <w:rPr>
          <w:rtl/>
        </w:rPr>
        <w:t xml:space="preserve">حاجة أصحاب الشكوى إلى الحماية في السويد </w:t>
      </w:r>
      <w:r>
        <w:rPr>
          <w:rFonts w:hint="cs"/>
          <w:rtl/>
        </w:rPr>
        <w:t>تقييم</w:t>
      </w:r>
      <w:r w:rsidR="00531DA7">
        <w:rPr>
          <w:rFonts w:hint="cs"/>
          <w:rtl/>
        </w:rPr>
        <w:t xml:space="preserve">اً </w:t>
      </w:r>
      <w:r w:rsidRPr="005D234A">
        <w:rPr>
          <w:rtl/>
        </w:rPr>
        <w:t>مستنير</w:t>
      </w:r>
      <w:r w:rsidR="00531DA7">
        <w:rPr>
          <w:rFonts w:hint="cs"/>
          <w:rtl/>
        </w:rPr>
        <w:t xml:space="preserve">اً </w:t>
      </w:r>
      <w:r w:rsidRPr="005D234A">
        <w:rPr>
          <w:rtl/>
        </w:rPr>
        <w:t>وشفاف</w:t>
      </w:r>
      <w:r w:rsidR="00531DA7">
        <w:rPr>
          <w:rFonts w:hint="cs"/>
          <w:rtl/>
        </w:rPr>
        <w:t xml:space="preserve">اً </w:t>
      </w:r>
      <w:r>
        <w:rPr>
          <w:rFonts w:hint="cs"/>
          <w:rtl/>
        </w:rPr>
        <w:t>فضل</w:t>
      </w:r>
      <w:r w:rsidR="00531DA7">
        <w:rPr>
          <w:rFonts w:hint="cs"/>
          <w:rtl/>
        </w:rPr>
        <w:t xml:space="preserve">اً </w:t>
      </w:r>
      <w:r>
        <w:rPr>
          <w:rFonts w:hint="cs"/>
          <w:rtl/>
        </w:rPr>
        <w:t>عن تقييم المخاطر ذات الصلة تقييما</w:t>
      </w:r>
      <w:r w:rsidR="00531DA7">
        <w:rPr>
          <w:rFonts w:hint="cs"/>
          <w:rtl/>
        </w:rPr>
        <w:t>ً</w:t>
      </w:r>
      <w:r>
        <w:rPr>
          <w:rFonts w:hint="cs"/>
          <w:rtl/>
        </w:rPr>
        <w:t xml:space="preserve"> </w:t>
      </w:r>
      <w:r w:rsidRPr="005D234A">
        <w:rPr>
          <w:rtl/>
        </w:rPr>
        <w:t>معقول</w:t>
      </w:r>
      <w:r>
        <w:rPr>
          <w:rFonts w:hint="cs"/>
          <w:rtl/>
        </w:rPr>
        <w:t>ا</w:t>
      </w:r>
      <w:r w:rsidR="00531DA7">
        <w:rPr>
          <w:rFonts w:hint="cs"/>
          <w:rtl/>
        </w:rPr>
        <w:t>ً</w:t>
      </w:r>
      <w:r w:rsidRPr="005D234A">
        <w:rPr>
          <w:rtl/>
        </w:rPr>
        <w:t>.</w:t>
      </w:r>
    </w:p>
    <w:p w:rsidR="009E247B" w:rsidRPr="007559C2" w:rsidRDefault="009E247B" w:rsidP="00E15E73">
      <w:pPr>
        <w:pStyle w:val="SingleTxtGA"/>
        <w:rPr>
          <w:rtl/>
        </w:rPr>
      </w:pPr>
      <w:r w:rsidRPr="007559C2">
        <w:rPr>
          <w:rtl/>
        </w:rPr>
        <w:t>4-1</w:t>
      </w:r>
      <w:r>
        <w:rPr>
          <w:rFonts w:hint="cs"/>
          <w:rtl/>
        </w:rPr>
        <w:t>1</w:t>
      </w:r>
      <w:r w:rsidRPr="007559C2">
        <w:rPr>
          <w:rtl/>
        </w:rPr>
        <w:tab/>
        <w:t xml:space="preserve">وبهذا الخصوص، تذكّر الدولة الطرف بتعليق اللجنة العام </w:t>
      </w:r>
      <w:r>
        <w:rPr>
          <w:rtl/>
        </w:rPr>
        <w:t>رقم </w:t>
      </w:r>
      <w:r w:rsidR="007D35CE">
        <w:rPr>
          <w:rtl/>
        </w:rPr>
        <w:t>1</w:t>
      </w:r>
      <w:r>
        <w:rPr>
          <w:rFonts w:hint="cs"/>
          <w:rtl/>
        </w:rPr>
        <w:t xml:space="preserve">(1997) </w:t>
      </w:r>
      <w:r w:rsidRPr="007559C2">
        <w:rPr>
          <w:rtl/>
        </w:rPr>
        <w:t xml:space="preserve">بشأن </w:t>
      </w:r>
      <w:r>
        <w:rPr>
          <w:rFonts w:hint="cs"/>
          <w:rtl/>
        </w:rPr>
        <w:t xml:space="preserve">تنفيذ </w:t>
      </w:r>
      <w:r w:rsidRPr="007559C2">
        <w:rPr>
          <w:rtl/>
        </w:rPr>
        <w:t xml:space="preserve">المادة 3 من الاتفاقية، وكذلك باجتهادات اللجنة التي صرّحت فيها </w:t>
      </w:r>
      <w:r>
        <w:rPr>
          <w:rtl/>
        </w:rPr>
        <w:t>بأن</w:t>
      </w:r>
      <w:r>
        <w:rPr>
          <w:rFonts w:hint="cs"/>
          <w:rtl/>
        </w:rPr>
        <w:t xml:space="preserve"> اللجنة</w:t>
      </w:r>
      <w:r w:rsidRPr="007559C2">
        <w:rPr>
          <w:rtl/>
        </w:rPr>
        <w:t xml:space="preserve"> ليست هيئة استئناف</w:t>
      </w:r>
      <w:r>
        <w:rPr>
          <w:rtl/>
        </w:rPr>
        <w:t xml:space="preserve"> ولا </w:t>
      </w:r>
      <w:r w:rsidRPr="007559C2">
        <w:rPr>
          <w:rtl/>
        </w:rPr>
        <w:t>هيئة شبه قضائية</w:t>
      </w:r>
      <w:r>
        <w:rPr>
          <w:rtl/>
        </w:rPr>
        <w:t xml:space="preserve"> ولا </w:t>
      </w:r>
      <w:r w:rsidRPr="007559C2">
        <w:rPr>
          <w:rtl/>
        </w:rPr>
        <w:t>إدارية،</w:t>
      </w:r>
      <w:r w:rsidRPr="007559C2">
        <w:rPr>
          <w:vertAlign w:val="superscript"/>
          <w:rtl/>
        </w:rPr>
        <w:t xml:space="preserve"> </w:t>
      </w:r>
      <w:r w:rsidRPr="007559C2">
        <w:rPr>
          <w:rtl/>
        </w:rPr>
        <w:t xml:space="preserve">وبأنها ستعطي وزناً كبيراً للنتائج </w:t>
      </w:r>
      <w:proofErr w:type="spellStart"/>
      <w:r w:rsidRPr="007559C2">
        <w:rPr>
          <w:rtl/>
        </w:rPr>
        <w:t>الوقائعية</w:t>
      </w:r>
      <w:proofErr w:type="spellEnd"/>
      <w:r w:rsidRPr="007559C2">
        <w:rPr>
          <w:rtl/>
        </w:rPr>
        <w:t xml:space="preserve"> التي تنتهي إليها أجهزة الدولة الطرف المعنية</w:t>
      </w:r>
      <w:r w:rsidRPr="00E15E73">
        <w:rPr>
          <w:rStyle w:val="FootnoteReference"/>
          <w:rFonts w:ascii="Traditional Arabic" w:hAnsi="Traditional Arabic"/>
          <w:szCs w:val="30"/>
          <w:rtl/>
        </w:rPr>
        <w:t>(</w:t>
      </w:r>
      <w:r w:rsidRPr="00E15E73">
        <w:rPr>
          <w:rStyle w:val="FootnoteReference"/>
          <w:rFonts w:ascii="Traditional Arabic" w:hAnsi="Traditional Arabic"/>
          <w:rtl/>
        </w:rPr>
        <w:footnoteReference w:id="12"/>
      </w:r>
      <w:r w:rsidRPr="00E15E73">
        <w:rPr>
          <w:rStyle w:val="FootnoteReference"/>
          <w:rFonts w:ascii="Traditional Arabic" w:hAnsi="Traditional Arabic"/>
          <w:szCs w:val="30"/>
          <w:rtl/>
        </w:rPr>
        <w:t>)</w:t>
      </w:r>
      <w:r w:rsidR="00E15E73">
        <w:rPr>
          <w:rFonts w:hint="cs"/>
          <w:rtl/>
        </w:rPr>
        <w:t>.</w:t>
      </w:r>
      <w:r w:rsidRPr="007559C2">
        <w:rPr>
          <w:rtl/>
        </w:rPr>
        <w:t xml:space="preserve"> فضلاً عن ذلك، فقد رأت اللجنة أن </w:t>
      </w:r>
      <w:r w:rsidRPr="007559C2">
        <w:rPr>
          <w:color w:val="000000"/>
          <w:rtl/>
        </w:rPr>
        <w:t xml:space="preserve">تقييم الوقائع والأدلة </w:t>
      </w:r>
      <w:r w:rsidRPr="007559C2">
        <w:rPr>
          <w:color w:val="000000"/>
          <w:rtl/>
        </w:rPr>
        <w:lastRenderedPageBreak/>
        <w:t>في قضية بعينها</w:t>
      </w:r>
      <w:r w:rsidRPr="007559C2">
        <w:rPr>
          <w:rtl/>
        </w:rPr>
        <w:t xml:space="preserve"> إنما هو من اختصاص </w:t>
      </w:r>
      <w:r w:rsidRPr="007559C2">
        <w:rPr>
          <w:color w:val="000000"/>
          <w:rtl/>
        </w:rPr>
        <w:t xml:space="preserve">محاكم الدول الأطراف في الاتفاقية، وليس </w:t>
      </w:r>
      <w:r>
        <w:rPr>
          <w:rFonts w:hint="cs"/>
          <w:color w:val="000000"/>
          <w:rtl/>
        </w:rPr>
        <w:t xml:space="preserve">من اختصاص </w:t>
      </w:r>
      <w:r w:rsidRPr="007559C2">
        <w:rPr>
          <w:color w:val="000000"/>
          <w:rtl/>
        </w:rPr>
        <w:t>اللجنة،</w:t>
      </w:r>
      <w:r>
        <w:rPr>
          <w:color w:val="000000"/>
          <w:rtl/>
        </w:rPr>
        <w:t xml:space="preserve"> إلا </w:t>
      </w:r>
      <w:r>
        <w:rPr>
          <w:rFonts w:hint="cs"/>
          <w:color w:val="000000"/>
          <w:rtl/>
        </w:rPr>
        <w:t xml:space="preserve">إذا أمكن إثبات </w:t>
      </w:r>
      <w:r w:rsidRPr="007559C2">
        <w:rPr>
          <w:color w:val="000000"/>
          <w:rtl/>
        </w:rPr>
        <w:t xml:space="preserve">أن الكيفية التي قُيّمت بها </w:t>
      </w:r>
      <w:r>
        <w:rPr>
          <w:rFonts w:hint="cs"/>
          <w:color w:val="000000"/>
          <w:rtl/>
        </w:rPr>
        <w:t xml:space="preserve">تلك </w:t>
      </w:r>
      <w:r w:rsidRPr="007559C2">
        <w:rPr>
          <w:color w:val="000000"/>
          <w:rtl/>
        </w:rPr>
        <w:t xml:space="preserve">الوقائع والأدلة </w:t>
      </w:r>
      <w:r>
        <w:rPr>
          <w:rFonts w:hint="cs"/>
          <w:color w:val="000000"/>
          <w:rtl/>
        </w:rPr>
        <w:t>تنطوي على</w:t>
      </w:r>
      <w:r w:rsidRPr="007559C2">
        <w:rPr>
          <w:color w:val="000000"/>
          <w:rtl/>
        </w:rPr>
        <w:t xml:space="preserve"> تعسف </w:t>
      </w:r>
      <w:r>
        <w:rPr>
          <w:rFonts w:hint="cs"/>
          <w:color w:val="000000"/>
          <w:rtl/>
        </w:rPr>
        <w:t>صارخ</w:t>
      </w:r>
      <w:r>
        <w:rPr>
          <w:color w:val="000000"/>
          <w:rtl/>
        </w:rPr>
        <w:t xml:space="preserve"> أو </w:t>
      </w:r>
      <w:r w:rsidRPr="007559C2">
        <w:rPr>
          <w:color w:val="000000"/>
          <w:rtl/>
        </w:rPr>
        <w:t>بلغت حد إنكار العدالة</w:t>
      </w:r>
      <w:r w:rsidRPr="00E15E73">
        <w:rPr>
          <w:rStyle w:val="FootnoteReference"/>
          <w:rFonts w:ascii="Traditional Arabic" w:hAnsi="Traditional Arabic"/>
          <w:szCs w:val="30"/>
          <w:rtl/>
        </w:rPr>
        <w:t>(</w:t>
      </w:r>
      <w:r w:rsidRPr="00E15E73">
        <w:rPr>
          <w:rStyle w:val="FootnoteReference"/>
          <w:rFonts w:ascii="Traditional Arabic" w:hAnsi="Traditional Arabic"/>
          <w:rtl/>
        </w:rPr>
        <w:footnoteReference w:id="13"/>
      </w:r>
      <w:r w:rsidRPr="00E15E73">
        <w:rPr>
          <w:rStyle w:val="FootnoteReference"/>
          <w:rFonts w:ascii="Traditional Arabic" w:hAnsi="Traditional Arabic"/>
          <w:szCs w:val="30"/>
          <w:rtl/>
        </w:rPr>
        <w:t>)</w:t>
      </w:r>
      <w:r w:rsidRPr="007559C2">
        <w:rPr>
          <w:rtl/>
        </w:rPr>
        <w:t xml:space="preserve">. </w:t>
      </w:r>
    </w:p>
    <w:p w:rsidR="009E247B" w:rsidRPr="007559C2" w:rsidRDefault="009E247B" w:rsidP="009E247B">
      <w:pPr>
        <w:pStyle w:val="SingleTxtGA"/>
        <w:rPr>
          <w:rtl/>
        </w:rPr>
      </w:pPr>
      <w:r w:rsidRPr="007559C2">
        <w:rPr>
          <w:rtl/>
        </w:rPr>
        <w:t>4-1</w:t>
      </w:r>
      <w:r>
        <w:rPr>
          <w:rFonts w:hint="cs"/>
          <w:rtl/>
        </w:rPr>
        <w:t>2</w:t>
      </w:r>
      <w:r w:rsidRPr="007559C2">
        <w:rPr>
          <w:rtl/>
        </w:rPr>
        <w:tab/>
      </w:r>
      <w:r>
        <w:rPr>
          <w:rFonts w:hint="cs"/>
          <w:rtl/>
        </w:rPr>
        <w:t>وفي</w:t>
      </w:r>
      <w:r>
        <w:rPr>
          <w:rtl/>
        </w:rPr>
        <w:t> </w:t>
      </w:r>
      <w:r w:rsidRPr="007559C2">
        <w:rPr>
          <w:rtl/>
        </w:rPr>
        <w:t>ضوء</w:t>
      </w:r>
      <w:r>
        <w:rPr>
          <w:rtl/>
        </w:rPr>
        <w:t xml:space="preserve"> ما </w:t>
      </w:r>
      <w:r w:rsidRPr="007559C2">
        <w:rPr>
          <w:rtl/>
        </w:rPr>
        <w:t xml:space="preserve">تقدّم وبالنظر إلى أن </w:t>
      </w:r>
      <w:r>
        <w:rPr>
          <w:rFonts w:hint="cs"/>
          <w:rtl/>
        </w:rPr>
        <w:t>مجلس</w:t>
      </w:r>
      <w:r w:rsidRPr="007559C2">
        <w:rPr>
          <w:rtl/>
        </w:rPr>
        <w:t xml:space="preserve"> الهجرة ومحاكم الهجرة في الدولة الطرف هيئا</w:t>
      </w:r>
      <w:r>
        <w:rPr>
          <w:rFonts w:hint="cs"/>
          <w:rtl/>
        </w:rPr>
        <w:t>ت</w:t>
      </w:r>
      <w:r w:rsidRPr="007559C2">
        <w:rPr>
          <w:rtl/>
        </w:rPr>
        <w:t xml:space="preserve"> متخصص</w:t>
      </w:r>
      <w:r>
        <w:rPr>
          <w:rFonts w:hint="cs"/>
          <w:rtl/>
        </w:rPr>
        <w:t>ة</w:t>
      </w:r>
      <w:r w:rsidRPr="007559C2">
        <w:rPr>
          <w:rtl/>
        </w:rPr>
        <w:t xml:space="preserve"> تتمتع بخبرة عملية خاصة في ميدان قانون اللجوء وممارسة حق اللجوء، </w:t>
      </w:r>
      <w:r>
        <w:rPr>
          <w:rFonts w:hint="cs"/>
          <w:rtl/>
        </w:rPr>
        <w:t xml:space="preserve">تدفع الدولة الطرف بعدم </w:t>
      </w:r>
      <w:r w:rsidRPr="007559C2">
        <w:rPr>
          <w:rtl/>
        </w:rPr>
        <w:t xml:space="preserve">وجود أي </w:t>
      </w:r>
      <w:r>
        <w:rPr>
          <w:rFonts w:hint="cs"/>
          <w:rtl/>
        </w:rPr>
        <w:t>سبب يدعو إلى</w:t>
      </w:r>
      <w:r w:rsidRPr="007559C2">
        <w:rPr>
          <w:rtl/>
        </w:rPr>
        <w:t xml:space="preserve"> لاستنتاج أن الأحكام القضائية الوطنية كانت قاصرة </w:t>
      </w:r>
      <w:r>
        <w:rPr>
          <w:rtl/>
        </w:rPr>
        <w:t>أو </w:t>
      </w:r>
      <w:r w:rsidRPr="007559C2">
        <w:rPr>
          <w:rtl/>
        </w:rPr>
        <w:t xml:space="preserve">أن نتيجة الإجراءات القانونية </w:t>
      </w:r>
      <w:r>
        <w:rPr>
          <w:rFonts w:hint="cs"/>
          <w:rtl/>
        </w:rPr>
        <w:t>المحلية</w:t>
      </w:r>
      <w:r w:rsidRPr="007559C2">
        <w:rPr>
          <w:rtl/>
        </w:rPr>
        <w:t xml:space="preserve"> كانت تعسفية على أي نحو</w:t>
      </w:r>
      <w:r>
        <w:rPr>
          <w:rtl/>
        </w:rPr>
        <w:t xml:space="preserve"> أو </w:t>
      </w:r>
      <w:r w:rsidRPr="007559C2">
        <w:rPr>
          <w:rtl/>
        </w:rPr>
        <w:t>بلغت حد إنكار العدالة</w:t>
      </w:r>
      <w:r>
        <w:rPr>
          <w:rFonts w:hint="cs"/>
          <w:rtl/>
        </w:rPr>
        <w:t xml:space="preserve"> </w:t>
      </w:r>
      <w:r w:rsidRPr="007559C2">
        <w:rPr>
          <w:rtl/>
        </w:rPr>
        <w:t xml:space="preserve">في هذه القضية. وتدفع الدولة الطرف بوجوب إعطاء وزن كبير لآراء السلطات السويدية للهجرة، وفقاً لمنطوق الأحكام القاضية بطرد أصحاب الشكوى إلى </w:t>
      </w:r>
      <w:r>
        <w:rPr>
          <w:rFonts w:hint="cs"/>
          <w:rtl/>
        </w:rPr>
        <w:t>بيلاروس</w:t>
      </w:r>
      <w:r w:rsidRPr="007559C2">
        <w:rPr>
          <w:rtl/>
        </w:rPr>
        <w:t xml:space="preserve">. </w:t>
      </w:r>
    </w:p>
    <w:p w:rsidR="009E247B" w:rsidRPr="007559C2" w:rsidRDefault="009E247B" w:rsidP="009E247B">
      <w:pPr>
        <w:pStyle w:val="SingleTxtGA"/>
        <w:rPr>
          <w:rtl/>
        </w:rPr>
      </w:pPr>
      <w:r w:rsidRPr="007559C2">
        <w:rPr>
          <w:rtl/>
        </w:rPr>
        <w:t>4-1</w:t>
      </w:r>
      <w:r>
        <w:rPr>
          <w:rFonts w:hint="cs"/>
          <w:rtl/>
        </w:rPr>
        <w:t>3</w:t>
      </w:r>
      <w:r w:rsidRPr="007559C2">
        <w:rPr>
          <w:rtl/>
        </w:rPr>
        <w:tab/>
      </w:r>
      <w:r>
        <w:rPr>
          <w:rFonts w:hint="cs"/>
          <w:rtl/>
        </w:rPr>
        <w:t>وبال</w:t>
      </w:r>
      <w:r w:rsidRPr="007559C2">
        <w:rPr>
          <w:rtl/>
        </w:rPr>
        <w:t>إضافة إلى ذلك، تلاحظ الدولة الطرف أن صحاب</w:t>
      </w:r>
      <w:r>
        <w:rPr>
          <w:rFonts w:hint="cs"/>
          <w:rtl/>
        </w:rPr>
        <w:t>ا</w:t>
      </w:r>
      <w:r w:rsidRPr="007559C2">
        <w:rPr>
          <w:rtl/>
        </w:rPr>
        <w:t xml:space="preserve"> الشكوى</w:t>
      </w:r>
      <w:r>
        <w:rPr>
          <w:rFonts w:hint="cs"/>
          <w:rtl/>
        </w:rPr>
        <w:t xml:space="preserve"> الأول والثاني</w:t>
      </w:r>
      <w:r w:rsidRPr="007559C2">
        <w:rPr>
          <w:rtl/>
        </w:rPr>
        <w:t xml:space="preserve"> قد دفعا أمام اللجنة بأن طردهم</w:t>
      </w:r>
      <w:r>
        <w:rPr>
          <w:rFonts w:hint="cs"/>
          <w:rtl/>
        </w:rPr>
        <w:t>ا</w:t>
      </w:r>
      <w:r w:rsidRPr="007559C2">
        <w:rPr>
          <w:rtl/>
        </w:rPr>
        <w:t xml:space="preserve"> إلى </w:t>
      </w:r>
      <w:r>
        <w:rPr>
          <w:rFonts w:hint="cs"/>
          <w:rtl/>
        </w:rPr>
        <w:t>بيلاروس سي</w:t>
      </w:r>
      <w:r w:rsidRPr="007559C2">
        <w:rPr>
          <w:rtl/>
        </w:rPr>
        <w:t xml:space="preserve">شكل انتهاكاً للمادة 3 من الاتفاقية </w:t>
      </w:r>
      <w:r>
        <w:rPr>
          <w:rFonts w:hint="cs"/>
          <w:rtl/>
        </w:rPr>
        <w:t>لأنهما سيت</w:t>
      </w:r>
      <w:r w:rsidRPr="007559C2">
        <w:rPr>
          <w:rtl/>
        </w:rPr>
        <w:t>عرّض</w:t>
      </w:r>
      <w:r>
        <w:rPr>
          <w:rFonts w:hint="cs"/>
          <w:rtl/>
        </w:rPr>
        <w:t>ا</w:t>
      </w:r>
      <w:r w:rsidRPr="007559C2">
        <w:rPr>
          <w:rtl/>
        </w:rPr>
        <w:t>ن</w:t>
      </w:r>
      <w:r>
        <w:rPr>
          <w:rFonts w:hint="cs"/>
          <w:rtl/>
        </w:rPr>
        <w:t>،</w:t>
      </w:r>
      <w:r w:rsidRPr="007559C2">
        <w:rPr>
          <w:rtl/>
        </w:rPr>
        <w:t xml:space="preserve"> </w:t>
      </w:r>
      <w:r>
        <w:rPr>
          <w:rFonts w:hint="cs"/>
          <w:rtl/>
        </w:rPr>
        <w:t>بمجرد عودته</w:t>
      </w:r>
      <w:r w:rsidRPr="007559C2">
        <w:rPr>
          <w:rtl/>
        </w:rPr>
        <w:t>م</w:t>
      </w:r>
      <w:r>
        <w:rPr>
          <w:rFonts w:hint="cs"/>
          <w:rtl/>
        </w:rPr>
        <w:t>ا،</w:t>
      </w:r>
      <w:r w:rsidRPr="007559C2">
        <w:rPr>
          <w:rtl/>
        </w:rPr>
        <w:t xml:space="preserve"> ل</w:t>
      </w:r>
      <w:r>
        <w:rPr>
          <w:rFonts w:hint="cs"/>
          <w:rtl/>
        </w:rPr>
        <w:t xml:space="preserve">خطر </w:t>
      </w:r>
      <w:r w:rsidRPr="007559C2">
        <w:rPr>
          <w:rtl/>
        </w:rPr>
        <w:t>تعذيب</w:t>
      </w:r>
      <w:r>
        <w:rPr>
          <w:rFonts w:hint="cs"/>
          <w:rtl/>
        </w:rPr>
        <w:t>هما بسبب أنشطتهما السياسية.</w:t>
      </w:r>
      <w:r w:rsidRPr="007559C2">
        <w:rPr>
          <w:rtl/>
        </w:rPr>
        <w:t xml:space="preserve"> </w:t>
      </w:r>
    </w:p>
    <w:p w:rsidR="009E247B" w:rsidRPr="007A6A45" w:rsidRDefault="009E247B" w:rsidP="00C67BDF">
      <w:pPr>
        <w:pStyle w:val="SingleTxtGA"/>
        <w:rPr>
          <w:spacing w:val="-2"/>
          <w:rtl/>
        </w:rPr>
      </w:pPr>
      <w:r w:rsidRPr="007A6A45">
        <w:rPr>
          <w:spacing w:val="-2"/>
          <w:rtl/>
        </w:rPr>
        <w:t>4-1</w:t>
      </w:r>
      <w:r w:rsidRPr="007A6A45">
        <w:rPr>
          <w:rFonts w:hint="cs"/>
          <w:spacing w:val="-2"/>
          <w:rtl/>
        </w:rPr>
        <w:t>4</w:t>
      </w:r>
      <w:r w:rsidRPr="007A6A45">
        <w:rPr>
          <w:spacing w:val="-2"/>
          <w:rtl/>
        </w:rPr>
        <w:tab/>
        <w:t xml:space="preserve">وبهذا الخصوص، ترى الدولة الطرف، شأنها شأن سلطات </w:t>
      </w:r>
      <w:r w:rsidRPr="007A6A45">
        <w:rPr>
          <w:rFonts w:hint="cs"/>
          <w:spacing w:val="-2"/>
          <w:rtl/>
        </w:rPr>
        <w:t>ا</w:t>
      </w:r>
      <w:r w:rsidRPr="007A6A45">
        <w:rPr>
          <w:spacing w:val="-2"/>
          <w:rtl/>
        </w:rPr>
        <w:t>لهجرة</w:t>
      </w:r>
      <w:r w:rsidRPr="007A6A45">
        <w:rPr>
          <w:rFonts w:hint="cs"/>
          <w:spacing w:val="-2"/>
          <w:rtl/>
        </w:rPr>
        <w:t xml:space="preserve"> فيها</w:t>
      </w:r>
      <w:r w:rsidRPr="007A6A45">
        <w:rPr>
          <w:spacing w:val="-2"/>
          <w:rtl/>
        </w:rPr>
        <w:t xml:space="preserve">، </w:t>
      </w:r>
      <w:r w:rsidRPr="007A6A45">
        <w:rPr>
          <w:rFonts w:hint="cs"/>
          <w:spacing w:val="-2"/>
          <w:rtl/>
        </w:rPr>
        <w:t xml:space="preserve">أن ثمة </w:t>
      </w:r>
      <w:r w:rsidRPr="007A6A45">
        <w:rPr>
          <w:spacing w:val="-2"/>
          <w:rtl/>
        </w:rPr>
        <w:t>عدداً من الجوانب التي تبرّر التشكيك في مصداقية أصحاب الشكوى</w:t>
      </w:r>
      <w:r w:rsidRPr="007A6A45">
        <w:rPr>
          <w:rFonts w:hint="cs"/>
          <w:spacing w:val="-2"/>
          <w:rtl/>
        </w:rPr>
        <w:t xml:space="preserve"> عموم</w:t>
      </w:r>
      <w:r w:rsidR="00411E5D">
        <w:rPr>
          <w:rFonts w:hint="cs"/>
          <w:spacing w:val="-2"/>
          <w:rtl/>
        </w:rPr>
        <w:t xml:space="preserve">اً. </w:t>
      </w:r>
      <w:r w:rsidRPr="007A6A45">
        <w:rPr>
          <w:spacing w:val="-2"/>
          <w:rtl/>
        </w:rPr>
        <w:t xml:space="preserve">فبدايةً، ترى الدولة الطرف أن من المناسب </w:t>
      </w:r>
      <w:r w:rsidRPr="007A6A45">
        <w:rPr>
          <w:rFonts w:hint="cs"/>
          <w:spacing w:val="-2"/>
          <w:rtl/>
        </w:rPr>
        <w:t>الملاحظة</w:t>
      </w:r>
      <w:r w:rsidRPr="007A6A45">
        <w:rPr>
          <w:spacing w:val="-2"/>
          <w:rtl/>
        </w:rPr>
        <w:t xml:space="preserve"> أن </w:t>
      </w:r>
      <w:r w:rsidRPr="007A6A45">
        <w:rPr>
          <w:rFonts w:hint="cs"/>
          <w:spacing w:val="-2"/>
          <w:rtl/>
        </w:rPr>
        <w:t>صاح</w:t>
      </w:r>
      <w:r w:rsidRPr="007A6A45">
        <w:rPr>
          <w:spacing w:val="-2"/>
          <w:rtl/>
        </w:rPr>
        <w:t xml:space="preserve">ب الشكوى </w:t>
      </w:r>
      <w:r w:rsidRPr="007A6A45">
        <w:rPr>
          <w:rFonts w:hint="cs"/>
          <w:spacing w:val="-2"/>
          <w:rtl/>
        </w:rPr>
        <w:t>الأول أعطى اسم</w:t>
      </w:r>
      <w:r w:rsidR="00411E5D">
        <w:rPr>
          <w:rFonts w:hint="cs"/>
          <w:spacing w:val="-2"/>
          <w:rtl/>
        </w:rPr>
        <w:t xml:space="preserve">اً </w:t>
      </w:r>
      <w:r w:rsidRPr="007A6A45">
        <w:rPr>
          <w:rFonts w:hint="cs"/>
          <w:spacing w:val="-2"/>
          <w:rtl/>
        </w:rPr>
        <w:t>مزيّف</w:t>
      </w:r>
      <w:r w:rsidR="00411E5D">
        <w:rPr>
          <w:rFonts w:hint="cs"/>
          <w:spacing w:val="-2"/>
          <w:rtl/>
        </w:rPr>
        <w:t xml:space="preserve">اً </w:t>
      </w:r>
      <w:r w:rsidRPr="007A6A45">
        <w:rPr>
          <w:rFonts w:hint="cs"/>
          <w:spacing w:val="-2"/>
          <w:rtl/>
        </w:rPr>
        <w:t>ومعلومات مغلوطة عن أسباب طلبه اللجوء في عام 2004، وهو ما لم يستطع تفسيره بصورة معقولة. أما</w:t>
      </w:r>
      <w:r w:rsidR="00C67BDF" w:rsidRPr="007A6A45">
        <w:rPr>
          <w:rFonts w:hint="eastAsia"/>
          <w:spacing w:val="-2"/>
          <w:rtl/>
        </w:rPr>
        <w:t> </w:t>
      </w:r>
      <w:r w:rsidRPr="007A6A45">
        <w:rPr>
          <w:rFonts w:hint="cs"/>
          <w:spacing w:val="-2"/>
          <w:rtl/>
        </w:rPr>
        <w:t>الادعاء بأنه كان ينوي البقاء في السويد مؤقت</w:t>
      </w:r>
      <w:r w:rsidR="00411E5D">
        <w:rPr>
          <w:rFonts w:hint="cs"/>
          <w:spacing w:val="-2"/>
          <w:rtl/>
        </w:rPr>
        <w:t xml:space="preserve">اً </w:t>
      </w:r>
      <w:r w:rsidRPr="007A6A45">
        <w:rPr>
          <w:rFonts w:hint="cs"/>
          <w:spacing w:val="-2"/>
          <w:rtl/>
        </w:rPr>
        <w:t>وأنه قدم معلومات مغلوطة لكي يطرد لاحقا</w:t>
      </w:r>
      <w:r w:rsidR="00C67BDF" w:rsidRPr="007A6A45">
        <w:rPr>
          <w:rFonts w:hint="cs"/>
          <w:spacing w:val="-2"/>
          <w:rtl/>
        </w:rPr>
        <w:t>ً</w:t>
      </w:r>
      <w:r w:rsidRPr="007A6A45">
        <w:rPr>
          <w:rFonts w:hint="cs"/>
          <w:spacing w:val="-2"/>
          <w:rtl/>
        </w:rPr>
        <w:t xml:space="preserve"> فذلك يفتقر إلى المصداقية، لا سيما بالنظر إلى رفضه العودة بعد رفض طب لجوئه. ثم إن أصحاب الشكوى انتظروا أزيد من عام من وصولهم إلى السويد قبل تقديم طلب اللجوء. وفضل</w:t>
      </w:r>
      <w:r w:rsidR="00411E5D">
        <w:rPr>
          <w:rFonts w:hint="cs"/>
          <w:spacing w:val="-2"/>
          <w:rtl/>
        </w:rPr>
        <w:t xml:space="preserve">اً </w:t>
      </w:r>
      <w:r w:rsidRPr="007A6A45">
        <w:rPr>
          <w:rFonts w:hint="cs"/>
          <w:spacing w:val="-2"/>
          <w:rtl/>
        </w:rPr>
        <w:t>عن ذلك، سافر أصحاب الشكوى، في الفترة من 2006 إلى 2009، إلى بيلاروس وخارجها بجوزات سفرهم واستطاعوا الحصول على جوازات سفر وتأشيرات سفر جديدة دون أن تعير سلطات بيلاروس أي اهتمام لهم. وفي الأخير، فإن رواية صاحبا الشكوى الأول والثاني عن أنشطتهما السياسية في الفترة من 1996 إلى 2009 غامضة وغير منسجمة وتفتقر إلى تفاصيل ملموسة. وتؤكد الدولة الطرف أن ثمة أسباب</w:t>
      </w:r>
      <w:r w:rsidR="00411E5D">
        <w:rPr>
          <w:rFonts w:hint="cs"/>
          <w:spacing w:val="-2"/>
          <w:rtl/>
        </w:rPr>
        <w:t xml:space="preserve">اً </w:t>
      </w:r>
      <w:r w:rsidRPr="007A6A45">
        <w:rPr>
          <w:rFonts w:hint="cs"/>
          <w:spacing w:val="-2"/>
          <w:rtl/>
        </w:rPr>
        <w:t>قوية تدعو إلى التشكيك في مصداقية ادعاءاتهما بخصوص أنشطتهما السياسية في بيلاروس، ومن ثم في الادعاء بأن سلطات بيلاروس مهتمة بهما.</w:t>
      </w:r>
    </w:p>
    <w:p w:rsidR="009E247B" w:rsidRPr="00890B4F" w:rsidRDefault="009E247B" w:rsidP="00E15E73">
      <w:pPr>
        <w:pStyle w:val="SingleTxtGA"/>
        <w:rPr>
          <w:rtl/>
        </w:rPr>
      </w:pPr>
      <w:r w:rsidRPr="007559C2">
        <w:rPr>
          <w:rtl/>
        </w:rPr>
        <w:t>4-1</w:t>
      </w:r>
      <w:r>
        <w:rPr>
          <w:rFonts w:hint="cs"/>
          <w:rtl/>
        </w:rPr>
        <w:t>5</w:t>
      </w:r>
      <w:r w:rsidRPr="007559C2">
        <w:rPr>
          <w:rtl/>
        </w:rPr>
        <w:tab/>
        <w:t>وت</w:t>
      </w:r>
      <w:r>
        <w:rPr>
          <w:rFonts w:hint="cs"/>
          <w:rtl/>
        </w:rPr>
        <w:t>وضّح</w:t>
      </w:r>
      <w:r w:rsidRPr="007559C2">
        <w:rPr>
          <w:rtl/>
        </w:rPr>
        <w:t xml:space="preserve"> الدولة الطرف </w:t>
      </w:r>
      <w:r>
        <w:rPr>
          <w:rFonts w:hint="cs"/>
          <w:rtl/>
        </w:rPr>
        <w:t xml:space="preserve">أنها لا تشكك، لا هي ولا سلطات الهجرة فيها، في ادعاء صاحبا الشكوى الأول والثاني بأن سلطات بيلاروس ألقت القبض عليهما أثناء المظاهرة التي جرت في عام 2006 وتعرضا لتجاوزات على إثر ذلك. وتسلِّم الدولة الطرف بدواعي القلق التي قد يعرب عنها صاحبا الشكوى بصورة مشروعة بخصوص المعاملة التي تعرضا لها في وقت مضى، لكنها تلاحظ أنهما لم يدعيا أنهما تعرضا منذ ذلك الوقت لمعاملة من قبيل المعاملة المبيّنة </w:t>
      </w:r>
      <w:r>
        <w:rPr>
          <w:rFonts w:hint="cs"/>
          <w:rtl/>
        </w:rPr>
        <w:lastRenderedPageBreak/>
        <w:t>في المادة 1 من الاتفاقية. ويكتسي ذلك أهمية بالنسبة لتقييم ما إذا كان طرد أصحاب الشكوى منسجم</w:t>
      </w:r>
      <w:r w:rsidR="00411E5D">
        <w:rPr>
          <w:rFonts w:hint="cs"/>
          <w:rtl/>
        </w:rPr>
        <w:t xml:space="preserve">اً </w:t>
      </w:r>
      <w:r>
        <w:rPr>
          <w:rFonts w:hint="cs"/>
          <w:rtl/>
        </w:rPr>
        <w:t>مع المادة 3 من الاتفاقية، باعت</w:t>
      </w:r>
      <w:r w:rsidR="00C67BDF">
        <w:rPr>
          <w:rFonts w:hint="cs"/>
          <w:rtl/>
        </w:rPr>
        <w:t>بار أن اللجنة ذكرت، في الفقرة 8</w:t>
      </w:r>
      <w:r>
        <w:rPr>
          <w:rFonts w:hint="cs"/>
          <w:rtl/>
        </w:rPr>
        <w:t>(ب) من تعليقها العام رقم 1، أن المعلومات التي تعتبر مهمة لمعرفة مدى خطر التعرض للتعذيب تشمل معرفة ما</w:t>
      </w:r>
      <w:r w:rsidR="00C67BDF">
        <w:rPr>
          <w:rFonts w:hint="eastAsia"/>
          <w:rtl/>
        </w:rPr>
        <w:t> </w:t>
      </w:r>
      <w:r>
        <w:rPr>
          <w:rFonts w:hint="cs"/>
          <w:rtl/>
        </w:rPr>
        <w:t>إذا كان صاحب الشكوى تعرض للتعذيب في الماضي، وإذا كان الأمر كذلك، معرفة ما إذا حصل ذلك في الماضي القريب</w:t>
      </w:r>
      <w:r w:rsidR="00E15E73" w:rsidRPr="00E15E73">
        <w:rPr>
          <w:rFonts w:hint="cs"/>
          <w:vertAlign w:val="superscript"/>
          <w:rtl/>
        </w:rPr>
        <w:t>(</w:t>
      </w:r>
      <w:r w:rsidRPr="00E15E73">
        <w:rPr>
          <w:rStyle w:val="FootnoteReference"/>
          <w:rtl/>
        </w:rPr>
        <w:footnoteReference w:id="14"/>
      </w:r>
      <w:r w:rsidR="00E15E73" w:rsidRPr="00E15E73">
        <w:rPr>
          <w:rFonts w:hint="cs"/>
          <w:vertAlign w:val="superscript"/>
          <w:rtl/>
        </w:rPr>
        <w:t>)</w:t>
      </w:r>
      <w:r w:rsidR="00E15E73">
        <w:rPr>
          <w:rFonts w:hint="cs"/>
          <w:rtl/>
        </w:rPr>
        <w:t>.</w:t>
      </w:r>
      <w:r>
        <w:rPr>
          <w:rFonts w:hint="cs"/>
          <w:rtl/>
        </w:rPr>
        <w:t xml:space="preserve"> وفيما يتعلق بهذه القضية، فقد تعرض صاحبا الشكوى لتلك المعاملة قبل سبع سنوات، وهذا ليس ماضٍ قريب.</w:t>
      </w:r>
      <w:r w:rsidRPr="007559C2">
        <w:rPr>
          <w:rtl/>
        </w:rPr>
        <w:t xml:space="preserve"> </w:t>
      </w:r>
    </w:p>
    <w:p w:rsidR="009E247B" w:rsidRDefault="009E247B" w:rsidP="009E247B">
      <w:pPr>
        <w:pStyle w:val="SingleTxtGA"/>
        <w:rPr>
          <w:rtl/>
        </w:rPr>
      </w:pPr>
      <w:r w:rsidRPr="007559C2">
        <w:rPr>
          <w:rtl/>
        </w:rPr>
        <w:t>4-1</w:t>
      </w:r>
      <w:r>
        <w:rPr>
          <w:rFonts w:hint="cs"/>
          <w:rtl/>
        </w:rPr>
        <w:t>6</w:t>
      </w:r>
      <w:r w:rsidRPr="007559C2">
        <w:rPr>
          <w:rtl/>
        </w:rPr>
        <w:tab/>
      </w:r>
      <w:r>
        <w:rPr>
          <w:rFonts w:hint="cs"/>
          <w:rtl/>
        </w:rPr>
        <w:t xml:space="preserve">ثم إنه فيما يخص ادعاء صاحبا الشكوى أن صاحبة الشكوى الثانية لم تتح لها الفرصة لقراءة محضر مقابلتها مع مجلس الهجرة والتأكد من محتواه، وهو ما تدعي أنه أدى إلى عدم علم السلطات بأنها تعرضت للتعذيب في عام 2006، تؤكد </w:t>
      </w:r>
      <w:r w:rsidRPr="007559C2">
        <w:rPr>
          <w:rtl/>
        </w:rPr>
        <w:t>الدولة الطرف</w:t>
      </w:r>
      <w:r>
        <w:rPr>
          <w:rFonts w:hint="cs"/>
          <w:rtl/>
        </w:rPr>
        <w:t xml:space="preserve"> رأي مجلس الهجرة بأن صاحبة الشكوى الثانية أتيحت لها الفرصة كاملة لسرد الوقائع التي رأت أنها ذات أهمية وأن ادعاءها بالتالي يفتقر إلى المصداقية. فمحضر المقابلة يبيّن أن صاحبة الشكوى أكّدت أنها فهمت ما نقله لها المترجم الفوري، وأكّدت أيض</w:t>
      </w:r>
      <w:r w:rsidR="00411E5D">
        <w:rPr>
          <w:rFonts w:hint="cs"/>
          <w:rtl/>
        </w:rPr>
        <w:t xml:space="preserve">اً </w:t>
      </w:r>
      <w:r>
        <w:rPr>
          <w:rFonts w:hint="cs"/>
          <w:rtl/>
        </w:rPr>
        <w:t>أنها أتيحت لها الفرصة لتقول كل ما كانت ترغب في قوله. وحضر المقابلة محامٍ عمومي طوال المدة التي استغرقتها المقابلة. وتلاحظ الدولة الطرف أن سلطات الهجرة لم تشكك في أن صاحبة الشكوى تعرضت لتجاوزات على إثر مشاركتها في مظاهرة 2006 وأنها أجرت تقييمها على ذلك الأساس.</w:t>
      </w:r>
    </w:p>
    <w:p w:rsidR="009E247B" w:rsidRPr="00C67BDF" w:rsidRDefault="009E247B" w:rsidP="00C67BDF">
      <w:pPr>
        <w:pStyle w:val="SingleTxtGA"/>
        <w:rPr>
          <w:spacing w:val="-2"/>
          <w:rtl/>
        </w:rPr>
      </w:pPr>
      <w:r w:rsidRPr="00C67BDF">
        <w:rPr>
          <w:rFonts w:hint="cs"/>
          <w:spacing w:val="-2"/>
          <w:rtl/>
        </w:rPr>
        <w:t>4-17</w:t>
      </w:r>
      <w:r w:rsidRPr="00C67BDF">
        <w:rPr>
          <w:rFonts w:hint="cs"/>
          <w:spacing w:val="-2"/>
          <w:rtl/>
        </w:rPr>
        <w:tab/>
        <w:t>ويدعي صاحبا الشكوى أيض</w:t>
      </w:r>
      <w:r w:rsidR="00411E5D">
        <w:rPr>
          <w:rFonts w:hint="cs"/>
          <w:spacing w:val="-2"/>
          <w:rtl/>
        </w:rPr>
        <w:t xml:space="preserve">اً </w:t>
      </w:r>
      <w:r w:rsidRPr="00C67BDF">
        <w:rPr>
          <w:rFonts w:hint="cs"/>
          <w:spacing w:val="-2"/>
          <w:rtl/>
        </w:rPr>
        <w:t>أنهما واصلا أنشطتهما السياسية بعد الأحداث التي وقعت في عام 2006 ويدعيان أنهما تلقيا في مرات كثيرة مكالمات هاتفية تنطوي على تهديد من شرطة بيلاروس بهدف منعهما من الاتصال بالسلطات بخصوص تلك الأحداث. وترى الدولة الطرف أن أقوال صاحبي الشكوى عن أنشطتهما السياسية غامضة وعامة ولا تبيّن أن ثمة ما</w:t>
      </w:r>
      <w:r w:rsidR="00C67BDF">
        <w:rPr>
          <w:rFonts w:hint="eastAsia"/>
          <w:spacing w:val="-2"/>
          <w:rtl/>
        </w:rPr>
        <w:t> </w:t>
      </w:r>
      <w:r w:rsidRPr="00C67BDF">
        <w:rPr>
          <w:rFonts w:hint="cs"/>
          <w:spacing w:val="-2"/>
          <w:rtl/>
        </w:rPr>
        <w:t>يدعو إلى الاستنتاج بأن سلطات بيلاروس كانت تعير اهتمام</w:t>
      </w:r>
      <w:r w:rsidR="00411E5D">
        <w:rPr>
          <w:rFonts w:hint="cs"/>
          <w:spacing w:val="-2"/>
          <w:rtl/>
        </w:rPr>
        <w:t xml:space="preserve">اً </w:t>
      </w:r>
      <w:r w:rsidRPr="00C67BDF">
        <w:rPr>
          <w:rFonts w:hint="cs"/>
          <w:spacing w:val="-2"/>
          <w:rtl/>
        </w:rPr>
        <w:t>ما لهما في الفترة من</w:t>
      </w:r>
      <w:r w:rsidR="00C67BDF" w:rsidRPr="00C67BDF">
        <w:rPr>
          <w:rFonts w:hint="eastAsia"/>
          <w:spacing w:val="-2"/>
          <w:rtl/>
        </w:rPr>
        <w:t> </w:t>
      </w:r>
      <w:r w:rsidRPr="00C67BDF">
        <w:rPr>
          <w:rFonts w:hint="cs"/>
          <w:spacing w:val="-2"/>
          <w:rtl/>
        </w:rPr>
        <w:t>2006 إلى</w:t>
      </w:r>
      <w:r w:rsidR="00C67BDF">
        <w:rPr>
          <w:rFonts w:hint="eastAsia"/>
          <w:spacing w:val="-2"/>
          <w:rtl/>
        </w:rPr>
        <w:t> </w:t>
      </w:r>
      <w:r w:rsidRPr="00C67BDF">
        <w:rPr>
          <w:rFonts w:hint="cs"/>
          <w:spacing w:val="-2"/>
          <w:rtl/>
        </w:rPr>
        <w:t>2009، عندما وصل صاحبا الشكوى الأول والثاني إلى السويد مع</w:t>
      </w:r>
      <w:r w:rsidR="00411E5D">
        <w:rPr>
          <w:rFonts w:hint="cs"/>
          <w:spacing w:val="-2"/>
          <w:rtl/>
        </w:rPr>
        <w:t xml:space="preserve">اً. </w:t>
      </w:r>
      <w:r w:rsidRPr="00C67BDF">
        <w:rPr>
          <w:rFonts w:hint="cs"/>
          <w:spacing w:val="-2"/>
          <w:rtl/>
        </w:rPr>
        <w:t>ولم يستطع صاحبا الشكوى تقديم أي دليل يؤيد ادعاءهما. وتلاحظ الدولة الطرف كذلك أن صاحبي الشكوى ادعيا، في مراسلتهما للجنة، أن صاحبة الشكوى الثانية شاركت في عدد من المظاهرات بعد عام</w:t>
      </w:r>
      <w:r w:rsidR="00C67BDF">
        <w:rPr>
          <w:rFonts w:hint="eastAsia"/>
          <w:spacing w:val="-2"/>
          <w:rtl/>
        </w:rPr>
        <w:t> </w:t>
      </w:r>
      <w:r w:rsidRPr="00C67BDF">
        <w:rPr>
          <w:rFonts w:hint="cs"/>
          <w:spacing w:val="-2"/>
          <w:rtl/>
        </w:rPr>
        <w:t>2006 دون أن تقبض عليها الشرطة أو تضايقها بأي شكل من الأشكال. وفضل</w:t>
      </w:r>
      <w:r w:rsidR="00411E5D">
        <w:rPr>
          <w:rFonts w:hint="cs"/>
          <w:spacing w:val="-2"/>
          <w:rtl/>
        </w:rPr>
        <w:t xml:space="preserve">اً </w:t>
      </w:r>
      <w:r w:rsidRPr="00C67BDF">
        <w:rPr>
          <w:rFonts w:hint="cs"/>
          <w:spacing w:val="-2"/>
          <w:rtl/>
        </w:rPr>
        <w:t>عن ذلك، فقد تمكنا من السفر من بيلاروس والعودة إليها عدة مرات أثناء الفترة المذكورة.</w:t>
      </w:r>
    </w:p>
    <w:p w:rsidR="009E247B" w:rsidRDefault="009E247B" w:rsidP="009E247B">
      <w:pPr>
        <w:pStyle w:val="SingleTxtGA"/>
        <w:rPr>
          <w:rtl/>
        </w:rPr>
      </w:pPr>
      <w:r>
        <w:rPr>
          <w:rFonts w:hint="cs"/>
          <w:rtl/>
        </w:rPr>
        <w:t>4-18</w:t>
      </w:r>
      <w:r>
        <w:rPr>
          <w:rFonts w:hint="cs"/>
          <w:rtl/>
        </w:rPr>
        <w:tab/>
        <w:t>وعلاوة على ذلك، يدعي صاحبا الشكوى أن أنشطتهما السياسية في السويد ابتداءً من عام 2009 قد أثارت اهتمام سلطات بيلاروس بهما وبالتالي فهما معرضان للتعذيب في حال عودتهما. وادعيا أنهما، أثناء وجودهما في السويد، قاما في جملة أمور أخرى بتقديم طلب في بيلاروس للحصول على إذن لتنظيم مظاهرة في يوم إجراء الانتخابات الرئاسية في بيلاروس في 19 كانون الأول/ديسمبر 2010. وادعيا أيض</w:t>
      </w:r>
      <w:r w:rsidR="00411E5D">
        <w:rPr>
          <w:rFonts w:hint="cs"/>
          <w:rtl/>
        </w:rPr>
        <w:t xml:space="preserve">اً </w:t>
      </w:r>
      <w:r>
        <w:rPr>
          <w:rFonts w:hint="cs"/>
          <w:rtl/>
        </w:rPr>
        <w:t xml:space="preserve">أنهما قدما شكاوى لعدة سلطات في بيلاروس ونشرا دعاية مناهضة للنظام على </w:t>
      </w:r>
      <w:r w:rsidR="00C67BDF">
        <w:rPr>
          <w:rFonts w:hint="cs"/>
          <w:rtl/>
        </w:rPr>
        <w:t>الإنترنت</w:t>
      </w:r>
      <w:r>
        <w:rPr>
          <w:rFonts w:hint="cs"/>
          <w:rtl/>
        </w:rPr>
        <w:t xml:space="preserve">. وادّعيا أن الطلب المتعلق بالمظاهرة وقَّعه </w:t>
      </w:r>
      <w:r>
        <w:rPr>
          <w:rFonts w:hint="cs"/>
          <w:rtl/>
        </w:rPr>
        <w:lastRenderedPageBreak/>
        <w:t>صاحب الشكوى الأول وسُلِّم فيما بعد إلى سلطات بيلاروس من قِبل أمِّه وزوجها. وادّعيا أن أمّه وزوجها شاركا في المظاهرة وقُبض عليهما واحتُجزا لمدة شهرين في مطلع عام 2011. ووُجّهت تهم جنائية لأم صاحب الشكوى الأول وزوجها لتنظيمهما مظاهرة والمشاركة فيها. وبعد الإفراج عنهما، ادُّعيَ أن الأم وزوجها أبلغا صاحبي الشكوى أنهما متهمين هما أيض</w:t>
      </w:r>
      <w:r w:rsidR="00411E5D">
        <w:rPr>
          <w:rFonts w:hint="cs"/>
          <w:rtl/>
        </w:rPr>
        <w:t xml:space="preserve">اً </w:t>
      </w:r>
      <w:r>
        <w:rPr>
          <w:rFonts w:hint="cs"/>
          <w:rtl/>
        </w:rPr>
        <w:t>بنفس التهم. وادعى صاحبا الشكوى أيض</w:t>
      </w:r>
      <w:r w:rsidR="00411E5D">
        <w:rPr>
          <w:rFonts w:hint="cs"/>
          <w:rtl/>
        </w:rPr>
        <w:t xml:space="preserve">اً </w:t>
      </w:r>
      <w:r>
        <w:rPr>
          <w:rFonts w:hint="cs"/>
          <w:rtl/>
        </w:rPr>
        <w:t>أن سلطات بيلاروس فتّشت منزلهما وهددتهما عبر الهاتف لتورطهما في مظاهرة 19 كانون الأول/ديسمبر 2010.</w:t>
      </w:r>
    </w:p>
    <w:p w:rsidR="009E247B" w:rsidRDefault="009E247B" w:rsidP="00E15E73">
      <w:pPr>
        <w:pStyle w:val="SingleTxtGA"/>
        <w:rPr>
          <w:rtl/>
        </w:rPr>
      </w:pPr>
      <w:r>
        <w:rPr>
          <w:rFonts w:hint="cs"/>
          <w:rtl/>
        </w:rPr>
        <w:t>4-19</w:t>
      </w:r>
      <w:r>
        <w:rPr>
          <w:rFonts w:hint="cs"/>
          <w:rtl/>
        </w:rPr>
        <w:tab/>
        <w:t>وتلاحظ الدولة الطرف أن سلطات الهجرة قيّمت هذه الادعاءات وخلُصت إلى أنها تفتقر إلى المصداقية. ورأت السلطات أنه من العجيب أن يطلب شخص الإذن من السويد</w:t>
      </w:r>
      <w:r w:rsidR="00C67BDF">
        <w:rPr>
          <w:rFonts w:hint="eastAsia"/>
          <w:rtl/>
        </w:rPr>
        <w:t> </w:t>
      </w:r>
      <w:r>
        <w:rPr>
          <w:rFonts w:hint="cs"/>
          <w:rtl/>
        </w:rPr>
        <w:t>بتنظيم مظاهرة في بيلاروس دون أية نية للمشاركة فيها شخصيا</w:t>
      </w:r>
      <w:r w:rsidR="00411E5D">
        <w:rPr>
          <w:rFonts w:hint="cs"/>
          <w:rtl/>
        </w:rPr>
        <w:t>ً</w:t>
      </w:r>
      <w:r>
        <w:rPr>
          <w:rFonts w:hint="cs"/>
          <w:rtl/>
        </w:rPr>
        <w:t>. ولا توجد أية وثائق أو</w:t>
      </w:r>
      <w:r w:rsidR="00C67BDF">
        <w:rPr>
          <w:rFonts w:hint="eastAsia"/>
          <w:rtl/>
        </w:rPr>
        <w:t> </w:t>
      </w:r>
      <w:r>
        <w:rPr>
          <w:rFonts w:hint="cs"/>
          <w:rtl/>
        </w:rPr>
        <w:t xml:space="preserve">أي دليل آخر يثبت أن صاحبي الشكوى قدما أي طلب أو شكوى، أو نشرا معلومات حساسة عبر </w:t>
      </w:r>
      <w:r w:rsidR="00C67BDF">
        <w:rPr>
          <w:rFonts w:hint="cs"/>
          <w:rtl/>
        </w:rPr>
        <w:t>الإنترنت</w:t>
      </w:r>
      <w:r>
        <w:rPr>
          <w:rFonts w:hint="cs"/>
          <w:rtl/>
        </w:rPr>
        <w:t xml:space="preserve"> عن النظام الحاكم في بيلاروس. وفضل</w:t>
      </w:r>
      <w:r w:rsidR="00411E5D">
        <w:rPr>
          <w:rFonts w:hint="cs"/>
          <w:rtl/>
        </w:rPr>
        <w:t xml:space="preserve">اً </w:t>
      </w:r>
      <w:r>
        <w:rPr>
          <w:rFonts w:hint="cs"/>
          <w:rtl/>
        </w:rPr>
        <w:t>عن ذلك، ترى سلطات الهجرة أنه من الغريب أن تتهم سلطات بيلاروس صاحبا الشكوى بالمشاركة في مظاهرة 19 كانون الأول/ديسمبر 2010، بما أنهما غادرا بيلاروس بصورة قانونية وأنه لا</w:t>
      </w:r>
      <w:r w:rsidR="00E30487">
        <w:rPr>
          <w:rFonts w:hint="eastAsia"/>
          <w:rtl/>
        </w:rPr>
        <w:t> </w:t>
      </w:r>
      <w:r>
        <w:rPr>
          <w:rFonts w:hint="cs"/>
          <w:rtl/>
        </w:rPr>
        <w:t>بد أن تكون سلطات بيلاروس على علم بأنهما كانا خارج البلاد آنذاك. وتؤكد الدولة الطرف موقف سلطات الهجرة وتشير إلى أنه من المناسب، وفق</w:t>
      </w:r>
      <w:r w:rsidR="00411E5D">
        <w:rPr>
          <w:rFonts w:hint="cs"/>
          <w:rtl/>
        </w:rPr>
        <w:t xml:space="preserve">اً </w:t>
      </w:r>
      <w:r>
        <w:rPr>
          <w:rFonts w:hint="cs"/>
          <w:rtl/>
        </w:rPr>
        <w:t>لمبدأ عبء الإثبات في قضايا اللجوء، اشتراط تقديم طالب اللجوء معلومات وجيهة وقول الحقيقة ومساعدة المحقق على توضيح جميع الوقائع المتصلة بالقضية</w:t>
      </w:r>
      <w:r w:rsidR="00E15E73" w:rsidRPr="00E15E73">
        <w:rPr>
          <w:rFonts w:hint="cs"/>
          <w:vertAlign w:val="superscript"/>
          <w:rtl/>
        </w:rPr>
        <w:t>(</w:t>
      </w:r>
      <w:r w:rsidRPr="00E15E73">
        <w:rPr>
          <w:rStyle w:val="FootnoteReference"/>
          <w:rtl/>
        </w:rPr>
        <w:footnoteReference w:id="15"/>
      </w:r>
      <w:r w:rsidR="00E15E73" w:rsidRPr="00E15E73">
        <w:rPr>
          <w:rFonts w:hint="cs"/>
          <w:vertAlign w:val="superscript"/>
          <w:rtl/>
        </w:rPr>
        <w:t>)</w:t>
      </w:r>
      <w:r>
        <w:rPr>
          <w:rFonts w:hint="cs"/>
          <w:rtl/>
        </w:rPr>
        <w:t xml:space="preserve"> وتدفع الدولة الطرف بأنه لا يمكن إعفاء أصحاب الشكوى الذي يطلبون اللجوء من الشكوك التي تحوم بأقوالهم إلا إذا تحققت تلك الاشتراطات جميعا</w:t>
      </w:r>
      <w:r w:rsidR="00411E5D">
        <w:rPr>
          <w:rFonts w:hint="cs"/>
          <w:rtl/>
        </w:rPr>
        <w:t>ً</w:t>
      </w:r>
      <w:r>
        <w:rPr>
          <w:rFonts w:hint="cs"/>
          <w:rtl/>
        </w:rPr>
        <w:t>.</w:t>
      </w:r>
    </w:p>
    <w:p w:rsidR="009E247B" w:rsidRDefault="009E247B" w:rsidP="00C67BDF">
      <w:pPr>
        <w:pStyle w:val="SingleTxtGA"/>
        <w:rPr>
          <w:rtl/>
        </w:rPr>
      </w:pPr>
      <w:r>
        <w:rPr>
          <w:rFonts w:hint="cs"/>
          <w:rtl/>
        </w:rPr>
        <w:t>4-20</w:t>
      </w:r>
      <w:r>
        <w:rPr>
          <w:rFonts w:hint="cs"/>
          <w:rtl/>
        </w:rPr>
        <w:tab/>
      </w:r>
      <w:r w:rsidRPr="00063FCA">
        <w:rPr>
          <w:rFonts w:hint="cs"/>
          <w:rtl/>
        </w:rPr>
        <w:t xml:space="preserve">وفي هذا الصدد، تشير الدولة الطرف إلى المعلومات الواردة في التقارير المتعلقة بمظاهرات 19 كانون الأول/ديسمبر 2010 (انظر الفقرة </w:t>
      </w:r>
      <w:r>
        <w:rPr>
          <w:rFonts w:hint="cs"/>
          <w:rtl/>
        </w:rPr>
        <w:t>4-7</w:t>
      </w:r>
      <w:r w:rsidRPr="00063FCA">
        <w:rPr>
          <w:rFonts w:hint="cs"/>
          <w:rtl/>
        </w:rPr>
        <w:t xml:space="preserve"> أعلاه) ولا سيما المعلومات الواردة في تقرير حقوق الإنسان الصادر</w:t>
      </w:r>
      <w:r>
        <w:rPr>
          <w:rFonts w:hint="cs"/>
          <w:rtl/>
        </w:rPr>
        <w:t xml:space="preserve"> عن </w:t>
      </w:r>
      <w:r w:rsidR="00C67BDF">
        <w:rPr>
          <w:rFonts w:hint="cs"/>
          <w:rtl/>
        </w:rPr>
        <w:t>منظمة ‘</w:t>
      </w:r>
      <w:r>
        <w:rPr>
          <w:rFonts w:hint="cs"/>
          <w:rtl/>
        </w:rPr>
        <w:t xml:space="preserve">هيومان </w:t>
      </w:r>
      <w:proofErr w:type="spellStart"/>
      <w:r>
        <w:rPr>
          <w:rFonts w:hint="cs"/>
          <w:rtl/>
        </w:rPr>
        <w:t>راتس</w:t>
      </w:r>
      <w:proofErr w:type="spellEnd"/>
      <w:r>
        <w:rPr>
          <w:rFonts w:hint="cs"/>
          <w:rtl/>
        </w:rPr>
        <w:t xml:space="preserve"> </w:t>
      </w:r>
      <w:proofErr w:type="spellStart"/>
      <w:r>
        <w:rPr>
          <w:rFonts w:hint="cs"/>
          <w:rtl/>
        </w:rPr>
        <w:t>ووتش</w:t>
      </w:r>
      <w:proofErr w:type="spellEnd"/>
      <w:r>
        <w:rPr>
          <w:rFonts w:hint="cs"/>
          <w:rtl/>
        </w:rPr>
        <w:t xml:space="preserve">‘ بخصوص ردة فعل سلطات بيلاروس إزاء المظاهرة التي جرت أثناء الانتخابات، بعنوان </w:t>
      </w:r>
      <w:r w:rsidR="00C67BDF">
        <w:rPr>
          <w:rFonts w:hint="cs"/>
          <w:rtl/>
        </w:rPr>
        <w:t>"</w:t>
      </w:r>
      <w:r>
        <w:t>Belarus survey shows massive abuse of protesters</w:t>
      </w:r>
      <w:r w:rsidR="00C67BDF">
        <w:rPr>
          <w:rFonts w:hint="cs"/>
          <w:rtl/>
        </w:rPr>
        <w:t>"</w:t>
      </w:r>
      <w:r w:rsidR="00E15E73" w:rsidRPr="00E15E73">
        <w:rPr>
          <w:rFonts w:hint="cs"/>
          <w:vertAlign w:val="superscript"/>
          <w:rtl/>
        </w:rPr>
        <w:t>(</w:t>
      </w:r>
      <w:r w:rsidRPr="00E15E73">
        <w:rPr>
          <w:rStyle w:val="FootnoteReference"/>
          <w:rtl/>
        </w:rPr>
        <w:footnoteReference w:id="16"/>
      </w:r>
      <w:r w:rsidR="00E15E73" w:rsidRPr="00E15E73">
        <w:rPr>
          <w:rFonts w:hint="cs"/>
          <w:vertAlign w:val="superscript"/>
          <w:rtl/>
        </w:rPr>
        <w:t>)</w:t>
      </w:r>
      <w:r w:rsidR="00C67BDF">
        <w:rPr>
          <w:rFonts w:hint="cs"/>
          <w:rtl/>
        </w:rPr>
        <w:t>.</w:t>
      </w:r>
      <w:r>
        <w:rPr>
          <w:rFonts w:hint="cs"/>
          <w:rtl/>
        </w:rPr>
        <w:t xml:space="preserve"> وفي ضوء هذه المعلومات، يتبيّن أن ادعاءات صاحبي الشكوى بأنهما محط اهتمام السلطات بسبب طلبهما الإذن بتنظيم تلك المظاهرة تفتقر إلى المصداقية. وتلاحظ الدولة الطرف أن هذه المظاهرة بدأت سلمية على ما يبدو، ولم تتدخل السلطات إلا بعد الإعلان عن نتائج الانتخابات واندلاع أعمال الشغب.</w:t>
      </w:r>
      <w:r w:rsidR="00C67BDF">
        <w:rPr>
          <w:rFonts w:hint="cs"/>
          <w:rtl/>
        </w:rPr>
        <w:t xml:space="preserve"> </w:t>
      </w:r>
    </w:p>
    <w:p w:rsidR="009E247B" w:rsidRDefault="009E247B" w:rsidP="00AC6FEA">
      <w:pPr>
        <w:pStyle w:val="SingleTxtGA"/>
        <w:rPr>
          <w:rtl/>
        </w:rPr>
      </w:pPr>
      <w:r>
        <w:rPr>
          <w:rFonts w:hint="cs"/>
          <w:rtl/>
        </w:rPr>
        <w:t>4-21</w:t>
      </w:r>
      <w:r>
        <w:rPr>
          <w:rFonts w:hint="cs"/>
          <w:rtl/>
        </w:rPr>
        <w:tab/>
        <w:t xml:space="preserve">أما فيما يتعلق بادعاء صاحبي الشكوى بخصوص انخراط أم صاحب الشكوى الأول وزوجها في نشاط سياسي، فتلاحظ الدولة الطرف أن صاحبي الشكوى لم يقدما أي دليل بخصوص الادعاءات بأن هذين الشخصين ناشطان سياسيان، أو أنهما شاركا في مظاهرة 19 </w:t>
      </w:r>
      <w:r>
        <w:rPr>
          <w:rFonts w:hint="cs"/>
          <w:rtl/>
        </w:rPr>
        <w:lastRenderedPageBreak/>
        <w:t>كانون الأول/ديسمبر 2010، أو أنهما احتجزا لدى السلطات. ولا تشكك الدولة الطرف في القول بأن أم صاحب الشكوى الأول وزوجها عضوان في الحزب المدني الوحدوي، لكنها تؤكد أن ذلك لا يثبت أنهما معرضان للاضطهاد أو لسوء المعاملة من قبل السلطات، لا سيما أن هذا الحزب حزب قانوني. وفضل</w:t>
      </w:r>
      <w:r w:rsidR="00411E5D">
        <w:rPr>
          <w:rFonts w:hint="cs"/>
          <w:rtl/>
        </w:rPr>
        <w:t xml:space="preserve">اً </w:t>
      </w:r>
      <w:r>
        <w:rPr>
          <w:rFonts w:hint="cs"/>
          <w:rtl/>
        </w:rPr>
        <w:t>عن ذلك، لا وجود لأسماء أم صاحب الشكوى الأول وزوجها ولا ل</w:t>
      </w:r>
      <w:r w:rsidR="00AC6FEA">
        <w:rPr>
          <w:rFonts w:hint="cs"/>
          <w:rtl/>
        </w:rPr>
        <w:t>إ</w:t>
      </w:r>
      <w:r>
        <w:rPr>
          <w:rFonts w:hint="cs"/>
          <w:rtl/>
        </w:rPr>
        <w:t>سمي صاحبي الشكوى نفسيهما في قائمة الأشخاص المحتجزين أو المشتبه فيهم أو المتهمين بسبب الجرائم التي وقعت على هامش أحداث 19 كانون الأول/ديسمبر 2010</w:t>
      </w:r>
      <w:r w:rsidR="00E15E73" w:rsidRPr="00E15E73">
        <w:rPr>
          <w:rFonts w:hint="cs"/>
          <w:vertAlign w:val="superscript"/>
          <w:rtl/>
        </w:rPr>
        <w:t>(</w:t>
      </w:r>
      <w:r w:rsidRPr="00E15E73">
        <w:rPr>
          <w:rStyle w:val="FootnoteReference"/>
          <w:rtl/>
        </w:rPr>
        <w:footnoteReference w:id="17"/>
      </w:r>
      <w:r w:rsidR="00E15E73" w:rsidRPr="00E15E73">
        <w:rPr>
          <w:rFonts w:hint="cs"/>
          <w:vertAlign w:val="superscript"/>
          <w:rtl/>
        </w:rPr>
        <w:t>)</w:t>
      </w:r>
      <w:r w:rsidR="00E15E73" w:rsidRPr="00E15E73">
        <w:rPr>
          <w:rFonts w:hint="cs"/>
          <w:rtl/>
        </w:rPr>
        <w:t>.</w:t>
      </w:r>
    </w:p>
    <w:p w:rsidR="009E247B" w:rsidRDefault="009E247B" w:rsidP="00C67BDF">
      <w:pPr>
        <w:pStyle w:val="SingleTxtGA"/>
        <w:rPr>
          <w:rtl/>
        </w:rPr>
      </w:pPr>
      <w:r w:rsidRPr="007559C2">
        <w:rPr>
          <w:rtl/>
        </w:rPr>
        <w:t>4-</w:t>
      </w:r>
      <w:r>
        <w:rPr>
          <w:rFonts w:hint="cs"/>
          <w:rtl/>
        </w:rPr>
        <w:t>22</w:t>
      </w:r>
      <w:r w:rsidRPr="007559C2">
        <w:rPr>
          <w:rtl/>
        </w:rPr>
        <w:tab/>
      </w:r>
      <w:r>
        <w:rPr>
          <w:rFonts w:hint="cs"/>
          <w:rtl/>
        </w:rPr>
        <w:t>و</w:t>
      </w:r>
      <w:r w:rsidRPr="007559C2">
        <w:rPr>
          <w:rtl/>
        </w:rPr>
        <w:t xml:space="preserve">علاوة على ذلك، تتفق الدولة الطرف مع سلطات الهجرة في أن </w:t>
      </w:r>
      <w:r>
        <w:rPr>
          <w:rFonts w:hint="cs"/>
          <w:rtl/>
        </w:rPr>
        <w:t>الوثائق</w:t>
      </w:r>
      <w:r w:rsidRPr="007559C2">
        <w:rPr>
          <w:rtl/>
        </w:rPr>
        <w:t xml:space="preserve"> التي </w:t>
      </w:r>
      <w:r>
        <w:rPr>
          <w:rFonts w:hint="cs"/>
          <w:rtl/>
        </w:rPr>
        <w:t>قدم</w:t>
      </w:r>
      <w:r w:rsidRPr="007559C2">
        <w:rPr>
          <w:rtl/>
        </w:rPr>
        <w:t>ها ص</w:t>
      </w:r>
      <w:r>
        <w:rPr>
          <w:rFonts w:hint="cs"/>
          <w:rtl/>
        </w:rPr>
        <w:t>ا</w:t>
      </w:r>
      <w:r w:rsidRPr="007559C2">
        <w:rPr>
          <w:rtl/>
        </w:rPr>
        <w:t>ح</w:t>
      </w:r>
      <w:r>
        <w:rPr>
          <w:rtl/>
        </w:rPr>
        <w:t>ب</w:t>
      </w:r>
      <w:r>
        <w:rPr>
          <w:rFonts w:hint="cs"/>
          <w:rtl/>
        </w:rPr>
        <w:t>ا</w:t>
      </w:r>
      <w:r>
        <w:rPr>
          <w:rtl/>
        </w:rPr>
        <w:t xml:space="preserve"> الشكوى</w:t>
      </w:r>
      <w:r>
        <w:rPr>
          <w:rFonts w:hint="cs"/>
          <w:rtl/>
        </w:rPr>
        <w:t xml:space="preserve"> ليس لها قيمة إثباتية. فبطاقة عضوية أم صاحب الشكوى الأول وزوجها في حزب سياسي أمر هيّن، كما أن العضوية في حزب لا يعني بأي حال أن السلطات تراقبهما ولا</w:t>
      </w:r>
      <w:r w:rsidR="00C67BDF">
        <w:rPr>
          <w:rFonts w:hint="eastAsia"/>
          <w:rtl/>
        </w:rPr>
        <w:t> </w:t>
      </w:r>
      <w:r>
        <w:rPr>
          <w:rFonts w:hint="cs"/>
          <w:rtl/>
        </w:rPr>
        <w:t>يثبت أنهما يلقيان معاملة بما يتنافى مع أحكام الاتفاقية. وفضل</w:t>
      </w:r>
      <w:r w:rsidR="00411E5D">
        <w:rPr>
          <w:rFonts w:hint="cs"/>
          <w:rtl/>
        </w:rPr>
        <w:t xml:space="preserve">اً </w:t>
      </w:r>
      <w:r>
        <w:rPr>
          <w:rFonts w:hint="cs"/>
          <w:rtl/>
        </w:rPr>
        <w:t>عن ذلك، فإن الوثائق التي جاء فيها أن صاحبي الشكوى استدعيا من قبل شرطة مينسك للاستجواب لا تثبت بأنهما متهمين بأي جريمة في سياق المظاهرة أو بسبب أنشطتهما السياسية.</w:t>
      </w:r>
    </w:p>
    <w:p w:rsidR="009E247B" w:rsidRPr="00C67BDF" w:rsidRDefault="009E247B" w:rsidP="009E247B">
      <w:pPr>
        <w:pStyle w:val="SingleTxtGA"/>
        <w:rPr>
          <w:spacing w:val="-4"/>
          <w:rtl/>
        </w:rPr>
      </w:pPr>
      <w:r w:rsidRPr="00C67BDF">
        <w:rPr>
          <w:rFonts w:hint="cs"/>
          <w:spacing w:val="-4"/>
          <w:rtl/>
        </w:rPr>
        <w:t>4-23</w:t>
      </w:r>
      <w:r w:rsidRPr="00C67BDF">
        <w:rPr>
          <w:rFonts w:hint="cs"/>
          <w:spacing w:val="-4"/>
          <w:rtl/>
        </w:rPr>
        <w:tab/>
        <w:t>وتدفع الدولة الطرف بأن صاحبي الشكوى لم يقدما أية وثائق ولا أي دليل يبيّن أنهما مطلوبان لدى سلطات بيلاروس أو أنهما محل أي ملاحقات قانونية أو إدارية بسبب أنشطتهما السياسية. فهما ليسا عضوين في أي حزب سياسي ولم يثبتا أن السلطات مهتمة بأنشطتهما السياسية المزعومة. وعليه ترى الدولة الطرف أن صاحبي الشكوى لم يقدما ما يثبت ادعاءهما بأنهما يواجهان خطر التعرض لمعاملة منافية لأحكام المادة 3 من الاتفاقية بسبب أنشطتهما السياسية.</w:t>
      </w:r>
    </w:p>
    <w:p w:rsidR="009E247B" w:rsidRPr="00E81171" w:rsidRDefault="009E247B" w:rsidP="009E247B">
      <w:pPr>
        <w:pStyle w:val="SingleTxtGA"/>
        <w:rPr>
          <w:spacing w:val="-2"/>
          <w:rtl/>
        </w:rPr>
      </w:pPr>
      <w:r w:rsidRPr="00E81171">
        <w:rPr>
          <w:rFonts w:hint="cs"/>
          <w:spacing w:val="-2"/>
          <w:rtl/>
        </w:rPr>
        <w:t>4-24</w:t>
      </w:r>
      <w:r w:rsidRPr="00E81171">
        <w:rPr>
          <w:rFonts w:hint="cs"/>
          <w:spacing w:val="-2"/>
          <w:rtl/>
        </w:rPr>
        <w:tab/>
        <w:t>وتلاحظ الدولة الطرف أن أصحاب الشكوى ذكروا، في مراسلة أخرى إلى اللجنة، أمورا</w:t>
      </w:r>
      <w:r w:rsidR="00E81171">
        <w:rPr>
          <w:rFonts w:hint="cs"/>
          <w:spacing w:val="-2"/>
          <w:rtl/>
        </w:rPr>
        <w:t>ً</w:t>
      </w:r>
      <w:r w:rsidRPr="00E81171">
        <w:rPr>
          <w:rFonts w:hint="cs"/>
          <w:spacing w:val="-2"/>
          <w:rtl/>
        </w:rPr>
        <w:t xml:space="preserve"> منها أن صاحب الشكوى الأول كان يدير في السابق نشاط</w:t>
      </w:r>
      <w:r w:rsidR="00411E5D">
        <w:rPr>
          <w:rFonts w:hint="cs"/>
          <w:spacing w:val="-2"/>
          <w:rtl/>
        </w:rPr>
        <w:t xml:space="preserve">اً </w:t>
      </w:r>
      <w:r w:rsidRPr="00E81171">
        <w:rPr>
          <w:rFonts w:hint="cs"/>
          <w:spacing w:val="-2"/>
          <w:rtl/>
        </w:rPr>
        <w:t>تجاري</w:t>
      </w:r>
      <w:r w:rsidR="00411E5D">
        <w:rPr>
          <w:rFonts w:hint="cs"/>
          <w:spacing w:val="-2"/>
          <w:rtl/>
        </w:rPr>
        <w:t xml:space="preserve">اً </w:t>
      </w:r>
      <w:r w:rsidRPr="00E81171">
        <w:rPr>
          <w:rFonts w:hint="cs"/>
          <w:spacing w:val="-2"/>
          <w:rtl/>
        </w:rPr>
        <w:t>بصفة مقاول في بيلاروس، وأن سلطات بيلاروس أقفلت شركته، وأنه كان ملاحَق</w:t>
      </w:r>
      <w:r w:rsidR="00411E5D">
        <w:rPr>
          <w:rFonts w:hint="cs"/>
          <w:spacing w:val="-2"/>
          <w:rtl/>
        </w:rPr>
        <w:t xml:space="preserve">اً </w:t>
      </w:r>
      <w:r w:rsidRPr="00E81171">
        <w:rPr>
          <w:rFonts w:hint="cs"/>
          <w:spacing w:val="-2"/>
          <w:rtl/>
        </w:rPr>
        <w:t>بسبب ديونه لمصلحة الضرائب، رغم أنه لم تكن عليه أية ديون حينما غادر بيلاروس. ويدعي أصحاب الشكوى أن في ذلك دليل</w:t>
      </w:r>
      <w:r w:rsidR="00411E5D">
        <w:rPr>
          <w:rFonts w:hint="cs"/>
          <w:spacing w:val="-2"/>
          <w:rtl/>
        </w:rPr>
        <w:t xml:space="preserve">اً </w:t>
      </w:r>
      <w:r w:rsidRPr="00E81171">
        <w:rPr>
          <w:rFonts w:hint="cs"/>
          <w:spacing w:val="-2"/>
          <w:rtl/>
        </w:rPr>
        <w:t>على أنه لا يزال هناك خطر لاحتمال تعرض صاحب الشكوى الأول للملاحقة، رسمي</w:t>
      </w:r>
      <w:r w:rsidR="00411E5D">
        <w:rPr>
          <w:rFonts w:hint="cs"/>
          <w:spacing w:val="-2"/>
          <w:rtl/>
        </w:rPr>
        <w:t xml:space="preserve">اً </w:t>
      </w:r>
      <w:r w:rsidRPr="00E81171">
        <w:rPr>
          <w:rFonts w:hint="cs"/>
          <w:spacing w:val="-2"/>
          <w:rtl/>
        </w:rPr>
        <w:t>بسبب أنشطته الاقتصادية السابقة، لكن في الواقع بسبب أنشطته السياسية. وفي هذا الصدد، قدم أصحاب الشكوى شهادة تذكر أن صاحب الشكوى الأول سجّل شركة خاصة في 11 كانون الأول/ديسمبر 2008، واستدعي بالمثول أمام محكمة يوم 18 تموز/يوليه 2011 وطُلب منه تقديم وصل أو ما يقوم مقامه لإثبات الدفع (لم تُذكَر أي تفاصيل أخرى). ولحد علم الدولة الطرف، لم يقدّم صاحبا الشكوى الوثيقة الثانية أثناء الإجراءات أمام سلطات الهجرة السويدية.</w:t>
      </w:r>
    </w:p>
    <w:p w:rsidR="009E247B" w:rsidRPr="00E81171" w:rsidRDefault="009E247B" w:rsidP="009E247B">
      <w:pPr>
        <w:pStyle w:val="SingleTxtGA"/>
        <w:rPr>
          <w:spacing w:val="-2"/>
          <w:rtl/>
        </w:rPr>
      </w:pPr>
      <w:r w:rsidRPr="00E81171">
        <w:rPr>
          <w:rFonts w:hint="cs"/>
          <w:spacing w:val="-2"/>
          <w:rtl/>
        </w:rPr>
        <w:t>4-25</w:t>
      </w:r>
      <w:r w:rsidRPr="00E81171">
        <w:rPr>
          <w:rFonts w:hint="cs"/>
          <w:spacing w:val="-2"/>
          <w:rtl/>
        </w:rPr>
        <w:tab/>
        <w:t xml:space="preserve">وفي هذا الصدد، تلاحظ الدولة الطرف أن صاحبي الشكوى لم يقدما أية وثائق مكتوبة تدعم ادعاءهما بأن صاحب الشكوى الأول كان ملاحَقاً. وترى الدولة الطرف أن صاحبي الشكوى لم يقدما أدلة تثبت ادعاءهما بأن صاحب الشكوى الأول يواجه خطر التعرض لمعاملة </w:t>
      </w:r>
      <w:r w:rsidRPr="00E81171">
        <w:rPr>
          <w:rFonts w:hint="cs"/>
          <w:spacing w:val="-2"/>
          <w:rtl/>
        </w:rPr>
        <w:lastRenderedPageBreak/>
        <w:t xml:space="preserve">منافية لأحكام المادة 3 من الاتفاقية بسبب أنشطته التجارية. وتؤكد من جديد أنهما لم يقدما أدلة تثبت ادعاءهما بأنهما يواجهان خطر التعرض لمعاملة منافية لأحكام المادة 3 من الاتفاقية بسبب أنشطتهما السياسية، وأن مراسلتهما الأخيرة إلى اللجنة لا تغيّر من هذا الإقرار شيء. </w:t>
      </w:r>
    </w:p>
    <w:p w:rsidR="009E247B" w:rsidRPr="007559C2" w:rsidRDefault="009E247B" w:rsidP="00C67BDF">
      <w:pPr>
        <w:pStyle w:val="SingleTxtGA"/>
        <w:rPr>
          <w:rtl/>
          <w:lang w:bidi="ar-EG"/>
        </w:rPr>
      </w:pPr>
      <w:r w:rsidRPr="007559C2">
        <w:rPr>
          <w:rtl/>
          <w:lang w:bidi="ar-EG"/>
        </w:rPr>
        <w:t>4-26</w:t>
      </w:r>
      <w:r w:rsidRPr="007559C2">
        <w:rPr>
          <w:rtl/>
          <w:lang w:bidi="ar-EG"/>
        </w:rPr>
        <w:tab/>
        <w:t xml:space="preserve">وبإيجاز، </w:t>
      </w:r>
      <w:r>
        <w:rPr>
          <w:rFonts w:hint="cs"/>
          <w:rtl/>
          <w:lang w:bidi="ar-EG"/>
        </w:rPr>
        <w:t>ترى</w:t>
      </w:r>
      <w:r w:rsidRPr="007559C2">
        <w:rPr>
          <w:rtl/>
          <w:lang w:bidi="ar-EG"/>
        </w:rPr>
        <w:t xml:space="preserve"> الدولة الطرف </w:t>
      </w:r>
      <w:r>
        <w:rPr>
          <w:rFonts w:hint="cs"/>
          <w:rtl/>
          <w:lang w:bidi="ar-EG"/>
        </w:rPr>
        <w:t xml:space="preserve">أنه ينبغي </w:t>
      </w:r>
      <w:r w:rsidRPr="007559C2">
        <w:rPr>
          <w:rtl/>
          <w:lang w:bidi="ar-EG"/>
        </w:rPr>
        <w:t xml:space="preserve">إقرار عدم مقبولية هذا البلاغ </w:t>
      </w:r>
      <w:r>
        <w:rPr>
          <w:rFonts w:hint="cs"/>
          <w:rtl/>
          <w:lang w:bidi="ar-EG"/>
        </w:rPr>
        <w:t xml:space="preserve">لعدم استناده الواضح إلى أي أساس سليم </w:t>
      </w:r>
      <w:r w:rsidRPr="007559C2">
        <w:rPr>
          <w:rtl/>
          <w:lang w:bidi="ar-EG"/>
        </w:rPr>
        <w:t>بموجب الفقرة 2 من المادة 22 من الاتفاقية والفقرة (ب) من المادة</w:t>
      </w:r>
      <w:r w:rsidR="00C67BDF">
        <w:rPr>
          <w:rFonts w:hint="cs"/>
          <w:rtl/>
          <w:lang w:bidi="ar-EG"/>
        </w:rPr>
        <w:t> </w:t>
      </w:r>
      <w:r w:rsidRPr="007559C2">
        <w:rPr>
          <w:rtl/>
          <w:lang w:bidi="ar-EG"/>
        </w:rPr>
        <w:t xml:space="preserve">113 من نظام اللجنة الداخلية، </w:t>
      </w:r>
      <w:r>
        <w:rPr>
          <w:rFonts w:hint="cs"/>
          <w:rtl/>
          <w:lang w:bidi="ar-EG"/>
        </w:rPr>
        <w:t>وإلا الإقرار</w:t>
      </w:r>
      <w:r w:rsidRPr="007559C2">
        <w:rPr>
          <w:rtl/>
          <w:lang w:bidi="ar-EG"/>
        </w:rPr>
        <w:t xml:space="preserve"> </w:t>
      </w:r>
      <w:r>
        <w:rPr>
          <w:rFonts w:hint="cs"/>
          <w:rtl/>
          <w:lang w:bidi="ar-EG"/>
        </w:rPr>
        <w:t>ب</w:t>
      </w:r>
      <w:r w:rsidRPr="007559C2">
        <w:rPr>
          <w:rtl/>
          <w:lang w:bidi="ar-EG"/>
        </w:rPr>
        <w:t>أن هذا البلاغ</w:t>
      </w:r>
      <w:r>
        <w:rPr>
          <w:rtl/>
          <w:lang w:bidi="ar-EG"/>
        </w:rPr>
        <w:t xml:space="preserve"> لا </w:t>
      </w:r>
      <w:r w:rsidRPr="007559C2">
        <w:rPr>
          <w:rtl/>
          <w:lang w:bidi="ar-EG"/>
        </w:rPr>
        <w:t>يكشف</w:t>
      </w:r>
      <w:r>
        <w:rPr>
          <w:rFonts w:hint="cs"/>
          <w:rtl/>
          <w:lang w:bidi="ar-EG"/>
        </w:rPr>
        <w:t>، من حيث الموضوع،</w:t>
      </w:r>
      <w:r w:rsidRPr="007559C2">
        <w:rPr>
          <w:rtl/>
          <w:lang w:bidi="ar-EG"/>
        </w:rPr>
        <w:t xml:space="preserve"> عن أي انتهاك لأحكام الاتفاقية.</w:t>
      </w:r>
    </w:p>
    <w:p w:rsidR="009E247B" w:rsidRPr="007559C2" w:rsidRDefault="009E247B" w:rsidP="00E81171">
      <w:pPr>
        <w:pStyle w:val="H23GA"/>
        <w:rPr>
          <w:rtl/>
          <w:lang w:bidi="ar-EG"/>
        </w:rPr>
      </w:pPr>
      <w:r w:rsidRPr="007559C2">
        <w:rPr>
          <w:rFonts w:hint="cs"/>
          <w:rtl/>
          <w:lang w:bidi="ar-EG"/>
        </w:rPr>
        <w:tab/>
      </w:r>
      <w:r w:rsidRPr="007559C2">
        <w:rPr>
          <w:rFonts w:hint="cs"/>
          <w:rtl/>
          <w:lang w:bidi="ar-EG"/>
        </w:rPr>
        <w:tab/>
      </w:r>
      <w:r w:rsidRPr="007559C2">
        <w:rPr>
          <w:rtl/>
          <w:lang w:bidi="ar-EG"/>
        </w:rPr>
        <w:t>تعليقات أصحاب الشكوى على ملاحظات الدولة الطرف بشأن مقبولية البلاغ وأسسه</w:t>
      </w:r>
      <w:r w:rsidR="00E81171">
        <w:rPr>
          <w:rFonts w:hint="cs"/>
          <w:rtl/>
          <w:lang w:bidi="ar-EG"/>
        </w:rPr>
        <w:t> </w:t>
      </w:r>
      <w:r w:rsidRPr="007559C2">
        <w:rPr>
          <w:rtl/>
          <w:lang w:bidi="ar-EG"/>
        </w:rPr>
        <w:t>الموضوعية</w:t>
      </w:r>
    </w:p>
    <w:p w:rsidR="009E247B" w:rsidRDefault="009E247B" w:rsidP="00E81171">
      <w:pPr>
        <w:pStyle w:val="SingleTxtGA"/>
        <w:rPr>
          <w:rtl/>
          <w:lang w:bidi="ar-EG"/>
        </w:rPr>
      </w:pPr>
      <w:r w:rsidRPr="00925F23">
        <w:rPr>
          <w:rtl/>
          <w:lang w:bidi="ar-EG"/>
        </w:rPr>
        <w:t>5-1</w:t>
      </w:r>
      <w:r w:rsidRPr="00925F23">
        <w:rPr>
          <w:rtl/>
          <w:lang w:bidi="ar-EG"/>
        </w:rPr>
        <w:tab/>
        <w:t>رداً على ملاحظات الدولة الطرف</w:t>
      </w:r>
      <w:r>
        <w:rPr>
          <w:rFonts w:hint="cs"/>
          <w:rtl/>
          <w:lang w:bidi="ar-EG"/>
        </w:rPr>
        <w:t xml:space="preserve"> بتاريخ 25 تموز/يوليه 2013</w:t>
      </w:r>
      <w:r w:rsidRPr="00925F23">
        <w:rPr>
          <w:rtl/>
          <w:lang w:bidi="ar-EG"/>
        </w:rPr>
        <w:t>، يدفع صحاب</w:t>
      </w:r>
      <w:r>
        <w:rPr>
          <w:rFonts w:hint="cs"/>
          <w:rtl/>
          <w:lang w:bidi="ar-EG"/>
        </w:rPr>
        <w:t>ا</w:t>
      </w:r>
      <w:r w:rsidRPr="00925F23">
        <w:rPr>
          <w:rtl/>
          <w:lang w:bidi="ar-EG"/>
        </w:rPr>
        <w:t xml:space="preserve"> الشكوى أولاً بأن </w:t>
      </w:r>
      <w:r>
        <w:rPr>
          <w:rFonts w:hint="cs"/>
          <w:rtl/>
          <w:lang w:bidi="ar-EG"/>
        </w:rPr>
        <w:t xml:space="preserve">صاحبة الشكوى الثانية تستطيع تقديم معلومات جديدة عن قضيتها الجنائية في بيلاروس، خاصة وأنه بإمكانها الآن تقديم وثائق تبيّن أنها تخضع للتحقيق بتهمة التورط في جريمة خطيرة تتعلق بأسلحة. وقدّم صاحبا الشكوى نسخة من بيان محامي صاحبة الشكوى الثانية في بيلاروس. ولاحظا كذلك أنه لم يكن بالإمكان الحصول على هذه الوثيقة من قبلُ لأنه في ظل غياب صاحبة الشكوى الثانية عن بيلاروس كانت الإمكانية الوحيدة لإبرام عقد مع المحامي </w:t>
      </w:r>
      <w:r w:rsidR="00E81171">
        <w:rPr>
          <w:rFonts w:hint="cs"/>
          <w:rtl/>
          <w:lang w:bidi="ar-EG"/>
        </w:rPr>
        <w:t>-</w:t>
      </w:r>
      <w:r>
        <w:rPr>
          <w:rFonts w:hint="cs"/>
          <w:rtl/>
          <w:lang w:bidi="ar-EG"/>
        </w:rPr>
        <w:t xml:space="preserve"> وهو شرط لا بد منه بمقتضى قانون الإجراءات الجنائية في بيلاروس لكي يتسنى للمحامي تمثيل موكله </w:t>
      </w:r>
      <w:r w:rsidR="00E81171">
        <w:rPr>
          <w:rFonts w:hint="cs"/>
          <w:rtl/>
          <w:lang w:bidi="ar-EG"/>
        </w:rPr>
        <w:t>-</w:t>
      </w:r>
      <w:r>
        <w:rPr>
          <w:rFonts w:hint="cs"/>
          <w:rtl/>
          <w:lang w:bidi="ar-EG"/>
        </w:rPr>
        <w:t xml:space="preserve"> هو عن طريق شخص ثالث. ولم يُعثر على أحد مستعد للتكفل بهذه المهمة وإبرام عقد مع محامٍ لهذا الغرض. وبالإضافة إلى ذلك، كانت صاحبة الشكوى الثانية تخشى تعرض ابنها الذي كان يعيش في مينسك للملاحقة في حال توكيل محامٍ للتقصي في أمر قضيتها. وبناء على هذه الحيثيات والأدلة، قدم أصحاب الشكوى طلب</w:t>
      </w:r>
      <w:r w:rsidR="00411E5D">
        <w:rPr>
          <w:rFonts w:hint="cs"/>
          <w:rtl/>
          <w:lang w:bidi="ar-EG"/>
        </w:rPr>
        <w:t xml:space="preserve">اً </w:t>
      </w:r>
      <w:r>
        <w:rPr>
          <w:rFonts w:hint="cs"/>
          <w:rtl/>
          <w:lang w:bidi="ar-EG"/>
        </w:rPr>
        <w:t>جديد</w:t>
      </w:r>
      <w:r w:rsidR="00411E5D">
        <w:rPr>
          <w:rFonts w:hint="cs"/>
          <w:rtl/>
          <w:lang w:bidi="ar-EG"/>
        </w:rPr>
        <w:t xml:space="preserve">اً </w:t>
      </w:r>
      <w:r>
        <w:rPr>
          <w:rFonts w:hint="cs"/>
          <w:rtl/>
          <w:lang w:bidi="ar-EG"/>
        </w:rPr>
        <w:t>إلى مجلس الهجرة. وتدفع صاحبة الشكوى الثانية بأن البلاغ مقبول لأن دفوع أصحاب الشكوى مسنودة بما يكفي من الأدلة لأغراض المقبولية. وفضل</w:t>
      </w:r>
      <w:r w:rsidR="00411E5D">
        <w:rPr>
          <w:rFonts w:hint="cs"/>
          <w:rtl/>
          <w:lang w:bidi="ar-EG"/>
        </w:rPr>
        <w:t xml:space="preserve">اً </w:t>
      </w:r>
      <w:r>
        <w:rPr>
          <w:rFonts w:hint="cs"/>
          <w:rtl/>
          <w:lang w:bidi="ar-EG"/>
        </w:rPr>
        <w:t>عن ذلك، تؤكد الوثائق الجديدة المقدمة أنها لا</w:t>
      </w:r>
      <w:r w:rsidR="00C67BDF">
        <w:rPr>
          <w:rFonts w:hint="eastAsia"/>
          <w:rtl/>
          <w:lang w:bidi="ar-EG"/>
        </w:rPr>
        <w:t> </w:t>
      </w:r>
      <w:r>
        <w:rPr>
          <w:rFonts w:hint="cs"/>
          <w:rtl/>
          <w:lang w:bidi="ar-EG"/>
        </w:rPr>
        <w:t>تزال محط اهتمام سلطات بيلاروس وأنها معرضة شخصي</w:t>
      </w:r>
      <w:r w:rsidR="00411E5D">
        <w:rPr>
          <w:rFonts w:hint="cs"/>
          <w:rtl/>
          <w:lang w:bidi="ar-EG"/>
        </w:rPr>
        <w:t xml:space="preserve">اً </w:t>
      </w:r>
      <w:r>
        <w:rPr>
          <w:rFonts w:hint="cs"/>
          <w:rtl/>
          <w:lang w:bidi="ar-EG"/>
        </w:rPr>
        <w:t>لخطر التعذيب في حال عودتها إلى بيلاروس. وتبيّن رسالة محاميها في بيلاروس أنها تواجه عقوبة بالسجن لمدة طويلة في بيلاروس. وثمة أسباب وجيهة للاعتقاد أنها معرضة أيض</w:t>
      </w:r>
      <w:r w:rsidR="00411E5D">
        <w:rPr>
          <w:rFonts w:hint="cs"/>
          <w:rtl/>
          <w:lang w:bidi="ar-EG"/>
        </w:rPr>
        <w:t xml:space="preserve">اً </w:t>
      </w:r>
      <w:r>
        <w:rPr>
          <w:rFonts w:hint="cs"/>
          <w:rtl/>
          <w:lang w:bidi="ar-EG"/>
        </w:rPr>
        <w:t>لخطر التعذيب، سيما وأنها متهمة بارتكاب جريمة لم تقترفها البتة؛ فقضيتها الجنائية ذات دوافع سياسية وقد سبق لها أن تعرضت للتعذيب.</w:t>
      </w:r>
      <w:r w:rsidR="00C67BDF">
        <w:rPr>
          <w:rFonts w:hint="cs"/>
          <w:rtl/>
          <w:lang w:bidi="ar-EG"/>
        </w:rPr>
        <w:t xml:space="preserve"> </w:t>
      </w:r>
    </w:p>
    <w:p w:rsidR="009E247B" w:rsidRPr="007559C2" w:rsidRDefault="009E247B" w:rsidP="00C67BDF">
      <w:pPr>
        <w:pStyle w:val="SingleTxtGA"/>
        <w:rPr>
          <w:rtl/>
          <w:lang w:bidi="ar-EG"/>
        </w:rPr>
      </w:pPr>
      <w:r w:rsidRPr="007559C2">
        <w:rPr>
          <w:rtl/>
          <w:lang w:bidi="ar-EG"/>
        </w:rPr>
        <w:t>5-2</w:t>
      </w:r>
      <w:r w:rsidRPr="007559C2">
        <w:rPr>
          <w:rtl/>
          <w:lang w:bidi="ar-EG"/>
        </w:rPr>
        <w:tab/>
      </w:r>
      <w:r>
        <w:rPr>
          <w:rFonts w:hint="cs"/>
          <w:rtl/>
          <w:lang w:bidi="ar-EG"/>
        </w:rPr>
        <w:t>وفيما يتعلق بالأسس الموضوعية للبلاغ، فتؤكد صاحبة الشكوى الثانية ادعاءها بأنها تعرضت للتعذيب على أيدي أفراد شرطة بيلاروس في عام 2006، وهو أمر يؤكده تقرير طبي مقدم إلى اللجنة. وتزعم صاحبة الشكوى الثانية أنها قدمت، أثناء مقابلتها مع مجلس الهجرة، سرد</w:t>
      </w:r>
      <w:r w:rsidR="00411E5D">
        <w:rPr>
          <w:rFonts w:hint="cs"/>
          <w:rtl/>
          <w:lang w:bidi="ar-EG"/>
        </w:rPr>
        <w:t xml:space="preserve">اً </w:t>
      </w:r>
      <w:r>
        <w:rPr>
          <w:rFonts w:hint="cs"/>
          <w:rtl/>
          <w:lang w:bidi="ar-EG"/>
        </w:rPr>
        <w:t>واضح</w:t>
      </w:r>
      <w:r w:rsidR="00411E5D">
        <w:rPr>
          <w:rFonts w:hint="cs"/>
          <w:rtl/>
          <w:lang w:bidi="ar-EG"/>
        </w:rPr>
        <w:t xml:space="preserve">اً </w:t>
      </w:r>
      <w:r>
        <w:rPr>
          <w:rFonts w:hint="cs"/>
          <w:rtl/>
          <w:lang w:bidi="ar-EG"/>
        </w:rPr>
        <w:t xml:space="preserve">بهذا الخصوص، لكن محضر المقابلة الذي سجله موظف مجلس الهجرة أغفل ذكر ذلك. وبدلا من الحديث عن التعذيب، سُجّل في الحضر أنها تعرضت لتجاوزات. وعليه، تدفع صاحبة الشكوى الثانية أن مجلس الهجرة لم يأخذ في الاعتبار كونها تعرضت للتعذيب. وتلاحظ </w:t>
      </w:r>
      <w:r>
        <w:rPr>
          <w:rFonts w:hint="cs"/>
          <w:rtl/>
          <w:lang w:bidi="ar-EG"/>
        </w:rPr>
        <w:lastRenderedPageBreak/>
        <w:t>أن على اللجنة أن تستند في تقييمها على أساس أنها لم تتعرض للانتهاكات فقط بل للتعذيب أيض</w:t>
      </w:r>
      <w:r w:rsidR="00411E5D">
        <w:rPr>
          <w:rFonts w:hint="cs"/>
          <w:rtl/>
          <w:lang w:bidi="ar-EG"/>
        </w:rPr>
        <w:t xml:space="preserve">اً، </w:t>
      </w:r>
      <w:r>
        <w:rPr>
          <w:rFonts w:hint="cs"/>
          <w:rtl/>
          <w:lang w:bidi="ar-EG"/>
        </w:rPr>
        <w:t>وأن ادعاءها بخصوص تعرضها للتعذيب ليس محل تشكيك في مصداقيته، بخلاف ما</w:t>
      </w:r>
      <w:r w:rsidR="00C67BDF">
        <w:rPr>
          <w:rFonts w:hint="eastAsia"/>
          <w:rtl/>
          <w:lang w:bidi="ar-EG"/>
        </w:rPr>
        <w:t> </w:t>
      </w:r>
      <w:r>
        <w:rPr>
          <w:rFonts w:hint="cs"/>
          <w:rtl/>
          <w:lang w:bidi="ar-EG"/>
        </w:rPr>
        <w:t>ذهبت إليه الدولة الطرف. وتدفع بأنها بتقديمها شهادة طبية تثبت تعرضها للتعذيب، وهي الشهادة التي تجاهلها مجلس الهجرة، تكون قد أوفت بشرط تقديم الإثبات.</w:t>
      </w:r>
      <w:r w:rsidR="00C67BDF">
        <w:rPr>
          <w:rFonts w:hint="cs"/>
          <w:rtl/>
          <w:lang w:bidi="ar-EG"/>
        </w:rPr>
        <w:t xml:space="preserve"> </w:t>
      </w:r>
    </w:p>
    <w:p w:rsidR="009E247B" w:rsidRPr="00C67BDF" w:rsidRDefault="009E247B" w:rsidP="00C67BDF">
      <w:pPr>
        <w:pStyle w:val="SingleTxtGA"/>
        <w:rPr>
          <w:spacing w:val="-2"/>
          <w:rtl/>
          <w:lang w:bidi="ar-EG"/>
        </w:rPr>
      </w:pPr>
      <w:r w:rsidRPr="00C67BDF">
        <w:rPr>
          <w:spacing w:val="-2"/>
          <w:rtl/>
          <w:lang w:bidi="ar-EG"/>
        </w:rPr>
        <w:t>5-3</w:t>
      </w:r>
      <w:r w:rsidRPr="00C67BDF">
        <w:rPr>
          <w:spacing w:val="-2"/>
          <w:rtl/>
          <w:lang w:bidi="ar-EG"/>
        </w:rPr>
        <w:tab/>
      </w:r>
      <w:r w:rsidRPr="00C67BDF">
        <w:rPr>
          <w:rFonts w:hint="cs"/>
          <w:spacing w:val="-2"/>
          <w:rtl/>
          <w:lang w:bidi="ar-EG"/>
        </w:rPr>
        <w:t>وفضل</w:t>
      </w:r>
      <w:r w:rsidR="00411E5D">
        <w:rPr>
          <w:rFonts w:hint="cs"/>
          <w:spacing w:val="-2"/>
          <w:rtl/>
          <w:lang w:bidi="ar-EG"/>
        </w:rPr>
        <w:t xml:space="preserve">اً </w:t>
      </w:r>
      <w:r w:rsidRPr="00C67BDF">
        <w:rPr>
          <w:rFonts w:hint="cs"/>
          <w:spacing w:val="-2"/>
          <w:rtl/>
          <w:lang w:bidi="ar-EG"/>
        </w:rPr>
        <w:t xml:space="preserve">عن ذلك، يدحض صاحبا الشكوى حجة الدولة الطرف بعدم وجود خطر قائم وشخصي </w:t>
      </w:r>
      <w:proofErr w:type="spellStart"/>
      <w:r w:rsidRPr="00C67BDF">
        <w:rPr>
          <w:rFonts w:hint="cs"/>
          <w:spacing w:val="-2"/>
          <w:rtl/>
          <w:lang w:bidi="ar-EG"/>
        </w:rPr>
        <w:t>يتهددهما</w:t>
      </w:r>
      <w:proofErr w:type="spellEnd"/>
      <w:r w:rsidRPr="00C67BDF">
        <w:rPr>
          <w:rFonts w:hint="cs"/>
          <w:spacing w:val="-2"/>
          <w:rtl/>
          <w:lang w:bidi="ar-EG"/>
        </w:rPr>
        <w:t xml:space="preserve"> بالتعرض للتعذيب، ذلك أن صاحبة الشكوى الثانية سبق لها أن تعرض للتعذيب في عام 2006 وأن احتمال وقوع ذلك مرة أخرى قائم بسبب أنشطة الزوجين الأخيرة. ويدّعيان بأن شرطة مينسك تشتبه في أنهما يعملان على تنظيم اضطرابات للمساس بالنظام العام منذ تنظيم مظاهرة في عام 2010. ويدّعيان أنهما قدّم</w:t>
      </w:r>
      <w:r w:rsidR="00411E5D">
        <w:rPr>
          <w:rFonts w:hint="cs"/>
          <w:spacing w:val="-2"/>
          <w:rtl/>
          <w:lang w:bidi="ar-EG"/>
        </w:rPr>
        <w:t xml:space="preserve">اً </w:t>
      </w:r>
      <w:r w:rsidRPr="00C67BDF">
        <w:rPr>
          <w:rFonts w:hint="cs"/>
          <w:spacing w:val="-2"/>
          <w:rtl/>
          <w:lang w:bidi="ar-EG"/>
        </w:rPr>
        <w:t>إلى مجلس الهجرة رسائل صادرة عن الشرطة تبيّن أن سلطات بيلاروس مهتمة بهما. وقد تجاهل مجلس الهجرة هذه الرسائل لأنها لا</w:t>
      </w:r>
      <w:r w:rsidR="00C67BDF">
        <w:rPr>
          <w:rFonts w:hint="eastAsia"/>
          <w:spacing w:val="-2"/>
          <w:rtl/>
          <w:lang w:bidi="ar-EG"/>
        </w:rPr>
        <w:t> </w:t>
      </w:r>
      <w:r w:rsidRPr="00C67BDF">
        <w:rPr>
          <w:rFonts w:hint="cs"/>
          <w:spacing w:val="-2"/>
          <w:rtl/>
          <w:lang w:bidi="ar-EG"/>
        </w:rPr>
        <w:t>تذكر شيئ</w:t>
      </w:r>
      <w:r w:rsidR="00411E5D">
        <w:rPr>
          <w:rFonts w:hint="cs"/>
          <w:spacing w:val="-2"/>
          <w:rtl/>
          <w:lang w:bidi="ar-EG"/>
        </w:rPr>
        <w:t xml:space="preserve">اً </w:t>
      </w:r>
      <w:r w:rsidRPr="00C67BDF">
        <w:rPr>
          <w:rFonts w:hint="cs"/>
          <w:spacing w:val="-2"/>
          <w:rtl/>
          <w:lang w:bidi="ar-EG"/>
        </w:rPr>
        <w:t>عن طبيعة الجريمة التي اتهمت بها صاحبة الشكوى الثانية. ويدفع أصحاب الشكوى بأن الممارسة الحالية في العديد من البلدان، لا سيما البلدان ذات الحكم الشمولي، هي أن استدعاءات الشرطة لا تذكر شيئ</w:t>
      </w:r>
      <w:r w:rsidR="00411E5D">
        <w:rPr>
          <w:rFonts w:hint="cs"/>
          <w:spacing w:val="-2"/>
          <w:rtl/>
          <w:lang w:bidi="ar-EG"/>
        </w:rPr>
        <w:t xml:space="preserve">اً </w:t>
      </w:r>
      <w:r w:rsidRPr="00C67BDF">
        <w:rPr>
          <w:rFonts w:hint="cs"/>
          <w:spacing w:val="-2"/>
          <w:rtl/>
          <w:lang w:bidi="ar-EG"/>
        </w:rPr>
        <w:t xml:space="preserve">عن التهم التي </w:t>
      </w:r>
      <w:proofErr w:type="spellStart"/>
      <w:r w:rsidRPr="00C67BDF">
        <w:rPr>
          <w:rFonts w:hint="cs"/>
          <w:spacing w:val="-2"/>
          <w:rtl/>
          <w:lang w:bidi="ar-EG"/>
        </w:rPr>
        <w:t>يواجهها</w:t>
      </w:r>
      <w:proofErr w:type="spellEnd"/>
      <w:r w:rsidRPr="00C67BDF">
        <w:rPr>
          <w:rFonts w:hint="cs"/>
          <w:spacing w:val="-2"/>
          <w:rtl/>
          <w:lang w:bidi="ar-EG"/>
        </w:rPr>
        <w:t xml:space="preserve"> أصحاب الشأن. ويؤكدان كذلك أن مجلس الهجرة تجاهل تمام</w:t>
      </w:r>
      <w:r w:rsidR="00411E5D">
        <w:rPr>
          <w:rFonts w:hint="cs"/>
          <w:spacing w:val="-2"/>
          <w:rtl/>
          <w:lang w:bidi="ar-EG"/>
        </w:rPr>
        <w:t xml:space="preserve">اً </w:t>
      </w:r>
      <w:r w:rsidRPr="00C67BDF">
        <w:rPr>
          <w:rFonts w:hint="cs"/>
          <w:spacing w:val="-2"/>
          <w:rtl/>
          <w:lang w:bidi="ar-EG"/>
        </w:rPr>
        <w:t>جميع الأدلة الخطية التي قدمتها صاحبة الشكوى الثانية.</w:t>
      </w:r>
      <w:r w:rsidR="00C67BDF">
        <w:rPr>
          <w:rFonts w:hint="cs"/>
          <w:spacing w:val="-2"/>
          <w:rtl/>
          <w:lang w:bidi="ar-EG"/>
        </w:rPr>
        <w:t xml:space="preserve"> </w:t>
      </w:r>
    </w:p>
    <w:p w:rsidR="009E247B" w:rsidRPr="007559C2" w:rsidRDefault="009E247B" w:rsidP="009E247B">
      <w:pPr>
        <w:pStyle w:val="SingleTxtGA"/>
        <w:rPr>
          <w:rFonts w:ascii="Traditional Arabic" w:hAnsi="Traditional Arabic"/>
          <w:rtl/>
          <w:lang w:val="es-ES_tradnl" w:bidi="ar-EG"/>
        </w:rPr>
      </w:pPr>
      <w:r w:rsidRPr="007559C2">
        <w:rPr>
          <w:rFonts w:ascii="Traditional Arabic" w:hAnsi="Traditional Arabic"/>
          <w:rtl/>
          <w:lang w:bidi="ar-EG"/>
        </w:rPr>
        <w:t>5-4</w:t>
      </w:r>
      <w:r w:rsidRPr="007559C2">
        <w:rPr>
          <w:rFonts w:ascii="Traditional Arabic" w:hAnsi="Traditional Arabic"/>
          <w:rtl/>
          <w:lang w:bidi="ar-EG"/>
        </w:rPr>
        <w:tab/>
      </w:r>
      <w:r>
        <w:rPr>
          <w:rFonts w:ascii="Traditional Arabic" w:hAnsi="Traditional Arabic" w:hint="cs"/>
          <w:rtl/>
          <w:lang w:val="es-ES_tradnl" w:bidi="ar-EG"/>
        </w:rPr>
        <w:t xml:space="preserve">ويلاحظ أصحاب الشكوى أن الوثائق التي تكشف أن </w:t>
      </w:r>
      <w:r>
        <w:rPr>
          <w:rFonts w:hint="cs"/>
          <w:rtl/>
          <w:lang w:bidi="ar-EG"/>
        </w:rPr>
        <w:t>صاحبة الشكوى الثانية تخضع للتحقيق بتهمة ارتكاب جريمة تتعلق بأسلحة في بيلاروس تبيّن بوضوح أنها تواجه عقوبة بالسجن تصل إلى سبع سنوات.</w:t>
      </w:r>
      <w:r>
        <w:rPr>
          <w:rFonts w:ascii="Traditional Arabic" w:hAnsi="Traditional Arabic" w:hint="cs"/>
          <w:rtl/>
          <w:lang w:val="es-ES_tradnl" w:bidi="ar-EG"/>
        </w:rPr>
        <w:t xml:space="preserve"> وفضل</w:t>
      </w:r>
      <w:r w:rsidR="00411E5D">
        <w:rPr>
          <w:rFonts w:ascii="Traditional Arabic" w:hAnsi="Traditional Arabic" w:hint="cs"/>
          <w:rtl/>
          <w:lang w:val="es-ES_tradnl" w:bidi="ar-EG"/>
        </w:rPr>
        <w:t xml:space="preserve">اً </w:t>
      </w:r>
      <w:r>
        <w:rPr>
          <w:rFonts w:ascii="Traditional Arabic" w:hAnsi="Traditional Arabic" w:hint="cs"/>
          <w:rtl/>
          <w:lang w:val="es-ES_tradnl" w:bidi="ar-EG"/>
        </w:rPr>
        <w:t>عن ذلك، فإن مثل هذه التهم يمكن بسهولة أن تصنف ضمن جرائم الإرهاب في بيلاروس.</w:t>
      </w:r>
    </w:p>
    <w:p w:rsidR="009E247B" w:rsidRDefault="009E247B" w:rsidP="009E247B">
      <w:pPr>
        <w:pStyle w:val="SingleTxtGA"/>
        <w:rPr>
          <w:rtl/>
          <w:lang w:val="es-ES_tradnl" w:bidi="ar-EG"/>
        </w:rPr>
      </w:pPr>
      <w:r w:rsidRPr="007559C2">
        <w:rPr>
          <w:rtl/>
          <w:lang w:val="es-ES_tradnl" w:bidi="ar-EG"/>
        </w:rPr>
        <w:t>5-</w:t>
      </w:r>
      <w:r>
        <w:rPr>
          <w:rFonts w:hint="cs"/>
          <w:rtl/>
          <w:lang w:val="es-ES_tradnl" w:bidi="ar-EG"/>
        </w:rPr>
        <w:t>5</w:t>
      </w:r>
      <w:r w:rsidRPr="007559C2">
        <w:rPr>
          <w:rtl/>
          <w:lang w:val="es-ES_tradnl" w:bidi="ar-EG"/>
        </w:rPr>
        <w:tab/>
        <w:t xml:space="preserve">وختاماً، يؤكد </w:t>
      </w:r>
      <w:r>
        <w:rPr>
          <w:rFonts w:hint="cs"/>
          <w:rtl/>
          <w:lang w:val="es-ES_tradnl" w:bidi="ar-EG"/>
        </w:rPr>
        <w:t>أصحاب</w:t>
      </w:r>
      <w:r w:rsidRPr="007559C2">
        <w:rPr>
          <w:rtl/>
          <w:lang w:val="es-ES_tradnl" w:bidi="ar-EG"/>
        </w:rPr>
        <w:t xml:space="preserve"> الشكوى </w:t>
      </w:r>
      <w:r>
        <w:rPr>
          <w:rFonts w:hint="cs"/>
          <w:rtl/>
          <w:lang w:val="es-ES_tradnl" w:bidi="ar-EG"/>
        </w:rPr>
        <w:t>أن</w:t>
      </w:r>
      <w:r w:rsidRPr="007559C2">
        <w:rPr>
          <w:rtl/>
          <w:lang w:val="es-ES_tradnl" w:bidi="ar-EG"/>
        </w:rPr>
        <w:t xml:space="preserve"> هذا البلاغ </w:t>
      </w:r>
      <w:r>
        <w:rPr>
          <w:rFonts w:hint="cs"/>
          <w:rtl/>
          <w:lang w:val="es-ES_tradnl" w:bidi="ar-EG"/>
        </w:rPr>
        <w:t xml:space="preserve">وكذلك </w:t>
      </w:r>
      <w:r w:rsidRPr="007559C2">
        <w:rPr>
          <w:rtl/>
          <w:lang w:val="es-ES_tradnl" w:bidi="ar-EG"/>
        </w:rPr>
        <w:t xml:space="preserve">ادعاءاتهم </w:t>
      </w:r>
      <w:r>
        <w:rPr>
          <w:rFonts w:hint="cs"/>
          <w:rtl/>
          <w:lang w:val="es-ES_tradnl" w:bidi="ar-EG"/>
        </w:rPr>
        <w:t xml:space="preserve">مقبولين </w:t>
      </w:r>
      <w:r w:rsidRPr="007559C2">
        <w:rPr>
          <w:rtl/>
          <w:lang w:val="es-ES_tradnl" w:bidi="ar-EG"/>
        </w:rPr>
        <w:t>وأنهما يستندان إلى أسس سليمة ويُبيّنان أن إبعادهم</w:t>
      </w:r>
      <w:r>
        <w:rPr>
          <w:rFonts w:hint="cs"/>
          <w:rtl/>
          <w:lang w:val="es-ES_tradnl" w:bidi="ar-EG"/>
        </w:rPr>
        <w:t xml:space="preserve"> </w:t>
      </w:r>
      <w:r w:rsidRPr="007559C2">
        <w:rPr>
          <w:rtl/>
          <w:lang w:val="es-ES_tradnl" w:bidi="ar-EG"/>
        </w:rPr>
        <w:t xml:space="preserve">إلى </w:t>
      </w:r>
      <w:r>
        <w:rPr>
          <w:rFonts w:hint="cs"/>
          <w:rtl/>
          <w:lang w:val="es-ES_tradnl" w:bidi="ar-EG"/>
        </w:rPr>
        <w:t>بيلاروس</w:t>
      </w:r>
      <w:r w:rsidRPr="007559C2">
        <w:rPr>
          <w:rtl/>
          <w:lang w:val="es-ES_tradnl" w:bidi="ar-EG"/>
        </w:rPr>
        <w:t xml:space="preserve"> </w:t>
      </w:r>
      <w:r>
        <w:rPr>
          <w:rFonts w:hint="cs"/>
          <w:rtl/>
          <w:lang w:val="es-ES_tradnl" w:bidi="ar-EG"/>
        </w:rPr>
        <w:t>س</w:t>
      </w:r>
      <w:r w:rsidRPr="007559C2">
        <w:rPr>
          <w:rtl/>
          <w:lang w:val="es-ES_tradnl" w:bidi="ar-EG"/>
        </w:rPr>
        <w:t>يشكل انتهاكاً لأحكام الاتفاقية.</w:t>
      </w:r>
    </w:p>
    <w:p w:rsidR="009E247B" w:rsidRPr="002C6FE7" w:rsidRDefault="009E247B" w:rsidP="009E247B">
      <w:pPr>
        <w:pStyle w:val="H23GA"/>
        <w:rPr>
          <w:rtl/>
          <w:lang w:val="es-ES_tradnl" w:bidi="ar-EG"/>
        </w:rPr>
      </w:pPr>
      <w:r>
        <w:rPr>
          <w:rFonts w:hint="cs"/>
          <w:rtl/>
          <w:lang w:val="es-ES_tradnl" w:bidi="ar-EG"/>
        </w:rPr>
        <w:tab/>
      </w:r>
      <w:r>
        <w:rPr>
          <w:rFonts w:hint="cs"/>
          <w:rtl/>
          <w:lang w:val="es-ES_tradnl" w:bidi="ar-EG"/>
        </w:rPr>
        <w:tab/>
      </w:r>
      <w:r w:rsidRPr="002C6FE7">
        <w:rPr>
          <w:rFonts w:hint="cs"/>
          <w:rtl/>
          <w:lang w:val="es-ES_tradnl" w:bidi="ar-EG"/>
        </w:rPr>
        <w:t>معلومات إضافية مقدمة من الدولة الطرف</w:t>
      </w:r>
    </w:p>
    <w:p w:rsidR="009E247B" w:rsidRPr="00C67BDF" w:rsidRDefault="009E247B" w:rsidP="009E247B">
      <w:pPr>
        <w:pStyle w:val="SingleTxtGA"/>
        <w:rPr>
          <w:spacing w:val="-4"/>
          <w:rtl/>
          <w:lang w:val="es-ES_tradnl" w:bidi="ar-EG"/>
        </w:rPr>
      </w:pPr>
      <w:r w:rsidRPr="00C67BDF">
        <w:rPr>
          <w:rFonts w:hint="cs"/>
          <w:spacing w:val="-4"/>
          <w:rtl/>
          <w:lang w:val="es-ES_tradnl" w:bidi="ar-EG"/>
        </w:rPr>
        <w:t>6-1</w:t>
      </w:r>
      <w:r w:rsidRPr="00C67BDF">
        <w:rPr>
          <w:rFonts w:hint="cs"/>
          <w:spacing w:val="-4"/>
          <w:rtl/>
          <w:lang w:val="es-ES_tradnl" w:bidi="ar-EG"/>
        </w:rPr>
        <w:tab/>
        <w:t>في 15 نيسان/أبريل 2014، قدمت الدولة الطرف معلومات إضافية. ولاحظت أن توضيحاتها المقتضبة بشأن تعليقات أصحاب الشكوى لا ينبغي تأويلها على أنها تعني أن الدولة الطرف تقبل بوجاهة التعليقات الأخرى لأصحاب الشكوى، التي لم تتناولها الدولة الطرف أدناه.</w:t>
      </w:r>
    </w:p>
    <w:p w:rsidR="009E247B" w:rsidRDefault="009E247B" w:rsidP="009E247B">
      <w:pPr>
        <w:pStyle w:val="SingleTxtGA"/>
        <w:rPr>
          <w:rtl/>
          <w:lang w:val="es-ES_tradnl" w:bidi="ar-EG"/>
        </w:rPr>
      </w:pPr>
      <w:r>
        <w:rPr>
          <w:rFonts w:hint="cs"/>
          <w:rtl/>
          <w:lang w:val="es-ES_tradnl" w:bidi="ar-EG"/>
        </w:rPr>
        <w:t>6-2</w:t>
      </w:r>
      <w:r>
        <w:rPr>
          <w:rFonts w:hint="cs"/>
          <w:rtl/>
          <w:lang w:val="es-ES_tradnl" w:bidi="ar-EG"/>
        </w:rPr>
        <w:tab/>
        <w:t xml:space="preserve">وفيما يتعلق بزعم </w:t>
      </w:r>
      <w:r>
        <w:rPr>
          <w:rFonts w:hint="cs"/>
          <w:rtl/>
          <w:lang w:bidi="ar-EG"/>
        </w:rPr>
        <w:t>صاحبة الشكوى الثانية</w:t>
      </w:r>
      <w:r>
        <w:rPr>
          <w:rFonts w:hint="cs"/>
          <w:rtl/>
          <w:lang w:val="es-ES_tradnl" w:bidi="ar-EG"/>
        </w:rPr>
        <w:t xml:space="preserve"> أنها تخضع للتحقيق بتهمة ارتكاب جريمة خطيرة تتعلق بالأسلحة في بيلاروس وأن التهم التي تواجهها ذات دوافع سياسية، فقد قدم أصحاب الشكوى، في 17 أيار/مايو 2013، طلبا إلى مجلس الهجرة يدّعون وجود عوائق تحول دون إنفاذ أمر الطرد وقدموا وثيقتين باللغة البيلاروسية. وبعد ترجمة هاتين الوثيقتين، قرر مجلس الهجرة، في 26 أيلول/سبتمبر 2013، عدم منح أصحاب الشكوى رخص إقامة بموجب المادة</w:t>
      </w:r>
      <w:r>
        <w:rPr>
          <w:rFonts w:hint="eastAsia"/>
          <w:rtl/>
          <w:lang w:val="es-ES_tradnl" w:bidi="ar-EG"/>
        </w:rPr>
        <w:t> </w:t>
      </w:r>
      <w:r>
        <w:rPr>
          <w:rFonts w:hint="cs"/>
          <w:rtl/>
          <w:lang w:val="es-ES_tradnl" w:bidi="ar-EG"/>
        </w:rPr>
        <w:t xml:space="preserve">18 من الفصل 12 من قانون الأجانب وعدم إعادة النظر في قضيتهم بموجب المادة 19 من الفصل 12 من قانون الأجانب. </w:t>
      </w:r>
    </w:p>
    <w:p w:rsidR="009E247B" w:rsidRDefault="009E247B" w:rsidP="007A6A45">
      <w:pPr>
        <w:pStyle w:val="SingleTxtGA"/>
        <w:spacing w:after="100" w:line="378" w:lineRule="exact"/>
        <w:rPr>
          <w:rtl/>
          <w:lang w:val="es-ES_tradnl" w:bidi="ar-EG"/>
        </w:rPr>
      </w:pPr>
      <w:r>
        <w:rPr>
          <w:rFonts w:hint="cs"/>
          <w:rtl/>
          <w:lang w:val="es-ES_tradnl" w:bidi="ar-EG"/>
        </w:rPr>
        <w:lastRenderedPageBreak/>
        <w:t>6-3</w:t>
      </w:r>
      <w:r>
        <w:rPr>
          <w:rFonts w:hint="cs"/>
          <w:rtl/>
          <w:lang w:val="es-ES_tradnl" w:bidi="ar-EG"/>
        </w:rPr>
        <w:tab/>
        <w:t>واستُؤنف على القرار أمام محكمة الهجرة فيما يخص المادة 19 من الفصل 12 من قانون الأجانب.</w:t>
      </w:r>
      <w:r w:rsidR="00C67BDF">
        <w:rPr>
          <w:rFonts w:hint="cs"/>
          <w:rtl/>
          <w:lang w:val="es-ES_tradnl" w:bidi="ar-EG"/>
        </w:rPr>
        <w:t xml:space="preserve"> </w:t>
      </w:r>
      <w:r>
        <w:rPr>
          <w:rFonts w:hint="cs"/>
          <w:rtl/>
          <w:lang w:val="es-ES_tradnl" w:bidi="ar-EG"/>
        </w:rPr>
        <w:t>وفي 5 تشرين الثاني/نوفمبر 2013، قررت محكمة الهجرة إعادة القضية إلى مجلس الهجرة لتقييم مدى مصداقية الوثيقتين المقدمتين. وبعد التدقيق في الوثيقتين، خلص المجلس إلى أنه لم يكن بوسعه أن يفصل في كون الوثيقتين صدرتا بصورة صحيحة. وعليه، فقد تُركت مسألة صحة الوثيقتين مفتوحة. على أن مجلس الهجرة رأى أن محتوى الوثيقتين لم يثبت بصورة قاطعة أن صاحبي الشكوى معرضان لخطر التعذيب لدى عودتهما إلى بيلاروس.</w:t>
      </w:r>
    </w:p>
    <w:p w:rsidR="009E247B" w:rsidRPr="007A6A45" w:rsidRDefault="009E247B" w:rsidP="007A6A45">
      <w:pPr>
        <w:pStyle w:val="SingleTxtGA"/>
        <w:spacing w:after="100" w:line="378" w:lineRule="exact"/>
        <w:rPr>
          <w:spacing w:val="-6"/>
          <w:rtl/>
          <w:lang w:val="es-ES_tradnl" w:bidi="ar-EG"/>
        </w:rPr>
      </w:pPr>
      <w:r w:rsidRPr="007A6A45">
        <w:rPr>
          <w:rFonts w:hint="cs"/>
          <w:spacing w:val="-6"/>
          <w:rtl/>
          <w:lang w:val="es-ES_tradnl" w:bidi="ar-EG"/>
        </w:rPr>
        <w:t>6-4</w:t>
      </w:r>
      <w:r w:rsidRPr="007A6A45">
        <w:rPr>
          <w:rFonts w:hint="cs"/>
          <w:spacing w:val="-6"/>
          <w:rtl/>
          <w:lang w:val="es-ES_tradnl" w:bidi="ar-EG"/>
        </w:rPr>
        <w:tab/>
        <w:t>واستُؤنف على القرار أمام محكمة الهجرة التي رفضت الطعن في 7 كانون الثاني/ يناير</w:t>
      </w:r>
      <w:r w:rsidRPr="007A6A45">
        <w:rPr>
          <w:rFonts w:hint="eastAsia"/>
          <w:spacing w:val="-6"/>
          <w:rtl/>
          <w:lang w:val="es-ES_tradnl" w:bidi="ar-EG"/>
        </w:rPr>
        <w:t> </w:t>
      </w:r>
      <w:r w:rsidRPr="007A6A45">
        <w:rPr>
          <w:rFonts w:hint="cs"/>
          <w:spacing w:val="-6"/>
          <w:rtl/>
          <w:lang w:val="es-ES_tradnl" w:bidi="ar-EG"/>
        </w:rPr>
        <w:t>2014. وفي 3 شباط/فبراير 2014، رفضت محكمة الاستئناف في قضايا الهجرة الإذن بالاستئناف. وتدفع الدولة الطرف وسلطات الهجرة فيها بأن أصحاب الشكوى لم يثبتوا بصورة قاطعة أن سلطات بيلاروس مهتمة بصاحبي الشكوى الأول والثاني بسبب أنشطتهما السياسية. وفضل</w:t>
      </w:r>
      <w:r w:rsidR="00411E5D">
        <w:rPr>
          <w:rFonts w:hint="cs"/>
          <w:spacing w:val="-6"/>
          <w:rtl/>
          <w:lang w:val="es-ES_tradnl" w:bidi="ar-EG"/>
        </w:rPr>
        <w:t xml:space="preserve">اً </w:t>
      </w:r>
      <w:r w:rsidRPr="007A6A45">
        <w:rPr>
          <w:rFonts w:hint="cs"/>
          <w:spacing w:val="-6"/>
          <w:rtl/>
          <w:lang w:val="es-ES_tradnl" w:bidi="ar-EG"/>
        </w:rPr>
        <w:t>عن ذلك، تدفع الدولة الطرف بأن أصحاب الشكوى لم يقدموا تفسير</w:t>
      </w:r>
      <w:r w:rsidR="00411E5D">
        <w:rPr>
          <w:rFonts w:hint="cs"/>
          <w:spacing w:val="-6"/>
          <w:rtl/>
          <w:lang w:val="es-ES_tradnl" w:bidi="ar-EG"/>
        </w:rPr>
        <w:t xml:space="preserve">اً </w:t>
      </w:r>
      <w:r w:rsidRPr="007A6A45">
        <w:rPr>
          <w:rFonts w:hint="cs"/>
          <w:spacing w:val="-6"/>
          <w:rtl/>
          <w:lang w:val="es-ES_tradnl" w:bidi="ar-EG"/>
        </w:rPr>
        <w:t>لسبب اتهام سلطات بيلاروس صاحبة الشكوى الثانية خطأ بارتكاب جريمة في هذا الوقت بالذات وكيف تلقى صاحبا الشكوى الأول والثاني الوثيقتين المقدمتين. وعليه، تؤيد الدولة الطرف مجلس الهجرة ومحكمة الهجرة فيما ذهبا إليه من أنه إذا كانت صاحبة الشكوى الثانية متهمة بالفعل بجريمة تتعلق بالأسلحة، فإن صاحبي الشكوى الأول والثاني لم يقدما ما يثبت أن الاتهامات المزعوم</w:t>
      </w:r>
      <w:r w:rsidR="00AC6FEA">
        <w:rPr>
          <w:rFonts w:hint="cs"/>
          <w:spacing w:val="-6"/>
          <w:rtl/>
          <w:lang w:val="es-ES_tradnl" w:bidi="ar-EG"/>
        </w:rPr>
        <w:t>ة</w:t>
      </w:r>
      <w:r w:rsidRPr="007A6A45">
        <w:rPr>
          <w:rFonts w:hint="cs"/>
          <w:spacing w:val="-6"/>
          <w:rtl/>
          <w:lang w:val="es-ES_tradnl" w:bidi="ar-EG"/>
        </w:rPr>
        <w:t xml:space="preserve"> الموجهة إليها ليست سوى تحقيق جنائي عادي. </w:t>
      </w:r>
    </w:p>
    <w:p w:rsidR="009E247B" w:rsidRPr="007559C2" w:rsidRDefault="009E247B" w:rsidP="007A6A45">
      <w:pPr>
        <w:pStyle w:val="SingleTxtGA"/>
        <w:spacing w:after="100" w:line="378" w:lineRule="exact"/>
        <w:rPr>
          <w:rtl/>
          <w:lang w:val="es-ES_tradnl" w:bidi="ar-EG"/>
        </w:rPr>
      </w:pPr>
      <w:r>
        <w:rPr>
          <w:rFonts w:hint="cs"/>
          <w:rtl/>
          <w:lang w:val="es-ES_tradnl" w:bidi="ar-EG"/>
        </w:rPr>
        <w:t>6-5</w:t>
      </w:r>
      <w:r>
        <w:rPr>
          <w:rFonts w:hint="cs"/>
          <w:rtl/>
          <w:lang w:val="es-ES_tradnl" w:bidi="ar-EG"/>
        </w:rPr>
        <w:tab/>
        <w:t>وفي الأخير، تؤكد الدولة الطرف موقفها بخصوص مقبولية الشكوى وأساسها الموضوعية، على النحو المذكور في الملاحظات المقدمة في 24 أيار/مايو 2013.</w:t>
      </w:r>
      <w:r w:rsidR="00C67BDF">
        <w:rPr>
          <w:rFonts w:hint="cs"/>
          <w:rtl/>
          <w:lang w:val="es-ES_tradnl" w:bidi="ar-EG"/>
        </w:rPr>
        <w:t xml:space="preserve"> </w:t>
      </w:r>
    </w:p>
    <w:p w:rsidR="009E247B" w:rsidRPr="007559C2" w:rsidRDefault="009E247B" w:rsidP="009E247B">
      <w:pPr>
        <w:pStyle w:val="H23GA"/>
        <w:rPr>
          <w:rtl/>
          <w:lang w:val="es-ES_tradnl" w:bidi="ar-EG"/>
        </w:rPr>
      </w:pPr>
      <w:r w:rsidRPr="007559C2">
        <w:rPr>
          <w:rFonts w:hint="cs"/>
          <w:rtl/>
          <w:lang w:val="es-ES_tradnl" w:bidi="ar-EG"/>
        </w:rPr>
        <w:tab/>
      </w:r>
      <w:r w:rsidRPr="007559C2">
        <w:rPr>
          <w:rFonts w:hint="cs"/>
          <w:rtl/>
          <w:lang w:val="es-ES_tradnl" w:bidi="ar-EG"/>
        </w:rPr>
        <w:tab/>
      </w:r>
      <w:r w:rsidRPr="007559C2">
        <w:rPr>
          <w:rtl/>
          <w:lang w:val="es-ES_tradnl" w:bidi="ar-EG"/>
        </w:rPr>
        <w:t>المسائل والإجراءات المعروضة على اللجنة</w:t>
      </w:r>
    </w:p>
    <w:p w:rsidR="009E247B" w:rsidRPr="00C267A9" w:rsidRDefault="009E247B" w:rsidP="009E247B">
      <w:pPr>
        <w:pStyle w:val="H23GA"/>
        <w:rPr>
          <w:rtl/>
          <w:lang w:val="es-ES_tradnl" w:bidi="ar-EG"/>
        </w:rPr>
      </w:pPr>
      <w:r w:rsidRPr="007559C2">
        <w:rPr>
          <w:rFonts w:hint="cs"/>
          <w:rtl/>
          <w:lang w:val="es-ES_tradnl" w:bidi="ar-EG"/>
        </w:rPr>
        <w:tab/>
      </w:r>
      <w:r w:rsidRPr="007559C2">
        <w:rPr>
          <w:rFonts w:hint="cs"/>
          <w:rtl/>
          <w:lang w:val="es-ES_tradnl" w:bidi="ar-EG"/>
        </w:rPr>
        <w:tab/>
      </w:r>
      <w:r w:rsidRPr="00C267A9">
        <w:rPr>
          <w:rtl/>
          <w:lang w:val="es-ES_tradnl" w:bidi="ar-EG"/>
        </w:rPr>
        <w:t>النظر في المقبولية</w:t>
      </w:r>
    </w:p>
    <w:p w:rsidR="009E247B" w:rsidRPr="00C67BDF" w:rsidRDefault="009E247B" w:rsidP="00411E5D">
      <w:pPr>
        <w:pStyle w:val="SingleTxtGA"/>
        <w:spacing w:after="100" w:line="378" w:lineRule="exact"/>
        <w:rPr>
          <w:spacing w:val="-4"/>
          <w:rtl/>
        </w:rPr>
      </w:pPr>
      <w:r w:rsidRPr="00C67BDF">
        <w:rPr>
          <w:rFonts w:hint="cs"/>
          <w:spacing w:val="-4"/>
          <w:rtl/>
          <w:lang w:val="es-ES_tradnl" w:bidi="ar-EG"/>
        </w:rPr>
        <w:t>7</w:t>
      </w:r>
      <w:r w:rsidRPr="00C67BDF">
        <w:rPr>
          <w:spacing w:val="-4"/>
          <w:rtl/>
          <w:lang w:val="es-ES_tradnl" w:bidi="ar-EG"/>
        </w:rPr>
        <w:t>-1</w:t>
      </w:r>
      <w:r w:rsidRPr="00C67BDF">
        <w:rPr>
          <w:spacing w:val="-4"/>
          <w:rtl/>
          <w:lang w:val="es-ES_tradnl" w:bidi="ar-EG"/>
        </w:rPr>
        <w:tab/>
        <w:t>قبل</w:t>
      </w:r>
      <w:r w:rsidRPr="00C67BDF">
        <w:rPr>
          <w:spacing w:val="-4"/>
          <w:rtl/>
        </w:rPr>
        <w:t xml:space="preserve"> النظر في أي ادعاء </w:t>
      </w:r>
      <w:r w:rsidRPr="00C67BDF">
        <w:rPr>
          <w:rFonts w:hint="cs"/>
          <w:spacing w:val="-4"/>
          <w:rtl/>
        </w:rPr>
        <w:t>ي</w:t>
      </w:r>
      <w:r w:rsidRPr="00C67BDF">
        <w:rPr>
          <w:spacing w:val="-4"/>
          <w:rtl/>
        </w:rPr>
        <w:t>رد في أي بلاغ، يتعيّن على لجنة مناهضة التعذيب أن تقرر ما إذا كان البلاغ مقبولاً أم لا بموجب المادة 22 من الاتفاقية</w:t>
      </w:r>
      <w:r w:rsidR="00411E5D">
        <w:rPr>
          <w:rFonts w:hint="cs"/>
          <w:spacing w:val="-4"/>
          <w:rtl/>
        </w:rPr>
        <w:t>.</w:t>
      </w:r>
      <w:r w:rsidRPr="00C67BDF">
        <w:rPr>
          <w:spacing w:val="-4"/>
          <w:rtl/>
        </w:rPr>
        <w:t xml:space="preserve"> وقد تأكدت اللجنة، وفقاً لما </w:t>
      </w:r>
      <w:proofErr w:type="spellStart"/>
      <w:r w:rsidRPr="00C67BDF">
        <w:rPr>
          <w:spacing w:val="-4"/>
          <w:rtl/>
        </w:rPr>
        <w:t>تقتضيه</w:t>
      </w:r>
      <w:proofErr w:type="spellEnd"/>
      <w:r w:rsidRPr="00C67BDF">
        <w:rPr>
          <w:spacing w:val="-4"/>
          <w:rtl/>
        </w:rPr>
        <w:t xml:space="preserve"> منها الفقرة الفرعية (أ) من الفقرة 5 من المادة 22 من الاتفاقية، من أن المسألة ذاتها لم تُبحث، وليست قيد البحث، في إطار إجراء آخر من إجراءات التحقيق الدولي أو التسوية الدولية.</w:t>
      </w:r>
    </w:p>
    <w:p w:rsidR="009E247B" w:rsidRDefault="009E247B" w:rsidP="007A6A45">
      <w:pPr>
        <w:pStyle w:val="SingleTxtGA"/>
        <w:spacing w:after="100" w:line="378" w:lineRule="exact"/>
        <w:rPr>
          <w:rtl/>
        </w:rPr>
      </w:pPr>
      <w:r>
        <w:rPr>
          <w:rFonts w:hint="cs"/>
          <w:rtl/>
        </w:rPr>
        <w:t>7</w:t>
      </w:r>
      <w:r w:rsidRPr="007559C2">
        <w:rPr>
          <w:rtl/>
        </w:rPr>
        <w:t>-2</w:t>
      </w:r>
      <w:r w:rsidRPr="007559C2">
        <w:rPr>
          <w:rtl/>
        </w:rPr>
        <w:tab/>
        <w:t>و</w:t>
      </w:r>
      <w:r>
        <w:rPr>
          <w:rFonts w:hint="cs"/>
          <w:rtl/>
        </w:rPr>
        <w:t>تحيط</w:t>
      </w:r>
      <w:r w:rsidRPr="007559C2">
        <w:rPr>
          <w:rtl/>
        </w:rPr>
        <w:t xml:space="preserve"> اللجنة </w:t>
      </w:r>
      <w:r>
        <w:rPr>
          <w:rFonts w:hint="cs"/>
          <w:rtl/>
        </w:rPr>
        <w:t>علم</w:t>
      </w:r>
      <w:r w:rsidR="00411E5D">
        <w:rPr>
          <w:rFonts w:hint="cs"/>
          <w:rtl/>
        </w:rPr>
        <w:t xml:space="preserve">اً </w:t>
      </w:r>
      <w:r>
        <w:rPr>
          <w:rFonts w:hint="cs"/>
          <w:rtl/>
        </w:rPr>
        <w:t xml:space="preserve">بمراسلة الدولة الطرف التي جاء فيها أن هذا البلاغ لا أساس له من الصحة وأنه بالتالي غير مقبول بمقتضى الفقرة 2 </w:t>
      </w:r>
      <w:r w:rsidRPr="007559C2">
        <w:rPr>
          <w:rtl/>
        </w:rPr>
        <w:t>من المادة 22 من الاتفاقية</w:t>
      </w:r>
      <w:r>
        <w:rPr>
          <w:rFonts w:hint="cs"/>
          <w:rtl/>
        </w:rPr>
        <w:t xml:space="preserve"> والمادة 107 من النظام الداخلي للجنة. على أن اللجنة تعتبر أن البلاغ مدعوم بإثباتات لأغراض المقبولية، لأن أصحاب الشكوى قدموا سرد</w:t>
      </w:r>
      <w:r w:rsidR="00411E5D">
        <w:rPr>
          <w:rFonts w:hint="cs"/>
          <w:rtl/>
        </w:rPr>
        <w:t xml:space="preserve">اً </w:t>
      </w:r>
      <w:r>
        <w:rPr>
          <w:rFonts w:hint="cs"/>
          <w:rtl/>
        </w:rPr>
        <w:t>مفصل</w:t>
      </w:r>
      <w:r w:rsidR="00411E5D">
        <w:rPr>
          <w:rFonts w:hint="cs"/>
          <w:rtl/>
        </w:rPr>
        <w:t xml:space="preserve">اً </w:t>
      </w:r>
      <w:r>
        <w:rPr>
          <w:rFonts w:hint="cs"/>
          <w:rtl/>
        </w:rPr>
        <w:t>لوقائع دعواهم وأسسها لكي تبت فيه اللجنة.</w:t>
      </w:r>
    </w:p>
    <w:p w:rsidR="009E247B" w:rsidRPr="00E81171" w:rsidRDefault="009E247B" w:rsidP="007A6A45">
      <w:pPr>
        <w:pStyle w:val="SingleTxtGA"/>
        <w:spacing w:line="378" w:lineRule="exact"/>
        <w:rPr>
          <w:spacing w:val="-4"/>
          <w:rtl/>
        </w:rPr>
      </w:pPr>
      <w:r w:rsidRPr="00E81171">
        <w:rPr>
          <w:rFonts w:hint="cs"/>
          <w:spacing w:val="-4"/>
          <w:rtl/>
        </w:rPr>
        <w:t>7-3</w:t>
      </w:r>
      <w:r w:rsidR="00AC6FEA">
        <w:rPr>
          <w:rFonts w:hint="cs"/>
          <w:spacing w:val="-4"/>
          <w:rtl/>
        </w:rPr>
        <w:tab/>
        <w:t>وتذكّر اللجنة بأن الفقرة 5</w:t>
      </w:r>
      <w:r w:rsidRPr="00E81171">
        <w:rPr>
          <w:rFonts w:hint="cs"/>
          <w:spacing w:val="-4"/>
          <w:rtl/>
        </w:rPr>
        <w:t xml:space="preserve">(ب) من </w:t>
      </w:r>
      <w:r w:rsidRPr="00E81171">
        <w:rPr>
          <w:spacing w:val="-4"/>
          <w:rtl/>
        </w:rPr>
        <w:t>المادة 22 من الاتفاقية</w:t>
      </w:r>
      <w:r w:rsidRPr="00E81171">
        <w:rPr>
          <w:rFonts w:hint="cs"/>
          <w:spacing w:val="-4"/>
          <w:rtl/>
        </w:rPr>
        <w:t xml:space="preserve"> تقضي بأن اللجنة</w:t>
      </w:r>
      <w:r w:rsidRPr="00E81171">
        <w:rPr>
          <w:spacing w:val="-4"/>
          <w:rtl/>
        </w:rPr>
        <w:t xml:space="preserve"> لا تنظر في </w:t>
      </w:r>
      <w:r w:rsidRPr="00E81171">
        <w:rPr>
          <w:rFonts w:hint="cs"/>
          <w:spacing w:val="-4"/>
          <w:rtl/>
        </w:rPr>
        <w:t xml:space="preserve">أي </w:t>
      </w:r>
      <w:r w:rsidRPr="00E81171">
        <w:rPr>
          <w:spacing w:val="-4"/>
          <w:rtl/>
        </w:rPr>
        <w:t xml:space="preserve">بلاغ مقدم من </w:t>
      </w:r>
      <w:r w:rsidRPr="00E81171">
        <w:rPr>
          <w:rFonts w:hint="cs"/>
          <w:spacing w:val="-4"/>
          <w:rtl/>
        </w:rPr>
        <w:t>أحد الأفراد</w:t>
      </w:r>
      <w:r w:rsidRPr="00E81171">
        <w:rPr>
          <w:spacing w:val="-4"/>
          <w:rtl/>
        </w:rPr>
        <w:t> </w:t>
      </w:r>
      <w:r w:rsidRPr="00E81171">
        <w:rPr>
          <w:rFonts w:hint="cs"/>
          <w:spacing w:val="-4"/>
          <w:rtl/>
        </w:rPr>
        <w:t>ما لم </w:t>
      </w:r>
      <w:r w:rsidRPr="00E81171">
        <w:rPr>
          <w:spacing w:val="-4"/>
          <w:rtl/>
        </w:rPr>
        <w:t>تتأكد من أن هذا الفرد قد استنفد جميع سبل الانتصاف المحلية المتاحة. و</w:t>
      </w:r>
      <w:r w:rsidRPr="00E81171">
        <w:rPr>
          <w:rFonts w:hint="cs"/>
          <w:spacing w:val="-4"/>
          <w:rtl/>
        </w:rPr>
        <w:t>تلاحظ</w:t>
      </w:r>
      <w:r w:rsidRPr="00E81171">
        <w:rPr>
          <w:spacing w:val="-4"/>
          <w:rtl/>
        </w:rPr>
        <w:t xml:space="preserve"> اللجنة أن الدولة الطرف قد اعترفت في هذه الحالة بأن أصحاب الشكوى قد استنفدوا جميع سبل الانتصاف المحلية المتاحة. وترى اللجنة </w:t>
      </w:r>
      <w:r w:rsidRPr="00E81171">
        <w:rPr>
          <w:rFonts w:hint="cs"/>
          <w:spacing w:val="-4"/>
          <w:rtl/>
        </w:rPr>
        <w:t>تبع</w:t>
      </w:r>
      <w:r w:rsidR="00411E5D">
        <w:rPr>
          <w:rFonts w:hint="cs"/>
          <w:spacing w:val="-4"/>
          <w:rtl/>
        </w:rPr>
        <w:t xml:space="preserve">اً </w:t>
      </w:r>
      <w:r w:rsidRPr="00E81171">
        <w:rPr>
          <w:rFonts w:hint="cs"/>
          <w:spacing w:val="-4"/>
          <w:rtl/>
        </w:rPr>
        <w:t xml:space="preserve">لذلك </w:t>
      </w:r>
      <w:r w:rsidRPr="00E81171">
        <w:rPr>
          <w:spacing w:val="-4"/>
          <w:rtl/>
        </w:rPr>
        <w:t>أنه لا توجد أي عوائق أخرى تحول دون مقبولية البلاغ</w:t>
      </w:r>
      <w:r w:rsidRPr="00E81171">
        <w:rPr>
          <w:rFonts w:hint="cs"/>
          <w:spacing w:val="-4"/>
          <w:rtl/>
        </w:rPr>
        <w:t>؛</w:t>
      </w:r>
      <w:r w:rsidRPr="00E81171">
        <w:rPr>
          <w:spacing w:val="-4"/>
          <w:rtl/>
        </w:rPr>
        <w:t xml:space="preserve"> و</w:t>
      </w:r>
      <w:r w:rsidRPr="00E81171">
        <w:rPr>
          <w:rFonts w:hint="cs"/>
          <w:spacing w:val="-4"/>
          <w:rtl/>
        </w:rPr>
        <w:t>بذلك</w:t>
      </w:r>
      <w:r w:rsidRPr="00E81171">
        <w:rPr>
          <w:spacing w:val="-4"/>
          <w:rtl/>
        </w:rPr>
        <w:t xml:space="preserve"> تُقرّ</w:t>
      </w:r>
      <w:r w:rsidRPr="00E81171">
        <w:rPr>
          <w:rFonts w:hint="cs"/>
          <w:spacing w:val="-4"/>
          <w:rtl/>
        </w:rPr>
        <w:t xml:space="preserve"> ب</w:t>
      </w:r>
      <w:r w:rsidRPr="00E81171">
        <w:rPr>
          <w:spacing w:val="-4"/>
          <w:rtl/>
        </w:rPr>
        <w:t>مقبولي</w:t>
      </w:r>
      <w:r w:rsidRPr="00E81171">
        <w:rPr>
          <w:rFonts w:hint="cs"/>
          <w:spacing w:val="-4"/>
          <w:rtl/>
        </w:rPr>
        <w:t>ة البلاغ</w:t>
      </w:r>
      <w:r w:rsidRPr="00E81171">
        <w:rPr>
          <w:spacing w:val="-4"/>
          <w:rtl/>
        </w:rPr>
        <w:t xml:space="preserve"> وتشرع في </w:t>
      </w:r>
      <w:r w:rsidRPr="00E81171">
        <w:rPr>
          <w:rFonts w:hint="cs"/>
          <w:spacing w:val="-4"/>
          <w:rtl/>
        </w:rPr>
        <w:t>النظر في</w:t>
      </w:r>
      <w:r w:rsidRPr="00E81171">
        <w:rPr>
          <w:spacing w:val="-4"/>
          <w:rtl/>
        </w:rPr>
        <w:t xml:space="preserve"> أسسه الموضوعية.</w:t>
      </w:r>
    </w:p>
    <w:p w:rsidR="009E247B" w:rsidRPr="0054454B" w:rsidRDefault="009E247B" w:rsidP="009E247B">
      <w:pPr>
        <w:pStyle w:val="H23GA"/>
      </w:pPr>
      <w:r w:rsidRPr="007559C2">
        <w:rPr>
          <w:rFonts w:hint="cs"/>
          <w:rtl/>
        </w:rPr>
        <w:lastRenderedPageBreak/>
        <w:tab/>
      </w:r>
      <w:r w:rsidRPr="007559C2">
        <w:rPr>
          <w:rFonts w:hint="cs"/>
          <w:rtl/>
        </w:rPr>
        <w:tab/>
      </w:r>
      <w:r w:rsidRPr="0054454B">
        <w:rPr>
          <w:rtl/>
        </w:rPr>
        <w:t>النظر في الأسس الموضوعية</w:t>
      </w:r>
    </w:p>
    <w:p w:rsidR="009E247B" w:rsidRPr="007559C2" w:rsidRDefault="009E247B" w:rsidP="009E247B">
      <w:pPr>
        <w:pStyle w:val="SingleTxtGA"/>
        <w:rPr>
          <w:rtl/>
        </w:rPr>
      </w:pPr>
      <w:r>
        <w:rPr>
          <w:rFonts w:hint="cs"/>
          <w:rtl/>
        </w:rPr>
        <w:t>8</w:t>
      </w:r>
      <w:r w:rsidRPr="007559C2">
        <w:rPr>
          <w:rtl/>
        </w:rPr>
        <w:t>-1</w:t>
      </w:r>
      <w:r w:rsidRPr="007559C2">
        <w:rPr>
          <w:rtl/>
        </w:rPr>
        <w:tab/>
        <w:t>وفقاً للفقرة 4 من المادة 22 من الاتفاقية، نظرت اللجنة في هذا البلاغ في ضوء جميع المعلومات التي أتاحتها لها الأطراف المعنية.</w:t>
      </w:r>
    </w:p>
    <w:p w:rsidR="009E247B" w:rsidRPr="007559C2" w:rsidRDefault="009E247B" w:rsidP="009E247B">
      <w:pPr>
        <w:pStyle w:val="SingleTxtGA"/>
        <w:rPr>
          <w:rtl/>
        </w:rPr>
      </w:pPr>
      <w:r>
        <w:rPr>
          <w:rFonts w:hint="cs"/>
          <w:rtl/>
        </w:rPr>
        <w:t>8</w:t>
      </w:r>
      <w:r w:rsidRPr="007559C2">
        <w:rPr>
          <w:rtl/>
        </w:rPr>
        <w:t>-2</w:t>
      </w:r>
      <w:r w:rsidRPr="007559C2">
        <w:rPr>
          <w:rtl/>
        </w:rPr>
        <w:tab/>
        <w:t>والمسألة المعروضة على اللجنة في هذه الحالة هي</w:t>
      </w:r>
      <w:r>
        <w:rPr>
          <w:rtl/>
        </w:rPr>
        <w:t xml:space="preserve"> </w:t>
      </w:r>
      <w:r>
        <w:rPr>
          <w:rFonts w:hint="cs"/>
          <w:rtl/>
        </w:rPr>
        <w:t xml:space="preserve">معرفة </w:t>
      </w:r>
      <w:r>
        <w:rPr>
          <w:rtl/>
        </w:rPr>
        <w:t>ما </w:t>
      </w:r>
      <w:r w:rsidRPr="007559C2">
        <w:rPr>
          <w:rtl/>
        </w:rPr>
        <w:t xml:space="preserve">إذا كانت إعادة أصحاب الشكوى </w:t>
      </w:r>
      <w:r>
        <w:rPr>
          <w:rFonts w:hint="cs"/>
          <w:rtl/>
        </w:rPr>
        <w:t>قسر</w:t>
      </w:r>
      <w:r w:rsidR="00411E5D">
        <w:rPr>
          <w:rFonts w:hint="cs"/>
          <w:rtl/>
        </w:rPr>
        <w:t xml:space="preserve">اً </w:t>
      </w:r>
      <w:r w:rsidRPr="007559C2">
        <w:rPr>
          <w:rtl/>
        </w:rPr>
        <w:t xml:space="preserve">إلى </w:t>
      </w:r>
      <w:r>
        <w:rPr>
          <w:rFonts w:hint="cs"/>
          <w:rtl/>
        </w:rPr>
        <w:t>بيلاروس</w:t>
      </w:r>
      <w:r w:rsidRPr="007559C2">
        <w:rPr>
          <w:rtl/>
        </w:rPr>
        <w:t xml:space="preserve"> </w:t>
      </w:r>
      <w:r>
        <w:rPr>
          <w:rFonts w:hint="cs"/>
          <w:rtl/>
        </w:rPr>
        <w:t>س</w:t>
      </w:r>
      <w:r w:rsidRPr="007559C2">
        <w:rPr>
          <w:rtl/>
        </w:rPr>
        <w:t xml:space="preserve">تشكل انتهاكاً لالتزام الدولة الطرف بموجب المادة 3 من الاتفاقية </w:t>
      </w:r>
      <w:r>
        <w:rPr>
          <w:rFonts w:hint="cs"/>
          <w:rtl/>
          <w:lang w:bidi="ar-EG"/>
        </w:rPr>
        <w:t>بعدم</w:t>
      </w:r>
      <w:r w:rsidRPr="007559C2">
        <w:rPr>
          <w:rtl/>
          <w:lang w:bidi="ar-EG"/>
        </w:rPr>
        <w:t xml:space="preserve"> تطرد</w:t>
      </w:r>
      <w:r w:rsidRPr="007559C2">
        <w:rPr>
          <w:rtl/>
        </w:rPr>
        <w:t xml:space="preserve"> أي شخص</w:t>
      </w:r>
      <w:r>
        <w:rPr>
          <w:rtl/>
        </w:rPr>
        <w:t xml:space="preserve"> أو </w:t>
      </w:r>
      <w:r>
        <w:rPr>
          <w:rFonts w:hint="cs"/>
          <w:rtl/>
        </w:rPr>
        <w:t>إعادته</w:t>
      </w:r>
      <w:r w:rsidRPr="007559C2">
        <w:rPr>
          <w:rtl/>
        </w:rPr>
        <w:t xml:space="preserve"> ("ردّه") إلى دولة أخرى متى وُجدت أسباب جوهرية تدعو إلى الاعتقاد أنه قد يتعرّض فيها لخطر التعذيب. </w:t>
      </w:r>
    </w:p>
    <w:p w:rsidR="009E247B" w:rsidRPr="00E81171" w:rsidRDefault="009E247B" w:rsidP="00E15E73">
      <w:pPr>
        <w:pStyle w:val="SingleTxtGA"/>
        <w:rPr>
          <w:spacing w:val="-4"/>
        </w:rPr>
      </w:pPr>
      <w:r w:rsidRPr="00E81171">
        <w:rPr>
          <w:rFonts w:hint="cs"/>
          <w:spacing w:val="-4"/>
          <w:rtl/>
        </w:rPr>
        <w:t>8</w:t>
      </w:r>
      <w:r w:rsidRPr="00E81171">
        <w:rPr>
          <w:spacing w:val="-4"/>
          <w:rtl/>
        </w:rPr>
        <w:t>-3</w:t>
      </w:r>
      <w:r w:rsidRPr="00E81171">
        <w:rPr>
          <w:spacing w:val="-4"/>
          <w:rtl/>
        </w:rPr>
        <w:tab/>
      </w:r>
      <w:r w:rsidRPr="00E81171">
        <w:rPr>
          <w:rFonts w:hint="cs"/>
          <w:spacing w:val="-4"/>
          <w:rtl/>
        </w:rPr>
        <w:t>و</w:t>
      </w:r>
      <w:r w:rsidRPr="00E81171">
        <w:rPr>
          <w:spacing w:val="-4"/>
          <w:rtl/>
        </w:rPr>
        <w:t xml:space="preserve">يتعيّن على اللجنة تقييم </w:t>
      </w:r>
      <w:r w:rsidRPr="00E81171">
        <w:rPr>
          <w:rFonts w:hint="cs"/>
          <w:spacing w:val="-4"/>
          <w:rtl/>
        </w:rPr>
        <w:t>ما إذا كانت هناك</w:t>
      </w:r>
      <w:r w:rsidRPr="00E81171">
        <w:rPr>
          <w:spacing w:val="-4"/>
          <w:rtl/>
        </w:rPr>
        <w:t xml:space="preserve"> أسباب جوهرية تدعو إلى الاعتقاد أن أصحاب الشكوى </w:t>
      </w:r>
      <w:r w:rsidRPr="00E81171">
        <w:rPr>
          <w:rFonts w:hint="cs"/>
          <w:spacing w:val="-4"/>
          <w:rtl/>
        </w:rPr>
        <w:t>س</w:t>
      </w:r>
      <w:r w:rsidRPr="00E81171">
        <w:rPr>
          <w:spacing w:val="-4"/>
          <w:rtl/>
        </w:rPr>
        <w:t xml:space="preserve">يتعرّضون شخصياً لخطر التعذيب بعد إعادتهم إلى بلدهم الأصلي. وعند تقييم هذا الخطر، يتعيّن على اللجنة أن تراعي جميع الاعتبارات ذات الصلة عملاً بالفقرة 2 من المادة 3 من الاتفاقية، بما في ذلك </w:t>
      </w:r>
      <w:r w:rsidRPr="00E81171">
        <w:rPr>
          <w:rFonts w:hint="cs"/>
          <w:spacing w:val="-4"/>
          <w:rtl/>
        </w:rPr>
        <w:t>مدى</w:t>
      </w:r>
      <w:r w:rsidRPr="00E81171">
        <w:rPr>
          <w:spacing w:val="-4"/>
          <w:rtl/>
        </w:rPr>
        <w:t xml:space="preserve"> وجود نمط ثابت من الانتهاكات الجسيمة أو الصارخة أو الجماعية لحقوق الإنسان في ذلك البلد. بيد أن اللجنة تذكّر بأن الهدف من هذا القرار هو تحديد </w:t>
      </w:r>
      <w:r w:rsidRPr="00E81171">
        <w:rPr>
          <w:rFonts w:hint="cs"/>
          <w:spacing w:val="-4"/>
          <w:rtl/>
        </w:rPr>
        <w:t xml:space="preserve">ما إذا كان الفرد </w:t>
      </w:r>
      <w:r w:rsidRPr="00E81171">
        <w:rPr>
          <w:spacing w:val="-4"/>
          <w:rtl/>
        </w:rPr>
        <w:t xml:space="preserve">المعني </w:t>
      </w:r>
      <w:r w:rsidRPr="00E81171">
        <w:rPr>
          <w:rFonts w:hint="cs"/>
          <w:spacing w:val="-4"/>
          <w:rtl/>
        </w:rPr>
        <w:t xml:space="preserve">يواجه </w:t>
      </w:r>
      <w:r w:rsidRPr="00E81171">
        <w:rPr>
          <w:spacing w:val="-4"/>
          <w:rtl/>
        </w:rPr>
        <w:t>شخصياً خطر</w:t>
      </w:r>
      <w:r w:rsidRPr="00E81171">
        <w:rPr>
          <w:rFonts w:hint="cs"/>
          <w:spacing w:val="-4"/>
          <w:rtl/>
        </w:rPr>
        <w:t>اً</w:t>
      </w:r>
      <w:r w:rsidRPr="00E81171">
        <w:rPr>
          <w:spacing w:val="-4"/>
          <w:rtl/>
        </w:rPr>
        <w:t xml:space="preserve"> </w:t>
      </w:r>
      <w:r w:rsidRPr="00E81171">
        <w:rPr>
          <w:rFonts w:hint="cs"/>
          <w:spacing w:val="-4"/>
          <w:rtl/>
        </w:rPr>
        <w:t>متوقعاً وحقيقياً أن يتعرض للتعذي</w:t>
      </w:r>
      <w:r w:rsidRPr="00E81171">
        <w:rPr>
          <w:spacing w:val="-4"/>
          <w:rtl/>
        </w:rPr>
        <w:t>ب في البلد الذي سيُعاد إليه</w:t>
      </w:r>
      <w:r w:rsidRPr="00E81171">
        <w:rPr>
          <w:rStyle w:val="FootnoteReference"/>
          <w:rFonts w:ascii="Traditional Arabic" w:hAnsi="Traditional Arabic"/>
          <w:spacing w:val="-4"/>
          <w:szCs w:val="30"/>
          <w:rtl/>
        </w:rPr>
        <w:t>(</w:t>
      </w:r>
      <w:r w:rsidRPr="00E81171">
        <w:rPr>
          <w:rStyle w:val="FootnoteReference"/>
          <w:rFonts w:ascii="Traditional Arabic" w:hAnsi="Traditional Arabic"/>
          <w:spacing w:val="-4"/>
          <w:rtl/>
        </w:rPr>
        <w:footnoteReference w:id="18"/>
      </w:r>
      <w:r w:rsidRPr="00E81171">
        <w:rPr>
          <w:rStyle w:val="FootnoteReference"/>
          <w:rFonts w:ascii="Traditional Arabic" w:hAnsi="Traditional Arabic"/>
          <w:spacing w:val="-4"/>
          <w:szCs w:val="30"/>
          <w:rtl/>
        </w:rPr>
        <w:t>)</w:t>
      </w:r>
      <w:r w:rsidR="00E15E73" w:rsidRPr="00E81171">
        <w:rPr>
          <w:rFonts w:hint="cs"/>
          <w:spacing w:val="-4"/>
          <w:rtl/>
        </w:rPr>
        <w:t>.</w:t>
      </w:r>
      <w:r w:rsidRPr="00E81171">
        <w:rPr>
          <w:spacing w:val="-4"/>
          <w:rtl/>
        </w:rPr>
        <w:t xml:space="preserve"> </w:t>
      </w:r>
      <w:r w:rsidRPr="00E81171">
        <w:rPr>
          <w:rFonts w:hint="cs"/>
          <w:spacing w:val="-4"/>
          <w:rtl/>
        </w:rPr>
        <w:t xml:space="preserve">ويستتبع ذلك أن وجود </w:t>
      </w:r>
      <w:r w:rsidRPr="00E81171">
        <w:rPr>
          <w:spacing w:val="-4"/>
          <w:rtl/>
        </w:rPr>
        <w:t xml:space="preserve">نمطٍ ثابت من الانتهاكات الجسيمة أو الصارخة أو الجماعية لحقوق الإنسان في بلدٍ ما لا يشكّل في حدّ ذاته سبباً كافياً </w:t>
      </w:r>
      <w:r w:rsidRPr="00E81171">
        <w:rPr>
          <w:rFonts w:hint="cs"/>
          <w:spacing w:val="-4"/>
          <w:rtl/>
        </w:rPr>
        <w:t>لإثبات أن</w:t>
      </w:r>
      <w:r w:rsidRPr="00E81171">
        <w:rPr>
          <w:spacing w:val="-4"/>
          <w:rtl/>
        </w:rPr>
        <w:t xml:space="preserve"> شخص</w:t>
      </w:r>
      <w:r w:rsidR="00411E5D">
        <w:rPr>
          <w:rFonts w:hint="cs"/>
          <w:spacing w:val="-4"/>
          <w:rtl/>
        </w:rPr>
        <w:t xml:space="preserve">اً </w:t>
      </w:r>
      <w:r w:rsidRPr="00E81171">
        <w:rPr>
          <w:spacing w:val="-4"/>
          <w:rtl/>
        </w:rPr>
        <w:t xml:space="preserve">بعينه </w:t>
      </w:r>
      <w:r w:rsidRPr="00E81171">
        <w:rPr>
          <w:rFonts w:hint="cs"/>
          <w:spacing w:val="-4"/>
          <w:rtl/>
        </w:rPr>
        <w:t xml:space="preserve">سيتعرض </w:t>
      </w:r>
      <w:r w:rsidRPr="00E81171">
        <w:rPr>
          <w:spacing w:val="-4"/>
          <w:rtl/>
        </w:rPr>
        <w:t xml:space="preserve">لخطر التعذيب بعد إعادته إلى ذلك البلد؛ </w:t>
      </w:r>
      <w:r w:rsidRPr="00E81171">
        <w:rPr>
          <w:rFonts w:hint="cs"/>
          <w:spacing w:val="-4"/>
          <w:rtl/>
        </w:rPr>
        <w:t xml:space="preserve">فلا بد من وجود </w:t>
      </w:r>
      <w:r w:rsidRPr="00E81171">
        <w:rPr>
          <w:spacing w:val="-4"/>
          <w:rtl/>
        </w:rPr>
        <w:t xml:space="preserve">أسباب </w:t>
      </w:r>
      <w:r w:rsidRPr="00E81171">
        <w:rPr>
          <w:rFonts w:hint="cs"/>
          <w:spacing w:val="-4"/>
          <w:rtl/>
        </w:rPr>
        <w:t>إضافية</w:t>
      </w:r>
      <w:r w:rsidRPr="00E81171">
        <w:rPr>
          <w:spacing w:val="-4"/>
          <w:rtl/>
        </w:rPr>
        <w:t xml:space="preserve"> </w:t>
      </w:r>
      <w:r w:rsidRPr="00E81171">
        <w:rPr>
          <w:rFonts w:hint="cs"/>
          <w:spacing w:val="-4"/>
          <w:rtl/>
        </w:rPr>
        <w:t>تبيّن</w:t>
      </w:r>
      <w:r w:rsidRPr="00E81171">
        <w:rPr>
          <w:spacing w:val="-4"/>
          <w:rtl/>
        </w:rPr>
        <w:t xml:space="preserve"> أن الفرد المعني </w:t>
      </w:r>
      <w:r w:rsidRPr="00E81171">
        <w:rPr>
          <w:rFonts w:hint="cs"/>
          <w:spacing w:val="-4"/>
          <w:rtl/>
        </w:rPr>
        <w:t>معرض لهذا الخطر</w:t>
      </w:r>
      <w:r w:rsidRPr="00E81171">
        <w:rPr>
          <w:spacing w:val="-4"/>
          <w:rtl/>
        </w:rPr>
        <w:t xml:space="preserve"> شخصياً</w:t>
      </w:r>
      <w:r w:rsidRPr="00E81171">
        <w:rPr>
          <w:rStyle w:val="FootnoteReference"/>
          <w:rFonts w:ascii="Traditional Arabic" w:hAnsi="Traditional Arabic"/>
          <w:spacing w:val="-4"/>
          <w:szCs w:val="30"/>
          <w:rtl/>
        </w:rPr>
        <w:t>(</w:t>
      </w:r>
      <w:r w:rsidRPr="00E81171">
        <w:rPr>
          <w:rStyle w:val="FootnoteReference"/>
          <w:rFonts w:ascii="Traditional Arabic" w:hAnsi="Traditional Arabic"/>
          <w:spacing w:val="-4"/>
          <w:rtl/>
        </w:rPr>
        <w:footnoteReference w:id="19"/>
      </w:r>
      <w:r w:rsidRPr="00E81171">
        <w:rPr>
          <w:rStyle w:val="FootnoteReference"/>
          <w:rFonts w:ascii="Traditional Arabic" w:hAnsi="Traditional Arabic"/>
          <w:spacing w:val="-4"/>
          <w:szCs w:val="30"/>
          <w:rtl/>
        </w:rPr>
        <w:t>)</w:t>
      </w:r>
      <w:r w:rsidR="00E15E73" w:rsidRPr="00E81171">
        <w:rPr>
          <w:rFonts w:hint="cs"/>
          <w:spacing w:val="-4"/>
          <w:rtl/>
        </w:rPr>
        <w:t>.</w:t>
      </w:r>
      <w:r w:rsidRPr="00E81171">
        <w:rPr>
          <w:spacing w:val="-4"/>
          <w:rtl/>
        </w:rPr>
        <w:t xml:space="preserve"> و</w:t>
      </w:r>
      <w:r w:rsidRPr="00E81171">
        <w:rPr>
          <w:rFonts w:hint="cs"/>
          <w:spacing w:val="-4"/>
          <w:rtl/>
        </w:rPr>
        <w:t>في المقابل</w:t>
      </w:r>
      <w:r w:rsidRPr="00E81171">
        <w:rPr>
          <w:spacing w:val="-4"/>
          <w:rtl/>
        </w:rPr>
        <w:t xml:space="preserve">، </w:t>
      </w:r>
      <w:r w:rsidRPr="00E81171">
        <w:rPr>
          <w:rFonts w:hint="cs"/>
          <w:spacing w:val="-4"/>
          <w:rtl/>
        </w:rPr>
        <w:t xml:space="preserve">فإن عدم </w:t>
      </w:r>
      <w:r w:rsidRPr="00E81171">
        <w:rPr>
          <w:spacing w:val="-4"/>
          <w:rtl/>
        </w:rPr>
        <w:t xml:space="preserve">وجود نمط ثابت من الانتهاكات الصارخة لحقوق الإنسان لا يعني </w:t>
      </w:r>
      <w:r w:rsidRPr="00E81171">
        <w:rPr>
          <w:rFonts w:hint="cs"/>
          <w:spacing w:val="-4"/>
          <w:rtl/>
        </w:rPr>
        <w:t xml:space="preserve">أن </w:t>
      </w:r>
      <w:r w:rsidRPr="00E81171">
        <w:rPr>
          <w:spacing w:val="-4"/>
          <w:rtl/>
        </w:rPr>
        <w:t>شخص</w:t>
      </w:r>
      <w:r w:rsidR="00411E5D">
        <w:rPr>
          <w:rFonts w:hint="cs"/>
          <w:spacing w:val="-4"/>
          <w:rtl/>
        </w:rPr>
        <w:t xml:space="preserve">اً </w:t>
      </w:r>
      <w:r w:rsidRPr="00E81171">
        <w:rPr>
          <w:spacing w:val="-4"/>
          <w:rtl/>
        </w:rPr>
        <w:t>بعينه</w:t>
      </w:r>
      <w:r w:rsidRPr="00E81171">
        <w:rPr>
          <w:rFonts w:hint="cs"/>
          <w:spacing w:val="-4"/>
          <w:rtl/>
        </w:rPr>
        <w:t xml:space="preserve"> ليس معرض</w:t>
      </w:r>
      <w:r w:rsidR="00411E5D">
        <w:rPr>
          <w:rFonts w:hint="cs"/>
          <w:spacing w:val="-4"/>
          <w:rtl/>
        </w:rPr>
        <w:t xml:space="preserve">اً </w:t>
      </w:r>
      <w:r w:rsidRPr="00E81171">
        <w:rPr>
          <w:spacing w:val="-4"/>
          <w:rtl/>
        </w:rPr>
        <w:t xml:space="preserve">للتعذيب في </w:t>
      </w:r>
      <w:r w:rsidRPr="00E81171">
        <w:rPr>
          <w:rFonts w:hint="cs"/>
          <w:spacing w:val="-4"/>
          <w:rtl/>
        </w:rPr>
        <w:t>ال</w:t>
      </w:r>
      <w:r w:rsidRPr="00E81171">
        <w:rPr>
          <w:spacing w:val="-4"/>
          <w:rtl/>
        </w:rPr>
        <w:t>ظروف</w:t>
      </w:r>
      <w:r w:rsidRPr="00E81171">
        <w:rPr>
          <w:rFonts w:hint="cs"/>
          <w:spacing w:val="-4"/>
          <w:rtl/>
        </w:rPr>
        <w:t xml:space="preserve"> التي تخصه على وجه التحديد</w:t>
      </w:r>
      <w:r w:rsidRPr="00E81171">
        <w:rPr>
          <w:rStyle w:val="FootnoteReference"/>
          <w:rFonts w:ascii="Traditional Arabic" w:hAnsi="Traditional Arabic"/>
          <w:spacing w:val="-4"/>
          <w:szCs w:val="30"/>
          <w:rtl/>
        </w:rPr>
        <w:t>(</w:t>
      </w:r>
      <w:r w:rsidRPr="00E81171">
        <w:rPr>
          <w:rStyle w:val="FootnoteReference"/>
          <w:rFonts w:ascii="Traditional Arabic" w:hAnsi="Traditional Arabic"/>
          <w:spacing w:val="-4"/>
          <w:rtl/>
        </w:rPr>
        <w:footnoteReference w:id="20"/>
      </w:r>
      <w:r w:rsidRPr="00E81171">
        <w:rPr>
          <w:rStyle w:val="FootnoteReference"/>
          <w:rFonts w:ascii="Traditional Arabic" w:hAnsi="Traditional Arabic"/>
          <w:spacing w:val="-4"/>
          <w:szCs w:val="30"/>
          <w:rtl/>
        </w:rPr>
        <w:t>)</w:t>
      </w:r>
      <w:r w:rsidRPr="00E81171">
        <w:rPr>
          <w:spacing w:val="-4"/>
          <w:rtl/>
        </w:rPr>
        <w:t xml:space="preserve">. </w:t>
      </w:r>
    </w:p>
    <w:p w:rsidR="009E247B" w:rsidRPr="00C67BDF" w:rsidRDefault="009E247B" w:rsidP="00E15E73">
      <w:pPr>
        <w:pStyle w:val="SingleTxtGA"/>
        <w:rPr>
          <w:spacing w:val="-2"/>
          <w:rtl/>
        </w:rPr>
      </w:pPr>
      <w:r w:rsidRPr="00C67BDF">
        <w:rPr>
          <w:rFonts w:hint="cs"/>
          <w:spacing w:val="-2"/>
          <w:rtl/>
          <w:lang w:val="es-ES_tradnl" w:bidi="ar-EG"/>
        </w:rPr>
        <w:t>8</w:t>
      </w:r>
      <w:r w:rsidRPr="00C67BDF">
        <w:rPr>
          <w:spacing w:val="-2"/>
          <w:rtl/>
        </w:rPr>
        <w:t>-4</w:t>
      </w:r>
      <w:r w:rsidRPr="00C67BDF">
        <w:rPr>
          <w:spacing w:val="-2"/>
          <w:rtl/>
        </w:rPr>
        <w:tab/>
        <w:t>وتذكّر اللجنة بتعليقها العام رقم 1</w:t>
      </w:r>
      <w:r w:rsidRPr="00C67BDF">
        <w:rPr>
          <w:rFonts w:hint="cs"/>
          <w:spacing w:val="-2"/>
          <w:rtl/>
        </w:rPr>
        <w:t>،</w:t>
      </w:r>
      <w:r w:rsidRPr="00C67BDF">
        <w:rPr>
          <w:spacing w:val="-2"/>
          <w:rtl/>
        </w:rPr>
        <w:t xml:space="preserve"> </w:t>
      </w:r>
      <w:r w:rsidRPr="00C67BDF">
        <w:rPr>
          <w:rFonts w:hint="cs"/>
          <w:spacing w:val="-2"/>
          <w:rtl/>
        </w:rPr>
        <w:t xml:space="preserve">ومؤداه أن وجود </w:t>
      </w:r>
      <w:r w:rsidRPr="00C67BDF">
        <w:rPr>
          <w:spacing w:val="-2"/>
          <w:rtl/>
        </w:rPr>
        <w:t xml:space="preserve">خطر التعرّض للتعذيب </w:t>
      </w:r>
      <w:r w:rsidRPr="00C67BDF">
        <w:rPr>
          <w:rFonts w:hint="cs"/>
          <w:spacing w:val="-2"/>
          <w:rtl/>
        </w:rPr>
        <w:t>يجب أن يُقيَّم استناد</w:t>
      </w:r>
      <w:r w:rsidR="00411E5D">
        <w:rPr>
          <w:rFonts w:hint="cs"/>
          <w:spacing w:val="-2"/>
          <w:rtl/>
        </w:rPr>
        <w:t xml:space="preserve">اً </w:t>
      </w:r>
      <w:r w:rsidRPr="00C67BDF">
        <w:rPr>
          <w:rFonts w:hint="cs"/>
          <w:spacing w:val="-2"/>
          <w:rtl/>
        </w:rPr>
        <w:t>إلى</w:t>
      </w:r>
      <w:r w:rsidRPr="00C67BDF">
        <w:rPr>
          <w:spacing w:val="-2"/>
          <w:rtl/>
        </w:rPr>
        <w:t xml:space="preserve"> </w:t>
      </w:r>
      <w:r w:rsidRPr="00C67BDF">
        <w:rPr>
          <w:rFonts w:hint="cs"/>
          <w:spacing w:val="-2"/>
          <w:rtl/>
        </w:rPr>
        <w:t xml:space="preserve">عناصر لا تقتصر على </w:t>
      </w:r>
      <w:r w:rsidRPr="00C67BDF">
        <w:rPr>
          <w:spacing w:val="-2"/>
          <w:rtl/>
        </w:rPr>
        <w:t xml:space="preserve">مجرد </w:t>
      </w:r>
      <w:r w:rsidRPr="00C67BDF">
        <w:rPr>
          <w:rFonts w:hint="cs"/>
          <w:spacing w:val="-2"/>
          <w:rtl/>
        </w:rPr>
        <w:t xml:space="preserve">تخمينات </w:t>
      </w:r>
      <w:r w:rsidRPr="00C67BDF">
        <w:rPr>
          <w:spacing w:val="-2"/>
          <w:rtl/>
        </w:rPr>
        <w:t>أو شك</w:t>
      </w:r>
      <w:r w:rsidRPr="00C67BDF">
        <w:rPr>
          <w:rFonts w:hint="cs"/>
          <w:spacing w:val="-2"/>
          <w:rtl/>
        </w:rPr>
        <w:t>وك</w:t>
      </w:r>
      <w:r w:rsidRPr="00C67BDF">
        <w:rPr>
          <w:spacing w:val="-2"/>
          <w:rtl/>
        </w:rPr>
        <w:t>. و</w:t>
      </w:r>
      <w:r w:rsidRPr="00C67BDF">
        <w:rPr>
          <w:rFonts w:hint="cs"/>
          <w:spacing w:val="-2"/>
          <w:rtl/>
        </w:rPr>
        <w:t>إذا لم يكن يلزم إثبات</w:t>
      </w:r>
      <w:r w:rsidRPr="00C67BDF">
        <w:rPr>
          <w:spacing w:val="-2"/>
          <w:rtl/>
        </w:rPr>
        <w:t xml:space="preserve"> أن الخطر</w:t>
      </w:r>
      <w:r w:rsidRPr="00C67BDF">
        <w:rPr>
          <w:rFonts w:hint="cs"/>
          <w:spacing w:val="-2"/>
          <w:rtl/>
        </w:rPr>
        <w:t xml:space="preserve"> الذي يتهدد الشخص</w:t>
      </w:r>
      <w:r w:rsidRPr="00C67BDF">
        <w:rPr>
          <w:spacing w:val="-2"/>
          <w:rtl/>
        </w:rPr>
        <w:t xml:space="preserve"> "</w:t>
      </w:r>
      <w:r w:rsidRPr="00C67BDF">
        <w:rPr>
          <w:rFonts w:hint="cs"/>
          <w:spacing w:val="-2"/>
          <w:rtl/>
        </w:rPr>
        <w:t>مرجح للغاية</w:t>
      </w:r>
      <w:r w:rsidRPr="00C67BDF">
        <w:rPr>
          <w:spacing w:val="-2"/>
          <w:rtl/>
        </w:rPr>
        <w:t>"</w:t>
      </w:r>
      <w:r w:rsidRPr="00E15E73">
        <w:rPr>
          <w:rStyle w:val="FootnoteReference"/>
          <w:rFonts w:ascii="Traditional Arabic" w:hAnsi="Traditional Arabic"/>
          <w:spacing w:val="-2"/>
          <w:szCs w:val="30"/>
          <w:rtl/>
        </w:rPr>
        <w:t>(</w:t>
      </w:r>
      <w:r w:rsidRPr="00E15E73">
        <w:rPr>
          <w:rStyle w:val="FootnoteReference"/>
          <w:rFonts w:ascii="Traditional Arabic" w:hAnsi="Traditional Arabic"/>
          <w:spacing w:val="-2"/>
          <w:rtl/>
        </w:rPr>
        <w:footnoteReference w:id="21"/>
      </w:r>
      <w:r w:rsidRPr="00E15E73">
        <w:rPr>
          <w:rStyle w:val="FootnoteReference"/>
          <w:rFonts w:ascii="Traditional Arabic" w:hAnsi="Traditional Arabic"/>
          <w:spacing w:val="-2"/>
          <w:szCs w:val="30"/>
          <w:rtl/>
        </w:rPr>
        <w:t>)</w:t>
      </w:r>
      <w:r w:rsidR="00E15E73">
        <w:rPr>
          <w:rFonts w:hint="cs"/>
          <w:spacing w:val="-2"/>
          <w:rtl/>
        </w:rPr>
        <w:t>،</w:t>
      </w:r>
      <w:r w:rsidRPr="00C67BDF">
        <w:rPr>
          <w:spacing w:val="-2"/>
          <w:rtl/>
        </w:rPr>
        <w:t xml:space="preserve"> </w:t>
      </w:r>
      <w:r w:rsidRPr="00C67BDF">
        <w:rPr>
          <w:rFonts w:hint="cs"/>
          <w:spacing w:val="-2"/>
          <w:rtl/>
        </w:rPr>
        <w:t>فإ</w:t>
      </w:r>
      <w:r w:rsidRPr="00C67BDF">
        <w:rPr>
          <w:spacing w:val="-2"/>
          <w:rtl/>
        </w:rPr>
        <w:t xml:space="preserve">ن اللجنة تذكّر بأن عبء الإثبات يقع </w:t>
      </w:r>
      <w:r w:rsidRPr="00C67BDF">
        <w:rPr>
          <w:rFonts w:hint="cs"/>
          <w:spacing w:val="-2"/>
          <w:rtl/>
        </w:rPr>
        <w:t xml:space="preserve">بصفة عامة </w:t>
      </w:r>
      <w:r w:rsidRPr="00C67BDF">
        <w:rPr>
          <w:spacing w:val="-2"/>
          <w:rtl/>
        </w:rPr>
        <w:t xml:space="preserve">على صاحب الشكوى، الذي يجب عليه أن </w:t>
      </w:r>
      <w:r w:rsidRPr="00C67BDF">
        <w:rPr>
          <w:rFonts w:hint="cs"/>
          <w:spacing w:val="-2"/>
          <w:rtl/>
        </w:rPr>
        <w:t>يقدّم حجج</w:t>
      </w:r>
      <w:r w:rsidR="00411E5D">
        <w:rPr>
          <w:rFonts w:hint="cs"/>
          <w:spacing w:val="-2"/>
          <w:rtl/>
        </w:rPr>
        <w:t xml:space="preserve">اً </w:t>
      </w:r>
      <w:r w:rsidRPr="00C67BDF">
        <w:rPr>
          <w:rFonts w:hint="cs"/>
          <w:spacing w:val="-2"/>
          <w:rtl/>
        </w:rPr>
        <w:t xml:space="preserve">يمكنه الدفاع عنها تبيّن أنه معرض لخطر </w:t>
      </w:r>
      <w:r w:rsidRPr="00C67BDF">
        <w:rPr>
          <w:spacing w:val="-2"/>
          <w:rtl/>
        </w:rPr>
        <w:t>"</w:t>
      </w:r>
      <w:r w:rsidRPr="00C67BDF">
        <w:rPr>
          <w:rFonts w:hint="cs"/>
          <w:spacing w:val="-2"/>
          <w:rtl/>
        </w:rPr>
        <w:t>متوقع و</w:t>
      </w:r>
      <w:r w:rsidRPr="00C67BDF">
        <w:rPr>
          <w:spacing w:val="-2"/>
          <w:rtl/>
        </w:rPr>
        <w:t xml:space="preserve">حقيقي </w:t>
      </w:r>
      <w:r w:rsidRPr="00C67BDF">
        <w:rPr>
          <w:rFonts w:hint="cs"/>
          <w:spacing w:val="-2"/>
          <w:rtl/>
        </w:rPr>
        <w:t>و</w:t>
      </w:r>
      <w:r w:rsidRPr="00C67BDF">
        <w:rPr>
          <w:spacing w:val="-2"/>
          <w:rtl/>
        </w:rPr>
        <w:t>شخصي"</w:t>
      </w:r>
      <w:r w:rsidRPr="00E15E73">
        <w:rPr>
          <w:rStyle w:val="FootnoteReference"/>
          <w:rFonts w:ascii="Traditional Arabic" w:hAnsi="Traditional Arabic"/>
          <w:spacing w:val="-2"/>
          <w:szCs w:val="30"/>
          <w:rtl/>
        </w:rPr>
        <w:t>(</w:t>
      </w:r>
      <w:r w:rsidRPr="00E15E73">
        <w:rPr>
          <w:rStyle w:val="FootnoteReference"/>
          <w:rFonts w:ascii="Traditional Arabic" w:hAnsi="Traditional Arabic"/>
          <w:spacing w:val="-2"/>
          <w:rtl/>
        </w:rPr>
        <w:footnoteReference w:id="22"/>
      </w:r>
      <w:r w:rsidRPr="00E15E73">
        <w:rPr>
          <w:rStyle w:val="FootnoteReference"/>
          <w:rFonts w:ascii="Traditional Arabic" w:hAnsi="Traditional Arabic"/>
          <w:spacing w:val="-2"/>
          <w:szCs w:val="30"/>
          <w:rtl/>
        </w:rPr>
        <w:t>)</w:t>
      </w:r>
      <w:r w:rsidRPr="00C67BDF">
        <w:rPr>
          <w:spacing w:val="-2"/>
          <w:rtl/>
        </w:rPr>
        <w:t xml:space="preserve">. </w:t>
      </w:r>
      <w:r w:rsidRPr="00C67BDF">
        <w:rPr>
          <w:rFonts w:hint="cs"/>
          <w:spacing w:val="-2"/>
          <w:rtl/>
        </w:rPr>
        <w:t>وفي هذا الصدد، تلاحظ اللجنة بأنها تعطي، وفق</w:t>
      </w:r>
      <w:r w:rsidR="00411E5D">
        <w:rPr>
          <w:rFonts w:hint="cs"/>
          <w:spacing w:val="-2"/>
          <w:rtl/>
        </w:rPr>
        <w:t xml:space="preserve">اً </w:t>
      </w:r>
      <w:r w:rsidRPr="00C67BDF">
        <w:rPr>
          <w:rFonts w:hint="cs"/>
          <w:spacing w:val="-2"/>
          <w:rtl/>
        </w:rPr>
        <w:t>لأحكام</w:t>
      </w:r>
      <w:r w:rsidRPr="00C67BDF">
        <w:rPr>
          <w:spacing w:val="-2"/>
          <w:rtl/>
        </w:rPr>
        <w:t xml:space="preserve"> تعليقها العام</w:t>
      </w:r>
      <w:r w:rsidRPr="00C67BDF">
        <w:rPr>
          <w:rFonts w:hint="cs"/>
          <w:spacing w:val="-2"/>
          <w:rtl/>
        </w:rPr>
        <w:t xml:space="preserve"> رقم 1</w:t>
      </w:r>
      <w:r w:rsidRPr="00C67BDF">
        <w:rPr>
          <w:spacing w:val="-2"/>
          <w:rtl/>
        </w:rPr>
        <w:t xml:space="preserve">، وزناً كبيراً لتقرير الوقائع الذي تقوم به أجهزة الدولة الطرف المعنية، </w:t>
      </w:r>
      <w:r w:rsidRPr="00C67BDF">
        <w:rPr>
          <w:rFonts w:hint="cs"/>
          <w:spacing w:val="-2"/>
          <w:rtl/>
        </w:rPr>
        <w:t>دون أن</w:t>
      </w:r>
      <w:r w:rsidRPr="00C67BDF">
        <w:rPr>
          <w:spacing w:val="-2"/>
          <w:rtl/>
        </w:rPr>
        <w:t xml:space="preserve"> تتقيد بهذه الاستنتاجات</w:t>
      </w:r>
      <w:r w:rsidRPr="00C67BDF">
        <w:rPr>
          <w:rFonts w:hint="cs"/>
          <w:spacing w:val="-2"/>
          <w:rtl/>
        </w:rPr>
        <w:t xml:space="preserve"> في الوقت نفسه</w:t>
      </w:r>
      <w:r w:rsidRPr="00C67BDF">
        <w:rPr>
          <w:spacing w:val="-2"/>
          <w:rtl/>
        </w:rPr>
        <w:t>،</w:t>
      </w:r>
      <w:r w:rsidRPr="00C67BDF">
        <w:rPr>
          <w:rFonts w:hint="cs"/>
          <w:spacing w:val="-2"/>
          <w:rtl/>
        </w:rPr>
        <w:t xml:space="preserve"> بل تملك بدل</w:t>
      </w:r>
      <w:r w:rsidR="00411E5D">
        <w:rPr>
          <w:rFonts w:hint="cs"/>
          <w:spacing w:val="-2"/>
          <w:rtl/>
        </w:rPr>
        <w:t xml:space="preserve">اً </w:t>
      </w:r>
      <w:r w:rsidRPr="00C67BDF">
        <w:rPr>
          <w:rFonts w:hint="cs"/>
          <w:spacing w:val="-2"/>
          <w:rtl/>
        </w:rPr>
        <w:t xml:space="preserve">من ذلك الصلاحية، بنص </w:t>
      </w:r>
      <w:r w:rsidRPr="00C67BDF">
        <w:rPr>
          <w:spacing w:val="-2"/>
          <w:rtl/>
        </w:rPr>
        <w:t>الفقرة 4 من المادة 22 من الاتفاقية، ل</w:t>
      </w:r>
      <w:r w:rsidRPr="00C67BDF">
        <w:rPr>
          <w:rFonts w:hint="cs"/>
          <w:spacing w:val="-2"/>
          <w:rtl/>
        </w:rPr>
        <w:t>تقييم ا</w:t>
      </w:r>
      <w:r w:rsidRPr="00C67BDF">
        <w:rPr>
          <w:spacing w:val="-2"/>
          <w:rtl/>
        </w:rPr>
        <w:t xml:space="preserve">لوقائع </w:t>
      </w:r>
      <w:r w:rsidRPr="00C67BDF">
        <w:rPr>
          <w:rFonts w:hint="cs"/>
          <w:spacing w:val="-2"/>
          <w:rtl/>
        </w:rPr>
        <w:t xml:space="preserve">بحرية </w:t>
      </w:r>
      <w:r w:rsidRPr="00C67BDF">
        <w:rPr>
          <w:spacing w:val="-2"/>
          <w:rtl/>
        </w:rPr>
        <w:t>استناد</w:t>
      </w:r>
      <w:r w:rsidR="00411E5D">
        <w:rPr>
          <w:rFonts w:hint="cs"/>
          <w:spacing w:val="-2"/>
          <w:rtl/>
        </w:rPr>
        <w:t xml:space="preserve">اً </w:t>
      </w:r>
      <w:r w:rsidRPr="00C67BDF">
        <w:rPr>
          <w:spacing w:val="-2"/>
          <w:rtl/>
        </w:rPr>
        <w:t>إلى مُجمل ملابسات كل قضية</w:t>
      </w:r>
      <w:r w:rsidRPr="00C67BDF">
        <w:rPr>
          <w:rFonts w:hint="cs"/>
          <w:spacing w:val="-2"/>
          <w:rtl/>
        </w:rPr>
        <w:t xml:space="preserve">. </w:t>
      </w:r>
    </w:p>
    <w:p w:rsidR="009E247B" w:rsidRPr="007559C2" w:rsidRDefault="009E247B" w:rsidP="009E247B">
      <w:pPr>
        <w:pStyle w:val="SingleTxtGA"/>
        <w:rPr>
          <w:rtl/>
        </w:rPr>
      </w:pPr>
      <w:r>
        <w:rPr>
          <w:rFonts w:hint="cs"/>
          <w:rtl/>
        </w:rPr>
        <w:lastRenderedPageBreak/>
        <w:t>8</w:t>
      </w:r>
      <w:r w:rsidRPr="007559C2">
        <w:rPr>
          <w:rtl/>
        </w:rPr>
        <w:t>-5</w:t>
      </w:r>
      <w:r w:rsidRPr="007559C2">
        <w:rPr>
          <w:rtl/>
        </w:rPr>
        <w:tab/>
        <w:t xml:space="preserve">ويدّعي أصحاب الشكوى أنهم قد يتعرّضون للتعذيب في </w:t>
      </w:r>
      <w:r>
        <w:rPr>
          <w:rFonts w:hint="cs"/>
          <w:rtl/>
        </w:rPr>
        <w:t>بيلاروس</w:t>
      </w:r>
      <w:r w:rsidRPr="007559C2">
        <w:rPr>
          <w:rtl/>
        </w:rPr>
        <w:t xml:space="preserve"> نظراً لوجود أسباب جوهرية تدعو إلى الاعتقاد أن المضايقات و</w:t>
      </w:r>
      <w:r>
        <w:rPr>
          <w:rFonts w:hint="cs"/>
          <w:rtl/>
        </w:rPr>
        <w:t>أعمال التعذيب المزعومة التي تعرضت لها صاحبة الشكوى الثانية في السابق بسب</w:t>
      </w:r>
      <w:r w:rsidR="00E15A91">
        <w:rPr>
          <w:rFonts w:hint="cs"/>
          <w:rtl/>
        </w:rPr>
        <w:t>ب</w:t>
      </w:r>
      <w:r>
        <w:rPr>
          <w:rFonts w:hint="cs"/>
          <w:rtl/>
        </w:rPr>
        <w:t xml:space="preserve"> أنشطتهما السياسية وبسبب النشاط التجاري لصاحب الشكوى الأول ستستمر. وبهذا الخصوص، تلاحظ اللجنة أن أصحاب الشكوى قدموا وثيقة طبية تثبت تعرض صاحبة الشكوى الثانية للاعتداء وسوء المعاملة على إثر مشاركتها في مظاهرة في عام 2006.</w:t>
      </w:r>
    </w:p>
    <w:p w:rsidR="009E247B" w:rsidRPr="007559C2" w:rsidRDefault="009E247B" w:rsidP="00E81171">
      <w:pPr>
        <w:pStyle w:val="SingleTxtGA"/>
        <w:rPr>
          <w:rtl/>
        </w:rPr>
      </w:pPr>
      <w:r>
        <w:rPr>
          <w:rFonts w:hint="cs"/>
          <w:rtl/>
        </w:rPr>
        <w:t>8</w:t>
      </w:r>
      <w:r w:rsidRPr="007559C2">
        <w:rPr>
          <w:rtl/>
        </w:rPr>
        <w:t>-6</w:t>
      </w:r>
      <w:r w:rsidRPr="007559C2">
        <w:rPr>
          <w:rtl/>
        </w:rPr>
        <w:tab/>
      </w:r>
      <w:r>
        <w:rPr>
          <w:rFonts w:hint="cs"/>
          <w:rtl/>
        </w:rPr>
        <w:t>وتلاحظ</w:t>
      </w:r>
      <w:r w:rsidRPr="007559C2">
        <w:rPr>
          <w:rtl/>
        </w:rPr>
        <w:t xml:space="preserve"> اللجنة </w:t>
      </w:r>
      <w:r>
        <w:rPr>
          <w:rFonts w:hint="cs"/>
          <w:rtl/>
        </w:rPr>
        <w:t>أيض</w:t>
      </w:r>
      <w:r w:rsidR="00411E5D">
        <w:rPr>
          <w:rFonts w:hint="cs"/>
          <w:rtl/>
        </w:rPr>
        <w:t xml:space="preserve">اً </w:t>
      </w:r>
      <w:r w:rsidRPr="007559C2">
        <w:rPr>
          <w:rtl/>
        </w:rPr>
        <w:t xml:space="preserve">أنها حتى </w:t>
      </w:r>
      <w:r>
        <w:rPr>
          <w:rFonts w:hint="cs"/>
          <w:rtl/>
        </w:rPr>
        <w:t xml:space="preserve">إذا انتهى بها الأمر إلى </w:t>
      </w:r>
      <w:r w:rsidRPr="007559C2">
        <w:rPr>
          <w:rtl/>
        </w:rPr>
        <w:t xml:space="preserve">قبول ادعاء </w:t>
      </w:r>
      <w:r>
        <w:rPr>
          <w:rFonts w:hint="cs"/>
          <w:rtl/>
        </w:rPr>
        <w:t>صاحبي</w:t>
      </w:r>
      <w:r w:rsidRPr="007559C2">
        <w:rPr>
          <w:rtl/>
        </w:rPr>
        <w:t xml:space="preserve"> الشكوى </w:t>
      </w:r>
      <w:r>
        <w:rPr>
          <w:rFonts w:hint="cs"/>
          <w:rtl/>
        </w:rPr>
        <w:t xml:space="preserve">الأول والثاني بأنهما تعرضا لسوء المعاملة أو للتعذيب أو لكليهما في السابق، </w:t>
      </w:r>
      <w:r w:rsidRPr="007559C2">
        <w:rPr>
          <w:rtl/>
        </w:rPr>
        <w:t>ف</w:t>
      </w:r>
      <w:r>
        <w:rPr>
          <w:rFonts w:hint="cs"/>
          <w:rtl/>
        </w:rPr>
        <w:t xml:space="preserve">إن </w:t>
      </w:r>
      <w:r w:rsidRPr="007559C2">
        <w:rPr>
          <w:rtl/>
        </w:rPr>
        <w:t xml:space="preserve">السؤال </w:t>
      </w:r>
      <w:r>
        <w:rPr>
          <w:rFonts w:hint="cs"/>
          <w:rtl/>
        </w:rPr>
        <w:t xml:space="preserve">المطروح </w:t>
      </w:r>
      <w:r w:rsidRPr="007559C2">
        <w:rPr>
          <w:rtl/>
        </w:rPr>
        <w:t>هو</w:t>
      </w:r>
      <w:r>
        <w:rPr>
          <w:rtl/>
        </w:rPr>
        <w:t xml:space="preserve"> </w:t>
      </w:r>
      <w:r>
        <w:rPr>
          <w:rFonts w:hint="cs"/>
          <w:rtl/>
        </w:rPr>
        <w:t xml:space="preserve">معرفة </w:t>
      </w:r>
      <w:r>
        <w:rPr>
          <w:rtl/>
        </w:rPr>
        <w:t>ما </w:t>
      </w:r>
      <w:r w:rsidRPr="007559C2">
        <w:rPr>
          <w:rtl/>
        </w:rPr>
        <w:t>إذا كانا</w:t>
      </w:r>
      <w:r>
        <w:rPr>
          <w:rtl/>
        </w:rPr>
        <w:t xml:space="preserve"> لا </w:t>
      </w:r>
      <w:r w:rsidRPr="007559C2">
        <w:rPr>
          <w:rtl/>
        </w:rPr>
        <w:t>يزال</w:t>
      </w:r>
      <w:r>
        <w:rPr>
          <w:rFonts w:hint="cs"/>
          <w:rtl/>
        </w:rPr>
        <w:t>ا</w:t>
      </w:r>
      <w:r w:rsidRPr="007559C2">
        <w:rPr>
          <w:rtl/>
        </w:rPr>
        <w:t>ن، في الوقت الحاضر، مُعرّضين لخطر التعذيب إن أُعيد</w:t>
      </w:r>
      <w:r>
        <w:rPr>
          <w:rFonts w:hint="cs"/>
          <w:rtl/>
        </w:rPr>
        <w:t>ا</w:t>
      </w:r>
      <w:r w:rsidRPr="007559C2">
        <w:rPr>
          <w:rtl/>
        </w:rPr>
        <w:t xml:space="preserve"> إلى </w:t>
      </w:r>
      <w:r>
        <w:rPr>
          <w:rFonts w:hint="cs"/>
          <w:rtl/>
        </w:rPr>
        <w:t>بيلاروس</w:t>
      </w:r>
      <w:r w:rsidRPr="007559C2">
        <w:rPr>
          <w:rtl/>
        </w:rPr>
        <w:t>. و</w:t>
      </w:r>
      <w:r>
        <w:rPr>
          <w:rFonts w:hint="cs"/>
          <w:rtl/>
        </w:rPr>
        <w:t>تلاحظ</w:t>
      </w:r>
      <w:r>
        <w:rPr>
          <w:rtl/>
        </w:rPr>
        <w:t xml:space="preserve"> اللجنة </w:t>
      </w:r>
      <w:r w:rsidRPr="007559C2">
        <w:rPr>
          <w:rtl/>
        </w:rPr>
        <w:t xml:space="preserve">أن </w:t>
      </w:r>
      <w:r>
        <w:rPr>
          <w:rFonts w:hint="cs"/>
          <w:rtl/>
        </w:rPr>
        <w:t>ال</w:t>
      </w:r>
      <w:r w:rsidRPr="007559C2">
        <w:rPr>
          <w:rtl/>
        </w:rPr>
        <w:t>حالة</w:t>
      </w:r>
      <w:r>
        <w:rPr>
          <w:rFonts w:hint="cs"/>
          <w:rtl/>
        </w:rPr>
        <w:t xml:space="preserve"> العامة</w:t>
      </w:r>
      <w:r w:rsidRPr="007559C2">
        <w:rPr>
          <w:rtl/>
        </w:rPr>
        <w:t xml:space="preserve"> </w:t>
      </w:r>
      <w:r>
        <w:rPr>
          <w:rFonts w:hint="cs"/>
          <w:rtl/>
        </w:rPr>
        <w:t>ل</w:t>
      </w:r>
      <w:r w:rsidRPr="007559C2">
        <w:rPr>
          <w:rtl/>
        </w:rPr>
        <w:t xml:space="preserve">حقوق الإنسان في </w:t>
      </w:r>
      <w:r>
        <w:rPr>
          <w:rFonts w:hint="cs"/>
          <w:rtl/>
        </w:rPr>
        <w:t>بيلاروس في الوقت الحاضر</w:t>
      </w:r>
      <w:r>
        <w:rPr>
          <w:rtl/>
        </w:rPr>
        <w:t xml:space="preserve"> ما </w:t>
      </w:r>
      <w:r w:rsidRPr="007559C2">
        <w:rPr>
          <w:rtl/>
        </w:rPr>
        <w:t>زالت تدعو إلى القلق من عدة جوانب،</w:t>
      </w:r>
      <w:r>
        <w:rPr>
          <w:rtl/>
        </w:rPr>
        <w:t xml:space="preserve"> ولا </w:t>
      </w:r>
      <w:r w:rsidRPr="007559C2">
        <w:rPr>
          <w:rtl/>
        </w:rPr>
        <w:t>سيما في</w:t>
      </w:r>
      <w:r>
        <w:rPr>
          <w:rFonts w:hint="cs"/>
          <w:rtl/>
        </w:rPr>
        <w:t>ما يتعلق بحالة المعارضين السياسيين بعد الانتخابات الرئاسية التي جرت في كانون الأول/ديسمبر 2010. وفيما يتعلق بحوادث التعذيب وانتزاع الأدلة تحت التعذيب،</w:t>
      </w:r>
      <w:r w:rsidRPr="007559C2">
        <w:rPr>
          <w:rtl/>
        </w:rPr>
        <w:t xml:space="preserve"> تذكّر اللجنة بأنها أعربت عن شواغلها بهذا الشأن في ملاحظات</w:t>
      </w:r>
      <w:r>
        <w:rPr>
          <w:rFonts w:hint="cs"/>
          <w:rtl/>
        </w:rPr>
        <w:t>ها</w:t>
      </w:r>
      <w:r w:rsidRPr="007559C2">
        <w:rPr>
          <w:rtl/>
        </w:rPr>
        <w:t xml:space="preserve"> الختامية في سياق النظر في التق</w:t>
      </w:r>
      <w:r>
        <w:rPr>
          <w:rFonts w:hint="cs"/>
          <w:rtl/>
        </w:rPr>
        <w:t>ا</w:t>
      </w:r>
      <w:r w:rsidRPr="007559C2">
        <w:rPr>
          <w:rtl/>
        </w:rPr>
        <w:t xml:space="preserve">رير </w:t>
      </w:r>
      <w:r>
        <w:rPr>
          <w:rFonts w:hint="cs"/>
          <w:rtl/>
        </w:rPr>
        <w:t>المقدمة من الدول الأطراف بموجب المادة 19 من الاتفاقية</w:t>
      </w:r>
      <w:r w:rsidRPr="00E15E73">
        <w:rPr>
          <w:rStyle w:val="FootnoteReference"/>
          <w:rFonts w:ascii="Traditional Arabic" w:hAnsi="Traditional Arabic"/>
          <w:szCs w:val="30"/>
          <w:rtl/>
        </w:rPr>
        <w:t>(</w:t>
      </w:r>
      <w:r w:rsidRPr="00E15E73">
        <w:rPr>
          <w:rStyle w:val="FootnoteReference"/>
          <w:rFonts w:ascii="Traditional Arabic" w:hAnsi="Traditional Arabic"/>
          <w:rtl/>
        </w:rPr>
        <w:footnoteReference w:id="23"/>
      </w:r>
      <w:r w:rsidRPr="00E15E73">
        <w:rPr>
          <w:rStyle w:val="FootnoteReference"/>
          <w:rFonts w:ascii="Traditional Arabic" w:hAnsi="Traditional Arabic"/>
          <w:szCs w:val="30"/>
          <w:rtl/>
        </w:rPr>
        <w:t>)</w:t>
      </w:r>
      <w:r w:rsidR="00E15E73">
        <w:rPr>
          <w:rFonts w:hint="cs"/>
          <w:rtl/>
        </w:rPr>
        <w:t>،</w:t>
      </w:r>
      <w:r>
        <w:rPr>
          <w:rFonts w:hint="cs"/>
          <w:rtl/>
        </w:rPr>
        <w:t xml:space="preserve"> لا سيما بشأن الادعاءات</w:t>
      </w:r>
      <w:r w:rsidRPr="007559C2">
        <w:rPr>
          <w:rtl/>
        </w:rPr>
        <w:t xml:space="preserve"> </w:t>
      </w:r>
      <w:r>
        <w:rPr>
          <w:rFonts w:hint="cs"/>
          <w:rtl/>
        </w:rPr>
        <w:t>ال</w:t>
      </w:r>
      <w:r w:rsidRPr="007559C2">
        <w:rPr>
          <w:rtl/>
        </w:rPr>
        <w:t>عديدة و</w:t>
      </w:r>
      <w:r>
        <w:rPr>
          <w:rFonts w:hint="cs"/>
          <w:rtl/>
        </w:rPr>
        <w:t>ال</w:t>
      </w:r>
      <w:r w:rsidRPr="007559C2">
        <w:rPr>
          <w:rtl/>
        </w:rPr>
        <w:t xml:space="preserve">متّسقة </w:t>
      </w:r>
      <w:r>
        <w:rPr>
          <w:rFonts w:hint="cs"/>
          <w:rtl/>
        </w:rPr>
        <w:t xml:space="preserve">بتعرض المحتجزين في الدولة الطرف لأعمال تعذيب وسوء معاملة على نطاق واسع ولتعرض العديد من الأشخاص المحرومين من حريتهم للتعذيب وسوء المعاملة والتهديد على أيدي الموظفين المكلفين بإنفاذ القانون، لا سيما عند القبض عليهم وأثناء الاحتجاز في انتظار المحاكمة، الأمر الذي يؤكد المخاوف التي أعرب عنها العديد من الخبراء الدوليين والهيئات الدولية، ومنهم المقرر الخاص </w:t>
      </w:r>
      <w:r w:rsidRPr="00F252AF">
        <w:rPr>
          <w:rtl/>
        </w:rPr>
        <w:t>المعني بالتعذيب وغيره من ضروب المعاملة أو العقوبة القاسية أو اللاإنسانية أو المهينة</w:t>
      </w:r>
      <w:r>
        <w:rPr>
          <w:rFonts w:hint="cs"/>
          <w:rtl/>
        </w:rPr>
        <w:t>، ومجلس حقوق الإنسان (انظر القرار 17/24)، ومفوض الأمم المتحدة السامي لحقوق الإنسان ومنظمة الأمن والتعاون في</w:t>
      </w:r>
      <w:r w:rsidR="00E81171">
        <w:rPr>
          <w:rFonts w:hint="eastAsia"/>
          <w:rtl/>
        </w:rPr>
        <w:t> </w:t>
      </w:r>
      <w:r>
        <w:rPr>
          <w:rFonts w:hint="cs"/>
          <w:rtl/>
        </w:rPr>
        <w:t>أوروبا. وفضل</w:t>
      </w:r>
      <w:r w:rsidR="00411E5D">
        <w:rPr>
          <w:rFonts w:hint="cs"/>
          <w:rtl/>
        </w:rPr>
        <w:t xml:space="preserve">اً </w:t>
      </w:r>
      <w:r>
        <w:rPr>
          <w:rFonts w:hint="cs"/>
          <w:rtl/>
        </w:rPr>
        <w:t>عن ذلك، تذكّر اللجنة أنها قلقة إزاء التقارير التي تتحدث عن وجود العديد من حالات الاعترافات التي انتزعت تحت التعذيب وسوء المعاملة وإزاء عدم وجود معلومات عن تعرض أي مسؤول للمحاكمة والعقاب لانتزاعه اعترافات على هذا النحو. على أن اللجنة تؤكد مجدد</w:t>
      </w:r>
      <w:r w:rsidR="00411E5D">
        <w:rPr>
          <w:rFonts w:hint="cs"/>
          <w:rtl/>
        </w:rPr>
        <w:t xml:space="preserve">اً </w:t>
      </w:r>
      <w:r>
        <w:rPr>
          <w:rFonts w:hint="cs"/>
          <w:rtl/>
        </w:rPr>
        <w:t>على أن حدوث انتهاكات حقوق الإنسان في البلد الأصلي لصاحب شكوى لا يكفي في حد ذاته لاستنتاج أنه معرض شخصي</w:t>
      </w:r>
      <w:r w:rsidR="00411E5D">
        <w:rPr>
          <w:rFonts w:hint="cs"/>
          <w:rtl/>
        </w:rPr>
        <w:t xml:space="preserve">اً </w:t>
      </w:r>
      <w:r>
        <w:rPr>
          <w:rFonts w:hint="cs"/>
          <w:rtl/>
        </w:rPr>
        <w:t>لخطر التعذيب</w:t>
      </w:r>
      <w:r w:rsidRPr="00E15E73">
        <w:rPr>
          <w:rStyle w:val="FootnoteReference"/>
          <w:rFonts w:ascii="Traditional Arabic" w:hAnsi="Traditional Arabic"/>
          <w:szCs w:val="30"/>
          <w:rtl/>
        </w:rPr>
        <w:t>(</w:t>
      </w:r>
      <w:r w:rsidRPr="00E15E73">
        <w:rPr>
          <w:rStyle w:val="FootnoteReference"/>
          <w:rFonts w:ascii="Traditional Arabic" w:hAnsi="Traditional Arabic"/>
          <w:rtl/>
        </w:rPr>
        <w:footnoteReference w:id="24"/>
      </w:r>
      <w:r w:rsidRPr="00E15E73">
        <w:rPr>
          <w:rStyle w:val="FootnoteReference"/>
          <w:rFonts w:ascii="Traditional Arabic" w:hAnsi="Traditional Arabic"/>
          <w:szCs w:val="30"/>
          <w:rtl/>
        </w:rPr>
        <w:t>)</w:t>
      </w:r>
      <w:r w:rsidR="00E15E73" w:rsidRPr="00E15E73">
        <w:rPr>
          <w:rStyle w:val="FootnoteReference"/>
          <w:rFonts w:ascii="Traditional Arabic" w:hAnsi="Traditional Arabic" w:hint="cs"/>
          <w:szCs w:val="30"/>
          <w:vertAlign w:val="baseline"/>
          <w:rtl/>
        </w:rPr>
        <w:t>.</w:t>
      </w:r>
    </w:p>
    <w:p w:rsidR="009E247B" w:rsidRPr="007559C2" w:rsidRDefault="009E247B" w:rsidP="009E247B">
      <w:pPr>
        <w:pStyle w:val="SingleTxtGA"/>
        <w:rPr>
          <w:rtl/>
        </w:rPr>
      </w:pPr>
      <w:r>
        <w:rPr>
          <w:rFonts w:hint="cs"/>
          <w:rtl/>
        </w:rPr>
        <w:t>8</w:t>
      </w:r>
      <w:r w:rsidRPr="007559C2">
        <w:rPr>
          <w:rtl/>
        </w:rPr>
        <w:t>-7</w:t>
      </w:r>
      <w:r w:rsidRPr="007559C2">
        <w:rPr>
          <w:rtl/>
        </w:rPr>
        <w:tab/>
        <w:t>و</w:t>
      </w:r>
      <w:r>
        <w:rPr>
          <w:rFonts w:hint="cs"/>
          <w:rtl/>
        </w:rPr>
        <w:t>تلاحظ</w:t>
      </w:r>
      <w:r w:rsidRPr="007559C2">
        <w:rPr>
          <w:rtl/>
        </w:rPr>
        <w:t xml:space="preserve"> اللجنة كذلك أن </w:t>
      </w:r>
      <w:r>
        <w:rPr>
          <w:rFonts w:hint="cs"/>
          <w:rtl/>
        </w:rPr>
        <w:t xml:space="preserve">السلطات المعنية في </w:t>
      </w:r>
      <w:r w:rsidRPr="007559C2">
        <w:rPr>
          <w:rtl/>
        </w:rPr>
        <w:t xml:space="preserve">الدولة الطرف قد وجّهت الانتباه إلى وجود </w:t>
      </w:r>
      <w:r>
        <w:rPr>
          <w:rFonts w:hint="cs"/>
          <w:rtl/>
        </w:rPr>
        <w:t xml:space="preserve">معلومات مغلوطة وحالات </w:t>
      </w:r>
      <w:r w:rsidRPr="007559C2">
        <w:rPr>
          <w:rtl/>
        </w:rPr>
        <w:t xml:space="preserve">تضارب وتناقض في روايات أصحاب الشكوى ودُفوعهم تثير شكوكاً </w:t>
      </w:r>
      <w:r>
        <w:rPr>
          <w:rFonts w:hint="cs"/>
          <w:rtl/>
        </w:rPr>
        <w:t xml:space="preserve">من حيث </w:t>
      </w:r>
      <w:r w:rsidRPr="007559C2">
        <w:rPr>
          <w:rtl/>
        </w:rPr>
        <w:t>مصداقية أصحاب الشكوى</w:t>
      </w:r>
      <w:r>
        <w:rPr>
          <w:rtl/>
        </w:rPr>
        <w:t xml:space="preserve"> </w:t>
      </w:r>
      <w:r>
        <w:rPr>
          <w:rFonts w:hint="cs"/>
          <w:rtl/>
        </w:rPr>
        <w:t xml:space="preserve">بوجه عام </w:t>
      </w:r>
      <w:r>
        <w:rPr>
          <w:rtl/>
        </w:rPr>
        <w:t>و</w:t>
      </w:r>
      <w:r>
        <w:rPr>
          <w:rFonts w:hint="cs"/>
          <w:rtl/>
        </w:rPr>
        <w:t>من صدقية</w:t>
      </w:r>
      <w:r>
        <w:rPr>
          <w:rtl/>
        </w:rPr>
        <w:t> </w:t>
      </w:r>
      <w:r>
        <w:rPr>
          <w:rFonts w:hint="cs"/>
          <w:rtl/>
        </w:rPr>
        <w:t>ا</w:t>
      </w:r>
      <w:r w:rsidRPr="007559C2">
        <w:rPr>
          <w:rtl/>
        </w:rPr>
        <w:t>دعا</w:t>
      </w:r>
      <w:r>
        <w:rPr>
          <w:rFonts w:hint="cs"/>
          <w:rtl/>
        </w:rPr>
        <w:t>ء</w:t>
      </w:r>
      <w:r w:rsidRPr="007559C2">
        <w:rPr>
          <w:rtl/>
        </w:rPr>
        <w:t>ا</w:t>
      </w:r>
      <w:r>
        <w:rPr>
          <w:rFonts w:hint="cs"/>
          <w:rtl/>
        </w:rPr>
        <w:t>ت</w:t>
      </w:r>
      <w:r w:rsidRPr="007559C2">
        <w:rPr>
          <w:rtl/>
        </w:rPr>
        <w:t>هم. و</w:t>
      </w:r>
      <w:r>
        <w:rPr>
          <w:rFonts w:hint="cs"/>
          <w:rtl/>
        </w:rPr>
        <w:t xml:space="preserve">من ذلك، </w:t>
      </w:r>
      <w:r w:rsidRPr="007559C2">
        <w:rPr>
          <w:rtl/>
        </w:rPr>
        <w:lastRenderedPageBreak/>
        <w:t>على وجه الخصوص،</w:t>
      </w:r>
      <w:r>
        <w:rPr>
          <w:rtl/>
        </w:rPr>
        <w:t xml:space="preserve"> </w:t>
      </w:r>
      <w:r>
        <w:rPr>
          <w:rFonts w:hint="cs"/>
          <w:rtl/>
        </w:rPr>
        <w:t>فقد قدم</w:t>
      </w:r>
      <w:r w:rsidRPr="007559C2">
        <w:rPr>
          <w:rtl/>
        </w:rPr>
        <w:t xml:space="preserve"> ص</w:t>
      </w:r>
      <w:r>
        <w:rPr>
          <w:rFonts w:hint="cs"/>
          <w:rtl/>
        </w:rPr>
        <w:t>ا</w:t>
      </w:r>
      <w:r>
        <w:rPr>
          <w:rtl/>
        </w:rPr>
        <w:t>ح</w:t>
      </w:r>
      <w:r w:rsidRPr="007559C2">
        <w:rPr>
          <w:rtl/>
        </w:rPr>
        <w:t xml:space="preserve">ب الشكوى </w:t>
      </w:r>
      <w:r>
        <w:rPr>
          <w:rFonts w:hint="cs"/>
          <w:rtl/>
        </w:rPr>
        <w:t xml:space="preserve">الأول معلومات مغلوطة في سياق إجراءات لجوئه في عام 2004، وفي الفترة ما بين 2006 و2009 سافر أصحاب الشكوى إلى بيلاروس ومنها بصورة قانونية، وحصلوا على جوازات سفر وتأشيرات وانتظروا أكثر من سنة بعد وصولهم إلى السويد قبل التقدم بطلب اللجوء. وعلاوة على ذلك، ظلت روايات صاحبي الشكوى الأول والثاني عن أنشطتهما السياسية في الفترة ما بين 2006 و2009 غامضة وتفتقر إلى الانسجام؛ وكانت قصصهما تفتقر إلى تفاصيل ملموسة. </w:t>
      </w:r>
    </w:p>
    <w:p w:rsidR="009E247B" w:rsidRDefault="009E247B" w:rsidP="009E247B">
      <w:pPr>
        <w:pStyle w:val="SingleTxtGA"/>
        <w:rPr>
          <w:rtl/>
        </w:rPr>
      </w:pPr>
      <w:r>
        <w:rPr>
          <w:rFonts w:hint="cs"/>
          <w:rtl/>
        </w:rPr>
        <w:t>8</w:t>
      </w:r>
      <w:r w:rsidRPr="007559C2">
        <w:rPr>
          <w:rtl/>
        </w:rPr>
        <w:t>-8</w:t>
      </w:r>
      <w:r w:rsidRPr="007559C2">
        <w:rPr>
          <w:rtl/>
        </w:rPr>
        <w:tab/>
        <w:t xml:space="preserve">وتحيط اللجنة علماً </w:t>
      </w:r>
      <w:r>
        <w:rPr>
          <w:rFonts w:hint="cs"/>
          <w:rtl/>
        </w:rPr>
        <w:t>أيضاً</w:t>
      </w:r>
      <w:r w:rsidRPr="007559C2">
        <w:rPr>
          <w:rtl/>
        </w:rPr>
        <w:t xml:space="preserve"> </w:t>
      </w:r>
      <w:r>
        <w:rPr>
          <w:rFonts w:hint="cs"/>
          <w:rtl/>
        </w:rPr>
        <w:t>بأن</w:t>
      </w:r>
      <w:r w:rsidRPr="007559C2">
        <w:rPr>
          <w:rtl/>
        </w:rPr>
        <w:t xml:space="preserve"> الدولة الطرف </w:t>
      </w:r>
      <w:r>
        <w:rPr>
          <w:rFonts w:hint="cs"/>
          <w:rtl/>
        </w:rPr>
        <w:t>لا تشكك في دعوى صاحبي الشكوى أن سلطات بيلاروس احتجزتهما أثناء المظاهرة في عام 2006 وتعرضا لتجاوزات في سياق ذلك. على أن صاحبي الشكوى ذكرا أنهما شاركا في عدد من المظاهرات بعد عام 2006 (في الفترة ما بين 2006 و2009) ولم يحتجزا ولم يتعرضا للمضايقة من طرف الشرطة. وعليه، لم يدع صاحبا الشكوى أنهما تعرضا لاحق</w:t>
      </w:r>
      <w:r w:rsidR="00411E5D">
        <w:rPr>
          <w:rFonts w:hint="cs"/>
          <w:rtl/>
        </w:rPr>
        <w:t xml:space="preserve">اً </w:t>
      </w:r>
      <w:r>
        <w:rPr>
          <w:rFonts w:hint="cs"/>
          <w:rtl/>
        </w:rPr>
        <w:t>للمضايقة أو الاحتجاز من قبل شرطة بيلاروس في الماضي القريب. وتبع</w:t>
      </w:r>
      <w:r w:rsidR="00411E5D">
        <w:rPr>
          <w:rFonts w:hint="cs"/>
          <w:rtl/>
        </w:rPr>
        <w:t xml:space="preserve">اً </w:t>
      </w:r>
      <w:r>
        <w:rPr>
          <w:rFonts w:hint="cs"/>
          <w:rtl/>
        </w:rPr>
        <w:t>لذلك، ثمة أسباب تدعو إلى التشكيك في الادعاء بأنهما مطلوبين لدى سلطات بيلاروس وبالادعاء بأن مضايقتها لهما استمرت لعدة سنوات بعد ذلك، بالنظر إلى أن صاحبي الشكوى لم يشاركا في مظاهرة كانون الأول/ديسمبر 2010، وهما ليسا من الشخصيات المعارضة البارزة ولا هما من المناصرين المقربين لتلك الشخصيات المعارضة للنظام. وإضافة إلى ذلك، لم يدع صاحبا الشكوى أنهما عضوين في أي حزب.</w:t>
      </w:r>
    </w:p>
    <w:p w:rsidR="009E247B" w:rsidRDefault="009E247B" w:rsidP="009E247B">
      <w:pPr>
        <w:pStyle w:val="SingleTxtGA"/>
        <w:rPr>
          <w:rtl/>
        </w:rPr>
      </w:pPr>
      <w:r>
        <w:rPr>
          <w:rFonts w:hint="cs"/>
          <w:rtl/>
        </w:rPr>
        <w:t>8-9</w:t>
      </w:r>
      <w:r>
        <w:rPr>
          <w:rFonts w:hint="cs"/>
          <w:rtl/>
        </w:rPr>
        <w:tab/>
        <w:t>وفضل</w:t>
      </w:r>
      <w:r w:rsidR="00411E5D">
        <w:rPr>
          <w:rFonts w:hint="cs"/>
          <w:rtl/>
        </w:rPr>
        <w:t xml:space="preserve">اً </w:t>
      </w:r>
      <w:r>
        <w:rPr>
          <w:rFonts w:hint="cs"/>
          <w:rtl/>
        </w:rPr>
        <w:t xml:space="preserve">عن ذلك، </w:t>
      </w:r>
      <w:r w:rsidRPr="007559C2">
        <w:rPr>
          <w:rtl/>
        </w:rPr>
        <w:t xml:space="preserve">تحيط اللجنة علماً </w:t>
      </w:r>
      <w:r>
        <w:rPr>
          <w:rFonts w:hint="cs"/>
          <w:rtl/>
        </w:rPr>
        <w:t>أيضاً</w:t>
      </w:r>
      <w:r w:rsidRPr="007559C2">
        <w:rPr>
          <w:rtl/>
        </w:rPr>
        <w:t xml:space="preserve"> </w:t>
      </w:r>
      <w:r>
        <w:rPr>
          <w:rFonts w:hint="cs"/>
          <w:rtl/>
        </w:rPr>
        <w:t>بتأكيد</w:t>
      </w:r>
      <w:r w:rsidRPr="007559C2">
        <w:rPr>
          <w:rtl/>
        </w:rPr>
        <w:t xml:space="preserve"> الدولة الطرف</w:t>
      </w:r>
      <w:r>
        <w:rPr>
          <w:rFonts w:hint="cs"/>
          <w:rtl/>
        </w:rPr>
        <w:t xml:space="preserve"> على أن صاحبة الشكوى الثانية أتيحت لها الفرصة، أثناء مقابلتها مع مجلس الهجرة، للإدلاء بروايتها عن جميع الوقائع ذات الصلة ولقراءة محضر المقابلة والتأكد من محتواه، بحضور محامٍ عمومي. وفي هذا الصدد، تلاحظ اللجنة أن سلطات الهجرة لم تتجاهل مسألة تعرض صاحبة الشكوى الثانية لتجاوزات في سياق مظاهرة عام 2006 ولم تشكك في أقوالها بهذا الخصوص وأنها أجرت تقييماتها على هذا الأساس.</w:t>
      </w:r>
    </w:p>
    <w:p w:rsidR="009E247B" w:rsidRDefault="009E247B" w:rsidP="00EE4D3F">
      <w:pPr>
        <w:pStyle w:val="SingleTxtGA"/>
        <w:rPr>
          <w:rtl/>
        </w:rPr>
      </w:pPr>
      <w:r>
        <w:rPr>
          <w:rFonts w:hint="cs"/>
          <w:rtl/>
        </w:rPr>
        <w:t>8-10</w:t>
      </w:r>
      <w:r>
        <w:rPr>
          <w:rFonts w:hint="cs"/>
          <w:rtl/>
        </w:rPr>
        <w:tab/>
        <w:t>وفضل</w:t>
      </w:r>
      <w:r w:rsidR="00411E5D">
        <w:rPr>
          <w:rFonts w:hint="cs"/>
          <w:rtl/>
        </w:rPr>
        <w:t xml:space="preserve">اً </w:t>
      </w:r>
      <w:r>
        <w:rPr>
          <w:rFonts w:hint="cs"/>
          <w:rtl/>
        </w:rPr>
        <w:t>عن ذلك، تلاحظ</w:t>
      </w:r>
      <w:r w:rsidRPr="007559C2">
        <w:rPr>
          <w:rtl/>
        </w:rPr>
        <w:t xml:space="preserve"> اللجنة</w:t>
      </w:r>
      <w:r>
        <w:rPr>
          <w:rFonts w:hint="cs"/>
          <w:rtl/>
        </w:rPr>
        <w:t xml:space="preserve"> عدم تقديم أي دليل يؤيد ادعاء صاحبي الشكوى أن أنشطتهما السياسية في بيلاروس في الفترة ما بين 2006 و2009 وفي السويد من عام 2009 فصاعد</w:t>
      </w:r>
      <w:r w:rsidR="00411E5D">
        <w:rPr>
          <w:rFonts w:hint="cs"/>
          <w:rtl/>
        </w:rPr>
        <w:t xml:space="preserve">اً </w:t>
      </w:r>
      <w:r>
        <w:rPr>
          <w:rFonts w:hint="cs"/>
          <w:rtl/>
        </w:rPr>
        <w:t xml:space="preserve">(مثل تقديم شكاوى لمختلف السلطات في بيلاروس ونشر دعاية مناهضة للنظام على </w:t>
      </w:r>
      <w:r w:rsidR="00E81171">
        <w:rPr>
          <w:rFonts w:hint="cs"/>
          <w:rtl/>
        </w:rPr>
        <w:t>الإنترنت</w:t>
      </w:r>
      <w:r>
        <w:rPr>
          <w:rFonts w:hint="cs"/>
          <w:rtl/>
        </w:rPr>
        <w:t>) استدعت اهتمام السلطات بهما وأنهما كانا مهددين من قبل سلطات بيلاروس بصورة مباشرة أو غير مباشرة عن طريق اتصالات شرطة مينسك الهاتفية بهما في السويد وعن طريق عمليات البحث المزعومة عن مكان وجودهما وحصول الشرطة على معلومات عنهما عند استجواب أم صاحب الشكوى الأول وزوجها أثناء احتجازهما المزعوم في كانون الأول/</w:t>
      </w:r>
      <w:r w:rsidR="00C67BDF">
        <w:rPr>
          <w:rFonts w:hint="cs"/>
          <w:rtl/>
        </w:rPr>
        <w:t xml:space="preserve"> </w:t>
      </w:r>
      <w:r>
        <w:rPr>
          <w:rFonts w:hint="cs"/>
          <w:rtl/>
        </w:rPr>
        <w:t>ديسمبر</w:t>
      </w:r>
      <w:r w:rsidR="00C67BDF">
        <w:rPr>
          <w:rFonts w:hint="eastAsia"/>
          <w:rtl/>
        </w:rPr>
        <w:t> </w:t>
      </w:r>
      <w:r>
        <w:rPr>
          <w:rFonts w:hint="cs"/>
          <w:rtl/>
        </w:rPr>
        <w:t>2010. وعلاوة على ذلك، تحيط اللجنة علم</w:t>
      </w:r>
      <w:r w:rsidR="00411E5D">
        <w:rPr>
          <w:rFonts w:hint="cs"/>
          <w:rtl/>
        </w:rPr>
        <w:t xml:space="preserve">اً </w:t>
      </w:r>
      <w:r>
        <w:rPr>
          <w:rFonts w:hint="cs"/>
          <w:rtl/>
        </w:rPr>
        <w:t xml:space="preserve">بتأكيد الدولة الطرف بأنه لا أم صاحب الشكوى الأول ولا زوجها ولا صاحبي الشكوى أنفسهما موجودين على قائمة الأشخاص الذي قُبض عليهم أو ارتكبوا أو اشتبه في ارتكابهم جرائم في سياق أحداث 19 </w:t>
      </w:r>
      <w:r>
        <w:rPr>
          <w:rFonts w:hint="cs"/>
          <w:rtl/>
        </w:rPr>
        <w:lastRenderedPageBreak/>
        <w:t>كانون الأول/ديسمبر 2010</w:t>
      </w:r>
      <w:r w:rsidRPr="00E15E73">
        <w:rPr>
          <w:rStyle w:val="FootnoteReference"/>
          <w:rFonts w:ascii="Traditional Arabic" w:hAnsi="Traditional Arabic"/>
          <w:szCs w:val="30"/>
          <w:rtl/>
        </w:rPr>
        <w:t>(</w:t>
      </w:r>
      <w:r w:rsidRPr="00E15E73">
        <w:rPr>
          <w:rStyle w:val="FootnoteReference"/>
          <w:rFonts w:ascii="Traditional Arabic" w:hAnsi="Traditional Arabic"/>
          <w:rtl/>
        </w:rPr>
        <w:footnoteReference w:id="25"/>
      </w:r>
      <w:r w:rsidRPr="00E15E73">
        <w:rPr>
          <w:rStyle w:val="FootnoteReference"/>
          <w:rFonts w:ascii="Traditional Arabic" w:hAnsi="Traditional Arabic"/>
          <w:szCs w:val="30"/>
          <w:rtl/>
        </w:rPr>
        <w:t>)</w:t>
      </w:r>
      <w:r w:rsidR="00EE4D3F">
        <w:rPr>
          <w:rFonts w:hint="cs"/>
          <w:rtl/>
        </w:rPr>
        <w:t>.</w:t>
      </w:r>
      <w:r>
        <w:rPr>
          <w:rFonts w:hint="cs"/>
          <w:rtl/>
        </w:rPr>
        <w:t xml:space="preserve"> وفي هذا الصدد، فقد لاحظت سلطات الهجرة السويدية أثناء سير إجراءاتها المحلية بخصوص قضية صاحبي البلاغ أنهما لا ينتميان إلى أي حزب سياسي وأنهما لم</w:t>
      </w:r>
      <w:r w:rsidR="00C67BDF">
        <w:rPr>
          <w:rFonts w:hint="eastAsia"/>
          <w:rtl/>
        </w:rPr>
        <w:t> </w:t>
      </w:r>
      <w:r>
        <w:rPr>
          <w:rFonts w:hint="cs"/>
          <w:rtl/>
        </w:rPr>
        <w:t xml:space="preserve">يثبتا أن سلطات بيلاروس تتابع أنشطتهما السياسية المزعومة. </w:t>
      </w:r>
    </w:p>
    <w:p w:rsidR="009E247B" w:rsidRDefault="009E247B" w:rsidP="00C67BDF">
      <w:pPr>
        <w:pStyle w:val="SingleTxtGA"/>
        <w:rPr>
          <w:rtl/>
        </w:rPr>
      </w:pPr>
      <w:r>
        <w:rPr>
          <w:rFonts w:hint="cs"/>
          <w:rtl/>
        </w:rPr>
        <w:t>8-11</w:t>
      </w:r>
      <w:r>
        <w:rPr>
          <w:rFonts w:hint="cs"/>
          <w:rtl/>
        </w:rPr>
        <w:tab/>
        <w:t>وتحيط اللجنة علم</w:t>
      </w:r>
      <w:r w:rsidR="00411E5D">
        <w:rPr>
          <w:rFonts w:hint="cs"/>
          <w:rtl/>
        </w:rPr>
        <w:t xml:space="preserve">اً </w:t>
      </w:r>
      <w:r>
        <w:rPr>
          <w:rFonts w:hint="cs"/>
          <w:rtl/>
        </w:rPr>
        <w:t>أيضاً بادعاءات صاحبي الشكوى أنهما استدعيا للاستجواب لدى شرطة مينسك، وأن صاحب الشكوى الأول اتهم بالتهرب الضريبي في سياق نشاطه التجاري السابق حينما كان مقاولا</w:t>
      </w:r>
      <w:r w:rsidR="00411E5D">
        <w:rPr>
          <w:rFonts w:hint="cs"/>
          <w:rtl/>
        </w:rPr>
        <w:t>ً</w:t>
      </w:r>
      <w:r>
        <w:rPr>
          <w:rFonts w:hint="cs"/>
          <w:rtl/>
        </w:rPr>
        <w:t>، وأن صاحبة الشكوى الثانية متهمة حالي</w:t>
      </w:r>
      <w:r w:rsidR="00411E5D">
        <w:rPr>
          <w:rFonts w:hint="cs"/>
          <w:rtl/>
        </w:rPr>
        <w:t xml:space="preserve">اً </w:t>
      </w:r>
      <w:r>
        <w:rPr>
          <w:rFonts w:hint="cs"/>
          <w:rtl/>
        </w:rPr>
        <w:t xml:space="preserve">في بيلاروس بجريمة خطيرة تتعلق بالأسلحة، وأن هذه الاتهامات التي </w:t>
      </w:r>
      <w:proofErr w:type="spellStart"/>
      <w:r>
        <w:rPr>
          <w:rFonts w:hint="cs"/>
          <w:rtl/>
        </w:rPr>
        <w:t>يواجهانها</w:t>
      </w:r>
      <w:proofErr w:type="spellEnd"/>
      <w:r>
        <w:rPr>
          <w:rFonts w:hint="cs"/>
          <w:rtl/>
        </w:rPr>
        <w:t xml:space="preserve"> هي في الواقع ذات دوافع سياسية. بيد أن اللجنة تلاحظ أن الاستدعاء لا يثبت أن صاحبي الشكوى متهمين بجريمة في سياق أحداث</w:t>
      </w:r>
      <w:r w:rsidR="00C67BDF">
        <w:rPr>
          <w:rFonts w:hint="eastAsia"/>
          <w:rtl/>
        </w:rPr>
        <w:t> </w:t>
      </w:r>
      <w:r>
        <w:rPr>
          <w:rFonts w:hint="cs"/>
          <w:rtl/>
        </w:rPr>
        <w:t>19 كانون الأول/ديسمبر 2010. وعليه، ترى اللجنة أنهما لم يستطيعا إثبات أن استدعاءهما كان بدوافع سياسية.</w:t>
      </w:r>
    </w:p>
    <w:p w:rsidR="009E247B" w:rsidRDefault="009E247B" w:rsidP="009E247B">
      <w:pPr>
        <w:pStyle w:val="SingleTxtGA"/>
        <w:rPr>
          <w:rtl/>
        </w:rPr>
      </w:pPr>
      <w:r>
        <w:rPr>
          <w:rFonts w:hint="cs"/>
          <w:rtl/>
        </w:rPr>
        <w:t>8-12</w:t>
      </w:r>
      <w:r>
        <w:rPr>
          <w:rFonts w:hint="cs"/>
          <w:rtl/>
        </w:rPr>
        <w:tab/>
        <w:t>وفي الأخير، تحيط اللجنة علم</w:t>
      </w:r>
      <w:r w:rsidR="00411E5D">
        <w:rPr>
          <w:rFonts w:hint="cs"/>
          <w:rtl/>
        </w:rPr>
        <w:t xml:space="preserve">اً </w:t>
      </w:r>
      <w:r>
        <w:rPr>
          <w:rFonts w:hint="cs"/>
          <w:rtl/>
        </w:rPr>
        <w:t>بتأكيد الدولة الطرف بأن محتوى جميع الوثائق التي قدمها أصحاب الشكوى لم تثبت بصورة قطعية أن صاحبي الشكوى الأول والثاني سيتعرضان للتعذيب بعد عودتهما إلى بيلاروس.</w:t>
      </w:r>
    </w:p>
    <w:p w:rsidR="009E247B" w:rsidRPr="007559C2" w:rsidRDefault="009E247B" w:rsidP="009E247B">
      <w:pPr>
        <w:pStyle w:val="SingleTxtGA"/>
        <w:rPr>
          <w:rtl/>
        </w:rPr>
      </w:pPr>
      <w:r>
        <w:rPr>
          <w:rFonts w:hint="cs"/>
          <w:rtl/>
        </w:rPr>
        <w:t>8</w:t>
      </w:r>
      <w:r w:rsidRPr="007559C2">
        <w:rPr>
          <w:rtl/>
        </w:rPr>
        <w:t>-1</w:t>
      </w:r>
      <w:r>
        <w:rPr>
          <w:rFonts w:hint="cs"/>
          <w:rtl/>
        </w:rPr>
        <w:t>3</w:t>
      </w:r>
      <w:r w:rsidRPr="007559C2">
        <w:rPr>
          <w:rtl/>
        </w:rPr>
        <w:tab/>
        <w:t xml:space="preserve">وتذكّر اللجنة باجتهاداتها </w:t>
      </w:r>
      <w:r>
        <w:rPr>
          <w:rFonts w:hint="cs"/>
          <w:rtl/>
        </w:rPr>
        <w:t xml:space="preserve">ومؤداها أن وجود </w:t>
      </w:r>
      <w:r w:rsidRPr="007559C2">
        <w:rPr>
          <w:rtl/>
        </w:rPr>
        <w:t xml:space="preserve">خطر التعذيب </w:t>
      </w:r>
      <w:r>
        <w:rPr>
          <w:rFonts w:hint="cs"/>
          <w:rtl/>
        </w:rPr>
        <w:t>يجب تقييمه استناد</w:t>
      </w:r>
      <w:r w:rsidR="00411E5D">
        <w:rPr>
          <w:rFonts w:hint="cs"/>
          <w:rtl/>
        </w:rPr>
        <w:t xml:space="preserve">اً </w:t>
      </w:r>
      <w:r>
        <w:rPr>
          <w:rFonts w:hint="cs"/>
          <w:rtl/>
        </w:rPr>
        <w:t>إلى</w:t>
      </w:r>
      <w:r w:rsidRPr="007559C2">
        <w:rPr>
          <w:rtl/>
        </w:rPr>
        <w:t xml:space="preserve"> أُسس تتجاوز مجرد </w:t>
      </w:r>
      <w:r>
        <w:rPr>
          <w:rFonts w:hint="cs"/>
          <w:rtl/>
        </w:rPr>
        <w:t>الافتراض</w:t>
      </w:r>
      <w:r w:rsidRPr="007559C2">
        <w:rPr>
          <w:rtl/>
        </w:rPr>
        <w:t>، و</w:t>
      </w:r>
      <w:r>
        <w:rPr>
          <w:rFonts w:hint="cs"/>
          <w:rtl/>
        </w:rPr>
        <w:t xml:space="preserve">تفيد </w:t>
      </w:r>
      <w:r w:rsidRPr="007559C2">
        <w:rPr>
          <w:rtl/>
        </w:rPr>
        <w:t xml:space="preserve">أن </w:t>
      </w:r>
      <w:r>
        <w:rPr>
          <w:rFonts w:hint="cs"/>
          <w:rtl/>
        </w:rPr>
        <w:t>صاحب الشكوى هو الذي يتعين عليه بوجه عام تقديم حجج يمكنه الدفاع عنها</w:t>
      </w:r>
      <w:r w:rsidRPr="00E15E73">
        <w:rPr>
          <w:rStyle w:val="FootnoteReference"/>
          <w:rFonts w:ascii="Traditional Arabic" w:hAnsi="Traditional Arabic"/>
          <w:szCs w:val="30"/>
          <w:rtl/>
        </w:rPr>
        <w:t>(</w:t>
      </w:r>
      <w:r w:rsidRPr="00E15E73">
        <w:rPr>
          <w:rStyle w:val="FootnoteReference"/>
          <w:rFonts w:ascii="Traditional Arabic" w:hAnsi="Traditional Arabic"/>
          <w:rtl/>
        </w:rPr>
        <w:footnoteReference w:id="26"/>
      </w:r>
      <w:r w:rsidRPr="00E15E73">
        <w:rPr>
          <w:rStyle w:val="FootnoteReference"/>
          <w:rFonts w:ascii="Traditional Arabic" w:hAnsi="Traditional Arabic"/>
          <w:szCs w:val="30"/>
          <w:rtl/>
        </w:rPr>
        <w:t>)</w:t>
      </w:r>
      <w:r w:rsidRPr="007559C2">
        <w:rPr>
          <w:rtl/>
        </w:rPr>
        <w:t>.</w:t>
      </w:r>
      <w:r>
        <w:rPr>
          <w:rtl/>
        </w:rPr>
        <w:t xml:space="preserve"> وفي </w:t>
      </w:r>
      <w:r w:rsidRPr="007559C2">
        <w:rPr>
          <w:rtl/>
        </w:rPr>
        <w:t xml:space="preserve">ضوء الاعتبارات الواردة أعلاه، واستناداً إلى جميع المعلومات </w:t>
      </w:r>
      <w:r>
        <w:rPr>
          <w:rFonts w:hint="cs"/>
          <w:rtl/>
        </w:rPr>
        <w:t>التي قدمها</w:t>
      </w:r>
      <w:r w:rsidRPr="007559C2">
        <w:rPr>
          <w:rtl/>
        </w:rPr>
        <w:t xml:space="preserve"> أصحاب الشكوى والدولة الطرف،</w:t>
      </w:r>
      <w:r>
        <w:rPr>
          <w:rtl/>
        </w:rPr>
        <w:t xml:space="preserve"> بما </w:t>
      </w:r>
      <w:r w:rsidRPr="007559C2">
        <w:rPr>
          <w:rtl/>
        </w:rPr>
        <w:t>فيها تلك المتعلقة ب</w:t>
      </w:r>
      <w:r>
        <w:rPr>
          <w:rFonts w:hint="cs"/>
          <w:rtl/>
        </w:rPr>
        <w:t>ال</w:t>
      </w:r>
      <w:r w:rsidRPr="007559C2">
        <w:rPr>
          <w:rtl/>
        </w:rPr>
        <w:t>حالة</w:t>
      </w:r>
      <w:r>
        <w:rPr>
          <w:rFonts w:hint="cs"/>
          <w:rtl/>
        </w:rPr>
        <w:t xml:space="preserve"> العامة</w:t>
      </w:r>
      <w:r w:rsidRPr="007559C2">
        <w:rPr>
          <w:rtl/>
        </w:rPr>
        <w:t xml:space="preserve"> </w:t>
      </w:r>
      <w:r>
        <w:rPr>
          <w:rFonts w:hint="cs"/>
          <w:rtl/>
        </w:rPr>
        <w:t>ل</w:t>
      </w:r>
      <w:r w:rsidRPr="007559C2">
        <w:rPr>
          <w:rtl/>
        </w:rPr>
        <w:t xml:space="preserve">حقوق الإنسان في </w:t>
      </w:r>
      <w:r>
        <w:rPr>
          <w:rFonts w:hint="cs"/>
          <w:rtl/>
        </w:rPr>
        <w:t>بيلاروس</w:t>
      </w:r>
      <w:r w:rsidRPr="007559C2">
        <w:rPr>
          <w:rtl/>
        </w:rPr>
        <w:t>، ترى اللجنة أن أصحاب الشكوى</w:t>
      </w:r>
      <w:r>
        <w:rPr>
          <w:rtl/>
        </w:rPr>
        <w:t xml:space="preserve"> لم </w:t>
      </w:r>
      <w:r w:rsidRPr="007559C2">
        <w:rPr>
          <w:rtl/>
        </w:rPr>
        <w:t>يقدموا</w:t>
      </w:r>
      <w:r>
        <w:rPr>
          <w:rtl/>
        </w:rPr>
        <w:t xml:space="preserve"> ما </w:t>
      </w:r>
      <w:r w:rsidRPr="007559C2">
        <w:rPr>
          <w:rtl/>
        </w:rPr>
        <w:t xml:space="preserve">يكفي من </w:t>
      </w:r>
      <w:r>
        <w:rPr>
          <w:rFonts w:hint="cs"/>
          <w:rtl/>
        </w:rPr>
        <w:t>ال</w:t>
      </w:r>
      <w:r w:rsidRPr="007559C2">
        <w:rPr>
          <w:rtl/>
        </w:rPr>
        <w:t xml:space="preserve">أدلة تمكّنها من استنتاج أن إبعادهم إلى بلدهم الأصلي </w:t>
      </w:r>
      <w:r>
        <w:rPr>
          <w:rFonts w:hint="cs"/>
          <w:rtl/>
        </w:rPr>
        <w:t>يجعلهم يواجهون</w:t>
      </w:r>
      <w:r w:rsidRPr="007559C2">
        <w:rPr>
          <w:rtl/>
        </w:rPr>
        <w:t xml:space="preserve"> خطر</w:t>
      </w:r>
      <w:r w:rsidR="00411E5D">
        <w:rPr>
          <w:rFonts w:hint="cs"/>
          <w:rtl/>
        </w:rPr>
        <w:t xml:space="preserve">اً </w:t>
      </w:r>
      <w:r>
        <w:rPr>
          <w:rFonts w:hint="cs"/>
          <w:rtl/>
        </w:rPr>
        <w:t>متوقعاً وحقيقياً وشخصياً بالتعرض ل</w:t>
      </w:r>
      <w:r w:rsidRPr="007559C2">
        <w:rPr>
          <w:rtl/>
        </w:rPr>
        <w:t>لتعذيب ب</w:t>
      </w:r>
      <w:r>
        <w:rPr>
          <w:rFonts w:hint="cs"/>
          <w:rtl/>
        </w:rPr>
        <w:t>ال</w:t>
      </w:r>
      <w:r w:rsidRPr="007559C2">
        <w:rPr>
          <w:rtl/>
        </w:rPr>
        <w:t xml:space="preserve">معنى </w:t>
      </w:r>
      <w:r>
        <w:rPr>
          <w:rFonts w:hint="cs"/>
          <w:rtl/>
        </w:rPr>
        <w:t>المقصود من</w:t>
      </w:r>
      <w:r w:rsidRPr="007559C2">
        <w:rPr>
          <w:rtl/>
        </w:rPr>
        <w:t xml:space="preserve"> المادة 3 من الاتفاقية. </w:t>
      </w:r>
    </w:p>
    <w:p w:rsidR="009E247B" w:rsidRDefault="009E247B" w:rsidP="009E247B">
      <w:pPr>
        <w:pStyle w:val="SingleTxtGA"/>
        <w:rPr>
          <w:rtl/>
        </w:rPr>
      </w:pPr>
      <w:r>
        <w:rPr>
          <w:rFonts w:hint="cs"/>
          <w:rtl/>
        </w:rPr>
        <w:t>9</w:t>
      </w:r>
      <w:r w:rsidRPr="007559C2">
        <w:rPr>
          <w:rtl/>
        </w:rPr>
        <w:t>-</w:t>
      </w:r>
      <w:r w:rsidRPr="007559C2">
        <w:rPr>
          <w:rtl/>
        </w:rPr>
        <w:tab/>
        <w:t xml:space="preserve">وعليه، </w:t>
      </w:r>
      <w:r>
        <w:rPr>
          <w:rFonts w:hint="cs"/>
          <w:rtl/>
        </w:rPr>
        <w:t>فإن</w:t>
      </w:r>
      <w:r w:rsidRPr="007559C2">
        <w:rPr>
          <w:rtl/>
        </w:rPr>
        <w:t xml:space="preserve"> اللجنة،</w:t>
      </w:r>
      <w:r>
        <w:rPr>
          <w:rtl/>
        </w:rPr>
        <w:t xml:space="preserve"> إذ </w:t>
      </w:r>
      <w:r w:rsidRPr="007559C2">
        <w:rPr>
          <w:rtl/>
        </w:rPr>
        <w:t xml:space="preserve">تتصرّف بموجب الفقرة 7 من المادة 22 من الاتفاقية، </w:t>
      </w:r>
      <w:r>
        <w:rPr>
          <w:rFonts w:hint="cs"/>
          <w:rtl/>
        </w:rPr>
        <w:t xml:space="preserve">تخلص </w:t>
      </w:r>
      <w:r w:rsidRPr="007559C2">
        <w:rPr>
          <w:rtl/>
        </w:rPr>
        <w:t xml:space="preserve">إلى أن إعادة أصحاب الشكوى إلى </w:t>
      </w:r>
      <w:r>
        <w:rPr>
          <w:rFonts w:hint="cs"/>
          <w:rtl/>
        </w:rPr>
        <w:t>بيلاروس</w:t>
      </w:r>
      <w:r>
        <w:rPr>
          <w:rtl/>
        </w:rPr>
        <w:t xml:space="preserve"> لن </w:t>
      </w:r>
      <w:r w:rsidRPr="007559C2">
        <w:rPr>
          <w:rtl/>
        </w:rPr>
        <w:t xml:space="preserve">تشكّل خرقاً من </w:t>
      </w:r>
      <w:r>
        <w:rPr>
          <w:rFonts w:hint="cs"/>
          <w:rtl/>
        </w:rPr>
        <w:t xml:space="preserve">طرف </w:t>
      </w:r>
      <w:r w:rsidRPr="007559C2">
        <w:rPr>
          <w:rtl/>
        </w:rPr>
        <w:t>الدولة الطرف للمادة</w:t>
      </w:r>
      <w:r>
        <w:rPr>
          <w:rFonts w:hint="cs"/>
          <w:rtl/>
        </w:rPr>
        <w:t> </w:t>
      </w:r>
      <w:r w:rsidRPr="007559C2">
        <w:rPr>
          <w:rtl/>
        </w:rPr>
        <w:t>3 من الاتفاقية.</w:t>
      </w:r>
    </w:p>
    <w:p w:rsidR="009E247B" w:rsidRPr="009E247B" w:rsidRDefault="009E247B" w:rsidP="009E247B">
      <w:pPr>
        <w:spacing w:before="120"/>
        <w:jc w:val="center"/>
        <w:rPr>
          <w:u w:val="single"/>
          <w:rtl/>
        </w:rPr>
      </w:pPr>
      <w:r>
        <w:rPr>
          <w:u w:val="single"/>
          <w:rtl/>
        </w:rPr>
        <w:tab/>
      </w:r>
      <w:r>
        <w:rPr>
          <w:u w:val="single"/>
          <w:rtl/>
        </w:rPr>
        <w:tab/>
      </w:r>
      <w:r>
        <w:rPr>
          <w:u w:val="single"/>
          <w:rtl/>
        </w:rPr>
        <w:tab/>
      </w:r>
    </w:p>
    <w:sectPr w:rsidR="009E247B" w:rsidRPr="009E247B" w:rsidSect="001723D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552" w:rsidRPr="002901D9" w:rsidRDefault="009D5552" w:rsidP="002901D9">
      <w:pPr>
        <w:spacing w:after="60" w:line="240" w:lineRule="auto"/>
        <w:rPr>
          <w:i/>
          <w:iCs/>
        </w:rPr>
      </w:pPr>
      <w:r>
        <w:rPr>
          <w:rFonts w:hint="cs"/>
          <w:i/>
          <w:iCs/>
          <w:rtl/>
        </w:rPr>
        <w:t>الحواشي</w:t>
      </w:r>
    </w:p>
  </w:endnote>
  <w:endnote w:type="continuationSeparator" w:id="0">
    <w:p w:rsidR="009D5552" w:rsidRDefault="009D555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7B" w:rsidRPr="009E247B" w:rsidRDefault="009E247B" w:rsidP="009E247B">
    <w:pPr>
      <w:pStyle w:val="Footer"/>
      <w:tabs>
        <w:tab w:val="right" w:pos="9598"/>
      </w:tabs>
      <w:rPr>
        <w:sz w:val="17"/>
      </w:rPr>
    </w:pPr>
    <w:r>
      <w:rPr>
        <w:sz w:val="17"/>
      </w:rPr>
      <w:t>GE.15-18386</w:t>
    </w:r>
    <w:r>
      <w:rPr>
        <w:sz w:val="17"/>
      </w:rPr>
      <w:tab/>
    </w:r>
    <w:r w:rsidRPr="009E247B">
      <w:rPr>
        <w:b/>
        <w:sz w:val="18"/>
      </w:rPr>
      <w:fldChar w:fldCharType="begin"/>
    </w:r>
    <w:r w:rsidRPr="009E247B">
      <w:rPr>
        <w:b/>
        <w:sz w:val="18"/>
      </w:rPr>
      <w:instrText xml:space="preserve"> PAGE  \* MERGEFORMAT </w:instrText>
    </w:r>
    <w:r w:rsidRPr="009E247B">
      <w:rPr>
        <w:b/>
        <w:sz w:val="18"/>
      </w:rPr>
      <w:fldChar w:fldCharType="separate"/>
    </w:r>
    <w:r w:rsidR="0077217B">
      <w:rPr>
        <w:b/>
        <w:noProof/>
        <w:sz w:val="18"/>
      </w:rPr>
      <w:t>2</w:t>
    </w:r>
    <w:r w:rsidRPr="009E247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9E247B" w:rsidRDefault="009E247B" w:rsidP="006959B0">
    <w:pPr>
      <w:pStyle w:val="Footer"/>
      <w:tabs>
        <w:tab w:val="right" w:pos="9599"/>
      </w:tabs>
      <w:jc w:val="left"/>
      <w:rPr>
        <w:b/>
        <w:sz w:val="18"/>
        <w:lang w:val="en-US"/>
      </w:rPr>
    </w:pPr>
    <w:r w:rsidRPr="009E247B">
      <w:rPr>
        <w:b/>
        <w:sz w:val="18"/>
        <w:lang w:val="en-US"/>
      </w:rPr>
      <w:fldChar w:fldCharType="begin"/>
    </w:r>
    <w:r w:rsidRPr="009E247B">
      <w:rPr>
        <w:b/>
        <w:sz w:val="18"/>
        <w:lang w:val="en-US"/>
      </w:rPr>
      <w:instrText xml:space="preserve"> PAGE  \* MERGEFORMAT </w:instrText>
    </w:r>
    <w:r w:rsidRPr="009E247B">
      <w:rPr>
        <w:b/>
        <w:sz w:val="18"/>
        <w:lang w:val="en-US"/>
      </w:rPr>
      <w:fldChar w:fldCharType="separate"/>
    </w:r>
    <w:r w:rsidR="0077217B">
      <w:rPr>
        <w:b/>
        <w:noProof/>
        <w:sz w:val="18"/>
        <w:lang w:val="en-US"/>
      </w:rPr>
      <w:t>19</w:t>
    </w:r>
    <w:r w:rsidRPr="009E247B">
      <w:rPr>
        <w:b/>
        <w:sz w:val="18"/>
        <w:lang w:val="en-US"/>
      </w:rPr>
      <w:fldChar w:fldCharType="end"/>
    </w:r>
    <w:r>
      <w:rPr>
        <w:b/>
        <w:sz w:val="18"/>
        <w:lang w:val="en-US"/>
      </w:rPr>
      <w:tab/>
    </w:r>
    <w:r>
      <w:rPr>
        <w:sz w:val="17"/>
        <w:lang w:val="en-US"/>
      </w:rPr>
      <w:t>GE.15-18386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A8" w:rsidRDefault="0077217B" w:rsidP="00A34EA8">
    <w:pPr>
      <w:pStyle w:val="Footer"/>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0C8A7FE5" wp14:editId="38592E69">
          <wp:simplePos x="0" y="0"/>
          <wp:positionH relativeFrom="column">
            <wp:posOffset>635</wp:posOffset>
          </wp:positionH>
          <wp:positionV relativeFrom="paragraph">
            <wp:posOffset>-6350</wp:posOffset>
          </wp:positionV>
          <wp:extent cx="638175" cy="638175"/>
          <wp:effectExtent l="0" t="0" r="9525" b="9525"/>
          <wp:wrapNone/>
          <wp:docPr id="3" name="Picture 1" descr="http://undocs.org/m2/QRCode.ashx?DS=CAT/C/55/D/530/2012&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5/D/530/2012&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23DD">
      <w:rPr>
        <w:sz w:val="20"/>
        <w:szCs w:val="20"/>
      </w:rPr>
      <w:t>GE.15-18386</w:t>
    </w:r>
    <w:r w:rsidR="00A34EA8">
      <w:rPr>
        <w:noProof/>
        <w:lang w:val="en-US"/>
      </w:rPr>
      <w:drawing>
        <wp:anchor distT="0" distB="0" distL="114300" distR="114300" simplePos="0" relativeHeight="251659264" behindDoc="1" locked="1" layoutInCell="0" allowOverlap="1" wp14:anchorId="39B5EF0C" wp14:editId="13A06D37">
          <wp:simplePos x="0" y="0"/>
          <wp:positionH relativeFrom="margin">
            <wp:posOffset>640080</wp:posOffset>
          </wp:positionH>
          <wp:positionV relativeFrom="page">
            <wp:posOffset>9692005</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1723DD" w:rsidRPr="001723DD" w:rsidRDefault="001723DD" w:rsidP="001723D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552" w:rsidRPr="004956DC" w:rsidRDefault="009D5552" w:rsidP="00761849">
      <w:pPr>
        <w:pStyle w:val="Footer"/>
        <w:bidi/>
        <w:spacing w:after="80" w:line="200" w:lineRule="exact"/>
        <w:ind w:left="680"/>
      </w:pPr>
      <w:r>
        <w:rPr>
          <w:rtl/>
        </w:rPr>
        <w:t>__________</w:t>
      </w:r>
    </w:p>
  </w:footnote>
  <w:footnote w:type="continuationSeparator" w:id="0">
    <w:p w:rsidR="009D5552" w:rsidRDefault="009D5552" w:rsidP="00656392">
      <w:pPr>
        <w:spacing w:line="240" w:lineRule="auto"/>
      </w:pPr>
      <w:r>
        <w:continuationSeparator/>
      </w:r>
    </w:p>
  </w:footnote>
  <w:footnote w:id="1">
    <w:p w:rsidR="009E247B" w:rsidRPr="009E247B" w:rsidRDefault="009E247B" w:rsidP="009E247B">
      <w:pPr>
        <w:pStyle w:val="FootnoteText"/>
        <w:tabs>
          <w:tab w:val="right" w:pos="1021"/>
        </w:tabs>
        <w:spacing w:after="60" w:line="300" w:lineRule="exact"/>
        <w:ind w:left="1247" w:right="1247" w:hanging="1247"/>
        <w:rPr>
          <w:sz w:val="18"/>
          <w:szCs w:val="26"/>
          <w:rtl/>
        </w:rPr>
      </w:pPr>
      <w:r w:rsidRPr="009E247B">
        <w:rPr>
          <w:rStyle w:val="FootnoteReference"/>
          <w:szCs w:val="26"/>
          <w:vertAlign w:val="baseline"/>
          <w:rtl/>
        </w:rPr>
        <w:tab/>
      </w:r>
      <w:r w:rsidRPr="009E247B">
        <w:rPr>
          <w:rFonts w:hint="cs"/>
          <w:sz w:val="18"/>
          <w:szCs w:val="26"/>
          <w:rtl/>
        </w:rPr>
        <w:t>*</w:t>
      </w:r>
      <w:r w:rsidRPr="009E247B">
        <w:rPr>
          <w:sz w:val="18"/>
          <w:szCs w:val="26"/>
          <w:rtl/>
        </w:rPr>
        <w:tab/>
        <w:t xml:space="preserve">شارك في النظر في هذا البلاغ أعضاء اللجنة التالية أسماؤهم: السيدة السعدية </w:t>
      </w:r>
      <w:proofErr w:type="spellStart"/>
      <w:r w:rsidRPr="009E247B">
        <w:rPr>
          <w:sz w:val="18"/>
          <w:szCs w:val="26"/>
          <w:rtl/>
        </w:rPr>
        <w:t>بلمير</w:t>
      </w:r>
      <w:proofErr w:type="spellEnd"/>
      <w:r w:rsidRPr="009E247B">
        <w:rPr>
          <w:sz w:val="18"/>
          <w:szCs w:val="26"/>
          <w:rtl/>
        </w:rPr>
        <w:t xml:space="preserve">، والسيدة </w:t>
      </w:r>
      <w:proofErr w:type="spellStart"/>
      <w:r w:rsidRPr="009E247B">
        <w:rPr>
          <w:sz w:val="18"/>
          <w:szCs w:val="26"/>
          <w:rtl/>
        </w:rPr>
        <w:t>أليس</w:t>
      </w:r>
      <w:r w:rsidRPr="009E247B">
        <w:rPr>
          <w:rFonts w:hint="cs"/>
          <w:sz w:val="18"/>
          <w:szCs w:val="26"/>
          <w:rtl/>
        </w:rPr>
        <w:t>ي</w:t>
      </w:r>
      <w:r w:rsidRPr="009E247B">
        <w:rPr>
          <w:sz w:val="18"/>
          <w:szCs w:val="26"/>
          <w:rtl/>
        </w:rPr>
        <w:t>و</w:t>
      </w:r>
      <w:proofErr w:type="spellEnd"/>
      <w:r w:rsidRPr="009E247B">
        <w:rPr>
          <w:sz w:val="18"/>
          <w:szCs w:val="26"/>
          <w:rtl/>
        </w:rPr>
        <w:t xml:space="preserve"> بروني، والسيدة </w:t>
      </w:r>
      <w:proofErr w:type="spellStart"/>
      <w:r w:rsidRPr="009E247B">
        <w:rPr>
          <w:sz w:val="18"/>
          <w:szCs w:val="26"/>
          <w:rtl/>
        </w:rPr>
        <w:t>ساتيابوسون</w:t>
      </w:r>
      <w:proofErr w:type="spellEnd"/>
      <w:r w:rsidRPr="009E247B">
        <w:rPr>
          <w:sz w:val="18"/>
          <w:szCs w:val="26"/>
          <w:rtl/>
        </w:rPr>
        <w:t xml:space="preserve"> غوبت دوماه، </w:t>
      </w:r>
      <w:r w:rsidRPr="009E247B">
        <w:rPr>
          <w:rFonts w:hint="cs"/>
          <w:sz w:val="18"/>
          <w:szCs w:val="26"/>
          <w:rtl/>
        </w:rPr>
        <w:t xml:space="preserve">والسيد فيليس غاير، </w:t>
      </w:r>
      <w:r w:rsidRPr="009E247B">
        <w:rPr>
          <w:sz w:val="18"/>
          <w:szCs w:val="26"/>
          <w:rtl/>
        </w:rPr>
        <w:t xml:space="preserve">والسيد عبد الله غاي، </w:t>
      </w:r>
      <w:r w:rsidRPr="009E247B">
        <w:rPr>
          <w:rFonts w:hint="cs"/>
          <w:sz w:val="18"/>
          <w:szCs w:val="26"/>
          <w:rtl/>
        </w:rPr>
        <w:t xml:space="preserve">والسيد كلاوديو غروسمان، </w:t>
      </w:r>
      <w:r w:rsidRPr="009E247B">
        <w:rPr>
          <w:sz w:val="18"/>
          <w:szCs w:val="26"/>
          <w:rtl/>
        </w:rPr>
        <w:t xml:space="preserve">والسيد ينس </w:t>
      </w:r>
      <w:proofErr w:type="spellStart"/>
      <w:r w:rsidRPr="009E247B">
        <w:rPr>
          <w:sz w:val="18"/>
          <w:szCs w:val="26"/>
          <w:rtl/>
        </w:rPr>
        <w:t>مودفيغ</w:t>
      </w:r>
      <w:proofErr w:type="spellEnd"/>
      <w:r w:rsidRPr="009E247B">
        <w:rPr>
          <w:sz w:val="18"/>
          <w:szCs w:val="26"/>
          <w:rtl/>
        </w:rPr>
        <w:t>، والسيدة سابانا برادان</w:t>
      </w:r>
      <w:r w:rsidRPr="009E247B">
        <w:rPr>
          <w:rFonts w:hint="cs"/>
          <w:sz w:val="18"/>
          <w:szCs w:val="26"/>
          <w:rtl/>
        </w:rPr>
        <w:t xml:space="preserve"> </w:t>
      </w:r>
      <w:r w:rsidRPr="009E247B">
        <w:rPr>
          <w:sz w:val="18"/>
          <w:szCs w:val="26"/>
          <w:rtl/>
        </w:rPr>
        <w:t>-</w:t>
      </w:r>
      <w:r w:rsidRPr="009E247B">
        <w:rPr>
          <w:rFonts w:hint="cs"/>
          <w:sz w:val="18"/>
          <w:szCs w:val="26"/>
          <w:rtl/>
        </w:rPr>
        <w:t xml:space="preserve"> </w:t>
      </w:r>
      <w:r w:rsidRPr="009E247B">
        <w:rPr>
          <w:sz w:val="18"/>
          <w:szCs w:val="26"/>
          <w:rtl/>
        </w:rPr>
        <w:t xml:space="preserve">مالا، والسيد جورج </w:t>
      </w:r>
      <w:proofErr w:type="spellStart"/>
      <w:r w:rsidRPr="009E247B">
        <w:rPr>
          <w:sz w:val="18"/>
          <w:szCs w:val="26"/>
          <w:rtl/>
        </w:rPr>
        <w:t>توغوشي</w:t>
      </w:r>
      <w:proofErr w:type="spellEnd"/>
      <w:r w:rsidRPr="009E247B">
        <w:rPr>
          <w:sz w:val="18"/>
          <w:szCs w:val="26"/>
          <w:rtl/>
        </w:rPr>
        <w:t xml:space="preserve">، والسيد </w:t>
      </w:r>
      <w:proofErr w:type="spellStart"/>
      <w:r w:rsidRPr="009E247B">
        <w:rPr>
          <w:sz w:val="18"/>
          <w:szCs w:val="26"/>
          <w:rtl/>
        </w:rPr>
        <w:t>كينينغ</w:t>
      </w:r>
      <w:proofErr w:type="spellEnd"/>
      <w:r w:rsidRPr="009E247B">
        <w:rPr>
          <w:sz w:val="18"/>
          <w:szCs w:val="26"/>
          <w:rtl/>
        </w:rPr>
        <w:t xml:space="preserve"> </w:t>
      </w:r>
      <w:proofErr w:type="spellStart"/>
      <w:r w:rsidRPr="009E247B">
        <w:rPr>
          <w:sz w:val="18"/>
          <w:szCs w:val="26"/>
          <w:rtl/>
        </w:rPr>
        <w:t>زانغ</w:t>
      </w:r>
      <w:proofErr w:type="spellEnd"/>
      <w:r w:rsidRPr="009E247B">
        <w:rPr>
          <w:sz w:val="18"/>
          <w:szCs w:val="26"/>
          <w:rtl/>
        </w:rPr>
        <w:t>.</w:t>
      </w:r>
    </w:p>
  </w:footnote>
  <w:footnote w:id="2">
    <w:p w:rsidR="009E247B" w:rsidRPr="009E247B" w:rsidRDefault="009E247B" w:rsidP="00DE340A">
      <w:pPr>
        <w:pStyle w:val="FootnoteText"/>
        <w:tabs>
          <w:tab w:val="right" w:pos="1021"/>
        </w:tabs>
        <w:spacing w:after="60" w:line="300" w:lineRule="exact"/>
        <w:ind w:left="1247" w:right="1247" w:hanging="1247"/>
        <w:rPr>
          <w:sz w:val="18"/>
          <w:szCs w:val="26"/>
        </w:rPr>
      </w:pPr>
      <w:r>
        <w:rPr>
          <w:sz w:val="18"/>
          <w:szCs w:val="26"/>
        </w:rPr>
        <w:tab/>
      </w:r>
      <w:r>
        <w:rPr>
          <w:rFonts w:hint="cs"/>
          <w:sz w:val="18"/>
          <w:szCs w:val="26"/>
          <w:rtl/>
        </w:rPr>
        <w:t>(</w:t>
      </w:r>
      <w:r w:rsidRPr="009E247B">
        <w:rPr>
          <w:rStyle w:val="FootnoteReference"/>
          <w:szCs w:val="26"/>
          <w:vertAlign w:val="baseline"/>
        </w:rPr>
        <w:footnoteRef/>
      </w:r>
      <w:r>
        <w:rPr>
          <w:rFonts w:hint="cs"/>
          <w:sz w:val="18"/>
          <w:szCs w:val="26"/>
          <w:rtl/>
        </w:rPr>
        <w:t>)</w:t>
      </w:r>
      <w:r w:rsidRPr="009E247B">
        <w:rPr>
          <w:rFonts w:hint="cs"/>
          <w:sz w:val="18"/>
          <w:szCs w:val="26"/>
          <w:rtl/>
        </w:rPr>
        <w:tab/>
        <w:t>في مراسلة لاحقة بتاريخ 8 شباط/فبراير 2013، أوضح صحبا الشكوى أن صاحب الشكوى الأول كان فيما</w:t>
      </w:r>
      <w:r w:rsidR="00DE340A">
        <w:rPr>
          <w:rFonts w:hint="eastAsia"/>
          <w:sz w:val="18"/>
          <w:szCs w:val="26"/>
          <w:rtl/>
        </w:rPr>
        <w:t> </w:t>
      </w:r>
      <w:r w:rsidRPr="009E247B">
        <w:rPr>
          <w:rFonts w:hint="cs"/>
          <w:sz w:val="18"/>
          <w:szCs w:val="26"/>
          <w:rtl/>
        </w:rPr>
        <w:t>مضى يعمل في الحقل التجاري مقاولاً في بيلاروس، لكن سلطات بيلاروس أغلقت شركته ولوحق بدعوى عدم دفع الضرائب. على أنه ليس لديه أية ديون لمصلحة الضرائب في وقت مغادرته بيلاروس. ويزعم أصحاب الشكوى أن ذلك يثبت أن صاحب الشكوى الأول معرض لخطر محقق بالملاحقة رسمي</w:t>
      </w:r>
      <w:r w:rsidR="00411E5D">
        <w:rPr>
          <w:rFonts w:hint="cs"/>
          <w:sz w:val="18"/>
          <w:szCs w:val="26"/>
          <w:rtl/>
        </w:rPr>
        <w:t xml:space="preserve">اً </w:t>
      </w:r>
      <w:r w:rsidRPr="009E247B">
        <w:rPr>
          <w:rFonts w:hint="cs"/>
          <w:sz w:val="18"/>
          <w:szCs w:val="26"/>
          <w:rtl/>
        </w:rPr>
        <w:t>بسبب نشاطه التجاري السابق، ولكن في الواقع بسبب نشاطه السياسي.</w:t>
      </w:r>
      <w:r w:rsidR="00C67BDF">
        <w:rPr>
          <w:rFonts w:hint="cs"/>
          <w:sz w:val="18"/>
          <w:szCs w:val="26"/>
          <w:rtl/>
        </w:rPr>
        <w:t xml:space="preserve"> </w:t>
      </w:r>
    </w:p>
  </w:footnote>
  <w:footnote w:id="3">
    <w:p w:rsidR="009E247B" w:rsidRPr="009E247B" w:rsidRDefault="009E247B" w:rsidP="009E247B">
      <w:pPr>
        <w:pStyle w:val="FootnoteText"/>
        <w:tabs>
          <w:tab w:val="right" w:pos="1021"/>
        </w:tabs>
        <w:spacing w:after="60" w:line="300" w:lineRule="exact"/>
        <w:ind w:left="1247" w:right="1247" w:hanging="1247"/>
        <w:rPr>
          <w:sz w:val="18"/>
          <w:szCs w:val="26"/>
        </w:rPr>
      </w:pPr>
      <w:r>
        <w:rPr>
          <w:sz w:val="18"/>
          <w:szCs w:val="26"/>
        </w:rPr>
        <w:tab/>
      </w:r>
      <w:r>
        <w:rPr>
          <w:rFonts w:hint="cs"/>
          <w:sz w:val="18"/>
          <w:szCs w:val="26"/>
          <w:rtl/>
        </w:rPr>
        <w:t>(</w:t>
      </w:r>
      <w:r w:rsidRPr="009E247B">
        <w:rPr>
          <w:rStyle w:val="FootnoteReference"/>
          <w:szCs w:val="26"/>
          <w:vertAlign w:val="baseline"/>
        </w:rPr>
        <w:footnoteRef/>
      </w:r>
      <w:r>
        <w:rPr>
          <w:rFonts w:hint="cs"/>
          <w:sz w:val="18"/>
          <w:szCs w:val="26"/>
          <w:rtl/>
        </w:rPr>
        <w:t>)</w:t>
      </w:r>
      <w:r w:rsidRPr="009E247B">
        <w:rPr>
          <w:rFonts w:hint="cs"/>
          <w:sz w:val="18"/>
          <w:szCs w:val="26"/>
          <w:rtl/>
        </w:rPr>
        <w:tab/>
        <w:t>في المراسلة اللاحقة المؤرخة 8 شباط/فبراير 2013، جادل صاحبا الشكوى أن سبب الملاحقة لم تفصح عنه الشرطة في مكالماتها الهاتفية لكن مثل هذه الدعوات لزيارة مركز شرطة للحديث معها أمر معتاد في بيلاروس وينتهي الأمر بالشخص في الغالب إلى السجن.</w:t>
      </w:r>
    </w:p>
  </w:footnote>
  <w:footnote w:id="4">
    <w:p w:rsidR="009E247B" w:rsidRPr="009E247B" w:rsidRDefault="009E247B" w:rsidP="0081790E">
      <w:pPr>
        <w:pStyle w:val="FootnoteText"/>
        <w:tabs>
          <w:tab w:val="right" w:pos="1021"/>
        </w:tabs>
        <w:spacing w:after="60" w:line="300" w:lineRule="exact"/>
        <w:ind w:left="1247" w:right="1247" w:hanging="1247"/>
        <w:rPr>
          <w:sz w:val="18"/>
          <w:szCs w:val="26"/>
          <w:rtl/>
        </w:rPr>
      </w:pPr>
      <w:r>
        <w:rPr>
          <w:sz w:val="18"/>
          <w:szCs w:val="26"/>
        </w:rPr>
        <w:tab/>
      </w:r>
      <w:r>
        <w:rPr>
          <w:rFonts w:hint="cs"/>
          <w:sz w:val="18"/>
          <w:szCs w:val="26"/>
          <w:rtl/>
        </w:rPr>
        <w:t>(</w:t>
      </w:r>
      <w:r w:rsidRPr="009E247B">
        <w:rPr>
          <w:rStyle w:val="FootnoteReference"/>
          <w:szCs w:val="26"/>
          <w:vertAlign w:val="baseline"/>
        </w:rPr>
        <w:footnoteRef/>
      </w:r>
      <w:r>
        <w:rPr>
          <w:rFonts w:hint="cs"/>
          <w:sz w:val="18"/>
          <w:szCs w:val="26"/>
          <w:rtl/>
        </w:rPr>
        <w:t>)</w:t>
      </w:r>
      <w:r w:rsidRPr="009E247B">
        <w:rPr>
          <w:rFonts w:hint="cs"/>
          <w:sz w:val="18"/>
          <w:szCs w:val="26"/>
          <w:rtl/>
        </w:rPr>
        <w:tab/>
        <w:t>أشار صاحبا الشكوى أيض</w:t>
      </w:r>
      <w:r w:rsidR="00411E5D">
        <w:rPr>
          <w:rFonts w:hint="cs"/>
          <w:sz w:val="18"/>
          <w:szCs w:val="26"/>
          <w:rtl/>
        </w:rPr>
        <w:t xml:space="preserve">اً، </w:t>
      </w:r>
      <w:r w:rsidRPr="009E247B">
        <w:rPr>
          <w:rFonts w:hint="cs"/>
          <w:sz w:val="18"/>
          <w:szCs w:val="26"/>
          <w:rtl/>
        </w:rPr>
        <w:t>سعي</w:t>
      </w:r>
      <w:r w:rsidR="00411E5D">
        <w:rPr>
          <w:rFonts w:hint="cs"/>
          <w:sz w:val="18"/>
          <w:szCs w:val="26"/>
          <w:rtl/>
        </w:rPr>
        <w:t xml:space="preserve">اً </w:t>
      </w:r>
      <w:r w:rsidRPr="009E247B">
        <w:rPr>
          <w:rFonts w:hint="cs"/>
          <w:sz w:val="18"/>
          <w:szCs w:val="26"/>
          <w:rtl/>
        </w:rPr>
        <w:t>منهما لدعم ادعائهما، إلى تقارير دولية شتى، منها تقرير مفوضية الأمم المتحدة السامية لحقوق الإنسان عن حالة حقوق الإنسان في بيلاروس المؤرخ 10 نيسان/أبريل 2012 وتقرير الجمعية البرلمانية لمجلس أوروبا عن الوضع في بيلاروس المؤرخ 9 كانون الثاني/يناير 2012، حيث ذكر أن حالة حقوق الإنسان في بيلاروس تدهورت بشكل كبير بعد الانتخابات الرئاسية.</w:t>
      </w:r>
    </w:p>
  </w:footnote>
  <w:footnote w:id="5">
    <w:p w:rsidR="009E247B" w:rsidRPr="009E247B" w:rsidRDefault="009E247B" w:rsidP="009E247B">
      <w:pPr>
        <w:pStyle w:val="FootnoteText"/>
        <w:tabs>
          <w:tab w:val="right" w:pos="1021"/>
        </w:tabs>
        <w:spacing w:after="60" w:line="300" w:lineRule="exact"/>
        <w:ind w:left="1247" w:right="1247" w:hanging="1247"/>
        <w:rPr>
          <w:sz w:val="18"/>
          <w:szCs w:val="26"/>
        </w:rPr>
      </w:pPr>
      <w:r>
        <w:rPr>
          <w:sz w:val="18"/>
          <w:szCs w:val="26"/>
        </w:rPr>
        <w:tab/>
      </w:r>
      <w:r>
        <w:rPr>
          <w:rFonts w:hint="cs"/>
          <w:sz w:val="18"/>
          <w:szCs w:val="26"/>
          <w:rtl/>
        </w:rPr>
        <w:t>(</w:t>
      </w:r>
      <w:r w:rsidRPr="009E247B">
        <w:rPr>
          <w:rStyle w:val="FootnoteReference"/>
          <w:szCs w:val="26"/>
          <w:vertAlign w:val="baseline"/>
        </w:rPr>
        <w:footnoteRef/>
      </w:r>
      <w:r>
        <w:rPr>
          <w:rFonts w:hint="cs"/>
          <w:sz w:val="18"/>
          <w:szCs w:val="26"/>
          <w:rtl/>
        </w:rPr>
        <w:t>)</w:t>
      </w:r>
      <w:r w:rsidRPr="009E247B">
        <w:rPr>
          <w:rFonts w:hint="cs"/>
          <w:sz w:val="18"/>
          <w:szCs w:val="26"/>
          <w:rtl/>
        </w:rPr>
        <w:tab/>
        <w:t>ذكر صاحب الشكوى الأول، أثناء إجراءات 2011-2013 الخاصة بطلباته للحصول على اللجوء بخصوص المعلومات المغلوطة التي قدمها أثناء إجراءات عام 2004، أن السبب هو أنه كان ينوي العودة إلى بيلاروس للكفاح ضد النظام القائم في ذلك الوقت. وزعم أنه قدم معلومات مغلوطة لأنه كان يرغب في البقاء في السويد لفترة محدودة</w:t>
      </w:r>
      <w:r w:rsidR="00C67BDF">
        <w:rPr>
          <w:rFonts w:hint="cs"/>
          <w:sz w:val="18"/>
          <w:szCs w:val="26"/>
          <w:rtl/>
        </w:rPr>
        <w:t xml:space="preserve"> </w:t>
      </w:r>
      <w:r w:rsidRPr="009E247B">
        <w:rPr>
          <w:rFonts w:hint="cs"/>
          <w:sz w:val="18"/>
          <w:szCs w:val="26"/>
          <w:rtl/>
        </w:rPr>
        <w:t>ثم العودة.</w:t>
      </w:r>
    </w:p>
  </w:footnote>
  <w:footnote w:id="6">
    <w:p w:rsidR="009E247B" w:rsidRPr="009E247B" w:rsidRDefault="009E247B" w:rsidP="009E247B">
      <w:pPr>
        <w:pStyle w:val="FootnoteText"/>
        <w:tabs>
          <w:tab w:val="right" w:pos="1021"/>
        </w:tabs>
        <w:spacing w:after="60" w:line="300" w:lineRule="exact"/>
        <w:ind w:left="1247" w:right="1247" w:hanging="1247"/>
        <w:rPr>
          <w:sz w:val="18"/>
          <w:szCs w:val="26"/>
        </w:rPr>
      </w:pPr>
      <w:r w:rsidRPr="00C67BDF">
        <w:rPr>
          <w:rStyle w:val="FootnoteReference"/>
          <w:rFonts w:hint="cs"/>
          <w:spacing w:val="-4"/>
          <w:szCs w:val="26"/>
          <w:vertAlign w:val="baseline"/>
          <w:rtl/>
        </w:rPr>
        <w:tab/>
      </w:r>
      <w:r w:rsidRPr="00C67BDF">
        <w:rPr>
          <w:rStyle w:val="FootnoteReference"/>
          <w:spacing w:val="-4"/>
          <w:szCs w:val="26"/>
          <w:vertAlign w:val="baseline"/>
          <w:rtl/>
        </w:rPr>
        <w:t>(</w:t>
      </w:r>
      <w:r w:rsidRPr="00C67BDF">
        <w:rPr>
          <w:rStyle w:val="FootnoteReference"/>
          <w:spacing w:val="-4"/>
          <w:szCs w:val="26"/>
          <w:vertAlign w:val="baseline"/>
          <w:rtl/>
        </w:rPr>
        <w:footnoteRef/>
      </w:r>
      <w:r w:rsidRPr="00C67BDF">
        <w:rPr>
          <w:rStyle w:val="FootnoteReference"/>
          <w:spacing w:val="-4"/>
          <w:szCs w:val="26"/>
          <w:vertAlign w:val="baseline"/>
          <w:rtl/>
        </w:rPr>
        <w:t>)</w:t>
      </w:r>
      <w:r w:rsidRPr="00C67BDF">
        <w:rPr>
          <w:rFonts w:hint="cs"/>
          <w:spacing w:val="-4"/>
          <w:sz w:val="18"/>
          <w:szCs w:val="26"/>
          <w:rtl/>
        </w:rPr>
        <w:tab/>
      </w:r>
      <w:r w:rsidRPr="00C67BDF">
        <w:rPr>
          <w:spacing w:val="-4"/>
          <w:sz w:val="18"/>
          <w:szCs w:val="26"/>
          <w:rtl/>
        </w:rPr>
        <w:t xml:space="preserve">تحيل الدولة الطرف إلى البلاغ رقم 216/2002، </w:t>
      </w:r>
      <w:r w:rsidRPr="00C67BDF">
        <w:rPr>
          <w:i/>
          <w:iCs/>
          <w:spacing w:val="-4"/>
          <w:sz w:val="18"/>
          <w:szCs w:val="26"/>
          <w:rtl/>
        </w:rPr>
        <w:t>ح. إ.</w:t>
      </w:r>
      <w:r w:rsidRPr="00C67BDF">
        <w:rPr>
          <w:rFonts w:hint="cs"/>
          <w:i/>
          <w:iCs/>
          <w:spacing w:val="-4"/>
          <w:sz w:val="18"/>
          <w:szCs w:val="26"/>
          <w:rtl/>
        </w:rPr>
        <w:t xml:space="preserve"> </w:t>
      </w:r>
      <w:r w:rsidRPr="00C67BDF">
        <w:rPr>
          <w:i/>
          <w:iCs/>
          <w:spacing w:val="-4"/>
          <w:sz w:val="18"/>
          <w:szCs w:val="26"/>
          <w:rtl/>
        </w:rPr>
        <w:t>أ</w:t>
      </w:r>
      <w:r w:rsidRPr="00C67BDF">
        <w:rPr>
          <w:rFonts w:hint="cs"/>
          <w:i/>
          <w:iCs/>
          <w:spacing w:val="-4"/>
          <w:sz w:val="18"/>
          <w:szCs w:val="26"/>
          <w:rtl/>
        </w:rPr>
        <w:t>.</w:t>
      </w:r>
      <w:r w:rsidRPr="00C67BDF">
        <w:rPr>
          <w:i/>
          <w:iCs/>
          <w:spacing w:val="-4"/>
          <w:sz w:val="18"/>
          <w:szCs w:val="26"/>
          <w:rtl/>
        </w:rPr>
        <w:t xml:space="preserve"> ضد السويد</w:t>
      </w:r>
      <w:r w:rsidRPr="00C67BDF">
        <w:rPr>
          <w:spacing w:val="-4"/>
          <w:sz w:val="18"/>
          <w:szCs w:val="26"/>
          <w:rtl/>
        </w:rPr>
        <w:t>، الآراء المعتمدة في 2 أيار/مايو 2003،</w:t>
      </w:r>
      <w:r w:rsidRPr="009E247B">
        <w:rPr>
          <w:sz w:val="18"/>
          <w:szCs w:val="26"/>
          <w:rtl/>
        </w:rPr>
        <w:t xml:space="preserve"> الفقرة 6-2. </w:t>
      </w:r>
    </w:p>
  </w:footnote>
  <w:footnote w:id="7">
    <w:p w:rsidR="009E247B" w:rsidRPr="009E247B" w:rsidRDefault="009E247B" w:rsidP="009E247B">
      <w:pPr>
        <w:pStyle w:val="FootnoteText"/>
        <w:tabs>
          <w:tab w:val="right" w:pos="1021"/>
        </w:tabs>
        <w:spacing w:after="60" w:line="300" w:lineRule="exact"/>
        <w:ind w:left="1247" w:right="1247" w:hanging="1247"/>
        <w:rPr>
          <w:sz w:val="18"/>
          <w:szCs w:val="26"/>
        </w:rPr>
      </w:pPr>
      <w:r w:rsidRPr="009E247B">
        <w:rPr>
          <w:rStyle w:val="FootnoteReference"/>
          <w:rFonts w:hint="cs"/>
          <w:szCs w:val="26"/>
          <w:vertAlign w:val="baseline"/>
          <w:rtl/>
        </w:rPr>
        <w:tab/>
      </w:r>
      <w:r w:rsidRPr="009E247B">
        <w:rPr>
          <w:rStyle w:val="FootnoteReference"/>
          <w:szCs w:val="26"/>
          <w:vertAlign w:val="baseline"/>
          <w:rtl/>
        </w:rPr>
        <w:t>(</w:t>
      </w:r>
      <w:r w:rsidRPr="009E247B">
        <w:rPr>
          <w:rStyle w:val="FootnoteReference"/>
          <w:szCs w:val="26"/>
          <w:vertAlign w:val="baseline"/>
          <w:rtl/>
        </w:rPr>
        <w:footnoteRef/>
      </w:r>
      <w:r w:rsidRPr="009E247B">
        <w:rPr>
          <w:rStyle w:val="FootnoteReference"/>
          <w:szCs w:val="26"/>
          <w:vertAlign w:val="baseline"/>
          <w:rtl/>
        </w:rPr>
        <w:t>)</w:t>
      </w:r>
      <w:r w:rsidRPr="009E247B">
        <w:rPr>
          <w:rFonts w:hint="cs"/>
          <w:sz w:val="18"/>
          <w:szCs w:val="26"/>
          <w:rtl/>
        </w:rPr>
        <w:tab/>
      </w:r>
      <w:r w:rsidRPr="009E247B">
        <w:rPr>
          <w:sz w:val="18"/>
          <w:szCs w:val="26"/>
          <w:rtl/>
        </w:rPr>
        <w:t xml:space="preserve">تحيل الدولة الطرف إلى البلاغين رقم 150/1999، </w:t>
      </w:r>
      <w:r w:rsidRPr="009E247B">
        <w:rPr>
          <w:i/>
          <w:iCs/>
          <w:sz w:val="18"/>
          <w:szCs w:val="26"/>
          <w:rtl/>
        </w:rPr>
        <w:t>س. ل. ضد السويد</w:t>
      </w:r>
      <w:r w:rsidRPr="009E247B">
        <w:rPr>
          <w:sz w:val="18"/>
          <w:szCs w:val="26"/>
          <w:rtl/>
        </w:rPr>
        <w:t>، الآراء المعتمدة في 11 أيار/</w:t>
      </w:r>
      <w:r w:rsidRPr="009E247B">
        <w:rPr>
          <w:rFonts w:hint="cs"/>
          <w:sz w:val="18"/>
          <w:szCs w:val="26"/>
          <w:rtl/>
        </w:rPr>
        <w:t xml:space="preserve"> </w:t>
      </w:r>
      <w:r w:rsidRPr="009E247B">
        <w:rPr>
          <w:sz w:val="18"/>
          <w:szCs w:val="26"/>
          <w:rtl/>
        </w:rPr>
        <w:t>مايو</w:t>
      </w:r>
      <w:r w:rsidRPr="009E247B">
        <w:rPr>
          <w:rFonts w:hint="cs"/>
          <w:sz w:val="18"/>
          <w:szCs w:val="26"/>
          <w:rtl/>
        </w:rPr>
        <w:t> </w:t>
      </w:r>
      <w:r w:rsidRPr="009E247B">
        <w:rPr>
          <w:sz w:val="18"/>
          <w:szCs w:val="26"/>
          <w:rtl/>
        </w:rPr>
        <w:t>2001، الفقرة 6-3، و</w:t>
      </w:r>
      <w:r w:rsidRPr="009E247B">
        <w:rPr>
          <w:rFonts w:hint="cs"/>
          <w:sz w:val="18"/>
          <w:szCs w:val="26"/>
          <w:rtl/>
        </w:rPr>
        <w:t xml:space="preserve">رقم </w:t>
      </w:r>
      <w:r w:rsidRPr="009E247B">
        <w:rPr>
          <w:sz w:val="18"/>
          <w:szCs w:val="26"/>
          <w:rtl/>
        </w:rPr>
        <w:t xml:space="preserve">213/2002، </w:t>
      </w:r>
      <w:r w:rsidRPr="009E247B">
        <w:rPr>
          <w:i/>
          <w:iCs/>
          <w:sz w:val="18"/>
          <w:szCs w:val="26"/>
          <w:rtl/>
        </w:rPr>
        <w:t>إ. ج. ف. م. ضد السويد</w:t>
      </w:r>
      <w:r w:rsidRPr="009E247B">
        <w:rPr>
          <w:sz w:val="18"/>
          <w:szCs w:val="26"/>
          <w:rtl/>
        </w:rPr>
        <w:t>، الآراء المعتمدة في</w:t>
      </w:r>
      <w:r w:rsidRPr="009E247B">
        <w:rPr>
          <w:rFonts w:hint="cs"/>
          <w:sz w:val="18"/>
          <w:szCs w:val="26"/>
          <w:rtl/>
        </w:rPr>
        <w:t xml:space="preserve"> </w:t>
      </w:r>
      <w:r w:rsidRPr="009E247B">
        <w:rPr>
          <w:sz w:val="18"/>
          <w:szCs w:val="26"/>
          <w:rtl/>
        </w:rPr>
        <w:t xml:space="preserve">14 تشرين الثاني/نوفمبر 2003، الفقرة 8-3. </w:t>
      </w:r>
    </w:p>
  </w:footnote>
  <w:footnote w:id="8">
    <w:p w:rsidR="009E247B" w:rsidRPr="009E247B" w:rsidRDefault="009E247B" w:rsidP="009E247B">
      <w:pPr>
        <w:pStyle w:val="FootnoteText"/>
        <w:tabs>
          <w:tab w:val="right" w:pos="1021"/>
        </w:tabs>
        <w:spacing w:after="60" w:line="300" w:lineRule="exact"/>
        <w:ind w:left="1247" w:right="1247" w:hanging="1247"/>
        <w:rPr>
          <w:sz w:val="18"/>
          <w:szCs w:val="26"/>
        </w:rPr>
      </w:pPr>
      <w:r w:rsidRPr="009E247B">
        <w:rPr>
          <w:rStyle w:val="FootnoteReference"/>
          <w:rFonts w:hint="cs"/>
          <w:szCs w:val="26"/>
          <w:vertAlign w:val="baseline"/>
          <w:rtl/>
        </w:rPr>
        <w:tab/>
      </w:r>
      <w:r w:rsidRPr="009E247B">
        <w:rPr>
          <w:rStyle w:val="FootnoteReference"/>
          <w:szCs w:val="26"/>
          <w:vertAlign w:val="baseline"/>
          <w:rtl/>
        </w:rPr>
        <w:t>(</w:t>
      </w:r>
      <w:r w:rsidRPr="009E247B">
        <w:rPr>
          <w:rStyle w:val="FootnoteReference"/>
          <w:szCs w:val="26"/>
          <w:vertAlign w:val="baseline"/>
          <w:rtl/>
        </w:rPr>
        <w:footnoteRef/>
      </w:r>
      <w:r w:rsidRPr="009E247B">
        <w:rPr>
          <w:rStyle w:val="FootnoteReference"/>
          <w:szCs w:val="26"/>
          <w:vertAlign w:val="baseline"/>
          <w:rtl/>
        </w:rPr>
        <w:t>)</w:t>
      </w:r>
      <w:r w:rsidRPr="009E247B">
        <w:rPr>
          <w:rFonts w:hint="cs"/>
          <w:sz w:val="18"/>
          <w:szCs w:val="26"/>
          <w:rtl/>
        </w:rPr>
        <w:tab/>
      </w:r>
      <w:r w:rsidRPr="009E247B">
        <w:rPr>
          <w:sz w:val="18"/>
          <w:szCs w:val="26"/>
          <w:rtl/>
        </w:rPr>
        <w:t xml:space="preserve">انظر، على سبيل المثال، البلاغين رقم 178/2001، </w:t>
      </w:r>
      <w:r w:rsidRPr="009E247B">
        <w:rPr>
          <w:i/>
          <w:iCs/>
          <w:sz w:val="18"/>
          <w:szCs w:val="26"/>
          <w:rtl/>
        </w:rPr>
        <w:t>ه.</w:t>
      </w:r>
      <w:r w:rsidRPr="009E247B">
        <w:rPr>
          <w:rFonts w:hint="cs"/>
          <w:i/>
          <w:iCs/>
          <w:sz w:val="18"/>
          <w:szCs w:val="26"/>
          <w:rtl/>
        </w:rPr>
        <w:t xml:space="preserve"> </w:t>
      </w:r>
      <w:r w:rsidRPr="009E247B">
        <w:rPr>
          <w:i/>
          <w:iCs/>
          <w:sz w:val="18"/>
          <w:szCs w:val="26"/>
          <w:rtl/>
        </w:rPr>
        <w:t>أو. ضد السويد</w:t>
      </w:r>
      <w:r w:rsidRPr="009E247B">
        <w:rPr>
          <w:sz w:val="18"/>
          <w:szCs w:val="26"/>
          <w:rtl/>
        </w:rPr>
        <w:t>، الآراء المعتمدة في 13 تشرين الثاني/نوفمبر 2001، الفقرة 13، و</w:t>
      </w:r>
      <w:r w:rsidRPr="009E247B">
        <w:rPr>
          <w:rFonts w:hint="cs"/>
          <w:sz w:val="18"/>
          <w:szCs w:val="26"/>
          <w:rtl/>
        </w:rPr>
        <w:t xml:space="preserve">رقم </w:t>
      </w:r>
      <w:r w:rsidRPr="009E247B">
        <w:rPr>
          <w:sz w:val="18"/>
          <w:szCs w:val="26"/>
          <w:rtl/>
        </w:rPr>
        <w:t>203/2002</w:t>
      </w:r>
      <w:r w:rsidRPr="009E247B">
        <w:rPr>
          <w:i/>
          <w:iCs/>
          <w:sz w:val="18"/>
          <w:szCs w:val="26"/>
          <w:rtl/>
        </w:rPr>
        <w:t>، أ. ر. ضد هولندا</w:t>
      </w:r>
      <w:r w:rsidRPr="009E247B">
        <w:rPr>
          <w:sz w:val="18"/>
          <w:szCs w:val="26"/>
          <w:rtl/>
        </w:rPr>
        <w:t>، الآراء المعتمدة في 14 تشرين الثاني/نوفمبر</w:t>
      </w:r>
      <w:r w:rsidRPr="009E247B">
        <w:rPr>
          <w:rFonts w:hint="cs"/>
          <w:sz w:val="18"/>
          <w:szCs w:val="26"/>
          <w:rtl/>
        </w:rPr>
        <w:t> </w:t>
      </w:r>
      <w:r w:rsidRPr="009E247B">
        <w:rPr>
          <w:sz w:val="18"/>
          <w:szCs w:val="26"/>
          <w:rtl/>
        </w:rPr>
        <w:t>2003، الفقرة 7-3.</w:t>
      </w:r>
    </w:p>
  </w:footnote>
  <w:footnote w:id="9">
    <w:p w:rsidR="009E247B" w:rsidRPr="009E247B" w:rsidRDefault="009E247B" w:rsidP="009E247B">
      <w:pPr>
        <w:pStyle w:val="FootnoteText"/>
        <w:tabs>
          <w:tab w:val="right" w:pos="1021"/>
        </w:tabs>
        <w:spacing w:after="60" w:line="300" w:lineRule="exact"/>
        <w:ind w:left="1247" w:right="1247" w:hanging="1247"/>
        <w:rPr>
          <w:spacing w:val="-2"/>
          <w:sz w:val="18"/>
          <w:szCs w:val="26"/>
        </w:rPr>
      </w:pPr>
      <w:r w:rsidRPr="009E247B">
        <w:rPr>
          <w:rStyle w:val="FootnoteReference"/>
          <w:rFonts w:hint="cs"/>
          <w:spacing w:val="-2"/>
          <w:szCs w:val="26"/>
          <w:vertAlign w:val="baseline"/>
          <w:rtl/>
        </w:rPr>
        <w:tab/>
      </w:r>
      <w:r w:rsidRPr="009E247B">
        <w:rPr>
          <w:rStyle w:val="FootnoteReference"/>
          <w:spacing w:val="-2"/>
          <w:szCs w:val="26"/>
          <w:vertAlign w:val="baseline"/>
          <w:rtl/>
        </w:rPr>
        <w:t>(</w:t>
      </w:r>
      <w:r w:rsidRPr="009E247B">
        <w:rPr>
          <w:rStyle w:val="FootnoteReference"/>
          <w:spacing w:val="-2"/>
          <w:szCs w:val="26"/>
          <w:vertAlign w:val="baseline"/>
          <w:rtl/>
        </w:rPr>
        <w:footnoteRef/>
      </w:r>
      <w:r w:rsidRPr="009E247B">
        <w:rPr>
          <w:rStyle w:val="FootnoteReference"/>
          <w:spacing w:val="-2"/>
          <w:szCs w:val="26"/>
          <w:vertAlign w:val="baseline"/>
          <w:rtl/>
        </w:rPr>
        <w:t>)</w:t>
      </w:r>
      <w:r w:rsidRPr="009E247B">
        <w:rPr>
          <w:rFonts w:hint="cs"/>
          <w:spacing w:val="-2"/>
          <w:sz w:val="18"/>
          <w:szCs w:val="26"/>
          <w:rtl/>
        </w:rPr>
        <w:tab/>
      </w:r>
      <w:r w:rsidRPr="009E247B">
        <w:rPr>
          <w:spacing w:val="-2"/>
          <w:sz w:val="18"/>
          <w:szCs w:val="26"/>
          <w:rtl/>
        </w:rPr>
        <w:t>انظر، على سبيل المثال، تعليق اللجنة العام رقم 1(1997) بشأن تنفيذ المادة 3 من الاتفاقية، الفقرات 5-7.</w:t>
      </w:r>
    </w:p>
  </w:footnote>
  <w:footnote w:id="10">
    <w:p w:rsidR="009E247B" w:rsidRPr="009E247B" w:rsidRDefault="009E247B" w:rsidP="009E247B">
      <w:pPr>
        <w:pStyle w:val="FootnoteText"/>
        <w:tabs>
          <w:tab w:val="right" w:pos="1021"/>
        </w:tabs>
        <w:spacing w:after="60" w:line="300" w:lineRule="exact"/>
        <w:ind w:left="1247" w:right="1247" w:hanging="1247"/>
        <w:rPr>
          <w:sz w:val="18"/>
          <w:szCs w:val="26"/>
        </w:rPr>
      </w:pPr>
      <w:r w:rsidRPr="009E247B">
        <w:rPr>
          <w:rStyle w:val="FootnoteReference"/>
          <w:rFonts w:hint="cs"/>
          <w:szCs w:val="26"/>
          <w:vertAlign w:val="baseline"/>
          <w:rtl/>
        </w:rPr>
        <w:tab/>
      </w:r>
      <w:r w:rsidRPr="009E247B">
        <w:rPr>
          <w:rStyle w:val="FootnoteReference"/>
          <w:szCs w:val="26"/>
          <w:vertAlign w:val="baseline"/>
          <w:rtl/>
        </w:rPr>
        <w:t>(</w:t>
      </w:r>
      <w:r w:rsidRPr="009E247B">
        <w:rPr>
          <w:rStyle w:val="FootnoteReference"/>
          <w:szCs w:val="26"/>
          <w:vertAlign w:val="baseline"/>
          <w:rtl/>
        </w:rPr>
        <w:footnoteRef/>
      </w:r>
      <w:r w:rsidRPr="009E247B">
        <w:rPr>
          <w:rStyle w:val="FootnoteReference"/>
          <w:szCs w:val="26"/>
          <w:vertAlign w:val="baseline"/>
          <w:rtl/>
        </w:rPr>
        <w:t>)</w:t>
      </w:r>
      <w:r w:rsidRPr="009E247B">
        <w:rPr>
          <w:rFonts w:hint="cs"/>
          <w:sz w:val="18"/>
          <w:szCs w:val="26"/>
          <w:rtl/>
        </w:rPr>
        <w:tab/>
        <w:t>مُ</w:t>
      </w:r>
      <w:r w:rsidRPr="009E247B">
        <w:rPr>
          <w:sz w:val="18"/>
          <w:szCs w:val="26"/>
          <w:rtl/>
        </w:rPr>
        <w:t xml:space="preserve">تاح </w:t>
      </w:r>
      <w:r w:rsidRPr="009E247B">
        <w:rPr>
          <w:rFonts w:hint="cs"/>
          <w:sz w:val="18"/>
          <w:szCs w:val="26"/>
          <w:rtl/>
        </w:rPr>
        <w:t xml:space="preserve">باللغة السويدية فقط عبر </w:t>
      </w:r>
      <w:r w:rsidRPr="009E247B">
        <w:rPr>
          <w:sz w:val="18"/>
          <w:szCs w:val="26"/>
          <w:rtl/>
        </w:rPr>
        <w:t>الرابط التالي:</w:t>
      </w:r>
      <w:r w:rsidRPr="009E247B">
        <w:rPr>
          <w:rFonts w:hint="cs"/>
          <w:sz w:val="18"/>
          <w:szCs w:val="26"/>
          <w:rtl/>
        </w:rPr>
        <w:t xml:space="preserve"> </w:t>
      </w:r>
      <w:r w:rsidRPr="009E247B">
        <w:rPr>
          <w:sz w:val="18"/>
          <w:szCs w:val="26"/>
        </w:rPr>
        <w:t>www.manskligarattigheter.se/sv/manskliga-rattigheter-i-varlden/ud-s-rapporter-om-manskliga-rattigheter/europa-och-centralasien?c=Vitryssland</w:t>
      </w:r>
      <w:r w:rsidRPr="00E81171">
        <w:rPr>
          <w:rStyle w:val="Hyperlink"/>
          <w:rFonts w:eastAsiaTheme="majorEastAsia" w:hint="cs"/>
          <w:color w:val="auto"/>
          <w:sz w:val="18"/>
          <w:szCs w:val="26"/>
          <w:u w:val="none"/>
          <w:rtl/>
        </w:rPr>
        <w:t>.</w:t>
      </w:r>
    </w:p>
  </w:footnote>
  <w:footnote w:id="11">
    <w:p w:rsidR="009E247B" w:rsidRPr="009E247B" w:rsidRDefault="009E247B" w:rsidP="009E247B">
      <w:pPr>
        <w:pStyle w:val="FootnoteText"/>
        <w:tabs>
          <w:tab w:val="right" w:pos="1021"/>
        </w:tabs>
        <w:spacing w:after="60" w:line="300" w:lineRule="exact"/>
        <w:ind w:left="1247" w:right="1247" w:hanging="1247"/>
        <w:rPr>
          <w:spacing w:val="-2"/>
          <w:sz w:val="18"/>
          <w:szCs w:val="26"/>
        </w:rPr>
      </w:pPr>
      <w:r w:rsidRPr="009E247B">
        <w:rPr>
          <w:rStyle w:val="FootnoteReference"/>
          <w:rFonts w:hint="cs"/>
          <w:spacing w:val="-2"/>
          <w:szCs w:val="26"/>
          <w:vertAlign w:val="baseline"/>
          <w:rtl/>
        </w:rPr>
        <w:tab/>
      </w:r>
      <w:r w:rsidRPr="009E247B">
        <w:rPr>
          <w:rStyle w:val="FootnoteReference"/>
          <w:spacing w:val="-2"/>
          <w:szCs w:val="26"/>
          <w:vertAlign w:val="baseline"/>
          <w:rtl/>
        </w:rPr>
        <w:t>(</w:t>
      </w:r>
      <w:r w:rsidRPr="009E247B">
        <w:rPr>
          <w:rStyle w:val="FootnoteReference"/>
          <w:spacing w:val="-2"/>
          <w:szCs w:val="26"/>
          <w:vertAlign w:val="baseline"/>
          <w:rtl/>
        </w:rPr>
        <w:footnoteRef/>
      </w:r>
      <w:r w:rsidRPr="009E247B">
        <w:rPr>
          <w:rStyle w:val="FootnoteReference"/>
          <w:spacing w:val="-2"/>
          <w:szCs w:val="26"/>
          <w:vertAlign w:val="baseline"/>
          <w:rtl/>
        </w:rPr>
        <w:t>)</w:t>
      </w:r>
      <w:r w:rsidRPr="009E247B">
        <w:rPr>
          <w:rFonts w:hint="cs"/>
          <w:spacing w:val="-2"/>
          <w:sz w:val="18"/>
          <w:szCs w:val="26"/>
          <w:rtl/>
        </w:rPr>
        <w:tab/>
        <w:t>مُ</w:t>
      </w:r>
      <w:r w:rsidRPr="009E247B">
        <w:rPr>
          <w:spacing w:val="-2"/>
          <w:sz w:val="18"/>
          <w:szCs w:val="26"/>
          <w:rtl/>
        </w:rPr>
        <w:t xml:space="preserve">تاح </w:t>
      </w:r>
      <w:r w:rsidRPr="009E247B">
        <w:rPr>
          <w:rFonts w:hint="cs"/>
          <w:spacing w:val="-2"/>
          <w:sz w:val="18"/>
          <w:szCs w:val="26"/>
          <w:rtl/>
        </w:rPr>
        <w:t>عبر</w:t>
      </w:r>
      <w:r w:rsidRPr="009E247B">
        <w:rPr>
          <w:spacing w:val="-2"/>
          <w:sz w:val="18"/>
          <w:szCs w:val="26"/>
          <w:rtl/>
        </w:rPr>
        <w:t xml:space="preserve"> الرابط التالي: </w:t>
      </w:r>
      <w:r>
        <w:rPr>
          <w:rFonts w:hint="cs"/>
          <w:spacing w:val="-2"/>
          <w:sz w:val="18"/>
          <w:szCs w:val="26"/>
          <w:rtl/>
        </w:rPr>
        <w:tab/>
      </w:r>
      <w:r>
        <w:rPr>
          <w:spacing w:val="-2"/>
          <w:sz w:val="18"/>
          <w:szCs w:val="26"/>
          <w:rtl/>
        </w:rPr>
        <w:br/>
      </w:r>
      <w:r w:rsidRPr="009E247B">
        <w:rPr>
          <w:spacing w:val="-2"/>
          <w:sz w:val="18"/>
          <w:szCs w:val="26"/>
        </w:rPr>
        <w:t>www.state.gov/j/drl/rls/hrrpt/2012humanrightsreport/index.htm?year=2012&amp;dlid=204263#wrapper</w:t>
      </w:r>
      <w:r w:rsidRPr="009E247B">
        <w:rPr>
          <w:rFonts w:hint="cs"/>
          <w:spacing w:val="-2"/>
          <w:sz w:val="18"/>
          <w:szCs w:val="26"/>
          <w:rtl/>
        </w:rPr>
        <w:t>.</w:t>
      </w:r>
    </w:p>
  </w:footnote>
  <w:footnote w:id="12">
    <w:p w:rsidR="009E247B" w:rsidRPr="009E247B" w:rsidRDefault="009E247B" w:rsidP="009E247B">
      <w:pPr>
        <w:pStyle w:val="FootnoteText"/>
        <w:tabs>
          <w:tab w:val="right" w:pos="1021"/>
        </w:tabs>
        <w:spacing w:after="60" w:line="300" w:lineRule="exact"/>
        <w:ind w:left="1247" w:right="1247" w:hanging="1247"/>
        <w:rPr>
          <w:sz w:val="18"/>
          <w:szCs w:val="26"/>
        </w:rPr>
      </w:pPr>
      <w:r w:rsidRPr="009E247B">
        <w:rPr>
          <w:rStyle w:val="FootnoteReference"/>
          <w:rFonts w:hint="cs"/>
          <w:szCs w:val="26"/>
          <w:vertAlign w:val="baseline"/>
          <w:rtl/>
        </w:rPr>
        <w:tab/>
      </w:r>
      <w:r w:rsidRPr="009E247B">
        <w:rPr>
          <w:rStyle w:val="FootnoteReference"/>
          <w:szCs w:val="26"/>
          <w:vertAlign w:val="baseline"/>
          <w:rtl/>
        </w:rPr>
        <w:t>(</w:t>
      </w:r>
      <w:r w:rsidRPr="009E247B">
        <w:rPr>
          <w:rStyle w:val="FootnoteReference"/>
          <w:szCs w:val="26"/>
          <w:vertAlign w:val="baseline"/>
          <w:rtl/>
        </w:rPr>
        <w:footnoteRef/>
      </w:r>
      <w:r w:rsidRPr="009E247B">
        <w:rPr>
          <w:rStyle w:val="FootnoteReference"/>
          <w:szCs w:val="26"/>
          <w:vertAlign w:val="baseline"/>
          <w:rtl/>
        </w:rPr>
        <w:t>)</w:t>
      </w:r>
      <w:r w:rsidRPr="009E247B">
        <w:rPr>
          <w:rFonts w:hint="cs"/>
          <w:sz w:val="18"/>
          <w:szCs w:val="26"/>
          <w:rtl/>
        </w:rPr>
        <w:tab/>
        <w:t>انظر التعليم العام رقم 1 للجنة، الفقرة 9؛ و</w:t>
      </w:r>
      <w:r w:rsidRPr="009E247B">
        <w:rPr>
          <w:sz w:val="18"/>
          <w:szCs w:val="26"/>
          <w:rtl/>
        </w:rPr>
        <w:t xml:space="preserve">انظر، على سبيل المثال، البلاغ رقم 277/2005، </w:t>
      </w:r>
      <w:r w:rsidRPr="009E247B">
        <w:rPr>
          <w:i/>
          <w:iCs/>
          <w:sz w:val="18"/>
          <w:szCs w:val="26"/>
          <w:rtl/>
        </w:rPr>
        <w:t>ن. ز. س. ضد السويد</w:t>
      </w:r>
      <w:r w:rsidRPr="009E247B">
        <w:rPr>
          <w:sz w:val="18"/>
          <w:szCs w:val="26"/>
          <w:rtl/>
        </w:rPr>
        <w:t>، الآراء المعتمدة في 22 تشرين الثاني/نوفمبر 2006، الفقرة 8-6.</w:t>
      </w:r>
    </w:p>
  </w:footnote>
  <w:footnote w:id="13">
    <w:p w:rsidR="009E247B" w:rsidRPr="009E247B" w:rsidRDefault="009E247B" w:rsidP="009E247B">
      <w:pPr>
        <w:pStyle w:val="FootnoteText"/>
        <w:tabs>
          <w:tab w:val="right" w:pos="1021"/>
        </w:tabs>
        <w:spacing w:after="60" w:line="300" w:lineRule="exact"/>
        <w:ind w:left="1247" w:right="1247" w:hanging="1247"/>
        <w:rPr>
          <w:sz w:val="18"/>
          <w:szCs w:val="26"/>
        </w:rPr>
      </w:pPr>
      <w:r w:rsidRPr="00E81171">
        <w:rPr>
          <w:rStyle w:val="FootnoteReference"/>
          <w:rFonts w:hint="cs"/>
          <w:spacing w:val="-4"/>
          <w:szCs w:val="26"/>
          <w:vertAlign w:val="baseline"/>
          <w:rtl/>
        </w:rPr>
        <w:tab/>
      </w:r>
      <w:r w:rsidRPr="00E81171">
        <w:rPr>
          <w:rStyle w:val="FootnoteReference"/>
          <w:spacing w:val="-4"/>
          <w:szCs w:val="26"/>
          <w:vertAlign w:val="baseline"/>
          <w:rtl/>
        </w:rPr>
        <w:t>(</w:t>
      </w:r>
      <w:r w:rsidRPr="00E81171">
        <w:rPr>
          <w:rStyle w:val="FootnoteReference"/>
          <w:spacing w:val="-4"/>
          <w:szCs w:val="26"/>
          <w:vertAlign w:val="baseline"/>
          <w:rtl/>
        </w:rPr>
        <w:footnoteRef/>
      </w:r>
      <w:r w:rsidRPr="00E81171">
        <w:rPr>
          <w:rStyle w:val="FootnoteReference"/>
          <w:spacing w:val="-4"/>
          <w:szCs w:val="26"/>
          <w:vertAlign w:val="baseline"/>
          <w:rtl/>
        </w:rPr>
        <w:t>)</w:t>
      </w:r>
      <w:r w:rsidRPr="00E81171">
        <w:rPr>
          <w:rFonts w:hint="cs"/>
          <w:spacing w:val="-4"/>
          <w:sz w:val="18"/>
          <w:szCs w:val="26"/>
          <w:rtl/>
        </w:rPr>
        <w:tab/>
      </w:r>
      <w:r w:rsidRPr="00E81171">
        <w:rPr>
          <w:spacing w:val="-4"/>
          <w:sz w:val="18"/>
          <w:szCs w:val="26"/>
          <w:rtl/>
        </w:rPr>
        <w:t xml:space="preserve">انظر، على سبيل المثال، البلاغ رقم 219/2002، </w:t>
      </w:r>
      <w:r w:rsidRPr="00E81171">
        <w:rPr>
          <w:i/>
          <w:iCs/>
          <w:spacing w:val="-4"/>
          <w:sz w:val="18"/>
          <w:szCs w:val="26"/>
          <w:rtl/>
        </w:rPr>
        <w:t>غ. ك. ضد سويسرا</w:t>
      </w:r>
      <w:r w:rsidRPr="00E81171">
        <w:rPr>
          <w:spacing w:val="-4"/>
          <w:sz w:val="18"/>
          <w:szCs w:val="26"/>
          <w:rtl/>
        </w:rPr>
        <w:t>، الآراء المعتمدة في 7 أيار/مايو 2003،</w:t>
      </w:r>
      <w:r w:rsidRPr="009E247B">
        <w:rPr>
          <w:sz w:val="18"/>
          <w:szCs w:val="26"/>
          <w:rtl/>
        </w:rPr>
        <w:t xml:space="preserve"> الفقرة 6-12.</w:t>
      </w:r>
      <w:r w:rsidRPr="009E247B">
        <w:rPr>
          <w:rFonts w:hint="cs"/>
          <w:sz w:val="18"/>
          <w:szCs w:val="26"/>
          <w:rtl/>
        </w:rPr>
        <w:tab/>
      </w:r>
    </w:p>
  </w:footnote>
  <w:footnote w:id="14">
    <w:p w:rsidR="009E247B" w:rsidRPr="009E247B" w:rsidRDefault="009E247B" w:rsidP="009E247B">
      <w:pPr>
        <w:pStyle w:val="FootnoteText"/>
        <w:tabs>
          <w:tab w:val="right" w:pos="1021"/>
        </w:tabs>
        <w:spacing w:after="60" w:line="300" w:lineRule="exact"/>
        <w:ind w:left="1247" w:right="1247" w:hanging="1247"/>
        <w:rPr>
          <w:sz w:val="18"/>
          <w:szCs w:val="26"/>
        </w:rPr>
      </w:pPr>
      <w:r>
        <w:rPr>
          <w:sz w:val="18"/>
          <w:szCs w:val="26"/>
        </w:rPr>
        <w:tab/>
      </w:r>
      <w:r>
        <w:rPr>
          <w:rFonts w:hint="cs"/>
          <w:sz w:val="18"/>
          <w:szCs w:val="26"/>
          <w:rtl/>
        </w:rPr>
        <w:t>(</w:t>
      </w:r>
      <w:r w:rsidRPr="009E247B">
        <w:rPr>
          <w:rStyle w:val="FootnoteReference"/>
          <w:szCs w:val="26"/>
          <w:vertAlign w:val="baseline"/>
        </w:rPr>
        <w:footnoteRef/>
      </w:r>
      <w:r>
        <w:rPr>
          <w:rFonts w:hint="cs"/>
          <w:sz w:val="18"/>
          <w:szCs w:val="26"/>
          <w:rtl/>
        </w:rPr>
        <w:t>)</w:t>
      </w:r>
      <w:r w:rsidRPr="009E247B">
        <w:rPr>
          <w:rFonts w:hint="cs"/>
          <w:sz w:val="18"/>
          <w:szCs w:val="26"/>
          <w:rtl/>
        </w:rPr>
        <w:tab/>
      </w:r>
      <w:r w:rsidRPr="009E247B">
        <w:rPr>
          <w:sz w:val="18"/>
          <w:szCs w:val="26"/>
          <w:rtl/>
        </w:rPr>
        <w:t>انظر، على سبيل المثال، البلاغ رقم 2</w:t>
      </w:r>
      <w:r w:rsidRPr="009E247B">
        <w:rPr>
          <w:rFonts w:hint="cs"/>
          <w:sz w:val="18"/>
          <w:szCs w:val="26"/>
          <w:rtl/>
        </w:rPr>
        <w:t>03</w:t>
      </w:r>
      <w:r w:rsidRPr="009E247B">
        <w:rPr>
          <w:sz w:val="18"/>
          <w:szCs w:val="26"/>
          <w:rtl/>
        </w:rPr>
        <w:t xml:space="preserve">/2002، </w:t>
      </w:r>
      <w:r w:rsidRPr="009E247B">
        <w:rPr>
          <w:rFonts w:hint="cs"/>
          <w:i/>
          <w:iCs/>
          <w:sz w:val="18"/>
          <w:szCs w:val="26"/>
          <w:rtl/>
        </w:rPr>
        <w:t>أ</w:t>
      </w:r>
      <w:r w:rsidRPr="009E247B">
        <w:rPr>
          <w:i/>
          <w:iCs/>
          <w:sz w:val="18"/>
          <w:szCs w:val="26"/>
          <w:rtl/>
        </w:rPr>
        <w:t xml:space="preserve">. </w:t>
      </w:r>
      <w:r w:rsidRPr="009E247B">
        <w:rPr>
          <w:rFonts w:hint="cs"/>
          <w:i/>
          <w:iCs/>
          <w:sz w:val="18"/>
          <w:szCs w:val="26"/>
          <w:rtl/>
        </w:rPr>
        <w:t>ر</w:t>
      </w:r>
      <w:r w:rsidRPr="009E247B">
        <w:rPr>
          <w:i/>
          <w:iCs/>
          <w:sz w:val="18"/>
          <w:szCs w:val="26"/>
          <w:rtl/>
        </w:rPr>
        <w:t xml:space="preserve">. ضد </w:t>
      </w:r>
      <w:r w:rsidRPr="009E247B">
        <w:rPr>
          <w:rFonts w:hint="cs"/>
          <w:i/>
          <w:iCs/>
          <w:sz w:val="18"/>
          <w:szCs w:val="26"/>
          <w:rtl/>
        </w:rPr>
        <w:t>هولندا</w:t>
      </w:r>
      <w:r w:rsidRPr="009E247B">
        <w:rPr>
          <w:sz w:val="18"/>
          <w:szCs w:val="26"/>
          <w:rtl/>
        </w:rPr>
        <w:t xml:space="preserve">، الفقرة </w:t>
      </w:r>
      <w:r w:rsidRPr="009E247B">
        <w:rPr>
          <w:rFonts w:hint="cs"/>
          <w:sz w:val="18"/>
          <w:szCs w:val="26"/>
          <w:rtl/>
        </w:rPr>
        <w:t>7</w:t>
      </w:r>
      <w:r w:rsidRPr="009E247B">
        <w:rPr>
          <w:sz w:val="18"/>
          <w:szCs w:val="26"/>
          <w:rtl/>
        </w:rPr>
        <w:t>-</w:t>
      </w:r>
      <w:r w:rsidRPr="009E247B">
        <w:rPr>
          <w:rFonts w:hint="cs"/>
          <w:sz w:val="18"/>
          <w:szCs w:val="26"/>
          <w:rtl/>
        </w:rPr>
        <w:t>3</w:t>
      </w:r>
      <w:r w:rsidRPr="009E247B">
        <w:rPr>
          <w:sz w:val="18"/>
          <w:szCs w:val="26"/>
          <w:rtl/>
        </w:rPr>
        <w:t>.</w:t>
      </w:r>
    </w:p>
  </w:footnote>
  <w:footnote w:id="15">
    <w:p w:rsidR="009E247B" w:rsidRPr="009E247B" w:rsidRDefault="009E247B" w:rsidP="00AC6FEA">
      <w:pPr>
        <w:pStyle w:val="FootnoteText"/>
        <w:tabs>
          <w:tab w:val="right" w:pos="1021"/>
        </w:tabs>
        <w:spacing w:after="60" w:line="300" w:lineRule="exact"/>
        <w:ind w:left="1247" w:right="1247" w:hanging="1247"/>
        <w:rPr>
          <w:sz w:val="18"/>
          <w:szCs w:val="26"/>
        </w:rPr>
      </w:pPr>
      <w:r>
        <w:rPr>
          <w:sz w:val="18"/>
          <w:szCs w:val="26"/>
        </w:rPr>
        <w:tab/>
      </w:r>
      <w:r>
        <w:rPr>
          <w:rFonts w:hint="cs"/>
          <w:sz w:val="18"/>
          <w:szCs w:val="26"/>
          <w:rtl/>
        </w:rPr>
        <w:t>(</w:t>
      </w:r>
      <w:r w:rsidRPr="009E247B">
        <w:rPr>
          <w:rStyle w:val="FootnoteReference"/>
          <w:szCs w:val="26"/>
          <w:vertAlign w:val="baseline"/>
        </w:rPr>
        <w:footnoteRef/>
      </w:r>
      <w:r>
        <w:rPr>
          <w:rFonts w:hint="cs"/>
          <w:sz w:val="18"/>
          <w:szCs w:val="26"/>
          <w:rtl/>
        </w:rPr>
        <w:t>)</w:t>
      </w:r>
      <w:r w:rsidR="00C67BDF">
        <w:rPr>
          <w:rFonts w:hint="cs"/>
          <w:sz w:val="18"/>
          <w:szCs w:val="26"/>
          <w:rtl/>
        </w:rPr>
        <w:tab/>
        <w:t>انظر المادتان 195 و205</w:t>
      </w:r>
      <w:r w:rsidRPr="009E247B">
        <w:rPr>
          <w:rFonts w:hint="cs"/>
          <w:sz w:val="18"/>
          <w:szCs w:val="26"/>
          <w:rtl/>
        </w:rPr>
        <w:t xml:space="preserve">(أ) من </w:t>
      </w:r>
      <w:r w:rsidRPr="009E247B">
        <w:rPr>
          <w:sz w:val="18"/>
          <w:szCs w:val="26"/>
          <w:rtl/>
        </w:rPr>
        <w:t>دليل إجراءات ومعايير تحديد مركز اللاجئ</w:t>
      </w:r>
      <w:r w:rsidRPr="009E247B">
        <w:rPr>
          <w:rFonts w:hint="cs"/>
          <w:sz w:val="18"/>
          <w:szCs w:val="26"/>
          <w:rtl/>
        </w:rPr>
        <w:t xml:space="preserve">، في سياق اتفاقية </w:t>
      </w:r>
      <w:r w:rsidR="00AC6FEA">
        <w:rPr>
          <w:rFonts w:hint="cs"/>
          <w:sz w:val="18"/>
          <w:szCs w:val="26"/>
          <w:rtl/>
        </w:rPr>
        <w:t xml:space="preserve">عام 1951 </w:t>
      </w:r>
      <w:r w:rsidRPr="009E247B">
        <w:rPr>
          <w:rFonts w:hint="cs"/>
          <w:sz w:val="18"/>
          <w:szCs w:val="26"/>
          <w:rtl/>
        </w:rPr>
        <w:t xml:space="preserve">وبروتوكول عام 1967 المتعلق بمركز اللاجئين. </w:t>
      </w:r>
    </w:p>
  </w:footnote>
  <w:footnote w:id="16">
    <w:p w:rsidR="009E247B" w:rsidRPr="00C67BDF" w:rsidRDefault="009E247B" w:rsidP="009E247B">
      <w:pPr>
        <w:pStyle w:val="FootnoteText"/>
        <w:tabs>
          <w:tab w:val="right" w:pos="1021"/>
        </w:tabs>
        <w:spacing w:after="60" w:line="300" w:lineRule="exact"/>
        <w:ind w:left="1247" w:right="1247" w:hanging="1247"/>
        <w:rPr>
          <w:spacing w:val="-4"/>
          <w:sz w:val="18"/>
          <w:szCs w:val="26"/>
        </w:rPr>
      </w:pPr>
      <w:r w:rsidRPr="00C67BDF">
        <w:rPr>
          <w:spacing w:val="-4"/>
          <w:sz w:val="18"/>
          <w:szCs w:val="26"/>
        </w:rPr>
        <w:tab/>
      </w:r>
      <w:r w:rsidRPr="00C67BDF">
        <w:rPr>
          <w:rFonts w:hint="cs"/>
          <w:spacing w:val="-4"/>
          <w:sz w:val="18"/>
          <w:szCs w:val="26"/>
          <w:rtl/>
        </w:rPr>
        <w:t>(</w:t>
      </w:r>
      <w:r w:rsidRPr="00C67BDF">
        <w:rPr>
          <w:rStyle w:val="FootnoteReference"/>
          <w:spacing w:val="-4"/>
          <w:szCs w:val="26"/>
          <w:vertAlign w:val="baseline"/>
        </w:rPr>
        <w:footnoteRef/>
      </w:r>
      <w:r w:rsidRPr="00C67BDF">
        <w:rPr>
          <w:rFonts w:hint="cs"/>
          <w:spacing w:val="-4"/>
          <w:sz w:val="18"/>
          <w:szCs w:val="26"/>
          <w:rtl/>
        </w:rPr>
        <w:t>)</w:t>
      </w:r>
      <w:r w:rsidRPr="00C67BDF">
        <w:rPr>
          <w:rFonts w:hint="cs"/>
          <w:spacing w:val="-4"/>
          <w:sz w:val="18"/>
          <w:szCs w:val="26"/>
          <w:rtl/>
        </w:rPr>
        <w:tab/>
        <w:t xml:space="preserve">متاح عبر الرابط </w:t>
      </w:r>
      <w:r w:rsidRPr="00C67BDF">
        <w:rPr>
          <w:spacing w:val="-4"/>
          <w:sz w:val="18"/>
          <w:szCs w:val="26"/>
        </w:rPr>
        <w:t>www.hrw.org/print/news/2011/02/09/belarus-survey-shows-massive-abuses-protesters</w:t>
      </w:r>
      <w:r w:rsidRPr="00C67BDF">
        <w:rPr>
          <w:rFonts w:hint="cs"/>
          <w:spacing w:val="-4"/>
          <w:sz w:val="18"/>
          <w:szCs w:val="26"/>
          <w:rtl/>
        </w:rPr>
        <w:t>.</w:t>
      </w:r>
    </w:p>
  </w:footnote>
  <w:footnote w:id="17">
    <w:p w:rsidR="009E247B" w:rsidRPr="00C67BDF" w:rsidRDefault="009E247B" w:rsidP="009E247B">
      <w:pPr>
        <w:pStyle w:val="FootnoteText"/>
        <w:tabs>
          <w:tab w:val="right" w:pos="1021"/>
        </w:tabs>
        <w:spacing w:after="60" w:line="300" w:lineRule="exact"/>
        <w:ind w:left="1247" w:right="1247" w:hanging="1247"/>
        <w:rPr>
          <w:spacing w:val="-4"/>
          <w:sz w:val="18"/>
          <w:szCs w:val="26"/>
          <w:rtl/>
        </w:rPr>
      </w:pPr>
      <w:r w:rsidRPr="00C67BDF">
        <w:rPr>
          <w:spacing w:val="-4"/>
          <w:sz w:val="18"/>
          <w:szCs w:val="26"/>
        </w:rPr>
        <w:tab/>
      </w:r>
      <w:r w:rsidRPr="00C67BDF">
        <w:rPr>
          <w:rFonts w:hint="cs"/>
          <w:spacing w:val="-4"/>
          <w:sz w:val="18"/>
          <w:szCs w:val="26"/>
          <w:rtl/>
        </w:rPr>
        <w:t>(</w:t>
      </w:r>
      <w:r w:rsidRPr="00C67BDF">
        <w:rPr>
          <w:rStyle w:val="FootnoteReference"/>
          <w:spacing w:val="-4"/>
          <w:szCs w:val="26"/>
          <w:vertAlign w:val="baseline"/>
        </w:rPr>
        <w:footnoteRef/>
      </w:r>
      <w:r w:rsidRPr="00C67BDF">
        <w:rPr>
          <w:rFonts w:hint="cs"/>
          <w:spacing w:val="-4"/>
          <w:sz w:val="18"/>
          <w:szCs w:val="26"/>
          <w:rtl/>
        </w:rPr>
        <w:t>)</w:t>
      </w:r>
      <w:r w:rsidRPr="00C67BDF">
        <w:rPr>
          <w:rFonts w:hint="cs"/>
          <w:spacing w:val="-4"/>
          <w:sz w:val="18"/>
          <w:szCs w:val="26"/>
          <w:rtl/>
        </w:rPr>
        <w:tab/>
        <w:t xml:space="preserve">انظر التجميع الذي وضعه مركز </w:t>
      </w:r>
      <w:proofErr w:type="spellStart"/>
      <w:r w:rsidRPr="00C67BDF">
        <w:rPr>
          <w:spacing w:val="-4"/>
          <w:sz w:val="18"/>
          <w:szCs w:val="26"/>
        </w:rPr>
        <w:t>Viasna</w:t>
      </w:r>
      <w:proofErr w:type="spellEnd"/>
      <w:r w:rsidRPr="00C67BDF">
        <w:rPr>
          <w:rFonts w:hint="cs"/>
          <w:spacing w:val="-4"/>
          <w:sz w:val="18"/>
          <w:szCs w:val="26"/>
          <w:rtl/>
        </w:rPr>
        <w:t xml:space="preserve"> لحقوق الإنسان، متاح عبر الرابط </w:t>
      </w:r>
      <w:r w:rsidRPr="00C67BDF">
        <w:rPr>
          <w:spacing w:val="-4"/>
          <w:sz w:val="18"/>
          <w:szCs w:val="26"/>
        </w:rPr>
        <w:t>http://spring96.org/en/news/41575</w:t>
      </w:r>
      <w:r w:rsidRPr="00C67BDF">
        <w:rPr>
          <w:rFonts w:hint="cs"/>
          <w:spacing w:val="-4"/>
          <w:sz w:val="18"/>
          <w:szCs w:val="26"/>
          <w:rtl/>
        </w:rPr>
        <w:t>.</w:t>
      </w:r>
    </w:p>
  </w:footnote>
  <w:footnote w:id="18">
    <w:p w:rsidR="009E247B" w:rsidRPr="009E247B" w:rsidRDefault="009E247B" w:rsidP="009E247B">
      <w:pPr>
        <w:pStyle w:val="FootnoteText"/>
        <w:tabs>
          <w:tab w:val="right" w:pos="1021"/>
        </w:tabs>
        <w:spacing w:after="60" w:line="300" w:lineRule="exact"/>
        <w:ind w:left="1247" w:right="1247" w:hanging="1247"/>
        <w:rPr>
          <w:sz w:val="18"/>
          <w:szCs w:val="26"/>
        </w:rPr>
      </w:pPr>
      <w:r w:rsidRPr="009E247B">
        <w:rPr>
          <w:rStyle w:val="FootnoteReference"/>
          <w:rFonts w:hint="cs"/>
          <w:szCs w:val="26"/>
          <w:vertAlign w:val="baseline"/>
          <w:rtl/>
        </w:rPr>
        <w:tab/>
      </w:r>
      <w:r w:rsidRPr="009E247B">
        <w:rPr>
          <w:rStyle w:val="FootnoteReference"/>
          <w:szCs w:val="26"/>
          <w:vertAlign w:val="baseline"/>
          <w:rtl/>
        </w:rPr>
        <w:t>(</w:t>
      </w:r>
      <w:r w:rsidRPr="009E247B">
        <w:rPr>
          <w:rStyle w:val="FootnoteReference"/>
          <w:szCs w:val="26"/>
          <w:vertAlign w:val="baseline"/>
          <w:rtl/>
        </w:rPr>
        <w:footnoteRef/>
      </w:r>
      <w:r w:rsidRPr="009E247B">
        <w:rPr>
          <w:rStyle w:val="FootnoteReference"/>
          <w:szCs w:val="26"/>
          <w:vertAlign w:val="baseline"/>
          <w:rtl/>
        </w:rPr>
        <w:t>)</w:t>
      </w:r>
      <w:r w:rsidRPr="009E247B">
        <w:rPr>
          <w:rFonts w:hint="cs"/>
          <w:sz w:val="18"/>
          <w:szCs w:val="26"/>
          <w:rtl/>
        </w:rPr>
        <w:tab/>
      </w:r>
      <w:r w:rsidRPr="009E247B">
        <w:rPr>
          <w:sz w:val="18"/>
          <w:szCs w:val="26"/>
          <w:rtl/>
          <w:lang w:val="es-ES_tradnl"/>
        </w:rPr>
        <w:t xml:space="preserve">انظر، من جملة بلاغات أخرى، البلاغ رقم 519/2012، </w:t>
      </w:r>
      <w:r w:rsidRPr="009E247B">
        <w:rPr>
          <w:i/>
          <w:iCs/>
          <w:sz w:val="18"/>
          <w:szCs w:val="26"/>
          <w:rtl/>
          <w:lang w:val="es-ES_tradnl"/>
        </w:rPr>
        <w:t>ت. م. ضد جمهورية كوريا</w:t>
      </w:r>
      <w:r w:rsidRPr="009E247B">
        <w:rPr>
          <w:sz w:val="18"/>
          <w:szCs w:val="26"/>
          <w:rtl/>
          <w:lang w:val="es-ES_tradnl"/>
        </w:rPr>
        <w:t>، القرار المعتمد في 21 تشرين الثاني/نوفمبر 2014، الفقرة 9-3.</w:t>
      </w:r>
    </w:p>
  </w:footnote>
  <w:footnote w:id="19">
    <w:p w:rsidR="009E247B" w:rsidRPr="009E247B" w:rsidRDefault="009E247B" w:rsidP="009E247B">
      <w:pPr>
        <w:pStyle w:val="FootnoteText"/>
        <w:tabs>
          <w:tab w:val="right" w:pos="1021"/>
        </w:tabs>
        <w:spacing w:after="60" w:line="300" w:lineRule="exact"/>
        <w:ind w:left="1247" w:right="1247" w:hanging="1247"/>
        <w:rPr>
          <w:sz w:val="18"/>
          <w:szCs w:val="26"/>
        </w:rPr>
      </w:pPr>
      <w:r w:rsidRPr="009E247B">
        <w:rPr>
          <w:rStyle w:val="FootnoteReference"/>
          <w:rFonts w:hint="cs"/>
          <w:szCs w:val="26"/>
          <w:vertAlign w:val="baseline"/>
          <w:rtl/>
        </w:rPr>
        <w:tab/>
      </w:r>
      <w:r w:rsidRPr="009E247B">
        <w:rPr>
          <w:rStyle w:val="FootnoteReference"/>
          <w:szCs w:val="26"/>
          <w:vertAlign w:val="baseline"/>
          <w:rtl/>
        </w:rPr>
        <w:t>(</w:t>
      </w:r>
      <w:r w:rsidRPr="009E247B">
        <w:rPr>
          <w:rStyle w:val="FootnoteReference"/>
          <w:szCs w:val="26"/>
          <w:vertAlign w:val="baseline"/>
          <w:rtl/>
        </w:rPr>
        <w:footnoteRef/>
      </w:r>
      <w:r w:rsidRPr="009E247B">
        <w:rPr>
          <w:rStyle w:val="FootnoteReference"/>
          <w:szCs w:val="26"/>
          <w:vertAlign w:val="baseline"/>
          <w:rtl/>
        </w:rPr>
        <w:t>)</w:t>
      </w:r>
      <w:r w:rsidRPr="009E247B">
        <w:rPr>
          <w:rFonts w:hint="cs"/>
          <w:sz w:val="18"/>
          <w:szCs w:val="26"/>
          <w:rtl/>
        </w:rPr>
        <w:tab/>
      </w:r>
      <w:r w:rsidRPr="009E247B">
        <w:rPr>
          <w:rFonts w:hint="cs"/>
          <w:sz w:val="18"/>
          <w:szCs w:val="26"/>
          <w:rtl/>
          <w:lang w:val="es-ES_tradnl"/>
        </w:rPr>
        <w:t>المرجع نفسه</w:t>
      </w:r>
      <w:r w:rsidRPr="009E247B">
        <w:rPr>
          <w:sz w:val="18"/>
          <w:szCs w:val="26"/>
          <w:rtl/>
          <w:lang w:val="es-ES_tradnl"/>
        </w:rPr>
        <w:t>.</w:t>
      </w:r>
    </w:p>
  </w:footnote>
  <w:footnote w:id="20">
    <w:p w:rsidR="009E247B" w:rsidRPr="009E247B" w:rsidRDefault="009E247B" w:rsidP="009E247B">
      <w:pPr>
        <w:pStyle w:val="FootnoteText"/>
        <w:tabs>
          <w:tab w:val="right" w:pos="1021"/>
        </w:tabs>
        <w:spacing w:after="60" w:line="300" w:lineRule="exact"/>
        <w:ind w:left="1247" w:right="1247" w:hanging="1247"/>
        <w:rPr>
          <w:sz w:val="18"/>
          <w:szCs w:val="26"/>
        </w:rPr>
      </w:pPr>
      <w:r w:rsidRPr="009E247B">
        <w:rPr>
          <w:rStyle w:val="FootnoteReference"/>
          <w:rFonts w:hint="cs"/>
          <w:szCs w:val="26"/>
          <w:vertAlign w:val="baseline"/>
          <w:rtl/>
        </w:rPr>
        <w:tab/>
      </w:r>
      <w:r w:rsidRPr="009E247B">
        <w:rPr>
          <w:rStyle w:val="FootnoteReference"/>
          <w:szCs w:val="26"/>
          <w:vertAlign w:val="baseline"/>
          <w:rtl/>
        </w:rPr>
        <w:t>(</w:t>
      </w:r>
      <w:r w:rsidRPr="009E247B">
        <w:rPr>
          <w:rStyle w:val="FootnoteReference"/>
          <w:szCs w:val="26"/>
          <w:vertAlign w:val="baseline"/>
          <w:rtl/>
        </w:rPr>
        <w:footnoteRef/>
      </w:r>
      <w:r w:rsidRPr="009E247B">
        <w:rPr>
          <w:rStyle w:val="FootnoteReference"/>
          <w:szCs w:val="26"/>
          <w:vertAlign w:val="baseline"/>
          <w:rtl/>
        </w:rPr>
        <w:t>)</w:t>
      </w:r>
      <w:r w:rsidRPr="009E247B">
        <w:rPr>
          <w:rFonts w:hint="cs"/>
          <w:sz w:val="18"/>
          <w:szCs w:val="26"/>
          <w:rtl/>
        </w:rPr>
        <w:tab/>
      </w:r>
      <w:r w:rsidRPr="009E247B">
        <w:rPr>
          <w:rFonts w:hint="cs"/>
          <w:sz w:val="18"/>
          <w:szCs w:val="26"/>
          <w:rtl/>
          <w:lang w:val="es-ES_tradnl"/>
        </w:rPr>
        <w:t>المرجع نفسه</w:t>
      </w:r>
      <w:r w:rsidRPr="009E247B">
        <w:rPr>
          <w:sz w:val="18"/>
          <w:szCs w:val="26"/>
          <w:rtl/>
          <w:lang w:val="es-ES_tradnl"/>
        </w:rPr>
        <w:t>.</w:t>
      </w:r>
    </w:p>
  </w:footnote>
  <w:footnote w:id="21">
    <w:p w:rsidR="009E247B" w:rsidRPr="009E247B" w:rsidRDefault="009E247B" w:rsidP="009E247B">
      <w:pPr>
        <w:pStyle w:val="FootnoteText"/>
        <w:tabs>
          <w:tab w:val="right" w:pos="1021"/>
        </w:tabs>
        <w:spacing w:after="60" w:line="300" w:lineRule="exact"/>
        <w:ind w:left="1247" w:right="1247" w:hanging="1247"/>
        <w:rPr>
          <w:sz w:val="18"/>
          <w:szCs w:val="26"/>
        </w:rPr>
      </w:pPr>
      <w:r w:rsidRPr="009E247B">
        <w:rPr>
          <w:rStyle w:val="FootnoteReference"/>
          <w:rFonts w:hint="cs"/>
          <w:szCs w:val="26"/>
          <w:vertAlign w:val="baseline"/>
          <w:rtl/>
        </w:rPr>
        <w:tab/>
      </w:r>
      <w:r w:rsidRPr="009E247B">
        <w:rPr>
          <w:rStyle w:val="FootnoteReference"/>
          <w:szCs w:val="26"/>
          <w:vertAlign w:val="baseline"/>
          <w:rtl/>
        </w:rPr>
        <w:t>(</w:t>
      </w:r>
      <w:r w:rsidRPr="009E247B">
        <w:rPr>
          <w:rStyle w:val="FootnoteReference"/>
          <w:szCs w:val="26"/>
          <w:vertAlign w:val="baseline"/>
          <w:rtl/>
        </w:rPr>
        <w:footnoteRef/>
      </w:r>
      <w:r w:rsidRPr="009E247B">
        <w:rPr>
          <w:rStyle w:val="FootnoteReference"/>
          <w:szCs w:val="26"/>
          <w:vertAlign w:val="baseline"/>
          <w:rtl/>
        </w:rPr>
        <w:t>)</w:t>
      </w:r>
      <w:r w:rsidRPr="009E247B">
        <w:rPr>
          <w:rFonts w:hint="cs"/>
          <w:sz w:val="18"/>
          <w:szCs w:val="26"/>
          <w:rtl/>
        </w:rPr>
        <w:tab/>
      </w:r>
      <w:r w:rsidRPr="009E247B">
        <w:rPr>
          <w:sz w:val="18"/>
          <w:szCs w:val="26"/>
          <w:rtl/>
          <w:lang w:val="es-ES_tradnl"/>
        </w:rPr>
        <w:t>التعليق العام رقم 1، الفقرة 6.</w:t>
      </w:r>
    </w:p>
  </w:footnote>
  <w:footnote w:id="22">
    <w:p w:rsidR="009E247B" w:rsidRPr="009E247B" w:rsidRDefault="009E247B" w:rsidP="009E247B">
      <w:pPr>
        <w:pStyle w:val="FootnoteText"/>
        <w:tabs>
          <w:tab w:val="right" w:pos="1021"/>
        </w:tabs>
        <w:spacing w:after="60" w:line="300" w:lineRule="exact"/>
        <w:ind w:left="1247" w:right="1247" w:hanging="1247"/>
        <w:rPr>
          <w:sz w:val="18"/>
          <w:szCs w:val="26"/>
        </w:rPr>
      </w:pPr>
      <w:r w:rsidRPr="009E247B">
        <w:rPr>
          <w:rStyle w:val="FootnoteReference"/>
          <w:rFonts w:hint="cs"/>
          <w:szCs w:val="26"/>
          <w:vertAlign w:val="baseline"/>
          <w:rtl/>
        </w:rPr>
        <w:tab/>
      </w:r>
      <w:r w:rsidRPr="009E247B">
        <w:rPr>
          <w:rStyle w:val="FootnoteReference"/>
          <w:szCs w:val="26"/>
          <w:vertAlign w:val="baseline"/>
          <w:rtl/>
        </w:rPr>
        <w:t>(</w:t>
      </w:r>
      <w:r w:rsidRPr="009E247B">
        <w:rPr>
          <w:rStyle w:val="FootnoteReference"/>
          <w:szCs w:val="26"/>
          <w:vertAlign w:val="baseline"/>
          <w:rtl/>
        </w:rPr>
        <w:footnoteRef/>
      </w:r>
      <w:r w:rsidRPr="009E247B">
        <w:rPr>
          <w:rStyle w:val="FootnoteReference"/>
          <w:szCs w:val="26"/>
          <w:vertAlign w:val="baseline"/>
          <w:rtl/>
        </w:rPr>
        <w:t>)</w:t>
      </w:r>
      <w:r w:rsidRPr="009E247B">
        <w:rPr>
          <w:rFonts w:hint="cs"/>
          <w:sz w:val="18"/>
          <w:szCs w:val="26"/>
          <w:rtl/>
        </w:rPr>
        <w:tab/>
      </w:r>
      <w:r w:rsidRPr="009E247B">
        <w:rPr>
          <w:sz w:val="18"/>
          <w:szCs w:val="26"/>
          <w:rtl/>
          <w:lang w:val="es-ES_tradnl" w:bidi="ar-EG"/>
        </w:rPr>
        <w:t xml:space="preserve">المرجع </w:t>
      </w:r>
      <w:r w:rsidRPr="009E247B">
        <w:rPr>
          <w:rFonts w:hint="cs"/>
          <w:sz w:val="18"/>
          <w:szCs w:val="26"/>
          <w:rtl/>
          <w:lang w:val="es-ES_tradnl" w:bidi="ar-EG"/>
        </w:rPr>
        <w:t>نفسه.</w:t>
      </w:r>
      <w:r w:rsidRPr="009E247B">
        <w:rPr>
          <w:sz w:val="18"/>
          <w:szCs w:val="26"/>
          <w:rtl/>
          <w:lang w:val="es-ES_tradnl" w:bidi="ar-EG"/>
        </w:rPr>
        <w:t xml:space="preserve"> </w:t>
      </w:r>
      <w:r w:rsidRPr="009E247B">
        <w:rPr>
          <w:rFonts w:hint="cs"/>
          <w:sz w:val="18"/>
          <w:szCs w:val="26"/>
          <w:rtl/>
          <w:lang w:val="es-ES_tradnl" w:bidi="ar-EG"/>
        </w:rPr>
        <w:t>انظر أيض</w:t>
      </w:r>
      <w:r w:rsidR="00411E5D">
        <w:rPr>
          <w:rFonts w:hint="cs"/>
          <w:sz w:val="18"/>
          <w:szCs w:val="26"/>
          <w:rtl/>
          <w:lang w:val="es-ES_tradnl" w:bidi="ar-EG"/>
        </w:rPr>
        <w:t xml:space="preserve">اً </w:t>
      </w:r>
      <w:r w:rsidRPr="009E247B">
        <w:rPr>
          <w:rFonts w:hint="cs"/>
          <w:sz w:val="18"/>
          <w:szCs w:val="26"/>
          <w:rtl/>
          <w:lang w:val="es-ES_tradnl" w:bidi="ar-EG"/>
        </w:rPr>
        <w:t>البلاغ رقم 203/2002،</w:t>
      </w:r>
      <w:r w:rsidR="00C67BDF">
        <w:rPr>
          <w:rFonts w:hint="cs"/>
          <w:sz w:val="18"/>
          <w:szCs w:val="26"/>
          <w:rtl/>
          <w:lang w:val="es-ES_tradnl" w:bidi="ar-EG"/>
        </w:rPr>
        <w:t xml:space="preserve"> </w:t>
      </w:r>
      <w:r w:rsidRPr="009E247B">
        <w:rPr>
          <w:i/>
          <w:iCs/>
          <w:sz w:val="18"/>
          <w:szCs w:val="26"/>
          <w:rtl/>
          <w:lang w:val="es-ES_tradnl" w:bidi="ar-EG"/>
        </w:rPr>
        <w:t>أ. ر. ضد هولندا</w:t>
      </w:r>
      <w:r w:rsidRPr="009E247B">
        <w:rPr>
          <w:sz w:val="18"/>
          <w:szCs w:val="26"/>
          <w:rtl/>
          <w:lang w:val="es-ES_tradnl" w:bidi="ar-EG"/>
        </w:rPr>
        <w:t>، الفقرة 7-3.</w:t>
      </w:r>
    </w:p>
  </w:footnote>
  <w:footnote w:id="23">
    <w:p w:rsidR="009E247B" w:rsidRPr="009E247B" w:rsidRDefault="009E247B" w:rsidP="009E247B">
      <w:pPr>
        <w:pStyle w:val="FootnoteText"/>
        <w:tabs>
          <w:tab w:val="right" w:pos="1021"/>
        </w:tabs>
        <w:spacing w:after="60" w:line="300" w:lineRule="exact"/>
        <w:ind w:left="1247" w:right="1247" w:hanging="1247"/>
        <w:rPr>
          <w:sz w:val="18"/>
          <w:szCs w:val="26"/>
        </w:rPr>
      </w:pPr>
      <w:r w:rsidRPr="009E247B">
        <w:rPr>
          <w:rStyle w:val="FootnoteReference"/>
          <w:rFonts w:hint="cs"/>
          <w:szCs w:val="26"/>
          <w:vertAlign w:val="baseline"/>
          <w:rtl/>
        </w:rPr>
        <w:tab/>
      </w:r>
      <w:r w:rsidRPr="009E247B">
        <w:rPr>
          <w:rStyle w:val="FootnoteReference"/>
          <w:szCs w:val="26"/>
          <w:vertAlign w:val="baseline"/>
          <w:rtl/>
        </w:rPr>
        <w:t>(</w:t>
      </w:r>
      <w:r w:rsidRPr="009E247B">
        <w:rPr>
          <w:rStyle w:val="FootnoteReference"/>
          <w:szCs w:val="26"/>
          <w:vertAlign w:val="baseline"/>
          <w:rtl/>
        </w:rPr>
        <w:footnoteRef/>
      </w:r>
      <w:r w:rsidRPr="009E247B">
        <w:rPr>
          <w:rStyle w:val="FootnoteReference"/>
          <w:szCs w:val="26"/>
          <w:vertAlign w:val="baseline"/>
          <w:rtl/>
        </w:rPr>
        <w:t>)</w:t>
      </w:r>
      <w:r w:rsidRPr="009E247B">
        <w:rPr>
          <w:rFonts w:hint="cs"/>
          <w:sz w:val="18"/>
          <w:szCs w:val="26"/>
          <w:rtl/>
        </w:rPr>
        <w:tab/>
      </w:r>
      <w:r w:rsidRPr="009E247B">
        <w:rPr>
          <w:sz w:val="18"/>
          <w:szCs w:val="26"/>
          <w:rtl/>
        </w:rPr>
        <w:t>انظر</w:t>
      </w:r>
      <w:r w:rsidRPr="009E247B">
        <w:rPr>
          <w:rFonts w:hint="cs"/>
          <w:sz w:val="18"/>
          <w:szCs w:val="26"/>
          <w:rtl/>
        </w:rPr>
        <w:t xml:space="preserve"> الملاحظات الختامية الخاصة ببيلاروس، </w:t>
      </w:r>
      <w:r w:rsidRPr="009E247B">
        <w:rPr>
          <w:sz w:val="18"/>
          <w:szCs w:val="26"/>
        </w:rPr>
        <w:t>CAT/C/BLR/CO/4</w:t>
      </w:r>
      <w:r w:rsidRPr="009E247B">
        <w:rPr>
          <w:sz w:val="18"/>
          <w:szCs w:val="26"/>
          <w:rtl/>
        </w:rPr>
        <w:t>، الفقر</w:t>
      </w:r>
      <w:r w:rsidRPr="009E247B">
        <w:rPr>
          <w:rFonts w:hint="cs"/>
          <w:sz w:val="18"/>
          <w:szCs w:val="26"/>
          <w:rtl/>
        </w:rPr>
        <w:t>تان 10 و18</w:t>
      </w:r>
      <w:r w:rsidRPr="009E247B">
        <w:rPr>
          <w:sz w:val="18"/>
          <w:szCs w:val="26"/>
          <w:rtl/>
        </w:rPr>
        <w:t>.</w:t>
      </w:r>
    </w:p>
  </w:footnote>
  <w:footnote w:id="24">
    <w:p w:rsidR="009E247B" w:rsidRPr="009E247B" w:rsidRDefault="009E247B" w:rsidP="009E247B">
      <w:pPr>
        <w:pStyle w:val="FootnoteText"/>
        <w:tabs>
          <w:tab w:val="right" w:pos="1021"/>
        </w:tabs>
        <w:spacing w:after="60" w:line="300" w:lineRule="exact"/>
        <w:ind w:left="1247" w:right="1247" w:hanging="1247"/>
        <w:rPr>
          <w:sz w:val="18"/>
          <w:szCs w:val="26"/>
        </w:rPr>
      </w:pPr>
      <w:r w:rsidRPr="009E247B">
        <w:rPr>
          <w:rStyle w:val="FootnoteReference"/>
          <w:rFonts w:hint="cs"/>
          <w:szCs w:val="26"/>
          <w:vertAlign w:val="baseline"/>
          <w:rtl/>
        </w:rPr>
        <w:tab/>
      </w:r>
      <w:r w:rsidRPr="009E247B">
        <w:rPr>
          <w:rStyle w:val="FootnoteReference"/>
          <w:szCs w:val="26"/>
          <w:vertAlign w:val="baseline"/>
          <w:rtl/>
        </w:rPr>
        <w:t>(</w:t>
      </w:r>
      <w:r w:rsidRPr="009E247B">
        <w:rPr>
          <w:rStyle w:val="FootnoteReference"/>
          <w:szCs w:val="26"/>
          <w:vertAlign w:val="baseline"/>
          <w:rtl/>
        </w:rPr>
        <w:footnoteRef/>
      </w:r>
      <w:r w:rsidRPr="009E247B">
        <w:rPr>
          <w:rStyle w:val="FootnoteReference"/>
          <w:szCs w:val="26"/>
          <w:vertAlign w:val="baseline"/>
          <w:rtl/>
        </w:rPr>
        <w:t>)</w:t>
      </w:r>
      <w:r w:rsidRPr="009E247B">
        <w:rPr>
          <w:rFonts w:hint="cs"/>
          <w:sz w:val="18"/>
          <w:szCs w:val="26"/>
          <w:rtl/>
        </w:rPr>
        <w:tab/>
      </w:r>
      <w:r w:rsidRPr="009E247B">
        <w:rPr>
          <w:sz w:val="18"/>
          <w:szCs w:val="26"/>
          <w:rtl/>
          <w:lang w:val="es-ES_tradnl"/>
        </w:rPr>
        <w:t xml:space="preserve">انظر، من جملة بلاغات أخرى، البلاغ رقم 519/2012، </w:t>
      </w:r>
      <w:r w:rsidRPr="009E247B">
        <w:rPr>
          <w:i/>
          <w:iCs/>
          <w:sz w:val="18"/>
          <w:szCs w:val="26"/>
          <w:rtl/>
          <w:lang w:val="es-ES_tradnl"/>
        </w:rPr>
        <w:t>ت. م. ضد جمهورية كوريا</w:t>
      </w:r>
      <w:r w:rsidRPr="009E247B">
        <w:rPr>
          <w:sz w:val="18"/>
          <w:szCs w:val="26"/>
          <w:rtl/>
          <w:lang w:val="es-ES_tradnl"/>
        </w:rPr>
        <w:t>، القرار المعتمد في 21 تشرين الثاني/نوفمبر 2014، الفقرة 9-</w:t>
      </w:r>
      <w:r w:rsidRPr="009E247B">
        <w:rPr>
          <w:rFonts w:hint="cs"/>
          <w:sz w:val="18"/>
          <w:szCs w:val="26"/>
          <w:rtl/>
          <w:lang w:val="es-ES_tradnl"/>
        </w:rPr>
        <w:t>7</w:t>
      </w:r>
      <w:r w:rsidRPr="009E247B">
        <w:rPr>
          <w:sz w:val="18"/>
          <w:szCs w:val="26"/>
          <w:rtl/>
          <w:lang w:val="es-ES_tradnl"/>
        </w:rPr>
        <w:t>.</w:t>
      </w:r>
    </w:p>
  </w:footnote>
  <w:footnote w:id="25">
    <w:p w:rsidR="009E247B" w:rsidRPr="009E247B" w:rsidRDefault="009E247B" w:rsidP="009E247B">
      <w:pPr>
        <w:pStyle w:val="FootnoteText"/>
        <w:tabs>
          <w:tab w:val="right" w:pos="1021"/>
        </w:tabs>
        <w:spacing w:after="60" w:line="300" w:lineRule="exact"/>
        <w:ind w:left="1247" w:right="1247" w:hanging="1247"/>
        <w:rPr>
          <w:sz w:val="18"/>
          <w:szCs w:val="26"/>
        </w:rPr>
      </w:pPr>
      <w:r w:rsidRPr="009E247B">
        <w:rPr>
          <w:rStyle w:val="FootnoteReference"/>
          <w:rFonts w:hint="cs"/>
          <w:szCs w:val="26"/>
          <w:vertAlign w:val="baseline"/>
          <w:rtl/>
        </w:rPr>
        <w:tab/>
      </w:r>
      <w:r w:rsidRPr="009E247B">
        <w:rPr>
          <w:rStyle w:val="FootnoteReference"/>
          <w:szCs w:val="26"/>
          <w:vertAlign w:val="baseline"/>
          <w:rtl/>
        </w:rPr>
        <w:t>(</w:t>
      </w:r>
      <w:r w:rsidRPr="009E247B">
        <w:rPr>
          <w:rStyle w:val="FootnoteReference"/>
          <w:szCs w:val="26"/>
          <w:vertAlign w:val="baseline"/>
          <w:rtl/>
        </w:rPr>
        <w:footnoteRef/>
      </w:r>
      <w:r w:rsidRPr="009E247B">
        <w:rPr>
          <w:rStyle w:val="FootnoteReference"/>
          <w:szCs w:val="26"/>
          <w:vertAlign w:val="baseline"/>
          <w:rtl/>
        </w:rPr>
        <w:t>)</w:t>
      </w:r>
      <w:r w:rsidRPr="009E247B">
        <w:rPr>
          <w:rFonts w:hint="cs"/>
          <w:sz w:val="18"/>
          <w:szCs w:val="26"/>
          <w:rtl/>
        </w:rPr>
        <w:tab/>
      </w:r>
      <w:r w:rsidRPr="009E247B">
        <w:rPr>
          <w:rFonts w:hint="cs"/>
          <w:sz w:val="18"/>
          <w:szCs w:val="26"/>
          <w:rtl/>
          <w:lang w:val="es-ES_tradnl"/>
        </w:rPr>
        <w:t>وفقا</w:t>
      </w:r>
      <w:r w:rsidR="00EE4D3F">
        <w:rPr>
          <w:rFonts w:hint="cs"/>
          <w:sz w:val="18"/>
          <w:szCs w:val="26"/>
          <w:rtl/>
          <w:lang w:val="es-ES_tradnl"/>
        </w:rPr>
        <w:t>ً</w:t>
      </w:r>
      <w:r w:rsidRPr="009E247B">
        <w:rPr>
          <w:rFonts w:hint="cs"/>
          <w:sz w:val="18"/>
          <w:szCs w:val="26"/>
          <w:rtl/>
          <w:lang w:val="es-ES_tradnl"/>
        </w:rPr>
        <w:t xml:space="preserve"> لمعلومات جمعها مركز </w:t>
      </w:r>
      <w:proofErr w:type="spellStart"/>
      <w:r w:rsidRPr="009E247B">
        <w:rPr>
          <w:sz w:val="18"/>
          <w:szCs w:val="26"/>
          <w:lang w:val="es-ES_tradnl"/>
        </w:rPr>
        <w:t>Viasna</w:t>
      </w:r>
      <w:proofErr w:type="spellEnd"/>
      <w:r w:rsidRPr="009E247B">
        <w:rPr>
          <w:sz w:val="18"/>
          <w:szCs w:val="26"/>
          <w:rtl/>
          <w:lang w:val="es-ES_tradnl"/>
        </w:rPr>
        <w:t xml:space="preserve"> </w:t>
      </w:r>
      <w:r w:rsidRPr="009E247B">
        <w:rPr>
          <w:rFonts w:hint="cs"/>
          <w:sz w:val="18"/>
          <w:szCs w:val="26"/>
          <w:rtl/>
          <w:lang w:val="es-ES_tradnl"/>
        </w:rPr>
        <w:t xml:space="preserve">لحقوق الإنسان. </w:t>
      </w:r>
    </w:p>
  </w:footnote>
  <w:footnote w:id="26">
    <w:p w:rsidR="009E247B" w:rsidRPr="009E247B" w:rsidRDefault="009E247B" w:rsidP="009E247B">
      <w:pPr>
        <w:pStyle w:val="FootnoteText"/>
        <w:tabs>
          <w:tab w:val="right" w:pos="1021"/>
        </w:tabs>
        <w:spacing w:after="60" w:line="300" w:lineRule="exact"/>
        <w:ind w:left="1247" w:right="1247" w:hanging="1247"/>
        <w:rPr>
          <w:sz w:val="18"/>
          <w:szCs w:val="26"/>
        </w:rPr>
      </w:pPr>
      <w:r w:rsidRPr="009E247B">
        <w:rPr>
          <w:rStyle w:val="FootnoteReference"/>
          <w:rFonts w:hint="cs"/>
          <w:szCs w:val="26"/>
          <w:vertAlign w:val="baseline"/>
          <w:rtl/>
        </w:rPr>
        <w:tab/>
      </w:r>
      <w:r w:rsidRPr="009E247B">
        <w:rPr>
          <w:rStyle w:val="FootnoteReference"/>
          <w:szCs w:val="26"/>
          <w:vertAlign w:val="baseline"/>
          <w:rtl/>
        </w:rPr>
        <w:t>(</w:t>
      </w:r>
      <w:r w:rsidRPr="009E247B">
        <w:rPr>
          <w:rStyle w:val="FootnoteReference"/>
          <w:szCs w:val="26"/>
          <w:vertAlign w:val="baseline"/>
          <w:rtl/>
        </w:rPr>
        <w:footnoteRef/>
      </w:r>
      <w:r w:rsidRPr="009E247B">
        <w:rPr>
          <w:rStyle w:val="FootnoteReference"/>
          <w:szCs w:val="26"/>
          <w:vertAlign w:val="baseline"/>
          <w:rtl/>
        </w:rPr>
        <w:t>)</w:t>
      </w:r>
      <w:r w:rsidRPr="009E247B">
        <w:rPr>
          <w:rFonts w:hint="cs"/>
          <w:sz w:val="18"/>
          <w:szCs w:val="26"/>
          <w:rtl/>
        </w:rPr>
        <w:tab/>
      </w:r>
      <w:r w:rsidRPr="009E247B">
        <w:rPr>
          <w:sz w:val="18"/>
          <w:szCs w:val="26"/>
          <w:rtl/>
        </w:rPr>
        <w:t xml:space="preserve">انظر البلاغ رقم 298/2006، </w:t>
      </w:r>
      <w:r w:rsidRPr="009E247B">
        <w:rPr>
          <w:i/>
          <w:iCs/>
          <w:sz w:val="18"/>
          <w:szCs w:val="26"/>
          <w:rtl/>
        </w:rPr>
        <w:t>ك. أ. ر. م. وآخرون ضد كندا</w:t>
      </w:r>
      <w:r w:rsidRPr="009E247B">
        <w:rPr>
          <w:sz w:val="18"/>
          <w:szCs w:val="26"/>
          <w:rtl/>
        </w:rPr>
        <w:t>، القرار المعتمد في 18 أيار/مايو 2007، الفقرة</w:t>
      </w:r>
      <w:r w:rsidRPr="009E247B">
        <w:rPr>
          <w:rFonts w:hint="cs"/>
          <w:sz w:val="18"/>
          <w:szCs w:val="26"/>
          <w:rtl/>
        </w:rPr>
        <w:t> </w:t>
      </w:r>
      <w:r w:rsidRPr="009E247B">
        <w:rPr>
          <w:sz w:val="18"/>
          <w:szCs w:val="26"/>
          <w:rtl/>
        </w:rPr>
        <w:t>8-10</w:t>
      </w:r>
      <w:r w:rsidRPr="009E247B">
        <w:rPr>
          <w:rFonts w:hint="cs"/>
          <w:sz w:val="18"/>
          <w:szCs w:val="26"/>
          <w:rtl/>
        </w:rPr>
        <w:t>؛</w:t>
      </w:r>
      <w:r w:rsidRPr="009E247B">
        <w:rPr>
          <w:sz w:val="18"/>
          <w:szCs w:val="26"/>
          <w:rtl/>
        </w:rPr>
        <w:t xml:space="preserve"> والبلاغ رقم 256/2004، </w:t>
      </w:r>
      <w:r w:rsidRPr="009E247B">
        <w:rPr>
          <w:i/>
          <w:iCs/>
          <w:sz w:val="18"/>
          <w:szCs w:val="26"/>
          <w:rtl/>
        </w:rPr>
        <w:t>م.</w:t>
      </w:r>
      <w:r w:rsidRPr="009E247B">
        <w:rPr>
          <w:rFonts w:hint="cs"/>
          <w:i/>
          <w:iCs/>
          <w:sz w:val="18"/>
          <w:szCs w:val="26"/>
          <w:rtl/>
        </w:rPr>
        <w:t xml:space="preserve"> </w:t>
      </w:r>
      <w:r w:rsidRPr="009E247B">
        <w:rPr>
          <w:i/>
          <w:iCs/>
          <w:sz w:val="18"/>
          <w:szCs w:val="26"/>
          <w:rtl/>
        </w:rPr>
        <w:t>ز</w:t>
      </w:r>
      <w:r w:rsidRPr="009E247B">
        <w:rPr>
          <w:rFonts w:hint="cs"/>
          <w:i/>
          <w:iCs/>
          <w:sz w:val="18"/>
          <w:szCs w:val="26"/>
          <w:rtl/>
        </w:rPr>
        <w:t>.</w:t>
      </w:r>
      <w:r w:rsidRPr="009E247B">
        <w:rPr>
          <w:i/>
          <w:iCs/>
          <w:sz w:val="18"/>
          <w:szCs w:val="26"/>
          <w:rtl/>
        </w:rPr>
        <w:t xml:space="preserve"> ضد السويد</w:t>
      </w:r>
      <w:r w:rsidRPr="009E247B">
        <w:rPr>
          <w:sz w:val="18"/>
          <w:szCs w:val="26"/>
          <w:rtl/>
        </w:rPr>
        <w:t>، القرار المعتمد في 12 أيار/مايو 2006، الفقرة</w:t>
      </w:r>
      <w:r w:rsidRPr="009E247B">
        <w:rPr>
          <w:rFonts w:hint="cs"/>
          <w:sz w:val="18"/>
          <w:szCs w:val="26"/>
          <w:rtl/>
        </w:rPr>
        <w:t> </w:t>
      </w:r>
      <w:r w:rsidRPr="009E247B">
        <w:rPr>
          <w:sz w:val="18"/>
          <w:szCs w:val="26"/>
          <w:rtl/>
        </w:rPr>
        <w:t>9-3</w:t>
      </w:r>
      <w:r w:rsidRPr="009E247B">
        <w:rPr>
          <w:rFonts w:hint="cs"/>
          <w:sz w:val="18"/>
          <w:szCs w:val="26"/>
          <w:rtl/>
        </w:rPr>
        <w:t>؛</w:t>
      </w:r>
      <w:r w:rsidRPr="009E247B">
        <w:rPr>
          <w:sz w:val="18"/>
          <w:szCs w:val="26"/>
          <w:rtl/>
        </w:rPr>
        <w:t xml:space="preserve"> والبلاغ رقم 214/2002، </w:t>
      </w:r>
      <w:r w:rsidRPr="009E247B">
        <w:rPr>
          <w:i/>
          <w:iCs/>
          <w:sz w:val="18"/>
          <w:szCs w:val="26"/>
          <w:rtl/>
        </w:rPr>
        <w:t>م. أ. ك. ضد ألمانيا</w:t>
      </w:r>
      <w:r w:rsidRPr="009E247B">
        <w:rPr>
          <w:sz w:val="18"/>
          <w:szCs w:val="26"/>
          <w:rtl/>
        </w:rPr>
        <w:t>، القرار المعتمد في 12 أيار/مايو 2004، الفقرة</w:t>
      </w:r>
      <w:r w:rsidRPr="009E247B">
        <w:rPr>
          <w:rFonts w:hint="cs"/>
          <w:sz w:val="18"/>
          <w:szCs w:val="26"/>
          <w:rtl/>
        </w:rPr>
        <w:t> </w:t>
      </w:r>
      <w:r w:rsidRPr="009E247B">
        <w:rPr>
          <w:sz w:val="18"/>
          <w:szCs w:val="26"/>
          <w:rtl/>
        </w:rPr>
        <w:t>13-5</w:t>
      </w:r>
      <w:r w:rsidRPr="009E247B">
        <w:rPr>
          <w:rFonts w:hint="cs"/>
          <w:sz w:val="18"/>
          <w:szCs w:val="26"/>
          <w:rtl/>
        </w:rPr>
        <w:t>؛</w:t>
      </w:r>
      <w:r w:rsidRPr="009E247B">
        <w:rPr>
          <w:sz w:val="18"/>
          <w:szCs w:val="26"/>
          <w:rtl/>
        </w:rPr>
        <w:t xml:space="preserve"> والبلاغ رقم</w:t>
      </w:r>
      <w:r w:rsidRPr="009E247B">
        <w:rPr>
          <w:rFonts w:hint="cs"/>
          <w:sz w:val="18"/>
          <w:szCs w:val="26"/>
          <w:rtl/>
        </w:rPr>
        <w:t xml:space="preserve"> </w:t>
      </w:r>
      <w:r w:rsidRPr="009E247B">
        <w:rPr>
          <w:sz w:val="18"/>
          <w:szCs w:val="26"/>
          <w:rtl/>
        </w:rPr>
        <w:t xml:space="preserve">150/1999، </w:t>
      </w:r>
      <w:r w:rsidRPr="009E247B">
        <w:rPr>
          <w:i/>
          <w:iCs/>
          <w:sz w:val="18"/>
          <w:szCs w:val="26"/>
          <w:rtl/>
        </w:rPr>
        <w:t>س. ل. ضد السويد</w:t>
      </w:r>
      <w:r w:rsidRPr="009E247B">
        <w:rPr>
          <w:sz w:val="18"/>
          <w:szCs w:val="26"/>
          <w:rtl/>
        </w:rPr>
        <w:t>، الفقرة 6-3</w:t>
      </w:r>
      <w:r w:rsidRPr="009E247B">
        <w:rPr>
          <w:rFonts w:hint="cs"/>
          <w:sz w:val="18"/>
          <w:szCs w:val="26"/>
          <w:rtl/>
        </w:rPr>
        <w:t>؛</w:t>
      </w:r>
      <w:r w:rsidRPr="009E247B">
        <w:rPr>
          <w:sz w:val="18"/>
          <w:szCs w:val="26"/>
          <w:rtl/>
        </w:rPr>
        <w:t xml:space="preserve"> والبلاغ رقم 347/2008، </w:t>
      </w:r>
      <w:r w:rsidRPr="009E247B">
        <w:rPr>
          <w:i/>
          <w:iCs/>
          <w:sz w:val="18"/>
          <w:szCs w:val="26"/>
          <w:rtl/>
        </w:rPr>
        <w:t>ن.</w:t>
      </w:r>
      <w:r w:rsidRPr="009E247B">
        <w:rPr>
          <w:rFonts w:hint="cs"/>
          <w:i/>
          <w:iCs/>
          <w:sz w:val="18"/>
          <w:szCs w:val="26"/>
          <w:rtl/>
        </w:rPr>
        <w:t> </w:t>
      </w:r>
      <w:r w:rsidRPr="009E247B">
        <w:rPr>
          <w:i/>
          <w:iCs/>
          <w:sz w:val="18"/>
          <w:szCs w:val="26"/>
          <w:rtl/>
        </w:rPr>
        <w:t>ب.</w:t>
      </w:r>
      <w:r w:rsidRPr="009E247B">
        <w:rPr>
          <w:rFonts w:hint="cs"/>
          <w:i/>
          <w:iCs/>
          <w:sz w:val="18"/>
          <w:szCs w:val="26"/>
          <w:rtl/>
        </w:rPr>
        <w:t xml:space="preserve"> </w:t>
      </w:r>
      <w:r w:rsidRPr="009E247B">
        <w:rPr>
          <w:i/>
          <w:iCs/>
          <w:sz w:val="18"/>
          <w:szCs w:val="26"/>
          <w:rtl/>
        </w:rPr>
        <w:t>م. ضد سويسرا</w:t>
      </w:r>
      <w:r w:rsidRPr="009E247B">
        <w:rPr>
          <w:sz w:val="18"/>
          <w:szCs w:val="26"/>
          <w:rtl/>
        </w:rPr>
        <w:t xml:space="preserve">، القرار المعتمد في 14 تشرين الثاني/نوفمبر 2011، الفقرة 9-9.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7B" w:rsidRPr="009E247B" w:rsidRDefault="009E247B" w:rsidP="009E247B">
    <w:pPr>
      <w:pStyle w:val="Header"/>
      <w:jc w:val="right"/>
    </w:pPr>
    <w:r w:rsidRPr="009E247B">
      <w:t>CAT/C/55/D/530/2012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7B" w:rsidRPr="009E247B" w:rsidRDefault="009E247B" w:rsidP="009E247B">
    <w:pPr>
      <w:pStyle w:val="Header"/>
      <w:jc w:val="left"/>
    </w:pPr>
    <w:r w:rsidRPr="009E247B">
      <w:t>CAT/C/55/D/530/2012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2"/>
  </w:num>
  <w:num w:numId="7">
    <w:abstractNumId w:val="9"/>
  </w:num>
  <w:num w:numId="8">
    <w:abstractNumId w:val="0"/>
  </w:num>
  <w:num w:numId="9">
    <w:abstractNumId w:val="4"/>
  </w:num>
  <w:num w:numId="10">
    <w:abstractNumId w:val="2"/>
  </w:num>
  <w:num w:numId="11">
    <w:abstractNumId w:val="9"/>
  </w:num>
  <w:num w:numId="12">
    <w:abstractNumId w:val="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D5552"/>
    <w:rsid w:val="000076D5"/>
    <w:rsid w:val="00043663"/>
    <w:rsid w:val="000505CF"/>
    <w:rsid w:val="000A2113"/>
    <w:rsid w:val="000D701C"/>
    <w:rsid w:val="000E2A71"/>
    <w:rsid w:val="00160263"/>
    <w:rsid w:val="001723DD"/>
    <w:rsid w:val="00181F96"/>
    <w:rsid w:val="001A1371"/>
    <w:rsid w:val="001B346A"/>
    <w:rsid w:val="001E1CAD"/>
    <w:rsid w:val="001E290D"/>
    <w:rsid w:val="002144FA"/>
    <w:rsid w:val="0023469A"/>
    <w:rsid w:val="00243C8A"/>
    <w:rsid w:val="00267A0E"/>
    <w:rsid w:val="002770FD"/>
    <w:rsid w:val="002901D9"/>
    <w:rsid w:val="002976C2"/>
    <w:rsid w:val="003260FF"/>
    <w:rsid w:val="00343D95"/>
    <w:rsid w:val="00374341"/>
    <w:rsid w:val="00384DA7"/>
    <w:rsid w:val="003D1062"/>
    <w:rsid w:val="00411E5D"/>
    <w:rsid w:val="00420D7B"/>
    <w:rsid w:val="00450B21"/>
    <w:rsid w:val="00453B63"/>
    <w:rsid w:val="00455780"/>
    <w:rsid w:val="004956DC"/>
    <w:rsid w:val="004B0A1C"/>
    <w:rsid w:val="004D298E"/>
    <w:rsid w:val="00531DA7"/>
    <w:rsid w:val="0054472E"/>
    <w:rsid w:val="005662A9"/>
    <w:rsid w:val="005827D4"/>
    <w:rsid w:val="00594B08"/>
    <w:rsid w:val="0059622A"/>
    <w:rsid w:val="005C5878"/>
    <w:rsid w:val="005C7CEA"/>
    <w:rsid w:val="005D3C0B"/>
    <w:rsid w:val="005E5217"/>
    <w:rsid w:val="005F0FA4"/>
    <w:rsid w:val="005F30EE"/>
    <w:rsid w:val="0060473A"/>
    <w:rsid w:val="00656392"/>
    <w:rsid w:val="006646E9"/>
    <w:rsid w:val="0068781D"/>
    <w:rsid w:val="006959B0"/>
    <w:rsid w:val="006B3E27"/>
    <w:rsid w:val="006B6507"/>
    <w:rsid w:val="006C104C"/>
    <w:rsid w:val="00733704"/>
    <w:rsid w:val="00761849"/>
    <w:rsid w:val="0077217B"/>
    <w:rsid w:val="0078071A"/>
    <w:rsid w:val="007A6A45"/>
    <w:rsid w:val="007D35CE"/>
    <w:rsid w:val="00817373"/>
    <w:rsid w:val="0081790E"/>
    <w:rsid w:val="00852A9A"/>
    <w:rsid w:val="008F49E1"/>
    <w:rsid w:val="0090370F"/>
    <w:rsid w:val="009269D2"/>
    <w:rsid w:val="00942135"/>
    <w:rsid w:val="009521B0"/>
    <w:rsid w:val="00981C12"/>
    <w:rsid w:val="009A7E9F"/>
    <w:rsid w:val="009D5552"/>
    <w:rsid w:val="009E247B"/>
    <w:rsid w:val="009E5018"/>
    <w:rsid w:val="00A12B37"/>
    <w:rsid w:val="00A34EA8"/>
    <w:rsid w:val="00A67AF5"/>
    <w:rsid w:val="00A94CA3"/>
    <w:rsid w:val="00AB6758"/>
    <w:rsid w:val="00AC6FEA"/>
    <w:rsid w:val="00B13763"/>
    <w:rsid w:val="00B477A4"/>
    <w:rsid w:val="00B54045"/>
    <w:rsid w:val="00C438D7"/>
    <w:rsid w:val="00C67BDF"/>
    <w:rsid w:val="00C81B50"/>
    <w:rsid w:val="00CD1801"/>
    <w:rsid w:val="00D10EF1"/>
    <w:rsid w:val="00D42810"/>
    <w:rsid w:val="00D914A7"/>
    <w:rsid w:val="00DC1D29"/>
    <w:rsid w:val="00DD13C3"/>
    <w:rsid w:val="00DD596E"/>
    <w:rsid w:val="00DD621E"/>
    <w:rsid w:val="00DE340A"/>
    <w:rsid w:val="00DF0575"/>
    <w:rsid w:val="00E15A91"/>
    <w:rsid w:val="00E15E73"/>
    <w:rsid w:val="00E30487"/>
    <w:rsid w:val="00E70E04"/>
    <w:rsid w:val="00E76499"/>
    <w:rsid w:val="00E81171"/>
    <w:rsid w:val="00EC05A7"/>
    <w:rsid w:val="00EC4B6B"/>
    <w:rsid w:val="00EE4D3F"/>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qFormat="1"/>
    <w:lsdException w:name="line number"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uiPriority w:val="99"/>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uiPriority w:val="99"/>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6646E9"/>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6646E9"/>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uiPriority w:val="99"/>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
    <w:name w:val="_ H_1"/>
    <w:basedOn w:val="Normal"/>
    <w:next w:val="SingleTxt"/>
    <w:qFormat/>
    <w:rsid w:val="009E247B"/>
    <w:pPr>
      <w:keepNext/>
      <w:keepLines/>
      <w:spacing w:line="400" w:lineRule="exact"/>
      <w:outlineLvl w:val="0"/>
    </w:pPr>
    <w:rPr>
      <w:rFonts w:eastAsia="Calibri"/>
      <w:b/>
      <w:bCs/>
      <w:w w:val="103"/>
      <w:kern w:val="14"/>
      <w:sz w:val="24"/>
      <w:szCs w:val="34"/>
    </w:rPr>
  </w:style>
  <w:style w:type="paragraph" w:customStyle="1" w:styleId="HCh">
    <w:name w:val="_ H _Ch"/>
    <w:basedOn w:val="H1"/>
    <w:next w:val="SingleTxt"/>
    <w:qFormat/>
    <w:rsid w:val="009E247B"/>
    <w:pPr>
      <w:spacing w:line="450" w:lineRule="exact"/>
    </w:pPr>
    <w:rPr>
      <w:spacing w:val="-2"/>
      <w:sz w:val="28"/>
      <w:szCs w:val="38"/>
    </w:rPr>
  </w:style>
  <w:style w:type="character" w:styleId="CommentReference">
    <w:name w:val="annotation reference"/>
    <w:uiPriority w:val="99"/>
    <w:semiHidden/>
    <w:rsid w:val="009E247B"/>
    <w:rPr>
      <w:sz w:val="6"/>
      <w:szCs w:val="9"/>
    </w:rPr>
  </w:style>
  <w:style w:type="paragraph" w:customStyle="1" w:styleId="HM">
    <w:name w:val="_ H __M"/>
    <w:basedOn w:val="HCh"/>
    <w:next w:val="Normal"/>
    <w:qFormat/>
    <w:rsid w:val="009E247B"/>
    <w:pPr>
      <w:suppressAutoHyphens/>
      <w:spacing w:line="540" w:lineRule="exact"/>
    </w:pPr>
    <w:rPr>
      <w:spacing w:val="-3"/>
      <w:w w:val="99"/>
      <w:sz w:val="34"/>
      <w:szCs w:val="51"/>
    </w:rPr>
  </w:style>
  <w:style w:type="paragraph" w:customStyle="1" w:styleId="SingleTxt">
    <w:name w:val="__Single Txt"/>
    <w:basedOn w:val="Normal"/>
    <w:qFormat/>
    <w:rsid w:val="009E247B"/>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Calibri"/>
      <w:w w:val="103"/>
      <w:kern w:val="14"/>
    </w:rPr>
  </w:style>
  <w:style w:type="paragraph" w:customStyle="1" w:styleId="H23">
    <w:name w:val="_ H_2/3"/>
    <w:basedOn w:val="H1"/>
    <w:next w:val="SingleTxt"/>
    <w:qFormat/>
    <w:rsid w:val="009E247B"/>
    <w:pPr>
      <w:suppressAutoHyphens/>
      <w:outlineLvl w:val="1"/>
    </w:pPr>
    <w:rPr>
      <w:spacing w:val="2"/>
      <w:sz w:val="20"/>
      <w:szCs w:val="30"/>
    </w:rPr>
  </w:style>
  <w:style w:type="paragraph" w:customStyle="1" w:styleId="H4">
    <w:name w:val="_ H_4"/>
    <w:basedOn w:val="Normal"/>
    <w:next w:val="Normal"/>
    <w:qFormat/>
    <w:rsid w:val="009E247B"/>
    <w:pPr>
      <w:keepNext/>
      <w:keepLines/>
      <w:suppressAutoHyphens/>
      <w:spacing w:line="360" w:lineRule="exact"/>
      <w:outlineLvl w:val="3"/>
    </w:pPr>
    <w:rPr>
      <w:rFonts w:eastAsia="Calibri"/>
      <w:i/>
      <w:iCs/>
      <w:spacing w:val="3"/>
      <w:w w:val="103"/>
      <w:kern w:val="14"/>
    </w:rPr>
  </w:style>
  <w:style w:type="paragraph" w:customStyle="1" w:styleId="H56">
    <w:name w:val="_ H_5/6"/>
    <w:basedOn w:val="Normal"/>
    <w:next w:val="Normal"/>
    <w:qFormat/>
    <w:rsid w:val="009E247B"/>
    <w:pPr>
      <w:keepNext/>
      <w:keepLines/>
      <w:suppressAutoHyphens/>
      <w:spacing w:line="360" w:lineRule="exact"/>
      <w:outlineLvl w:val="4"/>
    </w:pPr>
    <w:rPr>
      <w:rFonts w:eastAsia="Calibri"/>
      <w:w w:val="103"/>
      <w:kern w:val="14"/>
    </w:rPr>
  </w:style>
  <w:style w:type="paragraph" w:customStyle="1" w:styleId="DualTxt">
    <w:name w:val="__Dual Txt"/>
    <w:basedOn w:val="Normal"/>
    <w:qFormat/>
    <w:rsid w:val="009E247B"/>
    <w:pPr>
      <w:tabs>
        <w:tab w:val="left" w:pos="662"/>
        <w:tab w:val="left" w:pos="1325"/>
        <w:tab w:val="left" w:pos="1987"/>
        <w:tab w:val="left" w:pos="2650"/>
        <w:tab w:val="left" w:pos="3312"/>
        <w:tab w:val="left" w:pos="3974"/>
        <w:tab w:val="left" w:pos="4637"/>
      </w:tabs>
      <w:spacing w:after="120" w:line="400" w:lineRule="exact"/>
    </w:pPr>
    <w:rPr>
      <w:rFonts w:eastAsia="Calibri"/>
      <w:w w:val="103"/>
      <w:kern w:val="14"/>
    </w:rPr>
  </w:style>
  <w:style w:type="paragraph" w:customStyle="1" w:styleId="JDualTxt">
    <w:name w:val="J__Dual Txt"/>
    <w:basedOn w:val="Normal"/>
    <w:qFormat/>
    <w:rsid w:val="009E247B"/>
    <w:pPr>
      <w:tabs>
        <w:tab w:val="left" w:pos="475"/>
        <w:tab w:val="left" w:pos="950"/>
        <w:tab w:val="left" w:pos="1426"/>
        <w:tab w:val="left" w:pos="1901"/>
        <w:tab w:val="center" w:pos="2563"/>
        <w:tab w:val="right" w:pos="5040"/>
      </w:tabs>
      <w:spacing w:after="80" w:line="300" w:lineRule="exact"/>
    </w:pPr>
    <w:rPr>
      <w:rFonts w:eastAsia="Calibri"/>
      <w:w w:val="103"/>
      <w:kern w:val="14"/>
      <w:sz w:val="17"/>
      <w:szCs w:val="26"/>
    </w:rPr>
  </w:style>
  <w:style w:type="paragraph" w:customStyle="1" w:styleId="JSingleTxt">
    <w:name w:val="J__Single Txt"/>
    <w:basedOn w:val="Normal"/>
    <w:qFormat/>
    <w:rsid w:val="009E247B"/>
    <w:pPr>
      <w:tabs>
        <w:tab w:val="left" w:pos="1843"/>
        <w:tab w:val="left" w:pos="2419"/>
        <w:tab w:val="left" w:pos="2995"/>
        <w:tab w:val="left" w:pos="3571"/>
        <w:tab w:val="left" w:pos="4147"/>
        <w:tab w:val="left" w:pos="4723"/>
        <w:tab w:val="center" w:pos="5486"/>
        <w:tab w:val="right" w:pos="9547"/>
      </w:tabs>
      <w:spacing w:after="80" w:line="300" w:lineRule="exact"/>
    </w:pPr>
    <w:rPr>
      <w:rFonts w:eastAsia="Calibri"/>
      <w:w w:val="103"/>
      <w:kern w:val="14"/>
      <w:sz w:val="17"/>
      <w:szCs w:val="26"/>
    </w:rPr>
  </w:style>
  <w:style w:type="paragraph" w:customStyle="1" w:styleId="JCH">
    <w:name w:val="J_C_H"/>
    <w:basedOn w:val="JSingleTxt"/>
    <w:qFormat/>
    <w:rsid w:val="009E247B"/>
    <w:pPr>
      <w:spacing w:after="120" w:line="440" w:lineRule="exact"/>
      <w:jc w:val="center"/>
    </w:pPr>
    <w:rPr>
      <w:b/>
      <w:bCs/>
      <w:sz w:val="25"/>
      <w:szCs w:val="38"/>
    </w:rPr>
  </w:style>
  <w:style w:type="paragraph" w:customStyle="1" w:styleId="JH1">
    <w:name w:val="J_H_1"/>
    <w:basedOn w:val="JCH"/>
    <w:qFormat/>
    <w:rsid w:val="009E247B"/>
    <w:pPr>
      <w:spacing w:line="420" w:lineRule="exact"/>
    </w:pPr>
    <w:rPr>
      <w:sz w:val="23"/>
      <w:szCs w:val="34"/>
    </w:rPr>
  </w:style>
  <w:style w:type="paragraph" w:customStyle="1" w:styleId="JH2">
    <w:name w:val="J_H_2"/>
    <w:basedOn w:val="JH1"/>
    <w:qFormat/>
    <w:rsid w:val="009E247B"/>
    <w:pPr>
      <w:spacing w:line="400" w:lineRule="exact"/>
    </w:pPr>
    <w:rPr>
      <w:sz w:val="20"/>
      <w:szCs w:val="30"/>
    </w:rPr>
  </w:style>
  <w:style w:type="paragraph" w:customStyle="1" w:styleId="JSmall">
    <w:name w:val="J_Small"/>
    <w:basedOn w:val="JSingleTxt"/>
    <w:next w:val="JSingleTxt"/>
    <w:qFormat/>
    <w:rsid w:val="009E247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9E247B"/>
    <w:pPr>
      <w:tabs>
        <w:tab w:val="right" w:leader="dot" w:pos="360"/>
      </w:tabs>
      <w:spacing w:line="310" w:lineRule="exact"/>
      <w:jc w:val="right"/>
    </w:pPr>
    <w:rPr>
      <w:rFonts w:eastAsia="Calibri"/>
      <w:spacing w:val="5"/>
      <w:w w:val="104"/>
      <w:kern w:val="14"/>
      <w:sz w:val="17"/>
      <w:szCs w:val="25"/>
    </w:rPr>
  </w:style>
  <w:style w:type="character" w:styleId="LineNumber">
    <w:name w:val="line number"/>
    <w:qFormat/>
    <w:rsid w:val="009E247B"/>
    <w:rPr>
      <w:sz w:val="14"/>
      <w:szCs w:val="16"/>
    </w:rPr>
  </w:style>
  <w:style w:type="paragraph" w:customStyle="1" w:styleId="SmallX">
    <w:name w:val="SmallX"/>
    <w:basedOn w:val="Small"/>
    <w:next w:val="Normal"/>
    <w:qFormat/>
    <w:rsid w:val="009E247B"/>
    <w:pPr>
      <w:spacing w:line="240" w:lineRule="exact"/>
    </w:pPr>
    <w:rPr>
      <w:spacing w:val="6"/>
      <w:w w:val="106"/>
      <w:sz w:val="14"/>
      <w:szCs w:val="21"/>
    </w:rPr>
  </w:style>
  <w:style w:type="paragraph" w:customStyle="1" w:styleId="XLarge">
    <w:name w:val="XLarge"/>
    <w:basedOn w:val="HM"/>
    <w:qFormat/>
    <w:rsid w:val="009E247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E247B"/>
    <w:pPr>
      <w:spacing w:line="820" w:lineRule="exact"/>
    </w:pPr>
    <w:rPr>
      <w:spacing w:val="-8"/>
      <w:w w:val="96"/>
      <w:sz w:val="57"/>
      <w:szCs w:val="86"/>
    </w:rPr>
  </w:style>
  <w:style w:type="paragraph" w:customStyle="1" w:styleId="Distribution">
    <w:name w:val="Distribution"/>
    <w:basedOn w:val="Normal"/>
    <w:next w:val="Normal"/>
    <w:qFormat/>
    <w:rsid w:val="009E247B"/>
    <w:pPr>
      <w:tabs>
        <w:tab w:val="left" w:pos="662"/>
        <w:tab w:val="left" w:pos="1267"/>
        <w:tab w:val="left" w:pos="1987"/>
        <w:tab w:val="left" w:pos="2650"/>
      </w:tabs>
      <w:spacing w:line="240" w:lineRule="exact"/>
    </w:pPr>
    <w:rPr>
      <w:rFonts w:eastAsia="Calibri"/>
      <w:w w:val="103"/>
      <w:kern w:val="14"/>
    </w:rPr>
  </w:style>
  <w:style w:type="paragraph" w:customStyle="1" w:styleId="Publication">
    <w:name w:val="Publication"/>
    <w:basedOn w:val="Normal"/>
    <w:next w:val="Normal"/>
    <w:qFormat/>
    <w:rsid w:val="009E247B"/>
    <w:pPr>
      <w:tabs>
        <w:tab w:val="left" w:pos="662"/>
        <w:tab w:val="left" w:pos="1267"/>
        <w:tab w:val="left" w:pos="1987"/>
        <w:tab w:val="left" w:pos="2650"/>
      </w:tabs>
      <w:spacing w:line="240" w:lineRule="exact"/>
    </w:pPr>
    <w:rPr>
      <w:rFonts w:eastAsia="Calibri"/>
      <w:w w:val="103"/>
      <w:kern w:val="14"/>
    </w:rPr>
  </w:style>
  <w:style w:type="paragraph" w:customStyle="1" w:styleId="Original">
    <w:name w:val="Original"/>
    <w:basedOn w:val="Normal"/>
    <w:next w:val="Normal"/>
    <w:qFormat/>
    <w:rsid w:val="009E247B"/>
    <w:pPr>
      <w:tabs>
        <w:tab w:val="left" w:pos="662"/>
        <w:tab w:val="left" w:pos="1267"/>
        <w:tab w:val="left" w:pos="1987"/>
        <w:tab w:val="left" w:pos="2650"/>
      </w:tabs>
      <w:spacing w:line="240" w:lineRule="exact"/>
    </w:pPr>
    <w:rPr>
      <w:rFonts w:eastAsia="Calibri"/>
      <w:w w:val="103"/>
      <w:kern w:val="14"/>
    </w:rPr>
  </w:style>
  <w:style w:type="paragraph" w:customStyle="1" w:styleId="ReleaseDate">
    <w:name w:val="Release Date"/>
    <w:next w:val="Footer"/>
    <w:qFormat/>
    <w:rsid w:val="009E247B"/>
    <w:pPr>
      <w:tabs>
        <w:tab w:val="center" w:pos="4320"/>
        <w:tab w:val="right" w:pos="8640"/>
      </w:tabs>
      <w:spacing w:after="0" w:line="210" w:lineRule="exact"/>
      <w:jc w:val="right"/>
    </w:pPr>
    <w:rPr>
      <w:rFonts w:ascii="Times New Roman" w:eastAsia="Calibri" w:hAnsi="Times New Roman" w:cs="Traditional Arabic"/>
      <w:w w:val="103"/>
      <w:kern w:val="14"/>
      <w:sz w:val="20"/>
      <w:szCs w:val="30"/>
    </w:rPr>
  </w:style>
  <w:style w:type="paragraph" w:customStyle="1" w:styleId="Session">
    <w:name w:val="Session"/>
    <w:basedOn w:val="H23"/>
    <w:qFormat/>
    <w:rsid w:val="009E247B"/>
    <w:pPr>
      <w:tabs>
        <w:tab w:val="left" w:pos="662"/>
        <w:tab w:val="left" w:pos="1267"/>
        <w:tab w:val="left" w:pos="1987"/>
        <w:tab w:val="left" w:pos="2650"/>
      </w:tabs>
      <w:ind w:left="663" w:hanging="663"/>
    </w:pPr>
  </w:style>
  <w:style w:type="paragraph" w:customStyle="1" w:styleId="Committee">
    <w:name w:val="Committee"/>
    <w:basedOn w:val="H1"/>
    <w:qFormat/>
    <w:rsid w:val="009E247B"/>
    <w:pPr>
      <w:tabs>
        <w:tab w:val="left" w:pos="662"/>
        <w:tab w:val="left" w:pos="1267"/>
        <w:tab w:val="left" w:pos="1987"/>
        <w:tab w:val="left" w:pos="2650"/>
      </w:tabs>
      <w:ind w:right="1264"/>
    </w:pPr>
  </w:style>
  <w:style w:type="paragraph" w:customStyle="1" w:styleId="AgendaTitle">
    <w:name w:val="AgendaTitle"/>
    <w:basedOn w:val="Normal"/>
    <w:next w:val="Normal"/>
    <w:qFormat/>
    <w:rsid w:val="009E247B"/>
    <w:pPr>
      <w:tabs>
        <w:tab w:val="left" w:pos="662"/>
        <w:tab w:val="left" w:pos="1267"/>
        <w:tab w:val="left" w:pos="1325"/>
        <w:tab w:val="left" w:pos="1987"/>
        <w:tab w:val="left" w:pos="2650"/>
        <w:tab w:val="left" w:pos="3312"/>
      </w:tabs>
      <w:spacing w:line="400" w:lineRule="exact"/>
      <w:ind w:left="1264" w:hanging="1264"/>
    </w:pPr>
    <w:rPr>
      <w:rFonts w:eastAsia="Calibri"/>
      <w:w w:val="103"/>
      <w:kern w:val="14"/>
    </w:rPr>
  </w:style>
  <w:style w:type="paragraph" w:customStyle="1" w:styleId="Sponsors">
    <w:name w:val="Sponsors"/>
    <w:basedOn w:val="H23"/>
    <w:qFormat/>
    <w:rsid w:val="009E247B"/>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9E247B"/>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9E247B"/>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9E247B"/>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uiPriority w:val="99"/>
    <w:rsid w:val="009E247B"/>
    <w:rPr>
      <w:color w:val="0000FF"/>
      <w:u w:val="single"/>
    </w:rPr>
  </w:style>
  <w:style w:type="character" w:styleId="FollowedHyperlink">
    <w:name w:val="FollowedHyperlink"/>
    <w:rsid w:val="009E247B"/>
    <w:rPr>
      <w:color w:val="0000FF"/>
      <w:u w:val="single"/>
    </w:rPr>
  </w:style>
  <w:style w:type="paragraph" w:customStyle="1" w:styleId="Bullet1">
    <w:name w:val="Bullet 1"/>
    <w:basedOn w:val="Normal"/>
    <w:qFormat/>
    <w:rsid w:val="009E247B"/>
    <w:pPr>
      <w:numPr>
        <w:numId w:val="12"/>
      </w:numPr>
      <w:spacing w:after="120" w:line="240" w:lineRule="exact"/>
      <w:ind w:left="1743" w:right="1267" w:hanging="130"/>
    </w:pPr>
    <w:rPr>
      <w:rFonts w:eastAsia="Calibri"/>
      <w:w w:val="103"/>
      <w:kern w:val="14"/>
    </w:rPr>
  </w:style>
  <w:style w:type="paragraph" w:customStyle="1" w:styleId="Bullet2">
    <w:name w:val="Bullet 2"/>
    <w:basedOn w:val="Normal"/>
    <w:qFormat/>
    <w:rsid w:val="009E247B"/>
    <w:pPr>
      <w:numPr>
        <w:numId w:val="13"/>
      </w:numPr>
      <w:spacing w:after="120" w:line="240" w:lineRule="exact"/>
      <w:ind w:left="2218" w:right="1267" w:hanging="130"/>
    </w:pPr>
    <w:rPr>
      <w:rFonts w:eastAsia="Calibri"/>
      <w:w w:val="103"/>
      <w:kern w:val="14"/>
    </w:rPr>
  </w:style>
  <w:style w:type="paragraph" w:customStyle="1" w:styleId="Bullet3">
    <w:name w:val="Bullet 3"/>
    <w:basedOn w:val="SingleTxt"/>
    <w:qFormat/>
    <w:rsid w:val="009E247B"/>
    <w:pPr>
      <w:numPr>
        <w:numId w:val="14"/>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uiPriority w:val="99"/>
    <w:rsid w:val="009E247B"/>
    <w:pPr>
      <w:spacing w:line="240" w:lineRule="auto"/>
    </w:pPr>
    <w:rPr>
      <w:rFonts w:eastAsia="Calibri"/>
      <w:w w:val="103"/>
      <w:kern w:val="14"/>
      <w:szCs w:val="20"/>
    </w:rPr>
  </w:style>
  <w:style w:type="character" w:customStyle="1" w:styleId="CommentTextChar">
    <w:name w:val="Comment Text Char"/>
    <w:basedOn w:val="DefaultParagraphFont"/>
    <w:link w:val="CommentText"/>
    <w:uiPriority w:val="99"/>
    <w:rsid w:val="009E247B"/>
    <w:rPr>
      <w:rFonts w:ascii="Times New Roman" w:eastAsia="Calibri" w:hAnsi="Times New Roman" w:cs="Traditional Arabic"/>
      <w:w w:val="103"/>
      <w:kern w:val="14"/>
      <w:sz w:val="20"/>
      <w:szCs w:val="20"/>
    </w:rPr>
  </w:style>
  <w:style w:type="paragraph" w:styleId="CommentSubject">
    <w:name w:val="annotation subject"/>
    <w:basedOn w:val="CommentText"/>
    <w:next w:val="CommentText"/>
    <w:link w:val="CommentSubjectChar"/>
    <w:rsid w:val="009E247B"/>
    <w:rPr>
      <w:b/>
      <w:bCs/>
    </w:rPr>
  </w:style>
  <w:style w:type="character" w:customStyle="1" w:styleId="CommentSubjectChar">
    <w:name w:val="Comment Subject Char"/>
    <w:basedOn w:val="CommentTextChar"/>
    <w:link w:val="CommentSubject"/>
    <w:rsid w:val="009E247B"/>
    <w:rPr>
      <w:rFonts w:ascii="Times New Roman" w:eastAsia="Calibri" w:hAnsi="Times New Roman" w:cs="Traditional Arabic"/>
      <w:b/>
      <w:bCs/>
      <w:w w:val="103"/>
      <w:kern w:val="14"/>
      <w:sz w:val="20"/>
      <w:szCs w:val="20"/>
    </w:rPr>
  </w:style>
  <w:style w:type="character" w:customStyle="1" w:styleId="apple-converted-space">
    <w:name w:val="apple-converted-space"/>
    <w:uiPriority w:val="99"/>
    <w:rsid w:val="009E247B"/>
  </w:style>
  <w:style w:type="character" w:customStyle="1" w:styleId="illustration">
    <w:name w:val="illustration"/>
    <w:uiPriority w:val="99"/>
    <w:rsid w:val="009E247B"/>
  </w:style>
  <w:style w:type="character" w:customStyle="1" w:styleId="hvr">
    <w:name w:val="hvr"/>
    <w:uiPriority w:val="99"/>
    <w:rsid w:val="009E2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qFormat="1"/>
    <w:lsdException w:name="line number"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uiPriority w:val="99"/>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uiPriority w:val="99"/>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6646E9"/>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6646E9"/>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uiPriority w:val="99"/>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
    <w:name w:val="_ H_1"/>
    <w:basedOn w:val="Normal"/>
    <w:next w:val="SingleTxt"/>
    <w:qFormat/>
    <w:rsid w:val="009E247B"/>
    <w:pPr>
      <w:keepNext/>
      <w:keepLines/>
      <w:spacing w:line="400" w:lineRule="exact"/>
      <w:outlineLvl w:val="0"/>
    </w:pPr>
    <w:rPr>
      <w:rFonts w:eastAsia="Calibri"/>
      <w:b/>
      <w:bCs/>
      <w:w w:val="103"/>
      <w:kern w:val="14"/>
      <w:sz w:val="24"/>
      <w:szCs w:val="34"/>
    </w:rPr>
  </w:style>
  <w:style w:type="paragraph" w:customStyle="1" w:styleId="HCh">
    <w:name w:val="_ H _Ch"/>
    <w:basedOn w:val="H1"/>
    <w:next w:val="SingleTxt"/>
    <w:qFormat/>
    <w:rsid w:val="009E247B"/>
    <w:pPr>
      <w:spacing w:line="450" w:lineRule="exact"/>
    </w:pPr>
    <w:rPr>
      <w:spacing w:val="-2"/>
      <w:sz w:val="28"/>
      <w:szCs w:val="38"/>
    </w:rPr>
  </w:style>
  <w:style w:type="character" w:styleId="CommentReference">
    <w:name w:val="annotation reference"/>
    <w:uiPriority w:val="99"/>
    <w:semiHidden/>
    <w:rsid w:val="009E247B"/>
    <w:rPr>
      <w:sz w:val="6"/>
      <w:szCs w:val="9"/>
    </w:rPr>
  </w:style>
  <w:style w:type="paragraph" w:customStyle="1" w:styleId="HM">
    <w:name w:val="_ H __M"/>
    <w:basedOn w:val="HCh"/>
    <w:next w:val="Normal"/>
    <w:qFormat/>
    <w:rsid w:val="009E247B"/>
    <w:pPr>
      <w:suppressAutoHyphens/>
      <w:spacing w:line="540" w:lineRule="exact"/>
    </w:pPr>
    <w:rPr>
      <w:spacing w:val="-3"/>
      <w:w w:val="99"/>
      <w:sz w:val="34"/>
      <w:szCs w:val="51"/>
    </w:rPr>
  </w:style>
  <w:style w:type="paragraph" w:customStyle="1" w:styleId="SingleTxt">
    <w:name w:val="__Single Txt"/>
    <w:basedOn w:val="Normal"/>
    <w:qFormat/>
    <w:rsid w:val="009E247B"/>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Calibri"/>
      <w:w w:val="103"/>
      <w:kern w:val="14"/>
    </w:rPr>
  </w:style>
  <w:style w:type="paragraph" w:customStyle="1" w:styleId="H23">
    <w:name w:val="_ H_2/3"/>
    <w:basedOn w:val="H1"/>
    <w:next w:val="SingleTxt"/>
    <w:qFormat/>
    <w:rsid w:val="009E247B"/>
    <w:pPr>
      <w:suppressAutoHyphens/>
      <w:outlineLvl w:val="1"/>
    </w:pPr>
    <w:rPr>
      <w:spacing w:val="2"/>
      <w:sz w:val="20"/>
      <w:szCs w:val="30"/>
    </w:rPr>
  </w:style>
  <w:style w:type="paragraph" w:customStyle="1" w:styleId="H4">
    <w:name w:val="_ H_4"/>
    <w:basedOn w:val="Normal"/>
    <w:next w:val="Normal"/>
    <w:qFormat/>
    <w:rsid w:val="009E247B"/>
    <w:pPr>
      <w:keepNext/>
      <w:keepLines/>
      <w:suppressAutoHyphens/>
      <w:spacing w:line="360" w:lineRule="exact"/>
      <w:outlineLvl w:val="3"/>
    </w:pPr>
    <w:rPr>
      <w:rFonts w:eastAsia="Calibri"/>
      <w:i/>
      <w:iCs/>
      <w:spacing w:val="3"/>
      <w:w w:val="103"/>
      <w:kern w:val="14"/>
    </w:rPr>
  </w:style>
  <w:style w:type="paragraph" w:customStyle="1" w:styleId="H56">
    <w:name w:val="_ H_5/6"/>
    <w:basedOn w:val="Normal"/>
    <w:next w:val="Normal"/>
    <w:qFormat/>
    <w:rsid w:val="009E247B"/>
    <w:pPr>
      <w:keepNext/>
      <w:keepLines/>
      <w:suppressAutoHyphens/>
      <w:spacing w:line="360" w:lineRule="exact"/>
      <w:outlineLvl w:val="4"/>
    </w:pPr>
    <w:rPr>
      <w:rFonts w:eastAsia="Calibri"/>
      <w:w w:val="103"/>
      <w:kern w:val="14"/>
    </w:rPr>
  </w:style>
  <w:style w:type="paragraph" w:customStyle="1" w:styleId="DualTxt">
    <w:name w:val="__Dual Txt"/>
    <w:basedOn w:val="Normal"/>
    <w:qFormat/>
    <w:rsid w:val="009E247B"/>
    <w:pPr>
      <w:tabs>
        <w:tab w:val="left" w:pos="662"/>
        <w:tab w:val="left" w:pos="1325"/>
        <w:tab w:val="left" w:pos="1987"/>
        <w:tab w:val="left" w:pos="2650"/>
        <w:tab w:val="left" w:pos="3312"/>
        <w:tab w:val="left" w:pos="3974"/>
        <w:tab w:val="left" w:pos="4637"/>
      </w:tabs>
      <w:spacing w:after="120" w:line="400" w:lineRule="exact"/>
    </w:pPr>
    <w:rPr>
      <w:rFonts w:eastAsia="Calibri"/>
      <w:w w:val="103"/>
      <w:kern w:val="14"/>
    </w:rPr>
  </w:style>
  <w:style w:type="paragraph" w:customStyle="1" w:styleId="JDualTxt">
    <w:name w:val="J__Dual Txt"/>
    <w:basedOn w:val="Normal"/>
    <w:qFormat/>
    <w:rsid w:val="009E247B"/>
    <w:pPr>
      <w:tabs>
        <w:tab w:val="left" w:pos="475"/>
        <w:tab w:val="left" w:pos="950"/>
        <w:tab w:val="left" w:pos="1426"/>
        <w:tab w:val="left" w:pos="1901"/>
        <w:tab w:val="center" w:pos="2563"/>
        <w:tab w:val="right" w:pos="5040"/>
      </w:tabs>
      <w:spacing w:after="80" w:line="300" w:lineRule="exact"/>
    </w:pPr>
    <w:rPr>
      <w:rFonts w:eastAsia="Calibri"/>
      <w:w w:val="103"/>
      <w:kern w:val="14"/>
      <w:sz w:val="17"/>
      <w:szCs w:val="26"/>
    </w:rPr>
  </w:style>
  <w:style w:type="paragraph" w:customStyle="1" w:styleId="JSingleTxt">
    <w:name w:val="J__Single Txt"/>
    <w:basedOn w:val="Normal"/>
    <w:qFormat/>
    <w:rsid w:val="009E247B"/>
    <w:pPr>
      <w:tabs>
        <w:tab w:val="left" w:pos="1843"/>
        <w:tab w:val="left" w:pos="2419"/>
        <w:tab w:val="left" w:pos="2995"/>
        <w:tab w:val="left" w:pos="3571"/>
        <w:tab w:val="left" w:pos="4147"/>
        <w:tab w:val="left" w:pos="4723"/>
        <w:tab w:val="center" w:pos="5486"/>
        <w:tab w:val="right" w:pos="9547"/>
      </w:tabs>
      <w:spacing w:after="80" w:line="300" w:lineRule="exact"/>
    </w:pPr>
    <w:rPr>
      <w:rFonts w:eastAsia="Calibri"/>
      <w:w w:val="103"/>
      <w:kern w:val="14"/>
      <w:sz w:val="17"/>
      <w:szCs w:val="26"/>
    </w:rPr>
  </w:style>
  <w:style w:type="paragraph" w:customStyle="1" w:styleId="JCH">
    <w:name w:val="J_C_H"/>
    <w:basedOn w:val="JSingleTxt"/>
    <w:qFormat/>
    <w:rsid w:val="009E247B"/>
    <w:pPr>
      <w:spacing w:after="120" w:line="440" w:lineRule="exact"/>
      <w:jc w:val="center"/>
    </w:pPr>
    <w:rPr>
      <w:b/>
      <w:bCs/>
      <w:sz w:val="25"/>
      <w:szCs w:val="38"/>
    </w:rPr>
  </w:style>
  <w:style w:type="paragraph" w:customStyle="1" w:styleId="JH1">
    <w:name w:val="J_H_1"/>
    <w:basedOn w:val="JCH"/>
    <w:qFormat/>
    <w:rsid w:val="009E247B"/>
    <w:pPr>
      <w:spacing w:line="420" w:lineRule="exact"/>
    </w:pPr>
    <w:rPr>
      <w:sz w:val="23"/>
      <w:szCs w:val="34"/>
    </w:rPr>
  </w:style>
  <w:style w:type="paragraph" w:customStyle="1" w:styleId="JH2">
    <w:name w:val="J_H_2"/>
    <w:basedOn w:val="JH1"/>
    <w:qFormat/>
    <w:rsid w:val="009E247B"/>
    <w:pPr>
      <w:spacing w:line="400" w:lineRule="exact"/>
    </w:pPr>
    <w:rPr>
      <w:sz w:val="20"/>
      <w:szCs w:val="30"/>
    </w:rPr>
  </w:style>
  <w:style w:type="paragraph" w:customStyle="1" w:styleId="JSmall">
    <w:name w:val="J_Small"/>
    <w:basedOn w:val="JSingleTxt"/>
    <w:next w:val="JSingleTxt"/>
    <w:qFormat/>
    <w:rsid w:val="009E247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9E247B"/>
    <w:pPr>
      <w:tabs>
        <w:tab w:val="right" w:leader="dot" w:pos="360"/>
      </w:tabs>
      <w:spacing w:line="310" w:lineRule="exact"/>
      <w:jc w:val="right"/>
    </w:pPr>
    <w:rPr>
      <w:rFonts w:eastAsia="Calibri"/>
      <w:spacing w:val="5"/>
      <w:w w:val="104"/>
      <w:kern w:val="14"/>
      <w:sz w:val="17"/>
      <w:szCs w:val="25"/>
    </w:rPr>
  </w:style>
  <w:style w:type="character" w:styleId="LineNumber">
    <w:name w:val="line number"/>
    <w:qFormat/>
    <w:rsid w:val="009E247B"/>
    <w:rPr>
      <w:sz w:val="14"/>
      <w:szCs w:val="16"/>
    </w:rPr>
  </w:style>
  <w:style w:type="paragraph" w:customStyle="1" w:styleId="SmallX">
    <w:name w:val="SmallX"/>
    <w:basedOn w:val="Small"/>
    <w:next w:val="Normal"/>
    <w:qFormat/>
    <w:rsid w:val="009E247B"/>
    <w:pPr>
      <w:spacing w:line="240" w:lineRule="exact"/>
    </w:pPr>
    <w:rPr>
      <w:spacing w:val="6"/>
      <w:w w:val="106"/>
      <w:sz w:val="14"/>
      <w:szCs w:val="21"/>
    </w:rPr>
  </w:style>
  <w:style w:type="paragraph" w:customStyle="1" w:styleId="XLarge">
    <w:name w:val="XLarge"/>
    <w:basedOn w:val="HM"/>
    <w:qFormat/>
    <w:rsid w:val="009E247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E247B"/>
    <w:pPr>
      <w:spacing w:line="820" w:lineRule="exact"/>
    </w:pPr>
    <w:rPr>
      <w:spacing w:val="-8"/>
      <w:w w:val="96"/>
      <w:sz w:val="57"/>
      <w:szCs w:val="86"/>
    </w:rPr>
  </w:style>
  <w:style w:type="paragraph" w:customStyle="1" w:styleId="Distribution">
    <w:name w:val="Distribution"/>
    <w:basedOn w:val="Normal"/>
    <w:next w:val="Normal"/>
    <w:qFormat/>
    <w:rsid w:val="009E247B"/>
    <w:pPr>
      <w:tabs>
        <w:tab w:val="left" w:pos="662"/>
        <w:tab w:val="left" w:pos="1267"/>
        <w:tab w:val="left" w:pos="1987"/>
        <w:tab w:val="left" w:pos="2650"/>
      </w:tabs>
      <w:spacing w:line="240" w:lineRule="exact"/>
    </w:pPr>
    <w:rPr>
      <w:rFonts w:eastAsia="Calibri"/>
      <w:w w:val="103"/>
      <w:kern w:val="14"/>
    </w:rPr>
  </w:style>
  <w:style w:type="paragraph" w:customStyle="1" w:styleId="Publication">
    <w:name w:val="Publication"/>
    <w:basedOn w:val="Normal"/>
    <w:next w:val="Normal"/>
    <w:qFormat/>
    <w:rsid w:val="009E247B"/>
    <w:pPr>
      <w:tabs>
        <w:tab w:val="left" w:pos="662"/>
        <w:tab w:val="left" w:pos="1267"/>
        <w:tab w:val="left" w:pos="1987"/>
        <w:tab w:val="left" w:pos="2650"/>
      </w:tabs>
      <w:spacing w:line="240" w:lineRule="exact"/>
    </w:pPr>
    <w:rPr>
      <w:rFonts w:eastAsia="Calibri"/>
      <w:w w:val="103"/>
      <w:kern w:val="14"/>
    </w:rPr>
  </w:style>
  <w:style w:type="paragraph" w:customStyle="1" w:styleId="Original">
    <w:name w:val="Original"/>
    <w:basedOn w:val="Normal"/>
    <w:next w:val="Normal"/>
    <w:qFormat/>
    <w:rsid w:val="009E247B"/>
    <w:pPr>
      <w:tabs>
        <w:tab w:val="left" w:pos="662"/>
        <w:tab w:val="left" w:pos="1267"/>
        <w:tab w:val="left" w:pos="1987"/>
        <w:tab w:val="left" w:pos="2650"/>
      </w:tabs>
      <w:spacing w:line="240" w:lineRule="exact"/>
    </w:pPr>
    <w:rPr>
      <w:rFonts w:eastAsia="Calibri"/>
      <w:w w:val="103"/>
      <w:kern w:val="14"/>
    </w:rPr>
  </w:style>
  <w:style w:type="paragraph" w:customStyle="1" w:styleId="ReleaseDate">
    <w:name w:val="Release Date"/>
    <w:next w:val="Footer"/>
    <w:qFormat/>
    <w:rsid w:val="009E247B"/>
    <w:pPr>
      <w:tabs>
        <w:tab w:val="center" w:pos="4320"/>
        <w:tab w:val="right" w:pos="8640"/>
      </w:tabs>
      <w:spacing w:after="0" w:line="210" w:lineRule="exact"/>
      <w:jc w:val="right"/>
    </w:pPr>
    <w:rPr>
      <w:rFonts w:ascii="Times New Roman" w:eastAsia="Calibri" w:hAnsi="Times New Roman" w:cs="Traditional Arabic"/>
      <w:w w:val="103"/>
      <w:kern w:val="14"/>
      <w:sz w:val="20"/>
      <w:szCs w:val="30"/>
    </w:rPr>
  </w:style>
  <w:style w:type="paragraph" w:customStyle="1" w:styleId="Session">
    <w:name w:val="Session"/>
    <w:basedOn w:val="H23"/>
    <w:qFormat/>
    <w:rsid w:val="009E247B"/>
    <w:pPr>
      <w:tabs>
        <w:tab w:val="left" w:pos="662"/>
        <w:tab w:val="left" w:pos="1267"/>
        <w:tab w:val="left" w:pos="1987"/>
        <w:tab w:val="left" w:pos="2650"/>
      </w:tabs>
      <w:ind w:left="663" w:hanging="663"/>
    </w:pPr>
  </w:style>
  <w:style w:type="paragraph" w:customStyle="1" w:styleId="Committee">
    <w:name w:val="Committee"/>
    <w:basedOn w:val="H1"/>
    <w:qFormat/>
    <w:rsid w:val="009E247B"/>
    <w:pPr>
      <w:tabs>
        <w:tab w:val="left" w:pos="662"/>
        <w:tab w:val="left" w:pos="1267"/>
        <w:tab w:val="left" w:pos="1987"/>
        <w:tab w:val="left" w:pos="2650"/>
      </w:tabs>
      <w:ind w:right="1264"/>
    </w:pPr>
  </w:style>
  <w:style w:type="paragraph" w:customStyle="1" w:styleId="AgendaTitle">
    <w:name w:val="AgendaTitle"/>
    <w:basedOn w:val="Normal"/>
    <w:next w:val="Normal"/>
    <w:qFormat/>
    <w:rsid w:val="009E247B"/>
    <w:pPr>
      <w:tabs>
        <w:tab w:val="left" w:pos="662"/>
        <w:tab w:val="left" w:pos="1267"/>
        <w:tab w:val="left" w:pos="1325"/>
        <w:tab w:val="left" w:pos="1987"/>
        <w:tab w:val="left" w:pos="2650"/>
        <w:tab w:val="left" w:pos="3312"/>
      </w:tabs>
      <w:spacing w:line="400" w:lineRule="exact"/>
      <w:ind w:left="1264" w:hanging="1264"/>
    </w:pPr>
    <w:rPr>
      <w:rFonts w:eastAsia="Calibri"/>
      <w:w w:val="103"/>
      <w:kern w:val="14"/>
    </w:rPr>
  </w:style>
  <w:style w:type="paragraph" w:customStyle="1" w:styleId="Sponsors">
    <w:name w:val="Sponsors"/>
    <w:basedOn w:val="H23"/>
    <w:qFormat/>
    <w:rsid w:val="009E247B"/>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9E247B"/>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9E247B"/>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9E247B"/>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uiPriority w:val="99"/>
    <w:rsid w:val="009E247B"/>
    <w:rPr>
      <w:color w:val="0000FF"/>
      <w:u w:val="single"/>
    </w:rPr>
  </w:style>
  <w:style w:type="character" w:styleId="FollowedHyperlink">
    <w:name w:val="FollowedHyperlink"/>
    <w:rsid w:val="009E247B"/>
    <w:rPr>
      <w:color w:val="0000FF"/>
      <w:u w:val="single"/>
    </w:rPr>
  </w:style>
  <w:style w:type="paragraph" w:customStyle="1" w:styleId="Bullet1">
    <w:name w:val="Bullet 1"/>
    <w:basedOn w:val="Normal"/>
    <w:qFormat/>
    <w:rsid w:val="009E247B"/>
    <w:pPr>
      <w:numPr>
        <w:numId w:val="12"/>
      </w:numPr>
      <w:spacing w:after="120" w:line="240" w:lineRule="exact"/>
      <w:ind w:left="1743" w:right="1267" w:hanging="130"/>
    </w:pPr>
    <w:rPr>
      <w:rFonts w:eastAsia="Calibri"/>
      <w:w w:val="103"/>
      <w:kern w:val="14"/>
    </w:rPr>
  </w:style>
  <w:style w:type="paragraph" w:customStyle="1" w:styleId="Bullet2">
    <w:name w:val="Bullet 2"/>
    <w:basedOn w:val="Normal"/>
    <w:qFormat/>
    <w:rsid w:val="009E247B"/>
    <w:pPr>
      <w:numPr>
        <w:numId w:val="13"/>
      </w:numPr>
      <w:spacing w:after="120" w:line="240" w:lineRule="exact"/>
      <w:ind w:left="2218" w:right="1267" w:hanging="130"/>
    </w:pPr>
    <w:rPr>
      <w:rFonts w:eastAsia="Calibri"/>
      <w:w w:val="103"/>
      <w:kern w:val="14"/>
    </w:rPr>
  </w:style>
  <w:style w:type="paragraph" w:customStyle="1" w:styleId="Bullet3">
    <w:name w:val="Bullet 3"/>
    <w:basedOn w:val="SingleTxt"/>
    <w:qFormat/>
    <w:rsid w:val="009E247B"/>
    <w:pPr>
      <w:numPr>
        <w:numId w:val="14"/>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uiPriority w:val="99"/>
    <w:rsid w:val="009E247B"/>
    <w:pPr>
      <w:spacing w:line="240" w:lineRule="auto"/>
    </w:pPr>
    <w:rPr>
      <w:rFonts w:eastAsia="Calibri"/>
      <w:w w:val="103"/>
      <w:kern w:val="14"/>
      <w:szCs w:val="20"/>
    </w:rPr>
  </w:style>
  <w:style w:type="character" w:customStyle="1" w:styleId="CommentTextChar">
    <w:name w:val="Comment Text Char"/>
    <w:basedOn w:val="DefaultParagraphFont"/>
    <w:link w:val="CommentText"/>
    <w:uiPriority w:val="99"/>
    <w:rsid w:val="009E247B"/>
    <w:rPr>
      <w:rFonts w:ascii="Times New Roman" w:eastAsia="Calibri" w:hAnsi="Times New Roman" w:cs="Traditional Arabic"/>
      <w:w w:val="103"/>
      <w:kern w:val="14"/>
      <w:sz w:val="20"/>
      <w:szCs w:val="20"/>
    </w:rPr>
  </w:style>
  <w:style w:type="paragraph" w:styleId="CommentSubject">
    <w:name w:val="annotation subject"/>
    <w:basedOn w:val="CommentText"/>
    <w:next w:val="CommentText"/>
    <w:link w:val="CommentSubjectChar"/>
    <w:rsid w:val="009E247B"/>
    <w:rPr>
      <w:b/>
      <w:bCs/>
    </w:rPr>
  </w:style>
  <w:style w:type="character" w:customStyle="1" w:styleId="CommentSubjectChar">
    <w:name w:val="Comment Subject Char"/>
    <w:basedOn w:val="CommentTextChar"/>
    <w:link w:val="CommentSubject"/>
    <w:rsid w:val="009E247B"/>
    <w:rPr>
      <w:rFonts w:ascii="Times New Roman" w:eastAsia="Calibri" w:hAnsi="Times New Roman" w:cs="Traditional Arabic"/>
      <w:b/>
      <w:bCs/>
      <w:w w:val="103"/>
      <w:kern w:val="14"/>
      <w:sz w:val="20"/>
      <w:szCs w:val="20"/>
    </w:rPr>
  </w:style>
  <w:style w:type="character" w:customStyle="1" w:styleId="apple-converted-space">
    <w:name w:val="apple-converted-space"/>
    <w:uiPriority w:val="99"/>
    <w:rsid w:val="009E247B"/>
  </w:style>
  <w:style w:type="character" w:customStyle="1" w:styleId="illustration">
    <w:name w:val="illustration"/>
    <w:uiPriority w:val="99"/>
    <w:rsid w:val="009E247B"/>
  </w:style>
  <w:style w:type="character" w:customStyle="1" w:styleId="hvr">
    <w:name w:val="hvr"/>
    <w:uiPriority w:val="99"/>
    <w:rsid w:val="009E2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1CFD6-9F95-43A7-B0C6-B9C051E6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20</Pages>
  <Words>6392</Words>
  <Characters>36436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CAT/C/55/D/530/2012</vt:lpstr>
    </vt:vector>
  </TitlesOfParts>
  <Company>DCM</Company>
  <LinksUpToDate>false</LinksUpToDate>
  <CharactersWithSpaces>42743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CAT/C/55/D/530/2012</dc:title>
  <dc:subject>GE.1518386A</dc:subject>
  <dc:creator>Bahnassawy Mohamed</dc:creator>
  <cp:keywords>ODS No.1524106</cp:keywords>
  <dc:description>Distribution: General
Original: English
Date: 22 October 2015</dc:description>
  <cp:lastModifiedBy>Tpsara</cp:lastModifiedBy>
  <cp:revision>2</cp:revision>
  <cp:lastPrinted>2016-04-18T07:27:00Z</cp:lastPrinted>
  <dcterms:created xsi:type="dcterms:W3CDTF">2016-04-18T15:59:00Z</dcterms:created>
  <dcterms:modified xsi:type="dcterms:W3CDTF">2016-04-18T15:59:00Z</dcterms:modified>
  <cp:category>Final</cp:category>
</cp:coreProperties>
</file>