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8747B0" w14:paraId="796CC25E" w14:textId="77777777" w:rsidTr="009D5F1A">
        <w:trPr>
          <w:trHeight w:hRule="exact" w:val="851"/>
        </w:trPr>
        <w:tc>
          <w:tcPr>
            <w:tcW w:w="1276" w:type="dxa"/>
            <w:tcBorders>
              <w:bottom w:val="single" w:sz="4" w:space="0" w:color="auto"/>
            </w:tcBorders>
          </w:tcPr>
          <w:p w14:paraId="4206AD05" w14:textId="77777777" w:rsidR="00DC0149" w:rsidRPr="00DB58B5" w:rsidRDefault="00DC0149" w:rsidP="008747B0"/>
        </w:tc>
        <w:tc>
          <w:tcPr>
            <w:tcW w:w="2268" w:type="dxa"/>
            <w:tcBorders>
              <w:bottom w:val="single" w:sz="4" w:space="0" w:color="auto"/>
            </w:tcBorders>
            <w:vAlign w:val="bottom"/>
          </w:tcPr>
          <w:p w14:paraId="15286AB7"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92B669" w14:textId="77777777" w:rsidR="00DC0149" w:rsidRPr="008747B0" w:rsidRDefault="008747B0" w:rsidP="008747B0">
            <w:pPr>
              <w:jc w:val="right"/>
              <w:rPr>
                <w:lang w:val="en-US"/>
              </w:rPr>
            </w:pPr>
            <w:r w:rsidRPr="008747B0">
              <w:rPr>
                <w:sz w:val="40"/>
                <w:lang w:val="en-US"/>
              </w:rPr>
              <w:t>CERD</w:t>
            </w:r>
            <w:r w:rsidRPr="008747B0">
              <w:rPr>
                <w:lang w:val="en-US"/>
              </w:rPr>
              <w:t>/C/CAN/CO/21-23/Add.1</w:t>
            </w:r>
          </w:p>
        </w:tc>
      </w:tr>
      <w:tr w:rsidR="00DC0149" w:rsidRPr="00DB58B5" w14:paraId="55B66F66" w14:textId="77777777" w:rsidTr="009D5F1A">
        <w:trPr>
          <w:trHeight w:hRule="exact" w:val="2835"/>
        </w:trPr>
        <w:tc>
          <w:tcPr>
            <w:tcW w:w="1276" w:type="dxa"/>
            <w:tcBorders>
              <w:top w:val="single" w:sz="4" w:space="0" w:color="auto"/>
              <w:bottom w:val="single" w:sz="12" w:space="0" w:color="auto"/>
            </w:tcBorders>
          </w:tcPr>
          <w:p w14:paraId="5C698363" w14:textId="77777777" w:rsidR="00DC0149" w:rsidRPr="00DB58B5" w:rsidRDefault="00DC0149" w:rsidP="009D5F1A">
            <w:pPr>
              <w:spacing w:before="120"/>
              <w:jc w:val="center"/>
            </w:pPr>
            <w:r>
              <w:rPr>
                <w:noProof/>
                <w:lang w:eastAsia="fr-CH"/>
              </w:rPr>
              <w:drawing>
                <wp:inline distT="0" distB="0" distL="0" distR="0" wp14:anchorId="658D32D3" wp14:editId="74E3B2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E254E4"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3DF8632" w14:textId="77777777" w:rsidR="00DC0149" w:rsidRDefault="008747B0" w:rsidP="009D5F1A">
            <w:pPr>
              <w:spacing w:before="240"/>
            </w:pPr>
            <w:r>
              <w:t>Distr. générale</w:t>
            </w:r>
          </w:p>
          <w:p w14:paraId="712BFE0F" w14:textId="77777777" w:rsidR="008747B0" w:rsidRDefault="008747B0" w:rsidP="008747B0">
            <w:pPr>
              <w:spacing w:line="240" w:lineRule="exact"/>
            </w:pPr>
            <w:r>
              <w:t>17 juin 2019</w:t>
            </w:r>
          </w:p>
          <w:p w14:paraId="3FBE73BE" w14:textId="77777777" w:rsidR="008747B0" w:rsidRDefault="008747B0" w:rsidP="008747B0">
            <w:pPr>
              <w:spacing w:line="240" w:lineRule="exact"/>
            </w:pPr>
            <w:r>
              <w:t>Français</w:t>
            </w:r>
          </w:p>
          <w:p w14:paraId="086B2841" w14:textId="77777777" w:rsidR="008747B0" w:rsidRDefault="008747B0" w:rsidP="008747B0">
            <w:pPr>
              <w:spacing w:line="240" w:lineRule="exact"/>
            </w:pPr>
            <w:r>
              <w:t>Original : anglais</w:t>
            </w:r>
          </w:p>
          <w:p w14:paraId="11F3EC21" w14:textId="77777777" w:rsidR="008747B0" w:rsidRPr="00DB58B5" w:rsidRDefault="008747B0" w:rsidP="008747B0">
            <w:pPr>
              <w:spacing w:line="240" w:lineRule="exact"/>
            </w:pPr>
            <w:r>
              <w:t>Anglais, espagnol et français seulement</w:t>
            </w:r>
          </w:p>
        </w:tc>
      </w:tr>
    </w:tbl>
    <w:p w14:paraId="52DC8BD9" w14:textId="77777777" w:rsidR="00623CA8" w:rsidRDefault="00623CA8" w:rsidP="00623CA8">
      <w:pPr>
        <w:spacing w:before="120"/>
        <w:rPr>
          <w:b/>
          <w:sz w:val="24"/>
          <w:szCs w:val="24"/>
        </w:rPr>
      </w:pPr>
      <w:r w:rsidRPr="00C56102">
        <w:rPr>
          <w:b/>
          <w:sz w:val="24"/>
          <w:szCs w:val="24"/>
        </w:rPr>
        <w:t>Comité pour l’élimination de la discrimination raciale</w:t>
      </w:r>
    </w:p>
    <w:p w14:paraId="71EDDDF8" w14:textId="77777777" w:rsidR="000006DA" w:rsidRPr="00E27F47" w:rsidRDefault="008747B0" w:rsidP="000006DA">
      <w:pPr>
        <w:pStyle w:val="HChG"/>
        <w:rPr>
          <w:lang w:val="fr-FR"/>
        </w:rPr>
      </w:pPr>
      <w:r w:rsidRPr="003B4C76">
        <w:tab/>
      </w:r>
      <w:r w:rsidRPr="003B4C76">
        <w:rPr>
          <w:szCs w:val="34"/>
        </w:rPr>
        <w:tab/>
      </w:r>
      <w:r w:rsidR="000006DA">
        <w:rPr>
          <w:lang w:val="fr-FR"/>
        </w:rPr>
        <w:t>Observations finales concernant le rapport du Canada valant vingt et unième à vingt-troisième rapports périodiques</w:t>
      </w:r>
    </w:p>
    <w:p w14:paraId="4D6960A3" w14:textId="77777777" w:rsidR="000006DA" w:rsidRPr="00E27F47" w:rsidRDefault="000006DA" w:rsidP="000006DA">
      <w:pPr>
        <w:pStyle w:val="H23G"/>
        <w:rPr>
          <w:lang w:val="fr-FR"/>
        </w:rPr>
      </w:pPr>
      <w:r>
        <w:rPr>
          <w:lang w:val="fr-FR"/>
        </w:rPr>
        <w:tab/>
      </w:r>
      <w:r>
        <w:rPr>
          <w:lang w:val="fr-FR"/>
        </w:rPr>
        <w:tab/>
        <w:t>Additif</w:t>
      </w:r>
    </w:p>
    <w:p w14:paraId="5EAD3CA2" w14:textId="77777777" w:rsidR="000006DA" w:rsidRPr="00E27F47" w:rsidRDefault="000006DA" w:rsidP="000006DA">
      <w:pPr>
        <w:pStyle w:val="HChG"/>
        <w:rPr>
          <w:lang w:val="fr-FR"/>
        </w:rPr>
      </w:pPr>
      <w:r>
        <w:rPr>
          <w:lang w:val="fr-FR"/>
        </w:rPr>
        <w:tab/>
      </w:r>
      <w:r>
        <w:rPr>
          <w:lang w:val="fr-FR"/>
        </w:rPr>
        <w:tab/>
        <w:t xml:space="preserve">Renseignements reçus du Canada en réponse </w:t>
      </w:r>
      <w:r w:rsidR="001C17A3">
        <w:rPr>
          <w:lang w:val="fr-FR"/>
        </w:rPr>
        <w:br/>
      </w:r>
      <w:r>
        <w:rPr>
          <w:lang w:val="fr-FR"/>
        </w:rPr>
        <w:t>aux observations finales</w:t>
      </w:r>
      <w:r w:rsidRPr="00AA0B8E">
        <w:rPr>
          <w:rStyle w:val="Appelnotedebasdep"/>
          <w:b w:val="0"/>
          <w:bCs/>
          <w:sz w:val="20"/>
          <w:vertAlign w:val="baseline"/>
          <w:lang w:val="fr-FR"/>
        </w:rPr>
        <w:footnoteReference w:customMarkFollows="1" w:id="2"/>
        <w:t>*</w:t>
      </w:r>
    </w:p>
    <w:p w14:paraId="36FBF083" w14:textId="77777777" w:rsidR="000006DA" w:rsidRPr="00C21A1F" w:rsidRDefault="000006DA" w:rsidP="000006DA">
      <w:pPr>
        <w:pStyle w:val="SingleTxtG"/>
        <w:jc w:val="right"/>
        <w:rPr>
          <w:lang w:val="fr-FR"/>
        </w:rPr>
      </w:pPr>
      <w:r w:rsidRPr="00C21A1F">
        <w:rPr>
          <w:lang w:val="fr-FR"/>
        </w:rPr>
        <w:t>[Date de réception</w:t>
      </w:r>
      <w:r>
        <w:rPr>
          <w:lang w:val="fr-FR"/>
        </w:rPr>
        <w:t> </w:t>
      </w:r>
      <w:r w:rsidRPr="00C21A1F">
        <w:rPr>
          <w:lang w:val="fr-FR"/>
        </w:rPr>
        <w:t>: 4 mars 2019]</w:t>
      </w:r>
    </w:p>
    <w:p w14:paraId="7A46AD60" w14:textId="77777777" w:rsidR="008747B0" w:rsidRPr="00E27F47" w:rsidRDefault="008747B0" w:rsidP="000006DA">
      <w:pPr>
        <w:pStyle w:val="HChG"/>
        <w:rPr>
          <w:lang w:val="fr-FR"/>
        </w:rPr>
      </w:pPr>
      <w:r w:rsidRPr="00E27F47">
        <w:rPr>
          <w:lang w:val="fr-FR"/>
        </w:rPr>
        <w:br w:type="page"/>
      </w:r>
      <w:r w:rsidRPr="00E27F47">
        <w:rPr>
          <w:lang w:val="fr-FR"/>
        </w:rPr>
        <w:lastRenderedPageBreak/>
        <w:tab/>
      </w:r>
      <w:r w:rsidRPr="00E27F47">
        <w:rPr>
          <w:lang w:val="fr-FR"/>
        </w:rPr>
        <w:tab/>
        <w:t>Rapport intérimair</w:t>
      </w:r>
      <w:r>
        <w:rPr>
          <w:lang w:val="fr-FR"/>
        </w:rPr>
        <w:t xml:space="preserve">e faisant suite à l’examen du Canada </w:t>
      </w:r>
      <w:r w:rsidR="000006DA">
        <w:rPr>
          <w:lang w:val="fr-FR"/>
        </w:rPr>
        <w:br/>
      </w:r>
      <w:r>
        <w:rPr>
          <w:lang w:val="fr-FR"/>
        </w:rPr>
        <w:t xml:space="preserve">par le </w:t>
      </w:r>
      <w:r w:rsidRPr="00E27F47">
        <w:rPr>
          <w:lang w:val="fr-FR"/>
        </w:rPr>
        <w:t>Comité pour l</w:t>
      </w:r>
      <w:r>
        <w:rPr>
          <w:lang w:val="fr-FR"/>
        </w:rPr>
        <w:t>’</w:t>
      </w:r>
      <w:r w:rsidRPr="00E27F47">
        <w:rPr>
          <w:lang w:val="fr-FR"/>
        </w:rPr>
        <w:t xml:space="preserve">élimination de la discrimination </w:t>
      </w:r>
      <w:r w:rsidR="000006DA">
        <w:rPr>
          <w:lang w:val="fr-FR"/>
        </w:rPr>
        <w:br/>
      </w:r>
      <w:r w:rsidRPr="00E27F47">
        <w:rPr>
          <w:lang w:val="fr-FR"/>
        </w:rPr>
        <w:t>raciale des Nations Unies</w:t>
      </w:r>
    </w:p>
    <w:p w14:paraId="04762946" w14:textId="77777777" w:rsidR="008747B0" w:rsidRPr="00C21A1F" w:rsidRDefault="008747B0" w:rsidP="000006DA">
      <w:pPr>
        <w:pStyle w:val="HChG"/>
        <w:rPr>
          <w:lang w:val="fr-FR"/>
        </w:rPr>
      </w:pPr>
      <w:r w:rsidRPr="00E27F47">
        <w:rPr>
          <w:lang w:val="fr-FR"/>
        </w:rPr>
        <w:tab/>
      </w:r>
      <w:r w:rsidRPr="00E27F47">
        <w:rPr>
          <w:lang w:val="fr-FR"/>
        </w:rPr>
        <w:tab/>
      </w:r>
      <w:r w:rsidRPr="00C21A1F">
        <w:rPr>
          <w:lang w:val="fr-FR"/>
        </w:rPr>
        <w:t>Introduction</w:t>
      </w:r>
    </w:p>
    <w:p w14:paraId="441A1D66" w14:textId="77777777" w:rsidR="008747B0" w:rsidRPr="00AF3EED" w:rsidRDefault="008747B0" w:rsidP="000006DA">
      <w:pPr>
        <w:pStyle w:val="SingleTxtG"/>
        <w:rPr>
          <w:lang w:val="fr-CA"/>
        </w:rPr>
      </w:pPr>
      <w:r>
        <w:rPr>
          <w:lang w:val="fr-CA"/>
        </w:rPr>
        <w:t>1.</w:t>
      </w:r>
      <w:r>
        <w:rPr>
          <w:lang w:val="fr-CA"/>
        </w:rPr>
        <w:tab/>
      </w:r>
      <w:r w:rsidRPr="00AF3EED">
        <w:rPr>
          <w:lang w:val="fr-CA"/>
        </w:rPr>
        <w:t xml:space="preserve">Les 14 et 15 août 2017, le </w:t>
      </w:r>
      <w:r>
        <w:rPr>
          <w:lang w:val="fr-CA"/>
        </w:rPr>
        <w:t>Comité des Nations Unies pour l’élimination de la discrimination raciale a examiné les vingt</w:t>
      </w:r>
      <w:r w:rsidR="00F8556F">
        <w:rPr>
          <w:lang w:val="fr-CA"/>
        </w:rPr>
        <w:t xml:space="preserve"> </w:t>
      </w:r>
      <w:r>
        <w:rPr>
          <w:lang w:val="fr-CA"/>
        </w:rPr>
        <w:t>et</w:t>
      </w:r>
      <w:r w:rsidR="00F8556F">
        <w:rPr>
          <w:lang w:val="fr-CA"/>
        </w:rPr>
        <w:t xml:space="preserve"> </w:t>
      </w:r>
      <w:r>
        <w:rPr>
          <w:lang w:val="fr-CA"/>
        </w:rPr>
        <w:t>unième à vingt-troisième rapport</w:t>
      </w:r>
      <w:r w:rsidR="005346F1">
        <w:rPr>
          <w:lang w:val="fr-CA"/>
        </w:rPr>
        <w:t>s</w:t>
      </w:r>
      <w:r>
        <w:rPr>
          <w:lang w:val="fr-CA"/>
        </w:rPr>
        <w:t xml:space="preserve"> périodique</w:t>
      </w:r>
      <w:r w:rsidR="005346F1">
        <w:rPr>
          <w:lang w:val="fr-CA"/>
        </w:rPr>
        <w:t>s</w:t>
      </w:r>
      <w:r>
        <w:rPr>
          <w:lang w:val="fr-CA"/>
        </w:rPr>
        <w:t xml:space="preserve"> </w:t>
      </w:r>
      <w:r w:rsidRPr="00E27BA5">
        <w:rPr>
          <w:lang w:val="fr-CA"/>
        </w:rPr>
        <w:t>du Canada</w:t>
      </w:r>
      <w:r>
        <w:rPr>
          <w:lang w:val="fr-CA"/>
        </w:rPr>
        <w:t xml:space="preserve">, soumis en un seul document, sur l’application de la </w:t>
      </w:r>
      <w:r w:rsidRPr="00B52C1E">
        <w:rPr>
          <w:lang w:val="fr-CA"/>
        </w:rPr>
        <w:t>Convention internationale sur l</w:t>
      </w:r>
      <w:r>
        <w:rPr>
          <w:lang w:val="fr-CA"/>
        </w:rPr>
        <w:t>’</w:t>
      </w:r>
      <w:r w:rsidRPr="00B52C1E">
        <w:rPr>
          <w:lang w:val="fr-CA"/>
        </w:rPr>
        <w:t>élimination de toutes les formes de discrimination raciale.</w:t>
      </w:r>
      <w:r>
        <w:rPr>
          <w:i/>
          <w:lang w:val="fr-CA"/>
        </w:rPr>
        <w:t xml:space="preserve"> </w:t>
      </w:r>
      <w:r w:rsidRPr="000006DA">
        <w:rPr>
          <w:lang w:val="fr-CA"/>
        </w:rPr>
        <w:t>Il a</w:t>
      </w:r>
      <w:r>
        <w:rPr>
          <w:i/>
          <w:lang w:val="fr-CA"/>
        </w:rPr>
        <w:t xml:space="preserve"> </w:t>
      </w:r>
      <w:r w:rsidRPr="00AF3EED">
        <w:rPr>
          <w:lang w:val="fr-CA"/>
        </w:rPr>
        <w:t>présenté ses observations finales le 13</w:t>
      </w:r>
      <w:r w:rsidR="001B65D4">
        <w:rPr>
          <w:lang w:val="fr-CA"/>
        </w:rPr>
        <w:t> </w:t>
      </w:r>
      <w:r w:rsidRPr="00AF3EED">
        <w:rPr>
          <w:lang w:val="fr-CA"/>
        </w:rPr>
        <w:t>septembre 2017</w:t>
      </w:r>
      <w:r w:rsidRPr="0043577E">
        <w:rPr>
          <w:rStyle w:val="Appelnotedebasdep"/>
        </w:rPr>
        <w:footnoteReference w:id="3"/>
      </w:r>
      <w:r w:rsidR="000006DA">
        <w:rPr>
          <w:lang w:val="fr-CA"/>
        </w:rPr>
        <w:t>.</w:t>
      </w:r>
    </w:p>
    <w:p w14:paraId="38E6AA05" w14:textId="77777777" w:rsidR="008747B0" w:rsidRPr="00D63FB3" w:rsidRDefault="008747B0" w:rsidP="000006DA">
      <w:pPr>
        <w:pStyle w:val="SingleTxtG"/>
        <w:rPr>
          <w:lang w:val="fr-CA"/>
        </w:rPr>
      </w:pPr>
      <w:r>
        <w:rPr>
          <w:lang w:val="fr-CA"/>
        </w:rPr>
        <w:t>2.</w:t>
      </w:r>
      <w:r>
        <w:rPr>
          <w:lang w:val="fr-CA"/>
        </w:rPr>
        <w:tab/>
      </w:r>
      <w:r w:rsidRPr="0029771C">
        <w:rPr>
          <w:lang w:val="fr-CA"/>
        </w:rPr>
        <w:t>A</w:t>
      </w:r>
      <w:r>
        <w:rPr>
          <w:lang w:val="fr-CA"/>
        </w:rPr>
        <w:t>u</w:t>
      </w:r>
      <w:r w:rsidRPr="0029771C">
        <w:rPr>
          <w:lang w:val="fr-CA"/>
        </w:rPr>
        <w:t xml:space="preserve"> paragraphe 40 des observations</w:t>
      </w:r>
      <w:r>
        <w:rPr>
          <w:lang w:val="fr-CA"/>
        </w:rPr>
        <w:t xml:space="preserve"> finales</w:t>
      </w:r>
      <w:r w:rsidRPr="0029771C">
        <w:rPr>
          <w:lang w:val="fr-CA"/>
        </w:rPr>
        <w:t xml:space="preserve">, le Comité demande </w:t>
      </w:r>
      <w:r>
        <w:rPr>
          <w:lang w:val="fr-CA"/>
        </w:rPr>
        <w:t>au</w:t>
      </w:r>
      <w:r w:rsidRPr="0029771C">
        <w:rPr>
          <w:lang w:val="fr-CA"/>
        </w:rPr>
        <w:t xml:space="preserve"> Canada </w:t>
      </w:r>
      <w:r>
        <w:rPr>
          <w:lang w:val="fr-CA"/>
        </w:rPr>
        <w:t>de fournir,</w:t>
      </w:r>
      <w:r w:rsidRPr="0029771C">
        <w:rPr>
          <w:lang w:val="fr-CA"/>
        </w:rPr>
        <w:t xml:space="preserve"> dans un délai d</w:t>
      </w:r>
      <w:r>
        <w:rPr>
          <w:lang w:val="fr-CA"/>
        </w:rPr>
        <w:t>’</w:t>
      </w:r>
      <w:r w:rsidRPr="0029771C">
        <w:rPr>
          <w:lang w:val="fr-CA"/>
        </w:rPr>
        <w:t>un an</w:t>
      </w:r>
      <w:r>
        <w:rPr>
          <w:lang w:val="fr-CA"/>
        </w:rPr>
        <w:t>,</w:t>
      </w:r>
      <w:r w:rsidRPr="0029771C">
        <w:rPr>
          <w:lang w:val="fr-CA"/>
        </w:rPr>
        <w:t xml:space="preserve"> des renseignements sur la suite qu</w:t>
      </w:r>
      <w:r>
        <w:rPr>
          <w:lang w:val="fr-CA"/>
        </w:rPr>
        <w:t>’</w:t>
      </w:r>
      <w:r w:rsidRPr="0029771C">
        <w:rPr>
          <w:lang w:val="fr-CA"/>
        </w:rPr>
        <w:t>il a</w:t>
      </w:r>
      <w:r>
        <w:rPr>
          <w:lang w:val="fr-CA"/>
        </w:rPr>
        <w:t>ura</w:t>
      </w:r>
      <w:r w:rsidRPr="0029771C">
        <w:rPr>
          <w:lang w:val="fr-CA"/>
        </w:rPr>
        <w:t xml:space="preserve"> donnée aux recommandations </w:t>
      </w:r>
      <w:r>
        <w:rPr>
          <w:lang w:val="fr-CA"/>
        </w:rPr>
        <w:t xml:space="preserve">du Comité </w:t>
      </w:r>
      <w:r w:rsidRPr="0029771C">
        <w:rPr>
          <w:lang w:val="fr-CA"/>
        </w:rPr>
        <w:t xml:space="preserve">figurant </w:t>
      </w:r>
      <w:r>
        <w:rPr>
          <w:lang w:val="fr-CA"/>
        </w:rPr>
        <w:t xml:space="preserve">aux </w:t>
      </w:r>
      <w:r w:rsidRPr="0029771C">
        <w:rPr>
          <w:lang w:val="fr-CA"/>
        </w:rPr>
        <w:t xml:space="preserve">paragraphes </w:t>
      </w:r>
      <w:r>
        <w:rPr>
          <w:lang w:val="fr-CA"/>
        </w:rPr>
        <w:t xml:space="preserve">20 </w:t>
      </w:r>
      <w:r w:rsidRPr="0029771C">
        <w:rPr>
          <w:lang w:val="fr-CA"/>
        </w:rPr>
        <w:t>e)</w:t>
      </w:r>
      <w:r>
        <w:rPr>
          <w:lang w:val="fr-CA"/>
        </w:rPr>
        <w:t xml:space="preserve"> et </w:t>
      </w:r>
      <w:r w:rsidRPr="0029771C">
        <w:rPr>
          <w:lang w:val="fr-CA"/>
        </w:rPr>
        <w:t xml:space="preserve">f) </w:t>
      </w:r>
      <w:r>
        <w:rPr>
          <w:lang w:val="fr-CA"/>
        </w:rPr>
        <w:t>et 34 a), b) et</w:t>
      </w:r>
      <w:r w:rsidR="001B65D4">
        <w:rPr>
          <w:lang w:val="fr-CA"/>
        </w:rPr>
        <w:t> </w:t>
      </w:r>
      <w:r w:rsidRPr="0029771C">
        <w:rPr>
          <w:lang w:val="fr-CA"/>
        </w:rPr>
        <w:t>d)</w:t>
      </w:r>
      <w:r>
        <w:rPr>
          <w:lang w:val="fr-CA"/>
        </w:rPr>
        <w:t xml:space="preserve"> des observations finales. Voici la réponse du Canada.</w:t>
      </w:r>
    </w:p>
    <w:p w14:paraId="0415651A" w14:textId="77777777" w:rsidR="008747B0" w:rsidRPr="00F3549B" w:rsidRDefault="000006DA" w:rsidP="000006DA">
      <w:pPr>
        <w:pStyle w:val="H1G"/>
        <w:rPr>
          <w:lang w:val="fr-CA"/>
        </w:rPr>
      </w:pPr>
      <w:r>
        <w:rPr>
          <w:lang w:val="fr-CA"/>
        </w:rPr>
        <w:tab/>
      </w:r>
      <w:r>
        <w:rPr>
          <w:lang w:val="fr-CA"/>
        </w:rPr>
        <w:tab/>
      </w:r>
      <w:r w:rsidR="008747B0" w:rsidRPr="00F3549B">
        <w:rPr>
          <w:lang w:val="fr-CA"/>
        </w:rPr>
        <w:t>Recommandations 20 e) et f)</w:t>
      </w:r>
    </w:p>
    <w:p w14:paraId="43D43D68" w14:textId="77777777" w:rsidR="008747B0" w:rsidRPr="000006DA" w:rsidRDefault="008747B0" w:rsidP="000006DA">
      <w:pPr>
        <w:pStyle w:val="SingleTxtG"/>
        <w:rPr>
          <w:b/>
        </w:rPr>
      </w:pPr>
      <w:r w:rsidRPr="000006DA">
        <w:rPr>
          <w:b/>
        </w:rPr>
        <w:t>Rappelant sa recommandation générale n</w:t>
      </w:r>
      <w:r w:rsidRPr="000006DA">
        <w:rPr>
          <w:b/>
          <w:vertAlign w:val="superscript"/>
        </w:rPr>
        <w:t>o</w:t>
      </w:r>
      <w:r w:rsidRPr="000006DA">
        <w:rPr>
          <w:b/>
          <w:lang w:val="fr-CA"/>
        </w:rPr>
        <w:t> </w:t>
      </w:r>
      <w:r w:rsidRPr="000006DA">
        <w:rPr>
          <w:b/>
        </w:rPr>
        <w:t>23 (1997) sur les droits des peuples autochtones et réitérant sa recommandation antérieure (voir CERD/C/CAN/CO/</w:t>
      </w:r>
      <w:r w:rsidR="005346F1">
        <w:rPr>
          <w:b/>
        </w:rPr>
        <w:br/>
      </w:r>
      <w:r w:rsidRPr="000006DA">
        <w:rPr>
          <w:b/>
        </w:rPr>
        <w:t>19</w:t>
      </w:r>
      <w:r w:rsidR="005346F1">
        <w:rPr>
          <w:b/>
        </w:rPr>
        <w:noBreakHyphen/>
      </w:r>
      <w:r w:rsidRPr="000006DA">
        <w:rPr>
          <w:b/>
        </w:rPr>
        <w:t>20, par.</w:t>
      </w:r>
      <w:r w:rsidR="000006DA">
        <w:rPr>
          <w:b/>
        </w:rPr>
        <w:t> </w:t>
      </w:r>
      <w:r w:rsidRPr="000006DA">
        <w:rPr>
          <w:b/>
        </w:rPr>
        <w:t>20), le Comité recommande à l’État partie</w:t>
      </w:r>
      <w:r w:rsidR="000006DA">
        <w:rPr>
          <w:b/>
        </w:rPr>
        <w:t> </w:t>
      </w:r>
      <w:r w:rsidRPr="000006DA">
        <w:rPr>
          <w:b/>
        </w:rPr>
        <w:t>:</w:t>
      </w:r>
    </w:p>
    <w:p w14:paraId="4044AA01" w14:textId="77777777" w:rsidR="008747B0" w:rsidRPr="000006DA" w:rsidRDefault="008747B0" w:rsidP="000006DA">
      <w:pPr>
        <w:pStyle w:val="SingleTxtG"/>
        <w:ind w:firstLine="567"/>
        <w:rPr>
          <w:b/>
          <w:lang w:val="fr-FR"/>
        </w:rPr>
      </w:pPr>
      <w:r w:rsidRPr="000006DA">
        <w:rPr>
          <w:b/>
          <w:lang w:val="fr-FR"/>
        </w:rPr>
        <w:t>e)</w:t>
      </w:r>
      <w:r w:rsidR="000006DA" w:rsidRPr="000006DA">
        <w:rPr>
          <w:b/>
          <w:lang w:val="fr-FR"/>
        </w:rPr>
        <w:tab/>
      </w:r>
      <w:r w:rsidRPr="000006DA">
        <w:rPr>
          <w:b/>
          <w:lang w:val="fr-FR"/>
        </w:rPr>
        <w:t>De suspendre immédiatement l’ensemble des permis et autorisations pour la construction du barrage du site C</w:t>
      </w:r>
      <w:r w:rsidR="005346F1">
        <w:rPr>
          <w:b/>
          <w:lang w:val="fr-FR"/>
        </w:rPr>
        <w:t> </w:t>
      </w:r>
      <w:r w:rsidRPr="000006DA">
        <w:rPr>
          <w:b/>
          <w:lang w:val="fr-FR"/>
        </w:rPr>
        <w:t>;</w:t>
      </w:r>
      <w:r w:rsidR="005346F1">
        <w:rPr>
          <w:b/>
          <w:lang w:val="fr-FR"/>
        </w:rPr>
        <w:t xml:space="preserve"> </w:t>
      </w:r>
      <w:r w:rsidRPr="000006DA">
        <w:rPr>
          <w:b/>
          <w:lang w:val="fr-FR"/>
        </w:rPr>
        <w:t>de procéder à un examen complet, en collaboration avec les peuples autochtones, des violations du droit au consentement préalable, libre et éclairé, des obligations conventionnelles et du droit international des droits de l’homme découlant de la construction de ce barrage, et de trouver des solutions de remplacement à la destruction irréversible des terres et des moyens de subsistance des autochtones causée par ce projet</w:t>
      </w:r>
      <w:r w:rsidR="005346F1">
        <w:rPr>
          <w:b/>
          <w:lang w:val="fr-FR"/>
        </w:rPr>
        <w:t> </w:t>
      </w:r>
      <w:r w:rsidRPr="000006DA">
        <w:rPr>
          <w:b/>
          <w:lang w:val="fr-FR"/>
        </w:rPr>
        <w:t>;</w:t>
      </w:r>
    </w:p>
    <w:p w14:paraId="253ABF6F" w14:textId="77777777" w:rsidR="008747B0" w:rsidRPr="00F3549B" w:rsidRDefault="008747B0" w:rsidP="000006DA">
      <w:pPr>
        <w:pStyle w:val="SingleTxtG"/>
        <w:ind w:firstLine="567"/>
        <w:rPr>
          <w:b/>
        </w:rPr>
      </w:pPr>
      <w:r w:rsidRPr="000006DA">
        <w:rPr>
          <w:b/>
          <w:lang w:val="fr-CA"/>
        </w:rPr>
        <w:t>f)</w:t>
      </w:r>
      <w:r w:rsidR="000006DA">
        <w:rPr>
          <w:lang w:val="fr-CA"/>
        </w:rPr>
        <w:tab/>
      </w:r>
      <w:r w:rsidRPr="00F3549B">
        <w:rPr>
          <w:b/>
          <w:lang w:val="fr-CA"/>
        </w:rPr>
        <w:t>De publier les résultats de toute étude gouvernementale concernant la catastrophe du mont Polley et l</w:t>
      </w:r>
      <w:r>
        <w:rPr>
          <w:b/>
          <w:lang w:val="fr-CA"/>
        </w:rPr>
        <w:t>’</w:t>
      </w:r>
      <w:r w:rsidRPr="00F3549B">
        <w:rPr>
          <w:b/>
          <w:lang w:val="fr-CA"/>
        </w:rPr>
        <w:t>enquête pénale s</w:t>
      </w:r>
      <w:r>
        <w:rPr>
          <w:b/>
          <w:lang w:val="fr-CA"/>
        </w:rPr>
        <w:t>’</w:t>
      </w:r>
      <w:r w:rsidRPr="00F3549B">
        <w:rPr>
          <w:b/>
          <w:lang w:val="fr-CA"/>
        </w:rPr>
        <w:t>y rapportant, avant que le délai de prescription des poursuites fixé par les lois pertinentes ne vienne à expiration.</w:t>
      </w:r>
    </w:p>
    <w:p w14:paraId="59CEBB59" w14:textId="77777777" w:rsidR="008747B0" w:rsidRPr="0018157B" w:rsidRDefault="000006DA" w:rsidP="000006DA">
      <w:pPr>
        <w:pStyle w:val="H23G"/>
        <w:rPr>
          <w:lang w:val="fr-FR"/>
        </w:rPr>
      </w:pPr>
      <w:r>
        <w:rPr>
          <w:lang w:val="fr-FR"/>
        </w:rPr>
        <w:tab/>
      </w:r>
      <w:r>
        <w:rPr>
          <w:lang w:val="fr-FR"/>
        </w:rPr>
        <w:tab/>
      </w:r>
      <w:r w:rsidR="008747B0" w:rsidRPr="0018157B">
        <w:rPr>
          <w:lang w:val="fr-FR"/>
        </w:rPr>
        <w:t xml:space="preserve">Barrage du site C </w:t>
      </w:r>
    </w:p>
    <w:p w14:paraId="6AF61DBF" w14:textId="77777777" w:rsidR="008747B0" w:rsidRPr="00C00345" w:rsidRDefault="008747B0" w:rsidP="000006DA">
      <w:pPr>
        <w:pStyle w:val="SingleTxtG"/>
        <w:rPr>
          <w:lang w:val="fr-CA"/>
        </w:rPr>
      </w:pPr>
      <w:r>
        <w:rPr>
          <w:lang w:val="fr-CA"/>
        </w:rPr>
        <w:t>3.</w:t>
      </w:r>
      <w:r>
        <w:rPr>
          <w:lang w:val="fr-CA"/>
        </w:rPr>
        <w:tab/>
      </w:r>
      <w:r w:rsidRPr="006972BA">
        <w:rPr>
          <w:lang w:val="fr-CA"/>
        </w:rPr>
        <w:t>Le 14 décembre 2018, le</w:t>
      </w:r>
      <w:r>
        <w:rPr>
          <w:lang w:val="fr-CA"/>
        </w:rPr>
        <w:t xml:space="preserve"> Canada a reçu</w:t>
      </w:r>
      <w:r w:rsidRPr="006972BA">
        <w:rPr>
          <w:lang w:val="fr-CA"/>
        </w:rPr>
        <w:t xml:space="preserve"> </w:t>
      </w:r>
      <w:r>
        <w:rPr>
          <w:lang w:val="fr-CA"/>
        </w:rPr>
        <w:t>une demande du Comité pour l’élimination de la discrimination raciale l’invitant à fournir des renseignements sur le barrage du site</w:t>
      </w:r>
      <w:r w:rsidR="001B65D4">
        <w:rPr>
          <w:lang w:val="fr-CA"/>
        </w:rPr>
        <w:t> </w:t>
      </w:r>
      <w:r>
        <w:rPr>
          <w:lang w:val="fr-CA"/>
        </w:rPr>
        <w:t>C conformément aux</w:t>
      </w:r>
      <w:r w:rsidRPr="000052C7">
        <w:rPr>
          <w:lang w:val="fr-CA"/>
        </w:rPr>
        <w:t xml:space="preserve"> procédures d</w:t>
      </w:r>
      <w:r>
        <w:rPr>
          <w:lang w:val="fr-CA"/>
        </w:rPr>
        <w:t>’</w:t>
      </w:r>
      <w:r w:rsidRPr="000052C7">
        <w:rPr>
          <w:lang w:val="fr-CA"/>
        </w:rPr>
        <w:t>alerte rapide et d</w:t>
      </w:r>
      <w:r>
        <w:rPr>
          <w:lang w:val="fr-CA"/>
        </w:rPr>
        <w:t>’</w:t>
      </w:r>
      <w:r w:rsidRPr="000052C7">
        <w:rPr>
          <w:lang w:val="fr-CA"/>
        </w:rPr>
        <w:t>intervention d</w:t>
      </w:r>
      <w:r>
        <w:rPr>
          <w:lang w:val="fr-CA"/>
        </w:rPr>
        <w:t>’</w:t>
      </w:r>
      <w:r w:rsidRPr="000052C7">
        <w:rPr>
          <w:lang w:val="fr-CA"/>
        </w:rPr>
        <w:t>urgence</w:t>
      </w:r>
      <w:r>
        <w:rPr>
          <w:lang w:val="fr-CA"/>
        </w:rPr>
        <w:t xml:space="preserve"> du Comité </w:t>
      </w:r>
      <w:r w:rsidRPr="000052C7">
        <w:rPr>
          <w:lang w:val="fr-CA"/>
        </w:rPr>
        <w:t>(CERD/EWUAP/Canada-Site C dam/2018/JP/ks).</w:t>
      </w:r>
      <w:r>
        <w:rPr>
          <w:lang w:val="fr-CA"/>
        </w:rPr>
        <w:t xml:space="preserve"> Vu la nature similaire des</w:t>
      </w:r>
      <w:r w:rsidRPr="00C00345">
        <w:rPr>
          <w:lang w:val="fr-CA"/>
        </w:rPr>
        <w:t xml:space="preserve"> </w:t>
      </w:r>
      <w:r>
        <w:rPr>
          <w:lang w:val="fr-CA"/>
        </w:rPr>
        <w:t>renseignements demandés et des préoccupations soulevées concernant le barrage du site</w:t>
      </w:r>
      <w:r w:rsidR="001B65D4">
        <w:rPr>
          <w:lang w:val="fr-CA"/>
        </w:rPr>
        <w:t> </w:t>
      </w:r>
      <w:r>
        <w:rPr>
          <w:lang w:val="fr-CA"/>
        </w:rPr>
        <w:t xml:space="preserve">C </w:t>
      </w:r>
      <w:r w:rsidRPr="00C00345">
        <w:rPr>
          <w:lang w:val="fr-CA"/>
        </w:rPr>
        <w:t>dans le cadre du</w:t>
      </w:r>
      <w:r>
        <w:rPr>
          <w:lang w:val="fr-CA"/>
        </w:rPr>
        <w:t xml:space="preserve"> rapport intérimaire</w:t>
      </w:r>
      <w:r w:rsidRPr="00C00345">
        <w:rPr>
          <w:lang w:val="fr-CA"/>
        </w:rPr>
        <w:t xml:space="preserve"> et des procédures, le Canada a décidé de ne pas donner d</w:t>
      </w:r>
      <w:r>
        <w:rPr>
          <w:lang w:val="fr-CA"/>
        </w:rPr>
        <w:t>’</w:t>
      </w:r>
      <w:r w:rsidRPr="00C00345">
        <w:rPr>
          <w:lang w:val="fr-CA"/>
        </w:rPr>
        <w:t xml:space="preserve">information </w:t>
      </w:r>
      <w:r>
        <w:rPr>
          <w:lang w:val="fr-CA"/>
        </w:rPr>
        <w:t>sur le barrage dans ce</w:t>
      </w:r>
      <w:r w:rsidRPr="00C00345">
        <w:rPr>
          <w:lang w:val="fr-CA"/>
        </w:rPr>
        <w:t xml:space="preserve"> rapport et de fournir plutôt, en temps opportun, des renseignements exhaustifs </w:t>
      </w:r>
      <w:r>
        <w:rPr>
          <w:lang w:val="fr-CA"/>
        </w:rPr>
        <w:t>sur les questions liées au barrage du site C</w:t>
      </w:r>
      <w:r w:rsidRPr="00C00345">
        <w:rPr>
          <w:lang w:val="fr-CA"/>
        </w:rPr>
        <w:t xml:space="preserve"> dans </w:t>
      </w:r>
      <w:r>
        <w:rPr>
          <w:lang w:val="fr-CA"/>
        </w:rPr>
        <w:t>l</w:t>
      </w:r>
      <w:r w:rsidRPr="00C00345">
        <w:rPr>
          <w:lang w:val="fr-CA"/>
        </w:rPr>
        <w:t xml:space="preserve">a réponse </w:t>
      </w:r>
      <w:r>
        <w:rPr>
          <w:lang w:val="fr-CA"/>
        </w:rPr>
        <w:t>qu’il adresserait au titre de la procédure d’alerte rapide et d’intervention d’urgence du Comité</w:t>
      </w:r>
      <w:r w:rsidRPr="00C00345">
        <w:rPr>
          <w:lang w:val="fr-CA"/>
        </w:rPr>
        <w:t>.</w:t>
      </w:r>
    </w:p>
    <w:p w14:paraId="7EE00F1C" w14:textId="77777777" w:rsidR="008747B0" w:rsidRPr="00D26B92" w:rsidRDefault="000006DA" w:rsidP="000006DA">
      <w:pPr>
        <w:pStyle w:val="H23G"/>
        <w:rPr>
          <w:lang w:val="fr-CA"/>
        </w:rPr>
      </w:pPr>
      <w:r>
        <w:rPr>
          <w:lang w:val="fr-CA"/>
        </w:rPr>
        <w:tab/>
      </w:r>
      <w:r>
        <w:rPr>
          <w:lang w:val="fr-CA"/>
        </w:rPr>
        <w:tab/>
      </w:r>
      <w:r w:rsidR="008747B0" w:rsidRPr="00D26B92">
        <w:rPr>
          <w:lang w:val="fr-CA"/>
        </w:rPr>
        <w:t>Catastrophe du mont Polley</w:t>
      </w:r>
    </w:p>
    <w:p w14:paraId="74B0A692" w14:textId="77777777" w:rsidR="008747B0" w:rsidRPr="0017148D" w:rsidRDefault="008747B0" w:rsidP="000006DA">
      <w:pPr>
        <w:pStyle w:val="SingleTxtG"/>
        <w:rPr>
          <w:lang w:val="fr-CA"/>
        </w:rPr>
      </w:pPr>
      <w:r>
        <w:rPr>
          <w:lang w:val="fr-CA"/>
        </w:rPr>
        <w:t>4.</w:t>
      </w:r>
      <w:r>
        <w:rPr>
          <w:lang w:val="fr-CA"/>
        </w:rPr>
        <w:tab/>
      </w:r>
      <w:r w:rsidRPr="0017148D">
        <w:rPr>
          <w:lang w:val="fr-CA"/>
        </w:rPr>
        <w:t xml:space="preserve">Le 18 août 2014, le </w:t>
      </w:r>
      <w:r w:rsidR="000006DA">
        <w:rPr>
          <w:lang w:val="fr-CA"/>
        </w:rPr>
        <w:t>G</w:t>
      </w:r>
      <w:r w:rsidRPr="0017148D">
        <w:rPr>
          <w:lang w:val="fr-CA"/>
        </w:rPr>
        <w:t>ouvernement de la Colombie-Britannique, par l</w:t>
      </w:r>
      <w:r>
        <w:rPr>
          <w:lang w:val="fr-CA"/>
        </w:rPr>
        <w:t>’</w:t>
      </w:r>
      <w:r w:rsidRPr="0017148D">
        <w:rPr>
          <w:lang w:val="fr-CA"/>
        </w:rPr>
        <w:t xml:space="preserve">intermédiaire du </w:t>
      </w:r>
      <w:r w:rsidR="005346F1">
        <w:rPr>
          <w:lang w:val="fr-CA"/>
        </w:rPr>
        <w:t>M</w:t>
      </w:r>
      <w:r w:rsidRPr="0017148D">
        <w:rPr>
          <w:lang w:val="fr-CA"/>
        </w:rPr>
        <w:t>inistère de l</w:t>
      </w:r>
      <w:r>
        <w:rPr>
          <w:lang w:val="fr-CA"/>
        </w:rPr>
        <w:t>’</w:t>
      </w:r>
      <w:r w:rsidR="005346F1">
        <w:rPr>
          <w:lang w:val="fr-CA"/>
        </w:rPr>
        <w:t>é</w:t>
      </w:r>
      <w:r w:rsidRPr="0017148D">
        <w:rPr>
          <w:lang w:val="fr-CA"/>
        </w:rPr>
        <w:t xml:space="preserve">nergie et des </w:t>
      </w:r>
      <w:r w:rsidR="005346F1">
        <w:rPr>
          <w:lang w:val="fr-CA"/>
        </w:rPr>
        <w:t>m</w:t>
      </w:r>
      <w:r w:rsidRPr="0017148D">
        <w:rPr>
          <w:lang w:val="fr-CA"/>
        </w:rPr>
        <w:t xml:space="preserve">ines de la province (MEM), a mis sur pied un </w:t>
      </w:r>
      <w:r w:rsidR="005346F1">
        <w:rPr>
          <w:lang w:val="fr-CA"/>
        </w:rPr>
        <w:t>c</w:t>
      </w:r>
      <w:r>
        <w:rPr>
          <w:lang w:val="fr-CA"/>
        </w:rPr>
        <w:t xml:space="preserve">omité d’experts en ingénierie et d’examen indépendant chargé de </w:t>
      </w:r>
      <w:r w:rsidRPr="0017148D">
        <w:rPr>
          <w:lang w:val="fr-CA"/>
        </w:rPr>
        <w:t xml:space="preserve">mener une enquête et </w:t>
      </w:r>
      <w:r>
        <w:rPr>
          <w:lang w:val="fr-CA"/>
        </w:rPr>
        <w:t xml:space="preserve">de </w:t>
      </w:r>
      <w:r w:rsidRPr="0017148D">
        <w:rPr>
          <w:lang w:val="fr-CA"/>
        </w:rPr>
        <w:t xml:space="preserve">préparer un rapport sur la </w:t>
      </w:r>
      <w:r>
        <w:rPr>
          <w:lang w:val="fr-CA"/>
        </w:rPr>
        <w:t xml:space="preserve">rupture </w:t>
      </w:r>
      <w:r w:rsidRPr="0017148D">
        <w:rPr>
          <w:lang w:val="fr-CA"/>
        </w:rPr>
        <w:t>du bassin de résidus de la mine du mont Polley. Ce rapport a été publié le 30 janvier 2015. Les experts ont conclu que la cause principale de la brèche était liée à la conception de l</w:t>
      </w:r>
      <w:r>
        <w:rPr>
          <w:lang w:val="fr-CA"/>
        </w:rPr>
        <w:t>’</w:t>
      </w:r>
      <w:r w:rsidRPr="0017148D">
        <w:rPr>
          <w:lang w:val="fr-CA"/>
        </w:rPr>
        <w:t>installation d</w:t>
      </w:r>
      <w:r>
        <w:rPr>
          <w:lang w:val="fr-CA"/>
        </w:rPr>
        <w:t>’</w:t>
      </w:r>
      <w:r w:rsidRPr="0017148D">
        <w:rPr>
          <w:lang w:val="fr-CA"/>
        </w:rPr>
        <w:t>entreposage des résidus miniers. « La conception n</w:t>
      </w:r>
      <w:r>
        <w:rPr>
          <w:lang w:val="fr-CA"/>
        </w:rPr>
        <w:t>’</w:t>
      </w:r>
      <w:r w:rsidRPr="0017148D">
        <w:rPr>
          <w:lang w:val="fr-CA"/>
        </w:rPr>
        <w:t xml:space="preserve">a pas tenu compte de la complexité des milieux géologiques infraglaciaire et </w:t>
      </w:r>
      <w:r w:rsidRPr="0017148D">
        <w:rPr>
          <w:lang w:val="fr-CA"/>
        </w:rPr>
        <w:lastRenderedPageBreak/>
        <w:t>préglaciaire associés à la fond</w:t>
      </w:r>
      <w:r>
        <w:rPr>
          <w:lang w:val="fr-CA"/>
        </w:rPr>
        <w:t>ation du périmètre de remblai » (</w:t>
      </w:r>
      <w:r w:rsidR="00141FC0">
        <w:rPr>
          <w:lang w:val="fr-CA"/>
        </w:rPr>
        <w:t>C</w:t>
      </w:r>
      <w:r>
        <w:rPr>
          <w:lang w:val="fr-CA"/>
        </w:rPr>
        <w:t xml:space="preserve">omité </w:t>
      </w:r>
      <w:r w:rsidRPr="0017148D">
        <w:rPr>
          <w:lang w:val="fr-CA"/>
        </w:rPr>
        <w:t>d</w:t>
      </w:r>
      <w:r>
        <w:rPr>
          <w:lang w:val="fr-CA"/>
        </w:rPr>
        <w:t>’</w:t>
      </w:r>
      <w:r w:rsidRPr="0017148D">
        <w:rPr>
          <w:lang w:val="fr-CA"/>
        </w:rPr>
        <w:t>experts, 2015</w:t>
      </w:r>
      <w:r>
        <w:rPr>
          <w:lang w:val="fr-CA"/>
        </w:rPr>
        <w:t>)</w:t>
      </w:r>
      <w:r w:rsidRPr="0043577E">
        <w:rPr>
          <w:rStyle w:val="Appelnotedebasdep"/>
        </w:rPr>
        <w:footnoteReference w:id="4"/>
      </w:r>
      <w:r w:rsidR="000006DA">
        <w:rPr>
          <w:lang w:val="fr-CA"/>
        </w:rPr>
        <w:t>.</w:t>
      </w:r>
      <w:r w:rsidRPr="0017148D">
        <w:rPr>
          <w:lang w:val="fr-CA"/>
        </w:rPr>
        <w:t xml:space="preserve"> Ainsi, </w:t>
      </w:r>
      <w:r>
        <w:rPr>
          <w:lang w:val="fr-CA"/>
        </w:rPr>
        <w:t xml:space="preserve">aucune caractéristique ni aucun </w:t>
      </w:r>
      <w:r w:rsidRPr="0017148D">
        <w:rPr>
          <w:lang w:val="fr-CA"/>
        </w:rPr>
        <w:t xml:space="preserve">élément de la zone de rupture </w:t>
      </w:r>
      <w:r>
        <w:rPr>
          <w:lang w:val="fr-CA"/>
        </w:rPr>
        <w:t xml:space="preserve">susceptible de céder en cas de </w:t>
      </w:r>
      <w:r w:rsidRPr="0017148D">
        <w:rPr>
          <w:lang w:val="fr-CA"/>
        </w:rPr>
        <w:t xml:space="preserve">certains facteurs de stress </w:t>
      </w:r>
      <w:r>
        <w:rPr>
          <w:lang w:val="fr-CA"/>
        </w:rPr>
        <w:t xml:space="preserve">n’a </w:t>
      </w:r>
      <w:r w:rsidRPr="0017148D">
        <w:rPr>
          <w:lang w:val="fr-CA"/>
        </w:rPr>
        <w:t>été identifié. Le comité d</w:t>
      </w:r>
      <w:r>
        <w:rPr>
          <w:lang w:val="fr-CA"/>
        </w:rPr>
        <w:t>’</w:t>
      </w:r>
      <w:r w:rsidRPr="0017148D">
        <w:rPr>
          <w:lang w:val="fr-CA"/>
        </w:rPr>
        <w:t>experts est d</w:t>
      </w:r>
      <w:r>
        <w:rPr>
          <w:lang w:val="fr-CA"/>
        </w:rPr>
        <w:t>’</w:t>
      </w:r>
      <w:r w:rsidRPr="0017148D">
        <w:rPr>
          <w:lang w:val="fr-CA"/>
        </w:rPr>
        <w:t xml:space="preserve">avis que le personnel chargé de la réglementation était </w:t>
      </w:r>
      <w:r>
        <w:rPr>
          <w:lang w:val="fr-CA"/>
        </w:rPr>
        <w:t xml:space="preserve">suffisamment </w:t>
      </w:r>
      <w:r w:rsidRPr="0017148D">
        <w:rPr>
          <w:lang w:val="fr-CA"/>
        </w:rPr>
        <w:t>qualifié pour effectuer son travail et que d</w:t>
      </w:r>
      <w:r>
        <w:rPr>
          <w:lang w:val="fr-CA"/>
        </w:rPr>
        <w:t>’</w:t>
      </w:r>
      <w:r w:rsidRPr="0017148D">
        <w:rPr>
          <w:lang w:val="fr-CA"/>
        </w:rPr>
        <w:t>autres inspections de l</w:t>
      </w:r>
      <w:r>
        <w:rPr>
          <w:lang w:val="fr-CA"/>
        </w:rPr>
        <w:t>’</w:t>
      </w:r>
      <w:r w:rsidRPr="0017148D">
        <w:rPr>
          <w:lang w:val="fr-CA"/>
        </w:rPr>
        <w:t>installation d</w:t>
      </w:r>
      <w:r>
        <w:rPr>
          <w:lang w:val="fr-CA"/>
        </w:rPr>
        <w:t>’</w:t>
      </w:r>
      <w:r w:rsidRPr="0017148D">
        <w:rPr>
          <w:lang w:val="fr-CA"/>
        </w:rPr>
        <w:t xml:space="preserve">entreposage des résidus miniers par le </w:t>
      </w:r>
      <w:r>
        <w:rPr>
          <w:lang w:val="fr-CA"/>
        </w:rPr>
        <w:t xml:space="preserve">Ministère de l’énergie et des mines </w:t>
      </w:r>
      <w:r w:rsidRPr="0017148D">
        <w:rPr>
          <w:lang w:val="fr-CA"/>
        </w:rPr>
        <w:t>n</w:t>
      </w:r>
      <w:r>
        <w:rPr>
          <w:lang w:val="fr-CA"/>
        </w:rPr>
        <w:t>’</w:t>
      </w:r>
      <w:r w:rsidRPr="0017148D">
        <w:rPr>
          <w:lang w:val="fr-CA"/>
        </w:rPr>
        <w:t xml:space="preserve">auraient pas empêché la </w:t>
      </w:r>
      <w:r>
        <w:rPr>
          <w:lang w:val="fr-CA"/>
        </w:rPr>
        <w:t>rupture de se produire</w:t>
      </w:r>
      <w:r w:rsidRPr="0017148D">
        <w:rPr>
          <w:lang w:val="fr-CA"/>
        </w:rPr>
        <w:t xml:space="preserve">. </w:t>
      </w:r>
    </w:p>
    <w:p w14:paraId="37F3238E" w14:textId="77777777" w:rsidR="008747B0" w:rsidRPr="00480654" w:rsidRDefault="008747B0" w:rsidP="00877853">
      <w:pPr>
        <w:pStyle w:val="SingleTxtG"/>
        <w:rPr>
          <w:lang w:val="fr-CA"/>
        </w:rPr>
      </w:pPr>
      <w:r>
        <w:rPr>
          <w:lang w:val="fr-CA"/>
        </w:rPr>
        <w:t>5.</w:t>
      </w:r>
      <w:r>
        <w:rPr>
          <w:lang w:val="fr-CA"/>
        </w:rPr>
        <w:tab/>
      </w:r>
      <w:r w:rsidRPr="00480654">
        <w:rPr>
          <w:lang w:val="fr-CA"/>
        </w:rPr>
        <w:t>L</w:t>
      </w:r>
      <w:r>
        <w:rPr>
          <w:lang w:val="fr-CA"/>
        </w:rPr>
        <w:t>’</w:t>
      </w:r>
      <w:r w:rsidRPr="00480654">
        <w:rPr>
          <w:lang w:val="fr-CA"/>
        </w:rPr>
        <w:t>inspecteur en chef des mines a également</w:t>
      </w:r>
      <w:r>
        <w:rPr>
          <w:lang w:val="fr-CA"/>
        </w:rPr>
        <w:t xml:space="preserve"> mené une enquête approfondie et soumis à l’ancien Ministre de l’énergie et des mines un rapport daté du 30</w:t>
      </w:r>
      <w:r w:rsidR="001B65D4">
        <w:rPr>
          <w:lang w:val="fr-CA"/>
        </w:rPr>
        <w:t> </w:t>
      </w:r>
      <w:r>
        <w:rPr>
          <w:lang w:val="fr-CA"/>
        </w:rPr>
        <w:t>novembre 2015, dans lequel il a rendu des conclusions similaires en ce qui concerne le processus ayant conduit à la rupture de l’installation d’entreposage des résidus miniers. Il a critiqué certaines des mesures prises par le propriétaire (</w:t>
      </w:r>
      <w:r w:rsidRPr="00DA0200">
        <w:rPr>
          <w:lang w:val="fr-CA"/>
        </w:rPr>
        <w:t>M</w:t>
      </w:r>
      <w:r>
        <w:rPr>
          <w:lang w:val="fr-CA"/>
        </w:rPr>
        <w:t>ount Polley Mining Corporation (MPMC), et par les ingénieurs en charge du dossier (AMEC et</w:t>
      </w:r>
      <w:r w:rsidRPr="00DA0200">
        <w:rPr>
          <w:lang w:val="fr-CA"/>
        </w:rPr>
        <w:t xml:space="preserve"> Knight Piesold</w:t>
      </w:r>
      <w:r>
        <w:rPr>
          <w:lang w:val="fr-CA"/>
        </w:rPr>
        <w:t>), mais n’a pas constaté d’infraction à la</w:t>
      </w:r>
      <w:r w:rsidRPr="00DA0200">
        <w:rPr>
          <w:i/>
          <w:lang w:val="fr-CA"/>
        </w:rPr>
        <w:t xml:space="preserve"> </w:t>
      </w:r>
      <w:r w:rsidRPr="00704010">
        <w:rPr>
          <w:lang w:val="fr-CA"/>
        </w:rPr>
        <w:t>loi sur les mines,</w:t>
      </w:r>
      <w:r>
        <w:rPr>
          <w:i/>
          <w:lang w:val="fr-CA"/>
        </w:rPr>
        <w:t xml:space="preserve"> </w:t>
      </w:r>
      <w:r>
        <w:rPr>
          <w:lang w:val="fr-CA"/>
        </w:rPr>
        <w:t xml:space="preserve">au </w:t>
      </w:r>
      <w:r w:rsidRPr="00DA0200">
        <w:rPr>
          <w:i/>
          <w:lang w:val="fr-CA"/>
        </w:rPr>
        <w:t>Health, Safety and Reclamation Code for Mines in British Columbia</w:t>
      </w:r>
      <w:r>
        <w:rPr>
          <w:lang w:val="fr-CA"/>
        </w:rPr>
        <w:t xml:space="preserve"> (Code de la santé, de la sécurité et de la réhabilitation des mines de Colombie </w:t>
      </w:r>
      <w:r w:rsidR="00704010">
        <w:rPr>
          <w:lang w:val="fr-CA"/>
        </w:rPr>
        <w:noBreakHyphen/>
        <w:t>B</w:t>
      </w:r>
      <w:r>
        <w:rPr>
          <w:lang w:val="fr-CA"/>
        </w:rPr>
        <w:t>ritannique) ni aux permis d’extraction détenus par l’exploitant.</w:t>
      </w:r>
    </w:p>
    <w:p w14:paraId="05A7C373" w14:textId="77777777" w:rsidR="008747B0" w:rsidRPr="00DA0200" w:rsidRDefault="008747B0" w:rsidP="00877853">
      <w:pPr>
        <w:pStyle w:val="SingleTxtG"/>
        <w:rPr>
          <w:lang w:val="fr-CA"/>
        </w:rPr>
      </w:pPr>
      <w:r>
        <w:rPr>
          <w:lang w:val="fr-CA"/>
        </w:rPr>
        <w:t>6.</w:t>
      </w:r>
      <w:r>
        <w:rPr>
          <w:lang w:val="fr-CA"/>
        </w:rPr>
        <w:tab/>
      </w:r>
      <w:r w:rsidRPr="00DA0200">
        <w:rPr>
          <w:lang w:val="fr-CA"/>
        </w:rPr>
        <w:t xml:space="preserve">Finalement, le vérificateur </w:t>
      </w:r>
      <w:r>
        <w:rPr>
          <w:lang w:val="fr-CA"/>
        </w:rPr>
        <w:t>géné</w:t>
      </w:r>
      <w:r w:rsidRPr="00DA0200">
        <w:rPr>
          <w:lang w:val="fr-CA"/>
        </w:rPr>
        <w:t>ral de</w:t>
      </w:r>
      <w:r>
        <w:rPr>
          <w:lang w:val="fr-CA"/>
        </w:rPr>
        <w:t xml:space="preserve"> </w:t>
      </w:r>
      <w:r w:rsidRPr="00DA0200">
        <w:rPr>
          <w:lang w:val="fr-CA"/>
        </w:rPr>
        <w:t>la Colombie-Britannique a</w:t>
      </w:r>
      <w:r>
        <w:rPr>
          <w:lang w:val="fr-CA"/>
        </w:rPr>
        <w:t>, après avoir</w:t>
      </w:r>
      <w:r w:rsidRPr="00DA0200">
        <w:rPr>
          <w:lang w:val="fr-CA"/>
        </w:rPr>
        <w:t xml:space="preserve"> </w:t>
      </w:r>
      <w:r>
        <w:rPr>
          <w:lang w:val="fr-CA"/>
        </w:rPr>
        <w:t xml:space="preserve">enquêté, établi un rapport d’audit en mai 2016, dans lequel il critique le </w:t>
      </w:r>
      <w:r w:rsidR="00704010">
        <w:rPr>
          <w:lang w:val="fr-CA"/>
        </w:rPr>
        <w:t>G</w:t>
      </w:r>
      <w:r>
        <w:rPr>
          <w:lang w:val="fr-CA"/>
        </w:rPr>
        <w:t xml:space="preserve">ouvernement de la Colombie-Britannique, mais certaines de ses conclusions ne semblent pas concorder avec les constatations du </w:t>
      </w:r>
      <w:r w:rsidRPr="00480654">
        <w:rPr>
          <w:lang w:val="fr-CA"/>
        </w:rPr>
        <w:t>comité d</w:t>
      </w:r>
      <w:r>
        <w:rPr>
          <w:lang w:val="fr-CA"/>
        </w:rPr>
        <w:t>’</w:t>
      </w:r>
      <w:r w:rsidRPr="00480654">
        <w:rPr>
          <w:lang w:val="fr-CA"/>
        </w:rPr>
        <w:t>experts en ingénierie et d</w:t>
      </w:r>
      <w:r>
        <w:rPr>
          <w:lang w:val="fr-CA"/>
        </w:rPr>
        <w:t>’</w:t>
      </w:r>
      <w:r w:rsidRPr="00480654">
        <w:rPr>
          <w:lang w:val="fr-CA"/>
        </w:rPr>
        <w:t>examen indépendant</w:t>
      </w:r>
      <w:r w:rsidRPr="0043577E">
        <w:rPr>
          <w:rStyle w:val="Appelnotedebasdep"/>
        </w:rPr>
        <w:footnoteReference w:id="5"/>
      </w:r>
      <w:r w:rsidR="00704010">
        <w:rPr>
          <w:lang w:val="fr-CA"/>
        </w:rPr>
        <w:t>.</w:t>
      </w:r>
    </w:p>
    <w:p w14:paraId="1001C37C" w14:textId="77777777" w:rsidR="008747B0" w:rsidRPr="00400C1F" w:rsidRDefault="008747B0" w:rsidP="00877853">
      <w:pPr>
        <w:pStyle w:val="SingleTxtG"/>
        <w:rPr>
          <w:lang w:val="fr-CA"/>
        </w:rPr>
      </w:pPr>
      <w:r>
        <w:rPr>
          <w:lang w:val="fr-CA"/>
        </w:rPr>
        <w:t>7.</w:t>
      </w:r>
      <w:r>
        <w:rPr>
          <w:lang w:val="fr-CA"/>
        </w:rPr>
        <w:tab/>
      </w:r>
      <w:r w:rsidRPr="00400C1F">
        <w:rPr>
          <w:lang w:val="fr-CA"/>
        </w:rPr>
        <w:t xml:space="preserve">Plusieurs </w:t>
      </w:r>
      <w:r>
        <w:rPr>
          <w:lang w:val="fr-CA"/>
        </w:rPr>
        <w:t xml:space="preserve">actions </w:t>
      </w:r>
      <w:r w:rsidRPr="00400C1F">
        <w:rPr>
          <w:lang w:val="fr-CA"/>
        </w:rPr>
        <w:t xml:space="preserve">judiciaires ont été </w:t>
      </w:r>
      <w:r>
        <w:rPr>
          <w:lang w:val="fr-CA"/>
        </w:rPr>
        <w:t>introduites à la suite de la rupture de l’ouvrage, y compris, en octobre 2016, une action privée qui a été suspendue. Une deuxième action privée contre la société minière a été déposée le 4</w:t>
      </w:r>
      <w:r w:rsidR="001B65D4">
        <w:rPr>
          <w:lang w:val="fr-CA"/>
        </w:rPr>
        <w:t> </w:t>
      </w:r>
      <w:r>
        <w:rPr>
          <w:lang w:val="fr-CA"/>
        </w:rPr>
        <w:t xml:space="preserve">août 2017 par un membre de la bande de Soda Creek et elle a également été suspendue. Les deux affaires ont été gérées indépendamment du gouvernement par un avocat de la Couronne. </w:t>
      </w:r>
    </w:p>
    <w:p w14:paraId="2EB52212" w14:textId="77777777" w:rsidR="008747B0" w:rsidRDefault="008747B0" w:rsidP="00877853">
      <w:pPr>
        <w:pStyle w:val="SingleTxtG"/>
        <w:rPr>
          <w:lang w:val="fr-CA"/>
        </w:rPr>
      </w:pPr>
      <w:r>
        <w:rPr>
          <w:lang w:val="fr-CA"/>
        </w:rPr>
        <w:t>8.</w:t>
      </w:r>
      <w:r>
        <w:rPr>
          <w:lang w:val="fr-CA"/>
        </w:rPr>
        <w:tab/>
      </w:r>
      <w:r w:rsidRPr="00F32A2C">
        <w:rPr>
          <w:lang w:val="fr-CA"/>
        </w:rPr>
        <w:t>La Couronne fédérale poursuit son enquête</w:t>
      </w:r>
      <w:r>
        <w:rPr>
          <w:lang w:val="fr-CA"/>
        </w:rPr>
        <w:t xml:space="preserve"> sur la rupture de l’installation de stockage des résidus miniers.</w:t>
      </w:r>
    </w:p>
    <w:p w14:paraId="75E8E4F4" w14:textId="77777777" w:rsidR="008747B0" w:rsidRPr="007F789C" w:rsidRDefault="008747B0" w:rsidP="00877853">
      <w:pPr>
        <w:pStyle w:val="SingleTxtG"/>
        <w:rPr>
          <w:lang w:val="fr-CA"/>
        </w:rPr>
      </w:pPr>
      <w:r>
        <w:rPr>
          <w:lang w:val="fr-CA"/>
        </w:rPr>
        <w:t>9.</w:t>
      </w:r>
      <w:r>
        <w:rPr>
          <w:lang w:val="fr-CA"/>
        </w:rPr>
        <w:tab/>
      </w:r>
      <w:r w:rsidRPr="007F789C">
        <w:rPr>
          <w:lang w:val="fr-CA"/>
        </w:rPr>
        <w:t xml:space="preserve">Les procédures civiles </w:t>
      </w:r>
      <w:r>
        <w:rPr>
          <w:lang w:val="fr-CA"/>
        </w:rPr>
        <w:t>sont les suivantes :</w:t>
      </w:r>
    </w:p>
    <w:p w14:paraId="02A44B5F" w14:textId="77777777" w:rsidR="008747B0" w:rsidRPr="00705126" w:rsidRDefault="00877853" w:rsidP="00877853">
      <w:pPr>
        <w:pStyle w:val="Bullet1G"/>
        <w:rPr>
          <w:lang w:val="fr-CA"/>
        </w:rPr>
      </w:pPr>
      <w:r>
        <w:rPr>
          <w:lang w:val="fr-CA"/>
        </w:rPr>
        <w:t>D</w:t>
      </w:r>
      <w:r w:rsidR="008747B0" w:rsidRPr="00705126">
        <w:rPr>
          <w:lang w:val="fr-CA"/>
        </w:rPr>
        <w:t>es avis de poursuite civile déposés en juillet et au début août 2016 par trois Premières Nations (le St</w:t>
      </w:r>
      <w:r w:rsidR="008747B0">
        <w:rPr>
          <w:lang w:val="fr-CA"/>
        </w:rPr>
        <w:t>’</w:t>
      </w:r>
      <w:r w:rsidR="008747B0" w:rsidRPr="00705126">
        <w:rPr>
          <w:lang w:val="fr-CA"/>
        </w:rPr>
        <w:t>at</w:t>
      </w:r>
      <w:r w:rsidR="008747B0">
        <w:rPr>
          <w:lang w:val="fr-CA"/>
        </w:rPr>
        <w:t>’</w:t>
      </w:r>
      <w:r w:rsidR="008747B0" w:rsidRPr="00705126">
        <w:rPr>
          <w:lang w:val="fr-CA"/>
        </w:rPr>
        <w:t xml:space="preserve">imc Chiefs Council, le </w:t>
      </w:r>
      <w:r w:rsidR="00704010">
        <w:rPr>
          <w:lang w:val="fr-CA"/>
        </w:rPr>
        <w:t>G</w:t>
      </w:r>
      <w:r w:rsidR="008747B0" w:rsidRPr="00705126">
        <w:rPr>
          <w:lang w:val="fr-CA"/>
        </w:rPr>
        <w:t>ouvern</w:t>
      </w:r>
      <w:r w:rsidR="008747B0">
        <w:rPr>
          <w:lang w:val="fr-CA"/>
        </w:rPr>
        <w:t>ement de la Nation des Tsilhqot’</w:t>
      </w:r>
      <w:r w:rsidR="008747B0" w:rsidRPr="00705126">
        <w:rPr>
          <w:lang w:val="fr-CA"/>
        </w:rPr>
        <w:t>in et la bande de Williams Lake)</w:t>
      </w:r>
      <w:r w:rsidR="008747B0">
        <w:rPr>
          <w:lang w:val="fr-CA"/>
        </w:rPr>
        <w:t xml:space="preserve"> </w:t>
      </w:r>
      <w:r w:rsidR="008747B0" w:rsidRPr="00705126">
        <w:rPr>
          <w:lang w:val="fr-CA"/>
        </w:rPr>
        <w:t xml:space="preserve">contre le </w:t>
      </w:r>
      <w:r w:rsidR="001B65D4">
        <w:rPr>
          <w:lang w:val="fr-CA"/>
        </w:rPr>
        <w:t>G</w:t>
      </w:r>
      <w:r w:rsidR="008747B0" w:rsidRPr="00705126">
        <w:rPr>
          <w:lang w:val="fr-CA"/>
        </w:rPr>
        <w:t>ouvernement de la Colombie</w:t>
      </w:r>
      <w:r w:rsidR="00704010">
        <w:rPr>
          <w:lang w:val="fr-CA"/>
        </w:rPr>
        <w:noBreakHyphen/>
      </w:r>
      <w:r w:rsidR="008747B0" w:rsidRPr="00705126">
        <w:rPr>
          <w:lang w:val="fr-CA"/>
        </w:rPr>
        <w:t>Britannique et les sociétés défenderesses</w:t>
      </w:r>
      <w:r w:rsidR="008747B0">
        <w:rPr>
          <w:lang w:val="fr-CA"/>
        </w:rPr>
        <w:t xml:space="preserve">. </w:t>
      </w:r>
      <w:r w:rsidR="008747B0" w:rsidRPr="00705126">
        <w:rPr>
          <w:lang w:val="fr-CA"/>
        </w:rPr>
        <w:t xml:space="preserve">Ces </w:t>
      </w:r>
      <w:r w:rsidR="008747B0">
        <w:rPr>
          <w:lang w:val="fr-CA"/>
        </w:rPr>
        <w:t xml:space="preserve">actions ont été suspendues de manière informelle </w:t>
      </w:r>
      <w:r w:rsidR="008747B0" w:rsidRPr="00705126">
        <w:rPr>
          <w:lang w:val="fr-CA"/>
        </w:rPr>
        <w:t>pendant que d</w:t>
      </w:r>
      <w:r w:rsidR="008747B0">
        <w:rPr>
          <w:lang w:val="fr-CA"/>
        </w:rPr>
        <w:t>’</w:t>
      </w:r>
      <w:r w:rsidR="008747B0" w:rsidRPr="00705126">
        <w:rPr>
          <w:lang w:val="fr-CA"/>
        </w:rPr>
        <w:t xml:space="preserve">autres </w:t>
      </w:r>
      <w:r w:rsidR="008747B0">
        <w:rPr>
          <w:lang w:val="fr-CA"/>
        </w:rPr>
        <w:t>procédures se poursuivent</w:t>
      </w:r>
      <w:r>
        <w:rPr>
          <w:lang w:val="fr-CA"/>
        </w:rPr>
        <w:t> </w:t>
      </w:r>
      <w:r w:rsidR="008747B0">
        <w:rPr>
          <w:lang w:val="fr-CA"/>
        </w:rPr>
        <w:t>;</w:t>
      </w:r>
    </w:p>
    <w:p w14:paraId="73EC302F" w14:textId="77777777" w:rsidR="008747B0" w:rsidRPr="001B65D4" w:rsidRDefault="00877853" w:rsidP="00877853">
      <w:pPr>
        <w:pStyle w:val="Bullet1G"/>
        <w:rPr>
          <w:spacing w:val="-1"/>
          <w:lang w:val="fr-CA"/>
        </w:rPr>
      </w:pPr>
      <w:r w:rsidRPr="001B65D4">
        <w:rPr>
          <w:spacing w:val="-1"/>
          <w:lang w:val="fr-CA"/>
        </w:rPr>
        <w:t>D</w:t>
      </w:r>
      <w:r w:rsidR="008747B0" w:rsidRPr="001B65D4">
        <w:rPr>
          <w:spacing w:val="-1"/>
          <w:lang w:val="fr-CA"/>
        </w:rPr>
        <w:t xml:space="preserve">eux avis de poursuite civile déposés par des guides pourvoyeurs et des voyagistes (Northern Lights Lodge Ltd. et Cariboo Mountains Fishing and Outdoor Adventures Ltd.) contre la MPMC, Imperial Metals, les ingénieurs AMEC et Knight Piesold ainsi que le </w:t>
      </w:r>
      <w:r w:rsidR="001B65D4">
        <w:rPr>
          <w:spacing w:val="-1"/>
          <w:lang w:val="fr-CA"/>
        </w:rPr>
        <w:t>G</w:t>
      </w:r>
      <w:r w:rsidR="008747B0" w:rsidRPr="001B65D4">
        <w:rPr>
          <w:spacing w:val="-1"/>
          <w:lang w:val="fr-CA"/>
        </w:rPr>
        <w:t>ouvernement de la Colombie-Britannique. Ces poursuites sont en suspens</w:t>
      </w:r>
      <w:r w:rsidRPr="001B65D4">
        <w:rPr>
          <w:spacing w:val="-1"/>
          <w:lang w:val="fr-CA"/>
        </w:rPr>
        <w:t> </w:t>
      </w:r>
      <w:r w:rsidR="008747B0" w:rsidRPr="001B65D4">
        <w:rPr>
          <w:spacing w:val="-1"/>
          <w:lang w:val="fr-CA"/>
        </w:rPr>
        <w:t>;</w:t>
      </w:r>
    </w:p>
    <w:p w14:paraId="47016F84" w14:textId="77777777" w:rsidR="008747B0" w:rsidRPr="00761604" w:rsidRDefault="00877853" w:rsidP="00877853">
      <w:pPr>
        <w:pStyle w:val="Bullet1G"/>
        <w:rPr>
          <w:lang w:val="fr-CA"/>
        </w:rPr>
      </w:pPr>
      <w:r>
        <w:rPr>
          <w:lang w:val="fr-CA"/>
        </w:rPr>
        <w:t>U</w:t>
      </w:r>
      <w:r w:rsidR="008747B0" w:rsidRPr="00F924D5">
        <w:rPr>
          <w:lang w:val="fr-CA"/>
        </w:rPr>
        <w:t>ne</w:t>
      </w:r>
      <w:r w:rsidR="008747B0">
        <w:rPr>
          <w:lang w:val="fr-CA"/>
        </w:rPr>
        <w:t xml:space="preserve"> action</w:t>
      </w:r>
      <w:r w:rsidR="008747B0" w:rsidRPr="00F924D5">
        <w:rPr>
          <w:lang w:val="fr-CA"/>
        </w:rPr>
        <w:t xml:space="preserve"> pour négligence </w:t>
      </w:r>
      <w:r w:rsidR="008747B0">
        <w:rPr>
          <w:lang w:val="fr-CA"/>
        </w:rPr>
        <w:t>et rupture</w:t>
      </w:r>
      <w:r w:rsidR="008747B0" w:rsidRPr="00F924D5">
        <w:rPr>
          <w:lang w:val="fr-CA"/>
        </w:rPr>
        <w:t xml:space="preserve"> de contrat </w:t>
      </w:r>
      <w:r w:rsidR="008747B0">
        <w:rPr>
          <w:lang w:val="fr-CA"/>
        </w:rPr>
        <w:t>commencée</w:t>
      </w:r>
      <w:r w:rsidR="008747B0" w:rsidRPr="00F924D5">
        <w:rPr>
          <w:lang w:val="fr-CA"/>
        </w:rPr>
        <w:t xml:space="preserve"> </w:t>
      </w:r>
      <w:r w:rsidR="008747B0">
        <w:rPr>
          <w:lang w:val="fr-CA"/>
        </w:rPr>
        <w:t>au début de juillet 2016</w:t>
      </w:r>
      <w:r w:rsidR="008747B0" w:rsidRPr="00F924D5">
        <w:rPr>
          <w:lang w:val="fr-CA"/>
        </w:rPr>
        <w:t xml:space="preserve"> par MPMC</w:t>
      </w:r>
      <w:r w:rsidR="008747B0">
        <w:rPr>
          <w:lang w:val="fr-CA"/>
        </w:rPr>
        <w:t xml:space="preserve"> à l’encontre des deux entreprises d’ingénierie (</w:t>
      </w:r>
      <w:r w:rsidR="008747B0" w:rsidRPr="00761604">
        <w:rPr>
          <w:lang w:val="fr-CA"/>
        </w:rPr>
        <w:t>AMEC et Knight Piesold</w:t>
      </w:r>
      <w:r w:rsidR="008747B0">
        <w:rPr>
          <w:lang w:val="fr-CA"/>
        </w:rPr>
        <w:t>)</w:t>
      </w:r>
      <w:r w:rsidR="008747B0" w:rsidRPr="00761604">
        <w:rPr>
          <w:lang w:val="fr-CA"/>
        </w:rPr>
        <w:t>.</w:t>
      </w:r>
      <w:r w:rsidR="008747B0">
        <w:rPr>
          <w:lang w:val="fr-CA"/>
        </w:rPr>
        <w:t xml:space="preserve"> Bien que MPMC n’ait pas poursuivi le </w:t>
      </w:r>
      <w:r w:rsidR="00704010">
        <w:rPr>
          <w:lang w:val="fr-CA"/>
        </w:rPr>
        <w:t>G</w:t>
      </w:r>
      <w:r w:rsidR="008747B0">
        <w:rPr>
          <w:lang w:val="fr-CA"/>
        </w:rPr>
        <w:t xml:space="preserve">ouvernement provincial, </w:t>
      </w:r>
      <w:r w:rsidR="008747B0" w:rsidRPr="00761604">
        <w:rPr>
          <w:lang w:val="fr-CA"/>
        </w:rPr>
        <w:t>AMEC et Knight Piesold</w:t>
      </w:r>
      <w:r w:rsidR="008747B0">
        <w:rPr>
          <w:lang w:val="fr-CA"/>
        </w:rPr>
        <w:t xml:space="preserve"> ont engagé une procédure en qualité de tiers opposants contre le </w:t>
      </w:r>
      <w:r w:rsidR="008D1CF7">
        <w:rPr>
          <w:lang w:val="fr-CA"/>
        </w:rPr>
        <w:t>G</w:t>
      </w:r>
      <w:r w:rsidR="008747B0">
        <w:rPr>
          <w:lang w:val="fr-CA"/>
        </w:rPr>
        <w:t>ouvernement de la Colombie-Britannique.</w:t>
      </w:r>
    </w:p>
    <w:p w14:paraId="1D1FEFD9" w14:textId="77777777" w:rsidR="008747B0" w:rsidRDefault="008747B0" w:rsidP="007C04E4">
      <w:pPr>
        <w:pStyle w:val="SingleTxtG"/>
        <w:spacing w:line="220" w:lineRule="atLeast"/>
        <w:rPr>
          <w:lang w:val="fr-CA"/>
        </w:rPr>
      </w:pPr>
      <w:r>
        <w:rPr>
          <w:lang w:val="fr-CA"/>
        </w:rPr>
        <w:t>10.</w:t>
      </w:r>
      <w:r>
        <w:rPr>
          <w:lang w:val="fr-CA"/>
        </w:rPr>
        <w:tab/>
        <w:t xml:space="preserve">En février 2018, </w:t>
      </w:r>
      <w:r w:rsidRPr="007F789C">
        <w:rPr>
          <w:lang w:val="fr-CA"/>
        </w:rPr>
        <w:t xml:space="preserve">le </w:t>
      </w:r>
      <w:r w:rsidR="00704010">
        <w:rPr>
          <w:lang w:val="fr-CA"/>
        </w:rPr>
        <w:t>G</w:t>
      </w:r>
      <w:r w:rsidRPr="007F789C">
        <w:rPr>
          <w:lang w:val="fr-CA"/>
        </w:rPr>
        <w:t>ouvernement du C</w:t>
      </w:r>
      <w:r>
        <w:rPr>
          <w:lang w:val="fr-CA"/>
        </w:rPr>
        <w:t>an</w:t>
      </w:r>
      <w:r w:rsidRPr="007F789C">
        <w:rPr>
          <w:lang w:val="fr-CA"/>
        </w:rPr>
        <w:t xml:space="preserve">ada a </w:t>
      </w:r>
      <w:r>
        <w:rPr>
          <w:lang w:val="fr-CA"/>
        </w:rPr>
        <w:t>présenté les projets de loi C-68 et C</w:t>
      </w:r>
      <w:r w:rsidR="008D1CF7">
        <w:rPr>
          <w:lang w:val="fr-CA"/>
        </w:rPr>
        <w:noBreakHyphen/>
      </w:r>
      <w:r>
        <w:rPr>
          <w:lang w:val="fr-CA"/>
        </w:rPr>
        <w:t xml:space="preserve">69 qui proposent de </w:t>
      </w:r>
      <w:r w:rsidRPr="007F789C">
        <w:rPr>
          <w:lang w:val="fr-CA"/>
        </w:rPr>
        <w:t>meilleures règles pour</w:t>
      </w:r>
      <w:r>
        <w:rPr>
          <w:lang w:val="fr-CA"/>
        </w:rPr>
        <w:t xml:space="preserve"> protéger l’</w:t>
      </w:r>
      <w:r w:rsidRPr="007F789C">
        <w:rPr>
          <w:lang w:val="fr-CA"/>
        </w:rPr>
        <w:t>environnement</w:t>
      </w:r>
      <w:r>
        <w:rPr>
          <w:lang w:val="fr-CA"/>
        </w:rPr>
        <w:t>, les poissons et les</w:t>
      </w:r>
      <w:r w:rsidRPr="007F789C">
        <w:rPr>
          <w:lang w:val="fr-CA"/>
        </w:rPr>
        <w:t xml:space="preserve"> cours d</w:t>
      </w:r>
      <w:r>
        <w:rPr>
          <w:lang w:val="fr-CA"/>
        </w:rPr>
        <w:t>’</w:t>
      </w:r>
      <w:r w:rsidRPr="007F789C">
        <w:rPr>
          <w:lang w:val="fr-CA"/>
        </w:rPr>
        <w:t xml:space="preserve">eau </w:t>
      </w:r>
      <w:r>
        <w:rPr>
          <w:lang w:val="fr-CA"/>
        </w:rPr>
        <w:t>du Canada</w:t>
      </w:r>
      <w:r w:rsidRPr="007F789C">
        <w:rPr>
          <w:lang w:val="fr-CA"/>
        </w:rPr>
        <w:t xml:space="preserve">, respecter les droits des </w:t>
      </w:r>
      <w:r w:rsidR="00704010">
        <w:rPr>
          <w:lang w:val="fr-CA"/>
        </w:rPr>
        <w:t>a</w:t>
      </w:r>
      <w:r w:rsidRPr="007F789C">
        <w:rPr>
          <w:lang w:val="fr-CA"/>
        </w:rPr>
        <w:t>utochtones et rétablir la confiance du public da</w:t>
      </w:r>
      <w:r>
        <w:rPr>
          <w:lang w:val="fr-CA"/>
        </w:rPr>
        <w:t>ns la façon dont les décisions sur</w:t>
      </w:r>
      <w:r w:rsidRPr="007F789C">
        <w:rPr>
          <w:lang w:val="fr-CA"/>
        </w:rPr>
        <w:t xml:space="preserve"> l</w:t>
      </w:r>
      <w:r>
        <w:rPr>
          <w:lang w:val="fr-CA"/>
        </w:rPr>
        <w:t>’</w:t>
      </w:r>
      <w:r w:rsidRPr="007F789C">
        <w:rPr>
          <w:lang w:val="fr-CA"/>
        </w:rPr>
        <w:t>exploitation des ressources sont prises.</w:t>
      </w:r>
      <w:r>
        <w:rPr>
          <w:lang w:val="fr-CA"/>
        </w:rPr>
        <w:t xml:space="preserve"> Si le texte est adopté, dans le cadre de ces mesures, il y aura une mobilisation précoce et régulière des peuples autochtones, </w:t>
      </w:r>
      <w:bookmarkStart w:id="0" w:name="_GoBack"/>
      <w:bookmarkEnd w:id="0"/>
      <w:r>
        <w:rPr>
          <w:lang w:val="fr-CA"/>
        </w:rPr>
        <w:t xml:space="preserve">fondée sur la reconnaissance de leurs droits et de leurs intérêts, ainsi qu’une collaboration avec eux pour examiner les projets. Il sera aussi </w:t>
      </w:r>
      <w:r>
        <w:rPr>
          <w:lang w:val="fr-CA"/>
        </w:rPr>
        <w:lastRenderedPageBreak/>
        <w:t>obligatoire de tenir compte des connaissances autochtones pendant le processus d’évaluation de l’impact.</w:t>
      </w:r>
    </w:p>
    <w:p w14:paraId="6D4129F3" w14:textId="77777777" w:rsidR="008747B0" w:rsidRPr="002E7FF2" w:rsidRDefault="008747B0" w:rsidP="00877853">
      <w:pPr>
        <w:pStyle w:val="SingleTxtG"/>
        <w:rPr>
          <w:lang w:val="fr-CA"/>
        </w:rPr>
      </w:pPr>
      <w:r>
        <w:rPr>
          <w:lang w:val="fr-CA"/>
        </w:rPr>
        <w:t>11.</w:t>
      </w:r>
      <w:r>
        <w:rPr>
          <w:lang w:val="fr-CA"/>
        </w:rPr>
        <w:tab/>
        <w:t>Le 27</w:t>
      </w:r>
      <w:r w:rsidR="008D1CF7">
        <w:rPr>
          <w:lang w:val="fr-CA"/>
        </w:rPr>
        <w:t> </w:t>
      </w:r>
      <w:r>
        <w:rPr>
          <w:lang w:val="fr-CA"/>
        </w:rPr>
        <w:t>novembre 2018</w:t>
      </w:r>
      <w:r w:rsidRPr="0084675B">
        <w:rPr>
          <w:lang w:val="fr-CA"/>
        </w:rPr>
        <w:t>, la</w:t>
      </w:r>
      <w:r>
        <w:rPr>
          <w:lang w:val="fr-CA"/>
        </w:rPr>
        <w:t xml:space="preserve"> nouvelle</w:t>
      </w:r>
      <w:r w:rsidRPr="0084675B">
        <w:rPr>
          <w:lang w:val="fr-CA"/>
        </w:rPr>
        <w:t xml:space="preserve"> </w:t>
      </w:r>
      <w:r>
        <w:rPr>
          <w:lang w:val="fr-CA"/>
        </w:rPr>
        <w:t>loi sur l’évaluation de l’impact sur l’environnement de la Colombie-Britannique (</w:t>
      </w:r>
      <w:r w:rsidRPr="0084675B">
        <w:rPr>
          <w:i/>
          <w:iCs/>
          <w:lang w:val="fr-CA"/>
        </w:rPr>
        <w:t>Environmental Asses</w:t>
      </w:r>
      <w:r>
        <w:rPr>
          <w:i/>
          <w:iCs/>
          <w:lang w:val="fr-CA"/>
        </w:rPr>
        <w:t>sment Act)</w:t>
      </w:r>
      <w:r>
        <w:rPr>
          <w:lang w:val="fr-CA"/>
        </w:rPr>
        <w:t xml:space="preserve"> (</w:t>
      </w:r>
      <w:r w:rsidRPr="0084675B">
        <w:rPr>
          <w:lang w:val="fr-CA"/>
        </w:rPr>
        <w:t>S.B.C.</w:t>
      </w:r>
      <w:r>
        <w:rPr>
          <w:lang w:val="fr-CA"/>
        </w:rPr>
        <w:t> </w:t>
      </w:r>
      <w:r w:rsidRPr="0084675B">
        <w:rPr>
          <w:lang w:val="fr-CA"/>
        </w:rPr>
        <w:t>2018, c.</w:t>
      </w:r>
      <w:r>
        <w:rPr>
          <w:lang w:val="fr-CA"/>
        </w:rPr>
        <w:t> </w:t>
      </w:r>
      <w:r w:rsidRPr="0084675B">
        <w:rPr>
          <w:lang w:val="fr-CA"/>
        </w:rPr>
        <w:t>51</w:t>
      </w:r>
      <w:r>
        <w:rPr>
          <w:lang w:val="fr-CA"/>
        </w:rPr>
        <w:t>) a reçu l’assentiment royal. La loi devrait entrer en vigueur à l’automne</w:t>
      </w:r>
      <w:r w:rsidR="008D1CF7">
        <w:rPr>
          <w:lang w:val="fr-CA"/>
        </w:rPr>
        <w:t xml:space="preserve"> </w:t>
      </w:r>
      <w:r>
        <w:rPr>
          <w:lang w:val="fr-CA"/>
        </w:rPr>
        <w:t>2019. La revitalisation du processus d’évaluation environnementale a pour but d’accroître la confiance du public, de favoriser la réconciliation avec les peuples autochtones et de protéger l’environnement tout en traçant des pistes précises vers l’approbation des projets durables. Il faut tenir compte des connaissances autochtones dans la prise des décisions et veiller à déterminer si la nation participante exprime un avis de consentement à l’exécution du projet. Pendant le</w:t>
      </w:r>
      <w:r w:rsidRPr="003703E4">
        <w:rPr>
          <w:lang w:val="fr-CA"/>
        </w:rPr>
        <w:t xml:space="preserve"> </w:t>
      </w:r>
      <w:r>
        <w:rPr>
          <w:lang w:val="fr-CA"/>
        </w:rPr>
        <w:t xml:space="preserve">processus d’évaluation environnementale, la province doit tenter d’établir un consensus avec les nations autochtones participantes pour harmoniser les décisions des ministres provinciaux et des nations autochtones. </w:t>
      </w:r>
    </w:p>
    <w:p w14:paraId="77F35279" w14:textId="77777777" w:rsidR="008747B0" w:rsidRPr="007C5263" w:rsidRDefault="00877853" w:rsidP="00877853">
      <w:pPr>
        <w:pStyle w:val="H1G"/>
        <w:rPr>
          <w:sz w:val="26"/>
          <w:szCs w:val="26"/>
          <w:lang w:val="fr-CA"/>
        </w:rPr>
      </w:pPr>
      <w:r>
        <w:rPr>
          <w:lang w:val="fr-CA"/>
        </w:rPr>
        <w:tab/>
      </w:r>
      <w:r>
        <w:rPr>
          <w:lang w:val="fr-CA"/>
        </w:rPr>
        <w:tab/>
      </w:r>
      <w:r w:rsidR="008747B0" w:rsidRPr="007C5263">
        <w:rPr>
          <w:lang w:val="fr-CA"/>
        </w:rPr>
        <w:t>Recommandations 34 a), b) et d)</w:t>
      </w:r>
    </w:p>
    <w:p w14:paraId="4CAFEE42" w14:textId="77777777" w:rsidR="008747B0" w:rsidRPr="00877853" w:rsidRDefault="008747B0" w:rsidP="0047136B">
      <w:pPr>
        <w:pStyle w:val="SingleTxtG"/>
        <w:ind w:firstLine="567"/>
        <w:rPr>
          <w:b/>
          <w:lang w:val="fr-CA"/>
        </w:rPr>
      </w:pPr>
      <w:r w:rsidRPr="00877853">
        <w:rPr>
          <w:b/>
          <w:lang w:val="fr-CA"/>
        </w:rPr>
        <w:t>À la lumière de ses recommandations générales n</w:t>
      </w:r>
      <w:r w:rsidRPr="00877853">
        <w:rPr>
          <w:b/>
          <w:vertAlign w:val="superscript"/>
          <w:lang w:val="fr-CA"/>
        </w:rPr>
        <w:t>o </w:t>
      </w:r>
      <w:r w:rsidRPr="00877853">
        <w:rPr>
          <w:b/>
          <w:lang w:val="fr-CA"/>
        </w:rPr>
        <w:t>22 (1996) concernant l’article 5 et les réfugiés et personnes déplacées, et n</w:t>
      </w:r>
      <w:r w:rsidRPr="00877853">
        <w:rPr>
          <w:b/>
          <w:vertAlign w:val="superscript"/>
          <w:lang w:val="fr-CA"/>
        </w:rPr>
        <w:t>o</w:t>
      </w:r>
      <w:r w:rsidRPr="00877853">
        <w:rPr>
          <w:b/>
          <w:lang w:val="fr-CA"/>
        </w:rPr>
        <w:t> 30 (2004) concernant la discrimination contre les non-ressortissants, le Comité recommande à l’État partie</w:t>
      </w:r>
      <w:r w:rsidR="00877853">
        <w:rPr>
          <w:b/>
          <w:lang w:val="fr-CA"/>
        </w:rPr>
        <w:t> </w:t>
      </w:r>
      <w:r w:rsidRPr="00877853">
        <w:rPr>
          <w:b/>
          <w:lang w:val="fr-CA"/>
        </w:rPr>
        <w:t>:</w:t>
      </w:r>
    </w:p>
    <w:p w14:paraId="14542F06" w14:textId="77777777" w:rsidR="008747B0" w:rsidRPr="00877853" w:rsidRDefault="008747B0" w:rsidP="00877853">
      <w:pPr>
        <w:pStyle w:val="SingleTxtG"/>
        <w:ind w:firstLine="567"/>
        <w:rPr>
          <w:b/>
          <w:lang w:val="fr-CA"/>
        </w:rPr>
      </w:pPr>
      <w:r w:rsidRPr="00877853">
        <w:rPr>
          <w:b/>
          <w:lang w:val="fr-FR"/>
        </w:rPr>
        <w:t>a)</w:t>
      </w:r>
      <w:r w:rsidR="00877853" w:rsidRPr="00877853">
        <w:rPr>
          <w:b/>
          <w:lang w:val="fr-FR"/>
        </w:rPr>
        <w:tab/>
      </w:r>
      <w:r w:rsidRPr="00877853">
        <w:rPr>
          <w:b/>
          <w:lang w:val="fr-FR"/>
        </w:rPr>
        <w:t xml:space="preserve">De </w:t>
      </w:r>
      <w:r w:rsidRPr="00877853">
        <w:rPr>
          <w:b/>
          <w:lang w:val="fr-CA"/>
        </w:rPr>
        <w:t>procéder aux réformes prévues en matière de détention de migrants</w:t>
      </w:r>
      <w:r w:rsidR="00EE74BD">
        <w:rPr>
          <w:b/>
          <w:lang w:val="fr-CA"/>
        </w:rPr>
        <w:t> </w:t>
      </w:r>
      <w:r w:rsidRPr="00877853">
        <w:rPr>
          <w:b/>
          <w:lang w:val="fr-CA"/>
        </w:rPr>
        <w:t>; de veiller à ce que leur placement en détention ne soit décidé qu’en dernier recours, après avoir envisagé toutes les autres mesures de substitution non privatives de liberté</w:t>
      </w:r>
      <w:r w:rsidR="00EE74BD">
        <w:rPr>
          <w:b/>
          <w:lang w:val="fr-CA"/>
        </w:rPr>
        <w:t> </w:t>
      </w:r>
      <w:r w:rsidRPr="00877853">
        <w:rPr>
          <w:b/>
          <w:lang w:val="fr-CA"/>
        </w:rPr>
        <w:t>; et d’établir une durée légale limite pour la détention de migrants</w:t>
      </w:r>
      <w:r w:rsidR="00877853">
        <w:rPr>
          <w:b/>
          <w:lang w:val="fr-CA"/>
        </w:rPr>
        <w:t> </w:t>
      </w:r>
      <w:r w:rsidRPr="00877853">
        <w:rPr>
          <w:b/>
          <w:lang w:val="fr-CA"/>
        </w:rPr>
        <w:t xml:space="preserve">; </w:t>
      </w:r>
    </w:p>
    <w:p w14:paraId="7C9CB2DF" w14:textId="77777777" w:rsidR="008747B0" w:rsidRPr="007C5263" w:rsidRDefault="008747B0" w:rsidP="00877853">
      <w:pPr>
        <w:pStyle w:val="SingleTxtG"/>
        <w:ind w:firstLine="567"/>
        <w:rPr>
          <w:lang w:val="fr-CA"/>
        </w:rPr>
      </w:pPr>
      <w:r w:rsidRPr="00877853">
        <w:rPr>
          <w:b/>
        </w:rPr>
        <w:t>b</w:t>
      </w:r>
      <w:r w:rsidRPr="00877853">
        <w:rPr>
          <w:b/>
          <w:lang w:val="fr-CA"/>
        </w:rPr>
        <w:t>)</w:t>
      </w:r>
      <w:r w:rsidR="00877853">
        <w:rPr>
          <w:lang w:val="fr-CA"/>
        </w:rPr>
        <w:tab/>
      </w:r>
      <w:r w:rsidRPr="00A50B72">
        <w:rPr>
          <w:b/>
          <w:lang w:val="fr-CA"/>
        </w:rPr>
        <w:t>De mettre immédiatement fin à la pratique du placement de mineurs en détention</w:t>
      </w:r>
      <w:r w:rsidR="00877853">
        <w:rPr>
          <w:b/>
          <w:lang w:val="fr-CA"/>
        </w:rPr>
        <w:t> </w:t>
      </w:r>
      <w:r w:rsidRPr="00A50B72">
        <w:rPr>
          <w:b/>
          <w:lang w:val="fr-CA"/>
        </w:rPr>
        <w:t>;</w:t>
      </w:r>
    </w:p>
    <w:p w14:paraId="22870FF9" w14:textId="77777777" w:rsidR="008747B0" w:rsidRPr="00877853" w:rsidRDefault="008747B0" w:rsidP="00877853">
      <w:pPr>
        <w:pStyle w:val="SingleTxtG"/>
        <w:ind w:firstLine="567"/>
        <w:rPr>
          <w:b/>
          <w:lang w:val="fr-CA"/>
        </w:rPr>
      </w:pPr>
      <w:r w:rsidRPr="00877853">
        <w:rPr>
          <w:b/>
          <w:lang w:val="fr-CA"/>
        </w:rPr>
        <w:t>d)</w:t>
      </w:r>
      <w:r w:rsidR="00877853">
        <w:rPr>
          <w:b/>
          <w:lang w:val="fr-CA"/>
        </w:rPr>
        <w:tab/>
      </w:r>
      <w:r w:rsidRPr="00877853">
        <w:rPr>
          <w:b/>
          <w:lang w:val="fr-CA"/>
        </w:rPr>
        <w:t>D’annuler, ou tout du moins suspendre, l’Entente entre le Canada et les États-Unis d’Amérique sur les tiers pays sûrs, afin de garantir que toute personne qui tente d’entrer dans l’État partie en franchissant une frontière terrestre peut accéder dans des conditions d’égalité aux procédures d’asile</w:t>
      </w:r>
      <w:r w:rsidRPr="00A50B72">
        <w:rPr>
          <w:b/>
          <w:lang w:val="fr-CA"/>
        </w:rPr>
        <w:t>.</w:t>
      </w:r>
    </w:p>
    <w:p w14:paraId="327C79C8" w14:textId="77777777" w:rsidR="008747B0" w:rsidRPr="00AB650E" w:rsidRDefault="00877853" w:rsidP="00877853">
      <w:pPr>
        <w:pStyle w:val="H23G"/>
        <w:rPr>
          <w:lang w:val="fr-CA"/>
        </w:rPr>
      </w:pPr>
      <w:r>
        <w:rPr>
          <w:lang w:val="fr-CA"/>
        </w:rPr>
        <w:tab/>
      </w:r>
      <w:r>
        <w:rPr>
          <w:lang w:val="fr-CA"/>
        </w:rPr>
        <w:tab/>
      </w:r>
      <w:r w:rsidR="008747B0">
        <w:rPr>
          <w:lang w:val="fr-CA"/>
        </w:rPr>
        <w:t>Dé</w:t>
      </w:r>
      <w:r w:rsidR="008747B0" w:rsidRPr="00AB650E">
        <w:rPr>
          <w:lang w:val="fr-CA"/>
        </w:rPr>
        <w:t>tention</w:t>
      </w:r>
      <w:r w:rsidR="008747B0">
        <w:rPr>
          <w:lang w:val="fr-CA"/>
        </w:rPr>
        <w:t xml:space="preserve"> de migrants</w:t>
      </w:r>
    </w:p>
    <w:p w14:paraId="6C58BB94" w14:textId="77777777" w:rsidR="008747B0" w:rsidRPr="00301E16" w:rsidRDefault="008747B0" w:rsidP="00877853">
      <w:pPr>
        <w:pStyle w:val="SingleTxtG"/>
        <w:rPr>
          <w:lang w:val="fr-CA"/>
        </w:rPr>
      </w:pPr>
      <w:r>
        <w:rPr>
          <w:lang w:val="fr-CA"/>
        </w:rPr>
        <w:t>12.</w:t>
      </w:r>
      <w:r>
        <w:rPr>
          <w:lang w:val="fr-CA"/>
        </w:rPr>
        <w:tab/>
      </w:r>
      <w:r w:rsidRPr="008D1CF7">
        <w:rPr>
          <w:spacing w:val="-2"/>
          <w:lang w:val="fr-CA"/>
        </w:rPr>
        <w:t>La politique du Canada en matière de détention liée à l’immigration est fondée sur le principe selon lequel la détention de migrants doit uniquement être utilisée en dernier recours, dans des situations limitées, et seulement après avoir envisagé des solutions de rechange.</w:t>
      </w:r>
    </w:p>
    <w:p w14:paraId="23211960" w14:textId="77777777" w:rsidR="008747B0" w:rsidRPr="00301E16" w:rsidRDefault="008747B0" w:rsidP="008D1CF7">
      <w:pPr>
        <w:pStyle w:val="SingleTxtG"/>
        <w:rPr>
          <w:lang w:val="fr-CA"/>
        </w:rPr>
      </w:pPr>
      <w:r>
        <w:rPr>
          <w:lang w:val="fr-CA"/>
        </w:rPr>
        <w:t>13.</w:t>
      </w:r>
      <w:r>
        <w:rPr>
          <w:lang w:val="fr-CA"/>
        </w:rPr>
        <w:tab/>
      </w:r>
      <w:r w:rsidRPr="00301E16">
        <w:rPr>
          <w:lang w:val="fr-CA"/>
        </w:rPr>
        <w:t xml:space="preserve">Les personnes détenues </w:t>
      </w:r>
      <w:r>
        <w:rPr>
          <w:lang w:val="fr-CA"/>
        </w:rPr>
        <w:t>dans le contexte de l’</w:t>
      </w:r>
      <w:r w:rsidRPr="00301E16">
        <w:rPr>
          <w:lang w:val="fr-CA"/>
        </w:rPr>
        <w:t>immigration sont protégées contre la détention arbitraire et ont accès à des recours efficaces</w:t>
      </w:r>
      <w:r>
        <w:rPr>
          <w:lang w:val="fr-CA"/>
        </w:rPr>
        <w:t>, y compris un réexamen continu de leur placement en détention. La Section de l’immigration de</w:t>
      </w:r>
      <w:r w:rsidRPr="00301E16">
        <w:rPr>
          <w:lang w:val="fr-CA"/>
        </w:rPr>
        <w:t xml:space="preserve"> la Commission de l</w:t>
      </w:r>
      <w:r>
        <w:rPr>
          <w:lang w:val="fr-CA"/>
        </w:rPr>
        <w:t>’</w:t>
      </w:r>
      <w:r w:rsidRPr="00301E16">
        <w:rPr>
          <w:lang w:val="fr-CA"/>
        </w:rPr>
        <w:t>immigration et du statut de réfug</w:t>
      </w:r>
      <w:r>
        <w:rPr>
          <w:lang w:val="fr-CA"/>
        </w:rPr>
        <w:t xml:space="preserve">ié est tenue d’examiner les motifs de détention dans les </w:t>
      </w:r>
      <w:r w:rsidR="0047136B">
        <w:rPr>
          <w:lang w:val="fr-CA"/>
        </w:rPr>
        <w:t>quarante-huit</w:t>
      </w:r>
      <w:r>
        <w:rPr>
          <w:lang w:val="fr-CA"/>
        </w:rPr>
        <w:t xml:space="preserve"> heures suivant le placement en détention, puis sept jours après, puis tous les </w:t>
      </w:r>
      <w:r w:rsidR="0047136B">
        <w:rPr>
          <w:lang w:val="fr-CA"/>
        </w:rPr>
        <w:t>trente</w:t>
      </w:r>
      <w:r>
        <w:rPr>
          <w:lang w:val="fr-CA"/>
        </w:rPr>
        <w:t xml:space="preserve"> jours par la suite.</w:t>
      </w:r>
      <w:r w:rsidR="00EE74BD">
        <w:rPr>
          <w:lang w:val="fr-CA"/>
        </w:rPr>
        <w:t xml:space="preserve"> </w:t>
      </w:r>
      <w:r>
        <w:rPr>
          <w:lang w:val="fr-CA"/>
        </w:rPr>
        <w:t xml:space="preserve">Le détenu ou le ministre peuvent également demander à tout moment un examen accéléré des motifs de détention en cas de nouveaux éléments de preuve ou d’évolution des circonstances. Chaque décision peut faire l’objet d’un recours devant la </w:t>
      </w:r>
      <w:r w:rsidR="0047136B">
        <w:rPr>
          <w:lang w:val="fr-CA"/>
        </w:rPr>
        <w:t>C</w:t>
      </w:r>
      <w:r>
        <w:rPr>
          <w:lang w:val="fr-CA"/>
        </w:rPr>
        <w:t>our fédérale. La détention de migrants vise à</w:t>
      </w:r>
      <w:r w:rsidRPr="0006658E">
        <w:rPr>
          <w:lang w:val="fr-CA"/>
        </w:rPr>
        <w:t xml:space="preserve"> </w:t>
      </w:r>
      <w:r>
        <w:rPr>
          <w:lang w:val="fr-CA"/>
        </w:rPr>
        <w:t xml:space="preserve">préserver </w:t>
      </w:r>
      <w:r w:rsidRPr="0006658E">
        <w:rPr>
          <w:lang w:val="fr-CA"/>
        </w:rPr>
        <w:t>l</w:t>
      </w:r>
      <w:r>
        <w:rPr>
          <w:lang w:val="fr-CA"/>
        </w:rPr>
        <w:t>’</w:t>
      </w:r>
      <w:r w:rsidRPr="0006658E">
        <w:rPr>
          <w:lang w:val="fr-CA"/>
        </w:rPr>
        <w:t>intégrité du système d</w:t>
      </w:r>
      <w:r>
        <w:rPr>
          <w:lang w:val="fr-CA"/>
        </w:rPr>
        <w:t>’</w:t>
      </w:r>
      <w:r w:rsidRPr="0006658E">
        <w:rPr>
          <w:lang w:val="fr-CA"/>
        </w:rPr>
        <w:t xml:space="preserve">immigration et la sécurité </w:t>
      </w:r>
      <w:r>
        <w:rPr>
          <w:lang w:val="fr-CA"/>
        </w:rPr>
        <w:t>de la population canadienne</w:t>
      </w:r>
      <w:r w:rsidRPr="0006658E">
        <w:rPr>
          <w:lang w:val="fr-CA"/>
        </w:rPr>
        <w:t>.</w:t>
      </w:r>
      <w:r>
        <w:rPr>
          <w:lang w:val="fr-CA"/>
        </w:rPr>
        <w:t xml:space="preserve"> Les facteurs pris en compte pour déterminer si une personne doit être détenue comprennent, sans s’y limiter :</w:t>
      </w:r>
    </w:p>
    <w:p w14:paraId="47D72E0C" w14:textId="77777777" w:rsidR="008747B0" w:rsidRPr="00827A68" w:rsidRDefault="00877853" w:rsidP="00877853">
      <w:pPr>
        <w:pStyle w:val="Bullet1G"/>
      </w:pPr>
      <w:r>
        <w:t>L</w:t>
      </w:r>
      <w:r w:rsidR="008747B0" w:rsidRPr="00827A68">
        <w:t>e risque de fuite</w:t>
      </w:r>
      <w:r>
        <w:t> </w:t>
      </w:r>
      <w:r w:rsidR="008747B0" w:rsidRPr="00827A68">
        <w:t xml:space="preserve">; </w:t>
      </w:r>
    </w:p>
    <w:p w14:paraId="250E68B7" w14:textId="77777777" w:rsidR="008747B0" w:rsidRPr="0006658E" w:rsidRDefault="00877853" w:rsidP="00877853">
      <w:pPr>
        <w:pStyle w:val="Bullet1G"/>
        <w:rPr>
          <w:lang w:val="fr-CA"/>
        </w:rPr>
      </w:pPr>
      <w:r>
        <w:rPr>
          <w:lang w:val="fr-CA"/>
        </w:rPr>
        <w:t>Le</w:t>
      </w:r>
      <w:r w:rsidR="008747B0" w:rsidRPr="0006658E">
        <w:rPr>
          <w:lang w:val="fr-CA"/>
        </w:rPr>
        <w:t xml:space="preserve"> </w:t>
      </w:r>
      <w:r w:rsidR="008747B0">
        <w:rPr>
          <w:lang w:val="fr-CA"/>
        </w:rPr>
        <w:t>risque pour la population ; ou</w:t>
      </w:r>
    </w:p>
    <w:p w14:paraId="34D3EC9A" w14:textId="77777777" w:rsidR="008747B0" w:rsidRPr="00827A68" w:rsidRDefault="00877853" w:rsidP="00877853">
      <w:pPr>
        <w:pStyle w:val="Bullet1G"/>
      </w:pPr>
      <w:r>
        <w:t>L</w:t>
      </w:r>
      <w:r w:rsidR="008747B0">
        <w:t>’</w:t>
      </w:r>
      <w:r w:rsidR="008747B0" w:rsidRPr="00827A68">
        <w:t xml:space="preserve">identité non établie. </w:t>
      </w:r>
    </w:p>
    <w:p w14:paraId="4128ABA8" w14:textId="77777777" w:rsidR="008747B0" w:rsidRPr="00DA1C53" w:rsidRDefault="008747B0" w:rsidP="00877853">
      <w:pPr>
        <w:pStyle w:val="SingleTxtG"/>
        <w:rPr>
          <w:lang w:val="fr-CA"/>
        </w:rPr>
      </w:pPr>
      <w:r>
        <w:rPr>
          <w:lang w:val="fr-CA"/>
        </w:rPr>
        <w:t>14.</w:t>
      </w:r>
      <w:r>
        <w:rPr>
          <w:lang w:val="fr-CA"/>
        </w:rPr>
        <w:tab/>
        <w:t>D</w:t>
      </w:r>
      <w:r w:rsidRPr="006D7F8C">
        <w:rPr>
          <w:lang w:val="fr-CA"/>
        </w:rPr>
        <w:t>ans des circonstances très limitée</w:t>
      </w:r>
      <w:r>
        <w:rPr>
          <w:lang w:val="fr-CA"/>
        </w:rPr>
        <w:t xml:space="preserve">s, le ministre peut également décider de considérer un étranger âgé de 16 ans ou plus comme migrant irrégulier. Lorsque des personnes sont arrêtées ou détenues, la </w:t>
      </w:r>
      <w:r w:rsidRPr="0047136B">
        <w:rPr>
          <w:lang w:val="fr-CA"/>
        </w:rPr>
        <w:t>Charte canadienne des droits et libertés</w:t>
      </w:r>
      <w:r>
        <w:rPr>
          <w:lang w:val="fr-CA"/>
        </w:rPr>
        <w:t xml:space="preserve"> exige qu’un fonctionnaire de l’Agence des services frontaliers du Canada (ASFC) </w:t>
      </w:r>
      <w:r w:rsidRPr="00DA1C53">
        <w:rPr>
          <w:lang w:val="fr-CA"/>
        </w:rPr>
        <w:t>les informe des motifs de leur arrestation ou</w:t>
      </w:r>
      <w:r>
        <w:rPr>
          <w:lang w:val="fr-CA"/>
        </w:rPr>
        <w:t xml:space="preserve"> de leur</w:t>
      </w:r>
      <w:r w:rsidRPr="00DA1C53">
        <w:rPr>
          <w:lang w:val="fr-CA"/>
        </w:rPr>
        <w:t xml:space="preserve"> détention, de leur droit d</w:t>
      </w:r>
      <w:r>
        <w:rPr>
          <w:lang w:val="fr-CA"/>
        </w:rPr>
        <w:t>’</w:t>
      </w:r>
      <w:r w:rsidRPr="00DA1C53">
        <w:rPr>
          <w:lang w:val="fr-CA"/>
        </w:rPr>
        <w:t xml:space="preserve">être représentées par un </w:t>
      </w:r>
      <w:r w:rsidRPr="00DA1C53">
        <w:rPr>
          <w:lang w:val="fr-CA"/>
        </w:rPr>
        <w:lastRenderedPageBreak/>
        <w:t>avocat, ainsi que de leur droit d</w:t>
      </w:r>
      <w:r>
        <w:rPr>
          <w:lang w:val="fr-CA"/>
        </w:rPr>
        <w:t>’</w:t>
      </w:r>
      <w:r w:rsidRPr="00DA1C53">
        <w:rPr>
          <w:lang w:val="fr-CA"/>
        </w:rPr>
        <w:t xml:space="preserve">aviser un représentant de leur gouvernement de leur arrestation ou </w:t>
      </w:r>
      <w:r>
        <w:rPr>
          <w:lang w:val="fr-CA"/>
        </w:rPr>
        <w:t xml:space="preserve">de leur </w:t>
      </w:r>
      <w:r w:rsidRPr="00DA1C53">
        <w:rPr>
          <w:lang w:val="fr-CA"/>
        </w:rPr>
        <w:t xml:space="preserve">détention. </w:t>
      </w:r>
    </w:p>
    <w:p w14:paraId="504E3275" w14:textId="77777777" w:rsidR="008747B0" w:rsidRPr="00665C88" w:rsidRDefault="008747B0" w:rsidP="00877853">
      <w:pPr>
        <w:pStyle w:val="SingleTxtG"/>
        <w:rPr>
          <w:lang w:val="fr-CA"/>
        </w:rPr>
      </w:pPr>
      <w:r>
        <w:rPr>
          <w:lang w:val="fr-CA"/>
        </w:rPr>
        <w:t>15.</w:t>
      </w:r>
      <w:r>
        <w:rPr>
          <w:lang w:val="fr-CA"/>
        </w:rPr>
        <w:tab/>
      </w:r>
      <w:r w:rsidRPr="00665C88">
        <w:rPr>
          <w:lang w:val="fr-CA"/>
        </w:rPr>
        <w:t xml:space="preserve">La </w:t>
      </w:r>
      <w:r w:rsidRPr="0047136B">
        <w:rPr>
          <w:lang w:val="fr-CA"/>
        </w:rPr>
        <w:t>Loi sur l’immigration et la protection des réfugiés</w:t>
      </w:r>
      <w:r w:rsidRPr="00665C88">
        <w:rPr>
          <w:i/>
          <w:lang w:val="fr-CA"/>
        </w:rPr>
        <w:t xml:space="preserve"> </w:t>
      </w:r>
      <w:r w:rsidRPr="00665C88">
        <w:rPr>
          <w:lang w:val="fr-CA"/>
        </w:rPr>
        <w:t>ne prévoit pas de durée maximale dans le cas des détentions liées à l</w:t>
      </w:r>
      <w:r>
        <w:rPr>
          <w:lang w:val="fr-CA"/>
        </w:rPr>
        <w:t>’</w:t>
      </w:r>
      <w:r w:rsidRPr="00665C88">
        <w:rPr>
          <w:lang w:val="fr-CA"/>
        </w:rPr>
        <w:t>immigration.</w:t>
      </w:r>
      <w:r>
        <w:rPr>
          <w:lang w:val="fr-CA"/>
        </w:rPr>
        <w:t xml:space="preserve"> </w:t>
      </w:r>
      <w:r w:rsidRPr="00665C88">
        <w:rPr>
          <w:lang w:val="fr-CA"/>
        </w:rPr>
        <w:t>Cependant, la Cour suprême du Canada a conclu que cette absence de durée maximale ne constitu</w:t>
      </w:r>
      <w:r>
        <w:rPr>
          <w:lang w:val="fr-CA"/>
        </w:rPr>
        <w:t>ait</w:t>
      </w:r>
      <w:r w:rsidRPr="00665C88">
        <w:rPr>
          <w:lang w:val="fr-CA"/>
        </w:rPr>
        <w:t xml:space="preserve"> pas une «</w:t>
      </w:r>
      <w:r>
        <w:rPr>
          <w:lang w:val="fr-CA"/>
        </w:rPr>
        <w:t> </w:t>
      </w:r>
      <w:r w:rsidRPr="00665C88">
        <w:rPr>
          <w:lang w:val="fr-CA"/>
        </w:rPr>
        <w:t>détention indéfinie</w:t>
      </w:r>
      <w:r>
        <w:rPr>
          <w:lang w:val="fr-CA"/>
        </w:rPr>
        <w:t> </w:t>
      </w:r>
      <w:r w:rsidRPr="00665C88">
        <w:rPr>
          <w:lang w:val="fr-CA"/>
        </w:rPr>
        <w:t>»</w:t>
      </w:r>
      <w:r>
        <w:rPr>
          <w:lang w:val="fr-CA"/>
        </w:rPr>
        <w:t xml:space="preserve"> en raison de l’utilité du processus continu </w:t>
      </w:r>
      <w:r w:rsidRPr="00665C88">
        <w:rPr>
          <w:lang w:val="fr-CA"/>
        </w:rPr>
        <w:t>d</w:t>
      </w:r>
      <w:r>
        <w:rPr>
          <w:lang w:val="fr-CA"/>
        </w:rPr>
        <w:t>’</w:t>
      </w:r>
      <w:r w:rsidRPr="00665C88">
        <w:rPr>
          <w:lang w:val="fr-CA"/>
        </w:rPr>
        <w:t>examen des motifs de détention</w:t>
      </w:r>
      <w:r>
        <w:rPr>
          <w:lang w:val="fr-CA"/>
        </w:rPr>
        <w:t xml:space="preserve">, lequel tenait </w:t>
      </w:r>
      <w:r w:rsidRPr="00665C88">
        <w:rPr>
          <w:lang w:val="fr-CA"/>
        </w:rPr>
        <w:t>compte des circonstances propres à chaque cas.</w:t>
      </w:r>
    </w:p>
    <w:p w14:paraId="62F297F4" w14:textId="77777777" w:rsidR="008747B0" w:rsidRPr="00665C88" w:rsidRDefault="008747B0" w:rsidP="00877853">
      <w:pPr>
        <w:pStyle w:val="SingleTxtG"/>
        <w:rPr>
          <w:lang w:val="fr-CA"/>
        </w:rPr>
      </w:pPr>
      <w:r>
        <w:rPr>
          <w:lang w:val="fr-CA"/>
        </w:rPr>
        <w:t>16.</w:t>
      </w:r>
      <w:r>
        <w:rPr>
          <w:lang w:val="fr-CA"/>
        </w:rPr>
        <w:tab/>
      </w:r>
      <w:r w:rsidRPr="00665C88">
        <w:rPr>
          <w:lang w:val="fr-CA"/>
        </w:rPr>
        <w:t xml:space="preserve">En 2016, le Canada a lancé le Cadre national en matière de détention </w:t>
      </w:r>
      <w:r>
        <w:rPr>
          <w:lang w:val="fr-CA"/>
        </w:rPr>
        <w:t xml:space="preserve">liée à </w:t>
      </w:r>
      <w:r w:rsidRPr="00665C88">
        <w:rPr>
          <w:lang w:val="fr-CA"/>
        </w:rPr>
        <w:t>l</w:t>
      </w:r>
      <w:r>
        <w:rPr>
          <w:lang w:val="fr-CA"/>
        </w:rPr>
        <w:t>’</w:t>
      </w:r>
      <w:r w:rsidRPr="00665C88">
        <w:rPr>
          <w:lang w:val="fr-CA"/>
        </w:rPr>
        <w:t>immigration</w:t>
      </w:r>
      <w:r>
        <w:rPr>
          <w:lang w:val="fr-CA"/>
        </w:rPr>
        <w:t xml:space="preserve"> pour réduire, autant que possible, le nombre de mineurs et de personnes vulnérables en détention ainsi que le nombre de personnes détenues sur de longues périodes, tout en veillant à améliorer le </w:t>
      </w:r>
      <w:r w:rsidRPr="00665C88">
        <w:rPr>
          <w:lang w:val="fr-CA"/>
        </w:rPr>
        <w:t xml:space="preserve">bien-être des </w:t>
      </w:r>
      <w:r>
        <w:rPr>
          <w:lang w:val="fr-CA"/>
        </w:rPr>
        <w:t>détenus</w:t>
      </w:r>
      <w:r w:rsidRPr="00665C88">
        <w:rPr>
          <w:lang w:val="fr-CA"/>
        </w:rPr>
        <w:t xml:space="preserve">. </w:t>
      </w:r>
    </w:p>
    <w:p w14:paraId="0FBC6999" w14:textId="77777777" w:rsidR="008747B0" w:rsidRPr="00665C88" w:rsidRDefault="008747B0" w:rsidP="00877853">
      <w:pPr>
        <w:pStyle w:val="SingleTxtG"/>
        <w:rPr>
          <w:lang w:val="fr-CA"/>
        </w:rPr>
      </w:pPr>
      <w:r>
        <w:rPr>
          <w:lang w:val="fr-CA"/>
        </w:rPr>
        <w:t>17.</w:t>
      </w:r>
      <w:r>
        <w:rPr>
          <w:lang w:val="fr-CA"/>
        </w:rPr>
        <w:tab/>
      </w:r>
      <w:r w:rsidRPr="00665C88">
        <w:rPr>
          <w:lang w:val="fr-CA"/>
        </w:rPr>
        <w:t xml:space="preserve">Le Cadre </w:t>
      </w:r>
      <w:r>
        <w:rPr>
          <w:lang w:val="fr-CA"/>
        </w:rPr>
        <w:t xml:space="preserve">porte notamment sur le financement de l’amélioration de </w:t>
      </w:r>
      <w:r w:rsidRPr="00665C88">
        <w:rPr>
          <w:lang w:val="fr-CA"/>
        </w:rPr>
        <w:t>l</w:t>
      </w:r>
      <w:r>
        <w:rPr>
          <w:lang w:val="fr-CA"/>
        </w:rPr>
        <w:t>’i</w:t>
      </w:r>
      <w:r w:rsidRPr="00665C88">
        <w:rPr>
          <w:lang w:val="fr-CA"/>
        </w:rPr>
        <w:t xml:space="preserve">nfrastructure </w:t>
      </w:r>
      <w:r>
        <w:rPr>
          <w:lang w:val="fr-CA"/>
        </w:rPr>
        <w:t xml:space="preserve">utilisée pour la </w:t>
      </w:r>
      <w:r w:rsidRPr="00665C88">
        <w:rPr>
          <w:lang w:val="fr-CA"/>
        </w:rPr>
        <w:t>détention liée à l</w:t>
      </w:r>
      <w:r>
        <w:rPr>
          <w:lang w:val="fr-CA"/>
        </w:rPr>
        <w:t>’</w:t>
      </w:r>
      <w:r w:rsidRPr="00665C88">
        <w:rPr>
          <w:lang w:val="fr-CA"/>
        </w:rPr>
        <w:t>immigration</w:t>
      </w:r>
      <w:r>
        <w:rPr>
          <w:lang w:val="fr-CA"/>
        </w:rPr>
        <w:t>, sur le développement des services de soins médicaux et de santé mentale dans les c</w:t>
      </w:r>
      <w:r w:rsidRPr="00665C88">
        <w:rPr>
          <w:lang w:val="fr-CA"/>
        </w:rPr>
        <w:t>entre</w:t>
      </w:r>
      <w:r>
        <w:rPr>
          <w:lang w:val="fr-CA"/>
        </w:rPr>
        <w:t>s</w:t>
      </w:r>
      <w:r w:rsidRPr="00665C88">
        <w:rPr>
          <w:lang w:val="fr-CA"/>
        </w:rPr>
        <w:t xml:space="preserve"> de surveillance de l</w:t>
      </w:r>
      <w:r>
        <w:rPr>
          <w:lang w:val="fr-CA"/>
        </w:rPr>
        <w:t>’</w:t>
      </w:r>
      <w:r w:rsidR="0047136B">
        <w:rPr>
          <w:lang w:val="fr-CA"/>
        </w:rPr>
        <w:t>i</w:t>
      </w:r>
      <w:r w:rsidRPr="00665C88">
        <w:rPr>
          <w:lang w:val="fr-CA"/>
        </w:rPr>
        <w:t>mmigration</w:t>
      </w:r>
      <w:r>
        <w:rPr>
          <w:lang w:val="fr-CA"/>
        </w:rPr>
        <w:t xml:space="preserve"> de l’ASFC, et sur le développement de solutions de rechange à la détention, ce dernier aspect constituant </w:t>
      </w:r>
      <w:r w:rsidRPr="005421C9">
        <w:rPr>
          <w:lang w:val="fr-CA"/>
        </w:rPr>
        <w:t>l</w:t>
      </w:r>
      <w:r>
        <w:rPr>
          <w:lang w:val="fr-CA"/>
        </w:rPr>
        <w:t>’</w:t>
      </w:r>
      <w:r w:rsidRPr="005421C9">
        <w:rPr>
          <w:lang w:val="fr-CA"/>
        </w:rPr>
        <w:t xml:space="preserve">un des </w:t>
      </w:r>
      <w:r>
        <w:rPr>
          <w:lang w:val="fr-CA"/>
        </w:rPr>
        <w:t>éléments clefs du Cadre.</w:t>
      </w:r>
    </w:p>
    <w:p w14:paraId="4A2BD305" w14:textId="77777777" w:rsidR="008747B0" w:rsidRDefault="008747B0" w:rsidP="00877853">
      <w:pPr>
        <w:pStyle w:val="SingleTxtG"/>
        <w:rPr>
          <w:lang w:val="fr-CA"/>
        </w:rPr>
      </w:pPr>
      <w:r>
        <w:rPr>
          <w:lang w:val="fr-CA"/>
        </w:rPr>
        <w:t>18.</w:t>
      </w:r>
      <w:r>
        <w:rPr>
          <w:lang w:val="fr-CA"/>
        </w:rPr>
        <w:tab/>
      </w:r>
      <w:r w:rsidRPr="005421C9">
        <w:rPr>
          <w:lang w:val="fr-CA"/>
        </w:rPr>
        <w:t xml:space="preserve">Le Cadre national en matière de détention </w:t>
      </w:r>
      <w:r>
        <w:rPr>
          <w:lang w:val="fr-CA"/>
        </w:rPr>
        <w:t xml:space="preserve">liée à </w:t>
      </w:r>
      <w:r w:rsidRPr="005421C9">
        <w:rPr>
          <w:lang w:val="fr-CA"/>
        </w:rPr>
        <w:t>l</w:t>
      </w:r>
      <w:r>
        <w:rPr>
          <w:lang w:val="fr-CA"/>
        </w:rPr>
        <w:t>’</w:t>
      </w:r>
      <w:r w:rsidRPr="005421C9">
        <w:rPr>
          <w:lang w:val="fr-CA"/>
        </w:rPr>
        <w:t>immigration a permis de diminuer le nombre de personnes mises en détention au quotidien. En 2017-2018, le nombre total de jours de détention (119</w:t>
      </w:r>
      <w:r>
        <w:rPr>
          <w:lang w:val="fr-CA"/>
        </w:rPr>
        <w:t> </w:t>
      </w:r>
      <w:r w:rsidRPr="005421C9">
        <w:rPr>
          <w:lang w:val="fr-CA"/>
        </w:rPr>
        <w:t>712) a baissé de 8,3 % comparativement à 2016-2017 (130 538), et ce, malgré une augmentation de 5,3 %</w:t>
      </w:r>
      <w:r>
        <w:rPr>
          <w:lang w:val="fr-CA"/>
        </w:rPr>
        <w:t xml:space="preserve"> du nombre</w:t>
      </w:r>
      <w:r w:rsidRPr="005421C9">
        <w:rPr>
          <w:lang w:val="fr-CA"/>
        </w:rPr>
        <w:t xml:space="preserve"> d</w:t>
      </w:r>
      <w:r>
        <w:rPr>
          <w:lang w:val="fr-CA"/>
        </w:rPr>
        <w:t>’</w:t>
      </w:r>
      <w:r w:rsidRPr="005421C9">
        <w:rPr>
          <w:lang w:val="fr-CA"/>
        </w:rPr>
        <w:t>entrées d</w:t>
      </w:r>
      <w:r>
        <w:rPr>
          <w:lang w:val="fr-CA"/>
        </w:rPr>
        <w:t>’</w:t>
      </w:r>
      <w:r w:rsidRPr="005421C9">
        <w:rPr>
          <w:lang w:val="fr-CA"/>
        </w:rPr>
        <w:t>étrangers au Canada</w:t>
      </w:r>
      <w:r>
        <w:rPr>
          <w:lang w:val="fr-CA"/>
        </w:rPr>
        <w:t xml:space="preserve"> pendant la même période (de 33,8 à 35,6 millions d’entrées).</w:t>
      </w:r>
    </w:p>
    <w:p w14:paraId="0E4B48C0" w14:textId="77777777" w:rsidR="008747B0" w:rsidRPr="003C363E" w:rsidRDefault="008747B0" w:rsidP="00877853">
      <w:pPr>
        <w:pStyle w:val="SingleTxtG"/>
        <w:rPr>
          <w:lang w:val="fr-CA"/>
        </w:rPr>
      </w:pPr>
      <w:r>
        <w:rPr>
          <w:lang w:val="fr-CA"/>
        </w:rPr>
        <w:t>19.</w:t>
      </w:r>
      <w:r>
        <w:rPr>
          <w:lang w:val="fr-CA"/>
        </w:rPr>
        <w:tab/>
      </w:r>
      <w:r w:rsidRPr="005421C9">
        <w:rPr>
          <w:lang w:val="fr-CA"/>
        </w:rPr>
        <w:t>Par la mise en œuvre du Cadre, le</w:t>
      </w:r>
      <w:r>
        <w:rPr>
          <w:lang w:val="fr-CA"/>
        </w:rPr>
        <w:t xml:space="preserve"> </w:t>
      </w:r>
      <w:r w:rsidR="0047136B">
        <w:rPr>
          <w:lang w:val="fr-CA"/>
        </w:rPr>
        <w:t>G</w:t>
      </w:r>
      <w:r>
        <w:rPr>
          <w:lang w:val="fr-CA"/>
        </w:rPr>
        <w:t>ouvernement fédéral prend des mesures concrètes en vue d’établir un système de détention liée à l’immigration qui est plus juste et qui promeut un traitement humain et digne des personnes détenues tout en protégeant la sécurité de la population canadienne.</w:t>
      </w:r>
      <w:r w:rsidRPr="003C363E">
        <w:rPr>
          <w:lang w:val="fr-CA"/>
        </w:rPr>
        <w:t xml:space="preserve"> </w:t>
      </w:r>
    </w:p>
    <w:p w14:paraId="7932B0BC" w14:textId="77777777" w:rsidR="008747B0" w:rsidRPr="00DB1C2F" w:rsidRDefault="008747B0" w:rsidP="00877853">
      <w:pPr>
        <w:pStyle w:val="SingleTxtG"/>
        <w:rPr>
          <w:lang w:val="fr-CA"/>
        </w:rPr>
      </w:pPr>
      <w:r>
        <w:rPr>
          <w:lang w:val="fr-CA"/>
        </w:rPr>
        <w:t>20.</w:t>
      </w:r>
      <w:r>
        <w:rPr>
          <w:lang w:val="fr-CA"/>
        </w:rPr>
        <w:tab/>
      </w:r>
      <w:r w:rsidRPr="003C363E">
        <w:rPr>
          <w:lang w:val="fr-CA"/>
        </w:rPr>
        <w:t>L</w:t>
      </w:r>
      <w:r>
        <w:rPr>
          <w:lang w:val="fr-CA"/>
        </w:rPr>
        <w:t>’</w:t>
      </w:r>
      <w:r w:rsidRPr="003C363E">
        <w:rPr>
          <w:lang w:val="fr-CA"/>
        </w:rPr>
        <w:t>A</w:t>
      </w:r>
      <w:r>
        <w:rPr>
          <w:lang w:val="fr-CA"/>
        </w:rPr>
        <w:t>SFC est l’organisme</w:t>
      </w:r>
      <w:r w:rsidRPr="003C363E">
        <w:rPr>
          <w:lang w:val="fr-CA"/>
        </w:rPr>
        <w:t xml:space="preserve"> fédéral canadien responsable </w:t>
      </w:r>
      <w:r>
        <w:rPr>
          <w:lang w:val="fr-CA"/>
        </w:rPr>
        <w:t xml:space="preserve">de gérer la frontière, y compris l’application de la loi sur l’immigration. En juillet 2018, le </w:t>
      </w:r>
      <w:r w:rsidR="0047136B">
        <w:rPr>
          <w:lang w:val="fr-CA"/>
        </w:rPr>
        <w:t>G</w:t>
      </w:r>
      <w:r>
        <w:rPr>
          <w:lang w:val="fr-CA"/>
        </w:rPr>
        <w:t>ouvernement canadien a dévoilé le p</w:t>
      </w:r>
      <w:r w:rsidRPr="003C363E">
        <w:rPr>
          <w:lang w:val="fr-CA"/>
        </w:rPr>
        <w:t>rogramme de solutions de rechange à la détention (SRD</w:t>
      </w:r>
      <w:r>
        <w:rPr>
          <w:lang w:val="fr-CA"/>
        </w:rPr>
        <w:t xml:space="preserve">) de l’ASFC qui est l’un des piliers du </w:t>
      </w:r>
      <w:r w:rsidRPr="00665C88">
        <w:rPr>
          <w:lang w:val="fr-CA"/>
        </w:rPr>
        <w:t xml:space="preserve">Cadre national en matière de détention </w:t>
      </w:r>
      <w:r>
        <w:rPr>
          <w:lang w:val="fr-CA"/>
        </w:rPr>
        <w:t xml:space="preserve">liée à </w:t>
      </w:r>
      <w:r w:rsidRPr="00665C88">
        <w:rPr>
          <w:lang w:val="fr-CA"/>
        </w:rPr>
        <w:t>l</w:t>
      </w:r>
      <w:r>
        <w:rPr>
          <w:lang w:val="fr-CA"/>
        </w:rPr>
        <w:t>’</w:t>
      </w:r>
      <w:r w:rsidRPr="00665C88">
        <w:rPr>
          <w:lang w:val="fr-CA"/>
        </w:rPr>
        <w:t>immigration</w:t>
      </w:r>
      <w:r>
        <w:rPr>
          <w:lang w:val="fr-CA"/>
        </w:rPr>
        <w:t>. Les nouvelles SRD ont été élaborées en étroite collaboration avec des intervenants dont le Haut</w:t>
      </w:r>
      <w:r w:rsidR="008D1CF7">
        <w:rPr>
          <w:lang w:val="fr-CA"/>
        </w:rPr>
        <w:noBreakHyphen/>
      </w:r>
      <w:r>
        <w:rPr>
          <w:lang w:val="fr-CA"/>
        </w:rPr>
        <w:t>C</w:t>
      </w:r>
      <w:r w:rsidRPr="00DB1C2F">
        <w:rPr>
          <w:lang w:val="fr-CA"/>
        </w:rPr>
        <w:t>ommissariat des Nations Unies pour les réfugiés</w:t>
      </w:r>
      <w:r>
        <w:rPr>
          <w:lang w:val="fr-CA"/>
        </w:rPr>
        <w:t xml:space="preserve"> au Canada et le Conseil canadien pour les réfugiés.</w:t>
      </w:r>
      <w:r w:rsidRPr="00DB1C2F">
        <w:rPr>
          <w:lang w:val="fr-CA"/>
        </w:rPr>
        <w:t xml:space="preserve"> </w:t>
      </w:r>
    </w:p>
    <w:p w14:paraId="28B304F9" w14:textId="77777777" w:rsidR="008747B0" w:rsidRPr="00864007" w:rsidRDefault="008747B0" w:rsidP="00877853">
      <w:pPr>
        <w:pStyle w:val="SingleTxtG"/>
        <w:rPr>
          <w:lang w:val="fr-CA"/>
        </w:rPr>
      </w:pPr>
      <w:r>
        <w:rPr>
          <w:lang w:val="fr-CA"/>
        </w:rPr>
        <w:t>21.</w:t>
      </w:r>
      <w:r>
        <w:rPr>
          <w:lang w:val="fr-CA"/>
        </w:rPr>
        <w:tab/>
      </w:r>
      <w:r w:rsidRPr="00F42504">
        <w:rPr>
          <w:lang w:val="fr-CA"/>
        </w:rPr>
        <w:t>Grâce au programme de SRD, l</w:t>
      </w:r>
      <w:r>
        <w:rPr>
          <w:lang w:val="fr-CA"/>
        </w:rPr>
        <w:t>’</w:t>
      </w:r>
      <w:r w:rsidRPr="00F42504">
        <w:rPr>
          <w:lang w:val="fr-CA"/>
        </w:rPr>
        <w:t xml:space="preserve">ASFC a créé </w:t>
      </w:r>
      <w:r>
        <w:rPr>
          <w:lang w:val="fr-CA"/>
        </w:rPr>
        <w:t>tout</w:t>
      </w:r>
      <w:r w:rsidR="0047136B">
        <w:rPr>
          <w:lang w:val="fr-CA"/>
        </w:rPr>
        <w:t>e</w:t>
      </w:r>
      <w:r>
        <w:rPr>
          <w:lang w:val="fr-CA"/>
        </w:rPr>
        <w:t xml:space="preserve"> une panoplie </w:t>
      </w:r>
      <w:r w:rsidRPr="00F42504">
        <w:rPr>
          <w:lang w:val="fr-CA"/>
        </w:rPr>
        <w:t>d</w:t>
      </w:r>
      <w:r>
        <w:rPr>
          <w:lang w:val="fr-CA"/>
        </w:rPr>
        <w:t>’</w:t>
      </w:r>
      <w:r w:rsidRPr="00F42504">
        <w:rPr>
          <w:lang w:val="fr-CA"/>
        </w:rPr>
        <w:t>outils et de programmes qui permettent aux agents d</w:t>
      </w:r>
      <w:r>
        <w:rPr>
          <w:lang w:val="fr-CA"/>
        </w:rPr>
        <w:t xml:space="preserve">’insérer </w:t>
      </w:r>
      <w:r w:rsidRPr="00F42504">
        <w:rPr>
          <w:lang w:val="fr-CA"/>
        </w:rPr>
        <w:t xml:space="preserve">plus efficacement les personnes dans la collectivité et </w:t>
      </w:r>
      <w:r>
        <w:rPr>
          <w:lang w:val="fr-CA"/>
        </w:rPr>
        <w:t>d’appliquer l</w:t>
      </w:r>
      <w:r w:rsidRPr="00F42504">
        <w:rPr>
          <w:lang w:val="fr-CA"/>
        </w:rPr>
        <w:t>a loi de façon équilibrée</w:t>
      </w:r>
      <w:r>
        <w:rPr>
          <w:lang w:val="fr-CA"/>
        </w:rPr>
        <w:t>. En plus de la remise en liberté assortie de l’obligation de se présenter (en personne), du dépôt en espèces et de la désignation d’un garant, les nouveaux mécanismes de libération comprennent maintenant les programmes ci</w:t>
      </w:r>
      <w:r w:rsidR="008D1CF7">
        <w:rPr>
          <w:lang w:val="fr-CA"/>
        </w:rPr>
        <w:noBreakHyphen/>
      </w:r>
      <w:r>
        <w:rPr>
          <w:lang w:val="fr-CA"/>
        </w:rPr>
        <w:t>dessous</w:t>
      </w:r>
      <w:r w:rsidR="00877853">
        <w:rPr>
          <w:lang w:val="fr-CA"/>
        </w:rPr>
        <w:t> :</w:t>
      </w:r>
    </w:p>
    <w:p w14:paraId="76D294DA" w14:textId="77777777" w:rsidR="008747B0" w:rsidRPr="00F42504" w:rsidRDefault="008747B0" w:rsidP="00877853">
      <w:pPr>
        <w:pStyle w:val="Bullet1G"/>
        <w:rPr>
          <w:lang w:val="fr-CA"/>
        </w:rPr>
      </w:pPr>
      <w:r>
        <w:rPr>
          <w:lang w:val="fr-CA"/>
        </w:rPr>
        <w:t>G</w:t>
      </w:r>
      <w:r w:rsidRPr="00BD7E66">
        <w:rPr>
          <w:lang w:val="fr-CA"/>
        </w:rPr>
        <w:t xml:space="preserve">estion </w:t>
      </w:r>
      <w:r>
        <w:rPr>
          <w:lang w:val="fr-CA"/>
        </w:rPr>
        <w:t xml:space="preserve">et contrôle des situations individuelles au sein de la collectivité </w:t>
      </w:r>
      <w:r w:rsidRPr="00BD7E66">
        <w:rPr>
          <w:lang w:val="fr-CA"/>
        </w:rPr>
        <w:t xml:space="preserve">(GCSC) : </w:t>
      </w:r>
      <w:r>
        <w:rPr>
          <w:lang w:val="fr-CA"/>
        </w:rPr>
        <w:t>le</w:t>
      </w:r>
      <w:r w:rsidRPr="00BD7E66">
        <w:rPr>
          <w:lang w:val="fr-CA"/>
        </w:rPr>
        <w:t xml:space="preserve"> programme offre dans la collectivité des services adaptés de gestion des </w:t>
      </w:r>
      <w:r>
        <w:rPr>
          <w:lang w:val="fr-CA"/>
        </w:rPr>
        <w:t xml:space="preserve">situations des </w:t>
      </w:r>
      <w:r w:rsidRPr="00BD7E66">
        <w:rPr>
          <w:lang w:val="fr-CA"/>
        </w:rPr>
        <w:t>personnes libérées. L</w:t>
      </w:r>
      <w:r>
        <w:rPr>
          <w:lang w:val="fr-CA"/>
        </w:rPr>
        <w:t>’</w:t>
      </w:r>
      <w:r w:rsidRPr="00BD7E66">
        <w:rPr>
          <w:lang w:val="fr-CA"/>
        </w:rPr>
        <w:t xml:space="preserve">ASFC négocie avec des </w:t>
      </w:r>
      <w:r>
        <w:rPr>
          <w:lang w:val="fr-CA"/>
        </w:rPr>
        <w:t xml:space="preserve">prestataires </w:t>
      </w:r>
      <w:r w:rsidRPr="00BD7E66">
        <w:rPr>
          <w:lang w:val="fr-CA"/>
        </w:rPr>
        <w:t xml:space="preserve">de </w:t>
      </w:r>
      <w:r>
        <w:rPr>
          <w:lang w:val="fr-CA"/>
        </w:rPr>
        <w:t xml:space="preserve">tout le </w:t>
      </w:r>
      <w:r w:rsidRPr="00BD7E66">
        <w:rPr>
          <w:lang w:val="fr-CA"/>
        </w:rPr>
        <w:t>Canada afin d</w:t>
      </w:r>
      <w:r>
        <w:rPr>
          <w:lang w:val="fr-CA"/>
        </w:rPr>
        <w:t>’</w:t>
      </w:r>
      <w:r w:rsidRPr="00BD7E66">
        <w:rPr>
          <w:lang w:val="fr-CA"/>
        </w:rPr>
        <w:t xml:space="preserve">offrir </w:t>
      </w:r>
      <w:r>
        <w:rPr>
          <w:lang w:val="fr-CA"/>
        </w:rPr>
        <w:t>aux personnes libérées un encadrement lors de leur insertion dans la collectivité et</w:t>
      </w:r>
      <w:r w:rsidRPr="00BD7E66">
        <w:rPr>
          <w:lang w:val="fr-CA"/>
        </w:rPr>
        <w:t xml:space="preserve"> des </w:t>
      </w:r>
      <w:r>
        <w:rPr>
          <w:lang w:val="fr-CA"/>
        </w:rPr>
        <w:t>programmes</w:t>
      </w:r>
      <w:r w:rsidRPr="00BD7E66">
        <w:rPr>
          <w:lang w:val="fr-CA"/>
        </w:rPr>
        <w:t xml:space="preserve"> </w:t>
      </w:r>
      <w:r>
        <w:rPr>
          <w:lang w:val="fr-CA"/>
        </w:rPr>
        <w:t xml:space="preserve">spécifiquement destinés à traiter les </w:t>
      </w:r>
      <w:r w:rsidRPr="00BD7E66">
        <w:rPr>
          <w:lang w:val="fr-CA"/>
        </w:rPr>
        <w:t>facteurs susceptibles d</w:t>
      </w:r>
      <w:r>
        <w:rPr>
          <w:lang w:val="fr-CA"/>
        </w:rPr>
        <w:t>’</w:t>
      </w:r>
      <w:r w:rsidRPr="00BD7E66">
        <w:rPr>
          <w:lang w:val="fr-CA"/>
        </w:rPr>
        <w:t xml:space="preserve">influer sur la capacité </w:t>
      </w:r>
      <w:r>
        <w:rPr>
          <w:lang w:val="fr-CA"/>
        </w:rPr>
        <w:t>d’une</w:t>
      </w:r>
      <w:r w:rsidRPr="00BD7E66">
        <w:rPr>
          <w:lang w:val="fr-CA"/>
        </w:rPr>
        <w:t xml:space="preserve"> personne de mener une vie stable dans la </w:t>
      </w:r>
      <w:r>
        <w:rPr>
          <w:lang w:val="fr-CA"/>
        </w:rPr>
        <w:t>société</w:t>
      </w:r>
      <w:r w:rsidRPr="00BD7E66">
        <w:rPr>
          <w:lang w:val="fr-CA"/>
        </w:rPr>
        <w:t>.</w:t>
      </w:r>
      <w:r>
        <w:rPr>
          <w:lang w:val="fr-CA"/>
        </w:rPr>
        <w:t xml:space="preserve"> </w:t>
      </w:r>
      <w:r w:rsidRPr="00BD7E66">
        <w:rPr>
          <w:lang w:val="fr-CA"/>
        </w:rPr>
        <w:t>Le principe sous-jacent est qu</w:t>
      </w:r>
      <w:r>
        <w:rPr>
          <w:lang w:val="fr-CA"/>
        </w:rPr>
        <w:t>’</w:t>
      </w:r>
      <w:r w:rsidRPr="00BD7E66">
        <w:rPr>
          <w:lang w:val="fr-CA"/>
        </w:rPr>
        <w:t xml:space="preserve">une personne qui est stable dans la collectivité est plus susceptible de se conformer aux exigences </w:t>
      </w:r>
      <w:r>
        <w:rPr>
          <w:lang w:val="fr-CA"/>
        </w:rPr>
        <w:t>et</w:t>
      </w:r>
      <w:r w:rsidRPr="00BD7E66">
        <w:rPr>
          <w:lang w:val="fr-CA"/>
        </w:rPr>
        <w:t xml:space="preserve"> </w:t>
      </w:r>
      <w:r>
        <w:rPr>
          <w:lang w:val="fr-CA"/>
        </w:rPr>
        <w:t xml:space="preserve">aux </w:t>
      </w:r>
      <w:r w:rsidRPr="00BD7E66">
        <w:rPr>
          <w:lang w:val="fr-CA"/>
        </w:rPr>
        <w:t xml:space="preserve">conditions </w:t>
      </w:r>
      <w:r>
        <w:rPr>
          <w:lang w:val="fr-CA"/>
        </w:rPr>
        <w:t xml:space="preserve">liées </w:t>
      </w:r>
      <w:r w:rsidRPr="00F42504">
        <w:rPr>
          <w:lang w:val="fr-CA"/>
        </w:rPr>
        <w:t>à l</w:t>
      </w:r>
      <w:r>
        <w:rPr>
          <w:lang w:val="fr-CA"/>
        </w:rPr>
        <w:t>’</w:t>
      </w:r>
      <w:r w:rsidRPr="00F42504">
        <w:rPr>
          <w:lang w:val="fr-CA"/>
        </w:rPr>
        <w:t>immigration</w:t>
      </w:r>
      <w:r w:rsidR="00877853">
        <w:rPr>
          <w:lang w:val="fr-CA"/>
        </w:rPr>
        <w:t> ;</w:t>
      </w:r>
    </w:p>
    <w:p w14:paraId="07A56B94" w14:textId="77777777" w:rsidR="008747B0" w:rsidRPr="00F42504" w:rsidRDefault="008747B0" w:rsidP="00877853">
      <w:pPr>
        <w:pStyle w:val="Bullet1G"/>
        <w:rPr>
          <w:lang w:val="fr-CA"/>
        </w:rPr>
      </w:pPr>
      <w:r>
        <w:rPr>
          <w:lang w:val="fr-CA"/>
        </w:rPr>
        <w:t>Signalement oral :</w:t>
      </w:r>
      <w:r w:rsidRPr="00F42504">
        <w:rPr>
          <w:lang w:val="fr-CA"/>
        </w:rPr>
        <w:t xml:space="preserve"> le programme de </w:t>
      </w:r>
      <w:r>
        <w:rPr>
          <w:lang w:val="fr-CA"/>
        </w:rPr>
        <w:t xml:space="preserve">signalement oral </w:t>
      </w:r>
      <w:r w:rsidRPr="00F42504">
        <w:rPr>
          <w:lang w:val="fr-CA"/>
        </w:rPr>
        <w:t>permet aux personnes de confirmer leur présence à l</w:t>
      </w:r>
      <w:r>
        <w:rPr>
          <w:lang w:val="fr-CA"/>
        </w:rPr>
        <w:t>’</w:t>
      </w:r>
      <w:r w:rsidRPr="00F42504">
        <w:rPr>
          <w:lang w:val="fr-CA"/>
        </w:rPr>
        <w:t>ASFC par téléphone. Un système automatisé utilise la technologie d</w:t>
      </w:r>
      <w:r>
        <w:rPr>
          <w:lang w:val="fr-CA"/>
        </w:rPr>
        <w:t>’</w:t>
      </w:r>
      <w:r w:rsidRPr="00F42504">
        <w:rPr>
          <w:lang w:val="fr-CA"/>
        </w:rPr>
        <w:t>empreinte vocale biométrique pour confirmer l</w:t>
      </w:r>
      <w:r>
        <w:rPr>
          <w:lang w:val="fr-CA"/>
        </w:rPr>
        <w:t>’</w:t>
      </w:r>
      <w:r w:rsidRPr="00F42504">
        <w:rPr>
          <w:lang w:val="fr-CA"/>
        </w:rPr>
        <w:t>identité d</w:t>
      </w:r>
      <w:r>
        <w:rPr>
          <w:lang w:val="fr-CA"/>
        </w:rPr>
        <w:t>’</w:t>
      </w:r>
      <w:r w:rsidRPr="00F42504">
        <w:rPr>
          <w:lang w:val="fr-CA"/>
        </w:rPr>
        <w:t>une personne et enregistre son emplacement lorsqu</w:t>
      </w:r>
      <w:r>
        <w:rPr>
          <w:lang w:val="fr-CA"/>
        </w:rPr>
        <w:t>’</w:t>
      </w:r>
      <w:r w:rsidRPr="00F42504">
        <w:rPr>
          <w:lang w:val="fr-CA"/>
        </w:rPr>
        <w:t>elle appelle à partir d</w:t>
      </w:r>
      <w:r>
        <w:rPr>
          <w:lang w:val="fr-CA"/>
        </w:rPr>
        <w:t>’</w:t>
      </w:r>
      <w:r w:rsidRPr="00F42504">
        <w:rPr>
          <w:lang w:val="fr-CA"/>
        </w:rPr>
        <w:t>un téléphone cellulaire ou d</w:t>
      </w:r>
      <w:r>
        <w:rPr>
          <w:lang w:val="fr-CA"/>
        </w:rPr>
        <w:t>’</w:t>
      </w:r>
      <w:r w:rsidRPr="00F42504">
        <w:rPr>
          <w:lang w:val="fr-CA"/>
        </w:rPr>
        <w:t xml:space="preserve">une ligne </w:t>
      </w:r>
      <w:r>
        <w:rPr>
          <w:lang w:val="fr-CA"/>
        </w:rPr>
        <w:t>fixe</w:t>
      </w:r>
      <w:r w:rsidRPr="00F42504">
        <w:rPr>
          <w:lang w:val="fr-CA"/>
        </w:rPr>
        <w:t xml:space="preserve">. Cette </w:t>
      </w:r>
      <w:r>
        <w:rPr>
          <w:lang w:val="fr-CA"/>
        </w:rPr>
        <w:t xml:space="preserve">méthode </w:t>
      </w:r>
      <w:r w:rsidRPr="00F42504">
        <w:rPr>
          <w:lang w:val="fr-CA"/>
        </w:rPr>
        <w:t xml:space="preserve">offre </w:t>
      </w:r>
      <w:r>
        <w:rPr>
          <w:lang w:val="fr-CA"/>
        </w:rPr>
        <w:t xml:space="preserve">aux </w:t>
      </w:r>
      <w:r w:rsidRPr="00F42504">
        <w:rPr>
          <w:lang w:val="fr-CA"/>
        </w:rPr>
        <w:t xml:space="preserve">personnes </w:t>
      </w:r>
      <w:r>
        <w:rPr>
          <w:lang w:val="fr-CA"/>
        </w:rPr>
        <w:t xml:space="preserve">qui se trouvent </w:t>
      </w:r>
      <w:r w:rsidRPr="00F42504">
        <w:rPr>
          <w:lang w:val="fr-CA"/>
        </w:rPr>
        <w:t xml:space="preserve">dans des endroits éloignés ou qui, autrement, devraient parcourir de grandes distances pour satisfaire aux exigences de </w:t>
      </w:r>
      <w:r>
        <w:rPr>
          <w:lang w:val="fr-CA"/>
        </w:rPr>
        <w:t xml:space="preserve">signalement fixées par </w:t>
      </w:r>
      <w:r w:rsidRPr="00F42504">
        <w:rPr>
          <w:lang w:val="fr-CA"/>
        </w:rPr>
        <w:t>l</w:t>
      </w:r>
      <w:r>
        <w:rPr>
          <w:lang w:val="fr-CA"/>
        </w:rPr>
        <w:t>’</w:t>
      </w:r>
      <w:r w:rsidRPr="00F42504">
        <w:rPr>
          <w:lang w:val="fr-CA"/>
        </w:rPr>
        <w:t>ASFC</w:t>
      </w:r>
      <w:r>
        <w:rPr>
          <w:lang w:val="fr-CA"/>
        </w:rPr>
        <w:t xml:space="preserve"> des solutions supplémentaires pour se signaler</w:t>
      </w:r>
      <w:r w:rsidR="00877853">
        <w:rPr>
          <w:lang w:val="fr-CA"/>
        </w:rPr>
        <w:t> ;</w:t>
      </w:r>
    </w:p>
    <w:p w14:paraId="701CD452" w14:textId="77777777" w:rsidR="008747B0" w:rsidRPr="00AA5F14" w:rsidRDefault="008747B0" w:rsidP="00877853">
      <w:pPr>
        <w:pStyle w:val="Bullet1G"/>
        <w:rPr>
          <w:lang w:val="fr-CA"/>
        </w:rPr>
      </w:pPr>
      <w:r w:rsidRPr="00E54ACE">
        <w:rPr>
          <w:lang w:val="fr-CA"/>
        </w:rPr>
        <w:lastRenderedPageBreak/>
        <w:t>Surveillance électronique (SE)</w:t>
      </w:r>
      <w:r>
        <w:rPr>
          <w:lang w:val="fr-CA"/>
        </w:rPr>
        <w:t xml:space="preserve"> </w:t>
      </w:r>
      <w:r w:rsidRPr="00E54ACE">
        <w:rPr>
          <w:lang w:val="fr-CA"/>
        </w:rPr>
        <w:t xml:space="preserve">: le programme de SE sera </w:t>
      </w:r>
      <w:r>
        <w:rPr>
          <w:lang w:val="fr-CA"/>
        </w:rPr>
        <w:t xml:space="preserve">exécuté à titre de </w:t>
      </w:r>
      <w:r w:rsidRPr="00E54ACE">
        <w:rPr>
          <w:lang w:val="fr-CA"/>
        </w:rPr>
        <w:t>projet pilote dans la région d</w:t>
      </w:r>
      <w:r>
        <w:rPr>
          <w:lang w:val="fr-CA"/>
        </w:rPr>
        <w:t xml:space="preserve">e </w:t>
      </w:r>
      <w:r w:rsidRPr="00E54ACE">
        <w:rPr>
          <w:lang w:val="fr-CA"/>
        </w:rPr>
        <w:t>Toronto jusqu</w:t>
      </w:r>
      <w:r>
        <w:rPr>
          <w:lang w:val="fr-CA"/>
        </w:rPr>
        <w:t>’</w:t>
      </w:r>
      <w:r w:rsidRPr="00E54ACE">
        <w:rPr>
          <w:lang w:val="fr-CA"/>
        </w:rPr>
        <w:t>au 31</w:t>
      </w:r>
      <w:r w:rsidR="00877853">
        <w:rPr>
          <w:lang w:val="fr-CA"/>
        </w:rPr>
        <w:t> </w:t>
      </w:r>
      <w:r w:rsidRPr="00E54ACE">
        <w:rPr>
          <w:lang w:val="fr-CA"/>
        </w:rPr>
        <w:t>mars 2020. Effectuée par l</w:t>
      </w:r>
      <w:r>
        <w:rPr>
          <w:lang w:val="fr-CA"/>
        </w:rPr>
        <w:t>’</w:t>
      </w:r>
      <w:r w:rsidRPr="00E54ACE">
        <w:rPr>
          <w:lang w:val="fr-CA"/>
        </w:rPr>
        <w:t>intermédiaire d</w:t>
      </w:r>
      <w:r>
        <w:rPr>
          <w:lang w:val="fr-CA"/>
        </w:rPr>
        <w:t>’</w:t>
      </w:r>
      <w:r w:rsidRPr="00E54ACE">
        <w:rPr>
          <w:lang w:val="fr-CA"/>
        </w:rPr>
        <w:t xml:space="preserve">un bracelet électronique, la SE </w:t>
      </w:r>
      <w:r>
        <w:rPr>
          <w:lang w:val="fr-CA"/>
        </w:rPr>
        <w:t xml:space="preserve">est combinée à </w:t>
      </w:r>
      <w:r w:rsidRPr="00E54ACE">
        <w:rPr>
          <w:lang w:val="fr-CA"/>
        </w:rPr>
        <w:t>d</w:t>
      </w:r>
      <w:r>
        <w:rPr>
          <w:lang w:val="fr-CA"/>
        </w:rPr>
        <w:t>’</w:t>
      </w:r>
      <w:r w:rsidRPr="00E54ACE">
        <w:rPr>
          <w:lang w:val="fr-CA"/>
        </w:rPr>
        <w:t>autre</w:t>
      </w:r>
      <w:r>
        <w:rPr>
          <w:lang w:val="fr-CA"/>
        </w:rPr>
        <w:t>s</w:t>
      </w:r>
      <w:r w:rsidRPr="00E54ACE">
        <w:rPr>
          <w:lang w:val="fr-CA"/>
        </w:rPr>
        <w:t xml:space="preserve"> SRD comme le programme de GCSC ou de </w:t>
      </w:r>
      <w:r>
        <w:rPr>
          <w:lang w:val="fr-CA"/>
        </w:rPr>
        <w:t xml:space="preserve">signalement oral et s’applique aux personnes nécessitant une surveillance accrue afin d’atténuer le risque que présente leur libération pour la société. La SE peut convenir lorsqu’il est peu probable qu’une personne se présente, lorsqu’il existe des préoccupations liées à son identité et dans les cas </w:t>
      </w:r>
      <w:r w:rsidRPr="00AA5F14">
        <w:rPr>
          <w:lang w:val="fr-CA"/>
        </w:rPr>
        <w:t>de criminalité grave. Un protocole d</w:t>
      </w:r>
      <w:r>
        <w:rPr>
          <w:lang w:val="fr-CA"/>
        </w:rPr>
        <w:t>’</w:t>
      </w:r>
      <w:r w:rsidRPr="00AA5F14">
        <w:rPr>
          <w:lang w:val="fr-CA"/>
        </w:rPr>
        <w:t>entente permet au Service correctionnel du Canada de fournir à l</w:t>
      </w:r>
      <w:r>
        <w:rPr>
          <w:lang w:val="fr-CA"/>
        </w:rPr>
        <w:t>’</w:t>
      </w:r>
      <w:r w:rsidRPr="00AA5F14">
        <w:rPr>
          <w:lang w:val="fr-CA"/>
        </w:rPr>
        <w:t>ASFC la technologie de SE nécessaire, y compris le bracelet électronique.</w:t>
      </w:r>
    </w:p>
    <w:p w14:paraId="1D0A398A" w14:textId="77777777" w:rsidR="008747B0" w:rsidRPr="00877B50" w:rsidRDefault="00877853" w:rsidP="00877853">
      <w:pPr>
        <w:pStyle w:val="H23G"/>
        <w:rPr>
          <w:lang w:val="fr-CA"/>
        </w:rPr>
      </w:pPr>
      <w:r>
        <w:rPr>
          <w:lang w:val="fr-CA"/>
        </w:rPr>
        <w:tab/>
      </w:r>
      <w:r>
        <w:rPr>
          <w:lang w:val="fr-CA"/>
        </w:rPr>
        <w:tab/>
      </w:r>
      <w:r w:rsidR="008747B0" w:rsidRPr="00877B50">
        <w:rPr>
          <w:lang w:val="fr-CA"/>
        </w:rPr>
        <w:t>Détention de mineurs</w:t>
      </w:r>
    </w:p>
    <w:p w14:paraId="2C4E1E67" w14:textId="77777777" w:rsidR="008747B0" w:rsidRPr="00961CE9" w:rsidRDefault="008747B0" w:rsidP="00877853">
      <w:pPr>
        <w:pStyle w:val="SingleTxtG"/>
        <w:rPr>
          <w:lang w:val="fr-CA"/>
        </w:rPr>
      </w:pPr>
      <w:r>
        <w:rPr>
          <w:lang w:val="fr-CA"/>
        </w:rPr>
        <w:t>22.</w:t>
      </w:r>
      <w:r>
        <w:rPr>
          <w:lang w:val="fr-CA"/>
        </w:rPr>
        <w:tab/>
      </w:r>
      <w:r w:rsidRPr="00961CE9">
        <w:rPr>
          <w:lang w:val="fr-CA"/>
        </w:rPr>
        <w:t xml:space="preserve">Le </w:t>
      </w:r>
      <w:r w:rsidR="0047136B">
        <w:rPr>
          <w:lang w:val="fr-CA"/>
        </w:rPr>
        <w:t>G</w:t>
      </w:r>
      <w:r w:rsidRPr="00961CE9">
        <w:rPr>
          <w:lang w:val="fr-CA"/>
        </w:rPr>
        <w:t xml:space="preserve">ouvernement </w:t>
      </w:r>
      <w:r>
        <w:rPr>
          <w:lang w:val="fr-CA"/>
        </w:rPr>
        <w:t xml:space="preserve">canadien </w:t>
      </w:r>
      <w:r w:rsidRPr="00961CE9">
        <w:rPr>
          <w:lang w:val="fr-CA"/>
        </w:rPr>
        <w:t>est déterminé à éviter autant que possible la détention de mineurs et la séparation de</w:t>
      </w:r>
      <w:r>
        <w:rPr>
          <w:lang w:val="fr-CA"/>
        </w:rPr>
        <w:t>s</w:t>
      </w:r>
      <w:r w:rsidRPr="00961CE9">
        <w:rPr>
          <w:lang w:val="fr-CA"/>
        </w:rPr>
        <w:t xml:space="preserve"> familles. En novembre 2017, </w:t>
      </w:r>
      <w:r>
        <w:rPr>
          <w:lang w:val="fr-CA"/>
        </w:rPr>
        <w:t>l</w:t>
      </w:r>
      <w:r w:rsidRPr="00961CE9">
        <w:rPr>
          <w:lang w:val="fr-CA"/>
        </w:rPr>
        <w:t>e</w:t>
      </w:r>
      <w:r>
        <w:rPr>
          <w:lang w:val="fr-CA"/>
        </w:rPr>
        <w:t xml:space="preserve"> </w:t>
      </w:r>
      <w:r w:rsidR="0047136B">
        <w:rPr>
          <w:lang w:val="fr-CA"/>
        </w:rPr>
        <w:t>M</w:t>
      </w:r>
      <w:r>
        <w:rPr>
          <w:lang w:val="fr-CA"/>
        </w:rPr>
        <w:t xml:space="preserve">inistre de la </w:t>
      </w:r>
      <w:r w:rsidR="0047136B">
        <w:rPr>
          <w:lang w:val="fr-CA"/>
        </w:rPr>
        <w:t>s</w:t>
      </w:r>
      <w:r>
        <w:rPr>
          <w:lang w:val="fr-CA"/>
        </w:rPr>
        <w:t>écurité publique a communiqué à l’ASFC</w:t>
      </w:r>
      <w:r w:rsidRPr="00961CE9">
        <w:rPr>
          <w:lang w:val="fr-CA"/>
        </w:rPr>
        <w:t xml:space="preserve"> </w:t>
      </w:r>
      <w:r>
        <w:rPr>
          <w:lang w:val="fr-CA"/>
        </w:rPr>
        <w:t>une instruction pour l’orienter dans la prise de décisions dans les cas de détention de mineurs.</w:t>
      </w:r>
    </w:p>
    <w:p w14:paraId="4BF122E5" w14:textId="77777777" w:rsidR="008747B0" w:rsidRPr="0008045C" w:rsidRDefault="008747B0" w:rsidP="00877853">
      <w:pPr>
        <w:pStyle w:val="Bullet1G"/>
        <w:rPr>
          <w:lang w:val="fr-CA"/>
        </w:rPr>
      </w:pPr>
      <w:r w:rsidRPr="0008045C">
        <w:rPr>
          <w:lang w:val="fr-CA"/>
        </w:rPr>
        <w:t>Conformément à l</w:t>
      </w:r>
      <w:r>
        <w:rPr>
          <w:lang w:val="fr-CA"/>
        </w:rPr>
        <w:t>’</w:t>
      </w:r>
      <w:r w:rsidRPr="0008045C">
        <w:rPr>
          <w:lang w:val="fr-CA"/>
        </w:rPr>
        <w:t>instruction ministérielle, l</w:t>
      </w:r>
      <w:r>
        <w:rPr>
          <w:lang w:val="fr-CA"/>
        </w:rPr>
        <w:t>’</w:t>
      </w:r>
      <w:r w:rsidRPr="0008045C">
        <w:rPr>
          <w:lang w:val="fr-CA"/>
        </w:rPr>
        <w:t xml:space="preserve">ASFC a publié </w:t>
      </w:r>
      <w:r>
        <w:rPr>
          <w:lang w:val="fr-CA"/>
        </w:rPr>
        <w:t xml:space="preserve">la </w:t>
      </w:r>
      <w:r w:rsidRPr="0008045C">
        <w:rPr>
          <w:lang w:val="fr-CA"/>
        </w:rPr>
        <w:t>Directive nationale sur la détention ou l</w:t>
      </w:r>
      <w:r>
        <w:rPr>
          <w:lang w:val="fr-CA"/>
        </w:rPr>
        <w:t>’</w:t>
      </w:r>
      <w:r w:rsidRPr="0008045C">
        <w:rPr>
          <w:lang w:val="fr-CA"/>
        </w:rPr>
        <w:t>hébergement de mineurs à des fins opérationnelles</w:t>
      </w:r>
      <w:r>
        <w:rPr>
          <w:lang w:val="fr-CA"/>
        </w:rPr>
        <w:t xml:space="preserve">, laquelle renforce le </w:t>
      </w:r>
      <w:r w:rsidRPr="0008045C">
        <w:rPr>
          <w:lang w:val="fr-CA"/>
        </w:rPr>
        <w:t xml:space="preserve">principe selon lequel la détention doit être une mesure de dernier recours, utilisée dans un nombre </w:t>
      </w:r>
      <w:r>
        <w:rPr>
          <w:lang w:val="fr-CA"/>
        </w:rPr>
        <w:t xml:space="preserve">extrêmement </w:t>
      </w:r>
      <w:r w:rsidRPr="0008045C">
        <w:rPr>
          <w:lang w:val="fr-CA"/>
        </w:rPr>
        <w:t>limité de situations et seulement lorsque les autres solutions de rechange à la détention ont été jugées inadéquates ou inaccessibles.</w:t>
      </w:r>
      <w:r>
        <w:rPr>
          <w:lang w:val="fr-CA"/>
        </w:rPr>
        <w:t xml:space="preserve"> L’intérêt supérieur de l’enfant est l’une des principales considérations pour déterminer si un mineur peut être détenu ou hébergé avec un tuteur légal ou avec ses parents détenus. </w:t>
      </w:r>
      <w:r w:rsidRPr="0008045C">
        <w:rPr>
          <w:lang w:val="fr-CA"/>
        </w:rPr>
        <w:t>L</w:t>
      </w:r>
      <w:r>
        <w:rPr>
          <w:lang w:val="fr-CA"/>
        </w:rPr>
        <w:t>’</w:t>
      </w:r>
      <w:r w:rsidRPr="0008045C">
        <w:rPr>
          <w:lang w:val="fr-CA"/>
        </w:rPr>
        <w:t>ASFC évalue l</w:t>
      </w:r>
      <w:r>
        <w:rPr>
          <w:lang w:val="fr-CA"/>
        </w:rPr>
        <w:t xml:space="preserve">’intérêt supérieur de l’enfant </w:t>
      </w:r>
      <w:r w:rsidRPr="0008045C">
        <w:rPr>
          <w:lang w:val="fr-CA"/>
        </w:rPr>
        <w:t>avec les parents ou le tuteur légal</w:t>
      </w:r>
      <w:r>
        <w:rPr>
          <w:lang w:val="fr-CA"/>
        </w:rPr>
        <w:t xml:space="preserve"> et tient compte du niveau de dépendance du mineur, de ses besoins physiques, psychologiques et affectifs, ainsi que du soin, de la protection et de la sécurité dont l’enfant a besoin.</w:t>
      </w:r>
    </w:p>
    <w:p w14:paraId="7CD47DFC" w14:textId="77777777" w:rsidR="008747B0" w:rsidRPr="0008045C" w:rsidRDefault="008747B0" w:rsidP="00877853">
      <w:pPr>
        <w:pStyle w:val="Bullet1G"/>
        <w:rPr>
          <w:lang w:val="fr-CA"/>
        </w:rPr>
      </w:pPr>
      <w:r>
        <w:rPr>
          <w:lang w:val="fr-CA"/>
        </w:rPr>
        <w:t xml:space="preserve">Le </w:t>
      </w:r>
      <w:r w:rsidRPr="00F70FE6">
        <w:rPr>
          <w:lang w:val="fr-CA"/>
        </w:rPr>
        <w:t>Règlement sur l</w:t>
      </w:r>
      <w:r>
        <w:rPr>
          <w:lang w:val="fr-CA"/>
        </w:rPr>
        <w:t>’</w:t>
      </w:r>
      <w:r w:rsidRPr="00F70FE6">
        <w:rPr>
          <w:lang w:val="fr-CA"/>
        </w:rPr>
        <w:t>immigration et la protection des réfugiés</w:t>
      </w:r>
      <w:r>
        <w:rPr>
          <w:lang w:val="fr-CA"/>
        </w:rPr>
        <w:t xml:space="preserve"> sera modifié au printemps 2019 de façon à faire en sorte que :</w:t>
      </w:r>
    </w:p>
    <w:p w14:paraId="7EF221BB" w14:textId="77777777" w:rsidR="008747B0" w:rsidRPr="00877B50" w:rsidRDefault="00877853" w:rsidP="00877853">
      <w:pPr>
        <w:pStyle w:val="Bullet2G"/>
        <w:rPr>
          <w:lang w:val="fr-CA"/>
        </w:rPr>
      </w:pPr>
      <w:r>
        <w:rPr>
          <w:lang w:val="fr-CA"/>
        </w:rPr>
        <w:t>L</w:t>
      </w:r>
      <w:r w:rsidR="008747B0">
        <w:rPr>
          <w:lang w:val="fr-CA"/>
        </w:rPr>
        <w:t>’</w:t>
      </w:r>
      <w:r w:rsidR="008747B0" w:rsidRPr="001529FB">
        <w:rPr>
          <w:lang w:val="fr-CA"/>
        </w:rPr>
        <w:t>intérêt supérieur d</w:t>
      </w:r>
      <w:r w:rsidR="008747B0">
        <w:rPr>
          <w:lang w:val="fr-CA"/>
        </w:rPr>
        <w:t>’</w:t>
      </w:r>
      <w:r w:rsidR="008747B0" w:rsidRPr="001529FB">
        <w:rPr>
          <w:lang w:val="fr-CA"/>
        </w:rPr>
        <w:t>un mineur non détenu s</w:t>
      </w:r>
      <w:r w:rsidR="008747B0">
        <w:rPr>
          <w:lang w:val="fr-CA"/>
        </w:rPr>
        <w:t xml:space="preserve">oit </w:t>
      </w:r>
      <w:r w:rsidR="008747B0" w:rsidRPr="001529FB">
        <w:rPr>
          <w:lang w:val="fr-CA"/>
        </w:rPr>
        <w:t>pris en considération dès qu</w:t>
      </w:r>
      <w:r w:rsidR="008747B0">
        <w:rPr>
          <w:lang w:val="fr-CA"/>
        </w:rPr>
        <w:t>’</w:t>
      </w:r>
      <w:r w:rsidR="008747B0" w:rsidRPr="001529FB">
        <w:rPr>
          <w:lang w:val="fr-CA"/>
        </w:rPr>
        <w:t xml:space="preserve">il est touché directement par une décision concernant la détention de son parent ou de son tuteur. </w:t>
      </w:r>
      <w:r w:rsidR="008747B0" w:rsidRPr="00877B50">
        <w:rPr>
          <w:lang w:val="fr-CA"/>
        </w:rPr>
        <w:t>Cette proposition vise à codifier dans la réglementation les décisions prises par la Cour fédérale du Canada</w:t>
      </w:r>
      <w:r w:rsidR="008747B0">
        <w:rPr>
          <w:lang w:val="fr-CA"/>
        </w:rPr>
        <w:t> ;</w:t>
      </w:r>
    </w:p>
    <w:p w14:paraId="2A05066F" w14:textId="77777777" w:rsidR="008747B0" w:rsidRPr="00877B50" w:rsidRDefault="00877853" w:rsidP="00877853">
      <w:pPr>
        <w:pStyle w:val="Bullet2G"/>
        <w:rPr>
          <w:lang w:val="fr-CA"/>
        </w:rPr>
      </w:pPr>
      <w:r>
        <w:rPr>
          <w:lang w:val="fr-CA"/>
        </w:rPr>
        <w:t>T</w:t>
      </w:r>
      <w:r w:rsidR="008747B0" w:rsidRPr="00877B50">
        <w:rPr>
          <w:lang w:val="fr-CA"/>
        </w:rPr>
        <w:t>ous les décideurs tiennent compte d</w:t>
      </w:r>
      <w:r w:rsidR="008747B0">
        <w:rPr>
          <w:lang w:val="fr-CA"/>
        </w:rPr>
        <w:t>’</w:t>
      </w:r>
      <w:r w:rsidR="008747B0" w:rsidRPr="00877B50">
        <w:rPr>
          <w:lang w:val="fr-CA"/>
        </w:rPr>
        <w:t>une liste non exhaustive de facteurs lorsqu</w:t>
      </w:r>
      <w:r w:rsidR="008747B0">
        <w:rPr>
          <w:lang w:val="fr-CA"/>
        </w:rPr>
        <w:t>’</w:t>
      </w:r>
      <w:r w:rsidR="008747B0" w:rsidRPr="00877B50">
        <w:rPr>
          <w:lang w:val="fr-CA"/>
        </w:rPr>
        <w:t>ils examinent l</w:t>
      </w:r>
      <w:r w:rsidR="008747B0">
        <w:rPr>
          <w:lang w:val="fr-CA"/>
        </w:rPr>
        <w:t>’</w:t>
      </w:r>
      <w:r w:rsidR="008747B0" w:rsidRPr="00877B50">
        <w:rPr>
          <w:lang w:val="fr-CA"/>
        </w:rPr>
        <w:t>intérêt supérieur d</w:t>
      </w:r>
      <w:r w:rsidR="008747B0">
        <w:rPr>
          <w:lang w:val="fr-CA"/>
        </w:rPr>
        <w:t>’</w:t>
      </w:r>
      <w:r w:rsidR="008747B0" w:rsidRPr="00877B50">
        <w:rPr>
          <w:lang w:val="fr-CA"/>
        </w:rPr>
        <w:t>un mineur. Ces facteurs s</w:t>
      </w:r>
      <w:r w:rsidR="008747B0">
        <w:rPr>
          <w:lang w:val="fr-CA"/>
        </w:rPr>
        <w:t>’</w:t>
      </w:r>
      <w:r w:rsidR="008747B0" w:rsidRPr="00877B50">
        <w:rPr>
          <w:lang w:val="fr-CA"/>
        </w:rPr>
        <w:t>appliqueront aux mineurs</w:t>
      </w:r>
      <w:r w:rsidR="008747B0">
        <w:rPr>
          <w:lang w:val="fr-CA"/>
        </w:rPr>
        <w:t>, détenus ou non</w:t>
      </w:r>
      <w:r w:rsidR="008747B0" w:rsidRPr="00877B50">
        <w:rPr>
          <w:lang w:val="fr-CA"/>
        </w:rPr>
        <w:t>.</w:t>
      </w:r>
    </w:p>
    <w:p w14:paraId="1DD4A1C6" w14:textId="77777777" w:rsidR="008747B0" w:rsidRPr="0094584C" w:rsidRDefault="00D66245" w:rsidP="00D66245">
      <w:pPr>
        <w:pStyle w:val="H23G"/>
        <w:rPr>
          <w:lang w:val="fr-CA"/>
        </w:rPr>
      </w:pPr>
      <w:r>
        <w:rPr>
          <w:lang w:val="fr-CA"/>
        </w:rPr>
        <w:tab/>
      </w:r>
      <w:r>
        <w:rPr>
          <w:lang w:val="fr-CA"/>
        </w:rPr>
        <w:tab/>
      </w:r>
      <w:r w:rsidR="008747B0">
        <w:rPr>
          <w:lang w:val="fr-CA"/>
        </w:rPr>
        <w:t>E</w:t>
      </w:r>
      <w:r w:rsidR="008747B0" w:rsidRPr="0094584C">
        <w:rPr>
          <w:lang w:val="fr-CA"/>
        </w:rPr>
        <w:t xml:space="preserve">ntente sur les </w:t>
      </w:r>
      <w:r w:rsidR="008747B0">
        <w:rPr>
          <w:lang w:val="fr-CA"/>
        </w:rPr>
        <w:t>t</w:t>
      </w:r>
      <w:r w:rsidR="008747B0" w:rsidRPr="0094584C">
        <w:rPr>
          <w:lang w:val="fr-CA"/>
        </w:rPr>
        <w:t>iers pays s</w:t>
      </w:r>
      <w:r w:rsidR="008747B0">
        <w:rPr>
          <w:lang w:val="fr-CA"/>
        </w:rPr>
        <w:t>ûrs</w:t>
      </w:r>
    </w:p>
    <w:p w14:paraId="014EED6B" w14:textId="77777777" w:rsidR="008747B0" w:rsidRPr="00F70FE6" w:rsidRDefault="008747B0" w:rsidP="00D66245">
      <w:pPr>
        <w:pStyle w:val="SingleTxtG"/>
        <w:rPr>
          <w:lang w:val="fr-CA"/>
        </w:rPr>
      </w:pPr>
      <w:r w:rsidRPr="00F70FE6">
        <w:rPr>
          <w:lang w:val="fr-CA"/>
        </w:rPr>
        <w:t>23.</w:t>
      </w:r>
      <w:r w:rsidRPr="00F70FE6">
        <w:rPr>
          <w:lang w:val="fr-CA"/>
        </w:rPr>
        <w:tab/>
      </w:r>
      <w:r w:rsidRPr="008D1CF7">
        <w:rPr>
          <w:spacing w:val="-2"/>
          <w:lang w:val="fr-CA"/>
        </w:rPr>
        <w:t xml:space="preserve">L’Entente entre le Canada et les États-Unis sur les tiers pays sûrs repose sur le maintien par ces pays d’antécédents, de politiques et de pratiques en matière de droits de la personne qui reflètent les obligations qui leur incombent en tant qu’États parties à la Convention de 1951 relative au statut des réfugiés et à la Convention contre la torture, lesquelles obligations comprennent le principe de non-refoulement. L’Entente </w:t>
      </w:r>
      <w:r w:rsidRPr="008D1CF7">
        <w:rPr>
          <w:color w:val="000000"/>
          <w:spacing w:val="-2"/>
          <w:lang w:val="fr-CA"/>
        </w:rPr>
        <w:t>favorise le traitement méthodique des demandes d’asile à la frontière entre les deux pays selon le principe que</w:t>
      </w:r>
      <w:r w:rsidRPr="008D1CF7">
        <w:rPr>
          <w:spacing w:val="-2"/>
          <w:lang w:val="fr-CA"/>
        </w:rPr>
        <w:t xml:space="preserve"> </w:t>
      </w:r>
      <w:r w:rsidRPr="008D1CF7">
        <w:rPr>
          <w:color w:val="000000"/>
          <w:spacing w:val="-2"/>
          <w:lang w:val="fr-CA"/>
        </w:rPr>
        <w:t>les personnes doivent demander l’asile dans le premier pays sûr où elles arrivent</w:t>
      </w:r>
      <w:r w:rsidRPr="008D1CF7">
        <w:rPr>
          <w:spacing w:val="-2"/>
          <w:lang w:val="fr-CA"/>
        </w:rPr>
        <w:t>.</w:t>
      </w:r>
    </w:p>
    <w:p w14:paraId="4BF6D619" w14:textId="77777777" w:rsidR="008747B0" w:rsidRPr="002E6D15" w:rsidRDefault="008747B0" w:rsidP="00D66245">
      <w:pPr>
        <w:pStyle w:val="SingleTxtG"/>
        <w:rPr>
          <w:lang w:val="fr-CA"/>
        </w:rPr>
      </w:pPr>
      <w:r>
        <w:rPr>
          <w:lang w:val="fr-CA"/>
        </w:rPr>
        <w:t>24.</w:t>
      </w:r>
      <w:r>
        <w:rPr>
          <w:lang w:val="fr-CA"/>
        </w:rPr>
        <w:tab/>
        <w:t>Conformément à la l</w:t>
      </w:r>
      <w:r w:rsidRPr="00B52C1E">
        <w:rPr>
          <w:lang w:val="fr-CA"/>
        </w:rPr>
        <w:t>oi sur l</w:t>
      </w:r>
      <w:r>
        <w:rPr>
          <w:lang w:val="fr-CA"/>
        </w:rPr>
        <w:t>’</w:t>
      </w:r>
      <w:r w:rsidRPr="00B52C1E">
        <w:rPr>
          <w:lang w:val="fr-CA"/>
        </w:rPr>
        <w:t>immigration et la protection des réfugiés,</w:t>
      </w:r>
      <w:r>
        <w:rPr>
          <w:lang w:val="fr-CA"/>
        </w:rPr>
        <w:t xml:space="preserve"> l</w:t>
      </w:r>
      <w:r w:rsidRPr="002E6D15">
        <w:rPr>
          <w:lang w:val="fr-CA"/>
        </w:rPr>
        <w:t xml:space="preserve">e Canada est tenu de surveiller </w:t>
      </w:r>
      <w:r>
        <w:rPr>
          <w:lang w:val="fr-CA"/>
        </w:rPr>
        <w:t>continuellement la situation aux États-Unis, ce qu’il fait en veillant à ce que les États-Unis respectent les exigences qui les ont conduits à être désignés comme tiers pays sûr.</w:t>
      </w:r>
      <w:r w:rsidRPr="002E6D15">
        <w:rPr>
          <w:lang w:val="fr-CA"/>
        </w:rPr>
        <w:t xml:space="preserve"> </w:t>
      </w:r>
    </w:p>
    <w:p w14:paraId="578047B6" w14:textId="77777777" w:rsidR="008747B0" w:rsidRPr="002E6D15" w:rsidRDefault="008747B0" w:rsidP="00D66245">
      <w:pPr>
        <w:pStyle w:val="SingleTxtG"/>
        <w:rPr>
          <w:lang w:val="fr-CA"/>
        </w:rPr>
      </w:pPr>
      <w:r>
        <w:rPr>
          <w:lang w:val="fr-CA"/>
        </w:rPr>
        <w:t>25.</w:t>
      </w:r>
      <w:r>
        <w:rPr>
          <w:lang w:val="fr-CA"/>
        </w:rPr>
        <w:tab/>
      </w:r>
      <w:r w:rsidRPr="002E6D15">
        <w:rPr>
          <w:lang w:val="fr-CA"/>
        </w:rPr>
        <w:t>Les É</w:t>
      </w:r>
      <w:r>
        <w:rPr>
          <w:lang w:val="fr-CA"/>
        </w:rPr>
        <w:t xml:space="preserve">tats-Unis </w:t>
      </w:r>
      <w:r w:rsidRPr="002E6D15">
        <w:rPr>
          <w:lang w:val="fr-CA"/>
        </w:rPr>
        <w:t xml:space="preserve">sont le seul pays désigné </w:t>
      </w:r>
      <w:r>
        <w:rPr>
          <w:lang w:val="fr-CA"/>
        </w:rPr>
        <w:t xml:space="preserve">dans le </w:t>
      </w:r>
      <w:r w:rsidRPr="001E38BB">
        <w:rPr>
          <w:lang w:val="fr-CA"/>
        </w:rPr>
        <w:t xml:space="preserve">Règlement </w:t>
      </w:r>
      <w:r>
        <w:rPr>
          <w:lang w:val="fr-CA"/>
        </w:rPr>
        <w:t xml:space="preserve">comme tiers </w:t>
      </w:r>
      <w:r w:rsidRPr="00877B50">
        <w:rPr>
          <w:lang w:val="fr-CA"/>
        </w:rPr>
        <w:t>pays sûr au sens de la loi.</w:t>
      </w:r>
    </w:p>
    <w:p w14:paraId="6F4BF31F" w14:textId="77777777" w:rsidR="008747B0" w:rsidRPr="002E6D15" w:rsidRDefault="008747B0" w:rsidP="00D66245">
      <w:pPr>
        <w:pStyle w:val="SingleTxtG"/>
        <w:rPr>
          <w:lang w:val="fr-CA"/>
        </w:rPr>
      </w:pPr>
      <w:r>
        <w:rPr>
          <w:lang w:val="fr-CA"/>
        </w:rPr>
        <w:t>26.</w:t>
      </w:r>
      <w:r>
        <w:rPr>
          <w:lang w:val="fr-CA"/>
        </w:rPr>
        <w:tab/>
        <w:t>Les informations consultées proviennent d’un certain nombre de sources dont des</w:t>
      </w:r>
      <w:r w:rsidR="001E38BB">
        <w:rPr>
          <w:lang w:val="fr-CA"/>
        </w:rPr>
        <w:t xml:space="preserve"> </w:t>
      </w:r>
      <w:r>
        <w:rPr>
          <w:lang w:val="fr-CA"/>
        </w:rPr>
        <w:t>organismes internationaux de protection des droits de l’homme, des rapports d’administrations, des statistiques, des annonces générales et des articles parus dans les</w:t>
      </w:r>
      <w:r w:rsidR="001C17A3">
        <w:rPr>
          <w:lang w:val="fr-CA"/>
        </w:rPr>
        <w:t> </w:t>
      </w:r>
      <w:r>
        <w:rPr>
          <w:lang w:val="fr-CA"/>
        </w:rPr>
        <w:t>médias.</w:t>
      </w:r>
      <w:r w:rsidRPr="002E6D15">
        <w:rPr>
          <w:lang w:val="fr-CA"/>
        </w:rPr>
        <w:t xml:space="preserve"> </w:t>
      </w:r>
    </w:p>
    <w:p w14:paraId="4FBADC94" w14:textId="77777777" w:rsidR="008747B0" w:rsidRPr="00877B50" w:rsidRDefault="008747B0" w:rsidP="00D66245">
      <w:pPr>
        <w:pStyle w:val="SingleTxtG"/>
        <w:rPr>
          <w:lang w:val="fr-CA"/>
        </w:rPr>
      </w:pPr>
      <w:r>
        <w:rPr>
          <w:lang w:val="fr-CA"/>
        </w:rPr>
        <w:lastRenderedPageBreak/>
        <w:t>27.</w:t>
      </w:r>
      <w:r>
        <w:rPr>
          <w:lang w:val="fr-CA"/>
        </w:rPr>
        <w:tab/>
      </w:r>
      <w:r w:rsidRPr="002E6D15">
        <w:rPr>
          <w:lang w:val="fr-CA"/>
        </w:rPr>
        <w:t xml:space="preserve">Les </w:t>
      </w:r>
      <w:r>
        <w:rPr>
          <w:lang w:val="fr-CA"/>
        </w:rPr>
        <w:t xml:space="preserve">évaluations auxquelles le Canada a procédé ont conclu que les États-Unis continuaient de satisfaire aux critères sur la base desquels ils avaient été désignés comme tiers pays sûr. Cette conclusion concorde avec les </w:t>
      </w:r>
      <w:r w:rsidRPr="00877B50">
        <w:rPr>
          <w:lang w:val="fr-CA"/>
        </w:rPr>
        <w:t xml:space="preserve">constatations du Haut-Commissariat des Nations </w:t>
      </w:r>
      <w:r>
        <w:rPr>
          <w:lang w:val="fr-CA"/>
        </w:rPr>
        <w:t>U</w:t>
      </w:r>
      <w:r w:rsidRPr="00877B50">
        <w:rPr>
          <w:lang w:val="fr-CA"/>
        </w:rPr>
        <w:t>nies pour les réfugiés.</w:t>
      </w:r>
    </w:p>
    <w:p w14:paraId="4EACFE65" w14:textId="77777777" w:rsidR="008747B0" w:rsidRDefault="008747B0" w:rsidP="00D66245">
      <w:pPr>
        <w:pStyle w:val="SingleTxtG"/>
        <w:rPr>
          <w:lang w:val="fr-CA"/>
        </w:rPr>
      </w:pPr>
      <w:r>
        <w:rPr>
          <w:lang w:val="fr-CA"/>
        </w:rPr>
        <w:t>28.</w:t>
      </w:r>
      <w:r>
        <w:rPr>
          <w:lang w:val="fr-CA"/>
        </w:rPr>
        <w:tab/>
      </w:r>
      <w:r w:rsidRPr="002E6D15">
        <w:rPr>
          <w:lang w:val="fr-CA"/>
        </w:rPr>
        <w:t>Le Canada continuera de sur</w:t>
      </w:r>
      <w:r>
        <w:rPr>
          <w:lang w:val="fr-CA"/>
        </w:rPr>
        <w:t>v</w:t>
      </w:r>
      <w:r w:rsidRPr="002E6D15">
        <w:rPr>
          <w:lang w:val="fr-CA"/>
        </w:rPr>
        <w:t xml:space="preserve">eiller </w:t>
      </w:r>
      <w:r>
        <w:rPr>
          <w:lang w:val="fr-CA"/>
        </w:rPr>
        <w:t>la situation pour s’assurer que les États-Unis remplissent toujours les conditions qui ont motivé leur désignation comme tiers pays sûr.</w:t>
      </w:r>
    </w:p>
    <w:p w14:paraId="5DA8405B" w14:textId="77777777" w:rsidR="00984B29" w:rsidRDefault="008747B0" w:rsidP="00D66245">
      <w:pPr>
        <w:pStyle w:val="SingleTxtG"/>
        <w:rPr>
          <w:lang w:val="fr-CA"/>
        </w:rPr>
      </w:pPr>
      <w:r>
        <w:rPr>
          <w:lang w:val="fr-CA"/>
        </w:rPr>
        <w:t>29.</w:t>
      </w:r>
      <w:r>
        <w:rPr>
          <w:lang w:val="fr-CA"/>
        </w:rPr>
        <w:tab/>
        <w:t xml:space="preserve">L’Entente </w:t>
      </w:r>
      <w:r w:rsidRPr="00B568C9">
        <w:rPr>
          <w:lang w:val="fr-CA"/>
        </w:rPr>
        <w:t xml:space="preserve">sur les tiers pays sûrs </w:t>
      </w:r>
      <w:r w:rsidRPr="00616DDB">
        <w:rPr>
          <w:lang w:val="fr-CA"/>
        </w:rPr>
        <w:t>demeure un outil important, car elle permet au Canada et aux États-Unis de collaborer pour assurer le traitement ordonné des demandes d</w:t>
      </w:r>
      <w:r>
        <w:rPr>
          <w:lang w:val="fr-CA"/>
        </w:rPr>
        <w:t>’</w:t>
      </w:r>
      <w:r w:rsidRPr="00616DDB">
        <w:rPr>
          <w:lang w:val="fr-CA"/>
        </w:rPr>
        <w:t>asile présentées dans ces pays.</w:t>
      </w:r>
    </w:p>
    <w:p w14:paraId="1AB9D0D5" w14:textId="77777777" w:rsidR="008747B0" w:rsidRPr="008747B0" w:rsidRDefault="008747B0" w:rsidP="008747B0">
      <w:pPr>
        <w:pStyle w:val="SingleTxtG"/>
        <w:spacing w:before="240" w:after="0"/>
        <w:jc w:val="center"/>
        <w:rPr>
          <w:u w:val="single"/>
        </w:rPr>
      </w:pPr>
      <w:r>
        <w:rPr>
          <w:u w:val="single"/>
        </w:rPr>
        <w:tab/>
      </w:r>
      <w:r>
        <w:rPr>
          <w:u w:val="single"/>
        </w:rPr>
        <w:tab/>
      </w:r>
      <w:r>
        <w:rPr>
          <w:u w:val="single"/>
        </w:rPr>
        <w:tab/>
      </w:r>
    </w:p>
    <w:sectPr w:rsidR="008747B0" w:rsidRPr="008747B0" w:rsidSect="008747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CE54" w14:textId="77777777" w:rsidR="00BF3F6A" w:rsidRDefault="00BF3F6A" w:rsidP="00F95C08">
      <w:pPr>
        <w:spacing w:line="240" w:lineRule="auto"/>
      </w:pPr>
    </w:p>
  </w:endnote>
  <w:endnote w:type="continuationSeparator" w:id="0">
    <w:p w14:paraId="1EEA5CE0" w14:textId="77777777" w:rsidR="00BF3F6A" w:rsidRPr="00AC3823" w:rsidRDefault="00BF3F6A" w:rsidP="00AC3823">
      <w:pPr>
        <w:pStyle w:val="Pieddepage"/>
      </w:pPr>
    </w:p>
  </w:endnote>
  <w:endnote w:type="continuationNotice" w:id="1">
    <w:p w14:paraId="49EE2243" w14:textId="77777777" w:rsidR="00BF3F6A" w:rsidRDefault="00BF3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58FB" w14:textId="77777777" w:rsidR="008747B0" w:rsidRPr="008747B0" w:rsidRDefault="008747B0" w:rsidP="008747B0">
    <w:pPr>
      <w:pStyle w:val="Pieddepage"/>
      <w:tabs>
        <w:tab w:val="right" w:pos="9638"/>
      </w:tabs>
    </w:pPr>
    <w:r w:rsidRPr="008747B0">
      <w:rPr>
        <w:b/>
        <w:sz w:val="18"/>
      </w:rPr>
      <w:fldChar w:fldCharType="begin"/>
    </w:r>
    <w:r w:rsidRPr="008747B0">
      <w:rPr>
        <w:b/>
        <w:sz w:val="18"/>
      </w:rPr>
      <w:instrText xml:space="preserve"> PAGE  \* MERGEFORMAT </w:instrText>
    </w:r>
    <w:r w:rsidRPr="008747B0">
      <w:rPr>
        <w:b/>
        <w:sz w:val="18"/>
      </w:rPr>
      <w:fldChar w:fldCharType="separate"/>
    </w:r>
    <w:r w:rsidRPr="008747B0">
      <w:rPr>
        <w:b/>
        <w:noProof/>
        <w:sz w:val="18"/>
      </w:rPr>
      <w:t>2</w:t>
    </w:r>
    <w:r w:rsidRPr="008747B0">
      <w:rPr>
        <w:b/>
        <w:sz w:val="18"/>
      </w:rPr>
      <w:fldChar w:fldCharType="end"/>
    </w:r>
    <w:r>
      <w:rPr>
        <w:b/>
        <w:sz w:val="18"/>
      </w:rPr>
      <w:tab/>
    </w:r>
    <w:r>
      <w:t>GE.19-08886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9E1B" w14:textId="77777777" w:rsidR="008747B0" w:rsidRPr="008747B0" w:rsidRDefault="008747B0" w:rsidP="008747B0">
    <w:pPr>
      <w:pStyle w:val="Pieddepage"/>
      <w:tabs>
        <w:tab w:val="right" w:pos="9638"/>
      </w:tabs>
      <w:rPr>
        <w:b/>
        <w:sz w:val="18"/>
      </w:rPr>
    </w:pPr>
    <w:r>
      <w:t>GE.19-08886</w:t>
    </w:r>
    <w:r>
      <w:tab/>
    </w:r>
    <w:r w:rsidRPr="008747B0">
      <w:rPr>
        <w:b/>
        <w:sz w:val="18"/>
      </w:rPr>
      <w:fldChar w:fldCharType="begin"/>
    </w:r>
    <w:r w:rsidRPr="008747B0">
      <w:rPr>
        <w:b/>
        <w:sz w:val="18"/>
      </w:rPr>
      <w:instrText xml:space="preserve"> PAGE  \* MERGEFORMAT </w:instrText>
    </w:r>
    <w:r w:rsidRPr="008747B0">
      <w:rPr>
        <w:b/>
        <w:sz w:val="18"/>
      </w:rPr>
      <w:fldChar w:fldCharType="separate"/>
    </w:r>
    <w:r w:rsidRPr="008747B0">
      <w:rPr>
        <w:b/>
        <w:noProof/>
        <w:sz w:val="18"/>
      </w:rPr>
      <w:t>3</w:t>
    </w:r>
    <w:r w:rsidRPr="00874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7CE0" w14:textId="77777777" w:rsidR="00984B29" w:rsidRPr="008747B0" w:rsidRDefault="008747B0" w:rsidP="008747B0">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4F8C9FB7" wp14:editId="60D81EF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19-08886  (F)    200619    250619</w:t>
    </w:r>
    <w:r>
      <w:rPr>
        <w:sz w:val="20"/>
      </w:rPr>
      <w:br/>
    </w:r>
    <w:r w:rsidRPr="008747B0">
      <w:rPr>
        <w:rFonts w:ascii="C39T30Lfz" w:hAnsi="C39T30Lfz"/>
        <w:sz w:val="56"/>
      </w:rPr>
      <w:t></w:t>
    </w:r>
    <w:r w:rsidRPr="008747B0">
      <w:rPr>
        <w:rFonts w:ascii="C39T30Lfz" w:hAnsi="C39T30Lfz"/>
        <w:sz w:val="56"/>
      </w:rPr>
      <w:t></w:t>
    </w:r>
    <w:r w:rsidRPr="008747B0">
      <w:rPr>
        <w:rFonts w:ascii="C39T30Lfz" w:hAnsi="C39T30Lfz"/>
        <w:sz w:val="56"/>
      </w:rPr>
      <w:t></w:t>
    </w:r>
    <w:r w:rsidRPr="008747B0">
      <w:rPr>
        <w:rFonts w:ascii="C39T30Lfz" w:hAnsi="C39T30Lfz"/>
        <w:sz w:val="56"/>
      </w:rPr>
      <w:t></w:t>
    </w:r>
    <w:r w:rsidRPr="008747B0">
      <w:rPr>
        <w:rFonts w:ascii="C39T30Lfz" w:hAnsi="C39T30Lfz"/>
        <w:sz w:val="56"/>
      </w:rPr>
      <w:t></w:t>
    </w:r>
    <w:r w:rsidRPr="008747B0">
      <w:rPr>
        <w:rFonts w:ascii="C39T30Lfz" w:hAnsi="C39T30Lfz"/>
        <w:sz w:val="56"/>
      </w:rPr>
      <w:t></w:t>
    </w:r>
    <w:r w:rsidRPr="008747B0">
      <w:rPr>
        <w:rFonts w:ascii="C39T30Lfz" w:hAnsi="C39T30Lfz"/>
        <w:sz w:val="56"/>
      </w:rPr>
      <w:t></w:t>
    </w:r>
    <w:r w:rsidRPr="008747B0">
      <w:rPr>
        <w:rFonts w:ascii="C39T30Lfz" w:hAnsi="C39T30Lfz"/>
        <w:sz w:val="56"/>
      </w:rPr>
      <w:t></w:t>
    </w:r>
    <w:r w:rsidRPr="008747B0">
      <w:rPr>
        <w:rFonts w:ascii="C39T30Lfz" w:hAnsi="C39T30Lfz"/>
        <w:sz w:val="56"/>
      </w:rPr>
      <w:t></w:t>
    </w:r>
    <w:r>
      <w:rPr>
        <w:noProof/>
        <w:sz w:val="20"/>
      </w:rPr>
      <w:drawing>
        <wp:anchor distT="0" distB="0" distL="114300" distR="114300" simplePos="0" relativeHeight="251658240" behindDoc="0" locked="0" layoutInCell="1" allowOverlap="1" wp14:anchorId="49383D3F" wp14:editId="0D92771A">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CAN/CO/21-2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AN/CO/21-2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251C" w14:textId="77777777" w:rsidR="00BF3F6A" w:rsidRPr="00AC3823" w:rsidRDefault="00BF3F6A" w:rsidP="00AC3823">
      <w:pPr>
        <w:pStyle w:val="Pieddepage"/>
        <w:tabs>
          <w:tab w:val="right" w:pos="2155"/>
        </w:tabs>
        <w:spacing w:after="80" w:line="240" w:lineRule="atLeast"/>
        <w:ind w:left="680"/>
        <w:rPr>
          <w:u w:val="single"/>
        </w:rPr>
      </w:pPr>
      <w:r>
        <w:rPr>
          <w:u w:val="single"/>
        </w:rPr>
        <w:tab/>
      </w:r>
    </w:p>
  </w:footnote>
  <w:footnote w:type="continuationSeparator" w:id="0">
    <w:p w14:paraId="7C5A1CB0" w14:textId="77777777" w:rsidR="00BF3F6A" w:rsidRPr="00AC3823" w:rsidRDefault="00BF3F6A" w:rsidP="00AC3823">
      <w:pPr>
        <w:pStyle w:val="Pieddepage"/>
        <w:tabs>
          <w:tab w:val="right" w:pos="2155"/>
        </w:tabs>
        <w:spacing w:after="80" w:line="240" w:lineRule="atLeast"/>
        <w:ind w:left="680"/>
        <w:rPr>
          <w:u w:val="single"/>
        </w:rPr>
      </w:pPr>
      <w:r>
        <w:rPr>
          <w:u w:val="single"/>
        </w:rPr>
        <w:tab/>
      </w:r>
    </w:p>
  </w:footnote>
  <w:footnote w:type="continuationNotice" w:id="1">
    <w:p w14:paraId="5CF25F7F" w14:textId="77777777" w:rsidR="00BF3F6A" w:rsidRPr="00AC3823" w:rsidRDefault="00BF3F6A">
      <w:pPr>
        <w:spacing w:line="240" w:lineRule="auto"/>
        <w:rPr>
          <w:sz w:val="2"/>
          <w:szCs w:val="2"/>
        </w:rPr>
      </w:pPr>
    </w:p>
  </w:footnote>
  <w:footnote w:id="2">
    <w:p w14:paraId="46EFD26C" w14:textId="77777777" w:rsidR="000006DA" w:rsidRPr="00E27F47" w:rsidRDefault="000006DA" w:rsidP="000006DA">
      <w:pPr>
        <w:pStyle w:val="Notedebasdepage"/>
        <w:rPr>
          <w:lang w:val="fr-FR"/>
        </w:rPr>
      </w:pPr>
      <w:r>
        <w:rPr>
          <w:lang w:val="fr-FR"/>
        </w:rPr>
        <w:tab/>
        <w:t>*</w:t>
      </w:r>
      <w:r>
        <w:rPr>
          <w:lang w:val="fr-FR"/>
        </w:rPr>
        <w:tab/>
        <w:t>La version originale du présent document n’a pas été revue par les services d’édition.</w:t>
      </w:r>
    </w:p>
  </w:footnote>
  <w:footnote w:id="3">
    <w:p w14:paraId="796858FD" w14:textId="77777777" w:rsidR="008747B0" w:rsidRPr="0029771C" w:rsidRDefault="000006DA" w:rsidP="008747B0">
      <w:pPr>
        <w:pStyle w:val="Notedebasdepage"/>
        <w:rPr>
          <w:lang w:val="fr-CA"/>
        </w:rPr>
      </w:pPr>
      <w:r>
        <w:rPr>
          <w:lang w:val="fr-FR"/>
        </w:rPr>
        <w:tab/>
      </w:r>
      <w:r w:rsidR="008747B0" w:rsidRPr="0043577E">
        <w:rPr>
          <w:rStyle w:val="Appelnotedebasdep"/>
        </w:rPr>
        <w:footnoteRef/>
      </w:r>
      <w:r>
        <w:rPr>
          <w:lang w:val="fr-CA"/>
        </w:rPr>
        <w:tab/>
      </w:r>
      <w:r w:rsidR="008747B0" w:rsidRPr="00C00345">
        <w:rPr>
          <w:bCs/>
          <w:lang w:val="fr-CA"/>
        </w:rPr>
        <w:t xml:space="preserve">CERD/C/CAN/CO/21-23 </w:t>
      </w:r>
      <w:r w:rsidR="008747B0" w:rsidRPr="00C00345">
        <w:rPr>
          <w:lang w:val="fr-CA"/>
        </w:rPr>
        <w:t>(</w:t>
      </w:r>
      <w:r w:rsidR="008747B0">
        <w:rPr>
          <w:lang w:val="fr-CA"/>
        </w:rPr>
        <w:t xml:space="preserve">adoptées par le Comité le </w:t>
      </w:r>
      <w:r w:rsidR="008747B0" w:rsidRPr="00C00345">
        <w:rPr>
          <w:lang w:val="fr-CA"/>
        </w:rPr>
        <w:t>24 août 2017).</w:t>
      </w:r>
    </w:p>
  </w:footnote>
  <w:footnote w:id="4">
    <w:p w14:paraId="332AE75C" w14:textId="77777777" w:rsidR="008747B0" w:rsidRPr="00F30206" w:rsidRDefault="00877853" w:rsidP="008747B0">
      <w:pPr>
        <w:pStyle w:val="Notedebasdepage"/>
        <w:rPr>
          <w:i/>
          <w:noProof/>
          <w:lang w:val="fr-FR"/>
        </w:rPr>
      </w:pPr>
      <w:r>
        <w:rPr>
          <w:lang w:val="fr-FR"/>
        </w:rPr>
        <w:tab/>
      </w:r>
      <w:r w:rsidR="008747B0" w:rsidRPr="0043577E">
        <w:rPr>
          <w:rStyle w:val="Appelnotedebasdep"/>
        </w:rPr>
        <w:footnoteRef/>
      </w:r>
      <w:r w:rsidRPr="00F30206">
        <w:rPr>
          <w:lang w:val="en-US"/>
        </w:rPr>
        <w:tab/>
      </w:r>
      <w:r w:rsidR="008747B0" w:rsidRPr="00F30206">
        <w:rPr>
          <w:lang w:val="en-US"/>
        </w:rPr>
        <w:t xml:space="preserve">Groupe </w:t>
      </w:r>
      <w:proofErr w:type="spellStart"/>
      <w:r w:rsidR="008747B0" w:rsidRPr="00F30206">
        <w:rPr>
          <w:lang w:val="en-US"/>
        </w:rPr>
        <w:t>d’expert</w:t>
      </w:r>
      <w:r w:rsidR="00432F71" w:rsidRPr="00F30206">
        <w:rPr>
          <w:lang w:val="en-US"/>
        </w:rPr>
        <w:t>s</w:t>
      </w:r>
      <w:proofErr w:type="spellEnd"/>
      <w:r w:rsidR="00432F71" w:rsidRPr="00F30206">
        <w:rPr>
          <w:lang w:val="en-US"/>
        </w:rPr>
        <w:t xml:space="preserve"> (2015)</w:t>
      </w:r>
      <w:r w:rsidR="00F30206" w:rsidRPr="00F30206">
        <w:rPr>
          <w:lang w:val="en-US"/>
        </w:rPr>
        <w:t xml:space="preserve">. </w:t>
      </w:r>
      <w:r w:rsidR="00F30206" w:rsidRPr="00F30206">
        <w:rPr>
          <w:i/>
          <w:iCs/>
          <w:lang w:val="en-US"/>
        </w:rPr>
        <w:t xml:space="preserve">Report on Mount </w:t>
      </w:r>
      <w:proofErr w:type="spellStart"/>
      <w:r w:rsidR="00F30206" w:rsidRPr="00F30206">
        <w:rPr>
          <w:i/>
          <w:iCs/>
          <w:lang w:val="en-US"/>
        </w:rPr>
        <w:t>Polley</w:t>
      </w:r>
      <w:proofErr w:type="spellEnd"/>
      <w:r w:rsidR="00F30206" w:rsidRPr="00F30206">
        <w:rPr>
          <w:i/>
          <w:iCs/>
          <w:lang w:val="en-US"/>
        </w:rPr>
        <w:t xml:space="preserve"> Tailing Storage Facility Breach.</w:t>
      </w:r>
      <w:r w:rsidR="00F30206" w:rsidRPr="00F30206">
        <w:rPr>
          <w:i/>
          <w:lang w:val="en-US"/>
        </w:rPr>
        <w:t xml:space="preserve"> </w:t>
      </w:r>
      <w:r w:rsidR="00F30206" w:rsidRPr="00F30206">
        <w:rPr>
          <w:i/>
        </w:rPr>
        <w:t xml:space="preserve">Province of British </w:t>
      </w:r>
      <w:r w:rsidR="00F30206" w:rsidRPr="00F30206">
        <w:rPr>
          <w:bCs/>
          <w:i/>
        </w:rPr>
        <w:t>Columbia.</w:t>
      </w:r>
    </w:p>
  </w:footnote>
  <w:footnote w:id="5">
    <w:p w14:paraId="0FFA7B3B" w14:textId="77777777" w:rsidR="008747B0" w:rsidRPr="00DA0200" w:rsidRDefault="00877853" w:rsidP="008747B0">
      <w:pPr>
        <w:pStyle w:val="Notedebasdepage"/>
        <w:rPr>
          <w:lang w:val="fr-CA"/>
        </w:rPr>
      </w:pPr>
      <w:r>
        <w:rPr>
          <w:lang w:val="fr-CA"/>
        </w:rPr>
        <w:tab/>
      </w:r>
      <w:r w:rsidR="008747B0" w:rsidRPr="0043577E">
        <w:rPr>
          <w:rStyle w:val="Appelnotedebasdep"/>
        </w:rPr>
        <w:footnoteRef/>
      </w:r>
      <w:r>
        <w:rPr>
          <w:lang w:val="fr-CA"/>
        </w:rPr>
        <w:tab/>
      </w:r>
      <w:r w:rsidR="008747B0" w:rsidRPr="00DA0200">
        <w:rPr>
          <w:lang w:val="fr-CA"/>
        </w:rPr>
        <w:t>Le rapport de l</w:t>
      </w:r>
      <w:r w:rsidR="008747B0">
        <w:rPr>
          <w:lang w:val="fr-CA"/>
        </w:rPr>
        <w:t>’</w:t>
      </w:r>
      <w:r w:rsidR="008747B0" w:rsidRPr="00DA0200">
        <w:rPr>
          <w:lang w:val="fr-CA"/>
        </w:rPr>
        <w:t xml:space="preserve">inspecteur en chef des mines et celui du vérificateur </w:t>
      </w:r>
      <w:r w:rsidR="008747B0">
        <w:rPr>
          <w:lang w:val="fr-CA"/>
        </w:rPr>
        <w:t>géné</w:t>
      </w:r>
      <w:r w:rsidR="008747B0" w:rsidRPr="00DA0200">
        <w:rPr>
          <w:lang w:val="fr-CA"/>
        </w:rPr>
        <w:t xml:space="preserve">ral </w:t>
      </w:r>
      <w:r w:rsidR="00FF1F66">
        <w:rPr>
          <w:lang w:val="fr-CA"/>
        </w:rPr>
        <w:br/>
      </w:r>
      <w:r w:rsidR="008747B0" w:rsidRPr="00DA0200">
        <w:rPr>
          <w:lang w:val="fr-CA"/>
        </w:rPr>
        <w:t>de</w:t>
      </w:r>
      <w:r w:rsidR="008747B0">
        <w:rPr>
          <w:lang w:val="fr-CA"/>
        </w:rPr>
        <w:t xml:space="preserve"> </w:t>
      </w:r>
      <w:r w:rsidR="008747B0" w:rsidRPr="00DA0200">
        <w:rPr>
          <w:lang w:val="fr-CA"/>
        </w:rPr>
        <w:t xml:space="preserve">la Colombie-Britannique </w:t>
      </w:r>
      <w:r w:rsidR="008747B0">
        <w:rPr>
          <w:lang w:val="fr-CA"/>
        </w:rPr>
        <w:t>sont à la disposition du public.</w:t>
      </w:r>
      <w:r w:rsidR="008747B0" w:rsidRPr="00DA0200">
        <w:rPr>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B07D" w14:textId="3E473852" w:rsidR="008747B0" w:rsidRPr="008747B0" w:rsidRDefault="008747B0">
    <w:pPr>
      <w:pStyle w:val="En-tte"/>
    </w:pPr>
    <w:fldSimple w:instr=" TITLE  \* MERGEFORMAT ">
      <w:r w:rsidR="00202237">
        <w:t>CERD/C/CAN/CO/21-23/Add.1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3528" w14:textId="6F68706B" w:rsidR="008747B0" w:rsidRPr="008747B0" w:rsidRDefault="008747B0" w:rsidP="008747B0">
    <w:pPr>
      <w:pStyle w:val="En-tte"/>
      <w:jc w:val="right"/>
    </w:pPr>
    <w:fldSimple w:instr=" TITLE  \* MERGEFORMAT ">
      <w:r w:rsidR="00202237">
        <w:t>CERD/C/CAN/CO/21-23/Add.1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3F6A"/>
    <w:rsid w:val="000006DA"/>
    <w:rsid w:val="00017F94"/>
    <w:rsid w:val="00023842"/>
    <w:rsid w:val="000334F9"/>
    <w:rsid w:val="0007796D"/>
    <w:rsid w:val="000B7790"/>
    <w:rsid w:val="00111F2F"/>
    <w:rsid w:val="00141FC0"/>
    <w:rsid w:val="0014365E"/>
    <w:rsid w:val="00176178"/>
    <w:rsid w:val="001B65D4"/>
    <w:rsid w:val="001C17A3"/>
    <w:rsid w:val="001E38BB"/>
    <w:rsid w:val="001F525A"/>
    <w:rsid w:val="00202237"/>
    <w:rsid w:val="00215BEC"/>
    <w:rsid w:val="00223272"/>
    <w:rsid w:val="0024779E"/>
    <w:rsid w:val="0038689A"/>
    <w:rsid w:val="00432F71"/>
    <w:rsid w:val="00446FE5"/>
    <w:rsid w:val="00452396"/>
    <w:rsid w:val="0047136B"/>
    <w:rsid w:val="004F094E"/>
    <w:rsid w:val="005346F1"/>
    <w:rsid w:val="005505B7"/>
    <w:rsid w:val="00573BE5"/>
    <w:rsid w:val="00586ED3"/>
    <w:rsid w:val="00596AA9"/>
    <w:rsid w:val="00623CA8"/>
    <w:rsid w:val="00704010"/>
    <w:rsid w:val="00712E6E"/>
    <w:rsid w:val="0071601D"/>
    <w:rsid w:val="00780585"/>
    <w:rsid w:val="00783E9F"/>
    <w:rsid w:val="007A62E6"/>
    <w:rsid w:val="007C04E4"/>
    <w:rsid w:val="0080684C"/>
    <w:rsid w:val="00871C75"/>
    <w:rsid w:val="008747B0"/>
    <w:rsid w:val="008776DC"/>
    <w:rsid w:val="00877853"/>
    <w:rsid w:val="008D1CF7"/>
    <w:rsid w:val="009705C8"/>
    <w:rsid w:val="00984B29"/>
    <w:rsid w:val="00996E66"/>
    <w:rsid w:val="009D5F1A"/>
    <w:rsid w:val="00A30353"/>
    <w:rsid w:val="00AA0B8E"/>
    <w:rsid w:val="00AC3823"/>
    <w:rsid w:val="00AE323C"/>
    <w:rsid w:val="00B00181"/>
    <w:rsid w:val="00B765F7"/>
    <w:rsid w:val="00BA0CA9"/>
    <w:rsid w:val="00BB0B66"/>
    <w:rsid w:val="00BF3F6A"/>
    <w:rsid w:val="00C02897"/>
    <w:rsid w:val="00D3439C"/>
    <w:rsid w:val="00D66245"/>
    <w:rsid w:val="00DB1831"/>
    <w:rsid w:val="00DC0149"/>
    <w:rsid w:val="00DD3BFD"/>
    <w:rsid w:val="00DF6678"/>
    <w:rsid w:val="00EC58E8"/>
    <w:rsid w:val="00EE74BD"/>
    <w:rsid w:val="00F20EC5"/>
    <w:rsid w:val="00F30206"/>
    <w:rsid w:val="00F660DF"/>
    <w:rsid w:val="00F8556F"/>
    <w:rsid w:val="00F95C08"/>
    <w:rsid w:val="00FF1F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14D005"/>
  <w15:docId w15:val="{0B3C3CF4-8A6E-4039-AB14-B78A4CC7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F316-DB97-4173-9E5B-97A09C7B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7</Pages>
  <Words>2253</Words>
  <Characters>18025</Characters>
  <Application>Microsoft Office Word</Application>
  <DocSecurity>0</DocSecurity>
  <Lines>2253</Lines>
  <Paragraphs>699</Paragraphs>
  <ScaleCrop>false</ScaleCrop>
  <HeadingPairs>
    <vt:vector size="2" baseType="variant">
      <vt:variant>
        <vt:lpstr>Titre</vt:lpstr>
      </vt:variant>
      <vt:variant>
        <vt:i4>1</vt:i4>
      </vt:variant>
    </vt:vector>
  </HeadingPairs>
  <TitlesOfParts>
    <vt:vector size="1" baseType="lpstr">
      <vt:lpstr>CERD/C/CAN/CO/21-23/Add.1</vt:lpstr>
    </vt:vector>
  </TitlesOfParts>
  <Company>DCM</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CERD/C/CAN/CO/21-23/Add.1</dc:title>
  <dc:subject/>
  <dc:creator>Valerie BERTIN</dc:creator>
  <cp:keywords/>
  <cp:lastModifiedBy>Valerie Bertin</cp:lastModifiedBy>
  <cp:revision>3</cp:revision>
  <cp:lastPrinted>2019-06-25T11:14:00Z</cp:lastPrinted>
  <dcterms:created xsi:type="dcterms:W3CDTF">2019-06-25T11:14:00Z</dcterms:created>
  <dcterms:modified xsi:type="dcterms:W3CDTF">2019-06-25T11:16:00Z</dcterms:modified>
</cp:coreProperties>
</file>