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RPr="00A079D3" w:rsidTr="00384525">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0D30CF"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A079D3" w:rsidRDefault="00FD615B" w:rsidP="00031FAA">
            <w:pPr>
              <w:jc w:val="right"/>
            </w:pPr>
            <w:r w:rsidRPr="00583FA7">
              <w:rPr>
                <w:sz w:val="40"/>
                <w:szCs w:val="40"/>
              </w:rPr>
              <w:t>CAT</w:t>
            </w:r>
            <w:r w:rsidR="002D3742">
              <w:t>/C/</w:t>
            </w:r>
            <w:r w:rsidR="0064422C">
              <w:t>I</w:t>
            </w:r>
            <w:r w:rsidR="009678F7">
              <w:t>RL</w:t>
            </w:r>
            <w:r w:rsidR="00FA27D1">
              <w:t>/</w:t>
            </w:r>
            <w:r w:rsidR="00BE32C5">
              <w:t>Q</w:t>
            </w:r>
            <w:r w:rsidR="00996A99">
              <w:t>PR</w:t>
            </w:r>
            <w:r w:rsidR="009678F7">
              <w:t>/2</w:t>
            </w:r>
          </w:p>
        </w:tc>
      </w:tr>
      <w:tr w:rsidR="00B56E9C" w:rsidRPr="00B522E9" w:rsidTr="00384525">
        <w:trPr>
          <w:cantSplit/>
          <w:trHeight w:hRule="exact" w:val="2835"/>
        </w:trPr>
        <w:tc>
          <w:tcPr>
            <w:tcW w:w="1276" w:type="dxa"/>
            <w:tcBorders>
              <w:top w:val="single" w:sz="4" w:space="0" w:color="auto"/>
              <w:bottom w:val="single" w:sz="12" w:space="0" w:color="auto"/>
            </w:tcBorders>
          </w:tcPr>
          <w:p w:rsidR="00B56E9C" w:rsidRPr="00A079D3" w:rsidRDefault="003C5F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F57D7" w:rsidRDefault="003C5F9B" w:rsidP="00267F5F">
            <w:pPr>
              <w:spacing w:before="120" w:line="380" w:lineRule="exact"/>
              <w:rPr>
                <w:sz w:val="34"/>
              </w:rPr>
            </w:pPr>
            <w:r w:rsidRPr="00165DA0">
              <w:rPr>
                <w:b/>
                <w:sz w:val="34"/>
                <w:szCs w:val="40"/>
              </w:rPr>
              <w:t>Convention against Torture</w:t>
            </w:r>
            <w:r w:rsidRPr="00165DA0">
              <w:rPr>
                <w:b/>
                <w:sz w:val="34"/>
                <w:szCs w:val="40"/>
              </w:rPr>
              <w:br/>
              <w:t>and Other Cruel, Inhuman</w:t>
            </w:r>
            <w:r w:rsidRPr="00165DA0">
              <w:rPr>
                <w:b/>
                <w:sz w:val="34"/>
                <w:szCs w:val="40"/>
              </w:rPr>
              <w:br/>
              <w:t>or Degrading Treatment</w:t>
            </w:r>
            <w:r w:rsidRPr="00165DA0">
              <w:rPr>
                <w:b/>
                <w:sz w:val="34"/>
                <w:szCs w:val="40"/>
              </w:rPr>
              <w:br/>
              <w:t>or Punishment</w:t>
            </w:r>
          </w:p>
        </w:tc>
        <w:tc>
          <w:tcPr>
            <w:tcW w:w="2835" w:type="dxa"/>
            <w:tcBorders>
              <w:top w:val="single" w:sz="4" w:space="0" w:color="auto"/>
              <w:bottom w:val="single" w:sz="12" w:space="0" w:color="auto"/>
            </w:tcBorders>
          </w:tcPr>
          <w:p w:rsidR="00FD615B" w:rsidRPr="00CB24E0" w:rsidRDefault="00B522E9" w:rsidP="00FD615B">
            <w:pPr>
              <w:spacing w:before="240" w:line="240" w:lineRule="exact"/>
              <w:rPr>
                <w:lang w:val="en-US"/>
              </w:rPr>
            </w:pPr>
            <w:r w:rsidRPr="00462992">
              <w:rPr>
                <w:lang w:val="en-US"/>
              </w:rPr>
              <w:t xml:space="preserve">Distr.: </w:t>
            </w:r>
            <w:r w:rsidR="00031FAA" w:rsidRPr="00462992">
              <w:rPr>
                <w:lang w:val="en-US"/>
              </w:rPr>
              <w:t>General</w:t>
            </w:r>
          </w:p>
          <w:p w:rsidR="00FD615B" w:rsidRPr="00A2017E" w:rsidRDefault="00A7767E" w:rsidP="00FA43DD">
            <w:pPr>
              <w:spacing w:line="240" w:lineRule="exact"/>
              <w:rPr>
                <w:lang w:val="en-US"/>
              </w:rPr>
            </w:pPr>
            <w:r>
              <w:rPr>
                <w:lang w:val="en-US"/>
              </w:rPr>
              <w:t>1</w:t>
            </w:r>
            <w:r w:rsidR="0094228B">
              <w:rPr>
                <w:lang w:val="en-US"/>
              </w:rPr>
              <w:t>7</w:t>
            </w:r>
            <w:r>
              <w:rPr>
                <w:lang w:val="en-US"/>
              </w:rPr>
              <w:t xml:space="preserve"> </w:t>
            </w:r>
            <w:r w:rsidR="00A2017E" w:rsidRPr="00A7767E">
              <w:rPr>
                <w:lang w:val="en-US"/>
              </w:rPr>
              <w:t xml:space="preserve">December </w:t>
            </w:r>
            <w:r w:rsidR="00FD615B" w:rsidRPr="009909C8">
              <w:rPr>
                <w:lang w:val="en-US"/>
              </w:rPr>
              <w:t>201</w:t>
            </w:r>
            <w:r w:rsidR="009678F7" w:rsidRPr="009909C8">
              <w:rPr>
                <w:lang w:val="en-US"/>
              </w:rPr>
              <w:t>3</w:t>
            </w:r>
          </w:p>
          <w:p w:rsidR="00FD615B" w:rsidRPr="00EB61D5" w:rsidRDefault="00FD615B" w:rsidP="00FD615B">
            <w:pPr>
              <w:spacing w:line="240" w:lineRule="exact"/>
              <w:rPr>
                <w:lang w:val="en-US"/>
              </w:rPr>
            </w:pPr>
          </w:p>
          <w:p w:rsidR="00B56E9C" w:rsidRPr="00AE73FD" w:rsidRDefault="00FD615B" w:rsidP="00FD615B">
            <w:pPr>
              <w:spacing w:line="240" w:lineRule="exact"/>
              <w:rPr>
                <w:lang w:val="en-US"/>
              </w:rPr>
            </w:pPr>
            <w:r w:rsidRPr="00AE73FD">
              <w:rPr>
                <w:lang w:val="en-US"/>
              </w:rPr>
              <w:t xml:space="preserve">Original: </w:t>
            </w:r>
            <w:r w:rsidR="00B522E9" w:rsidRPr="00AE73FD">
              <w:rPr>
                <w:lang w:val="en-US"/>
              </w:rPr>
              <w:t>English</w:t>
            </w:r>
          </w:p>
        </w:tc>
      </w:tr>
    </w:tbl>
    <w:p w:rsidR="00DB2BA9" w:rsidRPr="00D107C4" w:rsidRDefault="00DB2BA9" w:rsidP="00DB2BA9">
      <w:pPr>
        <w:spacing w:before="120"/>
        <w:rPr>
          <w:b/>
          <w:sz w:val="24"/>
          <w:szCs w:val="24"/>
        </w:rPr>
      </w:pPr>
      <w:r w:rsidRPr="00D107C4">
        <w:rPr>
          <w:b/>
          <w:sz w:val="24"/>
          <w:szCs w:val="24"/>
        </w:rPr>
        <w:t>Committee against Torture</w:t>
      </w:r>
      <w:r w:rsidR="00BA531E">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p>
    <w:p w:rsidR="0064422C" w:rsidRDefault="00DB2BA9" w:rsidP="00362CA4">
      <w:pPr>
        <w:pStyle w:val="HChG"/>
        <w:rPr>
          <w:b w:val="0"/>
          <w:sz w:val="20"/>
        </w:rPr>
      </w:pPr>
      <w:r>
        <w:tab/>
      </w:r>
      <w:r>
        <w:tab/>
      </w:r>
      <w:r w:rsidR="00996A99">
        <w:t>L</w:t>
      </w:r>
      <w:r w:rsidR="0064422C" w:rsidRPr="0064422C">
        <w:t>ist of issues prio</w:t>
      </w:r>
      <w:r w:rsidR="0064422C">
        <w:t xml:space="preserve">r to submission of the </w:t>
      </w:r>
      <w:r w:rsidR="00AD3015">
        <w:t>second</w:t>
      </w:r>
      <w:r w:rsidR="0064422C" w:rsidRPr="0064422C">
        <w:t xml:space="preserve"> periodic </w:t>
      </w:r>
      <w:r w:rsidR="00C04749">
        <w:t>report of Ireland</w:t>
      </w:r>
      <w:r w:rsidR="00EE005D" w:rsidRPr="00F92B05">
        <w:rPr>
          <w:rStyle w:val="FootnoteReference"/>
          <w:b w:val="0"/>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462649" w:rsidTr="003C20E1">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462649" w:rsidRDefault="00462649" w:rsidP="003C20E1">
            <w:pPr>
              <w:suppressAutoHyphens w:val="0"/>
              <w:spacing w:line="240" w:lineRule="auto"/>
            </w:pPr>
          </w:p>
        </w:tc>
      </w:tr>
      <w:tr w:rsidR="00462649" w:rsidTr="003C20E1">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462649" w:rsidRDefault="00462649" w:rsidP="003C20E1">
            <w:pPr>
              <w:spacing w:after="120"/>
              <w:jc w:val="both"/>
            </w:pPr>
            <w:r>
              <w:tab/>
            </w:r>
            <w:r w:rsidRPr="008B3375">
              <w:t>The Committee against Torture, at its thirty-</w:t>
            </w:r>
            <w:r>
              <w:t>eighth session (A/62/44, paras. </w:t>
            </w:r>
            <w:r w:rsidRPr="008B3375">
              <w:t>23 and 24), established an optional procedure which consists in the preparation and adoption of a list of issues to be transmitted to the State party concerned prior to the submission of its periodic report. The replies of the State party to this list of issues will constitute its report under article 19 of the Convention.</w:t>
            </w:r>
          </w:p>
        </w:tc>
      </w:tr>
      <w:tr w:rsidR="00462649" w:rsidTr="003C20E1">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462649" w:rsidRDefault="00462649" w:rsidP="003C20E1">
            <w:pPr>
              <w:suppressAutoHyphens w:val="0"/>
              <w:spacing w:line="240" w:lineRule="auto"/>
            </w:pPr>
          </w:p>
        </w:tc>
      </w:tr>
    </w:tbl>
    <w:p w:rsidR="0064422C" w:rsidRPr="0064422C" w:rsidRDefault="00937E70" w:rsidP="00937E70">
      <w:pPr>
        <w:pStyle w:val="H23G"/>
      </w:pPr>
      <w:r>
        <w:tab/>
      </w:r>
      <w:r>
        <w:tab/>
      </w:r>
      <w:r w:rsidR="0064422C" w:rsidRPr="0064422C">
        <w:t>Article 2</w:t>
      </w:r>
      <w:r w:rsidR="0064422C" w:rsidRPr="009909C8">
        <w:rPr>
          <w:rStyle w:val="FootnoteReference"/>
          <w:b w:val="0"/>
          <w:bCs/>
        </w:rPr>
        <w:footnoteReference w:id="3"/>
      </w:r>
    </w:p>
    <w:p w:rsidR="00CA703C" w:rsidRDefault="00595134" w:rsidP="001243AF">
      <w:pPr>
        <w:pStyle w:val="SingleTxtG"/>
        <w:numPr>
          <w:ilvl w:val="0"/>
          <w:numId w:val="21"/>
        </w:numPr>
        <w:tabs>
          <w:tab w:val="clear" w:pos="2988"/>
        </w:tabs>
        <w:ind w:left="1134" w:firstLine="0"/>
        <w:rPr>
          <w:lang w:eastAsia="es-ES"/>
        </w:rPr>
      </w:pPr>
      <w:r w:rsidRPr="0064422C">
        <w:rPr>
          <w:lang w:eastAsia="es-ES"/>
        </w:rPr>
        <w:t xml:space="preserve">With reference to </w:t>
      </w:r>
      <w:r w:rsidRPr="0064422C">
        <w:t>the</w:t>
      </w:r>
      <w:r w:rsidRPr="0064422C">
        <w:rPr>
          <w:lang w:eastAsia="es-ES"/>
        </w:rPr>
        <w:t xml:space="preserve"> Committee’s previous concluding observations</w:t>
      </w:r>
      <w:r>
        <w:rPr>
          <w:lang w:eastAsia="es-ES"/>
        </w:rPr>
        <w:t xml:space="preserve"> </w:t>
      </w:r>
      <w:r w:rsidR="00543903">
        <w:rPr>
          <w:lang w:eastAsia="es-ES"/>
        </w:rPr>
        <w:t>(</w:t>
      </w:r>
      <w:r w:rsidR="00AE73FD" w:rsidRPr="00AE73FD">
        <w:rPr>
          <w:lang w:eastAsia="es-ES"/>
        </w:rPr>
        <w:t>CAT/C/IRL/</w:t>
      </w:r>
      <w:r w:rsidR="00AE73FD">
        <w:rPr>
          <w:lang w:eastAsia="es-ES"/>
        </w:rPr>
        <w:t>CO/</w:t>
      </w:r>
      <w:r w:rsidR="00AE73FD" w:rsidRPr="00AE73FD">
        <w:rPr>
          <w:lang w:eastAsia="es-ES"/>
        </w:rPr>
        <w:t>1</w:t>
      </w:r>
      <w:r w:rsidR="001243AF">
        <w:rPr>
          <w:lang w:eastAsia="es-ES"/>
        </w:rPr>
        <w:t>,</w:t>
      </w:r>
      <w:r w:rsidR="00AE73FD" w:rsidRPr="00AE73FD">
        <w:rPr>
          <w:lang w:eastAsia="es-ES"/>
        </w:rPr>
        <w:t xml:space="preserve"> </w:t>
      </w:r>
      <w:r w:rsidR="00543903">
        <w:rPr>
          <w:lang w:eastAsia="es-ES"/>
        </w:rPr>
        <w:t>para.</w:t>
      </w:r>
      <w:r w:rsidR="001243AF">
        <w:rPr>
          <w:lang w:eastAsia="es-ES"/>
        </w:rPr>
        <w:t xml:space="preserve"> </w:t>
      </w:r>
      <w:r w:rsidR="007A6E2F">
        <w:rPr>
          <w:lang w:eastAsia="es-ES"/>
        </w:rPr>
        <w:t>8</w:t>
      </w:r>
      <w:r w:rsidR="0064422C" w:rsidRPr="0064422C">
        <w:rPr>
          <w:lang w:eastAsia="es-ES"/>
        </w:rPr>
        <w:t>)</w:t>
      </w:r>
      <w:r w:rsidR="000237D3">
        <w:rPr>
          <w:lang w:eastAsia="es-ES"/>
        </w:rPr>
        <w:t>,</w:t>
      </w:r>
      <w:r w:rsidR="00A87CA5">
        <w:rPr>
          <w:lang w:eastAsia="es-ES"/>
        </w:rPr>
        <w:t xml:space="preserve"> </w:t>
      </w:r>
      <w:r w:rsidR="00E4007F">
        <w:rPr>
          <w:lang w:eastAsia="es-ES"/>
        </w:rPr>
        <w:t>the State party’s follow-up repl</w:t>
      </w:r>
      <w:r w:rsidR="00CD7CB6">
        <w:rPr>
          <w:lang w:eastAsia="es-ES"/>
        </w:rPr>
        <w:t>ies</w:t>
      </w:r>
      <w:r w:rsidR="001243AF">
        <w:rPr>
          <w:lang w:eastAsia="es-ES"/>
        </w:rPr>
        <w:t xml:space="preserve"> (</w:t>
      </w:r>
      <w:r w:rsidR="001243AF" w:rsidRPr="00AE73FD">
        <w:rPr>
          <w:lang w:eastAsia="es-ES"/>
        </w:rPr>
        <w:t>CAT/C/IRL/</w:t>
      </w:r>
      <w:r w:rsidR="001243AF">
        <w:rPr>
          <w:lang w:eastAsia="es-ES"/>
        </w:rPr>
        <w:t>CO/</w:t>
      </w:r>
      <w:r w:rsidR="001243AF" w:rsidRPr="00AE73FD">
        <w:rPr>
          <w:lang w:eastAsia="es-ES"/>
        </w:rPr>
        <w:t>1</w:t>
      </w:r>
      <w:r w:rsidR="001243AF">
        <w:rPr>
          <w:lang w:eastAsia="es-ES"/>
        </w:rPr>
        <w:t>/add.1)</w:t>
      </w:r>
      <w:r w:rsidR="000237D3">
        <w:rPr>
          <w:lang w:eastAsia="es-ES"/>
        </w:rPr>
        <w:t xml:space="preserve"> and the request for clarification by the  Rapporteur for </w:t>
      </w:r>
      <w:r w:rsidR="00B65C78">
        <w:rPr>
          <w:lang w:eastAsia="es-ES"/>
        </w:rPr>
        <w:t xml:space="preserve">the </w:t>
      </w:r>
      <w:r w:rsidR="001243AF">
        <w:rPr>
          <w:lang w:eastAsia="es-ES"/>
        </w:rPr>
        <w:t>f</w:t>
      </w:r>
      <w:r w:rsidR="000237D3">
        <w:rPr>
          <w:lang w:eastAsia="es-ES"/>
        </w:rPr>
        <w:t>ollow</w:t>
      </w:r>
      <w:r w:rsidR="001243AF">
        <w:rPr>
          <w:lang w:eastAsia="es-ES"/>
        </w:rPr>
        <w:t>-</w:t>
      </w:r>
      <w:r w:rsidR="000237D3">
        <w:rPr>
          <w:lang w:eastAsia="es-ES"/>
        </w:rPr>
        <w:t xml:space="preserve">up on </w:t>
      </w:r>
      <w:r w:rsidR="001243AF">
        <w:rPr>
          <w:lang w:eastAsia="es-ES"/>
        </w:rPr>
        <w:t>the concluding observations</w:t>
      </w:r>
      <w:r w:rsidR="00B65C78">
        <w:rPr>
          <w:lang w:eastAsia="es-ES"/>
        </w:rPr>
        <w:t xml:space="preserve"> of the Committee dated 22 May 2013</w:t>
      </w:r>
      <w:r w:rsidR="000237D3">
        <w:rPr>
          <w:lang w:eastAsia="es-ES"/>
        </w:rPr>
        <w:t>,</w:t>
      </w:r>
      <w:r w:rsidR="0064422C" w:rsidRPr="0064422C">
        <w:rPr>
          <w:lang w:eastAsia="es-ES"/>
        </w:rPr>
        <w:t xml:space="preserve"> please </w:t>
      </w:r>
      <w:r w:rsidR="007A6E2F">
        <w:rPr>
          <w:lang w:eastAsia="es-ES"/>
        </w:rPr>
        <w:t>provide information on</w:t>
      </w:r>
      <w:r w:rsidR="00CA703C">
        <w:rPr>
          <w:lang w:eastAsia="es-ES"/>
        </w:rPr>
        <w:t>:</w:t>
      </w:r>
    </w:p>
    <w:p w:rsidR="00CA703C" w:rsidRDefault="00937E70" w:rsidP="00362CA4">
      <w:pPr>
        <w:pStyle w:val="SingleTxtG"/>
        <w:rPr>
          <w:lang w:eastAsia="es-ES"/>
        </w:rPr>
      </w:pPr>
      <w:r>
        <w:rPr>
          <w:lang w:eastAsia="es-ES"/>
        </w:rPr>
        <w:tab/>
        <w:t>(</w:t>
      </w:r>
      <w:r w:rsidR="00CA703C">
        <w:rPr>
          <w:lang w:eastAsia="es-ES"/>
        </w:rPr>
        <w:t>a)</w:t>
      </w:r>
      <w:r w:rsidR="00CA703C">
        <w:rPr>
          <w:lang w:eastAsia="es-ES"/>
        </w:rPr>
        <w:tab/>
        <w:t>T</w:t>
      </w:r>
      <w:r w:rsidR="00CD7CB6">
        <w:rPr>
          <w:lang w:eastAsia="es-ES"/>
        </w:rPr>
        <w:t xml:space="preserve">he status of the </w:t>
      </w:r>
      <w:r w:rsidR="00A92B63">
        <w:rPr>
          <w:lang w:eastAsia="es-ES"/>
        </w:rPr>
        <w:t xml:space="preserve">merger between the Irish Human Rights Commission and the Equality Authority with a view to the </w:t>
      </w:r>
      <w:r w:rsidR="00153DD0">
        <w:rPr>
          <w:lang w:eastAsia="es-ES"/>
        </w:rPr>
        <w:t xml:space="preserve">establishment of the </w:t>
      </w:r>
      <w:r w:rsidR="00CD7CB6">
        <w:rPr>
          <w:lang w:eastAsia="es-ES"/>
        </w:rPr>
        <w:t>new Irish Human Rights and Equality Commission</w:t>
      </w:r>
      <w:r w:rsidR="00CD7CB6">
        <w:rPr>
          <w:rStyle w:val="FootnoteReference"/>
          <w:lang w:eastAsia="es-ES"/>
        </w:rPr>
        <w:footnoteReference w:id="4"/>
      </w:r>
      <w:r w:rsidR="00CA703C">
        <w:rPr>
          <w:lang w:eastAsia="es-ES"/>
        </w:rPr>
        <w:t xml:space="preserve"> and whether a</w:t>
      </w:r>
      <w:r w:rsidR="000237D3">
        <w:rPr>
          <w:lang w:eastAsia="es-ES"/>
        </w:rPr>
        <w:t xml:space="preserve"> chief commissioner has been </w:t>
      </w:r>
      <w:r w:rsidR="00CA703C">
        <w:rPr>
          <w:lang w:eastAsia="es-ES"/>
        </w:rPr>
        <w:t>appointed</w:t>
      </w:r>
      <w:r w:rsidR="000237D3">
        <w:rPr>
          <w:lang w:eastAsia="es-ES"/>
        </w:rPr>
        <w:t>;</w:t>
      </w:r>
      <w:r w:rsidR="00CA703C">
        <w:rPr>
          <w:rStyle w:val="FootnoteReference"/>
          <w:lang w:eastAsia="es-ES"/>
        </w:rPr>
        <w:footnoteReference w:id="5"/>
      </w:r>
    </w:p>
    <w:p w:rsidR="00CA703C" w:rsidRDefault="00937E70" w:rsidP="00362CA4">
      <w:pPr>
        <w:pStyle w:val="SingleTxtG"/>
        <w:rPr>
          <w:lang w:eastAsia="es-ES"/>
        </w:rPr>
      </w:pPr>
      <w:r>
        <w:rPr>
          <w:lang w:eastAsia="es-ES"/>
        </w:rPr>
        <w:tab/>
        <w:t>(</w:t>
      </w:r>
      <w:r w:rsidR="00CA703C">
        <w:rPr>
          <w:lang w:eastAsia="es-ES"/>
        </w:rPr>
        <w:t>b)</w:t>
      </w:r>
      <w:r w:rsidR="00CA703C">
        <w:rPr>
          <w:lang w:eastAsia="es-ES"/>
        </w:rPr>
        <w:tab/>
        <w:t xml:space="preserve">Whether the </w:t>
      </w:r>
      <w:r w:rsidR="001243AF">
        <w:rPr>
          <w:lang w:eastAsia="es-ES"/>
        </w:rPr>
        <w:t xml:space="preserve">new Commission </w:t>
      </w:r>
      <w:r w:rsidR="000237D3">
        <w:rPr>
          <w:lang w:eastAsia="es-ES"/>
        </w:rPr>
        <w:t>retained funds saved as a result of the merger</w:t>
      </w:r>
      <w:r w:rsidR="001E4B64">
        <w:rPr>
          <w:lang w:eastAsia="es-ES"/>
        </w:rPr>
        <w:t>,</w:t>
      </w:r>
      <w:r w:rsidR="000237D3">
        <w:rPr>
          <w:lang w:eastAsia="es-ES"/>
        </w:rPr>
        <w:t xml:space="preserve"> as set out in the </w:t>
      </w:r>
      <w:r w:rsidR="001243AF">
        <w:rPr>
          <w:lang w:eastAsia="es-ES"/>
        </w:rPr>
        <w:t xml:space="preserve">response of the State Party </w:t>
      </w:r>
      <w:r w:rsidR="000237D3">
        <w:rPr>
          <w:lang w:eastAsia="es-ES"/>
        </w:rPr>
        <w:t xml:space="preserve">to the Rapporteur </w:t>
      </w:r>
      <w:r w:rsidR="00B65C78">
        <w:rPr>
          <w:lang w:eastAsia="es-ES"/>
        </w:rPr>
        <w:t>for the follow-up dated</w:t>
      </w:r>
      <w:r w:rsidR="001243AF">
        <w:rPr>
          <w:lang w:eastAsia="es-ES"/>
        </w:rPr>
        <w:t xml:space="preserve"> 8 August 2013</w:t>
      </w:r>
      <w:r w:rsidR="001E4B64">
        <w:rPr>
          <w:lang w:eastAsia="es-ES"/>
        </w:rPr>
        <w:t>,</w:t>
      </w:r>
      <w:r w:rsidR="000237D3">
        <w:rPr>
          <w:lang w:eastAsia="es-ES"/>
        </w:rPr>
        <w:t xml:space="preserve"> and if so, how much and for what purposes were funds used. Please clarify whether the </w:t>
      </w:r>
      <w:r w:rsidR="001243AF">
        <w:rPr>
          <w:lang w:eastAsia="es-ES"/>
        </w:rPr>
        <w:t xml:space="preserve">new Commission </w:t>
      </w:r>
      <w:r w:rsidR="00CA703C">
        <w:rPr>
          <w:lang w:eastAsia="es-ES"/>
        </w:rPr>
        <w:t>enjo</w:t>
      </w:r>
      <w:r w:rsidR="00153DD0">
        <w:rPr>
          <w:lang w:eastAsia="es-ES"/>
        </w:rPr>
        <w:t>y</w:t>
      </w:r>
      <w:r w:rsidR="000237D3">
        <w:rPr>
          <w:lang w:eastAsia="es-ES"/>
        </w:rPr>
        <w:t>s</w:t>
      </w:r>
      <w:r w:rsidR="00153DD0">
        <w:rPr>
          <w:lang w:eastAsia="es-ES"/>
        </w:rPr>
        <w:t xml:space="preserve"> full financial autonomy</w:t>
      </w:r>
      <w:r w:rsidR="002A33AB">
        <w:rPr>
          <w:lang w:eastAsia="es-ES"/>
        </w:rPr>
        <w:t xml:space="preserve"> </w:t>
      </w:r>
      <w:r w:rsidR="000237D3">
        <w:rPr>
          <w:lang w:eastAsia="es-ES"/>
        </w:rPr>
        <w:t xml:space="preserve">and </w:t>
      </w:r>
      <w:r w:rsidR="00C61B41">
        <w:rPr>
          <w:lang w:eastAsia="es-ES"/>
        </w:rPr>
        <w:t>i</w:t>
      </w:r>
      <w:r w:rsidR="000237D3">
        <w:rPr>
          <w:lang w:eastAsia="es-ES"/>
        </w:rPr>
        <w:t xml:space="preserve">s fully </w:t>
      </w:r>
      <w:r w:rsidR="00C61B41">
        <w:rPr>
          <w:lang w:eastAsia="es-ES"/>
        </w:rPr>
        <w:t xml:space="preserve">independent from </w:t>
      </w:r>
      <w:r w:rsidR="001243AF">
        <w:rPr>
          <w:lang w:eastAsia="es-ES"/>
        </w:rPr>
        <w:t>G</w:t>
      </w:r>
      <w:r w:rsidR="00C61B41">
        <w:rPr>
          <w:lang w:eastAsia="es-ES"/>
        </w:rPr>
        <w:t>overnment departments</w:t>
      </w:r>
      <w:r w:rsidR="00FC5726">
        <w:rPr>
          <w:lang w:eastAsia="es-ES"/>
        </w:rPr>
        <w:t>, notably from the Department of Justice and Equality,</w:t>
      </w:r>
      <w:r w:rsidR="000237D3">
        <w:rPr>
          <w:lang w:eastAsia="es-ES"/>
        </w:rPr>
        <w:t xml:space="preserve"> and</w:t>
      </w:r>
      <w:r w:rsidR="002A33AB">
        <w:rPr>
          <w:lang w:eastAsia="es-ES"/>
        </w:rPr>
        <w:t xml:space="preserve"> directly accountable to </w:t>
      </w:r>
      <w:r w:rsidR="001243AF">
        <w:rPr>
          <w:lang w:eastAsia="es-ES"/>
        </w:rPr>
        <w:t>p</w:t>
      </w:r>
      <w:r w:rsidR="002A33AB">
        <w:rPr>
          <w:lang w:eastAsia="es-ES"/>
        </w:rPr>
        <w:t>arliament</w:t>
      </w:r>
      <w:r w:rsidR="00C61B41">
        <w:rPr>
          <w:lang w:eastAsia="es-ES"/>
        </w:rPr>
        <w:t>, in line with the principles relating to the status of national institutions for the promotion and protection of human rights (Paris Principles)</w:t>
      </w:r>
      <w:r w:rsidR="00CA703C">
        <w:rPr>
          <w:lang w:eastAsia="es-ES"/>
        </w:rPr>
        <w:t>;</w:t>
      </w:r>
    </w:p>
    <w:p w:rsidR="00CD7CB6" w:rsidRDefault="00937E70" w:rsidP="00362CA4">
      <w:pPr>
        <w:pStyle w:val="SingleTxtG"/>
        <w:rPr>
          <w:lang w:eastAsia="es-ES"/>
        </w:rPr>
      </w:pPr>
      <w:r>
        <w:rPr>
          <w:lang w:eastAsia="es-ES"/>
        </w:rPr>
        <w:tab/>
        <w:t>(</w:t>
      </w:r>
      <w:r w:rsidR="008C4AA1">
        <w:rPr>
          <w:lang w:eastAsia="es-ES"/>
        </w:rPr>
        <w:t>c)</w:t>
      </w:r>
      <w:r w:rsidR="008C4AA1">
        <w:rPr>
          <w:lang w:eastAsia="es-ES"/>
        </w:rPr>
        <w:tab/>
        <w:t>Wheth</w:t>
      </w:r>
      <w:r w:rsidR="00CA703C">
        <w:rPr>
          <w:lang w:eastAsia="es-ES"/>
        </w:rPr>
        <w:t>e</w:t>
      </w:r>
      <w:r w:rsidR="008C4AA1">
        <w:rPr>
          <w:lang w:eastAsia="es-ES"/>
        </w:rPr>
        <w:t>r</w:t>
      </w:r>
      <w:r w:rsidR="00C61B41">
        <w:rPr>
          <w:lang w:eastAsia="es-ES"/>
        </w:rPr>
        <w:t xml:space="preserve"> </w:t>
      </w:r>
      <w:r w:rsidR="00661AAF">
        <w:rPr>
          <w:lang w:eastAsia="es-ES"/>
        </w:rPr>
        <w:t xml:space="preserve">appropriate </w:t>
      </w:r>
      <w:r w:rsidR="00CD7CB6">
        <w:rPr>
          <w:lang w:eastAsia="es-ES"/>
        </w:rPr>
        <w:t xml:space="preserve">funding </w:t>
      </w:r>
      <w:r w:rsidR="00C61B41">
        <w:rPr>
          <w:lang w:eastAsia="es-ES"/>
        </w:rPr>
        <w:t xml:space="preserve">for </w:t>
      </w:r>
      <w:r w:rsidR="001243AF">
        <w:rPr>
          <w:lang w:eastAsia="es-ES"/>
        </w:rPr>
        <w:t xml:space="preserve">the new Commission has </w:t>
      </w:r>
      <w:r w:rsidR="00CD7CB6">
        <w:rPr>
          <w:lang w:eastAsia="es-ES"/>
        </w:rPr>
        <w:t>been addressed in the context of the 2013</w:t>
      </w:r>
      <w:r w:rsidR="00292C11">
        <w:rPr>
          <w:lang w:eastAsia="es-ES"/>
        </w:rPr>
        <w:t xml:space="preserve"> and subsequent</w:t>
      </w:r>
      <w:r w:rsidR="00CD7CB6">
        <w:rPr>
          <w:lang w:eastAsia="es-ES"/>
        </w:rPr>
        <w:t xml:space="preserve"> </w:t>
      </w:r>
      <w:r w:rsidR="001243AF">
        <w:rPr>
          <w:lang w:eastAsia="es-ES"/>
        </w:rPr>
        <w:t>budgets</w:t>
      </w:r>
      <w:r w:rsidR="003524E4">
        <w:rPr>
          <w:lang w:eastAsia="es-ES"/>
        </w:rPr>
        <w:t>,</w:t>
      </w:r>
      <w:r w:rsidR="00CD7CB6">
        <w:rPr>
          <w:rStyle w:val="FootnoteReference"/>
          <w:lang w:eastAsia="es-ES"/>
        </w:rPr>
        <w:footnoteReference w:id="6"/>
      </w:r>
      <w:r w:rsidR="000A641A">
        <w:rPr>
          <w:lang w:eastAsia="es-ES"/>
        </w:rPr>
        <w:t xml:space="preserve"> as well as the need for appropriate staffing level</w:t>
      </w:r>
      <w:r w:rsidR="003C3180">
        <w:rPr>
          <w:lang w:eastAsia="es-ES"/>
        </w:rPr>
        <w:t>s,</w:t>
      </w:r>
      <w:r w:rsidR="003524E4">
        <w:rPr>
          <w:lang w:eastAsia="es-ES"/>
        </w:rPr>
        <w:t xml:space="preserve"> </w:t>
      </w:r>
      <w:r w:rsidR="003C3180">
        <w:rPr>
          <w:lang w:eastAsia="es-ES"/>
        </w:rPr>
        <w:t xml:space="preserve">without secondment from </w:t>
      </w:r>
      <w:r w:rsidR="003524E4">
        <w:rPr>
          <w:lang w:eastAsia="es-ES"/>
        </w:rPr>
        <w:t xml:space="preserve">the </w:t>
      </w:r>
      <w:r w:rsidR="003C3180">
        <w:rPr>
          <w:lang w:eastAsia="es-ES"/>
        </w:rPr>
        <w:t>civil service</w:t>
      </w:r>
      <w:r w:rsidR="003C3180">
        <w:rPr>
          <w:rStyle w:val="FootnoteReference"/>
          <w:lang w:eastAsia="es-ES"/>
        </w:rPr>
        <w:footnoteReference w:id="7"/>
      </w:r>
      <w:r w:rsidR="000237D3">
        <w:rPr>
          <w:lang w:eastAsia="es-ES"/>
        </w:rPr>
        <w:t xml:space="preserve">; has the </w:t>
      </w:r>
      <w:r w:rsidR="003524E4">
        <w:rPr>
          <w:lang w:eastAsia="es-ES"/>
        </w:rPr>
        <w:t xml:space="preserve">Commission </w:t>
      </w:r>
      <w:r w:rsidR="000237D3">
        <w:rPr>
          <w:lang w:eastAsia="es-ES"/>
        </w:rPr>
        <w:t>or another body been designated as a national human rights institution</w:t>
      </w:r>
      <w:r w:rsidR="003524E4">
        <w:rPr>
          <w:lang w:eastAsia="es-ES"/>
        </w:rPr>
        <w:t>?</w:t>
      </w:r>
    </w:p>
    <w:p w:rsidR="007A4886" w:rsidRDefault="007A4886" w:rsidP="009909C8">
      <w:pPr>
        <w:pStyle w:val="SingleTxtG"/>
        <w:numPr>
          <w:ilvl w:val="0"/>
          <w:numId w:val="21"/>
        </w:numPr>
        <w:tabs>
          <w:tab w:val="clear" w:pos="2988"/>
        </w:tabs>
        <w:ind w:left="1134" w:firstLine="0"/>
        <w:rPr>
          <w:lang w:eastAsia="es-ES"/>
        </w:rPr>
      </w:pPr>
      <w:r w:rsidRPr="0064422C">
        <w:rPr>
          <w:lang w:eastAsia="es-ES"/>
        </w:rPr>
        <w:t>In light of the Committee’s p</w:t>
      </w:r>
      <w:r>
        <w:rPr>
          <w:lang w:eastAsia="es-ES"/>
        </w:rPr>
        <w:t>revious concluding observations and noting the State party’s articulated commitment to develop</w:t>
      </w:r>
      <w:r w:rsidR="003524E4">
        <w:rPr>
          <w:lang w:eastAsia="es-ES"/>
        </w:rPr>
        <w:t>ing</w:t>
      </w:r>
      <w:r>
        <w:rPr>
          <w:lang w:eastAsia="es-ES"/>
        </w:rPr>
        <w:t xml:space="preserve"> standards for suspects and accused persons</w:t>
      </w:r>
      <w:r w:rsidR="003524E4">
        <w:rPr>
          <w:lang w:eastAsia="es-ES"/>
        </w:rPr>
        <w:t xml:space="preserve"> from the European Union</w:t>
      </w:r>
      <w:r>
        <w:rPr>
          <w:lang w:eastAsia="es-ES"/>
        </w:rPr>
        <w:t>, please outline the State party’s position regarding access to a lawyer in criminal proceedings and the right to notify a relative or other person promptly following a person being detained or arrested</w:t>
      </w:r>
      <w:r w:rsidR="003524E4">
        <w:rPr>
          <w:lang w:eastAsia="es-ES"/>
        </w:rPr>
        <w:t>.</w:t>
      </w:r>
      <w:r>
        <w:rPr>
          <w:lang w:eastAsia="es-ES"/>
        </w:rPr>
        <w:t xml:space="preserve"> </w:t>
      </w:r>
    </w:p>
    <w:p w:rsidR="00F652C1" w:rsidRDefault="00595134" w:rsidP="009909C8">
      <w:pPr>
        <w:pStyle w:val="SingleTxtG"/>
        <w:numPr>
          <w:ilvl w:val="0"/>
          <w:numId w:val="21"/>
        </w:numPr>
        <w:tabs>
          <w:tab w:val="clear" w:pos="2988"/>
        </w:tabs>
        <w:ind w:left="1134" w:firstLine="0"/>
        <w:rPr>
          <w:lang w:eastAsia="es-ES"/>
        </w:rPr>
      </w:pPr>
      <w:r w:rsidRPr="0064422C">
        <w:rPr>
          <w:lang w:eastAsia="es-ES"/>
        </w:rPr>
        <w:t xml:space="preserve">In light of the Committee’s previous concluding observations </w:t>
      </w:r>
      <w:r w:rsidR="0009685B">
        <w:rPr>
          <w:lang w:eastAsia="es-ES"/>
        </w:rPr>
        <w:t>(para.</w:t>
      </w:r>
      <w:r w:rsidR="00462649">
        <w:rPr>
          <w:lang w:eastAsia="es-ES"/>
        </w:rPr>
        <w:t> </w:t>
      </w:r>
      <w:r>
        <w:rPr>
          <w:lang w:eastAsia="es-ES"/>
        </w:rPr>
        <w:t xml:space="preserve">27), </w:t>
      </w:r>
      <w:r w:rsidR="000B79DF">
        <w:rPr>
          <w:lang w:eastAsia="es-ES"/>
        </w:rPr>
        <w:t>please provide updated information on</w:t>
      </w:r>
      <w:r w:rsidR="00F652C1">
        <w:rPr>
          <w:lang w:eastAsia="es-ES"/>
        </w:rPr>
        <w:t>:</w:t>
      </w:r>
    </w:p>
    <w:p w:rsidR="00F652C1" w:rsidRDefault="00937E70" w:rsidP="00362CA4">
      <w:pPr>
        <w:pStyle w:val="SingleTxtG"/>
        <w:rPr>
          <w:lang w:eastAsia="es-ES"/>
        </w:rPr>
      </w:pPr>
      <w:r>
        <w:rPr>
          <w:lang w:eastAsia="es-ES"/>
        </w:rPr>
        <w:tab/>
        <w:t>(</w:t>
      </w:r>
      <w:r w:rsidR="000237D3">
        <w:rPr>
          <w:lang w:eastAsia="es-ES"/>
        </w:rPr>
        <w:t>a)</w:t>
      </w:r>
      <w:r w:rsidR="000237D3">
        <w:rPr>
          <w:lang w:eastAsia="es-ES"/>
        </w:rPr>
        <w:tab/>
        <w:t xml:space="preserve">Incidents </w:t>
      </w:r>
      <w:r w:rsidR="000B79DF">
        <w:rPr>
          <w:lang w:eastAsia="es-ES"/>
        </w:rPr>
        <w:t xml:space="preserve">of domestic violence against </w:t>
      </w:r>
      <w:r w:rsidR="000237D3">
        <w:rPr>
          <w:lang w:eastAsia="es-ES"/>
        </w:rPr>
        <w:t xml:space="preserve">girls and </w:t>
      </w:r>
      <w:r w:rsidR="000B79DF">
        <w:rPr>
          <w:lang w:eastAsia="es-ES"/>
        </w:rPr>
        <w:t>women</w:t>
      </w:r>
      <w:r w:rsidR="00865B64">
        <w:rPr>
          <w:lang w:eastAsia="es-ES"/>
        </w:rPr>
        <w:t xml:space="preserve"> </w:t>
      </w:r>
      <w:r w:rsidR="000237D3">
        <w:rPr>
          <w:lang w:eastAsia="es-ES"/>
        </w:rPr>
        <w:t xml:space="preserve">and specific </w:t>
      </w:r>
      <w:r w:rsidR="00492D34">
        <w:rPr>
          <w:lang w:eastAsia="es-ES"/>
        </w:rPr>
        <w:t>statistics regarding the sex, age and family relationship of victims and perpetrators</w:t>
      </w:r>
      <w:r w:rsidR="003524E4">
        <w:rPr>
          <w:lang w:eastAsia="es-ES"/>
        </w:rPr>
        <w:t>,</w:t>
      </w:r>
      <w:r w:rsidR="00492D34">
        <w:rPr>
          <w:rStyle w:val="FootnoteReference"/>
          <w:lang w:eastAsia="es-ES"/>
        </w:rPr>
        <w:footnoteReference w:id="8"/>
      </w:r>
      <w:r w:rsidR="008A5C10">
        <w:rPr>
          <w:lang w:eastAsia="es-ES"/>
        </w:rPr>
        <w:t xml:space="preserve"> as well as on</w:t>
      </w:r>
      <w:r w:rsidR="007C0AE0">
        <w:rPr>
          <w:lang w:eastAsia="es-ES"/>
        </w:rPr>
        <w:t xml:space="preserve"> investigations, prosecutions and convictions relating to </w:t>
      </w:r>
      <w:r w:rsidR="00EA72F7">
        <w:rPr>
          <w:lang w:eastAsia="es-ES"/>
        </w:rPr>
        <w:t xml:space="preserve">sexual and </w:t>
      </w:r>
      <w:r w:rsidR="007C0AE0">
        <w:rPr>
          <w:lang w:eastAsia="es-ES"/>
        </w:rPr>
        <w:t>domestic violence;</w:t>
      </w:r>
    </w:p>
    <w:p w:rsidR="00595134" w:rsidRDefault="00937E70" w:rsidP="00362CA4">
      <w:pPr>
        <w:pStyle w:val="SingleTxtG"/>
        <w:rPr>
          <w:lang w:eastAsia="es-ES"/>
        </w:rPr>
      </w:pPr>
      <w:r>
        <w:rPr>
          <w:lang w:eastAsia="es-ES"/>
        </w:rPr>
        <w:tab/>
        <w:t>(</w:t>
      </w:r>
      <w:r w:rsidR="00F652C1">
        <w:rPr>
          <w:lang w:eastAsia="es-ES"/>
        </w:rPr>
        <w:t>b)</w:t>
      </w:r>
      <w:r w:rsidR="00F652C1">
        <w:rPr>
          <w:lang w:eastAsia="es-ES"/>
        </w:rPr>
        <w:tab/>
        <w:t xml:space="preserve">Efforts made to prevent domestic violence, including through the implementation of the </w:t>
      </w:r>
      <w:r w:rsidR="003E5931">
        <w:rPr>
          <w:lang w:eastAsia="es-ES"/>
        </w:rPr>
        <w:t>national strategy on domestic, sexual and gender-based violence</w:t>
      </w:r>
      <w:r w:rsidR="00F652C1">
        <w:rPr>
          <w:lang w:eastAsia="es-ES"/>
        </w:rPr>
        <w:t>, 2010-2014;</w:t>
      </w:r>
    </w:p>
    <w:p w:rsidR="00F652C1" w:rsidRDefault="00937E70" w:rsidP="00362CA4">
      <w:pPr>
        <w:pStyle w:val="SingleTxtG"/>
        <w:rPr>
          <w:lang w:eastAsia="es-ES"/>
        </w:rPr>
      </w:pPr>
      <w:r>
        <w:rPr>
          <w:lang w:eastAsia="es-ES"/>
        </w:rPr>
        <w:tab/>
        <w:t>(</w:t>
      </w:r>
      <w:r w:rsidR="00172248">
        <w:rPr>
          <w:lang w:eastAsia="es-ES"/>
        </w:rPr>
        <w:t>c)</w:t>
      </w:r>
      <w:r w:rsidR="00172248">
        <w:rPr>
          <w:lang w:eastAsia="es-ES"/>
        </w:rPr>
        <w:tab/>
        <w:t>Specific m</w:t>
      </w:r>
      <w:r w:rsidR="00F652C1">
        <w:rPr>
          <w:lang w:eastAsia="es-ES"/>
        </w:rPr>
        <w:t>easures taken to enhance funding of refuge and support services provided to victims of domestic violence</w:t>
      </w:r>
      <w:r w:rsidR="000B3963">
        <w:rPr>
          <w:lang w:eastAsia="es-ES"/>
        </w:rPr>
        <w:t xml:space="preserve">, including access to safe emergency accommodation for all who need it, including </w:t>
      </w:r>
      <w:r w:rsidR="00231B8C">
        <w:rPr>
          <w:lang w:eastAsia="es-ES"/>
        </w:rPr>
        <w:t xml:space="preserve">dependent </w:t>
      </w:r>
      <w:r w:rsidR="000B3963">
        <w:rPr>
          <w:lang w:eastAsia="es-ES"/>
        </w:rPr>
        <w:t>migrant women in violent relationships</w:t>
      </w:r>
      <w:r w:rsidR="003E5931">
        <w:rPr>
          <w:lang w:eastAsia="es-ES"/>
        </w:rPr>
        <w:t xml:space="preserve"> and</w:t>
      </w:r>
      <w:r w:rsidR="00EA72F7">
        <w:rPr>
          <w:lang w:eastAsia="es-ES"/>
        </w:rPr>
        <w:t xml:space="preserve"> any independent complaints mechanism for asylum seekers who experience sexual violence while residing </w:t>
      </w:r>
      <w:r w:rsidR="003E5931">
        <w:rPr>
          <w:lang w:eastAsia="es-ES"/>
        </w:rPr>
        <w:t>in</w:t>
      </w:r>
      <w:r w:rsidR="00EA72F7">
        <w:rPr>
          <w:lang w:eastAsia="es-ES"/>
        </w:rPr>
        <w:t xml:space="preserve"> State facilities or centres;</w:t>
      </w:r>
    </w:p>
    <w:p w:rsidR="00F652C1" w:rsidRDefault="00937E70" w:rsidP="00362CA4">
      <w:pPr>
        <w:pStyle w:val="SingleTxtG"/>
        <w:rPr>
          <w:lang w:eastAsia="es-ES"/>
        </w:rPr>
      </w:pPr>
      <w:r>
        <w:rPr>
          <w:lang w:eastAsia="es-ES"/>
        </w:rPr>
        <w:tab/>
        <w:t>(</w:t>
      </w:r>
      <w:r w:rsidR="00F652C1">
        <w:rPr>
          <w:lang w:eastAsia="es-ES"/>
        </w:rPr>
        <w:t>d)</w:t>
      </w:r>
      <w:r w:rsidR="00F652C1">
        <w:rPr>
          <w:lang w:eastAsia="es-ES"/>
        </w:rPr>
        <w:tab/>
        <w:t xml:space="preserve">Any amendments to the Domestic Violence Act of 1996 that would include clear criteria to grant safety and barring orders </w:t>
      </w:r>
      <w:r w:rsidR="003E5931">
        <w:rPr>
          <w:lang w:eastAsia="es-ES"/>
        </w:rPr>
        <w:t>and</w:t>
      </w:r>
      <w:r w:rsidR="00F652C1">
        <w:rPr>
          <w:lang w:eastAsia="es-ES"/>
        </w:rPr>
        <w:t xml:space="preserve"> extend eligibility for all parties </w:t>
      </w:r>
      <w:r w:rsidR="001E5BD8">
        <w:rPr>
          <w:lang w:eastAsia="es-ES"/>
        </w:rPr>
        <w:t>in line with internationally recognized best practice</w:t>
      </w:r>
      <w:r w:rsidR="003E5931">
        <w:rPr>
          <w:lang w:eastAsia="es-ES"/>
        </w:rPr>
        <w:t>.</w:t>
      </w:r>
      <w:r w:rsidR="00EA72F7">
        <w:rPr>
          <w:lang w:eastAsia="es-ES"/>
        </w:rPr>
        <w:t xml:space="preserve"> Please include data</w:t>
      </w:r>
      <w:r w:rsidR="003E5931">
        <w:rPr>
          <w:lang w:eastAsia="es-ES"/>
        </w:rPr>
        <w:t xml:space="preserve"> for the period</w:t>
      </w:r>
      <w:r w:rsidR="00EA72F7">
        <w:rPr>
          <w:lang w:eastAsia="es-ES"/>
        </w:rPr>
        <w:t xml:space="preserve"> since the last review on </w:t>
      </w:r>
      <w:r w:rsidR="0040510E">
        <w:rPr>
          <w:lang w:eastAsia="es-ES"/>
        </w:rPr>
        <w:t xml:space="preserve">the number of </w:t>
      </w:r>
      <w:r w:rsidR="00EA72F7">
        <w:rPr>
          <w:lang w:eastAsia="es-ES"/>
        </w:rPr>
        <w:t xml:space="preserve">safety orders and other barring (protection) orders issued </w:t>
      </w:r>
      <w:r w:rsidR="0040510E">
        <w:rPr>
          <w:lang w:eastAsia="es-ES"/>
        </w:rPr>
        <w:t xml:space="preserve">annually </w:t>
      </w:r>
      <w:r w:rsidR="00EA72F7">
        <w:rPr>
          <w:lang w:eastAsia="es-ES"/>
        </w:rPr>
        <w:t xml:space="preserve">by the courts and whether and how they are made available to individuals outside of traditional court hours. In view of the confirmation by the State party during the </w:t>
      </w:r>
      <w:r w:rsidR="003E5931">
        <w:rPr>
          <w:lang w:eastAsia="es-ES"/>
        </w:rPr>
        <w:t xml:space="preserve">universal periodic review </w:t>
      </w:r>
      <w:r w:rsidR="00EA72F7">
        <w:rPr>
          <w:lang w:eastAsia="es-ES"/>
        </w:rPr>
        <w:t xml:space="preserve">that </w:t>
      </w:r>
      <w:smartTag w:uri="urn:schemas-microsoft-com:office:smarttags" w:element="country-region">
        <w:smartTag w:uri="urn:schemas-microsoft-com:office:smarttags" w:element="place">
          <w:r w:rsidR="00EA72F7">
            <w:rPr>
              <w:lang w:eastAsia="es-ES"/>
            </w:rPr>
            <w:t>Ireland</w:t>
          </w:r>
        </w:smartTag>
      </w:smartTag>
      <w:r w:rsidR="00EA72F7">
        <w:rPr>
          <w:lang w:eastAsia="es-ES"/>
        </w:rPr>
        <w:t xml:space="preserve"> is studying the Council of Europe Convention on</w:t>
      </w:r>
      <w:r w:rsidR="003E5931">
        <w:rPr>
          <w:lang w:eastAsia="es-ES"/>
        </w:rPr>
        <w:t xml:space="preserve"> Preventing and</w:t>
      </w:r>
      <w:r w:rsidR="00EA72F7">
        <w:rPr>
          <w:lang w:eastAsia="es-ES"/>
        </w:rPr>
        <w:t xml:space="preserve"> Combating Violence against Women and Domestic Violence and can accept its terms “in principle,” please provide information on the status of the State party’s consideration of ratification of the Convention;</w:t>
      </w:r>
    </w:p>
    <w:p w:rsidR="001E5BD8" w:rsidRDefault="00937E70" w:rsidP="00362CA4">
      <w:pPr>
        <w:pStyle w:val="SingleTxtG"/>
        <w:rPr>
          <w:lang w:eastAsia="es-ES"/>
        </w:rPr>
      </w:pPr>
      <w:r>
        <w:rPr>
          <w:lang w:eastAsia="es-ES"/>
        </w:rPr>
        <w:tab/>
        <w:t>(</w:t>
      </w:r>
      <w:r w:rsidR="001E5BD8">
        <w:rPr>
          <w:lang w:eastAsia="es-ES"/>
        </w:rPr>
        <w:t>e)</w:t>
      </w:r>
      <w:r w:rsidR="001E5BD8">
        <w:rPr>
          <w:lang w:eastAsia="es-ES"/>
        </w:rPr>
        <w:tab/>
        <w:t>Any steps taken to afford independent status under legislation to migrant women with dependent immigration status who are subjected to domestic violence</w:t>
      </w:r>
      <w:r w:rsidR="00AF29BC">
        <w:rPr>
          <w:lang w:eastAsia="es-ES"/>
        </w:rPr>
        <w:t>, which would enable them to receive legal protection and separate residence permits</w:t>
      </w:r>
      <w:r w:rsidR="003E5931">
        <w:rPr>
          <w:lang w:eastAsia="es-ES"/>
        </w:rPr>
        <w:t>.</w:t>
      </w:r>
      <w:r w:rsidR="00AF29BC">
        <w:rPr>
          <w:rStyle w:val="FootnoteReference"/>
          <w:lang w:eastAsia="es-ES"/>
        </w:rPr>
        <w:footnoteReference w:id="9"/>
      </w:r>
      <w:r w:rsidR="001E5BD8">
        <w:rPr>
          <w:lang w:eastAsia="es-ES"/>
        </w:rPr>
        <w:t xml:space="preserve"> </w:t>
      </w:r>
    </w:p>
    <w:p w:rsidR="008C4AA1" w:rsidRDefault="008C4AA1" w:rsidP="009909C8">
      <w:pPr>
        <w:pStyle w:val="SingleTxtG"/>
        <w:numPr>
          <w:ilvl w:val="0"/>
          <w:numId w:val="21"/>
        </w:numPr>
        <w:tabs>
          <w:tab w:val="clear" w:pos="2988"/>
        </w:tabs>
        <w:ind w:left="1134" w:firstLine="0"/>
        <w:rPr>
          <w:lang w:eastAsia="es-ES"/>
        </w:rPr>
      </w:pPr>
      <w:r w:rsidRPr="0064422C">
        <w:rPr>
          <w:lang w:eastAsia="es-ES"/>
        </w:rPr>
        <w:t>With reference to the Committee’s previous concluding</w:t>
      </w:r>
      <w:r w:rsidR="0040510E">
        <w:rPr>
          <w:lang w:eastAsia="es-ES"/>
        </w:rPr>
        <w:t xml:space="preserve"> observations</w:t>
      </w:r>
      <w:r w:rsidRPr="0064422C">
        <w:rPr>
          <w:lang w:eastAsia="es-ES"/>
        </w:rPr>
        <w:t xml:space="preserve"> </w:t>
      </w:r>
      <w:r w:rsidR="0009685B">
        <w:rPr>
          <w:lang w:eastAsia="es-ES"/>
        </w:rPr>
        <w:t>(para.</w:t>
      </w:r>
      <w:r w:rsidR="00462649">
        <w:rPr>
          <w:lang w:eastAsia="es-ES"/>
        </w:rPr>
        <w:t> </w:t>
      </w:r>
      <w:r>
        <w:rPr>
          <w:lang w:eastAsia="es-ES"/>
        </w:rPr>
        <w:t>26), please provide updated information on:</w:t>
      </w:r>
    </w:p>
    <w:p w:rsidR="008C4AA1" w:rsidRDefault="00937E70" w:rsidP="008C4AA1">
      <w:pPr>
        <w:pStyle w:val="SingleTxtG"/>
        <w:rPr>
          <w:lang w:eastAsia="es-ES"/>
        </w:rPr>
      </w:pPr>
      <w:r>
        <w:rPr>
          <w:lang w:eastAsia="es-ES"/>
        </w:rPr>
        <w:tab/>
        <w:t>(</w:t>
      </w:r>
      <w:r w:rsidR="008C4AA1">
        <w:rPr>
          <w:lang w:eastAsia="es-ES"/>
        </w:rPr>
        <w:t>a)</w:t>
      </w:r>
      <w:r w:rsidR="008C4AA1">
        <w:rPr>
          <w:lang w:eastAsia="es-ES"/>
        </w:rPr>
        <w:tab/>
        <w:t>Measures</w:t>
      </w:r>
      <w:r w:rsidR="00286145">
        <w:rPr>
          <w:lang w:eastAsia="es-ES"/>
        </w:rPr>
        <w:t xml:space="preserve"> concerning</w:t>
      </w:r>
      <w:r w:rsidR="008C4AA1">
        <w:rPr>
          <w:lang w:eastAsia="es-ES"/>
        </w:rPr>
        <w:t xml:space="preserve"> the law and practice in the State party</w:t>
      </w:r>
      <w:r w:rsidR="0040510E">
        <w:rPr>
          <w:lang w:eastAsia="es-ES"/>
        </w:rPr>
        <w:t xml:space="preserve"> </w:t>
      </w:r>
      <w:r w:rsidR="00274C57">
        <w:rPr>
          <w:lang w:eastAsia="es-ES"/>
        </w:rPr>
        <w:t xml:space="preserve">that may be in place to resolve the uncertainty for women and their medical doctors regarding domestic procedures and the risk of criminal investigation or punishment, specifically </w:t>
      </w:r>
      <w:r w:rsidR="008C4AA1">
        <w:rPr>
          <w:lang w:eastAsia="es-ES"/>
        </w:rPr>
        <w:t xml:space="preserve">with regard to clarifying the scope of legal abortion through statutory law, </w:t>
      </w:r>
      <w:r w:rsidR="003A1E63">
        <w:rPr>
          <w:lang w:eastAsia="es-ES"/>
        </w:rPr>
        <w:t>including in cases of rape</w:t>
      </w:r>
      <w:r w:rsidR="003E5931">
        <w:rPr>
          <w:lang w:eastAsia="es-ES"/>
        </w:rPr>
        <w:t>.</w:t>
      </w:r>
      <w:r w:rsidR="003A1E63">
        <w:rPr>
          <w:lang w:eastAsia="es-ES"/>
        </w:rPr>
        <w:t xml:space="preserve"> </w:t>
      </w:r>
      <w:r w:rsidR="00274C57">
        <w:rPr>
          <w:lang w:eastAsia="es-ES"/>
        </w:rPr>
        <w:t>Please also clarify</w:t>
      </w:r>
      <w:r w:rsidR="003A1E63">
        <w:rPr>
          <w:lang w:eastAsia="es-ES"/>
        </w:rPr>
        <w:t xml:space="preserve"> </w:t>
      </w:r>
      <w:r w:rsidR="008C4AA1">
        <w:rPr>
          <w:lang w:eastAsia="es-ES"/>
        </w:rPr>
        <w:t>whether</w:t>
      </w:r>
      <w:r w:rsidR="00374C23" w:rsidRPr="00374C23">
        <w:rPr>
          <w:lang w:eastAsia="es-ES"/>
        </w:rPr>
        <w:t xml:space="preserve"> </w:t>
      </w:r>
      <w:r w:rsidR="00374C23">
        <w:rPr>
          <w:lang w:eastAsia="es-ES"/>
        </w:rPr>
        <w:t>the Offences against the Person Act 1861 has been repealed</w:t>
      </w:r>
      <w:r w:rsidR="003E5931">
        <w:rPr>
          <w:lang w:eastAsia="es-ES"/>
        </w:rPr>
        <w:t>;</w:t>
      </w:r>
    </w:p>
    <w:p w:rsidR="008C4AA1" w:rsidRDefault="00937E70" w:rsidP="008C4AA1">
      <w:pPr>
        <w:pStyle w:val="SingleTxtG"/>
        <w:rPr>
          <w:lang w:eastAsia="es-ES"/>
        </w:rPr>
      </w:pPr>
      <w:r>
        <w:rPr>
          <w:lang w:eastAsia="es-ES"/>
        </w:rPr>
        <w:tab/>
        <w:t>(</w:t>
      </w:r>
      <w:r w:rsidR="008C4AA1">
        <w:rPr>
          <w:lang w:eastAsia="es-ES"/>
        </w:rPr>
        <w:t>b)</w:t>
      </w:r>
      <w:r w:rsidR="008C4AA1">
        <w:rPr>
          <w:lang w:eastAsia="es-ES"/>
        </w:rPr>
        <w:tab/>
        <w:t xml:space="preserve">Whether </w:t>
      </w:r>
      <w:r w:rsidR="00374C23">
        <w:rPr>
          <w:lang w:eastAsia="es-ES"/>
        </w:rPr>
        <w:t xml:space="preserve">adequate guidelines exist </w:t>
      </w:r>
      <w:r w:rsidR="00274C57">
        <w:rPr>
          <w:lang w:eastAsia="es-ES"/>
        </w:rPr>
        <w:t xml:space="preserve">in the State party </w:t>
      </w:r>
      <w:r w:rsidR="00374C23">
        <w:rPr>
          <w:lang w:eastAsia="es-ES"/>
        </w:rPr>
        <w:t xml:space="preserve">for medical and other professionals on </w:t>
      </w:r>
      <w:r w:rsidR="003E5931">
        <w:rPr>
          <w:lang w:eastAsia="es-ES"/>
        </w:rPr>
        <w:t xml:space="preserve">the </w:t>
      </w:r>
      <w:r w:rsidR="00374C23">
        <w:rPr>
          <w:lang w:eastAsia="es-ES"/>
        </w:rPr>
        <w:t>criteria to be met for legal termination of pregnancies</w:t>
      </w:r>
      <w:r w:rsidR="003E5931">
        <w:rPr>
          <w:lang w:eastAsia="es-ES"/>
        </w:rPr>
        <w:t>,</w:t>
      </w:r>
      <w:r w:rsidR="00374C23">
        <w:rPr>
          <w:rStyle w:val="FootnoteReference"/>
          <w:lang w:eastAsia="es-ES"/>
        </w:rPr>
        <w:footnoteReference w:id="10"/>
      </w:r>
      <w:r w:rsidR="00374C23">
        <w:rPr>
          <w:lang w:eastAsia="es-ES"/>
        </w:rPr>
        <w:t xml:space="preserve"> whether adequate procedures exist to challenge differing medical opinions and whether </w:t>
      </w:r>
      <w:r w:rsidR="008C4AA1">
        <w:rPr>
          <w:lang w:eastAsia="es-ES"/>
        </w:rPr>
        <w:t>adequate services for carrying out abortions exist in the State party</w:t>
      </w:r>
      <w:r w:rsidR="003E5931">
        <w:rPr>
          <w:lang w:eastAsia="es-ES"/>
        </w:rPr>
        <w:t>.</w:t>
      </w:r>
      <w:r w:rsidR="00274C57">
        <w:rPr>
          <w:lang w:eastAsia="es-ES"/>
        </w:rPr>
        <w:t xml:space="preserve"> Please include information on whether current legislation regarding termination of pregnancy upholds a woman’s rights to freedom from discrimination and prevent</w:t>
      </w:r>
      <w:r w:rsidR="003E5931">
        <w:rPr>
          <w:lang w:eastAsia="es-ES"/>
        </w:rPr>
        <w:t>s</w:t>
      </w:r>
      <w:r w:rsidR="00274C57">
        <w:rPr>
          <w:lang w:eastAsia="es-ES"/>
        </w:rPr>
        <w:t xml:space="preserve"> other breaches of the Convention;</w:t>
      </w:r>
    </w:p>
    <w:p w:rsidR="008C4AA1" w:rsidRDefault="00937E70" w:rsidP="008C4AA1">
      <w:pPr>
        <w:pStyle w:val="SingleTxtG"/>
        <w:rPr>
          <w:lang w:eastAsia="es-ES"/>
        </w:rPr>
      </w:pPr>
      <w:r>
        <w:rPr>
          <w:lang w:eastAsia="es-ES"/>
        </w:rPr>
        <w:tab/>
        <w:t>(</w:t>
      </w:r>
      <w:r w:rsidR="00374C23">
        <w:rPr>
          <w:lang w:eastAsia="es-ES"/>
        </w:rPr>
        <w:t>c</w:t>
      </w:r>
      <w:r w:rsidR="008C4AA1">
        <w:rPr>
          <w:lang w:eastAsia="es-ES"/>
        </w:rPr>
        <w:t>)</w:t>
      </w:r>
      <w:r w:rsidR="008C4AA1">
        <w:rPr>
          <w:lang w:eastAsia="es-ES"/>
        </w:rPr>
        <w:tab/>
      </w:r>
      <w:r w:rsidR="00782F73">
        <w:rPr>
          <w:lang w:eastAsia="es-ES"/>
        </w:rPr>
        <w:t>Follow-up to the</w:t>
      </w:r>
      <w:r w:rsidR="00EE216E">
        <w:rPr>
          <w:lang w:eastAsia="es-ES"/>
        </w:rPr>
        <w:t xml:space="preserve"> ruling of the European Court of Human Rights in the </w:t>
      </w:r>
      <w:r w:rsidR="00EE216E" w:rsidRPr="00AE34A3">
        <w:rPr>
          <w:i/>
          <w:lang w:eastAsia="es-ES"/>
        </w:rPr>
        <w:t xml:space="preserve">A, B and C </w:t>
      </w:r>
      <w:r w:rsidR="00EE216E" w:rsidRPr="009909C8">
        <w:rPr>
          <w:lang w:eastAsia="es-ES"/>
        </w:rPr>
        <w:t>v.</w:t>
      </w:r>
      <w:r w:rsidR="00EE216E" w:rsidRPr="00AE34A3">
        <w:rPr>
          <w:i/>
          <w:lang w:eastAsia="es-ES"/>
        </w:rPr>
        <w:t xml:space="preserve"> Ireland</w:t>
      </w:r>
      <w:r w:rsidR="00EE216E">
        <w:rPr>
          <w:lang w:eastAsia="es-ES"/>
        </w:rPr>
        <w:t xml:space="preserve"> case</w:t>
      </w:r>
      <w:r w:rsidR="003E5931">
        <w:rPr>
          <w:lang w:eastAsia="es-ES"/>
        </w:rPr>
        <w:t>,</w:t>
      </w:r>
      <w:r w:rsidR="00503F5F">
        <w:rPr>
          <w:rStyle w:val="FootnoteReference"/>
          <w:lang w:eastAsia="es-ES"/>
        </w:rPr>
        <w:footnoteReference w:id="11"/>
      </w:r>
      <w:r w:rsidR="00E70108">
        <w:rPr>
          <w:lang w:eastAsia="es-ES"/>
        </w:rPr>
        <w:t xml:space="preserve"> </w:t>
      </w:r>
      <w:r w:rsidR="00782F73">
        <w:rPr>
          <w:lang w:eastAsia="es-ES"/>
        </w:rPr>
        <w:t>to</w:t>
      </w:r>
      <w:r w:rsidR="00EE216E">
        <w:rPr>
          <w:lang w:eastAsia="es-ES"/>
        </w:rPr>
        <w:t xml:space="preserve"> the findings of the report published in November 2012 by</w:t>
      </w:r>
      <w:r w:rsidR="008C4AA1">
        <w:rPr>
          <w:lang w:eastAsia="es-ES"/>
        </w:rPr>
        <w:t xml:space="preserve"> </w:t>
      </w:r>
      <w:r w:rsidR="009D0AB5">
        <w:rPr>
          <w:lang w:eastAsia="es-ES"/>
        </w:rPr>
        <w:t xml:space="preserve">the expert group </w:t>
      </w:r>
      <w:r w:rsidR="008C4AA1">
        <w:rPr>
          <w:lang w:eastAsia="es-ES"/>
        </w:rPr>
        <w:t xml:space="preserve">established to address the </w:t>
      </w:r>
      <w:r w:rsidR="00EE216E">
        <w:rPr>
          <w:lang w:eastAsia="es-ES"/>
        </w:rPr>
        <w:t>case</w:t>
      </w:r>
      <w:r w:rsidR="008C4AA1">
        <w:rPr>
          <w:rStyle w:val="FootnoteReference"/>
          <w:lang w:eastAsia="es-ES"/>
        </w:rPr>
        <w:footnoteReference w:id="12"/>
      </w:r>
      <w:r w:rsidR="00E70108">
        <w:rPr>
          <w:lang w:eastAsia="es-ES"/>
        </w:rPr>
        <w:t xml:space="preserve"> </w:t>
      </w:r>
      <w:r w:rsidR="009D0AB5">
        <w:rPr>
          <w:lang w:eastAsia="es-ES"/>
        </w:rPr>
        <w:t>and</w:t>
      </w:r>
      <w:r w:rsidR="00E70108">
        <w:rPr>
          <w:lang w:eastAsia="es-ES"/>
        </w:rPr>
        <w:t xml:space="preserve"> on any amendments </w:t>
      </w:r>
      <w:r w:rsidR="00274C57">
        <w:rPr>
          <w:lang w:eastAsia="es-ES"/>
        </w:rPr>
        <w:t xml:space="preserve">or other revisions </w:t>
      </w:r>
      <w:r w:rsidR="00E70108">
        <w:rPr>
          <w:lang w:eastAsia="es-ES"/>
        </w:rPr>
        <w:t>envisaged to the Protection of Life During Pregnancy Act 2013</w:t>
      </w:r>
      <w:r w:rsidR="009D0AB5">
        <w:rPr>
          <w:lang w:eastAsia="es-ES"/>
        </w:rPr>
        <w:t>;</w:t>
      </w:r>
    </w:p>
    <w:p w:rsidR="00374C23" w:rsidRDefault="00937E70" w:rsidP="00374C23">
      <w:pPr>
        <w:pStyle w:val="SingleTxtG"/>
        <w:rPr>
          <w:lang w:eastAsia="es-ES"/>
        </w:rPr>
      </w:pPr>
      <w:r>
        <w:rPr>
          <w:lang w:eastAsia="es-ES"/>
        </w:rPr>
        <w:tab/>
        <w:t>(</w:t>
      </w:r>
      <w:r w:rsidR="00374C23">
        <w:rPr>
          <w:lang w:eastAsia="es-ES"/>
        </w:rPr>
        <w:t>d)</w:t>
      </w:r>
      <w:r w:rsidR="00374C23">
        <w:rPr>
          <w:lang w:eastAsia="es-ES"/>
        </w:rPr>
        <w:tab/>
        <w:t>Measures taken to protect reproductive health providers from harassment, intimidation and smear campaigns</w:t>
      </w:r>
      <w:r w:rsidR="009D0AB5">
        <w:rPr>
          <w:lang w:eastAsia="es-ES"/>
        </w:rPr>
        <w:t>,</w:t>
      </w:r>
      <w:r w:rsidR="00374C23">
        <w:rPr>
          <w:rStyle w:val="FootnoteReference"/>
          <w:lang w:eastAsia="es-ES"/>
        </w:rPr>
        <w:footnoteReference w:id="13"/>
      </w:r>
      <w:r w:rsidR="00374C23">
        <w:rPr>
          <w:lang w:eastAsia="es-ES"/>
        </w:rPr>
        <w:t xml:space="preserve"> on the results of the </w:t>
      </w:r>
      <w:r w:rsidR="009D0AB5">
        <w:rPr>
          <w:lang w:eastAsia="es-ES"/>
        </w:rPr>
        <w:t xml:space="preserve">investigation by the </w:t>
      </w:r>
      <w:r w:rsidR="00374C23">
        <w:rPr>
          <w:lang w:eastAsia="es-ES"/>
        </w:rPr>
        <w:t>Health Service Executive into accusations made against a number of reproductive health providers</w:t>
      </w:r>
      <w:r w:rsidR="00374C23">
        <w:rPr>
          <w:rStyle w:val="FootnoteReference"/>
          <w:lang w:eastAsia="es-ES"/>
        </w:rPr>
        <w:footnoteReference w:id="14"/>
      </w:r>
      <w:r w:rsidR="00374C23" w:rsidRPr="00374C23">
        <w:rPr>
          <w:lang w:eastAsia="es-ES"/>
        </w:rPr>
        <w:t xml:space="preserve"> </w:t>
      </w:r>
      <w:r w:rsidR="00374C23">
        <w:rPr>
          <w:lang w:eastAsia="es-ES"/>
        </w:rPr>
        <w:t>and whether certain provisions of the Access to Information Act (1995) have been reviewed to remove obstacles faced by reproductive health providers</w:t>
      </w:r>
      <w:r w:rsidR="00B02F8D">
        <w:rPr>
          <w:lang w:eastAsia="es-ES"/>
        </w:rPr>
        <w:t>.</w:t>
      </w:r>
      <w:r w:rsidR="00374C23">
        <w:rPr>
          <w:rStyle w:val="FootnoteReference"/>
          <w:lang w:eastAsia="es-ES"/>
        </w:rPr>
        <w:footnoteReference w:id="15"/>
      </w:r>
    </w:p>
    <w:p w:rsidR="008C4AA1" w:rsidRDefault="008C4AA1" w:rsidP="009909C8">
      <w:pPr>
        <w:pStyle w:val="SingleTxtG"/>
        <w:numPr>
          <w:ilvl w:val="0"/>
          <w:numId w:val="21"/>
        </w:numPr>
        <w:tabs>
          <w:tab w:val="clear" w:pos="2988"/>
        </w:tabs>
        <w:ind w:left="1134" w:firstLine="0"/>
      </w:pPr>
      <w:r w:rsidRPr="0064422C">
        <w:rPr>
          <w:lang w:eastAsia="es-ES"/>
        </w:rPr>
        <w:t>In light of the Committee’s previous concluding observations</w:t>
      </w:r>
      <w:r>
        <w:rPr>
          <w:lang w:eastAsia="es-ES"/>
        </w:rPr>
        <w:t xml:space="preserve"> </w:t>
      </w:r>
      <w:r w:rsidR="00274C57">
        <w:rPr>
          <w:lang w:eastAsia="es-ES"/>
        </w:rPr>
        <w:t>(para.</w:t>
      </w:r>
      <w:r w:rsidR="00462649">
        <w:rPr>
          <w:lang w:eastAsia="es-ES"/>
        </w:rPr>
        <w:t> </w:t>
      </w:r>
      <w:r w:rsidR="00274C57">
        <w:rPr>
          <w:lang w:eastAsia="es-ES"/>
        </w:rPr>
        <w:t xml:space="preserve">25), </w:t>
      </w:r>
      <w:r>
        <w:rPr>
          <w:lang w:eastAsia="es-ES"/>
        </w:rPr>
        <w:t xml:space="preserve">the </w:t>
      </w:r>
      <w:r w:rsidR="00274C57">
        <w:rPr>
          <w:lang w:eastAsia="es-ES"/>
        </w:rPr>
        <w:t>State party’s follow-up replies</w:t>
      </w:r>
      <w:r w:rsidR="00274C57">
        <w:t xml:space="preserve"> and </w:t>
      </w:r>
      <w:r w:rsidR="00274C57">
        <w:rPr>
          <w:lang w:eastAsia="es-ES"/>
        </w:rPr>
        <w:t xml:space="preserve">the request for clarification by the Rapporteur for </w:t>
      </w:r>
      <w:r w:rsidR="001E4B64">
        <w:rPr>
          <w:lang w:eastAsia="es-ES"/>
        </w:rPr>
        <w:t>the f</w:t>
      </w:r>
      <w:r w:rsidR="00274C57">
        <w:rPr>
          <w:lang w:eastAsia="es-ES"/>
        </w:rPr>
        <w:t>ollow</w:t>
      </w:r>
      <w:r w:rsidR="001E4B64">
        <w:rPr>
          <w:lang w:eastAsia="es-ES"/>
        </w:rPr>
        <w:t>-</w:t>
      </w:r>
      <w:r w:rsidR="00274C57">
        <w:rPr>
          <w:lang w:eastAsia="es-ES"/>
        </w:rPr>
        <w:t xml:space="preserve">up on </w:t>
      </w:r>
      <w:r w:rsidR="00B02F8D">
        <w:rPr>
          <w:lang w:eastAsia="es-ES"/>
        </w:rPr>
        <w:t>the concluding observations</w:t>
      </w:r>
      <w:r w:rsidR="00274C57">
        <w:rPr>
          <w:lang w:eastAsia="es-ES"/>
        </w:rPr>
        <w:t xml:space="preserve">, </w:t>
      </w:r>
      <w:r>
        <w:t xml:space="preserve">please provide </w:t>
      </w:r>
      <w:r w:rsidR="007A4886">
        <w:t xml:space="preserve">updated </w:t>
      </w:r>
      <w:r>
        <w:t>information on:</w:t>
      </w:r>
    </w:p>
    <w:p w:rsidR="00482CB0" w:rsidRDefault="00937E70" w:rsidP="008C4AA1">
      <w:pPr>
        <w:pStyle w:val="SingleTxtG"/>
      </w:pPr>
      <w:r>
        <w:tab/>
        <w:t>(</w:t>
      </w:r>
      <w:r w:rsidR="008C4AA1">
        <w:t>a)</w:t>
      </w:r>
      <w:r w:rsidR="008C4AA1">
        <w:tab/>
      </w:r>
      <w:r w:rsidR="00464E9F">
        <w:t>T</w:t>
      </w:r>
      <w:r w:rsidR="00482CB0">
        <w:t>he number of women in the State party who have undergone female genital mutilation</w:t>
      </w:r>
      <w:r w:rsidR="00BE4439">
        <w:t>;</w:t>
      </w:r>
      <w:r w:rsidR="00482CB0">
        <w:t xml:space="preserve"> </w:t>
      </w:r>
    </w:p>
    <w:p w:rsidR="00482CB0" w:rsidRDefault="00C04749" w:rsidP="007129F6">
      <w:pPr>
        <w:pStyle w:val="SingleTxtG"/>
        <w:ind w:firstLine="567"/>
      </w:pPr>
      <w:r>
        <w:t>(b)</w:t>
      </w:r>
      <w:r w:rsidR="00482CB0">
        <w:tab/>
        <w:t>Whether the Criminal Justice (</w:t>
      </w:r>
      <w:r w:rsidR="00BE4439">
        <w:t>Female Genital Mutilation</w:t>
      </w:r>
      <w:r w:rsidR="00482CB0">
        <w:t xml:space="preserve">) Act 2012, now signed into law, and supplemented with a national </w:t>
      </w:r>
      <w:r w:rsidR="00BE4439">
        <w:t>action plan and an operational plan</w:t>
      </w:r>
      <w:r w:rsidR="00482CB0">
        <w:t xml:space="preserve"> to prevent and combat female genital mutilation</w:t>
      </w:r>
      <w:r w:rsidR="00BE4439">
        <w:t>,</w:t>
      </w:r>
      <w:r w:rsidR="00482CB0">
        <w:t xml:space="preserve"> has been implemented and with what results? Specifically, </w:t>
      </w:r>
      <w:r w:rsidR="00BE4439">
        <w:t>whether</w:t>
      </w:r>
      <w:r w:rsidR="00482CB0">
        <w:t xml:space="preserve"> the key performance indicators been developed and utilized and what the outcome</w:t>
      </w:r>
      <w:r w:rsidR="00BE4439">
        <w:t xml:space="preserve"> has been;</w:t>
      </w:r>
    </w:p>
    <w:p w:rsidR="00482CB0" w:rsidRDefault="00482CB0" w:rsidP="00482CB0">
      <w:pPr>
        <w:pStyle w:val="SingleTxtG"/>
      </w:pPr>
      <w:r>
        <w:t xml:space="preserve"> </w:t>
      </w:r>
      <w:r>
        <w:tab/>
        <w:t>(c)</w:t>
      </w:r>
      <w:r>
        <w:tab/>
        <w:t xml:space="preserve">Whether programmes </w:t>
      </w:r>
      <w:r w:rsidR="00BE4439">
        <w:t xml:space="preserve">have </w:t>
      </w:r>
      <w:r>
        <w:t xml:space="preserve">been developed to sensitize and raise awareness of all segments of the population with regard to the harmful effects of </w:t>
      </w:r>
      <w:r w:rsidR="00BE4439">
        <w:t>female genital mutilation,  whether</w:t>
      </w:r>
      <w:r>
        <w:t xml:space="preserve"> the Health Service Executive </w:t>
      </w:r>
      <w:r w:rsidR="00BE4439">
        <w:t xml:space="preserve">has </w:t>
      </w:r>
      <w:r>
        <w:t xml:space="preserve">printed information leaflets on the Criminal Justice (Female Genital Mutilation) Act 2012, for the general public and </w:t>
      </w:r>
      <w:r w:rsidR="00BE4439">
        <w:t xml:space="preserve">whether </w:t>
      </w:r>
      <w:r>
        <w:t xml:space="preserve">it </w:t>
      </w:r>
      <w:r w:rsidR="00BE4439">
        <w:t xml:space="preserve">has </w:t>
      </w:r>
      <w:r>
        <w:t>reprinted and circulated an updated resource pack</w:t>
      </w:r>
      <w:r w:rsidR="00BE4439">
        <w:t xml:space="preserve"> on female genital mutilation</w:t>
      </w:r>
      <w:r>
        <w:t xml:space="preserve"> to health professionals and relevant staff in maternity and associated settings</w:t>
      </w:r>
      <w:r w:rsidR="00BE4439">
        <w:t>;</w:t>
      </w:r>
    </w:p>
    <w:p w:rsidR="008C4AA1" w:rsidRDefault="00937E70" w:rsidP="008C4AA1">
      <w:pPr>
        <w:pStyle w:val="SingleTxtG"/>
      </w:pPr>
      <w:r>
        <w:tab/>
        <w:t>(</w:t>
      </w:r>
      <w:r w:rsidR="008C4AA1">
        <w:t>d)</w:t>
      </w:r>
      <w:r w:rsidR="008C4AA1">
        <w:tab/>
        <w:t>Whether the dual criminality requirement has been removed from the Criminal Justice (Female Genital Mutilation) Act 2012, given that it can impede the successful prosecution of offenders from certain countries.</w:t>
      </w:r>
    </w:p>
    <w:p w:rsidR="00E354B4" w:rsidRPr="0064422C" w:rsidRDefault="00E354B4" w:rsidP="00E354B4">
      <w:pPr>
        <w:pStyle w:val="H23G"/>
      </w:pPr>
      <w:r w:rsidRPr="0064422C">
        <w:tab/>
      </w:r>
      <w:r>
        <w:tab/>
      </w:r>
      <w:r w:rsidRPr="00362CA4">
        <w:t>Article</w:t>
      </w:r>
      <w:r w:rsidRPr="0064422C">
        <w:t xml:space="preserve"> 3</w:t>
      </w:r>
    </w:p>
    <w:p w:rsidR="0064422C" w:rsidRPr="0064422C" w:rsidRDefault="0064422C" w:rsidP="009909C8">
      <w:pPr>
        <w:pStyle w:val="SingleTxtG"/>
        <w:numPr>
          <w:ilvl w:val="0"/>
          <w:numId w:val="21"/>
        </w:numPr>
        <w:tabs>
          <w:tab w:val="clear" w:pos="2988"/>
        </w:tabs>
        <w:ind w:left="1134" w:firstLine="0"/>
        <w:rPr>
          <w:lang w:eastAsia="es-ES"/>
        </w:rPr>
      </w:pPr>
      <w:r w:rsidRPr="0064422C">
        <w:rPr>
          <w:lang w:eastAsia="es-ES"/>
        </w:rPr>
        <w:t xml:space="preserve">With reference to </w:t>
      </w:r>
      <w:r w:rsidRPr="0064422C">
        <w:t>the</w:t>
      </w:r>
      <w:r w:rsidRPr="0064422C">
        <w:rPr>
          <w:lang w:eastAsia="es-ES"/>
        </w:rPr>
        <w:t xml:space="preserve"> Committee’s previous</w:t>
      </w:r>
      <w:r w:rsidR="0009685B">
        <w:rPr>
          <w:lang w:eastAsia="es-ES"/>
        </w:rPr>
        <w:t xml:space="preserve"> concluding observations (para.</w:t>
      </w:r>
      <w:r w:rsidR="0050227A">
        <w:rPr>
          <w:lang w:eastAsia="es-ES"/>
        </w:rPr>
        <w:t> </w:t>
      </w:r>
      <w:r w:rsidR="00632CC1">
        <w:rPr>
          <w:lang w:eastAsia="es-ES"/>
        </w:rPr>
        <w:t>9</w:t>
      </w:r>
      <w:r w:rsidRPr="0064422C">
        <w:rPr>
          <w:lang w:eastAsia="es-ES"/>
        </w:rPr>
        <w:t xml:space="preserve">), please </w:t>
      </w:r>
      <w:r w:rsidR="00632CC1">
        <w:rPr>
          <w:lang w:eastAsia="es-ES"/>
        </w:rPr>
        <w:t>provide updated information on specific measures taken to</w:t>
      </w:r>
      <w:r w:rsidR="007A4886">
        <w:rPr>
          <w:lang w:eastAsia="es-ES"/>
        </w:rPr>
        <w:t xml:space="preserve"> implement the State party’s commitment to enforce the prohibition on impermissible uses of Irish airports</w:t>
      </w:r>
      <w:r w:rsidR="00680EF1">
        <w:rPr>
          <w:lang w:eastAsia="es-ES"/>
        </w:rPr>
        <w:t>,</w:t>
      </w:r>
      <w:r w:rsidR="007A4886">
        <w:rPr>
          <w:lang w:eastAsia="es-ES"/>
        </w:rPr>
        <w:t xml:space="preserve"> especially with regard to </w:t>
      </w:r>
      <w:r w:rsidR="00632CC1">
        <w:rPr>
          <w:lang w:eastAsia="es-ES"/>
        </w:rPr>
        <w:t xml:space="preserve">allegations of </w:t>
      </w:r>
      <w:r w:rsidR="007A4886">
        <w:rPr>
          <w:lang w:eastAsia="es-ES"/>
        </w:rPr>
        <w:t xml:space="preserve">breaches of its obligations under the Convention resulting from any </w:t>
      </w:r>
      <w:r w:rsidR="00632CC1">
        <w:rPr>
          <w:lang w:eastAsia="es-ES"/>
        </w:rPr>
        <w:t>invo</w:t>
      </w:r>
      <w:r w:rsidR="007A4886">
        <w:rPr>
          <w:lang w:eastAsia="es-ES"/>
        </w:rPr>
        <w:t>lvement in rendition programmes</w:t>
      </w:r>
      <w:r w:rsidR="00680EF1">
        <w:rPr>
          <w:lang w:eastAsia="es-ES"/>
        </w:rPr>
        <w:t>,</w:t>
      </w:r>
      <w:r w:rsidR="00632CC1">
        <w:rPr>
          <w:lang w:eastAsia="es-ES"/>
        </w:rPr>
        <w:t xml:space="preserve"> and on the outcome of any investigations</w:t>
      </w:r>
      <w:r w:rsidRPr="0064422C">
        <w:rPr>
          <w:lang w:eastAsia="es-ES"/>
        </w:rPr>
        <w:t>.</w:t>
      </w:r>
      <w:r w:rsidR="00462649">
        <w:rPr>
          <w:lang w:eastAsia="es-ES"/>
        </w:rPr>
        <w:t xml:space="preserve"> </w:t>
      </w:r>
    </w:p>
    <w:p w:rsidR="0064422C" w:rsidRDefault="0064422C" w:rsidP="009909C8">
      <w:pPr>
        <w:pStyle w:val="SingleTxtG"/>
        <w:numPr>
          <w:ilvl w:val="0"/>
          <w:numId w:val="21"/>
        </w:numPr>
        <w:tabs>
          <w:tab w:val="clear" w:pos="2988"/>
        </w:tabs>
        <w:ind w:left="1134" w:firstLine="0"/>
        <w:rPr>
          <w:lang w:eastAsia="es-ES"/>
        </w:rPr>
      </w:pPr>
      <w:r w:rsidRPr="0064422C">
        <w:rPr>
          <w:lang w:eastAsia="es-ES"/>
        </w:rPr>
        <w:t>In light of the Committee’s previou</w:t>
      </w:r>
      <w:r w:rsidR="007021F8">
        <w:rPr>
          <w:lang w:eastAsia="es-ES"/>
        </w:rPr>
        <w:t>s concluding observations (para</w:t>
      </w:r>
      <w:r w:rsidR="0009685B">
        <w:rPr>
          <w:lang w:eastAsia="es-ES"/>
        </w:rPr>
        <w:t>.</w:t>
      </w:r>
      <w:r w:rsidR="0050227A">
        <w:rPr>
          <w:lang w:eastAsia="es-ES"/>
        </w:rPr>
        <w:t> </w:t>
      </w:r>
      <w:r w:rsidRPr="0064422C">
        <w:rPr>
          <w:lang w:eastAsia="es-ES"/>
        </w:rPr>
        <w:t>1</w:t>
      </w:r>
      <w:r w:rsidR="007021F8">
        <w:rPr>
          <w:lang w:eastAsia="es-ES"/>
        </w:rPr>
        <w:t>0</w:t>
      </w:r>
      <w:r w:rsidRPr="0064422C">
        <w:rPr>
          <w:lang w:eastAsia="es-ES"/>
        </w:rPr>
        <w:t>), please provide</w:t>
      </w:r>
      <w:r w:rsidR="00513386">
        <w:rPr>
          <w:lang w:eastAsia="es-ES"/>
        </w:rPr>
        <w:t xml:space="preserve"> </w:t>
      </w:r>
      <w:r w:rsidR="00464E9F">
        <w:rPr>
          <w:lang w:eastAsia="es-ES"/>
        </w:rPr>
        <w:t xml:space="preserve">updated </w:t>
      </w:r>
      <w:r w:rsidR="00513386">
        <w:rPr>
          <w:lang w:eastAsia="es-ES"/>
        </w:rPr>
        <w:t xml:space="preserve">information on </w:t>
      </w:r>
      <w:r w:rsidR="00464E9F">
        <w:rPr>
          <w:lang w:eastAsia="es-ES"/>
        </w:rPr>
        <w:t xml:space="preserve">the enactment (incl. date of publication) of </w:t>
      </w:r>
      <w:r w:rsidR="00513386">
        <w:rPr>
          <w:lang w:eastAsia="es-ES"/>
        </w:rPr>
        <w:t>the draft immigration, residence and protection bill</w:t>
      </w:r>
      <w:r w:rsidR="00464E9F">
        <w:rPr>
          <w:lang w:eastAsia="es-ES"/>
        </w:rPr>
        <w:t xml:space="preserve"> 2010 and any amendment or replacement bill</w:t>
      </w:r>
      <w:r w:rsidR="00462649">
        <w:rPr>
          <w:lang w:eastAsia="es-ES"/>
        </w:rPr>
        <w:t xml:space="preserve"> </w:t>
      </w:r>
      <w:r w:rsidR="00513386">
        <w:rPr>
          <w:lang w:eastAsia="es-ES"/>
        </w:rPr>
        <w:t>with a view to bringing it into line with the requirements of the Convention</w:t>
      </w:r>
      <w:r w:rsidR="00464E9F">
        <w:rPr>
          <w:lang w:eastAsia="es-ES"/>
        </w:rPr>
        <w:t>, especially with regard to the rights of migrants to judicial review or administrative action</w:t>
      </w:r>
      <w:r w:rsidR="00513386">
        <w:rPr>
          <w:lang w:eastAsia="es-ES"/>
        </w:rPr>
        <w:t>.</w:t>
      </w:r>
      <w:r w:rsidR="00462649">
        <w:rPr>
          <w:lang w:eastAsia="es-ES"/>
        </w:rPr>
        <w:t xml:space="preserve"> </w:t>
      </w:r>
      <w:r w:rsidR="00513386">
        <w:rPr>
          <w:lang w:eastAsia="es-ES"/>
        </w:rPr>
        <w:t xml:space="preserve">Also please inform </w:t>
      </w:r>
      <w:r w:rsidR="00464E9F">
        <w:rPr>
          <w:lang w:eastAsia="es-ES"/>
        </w:rPr>
        <w:t xml:space="preserve">the Committee </w:t>
      </w:r>
      <w:r w:rsidR="00513386">
        <w:rPr>
          <w:lang w:eastAsia="es-ES"/>
        </w:rPr>
        <w:t>of any amendments to legislation that would make an appeal before the Refugee Appeals Tribunal have a suspensive effect on the impugned decision.</w:t>
      </w:r>
      <w:r w:rsidR="00462649">
        <w:rPr>
          <w:lang w:eastAsia="es-ES"/>
        </w:rPr>
        <w:t xml:space="preserve"> </w:t>
      </w:r>
      <w:r w:rsidR="00513386">
        <w:rPr>
          <w:lang w:eastAsia="es-ES"/>
        </w:rPr>
        <w:t xml:space="preserve">Please provide information on the results of any investigations undertaken </w:t>
      </w:r>
      <w:r w:rsidR="002C0E4E">
        <w:rPr>
          <w:lang w:eastAsia="es-ES"/>
        </w:rPr>
        <w:t>to ensure that due process is applied in the processing of applications for refugee status</w:t>
      </w:r>
      <w:r w:rsidR="00464E9F">
        <w:rPr>
          <w:lang w:eastAsia="es-ES"/>
        </w:rPr>
        <w:t>. Please clarify how the criteria for recognition of asylum seekers meet the State party’s obligations under the Convention</w:t>
      </w:r>
      <w:r w:rsidR="00C24155">
        <w:rPr>
          <w:lang w:eastAsia="es-ES"/>
        </w:rPr>
        <w:t>.</w:t>
      </w:r>
      <w:r w:rsidR="00462649">
        <w:rPr>
          <w:lang w:eastAsia="es-ES"/>
        </w:rPr>
        <w:t xml:space="preserve"> </w:t>
      </w:r>
    </w:p>
    <w:p w:rsidR="006946B8" w:rsidRDefault="00464E9F" w:rsidP="009909C8">
      <w:pPr>
        <w:pStyle w:val="SingleTxtG"/>
        <w:numPr>
          <w:ilvl w:val="0"/>
          <w:numId w:val="21"/>
        </w:numPr>
        <w:tabs>
          <w:tab w:val="clear" w:pos="2988"/>
        </w:tabs>
        <w:ind w:left="1134" w:firstLine="0"/>
        <w:rPr>
          <w:lang w:eastAsia="es-ES"/>
        </w:rPr>
      </w:pPr>
      <w:r>
        <w:rPr>
          <w:lang w:eastAsia="es-ES"/>
        </w:rPr>
        <w:t>With reference to the pr</w:t>
      </w:r>
      <w:r w:rsidR="006946B8">
        <w:rPr>
          <w:lang w:eastAsia="es-ES"/>
        </w:rPr>
        <w:t>evious concluding observations (</w:t>
      </w:r>
      <w:r>
        <w:rPr>
          <w:lang w:eastAsia="es-ES"/>
        </w:rPr>
        <w:t>para</w:t>
      </w:r>
      <w:r w:rsidR="006946B8">
        <w:rPr>
          <w:lang w:eastAsia="es-ES"/>
        </w:rPr>
        <w:t>.</w:t>
      </w:r>
      <w:r w:rsidR="0050227A">
        <w:rPr>
          <w:lang w:eastAsia="es-ES"/>
        </w:rPr>
        <w:t> </w:t>
      </w:r>
      <w:r w:rsidR="006946B8">
        <w:rPr>
          <w:lang w:eastAsia="es-ES"/>
        </w:rPr>
        <w:t>7)</w:t>
      </w:r>
      <w:r>
        <w:rPr>
          <w:lang w:eastAsia="es-ES"/>
        </w:rPr>
        <w:t xml:space="preserve">, please provide updated information on measures to ensure that any persons detained for reasons </w:t>
      </w:r>
      <w:r w:rsidR="00C24155">
        <w:rPr>
          <w:lang w:eastAsia="es-ES"/>
        </w:rPr>
        <w:t xml:space="preserve">related to immigration </w:t>
      </w:r>
      <w:r>
        <w:rPr>
          <w:lang w:eastAsia="es-ES"/>
        </w:rPr>
        <w:t>are held in appropriate facilities</w:t>
      </w:r>
      <w:r w:rsidR="006946B8">
        <w:rPr>
          <w:lang w:eastAsia="es-ES"/>
        </w:rPr>
        <w:t>, separate from convicted and remand prisoners</w:t>
      </w:r>
      <w:r w:rsidR="001C71AA">
        <w:rPr>
          <w:lang w:eastAsia="es-ES"/>
        </w:rPr>
        <w:t xml:space="preserve"> who are detained</w:t>
      </w:r>
      <w:r w:rsidR="006946B8">
        <w:rPr>
          <w:lang w:eastAsia="es-ES"/>
        </w:rPr>
        <w:t xml:space="preserve"> in ordinary prison facilities.</w:t>
      </w:r>
    </w:p>
    <w:p w:rsidR="002D511B" w:rsidRPr="0064422C" w:rsidRDefault="00686A15" w:rsidP="002D511B">
      <w:pPr>
        <w:pStyle w:val="H23G"/>
      </w:pPr>
      <w:r>
        <w:tab/>
      </w:r>
      <w:r>
        <w:tab/>
      </w:r>
      <w:r w:rsidR="002D511B" w:rsidRPr="0064422C">
        <w:t>Articles 5, 7 and 8</w:t>
      </w:r>
    </w:p>
    <w:p w:rsidR="002D511B" w:rsidRDefault="002D511B" w:rsidP="009909C8">
      <w:pPr>
        <w:pStyle w:val="SingleTxtG"/>
        <w:numPr>
          <w:ilvl w:val="0"/>
          <w:numId w:val="21"/>
        </w:numPr>
        <w:tabs>
          <w:tab w:val="clear" w:pos="2988"/>
        </w:tabs>
        <w:ind w:left="1134" w:firstLine="0"/>
        <w:rPr>
          <w:lang w:eastAsia="es-ES"/>
        </w:rPr>
      </w:pPr>
      <w:r w:rsidRPr="0064422C">
        <w:rPr>
          <w:lang w:eastAsia="es-ES"/>
        </w:rPr>
        <w:t xml:space="preserve">Please provide information on whether the State party has rejected, for any reason, requests for extradition by another State of an individual suspected of having committed an offence of torture and </w:t>
      </w:r>
      <w:r w:rsidR="00C24155">
        <w:rPr>
          <w:lang w:eastAsia="es-ES"/>
        </w:rPr>
        <w:t xml:space="preserve">which </w:t>
      </w:r>
      <w:r w:rsidRPr="0064422C">
        <w:rPr>
          <w:lang w:eastAsia="es-ES"/>
        </w:rPr>
        <w:t>has started prosecution proceedings as a result.</w:t>
      </w:r>
      <w:r w:rsidR="00462649">
        <w:rPr>
          <w:lang w:eastAsia="es-ES"/>
        </w:rPr>
        <w:t xml:space="preserve"> </w:t>
      </w:r>
      <w:r w:rsidRPr="0064422C">
        <w:rPr>
          <w:lang w:eastAsia="es-ES"/>
        </w:rPr>
        <w:t>Please provide information on any new cases that have reached trial and with what result.</w:t>
      </w:r>
    </w:p>
    <w:p w:rsidR="0050430F" w:rsidRDefault="0050430F" w:rsidP="0050430F">
      <w:pPr>
        <w:pStyle w:val="H23G"/>
      </w:pPr>
      <w:r>
        <w:tab/>
      </w:r>
      <w:r>
        <w:tab/>
      </w:r>
      <w:r w:rsidRPr="00362CA4">
        <w:t>Article</w:t>
      </w:r>
      <w:r w:rsidRPr="0064422C">
        <w:t xml:space="preserve"> </w:t>
      </w:r>
      <w:r>
        <w:t>10</w:t>
      </w:r>
    </w:p>
    <w:p w:rsidR="0039235C" w:rsidRDefault="0050430F" w:rsidP="009909C8">
      <w:pPr>
        <w:pStyle w:val="SingleTxtG"/>
        <w:numPr>
          <w:ilvl w:val="0"/>
          <w:numId w:val="21"/>
        </w:numPr>
        <w:tabs>
          <w:tab w:val="clear" w:pos="2988"/>
        </w:tabs>
        <w:ind w:left="1134" w:firstLine="0"/>
        <w:rPr>
          <w:lang w:eastAsia="es-ES"/>
        </w:rPr>
      </w:pPr>
      <w:r w:rsidRPr="0064422C">
        <w:rPr>
          <w:lang w:eastAsia="es-ES"/>
        </w:rPr>
        <w:t>In light of the Committee’s previou</w:t>
      </w:r>
      <w:r>
        <w:rPr>
          <w:lang w:eastAsia="es-ES"/>
        </w:rPr>
        <w:t>s</w:t>
      </w:r>
      <w:r w:rsidR="0009685B">
        <w:rPr>
          <w:lang w:eastAsia="es-ES"/>
        </w:rPr>
        <w:t xml:space="preserve"> concluding observations (para.</w:t>
      </w:r>
      <w:r w:rsidR="0050227A">
        <w:rPr>
          <w:lang w:eastAsia="es-ES"/>
        </w:rPr>
        <w:t> </w:t>
      </w:r>
      <w:r>
        <w:rPr>
          <w:lang w:eastAsia="es-ES"/>
        </w:rPr>
        <w:t xml:space="preserve">30), </w:t>
      </w:r>
      <w:r w:rsidR="003D5EF2">
        <w:rPr>
          <w:lang w:eastAsia="es-ES"/>
        </w:rPr>
        <w:t>please provide information on</w:t>
      </w:r>
      <w:r w:rsidR="0039235C">
        <w:rPr>
          <w:lang w:eastAsia="es-ES"/>
        </w:rPr>
        <w:t>:</w:t>
      </w:r>
    </w:p>
    <w:p w:rsidR="004408C9" w:rsidRDefault="00937E70" w:rsidP="002D511B">
      <w:pPr>
        <w:pStyle w:val="SingleTxtG"/>
        <w:rPr>
          <w:lang w:eastAsia="es-ES"/>
        </w:rPr>
      </w:pPr>
      <w:r>
        <w:rPr>
          <w:lang w:eastAsia="es-ES"/>
        </w:rPr>
        <w:tab/>
        <w:t>(</w:t>
      </w:r>
      <w:r w:rsidR="0039235C">
        <w:rPr>
          <w:lang w:eastAsia="es-ES"/>
        </w:rPr>
        <w:t>a)</w:t>
      </w:r>
      <w:r w:rsidR="0039235C">
        <w:rPr>
          <w:lang w:eastAsia="es-ES"/>
        </w:rPr>
        <w:tab/>
        <w:t>A</w:t>
      </w:r>
      <w:r w:rsidR="003D5EF2">
        <w:rPr>
          <w:lang w:eastAsia="es-ES"/>
        </w:rPr>
        <w:t>ny measures taken to introduce specific training on the provisions of the Convention and in particular the prohibition of tortu</w:t>
      </w:r>
      <w:r w:rsidR="00E9549A">
        <w:rPr>
          <w:lang w:eastAsia="es-ES"/>
        </w:rPr>
        <w:t xml:space="preserve">re </w:t>
      </w:r>
      <w:r w:rsidR="00C24155">
        <w:rPr>
          <w:lang w:eastAsia="es-ES"/>
        </w:rPr>
        <w:t>by</w:t>
      </w:r>
      <w:r w:rsidR="00E9549A">
        <w:rPr>
          <w:lang w:eastAsia="es-ES"/>
        </w:rPr>
        <w:t xml:space="preserve"> law enforcement personnel, </w:t>
      </w:r>
      <w:r w:rsidR="003D5EF2">
        <w:rPr>
          <w:lang w:eastAsia="es-ES"/>
        </w:rPr>
        <w:t>on any methodologies developed to asses</w:t>
      </w:r>
      <w:r w:rsidR="0039235C">
        <w:rPr>
          <w:lang w:eastAsia="es-ES"/>
        </w:rPr>
        <w:t>s its effectiveness and impact</w:t>
      </w:r>
      <w:r w:rsidR="00E9549A">
        <w:rPr>
          <w:lang w:eastAsia="es-ES"/>
        </w:rPr>
        <w:t xml:space="preserve"> </w:t>
      </w:r>
      <w:r w:rsidR="00C24155">
        <w:rPr>
          <w:lang w:eastAsia="es-ES"/>
        </w:rPr>
        <w:t>and</w:t>
      </w:r>
      <w:r w:rsidR="00E9549A">
        <w:rPr>
          <w:lang w:eastAsia="es-ES"/>
        </w:rPr>
        <w:t xml:space="preserve"> any measures to strengthen training in hospitals, medical and social institutions</w:t>
      </w:r>
      <w:r w:rsidR="0039235C">
        <w:rPr>
          <w:lang w:eastAsia="es-ES"/>
        </w:rPr>
        <w:t>;</w:t>
      </w:r>
    </w:p>
    <w:p w:rsidR="00741761" w:rsidRDefault="00937E70" w:rsidP="002D511B">
      <w:pPr>
        <w:pStyle w:val="SingleTxtG"/>
        <w:rPr>
          <w:lang w:eastAsia="es-ES"/>
        </w:rPr>
      </w:pPr>
      <w:r>
        <w:rPr>
          <w:lang w:eastAsia="es-ES"/>
        </w:rPr>
        <w:tab/>
        <w:t>(</w:t>
      </w:r>
      <w:r w:rsidR="00741761">
        <w:rPr>
          <w:lang w:eastAsia="es-ES"/>
        </w:rPr>
        <w:t>b)</w:t>
      </w:r>
      <w:r w:rsidR="00741761">
        <w:rPr>
          <w:lang w:eastAsia="es-ES"/>
        </w:rPr>
        <w:tab/>
        <w:t xml:space="preserve">Any efforts to implement a gender-sensitive approach </w:t>
      </w:r>
      <w:r w:rsidR="00C24155">
        <w:rPr>
          <w:lang w:eastAsia="es-ES"/>
        </w:rPr>
        <w:t xml:space="preserve">to </w:t>
      </w:r>
      <w:r w:rsidR="00741761">
        <w:rPr>
          <w:lang w:eastAsia="es-ES"/>
        </w:rPr>
        <w:t xml:space="preserve">the training of those involved in the custody, interrogation or treatment of women subjected to any form of arrest, detention or imprisonment </w:t>
      </w:r>
      <w:r w:rsidR="00C24155">
        <w:rPr>
          <w:lang w:eastAsia="es-ES"/>
        </w:rPr>
        <w:t>and</w:t>
      </w:r>
      <w:r w:rsidR="00741761">
        <w:rPr>
          <w:lang w:eastAsia="es-ES"/>
        </w:rPr>
        <w:t xml:space="preserve"> on any training of law enforcement personnel and others on the treatment of groups at risk of ill-treatment</w:t>
      </w:r>
      <w:r w:rsidR="00C24155">
        <w:rPr>
          <w:lang w:eastAsia="es-ES"/>
        </w:rPr>
        <w:t>,</w:t>
      </w:r>
      <w:r w:rsidR="00741761">
        <w:rPr>
          <w:lang w:eastAsia="es-ES"/>
        </w:rPr>
        <w:t xml:space="preserve"> such as children, migrants, Travellers, Roma and other vulnerable groups;</w:t>
      </w:r>
    </w:p>
    <w:p w:rsidR="0039235C" w:rsidRDefault="00937E70" w:rsidP="002D511B">
      <w:pPr>
        <w:pStyle w:val="SingleTxtG"/>
        <w:rPr>
          <w:lang w:eastAsia="es-ES"/>
        </w:rPr>
      </w:pPr>
      <w:r>
        <w:rPr>
          <w:lang w:eastAsia="es-ES"/>
        </w:rPr>
        <w:tab/>
        <w:t>(</w:t>
      </w:r>
      <w:r w:rsidR="00741761">
        <w:rPr>
          <w:lang w:eastAsia="es-ES"/>
        </w:rPr>
        <w:t>c</w:t>
      </w:r>
      <w:r w:rsidR="0039235C">
        <w:rPr>
          <w:lang w:eastAsia="es-ES"/>
        </w:rPr>
        <w:t>)</w:t>
      </w:r>
      <w:r w:rsidR="0039235C">
        <w:rPr>
          <w:lang w:eastAsia="es-ES"/>
        </w:rPr>
        <w:tab/>
        <w:t xml:space="preserve">Measures to ensure that medical personnel and others involved in the custody, interrogation or treatment of persons subjected to arrest, detention or imprisonment </w:t>
      </w:r>
      <w:r w:rsidR="00C24155">
        <w:rPr>
          <w:lang w:eastAsia="es-ES"/>
        </w:rPr>
        <w:t>and</w:t>
      </w:r>
      <w:r w:rsidR="0039235C">
        <w:rPr>
          <w:lang w:eastAsia="es-ES"/>
        </w:rPr>
        <w:t xml:space="preserve"> professionals involved in the documentation and investigation of torture are provided with training on the Manual on the Effective Investigation and Documentation of Torture and Other Cruel, Inhuman or Degrading Treatment or Punishment (Istanbul Protocol).</w:t>
      </w:r>
    </w:p>
    <w:p w:rsidR="00686A15" w:rsidRPr="0064422C" w:rsidRDefault="002D511B" w:rsidP="00686A15">
      <w:pPr>
        <w:pStyle w:val="H23G"/>
      </w:pPr>
      <w:r>
        <w:tab/>
      </w:r>
      <w:r>
        <w:tab/>
      </w:r>
      <w:r w:rsidR="00686A15" w:rsidRPr="00362CA4">
        <w:t>Article</w:t>
      </w:r>
      <w:r w:rsidR="00686A15" w:rsidRPr="0064422C">
        <w:t xml:space="preserve"> </w:t>
      </w:r>
      <w:r w:rsidR="00686A15">
        <w:t>11</w:t>
      </w:r>
    </w:p>
    <w:p w:rsidR="00DD319E" w:rsidRDefault="0064422C" w:rsidP="009909C8">
      <w:pPr>
        <w:pStyle w:val="SingleTxtG"/>
        <w:numPr>
          <w:ilvl w:val="0"/>
          <w:numId w:val="21"/>
        </w:numPr>
        <w:tabs>
          <w:tab w:val="clear" w:pos="2988"/>
        </w:tabs>
        <w:ind w:left="1134" w:firstLine="0"/>
        <w:rPr>
          <w:lang w:eastAsia="es-ES"/>
        </w:rPr>
      </w:pPr>
      <w:r w:rsidRPr="0064422C">
        <w:rPr>
          <w:lang w:eastAsia="es-ES"/>
        </w:rPr>
        <w:t>With reference to the Committee’s previous concluding observations (para.</w:t>
      </w:r>
      <w:r w:rsidR="003C52C7">
        <w:rPr>
          <w:lang w:eastAsia="es-ES"/>
        </w:rPr>
        <w:t> </w:t>
      </w:r>
      <w:r w:rsidRPr="0064422C">
        <w:rPr>
          <w:lang w:eastAsia="es-ES"/>
        </w:rPr>
        <w:t>1</w:t>
      </w:r>
      <w:r w:rsidR="00083D47">
        <w:rPr>
          <w:lang w:eastAsia="es-ES"/>
        </w:rPr>
        <w:t>1</w:t>
      </w:r>
      <w:r w:rsidRPr="0064422C">
        <w:rPr>
          <w:lang w:eastAsia="es-ES"/>
        </w:rPr>
        <w:t>), please provide information on</w:t>
      </w:r>
      <w:r w:rsidR="00DD319E">
        <w:rPr>
          <w:lang w:eastAsia="es-ES"/>
        </w:rPr>
        <w:t>:</w:t>
      </w:r>
    </w:p>
    <w:p w:rsidR="00083D47" w:rsidRDefault="00937E70" w:rsidP="00362CA4">
      <w:pPr>
        <w:pStyle w:val="SingleTxtG"/>
        <w:rPr>
          <w:lang w:eastAsia="es-ES"/>
        </w:rPr>
      </w:pPr>
      <w:r>
        <w:rPr>
          <w:lang w:eastAsia="es-ES"/>
        </w:rPr>
        <w:tab/>
        <w:t>(</w:t>
      </w:r>
      <w:r w:rsidR="00DD319E">
        <w:rPr>
          <w:lang w:eastAsia="es-ES"/>
        </w:rPr>
        <w:t>a)</w:t>
      </w:r>
      <w:r w:rsidR="00DD319E">
        <w:rPr>
          <w:lang w:eastAsia="es-ES"/>
        </w:rPr>
        <w:tab/>
      </w:r>
      <w:r w:rsidR="00513364">
        <w:rPr>
          <w:lang w:eastAsia="es-ES"/>
        </w:rPr>
        <w:t>Whether and how the prison-building program</w:t>
      </w:r>
      <w:r w:rsidR="00C24155">
        <w:rPr>
          <w:lang w:eastAsia="es-ES"/>
        </w:rPr>
        <w:t>me</w:t>
      </w:r>
      <w:r w:rsidR="00513364">
        <w:rPr>
          <w:lang w:eastAsia="es-ES"/>
        </w:rPr>
        <w:t xml:space="preserve"> has or has not kept pace with the increased size of the incarcerated prisoner population</w:t>
      </w:r>
      <w:r w:rsidR="00C24155">
        <w:rPr>
          <w:lang w:eastAsia="es-ES"/>
        </w:rPr>
        <w:t>,</w:t>
      </w:r>
      <w:r w:rsidR="00513364">
        <w:rPr>
          <w:lang w:eastAsia="es-ES"/>
        </w:rPr>
        <w:t xml:space="preserve"> </w:t>
      </w:r>
      <w:r w:rsidR="00C24155">
        <w:rPr>
          <w:lang w:eastAsia="es-ES"/>
        </w:rPr>
        <w:t>w</w:t>
      </w:r>
      <w:r w:rsidR="00513364">
        <w:rPr>
          <w:lang w:eastAsia="es-ES"/>
        </w:rPr>
        <w:t>hat s</w:t>
      </w:r>
      <w:r w:rsidR="00083D47">
        <w:rPr>
          <w:lang w:eastAsia="es-ES"/>
        </w:rPr>
        <w:t xml:space="preserve">pecific time frames </w:t>
      </w:r>
      <w:r w:rsidR="00513364">
        <w:rPr>
          <w:lang w:eastAsia="es-ES"/>
        </w:rPr>
        <w:t xml:space="preserve">have been </w:t>
      </w:r>
      <w:r w:rsidR="00083D47">
        <w:rPr>
          <w:lang w:eastAsia="es-ES"/>
        </w:rPr>
        <w:t>adopted for the construction of new prison facilities</w:t>
      </w:r>
      <w:r w:rsidR="00AD6C6B">
        <w:rPr>
          <w:rStyle w:val="FootnoteReference"/>
          <w:lang w:eastAsia="es-ES"/>
        </w:rPr>
        <w:footnoteReference w:id="16"/>
      </w:r>
      <w:r w:rsidR="00083D47">
        <w:rPr>
          <w:lang w:eastAsia="es-ES"/>
        </w:rPr>
        <w:t xml:space="preserve"> in line with international standards</w:t>
      </w:r>
      <w:r w:rsidR="00AF7974">
        <w:rPr>
          <w:rStyle w:val="FootnoteReference"/>
          <w:lang w:eastAsia="es-ES"/>
        </w:rPr>
        <w:footnoteReference w:id="17"/>
      </w:r>
      <w:r w:rsidR="00083D47">
        <w:rPr>
          <w:lang w:eastAsia="es-ES"/>
        </w:rPr>
        <w:t xml:space="preserve"> and in particular any decisions taken regarding th</w:t>
      </w:r>
      <w:r w:rsidR="00DD319E">
        <w:rPr>
          <w:lang w:eastAsia="es-ES"/>
        </w:rPr>
        <w:t>e Thornton Hall prison project;</w:t>
      </w:r>
    </w:p>
    <w:p w:rsidR="00DD319E" w:rsidRDefault="00937E70" w:rsidP="00362CA4">
      <w:pPr>
        <w:pStyle w:val="SingleTxtG"/>
        <w:rPr>
          <w:lang w:eastAsia="es-ES"/>
        </w:rPr>
      </w:pPr>
      <w:r>
        <w:rPr>
          <w:lang w:eastAsia="es-ES"/>
        </w:rPr>
        <w:tab/>
        <w:t>(</w:t>
      </w:r>
      <w:r w:rsidR="00DD319E">
        <w:rPr>
          <w:lang w:eastAsia="es-ES"/>
        </w:rPr>
        <w:t>b)</w:t>
      </w:r>
      <w:r w:rsidR="00DD319E">
        <w:rPr>
          <w:lang w:eastAsia="es-ES"/>
        </w:rPr>
        <w:tab/>
      </w:r>
      <w:r w:rsidR="00330805">
        <w:rPr>
          <w:lang w:eastAsia="es-ES"/>
        </w:rPr>
        <w:t>The adoption of a policy focusing on the development of alternative, non-custodial sanctions</w:t>
      </w:r>
      <w:r w:rsidR="00C24155">
        <w:rPr>
          <w:lang w:eastAsia="es-ES"/>
        </w:rPr>
        <w:t>,</w:t>
      </w:r>
      <w:r w:rsidR="00511067">
        <w:rPr>
          <w:rStyle w:val="FootnoteReference"/>
          <w:lang w:eastAsia="es-ES"/>
        </w:rPr>
        <w:footnoteReference w:id="18"/>
      </w:r>
      <w:r w:rsidR="00330805">
        <w:rPr>
          <w:lang w:eastAsia="es-ES"/>
        </w:rPr>
        <w:t xml:space="preserve"> including the enactment of the bill amending the Criminal Justice (Community Service) Act 1983, </w:t>
      </w:r>
      <w:r w:rsidR="00D208C8">
        <w:rPr>
          <w:lang w:eastAsia="es-ES"/>
        </w:rPr>
        <w:t>requiring</w:t>
      </w:r>
      <w:r w:rsidR="00330805">
        <w:rPr>
          <w:lang w:eastAsia="es-ES"/>
        </w:rPr>
        <w:t xml:space="preserve"> community service </w:t>
      </w:r>
      <w:r w:rsidR="00D208C8">
        <w:rPr>
          <w:lang w:eastAsia="es-ES"/>
        </w:rPr>
        <w:t>to</w:t>
      </w:r>
      <w:r w:rsidR="00330805">
        <w:rPr>
          <w:lang w:eastAsia="es-ES"/>
        </w:rPr>
        <w:t xml:space="preserve"> be considered as an alternative to custody in case</w:t>
      </w:r>
      <w:r w:rsidR="00C24155">
        <w:rPr>
          <w:lang w:eastAsia="es-ES"/>
        </w:rPr>
        <w:t>s</w:t>
      </w:r>
      <w:r w:rsidR="00330805">
        <w:rPr>
          <w:lang w:eastAsia="es-ES"/>
        </w:rPr>
        <w:t xml:space="preserve"> of custodial sentences of 12 months or less;</w:t>
      </w:r>
    </w:p>
    <w:p w:rsidR="00513364" w:rsidRDefault="00C23E96" w:rsidP="00C23E96">
      <w:pPr>
        <w:pStyle w:val="SingleTxtG"/>
        <w:ind w:firstLine="567"/>
        <w:rPr>
          <w:lang w:eastAsia="es-ES"/>
        </w:rPr>
      </w:pPr>
      <w:r>
        <w:rPr>
          <w:lang w:eastAsia="es-ES"/>
        </w:rPr>
        <w:t>(c</w:t>
      </w:r>
      <w:r w:rsidR="00513364">
        <w:rPr>
          <w:lang w:eastAsia="es-ES"/>
        </w:rPr>
        <w:t xml:space="preserve">) In line with the 6 February 2013 </w:t>
      </w:r>
      <w:r w:rsidR="00063F95">
        <w:rPr>
          <w:lang w:eastAsia="es-ES"/>
        </w:rPr>
        <w:t>m</w:t>
      </w:r>
      <w:r w:rsidR="00513364">
        <w:rPr>
          <w:lang w:eastAsia="es-ES"/>
        </w:rPr>
        <w:t>inisterial response to a parliamentary question,</w:t>
      </w:r>
      <w:r w:rsidR="00462649">
        <w:rPr>
          <w:lang w:eastAsia="es-ES"/>
        </w:rPr>
        <w:t xml:space="preserve"> </w:t>
      </w:r>
      <w:r w:rsidR="00513364">
        <w:rPr>
          <w:lang w:eastAsia="es-ES"/>
        </w:rPr>
        <w:t xml:space="preserve">please update the Committee on the expected completion and contents of the </w:t>
      </w:r>
      <w:r w:rsidR="00063F95">
        <w:rPr>
          <w:lang w:eastAsia="es-ES"/>
        </w:rPr>
        <w:t>inspection of places of detention bill</w:t>
      </w:r>
      <w:r w:rsidR="00513364">
        <w:rPr>
          <w:lang w:eastAsia="es-ES"/>
        </w:rPr>
        <w:t xml:space="preserve">; </w:t>
      </w:r>
    </w:p>
    <w:p w:rsidR="0064422C" w:rsidRPr="0064422C" w:rsidRDefault="00937E70" w:rsidP="00362CA4">
      <w:pPr>
        <w:pStyle w:val="SingleTxtG"/>
        <w:rPr>
          <w:lang w:eastAsia="es-ES"/>
        </w:rPr>
      </w:pPr>
      <w:r>
        <w:rPr>
          <w:lang w:eastAsia="es-ES"/>
        </w:rPr>
        <w:tab/>
        <w:t>(</w:t>
      </w:r>
      <w:r w:rsidR="00846373">
        <w:rPr>
          <w:lang w:eastAsia="es-ES"/>
        </w:rPr>
        <w:t>d</w:t>
      </w:r>
      <w:r w:rsidR="00330805">
        <w:rPr>
          <w:lang w:eastAsia="es-ES"/>
        </w:rPr>
        <w:t>)</w:t>
      </w:r>
      <w:r w:rsidR="00330805">
        <w:rPr>
          <w:lang w:eastAsia="es-ES"/>
        </w:rPr>
        <w:tab/>
      </w:r>
      <w:r w:rsidR="003D3412">
        <w:rPr>
          <w:lang w:eastAsia="es-ES"/>
        </w:rPr>
        <w:t>The ratification of the Optional Protocol to the Convention against Torture and other Cruel, Inhuman or Degrading Treatment or Punishment and on the establishment of a national preventive mechanism</w:t>
      </w:r>
      <w:r w:rsidR="00063F95">
        <w:rPr>
          <w:lang w:eastAsia="es-ES"/>
        </w:rPr>
        <w:t>.</w:t>
      </w:r>
      <w:r w:rsidR="00AB7A91">
        <w:rPr>
          <w:rStyle w:val="FootnoteReference"/>
          <w:lang w:eastAsia="es-ES"/>
        </w:rPr>
        <w:footnoteReference w:id="19"/>
      </w:r>
    </w:p>
    <w:p w:rsidR="00095A1D" w:rsidRDefault="0064422C" w:rsidP="009909C8">
      <w:pPr>
        <w:pStyle w:val="SingleTxtG"/>
        <w:numPr>
          <w:ilvl w:val="0"/>
          <w:numId w:val="21"/>
        </w:numPr>
        <w:tabs>
          <w:tab w:val="clear" w:pos="2988"/>
        </w:tabs>
        <w:ind w:left="1134" w:firstLine="0"/>
        <w:rPr>
          <w:lang w:eastAsia="es-ES"/>
        </w:rPr>
      </w:pPr>
      <w:r w:rsidRPr="0064422C">
        <w:rPr>
          <w:lang w:eastAsia="es-ES"/>
        </w:rPr>
        <w:t>In light of the Committee’s previous concluding observations (para.</w:t>
      </w:r>
      <w:r w:rsidR="003C52C7">
        <w:rPr>
          <w:lang w:eastAsia="es-ES"/>
        </w:rPr>
        <w:t> </w:t>
      </w:r>
      <w:r w:rsidRPr="0064422C">
        <w:rPr>
          <w:lang w:eastAsia="es-ES"/>
        </w:rPr>
        <w:t>1</w:t>
      </w:r>
      <w:r w:rsidR="001E5016">
        <w:rPr>
          <w:lang w:eastAsia="es-ES"/>
        </w:rPr>
        <w:t>2</w:t>
      </w:r>
      <w:r w:rsidRPr="0064422C">
        <w:rPr>
          <w:lang w:eastAsia="es-ES"/>
        </w:rPr>
        <w:t xml:space="preserve">), please provide </w:t>
      </w:r>
      <w:r w:rsidR="00C95575">
        <w:rPr>
          <w:lang w:eastAsia="es-ES"/>
        </w:rPr>
        <w:t xml:space="preserve">specific </w:t>
      </w:r>
      <w:r w:rsidR="00846373">
        <w:rPr>
          <w:lang w:eastAsia="es-ES"/>
        </w:rPr>
        <w:t xml:space="preserve">updated </w:t>
      </w:r>
      <w:r w:rsidR="00C95575">
        <w:rPr>
          <w:lang w:eastAsia="es-ES"/>
        </w:rPr>
        <w:t>information</w:t>
      </w:r>
      <w:r w:rsidR="00846373">
        <w:rPr>
          <w:lang w:eastAsia="es-ES"/>
        </w:rPr>
        <w:t xml:space="preserve"> on p</w:t>
      </w:r>
      <w:r w:rsidR="00D87118">
        <w:rPr>
          <w:lang w:eastAsia="es-ES"/>
        </w:rPr>
        <w:t>rogress made in t</w:t>
      </w:r>
      <w:r w:rsidR="00095A1D">
        <w:rPr>
          <w:lang w:eastAsia="es-ES"/>
        </w:rPr>
        <w:t>he elimination, since the adoption of the Committee’s previous concluding observations, of the practice of “slopping out” in instances where prisoners share cells without in-cell sanitation</w:t>
      </w:r>
      <w:r w:rsidR="00063F95">
        <w:rPr>
          <w:lang w:eastAsia="es-ES"/>
        </w:rPr>
        <w:t>,</w:t>
      </w:r>
      <w:r w:rsidR="000E544B">
        <w:rPr>
          <w:rStyle w:val="FootnoteReference"/>
          <w:lang w:eastAsia="es-ES"/>
        </w:rPr>
        <w:footnoteReference w:id="20"/>
      </w:r>
      <w:r w:rsidR="00D87118">
        <w:rPr>
          <w:lang w:eastAsia="es-ES"/>
        </w:rPr>
        <w:t xml:space="preserve"> including a</w:t>
      </w:r>
      <w:r w:rsidR="00846373">
        <w:rPr>
          <w:lang w:eastAsia="es-ES"/>
        </w:rPr>
        <w:t>ny</w:t>
      </w:r>
      <w:r w:rsidR="00D87118">
        <w:rPr>
          <w:lang w:eastAsia="es-ES"/>
        </w:rPr>
        <w:t xml:space="preserve"> specific timeline for its definitive elimination</w:t>
      </w:r>
      <w:r w:rsidR="00063F95">
        <w:rPr>
          <w:lang w:eastAsia="es-ES"/>
        </w:rPr>
        <w:t>,</w:t>
      </w:r>
      <w:r w:rsidR="00893B16">
        <w:rPr>
          <w:lang w:eastAsia="es-ES"/>
        </w:rPr>
        <w:t xml:space="preserve"> on whether camping style toilets ha</w:t>
      </w:r>
      <w:r w:rsidR="00063F95">
        <w:rPr>
          <w:lang w:eastAsia="es-ES"/>
        </w:rPr>
        <w:t>ve</w:t>
      </w:r>
      <w:r w:rsidR="00893B16">
        <w:rPr>
          <w:lang w:eastAsia="es-ES"/>
        </w:rPr>
        <w:t xml:space="preserve"> been introduced in all prisons lacking in</w:t>
      </w:r>
      <w:r w:rsidR="00063F95">
        <w:rPr>
          <w:lang w:eastAsia="es-ES"/>
        </w:rPr>
        <w:t>-</w:t>
      </w:r>
      <w:r w:rsidR="00893B16">
        <w:rPr>
          <w:lang w:eastAsia="es-ES"/>
        </w:rPr>
        <w:t>cell sanitation</w:t>
      </w:r>
      <w:r w:rsidR="00CE1761">
        <w:rPr>
          <w:lang w:eastAsia="es-ES"/>
        </w:rPr>
        <w:t xml:space="preserve"> and whether cells in Cork and Limerick prisons </w:t>
      </w:r>
      <w:r w:rsidR="00063F95">
        <w:rPr>
          <w:lang w:eastAsia="es-ES"/>
        </w:rPr>
        <w:t xml:space="preserve">have </w:t>
      </w:r>
      <w:r w:rsidR="00CE1761">
        <w:rPr>
          <w:lang w:eastAsia="es-ES"/>
        </w:rPr>
        <w:t>been equipped with sanitary facilities</w:t>
      </w:r>
      <w:r w:rsidR="00063F95">
        <w:rPr>
          <w:lang w:eastAsia="es-ES"/>
        </w:rPr>
        <w:t>.</w:t>
      </w:r>
      <w:r w:rsidR="00846373">
        <w:rPr>
          <w:lang w:eastAsia="es-ES"/>
        </w:rPr>
        <w:t xml:space="preserve"> Additionally, please clarify whether</w:t>
      </w:r>
      <w:r w:rsidR="00462649">
        <w:rPr>
          <w:lang w:eastAsia="es-ES"/>
        </w:rPr>
        <w:t xml:space="preserve"> </w:t>
      </w:r>
      <w:r w:rsidR="00063F95">
        <w:rPr>
          <w:lang w:eastAsia="es-ES"/>
        </w:rPr>
        <w:t xml:space="preserve">the </w:t>
      </w:r>
      <w:r w:rsidR="00095A1D">
        <w:rPr>
          <w:lang w:eastAsia="es-ES"/>
        </w:rPr>
        <w:t>prison</w:t>
      </w:r>
      <w:r w:rsidR="00846373">
        <w:rPr>
          <w:lang w:eastAsia="es-ES"/>
        </w:rPr>
        <w:t xml:space="preserve"> authorities permit detainees to be </w:t>
      </w:r>
      <w:r w:rsidR="00095A1D">
        <w:rPr>
          <w:lang w:eastAsia="es-ES"/>
        </w:rPr>
        <w:t>released from their cells to use toilet facilities at all times and in which prison facilities.</w:t>
      </w:r>
    </w:p>
    <w:p w:rsidR="00480C8F" w:rsidRDefault="0064422C" w:rsidP="009909C8">
      <w:pPr>
        <w:pStyle w:val="SingleTxtG"/>
        <w:numPr>
          <w:ilvl w:val="0"/>
          <w:numId w:val="21"/>
        </w:numPr>
        <w:tabs>
          <w:tab w:val="clear" w:pos="2988"/>
        </w:tabs>
        <w:ind w:left="1134" w:firstLine="0"/>
      </w:pPr>
      <w:r w:rsidRPr="0064422C">
        <w:t>With reference to the Committee’s previous concluding observations (para.</w:t>
      </w:r>
      <w:r w:rsidR="0050227A">
        <w:t> </w:t>
      </w:r>
      <w:r w:rsidR="009304C0">
        <w:t>13</w:t>
      </w:r>
      <w:r w:rsidRPr="0064422C">
        <w:t xml:space="preserve">), please provide information on </w:t>
      </w:r>
      <w:r w:rsidR="00A0589C">
        <w:t>steps taken by the State party to follow the guidance given by the Inspector of Prisons in his report dated 7 April 2011 concerning the appropriate use of safety observation and close observation cells.</w:t>
      </w:r>
    </w:p>
    <w:p w:rsidR="00297778" w:rsidRDefault="0064422C" w:rsidP="009909C8">
      <w:pPr>
        <w:pStyle w:val="SingleTxtG"/>
        <w:numPr>
          <w:ilvl w:val="0"/>
          <w:numId w:val="21"/>
        </w:numPr>
        <w:tabs>
          <w:tab w:val="clear" w:pos="2988"/>
        </w:tabs>
        <w:ind w:left="1134" w:firstLine="0"/>
      </w:pPr>
      <w:r w:rsidRPr="0064422C">
        <w:rPr>
          <w:lang w:eastAsia="es-ES"/>
        </w:rPr>
        <w:t>In light of the Committee’s previous concluding observations (para.</w:t>
      </w:r>
      <w:r w:rsidR="0050227A">
        <w:rPr>
          <w:lang w:eastAsia="es-ES"/>
        </w:rPr>
        <w:t> </w:t>
      </w:r>
      <w:r w:rsidR="00297778">
        <w:rPr>
          <w:lang w:eastAsia="es-ES"/>
        </w:rPr>
        <w:t>14</w:t>
      </w:r>
      <w:r w:rsidRPr="0064422C">
        <w:rPr>
          <w:lang w:eastAsia="es-ES"/>
        </w:rPr>
        <w:t xml:space="preserve">), please provide updated information on measures taken to </w:t>
      </w:r>
      <w:r w:rsidR="00297778">
        <w:rPr>
          <w:lang w:eastAsia="es-ES"/>
        </w:rPr>
        <w:t xml:space="preserve">improve </w:t>
      </w:r>
      <w:r w:rsidR="00EF1191">
        <w:rPr>
          <w:lang w:eastAsia="es-ES"/>
        </w:rPr>
        <w:t xml:space="preserve">the standard of </w:t>
      </w:r>
      <w:r w:rsidR="00297778">
        <w:rPr>
          <w:lang w:eastAsia="es-ES"/>
        </w:rPr>
        <w:t>health care</w:t>
      </w:r>
      <w:r w:rsidR="004C4483">
        <w:rPr>
          <w:lang w:eastAsia="es-ES"/>
        </w:rPr>
        <w:t>, including mental health care,</w:t>
      </w:r>
      <w:r w:rsidR="00297778">
        <w:rPr>
          <w:lang w:eastAsia="es-ES"/>
        </w:rPr>
        <w:t xml:space="preserve"> in all prisons</w:t>
      </w:r>
      <w:r w:rsidR="00EF1191">
        <w:rPr>
          <w:lang w:eastAsia="es-ES"/>
        </w:rPr>
        <w:t xml:space="preserve"> in </w:t>
      </w:r>
      <w:r w:rsidR="00EF1191" w:rsidRPr="0064422C">
        <w:rPr>
          <w:lang w:eastAsia="es-ES"/>
        </w:rPr>
        <w:t>the State party</w:t>
      </w:r>
      <w:r w:rsidR="00297778">
        <w:rPr>
          <w:lang w:eastAsia="es-ES"/>
        </w:rPr>
        <w:t xml:space="preserve">, taking into account the guidance provided by the Inspector of Prisons </w:t>
      </w:r>
      <w:r w:rsidR="00297778">
        <w:t>in his report dated 18 April 2011</w:t>
      </w:r>
      <w:r w:rsidR="00EF1191">
        <w:t>.</w:t>
      </w:r>
    </w:p>
    <w:p w:rsidR="00561D43" w:rsidRDefault="00561D43" w:rsidP="009909C8">
      <w:pPr>
        <w:pStyle w:val="SingleTxtG"/>
        <w:numPr>
          <w:ilvl w:val="0"/>
          <w:numId w:val="21"/>
        </w:numPr>
        <w:tabs>
          <w:tab w:val="clear" w:pos="2988"/>
        </w:tabs>
        <w:ind w:left="1134" w:firstLine="0"/>
        <w:rPr>
          <w:lang w:eastAsia="es-ES"/>
        </w:rPr>
      </w:pPr>
      <w:r w:rsidRPr="0064422C">
        <w:rPr>
          <w:lang w:eastAsia="es-ES"/>
        </w:rPr>
        <w:t>With reference to the Committee’s previous concluding observations (para.</w:t>
      </w:r>
      <w:r w:rsidR="0050227A">
        <w:rPr>
          <w:lang w:eastAsia="es-ES"/>
        </w:rPr>
        <w:t> </w:t>
      </w:r>
      <w:r w:rsidRPr="0064422C">
        <w:rPr>
          <w:lang w:eastAsia="es-ES"/>
        </w:rPr>
        <w:t>1</w:t>
      </w:r>
      <w:r>
        <w:rPr>
          <w:lang w:eastAsia="es-ES"/>
        </w:rPr>
        <w:t>5</w:t>
      </w:r>
      <w:r w:rsidRPr="0064422C">
        <w:rPr>
          <w:lang w:eastAsia="es-ES"/>
        </w:rPr>
        <w:t xml:space="preserve">), please </w:t>
      </w:r>
      <w:r w:rsidR="000D2735">
        <w:rPr>
          <w:lang w:eastAsia="es-ES"/>
        </w:rPr>
        <w:t>provide</w:t>
      </w:r>
      <w:r w:rsidR="00A30A65">
        <w:rPr>
          <w:lang w:eastAsia="es-ES"/>
        </w:rPr>
        <w:t xml:space="preserve"> updated</w:t>
      </w:r>
      <w:r w:rsidR="00D9471D">
        <w:rPr>
          <w:lang w:eastAsia="es-ES"/>
        </w:rPr>
        <w:t xml:space="preserve"> information, including</w:t>
      </w:r>
      <w:r w:rsidR="000D2735">
        <w:rPr>
          <w:lang w:eastAsia="es-ES"/>
        </w:rPr>
        <w:t xml:space="preserve"> statistical data</w:t>
      </w:r>
      <w:r w:rsidR="00D9471D">
        <w:rPr>
          <w:lang w:eastAsia="es-ES"/>
        </w:rPr>
        <w:t>,</w:t>
      </w:r>
      <w:r w:rsidR="000D2735">
        <w:rPr>
          <w:lang w:eastAsia="es-ES"/>
        </w:rPr>
        <w:t xml:space="preserve"> on the efforts made by the State party to </w:t>
      </w:r>
      <w:r w:rsidR="00D9471D">
        <w:rPr>
          <w:lang w:eastAsia="es-ES"/>
        </w:rPr>
        <w:t>tackle</w:t>
      </w:r>
      <w:r w:rsidR="000D2735">
        <w:rPr>
          <w:lang w:eastAsia="es-ES"/>
        </w:rPr>
        <w:t xml:space="preserve"> inter-prisoner violence,</w:t>
      </w:r>
      <w:r w:rsidR="00846373">
        <w:rPr>
          <w:lang w:eastAsia="es-ES"/>
        </w:rPr>
        <w:t xml:space="preserve"> including such concerns of the European Committee</w:t>
      </w:r>
      <w:r w:rsidR="00063F95">
        <w:rPr>
          <w:lang w:eastAsia="es-ES"/>
        </w:rPr>
        <w:t xml:space="preserve"> </w:t>
      </w:r>
      <w:r w:rsidR="00063F95" w:rsidRPr="00063F95">
        <w:rPr>
          <w:b/>
          <w:bCs/>
          <w:lang w:eastAsia="es-ES"/>
        </w:rPr>
        <w:t>for the Prevention of Torture and Inhuman or Degrading Treatment or Punishment</w:t>
      </w:r>
      <w:r w:rsidR="00063F95" w:rsidRPr="00063F95">
        <w:rPr>
          <w:lang w:eastAsia="es-ES"/>
        </w:rPr>
        <w:t> </w:t>
      </w:r>
      <w:r w:rsidR="00846373">
        <w:rPr>
          <w:lang w:eastAsia="es-ES"/>
        </w:rPr>
        <w:t xml:space="preserve"> regarding stabbings, slashing and assaults with objects and, in particular, with regard to</w:t>
      </w:r>
      <w:r w:rsidRPr="0064422C">
        <w:rPr>
          <w:lang w:eastAsia="es-ES"/>
        </w:rPr>
        <w:t>:</w:t>
      </w:r>
    </w:p>
    <w:p w:rsidR="000D2735" w:rsidRDefault="00937E70" w:rsidP="00362CA4">
      <w:pPr>
        <w:pStyle w:val="SingleTxtG"/>
        <w:rPr>
          <w:lang w:eastAsia="es-ES"/>
        </w:rPr>
      </w:pPr>
      <w:r>
        <w:rPr>
          <w:lang w:eastAsia="es-ES"/>
        </w:rPr>
        <w:tab/>
        <w:t>(</w:t>
      </w:r>
      <w:r w:rsidR="000D2735">
        <w:rPr>
          <w:lang w:eastAsia="es-ES"/>
        </w:rPr>
        <w:t>a)</w:t>
      </w:r>
      <w:r w:rsidR="000D2735">
        <w:rPr>
          <w:lang w:eastAsia="es-ES"/>
        </w:rPr>
        <w:tab/>
      </w:r>
      <w:r w:rsidR="00A30A65">
        <w:rPr>
          <w:lang w:eastAsia="es-ES"/>
        </w:rPr>
        <w:t xml:space="preserve">Addressing factors such as the availability of </w:t>
      </w:r>
      <w:r w:rsidR="00846373">
        <w:rPr>
          <w:lang w:eastAsia="es-ES"/>
        </w:rPr>
        <w:t xml:space="preserve">illegal </w:t>
      </w:r>
      <w:r w:rsidR="00A30A65">
        <w:rPr>
          <w:lang w:eastAsia="es-ES"/>
        </w:rPr>
        <w:t>drugs, the existence of feuding gangs, lack of purposeful activities, lack of space and poor material conditions</w:t>
      </w:r>
      <w:r w:rsidR="00AB12F2">
        <w:rPr>
          <w:lang w:eastAsia="es-ES"/>
        </w:rPr>
        <w:t>;</w:t>
      </w:r>
    </w:p>
    <w:p w:rsidR="00AB12F2" w:rsidRDefault="00937E70" w:rsidP="00362CA4">
      <w:pPr>
        <w:pStyle w:val="SingleTxtG"/>
        <w:rPr>
          <w:lang w:eastAsia="es-ES"/>
        </w:rPr>
      </w:pPr>
      <w:r>
        <w:rPr>
          <w:lang w:eastAsia="es-ES"/>
        </w:rPr>
        <w:tab/>
        <w:t>(</w:t>
      </w:r>
      <w:r w:rsidR="00AB12F2">
        <w:rPr>
          <w:lang w:eastAsia="es-ES"/>
        </w:rPr>
        <w:t>b)</w:t>
      </w:r>
      <w:r w:rsidR="00AB12F2">
        <w:rPr>
          <w:lang w:eastAsia="es-ES"/>
        </w:rPr>
        <w:tab/>
        <w:t xml:space="preserve">Addressing the issue of intimidation of the Traveller community, in particular in </w:t>
      </w:r>
      <w:smartTag w:uri="urn:schemas-microsoft-com:office:smarttags" w:element="City">
        <w:smartTag w:uri="urn:schemas-microsoft-com:office:smarttags" w:element="place">
          <w:r w:rsidR="00AB12F2">
            <w:rPr>
              <w:lang w:eastAsia="es-ES"/>
            </w:rPr>
            <w:t>Cork</w:t>
          </w:r>
        </w:smartTag>
      </w:smartTag>
      <w:r w:rsidR="00AB12F2">
        <w:rPr>
          <w:lang w:eastAsia="es-ES"/>
        </w:rPr>
        <w:t xml:space="preserve"> </w:t>
      </w:r>
      <w:r w:rsidR="00063F95">
        <w:rPr>
          <w:lang w:eastAsia="es-ES"/>
        </w:rPr>
        <w:t>p</w:t>
      </w:r>
      <w:r w:rsidR="00AB12F2">
        <w:rPr>
          <w:lang w:eastAsia="es-ES"/>
        </w:rPr>
        <w:t>rison, and investigating allegations of such intimidation;</w:t>
      </w:r>
    </w:p>
    <w:p w:rsidR="008A4917" w:rsidRDefault="00937E70" w:rsidP="00362CA4">
      <w:pPr>
        <w:pStyle w:val="SingleTxtG"/>
        <w:rPr>
          <w:lang w:eastAsia="es-ES"/>
        </w:rPr>
      </w:pPr>
      <w:r>
        <w:rPr>
          <w:lang w:eastAsia="es-ES"/>
        </w:rPr>
        <w:tab/>
        <w:t>(</w:t>
      </w:r>
      <w:r w:rsidR="00AB12F2">
        <w:rPr>
          <w:lang w:eastAsia="es-ES"/>
        </w:rPr>
        <w:t>c)</w:t>
      </w:r>
      <w:r w:rsidR="00AB12F2">
        <w:rPr>
          <w:lang w:eastAsia="es-ES"/>
        </w:rPr>
        <w:tab/>
      </w:r>
      <w:r w:rsidR="00CA204A">
        <w:rPr>
          <w:lang w:eastAsia="es-ES"/>
        </w:rPr>
        <w:t>Providing training on the management of inter-prisoner violence to sufficient members of staff</w:t>
      </w:r>
      <w:r w:rsidR="004C4483">
        <w:rPr>
          <w:lang w:eastAsia="es-ES"/>
        </w:rPr>
        <w:t>;</w:t>
      </w:r>
    </w:p>
    <w:p w:rsidR="00AB12F2" w:rsidRDefault="00937E70" w:rsidP="00362CA4">
      <w:pPr>
        <w:pStyle w:val="SingleTxtG"/>
        <w:rPr>
          <w:lang w:eastAsia="es-ES"/>
        </w:rPr>
      </w:pPr>
      <w:r>
        <w:rPr>
          <w:lang w:eastAsia="es-ES"/>
        </w:rPr>
        <w:tab/>
        <w:t>(</w:t>
      </w:r>
      <w:r w:rsidR="008A4917">
        <w:rPr>
          <w:lang w:eastAsia="es-ES"/>
        </w:rPr>
        <w:t>d)</w:t>
      </w:r>
      <w:r w:rsidR="008A4917">
        <w:rPr>
          <w:lang w:eastAsia="es-ES"/>
        </w:rPr>
        <w:tab/>
        <w:t xml:space="preserve">Results of any enquiry into the death of Gary Douche in </w:t>
      </w:r>
      <w:proofErr w:type="spellStart"/>
      <w:r w:rsidR="008A4917">
        <w:rPr>
          <w:lang w:eastAsia="es-ES"/>
        </w:rPr>
        <w:t>Mountjoy</w:t>
      </w:r>
      <w:proofErr w:type="spellEnd"/>
      <w:r w:rsidR="008A4917">
        <w:rPr>
          <w:lang w:eastAsia="es-ES"/>
        </w:rPr>
        <w:t xml:space="preserve"> </w:t>
      </w:r>
      <w:r w:rsidR="00063F95">
        <w:rPr>
          <w:lang w:eastAsia="es-ES"/>
        </w:rPr>
        <w:t>p</w:t>
      </w:r>
      <w:r w:rsidR="008A4917">
        <w:rPr>
          <w:lang w:eastAsia="es-ES"/>
        </w:rPr>
        <w:t>rison on 1 August 2006</w:t>
      </w:r>
      <w:r w:rsidR="00CA204A">
        <w:rPr>
          <w:lang w:eastAsia="es-ES"/>
        </w:rPr>
        <w:t>.</w:t>
      </w:r>
      <w:r w:rsidR="00462649">
        <w:rPr>
          <w:lang w:eastAsia="es-ES"/>
        </w:rPr>
        <w:t xml:space="preserve"> </w:t>
      </w:r>
      <w:r w:rsidR="004711FE">
        <w:rPr>
          <w:lang w:eastAsia="es-ES"/>
        </w:rPr>
        <w:t>Also, please provide information on other deaths in custody since the consideration of t</w:t>
      </w:r>
      <w:r w:rsidR="00846373">
        <w:rPr>
          <w:lang w:eastAsia="es-ES"/>
        </w:rPr>
        <w:t>he State party’s initial report</w:t>
      </w:r>
      <w:r w:rsidR="00B27BB3">
        <w:rPr>
          <w:lang w:eastAsia="es-ES"/>
        </w:rPr>
        <w:t>, including the number and results of any investigations or post mortem proceedings, as well as whether any officials have been held responsible and if so</w:t>
      </w:r>
      <w:r w:rsidR="00C04749">
        <w:rPr>
          <w:lang w:eastAsia="es-ES"/>
        </w:rPr>
        <w:t>, with what sanction or result;</w:t>
      </w:r>
    </w:p>
    <w:p w:rsidR="00B27BB3" w:rsidRDefault="00C04749" w:rsidP="00362CA4">
      <w:pPr>
        <w:pStyle w:val="SingleTxtG"/>
        <w:rPr>
          <w:lang w:eastAsia="es-ES"/>
        </w:rPr>
      </w:pPr>
      <w:r>
        <w:rPr>
          <w:lang w:eastAsia="es-ES"/>
        </w:rPr>
        <w:tab/>
        <w:t>(e)</w:t>
      </w:r>
      <w:r>
        <w:rPr>
          <w:lang w:eastAsia="es-ES"/>
        </w:rPr>
        <w:tab/>
      </w:r>
      <w:r w:rsidR="00B27BB3">
        <w:rPr>
          <w:lang w:eastAsia="es-ES"/>
        </w:rPr>
        <w:t>Reducing incidents of inter</w:t>
      </w:r>
      <w:r w:rsidR="00063F95">
        <w:rPr>
          <w:lang w:eastAsia="es-ES"/>
        </w:rPr>
        <w:t>-</w:t>
      </w:r>
      <w:r w:rsidR="00B27BB3">
        <w:rPr>
          <w:lang w:eastAsia="es-ES"/>
        </w:rPr>
        <w:t>prisoner violence and ensuring effective remedies, including protection, for prisoners subjected to such violent events.</w:t>
      </w:r>
    </w:p>
    <w:p w:rsidR="00375D0D" w:rsidRDefault="00CA204A" w:rsidP="009909C8">
      <w:pPr>
        <w:pStyle w:val="SingleTxtG"/>
        <w:numPr>
          <w:ilvl w:val="0"/>
          <w:numId w:val="21"/>
        </w:numPr>
        <w:tabs>
          <w:tab w:val="clear" w:pos="2988"/>
        </w:tabs>
        <w:ind w:left="1134" w:firstLine="0"/>
        <w:rPr>
          <w:lang w:eastAsia="es-ES"/>
        </w:rPr>
      </w:pPr>
      <w:r w:rsidRPr="0064422C">
        <w:rPr>
          <w:lang w:eastAsia="es-ES"/>
        </w:rPr>
        <w:t>In light of the Committee’s previous concluding observations</w:t>
      </w:r>
      <w:r w:rsidR="0009685B">
        <w:rPr>
          <w:lang w:eastAsia="es-ES"/>
        </w:rPr>
        <w:t xml:space="preserve"> (para.</w:t>
      </w:r>
      <w:r w:rsidR="0050227A">
        <w:rPr>
          <w:lang w:eastAsia="es-ES"/>
        </w:rPr>
        <w:t> </w:t>
      </w:r>
      <w:r>
        <w:rPr>
          <w:lang w:eastAsia="es-ES"/>
        </w:rPr>
        <w:t>6</w:t>
      </w:r>
      <w:r w:rsidR="0064422C" w:rsidRPr="0064422C">
        <w:rPr>
          <w:lang w:eastAsia="es-ES"/>
        </w:rPr>
        <w:t>), please</w:t>
      </w:r>
      <w:r w:rsidR="00375D0D">
        <w:rPr>
          <w:lang w:eastAsia="es-ES"/>
        </w:rPr>
        <w:t xml:space="preserve"> provide information on measures taken by the State par</w:t>
      </w:r>
      <w:r w:rsidR="009B346A">
        <w:rPr>
          <w:lang w:eastAsia="es-ES"/>
        </w:rPr>
        <w:t xml:space="preserve">ty </w:t>
      </w:r>
      <w:r w:rsidR="00063F95">
        <w:rPr>
          <w:lang w:eastAsia="es-ES"/>
        </w:rPr>
        <w:t xml:space="preserve">since the adoption of the Committee’s concluding observations </w:t>
      </w:r>
      <w:r w:rsidR="009B346A">
        <w:rPr>
          <w:lang w:eastAsia="es-ES"/>
        </w:rPr>
        <w:t>to house remand prisoners in</w:t>
      </w:r>
      <w:r w:rsidR="00375D0D">
        <w:rPr>
          <w:lang w:eastAsia="es-ES"/>
        </w:rPr>
        <w:t xml:space="preserve"> accommodation areas separated from those for sentenced prisoners</w:t>
      </w:r>
      <w:r w:rsidR="00063F95">
        <w:rPr>
          <w:lang w:eastAsia="es-ES"/>
        </w:rPr>
        <w:t>.</w:t>
      </w:r>
    </w:p>
    <w:p w:rsidR="004950A0" w:rsidRDefault="004950A0" w:rsidP="009909C8">
      <w:pPr>
        <w:pStyle w:val="SingleTxtG"/>
        <w:numPr>
          <w:ilvl w:val="0"/>
          <w:numId w:val="21"/>
        </w:numPr>
        <w:tabs>
          <w:tab w:val="clear" w:pos="2988"/>
        </w:tabs>
        <w:ind w:left="1134" w:firstLine="0"/>
        <w:rPr>
          <w:lang w:eastAsia="es-ES"/>
        </w:rPr>
      </w:pPr>
      <w:r w:rsidRPr="0064422C">
        <w:rPr>
          <w:lang w:eastAsia="es-ES"/>
        </w:rPr>
        <w:t>In light of the Committee’s previous concluding observations (para.</w:t>
      </w:r>
      <w:r w:rsidR="0050227A">
        <w:rPr>
          <w:lang w:eastAsia="es-ES"/>
        </w:rPr>
        <w:t> </w:t>
      </w:r>
      <w:r>
        <w:rPr>
          <w:lang w:eastAsia="es-ES"/>
        </w:rPr>
        <w:t xml:space="preserve">2), </w:t>
      </w:r>
      <w:r w:rsidR="00DD4640">
        <w:rPr>
          <w:lang w:eastAsia="es-ES"/>
        </w:rPr>
        <w:t xml:space="preserve">please provide an update on </w:t>
      </w:r>
      <w:r w:rsidR="00DA0893">
        <w:rPr>
          <w:lang w:eastAsia="es-ES"/>
        </w:rPr>
        <w:t xml:space="preserve">the construction of new national children detention facilities at </w:t>
      </w:r>
      <w:proofErr w:type="spellStart"/>
      <w:r w:rsidR="00DA0893">
        <w:rPr>
          <w:lang w:eastAsia="es-ES"/>
        </w:rPr>
        <w:t>Oberstown</w:t>
      </w:r>
      <w:proofErr w:type="spellEnd"/>
      <w:r w:rsidR="00DA0893">
        <w:rPr>
          <w:lang w:eastAsia="es-ES"/>
        </w:rPr>
        <w:t>.</w:t>
      </w:r>
      <w:r w:rsidR="00462649">
        <w:rPr>
          <w:lang w:eastAsia="es-ES"/>
        </w:rPr>
        <w:t xml:space="preserve"> </w:t>
      </w:r>
      <w:r w:rsidR="00DD4640">
        <w:rPr>
          <w:lang w:eastAsia="es-ES"/>
        </w:rPr>
        <w:t>Also, please provide information on steps taken to end the detention of children in St. Patrick’s Institution.</w:t>
      </w:r>
      <w:r w:rsidR="00462649">
        <w:rPr>
          <w:lang w:eastAsia="es-ES"/>
        </w:rPr>
        <w:t xml:space="preserve"> </w:t>
      </w:r>
    </w:p>
    <w:p w:rsidR="0064422C" w:rsidRPr="0064422C" w:rsidRDefault="0064422C" w:rsidP="00362CA4">
      <w:pPr>
        <w:pStyle w:val="H23G"/>
      </w:pPr>
      <w:r w:rsidRPr="0064422C">
        <w:tab/>
      </w:r>
      <w:r w:rsidRPr="0064422C">
        <w:tab/>
        <w:t>Articles 12, 13 and 14</w:t>
      </w:r>
    </w:p>
    <w:p w:rsidR="00A20E3B" w:rsidRDefault="005B318E" w:rsidP="009909C8">
      <w:pPr>
        <w:pStyle w:val="SingleTxtG"/>
        <w:numPr>
          <w:ilvl w:val="0"/>
          <w:numId w:val="21"/>
        </w:numPr>
        <w:tabs>
          <w:tab w:val="clear" w:pos="2988"/>
        </w:tabs>
        <w:ind w:left="1134" w:firstLine="0"/>
        <w:rPr>
          <w:lang w:eastAsia="es-ES"/>
        </w:rPr>
      </w:pPr>
      <w:r w:rsidRPr="0064422C">
        <w:rPr>
          <w:lang w:eastAsia="es-ES"/>
        </w:rPr>
        <w:t>With reference to the Committee’s previous</w:t>
      </w:r>
      <w:r w:rsidR="0009685B">
        <w:rPr>
          <w:lang w:eastAsia="es-ES"/>
        </w:rPr>
        <w:t xml:space="preserve"> concluding observations (para.</w:t>
      </w:r>
      <w:r w:rsidR="003C52C7">
        <w:rPr>
          <w:lang w:eastAsia="es-ES"/>
        </w:rPr>
        <w:t> </w:t>
      </w:r>
      <w:r>
        <w:rPr>
          <w:lang w:eastAsia="es-ES"/>
        </w:rPr>
        <w:t>1</w:t>
      </w:r>
      <w:r w:rsidR="001E6FD3">
        <w:rPr>
          <w:lang w:eastAsia="es-ES"/>
        </w:rPr>
        <w:t>8</w:t>
      </w:r>
      <w:r w:rsidR="0064422C" w:rsidRPr="0064422C">
        <w:rPr>
          <w:lang w:eastAsia="es-ES"/>
        </w:rPr>
        <w:t>), please provide information on</w:t>
      </w:r>
      <w:r w:rsidR="00A20E3B">
        <w:rPr>
          <w:lang w:eastAsia="es-ES"/>
        </w:rPr>
        <w:t>:</w:t>
      </w:r>
    </w:p>
    <w:p w:rsidR="00A20E3B" w:rsidRDefault="00937E70" w:rsidP="00362CA4">
      <w:pPr>
        <w:pStyle w:val="SingleTxtG"/>
        <w:rPr>
          <w:lang w:eastAsia="es-ES"/>
        </w:rPr>
      </w:pPr>
      <w:r>
        <w:rPr>
          <w:lang w:eastAsia="es-ES"/>
        </w:rPr>
        <w:tab/>
        <w:t>(</w:t>
      </w:r>
      <w:r w:rsidR="00A20E3B">
        <w:rPr>
          <w:lang w:eastAsia="es-ES"/>
        </w:rPr>
        <w:t>a)</w:t>
      </w:r>
      <w:r w:rsidR="00A20E3B">
        <w:rPr>
          <w:lang w:eastAsia="es-ES"/>
        </w:rPr>
        <w:tab/>
        <w:t>S</w:t>
      </w:r>
      <w:r w:rsidR="0064422C" w:rsidRPr="0064422C">
        <w:rPr>
          <w:lang w:eastAsia="es-ES"/>
        </w:rPr>
        <w:t xml:space="preserve">teps taken to </w:t>
      </w:r>
      <w:r w:rsidR="00EC470F">
        <w:rPr>
          <w:lang w:eastAsia="es-ES"/>
        </w:rPr>
        <w:t xml:space="preserve">establish an independent and effective complaint and investigation mechanism to facilitate the submission of complaints by </w:t>
      </w:r>
      <w:r w:rsidR="00B27BB3">
        <w:rPr>
          <w:lang w:eastAsia="es-ES"/>
        </w:rPr>
        <w:t xml:space="preserve">all prisoners, including alleged </w:t>
      </w:r>
      <w:r w:rsidR="00EC470F">
        <w:rPr>
          <w:lang w:eastAsia="es-ES"/>
        </w:rPr>
        <w:t>victims of torture a</w:t>
      </w:r>
      <w:r w:rsidR="00B27BB3">
        <w:rPr>
          <w:lang w:eastAsia="es-ES"/>
        </w:rPr>
        <w:t>nd ill-treatment by police, public officials or persons acting on their behalf or with their consent</w:t>
      </w:r>
      <w:r w:rsidR="00EC470F">
        <w:rPr>
          <w:lang w:eastAsia="es-ES"/>
        </w:rPr>
        <w:t>;</w:t>
      </w:r>
    </w:p>
    <w:p w:rsidR="00EC470F" w:rsidRDefault="00937E70" w:rsidP="00362CA4">
      <w:pPr>
        <w:pStyle w:val="SingleTxtG"/>
        <w:rPr>
          <w:lang w:eastAsia="es-ES"/>
        </w:rPr>
      </w:pPr>
      <w:r>
        <w:rPr>
          <w:lang w:eastAsia="es-ES"/>
        </w:rPr>
        <w:tab/>
        <w:t>(</w:t>
      </w:r>
      <w:r w:rsidR="00EC470F">
        <w:rPr>
          <w:lang w:eastAsia="es-ES"/>
        </w:rPr>
        <w:t>b)</w:t>
      </w:r>
      <w:r w:rsidR="00EC470F">
        <w:rPr>
          <w:lang w:eastAsia="es-ES"/>
        </w:rPr>
        <w:tab/>
      </w:r>
      <w:r w:rsidR="00B67A01">
        <w:rPr>
          <w:lang w:eastAsia="es-ES"/>
        </w:rPr>
        <w:t>Measures taken to ensure</w:t>
      </w:r>
      <w:r w:rsidR="00EC470F">
        <w:rPr>
          <w:lang w:eastAsia="es-ES"/>
        </w:rPr>
        <w:t xml:space="preserve"> that complainants are protected in practice against any intimidation or reprisals as a consequence of their complaints;</w:t>
      </w:r>
    </w:p>
    <w:p w:rsidR="00EC470F" w:rsidRDefault="00937E70" w:rsidP="00362CA4">
      <w:pPr>
        <w:pStyle w:val="SingleTxtG"/>
        <w:rPr>
          <w:lang w:eastAsia="es-ES"/>
        </w:rPr>
      </w:pPr>
      <w:r>
        <w:rPr>
          <w:lang w:eastAsia="es-ES"/>
        </w:rPr>
        <w:tab/>
        <w:t>(</w:t>
      </w:r>
      <w:r w:rsidR="00EC470F">
        <w:rPr>
          <w:lang w:eastAsia="es-ES"/>
        </w:rPr>
        <w:t>c)</w:t>
      </w:r>
      <w:r w:rsidR="00EC470F">
        <w:rPr>
          <w:lang w:eastAsia="es-ES"/>
        </w:rPr>
        <w:tab/>
      </w:r>
      <w:r w:rsidR="00E429B3">
        <w:rPr>
          <w:lang w:eastAsia="es-ES"/>
        </w:rPr>
        <w:t xml:space="preserve">The number of complaints made concerning allegations of torture and ill-treatment by </w:t>
      </w:r>
      <w:r w:rsidR="00B27BB3">
        <w:rPr>
          <w:lang w:eastAsia="es-ES"/>
        </w:rPr>
        <w:t xml:space="preserve">public officials, </w:t>
      </w:r>
      <w:r w:rsidR="00E429B3">
        <w:rPr>
          <w:lang w:eastAsia="es-ES"/>
        </w:rPr>
        <w:t>prison staff</w:t>
      </w:r>
      <w:r w:rsidR="00B27BB3">
        <w:rPr>
          <w:lang w:eastAsia="es-ES"/>
        </w:rPr>
        <w:t xml:space="preserve">, and persons acting with the acquiescence or consent of </w:t>
      </w:r>
      <w:r w:rsidR="00063F95">
        <w:rPr>
          <w:lang w:eastAsia="es-ES"/>
        </w:rPr>
        <w:t>S</w:t>
      </w:r>
      <w:r w:rsidR="00B27BB3">
        <w:rPr>
          <w:lang w:eastAsia="es-ES"/>
        </w:rPr>
        <w:t>tate officials</w:t>
      </w:r>
      <w:r w:rsidR="00E429B3">
        <w:rPr>
          <w:lang w:eastAsia="es-ES"/>
        </w:rPr>
        <w:t>;</w:t>
      </w:r>
    </w:p>
    <w:p w:rsidR="00E429B3" w:rsidRDefault="00937E70" w:rsidP="00362CA4">
      <w:pPr>
        <w:pStyle w:val="SingleTxtG"/>
        <w:rPr>
          <w:lang w:eastAsia="es-ES"/>
        </w:rPr>
      </w:pPr>
      <w:r>
        <w:rPr>
          <w:lang w:eastAsia="es-ES"/>
        </w:rPr>
        <w:tab/>
        <w:t>(</w:t>
      </w:r>
      <w:r w:rsidR="00E429B3">
        <w:rPr>
          <w:lang w:eastAsia="es-ES"/>
        </w:rPr>
        <w:t>d)</w:t>
      </w:r>
      <w:r w:rsidR="00E429B3">
        <w:rPr>
          <w:lang w:eastAsia="es-ES"/>
        </w:rPr>
        <w:tab/>
        <w:t>The number and results of any investigations into allegations of torture or ill-treatment since the adoption of the previous concluding observations, the number of prosecutions and the</w:t>
      </w:r>
      <w:r w:rsidR="00B27BB3">
        <w:rPr>
          <w:lang w:eastAsia="es-ES"/>
        </w:rPr>
        <w:t xml:space="preserve"> number of convictions. Please clarify whether external organizations and investigators are permitted to investigate complaints in the absence of public inquiries and an effective complaints and investigation mechanism; </w:t>
      </w:r>
    </w:p>
    <w:p w:rsidR="00E429B3" w:rsidRDefault="00937E70" w:rsidP="00362CA4">
      <w:pPr>
        <w:pStyle w:val="SingleTxtG"/>
        <w:rPr>
          <w:lang w:eastAsia="es-ES"/>
        </w:rPr>
      </w:pPr>
      <w:r>
        <w:rPr>
          <w:lang w:eastAsia="es-ES"/>
        </w:rPr>
        <w:tab/>
        <w:t>(</w:t>
      </w:r>
      <w:r w:rsidR="00E429B3">
        <w:rPr>
          <w:lang w:eastAsia="es-ES"/>
        </w:rPr>
        <w:t>e)</w:t>
      </w:r>
      <w:r w:rsidR="00E429B3">
        <w:rPr>
          <w:lang w:eastAsia="es-ES"/>
        </w:rPr>
        <w:tab/>
        <w:t>Redress provided to victims of torture and ill-treatment</w:t>
      </w:r>
      <w:r w:rsidR="00C04749">
        <w:rPr>
          <w:lang w:eastAsia="es-ES"/>
        </w:rPr>
        <w:t>.</w:t>
      </w:r>
    </w:p>
    <w:p w:rsidR="002E4700" w:rsidRDefault="005B318E" w:rsidP="009909C8">
      <w:pPr>
        <w:pStyle w:val="SingleTxtG"/>
        <w:numPr>
          <w:ilvl w:val="0"/>
          <w:numId w:val="21"/>
        </w:numPr>
        <w:tabs>
          <w:tab w:val="clear" w:pos="2988"/>
        </w:tabs>
        <w:ind w:left="1134" w:firstLine="0"/>
        <w:rPr>
          <w:lang w:eastAsia="es-ES"/>
        </w:rPr>
      </w:pPr>
      <w:r w:rsidRPr="0064422C">
        <w:rPr>
          <w:lang w:eastAsia="es-ES"/>
        </w:rPr>
        <w:t>In light of the Committee’s previous concluding observations</w:t>
      </w:r>
      <w:r w:rsidR="0009685B">
        <w:t xml:space="preserve"> (para.</w:t>
      </w:r>
      <w:r w:rsidR="0050227A">
        <w:t> </w:t>
      </w:r>
      <w:r w:rsidR="00830EC9">
        <w:t>19</w:t>
      </w:r>
      <w:r w:rsidR="0064422C" w:rsidRPr="0064422C">
        <w:t>), p</w:t>
      </w:r>
      <w:r w:rsidR="0064422C" w:rsidRPr="0064422C">
        <w:rPr>
          <w:lang w:eastAsia="es-ES"/>
        </w:rPr>
        <w:t>lease</w:t>
      </w:r>
      <w:r w:rsidR="002E4700">
        <w:rPr>
          <w:lang w:eastAsia="es-ES"/>
        </w:rPr>
        <w:t xml:space="preserve"> provide</w:t>
      </w:r>
      <w:r w:rsidR="00F9527E">
        <w:rPr>
          <w:lang w:eastAsia="es-ES"/>
        </w:rPr>
        <w:t xml:space="preserve"> information on</w:t>
      </w:r>
      <w:r w:rsidR="002E4700">
        <w:rPr>
          <w:lang w:eastAsia="es-ES"/>
        </w:rPr>
        <w:t>:</w:t>
      </w:r>
    </w:p>
    <w:p w:rsidR="00F9527E" w:rsidRDefault="00937E70" w:rsidP="00362CA4">
      <w:pPr>
        <w:pStyle w:val="SingleTxtG"/>
        <w:rPr>
          <w:lang w:eastAsia="es-ES"/>
        </w:rPr>
      </w:pPr>
      <w:r>
        <w:rPr>
          <w:lang w:eastAsia="es-ES"/>
        </w:rPr>
        <w:tab/>
        <w:t>(</w:t>
      </w:r>
      <w:r w:rsidR="002E4700">
        <w:rPr>
          <w:lang w:eastAsia="es-ES"/>
        </w:rPr>
        <w:t>a)</w:t>
      </w:r>
      <w:r w:rsidR="002E4700">
        <w:rPr>
          <w:lang w:eastAsia="es-ES"/>
        </w:rPr>
        <w:tab/>
      </w:r>
      <w:r w:rsidR="00F9527E">
        <w:rPr>
          <w:lang w:eastAsia="es-ES"/>
        </w:rPr>
        <w:t>The number of complaints of torture and i</w:t>
      </w:r>
      <w:r w:rsidR="00B27BB3">
        <w:rPr>
          <w:lang w:eastAsia="es-ES"/>
        </w:rPr>
        <w:t xml:space="preserve">ll-treatment filed against officials, including </w:t>
      </w:r>
      <w:r w:rsidR="00F9527E">
        <w:rPr>
          <w:lang w:eastAsia="es-ES"/>
        </w:rPr>
        <w:t>police officers</w:t>
      </w:r>
      <w:r w:rsidR="00B27BB3">
        <w:rPr>
          <w:lang w:eastAsia="es-ES"/>
        </w:rPr>
        <w:t xml:space="preserve"> and persons responsible for places of detention or </w:t>
      </w:r>
      <w:r w:rsidR="00C23E96">
        <w:rPr>
          <w:lang w:eastAsia="es-ES"/>
        </w:rPr>
        <w:t>confinement, and</w:t>
      </w:r>
      <w:r w:rsidR="00F9527E">
        <w:rPr>
          <w:lang w:eastAsia="es-ES"/>
        </w:rPr>
        <w:t xml:space="preserve"> the number of investigations, prosecutions and convictions imposed;</w:t>
      </w:r>
    </w:p>
    <w:p w:rsidR="002E4700" w:rsidRDefault="00937E70" w:rsidP="00362CA4">
      <w:pPr>
        <w:pStyle w:val="SingleTxtG"/>
        <w:rPr>
          <w:lang w:eastAsia="es-ES"/>
        </w:rPr>
      </w:pPr>
      <w:r>
        <w:rPr>
          <w:lang w:eastAsia="es-ES"/>
        </w:rPr>
        <w:tab/>
        <w:t>(</w:t>
      </w:r>
      <w:r w:rsidR="00F9527E">
        <w:rPr>
          <w:lang w:eastAsia="es-ES"/>
        </w:rPr>
        <w:t>b)</w:t>
      </w:r>
      <w:r w:rsidR="00F9527E">
        <w:rPr>
          <w:lang w:eastAsia="es-ES"/>
        </w:rPr>
        <w:tab/>
        <w:t>T</w:t>
      </w:r>
      <w:r w:rsidR="002E4700">
        <w:rPr>
          <w:lang w:eastAsia="es-ES"/>
        </w:rPr>
        <w:t>he number of cases referred to the Garda Síochána</w:t>
      </w:r>
      <w:r w:rsidR="00B27BB3">
        <w:rPr>
          <w:lang w:eastAsia="es-ES"/>
        </w:rPr>
        <w:t xml:space="preserve"> for follow</w:t>
      </w:r>
      <w:r w:rsidR="00063F95">
        <w:rPr>
          <w:lang w:eastAsia="es-ES"/>
        </w:rPr>
        <w:t>-</w:t>
      </w:r>
      <w:r w:rsidR="00B27BB3">
        <w:rPr>
          <w:lang w:eastAsia="es-ES"/>
        </w:rPr>
        <w:t>up</w:t>
      </w:r>
      <w:r w:rsidR="002E4700">
        <w:rPr>
          <w:lang w:eastAsia="es-ES"/>
        </w:rPr>
        <w:t>;</w:t>
      </w:r>
    </w:p>
    <w:p w:rsidR="00F520F0" w:rsidRDefault="00937E70" w:rsidP="00362CA4">
      <w:pPr>
        <w:pStyle w:val="SingleTxtG"/>
        <w:rPr>
          <w:lang w:eastAsia="es-ES"/>
        </w:rPr>
      </w:pPr>
      <w:r>
        <w:rPr>
          <w:lang w:eastAsia="es-ES"/>
        </w:rPr>
        <w:tab/>
        <w:t>(</w:t>
      </w:r>
      <w:r w:rsidR="007C6B67">
        <w:rPr>
          <w:lang w:eastAsia="es-ES"/>
        </w:rPr>
        <w:t>c</w:t>
      </w:r>
      <w:r w:rsidR="002E4700">
        <w:rPr>
          <w:lang w:eastAsia="es-ES"/>
        </w:rPr>
        <w:t>)</w:t>
      </w:r>
      <w:r w:rsidR="002E4700">
        <w:rPr>
          <w:lang w:eastAsia="es-ES"/>
        </w:rPr>
        <w:tab/>
      </w:r>
      <w:r w:rsidR="00F520F0">
        <w:rPr>
          <w:lang w:eastAsia="es-ES"/>
        </w:rPr>
        <w:t>The enactment of the Criminal Justice Bill 2011 and whether interviews were held only when the detainee was able to consult a lawyer prior to the interview</w:t>
      </w:r>
      <w:r w:rsidR="00B65C78">
        <w:rPr>
          <w:lang w:eastAsia="es-ES"/>
        </w:rPr>
        <w:t>,</w:t>
      </w:r>
      <w:r w:rsidR="00F520F0">
        <w:rPr>
          <w:lang w:eastAsia="es-ES"/>
        </w:rPr>
        <w:t xml:space="preserve"> as well as on the use of close</w:t>
      </w:r>
      <w:r w:rsidR="00B65C78">
        <w:rPr>
          <w:lang w:eastAsia="es-ES"/>
        </w:rPr>
        <w:t>d</w:t>
      </w:r>
      <w:r w:rsidR="00F520F0">
        <w:rPr>
          <w:lang w:eastAsia="es-ES"/>
        </w:rPr>
        <w:t>-circuit television in interview rooms;</w:t>
      </w:r>
    </w:p>
    <w:p w:rsidR="0064422C" w:rsidRDefault="005B76F5" w:rsidP="005B76F5">
      <w:pPr>
        <w:pStyle w:val="SingleTxtG"/>
        <w:ind w:firstLine="567"/>
        <w:rPr>
          <w:lang w:eastAsia="es-ES"/>
        </w:rPr>
      </w:pPr>
      <w:r>
        <w:rPr>
          <w:lang w:eastAsia="es-ES"/>
        </w:rPr>
        <w:t>(d)</w:t>
      </w:r>
      <w:r>
        <w:rPr>
          <w:lang w:eastAsia="es-ES"/>
        </w:rPr>
        <w:tab/>
      </w:r>
      <w:r w:rsidR="00F9527E">
        <w:rPr>
          <w:lang w:eastAsia="es-ES"/>
        </w:rPr>
        <w:t>T</w:t>
      </w:r>
      <w:r w:rsidR="002E4700">
        <w:rPr>
          <w:lang w:eastAsia="es-ES"/>
        </w:rPr>
        <w:t>he s</w:t>
      </w:r>
      <w:r w:rsidR="00830EC9">
        <w:rPr>
          <w:lang w:eastAsia="es-ES"/>
        </w:rPr>
        <w:t>teps taken by the State party to ensure by law that all allegations o</w:t>
      </w:r>
      <w:r w:rsidR="00B27BB3">
        <w:rPr>
          <w:lang w:eastAsia="es-ES"/>
        </w:rPr>
        <w:t xml:space="preserve">f torture and ill-treatment by police </w:t>
      </w:r>
      <w:r w:rsidR="00830EC9">
        <w:rPr>
          <w:lang w:eastAsia="es-ES"/>
        </w:rPr>
        <w:t>are directly investigated by the Garda Síochána Ombudsman Commission</w:t>
      </w:r>
      <w:r w:rsidR="00B65C78">
        <w:rPr>
          <w:lang w:eastAsia="es-ES"/>
        </w:rPr>
        <w:t xml:space="preserve"> and</w:t>
      </w:r>
      <w:r w:rsidR="007A4214">
        <w:rPr>
          <w:lang w:eastAsia="es-ES"/>
        </w:rPr>
        <w:t xml:space="preserve"> any measures taken to repeal section 106, part 4</w:t>
      </w:r>
      <w:r w:rsidR="00B65C78">
        <w:rPr>
          <w:lang w:eastAsia="es-ES"/>
        </w:rPr>
        <w:t>,</w:t>
      </w:r>
      <w:r w:rsidR="007A4214">
        <w:rPr>
          <w:lang w:eastAsia="es-ES"/>
        </w:rPr>
        <w:t xml:space="preserve"> of the Garda Síochána Act (2005) in order to ensure the full independence of the C</w:t>
      </w:r>
      <w:r w:rsidR="00B65C78">
        <w:rPr>
          <w:lang w:eastAsia="es-ES"/>
        </w:rPr>
        <w:t>ommission</w:t>
      </w:r>
      <w:r w:rsidR="007A4214">
        <w:rPr>
          <w:lang w:eastAsia="es-ES"/>
        </w:rPr>
        <w:t xml:space="preserve"> when conducting examinations on </w:t>
      </w:r>
      <w:r w:rsidR="00B65C78">
        <w:rPr>
          <w:lang w:eastAsia="es-ES"/>
        </w:rPr>
        <w:t xml:space="preserve">the </w:t>
      </w:r>
      <w:r w:rsidR="007A4214">
        <w:rPr>
          <w:lang w:eastAsia="es-ES"/>
        </w:rPr>
        <w:t>practice</w:t>
      </w:r>
      <w:r w:rsidR="00B65C78">
        <w:rPr>
          <w:lang w:eastAsia="es-ES"/>
        </w:rPr>
        <w:t>s</w:t>
      </w:r>
      <w:r w:rsidR="007A4214">
        <w:rPr>
          <w:lang w:eastAsia="es-ES"/>
        </w:rPr>
        <w:t>, polic</w:t>
      </w:r>
      <w:r w:rsidR="00B65C78">
        <w:rPr>
          <w:lang w:eastAsia="es-ES"/>
        </w:rPr>
        <w:t>ies</w:t>
      </w:r>
      <w:r w:rsidR="007A4214">
        <w:rPr>
          <w:lang w:eastAsia="es-ES"/>
        </w:rPr>
        <w:t xml:space="preserve"> and procedure</w:t>
      </w:r>
      <w:r w:rsidR="00B65C78">
        <w:rPr>
          <w:lang w:eastAsia="es-ES"/>
        </w:rPr>
        <w:t>s</w:t>
      </w:r>
      <w:r w:rsidR="007A4214">
        <w:rPr>
          <w:lang w:eastAsia="es-ES"/>
        </w:rPr>
        <w:t xml:space="preserve"> of the police</w:t>
      </w:r>
      <w:r w:rsidR="00B65C78">
        <w:rPr>
          <w:lang w:eastAsia="es-ES"/>
        </w:rPr>
        <w:t>.</w:t>
      </w:r>
      <w:r w:rsidR="007A4214">
        <w:rPr>
          <w:rStyle w:val="FootnoteReference"/>
          <w:lang w:eastAsia="es-ES"/>
        </w:rPr>
        <w:footnoteReference w:id="21"/>
      </w:r>
      <w:r w:rsidR="002E4700">
        <w:rPr>
          <w:lang w:eastAsia="es-ES"/>
        </w:rPr>
        <w:t xml:space="preserve"> </w:t>
      </w:r>
      <w:r w:rsidR="00B27BB3">
        <w:rPr>
          <w:lang w:eastAsia="es-ES"/>
        </w:rPr>
        <w:t>Please clarify the number of cases received, considered admissible and referred to the Office of the Director of Public Prosecution</w:t>
      </w:r>
      <w:r w:rsidR="00B65C78">
        <w:rPr>
          <w:lang w:eastAsia="es-ES"/>
        </w:rPr>
        <w:t>s</w:t>
      </w:r>
      <w:r w:rsidR="00B27BB3">
        <w:rPr>
          <w:lang w:eastAsia="es-ES"/>
        </w:rPr>
        <w:t xml:space="preserve">. Please explain why only 41 </w:t>
      </w:r>
      <w:r w:rsidR="00B65C78">
        <w:rPr>
          <w:lang w:eastAsia="es-ES"/>
        </w:rPr>
        <w:t xml:space="preserve">out </w:t>
      </w:r>
      <w:r w:rsidR="00B27BB3">
        <w:rPr>
          <w:lang w:eastAsia="es-ES"/>
        </w:rPr>
        <w:t>of 149 cases (out of 7</w:t>
      </w:r>
      <w:r w:rsidR="00B65C78">
        <w:rPr>
          <w:lang w:eastAsia="es-ES"/>
        </w:rPr>
        <w:t>,</w:t>
      </w:r>
      <w:r w:rsidR="00B27BB3">
        <w:rPr>
          <w:lang w:eastAsia="es-ES"/>
        </w:rPr>
        <w:t xml:space="preserve">718 deemed admissible) were </w:t>
      </w:r>
      <w:r w:rsidR="002638C3">
        <w:rPr>
          <w:lang w:eastAsia="es-ES"/>
        </w:rPr>
        <w:t xml:space="preserve">reportedly </w:t>
      </w:r>
      <w:r w:rsidR="00B27BB3">
        <w:rPr>
          <w:lang w:eastAsia="es-ES"/>
        </w:rPr>
        <w:t xml:space="preserve">sent for prosecution. </w:t>
      </w:r>
      <w:r w:rsidR="002638C3">
        <w:rPr>
          <w:lang w:eastAsia="es-ES"/>
        </w:rPr>
        <w:t xml:space="preserve">Please comment on concerns raised by the Irish Council for Civil Liberties that the complaints mechanism </w:t>
      </w:r>
      <w:r w:rsidR="00B65C78">
        <w:rPr>
          <w:lang w:eastAsia="es-ES"/>
        </w:rPr>
        <w:t xml:space="preserve">of the Commission </w:t>
      </w:r>
      <w:r w:rsidR="002638C3">
        <w:rPr>
          <w:lang w:eastAsia="es-ES"/>
        </w:rPr>
        <w:t xml:space="preserve">can send complaints (“leaseback”) back to the </w:t>
      </w:r>
      <w:proofErr w:type="spellStart"/>
      <w:r w:rsidR="002638C3">
        <w:rPr>
          <w:lang w:eastAsia="es-ES"/>
        </w:rPr>
        <w:t>Gardai</w:t>
      </w:r>
      <w:proofErr w:type="spellEnd"/>
      <w:r w:rsidR="002638C3">
        <w:rPr>
          <w:lang w:eastAsia="es-ES"/>
        </w:rPr>
        <w:t xml:space="preserve"> regarding alleged criminal conduct of a Garda member</w:t>
      </w:r>
      <w:r w:rsidR="00B65C78">
        <w:rPr>
          <w:lang w:eastAsia="es-ES"/>
        </w:rPr>
        <w:t>, what</w:t>
      </w:r>
      <w:r w:rsidR="002638C3">
        <w:rPr>
          <w:lang w:eastAsia="es-ES"/>
        </w:rPr>
        <w:t xml:space="preserve"> the final outcome of these prosecutions</w:t>
      </w:r>
      <w:r w:rsidR="00B65C78">
        <w:rPr>
          <w:lang w:eastAsia="es-ES"/>
        </w:rPr>
        <w:t xml:space="preserve"> has been</w:t>
      </w:r>
      <w:r w:rsidR="002638C3">
        <w:rPr>
          <w:lang w:eastAsia="es-ES"/>
        </w:rPr>
        <w:t xml:space="preserve"> </w:t>
      </w:r>
      <w:r w:rsidR="00B65C78">
        <w:rPr>
          <w:lang w:eastAsia="es-ES"/>
        </w:rPr>
        <w:t>and w</w:t>
      </w:r>
      <w:r w:rsidR="002638C3">
        <w:rPr>
          <w:lang w:eastAsia="es-ES"/>
        </w:rPr>
        <w:t>hat measures have been established to reduce delays in the deliberations</w:t>
      </w:r>
      <w:r w:rsidR="00B65C78">
        <w:rPr>
          <w:lang w:eastAsia="es-ES"/>
        </w:rPr>
        <w:t>;</w:t>
      </w:r>
      <w:r w:rsidR="002638C3">
        <w:rPr>
          <w:lang w:eastAsia="es-ES"/>
        </w:rPr>
        <w:t xml:space="preserve"> </w:t>
      </w:r>
    </w:p>
    <w:p w:rsidR="00AD40E5" w:rsidRDefault="00937E70" w:rsidP="00362CA4">
      <w:pPr>
        <w:pStyle w:val="SingleTxtG"/>
        <w:rPr>
          <w:lang w:eastAsia="es-ES"/>
        </w:rPr>
      </w:pPr>
      <w:r>
        <w:rPr>
          <w:lang w:eastAsia="es-ES"/>
        </w:rPr>
        <w:tab/>
        <w:t>(</w:t>
      </w:r>
      <w:r w:rsidR="005B76F5">
        <w:rPr>
          <w:lang w:eastAsia="es-ES"/>
        </w:rPr>
        <w:t>e</w:t>
      </w:r>
      <w:r w:rsidR="002E4700">
        <w:rPr>
          <w:lang w:eastAsia="es-ES"/>
        </w:rPr>
        <w:t>)</w:t>
      </w:r>
      <w:r w:rsidR="002E4700">
        <w:rPr>
          <w:lang w:eastAsia="es-ES"/>
        </w:rPr>
        <w:tab/>
      </w:r>
      <w:r w:rsidR="00F9527E">
        <w:rPr>
          <w:lang w:eastAsia="es-ES"/>
        </w:rPr>
        <w:t>The allocation of sufficient funds to the Garda Síochána Ombudsman Commission so that it can carry out its duties promptly and impartially</w:t>
      </w:r>
      <w:r w:rsidR="00AD40E5">
        <w:rPr>
          <w:lang w:eastAsia="es-ES"/>
        </w:rPr>
        <w:t xml:space="preserve"> and deal with the accumulated backlog of complaints and investigations.</w:t>
      </w:r>
    </w:p>
    <w:p w:rsidR="005C4802" w:rsidRDefault="005B318E" w:rsidP="009909C8">
      <w:pPr>
        <w:pStyle w:val="SingleTxtG"/>
        <w:numPr>
          <w:ilvl w:val="0"/>
          <w:numId w:val="21"/>
        </w:numPr>
        <w:tabs>
          <w:tab w:val="clear" w:pos="2988"/>
        </w:tabs>
        <w:ind w:left="1134" w:firstLine="0"/>
        <w:rPr>
          <w:lang w:eastAsia="es-ES"/>
        </w:rPr>
      </w:pPr>
      <w:r w:rsidRPr="0064422C">
        <w:rPr>
          <w:lang w:eastAsia="es-ES"/>
        </w:rPr>
        <w:t>With reference to the Committee’s previous concluding observations</w:t>
      </w:r>
      <w:r w:rsidR="0064422C" w:rsidRPr="0064422C">
        <w:t xml:space="preserve"> (para.</w:t>
      </w:r>
      <w:r w:rsidR="0050227A">
        <w:t> </w:t>
      </w:r>
      <w:r w:rsidR="00892CDA">
        <w:t>20</w:t>
      </w:r>
      <w:r w:rsidR="0064422C" w:rsidRPr="0064422C">
        <w:t>)</w:t>
      </w:r>
      <w:r w:rsidR="00C819F6">
        <w:t xml:space="preserve">, </w:t>
      </w:r>
      <w:r w:rsidR="006062E2">
        <w:rPr>
          <w:lang w:eastAsia="es-ES"/>
        </w:rPr>
        <w:t>the State party’s follow-up replies</w:t>
      </w:r>
      <w:r w:rsidR="00C819F6">
        <w:t xml:space="preserve"> and </w:t>
      </w:r>
      <w:r w:rsidR="00C819F6">
        <w:rPr>
          <w:lang w:eastAsia="es-ES"/>
        </w:rPr>
        <w:t xml:space="preserve">the request for clarification by the Rapporteur for </w:t>
      </w:r>
      <w:r w:rsidR="001E4B64">
        <w:rPr>
          <w:lang w:eastAsia="es-ES"/>
        </w:rPr>
        <w:t>the f</w:t>
      </w:r>
      <w:r w:rsidR="00C819F6">
        <w:rPr>
          <w:lang w:eastAsia="es-ES"/>
        </w:rPr>
        <w:t>ollow</w:t>
      </w:r>
      <w:r w:rsidR="001E4B64">
        <w:rPr>
          <w:lang w:eastAsia="es-ES"/>
        </w:rPr>
        <w:t>-</w:t>
      </w:r>
      <w:r w:rsidR="00C819F6">
        <w:rPr>
          <w:lang w:eastAsia="es-ES"/>
        </w:rPr>
        <w:t xml:space="preserve">up on </w:t>
      </w:r>
      <w:r w:rsidR="00B65C78">
        <w:rPr>
          <w:lang w:eastAsia="es-ES"/>
        </w:rPr>
        <w:t>the concluding observations</w:t>
      </w:r>
      <w:r w:rsidR="00C819F6">
        <w:rPr>
          <w:lang w:eastAsia="es-ES"/>
        </w:rPr>
        <w:t xml:space="preserve">, </w:t>
      </w:r>
      <w:r w:rsidR="00672E02">
        <w:t xml:space="preserve">the Committee </w:t>
      </w:r>
      <w:r w:rsidR="00280429">
        <w:t xml:space="preserve">notes the </w:t>
      </w:r>
      <w:r w:rsidR="00C819F6">
        <w:t xml:space="preserve">State party’s </w:t>
      </w:r>
      <w:r w:rsidR="005B06EE">
        <w:t>formal statement that</w:t>
      </w:r>
      <w:r w:rsidR="00C23F3C">
        <w:t>, as far as the Ryan Commission</w:t>
      </w:r>
      <w:r w:rsidR="00C04749">
        <w:t xml:space="preserve"> report is concerned,</w:t>
      </w:r>
      <w:r w:rsidR="005B06EE">
        <w:t xml:space="preserve"> it “</w:t>
      </w:r>
      <w:r w:rsidR="00280429">
        <w:t>accept</w:t>
      </w:r>
      <w:r w:rsidR="00C23F3C">
        <w:t xml:space="preserve">ed </w:t>
      </w:r>
      <w:r w:rsidR="00280429">
        <w:t>all of the recommendations</w:t>
      </w:r>
      <w:r w:rsidR="00C23F3C">
        <w:t>”</w:t>
      </w:r>
      <w:r w:rsidR="00280429">
        <w:t xml:space="preserve"> </w:t>
      </w:r>
      <w:r w:rsidR="00B65C78">
        <w:t>and</w:t>
      </w:r>
      <w:r w:rsidR="00280429">
        <w:t xml:space="preserve"> </w:t>
      </w:r>
      <w:r w:rsidR="00672E02">
        <w:t>the large number of financial awards by the Redress Board to</w:t>
      </w:r>
      <w:r w:rsidR="00280429">
        <w:t xml:space="preserve"> victims of institutional abuse. However, as</w:t>
      </w:r>
      <w:r w:rsidR="005B06EE">
        <w:t xml:space="preserve"> only one case was prosecuted resulting in a conviction </w:t>
      </w:r>
      <w:r w:rsidR="00280429">
        <w:t xml:space="preserve">and the State party </w:t>
      </w:r>
      <w:r w:rsidR="00C819F6">
        <w:t xml:space="preserve">has informed the Committee </w:t>
      </w:r>
      <w:r w:rsidR="00280429">
        <w:t>that only one other investigation is proceeding with the expectation that it will be submitted to the D</w:t>
      </w:r>
      <w:r w:rsidR="001E4B64">
        <w:t xml:space="preserve">irector of </w:t>
      </w:r>
      <w:r w:rsidR="00280429">
        <w:t>P</w:t>
      </w:r>
      <w:r w:rsidR="001E4B64">
        <w:t xml:space="preserve">ublic </w:t>
      </w:r>
      <w:r w:rsidR="00280429">
        <w:t>P</w:t>
      </w:r>
      <w:r w:rsidR="001E4B64">
        <w:t>rosecutions</w:t>
      </w:r>
      <w:r w:rsidR="00280429">
        <w:t>,</w:t>
      </w:r>
      <w:r w:rsidR="00C23F3C">
        <w:t xml:space="preserve"> </w:t>
      </w:r>
      <w:r w:rsidR="005B06EE">
        <w:t xml:space="preserve">the Committee’s recommendations, including that all </w:t>
      </w:r>
      <w:r w:rsidR="00C04749">
        <w:t xml:space="preserve">cases of abuse be investigated </w:t>
      </w:r>
      <w:r w:rsidR="005B06EE">
        <w:t>and perpetrators be prosecuted and punished, are unrealized, whether or not formally accepted. Accordingly,</w:t>
      </w:r>
      <w:r w:rsidR="00280429">
        <w:t xml:space="preserve"> </w:t>
      </w:r>
      <w:r w:rsidR="0064422C" w:rsidRPr="0064422C">
        <w:t>p</w:t>
      </w:r>
      <w:r w:rsidR="00F62CF1">
        <w:rPr>
          <w:lang w:eastAsia="es-ES"/>
        </w:rPr>
        <w:t xml:space="preserve">lease </w:t>
      </w:r>
      <w:r w:rsidR="00F1019C">
        <w:rPr>
          <w:lang w:eastAsia="es-ES"/>
        </w:rPr>
        <w:t>provide update</w:t>
      </w:r>
      <w:r w:rsidR="00501638">
        <w:rPr>
          <w:lang w:eastAsia="es-ES"/>
        </w:rPr>
        <w:t>d</w:t>
      </w:r>
      <w:r w:rsidR="00F1019C">
        <w:rPr>
          <w:lang w:eastAsia="es-ES"/>
        </w:rPr>
        <w:t xml:space="preserve"> information </w:t>
      </w:r>
      <w:r w:rsidR="00EA1FC5">
        <w:rPr>
          <w:lang w:eastAsia="es-ES"/>
        </w:rPr>
        <w:t>on</w:t>
      </w:r>
      <w:r w:rsidR="005C4802">
        <w:rPr>
          <w:lang w:eastAsia="es-ES"/>
        </w:rPr>
        <w:t>:</w:t>
      </w:r>
    </w:p>
    <w:p w:rsidR="005C4802" w:rsidRDefault="00937E70" w:rsidP="00362CA4">
      <w:pPr>
        <w:pStyle w:val="SingleTxtG"/>
        <w:rPr>
          <w:lang w:eastAsia="es-ES"/>
        </w:rPr>
      </w:pPr>
      <w:r>
        <w:rPr>
          <w:lang w:eastAsia="es-ES"/>
        </w:rPr>
        <w:tab/>
        <w:t>(</w:t>
      </w:r>
      <w:r w:rsidR="005C4802">
        <w:rPr>
          <w:lang w:eastAsia="es-ES"/>
        </w:rPr>
        <w:t>a)</w:t>
      </w:r>
      <w:r w:rsidR="005C4802">
        <w:rPr>
          <w:lang w:eastAsia="es-ES"/>
        </w:rPr>
        <w:tab/>
        <w:t>T</w:t>
      </w:r>
      <w:r w:rsidR="00EA1FC5">
        <w:rPr>
          <w:lang w:eastAsia="es-ES"/>
        </w:rPr>
        <w:t>he</w:t>
      </w:r>
      <w:r w:rsidR="005C4802">
        <w:rPr>
          <w:lang w:eastAsia="es-ES"/>
        </w:rPr>
        <w:t xml:space="preserve"> </w:t>
      </w:r>
      <w:r w:rsidR="00EA1FC5">
        <w:rPr>
          <w:lang w:eastAsia="es-ES"/>
        </w:rPr>
        <w:t xml:space="preserve">implementation </w:t>
      </w:r>
      <w:r w:rsidR="005C4802">
        <w:rPr>
          <w:lang w:eastAsia="es-ES"/>
        </w:rPr>
        <w:t xml:space="preserve">so far </w:t>
      </w:r>
      <w:r w:rsidR="00EA1FC5">
        <w:rPr>
          <w:lang w:eastAsia="es-ES"/>
        </w:rPr>
        <w:t xml:space="preserve">of the recommendations of the Commission to Inquire into Child Abuse (the Ryan Report </w:t>
      </w:r>
      <w:r w:rsidR="001E4B64">
        <w:rPr>
          <w:lang w:eastAsia="es-ES"/>
        </w:rPr>
        <w:t>Implementation Plan</w:t>
      </w:r>
      <w:r w:rsidR="00EA1FC5">
        <w:rPr>
          <w:lang w:eastAsia="es-ES"/>
        </w:rPr>
        <w:t>)</w:t>
      </w:r>
      <w:r w:rsidR="00B30EDC">
        <w:rPr>
          <w:lang w:eastAsia="es-ES"/>
        </w:rPr>
        <w:t xml:space="preserve">, including the principal developments contained in the </w:t>
      </w:r>
      <w:r w:rsidR="001E4B64">
        <w:rPr>
          <w:lang w:eastAsia="es-ES"/>
        </w:rPr>
        <w:t xml:space="preserve">final progress report </w:t>
      </w:r>
      <w:r w:rsidR="00B30EDC">
        <w:rPr>
          <w:lang w:eastAsia="es-ES"/>
        </w:rPr>
        <w:t xml:space="preserve">on the Ryan </w:t>
      </w:r>
      <w:r w:rsidR="001E4B64">
        <w:rPr>
          <w:lang w:eastAsia="es-ES"/>
        </w:rPr>
        <w:t>Report Implementation Plan</w:t>
      </w:r>
      <w:r w:rsidR="00B30EDC">
        <w:rPr>
          <w:rStyle w:val="FootnoteReference"/>
          <w:lang w:eastAsia="es-ES"/>
        </w:rPr>
        <w:footnoteReference w:id="22"/>
      </w:r>
      <w:r w:rsidR="002638C3">
        <w:rPr>
          <w:lang w:eastAsia="es-ES"/>
        </w:rPr>
        <w:t xml:space="preserve"> </w:t>
      </w:r>
      <w:r w:rsidR="001E4B64">
        <w:rPr>
          <w:lang w:eastAsia="es-ES"/>
        </w:rPr>
        <w:t xml:space="preserve">and </w:t>
      </w:r>
      <w:r w:rsidR="002638C3">
        <w:rPr>
          <w:lang w:eastAsia="es-ES"/>
        </w:rPr>
        <w:t xml:space="preserve">the plans to continue ensuring the Ryan Report Implementation Plan is fully implemented, including any new body </w:t>
      </w:r>
      <w:r w:rsidR="00280429">
        <w:rPr>
          <w:lang w:eastAsia="es-ES"/>
        </w:rPr>
        <w:t xml:space="preserve">that may be </w:t>
      </w:r>
      <w:r w:rsidR="002638C3">
        <w:rPr>
          <w:lang w:eastAsia="es-ES"/>
        </w:rPr>
        <w:t>established to replac</w:t>
      </w:r>
      <w:r w:rsidR="00C04749">
        <w:rPr>
          <w:lang w:eastAsia="es-ES"/>
        </w:rPr>
        <w:t>e it;</w:t>
      </w:r>
    </w:p>
    <w:p w:rsidR="005C4802" w:rsidRDefault="00937E70" w:rsidP="00362CA4">
      <w:pPr>
        <w:pStyle w:val="SingleTxtG"/>
        <w:rPr>
          <w:lang w:eastAsia="es-ES"/>
        </w:rPr>
      </w:pPr>
      <w:r>
        <w:rPr>
          <w:lang w:eastAsia="es-ES"/>
        </w:rPr>
        <w:tab/>
        <w:t>(</w:t>
      </w:r>
      <w:r w:rsidR="005C4802">
        <w:rPr>
          <w:lang w:eastAsia="es-ES"/>
        </w:rPr>
        <w:t>b)</w:t>
      </w:r>
      <w:r w:rsidR="005C4802">
        <w:rPr>
          <w:lang w:eastAsia="es-ES"/>
        </w:rPr>
        <w:tab/>
        <w:t>H</w:t>
      </w:r>
      <w:r w:rsidR="00933928">
        <w:rPr>
          <w:lang w:eastAsia="es-ES"/>
        </w:rPr>
        <w:t xml:space="preserve">ow the Board of the Residential Institutions Statutory Fund has advertised for applications from victims </w:t>
      </w:r>
      <w:r w:rsidR="005C4802">
        <w:rPr>
          <w:lang w:eastAsia="es-ES"/>
        </w:rPr>
        <w:t>to avail themselves of the Fund;</w:t>
      </w:r>
    </w:p>
    <w:p w:rsidR="005C4802" w:rsidRDefault="00937E70" w:rsidP="00362CA4">
      <w:pPr>
        <w:pStyle w:val="SingleTxtG"/>
        <w:rPr>
          <w:lang w:eastAsia="es-ES"/>
        </w:rPr>
      </w:pPr>
      <w:r>
        <w:rPr>
          <w:lang w:eastAsia="es-ES"/>
        </w:rPr>
        <w:tab/>
        <w:t>(</w:t>
      </w:r>
      <w:r w:rsidR="005C4802">
        <w:rPr>
          <w:lang w:eastAsia="es-ES"/>
        </w:rPr>
        <w:t>c)</w:t>
      </w:r>
      <w:r w:rsidR="005C4802">
        <w:rPr>
          <w:lang w:eastAsia="es-ES"/>
        </w:rPr>
        <w:tab/>
        <w:t>T</w:t>
      </w:r>
      <w:r w:rsidR="00EA1FC5">
        <w:rPr>
          <w:lang w:eastAsia="es-ES"/>
        </w:rPr>
        <w:t xml:space="preserve">he number of persons who have availed themselves </w:t>
      </w:r>
      <w:r w:rsidR="00933928">
        <w:rPr>
          <w:lang w:eastAsia="es-ES"/>
        </w:rPr>
        <w:t xml:space="preserve">of the Fund </w:t>
      </w:r>
      <w:r w:rsidR="00EA1FC5">
        <w:rPr>
          <w:lang w:eastAsia="es-ES"/>
        </w:rPr>
        <w:t>to date</w:t>
      </w:r>
      <w:r w:rsidR="005C4802">
        <w:rPr>
          <w:lang w:eastAsia="es-ES"/>
        </w:rPr>
        <w:t>;</w:t>
      </w:r>
    </w:p>
    <w:p w:rsidR="0064422C" w:rsidRDefault="00937E70" w:rsidP="0050227A">
      <w:pPr>
        <w:pStyle w:val="SingleTxtG"/>
        <w:rPr>
          <w:lang w:eastAsia="es-ES"/>
        </w:rPr>
      </w:pPr>
      <w:r>
        <w:rPr>
          <w:lang w:eastAsia="es-ES"/>
        </w:rPr>
        <w:tab/>
        <w:t>(</w:t>
      </w:r>
      <w:r w:rsidR="005C4802">
        <w:rPr>
          <w:lang w:eastAsia="es-ES"/>
        </w:rPr>
        <w:t>d)</w:t>
      </w:r>
      <w:r w:rsidR="005C4802">
        <w:rPr>
          <w:lang w:eastAsia="es-ES"/>
        </w:rPr>
        <w:tab/>
        <w:t>A</w:t>
      </w:r>
      <w:r w:rsidR="00933928">
        <w:rPr>
          <w:lang w:eastAsia="es-ES"/>
        </w:rPr>
        <w:t xml:space="preserve">ny additional investigations and prosecutions </w:t>
      </w:r>
      <w:r w:rsidR="00940DB3">
        <w:rPr>
          <w:lang w:eastAsia="es-ES"/>
        </w:rPr>
        <w:t>of those responsible for</w:t>
      </w:r>
      <w:r w:rsidR="00933928">
        <w:rPr>
          <w:lang w:eastAsia="es-ES"/>
        </w:rPr>
        <w:t xml:space="preserve"> abuses </w:t>
      </w:r>
      <w:r w:rsidR="00940DB3">
        <w:rPr>
          <w:lang w:eastAsia="es-ES"/>
        </w:rPr>
        <w:t>against</w:t>
      </w:r>
      <w:r w:rsidR="00933928">
        <w:rPr>
          <w:lang w:eastAsia="es-ES"/>
        </w:rPr>
        <w:t xml:space="preserve"> individual </w:t>
      </w:r>
      <w:r w:rsidR="005C4802">
        <w:rPr>
          <w:lang w:eastAsia="es-ES"/>
        </w:rPr>
        <w:t>children</w:t>
      </w:r>
      <w:r w:rsidR="001E4B64">
        <w:rPr>
          <w:lang w:eastAsia="es-ES"/>
        </w:rPr>
        <w:t>.</w:t>
      </w:r>
      <w:r w:rsidR="00933928">
        <w:rPr>
          <w:rStyle w:val="FootnoteReference"/>
          <w:lang w:eastAsia="es-ES"/>
        </w:rPr>
        <w:footnoteReference w:id="23"/>
      </w:r>
      <w:r w:rsidR="00990E74">
        <w:rPr>
          <w:lang w:eastAsia="es-ES"/>
        </w:rPr>
        <w:t xml:space="preserve"> Specifically, please update the Committee about the number of investigations, prosecutions and convictions as a result of the Ryan </w:t>
      </w:r>
      <w:r w:rsidR="00B0725E">
        <w:rPr>
          <w:lang w:eastAsia="es-ES"/>
        </w:rPr>
        <w:t>R</w:t>
      </w:r>
      <w:r w:rsidR="00990E74">
        <w:rPr>
          <w:lang w:eastAsia="es-ES"/>
        </w:rPr>
        <w:t>eport, including measures to provide redress to the victims.</w:t>
      </w:r>
      <w:r w:rsidR="00462649">
        <w:rPr>
          <w:lang w:eastAsia="es-ES"/>
        </w:rPr>
        <w:t xml:space="preserve"> </w:t>
      </w:r>
      <w:r w:rsidR="00990E74">
        <w:rPr>
          <w:lang w:eastAsia="es-ES"/>
        </w:rPr>
        <w:t>Please clarify what measures</w:t>
      </w:r>
      <w:r w:rsidR="00280429">
        <w:rPr>
          <w:lang w:eastAsia="es-ES"/>
        </w:rPr>
        <w:t>, if any,</w:t>
      </w:r>
      <w:r w:rsidR="00990E74">
        <w:rPr>
          <w:lang w:eastAsia="es-ES"/>
        </w:rPr>
        <w:t xml:space="preserve"> will be taken </w:t>
      </w:r>
      <w:r w:rsidR="00280429">
        <w:rPr>
          <w:lang w:eastAsia="es-ES"/>
        </w:rPr>
        <w:t xml:space="preserve">regarding </w:t>
      </w:r>
      <w:r w:rsidR="00990E74">
        <w:rPr>
          <w:lang w:eastAsia="es-ES"/>
        </w:rPr>
        <w:t>the 14 cases submitted to the D</w:t>
      </w:r>
      <w:r w:rsidR="00C819F6">
        <w:rPr>
          <w:lang w:eastAsia="es-ES"/>
        </w:rPr>
        <w:t xml:space="preserve">irector of </w:t>
      </w:r>
      <w:r w:rsidR="00990E74">
        <w:rPr>
          <w:lang w:eastAsia="es-ES"/>
        </w:rPr>
        <w:t>P</w:t>
      </w:r>
      <w:r w:rsidR="00C819F6">
        <w:rPr>
          <w:lang w:eastAsia="es-ES"/>
        </w:rPr>
        <w:t xml:space="preserve">ublic </w:t>
      </w:r>
      <w:r w:rsidR="00990E74">
        <w:rPr>
          <w:lang w:eastAsia="es-ES"/>
        </w:rPr>
        <w:t>P</w:t>
      </w:r>
      <w:r w:rsidR="00C819F6">
        <w:rPr>
          <w:lang w:eastAsia="es-ES"/>
        </w:rPr>
        <w:t>rosecution</w:t>
      </w:r>
      <w:r w:rsidR="00B0725E">
        <w:rPr>
          <w:lang w:eastAsia="es-ES"/>
        </w:rPr>
        <w:t>s</w:t>
      </w:r>
      <w:r w:rsidR="00990E74">
        <w:rPr>
          <w:lang w:eastAsia="es-ES"/>
        </w:rPr>
        <w:t xml:space="preserve"> but on which he recommended no prosecutions.</w:t>
      </w:r>
      <w:r w:rsidR="00462649">
        <w:rPr>
          <w:lang w:eastAsia="es-ES"/>
        </w:rPr>
        <w:t xml:space="preserve"> </w:t>
      </w:r>
      <w:r w:rsidR="00990E74">
        <w:rPr>
          <w:lang w:eastAsia="es-ES"/>
        </w:rPr>
        <w:t xml:space="preserve">In the one case in which an individual was sentenced, </w:t>
      </w:r>
      <w:r w:rsidR="00B0725E">
        <w:rPr>
          <w:lang w:eastAsia="es-ES"/>
        </w:rPr>
        <w:t xml:space="preserve">please state </w:t>
      </w:r>
      <w:r w:rsidR="00990E74">
        <w:rPr>
          <w:lang w:eastAsia="es-ES"/>
        </w:rPr>
        <w:t xml:space="preserve">why 18 months of a 2-year sentence </w:t>
      </w:r>
      <w:r w:rsidR="00B0725E">
        <w:rPr>
          <w:lang w:eastAsia="es-ES"/>
        </w:rPr>
        <w:t xml:space="preserve">were </w:t>
      </w:r>
      <w:r w:rsidR="00990E74">
        <w:rPr>
          <w:lang w:eastAsia="es-ES"/>
        </w:rPr>
        <w:t>suspended</w:t>
      </w:r>
      <w:r w:rsidR="00B0725E">
        <w:rPr>
          <w:lang w:eastAsia="es-ES"/>
        </w:rPr>
        <w:t xml:space="preserve"> and w</w:t>
      </w:r>
      <w:r w:rsidR="00990E74">
        <w:rPr>
          <w:lang w:eastAsia="es-ES"/>
        </w:rPr>
        <w:t xml:space="preserve">hat the </w:t>
      </w:r>
      <w:r w:rsidR="00B0725E">
        <w:rPr>
          <w:lang w:eastAsia="es-ES"/>
        </w:rPr>
        <w:t>G</w:t>
      </w:r>
      <w:r w:rsidR="00990E74">
        <w:rPr>
          <w:lang w:eastAsia="es-ES"/>
        </w:rPr>
        <w:t xml:space="preserve">overnment of the State party </w:t>
      </w:r>
      <w:r w:rsidR="00B0725E">
        <w:rPr>
          <w:lang w:eastAsia="es-ES"/>
        </w:rPr>
        <w:t xml:space="preserve">is </w:t>
      </w:r>
      <w:r w:rsidR="00990E74">
        <w:rPr>
          <w:lang w:eastAsia="es-ES"/>
        </w:rPr>
        <w:t>doing to ensure prosecution and punishment as well as redress in the many cases that were uncovered as</w:t>
      </w:r>
      <w:r w:rsidR="00772A16">
        <w:rPr>
          <w:lang w:eastAsia="es-ES"/>
        </w:rPr>
        <w:t xml:space="preserve"> a result of the Ryan report</w:t>
      </w:r>
      <w:r w:rsidR="00B0725E">
        <w:rPr>
          <w:lang w:eastAsia="es-ES"/>
        </w:rPr>
        <w:t>.</w:t>
      </w:r>
      <w:r w:rsidR="00772A16">
        <w:rPr>
          <w:lang w:eastAsia="es-ES"/>
        </w:rPr>
        <w:t xml:space="preserve"> </w:t>
      </w:r>
      <w:r w:rsidR="00B0725E">
        <w:rPr>
          <w:lang w:eastAsia="es-ES"/>
        </w:rPr>
        <w:t>Please state whether</w:t>
      </w:r>
      <w:r w:rsidR="00990E74">
        <w:rPr>
          <w:lang w:eastAsia="es-ES"/>
        </w:rPr>
        <w:t xml:space="preserve"> any of the results of the 18</w:t>
      </w:r>
      <w:r w:rsidR="0050227A">
        <w:rPr>
          <w:lang w:eastAsia="es-ES"/>
        </w:rPr>
        <w:t> </w:t>
      </w:r>
      <w:r w:rsidR="00990E74">
        <w:rPr>
          <w:lang w:eastAsia="es-ES"/>
        </w:rPr>
        <w:t xml:space="preserve">serious incidents, including deaths of children in care, </w:t>
      </w:r>
      <w:r w:rsidR="00B0725E">
        <w:rPr>
          <w:lang w:eastAsia="es-ES"/>
        </w:rPr>
        <w:t xml:space="preserve">are </w:t>
      </w:r>
      <w:r w:rsidR="00990E74">
        <w:rPr>
          <w:lang w:eastAsia="es-ES"/>
        </w:rPr>
        <w:t>being reviewed</w:t>
      </w:r>
      <w:r w:rsidR="00B0725E">
        <w:rPr>
          <w:lang w:eastAsia="es-ES"/>
        </w:rPr>
        <w:t xml:space="preserve"> and</w:t>
      </w:r>
      <w:r w:rsidR="00990E74">
        <w:rPr>
          <w:lang w:eastAsia="es-ES"/>
        </w:rPr>
        <w:t xml:space="preserve"> </w:t>
      </w:r>
      <w:r w:rsidR="00B0725E">
        <w:rPr>
          <w:lang w:eastAsia="es-ES"/>
        </w:rPr>
        <w:t>w</w:t>
      </w:r>
      <w:r w:rsidR="00990E74">
        <w:rPr>
          <w:lang w:eastAsia="es-ES"/>
        </w:rPr>
        <w:t>hat measures have been taken to examine suicides and investigate whether any deaths from natural causes actually resulted from beatings or inter</w:t>
      </w:r>
      <w:r w:rsidR="00C819F6">
        <w:rPr>
          <w:lang w:eastAsia="es-ES"/>
        </w:rPr>
        <w:t>-</w:t>
      </w:r>
      <w:r w:rsidR="00C04749">
        <w:rPr>
          <w:lang w:eastAsia="es-ES"/>
        </w:rPr>
        <w:t xml:space="preserve">prisoner violence, </w:t>
      </w:r>
      <w:r w:rsidR="00990E74">
        <w:rPr>
          <w:lang w:eastAsia="es-ES"/>
        </w:rPr>
        <w:t xml:space="preserve">or </w:t>
      </w:r>
      <w:r w:rsidR="00B0725E">
        <w:rPr>
          <w:lang w:eastAsia="es-ES"/>
        </w:rPr>
        <w:t xml:space="preserve">were </w:t>
      </w:r>
      <w:r w:rsidR="00990E74">
        <w:rPr>
          <w:lang w:eastAsia="es-ES"/>
        </w:rPr>
        <w:t>at the hands of police guards in the facilitie</w:t>
      </w:r>
      <w:r w:rsidR="00C04749">
        <w:rPr>
          <w:lang w:eastAsia="es-ES"/>
        </w:rPr>
        <w:t xml:space="preserve">s examined by the Ryan </w:t>
      </w:r>
      <w:r w:rsidR="00B0725E">
        <w:rPr>
          <w:lang w:eastAsia="es-ES"/>
        </w:rPr>
        <w:t>R</w:t>
      </w:r>
      <w:r w:rsidR="00C04749">
        <w:rPr>
          <w:lang w:eastAsia="es-ES"/>
        </w:rPr>
        <w:t>eport</w:t>
      </w:r>
      <w:r w:rsidR="00B0725E">
        <w:rPr>
          <w:lang w:eastAsia="es-ES"/>
        </w:rPr>
        <w:t>;</w:t>
      </w:r>
      <w:r w:rsidR="00C04749">
        <w:rPr>
          <w:lang w:eastAsia="es-ES"/>
        </w:rPr>
        <w:t xml:space="preserve"> </w:t>
      </w:r>
    </w:p>
    <w:p w:rsidR="005C4802" w:rsidRDefault="00937E70" w:rsidP="00362CA4">
      <w:pPr>
        <w:pStyle w:val="SingleTxtG"/>
        <w:rPr>
          <w:lang w:eastAsia="es-ES"/>
        </w:rPr>
      </w:pPr>
      <w:r>
        <w:rPr>
          <w:lang w:eastAsia="es-ES"/>
        </w:rPr>
        <w:tab/>
        <w:t>(</w:t>
      </w:r>
      <w:r w:rsidR="005C4802">
        <w:rPr>
          <w:lang w:eastAsia="es-ES"/>
        </w:rPr>
        <w:t>e)</w:t>
      </w:r>
      <w:r w:rsidR="005C4802">
        <w:rPr>
          <w:lang w:eastAsia="es-ES"/>
        </w:rPr>
        <w:tab/>
      </w:r>
      <w:r w:rsidR="00185801">
        <w:rPr>
          <w:lang w:eastAsia="es-ES"/>
        </w:rPr>
        <w:t xml:space="preserve">Status of the review and implementation of the </w:t>
      </w:r>
      <w:r w:rsidR="00333B4A">
        <w:rPr>
          <w:lang w:eastAsia="es-ES"/>
        </w:rPr>
        <w:t>Garda Síochána policy on the investigation of sexual crimes, crimes against children and child welfare</w:t>
      </w:r>
      <w:r w:rsidR="00B0725E">
        <w:rPr>
          <w:lang w:eastAsia="es-ES"/>
        </w:rPr>
        <w:t>,</w:t>
      </w:r>
      <w:r w:rsidR="00333B4A">
        <w:rPr>
          <w:rStyle w:val="FootnoteReference"/>
          <w:lang w:eastAsia="es-ES"/>
        </w:rPr>
        <w:footnoteReference w:id="24"/>
      </w:r>
      <w:r w:rsidR="00C42AD4">
        <w:rPr>
          <w:lang w:eastAsia="es-ES"/>
        </w:rPr>
        <w:t xml:space="preserve"> </w:t>
      </w:r>
      <w:r w:rsidR="005A49BD">
        <w:rPr>
          <w:lang w:eastAsia="es-ES"/>
        </w:rPr>
        <w:t xml:space="preserve">on the outcome of the prosecutions directed by the Director of Public Prosecutions relating to cases submitted by the Garda Síochána and on </w:t>
      </w:r>
      <w:r w:rsidR="00940DB3">
        <w:rPr>
          <w:lang w:eastAsia="es-ES"/>
        </w:rPr>
        <w:t xml:space="preserve">the number and status of </w:t>
      </w:r>
      <w:r w:rsidR="005A49BD">
        <w:rPr>
          <w:lang w:eastAsia="es-ES"/>
        </w:rPr>
        <w:t xml:space="preserve">any new cases </w:t>
      </w:r>
      <w:r w:rsidR="00C42AD4">
        <w:rPr>
          <w:lang w:eastAsia="es-ES"/>
        </w:rPr>
        <w:t>submitted to the D</w:t>
      </w:r>
      <w:r w:rsidR="00B0725E">
        <w:rPr>
          <w:lang w:eastAsia="es-ES"/>
        </w:rPr>
        <w:t xml:space="preserve">irector of </w:t>
      </w:r>
      <w:r w:rsidR="00C42AD4">
        <w:rPr>
          <w:lang w:eastAsia="es-ES"/>
        </w:rPr>
        <w:t>P</w:t>
      </w:r>
      <w:r w:rsidR="00B0725E">
        <w:rPr>
          <w:lang w:eastAsia="es-ES"/>
        </w:rPr>
        <w:t xml:space="preserve">ublic </w:t>
      </w:r>
      <w:r w:rsidR="00C42AD4">
        <w:rPr>
          <w:lang w:eastAsia="es-ES"/>
        </w:rPr>
        <w:t>P</w:t>
      </w:r>
      <w:r w:rsidR="00B0725E">
        <w:rPr>
          <w:lang w:eastAsia="es-ES"/>
        </w:rPr>
        <w:t>rosecutions</w:t>
      </w:r>
      <w:r w:rsidR="00940DB3">
        <w:rPr>
          <w:lang w:eastAsia="es-ES"/>
        </w:rPr>
        <w:t xml:space="preserve"> identified as a result of the Garda helpline and the status of investigations and prosecutions in this connection</w:t>
      </w:r>
      <w:r w:rsidR="005A49BD">
        <w:rPr>
          <w:lang w:eastAsia="es-ES"/>
        </w:rPr>
        <w:t>.</w:t>
      </w:r>
      <w:r w:rsidR="005A49BD">
        <w:rPr>
          <w:rStyle w:val="FootnoteReference"/>
          <w:lang w:eastAsia="es-ES"/>
        </w:rPr>
        <w:footnoteReference w:id="25"/>
      </w:r>
    </w:p>
    <w:p w:rsidR="0069241B" w:rsidRPr="00F91005" w:rsidRDefault="00280429" w:rsidP="009909C8">
      <w:pPr>
        <w:pStyle w:val="SingleTxtG"/>
        <w:numPr>
          <w:ilvl w:val="0"/>
          <w:numId w:val="21"/>
        </w:numPr>
        <w:tabs>
          <w:tab w:val="clear" w:pos="2988"/>
        </w:tabs>
        <w:ind w:left="1134" w:firstLine="0"/>
        <w:rPr>
          <w:lang w:eastAsia="es-ES"/>
        </w:rPr>
      </w:pPr>
      <w:r w:rsidRPr="00F91005">
        <w:rPr>
          <w:lang w:eastAsia="es-ES"/>
        </w:rPr>
        <w:t xml:space="preserve">In view of </w:t>
      </w:r>
      <w:r w:rsidR="00C83D32" w:rsidRPr="00F91005">
        <w:rPr>
          <w:lang w:eastAsia="es-ES"/>
        </w:rPr>
        <w:t>the Committee’s previous concluding observations</w:t>
      </w:r>
      <w:r w:rsidR="00672E02" w:rsidRPr="00F91005">
        <w:rPr>
          <w:lang w:eastAsia="es-ES"/>
        </w:rPr>
        <w:t xml:space="preserve"> (para.</w:t>
      </w:r>
      <w:r w:rsidR="0050227A">
        <w:rPr>
          <w:lang w:eastAsia="es-ES"/>
        </w:rPr>
        <w:t> </w:t>
      </w:r>
      <w:r w:rsidR="00672E02" w:rsidRPr="00F91005">
        <w:rPr>
          <w:lang w:eastAsia="es-ES"/>
        </w:rPr>
        <w:t xml:space="preserve">21), </w:t>
      </w:r>
      <w:r w:rsidR="007666F6" w:rsidRPr="00F91005">
        <w:rPr>
          <w:lang w:eastAsia="es-ES"/>
        </w:rPr>
        <w:t>the State party’s follow-up replies</w:t>
      </w:r>
      <w:r w:rsidR="00672E02" w:rsidRPr="00F91005">
        <w:rPr>
          <w:lang w:eastAsia="es-ES"/>
        </w:rPr>
        <w:t xml:space="preserve"> and appendices</w:t>
      </w:r>
      <w:r w:rsidR="007666F6" w:rsidRPr="00F91005">
        <w:t>,</w:t>
      </w:r>
      <w:r w:rsidR="00672E02" w:rsidRPr="00F91005">
        <w:rPr>
          <w:rStyle w:val="Hyperlink"/>
        </w:rPr>
        <w:t xml:space="preserve"> </w:t>
      </w:r>
      <w:r w:rsidR="00672E02" w:rsidRPr="00F91005">
        <w:t xml:space="preserve">and </w:t>
      </w:r>
      <w:r w:rsidR="00672E02" w:rsidRPr="00F91005">
        <w:rPr>
          <w:lang w:eastAsia="es-ES"/>
        </w:rPr>
        <w:t>the request for clarification by the Rapporteur for</w:t>
      </w:r>
      <w:r w:rsidR="001E4B64">
        <w:rPr>
          <w:lang w:eastAsia="es-ES"/>
        </w:rPr>
        <w:t xml:space="preserve"> the</w:t>
      </w:r>
      <w:r w:rsidR="00672E02" w:rsidRPr="00F91005">
        <w:rPr>
          <w:lang w:eastAsia="es-ES"/>
        </w:rPr>
        <w:t xml:space="preserve"> </w:t>
      </w:r>
      <w:r w:rsidR="001E4B64">
        <w:rPr>
          <w:lang w:eastAsia="es-ES"/>
        </w:rPr>
        <w:t>f</w:t>
      </w:r>
      <w:r w:rsidR="00672E02" w:rsidRPr="00F91005">
        <w:rPr>
          <w:lang w:eastAsia="es-ES"/>
        </w:rPr>
        <w:t>ollow</w:t>
      </w:r>
      <w:r w:rsidR="004F7677">
        <w:rPr>
          <w:lang w:eastAsia="es-ES"/>
        </w:rPr>
        <w:t>-</w:t>
      </w:r>
      <w:r w:rsidR="00672E02" w:rsidRPr="00F91005">
        <w:rPr>
          <w:lang w:eastAsia="es-ES"/>
        </w:rPr>
        <w:t>up on</w:t>
      </w:r>
      <w:r w:rsidR="001E4B64">
        <w:rPr>
          <w:lang w:eastAsia="es-ES"/>
        </w:rPr>
        <w:t xml:space="preserve"> the</w:t>
      </w:r>
      <w:r w:rsidR="00672E02" w:rsidRPr="00F91005">
        <w:rPr>
          <w:lang w:eastAsia="es-ES"/>
        </w:rPr>
        <w:t xml:space="preserve"> </w:t>
      </w:r>
      <w:r w:rsidR="001E4B64" w:rsidRPr="00F91005">
        <w:rPr>
          <w:lang w:eastAsia="es-ES"/>
        </w:rPr>
        <w:t>concluding observations</w:t>
      </w:r>
      <w:r w:rsidR="00672E02" w:rsidRPr="00F91005">
        <w:rPr>
          <w:lang w:eastAsia="es-ES"/>
        </w:rPr>
        <w:t xml:space="preserve">, </w:t>
      </w:r>
      <w:r w:rsidRPr="00F91005">
        <w:rPr>
          <w:lang w:eastAsia="es-ES"/>
        </w:rPr>
        <w:t xml:space="preserve">the Committee seeks </w:t>
      </w:r>
      <w:r w:rsidR="007666F6" w:rsidRPr="00F91005">
        <w:rPr>
          <w:lang w:eastAsia="es-ES"/>
        </w:rPr>
        <w:t>updated information</w:t>
      </w:r>
      <w:r w:rsidR="00336900" w:rsidRPr="00F91005">
        <w:rPr>
          <w:lang w:eastAsia="es-ES"/>
        </w:rPr>
        <w:t xml:space="preserve"> on</w:t>
      </w:r>
      <w:r w:rsidR="00672E02" w:rsidRPr="00F91005">
        <w:rPr>
          <w:lang w:eastAsia="es-ES"/>
        </w:rPr>
        <w:t xml:space="preserve"> </w:t>
      </w:r>
      <w:r w:rsidR="00F772CD" w:rsidRPr="00F91005">
        <w:rPr>
          <w:lang w:eastAsia="es-ES"/>
        </w:rPr>
        <w:t xml:space="preserve">developments related </w:t>
      </w:r>
      <w:r w:rsidRPr="00F91005">
        <w:rPr>
          <w:lang w:eastAsia="es-ES"/>
        </w:rPr>
        <w:t>t</w:t>
      </w:r>
      <w:r w:rsidR="00F772CD" w:rsidRPr="00F91005">
        <w:rPr>
          <w:lang w:eastAsia="es-ES"/>
        </w:rPr>
        <w:t>o</w:t>
      </w:r>
      <w:r w:rsidRPr="00F91005">
        <w:rPr>
          <w:lang w:eastAsia="es-ES"/>
        </w:rPr>
        <w:t xml:space="preserve"> the </w:t>
      </w:r>
      <w:proofErr w:type="spellStart"/>
      <w:r w:rsidRPr="00F91005">
        <w:rPr>
          <w:lang w:eastAsia="es-ES"/>
        </w:rPr>
        <w:t>Magdalen</w:t>
      </w:r>
      <w:proofErr w:type="spellEnd"/>
      <w:r w:rsidRPr="00F91005">
        <w:rPr>
          <w:lang w:eastAsia="es-ES"/>
        </w:rPr>
        <w:t xml:space="preserve"> Laundries</w:t>
      </w:r>
      <w:r w:rsidR="00FD1CE7" w:rsidRPr="00F91005">
        <w:rPr>
          <w:lang w:eastAsia="es-ES"/>
        </w:rPr>
        <w:t xml:space="preserve">, where it is alleged that physical, </w:t>
      </w:r>
      <w:r w:rsidR="00564919">
        <w:rPr>
          <w:lang w:eastAsia="es-ES"/>
        </w:rPr>
        <w:t>psychological</w:t>
      </w:r>
      <w:r w:rsidR="00FD1CE7" w:rsidRPr="00F91005">
        <w:rPr>
          <w:lang w:eastAsia="es-ES"/>
        </w:rPr>
        <w:t xml:space="preserve"> and other ill-treatment was committed, amounting to breaches of the Convention</w:t>
      </w:r>
      <w:r w:rsidRPr="00F91005">
        <w:rPr>
          <w:lang w:eastAsia="es-ES"/>
        </w:rPr>
        <w:t>.</w:t>
      </w:r>
      <w:r w:rsidR="00462649">
        <w:rPr>
          <w:lang w:eastAsia="es-ES"/>
        </w:rPr>
        <w:t xml:space="preserve"> </w:t>
      </w:r>
      <w:r w:rsidR="00C819F6" w:rsidRPr="00F91005">
        <w:rPr>
          <w:lang w:eastAsia="es-ES"/>
        </w:rPr>
        <w:t xml:space="preserve">In this regard, </w:t>
      </w:r>
      <w:r w:rsidR="00FD1CE7" w:rsidRPr="00F91005">
        <w:rPr>
          <w:lang w:eastAsia="es-ES"/>
        </w:rPr>
        <w:t>the Committee</w:t>
      </w:r>
      <w:r w:rsidR="00C819F6" w:rsidRPr="00F91005">
        <w:rPr>
          <w:lang w:eastAsia="es-ES"/>
        </w:rPr>
        <w:t xml:space="preserve"> </w:t>
      </w:r>
      <w:r w:rsidR="00AE5490">
        <w:rPr>
          <w:lang w:eastAsia="es-ES"/>
        </w:rPr>
        <w:t>noted with interest</w:t>
      </w:r>
      <w:r w:rsidR="00FD1CE7" w:rsidRPr="00F91005">
        <w:rPr>
          <w:lang w:eastAsia="es-ES"/>
        </w:rPr>
        <w:t xml:space="preserve"> that the </w:t>
      </w:r>
      <w:r w:rsidR="00C819F6" w:rsidRPr="00F91005">
        <w:rPr>
          <w:lang w:eastAsia="es-ES"/>
        </w:rPr>
        <w:t xml:space="preserve">State party </w:t>
      </w:r>
      <w:r w:rsidR="00FD1CE7" w:rsidRPr="00F91005">
        <w:rPr>
          <w:lang w:eastAsia="es-ES"/>
        </w:rPr>
        <w:t>commissioned a</w:t>
      </w:r>
      <w:r w:rsidR="00AE5490">
        <w:rPr>
          <w:lang w:eastAsia="es-ES"/>
        </w:rPr>
        <w:t xml:space="preserve">n interdepartmental </w:t>
      </w:r>
      <w:r w:rsidR="00FD1CE7" w:rsidRPr="00F91005">
        <w:rPr>
          <w:lang w:eastAsia="es-ES"/>
        </w:rPr>
        <w:t xml:space="preserve">committee chaired by Senator Martin </w:t>
      </w:r>
      <w:proofErr w:type="spellStart"/>
      <w:r w:rsidR="00FD1CE7" w:rsidRPr="00F91005">
        <w:rPr>
          <w:lang w:eastAsia="es-ES"/>
        </w:rPr>
        <w:t>McAleese</w:t>
      </w:r>
      <w:proofErr w:type="spellEnd"/>
      <w:r w:rsidR="00FD1CE7" w:rsidRPr="00F91005">
        <w:rPr>
          <w:lang w:eastAsia="es-ES"/>
        </w:rPr>
        <w:t xml:space="preserve"> to establish the facts of State involvement</w:t>
      </w:r>
      <w:r w:rsidR="009E4662">
        <w:rPr>
          <w:lang w:eastAsia="es-ES"/>
        </w:rPr>
        <w:t xml:space="preserve"> in the </w:t>
      </w:r>
      <w:proofErr w:type="spellStart"/>
      <w:r w:rsidR="009E4662">
        <w:rPr>
          <w:lang w:eastAsia="es-ES"/>
        </w:rPr>
        <w:t>Magdalen</w:t>
      </w:r>
      <w:proofErr w:type="spellEnd"/>
      <w:r w:rsidR="009E4662">
        <w:rPr>
          <w:lang w:eastAsia="es-ES"/>
        </w:rPr>
        <w:t xml:space="preserve"> Laundries</w:t>
      </w:r>
      <w:r w:rsidR="00FD1CE7" w:rsidRPr="00F91005">
        <w:rPr>
          <w:lang w:eastAsia="es-ES"/>
        </w:rPr>
        <w:t xml:space="preserve"> and followed it </w:t>
      </w:r>
      <w:r w:rsidR="00607433">
        <w:rPr>
          <w:lang w:eastAsia="es-ES"/>
        </w:rPr>
        <w:t>by acknowledging some areas of S</w:t>
      </w:r>
      <w:r w:rsidR="00FD1CE7" w:rsidRPr="00F91005">
        <w:rPr>
          <w:lang w:eastAsia="es-ES"/>
        </w:rPr>
        <w:t>tate involvement</w:t>
      </w:r>
      <w:r w:rsidR="00A40C83" w:rsidRPr="00F91005">
        <w:rPr>
          <w:lang w:eastAsia="es-ES"/>
        </w:rPr>
        <w:t xml:space="preserve">, </w:t>
      </w:r>
      <w:r w:rsidR="00FD1CE7" w:rsidRPr="00F91005">
        <w:rPr>
          <w:lang w:eastAsia="es-ES"/>
        </w:rPr>
        <w:t>making a public apology</w:t>
      </w:r>
      <w:r w:rsidR="00A40C83" w:rsidRPr="00F91005">
        <w:rPr>
          <w:lang w:eastAsia="es-ES"/>
        </w:rPr>
        <w:t xml:space="preserve"> and embarking on a </w:t>
      </w:r>
      <w:r w:rsidR="00B0725E">
        <w:rPr>
          <w:lang w:eastAsia="es-ES"/>
        </w:rPr>
        <w:t xml:space="preserve">plan of </w:t>
      </w:r>
      <w:r w:rsidR="00A40C83" w:rsidRPr="00F91005">
        <w:rPr>
          <w:lang w:eastAsia="es-ES"/>
        </w:rPr>
        <w:t>redress</w:t>
      </w:r>
      <w:r w:rsidR="00B0725E">
        <w:rPr>
          <w:lang w:eastAsia="es-ES"/>
        </w:rPr>
        <w:t>.</w:t>
      </w:r>
      <w:r w:rsidR="00462649">
        <w:rPr>
          <w:lang w:eastAsia="es-ES"/>
        </w:rPr>
        <w:t xml:space="preserve"> </w:t>
      </w:r>
      <w:r w:rsidR="00A40C83" w:rsidRPr="00F91005">
        <w:rPr>
          <w:lang w:eastAsia="es-ES"/>
        </w:rPr>
        <w:t xml:space="preserve">Understanding, as the State party has written, that the </w:t>
      </w:r>
      <w:r w:rsidR="009E4662">
        <w:rPr>
          <w:lang w:eastAsia="es-ES"/>
        </w:rPr>
        <w:t>Inter-Departmental</w:t>
      </w:r>
      <w:r w:rsidR="009E4662" w:rsidRPr="00F91005">
        <w:rPr>
          <w:lang w:eastAsia="es-ES"/>
        </w:rPr>
        <w:t xml:space="preserve"> </w:t>
      </w:r>
      <w:r w:rsidR="009E4662">
        <w:rPr>
          <w:lang w:eastAsia="es-ES"/>
        </w:rPr>
        <w:t>C</w:t>
      </w:r>
      <w:r w:rsidR="00A40C83" w:rsidRPr="00F91005">
        <w:rPr>
          <w:lang w:eastAsia="es-ES"/>
        </w:rPr>
        <w:t>ommittee “had no remit to investigate or make determinations about allegations of torture or any other criminal offen</w:t>
      </w:r>
      <w:r w:rsidR="00B0725E">
        <w:rPr>
          <w:lang w:eastAsia="es-ES"/>
        </w:rPr>
        <w:t>ce</w:t>
      </w:r>
      <w:r w:rsidR="00A40C83" w:rsidRPr="00F91005">
        <w:rPr>
          <w:lang w:eastAsia="es-ES"/>
        </w:rPr>
        <w:t>”</w:t>
      </w:r>
      <w:r w:rsidR="00B0725E">
        <w:rPr>
          <w:lang w:eastAsia="es-ES"/>
        </w:rPr>
        <w:t>,</w:t>
      </w:r>
      <w:r w:rsidR="00A40C83" w:rsidRPr="00F91005">
        <w:rPr>
          <w:lang w:eastAsia="es-ES"/>
        </w:rPr>
        <w:t xml:space="preserve"> the Committee</w:t>
      </w:r>
      <w:r w:rsidRPr="00F91005">
        <w:rPr>
          <w:lang w:eastAsia="es-ES"/>
        </w:rPr>
        <w:t xml:space="preserve"> requests </w:t>
      </w:r>
      <w:r w:rsidR="00C819F6" w:rsidRPr="00F91005">
        <w:rPr>
          <w:lang w:eastAsia="es-ES"/>
        </w:rPr>
        <w:t xml:space="preserve">updated </w:t>
      </w:r>
      <w:r w:rsidRPr="00F91005">
        <w:rPr>
          <w:lang w:eastAsia="es-ES"/>
        </w:rPr>
        <w:t>information on</w:t>
      </w:r>
      <w:r w:rsidR="00607433">
        <w:rPr>
          <w:lang w:eastAsia="es-ES"/>
        </w:rPr>
        <w:t xml:space="preserve"> the following</w:t>
      </w:r>
      <w:r w:rsidR="009E4662">
        <w:rPr>
          <w:lang w:eastAsia="es-ES"/>
        </w:rPr>
        <w:t xml:space="preserve"> issues</w:t>
      </w:r>
      <w:r w:rsidRPr="00F91005">
        <w:rPr>
          <w:lang w:eastAsia="es-ES"/>
        </w:rPr>
        <w:t>:</w:t>
      </w:r>
    </w:p>
    <w:p w:rsidR="00B27C18" w:rsidRPr="00F91005" w:rsidRDefault="00C04749" w:rsidP="00362CA4">
      <w:pPr>
        <w:pStyle w:val="SingleTxtG"/>
        <w:rPr>
          <w:lang w:eastAsia="es-ES"/>
        </w:rPr>
      </w:pPr>
      <w:r>
        <w:rPr>
          <w:lang w:eastAsia="es-ES"/>
        </w:rPr>
        <w:tab/>
        <w:t>(a)</w:t>
      </w:r>
      <w:r w:rsidR="004F7677">
        <w:rPr>
          <w:lang w:eastAsia="es-ES"/>
        </w:rPr>
        <w:tab/>
      </w:r>
      <w:r w:rsidR="0004777F">
        <w:rPr>
          <w:lang w:eastAsia="es-ES"/>
        </w:rPr>
        <w:t>Although t</w:t>
      </w:r>
      <w:r w:rsidR="005912CD" w:rsidRPr="00F91005">
        <w:rPr>
          <w:lang w:eastAsia="es-ES"/>
        </w:rPr>
        <w:t xml:space="preserve">he </w:t>
      </w:r>
      <w:r w:rsidR="0004777F">
        <w:rPr>
          <w:lang w:eastAsia="es-ES"/>
        </w:rPr>
        <w:t>Inter</w:t>
      </w:r>
      <w:r w:rsidR="00B816E3">
        <w:rPr>
          <w:lang w:eastAsia="es-ES"/>
        </w:rPr>
        <w:t>-D</w:t>
      </w:r>
      <w:r w:rsidR="0004777F">
        <w:rPr>
          <w:lang w:eastAsia="es-ES"/>
        </w:rPr>
        <w:t xml:space="preserve">epartmental </w:t>
      </w:r>
      <w:r w:rsidR="005912CD" w:rsidRPr="00F91005">
        <w:rPr>
          <w:lang w:eastAsia="es-ES"/>
        </w:rPr>
        <w:t xml:space="preserve">Committee was authorized only to establish the facts </w:t>
      </w:r>
      <w:r w:rsidR="005912CD" w:rsidRPr="00C04749">
        <w:rPr>
          <w:lang w:eastAsia="es-ES"/>
        </w:rPr>
        <w:t>of State involvement in</w:t>
      </w:r>
      <w:r w:rsidR="005912CD" w:rsidRPr="00F91005">
        <w:rPr>
          <w:lang w:eastAsia="es-ES"/>
        </w:rPr>
        <w:t xml:space="preserve"> the </w:t>
      </w:r>
      <w:proofErr w:type="spellStart"/>
      <w:r w:rsidR="005912CD" w:rsidRPr="00F91005">
        <w:rPr>
          <w:lang w:eastAsia="es-ES"/>
        </w:rPr>
        <w:t>Magdalen</w:t>
      </w:r>
      <w:proofErr w:type="spellEnd"/>
      <w:r w:rsidR="005912CD" w:rsidRPr="00F91005">
        <w:rPr>
          <w:lang w:eastAsia="es-ES"/>
        </w:rPr>
        <w:t xml:space="preserve"> Laundries, the State party’s reply to the Rapporteur </w:t>
      </w:r>
      <w:r w:rsidR="001E4B64">
        <w:rPr>
          <w:lang w:eastAsia="es-ES"/>
        </w:rPr>
        <w:t>for the</w:t>
      </w:r>
      <w:r w:rsidR="001E4B64" w:rsidRPr="00F91005">
        <w:rPr>
          <w:lang w:eastAsia="es-ES"/>
        </w:rPr>
        <w:t xml:space="preserve"> </w:t>
      </w:r>
      <w:r w:rsidR="001E4B64">
        <w:rPr>
          <w:lang w:eastAsia="es-ES"/>
        </w:rPr>
        <w:t>f</w:t>
      </w:r>
      <w:r w:rsidR="005912CD" w:rsidRPr="00F91005">
        <w:rPr>
          <w:lang w:eastAsia="es-ES"/>
        </w:rPr>
        <w:t>ollow</w:t>
      </w:r>
      <w:r w:rsidR="001E4B64">
        <w:rPr>
          <w:lang w:eastAsia="es-ES"/>
        </w:rPr>
        <w:t>-</w:t>
      </w:r>
      <w:r w:rsidR="005912CD" w:rsidRPr="00F91005">
        <w:rPr>
          <w:lang w:eastAsia="es-ES"/>
        </w:rPr>
        <w:t xml:space="preserve">up on </w:t>
      </w:r>
      <w:r w:rsidR="001E4B64">
        <w:rPr>
          <w:lang w:eastAsia="es-ES"/>
        </w:rPr>
        <w:t xml:space="preserve">the </w:t>
      </w:r>
      <w:r w:rsidR="001E4B64" w:rsidRPr="00F91005">
        <w:rPr>
          <w:lang w:eastAsia="es-ES"/>
        </w:rPr>
        <w:t xml:space="preserve">concluding observations </w:t>
      </w:r>
      <w:r w:rsidR="005912CD" w:rsidRPr="00F91005">
        <w:rPr>
          <w:lang w:eastAsia="es-ES"/>
        </w:rPr>
        <w:t xml:space="preserve">states that the </w:t>
      </w:r>
      <w:r w:rsidR="009E4662">
        <w:t>r</w:t>
      </w:r>
      <w:r w:rsidR="00036271" w:rsidRPr="00F91005">
        <w:t>eport of the Inter-Departmental</w:t>
      </w:r>
      <w:r w:rsidR="00036271" w:rsidRPr="00F91005">
        <w:rPr>
          <w:lang w:eastAsia="es-ES"/>
        </w:rPr>
        <w:t xml:space="preserve"> </w:t>
      </w:r>
      <w:r w:rsidR="005912CD" w:rsidRPr="00F91005">
        <w:rPr>
          <w:lang w:eastAsia="es-ES"/>
        </w:rPr>
        <w:t>“established the facts,” is comprehensive, objective and conducted under the supervision of an independent chairperson.</w:t>
      </w:r>
      <w:r w:rsidR="00462649">
        <w:rPr>
          <w:lang w:eastAsia="es-ES"/>
        </w:rPr>
        <w:t xml:space="preserve"> </w:t>
      </w:r>
      <w:r w:rsidR="000A39EB" w:rsidRPr="00F91005">
        <w:rPr>
          <w:lang w:eastAsia="es-ES"/>
        </w:rPr>
        <w:t xml:space="preserve">Since the Committee did not have </w:t>
      </w:r>
      <w:r w:rsidR="009E4662">
        <w:rPr>
          <w:lang w:eastAsia="es-ES"/>
        </w:rPr>
        <w:t xml:space="preserve">the </w:t>
      </w:r>
      <w:r w:rsidR="000A39EB" w:rsidRPr="00F91005">
        <w:rPr>
          <w:lang w:eastAsia="es-ES"/>
        </w:rPr>
        <w:t>power to compel evidence</w:t>
      </w:r>
      <w:r w:rsidR="009E4662">
        <w:rPr>
          <w:lang w:eastAsia="es-ES"/>
        </w:rPr>
        <w:t xml:space="preserve"> to be </w:t>
      </w:r>
      <w:r w:rsidR="002C4922">
        <w:rPr>
          <w:lang w:eastAsia="es-ES"/>
        </w:rPr>
        <w:t>given</w:t>
      </w:r>
      <w:r w:rsidR="000A39EB" w:rsidRPr="00F91005">
        <w:rPr>
          <w:lang w:eastAsia="es-ES"/>
        </w:rPr>
        <w:t xml:space="preserve"> and </w:t>
      </w:r>
      <w:r w:rsidR="002C4922">
        <w:rPr>
          <w:lang w:eastAsia="es-ES"/>
        </w:rPr>
        <w:t xml:space="preserve">could </w:t>
      </w:r>
      <w:r w:rsidR="000A39EB" w:rsidRPr="00F91005">
        <w:rPr>
          <w:lang w:eastAsia="es-ES"/>
        </w:rPr>
        <w:t xml:space="preserve">only receive what was forwarded voluntarily, </w:t>
      </w:r>
      <w:r w:rsidR="0004777F">
        <w:rPr>
          <w:lang w:eastAsia="es-ES"/>
        </w:rPr>
        <w:t xml:space="preserve">please explain </w:t>
      </w:r>
      <w:r w:rsidR="000A39EB" w:rsidRPr="00F91005">
        <w:rPr>
          <w:lang w:eastAsia="es-ES"/>
        </w:rPr>
        <w:t xml:space="preserve">why </w:t>
      </w:r>
      <w:r w:rsidR="0004777F">
        <w:rPr>
          <w:lang w:eastAsia="es-ES"/>
        </w:rPr>
        <w:t xml:space="preserve">the State party considers that </w:t>
      </w:r>
      <w:r w:rsidR="000A39EB" w:rsidRPr="00F91005">
        <w:rPr>
          <w:lang w:eastAsia="es-ES"/>
        </w:rPr>
        <w:t>it has obtained all the relevant evidence and facts</w:t>
      </w:r>
      <w:r w:rsidR="009E4662">
        <w:rPr>
          <w:lang w:eastAsia="es-ES"/>
        </w:rPr>
        <w:t>.</w:t>
      </w:r>
      <w:r w:rsidR="00462649">
        <w:rPr>
          <w:lang w:eastAsia="es-ES"/>
        </w:rPr>
        <w:t xml:space="preserve"> </w:t>
      </w:r>
      <w:r w:rsidR="00D30B36">
        <w:rPr>
          <w:lang w:eastAsia="es-ES"/>
        </w:rPr>
        <w:t>P</w:t>
      </w:r>
      <w:r w:rsidR="006435BC" w:rsidRPr="00F91005">
        <w:rPr>
          <w:lang w:eastAsia="es-ES"/>
        </w:rPr>
        <w:t xml:space="preserve">lease clarify how </w:t>
      </w:r>
      <w:r w:rsidR="00D30B36">
        <w:rPr>
          <w:lang w:eastAsia="es-ES"/>
        </w:rPr>
        <w:t xml:space="preserve">the </w:t>
      </w:r>
      <w:r w:rsidR="006435BC" w:rsidRPr="00F91005">
        <w:rPr>
          <w:lang w:eastAsia="es-ES"/>
        </w:rPr>
        <w:t>Committee</w:t>
      </w:r>
      <w:r w:rsidR="00036271">
        <w:rPr>
          <w:lang w:eastAsia="es-ES"/>
        </w:rPr>
        <w:t>,</w:t>
      </w:r>
      <w:r w:rsidR="006435BC" w:rsidRPr="00F91005">
        <w:rPr>
          <w:lang w:eastAsia="es-ES"/>
        </w:rPr>
        <w:t xml:space="preserve"> co</w:t>
      </w:r>
      <w:r w:rsidR="00D30B36">
        <w:rPr>
          <w:lang w:eastAsia="es-ES"/>
        </w:rPr>
        <w:t xml:space="preserve">mprised </w:t>
      </w:r>
      <w:r w:rsidR="006435BC" w:rsidRPr="00F91005">
        <w:rPr>
          <w:lang w:eastAsia="es-ES"/>
        </w:rPr>
        <w:t>of representatives of the government agencies involved w</w:t>
      </w:r>
      <w:r w:rsidR="004F7677">
        <w:rPr>
          <w:lang w:eastAsia="es-ES"/>
        </w:rPr>
        <w:t xml:space="preserve">ith the running of the </w:t>
      </w:r>
      <w:proofErr w:type="spellStart"/>
      <w:r w:rsidR="004F7677">
        <w:rPr>
          <w:lang w:eastAsia="es-ES"/>
        </w:rPr>
        <w:t>Magdalen</w:t>
      </w:r>
      <w:proofErr w:type="spellEnd"/>
      <w:r w:rsidR="006435BC" w:rsidRPr="00F91005">
        <w:rPr>
          <w:lang w:eastAsia="es-ES"/>
        </w:rPr>
        <w:t xml:space="preserve"> </w:t>
      </w:r>
      <w:r w:rsidR="004F7677">
        <w:rPr>
          <w:lang w:eastAsia="es-ES"/>
        </w:rPr>
        <w:t>L</w:t>
      </w:r>
      <w:r w:rsidR="006435BC" w:rsidRPr="00F91005">
        <w:rPr>
          <w:lang w:eastAsia="es-ES"/>
        </w:rPr>
        <w:t>aundries</w:t>
      </w:r>
      <w:r w:rsidR="00036271">
        <w:rPr>
          <w:lang w:eastAsia="es-ES"/>
        </w:rPr>
        <w:t>,</w:t>
      </w:r>
      <w:r w:rsidR="006435BC" w:rsidRPr="00F91005">
        <w:rPr>
          <w:lang w:eastAsia="es-ES"/>
        </w:rPr>
        <w:t xml:space="preserve"> can be considered as definitive solely because th</w:t>
      </w:r>
      <w:r>
        <w:rPr>
          <w:lang w:eastAsia="es-ES"/>
        </w:rPr>
        <w:t>e chair was independent;</w:t>
      </w:r>
    </w:p>
    <w:p w:rsidR="00C23F3C" w:rsidRPr="00F91005" w:rsidRDefault="00C04749" w:rsidP="0050227A">
      <w:pPr>
        <w:pStyle w:val="SingleTxtG"/>
        <w:rPr>
          <w:lang w:eastAsia="es-ES"/>
        </w:rPr>
      </w:pPr>
      <w:r>
        <w:rPr>
          <w:lang w:eastAsia="es-ES"/>
        </w:rPr>
        <w:tab/>
      </w:r>
      <w:r w:rsidR="004F7677">
        <w:rPr>
          <w:lang w:eastAsia="es-ES"/>
        </w:rPr>
        <w:t>(b)</w:t>
      </w:r>
      <w:r w:rsidR="004F7677">
        <w:rPr>
          <w:lang w:eastAsia="es-ES"/>
        </w:rPr>
        <w:tab/>
      </w:r>
      <w:r w:rsidR="001368F3">
        <w:rPr>
          <w:lang w:eastAsia="es-ES"/>
        </w:rPr>
        <w:t xml:space="preserve">Please clarify the basis on which </w:t>
      </w:r>
      <w:r w:rsidR="000A39EB" w:rsidRPr="00F91005">
        <w:rPr>
          <w:lang w:eastAsia="es-ES"/>
        </w:rPr>
        <w:t>testimonies</w:t>
      </w:r>
      <w:r w:rsidR="001368F3">
        <w:rPr>
          <w:lang w:eastAsia="es-ES"/>
        </w:rPr>
        <w:t xml:space="preserve"> submitted</w:t>
      </w:r>
      <w:r w:rsidR="000A39EB" w:rsidRPr="00F91005">
        <w:rPr>
          <w:lang w:eastAsia="es-ES"/>
        </w:rPr>
        <w:t xml:space="preserve"> to the </w:t>
      </w:r>
      <w:r w:rsidR="009E4662">
        <w:rPr>
          <w:lang w:eastAsia="es-ES"/>
        </w:rPr>
        <w:t xml:space="preserve">Inter-Departmental </w:t>
      </w:r>
      <w:r w:rsidR="000A39EB" w:rsidRPr="00F91005">
        <w:rPr>
          <w:lang w:eastAsia="es-ES"/>
        </w:rPr>
        <w:t>Committee</w:t>
      </w:r>
      <w:r w:rsidR="001368F3">
        <w:rPr>
          <w:lang w:eastAsia="es-ES"/>
        </w:rPr>
        <w:t xml:space="preserve"> were included or excluded from the report, with attention in particular </w:t>
      </w:r>
      <w:r w:rsidR="009E4662">
        <w:rPr>
          <w:lang w:eastAsia="es-ES"/>
        </w:rPr>
        <w:t xml:space="preserve">paid </w:t>
      </w:r>
      <w:r w:rsidR="001368F3">
        <w:rPr>
          <w:lang w:eastAsia="es-ES"/>
        </w:rPr>
        <w:t>to the 22</w:t>
      </w:r>
      <w:r w:rsidR="0050227A">
        <w:rPr>
          <w:lang w:eastAsia="es-ES"/>
        </w:rPr>
        <w:t> </w:t>
      </w:r>
      <w:r w:rsidR="001368F3">
        <w:rPr>
          <w:lang w:eastAsia="es-ES"/>
        </w:rPr>
        <w:t xml:space="preserve">testimonies submitted by </w:t>
      </w:r>
      <w:r w:rsidR="002C4922">
        <w:rPr>
          <w:lang w:eastAsia="es-ES"/>
        </w:rPr>
        <w:t xml:space="preserve">the advocacy group, </w:t>
      </w:r>
      <w:r w:rsidR="001368F3">
        <w:rPr>
          <w:lang w:eastAsia="es-ES"/>
        </w:rPr>
        <w:t xml:space="preserve">Justice for </w:t>
      </w:r>
      <w:proofErr w:type="spellStart"/>
      <w:r w:rsidR="001368F3">
        <w:rPr>
          <w:lang w:eastAsia="es-ES"/>
        </w:rPr>
        <w:t>Magdalenes</w:t>
      </w:r>
      <w:proofErr w:type="spellEnd"/>
      <w:r w:rsidR="001368F3">
        <w:rPr>
          <w:lang w:eastAsia="es-ES"/>
        </w:rPr>
        <w:t>, only 7 of which are included in the report.</w:t>
      </w:r>
      <w:r w:rsidR="00462649">
        <w:rPr>
          <w:lang w:eastAsia="es-ES"/>
        </w:rPr>
        <w:t xml:space="preserve"> </w:t>
      </w:r>
      <w:r w:rsidR="001368F3">
        <w:rPr>
          <w:lang w:eastAsia="es-ES"/>
        </w:rPr>
        <w:t>Was</w:t>
      </w:r>
      <w:r w:rsidR="006435BC" w:rsidRPr="00F91005">
        <w:rPr>
          <w:lang w:eastAsia="es-ES"/>
        </w:rPr>
        <w:t xml:space="preserve"> survivor testimony given a lesser rank or status in this inquiry tha</w:t>
      </w:r>
      <w:r w:rsidR="001368F3">
        <w:rPr>
          <w:lang w:eastAsia="es-ES"/>
        </w:rPr>
        <w:t>n</w:t>
      </w:r>
      <w:r w:rsidR="006435BC" w:rsidRPr="00F91005">
        <w:rPr>
          <w:lang w:eastAsia="es-ES"/>
        </w:rPr>
        <w:t xml:space="preserve"> written records of the </w:t>
      </w:r>
      <w:r w:rsidR="001368F3">
        <w:rPr>
          <w:lang w:eastAsia="es-ES"/>
        </w:rPr>
        <w:t>S</w:t>
      </w:r>
      <w:r w:rsidR="006435BC" w:rsidRPr="00F91005">
        <w:rPr>
          <w:lang w:eastAsia="es-ES"/>
        </w:rPr>
        <w:t>tate and the religious orders?</w:t>
      </w:r>
      <w:r w:rsidR="00462649">
        <w:rPr>
          <w:lang w:eastAsia="es-ES"/>
        </w:rPr>
        <w:t xml:space="preserve"> </w:t>
      </w:r>
      <w:r w:rsidR="000A39EB" w:rsidRPr="00F91005">
        <w:rPr>
          <w:lang w:eastAsia="es-ES"/>
        </w:rPr>
        <w:t>In view of the fact that several</w:t>
      </w:r>
      <w:r w:rsidR="00B27C18" w:rsidRPr="00F91005">
        <w:rPr>
          <w:lang w:eastAsia="es-ES"/>
        </w:rPr>
        <w:t xml:space="preserve"> of the </w:t>
      </w:r>
      <w:r w:rsidR="000A39EB" w:rsidRPr="00F91005">
        <w:rPr>
          <w:lang w:eastAsia="es-ES"/>
        </w:rPr>
        <w:t>case</w:t>
      </w:r>
      <w:r w:rsidR="00B27C18" w:rsidRPr="00F91005">
        <w:rPr>
          <w:lang w:eastAsia="es-ES"/>
        </w:rPr>
        <w:t xml:space="preserve">s </w:t>
      </w:r>
      <w:r w:rsidR="000A39EB" w:rsidRPr="00F91005">
        <w:rPr>
          <w:lang w:eastAsia="es-ES"/>
        </w:rPr>
        <w:t xml:space="preserve">cited by </w:t>
      </w:r>
      <w:r w:rsidR="002C4922">
        <w:rPr>
          <w:lang w:eastAsia="es-ES"/>
        </w:rPr>
        <w:t xml:space="preserve">non-governmental </w:t>
      </w:r>
      <w:r w:rsidR="000A39EB" w:rsidRPr="00F91005">
        <w:rPr>
          <w:lang w:eastAsia="es-ES"/>
        </w:rPr>
        <w:t>sources highlight physical and psychological abuse or assault,</w:t>
      </w:r>
      <w:r w:rsidR="00036271">
        <w:rPr>
          <w:lang w:eastAsia="es-ES"/>
        </w:rPr>
        <w:t xml:space="preserve"> please clarify what measures </w:t>
      </w:r>
      <w:r w:rsidR="000A39EB" w:rsidRPr="00F91005">
        <w:rPr>
          <w:lang w:eastAsia="es-ES"/>
        </w:rPr>
        <w:t xml:space="preserve">the State party </w:t>
      </w:r>
      <w:r w:rsidR="00036271">
        <w:rPr>
          <w:lang w:eastAsia="es-ES"/>
        </w:rPr>
        <w:t xml:space="preserve">has </w:t>
      </w:r>
      <w:r w:rsidR="000A39EB" w:rsidRPr="00F91005">
        <w:rPr>
          <w:lang w:eastAsia="es-ES"/>
        </w:rPr>
        <w:t>taken to investigate their</w:t>
      </w:r>
      <w:r w:rsidR="00E34CA0">
        <w:rPr>
          <w:lang w:eastAsia="es-ES"/>
        </w:rPr>
        <w:t xml:space="preserve"> claims promptly and thoroughly</w:t>
      </w:r>
      <w:r w:rsidR="002C4922">
        <w:rPr>
          <w:lang w:eastAsia="es-ES"/>
        </w:rPr>
        <w:t>.</w:t>
      </w:r>
      <w:r w:rsidR="00462649">
        <w:rPr>
          <w:lang w:eastAsia="es-ES"/>
        </w:rPr>
        <w:t xml:space="preserve"> </w:t>
      </w:r>
      <w:r w:rsidR="00036271">
        <w:rPr>
          <w:lang w:eastAsia="es-ES"/>
        </w:rPr>
        <w:t>Further, please inform the Committee</w:t>
      </w:r>
      <w:r w:rsidR="002C4922">
        <w:rPr>
          <w:lang w:eastAsia="es-ES"/>
        </w:rPr>
        <w:t xml:space="preserve"> as to</w:t>
      </w:r>
      <w:r w:rsidR="00036271">
        <w:rPr>
          <w:lang w:eastAsia="es-ES"/>
        </w:rPr>
        <w:t xml:space="preserve"> the reasoning behind </w:t>
      </w:r>
      <w:r w:rsidR="003A54FE" w:rsidRPr="00F91005">
        <w:rPr>
          <w:lang w:eastAsia="es-ES"/>
        </w:rPr>
        <w:t>the State party</w:t>
      </w:r>
      <w:r w:rsidR="00036271">
        <w:rPr>
          <w:lang w:eastAsia="es-ES"/>
        </w:rPr>
        <w:t xml:space="preserve">’s view </w:t>
      </w:r>
      <w:r w:rsidR="003A54FE" w:rsidRPr="00F91005">
        <w:rPr>
          <w:lang w:eastAsia="es-ES"/>
        </w:rPr>
        <w:t>that it is</w:t>
      </w:r>
      <w:r w:rsidR="00E34CA0">
        <w:rPr>
          <w:lang w:eastAsia="es-ES"/>
        </w:rPr>
        <w:t xml:space="preserve"> first</w:t>
      </w:r>
      <w:r w:rsidR="003A54FE" w:rsidRPr="00F91005">
        <w:rPr>
          <w:lang w:eastAsia="es-ES"/>
        </w:rPr>
        <w:t xml:space="preserve"> necessary to identify “systematic” torture </w:t>
      </w:r>
      <w:r w:rsidR="00FB1AD9">
        <w:rPr>
          <w:lang w:eastAsia="es-ES"/>
        </w:rPr>
        <w:t xml:space="preserve">before launching an </w:t>
      </w:r>
      <w:r w:rsidR="003A54FE" w:rsidRPr="00F91005">
        <w:rPr>
          <w:lang w:eastAsia="es-ES"/>
        </w:rPr>
        <w:t>inquiry</w:t>
      </w:r>
      <w:r w:rsidR="00FB1AD9">
        <w:rPr>
          <w:lang w:eastAsia="es-ES"/>
        </w:rPr>
        <w:t xml:space="preserve"> into claims of </w:t>
      </w:r>
      <w:r w:rsidR="00036271">
        <w:rPr>
          <w:lang w:eastAsia="es-ES"/>
        </w:rPr>
        <w:t xml:space="preserve">physical or psychological </w:t>
      </w:r>
      <w:r w:rsidR="00FB1AD9">
        <w:rPr>
          <w:lang w:eastAsia="es-ES"/>
        </w:rPr>
        <w:t xml:space="preserve">abuse at the </w:t>
      </w:r>
      <w:proofErr w:type="spellStart"/>
      <w:r w:rsidR="00FB1AD9">
        <w:rPr>
          <w:lang w:eastAsia="es-ES"/>
        </w:rPr>
        <w:t>Magdalen</w:t>
      </w:r>
      <w:proofErr w:type="spellEnd"/>
      <w:r w:rsidR="00FB1AD9">
        <w:rPr>
          <w:lang w:eastAsia="es-ES"/>
        </w:rPr>
        <w:t xml:space="preserve"> Laundries</w:t>
      </w:r>
      <w:r w:rsidR="002C4922">
        <w:rPr>
          <w:lang w:eastAsia="es-ES"/>
        </w:rPr>
        <w:t>;</w:t>
      </w:r>
    </w:p>
    <w:p w:rsidR="005912CD" w:rsidRPr="00F91005" w:rsidRDefault="00C04749" w:rsidP="00362CA4">
      <w:pPr>
        <w:pStyle w:val="SingleTxtG"/>
        <w:rPr>
          <w:lang w:eastAsia="es-ES"/>
        </w:rPr>
      </w:pPr>
      <w:r>
        <w:rPr>
          <w:lang w:eastAsia="es-ES"/>
        </w:rPr>
        <w:tab/>
        <w:t>(c)</w:t>
      </w:r>
      <w:r w:rsidR="004F7677">
        <w:rPr>
          <w:lang w:eastAsia="es-ES"/>
        </w:rPr>
        <w:tab/>
      </w:r>
      <w:r w:rsidR="00B27C18" w:rsidRPr="00F91005">
        <w:rPr>
          <w:lang w:eastAsia="es-ES"/>
        </w:rPr>
        <w:t xml:space="preserve">As the duration of stay was not recorded for </w:t>
      </w:r>
      <w:r w:rsidR="00A7767E">
        <w:rPr>
          <w:lang w:eastAsia="es-ES"/>
        </w:rPr>
        <w:t xml:space="preserve">45 </w:t>
      </w:r>
      <w:r w:rsidR="002C4922">
        <w:rPr>
          <w:lang w:eastAsia="es-ES"/>
        </w:rPr>
        <w:t>per cent</w:t>
      </w:r>
      <w:r w:rsidR="00B27C18" w:rsidRPr="00F91005">
        <w:rPr>
          <w:lang w:eastAsia="es-ES"/>
        </w:rPr>
        <w:t xml:space="preserve"> of admissions to </w:t>
      </w:r>
      <w:r w:rsidR="00A455A6">
        <w:rPr>
          <w:lang w:eastAsia="es-ES"/>
        </w:rPr>
        <w:t xml:space="preserve">the </w:t>
      </w:r>
      <w:r w:rsidR="004F7677" w:rsidRPr="00F91005">
        <w:rPr>
          <w:lang w:eastAsia="es-ES"/>
        </w:rPr>
        <w:t>Magdalen Laundries</w:t>
      </w:r>
      <w:r w:rsidR="00A455A6">
        <w:rPr>
          <w:lang w:eastAsia="es-ES"/>
        </w:rPr>
        <w:t xml:space="preserve">, according to the </w:t>
      </w:r>
      <w:r w:rsidR="002C4922">
        <w:rPr>
          <w:lang w:eastAsia="es-ES"/>
        </w:rPr>
        <w:t>r</w:t>
      </w:r>
      <w:r w:rsidR="00B27C18" w:rsidRPr="00F91005">
        <w:rPr>
          <w:lang w:eastAsia="es-ES"/>
        </w:rPr>
        <w:t>eport</w:t>
      </w:r>
      <w:r w:rsidR="002C4922">
        <w:rPr>
          <w:lang w:eastAsia="es-ES"/>
        </w:rPr>
        <w:t xml:space="preserve"> of the Inter-Departmental Committee</w:t>
      </w:r>
      <w:r w:rsidR="00B27C18" w:rsidRPr="00F91005">
        <w:rPr>
          <w:lang w:eastAsia="es-ES"/>
        </w:rPr>
        <w:t>, amounting to 5,047 women</w:t>
      </w:r>
      <w:r w:rsidR="00A7767E">
        <w:rPr>
          <w:lang w:eastAsia="es-ES"/>
        </w:rPr>
        <w:t>,</w:t>
      </w:r>
      <w:r w:rsidR="00A455A6">
        <w:rPr>
          <w:lang w:eastAsia="es-ES"/>
        </w:rPr>
        <w:t xml:space="preserve"> please clarify whether </w:t>
      </w:r>
      <w:r w:rsidR="006435BC" w:rsidRPr="00F91005">
        <w:rPr>
          <w:lang w:eastAsia="es-ES"/>
        </w:rPr>
        <w:t xml:space="preserve">the </w:t>
      </w:r>
      <w:r w:rsidR="00B27C18" w:rsidRPr="00F91005">
        <w:rPr>
          <w:lang w:eastAsia="es-ES"/>
        </w:rPr>
        <w:t xml:space="preserve">State </w:t>
      </w:r>
      <w:r w:rsidR="006435BC" w:rsidRPr="00F91005">
        <w:rPr>
          <w:lang w:eastAsia="es-ES"/>
        </w:rPr>
        <w:t xml:space="preserve">party </w:t>
      </w:r>
      <w:r w:rsidR="00A455A6">
        <w:rPr>
          <w:lang w:eastAsia="es-ES"/>
        </w:rPr>
        <w:t xml:space="preserve">considers </w:t>
      </w:r>
      <w:r w:rsidR="00B27C18" w:rsidRPr="00F91005">
        <w:rPr>
          <w:lang w:eastAsia="es-ES"/>
        </w:rPr>
        <w:t xml:space="preserve">that </w:t>
      </w:r>
      <w:r w:rsidR="00A455A6">
        <w:rPr>
          <w:lang w:eastAsia="es-ES"/>
        </w:rPr>
        <w:t>the</w:t>
      </w:r>
      <w:r w:rsidR="00B27C18" w:rsidRPr="00F91005">
        <w:rPr>
          <w:lang w:eastAsia="es-ES"/>
        </w:rPr>
        <w:t xml:space="preserve"> report</w:t>
      </w:r>
      <w:r w:rsidR="00A455A6">
        <w:rPr>
          <w:lang w:eastAsia="es-ES"/>
        </w:rPr>
        <w:t xml:space="preserve"> provides a comprehensive and accurate evaluation of the number of victims and abuses encountered.</w:t>
      </w:r>
      <w:r w:rsidR="00462649">
        <w:rPr>
          <w:lang w:eastAsia="es-ES"/>
        </w:rPr>
        <w:t xml:space="preserve"> </w:t>
      </w:r>
      <w:r w:rsidR="00A455A6">
        <w:rPr>
          <w:lang w:eastAsia="es-ES"/>
        </w:rPr>
        <w:t xml:space="preserve">Please </w:t>
      </w:r>
      <w:r w:rsidR="002C4922">
        <w:rPr>
          <w:lang w:eastAsia="es-ES"/>
        </w:rPr>
        <w:t xml:space="preserve">also </w:t>
      </w:r>
      <w:r w:rsidR="00A455A6">
        <w:rPr>
          <w:lang w:eastAsia="es-ES"/>
        </w:rPr>
        <w:t xml:space="preserve">clarify whether </w:t>
      </w:r>
      <w:r w:rsidR="00B27C18" w:rsidRPr="00F91005">
        <w:rPr>
          <w:lang w:eastAsia="es-ES"/>
        </w:rPr>
        <w:t xml:space="preserve">the State </w:t>
      </w:r>
      <w:r w:rsidR="006435BC" w:rsidRPr="00F91005">
        <w:rPr>
          <w:lang w:eastAsia="es-ES"/>
        </w:rPr>
        <w:t xml:space="preserve">party </w:t>
      </w:r>
      <w:r w:rsidR="00B27C18" w:rsidRPr="00F91005">
        <w:rPr>
          <w:lang w:eastAsia="es-ES"/>
        </w:rPr>
        <w:t xml:space="preserve">compelled the private actors that ran the </w:t>
      </w:r>
      <w:r w:rsidR="004F7677" w:rsidRPr="00F91005">
        <w:rPr>
          <w:lang w:eastAsia="es-ES"/>
        </w:rPr>
        <w:t>Magdalen Laundries</w:t>
      </w:r>
      <w:r w:rsidR="00A455A6">
        <w:rPr>
          <w:lang w:eastAsia="es-ES"/>
        </w:rPr>
        <w:t xml:space="preserve"> </w:t>
      </w:r>
      <w:r w:rsidR="002C4922">
        <w:rPr>
          <w:lang w:eastAsia="es-ES"/>
        </w:rPr>
        <w:t xml:space="preserve">to give evidence </w:t>
      </w:r>
      <w:r w:rsidR="00A455A6">
        <w:rPr>
          <w:lang w:eastAsia="es-ES"/>
        </w:rPr>
        <w:t>and whether and why there may be plans to</w:t>
      </w:r>
      <w:r w:rsidR="00B27C18" w:rsidRPr="00F91005">
        <w:rPr>
          <w:lang w:eastAsia="es-ES"/>
        </w:rPr>
        <w:t xml:space="preserve"> do so in the future</w:t>
      </w:r>
      <w:r w:rsidR="00A455A6">
        <w:rPr>
          <w:lang w:eastAsia="es-ES"/>
        </w:rPr>
        <w:t>.</w:t>
      </w:r>
      <w:r w:rsidR="00462649">
        <w:rPr>
          <w:lang w:eastAsia="es-ES"/>
        </w:rPr>
        <w:t xml:space="preserve"> </w:t>
      </w:r>
      <w:r w:rsidR="00A455A6">
        <w:rPr>
          <w:lang w:eastAsia="es-ES"/>
        </w:rPr>
        <w:t xml:space="preserve">Please </w:t>
      </w:r>
      <w:r w:rsidR="002C4922">
        <w:rPr>
          <w:lang w:eastAsia="es-ES"/>
        </w:rPr>
        <w:t xml:space="preserve">also </w:t>
      </w:r>
      <w:r w:rsidR="00A455A6">
        <w:rPr>
          <w:lang w:eastAsia="es-ES"/>
        </w:rPr>
        <w:t xml:space="preserve">indicate whether </w:t>
      </w:r>
      <w:r w:rsidR="00B27C18" w:rsidRPr="00F91005">
        <w:rPr>
          <w:lang w:eastAsia="es-ES"/>
        </w:rPr>
        <w:t xml:space="preserve">the figures provided </w:t>
      </w:r>
      <w:r w:rsidR="00A455A6">
        <w:rPr>
          <w:lang w:eastAsia="es-ES"/>
        </w:rPr>
        <w:t xml:space="preserve">voluntarily </w:t>
      </w:r>
      <w:r w:rsidR="00B27C18" w:rsidRPr="00F91005">
        <w:rPr>
          <w:lang w:eastAsia="es-ES"/>
        </w:rPr>
        <w:t>by the private actors</w:t>
      </w:r>
      <w:r w:rsidR="00A455A6">
        <w:rPr>
          <w:lang w:eastAsia="es-ES"/>
        </w:rPr>
        <w:t xml:space="preserve"> have</w:t>
      </w:r>
      <w:r w:rsidR="00B27C18" w:rsidRPr="00F91005">
        <w:rPr>
          <w:lang w:eastAsia="es-ES"/>
        </w:rPr>
        <w:t xml:space="preserve"> been subjected to independent audit</w:t>
      </w:r>
      <w:r w:rsidR="0050227A">
        <w:rPr>
          <w:lang w:eastAsia="es-ES"/>
        </w:rPr>
        <w:t>;</w:t>
      </w:r>
    </w:p>
    <w:p w:rsidR="00246360" w:rsidRPr="00F91005" w:rsidRDefault="00FA7CB0" w:rsidP="00362CA4">
      <w:pPr>
        <w:pStyle w:val="SingleTxtG"/>
      </w:pPr>
      <w:r>
        <w:rPr>
          <w:lang w:eastAsia="es-ES"/>
        </w:rPr>
        <w:tab/>
      </w:r>
      <w:r w:rsidR="004F7677">
        <w:rPr>
          <w:lang w:eastAsia="es-ES"/>
        </w:rPr>
        <w:t>(</w:t>
      </w:r>
      <w:r w:rsidR="00957E2B">
        <w:rPr>
          <w:lang w:eastAsia="es-ES"/>
        </w:rPr>
        <w:t>d</w:t>
      </w:r>
      <w:r>
        <w:rPr>
          <w:lang w:eastAsia="es-ES"/>
        </w:rPr>
        <w:t>)</w:t>
      </w:r>
      <w:r w:rsidR="004F7677">
        <w:rPr>
          <w:lang w:eastAsia="es-ES"/>
        </w:rPr>
        <w:tab/>
      </w:r>
      <w:r w:rsidR="00957E2B">
        <w:rPr>
          <w:lang w:eastAsia="es-ES"/>
        </w:rPr>
        <w:t>Please provide information, including statistics</w:t>
      </w:r>
      <w:r w:rsidR="00036271">
        <w:rPr>
          <w:lang w:eastAsia="es-ES"/>
        </w:rPr>
        <w:t xml:space="preserve"> where relevant</w:t>
      </w:r>
      <w:r w:rsidR="00957E2B">
        <w:rPr>
          <w:lang w:eastAsia="es-ES"/>
        </w:rPr>
        <w:t xml:space="preserve">, on the </w:t>
      </w:r>
      <w:r w:rsidR="002A18D8" w:rsidRPr="00F91005">
        <w:rPr>
          <w:lang w:eastAsia="es-ES"/>
        </w:rPr>
        <w:t xml:space="preserve">measures established to inform </w:t>
      </w:r>
      <w:r w:rsidR="00957E2B">
        <w:rPr>
          <w:lang w:eastAsia="es-ES"/>
        </w:rPr>
        <w:t xml:space="preserve">persons confined in the Magdalen Laundries </w:t>
      </w:r>
      <w:r w:rsidR="002A18D8" w:rsidRPr="00F91005">
        <w:rPr>
          <w:lang w:eastAsia="es-ES"/>
        </w:rPr>
        <w:t>of the possibility of lodging</w:t>
      </w:r>
      <w:r w:rsidR="00246360" w:rsidRPr="00F91005">
        <w:rPr>
          <w:lang w:eastAsia="es-ES"/>
        </w:rPr>
        <w:t xml:space="preserve"> criminal</w:t>
      </w:r>
      <w:r w:rsidR="002A18D8" w:rsidRPr="00F91005">
        <w:rPr>
          <w:lang w:eastAsia="es-ES"/>
        </w:rPr>
        <w:t xml:space="preserve"> complaints</w:t>
      </w:r>
      <w:r w:rsidR="00462649">
        <w:rPr>
          <w:lang w:eastAsia="es-ES"/>
        </w:rPr>
        <w:t xml:space="preserve"> </w:t>
      </w:r>
      <w:r w:rsidR="002A18D8" w:rsidRPr="00F91005">
        <w:rPr>
          <w:lang w:eastAsia="es-ES"/>
        </w:rPr>
        <w:t>and</w:t>
      </w:r>
      <w:r w:rsidR="00462649">
        <w:rPr>
          <w:lang w:eastAsia="es-ES"/>
        </w:rPr>
        <w:t xml:space="preserve"> </w:t>
      </w:r>
      <w:r w:rsidR="002A18D8" w:rsidRPr="00F91005">
        <w:rPr>
          <w:lang w:eastAsia="es-ES"/>
        </w:rPr>
        <w:t xml:space="preserve">of instituting prompt, independent and thorough </w:t>
      </w:r>
      <w:r w:rsidR="00246360" w:rsidRPr="00F91005">
        <w:rPr>
          <w:lang w:eastAsia="es-ES"/>
        </w:rPr>
        <w:t xml:space="preserve">investigations </w:t>
      </w:r>
      <w:r w:rsidR="002A18D8" w:rsidRPr="00F91005">
        <w:rPr>
          <w:lang w:eastAsia="es-ES"/>
        </w:rPr>
        <w:t>into all complaints</w:t>
      </w:r>
      <w:r w:rsidR="002A18D8" w:rsidRPr="00F91005">
        <w:t xml:space="preserve"> </w:t>
      </w:r>
      <w:r w:rsidR="00246360" w:rsidRPr="00F91005">
        <w:t xml:space="preserve">made by persons claiming to be victims of criminal abuse in the Magdalen Laundries </w:t>
      </w:r>
      <w:r w:rsidR="00934AE8" w:rsidRPr="00F91005">
        <w:t xml:space="preserve">and </w:t>
      </w:r>
      <w:r w:rsidR="00DD0FA1" w:rsidRPr="00F91005">
        <w:t xml:space="preserve">on </w:t>
      </w:r>
      <w:r w:rsidR="00934AE8" w:rsidRPr="00F91005">
        <w:t>any subsequent inquiries</w:t>
      </w:r>
      <w:r w:rsidR="00DD0FA1" w:rsidRPr="00F91005">
        <w:t xml:space="preserve"> and other follow-up</w:t>
      </w:r>
      <w:r w:rsidR="00934AE8" w:rsidRPr="00F91005">
        <w:t xml:space="preserve"> </w:t>
      </w:r>
      <w:r w:rsidR="00504B95" w:rsidRPr="00F91005">
        <w:t>after</w:t>
      </w:r>
      <w:r w:rsidR="00246360" w:rsidRPr="00F91005">
        <w:t xml:space="preserve"> the </w:t>
      </w:r>
      <w:r w:rsidR="00EB0B78" w:rsidRPr="00F91005">
        <w:t xml:space="preserve">publication in 2013 of the </w:t>
      </w:r>
      <w:r w:rsidR="002C4922">
        <w:rPr>
          <w:lang w:eastAsia="es-ES"/>
        </w:rPr>
        <w:t>r</w:t>
      </w:r>
      <w:r w:rsidR="00EB0B78" w:rsidRPr="00F91005">
        <w:rPr>
          <w:lang w:eastAsia="es-ES"/>
        </w:rPr>
        <w:t xml:space="preserve">eport </w:t>
      </w:r>
      <w:r w:rsidR="002C4922">
        <w:rPr>
          <w:lang w:eastAsia="es-ES"/>
        </w:rPr>
        <w:t xml:space="preserve">of the Inter-Departmental Committee </w:t>
      </w:r>
      <w:r w:rsidR="00EB0B78" w:rsidRPr="00F91005">
        <w:rPr>
          <w:lang w:eastAsia="es-ES"/>
        </w:rPr>
        <w:t xml:space="preserve">and since the </w:t>
      </w:r>
      <w:r w:rsidR="002C4922">
        <w:rPr>
          <w:lang w:eastAsia="es-ES"/>
        </w:rPr>
        <w:t xml:space="preserve">date of the </w:t>
      </w:r>
      <w:r w:rsidR="00246360" w:rsidRPr="00F91005">
        <w:rPr>
          <w:lang w:eastAsia="es-ES"/>
        </w:rPr>
        <w:t>State party’s repl</w:t>
      </w:r>
      <w:r w:rsidR="002A18D8" w:rsidRPr="00F91005">
        <w:rPr>
          <w:lang w:eastAsia="es-ES"/>
        </w:rPr>
        <w:t xml:space="preserve">y to the </w:t>
      </w:r>
      <w:r w:rsidR="001E4B64">
        <w:rPr>
          <w:lang w:eastAsia="es-ES"/>
        </w:rPr>
        <w:t>Rapporteur for the f</w:t>
      </w:r>
      <w:r w:rsidR="002A18D8" w:rsidRPr="00F91005">
        <w:rPr>
          <w:lang w:eastAsia="es-ES"/>
        </w:rPr>
        <w:t>ollow-up</w:t>
      </w:r>
      <w:r w:rsidR="001E4B64">
        <w:rPr>
          <w:lang w:eastAsia="es-ES"/>
        </w:rPr>
        <w:t xml:space="preserve"> on the concluding observations.</w:t>
      </w:r>
      <w:r w:rsidR="00462649">
        <w:rPr>
          <w:lang w:eastAsia="es-ES"/>
        </w:rPr>
        <w:t xml:space="preserve"> </w:t>
      </w:r>
      <w:r w:rsidR="002A18D8" w:rsidRPr="00F91005">
        <w:rPr>
          <w:lang w:eastAsia="es-ES"/>
        </w:rPr>
        <w:t xml:space="preserve">Please </w:t>
      </w:r>
      <w:r w:rsidR="00B816E3">
        <w:rPr>
          <w:lang w:eastAsia="es-ES"/>
        </w:rPr>
        <w:t xml:space="preserve">inform the Committee whether </w:t>
      </w:r>
      <w:r w:rsidR="003A54FE" w:rsidRPr="00F91005">
        <w:rPr>
          <w:lang w:eastAsia="es-ES"/>
        </w:rPr>
        <w:t xml:space="preserve">the State party </w:t>
      </w:r>
      <w:r w:rsidR="00B816E3">
        <w:rPr>
          <w:lang w:eastAsia="es-ES"/>
        </w:rPr>
        <w:t xml:space="preserve">has </w:t>
      </w:r>
      <w:r w:rsidR="003A54FE" w:rsidRPr="00F91005">
        <w:rPr>
          <w:lang w:eastAsia="es-ES"/>
        </w:rPr>
        <w:t>considered establishing an ombudsperson or representative to assist the allege</w:t>
      </w:r>
      <w:r w:rsidR="00036271">
        <w:rPr>
          <w:lang w:eastAsia="es-ES"/>
        </w:rPr>
        <w:t>d victims in lodging complaints.</w:t>
      </w:r>
      <w:r w:rsidR="00462649">
        <w:rPr>
          <w:lang w:eastAsia="es-ES"/>
        </w:rPr>
        <w:t xml:space="preserve"> </w:t>
      </w:r>
      <w:r w:rsidR="00B816E3">
        <w:rPr>
          <w:lang w:eastAsia="es-ES"/>
        </w:rPr>
        <w:t xml:space="preserve">Please clarify what </w:t>
      </w:r>
      <w:r w:rsidR="003A54FE" w:rsidRPr="00F91005">
        <w:rPr>
          <w:lang w:eastAsia="es-ES"/>
        </w:rPr>
        <w:t>formal authorization or legislation, if any, is required to</w:t>
      </w:r>
      <w:r w:rsidR="002A18D8" w:rsidRPr="00F91005">
        <w:rPr>
          <w:lang w:eastAsia="es-ES"/>
        </w:rPr>
        <w:t xml:space="preserve"> ensure statutory powers of investigation </w:t>
      </w:r>
      <w:r w:rsidR="003A54FE" w:rsidRPr="00F91005">
        <w:rPr>
          <w:lang w:eastAsia="es-ES"/>
        </w:rPr>
        <w:t xml:space="preserve">for such </w:t>
      </w:r>
      <w:r w:rsidR="002A18D8" w:rsidRPr="00F91005">
        <w:rPr>
          <w:lang w:eastAsia="es-ES"/>
        </w:rPr>
        <w:t>inquiries</w:t>
      </w:r>
      <w:r w:rsidR="0050227A">
        <w:rPr>
          <w:lang w:eastAsia="es-ES"/>
        </w:rPr>
        <w:t>;</w:t>
      </w:r>
    </w:p>
    <w:p w:rsidR="009A4EC0" w:rsidRDefault="00772A16" w:rsidP="00362CA4">
      <w:pPr>
        <w:pStyle w:val="SingleTxtG"/>
        <w:rPr>
          <w:lang w:eastAsia="es-ES"/>
        </w:rPr>
      </w:pPr>
      <w:r>
        <w:tab/>
      </w:r>
      <w:r w:rsidR="00E90CEE">
        <w:t>(e</w:t>
      </w:r>
      <w:r w:rsidR="004F7677">
        <w:t>)</w:t>
      </w:r>
      <w:r w:rsidR="006435BC" w:rsidRPr="00F91005">
        <w:tab/>
      </w:r>
      <w:r w:rsidR="00B816E3">
        <w:t xml:space="preserve">Please inform the Committee about the specific </w:t>
      </w:r>
      <w:r w:rsidR="00336900" w:rsidRPr="00F91005">
        <w:t xml:space="preserve">measures </w:t>
      </w:r>
      <w:r w:rsidR="002C4922">
        <w:t xml:space="preserve">of redress </w:t>
      </w:r>
      <w:r w:rsidR="00B816E3">
        <w:t xml:space="preserve">that </w:t>
      </w:r>
      <w:r w:rsidR="002A18D8" w:rsidRPr="00F91005">
        <w:rPr>
          <w:lang w:eastAsia="es-ES"/>
        </w:rPr>
        <w:t xml:space="preserve">have been </w:t>
      </w:r>
      <w:r w:rsidR="00336900" w:rsidRPr="00F91005">
        <w:t>taken</w:t>
      </w:r>
      <w:r w:rsidR="00336900" w:rsidRPr="00F91005">
        <w:rPr>
          <w:lang w:eastAsia="es-ES"/>
        </w:rPr>
        <w:t xml:space="preserve"> </w:t>
      </w:r>
      <w:r w:rsidR="00336900" w:rsidRPr="00F91005">
        <w:t xml:space="preserve">by the State party pursuant to the publication </w:t>
      </w:r>
      <w:r w:rsidR="00500BA4" w:rsidRPr="00F91005">
        <w:t xml:space="preserve">in 2013 </w:t>
      </w:r>
      <w:r w:rsidR="00336900" w:rsidRPr="00F91005">
        <w:t xml:space="preserve">of the </w:t>
      </w:r>
      <w:r w:rsidR="002C4922">
        <w:t>r</w:t>
      </w:r>
      <w:r w:rsidR="00336900" w:rsidRPr="00F91005">
        <w:t>eport of</w:t>
      </w:r>
      <w:r w:rsidR="00EB0B78" w:rsidRPr="00F91005">
        <w:t xml:space="preserve"> Mr. Justice John Quirke </w:t>
      </w:r>
      <w:r w:rsidR="002C4922">
        <w:t>o</w:t>
      </w:r>
      <w:r w:rsidR="00EB0B78" w:rsidRPr="009909C8">
        <w:t xml:space="preserve">n the establishment of an ex gratia </w:t>
      </w:r>
      <w:r w:rsidR="002C4922">
        <w:t>s</w:t>
      </w:r>
      <w:r w:rsidR="00EB0B78" w:rsidRPr="009909C8">
        <w:t>cheme and related matters for the benefit of those women who were admitted to and worked in the Magdalen Laundries</w:t>
      </w:r>
      <w:r w:rsidR="00B816E3">
        <w:t>.</w:t>
      </w:r>
      <w:r w:rsidR="00462649">
        <w:t xml:space="preserve"> </w:t>
      </w:r>
      <w:r w:rsidR="00C23F3C" w:rsidRPr="00F91005">
        <w:rPr>
          <w:lang w:eastAsia="es-ES"/>
        </w:rPr>
        <w:t xml:space="preserve">Please indicate how the State party will ensure the ex gratia scheme </w:t>
      </w:r>
      <w:r w:rsidR="00B816E3">
        <w:rPr>
          <w:lang w:eastAsia="es-ES"/>
        </w:rPr>
        <w:t xml:space="preserve">announced by Judge Quirke </w:t>
      </w:r>
      <w:r w:rsidR="00C23F3C" w:rsidRPr="00F91005">
        <w:rPr>
          <w:lang w:eastAsia="es-ES"/>
        </w:rPr>
        <w:t xml:space="preserve">to assist survivors will be independently monitored, and how any appeals </w:t>
      </w:r>
      <w:r w:rsidR="008154D2">
        <w:rPr>
          <w:lang w:eastAsia="es-ES"/>
        </w:rPr>
        <w:t xml:space="preserve">will </w:t>
      </w:r>
      <w:r w:rsidR="00C23F3C" w:rsidRPr="00F91005">
        <w:rPr>
          <w:lang w:eastAsia="es-ES"/>
        </w:rPr>
        <w:t>be handled</w:t>
      </w:r>
      <w:r w:rsidR="008154D2">
        <w:rPr>
          <w:lang w:eastAsia="es-ES"/>
        </w:rPr>
        <w:t>.</w:t>
      </w:r>
      <w:r w:rsidR="00462649">
        <w:rPr>
          <w:lang w:eastAsia="es-ES"/>
        </w:rPr>
        <w:t xml:space="preserve"> </w:t>
      </w:r>
      <w:r w:rsidR="00C23F3C" w:rsidRPr="00F91005">
        <w:rPr>
          <w:lang w:eastAsia="es-ES"/>
        </w:rPr>
        <w:t xml:space="preserve">How will any former </w:t>
      </w:r>
      <w:r w:rsidR="00B816E3">
        <w:rPr>
          <w:lang w:eastAsia="es-ES"/>
        </w:rPr>
        <w:t xml:space="preserve">persons confined in the Magdalen Laundries but currently </w:t>
      </w:r>
      <w:r w:rsidR="00C23F3C" w:rsidRPr="00F91005">
        <w:rPr>
          <w:lang w:eastAsia="es-ES"/>
        </w:rPr>
        <w:t xml:space="preserve">living outside </w:t>
      </w:r>
      <w:smartTag w:uri="urn:schemas-microsoft-com:office:smarttags" w:element="country-region">
        <w:smartTag w:uri="urn:schemas-microsoft-com:office:smarttags" w:element="place">
          <w:r w:rsidR="00C23F3C" w:rsidRPr="00F91005">
            <w:rPr>
              <w:lang w:eastAsia="es-ES"/>
            </w:rPr>
            <w:t>Ireland</w:t>
          </w:r>
        </w:smartTag>
      </w:smartTag>
      <w:r w:rsidR="00C23F3C" w:rsidRPr="00F91005">
        <w:rPr>
          <w:lang w:eastAsia="es-ES"/>
        </w:rPr>
        <w:t xml:space="preserve"> be informed</w:t>
      </w:r>
      <w:r w:rsidR="002A18D8" w:rsidRPr="00F91005">
        <w:rPr>
          <w:lang w:eastAsia="es-ES"/>
        </w:rPr>
        <w:t xml:space="preserve"> and included under the scheme?</w:t>
      </w:r>
      <w:r w:rsidR="00B816E3">
        <w:rPr>
          <w:lang w:eastAsia="es-ES"/>
        </w:rPr>
        <w:t xml:space="preserve"> Please report on h</w:t>
      </w:r>
      <w:r w:rsidR="002A18D8" w:rsidRPr="00F91005">
        <w:rPr>
          <w:lang w:eastAsia="es-ES"/>
        </w:rPr>
        <w:t xml:space="preserve">ow many </w:t>
      </w:r>
      <w:r w:rsidR="00B816E3">
        <w:rPr>
          <w:lang w:eastAsia="es-ES"/>
        </w:rPr>
        <w:t xml:space="preserve">persons </w:t>
      </w:r>
      <w:r w:rsidR="002A18D8" w:rsidRPr="00F91005">
        <w:rPr>
          <w:lang w:eastAsia="es-ES"/>
        </w:rPr>
        <w:t xml:space="preserve">have approached the </w:t>
      </w:r>
      <w:r w:rsidR="00B816E3">
        <w:rPr>
          <w:lang w:eastAsia="es-ES"/>
        </w:rPr>
        <w:t>G</w:t>
      </w:r>
      <w:r w:rsidR="002A18D8" w:rsidRPr="00F91005">
        <w:rPr>
          <w:lang w:eastAsia="es-ES"/>
        </w:rPr>
        <w:t>overnment</w:t>
      </w:r>
      <w:r w:rsidR="00B816E3">
        <w:rPr>
          <w:lang w:eastAsia="es-ES"/>
        </w:rPr>
        <w:t xml:space="preserve"> seeking redress or participation in the ex gratia scheme so far and how many have received payments and other assistance and in what amounts</w:t>
      </w:r>
      <w:r w:rsidR="009A4EC0">
        <w:rPr>
          <w:lang w:eastAsia="es-ES"/>
        </w:rPr>
        <w:t>;</w:t>
      </w:r>
    </w:p>
    <w:p w:rsidR="009A4EC0" w:rsidRDefault="009A4EC0" w:rsidP="009A4EC0">
      <w:pPr>
        <w:pStyle w:val="SingleTxtG"/>
        <w:ind w:firstLine="567"/>
        <w:rPr>
          <w:lang w:eastAsia="es-ES"/>
        </w:rPr>
      </w:pPr>
      <w:r>
        <w:rPr>
          <w:lang w:eastAsia="es-ES"/>
        </w:rPr>
        <w:t>(f)</w:t>
      </w:r>
      <w:r>
        <w:rPr>
          <w:lang w:eastAsia="es-ES"/>
        </w:rPr>
        <w:tab/>
        <w:t xml:space="preserve">Please clarify how the State party will give effect to Judge Quirke’s recommendation that benefits will be provided to women living in jurisdictions outside </w:t>
      </w:r>
      <w:smartTag w:uri="urn:schemas-microsoft-com:office:smarttags" w:element="country-region">
        <w:smartTag w:uri="urn:schemas-microsoft-com:office:smarttags" w:element="place">
          <w:r>
            <w:rPr>
              <w:lang w:eastAsia="es-ES"/>
            </w:rPr>
            <w:t>Ireland</w:t>
          </w:r>
        </w:smartTag>
      </w:smartTag>
      <w:r>
        <w:rPr>
          <w:lang w:eastAsia="es-ES"/>
        </w:rPr>
        <w:t xml:space="preserve"> and will “apply with equal force to their circumstances, their tax liabilities and the social and other benefits to which they are entitled”.</w:t>
      </w:r>
      <w:r w:rsidR="00462649">
        <w:rPr>
          <w:lang w:eastAsia="es-ES"/>
        </w:rPr>
        <w:t xml:space="preserve"> </w:t>
      </w:r>
      <w:r>
        <w:rPr>
          <w:lang w:eastAsia="es-ES"/>
        </w:rPr>
        <w:t xml:space="preserve">In particular, please inform the Committee how health care will be provided to those former Magdalen women living outside </w:t>
      </w:r>
      <w:smartTag w:uri="urn:schemas-microsoft-com:office:smarttags" w:element="place">
        <w:smartTag w:uri="urn:schemas-microsoft-com:office:smarttags" w:element="country-region">
          <w:r>
            <w:rPr>
              <w:lang w:eastAsia="es-ES"/>
            </w:rPr>
            <w:t>Ireland</w:t>
          </w:r>
        </w:smartTag>
      </w:smartTag>
      <w:r>
        <w:rPr>
          <w:lang w:eastAsia="es-ES"/>
        </w:rPr>
        <w:t>.</w:t>
      </w:r>
    </w:p>
    <w:p w:rsidR="009F6291" w:rsidRDefault="00C83D32" w:rsidP="009909C8">
      <w:pPr>
        <w:pStyle w:val="SingleTxtG"/>
        <w:numPr>
          <w:ilvl w:val="0"/>
          <w:numId w:val="21"/>
        </w:numPr>
        <w:tabs>
          <w:tab w:val="clear" w:pos="2988"/>
        </w:tabs>
        <w:ind w:left="1134" w:firstLine="0"/>
        <w:rPr>
          <w:lang w:eastAsia="es-ES"/>
        </w:rPr>
      </w:pPr>
      <w:r w:rsidRPr="0064422C">
        <w:rPr>
          <w:lang w:eastAsia="es-ES"/>
        </w:rPr>
        <w:t>With reference to the Committee’s previous concluding observations</w:t>
      </w:r>
      <w:r>
        <w:rPr>
          <w:lang w:eastAsia="es-ES"/>
        </w:rPr>
        <w:t xml:space="preserve"> (para.</w:t>
      </w:r>
      <w:r w:rsidR="0050227A">
        <w:rPr>
          <w:lang w:eastAsia="es-ES"/>
        </w:rPr>
        <w:t> </w:t>
      </w:r>
      <w:r>
        <w:rPr>
          <w:lang w:eastAsia="es-ES"/>
        </w:rPr>
        <w:t xml:space="preserve">23), </w:t>
      </w:r>
      <w:r w:rsidR="00153E2C">
        <w:rPr>
          <w:lang w:eastAsia="es-ES"/>
        </w:rPr>
        <w:t xml:space="preserve">please provide information on whether legislation has been reviewed to include in the mandate of the Ombudsman for Children </w:t>
      </w:r>
      <w:r w:rsidR="009A1A5E">
        <w:rPr>
          <w:lang w:eastAsia="es-ES"/>
        </w:rPr>
        <w:t>the power to investigate complaints of torture and ill-treatment of children held</w:t>
      </w:r>
      <w:r w:rsidR="00FA7CB0">
        <w:rPr>
          <w:lang w:eastAsia="es-ES"/>
        </w:rPr>
        <w:t xml:space="preserve"> at St. Patrick’s Institution. </w:t>
      </w:r>
      <w:r w:rsidR="009A1A5E">
        <w:rPr>
          <w:lang w:eastAsia="es-ES"/>
        </w:rPr>
        <w:t>Also, please indicate if a mechanism for lodging complaints by children held in St. Patrick’s Institution has been established.</w:t>
      </w:r>
    </w:p>
    <w:p w:rsidR="008C1446" w:rsidRPr="008C1446" w:rsidRDefault="008C1446" w:rsidP="005825EF">
      <w:pPr>
        <w:pStyle w:val="H23G"/>
      </w:pPr>
      <w:r>
        <w:tab/>
      </w:r>
      <w:r>
        <w:tab/>
      </w:r>
      <w:r w:rsidRPr="00362CA4">
        <w:t>Article</w:t>
      </w:r>
      <w:r w:rsidRPr="0064422C">
        <w:t xml:space="preserve"> </w:t>
      </w:r>
      <w:r>
        <w:t>16</w:t>
      </w:r>
    </w:p>
    <w:p w:rsidR="009A1A5E" w:rsidRDefault="009A1A5E" w:rsidP="009909C8">
      <w:pPr>
        <w:pStyle w:val="SingleTxtG"/>
        <w:numPr>
          <w:ilvl w:val="0"/>
          <w:numId w:val="21"/>
        </w:numPr>
        <w:tabs>
          <w:tab w:val="clear" w:pos="2988"/>
        </w:tabs>
        <w:ind w:left="1134" w:firstLine="0"/>
        <w:rPr>
          <w:lang w:eastAsia="es-ES"/>
        </w:rPr>
      </w:pPr>
      <w:r w:rsidRPr="0064422C">
        <w:rPr>
          <w:lang w:eastAsia="es-ES"/>
        </w:rPr>
        <w:t>In light of the Committee’s previous concluding observations</w:t>
      </w:r>
      <w:r>
        <w:rPr>
          <w:lang w:eastAsia="es-ES"/>
        </w:rPr>
        <w:t xml:space="preserve"> </w:t>
      </w:r>
      <w:r w:rsidR="008C1446">
        <w:rPr>
          <w:lang w:eastAsia="es-ES"/>
        </w:rPr>
        <w:t>(para.</w:t>
      </w:r>
      <w:r w:rsidR="0050227A">
        <w:rPr>
          <w:lang w:eastAsia="es-ES"/>
        </w:rPr>
        <w:t> </w:t>
      </w:r>
      <w:r w:rsidR="008C1446">
        <w:rPr>
          <w:lang w:eastAsia="es-ES"/>
        </w:rPr>
        <w:t>24</w:t>
      </w:r>
      <w:r w:rsidR="001B39CA">
        <w:rPr>
          <w:lang w:eastAsia="es-ES"/>
        </w:rPr>
        <w:t>)</w:t>
      </w:r>
      <w:r w:rsidR="008C1446">
        <w:rPr>
          <w:lang w:eastAsia="es-ES"/>
        </w:rPr>
        <w:t>, please indicate whether corporal punishment of children has been prohibited in all settings, in the home and in certain alternative care settings</w:t>
      </w:r>
      <w:r w:rsidR="00FA7CB0">
        <w:rPr>
          <w:lang w:eastAsia="es-ES"/>
        </w:rPr>
        <w:t xml:space="preserve">. </w:t>
      </w:r>
      <w:r w:rsidR="00355E6A">
        <w:rPr>
          <w:lang w:eastAsia="es-ES"/>
        </w:rPr>
        <w:t xml:space="preserve">Please </w:t>
      </w:r>
      <w:r w:rsidR="008154D2">
        <w:rPr>
          <w:lang w:eastAsia="es-ES"/>
        </w:rPr>
        <w:t xml:space="preserve">provide information </w:t>
      </w:r>
      <w:r w:rsidR="00355E6A">
        <w:rPr>
          <w:lang w:eastAsia="es-ES"/>
        </w:rPr>
        <w:t>of any progress regarding the definition of what constitutes reasonable chastisement</w:t>
      </w:r>
      <w:r w:rsidR="008154D2">
        <w:rPr>
          <w:lang w:eastAsia="es-ES"/>
        </w:rPr>
        <w:t>.</w:t>
      </w:r>
      <w:r w:rsidR="00355E6A">
        <w:rPr>
          <w:rStyle w:val="FootnoteReference"/>
          <w:lang w:eastAsia="es-ES"/>
        </w:rPr>
        <w:footnoteReference w:id="26"/>
      </w:r>
      <w:r w:rsidR="00462649">
        <w:rPr>
          <w:lang w:eastAsia="es-ES"/>
        </w:rPr>
        <w:t xml:space="preserve"> </w:t>
      </w:r>
      <w:r w:rsidR="00E41EFC">
        <w:rPr>
          <w:lang w:eastAsia="es-ES"/>
        </w:rPr>
        <w:t xml:space="preserve">Also, please provide information on the conduct of any public campaigns to educate parents and the general public about the harmful effects of corporal punishment and to promote positive non-violent forms of discipline as </w:t>
      </w:r>
      <w:r w:rsidR="000850FB">
        <w:rPr>
          <w:lang w:eastAsia="es-ES"/>
        </w:rPr>
        <w:t xml:space="preserve">an </w:t>
      </w:r>
      <w:r w:rsidR="00990E74">
        <w:rPr>
          <w:lang w:eastAsia="es-ES"/>
        </w:rPr>
        <w:t>a</w:t>
      </w:r>
      <w:r w:rsidR="00E41EFC">
        <w:rPr>
          <w:lang w:eastAsia="es-ES"/>
        </w:rPr>
        <w:t>lternative</w:t>
      </w:r>
      <w:r w:rsidR="00990E74">
        <w:rPr>
          <w:lang w:eastAsia="es-ES"/>
        </w:rPr>
        <w:t xml:space="preserve"> to corporal punishment</w:t>
      </w:r>
      <w:r w:rsidR="00E41EFC">
        <w:rPr>
          <w:lang w:eastAsia="es-ES"/>
        </w:rPr>
        <w:t>.</w:t>
      </w:r>
    </w:p>
    <w:p w:rsidR="00990E74" w:rsidRDefault="00990E74" w:rsidP="009909C8">
      <w:pPr>
        <w:pStyle w:val="SingleTxtG"/>
        <w:numPr>
          <w:ilvl w:val="0"/>
          <w:numId w:val="21"/>
        </w:numPr>
        <w:tabs>
          <w:tab w:val="clear" w:pos="2988"/>
        </w:tabs>
        <w:ind w:left="1134" w:firstLine="0"/>
        <w:rPr>
          <w:lang w:eastAsia="es-ES"/>
        </w:rPr>
      </w:pPr>
      <w:r>
        <w:rPr>
          <w:lang w:eastAsia="es-ES"/>
        </w:rPr>
        <w:t xml:space="preserve">Please provide data on the number of women prisoners, which has reportedly grown substantially. Please comment on the numbers detained or convicted, the crimes and reasons for increased </w:t>
      </w:r>
      <w:r w:rsidR="008154D2">
        <w:rPr>
          <w:lang w:eastAsia="es-ES"/>
        </w:rPr>
        <w:t xml:space="preserve">levels of </w:t>
      </w:r>
      <w:r>
        <w:rPr>
          <w:lang w:eastAsia="es-ES"/>
        </w:rPr>
        <w:t xml:space="preserve">incarceration. Please provide detailed information on practical and policy measures aimed at reducing custodial sentences for non-violent crimes. </w:t>
      </w:r>
    </w:p>
    <w:p w:rsidR="00962F1E" w:rsidRDefault="00962F1E" w:rsidP="008154D2">
      <w:pPr>
        <w:pStyle w:val="SingleTxtG"/>
        <w:rPr>
          <w:lang w:eastAsia="es-ES"/>
        </w:rPr>
      </w:pPr>
      <w:r w:rsidRPr="0064422C">
        <w:rPr>
          <w:lang w:eastAsia="es-ES"/>
        </w:rPr>
        <w:t>With reference to the Committee’s previous concluding observations</w:t>
      </w:r>
      <w:r w:rsidR="0009685B">
        <w:rPr>
          <w:lang w:eastAsia="es-ES"/>
        </w:rPr>
        <w:t xml:space="preserve"> (para.</w:t>
      </w:r>
      <w:r w:rsidR="0050227A">
        <w:rPr>
          <w:lang w:eastAsia="es-ES"/>
        </w:rPr>
        <w:t> </w:t>
      </w:r>
      <w:r>
        <w:rPr>
          <w:lang w:eastAsia="es-ES"/>
        </w:rPr>
        <w:t>28), please provide information</w:t>
      </w:r>
      <w:r w:rsidR="00454E1A">
        <w:rPr>
          <w:lang w:eastAsia="es-ES"/>
        </w:rPr>
        <w:t xml:space="preserve"> on the status of the report of the Steering </w:t>
      </w:r>
      <w:r w:rsidR="008154D2">
        <w:rPr>
          <w:lang w:eastAsia="es-ES"/>
        </w:rPr>
        <w:t xml:space="preserve"> Group</w:t>
      </w:r>
      <w:r w:rsidR="00454E1A">
        <w:rPr>
          <w:lang w:eastAsia="es-ES"/>
        </w:rPr>
        <w:t xml:space="preserve"> </w:t>
      </w:r>
      <w:r w:rsidR="008154D2">
        <w:rPr>
          <w:lang w:eastAsia="es-ES"/>
        </w:rPr>
        <w:t xml:space="preserve">on the </w:t>
      </w:r>
      <w:r>
        <w:rPr>
          <w:lang w:eastAsia="es-ES"/>
        </w:rPr>
        <w:t>review  the Mental Health Act of 2001</w:t>
      </w:r>
      <w:r w:rsidR="00454E1A">
        <w:rPr>
          <w:lang w:eastAsia="es-ES"/>
        </w:rPr>
        <w:t xml:space="preserve"> </w:t>
      </w:r>
      <w:r w:rsidR="00222DFE">
        <w:rPr>
          <w:lang w:eastAsia="es-ES"/>
        </w:rPr>
        <w:t xml:space="preserve">as well as an update on the </w:t>
      </w:r>
      <w:r w:rsidR="008154D2">
        <w:rPr>
          <w:lang w:eastAsia="es-ES"/>
        </w:rPr>
        <w:t>assisted decision-making (capacity) bill</w:t>
      </w:r>
      <w:r w:rsidR="00997DAF">
        <w:rPr>
          <w:lang w:eastAsia="es-ES"/>
        </w:rPr>
        <w:t xml:space="preserve"> and whether it can be applied retroactively</w:t>
      </w:r>
      <w:r>
        <w:rPr>
          <w:lang w:eastAsia="es-ES"/>
        </w:rPr>
        <w:t>.</w:t>
      </w:r>
      <w:r w:rsidR="00462649">
        <w:rPr>
          <w:lang w:eastAsia="es-ES"/>
        </w:rPr>
        <w:t xml:space="preserve"> </w:t>
      </w:r>
      <w:r w:rsidR="00B718B3">
        <w:rPr>
          <w:lang w:eastAsia="es-ES"/>
        </w:rPr>
        <w:t xml:space="preserve">Please provide updated information concerning the definition of a voluntary patient in an approved mental health centre and on the </w:t>
      </w:r>
      <w:r w:rsidR="000850FB">
        <w:rPr>
          <w:lang w:eastAsia="es-ES"/>
        </w:rPr>
        <w:t xml:space="preserve">process and number of </w:t>
      </w:r>
      <w:r w:rsidR="00B718B3">
        <w:rPr>
          <w:lang w:eastAsia="es-ES"/>
        </w:rPr>
        <w:t xml:space="preserve">mentally disabled persons </w:t>
      </w:r>
      <w:r w:rsidR="000850FB">
        <w:rPr>
          <w:lang w:eastAsia="es-ES"/>
        </w:rPr>
        <w:t xml:space="preserve">reclassified </w:t>
      </w:r>
      <w:r w:rsidR="00B718B3">
        <w:rPr>
          <w:lang w:eastAsia="es-ES"/>
        </w:rPr>
        <w:t>from voluntary to involuntary.</w:t>
      </w:r>
      <w:r w:rsidR="00572A7A">
        <w:rPr>
          <w:lang w:eastAsia="es-ES"/>
        </w:rPr>
        <w:t xml:space="preserve"> </w:t>
      </w:r>
      <w:r w:rsidR="000850FB">
        <w:rPr>
          <w:lang w:eastAsia="es-ES"/>
        </w:rPr>
        <w:t>Please provide relevant statistics. P</w:t>
      </w:r>
      <w:r w:rsidR="00572A7A">
        <w:rPr>
          <w:lang w:eastAsia="es-ES"/>
        </w:rPr>
        <w:t>lease provide information on any independent inspections regarding alleged abuse and mistreatment in residential settings of persons with intellectual disabilities.</w:t>
      </w:r>
    </w:p>
    <w:p w:rsidR="00682F10" w:rsidRPr="0074749D" w:rsidRDefault="00593A92" w:rsidP="009909C8">
      <w:pPr>
        <w:pStyle w:val="SingleTxtG"/>
        <w:numPr>
          <w:ilvl w:val="0"/>
          <w:numId w:val="21"/>
        </w:numPr>
        <w:tabs>
          <w:tab w:val="clear" w:pos="2988"/>
        </w:tabs>
        <w:ind w:left="1134" w:firstLine="0"/>
        <w:rPr>
          <w:lang w:eastAsia="es-ES"/>
        </w:rPr>
      </w:pPr>
      <w:r w:rsidRPr="0064422C">
        <w:rPr>
          <w:lang w:eastAsia="es-ES"/>
        </w:rPr>
        <w:t>In light of the Committee’s previous concluding observations</w:t>
      </w:r>
      <w:r w:rsidR="0009685B">
        <w:rPr>
          <w:lang w:eastAsia="es-ES"/>
        </w:rPr>
        <w:t xml:space="preserve"> (para.</w:t>
      </w:r>
      <w:r w:rsidR="0050227A">
        <w:rPr>
          <w:lang w:eastAsia="es-ES"/>
        </w:rPr>
        <w:t> </w:t>
      </w:r>
      <w:r>
        <w:rPr>
          <w:lang w:eastAsia="es-ES"/>
        </w:rPr>
        <w:t>29), please provide updated information on specific measures taken by the State party to protect separated and unaccompanied minors.</w:t>
      </w:r>
      <w:r w:rsidR="00462649">
        <w:rPr>
          <w:lang w:eastAsia="es-ES"/>
        </w:rPr>
        <w:t xml:space="preserve"> </w:t>
      </w:r>
      <w:r w:rsidR="00866316">
        <w:rPr>
          <w:lang w:eastAsia="es-ES"/>
        </w:rPr>
        <w:t xml:space="preserve">Is a guardian </w:t>
      </w:r>
      <w:r w:rsidR="00866316" w:rsidRPr="009909C8">
        <w:rPr>
          <w:lang w:eastAsia="es-ES"/>
        </w:rPr>
        <w:t>ad litem</w:t>
      </w:r>
      <w:r w:rsidR="00866316">
        <w:rPr>
          <w:lang w:eastAsia="es-ES"/>
        </w:rPr>
        <w:t xml:space="preserve"> or advis</w:t>
      </w:r>
      <w:r w:rsidR="00FE347B">
        <w:rPr>
          <w:lang w:eastAsia="es-ES"/>
        </w:rPr>
        <w:t>er</w:t>
      </w:r>
      <w:r w:rsidR="00866316">
        <w:rPr>
          <w:lang w:eastAsia="es-ES"/>
        </w:rPr>
        <w:t xml:space="preserve"> appointed for all </w:t>
      </w:r>
      <w:r w:rsidR="006435BC">
        <w:rPr>
          <w:lang w:eastAsia="es-ES"/>
        </w:rPr>
        <w:t xml:space="preserve">such </w:t>
      </w:r>
      <w:r w:rsidR="00866316">
        <w:rPr>
          <w:lang w:eastAsia="es-ES"/>
        </w:rPr>
        <w:t>children irrespective of whether they have made a</w:t>
      </w:r>
      <w:r w:rsidR="00FE347B">
        <w:rPr>
          <w:lang w:eastAsia="es-ES"/>
        </w:rPr>
        <w:t>n application for</w:t>
      </w:r>
      <w:r w:rsidR="00866316">
        <w:rPr>
          <w:lang w:eastAsia="es-ES"/>
        </w:rPr>
        <w:t xml:space="preserve"> protection or not</w:t>
      </w:r>
      <w:r w:rsidR="00FE347B">
        <w:rPr>
          <w:lang w:eastAsia="es-ES"/>
        </w:rPr>
        <w:t>?</w:t>
      </w:r>
      <w:r w:rsidR="00866316">
        <w:rPr>
          <w:rStyle w:val="FootnoteReference"/>
          <w:lang w:eastAsia="es-ES"/>
        </w:rPr>
        <w:footnoteReference w:id="27"/>
      </w:r>
      <w:r w:rsidR="00462649">
        <w:rPr>
          <w:lang w:eastAsia="es-ES"/>
        </w:rPr>
        <w:t xml:space="preserve"> </w:t>
      </w:r>
      <w:r>
        <w:rPr>
          <w:lang w:eastAsia="es-ES"/>
        </w:rPr>
        <w:t>Also please provide an update concerning children who were missing or</w:t>
      </w:r>
      <w:r w:rsidR="006435BC">
        <w:rPr>
          <w:lang w:eastAsia="es-ES"/>
        </w:rPr>
        <w:t xml:space="preserve"> unaccounted for at the time of review</w:t>
      </w:r>
      <w:r>
        <w:rPr>
          <w:lang w:eastAsia="es-ES"/>
        </w:rPr>
        <w:t xml:space="preserve"> of the State party’s initial report.</w:t>
      </w:r>
      <w:r w:rsidR="00462649">
        <w:rPr>
          <w:lang w:eastAsia="es-ES"/>
        </w:rPr>
        <w:t xml:space="preserve"> </w:t>
      </w:r>
    </w:p>
    <w:p w:rsidR="0064422C" w:rsidRPr="0064422C" w:rsidRDefault="0064422C" w:rsidP="00362CA4">
      <w:pPr>
        <w:pStyle w:val="H23G"/>
      </w:pPr>
      <w:r w:rsidRPr="0064422C">
        <w:tab/>
      </w:r>
      <w:r w:rsidR="00362CA4">
        <w:rPr>
          <w:lang w:eastAsia="es-ES"/>
        </w:rPr>
        <w:tab/>
      </w:r>
      <w:r w:rsidRPr="0064422C">
        <w:t>Other issues</w:t>
      </w:r>
    </w:p>
    <w:p w:rsidR="0064422C" w:rsidRPr="0064422C" w:rsidRDefault="0064422C" w:rsidP="009909C8">
      <w:pPr>
        <w:pStyle w:val="SingleTxtG"/>
        <w:numPr>
          <w:ilvl w:val="0"/>
          <w:numId w:val="21"/>
        </w:numPr>
        <w:tabs>
          <w:tab w:val="clear" w:pos="2988"/>
        </w:tabs>
        <w:ind w:left="1134" w:firstLine="0"/>
      </w:pPr>
      <w:r w:rsidRPr="0064422C">
        <w:t>Please provide updated information on the measures taken by the State party to respond to any threats of terrorism and please describe if and how these anti-terrorism measures have affected human rights safeguards in law and practice and how it has ensured that those measures comply with all its obligations under international law, especially the Convention, in accordance with relevant Security Council resolutions, in particular resolution 1624 (2005</w:t>
      </w:r>
      <w:r w:rsidR="00FE347B">
        <w:t>).</w:t>
      </w:r>
      <w:r w:rsidRPr="0064422C">
        <w:t xml:space="preserve"> Please describe the relevant training given to law enforcement officers; the number of persons convicted under such legislation; the legal safeguards and remedies available to persons subjected to anti-terrorist measures in law and in practice; whether there are complaints of non-observance of international standards; and the outcome of th</w:t>
      </w:r>
      <w:r w:rsidR="00FE347B">
        <w:t>ose</w:t>
      </w:r>
      <w:r w:rsidRPr="0064422C">
        <w:t xml:space="preserve"> complaints.</w:t>
      </w:r>
    </w:p>
    <w:p w:rsidR="007D44C3" w:rsidRDefault="0064422C" w:rsidP="000B41CD">
      <w:pPr>
        <w:pStyle w:val="H23G"/>
        <w:rPr>
          <w:sz w:val="22"/>
          <w:szCs w:val="22"/>
        </w:rPr>
      </w:pPr>
      <w:r w:rsidRPr="0064422C">
        <w:rPr>
          <w:lang w:eastAsia="es-ES"/>
        </w:rPr>
        <w:tab/>
      </w:r>
      <w:r w:rsidRPr="0064422C">
        <w:rPr>
          <w:lang w:eastAsia="es-ES"/>
        </w:rPr>
        <w:tab/>
      </w:r>
      <w:r w:rsidR="007D44C3" w:rsidRPr="000B41CD">
        <w:t>General information on other measures and developments relating to the implementation of the Convention in the State party</w:t>
      </w:r>
    </w:p>
    <w:p w:rsidR="007D44C3" w:rsidRPr="000B41CD" w:rsidRDefault="007D44C3" w:rsidP="009909C8">
      <w:pPr>
        <w:pStyle w:val="SingleTxtG"/>
        <w:numPr>
          <w:ilvl w:val="0"/>
          <w:numId w:val="21"/>
        </w:numPr>
        <w:tabs>
          <w:tab w:val="clear" w:pos="2988"/>
        </w:tabs>
        <w:ind w:left="1134" w:firstLine="0"/>
        <w:rPr>
          <w:lang w:eastAsia="es-ES"/>
        </w:rPr>
      </w:pPr>
      <w:r w:rsidRPr="000B41CD">
        <w:rPr>
          <w:lang w:eastAsia="es-ES"/>
        </w:rPr>
        <w:t>Please provide detailed information on any other relevant legislative, administrative, judicial or other measures taken since the consideration of the previous report that implement the provisions of the Convention or the Committee’s recommendations. This may include institutional developments, plans or programmes</w:t>
      </w:r>
      <w:r w:rsidR="00D24D51" w:rsidRPr="000B41CD">
        <w:rPr>
          <w:lang w:eastAsia="es-ES"/>
        </w:rPr>
        <w:t>, including resources allocated</w:t>
      </w:r>
      <w:r w:rsidRPr="000B41CD">
        <w:rPr>
          <w:lang w:eastAsia="es-ES"/>
        </w:rPr>
        <w:t xml:space="preserve"> and statistical data</w:t>
      </w:r>
      <w:r w:rsidR="00FE347B">
        <w:rPr>
          <w:lang w:eastAsia="es-ES"/>
        </w:rPr>
        <w:t>,</w:t>
      </w:r>
      <w:r w:rsidRPr="000B41CD">
        <w:rPr>
          <w:lang w:eastAsia="es-ES"/>
        </w:rPr>
        <w:t xml:space="preserve"> or any other information that the State party considers relevant.</w:t>
      </w:r>
    </w:p>
    <w:p w:rsidR="0064422C" w:rsidRPr="0064422C" w:rsidRDefault="0064422C" w:rsidP="00362CA4">
      <w:pPr>
        <w:suppressAutoHyphens w:val="0"/>
        <w:spacing w:before="240" w:line="240" w:lineRule="auto"/>
        <w:ind w:left="1134" w:right="1134"/>
        <w:jc w:val="center"/>
        <w:rPr>
          <w:rFonts w:ascii="Arial" w:hAnsi="Arial" w:cs="Arial"/>
        </w:rPr>
      </w:pPr>
      <w:r w:rsidRPr="0064422C">
        <w:rPr>
          <w:sz w:val="24"/>
          <w:szCs w:val="24"/>
          <w:u w:val="single"/>
        </w:rPr>
        <w:tab/>
      </w:r>
      <w:r w:rsidRPr="0064422C">
        <w:rPr>
          <w:sz w:val="24"/>
          <w:szCs w:val="24"/>
          <w:u w:val="single"/>
        </w:rPr>
        <w:tab/>
      </w:r>
      <w:r w:rsidRPr="0064422C">
        <w:rPr>
          <w:sz w:val="24"/>
          <w:szCs w:val="24"/>
          <w:u w:val="single"/>
        </w:rPr>
        <w:tab/>
      </w:r>
    </w:p>
    <w:sectPr w:rsidR="0064422C" w:rsidRPr="0064422C" w:rsidSect="001243A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1E" w:rsidRDefault="00BA531E"/>
  </w:endnote>
  <w:endnote w:type="continuationSeparator" w:id="0">
    <w:p w:rsidR="00BA531E" w:rsidRDefault="00BA531E"/>
  </w:endnote>
  <w:endnote w:type="continuationNotice" w:id="1">
    <w:p w:rsidR="00BA531E" w:rsidRDefault="00BA53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1E" w:rsidRPr="00FD615B" w:rsidRDefault="00BA531E"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Pr>
        <w:b/>
        <w:noProof/>
        <w:sz w:val="18"/>
      </w:rPr>
      <w:t>10</w:t>
    </w:r>
    <w:r w:rsidRPr="00FD615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1E" w:rsidRPr="00FD615B" w:rsidRDefault="00BA531E"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Pr>
        <w:b/>
        <w:noProof/>
        <w:sz w:val="18"/>
      </w:rPr>
      <w:t>9</w:t>
    </w:r>
    <w:r w:rsidRPr="00FD61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1E" w:rsidRDefault="00BA531E" w:rsidP="00031FA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t>GE.13-49788</w:t>
    </w:r>
    <w:r>
      <w:br/>
    </w:r>
    <w:r w:rsidRPr="00BA531E">
      <w:rPr>
        <w:rFonts w:ascii="C39T30Lfz" w:hAnsi="C39T30Lfz"/>
        <w:sz w:val="56"/>
      </w:rPr>
      <w:t></w:t>
    </w:r>
    <w:r w:rsidRPr="00BA531E">
      <w:rPr>
        <w:rFonts w:ascii="C39T30Lfz" w:hAnsi="C39T30Lfz"/>
        <w:sz w:val="56"/>
      </w:rPr>
      <w:t></w:t>
    </w:r>
    <w:r w:rsidRPr="00BA531E">
      <w:rPr>
        <w:rFonts w:ascii="C39T30Lfz" w:hAnsi="C39T30Lfz"/>
        <w:sz w:val="56"/>
      </w:rPr>
      <w:t></w:t>
    </w:r>
    <w:r w:rsidRPr="00BA531E">
      <w:rPr>
        <w:rFonts w:ascii="C39T30Lfz" w:hAnsi="C39T30Lfz"/>
        <w:sz w:val="56"/>
      </w:rPr>
      <w:t></w:t>
    </w:r>
    <w:r w:rsidRPr="00BA531E">
      <w:rPr>
        <w:rFonts w:ascii="C39T30Lfz" w:hAnsi="C39T30Lfz"/>
        <w:sz w:val="56"/>
      </w:rPr>
      <w:t></w:t>
    </w:r>
    <w:r w:rsidRPr="00BA531E">
      <w:rPr>
        <w:rFonts w:ascii="C39T30Lfz" w:hAnsi="C39T30Lfz"/>
        <w:sz w:val="56"/>
      </w:rPr>
      <w:t></w:t>
    </w:r>
    <w:r w:rsidRPr="00BA531E">
      <w:rPr>
        <w:rFonts w:ascii="C39T30Lfz" w:hAnsi="C39T30Lfz"/>
        <w:sz w:val="56"/>
      </w:rPr>
      <w:t></w:t>
    </w:r>
    <w:r w:rsidRPr="00BA531E">
      <w:rPr>
        <w:rFonts w:ascii="C39T30Lfz" w:hAnsi="C39T30Lfz"/>
        <w:sz w:val="56"/>
      </w:rPr>
      <w:t></w:t>
    </w:r>
    <w:r w:rsidRPr="00BA531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1E" w:rsidRPr="000B175B" w:rsidRDefault="00BA531E" w:rsidP="000B175B">
      <w:pPr>
        <w:tabs>
          <w:tab w:val="right" w:pos="2155"/>
        </w:tabs>
        <w:spacing w:after="80"/>
        <w:ind w:left="680"/>
        <w:rPr>
          <w:u w:val="single"/>
        </w:rPr>
      </w:pPr>
      <w:r>
        <w:rPr>
          <w:u w:val="single"/>
        </w:rPr>
        <w:tab/>
      </w:r>
    </w:p>
  </w:footnote>
  <w:footnote w:type="continuationSeparator" w:id="0">
    <w:p w:rsidR="00BA531E" w:rsidRPr="00FC68B7" w:rsidRDefault="00BA531E" w:rsidP="00FC68B7">
      <w:pPr>
        <w:tabs>
          <w:tab w:val="left" w:pos="2155"/>
        </w:tabs>
        <w:spacing w:after="80"/>
        <w:ind w:left="680"/>
        <w:rPr>
          <w:u w:val="single"/>
        </w:rPr>
      </w:pPr>
      <w:r>
        <w:rPr>
          <w:u w:val="single"/>
        </w:rPr>
        <w:tab/>
      </w:r>
    </w:p>
  </w:footnote>
  <w:footnote w:type="continuationNotice" w:id="1">
    <w:p w:rsidR="00BA531E" w:rsidRDefault="00BA531E"/>
  </w:footnote>
  <w:footnote w:id="2">
    <w:p w:rsidR="00BA531E" w:rsidRPr="00094A2D" w:rsidRDefault="00BA531E" w:rsidP="00094A2D">
      <w:pPr>
        <w:pStyle w:val="FootnoteText"/>
      </w:pPr>
      <w:r w:rsidRPr="00094A2D">
        <w:tab/>
      </w:r>
      <w:r w:rsidRPr="009909C8">
        <w:rPr>
          <w:rStyle w:val="FootnoteReference"/>
          <w:sz w:val="20"/>
          <w:vertAlign w:val="baseline"/>
        </w:rPr>
        <w:t>*</w:t>
      </w:r>
      <w:r w:rsidRPr="00094A2D">
        <w:tab/>
        <w:t xml:space="preserve">Adopted by the Committee at its </w:t>
      </w:r>
      <w:r>
        <w:t>fifty</w:t>
      </w:r>
      <w:r w:rsidRPr="00094A2D">
        <w:t>-first session (28 Cotober</w:t>
      </w:r>
      <w:r>
        <w:t>-</w:t>
      </w:r>
      <w:r w:rsidRPr="00094A2D">
        <w:t>22 November 2013).</w:t>
      </w:r>
    </w:p>
  </w:footnote>
  <w:footnote w:id="3">
    <w:p w:rsidR="00BA531E" w:rsidRPr="00094A2D" w:rsidRDefault="00BA531E" w:rsidP="00462649">
      <w:pPr>
        <w:pStyle w:val="FootnoteText"/>
      </w:pPr>
      <w:r w:rsidRPr="00094A2D">
        <w:tab/>
      </w:r>
      <w:r w:rsidRPr="00361E5C">
        <w:rPr>
          <w:rStyle w:val="FootnoteReference"/>
        </w:rPr>
        <w:footnoteRef/>
      </w:r>
      <w:r w:rsidRPr="00094A2D">
        <w:t xml:space="preserve"> </w:t>
      </w:r>
      <w:r w:rsidRPr="00094A2D">
        <w:tab/>
        <w:t xml:space="preserve">The issues raised under article 2 could </w:t>
      </w:r>
      <w:r>
        <w:t xml:space="preserve">also </w:t>
      </w:r>
      <w:r w:rsidRPr="00094A2D">
        <w:t xml:space="preserve">imply different articles of the Convention, including but not limited to article 16. As general comment </w:t>
      </w:r>
      <w:r>
        <w:t xml:space="preserve">No. </w:t>
      </w:r>
      <w:r w:rsidRPr="00094A2D">
        <w:t>2</w:t>
      </w:r>
      <w:r>
        <w:t xml:space="preserve"> (2007) on the implementation of </w:t>
      </w:r>
      <w:r w:rsidRPr="00094A2D">
        <w:t xml:space="preserve">, paragraph 3, states </w:t>
      </w:r>
      <w:r>
        <w:t>“</w:t>
      </w:r>
      <w:r w:rsidRPr="00094A2D">
        <w:t>The obligation to prevent torture in article 2 is wide-ranging. The obligations to prevent torture and other cruel, inhuman or degrading treatment or punishment (hereinafter “ill-treatment”) under article 16, paragraph 1, are</w:t>
      </w:r>
      <w:r>
        <w:t> </w:t>
      </w:r>
      <w:r w:rsidRPr="00094A2D">
        <w:t>indivisible, interdependent and interrelated. The obligation to prevent ill-treatment in practice overlaps with and is largely congruent with the obligation to prevent torture. [...] In practice, the definitional threshold between ill-treatment and torture is often not clear.</w:t>
      </w:r>
      <w:r>
        <w:t>”</w:t>
      </w:r>
      <w:r w:rsidRPr="00094A2D">
        <w:t xml:space="preserve"> See further Chapter V of</w:t>
      </w:r>
      <w:r>
        <w:t> </w:t>
      </w:r>
      <w:r w:rsidRPr="00094A2D">
        <w:t>the same General Comment.</w:t>
      </w:r>
    </w:p>
  </w:footnote>
  <w:footnote w:id="4">
    <w:p w:rsidR="00BA531E" w:rsidRPr="00094A2D" w:rsidRDefault="00BA531E" w:rsidP="00094A2D">
      <w:pPr>
        <w:pStyle w:val="FootnoteText"/>
      </w:pPr>
      <w:r w:rsidRPr="00094A2D">
        <w:tab/>
      </w:r>
      <w:r w:rsidRPr="00361E5C">
        <w:rPr>
          <w:rStyle w:val="FootnoteReference"/>
        </w:rPr>
        <w:footnoteRef/>
      </w:r>
      <w:r w:rsidRPr="00094A2D">
        <w:t xml:space="preserve"> </w:t>
      </w:r>
      <w:r w:rsidRPr="00094A2D">
        <w:tab/>
      </w:r>
      <w:r>
        <w:t xml:space="preserve">See </w:t>
      </w:r>
      <w:r w:rsidRPr="00094A2D">
        <w:t xml:space="preserve">CAT/C/IRL/CO/1/Add.1, </w:t>
      </w:r>
      <w:r>
        <w:t>para. </w:t>
      </w:r>
      <w:r w:rsidRPr="00094A2D">
        <w:t>1.</w:t>
      </w:r>
    </w:p>
  </w:footnote>
  <w:footnote w:id="5">
    <w:p w:rsidR="00BA531E" w:rsidRPr="00094A2D" w:rsidRDefault="00BA531E" w:rsidP="00094A2D">
      <w:pPr>
        <w:pStyle w:val="FootnoteText"/>
      </w:pPr>
      <w:r w:rsidRPr="00094A2D">
        <w:tab/>
      </w:r>
      <w:r w:rsidRPr="00361E5C">
        <w:rPr>
          <w:rStyle w:val="FootnoteReference"/>
        </w:rPr>
        <w:footnoteRef/>
      </w:r>
      <w:r w:rsidRPr="00094A2D">
        <w:t xml:space="preserve"> </w:t>
      </w:r>
      <w:r w:rsidRPr="00094A2D">
        <w:tab/>
      </w:r>
      <w:r>
        <w:t xml:space="preserve">See </w:t>
      </w:r>
      <w:r w:rsidRPr="00094A2D">
        <w:t xml:space="preserve">A/HRC/22/47/Add.3, </w:t>
      </w:r>
      <w:r>
        <w:t>para. </w:t>
      </w:r>
      <w:r w:rsidRPr="00094A2D">
        <w:t>111 (i).</w:t>
      </w:r>
    </w:p>
  </w:footnote>
  <w:footnote w:id="6">
    <w:p w:rsidR="00BA531E" w:rsidRPr="009909C8" w:rsidRDefault="00BA531E" w:rsidP="00094A2D">
      <w:pPr>
        <w:pStyle w:val="FootnoteText"/>
        <w:rPr>
          <w:lang w:val="es-SV"/>
        </w:rPr>
      </w:pPr>
      <w:r w:rsidRPr="00094A2D">
        <w:tab/>
      </w:r>
      <w:r w:rsidRPr="00361E5C">
        <w:rPr>
          <w:rStyle w:val="FootnoteReference"/>
        </w:rPr>
        <w:footnoteRef/>
      </w:r>
      <w:r w:rsidRPr="00094A2D">
        <w:t xml:space="preserve"> </w:t>
      </w:r>
      <w:r w:rsidRPr="00094A2D">
        <w:tab/>
      </w:r>
      <w:r>
        <w:t xml:space="preserve">See </w:t>
      </w:r>
      <w:r w:rsidRPr="00094A2D">
        <w:t xml:space="preserve">CAT/C/IRL/CO/1/Add.1, </w:t>
      </w:r>
      <w:r>
        <w:t>para. </w:t>
      </w:r>
      <w:r w:rsidRPr="009909C8">
        <w:rPr>
          <w:lang w:val="es-SV"/>
        </w:rPr>
        <w:t>4.</w:t>
      </w:r>
    </w:p>
  </w:footnote>
  <w:footnote w:id="7">
    <w:p w:rsidR="00BA531E" w:rsidRPr="00FE347B" w:rsidRDefault="00BA531E">
      <w:pPr>
        <w:pStyle w:val="FootnoteText"/>
      </w:pPr>
      <w:r w:rsidRPr="009909C8">
        <w:rPr>
          <w:lang w:val="es-SV"/>
        </w:rPr>
        <w:tab/>
      </w:r>
      <w:r>
        <w:rPr>
          <w:rStyle w:val="FootnoteReference"/>
        </w:rPr>
        <w:footnoteRef/>
      </w:r>
      <w:r w:rsidRPr="008154D2">
        <w:t xml:space="preserve"> </w:t>
      </w:r>
      <w:r w:rsidRPr="008154D2">
        <w:tab/>
      </w:r>
      <w:r w:rsidRPr="009909C8">
        <w:t xml:space="preserve">See </w:t>
      </w:r>
      <w:r w:rsidRPr="008154D2">
        <w:t>A/HRC/22/47/Add.3, para</w:t>
      </w:r>
      <w:r w:rsidRPr="009909C8">
        <w:t>s</w:t>
      </w:r>
      <w:r w:rsidRPr="008154D2">
        <w:t>. 48</w:t>
      </w:r>
      <w:r w:rsidRPr="009909C8">
        <w:t xml:space="preserve"> and 49.</w:t>
      </w:r>
      <w:r w:rsidRPr="00FE347B">
        <w:t>.</w:t>
      </w:r>
    </w:p>
  </w:footnote>
  <w:footnote w:id="8">
    <w:p w:rsidR="00BA531E" w:rsidRPr="009909C8" w:rsidRDefault="00BA531E">
      <w:pPr>
        <w:pStyle w:val="FootnoteText"/>
        <w:rPr>
          <w:lang w:val="es-SV"/>
        </w:rPr>
      </w:pPr>
      <w:r w:rsidRPr="00DF20FD">
        <w:tab/>
      </w:r>
      <w:r>
        <w:rPr>
          <w:rStyle w:val="FootnoteReference"/>
        </w:rPr>
        <w:footnoteRef/>
      </w:r>
      <w:r w:rsidRPr="008154D2">
        <w:t xml:space="preserve"> </w:t>
      </w:r>
      <w:r w:rsidRPr="008154D2">
        <w:tab/>
      </w:r>
      <w:r w:rsidRPr="009909C8">
        <w:t xml:space="preserve">See </w:t>
      </w:r>
      <w:r w:rsidRPr="008154D2">
        <w:t xml:space="preserve">A/HRC/19/9, </w:t>
      </w:r>
      <w:r w:rsidRPr="009909C8">
        <w:t>para. </w:t>
      </w:r>
      <w:r w:rsidRPr="003524E4">
        <w:rPr>
          <w:lang w:val="es-SV"/>
        </w:rPr>
        <w:t>107</w:t>
      </w:r>
      <w:r w:rsidRPr="009909C8">
        <w:rPr>
          <w:lang w:val="es-SV"/>
        </w:rPr>
        <w:t>.38.</w:t>
      </w:r>
    </w:p>
  </w:footnote>
  <w:footnote w:id="9">
    <w:p w:rsidR="00BA531E" w:rsidRPr="009909C8" w:rsidRDefault="00BA531E">
      <w:pPr>
        <w:pStyle w:val="FootnoteText"/>
        <w:rPr>
          <w:lang w:val="es-SV"/>
        </w:rPr>
      </w:pPr>
      <w:r w:rsidRPr="009909C8">
        <w:rPr>
          <w:lang w:val="es-SV"/>
        </w:rPr>
        <w:tab/>
      </w:r>
      <w:r>
        <w:rPr>
          <w:rStyle w:val="FootnoteReference"/>
        </w:rPr>
        <w:footnoteRef/>
      </w:r>
      <w:r w:rsidRPr="008154D2">
        <w:t xml:space="preserve"> </w:t>
      </w:r>
      <w:r w:rsidRPr="008154D2">
        <w:tab/>
      </w:r>
      <w:r w:rsidRPr="009909C8">
        <w:t xml:space="preserve">See </w:t>
      </w:r>
      <w:r w:rsidRPr="008154D2">
        <w:t xml:space="preserve">CERD/C/IRL/CO/3-4, </w:t>
      </w:r>
      <w:r w:rsidRPr="009909C8">
        <w:t>para. </w:t>
      </w:r>
      <w:r w:rsidRPr="009909C8">
        <w:rPr>
          <w:lang w:val="es-SV"/>
        </w:rPr>
        <w:t>15.</w:t>
      </w:r>
    </w:p>
  </w:footnote>
  <w:footnote w:id="10">
    <w:p w:rsidR="00BA531E" w:rsidRPr="00514F33" w:rsidRDefault="00BA531E" w:rsidP="00374C23">
      <w:pPr>
        <w:pStyle w:val="FootnoteText"/>
        <w:rPr>
          <w:lang w:val="es-ES"/>
        </w:rPr>
      </w:pPr>
      <w:r w:rsidRPr="009909C8">
        <w:rPr>
          <w:lang w:val="es-SV"/>
        </w:rPr>
        <w:tab/>
      </w:r>
      <w:r>
        <w:rPr>
          <w:rStyle w:val="FootnoteReference"/>
        </w:rPr>
        <w:footnoteRef/>
      </w:r>
      <w:r w:rsidRPr="009909C8">
        <w:t xml:space="preserve"> </w:t>
      </w:r>
      <w:r w:rsidRPr="009909C8">
        <w:tab/>
        <w:t>See A/HRC/22/47/Add.3, para. </w:t>
      </w:r>
      <w:r>
        <w:rPr>
          <w:lang w:val="es-ES"/>
        </w:rPr>
        <w:t>111 (l).</w:t>
      </w:r>
    </w:p>
  </w:footnote>
  <w:footnote w:id="11">
    <w:p w:rsidR="00BA531E" w:rsidRPr="00503F5F" w:rsidRDefault="00BA531E">
      <w:pPr>
        <w:pStyle w:val="FootnoteText"/>
        <w:rPr>
          <w:lang w:val="es-ES"/>
        </w:rPr>
      </w:pPr>
      <w:r>
        <w:rPr>
          <w:lang w:val="es-ES"/>
        </w:rPr>
        <w:tab/>
      </w:r>
      <w:r>
        <w:rPr>
          <w:rStyle w:val="FootnoteReference"/>
        </w:rPr>
        <w:footnoteRef/>
      </w:r>
      <w:r w:rsidRPr="00503F5F">
        <w:rPr>
          <w:lang w:val="es-ES"/>
        </w:rPr>
        <w:t xml:space="preserve"> </w:t>
      </w:r>
      <w:r>
        <w:rPr>
          <w:lang w:val="es-ES"/>
        </w:rPr>
        <w:tab/>
        <w:t xml:space="preserve">See </w:t>
      </w:r>
      <w:r w:rsidRPr="00503F5F">
        <w:rPr>
          <w:lang w:val="es-ES"/>
        </w:rPr>
        <w:t>A/HRC/19/9</w:t>
      </w:r>
      <w:r>
        <w:rPr>
          <w:lang w:val="es-ES"/>
        </w:rPr>
        <w:t>, para. 108.5.</w:t>
      </w:r>
    </w:p>
  </w:footnote>
  <w:footnote w:id="12">
    <w:p w:rsidR="00BA531E" w:rsidRPr="009909C8" w:rsidRDefault="00BA531E" w:rsidP="008C4AA1">
      <w:pPr>
        <w:pStyle w:val="FootnoteText"/>
        <w:rPr>
          <w:lang w:val="es-SV"/>
        </w:rPr>
      </w:pPr>
      <w:r>
        <w:rPr>
          <w:lang w:val="es-ES"/>
        </w:rPr>
        <w:tab/>
      </w:r>
      <w:r>
        <w:rPr>
          <w:rStyle w:val="FootnoteReference"/>
        </w:rPr>
        <w:footnoteRef/>
      </w:r>
      <w:r w:rsidRPr="009909C8">
        <w:t xml:space="preserve"> </w:t>
      </w:r>
      <w:r w:rsidRPr="009909C8">
        <w:tab/>
        <w:t>See A/HRC/22/47/Add.3, para. </w:t>
      </w:r>
      <w:r w:rsidRPr="009909C8">
        <w:rPr>
          <w:lang w:val="es-SV"/>
        </w:rPr>
        <w:t>84.</w:t>
      </w:r>
    </w:p>
  </w:footnote>
  <w:footnote w:id="13">
    <w:p w:rsidR="00BA531E" w:rsidRPr="00A02D99" w:rsidRDefault="00BA531E" w:rsidP="00374C23">
      <w:pPr>
        <w:pStyle w:val="FootnoteText"/>
        <w:rPr>
          <w:lang w:val="es-ES"/>
        </w:rPr>
      </w:pPr>
      <w:r w:rsidRPr="009909C8">
        <w:rPr>
          <w:lang w:val="es-SV"/>
        </w:rPr>
        <w:tab/>
      </w:r>
      <w:r>
        <w:rPr>
          <w:rStyle w:val="FootnoteReference"/>
        </w:rPr>
        <w:footnoteRef/>
      </w:r>
      <w:r w:rsidRPr="00A02D99">
        <w:rPr>
          <w:lang w:val="es-ES"/>
        </w:rPr>
        <w:t xml:space="preserve"> </w:t>
      </w:r>
      <w:r>
        <w:rPr>
          <w:lang w:val="es-ES"/>
        </w:rPr>
        <w:tab/>
        <w:t>Ibid.</w:t>
      </w:r>
      <w:r w:rsidRPr="00062136">
        <w:rPr>
          <w:lang w:val="es-ES"/>
        </w:rPr>
        <w:t xml:space="preserve">, </w:t>
      </w:r>
      <w:r>
        <w:rPr>
          <w:lang w:val="es-ES"/>
        </w:rPr>
        <w:t>para. 111 (n.).</w:t>
      </w:r>
    </w:p>
  </w:footnote>
  <w:footnote w:id="14">
    <w:p w:rsidR="00BA531E" w:rsidRPr="00A02D99" w:rsidRDefault="00BA531E" w:rsidP="00374C23">
      <w:pPr>
        <w:pStyle w:val="FootnoteText"/>
        <w:rPr>
          <w:lang w:val="es-ES"/>
        </w:rPr>
      </w:pPr>
      <w:r>
        <w:rPr>
          <w:lang w:val="es-ES"/>
        </w:rPr>
        <w:tab/>
      </w:r>
      <w:r>
        <w:rPr>
          <w:rStyle w:val="FootnoteReference"/>
        </w:rPr>
        <w:footnoteRef/>
      </w:r>
      <w:r w:rsidRPr="00A02D99">
        <w:rPr>
          <w:lang w:val="es-ES"/>
        </w:rPr>
        <w:t xml:space="preserve"> </w:t>
      </w:r>
      <w:r>
        <w:rPr>
          <w:lang w:val="es-ES"/>
        </w:rPr>
        <w:tab/>
        <w:t>Ibid.</w:t>
      </w:r>
      <w:r w:rsidRPr="00062136">
        <w:rPr>
          <w:lang w:val="es-ES"/>
        </w:rPr>
        <w:t xml:space="preserve">, </w:t>
      </w:r>
      <w:r>
        <w:rPr>
          <w:lang w:val="es-ES"/>
        </w:rPr>
        <w:t>para. 87.</w:t>
      </w:r>
    </w:p>
  </w:footnote>
  <w:footnote w:id="15">
    <w:p w:rsidR="00BA531E" w:rsidRPr="004C4483" w:rsidRDefault="00BA531E" w:rsidP="00374C23">
      <w:pPr>
        <w:pStyle w:val="FootnoteText"/>
        <w:rPr>
          <w:lang w:val="es-ES"/>
        </w:rPr>
      </w:pPr>
      <w:r>
        <w:rPr>
          <w:lang w:val="es-ES"/>
        </w:rPr>
        <w:tab/>
      </w:r>
      <w:r>
        <w:rPr>
          <w:rStyle w:val="FootnoteReference"/>
        </w:rPr>
        <w:footnoteRef/>
      </w:r>
      <w:r w:rsidRPr="00062136">
        <w:rPr>
          <w:lang w:val="es-ES"/>
        </w:rPr>
        <w:t xml:space="preserve"> </w:t>
      </w:r>
      <w:r>
        <w:rPr>
          <w:lang w:val="es-ES"/>
        </w:rPr>
        <w:tab/>
        <w:t>Ibid., para. </w:t>
      </w:r>
      <w:r w:rsidRPr="004C4483">
        <w:rPr>
          <w:lang w:val="es-ES"/>
        </w:rPr>
        <w:t>111 (m).</w:t>
      </w:r>
    </w:p>
  </w:footnote>
  <w:footnote w:id="16">
    <w:p w:rsidR="00BA531E" w:rsidRPr="0094228B" w:rsidRDefault="00BA531E">
      <w:pPr>
        <w:pStyle w:val="FootnoteText"/>
        <w:rPr>
          <w:lang w:val="en-US"/>
        </w:rPr>
      </w:pPr>
      <w:r w:rsidRPr="007129F6">
        <w:rPr>
          <w:lang w:val="es-ES"/>
        </w:rPr>
        <w:tab/>
      </w:r>
      <w:r>
        <w:rPr>
          <w:rStyle w:val="FootnoteReference"/>
        </w:rPr>
        <w:footnoteRef/>
      </w:r>
      <w:r w:rsidRPr="0094228B">
        <w:rPr>
          <w:lang w:val="en-US"/>
        </w:rPr>
        <w:t xml:space="preserve"> </w:t>
      </w:r>
      <w:r w:rsidRPr="0094228B">
        <w:rPr>
          <w:lang w:val="en-US"/>
        </w:rPr>
        <w:tab/>
        <w:t>See A/HRC/19/9, paras. 106. 36–38 and 40– 42.</w:t>
      </w:r>
    </w:p>
  </w:footnote>
  <w:footnote w:id="17">
    <w:p w:rsidR="00BA531E" w:rsidRPr="00AF7974" w:rsidRDefault="00BA531E">
      <w:pPr>
        <w:pStyle w:val="FootnoteText"/>
        <w:rPr>
          <w:lang w:val="es-ES"/>
        </w:rPr>
      </w:pPr>
      <w:r w:rsidRPr="0094228B">
        <w:rPr>
          <w:lang w:val="en-US"/>
        </w:rPr>
        <w:tab/>
      </w:r>
      <w:r>
        <w:rPr>
          <w:rStyle w:val="FootnoteReference"/>
        </w:rPr>
        <w:footnoteRef/>
      </w:r>
      <w:r w:rsidRPr="00AF7974">
        <w:rPr>
          <w:lang w:val="es-ES"/>
        </w:rPr>
        <w:t xml:space="preserve"> </w:t>
      </w:r>
      <w:r>
        <w:rPr>
          <w:lang w:val="es-ES"/>
        </w:rPr>
        <w:tab/>
        <w:t>Ibid., para. 106.45.</w:t>
      </w:r>
    </w:p>
  </w:footnote>
  <w:footnote w:id="18">
    <w:p w:rsidR="00BA531E" w:rsidRPr="009909C8" w:rsidRDefault="00BA531E">
      <w:pPr>
        <w:pStyle w:val="FootnoteText"/>
      </w:pPr>
      <w:r>
        <w:rPr>
          <w:lang w:val="es-ES"/>
        </w:rPr>
        <w:tab/>
      </w:r>
      <w:r>
        <w:rPr>
          <w:rStyle w:val="FootnoteReference"/>
        </w:rPr>
        <w:footnoteRef/>
      </w:r>
      <w:r w:rsidRPr="009909C8">
        <w:t xml:space="preserve"> </w:t>
      </w:r>
      <w:r>
        <w:tab/>
        <w:t xml:space="preserve">Ibid. </w:t>
      </w:r>
      <w:r w:rsidRPr="009909C8">
        <w:t>para</w:t>
      </w:r>
      <w:r>
        <w:t>s</w:t>
      </w:r>
      <w:r w:rsidRPr="009909C8">
        <w:t>. 106.43 and 46.</w:t>
      </w:r>
    </w:p>
  </w:footnote>
  <w:footnote w:id="19">
    <w:p w:rsidR="00BA531E" w:rsidRPr="00063F95" w:rsidRDefault="00BA531E">
      <w:pPr>
        <w:pStyle w:val="FootnoteText"/>
      </w:pPr>
      <w:r w:rsidRPr="008154D2">
        <w:tab/>
      </w:r>
      <w:r>
        <w:rPr>
          <w:rStyle w:val="FootnoteReference"/>
        </w:rPr>
        <w:footnoteRef/>
      </w:r>
      <w:r w:rsidRPr="008154D2">
        <w:t xml:space="preserve"> </w:t>
      </w:r>
      <w:r w:rsidRPr="008154D2">
        <w:tab/>
      </w:r>
      <w:r w:rsidRPr="009909C8">
        <w:t xml:space="preserve">See </w:t>
      </w:r>
      <w:r w:rsidRPr="008154D2">
        <w:t>A/HRC/19/9, paras. </w:t>
      </w:r>
      <w:r w:rsidRPr="00063F95">
        <w:t>106.2 and 106.3.</w:t>
      </w:r>
    </w:p>
  </w:footnote>
  <w:footnote w:id="20">
    <w:p w:rsidR="00BA531E" w:rsidRPr="00063F95" w:rsidRDefault="00BA531E" w:rsidP="0050227A">
      <w:pPr>
        <w:pStyle w:val="FootnoteText"/>
      </w:pPr>
      <w:r w:rsidRPr="009909C8">
        <w:tab/>
      </w:r>
      <w:r>
        <w:rPr>
          <w:rStyle w:val="FootnoteReference"/>
        </w:rPr>
        <w:footnoteRef/>
      </w:r>
      <w:r w:rsidRPr="009909C8">
        <w:t xml:space="preserve"> </w:t>
      </w:r>
      <w:r w:rsidRPr="009909C8">
        <w:tab/>
      </w:r>
      <w:r>
        <w:t>Ibid.,</w:t>
      </w:r>
      <w:r w:rsidRPr="009909C8">
        <w:t>paras. </w:t>
      </w:r>
      <w:r w:rsidRPr="00063F95">
        <w:t>106.39</w:t>
      </w:r>
      <w:r w:rsidRPr="009909C8">
        <w:t xml:space="preserve"> and</w:t>
      </w:r>
      <w:r w:rsidRPr="00063F95">
        <w:t xml:space="preserve"> 44.</w:t>
      </w:r>
    </w:p>
  </w:footnote>
  <w:footnote w:id="21">
    <w:p w:rsidR="00BA531E" w:rsidRPr="004C4483" w:rsidRDefault="00BA531E">
      <w:pPr>
        <w:pStyle w:val="FootnoteText"/>
        <w:rPr>
          <w:lang w:val="es-ES"/>
        </w:rPr>
      </w:pPr>
      <w:r w:rsidRPr="009909C8">
        <w:tab/>
      </w:r>
      <w:r>
        <w:rPr>
          <w:rStyle w:val="FootnoteReference"/>
        </w:rPr>
        <w:footnoteRef/>
      </w:r>
      <w:r w:rsidRPr="009909C8">
        <w:t xml:space="preserve"> </w:t>
      </w:r>
      <w:r w:rsidRPr="009909C8">
        <w:tab/>
        <w:t>See A/HRC/22/47/Add.3, para. </w:t>
      </w:r>
      <w:r w:rsidRPr="004C4483">
        <w:rPr>
          <w:lang w:val="es-ES"/>
        </w:rPr>
        <w:t>111 (h).</w:t>
      </w:r>
    </w:p>
  </w:footnote>
  <w:footnote w:id="22">
    <w:p w:rsidR="00BA531E" w:rsidRPr="00B30EDC" w:rsidRDefault="00BA531E">
      <w:pPr>
        <w:pStyle w:val="FootnoteText"/>
      </w:pPr>
      <w:r w:rsidRPr="004C4483">
        <w:rPr>
          <w:lang w:val="es-ES"/>
        </w:rPr>
        <w:tab/>
      </w:r>
      <w:r>
        <w:rPr>
          <w:rStyle w:val="FootnoteReference"/>
        </w:rPr>
        <w:footnoteRef/>
      </w:r>
      <w:r>
        <w:t xml:space="preserve"> </w:t>
      </w:r>
      <w:r>
        <w:tab/>
        <w:t>See a</w:t>
      </w:r>
      <w:r w:rsidRPr="00B30EDC">
        <w:t xml:space="preserve">dditional information provided by the State party on 8 August 2013 to the </w:t>
      </w:r>
      <w:r>
        <w:t>f</w:t>
      </w:r>
      <w:r w:rsidRPr="00B30EDC">
        <w:t>ollow-up Rapporteur</w:t>
      </w:r>
      <w:r>
        <w:t>.</w:t>
      </w:r>
    </w:p>
  </w:footnote>
  <w:footnote w:id="23">
    <w:p w:rsidR="00BA531E" w:rsidRPr="00933928" w:rsidRDefault="00BA531E">
      <w:pPr>
        <w:pStyle w:val="FootnoteText"/>
      </w:pPr>
      <w:r>
        <w:tab/>
      </w:r>
      <w:r>
        <w:rPr>
          <w:rStyle w:val="FootnoteReference"/>
        </w:rPr>
        <w:footnoteRef/>
      </w:r>
      <w:r>
        <w:t xml:space="preserve"> </w:t>
      </w:r>
      <w:r>
        <w:tab/>
        <w:t>See the</w:t>
      </w:r>
      <w:r w:rsidRPr="00933928">
        <w:t xml:space="preserve"> letter </w:t>
      </w:r>
      <w:r>
        <w:t xml:space="preserve">of </w:t>
      </w:r>
      <w:r w:rsidRPr="00933928">
        <w:t xml:space="preserve">22 May 2013 from the </w:t>
      </w:r>
      <w:r>
        <w:t>f</w:t>
      </w:r>
      <w:r w:rsidRPr="00933928">
        <w:t>ollow-up Rapporteur</w:t>
      </w:r>
      <w:r>
        <w:t>.</w:t>
      </w:r>
    </w:p>
  </w:footnote>
  <w:footnote w:id="24">
    <w:p w:rsidR="00BA531E" w:rsidRPr="00333B4A" w:rsidRDefault="00BA531E">
      <w:pPr>
        <w:pStyle w:val="FootnoteText"/>
      </w:pPr>
      <w:r>
        <w:tab/>
      </w:r>
      <w:r>
        <w:rPr>
          <w:rStyle w:val="FootnoteReference"/>
        </w:rPr>
        <w:footnoteRef/>
      </w:r>
      <w:r>
        <w:t xml:space="preserve"> </w:t>
      </w:r>
      <w:r>
        <w:tab/>
        <w:t xml:space="preserve">See </w:t>
      </w:r>
      <w:r w:rsidRPr="00333B4A">
        <w:t xml:space="preserve">CAT/C/IRL/CO/1/Add.1, </w:t>
      </w:r>
      <w:r>
        <w:t>para. 9.</w:t>
      </w:r>
    </w:p>
  </w:footnote>
  <w:footnote w:id="25">
    <w:p w:rsidR="00BA531E" w:rsidRPr="005A49BD" w:rsidRDefault="00BA531E">
      <w:pPr>
        <w:pStyle w:val="FootnoteText"/>
      </w:pPr>
      <w:r>
        <w:tab/>
      </w:r>
      <w:r>
        <w:rPr>
          <w:rStyle w:val="FootnoteReference"/>
        </w:rPr>
        <w:footnoteRef/>
      </w:r>
      <w:r>
        <w:t xml:space="preserve"> </w:t>
      </w:r>
      <w:r>
        <w:tab/>
        <w:t xml:space="preserve">See </w:t>
      </w:r>
      <w:r w:rsidRPr="00333B4A">
        <w:t xml:space="preserve">CAT/C/IRL/CO/1/Add.1, </w:t>
      </w:r>
      <w:r>
        <w:t>para. 14; and the letter of 22 May 2013 from the follow-up Rapporteur  to the State party seeking additional information.</w:t>
      </w:r>
    </w:p>
  </w:footnote>
  <w:footnote w:id="26">
    <w:p w:rsidR="00BA531E" w:rsidRPr="009909C8" w:rsidRDefault="00BA531E">
      <w:pPr>
        <w:pStyle w:val="FootnoteText"/>
        <w:rPr>
          <w:lang w:val="es-SV"/>
        </w:rPr>
      </w:pPr>
      <w:r w:rsidRPr="004C4483">
        <w:tab/>
      </w:r>
      <w:r>
        <w:rPr>
          <w:rStyle w:val="FootnoteReference"/>
        </w:rPr>
        <w:footnoteRef/>
      </w:r>
      <w:r w:rsidRPr="008154D2">
        <w:t xml:space="preserve"> </w:t>
      </w:r>
      <w:r w:rsidRPr="008154D2">
        <w:tab/>
      </w:r>
      <w:r w:rsidRPr="009909C8">
        <w:t xml:space="preserve">See </w:t>
      </w:r>
      <w:r w:rsidRPr="008154D2">
        <w:t>A/HRC/19/9/Add.1, para. </w:t>
      </w:r>
      <w:r w:rsidRPr="009909C8">
        <w:rPr>
          <w:lang w:val="es-SV"/>
        </w:rPr>
        <w:t>53.</w:t>
      </w:r>
    </w:p>
  </w:footnote>
  <w:footnote w:id="27">
    <w:p w:rsidR="00BA531E" w:rsidRPr="009909C8" w:rsidRDefault="00BA531E">
      <w:pPr>
        <w:pStyle w:val="FootnoteText"/>
        <w:rPr>
          <w:lang w:val="es-SV"/>
        </w:rPr>
      </w:pPr>
      <w:r w:rsidRPr="009909C8">
        <w:rPr>
          <w:lang w:val="es-SV"/>
        </w:rPr>
        <w:tab/>
      </w:r>
      <w:r>
        <w:rPr>
          <w:rStyle w:val="FootnoteReference"/>
        </w:rPr>
        <w:footnoteRef/>
      </w:r>
      <w:r w:rsidRPr="00FE347B">
        <w:t xml:space="preserve"> </w:t>
      </w:r>
      <w:r w:rsidRPr="00FE347B">
        <w:tab/>
      </w:r>
      <w:r w:rsidRPr="009909C8">
        <w:t xml:space="preserve">See </w:t>
      </w:r>
      <w:r w:rsidRPr="00FE347B">
        <w:t>CERD/C/IRL/CO/3-4, para.</w:t>
      </w:r>
      <w:r w:rsidRPr="00DF20FD">
        <w:t> </w:t>
      </w:r>
      <w:r w:rsidRPr="009909C8">
        <w:rPr>
          <w:lang w:val="es-SV"/>
        </w:rPr>
        <w:t>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1E" w:rsidRPr="009909C8" w:rsidRDefault="00BA531E" w:rsidP="00914962">
    <w:pPr>
      <w:pStyle w:val="Header"/>
      <w:pBdr>
        <w:bottom w:val="single" w:sz="4" w:space="1" w:color="auto"/>
      </w:pBdr>
    </w:pPr>
    <w:r>
      <w:rPr>
        <w:lang w:val="en-US"/>
      </w:rPr>
      <w:t>CAT/C/IRL/QPR/2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1E" w:rsidRPr="00031FAA" w:rsidRDefault="00BA531E" w:rsidP="00031FAA">
    <w:pPr>
      <w:pStyle w:val="Header"/>
      <w:jc w:val="right"/>
      <w:rPr>
        <w:lang w:val="en-US"/>
      </w:rPr>
    </w:pPr>
    <w:r>
      <w:rPr>
        <w:lang w:val="en-US"/>
      </w:rPr>
      <w:t>CAT/C/IRL</w:t>
    </w:r>
    <w:r w:rsidRPr="00CD1EFB">
      <w:rPr>
        <w:lang w:val="en-US"/>
      </w:rPr>
      <w:t>/Q</w:t>
    </w:r>
    <w:r>
      <w:rPr>
        <w:lang w:val="en-US"/>
      </w:rPr>
      <w:t>PR</w:t>
    </w:r>
    <w:r w:rsidRPr="00CD1EFB">
      <w:rPr>
        <w:lang w:val="en-US"/>
      </w:rPr>
      <w:t>/</w:t>
    </w:r>
    <w:r>
      <w:rPr>
        <w:lang w:val="en-U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1495E45"/>
    <w:multiLevelType w:val="hybridMultilevel"/>
    <w:tmpl w:val="CB8A1F32"/>
    <w:lvl w:ilvl="0" w:tplc="890C25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9321C8"/>
    <w:multiLevelType w:val="hybridMultilevel"/>
    <w:tmpl w:val="45041906"/>
    <w:lvl w:ilvl="0" w:tplc="F44462D2">
      <w:start w:val="1"/>
      <w:numFmt w:val="decimal"/>
      <w:lvlText w:val="%1."/>
      <w:lvlJc w:val="left"/>
      <w:pPr>
        <w:tabs>
          <w:tab w:val="num" w:pos="2988"/>
        </w:tabs>
        <w:ind w:left="2988"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8">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3E4D5345"/>
    <w:multiLevelType w:val="hybridMultilevel"/>
    <w:tmpl w:val="3AAC5482"/>
    <w:lvl w:ilvl="0" w:tplc="33769B02">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5E733017"/>
    <w:multiLevelType w:val="hybridMultilevel"/>
    <w:tmpl w:val="D33AFB7A"/>
    <w:lvl w:ilvl="0" w:tplc="9F90E5B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629A6866"/>
    <w:multiLevelType w:val="hybridMultilevel"/>
    <w:tmpl w:val="8DF8DD50"/>
    <w:lvl w:ilvl="0" w:tplc="BF885248">
      <w:start w:val="1"/>
      <w:numFmt w:val="lowerLetter"/>
      <w:pStyle w:val="LOIa"/>
      <w:lvlText w:val="(%1)"/>
      <w:lvlJc w:val="left"/>
      <w:pPr>
        <w:ind w:left="2061" w:hanging="360"/>
      </w:pPr>
      <w:rPr>
        <w:rFonts w:cs="Times New Roman" w:hint="default"/>
      </w:rPr>
    </w:lvl>
    <w:lvl w:ilvl="1" w:tplc="04090019">
      <w:start w:val="1"/>
      <w:numFmt w:val="upperLetter"/>
      <w:lvlText w:val="%2."/>
      <w:lvlJc w:val="left"/>
      <w:pPr>
        <w:ind w:left="2501" w:hanging="400"/>
      </w:pPr>
      <w:rPr>
        <w:rFonts w:cs="Times New Roman"/>
      </w:rPr>
    </w:lvl>
    <w:lvl w:ilvl="2" w:tplc="0409001B">
      <w:start w:val="1"/>
      <w:numFmt w:val="lowerRoman"/>
      <w:lvlText w:val="%3."/>
      <w:lvlJc w:val="right"/>
      <w:pPr>
        <w:ind w:left="2901" w:hanging="400"/>
      </w:pPr>
      <w:rPr>
        <w:rFonts w:cs="Times New Roman"/>
      </w:rPr>
    </w:lvl>
    <w:lvl w:ilvl="3" w:tplc="0409000F">
      <w:start w:val="1"/>
      <w:numFmt w:val="decimal"/>
      <w:lvlText w:val="%4."/>
      <w:lvlJc w:val="left"/>
      <w:pPr>
        <w:ind w:left="3301" w:hanging="400"/>
      </w:pPr>
      <w:rPr>
        <w:rFonts w:cs="Times New Roman"/>
      </w:rPr>
    </w:lvl>
    <w:lvl w:ilvl="4" w:tplc="04090019">
      <w:start w:val="1"/>
      <w:numFmt w:val="upperLetter"/>
      <w:lvlText w:val="%5."/>
      <w:lvlJc w:val="left"/>
      <w:pPr>
        <w:ind w:left="3701" w:hanging="400"/>
      </w:pPr>
      <w:rPr>
        <w:rFonts w:cs="Times New Roman"/>
      </w:rPr>
    </w:lvl>
    <w:lvl w:ilvl="5" w:tplc="0409001B">
      <w:start w:val="1"/>
      <w:numFmt w:val="lowerRoman"/>
      <w:lvlText w:val="%6."/>
      <w:lvlJc w:val="right"/>
      <w:pPr>
        <w:ind w:left="4101" w:hanging="400"/>
      </w:pPr>
      <w:rPr>
        <w:rFonts w:cs="Times New Roman"/>
      </w:rPr>
    </w:lvl>
    <w:lvl w:ilvl="6" w:tplc="0409000F">
      <w:start w:val="1"/>
      <w:numFmt w:val="decimal"/>
      <w:lvlText w:val="%7."/>
      <w:lvlJc w:val="left"/>
      <w:pPr>
        <w:ind w:left="4501" w:hanging="400"/>
      </w:pPr>
      <w:rPr>
        <w:rFonts w:cs="Times New Roman"/>
      </w:rPr>
    </w:lvl>
    <w:lvl w:ilvl="7" w:tplc="04090019">
      <w:start w:val="1"/>
      <w:numFmt w:val="upperLetter"/>
      <w:lvlText w:val="%8."/>
      <w:lvlJc w:val="left"/>
      <w:pPr>
        <w:ind w:left="4901" w:hanging="400"/>
      </w:pPr>
      <w:rPr>
        <w:rFonts w:cs="Times New Roman"/>
      </w:rPr>
    </w:lvl>
    <w:lvl w:ilvl="8" w:tplc="0409001B">
      <w:start w:val="1"/>
      <w:numFmt w:val="lowerRoman"/>
      <w:lvlText w:val="%9."/>
      <w:lvlJc w:val="right"/>
      <w:pPr>
        <w:ind w:left="5301" w:hanging="400"/>
      </w:pPr>
      <w:rPr>
        <w:rFonts w:cs="Times New Roman"/>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B527E28"/>
    <w:multiLevelType w:val="multilevel"/>
    <w:tmpl w:val="2F3ED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85A647A"/>
    <w:multiLevelType w:val="hybridMultilevel"/>
    <w:tmpl w:val="5E846E90"/>
    <w:lvl w:ilvl="0" w:tplc="5E0A377E">
      <w:start w:val="1"/>
      <w:numFmt w:val="lowerLetter"/>
      <w:lvlText w:val="(%1)"/>
      <w:lvlJc w:val="left"/>
      <w:pPr>
        <w:ind w:left="2010" w:hanging="57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3"/>
  </w:num>
  <w:num w:numId="3">
    <w:abstractNumId w:val="3"/>
  </w:num>
  <w:num w:numId="4">
    <w:abstractNumId w:val="4"/>
  </w:num>
  <w:num w:numId="5">
    <w:abstractNumId w:val="6"/>
  </w:num>
  <w:num w:numId="6">
    <w:abstractNumId w:val="11"/>
  </w:num>
  <w:num w:numId="7">
    <w:abstractNumId w:val="1"/>
  </w:num>
  <w:num w:numId="8">
    <w:abstractNumId w:val="8"/>
  </w:num>
  <w:num w:numId="9">
    <w:abstractNumId w:val="7"/>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2"/>
  </w:num>
  <w:num w:numId="18">
    <w:abstractNumId w:val="15"/>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5"/>
  </w:num>
  <w:num w:numId="2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SV" w:vendorID="64" w:dllVersion="131078" w:nlCheck="1" w:checkStyle="1"/>
  <w:proofState w:spelling="clean" w:grammar="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15B"/>
    <w:rsid w:val="0000248A"/>
    <w:rsid w:val="00014F89"/>
    <w:rsid w:val="00015513"/>
    <w:rsid w:val="000161A4"/>
    <w:rsid w:val="00017B60"/>
    <w:rsid w:val="00017B9C"/>
    <w:rsid w:val="0002158C"/>
    <w:rsid w:val="00021707"/>
    <w:rsid w:val="0002295D"/>
    <w:rsid w:val="000237D3"/>
    <w:rsid w:val="00026954"/>
    <w:rsid w:val="00027937"/>
    <w:rsid w:val="00031FAA"/>
    <w:rsid w:val="00032187"/>
    <w:rsid w:val="000348AD"/>
    <w:rsid w:val="00036271"/>
    <w:rsid w:val="00043BF4"/>
    <w:rsid w:val="0004777F"/>
    <w:rsid w:val="00050F6B"/>
    <w:rsid w:val="00054EED"/>
    <w:rsid w:val="00057526"/>
    <w:rsid w:val="00057E97"/>
    <w:rsid w:val="000613FC"/>
    <w:rsid w:val="00062136"/>
    <w:rsid w:val="00062E7F"/>
    <w:rsid w:val="00062F06"/>
    <w:rsid w:val="00063C7D"/>
    <w:rsid w:val="00063F95"/>
    <w:rsid w:val="00072C8C"/>
    <w:rsid w:val="000733B5"/>
    <w:rsid w:val="00077365"/>
    <w:rsid w:val="000809D7"/>
    <w:rsid w:val="00081815"/>
    <w:rsid w:val="00082E4D"/>
    <w:rsid w:val="00083D47"/>
    <w:rsid w:val="000850FB"/>
    <w:rsid w:val="00087B79"/>
    <w:rsid w:val="000931C0"/>
    <w:rsid w:val="00093CB6"/>
    <w:rsid w:val="00094A2D"/>
    <w:rsid w:val="00094B47"/>
    <w:rsid w:val="0009596A"/>
    <w:rsid w:val="00095A1D"/>
    <w:rsid w:val="0009685B"/>
    <w:rsid w:val="000978E4"/>
    <w:rsid w:val="000A39EB"/>
    <w:rsid w:val="000A3E40"/>
    <w:rsid w:val="000A641A"/>
    <w:rsid w:val="000A7206"/>
    <w:rsid w:val="000B0A8F"/>
    <w:rsid w:val="000B1667"/>
    <w:rsid w:val="000B175B"/>
    <w:rsid w:val="000B3382"/>
    <w:rsid w:val="000B3963"/>
    <w:rsid w:val="000B3A0F"/>
    <w:rsid w:val="000B41CD"/>
    <w:rsid w:val="000B4BD6"/>
    <w:rsid w:val="000B4EF7"/>
    <w:rsid w:val="000B57BE"/>
    <w:rsid w:val="000B79DF"/>
    <w:rsid w:val="000C1B24"/>
    <w:rsid w:val="000C2C03"/>
    <w:rsid w:val="000C2D2E"/>
    <w:rsid w:val="000C6E4F"/>
    <w:rsid w:val="000D151C"/>
    <w:rsid w:val="000D2735"/>
    <w:rsid w:val="000D30CF"/>
    <w:rsid w:val="000D45FC"/>
    <w:rsid w:val="000D72C5"/>
    <w:rsid w:val="000E0415"/>
    <w:rsid w:val="000E544B"/>
    <w:rsid w:val="000F0017"/>
    <w:rsid w:val="000F3C9F"/>
    <w:rsid w:val="000F4571"/>
    <w:rsid w:val="00102BCC"/>
    <w:rsid w:val="00104D70"/>
    <w:rsid w:val="001103AA"/>
    <w:rsid w:val="001135C8"/>
    <w:rsid w:val="001169AC"/>
    <w:rsid w:val="00117C1C"/>
    <w:rsid w:val="00121447"/>
    <w:rsid w:val="001216BF"/>
    <w:rsid w:val="00123D41"/>
    <w:rsid w:val="001243AF"/>
    <w:rsid w:val="00135D21"/>
    <w:rsid w:val="001368F3"/>
    <w:rsid w:val="00136A30"/>
    <w:rsid w:val="00136F62"/>
    <w:rsid w:val="00144516"/>
    <w:rsid w:val="001450BD"/>
    <w:rsid w:val="0015149E"/>
    <w:rsid w:val="00153179"/>
    <w:rsid w:val="00153DD0"/>
    <w:rsid w:val="00153E2C"/>
    <w:rsid w:val="00156738"/>
    <w:rsid w:val="00165322"/>
    <w:rsid w:val="00165DA0"/>
    <w:rsid w:val="00165F3A"/>
    <w:rsid w:val="001671C5"/>
    <w:rsid w:val="00167967"/>
    <w:rsid w:val="00167EDB"/>
    <w:rsid w:val="0017056C"/>
    <w:rsid w:val="00172248"/>
    <w:rsid w:val="00172E26"/>
    <w:rsid w:val="0017735D"/>
    <w:rsid w:val="001801D1"/>
    <w:rsid w:val="001810D6"/>
    <w:rsid w:val="00182ECD"/>
    <w:rsid w:val="00182EF3"/>
    <w:rsid w:val="00183227"/>
    <w:rsid w:val="00184864"/>
    <w:rsid w:val="00185801"/>
    <w:rsid w:val="0018639D"/>
    <w:rsid w:val="00193BCC"/>
    <w:rsid w:val="00197B02"/>
    <w:rsid w:val="001A040B"/>
    <w:rsid w:val="001A49F7"/>
    <w:rsid w:val="001A7855"/>
    <w:rsid w:val="001B1299"/>
    <w:rsid w:val="001B1FE3"/>
    <w:rsid w:val="001B39CA"/>
    <w:rsid w:val="001B4222"/>
    <w:rsid w:val="001B4B04"/>
    <w:rsid w:val="001B6889"/>
    <w:rsid w:val="001C32AB"/>
    <w:rsid w:val="001C6663"/>
    <w:rsid w:val="001C71AA"/>
    <w:rsid w:val="001C7895"/>
    <w:rsid w:val="001D0B77"/>
    <w:rsid w:val="001D0C8C"/>
    <w:rsid w:val="001D26DF"/>
    <w:rsid w:val="001D3A03"/>
    <w:rsid w:val="001E4B64"/>
    <w:rsid w:val="001E5016"/>
    <w:rsid w:val="001E5BD8"/>
    <w:rsid w:val="001E6317"/>
    <w:rsid w:val="001E6FD3"/>
    <w:rsid w:val="001F57D7"/>
    <w:rsid w:val="001F71F5"/>
    <w:rsid w:val="00202D78"/>
    <w:rsid w:val="00202DA8"/>
    <w:rsid w:val="002070CE"/>
    <w:rsid w:val="002078D8"/>
    <w:rsid w:val="00210306"/>
    <w:rsid w:val="0021047E"/>
    <w:rsid w:val="00211E0B"/>
    <w:rsid w:val="00222DFE"/>
    <w:rsid w:val="002275BC"/>
    <w:rsid w:val="00231B8C"/>
    <w:rsid w:val="002409AF"/>
    <w:rsid w:val="00246360"/>
    <w:rsid w:val="002475F2"/>
    <w:rsid w:val="00247BD1"/>
    <w:rsid w:val="002525C5"/>
    <w:rsid w:val="00256A94"/>
    <w:rsid w:val="00256FCB"/>
    <w:rsid w:val="002638C3"/>
    <w:rsid w:val="002656DD"/>
    <w:rsid w:val="00267CF0"/>
    <w:rsid w:val="00267F5F"/>
    <w:rsid w:val="00274C57"/>
    <w:rsid w:val="0027589F"/>
    <w:rsid w:val="00275B61"/>
    <w:rsid w:val="0027736F"/>
    <w:rsid w:val="00280429"/>
    <w:rsid w:val="00280DD3"/>
    <w:rsid w:val="002834B6"/>
    <w:rsid w:val="00286145"/>
    <w:rsid w:val="00286B4D"/>
    <w:rsid w:val="00292C11"/>
    <w:rsid w:val="002955D6"/>
    <w:rsid w:val="00296549"/>
    <w:rsid w:val="002967C9"/>
    <w:rsid w:val="00297778"/>
    <w:rsid w:val="00297799"/>
    <w:rsid w:val="002A18D8"/>
    <w:rsid w:val="002A33AB"/>
    <w:rsid w:val="002B13F5"/>
    <w:rsid w:val="002B1BFE"/>
    <w:rsid w:val="002B3A4F"/>
    <w:rsid w:val="002B3C39"/>
    <w:rsid w:val="002B466B"/>
    <w:rsid w:val="002C0E4E"/>
    <w:rsid w:val="002C4922"/>
    <w:rsid w:val="002C5053"/>
    <w:rsid w:val="002C5B6B"/>
    <w:rsid w:val="002C5DA2"/>
    <w:rsid w:val="002D3742"/>
    <w:rsid w:val="002D511B"/>
    <w:rsid w:val="002E1C03"/>
    <w:rsid w:val="002E1D10"/>
    <w:rsid w:val="002E2AB6"/>
    <w:rsid w:val="002E4700"/>
    <w:rsid w:val="002F175C"/>
    <w:rsid w:val="002F1A00"/>
    <w:rsid w:val="002F26C2"/>
    <w:rsid w:val="002F4A6E"/>
    <w:rsid w:val="002F5BEE"/>
    <w:rsid w:val="00303993"/>
    <w:rsid w:val="00306938"/>
    <w:rsid w:val="003069F7"/>
    <w:rsid w:val="00306A50"/>
    <w:rsid w:val="00307895"/>
    <w:rsid w:val="003079B4"/>
    <w:rsid w:val="00311A61"/>
    <w:rsid w:val="00316A7F"/>
    <w:rsid w:val="003229D8"/>
    <w:rsid w:val="00325628"/>
    <w:rsid w:val="00330805"/>
    <w:rsid w:val="003318DE"/>
    <w:rsid w:val="00332528"/>
    <w:rsid w:val="00333B4A"/>
    <w:rsid w:val="003340A9"/>
    <w:rsid w:val="0033588D"/>
    <w:rsid w:val="00336900"/>
    <w:rsid w:val="00337E68"/>
    <w:rsid w:val="00340A2A"/>
    <w:rsid w:val="00343378"/>
    <w:rsid w:val="00346274"/>
    <w:rsid w:val="00346488"/>
    <w:rsid w:val="003524E4"/>
    <w:rsid w:val="00352709"/>
    <w:rsid w:val="0035282B"/>
    <w:rsid w:val="00352F9F"/>
    <w:rsid w:val="00355E6A"/>
    <w:rsid w:val="00361E5C"/>
    <w:rsid w:val="00362CA4"/>
    <w:rsid w:val="00364971"/>
    <w:rsid w:val="00370A64"/>
    <w:rsid w:val="00371178"/>
    <w:rsid w:val="00374C23"/>
    <w:rsid w:val="00375D0D"/>
    <w:rsid w:val="00377605"/>
    <w:rsid w:val="00380311"/>
    <w:rsid w:val="00384525"/>
    <w:rsid w:val="0039217B"/>
    <w:rsid w:val="0039235C"/>
    <w:rsid w:val="003A1E63"/>
    <w:rsid w:val="003A54FE"/>
    <w:rsid w:val="003A6771"/>
    <w:rsid w:val="003A6810"/>
    <w:rsid w:val="003B045A"/>
    <w:rsid w:val="003B0997"/>
    <w:rsid w:val="003C20E1"/>
    <w:rsid w:val="003C2CC4"/>
    <w:rsid w:val="003C3180"/>
    <w:rsid w:val="003C52C7"/>
    <w:rsid w:val="003C5F9B"/>
    <w:rsid w:val="003C7BEB"/>
    <w:rsid w:val="003D3412"/>
    <w:rsid w:val="003D4B23"/>
    <w:rsid w:val="003D5EF2"/>
    <w:rsid w:val="003D63F2"/>
    <w:rsid w:val="003E2A25"/>
    <w:rsid w:val="003E44DB"/>
    <w:rsid w:val="003E5931"/>
    <w:rsid w:val="003E6FF9"/>
    <w:rsid w:val="003E758F"/>
    <w:rsid w:val="003F1547"/>
    <w:rsid w:val="003F1CA3"/>
    <w:rsid w:val="003F6D43"/>
    <w:rsid w:val="004020D4"/>
    <w:rsid w:val="00403E74"/>
    <w:rsid w:val="0040510E"/>
    <w:rsid w:val="004077D0"/>
    <w:rsid w:val="00410C89"/>
    <w:rsid w:val="00416EAF"/>
    <w:rsid w:val="00424647"/>
    <w:rsid w:val="00426628"/>
    <w:rsid w:val="00426B9B"/>
    <w:rsid w:val="004325CB"/>
    <w:rsid w:val="00435F2B"/>
    <w:rsid w:val="004408C9"/>
    <w:rsid w:val="00442A83"/>
    <w:rsid w:val="00443706"/>
    <w:rsid w:val="004437F2"/>
    <w:rsid w:val="004450BE"/>
    <w:rsid w:val="00445BD2"/>
    <w:rsid w:val="00451674"/>
    <w:rsid w:val="0045339F"/>
    <w:rsid w:val="0045495B"/>
    <w:rsid w:val="00454E1A"/>
    <w:rsid w:val="00455672"/>
    <w:rsid w:val="004579B4"/>
    <w:rsid w:val="00462649"/>
    <w:rsid w:val="00462992"/>
    <w:rsid w:val="00463895"/>
    <w:rsid w:val="00463D45"/>
    <w:rsid w:val="00464E9F"/>
    <w:rsid w:val="0047092F"/>
    <w:rsid w:val="004711FE"/>
    <w:rsid w:val="00475072"/>
    <w:rsid w:val="00475861"/>
    <w:rsid w:val="00477E4F"/>
    <w:rsid w:val="00480C8F"/>
    <w:rsid w:val="00482CB0"/>
    <w:rsid w:val="004861FE"/>
    <w:rsid w:val="00491830"/>
    <w:rsid w:val="00492D34"/>
    <w:rsid w:val="004935CC"/>
    <w:rsid w:val="00493725"/>
    <w:rsid w:val="004950A0"/>
    <w:rsid w:val="00496BF9"/>
    <w:rsid w:val="004A66BC"/>
    <w:rsid w:val="004A66DD"/>
    <w:rsid w:val="004B3269"/>
    <w:rsid w:val="004B4C23"/>
    <w:rsid w:val="004B5A47"/>
    <w:rsid w:val="004B600F"/>
    <w:rsid w:val="004B7802"/>
    <w:rsid w:val="004C2AAA"/>
    <w:rsid w:val="004C3AA1"/>
    <w:rsid w:val="004C4483"/>
    <w:rsid w:val="004D0D0F"/>
    <w:rsid w:val="004D0FCD"/>
    <w:rsid w:val="004D177B"/>
    <w:rsid w:val="004E3717"/>
    <w:rsid w:val="004E5135"/>
    <w:rsid w:val="004E7900"/>
    <w:rsid w:val="004F6C0A"/>
    <w:rsid w:val="004F7677"/>
    <w:rsid w:val="00500BA4"/>
    <w:rsid w:val="00501051"/>
    <w:rsid w:val="00501112"/>
    <w:rsid w:val="00501638"/>
    <w:rsid w:val="0050227A"/>
    <w:rsid w:val="00503F5F"/>
    <w:rsid w:val="0050430F"/>
    <w:rsid w:val="005045AB"/>
    <w:rsid w:val="00504B95"/>
    <w:rsid w:val="00504BEB"/>
    <w:rsid w:val="005078C6"/>
    <w:rsid w:val="00511067"/>
    <w:rsid w:val="0051178C"/>
    <w:rsid w:val="00511E24"/>
    <w:rsid w:val="00513364"/>
    <w:rsid w:val="00513386"/>
    <w:rsid w:val="00514F33"/>
    <w:rsid w:val="0051623B"/>
    <w:rsid w:val="0052011C"/>
    <w:rsid w:val="0052136D"/>
    <w:rsid w:val="00524668"/>
    <w:rsid w:val="00526ED9"/>
    <w:rsid w:val="0052775E"/>
    <w:rsid w:val="00531C7C"/>
    <w:rsid w:val="00532E7A"/>
    <w:rsid w:val="00534F68"/>
    <w:rsid w:val="00541C2C"/>
    <w:rsid w:val="005420F2"/>
    <w:rsid w:val="00543903"/>
    <w:rsid w:val="00544481"/>
    <w:rsid w:val="00546E46"/>
    <w:rsid w:val="005565DF"/>
    <w:rsid w:val="00561D43"/>
    <w:rsid w:val="005628B6"/>
    <w:rsid w:val="00564919"/>
    <w:rsid w:val="005649D2"/>
    <w:rsid w:val="00567F83"/>
    <w:rsid w:val="00572A7A"/>
    <w:rsid w:val="005731C3"/>
    <w:rsid w:val="00576543"/>
    <w:rsid w:val="0057703F"/>
    <w:rsid w:val="00577F22"/>
    <w:rsid w:val="005825EF"/>
    <w:rsid w:val="00583370"/>
    <w:rsid w:val="00583D8F"/>
    <w:rsid w:val="00583FA7"/>
    <w:rsid w:val="00586416"/>
    <w:rsid w:val="00590400"/>
    <w:rsid w:val="005912CD"/>
    <w:rsid w:val="005932A8"/>
    <w:rsid w:val="00593A92"/>
    <w:rsid w:val="00595134"/>
    <w:rsid w:val="005965CC"/>
    <w:rsid w:val="005A49BD"/>
    <w:rsid w:val="005A7DC3"/>
    <w:rsid w:val="005B06EE"/>
    <w:rsid w:val="005B318E"/>
    <w:rsid w:val="005B3DB3"/>
    <w:rsid w:val="005B76F5"/>
    <w:rsid w:val="005C12B7"/>
    <w:rsid w:val="005C1811"/>
    <w:rsid w:val="005C4802"/>
    <w:rsid w:val="005C4C39"/>
    <w:rsid w:val="005C6611"/>
    <w:rsid w:val="005C665F"/>
    <w:rsid w:val="005D0FDF"/>
    <w:rsid w:val="005D69CD"/>
    <w:rsid w:val="005E0A4F"/>
    <w:rsid w:val="005E4438"/>
    <w:rsid w:val="005F0B4A"/>
    <w:rsid w:val="005F1353"/>
    <w:rsid w:val="005F26A5"/>
    <w:rsid w:val="005F7045"/>
    <w:rsid w:val="005F7B75"/>
    <w:rsid w:val="006001EE"/>
    <w:rsid w:val="006014EA"/>
    <w:rsid w:val="00601CD5"/>
    <w:rsid w:val="00605042"/>
    <w:rsid w:val="006062E2"/>
    <w:rsid w:val="00606478"/>
    <w:rsid w:val="00607433"/>
    <w:rsid w:val="00611FC4"/>
    <w:rsid w:val="0061665F"/>
    <w:rsid w:val="006176FB"/>
    <w:rsid w:val="006215C8"/>
    <w:rsid w:val="00624381"/>
    <w:rsid w:val="0062560F"/>
    <w:rsid w:val="00625BB9"/>
    <w:rsid w:val="00631539"/>
    <w:rsid w:val="00631A05"/>
    <w:rsid w:val="00632CC1"/>
    <w:rsid w:val="006355CD"/>
    <w:rsid w:val="00635DD8"/>
    <w:rsid w:val="0064078B"/>
    <w:rsid w:val="00640B26"/>
    <w:rsid w:val="00641786"/>
    <w:rsid w:val="006435BC"/>
    <w:rsid w:val="0064373B"/>
    <w:rsid w:val="0064422C"/>
    <w:rsid w:val="00651AAC"/>
    <w:rsid w:val="0065233D"/>
    <w:rsid w:val="00652D0A"/>
    <w:rsid w:val="00654E8E"/>
    <w:rsid w:val="00656A5D"/>
    <w:rsid w:val="00661AAF"/>
    <w:rsid w:val="0066210F"/>
    <w:rsid w:val="00662BB6"/>
    <w:rsid w:val="00663385"/>
    <w:rsid w:val="006636AA"/>
    <w:rsid w:val="00664290"/>
    <w:rsid w:val="0066626D"/>
    <w:rsid w:val="006669A4"/>
    <w:rsid w:val="006712BD"/>
    <w:rsid w:val="00672E02"/>
    <w:rsid w:val="0068047C"/>
    <w:rsid w:val="00680EF1"/>
    <w:rsid w:val="00682F10"/>
    <w:rsid w:val="0068345C"/>
    <w:rsid w:val="00684C21"/>
    <w:rsid w:val="00686A15"/>
    <w:rsid w:val="0069241B"/>
    <w:rsid w:val="006946B8"/>
    <w:rsid w:val="0069587A"/>
    <w:rsid w:val="00697FFA"/>
    <w:rsid w:val="006A2943"/>
    <w:rsid w:val="006B2220"/>
    <w:rsid w:val="006B29DA"/>
    <w:rsid w:val="006B2B77"/>
    <w:rsid w:val="006B466F"/>
    <w:rsid w:val="006B5AE5"/>
    <w:rsid w:val="006C19AB"/>
    <w:rsid w:val="006C1A7E"/>
    <w:rsid w:val="006C44A1"/>
    <w:rsid w:val="006C7A65"/>
    <w:rsid w:val="006C7BD2"/>
    <w:rsid w:val="006D0671"/>
    <w:rsid w:val="006D115C"/>
    <w:rsid w:val="006D13E8"/>
    <w:rsid w:val="006D326E"/>
    <w:rsid w:val="006D37AF"/>
    <w:rsid w:val="006D51D0"/>
    <w:rsid w:val="006E0246"/>
    <w:rsid w:val="006E10DB"/>
    <w:rsid w:val="006E4438"/>
    <w:rsid w:val="006E5215"/>
    <w:rsid w:val="006E564B"/>
    <w:rsid w:val="006E7023"/>
    <w:rsid w:val="006E717E"/>
    <w:rsid w:val="006E7191"/>
    <w:rsid w:val="006E7961"/>
    <w:rsid w:val="006F0DCA"/>
    <w:rsid w:val="006F1612"/>
    <w:rsid w:val="006F5689"/>
    <w:rsid w:val="006F7554"/>
    <w:rsid w:val="006F7920"/>
    <w:rsid w:val="007021F8"/>
    <w:rsid w:val="00703577"/>
    <w:rsid w:val="00705675"/>
    <w:rsid w:val="00705CB4"/>
    <w:rsid w:val="007079A0"/>
    <w:rsid w:val="00707AF5"/>
    <w:rsid w:val="007129F6"/>
    <w:rsid w:val="0072632A"/>
    <w:rsid w:val="0072764F"/>
    <w:rsid w:val="007309F0"/>
    <w:rsid w:val="007327D5"/>
    <w:rsid w:val="007404C0"/>
    <w:rsid w:val="00741761"/>
    <w:rsid w:val="0074749D"/>
    <w:rsid w:val="007526C8"/>
    <w:rsid w:val="00753F0E"/>
    <w:rsid w:val="00757347"/>
    <w:rsid w:val="007629C8"/>
    <w:rsid w:val="007666F6"/>
    <w:rsid w:val="007706AD"/>
    <w:rsid w:val="00770AA5"/>
    <w:rsid w:val="00772A16"/>
    <w:rsid w:val="00782F73"/>
    <w:rsid w:val="007872DA"/>
    <w:rsid w:val="00793014"/>
    <w:rsid w:val="007A181E"/>
    <w:rsid w:val="007A3672"/>
    <w:rsid w:val="007A4103"/>
    <w:rsid w:val="007A4214"/>
    <w:rsid w:val="007A4886"/>
    <w:rsid w:val="007A48D8"/>
    <w:rsid w:val="007A6E2F"/>
    <w:rsid w:val="007A7951"/>
    <w:rsid w:val="007B18E6"/>
    <w:rsid w:val="007B1AC9"/>
    <w:rsid w:val="007B4056"/>
    <w:rsid w:val="007B53D2"/>
    <w:rsid w:val="007B6BA5"/>
    <w:rsid w:val="007C0154"/>
    <w:rsid w:val="007C0546"/>
    <w:rsid w:val="007C0AE0"/>
    <w:rsid w:val="007C16DF"/>
    <w:rsid w:val="007C3390"/>
    <w:rsid w:val="007C36FB"/>
    <w:rsid w:val="007C37CE"/>
    <w:rsid w:val="007C4F4B"/>
    <w:rsid w:val="007C5CDB"/>
    <w:rsid w:val="007C5E14"/>
    <w:rsid w:val="007C6B67"/>
    <w:rsid w:val="007D40BD"/>
    <w:rsid w:val="007D44C3"/>
    <w:rsid w:val="007D4802"/>
    <w:rsid w:val="007E1CD8"/>
    <w:rsid w:val="007E2DA1"/>
    <w:rsid w:val="007E3F0B"/>
    <w:rsid w:val="007E7672"/>
    <w:rsid w:val="007F0236"/>
    <w:rsid w:val="007F284D"/>
    <w:rsid w:val="007F3987"/>
    <w:rsid w:val="007F5D0A"/>
    <w:rsid w:val="007F6611"/>
    <w:rsid w:val="0080436F"/>
    <w:rsid w:val="008079C0"/>
    <w:rsid w:val="00807A9D"/>
    <w:rsid w:val="00813C69"/>
    <w:rsid w:val="008154D2"/>
    <w:rsid w:val="00821CB1"/>
    <w:rsid w:val="00822A0E"/>
    <w:rsid w:val="00822F3C"/>
    <w:rsid w:val="008242D7"/>
    <w:rsid w:val="008257B1"/>
    <w:rsid w:val="00830EC9"/>
    <w:rsid w:val="008319CF"/>
    <w:rsid w:val="0084047F"/>
    <w:rsid w:val="00843086"/>
    <w:rsid w:val="00843767"/>
    <w:rsid w:val="0084440E"/>
    <w:rsid w:val="00846373"/>
    <w:rsid w:val="00846F22"/>
    <w:rsid w:val="00847F5E"/>
    <w:rsid w:val="0085386A"/>
    <w:rsid w:val="00862151"/>
    <w:rsid w:val="00863F06"/>
    <w:rsid w:val="00865B64"/>
    <w:rsid w:val="00866316"/>
    <w:rsid w:val="008679D9"/>
    <w:rsid w:val="008704A4"/>
    <w:rsid w:val="008740E1"/>
    <w:rsid w:val="0088003B"/>
    <w:rsid w:val="00886146"/>
    <w:rsid w:val="00892CDA"/>
    <w:rsid w:val="00893B16"/>
    <w:rsid w:val="008979B1"/>
    <w:rsid w:val="008A3445"/>
    <w:rsid w:val="008A4917"/>
    <w:rsid w:val="008A4B28"/>
    <w:rsid w:val="008A58D2"/>
    <w:rsid w:val="008A5C10"/>
    <w:rsid w:val="008A6B25"/>
    <w:rsid w:val="008A6C4F"/>
    <w:rsid w:val="008A75AF"/>
    <w:rsid w:val="008A782A"/>
    <w:rsid w:val="008B2335"/>
    <w:rsid w:val="008B4A4D"/>
    <w:rsid w:val="008C1446"/>
    <w:rsid w:val="008C4AA1"/>
    <w:rsid w:val="008C5988"/>
    <w:rsid w:val="008C7E32"/>
    <w:rsid w:val="008E0678"/>
    <w:rsid w:val="008E25F5"/>
    <w:rsid w:val="008E407E"/>
    <w:rsid w:val="008E4285"/>
    <w:rsid w:val="008E68D7"/>
    <w:rsid w:val="008E69D1"/>
    <w:rsid w:val="008F246B"/>
    <w:rsid w:val="008F527F"/>
    <w:rsid w:val="008F5BC5"/>
    <w:rsid w:val="0090186D"/>
    <w:rsid w:val="00903EF0"/>
    <w:rsid w:val="00914962"/>
    <w:rsid w:val="00914F04"/>
    <w:rsid w:val="009163BA"/>
    <w:rsid w:val="009223CA"/>
    <w:rsid w:val="009304C0"/>
    <w:rsid w:val="0093227A"/>
    <w:rsid w:val="009325D5"/>
    <w:rsid w:val="00933928"/>
    <w:rsid w:val="00934AE8"/>
    <w:rsid w:val="00937E70"/>
    <w:rsid w:val="00940DB3"/>
    <w:rsid w:val="00940F93"/>
    <w:rsid w:val="0094228B"/>
    <w:rsid w:val="00943B54"/>
    <w:rsid w:val="00945D3C"/>
    <w:rsid w:val="009468D0"/>
    <w:rsid w:val="00955198"/>
    <w:rsid w:val="009552B9"/>
    <w:rsid w:val="00957E2B"/>
    <w:rsid w:val="00960263"/>
    <w:rsid w:val="009615A0"/>
    <w:rsid w:val="00962F1E"/>
    <w:rsid w:val="00965457"/>
    <w:rsid w:val="00965A6C"/>
    <w:rsid w:val="00966F05"/>
    <w:rsid w:val="009678F7"/>
    <w:rsid w:val="00975A3B"/>
    <w:rsid w:val="009760F3"/>
    <w:rsid w:val="0098163E"/>
    <w:rsid w:val="009909C8"/>
    <w:rsid w:val="00990E74"/>
    <w:rsid w:val="0099201A"/>
    <w:rsid w:val="00995CBD"/>
    <w:rsid w:val="00996A99"/>
    <w:rsid w:val="00997DAF"/>
    <w:rsid w:val="009A0B26"/>
    <w:rsid w:val="009A0E8D"/>
    <w:rsid w:val="009A1939"/>
    <w:rsid w:val="009A1A5E"/>
    <w:rsid w:val="009A42B4"/>
    <w:rsid w:val="009A4EC0"/>
    <w:rsid w:val="009A5F91"/>
    <w:rsid w:val="009B0F27"/>
    <w:rsid w:val="009B26E7"/>
    <w:rsid w:val="009B346A"/>
    <w:rsid w:val="009B504A"/>
    <w:rsid w:val="009B5FA5"/>
    <w:rsid w:val="009D0AB5"/>
    <w:rsid w:val="009E4662"/>
    <w:rsid w:val="009E5E91"/>
    <w:rsid w:val="009E632E"/>
    <w:rsid w:val="009F07CB"/>
    <w:rsid w:val="009F0C53"/>
    <w:rsid w:val="009F28F0"/>
    <w:rsid w:val="009F3189"/>
    <w:rsid w:val="009F40B4"/>
    <w:rsid w:val="009F6291"/>
    <w:rsid w:val="009F773D"/>
    <w:rsid w:val="00A00A3F"/>
    <w:rsid w:val="00A01489"/>
    <w:rsid w:val="00A02D99"/>
    <w:rsid w:val="00A0589C"/>
    <w:rsid w:val="00A05943"/>
    <w:rsid w:val="00A069A6"/>
    <w:rsid w:val="00A07661"/>
    <w:rsid w:val="00A079D3"/>
    <w:rsid w:val="00A11229"/>
    <w:rsid w:val="00A1423E"/>
    <w:rsid w:val="00A1690A"/>
    <w:rsid w:val="00A2017E"/>
    <w:rsid w:val="00A20E3B"/>
    <w:rsid w:val="00A229F6"/>
    <w:rsid w:val="00A30A65"/>
    <w:rsid w:val="00A3189E"/>
    <w:rsid w:val="00A31C42"/>
    <w:rsid w:val="00A338F1"/>
    <w:rsid w:val="00A40C83"/>
    <w:rsid w:val="00A440B6"/>
    <w:rsid w:val="00A455A6"/>
    <w:rsid w:val="00A5214F"/>
    <w:rsid w:val="00A618E1"/>
    <w:rsid w:val="00A65A69"/>
    <w:rsid w:val="00A71267"/>
    <w:rsid w:val="00A72F22"/>
    <w:rsid w:val="00A7360F"/>
    <w:rsid w:val="00A74207"/>
    <w:rsid w:val="00A748A6"/>
    <w:rsid w:val="00A769F4"/>
    <w:rsid w:val="00A7767E"/>
    <w:rsid w:val="00A776B4"/>
    <w:rsid w:val="00A82140"/>
    <w:rsid w:val="00A84A11"/>
    <w:rsid w:val="00A84BA5"/>
    <w:rsid w:val="00A87C04"/>
    <w:rsid w:val="00A87CA5"/>
    <w:rsid w:val="00A90442"/>
    <w:rsid w:val="00A92B63"/>
    <w:rsid w:val="00A94361"/>
    <w:rsid w:val="00A94975"/>
    <w:rsid w:val="00AA293C"/>
    <w:rsid w:val="00AB12F2"/>
    <w:rsid w:val="00AB32CE"/>
    <w:rsid w:val="00AB332B"/>
    <w:rsid w:val="00AB6B0D"/>
    <w:rsid w:val="00AB7A91"/>
    <w:rsid w:val="00AB7F4C"/>
    <w:rsid w:val="00AC2DA7"/>
    <w:rsid w:val="00AC5F67"/>
    <w:rsid w:val="00AC7035"/>
    <w:rsid w:val="00AC769C"/>
    <w:rsid w:val="00AD3015"/>
    <w:rsid w:val="00AD40E5"/>
    <w:rsid w:val="00AD54D4"/>
    <w:rsid w:val="00AD6C6B"/>
    <w:rsid w:val="00AD787D"/>
    <w:rsid w:val="00AE0D8C"/>
    <w:rsid w:val="00AE17C6"/>
    <w:rsid w:val="00AE1CCA"/>
    <w:rsid w:val="00AE34A3"/>
    <w:rsid w:val="00AE5490"/>
    <w:rsid w:val="00AE73FD"/>
    <w:rsid w:val="00AF199B"/>
    <w:rsid w:val="00AF29BC"/>
    <w:rsid w:val="00AF2A0B"/>
    <w:rsid w:val="00AF6E81"/>
    <w:rsid w:val="00AF7974"/>
    <w:rsid w:val="00AF7D5D"/>
    <w:rsid w:val="00B02F8D"/>
    <w:rsid w:val="00B053AC"/>
    <w:rsid w:val="00B05CB4"/>
    <w:rsid w:val="00B0725E"/>
    <w:rsid w:val="00B1047D"/>
    <w:rsid w:val="00B12865"/>
    <w:rsid w:val="00B14763"/>
    <w:rsid w:val="00B14977"/>
    <w:rsid w:val="00B21B20"/>
    <w:rsid w:val="00B21CBE"/>
    <w:rsid w:val="00B255FF"/>
    <w:rsid w:val="00B27BB3"/>
    <w:rsid w:val="00B27C18"/>
    <w:rsid w:val="00B30179"/>
    <w:rsid w:val="00B3025F"/>
    <w:rsid w:val="00B30EDC"/>
    <w:rsid w:val="00B441DE"/>
    <w:rsid w:val="00B4747B"/>
    <w:rsid w:val="00B502F4"/>
    <w:rsid w:val="00B50D91"/>
    <w:rsid w:val="00B522E9"/>
    <w:rsid w:val="00B54F31"/>
    <w:rsid w:val="00B56E4A"/>
    <w:rsid w:val="00B56E9C"/>
    <w:rsid w:val="00B641C2"/>
    <w:rsid w:val="00B64B1F"/>
    <w:rsid w:val="00B653CD"/>
    <w:rsid w:val="00B6553F"/>
    <w:rsid w:val="00B65C78"/>
    <w:rsid w:val="00B67A01"/>
    <w:rsid w:val="00B718B3"/>
    <w:rsid w:val="00B73403"/>
    <w:rsid w:val="00B74B47"/>
    <w:rsid w:val="00B75BB5"/>
    <w:rsid w:val="00B77D05"/>
    <w:rsid w:val="00B81206"/>
    <w:rsid w:val="00B816E3"/>
    <w:rsid w:val="00B81E12"/>
    <w:rsid w:val="00B8260E"/>
    <w:rsid w:val="00B82DBE"/>
    <w:rsid w:val="00B82ED6"/>
    <w:rsid w:val="00B917CA"/>
    <w:rsid w:val="00B92937"/>
    <w:rsid w:val="00B97532"/>
    <w:rsid w:val="00B97EE2"/>
    <w:rsid w:val="00BA09BC"/>
    <w:rsid w:val="00BA10BB"/>
    <w:rsid w:val="00BA161D"/>
    <w:rsid w:val="00BA29D4"/>
    <w:rsid w:val="00BA531E"/>
    <w:rsid w:val="00BB205A"/>
    <w:rsid w:val="00BB575B"/>
    <w:rsid w:val="00BB7A8E"/>
    <w:rsid w:val="00BC74E9"/>
    <w:rsid w:val="00BD4B6B"/>
    <w:rsid w:val="00BD555D"/>
    <w:rsid w:val="00BD6231"/>
    <w:rsid w:val="00BD7FA6"/>
    <w:rsid w:val="00BE32C5"/>
    <w:rsid w:val="00BE4439"/>
    <w:rsid w:val="00BE4A65"/>
    <w:rsid w:val="00BE61A1"/>
    <w:rsid w:val="00BF11FE"/>
    <w:rsid w:val="00BF2ABC"/>
    <w:rsid w:val="00BF65B9"/>
    <w:rsid w:val="00BF68A8"/>
    <w:rsid w:val="00C02BA0"/>
    <w:rsid w:val="00C04749"/>
    <w:rsid w:val="00C04C5F"/>
    <w:rsid w:val="00C050C2"/>
    <w:rsid w:val="00C06D0A"/>
    <w:rsid w:val="00C10732"/>
    <w:rsid w:val="00C11A03"/>
    <w:rsid w:val="00C13750"/>
    <w:rsid w:val="00C14229"/>
    <w:rsid w:val="00C1674D"/>
    <w:rsid w:val="00C17C6A"/>
    <w:rsid w:val="00C212F3"/>
    <w:rsid w:val="00C22A67"/>
    <w:rsid w:val="00C23B04"/>
    <w:rsid w:val="00C23E96"/>
    <w:rsid w:val="00C23F3C"/>
    <w:rsid w:val="00C24155"/>
    <w:rsid w:val="00C24547"/>
    <w:rsid w:val="00C26E40"/>
    <w:rsid w:val="00C27CE5"/>
    <w:rsid w:val="00C32322"/>
    <w:rsid w:val="00C40514"/>
    <w:rsid w:val="00C42634"/>
    <w:rsid w:val="00C42AD4"/>
    <w:rsid w:val="00C463DD"/>
    <w:rsid w:val="00C4724C"/>
    <w:rsid w:val="00C5632E"/>
    <w:rsid w:val="00C61B41"/>
    <w:rsid w:val="00C629A0"/>
    <w:rsid w:val="00C639D4"/>
    <w:rsid w:val="00C736BC"/>
    <w:rsid w:val="00C745C3"/>
    <w:rsid w:val="00C75BCD"/>
    <w:rsid w:val="00C76D1C"/>
    <w:rsid w:val="00C819F6"/>
    <w:rsid w:val="00C83D32"/>
    <w:rsid w:val="00C95575"/>
    <w:rsid w:val="00CA01E2"/>
    <w:rsid w:val="00CA0C13"/>
    <w:rsid w:val="00CA204A"/>
    <w:rsid w:val="00CA355D"/>
    <w:rsid w:val="00CA703C"/>
    <w:rsid w:val="00CB24E0"/>
    <w:rsid w:val="00CB44B8"/>
    <w:rsid w:val="00CB4EA5"/>
    <w:rsid w:val="00CB56F9"/>
    <w:rsid w:val="00CB690A"/>
    <w:rsid w:val="00CB7D87"/>
    <w:rsid w:val="00CB7F84"/>
    <w:rsid w:val="00CC5297"/>
    <w:rsid w:val="00CD1EFB"/>
    <w:rsid w:val="00CD440E"/>
    <w:rsid w:val="00CD6FE0"/>
    <w:rsid w:val="00CD7CB6"/>
    <w:rsid w:val="00CE0BBC"/>
    <w:rsid w:val="00CE1761"/>
    <w:rsid w:val="00CE489A"/>
    <w:rsid w:val="00CE4A8F"/>
    <w:rsid w:val="00CF13C8"/>
    <w:rsid w:val="00D02825"/>
    <w:rsid w:val="00D03F22"/>
    <w:rsid w:val="00D05CE1"/>
    <w:rsid w:val="00D2031B"/>
    <w:rsid w:val="00D208C8"/>
    <w:rsid w:val="00D21697"/>
    <w:rsid w:val="00D21F7A"/>
    <w:rsid w:val="00D22020"/>
    <w:rsid w:val="00D22A73"/>
    <w:rsid w:val="00D24D51"/>
    <w:rsid w:val="00D25FE2"/>
    <w:rsid w:val="00D260CF"/>
    <w:rsid w:val="00D27ECC"/>
    <w:rsid w:val="00D30B36"/>
    <w:rsid w:val="00D332DE"/>
    <w:rsid w:val="00D33D9C"/>
    <w:rsid w:val="00D35970"/>
    <w:rsid w:val="00D37C5A"/>
    <w:rsid w:val="00D43252"/>
    <w:rsid w:val="00D450CF"/>
    <w:rsid w:val="00D47706"/>
    <w:rsid w:val="00D47EEA"/>
    <w:rsid w:val="00D64619"/>
    <w:rsid w:val="00D73A59"/>
    <w:rsid w:val="00D73F0A"/>
    <w:rsid w:val="00D75091"/>
    <w:rsid w:val="00D87118"/>
    <w:rsid w:val="00D87CBA"/>
    <w:rsid w:val="00D91A15"/>
    <w:rsid w:val="00D93739"/>
    <w:rsid w:val="00D93CC8"/>
    <w:rsid w:val="00D9471D"/>
    <w:rsid w:val="00D95303"/>
    <w:rsid w:val="00D958F8"/>
    <w:rsid w:val="00D96646"/>
    <w:rsid w:val="00D978C6"/>
    <w:rsid w:val="00DA0893"/>
    <w:rsid w:val="00DA3B7E"/>
    <w:rsid w:val="00DA3C1C"/>
    <w:rsid w:val="00DB2BA9"/>
    <w:rsid w:val="00DC0548"/>
    <w:rsid w:val="00DC0CF8"/>
    <w:rsid w:val="00DC1764"/>
    <w:rsid w:val="00DC6198"/>
    <w:rsid w:val="00DC6BCC"/>
    <w:rsid w:val="00DC7177"/>
    <w:rsid w:val="00DD018F"/>
    <w:rsid w:val="00DD0FA1"/>
    <w:rsid w:val="00DD2532"/>
    <w:rsid w:val="00DD319E"/>
    <w:rsid w:val="00DD4640"/>
    <w:rsid w:val="00DD7ED7"/>
    <w:rsid w:val="00DE1909"/>
    <w:rsid w:val="00DE1D0C"/>
    <w:rsid w:val="00DE3728"/>
    <w:rsid w:val="00DE47BF"/>
    <w:rsid w:val="00DE77E7"/>
    <w:rsid w:val="00DF20FD"/>
    <w:rsid w:val="00DF3763"/>
    <w:rsid w:val="00DF4B05"/>
    <w:rsid w:val="00DF7A19"/>
    <w:rsid w:val="00E00911"/>
    <w:rsid w:val="00E029B5"/>
    <w:rsid w:val="00E02A5D"/>
    <w:rsid w:val="00E042A4"/>
    <w:rsid w:val="00E0487E"/>
    <w:rsid w:val="00E06587"/>
    <w:rsid w:val="00E06E25"/>
    <w:rsid w:val="00E101B6"/>
    <w:rsid w:val="00E27207"/>
    <w:rsid w:val="00E27346"/>
    <w:rsid w:val="00E32BF9"/>
    <w:rsid w:val="00E32EFC"/>
    <w:rsid w:val="00E33120"/>
    <w:rsid w:val="00E34CA0"/>
    <w:rsid w:val="00E354B4"/>
    <w:rsid w:val="00E4007F"/>
    <w:rsid w:val="00E41EFC"/>
    <w:rsid w:val="00E429B3"/>
    <w:rsid w:val="00E448FF"/>
    <w:rsid w:val="00E452F4"/>
    <w:rsid w:val="00E45AF8"/>
    <w:rsid w:val="00E531DC"/>
    <w:rsid w:val="00E53DFD"/>
    <w:rsid w:val="00E55B97"/>
    <w:rsid w:val="00E6488B"/>
    <w:rsid w:val="00E66A2E"/>
    <w:rsid w:val="00E66EB7"/>
    <w:rsid w:val="00E70108"/>
    <w:rsid w:val="00E71BC8"/>
    <w:rsid w:val="00E7260F"/>
    <w:rsid w:val="00E803A3"/>
    <w:rsid w:val="00E90CEE"/>
    <w:rsid w:val="00E926FE"/>
    <w:rsid w:val="00E9549A"/>
    <w:rsid w:val="00E96630"/>
    <w:rsid w:val="00E97C34"/>
    <w:rsid w:val="00EA0EE1"/>
    <w:rsid w:val="00EA1FC5"/>
    <w:rsid w:val="00EA72F7"/>
    <w:rsid w:val="00EB0B78"/>
    <w:rsid w:val="00EB0C20"/>
    <w:rsid w:val="00EB2E8A"/>
    <w:rsid w:val="00EB52E5"/>
    <w:rsid w:val="00EB53A4"/>
    <w:rsid w:val="00EB61D5"/>
    <w:rsid w:val="00EB7641"/>
    <w:rsid w:val="00EC006E"/>
    <w:rsid w:val="00EC470F"/>
    <w:rsid w:val="00EC564C"/>
    <w:rsid w:val="00ED0269"/>
    <w:rsid w:val="00ED19B9"/>
    <w:rsid w:val="00ED1BDD"/>
    <w:rsid w:val="00ED4656"/>
    <w:rsid w:val="00ED4A6B"/>
    <w:rsid w:val="00ED7A2A"/>
    <w:rsid w:val="00EE005D"/>
    <w:rsid w:val="00EE1D7B"/>
    <w:rsid w:val="00EE216E"/>
    <w:rsid w:val="00EE2DAC"/>
    <w:rsid w:val="00EE3379"/>
    <w:rsid w:val="00EE537B"/>
    <w:rsid w:val="00EF1191"/>
    <w:rsid w:val="00EF1525"/>
    <w:rsid w:val="00EF1D7F"/>
    <w:rsid w:val="00EF755C"/>
    <w:rsid w:val="00F0002D"/>
    <w:rsid w:val="00F05843"/>
    <w:rsid w:val="00F0685F"/>
    <w:rsid w:val="00F1019C"/>
    <w:rsid w:val="00F105D8"/>
    <w:rsid w:val="00F11AB5"/>
    <w:rsid w:val="00F20A8A"/>
    <w:rsid w:val="00F22B39"/>
    <w:rsid w:val="00F235C4"/>
    <w:rsid w:val="00F25541"/>
    <w:rsid w:val="00F26469"/>
    <w:rsid w:val="00F26593"/>
    <w:rsid w:val="00F276B4"/>
    <w:rsid w:val="00F3289B"/>
    <w:rsid w:val="00F34539"/>
    <w:rsid w:val="00F34CE2"/>
    <w:rsid w:val="00F36691"/>
    <w:rsid w:val="00F37323"/>
    <w:rsid w:val="00F4039E"/>
    <w:rsid w:val="00F4412E"/>
    <w:rsid w:val="00F44782"/>
    <w:rsid w:val="00F44D1C"/>
    <w:rsid w:val="00F44E43"/>
    <w:rsid w:val="00F47617"/>
    <w:rsid w:val="00F520F0"/>
    <w:rsid w:val="00F541A9"/>
    <w:rsid w:val="00F62CF1"/>
    <w:rsid w:val="00F62D9B"/>
    <w:rsid w:val="00F64144"/>
    <w:rsid w:val="00F652C1"/>
    <w:rsid w:val="00F668E3"/>
    <w:rsid w:val="00F677B2"/>
    <w:rsid w:val="00F74BEB"/>
    <w:rsid w:val="00F772CD"/>
    <w:rsid w:val="00F83356"/>
    <w:rsid w:val="00F8353B"/>
    <w:rsid w:val="00F84036"/>
    <w:rsid w:val="00F84400"/>
    <w:rsid w:val="00F85580"/>
    <w:rsid w:val="00F8565F"/>
    <w:rsid w:val="00F8582F"/>
    <w:rsid w:val="00F91005"/>
    <w:rsid w:val="00F93781"/>
    <w:rsid w:val="00F9527E"/>
    <w:rsid w:val="00F95680"/>
    <w:rsid w:val="00F96EE2"/>
    <w:rsid w:val="00F974CD"/>
    <w:rsid w:val="00F97635"/>
    <w:rsid w:val="00FA1608"/>
    <w:rsid w:val="00FA27D1"/>
    <w:rsid w:val="00FA43DD"/>
    <w:rsid w:val="00FA5869"/>
    <w:rsid w:val="00FA74D6"/>
    <w:rsid w:val="00FA7CB0"/>
    <w:rsid w:val="00FB011F"/>
    <w:rsid w:val="00FB087F"/>
    <w:rsid w:val="00FB1AD9"/>
    <w:rsid w:val="00FB3ED7"/>
    <w:rsid w:val="00FB613B"/>
    <w:rsid w:val="00FB7B2E"/>
    <w:rsid w:val="00FC4825"/>
    <w:rsid w:val="00FC5726"/>
    <w:rsid w:val="00FC573F"/>
    <w:rsid w:val="00FC68B7"/>
    <w:rsid w:val="00FC6A4D"/>
    <w:rsid w:val="00FD1260"/>
    <w:rsid w:val="00FD1CE7"/>
    <w:rsid w:val="00FD2AB0"/>
    <w:rsid w:val="00FD615B"/>
    <w:rsid w:val="00FE0B2D"/>
    <w:rsid w:val="00FE106A"/>
    <w:rsid w:val="00FE1F15"/>
    <w:rsid w:val="00FE347B"/>
    <w:rsid w:val="00FE43C4"/>
    <w:rsid w:val="00FF2337"/>
    <w:rsid w:val="00FF3160"/>
    <w:rsid w:val="00FF779C"/>
    <w:rsid w:val="00FF7C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Footnote"/>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eastAsia="zh-CN"/>
    </w:rPr>
  </w:style>
  <w:style w:type="character" w:customStyle="1" w:styleId="FootnoteTextChar1">
    <w:name w:val="Footnote Text Char1"/>
    <w:aliases w:val="5_G Char1,Footnote Text Char Char1 Char1,Footnote Text Char1 Char Char1 Char1,Footnote Text Char Char1 Char Char Char1,Footnote Text Char1 Char Char1 Char Char Char1,ft Char Char Char Char Char Char1"/>
    <w:link w:val="FootnoteText"/>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ocked/>
    <w:rsid w:val="007A48D8"/>
    <w:rPr>
      <w:rFonts w:cs="Times New Roman"/>
      <w:sz w:val="18"/>
      <w:lang w:eastAsia="en-US"/>
    </w:rPr>
  </w:style>
  <w:style w:type="paragraph" w:customStyle="1" w:styleId="NoSpacing">
    <w:name w:val="No Spacing"/>
    <w:aliases w:val="references"/>
    <w:rsid w:val="007A48D8"/>
    <w:pPr>
      <w:suppressAutoHyphens/>
      <w:spacing w:before="120" w:after="80"/>
    </w:pPr>
    <w:rPr>
      <w:rFonts w:eastAsia="Malgun Gothic"/>
      <w:sz w:val="18"/>
      <w:lang w:val="en-GB" w:eastAsia="ko-KR"/>
    </w:rPr>
  </w:style>
  <w:style w:type="paragraph" w:customStyle="1" w:styleId="referencestext">
    <w:name w:val="references_text"/>
    <w:basedOn w:val="Normal"/>
    <w:link w:val="referencestextChar"/>
    <w:rsid w:val="007A48D8"/>
    <w:pPr>
      <w:suppressAutoHyphens w:val="0"/>
      <w:autoSpaceDE w:val="0"/>
      <w:autoSpaceDN w:val="0"/>
      <w:adjustRightInd w:val="0"/>
      <w:spacing w:line="240" w:lineRule="auto"/>
      <w:ind w:left="680"/>
    </w:pPr>
    <w:rPr>
      <w:rFonts w:eastAsia="Malgun Gothic"/>
      <w:color w:val="0F243E"/>
      <w:sz w:val="18"/>
      <w:lang w:eastAsia="ko-KR"/>
    </w:rPr>
  </w:style>
  <w:style w:type="character" w:customStyle="1" w:styleId="referencestextChar">
    <w:name w:val="references_text Char"/>
    <w:link w:val="referencestext"/>
    <w:locked/>
    <w:rsid w:val="007A48D8"/>
    <w:rPr>
      <w:rFonts w:eastAsia="Malgun Gothic"/>
      <w:color w:val="0F243E"/>
      <w:sz w:val="18"/>
      <w:lang w:val="en-GB" w:eastAsia="ko-KR" w:bidi="ar-SA"/>
    </w:rPr>
  </w:style>
  <w:style w:type="character" w:styleId="Strong">
    <w:name w:val="Strong"/>
    <w:qFormat/>
    <w:rsid w:val="007A48D8"/>
    <w:rPr>
      <w:b/>
    </w:rPr>
  </w:style>
  <w:style w:type="paragraph" w:customStyle="1" w:styleId="LOIQ1">
    <w:name w:val="LOI_Q 1."/>
    <w:basedOn w:val="SingleTxtG"/>
    <w:rsid w:val="007A48D8"/>
    <w:pPr>
      <w:numPr>
        <w:numId w:val="9"/>
      </w:numPr>
      <w:adjustRightInd w:val="0"/>
      <w:ind w:left="1701" w:firstLine="0"/>
    </w:pPr>
    <w:rPr>
      <w:rFonts w:eastAsia="Malgun Gothic"/>
    </w:rPr>
  </w:style>
  <w:style w:type="paragraph" w:customStyle="1" w:styleId="LOI1">
    <w:name w:val="LOI_1."/>
    <w:basedOn w:val="LOIQ1"/>
    <w:link w:val="LOI1Char"/>
    <w:rsid w:val="007A48D8"/>
    <w:pPr>
      <w:snapToGrid w:val="0"/>
      <w:ind w:left="1134"/>
    </w:pPr>
  </w:style>
  <w:style w:type="character" w:customStyle="1" w:styleId="LOI1Char">
    <w:name w:val="LOI_1. Char"/>
    <w:link w:val="LOI1"/>
    <w:locked/>
    <w:rsid w:val="007A48D8"/>
    <w:rPr>
      <w:rFonts w:eastAsia="Malgun Gothic"/>
      <w:lang w:val="en-GB" w:eastAsia="en-US" w:bidi="ar-SA"/>
    </w:rPr>
  </w:style>
  <w:style w:type="paragraph" w:customStyle="1" w:styleId="LOIa">
    <w:name w:val="LOI_a)"/>
    <w:basedOn w:val="Normal"/>
    <w:link w:val="LOIaChar"/>
    <w:rsid w:val="007A48D8"/>
    <w:pPr>
      <w:numPr>
        <w:numId w:val="10"/>
      </w:numPr>
      <w:adjustRightInd w:val="0"/>
      <w:snapToGrid w:val="0"/>
      <w:ind w:right="1134"/>
    </w:pPr>
    <w:rPr>
      <w:rFonts w:eastAsia="Malgun Gothic"/>
      <w:lang w:eastAsia="ko-KR"/>
    </w:rPr>
  </w:style>
  <w:style w:type="character" w:customStyle="1" w:styleId="LOIaChar">
    <w:name w:val="LOI_a) Char"/>
    <w:link w:val="LOIa"/>
    <w:locked/>
    <w:rsid w:val="007A48D8"/>
    <w:rPr>
      <w:rFonts w:eastAsia="Malgun Gothic"/>
      <w:lang w:val="en-GB" w:eastAsia="ko-KR" w:bidi="ar-SA"/>
    </w:rPr>
  </w:style>
  <w:style w:type="character" w:customStyle="1" w:styleId="footnoteChar">
    <w:name w:val="footnote Char"/>
    <w:link w:val="footnote"/>
    <w:locked/>
    <w:rsid w:val="00C13750"/>
    <w:rPr>
      <w:sz w:val="18"/>
      <w:lang w:eastAsia="en-US"/>
    </w:rPr>
  </w:style>
  <w:style w:type="paragraph" w:customStyle="1" w:styleId="footnote">
    <w:name w:val="footnote"/>
    <w:basedOn w:val="FootnoteText"/>
    <w:link w:val="footnoteChar"/>
    <w:qFormat/>
    <w:rsid w:val="00C13750"/>
    <w:pPr>
      <w:widowControl w:val="0"/>
      <w:tabs>
        <w:tab w:val="clear" w:pos="1021"/>
        <w:tab w:val="right" w:pos="1020"/>
      </w:tabs>
    </w:pPr>
    <w:rPr>
      <w:lang/>
    </w:rPr>
  </w:style>
  <w:style w:type="paragraph" w:customStyle="1" w:styleId="Style1">
    <w:name w:val="Style1"/>
    <w:basedOn w:val="FootnoteText"/>
    <w:link w:val="Style1Char"/>
    <w:rsid w:val="00D22A73"/>
    <w:rPr>
      <w:rFonts w:eastAsia="SimSun"/>
    </w:rPr>
  </w:style>
  <w:style w:type="paragraph" w:customStyle="1" w:styleId="Style2">
    <w:name w:val="Style2"/>
    <w:basedOn w:val="SingleTxtG"/>
    <w:link w:val="Style2Char"/>
    <w:rsid w:val="00D22A73"/>
    <w:rPr>
      <w:rFonts w:eastAsia="SimSun"/>
    </w:rPr>
  </w:style>
  <w:style w:type="character" w:customStyle="1" w:styleId="Style1Char">
    <w:name w:val="Style1 Char"/>
    <w:link w:val="Style1"/>
    <w:locked/>
    <w:rsid w:val="00D22A73"/>
    <w:rPr>
      <w:rFonts w:eastAsia="SimSun"/>
      <w:sz w:val="18"/>
      <w:lang w:val="en-GB" w:eastAsia="en-US" w:bidi="ar-SA"/>
    </w:rPr>
  </w:style>
  <w:style w:type="character" w:customStyle="1" w:styleId="Style2Char">
    <w:name w:val="Style2 Char"/>
    <w:link w:val="Style2"/>
    <w:locked/>
    <w:rsid w:val="00D22A73"/>
    <w:rPr>
      <w:rFonts w:eastAsia="SimSun"/>
      <w:lang w:val="en-GB" w:eastAsia="en-US" w:bidi="ar-SA"/>
    </w:rPr>
  </w:style>
  <w:style w:type="character" w:customStyle="1" w:styleId="apple-converted-space">
    <w:name w:val="apple-converted-space"/>
    <w:rsid w:val="00D22A73"/>
  </w:style>
  <w:style w:type="character" w:styleId="CommentReference">
    <w:name w:val="annotation reference"/>
    <w:rsid w:val="00E32BF9"/>
    <w:rPr>
      <w:sz w:val="16"/>
      <w:szCs w:val="16"/>
    </w:rPr>
  </w:style>
  <w:style w:type="paragraph" w:styleId="CommentText">
    <w:name w:val="annotation text"/>
    <w:basedOn w:val="Normal"/>
    <w:link w:val="CommentTextChar"/>
    <w:rsid w:val="00E32BF9"/>
    <w:rPr>
      <w:lang/>
    </w:rPr>
  </w:style>
  <w:style w:type="character" w:customStyle="1" w:styleId="CommentTextChar">
    <w:name w:val="Comment Text Char"/>
    <w:link w:val="CommentText"/>
    <w:rsid w:val="00E32BF9"/>
    <w:rPr>
      <w:lang w:eastAsia="en-US"/>
    </w:rPr>
  </w:style>
  <w:style w:type="paragraph" w:styleId="CommentSubject">
    <w:name w:val="annotation subject"/>
    <w:basedOn w:val="CommentText"/>
    <w:next w:val="CommentText"/>
    <w:link w:val="CommentSubjectChar"/>
    <w:rsid w:val="00E32BF9"/>
    <w:rPr>
      <w:b/>
      <w:bCs/>
    </w:rPr>
  </w:style>
  <w:style w:type="character" w:customStyle="1" w:styleId="CommentSubjectChar">
    <w:name w:val="Comment Subject Char"/>
    <w:link w:val="CommentSubject"/>
    <w:rsid w:val="00E32BF9"/>
    <w:rPr>
      <w:b/>
      <w:bCs/>
      <w:lang w:eastAsia="en-US"/>
    </w:rPr>
  </w:style>
  <w:style w:type="character" w:customStyle="1" w:styleId="action">
    <w:name w:val="action"/>
    <w:rsid w:val="00672E02"/>
  </w:style>
</w:styles>
</file>

<file path=word/webSettings.xml><?xml version="1.0" encoding="utf-8"?>
<w:webSettings xmlns:r="http://schemas.openxmlformats.org/officeDocument/2006/relationships" xmlns:w="http://schemas.openxmlformats.org/wordprocessingml/2006/main">
  <w:divs>
    <w:div w:id="438138802">
      <w:bodyDiv w:val="1"/>
      <w:marLeft w:val="0"/>
      <w:marRight w:val="0"/>
      <w:marTop w:val="0"/>
      <w:marBottom w:val="0"/>
      <w:divBdr>
        <w:top w:val="none" w:sz="0" w:space="0" w:color="auto"/>
        <w:left w:val="none" w:sz="0" w:space="0" w:color="auto"/>
        <w:bottom w:val="none" w:sz="0" w:space="0" w:color="auto"/>
        <w:right w:val="none" w:sz="0" w:space="0" w:color="auto"/>
      </w:divBdr>
    </w:div>
    <w:div w:id="459423324">
      <w:bodyDiv w:val="1"/>
      <w:marLeft w:val="0"/>
      <w:marRight w:val="0"/>
      <w:marTop w:val="0"/>
      <w:marBottom w:val="0"/>
      <w:divBdr>
        <w:top w:val="none" w:sz="0" w:space="0" w:color="auto"/>
        <w:left w:val="none" w:sz="0" w:space="0" w:color="auto"/>
        <w:bottom w:val="none" w:sz="0" w:space="0" w:color="auto"/>
        <w:right w:val="none" w:sz="0" w:space="0" w:color="auto"/>
      </w:divBdr>
    </w:div>
    <w:div w:id="1815681632">
      <w:bodyDiv w:val="1"/>
      <w:marLeft w:val="0"/>
      <w:marRight w:val="0"/>
      <w:marTop w:val="0"/>
      <w:marBottom w:val="0"/>
      <w:divBdr>
        <w:top w:val="none" w:sz="0" w:space="0" w:color="auto"/>
        <w:left w:val="none" w:sz="0" w:space="0" w:color="auto"/>
        <w:bottom w:val="none" w:sz="0" w:space="0" w:color="auto"/>
        <w:right w:val="none" w:sz="0" w:space="0" w:color="auto"/>
      </w:divBdr>
    </w:div>
    <w:div w:id="1887520116">
      <w:bodyDiv w:val="1"/>
      <w:marLeft w:val="0"/>
      <w:marRight w:val="0"/>
      <w:marTop w:val="0"/>
      <w:marBottom w:val="0"/>
      <w:divBdr>
        <w:top w:val="none" w:sz="0" w:space="0" w:color="auto"/>
        <w:left w:val="none" w:sz="0" w:space="0" w:color="auto"/>
        <w:bottom w:val="none" w:sz="0" w:space="0" w:color="auto"/>
        <w:right w:val="none" w:sz="0" w:space="0" w:color="auto"/>
      </w:divBdr>
    </w:div>
    <w:div w:id="2092266063">
      <w:bodyDiv w:val="1"/>
      <w:marLeft w:val="0"/>
      <w:marRight w:val="0"/>
      <w:marTop w:val="0"/>
      <w:marBottom w:val="0"/>
      <w:divBdr>
        <w:top w:val="none" w:sz="0" w:space="0" w:color="auto"/>
        <w:left w:val="none" w:sz="0" w:space="0" w:color="auto"/>
        <w:bottom w:val="none" w:sz="0" w:space="0" w:color="auto"/>
        <w:right w:val="none" w:sz="0" w:space="0" w:color="auto"/>
      </w:divBdr>
    </w:div>
    <w:div w:id="21117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4754</Words>
  <Characters>27104</Characters>
  <Application>Microsoft Office Outlook</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1349788</dc:subject>
  <dc:creator>OHCHR</dc:creator>
  <cp:keywords/>
  <cp:lastModifiedBy>PAE</cp:lastModifiedBy>
  <cp:revision>2</cp:revision>
  <cp:lastPrinted>2013-12-19T13:43:00Z</cp:lastPrinted>
  <dcterms:created xsi:type="dcterms:W3CDTF">2013-12-19T14:57:00Z</dcterms:created>
  <dcterms:modified xsi:type="dcterms:W3CDTF">2013-12-19T14:57:00Z</dcterms:modified>
</cp:coreProperties>
</file>