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rsidRPr="003F0075" w14:paraId="0FA3CC06" w14:textId="77777777" w:rsidTr="00034D5B">
        <w:trPr>
          <w:trHeight w:hRule="exact" w:val="851"/>
        </w:trPr>
        <w:tc>
          <w:tcPr>
            <w:tcW w:w="1280" w:type="dxa"/>
            <w:tcBorders>
              <w:bottom w:val="single" w:sz="4" w:space="0" w:color="auto"/>
            </w:tcBorders>
          </w:tcPr>
          <w:p w14:paraId="627CD8D4" w14:textId="77777777" w:rsidR="002D5AAC" w:rsidRPr="00553EA5" w:rsidRDefault="002D5AAC" w:rsidP="00BF087B"/>
        </w:tc>
        <w:tc>
          <w:tcPr>
            <w:tcW w:w="2273" w:type="dxa"/>
            <w:tcBorders>
              <w:bottom w:val="single" w:sz="4" w:space="0" w:color="auto"/>
            </w:tcBorders>
            <w:vAlign w:val="bottom"/>
          </w:tcPr>
          <w:p w14:paraId="6A972889" w14:textId="77777777" w:rsidR="002D5AAC" w:rsidRPr="00553EA5" w:rsidRDefault="00BD33EE" w:rsidP="00BF087B">
            <w:pPr>
              <w:spacing w:after="80" w:line="300" w:lineRule="exact"/>
              <w:rPr>
                <w:sz w:val="28"/>
              </w:rPr>
            </w:pPr>
            <w:r w:rsidRPr="00553EA5">
              <w:rPr>
                <w:sz w:val="28"/>
              </w:rPr>
              <w:t>Naciones Unidas</w:t>
            </w:r>
          </w:p>
        </w:tc>
        <w:tc>
          <w:tcPr>
            <w:tcW w:w="6086" w:type="dxa"/>
            <w:gridSpan w:val="2"/>
            <w:tcBorders>
              <w:bottom w:val="single" w:sz="4" w:space="0" w:color="auto"/>
            </w:tcBorders>
            <w:vAlign w:val="bottom"/>
          </w:tcPr>
          <w:p w14:paraId="43FB02B6" w14:textId="629B7684" w:rsidR="002D5AAC" w:rsidRPr="00AF753F" w:rsidRDefault="00034D5B" w:rsidP="00034D5B">
            <w:pPr>
              <w:jc w:val="right"/>
              <w:rPr>
                <w:lang w:val="en-GB"/>
              </w:rPr>
            </w:pPr>
            <w:r w:rsidRPr="00AF753F">
              <w:rPr>
                <w:sz w:val="40"/>
                <w:lang w:val="en-GB"/>
              </w:rPr>
              <w:t>CERD</w:t>
            </w:r>
            <w:r w:rsidRPr="00AF753F">
              <w:rPr>
                <w:lang w:val="en-GB"/>
              </w:rPr>
              <w:t>/C/CUB/CO/19-21</w:t>
            </w:r>
          </w:p>
        </w:tc>
      </w:tr>
      <w:tr w:rsidR="002D5AAC" w:rsidRPr="00553EA5" w14:paraId="60C005E1" w14:textId="77777777" w:rsidTr="00034D5B">
        <w:trPr>
          <w:trHeight w:hRule="exact" w:val="2835"/>
        </w:trPr>
        <w:tc>
          <w:tcPr>
            <w:tcW w:w="1280" w:type="dxa"/>
            <w:tcBorders>
              <w:top w:val="single" w:sz="4" w:space="0" w:color="auto"/>
              <w:bottom w:val="single" w:sz="12" w:space="0" w:color="auto"/>
            </w:tcBorders>
          </w:tcPr>
          <w:p w14:paraId="19D6B5BC" w14:textId="77777777" w:rsidR="002D5AAC" w:rsidRPr="00553EA5" w:rsidRDefault="000B40C9" w:rsidP="00BF087B">
            <w:pPr>
              <w:spacing w:before="120"/>
              <w:jc w:val="center"/>
            </w:pPr>
            <w:r w:rsidRPr="00553EA5">
              <w:rPr>
                <w:noProof/>
                <w:lang w:eastAsia="zh-CN"/>
              </w:rPr>
              <w:drawing>
                <wp:inline distT="0" distB="0" distL="0" distR="0" wp14:anchorId="7510134E" wp14:editId="04C19239">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D069F93" w14:textId="011E8378" w:rsidR="002D5AAC" w:rsidRPr="00553EA5" w:rsidRDefault="00160FF7" w:rsidP="00422248">
            <w:pPr>
              <w:spacing w:before="120" w:line="380" w:lineRule="exact"/>
              <w:rPr>
                <w:b/>
                <w:sz w:val="34"/>
                <w:szCs w:val="34"/>
              </w:rPr>
            </w:pPr>
            <w:r w:rsidRPr="00553EA5">
              <w:rPr>
                <w:b/>
                <w:sz w:val="34"/>
                <w:szCs w:val="34"/>
              </w:rPr>
              <w:t>Convención Internacional sobre</w:t>
            </w:r>
            <w:r w:rsidRPr="00553EA5">
              <w:rPr>
                <w:b/>
                <w:sz w:val="34"/>
                <w:szCs w:val="34"/>
              </w:rPr>
              <w:br/>
              <w:t xml:space="preserve">la Eliminación de </w:t>
            </w:r>
            <w:r w:rsidR="00B4770A">
              <w:rPr>
                <w:b/>
                <w:sz w:val="34"/>
                <w:szCs w:val="34"/>
              </w:rPr>
              <w:t>T</w:t>
            </w:r>
            <w:r w:rsidRPr="00553EA5">
              <w:rPr>
                <w:b/>
                <w:sz w:val="34"/>
                <w:szCs w:val="34"/>
              </w:rPr>
              <w:t>odas las Formas</w:t>
            </w:r>
            <w:r w:rsidRPr="00553EA5">
              <w:rPr>
                <w:b/>
                <w:sz w:val="34"/>
                <w:szCs w:val="34"/>
              </w:rPr>
              <w:br/>
              <w:t>de Discriminación Racial</w:t>
            </w:r>
          </w:p>
        </w:tc>
        <w:tc>
          <w:tcPr>
            <w:tcW w:w="2819" w:type="dxa"/>
            <w:tcBorders>
              <w:top w:val="single" w:sz="4" w:space="0" w:color="auto"/>
              <w:bottom w:val="single" w:sz="12" w:space="0" w:color="auto"/>
            </w:tcBorders>
          </w:tcPr>
          <w:p w14:paraId="62249FAB" w14:textId="260F06E8" w:rsidR="002D5AAC" w:rsidRPr="00553EA5" w:rsidRDefault="00034D5B" w:rsidP="0081636D">
            <w:pPr>
              <w:spacing w:before="240" w:line="240" w:lineRule="exact"/>
            </w:pPr>
            <w:r w:rsidRPr="00553EA5">
              <w:t xml:space="preserve">Distr. </w:t>
            </w:r>
            <w:r w:rsidR="008E71A7">
              <w:t>general</w:t>
            </w:r>
          </w:p>
          <w:p w14:paraId="320E5816" w14:textId="70086464" w:rsidR="00034D5B" w:rsidRPr="00553EA5" w:rsidRDefault="009B2AC5" w:rsidP="001B35A1">
            <w:pPr>
              <w:spacing w:line="240" w:lineRule="exact"/>
            </w:pPr>
            <w:r>
              <w:t>20</w:t>
            </w:r>
            <w:r w:rsidR="00323A68">
              <w:t xml:space="preserve"> </w:t>
            </w:r>
            <w:r w:rsidR="00874284" w:rsidRPr="00553EA5">
              <w:t xml:space="preserve">de </w:t>
            </w:r>
            <w:r w:rsidR="00A12742">
              <w:t>septiembre</w:t>
            </w:r>
            <w:r w:rsidR="004C2993" w:rsidRPr="00553EA5">
              <w:t xml:space="preserve"> de</w:t>
            </w:r>
            <w:r w:rsidR="00034D5B" w:rsidRPr="00553EA5">
              <w:t xml:space="preserve"> 2018</w:t>
            </w:r>
          </w:p>
          <w:p w14:paraId="6B560C39" w14:textId="77777777" w:rsidR="00034D5B" w:rsidRPr="00553EA5" w:rsidRDefault="00034D5B" w:rsidP="00034D5B">
            <w:pPr>
              <w:spacing w:line="240" w:lineRule="exact"/>
            </w:pPr>
          </w:p>
          <w:p w14:paraId="5F1FC471" w14:textId="73792749" w:rsidR="00B4599D" w:rsidRPr="00553EA5" w:rsidRDefault="00034D5B" w:rsidP="00034D5B">
            <w:pPr>
              <w:spacing w:line="240" w:lineRule="exact"/>
            </w:pPr>
            <w:r w:rsidRPr="00553EA5">
              <w:t>Original: español</w:t>
            </w:r>
          </w:p>
        </w:tc>
      </w:tr>
    </w:tbl>
    <w:p w14:paraId="41AE78FB" w14:textId="77777777" w:rsidR="00034D5B" w:rsidRPr="00553EA5" w:rsidRDefault="00034D5B" w:rsidP="00034D5B">
      <w:pPr>
        <w:spacing w:before="120"/>
        <w:rPr>
          <w:b/>
          <w:sz w:val="24"/>
        </w:rPr>
      </w:pPr>
      <w:r w:rsidRPr="00553EA5">
        <w:rPr>
          <w:b/>
          <w:sz w:val="24"/>
        </w:rPr>
        <w:t>Comité para la Eliminación de la Discriminación Racial</w:t>
      </w:r>
    </w:p>
    <w:p w14:paraId="603A0D0B" w14:textId="135DDD2D" w:rsidR="00034D5B" w:rsidRPr="00553EA5" w:rsidRDefault="00034D5B">
      <w:pPr>
        <w:pStyle w:val="HChG"/>
      </w:pPr>
      <w:r w:rsidRPr="00553EA5">
        <w:tab/>
      </w:r>
      <w:r w:rsidRPr="00553EA5">
        <w:tab/>
        <w:t xml:space="preserve">Observaciones finales sobre los informes periódicos 19º </w:t>
      </w:r>
      <w:r w:rsidR="004929FF">
        <w:t>a</w:t>
      </w:r>
      <w:r w:rsidRPr="00553EA5">
        <w:t xml:space="preserve"> 21º combinados del Cuba</w:t>
      </w:r>
      <w:r w:rsidR="001F5A53" w:rsidRPr="00715552">
        <w:rPr>
          <w:rStyle w:val="Refdenotaalpie"/>
          <w:b w:val="0"/>
          <w:sz w:val="20"/>
          <w:vertAlign w:val="baseline"/>
        </w:rPr>
        <w:footnoteReference w:customMarkFollows="1" w:id="1"/>
        <w:t>*</w:t>
      </w:r>
    </w:p>
    <w:p w14:paraId="36F8E78E" w14:textId="584CE4BD" w:rsidR="00034D5B" w:rsidRPr="00553EA5" w:rsidRDefault="00DF7357" w:rsidP="00715552">
      <w:pPr>
        <w:pStyle w:val="SingleTxtG"/>
      </w:pPr>
      <w:r>
        <w:t>1.</w:t>
      </w:r>
      <w:r>
        <w:tab/>
      </w:r>
      <w:r w:rsidR="00034D5B" w:rsidRPr="00553EA5">
        <w:t xml:space="preserve">El Comité </w:t>
      </w:r>
      <w:r w:rsidR="00034D5B" w:rsidRPr="00553EA5">
        <w:rPr>
          <w:spacing w:val="3"/>
        </w:rPr>
        <w:t>e</w:t>
      </w:r>
      <w:r w:rsidR="00034D5B" w:rsidRPr="00553EA5">
        <w:rPr>
          <w:spacing w:val="-1"/>
        </w:rPr>
        <w:t>x</w:t>
      </w:r>
      <w:r w:rsidR="00034D5B" w:rsidRPr="00553EA5">
        <w:rPr>
          <w:spacing w:val="3"/>
        </w:rPr>
        <w:t>a</w:t>
      </w:r>
      <w:r w:rsidR="00034D5B" w:rsidRPr="00553EA5">
        <w:rPr>
          <w:spacing w:val="-1"/>
        </w:rPr>
        <w:t>m</w:t>
      </w:r>
      <w:r w:rsidR="00034D5B" w:rsidRPr="00553EA5">
        <w:t>i</w:t>
      </w:r>
      <w:r w:rsidR="00034D5B" w:rsidRPr="00553EA5">
        <w:rPr>
          <w:spacing w:val="-1"/>
        </w:rPr>
        <w:t>n</w:t>
      </w:r>
      <w:r w:rsidR="00034D5B" w:rsidRPr="00553EA5">
        <w:t>ó</w:t>
      </w:r>
      <w:r w:rsidR="00034D5B" w:rsidRPr="00553EA5">
        <w:rPr>
          <w:spacing w:val="5"/>
        </w:rPr>
        <w:t xml:space="preserve"> </w:t>
      </w:r>
      <w:r w:rsidR="00034D5B" w:rsidRPr="00553EA5">
        <w:t>l</w:t>
      </w:r>
      <w:r w:rsidR="00034D5B" w:rsidRPr="00553EA5">
        <w:rPr>
          <w:spacing w:val="3"/>
        </w:rPr>
        <w:t>o</w:t>
      </w:r>
      <w:r w:rsidR="00034D5B" w:rsidRPr="00553EA5">
        <w:t>s</w:t>
      </w:r>
      <w:r w:rsidR="00034D5B" w:rsidRPr="00553EA5">
        <w:rPr>
          <w:spacing w:val="7"/>
        </w:rPr>
        <w:t xml:space="preserve"> </w:t>
      </w:r>
      <w:r w:rsidR="00034D5B" w:rsidRPr="00553EA5">
        <w:rPr>
          <w:spacing w:val="2"/>
        </w:rPr>
        <w:t>i</w:t>
      </w:r>
      <w:r w:rsidR="00034D5B" w:rsidRPr="00553EA5">
        <w:rPr>
          <w:spacing w:val="-1"/>
        </w:rPr>
        <w:t>n</w:t>
      </w:r>
      <w:r w:rsidR="00034D5B" w:rsidRPr="00553EA5">
        <w:rPr>
          <w:spacing w:val="-2"/>
        </w:rPr>
        <w:t>f</w:t>
      </w:r>
      <w:r w:rsidR="00034D5B" w:rsidRPr="00553EA5">
        <w:rPr>
          <w:spacing w:val="1"/>
        </w:rPr>
        <w:t>o</w:t>
      </w:r>
      <w:r w:rsidR="00034D5B" w:rsidRPr="00553EA5">
        <w:rPr>
          <w:spacing w:val="3"/>
        </w:rPr>
        <w:t>r</w:t>
      </w:r>
      <w:r w:rsidR="00034D5B" w:rsidRPr="00553EA5">
        <w:rPr>
          <w:spacing w:val="-1"/>
        </w:rPr>
        <w:t>m</w:t>
      </w:r>
      <w:r w:rsidR="00034D5B" w:rsidRPr="00553EA5">
        <w:t>es</w:t>
      </w:r>
      <w:r w:rsidR="00034D5B" w:rsidRPr="00553EA5">
        <w:rPr>
          <w:spacing w:val="5"/>
        </w:rPr>
        <w:t xml:space="preserve"> </w:t>
      </w:r>
      <w:r w:rsidR="00034D5B" w:rsidRPr="00553EA5">
        <w:rPr>
          <w:spacing w:val="1"/>
        </w:rPr>
        <w:t>p</w:t>
      </w:r>
      <w:r w:rsidR="00034D5B" w:rsidRPr="00553EA5">
        <w:t>e</w:t>
      </w:r>
      <w:r w:rsidR="00034D5B" w:rsidRPr="00553EA5">
        <w:rPr>
          <w:spacing w:val="1"/>
        </w:rPr>
        <w:t>r</w:t>
      </w:r>
      <w:r w:rsidR="00034D5B" w:rsidRPr="00553EA5">
        <w:t>i</w:t>
      </w:r>
      <w:r w:rsidR="00034D5B" w:rsidRPr="00553EA5">
        <w:rPr>
          <w:spacing w:val="1"/>
        </w:rPr>
        <w:t>ód</w:t>
      </w:r>
      <w:r w:rsidR="00034D5B" w:rsidRPr="00553EA5">
        <w:t>ic</w:t>
      </w:r>
      <w:r w:rsidR="00034D5B" w:rsidRPr="00553EA5">
        <w:rPr>
          <w:spacing w:val="1"/>
        </w:rPr>
        <w:t>o</w:t>
      </w:r>
      <w:r w:rsidR="00034D5B" w:rsidRPr="00553EA5">
        <w:t>s</w:t>
      </w:r>
      <w:r w:rsidR="00034D5B" w:rsidRPr="00553EA5">
        <w:rPr>
          <w:spacing w:val="1"/>
        </w:rPr>
        <w:t xml:space="preserve"> </w:t>
      </w:r>
      <w:r w:rsidR="00670565" w:rsidRPr="00553EA5">
        <w:rPr>
          <w:spacing w:val="1"/>
        </w:rPr>
        <w:t>19</w:t>
      </w:r>
      <w:r w:rsidR="00034D5B" w:rsidRPr="00553EA5">
        <w:t>º</w:t>
      </w:r>
      <w:r w:rsidR="00034D5B" w:rsidRPr="00553EA5">
        <w:rPr>
          <w:spacing w:val="11"/>
        </w:rPr>
        <w:t xml:space="preserve"> </w:t>
      </w:r>
      <w:r w:rsidR="004929FF">
        <w:rPr>
          <w:spacing w:val="11"/>
        </w:rPr>
        <w:t>a</w:t>
      </w:r>
      <w:r w:rsidR="00034D5B" w:rsidRPr="00553EA5">
        <w:rPr>
          <w:spacing w:val="6"/>
        </w:rPr>
        <w:t xml:space="preserve"> </w:t>
      </w:r>
      <w:r w:rsidR="00670565" w:rsidRPr="00553EA5">
        <w:rPr>
          <w:spacing w:val="6"/>
        </w:rPr>
        <w:t>21</w:t>
      </w:r>
      <w:r w:rsidR="00034D5B" w:rsidRPr="00553EA5">
        <w:t>º</w:t>
      </w:r>
      <w:r w:rsidR="00034D5B" w:rsidRPr="00553EA5">
        <w:rPr>
          <w:spacing w:val="11"/>
        </w:rPr>
        <w:t xml:space="preserve"> </w:t>
      </w:r>
      <w:r w:rsidR="00034D5B" w:rsidRPr="00553EA5">
        <w:t>c</w:t>
      </w:r>
      <w:r w:rsidR="00034D5B" w:rsidRPr="00553EA5">
        <w:rPr>
          <w:spacing w:val="-1"/>
        </w:rPr>
        <w:t>o</w:t>
      </w:r>
      <w:r w:rsidR="00034D5B" w:rsidRPr="00553EA5">
        <w:rPr>
          <w:spacing w:val="-4"/>
        </w:rPr>
        <w:t>m</w:t>
      </w:r>
      <w:r w:rsidR="00034D5B" w:rsidRPr="00553EA5">
        <w:rPr>
          <w:spacing w:val="3"/>
        </w:rPr>
        <w:t>b</w:t>
      </w:r>
      <w:r w:rsidR="00034D5B" w:rsidRPr="00553EA5">
        <w:t>i</w:t>
      </w:r>
      <w:r w:rsidR="00034D5B" w:rsidRPr="00553EA5">
        <w:rPr>
          <w:spacing w:val="-1"/>
        </w:rPr>
        <w:t>n</w:t>
      </w:r>
      <w:r w:rsidR="00034D5B" w:rsidRPr="00553EA5">
        <w:t>a</w:t>
      </w:r>
      <w:r w:rsidR="00034D5B" w:rsidRPr="00553EA5">
        <w:rPr>
          <w:spacing w:val="1"/>
        </w:rPr>
        <w:t>do</w:t>
      </w:r>
      <w:r w:rsidR="00034D5B" w:rsidRPr="00553EA5">
        <w:t xml:space="preserve">s </w:t>
      </w:r>
      <w:r w:rsidR="00034D5B" w:rsidRPr="00553EA5">
        <w:rPr>
          <w:spacing w:val="1"/>
        </w:rPr>
        <w:t>d</w:t>
      </w:r>
      <w:r w:rsidR="00034D5B" w:rsidRPr="00553EA5">
        <w:t>e</w:t>
      </w:r>
      <w:r w:rsidR="00034D5B" w:rsidRPr="00553EA5">
        <w:rPr>
          <w:spacing w:val="-1"/>
        </w:rPr>
        <w:t xml:space="preserve"> </w:t>
      </w:r>
      <w:r w:rsidR="00670565" w:rsidRPr="00553EA5">
        <w:rPr>
          <w:spacing w:val="-1"/>
        </w:rPr>
        <w:t>Cuba</w:t>
      </w:r>
      <w:r w:rsidR="00034D5B" w:rsidRPr="00553EA5">
        <w:t xml:space="preserve">, </w:t>
      </w:r>
      <w:r w:rsidR="00034D5B" w:rsidRPr="00553EA5">
        <w:rPr>
          <w:spacing w:val="1"/>
        </w:rPr>
        <w:t>pr</w:t>
      </w:r>
      <w:r w:rsidR="00034D5B" w:rsidRPr="00553EA5">
        <w:t>ese</w:t>
      </w:r>
      <w:r w:rsidR="00034D5B" w:rsidRPr="00553EA5">
        <w:rPr>
          <w:spacing w:val="-1"/>
        </w:rPr>
        <w:t>n</w:t>
      </w:r>
      <w:r w:rsidR="00034D5B" w:rsidRPr="00553EA5">
        <w:t>ta</w:t>
      </w:r>
      <w:r w:rsidR="00034D5B" w:rsidRPr="00553EA5">
        <w:rPr>
          <w:spacing w:val="1"/>
        </w:rPr>
        <w:t>do</w:t>
      </w:r>
      <w:r w:rsidR="00034D5B" w:rsidRPr="00553EA5">
        <w:t>s</w:t>
      </w:r>
      <w:r w:rsidR="00034D5B" w:rsidRPr="00553EA5">
        <w:rPr>
          <w:spacing w:val="-5"/>
        </w:rPr>
        <w:t xml:space="preserve"> </w:t>
      </w:r>
      <w:r w:rsidR="00034D5B" w:rsidRPr="00553EA5">
        <w:t>en</w:t>
      </w:r>
      <w:r w:rsidR="00034D5B" w:rsidRPr="00553EA5">
        <w:rPr>
          <w:spacing w:val="5"/>
        </w:rPr>
        <w:t xml:space="preserve"> </w:t>
      </w:r>
      <w:r w:rsidR="00034D5B" w:rsidRPr="00553EA5">
        <w:rPr>
          <w:spacing w:val="-1"/>
        </w:rPr>
        <w:t>u</w:t>
      </w:r>
      <w:r w:rsidR="00034D5B" w:rsidRPr="00553EA5">
        <w:t>n</w:t>
      </w:r>
      <w:r w:rsidR="00034D5B" w:rsidRPr="00553EA5">
        <w:rPr>
          <w:spacing w:val="4"/>
        </w:rPr>
        <w:t xml:space="preserve"> </w:t>
      </w:r>
      <w:r w:rsidR="00034D5B" w:rsidRPr="00553EA5">
        <w:rPr>
          <w:spacing w:val="-1"/>
        </w:rPr>
        <w:t>ú</w:t>
      </w:r>
      <w:r w:rsidR="00034D5B" w:rsidRPr="00553EA5">
        <w:rPr>
          <w:spacing w:val="1"/>
        </w:rPr>
        <w:t>n</w:t>
      </w:r>
      <w:r w:rsidR="00034D5B" w:rsidRPr="00553EA5">
        <w:t>ico</w:t>
      </w:r>
      <w:r w:rsidR="00034D5B" w:rsidRPr="00553EA5">
        <w:rPr>
          <w:spacing w:val="2"/>
        </w:rPr>
        <w:t xml:space="preserve"> </w:t>
      </w:r>
      <w:r w:rsidR="00034D5B" w:rsidRPr="00553EA5">
        <w:rPr>
          <w:spacing w:val="1"/>
        </w:rPr>
        <w:t>do</w:t>
      </w:r>
      <w:r w:rsidR="00034D5B" w:rsidRPr="00553EA5">
        <w:t>c</w:t>
      </w:r>
      <w:r w:rsidR="00034D5B" w:rsidRPr="00553EA5">
        <w:rPr>
          <w:spacing w:val="-1"/>
        </w:rPr>
        <w:t>um</w:t>
      </w:r>
      <w:r w:rsidR="00034D5B" w:rsidRPr="00553EA5">
        <w:t>e</w:t>
      </w:r>
      <w:r w:rsidR="00034D5B" w:rsidRPr="00553EA5">
        <w:rPr>
          <w:spacing w:val="1"/>
        </w:rPr>
        <w:t>n</w:t>
      </w:r>
      <w:r w:rsidR="00034D5B" w:rsidRPr="00553EA5">
        <w:t>to</w:t>
      </w:r>
      <w:r w:rsidR="00034D5B" w:rsidRPr="00553EA5">
        <w:rPr>
          <w:spacing w:val="-3"/>
        </w:rPr>
        <w:t xml:space="preserve"> </w:t>
      </w:r>
      <w:r w:rsidR="00034D5B" w:rsidRPr="00553EA5">
        <w:rPr>
          <w:spacing w:val="1"/>
        </w:rPr>
        <w:t>(</w:t>
      </w:r>
      <w:r w:rsidR="00034D5B" w:rsidRPr="00553EA5">
        <w:rPr>
          <w:spacing w:val="-1"/>
        </w:rPr>
        <w:t>C</w:t>
      </w:r>
      <w:r w:rsidR="00034D5B" w:rsidRPr="00553EA5">
        <w:t>E</w:t>
      </w:r>
      <w:r w:rsidR="00034D5B" w:rsidRPr="00553EA5">
        <w:rPr>
          <w:spacing w:val="-1"/>
        </w:rPr>
        <w:t>R</w:t>
      </w:r>
      <w:r w:rsidR="00034D5B" w:rsidRPr="00553EA5">
        <w:t>D</w:t>
      </w:r>
      <w:r w:rsidR="00034D5B" w:rsidRPr="00553EA5">
        <w:rPr>
          <w:spacing w:val="2"/>
        </w:rPr>
        <w:t>/</w:t>
      </w:r>
      <w:r w:rsidR="008F1CF5" w:rsidRPr="00553EA5">
        <w:rPr>
          <w:spacing w:val="2"/>
        </w:rPr>
        <w:t>C/CUB/19-21</w:t>
      </w:r>
      <w:r w:rsidR="00034D5B" w:rsidRPr="00553EA5">
        <w:rPr>
          <w:spacing w:val="1"/>
        </w:rPr>
        <w:t>)</w:t>
      </w:r>
      <w:r w:rsidR="00034D5B" w:rsidRPr="00553EA5">
        <w:t>,</w:t>
      </w:r>
      <w:r w:rsidR="00034D5B" w:rsidRPr="00553EA5">
        <w:rPr>
          <w:spacing w:val="-14"/>
        </w:rPr>
        <w:t xml:space="preserve"> </w:t>
      </w:r>
      <w:r w:rsidR="00034D5B" w:rsidRPr="00553EA5">
        <w:t>en</w:t>
      </w:r>
      <w:r w:rsidR="00034D5B" w:rsidRPr="00553EA5">
        <w:rPr>
          <w:spacing w:val="2"/>
        </w:rPr>
        <w:t xml:space="preserve"> s</w:t>
      </w:r>
      <w:r w:rsidR="00034D5B" w:rsidRPr="00553EA5">
        <w:rPr>
          <w:spacing w:val="-1"/>
        </w:rPr>
        <w:t>u</w:t>
      </w:r>
      <w:r w:rsidR="00034D5B" w:rsidRPr="00553EA5">
        <w:t>s</w:t>
      </w:r>
      <w:r w:rsidR="00034D5B" w:rsidRPr="00553EA5">
        <w:rPr>
          <w:spacing w:val="1"/>
        </w:rPr>
        <w:t xml:space="preserve"> </w:t>
      </w:r>
      <w:r w:rsidR="00034D5B" w:rsidRPr="00553EA5">
        <w:rPr>
          <w:spacing w:val="-1"/>
        </w:rPr>
        <w:t>s</w:t>
      </w:r>
      <w:r w:rsidR="00034D5B" w:rsidRPr="00553EA5">
        <w:rPr>
          <w:spacing w:val="3"/>
        </w:rPr>
        <w:t>e</w:t>
      </w:r>
      <w:r w:rsidR="00034D5B" w:rsidRPr="00553EA5">
        <w:rPr>
          <w:spacing w:val="-1"/>
        </w:rPr>
        <w:t>s</w:t>
      </w:r>
      <w:r w:rsidR="00034D5B" w:rsidRPr="00553EA5">
        <w:t>i</w:t>
      </w:r>
      <w:r w:rsidR="00034D5B" w:rsidRPr="00553EA5">
        <w:rPr>
          <w:spacing w:val="1"/>
        </w:rPr>
        <w:t>o</w:t>
      </w:r>
      <w:r w:rsidR="00034D5B" w:rsidRPr="00553EA5">
        <w:rPr>
          <w:spacing w:val="-1"/>
        </w:rPr>
        <w:t>n</w:t>
      </w:r>
      <w:r w:rsidR="00034D5B" w:rsidRPr="00553EA5">
        <w:rPr>
          <w:spacing w:val="3"/>
        </w:rPr>
        <w:t>e</w:t>
      </w:r>
      <w:r w:rsidR="00034D5B" w:rsidRPr="00553EA5">
        <w:t>s</w:t>
      </w:r>
      <w:r w:rsidR="00034D5B" w:rsidRPr="00553EA5">
        <w:rPr>
          <w:spacing w:val="-1"/>
        </w:rPr>
        <w:t xml:space="preserve"> </w:t>
      </w:r>
      <w:r w:rsidR="00670565" w:rsidRPr="00553EA5">
        <w:rPr>
          <w:spacing w:val="1"/>
        </w:rPr>
        <w:t>2660</w:t>
      </w:r>
      <w:r w:rsidR="00034D5B" w:rsidRPr="00553EA5">
        <w:t>ª y</w:t>
      </w:r>
      <w:r w:rsidR="00034D5B" w:rsidRPr="00553EA5">
        <w:rPr>
          <w:spacing w:val="-4"/>
        </w:rPr>
        <w:t xml:space="preserve"> </w:t>
      </w:r>
      <w:r w:rsidR="00670565" w:rsidRPr="00553EA5">
        <w:rPr>
          <w:spacing w:val="1"/>
        </w:rPr>
        <w:t>2661</w:t>
      </w:r>
      <w:r w:rsidR="00034D5B" w:rsidRPr="00553EA5">
        <w:t xml:space="preserve">ª </w:t>
      </w:r>
      <w:r w:rsidR="00034D5B" w:rsidRPr="00553EA5">
        <w:rPr>
          <w:spacing w:val="1"/>
        </w:rPr>
        <w:t>(</w:t>
      </w:r>
      <w:r w:rsidR="00B51815" w:rsidRPr="00C71A3F">
        <w:rPr>
          <w:spacing w:val="-1"/>
          <w:lang w:val="es-ES_tradnl"/>
        </w:rPr>
        <w:t>C</w:t>
      </w:r>
      <w:r w:rsidR="00B51815" w:rsidRPr="00C71A3F">
        <w:rPr>
          <w:lang w:val="es-ES_tradnl"/>
        </w:rPr>
        <w:t>E</w:t>
      </w:r>
      <w:r w:rsidR="00B51815" w:rsidRPr="00C71A3F">
        <w:rPr>
          <w:spacing w:val="-1"/>
          <w:lang w:val="es-ES_tradnl"/>
        </w:rPr>
        <w:t>R</w:t>
      </w:r>
      <w:r w:rsidR="00B51815" w:rsidRPr="00C71A3F">
        <w:rPr>
          <w:lang w:val="es-ES_tradnl"/>
        </w:rPr>
        <w:t>D</w:t>
      </w:r>
      <w:r w:rsidR="00B51815" w:rsidRPr="00C71A3F">
        <w:rPr>
          <w:spacing w:val="2"/>
          <w:lang w:val="es-ES_tradnl"/>
        </w:rPr>
        <w:t>/</w:t>
      </w:r>
      <w:r w:rsidR="00B51815" w:rsidRPr="00C71A3F">
        <w:rPr>
          <w:spacing w:val="-1"/>
          <w:lang w:val="es-ES_tradnl"/>
        </w:rPr>
        <w:t>C</w:t>
      </w:r>
      <w:r w:rsidR="00B51815" w:rsidRPr="00C71A3F">
        <w:rPr>
          <w:lang w:val="es-ES_tradnl"/>
        </w:rPr>
        <w:t>/SR.2660 y 2661</w:t>
      </w:r>
      <w:r w:rsidR="00034D5B" w:rsidRPr="00553EA5">
        <w:rPr>
          <w:spacing w:val="1"/>
        </w:rPr>
        <w:t>)</w:t>
      </w:r>
      <w:r w:rsidR="00034D5B" w:rsidRPr="00553EA5">
        <w:t>,</w:t>
      </w:r>
      <w:r w:rsidR="00034D5B" w:rsidRPr="00553EA5">
        <w:rPr>
          <w:spacing w:val="12"/>
        </w:rPr>
        <w:t xml:space="preserve"> </w:t>
      </w:r>
      <w:r w:rsidR="00034D5B" w:rsidRPr="00553EA5">
        <w:rPr>
          <w:spacing w:val="-2"/>
        </w:rPr>
        <w:t>c</w:t>
      </w:r>
      <w:r w:rsidR="00034D5B" w:rsidRPr="00553EA5">
        <w:t>ele</w:t>
      </w:r>
      <w:r w:rsidR="00034D5B" w:rsidRPr="00553EA5">
        <w:rPr>
          <w:spacing w:val="2"/>
        </w:rPr>
        <w:t>b</w:t>
      </w:r>
      <w:r w:rsidR="00034D5B" w:rsidRPr="00553EA5">
        <w:rPr>
          <w:spacing w:val="1"/>
        </w:rPr>
        <w:t>r</w:t>
      </w:r>
      <w:r w:rsidR="00034D5B" w:rsidRPr="00553EA5">
        <w:t>a</w:t>
      </w:r>
      <w:r w:rsidR="00034D5B" w:rsidRPr="00553EA5">
        <w:rPr>
          <w:spacing w:val="1"/>
        </w:rPr>
        <w:t>d</w:t>
      </w:r>
      <w:r w:rsidR="00034D5B" w:rsidRPr="00553EA5">
        <w:t>as</w:t>
      </w:r>
      <w:r w:rsidR="00034D5B" w:rsidRPr="00553EA5">
        <w:rPr>
          <w:spacing w:val="9"/>
        </w:rPr>
        <w:t xml:space="preserve"> </w:t>
      </w:r>
      <w:r w:rsidR="00034D5B" w:rsidRPr="00553EA5">
        <w:t>l</w:t>
      </w:r>
      <w:r w:rsidR="00034D5B" w:rsidRPr="00553EA5">
        <w:rPr>
          <w:spacing w:val="1"/>
        </w:rPr>
        <w:t>o</w:t>
      </w:r>
      <w:r w:rsidR="00034D5B" w:rsidRPr="00553EA5">
        <w:t>s</w:t>
      </w:r>
      <w:r w:rsidR="00034D5B" w:rsidRPr="00553EA5">
        <w:rPr>
          <w:spacing w:val="14"/>
        </w:rPr>
        <w:t xml:space="preserve"> </w:t>
      </w:r>
      <w:r w:rsidR="00034D5B" w:rsidRPr="00553EA5">
        <w:rPr>
          <w:spacing w:val="1"/>
        </w:rPr>
        <w:t>d</w:t>
      </w:r>
      <w:r w:rsidR="00034D5B" w:rsidRPr="00553EA5">
        <w:t>ías</w:t>
      </w:r>
      <w:r w:rsidR="00034D5B" w:rsidRPr="00553EA5">
        <w:rPr>
          <w:spacing w:val="14"/>
        </w:rPr>
        <w:t xml:space="preserve"> </w:t>
      </w:r>
      <w:r w:rsidR="00670565" w:rsidRPr="00553EA5">
        <w:rPr>
          <w:spacing w:val="19"/>
        </w:rPr>
        <w:t xml:space="preserve">15 </w:t>
      </w:r>
      <w:r w:rsidR="00034D5B" w:rsidRPr="00553EA5">
        <w:t>y</w:t>
      </w:r>
      <w:r w:rsidR="00034D5B" w:rsidRPr="00553EA5">
        <w:rPr>
          <w:spacing w:val="15"/>
        </w:rPr>
        <w:t xml:space="preserve"> </w:t>
      </w:r>
      <w:r w:rsidR="00670565" w:rsidRPr="00553EA5">
        <w:rPr>
          <w:spacing w:val="15"/>
        </w:rPr>
        <w:t xml:space="preserve">16 </w:t>
      </w:r>
      <w:r w:rsidR="00034D5B" w:rsidRPr="00553EA5">
        <w:rPr>
          <w:spacing w:val="1"/>
        </w:rPr>
        <w:t>d</w:t>
      </w:r>
      <w:r w:rsidR="00034D5B" w:rsidRPr="00553EA5">
        <w:t>e</w:t>
      </w:r>
      <w:r w:rsidR="00034D5B" w:rsidRPr="00553EA5">
        <w:rPr>
          <w:spacing w:val="15"/>
        </w:rPr>
        <w:t xml:space="preserve"> </w:t>
      </w:r>
      <w:r w:rsidR="00034D5B" w:rsidRPr="00553EA5">
        <w:rPr>
          <w:spacing w:val="3"/>
        </w:rPr>
        <w:t>a</w:t>
      </w:r>
      <w:r w:rsidR="00034D5B" w:rsidRPr="00553EA5">
        <w:rPr>
          <w:spacing w:val="-1"/>
        </w:rPr>
        <w:t>g</w:t>
      </w:r>
      <w:r w:rsidR="00034D5B" w:rsidRPr="00553EA5">
        <w:rPr>
          <w:spacing w:val="1"/>
        </w:rPr>
        <w:t>o</w:t>
      </w:r>
      <w:r w:rsidR="00034D5B" w:rsidRPr="00553EA5">
        <w:rPr>
          <w:spacing w:val="-1"/>
        </w:rPr>
        <w:t>s</w:t>
      </w:r>
      <w:r w:rsidR="00034D5B" w:rsidRPr="00553EA5">
        <w:t>to</w:t>
      </w:r>
      <w:r w:rsidR="00034D5B" w:rsidRPr="00553EA5">
        <w:rPr>
          <w:spacing w:val="13"/>
        </w:rPr>
        <w:t xml:space="preserve"> </w:t>
      </w:r>
      <w:r w:rsidR="00034D5B" w:rsidRPr="00553EA5">
        <w:rPr>
          <w:spacing w:val="1"/>
        </w:rPr>
        <w:t>d</w:t>
      </w:r>
      <w:r w:rsidR="00034D5B" w:rsidRPr="00553EA5">
        <w:t>e</w:t>
      </w:r>
      <w:r w:rsidR="00670565" w:rsidRPr="00553EA5">
        <w:t xml:space="preserve"> 2018</w:t>
      </w:r>
      <w:r w:rsidR="00034D5B" w:rsidRPr="00553EA5">
        <w:t>.</w:t>
      </w:r>
      <w:r w:rsidR="00034D5B" w:rsidRPr="00553EA5">
        <w:rPr>
          <w:spacing w:val="12"/>
        </w:rPr>
        <w:t xml:space="preserve"> </w:t>
      </w:r>
      <w:r w:rsidR="00034D5B" w:rsidRPr="00553EA5">
        <w:t>En</w:t>
      </w:r>
      <w:r w:rsidR="00034D5B" w:rsidRPr="00553EA5">
        <w:rPr>
          <w:spacing w:val="14"/>
        </w:rPr>
        <w:t xml:space="preserve"> </w:t>
      </w:r>
      <w:r w:rsidR="00034D5B" w:rsidRPr="00553EA5">
        <w:rPr>
          <w:spacing w:val="2"/>
        </w:rPr>
        <w:t>s</w:t>
      </w:r>
      <w:r w:rsidR="00034D5B" w:rsidRPr="00553EA5">
        <w:rPr>
          <w:spacing w:val="-1"/>
        </w:rPr>
        <w:t>u</w:t>
      </w:r>
      <w:r w:rsidR="00B3798A">
        <w:rPr>
          <w:spacing w:val="-1"/>
        </w:rPr>
        <w:t>s</w:t>
      </w:r>
      <w:r w:rsidR="00034D5B" w:rsidRPr="00553EA5">
        <w:rPr>
          <w:spacing w:val="24"/>
        </w:rPr>
        <w:t xml:space="preserve"> </w:t>
      </w:r>
      <w:r w:rsidR="00034D5B" w:rsidRPr="00553EA5">
        <w:rPr>
          <w:spacing w:val="-1"/>
        </w:rPr>
        <w:t>s</w:t>
      </w:r>
      <w:r w:rsidR="00034D5B" w:rsidRPr="00553EA5">
        <w:rPr>
          <w:spacing w:val="3"/>
        </w:rPr>
        <w:t>e</w:t>
      </w:r>
      <w:r w:rsidR="00034D5B" w:rsidRPr="00553EA5">
        <w:rPr>
          <w:spacing w:val="-1"/>
        </w:rPr>
        <w:t>s</w:t>
      </w:r>
      <w:r w:rsidR="00034D5B" w:rsidRPr="00553EA5">
        <w:t>i</w:t>
      </w:r>
      <w:r w:rsidR="00B3798A">
        <w:t xml:space="preserve">ones </w:t>
      </w:r>
      <w:r w:rsidR="00A12742">
        <w:t>2676</w:t>
      </w:r>
      <w:r w:rsidR="00A12742" w:rsidRPr="00553EA5">
        <w:t>ª</w:t>
      </w:r>
      <w:r w:rsidR="00A12742">
        <w:t xml:space="preserve"> y 2677</w:t>
      </w:r>
      <w:r w:rsidR="00034D5B" w:rsidRPr="00553EA5">
        <w:t>ª</w:t>
      </w:r>
      <w:r w:rsidR="00034D5B" w:rsidRPr="00553EA5">
        <w:rPr>
          <w:spacing w:val="3"/>
        </w:rPr>
        <w:t xml:space="preserve"> </w:t>
      </w:r>
      <w:r w:rsidR="00034D5B" w:rsidRPr="00553EA5">
        <w:t>c</w:t>
      </w:r>
      <w:r w:rsidR="00034D5B" w:rsidRPr="00553EA5">
        <w:rPr>
          <w:spacing w:val="1"/>
        </w:rPr>
        <w:t>e</w:t>
      </w:r>
      <w:r w:rsidR="00034D5B" w:rsidRPr="00553EA5">
        <w:t>le</w:t>
      </w:r>
      <w:r w:rsidR="00034D5B" w:rsidRPr="00553EA5">
        <w:rPr>
          <w:spacing w:val="1"/>
        </w:rPr>
        <w:t>br</w:t>
      </w:r>
      <w:r w:rsidR="00034D5B" w:rsidRPr="00553EA5">
        <w:t>a</w:t>
      </w:r>
      <w:r w:rsidR="00034D5B" w:rsidRPr="00553EA5">
        <w:rPr>
          <w:spacing w:val="1"/>
        </w:rPr>
        <w:t>d</w:t>
      </w:r>
      <w:r w:rsidR="00034D5B" w:rsidRPr="00553EA5">
        <w:t>a</w:t>
      </w:r>
      <w:r w:rsidR="00D72A13">
        <w:t>s</w:t>
      </w:r>
      <w:r w:rsidR="00034D5B" w:rsidRPr="00553EA5">
        <w:t xml:space="preserve"> </w:t>
      </w:r>
      <w:r w:rsidR="00D72A13">
        <w:t xml:space="preserve">los </w:t>
      </w:r>
      <w:r w:rsidR="00034D5B" w:rsidRPr="00553EA5">
        <w:rPr>
          <w:spacing w:val="1"/>
        </w:rPr>
        <w:t>d</w:t>
      </w:r>
      <w:r w:rsidR="00034D5B" w:rsidRPr="00553EA5">
        <w:t>ía</w:t>
      </w:r>
      <w:r w:rsidR="00D72A13">
        <w:t>s</w:t>
      </w:r>
      <w:r w:rsidR="00451F81" w:rsidRPr="00553EA5">
        <w:t xml:space="preserve"> </w:t>
      </w:r>
      <w:r w:rsidR="00A12742" w:rsidRPr="00A12742">
        <w:rPr>
          <w:spacing w:val="6"/>
        </w:rPr>
        <w:t>28 y 29</w:t>
      </w:r>
      <w:r w:rsidR="00034D5B" w:rsidRPr="00553EA5">
        <w:rPr>
          <w:spacing w:val="7"/>
        </w:rPr>
        <w:t xml:space="preserve"> </w:t>
      </w:r>
      <w:r w:rsidR="00034D5B" w:rsidRPr="00553EA5">
        <w:rPr>
          <w:spacing w:val="1"/>
        </w:rPr>
        <w:t>d</w:t>
      </w:r>
      <w:r w:rsidR="00034D5B" w:rsidRPr="00553EA5">
        <w:t>e</w:t>
      </w:r>
      <w:r w:rsidR="00034D5B" w:rsidRPr="00553EA5">
        <w:rPr>
          <w:spacing w:val="7"/>
        </w:rPr>
        <w:t xml:space="preserve"> </w:t>
      </w:r>
      <w:r w:rsidR="00034D5B" w:rsidRPr="00553EA5">
        <w:rPr>
          <w:spacing w:val="3"/>
        </w:rPr>
        <w:t>a</w:t>
      </w:r>
      <w:r w:rsidR="00034D5B" w:rsidRPr="00553EA5">
        <w:rPr>
          <w:spacing w:val="-1"/>
        </w:rPr>
        <w:t>g</w:t>
      </w:r>
      <w:r w:rsidR="00034D5B" w:rsidRPr="00553EA5">
        <w:rPr>
          <w:spacing w:val="1"/>
        </w:rPr>
        <w:t>o</w:t>
      </w:r>
      <w:r w:rsidR="00034D5B" w:rsidRPr="00553EA5">
        <w:rPr>
          <w:spacing w:val="-1"/>
        </w:rPr>
        <w:t>s</w:t>
      </w:r>
      <w:r w:rsidR="00034D5B" w:rsidRPr="00553EA5">
        <w:t>to</w:t>
      </w:r>
      <w:r w:rsidR="00034D5B" w:rsidRPr="00553EA5">
        <w:rPr>
          <w:spacing w:val="6"/>
        </w:rPr>
        <w:t xml:space="preserve"> </w:t>
      </w:r>
      <w:r w:rsidR="00034D5B" w:rsidRPr="00553EA5">
        <w:rPr>
          <w:spacing w:val="1"/>
        </w:rPr>
        <w:t>d</w:t>
      </w:r>
      <w:r w:rsidR="00034D5B" w:rsidRPr="00553EA5">
        <w:t>e</w:t>
      </w:r>
      <w:r w:rsidR="00034D5B" w:rsidRPr="00553EA5">
        <w:rPr>
          <w:spacing w:val="9"/>
        </w:rPr>
        <w:t xml:space="preserve"> 2018</w:t>
      </w:r>
      <w:r w:rsidR="00034D5B" w:rsidRPr="00553EA5">
        <w:t>,</w:t>
      </w:r>
      <w:r w:rsidR="00DC11E9" w:rsidRPr="00553EA5">
        <w:t xml:space="preserve"> el Comité</w:t>
      </w:r>
      <w:r w:rsidR="00034D5B" w:rsidRPr="00553EA5">
        <w:rPr>
          <w:spacing w:val="4"/>
        </w:rPr>
        <w:t xml:space="preserve"> </w:t>
      </w:r>
      <w:r w:rsidR="00034D5B" w:rsidRPr="00553EA5">
        <w:t>a</w:t>
      </w:r>
      <w:r w:rsidR="00034D5B" w:rsidRPr="00553EA5">
        <w:rPr>
          <w:spacing w:val="-1"/>
        </w:rPr>
        <w:t>p</w:t>
      </w:r>
      <w:r w:rsidR="00034D5B" w:rsidRPr="00553EA5">
        <w:rPr>
          <w:spacing w:val="1"/>
        </w:rPr>
        <w:t>ro</w:t>
      </w:r>
      <w:r w:rsidR="00034D5B" w:rsidRPr="00553EA5">
        <w:rPr>
          <w:spacing w:val="-1"/>
        </w:rPr>
        <w:t>b</w:t>
      </w:r>
      <w:r w:rsidR="00034D5B" w:rsidRPr="00553EA5">
        <w:t>ó</w:t>
      </w:r>
      <w:r w:rsidR="00034D5B" w:rsidRPr="00553EA5">
        <w:rPr>
          <w:spacing w:val="4"/>
        </w:rPr>
        <w:t xml:space="preserve"> </w:t>
      </w:r>
      <w:r w:rsidR="00034D5B" w:rsidRPr="00553EA5">
        <w:t>las</w:t>
      </w:r>
      <w:r w:rsidR="00034D5B" w:rsidRPr="00553EA5">
        <w:rPr>
          <w:spacing w:val="5"/>
        </w:rPr>
        <w:t xml:space="preserve"> </w:t>
      </w:r>
      <w:r w:rsidR="00034D5B" w:rsidRPr="00553EA5">
        <w:rPr>
          <w:spacing w:val="-1"/>
        </w:rPr>
        <w:t>s</w:t>
      </w:r>
      <w:r w:rsidR="00034D5B" w:rsidRPr="00553EA5">
        <w:rPr>
          <w:spacing w:val="2"/>
        </w:rPr>
        <w:t>i</w:t>
      </w:r>
      <w:r w:rsidR="00034D5B" w:rsidRPr="00553EA5">
        <w:rPr>
          <w:spacing w:val="1"/>
        </w:rPr>
        <w:t>g</w:t>
      </w:r>
      <w:r w:rsidR="00034D5B" w:rsidRPr="00553EA5">
        <w:rPr>
          <w:spacing w:val="-1"/>
        </w:rPr>
        <w:t>u</w:t>
      </w:r>
      <w:r w:rsidR="00034D5B" w:rsidRPr="00553EA5">
        <w:t>i</w:t>
      </w:r>
      <w:r w:rsidR="00034D5B" w:rsidRPr="00553EA5">
        <w:rPr>
          <w:spacing w:val="2"/>
        </w:rPr>
        <w:t>e</w:t>
      </w:r>
      <w:r w:rsidR="00034D5B" w:rsidRPr="00553EA5">
        <w:rPr>
          <w:spacing w:val="-1"/>
        </w:rPr>
        <w:t>n</w:t>
      </w:r>
      <w:r w:rsidR="00034D5B" w:rsidRPr="00553EA5">
        <w:rPr>
          <w:spacing w:val="2"/>
        </w:rPr>
        <w:t>t</w:t>
      </w:r>
      <w:r w:rsidR="00034D5B" w:rsidRPr="00553EA5">
        <w:t xml:space="preserve">es </w:t>
      </w:r>
      <w:r w:rsidR="00034D5B" w:rsidRPr="00553EA5">
        <w:rPr>
          <w:spacing w:val="1"/>
        </w:rPr>
        <w:t>ob</w:t>
      </w:r>
      <w:r w:rsidR="00034D5B" w:rsidRPr="00553EA5">
        <w:rPr>
          <w:spacing w:val="-1"/>
        </w:rPr>
        <w:t>s</w:t>
      </w:r>
      <w:r w:rsidR="00034D5B" w:rsidRPr="00553EA5">
        <w:t>e</w:t>
      </w:r>
      <w:r w:rsidR="00034D5B" w:rsidRPr="00553EA5">
        <w:rPr>
          <w:spacing w:val="1"/>
        </w:rPr>
        <w:t>r</w:t>
      </w:r>
      <w:r w:rsidR="00034D5B" w:rsidRPr="00553EA5">
        <w:rPr>
          <w:spacing w:val="-1"/>
        </w:rPr>
        <w:t>v</w:t>
      </w:r>
      <w:r w:rsidR="00034D5B" w:rsidRPr="00553EA5">
        <w:t>a</w:t>
      </w:r>
      <w:r w:rsidR="00034D5B" w:rsidRPr="00553EA5">
        <w:rPr>
          <w:spacing w:val="1"/>
        </w:rPr>
        <w:t>c</w:t>
      </w:r>
      <w:r w:rsidR="00034D5B" w:rsidRPr="00553EA5">
        <w:t>i</w:t>
      </w:r>
      <w:r w:rsidR="00034D5B" w:rsidRPr="00553EA5">
        <w:rPr>
          <w:spacing w:val="1"/>
        </w:rPr>
        <w:t>o</w:t>
      </w:r>
      <w:r w:rsidR="00034D5B" w:rsidRPr="00553EA5">
        <w:rPr>
          <w:spacing w:val="-1"/>
        </w:rPr>
        <w:t>n</w:t>
      </w:r>
      <w:r w:rsidR="00034D5B" w:rsidRPr="00553EA5">
        <w:t>es</w:t>
      </w:r>
      <w:r w:rsidR="00034D5B" w:rsidRPr="00553EA5">
        <w:rPr>
          <w:spacing w:val="-9"/>
        </w:rPr>
        <w:t xml:space="preserve"> </w:t>
      </w:r>
      <w:r w:rsidR="00034D5B" w:rsidRPr="00553EA5">
        <w:rPr>
          <w:spacing w:val="-2"/>
        </w:rPr>
        <w:t>f</w:t>
      </w:r>
      <w:r w:rsidR="00034D5B" w:rsidRPr="00553EA5">
        <w:t>i</w:t>
      </w:r>
      <w:r w:rsidR="00034D5B" w:rsidRPr="00553EA5">
        <w:rPr>
          <w:spacing w:val="-1"/>
        </w:rPr>
        <w:t>n</w:t>
      </w:r>
      <w:r w:rsidR="00034D5B" w:rsidRPr="00553EA5">
        <w:rPr>
          <w:spacing w:val="3"/>
        </w:rPr>
        <w:t>a</w:t>
      </w:r>
      <w:r w:rsidR="00034D5B" w:rsidRPr="00553EA5">
        <w:t>les.</w:t>
      </w:r>
    </w:p>
    <w:p w14:paraId="05D8090F" w14:textId="60356F6E" w:rsidR="00034D5B" w:rsidRPr="00553EA5" w:rsidRDefault="006E47D4">
      <w:pPr>
        <w:pStyle w:val="H1G"/>
      </w:pPr>
      <w:r>
        <w:tab/>
        <w:t>A.</w:t>
      </w:r>
      <w:r>
        <w:tab/>
        <w:t>Introducción</w:t>
      </w:r>
    </w:p>
    <w:p w14:paraId="4BE02917" w14:textId="4B8C31F2" w:rsidR="00034D5B" w:rsidRPr="00553EA5" w:rsidRDefault="00DF7357" w:rsidP="00715552">
      <w:pPr>
        <w:pStyle w:val="SingleTxtG"/>
      </w:pPr>
      <w:r>
        <w:t>2.</w:t>
      </w:r>
      <w:r>
        <w:tab/>
      </w:r>
      <w:r w:rsidR="00034D5B" w:rsidRPr="00553EA5">
        <w:t>El Comité agradece la presentación de los informes periódicos 1</w:t>
      </w:r>
      <w:r w:rsidR="00670565" w:rsidRPr="00553EA5">
        <w:t>9</w:t>
      </w:r>
      <w:r w:rsidR="00FB71AA">
        <w:t>º</w:t>
      </w:r>
      <w:r w:rsidR="00034D5B" w:rsidRPr="00553EA5">
        <w:t xml:space="preserve"> a 2</w:t>
      </w:r>
      <w:r w:rsidR="00670565" w:rsidRPr="00553EA5">
        <w:t>1</w:t>
      </w:r>
      <w:r w:rsidR="00FB71AA">
        <w:t>º</w:t>
      </w:r>
      <w:r w:rsidR="00034D5B" w:rsidRPr="00553EA5">
        <w:t xml:space="preserve"> </w:t>
      </w:r>
      <w:r w:rsidR="0094043F">
        <w:t xml:space="preserve">combinados </w:t>
      </w:r>
      <w:r w:rsidR="00034D5B" w:rsidRPr="00553EA5">
        <w:t xml:space="preserve">del Estado parte en un solo documento. El Comité manifiesta su satisfacción con el diálogo </w:t>
      </w:r>
      <w:r w:rsidR="00965117">
        <w:t xml:space="preserve">franco y </w:t>
      </w:r>
      <w:r w:rsidR="00034D5B" w:rsidRPr="00553EA5">
        <w:t xml:space="preserve">abierto que mantuvo con la delegación del Estado parte y agradece la información adicional proporcionada </w:t>
      </w:r>
      <w:r w:rsidR="002B37EC">
        <w:t xml:space="preserve">durante </w:t>
      </w:r>
      <w:r w:rsidR="00034D5B" w:rsidRPr="00553EA5">
        <w:t xml:space="preserve">el diálogo. </w:t>
      </w:r>
    </w:p>
    <w:p w14:paraId="71952A60" w14:textId="5C64F158" w:rsidR="00034D5B" w:rsidRPr="00553EA5" w:rsidRDefault="00034D5B">
      <w:pPr>
        <w:pStyle w:val="H1G"/>
      </w:pPr>
      <w:r w:rsidRPr="00553EA5">
        <w:tab/>
        <w:t>B.</w:t>
      </w:r>
      <w:r w:rsidRPr="00553EA5">
        <w:tab/>
        <w:t xml:space="preserve">Aspectos </w:t>
      </w:r>
      <w:r w:rsidR="00B4770A">
        <w:t>p</w:t>
      </w:r>
      <w:r w:rsidRPr="00553EA5">
        <w:t xml:space="preserve">ositivos </w:t>
      </w:r>
    </w:p>
    <w:p w14:paraId="549E9EFF" w14:textId="7DE4AE0F" w:rsidR="00DC11E9" w:rsidRPr="00553EA5" w:rsidRDefault="00DF7357" w:rsidP="00715552">
      <w:pPr>
        <w:pStyle w:val="SingleTxtG"/>
      </w:pPr>
      <w:r>
        <w:t>3.</w:t>
      </w:r>
      <w:r>
        <w:tab/>
      </w:r>
      <w:r w:rsidR="00DC11E9" w:rsidRPr="00553EA5">
        <w:t xml:space="preserve">El Comité acoge con satisfacción la ratificación del Protocolo para prevenir, reprimir y sancionar la trata de personas, especialmente mujeres y niños, </w:t>
      </w:r>
      <w:r w:rsidR="00422248">
        <w:t xml:space="preserve">que complementa la Convención de las Naciones Unidas contra la Delincuencia Organizada Transnacional, </w:t>
      </w:r>
      <w:r w:rsidR="00DC11E9" w:rsidRPr="00553EA5">
        <w:t>en junio de 2013</w:t>
      </w:r>
      <w:r w:rsidR="00314805" w:rsidRPr="00553EA5">
        <w:t>.</w:t>
      </w:r>
    </w:p>
    <w:p w14:paraId="644688D5" w14:textId="36793C9C" w:rsidR="00DC11E9" w:rsidRPr="00553EA5" w:rsidRDefault="00DF7357" w:rsidP="00715552">
      <w:pPr>
        <w:pStyle w:val="SingleTxtG"/>
      </w:pPr>
      <w:r>
        <w:t>4.</w:t>
      </w:r>
      <w:r>
        <w:tab/>
      </w:r>
      <w:r w:rsidR="00DC11E9" w:rsidRPr="00553EA5">
        <w:t xml:space="preserve">El Comité toma nota de las medidas legislativas adoptadas por el Estado parte durante el período examinado, en particular: </w:t>
      </w:r>
    </w:p>
    <w:p w14:paraId="0B482496" w14:textId="34AB947B" w:rsidR="006F2D7D" w:rsidRPr="00B3293C" w:rsidRDefault="00DF7357" w:rsidP="000D4881">
      <w:pPr>
        <w:pStyle w:val="SingleTxtG"/>
      </w:pPr>
      <w:r>
        <w:tab/>
        <w:t>a)</w:t>
      </w:r>
      <w:r>
        <w:tab/>
      </w:r>
      <w:r w:rsidR="006F2D7D" w:rsidRPr="00B3293C">
        <w:t xml:space="preserve">La adopción de la Ley </w:t>
      </w:r>
      <w:r w:rsidR="000E05FD">
        <w:t>núm</w:t>
      </w:r>
      <w:r w:rsidR="006F2D7D" w:rsidRPr="00B3293C">
        <w:t xml:space="preserve">. 116 </w:t>
      </w:r>
      <w:r w:rsidR="00BE191C">
        <w:t>(</w:t>
      </w:r>
      <w:r w:rsidR="006F2D7D" w:rsidRPr="00B3293C">
        <w:t>Código de Trabajo</w:t>
      </w:r>
      <w:r w:rsidR="00BE191C">
        <w:t>)</w:t>
      </w:r>
      <w:r w:rsidR="006F2D7D" w:rsidRPr="00B3293C">
        <w:t xml:space="preserve"> de diciembre de 2013, la cual introduce una prohibición contra la discriminación, incluyendo la discriminación basada </w:t>
      </w:r>
      <w:r w:rsidR="001019F1" w:rsidRPr="00B3293C">
        <w:t>“</w:t>
      </w:r>
      <w:r w:rsidR="006F2D7D" w:rsidRPr="00B3293C">
        <w:t>en el color de la piel,</w:t>
      </w:r>
      <w:r w:rsidR="004F3D16" w:rsidRPr="00B3293C">
        <w:rPr>
          <w:lang w:val="es-CL"/>
        </w:rPr>
        <w:t xml:space="preserve"> género, creencias religiosas, orientación sexual, origen territorial, discapacidad y cualquier otra distinción lesiva a la dignidad humana</w:t>
      </w:r>
      <w:r w:rsidR="001019F1" w:rsidRPr="00B3293C">
        <w:rPr>
          <w:lang w:val="es-CL"/>
        </w:rPr>
        <w:t>”</w:t>
      </w:r>
      <w:r w:rsidR="001D0787">
        <w:rPr>
          <w:lang w:val="es-CL"/>
        </w:rPr>
        <w:t xml:space="preserve"> (art. 2, apdo. d))</w:t>
      </w:r>
      <w:r w:rsidR="003F5FEA">
        <w:rPr>
          <w:lang w:val="es-CL"/>
        </w:rPr>
        <w:t>;</w:t>
      </w:r>
    </w:p>
    <w:p w14:paraId="00FC3850" w14:textId="4DB36882" w:rsidR="00DC11E9" w:rsidRPr="00553EA5" w:rsidRDefault="00DF7357" w:rsidP="000D4881">
      <w:pPr>
        <w:pStyle w:val="SingleTxtG"/>
      </w:pPr>
      <w:r>
        <w:tab/>
        <w:t>b)</w:t>
      </w:r>
      <w:r>
        <w:tab/>
      </w:r>
      <w:r w:rsidR="00DC11E9" w:rsidRPr="00553EA5">
        <w:t>La adopción del Decreto-</w:t>
      </w:r>
      <w:r w:rsidR="00FB71AA">
        <w:t>l</w:t>
      </w:r>
      <w:r w:rsidR="00DC11E9" w:rsidRPr="00553EA5">
        <w:t xml:space="preserve">ey </w:t>
      </w:r>
      <w:r w:rsidR="008C0E9C">
        <w:t xml:space="preserve">núm. </w:t>
      </w:r>
      <w:r w:rsidR="00DC11E9" w:rsidRPr="00553EA5">
        <w:t xml:space="preserve">302 de octubre de 2012, que modifica la Ley </w:t>
      </w:r>
      <w:r w:rsidR="00432E38">
        <w:t>núm</w:t>
      </w:r>
      <w:r w:rsidR="00DC11E9" w:rsidRPr="00553EA5">
        <w:t xml:space="preserve">. 1312 </w:t>
      </w:r>
      <w:r w:rsidR="00432E38">
        <w:t>(</w:t>
      </w:r>
      <w:r w:rsidR="00DC11E9" w:rsidRPr="00553EA5">
        <w:t>Ley de Migración</w:t>
      </w:r>
      <w:r w:rsidR="00432E38">
        <w:t>)</w:t>
      </w:r>
      <w:r w:rsidR="00DC11E9" w:rsidRPr="00553EA5">
        <w:t>.</w:t>
      </w:r>
    </w:p>
    <w:p w14:paraId="7767A049" w14:textId="201DECFA" w:rsidR="00D43C55" w:rsidRPr="00553EA5" w:rsidRDefault="00DF7357" w:rsidP="00715552">
      <w:pPr>
        <w:pStyle w:val="SingleTxtG"/>
      </w:pPr>
      <w:r>
        <w:t>5.</w:t>
      </w:r>
      <w:r>
        <w:tab/>
      </w:r>
      <w:r w:rsidR="00DC11E9" w:rsidRPr="00553EA5">
        <w:t xml:space="preserve">El Comité también </w:t>
      </w:r>
      <w:r w:rsidR="0029784D" w:rsidRPr="00553EA5">
        <w:t>celebra</w:t>
      </w:r>
      <w:r w:rsidR="00DC11E9" w:rsidRPr="00553EA5">
        <w:t xml:space="preserve"> los esfuerzos realizados por el Estado parte para dar mayor visibilidad al tema de la discriminación racial, en particular</w:t>
      </w:r>
      <w:r w:rsidR="0029784D" w:rsidRPr="00553EA5">
        <w:t xml:space="preserve"> l</w:t>
      </w:r>
      <w:r w:rsidR="00D43C55" w:rsidRPr="00553EA5">
        <w:t>a adopción de</w:t>
      </w:r>
      <w:r w:rsidR="0029784D" w:rsidRPr="00553EA5">
        <w:t xml:space="preserve"> un</w:t>
      </w:r>
      <w:r w:rsidR="00D43C55" w:rsidRPr="00553EA5">
        <w:t xml:space="preserve"> Plan de Acción para el </w:t>
      </w:r>
      <w:r w:rsidR="00E509A6">
        <w:t>A</w:t>
      </w:r>
      <w:r w:rsidR="00D43C55" w:rsidRPr="00553EA5">
        <w:t xml:space="preserve">ño </w:t>
      </w:r>
      <w:r w:rsidR="00E509A6">
        <w:t>I</w:t>
      </w:r>
      <w:r w:rsidR="00D43C55" w:rsidRPr="00553EA5">
        <w:t xml:space="preserve">nternacional de </w:t>
      </w:r>
      <w:r w:rsidR="00E509A6">
        <w:t>los A</w:t>
      </w:r>
      <w:r w:rsidR="00D43C55" w:rsidRPr="00553EA5">
        <w:t xml:space="preserve">frodescendientes y </w:t>
      </w:r>
      <w:r w:rsidR="009F1A72" w:rsidRPr="00553EA5">
        <w:t>de</w:t>
      </w:r>
      <w:r w:rsidR="00D43C55" w:rsidRPr="00553EA5">
        <w:t xml:space="preserve"> un </w:t>
      </w:r>
      <w:r w:rsidR="00E509A6">
        <w:t>p</w:t>
      </w:r>
      <w:r w:rsidR="00D43C55" w:rsidRPr="00553EA5">
        <w:t>rograma nacional para el mismo, en el que se incluyen acciones de concientización e intercambio sobre el tema de la discriminación racial y su impacto social.</w:t>
      </w:r>
    </w:p>
    <w:p w14:paraId="5E11D11A" w14:textId="74410A14" w:rsidR="00FF2FD9" w:rsidRPr="00553EA5" w:rsidRDefault="00DF7357" w:rsidP="00715552">
      <w:pPr>
        <w:pStyle w:val="SingleTxtG"/>
      </w:pPr>
      <w:r>
        <w:lastRenderedPageBreak/>
        <w:t>6.</w:t>
      </w:r>
      <w:r>
        <w:tab/>
      </w:r>
      <w:r w:rsidR="00E30536" w:rsidRPr="00553EA5">
        <w:t xml:space="preserve">El Comité celebra </w:t>
      </w:r>
      <w:r w:rsidR="006F2D7D" w:rsidRPr="00553EA5">
        <w:t>que</w:t>
      </w:r>
      <w:r w:rsidR="00E30536" w:rsidRPr="00553EA5">
        <w:t>, a pesar del bloqueo económico</w:t>
      </w:r>
      <w:r w:rsidR="006F2D7D" w:rsidRPr="00553EA5">
        <w:t>, comercial</w:t>
      </w:r>
      <w:r w:rsidR="00E30536" w:rsidRPr="00553EA5">
        <w:t xml:space="preserve"> y financiero,</w:t>
      </w:r>
      <w:r w:rsidR="006F2D7D" w:rsidRPr="00553EA5">
        <w:t xml:space="preserve"> el Estado parte haya logrado</w:t>
      </w:r>
      <w:r w:rsidR="00217743" w:rsidRPr="00553EA5">
        <w:t xml:space="preserve"> </w:t>
      </w:r>
      <w:r w:rsidR="00E30536" w:rsidRPr="00553EA5">
        <w:t xml:space="preserve">establecer un sistema universal de educación </w:t>
      </w:r>
      <w:r w:rsidR="00576042" w:rsidRPr="00553EA5">
        <w:t xml:space="preserve">y de salud, </w:t>
      </w:r>
      <w:r w:rsidR="006F2D7D" w:rsidRPr="00553EA5">
        <w:t>y</w:t>
      </w:r>
      <w:r w:rsidR="00576042" w:rsidRPr="00553EA5">
        <w:t xml:space="preserve"> extender la cobertura de la protección social</w:t>
      </w:r>
      <w:r w:rsidR="006F2D7D" w:rsidRPr="00553EA5">
        <w:t xml:space="preserve"> en beneficio de toda la población, incluyendo la población afrodescendiente</w:t>
      </w:r>
      <w:r w:rsidR="00C56C8C" w:rsidRPr="00553EA5">
        <w:t>.</w:t>
      </w:r>
      <w:r w:rsidR="00E30536" w:rsidRPr="00553EA5">
        <w:t xml:space="preserve">  </w:t>
      </w:r>
    </w:p>
    <w:p w14:paraId="2FC4DB14" w14:textId="77777777" w:rsidR="00034D5B" w:rsidRPr="00553EA5" w:rsidRDefault="00034D5B">
      <w:pPr>
        <w:pStyle w:val="H1G"/>
      </w:pPr>
      <w:r w:rsidRPr="00553EA5">
        <w:tab/>
        <w:t>C.</w:t>
      </w:r>
      <w:r w:rsidRPr="00553EA5">
        <w:tab/>
        <w:t>Motivos de preocupación y recomendaciones</w:t>
      </w:r>
    </w:p>
    <w:p w14:paraId="23C1E0FA" w14:textId="0266943E" w:rsidR="0058371B" w:rsidRPr="00553EA5" w:rsidRDefault="00034D5B" w:rsidP="00715552">
      <w:pPr>
        <w:pStyle w:val="H23G"/>
      </w:pPr>
      <w:r w:rsidRPr="00553EA5">
        <w:tab/>
      </w:r>
      <w:r w:rsidRPr="00553EA5">
        <w:tab/>
      </w:r>
      <w:r w:rsidR="0058371B" w:rsidRPr="00553EA5">
        <w:t xml:space="preserve">Aplicación de la Convención </w:t>
      </w:r>
    </w:p>
    <w:p w14:paraId="103B7D14" w14:textId="3719047E" w:rsidR="00A30478" w:rsidRPr="00553EA5" w:rsidRDefault="00DF7357" w:rsidP="00715552">
      <w:pPr>
        <w:pStyle w:val="SingleTxtG"/>
      </w:pPr>
      <w:r>
        <w:t>7.</w:t>
      </w:r>
      <w:r>
        <w:tab/>
      </w:r>
      <w:r w:rsidR="00A30478" w:rsidRPr="00553EA5">
        <w:t xml:space="preserve">El Comité toma nota que la legislación del Estado parte prevé la primacía de los tratados internacionales sobre el derecho interno. Sin embargo, lamenta que el Estado parte no haya facilitado </w:t>
      </w:r>
      <w:r w:rsidR="00A30478" w:rsidRPr="00553EA5">
        <w:rPr>
          <w:rStyle w:val="col-xs-12"/>
        </w:rPr>
        <w:t>información</w:t>
      </w:r>
      <w:r w:rsidR="00A30478" w:rsidRPr="00553EA5">
        <w:t xml:space="preserve"> sobre casos de aplicación directa de la Convención por sus tribunales (art.</w:t>
      </w:r>
      <w:r>
        <w:t xml:space="preserve"> </w:t>
      </w:r>
      <w:r w:rsidR="00A30478" w:rsidRPr="00553EA5">
        <w:t xml:space="preserve">2). </w:t>
      </w:r>
    </w:p>
    <w:p w14:paraId="6D2FF4DC" w14:textId="55CE2F29" w:rsidR="00A83629" w:rsidRPr="00553EA5" w:rsidRDefault="00DF7357" w:rsidP="00715552">
      <w:pPr>
        <w:pStyle w:val="SingleTxtG"/>
      </w:pPr>
      <w:r w:rsidRPr="00715552">
        <w:t>8.</w:t>
      </w:r>
      <w:r w:rsidRPr="00715552">
        <w:tab/>
      </w:r>
      <w:r w:rsidR="00A83629" w:rsidRPr="00553EA5">
        <w:rPr>
          <w:b/>
        </w:rPr>
        <w:t xml:space="preserve">El Comité recomienda al Estado parte que adopte medidas apropiadas, por ejemplo, mediante la capacitación, para garantizar que los jueces, los fiscales y los abogados conozcan las disposiciones de la Convención, a fin de que puedan aplicarlas en los casos pertinentes. El Comité </w:t>
      </w:r>
      <w:r w:rsidR="00944257">
        <w:rPr>
          <w:b/>
        </w:rPr>
        <w:t xml:space="preserve">solicita </w:t>
      </w:r>
      <w:r w:rsidR="00A83629" w:rsidRPr="00553EA5">
        <w:rPr>
          <w:b/>
        </w:rPr>
        <w:t xml:space="preserve">al Estado parte que en su próximo informe periódico incluya ejemplos concretos </w:t>
      </w:r>
      <w:r w:rsidR="00217743" w:rsidRPr="00553EA5">
        <w:rPr>
          <w:b/>
        </w:rPr>
        <w:t xml:space="preserve">sobre </w:t>
      </w:r>
      <w:r w:rsidR="00A83629" w:rsidRPr="00553EA5">
        <w:rPr>
          <w:b/>
        </w:rPr>
        <w:t>la aplicación de la Convención por los tribunales nacionales.</w:t>
      </w:r>
      <w:r w:rsidR="00A83629" w:rsidRPr="00553EA5">
        <w:t xml:space="preserve"> </w:t>
      </w:r>
    </w:p>
    <w:p w14:paraId="2E154B69" w14:textId="1EDA576C" w:rsidR="0008265B" w:rsidRPr="00553EA5" w:rsidRDefault="0058371B" w:rsidP="00715552">
      <w:pPr>
        <w:pStyle w:val="H23G"/>
      </w:pPr>
      <w:r w:rsidRPr="00553EA5">
        <w:tab/>
      </w:r>
      <w:r w:rsidR="00BF1428" w:rsidRPr="00553EA5">
        <w:tab/>
      </w:r>
      <w:r w:rsidR="00E20585" w:rsidRPr="00553EA5">
        <w:t xml:space="preserve">Composición </w:t>
      </w:r>
      <w:r w:rsidR="0008265B" w:rsidRPr="00553EA5">
        <w:t>demográfica de la población</w:t>
      </w:r>
    </w:p>
    <w:p w14:paraId="01FAB704" w14:textId="752C4CCE" w:rsidR="0008265B" w:rsidRPr="00553EA5" w:rsidRDefault="00DF7357" w:rsidP="00715552">
      <w:pPr>
        <w:pStyle w:val="SingleTxtG"/>
      </w:pPr>
      <w:r>
        <w:t>9.</w:t>
      </w:r>
      <w:r>
        <w:tab/>
      </w:r>
      <w:r w:rsidR="00217743" w:rsidRPr="00553EA5">
        <w:t>E</w:t>
      </w:r>
      <w:r w:rsidR="00E20585" w:rsidRPr="00553EA5">
        <w:t>l Comité toma nota de los esfuerzos realizados por el Estado parte para introducir la variable étnico-racial sobre la base de la autoidentificación en el último Censo de Población y Vivienda</w:t>
      </w:r>
      <w:r w:rsidR="003F7F03">
        <w:t>s</w:t>
      </w:r>
      <w:r w:rsidR="00E20585" w:rsidRPr="00553EA5">
        <w:t xml:space="preserve"> realizado en 2012</w:t>
      </w:r>
      <w:r w:rsidR="00217743" w:rsidRPr="00553EA5">
        <w:t>. No obstante,</w:t>
      </w:r>
      <w:r w:rsidR="00E20585" w:rsidRPr="00553EA5">
        <w:t xml:space="preserve"> le preocupa que</w:t>
      </w:r>
      <w:r w:rsidR="009F6208" w:rsidRPr="00553EA5">
        <w:t xml:space="preserve"> la metodología utilizada</w:t>
      </w:r>
      <w:r w:rsidR="00574E9B" w:rsidRPr="00553EA5">
        <w:t xml:space="preserve"> </w:t>
      </w:r>
      <w:r w:rsidR="009F6208" w:rsidRPr="00553EA5">
        <w:t xml:space="preserve">no permita obtener información objetiva que </w:t>
      </w:r>
      <w:r w:rsidR="00574E9B" w:rsidRPr="00553EA5">
        <w:t>reflej</w:t>
      </w:r>
      <w:r w:rsidR="009F6208" w:rsidRPr="00553EA5">
        <w:t xml:space="preserve">e fielmente </w:t>
      </w:r>
      <w:r w:rsidR="00574E9B" w:rsidRPr="00553EA5">
        <w:t>la composición étnica de la población</w:t>
      </w:r>
      <w:r w:rsidR="009F6208" w:rsidRPr="00553EA5">
        <w:t xml:space="preserve"> del Estado parte</w:t>
      </w:r>
      <w:r w:rsidR="00574E9B" w:rsidRPr="00553EA5">
        <w:t xml:space="preserve"> </w:t>
      </w:r>
      <w:r w:rsidR="0008265B" w:rsidRPr="00553EA5">
        <w:t>(art.</w:t>
      </w:r>
      <w:r w:rsidR="00FB71AA" w:rsidDel="00FB71AA">
        <w:t xml:space="preserve"> </w:t>
      </w:r>
      <w:r w:rsidR="00FB71AA">
        <w:t xml:space="preserve"> </w:t>
      </w:r>
      <w:r w:rsidR="00323A68">
        <w:t>2, párr.</w:t>
      </w:r>
      <w:r w:rsidR="00FB71AA">
        <w:t xml:space="preserve"> </w:t>
      </w:r>
      <w:r w:rsidR="00AE5C46">
        <w:t>1).</w:t>
      </w:r>
    </w:p>
    <w:p w14:paraId="0A4BCCF4" w14:textId="20FE0EC6" w:rsidR="0008265B" w:rsidRPr="00553EA5" w:rsidRDefault="00DF7357" w:rsidP="00715552">
      <w:pPr>
        <w:pStyle w:val="SingleTxtG"/>
        <w:rPr>
          <w:b/>
          <w:bCs/>
        </w:rPr>
      </w:pPr>
      <w:r w:rsidRPr="00715552">
        <w:rPr>
          <w:bCs/>
        </w:rPr>
        <w:t>10.</w:t>
      </w:r>
      <w:r w:rsidRPr="00715552">
        <w:rPr>
          <w:bCs/>
        </w:rPr>
        <w:tab/>
      </w:r>
      <w:r w:rsidR="000D1DDB" w:rsidRPr="00553EA5">
        <w:rPr>
          <w:b/>
          <w:bCs/>
        </w:rPr>
        <w:t>E</w:t>
      </w:r>
      <w:r w:rsidR="000D1DDB" w:rsidRPr="00553EA5">
        <w:rPr>
          <w:b/>
        </w:rPr>
        <w:t>l Comité recomienda al Estado parte revisar su metodología para la recolección de datos utilizada en los censos de población y vivienda</w:t>
      </w:r>
      <w:r w:rsidR="003128C7">
        <w:rPr>
          <w:b/>
        </w:rPr>
        <w:t>s</w:t>
      </w:r>
      <w:r w:rsidR="000D1DDB" w:rsidRPr="00553EA5">
        <w:rPr>
          <w:b/>
        </w:rPr>
        <w:t>, a fin de que dicha metodología esté basada en el criterio de la autoidentificación</w:t>
      </w:r>
      <w:r w:rsidR="000D1DDB">
        <w:rPr>
          <w:b/>
        </w:rPr>
        <w:t>, asegurando que las preguntas censales sean formuladas en consulta con la población afrodescendiente y puedan reflejar adecuadamente la composición étnica de la población</w:t>
      </w:r>
      <w:r w:rsidR="00663EE7" w:rsidRPr="00553EA5">
        <w:rPr>
          <w:b/>
        </w:rPr>
        <w:t xml:space="preserve">. Asimismo, le insta a intensificar sus esfuerzos para recopilar </w:t>
      </w:r>
      <w:r w:rsidR="00166336" w:rsidRPr="00553EA5">
        <w:rPr>
          <w:b/>
        </w:rPr>
        <w:t>datos estadísticos fiables, actualizados y completos sobre la composic</w:t>
      </w:r>
      <w:r w:rsidR="00663EE7" w:rsidRPr="00553EA5">
        <w:rPr>
          <w:b/>
        </w:rPr>
        <w:t>ión demográfica de la población y para desarrollar in</w:t>
      </w:r>
      <w:r w:rsidR="00166336" w:rsidRPr="00553EA5">
        <w:rPr>
          <w:b/>
        </w:rPr>
        <w:t>dicadores de derechos humanos y socioeconómicos, desglosados por origen étnico, género, edad, regiones, zonas urbanas y rura</w:t>
      </w:r>
      <w:r w:rsidR="00574E9B" w:rsidRPr="00553EA5">
        <w:rPr>
          <w:b/>
        </w:rPr>
        <w:t xml:space="preserve">les, inclusive las más remotas, a fin de </w:t>
      </w:r>
      <w:r w:rsidR="00663EE7" w:rsidRPr="00553EA5">
        <w:rPr>
          <w:b/>
        </w:rPr>
        <w:t>contar con</w:t>
      </w:r>
      <w:r w:rsidR="00574E9B" w:rsidRPr="00553EA5">
        <w:rPr>
          <w:b/>
        </w:rPr>
        <w:t xml:space="preserve"> una</w:t>
      </w:r>
      <w:r w:rsidR="00663EE7" w:rsidRPr="00553EA5">
        <w:rPr>
          <w:b/>
        </w:rPr>
        <w:t xml:space="preserve"> base empírica adecuada para la elaboración de</w:t>
      </w:r>
      <w:r w:rsidR="00574E9B" w:rsidRPr="00553EA5">
        <w:rPr>
          <w:b/>
        </w:rPr>
        <w:t xml:space="preserve"> políticas encaminadas a mejorar el disfrute de los derechos enunciados en la Convención. </w:t>
      </w:r>
      <w:r w:rsidR="00A11208" w:rsidRPr="00553EA5">
        <w:rPr>
          <w:b/>
        </w:rPr>
        <w:t>E</w:t>
      </w:r>
      <w:r w:rsidR="00AA56C5" w:rsidRPr="00553EA5">
        <w:rPr>
          <w:b/>
        </w:rPr>
        <w:t>l Comité re</w:t>
      </w:r>
      <w:r w:rsidR="003128C7">
        <w:rPr>
          <w:b/>
        </w:rPr>
        <w:t xml:space="preserve">mite </w:t>
      </w:r>
      <w:r w:rsidR="00AA56C5" w:rsidRPr="00553EA5">
        <w:rPr>
          <w:b/>
        </w:rPr>
        <w:t xml:space="preserve">al Estado parte a </w:t>
      </w:r>
      <w:r w:rsidR="008163AC" w:rsidRPr="00553EA5">
        <w:rPr>
          <w:b/>
        </w:rPr>
        <w:t xml:space="preserve">sus </w:t>
      </w:r>
      <w:r w:rsidR="003128C7">
        <w:rPr>
          <w:b/>
        </w:rPr>
        <w:t>r</w:t>
      </w:r>
      <w:r w:rsidR="00AA56C5" w:rsidRPr="00553EA5">
        <w:rPr>
          <w:b/>
        </w:rPr>
        <w:t>ecomendaci</w:t>
      </w:r>
      <w:r w:rsidR="008163AC" w:rsidRPr="00553EA5">
        <w:rPr>
          <w:b/>
        </w:rPr>
        <w:t xml:space="preserve">ones </w:t>
      </w:r>
      <w:r w:rsidR="003128C7">
        <w:rPr>
          <w:b/>
        </w:rPr>
        <w:t>g</w:t>
      </w:r>
      <w:r w:rsidR="00AA56C5" w:rsidRPr="00553EA5">
        <w:rPr>
          <w:b/>
        </w:rPr>
        <w:t>eneral</w:t>
      </w:r>
      <w:r w:rsidR="008163AC" w:rsidRPr="00553EA5">
        <w:rPr>
          <w:b/>
        </w:rPr>
        <w:t>es</w:t>
      </w:r>
      <w:r w:rsidR="00AA56C5" w:rsidRPr="00553EA5">
        <w:rPr>
          <w:b/>
        </w:rPr>
        <w:t xml:space="preserve"> núm. </w:t>
      </w:r>
      <w:r w:rsidR="008163AC" w:rsidRPr="00553EA5">
        <w:rPr>
          <w:b/>
        </w:rPr>
        <w:t>4 (1973) sobre la presentación de informes por los Estados partes</w:t>
      </w:r>
      <w:r w:rsidR="000D1DDB">
        <w:rPr>
          <w:b/>
        </w:rPr>
        <w:t>;</w:t>
      </w:r>
      <w:r w:rsidR="008163AC" w:rsidRPr="00553EA5">
        <w:rPr>
          <w:b/>
        </w:rPr>
        <w:t xml:space="preserve"> </w:t>
      </w:r>
      <w:r w:rsidR="000D1DDB" w:rsidRPr="00553EA5">
        <w:rPr>
          <w:b/>
        </w:rPr>
        <w:t xml:space="preserve">núm. 8 (1990) </w:t>
      </w:r>
      <w:r w:rsidR="00DF3203">
        <w:rPr>
          <w:b/>
        </w:rPr>
        <w:t xml:space="preserve">sobre </w:t>
      </w:r>
      <w:r w:rsidR="000D1DDB" w:rsidRPr="00553EA5">
        <w:rPr>
          <w:b/>
        </w:rPr>
        <w:t>la interpretación y la aplicación de los párrafos 1 y 4 del artículo 1 de la Convención</w:t>
      </w:r>
      <w:r w:rsidR="000D1DDB">
        <w:rPr>
          <w:b/>
        </w:rPr>
        <w:t>;</w:t>
      </w:r>
      <w:r w:rsidR="000D1DDB" w:rsidRPr="00553EA5">
        <w:rPr>
          <w:b/>
        </w:rPr>
        <w:t xml:space="preserve"> </w:t>
      </w:r>
      <w:r w:rsidR="008163AC" w:rsidRPr="00553EA5">
        <w:rPr>
          <w:b/>
        </w:rPr>
        <w:t xml:space="preserve">y núm. </w:t>
      </w:r>
      <w:r w:rsidR="00AA56C5" w:rsidRPr="00553EA5">
        <w:rPr>
          <w:b/>
        </w:rPr>
        <w:t>30 (200</w:t>
      </w:r>
      <w:r w:rsidR="00FD7918">
        <w:rPr>
          <w:b/>
        </w:rPr>
        <w:t>5</w:t>
      </w:r>
      <w:r w:rsidR="00AA56C5" w:rsidRPr="00553EA5">
        <w:rPr>
          <w:b/>
        </w:rPr>
        <w:t>) sobre la discrimin</w:t>
      </w:r>
      <w:r w:rsidR="000A60A2" w:rsidRPr="00553EA5">
        <w:rPr>
          <w:b/>
        </w:rPr>
        <w:t xml:space="preserve">ación contra los no ciudadanos, así como </w:t>
      </w:r>
      <w:r w:rsidR="00AA56C5" w:rsidRPr="00553EA5">
        <w:rPr>
          <w:b/>
        </w:rPr>
        <w:t xml:space="preserve">al Objetivo de Desarrollo Sostenible </w:t>
      </w:r>
      <w:r w:rsidR="00217743" w:rsidRPr="00553EA5">
        <w:rPr>
          <w:b/>
        </w:rPr>
        <w:t>10</w:t>
      </w:r>
      <w:r w:rsidR="00AA56C5" w:rsidRPr="00553EA5">
        <w:rPr>
          <w:b/>
        </w:rPr>
        <w:t xml:space="preserve">. </w:t>
      </w:r>
    </w:p>
    <w:p w14:paraId="4775D3B9" w14:textId="44FC9871" w:rsidR="0058371B" w:rsidRPr="00553EA5" w:rsidRDefault="00BF1428" w:rsidP="00715552">
      <w:pPr>
        <w:pStyle w:val="H23G"/>
      </w:pPr>
      <w:r w:rsidRPr="00553EA5">
        <w:tab/>
      </w:r>
      <w:r w:rsidRPr="00553EA5">
        <w:tab/>
      </w:r>
      <w:r w:rsidR="0058371B" w:rsidRPr="00553EA5">
        <w:t xml:space="preserve">Institución </w:t>
      </w:r>
      <w:r w:rsidR="00D045C1">
        <w:t>n</w:t>
      </w:r>
      <w:r w:rsidR="0058371B" w:rsidRPr="00553EA5">
        <w:t xml:space="preserve">acional de </w:t>
      </w:r>
      <w:r w:rsidR="00D045C1">
        <w:t>d</w:t>
      </w:r>
      <w:r w:rsidR="0058371B" w:rsidRPr="00553EA5">
        <w:t xml:space="preserve">erechos </w:t>
      </w:r>
      <w:r w:rsidR="00D045C1">
        <w:t>h</w:t>
      </w:r>
      <w:r w:rsidR="0058371B" w:rsidRPr="00553EA5">
        <w:t>umanos</w:t>
      </w:r>
    </w:p>
    <w:p w14:paraId="52D536B4" w14:textId="37C93AEF" w:rsidR="0058371B" w:rsidRPr="00553EA5" w:rsidRDefault="00DF7357" w:rsidP="00715552">
      <w:pPr>
        <w:pStyle w:val="SingleTxtG"/>
        <w:rPr>
          <w:vertAlign w:val="superscript"/>
        </w:rPr>
      </w:pPr>
      <w:r>
        <w:t>11.</w:t>
      </w:r>
      <w:r>
        <w:tab/>
      </w:r>
      <w:r w:rsidR="00221692" w:rsidRPr="00553EA5">
        <w:t xml:space="preserve">El Comité </w:t>
      </w:r>
      <w:r w:rsidR="00C647AC" w:rsidRPr="00553EA5">
        <w:t>continúa</w:t>
      </w:r>
      <w:r w:rsidR="00221692" w:rsidRPr="00553EA5">
        <w:t xml:space="preserve"> preocupado por la falta de una </w:t>
      </w:r>
      <w:r w:rsidR="0058371B" w:rsidRPr="00553EA5">
        <w:t xml:space="preserve">institución nacional </w:t>
      </w:r>
      <w:r w:rsidR="00DF7E95" w:rsidRPr="00553EA5">
        <w:t>encargada de la protección y promoción de los derechos humanos</w:t>
      </w:r>
      <w:r w:rsidR="00847CF5">
        <w:t xml:space="preserve"> </w:t>
      </w:r>
      <w:r w:rsidR="0058371B" w:rsidRPr="00553EA5">
        <w:t xml:space="preserve">de conformidad con los </w:t>
      </w:r>
      <w:r w:rsidR="00FD7918">
        <w:t>p</w:t>
      </w:r>
      <w:r w:rsidR="0058371B" w:rsidRPr="00553EA5">
        <w:t xml:space="preserve">rincipios </w:t>
      </w:r>
      <w:r w:rsidR="00221692" w:rsidRPr="00553EA5">
        <w:rPr>
          <w:bCs/>
        </w:rPr>
        <w:t>relativos al estatuto de las instituciones nacionales de promoción y protección de los derechos humanos (Principios de París</w:t>
      </w:r>
      <w:r w:rsidR="001E2DF6">
        <w:rPr>
          <w:bCs/>
        </w:rPr>
        <w:t>) (</w:t>
      </w:r>
      <w:r w:rsidR="00C647AC" w:rsidRPr="00553EA5">
        <w:rPr>
          <w:bCs/>
        </w:rPr>
        <w:t>art.</w:t>
      </w:r>
      <w:r w:rsidR="00FB71AA">
        <w:rPr>
          <w:bCs/>
        </w:rPr>
        <w:t xml:space="preserve"> </w:t>
      </w:r>
      <w:r w:rsidR="00C647AC" w:rsidRPr="00553EA5">
        <w:rPr>
          <w:bCs/>
        </w:rPr>
        <w:t>2)</w:t>
      </w:r>
      <w:r w:rsidR="00AE5C46">
        <w:rPr>
          <w:bCs/>
        </w:rPr>
        <w:t>.</w:t>
      </w:r>
    </w:p>
    <w:p w14:paraId="5BE7BBD2" w14:textId="66A8F181" w:rsidR="0058371B" w:rsidRPr="00553EA5" w:rsidRDefault="00DF7357" w:rsidP="00715552">
      <w:pPr>
        <w:pStyle w:val="SingleTxtG"/>
      </w:pPr>
      <w:r w:rsidRPr="00715552">
        <w:t>12.</w:t>
      </w:r>
      <w:r w:rsidRPr="00715552">
        <w:tab/>
      </w:r>
      <w:r w:rsidR="00150E6F" w:rsidRPr="00553EA5">
        <w:rPr>
          <w:b/>
        </w:rPr>
        <w:t>El Comité reitera su an</w:t>
      </w:r>
      <w:r w:rsidR="0058371B" w:rsidRPr="00553EA5">
        <w:rPr>
          <w:b/>
        </w:rPr>
        <w:t xml:space="preserve">terior </w:t>
      </w:r>
      <w:r w:rsidR="0058371B" w:rsidRPr="00553EA5">
        <w:rPr>
          <w:b/>
          <w:bCs/>
        </w:rPr>
        <w:t>recomendación</w:t>
      </w:r>
      <w:r w:rsidR="0058371B" w:rsidRPr="00553EA5">
        <w:rPr>
          <w:b/>
        </w:rPr>
        <w:t xml:space="preserve"> (</w:t>
      </w:r>
      <w:r w:rsidR="003E2A7E">
        <w:rPr>
          <w:b/>
        </w:rPr>
        <w:t xml:space="preserve">véase </w:t>
      </w:r>
      <w:r w:rsidR="0058371B" w:rsidRPr="00553EA5">
        <w:rPr>
          <w:b/>
        </w:rPr>
        <w:t>CERD/C/CUB/CO/14-18, párr.</w:t>
      </w:r>
      <w:r w:rsidR="00FB71AA">
        <w:rPr>
          <w:b/>
        </w:rPr>
        <w:t xml:space="preserve"> </w:t>
      </w:r>
      <w:r w:rsidR="0058371B" w:rsidRPr="00553EA5">
        <w:rPr>
          <w:b/>
        </w:rPr>
        <w:t xml:space="preserve">13), </w:t>
      </w:r>
      <w:r w:rsidR="00150E6F" w:rsidRPr="00553EA5">
        <w:rPr>
          <w:b/>
        </w:rPr>
        <w:t xml:space="preserve">e </w:t>
      </w:r>
      <w:r w:rsidR="0058371B" w:rsidRPr="00553EA5">
        <w:rPr>
          <w:b/>
        </w:rPr>
        <w:t xml:space="preserve">insta al Estado parte </w:t>
      </w:r>
      <w:r w:rsidR="0058371B" w:rsidRPr="00553EA5">
        <w:rPr>
          <w:b/>
          <w:bCs/>
        </w:rPr>
        <w:t xml:space="preserve">a establecer una institución nacional de derechos humanos independiente, de conformidad con los Principios de París, </w:t>
      </w:r>
      <w:r w:rsidR="00150E6F" w:rsidRPr="00553EA5">
        <w:rPr>
          <w:b/>
          <w:bCs/>
        </w:rPr>
        <w:t xml:space="preserve">que </w:t>
      </w:r>
      <w:r w:rsidR="00150E6F" w:rsidRPr="00553EA5">
        <w:rPr>
          <w:b/>
        </w:rPr>
        <w:t>tenga como mandato promover y proteger los derechos humanos</w:t>
      </w:r>
      <w:r w:rsidR="00F62A98" w:rsidRPr="00553EA5">
        <w:rPr>
          <w:b/>
        </w:rPr>
        <w:t xml:space="preserve">, así como dar </w:t>
      </w:r>
      <w:r w:rsidR="00150E6F" w:rsidRPr="00553EA5">
        <w:rPr>
          <w:b/>
        </w:rPr>
        <w:t xml:space="preserve">seguimiento </w:t>
      </w:r>
      <w:r w:rsidR="0058371B" w:rsidRPr="00553EA5">
        <w:rPr>
          <w:b/>
        </w:rPr>
        <w:t>a la lucha contra el racismo y la discriminación racial.</w:t>
      </w:r>
      <w:r w:rsidR="00F62A98" w:rsidRPr="00553EA5">
        <w:rPr>
          <w:b/>
        </w:rPr>
        <w:t xml:space="preserve"> El Comité </w:t>
      </w:r>
      <w:r w:rsidR="00EB4803">
        <w:rPr>
          <w:b/>
        </w:rPr>
        <w:t xml:space="preserve">refiere al </w:t>
      </w:r>
      <w:r w:rsidR="00F62A98" w:rsidRPr="00553EA5">
        <w:rPr>
          <w:b/>
        </w:rPr>
        <w:t xml:space="preserve">Estado parte </w:t>
      </w:r>
      <w:r w:rsidR="00EB4803">
        <w:rPr>
          <w:b/>
        </w:rPr>
        <w:t xml:space="preserve">a </w:t>
      </w:r>
      <w:r w:rsidR="00F62A98" w:rsidRPr="00553EA5">
        <w:rPr>
          <w:b/>
        </w:rPr>
        <w:t xml:space="preserve">su </w:t>
      </w:r>
      <w:r w:rsidR="002749C0">
        <w:rPr>
          <w:b/>
        </w:rPr>
        <w:t>r</w:t>
      </w:r>
      <w:r w:rsidR="00F62A98" w:rsidRPr="00553EA5">
        <w:rPr>
          <w:b/>
        </w:rPr>
        <w:t>ecomendación general n</w:t>
      </w:r>
      <w:r w:rsidR="002749C0">
        <w:rPr>
          <w:b/>
        </w:rPr>
        <w:t>úm.</w:t>
      </w:r>
      <w:r w:rsidR="00F62A98" w:rsidRPr="00553EA5">
        <w:rPr>
          <w:b/>
        </w:rPr>
        <w:t xml:space="preserve"> 17 (1993) </w:t>
      </w:r>
      <w:r w:rsidR="00253DA0">
        <w:rPr>
          <w:b/>
        </w:rPr>
        <w:t xml:space="preserve">sobre el </w:t>
      </w:r>
      <w:r w:rsidR="00F62A98" w:rsidRPr="00553EA5">
        <w:rPr>
          <w:b/>
        </w:rPr>
        <w:t xml:space="preserve">establecimiento de instituciones nacionales para facilitar la aplicación de la Convención. </w:t>
      </w:r>
    </w:p>
    <w:p w14:paraId="1E3D6A0D" w14:textId="6A7EBB75" w:rsidR="00847CF5" w:rsidRPr="00553EA5" w:rsidRDefault="00847CF5" w:rsidP="000D4881">
      <w:pPr>
        <w:pStyle w:val="H23G"/>
      </w:pPr>
      <w:r>
        <w:lastRenderedPageBreak/>
        <w:tab/>
      </w:r>
      <w:r w:rsidR="00DF7357">
        <w:tab/>
      </w:r>
      <w:r w:rsidRPr="00553EA5">
        <w:t xml:space="preserve">Situación de los defensores de derechos humanos </w:t>
      </w:r>
    </w:p>
    <w:p w14:paraId="351A2893" w14:textId="30AD3633" w:rsidR="00847CF5" w:rsidRPr="00553EA5" w:rsidRDefault="00DF7357" w:rsidP="00715552">
      <w:pPr>
        <w:pStyle w:val="SingleTxtG"/>
      </w:pPr>
      <w:r>
        <w:t>13.</w:t>
      </w:r>
      <w:r>
        <w:tab/>
      </w:r>
      <w:r w:rsidR="00847CF5" w:rsidRPr="00553EA5">
        <w:t>Preocupa</w:t>
      </w:r>
      <w:r w:rsidR="00847CF5">
        <w:t>n</w:t>
      </w:r>
      <w:r w:rsidR="00847CF5" w:rsidRPr="00553EA5">
        <w:t xml:space="preserve"> profundamente al Comité las alegaciones de actos de acoso, hostigamiento, intimidación, amenazas, descalificación y criminalización en contra de defensores de derechos humanos, </w:t>
      </w:r>
      <w:r w:rsidR="00847CF5">
        <w:t>en particular contra</w:t>
      </w:r>
      <w:r w:rsidR="00847CF5" w:rsidRPr="00553EA5">
        <w:t xml:space="preserve"> líderes de </w:t>
      </w:r>
      <w:r w:rsidR="00847CF5">
        <w:t xml:space="preserve">la sociedad civil, periodistas, comunicadores y defensores de derechos humanos </w:t>
      </w:r>
      <w:r w:rsidR="00847CF5" w:rsidRPr="00553EA5">
        <w:t>que trabajan en contra de la discriminación racial</w:t>
      </w:r>
      <w:r w:rsidR="00847CF5">
        <w:t xml:space="preserve"> y en favor de </w:t>
      </w:r>
      <w:r w:rsidR="00847CF5" w:rsidRPr="00553EA5">
        <w:t xml:space="preserve">los derechos humanos de los afrodescendientes. Preocupa al Comité que, según denuncias recibidas, en reiteradas ocasiones, los defensores de derechos humanos y líderes </w:t>
      </w:r>
      <w:r w:rsidR="00847CF5">
        <w:t xml:space="preserve">de la sociedad civil que defienden los derechos de los afrodescendientes han sido </w:t>
      </w:r>
      <w:r w:rsidR="00847CF5" w:rsidRPr="00553EA5">
        <w:t xml:space="preserve">detenidos por cortos períodos de tiempo o se les ha impedido salir del país para asistir a reuniones organizadas por mecanismos internacionales de protección de </w:t>
      </w:r>
      <w:r w:rsidR="00847CF5">
        <w:t xml:space="preserve">los </w:t>
      </w:r>
      <w:r w:rsidR="00847CF5" w:rsidRPr="00553EA5">
        <w:t xml:space="preserve">derechos humanos. En particular, el Comité nota con preocupación la información recibida sobre la restricción impuesta a </w:t>
      </w:r>
      <w:r w:rsidR="00D773CC">
        <w:t>lo</w:t>
      </w:r>
      <w:r w:rsidR="00D773CC" w:rsidRPr="00553EA5">
        <w:t xml:space="preserve">s </w:t>
      </w:r>
      <w:r w:rsidR="00847CF5">
        <w:t>defensores de derechos humanos</w:t>
      </w:r>
      <w:r w:rsidR="00D773CC">
        <w:t xml:space="preserve"> </w:t>
      </w:r>
      <w:r w:rsidR="00847CF5" w:rsidRPr="00553EA5">
        <w:t xml:space="preserve">para viajar y poder participar del examen que este Comité </w:t>
      </w:r>
      <w:r w:rsidR="00847CF5">
        <w:t>ha llevado</w:t>
      </w:r>
      <w:r w:rsidR="00847CF5" w:rsidRPr="00553EA5">
        <w:t xml:space="preserve"> a cabo con relación al informe presentado por el Estado parte. </w:t>
      </w:r>
      <w:r w:rsidR="00847CF5" w:rsidRPr="001019F1">
        <w:t xml:space="preserve">El Comité lamenta que el Estado parte </w:t>
      </w:r>
      <w:r w:rsidR="00D773CC">
        <w:t>no reconozca</w:t>
      </w:r>
      <w:r w:rsidR="00D773CC" w:rsidRPr="001019F1">
        <w:t xml:space="preserve"> </w:t>
      </w:r>
      <w:r w:rsidR="00847CF5" w:rsidRPr="001019F1">
        <w:t>la ocurrencia de estos actos y que por tanto no haya tomado medidas para investigarlos ni prevenirlos (arts. 2 y 5).</w:t>
      </w:r>
    </w:p>
    <w:p w14:paraId="47935D8D" w14:textId="3DB106BC" w:rsidR="00847CF5" w:rsidRPr="00553EA5" w:rsidRDefault="00DF7357" w:rsidP="00715552">
      <w:pPr>
        <w:pStyle w:val="SingleTxtG"/>
      </w:pPr>
      <w:r w:rsidRPr="00715552">
        <w:t>14.</w:t>
      </w:r>
      <w:r w:rsidRPr="00715552">
        <w:tab/>
      </w:r>
      <w:r w:rsidR="00847CF5" w:rsidRPr="00553EA5">
        <w:rPr>
          <w:b/>
        </w:rPr>
        <w:t xml:space="preserve">El Comité insta al Estado parte a que: </w:t>
      </w:r>
    </w:p>
    <w:p w14:paraId="7B78D55E" w14:textId="437E5583" w:rsidR="00847CF5" w:rsidRPr="00715552" w:rsidRDefault="00DF7357" w:rsidP="000D4881">
      <w:pPr>
        <w:pStyle w:val="SingleTxtG"/>
        <w:rPr>
          <w:b/>
        </w:rPr>
      </w:pPr>
      <w:r>
        <w:tab/>
      </w:r>
      <w:r w:rsidRPr="00715552">
        <w:rPr>
          <w:b/>
        </w:rPr>
        <w:t>a)</w:t>
      </w:r>
      <w:r w:rsidRPr="00715552">
        <w:rPr>
          <w:b/>
        </w:rPr>
        <w:tab/>
      </w:r>
      <w:r w:rsidR="00847CF5" w:rsidRPr="00715552">
        <w:rPr>
          <w:b/>
        </w:rPr>
        <w:t>Adopte medidas efectivas y oportunas para prevenir actos</w:t>
      </w:r>
      <w:r w:rsidR="0042175B" w:rsidRPr="00715552">
        <w:rPr>
          <w:b/>
        </w:rPr>
        <w:t xml:space="preserve"> de</w:t>
      </w:r>
      <w:r w:rsidR="00847CF5" w:rsidRPr="00715552">
        <w:rPr>
          <w:b/>
        </w:rPr>
        <w:t xml:space="preserve"> </w:t>
      </w:r>
      <w:r w:rsidR="00D773CC" w:rsidRPr="00715552">
        <w:rPr>
          <w:b/>
        </w:rPr>
        <w:t xml:space="preserve">acoso, </w:t>
      </w:r>
      <w:r w:rsidR="00847CF5" w:rsidRPr="00715552">
        <w:rPr>
          <w:b/>
        </w:rPr>
        <w:t xml:space="preserve">hostigamiento, intimidación, </w:t>
      </w:r>
      <w:r w:rsidR="00D773CC" w:rsidRPr="00715552">
        <w:rPr>
          <w:b/>
        </w:rPr>
        <w:t xml:space="preserve">amenazas, descalificación y criminalización </w:t>
      </w:r>
      <w:r w:rsidR="00847CF5" w:rsidRPr="00715552">
        <w:rPr>
          <w:b/>
        </w:rPr>
        <w:t xml:space="preserve">en contra de defensores de derechos humanos, en particular contra líderes de la sociedad civil, periodistas, comunicadores y defensores de derechos humanos que trabajan en contra de la discriminación racial y en favor de los derechos humanos de los afrodescendientes; </w:t>
      </w:r>
    </w:p>
    <w:p w14:paraId="659E6D9C" w14:textId="3AA8BECD" w:rsidR="00847CF5" w:rsidRPr="00715552" w:rsidRDefault="00DF7357" w:rsidP="000D4881">
      <w:pPr>
        <w:pStyle w:val="SingleTxtG"/>
        <w:rPr>
          <w:b/>
        </w:rPr>
      </w:pPr>
      <w:r>
        <w:tab/>
      </w:r>
      <w:r w:rsidRPr="00715552">
        <w:rPr>
          <w:b/>
        </w:rPr>
        <w:t>b)</w:t>
      </w:r>
      <w:r w:rsidRPr="00715552">
        <w:rPr>
          <w:b/>
        </w:rPr>
        <w:tab/>
      </w:r>
      <w:r w:rsidR="00847CF5" w:rsidRPr="00715552">
        <w:rPr>
          <w:b/>
        </w:rPr>
        <w:t xml:space="preserve">Establezca un </w:t>
      </w:r>
      <w:r w:rsidR="00847CF5" w:rsidRPr="00715552">
        <w:rPr>
          <w:b/>
          <w:lang w:eastAsia="en-US"/>
        </w:rPr>
        <w:t>mecanismo nacional de protección de defensores de derechos humanos independiente</w:t>
      </w:r>
      <w:r w:rsidR="00847CF5" w:rsidRPr="00715552">
        <w:rPr>
          <w:rFonts w:eastAsia="SimSun"/>
          <w:b/>
          <w:lang w:eastAsia="en-US"/>
        </w:rPr>
        <w:t>, así como estrategias apropiadas de protección y prevea la asignación de recursos humanos, financieros y técnicos adecuados para su funcionamiento efectivo</w:t>
      </w:r>
      <w:r w:rsidR="00847CF5" w:rsidRPr="00715552">
        <w:rPr>
          <w:b/>
        </w:rPr>
        <w:t xml:space="preserve">; </w:t>
      </w:r>
    </w:p>
    <w:p w14:paraId="09DFDA42" w14:textId="1C0AFD53" w:rsidR="00847CF5" w:rsidRPr="00553EA5" w:rsidRDefault="00DF7357" w:rsidP="000D4881">
      <w:pPr>
        <w:pStyle w:val="SingleTxtG"/>
        <w:rPr>
          <w:b/>
        </w:rPr>
      </w:pPr>
      <w:r>
        <w:rPr>
          <w:b/>
        </w:rPr>
        <w:tab/>
      </w:r>
      <w:r w:rsidR="00172775">
        <w:rPr>
          <w:b/>
        </w:rPr>
        <w:t>c)</w:t>
      </w:r>
      <w:r w:rsidR="00172775">
        <w:rPr>
          <w:b/>
        </w:rPr>
        <w:tab/>
      </w:r>
      <w:r w:rsidR="00847CF5" w:rsidRPr="00553EA5">
        <w:rPr>
          <w:b/>
        </w:rPr>
        <w:t xml:space="preserve">Investigue todo acto de </w:t>
      </w:r>
      <w:r w:rsidR="00D773CC">
        <w:rPr>
          <w:b/>
        </w:rPr>
        <w:t xml:space="preserve">acoso, </w:t>
      </w:r>
      <w:r w:rsidR="00847CF5" w:rsidRPr="00553EA5">
        <w:rPr>
          <w:b/>
        </w:rPr>
        <w:t>hostigamiento, intimidación, amenazas</w:t>
      </w:r>
      <w:r w:rsidR="00D773CC">
        <w:rPr>
          <w:b/>
        </w:rPr>
        <w:t>, descalificación y criminalización</w:t>
      </w:r>
      <w:r w:rsidR="00847CF5" w:rsidRPr="00553EA5">
        <w:rPr>
          <w:b/>
        </w:rPr>
        <w:t xml:space="preserve"> contra defensores de derechos humanos, y castigue debidamente a los responsables;</w:t>
      </w:r>
    </w:p>
    <w:p w14:paraId="6BC4CE9F" w14:textId="586F701E" w:rsidR="00847CF5" w:rsidRPr="00553EA5" w:rsidRDefault="00172775" w:rsidP="000D4881">
      <w:pPr>
        <w:pStyle w:val="SingleTxtG"/>
        <w:rPr>
          <w:b/>
        </w:rPr>
      </w:pPr>
      <w:r>
        <w:rPr>
          <w:b/>
        </w:rPr>
        <w:tab/>
        <w:t>d)</w:t>
      </w:r>
      <w:r>
        <w:rPr>
          <w:b/>
        </w:rPr>
        <w:tab/>
      </w:r>
      <w:r w:rsidR="00847CF5" w:rsidRPr="00553EA5">
        <w:rPr>
          <w:b/>
        </w:rPr>
        <w:t>Adopte las medidas necesarias para que los defensores de derechos humanos</w:t>
      </w:r>
      <w:r w:rsidR="00847CF5">
        <w:rPr>
          <w:b/>
        </w:rPr>
        <w:t xml:space="preserve">, en particular los </w:t>
      </w:r>
      <w:r w:rsidR="00847CF5" w:rsidRPr="00EA2F27">
        <w:rPr>
          <w:b/>
        </w:rPr>
        <w:t xml:space="preserve">líderes de </w:t>
      </w:r>
      <w:r w:rsidR="00847CF5">
        <w:rPr>
          <w:b/>
        </w:rPr>
        <w:t xml:space="preserve">la sociedad civil </w:t>
      </w:r>
      <w:r w:rsidR="00847CF5" w:rsidRPr="00EA2F27">
        <w:rPr>
          <w:b/>
        </w:rPr>
        <w:t xml:space="preserve">y defensores de derechos humanos que trabajan en </w:t>
      </w:r>
      <w:r w:rsidR="00847CF5" w:rsidRPr="00EA2F27">
        <w:rPr>
          <w:b/>
          <w:lang w:eastAsia="en-US"/>
        </w:rPr>
        <w:t>contra</w:t>
      </w:r>
      <w:r w:rsidR="00847CF5" w:rsidRPr="00EA2F27">
        <w:rPr>
          <w:b/>
        </w:rPr>
        <w:t xml:space="preserve"> de la discriminación racial y en favor de los derechos humanos de los afrodescendientes</w:t>
      </w:r>
      <w:r w:rsidR="00847CF5" w:rsidRPr="00553EA5">
        <w:rPr>
          <w:b/>
        </w:rPr>
        <w:t xml:space="preserve"> no sean objeto de restricciones arbitrarias para poder asistir y participar en las reuniones y trabajos que realizan los mecanismos internacionales de protección de los derechos humanos;</w:t>
      </w:r>
    </w:p>
    <w:p w14:paraId="570AE7EB" w14:textId="455F8539" w:rsidR="00965117" w:rsidRDefault="00172775" w:rsidP="000D4881">
      <w:pPr>
        <w:pStyle w:val="SingleTxtG"/>
        <w:rPr>
          <w:b/>
        </w:rPr>
      </w:pPr>
      <w:r>
        <w:rPr>
          <w:b/>
        </w:rPr>
        <w:tab/>
        <w:t>e)</w:t>
      </w:r>
      <w:r>
        <w:rPr>
          <w:b/>
        </w:rPr>
        <w:tab/>
      </w:r>
      <w:r w:rsidR="00847CF5" w:rsidRPr="00553EA5">
        <w:rPr>
          <w:b/>
        </w:rPr>
        <w:t xml:space="preserve">Realice campañas de información y sensibilización sobre el trabajo fundamental que </w:t>
      </w:r>
      <w:r w:rsidR="00847CF5" w:rsidRPr="00553EA5">
        <w:rPr>
          <w:b/>
          <w:lang w:eastAsia="en-US"/>
        </w:rPr>
        <w:t>realizan</w:t>
      </w:r>
      <w:r w:rsidR="00847CF5" w:rsidRPr="00553EA5">
        <w:rPr>
          <w:b/>
        </w:rPr>
        <w:t xml:space="preserve"> los defensores de derechos humanos, a fin de fomentar un entorno seguro y propicio que les permita llevar a cabo su labor, libres de todo tipo de intimidación, amenazas, ataques y represalias. </w:t>
      </w:r>
    </w:p>
    <w:p w14:paraId="19025E79" w14:textId="0C1E4427" w:rsidR="0008265B" w:rsidRPr="00553EA5" w:rsidRDefault="00847CF5" w:rsidP="00715552">
      <w:pPr>
        <w:pStyle w:val="H23G"/>
      </w:pPr>
      <w:r>
        <w:tab/>
      </w:r>
      <w:r>
        <w:tab/>
      </w:r>
      <w:r w:rsidR="009D3781" w:rsidRPr="00553EA5">
        <w:t>Definición de discriminación racial</w:t>
      </w:r>
    </w:p>
    <w:p w14:paraId="0AEF0A6A" w14:textId="2C73C404" w:rsidR="0008265B" w:rsidRPr="00553EA5" w:rsidRDefault="00172775" w:rsidP="00715552">
      <w:pPr>
        <w:pStyle w:val="SingleTxtG"/>
        <w:rPr>
          <w:rStyle w:val="col-xs-12"/>
          <w:b/>
        </w:rPr>
      </w:pPr>
      <w:r>
        <w:rPr>
          <w:rStyle w:val="col-xs-12"/>
        </w:rPr>
        <w:t>15.</w:t>
      </w:r>
      <w:r>
        <w:rPr>
          <w:rStyle w:val="col-xs-12"/>
        </w:rPr>
        <w:tab/>
      </w:r>
      <w:r w:rsidR="00233B4E" w:rsidRPr="00553EA5">
        <w:rPr>
          <w:rStyle w:val="col-xs-12"/>
        </w:rPr>
        <w:t>E</w:t>
      </w:r>
      <w:r w:rsidR="009D3781" w:rsidRPr="00553EA5">
        <w:rPr>
          <w:rStyle w:val="col-xs-12"/>
        </w:rPr>
        <w:t>l</w:t>
      </w:r>
      <w:r w:rsidR="0008265B" w:rsidRPr="00553EA5">
        <w:t xml:space="preserve"> Comité observa que el Estado parte </w:t>
      </w:r>
      <w:r w:rsidR="0008265B" w:rsidRPr="00553EA5">
        <w:rPr>
          <w:rStyle w:val="col-xs-12"/>
        </w:rPr>
        <w:t xml:space="preserve">ha </w:t>
      </w:r>
      <w:r w:rsidR="009D3781" w:rsidRPr="00553EA5">
        <w:rPr>
          <w:rStyle w:val="col-xs-12"/>
        </w:rPr>
        <w:t>incorporado</w:t>
      </w:r>
      <w:r w:rsidR="0008265B" w:rsidRPr="00553EA5">
        <w:rPr>
          <w:rStyle w:val="col-xs-12"/>
        </w:rPr>
        <w:t xml:space="preserve"> </w:t>
      </w:r>
      <w:r w:rsidR="00092E82" w:rsidRPr="00553EA5">
        <w:rPr>
          <w:rStyle w:val="col-xs-12"/>
        </w:rPr>
        <w:t xml:space="preserve">en </w:t>
      </w:r>
      <w:r w:rsidR="009D3781" w:rsidRPr="00553EA5">
        <w:rPr>
          <w:rStyle w:val="col-xs-12"/>
        </w:rPr>
        <w:t>su legislación disposiciones</w:t>
      </w:r>
      <w:r w:rsidR="00092E82" w:rsidRPr="00553EA5">
        <w:rPr>
          <w:rStyle w:val="col-xs-12"/>
        </w:rPr>
        <w:t xml:space="preserve"> </w:t>
      </w:r>
      <w:r w:rsidR="0008265B" w:rsidRPr="00553EA5">
        <w:rPr>
          <w:rStyle w:val="col-xs-12"/>
        </w:rPr>
        <w:t xml:space="preserve">que </w:t>
      </w:r>
      <w:r w:rsidR="0008265B" w:rsidRPr="00553EA5">
        <w:t>prohíben</w:t>
      </w:r>
      <w:r w:rsidR="0008265B" w:rsidRPr="00553EA5">
        <w:rPr>
          <w:rStyle w:val="col-xs-12"/>
        </w:rPr>
        <w:t xml:space="preserve"> la </w:t>
      </w:r>
      <w:r w:rsidR="0008265B" w:rsidRPr="00553EA5">
        <w:rPr>
          <w:rStyle w:val="highlight"/>
        </w:rPr>
        <w:t>discriminación</w:t>
      </w:r>
      <w:r w:rsidR="0008265B" w:rsidRPr="00553EA5">
        <w:rPr>
          <w:rStyle w:val="col-xs-12"/>
        </w:rPr>
        <w:t xml:space="preserve"> racial</w:t>
      </w:r>
      <w:r w:rsidR="00233B4E" w:rsidRPr="00553EA5">
        <w:rPr>
          <w:rStyle w:val="col-xs-12"/>
        </w:rPr>
        <w:t xml:space="preserve"> y </w:t>
      </w:r>
      <w:r w:rsidR="009D3781" w:rsidRPr="00553EA5">
        <w:rPr>
          <w:rStyle w:val="col-xs-12"/>
        </w:rPr>
        <w:t xml:space="preserve">toma nota </w:t>
      </w:r>
      <w:r w:rsidR="00467C61" w:rsidRPr="00553EA5">
        <w:rPr>
          <w:rStyle w:val="col-xs-12"/>
        </w:rPr>
        <w:t xml:space="preserve">que actualmente se encuentra en proceso de </w:t>
      </w:r>
      <w:r w:rsidR="00233B4E" w:rsidRPr="00553EA5">
        <w:rPr>
          <w:rStyle w:val="col-xs-12"/>
        </w:rPr>
        <w:t>elaboración una nueva Constitución</w:t>
      </w:r>
      <w:r w:rsidR="009D3781" w:rsidRPr="00553EA5">
        <w:rPr>
          <w:rStyle w:val="col-xs-12"/>
        </w:rPr>
        <w:t xml:space="preserve"> y </w:t>
      </w:r>
      <w:r w:rsidR="00467C61" w:rsidRPr="00553EA5">
        <w:rPr>
          <w:rStyle w:val="col-xs-12"/>
        </w:rPr>
        <w:t>un nuevo</w:t>
      </w:r>
      <w:r w:rsidR="009D3781" w:rsidRPr="00553EA5">
        <w:rPr>
          <w:rStyle w:val="col-xs-12"/>
        </w:rPr>
        <w:t xml:space="preserve"> Código Penal</w:t>
      </w:r>
      <w:r w:rsidR="00233B4E" w:rsidRPr="00553EA5">
        <w:rPr>
          <w:rStyle w:val="col-xs-12"/>
        </w:rPr>
        <w:t>. S</w:t>
      </w:r>
      <w:r w:rsidR="00467C61" w:rsidRPr="00553EA5">
        <w:rPr>
          <w:rStyle w:val="col-xs-12"/>
        </w:rPr>
        <w:t xml:space="preserve">in embargo, </w:t>
      </w:r>
      <w:r w:rsidR="00217743" w:rsidRPr="00553EA5">
        <w:rPr>
          <w:rStyle w:val="col-xs-12"/>
        </w:rPr>
        <w:t xml:space="preserve">le </w:t>
      </w:r>
      <w:r w:rsidR="00467C61" w:rsidRPr="00553EA5">
        <w:rPr>
          <w:rStyle w:val="col-xs-12"/>
        </w:rPr>
        <w:t xml:space="preserve">preocupa que las disposiciones contenidas en la legislación vigente y en el proyecto </w:t>
      </w:r>
      <w:r w:rsidR="00C14FFD" w:rsidRPr="00553EA5">
        <w:rPr>
          <w:rStyle w:val="col-xs-12"/>
        </w:rPr>
        <w:t>de Constitución</w:t>
      </w:r>
      <w:r w:rsidR="00467C61" w:rsidRPr="00553EA5">
        <w:rPr>
          <w:rStyle w:val="col-xs-12"/>
        </w:rPr>
        <w:t xml:space="preserve">, </w:t>
      </w:r>
      <w:r w:rsidR="00233B4E" w:rsidRPr="00553EA5">
        <w:rPr>
          <w:rStyle w:val="col-xs-12"/>
        </w:rPr>
        <w:t>no se ajuste</w:t>
      </w:r>
      <w:r w:rsidR="009D3781" w:rsidRPr="00553EA5">
        <w:rPr>
          <w:rStyle w:val="col-xs-12"/>
        </w:rPr>
        <w:t>n</w:t>
      </w:r>
      <w:r w:rsidR="00233B4E" w:rsidRPr="00553EA5">
        <w:rPr>
          <w:rStyle w:val="col-xs-12"/>
        </w:rPr>
        <w:t xml:space="preserve"> plenamente </w:t>
      </w:r>
      <w:r w:rsidR="009D3781" w:rsidRPr="00553EA5">
        <w:rPr>
          <w:rStyle w:val="col-xs-12"/>
        </w:rPr>
        <w:t xml:space="preserve">a lo establecido en </w:t>
      </w:r>
      <w:r w:rsidR="0008265B" w:rsidRPr="00553EA5">
        <w:t>el artículo 1 de la Convención</w:t>
      </w:r>
      <w:r w:rsidR="00233B4E" w:rsidRPr="00553EA5">
        <w:t xml:space="preserve">, ni </w:t>
      </w:r>
      <w:r w:rsidR="0008265B" w:rsidRPr="00553EA5">
        <w:t>contemple los actos de discriminación directa e indirecta</w:t>
      </w:r>
      <w:r w:rsidR="00467C61" w:rsidRPr="00553EA5">
        <w:t xml:space="preserve"> </w:t>
      </w:r>
      <w:r w:rsidR="00092E82" w:rsidRPr="00553EA5">
        <w:t>(arts. 1, párr. 1</w:t>
      </w:r>
      <w:r w:rsidR="00E1150A">
        <w:t>,</w:t>
      </w:r>
      <w:r w:rsidR="00092E82" w:rsidRPr="00553EA5">
        <w:t xml:space="preserve"> y 2, párr. 1</w:t>
      </w:r>
      <w:r w:rsidR="00E1150A">
        <w:t>, apdo.</w:t>
      </w:r>
      <w:r w:rsidR="00092E82" w:rsidRPr="00553EA5">
        <w:t xml:space="preserve"> </w:t>
      </w:r>
      <w:r w:rsidR="00092E82" w:rsidRPr="00715552">
        <w:rPr>
          <w:iCs/>
        </w:rPr>
        <w:t>d)</w:t>
      </w:r>
      <w:r w:rsidR="00092E82" w:rsidRPr="00277DEF">
        <w:rPr>
          <w:iCs/>
        </w:rPr>
        <w:t>).</w:t>
      </w:r>
    </w:p>
    <w:p w14:paraId="2D35D71E" w14:textId="74F01C16" w:rsidR="005D4C9F" w:rsidRPr="00553EA5" w:rsidRDefault="00172775" w:rsidP="00715552">
      <w:pPr>
        <w:pStyle w:val="SingleTxtG"/>
        <w:rPr>
          <w:b/>
        </w:rPr>
      </w:pPr>
      <w:r w:rsidRPr="00715552">
        <w:t>16.</w:t>
      </w:r>
      <w:r w:rsidRPr="00715552">
        <w:tab/>
      </w:r>
      <w:r w:rsidR="0008265B" w:rsidRPr="00553EA5">
        <w:rPr>
          <w:b/>
        </w:rPr>
        <w:t xml:space="preserve">El Comité </w:t>
      </w:r>
      <w:r w:rsidR="00233B4E" w:rsidRPr="00553EA5">
        <w:rPr>
          <w:b/>
        </w:rPr>
        <w:t xml:space="preserve">recomienda </w:t>
      </w:r>
      <w:r w:rsidR="0008265B" w:rsidRPr="00553EA5">
        <w:rPr>
          <w:b/>
        </w:rPr>
        <w:t xml:space="preserve">al Estado parte </w:t>
      </w:r>
      <w:r w:rsidR="00233B4E" w:rsidRPr="00553EA5">
        <w:rPr>
          <w:b/>
        </w:rPr>
        <w:t xml:space="preserve">revisar las disposiciones legales de prohibición de la discriminación racial </w:t>
      </w:r>
      <w:r w:rsidR="00467C61" w:rsidRPr="00553EA5">
        <w:rPr>
          <w:b/>
        </w:rPr>
        <w:t xml:space="preserve">en la legislación existente </w:t>
      </w:r>
      <w:r w:rsidR="00233B4E" w:rsidRPr="00553EA5">
        <w:rPr>
          <w:b/>
        </w:rPr>
        <w:t xml:space="preserve">y </w:t>
      </w:r>
      <w:r w:rsidR="00467C61" w:rsidRPr="00553EA5">
        <w:rPr>
          <w:b/>
        </w:rPr>
        <w:t xml:space="preserve">asegurar que, </w:t>
      </w:r>
      <w:r w:rsidR="00233B4E" w:rsidRPr="00553EA5">
        <w:rPr>
          <w:b/>
        </w:rPr>
        <w:t>en el marco de la elaboración de una nueva Constitución</w:t>
      </w:r>
      <w:r w:rsidR="00467C61" w:rsidRPr="00553EA5">
        <w:rPr>
          <w:b/>
        </w:rPr>
        <w:t xml:space="preserve"> y Código Penal,</w:t>
      </w:r>
      <w:r w:rsidR="00233B4E" w:rsidRPr="00553EA5">
        <w:rPr>
          <w:b/>
        </w:rPr>
        <w:t xml:space="preserve"> se </w:t>
      </w:r>
      <w:r w:rsidR="00467C61" w:rsidRPr="00553EA5">
        <w:rPr>
          <w:b/>
        </w:rPr>
        <w:t xml:space="preserve">incluya </w:t>
      </w:r>
      <w:r w:rsidR="00233B4E" w:rsidRPr="00553EA5">
        <w:rPr>
          <w:b/>
        </w:rPr>
        <w:t xml:space="preserve">una definición y prohibición </w:t>
      </w:r>
      <w:r w:rsidR="009D3781" w:rsidRPr="00553EA5">
        <w:rPr>
          <w:b/>
        </w:rPr>
        <w:t xml:space="preserve">clara y explícita </w:t>
      </w:r>
      <w:r w:rsidR="00233B4E" w:rsidRPr="00553EA5">
        <w:rPr>
          <w:b/>
        </w:rPr>
        <w:t xml:space="preserve">de </w:t>
      </w:r>
      <w:r w:rsidR="00E1150A">
        <w:rPr>
          <w:b/>
        </w:rPr>
        <w:t xml:space="preserve">la </w:t>
      </w:r>
      <w:r w:rsidR="00233B4E" w:rsidRPr="00553EA5">
        <w:rPr>
          <w:b/>
        </w:rPr>
        <w:t xml:space="preserve">discriminación racial que </w:t>
      </w:r>
      <w:r w:rsidR="009D3781" w:rsidRPr="00553EA5">
        <w:rPr>
          <w:b/>
        </w:rPr>
        <w:t>reúna todos los requisitos y elementos contenidos en el artículo 1, párrafo 1</w:t>
      </w:r>
      <w:r w:rsidR="00E1150A">
        <w:rPr>
          <w:b/>
        </w:rPr>
        <w:t>,</w:t>
      </w:r>
      <w:r w:rsidR="009D3781" w:rsidRPr="00553EA5">
        <w:rPr>
          <w:b/>
        </w:rPr>
        <w:t xml:space="preserve"> de </w:t>
      </w:r>
      <w:r w:rsidR="00233B4E" w:rsidRPr="00553EA5">
        <w:rPr>
          <w:b/>
        </w:rPr>
        <w:t>la Convención</w:t>
      </w:r>
      <w:r w:rsidR="009D3781" w:rsidRPr="00553EA5">
        <w:rPr>
          <w:b/>
        </w:rPr>
        <w:t>,</w:t>
      </w:r>
      <w:r w:rsidR="0008265B" w:rsidRPr="00553EA5">
        <w:rPr>
          <w:b/>
        </w:rPr>
        <w:t xml:space="preserve"> y que además contemple los actos de discriminación directa e indirecta.</w:t>
      </w:r>
      <w:r w:rsidR="00467C61" w:rsidRPr="00553EA5">
        <w:rPr>
          <w:b/>
        </w:rPr>
        <w:t xml:space="preserve"> </w:t>
      </w:r>
      <w:r w:rsidR="00CF622C" w:rsidRPr="00553EA5">
        <w:rPr>
          <w:b/>
        </w:rPr>
        <w:t>E</w:t>
      </w:r>
      <w:r w:rsidR="00467C61" w:rsidRPr="00553EA5">
        <w:rPr>
          <w:b/>
        </w:rPr>
        <w:t xml:space="preserve">l Comité </w:t>
      </w:r>
      <w:r w:rsidR="00467C61" w:rsidRPr="00553EA5">
        <w:rPr>
          <w:b/>
        </w:rPr>
        <w:lastRenderedPageBreak/>
        <w:t xml:space="preserve">recomienda al Estado parte que </w:t>
      </w:r>
      <w:r w:rsidR="005B5A99" w:rsidRPr="00553EA5">
        <w:rPr>
          <w:b/>
        </w:rPr>
        <w:t xml:space="preserve">en el marco de la elaboración de un nuevo </w:t>
      </w:r>
      <w:r w:rsidR="00467C61" w:rsidRPr="00553EA5">
        <w:rPr>
          <w:b/>
        </w:rPr>
        <w:t xml:space="preserve">Código Penal </w:t>
      </w:r>
      <w:r w:rsidR="005B5A99" w:rsidRPr="00553EA5">
        <w:rPr>
          <w:b/>
        </w:rPr>
        <w:t xml:space="preserve">se incluya la tipificación como delito de las acciones contenidas en </w:t>
      </w:r>
      <w:r w:rsidR="00467C61" w:rsidRPr="00553EA5">
        <w:rPr>
          <w:b/>
        </w:rPr>
        <w:t>el artículo 4 de la Convención</w:t>
      </w:r>
      <w:r w:rsidR="00217743" w:rsidRPr="00553EA5">
        <w:rPr>
          <w:b/>
        </w:rPr>
        <w:t>,</w:t>
      </w:r>
      <w:r w:rsidR="00467C61" w:rsidRPr="00553EA5">
        <w:rPr>
          <w:b/>
        </w:rPr>
        <w:t xml:space="preserve"> tomando en cuenta su recomendación general núm. 35 (2013) sobre la lucha contra el discurso de od</w:t>
      </w:r>
      <w:r w:rsidR="00F86EF4" w:rsidRPr="00553EA5">
        <w:rPr>
          <w:b/>
        </w:rPr>
        <w:t xml:space="preserve">io racista. El Comité también reitera </w:t>
      </w:r>
      <w:r w:rsidR="005B5A99" w:rsidRPr="00553EA5">
        <w:rPr>
          <w:b/>
        </w:rPr>
        <w:t xml:space="preserve">su anterior recomendación </w:t>
      </w:r>
      <w:r w:rsidR="00C36154" w:rsidRPr="00553EA5">
        <w:rPr>
          <w:b/>
        </w:rPr>
        <w:t xml:space="preserve">y le insta a asegurar </w:t>
      </w:r>
      <w:r w:rsidR="00467C61" w:rsidRPr="00553EA5">
        <w:rPr>
          <w:b/>
        </w:rPr>
        <w:t>que los motivos raciales o basados en el color, linaje u origen nacional o étnico se consideren como circunstancia agravante en las penas impuestas por un delito.</w:t>
      </w:r>
    </w:p>
    <w:p w14:paraId="6C1D97DE" w14:textId="05E6F4FD" w:rsidR="006F0C7C" w:rsidRPr="00553EA5" w:rsidRDefault="00BF1428" w:rsidP="00715552">
      <w:pPr>
        <w:pStyle w:val="H23G"/>
      </w:pPr>
      <w:r w:rsidRPr="00553EA5">
        <w:tab/>
      </w:r>
      <w:r w:rsidRPr="00553EA5">
        <w:tab/>
      </w:r>
      <w:r w:rsidR="006F0C7C" w:rsidRPr="00553EA5">
        <w:t xml:space="preserve">Discriminación contra afrodescendientes </w:t>
      </w:r>
    </w:p>
    <w:p w14:paraId="46580D91" w14:textId="50D3B204" w:rsidR="006F0C7C" w:rsidRPr="00553EA5" w:rsidRDefault="00172775" w:rsidP="00715552">
      <w:pPr>
        <w:pStyle w:val="SingleTxtG"/>
      </w:pPr>
      <w:r>
        <w:t>17.</w:t>
      </w:r>
      <w:r>
        <w:tab/>
      </w:r>
      <w:r w:rsidR="00217743" w:rsidRPr="00553EA5">
        <w:t>El Comité toma nota de las interpretaciones del Estado parte en cuanto a la no existencia de discriminación institucional y estructural en el Estado parte. No obstante, e</w:t>
      </w:r>
      <w:r w:rsidR="006F0C7C" w:rsidRPr="00553EA5">
        <w:t xml:space="preserve">l Comité </w:t>
      </w:r>
      <w:r w:rsidR="00217743" w:rsidRPr="00553EA5">
        <w:t xml:space="preserve">considera que la población afrodescendiente en el Estado parte continúa siendo víctima de racismo y </w:t>
      </w:r>
      <w:r w:rsidR="006F0C7C" w:rsidRPr="00553EA5">
        <w:t>discriminación estructural</w:t>
      </w:r>
      <w:r w:rsidR="00C14FFD">
        <w:t>,</w:t>
      </w:r>
      <w:r w:rsidR="00217743" w:rsidRPr="00553EA5">
        <w:t xml:space="preserve"> como producto del legado histórico de la esclavitud, </w:t>
      </w:r>
      <w:r w:rsidR="006F0C7C" w:rsidRPr="00553EA5">
        <w:t xml:space="preserve">lo cual se pone de manifiesto en la brecha de desigualdad en el ejercicio de los derechos económicos, sociales y culturales de </w:t>
      </w:r>
      <w:r w:rsidR="001703A2" w:rsidRPr="00553EA5">
        <w:t>esta población</w:t>
      </w:r>
      <w:r w:rsidR="006F0C7C" w:rsidRPr="00553EA5">
        <w:t xml:space="preserve"> en relación al resto</w:t>
      </w:r>
      <w:r w:rsidR="00217743" w:rsidRPr="00553EA5">
        <w:t xml:space="preserve">. Preocupan al Comité </w:t>
      </w:r>
      <w:r w:rsidR="001703A2" w:rsidRPr="00553EA5">
        <w:t>los desafíos que enfrenta</w:t>
      </w:r>
      <w:r w:rsidR="00217743" w:rsidRPr="00553EA5">
        <w:t xml:space="preserve"> esta población </w:t>
      </w:r>
      <w:r w:rsidR="001703A2" w:rsidRPr="00553EA5">
        <w:t>para acceder al mercado de trabajo, las bajas tasas de representación en puestos de decisión tanto en el sector público como en el privado, así como los niveles de pobreza que le afecta de manera desproporcionada</w:t>
      </w:r>
      <w:r w:rsidR="006F0C7C" w:rsidRPr="00553EA5">
        <w:t xml:space="preserve"> (arts.</w:t>
      </w:r>
      <w:r w:rsidR="00FB71AA">
        <w:t xml:space="preserve"> </w:t>
      </w:r>
      <w:r w:rsidR="006F0C7C" w:rsidRPr="00553EA5">
        <w:t>2 y</w:t>
      </w:r>
      <w:r w:rsidR="006674F5">
        <w:t> </w:t>
      </w:r>
      <w:r w:rsidR="006F0C7C" w:rsidRPr="00553EA5">
        <w:t xml:space="preserve">5). </w:t>
      </w:r>
    </w:p>
    <w:p w14:paraId="3B0D5F80" w14:textId="0B2C1131" w:rsidR="006F0C7C" w:rsidRPr="00553EA5" w:rsidRDefault="00172775" w:rsidP="00715552">
      <w:pPr>
        <w:pStyle w:val="SingleTxtG"/>
        <w:rPr>
          <w:b/>
        </w:rPr>
      </w:pPr>
      <w:r w:rsidRPr="00715552">
        <w:t>18.</w:t>
      </w:r>
      <w:r w:rsidRPr="00715552">
        <w:tab/>
      </w:r>
      <w:r w:rsidR="00056C1E">
        <w:rPr>
          <w:b/>
        </w:rPr>
        <w:t xml:space="preserve">Tomando en cuenta </w:t>
      </w:r>
      <w:r w:rsidR="00056C1E" w:rsidRPr="00553EA5">
        <w:rPr>
          <w:b/>
        </w:rPr>
        <w:t>sus recomendaciones generales núm.</w:t>
      </w:r>
      <w:r w:rsidR="00FB71AA">
        <w:rPr>
          <w:b/>
        </w:rPr>
        <w:t xml:space="preserve"> </w:t>
      </w:r>
      <w:r w:rsidR="00056C1E" w:rsidRPr="00553EA5">
        <w:rPr>
          <w:b/>
        </w:rPr>
        <w:t xml:space="preserve">32 (2009) sobre el significado y alcance de las medidas especiales en la Convención  y núm. 34 (2011) </w:t>
      </w:r>
      <w:r w:rsidR="00DA3D6B">
        <w:rPr>
          <w:b/>
        </w:rPr>
        <w:t xml:space="preserve">sobre </w:t>
      </w:r>
      <w:r w:rsidR="00056C1E" w:rsidRPr="00553EA5">
        <w:rPr>
          <w:b/>
        </w:rPr>
        <w:t>discriminación racial contra afrodescendientes</w:t>
      </w:r>
      <w:r w:rsidR="00056C1E">
        <w:rPr>
          <w:b/>
        </w:rPr>
        <w:t>, e</w:t>
      </w:r>
      <w:r w:rsidR="00056C1E" w:rsidRPr="00553EA5">
        <w:rPr>
          <w:b/>
        </w:rPr>
        <w:t xml:space="preserve">l </w:t>
      </w:r>
      <w:r w:rsidR="006F0C7C" w:rsidRPr="00553EA5">
        <w:rPr>
          <w:b/>
        </w:rPr>
        <w:t>Comité recomienda al Estado parte que</w:t>
      </w:r>
      <w:r w:rsidR="00217743" w:rsidRPr="00553EA5">
        <w:rPr>
          <w:b/>
        </w:rPr>
        <w:t xml:space="preserve"> intensifique sus esfuerzos para adoptar e implementar </w:t>
      </w:r>
      <w:r w:rsidR="006F0C7C" w:rsidRPr="00553EA5">
        <w:rPr>
          <w:b/>
        </w:rPr>
        <w:t xml:space="preserve">las medidas especiales necesarias </w:t>
      </w:r>
      <w:r w:rsidR="00217743" w:rsidRPr="00553EA5">
        <w:rPr>
          <w:b/>
        </w:rPr>
        <w:t xml:space="preserve">a fin de </w:t>
      </w:r>
      <w:r w:rsidR="006F0C7C" w:rsidRPr="00553EA5">
        <w:rPr>
          <w:b/>
        </w:rPr>
        <w:t xml:space="preserve">poner fin a la discriminación estructural que afecta a </w:t>
      </w:r>
      <w:r w:rsidR="001703A2" w:rsidRPr="00553EA5">
        <w:rPr>
          <w:b/>
        </w:rPr>
        <w:t>la población afrodescendiente</w:t>
      </w:r>
      <w:r w:rsidR="006F0C7C" w:rsidRPr="00553EA5">
        <w:rPr>
          <w:b/>
        </w:rPr>
        <w:t xml:space="preserve">, entre otras, para: </w:t>
      </w:r>
    </w:p>
    <w:p w14:paraId="0B157397" w14:textId="3BFC4445" w:rsidR="006F0C7C" w:rsidRPr="00715552" w:rsidRDefault="00172775" w:rsidP="000D4881">
      <w:pPr>
        <w:pStyle w:val="SingleTxtG"/>
        <w:rPr>
          <w:b/>
        </w:rPr>
      </w:pPr>
      <w:r>
        <w:tab/>
      </w:r>
      <w:r w:rsidRPr="00715552">
        <w:rPr>
          <w:b/>
        </w:rPr>
        <w:t>a)</w:t>
      </w:r>
      <w:r w:rsidRPr="00715552">
        <w:rPr>
          <w:b/>
        </w:rPr>
        <w:tab/>
      </w:r>
      <w:r w:rsidR="006F0C7C" w:rsidRPr="00715552">
        <w:rPr>
          <w:b/>
        </w:rPr>
        <w:t xml:space="preserve">Mejorar las condiciones de vida de </w:t>
      </w:r>
      <w:r w:rsidR="001703A2" w:rsidRPr="00715552">
        <w:rPr>
          <w:b/>
        </w:rPr>
        <w:t>esta población</w:t>
      </w:r>
      <w:r w:rsidR="006F0C7C" w:rsidRPr="00715552">
        <w:rPr>
          <w:b/>
        </w:rPr>
        <w:t xml:space="preserve"> garantizando su protección contra la discriminación por parte de organismos estatales y funcionarios públicos, así como de cualquier persona, grupo u organización; </w:t>
      </w:r>
    </w:p>
    <w:p w14:paraId="51002346" w14:textId="1D2255AB" w:rsidR="006F0C7C" w:rsidRPr="00715552" w:rsidRDefault="00172775" w:rsidP="000D4881">
      <w:pPr>
        <w:pStyle w:val="SingleTxtG"/>
        <w:rPr>
          <w:b/>
        </w:rPr>
      </w:pPr>
      <w:r w:rsidRPr="00715552">
        <w:rPr>
          <w:b/>
        </w:rPr>
        <w:tab/>
        <w:t>b)</w:t>
      </w:r>
      <w:r w:rsidRPr="00715552">
        <w:rPr>
          <w:b/>
        </w:rPr>
        <w:tab/>
      </w:r>
      <w:r w:rsidR="006F0C7C" w:rsidRPr="00715552">
        <w:rPr>
          <w:b/>
        </w:rPr>
        <w:t>Eliminar todos los obstáculos que impiden el disfrute</w:t>
      </w:r>
      <w:r w:rsidR="001703A2" w:rsidRPr="00715552">
        <w:rPr>
          <w:b/>
        </w:rPr>
        <w:t xml:space="preserve"> efectivo</w:t>
      </w:r>
      <w:r w:rsidR="006F0C7C" w:rsidRPr="00715552">
        <w:rPr>
          <w:b/>
        </w:rPr>
        <w:t xml:space="preserve"> de los derechos económicos, sociales y culturales</w:t>
      </w:r>
      <w:r w:rsidR="001703A2" w:rsidRPr="00715552">
        <w:rPr>
          <w:b/>
        </w:rPr>
        <w:t xml:space="preserve"> de esta población</w:t>
      </w:r>
      <w:r w:rsidR="006F0C7C" w:rsidRPr="00715552">
        <w:rPr>
          <w:b/>
        </w:rPr>
        <w:t xml:space="preserve">, </w:t>
      </w:r>
      <w:r w:rsidR="001703A2" w:rsidRPr="00715552">
        <w:rPr>
          <w:b/>
        </w:rPr>
        <w:t>especialmente en las esferas del trabajo, vivienda, participación política y representación en cargos de decisión</w:t>
      </w:r>
      <w:r w:rsidR="006F0C7C" w:rsidRPr="00715552">
        <w:rPr>
          <w:b/>
        </w:rPr>
        <w:t>;</w:t>
      </w:r>
    </w:p>
    <w:p w14:paraId="4036B06F" w14:textId="3E44B9CB" w:rsidR="001703A2" w:rsidRPr="00AF753F" w:rsidRDefault="00172775" w:rsidP="000D4881">
      <w:pPr>
        <w:pStyle w:val="SingleTxtG"/>
      </w:pPr>
      <w:r w:rsidRPr="00715552">
        <w:rPr>
          <w:b/>
        </w:rPr>
        <w:tab/>
        <w:t>c)</w:t>
      </w:r>
      <w:r w:rsidRPr="00715552">
        <w:rPr>
          <w:b/>
        </w:rPr>
        <w:tab/>
      </w:r>
      <w:r w:rsidR="00217743" w:rsidRPr="00715552">
        <w:rPr>
          <w:b/>
        </w:rPr>
        <w:t xml:space="preserve">Combatir </w:t>
      </w:r>
      <w:r w:rsidR="006F0C7C" w:rsidRPr="00715552">
        <w:rPr>
          <w:b/>
        </w:rPr>
        <w:t xml:space="preserve">la pobreza, la exclusión social y marginación que afecta de manera desproporcionada a </w:t>
      </w:r>
      <w:r w:rsidR="001703A2" w:rsidRPr="00715552">
        <w:rPr>
          <w:b/>
        </w:rPr>
        <w:t>la población afrodescendiente</w:t>
      </w:r>
      <w:r w:rsidR="006F0C7C" w:rsidRPr="00715552">
        <w:rPr>
          <w:b/>
        </w:rPr>
        <w:t xml:space="preserve">. </w:t>
      </w:r>
    </w:p>
    <w:p w14:paraId="43F0A973" w14:textId="55B8B708" w:rsidR="00974ADB" w:rsidRPr="00553EA5" w:rsidRDefault="005E04B2">
      <w:pPr>
        <w:pStyle w:val="H23G"/>
      </w:pPr>
      <w:r>
        <w:tab/>
      </w:r>
      <w:r>
        <w:tab/>
      </w:r>
      <w:r w:rsidR="00974ADB" w:rsidRPr="00553EA5">
        <w:t>Plan de lucha contra la discriminación racial</w:t>
      </w:r>
    </w:p>
    <w:p w14:paraId="21C0E4DA" w14:textId="080BD062" w:rsidR="00FF05B3" w:rsidRPr="00553EA5" w:rsidRDefault="00172775" w:rsidP="00715552">
      <w:pPr>
        <w:pStyle w:val="SingleTxtG"/>
      </w:pPr>
      <w:r>
        <w:t>19.</w:t>
      </w:r>
      <w:r>
        <w:tab/>
      </w:r>
      <w:r w:rsidR="00974ADB" w:rsidRPr="00553EA5">
        <w:t>Aun cuando el Comité acoge con satisfacción la información proporcionada durante el diálogo sobre la elaboración de un plan nacional para la erradicación de todas las formas de discriminación racial, lamenta no haber recibido información sobre el impacto y resultados concretos que ha tenido la implementación de los programas sociales y de la política multisectorial para eliminar los vestigios de discriminación racial (arts.</w:t>
      </w:r>
      <w:r w:rsidR="00FB71AA">
        <w:t xml:space="preserve"> </w:t>
      </w:r>
      <w:r w:rsidR="00974ADB" w:rsidRPr="00553EA5">
        <w:t xml:space="preserve">2 y 5). </w:t>
      </w:r>
    </w:p>
    <w:p w14:paraId="41AAFC77" w14:textId="33853876" w:rsidR="00506E54" w:rsidRPr="00553EA5" w:rsidRDefault="00172775" w:rsidP="00715552">
      <w:pPr>
        <w:pStyle w:val="SingleTxtG"/>
        <w:rPr>
          <w:b/>
        </w:rPr>
      </w:pPr>
      <w:r w:rsidRPr="00715552">
        <w:t>20.</w:t>
      </w:r>
      <w:r w:rsidRPr="00715552">
        <w:tab/>
      </w:r>
      <w:r w:rsidR="00974ADB" w:rsidRPr="00553EA5">
        <w:rPr>
          <w:b/>
        </w:rPr>
        <w:t>El Comité recomienda al Estado parte intensificar sus esfuerzos para la elaboración del plan nacional para la erradicación de todas las formas de discriminación racial, asegurando que el mismo contenga m</w:t>
      </w:r>
      <w:r w:rsidR="00FF05B3" w:rsidRPr="00553EA5">
        <w:rPr>
          <w:b/>
        </w:rPr>
        <w:t>etas</w:t>
      </w:r>
      <w:r w:rsidR="00974ADB" w:rsidRPr="00553EA5">
        <w:rPr>
          <w:b/>
        </w:rPr>
        <w:t xml:space="preserve"> claras y</w:t>
      </w:r>
      <w:r w:rsidR="00FF05B3" w:rsidRPr="00553EA5">
        <w:rPr>
          <w:b/>
        </w:rPr>
        <w:t xml:space="preserve"> </w:t>
      </w:r>
      <w:r w:rsidR="00974ADB" w:rsidRPr="00553EA5">
        <w:rPr>
          <w:b/>
        </w:rPr>
        <w:t>especí</w:t>
      </w:r>
      <w:r w:rsidR="00FF05B3" w:rsidRPr="00553EA5">
        <w:rPr>
          <w:b/>
        </w:rPr>
        <w:t>ficas</w:t>
      </w:r>
      <w:r w:rsidR="00506E54" w:rsidRPr="00553EA5">
        <w:rPr>
          <w:b/>
        </w:rPr>
        <w:t>, mecanismos de evaluación de sus resultados y prevea la asignación de los recursos humanos, técnicos y financieros necesarios para su implementación efectiva. El Comité insta al Estado parte a asegurar que tanto el proceso de elaboración como el de implementación del referido plan se lleven a cabo con la participación efectiva de la población afrodescendiente y de todos aquellos grupos de origen nacional o étnico que continúan enfrentando discriminación y exclusión social.</w:t>
      </w:r>
    </w:p>
    <w:p w14:paraId="4D1D33D3" w14:textId="61577589" w:rsidR="0008265B" w:rsidRPr="00553EA5" w:rsidRDefault="00FF05B3" w:rsidP="00715552">
      <w:pPr>
        <w:pStyle w:val="H23G"/>
      </w:pPr>
      <w:r w:rsidRPr="00553EA5">
        <w:tab/>
      </w:r>
      <w:r w:rsidRPr="00553EA5">
        <w:tab/>
      </w:r>
      <w:r w:rsidR="0008265B" w:rsidRPr="00553EA5">
        <w:t>Acceso a la justicia</w:t>
      </w:r>
    </w:p>
    <w:p w14:paraId="1814D757" w14:textId="3246BB2D" w:rsidR="001D4DA8" w:rsidRPr="00553EA5" w:rsidRDefault="00172775" w:rsidP="00715552">
      <w:pPr>
        <w:pStyle w:val="SingleTxtG"/>
        <w:rPr>
          <w:color w:val="000000"/>
          <w:lang w:eastAsia="en-GB"/>
        </w:rPr>
      </w:pPr>
      <w:r>
        <w:t>21.</w:t>
      </w:r>
      <w:r>
        <w:tab/>
      </w:r>
      <w:r w:rsidR="001D4DA8" w:rsidRPr="00553EA5">
        <w:t xml:space="preserve">Aun cuando el Comité toma nota de las informaciones proporcionadas para </w:t>
      </w:r>
      <w:r w:rsidR="0008265B" w:rsidRPr="00553EA5">
        <w:t xml:space="preserve">ampliar las vías y mecanismos para canalizar las quejas </w:t>
      </w:r>
      <w:r w:rsidR="001D4DA8" w:rsidRPr="00553EA5">
        <w:t>relativas a discriminación racial</w:t>
      </w:r>
      <w:r w:rsidR="00217743" w:rsidRPr="00553EA5">
        <w:t>,</w:t>
      </w:r>
      <w:r w:rsidR="001D4DA8" w:rsidRPr="00553EA5">
        <w:t xml:space="preserve"> le </w:t>
      </w:r>
      <w:r w:rsidR="001D4DA8" w:rsidRPr="00553EA5">
        <w:lastRenderedPageBreak/>
        <w:t xml:space="preserve">preocupa </w:t>
      </w:r>
      <w:r w:rsidR="00B8258C" w:rsidRPr="00553EA5">
        <w:t xml:space="preserve">que hasta la fecha un solo caso de discriminación racial </w:t>
      </w:r>
      <w:r w:rsidR="00217743" w:rsidRPr="00553EA5">
        <w:t>haya sido tramitado ante los tribunales</w:t>
      </w:r>
      <w:r w:rsidR="00B8258C" w:rsidRPr="00553EA5">
        <w:t xml:space="preserve">, y la falta de información sobre casos denunciados e investigados </w:t>
      </w:r>
      <w:r w:rsidR="001D4DA8" w:rsidRPr="00553EA5">
        <w:t>(arts. 2 y 6).</w:t>
      </w:r>
    </w:p>
    <w:p w14:paraId="54EEDC36" w14:textId="48460104" w:rsidR="001D4DA8" w:rsidRPr="00553EA5" w:rsidRDefault="00172775" w:rsidP="00715552">
      <w:pPr>
        <w:pStyle w:val="SingleTxtG"/>
        <w:rPr>
          <w:b/>
          <w:color w:val="000000"/>
          <w:lang w:eastAsia="en-GB"/>
        </w:rPr>
      </w:pPr>
      <w:r w:rsidRPr="00715552">
        <w:t>22.</w:t>
      </w:r>
      <w:r w:rsidRPr="00715552">
        <w:tab/>
      </w:r>
      <w:r w:rsidR="001D4DA8" w:rsidRPr="00553EA5">
        <w:rPr>
          <w:b/>
        </w:rPr>
        <w:t xml:space="preserve">El Comité recuerda al Estado parte que </w:t>
      </w:r>
      <w:r w:rsidR="0008265B" w:rsidRPr="00553EA5">
        <w:rPr>
          <w:b/>
          <w:color w:val="000000"/>
          <w:lang w:eastAsia="en-GB"/>
        </w:rPr>
        <w:t xml:space="preserve">la ausencia de procesos judiciales y sentencias </w:t>
      </w:r>
      <w:r w:rsidR="0008265B" w:rsidRPr="00553EA5">
        <w:rPr>
          <w:b/>
        </w:rPr>
        <w:t>condenatorias</w:t>
      </w:r>
      <w:r w:rsidR="0008265B" w:rsidRPr="00553EA5">
        <w:rPr>
          <w:b/>
          <w:color w:val="000000"/>
          <w:lang w:eastAsia="en-GB"/>
        </w:rPr>
        <w:t xml:space="preserve"> por actos relativos a discriminación racial </w:t>
      </w:r>
      <w:r w:rsidR="001D4DA8" w:rsidRPr="00553EA5">
        <w:rPr>
          <w:b/>
          <w:color w:val="000000"/>
          <w:lang w:eastAsia="en-GB"/>
        </w:rPr>
        <w:t>puede deberse a la falta de información de las víctimas sobre los recursos judiciales existentes y</w:t>
      </w:r>
      <w:r w:rsidR="002536C6">
        <w:rPr>
          <w:b/>
          <w:color w:val="000000"/>
          <w:lang w:eastAsia="en-GB"/>
        </w:rPr>
        <w:t>,</w:t>
      </w:r>
      <w:r w:rsidR="001D4DA8" w:rsidRPr="00553EA5">
        <w:rPr>
          <w:b/>
          <w:color w:val="000000"/>
          <w:lang w:eastAsia="en-GB"/>
        </w:rPr>
        <w:t xml:space="preserve"> en ese sentido, el Comité recomienda al Estado parte que: </w:t>
      </w:r>
    </w:p>
    <w:p w14:paraId="1876036C" w14:textId="1FCE147E" w:rsidR="001D4DA8" w:rsidRPr="00715552" w:rsidRDefault="00172775" w:rsidP="000D4881">
      <w:pPr>
        <w:pStyle w:val="SingleTxtG"/>
        <w:rPr>
          <w:b/>
          <w:lang w:eastAsia="en-GB"/>
        </w:rPr>
      </w:pPr>
      <w:r>
        <w:rPr>
          <w:lang w:eastAsia="en-GB"/>
        </w:rPr>
        <w:tab/>
      </w:r>
      <w:r w:rsidRPr="00715552">
        <w:rPr>
          <w:b/>
          <w:lang w:eastAsia="en-GB"/>
        </w:rPr>
        <w:t>a)</w:t>
      </w:r>
      <w:r w:rsidRPr="00715552">
        <w:rPr>
          <w:b/>
          <w:lang w:eastAsia="en-GB"/>
        </w:rPr>
        <w:tab/>
      </w:r>
      <w:r w:rsidR="001D4DA8" w:rsidRPr="00715552">
        <w:rPr>
          <w:b/>
          <w:lang w:eastAsia="en-GB"/>
        </w:rPr>
        <w:t xml:space="preserve">Asegure que todas las denuncias sobre discriminación racial sean investigadas de forma exhaustiva e independiente; </w:t>
      </w:r>
    </w:p>
    <w:p w14:paraId="746064F8" w14:textId="28090269" w:rsidR="003A79CE" w:rsidRPr="00715552" w:rsidRDefault="00172775" w:rsidP="000D4881">
      <w:pPr>
        <w:pStyle w:val="SingleTxtG"/>
        <w:rPr>
          <w:b/>
          <w:lang w:eastAsia="en-GB"/>
        </w:rPr>
      </w:pPr>
      <w:r w:rsidRPr="00715552">
        <w:rPr>
          <w:b/>
        </w:rPr>
        <w:tab/>
        <w:t>b)</w:t>
      </w:r>
      <w:r w:rsidRPr="00715552">
        <w:rPr>
          <w:b/>
        </w:rPr>
        <w:tab/>
      </w:r>
      <w:r w:rsidR="003A79CE" w:rsidRPr="00715552">
        <w:rPr>
          <w:b/>
        </w:rPr>
        <w:t>Adopt</w:t>
      </w:r>
      <w:r w:rsidR="002536C6" w:rsidRPr="00715552">
        <w:rPr>
          <w:b/>
        </w:rPr>
        <w:t>e</w:t>
      </w:r>
      <w:r w:rsidR="003A79CE" w:rsidRPr="00715552">
        <w:rPr>
          <w:b/>
        </w:rPr>
        <w:t xml:space="preserve"> medidas efectivas para asegurar que todas las víctimas de discriminación racial tengan fácil acceso a recursos jurídicos rápidos y eficaces, así como a una indemnización; </w:t>
      </w:r>
    </w:p>
    <w:p w14:paraId="026E03D4" w14:textId="37A69445" w:rsidR="001D4DA8" w:rsidRPr="00715552" w:rsidRDefault="00172775" w:rsidP="000D4881">
      <w:pPr>
        <w:pStyle w:val="SingleTxtG"/>
        <w:rPr>
          <w:b/>
          <w:lang w:eastAsia="en-GB"/>
        </w:rPr>
      </w:pPr>
      <w:r w:rsidRPr="00715552">
        <w:rPr>
          <w:b/>
          <w:lang w:eastAsia="en-GB"/>
        </w:rPr>
        <w:tab/>
        <w:t>c)</w:t>
      </w:r>
      <w:r w:rsidRPr="00715552">
        <w:rPr>
          <w:b/>
          <w:lang w:eastAsia="en-GB"/>
        </w:rPr>
        <w:tab/>
      </w:r>
      <w:r w:rsidR="001D4DA8" w:rsidRPr="00715552">
        <w:rPr>
          <w:b/>
          <w:lang w:eastAsia="en-GB"/>
        </w:rPr>
        <w:t xml:space="preserve">Lleve a cabo capacitaciones sistemáticas </w:t>
      </w:r>
      <w:r w:rsidR="00B8258C" w:rsidRPr="00715552">
        <w:rPr>
          <w:b/>
          <w:lang w:eastAsia="en-GB"/>
        </w:rPr>
        <w:t>para</w:t>
      </w:r>
      <w:r w:rsidR="001D4DA8" w:rsidRPr="00715552">
        <w:rPr>
          <w:b/>
          <w:lang w:eastAsia="en-GB"/>
        </w:rPr>
        <w:t xml:space="preserve"> funcionarios públicos, </w:t>
      </w:r>
      <w:r w:rsidR="00D773CC" w:rsidRPr="00715552">
        <w:rPr>
          <w:b/>
          <w:lang w:eastAsia="en-GB"/>
        </w:rPr>
        <w:t xml:space="preserve">fiscales, </w:t>
      </w:r>
      <w:r w:rsidR="001D4DA8" w:rsidRPr="00715552">
        <w:rPr>
          <w:b/>
          <w:lang w:eastAsia="en-GB"/>
        </w:rPr>
        <w:t xml:space="preserve">jueces, magistrados y el personal de las fuerzas del orden, a fin de asegurar la aplicación efectiva de la Convención y de las leyes relativas a la discriminación racial; </w:t>
      </w:r>
    </w:p>
    <w:p w14:paraId="7EC5515D" w14:textId="1625272E" w:rsidR="00D773CC" w:rsidRPr="00715552" w:rsidRDefault="00172775" w:rsidP="000D4881">
      <w:pPr>
        <w:pStyle w:val="SingleTxtG"/>
        <w:rPr>
          <w:b/>
          <w:lang w:eastAsia="en-GB"/>
        </w:rPr>
      </w:pPr>
      <w:r w:rsidRPr="00715552">
        <w:rPr>
          <w:b/>
          <w:lang w:eastAsia="en-GB"/>
        </w:rPr>
        <w:tab/>
        <w:t>d)</w:t>
      </w:r>
      <w:r w:rsidRPr="00715552">
        <w:rPr>
          <w:b/>
          <w:lang w:eastAsia="en-GB"/>
        </w:rPr>
        <w:tab/>
      </w:r>
      <w:r w:rsidR="00D773CC" w:rsidRPr="00715552">
        <w:rPr>
          <w:b/>
          <w:lang w:eastAsia="en-GB"/>
        </w:rPr>
        <w:t>Posibilite que la fiscalía actúe de oficio en los casos penales de discriminación racial;</w:t>
      </w:r>
    </w:p>
    <w:p w14:paraId="04658DB1" w14:textId="054E37F7" w:rsidR="00D773CC" w:rsidRPr="00715552" w:rsidRDefault="00172775" w:rsidP="000D4881">
      <w:pPr>
        <w:pStyle w:val="SingleTxtG"/>
        <w:rPr>
          <w:b/>
        </w:rPr>
      </w:pPr>
      <w:r w:rsidRPr="00715552">
        <w:rPr>
          <w:b/>
        </w:rPr>
        <w:tab/>
        <w:t>e)</w:t>
      </w:r>
      <w:r w:rsidRPr="00715552">
        <w:rPr>
          <w:b/>
        </w:rPr>
        <w:tab/>
      </w:r>
      <w:r w:rsidR="003A79CE" w:rsidRPr="00715552">
        <w:rPr>
          <w:b/>
        </w:rPr>
        <w:t xml:space="preserve">Organice </w:t>
      </w:r>
      <w:r w:rsidR="003A79CE" w:rsidRPr="00715552">
        <w:rPr>
          <w:b/>
          <w:lang w:eastAsia="en-GB"/>
        </w:rPr>
        <w:t>campañas</w:t>
      </w:r>
      <w:r w:rsidR="003A79CE" w:rsidRPr="00715552">
        <w:rPr>
          <w:b/>
        </w:rPr>
        <w:t xml:space="preserve"> de sensibilización entre los titulares de derechos sobre las disposiciones de la Convención y el sistema jurídico de protección contra la discriminación racial</w:t>
      </w:r>
      <w:r w:rsidR="00D773CC" w:rsidRPr="00715552">
        <w:rPr>
          <w:b/>
        </w:rPr>
        <w:t>;</w:t>
      </w:r>
    </w:p>
    <w:p w14:paraId="587D062C" w14:textId="0F21A4C7" w:rsidR="003A79CE" w:rsidRPr="00715552" w:rsidRDefault="00172775" w:rsidP="000D4881">
      <w:pPr>
        <w:pStyle w:val="SingleTxtG"/>
        <w:rPr>
          <w:b/>
        </w:rPr>
      </w:pPr>
      <w:r w:rsidRPr="00715552">
        <w:rPr>
          <w:b/>
        </w:rPr>
        <w:tab/>
        <w:t>f)</w:t>
      </w:r>
      <w:r w:rsidRPr="00715552">
        <w:rPr>
          <w:b/>
        </w:rPr>
        <w:tab/>
      </w:r>
      <w:r w:rsidR="00D773CC" w:rsidRPr="00715552">
        <w:rPr>
          <w:b/>
        </w:rPr>
        <w:t xml:space="preserve">Implemente herramientas para acceder a la información sobre criminalidad y violencia, incorporando las variables de color de piel, origen nacional, origen étnico </w:t>
      </w:r>
      <w:r w:rsidR="00CC7EB0" w:rsidRPr="00715552">
        <w:rPr>
          <w:b/>
        </w:rPr>
        <w:t xml:space="preserve">y cualquier otra variable relevante de </w:t>
      </w:r>
      <w:r w:rsidR="00333611" w:rsidRPr="00715552">
        <w:rPr>
          <w:b/>
        </w:rPr>
        <w:t xml:space="preserve">discriminación por </w:t>
      </w:r>
      <w:r w:rsidR="00D773CC" w:rsidRPr="00715552">
        <w:rPr>
          <w:b/>
        </w:rPr>
        <w:t>interseccionalidad</w:t>
      </w:r>
      <w:r w:rsidR="00CC7EB0" w:rsidRPr="00715552">
        <w:rPr>
          <w:b/>
        </w:rPr>
        <w:t xml:space="preserve"> </w:t>
      </w:r>
      <w:r w:rsidR="00D773CC" w:rsidRPr="00715552">
        <w:rPr>
          <w:b/>
        </w:rPr>
        <w:t>de las víctimas</w:t>
      </w:r>
      <w:r w:rsidR="003A79CE" w:rsidRPr="00715552">
        <w:rPr>
          <w:b/>
        </w:rPr>
        <w:t>.</w:t>
      </w:r>
    </w:p>
    <w:p w14:paraId="12AAFFBF" w14:textId="36E04279" w:rsidR="003A79CE" w:rsidRPr="00553EA5" w:rsidRDefault="00BF1428" w:rsidP="00715552">
      <w:pPr>
        <w:pStyle w:val="H23G"/>
      </w:pPr>
      <w:r w:rsidRPr="00553EA5">
        <w:tab/>
      </w:r>
      <w:r w:rsidRPr="00553EA5">
        <w:tab/>
      </w:r>
      <w:r w:rsidR="00EF5200" w:rsidRPr="00553EA5">
        <w:t>Población penitenciaria</w:t>
      </w:r>
    </w:p>
    <w:p w14:paraId="745A0662" w14:textId="18AEE775" w:rsidR="0008265B" w:rsidRPr="00553EA5" w:rsidRDefault="00172775" w:rsidP="00715552">
      <w:pPr>
        <w:pStyle w:val="SingleTxtG"/>
        <w:rPr>
          <w:color w:val="000000"/>
          <w:lang w:eastAsia="en-GB"/>
        </w:rPr>
      </w:pPr>
      <w:r>
        <w:rPr>
          <w:color w:val="000000"/>
          <w:lang w:eastAsia="en-GB"/>
        </w:rPr>
        <w:t>23.</w:t>
      </w:r>
      <w:r>
        <w:rPr>
          <w:color w:val="000000"/>
          <w:lang w:eastAsia="en-GB"/>
        </w:rPr>
        <w:tab/>
      </w:r>
      <w:r w:rsidR="00EF5200" w:rsidRPr="00553EA5">
        <w:rPr>
          <w:color w:val="000000"/>
          <w:lang w:eastAsia="en-GB"/>
        </w:rPr>
        <w:t>E</w:t>
      </w:r>
      <w:r w:rsidR="0008265B" w:rsidRPr="00553EA5">
        <w:rPr>
          <w:color w:val="000000"/>
          <w:lang w:eastAsia="en-GB"/>
        </w:rPr>
        <w:t xml:space="preserve">l Comité </w:t>
      </w:r>
      <w:r w:rsidR="0008265B" w:rsidRPr="00553EA5">
        <w:t>lamenta</w:t>
      </w:r>
      <w:r w:rsidR="0008265B" w:rsidRPr="00553EA5">
        <w:rPr>
          <w:color w:val="000000"/>
          <w:lang w:eastAsia="en-GB"/>
        </w:rPr>
        <w:t xml:space="preserve"> la falta de información</w:t>
      </w:r>
      <w:r w:rsidR="00EF5200" w:rsidRPr="00553EA5">
        <w:rPr>
          <w:color w:val="000000"/>
          <w:lang w:eastAsia="en-GB"/>
        </w:rPr>
        <w:t xml:space="preserve"> exhaustiva</w:t>
      </w:r>
      <w:r w:rsidR="0008265B" w:rsidRPr="00553EA5">
        <w:rPr>
          <w:color w:val="000000"/>
          <w:lang w:eastAsia="en-GB"/>
        </w:rPr>
        <w:t xml:space="preserve"> sobre </w:t>
      </w:r>
      <w:r w:rsidR="00CC7EB0">
        <w:rPr>
          <w:color w:val="000000"/>
          <w:lang w:eastAsia="en-GB"/>
        </w:rPr>
        <w:t xml:space="preserve">el origen étnico o nacional de las </w:t>
      </w:r>
      <w:r w:rsidR="00B8258C" w:rsidRPr="00553EA5">
        <w:rPr>
          <w:color w:val="000000"/>
          <w:lang w:eastAsia="en-GB"/>
        </w:rPr>
        <w:t xml:space="preserve">personas </w:t>
      </w:r>
      <w:r w:rsidR="0008265B" w:rsidRPr="00553EA5">
        <w:rPr>
          <w:color w:val="000000"/>
          <w:lang w:eastAsia="en-GB"/>
        </w:rPr>
        <w:t>privadas de libertad</w:t>
      </w:r>
      <w:r w:rsidR="000A53F2" w:rsidRPr="00553EA5">
        <w:rPr>
          <w:color w:val="000000"/>
          <w:lang w:eastAsia="en-GB"/>
        </w:rPr>
        <w:t xml:space="preserve"> </w:t>
      </w:r>
      <w:r w:rsidR="0008265B" w:rsidRPr="00553EA5">
        <w:rPr>
          <w:color w:val="000000"/>
          <w:lang w:eastAsia="en-GB"/>
        </w:rPr>
        <w:t xml:space="preserve">(arts. 2 y 6). </w:t>
      </w:r>
    </w:p>
    <w:p w14:paraId="31F3F6C6" w14:textId="4F384C8D" w:rsidR="001D4DA8" w:rsidRPr="00553EA5" w:rsidRDefault="00172775" w:rsidP="00715552">
      <w:pPr>
        <w:pStyle w:val="SingleTxtG"/>
        <w:rPr>
          <w:b/>
          <w:color w:val="000000"/>
          <w:lang w:eastAsia="en-GB"/>
        </w:rPr>
      </w:pPr>
      <w:r w:rsidRPr="00715552">
        <w:rPr>
          <w:color w:val="000000"/>
          <w:lang w:eastAsia="en-GB"/>
        </w:rPr>
        <w:t>24.</w:t>
      </w:r>
      <w:r w:rsidRPr="00715552">
        <w:rPr>
          <w:color w:val="000000"/>
          <w:lang w:eastAsia="en-GB"/>
        </w:rPr>
        <w:tab/>
      </w:r>
      <w:r w:rsidR="00EF5200" w:rsidRPr="00553EA5">
        <w:rPr>
          <w:b/>
          <w:color w:val="000000"/>
          <w:lang w:eastAsia="en-GB"/>
        </w:rPr>
        <w:t xml:space="preserve">El Comité recomienda al Estado parte asegurar que </w:t>
      </w:r>
      <w:r w:rsidR="001D4DA8" w:rsidRPr="00553EA5">
        <w:rPr>
          <w:b/>
          <w:bCs/>
          <w:color w:val="000000"/>
          <w:lang w:eastAsia="en-GB"/>
        </w:rPr>
        <w:t xml:space="preserve">la </w:t>
      </w:r>
      <w:r w:rsidR="001D4DA8" w:rsidRPr="00553EA5">
        <w:rPr>
          <w:b/>
          <w:color w:val="000000"/>
          <w:lang w:eastAsia="en-GB"/>
        </w:rPr>
        <w:t>variable</w:t>
      </w:r>
      <w:r w:rsidR="000D7950">
        <w:rPr>
          <w:b/>
          <w:color w:val="000000"/>
          <w:lang w:eastAsia="en-GB"/>
        </w:rPr>
        <w:t xml:space="preserve"> basada en el origen</w:t>
      </w:r>
      <w:r w:rsidR="001D4DA8" w:rsidRPr="00553EA5">
        <w:rPr>
          <w:b/>
          <w:bCs/>
          <w:color w:val="000000"/>
          <w:lang w:eastAsia="en-GB"/>
        </w:rPr>
        <w:t xml:space="preserve"> étnico</w:t>
      </w:r>
      <w:r w:rsidR="000D7950">
        <w:rPr>
          <w:b/>
          <w:bCs/>
          <w:color w:val="000000"/>
          <w:lang w:eastAsia="en-GB"/>
        </w:rPr>
        <w:t xml:space="preserve"> o nacional y ascendencia </w:t>
      </w:r>
      <w:r w:rsidR="00DC6504" w:rsidRPr="00553EA5">
        <w:rPr>
          <w:b/>
          <w:bCs/>
          <w:color w:val="000000"/>
          <w:lang w:eastAsia="en-GB"/>
        </w:rPr>
        <w:t xml:space="preserve">sea </w:t>
      </w:r>
      <w:r w:rsidR="00EF5200" w:rsidRPr="00553EA5">
        <w:rPr>
          <w:b/>
          <w:bCs/>
          <w:color w:val="000000"/>
          <w:lang w:eastAsia="en-GB"/>
        </w:rPr>
        <w:t xml:space="preserve">utilizada </w:t>
      </w:r>
      <w:r w:rsidR="001D4DA8" w:rsidRPr="00553EA5">
        <w:rPr>
          <w:b/>
          <w:bCs/>
          <w:color w:val="000000"/>
          <w:lang w:eastAsia="en-GB"/>
        </w:rPr>
        <w:t>en los registros de detención a fin de obtener información fiable</w:t>
      </w:r>
      <w:r w:rsidR="00DC6504" w:rsidRPr="00553EA5">
        <w:rPr>
          <w:b/>
          <w:bCs/>
          <w:color w:val="000000"/>
          <w:lang w:eastAsia="en-GB"/>
        </w:rPr>
        <w:t xml:space="preserve"> </w:t>
      </w:r>
      <w:r w:rsidR="001D4DA8" w:rsidRPr="00553EA5">
        <w:rPr>
          <w:b/>
          <w:bCs/>
          <w:color w:val="000000"/>
          <w:lang w:eastAsia="en-GB"/>
        </w:rPr>
        <w:t xml:space="preserve">sobre </w:t>
      </w:r>
      <w:r w:rsidR="00DC6504" w:rsidRPr="00553EA5">
        <w:rPr>
          <w:b/>
          <w:bCs/>
          <w:color w:val="000000"/>
          <w:lang w:eastAsia="en-GB"/>
        </w:rPr>
        <w:t xml:space="preserve">la población penitenciaria </w:t>
      </w:r>
      <w:r w:rsidR="001D4DA8" w:rsidRPr="00553EA5">
        <w:rPr>
          <w:b/>
          <w:bCs/>
          <w:color w:val="000000"/>
          <w:lang w:eastAsia="en-GB"/>
        </w:rPr>
        <w:t xml:space="preserve">y </w:t>
      </w:r>
      <w:r w:rsidR="00126BDE">
        <w:rPr>
          <w:b/>
          <w:bCs/>
          <w:color w:val="000000"/>
          <w:lang w:eastAsia="en-GB"/>
        </w:rPr>
        <w:t xml:space="preserve">le solicita que </w:t>
      </w:r>
      <w:r w:rsidR="001D4DA8" w:rsidRPr="00553EA5">
        <w:rPr>
          <w:b/>
          <w:bCs/>
          <w:color w:val="000000"/>
          <w:lang w:eastAsia="en-GB"/>
        </w:rPr>
        <w:t>proporcione tal información en su próximo informe</w:t>
      </w:r>
      <w:r w:rsidR="001D4DA8" w:rsidRPr="00553EA5">
        <w:rPr>
          <w:b/>
          <w:color w:val="000000"/>
          <w:lang w:eastAsia="en-GB"/>
        </w:rPr>
        <w:t xml:space="preserve">. </w:t>
      </w:r>
    </w:p>
    <w:p w14:paraId="42471B99" w14:textId="36251FA1" w:rsidR="0008265B" w:rsidRPr="00553EA5" w:rsidRDefault="00BF1428" w:rsidP="00715552">
      <w:pPr>
        <w:pStyle w:val="H23G"/>
      </w:pPr>
      <w:r w:rsidRPr="00553EA5">
        <w:rPr>
          <w:color w:val="000000"/>
          <w:lang w:eastAsia="en-GB"/>
        </w:rPr>
        <w:tab/>
      </w:r>
      <w:r w:rsidRPr="00553EA5">
        <w:rPr>
          <w:color w:val="000000"/>
          <w:lang w:eastAsia="en-GB"/>
        </w:rPr>
        <w:tab/>
      </w:r>
      <w:r w:rsidR="00AC19FC">
        <w:rPr>
          <w:color w:val="000000"/>
          <w:lang w:eastAsia="en-GB"/>
        </w:rPr>
        <w:tab/>
      </w:r>
      <w:r w:rsidR="0008265B" w:rsidRPr="00553EA5">
        <w:t xml:space="preserve">Múltiples formas de discriminación contra las mujeres </w:t>
      </w:r>
    </w:p>
    <w:p w14:paraId="758BD1D7" w14:textId="68806D42" w:rsidR="0008265B" w:rsidRPr="00553EA5" w:rsidRDefault="00AC19FC" w:rsidP="00715552">
      <w:pPr>
        <w:pStyle w:val="SingleTxtG"/>
        <w:rPr>
          <w:color w:val="000000"/>
          <w:lang w:eastAsia="en-GB"/>
        </w:rPr>
      </w:pPr>
      <w:r>
        <w:t>25.</w:t>
      </w:r>
      <w:r>
        <w:tab/>
      </w:r>
      <w:r w:rsidR="0008265B" w:rsidRPr="00553EA5">
        <w:t>Preocupan al Comité</w:t>
      </w:r>
      <w:r w:rsidR="000D7950">
        <w:t xml:space="preserve"> los informes que dan cuenta de</w:t>
      </w:r>
      <w:r w:rsidR="0008265B" w:rsidRPr="00553EA5">
        <w:t xml:space="preserve"> las múltiples formas de discriminación que continúan enfrentando las mujeres </w:t>
      </w:r>
      <w:r w:rsidR="00EF5200" w:rsidRPr="00553EA5">
        <w:t xml:space="preserve">afrodescendientes </w:t>
      </w:r>
      <w:r w:rsidR="0008265B" w:rsidRPr="00553EA5">
        <w:t xml:space="preserve">en el Estado parte, </w:t>
      </w:r>
      <w:r w:rsidR="00553EA5">
        <w:t>quienes enfrentan mayores obstáculos para acceder</w:t>
      </w:r>
      <w:r w:rsidR="000D7950">
        <w:t xml:space="preserve"> </w:t>
      </w:r>
      <w:r w:rsidR="00553EA5">
        <w:t xml:space="preserve">al mercado laboral, </w:t>
      </w:r>
      <w:r w:rsidR="0008265B" w:rsidRPr="00553EA5">
        <w:t xml:space="preserve">así como </w:t>
      </w:r>
      <w:r w:rsidR="00553EA5">
        <w:t>a</w:t>
      </w:r>
      <w:r w:rsidR="0008265B" w:rsidRPr="00553EA5">
        <w:t xml:space="preserve"> oportunidades de participación </w:t>
      </w:r>
      <w:r w:rsidR="00553EA5">
        <w:t xml:space="preserve">y representación </w:t>
      </w:r>
      <w:r w:rsidR="0008265B" w:rsidRPr="00553EA5">
        <w:t>política</w:t>
      </w:r>
      <w:r w:rsidR="00553EA5">
        <w:t xml:space="preserve"> y cargos de</w:t>
      </w:r>
      <w:r w:rsidR="003B1F1F">
        <w:t xml:space="preserve"> decisión </w:t>
      </w:r>
      <w:r w:rsidR="00EF5200" w:rsidRPr="00553EA5">
        <w:t>(art. 5).</w:t>
      </w:r>
    </w:p>
    <w:p w14:paraId="0FFE2AA2" w14:textId="2EC45309" w:rsidR="0008265B" w:rsidRPr="003B1F1F" w:rsidRDefault="00AC19FC" w:rsidP="00715552">
      <w:pPr>
        <w:pStyle w:val="SingleTxtG"/>
        <w:rPr>
          <w:b/>
          <w:color w:val="000000"/>
          <w:lang w:eastAsia="en-GB"/>
        </w:rPr>
      </w:pPr>
      <w:r w:rsidRPr="00715552">
        <w:t>26.</w:t>
      </w:r>
      <w:r w:rsidRPr="00715552">
        <w:tab/>
      </w:r>
      <w:r w:rsidR="00EF5200" w:rsidRPr="003B1F1F">
        <w:rPr>
          <w:b/>
        </w:rPr>
        <w:t>El Comité recomienda al Estado parte que, tomando en cuenta su recomendación general núm. 25 (2000) sobre las dimensiones de la discriminación racial relacionadas con el género, incluya una perspectiva de género en todas las políticas y estrategias contra la discriminación racial para hacer frente a las múltiples formas de discriminación que afectan a las mujeres afrodescendientes</w:t>
      </w:r>
      <w:r w:rsidR="0008265B" w:rsidRPr="003B1F1F">
        <w:rPr>
          <w:b/>
        </w:rPr>
        <w:t xml:space="preserve">. </w:t>
      </w:r>
      <w:r w:rsidR="003B1F1F" w:rsidRPr="003B1F1F">
        <w:rPr>
          <w:b/>
        </w:rPr>
        <w:t>Asimismo, le recomienda que redoble sus esfuerzos para eliminar las barreras estructurales que enfrentan las mujeres afrodescendientes en el acceso</w:t>
      </w:r>
      <w:r w:rsidR="000D7950" w:rsidRPr="003B1F1F">
        <w:rPr>
          <w:b/>
        </w:rPr>
        <w:t xml:space="preserve"> </w:t>
      </w:r>
      <w:r w:rsidR="003B1F1F" w:rsidRPr="003B1F1F">
        <w:rPr>
          <w:b/>
        </w:rPr>
        <w:t>al mercado laboral,  así como a oportunidades de participación y representación política y cargos de decisión</w:t>
      </w:r>
      <w:r w:rsidR="003B1F1F">
        <w:rPr>
          <w:b/>
        </w:rPr>
        <w:t>.</w:t>
      </w:r>
    </w:p>
    <w:p w14:paraId="50C326F2" w14:textId="63948196" w:rsidR="00F22EAD" w:rsidRPr="00553EA5" w:rsidRDefault="005E04B2">
      <w:pPr>
        <w:pStyle w:val="H23G"/>
      </w:pPr>
      <w:r>
        <w:tab/>
      </w:r>
      <w:r>
        <w:tab/>
      </w:r>
      <w:r w:rsidR="00F22EAD" w:rsidRPr="00553EA5">
        <w:t>Devolución de migrantes en situación irregular</w:t>
      </w:r>
    </w:p>
    <w:p w14:paraId="01DE3CFE" w14:textId="3B6E16A2" w:rsidR="00F22EAD" w:rsidRPr="00553EA5" w:rsidRDefault="00AC19FC" w:rsidP="00715552">
      <w:pPr>
        <w:pStyle w:val="SingleTxtG"/>
      </w:pPr>
      <w:r>
        <w:t>27.</w:t>
      </w:r>
      <w:r>
        <w:tab/>
      </w:r>
      <w:r w:rsidR="00F22EAD" w:rsidRPr="00553EA5">
        <w:t xml:space="preserve">A pesar de la información proporcionada por la delegación durante el diálogo, el Comité continúa preocupado por </w:t>
      </w:r>
      <w:r w:rsidR="00EA2F27">
        <w:t xml:space="preserve">los efectos perjudiciales que tiene la </w:t>
      </w:r>
      <w:r w:rsidR="00EA2F27" w:rsidRPr="00553EA5">
        <w:t>aplicación</w:t>
      </w:r>
      <w:r w:rsidR="00F22EAD" w:rsidRPr="00553EA5">
        <w:t xml:space="preserve"> del artículo 215 del actual Código Penal que tipifica como delito la </w:t>
      </w:r>
      <w:r w:rsidR="002536C6">
        <w:t>e</w:t>
      </w:r>
      <w:r w:rsidR="00F22EAD" w:rsidRPr="00553EA5">
        <w:t xml:space="preserve">ntrada </w:t>
      </w:r>
      <w:r w:rsidR="002536C6">
        <w:t>i</w:t>
      </w:r>
      <w:r w:rsidR="00F22EAD" w:rsidRPr="00553EA5">
        <w:t xml:space="preserve">legal en el </w:t>
      </w:r>
      <w:r w:rsidR="002536C6">
        <w:t>t</w:t>
      </w:r>
      <w:r w:rsidR="00F22EAD" w:rsidRPr="00553EA5">
        <w:t xml:space="preserve">erritorio </w:t>
      </w:r>
      <w:r w:rsidR="002536C6">
        <w:t>n</w:t>
      </w:r>
      <w:r w:rsidR="00F22EAD" w:rsidRPr="00553EA5">
        <w:t>acional</w:t>
      </w:r>
      <w:r w:rsidR="00EA2F27">
        <w:t xml:space="preserve"> en cuanto a la devolución de migrantes en situación irregular</w:t>
      </w:r>
      <w:r w:rsidR="00F22EAD" w:rsidRPr="00553EA5">
        <w:t xml:space="preserve"> (art</w:t>
      </w:r>
      <w:r w:rsidR="00D205AF">
        <w:t>.</w:t>
      </w:r>
      <w:r w:rsidR="00F22EAD" w:rsidRPr="00553EA5">
        <w:t xml:space="preserve"> 5).</w:t>
      </w:r>
    </w:p>
    <w:p w14:paraId="6F9718EB" w14:textId="3A243738" w:rsidR="00DE4C87" w:rsidRPr="00553EA5" w:rsidRDefault="00AC19FC" w:rsidP="00715552">
      <w:pPr>
        <w:pStyle w:val="SingleTxtG"/>
        <w:rPr>
          <w:b/>
        </w:rPr>
      </w:pPr>
      <w:r w:rsidRPr="00715552">
        <w:t>28.</w:t>
      </w:r>
      <w:r w:rsidRPr="00715552">
        <w:tab/>
      </w:r>
      <w:r w:rsidR="00DE4C87" w:rsidRPr="00553EA5">
        <w:rPr>
          <w:b/>
        </w:rPr>
        <w:t xml:space="preserve">En el marco de la elaboración del nuevo Código Penal, el Comité recomienda al Estado parte </w:t>
      </w:r>
      <w:r w:rsidR="00F22EAD" w:rsidRPr="00553EA5">
        <w:rPr>
          <w:b/>
        </w:rPr>
        <w:t xml:space="preserve">considerar la eliminación del delito de </w:t>
      </w:r>
      <w:r w:rsidR="008C4324">
        <w:rPr>
          <w:b/>
        </w:rPr>
        <w:t>e</w:t>
      </w:r>
      <w:r w:rsidR="00F22EAD" w:rsidRPr="00553EA5">
        <w:rPr>
          <w:b/>
        </w:rPr>
        <w:t xml:space="preserve">ntrada </w:t>
      </w:r>
      <w:r w:rsidR="008C4324">
        <w:rPr>
          <w:b/>
        </w:rPr>
        <w:t>i</w:t>
      </w:r>
      <w:r w:rsidR="00F22EAD" w:rsidRPr="00553EA5">
        <w:rPr>
          <w:b/>
        </w:rPr>
        <w:t xml:space="preserve">legal en el </w:t>
      </w:r>
      <w:r w:rsidR="008C4324">
        <w:rPr>
          <w:b/>
        </w:rPr>
        <w:t>t</w:t>
      </w:r>
      <w:r w:rsidR="00F22EAD" w:rsidRPr="00553EA5">
        <w:rPr>
          <w:b/>
        </w:rPr>
        <w:t xml:space="preserve">erritorio </w:t>
      </w:r>
      <w:r w:rsidR="008C4324">
        <w:rPr>
          <w:b/>
        </w:rPr>
        <w:lastRenderedPageBreak/>
        <w:t>n</w:t>
      </w:r>
      <w:r w:rsidR="00F22EAD" w:rsidRPr="00553EA5">
        <w:rPr>
          <w:b/>
        </w:rPr>
        <w:t>acional y</w:t>
      </w:r>
      <w:r w:rsidR="00EA2F27">
        <w:rPr>
          <w:b/>
        </w:rPr>
        <w:t xml:space="preserve"> adoptar las medidas necesarias para </w:t>
      </w:r>
      <w:r w:rsidR="00F22EAD" w:rsidRPr="00553EA5">
        <w:rPr>
          <w:b/>
        </w:rPr>
        <w:t>que las disposiciones relativas a la devolución de extranjeros se aju</w:t>
      </w:r>
      <w:r w:rsidR="006E3E0C">
        <w:rPr>
          <w:b/>
        </w:rPr>
        <w:t>s</w:t>
      </w:r>
      <w:r w:rsidR="00F22EAD" w:rsidRPr="00553EA5">
        <w:rPr>
          <w:b/>
        </w:rPr>
        <w:t xml:space="preserve">ten a las normas y principios del derecho internacional de los derechos humanos, en particular el principio de no discriminación. </w:t>
      </w:r>
    </w:p>
    <w:p w14:paraId="21E55E6F" w14:textId="072005C8" w:rsidR="00BF1428" w:rsidRPr="00553EA5" w:rsidRDefault="00BF1428" w:rsidP="00715552">
      <w:pPr>
        <w:pStyle w:val="H23G"/>
      </w:pPr>
      <w:r w:rsidRPr="00553EA5">
        <w:tab/>
      </w:r>
      <w:r w:rsidRPr="00553EA5">
        <w:tab/>
        <w:t>Trata de personas</w:t>
      </w:r>
    </w:p>
    <w:p w14:paraId="22697726" w14:textId="475CD80C" w:rsidR="0008265B" w:rsidRPr="00553EA5" w:rsidRDefault="00AC19FC" w:rsidP="00715552">
      <w:pPr>
        <w:pStyle w:val="SingleTxtG"/>
      </w:pPr>
      <w:r>
        <w:t>29.</w:t>
      </w:r>
      <w:r>
        <w:tab/>
      </w:r>
      <w:r w:rsidR="00B415BF" w:rsidRPr="00553EA5">
        <w:t xml:space="preserve">El Comité toma nota con satisfacción de las medidas adoptadas por el Estado parte para combatir la trata de personas, </w:t>
      </w:r>
      <w:r w:rsidR="00EA2F27">
        <w:t xml:space="preserve">entre otras </w:t>
      </w:r>
      <w:r w:rsidR="00B415BF" w:rsidRPr="00553EA5">
        <w:t xml:space="preserve">la aprobación del Plan </w:t>
      </w:r>
      <w:r w:rsidR="00D326AA" w:rsidRPr="00553EA5">
        <w:t xml:space="preserve">de acción nacional para la prevención y </w:t>
      </w:r>
      <w:r w:rsidR="00E27A9B">
        <w:t xml:space="preserve">la </w:t>
      </w:r>
      <w:r w:rsidR="00D326AA" w:rsidRPr="00553EA5">
        <w:t xml:space="preserve">lucha contra la trata de personas y </w:t>
      </w:r>
      <w:r w:rsidR="00E27A9B">
        <w:t xml:space="preserve">la </w:t>
      </w:r>
      <w:r w:rsidR="00D326AA" w:rsidRPr="00553EA5">
        <w:t xml:space="preserve">protección de las víctimas </w:t>
      </w:r>
      <w:r w:rsidR="00E27A9B">
        <w:t>(</w:t>
      </w:r>
      <w:r w:rsidR="00B415BF" w:rsidRPr="00553EA5">
        <w:t>2017-2020</w:t>
      </w:r>
      <w:r w:rsidR="00E27A9B">
        <w:t>)</w:t>
      </w:r>
      <w:r w:rsidR="00B415BF" w:rsidRPr="00553EA5">
        <w:t xml:space="preserve">. Sin embargo, </w:t>
      </w:r>
      <w:r w:rsidR="0008265B" w:rsidRPr="00553EA5">
        <w:t xml:space="preserve">lamenta la falta de información </w:t>
      </w:r>
      <w:r w:rsidR="00B415BF" w:rsidRPr="00553EA5">
        <w:t>desglosada</w:t>
      </w:r>
      <w:r w:rsidR="0008265B" w:rsidRPr="00553EA5">
        <w:t xml:space="preserve"> por sexo, edad, grupo étnico y nacionalidad de las víctimas</w:t>
      </w:r>
      <w:r w:rsidR="00B415BF" w:rsidRPr="00553EA5">
        <w:t xml:space="preserve"> </w:t>
      </w:r>
      <w:r w:rsidR="00EA2F27">
        <w:t xml:space="preserve">que permita evaluar </w:t>
      </w:r>
      <w:r w:rsidR="00B415BF" w:rsidRPr="00553EA5">
        <w:t>el alcance que tiene este fenómeno entre la población afrodescendiente o de otro origen étnico o nacional</w:t>
      </w:r>
      <w:r w:rsidR="00C14FFD">
        <w:t xml:space="preserve"> (art. 5)</w:t>
      </w:r>
      <w:r w:rsidR="0008265B" w:rsidRPr="00553EA5">
        <w:rPr>
          <w:shd w:val="clear" w:color="auto" w:fill="FFFFFF"/>
        </w:rPr>
        <w:t>.</w:t>
      </w:r>
    </w:p>
    <w:p w14:paraId="430CA766" w14:textId="476F97DD" w:rsidR="0008265B" w:rsidRPr="00553EA5" w:rsidRDefault="00AC19FC" w:rsidP="00715552">
      <w:pPr>
        <w:pStyle w:val="SingleTxtG"/>
        <w:rPr>
          <w:b/>
        </w:rPr>
      </w:pPr>
      <w:r w:rsidRPr="00715552">
        <w:t>30.</w:t>
      </w:r>
      <w:r w:rsidRPr="00715552">
        <w:tab/>
      </w:r>
      <w:r w:rsidR="0008265B" w:rsidRPr="00553EA5">
        <w:rPr>
          <w:b/>
        </w:rPr>
        <w:t xml:space="preserve">El Comité recuerda su anterior recomendación y solicita al Estado parte que en su próximo informe incluya información </w:t>
      </w:r>
      <w:r w:rsidR="00B415BF" w:rsidRPr="00553EA5">
        <w:rPr>
          <w:b/>
        </w:rPr>
        <w:t>desglosada</w:t>
      </w:r>
      <w:r w:rsidR="0008265B" w:rsidRPr="00553EA5">
        <w:rPr>
          <w:b/>
        </w:rPr>
        <w:t xml:space="preserve"> por sexo, edad, grupo étnico y nacionalidad de las víctimas,</w:t>
      </w:r>
      <w:r w:rsidR="00EA2F27">
        <w:rPr>
          <w:b/>
        </w:rPr>
        <w:t xml:space="preserve"> y</w:t>
      </w:r>
      <w:r w:rsidR="0008265B" w:rsidRPr="00553EA5">
        <w:rPr>
          <w:b/>
        </w:rPr>
        <w:t xml:space="preserve"> sobre el número de investigaciones, condenas y penas impuestas en casos de trata de seres humanos con fines de explotación laboral o sexual</w:t>
      </w:r>
      <w:r w:rsidR="00D326AA" w:rsidRPr="00553EA5">
        <w:rPr>
          <w:b/>
        </w:rPr>
        <w:t>. El Comité alienta al Estado parte a continuar sus esfuerzos por combatir la trata de personas y a</w:t>
      </w:r>
      <w:r w:rsidR="0008265B" w:rsidRPr="00553EA5">
        <w:rPr>
          <w:b/>
        </w:rPr>
        <w:t xml:space="preserve"> </w:t>
      </w:r>
      <w:r w:rsidR="00D326AA" w:rsidRPr="00553EA5">
        <w:rPr>
          <w:b/>
        </w:rPr>
        <w:t xml:space="preserve">adoptar todas </w:t>
      </w:r>
      <w:r w:rsidR="0008265B" w:rsidRPr="00553EA5">
        <w:rPr>
          <w:b/>
        </w:rPr>
        <w:t xml:space="preserve">las medidas </w:t>
      </w:r>
      <w:r w:rsidR="00D326AA" w:rsidRPr="00553EA5">
        <w:rPr>
          <w:b/>
        </w:rPr>
        <w:t xml:space="preserve">necesarias </w:t>
      </w:r>
      <w:r w:rsidR="0008265B" w:rsidRPr="00553EA5">
        <w:rPr>
          <w:b/>
        </w:rPr>
        <w:t xml:space="preserve">para garantizar la implementación efectiva del </w:t>
      </w:r>
      <w:r w:rsidR="0008265B" w:rsidRPr="00553EA5">
        <w:rPr>
          <w:b/>
          <w:shd w:val="clear" w:color="auto" w:fill="FFFFFF"/>
        </w:rPr>
        <w:t>Plan de acción nacional para la prevención y la lucha contra la trata de personas y la protección de las víctimas (2017-2020).</w:t>
      </w:r>
    </w:p>
    <w:p w14:paraId="5D9886F3" w14:textId="4936C668" w:rsidR="00C772C0" w:rsidRPr="00553EA5" w:rsidRDefault="00BF1428" w:rsidP="00715552">
      <w:pPr>
        <w:pStyle w:val="H23G"/>
      </w:pPr>
      <w:r w:rsidRPr="00553EA5">
        <w:tab/>
      </w:r>
      <w:r w:rsidRPr="00553EA5">
        <w:tab/>
      </w:r>
      <w:r w:rsidR="00C772C0" w:rsidRPr="00553EA5">
        <w:t xml:space="preserve">Uso excesivo de la fuerza </w:t>
      </w:r>
    </w:p>
    <w:p w14:paraId="3D86319B" w14:textId="2A8829EB" w:rsidR="00C772C0" w:rsidRPr="00553EA5" w:rsidRDefault="00AC19FC" w:rsidP="00715552">
      <w:pPr>
        <w:pStyle w:val="SingleTxtG"/>
        <w:rPr>
          <w:b/>
        </w:rPr>
      </w:pPr>
      <w:r>
        <w:t>31.</w:t>
      </w:r>
      <w:r>
        <w:tab/>
      </w:r>
      <w:r w:rsidR="00AF5820" w:rsidRPr="00553EA5">
        <w:t>Preocupa</w:t>
      </w:r>
      <w:r w:rsidR="00EA2F27">
        <w:t>n</w:t>
      </w:r>
      <w:r w:rsidR="00AF5820" w:rsidRPr="00553EA5">
        <w:t xml:space="preserve"> al Comité las alegaciones sobre el uso excesivo de la fuerza por parte </w:t>
      </w:r>
      <w:r w:rsidR="00000291">
        <w:t xml:space="preserve">de </w:t>
      </w:r>
      <w:r w:rsidR="00AF5820" w:rsidRPr="00553EA5">
        <w:t xml:space="preserve">los agentes del orden en contra de personas afrodescendientes y por la falta de información adecuada sobre las medidas adoptadas por el Estado </w:t>
      </w:r>
      <w:r w:rsidR="00000291">
        <w:t xml:space="preserve">parte </w:t>
      </w:r>
      <w:r w:rsidR="00AF5820" w:rsidRPr="00553EA5">
        <w:t>para investigar tales casos (art</w:t>
      </w:r>
      <w:r w:rsidR="00000291">
        <w:t>s</w:t>
      </w:r>
      <w:r w:rsidR="00AF5820" w:rsidRPr="00553EA5">
        <w:t xml:space="preserve">. 5 y 6). </w:t>
      </w:r>
    </w:p>
    <w:p w14:paraId="7E989DB6" w14:textId="078E9262" w:rsidR="00AF5820" w:rsidRPr="00553EA5" w:rsidRDefault="00AC19FC" w:rsidP="00715552">
      <w:pPr>
        <w:pStyle w:val="SingleTxtG"/>
        <w:rPr>
          <w:b/>
          <w:bCs/>
        </w:rPr>
      </w:pPr>
      <w:r w:rsidRPr="00715552">
        <w:rPr>
          <w:bCs/>
        </w:rPr>
        <w:t>32.</w:t>
      </w:r>
      <w:r w:rsidRPr="00715552">
        <w:rPr>
          <w:bCs/>
        </w:rPr>
        <w:tab/>
      </w:r>
      <w:r w:rsidR="00AF5820" w:rsidRPr="00553EA5">
        <w:rPr>
          <w:b/>
          <w:bCs/>
        </w:rPr>
        <w:t xml:space="preserve">El </w:t>
      </w:r>
      <w:r w:rsidR="00AF5820" w:rsidRPr="00553EA5">
        <w:rPr>
          <w:b/>
        </w:rPr>
        <w:t>Comité</w:t>
      </w:r>
      <w:r w:rsidR="00AF5820" w:rsidRPr="00553EA5">
        <w:rPr>
          <w:b/>
          <w:bCs/>
        </w:rPr>
        <w:t xml:space="preserve"> recomienda al Estado parte que: </w:t>
      </w:r>
    </w:p>
    <w:p w14:paraId="04C4C227" w14:textId="6E327260" w:rsidR="00AF5820" w:rsidRPr="00715552" w:rsidRDefault="00AC19FC" w:rsidP="000D4881">
      <w:pPr>
        <w:pStyle w:val="SingleTxtG"/>
        <w:rPr>
          <w:b/>
        </w:rPr>
      </w:pPr>
      <w:r>
        <w:tab/>
      </w:r>
      <w:r w:rsidRPr="00715552">
        <w:rPr>
          <w:b/>
        </w:rPr>
        <w:t>a)</w:t>
      </w:r>
      <w:r w:rsidRPr="00715552">
        <w:rPr>
          <w:b/>
        </w:rPr>
        <w:tab/>
      </w:r>
      <w:r w:rsidR="00AF5820" w:rsidRPr="00715552">
        <w:rPr>
          <w:b/>
        </w:rPr>
        <w:t xml:space="preserve">Adopte medidas efectivas para prevenir el uso excesivo de la fuerza, los malos tratos y el abuso de autoridad por </w:t>
      </w:r>
      <w:r w:rsidR="00EA2F27" w:rsidRPr="00715552">
        <w:rPr>
          <w:b/>
        </w:rPr>
        <w:t>agentes del orden en</w:t>
      </w:r>
      <w:r w:rsidR="00AF5820" w:rsidRPr="00715552">
        <w:rPr>
          <w:b/>
        </w:rPr>
        <w:t xml:space="preserve"> contra </w:t>
      </w:r>
      <w:r w:rsidR="00BC29CD" w:rsidRPr="00715552">
        <w:rPr>
          <w:b/>
        </w:rPr>
        <w:t xml:space="preserve">de </w:t>
      </w:r>
      <w:r w:rsidR="00AF5820" w:rsidRPr="00715552">
        <w:rPr>
          <w:b/>
        </w:rPr>
        <w:t>personas afrodescendientes, entre otras cosas garantizando el respeto del principio de proporcionalidad y de estricta necesidad en el uso de la fuerza y llevando a cabo capacitaciones sobre el uso de la fuerza y el restablecimiento del orden utilizando mecanismos convencionales</w:t>
      </w:r>
      <w:r w:rsidR="00EA2F27" w:rsidRPr="00715552">
        <w:rPr>
          <w:b/>
        </w:rPr>
        <w:t>;</w:t>
      </w:r>
    </w:p>
    <w:p w14:paraId="172F16FC" w14:textId="6008613B" w:rsidR="00AF5820" w:rsidRPr="00715552" w:rsidRDefault="00AC19FC" w:rsidP="000D4881">
      <w:pPr>
        <w:pStyle w:val="SingleTxtG"/>
        <w:rPr>
          <w:b/>
        </w:rPr>
      </w:pPr>
      <w:r w:rsidRPr="00715552">
        <w:rPr>
          <w:b/>
        </w:rPr>
        <w:tab/>
        <w:t>b)</w:t>
      </w:r>
      <w:r w:rsidRPr="00715552">
        <w:rPr>
          <w:b/>
        </w:rPr>
        <w:tab/>
      </w:r>
      <w:r w:rsidR="00AF5820" w:rsidRPr="00715552">
        <w:rPr>
          <w:b/>
        </w:rPr>
        <w:t xml:space="preserve">Vele por que todas las denuncias de uso excesivo de la fuerza, malos tratos y abusos cometidos por funcionarios encargados de hacer cumplir la ley sean investigadas de manera efectiva y exhaustiva y </w:t>
      </w:r>
      <w:r w:rsidR="00B415BF" w:rsidRPr="00715552">
        <w:rPr>
          <w:b/>
        </w:rPr>
        <w:t>por</w:t>
      </w:r>
      <w:r w:rsidR="00BC29CD" w:rsidRPr="00715552">
        <w:rPr>
          <w:b/>
        </w:rPr>
        <w:t xml:space="preserve"> </w:t>
      </w:r>
      <w:r w:rsidR="00B415BF" w:rsidRPr="00715552">
        <w:rPr>
          <w:b/>
        </w:rPr>
        <w:t>que</w:t>
      </w:r>
      <w:r w:rsidR="00AF5820" w:rsidRPr="00715552">
        <w:rPr>
          <w:b/>
        </w:rPr>
        <w:t>, cuando estén fundamentadas, los autores sean enjuiciados y castigados, teniendo en cuenta la gravedad de tales actos;</w:t>
      </w:r>
    </w:p>
    <w:p w14:paraId="6DFE2D2B" w14:textId="6B0BD24A" w:rsidR="00C772C0" w:rsidRPr="00715552" w:rsidRDefault="00AC19FC" w:rsidP="000D4881">
      <w:pPr>
        <w:pStyle w:val="SingleTxtG"/>
        <w:rPr>
          <w:b/>
        </w:rPr>
      </w:pPr>
      <w:r w:rsidRPr="00715552">
        <w:rPr>
          <w:b/>
        </w:rPr>
        <w:tab/>
      </w:r>
      <w:bookmarkStart w:id="0" w:name="_GoBack"/>
      <w:bookmarkEnd w:id="0"/>
      <w:r w:rsidRPr="00715552">
        <w:rPr>
          <w:b/>
        </w:rPr>
        <w:t>c)</w:t>
      </w:r>
      <w:r w:rsidRPr="00715552">
        <w:rPr>
          <w:b/>
        </w:rPr>
        <w:tab/>
      </w:r>
      <w:r w:rsidR="00AF5820" w:rsidRPr="00715552">
        <w:rPr>
          <w:b/>
        </w:rPr>
        <w:t>Vele por que las personas afrodescendientes que han sido víctimas del uso excesivo de la fuerza por agentes del orden tengan acceso a recursos efectivos e indemnización, y no sean objeto de represalias por haber interpuesto una denuncia</w:t>
      </w:r>
      <w:r w:rsidR="001B44FB" w:rsidRPr="00715552">
        <w:rPr>
          <w:b/>
        </w:rPr>
        <w:t>.</w:t>
      </w:r>
      <w:r w:rsidR="00AF5820" w:rsidRPr="00715552">
        <w:rPr>
          <w:b/>
        </w:rPr>
        <w:t xml:space="preserve"> </w:t>
      </w:r>
    </w:p>
    <w:p w14:paraId="07C367F4" w14:textId="3457C67F" w:rsidR="00034D5B" w:rsidRPr="00553EA5" w:rsidRDefault="00BF1428" w:rsidP="000D4881">
      <w:pPr>
        <w:pStyle w:val="H23G"/>
        <w:keepNext w:val="0"/>
        <w:keepLines w:val="0"/>
      </w:pPr>
      <w:r w:rsidRPr="00553EA5">
        <w:tab/>
      </w:r>
      <w:r w:rsidR="00AC19FC">
        <w:tab/>
      </w:r>
      <w:r w:rsidR="00011974" w:rsidRPr="00553EA5">
        <w:t xml:space="preserve">Combate de estereotipos raciales </w:t>
      </w:r>
    </w:p>
    <w:p w14:paraId="4F4F7A4F" w14:textId="1098ED14" w:rsidR="009C3ACD" w:rsidRDefault="00AC19FC" w:rsidP="000D4881">
      <w:pPr>
        <w:pStyle w:val="SingleTxtG"/>
        <w:suppressAutoHyphens/>
        <w:spacing w:before="240" w:after="0"/>
        <w:rPr>
          <w:b/>
        </w:rPr>
      </w:pPr>
      <w:r>
        <w:t>33.</w:t>
      </w:r>
      <w:r>
        <w:tab/>
      </w:r>
      <w:r w:rsidR="005E0D24" w:rsidRPr="001D5DC9">
        <w:t xml:space="preserve">Aun cuando el Comité reconoce los esfuerzos del Estado parte para combatir la discriminación racial, le preocupa que </w:t>
      </w:r>
      <w:r w:rsidR="00BC29CD">
        <w:t>e</w:t>
      </w:r>
      <w:r w:rsidR="001B44FB" w:rsidRPr="001D5DC9">
        <w:t xml:space="preserve">stos no hayan sido lo suficientemente efectivos para combatir los </w:t>
      </w:r>
      <w:r w:rsidR="005E0D24" w:rsidRPr="001D5DC9">
        <w:t>estereotipos y prejuicios raciales</w:t>
      </w:r>
      <w:r w:rsidR="001B44FB" w:rsidRPr="001D5DC9">
        <w:t xml:space="preserve"> que</w:t>
      </w:r>
      <w:r w:rsidR="005E0D24" w:rsidRPr="001D5DC9">
        <w:t xml:space="preserve"> </w:t>
      </w:r>
      <w:r w:rsidR="001B44FB" w:rsidRPr="001D5DC9">
        <w:t>continúan arraigados en la sociedad (arts. 2 y 7)</w:t>
      </w:r>
      <w:r w:rsidR="00BF1428" w:rsidRPr="001D5DC9">
        <w:t>.</w:t>
      </w:r>
    </w:p>
    <w:p w14:paraId="36C70FA0" w14:textId="64FFE007" w:rsidR="00B63C83" w:rsidRPr="001D5DC9" w:rsidRDefault="00AC19FC" w:rsidP="00715552">
      <w:pPr>
        <w:pStyle w:val="SingleTxtG"/>
        <w:keepNext/>
        <w:keepLines/>
        <w:suppressAutoHyphens/>
        <w:spacing w:before="240" w:after="0"/>
        <w:rPr>
          <w:b/>
        </w:rPr>
      </w:pPr>
      <w:r w:rsidRPr="00715552">
        <w:lastRenderedPageBreak/>
        <w:t>34.</w:t>
      </w:r>
      <w:r w:rsidRPr="00715552">
        <w:tab/>
      </w:r>
      <w:r w:rsidR="00B63C83" w:rsidRPr="001D5DC9">
        <w:rPr>
          <w:b/>
        </w:rPr>
        <w:t xml:space="preserve">El Comité </w:t>
      </w:r>
      <w:r w:rsidR="0029085A" w:rsidRPr="001D5DC9">
        <w:rPr>
          <w:b/>
        </w:rPr>
        <w:t>a</w:t>
      </w:r>
      <w:r w:rsidR="0029085A">
        <w:rPr>
          <w:b/>
        </w:rPr>
        <w:t>lienta</w:t>
      </w:r>
      <w:r w:rsidR="0029085A" w:rsidRPr="001D5DC9">
        <w:rPr>
          <w:b/>
        </w:rPr>
        <w:t xml:space="preserve"> </w:t>
      </w:r>
      <w:r w:rsidR="00B63C83" w:rsidRPr="001D5DC9">
        <w:rPr>
          <w:b/>
        </w:rPr>
        <w:t>al Estado parte a que lleve a cabo de manera sistemática campañas de sensibilización y educación hacia la sociedad en general sobre los efectos negativos de la discriminación racial y que promuevan la comprensión y tolerancia entre los grupos de diferentes orígenes étnicos o nacionales existentes en el Estado parte</w:t>
      </w:r>
      <w:r w:rsidR="0029085A">
        <w:rPr>
          <w:b/>
        </w:rPr>
        <w:t>, con el objeto de combatir los estereotipos raciales y toda forma de discriminación.</w:t>
      </w:r>
    </w:p>
    <w:p w14:paraId="6E77C2E5" w14:textId="55CBDB1A" w:rsidR="00034D5B" w:rsidRPr="00553EA5" w:rsidRDefault="00034D5B">
      <w:pPr>
        <w:pStyle w:val="H1G"/>
      </w:pPr>
      <w:r w:rsidRPr="00553EA5">
        <w:tab/>
        <w:t>D.</w:t>
      </w:r>
      <w:r w:rsidRPr="00553EA5">
        <w:tab/>
        <w:t xml:space="preserve">Otras </w:t>
      </w:r>
      <w:r w:rsidR="0031050B">
        <w:t>r</w:t>
      </w:r>
      <w:r w:rsidRPr="00553EA5">
        <w:t>ecomendaciones</w:t>
      </w:r>
    </w:p>
    <w:p w14:paraId="037CC16F" w14:textId="371D81C2" w:rsidR="00034D5B" w:rsidRPr="001C4531" w:rsidRDefault="009C3ACD">
      <w:pPr>
        <w:pStyle w:val="H23G"/>
      </w:pPr>
      <w:r>
        <w:tab/>
      </w:r>
      <w:r>
        <w:tab/>
      </w:r>
      <w:r w:rsidR="00034D5B" w:rsidRPr="001C4531">
        <w:t>Ratificación de otros tratados</w:t>
      </w:r>
    </w:p>
    <w:p w14:paraId="641564B6" w14:textId="1602701D" w:rsidR="00034D5B" w:rsidRPr="001C4531" w:rsidRDefault="00AC19FC" w:rsidP="00715552">
      <w:pPr>
        <w:pStyle w:val="SingleTxtG"/>
        <w:rPr>
          <w:b/>
        </w:rPr>
      </w:pPr>
      <w:r w:rsidRPr="00715552">
        <w:t>35.</w:t>
      </w:r>
      <w:r w:rsidRPr="00715552">
        <w:tab/>
      </w:r>
      <w:r w:rsidR="00156955" w:rsidRPr="001C4531">
        <w:rPr>
          <w:b/>
        </w:rPr>
        <w:t>Teniendo presente la indivisibilidad de todos los derechos humanos, e</w:t>
      </w:r>
      <w:r w:rsidR="00034D5B" w:rsidRPr="001C4531">
        <w:rPr>
          <w:b/>
        </w:rPr>
        <w:t xml:space="preserve">l Comité alienta al Estado parte a </w:t>
      </w:r>
      <w:r w:rsidR="00C14FFD" w:rsidRPr="001C4531">
        <w:rPr>
          <w:b/>
        </w:rPr>
        <w:t xml:space="preserve">considerar la </w:t>
      </w:r>
      <w:r w:rsidR="00034D5B" w:rsidRPr="001C4531">
        <w:rPr>
          <w:b/>
        </w:rPr>
        <w:t>ratifica</w:t>
      </w:r>
      <w:r w:rsidR="00C14FFD" w:rsidRPr="001C4531">
        <w:rPr>
          <w:b/>
        </w:rPr>
        <w:t xml:space="preserve">ción de </w:t>
      </w:r>
      <w:r w:rsidR="00C14FFD" w:rsidRPr="001C4531">
        <w:rPr>
          <w:b/>
          <w:lang w:eastAsia="en-US"/>
        </w:rPr>
        <w:t xml:space="preserve">los tratados fundamentales de derechos humanos de las Naciones Unidas en los que aún no es parte, en particular, el Pacto Internacional de Derechos Civiles y Políticos, el Pacto Internacional de Derechos Económicos, Sociales y Culturales, la Convención Internacional sobre la </w:t>
      </w:r>
      <w:r w:rsidR="00BC29CD">
        <w:rPr>
          <w:b/>
          <w:lang w:eastAsia="en-US"/>
        </w:rPr>
        <w:t>P</w:t>
      </w:r>
      <w:r w:rsidR="00C14FFD" w:rsidRPr="001C4531">
        <w:rPr>
          <w:b/>
          <w:lang w:eastAsia="en-US"/>
        </w:rPr>
        <w:t xml:space="preserve">rotección de los </w:t>
      </w:r>
      <w:r w:rsidR="00BC29CD">
        <w:rPr>
          <w:b/>
          <w:lang w:eastAsia="en-US"/>
        </w:rPr>
        <w:t>D</w:t>
      </w:r>
      <w:r w:rsidR="00C14FFD" w:rsidRPr="001C4531">
        <w:rPr>
          <w:b/>
          <w:lang w:eastAsia="en-US"/>
        </w:rPr>
        <w:t xml:space="preserve">erechos de </w:t>
      </w:r>
      <w:r w:rsidR="00BC29CD">
        <w:rPr>
          <w:b/>
          <w:lang w:eastAsia="en-US"/>
        </w:rPr>
        <w:t>T</w:t>
      </w:r>
      <w:r w:rsidR="00C14FFD" w:rsidRPr="001C4531">
        <w:rPr>
          <w:b/>
          <w:lang w:eastAsia="en-US"/>
        </w:rPr>
        <w:t xml:space="preserve">odos los </w:t>
      </w:r>
      <w:r w:rsidR="00BC29CD">
        <w:rPr>
          <w:b/>
          <w:lang w:eastAsia="en-US"/>
        </w:rPr>
        <w:t>T</w:t>
      </w:r>
      <w:r w:rsidR="00C14FFD" w:rsidRPr="001C4531">
        <w:rPr>
          <w:b/>
          <w:lang w:eastAsia="en-US"/>
        </w:rPr>
        <w:t xml:space="preserve">rabajadores </w:t>
      </w:r>
      <w:r w:rsidR="00BC29CD">
        <w:rPr>
          <w:b/>
          <w:lang w:eastAsia="en-US"/>
        </w:rPr>
        <w:t>M</w:t>
      </w:r>
      <w:r w:rsidR="00C14FFD" w:rsidRPr="001C4531">
        <w:rPr>
          <w:b/>
          <w:lang w:eastAsia="en-US"/>
        </w:rPr>
        <w:t xml:space="preserve">igratorios y de sus </w:t>
      </w:r>
      <w:r w:rsidR="00BC29CD">
        <w:rPr>
          <w:b/>
          <w:lang w:eastAsia="en-US"/>
        </w:rPr>
        <w:t>F</w:t>
      </w:r>
      <w:r w:rsidR="00C14FFD" w:rsidRPr="001C4531">
        <w:rPr>
          <w:b/>
          <w:lang w:eastAsia="en-US"/>
        </w:rPr>
        <w:t xml:space="preserve">amiliares, el Protocolo Facultativo de la Convención sobre la </w:t>
      </w:r>
      <w:r w:rsidR="00BC29CD">
        <w:rPr>
          <w:b/>
          <w:lang w:eastAsia="en-US"/>
        </w:rPr>
        <w:t>E</w:t>
      </w:r>
      <w:r w:rsidR="00C14FFD" w:rsidRPr="001C4531">
        <w:rPr>
          <w:b/>
          <w:lang w:eastAsia="en-US"/>
        </w:rPr>
        <w:t xml:space="preserve">liminación de </w:t>
      </w:r>
      <w:r w:rsidR="00BC29CD">
        <w:rPr>
          <w:b/>
          <w:lang w:eastAsia="en-US"/>
        </w:rPr>
        <w:t>T</w:t>
      </w:r>
      <w:r w:rsidR="00C14FFD" w:rsidRPr="001C4531">
        <w:rPr>
          <w:b/>
          <w:lang w:eastAsia="en-US"/>
        </w:rPr>
        <w:t xml:space="preserve">odas las </w:t>
      </w:r>
      <w:r w:rsidR="00BC29CD">
        <w:rPr>
          <w:b/>
          <w:lang w:eastAsia="en-US"/>
        </w:rPr>
        <w:t>F</w:t>
      </w:r>
      <w:r w:rsidR="00C14FFD" w:rsidRPr="001C4531">
        <w:rPr>
          <w:b/>
          <w:lang w:eastAsia="en-US"/>
        </w:rPr>
        <w:t xml:space="preserve">ormas de </w:t>
      </w:r>
      <w:r w:rsidR="00BC29CD">
        <w:rPr>
          <w:b/>
          <w:lang w:eastAsia="en-US"/>
        </w:rPr>
        <w:t>D</w:t>
      </w:r>
      <w:r w:rsidR="00C14FFD" w:rsidRPr="001C4531">
        <w:rPr>
          <w:b/>
          <w:lang w:eastAsia="en-US"/>
        </w:rPr>
        <w:t xml:space="preserve">iscriminación contra la </w:t>
      </w:r>
      <w:r w:rsidR="00BC29CD">
        <w:rPr>
          <w:b/>
          <w:lang w:eastAsia="en-US"/>
        </w:rPr>
        <w:t>M</w:t>
      </w:r>
      <w:r w:rsidR="00C14FFD" w:rsidRPr="001C4531">
        <w:rPr>
          <w:b/>
          <w:lang w:eastAsia="en-US"/>
        </w:rPr>
        <w:t xml:space="preserve">ujer, el Protocolo Facultativo de la Convención sobre los </w:t>
      </w:r>
      <w:r w:rsidR="00BC29CD">
        <w:rPr>
          <w:b/>
          <w:lang w:eastAsia="en-US"/>
        </w:rPr>
        <w:t>D</w:t>
      </w:r>
      <w:r w:rsidR="00C14FFD" w:rsidRPr="001C4531">
        <w:rPr>
          <w:b/>
          <w:lang w:eastAsia="en-US"/>
        </w:rPr>
        <w:t xml:space="preserve">erechos de las </w:t>
      </w:r>
      <w:r w:rsidR="00BC29CD">
        <w:rPr>
          <w:b/>
          <w:lang w:eastAsia="en-US"/>
        </w:rPr>
        <w:t>P</w:t>
      </w:r>
      <w:r w:rsidR="00C14FFD" w:rsidRPr="001C4531">
        <w:rPr>
          <w:b/>
          <w:lang w:eastAsia="en-US"/>
        </w:rPr>
        <w:t xml:space="preserve">ersonas con </w:t>
      </w:r>
      <w:r w:rsidR="00BC29CD">
        <w:rPr>
          <w:b/>
          <w:lang w:eastAsia="en-US"/>
        </w:rPr>
        <w:t>D</w:t>
      </w:r>
      <w:r w:rsidR="00C14FFD" w:rsidRPr="001C4531">
        <w:rPr>
          <w:b/>
          <w:lang w:eastAsia="en-US"/>
        </w:rPr>
        <w:t>iscapacidad,</w:t>
      </w:r>
      <w:r w:rsidR="00034D5B" w:rsidRPr="001C4531">
        <w:rPr>
          <w:b/>
        </w:rPr>
        <w:t xml:space="preserve"> el Protocolo Facultativo del Pacto Internacional de Derechos Económicos, Sociales y Culturales y el Protocolo Facultativo de la Convención sobre los Derechos del Niño relativo a un procedimiento de comunicaciones. </w:t>
      </w:r>
    </w:p>
    <w:p w14:paraId="23C58C76" w14:textId="7693C885" w:rsidR="00034D5B" w:rsidRPr="00175BA4" w:rsidRDefault="00AC19FC">
      <w:pPr>
        <w:pStyle w:val="H23G"/>
      </w:pPr>
      <w:r>
        <w:tab/>
      </w:r>
      <w:r>
        <w:tab/>
      </w:r>
      <w:r w:rsidR="00075AAD">
        <w:t xml:space="preserve">Seguimiento de la </w:t>
      </w:r>
      <w:r w:rsidR="00034D5B" w:rsidRPr="001C4531">
        <w:t xml:space="preserve">Declaración y </w:t>
      </w:r>
      <w:r w:rsidR="00034D5B" w:rsidRPr="00175BA4">
        <w:t>Programa de Acción de Durban</w:t>
      </w:r>
    </w:p>
    <w:p w14:paraId="6CAA4562" w14:textId="46CD760B" w:rsidR="00034D5B" w:rsidRPr="001C4531" w:rsidRDefault="00AC19FC" w:rsidP="00715552">
      <w:pPr>
        <w:pStyle w:val="SingleTxtG"/>
        <w:rPr>
          <w:b/>
        </w:rPr>
      </w:pPr>
      <w:r w:rsidRPr="00715552">
        <w:t>36.</w:t>
      </w:r>
      <w:r w:rsidRPr="00715552">
        <w:tab/>
      </w:r>
      <w:r w:rsidR="00034D5B" w:rsidRPr="00175BA4">
        <w:rPr>
          <w:b/>
        </w:rPr>
        <w:t xml:space="preserve">A la luz de su Recomendación general </w:t>
      </w:r>
      <w:r w:rsidR="00A61D60">
        <w:rPr>
          <w:b/>
        </w:rPr>
        <w:t>núm.</w:t>
      </w:r>
      <w:r w:rsidR="00FB71AA">
        <w:rPr>
          <w:b/>
        </w:rPr>
        <w:t xml:space="preserve"> </w:t>
      </w:r>
      <w:r w:rsidR="00034D5B" w:rsidRPr="00175BA4">
        <w:rPr>
          <w:b/>
        </w:rPr>
        <w:t xml:space="preserve">33 (2009) sobre el seguimiento de la Conferencia de Examen de Durban, el Comité recomienda al Estado parte que, al incorporar la Convención en su legislación nacional, </w:t>
      </w:r>
      <w:r w:rsidR="002F154D" w:rsidRPr="00175BA4">
        <w:rPr>
          <w:b/>
        </w:rPr>
        <w:t xml:space="preserve">continúe tomando en cuenta </w:t>
      </w:r>
      <w:r w:rsidR="00034D5B" w:rsidRPr="00175BA4">
        <w:rPr>
          <w:b/>
        </w:rPr>
        <w:t xml:space="preserve"> la Declaración y el Programa de Acción de Durban, aprobados en septiembre de 2001 por la Conferencia Mundial contra el Racismo, la Discriminación Racial, la Xenofobia y las Formas Conexas de Intolerancia, así como el documento final de la Conferencia de Examen de Durban, celebrada en </w:t>
      </w:r>
      <w:r w:rsidR="00A61D60">
        <w:rPr>
          <w:b/>
        </w:rPr>
        <w:t xml:space="preserve">Ginebra en </w:t>
      </w:r>
      <w:r w:rsidR="00034D5B" w:rsidRPr="00175BA4">
        <w:rPr>
          <w:b/>
        </w:rPr>
        <w:t>abril de 2009. El Comité pide al Estado parte que en su próximo informe periódico incluya información</w:t>
      </w:r>
      <w:r w:rsidR="00034D5B" w:rsidRPr="001C4531">
        <w:rPr>
          <w:b/>
        </w:rPr>
        <w:t xml:space="preserve"> concreta sobre este. </w:t>
      </w:r>
    </w:p>
    <w:p w14:paraId="5B34BB7C" w14:textId="1F7CE81D" w:rsidR="00034D5B" w:rsidRPr="001C4531" w:rsidRDefault="009C3ACD">
      <w:pPr>
        <w:pStyle w:val="H23G"/>
      </w:pPr>
      <w:r w:rsidRPr="001C4531">
        <w:tab/>
      </w:r>
      <w:r w:rsidRPr="001C4531">
        <w:tab/>
      </w:r>
      <w:r w:rsidR="00034D5B" w:rsidRPr="001C4531">
        <w:t xml:space="preserve">Decenio Internacional para los Afrodescendientes </w:t>
      </w:r>
    </w:p>
    <w:p w14:paraId="110959B1" w14:textId="2FA28718" w:rsidR="00034D5B" w:rsidRPr="001C4531" w:rsidRDefault="00AC19FC" w:rsidP="00715552">
      <w:pPr>
        <w:pStyle w:val="SingleTxtG"/>
        <w:rPr>
          <w:b/>
        </w:rPr>
      </w:pPr>
      <w:r w:rsidRPr="00715552">
        <w:t>37.</w:t>
      </w:r>
      <w:r>
        <w:rPr>
          <w:b/>
        </w:rPr>
        <w:tab/>
      </w:r>
      <w:r w:rsidR="00034D5B" w:rsidRPr="001C4531">
        <w:rPr>
          <w:b/>
        </w:rPr>
        <w:t>A la luz de la resolución 68/237 de la Asamblea General proclama</w:t>
      </w:r>
      <w:r w:rsidR="00BC29CD">
        <w:rPr>
          <w:b/>
        </w:rPr>
        <w:t>n</w:t>
      </w:r>
      <w:r w:rsidR="00034D5B" w:rsidRPr="001C4531">
        <w:rPr>
          <w:b/>
        </w:rPr>
        <w:t>do el Decenio Internacional para los Afrodescendientes (2015-2024) y de la resolución 69/16 sobre el programa de actividades del Decenio, el Comité recomienda que el Estado parte en su próximo informe incluya información precisa sobre</w:t>
      </w:r>
      <w:r w:rsidR="00896B55" w:rsidRPr="001C4531">
        <w:rPr>
          <w:b/>
        </w:rPr>
        <w:t xml:space="preserve"> la implementación de su Plan de Acción para el </w:t>
      </w:r>
      <w:r w:rsidR="006073E8">
        <w:rPr>
          <w:b/>
        </w:rPr>
        <w:t>A</w:t>
      </w:r>
      <w:r w:rsidR="00896B55" w:rsidRPr="001C4531">
        <w:rPr>
          <w:b/>
        </w:rPr>
        <w:t xml:space="preserve">ño </w:t>
      </w:r>
      <w:r w:rsidR="006073E8">
        <w:rPr>
          <w:b/>
        </w:rPr>
        <w:t>I</w:t>
      </w:r>
      <w:r w:rsidR="00896B55" w:rsidRPr="001C4531">
        <w:rPr>
          <w:b/>
        </w:rPr>
        <w:t xml:space="preserve">nternacional de </w:t>
      </w:r>
      <w:r w:rsidR="006073E8">
        <w:rPr>
          <w:b/>
        </w:rPr>
        <w:t>los A</w:t>
      </w:r>
      <w:r w:rsidR="00896B55" w:rsidRPr="001C4531">
        <w:rPr>
          <w:b/>
        </w:rPr>
        <w:t xml:space="preserve">frodescendientes y de su </w:t>
      </w:r>
      <w:r w:rsidR="008E0F57">
        <w:rPr>
          <w:b/>
        </w:rPr>
        <w:t>p</w:t>
      </w:r>
      <w:r w:rsidR="00896B55" w:rsidRPr="001C4531">
        <w:rPr>
          <w:b/>
        </w:rPr>
        <w:t xml:space="preserve">rograma nacional así como de </w:t>
      </w:r>
      <w:r w:rsidR="00034D5B" w:rsidRPr="001C4531">
        <w:rPr>
          <w:b/>
        </w:rPr>
        <w:t xml:space="preserve">las medidas concretas adoptadas en este marco, a la luz de su </w:t>
      </w:r>
      <w:r w:rsidR="006073E8">
        <w:rPr>
          <w:b/>
        </w:rPr>
        <w:t>r</w:t>
      </w:r>
      <w:r w:rsidR="00034D5B" w:rsidRPr="001C4531">
        <w:rPr>
          <w:b/>
        </w:rPr>
        <w:t xml:space="preserve">ecomendación </w:t>
      </w:r>
      <w:r w:rsidR="006073E8">
        <w:rPr>
          <w:b/>
        </w:rPr>
        <w:t>g</w:t>
      </w:r>
      <w:r w:rsidR="00034D5B" w:rsidRPr="001C4531">
        <w:rPr>
          <w:b/>
        </w:rPr>
        <w:t xml:space="preserve">eneral </w:t>
      </w:r>
      <w:r w:rsidR="006073E8">
        <w:rPr>
          <w:b/>
        </w:rPr>
        <w:t xml:space="preserve">núm. </w:t>
      </w:r>
      <w:r w:rsidR="00034D5B" w:rsidRPr="001C4531">
        <w:rPr>
          <w:b/>
        </w:rPr>
        <w:t>34 (2011) sobre discriminación racial contra afrodescendientes.</w:t>
      </w:r>
    </w:p>
    <w:p w14:paraId="2EC2A661" w14:textId="0925789E" w:rsidR="00034D5B" w:rsidRPr="001C4531" w:rsidRDefault="009C3ACD">
      <w:pPr>
        <w:pStyle w:val="H23G"/>
      </w:pPr>
      <w:r w:rsidRPr="001C4531">
        <w:tab/>
      </w:r>
      <w:r w:rsidRPr="001C4531">
        <w:tab/>
      </w:r>
      <w:r w:rsidR="00034D5B" w:rsidRPr="001C4531">
        <w:t xml:space="preserve">Difusión de </w:t>
      </w:r>
      <w:r w:rsidR="007C69E5">
        <w:t xml:space="preserve">información </w:t>
      </w:r>
    </w:p>
    <w:p w14:paraId="7C75B139" w14:textId="7D90F127" w:rsidR="00034D5B" w:rsidRPr="001C4531" w:rsidRDefault="00AC19FC" w:rsidP="00715552">
      <w:pPr>
        <w:pStyle w:val="SingleTxtG"/>
        <w:rPr>
          <w:b/>
        </w:rPr>
      </w:pPr>
      <w:r w:rsidRPr="00715552">
        <w:t>38.</w:t>
      </w:r>
      <w:r w:rsidRPr="00715552">
        <w:tab/>
      </w:r>
      <w:r w:rsidR="00034D5B" w:rsidRPr="001C4531">
        <w:rPr>
          <w:b/>
        </w:rPr>
        <w:t>El Comité recomienda que el Estado parte</w:t>
      </w:r>
      <w:r w:rsidR="007C69E5">
        <w:rPr>
          <w:b/>
        </w:rPr>
        <w:t xml:space="preserve"> </w:t>
      </w:r>
      <w:r w:rsidR="00034D5B" w:rsidRPr="001C4531">
        <w:rPr>
          <w:b/>
        </w:rPr>
        <w:t xml:space="preserve">ponga sus informes a disposición del público desde el momento mismo de su presentación y que difunda </w:t>
      </w:r>
      <w:r w:rsidR="002F154D" w:rsidRPr="002F154D">
        <w:rPr>
          <w:b/>
        </w:rPr>
        <w:t xml:space="preserve">de forma amplia las observaciones </w:t>
      </w:r>
      <w:r w:rsidR="007C69E5">
        <w:rPr>
          <w:b/>
        </w:rPr>
        <w:t xml:space="preserve">finales </w:t>
      </w:r>
      <w:r w:rsidR="002F154D" w:rsidRPr="002F154D">
        <w:rPr>
          <w:b/>
        </w:rPr>
        <w:t>del presente informe</w:t>
      </w:r>
      <w:r w:rsidR="002F154D">
        <w:rPr>
          <w:b/>
        </w:rPr>
        <w:t xml:space="preserve">. </w:t>
      </w:r>
    </w:p>
    <w:p w14:paraId="4A1CDDAE" w14:textId="2882283D" w:rsidR="00034D5B" w:rsidRPr="001C4531" w:rsidRDefault="009C3ACD">
      <w:pPr>
        <w:pStyle w:val="H23G"/>
      </w:pPr>
      <w:r w:rsidRPr="001C4531">
        <w:tab/>
      </w:r>
      <w:r w:rsidRPr="001C4531">
        <w:tab/>
      </w:r>
      <w:r w:rsidR="00034D5B" w:rsidRPr="001C4531">
        <w:t>Consultas con organizaciones de la sociedad civil</w:t>
      </w:r>
    </w:p>
    <w:p w14:paraId="50712D5C" w14:textId="25B491FB" w:rsidR="00034D5B" w:rsidRPr="001C4531" w:rsidRDefault="00AC19FC" w:rsidP="00715552">
      <w:pPr>
        <w:pStyle w:val="SingleTxtG"/>
        <w:rPr>
          <w:b/>
        </w:rPr>
      </w:pPr>
      <w:r w:rsidRPr="00715552">
        <w:t>39.</w:t>
      </w:r>
      <w:r w:rsidRPr="00715552">
        <w:tab/>
      </w:r>
      <w:r w:rsidR="00034D5B" w:rsidRPr="001C4531">
        <w:rPr>
          <w:b/>
        </w:rPr>
        <w:t>El Comité recomienda al Estado parte que</w:t>
      </w:r>
      <w:r w:rsidR="00896B55" w:rsidRPr="001C4531">
        <w:rPr>
          <w:b/>
        </w:rPr>
        <w:t xml:space="preserve"> intensifique sus esfuerzos para establecer una cooperación constructiva con las organizaciones de la sociedad civil dedicadas a la protección de los derechos humanos, en particular a la lucha contra la discriminación racial y </w:t>
      </w:r>
      <w:r w:rsidR="00034D5B" w:rsidRPr="001C4531">
        <w:rPr>
          <w:b/>
        </w:rPr>
        <w:t xml:space="preserve">celebre </w:t>
      </w:r>
      <w:r w:rsidR="00896B55" w:rsidRPr="001C4531">
        <w:rPr>
          <w:b/>
        </w:rPr>
        <w:t xml:space="preserve">amplias </w:t>
      </w:r>
      <w:r w:rsidR="00034D5B" w:rsidRPr="001C4531">
        <w:rPr>
          <w:b/>
        </w:rPr>
        <w:t>consultas</w:t>
      </w:r>
      <w:r w:rsidR="00896B55" w:rsidRPr="001C4531">
        <w:rPr>
          <w:b/>
        </w:rPr>
        <w:t xml:space="preserve"> </w:t>
      </w:r>
      <w:r w:rsidR="00034D5B" w:rsidRPr="001C4531">
        <w:rPr>
          <w:b/>
        </w:rPr>
        <w:t>en relación con la preparación del próximo informe periódico y el seguimiento de las presentes observaciones finales.</w:t>
      </w:r>
    </w:p>
    <w:p w14:paraId="20E5F166" w14:textId="6FF3FC9A" w:rsidR="00034D5B" w:rsidRPr="001C4531" w:rsidRDefault="009C3ACD">
      <w:pPr>
        <w:pStyle w:val="H23G"/>
        <w:rPr>
          <w:bCs/>
        </w:rPr>
      </w:pPr>
      <w:r w:rsidRPr="001C4531">
        <w:lastRenderedPageBreak/>
        <w:tab/>
      </w:r>
      <w:r w:rsidRPr="001C4531">
        <w:tab/>
      </w:r>
      <w:r w:rsidR="00034D5B" w:rsidRPr="001C4531">
        <w:t>Declaración prevista en el art</w:t>
      </w:r>
      <w:r w:rsidR="00091111" w:rsidRPr="001C4531">
        <w:t>í</w:t>
      </w:r>
      <w:r w:rsidR="00034D5B" w:rsidRPr="001C4531">
        <w:t>culo 14</w:t>
      </w:r>
    </w:p>
    <w:p w14:paraId="306A9AC4" w14:textId="312E1E58" w:rsidR="00034D5B" w:rsidRPr="001C4531" w:rsidRDefault="00AC19FC" w:rsidP="00715552">
      <w:pPr>
        <w:pStyle w:val="SingleTxtG"/>
        <w:rPr>
          <w:b/>
        </w:rPr>
      </w:pPr>
      <w:r w:rsidRPr="00715552">
        <w:t>40.</w:t>
      </w:r>
      <w:r w:rsidRPr="00715552">
        <w:tab/>
      </w:r>
      <w:r w:rsidR="00034D5B" w:rsidRPr="001C4531">
        <w:rPr>
          <w:b/>
        </w:rPr>
        <w:t>El Comité alienta al Estado parte a que haga la declaración facultativa prevista en el artículo 14 de la Convención.</w:t>
      </w:r>
    </w:p>
    <w:p w14:paraId="04C01A56" w14:textId="3C80685E" w:rsidR="00034D5B" w:rsidRPr="001C4531" w:rsidRDefault="009C3ACD">
      <w:pPr>
        <w:pStyle w:val="H23G"/>
        <w:rPr>
          <w:bCs/>
        </w:rPr>
      </w:pPr>
      <w:r w:rsidRPr="001C4531">
        <w:tab/>
      </w:r>
      <w:r w:rsidRPr="001C4531">
        <w:tab/>
      </w:r>
      <w:r w:rsidR="00034D5B" w:rsidRPr="001C4531">
        <w:t xml:space="preserve">Seguimiento de las </w:t>
      </w:r>
      <w:r w:rsidR="001E2DF6">
        <w:t xml:space="preserve">presentes </w:t>
      </w:r>
      <w:r w:rsidR="00034D5B" w:rsidRPr="001C4531">
        <w:t xml:space="preserve">observaciones </w:t>
      </w:r>
    </w:p>
    <w:p w14:paraId="58BF1382" w14:textId="70656B2D" w:rsidR="00034D5B" w:rsidRPr="00175BA4" w:rsidRDefault="00AC19FC" w:rsidP="00715552">
      <w:pPr>
        <w:pStyle w:val="SingleTxtG"/>
        <w:rPr>
          <w:b/>
        </w:rPr>
      </w:pPr>
      <w:r w:rsidRPr="00715552">
        <w:t>41.</w:t>
      </w:r>
      <w:r w:rsidRPr="00715552">
        <w:tab/>
      </w:r>
      <w:r w:rsidR="00034D5B" w:rsidRPr="001C4531">
        <w:rPr>
          <w:b/>
        </w:rPr>
        <w:t>De conformidad con el artículo 9</w:t>
      </w:r>
      <w:r w:rsidR="00BC29CD">
        <w:rPr>
          <w:b/>
        </w:rPr>
        <w:t>, párrafo</w:t>
      </w:r>
      <w:r w:rsidR="00034D5B" w:rsidRPr="001C4531">
        <w:rPr>
          <w:b/>
        </w:rPr>
        <w:t xml:space="preserve"> 1</w:t>
      </w:r>
      <w:r w:rsidR="00BC29CD">
        <w:rPr>
          <w:b/>
        </w:rPr>
        <w:t>,</w:t>
      </w:r>
      <w:r w:rsidR="00034D5B" w:rsidRPr="001C4531">
        <w:rPr>
          <w:b/>
        </w:rPr>
        <w:t xml:space="preserve"> de la Convención y del artículo</w:t>
      </w:r>
      <w:r w:rsidR="00FB71AA">
        <w:rPr>
          <w:b/>
        </w:rPr>
        <w:t xml:space="preserve"> </w:t>
      </w:r>
      <w:r w:rsidR="00034D5B" w:rsidRPr="001C4531">
        <w:rPr>
          <w:b/>
        </w:rPr>
        <w:t xml:space="preserve">65 de su reglamento enmendado, el Comité pide al Estado parte que, en el plazo de un año a partir de la aprobación de las presentes observaciones finales, le presente información </w:t>
      </w:r>
      <w:r w:rsidR="00034D5B" w:rsidRPr="00175BA4">
        <w:rPr>
          <w:b/>
        </w:rPr>
        <w:t xml:space="preserve">sobre el curso dado a las recomendaciones que figuran en los párrafos </w:t>
      </w:r>
      <w:r w:rsidR="002F154D" w:rsidRPr="00175BA4">
        <w:rPr>
          <w:b/>
        </w:rPr>
        <w:t>14</w:t>
      </w:r>
      <w:r w:rsidR="00D25E2E" w:rsidRPr="00175BA4">
        <w:rPr>
          <w:b/>
        </w:rPr>
        <w:t xml:space="preserve">, </w:t>
      </w:r>
      <w:r w:rsidR="00BC29CD">
        <w:rPr>
          <w:b/>
        </w:rPr>
        <w:t xml:space="preserve">apartados </w:t>
      </w:r>
      <w:r w:rsidR="00D25E2E" w:rsidRPr="00175BA4">
        <w:rPr>
          <w:b/>
        </w:rPr>
        <w:t>d) y e)</w:t>
      </w:r>
      <w:r w:rsidR="0048369C">
        <w:rPr>
          <w:b/>
        </w:rPr>
        <w:t xml:space="preserve"> (</w:t>
      </w:r>
      <w:r w:rsidR="001E2DF6">
        <w:rPr>
          <w:b/>
        </w:rPr>
        <w:t>s</w:t>
      </w:r>
      <w:r w:rsidR="0048369C">
        <w:rPr>
          <w:b/>
        </w:rPr>
        <w:t>ituación de los defensores de derechos humanos)</w:t>
      </w:r>
      <w:r w:rsidR="00034D5B" w:rsidRPr="00175BA4">
        <w:rPr>
          <w:b/>
        </w:rPr>
        <w:t>,</w:t>
      </w:r>
      <w:r w:rsidR="00D25E2E" w:rsidRPr="00175BA4">
        <w:rPr>
          <w:b/>
        </w:rPr>
        <w:t xml:space="preserve"> </w:t>
      </w:r>
      <w:r w:rsidR="00C56DC7">
        <w:rPr>
          <w:b/>
        </w:rPr>
        <w:t>20</w:t>
      </w:r>
      <w:r w:rsidR="0048369C">
        <w:rPr>
          <w:b/>
        </w:rPr>
        <w:t xml:space="preserve"> (</w:t>
      </w:r>
      <w:r w:rsidR="001E2DF6">
        <w:rPr>
          <w:b/>
        </w:rPr>
        <w:t>p</w:t>
      </w:r>
      <w:r w:rsidR="0048369C">
        <w:rPr>
          <w:b/>
        </w:rPr>
        <w:t>lan de lucha contra la discriminación racial</w:t>
      </w:r>
      <w:r w:rsidR="00BC29CD">
        <w:rPr>
          <w:b/>
        </w:rPr>
        <w:t>)</w:t>
      </w:r>
      <w:r w:rsidR="00DD7486" w:rsidRPr="00175BA4">
        <w:rPr>
          <w:b/>
        </w:rPr>
        <w:t xml:space="preserve"> </w:t>
      </w:r>
      <w:r w:rsidR="00034D5B" w:rsidRPr="00175BA4">
        <w:rPr>
          <w:b/>
        </w:rPr>
        <w:t>y</w:t>
      </w:r>
      <w:r w:rsidR="00B3293C" w:rsidRPr="00175BA4">
        <w:rPr>
          <w:b/>
        </w:rPr>
        <w:t xml:space="preserve"> </w:t>
      </w:r>
      <w:r w:rsidR="00C56DC7">
        <w:rPr>
          <w:b/>
        </w:rPr>
        <w:t>2</w:t>
      </w:r>
      <w:r w:rsidR="0048369C">
        <w:rPr>
          <w:b/>
        </w:rPr>
        <w:t>2</w:t>
      </w:r>
      <w:r w:rsidR="00BC29CD">
        <w:rPr>
          <w:b/>
        </w:rPr>
        <w:t>, apartados</w:t>
      </w:r>
      <w:r w:rsidR="00DD7486">
        <w:rPr>
          <w:b/>
        </w:rPr>
        <w:t xml:space="preserve"> c) y f)</w:t>
      </w:r>
      <w:r w:rsidR="0048369C">
        <w:rPr>
          <w:b/>
        </w:rPr>
        <w:t xml:space="preserve"> (</w:t>
      </w:r>
      <w:r w:rsidR="001E2DF6">
        <w:rPr>
          <w:b/>
        </w:rPr>
        <w:t>a</w:t>
      </w:r>
      <w:r w:rsidR="0048369C">
        <w:rPr>
          <w:b/>
        </w:rPr>
        <w:t>cceso a la justicia)</w:t>
      </w:r>
      <w:r w:rsidR="00034D5B" w:rsidRPr="00175BA4">
        <w:rPr>
          <w:b/>
        </w:rPr>
        <w:t>.</w:t>
      </w:r>
    </w:p>
    <w:p w14:paraId="355C39E5" w14:textId="08D2F7B0" w:rsidR="00034D5B" w:rsidRPr="00175BA4" w:rsidRDefault="009C3ACD">
      <w:pPr>
        <w:pStyle w:val="H23G"/>
        <w:rPr>
          <w:bCs/>
        </w:rPr>
      </w:pPr>
      <w:r w:rsidRPr="00175BA4">
        <w:tab/>
      </w:r>
      <w:r w:rsidRPr="00175BA4">
        <w:tab/>
      </w:r>
      <w:r w:rsidR="00034D5B" w:rsidRPr="00175BA4">
        <w:t>Párrafos de particular importancia</w:t>
      </w:r>
    </w:p>
    <w:p w14:paraId="2E25CD99" w14:textId="508244C1" w:rsidR="00034D5B" w:rsidRPr="001C4531" w:rsidRDefault="00AC19FC" w:rsidP="00715552">
      <w:pPr>
        <w:pStyle w:val="SingleTxtG"/>
        <w:rPr>
          <w:b/>
        </w:rPr>
      </w:pPr>
      <w:r w:rsidRPr="00715552">
        <w:t>42.</w:t>
      </w:r>
      <w:r w:rsidRPr="00715552">
        <w:tab/>
      </w:r>
      <w:r w:rsidR="00034D5B" w:rsidRPr="00175BA4">
        <w:rPr>
          <w:b/>
        </w:rPr>
        <w:t>El Comité desea asimismo señalar al Estado parte la particular importancia de las recomendaciones que figuran en los párrafos</w:t>
      </w:r>
      <w:r w:rsidR="00FB71AA">
        <w:rPr>
          <w:b/>
        </w:rPr>
        <w:t xml:space="preserve"> </w:t>
      </w:r>
      <w:r w:rsidR="00DD7486" w:rsidRPr="00175BA4">
        <w:rPr>
          <w:b/>
        </w:rPr>
        <w:t>1</w:t>
      </w:r>
      <w:r w:rsidR="00DD7486">
        <w:rPr>
          <w:b/>
        </w:rPr>
        <w:t>6</w:t>
      </w:r>
      <w:r w:rsidR="0048369C">
        <w:rPr>
          <w:b/>
        </w:rPr>
        <w:t xml:space="preserve"> (</w:t>
      </w:r>
      <w:r w:rsidR="001E2DF6">
        <w:rPr>
          <w:b/>
        </w:rPr>
        <w:t>d</w:t>
      </w:r>
      <w:r w:rsidR="0048369C">
        <w:rPr>
          <w:b/>
        </w:rPr>
        <w:t>efinición de discriminación racial)</w:t>
      </w:r>
      <w:r w:rsidR="00D25E2E" w:rsidRPr="00175BA4">
        <w:rPr>
          <w:b/>
        </w:rPr>
        <w:t>, 18</w:t>
      </w:r>
      <w:r w:rsidR="0048369C">
        <w:rPr>
          <w:b/>
        </w:rPr>
        <w:t xml:space="preserve"> (</w:t>
      </w:r>
      <w:r w:rsidR="001E2DF6">
        <w:rPr>
          <w:b/>
        </w:rPr>
        <w:t>d</w:t>
      </w:r>
      <w:r w:rsidR="0048369C">
        <w:rPr>
          <w:b/>
        </w:rPr>
        <w:t xml:space="preserve">iscriminación contra </w:t>
      </w:r>
      <w:r w:rsidR="00B371A2">
        <w:rPr>
          <w:b/>
        </w:rPr>
        <w:t>afrodescendientes</w:t>
      </w:r>
      <w:r w:rsidR="0048369C">
        <w:rPr>
          <w:b/>
        </w:rPr>
        <w:t>)</w:t>
      </w:r>
      <w:r w:rsidR="00D25E2E" w:rsidRPr="00175BA4">
        <w:rPr>
          <w:b/>
        </w:rPr>
        <w:t xml:space="preserve"> y </w:t>
      </w:r>
      <w:r w:rsidR="00DD7486">
        <w:rPr>
          <w:b/>
        </w:rPr>
        <w:t>3</w:t>
      </w:r>
      <w:r w:rsidR="008F6DE0">
        <w:rPr>
          <w:b/>
        </w:rPr>
        <w:t>2</w:t>
      </w:r>
      <w:r w:rsidR="0048369C">
        <w:rPr>
          <w:b/>
        </w:rPr>
        <w:t xml:space="preserve"> (</w:t>
      </w:r>
      <w:r w:rsidR="001E2DF6">
        <w:rPr>
          <w:b/>
        </w:rPr>
        <w:t>u</w:t>
      </w:r>
      <w:r w:rsidR="0048369C">
        <w:rPr>
          <w:b/>
        </w:rPr>
        <w:t>so excesivo de la fuerza)</w:t>
      </w:r>
      <w:r w:rsidR="00A97D32" w:rsidRPr="00175BA4">
        <w:rPr>
          <w:b/>
        </w:rPr>
        <w:t xml:space="preserve">, </w:t>
      </w:r>
      <w:r w:rsidR="00034D5B" w:rsidRPr="00175BA4">
        <w:rPr>
          <w:b/>
        </w:rPr>
        <w:t>y pide al Estado parte que en su próximo informe periódico incluya información detallada</w:t>
      </w:r>
      <w:r w:rsidR="00034D5B" w:rsidRPr="001C4531">
        <w:rPr>
          <w:b/>
        </w:rPr>
        <w:t xml:space="preserve"> sobre las medidas concretas que adopte para aplicarlas.</w:t>
      </w:r>
    </w:p>
    <w:p w14:paraId="7B4D4464" w14:textId="48531078" w:rsidR="00034D5B" w:rsidRPr="001C4531" w:rsidRDefault="009C3ACD">
      <w:pPr>
        <w:pStyle w:val="H23G"/>
      </w:pPr>
      <w:r w:rsidRPr="001C4531">
        <w:tab/>
      </w:r>
      <w:r w:rsidRPr="001C4531">
        <w:tab/>
      </w:r>
      <w:r w:rsidR="00034D5B" w:rsidRPr="001C4531">
        <w:t>Preparación del próximo informe</w:t>
      </w:r>
      <w:r w:rsidR="008E0F57">
        <w:t xml:space="preserve"> periódico</w:t>
      </w:r>
    </w:p>
    <w:p w14:paraId="2F33C9F4" w14:textId="17FAD3D8" w:rsidR="00670565" w:rsidRDefault="00AC19FC" w:rsidP="00715552">
      <w:pPr>
        <w:pStyle w:val="SingleTxtG"/>
        <w:rPr>
          <w:u w:val="single"/>
        </w:rPr>
      </w:pPr>
      <w:r w:rsidRPr="00715552">
        <w:t>43.</w:t>
      </w:r>
      <w:r w:rsidRPr="00715552">
        <w:tab/>
      </w:r>
      <w:r w:rsidR="00034D5B" w:rsidRPr="001C4531">
        <w:rPr>
          <w:b/>
        </w:rPr>
        <w:t xml:space="preserve">El Comité recomienda al Estado parte que presente sus informes </w:t>
      </w:r>
      <w:r w:rsidR="004C2993" w:rsidRPr="001C4531">
        <w:rPr>
          <w:b/>
        </w:rPr>
        <w:t xml:space="preserve">periódicos </w:t>
      </w:r>
      <w:r w:rsidR="00093DA5" w:rsidRPr="00C71A3F">
        <w:rPr>
          <w:b/>
        </w:rPr>
        <w:t>2</w:t>
      </w:r>
      <w:r w:rsidR="00C71A3F" w:rsidRPr="00715552">
        <w:rPr>
          <w:b/>
        </w:rPr>
        <w:t>2</w:t>
      </w:r>
      <w:r w:rsidR="00093DA5" w:rsidRPr="00C71A3F">
        <w:rPr>
          <w:b/>
        </w:rPr>
        <w:t xml:space="preserve">º </w:t>
      </w:r>
      <w:r w:rsidR="00034D5B" w:rsidRPr="00C71A3F">
        <w:rPr>
          <w:b/>
        </w:rPr>
        <w:t xml:space="preserve">a </w:t>
      </w:r>
      <w:r w:rsidR="008B6FF4" w:rsidRPr="00C71A3F">
        <w:rPr>
          <w:b/>
        </w:rPr>
        <w:t>2</w:t>
      </w:r>
      <w:r w:rsidR="00093DA5" w:rsidRPr="00C71A3F">
        <w:rPr>
          <w:b/>
        </w:rPr>
        <w:t>6</w:t>
      </w:r>
      <w:r w:rsidR="008B6FF4" w:rsidRPr="00C71A3F">
        <w:rPr>
          <w:b/>
        </w:rPr>
        <w:t xml:space="preserve">º </w:t>
      </w:r>
      <w:r w:rsidR="008E0F57" w:rsidRPr="00C71A3F">
        <w:rPr>
          <w:b/>
        </w:rPr>
        <w:t xml:space="preserve">combinados </w:t>
      </w:r>
      <w:r w:rsidR="00034D5B" w:rsidRPr="00C71A3F">
        <w:rPr>
          <w:b/>
        </w:rPr>
        <w:t>en</w:t>
      </w:r>
      <w:r w:rsidR="00034D5B" w:rsidRPr="001C4531">
        <w:rPr>
          <w:b/>
        </w:rPr>
        <w:t xml:space="preserve"> un solo documento a más tardar el </w:t>
      </w:r>
      <w:r w:rsidR="001A0041">
        <w:rPr>
          <w:b/>
        </w:rPr>
        <w:t>16</w:t>
      </w:r>
      <w:r w:rsidR="001A0041" w:rsidRPr="001C4531">
        <w:rPr>
          <w:b/>
        </w:rPr>
        <w:t xml:space="preserve"> </w:t>
      </w:r>
      <w:r w:rsidR="004C2993" w:rsidRPr="001C4531">
        <w:rPr>
          <w:b/>
        </w:rPr>
        <w:t xml:space="preserve">de </w:t>
      </w:r>
      <w:r w:rsidR="00C56DC7">
        <w:rPr>
          <w:b/>
        </w:rPr>
        <w:t>marzo</w:t>
      </w:r>
      <w:r w:rsidR="001B1054" w:rsidRPr="001C4531">
        <w:rPr>
          <w:b/>
        </w:rPr>
        <w:t xml:space="preserve"> </w:t>
      </w:r>
      <w:r w:rsidR="004C2993" w:rsidRPr="001C4531">
        <w:rPr>
          <w:b/>
        </w:rPr>
        <w:t xml:space="preserve">de </w:t>
      </w:r>
      <w:r w:rsidR="001B1054" w:rsidRPr="001C4531">
        <w:rPr>
          <w:b/>
        </w:rPr>
        <w:t>202</w:t>
      </w:r>
      <w:r w:rsidR="001B1054">
        <w:rPr>
          <w:b/>
        </w:rPr>
        <w:t>3</w:t>
      </w:r>
      <w:r w:rsidR="00034D5B" w:rsidRPr="001C4531">
        <w:rPr>
          <w:b/>
        </w:rPr>
        <w:t xml:space="preserve">, teniendo en cuenta las directrices relativas </w:t>
      </w:r>
      <w:r w:rsidR="007C69E5">
        <w:rPr>
          <w:b/>
        </w:rPr>
        <w:t xml:space="preserve">a la presentación de informes </w:t>
      </w:r>
      <w:r w:rsidR="00034D5B" w:rsidRPr="001C4531">
        <w:rPr>
          <w:b/>
        </w:rPr>
        <w:t xml:space="preserve">aprobadas por </w:t>
      </w:r>
      <w:r w:rsidR="007C69E5">
        <w:rPr>
          <w:b/>
        </w:rPr>
        <w:t xml:space="preserve">el Comité </w:t>
      </w:r>
      <w:r w:rsidR="00034D5B" w:rsidRPr="001C4531">
        <w:rPr>
          <w:b/>
        </w:rPr>
        <w:t>en su</w:t>
      </w:r>
      <w:r w:rsidR="00FB71AA">
        <w:rPr>
          <w:b/>
        </w:rPr>
        <w:t xml:space="preserve"> </w:t>
      </w:r>
      <w:r w:rsidR="00034D5B" w:rsidRPr="001C4531">
        <w:rPr>
          <w:b/>
        </w:rPr>
        <w:t>71</w:t>
      </w:r>
      <w:r w:rsidR="00FB71AA" w:rsidRPr="00715552">
        <w:rPr>
          <w:b/>
          <w:vertAlign w:val="superscript"/>
        </w:rPr>
        <w:t>er</w:t>
      </w:r>
      <w:r w:rsidR="00034D5B" w:rsidRPr="001C4531">
        <w:rPr>
          <w:b/>
        </w:rPr>
        <w:t xml:space="preserve"> período de sesiones (CERD/C/2007/1) y que en dicho documento se aborden todas las cuestiones planteadas en las presentes observaciones finales. A la luz de la resolución 68/268 de la Asamblea General, el Comité insta al Estado parte a respetar el límite de 21.200 palabras </w:t>
      </w:r>
      <w:r w:rsidR="007C69E5">
        <w:rPr>
          <w:b/>
        </w:rPr>
        <w:t xml:space="preserve">establecido </w:t>
      </w:r>
      <w:r w:rsidR="00034D5B" w:rsidRPr="001C4531">
        <w:rPr>
          <w:b/>
        </w:rPr>
        <w:t>para los informes periódicos.</w:t>
      </w:r>
    </w:p>
    <w:p w14:paraId="203AD8DE" w14:textId="56636930" w:rsidR="00AC19FC" w:rsidRPr="00715552" w:rsidRDefault="00AC19FC">
      <w:pPr>
        <w:pStyle w:val="SingleTxtG"/>
        <w:suppressAutoHyphens/>
        <w:spacing w:before="240" w:after="0"/>
        <w:jc w:val="center"/>
        <w:rPr>
          <w:u w:val="single"/>
        </w:rPr>
      </w:pPr>
      <w:r>
        <w:rPr>
          <w:u w:val="single"/>
        </w:rPr>
        <w:tab/>
      </w:r>
      <w:r>
        <w:rPr>
          <w:u w:val="single"/>
        </w:rPr>
        <w:tab/>
      </w:r>
      <w:r>
        <w:rPr>
          <w:u w:val="single"/>
        </w:rPr>
        <w:tab/>
      </w:r>
      <w:r w:rsidR="00936FFB">
        <w:rPr>
          <w:u w:val="single"/>
        </w:rPr>
        <w:tab/>
      </w:r>
    </w:p>
    <w:sectPr w:rsidR="00AC19FC" w:rsidRPr="00715552" w:rsidSect="00715552">
      <w:headerReference w:type="even" r:id="rId9"/>
      <w:headerReference w:type="default" r:id="rId10"/>
      <w:footerReference w:type="even" r:id="rId11"/>
      <w:footerReference w:type="default" r:id="rId12"/>
      <w:footerReference w:type="first" r:id="rId13"/>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3B669" w14:textId="77777777" w:rsidR="000848E4" w:rsidRDefault="000848E4">
      <w:r>
        <w:separator/>
      </w:r>
    </w:p>
  </w:endnote>
  <w:endnote w:type="continuationSeparator" w:id="0">
    <w:p w14:paraId="031B338F" w14:textId="77777777" w:rsidR="000848E4" w:rsidRDefault="0008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ED496" w14:textId="078E03C1" w:rsidR="00217743" w:rsidRPr="00034D5B" w:rsidRDefault="00217743" w:rsidP="00034D5B">
    <w:pPr>
      <w:pStyle w:val="Piedepgina"/>
      <w:tabs>
        <w:tab w:val="right" w:pos="9638"/>
      </w:tabs>
    </w:pPr>
    <w:r w:rsidRPr="00034D5B">
      <w:rPr>
        <w:b/>
        <w:sz w:val="18"/>
      </w:rPr>
      <w:fldChar w:fldCharType="begin"/>
    </w:r>
    <w:r w:rsidRPr="00034D5B">
      <w:rPr>
        <w:b/>
        <w:sz w:val="18"/>
      </w:rPr>
      <w:instrText xml:space="preserve"> PAGE  \* MERGEFORMAT </w:instrText>
    </w:r>
    <w:r w:rsidRPr="00034D5B">
      <w:rPr>
        <w:b/>
        <w:sz w:val="18"/>
      </w:rPr>
      <w:fldChar w:fldCharType="separate"/>
    </w:r>
    <w:r w:rsidR="008E3757">
      <w:rPr>
        <w:b/>
        <w:noProof/>
        <w:sz w:val="18"/>
      </w:rPr>
      <w:t>6</w:t>
    </w:r>
    <w:r w:rsidRPr="00034D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1494" w14:textId="4C711A39" w:rsidR="00217743" w:rsidRPr="00034D5B" w:rsidRDefault="00217743" w:rsidP="00034D5B">
    <w:pPr>
      <w:pStyle w:val="Piedepgina"/>
      <w:tabs>
        <w:tab w:val="right" w:pos="9638"/>
      </w:tabs>
      <w:rPr>
        <w:b/>
        <w:sz w:val="18"/>
      </w:rPr>
    </w:pPr>
    <w:r>
      <w:tab/>
    </w:r>
    <w:r w:rsidRPr="00034D5B">
      <w:rPr>
        <w:b/>
        <w:sz w:val="18"/>
      </w:rPr>
      <w:fldChar w:fldCharType="begin"/>
    </w:r>
    <w:r w:rsidRPr="00034D5B">
      <w:rPr>
        <w:b/>
        <w:sz w:val="18"/>
      </w:rPr>
      <w:instrText xml:space="preserve"> PAGE  \* MERGEFORMAT </w:instrText>
    </w:r>
    <w:r w:rsidRPr="00034D5B">
      <w:rPr>
        <w:b/>
        <w:sz w:val="18"/>
      </w:rPr>
      <w:fldChar w:fldCharType="separate"/>
    </w:r>
    <w:r w:rsidR="008E3757">
      <w:rPr>
        <w:b/>
        <w:noProof/>
        <w:sz w:val="18"/>
      </w:rPr>
      <w:t>5</w:t>
    </w:r>
    <w:r w:rsidRPr="00034D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E36EE" w14:textId="69DCFD30" w:rsidR="000E537D" w:rsidRPr="000E537D" w:rsidRDefault="000E537D" w:rsidP="000E537D">
    <w:pPr>
      <w:pStyle w:val="Piedepgina"/>
      <w:spacing w:before="120" w:line="240" w:lineRule="auto"/>
      <w:rPr>
        <w:sz w:val="20"/>
      </w:rPr>
    </w:pPr>
    <w:r>
      <w:rPr>
        <w:sz w:val="20"/>
      </w:rPr>
      <w:t>GE.18-15573  (S)</w:t>
    </w:r>
    <w:r>
      <w:rPr>
        <w:sz w:val="20"/>
      </w:rPr>
      <w:br/>
    </w:r>
    <w:r w:rsidRPr="000E537D">
      <w:rPr>
        <w:rFonts w:ascii="C39T30Lfz" w:hAnsi="C39T30Lfz"/>
        <w:sz w:val="56"/>
      </w:rPr>
      <w:t></w:t>
    </w:r>
    <w:r w:rsidRPr="000E537D">
      <w:rPr>
        <w:rFonts w:ascii="C39T30Lfz" w:hAnsi="C39T30Lfz"/>
        <w:sz w:val="56"/>
      </w:rPr>
      <w:t></w:t>
    </w:r>
    <w:r w:rsidRPr="000E537D">
      <w:rPr>
        <w:rFonts w:ascii="C39T30Lfz" w:hAnsi="C39T30Lfz"/>
        <w:sz w:val="56"/>
      </w:rPr>
      <w:t></w:t>
    </w:r>
    <w:r w:rsidRPr="000E537D">
      <w:rPr>
        <w:rFonts w:ascii="C39T30Lfz" w:hAnsi="C39T30Lfz"/>
        <w:sz w:val="56"/>
      </w:rPr>
      <w:t></w:t>
    </w:r>
    <w:r w:rsidRPr="000E537D">
      <w:rPr>
        <w:rFonts w:ascii="C39T30Lfz" w:hAnsi="C39T30Lfz"/>
        <w:sz w:val="56"/>
      </w:rPr>
      <w:t></w:t>
    </w:r>
    <w:r w:rsidRPr="000E537D">
      <w:rPr>
        <w:rFonts w:ascii="C39T30Lfz" w:hAnsi="C39T30Lfz"/>
        <w:sz w:val="56"/>
      </w:rPr>
      <w:t></w:t>
    </w:r>
    <w:r w:rsidRPr="000E537D">
      <w:rPr>
        <w:rFonts w:ascii="C39T30Lfz" w:hAnsi="C39T30Lfz"/>
        <w:sz w:val="56"/>
      </w:rPr>
      <w:t></w:t>
    </w:r>
    <w:r w:rsidRPr="000E537D">
      <w:rPr>
        <w:rFonts w:ascii="C39T30Lfz" w:hAnsi="C39T30Lfz"/>
        <w:sz w:val="56"/>
      </w:rPr>
      <w:t></w:t>
    </w:r>
    <w:r w:rsidRPr="000E537D">
      <w:rPr>
        <w:rFonts w:ascii="C39T30Lfz" w:hAnsi="C39T30Lfz"/>
        <w:sz w:val="56"/>
      </w:rPr>
      <w:t></w:t>
    </w:r>
    <w:r w:rsidRPr="000E537D">
      <w:rPr>
        <w:rFonts w:ascii="C39T30Lfz" w:hAnsi="C39T30Lfz"/>
        <w:noProof/>
        <w:sz w:val="56"/>
        <w:lang w:eastAsia="zh-CN"/>
      </w:rPr>
      <w:drawing>
        <wp:anchor distT="0" distB="0" distL="114300" distR="114300" simplePos="0" relativeHeight="251660288" behindDoc="0" locked="1" layoutInCell="1" allowOverlap="1" wp14:anchorId="5DEA171E" wp14:editId="7885BD53">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14:anchorId="4A32874D" wp14:editId="1B74BE9E">
          <wp:simplePos x="0" y="0"/>
          <wp:positionH relativeFrom="margin">
            <wp:posOffset>5489575</wp:posOffset>
          </wp:positionH>
          <wp:positionV relativeFrom="margin">
            <wp:posOffset>8891905</wp:posOffset>
          </wp:positionV>
          <wp:extent cx="638175" cy="638175"/>
          <wp:effectExtent l="0" t="0" r="9525" b="9525"/>
          <wp:wrapNone/>
          <wp:docPr id="1" name="Imagen 1" descr="https://undocs.org/m2/QRCode.ashx?DS=CERD/C/CUB/CO/19-2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UB/CO/19-2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511CC" w14:textId="77777777" w:rsidR="000848E4" w:rsidRPr="001075E9" w:rsidRDefault="000848E4" w:rsidP="001075E9">
      <w:pPr>
        <w:tabs>
          <w:tab w:val="right" w:pos="2155"/>
        </w:tabs>
        <w:spacing w:after="80" w:line="240" w:lineRule="auto"/>
        <w:ind w:left="680"/>
        <w:rPr>
          <w:u w:val="single"/>
        </w:rPr>
      </w:pPr>
      <w:r>
        <w:rPr>
          <w:u w:val="single"/>
        </w:rPr>
        <w:tab/>
      </w:r>
    </w:p>
  </w:footnote>
  <w:footnote w:type="continuationSeparator" w:id="0">
    <w:p w14:paraId="6F339A49" w14:textId="77777777" w:rsidR="000848E4" w:rsidRDefault="000848E4">
      <w:r>
        <w:continuationSeparator/>
      </w:r>
    </w:p>
  </w:footnote>
  <w:footnote w:id="1">
    <w:p w14:paraId="5776BC89" w14:textId="1F17E196" w:rsidR="001F5A53" w:rsidRPr="00715552" w:rsidRDefault="001F5A53">
      <w:pPr>
        <w:pStyle w:val="Textonotapie"/>
        <w:rPr>
          <w:sz w:val="20"/>
        </w:rPr>
      </w:pPr>
      <w:r>
        <w:tab/>
      </w:r>
      <w:r w:rsidRPr="00715552">
        <w:rPr>
          <w:rStyle w:val="Refdenotaalpie"/>
          <w:sz w:val="20"/>
          <w:vertAlign w:val="baseline"/>
        </w:rPr>
        <w:t>*</w:t>
      </w:r>
      <w:r w:rsidRPr="00715552">
        <w:rPr>
          <w:rStyle w:val="Refdenotaalpie"/>
          <w:vertAlign w:val="baseline"/>
        </w:rPr>
        <w:tab/>
      </w:r>
      <w:r w:rsidRPr="00F872E3">
        <w:rPr>
          <w:szCs w:val="18"/>
        </w:rPr>
        <w:t>Aprobadas por el Comité en su 96</w:t>
      </w:r>
      <w:r w:rsidR="00FB71AA">
        <w:rPr>
          <w:szCs w:val="18"/>
        </w:rPr>
        <w:t>º</w:t>
      </w:r>
      <w:r w:rsidRPr="00F872E3">
        <w:rPr>
          <w:szCs w:val="18"/>
        </w:rPr>
        <w:t xml:space="preserve"> período de sesiones (6 </w:t>
      </w:r>
      <w:r>
        <w:rPr>
          <w:szCs w:val="18"/>
        </w:rPr>
        <w:t xml:space="preserve">a </w:t>
      </w:r>
      <w:r w:rsidRPr="00F872E3">
        <w:rPr>
          <w:szCs w:val="18"/>
        </w:rPr>
        <w:t>30 de agosto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39BE4" w14:textId="15B295B3" w:rsidR="00217743" w:rsidRPr="00034D5B" w:rsidRDefault="009C2CD4">
    <w:pPr>
      <w:pStyle w:val="Encabezado"/>
    </w:pPr>
    <w:fldSimple w:instr=" TITLE  \* MERGEFORMAT ">
      <w:r w:rsidR="008E3757">
        <w:t>CERD/C/CUB/CO/19-21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822CF" w14:textId="655AF1B8" w:rsidR="00217743" w:rsidRPr="00034D5B" w:rsidRDefault="009C2CD4" w:rsidP="00034D5B">
    <w:pPr>
      <w:pStyle w:val="Encabezado"/>
      <w:jc w:val="right"/>
    </w:pPr>
    <w:fldSimple w:instr=" TITLE  \* MERGEFORMAT ">
      <w:r w:rsidR="008E3757">
        <w:t>CERD/C/CUB/CO/19-21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B2330E"/>
    <w:multiLevelType w:val="hybridMultilevel"/>
    <w:tmpl w:val="D21C02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7B4095"/>
    <w:multiLevelType w:val="hybridMultilevel"/>
    <w:tmpl w:val="9C10A2D0"/>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2" w15:restartNumberingAfterBreak="0">
    <w:nsid w:val="03CA0C80"/>
    <w:multiLevelType w:val="hybridMultilevel"/>
    <w:tmpl w:val="600C23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8F3121"/>
    <w:multiLevelType w:val="hybridMultilevel"/>
    <w:tmpl w:val="21CAB0EA"/>
    <w:lvl w:ilvl="0" w:tplc="B0C868BA">
      <w:start w:val="1"/>
      <w:numFmt w:val="decimal"/>
      <w:lvlText w:val="%1."/>
      <w:lvlJc w:val="left"/>
      <w:pPr>
        <w:ind w:left="1689" w:hanging="555"/>
      </w:pPr>
      <w:rPr>
        <w:rFonts w:ascii="Times New Roman" w:eastAsia="Times New Roman" w:hAnsi="Times New Roman" w:cs="Times New Roman"/>
        <w:b w:val="0"/>
        <w:i w:val="0"/>
        <w:vertAlign w:val="baseline"/>
      </w:rPr>
    </w:lvl>
    <w:lvl w:ilvl="1" w:tplc="A3100840">
      <w:start w:val="1"/>
      <w:numFmt w:val="lowerLetter"/>
      <w:lvlText w:val="%2)"/>
      <w:lvlJc w:val="left"/>
      <w:pPr>
        <w:ind w:left="2214" w:hanging="360"/>
      </w:pPr>
      <w:rPr>
        <w:b/>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0D4705D0"/>
    <w:multiLevelType w:val="hybridMultilevel"/>
    <w:tmpl w:val="83280E56"/>
    <w:lvl w:ilvl="0" w:tplc="A1722CA8">
      <w:start w:val="1"/>
      <w:numFmt w:val="lowerLetter"/>
      <w:lvlText w:val="%1)"/>
      <w:lvlJc w:val="left"/>
      <w:pPr>
        <w:ind w:left="2599" w:hanging="744"/>
      </w:pPr>
      <w:rPr>
        <w:rFonts w:hint="default"/>
      </w:r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3665C99"/>
    <w:multiLevelType w:val="hybridMultilevel"/>
    <w:tmpl w:val="1DB88BC4"/>
    <w:lvl w:ilvl="0" w:tplc="D964743A">
      <w:start w:val="1"/>
      <w:numFmt w:val="decimal"/>
      <w:lvlText w:val="%1."/>
      <w:lvlJc w:val="left"/>
      <w:pPr>
        <w:ind w:left="1689" w:hanging="555"/>
      </w:pPr>
      <w:rPr>
        <w:rFonts w:ascii="Times New Roman" w:eastAsia="Times New Roman" w:hAnsi="Times New Roman" w:cs="Times New Roman"/>
        <w:b w:val="0"/>
        <w:i w:val="0"/>
        <w:color w:val="auto"/>
      </w:rPr>
    </w:lvl>
    <w:lvl w:ilvl="1" w:tplc="5CB04690">
      <w:start w:val="1"/>
      <w:numFmt w:val="lowerLetter"/>
      <w:lvlText w:val="%2)"/>
      <w:lvlJc w:val="left"/>
      <w:pPr>
        <w:ind w:left="2214" w:hanging="360"/>
      </w:pPr>
      <w:rPr>
        <w:b/>
        <w:i w:val="0"/>
      </w:r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4890EA2"/>
    <w:multiLevelType w:val="hybridMultilevel"/>
    <w:tmpl w:val="9C10A2D0"/>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8" w15:restartNumberingAfterBreak="0">
    <w:nsid w:val="17EE4145"/>
    <w:multiLevelType w:val="hybridMultilevel"/>
    <w:tmpl w:val="1E0C2908"/>
    <w:lvl w:ilvl="0" w:tplc="63B0F038">
      <w:start w:val="1"/>
      <w:numFmt w:val="decimal"/>
      <w:lvlText w:val="%1."/>
      <w:lvlJc w:val="left"/>
      <w:pPr>
        <w:ind w:left="1500" w:hanging="360"/>
      </w:pPr>
      <w:rPr>
        <w:rFonts w:hint="default"/>
        <w:sz w:val="20"/>
        <w:szCs w:val="20"/>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9" w15:restartNumberingAfterBreak="0">
    <w:nsid w:val="1B0E1753"/>
    <w:multiLevelType w:val="hybridMultilevel"/>
    <w:tmpl w:val="4B88EEC2"/>
    <w:lvl w:ilvl="0" w:tplc="B0C868BA">
      <w:start w:val="1"/>
      <w:numFmt w:val="decimal"/>
      <w:lvlText w:val="%1."/>
      <w:lvlJc w:val="left"/>
      <w:pPr>
        <w:ind w:left="1689" w:hanging="555"/>
      </w:pPr>
      <w:rPr>
        <w:rFonts w:ascii="Times New Roman" w:eastAsia="Times New Roman" w:hAnsi="Times New Roman" w:cs="Times New Roman"/>
        <w:b w:val="0"/>
        <w:i w:val="0"/>
        <w:vertAlign w:val="baseline"/>
      </w:rPr>
    </w:lvl>
    <w:lvl w:ilvl="1" w:tplc="34D07C68">
      <w:start w:val="1"/>
      <w:numFmt w:val="lowerLetter"/>
      <w:lvlText w:val="%2)"/>
      <w:lvlJc w:val="left"/>
      <w:pPr>
        <w:ind w:left="2214" w:hanging="360"/>
      </w:pPr>
      <w:rPr>
        <w:b w:val="0"/>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1FAC433B"/>
    <w:multiLevelType w:val="hybridMultilevel"/>
    <w:tmpl w:val="C394B94C"/>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211E45F4"/>
    <w:multiLevelType w:val="hybridMultilevel"/>
    <w:tmpl w:val="882435D0"/>
    <w:lvl w:ilvl="0" w:tplc="FB325BC0">
      <w:start w:val="1"/>
      <w:numFmt w:val="decimal"/>
      <w:lvlText w:val="%1."/>
      <w:lvlJc w:val="left"/>
      <w:pPr>
        <w:ind w:left="1854" w:hanging="360"/>
      </w:pPr>
      <w:rPr>
        <w:b w:val="0"/>
        <w:bCs w:val="0"/>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2" w15:restartNumberingAfterBreak="0">
    <w:nsid w:val="2D80397C"/>
    <w:multiLevelType w:val="hybridMultilevel"/>
    <w:tmpl w:val="A21CA808"/>
    <w:lvl w:ilvl="0" w:tplc="B0C868BA">
      <w:start w:val="1"/>
      <w:numFmt w:val="decimal"/>
      <w:lvlText w:val="%1."/>
      <w:lvlJc w:val="left"/>
      <w:pPr>
        <w:ind w:left="1689" w:hanging="555"/>
      </w:pPr>
      <w:rPr>
        <w:rFonts w:ascii="Times New Roman" w:eastAsia="Times New Roman" w:hAnsi="Times New Roman" w:cs="Times New Roman"/>
        <w:b w:val="0"/>
        <w:i w:val="0"/>
        <w:vertAlign w:val="baseline"/>
      </w:rPr>
    </w:lvl>
    <w:lvl w:ilvl="1" w:tplc="82E65A8C">
      <w:start w:val="1"/>
      <w:numFmt w:val="lowerLetter"/>
      <w:lvlText w:val="%2)"/>
      <w:lvlJc w:val="left"/>
      <w:pPr>
        <w:ind w:left="2214" w:hanging="360"/>
      </w:pPr>
      <w:rPr>
        <w:b/>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2F534FAA"/>
    <w:multiLevelType w:val="hybridMultilevel"/>
    <w:tmpl w:val="FDC2AAF8"/>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2FA05119"/>
    <w:multiLevelType w:val="hybridMultilevel"/>
    <w:tmpl w:val="03FE755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176F55"/>
    <w:multiLevelType w:val="hybridMultilevel"/>
    <w:tmpl w:val="B8D071A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2674863"/>
    <w:multiLevelType w:val="hybridMultilevel"/>
    <w:tmpl w:val="A178DF16"/>
    <w:lvl w:ilvl="0" w:tplc="FB5C84F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D54237"/>
    <w:multiLevelType w:val="hybridMultilevel"/>
    <w:tmpl w:val="D74C3E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77842A9"/>
    <w:multiLevelType w:val="hybridMultilevel"/>
    <w:tmpl w:val="263E839C"/>
    <w:lvl w:ilvl="0" w:tplc="E45A01CC">
      <w:start w:val="1"/>
      <w:numFmt w:val="decimal"/>
      <w:lvlText w:val="%1."/>
      <w:lvlJc w:val="left"/>
      <w:pPr>
        <w:ind w:left="1689" w:hanging="555"/>
      </w:pPr>
      <w:rPr>
        <w:rFonts w:ascii="Times New Roman" w:eastAsia="Times New Roman" w:hAnsi="Times New Roman" w:cs="Times New Roman"/>
        <w:b w:val="0"/>
        <w:i w:val="0"/>
      </w:rPr>
    </w:lvl>
    <w:lvl w:ilvl="1" w:tplc="82E65A8C">
      <w:start w:val="1"/>
      <w:numFmt w:val="lowerLetter"/>
      <w:lvlText w:val="%2)"/>
      <w:lvlJc w:val="left"/>
      <w:pPr>
        <w:ind w:left="2214" w:hanging="360"/>
      </w:pPr>
      <w:rPr>
        <w:b/>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3F8B6C54"/>
    <w:multiLevelType w:val="hybridMultilevel"/>
    <w:tmpl w:val="64C44F2A"/>
    <w:lvl w:ilvl="0" w:tplc="8E6C298C">
      <w:start w:val="1"/>
      <w:numFmt w:val="lowerLetter"/>
      <w:lvlText w:val="%1)"/>
      <w:lvlJc w:val="left"/>
      <w:pPr>
        <w:ind w:left="2491" w:hanging="636"/>
      </w:pPr>
      <w:rPr>
        <w:rFonts w:hint="default"/>
      </w:r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31" w15:restartNumberingAfterBreak="0">
    <w:nsid w:val="40BF2BAB"/>
    <w:multiLevelType w:val="hybridMultilevel"/>
    <w:tmpl w:val="F83A6B8C"/>
    <w:lvl w:ilvl="0" w:tplc="E45A01CC">
      <w:start w:val="1"/>
      <w:numFmt w:val="decimal"/>
      <w:lvlText w:val="%1."/>
      <w:lvlJc w:val="left"/>
      <w:pPr>
        <w:ind w:left="1689" w:hanging="555"/>
      </w:pPr>
      <w:rPr>
        <w:rFonts w:ascii="Times New Roman" w:eastAsia="Times New Roman" w:hAnsi="Times New Roman" w:cs="Times New Roman"/>
        <w:b w:val="0"/>
        <w:i w:val="0"/>
      </w:rPr>
    </w:lvl>
    <w:lvl w:ilvl="1" w:tplc="6E52A160">
      <w:start w:val="1"/>
      <w:numFmt w:val="lowerLetter"/>
      <w:lvlText w:val="%2)"/>
      <w:lvlJc w:val="left"/>
      <w:pPr>
        <w:ind w:left="2214" w:hanging="360"/>
      </w:pPr>
      <w:rPr>
        <w:b/>
        <w:i w:val="0"/>
        <w:color w:val="auto"/>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42421881"/>
    <w:multiLevelType w:val="hybridMultilevel"/>
    <w:tmpl w:val="F79A6C7C"/>
    <w:lvl w:ilvl="0" w:tplc="C51C403E">
      <w:start w:val="29"/>
      <w:numFmt w:val="decimal"/>
      <w:lvlText w:val="%1."/>
      <w:lvlJc w:val="left"/>
      <w:pPr>
        <w:ind w:left="1778" w:hanging="360"/>
      </w:pPr>
      <w:rPr>
        <w:rFonts w:hint="default"/>
      </w:rPr>
    </w:lvl>
    <w:lvl w:ilvl="1" w:tplc="08090019">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3" w15:restartNumberingAfterBreak="0">
    <w:nsid w:val="45255337"/>
    <w:multiLevelType w:val="hybridMultilevel"/>
    <w:tmpl w:val="2750AA72"/>
    <w:lvl w:ilvl="0" w:tplc="E45A01CC">
      <w:start w:val="1"/>
      <w:numFmt w:val="decimal"/>
      <w:lvlText w:val="%1."/>
      <w:lvlJc w:val="left"/>
      <w:pPr>
        <w:ind w:left="1689" w:hanging="555"/>
      </w:pPr>
      <w:rPr>
        <w:rFonts w:ascii="Times New Roman" w:eastAsia="Times New Roman" w:hAnsi="Times New Roman" w:cs="Times New Roman"/>
        <w:b w:val="0"/>
        <w:i w:val="0"/>
      </w:rPr>
    </w:lvl>
    <w:lvl w:ilvl="1" w:tplc="6E52A160">
      <w:start w:val="1"/>
      <w:numFmt w:val="lowerLetter"/>
      <w:lvlText w:val="%2)"/>
      <w:lvlJc w:val="left"/>
      <w:pPr>
        <w:ind w:left="2214" w:hanging="360"/>
      </w:pPr>
      <w:rPr>
        <w:b/>
        <w:i w:val="0"/>
        <w:color w:val="auto"/>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4D1A29AF"/>
    <w:multiLevelType w:val="hybridMultilevel"/>
    <w:tmpl w:val="A9387DA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4EA54B6A"/>
    <w:multiLevelType w:val="hybridMultilevel"/>
    <w:tmpl w:val="D5E06C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EDF0F51"/>
    <w:multiLevelType w:val="hybridMultilevel"/>
    <w:tmpl w:val="263E839C"/>
    <w:lvl w:ilvl="0" w:tplc="E45A01CC">
      <w:start w:val="1"/>
      <w:numFmt w:val="decimal"/>
      <w:lvlText w:val="%1."/>
      <w:lvlJc w:val="left"/>
      <w:pPr>
        <w:ind w:left="1689" w:hanging="555"/>
      </w:pPr>
      <w:rPr>
        <w:rFonts w:ascii="Times New Roman" w:eastAsia="Times New Roman" w:hAnsi="Times New Roman" w:cs="Times New Roman"/>
        <w:b w:val="0"/>
        <w:i w:val="0"/>
      </w:rPr>
    </w:lvl>
    <w:lvl w:ilvl="1" w:tplc="82E65A8C">
      <w:start w:val="1"/>
      <w:numFmt w:val="lowerLetter"/>
      <w:lvlText w:val="%2)"/>
      <w:lvlJc w:val="left"/>
      <w:pPr>
        <w:ind w:left="2214" w:hanging="360"/>
      </w:pPr>
      <w:rPr>
        <w:b/>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54EB15F7"/>
    <w:multiLevelType w:val="hybridMultilevel"/>
    <w:tmpl w:val="A21CA808"/>
    <w:lvl w:ilvl="0" w:tplc="B0C868BA">
      <w:start w:val="1"/>
      <w:numFmt w:val="decimal"/>
      <w:lvlText w:val="%1."/>
      <w:lvlJc w:val="left"/>
      <w:pPr>
        <w:ind w:left="1689" w:hanging="555"/>
      </w:pPr>
      <w:rPr>
        <w:rFonts w:ascii="Times New Roman" w:eastAsia="Times New Roman" w:hAnsi="Times New Roman" w:cs="Times New Roman"/>
        <w:b w:val="0"/>
        <w:i w:val="0"/>
        <w:vertAlign w:val="baseline"/>
      </w:rPr>
    </w:lvl>
    <w:lvl w:ilvl="1" w:tplc="82E65A8C">
      <w:start w:val="1"/>
      <w:numFmt w:val="lowerLetter"/>
      <w:lvlText w:val="%2)"/>
      <w:lvlJc w:val="left"/>
      <w:pPr>
        <w:ind w:left="2214" w:hanging="360"/>
      </w:pPr>
      <w:rPr>
        <w:b/>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5D4978F2"/>
    <w:multiLevelType w:val="hybridMultilevel"/>
    <w:tmpl w:val="63AC2336"/>
    <w:lvl w:ilvl="0" w:tplc="08090017">
      <w:start w:val="1"/>
      <w:numFmt w:val="lowerLetter"/>
      <w:lvlText w:val="%1)"/>
      <w:lvlJc w:val="left"/>
      <w:pPr>
        <w:ind w:left="1854" w:hanging="360"/>
      </w:p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5F453762"/>
    <w:multiLevelType w:val="hybridMultilevel"/>
    <w:tmpl w:val="B832E7D0"/>
    <w:lvl w:ilvl="0" w:tplc="A1722CA8">
      <w:start w:val="1"/>
      <w:numFmt w:val="lowerLetter"/>
      <w:lvlText w:val="%1)"/>
      <w:lvlJc w:val="left"/>
      <w:pPr>
        <w:ind w:left="2599" w:hanging="7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3A4D5D"/>
    <w:multiLevelType w:val="hybridMultilevel"/>
    <w:tmpl w:val="377E518C"/>
    <w:lvl w:ilvl="0" w:tplc="08090017">
      <w:start w:val="1"/>
      <w:numFmt w:val="lowerLetter"/>
      <w:lvlText w:val="%1)"/>
      <w:lvlJc w:val="left"/>
      <w:pPr>
        <w:ind w:left="1854" w:hanging="360"/>
      </w:p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634F16E8"/>
    <w:multiLevelType w:val="hybridMultilevel"/>
    <w:tmpl w:val="226AA9A2"/>
    <w:lvl w:ilvl="0" w:tplc="77CC380A">
      <w:start w:val="11"/>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123D7F"/>
    <w:multiLevelType w:val="hybridMultilevel"/>
    <w:tmpl w:val="2DBCFB52"/>
    <w:lvl w:ilvl="0" w:tplc="08090017">
      <w:start w:val="1"/>
      <w:numFmt w:val="lowerLetter"/>
      <w:lvlText w:val="%1)"/>
      <w:lvlJc w:val="left"/>
      <w:pPr>
        <w:ind w:left="1854" w:hanging="360"/>
      </w:pPr>
    </w:lvl>
    <w:lvl w:ilvl="1" w:tplc="11F0709E">
      <w:start w:val="1"/>
      <w:numFmt w:val="lowerLetter"/>
      <w:lvlText w:val="%2)"/>
      <w:lvlJc w:val="left"/>
      <w:pPr>
        <w:ind w:left="2574" w:hanging="360"/>
      </w:pPr>
      <w:rPr>
        <w:b/>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7" w15:restartNumberingAfterBreak="0">
    <w:nsid w:val="7F3C6268"/>
    <w:multiLevelType w:val="hybridMultilevel"/>
    <w:tmpl w:val="4B88EEC2"/>
    <w:lvl w:ilvl="0" w:tplc="B0C868BA">
      <w:start w:val="1"/>
      <w:numFmt w:val="decimal"/>
      <w:lvlText w:val="%1."/>
      <w:lvlJc w:val="left"/>
      <w:pPr>
        <w:ind w:left="1689" w:hanging="555"/>
      </w:pPr>
      <w:rPr>
        <w:rFonts w:ascii="Times New Roman" w:eastAsia="Times New Roman" w:hAnsi="Times New Roman" w:cs="Times New Roman"/>
        <w:b w:val="0"/>
        <w:i w:val="0"/>
        <w:vertAlign w:val="baseline"/>
      </w:rPr>
    </w:lvl>
    <w:lvl w:ilvl="1" w:tplc="34D07C68">
      <w:start w:val="1"/>
      <w:numFmt w:val="lowerLetter"/>
      <w:lvlText w:val="%2)"/>
      <w:lvlJc w:val="left"/>
      <w:pPr>
        <w:ind w:left="2214" w:hanging="360"/>
      </w:pPr>
      <w:rPr>
        <w:b w:val="0"/>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44"/>
  </w:num>
  <w:num w:numId="2">
    <w:abstractNumId w:val="27"/>
  </w:num>
  <w:num w:numId="3">
    <w:abstractNumId w:val="46"/>
  </w:num>
  <w:num w:numId="4">
    <w:abstractNumId w:val="45"/>
  </w:num>
  <w:num w:numId="5">
    <w:abstractNumId w:val="3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47"/>
  </w:num>
  <w:num w:numId="18">
    <w:abstractNumId w:val="34"/>
  </w:num>
  <w:num w:numId="19">
    <w:abstractNumId w:val="38"/>
  </w:num>
  <w:num w:numId="20">
    <w:abstractNumId w:val="26"/>
  </w:num>
  <w:num w:numId="21">
    <w:abstractNumId w:val="24"/>
  </w:num>
  <w:num w:numId="22">
    <w:abstractNumId w:val="25"/>
  </w:num>
  <w:num w:numId="23">
    <w:abstractNumId w:val="28"/>
  </w:num>
  <w:num w:numId="24">
    <w:abstractNumId w:val="12"/>
  </w:num>
  <w:num w:numId="25">
    <w:abstractNumId w:val="35"/>
  </w:num>
  <w:num w:numId="26">
    <w:abstractNumId w:val="11"/>
  </w:num>
  <w:num w:numId="27">
    <w:abstractNumId w:val="2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7"/>
  </w:num>
  <w:num w:numId="31">
    <w:abstractNumId w:val="40"/>
  </w:num>
  <w:num w:numId="32">
    <w:abstractNumId w:val="30"/>
  </w:num>
  <w:num w:numId="33">
    <w:abstractNumId w:val="36"/>
  </w:num>
  <w:num w:numId="34">
    <w:abstractNumId w:val="33"/>
  </w:num>
  <w:num w:numId="35">
    <w:abstractNumId w:val="31"/>
  </w:num>
  <w:num w:numId="36">
    <w:abstractNumId w:val="18"/>
  </w:num>
  <w:num w:numId="37">
    <w:abstractNumId w:val="32"/>
  </w:num>
  <w:num w:numId="38">
    <w:abstractNumId w:val="37"/>
  </w:num>
  <w:num w:numId="39">
    <w:abstractNumId w:val="42"/>
  </w:num>
  <w:num w:numId="40">
    <w:abstractNumId w:val="10"/>
  </w:num>
  <w:num w:numId="41">
    <w:abstractNumId w:val="16"/>
  </w:num>
  <w:num w:numId="42">
    <w:abstractNumId w:val="22"/>
  </w:num>
  <w:num w:numId="43">
    <w:abstractNumId w:val="19"/>
  </w:num>
  <w:num w:numId="44">
    <w:abstractNumId w:val="20"/>
  </w:num>
  <w:num w:numId="45">
    <w:abstractNumId w:val="41"/>
  </w:num>
  <w:num w:numId="46">
    <w:abstractNumId w:val="13"/>
  </w:num>
  <w:num w:numId="47">
    <w:abstractNumId w:val="23"/>
  </w:num>
  <w:num w:numId="48">
    <w:abstractNumId w:val="4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5B"/>
    <w:rsid w:val="00000291"/>
    <w:rsid w:val="00006BB9"/>
    <w:rsid w:val="000107A1"/>
    <w:rsid w:val="000107DC"/>
    <w:rsid w:val="00011974"/>
    <w:rsid w:val="0002339D"/>
    <w:rsid w:val="000258A0"/>
    <w:rsid w:val="00034D5B"/>
    <w:rsid w:val="000362D6"/>
    <w:rsid w:val="00036733"/>
    <w:rsid w:val="00056C1E"/>
    <w:rsid w:val="0007271F"/>
    <w:rsid w:val="00075AAD"/>
    <w:rsid w:val="0008265B"/>
    <w:rsid w:val="000848E4"/>
    <w:rsid w:val="00085C17"/>
    <w:rsid w:val="00091111"/>
    <w:rsid w:val="00092E82"/>
    <w:rsid w:val="00093DA5"/>
    <w:rsid w:val="000A53F2"/>
    <w:rsid w:val="000A60A2"/>
    <w:rsid w:val="000B40C9"/>
    <w:rsid w:val="000B57E7"/>
    <w:rsid w:val="000D1DDB"/>
    <w:rsid w:val="000D4881"/>
    <w:rsid w:val="000D7950"/>
    <w:rsid w:val="000E05FD"/>
    <w:rsid w:val="000E537D"/>
    <w:rsid w:val="000F09DF"/>
    <w:rsid w:val="000F2D8F"/>
    <w:rsid w:val="000F61B2"/>
    <w:rsid w:val="001019F1"/>
    <w:rsid w:val="001075E9"/>
    <w:rsid w:val="001139D3"/>
    <w:rsid w:val="00115CCC"/>
    <w:rsid w:val="00126BDE"/>
    <w:rsid w:val="00142167"/>
    <w:rsid w:val="0014323A"/>
    <w:rsid w:val="00145F2F"/>
    <w:rsid w:val="00150E6F"/>
    <w:rsid w:val="00156955"/>
    <w:rsid w:val="00160FF7"/>
    <w:rsid w:val="00166336"/>
    <w:rsid w:val="001703A2"/>
    <w:rsid w:val="00172775"/>
    <w:rsid w:val="00175BA4"/>
    <w:rsid w:val="00180183"/>
    <w:rsid w:val="0019479C"/>
    <w:rsid w:val="00196389"/>
    <w:rsid w:val="001A0041"/>
    <w:rsid w:val="001A1471"/>
    <w:rsid w:val="001A6D68"/>
    <w:rsid w:val="001B1054"/>
    <w:rsid w:val="001B35A1"/>
    <w:rsid w:val="001B44FB"/>
    <w:rsid w:val="001C056F"/>
    <w:rsid w:val="001C4531"/>
    <w:rsid w:val="001C7A89"/>
    <w:rsid w:val="001D0787"/>
    <w:rsid w:val="001D4DA8"/>
    <w:rsid w:val="001D5DC9"/>
    <w:rsid w:val="001E2DF6"/>
    <w:rsid w:val="001F5A53"/>
    <w:rsid w:val="00201F1A"/>
    <w:rsid w:val="00216B89"/>
    <w:rsid w:val="00217743"/>
    <w:rsid w:val="00221692"/>
    <w:rsid w:val="00232ABE"/>
    <w:rsid w:val="00233B4E"/>
    <w:rsid w:val="002433EC"/>
    <w:rsid w:val="0025226E"/>
    <w:rsid w:val="002536C6"/>
    <w:rsid w:val="00253DA0"/>
    <w:rsid w:val="00257394"/>
    <w:rsid w:val="00267DEE"/>
    <w:rsid w:val="002749C0"/>
    <w:rsid w:val="00277DEF"/>
    <w:rsid w:val="0029085A"/>
    <w:rsid w:val="00294517"/>
    <w:rsid w:val="002965F6"/>
    <w:rsid w:val="0029784D"/>
    <w:rsid w:val="002A2EFC"/>
    <w:rsid w:val="002A6042"/>
    <w:rsid w:val="002A7BD2"/>
    <w:rsid w:val="002B37EC"/>
    <w:rsid w:val="002C0E18"/>
    <w:rsid w:val="002C33BB"/>
    <w:rsid w:val="002D5AAC"/>
    <w:rsid w:val="002F154D"/>
    <w:rsid w:val="002F3020"/>
    <w:rsid w:val="002F6A15"/>
    <w:rsid w:val="00301299"/>
    <w:rsid w:val="0031050B"/>
    <w:rsid w:val="003128C7"/>
    <w:rsid w:val="00314805"/>
    <w:rsid w:val="003172AC"/>
    <w:rsid w:val="00317D21"/>
    <w:rsid w:val="00320FFD"/>
    <w:rsid w:val="00322004"/>
    <w:rsid w:val="00323A68"/>
    <w:rsid w:val="00330F51"/>
    <w:rsid w:val="00331B0F"/>
    <w:rsid w:val="00333611"/>
    <w:rsid w:val="003402C2"/>
    <w:rsid w:val="00340AC9"/>
    <w:rsid w:val="0035637D"/>
    <w:rsid w:val="00381C24"/>
    <w:rsid w:val="003958D0"/>
    <w:rsid w:val="003A79CE"/>
    <w:rsid w:val="003B00EF"/>
    <w:rsid w:val="003B1F1F"/>
    <w:rsid w:val="003C2F5D"/>
    <w:rsid w:val="003E2A7E"/>
    <w:rsid w:val="003F0075"/>
    <w:rsid w:val="003F3F38"/>
    <w:rsid w:val="003F5FEA"/>
    <w:rsid w:val="003F7F03"/>
    <w:rsid w:val="004031F0"/>
    <w:rsid w:val="0042175B"/>
    <w:rsid w:val="00422248"/>
    <w:rsid w:val="00432E38"/>
    <w:rsid w:val="00442ABC"/>
    <w:rsid w:val="00451F81"/>
    <w:rsid w:val="00454E07"/>
    <w:rsid w:val="0045563E"/>
    <w:rsid w:val="004559B0"/>
    <w:rsid w:val="00467C61"/>
    <w:rsid w:val="00471CB3"/>
    <w:rsid w:val="0048369C"/>
    <w:rsid w:val="004929FF"/>
    <w:rsid w:val="004C2993"/>
    <w:rsid w:val="004C2DB0"/>
    <w:rsid w:val="004D3CF9"/>
    <w:rsid w:val="004D79C5"/>
    <w:rsid w:val="004E52BD"/>
    <w:rsid w:val="004E6C98"/>
    <w:rsid w:val="004F3D16"/>
    <w:rsid w:val="0050108D"/>
    <w:rsid w:val="00503760"/>
    <w:rsid w:val="00506E54"/>
    <w:rsid w:val="00511EAB"/>
    <w:rsid w:val="00553EA5"/>
    <w:rsid w:val="00572E19"/>
    <w:rsid w:val="00574E9B"/>
    <w:rsid w:val="00576042"/>
    <w:rsid w:val="005778E0"/>
    <w:rsid w:val="0058371B"/>
    <w:rsid w:val="00586F41"/>
    <w:rsid w:val="005B5A99"/>
    <w:rsid w:val="005B7702"/>
    <w:rsid w:val="005C0908"/>
    <w:rsid w:val="005D4C9F"/>
    <w:rsid w:val="005D6CB8"/>
    <w:rsid w:val="005E04B2"/>
    <w:rsid w:val="005E0D24"/>
    <w:rsid w:val="005E292A"/>
    <w:rsid w:val="005E6EA8"/>
    <w:rsid w:val="005F0B42"/>
    <w:rsid w:val="006073E8"/>
    <w:rsid w:val="00614D94"/>
    <w:rsid w:val="006165C5"/>
    <w:rsid w:val="0062712A"/>
    <w:rsid w:val="00634841"/>
    <w:rsid w:val="00645BCE"/>
    <w:rsid w:val="00645F1A"/>
    <w:rsid w:val="00655A21"/>
    <w:rsid w:val="00663EE7"/>
    <w:rsid w:val="006674F5"/>
    <w:rsid w:val="00670565"/>
    <w:rsid w:val="006725B3"/>
    <w:rsid w:val="00673DC5"/>
    <w:rsid w:val="006808A9"/>
    <w:rsid w:val="00697A00"/>
    <w:rsid w:val="006E3E0C"/>
    <w:rsid w:val="006E47D4"/>
    <w:rsid w:val="006F0C7C"/>
    <w:rsid w:val="006F11DD"/>
    <w:rsid w:val="006F2D7D"/>
    <w:rsid w:val="006F35EE"/>
    <w:rsid w:val="007021FF"/>
    <w:rsid w:val="007076CB"/>
    <w:rsid w:val="007144A8"/>
    <w:rsid w:val="00715552"/>
    <w:rsid w:val="00750E4C"/>
    <w:rsid w:val="007553DD"/>
    <w:rsid w:val="007604B4"/>
    <w:rsid w:val="007714BE"/>
    <w:rsid w:val="007733A4"/>
    <w:rsid w:val="007967DF"/>
    <w:rsid w:val="007978A8"/>
    <w:rsid w:val="007A01DD"/>
    <w:rsid w:val="007C69E5"/>
    <w:rsid w:val="007F6654"/>
    <w:rsid w:val="00812171"/>
    <w:rsid w:val="0081636D"/>
    <w:rsid w:val="008163AC"/>
    <w:rsid w:val="00834B71"/>
    <w:rsid w:val="00847CF5"/>
    <w:rsid w:val="00853109"/>
    <w:rsid w:val="00860727"/>
    <w:rsid w:val="0086445C"/>
    <w:rsid w:val="00865FAC"/>
    <w:rsid w:val="008728CD"/>
    <w:rsid w:val="00874284"/>
    <w:rsid w:val="0087651E"/>
    <w:rsid w:val="0088633A"/>
    <w:rsid w:val="00892BF0"/>
    <w:rsid w:val="00896B55"/>
    <w:rsid w:val="008A08D7"/>
    <w:rsid w:val="008A13F9"/>
    <w:rsid w:val="008A20C8"/>
    <w:rsid w:val="008B6FF4"/>
    <w:rsid w:val="008C0E9C"/>
    <w:rsid w:val="008C0F65"/>
    <w:rsid w:val="008C4324"/>
    <w:rsid w:val="008C5FE1"/>
    <w:rsid w:val="008D2C7C"/>
    <w:rsid w:val="008D5B0A"/>
    <w:rsid w:val="008E0F57"/>
    <w:rsid w:val="008E3757"/>
    <w:rsid w:val="008E6BB6"/>
    <w:rsid w:val="008E71A7"/>
    <w:rsid w:val="008F1CF5"/>
    <w:rsid w:val="008F6DE0"/>
    <w:rsid w:val="009047C5"/>
    <w:rsid w:val="00906890"/>
    <w:rsid w:val="009352A9"/>
    <w:rsid w:val="00936FFB"/>
    <w:rsid w:val="0094043F"/>
    <w:rsid w:val="0094232D"/>
    <w:rsid w:val="009431E9"/>
    <w:rsid w:val="00944257"/>
    <w:rsid w:val="00951972"/>
    <w:rsid w:val="00954E65"/>
    <w:rsid w:val="00965117"/>
    <w:rsid w:val="00974ADB"/>
    <w:rsid w:val="009A4228"/>
    <w:rsid w:val="009B2AC5"/>
    <w:rsid w:val="009C2CD4"/>
    <w:rsid w:val="009C3ACD"/>
    <w:rsid w:val="009C4531"/>
    <w:rsid w:val="009C498E"/>
    <w:rsid w:val="009D1FCA"/>
    <w:rsid w:val="009D3781"/>
    <w:rsid w:val="009F1A72"/>
    <w:rsid w:val="009F1D7D"/>
    <w:rsid w:val="009F51D6"/>
    <w:rsid w:val="009F6208"/>
    <w:rsid w:val="00A11208"/>
    <w:rsid w:val="00A12742"/>
    <w:rsid w:val="00A17DFD"/>
    <w:rsid w:val="00A30478"/>
    <w:rsid w:val="00A34461"/>
    <w:rsid w:val="00A37216"/>
    <w:rsid w:val="00A4674B"/>
    <w:rsid w:val="00A61D60"/>
    <w:rsid w:val="00A83629"/>
    <w:rsid w:val="00A91766"/>
    <w:rsid w:val="00A917B3"/>
    <w:rsid w:val="00A9761A"/>
    <w:rsid w:val="00A97D32"/>
    <w:rsid w:val="00AA56C5"/>
    <w:rsid w:val="00AB4B51"/>
    <w:rsid w:val="00AB52A7"/>
    <w:rsid w:val="00AC19FC"/>
    <w:rsid w:val="00AE5C46"/>
    <w:rsid w:val="00AF5820"/>
    <w:rsid w:val="00AF753F"/>
    <w:rsid w:val="00B07714"/>
    <w:rsid w:val="00B10CC7"/>
    <w:rsid w:val="00B3293C"/>
    <w:rsid w:val="00B371A2"/>
    <w:rsid w:val="00B3798A"/>
    <w:rsid w:val="00B415BF"/>
    <w:rsid w:val="00B4333F"/>
    <w:rsid w:val="00B443FC"/>
    <w:rsid w:val="00B4599D"/>
    <w:rsid w:val="00B4770A"/>
    <w:rsid w:val="00B51815"/>
    <w:rsid w:val="00B5314B"/>
    <w:rsid w:val="00B62458"/>
    <w:rsid w:val="00B63C83"/>
    <w:rsid w:val="00B65955"/>
    <w:rsid w:val="00B756DD"/>
    <w:rsid w:val="00B75D17"/>
    <w:rsid w:val="00B8258C"/>
    <w:rsid w:val="00B85CF3"/>
    <w:rsid w:val="00B932E3"/>
    <w:rsid w:val="00B95506"/>
    <w:rsid w:val="00B97FE1"/>
    <w:rsid w:val="00BA09B3"/>
    <w:rsid w:val="00BB0888"/>
    <w:rsid w:val="00BB36EA"/>
    <w:rsid w:val="00BC29CD"/>
    <w:rsid w:val="00BD33EE"/>
    <w:rsid w:val="00BD6134"/>
    <w:rsid w:val="00BE191C"/>
    <w:rsid w:val="00BF087B"/>
    <w:rsid w:val="00BF1428"/>
    <w:rsid w:val="00C14FFD"/>
    <w:rsid w:val="00C2258F"/>
    <w:rsid w:val="00C22A43"/>
    <w:rsid w:val="00C2738B"/>
    <w:rsid w:val="00C36154"/>
    <w:rsid w:val="00C56C8C"/>
    <w:rsid w:val="00C56DC7"/>
    <w:rsid w:val="00C60F0C"/>
    <w:rsid w:val="00C60F69"/>
    <w:rsid w:val="00C63C2A"/>
    <w:rsid w:val="00C647AC"/>
    <w:rsid w:val="00C71A3F"/>
    <w:rsid w:val="00C772C0"/>
    <w:rsid w:val="00C805C9"/>
    <w:rsid w:val="00CA1679"/>
    <w:rsid w:val="00CA29C9"/>
    <w:rsid w:val="00CA2EEE"/>
    <w:rsid w:val="00CC1EFE"/>
    <w:rsid w:val="00CC4B11"/>
    <w:rsid w:val="00CC51C5"/>
    <w:rsid w:val="00CC68F7"/>
    <w:rsid w:val="00CC7EB0"/>
    <w:rsid w:val="00CD7B73"/>
    <w:rsid w:val="00CF3DCF"/>
    <w:rsid w:val="00CF622C"/>
    <w:rsid w:val="00D045C1"/>
    <w:rsid w:val="00D05347"/>
    <w:rsid w:val="00D205AF"/>
    <w:rsid w:val="00D25E2E"/>
    <w:rsid w:val="00D325D5"/>
    <w:rsid w:val="00D326AA"/>
    <w:rsid w:val="00D43C55"/>
    <w:rsid w:val="00D52FCB"/>
    <w:rsid w:val="00D63D5E"/>
    <w:rsid w:val="00D72A13"/>
    <w:rsid w:val="00D7493A"/>
    <w:rsid w:val="00D752DD"/>
    <w:rsid w:val="00D773CC"/>
    <w:rsid w:val="00D85BA1"/>
    <w:rsid w:val="00D90138"/>
    <w:rsid w:val="00DA3D6B"/>
    <w:rsid w:val="00DA6350"/>
    <w:rsid w:val="00DB10B3"/>
    <w:rsid w:val="00DC11E9"/>
    <w:rsid w:val="00DC6504"/>
    <w:rsid w:val="00DD7486"/>
    <w:rsid w:val="00DE428C"/>
    <w:rsid w:val="00DE4C87"/>
    <w:rsid w:val="00DF0A9E"/>
    <w:rsid w:val="00DF290D"/>
    <w:rsid w:val="00DF3203"/>
    <w:rsid w:val="00DF5F4F"/>
    <w:rsid w:val="00DF7357"/>
    <w:rsid w:val="00DF7E95"/>
    <w:rsid w:val="00E06D78"/>
    <w:rsid w:val="00E1150A"/>
    <w:rsid w:val="00E20585"/>
    <w:rsid w:val="00E27A9B"/>
    <w:rsid w:val="00E30536"/>
    <w:rsid w:val="00E454E9"/>
    <w:rsid w:val="00E509A6"/>
    <w:rsid w:val="00E53239"/>
    <w:rsid w:val="00E73F76"/>
    <w:rsid w:val="00E8211F"/>
    <w:rsid w:val="00E82D2D"/>
    <w:rsid w:val="00E9005E"/>
    <w:rsid w:val="00EA2F27"/>
    <w:rsid w:val="00EA31D8"/>
    <w:rsid w:val="00EA5579"/>
    <w:rsid w:val="00EB4803"/>
    <w:rsid w:val="00EB79A8"/>
    <w:rsid w:val="00EC442A"/>
    <w:rsid w:val="00EF1360"/>
    <w:rsid w:val="00EF3220"/>
    <w:rsid w:val="00EF5200"/>
    <w:rsid w:val="00EF7198"/>
    <w:rsid w:val="00F04C31"/>
    <w:rsid w:val="00F22EAD"/>
    <w:rsid w:val="00F41883"/>
    <w:rsid w:val="00F62A98"/>
    <w:rsid w:val="00F66D84"/>
    <w:rsid w:val="00F8567A"/>
    <w:rsid w:val="00F86EF4"/>
    <w:rsid w:val="00F94155"/>
    <w:rsid w:val="00FA1A7C"/>
    <w:rsid w:val="00FB71AA"/>
    <w:rsid w:val="00FD2EF7"/>
    <w:rsid w:val="00FD4AD6"/>
    <w:rsid w:val="00FD5229"/>
    <w:rsid w:val="00FD5C5A"/>
    <w:rsid w:val="00FD7918"/>
    <w:rsid w:val="00FF05B3"/>
    <w:rsid w:val="00FF1E5D"/>
    <w:rsid w:val="00FF2FD9"/>
    <w:rsid w:val="00FF5E7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FA85D87"/>
  <w15:docId w15:val="{080A7154-F0BE-4A5B-8B34-A49BF148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F3020"/>
    <w:pPr>
      <w:spacing w:line="240" w:lineRule="atLeast"/>
    </w:pPr>
    <w:rPr>
      <w:lang w:val="es-ES" w:eastAsia="es-ES"/>
    </w:rPr>
  </w:style>
  <w:style w:type="paragraph" w:styleId="Ttulo1">
    <w:name w:val="heading 1"/>
    <w:aliases w:val="Table_G"/>
    <w:basedOn w:val="SingleTxtG"/>
    <w:next w:val="SingleTxtG"/>
    <w:link w:val="Ttulo1Car"/>
    <w:qFormat/>
    <w:rsid w:val="00D05347"/>
    <w:pPr>
      <w:keepNext/>
      <w:spacing w:after="0" w:line="240" w:lineRule="auto"/>
      <w:outlineLvl w:val="0"/>
    </w:pPr>
    <w:rPr>
      <w:rFonts w:cs="Arial"/>
      <w:bCs/>
      <w:szCs w:val="32"/>
    </w:rPr>
  </w:style>
  <w:style w:type="paragraph" w:styleId="Ttulo2">
    <w:name w:val="heading 2"/>
    <w:basedOn w:val="Normal"/>
    <w:next w:val="Normal"/>
    <w:link w:val="Ttulo2Car"/>
    <w:semiHidden/>
    <w:qFormat/>
    <w:rsid w:val="00EA31D8"/>
    <w:pPr>
      <w:keepNext/>
      <w:outlineLvl w:val="1"/>
    </w:pPr>
    <w:rPr>
      <w:rFonts w:cs="Arial"/>
      <w:bCs/>
      <w:iCs/>
      <w:szCs w:val="28"/>
    </w:rPr>
  </w:style>
  <w:style w:type="paragraph" w:styleId="Ttulo3">
    <w:name w:val="heading 3"/>
    <w:basedOn w:val="Normal"/>
    <w:next w:val="Normal"/>
    <w:link w:val="Ttulo3Car"/>
    <w:semiHidden/>
    <w:qFormat/>
    <w:rsid w:val="00EA31D8"/>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qFormat/>
    <w:rsid w:val="00EA31D8"/>
    <w:pPr>
      <w:keepNext/>
      <w:spacing w:before="240" w:after="60"/>
      <w:outlineLvl w:val="3"/>
    </w:pPr>
    <w:rPr>
      <w:b/>
      <w:bCs/>
      <w:sz w:val="28"/>
      <w:szCs w:val="28"/>
    </w:rPr>
  </w:style>
  <w:style w:type="paragraph" w:styleId="Ttulo5">
    <w:name w:val="heading 5"/>
    <w:basedOn w:val="Normal"/>
    <w:next w:val="Normal"/>
    <w:link w:val="Ttulo5Car"/>
    <w:semiHidden/>
    <w:qFormat/>
    <w:rsid w:val="00EA31D8"/>
    <w:pPr>
      <w:spacing w:before="240" w:after="60"/>
      <w:outlineLvl w:val="4"/>
    </w:pPr>
    <w:rPr>
      <w:b/>
      <w:bCs/>
      <w:i/>
      <w:iCs/>
      <w:sz w:val="26"/>
      <w:szCs w:val="26"/>
    </w:rPr>
  </w:style>
  <w:style w:type="paragraph" w:styleId="Ttulo6">
    <w:name w:val="heading 6"/>
    <w:basedOn w:val="Normal"/>
    <w:next w:val="Normal"/>
    <w:link w:val="Ttulo6Car"/>
    <w:semiHidden/>
    <w:qFormat/>
    <w:rsid w:val="00EA31D8"/>
    <w:pPr>
      <w:spacing w:before="240" w:after="60"/>
      <w:outlineLvl w:val="5"/>
    </w:pPr>
    <w:rPr>
      <w:b/>
      <w:bCs/>
      <w:sz w:val="22"/>
      <w:szCs w:val="22"/>
    </w:rPr>
  </w:style>
  <w:style w:type="paragraph" w:styleId="Ttulo7">
    <w:name w:val="heading 7"/>
    <w:basedOn w:val="Normal"/>
    <w:next w:val="Normal"/>
    <w:link w:val="Ttulo7Car"/>
    <w:semiHidden/>
    <w:qFormat/>
    <w:rsid w:val="00EA31D8"/>
    <w:pPr>
      <w:spacing w:before="240" w:after="60"/>
      <w:outlineLvl w:val="6"/>
    </w:pPr>
    <w:rPr>
      <w:sz w:val="24"/>
      <w:szCs w:val="24"/>
    </w:rPr>
  </w:style>
  <w:style w:type="paragraph" w:styleId="Ttulo8">
    <w:name w:val="heading 8"/>
    <w:basedOn w:val="Normal"/>
    <w:next w:val="Normal"/>
    <w:link w:val="Ttulo8Car"/>
    <w:semiHidden/>
    <w:qFormat/>
    <w:rsid w:val="00EA31D8"/>
    <w:pPr>
      <w:spacing w:before="240" w:after="60"/>
      <w:outlineLvl w:val="7"/>
    </w:pPr>
    <w:rPr>
      <w:i/>
      <w:iCs/>
      <w:sz w:val="24"/>
      <w:szCs w:val="24"/>
    </w:rPr>
  </w:style>
  <w:style w:type="paragraph" w:styleId="Ttulo9">
    <w:name w:val="heading 9"/>
    <w:basedOn w:val="Normal"/>
    <w:next w:val="Normal"/>
    <w:link w:val="Ttulo9Car"/>
    <w:semiHidden/>
    <w:qFormat/>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callout,Fago Fußnotenzeichen"/>
    <w:basedOn w:val="Fuentedeprrafopredeter"/>
    <w:uiPriority w:val="99"/>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styleId="Textodeglobo">
    <w:name w:val="Balloon Text"/>
    <w:basedOn w:val="Normal"/>
    <w:link w:val="TextodegloboCar"/>
    <w:semiHidden/>
    <w:rsid w:val="002F3020"/>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2F3020"/>
    <w:rPr>
      <w:rFonts w:ascii="Tahoma" w:hAnsi="Tahoma" w:cs="Tahoma"/>
      <w:sz w:val="16"/>
      <w:szCs w:val="16"/>
      <w:lang w:val="es-ES" w:eastAsia="es-ES"/>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uiPriority w:val="99"/>
    <w:qFormat/>
    <w:rsid w:val="00EA31D8"/>
    <w:pPr>
      <w:tabs>
        <w:tab w:val="right" w:pos="1021"/>
      </w:tabs>
      <w:spacing w:line="220" w:lineRule="exact"/>
      <w:ind w:left="1134" w:right="1134" w:hanging="1134"/>
    </w:pPr>
    <w:rPr>
      <w:sz w:val="18"/>
    </w:rPr>
  </w:style>
  <w:style w:type="table" w:styleId="Tablaconcuadrcula">
    <w:name w:val="Table Grid"/>
    <w:basedOn w:val="Tablanormal"/>
    <w:rsid w:val="008E6BB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link w:val="CierreCar"/>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link w:val="DireccinHTMLCar"/>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link w:val="EncabezadodemensajeCar"/>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EA31D8"/>
  </w:style>
  <w:style w:type="character" w:styleId="nfasis">
    <w:name w:val="Emphasis"/>
    <w:basedOn w:val="Fuentedeprrafopredeter"/>
    <w:qFormat/>
    <w:rsid w:val="00EA31D8"/>
    <w:rPr>
      <w:i/>
      <w:iCs/>
    </w:rPr>
  </w:style>
  <w:style w:type="paragraph" w:styleId="Fecha">
    <w:name w:val="Date"/>
    <w:basedOn w:val="Normal"/>
    <w:next w:val="Normal"/>
    <w:link w:val="FechaCar"/>
    <w:semiHidden/>
    <w:rsid w:val="00EA31D8"/>
  </w:style>
  <w:style w:type="paragraph" w:styleId="Firma">
    <w:name w:val="Signature"/>
    <w:basedOn w:val="Normal"/>
    <w:link w:val="FirmaCar"/>
    <w:semiHidden/>
    <w:rsid w:val="00EA31D8"/>
    <w:pPr>
      <w:ind w:left="4252"/>
    </w:pPr>
  </w:style>
  <w:style w:type="paragraph" w:styleId="Firmadecorreoelectrnico">
    <w:name w:val="E-mail Signature"/>
    <w:basedOn w:val="Normal"/>
    <w:link w:val="FirmadecorreoelectrnicoCar"/>
    <w:semiHidden/>
    <w:rsid w:val="00EA31D8"/>
  </w:style>
  <w:style w:type="character" w:styleId="Hipervnculo">
    <w:name w:val="Hyperlink"/>
    <w:basedOn w:val="Fuentedeprrafopredeter"/>
    <w:semiHidden/>
    <w:rsid w:val="008E6BB6"/>
    <w:rPr>
      <w:color w:val="auto"/>
      <w:u w:val="none"/>
    </w:rPr>
  </w:style>
  <w:style w:type="character" w:styleId="Hipervnculovisitado">
    <w:name w:val="FollowedHyperlink"/>
    <w:basedOn w:val="Fuentedeprrafopredeter"/>
    <w:semiHidden/>
    <w:rsid w:val="008E6BB6"/>
    <w:rPr>
      <w:color w:val="auto"/>
      <w:u w:val="none"/>
    </w:rPr>
  </w:style>
  <w:style w:type="paragraph" w:styleId="HTMLconformatoprevio">
    <w:name w:val="HTML Preformatted"/>
    <w:basedOn w:val="Normal"/>
    <w:link w:val="HTMLconformatoprevioCar"/>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qFormat/>
    <w:rsid w:val="00EA31D8"/>
    <w:rPr>
      <w:b/>
      <w:sz w:val="18"/>
    </w:rPr>
  </w:style>
  <w:style w:type="character" w:styleId="Refdenotaalfinal">
    <w:name w:val="endnote reference"/>
    <w:aliases w:val="1_G"/>
    <w:basedOn w:val="Refdenotaalpie"/>
    <w:qFormat/>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link w:val="SaludoCar"/>
    <w:semiHidden/>
    <w:rsid w:val="00EA31D8"/>
  </w:style>
  <w:style w:type="paragraph" w:styleId="Sangra2detindependiente">
    <w:name w:val="Body Text Indent 2"/>
    <w:basedOn w:val="Normal"/>
    <w:link w:val="Sangra2detindependienteCar"/>
    <w:semiHidden/>
    <w:rsid w:val="00EA31D8"/>
    <w:pPr>
      <w:spacing w:after="120" w:line="480" w:lineRule="auto"/>
      <w:ind w:left="283"/>
    </w:pPr>
  </w:style>
  <w:style w:type="paragraph" w:styleId="Sangra3detindependiente">
    <w:name w:val="Body Text Indent 3"/>
    <w:basedOn w:val="Normal"/>
    <w:link w:val="Sangra3detindependienteCar"/>
    <w:semiHidden/>
    <w:rsid w:val="00EA31D8"/>
    <w:pPr>
      <w:spacing w:after="120"/>
      <w:ind w:left="283"/>
    </w:pPr>
    <w:rPr>
      <w:sz w:val="16"/>
      <w:szCs w:val="16"/>
    </w:rPr>
  </w:style>
  <w:style w:type="paragraph" w:styleId="Sangradetextonormal">
    <w:name w:val="Body Text Indent"/>
    <w:basedOn w:val="Normal"/>
    <w:link w:val="SangradetextonormalCar"/>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link w:val="SubttuloCar"/>
    <w:qFormat/>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qFormat/>
    <w:rsid w:val="00EA31D8"/>
    <w:rPr>
      <w:b/>
      <w:bCs/>
    </w:rPr>
  </w:style>
  <w:style w:type="paragraph" w:styleId="Textoindependiente">
    <w:name w:val="Body Text"/>
    <w:basedOn w:val="Normal"/>
    <w:link w:val="TextoindependienteCar"/>
    <w:semiHidden/>
    <w:rsid w:val="00EA31D8"/>
    <w:pPr>
      <w:spacing w:after="120"/>
    </w:pPr>
  </w:style>
  <w:style w:type="paragraph" w:styleId="Textoindependiente2">
    <w:name w:val="Body Text 2"/>
    <w:basedOn w:val="Normal"/>
    <w:link w:val="Textoindependiente2Car"/>
    <w:semiHidden/>
    <w:rsid w:val="00EA31D8"/>
    <w:pPr>
      <w:spacing w:after="120" w:line="480" w:lineRule="auto"/>
    </w:pPr>
  </w:style>
  <w:style w:type="paragraph" w:styleId="Textoindependiente3">
    <w:name w:val="Body Text 3"/>
    <w:basedOn w:val="Normal"/>
    <w:link w:val="Textoindependiente3Car"/>
    <w:semiHidden/>
    <w:rsid w:val="00EA31D8"/>
    <w:pPr>
      <w:spacing w:after="120"/>
    </w:pPr>
    <w:rPr>
      <w:sz w:val="16"/>
      <w:szCs w:val="16"/>
    </w:rPr>
  </w:style>
  <w:style w:type="paragraph" w:styleId="Textoindependienteprimerasangra">
    <w:name w:val="Body Text First Indent"/>
    <w:basedOn w:val="Textoindependiente"/>
    <w:link w:val="TextoindependienteprimerasangraCar"/>
    <w:semiHidden/>
    <w:rsid w:val="00EA31D8"/>
    <w:pPr>
      <w:ind w:firstLine="210"/>
    </w:pPr>
  </w:style>
  <w:style w:type="paragraph" w:styleId="Textoindependienteprimerasangra2">
    <w:name w:val="Body Text First Indent 2"/>
    <w:basedOn w:val="Sangradetextonormal"/>
    <w:link w:val="Textoindependienteprimerasangra2Car"/>
    <w:semiHidden/>
    <w:rsid w:val="00EA31D8"/>
    <w:pPr>
      <w:ind w:firstLine="210"/>
    </w:pPr>
  </w:style>
  <w:style w:type="paragraph" w:styleId="Textonotaalfinal">
    <w:name w:val="endnote text"/>
    <w:aliases w:val="2_G"/>
    <w:basedOn w:val="Textonotapie"/>
    <w:link w:val="TextonotaalfinalCar"/>
    <w:qFormat/>
    <w:rsid w:val="00EA31D8"/>
  </w:style>
  <w:style w:type="paragraph" w:styleId="Textosinformato">
    <w:name w:val="Plain Text"/>
    <w:basedOn w:val="Normal"/>
    <w:link w:val="TextosinformatoCar"/>
    <w:semiHidden/>
    <w:rsid w:val="00EA31D8"/>
    <w:rPr>
      <w:rFonts w:ascii="Courier New" w:hAnsi="Courier New" w:cs="Courier New"/>
    </w:rPr>
  </w:style>
  <w:style w:type="paragraph" w:styleId="Ttulo">
    <w:name w:val="Title"/>
    <w:basedOn w:val="Normal"/>
    <w:link w:val="TtuloCar"/>
    <w:qFormat/>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customStyle="1" w:styleId="ParNoG">
    <w:name w:val="_ParNo_G"/>
    <w:basedOn w:val="SingleTxtG"/>
    <w:qFormat/>
    <w:rsid w:val="00340AC9"/>
    <w:pPr>
      <w:numPr>
        <w:numId w:val="16"/>
      </w:numPr>
      <w:suppressAutoHyphens/>
      <w:kinsoku w:val="0"/>
      <w:overflowPunct w:val="0"/>
      <w:autoSpaceDE w:val="0"/>
      <w:autoSpaceDN w:val="0"/>
      <w:adjustRightInd w:val="0"/>
      <w:snapToGrid w:val="0"/>
    </w:pPr>
    <w:rPr>
      <w:lang w:val="es-ES_tradnl" w:eastAsia="en-US"/>
    </w:rPr>
  </w:style>
  <w:style w:type="character" w:customStyle="1" w:styleId="Ttulo1Car">
    <w:name w:val="Título 1 Car"/>
    <w:aliases w:val="Table_G Car"/>
    <w:basedOn w:val="Fuentedeprrafopredeter"/>
    <w:link w:val="Ttulo1"/>
    <w:rsid w:val="00034D5B"/>
    <w:rPr>
      <w:rFonts w:cs="Arial"/>
      <w:bCs/>
      <w:szCs w:val="32"/>
      <w:lang w:val="es-ES" w:eastAsia="es-ES"/>
    </w:rPr>
  </w:style>
  <w:style w:type="character" w:customStyle="1" w:styleId="Ttulo2Car">
    <w:name w:val="Título 2 Car"/>
    <w:basedOn w:val="Fuentedeprrafopredeter"/>
    <w:link w:val="Ttulo2"/>
    <w:semiHidden/>
    <w:rsid w:val="00034D5B"/>
    <w:rPr>
      <w:rFonts w:cs="Arial"/>
      <w:bCs/>
      <w:iCs/>
      <w:szCs w:val="28"/>
      <w:lang w:val="es-ES" w:eastAsia="es-ES"/>
    </w:rPr>
  </w:style>
  <w:style w:type="character" w:customStyle="1" w:styleId="Ttulo3Car">
    <w:name w:val="Título 3 Car"/>
    <w:basedOn w:val="Fuentedeprrafopredeter"/>
    <w:link w:val="Ttulo3"/>
    <w:semiHidden/>
    <w:rsid w:val="00034D5B"/>
    <w:rPr>
      <w:rFonts w:ascii="Arial" w:hAnsi="Arial" w:cs="Arial"/>
      <w:b/>
      <w:bCs/>
      <w:sz w:val="26"/>
      <w:szCs w:val="26"/>
      <w:lang w:val="es-ES" w:eastAsia="es-ES"/>
    </w:rPr>
  </w:style>
  <w:style w:type="character" w:customStyle="1" w:styleId="Ttulo4Car">
    <w:name w:val="Título 4 Car"/>
    <w:basedOn w:val="Fuentedeprrafopredeter"/>
    <w:link w:val="Ttulo4"/>
    <w:semiHidden/>
    <w:rsid w:val="00034D5B"/>
    <w:rPr>
      <w:b/>
      <w:bCs/>
      <w:sz w:val="28"/>
      <w:szCs w:val="28"/>
      <w:lang w:val="es-ES" w:eastAsia="es-ES"/>
    </w:rPr>
  </w:style>
  <w:style w:type="character" w:customStyle="1" w:styleId="Ttulo5Car">
    <w:name w:val="Título 5 Car"/>
    <w:basedOn w:val="Fuentedeprrafopredeter"/>
    <w:link w:val="Ttulo5"/>
    <w:semiHidden/>
    <w:rsid w:val="00034D5B"/>
    <w:rPr>
      <w:b/>
      <w:bCs/>
      <w:i/>
      <w:iCs/>
      <w:sz w:val="26"/>
      <w:szCs w:val="26"/>
      <w:lang w:val="es-ES" w:eastAsia="es-ES"/>
    </w:rPr>
  </w:style>
  <w:style w:type="character" w:customStyle="1" w:styleId="Ttulo6Car">
    <w:name w:val="Título 6 Car"/>
    <w:basedOn w:val="Fuentedeprrafopredeter"/>
    <w:link w:val="Ttulo6"/>
    <w:semiHidden/>
    <w:rsid w:val="00034D5B"/>
    <w:rPr>
      <w:b/>
      <w:bCs/>
      <w:sz w:val="22"/>
      <w:szCs w:val="22"/>
      <w:lang w:val="es-ES" w:eastAsia="es-ES"/>
    </w:rPr>
  </w:style>
  <w:style w:type="character" w:customStyle="1" w:styleId="Ttulo7Car">
    <w:name w:val="Título 7 Car"/>
    <w:basedOn w:val="Fuentedeprrafopredeter"/>
    <w:link w:val="Ttulo7"/>
    <w:semiHidden/>
    <w:rsid w:val="00034D5B"/>
    <w:rPr>
      <w:sz w:val="24"/>
      <w:szCs w:val="24"/>
      <w:lang w:val="es-ES" w:eastAsia="es-ES"/>
    </w:rPr>
  </w:style>
  <w:style w:type="character" w:customStyle="1" w:styleId="Ttulo8Car">
    <w:name w:val="Título 8 Car"/>
    <w:basedOn w:val="Fuentedeprrafopredeter"/>
    <w:link w:val="Ttulo8"/>
    <w:semiHidden/>
    <w:rsid w:val="00034D5B"/>
    <w:rPr>
      <w:i/>
      <w:iCs/>
      <w:sz w:val="24"/>
      <w:szCs w:val="24"/>
      <w:lang w:val="es-ES" w:eastAsia="es-ES"/>
    </w:rPr>
  </w:style>
  <w:style w:type="character" w:customStyle="1" w:styleId="Ttulo9Car">
    <w:name w:val="Título 9 Car"/>
    <w:basedOn w:val="Fuentedeprrafopredeter"/>
    <w:link w:val="Ttulo9"/>
    <w:semiHidden/>
    <w:rsid w:val="00034D5B"/>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034D5B"/>
    <w:rPr>
      <w:b/>
      <w:sz w:val="18"/>
      <w:lang w:val="es-ES" w:eastAsia="es-ES"/>
    </w:rPr>
  </w:style>
  <w:style w:type="character" w:customStyle="1" w:styleId="PiedepginaCar">
    <w:name w:val="Pie de página Car"/>
    <w:aliases w:val="3_G Car"/>
    <w:basedOn w:val="Fuentedeprrafopredeter"/>
    <w:link w:val="Piedepgina"/>
    <w:rsid w:val="00034D5B"/>
    <w:rPr>
      <w:sz w:val="16"/>
      <w:lang w:val="es-ES" w:eastAsia="es-ES"/>
    </w:rPr>
  </w:style>
  <w:style w:type="character" w:customStyle="1" w:styleId="TextonotapieCar">
    <w:name w:val="Texto nota pie Car"/>
    <w:aliases w:val="5_G Car"/>
    <w:basedOn w:val="Fuentedeprrafopredeter"/>
    <w:link w:val="Textonotapie"/>
    <w:uiPriority w:val="99"/>
    <w:rsid w:val="00034D5B"/>
    <w:rPr>
      <w:sz w:val="18"/>
      <w:lang w:val="es-ES" w:eastAsia="es-ES"/>
    </w:rPr>
  </w:style>
  <w:style w:type="character" w:customStyle="1" w:styleId="CierreCar">
    <w:name w:val="Cierre Car"/>
    <w:basedOn w:val="Fuentedeprrafopredeter"/>
    <w:link w:val="Cierre"/>
    <w:semiHidden/>
    <w:rsid w:val="00034D5B"/>
    <w:rPr>
      <w:lang w:val="es-ES" w:eastAsia="es-ES"/>
    </w:rPr>
  </w:style>
  <w:style w:type="character" w:customStyle="1" w:styleId="DireccinHTMLCar">
    <w:name w:val="Dirección HTML Car"/>
    <w:basedOn w:val="Fuentedeprrafopredeter"/>
    <w:link w:val="DireccinHTML"/>
    <w:semiHidden/>
    <w:rsid w:val="00034D5B"/>
    <w:rPr>
      <w:i/>
      <w:iCs/>
      <w:lang w:val="es-ES" w:eastAsia="es-ES"/>
    </w:rPr>
  </w:style>
  <w:style w:type="character" w:customStyle="1" w:styleId="EncabezadodemensajeCar">
    <w:name w:val="Encabezado de mensaje Car"/>
    <w:basedOn w:val="Fuentedeprrafopredeter"/>
    <w:link w:val="Encabezadodemensaje"/>
    <w:semiHidden/>
    <w:rsid w:val="00034D5B"/>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034D5B"/>
    <w:rPr>
      <w:lang w:val="es-ES" w:eastAsia="es-ES"/>
    </w:rPr>
  </w:style>
  <w:style w:type="character" w:customStyle="1" w:styleId="FechaCar">
    <w:name w:val="Fecha Car"/>
    <w:basedOn w:val="Fuentedeprrafopredeter"/>
    <w:link w:val="Fecha"/>
    <w:semiHidden/>
    <w:rsid w:val="00034D5B"/>
    <w:rPr>
      <w:lang w:val="es-ES" w:eastAsia="es-ES"/>
    </w:rPr>
  </w:style>
  <w:style w:type="character" w:customStyle="1" w:styleId="FirmaCar">
    <w:name w:val="Firma Car"/>
    <w:basedOn w:val="Fuentedeprrafopredeter"/>
    <w:link w:val="Firma"/>
    <w:semiHidden/>
    <w:rsid w:val="00034D5B"/>
    <w:rPr>
      <w:lang w:val="es-ES" w:eastAsia="es-ES"/>
    </w:rPr>
  </w:style>
  <w:style w:type="character" w:customStyle="1" w:styleId="FirmadecorreoelectrnicoCar">
    <w:name w:val="Firma de correo electrónico Car"/>
    <w:basedOn w:val="Fuentedeprrafopredeter"/>
    <w:link w:val="Firmadecorreoelectrnico"/>
    <w:semiHidden/>
    <w:rsid w:val="00034D5B"/>
    <w:rPr>
      <w:lang w:val="es-ES" w:eastAsia="es-ES"/>
    </w:rPr>
  </w:style>
  <w:style w:type="character" w:customStyle="1" w:styleId="HTMLconformatoprevioCar">
    <w:name w:val="HTML con formato previo Car"/>
    <w:basedOn w:val="Fuentedeprrafopredeter"/>
    <w:link w:val="HTMLconformatoprevio"/>
    <w:semiHidden/>
    <w:rsid w:val="00034D5B"/>
    <w:rPr>
      <w:rFonts w:ascii="Courier New" w:hAnsi="Courier New" w:cs="Courier New"/>
      <w:lang w:val="es-ES" w:eastAsia="es-ES"/>
    </w:rPr>
  </w:style>
  <w:style w:type="character" w:customStyle="1" w:styleId="SaludoCar">
    <w:name w:val="Saludo Car"/>
    <w:basedOn w:val="Fuentedeprrafopredeter"/>
    <w:link w:val="Saludo"/>
    <w:semiHidden/>
    <w:rsid w:val="00034D5B"/>
    <w:rPr>
      <w:lang w:val="es-ES" w:eastAsia="es-ES"/>
    </w:rPr>
  </w:style>
  <w:style w:type="character" w:customStyle="1" w:styleId="Sangra2detindependienteCar">
    <w:name w:val="Sangría 2 de t. independiente Car"/>
    <w:basedOn w:val="Fuentedeprrafopredeter"/>
    <w:link w:val="Sangra2detindependiente"/>
    <w:semiHidden/>
    <w:rsid w:val="00034D5B"/>
    <w:rPr>
      <w:lang w:val="es-ES" w:eastAsia="es-ES"/>
    </w:rPr>
  </w:style>
  <w:style w:type="character" w:customStyle="1" w:styleId="Sangra3detindependienteCar">
    <w:name w:val="Sangría 3 de t. independiente Car"/>
    <w:basedOn w:val="Fuentedeprrafopredeter"/>
    <w:link w:val="Sangra3detindependiente"/>
    <w:semiHidden/>
    <w:rsid w:val="00034D5B"/>
    <w:rPr>
      <w:sz w:val="16"/>
      <w:szCs w:val="16"/>
      <w:lang w:val="es-ES" w:eastAsia="es-ES"/>
    </w:rPr>
  </w:style>
  <w:style w:type="character" w:customStyle="1" w:styleId="SangradetextonormalCar">
    <w:name w:val="Sangría de texto normal Car"/>
    <w:basedOn w:val="Fuentedeprrafopredeter"/>
    <w:link w:val="Sangradetextonormal"/>
    <w:semiHidden/>
    <w:rsid w:val="00034D5B"/>
    <w:rPr>
      <w:lang w:val="es-ES" w:eastAsia="es-ES"/>
    </w:rPr>
  </w:style>
  <w:style w:type="character" w:customStyle="1" w:styleId="SubttuloCar">
    <w:name w:val="Subtítulo Car"/>
    <w:basedOn w:val="Fuentedeprrafopredeter"/>
    <w:link w:val="Subttulo"/>
    <w:rsid w:val="00034D5B"/>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034D5B"/>
    <w:rPr>
      <w:lang w:val="es-ES" w:eastAsia="es-ES"/>
    </w:rPr>
  </w:style>
  <w:style w:type="character" w:customStyle="1" w:styleId="Textoindependiente2Car">
    <w:name w:val="Texto independiente 2 Car"/>
    <w:basedOn w:val="Fuentedeprrafopredeter"/>
    <w:link w:val="Textoindependiente2"/>
    <w:semiHidden/>
    <w:rsid w:val="00034D5B"/>
    <w:rPr>
      <w:lang w:val="es-ES" w:eastAsia="es-ES"/>
    </w:rPr>
  </w:style>
  <w:style w:type="character" w:customStyle="1" w:styleId="Textoindependiente3Car">
    <w:name w:val="Texto independiente 3 Car"/>
    <w:basedOn w:val="Fuentedeprrafopredeter"/>
    <w:link w:val="Textoindependiente3"/>
    <w:semiHidden/>
    <w:rsid w:val="00034D5B"/>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034D5B"/>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034D5B"/>
    <w:rPr>
      <w:lang w:val="es-ES" w:eastAsia="es-ES"/>
    </w:rPr>
  </w:style>
  <w:style w:type="character" w:customStyle="1" w:styleId="TextonotaalfinalCar">
    <w:name w:val="Texto nota al final Car"/>
    <w:aliases w:val="2_G Car"/>
    <w:basedOn w:val="Fuentedeprrafopredeter"/>
    <w:link w:val="Textonotaalfinal"/>
    <w:rsid w:val="00034D5B"/>
    <w:rPr>
      <w:sz w:val="18"/>
      <w:lang w:val="es-ES" w:eastAsia="es-ES"/>
    </w:rPr>
  </w:style>
  <w:style w:type="character" w:customStyle="1" w:styleId="TextosinformatoCar">
    <w:name w:val="Texto sin formato Car"/>
    <w:basedOn w:val="Fuentedeprrafopredeter"/>
    <w:link w:val="Textosinformato"/>
    <w:semiHidden/>
    <w:rsid w:val="00034D5B"/>
    <w:rPr>
      <w:rFonts w:ascii="Courier New" w:hAnsi="Courier New" w:cs="Courier New"/>
      <w:lang w:val="es-ES" w:eastAsia="es-ES"/>
    </w:rPr>
  </w:style>
  <w:style w:type="character" w:customStyle="1" w:styleId="TtuloCar">
    <w:name w:val="Título Car"/>
    <w:basedOn w:val="Fuentedeprrafopredeter"/>
    <w:link w:val="Ttulo"/>
    <w:rsid w:val="00034D5B"/>
    <w:rPr>
      <w:rFonts w:ascii="Arial" w:hAnsi="Arial" w:cs="Arial"/>
      <w:b/>
      <w:bCs/>
      <w:kern w:val="28"/>
      <w:sz w:val="32"/>
      <w:szCs w:val="32"/>
      <w:lang w:val="es-ES" w:eastAsia="es-ES"/>
    </w:rPr>
  </w:style>
  <w:style w:type="character" w:customStyle="1" w:styleId="SingleTxtGChar">
    <w:name w:val="_ Single Txt_G Char"/>
    <w:link w:val="SingleTxtG"/>
    <w:locked/>
    <w:rsid w:val="00034D5B"/>
    <w:rPr>
      <w:lang w:val="es-ES" w:eastAsia="es-ES"/>
    </w:rPr>
  </w:style>
  <w:style w:type="paragraph" w:styleId="Prrafodelista">
    <w:name w:val="List Paragraph"/>
    <w:basedOn w:val="Normal"/>
    <w:uiPriority w:val="34"/>
    <w:qFormat/>
    <w:rsid w:val="00034D5B"/>
    <w:pPr>
      <w:ind w:left="720"/>
      <w:contextualSpacing/>
    </w:pPr>
  </w:style>
  <w:style w:type="paragraph" w:styleId="Textocomentario">
    <w:name w:val="annotation text"/>
    <w:basedOn w:val="Normal"/>
    <w:link w:val="TextocomentarioCar"/>
    <w:unhideWhenUsed/>
    <w:rsid w:val="00034D5B"/>
    <w:pPr>
      <w:spacing w:line="240" w:lineRule="auto"/>
    </w:pPr>
    <w:rPr>
      <w:lang w:val="en-US" w:eastAsia="en-US"/>
    </w:rPr>
  </w:style>
  <w:style w:type="character" w:customStyle="1" w:styleId="TextocomentarioCar">
    <w:name w:val="Texto comentario Car"/>
    <w:basedOn w:val="Fuentedeprrafopredeter"/>
    <w:link w:val="Textocomentario"/>
    <w:rsid w:val="00034D5B"/>
    <w:rPr>
      <w:lang w:val="en-US" w:eastAsia="en-US"/>
    </w:rPr>
  </w:style>
  <w:style w:type="character" w:customStyle="1" w:styleId="SingleTxtGCar">
    <w:name w:val="_ Single Txt_G Car"/>
    <w:locked/>
    <w:rsid w:val="00034D5B"/>
    <w:rPr>
      <w:lang w:val="es-ES" w:eastAsia="es-ES"/>
    </w:rPr>
  </w:style>
  <w:style w:type="character" w:styleId="Refdecomentario">
    <w:name w:val="annotation reference"/>
    <w:basedOn w:val="Fuentedeprrafopredeter"/>
    <w:unhideWhenUsed/>
    <w:rsid w:val="00034D5B"/>
    <w:rPr>
      <w:sz w:val="16"/>
      <w:szCs w:val="16"/>
    </w:rPr>
  </w:style>
  <w:style w:type="character" w:customStyle="1" w:styleId="col-xs-12">
    <w:name w:val="col-xs-12"/>
    <w:basedOn w:val="Fuentedeprrafopredeter"/>
    <w:rsid w:val="0008265B"/>
  </w:style>
  <w:style w:type="character" w:customStyle="1" w:styleId="highlight">
    <w:name w:val="highlight"/>
    <w:basedOn w:val="Fuentedeprrafopredeter"/>
    <w:rsid w:val="0008265B"/>
  </w:style>
  <w:style w:type="paragraph" w:styleId="Asuntodelcomentario">
    <w:name w:val="annotation subject"/>
    <w:basedOn w:val="Textocomentario"/>
    <w:next w:val="Textocomentario"/>
    <w:link w:val="AsuntodelcomentarioCar"/>
    <w:semiHidden/>
    <w:unhideWhenUsed/>
    <w:rsid w:val="00B3293C"/>
    <w:rPr>
      <w:b/>
      <w:bCs/>
      <w:lang w:val="es-ES" w:eastAsia="es-ES"/>
    </w:rPr>
  </w:style>
  <w:style w:type="character" w:customStyle="1" w:styleId="AsuntodelcomentarioCar">
    <w:name w:val="Asunto del comentario Car"/>
    <w:basedOn w:val="TextocomentarioCar"/>
    <w:link w:val="Asuntodelcomentario"/>
    <w:semiHidden/>
    <w:rsid w:val="00B3293C"/>
    <w:rPr>
      <w:b/>
      <w:bCs/>
      <w:lang w:val="es-ES" w:eastAsia="es-ES"/>
    </w:rPr>
  </w:style>
  <w:style w:type="paragraph" w:styleId="Revisin">
    <w:name w:val="Revision"/>
    <w:hidden/>
    <w:uiPriority w:val="99"/>
    <w:semiHidden/>
    <w:rsid w:val="0042224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649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ERD\CERD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B4431-B3C8-4692-BFFF-3951B144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CERD_S.dotm</Template>
  <TotalTime>1</TotalTime>
  <Pages>8</Pages>
  <Words>3991</Words>
  <Characters>21951</Characters>
  <Application>Microsoft Office Word</Application>
  <DocSecurity>0</DocSecurity>
  <Lines>182</Lines>
  <Paragraphs>51</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CERD/C/CUB/CO/R.19-21</vt:lpstr>
      <vt:lpstr>CERD/C/CUB/CO/R.19-21</vt:lpstr>
      <vt:lpstr>CERD/C/CUB/CO/R.19-21</vt:lpstr>
    </vt:vector>
  </TitlesOfParts>
  <Company>DCM</Company>
  <LinksUpToDate>false</LinksUpToDate>
  <CharactersWithSpaces>25891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CERD/C/CUB/CO/19-21</dc:title>
  <dc:subject/>
  <dc:creator>OHCHR</dc:creator>
  <cp:keywords/>
  <dc:description/>
  <cp:lastModifiedBy>Maria De La Plaza</cp:lastModifiedBy>
  <cp:revision>3</cp:revision>
  <cp:lastPrinted>2018-09-20T11:28:00Z</cp:lastPrinted>
  <dcterms:created xsi:type="dcterms:W3CDTF">2018-09-20T11:28:00Z</dcterms:created>
  <dcterms:modified xsi:type="dcterms:W3CDTF">2018-09-20T11:29:00Z</dcterms:modified>
</cp:coreProperties>
</file>