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00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CERD</w:t>
            </w:r>
            <w:proofErr w:type="spellEnd"/>
            <w:r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r>
              <w:t>C/CUB/</w:t>
            </w:r>
            <w:proofErr w:type="spellStart"/>
            <w:r>
              <w:t>Q</w:t>
            </w:r>
            <w:proofErr w:type="spellEnd"/>
            <w:r>
              <w:t>/14-18</w:t>
            </w:r>
            <w:r>
              <w:fldChar w:fldCharType="end"/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Distr</w:t>
            </w:r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000000" w:rsidRDefault="00000000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 January 2011</w:t>
            </w:r>
          </w:p>
          <w:p w:rsidR="00000000" w:rsidRDefault="00000000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000000" w:rsidRDefault="00000000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bookmarkStart w:id="1" w:name="ПолеСоСписком2"/>
            <w:r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:rsidR="00000000" w:rsidRDefault="00000000"/>
        </w:tc>
      </w:tr>
    </w:tbl>
    <w:p w:rsidR="00000000" w:rsidRDefault="00000000">
      <w:pPr>
        <w:spacing w:before="120"/>
        <w:rPr>
          <w:b/>
          <w:sz w:val="24"/>
        </w:rPr>
      </w:pPr>
      <w:r>
        <w:rPr>
          <w:b/>
          <w:sz w:val="24"/>
        </w:rPr>
        <w:t>Комитет по ликвидации расовой дискриминации</w:t>
      </w:r>
    </w:p>
    <w:p w:rsidR="00000000" w:rsidRDefault="00000000">
      <w:pPr>
        <w:rPr>
          <w:b/>
        </w:rPr>
      </w:pPr>
      <w:r>
        <w:rPr>
          <w:b/>
        </w:rPr>
        <w:t>Семьдесят восьмая сессия</w:t>
      </w:r>
    </w:p>
    <w:p w:rsidR="00000000" w:rsidRDefault="00000000">
      <w:r>
        <w:t>14 февраля − 11 марта 2011 года</w:t>
      </w:r>
    </w:p>
    <w:p w:rsidR="00000000" w:rsidRDefault="0000000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Осуществление Международной конвенции о ликвидации всех форм расовой дискр</w:t>
      </w:r>
      <w:r>
        <w:t>и</w:t>
      </w:r>
      <w:r>
        <w:t>минации</w:t>
      </w:r>
    </w:p>
    <w:p w:rsidR="00000000" w:rsidRDefault="00000000">
      <w:pPr>
        <w:pStyle w:val="HChGR"/>
      </w:pPr>
      <w:r>
        <w:tab/>
      </w:r>
      <w:r>
        <w:tab/>
        <w:t>Перечень тем, которые следует затронуть при рассмотрении четырнадцатого−восемнадцатого объединенных периодических докладов Кубы (</w:t>
      </w:r>
      <w:r>
        <w:rPr>
          <w:lang w:val="es-ES"/>
        </w:rPr>
        <w:t>CERD</w:t>
      </w:r>
      <w:r>
        <w:t>/</w:t>
      </w:r>
      <w:r>
        <w:rPr>
          <w:lang w:val="es-ES"/>
        </w:rPr>
        <w:t>C</w:t>
      </w:r>
      <w:r>
        <w:t>/</w:t>
      </w:r>
      <w:r>
        <w:rPr>
          <w:lang w:val="es-ES"/>
        </w:rPr>
        <w:t>CUB</w:t>
      </w:r>
      <w:r>
        <w:t>/14-18)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000000" w:rsidRDefault="00000000">
            <w:pPr>
              <w:spacing w:after="120"/>
              <w:jc w:val="both"/>
            </w:pPr>
            <w:r>
              <w:tab/>
              <w:t>Ниже следует перечень тем, выделенных специальным докладчиком по стране в связи с рассмотрением четырнадцатого−восемнадцатого объедине</w:t>
            </w:r>
            <w:r>
              <w:t>н</w:t>
            </w:r>
            <w:r>
              <w:t>ных периодических докладов Кубы. Перечень составлен для того, чтобы сориент</w:t>
            </w:r>
            <w:r>
              <w:t>и</w:t>
            </w:r>
            <w:r>
              <w:t xml:space="preserve">ровать диалог между делегацией государства-участника и Комитетом и </w:t>
            </w:r>
            <w:r>
              <w:rPr>
                <w:i/>
              </w:rPr>
              <w:t>не тр</w:t>
            </w:r>
            <w:r>
              <w:rPr>
                <w:i/>
              </w:rPr>
              <w:t>е</w:t>
            </w:r>
            <w:r>
              <w:rPr>
                <w:i/>
              </w:rPr>
              <w:t>бует ответа в письменном виде</w:t>
            </w:r>
            <w:r>
              <w:t>. Этот перечень не является исчерпыва</w:t>
            </w:r>
            <w:r>
              <w:t>ю</w:t>
            </w:r>
            <w:r>
              <w:t>щим, поскольку в рамках диалога могут быть затронуты и другие вопр</w:t>
            </w:r>
            <w:r>
              <w:t>о</w:t>
            </w:r>
            <w:r>
              <w:t>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00000" w:rsidRDefault="00000000"/>
        </w:tc>
      </w:tr>
    </w:tbl>
    <w:p w:rsidR="00000000" w:rsidRDefault="00000000">
      <w:pPr>
        <w:pStyle w:val="H23GR"/>
      </w:pPr>
      <w:r>
        <w:rPr>
          <w:lang w:val="en-US"/>
        </w:rPr>
        <w:tab/>
      </w:r>
      <w:r>
        <w:t>1.</w:t>
      </w:r>
      <w:r>
        <w:tab/>
        <w:t>Меры, принятые для более точной оценки наличия и масштабов расовой дискриминации (статьи 2 и 4-6)</w:t>
      </w:r>
    </w:p>
    <w:p w:rsidR="00000000" w:rsidRDefault="00000000">
      <w:pPr>
        <w:pStyle w:val="SingleTxtGR"/>
      </w:pPr>
      <w:r>
        <w:tab/>
        <w:t>а)</w:t>
      </w:r>
      <w:r>
        <w:tab/>
        <w:t>Рассмотрение фактических показателей расовой дискриминации, указанных в общей рекомендации № 31 (2005) Комитета о предупреждении р</w:t>
      </w:r>
      <w:r>
        <w:t>а</w:t>
      </w:r>
      <w:r>
        <w:t>совой дискриминации в процессе отправления и функционирования системы уголовного правосудия, в частности:</w:t>
      </w:r>
    </w:p>
    <w:p w:rsidR="00000000" w:rsidRDefault="00000000">
      <w:pPr>
        <w:pStyle w:val="SingleTxtGR"/>
        <w:ind w:left="1701" w:hanging="567"/>
      </w:pPr>
      <w:r>
        <w:tab/>
        <w:t>i)</w:t>
      </w:r>
      <w:r>
        <w:tab/>
        <w:t>число и доля лиц, принадлежащих к расовым или этническим группам, ставших в рассматриваемый период жертвами насильственных дейс</w:t>
      </w:r>
      <w:r>
        <w:t>т</w:t>
      </w:r>
      <w:r>
        <w:t>вий или других нарушений;</w:t>
      </w:r>
    </w:p>
    <w:p w:rsidR="00000000" w:rsidRDefault="00000000">
      <w:pPr>
        <w:pStyle w:val="SingleTxtGR"/>
        <w:ind w:left="1701" w:hanging="567"/>
      </w:pPr>
      <w:r>
        <w:tab/>
        <w:t>ii)</w:t>
      </w:r>
      <w:r>
        <w:tab/>
        <w:t>отсутствие жалоб, судебных дел и приговоров, связанных с де</w:t>
      </w:r>
      <w:r>
        <w:t>я</w:t>
      </w:r>
      <w:r>
        <w:t>ниями р</w:t>
      </w:r>
      <w:r>
        <w:t>а</w:t>
      </w:r>
      <w:r>
        <w:t>совой дискриминации в стране (</w:t>
      </w:r>
      <w:r>
        <w:rPr>
          <w:lang w:val="es-ES"/>
        </w:rPr>
        <w:t>CERD</w:t>
      </w:r>
      <w:r>
        <w:t>/</w:t>
      </w:r>
      <w:r>
        <w:rPr>
          <w:lang w:val="es-ES"/>
        </w:rPr>
        <w:t>C</w:t>
      </w:r>
      <w:r>
        <w:t>/</w:t>
      </w:r>
      <w:r>
        <w:rPr>
          <w:lang w:val="es-ES"/>
        </w:rPr>
        <w:t>CUB</w:t>
      </w:r>
      <w:r>
        <w:t>/14-18, пункт 147);</w:t>
      </w:r>
    </w:p>
    <w:p w:rsidR="00000000" w:rsidRDefault="00000000">
      <w:pPr>
        <w:pStyle w:val="SingleTxtGR"/>
        <w:ind w:left="1701" w:hanging="567"/>
      </w:pPr>
      <w:r>
        <w:tab/>
        <w:t>iii)</w:t>
      </w:r>
      <w:r>
        <w:tab/>
        <w:t>статистические данные с разбивкой по возрасту, полу и этническ</w:t>
      </w:r>
      <w:r>
        <w:t>о</w:t>
      </w:r>
      <w:r>
        <w:t>му или расовому происхождению о лицах, лишенных свободы (</w:t>
      </w:r>
      <w:r>
        <w:rPr>
          <w:lang w:val="es-ES"/>
        </w:rPr>
        <w:t>CERD</w:t>
      </w:r>
      <w:r>
        <w:t>/</w:t>
      </w:r>
      <w:r>
        <w:rPr>
          <w:lang w:val="es-ES"/>
        </w:rPr>
        <w:t>C</w:t>
      </w:r>
      <w:r>
        <w:t>/</w:t>
      </w:r>
      <w:r>
        <w:rPr>
          <w:lang w:val="es-ES"/>
        </w:rPr>
        <w:t>CUB</w:t>
      </w:r>
      <w:r>
        <w:t>/14-18, пункт 104);</w:t>
      </w:r>
    </w:p>
    <w:p w:rsidR="00000000" w:rsidRDefault="00000000">
      <w:pPr>
        <w:pStyle w:val="SingleTxtGR"/>
        <w:ind w:left="1701" w:hanging="567"/>
      </w:pPr>
      <w:r>
        <w:tab/>
        <w:t>iv)</w:t>
      </w:r>
      <w:r>
        <w:tab/>
        <w:t>пропорционально более высокие показатели преступности среди лиц, принадлежащих к определенным расовым или этническим группам;</w:t>
      </w:r>
    </w:p>
    <w:p w:rsidR="00000000" w:rsidRDefault="00000000">
      <w:pPr>
        <w:pStyle w:val="SingleTxtGR"/>
      </w:pPr>
      <w:r>
        <w:tab/>
        <w:t>v)</w:t>
      </w:r>
      <w:r>
        <w:tab/>
        <w:t>этническая или расовая структура органов полиции и суда;</w:t>
      </w:r>
    </w:p>
    <w:p w:rsidR="00000000" w:rsidRDefault="00000000">
      <w:pPr>
        <w:pStyle w:val="SingleTxtGR"/>
      </w:pPr>
      <w:r>
        <w:tab/>
        <w:t>b)</w:t>
      </w:r>
      <w:r>
        <w:tab/>
        <w:t>Наличие и доступ к механизмам жалоб и судебной защиты от де</w:t>
      </w:r>
      <w:r>
        <w:t>я</w:t>
      </w:r>
      <w:r>
        <w:t>ний рас</w:t>
      </w:r>
      <w:r>
        <w:t>о</w:t>
      </w:r>
      <w:r>
        <w:t>вой дискриминации:</w:t>
      </w:r>
    </w:p>
    <w:p w:rsidR="00000000" w:rsidRDefault="00000000">
      <w:pPr>
        <w:pStyle w:val="SingleTxtGR"/>
        <w:ind w:left="1701" w:hanging="567"/>
      </w:pPr>
      <w:r>
        <w:tab/>
        <w:t>i)</w:t>
      </w:r>
      <w:r>
        <w:tab/>
        <w:t>конкретные меры, принятые или предусматриваемые для содейс</w:t>
      </w:r>
      <w:r>
        <w:t>т</w:t>
      </w:r>
      <w:r>
        <w:t>вия доступу к национальным механизмам рассмотрения жалоб на рас</w:t>
      </w:r>
      <w:r>
        <w:t>о</w:t>
      </w:r>
      <w:r>
        <w:t>вую дискриминацию. Информация о форме, в которой рассматриваются эти механизмы, и о помощи, оказываемой жертвам при рассмотрении ж</w:t>
      </w:r>
      <w:r>
        <w:t>а</w:t>
      </w:r>
      <w:r>
        <w:t>лоб;</w:t>
      </w:r>
    </w:p>
    <w:p w:rsidR="00000000" w:rsidRDefault="00000000">
      <w:pPr>
        <w:pStyle w:val="SingleTxtGR"/>
        <w:ind w:left="1701" w:hanging="567"/>
      </w:pPr>
      <w:r>
        <w:tab/>
        <w:t>ii)</w:t>
      </w:r>
      <w:r>
        <w:tab/>
        <w:t>меры по укреплению доверия потерпевших к полиции и судебным органам, обеспечение того, чтобы потерпевшие с ограниченными ресу</w:t>
      </w:r>
      <w:r>
        <w:t>р</w:t>
      </w:r>
      <w:r>
        <w:t>сами не опасались стоимости и сложности судебного процесса; защите потерпевших от общественного порицания и/или возмездия; а также по информированию полицейских и судебных органов о нарушениях по р</w:t>
      </w:r>
      <w:r>
        <w:t>а</w:t>
      </w:r>
      <w:r>
        <w:t>совым мотивам;</w:t>
      </w:r>
    </w:p>
    <w:p w:rsidR="00000000" w:rsidRDefault="00000000">
      <w:pPr>
        <w:pStyle w:val="SingleTxtGR"/>
        <w:ind w:left="1701" w:hanging="567"/>
      </w:pPr>
      <w:r>
        <w:tab/>
        <w:t>iii)</w:t>
      </w:r>
      <w:r>
        <w:tab/>
        <w:t>информация о том, является ли расовая мотивация нарушений отягчающим обстоятельством уголовной ответственности в уголовном законодательстве стр</w:t>
      </w:r>
      <w:r>
        <w:t>а</w:t>
      </w:r>
      <w:r>
        <w:t>ны;</w:t>
      </w:r>
    </w:p>
    <w:p w:rsidR="00000000" w:rsidRDefault="00000000">
      <w:pPr>
        <w:pStyle w:val="SingleTxtGR"/>
        <w:ind w:left="1701" w:hanging="567"/>
      </w:pPr>
      <w:r>
        <w:tab/>
        <w:t>iv)</w:t>
      </w:r>
      <w:r>
        <w:tab/>
        <w:t>меры, принятые для обеспечения права потерпевших на получение удовлетворения или справедливого или адекватного возмещения за л</w:t>
      </w:r>
      <w:r>
        <w:t>ю</w:t>
      </w:r>
      <w:r>
        <w:t>бой ущерб, причиненный в результате актов расовой дискриминации, в соответствии с п</w:t>
      </w:r>
      <w:r>
        <w:t>о</w:t>
      </w:r>
      <w:r>
        <w:t>ложениями статьи 6 Конвенции;</w:t>
      </w:r>
    </w:p>
    <w:p w:rsidR="00000000" w:rsidRDefault="00000000">
      <w:pPr>
        <w:pStyle w:val="SingleTxtGR"/>
        <w:ind w:left="1701" w:hanging="567"/>
      </w:pPr>
      <w:r>
        <w:tab/>
        <w:t>v)</w:t>
      </w:r>
      <w:r>
        <w:tab/>
        <w:t>наличие независимого органа, которому были бы поручены ко</w:t>
      </w:r>
      <w:r>
        <w:t>н</w:t>
      </w:r>
      <w:r>
        <w:t>троль, наблюдение и оценка успехов, достигнутых в борьбе с расовой дискриминацией, выявление скрытых явлений расовой дискриминации и выработка рекомендаций и пре</w:t>
      </w:r>
      <w:r>
        <w:t>д</w:t>
      </w:r>
      <w:r>
        <w:t>ложений относительно улучшений.</w:t>
      </w:r>
    </w:p>
    <w:p w:rsidR="00000000" w:rsidRDefault="00000000">
      <w:pPr>
        <w:pStyle w:val="H23GR"/>
      </w:pPr>
      <w:r>
        <w:tab/>
        <w:t>2.</w:t>
      </w:r>
      <w:r>
        <w:tab/>
        <w:t>Борьба с расовыми предрассудками и расовой дискриминацией во всех их формах (статьи 2, 5 и 7)</w:t>
      </w:r>
    </w:p>
    <w:p w:rsidR="00000000" w:rsidRDefault="00000000">
      <w:pPr>
        <w:pStyle w:val="SingleTxtGR"/>
      </w:pPr>
      <w:r>
        <w:tab/>
        <w:t>а)</w:t>
      </w:r>
      <w:r>
        <w:tab/>
        <w:t>Оценка программ обучения сотрудников Национальной революц</w:t>
      </w:r>
      <w:r>
        <w:t>и</w:t>
      </w:r>
      <w:r>
        <w:t>онной полиции (</w:t>
      </w:r>
      <w:r>
        <w:rPr>
          <w:lang w:val="es-ES"/>
        </w:rPr>
        <w:t>CERD</w:t>
      </w:r>
      <w:r>
        <w:t>/</w:t>
      </w:r>
      <w:r>
        <w:rPr>
          <w:lang w:val="es-ES"/>
        </w:rPr>
        <w:t>C</w:t>
      </w:r>
      <w:r>
        <w:t>/</w:t>
      </w:r>
      <w:r>
        <w:rPr>
          <w:lang w:val="es-ES"/>
        </w:rPr>
        <w:t>CUB</w:t>
      </w:r>
      <w:r>
        <w:t>/14-18, пункты 407-414) и других должностных лиц правоохранительных органов в области прав человека, в частности в в</w:t>
      </w:r>
      <w:r>
        <w:t>о</w:t>
      </w:r>
      <w:r>
        <w:t>просе о положениях Конвенции и Кодекса поведения должностных лиц по по</w:t>
      </w:r>
      <w:r>
        <w:t>д</w:t>
      </w:r>
      <w:r>
        <w:t>держанию правопорядка (утвержденного Генеральной Ассамблеей в своей р</w:t>
      </w:r>
      <w:r>
        <w:t>е</w:t>
      </w:r>
      <w:r>
        <w:t>золюции 34/169 от 17 декабря 1979 г</w:t>
      </w:r>
      <w:r>
        <w:t>о</w:t>
      </w:r>
      <w:r>
        <w:t>да);</w:t>
      </w:r>
    </w:p>
    <w:p w:rsidR="00000000" w:rsidRDefault="00000000">
      <w:pPr>
        <w:pStyle w:val="SingleTxtGR"/>
      </w:pPr>
      <w:r>
        <w:tab/>
        <w:t>b)</w:t>
      </w:r>
      <w:r>
        <w:tab/>
        <w:t>Механизмы профилактики дискриминационных действий со стор</w:t>
      </w:r>
      <w:r>
        <w:t>о</w:t>
      </w:r>
      <w:r>
        <w:t>ны с</w:t>
      </w:r>
      <w:r>
        <w:t>о</w:t>
      </w:r>
      <w:r>
        <w:t>трудников органов полиции;</w:t>
      </w:r>
    </w:p>
    <w:p w:rsidR="00000000" w:rsidRDefault="00000000">
      <w:pPr>
        <w:pStyle w:val="SingleTxtGR"/>
      </w:pPr>
      <w:r>
        <w:tab/>
        <w:t>с)</w:t>
      </w:r>
      <w:r>
        <w:tab/>
        <w:t>Примеры конкретных мер, принятых в образовательной сфере, по изживанию предрассудков, которые способны привести к расовой дискримин</w:t>
      </w:r>
      <w:r>
        <w:t>а</w:t>
      </w:r>
      <w:r>
        <w:t>ции (</w:t>
      </w:r>
      <w:r>
        <w:rPr>
          <w:lang w:val="es-ES"/>
        </w:rPr>
        <w:t>CERD</w:t>
      </w:r>
      <w:r>
        <w:t>/</w:t>
      </w:r>
      <w:r>
        <w:rPr>
          <w:lang w:val="es-ES"/>
        </w:rPr>
        <w:t>C</w:t>
      </w:r>
      <w:r>
        <w:t>/</w:t>
      </w:r>
      <w:r>
        <w:rPr>
          <w:lang w:val="es-ES"/>
        </w:rPr>
        <w:t>CUB</w:t>
      </w:r>
      <w:r>
        <w:t>/14-18, пункты 332-364);</w:t>
      </w:r>
    </w:p>
    <w:p w:rsidR="00000000" w:rsidRDefault="00000000">
      <w:pPr>
        <w:pStyle w:val="SingleTxtGR"/>
      </w:pPr>
      <w:r>
        <w:tab/>
        <w:t>d)</w:t>
      </w:r>
      <w:r>
        <w:tab/>
        <w:t>Информация о планах доступа и других мерах, которые могли быть прин</w:t>
      </w:r>
      <w:r>
        <w:t>я</w:t>
      </w:r>
      <w:r>
        <w:t>ты по применению Дурбанской декларации и Программы действий в масштабах страны, а также о деятельности по распространению, осуществле</w:t>
      </w:r>
      <w:r>
        <w:t>н</w:t>
      </w:r>
      <w:r>
        <w:t>ной в этой связи в рассматриваемый период (</w:t>
      </w:r>
      <w:r>
        <w:rPr>
          <w:lang w:val="es-ES"/>
        </w:rPr>
        <w:t>CERD</w:t>
      </w:r>
      <w:r>
        <w:t>/</w:t>
      </w:r>
      <w:r>
        <w:rPr>
          <w:lang w:val="es-ES"/>
        </w:rPr>
        <w:t>C</w:t>
      </w:r>
      <w:r>
        <w:t>/</w:t>
      </w:r>
      <w:r>
        <w:rPr>
          <w:lang w:val="es-ES"/>
        </w:rPr>
        <w:t>CUB</w:t>
      </w:r>
      <w:r>
        <w:t>/14-18, пун</w:t>
      </w:r>
      <w:r>
        <w:t>к</w:t>
      </w:r>
      <w:r>
        <w:t>ты 117−119). Информация о программе деятельности и инициативах, пред</w:t>
      </w:r>
      <w:r>
        <w:t>у</w:t>
      </w:r>
      <w:r>
        <w:t>смотренных в ходе 2011 года в связи с проведением Международного года лиц африканского происхождения (резолюция 64/169 Генеральной Ассамблеи от 18 декабря 2009 года);</w:t>
      </w:r>
    </w:p>
    <w:p w:rsidR="00000000" w:rsidRDefault="00000000">
      <w:pPr>
        <w:pStyle w:val="SingleTxtGR"/>
      </w:pPr>
      <w:r>
        <w:tab/>
        <w:t>е)</w:t>
      </w:r>
      <w:r>
        <w:tab/>
        <w:t>Использование и применение информации переписей, в частности информ</w:t>
      </w:r>
      <w:r>
        <w:t>а</w:t>
      </w:r>
      <w:r>
        <w:t>ции о проведении обследований после переписи.</w:t>
      </w:r>
    </w:p>
    <w:p w:rsidR="00000000" w:rsidRDefault="00000000">
      <w:pPr>
        <w:pStyle w:val="H23GR"/>
      </w:pPr>
      <w:r>
        <w:tab/>
        <w:t>3.</w:t>
      </w:r>
      <w:r>
        <w:tab/>
        <w:t>Положение беженцев, просителей убежища и других неграждан</w:t>
      </w:r>
      <w:r>
        <w:br/>
        <w:t>(статьи 2, 5 и 6)</w:t>
      </w:r>
    </w:p>
    <w:p w:rsidR="00000000" w:rsidRDefault="00000000">
      <w:pPr>
        <w:pStyle w:val="SingleTxtGR"/>
      </w:pPr>
      <w:r>
        <w:tab/>
        <w:t>а)</w:t>
      </w:r>
      <w:r>
        <w:tab/>
        <w:t>Число беженцев, просителей убежища и других неграждан, таких как иммигранты без документов или апатриды, находящиеся на территории г</w:t>
      </w:r>
      <w:r>
        <w:t>о</w:t>
      </w:r>
      <w:r>
        <w:t>сударства-участника (</w:t>
      </w:r>
      <w:r>
        <w:rPr>
          <w:lang w:val="es-ES"/>
        </w:rPr>
        <w:t>CERD</w:t>
      </w:r>
      <w:r>
        <w:t>/</w:t>
      </w:r>
      <w:r>
        <w:rPr>
          <w:lang w:val="es-ES"/>
        </w:rPr>
        <w:t>C</w:t>
      </w:r>
      <w:r>
        <w:t>/</w:t>
      </w:r>
      <w:r>
        <w:rPr>
          <w:lang w:val="es-ES"/>
        </w:rPr>
        <w:t>CUB</w:t>
      </w:r>
      <w:r>
        <w:t>/14-18, пункт 2);</w:t>
      </w:r>
    </w:p>
    <w:p w:rsidR="00000000" w:rsidRDefault="00000000">
      <w:pPr>
        <w:pStyle w:val="SingleTxtGR"/>
      </w:pPr>
      <w:r>
        <w:tab/>
        <w:t>b)</w:t>
      </w:r>
      <w:r>
        <w:tab/>
        <w:t>Ныне действующее законодательство в области иммиграции, стат</w:t>
      </w:r>
      <w:r>
        <w:t>у</w:t>
      </w:r>
      <w:r>
        <w:t>са иностранцев, убежища и гражданства (</w:t>
      </w:r>
      <w:r>
        <w:rPr>
          <w:lang w:val="es-ES"/>
        </w:rPr>
        <w:t>CERD</w:t>
      </w:r>
      <w:r>
        <w:t>/</w:t>
      </w:r>
      <w:r>
        <w:rPr>
          <w:lang w:val="es-ES"/>
        </w:rPr>
        <w:t>C</w:t>
      </w:r>
      <w:r>
        <w:t>/</w:t>
      </w:r>
      <w:r>
        <w:rPr>
          <w:lang w:val="es-ES"/>
        </w:rPr>
        <w:t>CUB</w:t>
      </w:r>
      <w:r>
        <w:t>/14-18, пункт 94). Во</w:t>
      </w:r>
      <w:r>
        <w:t>з</w:t>
      </w:r>
      <w:r>
        <w:t>можности местной интеграции лиц, нуждающихся в международной защите, находящихся на террит</w:t>
      </w:r>
      <w:r>
        <w:t>о</w:t>
      </w:r>
      <w:r>
        <w:t>рии государства-участника.</w:t>
      </w:r>
    </w:p>
    <w:p w:rsidR="00000000" w:rsidRDefault="000000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GE.11-40320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GE.11-40320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-40320  (R)  040211  040211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CERD/C/CUB/Q/14-18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CERD/C/CUB/Q/14-18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3</Pages>
  <Words>786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1140320</vt:lpstr>
    </vt:vector>
  </TitlesOfParts>
  <Company>CSD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1140320</dc:title>
  <dc:subject/>
  <dc:creator>Tatiana Chvets</dc:creator>
  <cp:keywords/>
  <dc:description/>
  <cp:lastModifiedBy>Tatiana Chvets</cp:lastModifiedBy>
  <cp:revision>2</cp:revision>
  <cp:lastPrinted>2011-02-04T07:36:00Z</cp:lastPrinted>
  <dcterms:created xsi:type="dcterms:W3CDTF">2011-02-04T07:42:00Z</dcterms:created>
  <dcterms:modified xsi:type="dcterms:W3CDTF">2011-02-04T07:42:00Z</dcterms:modified>
</cp:coreProperties>
</file>