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792F1418" w14:textId="77777777" w:rsidTr="0054149D">
        <w:trPr>
          <w:trHeight w:hRule="exact" w:val="851"/>
        </w:trPr>
        <w:tc>
          <w:tcPr>
            <w:tcW w:w="1274" w:type="dxa"/>
            <w:tcBorders>
              <w:bottom w:val="single" w:sz="4" w:space="0" w:color="auto"/>
            </w:tcBorders>
          </w:tcPr>
          <w:p w14:paraId="2480D1FB" w14:textId="77777777" w:rsidR="006B3E27" w:rsidRPr="00911B4A" w:rsidRDefault="006B3E27" w:rsidP="00A5587E">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7D044DD7" w14:textId="77777777" w:rsidR="006B3E27" w:rsidRPr="003D767A" w:rsidRDefault="006B3E27" w:rsidP="00803632">
            <w:pPr>
              <w:spacing w:after="80" w:line="480" w:lineRule="exact"/>
              <w:ind w:left="57"/>
              <w:jc w:val="left"/>
              <w:rPr>
                <w:sz w:val="30"/>
                <w:szCs w:val="30"/>
                <w:rtl/>
              </w:rPr>
            </w:pPr>
            <w:r w:rsidRPr="003D767A">
              <w:rPr>
                <w:rFonts w:hint="cs"/>
                <w:sz w:val="30"/>
                <w:szCs w:val="30"/>
                <w:rtl/>
              </w:rPr>
              <w:t>الأمم المتحدة</w:t>
            </w:r>
          </w:p>
        </w:tc>
        <w:tc>
          <w:tcPr>
            <w:tcW w:w="4111" w:type="dxa"/>
            <w:tcBorders>
              <w:bottom w:val="single" w:sz="4" w:space="0" w:color="auto"/>
            </w:tcBorders>
            <w:vAlign w:val="bottom"/>
          </w:tcPr>
          <w:p w14:paraId="292B3222" w14:textId="146FD74D" w:rsidR="006B3E27" w:rsidRPr="00314136" w:rsidRDefault="00314136" w:rsidP="00314136">
            <w:pPr>
              <w:bidi w:val="0"/>
              <w:jc w:val="left"/>
            </w:pPr>
            <w:r w:rsidRPr="00360BE8">
              <w:rPr>
                <w:sz w:val="40"/>
              </w:rPr>
              <w:t>CRPD</w:t>
            </w:r>
            <w:r w:rsidRPr="00360BE8">
              <w:t>/C/</w:t>
            </w:r>
            <w:r w:rsidRPr="006A34DD">
              <w:t>26</w:t>
            </w:r>
            <w:r w:rsidRPr="00360BE8">
              <w:t>/</w:t>
            </w:r>
            <w:r w:rsidRPr="006A34DD">
              <w:t>2</w:t>
            </w:r>
          </w:p>
        </w:tc>
      </w:tr>
      <w:tr w:rsidR="006B3E27" w:rsidRPr="003D767A" w14:paraId="4B7401A2" w14:textId="77777777" w:rsidTr="0054149D">
        <w:trPr>
          <w:trHeight w:hRule="exact" w:val="2835"/>
        </w:trPr>
        <w:tc>
          <w:tcPr>
            <w:tcW w:w="1274" w:type="dxa"/>
            <w:tcBorders>
              <w:top w:val="single" w:sz="4" w:space="0" w:color="auto"/>
              <w:bottom w:val="single" w:sz="12" w:space="0" w:color="auto"/>
            </w:tcBorders>
          </w:tcPr>
          <w:p w14:paraId="1E22E371" w14:textId="77777777" w:rsidR="006B3E27" w:rsidRPr="003D767A" w:rsidRDefault="0059622A" w:rsidP="0054149D">
            <w:pPr>
              <w:jc w:val="center"/>
              <w:rPr>
                <w:sz w:val="56"/>
                <w:szCs w:val="56"/>
                <w:rtl/>
              </w:rPr>
            </w:pPr>
            <w:r w:rsidRPr="003D767A">
              <w:rPr>
                <w:noProof/>
                <w:sz w:val="56"/>
                <w:szCs w:val="56"/>
              </w:rPr>
              <w:drawing>
                <wp:inline distT="0" distB="0" distL="0" distR="0" wp14:anchorId="1A4A3717" wp14:editId="2C302E8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3B7C304E" w14:textId="77777777" w:rsidR="006B3E27" w:rsidRPr="006A34DD" w:rsidRDefault="00606EDF" w:rsidP="00803632">
            <w:pPr>
              <w:spacing w:before="120" w:after="40" w:line="640" w:lineRule="exact"/>
              <w:ind w:left="57"/>
              <w:jc w:val="left"/>
              <w:rPr>
                <w:b/>
                <w:bCs/>
                <w:sz w:val="50"/>
                <w:szCs w:val="50"/>
                <w:rtl/>
              </w:rPr>
            </w:pPr>
            <w:r w:rsidRPr="006A34DD">
              <w:rPr>
                <w:rFonts w:hint="cs"/>
                <w:b/>
                <w:bCs/>
                <w:sz w:val="50"/>
                <w:szCs w:val="50"/>
                <w:rtl/>
              </w:rPr>
              <w:t>اتفاق</w:t>
            </w:r>
            <w:r w:rsidR="007541BA" w:rsidRPr="006A34DD">
              <w:rPr>
                <w:rFonts w:hint="cs"/>
                <w:b/>
                <w:bCs/>
                <w:sz w:val="50"/>
                <w:szCs w:val="50"/>
                <w:rtl/>
              </w:rPr>
              <w:t>ية</w:t>
            </w:r>
            <w:r w:rsidRPr="006A34DD">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4372DC21" w14:textId="5C33381E" w:rsidR="006B3E27" w:rsidRDefault="00314136" w:rsidP="00397C83">
            <w:pPr>
              <w:bidi w:val="0"/>
              <w:spacing w:before="240"/>
              <w:jc w:val="left"/>
            </w:pPr>
            <w:r>
              <w:t>Dist</w:t>
            </w:r>
            <w:r w:rsidR="00360BE8" w:rsidRPr="00360BE8">
              <w:rPr>
                <w:color w:val="000000"/>
              </w:rPr>
              <w:t>r.:</w:t>
            </w:r>
            <w:r>
              <w:t xml:space="preserve"> General</w:t>
            </w:r>
          </w:p>
          <w:p w14:paraId="4AF7D612" w14:textId="61984978" w:rsidR="00314136" w:rsidRDefault="00551F9E" w:rsidP="00314136">
            <w:pPr>
              <w:bidi w:val="0"/>
              <w:spacing w:line="240" w:lineRule="exact"/>
              <w:jc w:val="left"/>
            </w:pPr>
            <w:r w:rsidRPr="006A34DD">
              <w:t>27</w:t>
            </w:r>
            <w:r>
              <w:t xml:space="preserve"> May </w:t>
            </w:r>
            <w:r w:rsidR="00314136" w:rsidRPr="006A34DD">
              <w:t>2022</w:t>
            </w:r>
          </w:p>
          <w:p w14:paraId="46559BA2" w14:textId="77777777" w:rsidR="00314136" w:rsidRDefault="00314136" w:rsidP="00314136">
            <w:pPr>
              <w:bidi w:val="0"/>
              <w:spacing w:line="240" w:lineRule="exact"/>
              <w:jc w:val="left"/>
            </w:pPr>
            <w:r>
              <w:t>Arabic</w:t>
            </w:r>
          </w:p>
          <w:p w14:paraId="2655FA67" w14:textId="7B6429F2" w:rsidR="00314136" w:rsidRPr="00314136" w:rsidRDefault="00314136" w:rsidP="00314136">
            <w:pPr>
              <w:bidi w:val="0"/>
              <w:spacing w:line="240" w:lineRule="exact"/>
              <w:jc w:val="left"/>
            </w:pPr>
            <w:r>
              <w:t>Origina</w:t>
            </w:r>
            <w:r w:rsidR="00360BE8" w:rsidRPr="00360BE8">
              <w:rPr>
                <w:color w:val="000000"/>
              </w:rPr>
              <w:t xml:space="preserve">l: </w:t>
            </w:r>
            <w:r>
              <w:t>English</w:t>
            </w:r>
          </w:p>
        </w:tc>
      </w:tr>
    </w:tbl>
    <w:p w14:paraId="078C1E31" w14:textId="77777777" w:rsidR="00551F9E" w:rsidRPr="006A34DD" w:rsidRDefault="00551F9E" w:rsidP="001C6B44">
      <w:pPr>
        <w:spacing w:before="120" w:line="360" w:lineRule="exact"/>
        <w:textDirection w:val="tbRlV"/>
        <w:rPr>
          <w:b/>
          <w:bCs/>
          <w:sz w:val="26"/>
          <w:szCs w:val="26"/>
          <w:lang w:val="ar-SA" w:eastAsia="zh-TW" w:bidi="en-GB"/>
        </w:rPr>
      </w:pPr>
      <w:r w:rsidRPr="006A34DD">
        <w:rPr>
          <w:b/>
          <w:bCs/>
          <w:sz w:val="26"/>
          <w:szCs w:val="26"/>
          <w:rtl/>
        </w:rPr>
        <w:t>اللجنة المعنية بحقوق الأشخاص ذوي الإعاقة</w:t>
      </w:r>
    </w:p>
    <w:p w14:paraId="773B0F60" w14:textId="68EFCC0B" w:rsidR="00360BE8" w:rsidRPr="00A557F5" w:rsidRDefault="00551F9E" w:rsidP="001C6B44">
      <w:pPr>
        <w:pStyle w:val="HChGA"/>
      </w:pPr>
      <w:r w:rsidRPr="00A557F5">
        <w:rPr>
          <w:rtl/>
        </w:rPr>
        <w:tab/>
      </w:r>
      <w:r w:rsidRPr="00A557F5">
        <w:rPr>
          <w:rtl/>
        </w:rPr>
        <w:tab/>
        <w:t>تقرير اللجنة المعنية بحقوق الأشخاص ذوي الإعاقة عن دورتها السادسة والعشرين (7-25 آذار/مارس202</w:t>
      </w:r>
      <w:r w:rsidR="00360BE8" w:rsidRPr="00A557F5">
        <w:rPr>
          <w:rtl/>
        </w:rPr>
        <w:t>2)</w:t>
      </w:r>
    </w:p>
    <w:p w14:paraId="2BCC26BC" w14:textId="2FC9BBC7" w:rsidR="00551F9E" w:rsidRPr="00A557F5" w:rsidRDefault="001C6B44" w:rsidP="001C6B44">
      <w:pPr>
        <w:pStyle w:val="HChGA"/>
      </w:pPr>
      <w:r w:rsidRPr="00A557F5">
        <w:rPr>
          <w:rtl/>
        </w:rPr>
        <w:tab/>
      </w:r>
      <w:r w:rsidR="00551F9E" w:rsidRPr="00A557F5">
        <w:rPr>
          <w:rtl/>
        </w:rPr>
        <w:t>أولا</w:t>
      </w:r>
      <w:r w:rsidRPr="00A557F5">
        <w:rPr>
          <w:rFonts w:hint="cs"/>
          <w:rtl/>
        </w:rPr>
        <w:t>ً</w:t>
      </w:r>
      <w:r w:rsidR="00551F9E" w:rsidRPr="00A557F5">
        <w:rPr>
          <w:rtl/>
        </w:rPr>
        <w:t>-</w:t>
      </w:r>
      <w:r w:rsidR="00551F9E" w:rsidRPr="00A557F5">
        <w:rPr>
          <w:rtl/>
        </w:rPr>
        <w:tab/>
        <w:t>الدول الأطراف في الاتفاقية والبروتوكول الاختياري الملحق بها</w:t>
      </w:r>
    </w:p>
    <w:p w14:paraId="51F6C23A" w14:textId="77777777" w:rsidR="00551F9E" w:rsidRPr="00A557F5" w:rsidRDefault="00551F9E" w:rsidP="001C6B44">
      <w:pPr>
        <w:pStyle w:val="SingleTxtGA"/>
      </w:pPr>
      <w:r w:rsidRPr="00A557F5">
        <w:rPr>
          <w:rtl/>
        </w:rPr>
        <w:t>1-</w:t>
      </w:r>
      <w:r w:rsidRPr="00A557F5">
        <w:rPr>
          <w:rtl/>
        </w:rPr>
        <w:tab/>
        <w:t xml:space="preserve">في 25 آذار/مارس 2022، تاريخ اختتام الدورة السادسة والعشرين، كان عدد الدول الأطراف في اتفاقية حقوق الأشخاص ذوي الإعاقة 184 دولة، وعدد الدول الأطراف في البروتوكول الاختياري للاتفاقية 100 دولة. ويمكن الاطلاع على قائمتي الدول الأطراف في هذين الصكين في الموقع الشبكي لمكتب الشؤون القانونية التابع للأمانة العامة. </w:t>
      </w:r>
    </w:p>
    <w:p w14:paraId="0286134D" w14:textId="17F059AD" w:rsidR="00551F9E" w:rsidRPr="006A34DD" w:rsidRDefault="001C6B44" w:rsidP="001C6B44">
      <w:pPr>
        <w:pStyle w:val="HChGA"/>
        <w:rPr>
          <w:lang w:val="ar-SA" w:eastAsia="zh-TW" w:bidi="en-GB"/>
        </w:rPr>
      </w:pPr>
      <w:r w:rsidRPr="006A34DD">
        <w:rPr>
          <w:rtl/>
        </w:rPr>
        <w:tab/>
      </w:r>
      <w:r w:rsidR="00551F9E" w:rsidRPr="006A34DD">
        <w:rPr>
          <w:rtl/>
        </w:rPr>
        <w:t>ثانيا</w:t>
      </w:r>
      <w:r w:rsidRPr="006A34DD">
        <w:rPr>
          <w:rFonts w:hint="cs"/>
          <w:rtl/>
        </w:rPr>
        <w:t>ً</w:t>
      </w:r>
      <w:r w:rsidR="00551F9E" w:rsidRPr="006A34DD">
        <w:rPr>
          <w:rtl/>
        </w:rPr>
        <w:t>-</w:t>
      </w:r>
      <w:r w:rsidR="00551F9E" w:rsidRPr="006A34DD">
        <w:rPr>
          <w:rtl/>
        </w:rPr>
        <w:tab/>
        <w:t>افتتاح الدورة السادسة والعشرين للجنة</w:t>
      </w:r>
    </w:p>
    <w:p w14:paraId="6C9F177C"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2</w:t>
      </w:r>
      <w:r w:rsidRPr="001C6B44">
        <w:rPr>
          <w:rFonts w:eastAsiaTheme="minorEastAsia"/>
          <w:rtl/>
        </w:rPr>
        <w:t>-</w:t>
      </w:r>
      <w:r w:rsidRPr="001C6B44">
        <w:rPr>
          <w:rFonts w:eastAsiaTheme="minorEastAsia"/>
          <w:rtl/>
        </w:rPr>
        <w:tab/>
        <w:t xml:space="preserve">افتُتحت الدورة السادسة والعشرون في جلسة عامة بكلمة ترحيب أدلى بها رئيس قسم الفئات موضع التركيز وفرع معاهدات حقوق الإنسان وآليات المعاهدات بمفوضية الأمم المتحدة السامية لحقوق الإنسان. ويمكن الاطلاع على كلمة الترحيب في موقع اللجنة على الإنترنت. </w:t>
      </w:r>
    </w:p>
    <w:p w14:paraId="2E54D7D4" w14:textId="3C05462F" w:rsidR="00551F9E" w:rsidRPr="001C6B44" w:rsidRDefault="00551F9E" w:rsidP="001C6B44">
      <w:pPr>
        <w:pStyle w:val="SingleTxtGA"/>
        <w:rPr>
          <w:rFonts w:eastAsiaTheme="minorEastAsia"/>
          <w:lang w:val="en-US" w:eastAsia="zh-TW" w:bidi="en-GB"/>
        </w:rPr>
      </w:pPr>
      <w:r w:rsidRPr="006A34DD">
        <w:rPr>
          <w:rFonts w:eastAsiaTheme="minorEastAsia"/>
          <w:rtl/>
        </w:rPr>
        <w:t>3</w:t>
      </w:r>
      <w:r w:rsidRPr="001C6B44">
        <w:rPr>
          <w:rFonts w:eastAsiaTheme="minorEastAsia"/>
          <w:rtl/>
        </w:rPr>
        <w:t>-</w:t>
      </w:r>
      <w:r w:rsidRPr="001C6B44">
        <w:rPr>
          <w:rFonts w:eastAsiaTheme="minorEastAsia"/>
          <w:rtl/>
        </w:rPr>
        <w:tab/>
        <w:t xml:space="preserve">وأدلت رئيسة اللجنة بملاحظات افتتاحية شددت فيها على قلق اللجنة إزاء حالة الأشخاص ذوي الإعاقة في سياق حالات الطوارئ الإنسانية، ولا سيما في سياق الهجوم العسكري على أوكرانيا. وأشارت الرئيسة إلى انضمام اللجنة في </w:t>
      </w:r>
      <w:r w:rsidRPr="006A34DD">
        <w:rPr>
          <w:rFonts w:eastAsiaTheme="minorEastAsia"/>
          <w:rtl/>
        </w:rPr>
        <w:t>28</w:t>
      </w:r>
      <w:r w:rsidRPr="001C6B44">
        <w:rPr>
          <w:rFonts w:eastAsiaTheme="minorEastAsia"/>
          <w:rtl/>
        </w:rPr>
        <w:t xml:space="preserve"> شباط/فبراير </w:t>
      </w:r>
      <w:r w:rsidRPr="006A34DD">
        <w:rPr>
          <w:rFonts w:eastAsiaTheme="minorEastAsia"/>
          <w:rtl/>
        </w:rPr>
        <w:t>2022</w:t>
      </w:r>
      <w:r w:rsidRPr="001C6B44">
        <w:rPr>
          <w:rFonts w:eastAsiaTheme="minorEastAsia"/>
          <w:rtl/>
        </w:rPr>
        <w:t xml:space="preserve"> إلى العديد من خبراء حقوق الإنسان لدعوة الاتحاد الروسي إلى الإنهاء الفوري لعدوانه على أوكرانيا ووقف اعتدائه العسكري غير الضروري وغير المبرر على ذلك البلد، وكررت النقاط الرئيسية لهذا البيان المشترك</w:t>
      </w:r>
      <w:r w:rsidR="00360BE8" w:rsidRPr="006A34DD">
        <w:rPr>
          <w:rStyle w:val="FootnoteReference"/>
          <w:szCs w:val="22"/>
          <w:rtl/>
        </w:rPr>
        <w:t>(</w:t>
      </w:r>
      <w:r w:rsidR="00360BE8" w:rsidRPr="006A34DD">
        <w:rPr>
          <w:rStyle w:val="FootnoteReference"/>
          <w:szCs w:val="22"/>
          <w:lang w:val="en-US"/>
        </w:rPr>
        <w:footnoteReference w:id="1"/>
      </w:r>
      <w:r w:rsidR="00360BE8" w:rsidRPr="006A34DD">
        <w:rPr>
          <w:rStyle w:val="FootnoteReference"/>
          <w:color w:val="000000"/>
          <w:szCs w:val="22"/>
          <w:rtl/>
        </w:rPr>
        <w:t>)</w:t>
      </w:r>
      <w:r w:rsidR="00360BE8" w:rsidRPr="00360BE8">
        <w:rPr>
          <w:rFonts w:eastAsiaTheme="minorEastAsia" w:hint="cs"/>
          <w:color w:val="000000"/>
          <w:rtl/>
        </w:rPr>
        <w:t>.</w:t>
      </w:r>
      <w:r w:rsidR="00360BE8" w:rsidRPr="00360BE8">
        <w:rPr>
          <w:rFonts w:eastAsiaTheme="minorEastAsia"/>
          <w:color w:val="000000"/>
          <w:rtl/>
        </w:rPr>
        <w:t xml:space="preserve"> </w:t>
      </w:r>
      <w:r w:rsidRPr="001C6B44">
        <w:rPr>
          <w:rFonts w:eastAsiaTheme="minorEastAsia"/>
          <w:rtl/>
        </w:rPr>
        <w:t>وقدمت الرئيسة تقريراً شفوياً عن أنشطة ما</w:t>
      </w:r>
      <w:r w:rsidR="00BF23DF">
        <w:rPr>
          <w:rFonts w:eastAsiaTheme="minorEastAsia" w:hint="cs"/>
          <w:rtl/>
        </w:rPr>
        <w:t> </w:t>
      </w:r>
      <w:r w:rsidRPr="001C6B44">
        <w:rPr>
          <w:rFonts w:eastAsiaTheme="minorEastAsia"/>
          <w:rtl/>
        </w:rPr>
        <w:t>بين الدورات، وهو متاح أيضاً في الموقع الشبكي للجنة.</w:t>
      </w:r>
    </w:p>
    <w:p w14:paraId="2B9AC442" w14:textId="084E1EB7" w:rsidR="00360BE8" w:rsidRPr="00360BE8" w:rsidRDefault="00551F9E" w:rsidP="001C6B44">
      <w:pPr>
        <w:pStyle w:val="SingleTxtGA"/>
        <w:rPr>
          <w:rStyle w:val="FootnoteReference"/>
          <w:rFonts w:eastAsiaTheme="minorEastAsia"/>
          <w:color w:val="000000"/>
          <w:szCs w:val="22"/>
          <w:lang w:val="ar-SA" w:eastAsia="zh-TW" w:bidi="en-GB"/>
        </w:rPr>
      </w:pPr>
      <w:r w:rsidRPr="006A34DD">
        <w:rPr>
          <w:rFonts w:eastAsiaTheme="minorEastAsia"/>
          <w:rtl/>
        </w:rPr>
        <w:t>4</w:t>
      </w:r>
      <w:r w:rsidR="00147269">
        <w:rPr>
          <w:rFonts w:eastAsiaTheme="minorEastAsia"/>
          <w:rtl/>
        </w:rPr>
        <w:t>-</w:t>
      </w:r>
      <w:r w:rsidR="00147269">
        <w:rPr>
          <w:rFonts w:eastAsiaTheme="minorEastAsia"/>
          <w:rtl/>
        </w:rPr>
        <w:tab/>
      </w:r>
      <w:r w:rsidRPr="001C6B44">
        <w:rPr>
          <w:rFonts w:eastAsiaTheme="minorEastAsia"/>
          <w:rtl/>
        </w:rPr>
        <w:t>واستعرضت اللجنة جدول الأعمال المؤقت للدورة السادسة والعشرين وبرنامج عملها الأوّلي</w:t>
      </w:r>
      <w:r w:rsidR="00147269">
        <w:rPr>
          <w:rFonts w:eastAsiaTheme="minorEastAsia" w:hint="cs"/>
          <w:rtl/>
        </w:rPr>
        <w:t> </w:t>
      </w:r>
      <w:r w:rsidRPr="001C6B44">
        <w:rPr>
          <w:rFonts w:eastAsiaTheme="minorEastAsia"/>
          <w:rtl/>
        </w:rPr>
        <w:t>واعتمدتهما</w:t>
      </w:r>
      <w:r w:rsidR="00360BE8" w:rsidRPr="006A34DD">
        <w:rPr>
          <w:rStyle w:val="FootnoteReference"/>
          <w:szCs w:val="22"/>
          <w:rtl/>
        </w:rPr>
        <w:t>(</w:t>
      </w:r>
      <w:r w:rsidR="00360BE8" w:rsidRPr="006A34DD">
        <w:rPr>
          <w:rStyle w:val="FootnoteReference"/>
          <w:szCs w:val="22"/>
          <w:lang w:val="en-US"/>
        </w:rPr>
        <w:footnoteReference w:id="2"/>
      </w:r>
      <w:r w:rsidR="00360BE8" w:rsidRPr="006A34DD">
        <w:rPr>
          <w:rStyle w:val="FootnoteReference"/>
          <w:color w:val="000000"/>
          <w:szCs w:val="22"/>
          <w:rtl/>
        </w:rPr>
        <w:t>)</w:t>
      </w:r>
      <w:r w:rsidR="00360BE8" w:rsidRPr="00360BE8">
        <w:rPr>
          <w:rFonts w:eastAsiaTheme="minorEastAsia"/>
          <w:color w:val="000000"/>
          <w:rtl/>
        </w:rPr>
        <w:t>.</w:t>
      </w:r>
    </w:p>
    <w:p w14:paraId="016C0F12" w14:textId="6B67E9B9" w:rsidR="00551F9E" w:rsidRPr="006A34DD" w:rsidRDefault="001C6B44" w:rsidP="001C6B44">
      <w:pPr>
        <w:pStyle w:val="HChGA"/>
        <w:rPr>
          <w:lang w:val="ar-SA" w:eastAsia="zh-TW" w:bidi="en-GB"/>
        </w:rPr>
      </w:pPr>
      <w:r w:rsidRPr="006A34DD">
        <w:rPr>
          <w:rtl/>
        </w:rPr>
        <w:lastRenderedPageBreak/>
        <w:tab/>
      </w:r>
      <w:r w:rsidR="00551F9E" w:rsidRPr="006A34DD">
        <w:rPr>
          <w:rtl/>
        </w:rPr>
        <w:t>ثالثا</w:t>
      </w:r>
      <w:r w:rsidRPr="006A34DD">
        <w:rPr>
          <w:rFonts w:hint="cs"/>
          <w:rtl/>
        </w:rPr>
        <w:t>ً</w:t>
      </w:r>
      <w:r w:rsidR="00551F9E" w:rsidRPr="006A34DD">
        <w:rPr>
          <w:rtl/>
        </w:rPr>
        <w:t>-</w:t>
      </w:r>
      <w:r w:rsidR="00551F9E" w:rsidRPr="006A34DD">
        <w:rPr>
          <w:rtl/>
        </w:rPr>
        <w:tab/>
        <w:t>عضوية اللجنة</w:t>
      </w:r>
    </w:p>
    <w:p w14:paraId="3F712E0F" w14:textId="427403A9" w:rsidR="00360BE8" w:rsidRPr="00360BE8" w:rsidRDefault="00551F9E" w:rsidP="001C6B44">
      <w:pPr>
        <w:pStyle w:val="SingleTxtGA"/>
        <w:rPr>
          <w:rFonts w:eastAsiaTheme="minorEastAsia"/>
          <w:color w:val="000000"/>
          <w:lang w:val="ar-SA" w:eastAsia="zh-TW" w:bidi="en-GB"/>
        </w:rPr>
      </w:pPr>
      <w:r w:rsidRPr="006A34DD">
        <w:rPr>
          <w:rFonts w:eastAsiaTheme="minorEastAsia"/>
          <w:rtl/>
        </w:rPr>
        <w:t>5</w:t>
      </w:r>
      <w:r w:rsidRPr="001C6B44">
        <w:rPr>
          <w:rFonts w:eastAsiaTheme="minorEastAsia"/>
          <w:rtl/>
        </w:rPr>
        <w:t>-</w:t>
      </w:r>
      <w:r w:rsidRPr="001C6B44">
        <w:rPr>
          <w:rFonts w:eastAsiaTheme="minorEastAsia"/>
          <w:rtl/>
        </w:rPr>
        <w:tab/>
        <w:t xml:space="preserve">في </w:t>
      </w:r>
      <w:r w:rsidRPr="006A34DD">
        <w:rPr>
          <w:rFonts w:eastAsiaTheme="minorEastAsia"/>
          <w:rtl/>
        </w:rPr>
        <w:t>20</w:t>
      </w:r>
      <w:r w:rsidRPr="001C6B44">
        <w:rPr>
          <w:rFonts w:eastAsiaTheme="minorEastAsia"/>
          <w:rtl/>
        </w:rPr>
        <w:t xml:space="preserve"> تشرين الأول/أكتوبر </w:t>
      </w:r>
      <w:r w:rsidRPr="006A34DD">
        <w:rPr>
          <w:rFonts w:eastAsiaTheme="minorEastAsia"/>
          <w:rtl/>
        </w:rPr>
        <w:t>2021</w:t>
      </w:r>
      <w:r w:rsidRPr="001C6B44">
        <w:rPr>
          <w:rFonts w:eastAsiaTheme="minorEastAsia"/>
          <w:rtl/>
        </w:rPr>
        <w:t>، وعمل</w:t>
      </w:r>
      <w:r w:rsidR="00BF23DF">
        <w:rPr>
          <w:rFonts w:eastAsiaTheme="minorEastAsia"/>
          <w:rtl/>
        </w:rPr>
        <w:t xml:space="preserve">اً </w:t>
      </w:r>
      <w:r w:rsidRPr="001C6B44">
        <w:rPr>
          <w:rFonts w:eastAsiaTheme="minorEastAsia"/>
          <w:rtl/>
        </w:rPr>
        <w:t xml:space="preserve">بالمادة </w:t>
      </w:r>
      <w:r w:rsidRPr="006A34DD">
        <w:rPr>
          <w:rFonts w:eastAsiaTheme="minorEastAsia"/>
          <w:rtl/>
        </w:rPr>
        <w:t>34</w:t>
      </w:r>
      <w:r w:rsidRPr="001C6B44">
        <w:rPr>
          <w:rFonts w:eastAsiaTheme="minorEastAsia"/>
          <w:rtl/>
        </w:rPr>
        <w:t>(</w:t>
      </w:r>
      <w:r w:rsidR="00360BE8" w:rsidRPr="006A34DD">
        <w:rPr>
          <w:rFonts w:eastAsiaTheme="minorEastAsia"/>
          <w:color w:val="000000"/>
          <w:rtl/>
        </w:rPr>
        <w:t>9</w:t>
      </w:r>
      <w:r w:rsidR="00360BE8" w:rsidRPr="00360BE8">
        <w:rPr>
          <w:rFonts w:eastAsiaTheme="minorEastAsia"/>
          <w:color w:val="000000"/>
          <w:rtl/>
        </w:rPr>
        <w:t xml:space="preserve">) </w:t>
      </w:r>
      <w:r w:rsidRPr="001C6B44">
        <w:rPr>
          <w:rFonts w:eastAsiaTheme="minorEastAsia"/>
          <w:rtl/>
        </w:rPr>
        <w:t>من الاتفاقية، عيّن المغرب عبد المجيد مكني عضو</w:t>
      </w:r>
      <w:r w:rsidR="00BF23DF">
        <w:rPr>
          <w:rFonts w:eastAsiaTheme="minorEastAsia"/>
          <w:rtl/>
        </w:rPr>
        <w:t xml:space="preserve">اً </w:t>
      </w:r>
      <w:r w:rsidRPr="001C6B44">
        <w:rPr>
          <w:rFonts w:eastAsiaTheme="minorEastAsia"/>
          <w:rtl/>
        </w:rPr>
        <w:t xml:space="preserve">في اللجنة حتى عام </w:t>
      </w:r>
      <w:r w:rsidRPr="006A34DD">
        <w:rPr>
          <w:rFonts w:eastAsiaTheme="minorEastAsia"/>
          <w:rtl/>
        </w:rPr>
        <w:t>2024</w:t>
      </w:r>
      <w:r w:rsidRPr="001C6B44">
        <w:rPr>
          <w:rFonts w:eastAsiaTheme="minorEastAsia"/>
          <w:rtl/>
        </w:rPr>
        <w:t>، عقب وفاة عضو اللجنة السابق، سمية العمراني، للفترة المتبقية من ولايتها. وأدلى السيد مكني بعهد رسمي، وفق</w:t>
      </w:r>
      <w:r w:rsidR="00BF23DF">
        <w:rPr>
          <w:rFonts w:eastAsiaTheme="minorEastAsia"/>
          <w:rtl/>
        </w:rPr>
        <w:t xml:space="preserve">اً </w:t>
      </w:r>
      <w:r w:rsidRPr="001C6B44">
        <w:rPr>
          <w:rFonts w:eastAsiaTheme="minorEastAsia"/>
          <w:rtl/>
        </w:rPr>
        <w:t xml:space="preserve">للمادة </w:t>
      </w:r>
      <w:r w:rsidRPr="006A34DD">
        <w:rPr>
          <w:rFonts w:eastAsiaTheme="minorEastAsia"/>
          <w:rtl/>
        </w:rPr>
        <w:t>14</w:t>
      </w:r>
      <w:r w:rsidRPr="001C6B44">
        <w:rPr>
          <w:rFonts w:eastAsiaTheme="minorEastAsia"/>
          <w:rtl/>
        </w:rPr>
        <w:t xml:space="preserve"> من النظام الداخلي للجنة، لدى افتتاح الدورة السادسة والعشرين في </w:t>
      </w:r>
      <w:r w:rsidRPr="006A34DD">
        <w:rPr>
          <w:rFonts w:eastAsiaTheme="minorEastAsia"/>
          <w:rtl/>
        </w:rPr>
        <w:t>7</w:t>
      </w:r>
      <w:r w:rsidRPr="001C6B44">
        <w:rPr>
          <w:rFonts w:eastAsiaTheme="minorEastAsia"/>
          <w:rtl/>
        </w:rPr>
        <w:t xml:space="preserve"> آذار/مارس </w:t>
      </w:r>
      <w:r w:rsidRPr="006A34DD">
        <w:rPr>
          <w:rFonts w:eastAsiaTheme="minorEastAsia"/>
          <w:rtl/>
        </w:rPr>
        <w:t>202</w:t>
      </w:r>
      <w:r w:rsidR="00360BE8" w:rsidRPr="006A34DD">
        <w:rPr>
          <w:rFonts w:eastAsiaTheme="minorEastAsia"/>
          <w:color w:val="000000"/>
          <w:rtl/>
        </w:rPr>
        <w:t>2</w:t>
      </w:r>
      <w:r w:rsidR="00360BE8" w:rsidRPr="00360BE8">
        <w:rPr>
          <w:rFonts w:eastAsiaTheme="minorEastAsia"/>
          <w:color w:val="000000"/>
          <w:rtl/>
        </w:rPr>
        <w:t>.</w:t>
      </w:r>
    </w:p>
    <w:p w14:paraId="4C081EE8" w14:textId="7400B9B5" w:rsidR="00551F9E" w:rsidRPr="001C6B44" w:rsidRDefault="00551F9E" w:rsidP="001C6B44">
      <w:pPr>
        <w:pStyle w:val="SingleTxtGA"/>
        <w:rPr>
          <w:rFonts w:eastAsiaTheme="minorEastAsia"/>
          <w:lang w:val="ar-SA" w:eastAsia="zh-TW" w:bidi="en-GB"/>
        </w:rPr>
      </w:pPr>
      <w:r w:rsidRPr="006A34DD">
        <w:rPr>
          <w:rFonts w:eastAsiaTheme="minorEastAsia"/>
          <w:rtl/>
        </w:rPr>
        <w:t>6</w:t>
      </w:r>
      <w:r w:rsidRPr="001C6B44">
        <w:rPr>
          <w:rFonts w:eastAsiaTheme="minorEastAsia"/>
          <w:rtl/>
        </w:rPr>
        <w:t>-</w:t>
      </w:r>
      <w:r w:rsidR="00147269">
        <w:rPr>
          <w:rFonts w:eastAsiaTheme="minorEastAsia"/>
          <w:rtl/>
        </w:rPr>
        <w:tab/>
      </w:r>
      <w:r w:rsidRPr="001C6B44">
        <w:rPr>
          <w:rFonts w:eastAsiaTheme="minorEastAsia"/>
          <w:rtl/>
        </w:rPr>
        <w:t xml:space="preserve">ويمكن الاطلاع على قائمة أعضاء اللجنة بتاريخ </w:t>
      </w:r>
      <w:r w:rsidRPr="006A34DD">
        <w:rPr>
          <w:rFonts w:eastAsiaTheme="minorEastAsia"/>
          <w:rtl/>
        </w:rPr>
        <w:t>25</w:t>
      </w:r>
      <w:r w:rsidRPr="001C6B44">
        <w:rPr>
          <w:rFonts w:eastAsiaTheme="minorEastAsia"/>
          <w:rtl/>
        </w:rPr>
        <w:t xml:space="preserve"> آذار/مارس </w:t>
      </w:r>
      <w:r w:rsidRPr="006A34DD">
        <w:rPr>
          <w:rFonts w:eastAsiaTheme="minorEastAsia"/>
          <w:rtl/>
        </w:rPr>
        <w:t>2022</w:t>
      </w:r>
      <w:r w:rsidRPr="001C6B44">
        <w:rPr>
          <w:rFonts w:eastAsiaTheme="minorEastAsia"/>
          <w:rtl/>
        </w:rPr>
        <w:t>، ومدة عضويتهم، في الموقع الشبكي للجنة.</w:t>
      </w:r>
    </w:p>
    <w:p w14:paraId="6E967E89" w14:textId="0AA6CA01" w:rsidR="00551F9E" w:rsidRPr="006A34DD" w:rsidRDefault="00147269" w:rsidP="00147269">
      <w:pPr>
        <w:pStyle w:val="HChGA"/>
        <w:rPr>
          <w:lang w:val="ar-SA" w:eastAsia="zh-TW" w:bidi="en-GB"/>
        </w:rPr>
      </w:pPr>
      <w:r w:rsidRPr="006A34DD">
        <w:rPr>
          <w:rtl/>
        </w:rPr>
        <w:tab/>
      </w:r>
      <w:r w:rsidR="00551F9E" w:rsidRPr="006A34DD">
        <w:rPr>
          <w:rtl/>
        </w:rPr>
        <w:t>رابعا</w:t>
      </w:r>
      <w:r w:rsidRPr="006A34DD">
        <w:rPr>
          <w:rFonts w:hint="cs"/>
          <w:rtl/>
        </w:rPr>
        <w:t>ً</w:t>
      </w:r>
      <w:r w:rsidR="00551F9E" w:rsidRPr="006A34DD">
        <w:rPr>
          <w:rtl/>
        </w:rPr>
        <w:t>-</w:t>
      </w:r>
      <w:r w:rsidR="00551F9E" w:rsidRPr="006A34DD">
        <w:rPr>
          <w:rtl/>
        </w:rPr>
        <w:tab/>
        <w:t>أساليب العمل</w:t>
      </w:r>
    </w:p>
    <w:p w14:paraId="1E81449C" w14:textId="2577101D" w:rsidR="00551F9E" w:rsidRPr="001C6B44" w:rsidRDefault="00551F9E" w:rsidP="001C6B44">
      <w:pPr>
        <w:pStyle w:val="SingleTxtGA"/>
        <w:rPr>
          <w:rFonts w:eastAsiaTheme="minorEastAsia"/>
          <w:lang w:val="ar-SA" w:eastAsia="zh-TW" w:bidi="en-GB"/>
        </w:rPr>
      </w:pPr>
      <w:r w:rsidRPr="006A34DD">
        <w:rPr>
          <w:rFonts w:eastAsiaTheme="minorEastAsia"/>
          <w:rtl/>
        </w:rPr>
        <w:t>7</w:t>
      </w:r>
      <w:r w:rsidR="00147269">
        <w:rPr>
          <w:rFonts w:eastAsiaTheme="minorEastAsia"/>
          <w:rtl/>
        </w:rPr>
        <w:t>-</w:t>
      </w:r>
      <w:r w:rsidR="00147269">
        <w:rPr>
          <w:rFonts w:eastAsiaTheme="minorEastAsia"/>
          <w:rtl/>
        </w:rPr>
        <w:tab/>
      </w:r>
      <w:r w:rsidRPr="001C6B44">
        <w:rPr>
          <w:rFonts w:eastAsiaTheme="minorEastAsia"/>
          <w:rtl/>
        </w:rPr>
        <w:t>ناقشت اللجنة مختلف المسائل المتصلة بأساليب عملها وقررت مواصلة تحديث وتبسيط هذه الأساليب خلال فترة ما بين الدورات.</w:t>
      </w:r>
    </w:p>
    <w:p w14:paraId="6031CB71" w14:textId="7FEA9194" w:rsidR="00551F9E" w:rsidRPr="006A34DD" w:rsidRDefault="00147269" w:rsidP="00147269">
      <w:pPr>
        <w:pStyle w:val="HChGA"/>
        <w:rPr>
          <w:lang w:val="ar-SA" w:eastAsia="zh-TW" w:bidi="en-GB"/>
        </w:rPr>
      </w:pPr>
      <w:r w:rsidRPr="006A34DD">
        <w:rPr>
          <w:rtl/>
        </w:rPr>
        <w:tab/>
      </w:r>
      <w:r w:rsidR="00551F9E" w:rsidRPr="006A34DD">
        <w:rPr>
          <w:rtl/>
        </w:rPr>
        <w:t>خامسا</w:t>
      </w:r>
      <w:r w:rsidRPr="006A34DD">
        <w:rPr>
          <w:rFonts w:hint="cs"/>
          <w:rtl/>
        </w:rPr>
        <w:t>ً</w:t>
      </w:r>
      <w:r w:rsidR="00551F9E" w:rsidRPr="006A34DD">
        <w:rPr>
          <w:rtl/>
        </w:rPr>
        <w:t>-</w:t>
      </w:r>
      <w:r w:rsidR="00551F9E" w:rsidRPr="006A34DD">
        <w:rPr>
          <w:rtl/>
        </w:rPr>
        <w:tab/>
        <w:t>الأنشطة المتصلة بالتعليقات العامة</w:t>
      </w:r>
    </w:p>
    <w:p w14:paraId="7156A5C9" w14:textId="356DA6C2" w:rsidR="00551F9E" w:rsidRPr="00FF4EB4" w:rsidRDefault="00551F9E" w:rsidP="001C6B44">
      <w:pPr>
        <w:pStyle w:val="SingleTxtGA"/>
        <w:rPr>
          <w:rFonts w:eastAsiaTheme="minorEastAsia"/>
          <w:lang w:val="en-US" w:eastAsia="zh-TW" w:bidi="en-GB"/>
        </w:rPr>
      </w:pPr>
      <w:r w:rsidRPr="006A34DD">
        <w:rPr>
          <w:rFonts w:eastAsiaTheme="minorEastAsia"/>
          <w:rtl/>
        </w:rPr>
        <w:t>8</w:t>
      </w:r>
      <w:r w:rsidRPr="001C6B44">
        <w:rPr>
          <w:rFonts w:eastAsiaTheme="minorEastAsia"/>
          <w:rtl/>
        </w:rPr>
        <w:t>-</w:t>
      </w:r>
      <w:r w:rsidRPr="001C6B44">
        <w:rPr>
          <w:rFonts w:eastAsiaTheme="minorEastAsia"/>
          <w:rtl/>
        </w:rPr>
        <w:tab/>
        <w:t xml:space="preserve">واصلت اللجنة عملها لإعداد تعليق عام على المادة </w:t>
      </w:r>
      <w:r w:rsidRPr="006A34DD">
        <w:rPr>
          <w:rFonts w:eastAsiaTheme="minorEastAsia"/>
          <w:rtl/>
        </w:rPr>
        <w:t>27</w:t>
      </w:r>
      <w:r w:rsidRPr="001C6B44">
        <w:rPr>
          <w:rFonts w:eastAsiaTheme="minorEastAsia"/>
          <w:rtl/>
        </w:rPr>
        <w:t xml:space="preserve"> من الاتفاقية فيما يتعلق بالحق في العمل والعمالة. وعقدت ثلاثة اجتماعات مغلقة لمناقشة الموضوع مناقشة عامة وحددت المسائل التي</w:t>
      </w:r>
      <w:r w:rsidR="00147269">
        <w:rPr>
          <w:rFonts w:eastAsiaTheme="minorEastAsia" w:hint="cs"/>
          <w:rtl/>
        </w:rPr>
        <w:t> </w:t>
      </w:r>
      <w:r w:rsidRPr="001C6B44">
        <w:rPr>
          <w:rFonts w:eastAsiaTheme="minorEastAsia"/>
          <w:rtl/>
        </w:rPr>
        <w:t xml:space="preserve">أثيرت خلال المشاورة الواسعة في عام </w:t>
      </w:r>
      <w:r w:rsidRPr="006A34DD">
        <w:rPr>
          <w:rFonts w:eastAsiaTheme="minorEastAsia"/>
          <w:rtl/>
        </w:rPr>
        <w:t>202</w:t>
      </w:r>
      <w:r w:rsidR="00360BE8" w:rsidRPr="006A34DD">
        <w:rPr>
          <w:rFonts w:eastAsiaTheme="minorEastAsia"/>
          <w:color w:val="000000"/>
          <w:rtl/>
        </w:rPr>
        <w:t>1</w:t>
      </w:r>
      <w:r w:rsidR="00360BE8" w:rsidRPr="00360BE8">
        <w:rPr>
          <w:rFonts w:eastAsiaTheme="minorEastAsia"/>
          <w:color w:val="000000"/>
          <w:rtl/>
        </w:rPr>
        <w:t xml:space="preserve">. </w:t>
      </w:r>
      <w:r w:rsidRPr="001C6B44">
        <w:rPr>
          <w:rFonts w:eastAsiaTheme="minorEastAsia"/>
          <w:rtl/>
        </w:rPr>
        <w:t>وحدّدت أيض</w:t>
      </w:r>
      <w:r w:rsidR="00BF23DF">
        <w:rPr>
          <w:rFonts w:eastAsiaTheme="minorEastAsia"/>
          <w:rtl/>
        </w:rPr>
        <w:t xml:space="preserve">اً </w:t>
      </w:r>
      <w:r w:rsidRPr="001C6B44">
        <w:rPr>
          <w:rFonts w:eastAsiaTheme="minorEastAsia"/>
          <w:rtl/>
        </w:rPr>
        <w:t>الفروع التي يتعين تحديثها وتعديلها في</w:t>
      </w:r>
      <w:r w:rsidR="00360BE8">
        <w:rPr>
          <w:rFonts w:eastAsiaTheme="minorEastAsia" w:hint="cs"/>
          <w:rtl/>
        </w:rPr>
        <w:t> </w:t>
      </w:r>
      <w:r w:rsidRPr="001C6B44">
        <w:rPr>
          <w:rFonts w:eastAsiaTheme="minorEastAsia"/>
          <w:rtl/>
        </w:rPr>
        <w:t>المشروع الحالي للتعليق العام. وسيقدَّم مشروع مستكمل إلى اللجنة لكي تنظر فيه في دورتها السابعة</w:t>
      </w:r>
      <w:r w:rsidR="00360BE8">
        <w:rPr>
          <w:rFonts w:eastAsiaTheme="minorEastAsia" w:hint="cs"/>
          <w:rtl/>
        </w:rPr>
        <w:t> </w:t>
      </w:r>
      <w:r w:rsidRPr="001C6B44">
        <w:rPr>
          <w:rFonts w:eastAsiaTheme="minorEastAsia"/>
          <w:rtl/>
        </w:rPr>
        <w:t>والعشرين.</w:t>
      </w:r>
    </w:p>
    <w:p w14:paraId="2422F3E7" w14:textId="73CFFDC9" w:rsidR="00551F9E" w:rsidRPr="001C6B44" w:rsidRDefault="00551F9E" w:rsidP="001C6B44">
      <w:pPr>
        <w:pStyle w:val="SingleTxtGA"/>
        <w:rPr>
          <w:rFonts w:eastAsiaTheme="minorEastAsia"/>
          <w:lang w:val="ar-SA" w:eastAsia="zh-TW" w:bidi="en-GB"/>
        </w:rPr>
      </w:pPr>
      <w:r w:rsidRPr="006A34DD">
        <w:rPr>
          <w:rFonts w:eastAsiaTheme="minorEastAsia"/>
          <w:rtl/>
        </w:rPr>
        <w:t>9</w:t>
      </w:r>
      <w:r w:rsidRPr="001C6B44">
        <w:rPr>
          <w:rFonts w:eastAsiaTheme="minorEastAsia"/>
          <w:rtl/>
        </w:rPr>
        <w:t>-</w:t>
      </w:r>
      <w:r w:rsidRPr="001C6B44">
        <w:rPr>
          <w:rFonts w:eastAsiaTheme="minorEastAsia"/>
          <w:rtl/>
        </w:rPr>
        <w:tab/>
        <w:t>وجدّدت اللجنة شراكتها مع منظمة العمل الدولية وأعربت عن تقديرها للدعم المستمر الذي قدّمته تلك المنظمة طيلة عملية إعداد مشروع التعليق العام، امتثال</w:t>
      </w:r>
      <w:r w:rsidR="00BF23DF">
        <w:rPr>
          <w:rFonts w:eastAsiaTheme="minorEastAsia"/>
          <w:rtl/>
        </w:rPr>
        <w:t xml:space="preserve">اً </w:t>
      </w:r>
      <w:r w:rsidRPr="001C6B44">
        <w:rPr>
          <w:rFonts w:eastAsiaTheme="minorEastAsia"/>
          <w:rtl/>
        </w:rPr>
        <w:t xml:space="preserve">للمادة </w:t>
      </w:r>
      <w:r w:rsidRPr="006A34DD">
        <w:rPr>
          <w:rFonts w:eastAsiaTheme="minorEastAsia"/>
          <w:rtl/>
        </w:rPr>
        <w:t>38</w:t>
      </w:r>
      <w:r w:rsidRPr="001C6B44">
        <w:rPr>
          <w:rFonts w:eastAsiaTheme="minorEastAsia"/>
          <w:rtl/>
        </w:rPr>
        <w:t xml:space="preserve"> من الاتفاقية.</w:t>
      </w:r>
    </w:p>
    <w:p w14:paraId="6BF39D56" w14:textId="5463A925" w:rsidR="00551F9E" w:rsidRPr="006A34DD" w:rsidRDefault="00551F9E" w:rsidP="001C6B44">
      <w:pPr>
        <w:pStyle w:val="SingleTxtGA"/>
        <w:rPr>
          <w:rFonts w:eastAsiaTheme="minorEastAsia"/>
          <w:b/>
          <w:lang w:val="en-US" w:eastAsia="zh-TW" w:bidi="en-GB"/>
        </w:rPr>
      </w:pPr>
      <w:r w:rsidRPr="006A34DD">
        <w:rPr>
          <w:rFonts w:eastAsiaTheme="minorEastAsia"/>
          <w:b/>
          <w:rtl/>
        </w:rPr>
        <w:t>10-</w:t>
      </w:r>
      <w:r w:rsidRPr="006A34DD">
        <w:rPr>
          <w:rFonts w:eastAsiaTheme="minorEastAsia"/>
          <w:b/>
          <w:rtl/>
        </w:rPr>
        <w:tab/>
        <w:t>ونظرت اللجنة في مشروع مبادئها التوجيهية بشأن إنهاء إيداع الأشخاص ذوي الإعاقة في مؤسسات الرعاية، بما في ذلك أثناء حالات الطوارئ. وكمّل مشروع المبادئ التوجيهية تعليق اللجنة العام</w:t>
      </w:r>
      <w:r w:rsidR="00360BE8" w:rsidRPr="006A34DD">
        <w:rPr>
          <w:rFonts w:eastAsiaTheme="minorEastAsia" w:hint="cs"/>
          <w:b/>
          <w:rtl/>
        </w:rPr>
        <w:t> </w:t>
      </w:r>
      <w:r w:rsidRPr="006A34DD">
        <w:rPr>
          <w:rFonts w:eastAsiaTheme="minorEastAsia"/>
          <w:b/>
          <w:rtl/>
        </w:rPr>
        <w:t>رقم 5(201</w:t>
      </w:r>
      <w:r w:rsidR="00360BE8" w:rsidRPr="006A34DD">
        <w:rPr>
          <w:rFonts w:eastAsiaTheme="minorEastAsia"/>
          <w:b/>
          <w:color w:val="000000"/>
          <w:rtl/>
        </w:rPr>
        <w:t xml:space="preserve">7) </w:t>
      </w:r>
      <w:r w:rsidRPr="006A34DD">
        <w:rPr>
          <w:rFonts w:eastAsiaTheme="minorEastAsia"/>
          <w:b/>
          <w:rtl/>
        </w:rPr>
        <w:t>بشأن العيش المستقل والإدماج في المجتمع. وأجرت اللجنة أيض</w:t>
      </w:r>
      <w:r w:rsidR="00BF23DF" w:rsidRPr="006A34DD">
        <w:rPr>
          <w:rFonts w:eastAsiaTheme="minorEastAsia"/>
          <w:b/>
          <w:rtl/>
        </w:rPr>
        <w:t xml:space="preserve">اً </w:t>
      </w:r>
      <w:r w:rsidRPr="006A34DD">
        <w:rPr>
          <w:rFonts w:eastAsiaTheme="minorEastAsia"/>
          <w:b/>
          <w:rtl/>
        </w:rPr>
        <w:t>حوار</w:t>
      </w:r>
      <w:r w:rsidR="00BF23DF" w:rsidRPr="006A34DD">
        <w:rPr>
          <w:rFonts w:eastAsiaTheme="minorEastAsia"/>
          <w:b/>
          <w:rtl/>
        </w:rPr>
        <w:t xml:space="preserve">اً </w:t>
      </w:r>
      <w:r w:rsidRPr="006A34DD">
        <w:rPr>
          <w:rFonts w:eastAsiaTheme="minorEastAsia"/>
          <w:b/>
          <w:rtl/>
        </w:rPr>
        <w:t>مع منظمات المجتمع المدني ومنظمات الأشخاص ذوي الإعاقة الأطراف في التحالف العالمي المعني بإنهاء الإيداع</w:t>
      </w:r>
      <w:r w:rsidR="00147269" w:rsidRPr="006A34DD">
        <w:rPr>
          <w:rFonts w:eastAsiaTheme="minorEastAsia" w:hint="cs"/>
          <w:b/>
          <w:rtl/>
        </w:rPr>
        <w:t> </w:t>
      </w:r>
      <w:r w:rsidRPr="006A34DD">
        <w:rPr>
          <w:rFonts w:eastAsiaTheme="minorEastAsia"/>
          <w:b/>
          <w:rtl/>
        </w:rPr>
        <w:t>في</w:t>
      </w:r>
      <w:r w:rsidR="00360BE8" w:rsidRPr="006A34DD">
        <w:rPr>
          <w:rFonts w:eastAsiaTheme="minorEastAsia" w:hint="cs"/>
          <w:b/>
          <w:rtl/>
        </w:rPr>
        <w:t> </w:t>
      </w:r>
      <w:r w:rsidRPr="006A34DD">
        <w:rPr>
          <w:rFonts w:eastAsiaTheme="minorEastAsia"/>
          <w:b/>
          <w:rtl/>
        </w:rPr>
        <w:t>مؤسسات الرعاية. وستصدر اللجنة دعوة عامة لتقديم تقارير بشأن مشروع المبادئ التوجيهية في أيار/مايو 2022 وستستأنف نظرها في مشروع المبادئ التوجيهية، بغية اعتمادها، خلال دورتها السابعة</w:t>
      </w:r>
      <w:r w:rsidR="00360BE8" w:rsidRPr="006A34DD">
        <w:rPr>
          <w:rFonts w:eastAsiaTheme="minorEastAsia" w:hint="cs"/>
          <w:b/>
          <w:rtl/>
        </w:rPr>
        <w:t> </w:t>
      </w:r>
      <w:r w:rsidRPr="006A34DD">
        <w:rPr>
          <w:rFonts w:eastAsiaTheme="minorEastAsia"/>
          <w:b/>
          <w:rtl/>
        </w:rPr>
        <w:t xml:space="preserve">والعشرين. </w:t>
      </w:r>
    </w:p>
    <w:p w14:paraId="7BE7E3D3" w14:textId="4C091F8C" w:rsidR="00551F9E" w:rsidRPr="006A34DD" w:rsidRDefault="00147269" w:rsidP="00147269">
      <w:pPr>
        <w:pStyle w:val="HChGA"/>
        <w:rPr>
          <w:lang w:val="ar-SA" w:eastAsia="zh-TW" w:bidi="en-GB"/>
        </w:rPr>
      </w:pPr>
      <w:r w:rsidRPr="006A34DD">
        <w:rPr>
          <w:rtl/>
        </w:rPr>
        <w:tab/>
      </w:r>
      <w:r w:rsidR="00551F9E" w:rsidRPr="006A34DD">
        <w:rPr>
          <w:rtl/>
        </w:rPr>
        <w:t>سادسا</w:t>
      </w:r>
      <w:r w:rsidRPr="006A34DD">
        <w:rPr>
          <w:rFonts w:hint="cs"/>
          <w:rtl/>
        </w:rPr>
        <w:t>ً</w:t>
      </w:r>
      <w:r w:rsidR="00551F9E" w:rsidRPr="006A34DD">
        <w:rPr>
          <w:rtl/>
        </w:rPr>
        <w:t>-</w:t>
      </w:r>
      <w:r w:rsidR="00551F9E" w:rsidRPr="006A34DD">
        <w:rPr>
          <w:rtl/>
        </w:rPr>
        <w:tab/>
        <w:t>الأنشطة المتصلة بالبروتوكول الاختياري</w:t>
      </w:r>
    </w:p>
    <w:p w14:paraId="0A1C11F6" w14:textId="6F2D8A29" w:rsidR="00551F9E" w:rsidRPr="006A34DD" w:rsidRDefault="00551F9E" w:rsidP="001C6B44">
      <w:pPr>
        <w:pStyle w:val="SingleTxtGA"/>
        <w:rPr>
          <w:rFonts w:eastAsiaTheme="minorEastAsia"/>
          <w:i/>
          <w:iCs/>
          <w:lang w:val="ar-SA" w:eastAsia="zh-TW" w:bidi="en-GB"/>
        </w:rPr>
      </w:pPr>
      <w:r w:rsidRPr="006A34DD">
        <w:rPr>
          <w:rFonts w:eastAsiaTheme="minorEastAsia"/>
          <w:rtl/>
        </w:rPr>
        <w:t>11</w:t>
      </w:r>
      <w:r w:rsidRPr="001C6B44">
        <w:rPr>
          <w:rFonts w:eastAsiaTheme="minorEastAsia"/>
          <w:rtl/>
        </w:rPr>
        <w:t>-</w:t>
      </w:r>
      <w:r w:rsidRPr="001C6B44">
        <w:rPr>
          <w:rFonts w:eastAsiaTheme="minorEastAsia"/>
          <w:rtl/>
        </w:rPr>
        <w:tab/>
        <w:t>نظرت اللجنة في خمسة بلاغات. وخلصت إلى انتهاك الاتفاقية في اثنين منها وهما: قضية</w:t>
      </w:r>
      <w:r w:rsidR="00A004BA">
        <w:rPr>
          <w:rFonts w:eastAsiaTheme="minorEastAsia" w:hint="cs"/>
          <w:rtl/>
        </w:rPr>
        <w:t> </w:t>
      </w:r>
      <w:r w:rsidRPr="006A34DD">
        <w:rPr>
          <w:rFonts w:eastAsiaTheme="minorEastAsia"/>
          <w:i/>
          <w:iCs/>
          <w:rtl/>
        </w:rPr>
        <w:t>س.</w:t>
      </w:r>
      <w:r w:rsidR="007F6A02" w:rsidRPr="006A34DD">
        <w:rPr>
          <w:rFonts w:eastAsiaTheme="minorEastAsia" w:hint="cs"/>
          <w:i/>
          <w:iCs/>
          <w:rtl/>
        </w:rPr>
        <w:t> </w:t>
      </w:r>
      <w:r w:rsidRPr="006A34DD">
        <w:rPr>
          <w:rFonts w:eastAsiaTheme="minorEastAsia"/>
          <w:i/>
          <w:iCs/>
          <w:rtl/>
        </w:rPr>
        <w:t>ك. ضد فنلندا</w:t>
      </w:r>
      <w:r w:rsidR="00360BE8" w:rsidRPr="006A34DD">
        <w:rPr>
          <w:rStyle w:val="FootnoteReference"/>
          <w:szCs w:val="22"/>
          <w:rtl/>
        </w:rPr>
        <w:t>(</w:t>
      </w:r>
      <w:r w:rsidR="00360BE8" w:rsidRPr="006A34DD">
        <w:rPr>
          <w:rStyle w:val="FootnoteReference"/>
          <w:szCs w:val="22"/>
          <w:lang w:val="en-US"/>
        </w:rPr>
        <w:footnoteReference w:id="3"/>
      </w:r>
      <w:r w:rsidR="00360BE8" w:rsidRPr="006A34DD">
        <w:rPr>
          <w:rStyle w:val="FootnoteReference"/>
          <w:color w:val="000000"/>
          <w:szCs w:val="22"/>
          <w:rtl/>
        </w:rPr>
        <w:t>)</w:t>
      </w:r>
      <w:r w:rsidR="00360BE8" w:rsidRPr="00360BE8">
        <w:rPr>
          <w:rFonts w:eastAsiaTheme="minorEastAsia" w:hint="cs"/>
          <w:color w:val="000000"/>
          <w:rtl/>
        </w:rPr>
        <w:t>،</w:t>
      </w:r>
      <w:r w:rsidR="00360BE8" w:rsidRPr="00360BE8">
        <w:rPr>
          <w:rFonts w:eastAsiaTheme="minorEastAsia"/>
          <w:color w:val="000000"/>
          <w:rtl/>
        </w:rPr>
        <w:t> </w:t>
      </w:r>
      <w:r w:rsidRPr="001C6B44">
        <w:rPr>
          <w:rFonts w:eastAsiaTheme="minorEastAsia"/>
          <w:rtl/>
        </w:rPr>
        <w:t>التي تتعلق بحصول شخص ذي إعاقات بدنية وذهنية على الرعاية، وقضية</w:t>
      </w:r>
      <w:r w:rsidR="00A004BA">
        <w:rPr>
          <w:rFonts w:eastAsiaTheme="minorEastAsia" w:hint="cs"/>
          <w:rtl/>
        </w:rPr>
        <w:t> </w:t>
      </w:r>
      <w:r w:rsidRPr="006A34DD">
        <w:rPr>
          <w:rFonts w:eastAsiaTheme="minorEastAsia"/>
          <w:i/>
          <w:iCs/>
          <w:rtl/>
        </w:rPr>
        <w:t>م. ر. ي. ف. ضد إسبانيا</w:t>
      </w:r>
      <w:r w:rsidR="00360BE8" w:rsidRPr="006A34DD">
        <w:rPr>
          <w:rStyle w:val="FootnoteReference"/>
          <w:szCs w:val="22"/>
          <w:rtl/>
        </w:rPr>
        <w:t>(</w:t>
      </w:r>
      <w:r w:rsidR="00360BE8" w:rsidRPr="006A34DD">
        <w:rPr>
          <w:rStyle w:val="FootnoteReference"/>
          <w:szCs w:val="22"/>
          <w:lang w:val="en-US"/>
        </w:rPr>
        <w:footnoteReference w:id="4"/>
      </w:r>
      <w:r w:rsidR="00360BE8" w:rsidRPr="006A34DD">
        <w:rPr>
          <w:rStyle w:val="FootnoteReference"/>
          <w:color w:val="000000"/>
          <w:szCs w:val="22"/>
          <w:rtl/>
        </w:rPr>
        <w:t>)</w:t>
      </w:r>
      <w:r w:rsidR="00360BE8" w:rsidRPr="00360BE8">
        <w:rPr>
          <w:rFonts w:eastAsiaTheme="minorEastAsia" w:hint="cs"/>
          <w:color w:val="000000"/>
          <w:rtl/>
        </w:rPr>
        <w:t xml:space="preserve">، </w:t>
      </w:r>
      <w:r w:rsidRPr="001C6B44">
        <w:rPr>
          <w:rFonts w:eastAsiaTheme="minorEastAsia"/>
          <w:rtl/>
        </w:rPr>
        <w:t xml:space="preserve">التي تتعلق بفصل ضابط شرطة في أعقاب إعلان تعرضه لإعاقة. </w:t>
      </w:r>
      <w:r w:rsidRPr="001C6B44">
        <w:rPr>
          <w:rFonts w:eastAsiaTheme="minorEastAsia"/>
          <w:rtl/>
        </w:rPr>
        <w:lastRenderedPageBreak/>
        <w:t>وخلصت</w:t>
      </w:r>
      <w:r w:rsidR="007F6A02">
        <w:rPr>
          <w:rFonts w:eastAsiaTheme="minorEastAsia" w:hint="cs"/>
          <w:rtl/>
        </w:rPr>
        <w:t> </w:t>
      </w:r>
      <w:r w:rsidRPr="001C6B44">
        <w:rPr>
          <w:rFonts w:eastAsiaTheme="minorEastAsia"/>
          <w:rtl/>
        </w:rPr>
        <w:t xml:space="preserve">اللجنة إلى أن الوقائع المعروضة عليها لم تكشف عن حدوث انتهاك للاتفاقية في قضية </w:t>
      </w:r>
      <w:r w:rsidRPr="006A34DD">
        <w:rPr>
          <w:rFonts w:eastAsiaTheme="minorEastAsia"/>
          <w:i/>
          <w:iCs/>
          <w:rtl/>
        </w:rPr>
        <w:t>كوك</w:t>
      </w:r>
      <w:r w:rsidR="007F6A02" w:rsidRPr="006A34DD">
        <w:rPr>
          <w:rFonts w:eastAsiaTheme="minorEastAsia" w:hint="cs"/>
          <w:i/>
          <w:iCs/>
          <w:rtl/>
        </w:rPr>
        <w:t> </w:t>
      </w:r>
      <w:r w:rsidRPr="006A34DD">
        <w:rPr>
          <w:rFonts w:eastAsiaTheme="minorEastAsia"/>
          <w:i/>
          <w:iCs/>
          <w:rtl/>
        </w:rPr>
        <w:t>ضد النمسا</w:t>
      </w:r>
      <w:r w:rsidR="00360BE8" w:rsidRPr="006A34DD">
        <w:rPr>
          <w:rStyle w:val="FootnoteReference"/>
          <w:szCs w:val="22"/>
          <w:rtl/>
        </w:rPr>
        <w:t>(</w:t>
      </w:r>
      <w:r w:rsidR="00360BE8" w:rsidRPr="006A34DD">
        <w:rPr>
          <w:rStyle w:val="FootnoteReference"/>
          <w:szCs w:val="22"/>
          <w:lang w:val="en-US"/>
        </w:rPr>
        <w:footnoteReference w:id="5"/>
      </w:r>
      <w:r w:rsidR="00360BE8" w:rsidRPr="006A34DD">
        <w:rPr>
          <w:rStyle w:val="FootnoteReference"/>
          <w:color w:val="000000"/>
          <w:szCs w:val="22"/>
          <w:rtl/>
        </w:rPr>
        <w:t>)</w:t>
      </w:r>
      <w:r w:rsidR="00360BE8" w:rsidRPr="00360BE8">
        <w:rPr>
          <w:rFonts w:eastAsiaTheme="minorEastAsia"/>
          <w:color w:val="000000"/>
          <w:rtl/>
        </w:rPr>
        <w:t xml:space="preserve">، </w:t>
      </w:r>
      <w:r w:rsidRPr="001C6B44">
        <w:rPr>
          <w:rFonts w:eastAsiaTheme="minorEastAsia"/>
          <w:rtl/>
        </w:rPr>
        <w:t xml:space="preserve">فيما يتعلق باستخدام لغة الإشارة النمساوية كلغة تعليم في المدرسة. وقررت اللجنة وقف نظرها في البلاغين الآخرين، وهما: قضية </w:t>
      </w:r>
      <w:r w:rsidRPr="006A34DD">
        <w:rPr>
          <w:rFonts w:eastAsiaTheme="minorEastAsia"/>
          <w:i/>
          <w:iCs/>
          <w:rtl/>
        </w:rPr>
        <w:t>ج. م. ضد السويد</w:t>
      </w:r>
      <w:r w:rsidR="00360BE8" w:rsidRPr="006A34DD">
        <w:rPr>
          <w:rStyle w:val="FootnoteReference"/>
          <w:szCs w:val="22"/>
          <w:rtl/>
        </w:rPr>
        <w:t>(</w:t>
      </w:r>
      <w:r w:rsidR="00360BE8" w:rsidRPr="006A34DD">
        <w:rPr>
          <w:rStyle w:val="FootnoteReference"/>
          <w:szCs w:val="22"/>
          <w:lang w:val="en-US"/>
        </w:rPr>
        <w:footnoteReference w:id="6"/>
      </w:r>
      <w:r w:rsidR="00360BE8" w:rsidRPr="006A34DD">
        <w:rPr>
          <w:rStyle w:val="FootnoteReference"/>
          <w:color w:val="000000"/>
          <w:szCs w:val="22"/>
          <w:rtl/>
        </w:rPr>
        <w:t>)</w:t>
      </w:r>
      <w:r w:rsidR="00360BE8" w:rsidRPr="00360BE8">
        <w:rPr>
          <w:rFonts w:eastAsiaTheme="minorEastAsia" w:hint="cs"/>
          <w:color w:val="000000"/>
          <w:rtl/>
        </w:rPr>
        <w:t xml:space="preserve">، </w:t>
      </w:r>
      <w:r w:rsidRPr="001C6B44">
        <w:rPr>
          <w:rFonts w:eastAsiaTheme="minorEastAsia"/>
          <w:rtl/>
        </w:rPr>
        <w:t>بما أن قرار طرد صاحب البلاغ أصبح ساقط</w:t>
      </w:r>
      <w:r w:rsidR="00BF23DF">
        <w:rPr>
          <w:rFonts w:eastAsiaTheme="minorEastAsia"/>
          <w:rtl/>
        </w:rPr>
        <w:t xml:space="preserve">اً </w:t>
      </w:r>
      <w:r w:rsidRPr="001C6B44">
        <w:rPr>
          <w:rFonts w:eastAsiaTheme="minorEastAsia"/>
          <w:rtl/>
        </w:rPr>
        <w:t>بالتقادم بموجب القانون ولم يعد معرّض</w:t>
      </w:r>
      <w:r w:rsidR="00BF23DF">
        <w:rPr>
          <w:rFonts w:eastAsiaTheme="minorEastAsia"/>
          <w:rtl/>
        </w:rPr>
        <w:t xml:space="preserve">اً </w:t>
      </w:r>
      <w:r w:rsidRPr="001C6B44">
        <w:rPr>
          <w:rFonts w:eastAsiaTheme="minorEastAsia"/>
          <w:rtl/>
        </w:rPr>
        <w:t xml:space="preserve">لخطر إعادته إلى أفغانستان، وقضية </w:t>
      </w:r>
      <w:proofErr w:type="spellStart"/>
      <w:r w:rsidRPr="006A34DD">
        <w:rPr>
          <w:rFonts w:eastAsiaTheme="minorEastAsia"/>
          <w:i/>
          <w:iCs/>
          <w:rtl/>
        </w:rPr>
        <w:t>فيرير</w:t>
      </w:r>
      <w:proofErr w:type="spellEnd"/>
      <w:r w:rsidRPr="006A34DD">
        <w:rPr>
          <w:rFonts w:eastAsiaTheme="minorEastAsia"/>
          <w:i/>
          <w:iCs/>
          <w:rtl/>
        </w:rPr>
        <w:t xml:space="preserve"> </w:t>
      </w:r>
      <w:proofErr w:type="spellStart"/>
      <w:r w:rsidRPr="006A34DD">
        <w:rPr>
          <w:rFonts w:eastAsiaTheme="minorEastAsia"/>
          <w:i/>
          <w:iCs/>
          <w:rtl/>
        </w:rPr>
        <w:t>مانيلز</w:t>
      </w:r>
      <w:proofErr w:type="spellEnd"/>
      <w:r w:rsidRPr="006A34DD">
        <w:rPr>
          <w:rFonts w:eastAsiaTheme="minorEastAsia"/>
          <w:i/>
          <w:iCs/>
          <w:rtl/>
        </w:rPr>
        <w:t xml:space="preserve"> ضد إسبانيا</w:t>
      </w:r>
      <w:r w:rsidR="00360BE8" w:rsidRPr="006A34DD">
        <w:rPr>
          <w:rStyle w:val="FootnoteReference"/>
          <w:szCs w:val="22"/>
          <w:rtl/>
        </w:rPr>
        <w:t>(</w:t>
      </w:r>
      <w:r w:rsidR="00360BE8" w:rsidRPr="006A34DD">
        <w:rPr>
          <w:rStyle w:val="FootnoteReference"/>
          <w:szCs w:val="22"/>
          <w:lang w:val="en-US"/>
        </w:rPr>
        <w:footnoteReference w:id="7"/>
      </w:r>
      <w:r w:rsidR="00360BE8" w:rsidRPr="006A34DD">
        <w:rPr>
          <w:rStyle w:val="FootnoteReference"/>
          <w:color w:val="000000"/>
          <w:szCs w:val="22"/>
          <w:rtl/>
        </w:rPr>
        <w:t>)</w:t>
      </w:r>
      <w:r w:rsidR="00360BE8" w:rsidRPr="00360BE8">
        <w:rPr>
          <w:rFonts w:eastAsiaTheme="minorEastAsia"/>
          <w:color w:val="000000"/>
          <w:rtl/>
        </w:rPr>
        <w:t>، </w:t>
      </w:r>
      <w:r w:rsidRPr="001C6B44">
        <w:rPr>
          <w:rFonts w:eastAsiaTheme="minorEastAsia"/>
          <w:rtl/>
        </w:rPr>
        <w:t>بما أن وفاة صاحب البلاغ جعلت البلاغ خالي</w:t>
      </w:r>
      <w:r w:rsidR="00BF23DF">
        <w:rPr>
          <w:rFonts w:eastAsiaTheme="minorEastAsia"/>
          <w:rtl/>
        </w:rPr>
        <w:t xml:space="preserve">اً </w:t>
      </w:r>
      <w:r w:rsidRPr="001C6B44">
        <w:rPr>
          <w:rFonts w:eastAsiaTheme="minorEastAsia"/>
          <w:rtl/>
        </w:rPr>
        <w:t>من الأغراض.</w:t>
      </w:r>
    </w:p>
    <w:p w14:paraId="71E9CB07"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12</w:t>
      </w:r>
      <w:r w:rsidRPr="001C6B44">
        <w:rPr>
          <w:rFonts w:eastAsiaTheme="minorEastAsia"/>
          <w:rtl/>
        </w:rPr>
        <w:t>-</w:t>
      </w:r>
      <w:r w:rsidRPr="001C6B44">
        <w:rPr>
          <w:rFonts w:eastAsiaTheme="minorEastAsia"/>
          <w:rtl/>
        </w:rPr>
        <w:tab/>
        <w:t xml:space="preserve">وستتاح الآراء والمقررات التي اعتمدتها اللجنة بشأن البلاغات في الموقع الشبكي للجنة. </w:t>
      </w:r>
    </w:p>
    <w:p w14:paraId="311EC261" w14:textId="6B1C2B48" w:rsidR="00551F9E" w:rsidRPr="006A34DD" w:rsidRDefault="00147269" w:rsidP="00147269">
      <w:pPr>
        <w:pStyle w:val="HChGA"/>
        <w:rPr>
          <w:lang w:val="ar-SA" w:eastAsia="zh-TW" w:bidi="en-GB"/>
        </w:rPr>
      </w:pPr>
      <w:r w:rsidRPr="006A34DD">
        <w:rPr>
          <w:rtl/>
        </w:rPr>
        <w:tab/>
      </w:r>
      <w:r w:rsidR="00551F9E" w:rsidRPr="006A34DD">
        <w:rPr>
          <w:rtl/>
        </w:rPr>
        <w:t>سابعا</w:t>
      </w:r>
      <w:r w:rsidRPr="006A34DD">
        <w:rPr>
          <w:rFonts w:hint="cs"/>
          <w:rtl/>
        </w:rPr>
        <w:t>ً</w:t>
      </w:r>
      <w:r w:rsidR="00551F9E" w:rsidRPr="006A34DD">
        <w:rPr>
          <w:rtl/>
        </w:rPr>
        <w:t>-</w:t>
      </w:r>
      <w:r w:rsidR="00551F9E" w:rsidRPr="006A34DD">
        <w:rPr>
          <w:rtl/>
        </w:rPr>
        <w:tab/>
        <w:t>قرارات أخرى</w:t>
      </w:r>
    </w:p>
    <w:p w14:paraId="0B383184" w14:textId="114DAA48" w:rsidR="00360BE8" w:rsidRPr="00360BE8" w:rsidRDefault="00551F9E" w:rsidP="001C6B44">
      <w:pPr>
        <w:pStyle w:val="SingleTxtGA"/>
        <w:rPr>
          <w:rFonts w:eastAsiaTheme="minorEastAsia"/>
          <w:color w:val="000000"/>
          <w:lang w:val="ar-SA" w:eastAsia="zh-TW" w:bidi="en-GB"/>
        </w:rPr>
      </w:pPr>
      <w:r w:rsidRPr="006A34DD">
        <w:rPr>
          <w:rFonts w:eastAsiaTheme="minorEastAsia"/>
          <w:rtl/>
        </w:rPr>
        <w:t>13</w:t>
      </w:r>
      <w:r w:rsidR="00147269">
        <w:rPr>
          <w:rFonts w:eastAsiaTheme="minorEastAsia"/>
          <w:rtl/>
        </w:rPr>
        <w:t>-</w:t>
      </w:r>
      <w:r w:rsidR="00147269">
        <w:rPr>
          <w:rFonts w:eastAsiaTheme="minorEastAsia"/>
          <w:rtl/>
        </w:rPr>
        <w:tab/>
      </w:r>
      <w:r w:rsidRPr="001C6B44">
        <w:rPr>
          <w:rFonts w:eastAsiaTheme="minorEastAsia"/>
          <w:rtl/>
        </w:rPr>
        <w:t>اعتمدت اللجنة ولجنة حقوق الطفل بيان</w:t>
      </w:r>
      <w:r w:rsidR="00BF23DF">
        <w:rPr>
          <w:rFonts w:eastAsiaTheme="minorEastAsia"/>
          <w:rtl/>
        </w:rPr>
        <w:t xml:space="preserve">اً </w:t>
      </w:r>
      <w:r w:rsidRPr="001C6B44">
        <w:rPr>
          <w:rFonts w:eastAsiaTheme="minorEastAsia"/>
          <w:rtl/>
        </w:rPr>
        <w:t>مشترك</w:t>
      </w:r>
      <w:r w:rsidR="00BF23DF">
        <w:rPr>
          <w:rFonts w:eastAsiaTheme="minorEastAsia"/>
          <w:rtl/>
        </w:rPr>
        <w:t xml:space="preserve">اً </w:t>
      </w:r>
      <w:r w:rsidRPr="001C6B44">
        <w:rPr>
          <w:rFonts w:eastAsiaTheme="minorEastAsia"/>
          <w:rtl/>
        </w:rPr>
        <w:t>بشأن حقوق الأطفال ذوي الإعاقة. وهو نتاج مشروع امتد لثلاث سنوات</w:t>
      </w:r>
      <w:r w:rsidR="00360BE8" w:rsidRPr="006A34DD">
        <w:rPr>
          <w:rStyle w:val="FootnoteReference"/>
          <w:szCs w:val="22"/>
          <w:rtl/>
        </w:rPr>
        <w:t>(</w:t>
      </w:r>
      <w:r w:rsidR="00360BE8" w:rsidRPr="006A34DD">
        <w:rPr>
          <w:rStyle w:val="FootnoteReference"/>
          <w:szCs w:val="22"/>
          <w:lang w:val="en-US"/>
        </w:rPr>
        <w:footnoteReference w:id="8"/>
      </w:r>
      <w:r w:rsidR="00360BE8" w:rsidRPr="006A34DD">
        <w:rPr>
          <w:rStyle w:val="FootnoteReference"/>
          <w:color w:val="000000"/>
          <w:szCs w:val="22"/>
          <w:rtl/>
        </w:rPr>
        <w:t>)</w:t>
      </w:r>
      <w:r w:rsidR="00360BE8" w:rsidRPr="00360BE8">
        <w:rPr>
          <w:rFonts w:eastAsiaTheme="minorEastAsia" w:hint="cs"/>
          <w:color w:val="000000"/>
          <w:rtl/>
        </w:rPr>
        <w:t>.</w:t>
      </w:r>
    </w:p>
    <w:p w14:paraId="09939440" w14:textId="05D03E8B" w:rsidR="00551F9E" w:rsidRPr="00147269" w:rsidRDefault="00551F9E" w:rsidP="001C6B44">
      <w:pPr>
        <w:pStyle w:val="SingleTxtGA"/>
        <w:rPr>
          <w:rFonts w:eastAsiaTheme="minorEastAsia"/>
          <w:lang w:val="en-US" w:eastAsia="zh-TW" w:bidi="en-GB"/>
        </w:rPr>
      </w:pPr>
      <w:r w:rsidRPr="006A34DD">
        <w:rPr>
          <w:rFonts w:eastAsiaTheme="minorEastAsia"/>
          <w:rtl/>
        </w:rPr>
        <w:t>14</w:t>
      </w:r>
      <w:r w:rsidRPr="001C6B44">
        <w:rPr>
          <w:rFonts w:eastAsiaTheme="minorEastAsia"/>
          <w:rtl/>
        </w:rPr>
        <w:t>-</w:t>
      </w:r>
      <w:r w:rsidRPr="001C6B44">
        <w:rPr>
          <w:rFonts w:eastAsiaTheme="minorEastAsia"/>
          <w:rtl/>
        </w:rPr>
        <w:tab/>
        <w:t xml:space="preserve">وأيّدت اللجنة خطة العمل التي اعتمدها الفريق العامل المعني بالنساء والفتيات ذوات الإعاقة. وتنص خطة العمل على مشاركة اللجنة مع أصحاب المصلحة المعنيين في تعزيز المحتوى الموضوعي للوثائق المعدّة بشأن حقوق النساء والفتيات ذوات الإعاقة وفي تشجيع النساء والفتيات ذوات الإعاقة على المشاركة بنشاط في أعمال اللجنة. </w:t>
      </w:r>
    </w:p>
    <w:p w14:paraId="7DAB18C3"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15</w:t>
      </w:r>
      <w:r w:rsidRPr="001C6B44">
        <w:rPr>
          <w:rFonts w:eastAsiaTheme="minorEastAsia"/>
          <w:rtl/>
        </w:rPr>
        <w:t>-</w:t>
      </w:r>
      <w:r w:rsidRPr="001C6B44">
        <w:rPr>
          <w:rFonts w:eastAsiaTheme="minorEastAsia"/>
          <w:rtl/>
        </w:rPr>
        <w:tab/>
        <w:t xml:space="preserve">واعتمدت اللجنة هذا التقرير عن دورتها السادسة والعشرين. </w:t>
      </w:r>
    </w:p>
    <w:p w14:paraId="27E1F5EA"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16</w:t>
      </w:r>
      <w:r w:rsidRPr="001C6B44">
        <w:rPr>
          <w:rFonts w:eastAsiaTheme="minorEastAsia"/>
          <w:rtl/>
        </w:rPr>
        <w:t>-</w:t>
      </w:r>
      <w:r w:rsidRPr="001C6B44">
        <w:rPr>
          <w:rFonts w:eastAsiaTheme="minorEastAsia"/>
          <w:rtl/>
        </w:rPr>
        <w:tab/>
        <w:t>ويمكن الاطلاع على قائمة كاملة بالقرارات التي اعتمدتها اللجنة في المرفق الأول لهذا التقرير.</w:t>
      </w:r>
    </w:p>
    <w:p w14:paraId="22A3DC44" w14:textId="7B78944F" w:rsidR="00551F9E" w:rsidRPr="006A34DD" w:rsidRDefault="00147269" w:rsidP="00147269">
      <w:pPr>
        <w:pStyle w:val="HChGA"/>
        <w:rPr>
          <w:lang w:val="ar-SA" w:eastAsia="zh-TW" w:bidi="en-GB"/>
        </w:rPr>
      </w:pPr>
      <w:r w:rsidRPr="006A34DD">
        <w:rPr>
          <w:rtl/>
        </w:rPr>
        <w:tab/>
      </w:r>
      <w:r w:rsidR="00551F9E" w:rsidRPr="006A34DD">
        <w:rPr>
          <w:rtl/>
        </w:rPr>
        <w:t>ثامنا</w:t>
      </w:r>
      <w:r w:rsidRPr="006A34DD">
        <w:rPr>
          <w:rFonts w:hint="cs"/>
          <w:rtl/>
        </w:rPr>
        <w:t>ً</w:t>
      </w:r>
      <w:r w:rsidR="00551F9E" w:rsidRPr="006A34DD">
        <w:rPr>
          <w:rtl/>
        </w:rPr>
        <w:t>-</w:t>
      </w:r>
      <w:r w:rsidR="00551F9E" w:rsidRPr="006A34DD">
        <w:rPr>
          <w:rtl/>
        </w:rPr>
        <w:tab/>
        <w:t>الدورات المقبلة</w:t>
      </w:r>
    </w:p>
    <w:p w14:paraId="0345D068" w14:textId="7BDC7F29" w:rsidR="00551F9E" w:rsidRPr="001C6B44" w:rsidRDefault="00551F9E" w:rsidP="001C6B44">
      <w:pPr>
        <w:pStyle w:val="SingleTxtGA"/>
        <w:rPr>
          <w:rFonts w:eastAsiaTheme="minorEastAsia"/>
          <w:lang w:val="ar-SA" w:eastAsia="zh-TW" w:bidi="en-GB"/>
        </w:rPr>
      </w:pPr>
      <w:r w:rsidRPr="006A34DD">
        <w:rPr>
          <w:rFonts w:eastAsiaTheme="minorEastAsia"/>
          <w:rtl/>
        </w:rPr>
        <w:t>17</w:t>
      </w:r>
      <w:r w:rsidRPr="001C6B44">
        <w:rPr>
          <w:rFonts w:eastAsiaTheme="minorEastAsia"/>
          <w:rtl/>
        </w:rPr>
        <w:t>-</w:t>
      </w:r>
      <w:r w:rsidRPr="001C6B44">
        <w:rPr>
          <w:rFonts w:eastAsiaTheme="minorEastAsia"/>
          <w:rtl/>
        </w:rPr>
        <w:tab/>
        <w:t xml:space="preserve">من المقرر مبدئياً أن تُعقد الدورة السابعة والعشرون للجنة في الفترة من </w:t>
      </w:r>
      <w:r w:rsidRPr="006A34DD">
        <w:rPr>
          <w:rFonts w:eastAsiaTheme="minorEastAsia"/>
          <w:rtl/>
        </w:rPr>
        <w:t>15</w:t>
      </w:r>
      <w:r w:rsidRPr="001C6B44">
        <w:rPr>
          <w:rFonts w:eastAsiaTheme="minorEastAsia"/>
          <w:rtl/>
        </w:rPr>
        <w:t xml:space="preserve"> آب/أغسطس إلى </w:t>
      </w:r>
      <w:r w:rsidRPr="006A34DD">
        <w:rPr>
          <w:rFonts w:eastAsiaTheme="minorEastAsia"/>
          <w:rtl/>
        </w:rPr>
        <w:t>9</w:t>
      </w:r>
      <w:r w:rsidRPr="001C6B44">
        <w:rPr>
          <w:rFonts w:eastAsiaTheme="minorEastAsia"/>
          <w:rtl/>
        </w:rPr>
        <w:t xml:space="preserve"> أيلول/سبتمبر </w:t>
      </w:r>
      <w:r w:rsidRPr="006A34DD">
        <w:rPr>
          <w:rFonts w:eastAsiaTheme="minorEastAsia"/>
          <w:rtl/>
        </w:rPr>
        <w:t>202</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وسيُعقد في إثرها الاجتماع السادس عشر للفريق العامل لما قبل الدورة في الفترة من</w:t>
      </w:r>
      <w:r w:rsidR="00B233BD">
        <w:rPr>
          <w:rFonts w:eastAsiaTheme="minorEastAsia" w:hint="cs"/>
          <w:rtl/>
        </w:rPr>
        <w:t> </w:t>
      </w:r>
      <w:r w:rsidRPr="006A34DD">
        <w:rPr>
          <w:rFonts w:eastAsiaTheme="minorEastAsia"/>
          <w:rtl/>
        </w:rPr>
        <w:t>12</w:t>
      </w:r>
      <w:r w:rsidRPr="001C6B44">
        <w:rPr>
          <w:rFonts w:eastAsiaTheme="minorEastAsia"/>
          <w:rtl/>
        </w:rPr>
        <w:t xml:space="preserve"> إلى </w:t>
      </w:r>
      <w:r w:rsidRPr="006A34DD">
        <w:rPr>
          <w:rFonts w:eastAsiaTheme="minorEastAsia"/>
          <w:rtl/>
        </w:rPr>
        <w:t>16</w:t>
      </w:r>
      <w:r w:rsidRPr="001C6B44">
        <w:rPr>
          <w:rFonts w:eastAsiaTheme="minorEastAsia"/>
          <w:rtl/>
        </w:rPr>
        <w:t xml:space="preserve"> أيلول/سبتمبر </w:t>
      </w:r>
      <w:r w:rsidRPr="006A34DD">
        <w:rPr>
          <w:rFonts w:eastAsiaTheme="minorEastAsia"/>
          <w:rtl/>
        </w:rPr>
        <w:t>202</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وفي سياق جائحة مرض فيروس كورونا (كوفيد-</w:t>
      </w:r>
      <w:r w:rsidRPr="006A34DD">
        <w:rPr>
          <w:rFonts w:eastAsiaTheme="minorEastAsia"/>
          <w:rtl/>
        </w:rPr>
        <w:t>19</w:t>
      </w:r>
      <w:r w:rsidR="00360BE8" w:rsidRPr="00360BE8">
        <w:rPr>
          <w:rFonts w:eastAsiaTheme="minorEastAsia"/>
          <w:color w:val="000000"/>
          <w:rtl/>
        </w:rPr>
        <w:t xml:space="preserve">)، </w:t>
      </w:r>
      <w:r w:rsidRPr="001C6B44">
        <w:rPr>
          <w:rFonts w:eastAsiaTheme="minorEastAsia"/>
          <w:rtl/>
        </w:rPr>
        <w:t>ستواصل المفوضية تقييم مدى إمكانية عقد دورات هيئات المعاهدات حضورياً. فإن تعذر عقد الدورة حضوري</w:t>
      </w:r>
      <w:r w:rsidR="00BF23DF">
        <w:rPr>
          <w:rFonts w:eastAsiaTheme="minorEastAsia"/>
          <w:rtl/>
        </w:rPr>
        <w:t xml:space="preserve">اً، </w:t>
      </w:r>
      <w:r w:rsidRPr="001C6B44">
        <w:rPr>
          <w:rFonts w:eastAsiaTheme="minorEastAsia"/>
          <w:rtl/>
        </w:rPr>
        <w:t>ستقرر الرئاسة، بدعم من الأمين، مسار العمل المناسب.</w:t>
      </w:r>
    </w:p>
    <w:p w14:paraId="2858E5FF" w14:textId="2C956701" w:rsidR="00551F9E" w:rsidRPr="006A34DD" w:rsidRDefault="00147269" w:rsidP="00147269">
      <w:pPr>
        <w:pStyle w:val="HChGA"/>
        <w:rPr>
          <w:lang w:val="ar-SA" w:eastAsia="zh-TW" w:bidi="en-GB"/>
        </w:rPr>
      </w:pPr>
      <w:r w:rsidRPr="006A34DD">
        <w:rPr>
          <w:rtl/>
        </w:rPr>
        <w:tab/>
      </w:r>
      <w:r w:rsidR="00551F9E" w:rsidRPr="006A34DD">
        <w:rPr>
          <w:rtl/>
        </w:rPr>
        <w:t>تاسعا</w:t>
      </w:r>
      <w:r w:rsidRPr="006A34DD">
        <w:rPr>
          <w:rFonts w:hint="cs"/>
          <w:rtl/>
        </w:rPr>
        <w:t>ً</w:t>
      </w:r>
      <w:r w:rsidR="00551F9E" w:rsidRPr="006A34DD">
        <w:rPr>
          <w:rtl/>
        </w:rPr>
        <w:t>-</w:t>
      </w:r>
      <w:r w:rsidR="00551F9E" w:rsidRPr="006A34DD">
        <w:rPr>
          <w:rtl/>
        </w:rPr>
        <w:tab/>
        <w:t>تيسير المشاركة في جلسات اللجنة</w:t>
      </w:r>
    </w:p>
    <w:p w14:paraId="757C34AA" w14:textId="0A03C7C5" w:rsidR="00551F9E" w:rsidRPr="001C6B44" w:rsidRDefault="00551F9E" w:rsidP="001C6B44">
      <w:pPr>
        <w:pStyle w:val="SingleTxtGA"/>
        <w:rPr>
          <w:rFonts w:eastAsiaTheme="minorEastAsia"/>
          <w:lang w:val="ar-SA" w:eastAsia="zh-TW" w:bidi="en-GB"/>
        </w:rPr>
      </w:pPr>
      <w:r w:rsidRPr="006A34DD">
        <w:rPr>
          <w:rFonts w:eastAsiaTheme="minorEastAsia"/>
          <w:rtl/>
        </w:rPr>
        <w:t>18</w:t>
      </w:r>
      <w:r w:rsidR="00147269">
        <w:rPr>
          <w:rFonts w:eastAsiaTheme="minorEastAsia"/>
          <w:rtl/>
        </w:rPr>
        <w:t>-</w:t>
      </w:r>
      <w:r w:rsidR="00147269">
        <w:rPr>
          <w:rFonts w:eastAsiaTheme="minorEastAsia"/>
          <w:rtl/>
        </w:rPr>
        <w:tab/>
      </w:r>
      <w:r w:rsidRPr="001C6B44">
        <w:rPr>
          <w:rFonts w:eastAsiaTheme="minorEastAsia"/>
          <w:rtl/>
        </w:rPr>
        <w:t>عُقدت الدورة السادسة والعشرون للجنة في شكل مختلط، إذ شارك أعضاء اللجنة ووفود الدول الأطراف شخصي</w:t>
      </w:r>
      <w:r w:rsidR="00BF23DF">
        <w:rPr>
          <w:rFonts w:eastAsiaTheme="minorEastAsia"/>
          <w:rtl/>
        </w:rPr>
        <w:t xml:space="preserve">اً </w:t>
      </w:r>
      <w:r w:rsidRPr="001C6B44">
        <w:rPr>
          <w:rFonts w:eastAsiaTheme="minorEastAsia"/>
          <w:rtl/>
        </w:rPr>
        <w:t>في جنيف وعن بعد وعبر الإنترنت. كما شاركت الجهات المعنية، بما في ذلك المجتمع المدني والمؤسسات الوطنية لحقوق الإنسان والوكالات المتخصصة وغيرها من هيئات الأمم المتحدة، مشاركة افتراضية. واستخدم الأعضاء والمشاركون منصة إلكترونية للترجمة الفورية المتزامنة بلغات عمل اللجنة الثلا</w:t>
      </w:r>
      <w:r w:rsidR="00324D52">
        <w:rPr>
          <w:rFonts w:eastAsiaTheme="minorEastAsia" w:hint="cs"/>
          <w:rtl/>
        </w:rPr>
        <w:t>ث</w:t>
      </w:r>
      <w:r w:rsidRPr="001C6B44">
        <w:rPr>
          <w:rFonts w:eastAsiaTheme="minorEastAsia"/>
          <w:rtl/>
        </w:rPr>
        <w:t xml:space="preserve"> (الإسبانية والإنكليزية والفرنسية</w:t>
      </w:r>
      <w:r w:rsidR="00360BE8" w:rsidRPr="00360BE8">
        <w:rPr>
          <w:rFonts w:eastAsiaTheme="minorEastAsia"/>
          <w:color w:val="000000"/>
          <w:rtl/>
        </w:rPr>
        <w:t xml:space="preserve">). </w:t>
      </w:r>
      <w:r w:rsidRPr="001C6B44">
        <w:rPr>
          <w:rFonts w:eastAsiaTheme="minorEastAsia"/>
          <w:rtl/>
        </w:rPr>
        <w:t xml:space="preserve">وأتيحَت أيضاً الترجمة الفورية بالإشارات الدولية، والترجمة </w:t>
      </w:r>
      <w:r w:rsidRPr="001C6B44">
        <w:rPr>
          <w:rFonts w:eastAsiaTheme="minorEastAsia"/>
          <w:rtl/>
        </w:rPr>
        <w:lastRenderedPageBreak/>
        <w:t xml:space="preserve">الفورية بلغة الإشارة المكسيكية، والترجمة الفورية بلغة الإشارة الفنزويلية، والترجمة الفورية بلغة الإشارة الجامايكية، ونُسخ الوثائق بطريقة برايل، والتعليق التوضيحي عن بُعد باللغة الانكليزية. وبثت الاجتماعات العامة على شبكة الإنترنت. وعلى الرغم من أن المنصة الإلكترونية متاحة للأشخاص ذوي الإعاقة أكثر من تلك التي استُخدمت في الدورات السابقة، </w:t>
      </w:r>
      <w:r w:rsidR="00B233BD">
        <w:rPr>
          <w:rFonts w:eastAsiaTheme="minorEastAsia"/>
          <w:rtl/>
        </w:rPr>
        <w:t>ما زال</w:t>
      </w:r>
      <w:r w:rsidRPr="001C6B44">
        <w:rPr>
          <w:rFonts w:eastAsiaTheme="minorEastAsia"/>
          <w:rtl/>
        </w:rPr>
        <w:t xml:space="preserve"> بعض الأعضاء يعتمدون مضطرين على دعم المساعدين الشخصيين للمشاركة في الاجتماعات على قدم المساواة مع الآخرين. وتبذل المفوضية جهود</w:t>
      </w:r>
      <w:r w:rsidR="00BF23DF">
        <w:rPr>
          <w:rFonts w:eastAsiaTheme="minorEastAsia"/>
          <w:rtl/>
        </w:rPr>
        <w:t xml:space="preserve">اً </w:t>
      </w:r>
      <w:r w:rsidRPr="001C6B44">
        <w:rPr>
          <w:rFonts w:eastAsiaTheme="minorEastAsia"/>
          <w:rtl/>
        </w:rPr>
        <w:t xml:space="preserve">إضافية لتوفير الترتيبات </w:t>
      </w:r>
      <w:proofErr w:type="spellStart"/>
      <w:r w:rsidRPr="001C6B44">
        <w:rPr>
          <w:rFonts w:eastAsiaTheme="minorEastAsia"/>
          <w:rtl/>
        </w:rPr>
        <w:t>التيسيرية</w:t>
      </w:r>
      <w:proofErr w:type="spellEnd"/>
      <w:r w:rsidRPr="001C6B44">
        <w:rPr>
          <w:rFonts w:eastAsiaTheme="minorEastAsia"/>
          <w:rtl/>
        </w:rPr>
        <w:t xml:space="preserve"> المعقولة للأعضاء الذين سيحتاجون إليها في الدورات المختلطة والإلكترونية المقبلة. ولم تتَح أثناء الدورة أي نسخ من الوثائق باللغة المبسطة أو الصيغة السهلة القراءة.</w:t>
      </w:r>
    </w:p>
    <w:p w14:paraId="38FD441C" w14:textId="4CAD35BC" w:rsidR="00551F9E" w:rsidRPr="006A34DD" w:rsidRDefault="00147269" w:rsidP="00147269">
      <w:pPr>
        <w:pStyle w:val="HChGA"/>
        <w:rPr>
          <w:lang w:val="ar-SA" w:eastAsia="zh-TW" w:bidi="en-GB"/>
        </w:rPr>
      </w:pPr>
      <w:r w:rsidRPr="006A34DD">
        <w:rPr>
          <w:rtl/>
        </w:rPr>
        <w:tab/>
      </w:r>
      <w:r w:rsidR="00551F9E" w:rsidRPr="006A34DD">
        <w:rPr>
          <w:rtl/>
        </w:rPr>
        <w:t>عاشرا</w:t>
      </w:r>
      <w:r w:rsidRPr="006A34DD">
        <w:rPr>
          <w:rFonts w:hint="cs"/>
          <w:rtl/>
        </w:rPr>
        <w:t>ً</w:t>
      </w:r>
      <w:r w:rsidR="00551F9E" w:rsidRPr="006A34DD">
        <w:rPr>
          <w:rtl/>
        </w:rPr>
        <w:t>-</w:t>
      </w:r>
      <w:r w:rsidR="00551F9E" w:rsidRPr="006A34DD">
        <w:rPr>
          <w:rtl/>
        </w:rPr>
        <w:tab/>
        <w:t>التعاون مع الهيئات الأخرى</w:t>
      </w:r>
    </w:p>
    <w:p w14:paraId="672AC4CE" w14:textId="4862E60D" w:rsidR="00551F9E" w:rsidRPr="006A34DD" w:rsidRDefault="00147269" w:rsidP="00147269">
      <w:pPr>
        <w:pStyle w:val="H1GA"/>
        <w:rPr>
          <w:lang w:val="ar-SA" w:eastAsia="zh-TW" w:bidi="en-GB"/>
        </w:rPr>
      </w:pPr>
      <w:r w:rsidRPr="006A34DD">
        <w:rPr>
          <w:rtl/>
        </w:rPr>
        <w:tab/>
      </w:r>
      <w:r w:rsidR="00551F9E" w:rsidRPr="006A34DD">
        <w:rPr>
          <w:rtl/>
        </w:rPr>
        <w:t>ألف-</w:t>
      </w:r>
      <w:r w:rsidR="00551F9E" w:rsidRPr="006A34DD">
        <w:rPr>
          <w:rtl/>
        </w:rPr>
        <w:tab/>
        <w:t>التعاون مع أجهزة الأمم المتحدة ووكالاتها المتخصِّصة</w:t>
      </w:r>
    </w:p>
    <w:p w14:paraId="6ECCFC7B" w14:textId="13C739FD" w:rsidR="00551F9E" w:rsidRPr="001C6B44" w:rsidRDefault="00551F9E" w:rsidP="001C6B44">
      <w:pPr>
        <w:pStyle w:val="SingleTxtGA"/>
        <w:rPr>
          <w:rFonts w:eastAsiaTheme="minorEastAsia"/>
          <w:lang w:val="ar-SA" w:eastAsia="zh-TW" w:bidi="en-GB"/>
        </w:rPr>
      </w:pPr>
      <w:r w:rsidRPr="006A34DD">
        <w:rPr>
          <w:rFonts w:eastAsiaTheme="minorEastAsia"/>
          <w:rtl/>
        </w:rPr>
        <w:t>19</w:t>
      </w:r>
      <w:r w:rsidRPr="001C6B44">
        <w:rPr>
          <w:rFonts w:eastAsiaTheme="minorEastAsia"/>
          <w:rtl/>
        </w:rPr>
        <w:t>-</w:t>
      </w:r>
      <w:r w:rsidRPr="001C6B44">
        <w:rPr>
          <w:rFonts w:eastAsiaTheme="minorEastAsia"/>
          <w:rtl/>
        </w:rPr>
        <w:tab/>
        <w:t>في الجلسة الافتتاحية للدورة، أدلى ببيانات ممثلو وكالات الأمم المتحدة وإداراتها وبرامجها التالية: منظمة الأمم المتحدة للطفولة، ومنظمة العمل الدولية، والمقرر الخاص المعني بحقوق الإنسان للمشردين داخلي</w:t>
      </w:r>
      <w:r w:rsidR="00BF23DF">
        <w:rPr>
          <w:rFonts w:eastAsiaTheme="minorEastAsia"/>
          <w:rtl/>
        </w:rPr>
        <w:t xml:space="preserve">اً، </w:t>
      </w:r>
      <w:r w:rsidRPr="001C6B44">
        <w:rPr>
          <w:rFonts w:eastAsiaTheme="minorEastAsia"/>
          <w:rtl/>
        </w:rPr>
        <w:t>ومفوضية الأمم المتحدة لشؤون اللاجئين، والمنظمة الدولية للهجرة، وصندوق الأمم المتحدة للسكان، واللجنة الدائمة المعنية بمساعدة الضحايا والإدماج الاجتماعي والاقتصادي، واتفاقية حظر استعمال وتكديس وإنتاج ونقل الألغام المضادة للأفراد وتدمير تلك الألغام.</w:t>
      </w:r>
      <w:bookmarkStart w:id="0" w:name="_Hlk104209245"/>
      <w:bookmarkEnd w:id="0"/>
    </w:p>
    <w:p w14:paraId="48FEFF3B" w14:textId="7C2B69E3" w:rsidR="00551F9E" w:rsidRPr="001C6B44" w:rsidRDefault="00551F9E" w:rsidP="001C6B44">
      <w:pPr>
        <w:pStyle w:val="SingleTxtGA"/>
        <w:rPr>
          <w:rFonts w:eastAsiaTheme="minorEastAsia"/>
          <w:lang w:val="ar-SA" w:eastAsia="zh-TW" w:bidi="en-GB"/>
        </w:rPr>
      </w:pPr>
      <w:r w:rsidRPr="006A34DD">
        <w:rPr>
          <w:rFonts w:eastAsiaTheme="minorEastAsia"/>
          <w:rtl/>
        </w:rPr>
        <w:t>20</w:t>
      </w:r>
      <w:r w:rsidRPr="001C6B44">
        <w:rPr>
          <w:rFonts w:eastAsiaTheme="minorEastAsia"/>
          <w:rtl/>
        </w:rPr>
        <w:t>-</w:t>
      </w:r>
      <w:r w:rsidRPr="001C6B44">
        <w:rPr>
          <w:rFonts w:eastAsiaTheme="minorEastAsia"/>
          <w:rtl/>
        </w:rPr>
        <w:tab/>
        <w:t xml:space="preserve">وفي الجلسة </w:t>
      </w:r>
      <w:r w:rsidRPr="006A34DD">
        <w:rPr>
          <w:rFonts w:eastAsiaTheme="minorEastAsia"/>
          <w:rtl/>
        </w:rPr>
        <w:t>573</w:t>
      </w:r>
      <w:r w:rsidRPr="001C6B44">
        <w:rPr>
          <w:rFonts w:eastAsiaTheme="minorEastAsia"/>
          <w:rtl/>
        </w:rPr>
        <w:t xml:space="preserve"> المعقودة في </w:t>
      </w:r>
      <w:r w:rsidRPr="006A34DD">
        <w:rPr>
          <w:rFonts w:eastAsiaTheme="minorEastAsia"/>
          <w:rtl/>
        </w:rPr>
        <w:t>21</w:t>
      </w:r>
      <w:r w:rsidRPr="001C6B44">
        <w:rPr>
          <w:rFonts w:eastAsiaTheme="minorEastAsia"/>
          <w:rtl/>
        </w:rPr>
        <w:t xml:space="preserve"> آذار/مارس </w:t>
      </w:r>
      <w:r w:rsidRPr="006A34DD">
        <w:rPr>
          <w:rFonts w:eastAsiaTheme="minorEastAsia"/>
          <w:rtl/>
        </w:rPr>
        <w:t>2022</w:t>
      </w:r>
      <w:r w:rsidRPr="001C6B44">
        <w:rPr>
          <w:rFonts w:eastAsiaTheme="minorEastAsia"/>
          <w:rtl/>
        </w:rPr>
        <w:t>، أتاحت اللجنة ولجنة حقوق الطفل بيانهما المشترك بشأن حقوق الأطفال ذوي الإعاقة للجمهور. وكان الهدف من البيان هو تنسيق المسائل المتصلة باحترام حقوق الأطفال ذوي الإعاقة وحمايتها وإعمالها، وفق</w:t>
      </w:r>
      <w:r w:rsidR="00BF23DF">
        <w:rPr>
          <w:rFonts w:eastAsiaTheme="minorEastAsia"/>
          <w:rtl/>
        </w:rPr>
        <w:t xml:space="preserve">اً </w:t>
      </w:r>
      <w:r w:rsidRPr="001C6B44">
        <w:rPr>
          <w:rFonts w:eastAsiaTheme="minorEastAsia"/>
          <w:rtl/>
        </w:rPr>
        <w:t>للاتفاقية واتفاقية حقوق الطفل. وقدّمت توجيهات إلى الدول الأطراف وأصحاب المصلحة، بما في ذلك كيانات الأمم المتحدة، والمؤسسات الوطنية لحقوق الإنسان، ومنظمات حقوق الإنسان الإقليمية، ومنظمات المجتمع المدني، بما فيها تلك المتخصصة في حقوق الطفل وحقوق الأشخاص ذوي الإعاقة، بشأن تفسير الالتزامات الناشئة بصورة مشتركة من كلتا الاتفاقيتين. وكان البيان نتاج</w:t>
      </w:r>
      <w:r w:rsidR="00BF23DF">
        <w:rPr>
          <w:rFonts w:eastAsiaTheme="minorEastAsia"/>
          <w:rtl/>
        </w:rPr>
        <w:t xml:space="preserve">اً </w:t>
      </w:r>
      <w:r w:rsidRPr="001C6B44">
        <w:rPr>
          <w:rFonts w:eastAsiaTheme="minorEastAsia"/>
          <w:rtl/>
        </w:rPr>
        <w:t xml:space="preserve">لمشروع مشترك مدته ثلاث سنوات اضطلعت به هيئتا معاهدات حقوق الإنسان. وبُث الحدث عبر الإنترنت. </w:t>
      </w:r>
    </w:p>
    <w:p w14:paraId="799260B5" w14:textId="54E0683B" w:rsidR="00551F9E" w:rsidRPr="006A34DD" w:rsidRDefault="00147269" w:rsidP="00147269">
      <w:pPr>
        <w:pStyle w:val="H1GA"/>
        <w:rPr>
          <w:lang w:val="ar-SA" w:eastAsia="zh-TW" w:bidi="en-GB"/>
        </w:rPr>
      </w:pPr>
      <w:r w:rsidRPr="006A34DD">
        <w:rPr>
          <w:rtl/>
        </w:rPr>
        <w:tab/>
      </w:r>
      <w:r w:rsidR="00551F9E" w:rsidRPr="006A34DD">
        <w:rPr>
          <w:rtl/>
        </w:rPr>
        <w:t>باء-</w:t>
      </w:r>
      <w:r w:rsidR="00551F9E" w:rsidRPr="006A34DD">
        <w:rPr>
          <w:rtl/>
        </w:rPr>
        <w:tab/>
        <w:t>التعاون مع المنظمات غير الحكومية ومع الهيئات الأخرى</w:t>
      </w:r>
    </w:p>
    <w:p w14:paraId="7F94FDA1"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21</w:t>
      </w:r>
      <w:r w:rsidRPr="001C6B44">
        <w:rPr>
          <w:rFonts w:eastAsiaTheme="minorEastAsia"/>
          <w:rtl/>
        </w:rPr>
        <w:t>-</w:t>
      </w:r>
      <w:r w:rsidRPr="001C6B44">
        <w:rPr>
          <w:rFonts w:eastAsiaTheme="minorEastAsia"/>
          <w:rtl/>
        </w:rPr>
        <w:tab/>
        <w:t xml:space="preserve">في الجلسة الافتتاحية للدورة، خاطب اللجنة ممثلون عن مركز حقوق الإنسان لمستخدمي الطب النفسي والناجين منه، وتحالف بلدان أمريكا اللاتينية لإنهاء إيداع الأشخاص ذوي الإعاقة في مؤسسات الرعاية، والمنتدى الأوروبي المعني بالإعاقة، والشبكة الأوروبية للعيش المستقل، والتحالف العالمي المعني بإنهاء الإيداع في المؤسسات، والتحالف الدولي المعني بقضايا الإعاقة، واللجنة الإسبانية لممثلي الأشخاص ذوي الإعاقة، ومؤسسة الصلاحية والمؤسسة الدولية لتمكين المرأة. </w:t>
      </w:r>
    </w:p>
    <w:p w14:paraId="11D30FB0" w14:textId="5816EF50" w:rsidR="00551F9E" w:rsidRPr="007F6A02" w:rsidRDefault="00551F9E" w:rsidP="001C6B44">
      <w:pPr>
        <w:pStyle w:val="SingleTxtGA"/>
        <w:rPr>
          <w:rFonts w:eastAsiaTheme="minorEastAsia"/>
          <w:lang w:val="en-US" w:eastAsia="zh-TW" w:bidi="en-GB"/>
        </w:rPr>
      </w:pPr>
      <w:r w:rsidRPr="006A34DD">
        <w:rPr>
          <w:rFonts w:eastAsiaTheme="minorEastAsia"/>
          <w:rtl/>
        </w:rPr>
        <w:t>22</w:t>
      </w:r>
      <w:r w:rsidR="00147269">
        <w:rPr>
          <w:rFonts w:eastAsiaTheme="minorEastAsia"/>
          <w:rtl/>
        </w:rPr>
        <w:t>-</w:t>
      </w:r>
      <w:r w:rsidR="00147269">
        <w:rPr>
          <w:rFonts w:eastAsiaTheme="minorEastAsia"/>
          <w:rtl/>
        </w:rPr>
        <w:tab/>
      </w:r>
      <w:r w:rsidRPr="001C6B44">
        <w:rPr>
          <w:rFonts w:eastAsiaTheme="minorEastAsia"/>
          <w:rtl/>
        </w:rPr>
        <w:t>وشارك ممثل</w:t>
      </w:r>
      <w:r w:rsidR="00BF23DF">
        <w:rPr>
          <w:rFonts w:eastAsiaTheme="minorEastAsia"/>
          <w:rtl/>
        </w:rPr>
        <w:t xml:space="preserve">اً </w:t>
      </w:r>
      <w:r w:rsidRPr="001C6B44">
        <w:rPr>
          <w:rFonts w:eastAsiaTheme="minorEastAsia"/>
          <w:rtl/>
        </w:rPr>
        <w:t xml:space="preserve">المؤسستين الوطنيتين لحقوق الإنسان في هنغاريا والمكسيك في الاستعراض العام الذي أجرته اللجنة للتقريرين الأولي لهنغاريا والمكسيك، على التوالي. وخلال الاجتماعات الخاصة عن الحالات القطرية، أتيح للجنة فرصة جمع المعلومات والتفاعل مع منظمات عدة للأشخاص ذوي الإعاقة، ومنظمات المجتمع المدني، وأطر الرصد المستقلة، بما في ذلك المؤسسات الوطنية لحقوق الإنسان. </w:t>
      </w:r>
    </w:p>
    <w:p w14:paraId="690D92B3"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23</w:t>
      </w:r>
      <w:r w:rsidRPr="001C6B44">
        <w:rPr>
          <w:rFonts w:eastAsiaTheme="minorEastAsia"/>
          <w:rtl/>
        </w:rPr>
        <w:t>-</w:t>
      </w:r>
      <w:r w:rsidRPr="001C6B44">
        <w:rPr>
          <w:rFonts w:eastAsiaTheme="minorEastAsia"/>
          <w:rtl/>
        </w:rPr>
        <w:tab/>
        <w:t xml:space="preserve">وفي الجلسة الختامية للدورة، خاطبت اللجنة المنظمات والهيئات التالية: التحالف الدولي المعني بقضايا الإعاقة، ومنظمة الاحتواء الشامل الدولية، والتحالف الدولي المعني بقضايا الإعاقة، ومكتب </w:t>
      </w:r>
      <w:r w:rsidRPr="001C6B44">
        <w:rPr>
          <w:rFonts w:eastAsiaTheme="minorEastAsia"/>
          <w:rtl/>
        </w:rPr>
        <w:lastRenderedPageBreak/>
        <w:t xml:space="preserve">مفوض الحقوق الأساسية في هنغاريا، والفريق العامل المعني بحقوق الأشخاص ذوي الإعاقة التابع للتحالف العالمي للمؤسسات الوطنية لحقوق الإنسان. </w:t>
      </w:r>
    </w:p>
    <w:p w14:paraId="48C1CCF8"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24</w:t>
      </w:r>
      <w:r w:rsidRPr="001C6B44">
        <w:rPr>
          <w:rFonts w:eastAsiaTheme="minorEastAsia"/>
          <w:rtl/>
        </w:rPr>
        <w:t>-</w:t>
      </w:r>
      <w:r w:rsidRPr="001C6B44">
        <w:rPr>
          <w:rFonts w:eastAsiaTheme="minorEastAsia"/>
          <w:rtl/>
        </w:rPr>
        <w:tab/>
        <w:t xml:space="preserve">وخلال الدورة، سلط المجتمع المدني ومنظمات أخرى الضوء على الشواغل المتعلقة بحالة الأشخاص ذوي الإعاقة في الدولة الطرف أوكرانيا، في سياق الهجمات العسكرية واحتلال الأراضي من جانب طرف ثالث. ولاحظت اللجنة إنشاء آلية تنسيق في أوكرانيا بمشاركة المجتمع المدني، بما في ذلك منظمات الأشخاص ذوي الإعاقة والجهات الفاعلة في المجال الإنساني وجهات صاحبة مصلحة أخرى. وستقرر اللجنة بشأن سبل إضافية للمشاركة في جهود التنسيق ودعمها. </w:t>
      </w:r>
    </w:p>
    <w:p w14:paraId="4DE12E2B" w14:textId="400B82A4" w:rsidR="00551F9E" w:rsidRPr="006A34DD" w:rsidRDefault="00147269" w:rsidP="00147269">
      <w:pPr>
        <w:pStyle w:val="HChGA"/>
        <w:rPr>
          <w:lang w:val="ar-SA" w:eastAsia="zh-TW" w:bidi="en-GB"/>
        </w:rPr>
      </w:pPr>
      <w:r w:rsidRPr="006A34DD">
        <w:rPr>
          <w:rtl/>
        </w:rPr>
        <w:tab/>
      </w:r>
      <w:r w:rsidR="00551F9E" w:rsidRPr="006A34DD">
        <w:rPr>
          <w:sz w:val="28"/>
          <w:szCs w:val="28"/>
          <w:rtl/>
        </w:rPr>
        <w:t>حادي عشر-</w:t>
      </w:r>
      <w:r w:rsidR="00551F9E" w:rsidRPr="006A34DD">
        <w:rPr>
          <w:rtl/>
        </w:rPr>
        <w:tab/>
        <w:t>النظر في تقارير الدول الأطراف المقدمة وفقاً للمادة 35 من الاتفاقية</w:t>
      </w:r>
    </w:p>
    <w:p w14:paraId="52B50CEC" w14:textId="27528357" w:rsidR="00551F9E" w:rsidRPr="001C6B44" w:rsidRDefault="00551F9E" w:rsidP="001C6B44">
      <w:pPr>
        <w:pStyle w:val="SingleTxtGA"/>
        <w:rPr>
          <w:rFonts w:eastAsiaTheme="minorEastAsia"/>
          <w:lang w:val="ar-SA" w:eastAsia="zh-TW" w:bidi="en-GB"/>
        </w:rPr>
      </w:pPr>
      <w:r w:rsidRPr="006A34DD">
        <w:rPr>
          <w:rFonts w:eastAsiaTheme="minorEastAsia"/>
          <w:rtl/>
        </w:rPr>
        <w:t>25</w:t>
      </w:r>
      <w:r w:rsidRPr="001C6B44">
        <w:rPr>
          <w:rFonts w:eastAsiaTheme="minorEastAsia"/>
          <w:rtl/>
        </w:rPr>
        <w:t>-</w:t>
      </w:r>
      <w:r w:rsidRPr="001C6B44">
        <w:rPr>
          <w:rFonts w:eastAsiaTheme="minorEastAsia"/>
          <w:rtl/>
        </w:rPr>
        <w:tab/>
        <w:t>عقدت اللجنة خمسة حوارات بناءة بشكل مختلط لتلبية متطلبات المشاركين الذين مُنعوا من السفر، أو كانوا في الحجر الصحي، أو كانوا معزولين ذاتي</w:t>
      </w:r>
      <w:r w:rsidR="00BF23DF">
        <w:rPr>
          <w:rFonts w:eastAsiaTheme="minorEastAsia"/>
          <w:rtl/>
        </w:rPr>
        <w:t xml:space="preserve">اً، </w:t>
      </w:r>
      <w:r w:rsidRPr="001C6B44">
        <w:rPr>
          <w:rFonts w:eastAsiaTheme="minorEastAsia"/>
          <w:rtl/>
        </w:rPr>
        <w:t>في ظل القيود التي ظلت سارية بسبب جائحة كوفيد-</w:t>
      </w:r>
      <w:r w:rsidRPr="006A34DD">
        <w:rPr>
          <w:rFonts w:eastAsiaTheme="minorEastAsia"/>
          <w:rtl/>
        </w:rPr>
        <w:t>1</w:t>
      </w:r>
      <w:r w:rsidR="00360BE8" w:rsidRPr="006A34DD">
        <w:rPr>
          <w:rFonts w:eastAsiaTheme="minorEastAsia"/>
          <w:color w:val="000000"/>
          <w:rtl/>
        </w:rPr>
        <w:t>9</w:t>
      </w:r>
      <w:r w:rsidR="00360BE8" w:rsidRPr="00360BE8">
        <w:rPr>
          <w:rFonts w:eastAsiaTheme="minorEastAsia"/>
          <w:color w:val="000000"/>
          <w:rtl/>
        </w:rPr>
        <w:t xml:space="preserve">. </w:t>
      </w:r>
      <w:r w:rsidRPr="001C6B44">
        <w:rPr>
          <w:rFonts w:eastAsiaTheme="minorEastAsia"/>
          <w:rtl/>
        </w:rPr>
        <w:t xml:space="preserve">ونظرت اللجنة في التقارير الأولية لجامايكا وسويسرا وفنزويلا (جمهورية - </w:t>
      </w:r>
      <w:proofErr w:type="spellStart"/>
      <w:r w:rsidRPr="001C6B44">
        <w:rPr>
          <w:rFonts w:eastAsiaTheme="minorEastAsia"/>
          <w:rtl/>
        </w:rPr>
        <w:t>البوليفارية</w:t>
      </w:r>
      <w:proofErr w:type="spellEnd"/>
      <w:r w:rsidRPr="001C6B44">
        <w:rPr>
          <w:rFonts w:eastAsiaTheme="minorEastAsia"/>
          <w:rtl/>
        </w:rPr>
        <w:t>) وتقرير المكسيك وهنغاريا الجامع للتقريرين الدوريين الثاني والثالث</w:t>
      </w:r>
      <w:r w:rsidR="00360BE8" w:rsidRPr="006A34DD">
        <w:rPr>
          <w:rStyle w:val="FootnoteReference"/>
          <w:szCs w:val="22"/>
          <w:rtl/>
        </w:rPr>
        <w:t>(</w:t>
      </w:r>
      <w:r w:rsidR="00360BE8" w:rsidRPr="006A34DD">
        <w:rPr>
          <w:rStyle w:val="FootnoteReference"/>
          <w:szCs w:val="22"/>
          <w:lang w:val="en-US"/>
        </w:rPr>
        <w:footnoteReference w:id="9"/>
      </w:r>
      <w:r w:rsidR="00360BE8" w:rsidRPr="006A34DD">
        <w:rPr>
          <w:rStyle w:val="FootnoteReference"/>
          <w:color w:val="000000"/>
          <w:szCs w:val="22"/>
          <w:rtl/>
        </w:rPr>
        <w:t>)</w:t>
      </w:r>
      <w:r w:rsidR="00360BE8" w:rsidRPr="00360BE8">
        <w:rPr>
          <w:rFonts w:eastAsiaTheme="minorEastAsia"/>
          <w:color w:val="000000"/>
          <w:rtl/>
        </w:rPr>
        <w:t xml:space="preserve">. </w:t>
      </w:r>
      <w:r w:rsidRPr="001C6B44">
        <w:rPr>
          <w:rFonts w:eastAsiaTheme="minorEastAsia"/>
          <w:rtl/>
        </w:rPr>
        <w:t>واعتمدت اللجنة الملاحظات الختامية المتعلقة بهذين التقريرين</w:t>
      </w:r>
      <w:r w:rsidR="00360BE8" w:rsidRPr="006A34DD">
        <w:rPr>
          <w:rStyle w:val="FootnoteReference"/>
          <w:szCs w:val="22"/>
          <w:rtl/>
        </w:rPr>
        <w:t>(</w:t>
      </w:r>
      <w:r w:rsidR="00360BE8" w:rsidRPr="006A34DD">
        <w:rPr>
          <w:rStyle w:val="FootnoteReference"/>
          <w:szCs w:val="22"/>
          <w:lang w:val="en-US"/>
        </w:rPr>
        <w:footnoteReference w:id="10"/>
      </w:r>
      <w:r w:rsidR="00360BE8" w:rsidRPr="006A34DD">
        <w:rPr>
          <w:rStyle w:val="FootnoteReference"/>
          <w:color w:val="000000"/>
          <w:szCs w:val="22"/>
          <w:rtl/>
        </w:rPr>
        <w:t>)</w:t>
      </w:r>
      <w:r w:rsidR="00360BE8" w:rsidRPr="00360BE8">
        <w:rPr>
          <w:rFonts w:eastAsiaTheme="minorEastAsia"/>
          <w:color w:val="000000"/>
          <w:rtl/>
        </w:rPr>
        <w:t xml:space="preserve">. </w:t>
      </w:r>
    </w:p>
    <w:p w14:paraId="348FB4A7" w14:textId="7EF50E3E" w:rsidR="00360BE8" w:rsidRDefault="00551F9E" w:rsidP="001C6B44">
      <w:pPr>
        <w:pStyle w:val="SingleTxtGA"/>
        <w:rPr>
          <w:rFonts w:eastAsiaTheme="minorEastAsia"/>
          <w:color w:val="000000"/>
          <w:lang w:val="en-US" w:eastAsia="zh-TW" w:bidi="en-GB"/>
        </w:rPr>
      </w:pPr>
      <w:r w:rsidRPr="006A34DD">
        <w:rPr>
          <w:rFonts w:eastAsiaTheme="minorEastAsia"/>
          <w:rtl/>
        </w:rPr>
        <w:t>26</w:t>
      </w:r>
      <w:r w:rsidRPr="001C6B44">
        <w:rPr>
          <w:rFonts w:eastAsiaTheme="minorEastAsia"/>
          <w:rtl/>
        </w:rPr>
        <w:t>-</w:t>
      </w:r>
      <w:r w:rsidRPr="001C6B44">
        <w:rPr>
          <w:rFonts w:eastAsiaTheme="minorEastAsia"/>
          <w:rtl/>
        </w:rPr>
        <w:tab/>
        <w:t>واعتمدت اللجنة قائمة مسائل في إطار الإجراء المبسط لتقديم التقارير تتعلق بالاتحاد</w:t>
      </w:r>
      <w:r w:rsidR="00147269">
        <w:rPr>
          <w:rFonts w:eastAsiaTheme="minorEastAsia" w:hint="cs"/>
          <w:rtl/>
        </w:rPr>
        <w:t> </w:t>
      </w:r>
      <w:r w:rsidRPr="001C6B44">
        <w:rPr>
          <w:rFonts w:eastAsiaTheme="minorEastAsia"/>
          <w:rtl/>
        </w:rPr>
        <w:t>الأوروبي</w:t>
      </w:r>
      <w:r w:rsidR="00360BE8" w:rsidRPr="006A34DD">
        <w:rPr>
          <w:rStyle w:val="FootnoteReference"/>
          <w:szCs w:val="22"/>
          <w:rtl/>
        </w:rPr>
        <w:t>(</w:t>
      </w:r>
      <w:r w:rsidR="00360BE8" w:rsidRPr="006A34DD">
        <w:rPr>
          <w:rStyle w:val="FootnoteReference"/>
          <w:szCs w:val="22"/>
          <w:lang w:val="en-US"/>
        </w:rPr>
        <w:footnoteReference w:id="11"/>
      </w:r>
      <w:r w:rsidR="00360BE8" w:rsidRPr="006A34DD">
        <w:rPr>
          <w:rStyle w:val="FootnoteReference"/>
          <w:color w:val="000000"/>
          <w:szCs w:val="22"/>
          <w:rtl/>
        </w:rPr>
        <w:t>)</w:t>
      </w:r>
      <w:r w:rsidR="00360BE8" w:rsidRPr="00360BE8">
        <w:rPr>
          <w:rFonts w:eastAsiaTheme="minorEastAsia" w:hint="cs"/>
          <w:color w:val="000000"/>
          <w:rtl/>
        </w:rPr>
        <w:t>.</w:t>
      </w:r>
    </w:p>
    <w:p w14:paraId="1A30509E" w14:textId="77777777" w:rsidR="00F14A81" w:rsidRPr="00360BE8" w:rsidRDefault="00F14A81" w:rsidP="001C6B44">
      <w:pPr>
        <w:pStyle w:val="SingleTxtGA"/>
        <w:rPr>
          <w:rFonts w:eastAsiaTheme="minorEastAsia"/>
          <w:color w:val="000000"/>
          <w:lang w:val="en-US" w:eastAsia="zh-TW" w:bidi="en-GB"/>
        </w:rPr>
      </w:pPr>
    </w:p>
    <w:p w14:paraId="35E1000F" w14:textId="08123959" w:rsidR="00023C25" w:rsidRDefault="00023C25" w:rsidP="001C6B44">
      <w:pPr>
        <w:pStyle w:val="SingleTxtGA"/>
        <w:rPr>
          <w:rFonts w:eastAsiaTheme="minorEastAsia"/>
          <w:rtl/>
          <w:lang w:val="en-US" w:eastAsia="zh-TW"/>
        </w:rPr>
        <w:sectPr w:rsidR="00023C25" w:rsidSect="0031413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11B861EE" w14:textId="77777777" w:rsidR="00551F9E" w:rsidRPr="006A34DD" w:rsidRDefault="00551F9E" w:rsidP="00360BE8">
      <w:pPr>
        <w:pStyle w:val="HChGA"/>
        <w:spacing w:before="120"/>
        <w:rPr>
          <w:lang w:val="en-US" w:eastAsia="zh-TW" w:bidi="en-GB"/>
        </w:rPr>
      </w:pPr>
      <w:r w:rsidRPr="006A34DD">
        <w:rPr>
          <w:rtl/>
        </w:rPr>
        <w:lastRenderedPageBreak/>
        <w:tab/>
        <w:t>المرفق الأول</w:t>
      </w:r>
    </w:p>
    <w:p w14:paraId="6991B17D" w14:textId="77777777" w:rsidR="00551F9E" w:rsidRPr="006A34DD" w:rsidRDefault="00551F9E" w:rsidP="00B233BD">
      <w:pPr>
        <w:pStyle w:val="HChGA"/>
        <w:rPr>
          <w:lang w:val="ar-SA" w:eastAsia="zh-TW" w:bidi="en-GB"/>
        </w:rPr>
      </w:pPr>
      <w:r w:rsidRPr="006A34DD">
        <w:rPr>
          <w:rtl/>
        </w:rPr>
        <w:tab/>
      </w:r>
      <w:r w:rsidRPr="006A34DD">
        <w:rPr>
          <w:rtl/>
        </w:rPr>
        <w:tab/>
        <w:t xml:space="preserve">القرارات التي اعتمدتها اللجنة في دورتها السادسة والعشرين </w:t>
      </w:r>
    </w:p>
    <w:p w14:paraId="1AF994EF" w14:textId="7A4EA0EB" w:rsidR="00360BE8" w:rsidRPr="00360BE8" w:rsidRDefault="00551F9E" w:rsidP="001C6B44">
      <w:pPr>
        <w:pStyle w:val="SingleTxtGA"/>
        <w:rPr>
          <w:rFonts w:eastAsiaTheme="minorEastAsia"/>
          <w:color w:val="000000"/>
          <w:lang w:val="ar-SA" w:eastAsia="zh-TW" w:bidi="en-GB"/>
        </w:rPr>
      </w:pPr>
      <w:r w:rsidRPr="006A34DD">
        <w:rPr>
          <w:rFonts w:eastAsiaTheme="minorEastAsia"/>
          <w:rtl/>
        </w:rPr>
        <w:t>1</w:t>
      </w:r>
      <w:r w:rsidRPr="001C6B44">
        <w:rPr>
          <w:rFonts w:eastAsiaTheme="minorEastAsia"/>
          <w:rtl/>
        </w:rPr>
        <w:t>-</w:t>
      </w:r>
      <w:r w:rsidRPr="001C6B44">
        <w:rPr>
          <w:rFonts w:eastAsiaTheme="minorEastAsia"/>
          <w:rtl/>
        </w:rPr>
        <w:tab/>
        <w:t>اعتمدت اللجنة الملاحظات الختامية المتعلقة بالتقارير الأولية لجامايكا وسويسرا وفنزويلا (جمهورية</w:t>
      </w:r>
      <w:r w:rsidR="00360BE8">
        <w:rPr>
          <w:rFonts w:eastAsiaTheme="minorEastAsia" w:hint="cs"/>
          <w:rtl/>
        </w:rPr>
        <w:t xml:space="preserve"> </w:t>
      </w:r>
      <w:r w:rsidRPr="001C6B44">
        <w:rPr>
          <w:rFonts w:eastAsiaTheme="minorEastAsia"/>
          <w:rtl/>
        </w:rPr>
        <w:t>-</w:t>
      </w:r>
      <w:r w:rsidR="00360BE8">
        <w:rPr>
          <w:rFonts w:eastAsiaTheme="minorEastAsia" w:hint="cs"/>
          <w:rtl/>
        </w:rPr>
        <w:t xml:space="preserve"> </w:t>
      </w:r>
      <w:proofErr w:type="spellStart"/>
      <w:r w:rsidRPr="001C6B44">
        <w:rPr>
          <w:rFonts w:eastAsiaTheme="minorEastAsia"/>
          <w:rtl/>
        </w:rPr>
        <w:t>البوليفارية</w:t>
      </w:r>
      <w:proofErr w:type="spellEnd"/>
      <w:r w:rsidRPr="001C6B44">
        <w:rPr>
          <w:rFonts w:eastAsiaTheme="minorEastAsia"/>
          <w:rtl/>
        </w:rPr>
        <w:t>)</w:t>
      </w:r>
      <w:r w:rsidR="00360BE8" w:rsidRPr="006A34DD">
        <w:rPr>
          <w:rStyle w:val="FootnoteReference"/>
          <w:szCs w:val="22"/>
          <w:rtl/>
        </w:rPr>
        <w:t>(</w:t>
      </w:r>
      <w:r w:rsidR="00360BE8" w:rsidRPr="006A34DD">
        <w:rPr>
          <w:rStyle w:val="FootnoteReference"/>
          <w:szCs w:val="22"/>
          <w:lang w:val="en-US"/>
        </w:rPr>
        <w:footnoteReference w:id="12"/>
      </w:r>
      <w:r w:rsidR="00360BE8" w:rsidRPr="006A34DD">
        <w:rPr>
          <w:rStyle w:val="FootnoteReference"/>
          <w:color w:val="000000"/>
          <w:szCs w:val="22"/>
          <w:rtl/>
        </w:rPr>
        <w:t>)</w:t>
      </w:r>
      <w:r w:rsidR="00360BE8" w:rsidRPr="00360BE8">
        <w:rPr>
          <w:rFonts w:eastAsiaTheme="minorEastAsia"/>
          <w:color w:val="000000"/>
          <w:rtl/>
        </w:rPr>
        <w:t xml:space="preserve">. </w:t>
      </w:r>
      <w:r w:rsidRPr="001C6B44">
        <w:rPr>
          <w:rFonts w:eastAsiaTheme="minorEastAsia"/>
          <w:rtl/>
        </w:rPr>
        <w:t>واعتمدت اللجنة أيضاً الملاحظات الختامية المتعلقة بتقرير هنغاريا والمكسيك الجامع للتقريرين الدوريين الثاني والثالث</w:t>
      </w:r>
      <w:r w:rsidR="00360BE8" w:rsidRPr="006A34DD">
        <w:rPr>
          <w:rStyle w:val="FootnoteReference"/>
          <w:szCs w:val="22"/>
          <w:rtl/>
        </w:rPr>
        <w:t>(</w:t>
      </w:r>
      <w:r w:rsidR="00360BE8" w:rsidRPr="006A34DD">
        <w:rPr>
          <w:rStyle w:val="FootnoteReference"/>
          <w:szCs w:val="22"/>
          <w:lang w:val="en-US"/>
        </w:rPr>
        <w:footnoteReference w:id="13"/>
      </w:r>
      <w:r w:rsidR="00360BE8" w:rsidRPr="006A34DD">
        <w:rPr>
          <w:rStyle w:val="FootnoteReference"/>
          <w:color w:val="000000"/>
          <w:szCs w:val="22"/>
          <w:rtl/>
        </w:rPr>
        <w:t>)</w:t>
      </w:r>
      <w:r w:rsidR="00360BE8" w:rsidRPr="00360BE8">
        <w:rPr>
          <w:rFonts w:eastAsiaTheme="minorEastAsia"/>
          <w:color w:val="000000"/>
          <w:rtl/>
        </w:rPr>
        <w:t xml:space="preserve">. </w:t>
      </w:r>
      <w:r w:rsidRPr="001C6B44">
        <w:rPr>
          <w:rFonts w:eastAsiaTheme="minorEastAsia"/>
          <w:rtl/>
        </w:rPr>
        <w:t>واعتمدت اللجنة قائمة مسائل في إطار الإجراء المبسط لتقديم التقارير تتعلق بالاتحاد الأوروبي</w:t>
      </w:r>
      <w:r w:rsidR="00360BE8" w:rsidRPr="006A34DD">
        <w:rPr>
          <w:rStyle w:val="FootnoteReference"/>
          <w:szCs w:val="22"/>
          <w:rtl/>
        </w:rPr>
        <w:t>(</w:t>
      </w:r>
      <w:r w:rsidR="00360BE8" w:rsidRPr="006A34DD">
        <w:rPr>
          <w:rStyle w:val="FootnoteReference"/>
          <w:szCs w:val="22"/>
          <w:lang w:val="en-US"/>
        </w:rPr>
        <w:footnoteReference w:id="14"/>
      </w:r>
      <w:r w:rsidR="00360BE8" w:rsidRPr="006A34DD">
        <w:rPr>
          <w:rStyle w:val="FootnoteReference"/>
          <w:color w:val="000000"/>
          <w:szCs w:val="22"/>
          <w:rtl/>
        </w:rPr>
        <w:t>)</w:t>
      </w:r>
      <w:r w:rsidR="00360BE8" w:rsidRPr="00360BE8">
        <w:rPr>
          <w:rFonts w:eastAsiaTheme="minorEastAsia" w:hint="cs"/>
          <w:color w:val="000000"/>
          <w:rtl/>
        </w:rPr>
        <w:t>.</w:t>
      </w:r>
    </w:p>
    <w:p w14:paraId="2A64E467" w14:textId="0A974833" w:rsidR="00551F9E" w:rsidRPr="001C6B44" w:rsidRDefault="00551F9E" w:rsidP="001C6B44">
      <w:pPr>
        <w:pStyle w:val="SingleTxtGA"/>
        <w:rPr>
          <w:rFonts w:eastAsiaTheme="minorEastAsia"/>
          <w:lang w:val="ar-SA" w:eastAsia="zh-TW" w:bidi="en-GB"/>
        </w:rPr>
      </w:pPr>
      <w:r w:rsidRPr="006A34DD">
        <w:rPr>
          <w:rFonts w:eastAsiaTheme="minorEastAsia"/>
          <w:rtl/>
        </w:rPr>
        <w:t>2</w:t>
      </w:r>
      <w:r w:rsidRPr="001C6B44">
        <w:rPr>
          <w:rFonts w:eastAsiaTheme="minorEastAsia"/>
          <w:rtl/>
        </w:rPr>
        <w:t>-</w:t>
      </w:r>
      <w:r w:rsidRPr="001C6B44">
        <w:rPr>
          <w:rFonts w:eastAsiaTheme="minorEastAsia"/>
          <w:rtl/>
        </w:rPr>
        <w:tab/>
        <w:t>ودرست اللجنة خمسة بلاغات فردية قُدمت إليها للنظر فيها بموجب البروتوكول الاختياري للاتفاقية. وخلصت إلى انتهاك الاتفاقية في قضيتين منها، وإلى عدم وجود انتهاك في قضية أخرى انطلاقا</w:t>
      </w:r>
      <w:r w:rsidR="00B72357">
        <w:rPr>
          <w:rFonts w:eastAsiaTheme="minorEastAsia" w:hint="cs"/>
          <w:rtl/>
        </w:rPr>
        <w:t>ً</w:t>
      </w:r>
      <w:r w:rsidRPr="001C6B44">
        <w:rPr>
          <w:rFonts w:eastAsiaTheme="minorEastAsia"/>
          <w:rtl/>
        </w:rPr>
        <w:t xml:space="preserve"> من الوقائع المعروضة عليها، وقررت وقف النظر في القضيتين المتبقيتين. وقد يرد في المرفق الثاني لهذ</w:t>
      </w:r>
      <w:r w:rsidR="00BF23DF">
        <w:rPr>
          <w:rFonts w:eastAsiaTheme="minorEastAsia"/>
          <w:rtl/>
        </w:rPr>
        <w:t xml:space="preserve">اً </w:t>
      </w:r>
      <w:r w:rsidRPr="001C6B44">
        <w:rPr>
          <w:rFonts w:eastAsiaTheme="minorEastAsia"/>
          <w:rtl/>
        </w:rPr>
        <w:t>التقرير موجز لآراء اللجنة وقراراتها. وستُحال الآراء والقرارات إلى الأطراف في أقرب وقت ممكن وستُعمَّم فيما بعد.</w:t>
      </w:r>
    </w:p>
    <w:p w14:paraId="7B9B0F51" w14:textId="55EB4D86" w:rsidR="00551F9E" w:rsidRPr="001C6B44" w:rsidRDefault="00551F9E" w:rsidP="001C6B44">
      <w:pPr>
        <w:pStyle w:val="SingleTxtGA"/>
        <w:rPr>
          <w:rFonts w:eastAsiaTheme="minorEastAsia"/>
          <w:lang w:val="ar-SA" w:eastAsia="zh-TW" w:bidi="en-GB"/>
        </w:rPr>
      </w:pPr>
      <w:r w:rsidRPr="006A34DD">
        <w:rPr>
          <w:rFonts w:eastAsiaTheme="minorEastAsia"/>
          <w:rtl/>
        </w:rPr>
        <w:t>3</w:t>
      </w:r>
      <w:r w:rsidR="00147269">
        <w:rPr>
          <w:rFonts w:eastAsiaTheme="minorEastAsia"/>
          <w:rtl/>
        </w:rPr>
        <w:t>-</w:t>
      </w:r>
      <w:r w:rsidR="00147269">
        <w:rPr>
          <w:rFonts w:eastAsiaTheme="minorEastAsia"/>
          <w:rtl/>
        </w:rPr>
        <w:tab/>
      </w:r>
      <w:r w:rsidRPr="001C6B44">
        <w:rPr>
          <w:rFonts w:eastAsiaTheme="minorEastAsia"/>
          <w:rtl/>
        </w:rPr>
        <w:t>ونظرت اللجنة في المسائل المتصلة بالتحريات عملاً بالبروتوكول الاختياري، وقرّرت إجراء تحرّ وفق</w:t>
      </w:r>
      <w:r w:rsidR="00BF23DF">
        <w:rPr>
          <w:rFonts w:eastAsiaTheme="minorEastAsia"/>
          <w:rtl/>
        </w:rPr>
        <w:t xml:space="preserve">اً </w:t>
      </w:r>
      <w:r w:rsidRPr="001C6B44">
        <w:rPr>
          <w:rFonts w:eastAsiaTheme="minorEastAsia"/>
          <w:rtl/>
        </w:rPr>
        <w:t xml:space="preserve">للمادة </w:t>
      </w:r>
      <w:r w:rsidRPr="006A34DD">
        <w:rPr>
          <w:rFonts w:eastAsiaTheme="minorEastAsia"/>
          <w:rtl/>
        </w:rPr>
        <w:t>6</w:t>
      </w:r>
      <w:r w:rsidRPr="001C6B44">
        <w:rPr>
          <w:rFonts w:eastAsiaTheme="minorEastAsia"/>
          <w:rtl/>
        </w:rPr>
        <w:t xml:space="preserve"> من البروتوكول الاختياري. وأوعزت إلى الأمانة بأن تبلغ الدولة الطرف المعنية بقرارها وأن تتابع الإجراءات المنصوص عليها في المادة </w:t>
      </w:r>
      <w:r w:rsidRPr="006A34DD">
        <w:rPr>
          <w:rFonts w:eastAsiaTheme="minorEastAsia"/>
          <w:rtl/>
        </w:rPr>
        <w:t>6</w:t>
      </w:r>
      <w:r w:rsidRPr="001C6B44">
        <w:rPr>
          <w:rFonts w:eastAsiaTheme="minorEastAsia"/>
          <w:rtl/>
        </w:rPr>
        <w:t xml:space="preserve"> من البروتوكول الاختياري.</w:t>
      </w:r>
      <w:bookmarkStart w:id="1" w:name="_Hlk70604741"/>
      <w:bookmarkEnd w:id="1"/>
    </w:p>
    <w:p w14:paraId="06A796B5" w14:textId="3BB74E95" w:rsidR="00551F9E" w:rsidRPr="001C6B44" w:rsidRDefault="00551F9E" w:rsidP="001C6B44">
      <w:pPr>
        <w:pStyle w:val="SingleTxtGA"/>
        <w:rPr>
          <w:rFonts w:eastAsiaTheme="minorEastAsia"/>
          <w:lang w:val="ar-SA" w:eastAsia="zh-TW" w:bidi="en-GB"/>
        </w:rPr>
      </w:pPr>
      <w:r w:rsidRPr="006A34DD">
        <w:rPr>
          <w:rFonts w:eastAsiaTheme="minorEastAsia"/>
          <w:rtl/>
        </w:rPr>
        <w:t>4</w:t>
      </w:r>
      <w:r w:rsidR="00147269">
        <w:rPr>
          <w:rFonts w:eastAsiaTheme="minorEastAsia"/>
          <w:rtl/>
        </w:rPr>
        <w:t>-</w:t>
      </w:r>
      <w:r w:rsidR="00147269">
        <w:rPr>
          <w:rFonts w:eastAsiaTheme="minorEastAsia"/>
          <w:rtl/>
        </w:rPr>
        <w:tab/>
      </w:r>
      <w:r w:rsidRPr="001C6B44">
        <w:rPr>
          <w:rFonts w:eastAsiaTheme="minorEastAsia"/>
          <w:rtl/>
        </w:rPr>
        <w:t>واعتمدت اللجنة ولجنة حقوق الطفل بيان</w:t>
      </w:r>
      <w:r w:rsidR="00BF23DF">
        <w:rPr>
          <w:rFonts w:eastAsiaTheme="minorEastAsia"/>
          <w:rtl/>
        </w:rPr>
        <w:t xml:space="preserve">اً </w:t>
      </w:r>
      <w:r w:rsidRPr="001C6B44">
        <w:rPr>
          <w:rFonts w:eastAsiaTheme="minorEastAsia"/>
          <w:rtl/>
        </w:rPr>
        <w:t>مشترك</w:t>
      </w:r>
      <w:r w:rsidR="00BF23DF">
        <w:rPr>
          <w:rFonts w:eastAsiaTheme="minorEastAsia"/>
          <w:rtl/>
        </w:rPr>
        <w:t xml:space="preserve">اً </w:t>
      </w:r>
      <w:r w:rsidRPr="001C6B44">
        <w:rPr>
          <w:rFonts w:eastAsiaTheme="minorEastAsia"/>
          <w:rtl/>
        </w:rPr>
        <w:t>بشأن حقوق الأطفال ذوي الإعاقة وإتاحته</w:t>
      </w:r>
      <w:r w:rsidR="00B233BD">
        <w:rPr>
          <w:rFonts w:eastAsiaTheme="minorEastAsia" w:hint="cs"/>
          <w:rtl/>
        </w:rPr>
        <w:t> </w:t>
      </w:r>
      <w:r w:rsidRPr="001C6B44">
        <w:rPr>
          <w:rFonts w:eastAsiaTheme="minorEastAsia"/>
          <w:rtl/>
        </w:rPr>
        <w:t>للجمهور.</w:t>
      </w:r>
    </w:p>
    <w:p w14:paraId="664D5007" w14:textId="18B977D0" w:rsidR="00551F9E" w:rsidRPr="001C6B44" w:rsidRDefault="00551F9E" w:rsidP="001C6B44">
      <w:pPr>
        <w:pStyle w:val="SingleTxtGA"/>
        <w:rPr>
          <w:rFonts w:eastAsiaTheme="minorEastAsia"/>
          <w:lang w:val="ar-SA" w:eastAsia="zh-TW" w:bidi="en-GB"/>
        </w:rPr>
      </w:pPr>
      <w:r w:rsidRPr="006A34DD">
        <w:rPr>
          <w:rFonts w:eastAsiaTheme="minorEastAsia"/>
          <w:rtl/>
        </w:rPr>
        <w:t>5</w:t>
      </w:r>
      <w:r w:rsidR="00147269">
        <w:rPr>
          <w:rFonts w:eastAsiaTheme="minorEastAsia"/>
          <w:rtl/>
        </w:rPr>
        <w:t>-</w:t>
      </w:r>
      <w:r w:rsidR="00147269">
        <w:rPr>
          <w:rFonts w:eastAsiaTheme="minorEastAsia"/>
          <w:rtl/>
        </w:rPr>
        <w:tab/>
      </w:r>
      <w:r w:rsidRPr="001C6B44">
        <w:rPr>
          <w:rFonts w:eastAsiaTheme="minorEastAsia"/>
          <w:rtl/>
        </w:rPr>
        <w:t>وأيدت اللجنة خطة عمل الفريق العامل بشأن النساء والفتيات ذوات الإعاقة. وتضمنت خطة العمل مقرر</w:t>
      </w:r>
      <w:r w:rsidR="00BF23DF">
        <w:rPr>
          <w:rFonts w:eastAsiaTheme="minorEastAsia"/>
          <w:rtl/>
        </w:rPr>
        <w:t xml:space="preserve">اً </w:t>
      </w:r>
      <w:r w:rsidRPr="001C6B44">
        <w:rPr>
          <w:rFonts w:eastAsiaTheme="minorEastAsia"/>
          <w:rtl/>
        </w:rPr>
        <w:t>اتخذته اللجنة بمشاركة أصحاب المصلحة المعنيين، من وكالات الأمم المتحدة المتخصصة، وآليات معاهدات حقوق الإنسان وغيرها من آليات حقوق الإنسان، ومنظمات المجتمع المدني للنساء والفتيات ذوات الإعاقة، بهدف تعزيز المضمون الموضوعي للوثائق التي أعدتها اللجنة المعنية بحقوق النساء والفتيات ذوات الإعاقة؛ ولكي تشارك النساء والفتيات ذوات الإعاقة، من خلال المنظمات التي تمثلهن، مشاركة نشطة في أعمال اللجنة.</w:t>
      </w:r>
    </w:p>
    <w:p w14:paraId="3F04182D"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6</w:t>
      </w:r>
      <w:r w:rsidRPr="001C6B44">
        <w:rPr>
          <w:rFonts w:eastAsiaTheme="minorEastAsia"/>
          <w:rtl/>
        </w:rPr>
        <w:t>-</w:t>
      </w:r>
      <w:r w:rsidRPr="001C6B44">
        <w:rPr>
          <w:rFonts w:eastAsiaTheme="minorEastAsia"/>
          <w:rtl/>
        </w:rPr>
        <w:tab/>
        <w:t>وقررت اللجنة مواصلة عملها خلال فترة ما بين الدورتين لتحديث مشروع تعليقها العام بشأن حق الأشخاص ذوي الإعاقة في العمل والاستخدام، بدعم من منظمة العمل الدولية والخبراء الاستشاريين المستقلين، بغرض تقديم المشروع إلى اللجنة للنظر فيه في دورتها السابعة والعشرين.</w:t>
      </w:r>
    </w:p>
    <w:p w14:paraId="1B2044F3" w14:textId="465A314B" w:rsidR="00551F9E" w:rsidRPr="001C6B44" w:rsidRDefault="00551F9E" w:rsidP="001C6B44">
      <w:pPr>
        <w:pStyle w:val="SingleTxtGA"/>
        <w:rPr>
          <w:rFonts w:eastAsiaTheme="minorEastAsia"/>
          <w:lang w:val="ar-SA" w:eastAsia="zh-TW" w:bidi="en-GB"/>
        </w:rPr>
      </w:pPr>
      <w:r w:rsidRPr="006A34DD">
        <w:rPr>
          <w:rFonts w:eastAsiaTheme="minorEastAsia"/>
          <w:rtl/>
        </w:rPr>
        <w:t>7</w:t>
      </w:r>
      <w:r w:rsidR="00147269">
        <w:rPr>
          <w:rFonts w:eastAsiaTheme="minorEastAsia"/>
          <w:rtl/>
        </w:rPr>
        <w:t>-</w:t>
      </w:r>
      <w:r w:rsidR="00147269">
        <w:rPr>
          <w:rFonts w:eastAsiaTheme="minorEastAsia"/>
          <w:rtl/>
        </w:rPr>
        <w:tab/>
      </w:r>
      <w:r w:rsidRPr="001C6B44">
        <w:rPr>
          <w:rFonts w:eastAsiaTheme="minorEastAsia"/>
          <w:rtl/>
        </w:rPr>
        <w:t xml:space="preserve">وقرّرت اللجنة نشر مشروع مبادئها التوجيهية بشأن إنهاء الإيداع في مؤسسات الرعاية وإطلاق دعوة لتقديم تقارير بشأنها في أيار/مايو </w:t>
      </w:r>
      <w:r w:rsidRPr="006A34DD">
        <w:rPr>
          <w:rFonts w:eastAsiaTheme="minorEastAsia"/>
          <w:rtl/>
        </w:rPr>
        <w:t>202</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وستكمّل المبادئ التوجيهية تعليق اللجنة العام رقم</w:t>
      </w:r>
      <w:r w:rsidR="00B233BD">
        <w:rPr>
          <w:rFonts w:eastAsiaTheme="minorEastAsia" w:hint="cs"/>
          <w:rtl/>
        </w:rPr>
        <w:t> </w:t>
      </w:r>
      <w:r w:rsidRPr="006A34DD">
        <w:rPr>
          <w:rFonts w:eastAsiaTheme="minorEastAsia"/>
          <w:rtl/>
        </w:rPr>
        <w:t>5</w:t>
      </w:r>
      <w:r w:rsidRPr="001C6B44">
        <w:rPr>
          <w:rFonts w:eastAsiaTheme="minorEastAsia"/>
          <w:rtl/>
        </w:rPr>
        <w:t>(</w:t>
      </w:r>
      <w:r w:rsidRPr="006A34DD">
        <w:rPr>
          <w:rFonts w:eastAsiaTheme="minorEastAsia"/>
          <w:rtl/>
        </w:rPr>
        <w:t>201</w:t>
      </w:r>
      <w:r w:rsidR="00360BE8" w:rsidRPr="006A34DD">
        <w:rPr>
          <w:rFonts w:eastAsiaTheme="minorEastAsia"/>
          <w:color w:val="000000"/>
          <w:rtl/>
        </w:rPr>
        <w:t>7</w:t>
      </w:r>
      <w:r w:rsidR="00360BE8" w:rsidRPr="00360BE8">
        <w:rPr>
          <w:rFonts w:eastAsiaTheme="minorEastAsia"/>
          <w:color w:val="000000"/>
          <w:rtl/>
        </w:rPr>
        <w:t xml:space="preserve">) </w:t>
      </w:r>
      <w:r w:rsidRPr="001C6B44">
        <w:rPr>
          <w:rFonts w:eastAsiaTheme="minorEastAsia"/>
          <w:rtl/>
        </w:rPr>
        <w:t>بشأن العيش المستقل والإدماج في المجتمع. وسيواصل الفريق العامل المعني بإنهاء الإيداع في مؤسسات الرعاية العمل على وضع مشروع المبادئ التوجيهية.</w:t>
      </w:r>
    </w:p>
    <w:p w14:paraId="4001E682" w14:textId="77777777" w:rsidR="00551F9E" w:rsidRPr="001C6B44" w:rsidRDefault="00551F9E" w:rsidP="001C6B44">
      <w:pPr>
        <w:pStyle w:val="SingleTxtGA"/>
        <w:rPr>
          <w:rFonts w:eastAsiaTheme="minorEastAsia"/>
          <w:lang w:val="ar-SA" w:eastAsia="zh-TW" w:bidi="en-GB"/>
        </w:rPr>
      </w:pPr>
      <w:r w:rsidRPr="006A34DD">
        <w:rPr>
          <w:rFonts w:eastAsiaTheme="minorEastAsia"/>
          <w:rtl/>
        </w:rPr>
        <w:lastRenderedPageBreak/>
        <w:t>8</w:t>
      </w:r>
      <w:r w:rsidRPr="001C6B44">
        <w:rPr>
          <w:rFonts w:eastAsiaTheme="minorEastAsia"/>
          <w:rtl/>
        </w:rPr>
        <w:t>-</w:t>
      </w:r>
      <w:r w:rsidRPr="001C6B44">
        <w:rPr>
          <w:rFonts w:eastAsiaTheme="minorEastAsia"/>
          <w:rtl/>
        </w:rPr>
        <w:tab/>
        <w:t xml:space="preserve">وقرّرت اللجنة مواصلة مشاركتها وتعاونها مع منظمة الصحة العالمية ومفوضية الأمم المتحدة السامية لحقوق الإنسان والمقررة الخاصة المعنية بحقوق الأشخاص ذوي الإعاقة بشأن موضوع مشروع إرشادات منظمة الصحة العالمية المتعلقة بتشريعات الصحة العقلية وحقوق الإنسان. </w:t>
      </w:r>
    </w:p>
    <w:p w14:paraId="23F4E6F7" w14:textId="3A33B4D4" w:rsidR="00551F9E" w:rsidRPr="001C6B44" w:rsidRDefault="00551F9E" w:rsidP="001C6B44">
      <w:pPr>
        <w:pStyle w:val="SingleTxtGA"/>
        <w:rPr>
          <w:rFonts w:eastAsiaTheme="minorEastAsia"/>
          <w:lang w:val="ar-SA" w:eastAsia="zh-TW" w:bidi="en-GB"/>
        </w:rPr>
      </w:pPr>
      <w:r w:rsidRPr="006A34DD">
        <w:rPr>
          <w:rFonts w:eastAsiaTheme="minorEastAsia"/>
          <w:rtl/>
        </w:rPr>
        <w:t>9</w:t>
      </w:r>
      <w:r w:rsidRPr="001C6B44">
        <w:rPr>
          <w:rFonts w:eastAsiaTheme="minorEastAsia"/>
          <w:rtl/>
        </w:rPr>
        <w:t>-</w:t>
      </w:r>
      <w:r w:rsidRPr="001C6B44">
        <w:rPr>
          <w:rFonts w:eastAsiaTheme="minorEastAsia"/>
          <w:rtl/>
        </w:rPr>
        <w:tab/>
        <w:t xml:space="preserve">وقررت اللجنة عقد دورتها السابعة والعشرين في جنيف في الفترة من </w:t>
      </w:r>
      <w:r w:rsidRPr="006A34DD">
        <w:rPr>
          <w:rFonts w:eastAsiaTheme="minorEastAsia"/>
          <w:rtl/>
        </w:rPr>
        <w:t>15</w:t>
      </w:r>
      <w:r w:rsidRPr="001C6B44">
        <w:rPr>
          <w:rFonts w:eastAsiaTheme="minorEastAsia"/>
          <w:rtl/>
        </w:rPr>
        <w:t xml:space="preserve"> آب/أغسطس إلى </w:t>
      </w:r>
      <w:r w:rsidRPr="006A34DD">
        <w:rPr>
          <w:rFonts w:eastAsiaTheme="minorEastAsia"/>
          <w:rtl/>
        </w:rPr>
        <w:t>9</w:t>
      </w:r>
      <w:r w:rsidRPr="001C6B44">
        <w:rPr>
          <w:rFonts w:eastAsiaTheme="minorEastAsia"/>
          <w:rtl/>
        </w:rPr>
        <w:t xml:space="preserve"> أيلول/سبتمبر </w:t>
      </w:r>
      <w:r w:rsidRPr="006A34DD">
        <w:rPr>
          <w:rFonts w:eastAsiaTheme="minorEastAsia"/>
          <w:rtl/>
        </w:rPr>
        <w:t>2022</w:t>
      </w:r>
      <w:r w:rsidRPr="001C6B44">
        <w:rPr>
          <w:rFonts w:eastAsiaTheme="minorEastAsia"/>
          <w:rtl/>
        </w:rPr>
        <w:t>، رهناً بتأكيد الأمانة العامة إمكانية عقدها حضورياً. وخلال تلك الدورة، ستنظر اللجنة في التقارير الأولية المقدمة من إندونيسيا وبنغلاديش وجمهورية لاو الديمقراطية الشعبية وسنغافورة واليابان وفي التقرير الجامع للتقريرين الثاني والثالث لجمهورية كوريا والصين ونيوزيلندا. وفي حالة تعذّر عقد دورة حضورية، ستقرر رئاسة اللجنة، بدعم من الأمين، مسار العمل المناسب.</w:t>
      </w:r>
    </w:p>
    <w:p w14:paraId="054D4E20" w14:textId="1802B046" w:rsidR="00551F9E" w:rsidRPr="001C6B44" w:rsidRDefault="00551F9E" w:rsidP="001C6B44">
      <w:pPr>
        <w:pStyle w:val="SingleTxtGA"/>
        <w:rPr>
          <w:rFonts w:eastAsiaTheme="minorEastAsia"/>
          <w:lang w:val="ar-SA" w:eastAsia="zh-TW" w:bidi="en-GB"/>
        </w:rPr>
      </w:pPr>
      <w:r w:rsidRPr="006A34DD">
        <w:rPr>
          <w:rFonts w:eastAsiaTheme="minorEastAsia"/>
          <w:rtl/>
        </w:rPr>
        <w:t>10</w:t>
      </w:r>
      <w:r w:rsidRPr="001C6B44">
        <w:rPr>
          <w:rFonts w:eastAsiaTheme="minorEastAsia"/>
          <w:rtl/>
        </w:rPr>
        <w:t>-</w:t>
      </w:r>
      <w:r w:rsidRPr="001C6B44">
        <w:rPr>
          <w:rFonts w:eastAsiaTheme="minorEastAsia"/>
          <w:rtl/>
        </w:rPr>
        <w:tab/>
        <w:t xml:space="preserve">وقررت اللجنة أن يعقد الفريق العامل لما قبل الدورة دورته السادسة عشرة في الفترة من </w:t>
      </w:r>
      <w:r w:rsidRPr="006A34DD">
        <w:rPr>
          <w:rFonts w:eastAsiaTheme="minorEastAsia"/>
          <w:rtl/>
        </w:rPr>
        <w:t>12</w:t>
      </w:r>
      <w:r w:rsidRPr="001C6B44">
        <w:rPr>
          <w:rFonts w:eastAsiaTheme="minorEastAsia"/>
          <w:rtl/>
        </w:rPr>
        <w:t xml:space="preserve"> إلى</w:t>
      </w:r>
      <w:r w:rsidR="00360BE8">
        <w:rPr>
          <w:rFonts w:eastAsiaTheme="minorEastAsia" w:hint="cs"/>
          <w:rtl/>
        </w:rPr>
        <w:t> </w:t>
      </w:r>
      <w:r w:rsidRPr="006A34DD">
        <w:rPr>
          <w:rFonts w:eastAsiaTheme="minorEastAsia"/>
          <w:rtl/>
        </w:rPr>
        <w:t>16</w:t>
      </w:r>
      <w:r w:rsidRPr="001C6B44">
        <w:rPr>
          <w:rFonts w:eastAsiaTheme="minorEastAsia"/>
          <w:rtl/>
        </w:rPr>
        <w:t xml:space="preserve"> أيلول/سبتمبر. وطلبت اللجنة إلى الفريق العامل لما قبل الدورة أن يعتمد، في هذه الدورة، قوائم مسائل متعلقة ببالاو وتوفالو وجمهورية كوريا الشعبية الديمقراطية </w:t>
      </w:r>
      <w:proofErr w:type="spellStart"/>
      <w:r w:rsidRPr="001C6B44">
        <w:rPr>
          <w:rFonts w:eastAsiaTheme="minorEastAsia"/>
          <w:rtl/>
        </w:rPr>
        <w:t>وفييت</w:t>
      </w:r>
      <w:proofErr w:type="spellEnd"/>
      <w:r w:rsidRPr="001C6B44">
        <w:rPr>
          <w:rFonts w:eastAsiaTheme="minorEastAsia"/>
          <w:rtl/>
        </w:rPr>
        <w:t xml:space="preserve"> نام وملديف وقائمة مسائل في إطار الإجراء المبسط الذي تتبعه اللجنة لتقديم التقارير فيما يتعلق بالإمارات العربية المتحدة. </w:t>
      </w:r>
    </w:p>
    <w:p w14:paraId="01BAE48A"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11</w:t>
      </w:r>
      <w:r w:rsidRPr="001C6B44">
        <w:rPr>
          <w:rFonts w:eastAsiaTheme="minorEastAsia"/>
          <w:rtl/>
        </w:rPr>
        <w:t>-</w:t>
      </w:r>
      <w:r w:rsidRPr="001C6B44">
        <w:rPr>
          <w:rFonts w:eastAsiaTheme="minorEastAsia"/>
          <w:rtl/>
        </w:rPr>
        <w:tab/>
        <w:t xml:space="preserve">وقررت اللجنة مواصلة عملها بشأن تحديث وتبسيط أساليب عملها. وأعربت عن قلقها إزاء نقص الموارد البشرية في الأمانة العامة، وأكدت من جديد وجود حاجة إلى موارد إضافية لتمكين اللجنة من الوفاء بولايتها الأساسية والوفاء بعبء عملها المتزايد. </w:t>
      </w:r>
    </w:p>
    <w:p w14:paraId="79DE3D79" w14:textId="691F8FF7" w:rsidR="00551F9E" w:rsidRDefault="00551F9E" w:rsidP="001C6B44">
      <w:pPr>
        <w:pStyle w:val="SingleTxtGA"/>
        <w:rPr>
          <w:rFonts w:eastAsiaTheme="minorEastAsia"/>
          <w:lang w:val="en-US" w:eastAsia="zh-TW" w:bidi="en-GB"/>
        </w:rPr>
      </w:pPr>
      <w:r w:rsidRPr="006A34DD">
        <w:rPr>
          <w:rFonts w:eastAsiaTheme="minorEastAsia"/>
          <w:rtl/>
        </w:rPr>
        <w:t>12</w:t>
      </w:r>
      <w:r w:rsidRPr="001C6B44">
        <w:rPr>
          <w:rFonts w:eastAsiaTheme="minorEastAsia"/>
          <w:rtl/>
        </w:rPr>
        <w:t>-</w:t>
      </w:r>
      <w:r w:rsidRPr="001C6B44">
        <w:rPr>
          <w:rFonts w:eastAsiaTheme="minorEastAsia"/>
          <w:rtl/>
        </w:rPr>
        <w:tab/>
        <w:t>واعتمدت اللجنة التقرير عن دورتها السادسة والعشرين.</w:t>
      </w:r>
    </w:p>
    <w:p w14:paraId="19181BFB" w14:textId="77777777" w:rsidR="00360BE8" w:rsidRDefault="00360BE8" w:rsidP="001C6B44">
      <w:pPr>
        <w:pStyle w:val="SingleTxtGA"/>
        <w:rPr>
          <w:rFonts w:eastAsiaTheme="minorEastAsia"/>
          <w:rtl/>
          <w:lang w:val="en-US" w:eastAsia="zh-TW"/>
        </w:rPr>
      </w:pPr>
    </w:p>
    <w:p w14:paraId="019553AC" w14:textId="6A21431A" w:rsidR="00360BE8" w:rsidRDefault="00360BE8" w:rsidP="001C6B44">
      <w:pPr>
        <w:pStyle w:val="SingleTxtGA"/>
        <w:rPr>
          <w:rFonts w:eastAsiaTheme="minorEastAsia"/>
          <w:rtl/>
          <w:lang w:val="en-US" w:eastAsia="zh-TW"/>
        </w:rPr>
        <w:sectPr w:rsidR="00360BE8" w:rsidSect="00314136">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592655E1" w14:textId="77777777" w:rsidR="00551F9E" w:rsidRPr="006A34DD" w:rsidRDefault="00551F9E" w:rsidP="000C1847">
      <w:pPr>
        <w:pStyle w:val="HChGA"/>
        <w:spacing w:before="120"/>
        <w:rPr>
          <w:u w:val="single"/>
          <w:lang w:val="ar-SA" w:eastAsia="zh-TW" w:bidi="en-GB"/>
        </w:rPr>
      </w:pPr>
      <w:r w:rsidRPr="006A34DD">
        <w:rPr>
          <w:rtl/>
        </w:rPr>
        <w:lastRenderedPageBreak/>
        <w:tab/>
        <w:t>المرفق الثاني</w:t>
      </w:r>
    </w:p>
    <w:p w14:paraId="2EB9853C" w14:textId="77777777" w:rsidR="00551F9E" w:rsidRPr="006A34DD" w:rsidRDefault="00551F9E" w:rsidP="00B233BD">
      <w:pPr>
        <w:pStyle w:val="HChGA"/>
        <w:rPr>
          <w:lang w:val="en-US" w:eastAsia="zh-TW" w:bidi="en-GB"/>
        </w:rPr>
      </w:pPr>
      <w:r w:rsidRPr="006A34DD">
        <w:rPr>
          <w:rtl/>
        </w:rPr>
        <w:tab/>
      </w:r>
      <w:r w:rsidRPr="006A34DD">
        <w:rPr>
          <w:rtl/>
        </w:rPr>
        <w:tab/>
        <w:t>الدول الأطراف التي تأخرت تقاريرها الأولية أكثر من خمس سنوات</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40"/>
        <w:gridCol w:w="4030"/>
      </w:tblGrid>
      <w:tr w:rsidR="00551F9E" w:rsidRPr="001C6B44" w14:paraId="36861AFB" w14:textId="77777777" w:rsidTr="00A557F5">
        <w:trPr>
          <w:tblHeader/>
        </w:trPr>
        <w:tc>
          <w:tcPr>
            <w:tcW w:w="3340" w:type="dxa"/>
            <w:tcBorders>
              <w:top w:val="single" w:sz="4" w:space="0" w:color="auto"/>
              <w:bottom w:val="single" w:sz="12" w:space="0" w:color="auto"/>
            </w:tcBorders>
            <w:shd w:val="clear" w:color="auto" w:fill="auto"/>
            <w:vAlign w:val="bottom"/>
          </w:tcPr>
          <w:p w14:paraId="1E39293D" w14:textId="77777777" w:rsidR="00551F9E" w:rsidRPr="000C1847" w:rsidRDefault="00551F9E" w:rsidP="00880527">
            <w:pPr>
              <w:pStyle w:val="SingleTxtGA"/>
              <w:spacing w:before="40" w:after="80" w:line="340" w:lineRule="exact"/>
              <w:ind w:left="57" w:right="57" w:firstLine="112"/>
              <w:rPr>
                <w:rFonts w:eastAsiaTheme="minorEastAsia"/>
                <w:i/>
                <w:szCs w:val="22"/>
                <w:lang w:val="en-US" w:eastAsia="zh-TW" w:bidi="en-GB"/>
              </w:rPr>
            </w:pPr>
            <w:r w:rsidRPr="006A34DD">
              <w:rPr>
                <w:rFonts w:eastAsiaTheme="minorEastAsia"/>
                <w:i/>
                <w:iCs/>
                <w:szCs w:val="22"/>
                <w:rtl/>
              </w:rPr>
              <w:t>الدولة الطرف</w:t>
            </w:r>
          </w:p>
        </w:tc>
        <w:tc>
          <w:tcPr>
            <w:tcW w:w="4030" w:type="dxa"/>
            <w:tcBorders>
              <w:top w:val="single" w:sz="4" w:space="0" w:color="auto"/>
              <w:bottom w:val="single" w:sz="12" w:space="0" w:color="auto"/>
            </w:tcBorders>
            <w:shd w:val="clear" w:color="auto" w:fill="auto"/>
            <w:vAlign w:val="bottom"/>
          </w:tcPr>
          <w:p w14:paraId="11EFC5DB" w14:textId="77777777" w:rsidR="00551F9E" w:rsidRPr="006A34DD" w:rsidRDefault="00551F9E" w:rsidP="00880527">
            <w:pPr>
              <w:pStyle w:val="SingleTxtGA"/>
              <w:spacing w:before="40" w:after="80" w:line="340" w:lineRule="exact"/>
              <w:ind w:left="57" w:right="57"/>
              <w:rPr>
                <w:rFonts w:eastAsiaTheme="minorEastAsia"/>
                <w:i/>
                <w:szCs w:val="22"/>
                <w:lang w:val="ar-SA" w:eastAsia="zh-TW" w:bidi="en-GB"/>
              </w:rPr>
            </w:pPr>
            <w:r w:rsidRPr="006A34DD">
              <w:rPr>
                <w:rFonts w:eastAsiaTheme="minorEastAsia"/>
                <w:i/>
                <w:iCs/>
                <w:szCs w:val="22"/>
                <w:rtl/>
              </w:rPr>
              <w:t>الموعد المحدد</w:t>
            </w:r>
          </w:p>
        </w:tc>
      </w:tr>
      <w:tr w:rsidR="00551F9E" w:rsidRPr="001C6B44" w14:paraId="171A5F29" w14:textId="77777777" w:rsidTr="00A557F5">
        <w:tc>
          <w:tcPr>
            <w:tcW w:w="3340" w:type="dxa"/>
            <w:tcBorders>
              <w:top w:val="single" w:sz="12" w:space="0" w:color="auto"/>
            </w:tcBorders>
            <w:shd w:val="clear" w:color="auto" w:fill="auto"/>
          </w:tcPr>
          <w:p w14:paraId="51C5E068"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غينيا</w:t>
            </w:r>
          </w:p>
        </w:tc>
        <w:tc>
          <w:tcPr>
            <w:tcW w:w="4030" w:type="dxa"/>
            <w:tcBorders>
              <w:top w:val="single" w:sz="12" w:space="0" w:color="auto"/>
            </w:tcBorders>
            <w:shd w:val="clear" w:color="auto" w:fill="auto"/>
          </w:tcPr>
          <w:p w14:paraId="2F3ECBBA"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8</w:t>
            </w:r>
            <w:r w:rsidRPr="001C6B44">
              <w:rPr>
                <w:rFonts w:eastAsiaTheme="minorEastAsia"/>
                <w:szCs w:val="22"/>
                <w:rtl/>
              </w:rPr>
              <w:t xml:space="preserve"> آذار/مارس </w:t>
            </w:r>
            <w:r w:rsidRPr="006A34DD">
              <w:rPr>
                <w:rFonts w:eastAsiaTheme="minorEastAsia"/>
                <w:szCs w:val="22"/>
                <w:rtl/>
              </w:rPr>
              <w:t>2010</w:t>
            </w:r>
          </w:p>
        </w:tc>
      </w:tr>
      <w:tr w:rsidR="00551F9E" w:rsidRPr="001C6B44" w14:paraId="4AD90951" w14:textId="77777777" w:rsidTr="00A557F5">
        <w:tc>
          <w:tcPr>
            <w:tcW w:w="3340" w:type="dxa"/>
            <w:shd w:val="clear" w:color="auto" w:fill="auto"/>
          </w:tcPr>
          <w:p w14:paraId="69C17166"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سان مارينو</w:t>
            </w:r>
          </w:p>
        </w:tc>
        <w:tc>
          <w:tcPr>
            <w:tcW w:w="4030" w:type="dxa"/>
            <w:shd w:val="clear" w:color="auto" w:fill="auto"/>
          </w:tcPr>
          <w:p w14:paraId="3D28372A"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22</w:t>
            </w:r>
            <w:r w:rsidRPr="001C6B44">
              <w:rPr>
                <w:rFonts w:eastAsiaTheme="minorEastAsia"/>
                <w:szCs w:val="22"/>
                <w:rtl/>
              </w:rPr>
              <w:t xml:space="preserve"> آذار/مارس </w:t>
            </w:r>
            <w:r w:rsidRPr="006A34DD">
              <w:rPr>
                <w:rFonts w:eastAsiaTheme="minorEastAsia"/>
                <w:szCs w:val="22"/>
                <w:rtl/>
              </w:rPr>
              <w:t>2010</w:t>
            </w:r>
          </w:p>
        </w:tc>
      </w:tr>
      <w:tr w:rsidR="00551F9E" w:rsidRPr="001C6B44" w14:paraId="237A2674" w14:textId="77777777" w:rsidTr="00A557F5">
        <w:tc>
          <w:tcPr>
            <w:tcW w:w="3340" w:type="dxa"/>
            <w:shd w:val="clear" w:color="auto" w:fill="auto"/>
          </w:tcPr>
          <w:p w14:paraId="03475813"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ليسوتو</w:t>
            </w:r>
          </w:p>
        </w:tc>
        <w:tc>
          <w:tcPr>
            <w:tcW w:w="4030" w:type="dxa"/>
            <w:shd w:val="clear" w:color="auto" w:fill="auto"/>
          </w:tcPr>
          <w:p w14:paraId="630A76BD"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w:t>
            </w:r>
            <w:r w:rsidRPr="001C6B44">
              <w:rPr>
                <w:rFonts w:eastAsiaTheme="minorEastAsia"/>
                <w:szCs w:val="22"/>
                <w:rtl/>
              </w:rPr>
              <w:t xml:space="preserve"> كانون الثاني/يناير </w:t>
            </w:r>
            <w:r w:rsidRPr="006A34DD">
              <w:rPr>
                <w:rFonts w:eastAsiaTheme="minorEastAsia"/>
                <w:szCs w:val="22"/>
                <w:rtl/>
              </w:rPr>
              <w:t>2011</w:t>
            </w:r>
          </w:p>
        </w:tc>
      </w:tr>
      <w:tr w:rsidR="00551F9E" w:rsidRPr="001C6B44" w14:paraId="13E5482B" w14:textId="77777777" w:rsidTr="00A557F5">
        <w:tc>
          <w:tcPr>
            <w:tcW w:w="3340" w:type="dxa"/>
            <w:shd w:val="clear" w:color="auto" w:fill="auto"/>
          </w:tcPr>
          <w:p w14:paraId="2021E8F0"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اليمن</w:t>
            </w:r>
          </w:p>
        </w:tc>
        <w:tc>
          <w:tcPr>
            <w:tcW w:w="4030" w:type="dxa"/>
            <w:shd w:val="clear" w:color="auto" w:fill="auto"/>
          </w:tcPr>
          <w:p w14:paraId="4FF20CE3"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26</w:t>
            </w:r>
            <w:r w:rsidRPr="001C6B44">
              <w:rPr>
                <w:rFonts w:eastAsiaTheme="minorEastAsia"/>
                <w:szCs w:val="22"/>
                <w:rtl/>
              </w:rPr>
              <w:t xml:space="preserve"> نيسان/أبريل </w:t>
            </w:r>
            <w:r w:rsidRPr="006A34DD">
              <w:rPr>
                <w:rFonts w:eastAsiaTheme="minorEastAsia"/>
                <w:szCs w:val="22"/>
                <w:rtl/>
              </w:rPr>
              <w:t>2011</w:t>
            </w:r>
          </w:p>
        </w:tc>
      </w:tr>
      <w:tr w:rsidR="00551F9E" w:rsidRPr="001C6B44" w14:paraId="67A444A2" w14:textId="77777777" w:rsidTr="00A557F5">
        <w:tc>
          <w:tcPr>
            <w:tcW w:w="3340" w:type="dxa"/>
            <w:shd w:val="clear" w:color="auto" w:fill="auto"/>
          </w:tcPr>
          <w:p w14:paraId="5E0E5C15"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الجمهورية العربية السورية</w:t>
            </w:r>
          </w:p>
        </w:tc>
        <w:tc>
          <w:tcPr>
            <w:tcW w:w="4030" w:type="dxa"/>
            <w:shd w:val="clear" w:color="auto" w:fill="auto"/>
          </w:tcPr>
          <w:p w14:paraId="67EF6FE3"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10</w:t>
            </w:r>
            <w:r w:rsidRPr="001C6B44">
              <w:rPr>
                <w:rFonts w:eastAsiaTheme="minorEastAsia"/>
                <w:szCs w:val="22"/>
                <w:rtl/>
              </w:rPr>
              <w:t xml:space="preserve"> آب/أغسطس </w:t>
            </w:r>
            <w:r w:rsidRPr="006A34DD">
              <w:rPr>
                <w:rFonts w:eastAsiaTheme="minorEastAsia"/>
                <w:szCs w:val="22"/>
                <w:rtl/>
              </w:rPr>
              <w:t>2011</w:t>
            </w:r>
          </w:p>
        </w:tc>
      </w:tr>
      <w:tr w:rsidR="00551F9E" w:rsidRPr="001C6B44" w14:paraId="4119F670" w14:textId="77777777" w:rsidTr="00A557F5">
        <w:tc>
          <w:tcPr>
            <w:tcW w:w="3340" w:type="dxa"/>
            <w:shd w:val="clear" w:color="auto" w:fill="auto"/>
          </w:tcPr>
          <w:p w14:paraId="23E9EDA5"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جمهورية تنزانيا المتحدة</w:t>
            </w:r>
          </w:p>
        </w:tc>
        <w:tc>
          <w:tcPr>
            <w:tcW w:w="4030" w:type="dxa"/>
            <w:shd w:val="clear" w:color="auto" w:fill="auto"/>
          </w:tcPr>
          <w:p w14:paraId="604E90E8"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10</w:t>
            </w:r>
            <w:r w:rsidRPr="001C6B44">
              <w:rPr>
                <w:rFonts w:eastAsiaTheme="minorEastAsia"/>
                <w:szCs w:val="22"/>
                <w:rtl/>
              </w:rPr>
              <w:t xml:space="preserve"> كانون الأول/ديسمبر </w:t>
            </w:r>
            <w:r w:rsidRPr="006A34DD">
              <w:rPr>
                <w:rFonts w:eastAsiaTheme="minorEastAsia"/>
                <w:szCs w:val="22"/>
                <w:rtl/>
              </w:rPr>
              <w:t>2011</w:t>
            </w:r>
          </w:p>
        </w:tc>
      </w:tr>
      <w:tr w:rsidR="00551F9E" w:rsidRPr="001C6B44" w14:paraId="035AE0B7" w14:textId="77777777" w:rsidTr="00A557F5">
        <w:tc>
          <w:tcPr>
            <w:tcW w:w="3340" w:type="dxa"/>
            <w:shd w:val="clear" w:color="auto" w:fill="auto"/>
          </w:tcPr>
          <w:p w14:paraId="1C0FFE95"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ماليزيا</w:t>
            </w:r>
          </w:p>
        </w:tc>
        <w:tc>
          <w:tcPr>
            <w:tcW w:w="4030" w:type="dxa"/>
            <w:shd w:val="clear" w:color="auto" w:fill="auto"/>
          </w:tcPr>
          <w:p w14:paraId="2CA65014"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19</w:t>
            </w:r>
            <w:r w:rsidRPr="001C6B44">
              <w:rPr>
                <w:rFonts w:eastAsiaTheme="minorEastAsia"/>
                <w:szCs w:val="22"/>
                <w:rtl/>
              </w:rPr>
              <w:t xml:space="preserve"> آب/أغسطس </w:t>
            </w:r>
            <w:r w:rsidRPr="006A34DD">
              <w:rPr>
                <w:rFonts w:eastAsiaTheme="minorEastAsia"/>
                <w:szCs w:val="22"/>
                <w:rtl/>
              </w:rPr>
              <w:t>2012</w:t>
            </w:r>
          </w:p>
        </w:tc>
      </w:tr>
      <w:tr w:rsidR="00551F9E" w:rsidRPr="001C6B44" w14:paraId="60EECA6A" w14:textId="77777777" w:rsidTr="00A557F5">
        <w:tc>
          <w:tcPr>
            <w:tcW w:w="3340" w:type="dxa"/>
            <w:shd w:val="clear" w:color="auto" w:fill="auto"/>
          </w:tcPr>
          <w:p w14:paraId="506B90F7"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880527">
              <w:rPr>
                <w:rFonts w:eastAsiaTheme="minorEastAsia"/>
                <w:szCs w:val="22"/>
                <w:rtl/>
              </w:rPr>
              <w:t>سانت فنسنت وجزر غرينادين</w:t>
            </w:r>
          </w:p>
        </w:tc>
        <w:tc>
          <w:tcPr>
            <w:tcW w:w="4030" w:type="dxa"/>
            <w:shd w:val="clear" w:color="auto" w:fill="auto"/>
          </w:tcPr>
          <w:p w14:paraId="49A52E52"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29</w:t>
            </w:r>
            <w:r w:rsidRPr="001C6B44">
              <w:rPr>
                <w:rFonts w:eastAsiaTheme="minorEastAsia"/>
                <w:szCs w:val="22"/>
                <w:rtl/>
              </w:rPr>
              <w:t xml:space="preserve"> تشرين الثاني/نوفمبر </w:t>
            </w:r>
            <w:r w:rsidRPr="006A34DD">
              <w:rPr>
                <w:rFonts w:eastAsiaTheme="minorEastAsia"/>
                <w:szCs w:val="22"/>
                <w:rtl/>
              </w:rPr>
              <w:t>2012</w:t>
            </w:r>
          </w:p>
        </w:tc>
      </w:tr>
      <w:tr w:rsidR="00551F9E" w:rsidRPr="001C6B44" w14:paraId="230CAA96" w14:textId="77777777" w:rsidTr="00A557F5">
        <w:tc>
          <w:tcPr>
            <w:tcW w:w="3340" w:type="dxa"/>
            <w:shd w:val="clear" w:color="auto" w:fill="auto"/>
          </w:tcPr>
          <w:p w14:paraId="43D8416A"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بليز</w:t>
            </w:r>
          </w:p>
        </w:tc>
        <w:tc>
          <w:tcPr>
            <w:tcW w:w="4030" w:type="dxa"/>
            <w:shd w:val="clear" w:color="auto" w:fill="auto"/>
          </w:tcPr>
          <w:p w14:paraId="5A52517A"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w:t>
            </w:r>
            <w:r w:rsidRPr="001C6B44">
              <w:rPr>
                <w:rFonts w:eastAsiaTheme="minorEastAsia"/>
                <w:szCs w:val="22"/>
                <w:rtl/>
              </w:rPr>
              <w:t xml:space="preserve"> تموز/يوليه </w:t>
            </w:r>
            <w:r w:rsidRPr="006A34DD">
              <w:rPr>
                <w:rFonts w:eastAsiaTheme="minorEastAsia"/>
                <w:szCs w:val="22"/>
                <w:rtl/>
              </w:rPr>
              <w:t>2013</w:t>
            </w:r>
          </w:p>
        </w:tc>
      </w:tr>
      <w:tr w:rsidR="00551F9E" w:rsidRPr="001C6B44" w14:paraId="7729B99C" w14:textId="77777777" w:rsidTr="00A557F5">
        <w:tc>
          <w:tcPr>
            <w:tcW w:w="3340" w:type="dxa"/>
            <w:shd w:val="clear" w:color="auto" w:fill="auto"/>
          </w:tcPr>
          <w:p w14:paraId="37F8FA3C"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كابو فيردي</w:t>
            </w:r>
          </w:p>
        </w:tc>
        <w:tc>
          <w:tcPr>
            <w:tcW w:w="4030" w:type="dxa"/>
            <w:shd w:val="clear" w:color="auto" w:fill="auto"/>
          </w:tcPr>
          <w:p w14:paraId="65A49D0C"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10</w:t>
            </w:r>
            <w:r w:rsidRPr="001C6B44">
              <w:rPr>
                <w:rFonts w:eastAsiaTheme="minorEastAsia"/>
                <w:szCs w:val="22"/>
                <w:rtl/>
              </w:rPr>
              <w:t xml:space="preserve"> تشرين الثاني/نوفمبر </w:t>
            </w:r>
            <w:r w:rsidRPr="006A34DD">
              <w:rPr>
                <w:rFonts w:eastAsiaTheme="minorEastAsia"/>
                <w:szCs w:val="22"/>
                <w:rtl/>
              </w:rPr>
              <w:t>2013</w:t>
            </w:r>
          </w:p>
        </w:tc>
      </w:tr>
      <w:tr w:rsidR="00551F9E" w:rsidRPr="001C6B44" w14:paraId="5058EBA7" w14:textId="77777777" w:rsidTr="00A557F5">
        <w:tc>
          <w:tcPr>
            <w:tcW w:w="3340" w:type="dxa"/>
            <w:shd w:val="clear" w:color="auto" w:fill="auto"/>
          </w:tcPr>
          <w:p w14:paraId="16C2973A"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ناورو</w:t>
            </w:r>
          </w:p>
        </w:tc>
        <w:tc>
          <w:tcPr>
            <w:tcW w:w="4030" w:type="dxa"/>
            <w:shd w:val="clear" w:color="auto" w:fill="auto"/>
          </w:tcPr>
          <w:p w14:paraId="423041CB"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27</w:t>
            </w:r>
            <w:r w:rsidRPr="001C6B44">
              <w:rPr>
                <w:rFonts w:eastAsiaTheme="minorEastAsia"/>
                <w:szCs w:val="22"/>
                <w:rtl/>
              </w:rPr>
              <w:t xml:space="preserve"> تموز/يوليه </w:t>
            </w:r>
            <w:r w:rsidRPr="006A34DD">
              <w:rPr>
                <w:rFonts w:eastAsiaTheme="minorEastAsia"/>
                <w:szCs w:val="22"/>
                <w:rtl/>
              </w:rPr>
              <w:t>2014</w:t>
            </w:r>
          </w:p>
        </w:tc>
      </w:tr>
      <w:tr w:rsidR="00551F9E" w:rsidRPr="001C6B44" w14:paraId="31A2C137" w14:textId="77777777" w:rsidTr="00A557F5">
        <w:tc>
          <w:tcPr>
            <w:tcW w:w="3340" w:type="dxa"/>
            <w:shd w:val="clear" w:color="auto" w:fill="auto"/>
          </w:tcPr>
          <w:p w14:paraId="7E553683" w14:textId="77777777" w:rsidR="00551F9E" w:rsidRPr="00880527" w:rsidRDefault="00551F9E" w:rsidP="00880527">
            <w:pPr>
              <w:pStyle w:val="SingleTxtGA"/>
              <w:spacing w:before="40" w:after="80" w:line="340" w:lineRule="exact"/>
              <w:ind w:left="57" w:right="57" w:firstLine="112"/>
              <w:rPr>
                <w:rFonts w:eastAsiaTheme="minorEastAsia"/>
                <w:szCs w:val="22"/>
              </w:rPr>
            </w:pPr>
            <w:proofErr w:type="spellStart"/>
            <w:r w:rsidRPr="001C6B44">
              <w:rPr>
                <w:rFonts w:eastAsiaTheme="minorEastAsia"/>
                <w:szCs w:val="22"/>
                <w:rtl/>
              </w:rPr>
              <w:t>إسواتيني</w:t>
            </w:r>
            <w:proofErr w:type="spellEnd"/>
            <w:r w:rsidRPr="001C6B44">
              <w:rPr>
                <w:rFonts w:eastAsiaTheme="minorEastAsia"/>
                <w:szCs w:val="22"/>
                <w:rtl/>
              </w:rPr>
              <w:t xml:space="preserve"> </w:t>
            </w:r>
          </w:p>
        </w:tc>
        <w:tc>
          <w:tcPr>
            <w:tcW w:w="4030" w:type="dxa"/>
            <w:shd w:val="clear" w:color="auto" w:fill="auto"/>
          </w:tcPr>
          <w:p w14:paraId="26193F6B"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24</w:t>
            </w:r>
            <w:r w:rsidRPr="001C6B44">
              <w:rPr>
                <w:rFonts w:eastAsiaTheme="minorEastAsia"/>
                <w:szCs w:val="22"/>
                <w:rtl/>
              </w:rPr>
              <w:t xml:space="preserve"> تشرين الأول/أكتوبر </w:t>
            </w:r>
            <w:r w:rsidRPr="006A34DD">
              <w:rPr>
                <w:rFonts w:eastAsiaTheme="minorEastAsia"/>
                <w:szCs w:val="22"/>
                <w:rtl/>
              </w:rPr>
              <w:t>2014</w:t>
            </w:r>
          </w:p>
        </w:tc>
      </w:tr>
      <w:tr w:rsidR="00551F9E" w:rsidRPr="001C6B44" w14:paraId="2FF07BFD" w14:textId="77777777" w:rsidTr="00A557F5">
        <w:tc>
          <w:tcPr>
            <w:tcW w:w="3340" w:type="dxa"/>
            <w:shd w:val="clear" w:color="auto" w:fill="auto"/>
          </w:tcPr>
          <w:p w14:paraId="4BDB308C"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دومينيكا</w:t>
            </w:r>
          </w:p>
        </w:tc>
        <w:tc>
          <w:tcPr>
            <w:tcW w:w="4030" w:type="dxa"/>
            <w:shd w:val="clear" w:color="auto" w:fill="auto"/>
          </w:tcPr>
          <w:p w14:paraId="32E25555"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w:t>
            </w:r>
            <w:r w:rsidRPr="001C6B44">
              <w:rPr>
                <w:rFonts w:eastAsiaTheme="minorEastAsia"/>
                <w:szCs w:val="22"/>
                <w:rtl/>
              </w:rPr>
              <w:t xml:space="preserve"> تشرين الثاني/نوفمبر </w:t>
            </w:r>
            <w:r w:rsidRPr="006A34DD">
              <w:rPr>
                <w:rFonts w:eastAsiaTheme="minorEastAsia"/>
                <w:szCs w:val="22"/>
                <w:rtl/>
              </w:rPr>
              <w:t>2014</w:t>
            </w:r>
          </w:p>
        </w:tc>
      </w:tr>
      <w:tr w:rsidR="00551F9E" w:rsidRPr="001C6B44" w14:paraId="2C0D2DC1" w14:textId="77777777" w:rsidTr="00A557F5">
        <w:tc>
          <w:tcPr>
            <w:tcW w:w="3340" w:type="dxa"/>
            <w:shd w:val="clear" w:color="auto" w:fill="auto"/>
          </w:tcPr>
          <w:p w14:paraId="37D17825"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كمبوديا</w:t>
            </w:r>
          </w:p>
        </w:tc>
        <w:tc>
          <w:tcPr>
            <w:tcW w:w="4030" w:type="dxa"/>
            <w:shd w:val="clear" w:color="auto" w:fill="auto"/>
          </w:tcPr>
          <w:p w14:paraId="79FAF81B"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20</w:t>
            </w:r>
            <w:r w:rsidRPr="001C6B44">
              <w:rPr>
                <w:rFonts w:eastAsiaTheme="minorEastAsia"/>
                <w:szCs w:val="22"/>
                <w:rtl/>
              </w:rPr>
              <w:t xml:space="preserve"> كانون الثاني/يناير </w:t>
            </w:r>
            <w:r w:rsidRPr="006A34DD">
              <w:rPr>
                <w:rFonts w:eastAsiaTheme="minorEastAsia"/>
                <w:szCs w:val="22"/>
                <w:rtl/>
              </w:rPr>
              <w:t>2015</w:t>
            </w:r>
          </w:p>
        </w:tc>
      </w:tr>
      <w:tr w:rsidR="00551F9E" w:rsidRPr="001C6B44" w14:paraId="64116BE8" w14:textId="77777777" w:rsidTr="00A557F5">
        <w:tc>
          <w:tcPr>
            <w:tcW w:w="3340" w:type="dxa"/>
            <w:shd w:val="clear" w:color="auto" w:fill="auto"/>
          </w:tcPr>
          <w:p w14:paraId="10A10807"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بربادوس</w:t>
            </w:r>
          </w:p>
        </w:tc>
        <w:tc>
          <w:tcPr>
            <w:tcW w:w="4030" w:type="dxa"/>
            <w:shd w:val="clear" w:color="auto" w:fill="auto"/>
          </w:tcPr>
          <w:p w14:paraId="0CBDAFE4"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27</w:t>
            </w:r>
            <w:r w:rsidRPr="001C6B44">
              <w:rPr>
                <w:rFonts w:eastAsiaTheme="minorEastAsia"/>
                <w:szCs w:val="22"/>
                <w:rtl/>
              </w:rPr>
              <w:t xml:space="preserve"> آذار/مارس </w:t>
            </w:r>
            <w:r w:rsidRPr="006A34DD">
              <w:rPr>
                <w:rFonts w:eastAsiaTheme="minorEastAsia"/>
                <w:szCs w:val="22"/>
                <w:rtl/>
              </w:rPr>
              <w:t>2015</w:t>
            </w:r>
          </w:p>
        </w:tc>
      </w:tr>
      <w:tr w:rsidR="00551F9E" w:rsidRPr="001C6B44" w14:paraId="08DCD387" w14:textId="77777777" w:rsidTr="00A557F5">
        <w:tc>
          <w:tcPr>
            <w:tcW w:w="3340" w:type="dxa"/>
            <w:shd w:val="clear" w:color="auto" w:fill="auto"/>
          </w:tcPr>
          <w:p w14:paraId="0B659853"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بابوا غينيا الجديدة</w:t>
            </w:r>
          </w:p>
        </w:tc>
        <w:tc>
          <w:tcPr>
            <w:tcW w:w="4030" w:type="dxa"/>
            <w:shd w:val="clear" w:color="auto" w:fill="auto"/>
          </w:tcPr>
          <w:p w14:paraId="539150FD"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26</w:t>
            </w:r>
            <w:r w:rsidRPr="001C6B44">
              <w:rPr>
                <w:rFonts w:eastAsiaTheme="minorEastAsia"/>
                <w:szCs w:val="22"/>
                <w:rtl/>
              </w:rPr>
              <w:t xml:space="preserve"> تشرين الأول/أكتوبر </w:t>
            </w:r>
            <w:r w:rsidRPr="006A34DD">
              <w:rPr>
                <w:rFonts w:eastAsiaTheme="minorEastAsia"/>
                <w:szCs w:val="22"/>
                <w:rtl/>
              </w:rPr>
              <w:t>2015</w:t>
            </w:r>
          </w:p>
        </w:tc>
      </w:tr>
      <w:tr w:rsidR="00551F9E" w:rsidRPr="001C6B44" w14:paraId="05466DBF" w14:textId="77777777" w:rsidTr="00A557F5">
        <w:tc>
          <w:tcPr>
            <w:tcW w:w="3340" w:type="dxa"/>
            <w:shd w:val="clear" w:color="auto" w:fill="auto"/>
          </w:tcPr>
          <w:p w14:paraId="1AAB9ED0"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كوت ديفوار</w:t>
            </w:r>
          </w:p>
        </w:tc>
        <w:tc>
          <w:tcPr>
            <w:tcW w:w="4030" w:type="dxa"/>
            <w:shd w:val="clear" w:color="auto" w:fill="auto"/>
          </w:tcPr>
          <w:p w14:paraId="44F850F4"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10</w:t>
            </w:r>
            <w:r w:rsidRPr="001C6B44">
              <w:rPr>
                <w:rFonts w:eastAsiaTheme="minorEastAsia"/>
                <w:szCs w:val="22"/>
                <w:rtl/>
              </w:rPr>
              <w:t xml:space="preserve"> شباط/فبراير </w:t>
            </w:r>
            <w:r w:rsidRPr="006A34DD">
              <w:rPr>
                <w:rFonts w:eastAsiaTheme="minorEastAsia"/>
                <w:szCs w:val="22"/>
                <w:rtl/>
              </w:rPr>
              <w:t>2016</w:t>
            </w:r>
          </w:p>
        </w:tc>
      </w:tr>
      <w:tr w:rsidR="00551F9E" w:rsidRPr="001C6B44" w14:paraId="06F1759C" w14:textId="77777777" w:rsidTr="00A557F5">
        <w:tc>
          <w:tcPr>
            <w:tcW w:w="3340" w:type="dxa"/>
            <w:shd w:val="clear" w:color="auto" w:fill="auto"/>
          </w:tcPr>
          <w:p w14:paraId="79ECE856"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غرينادا</w:t>
            </w:r>
          </w:p>
        </w:tc>
        <w:tc>
          <w:tcPr>
            <w:tcW w:w="4030" w:type="dxa"/>
            <w:shd w:val="clear" w:color="auto" w:fill="auto"/>
          </w:tcPr>
          <w:p w14:paraId="109A350A"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17</w:t>
            </w:r>
            <w:r w:rsidRPr="001C6B44">
              <w:rPr>
                <w:rFonts w:eastAsiaTheme="minorEastAsia"/>
                <w:szCs w:val="22"/>
                <w:rtl/>
              </w:rPr>
              <w:t xml:space="preserve"> أيلول/سبتمبر </w:t>
            </w:r>
            <w:r w:rsidRPr="006A34DD">
              <w:rPr>
                <w:rFonts w:eastAsiaTheme="minorEastAsia"/>
                <w:szCs w:val="22"/>
                <w:rtl/>
              </w:rPr>
              <w:t>2016</w:t>
            </w:r>
          </w:p>
        </w:tc>
      </w:tr>
      <w:tr w:rsidR="00551F9E" w:rsidRPr="001C6B44" w14:paraId="60A4A447" w14:textId="77777777" w:rsidTr="00A557F5">
        <w:tc>
          <w:tcPr>
            <w:tcW w:w="3340" w:type="dxa"/>
            <w:shd w:val="clear" w:color="auto" w:fill="auto"/>
          </w:tcPr>
          <w:p w14:paraId="7839A541"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الكونغو</w:t>
            </w:r>
          </w:p>
        </w:tc>
        <w:tc>
          <w:tcPr>
            <w:tcW w:w="4030" w:type="dxa"/>
            <w:shd w:val="clear" w:color="auto" w:fill="auto"/>
          </w:tcPr>
          <w:p w14:paraId="5685A8AC"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w:t>
            </w:r>
            <w:r w:rsidRPr="001C6B44">
              <w:rPr>
                <w:rFonts w:eastAsiaTheme="minorEastAsia"/>
                <w:szCs w:val="22"/>
                <w:rtl/>
              </w:rPr>
              <w:t xml:space="preserve"> تشرين الأول/أكتوبر </w:t>
            </w:r>
            <w:r w:rsidRPr="006A34DD">
              <w:rPr>
                <w:rFonts w:eastAsiaTheme="minorEastAsia"/>
                <w:szCs w:val="22"/>
                <w:rtl/>
              </w:rPr>
              <w:t>2016</w:t>
            </w:r>
          </w:p>
        </w:tc>
      </w:tr>
      <w:tr w:rsidR="00551F9E" w:rsidRPr="001C6B44" w14:paraId="4B357246" w14:textId="77777777" w:rsidTr="00A557F5">
        <w:tc>
          <w:tcPr>
            <w:tcW w:w="3340" w:type="dxa"/>
            <w:tcBorders>
              <w:bottom w:val="nil"/>
            </w:tcBorders>
            <w:shd w:val="clear" w:color="auto" w:fill="auto"/>
          </w:tcPr>
          <w:p w14:paraId="273F10CF"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غيانا</w:t>
            </w:r>
          </w:p>
        </w:tc>
        <w:tc>
          <w:tcPr>
            <w:tcW w:w="4030" w:type="dxa"/>
            <w:tcBorders>
              <w:bottom w:val="nil"/>
            </w:tcBorders>
            <w:shd w:val="clear" w:color="auto" w:fill="auto"/>
          </w:tcPr>
          <w:p w14:paraId="3974A6F2"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10</w:t>
            </w:r>
            <w:r w:rsidRPr="001C6B44">
              <w:rPr>
                <w:rFonts w:eastAsiaTheme="minorEastAsia"/>
                <w:szCs w:val="22"/>
                <w:rtl/>
              </w:rPr>
              <w:t xml:space="preserve"> تشرين الأول/أكتوبر </w:t>
            </w:r>
            <w:r w:rsidRPr="006A34DD">
              <w:rPr>
                <w:rFonts w:eastAsiaTheme="minorEastAsia"/>
                <w:szCs w:val="22"/>
                <w:rtl/>
              </w:rPr>
              <w:t>2016</w:t>
            </w:r>
          </w:p>
        </w:tc>
      </w:tr>
      <w:tr w:rsidR="00551F9E" w:rsidRPr="001C6B44" w14:paraId="05696004" w14:textId="77777777" w:rsidTr="00A557F5">
        <w:tc>
          <w:tcPr>
            <w:tcW w:w="3340" w:type="dxa"/>
            <w:tcBorders>
              <w:top w:val="nil"/>
              <w:bottom w:val="single" w:sz="12" w:space="0" w:color="auto"/>
            </w:tcBorders>
            <w:shd w:val="clear" w:color="auto" w:fill="auto"/>
          </w:tcPr>
          <w:p w14:paraId="5C6DB188" w14:textId="77777777" w:rsidR="00551F9E" w:rsidRPr="00880527" w:rsidRDefault="00551F9E" w:rsidP="00880527">
            <w:pPr>
              <w:pStyle w:val="SingleTxtGA"/>
              <w:spacing w:before="40" w:after="80" w:line="340" w:lineRule="exact"/>
              <w:ind w:left="57" w:right="57" w:firstLine="112"/>
              <w:rPr>
                <w:rFonts w:eastAsiaTheme="minorEastAsia"/>
                <w:szCs w:val="22"/>
              </w:rPr>
            </w:pPr>
            <w:r w:rsidRPr="001C6B44">
              <w:rPr>
                <w:rFonts w:eastAsiaTheme="minorEastAsia"/>
                <w:szCs w:val="22"/>
                <w:rtl/>
              </w:rPr>
              <w:t>غينيا - بيساو</w:t>
            </w:r>
          </w:p>
        </w:tc>
        <w:tc>
          <w:tcPr>
            <w:tcW w:w="4030" w:type="dxa"/>
            <w:tcBorders>
              <w:top w:val="nil"/>
              <w:bottom w:val="single" w:sz="12" w:space="0" w:color="auto"/>
            </w:tcBorders>
            <w:shd w:val="clear" w:color="auto" w:fill="auto"/>
          </w:tcPr>
          <w:p w14:paraId="7740A0E5" w14:textId="77777777" w:rsidR="00551F9E" w:rsidRPr="00A557F5" w:rsidRDefault="00551F9E" w:rsidP="00880527">
            <w:pPr>
              <w:pStyle w:val="SingleTxtGA"/>
              <w:spacing w:before="40" w:after="80" w:line="340" w:lineRule="exact"/>
              <w:ind w:left="57" w:right="57"/>
              <w:rPr>
                <w:rFonts w:eastAsiaTheme="minorEastAsia"/>
                <w:szCs w:val="22"/>
              </w:rPr>
            </w:pPr>
            <w:r w:rsidRPr="006A34DD">
              <w:rPr>
                <w:rFonts w:eastAsiaTheme="minorEastAsia"/>
                <w:szCs w:val="22"/>
                <w:rtl/>
              </w:rPr>
              <w:t>24</w:t>
            </w:r>
            <w:r w:rsidRPr="001C6B44">
              <w:rPr>
                <w:rFonts w:eastAsiaTheme="minorEastAsia"/>
                <w:szCs w:val="22"/>
                <w:rtl/>
              </w:rPr>
              <w:t xml:space="preserve"> تشرين الأول/أكتوبر </w:t>
            </w:r>
            <w:r w:rsidRPr="006A34DD">
              <w:rPr>
                <w:rFonts w:eastAsiaTheme="minorEastAsia"/>
                <w:szCs w:val="22"/>
                <w:rtl/>
              </w:rPr>
              <w:t>2016</w:t>
            </w:r>
          </w:p>
        </w:tc>
      </w:tr>
    </w:tbl>
    <w:p w14:paraId="11E40F6A" w14:textId="77777777" w:rsidR="00551F9E" w:rsidRPr="006A34DD" w:rsidRDefault="00551F9E" w:rsidP="00360BE8">
      <w:pPr>
        <w:pStyle w:val="HChGA"/>
        <w:spacing w:before="120"/>
        <w:rPr>
          <w:u w:val="single"/>
          <w:lang w:val="en-US" w:eastAsia="zh-TW" w:bidi="en-GB"/>
        </w:rPr>
      </w:pPr>
      <w:r w:rsidRPr="006A34DD">
        <w:rPr>
          <w:rtl/>
        </w:rPr>
        <w:t>المرفق الثالث</w:t>
      </w:r>
    </w:p>
    <w:p w14:paraId="7530156B" w14:textId="77777777" w:rsidR="00551F9E" w:rsidRPr="006A34DD" w:rsidRDefault="00551F9E" w:rsidP="00B233BD">
      <w:pPr>
        <w:pStyle w:val="HChGA"/>
        <w:rPr>
          <w:lang w:val="ar-SA" w:eastAsia="zh-TW" w:bidi="en-GB"/>
        </w:rPr>
      </w:pPr>
      <w:r w:rsidRPr="006A34DD">
        <w:rPr>
          <w:rtl/>
        </w:rPr>
        <w:tab/>
      </w:r>
      <w:r w:rsidRPr="006A34DD">
        <w:rPr>
          <w:rtl/>
        </w:rPr>
        <w:tab/>
        <w:t>موجز الآراء والقرارات التي اعتمدتها اللجنة بشأن البلاغات الفردية المقدمة بموجب البروتوكول الاختياري</w:t>
      </w:r>
    </w:p>
    <w:p w14:paraId="50B2A7C0" w14:textId="77777777" w:rsidR="00551F9E" w:rsidRPr="00A557F5" w:rsidRDefault="00551F9E" w:rsidP="00A557F5">
      <w:pPr>
        <w:pStyle w:val="H23GA"/>
      </w:pPr>
      <w:r w:rsidRPr="00A557F5">
        <w:rPr>
          <w:rtl/>
        </w:rPr>
        <w:tab/>
      </w:r>
      <w:r w:rsidRPr="00A557F5">
        <w:rPr>
          <w:rtl/>
        </w:rPr>
        <w:tab/>
        <w:t xml:space="preserve">قضية </w:t>
      </w:r>
      <w:r w:rsidRPr="00A557F5">
        <w:rPr>
          <w:i/>
          <w:iCs/>
          <w:rtl/>
        </w:rPr>
        <w:t>س. ك. ضد فنلندا</w:t>
      </w:r>
    </w:p>
    <w:p w14:paraId="70DA5095" w14:textId="484F6C30" w:rsidR="00551F9E" w:rsidRPr="001C6B44" w:rsidRDefault="00551F9E" w:rsidP="001C6B44">
      <w:pPr>
        <w:pStyle w:val="SingleTxtGA"/>
        <w:rPr>
          <w:rFonts w:eastAsiaTheme="minorEastAsia"/>
          <w:lang w:val="ar-SA" w:eastAsia="zh-TW" w:bidi="en-GB"/>
        </w:rPr>
      </w:pPr>
      <w:r w:rsidRPr="006A34DD">
        <w:rPr>
          <w:rFonts w:eastAsiaTheme="minorEastAsia"/>
          <w:rtl/>
        </w:rPr>
        <w:t>1</w:t>
      </w:r>
      <w:r w:rsidRPr="001C6B44">
        <w:rPr>
          <w:rFonts w:eastAsiaTheme="minorEastAsia"/>
          <w:rtl/>
        </w:rPr>
        <w:t>-</w:t>
      </w:r>
      <w:r w:rsidRPr="001C6B44">
        <w:rPr>
          <w:rFonts w:eastAsiaTheme="minorEastAsia"/>
          <w:rtl/>
        </w:rPr>
        <w:tab/>
        <w:t xml:space="preserve">نظرت اللجنة في بلاغ قضية </w:t>
      </w:r>
      <w:r w:rsidRPr="006A34DD">
        <w:rPr>
          <w:rFonts w:eastAsiaTheme="minorEastAsia"/>
          <w:i/>
          <w:iCs/>
          <w:rtl/>
        </w:rPr>
        <w:t>س. ك. ضد فنلندا</w:t>
      </w:r>
      <w:r w:rsidR="00360BE8" w:rsidRPr="006A34DD">
        <w:rPr>
          <w:rStyle w:val="FootnoteReference"/>
          <w:szCs w:val="22"/>
          <w:rtl/>
        </w:rPr>
        <w:t>(</w:t>
      </w:r>
      <w:r w:rsidR="00360BE8" w:rsidRPr="006A34DD">
        <w:rPr>
          <w:rStyle w:val="FootnoteReference"/>
          <w:szCs w:val="22"/>
          <w:lang w:val="en-US"/>
        </w:rPr>
        <w:footnoteReference w:id="15"/>
      </w:r>
      <w:r w:rsidR="00360BE8" w:rsidRPr="006A34DD">
        <w:rPr>
          <w:rStyle w:val="FootnoteReference"/>
          <w:color w:val="000000"/>
          <w:szCs w:val="22"/>
          <w:rtl/>
        </w:rPr>
        <w:t>)</w:t>
      </w:r>
      <w:r w:rsidR="00360BE8" w:rsidRPr="00360BE8">
        <w:rPr>
          <w:rFonts w:eastAsiaTheme="minorEastAsia" w:hint="cs"/>
          <w:color w:val="000000"/>
          <w:rtl/>
        </w:rPr>
        <w:t>.</w:t>
      </w:r>
      <w:r w:rsidR="00360BE8" w:rsidRPr="00360BE8">
        <w:rPr>
          <w:rFonts w:eastAsiaTheme="minorEastAsia"/>
          <w:color w:val="000000"/>
          <w:rtl/>
        </w:rPr>
        <w:t xml:space="preserve"> </w:t>
      </w:r>
      <w:r w:rsidRPr="001C6B44">
        <w:rPr>
          <w:rFonts w:eastAsiaTheme="minorEastAsia"/>
          <w:rtl/>
        </w:rPr>
        <w:t xml:space="preserve">صاحب البلاغ يُدعى س. ك.، وهو مواطن من فنلندا. وقد ادّعى أنه ضحية انتهاك الدولة الطرف أحكام المواد </w:t>
      </w:r>
      <w:r w:rsidRPr="006A34DD">
        <w:rPr>
          <w:rFonts w:eastAsiaTheme="minorEastAsia"/>
          <w:rtl/>
        </w:rPr>
        <w:t>5</w:t>
      </w:r>
      <w:r w:rsidRPr="001C6B44">
        <w:rPr>
          <w:rFonts w:eastAsiaTheme="minorEastAsia"/>
          <w:rtl/>
        </w:rPr>
        <w:t xml:space="preserve"> و</w:t>
      </w:r>
      <w:r w:rsidRPr="006A34DD">
        <w:rPr>
          <w:rFonts w:eastAsiaTheme="minorEastAsia"/>
          <w:rtl/>
        </w:rPr>
        <w:t>14</w:t>
      </w:r>
      <w:r w:rsidRPr="001C6B44">
        <w:rPr>
          <w:rFonts w:eastAsiaTheme="minorEastAsia"/>
          <w:rtl/>
        </w:rPr>
        <w:t xml:space="preserve"> و</w:t>
      </w:r>
      <w:r w:rsidRPr="006A34DD">
        <w:rPr>
          <w:rFonts w:eastAsiaTheme="minorEastAsia"/>
          <w:rtl/>
        </w:rPr>
        <w:t>19</w:t>
      </w:r>
      <w:r w:rsidRPr="001C6B44">
        <w:rPr>
          <w:rFonts w:eastAsiaTheme="minorEastAsia"/>
          <w:rtl/>
        </w:rPr>
        <w:t xml:space="preserve"> من الاتفاقية. </w:t>
      </w:r>
    </w:p>
    <w:p w14:paraId="02524A2F" w14:textId="7C997707" w:rsidR="00551F9E" w:rsidRPr="001C6B44" w:rsidRDefault="00551F9E" w:rsidP="001C6B44">
      <w:pPr>
        <w:pStyle w:val="SingleTxtGA"/>
        <w:rPr>
          <w:rFonts w:eastAsiaTheme="minorEastAsia"/>
          <w:lang w:val="ar-SA" w:eastAsia="zh-TW" w:bidi="en-GB"/>
        </w:rPr>
      </w:pPr>
      <w:r w:rsidRPr="006A34DD">
        <w:rPr>
          <w:rFonts w:eastAsiaTheme="minorEastAsia"/>
          <w:rtl/>
        </w:rPr>
        <w:t>2</w:t>
      </w:r>
      <w:r w:rsidRPr="001C6B44">
        <w:rPr>
          <w:rFonts w:eastAsiaTheme="minorEastAsia"/>
          <w:rtl/>
        </w:rPr>
        <w:t>-</w:t>
      </w:r>
      <w:r w:rsidRPr="001C6B44">
        <w:rPr>
          <w:rFonts w:eastAsiaTheme="minorEastAsia"/>
          <w:rtl/>
        </w:rPr>
        <w:tab/>
        <w:t>ويعاني صاحب البلاغ من إعاقات جسدية وذهنية. وقال إنه يحتاج إلى المساعدة في جميع الأنشطة اليومية. ووفق</w:t>
      </w:r>
      <w:r w:rsidR="00BF23DF">
        <w:rPr>
          <w:rFonts w:eastAsiaTheme="minorEastAsia"/>
          <w:rtl/>
        </w:rPr>
        <w:t xml:space="preserve">اً </w:t>
      </w:r>
      <w:r w:rsidRPr="001C6B44">
        <w:rPr>
          <w:rFonts w:eastAsiaTheme="minorEastAsia"/>
          <w:rtl/>
        </w:rPr>
        <w:t xml:space="preserve">للتقارير الطبية، لم يكن بالإمكان إيواء صاحب البلاغ في مسكن جماعي، وكان يحتاج من أجل العيش المستقل إلى مساعد شخصي على مدار ساعات اليوم. وفي عام </w:t>
      </w:r>
      <w:r w:rsidRPr="006A34DD">
        <w:rPr>
          <w:rFonts w:eastAsiaTheme="minorEastAsia"/>
          <w:rtl/>
        </w:rPr>
        <w:t>2014</w:t>
      </w:r>
      <w:r w:rsidRPr="001C6B44">
        <w:rPr>
          <w:rFonts w:eastAsiaTheme="minorEastAsia"/>
          <w:rtl/>
        </w:rPr>
        <w:t>، قدّم صاحب البلاغ طلب</w:t>
      </w:r>
      <w:r w:rsidR="00BF23DF">
        <w:rPr>
          <w:rFonts w:eastAsiaTheme="minorEastAsia"/>
          <w:rtl/>
        </w:rPr>
        <w:t xml:space="preserve">اً </w:t>
      </w:r>
      <w:r w:rsidRPr="001C6B44">
        <w:rPr>
          <w:rFonts w:eastAsiaTheme="minorEastAsia"/>
          <w:rtl/>
        </w:rPr>
        <w:t xml:space="preserve">للحصول على مساعدة شخصية لمدة </w:t>
      </w:r>
      <w:r w:rsidRPr="006A34DD">
        <w:rPr>
          <w:rFonts w:eastAsiaTheme="minorEastAsia"/>
          <w:rtl/>
        </w:rPr>
        <w:t>140</w:t>
      </w:r>
      <w:r w:rsidRPr="001C6B44">
        <w:rPr>
          <w:rFonts w:eastAsiaTheme="minorEastAsia"/>
          <w:rtl/>
        </w:rPr>
        <w:t xml:space="preserve"> ساعة في الأسبوع وفق</w:t>
      </w:r>
      <w:r w:rsidR="00BF23DF">
        <w:rPr>
          <w:rFonts w:eastAsiaTheme="minorEastAsia"/>
          <w:rtl/>
        </w:rPr>
        <w:t xml:space="preserve">اً </w:t>
      </w:r>
      <w:r w:rsidRPr="001C6B44">
        <w:rPr>
          <w:rFonts w:eastAsiaTheme="minorEastAsia"/>
          <w:rtl/>
        </w:rPr>
        <w:t xml:space="preserve">لقانون خدمات المعوقين، حتى يتمكن من العيش بشكل مستقل في شقته. وفي </w:t>
      </w:r>
      <w:r w:rsidRPr="006A34DD">
        <w:rPr>
          <w:rFonts w:eastAsiaTheme="minorEastAsia"/>
          <w:rtl/>
        </w:rPr>
        <w:t>2</w:t>
      </w:r>
      <w:r w:rsidRPr="001C6B44">
        <w:rPr>
          <w:rFonts w:eastAsiaTheme="minorEastAsia"/>
          <w:rtl/>
        </w:rPr>
        <w:t xml:space="preserve"> تشرين الأول/أكتوبر </w:t>
      </w:r>
      <w:r w:rsidRPr="006A34DD">
        <w:rPr>
          <w:rFonts w:eastAsiaTheme="minorEastAsia"/>
          <w:rtl/>
        </w:rPr>
        <w:t>2015</w:t>
      </w:r>
      <w:r w:rsidRPr="001C6B44">
        <w:rPr>
          <w:rFonts w:eastAsiaTheme="minorEastAsia"/>
          <w:rtl/>
        </w:rPr>
        <w:t xml:space="preserve">، منح مسؤول في شعبة الضمان الأساسي في بلدية </w:t>
      </w:r>
      <w:proofErr w:type="spellStart"/>
      <w:r w:rsidRPr="001C6B44">
        <w:rPr>
          <w:rFonts w:eastAsiaTheme="minorEastAsia"/>
          <w:rtl/>
        </w:rPr>
        <w:t>كيركونومي</w:t>
      </w:r>
      <w:proofErr w:type="spellEnd"/>
      <w:r w:rsidRPr="001C6B44">
        <w:rPr>
          <w:rFonts w:eastAsiaTheme="minorEastAsia"/>
          <w:rtl/>
        </w:rPr>
        <w:t xml:space="preserve"> صاحب البلاغ مساعدة شخصية لمدة </w:t>
      </w:r>
      <w:r w:rsidRPr="006A34DD">
        <w:rPr>
          <w:rFonts w:eastAsiaTheme="minorEastAsia"/>
          <w:rtl/>
        </w:rPr>
        <w:t>60</w:t>
      </w:r>
      <w:r w:rsidRPr="001C6B44">
        <w:rPr>
          <w:rFonts w:eastAsiaTheme="minorEastAsia"/>
          <w:rtl/>
        </w:rPr>
        <w:t xml:space="preserve"> ساعة في الأسبوع، للقيام بأنشطته بشكل مستقل خارج منزله، وهو ما يتعارض مع خططه للعيش بشكل مستقل في منزله بمساعدة شخصية. وفي قرار مؤرخ </w:t>
      </w:r>
      <w:r w:rsidRPr="006A34DD">
        <w:rPr>
          <w:rFonts w:eastAsiaTheme="minorEastAsia"/>
          <w:rtl/>
        </w:rPr>
        <w:t>11</w:t>
      </w:r>
      <w:r w:rsidRPr="001C6B44">
        <w:rPr>
          <w:rFonts w:eastAsiaTheme="minorEastAsia"/>
          <w:rtl/>
        </w:rPr>
        <w:t xml:space="preserve"> تشرين الثاني/نوفمبر </w:t>
      </w:r>
      <w:r w:rsidRPr="006A34DD">
        <w:rPr>
          <w:rFonts w:eastAsiaTheme="minorEastAsia"/>
          <w:rtl/>
        </w:rPr>
        <w:t>2015</w:t>
      </w:r>
      <w:r w:rsidRPr="001C6B44">
        <w:rPr>
          <w:rFonts w:eastAsiaTheme="minorEastAsia"/>
          <w:rtl/>
        </w:rPr>
        <w:t xml:space="preserve">، أيّدت وحدة الضمان الأساسي التابعة لشعبة الضمان الأساسي في بلدية </w:t>
      </w:r>
      <w:proofErr w:type="spellStart"/>
      <w:r w:rsidRPr="001C6B44">
        <w:rPr>
          <w:rFonts w:eastAsiaTheme="minorEastAsia"/>
          <w:rtl/>
        </w:rPr>
        <w:t>كيركونومي</w:t>
      </w:r>
      <w:proofErr w:type="spellEnd"/>
      <w:r w:rsidRPr="001C6B44">
        <w:rPr>
          <w:rFonts w:eastAsiaTheme="minorEastAsia"/>
          <w:rtl/>
        </w:rPr>
        <w:t xml:space="preserve"> قرار الموظف المسؤول. وفي </w:t>
      </w:r>
      <w:r w:rsidRPr="006A34DD">
        <w:rPr>
          <w:rFonts w:eastAsiaTheme="minorEastAsia"/>
          <w:rtl/>
        </w:rPr>
        <w:t>26</w:t>
      </w:r>
      <w:r w:rsidRPr="001C6B44">
        <w:rPr>
          <w:rFonts w:eastAsiaTheme="minorEastAsia"/>
          <w:rtl/>
        </w:rPr>
        <w:t xml:space="preserve"> أيار/مايو </w:t>
      </w:r>
      <w:r w:rsidRPr="006A34DD">
        <w:rPr>
          <w:rFonts w:eastAsiaTheme="minorEastAsia"/>
          <w:rtl/>
        </w:rPr>
        <w:t>2016</w:t>
      </w:r>
      <w:r w:rsidRPr="001C6B44">
        <w:rPr>
          <w:rFonts w:eastAsiaTheme="minorEastAsia"/>
          <w:rtl/>
        </w:rPr>
        <w:t>، رفضت المحكمة الإدارية بهلسنكي شكوى صاحب البلاغ من هذا القرار. ورأت</w:t>
      </w:r>
      <w:r w:rsidR="005D0103">
        <w:rPr>
          <w:rFonts w:eastAsiaTheme="minorEastAsia" w:hint="cs"/>
          <w:rtl/>
        </w:rPr>
        <w:t> </w:t>
      </w:r>
      <w:r w:rsidRPr="001C6B44">
        <w:rPr>
          <w:rFonts w:eastAsiaTheme="minorEastAsia"/>
          <w:rtl/>
        </w:rPr>
        <w:t>المحكمة</w:t>
      </w:r>
      <w:r w:rsidR="005D0103">
        <w:rPr>
          <w:rFonts w:eastAsiaTheme="minorEastAsia" w:hint="cs"/>
          <w:rtl/>
        </w:rPr>
        <w:t> </w:t>
      </w:r>
      <w:r w:rsidRPr="001C6B44">
        <w:rPr>
          <w:rFonts w:eastAsiaTheme="minorEastAsia"/>
          <w:rtl/>
        </w:rPr>
        <w:t xml:space="preserve">أن صاحب البلاغ لم يستوف المعيار المنصوص عليه في المادة </w:t>
      </w:r>
      <w:r w:rsidRPr="006A34DD">
        <w:rPr>
          <w:rFonts w:eastAsiaTheme="minorEastAsia"/>
          <w:rtl/>
        </w:rPr>
        <w:t>8</w:t>
      </w:r>
      <w:r w:rsidRPr="001C6B44">
        <w:rPr>
          <w:rFonts w:eastAsiaTheme="minorEastAsia"/>
          <w:rtl/>
        </w:rPr>
        <w:t>(ج)(</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 xml:space="preserve">من قانون خدمات المعوقين - الذي يجب أن تتاح له بموجبه الموارد اللازمة لتحديد مضمون المساعدة الشخصية وطرائق تقديمها - ومن ثم لا يمكن منحه </w:t>
      </w:r>
      <w:r w:rsidRPr="006A34DD">
        <w:rPr>
          <w:rFonts w:eastAsiaTheme="minorEastAsia"/>
          <w:rtl/>
        </w:rPr>
        <w:t>140</w:t>
      </w:r>
      <w:r w:rsidRPr="001C6B44">
        <w:rPr>
          <w:rFonts w:eastAsiaTheme="minorEastAsia"/>
          <w:rtl/>
        </w:rPr>
        <w:t xml:space="preserve"> ساعة كاملة من المساعدة الشخصية في الأسبوع. وفي</w:t>
      </w:r>
      <w:r w:rsidR="005D0103">
        <w:rPr>
          <w:rFonts w:eastAsiaTheme="minorEastAsia" w:hint="cs"/>
          <w:rtl/>
        </w:rPr>
        <w:t> </w:t>
      </w:r>
      <w:r w:rsidRPr="006A34DD">
        <w:rPr>
          <w:rFonts w:eastAsiaTheme="minorEastAsia"/>
          <w:rtl/>
        </w:rPr>
        <w:t>14</w:t>
      </w:r>
      <w:r w:rsidRPr="001C6B44">
        <w:rPr>
          <w:rFonts w:eastAsiaTheme="minorEastAsia"/>
          <w:rtl/>
        </w:rPr>
        <w:t xml:space="preserve"> حزيران/يونيه </w:t>
      </w:r>
      <w:r w:rsidRPr="006A34DD">
        <w:rPr>
          <w:rFonts w:eastAsiaTheme="minorEastAsia"/>
          <w:rtl/>
        </w:rPr>
        <w:t>2017</w:t>
      </w:r>
      <w:r w:rsidRPr="001C6B44">
        <w:rPr>
          <w:rFonts w:eastAsiaTheme="minorEastAsia"/>
          <w:rtl/>
        </w:rPr>
        <w:t>، رفضت المحكمة الإدارية العليا طعن صاحب البلاغ. وفي نهاية المطاف، عاد صاحب البلاغ للعيش مع والديه لعدم قدرتهما على الانتقال للعيش معه في منزله من أجل مده بالمساعدة اللازمة على مدار الساعة.</w:t>
      </w:r>
    </w:p>
    <w:p w14:paraId="29F4AFD6" w14:textId="52BCA8CB" w:rsidR="00551F9E" w:rsidRPr="001C6B44" w:rsidRDefault="00551F9E" w:rsidP="001C6B44">
      <w:pPr>
        <w:pStyle w:val="SingleTxtGA"/>
        <w:rPr>
          <w:rFonts w:eastAsiaTheme="minorEastAsia"/>
          <w:lang w:val="ar-SA" w:eastAsia="zh-TW" w:bidi="en-GB"/>
        </w:rPr>
      </w:pPr>
      <w:r w:rsidRPr="006A34DD">
        <w:rPr>
          <w:rFonts w:eastAsiaTheme="minorEastAsia"/>
          <w:rtl/>
        </w:rPr>
        <w:t>3</w:t>
      </w:r>
      <w:r w:rsidRPr="001C6B44">
        <w:rPr>
          <w:rFonts w:eastAsiaTheme="minorEastAsia"/>
          <w:rtl/>
        </w:rPr>
        <w:t>-</w:t>
      </w:r>
      <w:r w:rsidRPr="001C6B44">
        <w:rPr>
          <w:rFonts w:eastAsiaTheme="minorEastAsia"/>
          <w:rtl/>
        </w:rPr>
        <w:tab/>
        <w:t xml:space="preserve">وأعلنت اللجنة في آرائها أن البلاغ مقبول، ما عدا من حيث صلته بادعاء صاحب البلاغ انتهاك المادة </w:t>
      </w:r>
      <w:r w:rsidRPr="006A34DD">
        <w:rPr>
          <w:rFonts w:eastAsiaTheme="minorEastAsia"/>
          <w:rtl/>
        </w:rPr>
        <w:t>14</w:t>
      </w:r>
      <w:r w:rsidRPr="001C6B44">
        <w:rPr>
          <w:rFonts w:eastAsiaTheme="minorEastAsia"/>
          <w:rtl/>
        </w:rPr>
        <w:t xml:space="preserve"> من الاتفاقية. وأحاطت اللجنة علم</w:t>
      </w:r>
      <w:r w:rsidR="00BF23DF">
        <w:rPr>
          <w:rFonts w:eastAsiaTheme="minorEastAsia"/>
          <w:rtl/>
        </w:rPr>
        <w:t xml:space="preserve">اً </w:t>
      </w:r>
      <w:r w:rsidRPr="001C6B44">
        <w:rPr>
          <w:rFonts w:eastAsiaTheme="minorEastAsia"/>
          <w:rtl/>
        </w:rPr>
        <w:t xml:space="preserve">بادعاء صاحب البلاغ أنه لم يتمكن من ممارسة حريته في اختيار العيش بشكل مستقل في غياب المساعدة الشخصية في المنزل، وأنه بالتالي يعتمد على دعم والديه لتجنب دخول مؤسسة رعاية صحية متخصصة لأن الدولة الطرف لا تقدم له المساعدة الشخصية المناسبة التي تسمح له بالعيش بشكل مستقل في المجتمع. وفي هذا الصدد، أشارت اللجنة إلى أن العيش المستقل والإدماج في المجتمع، على النحو المبيّن في المادة </w:t>
      </w:r>
      <w:r w:rsidRPr="006A34DD">
        <w:rPr>
          <w:rFonts w:eastAsiaTheme="minorEastAsia"/>
          <w:rtl/>
        </w:rPr>
        <w:t>19</w:t>
      </w:r>
      <w:r w:rsidRPr="001C6B44">
        <w:rPr>
          <w:rFonts w:eastAsiaTheme="minorEastAsia"/>
          <w:rtl/>
        </w:rPr>
        <w:t xml:space="preserve"> من الاتفاقية، يعني ممارسة حرية الاختيار والتحكم في القرارات التي تؤثر في حياة الفرد بأقصى حد ممكن من تقرير المصير والتكافل داخل المجتمع. ونظر</w:t>
      </w:r>
      <w:r w:rsidR="00BF23DF">
        <w:rPr>
          <w:rFonts w:eastAsiaTheme="minorEastAsia"/>
          <w:rtl/>
        </w:rPr>
        <w:t xml:space="preserve">اً </w:t>
      </w:r>
      <w:r w:rsidRPr="001C6B44">
        <w:rPr>
          <w:rFonts w:eastAsiaTheme="minorEastAsia"/>
          <w:rtl/>
        </w:rPr>
        <w:t xml:space="preserve">لعدم وجود عناصر تكشف التنفيذ العملي لخدمات السكن، على النحو الذي اقترحته الدولة الطرف، رأت اللجنة أن رفض طلب صاحب البلاغ الحصول على مساعدة شخصية حرمه من الوصول إلى خيار عملي يمكن أن يدعم معيشته وإدماجه في المجتمع. وخلصت اللجنة بالتالي إلى أن حقوق صاحب البلاغ المكفولة بموجب المادة </w:t>
      </w:r>
      <w:r w:rsidRPr="006A34DD">
        <w:rPr>
          <w:rFonts w:eastAsiaTheme="minorEastAsia"/>
          <w:rtl/>
        </w:rPr>
        <w:t>19</w:t>
      </w:r>
      <w:r w:rsidRPr="001C6B44">
        <w:rPr>
          <w:rFonts w:eastAsiaTheme="minorEastAsia"/>
          <w:rtl/>
        </w:rPr>
        <w:t>(ب) من الاتفاقية قد انتُهكت.</w:t>
      </w:r>
    </w:p>
    <w:p w14:paraId="2B0A7884" w14:textId="3E74926D" w:rsidR="00551F9E" w:rsidRPr="001C6B44" w:rsidRDefault="00551F9E" w:rsidP="001C6B44">
      <w:pPr>
        <w:pStyle w:val="SingleTxtGA"/>
        <w:rPr>
          <w:rFonts w:eastAsiaTheme="minorEastAsia"/>
          <w:lang w:val="ar-SA" w:eastAsia="zh-TW" w:bidi="en-GB"/>
        </w:rPr>
      </w:pPr>
      <w:r w:rsidRPr="006A34DD">
        <w:rPr>
          <w:rFonts w:eastAsiaTheme="minorEastAsia"/>
          <w:rtl/>
        </w:rPr>
        <w:lastRenderedPageBreak/>
        <w:t>4</w:t>
      </w:r>
      <w:r w:rsidRPr="001C6B44">
        <w:rPr>
          <w:rFonts w:eastAsiaTheme="minorEastAsia"/>
          <w:rtl/>
        </w:rPr>
        <w:t>-</w:t>
      </w:r>
      <w:r w:rsidRPr="001C6B44">
        <w:rPr>
          <w:rFonts w:eastAsiaTheme="minorEastAsia"/>
          <w:rtl/>
        </w:rPr>
        <w:tab/>
        <w:t>وعلاوة على ذلك، خلصت اللجنة إلى أن الدولة الطرف لم توضح كيف أن العنصر الذهني في معيار الموارد - القدرة على تحديد محتوى المساعدة وطرائق تقديمها - يسمح للأشخاص الذين يحتاجون إلى الدعم بالتعبير عن اختيارهم على قدم المساواة مع الآخرين. وعليه، خلصت اللجنة إلى أن تطبيق معيار الموارد قد أثّر تأثير</w:t>
      </w:r>
      <w:r w:rsidR="00BF23DF">
        <w:rPr>
          <w:rFonts w:eastAsiaTheme="minorEastAsia"/>
          <w:rtl/>
        </w:rPr>
        <w:t xml:space="preserve">اً </w:t>
      </w:r>
      <w:r w:rsidRPr="001C6B44">
        <w:rPr>
          <w:rFonts w:eastAsiaTheme="minorEastAsia"/>
          <w:rtl/>
        </w:rPr>
        <w:t>غير متناسب على صاحب البلاغ وبلغ حد التمييز غير المباشر، لأنه أدى إلى إضعاف أو إبطال تمتعه بالحق في العيش المستقل والاندماج في المجتمع وممارسة هذا الحق، على قدم المساواة مع الآخرين، بما يشكل انتهاك</w:t>
      </w:r>
      <w:r w:rsidR="00BF23DF">
        <w:rPr>
          <w:rFonts w:eastAsiaTheme="minorEastAsia"/>
          <w:rtl/>
        </w:rPr>
        <w:t xml:space="preserve">اً </w:t>
      </w:r>
      <w:r w:rsidRPr="001C6B44">
        <w:rPr>
          <w:rFonts w:eastAsiaTheme="minorEastAsia"/>
          <w:rtl/>
        </w:rPr>
        <w:t xml:space="preserve">لحقوقه بموجب الفقرتين </w:t>
      </w:r>
      <w:r w:rsidRPr="006A34DD">
        <w:rPr>
          <w:rFonts w:eastAsiaTheme="minorEastAsia"/>
          <w:rtl/>
        </w:rPr>
        <w:t>1</w:t>
      </w:r>
      <w:r w:rsidRPr="001C6B44">
        <w:rPr>
          <w:rFonts w:eastAsiaTheme="minorEastAsia"/>
          <w:rtl/>
        </w:rPr>
        <w:t xml:space="preserve"> و(</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 xml:space="preserve">من المادة </w:t>
      </w:r>
      <w:r w:rsidRPr="006A34DD">
        <w:rPr>
          <w:rFonts w:eastAsiaTheme="minorEastAsia"/>
          <w:rtl/>
        </w:rPr>
        <w:t>5</w:t>
      </w:r>
      <w:r w:rsidRPr="001C6B44">
        <w:rPr>
          <w:rFonts w:eastAsiaTheme="minorEastAsia"/>
          <w:rtl/>
        </w:rPr>
        <w:t xml:space="preserve">، مقروءتين وحدهما وبالاقتران مع المادة </w:t>
      </w:r>
      <w:r w:rsidRPr="006A34DD">
        <w:rPr>
          <w:rFonts w:eastAsiaTheme="minorEastAsia"/>
          <w:rtl/>
        </w:rPr>
        <w:t>19</w:t>
      </w:r>
      <w:r w:rsidRPr="001C6B44">
        <w:rPr>
          <w:rFonts w:eastAsiaTheme="minorEastAsia"/>
          <w:rtl/>
        </w:rPr>
        <w:t xml:space="preserve"> من الاتفاقية.</w:t>
      </w:r>
    </w:p>
    <w:p w14:paraId="4BBE2D47" w14:textId="77777777" w:rsidR="00551F9E" w:rsidRPr="001C6B44" w:rsidRDefault="00551F9E" w:rsidP="001C6B44">
      <w:pPr>
        <w:pStyle w:val="SingleTxtGA"/>
        <w:rPr>
          <w:rFonts w:eastAsiaTheme="minorEastAsia"/>
          <w:lang w:val="ar-SA" w:eastAsia="zh-TW" w:bidi="en-GB"/>
        </w:rPr>
      </w:pPr>
      <w:r w:rsidRPr="006A34DD">
        <w:rPr>
          <w:rFonts w:eastAsiaTheme="minorEastAsia"/>
          <w:rtl/>
        </w:rPr>
        <w:t>5</w:t>
      </w:r>
      <w:r w:rsidRPr="001C6B44">
        <w:rPr>
          <w:rFonts w:eastAsiaTheme="minorEastAsia"/>
          <w:rtl/>
        </w:rPr>
        <w:t>-</w:t>
      </w:r>
      <w:r w:rsidRPr="001C6B44">
        <w:rPr>
          <w:rFonts w:eastAsiaTheme="minorEastAsia"/>
          <w:rtl/>
        </w:rPr>
        <w:tab/>
        <w:t>وأوصت اللجنة، في جملة أمور، بأن تعيد الدولة الطرف النظر في طلب صاحب البلاغ الحصول على مساعدة شخصية لضمان تمكنه من ممارسة حقه في العيش بشكل مستقل، وبأن تعدّل قانون خدمات المعوقين لضمان ألا يشكّل معيار الموارد عقبة أمام العيش المستقل للأشخاص الذين يحتاجون إلى الدعم في صنع القرار.</w:t>
      </w:r>
    </w:p>
    <w:p w14:paraId="59DBE804" w14:textId="77777777" w:rsidR="00551F9E" w:rsidRPr="00A557F5" w:rsidRDefault="00551F9E" w:rsidP="00A557F5">
      <w:pPr>
        <w:pStyle w:val="H23GA"/>
      </w:pPr>
      <w:r w:rsidRPr="00A557F5">
        <w:rPr>
          <w:rtl/>
        </w:rPr>
        <w:tab/>
      </w:r>
      <w:r w:rsidRPr="00A557F5">
        <w:rPr>
          <w:rtl/>
        </w:rPr>
        <w:tab/>
        <w:t xml:space="preserve">قضية </w:t>
      </w:r>
      <w:r w:rsidRPr="00A557F5">
        <w:rPr>
          <w:i/>
          <w:iCs/>
          <w:rtl/>
        </w:rPr>
        <w:t>م. ر. إ. ف. ضد إسبانيا</w:t>
      </w:r>
    </w:p>
    <w:p w14:paraId="6460B885" w14:textId="6824A758" w:rsidR="00551F9E" w:rsidRPr="00A557F5" w:rsidRDefault="00551F9E" w:rsidP="001C6B44">
      <w:pPr>
        <w:pStyle w:val="SingleTxtGA"/>
        <w:rPr>
          <w:rFonts w:eastAsiaTheme="minorEastAsia"/>
          <w:spacing w:val="-2"/>
          <w:lang w:val="en-US" w:eastAsia="zh-TW"/>
        </w:rPr>
      </w:pPr>
      <w:r w:rsidRPr="006A34DD">
        <w:rPr>
          <w:rFonts w:eastAsiaTheme="minorEastAsia"/>
          <w:rtl/>
        </w:rPr>
        <w:t>6</w:t>
      </w:r>
      <w:r w:rsidRPr="001C6B44">
        <w:rPr>
          <w:rFonts w:eastAsiaTheme="minorEastAsia"/>
          <w:rtl/>
        </w:rPr>
        <w:t>-</w:t>
      </w:r>
      <w:r w:rsidRPr="001C6B44">
        <w:rPr>
          <w:rFonts w:eastAsiaTheme="minorEastAsia"/>
          <w:rtl/>
        </w:rPr>
        <w:tab/>
      </w:r>
      <w:r w:rsidRPr="00A557F5">
        <w:rPr>
          <w:rFonts w:eastAsiaTheme="minorEastAsia"/>
          <w:spacing w:val="-2"/>
          <w:rtl/>
        </w:rPr>
        <w:t xml:space="preserve">نظرت اللجنة في بلاغ قضية </w:t>
      </w:r>
      <w:r w:rsidRPr="00A557F5">
        <w:rPr>
          <w:rFonts w:eastAsiaTheme="minorEastAsia"/>
          <w:i/>
          <w:iCs/>
          <w:spacing w:val="-2"/>
          <w:rtl/>
        </w:rPr>
        <w:t>م. ر. إ. ف. ضد إسبانيا</w:t>
      </w:r>
      <w:r w:rsidR="00360BE8" w:rsidRPr="00A557F5">
        <w:rPr>
          <w:rStyle w:val="FootnoteReference"/>
          <w:spacing w:val="-2"/>
          <w:szCs w:val="22"/>
          <w:rtl/>
        </w:rPr>
        <w:t>(</w:t>
      </w:r>
      <w:r w:rsidR="00360BE8" w:rsidRPr="00A557F5">
        <w:rPr>
          <w:rStyle w:val="FootnoteReference"/>
          <w:spacing w:val="-2"/>
          <w:szCs w:val="22"/>
          <w:lang w:val="en-US"/>
        </w:rPr>
        <w:footnoteReference w:id="16"/>
      </w:r>
      <w:r w:rsidR="00360BE8" w:rsidRPr="00A557F5">
        <w:rPr>
          <w:rStyle w:val="FootnoteReference"/>
          <w:color w:val="000000"/>
          <w:spacing w:val="-2"/>
          <w:szCs w:val="22"/>
          <w:rtl/>
        </w:rPr>
        <w:t>)</w:t>
      </w:r>
      <w:r w:rsidR="00360BE8" w:rsidRPr="00A557F5">
        <w:rPr>
          <w:rFonts w:eastAsiaTheme="minorEastAsia"/>
          <w:color w:val="000000"/>
          <w:spacing w:val="-2"/>
          <w:rtl/>
        </w:rPr>
        <w:t xml:space="preserve">. </w:t>
      </w:r>
      <w:r w:rsidRPr="00A557F5">
        <w:rPr>
          <w:rFonts w:eastAsiaTheme="minorEastAsia"/>
          <w:spacing w:val="-2"/>
          <w:rtl/>
        </w:rPr>
        <w:t>وصاحب البلاغ يُدعى م. ر. إ. ف.، وهو مواطن إسباني. وقد ادّعى أنه ضحية انتهاك الدولة الطرف حقوقه المكفولة بموجب المادة</w:t>
      </w:r>
      <w:r w:rsidR="005D0103" w:rsidRPr="00A557F5">
        <w:rPr>
          <w:rFonts w:eastAsiaTheme="minorEastAsia" w:hint="cs"/>
          <w:spacing w:val="-2"/>
          <w:rtl/>
        </w:rPr>
        <w:t> </w:t>
      </w:r>
      <w:r w:rsidRPr="00A557F5">
        <w:rPr>
          <w:rFonts w:eastAsiaTheme="minorEastAsia"/>
          <w:spacing w:val="-2"/>
          <w:rtl/>
        </w:rPr>
        <w:t>27(1)(أ) و(ب) و(ز)-(ط</w:t>
      </w:r>
      <w:r w:rsidR="00360BE8" w:rsidRPr="00A557F5">
        <w:rPr>
          <w:rFonts w:eastAsiaTheme="minorEastAsia"/>
          <w:color w:val="000000"/>
          <w:spacing w:val="-2"/>
          <w:rtl/>
        </w:rPr>
        <w:t xml:space="preserve">)، </w:t>
      </w:r>
      <w:r w:rsidRPr="00A557F5">
        <w:rPr>
          <w:rFonts w:eastAsiaTheme="minorEastAsia"/>
          <w:spacing w:val="-2"/>
          <w:rtl/>
        </w:rPr>
        <w:t>مقروءة بمفردها وبالاقتران مع المواد 3(أ)-(د) والمادة 5(</w:t>
      </w:r>
      <w:r w:rsidR="00360BE8" w:rsidRPr="00A557F5">
        <w:rPr>
          <w:rFonts w:eastAsiaTheme="minorEastAsia"/>
          <w:color w:val="000000"/>
          <w:spacing w:val="-2"/>
          <w:rtl/>
        </w:rPr>
        <w:t xml:space="preserve">1) </w:t>
      </w:r>
      <w:r w:rsidRPr="00A557F5">
        <w:rPr>
          <w:rFonts w:eastAsiaTheme="minorEastAsia"/>
          <w:spacing w:val="-2"/>
          <w:rtl/>
        </w:rPr>
        <w:t>و(</w:t>
      </w:r>
      <w:r w:rsidR="00360BE8" w:rsidRPr="00A557F5">
        <w:rPr>
          <w:rFonts w:eastAsiaTheme="minorEastAsia"/>
          <w:color w:val="000000"/>
          <w:spacing w:val="-2"/>
          <w:rtl/>
        </w:rPr>
        <w:t xml:space="preserve">2) </w:t>
      </w:r>
      <w:r w:rsidRPr="00A557F5">
        <w:rPr>
          <w:rFonts w:eastAsiaTheme="minorEastAsia"/>
          <w:spacing w:val="-2"/>
          <w:rtl/>
        </w:rPr>
        <w:t>من الاتفاقية.</w:t>
      </w:r>
    </w:p>
    <w:p w14:paraId="6D93A2B3" w14:textId="74B0AC6F" w:rsidR="00551F9E" w:rsidRPr="001C6B44" w:rsidRDefault="00551F9E" w:rsidP="001C6B44">
      <w:pPr>
        <w:pStyle w:val="SingleTxtGA"/>
        <w:rPr>
          <w:rFonts w:eastAsiaTheme="minorEastAsia"/>
          <w:lang w:val="ar-SA" w:eastAsia="zh-TW" w:bidi="en-GB"/>
        </w:rPr>
      </w:pPr>
      <w:r w:rsidRPr="006A34DD">
        <w:rPr>
          <w:rFonts w:eastAsiaTheme="minorEastAsia"/>
          <w:rtl/>
        </w:rPr>
        <w:t>7</w:t>
      </w:r>
      <w:r w:rsidRPr="001C6B44">
        <w:rPr>
          <w:rFonts w:eastAsiaTheme="minorEastAsia"/>
          <w:rtl/>
        </w:rPr>
        <w:t>-</w:t>
      </w:r>
      <w:r w:rsidRPr="001C6B44">
        <w:rPr>
          <w:rFonts w:eastAsiaTheme="minorEastAsia"/>
          <w:rtl/>
        </w:rPr>
        <w:tab/>
        <w:t xml:space="preserve">وكان صاحب البلاغ يعاني من اضطراب في التكيف مع </w:t>
      </w:r>
      <w:r w:rsidRPr="001C6B44">
        <w:rPr>
          <w:rFonts w:eastAsiaTheme="minorEastAsia"/>
          <w:rtl/>
          <w:lang w:val="fr-CH"/>
        </w:rPr>
        <w:t>خصائص</w:t>
      </w:r>
      <w:r w:rsidRPr="001C6B44">
        <w:rPr>
          <w:rFonts w:eastAsiaTheme="minorEastAsia"/>
          <w:rtl/>
        </w:rPr>
        <w:t xml:space="preserve"> التفسير. وفي عام </w:t>
      </w:r>
      <w:r w:rsidRPr="006A34DD">
        <w:rPr>
          <w:rFonts w:eastAsiaTheme="minorEastAsia"/>
          <w:rtl/>
        </w:rPr>
        <w:t>2004</w:t>
      </w:r>
      <w:r w:rsidRPr="001C6B44">
        <w:rPr>
          <w:rFonts w:eastAsiaTheme="minorEastAsia"/>
          <w:rtl/>
        </w:rPr>
        <w:t xml:space="preserve">، أعلن المعهد الوطني للضمان الاجتماعي بالدولة الطرف أن صاحب البلاغ عاجز كلياً ودائماً عن أداء عمله داخل شرطة إقليم </w:t>
      </w:r>
      <w:proofErr w:type="spellStart"/>
      <w:r w:rsidRPr="001C6B44">
        <w:rPr>
          <w:rFonts w:eastAsiaTheme="minorEastAsia"/>
          <w:rtl/>
        </w:rPr>
        <w:t>كاتالونيا</w:t>
      </w:r>
      <w:proofErr w:type="spellEnd"/>
      <w:r w:rsidRPr="001C6B44">
        <w:rPr>
          <w:rFonts w:eastAsiaTheme="minorEastAsia"/>
          <w:rtl/>
        </w:rPr>
        <w:t xml:space="preserve"> المتمتع بالحكم الذاتي (موسوس </w:t>
      </w:r>
      <w:proofErr w:type="spellStart"/>
      <w:r w:rsidRPr="001C6B44">
        <w:rPr>
          <w:rFonts w:eastAsiaTheme="minorEastAsia"/>
          <w:rtl/>
        </w:rPr>
        <w:t>ديسكوادرا</w:t>
      </w:r>
      <w:proofErr w:type="spellEnd"/>
      <w:r w:rsidR="00360BE8" w:rsidRPr="00360BE8">
        <w:rPr>
          <w:rFonts w:eastAsiaTheme="minorEastAsia"/>
          <w:color w:val="000000"/>
          <w:rtl/>
        </w:rPr>
        <w:t xml:space="preserve">). </w:t>
      </w:r>
      <w:r w:rsidRPr="001C6B44">
        <w:rPr>
          <w:rFonts w:eastAsiaTheme="minorEastAsia"/>
          <w:rtl/>
        </w:rPr>
        <w:t>وعلى وجه التحديد، كان من غير المستحسن بالنسبة له، وفق</w:t>
      </w:r>
      <w:r w:rsidR="00BF23DF">
        <w:rPr>
          <w:rFonts w:eastAsiaTheme="minorEastAsia"/>
          <w:rtl/>
        </w:rPr>
        <w:t xml:space="preserve">اً </w:t>
      </w:r>
      <w:r w:rsidRPr="001C6B44">
        <w:rPr>
          <w:rFonts w:eastAsiaTheme="minorEastAsia"/>
          <w:rtl/>
        </w:rPr>
        <w:t xml:space="preserve">للتقرير الطبي، استخدام الأسلحة. ونتيجة لذلك الإعلان، وبما أنه لم تكن توجد آنذاك لوائح تسمح بالتكليف بمهام معدّلة، فإن صاحب البلاغ فقد وظيفته كموظف مدني في موسوس </w:t>
      </w:r>
      <w:proofErr w:type="spellStart"/>
      <w:r w:rsidRPr="001C6B44">
        <w:rPr>
          <w:rFonts w:eastAsiaTheme="minorEastAsia"/>
          <w:rtl/>
        </w:rPr>
        <w:t>ديسكوادرا</w:t>
      </w:r>
      <w:proofErr w:type="spellEnd"/>
      <w:r w:rsidRPr="001C6B44">
        <w:rPr>
          <w:rFonts w:eastAsiaTheme="minorEastAsia"/>
          <w:rtl/>
        </w:rPr>
        <w:t xml:space="preserve">. وبعد أن أبلغته وزارة الداخلية في حكومة إقليم </w:t>
      </w:r>
      <w:proofErr w:type="spellStart"/>
      <w:r w:rsidRPr="001C6B44">
        <w:rPr>
          <w:rFonts w:eastAsiaTheme="minorEastAsia"/>
          <w:rtl/>
        </w:rPr>
        <w:t>كاتالونيا</w:t>
      </w:r>
      <w:proofErr w:type="spellEnd"/>
      <w:r w:rsidRPr="001C6B44">
        <w:rPr>
          <w:rFonts w:eastAsiaTheme="minorEastAsia"/>
          <w:rtl/>
        </w:rPr>
        <w:t xml:space="preserve"> المتمتع بالحكم الذاتي ببدء نفاذ المرسوم رقم </w:t>
      </w:r>
      <w:r w:rsidRPr="006A34DD">
        <w:rPr>
          <w:rFonts w:eastAsiaTheme="minorEastAsia"/>
          <w:rtl/>
        </w:rPr>
        <w:t>246</w:t>
      </w:r>
      <w:r w:rsidRPr="001C6B44">
        <w:rPr>
          <w:rFonts w:eastAsiaTheme="minorEastAsia"/>
          <w:rtl/>
        </w:rPr>
        <w:t>/</w:t>
      </w:r>
      <w:r w:rsidRPr="006A34DD">
        <w:rPr>
          <w:rFonts w:eastAsiaTheme="minorEastAsia"/>
          <w:rtl/>
        </w:rPr>
        <w:t>2008</w:t>
      </w:r>
      <w:r w:rsidRPr="001C6B44">
        <w:rPr>
          <w:rFonts w:eastAsiaTheme="minorEastAsia"/>
          <w:rtl/>
        </w:rPr>
        <w:t xml:space="preserve">، الذي ينظّم الحالة الإدارية الخاصة للمهام المعدلة في موسوس </w:t>
      </w:r>
      <w:proofErr w:type="spellStart"/>
      <w:r w:rsidRPr="001C6B44">
        <w:rPr>
          <w:rFonts w:eastAsiaTheme="minorEastAsia"/>
          <w:rtl/>
        </w:rPr>
        <w:t>ديسكوادرا</w:t>
      </w:r>
      <w:proofErr w:type="spellEnd"/>
      <w:r w:rsidRPr="001C6B44">
        <w:rPr>
          <w:rFonts w:eastAsiaTheme="minorEastAsia"/>
          <w:rtl/>
        </w:rPr>
        <w:t xml:space="preserve">، تقدم بطلب لتعيينه في مهمة معدّلة تتمثل في منصب غير تابع للشرطة يشمل واجبات دعم عامة. وفي شباط/فبراير </w:t>
      </w:r>
      <w:r w:rsidRPr="006A34DD">
        <w:rPr>
          <w:rFonts w:eastAsiaTheme="minorEastAsia"/>
          <w:rtl/>
        </w:rPr>
        <w:t>2010</w:t>
      </w:r>
      <w:r w:rsidRPr="001C6B44">
        <w:rPr>
          <w:rFonts w:eastAsiaTheme="minorEastAsia"/>
          <w:rtl/>
        </w:rPr>
        <w:t>، رفضت وزارة الداخلية طلبه استناد</w:t>
      </w:r>
      <w:r w:rsidR="00BF23DF">
        <w:rPr>
          <w:rFonts w:eastAsiaTheme="minorEastAsia"/>
          <w:rtl/>
        </w:rPr>
        <w:t xml:space="preserve">اً </w:t>
      </w:r>
      <w:r w:rsidRPr="001C6B44">
        <w:rPr>
          <w:rFonts w:eastAsiaTheme="minorEastAsia"/>
          <w:rtl/>
        </w:rPr>
        <w:t xml:space="preserve">إلى تقرير طبي صادر عن وحدة المراقبة الصحية، ذكرت فيه الوحدة أنه لن يكون من </w:t>
      </w:r>
      <w:proofErr w:type="spellStart"/>
      <w:r w:rsidRPr="001C6B44">
        <w:rPr>
          <w:rFonts w:eastAsiaTheme="minorEastAsia"/>
          <w:rtl/>
        </w:rPr>
        <w:t>المستصوب</w:t>
      </w:r>
      <w:proofErr w:type="spellEnd"/>
      <w:r w:rsidRPr="001C6B44">
        <w:rPr>
          <w:rFonts w:eastAsiaTheme="minorEastAsia"/>
          <w:rtl/>
        </w:rPr>
        <w:t xml:space="preserve"> أن يؤدّي صاحب البلاغ مهام دعم داخل المديرية العامة للشرطة، لأن حالته الصحّية قد تتفاقم من خلال الاتصال بأفراد الشرطة في مكان العمل. وفي تشرين الأول/أكتوبر </w:t>
      </w:r>
      <w:r w:rsidRPr="006A34DD">
        <w:rPr>
          <w:rFonts w:eastAsiaTheme="minorEastAsia"/>
          <w:rtl/>
        </w:rPr>
        <w:t>2011</w:t>
      </w:r>
      <w:r w:rsidRPr="001C6B44">
        <w:rPr>
          <w:rFonts w:eastAsiaTheme="minorEastAsia"/>
          <w:rtl/>
        </w:rPr>
        <w:t xml:space="preserve">، رفضت محكمة برشلونة الإدارية رقم </w:t>
      </w:r>
      <w:r w:rsidRPr="006A34DD">
        <w:rPr>
          <w:rFonts w:eastAsiaTheme="minorEastAsia"/>
          <w:rtl/>
        </w:rPr>
        <w:t>13</w:t>
      </w:r>
      <w:r w:rsidRPr="001C6B44">
        <w:rPr>
          <w:rFonts w:eastAsiaTheme="minorEastAsia"/>
          <w:rtl/>
        </w:rPr>
        <w:t xml:space="preserve"> استئناف صاحب البلاغ ضد قرار الوزارة، وقضت بأن المرسوم لا يعترف بالحق في التكليف بمهمة معدلة على أساس مطلق، كون هذا الحق يظل متوقف</w:t>
      </w:r>
      <w:r w:rsidR="00BF23DF">
        <w:rPr>
          <w:rFonts w:eastAsiaTheme="minorEastAsia"/>
          <w:rtl/>
        </w:rPr>
        <w:t xml:space="preserve">اً </w:t>
      </w:r>
      <w:r w:rsidRPr="001C6B44">
        <w:rPr>
          <w:rFonts w:eastAsiaTheme="minorEastAsia"/>
          <w:rtl/>
        </w:rPr>
        <w:t xml:space="preserve">على القدرة البدنية والعقلية لموظفي الخدمة المدنية على أداء واجباتهم على النحو الواجب. وعلاوة على ذلك، لم يقدّم صاحب البلاغ شهادات خبراء للطعن في مصداقية التقرير، كما أعلن في استئنافه، ولم يعترض على عدم وجود وظائف لا تنطوي على أي اتصال أو تفاعل مع الشرطة. وفي آذار/مارس </w:t>
      </w:r>
      <w:r w:rsidRPr="006A34DD">
        <w:rPr>
          <w:rFonts w:eastAsiaTheme="minorEastAsia"/>
          <w:rtl/>
        </w:rPr>
        <w:t>2013</w:t>
      </w:r>
      <w:r w:rsidRPr="001C6B44">
        <w:rPr>
          <w:rFonts w:eastAsiaTheme="minorEastAsia"/>
          <w:rtl/>
        </w:rPr>
        <w:t xml:space="preserve">، رفضت محكمة العدل العليا في </w:t>
      </w:r>
      <w:proofErr w:type="spellStart"/>
      <w:r w:rsidRPr="001C6B44">
        <w:rPr>
          <w:rFonts w:eastAsiaTheme="minorEastAsia"/>
          <w:rtl/>
        </w:rPr>
        <w:t>كاتالونيا</w:t>
      </w:r>
      <w:proofErr w:type="spellEnd"/>
      <w:r w:rsidRPr="001C6B44">
        <w:rPr>
          <w:rFonts w:eastAsiaTheme="minorEastAsia"/>
          <w:rtl/>
        </w:rPr>
        <w:t xml:space="preserve"> استئنافه ضد حكم محكمة برشلونة الإدارية رقم </w:t>
      </w:r>
      <w:r w:rsidRPr="006A34DD">
        <w:rPr>
          <w:rFonts w:eastAsiaTheme="minorEastAsia"/>
          <w:rtl/>
        </w:rPr>
        <w:t>13</w:t>
      </w:r>
      <w:r w:rsidRPr="001C6B44">
        <w:rPr>
          <w:rFonts w:eastAsiaTheme="minorEastAsia"/>
          <w:rtl/>
        </w:rPr>
        <w:t xml:space="preserve">، على أساس المشورة الواردة في التقرير الطبي. وفي </w:t>
      </w:r>
      <w:r w:rsidR="007F6A02">
        <w:rPr>
          <w:rFonts w:eastAsiaTheme="minorEastAsia" w:hint="cs"/>
          <w:rtl/>
        </w:rPr>
        <w:t>أيلول/</w:t>
      </w:r>
      <w:r w:rsidRPr="001C6B44">
        <w:rPr>
          <w:rFonts w:eastAsiaTheme="minorEastAsia"/>
          <w:rtl/>
        </w:rPr>
        <w:t xml:space="preserve">سبتمبر </w:t>
      </w:r>
      <w:r w:rsidRPr="006A34DD">
        <w:rPr>
          <w:rFonts w:eastAsiaTheme="minorEastAsia"/>
          <w:rtl/>
        </w:rPr>
        <w:t>2013</w:t>
      </w:r>
      <w:r w:rsidRPr="001C6B44">
        <w:rPr>
          <w:rFonts w:eastAsiaTheme="minorEastAsia"/>
          <w:rtl/>
        </w:rPr>
        <w:t xml:space="preserve">، رفضت محكمة العدل العليا في </w:t>
      </w:r>
      <w:proofErr w:type="spellStart"/>
      <w:r w:rsidRPr="001C6B44">
        <w:rPr>
          <w:rFonts w:eastAsiaTheme="minorEastAsia"/>
          <w:rtl/>
        </w:rPr>
        <w:t>كاتالونيا</w:t>
      </w:r>
      <w:proofErr w:type="spellEnd"/>
      <w:r w:rsidRPr="001C6B44">
        <w:rPr>
          <w:rFonts w:eastAsiaTheme="minorEastAsia"/>
          <w:rtl/>
        </w:rPr>
        <w:t xml:space="preserve"> طلبه إلغاء الإجراءات على أساس أنها قضت بالفعل بعدم حدوث أي انتهاك للحقوق </w:t>
      </w:r>
      <w:r w:rsidRPr="001C6B44">
        <w:rPr>
          <w:rFonts w:eastAsiaTheme="minorEastAsia"/>
          <w:rtl/>
        </w:rPr>
        <w:lastRenderedPageBreak/>
        <w:t xml:space="preserve">الدستورية التي احتج بها في دعواه الأولية. وفي كانون الثاني/يناير </w:t>
      </w:r>
      <w:r w:rsidRPr="006A34DD">
        <w:rPr>
          <w:rFonts w:eastAsiaTheme="minorEastAsia"/>
          <w:rtl/>
        </w:rPr>
        <w:t>2014</w:t>
      </w:r>
      <w:r w:rsidRPr="001C6B44">
        <w:rPr>
          <w:rFonts w:eastAsiaTheme="minorEastAsia"/>
          <w:rtl/>
        </w:rPr>
        <w:t>، رفضت المحكمة الدستورية طلبه الحصول على الحماية الدستورية لأنه لم يثبت الأهمية الدستورية الخاصة لطلبه.</w:t>
      </w:r>
    </w:p>
    <w:p w14:paraId="53D5ABCE" w14:textId="36391A72" w:rsidR="00551F9E" w:rsidRPr="001C6B44" w:rsidRDefault="00551F9E" w:rsidP="001C6B44">
      <w:pPr>
        <w:pStyle w:val="SingleTxtGA"/>
        <w:rPr>
          <w:rFonts w:eastAsiaTheme="minorEastAsia"/>
          <w:lang w:val="ar-SA" w:eastAsia="zh-TW" w:bidi="en-GB"/>
        </w:rPr>
      </w:pPr>
      <w:r w:rsidRPr="006A34DD">
        <w:rPr>
          <w:rFonts w:eastAsiaTheme="minorEastAsia"/>
          <w:rtl/>
        </w:rPr>
        <w:t>8</w:t>
      </w:r>
      <w:r w:rsidRPr="001C6B44">
        <w:rPr>
          <w:rFonts w:eastAsiaTheme="minorEastAsia"/>
          <w:rtl/>
        </w:rPr>
        <w:t>-</w:t>
      </w:r>
      <w:r w:rsidRPr="001C6B44">
        <w:rPr>
          <w:rFonts w:eastAsiaTheme="minorEastAsia"/>
          <w:rtl/>
        </w:rPr>
        <w:tab/>
        <w:t xml:space="preserve">ورفضت اللجنة، في آرائها، اعتراض الدولة الطرف على أن البلاغ غير مقبول من حيث </w:t>
      </w:r>
      <w:r w:rsidRPr="006A34DD">
        <w:rPr>
          <w:rFonts w:eastAsiaTheme="minorEastAsia"/>
          <w:i/>
          <w:iCs/>
          <w:rtl/>
        </w:rPr>
        <w:t>الاختصاص الزمني</w:t>
      </w:r>
      <w:r w:rsidRPr="001C6B44">
        <w:rPr>
          <w:rFonts w:eastAsiaTheme="minorEastAsia"/>
          <w:rtl/>
        </w:rPr>
        <w:t>، لأن التمييز المزعوم ضد صاحب البلاغ قد حدث بعد تصديق الدولة الطرف على الاتفاقية. وعلاوة على ذلك، رفضت اللجنة ادعاء الدولة الطرف بأن صاحب البلاغ لم يستنفد جميع سبل الانتصاف المحلية، لأنه، خلاف</w:t>
      </w:r>
      <w:r w:rsidR="00BF23DF">
        <w:rPr>
          <w:rFonts w:eastAsiaTheme="minorEastAsia"/>
          <w:rtl/>
        </w:rPr>
        <w:t xml:space="preserve">اً </w:t>
      </w:r>
      <w:r w:rsidRPr="001C6B44">
        <w:rPr>
          <w:rFonts w:eastAsiaTheme="minorEastAsia"/>
          <w:rtl/>
        </w:rPr>
        <w:t xml:space="preserve">لادّعاء الدولة الطرف، كان قد أشار في الواقع في طلبه إلى أنه يمكن إعادة تعيينه في وظيفة خارج المديرية العامة للشرطة. كما رفضت اللجنة حجة الدولة الطرف بأن البلاغ يشكّل سوء استخدام للحق في تقديم البلاغات ولم يكن يستند إلى أسس صحيحة. وعليه، أعلنت اللجنة أن البلاغ مقبول، باستثناء ادعاء صاحب البلاغ بموجب المادة </w:t>
      </w:r>
      <w:r w:rsidRPr="006A34DD">
        <w:rPr>
          <w:rFonts w:eastAsiaTheme="minorEastAsia"/>
          <w:rtl/>
        </w:rPr>
        <w:t>27</w:t>
      </w:r>
      <w:r w:rsidRPr="001C6B44">
        <w:rPr>
          <w:rFonts w:eastAsiaTheme="minorEastAsia"/>
          <w:rtl/>
        </w:rPr>
        <w:t>(</w:t>
      </w:r>
      <w:r w:rsidRPr="006A34DD">
        <w:rPr>
          <w:rFonts w:eastAsiaTheme="minorEastAsia"/>
          <w:rtl/>
        </w:rPr>
        <w:t>1</w:t>
      </w:r>
      <w:r w:rsidRPr="001C6B44">
        <w:rPr>
          <w:rFonts w:eastAsiaTheme="minorEastAsia"/>
          <w:rtl/>
        </w:rPr>
        <w:t>)(ح) من الاتفاقية، الذي رأت أنه لم يدعم بما يكفي من الأدلة.</w:t>
      </w:r>
    </w:p>
    <w:p w14:paraId="472CE490" w14:textId="088E9FBF" w:rsidR="00551F9E" w:rsidRPr="001C6B44" w:rsidRDefault="00551F9E" w:rsidP="001C6B44">
      <w:pPr>
        <w:pStyle w:val="SingleTxtGA"/>
        <w:rPr>
          <w:rFonts w:eastAsiaTheme="minorEastAsia"/>
          <w:lang w:val="ar-SA" w:eastAsia="zh-TW" w:bidi="en-GB"/>
        </w:rPr>
      </w:pPr>
      <w:r w:rsidRPr="006A34DD">
        <w:rPr>
          <w:rFonts w:eastAsiaTheme="minorEastAsia"/>
          <w:rtl/>
        </w:rPr>
        <w:t>9</w:t>
      </w:r>
      <w:r w:rsidRPr="001C6B44">
        <w:rPr>
          <w:rFonts w:eastAsiaTheme="minorEastAsia"/>
          <w:rtl/>
        </w:rPr>
        <w:t>-</w:t>
      </w:r>
      <w:r w:rsidRPr="001C6B44">
        <w:rPr>
          <w:rFonts w:eastAsiaTheme="minorEastAsia"/>
          <w:rtl/>
        </w:rPr>
        <w:tab/>
        <w:t xml:space="preserve">وفيما يتعلق بالأسس الموضوعية، خلصت اللجنة إلى حدوث انتهاكات للمادة </w:t>
      </w:r>
      <w:r w:rsidRPr="006A34DD">
        <w:rPr>
          <w:rFonts w:eastAsiaTheme="minorEastAsia"/>
          <w:rtl/>
        </w:rPr>
        <w:t>27</w:t>
      </w:r>
      <w:r w:rsidRPr="001C6B44">
        <w:rPr>
          <w:rFonts w:eastAsiaTheme="minorEastAsia"/>
          <w:rtl/>
        </w:rPr>
        <w:t>(</w:t>
      </w:r>
      <w:r w:rsidRPr="006A34DD">
        <w:rPr>
          <w:rFonts w:eastAsiaTheme="minorEastAsia"/>
          <w:rtl/>
        </w:rPr>
        <w:t>1</w:t>
      </w:r>
      <w:r w:rsidRPr="001C6B44">
        <w:rPr>
          <w:rFonts w:eastAsiaTheme="minorEastAsia"/>
          <w:rtl/>
        </w:rPr>
        <w:t>)(أ) و(ب) و(ز) و(ط</w:t>
      </w:r>
      <w:r w:rsidR="00360BE8" w:rsidRPr="00360BE8">
        <w:rPr>
          <w:rFonts w:eastAsiaTheme="minorEastAsia"/>
          <w:color w:val="000000"/>
          <w:rtl/>
        </w:rPr>
        <w:t xml:space="preserve">)، </w:t>
      </w:r>
      <w:r w:rsidRPr="001C6B44">
        <w:rPr>
          <w:rFonts w:eastAsiaTheme="minorEastAsia"/>
          <w:rtl/>
        </w:rPr>
        <w:t xml:space="preserve">مقروءة بمفردها وبالاقتران مع المادة </w:t>
      </w:r>
      <w:r w:rsidRPr="006A34DD">
        <w:rPr>
          <w:rFonts w:eastAsiaTheme="minorEastAsia"/>
          <w:rtl/>
        </w:rPr>
        <w:t>3</w:t>
      </w:r>
      <w:r w:rsidRPr="001C6B44">
        <w:rPr>
          <w:rFonts w:eastAsiaTheme="minorEastAsia"/>
          <w:rtl/>
        </w:rPr>
        <w:t xml:space="preserve">(أ)-(د) والمادة </w:t>
      </w:r>
      <w:r w:rsidRPr="006A34DD">
        <w:rPr>
          <w:rFonts w:eastAsiaTheme="minorEastAsia"/>
          <w:rtl/>
        </w:rPr>
        <w:t>5</w:t>
      </w:r>
      <w:r w:rsidRPr="001C6B44">
        <w:rPr>
          <w:rFonts w:eastAsiaTheme="minorEastAsia"/>
          <w:rtl/>
        </w:rPr>
        <w:t>(</w:t>
      </w:r>
      <w:r w:rsidR="00360BE8" w:rsidRPr="006A34DD">
        <w:rPr>
          <w:rFonts w:eastAsiaTheme="minorEastAsia"/>
          <w:color w:val="000000"/>
          <w:rtl/>
        </w:rPr>
        <w:t>1</w:t>
      </w:r>
      <w:r w:rsidR="00360BE8" w:rsidRPr="00360BE8">
        <w:rPr>
          <w:rFonts w:eastAsiaTheme="minorEastAsia"/>
          <w:color w:val="000000"/>
          <w:rtl/>
        </w:rPr>
        <w:t xml:space="preserve">) </w:t>
      </w:r>
      <w:r w:rsidRPr="001C6B44">
        <w:rPr>
          <w:rFonts w:eastAsiaTheme="minorEastAsia"/>
          <w:rtl/>
        </w:rPr>
        <w:t>و(</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 xml:space="preserve">من الاتفاقية. وخلصت إلى أن رفض سلطات الدولة الطرف طلب صاحب البلاغ تكليفه بمهمة معدّلة دون إجراء دراسة جدية لإمكانية توفير ترتيبات </w:t>
      </w:r>
      <w:proofErr w:type="spellStart"/>
      <w:r w:rsidRPr="001C6B44">
        <w:rPr>
          <w:rFonts w:eastAsiaTheme="minorEastAsia"/>
          <w:rtl/>
        </w:rPr>
        <w:t>تيسيرية</w:t>
      </w:r>
      <w:proofErr w:type="spellEnd"/>
      <w:r w:rsidRPr="001C6B44">
        <w:rPr>
          <w:rFonts w:eastAsiaTheme="minorEastAsia"/>
          <w:rtl/>
        </w:rPr>
        <w:t xml:space="preserve"> معقولة في قضيته، بالتحاور معه، يشكل تمييز</w:t>
      </w:r>
      <w:r w:rsidR="00BF23DF">
        <w:rPr>
          <w:rFonts w:eastAsiaTheme="minorEastAsia"/>
          <w:rtl/>
        </w:rPr>
        <w:t xml:space="preserve">اً </w:t>
      </w:r>
      <w:r w:rsidRPr="001C6B44">
        <w:rPr>
          <w:rFonts w:eastAsiaTheme="minorEastAsia"/>
          <w:rtl/>
        </w:rPr>
        <w:t xml:space="preserve">فيما يتعلق باستمرار العمل. ورأت اللجنة أنه من الواضح أن الدولة الطرف قد قيّمت طلبه على أساس النموذج الطبي للإعاقة، دون دراسة إمكانية توفير ترتيبات </w:t>
      </w:r>
      <w:proofErr w:type="spellStart"/>
      <w:r w:rsidRPr="001C6B44">
        <w:rPr>
          <w:rFonts w:eastAsiaTheme="minorEastAsia"/>
          <w:rtl/>
        </w:rPr>
        <w:t>تيسيرية</w:t>
      </w:r>
      <w:proofErr w:type="spellEnd"/>
      <w:r w:rsidRPr="001C6B44">
        <w:rPr>
          <w:rFonts w:eastAsiaTheme="minorEastAsia"/>
          <w:rtl/>
        </w:rPr>
        <w:t xml:space="preserve"> معقولة من خلال حوار حقيقي معه.</w:t>
      </w:r>
    </w:p>
    <w:p w14:paraId="20494347" w14:textId="3D3F4D8A" w:rsidR="00551F9E" w:rsidRPr="001C6B44" w:rsidRDefault="00551F9E" w:rsidP="001C6B44">
      <w:pPr>
        <w:pStyle w:val="SingleTxtGA"/>
        <w:rPr>
          <w:rFonts w:eastAsiaTheme="minorEastAsia"/>
          <w:lang w:val="ar-SA" w:eastAsia="zh-TW" w:bidi="en-GB"/>
        </w:rPr>
      </w:pPr>
      <w:r w:rsidRPr="006A34DD">
        <w:rPr>
          <w:rFonts w:eastAsiaTheme="minorEastAsia"/>
          <w:rtl/>
        </w:rPr>
        <w:t>10</w:t>
      </w:r>
      <w:r w:rsidRPr="001C6B44">
        <w:rPr>
          <w:rFonts w:eastAsiaTheme="minorEastAsia"/>
          <w:rtl/>
        </w:rPr>
        <w:t>-</w:t>
      </w:r>
      <w:r w:rsidRPr="001C6B44">
        <w:rPr>
          <w:rFonts w:eastAsiaTheme="minorEastAsia"/>
          <w:rtl/>
        </w:rPr>
        <w:tab/>
        <w:t xml:space="preserve">وأوصت اللجنة أن تتخذ الدولة الطرف التدابير الملائمة للتحاور مع صاحب البلاغ بغرض تقييم قدرته على القيام بوظائف معدّلة أو بأنشطة تكميلية أخرى، بما في ذلك توفير أي ترتيبات </w:t>
      </w:r>
      <w:proofErr w:type="spellStart"/>
      <w:r w:rsidRPr="001C6B44">
        <w:rPr>
          <w:rFonts w:eastAsiaTheme="minorEastAsia"/>
          <w:rtl/>
        </w:rPr>
        <w:t>تيسيرية</w:t>
      </w:r>
      <w:proofErr w:type="spellEnd"/>
      <w:r w:rsidRPr="001C6B44">
        <w:rPr>
          <w:rFonts w:eastAsiaTheme="minorEastAsia"/>
          <w:rtl/>
        </w:rPr>
        <w:t xml:space="preserve"> معقولة قد تكون ضرورية؛ وأوصت أيض</w:t>
      </w:r>
      <w:r w:rsidR="00BF23DF">
        <w:rPr>
          <w:rFonts w:eastAsiaTheme="minorEastAsia"/>
          <w:rtl/>
        </w:rPr>
        <w:t xml:space="preserve">اً </w:t>
      </w:r>
      <w:r w:rsidRPr="001C6B44">
        <w:rPr>
          <w:rFonts w:eastAsiaTheme="minorEastAsia"/>
          <w:rtl/>
        </w:rPr>
        <w:t>بأن تتخذ الدولة الطرف التدابير اللازمة لمواءمة تطبيق المرسوم رقم</w:t>
      </w:r>
      <w:r w:rsidR="005D0103">
        <w:rPr>
          <w:rFonts w:eastAsiaTheme="minorEastAsia" w:hint="cs"/>
          <w:rtl/>
        </w:rPr>
        <w:t> </w:t>
      </w:r>
      <w:r w:rsidRPr="006A34DD">
        <w:rPr>
          <w:rFonts w:eastAsiaTheme="minorEastAsia"/>
          <w:rtl/>
        </w:rPr>
        <w:t>246</w:t>
      </w:r>
      <w:r w:rsidRPr="001C6B44">
        <w:rPr>
          <w:rFonts w:eastAsiaTheme="minorEastAsia"/>
          <w:rtl/>
        </w:rPr>
        <w:t>/</w:t>
      </w:r>
      <w:r w:rsidRPr="006A34DD">
        <w:rPr>
          <w:rFonts w:eastAsiaTheme="minorEastAsia"/>
          <w:rtl/>
        </w:rPr>
        <w:t>2008</w:t>
      </w:r>
      <w:r w:rsidRPr="001C6B44">
        <w:rPr>
          <w:rFonts w:eastAsiaTheme="minorEastAsia"/>
          <w:rtl/>
        </w:rPr>
        <w:t xml:space="preserve"> مع المبادئ المكرسة في الاتفاقية والتوصيات الواردة في آراء اللجنة في هذه القضية، بغية ضمان دراسة إمكانية توفير ترتيبات </w:t>
      </w:r>
      <w:proofErr w:type="spellStart"/>
      <w:r w:rsidRPr="001C6B44">
        <w:rPr>
          <w:rFonts w:eastAsiaTheme="minorEastAsia"/>
          <w:rtl/>
        </w:rPr>
        <w:t>تيسيرية</w:t>
      </w:r>
      <w:proofErr w:type="spellEnd"/>
      <w:r w:rsidRPr="001C6B44">
        <w:rPr>
          <w:rFonts w:eastAsiaTheme="minorEastAsia"/>
          <w:rtl/>
        </w:rPr>
        <w:t xml:space="preserve"> معقولة في الحوار مع الضباط الذين يطلبون تكليفهم بمهام معدلة.</w:t>
      </w:r>
    </w:p>
    <w:p w14:paraId="35A6C1E7" w14:textId="77777777" w:rsidR="00551F9E" w:rsidRPr="006A34DD" w:rsidRDefault="00551F9E" w:rsidP="00360BE8">
      <w:pPr>
        <w:pStyle w:val="H23GA"/>
        <w:rPr>
          <w:i/>
          <w:iCs/>
          <w:lang w:val="en-US" w:eastAsia="zh-TW" w:bidi="en-GB"/>
        </w:rPr>
      </w:pPr>
      <w:r w:rsidRPr="006A34DD">
        <w:rPr>
          <w:rtl/>
        </w:rPr>
        <w:tab/>
      </w:r>
      <w:r w:rsidRPr="006A34DD">
        <w:rPr>
          <w:rtl/>
        </w:rPr>
        <w:tab/>
        <w:t xml:space="preserve">قضية </w:t>
      </w:r>
      <w:r w:rsidRPr="006A34DD">
        <w:rPr>
          <w:i/>
          <w:iCs/>
          <w:rtl/>
        </w:rPr>
        <w:t>كوك ضد النمسا</w:t>
      </w:r>
    </w:p>
    <w:p w14:paraId="59697CDB" w14:textId="2EC49DDA" w:rsidR="00551F9E" w:rsidRPr="001C6B44" w:rsidRDefault="00551F9E" w:rsidP="001C6B44">
      <w:pPr>
        <w:pStyle w:val="SingleTxtGA"/>
        <w:rPr>
          <w:rFonts w:eastAsiaTheme="minorEastAsia"/>
          <w:lang w:val="ar-SA" w:eastAsia="zh-TW" w:bidi="en-GB"/>
        </w:rPr>
      </w:pPr>
      <w:r w:rsidRPr="006A34DD">
        <w:rPr>
          <w:rFonts w:eastAsiaTheme="minorEastAsia"/>
          <w:rtl/>
        </w:rPr>
        <w:t>11</w:t>
      </w:r>
      <w:r w:rsidRPr="001C6B44">
        <w:rPr>
          <w:rFonts w:eastAsiaTheme="minorEastAsia"/>
          <w:rtl/>
        </w:rPr>
        <w:t>-</w:t>
      </w:r>
      <w:r w:rsidRPr="001C6B44">
        <w:rPr>
          <w:rFonts w:eastAsiaTheme="minorEastAsia"/>
          <w:rtl/>
        </w:rPr>
        <w:tab/>
        <w:t xml:space="preserve">نظرت اللجنة في بلاغ قضية </w:t>
      </w:r>
      <w:r w:rsidRPr="006A34DD">
        <w:rPr>
          <w:rFonts w:eastAsiaTheme="minorEastAsia"/>
          <w:i/>
          <w:iCs/>
          <w:rtl/>
        </w:rPr>
        <w:t>كوك ضد النمسا</w:t>
      </w:r>
      <w:r w:rsidR="00360BE8" w:rsidRPr="006A34DD">
        <w:rPr>
          <w:rStyle w:val="FootnoteReference"/>
          <w:szCs w:val="22"/>
          <w:rtl/>
        </w:rPr>
        <w:t>(</w:t>
      </w:r>
      <w:r w:rsidR="00360BE8" w:rsidRPr="006A34DD">
        <w:rPr>
          <w:rStyle w:val="FootnoteReference"/>
          <w:szCs w:val="22"/>
          <w:lang w:val="en-US"/>
        </w:rPr>
        <w:footnoteReference w:id="17"/>
      </w:r>
      <w:r w:rsidR="00360BE8" w:rsidRPr="006A34DD">
        <w:rPr>
          <w:rStyle w:val="FootnoteReference"/>
          <w:color w:val="000000"/>
          <w:szCs w:val="22"/>
          <w:rtl/>
        </w:rPr>
        <w:t>)</w:t>
      </w:r>
      <w:r w:rsidR="00360BE8" w:rsidRPr="00360BE8">
        <w:rPr>
          <w:rFonts w:eastAsiaTheme="minorEastAsia"/>
          <w:color w:val="000000"/>
          <w:rtl/>
        </w:rPr>
        <w:t xml:space="preserve">. </w:t>
      </w:r>
      <w:r w:rsidRPr="001C6B44">
        <w:rPr>
          <w:rFonts w:eastAsiaTheme="minorEastAsia"/>
          <w:rtl/>
        </w:rPr>
        <w:t xml:space="preserve">وصاحبة البلاغ تُدعى م. كوك، وهي مواطنة من النمسا. وقد ادّعت أن الدولة الطرف انتهكت حقوقها المكفولة بموجب المادة </w:t>
      </w:r>
      <w:r w:rsidRPr="006A34DD">
        <w:rPr>
          <w:rFonts w:eastAsiaTheme="minorEastAsia"/>
          <w:rtl/>
        </w:rPr>
        <w:t>5</w:t>
      </w:r>
      <w:r w:rsidRPr="001C6B44">
        <w:rPr>
          <w:rFonts w:eastAsiaTheme="minorEastAsia"/>
          <w:rtl/>
        </w:rPr>
        <w:t xml:space="preserve">، مقروءة بالاقتران مع المواد </w:t>
      </w:r>
      <w:r w:rsidRPr="006A34DD">
        <w:rPr>
          <w:rFonts w:eastAsiaTheme="minorEastAsia"/>
          <w:rtl/>
        </w:rPr>
        <w:t>7</w:t>
      </w:r>
      <w:r w:rsidRPr="001C6B44">
        <w:rPr>
          <w:rFonts w:eastAsiaTheme="minorEastAsia"/>
          <w:rtl/>
        </w:rPr>
        <w:t>، و</w:t>
      </w:r>
      <w:r w:rsidRPr="006A34DD">
        <w:rPr>
          <w:rFonts w:eastAsiaTheme="minorEastAsia"/>
          <w:rtl/>
        </w:rPr>
        <w:t>12</w:t>
      </w:r>
      <w:r w:rsidRPr="001C6B44">
        <w:rPr>
          <w:rFonts w:eastAsiaTheme="minorEastAsia"/>
          <w:rtl/>
        </w:rPr>
        <w:t xml:space="preserve"> (</w:t>
      </w:r>
      <w:r w:rsidRPr="006A34DD">
        <w:rPr>
          <w:rFonts w:eastAsiaTheme="minorEastAsia"/>
          <w:rtl/>
        </w:rPr>
        <w:t>3</w:t>
      </w:r>
      <w:r w:rsidRPr="001C6B44">
        <w:rPr>
          <w:rFonts w:eastAsiaTheme="minorEastAsia"/>
          <w:rtl/>
        </w:rPr>
        <w:t>-</w:t>
      </w:r>
      <w:r w:rsidRPr="006A34DD">
        <w:rPr>
          <w:rFonts w:eastAsiaTheme="minorEastAsia"/>
          <w:rtl/>
        </w:rPr>
        <w:t>4</w:t>
      </w:r>
      <w:r w:rsidR="00360BE8" w:rsidRPr="00360BE8">
        <w:rPr>
          <w:rFonts w:eastAsiaTheme="minorEastAsia"/>
          <w:color w:val="000000"/>
          <w:rtl/>
        </w:rPr>
        <w:t xml:space="preserve">)، </w:t>
      </w:r>
      <w:r w:rsidRPr="001C6B44">
        <w:rPr>
          <w:rFonts w:eastAsiaTheme="minorEastAsia"/>
          <w:rtl/>
        </w:rPr>
        <w:t>و</w:t>
      </w:r>
      <w:r w:rsidRPr="006A34DD">
        <w:rPr>
          <w:rFonts w:eastAsiaTheme="minorEastAsia"/>
          <w:rtl/>
        </w:rPr>
        <w:t>13</w:t>
      </w:r>
      <w:r w:rsidRPr="001C6B44">
        <w:rPr>
          <w:rFonts w:eastAsiaTheme="minorEastAsia"/>
          <w:rtl/>
        </w:rPr>
        <w:t>(</w:t>
      </w:r>
      <w:r w:rsidR="00360BE8" w:rsidRPr="006A34DD">
        <w:rPr>
          <w:rFonts w:eastAsiaTheme="minorEastAsia"/>
          <w:color w:val="000000"/>
          <w:rtl/>
        </w:rPr>
        <w:t>1</w:t>
      </w:r>
      <w:r w:rsidR="00360BE8" w:rsidRPr="00360BE8">
        <w:rPr>
          <w:rFonts w:eastAsiaTheme="minorEastAsia"/>
          <w:color w:val="000000"/>
          <w:rtl/>
        </w:rPr>
        <w:t xml:space="preserve">) </w:t>
      </w:r>
      <w:r w:rsidRPr="001C6B44">
        <w:rPr>
          <w:rFonts w:eastAsiaTheme="minorEastAsia"/>
          <w:rtl/>
        </w:rPr>
        <w:t>و</w:t>
      </w:r>
      <w:r w:rsidRPr="006A34DD">
        <w:rPr>
          <w:rFonts w:eastAsiaTheme="minorEastAsia"/>
          <w:rtl/>
        </w:rPr>
        <w:t>21</w:t>
      </w:r>
      <w:r w:rsidRPr="001C6B44">
        <w:rPr>
          <w:rFonts w:eastAsiaTheme="minorEastAsia"/>
          <w:rtl/>
        </w:rPr>
        <w:t>(ب) و(ه</w:t>
      </w:r>
      <w:r w:rsidR="00360BE8" w:rsidRPr="00360BE8">
        <w:rPr>
          <w:rFonts w:eastAsiaTheme="minorEastAsia"/>
          <w:color w:val="000000"/>
          <w:rtl/>
        </w:rPr>
        <w:t xml:space="preserve">)، </w:t>
      </w:r>
      <w:r w:rsidRPr="001C6B44">
        <w:rPr>
          <w:rFonts w:eastAsiaTheme="minorEastAsia"/>
          <w:rtl/>
        </w:rPr>
        <w:t>و</w:t>
      </w:r>
      <w:r w:rsidRPr="006A34DD">
        <w:rPr>
          <w:rFonts w:eastAsiaTheme="minorEastAsia"/>
          <w:rtl/>
        </w:rPr>
        <w:t>24</w:t>
      </w:r>
      <w:r w:rsidRPr="001C6B44">
        <w:rPr>
          <w:rFonts w:eastAsiaTheme="minorEastAsia"/>
          <w:rtl/>
        </w:rPr>
        <w:t>، و</w:t>
      </w:r>
      <w:r w:rsidRPr="006A34DD">
        <w:rPr>
          <w:rFonts w:eastAsiaTheme="minorEastAsia"/>
          <w:rtl/>
        </w:rPr>
        <w:t>30</w:t>
      </w:r>
      <w:r w:rsidRPr="001C6B44">
        <w:rPr>
          <w:rFonts w:eastAsiaTheme="minorEastAsia"/>
          <w:rtl/>
        </w:rPr>
        <w:t>(</w:t>
      </w:r>
      <w:r w:rsidR="00360BE8" w:rsidRPr="006A34DD">
        <w:rPr>
          <w:rFonts w:eastAsiaTheme="minorEastAsia"/>
          <w:color w:val="000000"/>
          <w:rtl/>
        </w:rPr>
        <w:t>4</w:t>
      </w:r>
      <w:r w:rsidR="00360BE8" w:rsidRPr="00360BE8">
        <w:rPr>
          <w:rFonts w:eastAsiaTheme="minorEastAsia"/>
          <w:color w:val="000000"/>
          <w:rtl/>
        </w:rPr>
        <w:t xml:space="preserve">) </w:t>
      </w:r>
      <w:r w:rsidRPr="001C6B44">
        <w:rPr>
          <w:rFonts w:eastAsiaTheme="minorEastAsia"/>
          <w:rtl/>
        </w:rPr>
        <w:t>من الاتفاقية.</w:t>
      </w:r>
    </w:p>
    <w:p w14:paraId="3EE7B167" w14:textId="48EF87DA" w:rsidR="00551F9E" w:rsidRPr="001C6B44" w:rsidRDefault="00551F9E" w:rsidP="001C6B44">
      <w:pPr>
        <w:pStyle w:val="SingleTxtGA"/>
        <w:rPr>
          <w:rFonts w:eastAsiaTheme="minorEastAsia"/>
          <w:lang w:val="ar-SA" w:eastAsia="zh-TW" w:bidi="en-GB"/>
        </w:rPr>
      </w:pPr>
      <w:r w:rsidRPr="006A34DD">
        <w:rPr>
          <w:rFonts w:eastAsiaTheme="minorEastAsia"/>
          <w:rtl/>
        </w:rPr>
        <w:t>12</w:t>
      </w:r>
      <w:r w:rsidRPr="001C6B44">
        <w:rPr>
          <w:rFonts w:eastAsiaTheme="minorEastAsia"/>
          <w:rtl/>
        </w:rPr>
        <w:t>-</w:t>
      </w:r>
      <w:r w:rsidRPr="001C6B44">
        <w:rPr>
          <w:rFonts w:eastAsiaTheme="minorEastAsia"/>
          <w:rtl/>
        </w:rPr>
        <w:tab/>
        <w:t xml:space="preserve">وقد كانت صاحبة البلاغ صماء وكانت لغتها الأولى هي لغة الإشارة النمساوية. وفي المدرسة الابتدائية، كان تعليمها ثنائي اللغة، أي بالألمانية وبلغة الإشارة النمساوية. بيد أنه، لم تستفد، ابتداء من عام </w:t>
      </w:r>
      <w:r w:rsidRPr="006A34DD">
        <w:rPr>
          <w:rFonts w:eastAsiaTheme="minorEastAsia"/>
          <w:rtl/>
        </w:rPr>
        <w:t>2007</w:t>
      </w:r>
      <w:r w:rsidRPr="001C6B44">
        <w:rPr>
          <w:rFonts w:eastAsiaTheme="minorEastAsia"/>
          <w:rtl/>
        </w:rPr>
        <w:t>، أي خلال مسارها التعليمي في الثانوية والثانوية العليا والمدرسة التجارية، وخلال دورة الإعداد لاجتياز امتحان شهادة الثانوية العامة، سوى من الترجمة الفورية من الألمانية إلى لغة الإشارة النمساوية واتبعت منهج</w:t>
      </w:r>
      <w:r w:rsidR="00BF23DF">
        <w:rPr>
          <w:rFonts w:eastAsiaTheme="minorEastAsia"/>
          <w:rtl/>
        </w:rPr>
        <w:t xml:space="preserve">اً </w:t>
      </w:r>
      <w:r w:rsidRPr="001C6B44">
        <w:rPr>
          <w:rFonts w:eastAsiaTheme="minorEastAsia"/>
          <w:rtl/>
        </w:rPr>
        <w:t>دراسي</w:t>
      </w:r>
      <w:r w:rsidR="00BF23DF">
        <w:rPr>
          <w:rFonts w:eastAsiaTheme="minorEastAsia"/>
          <w:rtl/>
        </w:rPr>
        <w:t xml:space="preserve">اً </w:t>
      </w:r>
      <w:r w:rsidRPr="001C6B44">
        <w:rPr>
          <w:rFonts w:eastAsiaTheme="minorEastAsia"/>
          <w:rtl/>
        </w:rPr>
        <w:t>خاص</w:t>
      </w:r>
      <w:r w:rsidR="00BF23DF">
        <w:rPr>
          <w:rFonts w:eastAsiaTheme="minorEastAsia"/>
          <w:rtl/>
        </w:rPr>
        <w:t xml:space="preserve">اً </w:t>
      </w:r>
      <w:r w:rsidRPr="001C6B44">
        <w:rPr>
          <w:rFonts w:eastAsiaTheme="minorEastAsia"/>
          <w:rtl/>
        </w:rPr>
        <w:t>بالتلاميذ الصم. وقالت إن عدم تلقيها تعليم</w:t>
      </w:r>
      <w:r w:rsidR="00BF23DF">
        <w:rPr>
          <w:rFonts w:eastAsiaTheme="minorEastAsia"/>
          <w:rtl/>
        </w:rPr>
        <w:t xml:space="preserve">اً </w:t>
      </w:r>
      <w:r w:rsidRPr="001C6B44">
        <w:rPr>
          <w:rFonts w:eastAsiaTheme="minorEastAsia"/>
          <w:rtl/>
        </w:rPr>
        <w:t>ثنائي اللغة أضر بها، لأن الترجمة الفورية انتقائية، وبالتالي لا تكون المعلومات المنقولة دائم</w:t>
      </w:r>
      <w:r w:rsidR="00BF23DF">
        <w:rPr>
          <w:rFonts w:eastAsiaTheme="minorEastAsia"/>
          <w:rtl/>
        </w:rPr>
        <w:t xml:space="preserve">اً </w:t>
      </w:r>
      <w:r w:rsidRPr="001C6B44">
        <w:rPr>
          <w:rFonts w:eastAsiaTheme="minorEastAsia"/>
          <w:rtl/>
        </w:rPr>
        <w:t xml:space="preserve">كاملة، وكذلك لأن بعض المترجمين الفوريين لم يكونوا يملكون شهادات. وعلاوة على ذلك، لم تكن قادرة على تدوين الملاحظات بشكل منهجي أثناء متابعة التفسير، مما أثر على أدائها في الرياضيات والألمانية. ونتيجة لذلك، اضطرت إلى إعادة </w:t>
      </w:r>
      <w:r w:rsidRPr="00FF5F85">
        <w:rPr>
          <w:rFonts w:eastAsiaTheme="minorEastAsia"/>
          <w:spacing w:val="-4"/>
          <w:rtl/>
        </w:rPr>
        <w:t xml:space="preserve">العام الدراسي </w:t>
      </w:r>
      <w:r w:rsidRPr="006A34DD">
        <w:rPr>
          <w:rFonts w:eastAsiaTheme="minorEastAsia"/>
          <w:spacing w:val="-4"/>
          <w:rtl/>
        </w:rPr>
        <w:t>2011</w:t>
      </w:r>
      <w:r w:rsidRPr="00FF5F85">
        <w:rPr>
          <w:rFonts w:eastAsiaTheme="minorEastAsia"/>
          <w:spacing w:val="-4"/>
          <w:rtl/>
        </w:rPr>
        <w:t>/</w:t>
      </w:r>
      <w:r w:rsidRPr="006A34DD">
        <w:rPr>
          <w:rFonts w:eastAsiaTheme="minorEastAsia"/>
          <w:spacing w:val="-4"/>
          <w:rtl/>
        </w:rPr>
        <w:t>2012</w:t>
      </w:r>
      <w:r w:rsidRPr="00FF5F85">
        <w:rPr>
          <w:rFonts w:eastAsiaTheme="minorEastAsia"/>
          <w:spacing w:val="-4"/>
          <w:rtl/>
        </w:rPr>
        <w:t xml:space="preserve"> وإلى تغيير المدارس في عام </w:t>
      </w:r>
      <w:r w:rsidRPr="006A34DD">
        <w:rPr>
          <w:rFonts w:eastAsiaTheme="minorEastAsia"/>
          <w:spacing w:val="-4"/>
          <w:rtl/>
        </w:rPr>
        <w:t>201</w:t>
      </w:r>
      <w:r w:rsidR="00360BE8" w:rsidRPr="006A34DD">
        <w:rPr>
          <w:rFonts w:eastAsiaTheme="minorEastAsia"/>
          <w:color w:val="000000"/>
          <w:spacing w:val="-4"/>
          <w:rtl/>
        </w:rPr>
        <w:t>3</w:t>
      </w:r>
      <w:r w:rsidR="00360BE8" w:rsidRPr="00FF5F85">
        <w:rPr>
          <w:rFonts w:eastAsiaTheme="minorEastAsia"/>
          <w:color w:val="000000"/>
          <w:spacing w:val="-4"/>
          <w:rtl/>
        </w:rPr>
        <w:t xml:space="preserve">. </w:t>
      </w:r>
      <w:r w:rsidRPr="00FF5F85">
        <w:rPr>
          <w:rFonts w:eastAsiaTheme="minorEastAsia"/>
          <w:spacing w:val="-4"/>
          <w:rtl/>
        </w:rPr>
        <w:t xml:space="preserve">ولم تجتز العام الدراسي </w:t>
      </w:r>
      <w:r w:rsidRPr="006A34DD">
        <w:rPr>
          <w:rFonts w:eastAsiaTheme="minorEastAsia"/>
          <w:spacing w:val="-4"/>
          <w:rtl/>
        </w:rPr>
        <w:t>2016</w:t>
      </w:r>
      <w:r w:rsidRPr="00FF5F85">
        <w:rPr>
          <w:rFonts w:eastAsiaTheme="minorEastAsia"/>
          <w:spacing w:val="-4"/>
          <w:rtl/>
        </w:rPr>
        <w:t>/</w:t>
      </w:r>
      <w:r w:rsidRPr="006A34DD">
        <w:rPr>
          <w:rFonts w:eastAsiaTheme="minorEastAsia"/>
          <w:spacing w:val="-4"/>
          <w:rtl/>
        </w:rPr>
        <w:t>2017</w:t>
      </w:r>
      <w:r w:rsidRPr="00FF5F85">
        <w:rPr>
          <w:rFonts w:eastAsiaTheme="minorEastAsia"/>
          <w:spacing w:val="-4"/>
          <w:rtl/>
        </w:rPr>
        <w:t xml:space="preserve"> </w:t>
      </w:r>
      <w:r w:rsidRPr="00FF5F85">
        <w:rPr>
          <w:rFonts w:eastAsiaTheme="minorEastAsia"/>
          <w:spacing w:val="-4"/>
          <w:rtl/>
        </w:rPr>
        <w:lastRenderedPageBreak/>
        <w:t>وقررت إعادته</w:t>
      </w:r>
      <w:r w:rsidRPr="001C6B44">
        <w:rPr>
          <w:rFonts w:eastAsiaTheme="minorEastAsia"/>
          <w:rtl/>
        </w:rPr>
        <w:t xml:space="preserve"> بمحض إرادتها. وفي تشرين الأول/أكتوبر </w:t>
      </w:r>
      <w:r w:rsidRPr="006A34DD">
        <w:rPr>
          <w:rFonts w:eastAsiaTheme="minorEastAsia"/>
          <w:rtl/>
        </w:rPr>
        <w:t>2014</w:t>
      </w:r>
      <w:r w:rsidRPr="001C6B44">
        <w:rPr>
          <w:rFonts w:eastAsiaTheme="minorEastAsia"/>
          <w:rtl/>
        </w:rPr>
        <w:t xml:space="preserve">، رفض مجلس كلية </w:t>
      </w:r>
      <w:proofErr w:type="spellStart"/>
      <w:r w:rsidRPr="001C6B44">
        <w:rPr>
          <w:rFonts w:eastAsiaTheme="minorEastAsia"/>
          <w:rtl/>
        </w:rPr>
        <w:t>فيلاخ</w:t>
      </w:r>
      <w:proofErr w:type="spellEnd"/>
      <w:r w:rsidRPr="001C6B44">
        <w:rPr>
          <w:rFonts w:eastAsiaTheme="minorEastAsia"/>
          <w:rtl/>
        </w:rPr>
        <w:t xml:space="preserve"> للأعمال طلب</w:t>
      </w:r>
      <w:r w:rsidR="00BF23DF">
        <w:rPr>
          <w:rFonts w:eastAsiaTheme="minorEastAsia"/>
          <w:rtl/>
        </w:rPr>
        <w:t xml:space="preserve">اً </w:t>
      </w:r>
      <w:r w:rsidRPr="001C6B44">
        <w:rPr>
          <w:rFonts w:eastAsiaTheme="minorEastAsia"/>
          <w:rtl/>
        </w:rPr>
        <w:t xml:space="preserve">قدمه والدا صاحبة البلاغ لتغيير لغة تدريسها من الألمانية إلى لغة الإشارة النمساوية: وقد فُسّر الطلب على أنه احتجاج بالمادة </w:t>
      </w:r>
      <w:r w:rsidRPr="006A34DD">
        <w:rPr>
          <w:rFonts w:eastAsiaTheme="minorEastAsia"/>
          <w:rtl/>
        </w:rPr>
        <w:t>18</w:t>
      </w:r>
      <w:r w:rsidRPr="001C6B44">
        <w:rPr>
          <w:rFonts w:eastAsiaTheme="minorEastAsia"/>
          <w:rtl/>
        </w:rPr>
        <w:t>(</w:t>
      </w:r>
      <w:r w:rsidRPr="006A34DD">
        <w:rPr>
          <w:rFonts w:eastAsiaTheme="minorEastAsia"/>
          <w:rtl/>
        </w:rPr>
        <w:t>1</w:t>
      </w:r>
      <w:r w:rsidR="00360BE8" w:rsidRPr="006A34DD">
        <w:rPr>
          <w:rFonts w:eastAsiaTheme="minorEastAsia"/>
          <w:color w:val="000000"/>
          <w:rtl/>
        </w:rPr>
        <w:t>2</w:t>
      </w:r>
      <w:r w:rsidR="00360BE8" w:rsidRPr="00360BE8">
        <w:rPr>
          <w:rFonts w:eastAsiaTheme="minorEastAsia"/>
          <w:color w:val="000000"/>
          <w:rtl/>
        </w:rPr>
        <w:t xml:space="preserve">) </w:t>
      </w:r>
      <w:r w:rsidRPr="001C6B44">
        <w:rPr>
          <w:rFonts w:eastAsiaTheme="minorEastAsia"/>
          <w:rtl/>
        </w:rPr>
        <w:t>من قانون التعليم المدرسي الذي خلُص إلى أنه غير قابل للتطبيق في حالة صاحبة البلاغ نظر</w:t>
      </w:r>
      <w:r w:rsidR="00BF23DF">
        <w:rPr>
          <w:rFonts w:eastAsiaTheme="minorEastAsia"/>
          <w:rtl/>
        </w:rPr>
        <w:t xml:space="preserve">اً </w:t>
      </w:r>
      <w:r w:rsidRPr="001C6B44">
        <w:rPr>
          <w:rFonts w:eastAsiaTheme="minorEastAsia"/>
          <w:rtl/>
        </w:rPr>
        <w:t xml:space="preserve">لعدم وجود منهج دراسي للغة الإشارة النمساوية كلغة أجنبية حديثة. وفي تشرين الثاني/نوفمبر </w:t>
      </w:r>
      <w:r w:rsidRPr="006A34DD">
        <w:rPr>
          <w:rFonts w:eastAsiaTheme="minorEastAsia"/>
          <w:rtl/>
        </w:rPr>
        <w:t>2014</w:t>
      </w:r>
      <w:r w:rsidRPr="001C6B44">
        <w:rPr>
          <w:rFonts w:eastAsiaTheme="minorEastAsia"/>
          <w:rtl/>
        </w:rPr>
        <w:t xml:space="preserve">، أكّد مجلس المدارس الإقليمي لولاية </w:t>
      </w:r>
      <w:proofErr w:type="spellStart"/>
      <w:r w:rsidRPr="001C6B44">
        <w:rPr>
          <w:rFonts w:eastAsiaTheme="minorEastAsia"/>
          <w:rtl/>
        </w:rPr>
        <w:t>كارينثيا</w:t>
      </w:r>
      <w:proofErr w:type="spellEnd"/>
      <w:r w:rsidRPr="001C6B44">
        <w:rPr>
          <w:rFonts w:eastAsiaTheme="minorEastAsia"/>
          <w:rtl/>
        </w:rPr>
        <w:t xml:space="preserve"> الأساس المنطقي لمجلس كلية </w:t>
      </w:r>
      <w:proofErr w:type="spellStart"/>
      <w:r w:rsidRPr="001C6B44">
        <w:rPr>
          <w:rFonts w:eastAsiaTheme="minorEastAsia"/>
          <w:rtl/>
        </w:rPr>
        <w:t>فيلاخ</w:t>
      </w:r>
      <w:proofErr w:type="spellEnd"/>
      <w:r w:rsidRPr="001C6B44">
        <w:rPr>
          <w:rFonts w:eastAsiaTheme="minorEastAsia"/>
          <w:rtl/>
        </w:rPr>
        <w:t xml:space="preserve"> للأعمال ورفض استئناف والدي صاحبة البلاغ. وفي آذار/مارس </w:t>
      </w:r>
      <w:r w:rsidRPr="006A34DD">
        <w:rPr>
          <w:rFonts w:eastAsiaTheme="minorEastAsia"/>
          <w:rtl/>
        </w:rPr>
        <w:t>2015</w:t>
      </w:r>
      <w:r w:rsidRPr="001C6B44">
        <w:rPr>
          <w:rFonts w:eastAsiaTheme="minorEastAsia"/>
          <w:rtl/>
        </w:rPr>
        <w:t xml:space="preserve">، رفضت المحكمة الإدارية الاتحادية استئنافهم ضد قرار مجلس المدارس الإقليمي </w:t>
      </w:r>
      <w:proofErr w:type="spellStart"/>
      <w:r w:rsidRPr="001C6B44">
        <w:rPr>
          <w:rFonts w:eastAsiaTheme="minorEastAsia"/>
          <w:rtl/>
        </w:rPr>
        <w:t>لكارينثيا</w:t>
      </w:r>
      <w:proofErr w:type="spellEnd"/>
      <w:r w:rsidRPr="001C6B44">
        <w:rPr>
          <w:rFonts w:eastAsiaTheme="minorEastAsia"/>
          <w:rtl/>
        </w:rPr>
        <w:t xml:space="preserve">، حيث خلصت إلى أن المادتين </w:t>
      </w:r>
      <w:r w:rsidRPr="006A34DD">
        <w:rPr>
          <w:rFonts w:eastAsiaTheme="minorEastAsia"/>
          <w:rtl/>
        </w:rPr>
        <w:t>16</w:t>
      </w:r>
      <w:r w:rsidRPr="001C6B44">
        <w:rPr>
          <w:rFonts w:eastAsiaTheme="minorEastAsia"/>
          <w:rtl/>
        </w:rPr>
        <w:t>(</w:t>
      </w:r>
      <w:r w:rsidR="00360BE8" w:rsidRPr="006A34DD">
        <w:rPr>
          <w:rFonts w:eastAsiaTheme="minorEastAsia"/>
          <w:color w:val="000000"/>
          <w:rtl/>
        </w:rPr>
        <w:t>1</w:t>
      </w:r>
      <w:r w:rsidR="00360BE8" w:rsidRPr="00360BE8">
        <w:rPr>
          <w:rFonts w:eastAsiaTheme="minorEastAsia"/>
          <w:color w:val="000000"/>
          <w:rtl/>
        </w:rPr>
        <w:t xml:space="preserve">) </w:t>
      </w:r>
      <w:r w:rsidRPr="005D0103">
        <w:rPr>
          <w:rFonts w:eastAsiaTheme="minorEastAsia"/>
          <w:spacing w:val="-4"/>
          <w:rtl/>
        </w:rPr>
        <w:t>و</w:t>
      </w:r>
      <w:r w:rsidRPr="006A34DD">
        <w:rPr>
          <w:rFonts w:eastAsiaTheme="minorEastAsia"/>
          <w:spacing w:val="-4"/>
          <w:rtl/>
        </w:rPr>
        <w:t>18</w:t>
      </w:r>
      <w:r w:rsidRPr="005D0103">
        <w:rPr>
          <w:rFonts w:eastAsiaTheme="minorEastAsia"/>
          <w:spacing w:val="-4"/>
          <w:rtl/>
        </w:rPr>
        <w:t>(</w:t>
      </w:r>
      <w:r w:rsidR="00360BE8" w:rsidRPr="006A34DD">
        <w:rPr>
          <w:rFonts w:eastAsiaTheme="minorEastAsia"/>
          <w:color w:val="000000"/>
          <w:spacing w:val="-4"/>
          <w:rtl/>
        </w:rPr>
        <w:t>2</w:t>
      </w:r>
      <w:r w:rsidR="00360BE8" w:rsidRPr="005D0103">
        <w:rPr>
          <w:rFonts w:eastAsiaTheme="minorEastAsia"/>
          <w:color w:val="000000"/>
          <w:spacing w:val="-4"/>
          <w:rtl/>
        </w:rPr>
        <w:t xml:space="preserve">) </w:t>
      </w:r>
      <w:r w:rsidRPr="005D0103">
        <w:rPr>
          <w:rFonts w:eastAsiaTheme="minorEastAsia"/>
          <w:spacing w:val="-4"/>
          <w:rtl/>
        </w:rPr>
        <w:t xml:space="preserve">من قانون التعليم المدرسي لا تسمحان بالتدريس بلغة الإشارة النمساوية. وفي حزيران/يونيه </w:t>
      </w:r>
      <w:r w:rsidRPr="006A34DD">
        <w:rPr>
          <w:rFonts w:eastAsiaTheme="minorEastAsia"/>
          <w:spacing w:val="-4"/>
          <w:rtl/>
        </w:rPr>
        <w:t>2015</w:t>
      </w:r>
      <w:r w:rsidRPr="005D0103">
        <w:rPr>
          <w:rFonts w:eastAsiaTheme="minorEastAsia"/>
          <w:spacing w:val="-4"/>
          <w:rtl/>
        </w:rPr>
        <w:t>،</w:t>
      </w:r>
      <w:r w:rsidRPr="001C6B44">
        <w:rPr>
          <w:rFonts w:eastAsiaTheme="minorEastAsia"/>
          <w:rtl/>
        </w:rPr>
        <w:t xml:space="preserve"> أعلنت المحكمة الدستورية أن استئناف الوالدين غير مقبول لأنه لم يكن احتمال نجاحه كافي</w:t>
      </w:r>
      <w:r w:rsidR="00BF23DF">
        <w:rPr>
          <w:rFonts w:eastAsiaTheme="minorEastAsia"/>
          <w:rtl/>
        </w:rPr>
        <w:t xml:space="preserve">اً </w:t>
      </w:r>
      <w:r w:rsidRPr="001C6B44">
        <w:rPr>
          <w:rFonts w:eastAsiaTheme="minorEastAsia"/>
          <w:rtl/>
        </w:rPr>
        <w:t xml:space="preserve">ولم يثر أي أسئلة دستورية. وفي نيسان/أبريل </w:t>
      </w:r>
      <w:r w:rsidRPr="006A34DD">
        <w:rPr>
          <w:rFonts w:eastAsiaTheme="minorEastAsia"/>
          <w:rtl/>
        </w:rPr>
        <w:t>2017</w:t>
      </w:r>
      <w:r w:rsidRPr="001C6B44">
        <w:rPr>
          <w:rFonts w:eastAsiaTheme="minorEastAsia"/>
          <w:rtl/>
        </w:rPr>
        <w:t>، رفضت المحكمة الإدارية العليا طلب صاحب البلاغ إعادة النظر في قرار المحكمة الإدارية الاتحادية.</w:t>
      </w:r>
    </w:p>
    <w:p w14:paraId="598DA012" w14:textId="12226326" w:rsidR="00551F9E" w:rsidRPr="001C6B44" w:rsidRDefault="00551F9E" w:rsidP="001C6B44">
      <w:pPr>
        <w:pStyle w:val="SingleTxtGA"/>
        <w:rPr>
          <w:rFonts w:eastAsiaTheme="minorEastAsia"/>
          <w:lang w:val="ar-SA" w:eastAsia="zh-TW" w:bidi="en-GB"/>
        </w:rPr>
      </w:pPr>
      <w:r w:rsidRPr="006A34DD">
        <w:rPr>
          <w:rFonts w:eastAsiaTheme="minorEastAsia"/>
          <w:rtl/>
        </w:rPr>
        <w:t>13</w:t>
      </w:r>
      <w:r w:rsidR="00147269">
        <w:rPr>
          <w:rFonts w:eastAsiaTheme="minorEastAsia"/>
          <w:rtl/>
        </w:rPr>
        <w:t>-</w:t>
      </w:r>
      <w:r w:rsidR="00147269">
        <w:rPr>
          <w:rFonts w:eastAsiaTheme="minorEastAsia"/>
          <w:rtl/>
        </w:rPr>
        <w:tab/>
      </w:r>
      <w:r w:rsidRPr="001C6B44">
        <w:rPr>
          <w:rFonts w:eastAsiaTheme="minorEastAsia"/>
          <w:rtl/>
        </w:rPr>
        <w:t xml:space="preserve">وأعلنت اللجنة في آرائها أن البلاغ مقبول من حيث إثارته شواغل بموجب المواد </w:t>
      </w:r>
      <w:r w:rsidRPr="006A34DD">
        <w:rPr>
          <w:rFonts w:eastAsiaTheme="minorEastAsia"/>
          <w:rtl/>
        </w:rPr>
        <w:t>5</w:t>
      </w:r>
      <w:r w:rsidRPr="001C6B44">
        <w:rPr>
          <w:rFonts w:eastAsiaTheme="minorEastAsia"/>
          <w:rtl/>
        </w:rPr>
        <w:t xml:space="preserve"> و</w:t>
      </w:r>
      <w:r w:rsidRPr="006A34DD">
        <w:rPr>
          <w:rFonts w:eastAsiaTheme="minorEastAsia"/>
          <w:rtl/>
        </w:rPr>
        <w:t>7</w:t>
      </w:r>
      <w:r w:rsidRPr="001C6B44">
        <w:rPr>
          <w:rFonts w:eastAsiaTheme="minorEastAsia"/>
          <w:rtl/>
        </w:rPr>
        <w:t xml:space="preserve"> و</w:t>
      </w:r>
      <w:r w:rsidRPr="006A34DD">
        <w:rPr>
          <w:rFonts w:eastAsiaTheme="minorEastAsia"/>
          <w:rtl/>
        </w:rPr>
        <w:t>21</w:t>
      </w:r>
      <w:r w:rsidRPr="001C6B44">
        <w:rPr>
          <w:rFonts w:eastAsiaTheme="minorEastAsia"/>
          <w:rtl/>
        </w:rPr>
        <w:t xml:space="preserve"> و</w:t>
      </w:r>
      <w:r w:rsidRPr="006A34DD">
        <w:rPr>
          <w:rFonts w:eastAsiaTheme="minorEastAsia"/>
          <w:rtl/>
        </w:rPr>
        <w:t>24</w:t>
      </w:r>
      <w:r w:rsidRPr="001C6B44">
        <w:rPr>
          <w:rFonts w:eastAsiaTheme="minorEastAsia"/>
          <w:rtl/>
        </w:rPr>
        <w:t xml:space="preserve"> و</w:t>
      </w:r>
      <w:r w:rsidRPr="006A34DD">
        <w:rPr>
          <w:rFonts w:eastAsiaTheme="minorEastAsia"/>
          <w:rtl/>
        </w:rPr>
        <w:t>30</w:t>
      </w:r>
      <w:r w:rsidRPr="001C6B44">
        <w:rPr>
          <w:rFonts w:eastAsiaTheme="minorEastAsia"/>
          <w:rtl/>
        </w:rPr>
        <w:t>(</w:t>
      </w:r>
      <w:r w:rsidR="00360BE8" w:rsidRPr="006A34DD">
        <w:rPr>
          <w:rFonts w:eastAsiaTheme="minorEastAsia"/>
          <w:color w:val="000000"/>
          <w:rtl/>
        </w:rPr>
        <w:t>4</w:t>
      </w:r>
      <w:r w:rsidR="00360BE8" w:rsidRPr="00360BE8">
        <w:rPr>
          <w:rFonts w:eastAsiaTheme="minorEastAsia"/>
          <w:color w:val="000000"/>
          <w:rtl/>
        </w:rPr>
        <w:t xml:space="preserve">) </w:t>
      </w:r>
      <w:r w:rsidRPr="001C6B44">
        <w:rPr>
          <w:rFonts w:eastAsiaTheme="minorEastAsia"/>
          <w:rtl/>
        </w:rPr>
        <w:t xml:space="preserve">من الاتفاقية. وأعلنت اللجنة أن ادّعاءات صاحبة البلاغ بموجب المادتين </w:t>
      </w:r>
      <w:r w:rsidRPr="006A34DD">
        <w:rPr>
          <w:rFonts w:eastAsiaTheme="minorEastAsia"/>
          <w:rtl/>
        </w:rPr>
        <w:t>12</w:t>
      </w:r>
      <w:r w:rsidRPr="001C6B44">
        <w:rPr>
          <w:rFonts w:eastAsiaTheme="minorEastAsia"/>
          <w:rtl/>
        </w:rPr>
        <w:t>(</w:t>
      </w:r>
      <w:r w:rsidRPr="006A34DD">
        <w:rPr>
          <w:rFonts w:eastAsiaTheme="minorEastAsia"/>
          <w:rtl/>
        </w:rPr>
        <w:t>3</w:t>
      </w:r>
      <w:r w:rsidRPr="001C6B44">
        <w:rPr>
          <w:rFonts w:eastAsiaTheme="minorEastAsia"/>
          <w:rtl/>
        </w:rPr>
        <w:t>-</w:t>
      </w:r>
      <w:r w:rsidR="00360BE8" w:rsidRPr="006A34DD">
        <w:rPr>
          <w:rFonts w:eastAsiaTheme="minorEastAsia"/>
          <w:color w:val="000000"/>
          <w:rtl/>
        </w:rPr>
        <w:t>4</w:t>
      </w:r>
      <w:r w:rsidR="00360BE8" w:rsidRPr="00360BE8">
        <w:rPr>
          <w:rFonts w:eastAsiaTheme="minorEastAsia"/>
          <w:color w:val="000000"/>
          <w:rtl/>
        </w:rPr>
        <w:t xml:space="preserve">) </w:t>
      </w:r>
      <w:r w:rsidRPr="001C6B44">
        <w:rPr>
          <w:rFonts w:eastAsiaTheme="minorEastAsia"/>
          <w:rtl/>
        </w:rPr>
        <w:t>و</w:t>
      </w:r>
      <w:r w:rsidRPr="006A34DD">
        <w:rPr>
          <w:rFonts w:eastAsiaTheme="minorEastAsia"/>
          <w:rtl/>
        </w:rPr>
        <w:t>13</w:t>
      </w:r>
      <w:r w:rsidRPr="001C6B44">
        <w:rPr>
          <w:rFonts w:eastAsiaTheme="minorEastAsia"/>
          <w:rtl/>
        </w:rPr>
        <w:t>(</w:t>
      </w:r>
      <w:r w:rsidR="00360BE8" w:rsidRPr="006A34DD">
        <w:rPr>
          <w:rFonts w:eastAsiaTheme="minorEastAsia"/>
          <w:color w:val="000000"/>
          <w:rtl/>
        </w:rPr>
        <w:t>1</w:t>
      </w:r>
      <w:r w:rsidR="00360BE8" w:rsidRPr="00360BE8">
        <w:rPr>
          <w:rFonts w:eastAsiaTheme="minorEastAsia"/>
          <w:color w:val="000000"/>
          <w:rtl/>
        </w:rPr>
        <w:t xml:space="preserve">) </w:t>
      </w:r>
      <w:r w:rsidRPr="001C6B44">
        <w:rPr>
          <w:rFonts w:eastAsiaTheme="minorEastAsia"/>
          <w:rtl/>
        </w:rPr>
        <w:t>غير مقبولة لأنها لم تكن مدعومة بأدلة كافية. وخلصت أيض</w:t>
      </w:r>
      <w:r w:rsidR="00BF23DF">
        <w:rPr>
          <w:rFonts w:eastAsiaTheme="minorEastAsia"/>
          <w:rtl/>
        </w:rPr>
        <w:t xml:space="preserve">اً </w:t>
      </w:r>
      <w:r w:rsidRPr="001C6B44">
        <w:rPr>
          <w:rFonts w:eastAsiaTheme="minorEastAsia"/>
          <w:rtl/>
        </w:rPr>
        <w:t xml:space="preserve">إلى أن ادعاء التمييز فيما يتعلق بالأقليات اللغوية الأخرى غير الألمانية في الدولة الطرف غير مقبول لأنه لم غير مدعوم بأدلة كافية، كون صاحبة البلاغ لم تثبت كيف يمكن للغة الإشارة النمساوية التي هي لغتها الأولى أن تضعها في وضع مماثل لوضع الأقليات اللغوية الأخرى في الدولة الطرف فيما يتعلق بالألمانية. </w:t>
      </w:r>
    </w:p>
    <w:p w14:paraId="2942C2B5" w14:textId="50055820" w:rsidR="00551F9E" w:rsidRPr="00360BE8" w:rsidRDefault="00551F9E" w:rsidP="001C6B44">
      <w:pPr>
        <w:pStyle w:val="SingleTxtGA"/>
        <w:rPr>
          <w:rFonts w:eastAsiaTheme="minorEastAsia"/>
          <w:lang w:val="en-US" w:eastAsia="zh-TW" w:bidi="en-GB"/>
        </w:rPr>
      </w:pPr>
      <w:r w:rsidRPr="006A34DD">
        <w:rPr>
          <w:rFonts w:eastAsiaTheme="minorEastAsia"/>
          <w:rtl/>
        </w:rPr>
        <w:t>14</w:t>
      </w:r>
      <w:r w:rsidRPr="001C6B44">
        <w:rPr>
          <w:rFonts w:eastAsiaTheme="minorEastAsia"/>
          <w:rtl/>
        </w:rPr>
        <w:t>-</w:t>
      </w:r>
      <w:r w:rsidRPr="001C6B44">
        <w:rPr>
          <w:rFonts w:eastAsiaTheme="minorEastAsia"/>
          <w:rtl/>
        </w:rPr>
        <w:tab/>
        <w:t>وفيما يتعلق بالأسس الموضوعية، لاحظت اللجنة أن صاحبة البلاغ تلقت دعم</w:t>
      </w:r>
      <w:r w:rsidR="00BF23DF">
        <w:rPr>
          <w:rFonts w:eastAsiaTheme="minorEastAsia"/>
          <w:rtl/>
        </w:rPr>
        <w:t xml:space="preserve">اً </w:t>
      </w:r>
      <w:r w:rsidRPr="001C6B44">
        <w:rPr>
          <w:rFonts w:eastAsiaTheme="minorEastAsia"/>
          <w:rtl/>
        </w:rPr>
        <w:t>مستمر</w:t>
      </w:r>
      <w:r w:rsidR="00BF23DF">
        <w:rPr>
          <w:rFonts w:eastAsiaTheme="minorEastAsia"/>
          <w:rtl/>
        </w:rPr>
        <w:t xml:space="preserve">اً </w:t>
      </w:r>
      <w:r w:rsidRPr="001C6B44">
        <w:rPr>
          <w:rFonts w:eastAsiaTheme="minorEastAsia"/>
          <w:rtl/>
        </w:rPr>
        <w:t>من مدرسين يجيدان لغة الإشارة النمساوية ومن مترجمين فوريين للغة الإشارة، بما في ذلك أثناء الامتحانات الشفوية، وأن مناهجها الدراسية قد جرى تكييفها وأنها تلقت دعم</w:t>
      </w:r>
      <w:r w:rsidR="00BF23DF">
        <w:rPr>
          <w:rFonts w:eastAsiaTheme="minorEastAsia"/>
          <w:rtl/>
        </w:rPr>
        <w:t xml:space="preserve">اً </w:t>
      </w:r>
      <w:r w:rsidRPr="001C6B44">
        <w:rPr>
          <w:rFonts w:eastAsiaTheme="minorEastAsia"/>
          <w:rtl/>
        </w:rPr>
        <w:t>تعليمي</w:t>
      </w:r>
      <w:r w:rsidR="00BF23DF">
        <w:rPr>
          <w:rFonts w:eastAsiaTheme="minorEastAsia"/>
          <w:rtl/>
        </w:rPr>
        <w:t xml:space="preserve">اً </w:t>
      </w:r>
      <w:r w:rsidRPr="001C6B44">
        <w:rPr>
          <w:rFonts w:eastAsiaTheme="minorEastAsia"/>
          <w:rtl/>
        </w:rPr>
        <w:t>وتعليم</w:t>
      </w:r>
      <w:r w:rsidR="00BF23DF">
        <w:rPr>
          <w:rFonts w:eastAsiaTheme="minorEastAsia"/>
          <w:rtl/>
        </w:rPr>
        <w:t xml:space="preserve">اً </w:t>
      </w:r>
      <w:r w:rsidRPr="001C6B44">
        <w:rPr>
          <w:rFonts w:eastAsiaTheme="minorEastAsia"/>
          <w:rtl/>
        </w:rPr>
        <w:t>استدراكي</w:t>
      </w:r>
      <w:r w:rsidR="00BF23DF">
        <w:rPr>
          <w:rFonts w:eastAsiaTheme="minorEastAsia"/>
          <w:rtl/>
        </w:rPr>
        <w:t xml:space="preserve">اً، </w:t>
      </w:r>
      <w:r w:rsidRPr="001C6B44">
        <w:rPr>
          <w:rFonts w:eastAsiaTheme="minorEastAsia"/>
          <w:rtl/>
        </w:rPr>
        <w:t>بما في ذلك مواد تعليمية بصرية. ولاحظت اللجنة أيض</w:t>
      </w:r>
      <w:r w:rsidR="00BF23DF">
        <w:rPr>
          <w:rFonts w:eastAsiaTheme="minorEastAsia"/>
          <w:rtl/>
        </w:rPr>
        <w:t xml:space="preserve">اً </w:t>
      </w:r>
      <w:r w:rsidRPr="001C6B44">
        <w:rPr>
          <w:rFonts w:eastAsiaTheme="minorEastAsia"/>
          <w:rtl/>
        </w:rPr>
        <w:t>أن هذه التدابير قد جرى تنسيقها مع صاحبة البلاغ ووالديها والمؤسسات ذات الصلة وأنها صُمّمت وفق</w:t>
      </w:r>
      <w:r w:rsidR="00BF23DF">
        <w:rPr>
          <w:rFonts w:eastAsiaTheme="minorEastAsia"/>
          <w:rtl/>
        </w:rPr>
        <w:t xml:space="preserve">اً </w:t>
      </w:r>
      <w:r w:rsidRPr="001C6B44">
        <w:rPr>
          <w:rFonts w:eastAsiaTheme="minorEastAsia"/>
          <w:rtl/>
        </w:rPr>
        <w:t>لاحتياجاتها الفردية. وإلى جانب ذلك، استفادت من دعم خبير</w:t>
      </w:r>
      <w:r w:rsidR="00023C25">
        <w:rPr>
          <w:rFonts w:eastAsiaTheme="minorEastAsia" w:hint="cs"/>
          <w:rtl/>
        </w:rPr>
        <w:t> </w:t>
      </w:r>
      <w:r w:rsidRPr="001C6B44">
        <w:rPr>
          <w:rFonts w:eastAsiaTheme="minorEastAsia"/>
          <w:rtl/>
        </w:rPr>
        <w:t xml:space="preserve">مستقل في لغة الإشارة في بيئتها التعليمية، وتلقت علاوة للتعليم الخاص قدرها </w:t>
      </w:r>
      <w:r w:rsidRPr="006A34DD">
        <w:rPr>
          <w:rFonts w:eastAsiaTheme="minorEastAsia"/>
          <w:rtl/>
        </w:rPr>
        <w:t>270</w:t>
      </w:r>
      <w:r w:rsidRPr="001C6B44">
        <w:rPr>
          <w:rFonts w:eastAsiaTheme="minorEastAsia"/>
          <w:rtl/>
        </w:rPr>
        <w:t xml:space="preserve"> </w:t>
      </w:r>
      <w:r w:rsidRPr="006A34DD">
        <w:rPr>
          <w:rFonts w:eastAsiaTheme="minorEastAsia"/>
          <w:rtl/>
        </w:rPr>
        <w:t>11</w:t>
      </w:r>
      <w:r w:rsidRPr="001C6B44">
        <w:rPr>
          <w:rFonts w:eastAsiaTheme="minorEastAsia"/>
          <w:rtl/>
        </w:rPr>
        <w:t xml:space="preserve"> يورو بين عامي </w:t>
      </w:r>
      <w:r w:rsidRPr="006A34DD">
        <w:rPr>
          <w:rFonts w:eastAsiaTheme="minorEastAsia"/>
          <w:rtl/>
        </w:rPr>
        <w:t>2012</w:t>
      </w:r>
      <w:r w:rsidRPr="001C6B44">
        <w:rPr>
          <w:rFonts w:eastAsiaTheme="minorEastAsia"/>
          <w:rtl/>
        </w:rPr>
        <w:t xml:space="preserve"> و</w:t>
      </w:r>
      <w:r w:rsidRPr="006A34DD">
        <w:rPr>
          <w:rFonts w:eastAsiaTheme="minorEastAsia"/>
          <w:rtl/>
        </w:rPr>
        <w:t>2016</w:t>
      </w:r>
      <w:r w:rsidRPr="001C6B44">
        <w:rPr>
          <w:rFonts w:eastAsiaTheme="minorEastAsia"/>
          <w:rtl/>
        </w:rPr>
        <w:t>، وتلقت أسرتها علاوة عائلية. ولاحظت اللجنة أن صاحبة البلاغ أحرزت، بهذه التدابير، تقدم</w:t>
      </w:r>
      <w:r w:rsidR="00BF23DF">
        <w:rPr>
          <w:rFonts w:eastAsiaTheme="minorEastAsia"/>
          <w:rtl/>
        </w:rPr>
        <w:t xml:space="preserve">اً </w:t>
      </w:r>
      <w:r w:rsidRPr="001C6B44">
        <w:rPr>
          <w:rFonts w:eastAsiaTheme="minorEastAsia"/>
          <w:rtl/>
        </w:rPr>
        <w:t xml:space="preserve">في النظام المدرسي للدولة الطرف، رغم أنها كررت عامين دراسيين وغيرت مدارسها. وخلصت اللجنة إلى أنه بالنظر إلى طبيعة ومدى التدابير المتخذة لاستقبال صاحبة البلاغ، وإلى مدى تطورها وتقدمها الفعليين في مدارسها، فإن هذه التدابير كانت ذات صلة ومناسبة وفعالة. ولذلك لم تستطع اللجنة أن تخلص إلى أن الدولة الطرف لم تف بالتزامها باتخاذ تدابير ملموسة، من خلال توفير ترتيبات </w:t>
      </w:r>
      <w:proofErr w:type="spellStart"/>
      <w:r w:rsidRPr="001C6B44">
        <w:rPr>
          <w:rFonts w:eastAsiaTheme="minorEastAsia"/>
          <w:rtl/>
        </w:rPr>
        <w:t>تيسيرية</w:t>
      </w:r>
      <w:proofErr w:type="spellEnd"/>
      <w:r w:rsidRPr="001C6B44">
        <w:rPr>
          <w:rFonts w:eastAsiaTheme="minorEastAsia"/>
          <w:rtl/>
        </w:rPr>
        <w:t xml:space="preserve"> معقولة، لتحقيق المساواة الفعلية لصاحبة البلاغ لضمان تمتعها بجميع حقوق الإنسان والحريات الأساسية. وبناء على ذلك، خلصت اللجنة إلى عدم انتهاك حقوق صاحبة البلاغ بموجب المادة </w:t>
      </w:r>
      <w:r w:rsidRPr="006A34DD">
        <w:rPr>
          <w:rFonts w:eastAsiaTheme="minorEastAsia"/>
          <w:rtl/>
        </w:rPr>
        <w:t>5</w:t>
      </w:r>
      <w:r w:rsidRPr="001C6B44">
        <w:rPr>
          <w:rFonts w:eastAsiaTheme="minorEastAsia"/>
          <w:rtl/>
        </w:rPr>
        <w:t xml:space="preserve">، مقروءة بالاقتران مع المادة </w:t>
      </w:r>
      <w:r w:rsidRPr="006A34DD">
        <w:rPr>
          <w:rFonts w:eastAsiaTheme="minorEastAsia"/>
          <w:rtl/>
        </w:rPr>
        <w:t>21</w:t>
      </w:r>
      <w:r w:rsidRPr="001C6B44">
        <w:rPr>
          <w:rFonts w:eastAsiaTheme="minorEastAsia"/>
          <w:rtl/>
        </w:rPr>
        <w:t xml:space="preserve">(ب) و(ه) والمادة </w:t>
      </w:r>
      <w:r w:rsidRPr="006A34DD">
        <w:rPr>
          <w:rFonts w:eastAsiaTheme="minorEastAsia"/>
          <w:rtl/>
        </w:rPr>
        <w:t>30</w:t>
      </w:r>
      <w:r w:rsidRPr="001C6B44">
        <w:rPr>
          <w:rFonts w:eastAsiaTheme="minorEastAsia"/>
          <w:rtl/>
        </w:rPr>
        <w:t>(</w:t>
      </w:r>
      <w:r w:rsidR="00360BE8" w:rsidRPr="006A34DD">
        <w:rPr>
          <w:rFonts w:eastAsiaTheme="minorEastAsia"/>
          <w:color w:val="000000"/>
          <w:rtl/>
        </w:rPr>
        <w:t>4</w:t>
      </w:r>
      <w:r w:rsidR="00360BE8" w:rsidRPr="00360BE8">
        <w:rPr>
          <w:rFonts w:eastAsiaTheme="minorEastAsia"/>
          <w:color w:val="000000"/>
          <w:rtl/>
        </w:rPr>
        <w:t xml:space="preserve">). </w:t>
      </w:r>
      <w:r w:rsidRPr="001C6B44">
        <w:rPr>
          <w:rFonts w:eastAsiaTheme="minorEastAsia"/>
          <w:rtl/>
        </w:rPr>
        <w:t>ولاحظت اللجنة كذلك أن صاحبة البلاغ لم</w:t>
      </w:r>
      <w:r w:rsidR="00023C25">
        <w:rPr>
          <w:rFonts w:eastAsiaTheme="minorEastAsia" w:hint="cs"/>
          <w:rtl/>
        </w:rPr>
        <w:t> </w:t>
      </w:r>
      <w:r w:rsidRPr="001C6B44">
        <w:rPr>
          <w:rFonts w:eastAsiaTheme="minorEastAsia"/>
          <w:rtl/>
        </w:rPr>
        <w:t>تقدم معلومات إضافية تبين كيف أن تناول الدولة الطرف لقضيتها تأثر بالتجاهل المزعوم لمصالحها، وخلصت</w:t>
      </w:r>
      <w:r w:rsidR="00023C25">
        <w:rPr>
          <w:rFonts w:eastAsiaTheme="minorEastAsia" w:hint="cs"/>
          <w:rtl/>
        </w:rPr>
        <w:t> </w:t>
      </w:r>
      <w:r w:rsidRPr="001C6B44">
        <w:rPr>
          <w:rFonts w:eastAsiaTheme="minorEastAsia"/>
          <w:rtl/>
        </w:rPr>
        <w:t xml:space="preserve">إلى أن الدولة الطرف لم تنتهك حقوقها بموجب المادة </w:t>
      </w:r>
      <w:r w:rsidRPr="006A34DD">
        <w:rPr>
          <w:rFonts w:eastAsiaTheme="minorEastAsia"/>
          <w:rtl/>
        </w:rPr>
        <w:t>5</w:t>
      </w:r>
      <w:r w:rsidRPr="001C6B44">
        <w:rPr>
          <w:rFonts w:eastAsiaTheme="minorEastAsia"/>
          <w:rtl/>
        </w:rPr>
        <w:t xml:space="preserve">، مقروءة بالاقتران مع المادة </w:t>
      </w:r>
      <w:r w:rsidRPr="006A34DD">
        <w:rPr>
          <w:rFonts w:eastAsiaTheme="minorEastAsia"/>
          <w:rtl/>
        </w:rPr>
        <w:t>7</w:t>
      </w:r>
      <w:r w:rsidRPr="001C6B44">
        <w:rPr>
          <w:rFonts w:eastAsiaTheme="minorEastAsia"/>
          <w:rtl/>
        </w:rPr>
        <w:t xml:space="preserve"> من</w:t>
      </w:r>
      <w:r w:rsidR="00023C25">
        <w:rPr>
          <w:rFonts w:eastAsiaTheme="minorEastAsia" w:hint="cs"/>
          <w:rtl/>
        </w:rPr>
        <w:t> </w:t>
      </w:r>
      <w:r w:rsidRPr="001C6B44">
        <w:rPr>
          <w:rFonts w:eastAsiaTheme="minorEastAsia"/>
          <w:rtl/>
        </w:rPr>
        <w:t>الاتفاقية.</w:t>
      </w:r>
    </w:p>
    <w:p w14:paraId="01347060" w14:textId="77777777" w:rsidR="00551F9E" w:rsidRPr="006A34DD" w:rsidRDefault="00551F9E" w:rsidP="00360BE8">
      <w:pPr>
        <w:pStyle w:val="H23GA"/>
        <w:rPr>
          <w:i/>
          <w:iCs/>
          <w:lang w:val="ar-SA" w:eastAsia="zh-TW" w:bidi="en-GB"/>
        </w:rPr>
      </w:pPr>
      <w:r w:rsidRPr="006A34DD">
        <w:rPr>
          <w:rtl/>
        </w:rPr>
        <w:lastRenderedPageBreak/>
        <w:tab/>
      </w:r>
      <w:r w:rsidRPr="006A34DD">
        <w:rPr>
          <w:rtl/>
        </w:rPr>
        <w:tab/>
        <w:t xml:space="preserve">قضية </w:t>
      </w:r>
      <w:r w:rsidRPr="006A34DD">
        <w:rPr>
          <w:i/>
          <w:iCs/>
          <w:rtl/>
        </w:rPr>
        <w:t>ج.م. ضد السويد</w:t>
      </w:r>
    </w:p>
    <w:p w14:paraId="53C7C573" w14:textId="160764B6" w:rsidR="00551F9E" w:rsidRPr="001C6B44" w:rsidRDefault="00551F9E" w:rsidP="001C6B44">
      <w:pPr>
        <w:pStyle w:val="SingleTxtGA"/>
        <w:rPr>
          <w:rFonts w:eastAsiaTheme="minorEastAsia"/>
        </w:rPr>
      </w:pPr>
      <w:r w:rsidRPr="006A34DD">
        <w:rPr>
          <w:rFonts w:eastAsiaTheme="minorEastAsia"/>
          <w:rtl/>
        </w:rPr>
        <w:t>15</w:t>
      </w:r>
      <w:r w:rsidRPr="005D0103">
        <w:rPr>
          <w:rFonts w:eastAsiaTheme="minorEastAsia"/>
          <w:spacing w:val="-2"/>
          <w:rtl/>
        </w:rPr>
        <w:t>-</w:t>
      </w:r>
      <w:r w:rsidRPr="005D0103">
        <w:rPr>
          <w:rFonts w:eastAsiaTheme="minorEastAsia"/>
          <w:spacing w:val="-2"/>
          <w:rtl/>
        </w:rPr>
        <w:tab/>
        <w:t xml:space="preserve">قررت اللجنة وقف نظرها في البلاغ في قضية </w:t>
      </w:r>
      <w:r w:rsidRPr="006A34DD">
        <w:rPr>
          <w:rFonts w:eastAsiaTheme="minorEastAsia"/>
          <w:i/>
          <w:iCs/>
          <w:spacing w:val="-2"/>
          <w:rtl/>
        </w:rPr>
        <w:t>ج. م. ضد السويد</w:t>
      </w:r>
      <w:r w:rsidR="00360BE8" w:rsidRPr="006A34DD">
        <w:rPr>
          <w:rStyle w:val="FootnoteReference"/>
          <w:spacing w:val="-2"/>
          <w:szCs w:val="22"/>
          <w:rtl/>
        </w:rPr>
        <w:t>(</w:t>
      </w:r>
      <w:r w:rsidR="00360BE8" w:rsidRPr="006A34DD">
        <w:rPr>
          <w:rStyle w:val="FootnoteReference"/>
          <w:spacing w:val="-2"/>
          <w:szCs w:val="22"/>
          <w:lang w:val="en-US"/>
        </w:rPr>
        <w:footnoteReference w:id="18"/>
      </w:r>
      <w:r w:rsidR="001C6B44" w:rsidRPr="006A34DD">
        <w:rPr>
          <w:rStyle w:val="FootnoteReference"/>
          <w:spacing w:val="-2"/>
          <w:szCs w:val="22"/>
          <w:rtl/>
        </w:rPr>
        <w:t>)</w:t>
      </w:r>
      <w:r w:rsidR="005D0103" w:rsidRPr="005D0103">
        <w:rPr>
          <w:rFonts w:eastAsiaTheme="minorEastAsia" w:hint="cs"/>
          <w:spacing w:val="-2"/>
          <w:rtl/>
        </w:rPr>
        <w:t>.</w:t>
      </w:r>
      <w:r w:rsidRPr="005D0103">
        <w:rPr>
          <w:rFonts w:eastAsiaTheme="minorEastAsia"/>
          <w:spacing w:val="-2"/>
          <w:rtl/>
        </w:rPr>
        <w:t xml:space="preserve"> وفي </w:t>
      </w:r>
      <w:r w:rsidRPr="006A34DD">
        <w:rPr>
          <w:rFonts w:eastAsiaTheme="minorEastAsia"/>
          <w:spacing w:val="-2"/>
          <w:rtl/>
        </w:rPr>
        <w:t>7</w:t>
      </w:r>
      <w:r w:rsidRPr="005D0103">
        <w:rPr>
          <w:rFonts w:eastAsiaTheme="minorEastAsia"/>
          <w:spacing w:val="-2"/>
          <w:rtl/>
        </w:rPr>
        <w:t xml:space="preserve"> تموز/يوليه </w:t>
      </w:r>
      <w:r w:rsidRPr="006A34DD">
        <w:rPr>
          <w:rFonts w:eastAsiaTheme="minorEastAsia"/>
          <w:spacing w:val="-2"/>
          <w:rtl/>
        </w:rPr>
        <w:t>2021</w:t>
      </w:r>
      <w:r w:rsidRPr="005D0103">
        <w:rPr>
          <w:rFonts w:eastAsiaTheme="minorEastAsia"/>
          <w:spacing w:val="-2"/>
          <w:rtl/>
        </w:rPr>
        <w:t>، أصبح</w:t>
      </w:r>
      <w:r w:rsidRPr="001C6B44">
        <w:rPr>
          <w:rFonts w:eastAsiaTheme="minorEastAsia"/>
          <w:rtl/>
        </w:rPr>
        <w:t xml:space="preserve"> قرار الدولة الطرف ترحيل صاحب البلاغ إلى أفغانستان ساقطاً بالتقادم. وفي غضون ذلك، طلب صاحب البلاغ اللجوء من جديد، ولم يعد من ثم يواجه خطر إعادته إلى أفغانستان. وكانت الدولة الطرف قد طلبت إلى اللجنة وقف نظرها في البلاغ، وقبل صاحب البلاغ هذا الطلب.</w:t>
      </w:r>
    </w:p>
    <w:p w14:paraId="31EEBDEC" w14:textId="77777777" w:rsidR="00551F9E" w:rsidRPr="006A34DD" w:rsidRDefault="00551F9E" w:rsidP="00360BE8">
      <w:pPr>
        <w:pStyle w:val="H23GA"/>
        <w:rPr>
          <w:i/>
          <w:iCs/>
          <w:u w:val="single"/>
          <w:lang w:val="en-US" w:eastAsia="zh-TW" w:bidi="en-GB"/>
        </w:rPr>
      </w:pPr>
      <w:r w:rsidRPr="006A34DD">
        <w:rPr>
          <w:rtl/>
        </w:rPr>
        <w:tab/>
      </w:r>
      <w:r w:rsidRPr="006A34DD">
        <w:rPr>
          <w:rtl/>
        </w:rPr>
        <w:tab/>
        <w:t xml:space="preserve">قضية </w:t>
      </w:r>
      <w:proofErr w:type="spellStart"/>
      <w:r w:rsidRPr="006A34DD">
        <w:rPr>
          <w:i/>
          <w:iCs/>
          <w:rtl/>
        </w:rPr>
        <w:t>فيرير</w:t>
      </w:r>
      <w:proofErr w:type="spellEnd"/>
      <w:r w:rsidRPr="006A34DD">
        <w:rPr>
          <w:i/>
          <w:iCs/>
          <w:rtl/>
        </w:rPr>
        <w:t xml:space="preserve"> </w:t>
      </w:r>
      <w:proofErr w:type="spellStart"/>
      <w:r w:rsidRPr="006A34DD">
        <w:rPr>
          <w:i/>
          <w:iCs/>
          <w:rtl/>
        </w:rPr>
        <w:t>مانيلز</w:t>
      </w:r>
      <w:proofErr w:type="spellEnd"/>
      <w:r w:rsidRPr="006A34DD">
        <w:rPr>
          <w:i/>
          <w:iCs/>
          <w:rtl/>
        </w:rPr>
        <w:t xml:space="preserve"> ضد إسبانيا</w:t>
      </w:r>
    </w:p>
    <w:p w14:paraId="2EF8D051" w14:textId="1F3C8EB5" w:rsidR="00551F9E" w:rsidRPr="00D53FA6" w:rsidRDefault="00551F9E" w:rsidP="001C6B44">
      <w:pPr>
        <w:pStyle w:val="SingleTxtGA"/>
        <w:rPr>
          <w:rFonts w:eastAsiaTheme="minorEastAsia"/>
          <w:lang w:val="en-US" w:eastAsia="zh-TW" w:bidi="en-GB"/>
        </w:rPr>
      </w:pPr>
      <w:r w:rsidRPr="006A34DD">
        <w:rPr>
          <w:rFonts w:eastAsiaTheme="minorEastAsia"/>
          <w:rtl/>
        </w:rPr>
        <w:t>16</w:t>
      </w:r>
      <w:r w:rsidRPr="001C6B44">
        <w:rPr>
          <w:rFonts w:eastAsiaTheme="minorEastAsia"/>
          <w:rtl/>
        </w:rPr>
        <w:t>-</w:t>
      </w:r>
      <w:r w:rsidRPr="001C6B44">
        <w:rPr>
          <w:rFonts w:eastAsiaTheme="minorEastAsia"/>
          <w:rtl/>
        </w:rPr>
        <w:tab/>
        <w:t xml:space="preserve">قرّرت اللجنة وقف نظرها في البلاغ في قضية </w:t>
      </w:r>
      <w:proofErr w:type="spellStart"/>
      <w:r w:rsidRPr="006A34DD">
        <w:rPr>
          <w:rFonts w:eastAsiaTheme="minorEastAsia"/>
          <w:i/>
          <w:iCs/>
          <w:rtl/>
        </w:rPr>
        <w:t>فيرير</w:t>
      </w:r>
      <w:proofErr w:type="spellEnd"/>
      <w:r w:rsidRPr="006A34DD">
        <w:rPr>
          <w:rFonts w:eastAsiaTheme="minorEastAsia"/>
          <w:i/>
          <w:iCs/>
          <w:rtl/>
        </w:rPr>
        <w:t xml:space="preserve"> </w:t>
      </w:r>
      <w:proofErr w:type="spellStart"/>
      <w:r w:rsidRPr="006A34DD">
        <w:rPr>
          <w:rFonts w:eastAsiaTheme="minorEastAsia"/>
          <w:i/>
          <w:iCs/>
          <w:rtl/>
        </w:rPr>
        <w:t>مانيلز</w:t>
      </w:r>
      <w:proofErr w:type="spellEnd"/>
      <w:r w:rsidRPr="006A34DD">
        <w:rPr>
          <w:rFonts w:eastAsiaTheme="minorEastAsia"/>
          <w:i/>
          <w:iCs/>
          <w:rtl/>
        </w:rPr>
        <w:t xml:space="preserve"> ضد إسبانيا</w:t>
      </w:r>
      <w:r w:rsidR="00360BE8" w:rsidRPr="006A34DD">
        <w:rPr>
          <w:rStyle w:val="FootnoteReference"/>
          <w:szCs w:val="22"/>
          <w:rtl/>
        </w:rPr>
        <w:t>(</w:t>
      </w:r>
      <w:r w:rsidR="00360BE8" w:rsidRPr="006A34DD">
        <w:rPr>
          <w:rStyle w:val="FootnoteReference"/>
          <w:szCs w:val="22"/>
          <w:lang w:val="en-US"/>
        </w:rPr>
        <w:footnoteReference w:id="19"/>
      </w:r>
      <w:r w:rsidR="00360BE8" w:rsidRPr="006A34DD">
        <w:rPr>
          <w:rStyle w:val="FootnoteReference"/>
          <w:color w:val="000000"/>
          <w:szCs w:val="22"/>
          <w:rtl/>
        </w:rPr>
        <w:t>)</w:t>
      </w:r>
      <w:r w:rsidR="00360BE8" w:rsidRPr="00360BE8">
        <w:rPr>
          <w:rFonts w:eastAsiaTheme="minorEastAsia"/>
          <w:color w:val="000000"/>
          <w:rtl/>
        </w:rPr>
        <w:t xml:space="preserve">. </w:t>
      </w:r>
      <w:r w:rsidRPr="001C6B44">
        <w:rPr>
          <w:rFonts w:eastAsiaTheme="minorEastAsia"/>
          <w:rtl/>
        </w:rPr>
        <w:t>وتعلق البلاغ بطرد</w:t>
      </w:r>
      <w:r w:rsidR="005D0103">
        <w:rPr>
          <w:rFonts w:eastAsiaTheme="minorEastAsia" w:hint="cs"/>
          <w:rtl/>
        </w:rPr>
        <w:t> </w:t>
      </w:r>
      <w:r w:rsidRPr="001C6B44">
        <w:rPr>
          <w:rFonts w:eastAsiaTheme="minorEastAsia"/>
          <w:rtl/>
        </w:rPr>
        <w:t xml:space="preserve">صاحب البلاغ، وهو رجل مسن يعاني من إعاقة، دون تقييم أثر ذلك التدبير على صحته ورفاهه. </w:t>
      </w:r>
      <w:r w:rsidRPr="005D0103">
        <w:rPr>
          <w:rFonts w:eastAsiaTheme="minorEastAsia"/>
          <w:rtl/>
        </w:rPr>
        <w:t>وفي</w:t>
      </w:r>
      <w:r w:rsidR="005D0103" w:rsidRPr="006A34DD">
        <w:rPr>
          <w:rFonts w:eastAsiaTheme="minorEastAsia" w:hint="cs"/>
          <w:rtl/>
        </w:rPr>
        <w:t xml:space="preserve"> </w:t>
      </w:r>
      <w:r w:rsidRPr="006A34DD">
        <w:rPr>
          <w:rFonts w:eastAsiaTheme="minorEastAsia"/>
          <w:rtl/>
        </w:rPr>
        <w:t>21</w:t>
      </w:r>
      <w:r w:rsidRPr="005D0103">
        <w:rPr>
          <w:rFonts w:eastAsiaTheme="minorEastAsia"/>
          <w:rtl/>
        </w:rPr>
        <w:t xml:space="preserve"> تموز/يوليه </w:t>
      </w:r>
      <w:r w:rsidRPr="006A34DD">
        <w:rPr>
          <w:rFonts w:eastAsiaTheme="minorEastAsia"/>
          <w:rtl/>
        </w:rPr>
        <w:t>2021</w:t>
      </w:r>
      <w:r w:rsidRPr="005D0103">
        <w:rPr>
          <w:rFonts w:eastAsiaTheme="minorEastAsia"/>
          <w:rtl/>
        </w:rPr>
        <w:t xml:space="preserve">، أبلغت الدولة الطرف اللجنة بوفاة صاحب البلاغ في </w:t>
      </w:r>
      <w:r w:rsidRPr="006A34DD">
        <w:rPr>
          <w:rFonts w:eastAsiaTheme="minorEastAsia"/>
          <w:rtl/>
        </w:rPr>
        <w:t>2</w:t>
      </w:r>
      <w:r w:rsidRPr="005D0103">
        <w:rPr>
          <w:rFonts w:eastAsiaTheme="minorEastAsia"/>
          <w:rtl/>
        </w:rPr>
        <w:t xml:space="preserve"> تشرين الثاني/</w:t>
      </w:r>
      <w:r w:rsidR="005D0103" w:rsidRPr="005D0103">
        <w:rPr>
          <w:rFonts w:eastAsiaTheme="minorEastAsia" w:hint="cs"/>
          <w:rtl/>
        </w:rPr>
        <w:t xml:space="preserve">     </w:t>
      </w:r>
      <w:r w:rsidRPr="005D0103">
        <w:rPr>
          <w:rFonts w:eastAsiaTheme="minorEastAsia"/>
          <w:rtl/>
        </w:rPr>
        <w:t xml:space="preserve">نوفمبر </w:t>
      </w:r>
      <w:r w:rsidRPr="006A34DD">
        <w:rPr>
          <w:rFonts w:eastAsiaTheme="minorEastAsia"/>
          <w:rtl/>
        </w:rPr>
        <w:t>2020</w:t>
      </w:r>
      <w:r w:rsidRPr="001C6B44">
        <w:rPr>
          <w:rFonts w:eastAsiaTheme="minorEastAsia"/>
          <w:rtl/>
        </w:rPr>
        <w:t xml:space="preserve"> وبوقف الإجراءات القضائية أمام المحاكم المحلية. وبالإضافة إلى ذلك، طلبت إلى اللجنة أن توقف نظرها في البلاغ نظر</w:t>
      </w:r>
      <w:r w:rsidR="00BF23DF">
        <w:rPr>
          <w:rFonts w:eastAsiaTheme="minorEastAsia"/>
          <w:rtl/>
        </w:rPr>
        <w:t xml:space="preserve">اً </w:t>
      </w:r>
      <w:r w:rsidRPr="001C6B44">
        <w:rPr>
          <w:rFonts w:eastAsiaTheme="minorEastAsia"/>
          <w:rtl/>
        </w:rPr>
        <w:t xml:space="preserve">لعدم وجود أطراف أخرى مهتمة. وفي </w:t>
      </w:r>
      <w:r w:rsidRPr="006A34DD">
        <w:rPr>
          <w:rFonts w:eastAsiaTheme="minorEastAsia"/>
          <w:rtl/>
        </w:rPr>
        <w:t>3</w:t>
      </w:r>
      <w:r w:rsidRPr="001C6B44">
        <w:rPr>
          <w:rFonts w:eastAsiaTheme="minorEastAsia"/>
          <w:rtl/>
        </w:rPr>
        <w:t xml:space="preserve"> تشرين الثاني/نوفمبر </w:t>
      </w:r>
      <w:r w:rsidRPr="006A34DD">
        <w:rPr>
          <w:rFonts w:eastAsiaTheme="minorEastAsia"/>
          <w:rtl/>
        </w:rPr>
        <w:t>2021</w:t>
      </w:r>
      <w:r w:rsidRPr="001C6B44">
        <w:rPr>
          <w:rFonts w:eastAsiaTheme="minorEastAsia"/>
          <w:rtl/>
        </w:rPr>
        <w:t>، طلبت ابنة صاحب البلاغ وممثلوه إلى اللجنة مواصلة نظرها في القضية. وقررت اللجنة وقف نظرها في البلاغ لأن وفاة صاحب البلاغ جعلت البلاغ خالي</w:t>
      </w:r>
      <w:r w:rsidR="00BF23DF">
        <w:rPr>
          <w:rFonts w:eastAsiaTheme="minorEastAsia"/>
          <w:rtl/>
        </w:rPr>
        <w:t xml:space="preserve">اً </w:t>
      </w:r>
      <w:r w:rsidRPr="001C6B44">
        <w:rPr>
          <w:rFonts w:eastAsiaTheme="minorEastAsia"/>
          <w:rtl/>
        </w:rPr>
        <w:t>من الأغراض</w:t>
      </w:r>
      <w:r w:rsidRPr="00D53FA6">
        <w:rPr>
          <w:rtl/>
        </w:rPr>
        <w:t>.</w:t>
      </w:r>
    </w:p>
    <w:p w14:paraId="297EEF1F" w14:textId="05A84059" w:rsidR="00B233BD" w:rsidRPr="00B233BD" w:rsidRDefault="00B233BD" w:rsidP="00B233BD">
      <w:pPr>
        <w:pStyle w:val="SingleTxtGA"/>
        <w:jc w:val="center"/>
        <w:rPr>
          <w:u w:val="single"/>
          <w:rtl/>
        </w:rPr>
      </w:pPr>
      <w:r>
        <w:rPr>
          <w:u w:val="single"/>
          <w:rtl/>
        </w:rPr>
        <w:tab/>
      </w:r>
      <w:r>
        <w:rPr>
          <w:u w:val="single"/>
          <w:rtl/>
        </w:rPr>
        <w:tab/>
      </w:r>
      <w:r>
        <w:rPr>
          <w:u w:val="single"/>
          <w:rtl/>
        </w:rPr>
        <w:tab/>
      </w:r>
    </w:p>
    <w:sectPr w:rsidR="00B233BD" w:rsidRPr="00B233BD" w:rsidSect="00314136">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9A13" w14:textId="77777777" w:rsidR="0003114E" w:rsidRPr="002901D9" w:rsidRDefault="0003114E" w:rsidP="006A5EE7">
      <w:pPr>
        <w:spacing w:after="60" w:line="240" w:lineRule="auto"/>
        <w:ind w:left="57"/>
        <w:rPr>
          <w:i/>
          <w:iCs/>
        </w:rPr>
      </w:pPr>
      <w:r>
        <w:rPr>
          <w:rFonts w:hint="cs"/>
          <w:i/>
          <w:iCs/>
          <w:rtl/>
        </w:rPr>
        <w:t>الحواشي</w:t>
      </w:r>
    </w:p>
  </w:endnote>
  <w:endnote w:type="continuationSeparator" w:id="0">
    <w:p w14:paraId="03B936CF" w14:textId="77777777" w:rsidR="0003114E" w:rsidRDefault="000311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4903" w14:textId="112CC92C" w:rsidR="00A5587E" w:rsidRPr="00A5587E" w:rsidRDefault="00A5587E" w:rsidP="00A5587E">
    <w:pPr>
      <w:pStyle w:val="Footer"/>
      <w:tabs>
        <w:tab w:val="right" w:pos="9638"/>
      </w:tabs>
      <w:rPr>
        <w:b/>
        <w:sz w:val="18"/>
        <w:lang w:val="en-US"/>
      </w:rPr>
    </w:pPr>
    <w:r>
      <w:rPr>
        <w:lang w:val="en-US"/>
      </w:rPr>
      <w:t>GE.22-08071</w:t>
    </w:r>
    <w:r>
      <w:rPr>
        <w:lang w:val="en-US"/>
      </w:rPr>
      <w:tab/>
    </w:r>
    <w:r w:rsidRPr="00A5587E">
      <w:rPr>
        <w:b/>
        <w:sz w:val="18"/>
        <w:lang w:val="en-US"/>
      </w:rPr>
      <w:fldChar w:fldCharType="begin"/>
    </w:r>
    <w:r w:rsidRPr="00A5587E">
      <w:rPr>
        <w:b/>
        <w:sz w:val="18"/>
        <w:lang w:val="en-US"/>
      </w:rPr>
      <w:instrText xml:space="preserve"> PAGE  \* MERGEFORMAT </w:instrText>
    </w:r>
    <w:r w:rsidRPr="00A5587E">
      <w:rPr>
        <w:b/>
        <w:sz w:val="18"/>
        <w:lang w:val="en-US"/>
      </w:rPr>
      <w:fldChar w:fldCharType="separate"/>
    </w:r>
    <w:r w:rsidRPr="00A5587E">
      <w:rPr>
        <w:b/>
        <w:noProof/>
        <w:sz w:val="18"/>
        <w:lang w:val="en-US"/>
      </w:rPr>
      <w:t>2</w:t>
    </w:r>
    <w:r w:rsidRPr="00A5587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FFAD" w14:textId="59122E63" w:rsidR="006959B0" w:rsidRPr="00A5587E" w:rsidRDefault="00A5587E" w:rsidP="00A5587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GE.22-08071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D225" w14:textId="2FD1B175" w:rsidR="00114439" w:rsidRPr="00A5587E" w:rsidRDefault="00A5587E" w:rsidP="00A5587E">
    <w:pPr>
      <w:pStyle w:val="Footer"/>
      <w:spacing w:before="600"/>
      <w:ind w:left="567"/>
      <w:jc w:val="right"/>
      <w:rPr>
        <w:sz w:val="20"/>
        <w:lang w:val="en-US"/>
      </w:rPr>
    </w:pPr>
    <w:r>
      <w:rPr>
        <w:sz w:val="20"/>
        <w:lang w:val="en-US"/>
      </w:rPr>
      <w:t>GE.</w:t>
    </w:r>
    <w:r w:rsidR="006163CA">
      <w:rPr>
        <w:noProof/>
      </w:rPr>
      <w:drawing>
        <wp:anchor distT="0" distB="0" distL="114300" distR="114300" simplePos="0" relativeHeight="251658240" behindDoc="1" locked="1" layoutInCell="0" allowOverlap="1" wp14:anchorId="4C28030C" wp14:editId="1DBC0E5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22-08071 (A)</w:t>
    </w:r>
    <w:r>
      <w:rPr>
        <w:noProof/>
        <w:sz w:val="20"/>
        <w:lang w:val="en-US"/>
      </w:rPr>
      <w:drawing>
        <wp:anchor distT="0" distB="0" distL="114300" distR="114300" simplePos="0" relativeHeight="251659264" behindDoc="0" locked="0" layoutInCell="1" allowOverlap="1" wp14:anchorId="47FFE248" wp14:editId="29C2A91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0D46" w14:textId="77777777" w:rsidR="00023C25" w:rsidRPr="00A5587E" w:rsidRDefault="00023C25" w:rsidP="00023C25">
    <w:pPr>
      <w:pStyle w:val="Footer"/>
      <w:tabs>
        <w:tab w:val="right" w:pos="9638"/>
      </w:tabs>
      <w:rPr>
        <w:b/>
        <w:sz w:val="18"/>
        <w:lang w:val="en-US"/>
      </w:rPr>
    </w:pPr>
    <w:r>
      <w:rPr>
        <w:lang w:val="en-US"/>
      </w:rPr>
      <w:t>GE.22-08071</w:t>
    </w:r>
    <w:r>
      <w:rPr>
        <w:lang w:val="en-US"/>
      </w:rPr>
      <w:tab/>
    </w:r>
    <w:r w:rsidRPr="00A5587E">
      <w:rPr>
        <w:b/>
        <w:sz w:val="18"/>
        <w:lang w:val="en-US"/>
      </w:rPr>
      <w:fldChar w:fldCharType="begin"/>
    </w:r>
    <w:r w:rsidRPr="00A5587E">
      <w:rPr>
        <w:b/>
        <w:sz w:val="18"/>
        <w:lang w:val="en-US"/>
      </w:rPr>
      <w:instrText xml:space="preserve"> PAGE  \* MERGEFORMAT </w:instrText>
    </w:r>
    <w:r w:rsidRPr="00A5587E">
      <w:rPr>
        <w:b/>
        <w:sz w:val="18"/>
        <w:lang w:val="en-US"/>
      </w:rPr>
      <w:fldChar w:fldCharType="separate"/>
    </w:r>
    <w:r>
      <w:rPr>
        <w:b/>
        <w:sz w:val="18"/>
        <w:lang w:val="en-US"/>
      </w:rPr>
      <w:t>4</w:t>
    </w:r>
    <w:r w:rsidRPr="00A5587E">
      <w:rPr>
        <w:b/>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6562" w14:textId="77777777" w:rsidR="0003114E" w:rsidRPr="00801A14" w:rsidRDefault="0003114E"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3E09CDE" w14:textId="77777777" w:rsidR="0003114E" w:rsidRDefault="0003114E" w:rsidP="00656392">
      <w:pPr>
        <w:spacing w:line="240" w:lineRule="auto"/>
      </w:pPr>
      <w:r>
        <w:continuationSeparator/>
      </w:r>
    </w:p>
  </w:footnote>
  <w:footnote w:id="1">
    <w:p w14:paraId="35CD31B1" w14:textId="77777777" w:rsidR="00360BE8" w:rsidRPr="00147269" w:rsidRDefault="00360BE8" w:rsidP="00360BE8">
      <w:pPr>
        <w:pStyle w:val="FootnoteText1"/>
        <w:textDirection w:val="tbRlV"/>
        <w:rPr>
          <w:lang w:val="ar-SA"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t xml:space="preserve">الوثيقة </w:t>
      </w:r>
      <w:hyperlink r:id="rId1" w:history="1">
        <w:r w:rsidRPr="00360BE8">
          <w:rPr>
            <w:rStyle w:val="Hyperlink"/>
            <w:lang w:val="en-AU"/>
          </w:rPr>
          <w:t>CRPD/C/SR.</w:t>
        </w:r>
        <w:r w:rsidRPr="006A34DD">
          <w:rPr>
            <w:rStyle w:val="Hyperlink"/>
            <w:lang w:val="en-AU"/>
          </w:rPr>
          <w:t>553</w:t>
        </w:r>
      </w:hyperlink>
      <w:r w:rsidRPr="00147269">
        <w:rPr>
          <w:rtl/>
        </w:rPr>
        <w:t xml:space="preserve">، الفقرتان </w:t>
      </w:r>
      <w:r w:rsidRPr="006A34DD">
        <w:rPr>
          <w:rFonts w:ascii="Traditional Arabic"/>
          <w:rtl/>
        </w:rPr>
        <w:t>2</w:t>
      </w:r>
      <w:r w:rsidRPr="00147269">
        <w:rPr>
          <w:rtl/>
        </w:rPr>
        <w:t xml:space="preserve"> و</w:t>
      </w:r>
      <w:r w:rsidRPr="006A34DD">
        <w:rPr>
          <w:rFonts w:ascii="Traditional Arabic"/>
          <w:color w:val="000000"/>
          <w:rtl/>
        </w:rPr>
        <w:t>3</w:t>
      </w:r>
      <w:r w:rsidRPr="00360BE8">
        <w:rPr>
          <w:color w:val="000000"/>
          <w:rtl/>
        </w:rPr>
        <w:t xml:space="preserve">. </w:t>
      </w:r>
    </w:p>
  </w:footnote>
  <w:footnote w:id="2">
    <w:p w14:paraId="37FD0043" w14:textId="77777777" w:rsidR="00360BE8" w:rsidRPr="00147269" w:rsidRDefault="00360BE8" w:rsidP="00360BE8">
      <w:pPr>
        <w:pStyle w:val="FootnoteText1"/>
        <w:textDirection w:val="tbRlV"/>
        <w:rPr>
          <w:lang w:val="ar-SA"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t>الوثيقة</w:t>
      </w:r>
      <w:r w:rsidRPr="00147269">
        <w:rPr>
          <w:rFonts w:hint="cs"/>
          <w:rtl/>
        </w:rPr>
        <w:t xml:space="preserve"> </w:t>
      </w:r>
      <w:hyperlink r:id="rId2" w:history="1">
        <w:r w:rsidRPr="00360BE8">
          <w:rPr>
            <w:rStyle w:val="Hyperlink"/>
            <w:lang w:val="en-AU"/>
          </w:rPr>
          <w:t>CRPD/C/</w:t>
        </w:r>
        <w:r w:rsidRPr="006A34DD">
          <w:rPr>
            <w:rStyle w:val="Hyperlink"/>
            <w:lang w:val="en-AU"/>
          </w:rPr>
          <w:t>26</w:t>
        </w:r>
        <w:r w:rsidRPr="00360BE8">
          <w:rPr>
            <w:rStyle w:val="Hyperlink"/>
            <w:lang w:val="en-AU"/>
          </w:rPr>
          <w:t>/</w:t>
        </w:r>
        <w:r w:rsidRPr="006A34DD">
          <w:rPr>
            <w:rStyle w:val="Hyperlink"/>
            <w:lang w:val="en-AU"/>
          </w:rPr>
          <w:t>1</w:t>
        </w:r>
      </w:hyperlink>
      <w:r w:rsidRPr="00360BE8">
        <w:rPr>
          <w:rFonts w:ascii="Simplified Arabic" w:hAnsi="Simplified Arabic"/>
          <w:color w:val="000000"/>
          <w:rtl/>
        </w:rPr>
        <w:t xml:space="preserve">. </w:t>
      </w:r>
    </w:p>
  </w:footnote>
  <w:footnote w:id="3">
    <w:p w14:paraId="7C01C6B7" w14:textId="35818E9F" w:rsidR="00360BE8" w:rsidRPr="00FF5F85"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3"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46</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r w:rsidRPr="00360BE8">
        <w:rPr>
          <w:rFonts w:cs="Times New Roman"/>
          <w:color w:val="000000"/>
          <w:rtl/>
        </w:rPr>
        <w:t xml:space="preserve"> </w:t>
      </w:r>
    </w:p>
  </w:footnote>
  <w:footnote w:id="4">
    <w:p w14:paraId="31417F9D" w14:textId="3218F36F"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4"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48</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p>
  </w:footnote>
  <w:footnote w:id="5">
    <w:p w14:paraId="0D5AB7E7" w14:textId="4682F801"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5"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50</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r w:rsidRPr="00360BE8">
        <w:rPr>
          <w:rFonts w:cs="Times New Roman"/>
          <w:color w:val="000000"/>
          <w:rtl/>
        </w:rPr>
        <w:t xml:space="preserve"> </w:t>
      </w:r>
    </w:p>
  </w:footnote>
  <w:footnote w:id="6">
    <w:p w14:paraId="553087B1" w14:textId="2B5DF3E0"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6"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53</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r w:rsidRPr="00360BE8">
        <w:rPr>
          <w:rFonts w:cs="Times New Roman"/>
          <w:color w:val="000000"/>
          <w:rtl/>
        </w:rPr>
        <w:t xml:space="preserve"> </w:t>
      </w:r>
    </w:p>
  </w:footnote>
  <w:footnote w:id="7">
    <w:p w14:paraId="7895B1FD" w14:textId="3291653D" w:rsidR="00360BE8" w:rsidRPr="00B233BD" w:rsidRDefault="00360BE8" w:rsidP="00360BE8">
      <w:pPr>
        <w:pStyle w:val="FootnoteText1"/>
        <w:textDirection w:val="tbRlV"/>
        <w:rPr>
          <w:rtl/>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7"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79</w:t>
        </w:r>
        <w:r w:rsidRPr="00360BE8">
          <w:rPr>
            <w:rStyle w:val="Hyperlink"/>
            <w:lang w:val="en-AU"/>
          </w:rPr>
          <w:t>/</w:t>
        </w:r>
        <w:r w:rsidRPr="006A34DD">
          <w:rPr>
            <w:rStyle w:val="Hyperlink"/>
            <w:lang w:val="en-AU"/>
          </w:rPr>
          <w:t>2020</w:t>
        </w:r>
      </w:hyperlink>
      <w:r w:rsidR="00FF5F85" w:rsidRPr="00360BE8">
        <w:rPr>
          <w:rFonts w:ascii="Simplified Arabic" w:hAnsi="Simplified Arabic"/>
          <w:color w:val="000000"/>
          <w:rtl/>
        </w:rPr>
        <w:t>.</w:t>
      </w:r>
    </w:p>
  </w:footnote>
  <w:footnote w:id="8">
    <w:p w14:paraId="765C18F8" w14:textId="77777777" w:rsidR="00360BE8" w:rsidRPr="00147269"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t xml:space="preserve">متاح على الموقع الشبكي للجنة، على الرابط الإلكتروني التالي: </w:t>
      </w:r>
      <w:hyperlink r:id="rId8" w:history="1">
        <w:r w:rsidRPr="00360BE8">
          <w:rPr>
            <w:rStyle w:val="Hyperlink"/>
            <w:lang w:val="en-AU"/>
          </w:rPr>
          <w:t>https://www.ohchr.org/en/treaty-bodies/crpd/statements-declarations-and-observations</w:t>
        </w:r>
      </w:hyperlink>
      <w:r>
        <w:rPr>
          <w:rtl/>
        </w:rPr>
        <w:t xml:space="preserve">. </w:t>
      </w:r>
    </w:p>
  </w:footnote>
  <w:footnote w:id="9">
    <w:p w14:paraId="0104B3BE" w14:textId="670FF622" w:rsidR="00360BE8" w:rsidRPr="00360BE8" w:rsidRDefault="00360BE8" w:rsidP="00360BE8">
      <w:pPr>
        <w:pStyle w:val="FootnoteText1"/>
        <w:textDirection w:val="tbRlV"/>
        <w:rPr>
          <w:spacing w:val="-6"/>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360BE8">
        <w:rPr>
          <w:spacing w:val="-6"/>
          <w:rtl/>
        </w:rPr>
        <w:tab/>
      </w:r>
      <w:hyperlink r:id="rId9" w:history="1">
        <w:r w:rsidRPr="00360BE8">
          <w:rPr>
            <w:rStyle w:val="Hyperlink"/>
            <w:spacing w:val="-6"/>
            <w:lang w:val="en-AU"/>
          </w:rPr>
          <w:t>CRPD/C/JAM/</w:t>
        </w:r>
        <w:r w:rsidRPr="006A34DD">
          <w:rPr>
            <w:rStyle w:val="Hyperlink"/>
            <w:spacing w:val="-6"/>
            <w:lang w:val="en-AU"/>
          </w:rPr>
          <w:t>1</w:t>
        </w:r>
        <w:r w:rsidRPr="00360BE8">
          <w:rPr>
            <w:rStyle w:val="Hyperlink"/>
            <w:spacing w:val="-6"/>
            <w:lang w:val="en-AU"/>
          </w:rPr>
          <w:t>/Rev.</w:t>
        </w:r>
        <w:r w:rsidRPr="006A34DD">
          <w:rPr>
            <w:rStyle w:val="Hyperlink"/>
            <w:spacing w:val="-6"/>
            <w:lang w:val="en-AU"/>
          </w:rPr>
          <w:t>1</w:t>
        </w:r>
      </w:hyperlink>
      <w:r w:rsidRPr="00360BE8">
        <w:rPr>
          <w:spacing w:val="-6"/>
          <w:rtl/>
        </w:rPr>
        <w:t xml:space="preserve"> و</w:t>
      </w:r>
      <w:hyperlink r:id="rId10" w:history="1">
        <w:r w:rsidRPr="00360BE8">
          <w:rPr>
            <w:rStyle w:val="Hyperlink"/>
            <w:spacing w:val="-6"/>
            <w:lang w:val="en-AU"/>
          </w:rPr>
          <w:t>CRPD/C/CHE/</w:t>
        </w:r>
        <w:r w:rsidRPr="006A34DD">
          <w:rPr>
            <w:rStyle w:val="Hyperlink"/>
            <w:spacing w:val="-6"/>
            <w:lang w:val="en-AU"/>
          </w:rPr>
          <w:t>1</w:t>
        </w:r>
      </w:hyperlink>
      <w:r w:rsidRPr="00360BE8">
        <w:rPr>
          <w:spacing w:val="-6"/>
          <w:rtl/>
        </w:rPr>
        <w:t xml:space="preserve"> و</w:t>
      </w:r>
      <w:hyperlink r:id="rId11" w:history="1">
        <w:r w:rsidRPr="00360BE8">
          <w:rPr>
            <w:rStyle w:val="Hyperlink"/>
            <w:spacing w:val="-6"/>
            <w:lang w:val="en-AU"/>
          </w:rPr>
          <w:t>CRPD/C/VEN/</w:t>
        </w:r>
        <w:r w:rsidRPr="006A34DD">
          <w:rPr>
            <w:rStyle w:val="Hyperlink"/>
            <w:spacing w:val="-6"/>
            <w:lang w:val="en-AU"/>
          </w:rPr>
          <w:t>1</w:t>
        </w:r>
      </w:hyperlink>
      <w:r w:rsidRPr="00360BE8">
        <w:rPr>
          <w:spacing w:val="-6"/>
          <w:rtl/>
        </w:rPr>
        <w:t xml:space="preserve"> و</w:t>
      </w:r>
      <w:hyperlink r:id="rId12" w:history="1">
        <w:r w:rsidRPr="00360BE8">
          <w:rPr>
            <w:rStyle w:val="Hyperlink"/>
            <w:spacing w:val="-6"/>
            <w:lang w:val="en-AU"/>
          </w:rPr>
          <w:t>CRPD/C/HUN/</w:t>
        </w:r>
        <w:r w:rsidRPr="006A34DD">
          <w:rPr>
            <w:rStyle w:val="Hyperlink"/>
            <w:spacing w:val="-6"/>
            <w:lang w:val="en-AU"/>
          </w:rPr>
          <w:t>2</w:t>
        </w:r>
        <w:r w:rsidRPr="00360BE8">
          <w:rPr>
            <w:rStyle w:val="Hyperlink"/>
            <w:spacing w:val="-6"/>
            <w:lang w:val="en-AU"/>
          </w:rPr>
          <w:t>-</w:t>
        </w:r>
        <w:r w:rsidRPr="006A34DD">
          <w:rPr>
            <w:rStyle w:val="Hyperlink"/>
            <w:spacing w:val="-6"/>
            <w:lang w:val="en-AU"/>
          </w:rPr>
          <w:t>3</w:t>
        </w:r>
      </w:hyperlink>
      <w:r w:rsidRPr="00360BE8">
        <w:rPr>
          <w:spacing w:val="-6"/>
          <w:rtl/>
        </w:rPr>
        <w:t xml:space="preserve"> و</w:t>
      </w:r>
      <w:hyperlink r:id="rId13" w:history="1">
        <w:r w:rsidRPr="00360BE8">
          <w:rPr>
            <w:rStyle w:val="Hyperlink"/>
            <w:spacing w:val="-6"/>
            <w:lang w:val="en-AU"/>
          </w:rPr>
          <w:t>CRPD/C/MEX/</w:t>
        </w:r>
        <w:r w:rsidRPr="006A34DD">
          <w:rPr>
            <w:rStyle w:val="Hyperlink"/>
            <w:spacing w:val="-6"/>
            <w:lang w:val="en-AU"/>
          </w:rPr>
          <w:t>2</w:t>
        </w:r>
        <w:r w:rsidRPr="00360BE8">
          <w:rPr>
            <w:rStyle w:val="Hyperlink"/>
            <w:spacing w:val="-6"/>
            <w:lang w:val="en-AU"/>
          </w:rPr>
          <w:t>-</w:t>
        </w:r>
        <w:r w:rsidRPr="006A34DD">
          <w:rPr>
            <w:rStyle w:val="Hyperlink"/>
            <w:spacing w:val="-6"/>
            <w:lang w:val="en-AU"/>
          </w:rPr>
          <w:t>3</w:t>
        </w:r>
      </w:hyperlink>
      <w:r w:rsidRPr="00360BE8">
        <w:rPr>
          <w:rFonts w:ascii="Simplified Arabic" w:hAnsi="Simplified Arabic"/>
          <w:color w:val="000000"/>
          <w:rtl/>
        </w:rPr>
        <w:t>.</w:t>
      </w:r>
      <w:r w:rsidRPr="00360BE8">
        <w:rPr>
          <w:rFonts w:cs="Times New Roman"/>
          <w:color w:val="000000"/>
          <w:spacing w:val="-6"/>
          <w:rtl/>
        </w:rPr>
        <w:t xml:space="preserve"> </w:t>
      </w:r>
    </w:p>
  </w:footnote>
  <w:footnote w:id="10">
    <w:p w14:paraId="15DCE7A8" w14:textId="2B4C2137" w:rsidR="00360BE8" w:rsidRPr="00B233BD" w:rsidRDefault="00360BE8" w:rsidP="00360BE8">
      <w:pPr>
        <w:pStyle w:val="FootnoteText1"/>
        <w:jc w:val="left"/>
        <w:textDirection w:val="tbRlV"/>
        <w:rPr>
          <w:rtl/>
          <w:lang w:eastAsia="zh-TW" w:bidi="en-GB"/>
        </w:rPr>
      </w:pPr>
      <w:r w:rsidRPr="00B233BD">
        <w:rPr>
          <w:rtl/>
        </w:rPr>
        <w:t>(</w:t>
      </w:r>
      <w:r w:rsidRPr="006A34DD">
        <w:rPr>
          <w:rStyle w:val="FootnoteReference"/>
          <w:vertAlign w:val="baseline"/>
        </w:rPr>
        <w:footnoteRef/>
      </w:r>
      <w:r w:rsidRPr="006A34DD">
        <w:rPr>
          <w:rStyle w:val="FootnoteReference"/>
          <w:vertAlign w:val="baseline"/>
          <w:rtl/>
        </w:rPr>
        <w:t>)</w:t>
      </w:r>
      <w:r w:rsidRPr="00B233BD">
        <w:rPr>
          <w:rtl/>
        </w:rPr>
        <w:tab/>
      </w:r>
      <w:hyperlink r:id="rId14" w:history="1">
        <w:r w:rsidRPr="00360BE8">
          <w:rPr>
            <w:rStyle w:val="Hyperlink"/>
            <w:lang w:val="en-AU"/>
          </w:rPr>
          <w:t>CRPD/C/JAM/CO/</w:t>
        </w:r>
        <w:r w:rsidRPr="006A34DD">
          <w:rPr>
            <w:rStyle w:val="Hyperlink"/>
            <w:lang w:val="en-AU"/>
          </w:rPr>
          <w:t>1</w:t>
        </w:r>
      </w:hyperlink>
      <w:r w:rsidRPr="00B233BD">
        <w:rPr>
          <w:rtl/>
        </w:rPr>
        <w:t xml:space="preserve"> و</w:t>
      </w:r>
      <w:hyperlink r:id="rId15" w:history="1">
        <w:r w:rsidRPr="00360BE8">
          <w:rPr>
            <w:rStyle w:val="Hyperlink"/>
            <w:lang w:val="en-AU"/>
          </w:rPr>
          <w:t>CRPD/C/CHE/CO/</w:t>
        </w:r>
        <w:r w:rsidRPr="006A34DD">
          <w:rPr>
            <w:rStyle w:val="Hyperlink"/>
            <w:lang w:val="en-AU"/>
          </w:rPr>
          <w:t>1</w:t>
        </w:r>
      </w:hyperlink>
      <w:r w:rsidRPr="00B233BD">
        <w:rPr>
          <w:rtl/>
        </w:rPr>
        <w:t xml:space="preserve"> و</w:t>
      </w:r>
      <w:hyperlink r:id="rId16" w:history="1">
        <w:r w:rsidRPr="00360BE8">
          <w:rPr>
            <w:rStyle w:val="Hyperlink"/>
            <w:lang w:val="en-AU"/>
          </w:rPr>
          <w:t>CRPD/C/VEN/CO/</w:t>
        </w:r>
        <w:r w:rsidRPr="006A34DD">
          <w:rPr>
            <w:rStyle w:val="Hyperlink"/>
            <w:lang w:val="en-AU"/>
          </w:rPr>
          <w:t>1</w:t>
        </w:r>
      </w:hyperlink>
      <w:r w:rsidRPr="00B233BD">
        <w:rPr>
          <w:rtl/>
        </w:rPr>
        <w:t xml:space="preserve"> و</w:t>
      </w:r>
      <w:hyperlink r:id="rId17" w:history="1">
        <w:r w:rsidRPr="00360BE8">
          <w:rPr>
            <w:rStyle w:val="Hyperlink"/>
            <w:lang w:val="en-AU"/>
          </w:rPr>
          <w:t>CRPD/C/HUN/CO/</w:t>
        </w:r>
        <w:r w:rsidRPr="006A34DD">
          <w:rPr>
            <w:rStyle w:val="Hyperlink"/>
            <w:lang w:val="en-AU"/>
          </w:rPr>
          <w:t>2</w:t>
        </w:r>
        <w:r w:rsidRPr="00360BE8">
          <w:rPr>
            <w:rStyle w:val="Hyperlink"/>
            <w:lang w:val="en-AU"/>
          </w:rPr>
          <w:t>-</w:t>
        </w:r>
        <w:r w:rsidRPr="006A34DD">
          <w:rPr>
            <w:rStyle w:val="Hyperlink"/>
            <w:lang w:val="en-AU"/>
          </w:rPr>
          <w:t>3</w:t>
        </w:r>
      </w:hyperlink>
      <w:r w:rsidRPr="00B233BD">
        <w:rPr>
          <w:rtl/>
        </w:rPr>
        <w:t xml:space="preserve"> و</w:t>
      </w:r>
      <w:hyperlink r:id="rId18" w:history="1">
        <w:r w:rsidRPr="00360BE8">
          <w:rPr>
            <w:rStyle w:val="Hyperlink"/>
            <w:lang w:val="en-AU"/>
          </w:rPr>
          <w:t>CRPD/C/MEX/CO/</w:t>
        </w:r>
        <w:r w:rsidRPr="006A34DD">
          <w:rPr>
            <w:rStyle w:val="Hyperlink"/>
            <w:lang w:val="en-AU"/>
          </w:rPr>
          <w:t>2</w:t>
        </w:r>
        <w:r w:rsidRPr="00360BE8">
          <w:rPr>
            <w:rStyle w:val="Hyperlink"/>
            <w:lang w:val="en-AU"/>
          </w:rPr>
          <w:t>-</w:t>
        </w:r>
        <w:r w:rsidRPr="006A34DD">
          <w:rPr>
            <w:rStyle w:val="Hyperlink"/>
            <w:lang w:val="en-AU"/>
          </w:rPr>
          <w:t>3</w:t>
        </w:r>
      </w:hyperlink>
      <w:r w:rsidRPr="00360BE8">
        <w:rPr>
          <w:rFonts w:ascii="Simplified Arabic" w:hAnsi="Simplified Arabic"/>
          <w:color w:val="000000"/>
          <w:rtl/>
        </w:rPr>
        <w:t>.</w:t>
      </w:r>
    </w:p>
  </w:footnote>
  <w:footnote w:id="11">
    <w:p w14:paraId="0186DA53" w14:textId="136F655C"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19" w:history="1">
        <w:r w:rsidRPr="00360BE8">
          <w:rPr>
            <w:rStyle w:val="Hyperlink"/>
            <w:lang w:val="en-AU"/>
          </w:rPr>
          <w:t>CRPD/C/EU/QPR/</w:t>
        </w:r>
        <w:r w:rsidRPr="006A34DD">
          <w:rPr>
            <w:rStyle w:val="Hyperlink"/>
            <w:lang w:val="en-AU"/>
          </w:rPr>
          <w:t>2</w:t>
        </w:r>
        <w:r w:rsidRPr="00360BE8">
          <w:rPr>
            <w:rStyle w:val="Hyperlink"/>
            <w:lang w:val="en-AU"/>
          </w:rPr>
          <w:t>-</w:t>
        </w:r>
        <w:r w:rsidRPr="006A34DD">
          <w:rPr>
            <w:rStyle w:val="Hyperlink"/>
            <w:lang w:val="en-AU"/>
          </w:rPr>
          <w:t>3</w:t>
        </w:r>
      </w:hyperlink>
      <w:r w:rsidRPr="00360BE8">
        <w:rPr>
          <w:rFonts w:ascii="Simplified Arabic" w:hAnsi="Simplified Arabic"/>
          <w:color w:val="000000"/>
          <w:rtl/>
        </w:rPr>
        <w:t>.</w:t>
      </w:r>
    </w:p>
  </w:footnote>
  <w:footnote w:id="12">
    <w:p w14:paraId="2A903651" w14:textId="61D13845"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20" w:history="1">
        <w:r w:rsidRPr="00360BE8">
          <w:rPr>
            <w:rStyle w:val="Hyperlink"/>
            <w:lang w:val="en-AU"/>
          </w:rPr>
          <w:t>CRPD/C/JAM/CO/</w:t>
        </w:r>
        <w:r w:rsidRPr="006A34DD">
          <w:rPr>
            <w:rStyle w:val="Hyperlink"/>
            <w:lang w:val="en-AU"/>
          </w:rPr>
          <w:t>1</w:t>
        </w:r>
      </w:hyperlink>
      <w:r w:rsidRPr="00147269">
        <w:rPr>
          <w:rtl/>
        </w:rPr>
        <w:t xml:space="preserve"> و</w:t>
      </w:r>
      <w:hyperlink r:id="rId21" w:history="1">
        <w:r w:rsidRPr="00360BE8">
          <w:rPr>
            <w:rStyle w:val="Hyperlink"/>
            <w:lang w:val="en-AU"/>
          </w:rPr>
          <w:t>CRPD/C/CHE/CO/</w:t>
        </w:r>
        <w:r w:rsidRPr="006A34DD">
          <w:rPr>
            <w:rStyle w:val="Hyperlink"/>
            <w:lang w:val="en-AU"/>
          </w:rPr>
          <w:t>1</w:t>
        </w:r>
      </w:hyperlink>
      <w:r w:rsidRPr="00147269">
        <w:rPr>
          <w:rtl/>
        </w:rPr>
        <w:t xml:space="preserve"> و</w:t>
      </w:r>
      <w:hyperlink r:id="rId22" w:history="1">
        <w:r w:rsidRPr="00360BE8">
          <w:rPr>
            <w:rStyle w:val="Hyperlink"/>
            <w:lang w:val="en-AU"/>
          </w:rPr>
          <w:t>CRPD/C/VEN/CO/</w:t>
        </w:r>
        <w:r w:rsidRPr="006A34DD">
          <w:rPr>
            <w:rStyle w:val="Hyperlink"/>
            <w:lang w:val="en-AU"/>
          </w:rPr>
          <w:t>1</w:t>
        </w:r>
      </w:hyperlink>
      <w:r w:rsidR="00FF5F85" w:rsidRPr="00360BE8">
        <w:rPr>
          <w:rFonts w:ascii="Simplified Arabic" w:hAnsi="Simplified Arabic"/>
          <w:color w:val="000000"/>
          <w:rtl/>
        </w:rPr>
        <w:t>.</w:t>
      </w:r>
    </w:p>
  </w:footnote>
  <w:footnote w:id="13">
    <w:p w14:paraId="4840C582" w14:textId="7403681C"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23" w:history="1">
        <w:r w:rsidRPr="00360BE8">
          <w:rPr>
            <w:rStyle w:val="Hyperlink"/>
            <w:lang w:val="en-AU"/>
          </w:rPr>
          <w:t>CRPD/C/HUN/CO/</w:t>
        </w:r>
        <w:r w:rsidRPr="006A34DD">
          <w:rPr>
            <w:rStyle w:val="Hyperlink"/>
            <w:lang w:val="en-AU"/>
          </w:rPr>
          <w:t>2</w:t>
        </w:r>
        <w:r w:rsidRPr="00360BE8">
          <w:rPr>
            <w:rStyle w:val="Hyperlink"/>
            <w:lang w:val="en-AU"/>
          </w:rPr>
          <w:t>-</w:t>
        </w:r>
        <w:r w:rsidRPr="006A34DD">
          <w:rPr>
            <w:rStyle w:val="Hyperlink"/>
            <w:lang w:val="en-AU"/>
          </w:rPr>
          <w:t>3</w:t>
        </w:r>
      </w:hyperlink>
      <w:r w:rsidRPr="00147269">
        <w:rPr>
          <w:rtl/>
        </w:rPr>
        <w:t xml:space="preserve"> و</w:t>
      </w:r>
      <w:hyperlink r:id="rId24" w:history="1">
        <w:r w:rsidRPr="00360BE8">
          <w:rPr>
            <w:rStyle w:val="Hyperlink"/>
            <w:lang w:val="en-AU"/>
          </w:rPr>
          <w:t>CRPD/C/MEX/CO/</w:t>
        </w:r>
        <w:r w:rsidRPr="006A34DD">
          <w:rPr>
            <w:rStyle w:val="Hyperlink"/>
            <w:lang w:val="en-AU"/>
          </w:rPr>
          <w:t>2</w:t>
        </w:r>
        <w:r w:rsidRPr="00360BE8">
          <w:rPr>
            <w:rStyle w:val="Hyperlink"/>
            <w:lang w:val="en-AU"/>
          </w:rPr>
          <w:t>-</w:t>
        </w:r>
        <w:r w:rsidRPr="006A34DD">
          <w:rPr>
            <w:rStyle w:val="Hyperlink"/>
            <w:lang w:val="en-AU"/>
          </w:rPr>
          <w:t>3</w:t>
        </w:r>
      </w:hyperlink>
      <w:r w:rsidR="00FF5F85" w:rsidRPr="00360BE8">
        <w:rPr>
          <w:rFonts w:ascii="Simplified Arabic" w:hAnsi="Simplified Arabic"/>
          <w:color w:val="000000"/>
          <w:rtl/>
        </w:rPr>
        <w:t>.</w:t>
      </w:r>
    </w:p>
  </w:footnote>
  <w:footnote w:id="14">
    <w:p w14:paraId="2D64743F" w14:textId="6F25D36C" w:rsidR="00360BE8" w:rsidRPr="00FF5F85" w:rsidRDefault="00360BE8" w:rsidP="00360BE8">
      <w:pPr>
        <w:pStyle w:val="FootnoteText1"/>
        <w:textDirection w:val="tbRlV"/>
        <w:rPr>
          <w:lang w:val="fr-CH"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r w:rsidR="00D53FA6">
        <w:fldChar w:fldCharType="begin"/>
      </w:r>
      <w:r w:rsidR="00D53FA6" w:rsidRPr="00A557F5">
        <w:rPr>
          <w:lang w:val="fr-CH"/>
        </w:rPr>
        <w:instrText xml:space="preserve"> HYPERLINK "https://undocs.org/ar/CRPD/C/EU/QPR/2-3" </w:instrText>
      </w:r>
      <w:r w:rsidR="00D53FA6">
        <w:fldChar w:fldCharType="separate"/>
      </w:r>
      <w:r w:rsidRPr="00360BE8">
        <w:rPr>
          <w:rStyle w:val="Hyperlink"/>
          <w:lang w:val="fr-CH"/>
        </w:rPr>
        <w:t>CRPD/C/EU/QPR/</w:t>
      </w:r>
      <w:r w:rsidRPr="006A34DD">
        <w:rPr>
          <w:rStyle w:val="Hyperlink"/>
          <w:lang w:val="fr-CH"/>
        </w:rPr>
        <w:t>2</w:t>
      </w:r>
      <w:r w:rsidRPr="00360BE8">
        <w:rPr>
          <w:rStyle w:val="Hyperlink"/>
          <w:lang w:val="fr-CH"/>
        </w:rPr>
        <w:t>-</w:t>
      </w:r>
      <w:r w:rsidRPr="006A34DD">
        <w:rPr>
          <w:rStyle w:val="Hyperlink"/>
          <w:lang w:val="fr-CH"/>
        </w:rPr>
        <w:t>3</w:t>
      </w:r>
      <w:r w:rsidR="00D53FA6">
        <w:rPr>
          <w:rStyle w:val="Hyperlink"/>
          <w:lang w:val="fr-CH"/>
        </w:rPr>
        <w:fldChar w:fldCharType="end"/>
      </w:r>
      <w:r w:rsidR="00FF5F85" w:rsidRPr="00360BE8">
        <w:rPr>
          <w:rFonts w:ascii="Simplified Arabic" w:hAnsi="Simplified Arabic"/>
          <w:color w:val="000000"/>
          <w:rtl/>
        </w:rPr>
        <w:t>.</w:t>
      </w:r>
    </w:p>
  </w:footnote>
  <w:footnote w:id="15">
    <w:p w14:paraId="29F64661" w14:textId="3069090A" w:rsidR="00360BE8" w:rsidRPr="00A557F5" w:rsidRDefault="00360BE8" w:rsidP="00360BE8">
      <w:pPr>
        <w:pStyle w:val="FootnoteText1"/>
        <w:textDirection w:val="tbRlV"/>
        <w:rPr>
          <w:lang w:val="fr-CH"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r w:rsidR="00D53FA6">
        <w:fldChar w:fldCharType="begin"/>
      </w:r>
      <w:r w:rsidR="00D53FA6" w:rsidRPr="00A557F5">
        <w:rPr>
          <w:lang w:val="fr-CH"/>
        </w:rPr>
        <w:instrText xml:space="preserve"> HYPERLINK "https://und</w:instrText>
      </w:r>
      <w:r w:rsidR="00D53FA6" w:rsidRPr="00A557F5">
        <w:rPr>
          <w:lang w:val="fr-CH"/>
        </w:rPr>
        <w:instrText xml:space="preserve">ocs.org/ar/CRPD/C/26/D/46/2018" </w:instrText>
      </w:r>
      <w:r w:rsidR="00D53FA6">
        <w:fldChar w:fldCharType="separate"/>
      </w:r>
      <w:r w:rsidRPr="00A557F5">
        <w:rPr>
          <w:rStyle w:val="Hyperlink"/>
          <w:lang w:val="fr-CH"/>
        </w:rPr>
        <w:t>CRPD/C/26/D/46/2018</w:t>
      </w:r>
      <w:r w:rsidR="00D53FA6">
        <w:rPr>
          <w:rStyle w:val="Hyperlink"/>
        </w:rPr>
        <w:fldChar w:fldCharType="end"/>
      </w:r>
      <w:r w:rsidR="00FF5F85" w:rsidRPr="00360BE8">
        <w:rPr>
          <w:rFonts w:ascii="Simplified Arabic" w:hAnsi="Simplified Arabic"/>
          <w:color w:val="000000"/>
          <w:rtl/>
        </w:rPr>
        <w:t>.</w:t>
      </w:r>
      <w:r w:rsidR="00FF5F85" w:rsidRPr="00A557F5">
        <w:rPr>
          <w:rFonts w:ascii="Simplified Arabic" w:hAnsi="Simplified Arabic"/>
          <w:color w:val="000000"/>
          <w:lang w:val="fr-CH"/>
        </w:rPr>
        <w:t xml:space="preserve"> </w:t>
      </w:r>
    </w:p>
  </w:footnote>
  <w:footnote w:id="16">
    <w:p w14:paraId="0D88F136" w14:textId="3D11C6D1" w:rsidR="00360BE8" w:rsidRPr="00B233BD" w:rsidRDefault="00360BE8" w:rsidP="00360BE8">
      <w:pPr>
        <w:pStyle w:val="FootnoteText1"/>
        <w:textDirection w:val="tbRlV"/>
        <w:rPr>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25"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48</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p>
  </w:footnote>
  <w:footnote w:id="17">
    <w:p w14:paraId="47E88F28" w14:textId="188CD67E" w:rsidR="00360BE8" w:rsidRPr="00B233BD" w:rsidRDefault="00360BE8" w:rsidP="00360BE8">
      <w:pPr>
        <w:pStyle w:val="FootnoteText1"/>
        <w:textDirection w:val="tbRlV"/>
        <w:rPr>
          <w:rtl/>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26"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50</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p>
  </w:footnote>
  <w:footnote w:id="18">
    <w:p w14:paraId="5F43BCFD" w14:textId="6D560ABF" w:rsidR="00360BE8" w:rsidRPr="00147269" w:rsidRDefault="00360BE8" w:rsidP="00360BE8">
      <w:pPr>
        <w:pStyle w:val="FootnoteText1"/>
        <w:textDirection w:val="tbRlV"/>
        <w:rPr>
          <w:rtl/>
          <w:lang w:eastAsia="zh-TW" w:bidi="en-GB"/>
        </w:rPr>
      </w:pPr>
      <w:r w:rsidRPr="006A34DD">
        <w:rPr>
          <w:rFonts w:hint="cs"/>
          <w:rtl/>
        </w:rPr>
        <w:t>(</w:t>
      </w:r>
      <w:r w:rsidRPr="006A34DD">
        <w:rPr>
          <w:rStyle w:val="FootnoteReference"/>
          <w:vertAlign w:val="baseline"/>
        </w:rPr>
        <w:footnoteRef/>
      </w:r>
      <w:r w:rsidRPr="006A34DD">
        <w:rPr>
          <w:rStyle w:val="FootnoteReference"/>
          <w:vertAlign w:val="baseline"/>
          <w:rtl/>
        </w:rPr>
        <w:t>)</w:t>
      </w:r>
      <w:r w:rsidRPr="00147269">
        <w:rPr>
          <w:rtl/>
        </w:rPr>
        <w:tab/>
      </w:r>
      <w:hyperlink r:id="rId27"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53</w:t>
        </w:r>
        <w:r w:rsidRPr="00360BE8">
          <w:rPr>
            <w:rStyle w:val="Hyperlink"/>
            <w:lang w:val="en-AU"/>
          </w:rPr>
          <w:t>/</w:t>
        </w:r>
        <w:r w:rsidRPr="006A34DD">
          <w:rPr>
            <w:rStyle w:val="Hyperlink"/>
            <w:lang w:val="en-AU"/>
          </w:rPr>
          <w:t>2018</w:t>
        </w:r>
      </w:hyperlink>
      <w:r w:rsidR="00FF5F85" w:rsidRPr="00360BE8">
        <w:rPr>
          <w:rFonts w:ascii="Simplified Arabic" w:hAnsi="Simplified Arabic"/>
          <w:color w:val="000000"/>
          <w:rtl/>
        </w:rPr>
        <w:t>.</w:t>
      </w:r>
    </w:p>
  </w:footnote>
  <w:footnote w:id="19">
    <w:p w14:paraId="035C0209" w14:textId="4F6A8861" w:rsidR="00360BE8" w:rsidRPr="00147269" w:rsidRDefault="00360BE8" w:rsidP="00360BE8">
      <w:pPr>
        <w:pStyle w:val="FootnoteText1"/>
        <w:textDirection w:val="tbRlV"/>
        <w:rPr>
          <w:rtl/>
          <w:lang w:eastAsia="zh-TW" w:bidi="en-GB"/>
        </w:rPr>
      </w:pPr>
      <w:r w:rsidRPr="00147269">
        <w:rPr>
          <w:rtl/>
        </w:rPr>
        <w:t>(</w:t>
      </w:r>
      <w:r w:rsidRPr="006A34DD">
        <w:rPr>
          <w:rStyle w:val="FootnoteReference"/>
          <w:vertAlign w:val="baseline"/>
        </w:rPr>
        <w:footnoteRef/>
      </w:r>
      <w:r w:rsidRPr="006A34DD">
        <w:rPr>
          <w:rStyle w:val="FootnoteReference"/>
          <w:vertAlign w:val="baseline"/>
          <w:rtl/>
        </w:rPr>
        <w:t>)</w:t>
      </w:r>
      <w:r w:rsidRPr="00147269">
        <w:rPr>
          <w:rtl/>
        </w:rPr>
        <w:tab/>
      </w:r>
      <w:hyperlink r:id="rId28" w:history="1">
        <w:r w:rsidRPr="00360BE8">
          <w:rPr>
            <w:rStyle w:val="Hyperlink"/>
            <w:lang w:val="en-AU"/>
          </w:rPr>
          <w:t>CRPD/C/</w:t>
        </w:r>
        <w:r w:rsidRPr="006A34DD">
          <w:rPr>
            <w:rStyle w:val="Hyperlink"/>
            <w:lang w:val="en-AU"/>
          </w:rPr>
          <w:t>26</w:t>
        </w:r>
        <w:r w:rsidRPr="00360BE8">
          <w:rPr>
            <w:rStyle w:val="Hyperlink"/>
            <w:lang w:val="en-AU"/>
          </w:rPr>
          <w:t>/D/</w:t>
        </w:r>
        <w:r w:rsidRPr="006A34DD">
          <w:rPr>
            <w:rStyle w:val="Hyperlink"/>
            <w:lang w:val="en-AU"/>
          </w:rPr>
          <w:t>79</w:t>
        </w:r>
        <w:r w:rsidRPr="00360BE8">
          <w:rPr>
            <w:rStyle w:val="Hyperlink"/>
            <w:lang w:val="en-AU"/>
          </w:rPr>
          <w:t>/</w:t>
        </w:r>
        <w:r w:rsidRPr="006A34DD">
          <w:rPr>
            <w:rStyle w:val="Hyperlink"/>
            <w:lang w:val="en-AU"/>
          </w:rPr>
          <w:t>2020</w:t>
        </w:r>
      </w:hyperlink>
      <w:r w:rsidR="00FF5F85" w:rsidRPr="00360BE8">
        <w:rPr>
          <w:rFonts w:ascii="Simplified Arabic" w:hAnsi="Simplified Arabic"/>
          <w:color w:val="00000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B3BA" w14:textId="52783AFD" w:rsidR="00A5587E" w:rsidRPr="00A5587E" w:rsidRDefault="00A5587E" w:rsidP="00A5587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53FA6">
      <w:t>CRPD/C/26/2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C7E4" w14:textId="4E67FC8F" w:rsidR="00A5587E" w:rsidRPr="00A5587E" w:rsidRDefault="00A5587E" w:rsidP="00A5587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53FA6">
      <w:t>CRPD/C/26/2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A10E" w14:textId="684C61DC" w:rsidR="00023C25" w:rsidRPr="00A5587E" w:rsidRDefault="00023C25" w:rsidP="00023C2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53FA6">
      <w:t>CRPD/C/26/2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4E"/>
    <w:rsid w:val="000076D5"/>
    <w:rsid w:val="000204DC"/>
    <w:rsid w:val="00023C25"/>
    <w:rsid w:val="00030D57"/>
    <w:rsid w:val="0003114E"/>
    <w:rsid w:val="00037ED2"/>
    <w:rsid w:val="00043663"/>
    <w:rsid w:val="000505CF"/>
    <w:rsid w:val="0008448B"/>
    <w:rsid w:val="000C1847"/>
    <w:rsid w:val="000C1AD0"/>
    <w:rsid w:val="000C3055"/>
    <w:rsid w:val="000D701C"/>
    <w:rsid w:val="000E2A71"/>
    <w:rsid w:val="00114439"/>
    <w:rsid w:val="0013096E"/>
    <w:rsid w:val="00147269"/>
    <w:rsid w:val="00160263"/>
    <w:rsid w:val="00181F96"/>
    <w:rsid w:val="00185BED"/>
    <w:rsid w:val="001867BF"/>
    <w:rsid w:val="001A1371"/>
    <w:rsid w:val="001B346A"/>
    <w:rsid w:val="001C6B44"/>
    <w:rsid w:val="001E1CAD"/>
    <w:rsid w:val="001E290D"/>
    <w:rsid w:val="001F201A"/>
    <w:rsid w:val="00214165"/>
    <w:rsid w:val="002144FA"/>
    <w:rsid w:val="0023469A"/>
    <w:rsid w:val="00241847"/>
    <w:rsid w:val="00243C8A"/>
    <w:rsid w:val="0026279F"/>
    <w:rsid w:val="00267A0E"/>
    <w:rsid w:val="002901D9"/>
    <w:rsid w:val="002976C2"/>
    <w:rsid w:val="002B4C32"/>
    <w:rsid w:val="00314136"/>
    <w:rsid w:val="0032278B"/>
    <w:rsid w:val="00324D52"/>
    <w:rsid w:val="003260FF"/>
    <w:rsid w:val="00343D95"/>
    <w:rsid w:val="00360BE8"/>
    <w:rsid w:val="00374341"/>
    <w:rsid w:val="00397C83"/>
    <w:rsid w:val="003D1062"/>
    <w:rsid w:val="003D5984"/>
    <w:rsid w:val="003D767A"/>
    <w:rsid w:val="00420D7B"/>
    <w:rsid w:val="00450B21"/>
    <w:rsid w:val="00453B63"/>
    <w:rsid w:val="00455780"/>
    <w:rsid w:val="00476CEF"/>
    <w:rsid w:val="0049167B"/>
    <w:rsid w:val="004B0A1C"/>
    <w:rsid w:val="004D298E"/>
    <w:rsid w:val="004E4D42"/>
    <w:rsid w:val="00517BC9"/>
    <w:rsid w:val="0054149D"/>
    <w:rsid w:val="0054472E"/>
    <w:rsid w:val="00551F9E"/>
    <w:rsid w:val="005662A9"/>
    <w:rsid w:val="005771AA"/>
    <w:rsid w:val="005827D4"/>
    <w:rsid w:val="0059622A"/>
    <w:rsid w:val="005C5878"/>
    <w:rsid w:val="005C7CEA"/>
    <w:rsid w:val="005D0103"/>
    <w:rsid w:val="005D3C0B"/>
    <w:rsid w:val="005E5217"/>
    <w:rsid w:val="005F0FA4"/>
    <w:rsid w:val="005F30EE"/>
    <w:rsid w:val="00600888"/>
    <w:rsid w:val="0060473A"/>
    <w:rsid w:val="00606EDF"/>
    <w:rsid w:val="00614B4E"/>
    <w:rsid w:val="006163CA"/>
    <w:rsid w:val="00656392"/>
    <w:rsid w:val="0068781D"/>
    <w:rsid w:val="006959B0"/>
    <w:rsid w:val="006A34DD"/>
    <w:rsid w:val="006A5EE7"/>
    <w:rsid w:val="006B3E27"/>
    <w:rsid w:val="006B53DE"/>
    <w:rsid w:val="006B6507"/>
    <w:rsid w:val="006C104C"/>
    <w:rsid w:val="006F30EE"/>
    <w:rsid w:val="00702272"/>
    <w:rsid w:val="00726F9E"/>
    <w:rsid w:val="00733704"/>
    <w:rsid w:val="007541BA"/>
    <w:rsid w:val="00762BFA"/>
    <w:rsid w:val="00770CD9"/>
    <w:rsid w:val="00780362"/>
    <w:rsid w:val="0078071A"/>
    <w:rsid w:val="007E3F4E"/>
    <w:rsid w:val="007F6A02"/>
    <w:rsid w:val="00801A14"/>
    <w:rsid w:val="00803632"/>
    <w:rsid w:val="00850B8E"/>
    <w:rsid w:val="00852A9A"/>
    <w:rsid w:val="00880527"/>
    <w:rsid w:val="008F49E1"/>
    <w:rsid w:val="0090370F"/>
    <w:rsid w:val="00911B4A"/>
    <w:rsid w:val="009269D2"/>
    <w:rsid w:val="00941975"/>
    <w:rsid w:val="00942135"/>
    <w:rsid w:val="009521B0"/>
    <w:rsid w:val="009A38D9"/>
    <w:rsid w:val="009A7E9F"/>
    <w:rsid w:val="009E5018"/>
    <w:rsid w:val="009F15BC"/>
    <w:rsid w:val="00A004BA"/>
    <w:rsid w:val="00A12B37"/>
    <w:rsid w:val="00A13D0C"/>
    <w:rsid w:val="00A32291"/>
    <w:rsid w:val="00A50EC0"/>
    <w:rsid w:val="00A54442"/>
    <w:rsid w:val="00A557F5"/>
    <w:rsid w:val="00A5587E"/>
    <w:rsid w:val="00AA3959"/>
    <w:rsid w:val="00AB0F58"/>
    <w:rsid w:val="00AB6758"/>
    <w:rsid w:val="00B13763"/>
    <w:rsid w:val="00B233BD"/>
    <w:rsid w:val="00B44067"/>
    <w:rsid w:val="00B45F89"/>
    <w:rsid w:val="00B477A4"/>
    <w:rsid w:val="00B54045"/>
    <w:rsid w:val="00B72357"/>
    <w:rsid w:val="00B74F82"/>
    <w:rsid w:val="00BC4823"/>
    <w:rsid w:val="00BF23DF"/>
    <w:rsid w:val="00C04E25"/>
    <w:rsid w:val="00C438D7"/>
    <w:rsid w:val="00C53FE8"/>
    <w:rsid w:val="00C81B50"/>
    <w:rsid w:val="00CC5607"/>
    <w:rsid w:val="00CD1801"/>
    <w:rsid w:val="00D077A7"/>
    <w:rsid w:val="00D10EF1"/>
    <w:rsid w:val="00D42810"/>
    <w:rsid w:val="00D53FA6"/>
    <w:rsid w:val="00D914A7"/>
    <w:rsid w:val="00DC39C9"/>
    <w:rsid w:val="00DD13C3"/>
    <w:rsid w:val="00DD596E"/>
    <w:rsid w:val="00DD621E"/>
    <w:rsid w:val="00DD74C6"/>
    <w:rsid w:val="00DF0575"/>
    <w:rsid w:val="00E4017E"/>
    <w:rsid w:val="00E64BE8"/>
    <w:rsid w:val="00E70E04"/>
    <w:rsid w:val="00EC05A7"/>
    <w:rsid w:val="00EC4B6B"/>
    <w:rsid w:val="00ED7442"/>
    <w:rsid w:val="00EF1EE5"/>
    <w:rsid w:val="00F14A81"/>
    <w:rsid w:val="00F5023D"/>
    <w:rsid w:val="00F763B4"/>
    <w:rsid w:val="00F81F7B"/>
    <w:rsid w:val="00F900C3"/>
    <w:rsid w:val="00FC57B0"/>
    <w:rsid w:val="00FD3EB5"/>
    <w:rsid w:val="00FF2AB2"/>
    <w:rsid w:val="00FF4EB4"/>
    <w:rsid w:val="00FF5F85"/>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CE9709"/>
  <w15:docId w15:val="{20F6216D-7107-44A7-8EBE-21C31A7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BC"/>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F15BC"/>
    <w:pPr>
      <w:bidi w:val="0"/>
      <w:outlineLvl w:val="0"/>
    </w:pPr>
  </w:style>
  <w:style w:type="paragraph" w:styleId="Heading2">
    <w:name w:val="heading 2"/>
    <w:basedOn w:val="Normal"/>
    <w:next w:val="Normal"/>
    <w:link w:val="Heading2Char"/>
    <w:uiPriority w:val="9"/>
    <w:unhideWhenUsed/>
    <w:rsid w:val="009F15B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F15B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F15B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F15BC"/>
    <w:pPr>
      <w:keepNext/>
      <w:keepLines/>
      <w:spacing w:before="200"/>
      <w:outlineLvl w:val="4"/>
    </w:pPr>
    <w:rPr>
      <w:color w:val="243F60"/>
    </w:rPr>
  </w:style>
  <w:style w:type="paragraph" w:styleId="Heading6">
    <w:name w:val="heading 6"/>
    <w:basedOn w:val="Normal"/>
    <w:next w:val="Normal"/>
    <w:link w:val="Heading6Char"/>
    <w:uiPriority w:val="9"/>
    <w:unhideWhenUsed/>
    <w:rsid w:val="009F15B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F15B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F15B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F15B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F15B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F15BC"/>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9F15BC"/>
    <w:rPr>
      <w:szCs w:val="18"/>
      <w:vertAlign w:val="superscript"/>
    </w:rPr>
  </w:style>
  <w:style w:type="paragraph" w:customStyle="1" w:styleId="HMGA">
    <w:name w:val="_ H __M_GA"/>
    <w:basedOn w:val="Normal"/>
    <w:next w:val="SingleTxtGA"/>
    <w:qFormat/>
    <w:rsid w:val="009F15B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F15B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F15B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F15B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F15B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F15B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F15B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F15B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F15B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F15B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F15B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F15B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F15B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F15BC"/>
    <w:pPr>
      <w:numPr>
        <w:numId w:val="5"/>
      </w:numPr>
      <w:bidi w:val="0"/>
    </w:pPr>
    <w:rPr>
      <w:lang w:val="en-US"/>
    </w:rPr>
  </w:style>
  <w:style w:type="paragraph" w:customStyle="1" w:styleId="Roman1GA">
    <w:name w:val="_Roman 1_GA"/>
    <w:basedOn w:val="Bullet1GA"/>
    <w:qFormat/>
    <w:rsid w:val="009F15BC"/>
    <w:pPr>
      <w:numPr>
        <w:numId w:val="6"/>
      </w:numPr>
      <w:tabs>
        <w:tab w:val="clear" w:pos="2310"/>
        <w:tab w:val="left" w:pos="2486"/>
      </w:tabs>
      <w:ind w:left="2486" w:hanging="378"/>
    </w:pPr>
  </w:style>
  <w:style w:type="paragraph" w:customStyle="1" w:styleId="Roman2GA">
    <w:name w:val="_Roman 2_GA"/>
    <w:basedOn w:val="Bullet2GA"/>
    <w:qFormat/>
    <w:rsid w:val="009F15B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F15B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F15BC"/>
    <w:rPr>
      <w:rFonts w:ascii="Times New Roman" w:eastAsia="PMingLiU" w:hAnsi="Times New Roman" w:cs="Simplified Arabic"/>
      <w:sz w:val="18"/>
      <w:szCs w:val="20"/>
      <w:lang w:val="en-GB"/>
    </w:rPr>
  </w:style>
  <w:style w:type="character" w:customStyle="1" w:styleId="EndtnoteReference">
    <w:name w:val="Endtnote Reference"/>
    <w:aliases w:val="1_GA"/>
    <w:qFormat/>
    <w:rsid w:val="009F15B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9F15BC"/>
    <w:pPr>
      <w:suppressAutoHyphens/>
      <w:bidi w:val="0"/>
      <w:spacing w:line="240" w:lineRule="auto"/>
    </w:pPr>
    <w:rPr>
      <w:sz w:val="16"/>
      <w:lang w:val="en-GB"/>
    </w:rPr>
  </w:style>
  <w:style w:type="character" w:customStyle="1" w:styleId="FooterChar">
    <w:name w:val="Footer Char"/>
    <w:aliases w:val="3_GA Char,3_G Char"/>
    <w:link w:val="Footer"/>
    <w:uiPriority w:val="99"/>
    <w:rsid w:val="009F15BC"/>
    <w:rPr>
      <w:rFonts w:ascii="Times New Roman" w:eastAsia="PMingLiU" w:hAnsi="Times New Roman" w:cs="Simplified Arabic"/>
      <w:sz w:val="16"/>
      <w:lang w:val="en-GB"/>
    </w:rPr>
  </w:style>
  <w:style w:type="paragraph" w:customStyle="1" w:styleId="FootnoteText1">
    <w:name w:val="Footnote Text1"/>
    <w:aliases w:val="5_GA"/>
    <w:basedOn w:val="Normal"/>
    <w:qFormat/>
    <w:rsid w:val="009F15BC"/>
    <w:pPr>
      <w:spacing w:after="60" w:line="280" w:lineRule="exact"/>
      <w:ind w:left="1247" w:right="1247" w:hanging="567"/>
    </w:pPr>
    <w:rPr>
      <w:sz w:val="18"/>
      <w:szCs w:val="18"/>
    </w:rPr>
  </w:style>
  <w:style w:type="paragraph" w:styleId="Header">
    <w:name w:val="header"/>
    <w:aliases w:val="6_GA,6_G"/>
    <w:basedOn w:val="Normal"/>
    <w:link w:val="HeaderChar"/>
    <w:qFormat/>
    <w:rsid w:val="009F15BC"/>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9F15BC"/>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F15BC"/>
    <w:rPr>
      <w:rFonts w:ascii="Times New Roman" w:eastAsia="PMingLiU" w:hAnsi="Times New Roman" w:cs="Simplified Arabic"/>
      <w:lang w:val="en-GB"/>
    </w:rPr>
  </w:style>
  <w:style w:type="character" w:styleId="PageNumber">
    <w:name w:val="page number"/>
    <w:aliases w:val="7_GA,7_G"/>
    <w:qFormat/>
    <w:rsid w:val="009F15BC"/>
    <w:rPr>
      <w:rFonts w:ascii="Times New Roman Bold" w:hAnsi="Times New Roman Bold"/>
      <w:b/>
      <w:i w:val="0"/>
      <w:sz w:val="18"/>
      <w:szCs w:val="18"/>
    </w:rPr>
  </w:style>
  <w:style w:type="paragraph" w:customStyle="1" w:styleId="XXLargeGA">
    <w:name w:val="XXLarge_GA"/>
    <w:basedOn w:val="Normal"/>
    <w:next w:val="SingleTxtGA"/>
    <w:qFormat/>
    <w:rsid w:val="009F15BC"/>
    <w:pPr>
      <w:suppressAutoHyphens/>
      <w:spacing w:line="820" w:lineRule="exact"/>
    </w:pPr>
    <w:rPr>
      <w:spacing w:val="-8"/>
      <w:w w:val="96"/>
      <w:sz w:val="57"/>
      <w:szCs w:val="86"/>
      <w:lang w:val="en-GB"/>
    </w:rPr>
  </w:style>
  <w:style w:type="character" w:customStyle="1" w:styleId="Heading2Char">
    <w:name w:val="Heading 2 Char"/>
    <w:link w:val="Heading2"/>
    <w:uiPriority w:val="9"/>
    <w:rsid w:val="009F15BC"/>
    <w:rPr>
      <w:rFonts w:ascii="Times New Roman" w:eastAsia="PMingLiU" w:hAnsi="Times New Roman" w:cs="Simplified Arabic"/>
      <w:b/>
      <w:bCs/>
      <w:color w:val="4F81BD"/>
      <w:sz w:val="26"/>
      <w:szCs w:val="26"/>
    </w:rPr>
  </w:style>
  <w:style w:type="character" w:styleId="BookTitle">
    <w:name w:val="Book Title"/>
    <w:uiPriority w:val="33"/>
    <w:rsid w:val="009F15BC"/>
    <w:rPr>
      <w:b/>
      <w:bCs/>
      <w:smallCaps/>
      <w:spacing w:val="5"/>
    </w:rPr>
  </w:style>
  <w:style w:type="character" w:customStyle="1" w:styleId="Heading3Char">
    <w:name w:val="Heading 3 Char"/>
    <w:link w:val="Heading3"/>
    <w:uiPriority w:val="9"/>
    <w:rsid w:val="009F15BC"/>
    <w:rPr>
      <w:rFonts w:ascii="Times New Roman" w:eastAsia="PMingLiU" w:hAnsi="Times New Roman" w:cs="Simplified Arabic"/>
      <w:b/>
      <w:bCs/>
      <w:color w:val="4F81BD"/>
      <w:sz w:val="20"/>
    </w:rPr>
  </w:style>
  <w:style w:type="character" w:customStyle="1" w:styleId="Heading4Char">
    <w:name w:val="Heading 4 Char"/>
    <w:link w:val="Heading4"/>
    <w:uiPriority w:val="9"/>
    <w:rsid w:val="009F15BC"/>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F15BC"/>
    <w:rPr>
      <w:rFonts w:ascii="Times New Roman" w:eastAsia="PMingLiU" w:hAnsi="Times New Roman" w:cs="Simplified Arabic"/>
      <w:color w:val="243F60"/>
      <w:sz w:val="20"/>
    </w:rPr>
  </w:style>
  <w:style w:type="character" w:customStyle="1" w:styleId="Heading6Char">
    <w:name w:val="Heading 6 Char"/>
    <w:link w:val="Heading6"/>
    <w:uiPriority w:val="9"/>
    <w:rsid w:val="009F15BC"/>
    <w:rPr>
      <w:rFonts w:ascii="Times New Roman" w:eastAsia="PMingLiU" w:hAnsi="Times New Roman" w:cs="Simplified Arabic"/>
      <w:i/>
      <w:iCs/>
      <w:color w:val="243F60"/>
      <w:sz w:val="20"/>
    </w:rPr>
  </w:style>
  <w:style w:type="character" w:customStyle="1" w:styleId="Heading7Char">
    <w:name w:val="Heading 7 Char"/>
    <w:link w:val="Heading7"/>
    <w:uiPriority w:val="9"/>
    <w:rsid w:val="009F15BC"/>
    <w:rPr>
      <w:rFonts w:ascii="Times New Roman" w:eastAsia="PMingLiU" w:hAnsi="Times New Roman" w:cs="Simplified Arabic"/>
      <w:i/>
      <w:iCs/>
      <w:color w:val="404040"/>
      <w:sz w:val="20"/>
    </w:rPr>
  </w:style>
  <w:style w:type="character" w:customStyle="1" w:styleId="Heading8Char">
    <w:name w:val="Heading 8 Char"/>
    <w:link w:val="Heading8"/>
    <w:uiPriority w:val="9"/>
    <w:rsid w:val="009F15BC"/>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F15BC"/>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F15B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F15BC"/>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F15BC"/>
    <w:pPr>
      <w:numPr>
        <w:ilvl w:val="1"/>
      </w:numPr>
    </w:pPr>
    <w:rPr>
      <w:i/>
      <w:iCs/>
      <w:color w:val="4F81BD"/>
      <w:spacing w:val="15"/>
      <w:sz w:val="24"/>
      <w:szCs w:val="24"/>
    </w:rPr>
  </w:style>
  <w:style w:type="character" w:customStyle="1" w:styleId="SubtitleChar">
    <w:name w:val="Subtitle Char"/>
    <w:link w:val="Subtitle"/>
    <w:uiPriority w:val="11"/>
    <w:rsid w:val="009F15BC"/>
    <w:rPr>
      <w:rFonts w:ascii="Times New Roman" w:eastAsia="PMingLiU" w:hAnsi="Times New Roman" w:cs="Simplified Arabic"/>
      <w:i/>
      <w:iCs/>
      <w:color w:val="4F81BD"/>
      <w:spacing w:val="15"/>
      <w:sz w:val="24"/>
      <w:szCs w:val="24"/>
    </w:rPr>
  </w:style>
  <w:style w:type="character" w:styleId="SubtleEmphasis">
    <w:name w:val="Subtle Emphasis"/>
    <w:uiPriority w:val="19"/>
    <w:rsid w:val="009F15BC"/>
    <w:rPr>
      <w:i/>
      <w:iCs/>
      <w:color w:val="808080"/>
    </w:rPr>
  </w:style>
  <w:style w:type="table" w:styleId="ColorfulGrid-Accent6">
    <w:name w:val="Colorful Grid Accent 6"/>
    <w:basedOn w:val="TableNormal"/>
    <w:uiPriority w:val="73"/>
    <w:rsid w:val="009F15BC"/>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F15BC"/>
    <w:rPr>
      <w:i/>
      <w:iCs/>
    </w:rPr>
  </w:style>
  <w:style w:type="character" w:styleId="IntenseEmphasis">
    <w:name w:val="Intense Emphasis"/>
    <w:uiPriority w:val="21"/>
    <w:rsid w:val="009F15BC"/>
    <w:rPr>
      <w:b/>
      <w:bCs/>
      <w:i/>
      <w:iCs/>
      <w:color w:val="4F81BD"/>
    </w:rPr>
  </w:style>
  <w:style w:type="character" w:styleId="Strong">
    <w:name w:val="Strong"/>
    <w:uiPriority w:val="22"/>
    <w:rsid w:val="009F15BC"/>
    <w:rPr>
      <w:b/>
      <w:bCs/>
    </w:rPr>
  </w:style>
  <w:style w:type="paragraph" w:styleId="Quote">
    <w:name w:val="Quote"/>
    <w:basedOn w:val="Normal"/>
    <w:next w:val="Normal"/>
    <w:link w:val="QuoteChar"/>
    <w:uiPriority w:val="29"/>
    <w:rsid w:val="009F15BC"/>
    <w:rPr>
      <w:i/>
      <w:iCs/>
      <w:color w:val="000000"/>
    </w:rPr>
  </w:style>
  <w:style w:type="character" w:customStyle="1" w:styleId="QuoteChar">
    <w:name w:val="Quote Char"/>
    <w:link w:val="Quote"/>
    <w:uiPriority w:val="29"/>
    <w:rsid w:val="009F15BC"/>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F15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F15BC"/>
    <w:rPr>
      <w:rFonts w:ascii="Times New Roman" w:eastAsia="PMingLiU" w:hAnsi="Times New Roman" w:cs="Simplified Arabic"/>
      <w:b/>
      <w:bCs/>
      <w:i/>
      <w:iCs/>
      <w:color w:val="4F81BD"/>
      <w:sz w:val="20"/>
    </w:rPr>
  </w:style>
  <w:style w:type="character" w:styleId="SubtleReference">
    <w:name w:val="Subtle Reference"/>
    <w:uiPriority w:val="31"/>
    <w:rsid w:val="009F15BC"/>
    <w:rPr>
      <w:smallCaps/>
      <w:color w:val="C0504D"/>
      <w:u w:val="single"/>
    </w:rPr>
  </w:style>
  <w:style w:type="character" w:styleId="IntenseReference">
    <w:name w:val="Intense Reference"/>
    <w:uiPriority w:val="32"/>
    <w:rsid w:val="009F15BC"/>
    <w:rPr>
      <w:b/>
      <w:bCs/>
      <w:smallCaps/>
      <w:color w:val="C0504D"/>
      <w:spacing w:val="5"/>
      <w:u w:val="single"/>
    </w:rPr>
  </w:style>
  <w:style w:type="paragraph" w:styleId="ListParagraph">
    <w:name w:val="List Paragraph"/>
    <w:basedOn w:val="Normal"/>
    <w:uiPriority w:val="34"/>
    <w:rsid w:val="009F15BC"/>
    <w:pPr>
      <w:ind w:left="720"/>
      <w:contextualSpacing/>
    </w:pPr>
  </w:style>
  <w:style w:type="table" w:styleId="MediumShading1-Accent4">
    <w:name w:val="Medium Shading 1 Accent 4"/>
    <w:basedOn w:val="TableNormal"/>
    <w:uiPriority w:val="63"/>
    <w:rsid w:val="009F15BC"/>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F15BC"/>
    <w:rPr>
      <w:rFonts w:eastAsia="MS Mincho"/>
      <w:sz w:val="18"/>
      <w:vertAlign w:val="superscript"/>
    </w:rPr>
  </w:style>
  <w:style w:type="table" w:styleId="TableGrid">
    <w:name w:val="Table Grid"/>
    <w:basedOn w:val="TableNormal"/>
    <w:rsid w:val="009F15BC"/>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BC"/>
    <w:pPr>
      <w:spacing w:line="240" w:lineRule="auto"/>
    </w:pPr>
    <w:rPr>
      <w:sz w:val="16"/>
      <w:szCs w:val="16"/>
    </w:rPr>
  </w:style>
  <w:style w:type="character" w:customStyle="1" w:styleId="BalloonTextChar">
    <w:name w:val="Balloon Text Char"/>
    <w:link w:val="BalloonText"/>
    <w:uiPriority w:val="99"/>
    <w:semiHidden/>
    <w:rsid w:val="009F15BC"/>
    <w:rPr>
      <w:rFonts w:ascii="Times New Roman" w:eastAsia="PMingLiU" w:hAnsi="Times New Roman" w:cs="Simplified Arabic"/>
      <w:sz w:val="16"/>
      <w:szCs w:val="16"/>
    </w:rPr>
  </w:style>
  <w:style w:type="character" w:styleId="Hyperlink">
    <w:name w:val="Hyperlink"/>
    <w:uiPriority w:val="99"/>
    <w:unhideWhenUsed/>
    <w:rsid w:val="009F15BC"/>
    <w:rPr>
      <w:color w:val="0000FF"/>
      <w:u w:val="none"/>
    </w:rPr>
  </w:style>
  <w:style w:type="paragraph" w:styleId="TOC1">
    <w:name w:val="toc 1"/>
    <w:basedOn w:val="Normal"/>
    <w:link w:val="TOC1Char"/>
    <w:autoRedefine/>
    <w:uiPriority w:val="39"/>
    <w:unhideWhenUsed/>
    <w:rsid w:val="009F15B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F15B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F15B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F15BC"/>
    <w:rPr>
      <w:rFonts w:eastAsia="DengXian"/>
      <w:color w:val="auto"/>
      <w:sz w:val="20"/>
      <w:szCs w:val="20"/>
      <w:u w:val="none"/>
      <w:lang w:eastAsia="zh-CN" w:bidi="ar-EG"/>
    </w:rPr>
  </w:style>
  <w:style w:type="paragraph" w:styleId="TOC4">
    <w:name w:val="toc 4"/>
    <w:basedOn w:val="Normal"/>
    <w:link w:val="TOC4Char"/>
    <w:autoRedefine/>
    <w:uiPriority w:val="39"/>
    <w:unhideWhenUsed/>
    <w:rsid w:val="009F15B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F15B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F15B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F15B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F15B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F15BC"/>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F15BC"/>
    <w:rPr>
      <w:color w:val="605E5C"/>
      <w:shd w:val="clear" w:color="auto" w:fill="E1DFDD"/>
    </w:rPr>
  </w:style>
  <w:style w:type="character" w:customStyle="1" w:styleId="TOC1Char">
    <w:name w:val="TOC 1 Char"/>
    <w:basedOn w:val="DefaultParagraphFont"/>
    <w:link w:val="TOC1"/>
    <w:uiPriority w:val="39"/>
    <w:rsid w:val="009F15BC"/>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F15BC"/>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F15BC"/>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F15BC"/>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F15BC"/>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F15BC"/>
    <w:rPr>
      <w:rFonts w:ascii="Times New Roman" w:eastAsia="PMingLiU" w:hAnsi="Times New Roman" w:cs="Simplified Arabic"/>
      <w:sz w:val="20"/>
      <w:szCs w:val="20"/>
      <w:lang w:val="en-GB"/>
    </w:rPr>
  </w:style>
  <w:style w:type="paragraph" w:customStyle="1" w:styleId="SessionDate">
    <w:name w:val="Session_Date"/>
    <w:basedOn w:val="Normal"/>
    <w:qFormat/>
    <w:rsid w:val="009F15BC"/>
    <w:pPr>
      <w:spacing w:before="240" w:after="240" w:line="460" w:lineRule="exact"/>
      <w:ind w:left="1247"/>
    </w:pPr>
    <w:rPr>
      <w:b/>
      <w:bCs/>
      <w:sz w:val="32"/>
      <w:szCs w:val="44"/>
    </w:rPr>
  </w:style>
  <w:style w:type="paragraph" w:customStyle="1" w:styleId="SessionNumber">
    <w:name w:val="Session_Number"/>
    <w:basedOn w:val="Normal"/>
    <w:qFormat/>
    <w:rsid w:val="009F15BC"/>
    <w:pPr>
      <w:spacing w:line="480" w:lineRule="exact"/>
      <w:ind w:left="1247"/>
    </w:pPr>
    <w:rPr>
      <w:b/>
      <w:bCs/>
      <w:sz w:val="28"/>
      <w:szCs w:val="38"/>
    </w:rPr>
  </w:style>
  <w:style w:type="paragraph" w:customStyle="1" w:styleId="CityandYear">
    <w:name w:val="City and Year"/>
    <w:basedOn w:val="SingleTxtGA"/>
    <w:qFormat/>
    <w:rsid w:val="009F15BC"/>
    <w:pPr>
      <w:spacing w:line="480" w:lineRule="exact"/>
    </w:pPr>
    <w:rPr>
      <w:b/>
      <w:bCs/>
      <w:sz w:val="30"/>
      <w:szCs w:val="38"/>
      <w:lang w:eastAsia="ar-SA"/>
    </w:rPr>
  </w:style>
  <w:style w:type="paragraph" w:customStyle="1" w:styleId="NormalA">
    <w:name w:val="Normal_A"/>
    <w:basedOn w:val="Normal"/>
    <w:qFormat/>
    <w:rsid w:val="009F15BC"/>
  </w:style>
  <w:style w:type="paragraph" w:customStyle="1" w:styleId="H1G">
    <w:name w:val="_ H_1_G"/>
    <w:basedOn w:val="Normal"/>
    <w:next w:val="Normal"/>
    <w:qFormat/>
    <w:rsid w:val="009F15B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F15BC"/>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F15B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F15B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F15B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F15B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F15BC"/>
    <w:rPr>
      <w:sz w:val="44"/>
      <w:szCs w:val="44"/>
      <w:lang w:val="en-US" w:bidi="ar-DZ"/>
    </w:rPr>
  </w:style>
  <w:style w:type="paragraph" w:customStyle="1" w:styleId="FootnoteGA0">
    <w:name w:val="Footnote_GA"/>
    <w:basedOn w:val="Normal"/>
    <w:qFormat/>
    <w:rsid w:val="009F15B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F15B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F15BC"/>
    <w:pPr>
      <w:spacing w:line="440" w:lineRule="exact"/>
    </w:pPr>
    <w:rPr>
      <w:spacing w:val="-2"/>
      <w:sz w:val="28"/>
      <w:szCs w:val="36"/>
    </w:rPr>
  </w:style>
  <w:style w:type="character" w:styleId="CommentReference">
    <w:name w:val="annotation reference"/>
    <w:uiPriority w:val="99"/>
    <w:semiHidden/>
    <w:rsid w:val="009F15BC"/>
    <w:rPr>
      <w:sz w:val="6"/>
      <w:szCs w:val="9"/>
    </w:rPr>
  </w:style>
  <w:style w:type="paragraph" w:customStyle="1" w:styleId="HM">
    <w:name w:val="_ H __M"/>
    <w:basedOn w:val="HCh"/>
    <w:next w:val="Normal"/>
    <w:qFormat/>
    <w:rsid w:val="009F15BC"/>
    <w:pPr>
      <w:suppressAutoHyphens/>
      <w:spacing w:line="520" w:lineRule="exact"/>
    </w:pPr>
    <w:rPr>
      <w:spacing w:val="-3"/>
      <w:sz w:val="34"/>
      <w:szCs w:val="48"/>
    </w:rPr>
  </w:style>
  <w:style w:type="paragraph" w:customStyle="1" w:styleId="SingleTxt">
    <w:name w:val="__Single Txt"/>
    <w:basedOn w:val="Normal"/>
    <w:qFormat/>
    <w:rsid w:val="009F15B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F15BC"/>
    <w:pPr>
      <w:suppressAutoHyphens/>
      <w:spacing w:line="360" w:lineRule="exact"/>
      <w:outlineLvl w:val="1"/>
    </w:pPr>
    <w:rPr>
      <w:spacing w:val="2"/>
      <w:sz w:val="20"/>
      <w:szCs w:val="28"/>
    </w:rPr>
  </w:style>
  <w:style w:type="paragraph" w:customStyle="1" w:styleId="H4">
    <w:name w:val="_ H_4"/>
    <w:basedOn w:val="Normal"/>
    <w:next w:val="Normal"/>
    <w:qFormat/>
    <w:rsid w:val="009F15BC"/>
    <w:pPr>
      <w:keepNext/>
      <w:keepLines/>
      <w:spacing w:after="120" w:line="360" w:lineRule="exact"/>
      <w:outlineLvl w:val="3"/>
    </w:pPr>
    <w:rPr>
      <w:i/>
      <w:iCs/>
      <w:kern w:val="14"/>
      <w:szCs w:val="28"/>
    </w:rPr>
  </w:style>
  <w:style w:type="paragraph" w:customStyle="1" w:styleId="H56">
    <w:name w:val="_ H_5/6"/>
    <w:basedOn w:val="Normal"/>
    <w:next w:val="Normal"/>
    <w:qFormat/>
    <w:rsid w:val="009F15BC"/>
    <w:pPr>
      <w:keepNext/>
      <w:keepLines/>
      <w:spacing w:after="120" w:line="360" w:lineRule="exact"/>
      <w:outlineLvl w:val="4"/>
    </w:pPr>
    <w:rPr>
      <w:kern w:val="14"/>
      <w:szCs w:val="28"/>
    </w:rPr>
  </w:style>
  <w:style w:type="paragraph" w:customStyle="1" w:styleId="DualTxt">
    <w:name w:val="__Dual Txt"/>
    <w:basedOn w:val="Normal"/>
    <w:qFormat/>
    <w:rsid w:val="009F15B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F15B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F15B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F15BC"/>
    <w:pPr>
      <w:spacing w:after="120" w:line="440" w:lineRule="exact"/>
      <w:jc w:val="center"/>
    </w:pPr>
    <w:rPr>
      <w:b/>
      <w:bCs/>
      <w:sz w:val="25"/>
      <w:szCs w:val="38"/>
    </w:rPr>
  </w:style>
  <w:style w:type="paragraph" w:customStyle="1" w:styleId="JH1">
    <w:name w:val="J_H_1"/>
    <w:basedOn w:val="JCH"/>
    <w:qFormat/>
    <w:rsid w:val="009F15BC"/>
    <w:pPr>
      <w:spacing w:line="420" w:lineRule="exact"/>
    </w:pPr>
    <w:rPr>
      <w:sz w:val="23"/>
      <w:szCs w:val="34"/>
    </w:rPr>
  </w:style>
  <w:style w:type="paragraph" w:customStyle="1" w:styleId="JH2">
    <w:name w:val="J_H_2"/>
    <w:basedOn w:val="JH1"/>
    <w:qFormat/>
    <w:rsid w:val="009F15BC"/>
    <w:pPr>
      <w:spacing w:line="400" w:lineRule="exact"/>
    </w:pPr>
    <w:rPr>
      <w:sz w:val="20"/>
      <w:szCs w:val="30"/>
    </w:rPr>
  </w:style>
  <w:style w:type="paragraph" w:customStyle="1" w:styleId="JSmall">
    <w:name w:val="J_Small"/>
    <w:basedOn w:val="JSingleTxt"/>
    <w:next w:val="JSingleTxt"/>
    <w:qFormat/>
    <w:rsid w:val="009F15B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F15BC"/>
    <w:pPr>
      <w:tabs>
        <w:tab w:val="right" w:leader="dot" w:pos="360"/>
      </w:tabs>
      <w:spacing w:line="310" w:lineRule="exact"/>
      <w:jc w:val="right"/>
    </w:pPr>
    <w:rPr>
      <w:spacing w:val="5"/>
      <w:w w:val="104"/>
      <w:kern w:val="14"/>
      <w:sz w:val="17"/>
      <w:szCs w:val="25"/>
    </w:rPr>
  </w:style>
  <w:style w:type="character" w:styleId="LineNumber">
    <w:name w:val="line number"/>
    <w:qFormat/>
    <w:rsid w:val="009F15BC"/>
    <w:rPr>
      <w:sz w:val="14"/>
      <w:szCs w:val="16"/>
    </w:rPr>
  </w:style>
  <w:style w:type="paragraph" w:customStyle="1" w:styleId="SmallX">
    <w:name w:val="SmallX"/>
    <w:basedOn w:val="Small"/>
    <w:next w:val="Normal"/>
    <w:qFormat/>
    <w:rsid w:val="009F15BC"/>
    <w:pPr>
      <w:spacing w:line="240" w:lineRule="exact"/>
    </w:pPr>
    <w:rPr>
      <w:spacing w:val="6"/>
      <w:w w:val="106"/>
      <w:sz w:val="14"/>
      <w:szCs w:val="21"/>
    </w:rPr>
  </w:style>
  <w:style w:type="paragraph" w:customStyle="1" w:styleId="XLarge">
    <w:name w:val="XLarge"/>
    <w:basedOn w:val="HM"/>
    <w:qFormat/>
    <w:rsid w:val="009F15B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15BC"/>
    <w:pPr>
      <w:spacing w:line="820" w:lineRule="exact"/>
    </w:pPr>
    <w:rPr>
      <w:spacing w:val="-8"/>
      <w:w w:val="96"/>
      <w:sz w:val="57"/>
      <w:szCs w:val="86"/>
    </w:rPr>
  </w:style>
  <w:style w:type="paragraph" w:customStyle="1" w:styleId="Distribution">
    <w:name w:val="Distribu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F15BC"/>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F15BC"/>
    <w:pPr>
      <w:tabs>
        <w:tab w:val="left" w:pos="662"/>
        <w:tab w:val="left" w:pos="1267"/>
        <w:tab w:val="left" w:pos="1987"/>
        <w:tab w:val="left" w:pos="2650"/>
      </w:tabs>
      <w:spacing w:after="0"/>
      <w:ind w:left="662" w:hanging="662"/>
    </w:pPr>
  </w:style>
  <w:style w:type="paragraph" w:customStyle="1" w:styleId="Committee">
    <w:name w:val="Committee"/>
    <w:basedOn w:val="H1"/>
    <w:qFormat/>
    <w:rsid w:val="009F15BC"/>
    <w:pPr>
      <w:tabs>
        <w:tab w:val="left" w:pos="662"/>
        <w:tab w:val="left" w:pos="1267"/>
        <w:tab w:val="left" w:pos="1987"/>
        <w:tab w:val="left" w:pos="2650"/>
      </w:tabs>
      <w:ind w:right="1264"/>
    </w:pPr>
  </w:style>
  <w:style w:type="paragraph" w:customStyle="1" w:styleId="AgendaItemNormal">
    <w:name w:val="Agenda_Item_Normal"/>
    <w:next w:val="Normal"/>
    <w:qFormat/>
    <w:rsid w:val="009F15BC"/>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F15B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F15B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F15B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F15B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F15BC"/>
    <w:rPr>
      <w:i w:val="0"/>
      <w:color w:val="0000FF"/>
      <w:u w:val="none"/>
    </w:rPr>
  </w:style>
  <w:style w:type="paragraph" w:customStyle="1" w:styleId="Bullet1">
    <w:name w:val="Bullet 1"/>
    <w:basedOn w:val="Normal"/>
    <w:qFormat/>
    <w:rsid w:val="009F15BC"/>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F15BC"/>
    <w:pPr>
      <w:numPr>
        <w:numId w:val="14"/>
      </w:numPr>
      <w:spacing w:after="120" w:line="360" w:lineRule="exact"/>
      <w:ind w:right="1264"/>
    </w:pPr>
    <w:rPr>
      <w:kern w:val="14"/>
      <w:szCs w:val="28"/>
    </w:rPr>
  </w:style>
  <w:style w:type="paragraph" w:customStyle="1" w:styleId="Bullet3">
    <w:name w:val="Bullet 3"/>
    <w:basedOn w:val="SingleTxt"/>
    <w:qFormat/>
    <w:rsid w:val="009F15BC"/>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F15BC"/>
    <w:pPr>
      <w:ind w:right="5760"/>
      <w:outlineLvl w:val="1"/>
    </w:pPr>
    <w:rPr>
      <w:spacing w:val="2"/>
      <w:sz w:val="20"/>
      <w:szCs w:val="28"/>
    </w:rPr>
  </w:style>
  <w:style w:type="paragraph" w:customStyle="1" w:styleId="STitleM">
    <w:name w:val="S_Title_M"/>
    <w:basedOn w:val="Normal"/>
    <w:next w:val="Normal"/>
    <w:qFormat/>
    <w:rsid w:val="009F15B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F15BC"/>
    <w:pPr>
      <w:spacing w:line="600" w:lineRule="exact"/>
      <w:ind w:left="1267" w:right="1267"/>
    </w:pPr>
    <w:rPr>
      <w:w w:val="103"/>
      <w:sz w:val="60"/>
      <w:szCs w:val="60"/>
    </w:rPr>
  </w:style>
  <w:style w:type="paragraph" w:customStyle="1" w:styleId="STitleL">
    <w:name w:val="S_Title_L"/>
    <w:basedOn w:val="XLarge"/>
    <w:next w:val="Normal"/>
    <w:qFormat/>
    <w:rsid w:val="009F15BC"/>
    <w:rPr>
      <w:spacing w:val="-8"/>
      <w:w w:val="96"/>
      <w:sz w:val="57"/>
    </w:rPr>
  </w:style>
  <w:style w:type="paragraph" w:styleId="CommentText">
    <w:name w:val="annotation text"/>
    <w:basedOn w:val="Normal"/>
    <w:link w:val="CommentTextChar"/>
    <w:uiPriority w:val="99"/>
    <w:semiHidden/>
    <w:unhideWhenUsed/>
    <w:rsid w:val="009F15BC"/>
    <w:pPr>
      <w:spacing w:line="240" w:lineRule="auto"/>
    </w:pPr>
    <w:rPr>
      <w:kern w:val="14"/>
    </w:rPr>
  </w:style>
  <w:style w:type="character" w:customStyle="1" w:styleId="CommentTextChar">
    <w:name w:val="Comment Text Char"/>
    <w:basedOn w:val="DefaultParagraphFont"/>
    <w:link w:val="CommentText"/>
    <w:uiPriority w:val="99"/>
    <w:semiHidden/>
    <w:rsid w:val="009F15BC"/>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F15BC"/>
    <w:rPr>
      <w:b/>
      <w:bCs/>
    </w:rPr>
  </w:style>
  <w:style w:type="character" w:customStyle="1" w:styleId="CommentSubjectChar">
    <w:name w:val="Comment Subject Char"/>
    <w:basedOn w:val="CommentTextChar"/>
    <w:link w:val="CommentSubject"/>
    <w:uiPriority w:val="99"/>
    <w:semiHidden/>
    <w:rsid w:val="009F15BC"/>
    <w:rPr>
      <w:rFonts w:ascii="Times New Roman" w:eastAsia="PMingLiU" w:hAnsi="Times New Roman" w:cs="Simplified Arabic"/>
      <w:b/>
      <w:bCs/>
      <w:kern w:val="14"/>
      <w:sz w:val="20"/>
    </w:rPr>
  </w:style>
  <w:style w:type="paragraph" w:customStyle="1" w:styleId="Bullet1G">
    <w:name w:val="_Bullet 1_G"/>
    <w:basedOn w:val="Normal"/>
    <w:qFormat/>
    <w:rsid w:val="009F15BC"/>
    <w:pPr>
      <w:numPr>
        <w:numId w:val="16"/>
      </w:numPr>
      <w:bidi w:val="0"/>
      <w:spacing w:after="120"/>
      <w:ind w:right="1134"/>
      <w:jc w:val="both"/>
    </w:pPr>
    <w:rPr>
      <w:sz w:val="22"/>
    </w:rPr>
  </w:style>
  <w:style w:type="character" w:customStyle="1" w:styleId="SingleTxtGChar">
    <w:name w:val="_ Single Txt_G Char"/>
    <w:link w:val="SingleTxtG"/>
    <w:rsid w:val="009F15BC"/>
    <w:rPr>
      <w:rFonts w:ascii="Times New Roman" w:eastAsia="PMingLiU" w:hAnsi="Times New Roman" w:cs="Simplified Arabic"/>
      <w:sz w:val="20"/>
      <w:szCs w:val="20"/>
      <w:lang w:val="en-GB"/>
    </w:rPr>
  </w:style>
  <w:style w:type="paragraph" w:customStyle="1" w:styleId="Preparedby">
    <w:name w:val="Prepared by:"/>
    <w:basedOn w:val="H23GA"/>
    <w:qFormat/>
    <w:rsid w:val="009F15BC"/>
    <w:rPr>
      <w:sz w:val="32"/>
      <w:szCs w:val="32"/>
    </w:rPr>
  </w:style>
  <w:style w:type="paragraph" w:customStyle="1" w:styleId="ParaNoG">
    <w:name w:val="_ParaNo._G"/>
    <w:basedOn w:val="SingleTxtG"/>
    <w:rsid w:val="009F15BC"/>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F15B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F15B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F15BC"/>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F15BC"/>
    <w:pPr>
      <w:spacing w:after="0" w:line="240" w:lineRule="auto"/>
    </w:pPr>
    <w:rPr>
      <w:rFonts w:eastAsiaTheme="minorEastAsia"/>
      <w:sz w:val="24"/>
      <w:szCs w:val="24"/>
      <w:lang w:val="fr-FR" w:eastAsia="fr-FR"/>
    </w:rPr>
  </w:style>
  <w:style w:type="paragraph" w:customStyle="1" w:styleId="Default">
    <w:name w:val="Default"/>
    <w:semiHidden/>
    <w:rsid w:val="009F15BC"/>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F15BC"/>
  </w:style>
  <w:style w:type="character" w:customStyle="1" w:styleId="preferred">
    <w:name w:val="preferred"/>
    <w:basedOn w:val="DefaultParagraphFont"/>
    <w:rsid w:val="009F15BC"/>
  </w:style>
  <w:style w:type="character" w:customStyle="1" w:styleId="admitted">
    <w:name w:val="admitted"/>
    <w:basedOn w:val="DefaultParagraphFont"/>
    <w:rsid w:val="009F15BC"/>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F15BC"/>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treaty-bodies/crpd/statements-declarations-and-observations" TargetMode="External"/><Relationship Id="rId13" Type="http://schemas.openxmlformats.org/officeDocument/2006/relationships/hyperlink" Target="https://undocs.org/ar/CRPD/C/MEX/2-3" TargetMode="External"/><Relationship Id="rId18" Type="http://schemas.openxmlformats.org/officeDocument/2006/relationships/hyperlink" Target="https://undocs.org/ar/CRPD/C/MEX/CO/2-3" TargetMode="External"/><Relationship Id="rId26" Type="http://schemas.openxmlformats.org/officeDocument/2006/relationships/hyperlink" Target="https://undocs.org/ar/CRPD/C/26/D/50/2018" TargetMode="External"/><Relationship Id="rId3" Type="http://schemas.openxmlformats.org/officeDocument/2006/relationships/hyperlink" Target="https://undocs.org/ar/CRPD/C/26/D/46/2018" TargetMode="External"/><Relationship Id="rId21" Type="http://schemas.openxmlformats.org/officeDocument/2006/relationships/hyperlink" Target="https://undocs.org/ar/CRPD/C/CHE/CO/1" TargetMode="External"/><Relationship Id="rId7" Type="http://schemas.openxmlformats.org/officeDocument/2006/relationships/hyperlink" Target="https://undocs.org/ar/CRPD/C/26/D/79/2020" TargetMode="External"/><Relationship Id="rId12" Type="http://schemas.openxmlformats.org/officeDocument/2006/relationships/hyperlink" Target="https://undocs.org/ar/CRPD/C/HUN/2-3" TargetMode="External"/><Relationship Id="rId17" Type="http://schemas.openxmlformats.org/officeDocument/2006/relationships/hyperlink" Target="https://undocs.org/ar/CRPD/C/HUN/CO/2-3" TargetMode="External"/><Relationship Id="rId25" Type="http://schemas.openxmlformats.org/officeDocument/2006/relationships/hyperlink" Target="https://undocs.org/ar/CRPD/C/26/D/48/2018" TargetMode="External"/><Relationship Id="rId2" Type="http://schemas.openxmlformats.org/officeDocument/2006/relationships/hyperlink" Target="https://undocs.org/ar/CRPD/C/26/1" TargetMode="External"/><Relationship Id="rId16" Type="http://schemas.openxmlformats.org/officeDocument/2006/relationships/hyperlink" Target="https://undocs.org/ar/CRPD/C/VEN/CO/1" TargetMode="External"/><Relationship Id="rId20" Type="http://schemas.openxmlformats.org/officeDocument/2006/relationships/hyperlink" Target="https://undocs.org/ar/CRPD/C/JAM/CO/1" TargetMode="External"/><Relationship Id="rId1" Type="http://schemas.openxmlformats.org/officeDocument/2006/relationships/hyperlink" Target="https://undocs.org/ar/CRPD/C/SR.553" TargetMode="External"/><Relationship Id="rId6" Type="http://schemas.openxmlformats.org/officeDocument/2006/relationships/hyperlink" Target="https://undocs.org/ar/CRPD/C/26/D/53/2018" TargetMode="External"/><Relationship Id="rId11" Type="http://schemas.openxmlformats.org/officeDocument/2006/relationships/hyperlink" Target="https://undocs.org/ar/CRPD/C/VEN/1" TargetMode="External"/><Relationship Id="rId24" Type="http://schemas.openxmlformats.org/officeDocument/2006/relationships/hyperlink" Target="https://undocs.org/ar/CRPD/C/MEX/CO/2-3" TargetMode="External"/><Relationship Id="rId5" Type="http://schemas.openxmlformats.org/officeDocument/2006/relationships/hyperlink" Target="https://undocs.org/ar/CRPD/C/26/D/50/2018" TargetMode="External"/><Relationship Id="rId15" Type="http://schemas.openxmlformats.org/officeDocument/2006/relationships/hyperlink" Target="https://undocs.org/ar/CRPD/C/CHE/CO/1" TargetMode="External"/><Relationship Id="rId23" Type="http://schemas.openxmlformats.org/officeDocument/2006/relationships/hyperlink" Target="https://undocs.org/ar/CRPD/C/HUN/CO/2-3" TargetMode="External"/><Relationship Id="rId28" Type="http://schemas.openxmlformats.org/officeDocument/2006/relationships/hyperlink" Target="https://undocs.org/ar/CRPD/C/26/D/79/2020" TargetMode="External"/><Relationship Id="rId10" Type="http://schemas.openxmlformats.org/officeDocument/2006/relationships/hyperlink" Target="https://undocs.org/ar/CRPD/C/CHE/1" TargetMode="External"/><Relationship Id="rId19" Type="http://schemas.openxmlformats.org/officeDocument/2006/relationships/hyperlink" Target="https://undocs.org/ar/CRPD/C/EU/QPR/2-3" TargetMode="External"/><Relationship Id="rId4" Type="http://schemas.openxmlformats.org/officeDocument/2006/relationships/hyperlink" Target="https://undocs.org/ar/CRPD/C/26/D/48/2018" TargetMode="External"/><Relationship Id="rId9" Type="http://schemas.openxmlformats.org/officeDocument/2006/relationships/hyperlink" Target="https://undocs.org/ar/CRPD/C/JAM/1/Rev.1" TargetMode="External"/><Relationship Id="rId14" Type="http://schemas.openxmlformats.org/officeDocument/2006/relationships/hyperlink" Target="https://undocs.org/ar/CRPD/C/JAM/CO/1" TargetMode="External"/><Relationship Id="rId22" Type="http://schemas.openxmlformats.org/officeDocument/2006/relationships/hyperlink" Target="https://undocs.org/ar/CRPD/C/VEN/CO/1" TargetMode="External"/><Relationship Id="rId27" Type="http://schemas.openxmlformats.org/officeDocument/2006/relationships/hyperlink" Target="https://undocs.org/ar/CRPD/C/26/D/5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980-AF9E-49CF-931A-5A44A03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CRPD/C/26/2</vt:lpstr>
    </vt:vector>
  </TitlesOfParts>
  <Company>DCM</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CRPD/C/26/2</dc:title>
  <dc:subject>GE.2208071(A)</dc:subject>
  <dc:creator>Muntaha BUHNAM - RFA</dc:creator>
  <cp:keywords>GE.2235208(A)</cp:keywords>
  <dc:description>Distr.: General
27 May 2022
Arabic
Original: English</dc:description>
  <cp:lastModifiedBy>Jamal Alkahlout</cp:lastModifiedBy>
  <cp:revision>3</cp:revision>
  <cp:lastPrinted>2022-06-09T11:49:00Z</cp:lastPrinted>
  <dcterms:created xsi:type="dcterms:W3CDTF">2022-06-09T11:49:00Z</dcterms:created>
  <dcterms:modified xsi:type="dcterms:W3CDTF">2022-06-09T11:50:00Z</dcterms:modified>
</cp:coreProperties>
</file>