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040A6D2D" w14:textId="77777777" w:rsidTr="00B614C4">
        <w:trPr>
          <w:trHeight w:hRule="exact" w:val="851"/>
        </w:trPr>
        <w:tc>
          <w:tcPr>
            <w:tcW w:w="1280" w:type="dxa"/>
            <w:tcBorders>
              <w:bottom w:val="single" w:sz="4" w:space="0" w:color="auto"/>
            </w:tcBorders>
          </w:tcPr>
          <w:p w14:paraId="4EB38AF3" w14:textId="77777777" w:rsidR="00CE1D1C" w:rsidRPr="00F124C6" w:rsidRDefault="00CE1D1C" w:rsidP="00B614C4">
            <w:pPr>
              <w:pStyle w:val="H23GC"/>
            </w:pPr>
          </w:p>
        </w:tc>
        <w:tc>
          <w:tcPr>
            <w:tcW w:w="2273" w:type="dxa"/>
            <w:tcBorders>
              <w:bottom w:val="single" w:sz="4" w:space="0" w:color="auto"/>
            </w:tcBorders>
            <w:vAlign w:val="bottom"/>
          </w:tcPr>
          <w:p w14:paraId="58E6776C"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C8060B3" w14:textId="69AA9CA9" w:rsidR="00CE1D1C" w:rsidRPr="006E7C38" w:rsidRDefault="00CD7B02" w:rsidP="00B614C4">
            <w:pPr>
              <w:spacing w:line="240" w:lineRule="atLeast"/>
              <w:jc w:val="right"/>
              <w:rPr>
                <w:sz w:val="20"/>
                <w:szCs w:val="21"/>
              </w:rPr>
            </w:pPr>
            <w:proofErr w:type="spellStart"/>
            <w:r>
              <w:rPr>
                <w:sz w:val="40"/>
                <w:szCs w:val="21"/>
              </w:rPr>
              <w:t>CCPR</w:t>
            </w:r>
            <w:proofErr w:type="spellEnd"/>
            <w:r w:rsidR="006E7C38">
              <w:rPr>
                <w:sz w:val="20"/>
                <w:szCs w:val="21"/>
              </w:rPr>
              <w:t>/</w:t>
            </w:r>
            <w:r>
              <w:rPr>
                <w:sz w:val="20"/>
                <w:szCs w:val="21"/>
              </w:rPr>
              <w:t>C</w:t>
            </w:r>
            <w:r w:rsidR="006E7C38">
              <w:rPr>
                <w:sz w:val="20"/>
                <w:szCs w:val="21"/>
              </w:rPr>
              <w:t>/</w:t>
            </w:r>
            <w:r>
              <w:rPr>
                <w:sz w:val="20"/>
                <w:szCs w:val="21"/>
              </w:rPr>
              <w:t>133</w:t>
            </w:r>
            <w:r w:rsidR="006E7C38">
              <w:rPr>
                <w:sz w:val="20"/>
                <w:szCs w:val="21"/>
              </w:rPr>
              <w:t>/</w:t>
            </w:r>
            <w:r>
              <w:rPr>
                <w:sz w:val="20"/>
                <w:szCs w:val="21"/>
              </w:rPr>
              <w:t>3</w:t>
            </w:r>
            <w:r w:rsidR="006E7C38">
              <w:rPr>
                <w:sz w:val="20"/>
                <w:szCs w:val="21"/>
              </w:rPr>
              <w:t>/</w:t>
            </w:r>
            <w:proofErr w:type="spellStart"/>
            <w:r>
              <w:rPr>
                <w:sz w:val="20"/>
                <w:szCs w:val="21"/>
              </w:rPr>
              <w:t>Add</w:t>
            </w:r>
            <w:r w:rsidR="006E7C38">
              <w:rPr>
                <w:sz w:val="20"/>
                <w:szCs w:val="21"/>
              </w:rPr>
              <w:t>.</w:t>
            </w:r>
            <w:r>
              <w:rPr>
                <w:sz w:val="20"/>
                <w:szCs w:val="21"/>
              </w:rPr>
              <w:t>4</w:t>
            </w:r>
            <w:proofErr w:type="spellEnd"/>
          </w:p>
        </w:tc>
      </w:tr>
      <w:tr w:rsidR="00CE1D1C" w:rsidRPr="00F124C6" w14:paraId="7936F78F" w14:textId="77777777" w:rsidTr="00B614C4">
        <w:trPr>
          <w:trHeight w:hRule="exact" w:val="2835"/>
        </w:trPr>
        <w:tc>
          <w:tcPr>
            <w:tcW w:w="1280" w:type="dxa"/>
            <w:tcBorders>
              <w:top w:val="single" w:sz="4" w:space="0" w:color="auto"/>
              <w:bottom w:val="single" w:sz="12" w:space="0" w:color="auto"/>
            </w:tcBorders>
          </w:tcPr>
          <w:p w14:paraId="1F0B0907" w14:textId="77777777" w:rsidR="00CE1D1C" w:rsidRPr="00F124C6" w:rsidRDefault="00CE1D1C" w:rsidP="00B614C4">
            <w:pPr>
              <w:spacing w:line="120" w:lineRule="atLeast"/>
              <w:rPr>
                <w:sz w:val="10"/>
                <w:szCs w:val="10"/>
              </w:rPr>
            </w:pPr>
          </w:p>
          <w:p w14:paraId="0566156F"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8A5BA5F" wp14:editId="28EB8C1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850E62B"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29AC4DC" w14:textId="39E25CE6" w:rsidR="00CE1D1C" w:rsidRPr="0004600B" w:rsidRDefault="00CD7B02" w:rsidP="00B614C4">
            <w:pPr>
              <w:spacing w:before="240" w:line="240" w:lineRule="atLeast"/>
              <w:rPr>
                <w:sz w:val="20"/>
              </w:rPr>
            </w:pPr>
            <w:r>
              <w:rPr>
                <w:sz w:val="20"/>
              </w:rPr>
              <w:t>Distr.: General</w:t>
            </w:r>
          </w:p>
          <w:p w14:paraId="567ED91A" w14:textId="228E5C1E" w:rsidR="00CE1D1C" w:rsidRPr="00F124C6" w:rsidRDefault="00CD7B02" w:rsidP="00B614C4">
            <w:pPr>
              <w:spacing w:line="240" w:lineRule="atLeast"/>
              <w:rPr>
                <w:sz w:val="20"/>
              </w:rPr>
            </w:pPr>
            <w:r>
              <w:rPr>
                <w:sz w:val="20"/>
              </w:rPr>
              <w:t>17</w:t>
            </w:r>
            <w:r w:rsidR="00C6372D">
              <w:rPr>
                <w:sz w:val="20"/>
              </w:rPr>
              <w:t xml:space="preserve"> </w:t>
            </w:r>
            <w:r>
              <w:rPr>
                <w:sz w:val="20"/>
              </w:rPr>
              <w:t>December</w:t>
            </w:r>
            <w:r w:rsidR="00EA7E67">
              <w:rPr>
                <w:sz w:val="20"/>
              </w:rPr>
              <w:t xml:space="preserve"> </w:t>
            </w:r>
            <w:r>
              <w:rPr>
                <w:sz w:val="20"/>
              </w:rPr>
              <w:t>2</w:t>
            </w:r>
            <w:r w:rsidR="00EA7E67">
              <w:rPr>
                <w:sz w:val="20"/>
              </w:rPr>
              <w:t>0</w:t>
            </w:r>
            <w:r>
              <w:rPr>
                <w:sz w:val="20"/>
              </w:rPr>
              <w:t>21</w:t>
            </w:r>
          </w:p>
          <w:p w14:paraId="5B5BA897" w14:textId="7C0B5CB9" w:rsidR="00CE1D1C" w:rsidRPr="00F124C6" w:rsidRDefault="00CD7B02" w:rsidP="00B614C4">
            <w:pPr>
              <w:spacing w:line="240" w:lineRule="atLeast"/>
              <w:rPr>
                <w:sz w:val="20"/>
              </w:rPr>
            </w:pPr>
            <w:r>
              <w:rPr>
                <w:sz w:val="20"/>
              </w:rPr>
              <w:t>Chinese</w:t>
            </w:r>
            <w:r w:rsidR="00CE1D1C" w:rsidRPr="00F124C6">
              <w:rPr>
                <w:sz w:val="20"/>
              </w:rPr>
              <w:t xml:space="preserve"> </w:t>
            </w:r>
          </w:p>
          <w:p w14:paraId="665F8324" w14:textId="70DE9755" w:rsidR="00CE1D1C" w:rsidRPr="00F124C6" w:rsidRDefault="00CD7B02" w:rsidP="00B614C4">
            <w:pPr>
              <w:spacing w:line="240" w:lineRule="atLeast"/>
            </w:pPr>
            <w:r>
              <w:rPr>
                <w:sz w:val="20"/>
              </w:rPr>
              <w:t>Original: English</w:t>
            </w:r>
          </w:p>
        </w:tc>
      </w:tr>
    </w:tbl>
    <w:p w14:paraId="16AA2575" w14:textId="77777777" w:rsidR="00065776" w:rsidRPr="003D7CA8" w:rsidRDefault="00065776" w:rsidP="003D7CA8">
      <w:pPr>
        <w:spacing w:before="120"/>
        <w:rPr>
          <w:rFonts w:ascii="Time New Roman" w:eastAsia="黑体" w:hAnsi="Time New Roman" w:hint="eastAsia"/>
          <w:sz w:val="24"/>
          <w:szCs w:val="24"/>
        </w:rPr>
      </w:pPr>
      <w:r w:rsidRPr="003D7CA8">
        <w:rPr>
          <w:rFonts w:ascii="Time New Roman" w:eastAsia="黑体" w:hAnsi="Time New Roman" w:hint="eastAsia"/>
          <w:sz w:val="24"/>
          <w:szCs w:val="24"/>
        </w:rPr>
        <w:t>人权事务委员会</w:t>
      </w:r>
    </w:p>
    <w:p w14:paraId="186BABC9" w14:textId="34B91FE0" w:rsidR="00065776" w:rsidRDefault="00065776" w:rsidP="003D7CA8">
      <w:pPr>
        <w:pStyle w:val="HChGC"/>
      </w:pPr>
      <w:r>
        <w:rPr>
          <w:rFonts w:hint="eastAsia"/>
        </w:rPr>
        <w:tab/>
      </w:r>
      <w:r>
        <w:rPr>
          <w:rFonts w:hint="eastAsia"/>
        </w:rPr>
        <w:tab/>
      </w:r>
      <w:r>
        <w:rPr>
          <w:rFonts w:hint="eastAsia"/>
        </w:rPr>
        <w:t>关于人权事务委员会结论性意见后续行动的报告</w:t>
      </w:r>
      <w:r w:rsidR="00E33CC5" w:rsidRPr="00E33CC5">
        <w:rPr>
          <w:rStyle w:val="a8"/>
          <w:rFonts w:eastAsia="黑体"/>
          <w:sz w:val="28"/>
          <w:vertAlign w:val="baseline"/>
        </w:rPr>
        <w:footnoteReference w:customMarkFollows="1" w:id="2"/>
        <w:t>*</w:t>
      </w:r>
    </w:p>
    <w:p w14:paraId="75A9ECEC" w14:textId="77777777" w:rsidR="00065776" w:rsidRDefault="00065776" w:rsidP="003D7CA8">
      <w:pPr>
        <w:pStyle w:val="H23GC"/>
      </w:pPr>
      <w:r>
        <w:rPr>
          <w:rFonts w:hint="eastAsia"/>
        </w:rPr>
        <w:tab/>
      </w:r>
      <w:r>
        <w:rPr>
          <w:rFonts w:hint="eastAsia"/>
        </w:rPr>
        <w:tab/>
      </w:r>
      <w:r>
        <w:rPr>
          <w:rFonts w:hint="eastAsia"/>
        </w:rPr>
        <w:t>增编</w:t>
      </w:r>
    </w:p>
    <w:p w14:paraId="4CC40FFA" w14:textId="1187B156" w:rsidR="006E7C38" w:rsidRDefault="00065776" w:rsidP="004961A9">
      <w:pPr>
        <w:pStyle w:val="HChGC"/>
        <w:spacing w:before="280"/>
      </w:pPr>
      <w:r>
        <w:rPr>
          <w:rFonts w:hint="eastAsia"/>
        </w:rPr>
        <w:tab/>
      </w:r>
      <w:r>
        <w:rPr>
          <w:rFonts w:hint="eastAsia"/>
        </w:rPr>
        <w:tab/>
      </w:r>
      <w:r>
        <w:rPr>
          <w:rFonts w:hint="eastAsia"/>
        </w:rPr>
        <w:t>评价关于毛里求斯的结论性意见的后续行动资料</w:t>
      </w:r>
    </w:p>
    <w:tbl>
      <w:tblPr>
        <w:tblStyle w:val="af5"/>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61"/>
        <w:gridCol w:w="3670"/>
      </w:tblGrid>
      <w:tr w:rsidR="003D7CA8" w14:paraId="0216A184" w14:textId="77777777" w:rsidTr="00F40C22">
        <w:trPr>
          <w:cantSplit/>
        </w:trPr>
        <w:tc>
          <w:tcPr>
            <w:tcW w:w="3261" w:type="dxa"/>
          </w:tcPr>
          <w:p w14:paraId="4241CF32" w14:textId="680B0BED" w:rsidR="003D7CA8" w:rsidRPr="00172E04" w:rsidRDefault="00BC7F3E" w:rsidP="00BC7F3E">
            <w:pPr>
              <w:pStyle w:val="SingleTxtGC"/>
              <w:ind w:left="0" w:right="0"/>
              <w:rPr>
                <w:rFonts w:eastAsia="楷体"/>
              </w:rPr>
            </w:pPr>
            <w:r w:rsidRPr="00BC7F3E">
              <w:rPr>
                <w:rFonts w:ascii="Time New Roman" w:eastAsia="楷体" w:hAnsi="Time New Roman" w:hint="eastAsia"/>
                <w:iCs/>
                <w:lang w:val="en-GB"/>
              </w:rPr>
              <w:t>结论性意见</w:t>
            </w:r>
            <w:r w:rsidRPr="00BC7F3E">
              <w:rPr>
                <w:rFonts w:ascii="Time New Roman" w:eastAsia="楷体" w:hAnsi="Time New Roman"/>
                <w:iCs/>
                <w:lang w:val="en-GB"/>
              </w:rPr>
              <w:t>(</w:t>
            </w:r>
            <w:r w:rsidRPr="00BC7F3E">
              <w:rPr>
                <w:rFonts w:ascii="Time New Roman" w:eastAsia="楷体" w:hAnsi="Time New Roman" w:hint="eastAsia"/>
                <w:iCs/>
                <w:lang w:val="en-GB"/>
              </w:rPr>
              <w:t>第一二一届会议</w:t>
            </w:r>
            <w:r w:rsidRPr="00BC7F3E">
              <w:rPr>
                <w:rFonts w:ascii="Time New Roman" w:eastAsia="楷体" w:hAnsi="Time New Roman"/>
                <w:iCs/>
                <w:lang w:val="en-GB"/>
              </w:rPr>
              <w:t>)</w:t>
            </w:r>
            <w:r w:rsidRPr="00BC7F3E">
              <w:rPr>
                <w:rFonts w:ascii="Time New Roman" w:eastAsia="楷体" w:hAnsi="Time New Roman" w:hint="eastAsia"/>
                <w:iCs/>
                <w:lang w:val="en-GB"/>
              </w:rPr>
              <w:t>：</w:t>
            </w:r>
          </w:p>
        </w:tc>
        <w:tc>
          <w:tcPr>
            <w:tcW w:w="3670" w:type="dxa"/>
          </w:tcPr>
          <w:p w14:paraId="71B684EE" w14:textId="67BCDC94" w:rsidR="003D7CA8" w:rsidRPr="00C74FB6" w:rsidRDefault="00A90CAA" w:rsidP="0069394F">
            <w:pPr>
              <w:pStyle w:val="SingleTxtGC"/>
              <w:ind w:left="0" w:right="0"/>
            </w:pPr>
            <w:hyperlink r:id="rId9" w:history="1">
              <w:proofErr w:type="spellStart"/>
              <w:r w:rsidR="00CD7B02">
                <w:rPr>
                  <w:rStyle w:val="af6"/>
                </w:rPr>
                <w:t>CCPR</w:t>
              </w:r>
              <w:proofErr w:type="spellEnd"/>
              <w:r w:rsidR="00BC7F3E" w:rsidRPr="00F40C22">
                <w:rPr>
                  <w:rStyle w:val="af6"/>
                </w:rPr>
                <w:t>/</w:t>
              </w:r>
              <w:r w:rsidR="00CD7B02">
                <w:rPr>
                  <w:rStyle w:val="af6"/>
                </w:rPr>
                <w:t>C</w:t>
              </w:r>
              <w:r w:rsidR="00BC7F3E" w:rsidRPr="00F40C22">
                <w:rPr>
                  <w:rStyle w:val="af6"/>
                </w:rPr>
                <w:t>/</w:t>
              </w:r>
              <w:r w:rsidR="00CD7B02">
                <w:rPr>
                  <w:rStyle w:val="af6"/>
                </w:rPr>
                <w:t>MUS</w:t>
              </w:r>
              <w:r w:rsidR="00BC7F3E" w:rsidRPr="00F40C22">
                <w:rPr>
                  <w:rStyle w:val="af6"/>
                </w:rPr>
                <w:t>/</w:t>
              </w:r>
              <w:r w:rsidR="00CD7B02">
                <w:rPr>
                  <w:rStyle w:val="af6"/>
                </w:rPr>
                <w:t>CO</w:t>
              </w:r>
              <w:r w:rsidR="00BC7F3E" w:rsidRPr="00F40C22">
                <w:rPr>
                  <w:rStyle w:val="af6"/>
                </w:rPr>
                <w:t>/</w:t>
              </w:r>
              <w:r w:rsidR="00CD7B02">
                <w:rPr>
                  <w:rStyle w:val="af6"/>
                </w:rPr>
                <w:t>5</w:t>
              </w:r>
            </w:hyperlink>
            <w:r w:rsidR="00D4648D">
              <w:rPr>
                <w:rFonts w:hint="eastAsia"/>
                <w:bCs/>
                <w:color w:val="1D498A"/>
              </w:rPr>
              <w:t>,</w:t>
            </w:r>
            <w:r w:rsidR="00BC7F3E" w:rsidRPr="00B14EB7">
              <w:rPr>
                <w:bCs/>
                <w:color w:val="1D498A"/>
              </w:rPr>
              <w:t xml:space="preserve"> </w:t>
            </w:r>
            <w:r w:rsidR="00CD7B02">
              <w:t>2</w:t>
            </w:r>
            <w:r w:rsidR="00BC7F3E" w:rsidRPr="00B14EB7">
              <w:t>0</w:t>
            </w:r>
            <w:r w:rsidR="00CD7B02">
              <w:t>17</w:t>
            </w:r>
            <w:r w:rsidR="00BC7F3E" w:rsidRPr="00B14EB7">
              <w:t>年</w:t>
            </w:r>
            <w:r w:rsidR="00CD7B02">
              <w:t>11</w:t>
            </w:r>
            <w:r w:rsidR="00BC7F3E" w:rsidRPr="00B14EB7">
              <w:t>月</w:t>
            </w:r>
            <w:r w:rsidR="00CD7B02">
              <w:t>6</w:t>
            </w:r>
            <w:r w:rsidR="00BC7F3E" w:rsidRPr="00B14EB7">
              <w:t>日</w:t>
            </w:r>
          </w:p>
        </w:tc>
      </w:tr>
      <w:tr w:rsidR="003D7CA8" w14:paraId="364B8D85" w14:textId="77777777" w:rsidTr="00F40C22">
        <w:trPr>
          <w:cantSplit/>
        </w:trPr>
        <w:tc>
          <w:tcPr>
            <w:tcW w:w="3261" w:type="dxa"/>
          </w:tcPr>
          <w:p w14:paraId="393EEC97" w14:textId="66691371" w:rsidR="003D7CA8" w:rsidRPr="00172E04" w:rsidRDefault="00BC7F3E" w:rsidP="0069394F">
            <w:pPr>
              <w:pStyle w:val="SingleTxtGC"/>
              <w:ind w:left="0" w:right="0"/>
              <w:rPr>
                <w:rFonts w:eastAsia="楷体"/>
              </w:rPr>
            </w:pPr>
            <w:r w:rsidRPr="00CE2563">
              <w:rPr>
                <w:rFonts w:eastAsia="楷体" w:hint="eastAsia"/>
                <w:iCs/>
              </w:rPr>
              <w:t>关于后续行动的段落：</w:t>
            </w:r>
          </w:p>
        </w:tc>
        <w:tc>
          <w:tcPr>
            <w:tcW w:w="3670" w:type="dxa"/>
          </w:tcPr>
          <w:p w14:paraId="3E073A12" w14:textId="58F50B6B" w:rsidR="003D7CA8" w:rsidRPr="00C74FB6" w:rsidRDefault="00BC7F3E" w:rsidP="0069394F">
            <w:pPr>
              <w:pStyle w:val="SingleTxtGC"/>
              <w:ind w:left="0" w:right="0"/>
            </w:pPr>
            <w:r>
              <w:rPr>
                <w:rFonts w:hint="eastAsia"/>
                <w:iCs/>
              </w:rPr>
              <w:t>第</w:t>
            </w:r>
            <w:r w:rsidR="00CD7B02">
              <w:rPr>
                <w:iCs/>
              </w:rPr>
              <w:t>8</w:t>
            </w:r>
            <w:r w:rsidRPr="00B14EB7">
              <w:rPr>
                <w:iCs/>
              </w:rPr>
              <w:t>、</w:t>
            </w:r>
            <w:r>
              <w:rPr>
                <w:rFonts w:hint="eastAsia"/>
                <w:iCs/>
              </w:rPr>
              <w:t>第</w:t>
            </w:r>
            <w:r w:rsidR="00CD7B02">
              <w:rPr>
                <w:iCs/>
              </w:rPr>
              <w:t>38</w:t>
            </w:r>
            <w:r w:rsidRPr="00B14EB7">
              <w:rPr>
                <w:iCs/>
              </w:rPr>
              <w:t>和</w:t>
            </w:r>
            <w:r>
              <w:rPr>
                <w:rFonts w:hint="eastAsia"/>
                <w:iCs/>
              </w:rPr>
              <w:t>第</w:t>
            </w:r>
            <w:r w:rsidR="00CD7B02">
              <w:rPr>
                <w:iCs/>
              </w:rPr>
              <w:t>4</w:t>
            </w:r>
            <w:r w:rsidRPr="00B14EB7">
              <w:rPr>
                <w:iCs/>
              </w:rPr>
              <w:t>0</w:t>
            </w:r>
            <w:r>
              <w:rPr>
                <w:rFonts w:hint="eastAsia"/>
                <w:iCs/>
              </w:rPr>
              <w:t>段</w:t>
            </w:r>
          </w:p>
        </w:tc>
      </w:tr>
      <w:tr w:rsidR="003D7CA8" w14:paraId="29439DE0" w14:textId="77777777" w:rsidTr="00F40C22">
        <w:trPr>
          <w:cantSplit/>
        </w:trPr>
        <w:tc>
          <w:tcPr>
            <w:tcW w:w="3261" w:type="dxa"/>
          </w:tcPr>
          <w:p w14:paraId="0B80FE03" w14:textId="736A4B95" w:rsidR="003D7CA8" w:rsidRPr="00172E04" w:rsidRDefault="00BC7F3E" w:rsidP="0069394F">
            <w:pPr>
              <w:pStyle w:val="SingleTxtGC"/>
              <w:ind w:left="0" w:right="0"/>
              <w:rPr>
                <w:rFonts w:eastAsia="楷体"/>
              </w:rPr>
            </w:pPr>
            <w:r w:rsidRPr="00CE2563">
              <w:rPr>
                <w:rFonts w:eastAsia="楷体" w:hint="eastAsia"/>
                <w:iCs/>
              </w:rPr>
              <w:t>从缔约国收到的资料：</w:t>
            </w:r>
          </w:p>
        </w:tc>
        <w:tc>
          <w:tcPr>
            <w:tcW w:w="3670" w:type="dxa"/>
          </w:tcPr>
          <w:p w14:paraId="6E9D72A2" w14:textId="3298F095" w:rsidR="003D7CA8" w:rsidRPr="00003287" w:rsidRDefault="00A90CAA" w:rsidP="0069394F">
            <w:pPr>
              <w:pStyle w:val="SingleTxtGC"/>
              <w:ind w:left="0" w:right="0"/>
              <w:rPr>
                <w:spacing w:val="-8"/>
              </w:rPr>
            </w:pPr>
            <w:hyperlink r:id="rId10" w:history="1">
              <w:proofErr w:type="spellStart"/>
              <w:r w:rsidR="00CD7B02" w:rsidRPr="00003287">
                <w:rPr>
                  <w:rStyle w:val="af6"/>
                  <w:spacing w:val="-8"/>
                  <w:shd w:val="clear" w:color="auto" w:fill="FFFFFF"/>
                </w:rPr>
                <w:t>CCPR</w:t>
              </w:r>
              <w:proofErr w:type="spellEnd"/>
              <w:r w:rsidR="00BC7F3E" w:rsidRPr="00003287">
                <w:rPr>
                  <w:rStyle w:val="af6"/>
                  <w:spacing w:val="-8"/>
                  <w:shd w:val="clear" w:color="auto" w:fill="FFFFFF"/>
                </w:rPr>
                <w:t>/</w:t>
              </w:r>
              <w:r w:rsidR="00CD7B02" w:rsidRPr="00003287">
                <w:rPr>
                  <w:rStyle w:val="af6"/>
                  <w:spacing w:val="-8"/>
                  <w:shd w:val="clear" w:color="auto" w:fill="FFFFFF"/>
                </w:rPr>
                <w:t>C</w:t>
              </w:r>
              <w:r w:rsidR="00BC7F3E" w:rsidRPr="00003287">
                <w:rPr>
                  <w:rStyle w:val="af6"/>
                  <w:spacing w:val="-8"/>
                  <w:shd w:val="clear" w:color="auto" w:fill="FFFFFF"/>
                </w:rPr>
                <w:t>/</w:t>
              </w:r>
              <w:r w:rsidR="00CD7B02" w:rsidRPr="00003287">
                <w:rPr>
                  <w:rStyle w:val="af6"/>
                  <w:spacing w:val="-8"/>
                  <w:shd w:val="clear" w:color="auto" w:fill="FFFFFF"/>
                </w:rPr>
                <w:t>MUS</w:t>
              </w:r>
              <w:r w:rsidR="00BC7F3E" w:rsidRPr="00003287">
                <w:rPr>
                  <w:rStyle w:val="af6"/>
                  <w:spacing w:val="-8"/>
                  <w:shd w:val="clear" w:color="auto" w:fill="FFFFFF"/>
                </w:rPr>
                <w:t>/</w:t>
              </w:r>
              <w:r w:rsidR="00CD7B02" w:rsidRPr="00003287">
                <w:rPr>
                  <w:rStyle w:val="af6"/>
                  <w:spacing w:val="-8"/>
                  <w:shd w:val="clear" w:color="auto" w:fill="FFFFFF"/>
                </w:rPr>
                <w:t>CO</w:t>
              </w:r>
              <w:r w:rsidR="00BC7F3E" w:rsidRPr="00003287">
                <w:rPr>
                  <w:rStyle w:val="af6"/>
                  <w:spacing w:val="-8"/>
                  <w:shd w:val="clear" w:color="auto" w:fill="FFFFFF"/>
                </w:rPr>
                <w:t>/</w:t>
              </w:r>
              <w:r w:rsidR="00CD7B02" w:rsidRPr="00003287">
                <w:rPr>
                  <w:rStyle w:val="af6"/>
                  <w:spacing w:val="-8"/>
                  <w:shd w:val="clear" w:color="auto" w:fill="FFFFFF"/>
                </w:rPr>
                <w:t>5</w:t>
              </w:r>
              <w:r w:rsidR="00BC7F3E" w:rsidRPr="00003287">
                <w:rPr>
                  <w:rStyle w:val="af6"/>
                  <w:spacing w:val="-8"/>
                  <w:shd w:val="clear" w:color="auto" w:fill="FFFFFF"/>
                </w:rPr>
                <w:t>/</w:t>
              </w:r>
              <w:proofErr w:type="spellStart"/>
              <w:r w:rsidR="00CD7B02" w:rsidRPr="00003287">
                <w:rPr>
                  <w:rStyle w:val="af6"/>
                  <w:spacing w:val="-8"/>
                  <w:shd w:val="clear" w:color="auto" w:fill="FFFFFF"/>
                </w:rPr>
                <w:t>Add</w:t>
              </w:r>
              <w:r w:rsidR="00BC7F3E" w:rsidRPr="00003287">
                <w:rPr>
                  <w:rStyle w:val="af6"/>
                  <w:spacing w:val="-8"/>
                  <w:shd w:val="clear" w:color="auto" w:fill="FFFFFF"/>
                </w:rPr>
                <w:t>.</w:t>
              </w:r>
              <w:r w:rsidR="00CD7B02" w:rsidRPr="00003287">
                <w:rPr>
                  <w:rStyle w:val="af6"/>
                  <w:spacing w:val="-8"/>
                  <w:shd w:val="clear" w:color="auto" w:fill="FFFFFF"/>
                </w:rPr>
                <w:t>1</w:t>
              </w:r>
              <w:proofErr w:type="spellEnd"/>
            </w:hyperlink>
            <w:r w:rsidR="00D4648D" w:rsidRPr="00003287">
              <w:rPr>
                <w:rStyle w:val="af6"/>
                <w:rFonts w:hint="eastAsia"/>
                <w:spacing w:val="-2"/>
              </w:rPr>
              <w:t>,</w:t>
            </w:r>
            <w:r w:rsidR="00BC7F3E" w:rsidRPr="00003287">
              <w:rPr>
                <w:rStyle w:val="af6"/>
                <w:color w:val="auto"/>
                <w:spacing w:val="-2"/>
                <w:shd w:val="clear" w:color="auto" w:fill="FFFFFF"/>
              </w:rPr>
              <w:t xml:space="preserve"> </w:t>
            </w:r>
            <w:r w:rsidR="00CD7B02" w:rsidRPr="00003287">
              <w:rPr>
                <w:rStyle w:val="af6"/>
                <w:color w:val="auto"/>
                <w:spacing w:val="-12"/>
                <w:shd w:val="clear" w:color="auto" w:fill="FFFFFF"/>
              </w:rPr>
              <w:t>2</w:t>
            </w:r>
            <w:r w:rsidR="00BC7F3E" w:rsidRPr="00003287">
              <w:rPr>
                <w:rStyle w:val="af6"/>
                <w:color w:val="auto"/>
                <w:spacing w:val="-12"/>
                <w:shd w:val="clear" w:color="auto" w:fill="FFFFFF"/>
              </w:rPr>
              <w:t>0</w:t>
            </w:r>
            <w:r w:rsidR="00CD7B02" w:rsidRPr="00003287">
              <w:rPr>
                <w:rStyle w:val="af6"/>
                <w:color w:val="auto"/>
                <w:spacing w:val="-12"/>
                <w:shd w:val="clear" w:color="auto" w:fill="FFFFFF"/>
              </w:rPr>
              <w:t>19</w:t>
            </w:r>
            <w:r w:rsidR="00BC7F3E" w:rsidRPr="00003287">
              <w:rPr>
                <w:rStyle w:val="af6"/>
                <w:rFonts w:hint="eastAsia"/>
                <w:color w:val="auto"/>
                <w:spacing w:val="-12"/>
                <w:shd w:val="clear" w:color="auto" w:fill="FFFFFF"/>
              </w:rPr>
              <w:t>年</w:t>
            </w:r>
            <w:r w:rsidR="00CD7B02" w:rsidRPr="00003287">
              <w:rPr>
                <w:rStyle w:val="af6"/>
                <w:rFonts w:hint="eastAsia"/>
                <w:color w:val="auto"/>
                <w:spacing w:val="-12"/>
                <w:shd w:val="clear" w:color="auto" w:fill="FFFFFF"/>
              </w:rPr>
              <w:t>1</w:t>
            </w:r>
            <w:r w:rsidR="00CD7B02" w:rsidRPr="00003287">
              <w:rPr>
                <w:rStyle w:val="af6"/>
                <w:color w:val="auto"/>
                <w:spacing w:val="-12"/>
                <w:shd w:val="clear" w:color="auto" w:fill="FFFFFF"/>
              </w:rPr>
              <w:t>1</w:t>
            </w:r>
            <w:r w:rsidR="00BC7F3E" w:rsidRPr="00003287">
              <w:rPr>
                <w:rStyle w:val="af6"/>
                <w:rFonts w:hint="eastAsia"/>
                <w:color w:val="auto"/>
                <w:spacing w:val="-12"/>
                <w:shd w:val="clear" w:color="auto" w:fill="FFFFFF"/>
              </w:rPr>
              <w:t>月</w:t>
            </w:r>
            <w:r w:rsidR="00CD7B02" w:rsidRPr="00003287">
              <w:rPr>
                <w:rStyle w:val="af6"/>
                <w:rFonts w:hint="eastAsia"/>
                <w:color w:val="auto"/>
                <w:spacing w:val="-12"/>
                <w:shd w:val="clear" w:color="auto" w:fill="FFFFFF"/>
              </w:rPr>
              <w:t>8</w:t>
            </w:r>
            <w:r w:rsidR="00BC7F3E" w:rsidRPr="00003287">
              <w:rPr>
                <w:rStyle w:val="af6"/>
                <w:rFonts w:hint="eastAsia"/>
                <w:color w:val="auto"/>
                <w:spacing w:val="-12"/>
                <w:shd w:val="clear" w:color="auto" w:fill="FFFFFF"/>
              </w:rPr>
              <w:t>日</w:t>
            </w:r>
          </w:p>
        </w:tc>
      </w:tr>
      <w:tr w:rsidR="003D7CA8" w14:paraId="3F52D6DB" w14:textId="77777777" w:rsidTr="00F40C22">
        <w:trPr>
          <w:cantSplit/>
        </w:trPr>
        <w:tc>
          <w:tcPr>
            <w:tcW w:w="3261" w:type="dxa"/>
          </w:tcPr>
          <w:p w14:paraId="220C58F1" w14:textId="2BE9E0EA" w:rsidR="003D7CA8" w:rsidRPr="00172E04" w:rsidRDefault="00BC7F3E" w:rsidP="0069394F">
            <w:pPr>
              <w:pStyle w:val="SingleTxtGC"/>
              <w:ind w:left="0" w:right="0"/>
              <w:rPr>
                <w:rFonts w:ascii="Time New Roman" w:eastAsia="楷体" w:hAnsi="Time New Roman" w:hint="eastAsia"/>
              </w:rPr>
            </w:pPr>
            <w:r w:rsidRPr="00CE2563">
              <w:rPr>
                <w:rFonts w:eastAsia="楷体" w:hint="eastAsia"/>
                <w:iCs/>
              </w:rPr>
              <w:t>委员会的评价：</w:t>
            </w:r>
          </w:p>
        </w:tc>
        <w:tc>
          <w:tcPr>
            <w:tcW w:w="3670" w:type="dxa"/>
          </w:tcPr>
          <w:p w14:paraId="4EBCE2BA" w14:textId="736BE313" w:rsidR="003D7CA8" w:rsidRPr="00C74FB6" w:rsidRDefault="00BC7F3E" w:rsidP="0069394F">
            <w:pPr>
              <w:pStyle w:val="SingleTxtGC"/>
              <w:ind w:left="0" w:right="0"/>
            </w:pPr>
            <w:r w:rsidRPr="007F6944">
              <w:rPr>
                <w:rFonts w:hint="eastAsia"/>
              </w:rPr>
              <w:t>需追加关于以下段落的资料：</w:t>
            </w:r>
            <w:r w:rsidR="00CD7B02">
              <w:t>8</w:t>
            </w:r>
            <w:r w:rsidRPr="00B14EB7">
              <w:t>[</w:t>
            </w:r>
            <w:r w:rsidR="00CD7B02">
              <w:rPr>
                <w:rFonts w:eastAsia="黑体"/>
                <w:b/>
              </w:rPr>
              <w:t>C</w:t>
            </w:r>
            <w:r w:rsidRPr="00B14EB7">
              <w:t>][</w:t>
            </w:r>
            <w:r w:rsidR="00CD7B02">
              <w:rPr>
                <w:rFonts w:eastAsia="黑体"/>
                <w:b/>
              </w:rPr>
              <w:t>B</w:t>
            </w:r>
            <w:r w:rsidRPr="005714AF">
              <w:rPr>
                <w:rFonts w:eastAsia="黑体"/>
                <w:bCs/>
              </w:rPr>
              <w:t>]</w:t>
            </w:r>
            <w:r w:rsidRPr="00B14EB7">
              <w:t>、</w:t>
            </w:r>
            <w:r w:rsidR="00CD7B02">
              <w:t>38</w:t>
            </w:r>
            <w:r w:rsidRPr="00B14EB7">
              <w:t>[</w:t>
            </w:r>
            <w:r w:rsidR="00CD7B02">
              <w:rPr>
                <w:rFonts w:eastAsia="黑体"/>
                <w:b/>
              </w:rPr>
              <w:t>C</w:t>
            </w:r>
            <w:r w:rsidRPr="00B14EB7">
              <w:t>][</w:t>
            </w:r>
            <w:r w:rsidR="00CD7B02">
              <w:rPr>
                <w:rFonts w:eastAsia="黑体"/>
                <w:b/>
              </w:rPr>
              <w:t>A</w:t>
            </w:r>
            <w:r w:rsidRPr="005714AF">
              <w:rPr>
                <w:rFonts w:eastAsia="黑体"/>
                <w:bCs/>
              </w:rPr>
              <w:t>]</w:t>
            </w:r>
            <w:r w:rsidRPr="00B14EB7">
              <w:t>和</w:t>
            </w:r>
            <w:r w:rsidR="00CD7B02">
              <w:t>4</w:t>
            </w:r>
            <w:r w:rsidRPr="00B14EB7">
              <w:t>0[</w:t>
            </w:r>
            <w:r w:rsidR="00CD7B02">
              <w:rPr>
                <w:rFonts w:eastAsia="黑体"/>
                <w:b/>
              </w:rPr>
              <w:t>C</w:t>
            </w:r>
            <w:r w:rsidRPr="005714AF">
              <w:rPr>
                <w:rFonts w:eastAsia="黑体"/>
                <w:bCs/>
              </w:rPr>
              <w:t>]</w:t>
            </w:r>
            <w:r w:rsidRPr="00B14EB7">
              <w:t>[</w:t>
            </w:r>
            <w:r w:rsidR="00CD7B02">
              <w:rPr>
                <w:rFonts w:eastAsia="黑体"/>
                <w:b/>
              </w:rPr>
              <w:t>A</w:t>
            </w:r>
            <w:r w:rsidRPr="005714AF">
              <w:rPr>
                <w:rFonts w:eastAsia="黑体"/>
                <w:bCs/>
              </w:rPr>
              <w:t>]</w:t>
            </w:r>
          </w:p>
        </w:tc>
      </w:tr>
    </w:tbl>
    <w:p w14:paraId="0B959283" w14:textId="6C29FB01" w:rsidR="00A77B99" w:rsidRDefault="00A77B99" w:rsidP="005A11CB">
      <w:pPr>
        <w:pStyle w:val="H23GC"/>
      </w:pPr>
      <w:r>
        <w:rPr>
          <w:rFonts w:hint="eastAsia"/>
        </w:rPr>
        <w:tab/>
      </w:r>
      <w:r>
        <w:rPr>
          <w:rFonts w:hint="eastAsia"/>
        </w:rPr>
        <w:tab/>
      </w:r>
      <w:r>
        <w:rPr>
          <w:rFonts w:hint="eastAsia"/>
        </w:rPr>
        <w:t>第</w:t>
      </w:r>
      <w:r w:rsidR="00CD7B02">
        <w:rPr>
          <w:rFonts w:hint="eastAsia"/>
        </w:rPr>
        <w:t>8</w:t>
      </w:r>
      <w:r>
        <w:rPr>
          <w:rFonts w:hint="eastAsia"/>
        </w:rPr>
        <w:t>段：国家人权委员会</w:t>
      </w:r>
    </w:p>
    <w:p w14:paraId="042271BA" w14:textId="268480CE" w:rsidR="00A77B99" w:rsidRPr="005A11CB" w:rsidRDefault="00A77B99" w:rsidP="00A77B99">
      <w:pPr>
        <w:pStyle w:val="SingleTxtGC"/>
        <w:spacing w:before="120"/>
        <w:rPr>
          <w:rFonts w:ascii="Time New Roman" w:eastAsia="黑体" w:hAnsi="Time New Roman" w:hint="eastAsia"/>
        </w:rPr>
      </w:pPr>
      <w:r>
        <w:rPr>
          <w:rFonts w:hint="eastAsia"/>
        </w:rPr>
        <w:tab/>
      </w:r>
      <w:r w:rsidRPr="005A11CB">
        <w:rPr>
          <w:rFonts w:ascii="Time New Roman" w:eastAsia="黑体" w:hAnsi="Time New Roman" w:hint="eastAsia"/>
        </w:rPr>
        <w:t>缔约国应：</w:t>
      </w:r>
      <w:r w:rsidRPr="005A11CB">
        <w:rPr>
          <w:rFonts w:ascii="Time New Roman" w:eastAsia="黑体" w:hAnsi="Time New Roman" w:hint="eastAsia"/>
        </w:rPr>
        <w:t>(</w:t>
      </w:r>
      <w:r w:rsidR="00CD7B02">
        <w:rPr>
          <w:rFonts w:ascii="Time New Roman" w:eastAsia="黑体" w:hAnsi="Time New Roman" w:hint="eastAsia"/>
        </w:rPr>
        <w:t>a</w:t>
      </w:r>
      <w:r w:rsidRPr="005A11CB">
        <w:rPr>
          <w:rFonts w:ascii="Time New Roman" w:eastAsia="黑体" w:hAnsi="Time New Roman" w:hint="eastAsia"/>
        </w:rPr>
        <w:t xml:space="preserve">) </w:t>
      </w:r>
      <w:r w:rsidRPr="005A11CB">
        <w:rPr>
          <w:rFonts w:ascii="Time New Roman" w:eastAsia="黑体" w:hAnsi="Time New Roman" w:hint="eastAsia"/>
        </w:rPr>
        <w:t>确保委员会及其各部门成员的遴选和任命过程更透明，更具参与性，以保证其独立性；</w:t>
      </w:r>
      <w:r w:rsidRPr="005A11CB">
        <w:rPr>
          <w:rFonts w:ascii="Time New Roman" w:eastAsia="黑体" w:hAnsi="Time New Roman" w:hint="eastAsia"/>
        </w:rPr>
        <w:t>(</w:t>
      </w:r>
      <w:r w:rsidR="00CD7B02">
        <w:rPr>
          <w:rFonts w:ascii="Time New Roman" w:eastAsia="黑体" w:hAnsi="Time New Roman" w:hint="eastAsia"/>
        </w:rPr>
        <w:t>b</w:t>
      </w:r>
      <w:r w:rsidRPr="005A11CB">
        <w:rPr>
          <w:rFonts w:ascii="Time New Roman" w:eastAsia="黑体" w:hAnsi="Time New Roman" w:hint="eastAsia"/>
        </w:rPr>
        <w:t xml:space="preserve">) </w:t>
      </w:r>
      <w:r w:rsidRPr="005A11CB">
        <w:rPr>
          <w:rFonts w:ascii="Time New Roman" w:eastAsia="黑体" w:hAnsi="Time New Roman" w:hint="eastAsia"/>
        </w:rPr>
        <w:t>保障他们的任期；</w:t>
      </w:r>
      <w:r w:rsidRPr="005A11CB">
        <w:rPr>
          <w:rFonts w:ascii="Time New Roman" w:eastAsia="黑体" w:hAnsi="Time New Roman" w:hint="eastAsia"/>
        </w:rPr>
        <w:t>(</w:t>
      </w:r>
      <w:r w:rsidR="00CD7B02">
        <w:rPr>
          <w:rFonts w:ascii="Time New Roman" w:eastAsia="黑体" w:hAnsi="Time New Roman" w:hint="eastAsia"/>
        </w:rPr>
        <w:t>c</w:t>
      </w:r>
      <w:r w:rsidRPr="005A11CB">
        <w:rPr>
          <w:rFonts w:ascii="Time New Roman" w:eastAsia="黑体" w:hAnsi="Time New Roman" w:hint="eastAsia"/>
        </w:rPr>
        <w:t xml:space="preserve">) </w:t>
      </w:r>
      <w:r w:rsidRPr="005A11CB">
        <w:rPr>
          <w:rFonts w:ascii="Time New Roman" w:eastAsia="黑体" w:hAnsi="Time New Roman" w:hint="eastAsia"/>
        </w:rPr>
        <w:t>采取措施防止与成员职责有关的利益冲突；</w:t>
      </w:r>
      <w:r w:rsidRPr="005A11CB">
        <w:rPr>
          <w:rFonts w:ascii="Time New Roman" w:eastAsia="黑体" w:hAnsi="Time New Roman" w:hint="eastAsia"/>
        </w:rPr>
        <w:t>(</w:t>
      </w:r>
      <w:r w:rsidR="00CD7B02">
        <w:rPr>
          <w:rFonts w:ascii="Time New Roman" w:eastAsia="黑体" w:hAnsi="Time New Roman" w:hint="eastAsia"/>
        </w:rPr>
        <w:t>d</w:t>
      </w:r>
      <w:r w:rsidRPr="005A11CB">
        <w:rPr>
          <w:rFonts w:ascii="Time New Roman" w:eastAsia="黑体" w:hAnsi="Time New Roman" w:hint="eastAsia"/>
        </w:rPr>
        <w:t xml:space="preserve">) </w:t>
      </w:r>
      <w:r w:rsidRPr="005A11CB">
        <w:rPr>
          <w:rFonts w:ascii="Time New Roman" w:eastAsia="黑体" w:hAnsi="Time New Roman" w:hint="eastAsia"/>
        </w:rPr>
        <w:t>澄清委员会各部门的任务；以及</w:t>
      </w:r>
      <w:r w:rsidRPr="005A11CB">
        <w:rPr>
          <w:rFonts w:ascii="Time New Roman" w:eastAsia="黑体" w:hAnsi="Time New Roman" w:hint="eastAsia"/>
        </w:rPr>
        <w:t>(</w:t>
      </w:r>
      <w:r w:rsidR="00CD7B02">
        <w:rPr>
          <w:rFonts w:ascii="Time New Roman" w:eastAsia="黑体" w:hAnsi="Time New Roman" w:hint="eastAsia"/>
        </w:rPr>
        <w:t>e</w:t>
      </w:r>
      <w:r w:rsidRPr="005A11CB">
        <w:rPr>
          <w:rFonts w:ascii="Time New Roman" w:eastAsia="黑体" w:hAnsi="Time New Roman" w:hint="eastAsia"/>
        </w:rPr>
        <w:t xml:space="preserve">) </w:t>
      </w:r>
      <w:r w:rsidRPr="005A11CB">
        <w:rPr>
          <w:rFonts w:ascii="Time New Roman" w:eastAsia="黑体" w:hAnsi="Time New Roman" w:hint="eastAsia"/>
        </w:rPr>
        <w:t>向委员会提供足够和稳定的训练有素的工作人员，使其能够</w:t>
      </w:r>
      <w:proofErr w:type="gramStart"/>
      <w:r w:rsidRPr="005A11CB">
        <w:rPr>
          <w:rFonts w:ascii="Time New Roman" w:eastAsia="黑体" w:hAnsi="Time New Roman" w:hint="eastAsia"/>
        </w:rPr>
        <w:t>妥善履行</w:t>
      </w:r>
      <w:proofErr w:type="gramEnd"/>
      <w:r w:rsidRPr="005A11CB">
        <w:rPr>
          <w:rFonts w:ascii="Time New Roman" w:eastAsia="黑体" w:hAnsi="Time New Roman" w:hint="eastAsia"/>
        </w:rPr>
        <w:t>任务，完全遵循关于促进和保护人权的国家机构的地位的原则</w:t>
      </w:r>
      <w:r w:rsidRPr="005A11CB">
        <w:rPr>
          <w:rFonts w:ascii="Time New Roman" w:eastAsia="黑体" w:hAnsi="Time New Roman" w:hint="eastAsia"/>
        </w:rPr>
        <w:t>(</w:t>
      </w:r>
      <w:r w:rsidRPr="005A11CB">
        <w:rPr>
          <w:rFonts w:ascii="Time New Roman" w:eastAsia="黑体" w:hAnsi="Time New Roman" w:hint="eastAsia"/>
        </w:rPr>
        <w:t>《巴黎原则》</w:t>
      </w:r>
      <w:r w:rsidRPr="005A11CB">
        <w:rPr>
          <w:rFonts w:ascii="Time New Roman" w:eastAsia="黑体" w:hAnsi="Time New Roman" w:hint="eastAsia"/>
        </w:rPr>
        <w:t>)</w:t>
      </w:r>
      <w:r w:rsidRPr="005A11CB">
        <w:rPr>
          <w:rFonts w:ascii="Time New Roman" w:eastAsia="黑体" w:hAnsi="Time New Roman" w:hint="eastAsia"/>
        </w:rPr>
        <w:t>。</w:t>
      </w:r>
    </w:p>
    <w:p w14:paraId="3871A0A5" w14:textId="77777777" w:rsidR="00A77B99" w:rsidRDefault="00A77B99" w:rsidP="005A11CB">
      <w:pPr>
        <w:pStyle w:val="H23GC"/>
      </w:pPr>
      <w:r>
        <w:rPr>
          <w:rFonts w:hint="eastAsia"/>
        </w:rPr>
        <w:tab/>
      </w:r>
      <w:r>
        <w:rPr>
          <w:rFonts w:hint="eastAsia"/>
        </w:rPr>
        <w:tab/>
      </w:r>
      <w:r>
        <w:rPr>
          <w:rFonts w:hint="eastAsia"/>
        </w:rPr>
        <w:t>缔约国答复概要</w:t>
      </w:r>
    </w:p>
    <w:p w14:paraId="7A2CBCFE" w14:textId="0F09B915" w:rsidR="00A77B99" w:rsidRDefault="00061CEC" w:rsidP="00A77B99">
      <w:pPr>
        <w:pStyle w:val="SingleTxtGC"/>
        <w:spacing w:before="120"/>
      </w:pPr>
      <w:r>
        <w:tab/>
      </w:r>
      <w:r w:rsidR="00A77B99">
        <w:rPr>
          <w:rFonts w:hint="eastAsia"/>
        </w:rPr>
        <w:t>(</w:t>
      </w:r>
      <w:r w:rsidR="00CD7B02">
        <w:rPr>
          <w:rFonts w:hint="eastAsia"/>
        </w:rPr>
        <w:t>a</w:t>
      </w:r>
      <w:r w:rsidR="00A77B99">
        <w:rPr>
          <w:rFonts w:hint="eastAsia"/>
        </w:rPr>
        <w:t>)</w:t>
      </w:r>
      <w:r w:rsidR="00A77B99">
        <w:rPr>
          <w:rFonts w:hint="eastAsia"/>
        </w:rPr>
        <w:tab/>
      </w:r>
      <w:r w:rsidR="00A77B99" w:rsidRPr="00E705AF">
        <w:rPr>
          <w:rFonts w:hint="eastAsia"/>
          <w:spacing w:val="-6"/>
        </w:rPr>
        <w:t>《人权保护法》第</w:t>
      </w:r>
      <w:r w:rsidR="00CD7B02" w:rsidRPr="00E705AF">
        <w:rPr>
          <w:rFonts w:hint="eastAsia"/>
          <w:spacing w:val="-6"/>
        </w:rPr>
        <w:t>3</w:t>
      </w:r>
      <w:r w:rsidR="00A77B99" w:rsidRPr="00E705AF">
        <w:rPr>
          <w:rFonts w:hint="eastAsia"/>
          <w:spacing w:val="-6"/>
        </w:rPr>
        <w:t>(</w:t>
      </w:r>
      <w:r w:rsidR="00CD7B02" w:rsidRPr="00E705AF">
        <w:rPr>
          <w:rFonts w:hint="eastAsia"/>
          <w:spacing w:val="-6"/>
        </w:rPr>
        <w:t>8</w:t>
      </w:r>
      <w:r w:rsidR="00A77B99" w:rsidRPr="00E705AF">
        <w:rPr>
          <w:rFonts w:hint="eastAsia"/>
          <w:spacing w:val="-6"/>
        </w:rPr>
        <w:t>)</w:t>
      </w:r>
      <w:r w:rsidR="00A77B99" w:rsidRPr="00E705AF">
        <w:rPr>
          <w:rFonts w:hint="eastAsia"/>
          <w:spacing w:val="-6"/>
        </w:rPr>
        <w:t>条规定，主席、副主席和各部门的成员由总统任命。</w:t>
      </w:r>
      <w:r w:rsidR="00A77B99">
        <w:rPr>
          <w:rFonts w:hint="eastAsia"/>
        </w:rPr>
        <w:t>第</w:t>
      </w:r>
      <w:r w:rsidR="00CD7B02">
        <w:rPr>
          <w:rFonts w:hint="eastAsia"/>
        </w:rPr>
        <w:t>3</w:t>
      </w:r>
      <w:r w:rsidR="00A77B99">
        <w:rPr>
          <w:rFonts w:hint="eastAsia"/>
        </w:rPr>
        <w:t>(</w:t>
      </w:r>
      <w:r w:rsidR="00CD7B02">
        <w:rPr>
          <w:rFonts w:hint="eastAsia"/>
        </w:rPr>
        <w:t>2</w:t>
      </w:r>
      <w:r w:rsidR="00A77B99">
        <w:rPr>
          <w:rFonts w:hint="eastAsia"/>
        </w:rPr>
        <w:t>)</w:t>
      </w:r>
      <w:r w:rsidR="00A77B99">
        <w:rPr>
          <w:rFonts w:hint="eastAsia"/>
        </w:rPr>
        <w:t>条规定，国家人权委员会在行使职能时，不应受任何他人或主管机构管理或控制。</w:t>
      </w:r>
    </w:p>
    <w:p w14:paraId="215B616C" w14:textId="331A1751" w:rsidR="00A77B99" w:rsidRDefault="00061CEC" w:rsidP="00A77B99">
      <w:pPr>
        <w:pStyle w:val="SingleTxtGC"/>
        <w:spacing w:before="120"/>
      </w:pPr>
      <w:r>
        <w:tab/>
      </w:r>
      <w:r w:rsidR="00A77B99">
        <w:rPr>
          <w:rFonts w:hint="eastAsia"/>
        </w:rPr>
        <w:t>(</w:t>
      </w:r>
      <w:r w:rsidR="00CD7B02">
        <w:rPr>
          <w:rFonts w:hint="eastAsia"/>
        </w:rPr>
        <w:t>b</w:t>
      </w:r>
      <w:r w:rsidR="00A77B99">
        <w:rPr>
          <w:rFonts w:hint="eastAsia"/>
        </w:rPr>
        <w:t>)</w:t>
      </w:r>
      <w:r w:rsidR="00A77B99">
        <w:rPr>
          <w:rFonts w:hint="eastAsia"/>
        </w:rPr>
        <w:tab/>
      </w:r>
      <w:r w:rsidR="00A77B99">
        <w:rPr>
          <w:rFonts w:hint="eastAsia"/>
        </w:rPr>
        <w:t>该法第</w:t>
      </w:r>
      <w:r w:rsidR="00CD7B02">
        <w:rPr>
          <w:rFonts w:hint="eastAsia"/>
        </w:rPr>
        <w:t>3</w:t>
      </w:r>
      <w:r w:rsidR="00A77B99">
        <w:rPr>
          <w:rFonts w:hint="eastAsia"/>
        </w:rPr>
        <w:t>(</w:t>
      </w:r>
      <w:r w:rsidR="00CD7B02">
        <w:rPr>
          <w:rFonts w:hint="eastAsia"/>
        </w:rPr>
        <w:t>1</w:t>
      </w:r>
      <w:r w:rsidR="00A77B99">
        <w:rPr>
          <w:rFonts w:hint="eastAsia"/>
        </w:rPr>
        <w:t>0)</w:t>
      </w:r>
      <w:r w:rsidR="00A77B99">
        <w:rPr>
          <w:rFonts w:hint="eastAsia"/>
        </w:rPr>
        <w:t>条对国家人权委员会任何成员因身体或精神疾病或行为不当而无法履职的情况</w:t>
      </w:r>
      <w:proofErr w:type="gramStart"/>
      <w:r w:rsidR="00A77B99">
        <w:rPr>
          <w:rFonts w:hint="eastAsia"/>
        </w:rPr>
        <w:t>作出</w:t>
      </w:r>
      <w:proofErr w:type="gramEnd"/>
      <w:r w:rsidR="00A77B99">
        <w:rPr>
          <w:rFonts w:hint="eastAsia"/>
        </w:rPr>
        <w:t>了具体规定。此外，毛里求斯《宪法》还规定，对某一职位</w:t>
      </w:r>
      <w:proofErr w:type="gramStart"/>
      <w:r w:rsidR="00A77B99">
        <w:rPr>
          <w:rFonts w:hint="eastAsia"/>
        </w:rPr>
        <w:t>作出</w:t>
      </w:r>
      <w:proofErr w:type="gramEnd"/>
      <w:r w:rsidR="00A77B99">
        <w:rPr>
          <w:rFonts w:hint="eastAsia"/>
        </w:rPr>
        <w:t>任命后，如果举行了大选，可由总理或在总理建议下随时终止任命。</w:t>
      </w:r>
    </w:p>
    <w:p w14:paraId="49B53D88" w14:textId="0E9CE6E3" w:rsidR="00A77B99" w:rsidRDefault="00061CEC" w:rsidP="00A77B99">
      <w:pPr>
        <w:pStyle w:val="SingleTxtGC"/>
        <w:spacing w:before="120"/>
      </w:pPr>
      <w:r>
        <w:tab/>
      </w:r>
      <w:r w:rsidR="00A77B99">
        <w:rPr>
          <w:rFonts w:hint="eastAsia"/>
        </w:rPr>
        <w:t>(</w:t>
      </w:r>
      <w:r w:rsidR="00CD7B02">
        <w:rPr>
          <w:rFonts w:hint="eastAsia"/>
        </w:rPr>
        <w:t>c</w:t>
      </w:r>
      <w:r w:rsidR="00A77B99">
        <w:rPr>
          <w:rFonts w:hint="eastAsia"/>
        </w:rPr>
        <w:t>)</w:t>
      </w:r>
      <w:r w:rsidR="00A77B99">
        <w:rPr>
          <w:rFonts w:hint="eastAsia"/>
        </w:rPr>
        <w:tab/>
      </w:r>
      <w:r w:rsidR="00A77B99">
        <w:rPr>
          <w:rFonts w:hint="eastAsia"/>
        </w:rPr>
        <w:t>没有与成员职责有关的利益冲突。</w:t>
      </w:r>
    </w:p>
    <w:p w14:paraId="49066751" w14:textId="3E2CF982" w:rsidR="00A77B99" w:rsidRDefault="00061CEC" w:rsidP="00A77B99">
      <w:pPr>
        <w:pStyle w:val="SingleTxtGC"/>
        <w:spacing w:before="120"/>
      </w:pPr>
      <w:r>
        <w:tab/>
      </w:r>
      <w:r w:rsidR="00A77B99">
        <w:rPr>
          <w:rFonts w:hint="eastAsia"/>
        </w:rPr>
        <w:t>(</w:t>
      </w:r>
      <w:r w:rsidR="00CD7B02">
        <w:rPr>
          <w:rFonts w:hint="eastAsia"/>
        </w:rPr>
        <w:t>d</w:t>
      </w:r>
      <w:r w:rsidR="00A77B99">
        <w:rPr>
          <w:rFonts w:hint="eastAsia"/>
        </w:rPr>
        <w:t>)</w:t>
      </w:r>
      <w:r w:rsidR="00A77B99">
        <w:rPr>
          <w:rFonts w:hint="eastAsia"/>
        </w:rPr>
        <w:tab/>
      </w:r>
      <w:r w:rsidR="00A77B99">
        <w:rPr>
          <w:rFonts w:hint="eastAsia"/>
        </w:rPr>
        <w:t>每个部门的任务均由法律明确规定。</w:t>
      </w:r>
    </w:p>
    <w:p w14:paraId="15B67142" w14:textId="02BF71A0" w:rsidR="00A77B99" w:rsidRDefault="00061CEC" w:rsidP="00952A6C">
      <w:pPr>
        <w:pStyle w:val="SingleTxtGC"/>
        <w:spacing w:before="120" w:line="308" w:lineRule="exact"/>
      </w:pPr>
      <w:r>
        <w:lastRenderedPageBreak/>
        <w:tab/>
      </w:r>
      <w:r w:rsidR="00A77B99">
        <w:rPr>
          <w:rFonts w:hint="eastAsia"/>
        </w:rPr>
        <w:t>(</w:t>
      </w:r>
      <w:r w:rsidR="00CD7B02">
        <w:rPr>
          <w:rFonts w:hint="eastAsia"/>
        </w:rPr>
        <w:t>e</w:t>
      </w:r>
      <w:r w:rsidR="00A77B99">
        <w:rPr>
          <w:rFonts w:hint="eastAsia"/>
        </w:rPr>
        <w:t>)</w:t>
      </w:r>
      <w:r w:rsidR="00A77B99">
        <w:rPr>
          <w:rFonts w:hint="eastAsia"/>
        </w:rPr>
        <w:tab/>
      </w:r>
      <w:r w:rsidR="00A77B99">
        <w:rPr>
          <w:rFonts w:hint="eastAsia"/>
        </w:rPr>
        <w:t>国家人权委员会的职能符合《巴黎原则》。国家人权委员会已证实，总理府为其提供了足够的工作人员，并将在后续预算中提供额外经费，用于征聘更多的调查员。国家人权委员会还表示，正在着手请求修正法律，以便该委员会能征聘自己的秘书。</w:t>
      </w:r>
    </w:p>
    <w:p w14:paraId="1323BADC" w14:textId="77777777" w:rsidR="00A77B99" w:rsidRDefault="00A77B99" w:rsidP="00952A6C">
      <w:pPr>
        <w:pStyle w:val="H23GC"/>
        <w:spacing w:line="308" w:lineRule="exact"/>
      </w:pPr>
      <w:r>
        <w:rPr>
          <w:rFonts w:hint="eastAsia"/>
        </w:rPr>
        <w:tab/>
      </w:r>
      <w:r>
        <w:rPr>
          <w:rFonts w:hint="eastAsia"/>
        </w:rPr>
        <w:tab/>
      </w:r>
      <w:r>
        <w:rPr>
          <w:rFonts w:hint="eastAsia"/>
        </w:rPr>
        <w:t>委员会的评价</w:t>
      </w:r>
    </w:p>
    <w:p w14:paraId="5CC44125" w14:textId="4DAF1A0E" w:rsidR="00A77B99" w:rsidRDefault="00A77B99" w:rsidP="00952A6C">
      <w:pPr>
        <w:pStyle w:val="SingleTxtGC"/>
        <w:spacing w:before="120" w:line="308" w:lineRule="exact"/>
      </w:pPr>
      <w:r>
        <w:rPr>
          <w:rFonts w:hint="eastAsia"/>
        </w:rPr>
        <w:t>[</w:t>
      </w:r>
      <w:r w:rsidR="00CD7B02">
        <w:rPr>
          <w:rFonts w:hint="eastAsia"/>
          <w:b/>
          <w:bCs/>
        </w:rPr>
        <w:t>C</w:t>
      </w:r>
      <w:r>
        <w:rPr>
          <w:rFonts w:hint="eastAsia"/>
        </w:rPr>
        <w:t>]</w:t>
      </w:r>
      <w:r w:rsidR="00CD7B02">
        <w:rPr>
          <w:rFonts w:hint="eastAsia"/>
        </w:rPr>
        <w:t>：</w:t>
      </w:r>
      <w:r>
        <w:rPr>
          <w:rFonts w:hint="eastAsia"/>
        </w:rPr>
        <w:t>(</w:t>
      </w:r>
      <w:r w:rsidR="00CD7B02">
        <w:rPr>
          <w:rFonts w:hint="eastAsia"/>
        </w:rPr>
        <w:t>a</w:t>
      </w:r>
      <w:r>
        <w:rPr>
          <w:rFonts w:hint="eastAsia"/>
        </w:rPr>
        <w:t>)</w:t>
      </w:r>
      <w:r>
        <w:rPr>
          <w:rFonts w:hint="eastAsia"/>
        </w:rPr>
        <w:t>、</w:t>
      </w:r>
      <w:r>
        <w:rPr>
          <w:rFonts w:hint="eastAsia"/>
        </w:rPr>
        <w:t>(</w:t>
      </w:r>
      <w:r w:rsidR="00CD7B02">
        <w:rPr>
          <w:rFonts w:hint="eastAsia"/>
        </w:rPr>
        <w:t>b</w:t>
      </w:r>
      <w:r>
        <w:rPr>
          <w:rFonts w:hint="eastAsia"/>
        </w:rPr>
        <w:t>)</w:t>
      </w:r>
      <w:r>
        <w:rPr>
          <w:rFonts w:hint="eastAsia"/>
        </w:rPr>
        <w:t>、</w:t>
      </w:r>
      <w:r>
        <w:rPr>
          <w:rFonts w:hint="eastAsia"/>
        </w:rPr>
        <w:t>(</w:t>
      </w:r>
      <w:r w:rsidR="00CD7B02">
        <w:rPr>
          <w:rFonts w:hint="eastAsia"/>
        </w:rPr>
        <w:t>c</w:t>
      </w:r>
      <w:r>
        <w:rPr>
          <w:rFonts w:hint="eastAsia"/>
        </w:rPr>
        <w:t>)</w:t>
      </w:r>
      <w:r>
        <w:rPr>
          <w:rFonts w:hint="eastAsia"/>
        </w:rPr>
        <w:t>和</w:t>
      </w:r>
      <w:r>
        <w:rPr>
          <w:rFonts w:hint="eastAsia"/>
        </w:rPr>
        <w:t>(</w:t>
      </w:r>
      <w:r w:rsidR="00CD7B02">
        <w:rPr>
          <w:rFonts w:hint="eastAsia"/>
        </w:rPr>
        <w:t>d</w:t>
      </w:r>
      <w:r>
        <w:rPr>
          <w:rFonts w:hint="eastAsia"/>
        </w:rPr>
        <w:t>)</w:t>
      </w:r>
    </w:p>
    <w:p w14:paraId="7003FD42" w14:textId="506D6EE1" w:rsidR="00A77B99" w:rsidRDefault="00061CEC" w:rsidP="00952A6C">
      <w:pPr>
        <w:pStyle w:val="SingleTxtGC"/>
        <w:spacing w:before="120" w:line="308" w:lineRule="exact"/>
      </w:pPr>
      <w:r>
        <w:tab/>
      </w:r>
      <w:r w:rsidR="00A77B99">
        <w:rPr>
          <w:rFonts w:hint="eastAsia"/>
        </w:rPr>
        <w:t>委员会注意到缔约国提供的关于上述法律第</w:t>
      </w:r>
      <w:r w:rsidR="00CD7B02">
        <w:rPr>
          <w:rFonts w:hint="eastAsia"/>
        </w:rPr>
        <w:t>3</w:t>
      </w:r>
      <w:r w:rsidR="00A77B99">
        <w:rPr>
          <w:rFonts w:hint="eastAsia"/>
        </w:rPr>
        <w:t>(</w:t>
      </w:r>
      <w:r w:rsidR="00CD7B02">
        <w:rPr>
          <w:rFonts w:hint="eastAsia"/>
        </w:rPr>
        <w:t>2</w:t>
      </w:r>
      <w:r w:rsidR="00A77B99">
        <w:rPr>
          <w:rFonts w:hint="eastAsia"/>
        </w:rPr>
        <w:t>)</w:t>
      </w:r>
      <w:r w:rsidR="00A77B99">
        <w:rPr>
          <w:rFonts w:hint="eastAsia"/>
        </w:rPr>
        <w:t>和</w:t>
      </w:r>
      <w:r w:rsidR="00A77B99">
        <w:rPr>
          <w:rFonts w:hint="eastAsia"/>
        </w:rPr>
        <w:t>(</w:t>
      </w:r>
      <w:r w:rsidR="00CD7B02">
        <w:rPr>
          <w:rFonts w:hint="eastAsia"/>
        </w:rPr>
        <w:t>8</w:t>
      </w:r>
      <w:r w:rsidR="00A77B99">
        <w:rPr>
          <w:rFonts w:hint="eastAsia"/>
        </w:rPr>
        <w:t>)</w:t>
      </w:r>
      <w:r w:rsidR="00A77B99">
        <w:rPr>
          <w:rFonts w:hint="eastAsia"/>
        </w:rPr>
        <w:t>条的资料，但感到遗憾</w:t>
      </w:r>
      <w:r w:rsidR="00A77B99" w:rsidRPr="003F252D">
        <w:rPr>
          <w:rFonts w:hint="eastAsia"/>
          <w:spacing w:val="4"/>
        </w:rPr>
        <w:t>的是，缔约国没有提供资料说明在委员会的结论性意见通过之后采取了哪些措</w:t>
      </w:r>
      <w:r w:rsidR="00A77B99">
        <w:rPr>
          <w:rFonts w:hint="eastAsia"/>
        </w:rPr>
        <w:t>施，以确保国家人权委员会及其各部门成员的遴选和任命程序更加透明和更具参与性，以保证他们的独立性。</w:t>
      </w:r>
    </w:p>
    <w:p w14:paraId="6417BE7E" w14:textId="78BDFE37" w:rsidR="00A77B99" w:rsidRDefault="00061CEC" w:rsidP="00952A6C">
      <w:pPr>
        <w:pStyle w:val="SingleTxtGC"/>
        <w:spacing w:before="120" w:line="308" w:lineRule="exact"/>
      </w:pPr>
      <w:r>
        <w:tab/>
      </w:r>
      <w:r w:rsidR="00A77B99">
        <w:rPr>
          <w:rFonts w:hint="eastAsia"/>
        </w:rPr>
        <w:t>委员会还注意到缔约国提供的关于上述法律第</w:t>
      </w:r>
      <w:r w:rsidR="00CD7B02">
        <w:rPr>
          <w:rFonts w:hint="eastAsia"/>
        </w:rPr>
        <w:t>3</w:t>
      </w:r>
      <w:r w:rsidR="00A77B99">
        <w:rPr>
          <w:rFonts w:hint="eastAsia"/>
        </w:rPr>
        <w:t>(</w:t>
      </w:r>
      <w:r w:rsidR="00CD7B02">
        <w:rPr>
          <w:rFonts w:hint="eastAsia"/>
        </w:rPr>
        <w:t>1</w:t>
      </w:r>
      <w:r w:rsidR="00A77B99">
        <w:rPr>
          <w:rFonts w:hint="eastAsia"/>
        </w:rPr>
        <w:t>0)</w:t>
      </w:r>
      <w:r w:rsidR="00A77B99">
        <w:rPr>
          <w:rFonts w:hint="eastAsia"/>
        </w:rPr>
        <w:t>条和《宪法》的资料。</w:t>
      </w:r>
      <w:r w:rsidR="00A77B99" w:rsidRPr="00233FE9">
        <w:rPr>
          <w:rFonts w:hint="eastAsia"/>
          <w:spacing w:val="2"/>
        </w:rPr>
        <w:t>但委员会感到遗憾的是，缔约国没有提供资料说明采取了哪些具体步骤以落实委</w:t>
      </w:r>
      <w:r w:rsidR="00A77B99">
        <w:rPr>
          <w:rFonts w:hint="eastAsia"/>
        </w:rPr>
        <w:t>员会的建议。</w:t>
      </w:r>
    </w:p>
    <w:p w14:paraId="7DF3C8CD" w14:textId="5CD6BE2F" w:rsidR="00A77B99" w:rsidRDefault="00061CEC" w:rsidP="00952A6C">
      <w:pPr>
        <w:pStyle w:val="SingleTxtGC"/>
        <w:spacing w:before="120" w:line="308" w:lineRule="exact"/>
      </w:pPr>
      <w:r>
        <w:tab/>
      </w:r>
      <w:r w:rsidR="00A77B99">
        <w:rPr>
          <w:rFonts w:hint="eastAsia"/>
        </w:rPr>
        <w:t>委员会关切地注意到，缔约国没有提供资料说明采取了哪些措施以防止出现与成员职责有关的利益冲突。</w:t>
      </w:r>
    </w:p>
    <w:p w14:paraId="0C6B694C" w14:textId="354AE9F1" w:rsidR="00A77B99" w:rsidRDefault="00061CEC" w:rsidP="00952A6C">
      <w:pPr>
        <w:pStyle w:val="SingleTxtGC"/>
        <w:spacing w:before="120" w:line="308" w:lineRule="exact"/>
      </w:pPr>
      <w:r w:rsidRPr="005B56E9">
        <w:rPr>
          <w:spacing w:val="2"/>
        </w:rPr>
        <w:tab/>
      </w:r>
      <w:r w:rsidR="00A77B99" w:rsidRPr="005B56E9">
        <w:rPr>
          <w:rFonts w:hint="eastAsia"/>
          <w:spacing w:val="2"/>
        </w:rPr>
        <w:t>委员会还感到关切的是，缔约国没有提供资料说明在结论性意见通过之后采</w:t>
      </w:r>
      <w:r w:rsidR="00A77B99">
        <w:rPr>
          <w:rFonts w:hint="eastAsia"/>
        </w:rPr>
        <w:t>取了哪些措施以澄清国家人权委员会各部门的任务。</w:t>
      </w:r>
    </w:p>
    <w:p w14:paraId="0FB32FCD" w14:textId="51876A8B" w:rsidR="00A77B99" w:rsidRDefault="00A77B99" w:rsidP="00952A6C">
      <w:pPr>
        <w:pStyle w:val="SingleTxtGC"/>
        <w:spacing w:before="120" w:line="308" w:lineRule="exact"/>
      </w:pPr>
      <w:r>
        <w:t>[</w:t>
      </w:r>
      <w:r w:rsidR="00CD7B02">
        <w:rPr>
          <w:b/>
          <w:bCs/>
        </w:rPr>
        <w:t>B</w:t>
      </w:r>
      <w:r>
        <w:t>]</w:t>
      </w:r>
      <w:r w:rsidR="00CD7B02">
        <w:t>：</w:t>
      </w:r>
      <w:r>
        <w:t>(</w:t>
      </w:r>
      <w:r w:rsidR="00CD7B02">
        <w:t>e</w:t>
      </w:r>
      <w:r>
        <w:t>)</w:t>
      </w:r>
    </w:p>
    <w:p w14:paraId="683D7EDF" w14:textId="15FD865D" w:rsidR="00A77B99" w:rsidRDefault="00061CEC" w:rsidP="00952A6C">
      <w:pPr>
        <w:pStyle w:val="SingleTxtGC"/>
        <w:spacing w:before="120" w:line="308" w:lineRule="exact"/>
      </w:pPr>
      <w:r>
        <w:tab/>
      </w:r>
      <w:r w:rsidR="00A77B99">
        <w:rPr>
          <w:rFonts w:hint="eastAsia"/>
        </w:rPr>
        <w:t>委员会欢迎缔约国提供的资料。委员会请缔约国提供进一步资料，说明：</w:t>
      </w:r>
      <w:r w:rsidR="00A77B99" w:rsidRPr="005F0A45">
        <w:rPr>
          <w:rFonts w:hint="eastAsia"/>
          <w:spacing w:val="-2"/>
        </w:rPr>
        <w:t>(</w:t>
      </w:r>
      <w:proofErr w:type="gramStart"/>
      <w:r w:rsidR="00A77B99" w:rsidRPr="005F0A45">
        <w:rPr>
          <w:rFonts w:hint="eastAsia"/>
          <w:spacing w:val="-2"/>
        </w:rPr>
        <w:t>一</w:t>
      </w:r>
      <w:proofErr w:type="gramEnd"/>
      <w:r w:rsidR="00A77B99" w:rsidRPr="005F0A45">
        <w:rPr>
          <w:rFonts w:hint="eastAsia"/>
          <w:spacing w:val="-2"/>
        </w:rPr>
        <w:t xml:space="preserve">) </w:t>
      </w:r>
      <w:r w:rsidR="00A77B99" w:rsidRPr="005F0A45">
        <w:rPr>
          <w:rFonts w:hint="eastAsia"/>
          <w:spacing w:val="-2"/>
        </w:rPr>
        <w:t>在决定征聘更多调查员后是否已经采取行动，包括调查员的征聘人数和征聘</w:t>
      </w:r>
      <w:r w:rsidR="00A77B99">
        <w:rPr>
          <w:rFonts w:hint="eastAsia"/>
        </w:rPr>
        <w:t>日期；</w:t>
      </w:r>
      <w:r w:rsidR="00A77B99">
        <w:rPr>
          <w:rFonts w:hint="eastAsia"/>
        </w:rPr>
        <w:t>(</w:t>
      </w:r>
      <w:r w:rsidR="00A77B99">
        <w:rPr>
          <w:rFonts w:hint="eastAsia"/>
        </w:rPr>
        <w:t>二</w:t>
      </w:r>
      <w:r w:rsidR="00A77B99">
        <w:rPr>
          <w:rFonts w:hint="eastAsia"/>
        </w:rPr>
        <w:t xml:space="preserve">) </w:t>
      </w:r>
      <w:r w:rsidR="00A77B99">
        <w:rPr>
          <w:rFonts w:hint="eastAsia"/>
        </w:rPr>
        <w:t>在修正法律以确保国家人权委员会能够征聘自己的秘书方面取得了哪些进展。</w:t>
      </w:r>
    </w:p>
    <w:p w14:paraId="1A392215" w14:textId="6A165A83" w:rsidR="00A77B99" w:rsidRDefault="00A77B99" w:rsidP="00952A6C">
      <w:pPr>
        <w:pStyle w:val="H23GC"/>
        <w:spacing w:line="308" w:lineRule="exact"/>
      </w:pPr>
      <w:r>
        <w:rPr>
          <w:rFonts w:hint="eastAsia"/>
        </w:rPr>
        <w:tab/>
      </w:r>
      <w:r>
        <w:rPr>
          <w:rFonts w:hint="eastAsia"/>
        </w:rPr>
        <w:tab/>
      </w:r>
      <w:r>
        <w:rPr>
          <w:rFonts w:hint="eastAsia"/>
        </w:rPr>
        <w:t>第</w:t>
      </w:r>
      <w:r w:rsidR="00CD7B02">
        <w:rPr>
          <w:rFonts w:hint="eastAsia"/>
        </w:rPr>
        <w:t>38</w:t>
      </w:r>
      <w:r>
        <w:rPr>
          <w:rFonts w:hint="eastAsia"/>
        </w:rPr>
        <w:t>段：难民、寻求庇护者和无国籍人</w:t>
      </w:r>
    </w:p>
    <w:p w14:paraId="1CDD36C7" w14:textId="77777777" w:rsidR="00A77B99" w:rsidRPr="001C5FF7" w:rsidRDefault="00A77B99" w:rsidP="00952A6C">
      <w:pPr>
        <w:pStyle w:val="SingleTxtGC"/>
        <w:spacing w:before="120" w:line="308" w:lineRule="exact"/>
        <w:rPr>
          <w:rFonts w:ascii="Time New Roman" w:eastAsia="黑体" w:hAnsi="Time New Roman" w:hint="eastAsia"/>
        </w:rPr>
      </w:pPr>
      <w:r w:rsidRPr="005F0A45">
        <w:rPr>
          <w:rFonts w:hint="eastAsia"/>
          <w:spacing w:val="2"/>
        </w:rPr>
        <w:tab/>
      </w:r>
      <w:r w:rsidRPr="005F0A45">
        <w:rPr>
          <w:rFonts w:ascii="Time New Roman" w:eastAsia="黑体" w:hAnsi="Time New Roman" w:hint="eastAsia"/>
          <w:spacing w:val="2"/>
        </w:rPr>
        <w:t>缔约国应考虑设立一个关于庇护的国家框架，包括评估和确定难民地位的机</w:t>
      </w:r>
      <w:r w:rsidRPr="001C5FF7">
        <w:rPr>
          <w:rFonts w:ascii="Time New Roman" w:eastAsia="黑体" w:hAnsi="Time New Roman" w:hint="eastAsia"/>
        </w:rPr>
        <w:t>制，以确保遵循不推回原则。缔约国应采取必要的措施防止无国籍状态，收集和发布关于居住在其境内的寻求庇护者、难民和无国籍人的人数的资料。</w:t>
      </w:r>
    </w:p>
    <w:p w14:paraId="6D8B3E24" w14:textId="77777777" w:rsidR="00A77B99" w:rsidRDefault="00A77B99" w:rsidP="00952A6C">
      <w:pPr>
        <w:pStyle w:val="H23GC"/>
        <w:spacing w:line="308" w:lineRule="exact"/>
      </w:pPr>
      <w:r>
        <w:rPr>
          <w:rFonts w:hint="eastAsia"/>
        </w:rPr>
        <w:tab/>
      </w:r>
      <w:r>
        <w:rPr>
          <w:rFonts w:hint="eastAsia"/>
        </w:rPr>
        <w:tab/>
      </w:r>
      <w:r>
        <w:rPr>
          <w:rFonts w:hint="eastAsia"/>
        </w:rPr>
        <w:t>缔约国答复概要</w:t>
      </w:r>
    </w:p>
    <w:p w14:paraId="11DBE0B8" w14:textId="64C91809" w:rsidR="00A77B99" w:rsidRDefault="00061CEC" w:rsidP="00952A6C">
      <w:pPr>
        <w:pStyle w:val="SingleTxtGC"/>
        <w:spacing w:before="120" w:line="308" w:lineRule="exact"/>
      </w:pPr>
      <w:r>
        <w:tab/>
      </w:r>
      <w:r w:rsidR="00A77B99">
        <w:rPr>
          <w:rFonts w:hint="eastAsia"/>
        </w:rPr>
        <w:t>缔约国努力本着人道精神逐案处理难民地位或政治庇护申请，提供便利以使申请人能被安置在愿意接收他们的友好国家。缔约国是个人口稠密的小国，资源有限，因此尚未通过授予外国人难民地位的政策或法律。缔约国正与联合国难民事务高级专员公署</w:t>
      </w:r>
      <w:r w:rsidR="00A77B99">
        <w:rPr>
          <w:rFonts w:hint="eastAsia"/>
        </w:rPr>
        <w:t>(</w:t>
      </w:r>
      <w:r w:rsidR="00A77B99">
        <w:rPr>
          <w:rFonts w:hint="eastAsia"/>
        </w:rPr>
        <w:t>难民署</w:t>
      </w:r>
      <w:r w:rsidR="00A77B99">
        <w:rPr>
          <w:rFonts w:hint="eastAsia"/>
        </w:rPr>
        <w:t>)</w:t>
      </w:r>
      <w:r w:rsidR="00A77B99">
        <w:rPr>
          <w:rFonts w:hint="eastAsia"/>
        </w:rPr>
        <w:t>密切合作，以期建立一项机制，更好地处理庇护申请</w:t>
      </w:r>
      <w:r w:rsidR="00A77B99" w:rsidRPr="005F0802">
        <w:rPr>
          <w:rFonts w:hint="eastAsia"/>
          <w:spacing w:val="-4"/>
        </w:rPr>
        <w:t>并协助寻求庇护者和难民。在这方面，</w:t>
      </w:r>
      <w:r w:rsidR="00CD7B02" w:rsidRPr="005F0802">
        <w:rPr>
          <w:rFonts w:hint="eastAsia"/>
          <w:spacing w:val="-4"/>
        </w:rPr>
        <w:t>2</w:t>
      </w:r>
      <w:r w:rsidR="00A77B99" w:rsidRPr="005F0802">
        <w:rPr>
          <w:rFonts w:hint="eastAsia"/>
          <w:spacing w:val="-4"/>
        </w:rPr>
        <w:t>0</w:t>
      </w:r>
      <w:r w:rsidR="00CD7B02" w:rsidRPr="005F0802">
        <w:rPr>
          <w:rFonts w:hint="eastAsia"/>
          <w:spacing w:val="-4"/>
        </w:rPr>
        <w:t>19</w:t>
      </w:r>
      <w:r w:rsidR="00A77B99" w:rsidRPr="005F0802">
        <w:rPr>
          <w:rFonts w:hint="eastAsia"/>
          <w:spacing w:val="-4"/>
        </w:rPr>
        <w:t>年</w:t>
      </w:r>
      <w:r w:rsidR="00CD7B02" w:rsidRPr="005F0802">
        <w:rPr>
          <w:rFonts w:hint="eastAsia"/>
          <w:spacing w:val="-4"/>
        </w:rPr>
        <w:t>5</w:t>
      </w:r>
      <w:r w:rsidR="00A77B99" w:rsidRPr="005F0802">
        <w:rPr>
          <w:rFonts w:hint="eastAsia"/>
          <w:spacing w:val="-4"/>
        </w:rPr>
        <w:t>月在毛里求斯举办了一次研讨会，</w:t>
      </w:r>
      <w:r w:rsidR="00A77B99">
        <w:rPr>
          <w:rFonts w:hint="eastAsia"/>
        </w:rPr>
        <w:t>会上请各利益攸关方起草标准作业程序，如今这些标准作业程序已经编写完毕，以更好地就需要遵循的程序向官员提供指导。</w:t>
      </w:r>
    </w:p>
    <w:p w14:paraId="3B48AD37" w14:textId="3C91CAF5" w:rsidR="00A77B99" w:rsidRDefault="00061CEC" w:rsidP="00952A6C">
      <w:pPr>
        <w:pStyle w:val="SingleTxtGC"/>
        <w:spacing w:before="120" w:line="308" w:lineRule="exact"/>
      </w:pPr>
      <w:r>
        <w:tab/>
      </w:r>
      <w:r w:rsidR="00A77B99">
        <w:rPr>
          <w:rFonts w:hint="eastAsia"/>
        </w:rPr>
        <w:t>缔约国遵循不推回原则。</w:t>
      </w:r>
      <w:r w:rsidR="00CD7B02">
        <w:rPr>
          <w:rFonts w:hint="eastAsia"/>
        </w:rPr>
        <w:t>2</w:t>
      </w:r>
      <w:r w:rsidR="00A77B99">
        <w:rPr>
          <w:rFonts w:hint="eastAsia"/>
        </w:rPr>
        <w:t>0</w:t>
      </w:r>
      <w:r w:rsidR="00CD7B02">
        <w:rPr>
          <w:rFonts w:hint="eastAsia"/>
        </w:rPr>
        <w:t>17</w:t>
      </w:r>
      <w:r w:rsidR="00A77B99">
        <w:rPr>
          <w:rFonts w:hint="eastAsia"/>
        </w:rPr>
        <w:t>年《引渡法》</w:t>
      </w:r>
      <w:r w:rsidR="00A77B99">
        <w:rPr>
          <w:rFonts w:hint="eastAsia"/>
        </w:rPr>
        <w:t>(</w:t>
      </w:r>
      <w:r w:rsidR="00A77B99">
        <w:rPr>
          <w:rFonts w:hint="eastAsia"/>
        </w:rPr>
        <w:t>第</w:t>
      </w:r>
      <w:r w:rsidR="00CD7B02">
        <w:rPr>
          <w:rFonts w:hint="eastAsia"/>
        </w:rPr>
        <w:t>8</w:t>
      </w:r>
      <w:r w:rsidR="00A77B99">
        <w:rPr>
          <w:rFonts w:hint="eastAsia"/>
        </w:rPr>
        <w:t>条</w:t>
      </w:r>
      <w:r w:rsidR="00A77B99">
        <w:rPr>
          <w:rFonts w:hint="eastAsia"/>
        </w:rPr>
        <w:t>)</w:t>
      </w:r>
      <w:r w:rsidR="00A77B99">
        <w:rPr>
          <w:rFonts w:hint="eastAsia"/>
        </w:rPr>
        <w:t>规定，如果总检察长认</w:t>
      </w:r>
      <w:r w:rsidR="00A77B99" w:rsidRPr="005F0802">
        <w:rPr>
          <w:rFonts w:hint="eastAsia"/>
          <w:spacing w:val="2"/>
        </w:rPr>
        <w:t>为有充分理由相信一外国要求引渡的人员有以下情况，则不应对引渡请求予以积</w:t>
      </w:r>
      <w:r w:rsidR="00A77B99">
        <w:rPr>
          <w:rFonts w:hint="eastAsia"/>
        </w:rPr>
        <w:t>极考虑：</w:t>
      </w:r>
      <w:r w:rsidR="00A77B99">
        <w:rPr>
          <w:rFonts w:hint="eastAsia"/>
        </w:rPr>
        <w:t>(</w:t>
      </w:r>
      <w:r w:rsidR="00CD7B02">
        <w:rPr>
          <w:rFonts w:hint="eastAsia"/>
        </w:rPr>
        <w:t>a</w:t>
      </w:r>
      <w:r w:rsidR="00A77B99">
        <w:rPr>
          <w:rFonts w:hint="eastAsia"/>
        </w:rPr>
        <w:t xml:space="preserve">) </w:t>
      </w:r>
      <w:r w:rsidR="00A77B99">
        <w:rPr>
          <w:rFonts w:hint="eastAsia"/>
        </w:rPr>
        <w:t>该人可能因自身的种族、宗教、民族、族裔出身或政治观点而在该国受到起诉或惩罚；</w:t>
      </w:r>
      <w:r w:rsidR="00A77B99">
        <w:rPr>
          <w:rFonts w:hint="eastAsia"/>
        </w:rPr>
        <w:t>(</w:t>
      </w:r>
      <w:r w:rsidR="00CD7B02">
        <w:rPr>
          <w:rFonts w:hint="eastAsia"/>
        </w:rPr>
        <w:t>b</w:t>
      </w:r>
      <w:r w:rsidR="00A77B99">
        <w:rPr>
          <w:rFonts w:hint="eastAsia"/>
        </w:rPr>
        <w:t xml:space="preserve">) </w:t>
      </w:r>
      <w:r w:rsidR="00A77B99">
        <w:rPr>
          <w:rFonts w:hint="eastAsia"/>
        </w:rPr>
        <w:t>该人可能在该国遭受酷刑或残忍、不人道或有辱人格</w:t>
      </w:r>
      <w:r w:rsidR="00A77B99" w:rsidRPr="00531556">
        <w:rPr>
          <w:rFonts w:hint="eastAsia"/>
          <w:spacing w:val="2"/>
        </w:rPr>
        <w:t>的待遇或处罚；或</w:t>
      </w:r>
      <w:r w:rsidR="00A77B99" w:rsidRPr="00531556">
        <w:rPr>
          <w:rFonts w:hint="eastAsia"/>
          <w:spacing w:val="2"/>
        </w:rPr>
        <w:t>(</w:t>
      </w:r>
      <w:r w:rsidR="00CD7B02" w:rsidRPr="00531556">
        <w:rPr>
          <w:rFonts w:hint="eastAsia"/>
          <w:spacing w:val="2"/>
        </w:rPr>
        <w:t>c</w:t>
      </w:r>
      <w:r w:rsidR="00A77B99" w:rsidRPr="00531556">
        <w:rPr>
          <w:rFonts w:hint="eastAsia"/>
          <w:spacing w:val="2"/>
        </w:rPr>
        <w:t xml:space="preserve">) </w:t>
      </w:r>
      <w:r w:rsidR="00A77B99" w:rsidRPr="00531556">
        <w:rPr>
          <w:rFonts w:hint="eastAsia"/>
          <w:spacing w:val="2"/>
        </w:rPr>
        <w:t>该人在该国的刑事诉讼中不太可能得到最低限度的公正审</w:t>
      </w:r>
      <w:r w:rsidR="00A77B99">
        <w:rPr>
          <w:rFonts w:hint="eastAsia"/>
        </w:rPr>
        <w:t>判保障。</w:t>
      </w:r>
    </w:p>
    <w:p w14:paraId="6E29DD8F" w14:textId="0C6FD6F3" w:rsidR="00A77B99" w:rsidRDefault="00061CEC" w:rsidP="00A77B99">
      <w:pPr>
        <w:pStyle w:val="SingleTxtGC"/>
        <w:spacing w:before="120"/>
      </w:pPr>
      <w:r>
        <w:lastRenderedPageBreak/>
        <w:tab/>
      </w:r>
      <w:r w:rsidR="00A77B99">
        <w:rPr>
          <w:rFonts w:hint="eastAsia"/>
        </w:rPr>
        <w:t>毛里求斯没有难民或无国籍人居民。缔约国提供了关于</w:t>
      </w:r>
      <w:r w:rsidR="00CD7B02">
        <w:rPr>
          <w:rFonts w:hint="eastAsia"/>
        </w:rPr>
        <w:t>2</w:t>
      </w:r>
      <w:r w:rsidR="00A77B99">
        <w:rPr>
          <w:rFonts w:hint="eastAsia"/>
        </w:rPr>
        <w:t>0</w:t>
      </w:r>
      <w:r w:rsidR="00CD7B02">
        <w:rPr>
          <w:rFonts w:hint="eastAsia"/>
        </w:rPr>
        <w:t>17</w:t>
      </w:r>
      <w:r w:rsidR="00A77B99">
        <w:rPr>
          <w:rFonts w:hint="eastAsia"/>
        </w:rPr>
        <w:t>年、</w:t>
      </w:r>
      <w:r w:rsidR="00CD7B02">
        <w:rPr>
          <w:rFonts w:hint="eastAsia"/>
        </w:rPr>
        <w:t>2</w:t>
      </w:r>
      <w:r w:rsidR="00A77B99">
        <w:rPr>
          <w:rFonts w:hint="eastAsia"/>
        </w:rPr>
        <w:t>0</w:t>
      </w:r>
      <w:r w:rsidR="00CD7B02">
        <w:rPr>
          <w:rFonts w:hint="eastAsia"/>
        </w:rPr>
        <w:t>18</w:t>
      </w:r>
      <w:r w:rsidR="00A77B99">
        <w:rPr>
          <w:rFonts w:hint="eastAsia"/>
        </w:rPr>
        <w:t>年和</w:t>
      </w:r>
      <w:r w:rsidR="00CD7B02">
        <w:rPr>
          <w:rFonts w:hint="eastAsia"/>
        </w:rPr>
        <w:t>2</w:t>
      </w:r>
      <w:r w:rsidR="00A77B99">
        <w:rPr>
          <w:rFonts w:hint="eastAsia"/>
        </w:rPr>
        <w:t>0</w:t>
      </w:r>
      <w:r w:rsidR="00CD7B02">
        <w:rPr>
          <w:rFonts w:hint="eastAsia"/>
        </w:rPr>
        <w:t>19</w:t>
      </w:r>
      <w:r w:rsidR="00A77B99">
        <w:rPr>
          <w:rFonts w:hint="eastAsia"/>
        </w:rPr>
        <w:t>年抵达毛里求斯的寻求庇护者和难民的人数及其目前状况的资料。</w:t>
      </w:r>
    </w:p>
    <w:p w14:paraId="5725BB32" w14:textId="77777777" w:rsidR="00A77B99" w:rsidRDefault="00A77B99" w:rsidP="001C5FF7">
      <w:pPr>
        <w:pStyle w:val="H23GC"/>
      </w:pPr>
      <w:r>
        <w:rPr>
          <w:rFonts w:hint="eastAsia"/>
        </w:rPr>
        <w:tab/>
      </w:r>
      <w:r>
        <w:rPr>
          <w:rFonts w:hint="eastAsia"/>
        </w:rPr>
        <w:tab/>
      </w:r>
      <w:r>
        <w:rPr>
          <w:rFonts w:hint="eastAsia"/>
        </w:rPr>
        <w:t>委员会的评价</w:t>
      </w:r>
    </w:p>
    <w:p w14:paraId="5D8B5DEE" w14:textId="530F4012" w:rsidR="00A77B99" w:rsidRDefault="00A77B99" w:rsidP="00A77B99">
      <w:pPr>
        <w:pStyle w:val="SingleTxtGC"/>
        <w:spacing w:before="120"/>
      </w:pPr>
      <w:r>
        <w:rPr>
          <w:rFonts w:hint="eastAsia"/>
        </w:rPr>
        <w:t>[</w:t>
      </w:r>
      <w:r w:rsidR="00CD7B02">
        <w:rPr>
          <w:rFonts w:hint="eastAsia"/>
          <w:b/>
          <w:bCs/>
        </w:rPr>
        <w:t>C</w:t>
      </w:r>
      <w:r>
        <w:rPr>
          <w:rFonts w:hint="eastAsia"/>
        </w:rPr>
        <w:t>]</w:t>
      </w:r>
      <w:r w:rsidR="00CD7B02">
        <w:rPr>
          <w:rFonts w:hint="eastAsia"/>
        </w:rPr>
        <w:t>：</w:t>
      </w:r>
      <w:r>
        <w:rPr>
          <w:rFonts w:hint="eastAsia"/>
        </w:rPr>
        <w:t>委员会注意到缔约国提供的资料，包括关于</w:t>
      </w:r>
      <w:r w:rsidR="00CD7B02">
        <w:rPr>
          <w:rFonts w:hint="eastAsia"/>
        </w:rPr>
        <w:t>2</w:t>
      </w:r>
      <w:r>
        <w:rPr>
          <w:rFonts w:hint="eastAsia"/>
        </w:rPr>
        <w:t>0</w:t>
      </w:r>
      <w:r w:rsidR="00CD7B02">
        <w:rPr>
          <w:rFonts w:hint="eastAsia"/>
        </w:rPr>
        <w:t>17</w:t>
      </w:r>
      <w:r>
        <w:rPr>
          <w:rFonts w:hint="eastAsia"/>
        </w:rPr>
        <w:t>年《引渡法》的资料。但委员会感到关切的是，缔约国仍然没有关于庇护的国家框架以及用于评估和确定难民地位以确保遵循</w:t>
      </w:r>
      <w:proofErr w:type="gramStart"/>
      <w:r>
        <w:rPr>
          <w:rFonts w:hint="eastAsia"/>
        </w:rPr>
        <w:t>不</w:t>
      </w:r>
      <w:proofErr w:type="gramEnd"/>
      <w:r>
        <w:rPr>
          <w:rFonts w:hint="eastAsia"/>
        </w:rPr>
        <w:t>推回原则的机制。</w:t>
      </w:r>
    </w:p>
    <w:p w14:paraId="469F5B76" w14:textId="0B19C9C2" w:rsidR="00A77B99" w:rsidRDefault="00A77B99" w:rsidP="00A77B99">
      <w:pPr>
        <w:pStyle w:val="SingleTxtGC"/>
        <w:spacing w:before="120"/>
      </w:pPr>
      <w:r>
        <w:rPr>
          <w:rFonts w:hint="eastAsia"/>
        </w:rPr>
        <w:t>[</w:t>
      </w:r>
      <w:r w:rsidR="00CD7B02">
        <w:rPr>
          <w:rFonts w:hint="eastAsia"/>
          <w:b/>
          <w:bCs/>
        </w:rPr>
        <w:t>A</w:t>
      </w:r>
      <w:r>
        <w:rPr>
          <w:rFonts w:hint="eastAsia"/>
        </w:rPr>
        <w:t>]</w:t>
      </w:r>
      <w:r w:rsidR="00CD7B02">
        <w:rPr>
          <w:rFonts w:hint="eastAsia"/>
        </w:rPr>
        <w:t>：</w:t>
      </w:r>
      <w:r w:rsidRPr="00D716E6">
        <w:rPr>
          <w:rFonts w:hint="eastAsia"/>
          <w:spacing w:val="-4"/>
        </w:rPr>
        <w:t>委员会欢迎缔约国提供的关于居住在其境内的寻求庇护者、难民和无国籍者</w:t>
      </w:r>
      <w:r>
        <w:rPr>
          <w:rFonts w:hint="eastAsia"/>
        </w:rPr>
        <w:t>人数的统计数据。</w:t>
      </w:r>
    </w:p>
    <w:p w14:paraId="6A849C33" w14:textId="6979380D" w:rsidR="00A77B99" w:rsidRDefault="00A77B99" w:rsidP="00176C9C">
      <w:pPr>
        <w:pStyle w:val="H23GC"/>
      </w:pPr>
      <w:r>
        <w:rPr>
          <w:rFonts w:hint="eastAsia"/>
        </w:rPr>
        <w:tab/>
      </w:r>
      <w:r>
        <w:rPr>
          <w:rFonts w:hint="eastAsia"/>
        </w:rPr>
        <w:tab/>
      </w:r>
      <w:r>
        <w:rPr>
          <w:rFonts w:hint="eastAsia"/>
        </w:rPr>
        <w:t>第</w:t>
      </w:r>
      <w:r w:rsidR="00CD7B02">
        <w:rPr>
          <w:rFonts w:hint="eastAsia"/>
        </w:rPr>
        <w:t>4</w:t>
      </w:r>
      <w:r>
        <w:rPr>
          <w:rFonts w:hint="eastAsia"/>
        </w:rPr>
        <w:t>0</w:t>
      </w:r>
      <w:r>
        <w:rPr>
          <w:rFonts w:hint="eastAsia"/>
        </w:rPr>
        <w:t>段：少年司法</w:t>
      </w:r>
    </w:p>
    <w:p w14:paraId="7C6944AA" w14:textId="2D739705" w:rsidR="00A77B99" w:rsidRPr="001C5FF7" w:rsidRDefault="00A77B99" w:rsidP="00A77B99">
      <w:pPr>
        <w:pStyle w:val="SingleTxtGC"/>
        <w:spacing w:before="120"/>
        <w:rPr>
          <w:rFonts w:ascii="Time New Roman" w:eastAsia="黑体" w:hAnsi="Time New Roman" w:hint="eastAsia"/>
        </w:rPr>
      </w:pPr>
      <w:r>
        <w:rPr>
          <w:rFonts w:hint="eastAsia"/>
        </w:rPr>
        <w:tab/>
      </w:r>
      <w:r w:rsidRPr="001C5FF7">
        <w:rPr>
          <w:rFonts w:ascii="Time New Roman" w:eastAsia="黑体" w:hAnsi="Time New Roman" w:hint="eastAsia"/>
        </w:rPr>
        <w:t>缔约国应：</w:t>
      </w:r>
      <w:r w:rsidRPr="001C5FF7">
        <w:rPr>
          <w:rFonts w:ascii="Time New Roman" w:eastAsia="黑体" w:hAnsi="Time New Roman" w:hint="eastAsia"/>
        </w:rPr>
        <w:t>(</w:t>
      </w:r>
      <w:r w:rsidR="00CD7B02">
        <w:rPr>
          <w:rFonts w:ascii="Time New Roman" w:eastAsia="黑体" w:hAnsi="Time New Roman" w:hint="eastAsia"/>
        </w:rPr>
        <w:t>a</w:t>
      </w:r>
      <w:r w:rsidRPr="001C5FF7">
        <w:rPr>
          <w:rFonts w:ascii="Time New Roman" w:eastAsia="黑体" w:hAnsi="Time New Roman" w:hint="eastAsia"/>
        </w:rPr>
        <w:t xml:space="preserve">) </w:t>
      </w:r>
      <w:r w:rsidRPr="001C5FF7">
        <w:rPr>
          <w:rFonts w:ascii="Time New Roman" w:eastAsia="黑体" w:hAnsi="Time New Roman" w:hint="eastAsia"/>
        </w:rPr>
        <w:t>根据国际标准在其法律中规定最低刑事责任年龄；</w:t>
      </w:r>
      <w:r w:rsidRPr="001C5FF7">
        <w:rPr>
          <w:rFonts w:ascii="Time New Roman" w:eastAsia="黑体" w:hAnsi="Time New Roman" w:hint="eastAsia"/>
        </w:rPr>
        <w:t>(</w:t>
      </w:r>
      <w:r w:rsidR="00CD7B02">
        <w:rPr>
          <w:rFonts w:ascii="Time New Roman" w:eastAsia="黑体" w:hAnsi="Time New Roman" w:hint="eastAsia"/>
        </w:rPr>
        <w:t>b</w:t>
      </w:r>
      <w:r w:rsidRPr="001C5FF7">
        <w:rPr>
          <w:rFonts w:ascii="Time New Roman" w:eastAsia="黑体" w:hAnsi="Time New Roman" w:hint="eastAsia"/>
        </w:rPr>
        <w:t xml:space="preserve">) </w:t>
      </w:r>
      <w:r w:rsidRPr="001C5FF7">
        <w:rPr>
          <w:rFonts w:ascii="Time New Roman" w:eastAsia="黑体" w:hAnsi="Time New Roman" w:hint="eastAsia"/>
        </w:rPr>
        <w:t>完成设立少年法庭和相关程序，并为其提供充足的人力、技术和财政资源，包括指定</w:t>
      </w:r>
      <w:r w:rsidRPr="00D716E6">
        <w:rPr>
          <w:rFonts w:ascii="Time New Roman" w:eastAsia="黑体" w:hAnsi="Time New Roman" w:hint="eastAsia"/>
          <w:spacing w:val="4"/>
        </w:rPr>
        <w:t>训练有素的专门法官；</w:t>
      </w:r>
      <w:r w:rsidRPr="00D716E6">
        <w:rPr>
          <w:rFonts w:ascii="Time New Roman" w:eastAsia="黑体" w:hAnsi="Time New Roman" w:hint="eastAsia"/>
          <w:spacing w:val="4"/>
        </w:rPr>
        <w:t>(</w:t>
      </w:r>
      <w:r w:rsidR="00CD7B02" w:rsidRPr="00D716E6">
        <w:rPr>
          <w:rFonts w:ascii="Time New Roman" w:eastAsia="黑体" w:hAnsi="Time New Roman" w:hint="eastAsia"/>
          <w:spacing w:val="4"/>
        </w:rPr>
        <w:t>c</w:t>
      </w:r>
      <w:r w:rsidRPr="00D716E6">
        <w:rPr>
          <w:rFonts w:ascii="Time New Roman" w:eastAsia="黑体" w:hAnsi="Time New Roman" w:hint="eastAsia"/>
          <w:spacing w:val="4"/>
        </w:rPr>
        <w:t xml:space="preserve">) </w:t>
      </w:r>
      <w:r w:rsidRPr="00D716E6">
        <w:rPr>
          <w:rFonts w:ascii="Time New Roman" w:eastAsia="黑体" w:hAnsi="Time New Roman" w:hint="eastAsia"/>
          <w:spacing w:val="4"/>
        </w:rPr>
        <w:t>培训警察处理有关少年司法的案件；以及</w:t>
      </w:r>
      <w:r w:rsidRPr="00D716E6">
        <w:rPr>
          <w:rFonts w:ascii="Time New Roman" w:eastAsia="黑体" w:hAnsi="Time New Roman" w:hint="eastAsia"/>
          <w:spacing w:val="4"/>
        </w:rPr>
        <w:t>(</w:t>
      </w:r>
      <w:r w:rsidR="00CD7B02" w:rsidRPr="00D716E6">
        <w:rPr>
          <w:rFonts w:ascii="Time New Roman" w:eastAsia="黑体" w:hAnsi="Time New Roman" w:hint="eastAsia"/>
          <w:spacing w:val="4"/>
        </w:rPr>
        <w:t>d</w:t>
      </w:r>
      <w:r w:rsidRPr="00D716E6">
        <w:rPr>
          <w:rFonts w:ascii="Time New Roman" w:eastAsia="黑体" w:hAnsi="Time New Roman" w:hint="eastAsia"/>
          <w:spacing w:val="4"/>
        </w:rPr>
        <w:t xml:space="preserve">) </w:t>
      </w:r>
      <w:r w:rsidRPr="00D716E6">
        <w:rPr>
          <w:rFonts w:ascii="Time New Roman" w:eastAsia="黑体" w:hAnsi="Time New Roman" w:hint="eastAsia"/>
          <w:spacing w:val="4"/>
        </w:rPr>
        <w:t>确保违</w:t>
      </w:r>
      <w:r w:rsidRPr="001C5FF7">
        <w:rPr>
          <w:rFonts w:ascii="Time New Roman" w:eastAsia="黑体" w:hAnsi="Time New Roman" w:hint="eastAsia"/>
        </w:rPr>
        <w:t>法儿童有系统地获得律师或顾问的协助，并与其法律代理人一起出庭受审。</w:t>
      </w:r>
    </w:p>
    <w:p w14:paraId="6D7C1C6D" w14:textId="77777777" w:rsidR="00A77B99" w:rsidRDefault="00A77B99" w:rsidP="00176C9C">
      <w:pPr>
        <w:pStyle w:val="H23GC"/>
      </w:pPr>
      <w:r>
        <w:rPr>
          <w:rFonts w:hint="eastAsia"/>
        </w:rPr>
        <w:tab/>
      </w:r>
      <w:r>
        <w:rPr>
          <w:rFonts w:hint="eastAsia"/>
        </w:rPr>
        <w:tab/>
      </w:r>
      <w:r>
        <w:rPr>
          <w:rFonts w:hint="eastAsia"/>
        </w:rPr>
        <w:t>缔约国答复概要</w:t>
      </w:r>
    </w:p>
    <w:p w14:paraId="4D5B6660" w14:textId="70DA3D15" w:rsidR="00A77B99" w:rsidRDefault="00605D09" w:rsidP="00A77B99">
      <w:pPr>
        <w:pStyle w:val="SingleTxtGC"/>
        <w:spacing w:before="120"/>
      </w:pPr>
      <w:r>
        <w:tab/>
      </w:r>
      <w:r w:rsidR="00A77B99" w:rsidRPr="003A6C0C">
        <w:rPr>
          <w:rFonts w:hint="eastAsia"/>
          <w:spacing w:val="-6"/>
        </w:rPr>
        <w:t>(</w:t>
      </w:r>
      <w:r w:rsidR="00CD7B02" w:rsidRPr="003A6C0C">
        <w:rPr>
          <w:rFonts w:hint="eastAsia"/>
          <w:spacing w:val="-6"/>
        </w:rPr>
        <w:t>a</w:t>
      </w:r>
      <w:r w:rsidR="00A77B99" w:rsidRPr="003A6C0C">
        <w:rPr>
          <w:rFonts w:hint="eastAsia"/>
          <w:spacing w:val="-6"/>
        </w:rPr>
        <w:t>)</w:t>
      </w:r>
      <w:r w:rsidR="00A77B99" w:rsidRPr="003A6C0C">
        <w:rPr>
          <w:rFonts w:hint="eastAsia"/>
          <w:spacing w:val="-6"/>
        </w:rPr>
        <w:tab/>
      </w:r>
      <w:r w:rsidR="00A77B99" w:rsidRPr="003A6C0C">
        <w:rPr>
          <w:rFonts w:hint="eastAsia"/>
          <w:spacing w:val="-6"/>
        </w:rPr>
        <w:t>已将委员会的建议纳入于</w:t>
      </w:r>
      <w:r w:rsidR="00CD7B02" w:rsidRPr="003A6C0C">
        <w:rPr>
          <w:rFonts w:hint="eastAsia"/>
          <w:spacing w:val="-6"/>
        </w:rPr>
        <w:t>2</w:t>
      </w:r>
      <w:r w:rsidR="00A77B99" w:rsidRPr="003A6C0C">
        <w:rPr>
          <w:rFonts w:hint="eastAsia"/>
          <w:spacing w:val="-6"/>
        </w:rPr>
        <w:t>0</w:t>
      </w:r>
      <w:r w:rsidR="00CD7B02" w:rsidRPr="003A6C0C">
        <w:rPr>
          <w:rFonts w:hint="eastAsia"/>
          <w:spacing w:val="-6"/>
        </w:rPr>
        <w:t>19</w:t>
      </w:r>
      <w:r w:rsidR="00A77B99" w:rsidRPr="003A6C0C">
        <w:rPr>
          <w:rFonts w:hint="eastAsia"/>
          <w:spacing w:val="-6"/>
        </w:rPr>
        <w:t>年</w:t>
      </w:r>
      <w:r w:rsidR="00CD7B02" w:rsidRPr="003A6C0C">
        <w:rPr>
          <w:rFonts w:hint="eastAsia"/>
          <w:spacing w:val="-6"/>
        </w:rPr>
        <w:t>9</w:t>
      </w:r>
      <w:r w:rsidR="00A77B99" w:rsidRPr="003A6C0C">
        <w:rPr>
          <w:rFonts w:hint="eastAsia"/>
          <w:spacing w:val="-6"/>
        </w:rPr>
        <w:t>月提交国民议会的</w:t>
      </w:r>
      <w:r w:rsidR="00CD7B02" w:rsidRPr="003A6C0C">
        <w:rPr>
          <w:rFonts w:hint="eastAsia"/>
          <w:spacing w:val="-6"/>
        </w:rPr>
        <w:t>2</w:t>
      </w:r>
      <w:r w:rsidR="00A77B99" w:rsidRPr="003A6C0C">
        <w:rPr>
          <w:rFonts w:hint="eastAsia"/>
          <w:spacing w:val="-6"/>
        </w:rPr>
        <w:t>0</w:t>
      </w:r>
      <w:r w:rsidR="00CD7B02" w:rsidRPr="003A6C0C">
        <w:rPr>
          <w:rFonts w:hint="eastAsia"/>
          <w:spacing w:val="-6"/>
        </w:rPr>
        <w:t>19</w:t>
      </w:r>
      <w:r w:rsidR="00A77B99" w:rsidRPr="003A6C0C">
        <w:rPr>
          <w:rFonts w:hint="eastAsia"/>
          <w:spacing w:val="-6"/>
        </w:rPr>
        <w:t>年《儿童法案》</w:t>
      </w:r>
      <w:r w:rsidR="00A77B99">
        <w:rPr>
          <w:rFonts w:hint="eastAsia"/>
        </w:rPr>
        <w:t>草案。该法案的主要目的是废除《儿童保护法》，代之以一个更加适当、全面和</w:t>
      </w:r>
      <w:r w:rsidR="00A77B99" w:rsidRPr="003A6C0C">
        <w:rPr>
          <w:rFonts w:hint="eastAsia"/>
          <w:spacing w:val="4"/>
        </w:rPr>
        <w:t>现代的立法框架。该法案规定，未满</w:t>
      </w:r>
      <w:r w:rsidR="00CD7B02" w:rsidRPr="003A6C0C">
        <w:rPr>
          <w:rFonts w:hint="eastAsia"/>
          <w:spacing w:val="4"/>
        </w:rPr>
        <w:t>12</w:t>
      </w:r>
      <w:r w:rsidR="00A77B99" w:rsidRPr="003A6C0C">
        <w:rPr>
          <w:rFonts w:hint="eastAsia"/>
          <w:spacing w:val="4"/>
        </w:rPr>
        <w:t>岁的儿童不应承担刑事责任。但是，国</w:t>
      </w:r>
      <w:r w:rsidR="00A77B99">
        <w:rPr>
          <w:rFonts w:hint="eastAsia"/>
        </w:rPr>
        <w:t>民议会已于</w:t>
      </w:r>
      <w:r w:rsidR="00CD7B02">
        <w:rPr>
          <w:rFonts w:hint="eastAsia"/>
        </w:rPr>
        <w:t>2</w:t>
      </w:r>
      <w:r w:rsidR="00A77B99">
        <w:rPr>
          <w:rFonts w:hint="eastAsia"/>
        </w:rPr>
        <w:t>0</w:t>
      </w:r>
      <w:r w:rsidR="00CD7B02">
        <w:rPr>
          <w:rFonts w:hint="eastAsia"/>
        </w:rPr>
        <w:t>19</w:t>
      </w:r>
      <w:r w:rsidR="00A77B99">
        <w:rPr>
          <w:rFonts w:hint="eastAsia"/>
        </w:rPr>
        <w:t>年</w:t>
      </w:r>
      <w:r w:rsidR="00CD7B02">
        <w:rPr>
          <w:rFonts w:hint="eastAsia"/>
        </w:rPr>
        <w:t>1</w:t>
      </w:r>
      <w:r w:rsidR="00A77B99">
        <w:rPr>
          <w:rFonts w:hint="eastAsia"/>
        </w:rPr>
        <w:t>0</w:t>
      </w:r>
      <w:r w:rsidR="00A77B99">
        <w:rPr>
          <w:rFonts w:hint="eastAsia"/>
        </w:rPr>
        <w:t>月</w:t>
      </w:r>
      <w:r w:rsidR="00CD7B02">
        <w:rPr>
          <w:rFonts w:hint="eastAsia"/>
        </w:rPr>
        <w:t>6</w:t>
      </w:r>
      <w:r w:rsidR="00A77B99">
        <w:rPr>
          <w:rFonts w:hint="eastAsia"/>
        </w:rPr>
        <w:t>日解散，而《儿童法案》尚未付诸表决。</w:t>
      </w:r>
    </w:p>
    <w:p w14:paraId="4673568D" w14:textId="78FC30F7" w:rsidR="00A77B99" w:rsidRDefault="00605D09" w:rsidP="00A77B99">
      <w:pPr>
        <w:pStyle w:val="SingleTxtGC"/>
        <w:spacing w:before="120"/>
      </w:pPr>
      <w:r>
        <w:tab/>
      </w:r>
      <w:r w:rsidR="00A77B99">
        <w:rPr>
          <w:rFonts w:hint="eastAsia"/>
        </w:rPr>
        <w:t>(</w:t>
      </w:r>
      <w:r w:rsidR="00CD7B02">
        <w:rPr>
          <w:rFonts w:hint="eastAsia"/>
        </w:rPr>
        <w:t>b</w:t>
      </w:r>
      <w:r w:rsidR="00A77B99">
        <w:rPr>
          <w:rFonts w:hint="eastAsia"/>
        </w:rPr>
        <w:t>)</w:t>
      </w:r>
      <w:r w:rsidR="00A77B99">
        <w:rPr>
          <w:rFonts w:hint="eastAsia"/>
        </w:rPr>
        <w:tab/>
      </w:r>
      <w:r w:rsidR="00A77B99">
        <w:rPr>
          <w:rFonts w:hint="eastAsia"/>
        </w:rPr>
        <w:t>《儿童法案》规定要设立一个少年法庭，称为儿童法庭。</w:t>
      </w:r>
    </w:p>
    <w:p w14:paraId="51CC4BB8" w14:textId="7F82DD9D" w:rsidR="00A77B99" w:rsidRDefault="00605D09" w:rsidP="00A77B99">
      <w:pPr>
        <w:pStyle w:val="SingleTxtGC"/>
        <w:spacing w:before="120"/>
      </w:pPr>
      <w:r>
        <w:tab/>
      </w:r>
      <w:r w:rsidR="00A77B99">
        <w:rPr>
          <w:rFonts w:hint="eastAsia"/>
        </w:rPr>
        <w:t>(</w:t>
      </w:r>
      <w:r w:rsidR="00CD7B02">
        <w:rPr>
          <w:rFonts w:hint="eastAsia"/>
        </w:rPr>
        <w:t>c</w:t>
      </w:r>
      <w:r w:rsidR="00A77B99">
        <w:rPr>
          <w:rFonts w:hint="eastAsia"/>
        </w:rPr>
        <w:t>)</w:t>
      </w:r>
      <w:r w:rsidR="00A77B99">
        <w:rPr>
          <w:rFonts w:hint="eastAsia"/>
        </w:rPr>
        <w:tab/>
      </w:r>
      <w:r w:rsidR="00CD7B02">
        <w:rPr>
          <w:rFonts w:hint="eastAsia"/>
        </w:rPr>
        <w:t>2</w:t>
      </w:r>
      <w:r w:rsidR="00A77B99">
        <w:rPr>
          <w:rFonts w:hint="eastAsia"/>
        </w:rPr>
        <w:t>0</w:t>
      </w:r>
      <w:r w:rsidR="00CD7B02">
        <w:rPr>
          <w:rFonts w:hint="eastAsia"/>
        </w:rPr>
        <w:t>15</w:t>
      </w:r>
      <w:r w:rsidR="00C845BA">
        <w:rPr>
          <w:rFonts w:hint="eastAsia"/>
        </w:rPr>
        <w:t>-</w:t>
      </w:r>
      <w:r w:rsidR="00CD7B02">
        <w:rPr>
          <w:rFonts w:hint="eastAsia"/>
        </w:rPr>
        <w:t>2</w:t>
      </w:r>
      <w:r w:rsidR="00A77B99">
        <w:rPr>
          <w:rFonts w:hint="eastAsia"/>
        </w:rPr>
        <w:t>0</w:t>
      </w:r>
      <w:r w:rsidR="00CD7B02">
        <w:rPr>
          <w:rFonts w:hint="eastAsia"/>
        </w:rPr>
        <w:t>18</w:t>
      </w:r>
      <w:r w:rsidR="00A77B99">
        <w:rPr>
          <w:rFonts w:hint="eastAsia"/>
        </w:rPr>
        <w:t>年期间，约有</w:t>
      </w:r>
      <w:r w:rsidR="00CD7B02">
        <w:rPr>
          <w:rFonts w:hint="eastAsia"/>
        </w:rPr>
        <w:t>1,958</w:t>
      </w:r>
      <w:r w:rsidR="00A77B99">
        <w:rPr>
          <w:rFonts w:hint="eastAsia"/>
        </w:rPr>
        <w:t>名警察在警察培训学校接受了关于侦查、调查和起诉与儿童有关的犯罪的综合方法的培训。此外，</w:t>
      </w:r>
      <w:r w:rsidR="00CD7B02">
        <w:rPr>
          <w:rFonts w:hint="eastAsia"/>
        </w:rPr>
        <w:t>2</w:t>
      </w:r>
      <w:r w:rsidR="00A77B99">
        <w:rPr>
          <w:rFonts w:hint="eastAsia"/>
        </w:rPr>
        <w:t>0</w:t>
      </w:r>
      <w:r w:rsidR="00CD7B02">
        <w:rPr>
          <w:rFonts w:hint="eastAsia"/>
        </w:rPr>
        <w:t>18</w:t>
      </w:r>
      <w:r w:rsidR="00A77B99">
        <w:rPr>
          <w:rFonts w:hint="eastAsia"/>
        </w:rPr>
        <w:t>年，性别平等、儿童发展和家庭福利部的心理学家在警察培训学校为警察举办了</w:t>
      </w:r>
      <w:r w:rsidR="00CD7B02">
        <w:rPr>
          <w:rFonts w:hint="eastAsia"/>
        </w:rPr>
        <w:t>16</w:t>
      </w:r>
      <w:r w:rsidR="00A77B99">
        <w:rPr>
          <w:rFonts w:hint="eastAsia"/>
        </w:rPr>
        <w:t>次培训。</w:t>
      </w:r>
    </w:p>
    <w:p w14:paraId="2581AC49" w14:textId="2F69FE7B" w:rsidR="00A77B99" w:rsidRDefault="00605D09" w:rsidP="00A77B99">
      <w:pPr>
        <w:pStyle w:val="SingleTxtGC"/>
        <w:spacing w:before="120"/>
      </w:pPr>
      <w:r>
        <w:tab/>
      </w:r>
      <w:r w:rsidR="00A77B99">
        <w:rPr>
          <w:rFonts w:hint="eastAsia"/>
        </w:rPr>
        <w:t>(</w:t>
      </w:r>
      <w:r w:rsidR="00CD7B02">
        <w:rPr>
          <w:rFonts w:hint="eastAsia"/>
        </w:rPr>
        <w:t>d</w:t>
      </w:r>
      <w:r w:rsidR="00A77B99">
        <w:rPr>
          <w:rFonts w:hint="eastAsia"/>
        </w:rPr>
        <w:t>)</w:t>
      </w:r>
      <w:r w:rsidR="00A77B99">
        <w:rPr>
          <w:rFonts w:hint="eastAsia"/>
        </w:rPr>
        <w:tab/>
      </w:r>
      <w:r w:rsidR="00A77B99">
        <w:rPr>
          <w:rFonts w:hint="eastAsia"/>
        </w:rPr>
        <w:t>根据《法律援助和法律协助法》，收入低于</w:t>
      </w:r>
      <w:r w:rsidR="00CD7B02">
        <w:rPr>
          <w:rFonts w:hint="eastAsia"/>
        </w:rPr>
        <w:t>15,</w:t>
      </w:r>
      <w:r w:rsidR="00A77B99">
        <w:rPr>
          <w:rFonts w:hint="eastAsia"/>
        </w:rPr>
        <w:t>000</w:t>
      </w:r>
      <w:r w:rsidR="00A77B99">
        <w:rPr>
          <w:rFonts w:hint="eastAsia"/>
        </w:rPr>
        <w:t>卢比和净资产低于</w:t>
      </w:r>
      <w:r w:rsidR="00CD7B02">
        <w:rPr>
          <w:rFonts w:hint="eastAsia"/>
        </w:rPr>
        <w:t>5</w:t>
      </w:r>
      <w:r w:rsidR="00A77B99">
        <w:rPr>
          <w:rFonts w:hint="eastAsia"/>
        </w:rPr>
        <w:t>0</w:t>
      </w:r>
      <w:r w:rsidR="00CD7B02">
        <w:rPr>
          <w:rFonts w:hint="eastAsia"/>
        </w:rPr>
        <w:t>0,</w:t>
      </w:r>
      <w:r w:rsidR="00A77B99">
        <w:rPr>
          <w:rFonts w:hint="eastAsia"/>
        </w:rPr>
        <w:t>000</w:t>
      </w:r>
      <w:r w:rsidR="00A77B99">
        <w:rPr>
          <w:rFonts w:hint="eastAsia"/>
        </w:rPr>
        <w:t>卢比的人有资格获得法律援助和法律协助。一个人即便不符合获得法律</w:t>
      </w:r>
      <w:r w:rsidR="00A77B99" w:rsidRPr="00751B82">
        <w:rPr>
          <w:rFonts w:hint="eastAsia"/>
          <w:spacing w:val="4"/>
        </w:rPr>
        <w:t>援助的资格，但如果符合某些条件，首席法官或治安法官也可准许予以法律援</w:t>
      </w:r>
      <w:r w:rsidR="00A77B99">
        <w:rPr>
          <w:rFonts w:hint="eastAsia"/>
        </w:rPr>
        <w:t>助。面临犯罪或轻罪指控的未成年人，即便未达到《法律援助和法律协助法》</w:t>
      </w:r>
      <w:r w:rsidR="00A77B99" w:rsidRPr="00751B82">
        <w:rPr>
          <w:rFonts w:hint="eastAsia"/>
          <w:spacing w:val="2"/>
        </w:rPr>
        <w:t>规定的门槛，也可获益于法律援助。《儿童法案》规定，要向青少年提供法律协</w:t>
      </w:r>
      <w:r w:rsidR="00A77B99" w:rsidRPr="00751B82">
        <w:rPr>
          <w:rFonts w:hint="eastAsia"/>
          <w:spacing w:val="-4"/>
        </w:rPr>
        <w:t>助，</w:t>
      </w:r>
      <w:r w:rsidR="00A77B99">
        <w:rPr>
          <w:rFonts w:hint="eastAsia"/>
        </w:rPr>
        <w:t>如果青少年没有父母或法定监护人，或其父母或法定监护人拒绝代其申请</w:t>
      </w:r>
      <w:r w:rsidR="00A77B99" w:rsidRPr="003452E0">
        <w:rPr>
          <w:rFonts w:hint="eastAsia"/>
          <w:spacing w:val="-2"/>
        </w:rPr>
        <w:t>法律协助，则应在逮捕</w:t>
      </w:r>
      <w:r w:rsidR="00CD7B02" w:rsidRPr="003452E0">
        <w:rPr>
          <w:rFonts w:hint="eastAsia"/>
          <w:spacing w:val="-2"/>
        </w:rPr>
        <w:t>24</w:t>
      </w:r>
      <w:r w:rsidR="00A77B99" w:rsidRPr="003452E0">
        <w:rPr>
          <w:rFonts w:hint="eastAsia"/>
          <w:spacing w:val="-2"/>
        </w:rPr>
        <w:t>小时内将该青少年</w:t>
      </w:r>
      <w:proofErr w:type="gramStart"/>
      <w:r w:rsidR="00A77B99" w:rsidRPr="003452E0">
        <w:rPr>
          <w:rFonts w:hint="eastAsia"/>
          <w:spacing w:val="-2"/>
        </w:rPr>
        <w:t>带见治安</w:t>
      </w:r>
      <w:proofErr w:type="gramEnd"/>
      <w:r w:rsidR="00A77B99" w:rsidRPr="003452E0">
        <w:rPr>
          <w:rFonts w:hint="eastAsia"/>
          <w:spacing w:val="-2"/>
        </w:rPr>
        <w:t>法官，由治安法官批准予以</w:t>
      </w:r>
      <w:r w:rsidR="00A77B99">
        <w:rPr>
          <w:rFonts w:hint="eastAsia"/>
        </w:rPr>
        <w:t>法律协助。</w:t>
      </w:r>
    </w:p>
    <w:p w14:paraId="7ABB2935" w14:textId="77777777" w:rsidR="00A77B99" w:rsidRDefault="00A77B99" w:rsidP="00176C9C">
      <w:pPr>
        <w:pStyle w:val="H23GC"/>
      </w:pPr>
      <w:r>
        <w:rPr>
          <w:rFonts w:hint="eastAsia"/>
        </w:rPr>
        <w:tab/>
      </w:r>
      <w:r>
        <w:rPr>
          <w:rFonts w:hint="eastAsia"/>
        </w:rPr>
        <w:tab/>
      </w:r>
      <w:r>
        <w:rPr>
          <w:rFonts w:hint="eastAsia"/>
        </w:rPr>
        <w:t>委员会的评价</w:t>
      </w:r>
    </w:p>
    <w:p w14:paraId="7928DB66" w14:textId="775DDB6F" w:rsidR="00A77B99" w:rsidRDefault="00A77B99" w:rsidP="00A77B99">
      <w:pPr>
        <w:pStyle w:val="SingleTxtGC"/>
        <w:spacing w:before="120"/>
      </w:pPr>
      <w:r>
        <w:rPr>
          <w:rFonts w:hint="eastAsia"/>
        </w:rPr>
        <w:t>[</w:t>
      </w:r>
      <w:r w:rsidR="00CD7B02">
        <w:rPr>
          <w:rFonts w:hint="eastAsia"/>
          <w:b/>
          <w:bCs/>
        </w:rPr>
        <w:t>C</w:t>
      </w:r>
      <w:r>
        <w:rPr>
          <w:rFonts w:hint="eastAsia"/>
        </w:rPr>
        <w:t>]</w:t>
      </w:r>
      <w:r w:rsidR="00CD7B02">
        <w:rPr>
          <w:rFonts w:hint="eastAsia"/>
        </w:rPr>
        <w:t>：</w:t>
      </w:r>
      <w:r>
        <w:rPr>
          <w:rFonts w:hint="eastAsia"/>
        </w:rPr>
        <w:t>(</w:t>
      </w:r>
      <w:r w:rsidR="00CD7B02">
        <w:rPr>
          <w:rFonts w:hint="eastAsia"/>
        </w:rPr>
        <w:t>a</w:t>
      </w:r>
      <w:r>
        <w:rPr>
          <w:rFonts w:hint="eastAsia"/>
        </w:rPr>
        <w:t>)</w:t>
      </w:r>
      <w:r>
        <w:rPr>
          <w:rFonts w:hint="eastAsia"/>
        </w:rPr>
        <w:t>、</w:t>
      </w:r>
      <w:r>
        <w:rPr>
          <w:rFonts w:hint="eastAsia"/>
        </w:rPr>
        <w:t>(</w:t>
      </w:r>
      <w:r w:rsidR="00CD7B02">
        <w:rPr>
          <w:rFonts w:hint="eastAsia"/>
        </w:rPr>
        <w:t>b</w:t>
      </w:r>
      <w:r>
        <w:rPr>
          <w:rFonts w:hint="eastAsia"/>
        </w:rPr>
        <w:t>)</w:t>
      </w:r>
      <w:r>
        <w:rPr>
          <w:rFonts w:hint="eastAsia"/>
        </w:rPr>
        <w:t>和</w:t>
      </w:r>
      <w:r>
        <w:rPr>
          <w:rFonts w:hint="eastAsia"/>
        </w:rPr>
        <w:t>(</w:t>
      </w:r>
      <w:r w:rsidR="00CD7B02">
        <w:rPr>
          <w:rFonts w:hint="eastAsia"/>
        </w:rPr>
        <w:t>d</w:t>
      </w:r>
      <w:r>
        <w:rPr>
          <w:rFonts w:hint="eastAsia"/>
        </w:rPr>
        <w:t>)</w:t>
      </w:r>
    </w:p>
    <w:p w14:paraId="2F75CFB7" w14:textId="509EF1B7" w:rsidR="00A77B99" w:rsidRDefault="00176C9C" w:rsidP="00A77B99">
      <w:pPr>
        <w:pStyle w:val="SingleTxtGC"/>
        <w:spacing w:before="120"/>
      </w:pPr>
      <w:r>
        <w:tab/>
      </w:r>
      <w:r w:rsidR="00A77B99">
        <w:rPr>
          <w:rFonts w:hint="eastAsia"/>
        </w:rPr>
        <w:t>委员会注意到，《儿童法案》规定最低刑事责任年龄为</w:t>
      </w:r>
      <w:r w:rsidR="00CD7B02">
        <w:rPr>
          <w:rFonts w:hint="eastAsia"/>
        </w:rPr>
        <w:t>12</w:t>
      </w:r>
      <w:r w:rsidR="00A77B99">
        <w:rPr>
          <w:rFonts w:hint="eastAsia"/>
        </w:rPr>
        <w:t>岁。委员会感到遗憾的是，鉴于该法案尚未颁布为法律，这一法律改革尚未得到实施。</w:t>
      </w:r>
    </w:p>
    <w:p w14:paraId="55AE7C77" w14:textId="5BFDB039" w:rsidR="00A77B99" w:rsidRDefault="00176C9C" w:rsidP="00A77B99">
      <w:pPr>
        <w:pStyle w:val="SingleTxtGC"/>
        <w:spacing w:before="120"/>
      </w:pPr>
      <w:r>
        <w:tab/>
      </w:r>
      <w:r w:rsidR="00A77B99">
        <w:rPr>
          <w:rFonts w:hint="eastAsia"/>
        </w:rPr>
        <w:t>委员会注意到《儿童法案》中关于设立少年法庭的规定，但关切地注意到《儿童法案》尚未获得通过。委员会重申其建议。</w:t>
      </w:r>
    </w:p>
    <w:p w14:paraId="21E9CB08" w14:textId="1D038801" w:rsidR="00A77B99" w:rsidRDefault="00176C9C" w:rsidP="00A77B99">
      <w:pPr>
        <w:pStyle w:val="SingleTxtGC"/>
        <w:spacing w:before="120"/>
      </w:pPr>
      <w:r>
        <w:lastRenderedPageBreak/>
        <w:tab/>
      </w:r>
      <w:r w:rsidR="00A77B99" w:rsidRPr="00475223">
        <w:rPr>
          <w:rFonts w:hint="eastAsia"/>
          <w:spacing w:val="2"/>
        </w:rPr>
        <w:t>委员会注意到缔约国提供的关于法律援助的资料，包括关于《法律援助和</w:t>
      </w:r>
      <w:r w:rsidR="00A77B99" w:rsidRPr="00475223">
        <w:rPr>
          <w:rFonts w:hint="eastAsia"/>
          <w:spacing w:val="-4"/>
        </w:rPr>
        <w:t>法律协助法》的资料。委员会注意到《儿童法案》规定要向青少年提供法律协助，</w:t>
      </w:r>
      <w:r w:rsidR="00A77B99">
        <w:rPr>
          <w:rFonts w:hint="eastAsia"/>
        </w:rPr>
        <w:t>但对这些规定尚未得到通过感到遗憾。委员会重申其建议。</w:t>
      </w:r>
    </w:p>
    <w:p w14:paraId="211EB7AB" w14:textId="66B827DC" w:rsidR="00A77B99" w:rsidRDefault="00A77B99" w:rsidP="00A77B99">
      <w:pPr>
        <w:pStyle w:val="SingleTxtGC"/>
        <w:spacing w:before="120"/>
      </w:pPr>
      <w:r>
        <w:t>[</w:t>
      </w:r>
      <w:r w:rsidR="00CD7B02">
        <w:rPr>
          <w:b/>
          <w:bCs/>
        </w:rPr>
        <w:t>A</w:t>
      </w:r>
      <w:r>
        <w:t>]</w:t>
      </w:r>
      <w:r w:rsidR="00CD7B02">
        <w:t>：</w:t>
      </w:r>
      <w:r>
        <w:t>(</w:t>
      </w:r>
      <w:r w:rsidR="00CD7B02">
        <w:t>c</w:t>
      </w:r>
      <w:r>
        <w:t>)</w:t>
      </w:r>
    </w:p>
    <w:p w14:paraId="3278D2B8" w14:textId="12E4A785" w:rsidR="00A77B99" w:rsidRDefault="00176C9C" w:rsidP="00A77B99">
      <w:pPr>
        <w:pStyle w:val="SingleTxtGC"/>
        <w:spacing w:before="120"/>
      </w:pPr>
      <w:r>
        <w:tab/>
      </w:r>
      <w:r w:rsidR="00A77B99">
        <w:rPr>
          <w:rFonts w:hint="eastAsia"/>
        </w:rPr>
        <w:t>委员会欢迎缔约国提供资料，说明为培训警察处理涉及少年司法的案件而采取的措施。委员会请缔约国提供关于该国所提到的培训课程的进一步资料，包括</w:t>
      </w:r>
      <w:r w:rsidR="00A77B99" w:rsidRPr="00475223">
        <w:rPr>
          <w:rFonts w:hint="eastAsia"/>
          <w:spacing w:val="4"/>
        </w:rPr>
        <w:t>所有此类培训活动的数量和性质、培训时间、所提到的</w:t>
      </w:r>
      <w:r w:rsidR="00CD7B02" w:rsidRPr="00475223">
        <w:rPr>
          <w:rFonts w:hint="eastAsia"/>
          <w:spacing w:val="4"/>
        </w:rPr>
        <w:t>16</w:t>
      </w:r>
      <w:r w:rsidR="00A77B99" w:rsidRPr="00475223">
        <w:rPr>
          <w:rFonts w:hint="eastAsia"/>
          <w:spacing w:val="4"/>
        </w:rPr>
        <w:t>次培训的参加人数</w:t>
      </w:r>
      <w:proofErr w:type="gramStart"/>
      <w:r w:rsidR="00A77B99" w:rsidRPr="00475223">
        <w:rPr>
          <w:rFonts w:hint="eastAsia"/>
          <w:spacing w:val="4"/>
        </w:rPr>
        <w:t>以</w:t>
      </w:r>
      <w:r w:rsidR="00A77B99">
        <w:rPr>
          <w:rFonts w:hint="eastAsia"/>
        </w:rPr>
        <w:t>及其</w:t>
      </w:r>
      <w:proofErr w:type="gramEnd"/>
      <w:r w:rsidR="00A77B99">
        <w:rPr>
          <w:rFonts w:hint="eastAsia"/>
        </w:rPr>
        <w:t>实质性影响。</w:t>
      </w:r>
    </w:p>
    <w:p w14:paraId="6038AE24" w14:textId="77777777" w:rsidR="00A77B99" w:rsidRDefault="00A77B99" w:rsidP="00A77B99">
      <w:pPr>
        <w:pStyle w:val="SingleTxtGC"/>
        <w:spacing w:before="120"/>
      </w:pPr>
      <w:r w:rsidRPr="00176C9C">
        <w:rPr>
          <w:rFonts w:ascii="Time New Roman" w:eastAsia="黑体" w:hAnsi="Time New Roman" w:hint="eastAsia"/>
        </w:rPr>
        <w:t>建议采取的行动：</w:t>
      </w:r>
      <w:r w:rsidRPr="0017568C">
        <w:rPr>
          <w:rFonts w:hint="eastAsia"/>
          <w:spacing w:val="-4"/>
        </w:rPr>
        <w:t>应函告缔约国后续程序中止。所要求的资料应列入缔约国下一次</w:t>
      </w:r>
      <w:r>
        <w:rPr>
          <w:rFonts w:hint="eastAsia"/>
        </w:rPr>
        <w:t>定期报告。</w:t>
      </w:r>
    </w:p>
    <w:p w14:paraId="1DAAEE96" w14:textId="078A9474" w:rsidR="00065776" w:rsidRPr="008B29AE" w:rsidRDefault="00A77B99" w:rsidP="008E472D">
      <w:pPr>
        <w:pStyle w:val="SingleTxtGC"/>
        <w:wordWrap w:val="0"/>
        <w:spacing w:before="120"/>
      </w:pPr>
      <w:r w:rsidRPr="008B29AE">
        <w:rPr>
          <w:rFonts w:ascii="Time New Roman" w:eastAsia="黑体" w:hAnsi="Time New Roman" w:hint="eastAsia"/>
          <w:spacing w:val="6"/>
        </w:rPr>
        <w:t>应提交下次定期报告的时间：</w:t>
      </w:r>
      <w:r w:rsidR="00CD7B02" w:rsidRPr="008B29AE">
        <w:rPr>
          <w:rFonts w:hint="eastAsia"/>
          <w:spacing w:val="6"/>
        </w:rPr>
        <w:t>2</w:t>
      </w:r>
      <w:r w:rsidRPr="008B29AE">
        <w:rPr>
          <w:rFonts w:hint="eastAsia"/>
          <w:spacing w:val="6"/>
        </w:rPr>
        <w:t>0</w:t>
      </w:r>
      <w:r w:rsidR="00CD7B02" w:rsidRPr="008B29AE">
        <w:rPr>
          <w:rFonts w:hint="eastAsia"/>
          <w:spacing w:val="6"/>
        </w:rPr>
        <w:t>25</w:t>
      </w:r>
      <w:r w:rsidRPr="008B29AE">
        <w:rPr>
          <w:rFonts w:hint="eastAsia"/>
          <w:spacing w:val="6"/>
        </w:rPr>
        <w:t>年</w:t>
      </w:r>
      <w:r w:rsidRPr="008B29AE">
        <w:rPr>
          <w:rFonts w:hint="eastAsia"/>
          <w:spacing w:val="6"/>
        </w:rPr>
        <w:t>(</w:t>
      </w:r>
      <w:r w:rsidRPr="008B29AE">
        <w:rPr>
          <w:rFonts w:hint="eastAsia"/>
          <w:spacing w:val="6"/>
        </w:rPr>
        <w:t>根据可预测的审议周期，将于</w:t>
      </w:r>
      <w:r w:rsidR="00CD7B02" w:rsidRPr="008B29AE">
        <w:rPr>
          <w:rFonts w:hint="eastAsia"/>
          <w:spacing w:val="6"/>
        </w:rPr>
        <w:t>2</w:t>
      </w:r>
      <w:r w:rsidRPr="008B29AE">
        <w:rPr>
          <w:rFonts w:hint="eastAsia"/>
          <w:spacing w:val="6"/>
        </w:rPr>
        <w:t>0</w:t>
      </w:r>
      <w:r w:rsidR="00CD7B02" w:rsidRPr="008B29AE">
        <w:rPr>
          <w:rFonts w:hint="eastAsia"/>
          <w:spacing w:val="6"/>
        </w:rPr>
        <w:t>26</w:t>
      </w:r>
      <w:r w:rsidRPr="008B29AE">
        <w:rPr>
          <w:rFonts w:hint="eastAsia"/>
          <w:spacing w:val="6"/>
        </w:rPr>
        <w:t>年</w:t>
      </w:r>
      <w:r w:rsidRPr="00F914E1">
        <w:rPr>
          <w:rFonts w:hint="eastAsia"/>
        </w:rPr>
        <w:t>进行国别审议。见</w:t>
      </w:r>
      <w:r w:rsidR="008B29AE" w:rsidRPr="00F914E1">
        <w:rPr>
          <w:rStyle w:val="af6"/>
        </w:rPr>
        <w:br/>
      </w:r>
      <w:r w:rsidR="008B29AE" w:rsidRPr="008B29AE">
        <w:rPr>
          <w:rStyle w:val="af6"/>
        </w:rPr>
        <w:t>http://</w:t>
      </w:r>
      <w:hyperlink r:id="rId11" w:history="1">
        <w:r w:rsidR="008B29AE" w:rsidRPr="008B29AE">
          <w:rPr>
            <w:rStyle w:val="af6"/>
            <w:rFonts w:hint="eastAsia"/>
          </w:rPr>
          <w:t>www.ohchr.org/EN/HRBodies/CCPR/Pages/PredictableReviewCycle.aspx</w:t>
        </w:r>
      </w:hyperlink>
      <w:r w:rsidRPr="008B29AE">
        <w:rPr>
          <w:rFonts w:hint="eastAsia"/>
        </w:rPr>
        <w:t>)</w:t>
      </w:r>
      <w:r w:rsidRPr="008B29AE">
        <w:rPr>
          <w:rFonts w:hint="eastAsia"/>
        </w:rPr>
        <w:t>。</w:t>
      </w:r>
    </w:p>
    <w:p w14:paraId="21E4D460" w14:textId="513644BD" w:rsidR="00A77B99" w:rsidRPr="00A77B99" w:rsidRDefault="00A77B99" w:rsidP="00A77B99">
      <w:pPr>
        <w:spacing w:before="240"/>
        <w:jc w:val="center"/>
      </w:pPr>
      <w:r>
        <w:rPr>
          <w:rFonts w:hint="eastAsia"/>
          <w:u w:val="single"/>
        </w:rPr>
        <w:tab/>
      </w:r>
      <w:r>
        <w:rPr>
          <w:rFonts w:hint="eastAsia"/>
          <w:u w:val="single"/>
        </w:rPr>
        <w:tab/>
      </w:r>
      <w:r>
        <w:rPr>
          <w:rFonts w:hint="eastAsia"/>
          <w:u w:val="single"/>
        </w:rPr>
        <w:tab/>
      </w:r>
      <w:r>
        <w:rPr>
          <w:u w:val="single"/>
        </w:rPr>
        <w:tab/>
      </w:r>
    </w:p>
    <w:sectPr w:rsidR="00A77B99" w:rsidRPr="00A77B99" w:rsidSect="004D0A0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5F5B" w14:textId="77777777" w:rsidR="00B34022" w:rsidRPr="000D319F" w:rsidRDefault="00B34022" w:rsidP="000D319F">
      <w:pPr>
        <w:pStyle w:val="af0"/>
        <w:spacing w:after="240"/>
        <w:ind w:left="907"/>
        <w:rPr>
          <w:rFonts w:asciiTheme="majorBidi" w:eastAsia="宋体" w:hAnsiTheme="majorBidi" w:cstheme="majorBidi"/>
          <w:sz w:val="21"/>
          <w:szCs w:val="21"/>
          <w:lang w:val="en-US"/>
        </w:rPr>
      </w:pPr>
    </w:p>
    <w:p w14:paraId="4EEDFC73" w14:textId="77777777" w:rsidR="00B34022" w:rsidRPr="000D319F" w:rsidRDefault="00B3402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E923F7E" w14:textId="77777777" w:rsidR="00B34022" w:rsidRPr="000D319F" w:rsidRDefault="00B34022" w:rsidP="000D319F">
      <w:pPr>
        <w:pStyle w:val="af0"/>
      </w:pPr>
    </w:p>
  </w:endnote>
  <w:endnote w:type="continuationNotice" w:id="1">
    <w:p w14:paraId="21711080" w14:textId="77777777" w:rsidR="00B34022" w:rsidRDefault="00B340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68A" w14:textId="77777777" w:rsidR="00056632" w:rsidRPr="006E7C38" w:rsidRDefault="006E7C38" w:rsidP="006E7C3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E7C38">
      <w:rPr>
        <w:rStyle w:val="af2"/>
        <w:b w:val="0"/>
        <w:snapToGrid w:val="0"/>
        <w:sz w:val="16"/>
      </w:rPr>
      <w:t>GE.21</w:t>
    </w:r>
    <w:proofErr w:type="spellEnd"/>
    <w:r w:rsidRPr="006E7C38">
      <w:rPr>
        <w:rStyle w:val="af2"/>
        <w:b w:val="0"/>
        <w:snapToGrid w:val="0"/>
        <w:sz w:val="16"/>
      </w:rPr>
      <w:t>-19077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C9A2" w14:textId="77777777" w:rsidR="00056632" w:rsidRPr="006E7C38" w:rsidRDefault="006E7C38" w:rsidP="006E7C38">
    <w:pPr>
      <w:pStyle w:val="af0"/>
      <w:tabs>
        <w:tab w:val="clear" w:pos="431"/>
        <w:tab w:val="right" w:pos="9638"/>
      </w:tabs>
      <w:rPr>
        <w:rStyle w:val="af2"/>
      </w:rPr>
    </w:pPr>
    <w:proofErr w:type="spellStart"/>
    <w:r>
      <w:t>GE.21</w:t>
    </w:r>
    <w:proofErr w:type="spellEnd"/>
    <w:r>
      <w:t>-19077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5E2F" w14:textId="2EA62E5F" w:rsidR="00056632" w:rsidRPr="00487939" w:rsidRDefault="006E7C38"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15E52AF" wp14:editId="4A96F936">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-19077</w:t>
    </w:r>
    <w:r w:rsidR="00731A42" w:rsidRPr="00EE277A">
      <w:rPr>
        <w:sz w:val="20"/>
        <w:lang w:eastAsia="zh-CN"/>
      </w:rPr>
      <w:t xml:space="preserve"> (C)</w:t>
    </w:r>
    <w:r w:rsidR="00EA7E67">
      <w:rPr>
        <w:sz w:val="20"/>
        <w:lang w:eastAsia="zh-CN"/>
      </w:rPr>
      <w:tab/>
      <w:t>0</w:t>
    </w:r>
    <w:r>
      <w:rPr>
        <w:sz w:val="20"/>
        <w:lang w:eastAsia="zh-CN"/>
      </w:rPr>
      <w:t>7</w:t>
    </w:r>
    <w:r w:rsidR="00EA7E67">
      <w:rPr>
        <w:sz w:val="20"/>
        <w:lang w:eastAsia="zh-CN"/>
      </w:rPr>
      <w:t>0</w:t>
    </w:r>
    <w:r>
      <w:rPr>
        <w:sz w:val="20"/>
        <w:lang w:eastAsia="zh-CN"/>
      </w:rPr>
      <w:t>2</w:t>
    </w:r>
    <w:r w:rsidR="0060122D">
      <w:rPr>
        <w:sz w:val="20"/>
        <w:lang w:eastAsia="zh-CN"/>
      </w:rPr>
      <w:t>2</w:t>
    </w:r>
    <w:r>
      <w:rPr>
        <w:sz w:val="20"/>
        <w:lang w:eastAsia="zh-CN"/>
      </w:rPr>
      <w:t>2</w:t>
    </w:r>
    <w:r w:rsidR="00731A42">
      <w:rPr>
        <w:sz w:val="20"/>
        <w:lang w:eastAsia="zh-CN"/>
      </w:rPr>
      <w:tab/>
    </w:r>
    <w:r>
      <w:rPr>
        <w:sz w:val="20"/>
        <w:lang w:eastAsia="zh-CN"/>
      </w:rPr>
      <w:t>2</w:t>
    </w:r>
    <w:r w:rsidR="00F60396">
      <w:rPr>
        <w:sz w:val="20"/>
        <w:lang w:eastAsia="zh-CN"/>
      </w:rPr>
      <w:t>8</w:t>
    </w:r>
    <w:r w:rsidR="00731A42">
      <w:rPr>
        <w:sz w:val="20"/>
        <w:lang w:eastAsia="zh-CN"/>
      </w:rPr>
      <w:t>0</w:t>
    </w:r>
    <w:r>
      <w:rPr>
        <w:sz w:val="20"/>
        <w:lang w:eastAsia="zh-CN"/>
      </w:rPr>
      <w:t>2</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1CE36D5A" wp14:editId="5BE6DC4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FA0F" w14:textId="77777777" w:rsidR="00B34022" w:rsidRPr="000157B1" w:rsidRDefault="00B3402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8853D0A" w14:textId="77777777" w:rsidR="00B34022" w:rsidRPr="000157B1" w:rsidRDefault="00B3402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2288E04" w14:textId="77777777" w:rsidR="00B34022" w:rsidRDefault="00B34022"/>
  </w:footnote>
  <w:footnote w:id="2">
    <w:p w14:paraId="3D08A526" w14:textId="2AA29844" w:rsidR="00E33CC5" w:rsidRPr="003E756F" w:rsidRDefault="00E33CC5" w:rsidP="00E33CC5">
      <w:pPr>
        <w:pStyle w:val="a6"/>
        <w:tabs>
          <w:tab w:val="clear" w:pos="1021"/>
          <w:tab w:val="right" w:pos="1020"/>
        </w:tabs>
      </w:pPr>
      <w:r w:rsidRPr="003E756F">
        <w:rPr>
          <w:rStyle w:val="a8"/>
          <w:rFonts w:eastAsia="宋体"/>
          <w:vertAlign w:val="baseline"/>
        </w:rPr>
        <w:tab/>
        <w:t>*</w:t>
      </w:r>
      <w:r w:rsidRPr="003E756F">
        <w:tab/>
      </w:r>
      <w:r w:rsidR="003E756F" w:rsidRPr="003E756F">
        <w:rPr>
          <w:rFonts w:hint="eastAsia"/>
        </w:rPr>
        <w:t>委员会第一三三届会议</w:t>
      </w:r>
      <w:r w:rsidR="003E756F" w:rsidRPr="003E756F">
        <w:rPr>
          <w:rFonts w:hint="eastAsia"/>
        </w:rPr>
        <w:t>(2021</w:t>
      </w:r>
      <w:r w:rsidR="003E756F" w:rsidRPr="003E756F">
        <w:rPr>
          <w:rFonts w:hint="eastAsia"/>
        </w:rPr>
        <w:t>年</w:t>
      </w:r>
      <w:r w:rsidR="003E756F" w:rsidRPr="003E756F">
        <w:rPr>
          <w:rFonts w:hint="eastAsia"/>
        </w:rPr>
        <w:t>10</w:t>
      </w:r>
      <w:r w:rsidR="003E756F" w:rsidRPr="003E756F">
        <w:rPr>
          <w:rFonts w:hint="eastAsia"/>
        </w:rPr>
        <w:t>月</w:t>
      </w:r>
      <w:r w:rsidR="003E756F" w:rsidRPr="003E756F">
        <w:rPr>
          <w:rFonts w:hint="eastAsia"/>
        </w:rPr>
        <w:t>11</w:t>
      </w:r>
      <w:r w:rsidR="003E756F" w:rsidRPr="003E756F">
        <w:rPr>
          <w:rFonts w:hint="eastAsia"/>
        </w:rPr>
        <w:t>日至</w:t>
      </w:r>
      <w:r w:rsidR="003E756F" w:rsidRPr="003E756F">
        <w:rPr>
          <w:rFonts w:hint="eastAsia"/>
        </w:rPr>
        <w:t>11</w:t>
      </w:r>
      <w:r w:rsidR="003E756F" w:rsidRPr="003E756F">
        <w:rPr>
          <w:rFonts w:hint="eastAsia"/>
        </w:rPr>
        <w:t>月</w:t>
      </w:r>
      <w:r w:rsidR="003E756F" w:rsidRPr="003E756F">
        <w:rPr>
          <w:rFonts w:hint="eastAsia"/>
        </w:rPr>
        <w:t>5</w:t>
      </w:r>
      <w:r w:rsidR="003E756F" w:rsidRPr="003E756F">
        <w:rPr>
          <w:rFonts w:hint="eastAsia"/>
        </w:rPr>
        <w:t>日</w:t>
      </w:r>
      <w:r w:rsidR="003E756F" w:rsidRPr="003E756F">
        <w:rPr>
          <w:rFonts w:hint="eastAsia"/>
        </w:rPr>
        <w:t>)</w:t>
      </w:r>
      <w:r w:rsidR="003E756F" w:rsidRPr="003E756F">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3E78" w14:textId="77777777" w:rsidR="00056632" w:rsidRDefault="006E7C38" w:rsidP="006E7C38">
    <w:pPr>
      <w:pStyle w:val="af3"/>
    </w:pPr>
    <w:proofErr w:type="spellStart"/>
    <w:r>
      <w:t>CCPR</w:t>
    </w:r>
    <w:proofErr w:type="spellEnd"/>
    <w:r>
      <w:t>/C/133/3/</w:t>
    </w:r>
    <w:proofErr w:type="spellStart"/>
    <w:r>
      <w:t>Add.4</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C993" w14:textId="77777777" w:rsidR="00056632" w:rsidRPr="00202A30" w:rsidRDefault="006E7C38" w:rsidP="006E7C38">
    <w:pPr>
      <w:pStyle w:val="af3"/>
      <w:jc w:val="right"/>
    </w:pPr>
    <w:proofErr w:type="spellStart"/>
    <w:r>
      <w:t>CCPR</w:t>
    </w:r>
    <w:proofErr w:type="spellEnd"/>
    <w:r>
      <w:t>/C/133/3/</w:t>
    </w:r>
    <w:proofErr w:type="spellStart"/>
    <w:r>
      <w:t>Add.4</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22"/>
    <w:rsid w:val="00003287"/>
    <w:rsid w:val="00011483"/>
    <w:rsid w:val="0004554F"/>
    <w:rsid w:val="00061CEC"/>
    <w:rsid w:val="00065776"/>
    <w:rsid w:val="000D319F"/>
    <w:rsid w:val="000E4D0E"/>
    <w:rsid w:val="000F5EB8"/>
    <w:rsid w:val="00126EB7"/>
    <w:rsid w:val="00144B69"/>
    <w:rsid w:val="00153E86"/>
    <w:rsid w:val="00172E04"/>
    <w:rsid w:val="0017568C"/>
    <w:rsid w:val="00176C9C"/>
    <w:rsid w:val="001B1BD1"/>
    <w:rsid w:val="001C3EF2"/>
    <w:rsid w:val="001C5FF7"/>
    <w:rsid w:val="001D17F6"/>
    <w:rsid w:val="00202071"/>
    <w:rsid w:val="00204B42"/>
    <w:rsid w:val="0021265F"/>
    <w:rsid w:val="002231C3"/>
    <w:rsid w:val="00233FE9"/>
    <w:rsid w:val="0024417F"/>
    <w:rsid w:val="00250F8D"/>
    <w:rsid w:val="0025482B"/>
    <w:rsid w:val="00267AEC"/>
    <w:rsid w:val="002E1C97"/>
    <w:rsid w:val="002F5834"/>
    <w:rsid w:val="003006AB"/>
    <w:rsid w:val="00326EBF"/>
    <w:rsid w:val="00327FE4"/>
    <w:rsid w:val="003333CC"/>
    <w:rsid w:val="003452E0"/>
    <w:rsid w:val="00385347"/>
    <w:rsid w:val="003A6C0C"/>
    <w:rsid w:val="003D7CA8"/>
    <w:rsid w:val="003E756F"/>
    <w:rsid w:val="003F252D"/>
    <w:rsid w:val="00427F63"/>
    <w:rsid w:val="00434D38"/>
    <w:rsid w:val="00475223"/>
    <w:rsid w:val="00494EB8"/>
    <w:rsid w:val="004961A9"/>
    <w:rsid w:val="004C4A0A"/>
    <w:rsid w:val="004C70BE"/>
    <w:rsid w:val="004D0A00"/>
    <w:rsid w:val="004E473D"/>
    <w:rsid w:val="004E745D"/>
    <w:rsid w:val="004F348E"/>
    <w:rsid w:val="00501220"/>
    <w:rsid w:val="00531556"/>
    <w:rsid w:val="0057615F"/>
    <w:rsid w:val="005A11CB"/>
    <w:rsid w:val="005B56E9"/>
    <w:rsid w:val="005E403A"/>
    <w:rsid w:val="005E4086"/>
    <w:rsid w:val="005F0802"/>
    <w:rsid w:val="005F0A45"/>
    <w:rsid w:val="0060122D"/>
    <w:rsid w:val="00604D91"/>
    <w:rsid w:val="00605D09"/>
    <w:rsid w:val="006257FE"/>
    <w:rsid w:val="00654DD9"/>
    <w:rsid w:val="00670DEE"/>
    <w:rsid w:val="00680656"/>
    <w:rsid w:val="006B1119"/>
    <w:rsid w:val="006D3757"/>
    <w:rsid w:val="006D37EB"/>
    <w:rsid w:val="006E3E46"/>
    <w:rsid w:val="006E71B1"/>
    <w:rsid w:val="006E7C38"/>
    <w:rsid w:val="006F1404"/>
    <w:rsid w:val="0070593B"/>
    <w:rsid w:val="00705D89"/>
    <w:rsid w:val="00731A42"/>
    <w:rsid w:val="00751B82"/>
    <w:rsid w:val="00755487"/>
    <w:rsid w:val="00767E69"/>
    <w:rsid w:val="0077079A"/>
    <w:rsid w:val="007710C4"/>
    <w:rsid w:val="00771504"/>
    <w:rsid w:val="00796CAA"/>
    <w:rsid w:val="007A5599"/>
    <w:rsid w:val="007F64C2"/>
    <w:rsid w:val="00820EE3"/>
    <w:rsid w:val="00843599"/>
    <w:rsid w:val="00856233"/>
    <w:rsid w:val="00860F27"/>
    <w:rsid w:val="008B0560"/>
    <w:rsid w:val="008B29AE"/>
    <w:rsid w:val="008B2BFA"/>
    <w:rsid w:val="008D31F4"/>
    <w:rsid w:val="008E472D"/>
    <w:rsid w:val="008E6A3F"/>
    <w:rsid w:val="008E6FEB"/>
    <w:rsid w:val="00923557"/>
    <w:rsid w:val="00936F03"/>
    <w:rsid w:val="00943B69"/>
    <w:rsid w:val="00944CB3"/>
    <w:rsid w:val="00952A6C"/>
    <w:rsid w:val="0096722F"/>
    <w:rsid w:val="00986624"/>
    <w:rsid w:val="009B09D7"/>
    <w:rsid w:val="009D35ED"/>
    <w:rsid w:val="00A03CB6"/>
    <w:rsid w:val="00A1364C"/>
    <w:rsid w:val="00A21076"/>
    <w:rsid w:val="00A31BA8"/>
    <w:rsid w:val="00A3739A"/>
    <w:rsid w:val="00A52DAF"/>
    <w:rsid w:val="00A77B99"/>
    <w:rsid w:val="00A84072"/>
    <w:rsid w:val="00AC7671"/>
    <w:rsid w:val="00B16570"/>
    <w:rsid w:val="00B23B03"/>
    <w:rsid w:val="00B34022"/>
    <w:rsid w:val="00B43EB7"/>
    <w:rsid w:val="00B53320"/>
    <w:rsid w:val="00B614C4"/>
    <w:rsid w:val="00B712F3"/>
    <w:rsid w:val="00B931E9"/>
    <w:rsid w:val="00BC6522"/>
    <w:rsid w:val="00BC7F3E"/>
    <w:rsid w:val="00BE1FFE"/>
    <w:rsid w:val="00C121D5"/>
    <w:rsid w:val="00C17349"/>
    <w:rsid w:val="00C323A4"/>
    <w:rsid w:val="00C351AA"/>
    <w:rsid w:val="00C53586"/>
    <w:rsid w:val="00C623B7"/>
    <w:rsid w:val="00C6372D"/>
    <w:rsid w:val="00C70852"/>
    <w:rsid w:val="00C7253F"/>
    <w:rsid w:val="00C829C3"/>
    <w:rsid w:val="00C845BA"/>
    <w:rsid w:val="00C90707"/>
    <w:rsid w:val="00CD7B02"/>
    <w:rsid w:val="00CE1D1C"/>
    <w:rsid w:val="00D26A05"/>
    <w:rsid w:val="00D4648D"/>
    <w:rsid w:val="00D716E6"/>
    <w:rsid w:val="00D9309B"/>
    <w:rsid w:val="00D97B98"/>
    <w:rsid w:val="00DB0D94"/>
    <w:rsid w:val="00DC671F"/>
    <w:rsid w:val="00DE484D"/>
    <w:rsid w:val="00DE4DA7"/>
    <w:rsid w:val="00E02C13"/>
    <w:rsid w:val="00E33B38"/>
    <w:rsid w:val="00E33CC5"/>
    <w:rsid w:val="00E442A1"/>
    <w:rsid w:val="00E47FE5"/>
    <w:rsid w:val="00E574AF"/>
    <w:rsid w:val="00E705AF"/>
    <w:rsid w:val="00E73B33"/>
    <w:rsid w:val="00E74151"/>
    <w:rsid w:val="00EA7E67"/>
    <w:rsid w:val="00F24E6D"/>
    <w:rsid w:val="00F379B8"/>
    <w:rsid w:val="00F40C22"/>
    <w:rsid w:val="00F60396"/>
    <w:rsid w:val="00F662AA"/>
    <w:rsid w:val="00F714DA"/>
    <w:rsid w:val="00F77B45"/>
    <w:rsid w:val="00F87910"/>
    <w:rsid w:val="00F914E1"/>
    <w:rsid w:val="00FB456B"/>
    <w:rsid w:val="00FC26E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5C6B6"/>
  <w15:docId w15:val="{A505A3D0-A446-4B4B-ABF1-4C1E43D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3D7CA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C7F3E"/>
    <w:rPr>
      <w:color w:val="0000FF" w:themeColor="hyperlink"/>
      <w:u w:val="none"/>
    </w:rPr>
  </w:style>
  <w:style w:type="character" w:styleId="af7">
    <w:name w:val="Unresolved Mention"/>
    <w:basedOn w:val="a0"/>
    <w:uiPriority w:val="99"/>
    <w:semiHidden/>
    <w:unhideWhenUsed/>
    <w:rsid w:val="00F40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ch/CCPR/C/MUS/CO/5/Add.1" TargetMode="External"/><Relationship Id="rId4" Type="http://schemas.openxmlformats.org/officeDocument/2006/relationships/settings" Target="settings.xml"/><Relationship Id="rId9" Type="http://schemas.openxmlformats.org/officeDocument/2006/relationships/hyperlink" Target="http://undocs.org/ch/CCPR/C/MUS/CO/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2829</Words>
  <Characters>3184</Characters>
  <Application>Microsoft Office Word</Application>
  <DocSecurity>0</DocSecurity>
  <Lines>129</Lines>
  <Paragraphs>60</Paragraphs>
  <ScaleCrop>false</ScaleCrop>
  <Company>DCM</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CCPR/C/133/3/Add.4</dc:title>
  <dc:subject>2119077</dc:subject>
  <dc:creator>Xu</dc:creator>
  <cp:keywords/>
  <dc:description/>
  <cp:lastModifiedBy>Hui Tian</cp:lastModifiedBy>
  <cp:revision>2</cp:revision>
  <cp:lastPrinted>2014-05-09T11:28:00Z</cp:lastPrinted>
  <dcterms:created xsi:type="dcterms:W3CDTF">2022-02-28T14:07:00Z</dcterms:created>
  <dcterms:modified xsi:type="dcterms:W3CDTF">2022-02-28T14:07:00Z</dcterms:modified>
</cp:coreProperties>
</file>