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660148EA" w14:textId="77777777" w:rsidTr="002B7BC7">
        <w:trPr>
          <w:trHeight w:hRule="exact" w:val="851"/>
        </w:trPr>
        <w:tc>
          <w:tcPr>
            <w:tcW w:w="1276" w:type="dxa"/>
            <w:tcBorders>
              <w:bottom w:val="single" w:sz="4" w:space="0" w:color="auto"/>
            </w:tcBorders>
          </w:tcPr>
          <w:p w14:paraId="58C65744" w14:textId="77777777" w:rsidR="006F71EA" w:rsidRPr="00DB58B5" w:rsidRDefault="006F71EA" w:rsidP="00C66C9A"/>
        </w:tc>
        <w:tc>
          <w:tcPr>
            <w:tcW w:w="2268" w:type="dxa"/>
            <w:tcBorders>
              <w:bottom w:val="single" w:sz="4" w:space="0" w:color="auto"/>
            </w:tcBorders>
            <w:vAlign w:val="bottom"/>
          </w:tcPr>
          <w:p w14:paraId="4C0EA64B"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90E55DF" w14:textId="77777777" w:rsidR="006F71EA" w:rsidRPr="00DB58B5" w:rsidRDefault="00C66C9A" w:rsidP="00C66C9A">
            <w:pPr>
              <w:jc w:val="right"/>
            </w:pPr>
            <w:r w:rsidRPr="00C66C9A">
              <w:rPr>
                <w:sz w:val="40"/>
              </w:rPr>
              <w:t>CCPR</w:t>
            </w:r>
            <w:r>
              <w:t>/C/130/D/2918/2016</w:t>
            </w:r>
          </w:p>
        </w:tc>
      </w:tr>
      <w:tr w:rsidR="006F71EA" w:rsidRPr="00DB58B5" w14:paraId="225EAE4E" w14:textId="77777777" w:rsidTr="002B7BC7">
        <w:trPr>
          <w:trHeight w:hRule="exact" w:val="2835"/>
        </w:trPr>
        <w:tc>
          <w:tcPr>
            <w:tcW w:w="1276" w:type="dxa"/>
            <w:tcBorders>
              <w:top w:val="single" w:sz="4" w:space="0" w:color="auto"/>
              <w:bottom w:val="single" w:sz="12" w:space="0" w:color="auto"/>
            </w:tcBorders>
          </w:tcPr>
          <w:p w14:paraId="5A573157" w14:textId="77777777" w:rsidR="006F71EA" w:rsidRPr="00DB58B5" w:rsidRDefault="006F71EA" w:rsidP="002B7BC7">
            <w:pPr>
              <w:spacing w:before="120"/>
              <w:jc w:val="center"/>
            </w:pPr>
            <w:r>
              <w:rPr>
                <w:noProof/>
                <w:lang w:eastAsia="fr-CH"/>
              </w:rPr>
              <w:drawing>
                <wp:inline distT="0" distB="0" distL="0" distR="0" wp14:anchorId="1EE39FCC" wp14:editId="1D76179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E0CCBDE"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2BF5E7C1" w14:textId="77777777" w:rsidR="006F71EA" w:rsidRDefault="00C66C9A" w:rsidP="002B7BC7">
            <w:pPr>
              <w:spacing w:before="240"/>
            </w:pPr>
            <w:r>
              <w:t>Distr. générale</w:t>
            </w:r>
          </w:p>
          <w:p w14:paraId="13C8A45E" w14:textId="77777777" w:rsidR="00C66C9A" w:rsidRDefault="00C66C9A" w:rsidP="00C66C9A">
            <w:pPr>
              <w:spacing w:line="240" w:lineRule="exact"/>
            </w:pPr>
            <w:r>
              <w:t>20 janvier 2021</w:t>
            </w:r>
          </w:p>
          <w:p w14:paraId="1356680B" w14:textId="77777777" w:rsidR="00C66C9A" w:rsidRDefault="00C66C9A" w:rsidP="00C66C9A">
            <w:pPr>
              <w:spacing w:line="240" w:lineRule="exact"/>
            </w:pPr>
            <w:r>
              <w:t>Français</w:t>
            </w:r>
          </w:p>
          <w:p w14:paraId="74E222D1" w14:textId="77777777" w:rsidR="00C66C9A" w:rsidRPr="00DB58B5" w:rsidRDefault="00C66C9A" w:rsidP="00C66C9A">
            <w:pPr>
              <w:spacing w:line="240" w:lineRule="exact"/>
            </w:pPr>
            <w:r>
              <w:t>Original : anglais</w:t>
            </w:r>
          </w:p>
        </w:tc>
      </w:tr>
    </w:tbl>
    <w:p w14:paraId="25519BE9" w14:textId="77777777" w:rsidR="006F71EA" w:rsidRDefault="006F71EA" w:rsidP="006F71EA">
      <w:pPr>
        <w:spacing w:before="120"/>
        <w:rPr>
          <w:b/>
          <w:sz w:val="24"/>
          <w:szCs w:val="24"/>
        </w:rPr>
      </w:pPr>
      <w:r w:rsidRPr="00DF3BF1">
        <w:rPr>
          <w:b/>
          <w:sz w:val="24"/>
          <w:szCs w:val="24"/>
        </w:rPr>
        <w:t>Comité des droits de l’homme</w:t>
      </w:r>
    </w:p>
    <w:p w14:paraId="46D70E9D" w14:textId="77777777" w:rsidR="00C66C9A" w:rsidRDefault="00C66C9A" w:rsidP="00C66C9A">
      <w:pPr>
        <w:pStyle w:val="HChG"/>
        <w:rPr>
          <w:b w:val="0"/>
          <w:bCs/>
          <w:sz w:val="20"/>
        </w:rPr>
      </w:pPr>
      <w:r w:rsidRPr="00584D66">
        <w:tab/>
      </w:r>
      <w:r w:rsidRPr="00584D66">
        <w:tab/>
        <w:t>C</w:t>
      </w:r>
      <w:r>
        <w:t xml:space="preserve">onstatations adoptées </w:t>
      </w:r>
      <w:r w:rsidRPr="00A43F37">
        <w:t>par le Comité au titre de l</w:t>
      </w:r>
      <w:r>
        <w:t>’</w:t>
      </w:r>
      <w:r w:rsidRPr="00A43F37">
        <w:t>article</w:t>
      </w:r>
      <w:r>
        <w:t> </w:t>
      </w:r>
      <w:r w:rsidRPr="00A43F37">
        <w:t>5 (par.</w:t>
      </w:r>
      <w:r>
        <w:t> </w:t>
      </w:r>
      <w:r w:rsidRPr="00A43F37">
        <w:t xml:space="preserve">4) du Protocole facultatif, concernant </w:t>
      </w:r>
      <w:r>
        <w:br/>
      </w:r>
      <w:r w:rsidRPr="00A43F37">
        <w:t>la</w:t>
      </w:r>
      <w:r>
        <w:t xml:space="preserve"> c</w:t>
      </w:r>
      <w:r w:rsidRPr="00584D66">
        <w:t xml:space="preserve">ommunication </w:t>
      </w:r>
      <w:r w:rsidRPr="00584D66">
        <w:rPr>
          <w:rFonts w:eastAsia="MS Mincho"/>
          <w:szCs w:val="22"/>
        </w:rPr>
        <w:t>n</w:t>
      </w:r>
      <w:r w:rsidRPr="00584D66">
        <w:rPr>
          <w:rFonts w:eastAsia="MS Mincho"/>
          <w:szCs w:val="22"/>
          <w:vertAlign w:val="superscript"/>
        </w:rPr>
        <w:t>o</w:t>
      </w:r>
      <w:r w:rsidRPr="00584D66">
        <w:t> 2918/2016</w:t>
      </w:r>
      <w:r w:rsidRPr="00E6006C">
        <w:rPr>
          <w:rStyle w:val="Appelnotedebasdep"/>
          <w:b w:val="0"/>
          <w:bCs/>
          <w:sz w:val="20"/>
          <w:vertAlign w:val="baseline"/>
        </w:rPr>
        <w:footnoteReference w:customMarkFollows="1" w:id="2"/>
        <w:t>*</w:t>
      </w:r>
      <w:r w:rsidRPr="00E6006C">
        <w:rPr>
          <w:b w:val="0"/>
          <w:bCs/>
          <w:sz w:val="20"/>
          <w:vertAlign w:val="superscript"/>
        </w:rPr>
        <w:t xml:space="preserve">, </w:t>
      </w:r>
      <w:r w:rsidRPr="00E6006C">
        <w:rPr>
          <w:rStyle w:val="Appelnotedebasdep"/>
          <w:b w:val="0"/>
          <w:bCs/>
          <w:sz w:val="20"/>
          <w:vertAlign w:val="baseline"/>
        </w:rPr>
        <w:footnoteReference w:customMarkFollows="1" w:id="3"/>
        <w:t>**</w:t>
      </w:r>
      <w:r w:rsidRPr="00E6006C">
        <w:rPr>
          <w:rStyle w:val="Appelnotedebasdep"/>
          <w:b w:val="0"/>
          <w:bCs/>
          <w:sz w:val="20"/>
        </w:rPr>
        <w:t>,</w:t>
      </w:r>
      <w:r w:rsidRPr="00E6006C">
        <w:rPr>
          <w:b w:val="0"/>
          <w:bCs/>
          <w:sz w:val="20"/>
        </w:rPr>
        <w:t xml:space="preserve"> ***</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2"/>
        <w:gridCol w:w="4253"/>
      </w:tblGrid>
      <w:tr w:rsidR="00C66C9A" w14:paraId="486D1FD8" w14:textId="77777777" w:rsidTr="002279C6">
        <w:tc>
          <w:tcPr>
            <w:tcW w:w="2552" w:type="dxa"/>
          </w:tcPr>
          <w:p w14:paraId="43587620" w14:textId="77777777" w:rsidR="00C66C9A" w:rsidRDefault="00C66C9A" w:rsidP="002279C6">
            <w:pPr>
              <w:pStyle w:val="SingleTxtG"/>
              <w:ind w:left="0" w:right="0"/>
              <w:jc w:val="left"/>
              <w:rPr>
                <w:i/>
              </w:rPr>
            </w:pPr>
            <w:r>
              <w:rPr>
                <w:i/>
              </w:rPr>
              <w:t>Communication présentée par</w:t>
            </w:r>
            <w:r>
              <w:t> :</w:t>
            </w:r>
          </w:p>
        </w:tc>
        <w:tc>
          <w:tcPr>
            <w:tcW w:w="4253" w:type="dxa"/>
          </w:tcPr>
          <w:p w14:paraId="33B88257" w14:textId="77777777" w:rsidR="00C66C9A" w:rsidRDefault="00C66C9A" w:rsidP="002279C6">
            <w:pPr>
              <w:pStyle w:val="SingleTxtG"/>
              <w:ind w:left="0" w:right="0"/>
              <w:jc w:val="left"/>
            </w:pPr>
            <w:r w:rsidRPr="00E6006C">
              <w:t>D. Z. (représenté par un conseil, James A. Goldston, de Open Society Justice Initiative, et par sa mère)</w:t>
            </w:r>
          </w:p>
        </w:tc>
      </w:tr>
      <w:tr w:rsidR="00C66C9A" w14:paraId="05CFE552" w14:textId="77777777" w:rsidTr="002279C6">
        <w:tc>
          <w:tcPr>
            <w:tcW w:w="2552" w:type="dxa"/>
          </w:tcPr>
          <w:p w14:paraId="1D6B6BF3" w14:textId="77777777" w:rsidR="00C66C9A" w:rsidRDefault="00C66C9A" w:rsidP="002279C6">
            <w:pPr>
              <w:pStyle w:val="SingleTxtG"/>
              <w:ind w:left="0" w:right="0"/>
              <w:jc w:val="left"/>
              <w:rPr>
                <w:i/>
              </w:rPr>
            </w:pPr>
            <w:r w:rsidRPr="00E6006C">
              <w:rPr>
                <w:i/>
              </w:rPr>
              <w:t>Victime(s) présumée(s)</w:t>
            </w:r>
            <w:r>
              <w:rPr>
                <w:iCs/>
              </w:rPr>
              <w:t> </w:t>
            </w:r>
            <w:r w:rsidRPr="00E6006C">
              <w:rPr>
                <w:iCs/>
              </w:rPr>
              <w:t>:</w:t>
            </w:r>
          </w:p>
        </w:tc>
        <w:tc>
          <w:tcPr>
            <w:tcW w:w="4253" w:type="dxa"/>
          </w:tcPr>
          <w:p w14:paraId="3D1911E2" w14:textId="77777777" w:rsidR="00C66C9A" w:rsidRDefault="00C66C9A" w:rsidP="002279C6">
            <w:pPr>
              <w:pStyle w:val="SingleTxtG"/>
              <w:ind w:left="0" w:right="0"/>
              <w:jc w:val="left"/>
            </w:pPr>
            <w:r w:rsidRPr="00E6006C">
              <w:t>L’auteur</w:t>
            </w:r>
          </w:p>
        </w:tc>
      </w:tr>
      <w:tr w:rsidR="00C66C9A" w14:paraId="6D398D52" w14:textId="77777777" w:rsidTr="002279C6">
        <w:tc>
          <w:tcPr>
            <w:tcW w:w="2552" w:type="dxa"/>
          </w:tcPr>
          <w:p w14:paraId="139D2294" w14:textId="77777777" w:rsidR="00C66C9A" w:rsidRDefault="00C66C9A" w:rsidP="002279C6">
            <w:pPr>
              <w:pStyle w:val="SingleTxtG"/>
              <w:ind w:left="0" w:right="0"/>
              <w:jc w:val="left"/>
              <w:rPr>
                <w:i/>
              </w:rPr>
            </w:pPr>
            <w:r>
              <w:rPr>
                <w:i/>
              </w:rPr>
              <w:t>État partie</w:t>
            </w:r>
            <w:r>
              <w:t> :</w:t>
            </w:r>
          </w:p>
        </w:tc>
        <w:tc>
          <w:tcPr>
            <w:tcW w:w="4253" w:type="dxa"/>
          </w:tcPr>
          <w:p w14:paraId="0E444C8E" w14:textId="77777777" w:rsidR="00C66C9A" w:rsidRDefault="00C66C9A" w:rsidP="002279C6">
            <w:pPr>
              <w:pStyle w:val="SingleTxtG"/>
              <w:ind w:left="0" w:right="0"/>
              <w:jc w:val="left"/>
            </w:pPr>
            <w:r w:rsidRPr="00E6006C">
              <w:t>Pays-Bas</w:t>
            </w:r>
          </w:p>
        </w:tc>
      </w:tr>
      <w:tr w:rsidR="00C66C9A" w14:paraId="0BC0F48E" w14:textId="77777777" w:rsidTr="002279C6">
        <w:tc>
          <w:tcPr>
            <w:tcW w:w="2552" w:type="dxa"/>
          </w:tcPr>
          <w:p w14:paraId="53EF634C" w14:textId="77777777" w:rsidR="00C66C9A" w:rsidRDefault="00C66C9A" w:rsidP="002279C6">
            <w:pPr>
              <w:pStyle w:val="SingleTxtG"/>
              <w:ind w:left="0" w:right="0"/>
              <w:jc w:val="left"/>
              <w:rPr>
                <w:i/>
              </w:rPr>
            </w:pPr>
            <w:r>
              <w:rPr>
                <w:i/>
              </w:rPr>
              <w:t>Date de la communication</w:t>
            </w:r>
            <w:r>
              <w:t> :</w:t>
            </w:r>
          </w:p>
        </w:tc>
        <w:tc>
          <w:tcPr>
            <w:tcW w:w="4253" w:type="dxa"/>
          </w:tcPr>
          <w:p w14:paraId="21C132A7" w14:textId="77777777" w:rsidR="00C66C9A" w:rsidRDefault="00C66C9A" w:rsidP="002279C6">
            <w:pPr>
              <w:pStyle w:val="SingleTxtG"/>
              <w:ind w:left="0" w:right="0"/>
              <w:jc w:val="left"/>
            </w:pPr>
            <w:r w:rsidRPr="00E6006C">
              <w:t>23 novembre 2016 (date de la lettre initiale)</w:t>
            </w:r>
          </w:p>
        </w:tc>
      </w:tr>
      <w:tr w:rsidR="00C66C9A" w14:paraId="5BF634BA" w14:textId="77777777" w:rsidTr="002279C6">
        <w:tc>
          <w:tcPr>
            <w:tcW w:w="2552" w:type="dxa"/>
          </w:tcPr>
          <w:p w14:paraId="0472B4CB" w14:textId="77777777" w:rsidR="00C66C9A" w:rsidRPr="00E6006C" w:rsidRDefault="00C66C9A" w:rsidP="002279C6">
            <w:pPr>
              <w:pStyle w:val="SingleTxtG"/>
              <w:ind w:left="0" w:right="0"/>
              <w:jc w:val="left"/>
              <w:rPr>
                <w:iCs/>
              </w:rPr>
            </w:pPr>
            <w:r>
              <w:rPr>
                <w:i/>
              </w:rPr>
              <w:t>Références </w:t>
            </w:r>
            <w:r>
              <w:rPr>
                <w:iCs/>
              </w:rPr>
              <w:t>:</w:t>
            </w:r>
          </w:p>
        </w:tc>
        <w:tc>
          <w:tcPr>
            <w:tcW w:w="4253" w:type="dxa"/>
          </w:tcPr>
          <w:p w14:paraId="3F8E94FB" w14:textId="77777777" w:rsidR="00C66C9A" w:rsidRPr="00E6006C" w:rsidRDefault="00C66C9A" w:rsidP="002279C6">
            <w:pPr>
              <w:pStyle w:val="SingleTxtG"/>
              <w:ind w:left="0" w:right="0"/>
              <w:jc w:val="left"/>
            </w:pPr>
            <w:r w:rsidRPr="00E6006C">
              <w:t>Décision prise en application de l’article</w:t>
            </w:r>
            <w:r>
              <w:t> </w:t>
            </w:r>
            <w:r w:rsidRPr="00E6006C">
              <w:t>92 du Règlement intérieur du Comité, communiquée à l’État partie le 28</w:t>
            </w:r>
            <w:r>
              <w:t> </w:t>
            </w:r>
            <w:r w:rsidRPr="00E6006C">
              <w:t>décembre 2016 (non publiée sous forme de document)</w:t>
            </w:r>
          </w:p>
        </w:tc>
      </w:tr>
      <w:tr w:rsidR="00C66C9A" w14:paraId="5900C1AF" w14:textId="77777777" w:rsidTr="002279C6">
        <w:tc>
          <w:tcPr>
            <w:tcW w:w="2552" w:type="dxa"/>
          </w:tcPr>
          <w:p w14:paraId="0F51B1B8" w14:textId="77777777" w:rsidR="00C66C9A" w:rsidRDefault="00C66C9A" w:rsidP="002279C6">
            <w:pPr>
              <w:pStyle w:val="SingleTxtG"/>
              <w:ind w:left="0" w:right="0"/>
              <w:jc w:val="left"/>
              <w:rPr>
                <w:i/>
              </w:rPr>
            </w:pPr>
            <w:r>
              <w:rPr>
                <w:i/>
              </w:rPr>
              <w:t>Date des constatations</w:t>
            </w:r>
            <w:r>
              <w:t> :</w:t>
            </w:r>
          </w:p>
        </w:tc>
        <w:tc>
          <w:tcPr>
            <w:tcW w:w="4253" w:type="dxa"/>
            <w:vAlign w:val="bottom"/>
          </w:tcPr>
          <w:p w14:paraId="4C1B93C5" w14:textId="77777777" w:rsidR="00C66C9A" w:rsidRDefault="00C66C9A" w:rsidP="002279C6">
            <w:pPr>
              <w:pStyle w:val="SingleTxtG"/>
              <w:ind w:left="0" w:right="0"/>
              <w:jc w:val="left"/>
            </w:pPr>
            <w:r w:rsidRPr="00E6006C">
              <w:t>19 octobre 2020</w:t>
            </w:r>
          </w:p>
        </w:tc>
      </w:tr>
      <w:tr w:rsidR="00C66C9A" w14:paraId="46229EDB" w14:textId="77777777" w:rsidTr="002279C6">
        <w:tc>
          <w:tcPr>
            <w:tcW w:w="2552" w:type="dxa"/>
          </w:tcPr>
          <w:p w14:paraId="0D133D9B" w14:textId="77777777" w:rsidR="00C66C9A" w:rsidRPr="00E6006C" w:rsidRDefault="00C66C9A" w:rsidP="002279C6">
            <w:pPr>
              <w:pStyle w:val="SingleTxtG"/>
              <w:ind w:left="0" w:right="0"/>
              <w:jc w:val="left"/>
              <w:rPr>
                <w:iCs/>
              </w:rPr>
            </w:pPr>
            <w:r>
              <w:rPr>
                <w:i/>
              </w:rPr>
              <w:t>Objet</w:t>
            </w:r>
            <w:r>
              <w:rPr>
                <w:iCs/>
              </w:rPr>
              <w:t> :</w:t>
            </w:r>
          </w:p>
        </w:tc>
        <w:tc>
          <w:tcPr>
            <w:tcW w:w="4253" w:type="dxa"/>
            <w:vAlign w:val="bottom"/>
          </w:tcPr>
          <w:p w14:paraId="362F0D6B" w14:textId="77777777" w:rsidR="00C66C9A" w:rsidRPr="00E6006C" w:rsidRDefault="00C66C9A" w:rsidP="002279C6">
            <w:pPr>
              <w:pStyle w:val="SingleTxtG"/>
              <w:ind w:left="0" w:right="0"/>
              <w:jc w:val="left"/>
            </w:pPr>
            <w:r w:rsidRPr="00E6006C">
              <w:t>Droit d’acquérir une nationalité</w:t>
            </w:r>
          </w:p>
        </w:tc>
      </w:tr>
      <w:tr w:rsidR="00C66C9A" w14:paraId="28079EAC" w14:textId="77777777" w:rsidTr="002279C6">
        <w:tc>
          <w:tcPr>
            <w:tcW w:w="2552" w:type="dxa"/>
          </w:tcPr>
          <w:p w14:paraId="3935215C" w14:textId="77777777" w:rsidR="00C66C9A" w:rsidRPr="00E6006C" w:rsidRDefault="00C66C9A" w:rsidP="002279C6">
            <w:pPr>
              <w:pStyle w:val="SingleTxtG"/>
              <w:ind w:left="0" w:right="0"/>
              <w:jc w:val="left"/>
              <w:rPr>
                <w:iCs/>
              </w:rPr>
            </w:pPr>
            <w:r w:rsidRPr="00E6006C">
              <w:rPr>
                <w:i/>
              </w:rPr>
              <w:t>Question(s) de procédure</w:t>
            </w:r>
            <w:r>
              <w:rPr>
                <w:iCs/>
              </w:rPr>
              <w:t> :</w:t>
            </w:r>
          </w:p>
        </w:tc>
        <w:tc>
          <w:tcPr>
            <w:tcW w:w="4253" w:type="dxa"/>
            <w:vAlign w:val="bottom"/>
          </w:tcPr>
          <w:p w14:paraId="464D8C2E" w14:textId="77777777" w:rsidR="00C66C9A" w:rsidRPr="00E6006C" w:rsidRDefault="00C66C9A" w:rsidP="002279C6">
            <w:pPr>
              <w:pStyle w:val="SingleTxtG"/>
              <w:ind w:left="0" w:right="0"/>
              <w:jc w:val="left"/>
            </w:pPr>
            <w:r w:rsidRPr="00E6006C">
              <w:t>Néant</w:t>
            </w:r>
          </w:p>
        </w:tc>
      </w:tr>
      <w:tr w:rsidR="00C66C9A" w14:paraId="42ADA382" w14:textId="77777777" w:rsidTr="002279C6">
        <w:tc>
          <w:tcPr>
            <w:tcW w:w="2552" w:type="dxa"/>
          </w:tcPr>
          <w:p w14:paraId="475EFDC8" w14:textId="77777777" w:rsidR="00C66C9A" w:rsidRPr="00E6006C" w:rsidRDefault="00C66C9A" w:rsidP="002279C6">
            <w:pPr>
              <w:pStyle w:val="SingleTxtG"/>
              <w:ind w:left="0" w:right="0"/>
              <w:jc w:val="left"/>
              <w:rPr>
                <w:iCs/>
              </w:rPr>
            </w:pPr>
            <w:r w:rsidRPr="00E6006C">
              <w:rPr>
                <w:i/>
              </w:rPr>
              <w:t>Question(s) de fond</w:t>
            </w:r>
            <w:r>
              <w:rPr>
                <w:iCs/>
              </w:rPr>
              <w:t> :</w:t>
            </w:r>
          </w:p>
        </w:tc>
        <w:tc>
          <w:tcPr>
            <w:tcW w:w="4253" w:type="dxa"/>
            <w:vAlign w:val="bottom"/>
          </w:tcPr>
          <w:p w14:paraId="223ABE92" w14:textId="77777777" w:rsidR="00C66C9A" w:rsidRPr="00E6006C" w:rsidRDefault="00C66C9A" w:rsidP="002279C6">
            <w:pPr>
              <w:pStyle w:val="SingleTxtG"/>
              <w:ind w:left="0" w:right="0"/>
              <w:jc w:val="left"/>
            </w:pPr>
            <w:r w:rsidRPr="00E6006C">
              <w:t>Droit de l’enfant d’acquérir une nationalité</w:t>
            </w:r>
            <w:r>
              <w:t> </w:t>
            </w:r>
            <w:r w:rsidRPr="00E6006C">
              <w:t xml:space="preserve">; </w:t>
            </w:r>
            <w:r>
              <w:br/>
            </w:r>
            <w:r w:rsidRPr="00E6006C">
              <w:t>droit à un recours utile</w:t>
            </w:r>
          </w:p>
        </w:tc>
      </w:tr>
      <w:tr w:rsidR="00C66C9A" w14:paraId="5AD9F882" w14:textId="77777777" w:rsidTr="002279C6">
        <w:tc>
          <w:tcPr>
            <w:tcW w:w="2552" w:type="dxa"/>
          </w:tcPr>
          <w:p w14:paraId="1A667C1C" w14:textId="77777777" w:rsidR="00C66C9A" w:rsidRPr="00E6006C" w:rsidRDefault="00C66C9A" w:rsidP="002279C6">
            <w:pPr>
              <w:pStyle w:val="SingleTxtG"/>
              <w:ind w:left="0" w:right="0"/>
              <w:jc w:val="left"/>
              <w:rPr>
                <w:iCs/>
              </w:rPr>
            </w:pPr>
            <w:r w:rsidRPr="00E6006C">
              <w:rPr>
                <w:i/>
              </w:rPr>
              <w:t>Article(s) du Pacte</w:t>
            </w:r>
            <w:r>
              <w:rPr>
                <w:iCs/>
              </w:rPr>
              <w:t> :</w:t>
            </w:r>
          </w:p>
        </w:tc>
        <w:tc>
          <w:tcPr>
            <w:tcW w:w="4253" w:type="dxa"/>
            <w:vAlign w:val="bottom"/>
          </w:tcPr>
          <w:p w14:paraId="68B3F564" w14:textId="77777777" w:rsidR="00C66C9A" w:rsidRPr="00E6006C" w:rsidRDefault="00C66C9A" w:rsidP="002279C6">
            <w:pPr>
              <w:pStyle w:val="SingleTxtG"/>
              <w:ind w:left="0" w:right="0"/>
              <w:jc w:val="left"/>
            </w:pPr>
            <w:r w:rsidRPr="00E6006C">
              <w:t>2 (par. 2 et 3) et 24</w:t>
            </w:r>
          </w:p>
        </w:tc>
      </w:tr>
      <w:tr w:rsidR="00C66C9A" w14:paraId="64A071D2" w14:textId="77777777" w:rsidTr="002279C6">
        <w:tc>
          <w:tcPr>
            <w:tcW w:w="2552" w:type="dxa"/>
          </w:tcPr>
          <w:p w14:paraId="771F84BD" w14:textId="77777777" w:rsidR="00C66C9A" w:rsidRPr="00E6006C" w:rsidRDefault="00C66C9A" w:rsidP="002279C6">
            <w:pPr>
              <w:pStyle w:val="SingleTxtG"/>
              <w:ind w:left="0" w:right="0"/>
              <w:jc w:val="left"/>
              <w:rPr>
                <w:iCs/>
              </w:rPr>
            </w:pPr>
            <w:r w:rsidRPr="00E6006C">
              <w:rPr>
                <w:i/>
              </w:rPr>
              <w:t>Article(s) du Protocole facultatif</w:t>
            </w:r>
            <w:r>
              <w:rPr>
                <w:i/>
              </w:rPr>
              <w:t> </w:t>
            </w:r>
            <w:r>
              <w:rPr>
                <w:iCs/>
              </w:rPr>
              <w:t>:</w:t>
            </w:r>
          </w:p>
        </w:tc>
        <w:tc>
          <w:tcPr>
            <w:tcW w:w="4253" w:type="dxa"/>
            <w:vAlign w:val="bottom"/>
          </w:tcPr>
          <w:p w14:paraId="0F344DFC" w14:textId="77777777" w:rsidR="00C66C9A" w:rsidRPr="00E6006C" w:rsidRDefault="00C66C9A" w:rsidP="002279C6">
            <w:pPr>
              <w:pStyle w:val="SingleTxtG"/>
              <w:ind w:left="0" w:right="0"/>
              <w:jc w:val="left"/>
            </w:pPr>
            <w:r>
              <w:t>3</w:t>
            </w:r>
          </w:p>
        </w:tc>
      </w:tr>
    </w:tbl>
    <w:p w14:paraId="7A3B64BF" w14:textId="77777777" w:rsidR="00C66C9A" w:rsidRPr="00695208" w:rsidRDefault="00C66C9A" w:rsidP="00C66C9A">
      <w:pPr>
        <w:pStyle w:val="SingleTxtG"/>
        <w:spacing w:before="120"/>
      </w:pPr>
      <w:r w:rsidRPr="00393312">
        <w:t>1.</w:t>
      </w:r>
      <w:r w:rsidRPr="00695208">
        <w:tab/>
        <w:t>L</w:t>
      </w:r>
      <w:r>
        <w:t>’</w:t>
      </w:r>
      <w:r w:rsidRPr="00695208">
        <w:t xml:space="preserve">auteur de la communication est </w:t>
      </w:r>
      <w:r w:rsidRPr="00695208">
        <w:rPr>
          <w:bCs/>
        </w:rPr>
        <w:t>D</w:t>
      </w:r>
      <w:r>
        <w:rPr>
          <w:bCs/>
        </w:rPr>
        <w:t>. </w:t>
      </w:r>
      <w:r w:rsidRPr="00695208">
        <w:rPr>
          <w:bCs/>
        </w:rPr>
        <w:t>Z</w:t>
      </w:r>
      <w:r>
        <w:rPr>
          <w:bCs/>
        </w:rPr>
        <w:t>.</w:t>
      </w:r>
      <w:r w:rsidRPr="00695208">
        <w:rPr>
          <w:bCs/>
        </w:rPr>
        <w:t>, né le 18 février 2010, sans nationalité reconnue</w:t>
      </w:r>
      <w:r w:rsidRPr="00695208">
        <w:t>. Il affirme que</w:t>
      </w:r>
      <w:r>
        <w:t xml:space="preserve"> </w:t>
      </w:r>
      <w:r w:rsidRPr="00576D38">
        <w:t>l</w:t>
      </w:r>
      <w:r>
        <w:t>’</w:t>
      </w:r>
      <w:r w:rsidRPr="00576D38">
        <w:t>État partie</w:t>
      </w:r>
      <w:r>
        <w:t>,</w:t>
      </w:r>
      <w:r w:rsidRPr="00695208">
        <w:t xml:space="preserve"> </w:t>
      </w:r>
      <w:r>
        <w:t xml:space="preserve">du fait que ses autorités </w:t>
      </w:r>
      <w:r w:rsidRPr="00695208">
        <w:t>l</w:t>
      </w:r>
      <w:r>
        <w:t>’</w:t>
      </w:r>
      <w:r w:rsidRPr="00695208">
        <w:t>ont</w:t>
      </w:r>
      <w:r>
        <w:t>, dès s</w:t>
      </w:r>
      <w:r w:rsidRPr="00695208">
        <w:t>a naissance</w:t>
      </w:r>
      <w:r>
        <w:t>, enregistré</w:t>
      </w:r>
      <w:r w:rsidRPr="00695208">
        <w:t xml:space="preserve"> sous la mention « nationalité inconnue » et qu</w:t>
      </w:r>
      <w:r>
        <w:t>’elles ne lu</w:t>
      </w:r>
      <w:r w:rsidRPr="00695208">
        <w:t>i laisse</w:t>
      </w:r>
      <w:r>
        <w:t>nt aucune</w:t>
      </w:r>
      <w:r w:rsidRPr="00695208">
        <w:t xml:space="preserve"> perspective d</w:t>
      </w:r>
      <w:r>
        <w:t>’</w:t>
      </w:r>
      <w:r w:rsidRPr="00695208">
        <w:t>acquérir une nationalité, a violé les droits qu</w:t>
      </w:r>
      <w:r>
        <w:t>’</w:t>
      </w:r>
      <w:r w:rsidRPr="00695208">
        <w:t>i</w:t>
      </w:r>
      <w:r>
        <w:t>l</w:t>
      </w:r>
      <w:r w:rsidRPr="00695208">
        <w:t xml:space="preserve"> </w:t>
      </w:r>
      <w:r>
        <w:t>tient de</w:t>
      </w:r>
      <w:r w:rsidRPr="00695208">
        <w:t xml:space="preserve"> l</w:t>
      </w:r>
      <w:r>
        <w:t>’</w:t>
      </w:r>
      <w:r w:rsidRPr="00695208">
        <w:t>article</w:t>
      </w:r>
      <w:r>
        <w:t> </w:t>
      </w:r>
      <w:r w:rsidRPr="00695208">
        <w:t>24</w:t>
      </w:r>
      <w:r>
        <w:t xml:space="preserve"> du Pacte</w:t>
      </w:r>
      <w:r w:rsidRPr="00695208">
        <w:t xml:space="preserve">, lu </w:t>
      </w:r>
      <w:r>
        <w:t>seul</w:t>
      </w:r>
      <w:r w:rsidRPr="00695208">
        <w:t xml:space="preserve"> et conjointement avec l</w:t>
      </w:r>
      <w:r>
        <w:t>’</w:t>
      </w:r>
      <w:r w:rsidRPr="00695208">
        <w:t>article</w:t>
      </w:r>
      <w:r>
        <w:t> </w:t>
      </w:r>
      <w:r w:rsidRPr="00695208">
        <w:t>2</w:t>
      </w:r>
      <w:r>
        <w:t xml:space="preserve"> (par. 2 et 3)</w:t>
      </w:r>
      <w:r w:rsidRPr="00695208">
        <w:t>. Le Protocole facultatif est entré en vigueur pour l</w:t>
      </w:r>
      <w:r>
        <w:t>’</w:t>
      </w:r>
      <w:r w:rsidRPr="00695208">
        <w:t>État partie le 11 mars 1979. L</w:t>
      </w:r>
      <w:r>
        <w:t>’</w:t>
      </w:r>
      <w:r w:rsidRPr="00695208">
        <w:t>auteur est représenté par un conseil et par sa mère.</w:t>
      </w:r>
    </w:p>
    <w:p w14:paraId="5394DCF6" w14:textId="77777777" w:rsidR="00C66C9A" w:rsidRPr="00584D66" w:rsidRDefault="00C66C9A" w:rsidP="00C66C9A">
      <w:pPr>
        <w:pStyle w:val="H23G"/>
      </w:pPr>
      <w:r w:rsidRPr="00584D66">
        <w:lastRenderedPageBreak/>
        <w:tab/>
      </w:r>
      <w:r w:rsidRPr="00584D66">
        <w:tab/>
        <w:t>Rappel des faits présentés par l</w:t>
      </w:r>
      <w:r>
        <w:t>’</w:t>
      </w:r>
      <w:r w:rsidRPr="00584D66">
        <w:t>auteur</w:t>
      </w:r>
    </w:p>
    <w:p w14:paraId="10EDA0A9" w14:textId="77777777" w:rsidR="00C66C9A" w:rsidRPr="00A751DD" w:rsidRDefault="00C66C9A" w:rsidP="00C66C9A">
      <w:pPr>
        <w:pStyle w:val="SingleTxtG"/>
        <w:rPr>
          <w:spacing w:val="-1"/>
        </w:rPr>
      </w:pPr>
      <w:r w:rsidRPr="00A751DD">
        <w:rPr>
          <w:spacing w:val="-1"/>
        </w:rPr>
        <w:t>2.1</w:t>
      </w:r>
      <w:r w:rsidRPr="00A751DD">
        <w:rPr>
          <w:spacing w:val="-1"/>
        </w:rPr>
        <w:tab/>
        <w:t>La mère de l</w:t>
      </w:r>
      <w:r>
        <w:rPr>
          <w:spacing w:val="-1"/>
        </w:rPr>
        <w:t>’</w:t>
      </w:r>
      <w:r w:rsidRPr="00A751DD">
        <w:rPr>
          <w:spacing w:val="-1"/>
        </w:rPr>
        <w:t>auteur est née en Chine en 1989, mais sa naissance n</w:t>
      </w:r>
      <w:r>
        <w:rPr>
          <w:spacing w:val="-1"/>
        </w:rPr>
        <w:t>’</w:t>
      </w:r>
      <w:r w:rsidRPr="00A751DD">
        <w:rPr>
          <w:spacing w:val="-1"/>
        </w:rPr>
        <w:t>a pas été enregistrée à l</w:t>
      </w:r>
      <w:r>
        <w:rPr>
          <w:spacing w:val="-1"/>
        </w:rPr>
        <w:t>’</w:t>
      </w:r>
      <w:r w:rsidRPr="00A751DD">
        <w:rPr>
          <w:spacing w:val="-1"/>
        </w:rPr>
        <w:t>état civil chinois. L</w:t>
      </w:r>
      <w:r>
        <w:rPr>
          <w:spacing w:val="-1"/>
        </w:rPr>
        <w:t>’</w:t>
      </w:r>
      <w:r w:rsidRPr="00A751DD">
        <w:rPr>
          <w:spacing w:val="-1"/>
        </w:rPr>
        <w:t>enregistrement de la naissance et l</w:t>
      </w:r>
      <w:r>
        <w:rPr>
          <w:spacing w:val="-1"/>
        </w:rPr>
        <w:t>’</w:t>
      </w:r>
      <w:r w:rsidRPr="00A751DD">
        <w:rPr>
          <w:spacing w:val="-1"/>
        </w:rPr>
        <w:t>établissement de l</w:t>
      </w:r>
      <w:r>
        <w:rPr>
          <w:spacing w:val="-1"/>
        </w:rPr>
        <w:t>’</w:t>
      </w:r>
      <w:r w:rsidRPr="00A751DD">
        <w:rPr>
          <w:spacing w:val="-1"/>
        </w:rPr>
        <w:t>état civil en Chine passent par l</w:t>
      </w:r>
      <w:r>
        <w:rPr>
          <w:spacing w:val="-1"/>
        </w:rPr>
        <w:t>’</w:t>
      </w:r>
      <w:r w:rsidRPr="00A751DD">
        <w:rPr>
          <w:spacing w:val="-1"/>
        </w:rPr>
        <w:t>inscription de l</w:t>
      </w:r>
      <w:r>
        <w:rPr>
          <w:spacing w:val="-1"/>
        </w:rPr>
        <w:t>’</w:t>
      </w:r>
      <w:r w:rsidRPr="00A751DD">
        <w:rPr>
          <w:spacing w:val="-1"/>
        </w:rPr>
        <w:t>intéressé dans un registre des ménages. L</w:t>
      </w:r>
      <w:r>
        <w:rPr>
          <w:spacing w:val="-1"/>
        </w:rPr>
        <w:t>’</w:t>
      </w:r>
      <w:r w:rsidRPr="00A751DD">
        <w:rPr>
          <w:spacing w:val="-1"/>
        </w:rPr>
        <w:t>enregistrement des ménages (hukou) conditionne l</w:t>
      </w:r>
      <w:r>
        <w:rPr>
          <w:spacing w:val="-1"/>
        </w:rPr>
        <w:t>’</w:t>
      </w:r>
      <w:r w:rsidRPr="00A751DD">
        <w:rPr>
          <w:spacing w:val="-1"/>
        </w:rPr>
        <w:t>accès aux services publics</w:t>
      </w:r>
      <w:r w:rsidRPr="007F2E6C">
        <w:rPr>
          <w:rStyle w:val="Appelnotedebasdep"/>
        </w:rPr>
        <w:footnoteReference w:id="4"/>
      </w:r>
      <w:r w:rsidRPr="00A751DD">
        <w:rPr>
          <w:spacing w:val="-1"/>
        </w:rPr>
        <w:t>. La mère de l</w:t>
      </w:r>
      <w:r>
        <w:rPr>
          <w:spacing w:val="-1"/>
        </w:rPr>
        <w:t>’</w:t>
      </w:r>
      <w:r w:rsidRPr="00A751DD">
        <w:rPr>
          <w:spacing w:val="-1"/>
        </w:rPr>
        <w:t>auteur a été abandonnée par ses parents lorsque son frère est né, quelques années après elle.</w:t>
      </w:r>
    </w:p>
    <w:p w14:paraId="07393E54" w14:textId="77777777" w:rsidR="00C66C9A" w:rsidRPr="00695208" w:rsidRDefault="00C66C9A" w:rsidP="00C66C9A">
      <w:pPr>
        <w:pStyle w:val="SingleTxtG"/>
      </w:pPr>
      <w:r w:rsidRPr="00695208">
        <w:t>2.2</w:t>
      </w:r>
      <w:r w:rsidRPr="00695208">
        <w:tab/>
        <w:t>N</w:t>
      </w:r>
      <w:r>
        <w:t>’</w:t>
      </w:r>
      <w:r w:rsidRPr="00695208">
        <w:t>étant pas enregistrée à l</w:t>
      </w:r>
      <w:r>
        <w:t>’</w:t>
      </w:r>
      <w:r w:rsidRPr="00695208">
        <w:t>état civil en Chine, la mère de l</w:t>
      </w:r>
      <w:r>
        <w:t>’</w:t>
      </w:r>
      <w:r w:rsidRPr="00695208">
        <w:t>auteur n</w:t>
      </w:r>
      <w:r>
        <w:t>’</w:t>
      </w:r>
      <w:r w:rsidRPr="00695208">
        <w:t>a pas pu obtenir de preuve de sa nationalité chinoise. Elle ne possède aucun document établissant son identité. En 2004, à l</w:t>
      </w:r>
      <w:r>
        <w:t>’</w:t>
      </w:r>
      <w:r w:rsidRPr="00695208">
        <w:t>âge de 15 ans, elle a été amenée par des trafiquants aux Pays-Bas mais a pu s</w:t>
      </w:r>
      <w:r>
        <w:t>’</w:t>
      </w:r>
      <w:r w:rsidRPr="00695208">
        <w:t>échapper à son arrivée à l</w:t>
      </w:r>
      <w:r>
        <w:t>’</w:t>
      </w:r>
      <w:r w:rsidRPr="00695208">
        <w:t>aéroport de Schiphol, près d</w:t>
      </w:r>
      <w:r>
        <w:t>’</w:t>
      </w:r>
      <w:r w:rsidRPr="00695208">
        <w:t>Amsterdam. Elle a déposé le 8 août 2004 une demande d</w:t>
      </w:r>
      <w:r>
        <w:t>’</w:t>
      </w:r>
      <w:r w:rsidRPr="00695208">
        <w:t>asile, qui a été rejetée le 25 août 2004. Ce rejet a été confirmé en appel. En 2006, elle a été contrainte de se livrer à la prostitution. Elle a finalement réussi à s</w:t>
      </w:r>
      <w:r>
        <w:t>’</w:t>
      </w:r>
      <w:r w:rsidRPr="00695208">
        <w:t>échapper et, le 20 mars 2008, elle s</w:t>
      </w:r>
      <w:r>
        <w:t>’</w:t>
      </w:r>
      <w:r w:rsidRPr="00695208">
        <w:t xml:space="preserve">est présentée à la Police </w:t>
      </w:r>
      <w:r>
        <w:t>des Pays-Bas</w:t>
      </w:r>
      <w:r w:rsidRPr="00695208">
        <w:t xml:space="preserve"> en se disant victime de la traite des êtres humains. L</w:t>
      </w:r>
      <w:r>
        <w:t>’</w:t>
      </w:r>
      <w:r w:rsidRPr="00695208">
        <w:t>enquête ouverte pour prostitution forcée la concernant a duré plus d</w:t>
      </w:r>
      <w:r>
        <w:t>’</w:t>
      </w:r>
      <w:r w:rsidRPr="00695208">
        <w:t>un an mais la police y a mis fin le 28 mai 2009 faute d</w:t>
      </w:r>
      <w:r>
        <w:t>’</w:t>
      </w:r>
      <w:r w:rsidRPr="00695208">
        <w:t>avoir pu identifier ou localiser les trafiquants. Le permis de séjour temporaire spécial qui avait d</w:t>
      </w:r>
      <w:r>
        <w:t>’</w:t>
      </w:r>
      <w:r w:rsidRPr="00695208">
        <w:t>abord été accordé à la mère de l</w:t>
      </w:r>
      <w:r>
        <w:t>’</w:t>
      </w:r>
      <w:r w:rsidRPr="00695208">
        <w:t>auteur pendant l</w:t>
      </w:r>
      <w:r>
        <w:t>’</w:t>
      </w:r>
      <w:r w:rsidRPr="00695208">
        <w:t>enquête de police lui a été retiré une fois l</w:t>
      </w:r>
      <w:r>
        <w:t>’</w:t>
      </w:r>
      <w:r w:rsidRPr="00695208">
        <w:t>enquête terminée. Toutes ses demandes et tous ses recours ont été rejetés et elle est actuellement classée dans la catégorie des « étrangers illégaux », de même que l</w:t>
      </w:r>
      <w:r>
        <w:t>’</w:t>
      </w:r>
      <w:r w:rsidRPr="00695208">
        <w:t>auteur. Le père de l</w:t>
      </w:r>
      <w:r>
        <w:t>’</w:t>
      </w:r>
      <w:r w:rsidRPr="00695208">
        <w:t>auteur n</w:t>
      </w:r>
      <w:r>
        <w:t>’</w:t>
      </w:r>
      <w:r w:rsidRPr="00695208">
        <w:t>a pas de contact avec lui ni avec sa mère et n</w:t>
      </w:r>
      <w:r>
        <w:t>’</w:t>
      </w:r>
      <w:r w:rsidRPr="00695208">
        <w:t>a pas reconnu la paternité.</w:t>
      </w:r>
    </w:p>
    <w:p w14:paraId="3A18C235" w14:textId="77777777" w:rsidR="00C66C9A" w:rsidRPr="00812A02" w:rsidRDefault="00C66C9A" w:rsidP="00C66C9A">
      <w:pPr>
        <w:pStyle w:val="SingleTxtG"/>
      </w:pPr>
      <w:r w:rsidRPr="00812A02">
        <w:t>2.3</w:t>
      </w:r>
      <w:r w:rsidRPr="00812A02">
        <w:tab/>
        <w:t>L</w:t>
      </w:r>
      <w:r>
        <w:t>’</w:t>
      </w:r>
      <w:r w:rsidRPr="00812A02">
        <w:t>auteur est né le 18</w:t>
      </w:r>
      <w:r w:rsidRPr="00584D66">
        <w:t> </w:t>
      </w:r>
      <w:r w:rsidRPr="00812A02">
        <w:t xml:space="preserve">février 2010 à Utrecht et a été enregistré dans la base de données personnelles </w:t>
      </w:r>
      <w:r>
        <w:t>de la municipalité</w:t>
      </w:r>
      <w:r w:rsidRPr="00812A02">
        <w:t xml:space="preserve"> avec la mention « nationalité inconnue »,</w:t>
      </w:r>
      <w:r>
        <w:t xml:space="preserve"> puisque</w:t>
      </w:r>
      <w:r w:rsidRPr="00812A02">
        <w:t xml:space="preserve"> sa mère n</w:t>
      </w:r>
      <w:r>
        <w:t>’</w:t>
      </w:r>
      <w:r w:rsidRPr="00812A02">
        <w:t>a</w:t>
      </w:r>
      <w:r>
        <w:t>vai</w:t>
      </w:r>
      <w:r w:rsidRPr="00812A02">
        <w:t xml:space="preserve">t produit </w:t>
      </w:r>
      <w:r>
        <w:t>aucune preuve de</w:t>
      </w:r>
      <w:r w:rsidRPr="00812A02">
        <w:t xml:space="preserve"> sa nationalité. La mère de l</w:t>
      </w:r>
      <w:r>
        <w:t>’</w:t>
      </w:r>
      <w:r w:rsidRPr="00812A02">
        <w:t>auteur a cherché à plusieurs reprises à obtenir pour son fils une déclaration ou une confirmation de nationalité chinoise, notamment en s</w:t>
      </w:r>
      <w:r>
        <w:t>’</w:t>
      </w:r>
      <w:r w:rsidRPr="00812A02">
        <w:t>enquérant auprès des autorités chinoises de la situation de l</w:t>
      </w:r>
      <w:r>
        <w:t>’</w:t>
      </w:r>
      <w:r w:rsidRPr="00812A02">
        <w:t xml:space="preserve">auteur au regard de cette nationalité, en vue de satisfaire aux prescriptions de la législation </w:t>
      </w:r>
      <w:r>
        <w:t>des Pays-Bas</w:t>
      </w:r>
      <w:r w:rsidRPr="00812A02">
        <w:t xml:space="preserve"> qui imposent de fournir une preuve déterminante de sa nationalité ou de son absence de nationalité pour pouvoir faire modifier la mention « nationalité inconnue » dans le registre d</w:t>
      </w:r>
      <w:r>
        <w:t>’</w:t>
      </w:r>
      <w:r w:rsidRPr="00812A02">
        <w:t>état civil. Ces démarches l</w:t>
      </w:r>
      <w:r>
        <w:t>’</w:t>
      </w:r>
      <w:r w:rsidRPr="00812A02">
        <w:t xml:space="preserve">ont en particulier amenée à contacter plusieurs entités en Chine. En 2010, elle a </w:t>
      </w:r>
      <w:r>
        <w:t>écrit</w:t>
      </w:r>
      <w:r w:rsidRPr="00812A02">
        <w:t xml:space="preserve"> à son ancienne école primaire, à la Commission chinoise de planification familiale et au Bureau général, mais n</w:t>
      </w:r>
      <w:r>
        <w:t>’</w:t>
      </w:r>
      <w:r w:rsidRPr="00812A02">
        <w:t xml:space="preserve">a obtenu </w:t>
      </w:r>
      <w:r>
        <w:t>aucun</w:t>
      </w:r>
      <w:r w:rsidRPr="00812A02">
        <w:t>e réponse. Avec l</w:t>
      </w:r>
      <w:r>
        <w:t>’</w:t>
      </w:r>
      <w:r w:rsidRPr="00812A02">
        <w:t>assistance du Conseil néerlandais pour les réfugiés, elle a également cherché à obtenir des documents auprès des autorités chinoises aux Pays-Bas. Le</w:t>
      </w:r>
      <w:r>
        <w:t>s</w:t>
      </w:r>
      <w:r w:rsidRPr="00812A02">
        <w:t xml:space="preserve"> 10</w:t>
      </w:r>
      <w:r w:rsidRPr="00584D66">
        <w:t> </w:t>
      </w:r>
      <w:r w:rsidRPr="00812A02">
        <w:t>avril 2009 et 11</w:t>
      </w:r>
      <w:r w:rsidRPr="00584D66">
        <w:t> </w:t>
      </w:r>
      <w:r w:rsidRPr="00812A02">
        <w:t>janvier 2010, elle s</w:t>
      </w:r>
      <w:r>
        <w:t>’</w:t>
      </w:r>
      <w:r w:rsidRPr="00812A02">
        <w:t>est rendue à l</w:t>
      </w:r>
      <w:r>
        <w:t>’</w:t>
      </w:r>
      <w:r w:rsidRPr="00812A02">
        <w:t xml:space="preserve">ambassade de Chine avec </w:t>
      </w:r>
      <w:r>
        <w:t>des représentants du</w:t>
      </w:r>
      <w:r w:rsidRPr="00812A02">
        <w:t xml:space="preserve"> Conseil néerlandais pour les réfugiés. </w:t>
      </w:r>
      <w:r>
        <w:t xml:space="preserve">Cependant, </w:t>
      </w:r>
      <w:r w:rsidRPr="00812A02">
        <w:t xml:space="preserve">ses demandes </w:t>
      </w:r>
      <w:r>
        <w:t xml:space="preserve">aux fins </w:t>
      </w:r>
      <w:r w:rsidRPr="00812A02">
        <w:t xml:space="preserve">de clarification </w:t>
      </w:r>
      <w:r>
        <w:t>de</w:t>
      </w:r>
      <w:r w:rsidRPr="00812A02">
        <w:t xml:space="preserve"> sa situation sont restées sans réponse. Les 29</w:t>
      </w:r>
      <w:r w:rsidRPr="00584D66">
        <w:t> </w:t>
      </w:r>
      <w:r w:rsidRPr="00812A02">
        <w:t>juin 2010, 21</w:t>
      </w:r>
      <w:r w:rsidRPr="00584D66">
        <w:t> </w:t>
      </w:r>
      <w:r w:rsidRPr="00812A02">
        <w:t>novembre 2011 et 18</w:t>
      </w:r>
      <w:r w:rsidRPr="00584D66">
        <w:t> </w:t>
      </w:r>
      <w:r w:rsidRPr="00812A02">
        <w:t>octobre 2012, elle s</w:t>
      </w:r>
      <w:r>
        <w:t>’</w:t>
      </w:r>
      <w:r w:rsidRPr="00812A02">
        <w:t>est rendue à l</w:t>
      </w:r>
      <w:r>
        <w:t>’</w:t>
      </w:r>
      <w:r w:rsidRPr="00812A02">
        <w:t>ambassade de Chine avec des membres de la Croix</w:t>
      </w:r>
      <w:r>
        <w:noBreakHyphen/>
      </w:r>
      <w:r w:rsidRPr="00812A02">
        <w:t>Rouge. Lors de la dernière visite, le 18</w:t>
      </w:r>
      <w:r w:rsidRPr="00584D66">
        <w:t> </w:t>
      </w:r>
      <w:r w:rsidRPr="00812A02">
        <w:t>octobre 2012, elle a également demandé une déclaration de nationalité pour l</w:t>
      </w:r>
      <w:r>
        <w:t>’</w:t>
      </w:r>
      <w:r w:rsidRPr="00812A02">
        <w:t>auteur. L</w:t>
      </w:r>
      <w:r>
        <w:t>’</w:t>
      </w:r>
      <w:r w:rsidRPr="00812A02">
        <w:t>ambassade de Chine l</w:t>
      </w:r>
      <w:r>
        <w:t>’</w:t>
      </w:r>
      <w:r w:rsidRPr="00812A02">
        <w:t>a informée qu</w:t>
      </w:r>
      <w:r>
        <w:t>’</w:t>
      </w:r>
      <w:r w:rsidRPr="00812A02">
        <w:t>une attestation de nationalité chinoise ne pouvait être délivrée pour l</w:t>
      </w:r>
      <w:r>
        <w:t>’</w:t>
      </w:r>
      <w:r w:rsidRPr="00812A02">
        <w:t>auteur que si elle-même était enregistrée comme ressortissant</w:t>
      </w:r>
      <w:r>
        <w:t>e</w:t>
      </w:r>
      <w:r w:rsidRPr="00812A02">
        <w:t xml:space="preserve"> chinois</w:t>
      </w:r>
      <w:r>
        <w:t>e</w:t>
      </w:r>
      <w:r w:rsidRPr="00812A02">
        <w:t>, ce qui n</w:t>
      </w:r>
      <w:r>
        <w:t>’</w:t>
      </w:r>
      <w:r w:rsidRPr="00812A02">
        <w:t>était pas le cas. Les 19</w:t>
      </w:r>
      <w:r w:rsidRPr="00584D66">
        <w:t> </w:t>
      </w:r>
      <w:r w:rsidRPr="00812A02">
        <w:t>janvier et 30</w:t>
      </w:r>
      <w:r w:rsidRPr="00584D66">
        <w:t> </w:t>
      </w:r>
      <w:r w:rsidRPr="00812A02">
        <w:t>septembre 2010, le Conseil néerlandais pour les réfugiés a sollicité l</w:t>
      </w:r>
      <w:r>
        <w:t>’</w:t>
      </w:r>
      <w:r w:rsidRPr="00812A02">
        <w:t>assistance de l</w:t>
      </w:r>
      <w:r>
        <w:t>’</w:t>
      </w:r>
      <w:r w:rsidRPr="00812A02">
        <w:t>O</w:t>
      </w:r>
      <w:r>
        <w:t>rganisation internationale pour les migrations</w:t>
      </w:r>
      <w:r w:rsidRPr="00812A02">
        <w:t>, mais ces efforts n</w:t>
      </w:r>
      <w:r>
        <w:t>’</w:t>
      </w:r>
      <w:r w:rsidRPr="00812A02">
        <w:t>ont rien donné</w:t>
      </w:r>
      <w:r>
        <w:t xml:space="preserve"> de concret</w:t>
      </w:r>
      <w:r w:rsidRPr="00812A02">
        <w:t>. Le 19</w:t>
      </w:r>
      <w:r w:rsidRPr="00584D66">
        <w:t> </w:t>
      </w:r>
      <w:r w:rsidRPr="00812A02">
        <w:t>janvier 2012, la Croix-Rouge a elle aussi cherché, par l</w:t>
      </w:r>
      <w:r>
        <w:t>’</w:t>
      </w:r>
      <w:r w:rsidRPr="00812A02">
        <w:t xml:space="preserve">intermédiaire de son Service de recherche, à obtenir des documents. </w:t>
      </w:r>
      <w:r>
        <w:t>L</w:t>
      </w:r>
      <w:r w:rsidRPr="00812A02">
        <w:t>es conditions élémentaires à satisfaire pour pouvoir engager de telles recherches n</w:t>
      </w:r>
      <w:r>
        <w:t>’</w:t>
      </w:r>
      <w:r w:rsidRPr="00812A02">
        <w:t xml:space="preserve">étaient </w:t>
      </w:r>
      <w:r>
        <w:t xml:space="preserve">cependant </w:t>
      </w:r>
      <w:r w:rsidRPr="00812A02">
        <w:t>pas satisfaites car la mère de l</w:t>
      </w:r>
      <w:r>
        <w:t>’</w:t>
      </w:r>
      <w:r w:rsidRPr="00812A02">
        <w:t xml:space="preserve">auteur ne possédait </w:t>
      </w:r>
      <w:r>
        <w:t xml:space="preserve">aucun document attestant </w:t>
      </w:r>
      <w:r w:rsidRPr="00812A02">
        <w:t>sa propre identité.</w:t>
      </w:r>
    </w:p>
    <w:p w14:paraId="62DF2CBD" w14:textId="77777777" w:rsidR="00C66C9A" w:rsidRPr="00812A02" w:rsidRDefault="00C66C9A" w:rsidP="00C66C9A">
      <w:pPr>
        <w:pStyle w:val="SingleTxtG"/>
      </w:pPr>
      <w:r w:rsidRPr="00812A02">
        <w:t>2.4</w:t>
      </w:r>
      <w:r w:rsidRPr="00812A02">
        <w:tab/>
        <w:t>Pour cette raison, malgré des années de démarches, la mère de l</w:t>
      </w:r>
      <w:r>
        <w:t>’</w:t>
      </w:r>
      <w:r w:rsidRPr="00812A02">
        <w:t>auteur n</w:t>
      </w:r>
      <w:r>
        <w:t>’</w:t>
      </w:r>
      <w:r w:rsidRPr="00812A02">
        <w:t>a pas réussi à faire changer en « apatride » la mention figurant dans le registre d</w:t>
      </w:r>
      <w:r>
        <w:t>’</w:t>
      </w:r>
      <w:r w:rsidRPr="00812A02">
        <w:t>état civil concernant la nationalité de l</w:t>
      </w:r>
      <w:r>
        <w:t>’</w:t>
      </w:r>
      <w:r w:rsidRPr="00812A02">
        <w:t>auteur de façon à ce que celui-ci puisse bénéficier des protections internationales accordées aux enfants apatrides, notamment du droit d</w:t>
      </w:r>
      <w:r>
        <w:t>’</w:t>
      </w:r>
      <w:r w:rsidRPr="00812A02">
        <w:t>acquérir la nationalité de l</w:t>
      </w:r>
      <w:r>
        <w:t>’</w:t>
      </w:r>
      <w:r w:rsidRPr="00812A02">
        <w:t>État dans lequel il est né, à savoir les Pays-Bas. Il n</w:t>
      </w:r>
      <w:r>
        <w:t>’</w:t>
      </w:r>
      <w:r w:rsidRPr="00812A02">
        <w:t>est pas possible de faire rectifier l</w:t>
      </w:r>
      <w:r>
        <w:t>’</w:t>
      </w:r>
      <w:r w:rsidRPr="00812A02">
        <w:t>enregistrement de l</w:t>
      </w:r>
      <w:r>
        <w:t>’</w:t>
      </w:r>
      <w:r w:rsidRPr="00812A02">
        <w:t>auteur parce que les règles d</w:t>
      </w:r>
      <w:r>
        <w:t>’</w:t>
      </w:r>
      <w:r w:rsidRPr="00812A02">
        <w:t>enregistrement internes imposent à cet effet la présentation de preuves strictes et qu</w:t>
      </w:r>
      <w:r>
        <w:t>’</w:t>
      </w:r>
      <w:r w:rsidRPr="00812A02">
        <w:t>il n</w:t>
      </w:r>
      <w:r>
        <w:t>’</w:t>
      </w:r>
      <w:r w:rsidRPr="00812A02">
        <w:t>existe pas de procédure appropriée pour la détermination du statut d</w:t>
      </w:r>
      <w:r>
        <w:t>’</w:t>
      </w:r>
      <w:r w:rsidRPr="00812A02">
        <w:t>apatride. L</w:t>
      </w:r>
      <w:r>
        <w:t>’</w:t>
      </w:r>
      <w:r w:rsidRPr="00812A02">
        <w:t>auteur fait observer qu</w:t>
      </w:r>
      <w:r>
        <w:t>’</w:t>
      </w:r>
      <w:r w:rsidRPr="00812A02">
        <w:t>il s</w:t>
      </w:r>
      <w:r>
        <w:t>’</w:t>
      </w:r>
      <w:r w:rsidRPr="00812A02">
        <w:t>agit d</w:t>
      </w:r>
      <w:r>
        <w:t>’</w:t>
      </w:r>
      <w:r w:rsidRPr="00812A02">
        <w:t xml:space="preserve">un problème de taille </w:t>
      </w:r>
      <w:r w:rsidRPr="00812A02">
        <w:lastRenderedPageBreak/>
        <w:t>dans l</w:t>
      </w:r>
      <w:r>
        <w:t>’</w:t>
      </w:r>
      <w:r w:rsidRPr="00812A02">
        <w:t>État partie. D</w:t>
      </w:r>
      <w:r>
        <w:t>’</w:t>
      </w:r>
      <w:r w:rsidRPr="00812A02">
        <w:t xml:space="preserve">après une étude réalisée en 2011 par le </w:t>
      </w:r>
      <w:r w:rsidRPr="00A9199B">
        <w:t>Haut-Commissariat des Nations</w:t>
      </w:r>
      <w:r w:rsidR="002279C6">
        <w:t> </w:t>
      </w:r>
      <w:r w:rsidRPr="00A9199B">
        <w:t xml:space="preserve">Unies pour les réfugiés </w:t>
      </w:r>
      <w:r>
        <w:t>(</w:t>
      </w:r>
      <w:r w:rsidRPr="00812A02">
        <w:t>HCR</w:t>
      </w:r>
      <w:r>
        <w:t>)</w:t>
      </w:r>
      <w:r w:rsidRPr="00812A02">
        <w:t>, 90</w:t>
      </w:r>
      <w:r w:rsidR="002279C6">
        <w:t> </w:t>
      </w:r>
      <w:r w:rsidRPr="00812A02">
        <w:t>000</w:t>
      </w:r>
      <w:r w:rsidR="002279C6">
        <w:t> </w:t>
      </w:r>
      <w:r w:rsidRPr="00812A02">
        <w:t xml:space="preserve">personnes </w:t>
      </w:r>
      <w:r>
        <w:t>inscrites</w:t>
      </w:r>
      <w:r w:rsidRPr="00812A02">
        <w:t xml:space="preserve"> dans le registre d</w:t>
      </w:r>
      <w:r>
        <w:t>’</w:t>
      </w:r>
      <w:r w:rsidRPr="00812A02">
        <w:t>état civil éta</w:t>
      </w:r>
      <w:r>
        <w:t>ie</w:t>
      </w:r>
      <w:r w:rsidRPr="00812A02">
        <w:t>nt de nationalité « inconnue », dont 13</w:t>
      </w:r>
      <w:r w:rsidR="002279C6">
        <w:t> </w:t>
      </w:r>
      <w:r w:rsidRPr="00812A02">
        <w:t>000</w:t>
      </w:r>
      <w:r w:rsidR="002279C6">
        <w:t> </w:t>
      </w:r>
      <w:r w:rsidRPr="00812A02">
        <w:t>enfants, nés pour beaucoup aux Pays-Bas</w:t>
      </w:r>
      <w:r w:rsidRPr="007F2E6C">
        <w:rPr>
          <w:rStyle w:val="Appelnotedebasdep"/>
        </w:rPr>
        <w:footnoteReference w:id="5"/>
      </w:r>
      <w:r w:rsidRPr="00812A02">
        <w:t>. En septembre 2016, 74</w:t>
      </w:r>
      <w:r w:rsidR="002279C6">
        <w:t> </w:t>
      </w:r>
      <w:r w:rsidRPr="00812A02">
        <w:t>055</w:t>
      </w:r>
      <w:r w:rsidR="002279C6">
        <w:t> </w:t>
      </w:r>
      <w:r w:rsidRPr="00812A02">
        <w:t>personnes étaient indiquées comme étant de nationalité « inconnue</w:t>
      </w:r>
      <w:r w:rsidRPr="00584D66">
        <w:t> </w:t>
      </w:r>
      <w:r w:rsidRPr="00812A02">
        <w:t>», dont 13</w:t>
      </w:r>
      <w:r w:rsidR="002279C6">
        <w:t> </w:t>
      </w:r>
      <w:r w:rsidRPr="00812A02">
        <w:t>169</w:t>
      </w:r>
      <w:r w:rsidR="002279C6">
        <w:t> </w:t>
      </w:r>
      <w:r w:rsidRPr="00812A02">
        <w:t xml:space="preserve">enfants de moins de </w:t>
      </w:r>
      <w:r>
        <w:t>10 </w:t>
      </w:r>
      <w:r w:rsidRPr="00812A02">
        <w:t>ans</w:t>
      </w:r>
      <w:r w:rsidRPr="007F2E6C">
        <w:rPr>
          <w:rStyle w:val="Appelnotedebasdep"/>
        </w:rPr>
        <w:footnoteReference w:id="6"/>
      </w:r>
      <w:r w:rsidRPr="00812A02">
        <w:t>.</w:t>
      </w:r>
    </w:p>
    <w:p w14:paraId="26C4456C" w14:textId="77777777" w:rsidR="00C66C9A" w:rsidRPr="00812A02" w:rsidRDefault="00C66C9A" w:rsidP="00C66C9A">
      <w:pPr>
        <w:pStyle w:val="SingleTxtG"/>
      </w:pPr>
      <w:r w:rsidRPr="00812A02">
        <w:t>2.5</w:t>
      </w:r>
      <w:r w:rsidRPr="00812A02">
        <w:tab/>
        <w:t>Le 12</w:t>
      </w:r>
      <w:r w:rsidRPr="00584D66">
        <w:t> </w:t>
      </w:r>
      <w:r w:rsidRPr="00812A02">
        <w:t>juillet 2012, la mère de l</w:t>
      </w:r>
      <w:r>
        <w:t>’</w:t>
      </w:r>
      <w:r w:rsidRPr="00812A02">
        <w:t xml:space="preserve">auteur </w:t>
      </w:r>
      <w:r>
        <w:t>a demandé</w:t>
      </w:r>
      <w:r w:rsidRPr="00812A02">
        <w:t xml:space="preserve"> au service d</w:t>
      </w:r>
      <w:r>
        <w:t>’</w:t>
      </w:r>
      <w:r w:rsidRPr="00812A02">
        <w:t>état civil de la municipalité d</w:t>
      </w:r>
      <w:r>
        <w:t>’</w:t>
      </w:r>
      <w:r w:rsidRPr="00812A02">
        <w:t>Utrecht que l</w:t>
      </w:r>
      <w:r>
        <w:t>’</w:t>
      </w:r>
      <w:r w:rsidRPr="00812A02">
        <w:t>auteur soit inscrit dans le registre sous la mention « apatride » au lieu de « nationalité inconnue ». Le 17</w:t>
      </w:r>
      <w:r w:rsidRPr="00584D66">
        <w:t> </w:t>
      </w:r>
      <w:r w:rsidRPr="00812A02">
        <w:t>septembre 2012, la municipalité a rejeté cette demande au motif que rien ne prouvait que l</w:t>
      </w:r>
      <w:r>
        <w:t>’</w:t>
      </w:r>
      <w:r w:rsidRPr="00812A02">
        <w:t xml:space="preserve">auteur fût sans nationalité. </w:t>
      </w:r>
      <w:r>
        <w:t>Elle considérait qu’i</w:t>
      </w:r>
      <w:r w:rsidRPr="00812A02">
        <w:t xml:space="preserve">l </w:t>
      </w:r>
      <w:r>
        <w:t xml:space="preserve">fallait </w:t>
      </w:r>
      <w:r w:rsidRPr="00812A02">
        <w:t>établir</w:t>
      </w:r>
      <w:r>
        <w:t xml:space="preserve">, au moyen de </w:t>
      </w:r>
      <w:r w:rsidRPr="00812A02">
        <w:t xml:space="preserve">documents </w:t>
      </w:r>
      <w:r>
        <w:t>juridiques</w:t>
      </w:r>
      <w:r w:rsidRPr="00812A02">
        <w:t xml:space="preserve"> officiels </w:t>
      </w:r>
      <w:r>
        <w:t xml:space="preserve">ou </w:t>
      </w:r>
      <w:r w:rsidRPr="00812A02">
        <w:t>délivrés par l</w:t>
      </w:r>
      <w:r>
        <w:t>’</w:t>
      </w:r>
      <w:r w:rsidRPr="00812A02">
        <w:t>État</w:t>
      </w:r>
      <w:r>
        <w:t>,</w:t>
      </w:r>
      <w:r w:rsidRPr="00812A02">
        <w:t xml:space="preserve"> que l</w:t>
      </w:r>
      <w:r>
        <w:t>’</w:t>
      </w:r>
      <w:r w:rsidRPr="00812A02">
        <w:t>auteur était apatride, c</w:t>
      </w:r>
      <w:r>
        <w:t>’</w:t>
      </w:r>
      <w:r w:rsidRPr="00812A02">
        <w:t>est-à-dire qu</w:t>
      </w:r>
      <w:r>
        <w:t>’</w:t>
      </w:r>
      <w:r w:rsidRPr="00812A02">
        <w:t>il n</w:t>
      </w:r>
      <w:r>
        <w:t>’</w:t>
      </w:r>
      <w:r w:rsidRPr="00812A02">
        <w:t>avait pas la nationalité chinoise</w:t>
      </w:r>
      <w:r>
        <w:t xml:space="preserve">. Selon son interprétation </w:t>
      </w:r>
      <w:r w:rsidRPr="00812A02">
        <w:t>du droit chinois, l</w:t>
      </w:r>
      <w:r>
        <w:t>’</w:t>
      </w:r>
      <w:r w:rsidRPr="00812A02">
        <w:t>auteur était présumé être un ressortissant chinois.</w:t>
      </w:r>
    </w:p>
    <w:p w14:paraId="52A81640" w14:textId="77777777" w:rsidR="00C66C9A" w:rsidRPr="00812A02" w:rsidRDefault="00C66C9A" w:rsidP="00C66C9A">
      <w:pPr>
        <w:pStyle w:val="SingleTxtG"/>
      </w:pPr>
      <w:r w:rsidRPr="00812A02">
        <w:t>2.6</w:t>
      </w:r>
      <w:r w:rsidRPr="00812A02">
        <w:tab/>
        <w:t>La mère de l</w:t>
      </w:r>
      <w:r>
        <w:t>’</w:t>
      </w:r>
      <w:r w:rsidRPr="00812A02">
        <w:t>auteur a formé un recours administratif contre la décision de la municipalité. Le 22</w:t>
      </w:r>
      <w:r w:rsidRPr="00584D66">
        <w:t> </w:t>
      </w:r>
      <w:r w:rsidRPr="00812A02">
        <w:t>novembre 2012, ce recours a été rejeté au motif qu</w:t>
      </w:r>
      <w:r>
        <w:t>’</w:t>
      </w:r>
      <w:r w:rsidRPr="00812A02">
        <w:t>aucun élément, tels que des documents officiels émanant des autorités chinoises confirmant que l</w:t>
      </w:r>
      <w:r>
        <w:t>’</w:t>
      </w:r>
      <w:r w:rsidRPr="00812A02">
        <w:t>auteur ne possédait pas la nationalité chinoise, ne prouvait que celui-ci fût apatride. La mère de l</w:t>
      </w:r>
      <w:r>
        <w:t>’</w:t>
      </w:r>
      <w:r w:rsidRPr="00812A02">
        <w:t>auteur s</w:t>
      </w:r>
      <w:r>
        <w:t>’</w:t>
      </w:r>
      <w:r w:rsidRPr="00812A02">
        <w:t xml:space="preserve">est pourvue contre ce rejet auprès du tribunal de district de </w:t>
      </w:r>
      <w:r w:rsidRPr="00812A02">
        <w:rPr>
          <w:iCs/>
        </w:rPr>
        <w:t>Midden-Nederland</w:t>
      </w:r>
      <w:r w:rsidRPr="00812A02">
        <w:rPr>
          <w:i/>
          <w:iCs/>
        </w:rPr>
        <w:t xml:space="preserve">. </w:t>
      </w:r>
      <w:r w:rsidRPr="00812A02">
        <w:rPr>
          <w:iCs/>
        </w:rPr>
        <w:t xml:space="preserve">Le tribunal a rejeté son recours dans une décision du </w:t>
      </w:r>
      <w:r w:rsidRPr="00812A02">
        <w:t>12</w:t>
      </w:r>
      <w:r w:rsidRPr="00584D66">
        <w:t> </w:t>
      </w:r>
      <w:r w:rsidRPr="00812A02">
        <w:t>avril 2013, soulignant que la responsabilité de prouver l</w:t>
      </w:r>
      <w:r>
        <w:t>’</w:t>
      </w:r>
      <w:r w:rsidRPr="00812A02">
        <w:t>absence de nationalité incombait à l</w:t>
      </w:r>
      <w:r>
        <w:t>’</w:t>
      </w:r>
      <w:r w:rsidRPr="00812A02">
        <w:t>auteur</w:t>
      </w:r>
      <w:r>
        <w:t xml:space="preserve"> et que</w:t>
      </w:r>
      <w:r w:rsidRPr="00812A02">
        <w:t xml:space="preserve"> la municipalité n</w:t>
      </w:r>
      <w:r>
        <w:t>’</w:t>
      </w:r>
      <w:r w:rsidRPr="00812A02">
        <w:t>éta</w:t>
      </w:r>
      <w:r>
        <w:t>i</w:t>
      </w:r>
      <w:r w:rsidRPr="00812A02">
        <w:t>t pas tenue d</w:t>
      </w:r>
      <w:r>
        <w:t>’</w:t>
      </w:r>
      <w:r w:rsidRPr="00812A02">
        <w:t>enquêter sur la question. L</w:t>
      </w:r>
      <w:r>
        <w:t>’</w:t>
      </w:r>
      <w:r w:rsidRPr="00812A02">
        <w:t>auteur a alors saisi le Conseil d</w:t>
      </w:r>
      <w:r>
        <w:t>’</w:t>
      </w:r>
      <w:r w:rsidRPr="00812A02">
        <w:t>État. Le 21</w:t>
      </w:r>
      <w:r w:rsidRPr="00584D66">
        <w:t> </w:t>
      </w:r>
      <w:r w:rsidRPr="00812A02">
        <w:t>mai 2014, la Division du droit administratif du Conseil d</w:t>
      </w:r>
      <w:r>
        <w:t>’</w:t>
      </w:r>
      <w:r w:rsidRPr="00812A02">
        <w:t>État, instance d</w:t>
      </w:r>
      <w:r>
        <w:t>’</w:t>
      </w:r>
      <w:r w:rsidRPr="00812A02">
        <w:t xml:space="preserve">appel suprême </w:t>
      </w:r>
      <w:r>
        <w:t>dans le pays</w:t>
      </w:r>
      <w:r w:rsidRPr="00812A02">
        <w:t>, a jugé que la municipalité avait pris une décision correcte en considérant que l</w:t>
      </w:r>
      <w:r>
        <w:t>’</w:t>
      </w:r>
      <w:r w:rsidRPr="00812A02">
        <w:t>auteur n</w:t>
      </w:r>
      <w:r>
        <w:t>’</w:t>
      </w:r>
      <w:r w:rsidRPr="00812A02">
        <w:t>avait pas dûment montré qu</w:t>
      </w:r>
      <w:r>
        <w:t>’</w:t>
      </w:r>
      <w:r w:rsidRPr="00812A02">
        <w:t>il était apatride. Le Conseil d</w:t>
      </w:r>
      <w:r>
        <w:t>’</w:t>
      </w:r>
      <w:r w:rsidRPr="00812A02">
        <w:t>État a conclu que ni le droit national ni le droit international ne contenaient de disposition régissant les procédures d</w:t>
      </w:r>
      <w:r>
        <w:t>’</w:t>
      </w:r>
      <w:r w:rsidRPr="00812A02">
        <w:t>établissement de l</w:t>
      </w:r>
      <w:r>
        <w:t>’</w:t>
      </w:r>
      <w:r w:rsidRPr="00812A02">
        <w:t>apatridie qui soit impérative pour les autorités de l</w:t>
      </w:r>
      <w:r>
        <w:t>’</w:t>
      </w:r>
      <w:r w:rsidRPr="00812A02">
        <w:t xml:space="preserve">État partie. Il a </w:t>
      </w:r>
      <w:r>
        <w:t>également conclu</w:t>
      </w:r>
      <w:r w:rsidRPr="00812A02">
        <w:t xml:space="preserve"> que ce n</w:t>
      </w:r>
      <w:r>
        <w:t>’</w:t>
      </w:r>
      <w:r w:rsidRPr="00812A02">
        <w:t>était pas aux autorités de mener des enquêtes et de déterminer le statut d</w:t>
      </w:r>
      <w:r>
        <w:t>’</w:t>
      </w:r>
      <w:r w:rsidRPr="00812A02">
        <w:t xml:space="preserve">apatride. </w:t>
      </w:r>
      <w:r>
        <w:t>Il</w:t>
      </w:r>
      <w:r w:rsidRPr="00812A02">
        <w:t xml:space="preserve"> a toutefois reconnu que l</w:t>
      </w:r>
      <w:r>
        <w:t>’</w:t>
      </w:r>
      <w:r w:rsidRPr="00812A02">
        <w:t xml:space="preserve">absence de procédure de détermination du statut créait un vide juridique </w:t>
      </w:r>
      <w:r>
        <w:t>au détriment d</w:t>
      </w:r>
      <w:r w:rsidRPr="00812A02">
        <w:t>es personnes pouvant prétendre à une protection, notamment les enfants. Le Conseil d</w:t>
      </w:r>
      <w:r>
        <w:t>’</w:t>
      </w:r>
      <w:r w:rsidRPr="00812A02">
        <w:t>État a conclu que c</w:t>
      </w:r>
      <w:r>
        <w:t>’</w:t>
      </w:r>
      <w:r w:rsidRPr="00812A02">
        <w:t>était au législateur d</w:t>
      </w:r>
      <w:r>
        <w:t>’</w:t>
      </w:r>
      <w:r w:rsidRPr="00812A02">
        <w:t>y remédier, faisant observer ce qui suit</w:t>
      </w:r>
      <w:r>
        <w:t xml:space="preserve"> [traduction non officielle]</w:t>
      </w:r>
      <w:r w:rsidRPr="00A751DD">
        <w:t> :</w:t>
      </w:r>
      <w:r w:rsidRPr="00812A02">
        <w:t xml:space="preserve"> « Tant que l</w:t>
      </w:r>
      <w:r>
        <w:t xml:space="preserve">eur </w:t>
      </w:r>
      <w:r w:rsidRPr="00812A02">
        <w:t>apatrid</w:t>
      </w:r>
      <w:r>
        <w:t>i</w:t>
      </w:r>
      <w:r w:rsidRPr="00812A02">
        <w:t xml:space="preserve">e </w:t>
      </w:r>
      <w:r w:rsidRPr="00812A02">
        <w:rPr>
          <w:iCs/>
        </w:rPr>
        <w:t>n</w:t>
      </w:r>
      <w:r>
        <w:rPr>
          <w:iCs/>
        </w:rPr>
        <w:t>’</w:t>
      </w:r>
      <w:r w:rsidRPr="00812A02">
        <w:rPr>
          <w:iCs/>
        </w:rPr>
        <w:t>a pas été é</w:t>
      </w:r>
      <w:r>
        <w:rPr>
          <w:iCs/>
        </w:rPr>
        <w:t>tablie</w:t>
      </w:r>
      <w:r w:rsidRPr="00812A02">
        <w:rPr>
          <w:iCs/>
        </w:rPr>
        <w:t xml:space="preserve">, </w:t>
      </w:r>
      <w:r w:rsidRPr="00812A02">
        <w:t xml:space="preserve">les personnes sans </w:t>
      </w:r>
      <w:r w:rsidRPr="00812A02">
        <w:rPr>
          <w:iCs/>
        </w:rPr>
        <w:t>nationalité ne peuvent invoquer une protection en vertu des conventions relatives à l</w:t>
      </w:r>
      <w:r>
        <w:rPr>
          <w:iCs/>
        </w:rPr>
        <w:t>’</w:t>
      </w:r>
      <w:r w:rsidRPr="00812A02">
        <w:rPr>
          <w:iCs/>
        </w:rPr>
        <w:t xml:space="preserve">apatridie et de la législation néerlandaise découlant de ces conventions. </w:t>
      </w:r>
      <w:r>
        <w:rPr>
          <w:iCs/>
        </w:rPr>
        <w:t>Toutefoi</w:t>
      </w:r>
      <w:r w:rsidRPr="00812A02">
        <w:rPr>
          <w:iCs/>
        </w:rPr>
        <w:t>s la tâche de combler cette lacune outrepasse la compétence législative du pouvoir judiciaire</w:t>
      </w:r>
      <w:r w:rsidRPr="00584D66">
        <w:rPr>
          <w:iCs/>
        </w:rPr>
        <w:t>.</w:t>
      </w:r>
      <w:r w:rsidRPr="00812A02">
        <w:rPr>
          <w:iCs/>
        </w:rPr>
        <w:t> »</w:t>
      </w:r>
      <w:r>
        <w:rPr>
          <w:iCs/>
        </w:rPr>
        <w:t>.</w:t>
      </w:r>
    </w:p>
    <w:p w14:paraId="156A832C" w14:textId="77777777" w:rsidR="00C66C9A" w:rsidRPr="00695208" w:rsidRDefault="00C66C9A" w:rsidP="00C66C9A">
      <w:pPr>
        <w:pStyle w:val="SingleTxtG"/>
      </w:pPr>
      <w:r w:rsidRPr="00695208">
        <w:t>2.7</w:t>
      </w:r>
      <w:r w:rsidRPr="00695208">
        <w:tab/>
        <w:t>L</w:t>
      </w:r>
      <w:r>
        <w:t>’</w:t>
      </w:r>
      <w:r w:rsidRPr="00695208">
        <w:t>auteur souligne que tant qu</w:t>
      </w:r>
      <w:r>
        <w:t>’</w:t>
      </w:r>
      <w:r w:rsidRPr="00695208">
        <w:t>il n</w:t>
      </w:r>
      <w:r>
        <w:t>’</w:t>
      </w:r>
      <w:r w:rsidRPr="00695208">
        <w:t>est pas enregistré comme apatride, il ne peut acquérir la nationalité néerlandaise. De plus, même s</w:t>
      </w:r>
      <w:r>
        <w:t>’</w:t>
      </w:r>
      <w:r w:rsidRPr="00695208">
        <w:t>il parvenait à faire remplacer la mention « nationalité inconnue » par celle d</w:t>
      </w:r>
      <w:r>
        <w:t>’</w:t>
      </w:r>
      <w:r w:rsidRPr="00695208">
        <w:t>« apatride », il ne disposerait toujours d</w:t>
      </w:r>
      <w:r>
        <w:t>’</w:t>
      </w:r>
      <w:r w:rsidRPr="00695208">
        <w:t>aucun moyen précis pour acquérir la nationalité néerlandaise puisque l</w:t>
      </w:r>
      <w:r>
        <w:t>’</w:t>
      </w:r>
      <w:r w:rsidRPr="00695208">
        <w:t>État partie exige que les enfants qui sont nés apatrides sur son territoire y aient résidé légalement pendant au moins trois ans avant de pouvoir demander la nationalité néerlandaise</w:t>
      </w:r>
      <w:r w:rsidRPr="007F2E6C">
        <w:rPr>
          <w:rStyle w:val="Appelnotedebasdep"/>
        </w:rPr>
        <w:footnoteReference w:id="7"/>
      </w:r>
      <w:r w:rsidRPr="00695208">
        <w:t>. L</w:t>
      </w:r>
      <w:r>
        <w:t>’</w:t>
      </w:r>
      <w:r w:rsidRPr="00695208">
        <w:t xml:space="preserve">auteur fait observer que cette disposition est contraire aux obligations qui incombent </w:t>
      </w:r>
      <w:r>
        <w:t>aux Pays-Bas</w:t>
      </w:r>
      <w:r w:rsidRPr="00695208">
        <w:t xml:space="preserve"> en tant que partie à la Convention de 1961 sur la réduction des cas d</w:t>
      </w:r>
      <w:r>
        <w:t>’</w:t>
      </w:r>
      <w:r w:rsidRPr="00695208">
        <w:t>apatridie, selon laquelle les États ne peuvent imposer que des conditions de résidence habituelle</w:t>
      </w:r>
      <w:r w:rsidRPr="007F2E6C">
        <w:rPr>
          <w:rStyle w:val="Appelnotedebasdep"/>
        </w:rPr>
        <w:footnoteReference w:id="8"/>
      </w:r>
      <w:r w:rsidRPr="00695208">
        <w:t>. Il fait observer que l</w:t>
      </w:r>
      <w:r>
        <w:t>’</w:t>
      </w:r>
      <w:r w:rsidRPr="00695208">
        <w:t>État partie a reconnu que sa législation n</w:t>
      </w:r>
      <w:r>
        <w:t>’</w:t>
      </w:r>
      <w:r w:rsidRPr="00695208">
        <w:t>était pas conforme à la Convention de 1961.</w:t>
      </w:r>
    </w:p>
    <w:p w14:paraId="3236F45F" w14:textId="77777777" w:rsidR="00C66C9A" w:rsidRPr="00812A02" w:rsidRDefault="00C66C9A" w:rsidP="00C66C9A">
      <w:pPr>
        <w:pStyle w:val="SingleTxtG"/>
      </w:pPr>
      <w:r w:rsidRPr="00812A02">
        <w:t>2.8</w:t>
      </w:r>
      <w:r w:rsidRPr="00812A02">
        <w:tab/>
        <w:t>Le 26</w:t>
      </w:r>
      <w:r w:rsidRPr="00584D66">
        <w:t> </w:t>
      </w:r>
      <w:r w:rsidRPr="00812A02">
        <w:t>mars 2015, l</w:t>
      </w:r>
      <w:r>
        <w:t>’</w:t>
      </w:r>
      <w:r w:rsidRPr="00812A02">
        <w:t>auteur s</w:t>
      </w:r>
      <w:r>
        <w:t>’</w:t>
      </w:r>
      <w:r w:rsidRPr="00812A02">
        <w:t xml:space="preserve">est adressé à la municipalité de Katwijk en demandant à être reconnu comme </w:t>
      </w:r>
      <w:r>
        <w:t>citoyen</w:t>
      </w:r>
      <w:r w:rsidRPr="00812A02">
        <w:t xml:space="preserve"> néerlandais, invoquant son droit d</w:t>
      </w:r>
      <w:r>
        <w:t>’</w:t>
      </w:r>
      <w:r w:rsidRPr="00812A02">
        <w:t>acquérir une nationalité bien que n</w:t>
      </w:r>
      <w:r>
        <w:t>’</w:t>
      </w:r>
      <w:r w:rsidRPr="00812A02">
        <w:t>étant pas enregistré comme apatride et ne possédant pas de permis de séjour aux Pays</w:t>
      </w:r>
      <w:r w:rsidR="002279C6">
        <w:noBreakHyphen/>
      </w:r>
      <w:r w:rsidRPr="00812A02">
        <w:t>Bas. En rejetant cette demande, le maire de Katwijk a reconnu que l</w:t>
      </w:r>
      <w:r>
        <w:t>’</w:t>
      </w:r>
      <w:r w:rsidRPr="00812A02">
        <w:t>État partie n</w:t>
      </w:r>
      <w:r>
        <w:t>’av</w:t>
      </w:r>
      <w:r w:rsidRPr="00812A02">
        <w:t xml:space="preserve">ait pas de procédure </w:t>
      </w:r>
      <w:r>
        <w:t>de</w:t>
      </w:r>
      <w:r w:rsidRPr="00812A02">
        <w:t xml:space="preserve"> détermin</w:t>
      </w:r>
      <w:r>
        <w:t>ation du</w:t>
      </w:r>
      <w:r w:rsidRPr="00812A02">
        <w:t xml:space="preserve"> statut, et faute d</w:t>
      </w:r>
      <w:r>
        <w:t>’</w:t>
      </w:r>
      <w:r w:rsidRPr="00812A02">
        <w:t>une telle procédure l</w:t>
      </w:r>
      <w:r>
        <w:t>’</w:t>
      </w:r>
      <w:r w:rsidRPr="00812A02">
        <w:t>auteur ne pouvait pas établir qu</w:t>
      </w:r>
      <w:r>
        <w:t>’</w:t>
      </w:r>
      <w:r w:rsidRPr="00812A02">
        <w:t>il était apatride. À l</w:t>
      </w:r>
      <w:r>
        <w:t>’</w:t>
      </w:r>
      <w:r w:rsidRPr="00812A02">
        <w:t>instar du Conseil d</w:t>
      </w:r>
      <w:r>
        <w:t>’</w:t>
      </w:r>
      <w:r w:rsidRPr="00812A02">
        <w:t>État, le maire a conclu qu</w:t>
      </w:r>
      <w:r>
        <w:t>’</w:t>
      </w:r>
      <w:r w:rsidRPr="00812A02">
        <w:t xml:space="preserve">il </w:t>
      </w:r>
      <w:r>
        <w:lastRenderedPageBreak/>
        <w:t>outrepasserait son mandat de</w:t>
      </w:r>
      <w:r w:rsidRPr="00812A02">
        <w:t xml:space="preserve"> maire</w:t>
      </w:r>
      <w:r>
        <w:t xml:space="preserve"> s’il</w:t>
      </w:r>
      <w:r w:rsidRPr="00812A02">
        <w:t xml:space="preserve"> statu</w:t>
      </w:r>
      <w:r>
        <w:t>ait</w:t>
      </w:r>
      <w:r w:rsidRPr="00812A02">
        <w:t xml:space="preserve"> sur la question. L</w:t>
      </w:r>
      <w:r>
        <w:t xml:space="preserve">e </w:t>
      </w:r>
      <w:r w:rsidRPr="00812A02">
        <w:t>15</w:t>
      </w:r>
      <w:r w:rsidRPr="00584D66">
        <w:t> </w:t>
      </w:r>
      <w:r w:rsidRPr="00812A02">
        <w:t xml:space="preserve">septembre 2015, </w:t>
      </w:r>
      <w:r>
        <w:t>l</w:t>
      </w:r>
      <w:r w:rsidRPr="00812A02">
        <w:t>a Commission des recours a confirmé la décision du maire</w:t>
      </w:r>
      <w:r>
        <w:t>,</w:t>
      </w:r>
      <w:r w:rsidRPr="00812A02">
        <w:t xml:space="preserve"> déclarant qu</w:t>
      </w:r>
      <w:r>
        <w:t>’</w:t>
      </w:r>
      <w:r w:rsidRPr="00812A02">
        <w:t>il n</w:t>
      </w:r>
      <w:r>
        <w:t>’</w:t>
      </w:r>
      <w:r w:rsidRPr="00812A02">
        <w:t>existait pas de procédure pour déterminer l</w:t>
      </w:r>
      <w:r>
        <w:t>’</w:t>
      </w:r>
      <w:r w:rsidRPr="00812A02">
        <w:t>apatridie mais qu</w:t>
      </w:r>
      <w:r>
        <w:t>’</w:t>
      </w:r>
      <w:r w:rsidRPr="00812A02">
        <w:t>il n</w:t>
      </w:r>
      <w:r>
        <w:t>’</w:t>
      </w:r>
      <w:r w:rsidRPr="00812A02">
        <w:t>appartenait pas au maire de remédier à cette « lacune juridique ». L</w:t>
      </w:r>
      <w:r>
        <w:t>e 28 octobre 2015, l’</w:t>
      </w:r>
      <w:r w:rsidRPr="00812A02">
        <w:t>auteur a fait appel de cette décision auprès du tribunal de La Haye. Le 3</w:t>
      </w:r>
      <w:r w:rsidRPr="00584D66">
        <w:t> </w:t>
      </w:r>
      <w:r w:rsidRPr="00812A02">
        <w:t xml:space="preserve">mars 2016, </w:t>
      </w:r>
      <w:r>
        <w:t>c</w:t>
      </w:r>
      <w:r w:rsidRPr="00812A02">
        <w:t xml:space="preserve">e tribunal a rejeté </w:t>
      </w:r>
      <w:r>
        <w:t>l’</w:t>
      </w:r>
      <w:r w:rsidRPr="00812A02">
        <w:t>appel au motif que l</w:t>
      </w:r>
      <w:r>
        <w:t>’</w:t>
      </w:r>
      <w:r w:rsidRPr="00812A02">
        <w:t>auteur n</w:t>
      </w:r>
      <w:r>
        <w:t>’</w:t>
      </w:r>
      <w:r w:rsidRPr="00812A02">
        <w:t xml:space="preserve">était pas enregistré comme apatride. </w:t>
      </w:r>
      <w:r>
        <w:t xml:space="preserve">Le </w:t>
      </w:r>
      <w:r w:rsidRPr="00812A02">
        <w:t>Conseil d</w:t>
      </w:r>
      <w:r>
        <w:t>’</w:t>
      </w:r>
      <w:r w:rsidRPr="00812A02">
        <w:t xml:space="preserve">État </w:t>
      </w:r>
      <w:r>
        <w:t>a confirmé c</w:t>
      </w:r>
      <w:r w:rsidRPr="00812A02">
        <w:t>ette décision le 2</w:t>
      </w:r>
      <w:r>
        <w:t> </w:t>
      </w:r>
      <w:r w:rsidRPr="00812A02">
        <w:t>novembre 2016.</w:t>
      </w:r>
    </w:p>
    <w:p w14:paraId="01499BA2" w14:textId="77777777" w:rsidR="00C66C9A" w:rsidRPr="00695208" w:rsidRDefault="00C66C9A" w:rsidP="00C66C9A">
      <w:pPr>
        <w:pStyle w:val="SingleTxtG"/>
      </w:pPr>
      <w:r w:rsidRPr="00695208">
        <w:t>2.9</w:t>
      </w:r>
      <w:r w:rsidRPr="00695208">
        <w:tab/>
        <w:t>L</w:t>
      </w:r>
      <w:r>
        <w:t>’</w:t>
      </w:r>
      <w:r w:rsidRPr="00695208">
        <w:t>auteur vit avec sa mère dans un centre pour demandeurs d</w:t>
      </w:r>
      <w:r>
        <w:t>’</w:t>
      </w:r>
      <w:r w:rsidRPr="00695208">
        <w:t>asile déboutés avec jeunes enfants et la liberté y est limitée. Il n</w:t>
      </w:r>
      <w:r>
        <w:t>’</w:t>
      </w:r>
      <w:r w:rsidRPr="00695208">
        <w:t>a pratiquement aucun contact avec la société néerlandaise et vit sous la menace permanente d</w:t>
      </w:r>
      <w:r>
        <w:t>’</w:t>
      </w:r>
      <w:r w:rsidRPr="00695208">
        <w:t>une expulsion. Sa mère n</w:t>
      </w:r>
      <w:r>
        <w:t>’</w:t>
      </w:r>
      <w:r w:rsidRPr="00695208">
        <w:t>a droit à aucune prestation sociale hormis une petite allocation hebdomadaire. Les centres à liberté limitée dans l</w:t>
      </w:r>
      <w:r>
        <w:t>’</w:t>
      </w:r>
      <w:r w:rsidRPr="00695208">
        <w:t>État partie ont</w:t>
      </w:r>
      <w:r>
        <w:t xml:space="preserve"> vocation à servir</w:t>
      </w:r>
      <w:r w:rsidRPr="00695208">
        <w:t xml:space="preserve"> de structures d</w:t>
      </w:r>
      <w:r>
        <w:t>’</w:t>
      </w:r>
      <w:r w:rsidRPr="00695208">
        <w:t>hébergement temporaire rudimentaire, mais l</w:t>
      </w:r>
      <w:r>
        <w:t>’</w:t>
      </w:r>
      <w:r w:rsidRPr="00695208">
        <w:t>auteur fait observer qu</w:t>
      </w:r>
      <w:r>
        <w:t>’</w:t>
      </w:r>
      <w:r w:rsidRPr="00695208">
        <w:t>au moment où il a soumis sa communication au Comité, cela faisait trois ans qu</w:t>
      </w:r>
      <w:r>
        <w:t>’</w:t>
      </w:r>
      <w:r w:rsidRPr="00695208">
        <w:t>il vivait dans un tel centre avec sa mère. Il dit que ce système a été vivement critiqué par des groupes de défense des droits de l</w:t>
      </w:r>
      <w:r>
        <w:t>’</w:t>
      </w:r>
      <w:r w:rsidRPr="00695208">
        <w:t>enfant comme étant particulièrement préjudiciable et traumatisant pour les enfants</w:t>
      </w:r>
      <w:r w:rsidRPr="007F2E6C">
        <w:rPr>
          <w:rStyle w:val="Appelnotedebasdep"/>
        </w:rPr>
        <w:footnoteReference w:id="9"/>
      </w:r>
      <w:r w:rsidRPr="00695208">
        <w:t>. Les personnes qui y résident ne peuvent pas quitter la circonscription municipale dont elles relèvent et doivent se soumettre tous les jours, sauf le dimanche, à des contrôles stricts sous peine de détention pénale. Les enfants vivent dans un climat de peur permanente et sont victimes de problèmes de santé, de tensions familiales et d</w:t>
      </w:r>
      <w:r>
        <w:t>’</w:t>
      </w:r>
      <w:r w:rsidRPr="00695208">
        <w:t>exclusion sociale à cause des restrictions dont ils font l</w:t>
      </w:r>
      <w:r>
        <w:t>’</w:t>
      </w:r>
      <w:r w:rsidRPr="00695208">
        <w:t>objet dans ces centres.</w:t>
      </w:r>
    </w:p>
    <w:p w14:paraId="7FE45563" w14:textId="77777777" w:rsidR="00C66C9A" w:rsidRPr="00584D66" w:rsidRDefault="00C66C9A" w:rsidP="002279C6">
      <w:pPr>
        <w:pStyle w:val="H23G"/>
      </w:pPr>
      <w:r w:rsidRPr="00584D66">
        <w:tab/>
      </w:r>
      <w:r w:rsidRPr="00584D66">
        <w:tab/>
        <w:t>Teneur de la plainte</w:t>
      </w:r>
    </w:p>
    <w:p w14:paraId="75ACB85D" w14:textId="77777777" w:rsidR="00C66C9A" w:rsidRPr="00812A02" w:rsidRDefault="00C66C9A" w:rsidP="00C66C9A">
      <w:pPr>
        <w:pStyle w:val="SingleTxtG"/>
      </w:pPr>
      <w:r w:rsidRPr="00812A02">
        <w:t>3.1</w:t>
      </w:r>
      <w:r w:rsidRPr="00812A02">
        <w:tab/>
        <w:t>L</w:t>
      </w:r>
      <w:r>
        <w:t>’</w:t>
      </w:r>
      <w:r w:rsidRPr="00812A02">
        <w:t>auteur affirme que le fait qu</w:t>
      </w:r>
      <w:r>
        <w:t>’</w:t>
      </w:r>
      <w:r w:rsidRPr="00812A02">
        <w:t>il n</w:t>
      </w:r>
      <w:r>
        <w:t>’</w:t>
      </w:r>
      <w:r w:rsidRPr="00812A02">
        <w:t xml:space="preserve">ait eu </w:t>
      </w:r>
      <w:r>
        <w:t>aucune</w:t>
      </w:r>
      <w:r w:rsidRPr="00812A02">
        <w:t xml:space="preserve"> véritable possibilité d</w:t>
      </w:r>
      <w:r>
        <w:t>’</w:t>
      </w:r>
      <w:r w:rsidRPr="00812A02">
        <w:t>acquérir une nationalité dans son enfance et qu</w:t>
      </w:r>
      <w:r>
        <w:t>’</w:t>
      </w:r>
      <w:r w:rsidRPr="00812A02">
        <w:t>il a déjà passé des années dans des limbes juridiques</w:t>
      </w:r>
      <w:r>
        <w:t>,</w:t>
      </w:r>
      <w:r w:rsidRPr="00812A02">
        <w:t xml:space="preserve"> à cause de la manière dont l</w:t>
      </w:r>
      <w:r>
        <w:t>’</w:t>
      </w:r>
      <w:r w:rsidRPr="00812A02">
        <w:t>État partie traite l</w:t>
      </w:r>
      <w:r>
        <w:t>’</w:t>
      </w:r>
      <w:r w:rsidRPr="00812A02">
        <w:t xml:space="preserve">apatridie et </w:t>
      </w:r>
      <w:r>
        <w:t xml:space="preserve">des règles connexes concernant </w:t>
      </w:r>
      <w:r w:rsidRPr="00812A02">
        <w:t>les droits de séjour et d</w:t>
      </w:r>
      <w:r>
        <w:t>’</w:t>
      </w:r>
      <w:r w:rsidRPr="00812A02">
        <w:t xml:space="preserve">acquisition de la nationalité, constitue une violation </w:t>
      </w:r>
      <w:r>
        <w:t>du</w:t>
      </w:r>
      <w:r w:rsidRPr="00812A02">
        <w:t xml:space="preserve"> droit d</w:t>
      </w:r>
      <w:r>
        <w:t>’</w:t>
      </w:r>
      <w:r w:rsidRPr="00812A02">
        <w:t xml:space="preserve">acquérir une nationalité </w:t>
      </w:r>
      <w:r>
        <w:t xml:space="preserve">que lui </w:t>
      </w:r>
      <w:r w:rsidRPr="00812A02">
        <w:t>garanti</w:t>
      </w:r>
      <w:r>
        <w:t xml:space="preserve">t </w:t>
      </w:r>
      <w:r w:rsidRPr="00812A02">
        <w:t>l</w:t>
      </w:r>
      <w:r>
        <w:t>’</w:t>
      </w:r>
      <w:r w:rsidRPr="00812A02">
        <w:t>article</w:t>
      </w:r>
      <w:r w:rsidR="002279C6">
        <w:t> </w:t>
      </w:r>
      <w:r w:rsidRPr="00812A02">
        <w:t>24</w:t>
      </w:r>
      <w:r>
        <w:t xml:space="preserve"> (par. 3)</w:t>
      </w:r>
      <w:r w:rsidRPr="00812A02">
        <w:t xml:space="preserve"> du Pacte. Il explique qu</w:t>
      </w:r>
      <w:r>
        <w:t>’</w:t>
      </w:r>
      <w:r w:rsidRPr="00812A02">
        <w:t>au moment où il a soumis sa communication au Comité, il était enregistré sous la mention « nationalité inconnue » depuis plus de six ans, dans le pays où il est né et qui est le seul où il ait jamais vécu, sans la moindre perspective d</w:t>
      </w:r>
      <w:r>
        <w:t>’</w:t>
      </w:r>
      <w:r w:rsidRPr="00812A02">
        <w:t>acquérir une nationalité ni même d</w:t>
      </w:r>
      <w:r>
        <w:t>’</w:t>
      </w:r>
      <w:r w:rsidRPr="00812A02">
        <w:t>établir formellement son statut d</w:t>
      </w:r>
      <w:r>
        <w:t>’</w:t>
      </w:r>
      <w:r w:rsidRPr="00812A02">
        <w:t xml:space="preserve">apatride </w:t>
      </w:r>
      <w:r>
        <w:t>en vue</w:t>
      </w:r>
      <w:r w:rsidRPr="00812A02">
        <w:t xml:space="preserve"> de pouvoir acquérir une nationalité. </w:t>
      </w:r>
      <w:r>
        <w:t>Selon l’</w:t>
      </w:r>
      <w:r w:rsidRPr="00812A02">
        <w:t>auteur</w:t>
      </w:r>
      <w:r w:rsidRPr="00812A02">
        <w:rPr>
          <w:spacing w:val="-1"/>
        </w:rPr>
        <w:t>, lorsqu</w:t>
      </w:r>
      <w:r>
        <w:rPr>
          <w:spacing w:val="-1"/>
        </w:rPr>
        <w:t>e l’</w:t>
      </w:r>
      <w:r w:rsidRPr="00812A02">
        <w:rPr>
          <w:spacing w:val="-1"/>
        </w:rPr>
        <w:t>on examine l</w:t>
      </w:r>
      <w:r>
        <w:rPr>
          <w:spacing w:val="-1"/>
        </w:rPr>
        <w:t xml:space="preserve">’objet </w:t>
      </w:r>
      <w:r w:rsidRPr="00812A02">
        <w:rPr>
          <w:spacing w:val="-1"/>
        </w:rPr>
        <w:t>général de l</w:t>
      </w:r>
      <w:r>
        <w:rPr>
          <w:spacing w:val="-1"/>
        </w:rPr>
        <w:t>’</w:t>
      </w:r>
      <w:r w:rsidRPr="00812A02">
        <w:rPr>
          <w:spacing w:val="-1"/>
        </w:rPr>
        <w:t>article</w:t>
      </w:r>
      <w:r w:rsidR="002279C6">
        <w:rPr>
          <w:spacing w:val="-1"/>
        </w:rPr>
        <w:t> </w:t>
      </w:r>
      <w:r w:rsidRPr="00812A02">
        <w:rPr>
          <w:spacing w:val="-1"/>
        </w:rPr>
        <w:t>24</w:t>
      </w:r>
      <w:r>
        <w:rPr>
          <w:spacing w:val="-1"/>
        </w:rPr>
        <w:t xml:space="preserve"> (par. 3)</w:t>
      </w:r>
      <w:r w:rsidRPr="00812A02">
        <w:rPr>
          <w:spacing w:val="-1"/>
        </w:rPr>
        <w:t>,</w:t>
      </w:r>
      <w:r w:rsidRPr="00812A02">
        <w:t xml:space="preserve"> </w:t>
      </w:r>
      <w:r>
        <w:t xml:space="preserve">il importe </w:t>
      </w:r>
      <w:r w:rsidRPr="00812A02">
        <w:t>de reconnaître les liens qui existent entre le droit d</w:t>
      </w:r>
      <w:r>
        <w:t>’</w:t>
      </w:r>
      <w:r w:rsidRPr="00812A02">
        <w:t>acquérir une nationalité</w:t>
      </w:r>
      <w:r>
        <w:t>,</w:t>
      </w:r>
      <w:r w:rsidRPr="00812A02">
        <w:t xml:space="preserve"> la jouissance de la personnalité juridique et </w:t>
      </w:r>
      <w:r>
        <w:t>le</w:t>
      </w:r>
      <w:r w:rsidRPr="00812A02">
        <w:t xml:space="preserve"> respect de la dignité humaine, et </w:t>
      </w:r>
      <w:r>
        <w:t xml:space="preserve">de reconnaître </w:t>
      </w:r>
      <w:r w:rsidRPr="00812A02">
        <w:t xml:space="preserve">la responsabilité </w:t>
      </w:r>
      <w:r>
        <w:t xml:space="preserve">qui en découle </w:t>
      </w:r>
      <w:r w:rsidRPr="00812A02">
        <w:t>d</w:t>
      </w:r>
      <w:r>
        <w:t>’</w:t>
      </w:r>
      <w:r w:rsidRPr="00812A02">
        <w:t>assurer le développement personnel de l</w:t>
      </w:r>
      <w:r>
        <w:t>’</w:t>
      </w:r>
      <w:r w:rsidRPr="00812A02">
        <w:t>enfant en rapport avec ces aspects importants de l</w:t>
      </w:r>
      <w:r>
        <w:t>’</w:t>
      </w:r>
      <w:r w:rsidRPr="00812A02">
        <w:t>identité individuelle dès la naissance.</w:t>
      </w:r>
    </w:p>
    <w:p w14:paraId="7E29C7D6" w14:textId="77777777" w:rsidR="00C66C9A" w:rsidRPr="00812A02" w:rsidRDefault="00C66C9A" w:rsidP="00C66C9A">
      <w:pPr>
        <w:pStyle w:val="SingleTxtG"/>
      </w:pPr>
      <w:r w:rsidRPr="00812A02">
        <w:t>3.2</w:t>
      </w:r>
      <w:r w:rsidRPr="00812A02">
        <w:tab/>
        <w:t>L</w:t>
      </w:r>
      <w:r>
        <w:t>’</w:t>
      </w:r>
      <w:r w:rsidRPr="00812A02">
        <w:t xml:space="preserve">auteur affirme </w:t>
      </w:r>
      <w:r>
        <w:t>en outre</w:t>
      </w:r>
      <w:r w:rsidRPr="00812A02">
        <w:t xml:space="preserve"> que l</w:t>
      </w:r>
      <w:r>
        <w:t>’</w:t>
      </w:r>
      <w:r w:rsidRPr="00812A02">
        <w:t>État partie n</w:t>
      </w:r>
      <w:r>
        <w:t>’</w:t>
      </w:r>
      <w:r w:rsidRPr="00812A02">
        <w:t xml:space="preserve">a pas respecté son obligation de veiller à ce que tous les enfants, y compris les enfants apatrides et les enfants nés de parents en situation migratoire irrégulière, jouissent de tous les droits énoncés dans le Pacte, </w:t>
      </w:r>
      <w:r>
        <w:t>et ainsi violé l</w:t>
      </w:r>
      <w:r w:rsidRPr="00812A02">
        <w:t>es droits qu</w:t>
      </w:r>
      <w:r>
        <w:t>’</w:t>
      </w:r>
      <w:r w:rsidRPr="00812A02">
        <w:t>il tient de l</w:t>
      </w:r>
      <w:r>
        <w:t>’</w:t>
      </w:r>
      <w:r w:rsidRPr="00812A02">
        <w:t>article</w:t>
      </w:r>
      <w:r w:rsidR="00FF2EDE">
        <w:t> </w:t>
      </w:r>
      <w:r w:rsidRPr="00812A02">
        <w:t>24, lu isolément et conjointement avec l</w:t>
      </w:r>
      <w:r>
        <w:t>’</w:t>
      </w:r>
      <w:r w:rsidRPr="00812A02">
        <w:t>article</w:t>
      </w:r>
      <w:r w:rsidR="002279C6">
        <w:t> </w:t>
      </w:r>
      <w:r w:rsidRPr="00812A02">
        <w:t>2</w:t>
      </w:r>
      <w:r>
        <w:t xml:space="preserve"> (par. 2)</w:t>
      </w:r>
      <w:r w:rsidRPr="00812A02">
        <w:t xml:space="preserve"> du Pacte. Il fait valoir que la violation de son droit d</w:t>
      </w:r>
      <w:r>
        <w:t>’</w:t>
      </w:r>
      <w:r w:rsidRPr="00812A02">
        <w:t>acquérir une nationalité ne résulte pas d</w:t>
      </w:r>
      <w:r>
        <w:t>’</w:t>
      </w:r>
      <w:r w:rsidRPr="00812A02">
        <w:t>une décision isolée ou propre à son cas. Elle est au contraire la conséquence directe de l</w:t>
      </w:r>
      <w:r>
        <w:t>’</w:t>
      </w:r>
      <w:r w:rsidRPr="00812A02">
        <w:t>incapacité des autorités de l</w:t>
      </w:r>
      <w:r>
        <w:t>’</w:t>
      </w:r>
      <w:r w:rsidRPr="00812A02">
        <w:t xml:space="preserve">État partie </w:t>
      </w:r>
      <w:r>
        <w:t>de</w:t>
      </w:r>
      <w:r w:rsidRPr="00812A02">
        <w:t xml:space="preserve"> donner effet, dans la législation et les règles administratives régissant l</w:t>
      </w:r>
      <w:r>
        <w:t>’</w:t>
      </w:r>
      <w:r w:rsidRPr="00812A02">
        <w:t>inscription au registre d</w:t>
      </w:r>
      <w:r>
        <w:t>’</w:t>
      </w:r>
      <w:r w:rsidRPr="00812A02">
        <w:t>état civil</w:t>
      </w:r>
      <w:r>
        <w:t>,</w:t>
      </w:r>
      <w:r w:rsidRPr="00812A02">
        <w:t xml:space="preserve"> la nationalité et le statut migrat</w:t>
      </w:r>
      <w:r>
        <w:t xml:space="preserve">oire de </w:t>
      </w:r>
      <w:r w:rsidRPr="0018326A">
        <w:t>l</w:t>
      </w:r>
      <w:r>
        <w:t>’</w:t>
      </w:r>
      <w:r w:rsidRPr="0018326A">
        <w:t>État partie</w:t>
      </w:r>
      <w:r w:rsidRPr="00812A02">
        <w:t>, aux droits énoncés à l</w:t>
      </w:r>
      <w:r>
        <w:t>’</w:t>
      </w:r>
      <w:r w:rsidRPr="00812A02">
        <w:t>article</w:t>
      </w:r>
      <w:r w:rsidR="002279C6">
        <w:t> </w:t>
      </w:r>
      <w:r w:rsidRPr="00812A02">
        <w:t>24. L</w:t>
      </w:r>
      <w:r>
        <w:t>’</w:t>
      </w:r>
      <w:r w:rsidRPr="00812A02">
        <w:t xml:space="preserve">auteur </w:t>
      </w:r>
      <w:r>
        <w:t>soutient</w:t>
      </w:r>
      <w:r w:rsidRPr="00812A02">
        <w:t xml:space="preserve"> que les protections juridiques internes contre l</w:t>
      </w:r>
      <w:r>
        <w:t>’</w:t>
      </w:r>
      <w:r w:rsidRPr="00812A02">
        <w:t>apatridie sont insuffisantes car</w:t>
      </w:r>
      <w:r w:rsidRPr="00A751DD">
        <w:t> :</w:t>
      </w:r>
      <w:r>
        <w:t xml:space="preserve"> a</w:t>
      </w:r>
      <w:r w:rsidRPr="00812A02">
        <w:t>)</w:t>
      </w:r>
      <w:r>
        <w:t> </w:t>
      </w:r>
      <w:r w:rsidRPr="00812A02">
        <w:t>il n</w:t>
      </w:r>
      <w:r>
        <w:t>’</w:t>
      </w:r>
      <w:r w:rsidRPr="00812A02">
        <w:t>existe toujours pas dans l</w:t>
      </w:r>
      <w:r>
        <w:t>’</w:t>
      </w:r>
      <w:r w:rsidRPr="00812A02">
        <w:t xml:space="preserve">État partie de procédures </w:t>
      </w:r>
      <w:r>
        <w:t>just</w:t>
      </w:r>
      <w:r w:rsidRPr="00812A02">
        <w:t>es et équilibrées pour déterminer l</w:t>
      </w:r>
      <w:r>
        <w:t>’</w:t>
      </w:r>
      <w:r w:rsidRPr="00812A02">
        <w:t>apatridie, notamment l</w:t>
      </w:r>
      <w:r>
        <w:t>’</w:t>
      </w:r>
      <w:r w:rsidRPr="00812A02">
        <w:t>apatridie à la naissance</w:t>
      </w:r>
      <w:r>
        <w:t> ;</w:t>
      </w:r>
      <w:r w:rsidRPr="00812A02">
        <w:t xml:space="preserve"> </w:t>
      </w:r>
      <w:r>
        <w:t>b</w:t>
      </w:r>
      <w:r w:rsidRPr="00812A02">
        <w:t>)</w:t>
      </w:r>
      <w:r>
        <w:t> </w:t>
      </w:r>
      <w:r w:rsidRPr="00812A02">
        <w:t>l</w:t>
      </w:r>
      <w:r>
        <w:t>’</w:t>
      </w:r>
      <w:r w:rsidRPr="00812A02">
        <w:t xml:space="preserve">État partie </w:t>
      </w:r>
      <w:r>
        <w:t>n’applique aucune autre mesure qui permettrait de</w:t>
      </w:r>
      <w:r w:rsidRPr="00812A02">
        <w:t xml:space="preserve"> préven</w:t>
      </w:r>
      <w:r>
        <w:t>ir</w:t>
      </w:r>
      <w:r w:rsidRPr="00812A02">
        <w:t xml:space="preserve"> et rédui</w:t>
      </w:r>
      <w:r>
        <w:t>re l</w:t>
      </w:r>
      <w:r w:rsidRPr="00812A02">
        <w:t>es cas d</w:t>
      </w:r>
      <w:r>
        <w:t>’</w:t>
      </w:r>
      <w:r w:rsidRPr="00812A02">
        <w:t>apatridie</w:t>
      </w:r>
      <w:r>
        <w:t xml:space="preserve"> chez les enfants, ce</w:t>
      </w:r>
      <w:r w:rsidRPr="00812A02">
        <w:t xml:space="preserve"> qui assurerait la prise en compte de l</w:t>
      </w:r>
      <w:r>
        <w:t>’</w:t>
      </w:r>
      <w:r w:rsidRPr="00812A02">
        <w:t>intérêt supérieur de</w:t>
      </w:r>
      <w:r>
        <w:t xml:space="preserve"> l’auteur </w:t>
      </w:r>
      <w:r w:rsidRPr="00812A02">
        <w:t>et le respect de tous les droits qu</w:t>
      </w:r>
      <w:r>
        <w:t>’</w:t>
      </w:r>
      <w:r w:rsidRPr="00812A02">
        <w:t>il tient du Pacte</w:t>
      </w:r>
      <w:r>
        <w:t>,</w:t>
      </w:r>
      <w:r w:rsidRPr="00812A02">
        <w:t xml:space="preserve"> dans les mêmes conditions que les autres enfants.</w:t>
      </w:r>
    </w:p>
    <w:p w14:paraId="23E446EB" w14:textId="77777777" w:rsidR="00C66C9A" w:rsidRPr="00812A02" w:rsidRDefault="00C66C9A" w:rsidP="00C66C9A">
      <w:pPr>
        <w:pStyle w:val="SingleTxtG"/>
      </w:pPr>
      <w:r w:rsidRPr="00812A02">
        <w:lastRenderedPageBreak/>
        <w:t>3.3</w:t>
      </w:r>
      <w:r w:rsidRPr="00812A02">
        <w:tab/>
      </w:r>
      <w:r w:rsidRPr="00A751DD">
        <w:rPr>
          <w:spacing w:val="-1"/>
        </w:rPr>
        <w:t>L</w:t>
      </w:r>
      <w:r>
        <w:rPr>
          <w:spacing w:val="-1"/>
        </w:rPr>
        <w:t>’</w:t>
      </w:r>
      <w:r w:rsidRPr="00A751DD">
        <w:rPr>
          <w:spacing w:val="-1"/>
        </w:rPr>
        <w:t>auteur affirme également que l</w:t>
      </w:r>
      <w:r>
        <w:rPr>
          <w:spacing w:val="-1"/>
        </w:rPr>
        <w:t>’</w:t>
      </w:r>
      <w:r w:rsidRPr="00A751DD">
        <w:rPr>
          <w:spacing w:val="-1"/>
        </w:rPr>
        <w:t>État partie ne lui a pas offert de recours utile, en violation des droits qui lui sont garantis à l</w:t>
      </w:r>
      <w:r>
        <w:rPr>
          <w:spacing w:val="-1"/>
        </w:rPr>
        <w:t>’</w:t>
      </w:r>
      <w:r w:rsidRPr="00A751DD">
        <w:rPr>
          <w:spacing w:val="-1"/>
        </w:rPr>
        <w:t>article</w:t>
      </w:r>
      <w:r w:rsidR="002279C6">
        <w:rPr>
          <w:spacing w:val="-1"/>
        </w:rPr>
        <w:t> </w:t>
      </w:r>
      <w:r w:rsidRPr="00A751DD">
        <w:rPr>
          <w:spacing w:val="-1"/>
        </w:rPr>
        <w:t xml:space="preserve">24, lu conjointement avec </w:t>
      </w:r>
      <w:r w:rsidRPr="00812A02">
        <w:t>l</w:t>
      </w:r>
      <w:r>
        <w:t>’</w:t>
      </w:r>
      <w:r w:rsidRPr="00812A02">
        <w:t>article</w:t>
      </w:r>
      <w:r w:rsidR="002279C6">
        <w:t> </w:t>
      </w:r>
      <w:r w:rsidRPr="00812A02">
        <w:t>2</w:t>
      </w:r>
      <w:r>
        <w:t xml:space="preserve"> (par. 3)</w:t>
      </w:r>
      <w:r w:rsidRPr="00812A02">
        <w:t xml:space="preserve"> du Pacte, et que ce manquement a été reconnu par le Conseil d</w:t>
      </w:r>
      <w:r>
        <w:t>’</w:t>
      </w:r>
      <w:r w:rsidRPr="00812A02">
        <w:t>État dans sa décision du 21</w:t>
      </w:r>
      <w:r w:rsidRPr="00584D66">
        <w:t> </w:t>
      </w:r>
      <w:r w:rsidRPr="00812A02">
        <w:t>mai 2014.</w:t>
      </w:r>
    </w:p>
    <w:p w14:paraId="078167B0" w14:textId="77777777" w:rsidR="00C66C9A" w:rsidRPr="00812A02" w:rsidRDefault="00C66C9A" w:rsidP="00C66C9A">
      <w:pPr>
        <w:pStyle w:val="SingleTxtG"/>
      </w:pPr>
      <w:r w:rsidRPr="00812A02">
        <w:t>3.4</w:t>
      </w:r>
      <w:r w:rsidRPr="00812A02">
        <w:tab/>
        <w:t>L</w:t>
      </w:r>
      <w:r>
        <w:t>’</w:t>
      </w:r>
      <w:r w:rsidRPr="00812A02">
        <w:t>auteur demande au Comité de conclure à une violation des droits qu</w:t>
      </w:r>
      <w:r>
        <w:t>’</w:t>
      </w:r>
      <w:r w:rsidRPr="00812A02">
        <w:t>il tient des articles susmentionnés et de recommander à l</w:t>
      </w:r>
      <w:r>
        <w:t>’</w:t>
      </w:r>
      <w:r w:rsidRPr="00812A02">
        <w:t>État partie</w:t>
      </w:r>
      <w:r w:rsidRPr="00A751DD">
        <w:t> :</w:t>
      </w:r>
      <w:r w:rsidRPr="00812A02">
        <w:t xml:space="preserve"> </w:t>
      </w:r>
      <w:r>
        <w:t>a</w:t>
      </w:r>
      <w:r w:rsidRPr="00812A02">
        <w:t>)</w:t>
      </w:r>
      <w:r>
        <w:t> </w:t>
      </w:r>
      <w:r w:rsidRPr="00812A02">
        <w:t>de remplacer</w:t>
      </w:r>
      <w:r>
        <w:t xml:space="preserve"> au regard de son nom,</w:t>
      </w:r>
      <w:r w:rsidRPr="00812A02">
        <w:t xml:space="preserve"> dans la base de données personnelles</w:t>
      </w:r>
      <w:r>
        <w:t xml:space="preserve"> de la municipalité,</w:t>
      </w:r>
      <w:r w:rsidRPr="00812A02">
        <w:t xml:space="preserve"> la mention « nationalité inconnue » par celle d</w:t>
      </w:r>
      <w:r>
        <w:t>’</w:t>
      </w:r>
      <w:r w:rsidRPr="00812A02">
        <w:t>« apatride »</w:t>
      </w:r>
      <w:r>
        <w:t> ;</w:t>
      </w:r>
      <w:r w:rsidRPr="00812A02">
        <w:t xml:space="preserve"> </w:t>
      </w:r>
      <w:r>
        <w:t>b</w:t>
      </w:r>
      <w:r w:rsidRPr="00812A02">
        <w:t>)</w:t>
      </w:r>
      <w:r>
        <w:t> </w:t>
      </w:r>
      <w:r w:rsidRPr="00812A02">
        <w:t>de lui accorder immédiatement un permis de séjour régulier aux Pays-Bas, avec effet rétroactif depuis sa naissance</w:t>
      </w:r>
      <w:r>
        <w:t> ;</w:t>
      </w:r>
      <w:r w:rsidRPr="00812A02">
        <w:t xml:space="preserve"> </w:t>
      </w:r>
      <w:r>
        <w:t>c</w:t>
      </w:r>
      <w:r w:rsidRPr="00812A02">
        <w:t>)</w:t>
      </w:r>
      <w:r>
        <w:t> </w:t>
      </w:r>
      <w:r w:rsidRPr="00812A02">
        <w:t>d</w:t>
      </w:r>
      <w:r>
        <w:t>’</w:t>
      </w:r>
      <w:r w:rsidRPr="00812A02">
        <w:t>établir dans la législation une procédure de détermination du statut d</w:t>
      </w:r>
      <w:r>
        <w:t>’</w:t>
      </w:r>
      <w:r w:rsidRPr="00812A02">
        <w:t>apatride et d</w:t>
      </w:r>
      <w:r>
        <w:t>’</w:t>
      </w:r>
      <w:r w:rsidRPr="00812A02">
        <w:t xml:space="preserve">accès à des droits tels que le droit de </w:t>
      </w:r>
      <w:r>
        <w:t>séjour</w:t>
      </w:r>
      <w:r w:rsidRPr="00812A02">
        <w:t>, avec des garanties structurelles et procédurales pour assurer l</w:t>
      </w:r>
      <w:r>
        <w:t>’</w:t>
      </w:r>
      <w:r w:rsidRPr="00812A02">
        <w:t>accessibilité, l</w:t>
      </w:r>
      <w:r>
        <w:t>’</w:t>
      </w:r>
      <w:r w:rsidRPr="00812A02">
        <w:t>équité et la flexibilité de son fonctionnement, en particulier en ce qui concerne les enfants</w:t>
      </w:r>
      <w:r>
        <w:t> ;</w:t>
      </w:r>
      <w:r w:rsidRPr="00812A02">
        <w:t xml:space="preserve"> </w:t>
      </w:r>
      <w:r>
        <w:t>d</w:t>
      </w:r>
      <w:r w:rsidRPr="00812A02">
        <w:t>)</w:t>
      </w:r>
      <w:r>
        <w:t> </w:t>
      </w:r>
      <w:r w:rsidRPr="00812A02">
        <w:t xml:space="preserve">de </w:t>
      </w:r>
      <w:r w:rsidRPr="00BC5A94">
        <w:t>modifier l</w:t>
      </w:r>
      <w:r>
        <w:t>’</w:t>
      </w:r>
      <w:r w:rsidRPr="00BC5A94">
        <w:t>article</w:t>
      </w:r>
      <w:r w:rsidR="002279C6">
        <w:t> </w:t>
      </w:r>
      <w:r w:rsidRPr="00BC5A94">
        <w:t xml:space="preserve">6 </w:t>
      </w:r>
      <w:r>
        <w:t xml:space="preserve">(par. 1 b)) </w:t>
      </w:r>
      <w:r w:rsidRPr="00BC5A94">
        <w:t>de la</w:t>
      </w:r>
      <w:r w:rsidRPr="00812A02">
        <w:t xml:space="preserve"> loi relative à la nationalité de sorte que la nationalité néerlandaise soit accessible aux enfants apatrides qui sont nés sur le territoire mais ne possèdent pas de permis de séjour.</w:t>
      </w:r>
    </w:p>
    <w:p w14:paraId="0A7374E7" w14:textId="77777777" w:rsidR="00C66C9A" w:rsidRPr="00584D66" w:rsidRDefault="00C66C9A" w:rsidP="002279C6">
      <w:pPr>
        <w:pStyle w:val="H23G"/>
      </w:pPr>
      <w:r w:rsidRPr="00584D66">
        <w:tab/>
      </w:r>
      <w:r w:rsidRPr="00584D66">
        <w:tab/>
        <w:t>Observations de l</w:t>
      </w:r>
      <w:r>
        <w:t>’</w:t>
      </w:r>
      <w:r w:rsidRPr="00584D66">
        <w:t>État partie sur la recevabilité et sur le fond</w:t>
      </w:r>
    </w:p>
    <w:p w14:paraId="0A586A9C" w14:textId="77777777" w:rsidR="00C66C9A" w:rsidRPr="00A751DD" w:rsidRDefault="00C66C9A" w:rsidP="00C66C9A">
      <w:pPr>
        <w:pStyle w:val="SingleTxtG"/>
        <w:rPr>
          <w:bCs/>
        </w:rPr>
      </w:pPr>
      <w:r w:rsidRPr="00A751DD">
        <w:t>4.1</w:t>
      </w:r>
      <w:r w:rsidRPr="00A751DD">
        <w:tab/>
      </w:r>
      <w:r w:rsidRPr="00A751DD">
        <w:rPr>
          <w:bCs/>
        </w:rPr>
        <w:t>Le 28 juin 2017, l</w:t>
      </w:r>
      <w:r>
        <w:rPr>
          <w:bCs/>
        </w:rPr>
        <w:t>’</w:t>
      </w:r>
      <w:r w:rsidRPr="00A751DD">
        <w:rPr>
          <w:bCs/>
        </w:rPr>
        <w:t>État partie a reconnu que l</w:t>
      </w:r>
      <w:r>
        <w:rPr>
          <w:bCs/>
        </w:rPr>
        <w:t>’</w:t>
      </w:r>
      <w:r w:rsidRPr="00A751DD">
        <w:rPr>
          <w:bCs/>
        </w:rPr>
        <w:t>auteur était actuellement dans l</w:t>
      </w:r>
      <w:r>
        <w:rPr>
          <w:bCs/>
        </w:rPr>
        <w:t>’</w:t>
      </w:r>
      <w:r w:rsidRPr="00A751DD">
        <w:rPr>
          <w:bCs/>
        </w:rPr>
        <w:t>incapacité de jouir effectivement de son droit d</w:t>
      </w:r>
      <w:r>
        <w:rPr>
          <w:bCs/>
        </w:rPr>
        <w:t>’</w:t>
      </w:r>
      <w:r w:rsidRPr="00A751DD">
        <w:rPr>
          <w:bCs/>
        </w:rPr>
        <w:t>acquérir une nationalité en tant que mineur.</w:t>
      </w:r>
    </w:p>
    <w:p w14:paraId="7CFE87FC" w14:textId="77777777" w:rsidR="00C66C9A" w:rsidRPr="00812A02" w:rsidRDefault="00C66C9A" w:rsidP="00C66C9A">
      <w:pPr>
        <w:pStyle w:val="SingleTxtG"/>
      </w:pPr>
      <w:r w:rsidRPr="00812A02">
        <w:t>4.2</w:t>
      </w:r>
      <w:r w:rsidRPr="00812A02">
        <w:tab/>
        <w:t>L</w:t>
      </w:r>
      <w:r>
        <w:t>’</w:t>
      </w:r>
      <w:r w:rsidRPr="00812A02">
        <w:t>État partie in</w:t>
      </w:r>
      <w:r>
        <w:t>forme le Comité</w:t>
      </w:r>
      <w:r w:rsidRPr="00812A02">
        <w:t xml:space="preserve"> que deux projets de loi sont en cours d</w:t>
      </w:r>
      <w:r>
        <w:t>’</w:t>
      </w:r>
      <w:r w:rsidRPr="00812A02">
        <w:t>élaboration</w:t>
      </w:r>
      <w:r>
        <w:t> ; ils</w:t>
      </w:r>
      <w:r w:rsidRPr="00812A02">
        <w:t xml:space="preserve"> visent à </w:t>
      </w:r>
      <w:r>
        <w:t>établir</w:t>
      </w:r>
      <w:r w:rsidRPr="00812A02">
        <w:t xml:space="preserve"> une procédure </w:t>
      </w:r>
      <w:r>
        <w:t>de</w:t>
      </w:r>
      <w:r w:rsidRPr="00812A02">
        <w:t xml:space="preserve"> détermin</w:t>
      </w:r>
      <w:r>
        <w:t xml:space="preserve">ation du </w:t>
      </w:r>
      <w:r w:rsidRPr="00812A02">
        <w:t>statut d</w:t>
      </w:r>
      <w:r>
        <w:t>’</w:t>
      </w:r>
      <w:r w:rsidRPr="00812A02">
        <w:t xml:space="preserve">apatride et </w:t>
      </w:r>
      <w:r>
        <w:t>à donner</w:t>
      </w:r>
      <w:r w:rsidRPr="00812A02">
        <w:t xml:space="preserve"> aux enfants qui sont nés apatrides aux Pays-Bas et qui ne résident pas légalement dans l</w:t>
      </w:r>
      <w:r>
        <w:t>’</w:t>
      </w:r>
      <w:r w:rsidRPr="00812A02">
        <w:t xml:space="preserve">État partie </w:t>
      </w:r>
      <w:r>
        <w:t xml:space="preserve">la possibilité </w:t>
      </w:r>
      <w:r w:rsidRPr="00812A02">
        <w:t>d</w:t>
      </w:r>
      <w:r>
        <w:t>’</w:t>
      </w:r>
      <w:r w:rsidRPr="00812A02">
        <w:t>acquérir la nationalité néerlandaise, à certaines conditions. L</w:t>
      </w:r>
      <w:r>
        <w:t>’</w:t>
      </w:r>
      <w:r w:rsidRPr="00812A02">
        <w:t>État partie se dit en outre disposé à offrir à l</w:t>
      </w:r>
      <w:r>
        <w:t>’</w:t>
      </w:r>
      <w:r w:rsidRPr="00812A02">
        <w:t>auteur une indemnisation de 3</w:t>
      </w:r>
      <w:r w:rsidR="002279C6">
        <w:t> </w:t>
      </w:r>
      <w:r w:rsidRPr="00812A02">
        <w:t>000</w:t>
      </w:r>
      <w:r w:rsidR="002279C6">
        <w:t> </w:t>
      </w:r>
      <w:r w:rsidRPr="00812A02">
        <w:t xml:space="preserve">euros et </w:t>
      </w:r>
      <w:r>
        <w:t>à</w:t>
      </w:r>
      <w:r w:rsidRPr="00812A02">
        <w:t xml:space="preserve"> lui rembourser tous les frais et dépenses encourus dans le cadre de la procédure intentée devant le Comité, sous réserve que ceux-ci soient dûment détaillés et raisonnables.</w:t>
      </w:r>
    </w:p>
    <w:p w14:paraId="4BB3B9EB" w14:textId="77777777" w:rsidR="00C66C9A" w:rsidRPr="00812A02" w:rsidRDefault="002279C6" w:rsidP="002279C6">
      <w:pPr>
        <w:pStyle w:val="H23G"/>
      </w:pPr>
      <w:r>
        <w:tab/>
      </w:r>
      <w:r>
        <w:tab/>
      </w:r>
      <w:r w:rsidR="00C66C9A" w:rsidRPr="00812A02">
        <w:t>Commentaires de l</w:t>
      </w:r>
      <w:r w:rsidR="00C66C9A">
        <w:t>’</w:t>
      </w:r>
      <w:r w:rsidR="00C66C9A" w:rsidRPr="00812A02">
        <w:t>auteur sur les observations de l</w:t>
      </w:r>
      <w:r w:rsidR="00C66C9A">
        <w:t>’</w:t>
      </w:r>
      <w:r w:rsidR="00C66C9A" w:rsidRPr="00812A02">
        <w:t>État partie</w:t>
      </w:r>
    </w:p>
    <w:p w14:paraId="48F05173" w14:textId="77777777" w:rsidR="00C66C9A" w:rsidRPr="00812A02" w:rsidRDefault="00C66C9A" w:rsidP="00C66C9A">
      <w:pPr>
        <w:pStyle w:val="SingleTxtG"/>
        <w:rPr>
          <w:iCs/>
        </w:rPr>
      </w:pPr>
      <w:r w:rsidRPr="00812A02">
        <w:t>5.1</w:t>
      </w:r>
      <w:r w:rsidRPr="00812A02">
        <w:tab/>
        <w:t>Le 8</w:t>
      </w:r>
      <w:r w:rsidRPr="00584D66">
        <w:t> </w:t>
      </w:r>
      <w:r w:rsidRPr="00812A02">
        <w:t>septembre 2017, l</w:t>
      </w:r>
      <w:r>
        <w:t>’</w:t>
      </w:r>
      <w:r w:rsidRPr="00812A02">
        <w:t>auteur a fait part de ses commentaires sur les observations de l</w:t>
      </w:r>
      <w:r>
        <w:t>’</w:t>
      </w:r>
      <w:r w:rsidRPr="00812A02">
        <w:t>État partie. Il répète que l</w:t>
      </w:r>
      <w:r>
        <w:t>’</w:t>
      </w:r>
      <w:r w:rsidRPr="00812A02">
        <w:t>État partie devrait assumer l</w:t>
      </w:r>
      <w:r>
        <w:t>’</w:t>
      </w:r>
      <w:r w:rsidRPr="00812A02">
        <w:t>entière responsabilité des violations commises à son égard, l</w:t>
      </w:r>
      <w:r>
        <w:t>e considérer comme un citoyen</w:t>
      </w:r>
      <w:r w:rsidRPr="00812A02">
        <w:t xml:space="preserve"> néerlandais, l</w:t>
      </w:r>
      <w:r>
        <w:t>’</w:t>
      </w:r>
      <w:r w:rsidRPr="00812A02">
        <w:t>indemniser dûment pour le préjudice subi et établir</w:t>
      </w:r>
      <w:r>
        <w:t>,</w:t>
      </w:r>
      <w:r w:rsidRPr="00812A02">
        <w:t xml:space="preserve"> dans sa législation</w:t>
      </w:r>
      <w:r>
        <w:t>,</w:t>
      </w:r>
      <w:r w:rsidRPr="00812A02">
        <w:t xml:space="preserve"> une procédure permanente permettant aux personnes qui se trouvent dans son cas de se voir reconnaître le statut d</w:t>
      </w:r>
      <w:r>
        <w:t>’</w:t>
      </w:r>
      <w:r w:rsidRPr="00812A02">
        <w:t>apatride et d</w:t>
      </w:r>
      <w:r>
        <w:t>’</w:t>
      </w:r>
      <w:r w:rsidRPr="00812A02">
        <w:t xml:space="preserve">acquérir la nationalité néerlandaise. </w:t>
      </w:r>
      <w:r>
        <w:t>Il ajoute</w:t>
      </w:r>
      <w:r w:rsidRPr="00812A02">
        <w:t xml:space="preserve"> que </w:t>
      </w:r>
      <w:r>
        <w:t>bien que</w:t>
      </w:r>
      <w:r w:rsidRPr="00812A02">
        <w:t xml:space="preserve"> l</w:t>
      </w:r>
      <w:r>
        <w:t>’</w:t>
      </w:r>
      <w:r w:rsidRPr="00812A02">
        <w:t>État partie reconna</w:t>
      </w:r>
      <w:r>
        <w:t>isse</w:t>
      </w:r>
      <w:r w:rsidRPr="00812A02">
        <w:t xml:space="preserve"> </w:t>
      </w:r>
      <w:r>
        <w:t>que les droits de l’auteur ont été violés</w:t>
      </w:r>
      <w:r w:rsidRPr="00812A02">
        <w:t xml:space="preserve">, </w:t>
      </w:r>
      <w:r>
        <w:t>il n’</w:t>
      </w:r>
      <w:r w:rsidRPr="00812A02">
        <w:t>adm</w:t>
      </w:r>
      <w:r>
        <w:t>et pas suffisamment sa</w:t>
      </w:r>
      <w:r w:rsidRPr="00812A02">
        <w:t xml:space="preserve"> responsabilité </w:t>
      </w:r>
      <w:r>
        <w:t>dans la réponse. En effet</w:t>
      </w:r>
      <w:r w:rsidRPr="00A751DD">
        <w:t> :</w:t>
      </w:r>
      <w:r w:rsidRPr="00812A02">
        <w:t xml:space="preserve"> </w:t>
      </w:r>
      <w:r>
        <w:t>a</w:t>
      </w:r>
      <w:r w:rsidRPr="00812A02">
        <w:t>)</w:t>
      </w:r>
      <w:r>
        <w:t> </w:t>
      </w:r>
      <w:r w:rsidRPr="00812A02">
        <w:t>l</w:t>
      </w:r>
      <w:r>
        <w:t>’</w:t>
      </w:r>
      <w:r w:rsidRPr="00812A02">
        <w:t>État partie d</w:t>
      </w:r>
      <w:r>
        <w:t>o</w:t>
      </w:r>
      <w:r w:rsidRPr="00812A02">
        <w:t xml:space="preserve">it </w:t>
      </w:r>
      <w:r>
        <w:t>admettre</w:t>
      </w:r>
      <w:r w:rsidRPr="00812A02">
        <w:t xml:space="preserve"> clairement et sans équivoque toutes les violations commises </w:t>
      </w:r>
      <w:r>
        <w:t>ainsi que</w:t>
      </w:r>
      <w:r w:rsidRPr="00812A02">
        <w:t xml:space="preserve"> sa responsabilité dans ces violations</w:t>
      </w:r>
      <w:r>
        <w:t>, et ne peut se contenter d’une vague déclaration selon laquelle une violation non précisée a eu lieu ;</w:t>
      </w:r>
      <w:r w:rsidRPr="00812A02">
        <w:t xml:space="preserve"> </w:t>
      </w:r>
      <w:r>
        <w:t>b</w:t>
      </w:r>
      <w:r w:rsidRPr="00812A02">
        <w:t>)</w:t>
      </w:r>
      <w:r>
        <w:t> </w:t>
      </w:r>
      <w:r w:rsidRPr="00812A02">
        <w:t>la réparation individuelle proposée est insuffisante, l</w:t>
      </w:r>
      <w:r>
        <w:t>’</w:t>
      </w:r>
      <w:r w:rsidRPr="00812A02">
        <w:t xml:space="preserve">État partie </w:t>
      </w:r>
      <w:r w:rsidRPr="00812A02">
        <w:rPr>
          <w:iCs/>
        </w:rPr>
        <w:t>offrant à l</w:t>
      </w:r>
      <w:r>
        <w:rPr>
          <w:iCs/>
        </w:rPr>
        <w:t>’</w:t>
      </w:r>
      <w:r w:rsidRPr="00812A02">
        <w:rPr>
          <w:iCs/>
        </w:rPr>
        <w:t xml:space="preserve">auteur </w:t>
      </w:r>
      <w:r w:rsidRPr="00812A02">
        <w:t>une indemnisation de 3</w:t>
      </w:r>
      <w:r w:rsidR="00FF2EDE">
        <w:t> </w:t>
      </w:r>
      <w:r w:rsidRPr="00812A02">
        <w:t>000</w:t>
      </w:r>
      <w:r w:rsidR="00FF2EDE">
        <w:t> </w:t>
      </w:r>
      <w:r w:rsidRPr="00812A02">
        <w:t>euros</w:t>
      </w:r>
      <w:r>
        <w:t>,</w:t>
      </w:r>
      <w:r w:rsidRPr="00812A02">
        <w:t xml:space="preserve"> sans rien d</w:t>
      </w:r>
      <w:r>
        <w:t>’autre de</w:t>
      </w:r>
      <w:r w:rsidRPr="00812A02">
        <w:t xml:space="preserve"> concr</w:t>
      </w:r>
      <w:r>
        <w:t>e</w:t>
      </w:r>
      <w:r w:rsidRPr="00812A02">
        <w:t>t</w:t>
      </w:r>
      <w:r>
        <w:t>, et sans</w:t>
      </w:r>
      <w:r w:rsidRPr="00812A02">
        <w:t xml:space="preserve"> garantie qu</w:t>
      </w:r>
      <w:r>
        <w:t>’</w:t>
      </w:r>
      <w:r w:rsidRPr="00812A02">
        <w:t>il obtiendra la nationalité néerlandaise ni même qu</w:t>
      </w:r>
      <w:r>
        <w:t>’</w:t>
      </w:r>
      <w:r w:rsidRPr="00812A02">
        <w:t>il sera enregistré comme apatride</w:t>
      </w:r>
      <w:r>
        <w:t> ;</w:t>
      </w:r>
      <w:r w:rsidRPr="00812A02">
        <w:t xml:space="preserve"> </w:t>
      </w:r>
      <w:r>
        <w:t>c</w:t>
      </w:r>
      <w:r w:rsidRPr="00812A02">
        <w:t>)</w:t>
      </w:r>
      <w:r w:rsidRPr="00584D66">
        <w:t> </w:t>
      </w:r>
      <w:r w:rsidRPr="00812A02">
        <w:t>la</w:t>
      </w:r>
      <w:r>
        <w:t xml:space="preserve"> </w:t>
      </w:r>
      <w:r w:rsidRPr="00812A02">
        <w:t xml:space="preserve">réparation générale proposée </w:t>
      </w:r>
      <w:r>
        <w:t xml:space="preserve">par l’État partie </w:t>
      </w:r>
      <w:r w:rsidRPr="00812A02">
        <w:rPr>
          <w:iCs/>
        </w:rPr>
        <w:t>n</w:t>
      </w:r>
      <w:r>
        <w:rPr>
          <w:iCs/>
        </w:rPr>
        <w:t>’</w:t>
      </w:r>
      <w:r w:rsidRPr="00812A02">
        <w:rPr>
          <w:iCs/>
        </w:rPr>
        <w:t>offre pas de garantie de non-répétition.</w:t>
      </w:r>
      <w:r w:rsidRPr="00812A02">
        <w:rPr>
          <w:i/>
          <w:iCs/>
        </w:rPr>
        <w:t xml:space="preserve"> </w:t>
      </w:r>
      <w:r w:rsidRPr="00812A02">
        <w:rPr>
          <w:iCs/>
        </w:rPr>
        <w:t>Selon l</w:t>
      </w:r>
      <w:r>
        <w:rPr>
          <w:iCs/>
        </w:rPr>
        <w:t>’</w:t>
      </w:r>
      <w:r w:rsidRPr="00812A02">
        <w:rPr>
          <w:iCs/>
        </w:rPr>
        <w:t xml:space="preserve">auteur, le Comité devrait par conséquent procéder à un examen approfondi de la communication, </w:t>
      </w:r>
      <w:r>
        <w:rPr>
          <w:iCs/>
        </w:rPr>
        <w:t>en particulier au regard</w:t>
      </w:r>
      <w:r w:rsidRPr="00812A02">
        <w:rPr>
          <w:iCs/>
        </w:rPr>
        <w:t xml:space="preserve"> des obligations positives qui incombent à l</w:t>
      </w:r>
      <w:r>
        <w:rPr>
          <w:iCs/>
        </w:rPr>
        <w:t>’</w:t>
      </w:r>
      <w:r w:rsidRPr="00812A02">
        <w:rPr>
          <w:iCs/>
        </w:rPr>
        <w:t xml:space="preserve">État partie </w:t>
      </w:r>
      <w:r>
        <w:rPr>
          <w:iCs/>
        </w:rPr>
        <w:t xml:space="preserve">en application du </w:t>
      </w:r>
      <w:r w:rsidRPr="00812A02">
        <w:rPr>
          <w:iCs/>
        </w:rPr>
        <w:t>paragraphe</w:t>
      </w:r>
      <w:r>
        <w:rPr>
          <w:iCs/>
        </w:rPr>
        <w:t> </w:t>
      </w:r>
      <w:r w:rsidRPr="00812A02">
        <w:rPr>
          <w:iCs/>
        </w:rPr>
        <w:t>2 de l</w:t>
      </w:r>
      <w:r>
        <w:rPr>
          <w:iCs/>
        </w:rPr>
        <w:t>’</w:t>
      </w:r>
      <w:r w:rsidRPr="00812A02">
        <w:rPr>
          <w:iCs/>
        </w:rPr>
        <w:t>article</w:t>
      </w:r>
      <w:r w:rsidR="002279C6">
        <w:rPr>
          <w:iCs/>
        </w:rPr>
        <w:t> </w:t>
      </w:r>
      <w:r w:rsidRPr="00812A02">
        <w:rPr>
          <w:iCs/>
        </w:rPr>
        <w:t>2 du Pacte</w:t>
      </w:r>
      <w:r>
        <w:rPr>
          <w:iCs/>
        </w:rPr>
        <w:t>,</w:t>
      </w:r>
      <w:r w:rsidRPr="00812A02">
        <w:rPr>
          <w:iCs/>
        </w:rPr>
        <w:t xml:space="preserve"> de </w:t>
      </w:r>
      <w:r>
        <w:rPr>
          <w:iCs/>
        </w:rPr>
        <w:t>prendre</w:t>
      </w:r>
      <w:r w:rsidRPr="00812A02">
        <w:rPr>
          <w:iCs/>
        </w:rPr>
        <w:t xml:space="preserve"> des </w:t>
      </w:r>
      <w:r>
        <w:rPr>
          <w:iCs/>
        </w:rPr>
        <w:t>mesures pour lutter</w:t>
      </w:r>
      <w:r w:rsidRPr="00812A02">
        <w:rPr>
          <w:iCs/>
        </w:rPr>
        <w:t xml:space="preserve"> contre l</w:t>
      </w:r>
      <w:r>
        <w:rPr>
          <w:iCs/>
        </w:rPr>
        <w:t>’</w:t>
      </w:r>
      <w:r w:rsidRPr="00812A02">
        <w:rPr>
          <w:iCs/>
        </w:rPr>
        <w:t>apatridie chez l</w:t>
      </w:r>
      <w:r>
        <w:rPr>
          <w:iCs/>
        </w:rPr>
        <w:t>’</w:t>
      </w:r>
      <w:r w:rsidRPr="00812A02">
        <w:rPr>
          <w:iCs/>
        </w:rPr>
        <w:t>enfant</w:t>
      </w:r>
      <w:r>
        <w:rPr>
          <w:iCs/>
        </w:rPr>
        <w:t>,</w:t>
      </w:r>
      <w:r w:rsidRPr="00812A02">
        <w:rPr>
          <w:iCs/>
        </w:rPr>
        <w:t xml:space="preserve"> </w:t>
      </w:r>
      <w:r>
        <w:rPr>
          <w:iCs/>
        </w:rPr>
        <w:t>et du</w:t>
      </w:r>
      <w:r w:rsidRPr="00812A02">
        <w:rPr>
          <w:iCs/>
        </w:rPr>
        <w:t xml:space="preserve"> paragraphe</w:t>
      </w:r>
      <w:r w:rsidR="002279C6">
        <w:rPr>
          <w:iCs/>
        </w:rPr>
        <w:t> </w:t>
      </w:r>
      <w:r w:rsidRPr="00812A02">
        <w:rPr>
          <w:iCs/>
        </w:rPr>
        <w:t xml:space="preserve">3 de </w:t>
      </w:r>
      <w:r>
        <w:rPr>
          <w:iCs/>
        </w:rPr>
        <w:t xml:space="preserve">ce même </w:t>
      </w:r>
      <w:r w:rsidRPr="00812A02">
        <w:rPr>
          <w:iCs/>
        </w:rPr>
        <w:t>article</w:t>
      </w:r>
      <w:r>
        <w:rPr>
          <w:iCs/>
        </w:rPr>
        <w:t>,</w:t>
      </w:r>
      <w:r w:rsidRPr="00812A02">
        <w:rPr>
          <w:iCs/>
        </w:rPr>
        <w:t xml:space="preserve"> d</w:t>
      </w:r>
      <w:r>
        <w:rPr>
          <w:iCs/>
        </w:rPr>
        <w:t>’</w:t>
      </w:r>
      <w:r w:rsidRPr="00812A02">
        <w:rPr>
          <w:iCs/>
        </w:rPr>
        <w:t>offrir des recours si des cas d</w:t>
      </w:r>
      <w:r>
        <w:rPr>
          <w:iCs/>
        </w:rPr>
        <w:t>’</w:t>
      </w:r>
      <w:r w:rsidRPr="00812A02">
        <w:rPr>
          <w:iCs/>
        </w:rPr>
        <w:t>apatridie se produisaient néanmoins.</w:t>
      </w:r>
    </w:p>
    <w:p w14:paraId="467183E4" w14:textId="77777777" w:rsidR="00C66C9A" w:rsidRPr="00812A02" w:rsidRDefault="00C66C9A" w:rsidP="00C66C9A">
      <w:pPr>
        <w:pStyle w:val="SingleTxtG"/>
        <w:rPr>
          <w:i/>
          <w:iCs/>
        </w:rPr>
      </w:pPr>
      <w:r w:rsidRPr="00812A02">
        <w:t>5.2</w:t>
      </w:r>
      <w:r w:rsidRPr="00812A02">
        <w:tab/>
        <w:t>L</w:t>
      </w:r>
      <w:r>
        <w:t>’</w:t>
      </w:r>
      <w:r w:rsidRPr="00812A02">
        <w:t>auteur dit que, pour être effectivement rétabli dans ses droits conformément au principe de l</w:t>
      </w:r>
      <w:r>
        <w:t>’</w:t>
      </w:r>
      <w:r w:rsidRPr="00812A02">
        <w:t>intérêt supérieur de l</w:t>
      </w:r>
      <w:r>
        <w:t>’</w:t>
      </w:r>
      <w:r w:rsidRPr="00812A02">
        <w:t>enfant</w:t>
      </w:r>
      <w:r w:rsidRPr="00A751DD">
        <w:t> :</w:t>
      </w:r>
      <w:r w:rsidRPr="00812A02">
        <w:t xml:space="preserve"> </w:t>
      </w:r>
      <w:r>
        <w:t>a</w:t>
      </w:r>
      <w:r w:rsidRPr="00812A02">
        <w:t>)</w:t>
      </w:r>
      <w:r>
        <w:t> </w:t>
      </w:r>
      <w:r w:rsidRPr="00812A02">
        <w:t xml:space="preserve">il devrait </w:t>
      </w:r>
      <w:r>
        <w:t>être</w:t>
      </w:r>
      <w:r w:rsidRPr="00812A02">
        <w:t xml:space="preserve"> reconn</w:t>
      </w:r>
      <w:r>
        <w:t>u et traité comme s’il avait</w:t>
      </w:r>
      <w:r w:rsidRPr="00812A02">
        <w:t xml:space="preserve"> le statut « autrement apatride de naissance », ce qui lui donnerait droit à un permis de séjour avec effet rétroactif à compter de sa naissance et lui permettrait de demander immédiatement la nationalité néerlandaise via une procédure accélérée</w:t>
      </w:r>
      <w:r>
        <w:t> ;</w:t>
      </w:r>
      <w:r w:rsidRPr="00812A02">
        <w:t xml:space="preserve"> </w:t>
      </w:r>
      <w:r>
        <w:t>b</w:t>
      </w:r>
      <w:r w:rsidRPr="00812A02">
        <w:t>)</w:t>
      </w:r>
      <w:r>
        <w:t> </w:t>
      </w:r>
      <w:r w:rsidRPr="00812A02">
        <w:t xml:space="preserve">il devrait pouvoir </w:t>
      </w:r>
      <w:r>
        <w:t>quitter le</w:t>
      </w:r>
      <w:r w:rsidRPr="00812A02">
        <w:t xml:space="preserve"> centre de liberté restreinte</w:t>
      </w:r>
      <w:r>
        <w:t xml:space="preserve"> avec sa famille ;</w:t>
      </w:r>
      <w:r w:rsidRPr="00812A02">
        <w:rPr>
          <w:iCs/>
        </w:rPr>
        <w:t xml:space="preserve"> </w:t>
      </w:r>
      <w:r>
        <w:rPr>
          <w:iCs/>
        </w:rPr>
        <w:t>c</w:t>
      </w:r>
      <w:r w:rsidRPr="00812A02">
        <w:rPr>
          <w:iCs/>
        </w:rPr>
        <w:t>)</w:t>
      </w:r>
      <w:r>
        <w:rPr>
          <w:iCs/>
        </w:rPr>
        <w:t xml:space="preserve"> il devrait recevoir </w:t>
      </w:r>
      <w:r w:rsidRPr="00812A02">
        <w:rPr>
          <w:iCs/>
        </w:rPr>
        <w:t xml:space="preserve">une indemnisation monétaire de </w:t>
      </w:r>
      <w:r w:rsidRPr="00812A02">
        <w:lastRenderedPageBreak/>
        <w:t>25</w:t>
      </w:r>
      <w:r w:rsidR="002279C6">
        <w:t> </w:t>
      </w:r>
      <w:r w:rsidRPr="00812A02">
        <w:t>000</w:t>
      </w:r>
      <w:r w:rsidR="002279C6">
        <w:t> </w:t>
      </w:r>
      <w:r w:rsidRPr="00812A02">
        <w:t xml:space="preserve">euros, </w:t>
      </w:r>
      <w:r>
        <w:t>qui refléterait bien l’ampleur</w:t>
      </w:r>
      <w:r w:rsidRPr="00812A02">
        <w:t xml:space="preserve"> du préjudice qu</w:t>
      </w:r>
      <w:r>
        <w:t>’</w:t>
      </w:r>
      <w:r w:rsidRPr="00812A02">
        <w:t>il a subi</w:t>
      </w:r>
      <w:r w:rsidRPr="007F2E6C">
        <w:rPr>
          <w:rStyle w:val="Appelnotedebasdep"/>
        </w:rPr>
        <w:footnoteReference w:id="10"/>
      </w:r>
      <w:r>
        <w:t> ;</w:t>
      </w:r>
      <w:r w:rsidRPr="00812A02">
        <w:t xml:space="preserve"> </w:t>
      </w:r>
      <w:r>
        <w:t>d</w:t>
      </w:r>
      <w:r w:rsidRPr="00812A02">
        <w:t>)</w:t>
      </w:r>
      <w:r>
        <w:t> </w:t>
      </w:r>
      <w:r w:rsidRPr="00812A02">
        <w:t xml:space="preserve">des mesures générales devraient être prises pour </w:t>
      </w:r>
      <w:r>
        <w:t>remédier aux</w:t>
      </w:r>
      <w:r w:rsidRPr="00812A02">
        <w:t xml:space="preserve"> violations présentes et futures du droit à la </w:t>
      </w:r>
      <w:r w:rsidRPr="00812A02">
        <w:rPr>
          <w:iCs/>
        </w:rPr>
        <w:t>nationalité garanti par le Pacte</w:t>
      </w:r>
      <w:r w:rsidRPr="00812A02">
        <w:rPr>
          <w:i/>
          <w:iCs/>
        </w:rPr>
        <w:t>.</w:t>
      </w:r>
    </w:p>
    <w:p w14:paraId="0BDD96E0" w14:textId="77777777" w:rsidR="00C66C9A" w:rsidRPr="00812A02" w:rsidRDefault="00C66C9A" w:rsidP="00C66C9A">
      <w:pPr>
        <w:pStyle w:val="SingleTxtG"/>
      </w:pPr>
      <w:r w:rsidRPr="00812A02">
        <w:t>5.3</w:t>
      </w:r>
      <w:r w:rsidRPr="00812A02">
        <w:tab/>
        <w:t>L</w:t>
      </w:r>
      <w:r>
        <w:t>’</w:t>
      </w:r>
      <w:r w:rsidRPr="00812A02">
        <w:t>auteur dit que pour s</w:t>
      </w:r>
      <w:r>
        <w:t>’</w:t>
      </w:r>
      <w:r w:rsidRPr="00812A02">
        <w:t>acquitter de ses obligations au titre du Pacte, l</w:t>
      </w:r>
      <w:r>
        <w:t>’</w:t>
      </w:r>
      <w:r w:rsidRPr="00812A02">
        <w:t>État partie devrait établir dans sa législation un cadre accessible et efficace pour la détermination du statut d</w:t>
      </w:r>
      <w:r>
        <w:t>’</w:t>
      </w:r>
      <w:r w:rsidRPr="00812A02">
        <w:t>apatride, présentant les caractéristiques suivantes</w:t>
      </w:r>
      <w:r w:rsidRPr="00A751DD">
        <w:t> :</w:t>
      </w:r>
      <w:r w:rsidRPr="00812A02">
        <w:t xml:space="preserve"> </w:t>
      </w:r>
      <w:r>
        <w:t>a</w:t>
      </w:r>
      <w:r w:rsidRPr="00812A02">
        <w:t>)</w:t>
      </w:r>
      <w:r>
        <w:t> l’</w:t>
      </w:r>
      <w:r w:rsidRPr="00812A02">
        <w:t>intérêt supérieur de</w:t>
      </w:r>
      <w:r>
        <w:t xml:space="preserve"> l’</w:t>
      </w:r>
      <w:r w:rsidRPr="00812A02">
        <w:t xml:space="preserve">enfant devrait </w:t>
      </w:r>
      <w:r>
        <w:t>être la</w:t>
      </w:r>
      <w:r w:rsidRPr="00812A02">
        <w:t xml:space="preserve"> </w:t>
      </w:r>
      <w:r>
        <w:t xml:space="preserve">première </w:t>
      </w:r>
      <w:r w:rsidRPr="00812A02">
        <w:t xml:space="preserve">considération </w:t>
      </w:r>
      <w:r>
        <w:t>à prendre en compte</w:t>
      </w:r>
      <w:r w:rsidRPr="00812A02">
        <w:t xml:space="preserve"> dans toute action ou décision </w:t>
      </w:r>
      <w:r>
        <w:t>touchant un enfant</w:t>
      </w:r>
      <w:r w:rsidRPr="00812A02">
        <w:t xml:space="preserve"> </w:t>
      </w:r>
      <w:r>
        <w:t>et,</w:t>
      </w:r>
      <w:r w:rsidRPr="00812A02">
        <w:t xml:space="preserve"> en particulier</w:t>
      </w:r>
      <w:r>
        <w:t>,</w:t>
      </w:r>
      <w:r w:rsidRPr="00812A02">
        <w:t xml:space="preserve"> des garanties </w:t>
      </w:r>
      <w:r>
        <w:t xml:space="preserve">doivent s’appliquer </w:t>
      </w:r>
      <w:r w:rsidRPr="00812A02">
        <w:t>pour empêcher l</w:t>
      </w:r>
      <w:r>
        <w:t>’</w:t>
      </w:r>
      <w:r w:rsidRPr="00812A02">
        <w:t>apatridie</w:t>
      </w:r>
      <w:r w:rsidRPr="007F2E6C">
        <w:rPr>
          <w:rStyle w:val="Appelnotedebasdep"/>
        </w:rPr>
        <w:footnoteReference w:id="11"/>
      </w:r>
      <w:r>
        <w:t> ;</w:t>
      </w:r>
      <w:r w:rsidRPr="00812A02">
        <w:t xml:space="preserve"> </w:t>
      </w:r>
      <w:r>
        <w:t>b</w:t>
      </w:r>
      <w:r w:rsidRPr="00812A02">
        <w:t>)</w:t>
      </w:r>
      <w:r>
        <w:t> </w:t>
      </w:r>
      <w:r w:rsidRPr="00812A02">
        <w:t>les enfants devraient avoir accès à une procédure de détermination de l</w:t>
      </w:r>
      <w:r>
        <w:t>’</w:t>
      </w:r>
      <w:r w:rsidRPr="00812A02">
        <w:t>apatridie et leurs demandes devraient être examinées quel que soit le statut migratoire de leurs parents</w:t>
      </w:r>
      <w:r w:rsidRPr="007F2E6C">
        <w:rPr>
          <w:rStyle w:val="Appelnotedebasdep"/>
        </w:rPr>
        <w:footnoteReference w:id="12"/>
      </w:r>
      <w:r>
        <w:t> ;</w:t>
      </w:r>
      <w:r w:rsidRPr="00812A02">
        <w:t xml:space="preserve"> </w:t>
      </w:r>
      <w:r>
        <w:t>c</w:t>
      </w:r>
      <w:r w:rsidRPr="00812A02">
        <w:t>)</w:t>
      </w:r>
      <w:r>
        <w:t> </w:t>
      </w:r>
      <w:r w:rsidRPr="00812A02">
        <w:t xml:space="preserve">cette procédure devrait être accessible à toute personne, </w:t>
      </w:r>
      <w:r>
        <w:t>que son séjour</w:t>
      </w:r>
      <w:r w:rsidRPr="00812A02">
        <w:t xml:space="preserve"> dans l</w:t>
      </w:r>
      <w:r>
        <w:t>’</w:t>
      </w:r>
      <w:r w:rsidRPr="00812A02">
        <w:t>État partie</w:t>
      </w:r>
      <w:r>
        <w:t xml:space="preserve"> soit légal ou non</w:t>
      </w:r>
      <w:r w:rsidRPr="007F2E6C">
        <w:rPr>
          <w:rStyle w:val="Appelnotedebasdep"/>
        </w:rPr>
        <w:footnoteReference w:id="13"/>
      </w:r>
      <w:r>
        <w:t> ;</w:t>
      </w:r>
      <w:r w:rsidRPr="00812A02">
        <w:t xml:space="preserve"> </w:t>
      </w:r>
      <w:r>
        <w:t>d</w:t>
      </w:r>
      <w:r w:rsidRPr="00812A02">
        <w:t>)</w:t>
      </w:r>
      <w:r>
        <w:t> </w:t>
      </w:r>
      <w:r w:rsidRPr="00812A02">
        <w:t>les autorités responsables de la détermination du statut d</w:t>
      </w:r>
      <w:r>
        <w:t>’</w:t>
      </w:r>
      <w:r w:rsidRPr="00812A02">
        <w:t xml:space="preserve">apatride devraient recevoir une formation et un appui, notamment une formation spécialisée sur le droit de </w:t>
      </w:r>
      <w:r>
        <w:t xml:space="preserve">la </w:t>
      </w:r>
      <w:r w:rsidRPr="00812A02">
        <w:t>nationalité, le droit international des droits de l</w:t>
      </w:r>
      <w:r>
        <w:t>’</w:t>
      </w:r>
      <w:r w:rsidRPr="00812A02">
        <w:t>homme et l</w:t>
      </w:r>
      <w:r>
        <w:t>’</w:t>
      </w:r>
      <w:r w:rsidRPr="00812A02">
        <w:t>apatridie</w:t>
      </w:r>
      <w:r w:rsidRPr="007F2E6C">
        <w:rPr>
          <w:rStyle w:val="Appelnotedebasdep"/>
        </w:rPr>
        <w:footnoteReference w:id="14"/>
      </w:r>
      <w:r>
        <w:t> ;</w:t>
      </w:r>
      <w:r w:rsidRPr="00812A02">
        <w:t xml:space="preserve"> </w:t>
      </w:r>
      <w:r>
        <w:t>e</w:t>
      </w:r>
      <w:r w:rsidRPr="00812A02">
        <w:t>)</w:t>
      </w:r>
      <w:r w:rsidR="00AD4C4F">
        <w:t> </w:t>
      </w:r>
      <w:r w:rsidRPr="00812A02">
        <w:t>la procédure devrait prévoir une approche de la preuve qui tienne compte des difficultés qu</w:t>
      </w:r>
      <w:r>
        <w:t>’</w:t>
      </w:r>
      <w:r w:rsidRPr="00812A02">
        <w:t>il y a à déterminer si une personne est ou non apatride</w:t>
      </w:r>
      <w:r w:rsidRPr="007F2E6C">
        <w:rPr>
          <w:rStyle w:val="Appelnotedebasdep"/>
        </w:rPr>
        <w:footnoteReference w:id="15"/>
      </w:r>
      <w:r>
        <w:t> ;</w:t>
      </w:r>
      <w:r w:rsidRPr="00812A02">
        <w:t xml:space="preserve"> </w:t>
      </w:r>
      <w:r>
        <w:t>f</w:t>
      </w:r>
      <w:r w:rsidRPr="00812A02">
        <w:t>)</w:t>
      </w:r>
      <w:r>
        <w:t> </w:t>
      </w:r>
      <w:r w:rsidRPr="00812A02">
        <w:t>aucun enfant ne devrait être enregistré pendant plus de cinq</w:t>
      </w:r>
      <w:r>
        <w:t xml:space="preserve"> </w:t>
      </w:r>
      <w:r w:rsidRPr="00812A02">
        <w:t>ans comme étant de nationalité</w:t>
      </w:r>
      <w:r>
        <w:t xml:space="preserve"> </w:t>
      </w:r>
      <w:r w:rsidRPr="00812A02">
        <w:t>inconnue ou indéterminée</w:t>
      </w:r>
      <w:r w:rsidRPr="007F2E6C">
        <w:rPr>
          <w:rStyle w:val="Appelnotedebasdep"/>
        </w:rPr>
        <w:footnoteReference w:id="16"/>
      </w:r>
      <w:r>
        <w:t> ;</w:t>
      </w:r>
      <w:r w:rsidRPr="00812A02">
        <w:t xml:space="preserve"> </w:t>
      </w:r>
      <w:r>
        <w:t>g</w:t>
      </w:r>
      <w:r w:rsidRPr="00812A02">
        <w:t>)</w:t>
      </w:r>
      <w:r>
        <w:t> </w:t>
      </w:r>
      <w:r w:rsidRPr="00812A02">
        <w:t xml:space="preserve">les personnes </w:t>
      </w:r>
      <w:r>
        <w:t>dont</w:t>
      </w:r>
      <w:r w:rsidRPr="00812A02">
        <w:t xml:space="preserve"> la nationalité </w:t>
      </w:r>
      <w:r>
        <w:t xml:space="preserve">est </w:t>
      </w:r>
      <w:r w:rsidRPr="00812A02">
        <w:t>indéterminée devaient bénéficier de mesures spéciales de protection</w:t>
      </w:r>
      <w:r>
        <w:t xml:space="preserve"> et</w:t>
      </w:r>
      <w:r w:rsidRPr="00812A02">
        <w:t xml:space="preserve"> les enfants nés sur le territoire de l</w:t>
      </w:r>
      <w:r>
        <w:t>’</w:t>
      </w:r>
      <w:r w:rsidRPr="00812A02">
        <w:t>État partie devraient être traités comme « apatrides » jusqu</w:t>
      </w:r>
      <w:r>
        <w:t>’</w:t>
      </w:r>
      <w:r w:rsidRPr="00812A02">
        <w:t>à ce qu</w:t>
      </w:r>
      <w:r>
        <w:t>’</w:t>
      </w:r>
      <w:r w:rsidRPr="00812A02">
        <w:t>une nationalité leur soit reconnue</w:t>
      </w:r>
      <w:r>
        <w:t>,</w:t>
      </w:r>
      <w:r w:rsidRPr="00812A02">
        <w:t xml:space="preserve"> et les personnes attendant qu</w:t>
      </w:r>
      <w:r>
        <w:t>’</w:t>
      </w:r>
      <w:r w:rsidRPr="00812A02">
        <w:t>il soit statué sur leur statut d</w:t>
      </w:r>
      <w:r>
        <w:t>’</w:t>
      </w:r>
      <w:r w:rsidRPr="00812A02">
        <w:t>apatride devraient obtenir automatiquement un permis de séjour pour la durée de la procédure.</w:t>
      </w:r>
    </w:p>
    <w:p w14:paraId="4EF1C912" w14:textId="77777777" w:rsidR="00C66C9A" w:rsidRPr="00584D66" w:rsidRDefault="00C66C9A" w:rsidP="002279C6">
      <w:pPr>
        <w:pStyle w:val="H23G"/>
      </w:pPr>
      <w:r w:rsidRPr="00584D66">
        <w:tab/>
      </w:r>
      <w:r w:rsidRPr="00584D66">
        <w:tab/>
        <w:t>Observations complémentaires de l</w:t>
      </w:r>
      <w:r>
        <w:t>’</w:t>
      </w:r>
      <w:r w:rsidRPr="00584D66">
        <w:t>État partie</w:t>
      </w:r>
    </w:p>
    <w:p w14:paraId="2CBB8C22" w14:textId="77777777" w:rsidR="00C66C9A" w:rsidRPr="00812A02" w:rsidRDefault="00C66C9A" w:rsidP="00C66C9A">
      <w:pPr>
        <w:pStyle w:val="SingleTxtG"/>
      </w:pPr>
      <w:r w:rsidRPr="00812A02">
        <w:t>6.</w:t>
      </w:r>
      <w:r w:rsidRPr="00812A02">
        <w:tab/>
        <w:t>Le 23</w:t>
      </w:r>
      <w:r w:rsidRPr="00584D66">
        <w:t> </w:t>
      </w:r>
      <w:r w:rsidRPr="00812A02">
        <w:t>avril 2018, l</w:t>
      </w:r>
      <w:r>
        <w:t>’</w:t>
      </w:r>
      <w:r w:rsidRPr="00812A02">
        <w:t>État partie a réitéré la position qu</w:t>
      </w:r>
      <w:r>
        <w:t>’</w:t>
      </w:r>
      <w:r w:rsidRPr="00812A02">
        <w:t>il avait exposée dans ses observations du 28</w:t>
      </w:r>
      <w:r w:rsidRPr="00584D66">
        <w:t> </w:t>
      </w:r>
      <w:r w:rsidRPr="00812A02">
        <w:t>juin 2017.</w:t>
      </w:r>
    </w:p>
    <w:p w14:paraId="31FBD0F7" w14:textId="77777777" w:rsidR="00C66C9A" w:rsidRPr="00584D66" w:rsidRDefault="00C66C9A" w:rsidP="002279C6">
      <w:pPr>
        <w:pStyle w:val="H23G"/>
      </w:pPr>
      <w:r w:rsidRPr="00584D66">
        <w:tab/>
      </w:r>
      <w:r w:rsidRPr="00584D66">
        <w:tab/>
        <w:t>Délibérations du Comité</w:t>
      </w:r>
    </w:p>
    <w:p w14:paraId="248C5AB1" w14:textId="77777777" w:rsidR="00C66C9A" w:rsidRPr="00584D66" w:rsidRDefault="00C66C9A" w:rsidP="002279C6">
      <w:pPr>
        <w:pStyle w:val="H4G"/>
      </w:pPr>
      <w:r w:rsidRPr="00584D66">
        <w:tab/>
      </w:r>
      <w:r w:rsidRPr="00584D66">
        <w:tab/>
        <w:t>Examen de la recevabilité</w:t>
      </w:r>
    </w:p>
    <w:p w14:paraId="377FEC4D" w14:textId="77777777" w:rsidR="00C66C9A" w:rsidRPr="00812A02" w:rsidRDefault="00C66C9A" w:rsidP="00C66C9A">
      <w:pPr>
        <w:pStyle w:val="SingleTxtG"/>
      </w:pPr>
      <w:r w:rsidRPr="00812A02">
        <w:t>7.1</w:t>
      </w:r>
      <w:r w:rsidRPr="00812A02">
        <w:tab/>
        <w:t>Avant d</w:t>
      </w:r>
      <w:r>
        <w:t>’</w:t>
      </w:r>
      <w:r w:rsidRPr="00812A02">
        <w:t>examiner tout grief formulé dans une communication, le Comité doit, conformément à l</w:t>
      </w:r>
      <w:r>
        <w:t>’</w:t>
      </w:r>
      <w:r w:rsidRPr="00812A02">
        <w:t>article</w:t>
      </w:r>
      <w:r w:rsidR="002279C6">
        <w:t> </w:t>
      </w:r>
      <w:r w:rsidRPr="00812A02">
        <w:t>97 de son règlement intérieur, déterminer si la communication est recevable au regard du Protocole facultatif.</w:t>
      </w:r>
    </w:p>
    <w:p w14:paraId="4199220F" w14:textId="77777777" w:rsidR="00C66C9A" w:rsidRPr="00812A02" w:rsidRDefault="00C66C9A" w:rsidP="00C66C9A">
      <w:pPr>
        <w:pStyle w:val="SingleTxtG"/>
      </w:pPr>
      <w:r w:rsidRPr="00812A02">
        <w:t>7.2</w:t>
      </w:r>
      <w:r w:rsidRPr="00812A02">
        <w:tab/>
        <w:t>Le Comité s</w:t>
      </w:r>
      <w:r>
        <w:t>’</w:t>
      </w:r>
      <w:r w:rsidRPr="00812A02">
        <w:t xml:space="preserve">est assuré, comme il est tenu de le faire conformément </w:t>
      </w:r>
      <w:r>
        <w:t xml:space="preserve">à </w:t>
      </w:r>
      <w:r w:rsidRPr="00812A02">
        <w:t>l</w:t>
      </w:r>
      <w:r>
        <w:t>’</w:t>
      </w:r>
      <w:r w:rsidRPr="00812A02">
        <w:t>article</w:t>
      </w:r>
      <w:r w:rsidR="002279C6">
        <w:t> </w:t>
      </w:r>
      <w:r w:rsidRPr="00812A02">
        <w:t>5</w:t>
      </w:r>
      <w:r>
        <w:t xml:space="preserve"> (par. 2 a))</w:t>
      </w:r>
      <w:r w:rsidRPr="00812A02">
        <w:t xml:space="preserve"> du Protocole facultatif, que la même question n</w:t>
      </w:r>
      <w:r>
        <w:t>’</w:t>
      </w:r>
      <w:r w:rsidRPr="00812A02">
        <w:t>était pas déjà en cours d</w:t>
      </w:r>
      <w:r>
        <w:t>’</w:t>
      </w:r>
      <w:r w:rsidRPr="00812A02">
        <w:t>examen devant une autre instance internationale d</w:t>
      </w:r>
      <w:r>
        <w:t>’</w:t>
      </w:r>
      <w:r w:rsidRPr="00812A02">
        <w:t>enquête ou de règlement.</w:t>
      </w:r>
    </w:p>
    <w:p w14:paraId="2ABC7C5B" w14:textId="77777777" w:rsidR="00C66C9A" w:rsidRPr="00812A02" w:rsidRDefault="00C66C9A" w:rsidP="00C66C9A">
      <w:pPr>
        <w:pStyle w:val="SingleTxtG"/>
        <w:rPr>
          <w:bCs/>
        </w:rPr>
      </w:pPr>
      <w:r w:rsidRPr="00812A02">
        <w:lastRenderedPageBreak/>
        <w:t>7.3</w:t>
      </w:r>
      <w:r w:rsidRPr="00812A02">
        <w:tab/>
      </w:r>
      <w:r w:rsidRPr="00812A02">
        <w:rPr>
          <w:bCs/>
        </w:rPr>
        <w:t>Le Comité prend note de l</w:t>
      </w:r>
      <w:r>
        <w:rPr>
          <w:bCs/>
        </w:rPr>
        <w:t>’</w:t>
      </w:r>
      <w:r w:rsidRPr="00812A02">
        <w:rPr>
          <w:bCs/>
        </w:rPr>
        <w:t>affirmation de l</w:t>
      </w:r>
      <w:r>
        <w:rPr>
          <w:bCs/>
        </w:rPr>
        <w:t>’</w:t>
      </w:r>
      <w:r w:rsidRPr="00812A02">
        <w:rPr>
          <w:bCs/>
        </w:rPr>
        <w:t>auteur disant qu</w:t>
      </w:r>
      <w:r>
        <w:rPr>
          <w:bCs/>
        </w:rPr>
        <w:t>’</w:t>
      </w:r>
      <w:r w:rsidRPr="00812A02">
        <w:rPr>
          <w:bCs/>
        </w:rPr>
        <w:t>il a épuisé tous les recours internes dont il disposait. En l</w:t>
      </w:r>
      <w:r>
        <w:rPr>
          <w:bCs/>
        </w:rPr>
        <w:t>’</w:t>
      </w:r>
      <w:r w:rsidRPr="00812A02">
        <w:rPr>
          <w:bCs/>
        </w:rPr>
        <w:t>absence de toute objection de la part de l</w:t>
      </w:r>
      <w:r>
        <w:rPr>
          <w:bCs/>
        </w:rPr>
        <w:t>’</w:t>
      </w:r>
      <w:r w:rsidRPr="00812A02">
        <w:rPr>
          <w:bCs/>
        </w:rPr>
        <w:t>État partie sur ce point, le Comité considère que les dispositions de l</w:t>
      </w:r>
      <w:r>
        <w:rPr>
          <w:bCs/>
        </w:rPr>
        <w:t>’</w:t>
      </w:r>
      <w:r w:rsidRPr="00812A02">
        <w:rPr>
          <w:bCs/>
        </w:rPr>
        <w:t>article</w:t>
      </w:r>
      <w:r w:rsidR="002279C6">
        <w:rPr>
          <w:bCs/>
        </w:rPr>
        <w:t> </w:t>
      </w:r>
      <w:r w:rsidRPr="00812A02">
        <w:rPr>
          <w:bCs/>
        </w:rPr>
        <w:t>5</w:t>
      </w:r>
      <w:r>
        <w:rPr>
          <w:bCs/>
        </w:rPr>
        <w:t xml:space="preserve"> (par. 2 b))</w:t>
      </w:r>
      <w:r w:rsidRPr="00812A02">
        <w:rPr>
          <w:bCs/>
        </w:rPr>
        <w:t xml:space="preserve"> du Protocole facultatif ont été satisfaites.</w:t>
      </w:r>
    </w:p>
    <w:p w14:paraId="1BFB7FE9" w14:textId="77777777" w:rsidR="00C66C9A" w:rsidRPr="00812A02" w:rsidRDefault="00C66C9A" w:rsidP="00C66C9A">
      <w:pPr>
        <w:pStyle w:val="SingleTxtG"/>
        <w:rPr>
          <w:bCs/>
        </w:rPr>
      </w:pPr>
      <w:r w:rsidRPr="00812A02">
        <w:rPr>
          <w:bCs/>
        </w:rPr>
        <w:t>7.4</w:t>
      </w:r>
      <w:r w:rsidRPr="00812A02">
        <w:rPr>
          <w:bCs/>
        </w:rPr>
        <w:tab/>
        <w:t xml:space="preserve">Le Comité prend note </w:t>
      </w:r>
      <w:r>
        <w:rPr>
          <w:bCs/>
        </w:rPr>
        <w:t>de l’argument</w:t>
      </w:r>
      <w:r w:rsidRPr="00812A02">
        <w:rPr>
          <w:bCs/>
        </w:rPr>
        <w:t xml:space="preserve"> de l</w:t>
      </w:r>
      <w:r>
        <w:rPr>
          <w:bCs/>
        </w:rPr>
        <w:t>’</w:t>
      </w:r>
      <w:r w:rsidRPr="00812A02">
        <w:rPr>
          <w:bCs/>
        </w:rPr>
        <w:t>auteur selon lequel l</w:t>
      </w:r>
      <w:r>
        <w:rPr>
          <w:bCs/>
        </w:rPr>
        <w:t>’</w:t>
      </w:r>
      <w:r w:rsidRPr="00812A02">
        <w:rPr>
          <w:bCs/>
        </w:rPr>
        <w:t>État partie a violé les obligations qui lui incombent au titre de l</w:t>
      </w:r>
      <w:r>
        <w:rPr>
          <w:bCs/>
        </w:rPr>
        <w:t>’</w:t>
      </w:r>
      <w:r w:rsidRPr="00812A02">
        <w:rPr>
          <w:bCs/>
        </w:rPr>
        <w:t>article</w:t>
      </w:r>
      <w:r w:rsidR="002279C6">
        <w:rPr>
          <w:bCs/>
        </w:rPr>
        <w:t> </w:t>
      </w:r>
      <w:r w:rsidRPr="00812A02">
        <w:rPr>
          <w:bCs/>
        </w:rPr>
        <w:t>2</w:t>
      </w:r>
      <w:r>
        <w:rPr>
          <w:bCs/>
        </w:rPr>
        <w:t xml:space="preserve"> (par. 2)</w:t>
      </w:r>
      <w:r w:rsidRPr="00812A02">
        <w:rPr>
          <w:bCs/>
        </w:rPr>
        <w:t xml:space="preserve"> du Pacte, lu conjointement avec l</w:t>
      </w:r>
      <w:r>
        <w:rPr>
          <w:bCs/>
        </w:rPr>
        <w:t>’</w:t>
      </w:r>
      <w:r w:rsidRPr="00812A02">
        <w:rPr>
          <w:bCs/>
        </w:rPr>
        <w:t>article</w:t>
      </w:r>
      <w:r w:rsidR="002279C6">
        <w:rPr>
          <w:bCs/>
        </w:rPr>
        <w:t> </w:t>
      </w:r>
      <w:r w:rsidRPr="00812A02">
        <w:rPr>
          <w:bCs/>
        </w:rPr>
        <w:t>24, puisqu</w:t>
      </w:r>
      <w:r>
        <w:rPr>
          <w:bCs/>
        </w:rPr>
        <w:t>’</w:t>
      </w:r>
      <w:r w:rsidRPr="00812A02">
        <w:rPr>
          <w:bCs/>
        </w:rPr>
        <w:t>il n</w:t>
      </w:r>
      <w:r>
        <w:rPr>
          <w:bCs/>
        </w:rPr>
        <w:t>’</w:t>
      </w:r>
      <w:r w:rsidRPr="00812A02">
        <w:rPr>
          <w:bCs/>
        </w:rPr>
        <w:t>a pas adopté les lois et règlements administratifs nécessaires pour donner effet aux droits énoncés à l</w:t>
      </w:r>
      <w:r>
        <w:rPr>
          <w:bCs/>
        </w:rPr>
        <w:t>’</w:t>
      </w:r>
      <w:r w:rsidRPr="00812A02">
        <w:rPr>
          <w:bCs/>
        </w:rPr>
        <w:t>article</w:t>
      </w:r>
      <w:r w:rsidR="002279C6">
        <w:rPr>
          <w:bCs/>
        </w:rPr>
        <w:t> </w:t>
      </w:r>
      <w:r w:rsidRPr="00812A02">
        <w:rPr>
          <w:bCs/>
        </w:rPr>
        <w:t>24 du Pacte. Le Comité rappelle sa jurisprudence</w:t>
      </w:r>
      <w:r w:rsidRPr="007F2E6C">
        <w:rPr>
          <w:rStyle w:val="Appelnotedebasdep"/>
        </w:rPr>
        <w:footnoteReference w:id="17"/>
      </w:r>
      <w:r w:rsidRPr="00812A02">
        <w:rPr>
          <w:bCs/>
        </w:rPr>
        <w:t>, d</w:t>
      </w:r>
      <w:r>
        <w:rPr>
          <w:bCs/>
        </w:rPr>
        <w:t>’</w:t>
      </w:r>
      <w:r w:rsidRPr="00812A02">
        <w:rPr>
          <w:bCs/>
        </w:rPr>
        <w:t>où il ressort que les dispositions de l</w:t>
      </w:r>
      <w:r>
        <w:rPr>
          <w:bCs/>
        </w:rPr>
        <w:t>’</w:t>
      </w:r>
      <w:r w:rsidRPr="00812A02">
        <w:rPr>
          <w:bCs/>
        </w:rPr>
        <w:t>article</w:t>
      </w:r>
      <w:r w:rsidR="002279C6">
        <w:rPr>
          <w:bCs/>
        </w:rPr>
        <w:t> </w:t>
      </w:r>
      <w:r w:rsidRPr="00812A02">
        <w:rPr>
          <w:bCs/>
        </w:rPr>
        <w:t>2</w:t>
      </w:r>
      <w:r>
        <w:rPr>
          <w:bCs/>
        </w:rPr>
        <w:t xml:space="preserve"> (par. 2)</w:t>
      </w:r>
      <w:r w:rsidRPr="00812A02">
        <w:rPr>
          <w:bCs/>
        </w:rPr>
        <w:t xml:space="preserve"> ne sauraient être invoquées conjointement avec d</w:t>
      </w:r>
      <w:r>
        <w:rPr>
          <w:bCs/>
        </w:rPr>
        <w:t>’</w:t>
      </w:r>
      <w:r w:rsidRPr="00812A02">
        <w:rPr>
          <w:bCs/>
        </w:rPr>
        <w:t>autres dispositions du Pacte dans une communication présentée en vertu du Protocole facultatif, sauf lorsque le manquement de l</w:t>
      </w:r>
      <w:r>
        <w:rPr>
          <w:bCs/>
        </w:rPr>
        <w:t>’</w:t>
      </w:r>
      <w:r w:rsidRPr="00812A02">
        <w:rPr>
          <w:bCs/>
        </w:rPr>
        <w:t>État partie aux obligations que lui impose l</w:t>
      </w:r>
      <w:r>
        <w:rPr>
          <w:bCs/>
        </w:rPr>
        <w:t>’</w:t>
      </w:r>
      <w:r w:rsidRPr="00812A02">
        <w:rPr>
          <w:bCs/>
        </w:rPr>
        <w:t>article</w:t>
      </w:r>
      <w:r w:rsidR="002279C6">
        <w:rPr>
          <w:bCs/>
        </w:rPr>
        <w:t> </w:t>
      </w:r>
      <w:r w:rsidRPr="00812A02">
        <w:rPr>
          <w:bCs/>
        </w:rPr>
        <w:t>2 est la cause immédiate d</w:t>
      </w:r>
      <w:r>
        <w:rPr>
          <w:bCs/>
        </w:rPr>
        <w:t>’</w:t>
      </w:r>
      <w:r w:rsidRPr="00812A02">
        <w:rPr>
          <w:bCs/>
        </w:rPr>
        <w:t>une violation distincte du Pacte qui affecte directement la personne qui se dit lésée. Le Comité note toutefois que l</w:t>
      </w:r>
      <w:r>
        <w:rPr>
          <w:bCs/>
        </w:rPr>
        <w:t>’</w:t>
      </w:r>
      <w:r w:rsidRPr="00812A02">
        <w:rPr>
          <w:bCs/>
        </w:rPr>
        <w:t>auteur a déjà invoqué une violation de ses droits au titre de l</w:t>
      </w:r>
      <w:r>
        <w:rPr>
          <w:bCs/>
        </w:rPr>
        <w:t>’</w:t>
      </w:r>
      <w:r w:rsidRPr="00812A02">
        <w:rPr>
          <w:bCs/>
        </w:rPr>
        <w:t>article</w:t>
      </w:r>
      <w:r w:rsidR="002279C6">
        <w:rPr>
          <w:bCs/>
        </w:rPr>
        <w:t> </w:t>
      </w:r>
      <w:r w:rsidRPr="00812A02">
        <w:rPr>
          <w:bCs/>
        </w:rPr>
        <w:t>24</w:t>
      </w:r>
      <w:r>
        <w:rPr>
          <w:bCs/>
        </w:rPr>
        <w:t>,</w:t>
      </w:r>
      <w:r w:rsidRPr="00812A02">
        <w:rPr>
          <w:bCs/>
        </w:rPr>
        <w:t xml:space="preserve"> due à l</w:t>
      </w:r>
      <w:r>
        <w:rPr>
          <w:bCs/>
        </w:rPr>
        <w:t>’</w:t>
      </w:r>
      <w:r w:rsidRPr="00812A02">
        <w:rPr>
          <w:bCs/>
        </w:rPr>
        <w:t>interprétation et à l</w:t>
      </w:r>
      <w:r>
        <w:rPr>
          <w:bCs/>
        </w:rPr>
        <w:t>’</w:t>
      </w:r>
      <w:r w:rsidRPr="00812A02">
        <w:rPr>
          <w:bCs/>
        </w:rPr>
        <w:t>application des lois en vigueur dans l</w:t>
      </w:r>
      <w:r>
        <w:rPr>
          <w:bCs/>
        </w:rPr>
        <w:t>’</w:t>
      </w:r>
      <w:r w:rsidRPr="00812A02">
        <w:rPr>
          <w:bCs/>
        </w:rPr>
        <w:t>État partie. Le Comité ne pense pas que l</w:t>
      </w:r>
      <w:r>
        <w:rPr>
          <w:bCs/>
        </w:rPr>
        <w:t>’</w:t>
      </w:r>
      <w:r w:rsidRPr="00812A02">
        <w:rPr>
          <w:bCs/>
        </w:rPr>
        <w:t>examen de la question de savoir si l</w:t>
      </w:r>
      <w:r>
        <w:rPr>
          <w:bCs/>
        </w:rPr>
        <w:t>’</w:t>
      </w:r>
      <w:r w:rsidRPr="00812A02">
        <w:rPr>
          <w:bCs/>
        </w:rPr>
        <w:t>État partie n</w:t>
      </w:r>
      <w:r>
        <w:rPr>
          <w:bCs/>
        </w:rPr>
        <w:t>’</w:t>
      </w:r>
      <w:r w:rsidRPr="00812A02">
        <w:rPr>
          <w:bCs/>
        </w:rPr>
        <w:t>a pas non plus respecté les obligations générales que lui impose l</w:t>
      </w:r>
      <w:r>
        <w:rPr>
          <w:bCs/>
        </w:rPr>
        <w:t>’</w:t>
      </w:r>
      <w:r w:rsidRPr="00812A02">
        <w:rPr>
          <w:bCs/>
        </w:rPr>
        <w:t>article</w:t>
      </w:r>
      <w:r w:rsidR="002279C6">
        <w:rPr>
          <w:bCs/>
        </w:rPr>
        <w:t> </w:t>
      </w:r>
      <w:r w:rsidRPr="00812A02">
        <w:rPr>
          <w:bCs/>
        </w:rPr>
        <w:t>2</w:t>
      </w:r>
      <w:r>
        <w:rPr>
          <w:bCs/>
        </w:rPr>
        <w:t xml:space="preserve"> (par. 2)</w:t>
      </w:r>
      <w:r w:rsidRPr="00812A02">
        <w:rPr>
          <w:bCs/>
        </w:rPr>
        <w:t xml:space="preserve"> du Pacte, lu conjointement avec l</w:t>
      </w:r>
      <w:r>
        <w:rPr>
          <w:bCs/>
        </w:rPr>
        <w:t>’</w:t>
      </w:r>
      <w:r w:rsidRPr="00812A02">
        <w:rPr>
          <w:bCs/>
        </w:rPr>
        <w:t>article</w:t>
      </w:r>
      <w:r w:rsidR="002279C6">
        <w:rPr>
          <w:bCs/>
        </w:rPr>
        <w:t> </w:t>
      </w:r>
      <w:r w:rsidRPr="00812A02">
        <w:rPr>
          <w:bCs/>
        </w:rPr>
        <w:t>24, serait différent de l</w:t>
      </w:r>
      <w:r>
        <w:rPr>
          <w:bCs/>
        </w:rPr>
        <w:t>’</w:t>
      </w:r>
      <w:r w:rsidRPr="00812A02">
        <w:rPr>
          <w:bCs/>
        </w:rPr>
        <w:t>examen d</w:t>
      </w:r>
      <w:r>
        <w:rPr>
          <w:bCs/>
        </w:rPr>
        <w:t>’</w:t>
      </w:r>
      <w:r w:rsidRPr="00812A02">
        <w:rPr>
          <w:bCs/>
        </w:rPr>
        <w:t>une violation des droits de l</w:t>
      </w:r>
      <w:r>
        <w:rPr>
          <w:bCs/>
        </w:rPr>
        <w:t>’</w:t>
      </w:r>
      <w:r w:rsidRPr="00812A02">
        <w:rPr>
          <w:bCs/>
        </w:rPr>
        <w:t>auteur au titre de l</w:t>
      </w:r>
      <w:r>
        <w:rPr>
          <w:bCs/>
        </w:rPr>
        <w:t>’</w:t>
      </w:r>
      <w:r w:rsidRPr="00812A02">
        <w:rPr>
          <w:bCs/>
        </w:rPr>
        <w:t>article</w:t>
      </w:r>
      <w:r w:rsidR="002279C6">
        <w:rPr>
          <w:bCs/>
        </w:rPr>
        <w:t> </w:t>
      </w:r>
      <w:r w:rsidRPr="00812A02">
        <w:rPr>
          <w:bCs/>
        </w:rPr>
        <w:t>24. En conséquence, le Comité considère que les griefs de l</w:t>
      </w:r>
      <w:r>
        <w:rPr>
          <w:bCs/>
        </w:rPr>
        <w:t>’</w:t>
      </w:r>
      <w:r w:rsidRPr="00812A02">
        <w:rPr>
          <w:bCs/>
        </w:rPr>
        <w:t>auteur à cet égard sont incompatibles avec l</w:t>
      </w:r>
      <w:r>
        <w:rPr>
          <w:bCs/>
        </w:rPr>
        <w:t>’</w:t>
      </w:r>
      <w:r w:rsidRPr="00812A02">
        <w:rPr>
          <w:bCs/>
        </w:rPr>
        <w:t>article</w:t>
      </w:r>
      <w:r w:rsidR="002279C6">
        <w:rPr>
          <w:bCs/>
        </w:rPr>
        <w:t> </w:t>
      </w:r>
      <w:r w:rsidRPr="00812A02">
        <w:rPr>
          <w:bCs/>
        </w:rPr>
        <w:t>2 du Pacte et sont irrecevables au regard de l</w:t>
      </w:r>
      <w:r>
        <w:rPr>
          <w:bCs/>
        </w:rPr>
        <w:t>’</w:t>
      </w:r>
      <w:r w:rsidRPr="00812A02">
        <w:rPr>
          <w:bCs/>
        </w:rPr>
        <w:t>article</w:t>
      </w:r>
      <w:r w:rsidR="002279C6">
        <w:rPr>
          <w:bCs/>
        </w:rPr>
        <w:t> </w:t>
      </w:r>
      <w:r w:rsidRPr="00812A02">
        <w:rPr>
          <w:bCs/>
        </w:rPr>
        <w:t>3 du Protocole facultatif.</w:t>
      </w:r>
    </w:p>
    <w:p w14:paraId="1A66C0C0" w14:textId="77777777" w:rsidR="00C66C9A" w:rsidRPr="00812A02" w:rsidRDefault="00C66C9A" w:rsidP="00C66C9A">
      <w:pPr>
        <w:pStyle w:val="SingleTxtG"/>
      </w:pPr>
      <w:r w:rsidRPr="00812A02">
        <w:t>7.5</w:t>
      </w:r>
      <w:r w:rsidRPr="00812A02">
        <w:tab/>
        <w:t>De l</w:t>
      </w:r>
      <w:r>
        <w:t>’</w:t>
      </w:r>
      <w:r w:rsidRPr="00812A02">
        <w:t>avis du Comité, l</w:t>
      </w:r>
      <w:r>
        <w:t>’</w:t>
      </w:r>
      <w:r w:rsidRPr="00812A02">
        <w:t>auteur a suffisamment étayé, aux fins de la recevabilité, les griefs qu</w:t>
      </w:r>
      <w:r>
        <w:t>’</w:t>
      </w:r>
      <w:r w:rsidRPr="00812A02">
        <w:t>il tire de l</w:t>
      </w:r>
      <w:r>
        <w:t>’</w:t>
      </w:r>
      <w:r w:rsidRPr="00812A02">
        <w:t>article</w:t>
      </w:r>
      <w:r w:rsidR="002279C6">
        <w:t> </w:t>
      </w:r>
      <w:r w:rsidRPr="00812A02">
        <w:t>24</w:t>
      </w:r>
      <w:r>
        <w:t xml:space="preserve"> (par. 3) du Pacte</w:t>
      </w:r>
      <w:r w:rsidRPr="00812A02">
        <w:t>, lu isolément et conjointement avec l</w:t>
      </w:r>
      <w:r>
        <w:t>’</w:t>
      </w:r>
      <w:r w:rsidRPr="00812A02">
        <w:t>article</w:t>
      </w:r>
      <w:r>
        <w:t> </w:t>
      </w:r>
      <w:r w:rsidRPr="00812A02">
        <w:t>2</w:t>
      </w:r>
      <w:r>
        <w:t xml:space="preserve"> (par. 3)</w:t>
      </w:r>
      <w:r w:rsidRPr="00812A02">
        <w:t xml:space="preserve">, et il </w:t>
      </w:r>
      <w:r>
        <w:t>passe</w:t>
      </w:r>
      <w:r w:rsidRPr="00812A02">
        <w:t xml:space="preserve"> à son examen au fond.</w:t>
      </w:r>
    </w:p>
    <w:p w14:paraId="72FD3494" w14:textId="77777777" w:rsidR="00C66C9A" w:rsidRPr="00812A02" w:rsidRDefault="00C66C9A" w:rsidP="002279C6">
      <w:pPr>
        <w:pStyle w:val="H4G"/>
      </w:pPr>
      <w:r w:rsidRPr="00812A02">
        <w:tab/>
      </w:r>
      <w:r w:rsidRPr="00812A02">
        <w:tab/>
        <w:t>Examen au fond</w:t>
      </w:r>
    </w:p>
    <w:p w14:paraId="76D6FFC2" w14:textId="77777777" w:rsidR="00C66C9A" w:rsidRPr="00812A02" w:rsidRDefault="00C66C9A" w:rsidP="00C66C9A">
      <w:pPr>
        <w:pStyle w:val="SingleTxtG"/>
        <w:rPr>
          <w:bCs/>
        </w:rPr>
      </w:pPr>
      <w:r w:rsidRPr="00812A02">
        <w:rPr>
          <w:bCs/>
        </w:rPr>
        <w:t>8.1</w:t>
      </w:r>
      <w:r w:rsidRPr="00812A02">
        <w:rPr>
          <w:bCs/>
        </w:rPr>
        <w:tab/>
      </w:r>
      <w:r w:rsidRPr="00812A02">
        <w:t xml:space="preserve">Conformément </w:t>
      </w:r>
      <w:r>
        <w:t>à</w:t>
      </w:r>
      <w:r w:rsidRPr="00812A02">
        <w:t xml:space="preserve"> l</w:t>
      </w:r>
      <w:r>
        <w:t>’</w:t>
      </w:r>
      <w:r w:rsidRPr="00812A02">
        <w:t>article</w:t>
      </w:r>
      <w:r w:rsidR="002279C6">
        <w:t> </w:t>
      </w:r>
      <w:r w:rsidRPr="00812A02">
        <w:t>5</w:t>
      </w:r>
      <w:r>
        <w:t xml:space="preserve"> (par. 1)</w:t>
      </w:r>
      <w:r w:rsidRPr="00812A02">
        <w:t xml:space="preserve"> du Protocole facultatif, le Comité a examiné la présente communication en tenant compte de toutes les informations que lui ont communiquées les parties</w:t>
      </w:r>
      <w:r w:rsidRPr="00812A02">
        <w:rPr>
          <w:bCs/>
        </w:rPr>
        <w:t>.</w:t>
      </w:r>
    </w:p>
    <w:p w14:paraId="311EA831" w14:textId="77777777" w:rsidR="00C66C9A" w:rsidRPr="00A751DD" w:rsidRDefault="00C66C9A" w:rsidP="00C66C9A">
      <w:pPr>
        <w:pStyle w:val="SingleTxtG"/>
        <w:rPr>
          <w:bCs/>
          <w:iCs/>
        </w:rPr>
      </w:pPr>
      <w:r w:rsidRPr="0008676B">
        <w:rPr>
          <w:bCs/>
        </w:rPr>
        <w:t>8.2</w:t>
      </w:r>
      <w:r w:rsidRPr="00A751DD">
        <w:rPr>
          <w:bCs/>
        </w:rPr>
        <w:tab/>
      </w:r>
      <w:r w:rsidRPr="00A751DD">
        <w:rPr>
          <w:bCs/>
          <w:iCs/>
        </w:rPr>
        <w:t>Le Comité rappelle qu</w:t>
      </w:r>
      <w:r>
        <w:rPr>
          <w:bCs/>
          <w:iCs/>
        </w:rPr>
        <w:t>’</w:t>
      </w:r>
      <w:r w:rsidRPr="00A751DD">
        <w:rPr>
          <w:bCs/>
          <w:iCs/>
        </w:rPr>
        <w:t>aux termes de l</w:t>
      </w:r>
      <w:r>
        <w:rPr>
          <w:bCs/>
          <w:iCs/>
        </w:rPr>
        <w:t>’</w:t>
      </w:r>
      <w:r w:rsidRPr="00A751DD">
        <w:rPr>
          <w:bCs/>
          <w:iCs/>
        </w:rPr>
        <w:t>article</w:t>
      </w:r>
      <w:r w:rsidR="002279C6">
        <w:rPr>
          <w:bCs/>
          <w:iCs/>
        </w:rPr>
        <w:t> </w:t>
      </w:r>
      <w:r w:rsidRPr="00A751DD">
        <w:rPr>
          <w:bCs/>
          <w:iCs/>
        </w:rPr>
        <w:t>24, t</w:t>
      </w:r>
      <w:r w:rsidRPr="00A751DD">
        <w:t>out enfant a droit aux mesures de protection qu</w:t>
      </w:r>
      <w:r>
        <w:t>’</w:t>
      </w:r>
      <w:r w:rsidRPr="00A751DD">
        <w:t>exige sa condition de mineur</w:t>
      </w:r>
      <w:r w:rsidRPr="007F2E6C">
        <w:rPr>
          <w:rStyle w:val="Appelnotedebasdep"/>
        </w:rPr>
        <w:footnoteReference w:id="18"/>
      </w:r>
      <w:r w:rsidRPr="00A751DD">
        <w:rPr>
          <w:bCs/>
          <w:iCs/>
        </w:rPr>
        <w:t>. Il rappelle également que le principe selon lequel</w:t>
      </w:r>
      <w:r w:rsidRPr="00A751DD">
        <w:t>, dans toute décision touchant un enfant, l</w:t>
      </w:r>
      <w:r>
        <w:t>’</w:t>
      </w:r>
      <w:r w:rsidRPr="00A751DD">
        <w:t>intérêt supérieur de celui</w:t>
      </w:r>
      <w:r w:rsidRPr="00A751DD">
        <w:noBreakHyphen/>
        <w:t>ci doit être une considération primordiale doit faire partie intégrante du droit de tout enfant aux mesures de protection qu</w:t>
      </w:r>
      <w:r>
        <w:t>’</w:t>
      </w:r>
      <w:r w:rsidRPr="00A751DD">
        <w:t>exige sa condition de mineur, comme le prescrit l</w:t>
      </w:r>
      <w:r>
        <w:t>’</w:t>
      </w:r>
      <w:r w:rsidRPr="00A751DD">
        <w:t>article</w:t>
      </w:r>
      <w:r w:rsidR="002279C6">
        <w:t> </w:t>
      </w:r>
      <w:r w:rsidRPr="00A751DD">
        <w:t>24</w:t>
      </w:r>
      <w:r>
        <w:t xml:space="preserve"> (par. 1)</w:t>
      </w:r>
      <w:r w:rsidRPr="00A751DD">
        <w:t xml:space="preserve"> du Pacte</w:t>
      </w:r>
      <w:r w:rsidRPr="007F2E6C">
        <w:rPr>
          <w:rStyle w:val="Appelnotedebasdep"/>
        </w:rPr>
        <w:footnoteReference w:id="19"/>
      </w:r>
      <w:r w:rsidRPr="00A751DD">
        <w:rPr>
          <w:bCs/>
          <w:iCs/>
        </w:rPr>
        <w:t xml:space="preserve">. Le Comité rappelle son observation générale </w:t>
      </w:r>
      <w:r w:rsidRPr="00A751DD">
        <w:rPr>
          <w:rFonts w:eastAsia="MS Mincho"/>
          <w:bCs/>
          <w:iCs/>
          <w:szCs w:val="22"/>
        </w:rPr>
        <w:t>n</w:t>
      </w:r>
      <w:r w:rsidRPr="00A751DD">
        <w:rPr>
          <w:rFonts w:eastAsia="MS Mincho"/>
          <w:bCs/>
          <w:iCs/>
          <w:szCs w:val="22"/>
          <w:vertAlign w:val="superscript"/>
        </w:rPr>
        <w:t>o</w:t>
      </w:r>
      <w:r w:rsidRPr="00A751DD">
        <w:rPr>
          <w:rFonts w:eastAsia="MS Mincho"/>
          <w:bCs/>
          <w:iCs/>
          <w:szCs w:val="22"/>
        </w:rPr>
        <w:t> </w:t>
      </w:r>
      <w:r w:rsidRPr="00A751DD">
        <w:rPr>
          <w:bCs/>
          <w:iCs/>
        </w:rPr>
        <w:t>17 (1989), dans laquelle il fait observer que si l</w:t>
      </w:r>
      <w:r>
        <w:rPr>
          <w:bCs/>
          <w:iCs/>
        </w:rPr>
        <w:t>’</w:t>
      </w:r>
      <w:r w:rsidRPr="00A751DD">
        <w:rPr>
          <w:bCs/>
          <w:iCs/>
        </w:rPr>
        <w:t>article</w:t>
      </w:r>
      <w:r w:rsidR="002279C6">
        <w:rPr>
          <w:bCs/>
          <w:iCs/>
        </w:rPr>
        <w:t> </w:t>
      </w:r>
      <w:r w:rsidRPr="00A751DD">
        <w:rPr>
          <w:bCs/>
          <w:iCs/>
        </w:rPr>
        <w:t xml:space="preserve">24 </w:t>
      </w:r>
      <w:r>
        <w:rPr>
          <w:bCs/>
          <w:iCs/>
        </w:rPr>
        <w:t xml:space="preserve">(par. 3) du Pacte </w:t>
      </w:r>
      <w:r w:rsidRPr="00A751DD">
        <w:rPr>
          <w:bCs/>
          <w:iCs/>
        </w:rPr>
        <w:t>a pour but d</w:t>
      </w:r>
      <w:r>
        <w:rPr>
          <w:bCs/>
          <w:iCs/>
        </w:rPr>
        <w:t>’</w:t>
      </w:r>
      <w:r w:rsidRPr="00A751DD">
        <w:rPr>
          <w:bCs/>
          <w:iCs/>
        </w:rPr>
        <w:t>éviter qu</w:t>
      </w:r>
      <w:r>
        <w:rPr>
          <w:bCs/>
          <w:iCs/>
        </w:rPr>
        <w:t>’</w:t>
      </w:r>
      <w:r w:rsidRPr="00A751DD">
        <w:rPr>
          <w:bCs/>
          <w:iCs/>
        </w:rPr>
        <w:t>un enfant ne soit moins protégé par la société et l</w:t>
      </w:r>
      <w:r>
        <w:rPr>
          <w:bCs/>
          <w:iCs/>
        </w:rPr>
        <w:t>’</w:t>
      </w:r>
      <w:r w:rsidRPr="00A751DD">
        <w:rPr>
          <w:bCs/>
          <w:iCs/>
        </w:rPr>
        <w:t>État s</w:t>
      </w:r>
      <w:r>
        <w:rPr>
          <w:bCs/>
          <w:iCs/>
        </w:rPr>
        <w:t>’</w:t>
      </w:r>
      <w:r w:rsidRPr="00A751DD">
        <w:rPr>
          <w:bCs/>
          <w:iCs/>
        </w:rPr>
        <w:t xml:space="preserve">il est apatride, </w:t>
      </w:r>
      <w:r>
        <w:rPr>
          <w:bCs/>
          <w:iCs/>
        </w:rPr>
        <w:t>il</w:t>
      </w:r>
      <w:r w:rsidRPr="00A751DD">
        <w:rPr>
          <w:bCs/>
          <w:iCs/>
        </w:rPr>
        <w:t xml:space="preserve"> n</w:t>
      </w:r>
      <w:r>
        <w:rPr>
          <w:bCs/>
          <w:iCs/>
        </w:rPr>
        <w:t>’</w:t>
      </w:r>
      <w:r w:rsidRPr="00A751DD">
        <w:rPr>
          <w:bCs/>
          <w:iCs/>
        </w:rPr>
        <w:t>impose pas pour autant aux États parties de donner en toutes circonstances leur nationalité à tout enfant né sur leur territoire</w:t>
      </w:r>
      <w:r w:rsidRPr="007F2E6C">
        <w:rPr>
          <w:rStyle w:val="Appelnotedebasdep"/>
        </w:rPr>
        <w:footnoteReference w:id="20"/>
      </w:r>
      <w:r w:rsidRPr="00A751DD">
        <w:rPr>
          <w:bCs/>
          <w:iCs/>
        </w:rPr>
        <w:t xml:space="preserve">. </w:t>
      </w:r>
      <w:r>
        <w:rPr>
          <w:bCs/>
          <w:iCs/>
        </w:rPr>
        <w:t>Cependant, dans le même observation générale, l</w:t>
      </w:r>
      <w:r w:rsidRPr="00A751DD">
        <w:rPr>
          <w:bCs/>
          <w:iCs/>
        </w:rPr>
        <w:t xml:space="preserve">e Comité </w:t>
      </w:r>
      <w:r>
        <w:rPr>
          <w:bCs/>
          <w:iCs/>
        </w:rPr>
        <w:t xml:space="preserve">fait </w:t>
      </w:r>
      <w:r w:rsidRPr="00A751DD">
        <w:rPr>
          <w:bCs/>
          <w:iCs/>
        </w:rPr>
        <w:t>observe</w:t>
      </w:r>
      <w:r>
        <w:rPr>
          <w:bCs/>
          <w:iCs/>
        </w:rPr>
        <w:t>r</w:t>
      </w:r>
      <w:r w:rsidRPr="00A751DD">
        <w:rPr>
          <w:bCs/>
          <w:iCs/>
        </w:rPr>
        <w:t xml:space="preserve"> que « les États sont tenus d</w:t>
      </w:r>
      <w:r>
        <w:rPr>
          <w:bCs/>
          <w:iCs/>
        </w:rPr>
        <w:t>’</w:t>
      </w:r>
      <w:r w:rsidRPr="00A751DD">
        <w:rPr>
          <w:bCs/>
          <w:iCs/>
        </w:rPr>
        <w:t>adopter toutes les mesures appropriées, sur le plan interne et en coopération avec les autres États, pour que tout enfant ait une nationalité dès sa naissance. Ils ne devraient tolérer dans la législation interne en matière d</w:t>
      </w:r>
      <w:r>
        <w:rPr>
          <w:bCs/>
          <w:iCs/>
        </w:rPr>
        <w:t>’</w:t>
      </w:r>
      <w:r w:rsidRPr="00A751DD">
        <w:rPr>
          <w:bCs/>
          <w:iCs/>
        </w:rPr>
        <w:t>acquisition de la nationalité aucune discrimination qui distingue entre enfants légitimes et enfants nés hors mariage ou de parents apatrides, ou qui soit motivée par la nationalité des parents ou de l</w:t>
      </w:r>
      <w:r>
        <w:rPr>
          <w:bCs/>
          <w:iCs/>
        </w:rPr>
        <w:t>’</w:t>
      </w:r>
      <w:r w:rsidRPr="00A751DD">
        <w:rPr>
          <w:bCs/>
          <w:iCs/>
        </w:rPr>
        <w:t>un d</w:t>
      </w:r>
      <w:r>
        <w:rPr>
          <w:bCs/>
          <w:iCs/>
        </w:rPr>
        <w:t>’</w:t>
      </w:r>
      <w:r w:rsidRPr="00A751DD">
        <w:rPr>
          <w:bCs/>
          <w:iCs/>
        </w:rPr>
        <w:t>entre</w:t>
      </w:r>
      <w:r>
        <w:rPr>
          <w:bCs/>
          <w:iCs/>
        </w:rPr>
        <w:t xml:space="preserve"> </w:t>
      </w:r>
      <w:r w:rsidRPr="00A751DD">
        <w:rPr>
          <w:bCs/>
          <w:iCs/>
        </w:rPr>
        <w:t>eux »</w:t>
      </w:r>
      <w:r w:rsidRPr="007F2E6C">
        <w:rPr>
          <w:rStyle w:val="Appelnotedebasdep"/>
        </w:rPr>
        <w:footnoteReference w:id="21"/>
      </w:r>
      <w:r w:rsidRPr="00A751DD">
        <w:rPr>
          <w:bCs/>
          <w:iCs/>
        </w:rPr>
        <w:t>.</w:t>
      </w:r>
    </w:p>
    <w:p w14:paraId="00273D3E" w14:textId="77777777" w:rsidR="00C66C9A" w:rsidRPr="00A751DD" w:rsidRDefault="00C66C9A" w:rsidP="00C66C9A">
      <w:pPr>
        <w:pStyle w:val="SingleTxtG"/>
        <w:rPr>
          <w:bCs/>
          <w:spacing w:val="-1"/>
        </w:rPr>
      </w:pPr>
      <w:r w:rsidRPr="00A751DD">
        <w:rPr>
          <w:bCs/>
          <w:spacing w:val="-1"/>
        </w:rPr>
        <w:t>8.3</w:t>
      </w:r>
      <w:r w:rsidRPr="00A751DD">
        <w:rPr>
          <w:bCs/>
          <w:spacing w:val="-1"/>
        </w:rPr>
        <w:tab/>
        <w:t xml:space="preserve">Le Comité note que le HCR indique, dans les Principes directeurs sur </w:t>
      </w:r>
      <w:r w:rsidRPr="00A751DD">
        <w:rPr>
          <w:spacing w:val="-1"/>
          <w:lang w:val="fr-FR"/>
        </w:rPr>
        <w:t>l</w:t>
      </w:r>
      <w:r>
        <w:rPr>
          <w:spacing w:val="-1"/>
          <w:lang w:val="fr-FR"/>
        </w:rPr>
        <w:t>’</w:t>
      </w:r>
      <w:r w:rsidRPr="00A751DD">
        <w:rPr>
          <w:spacing w:val="-1"/>
          <w:lang w:val="fr-FR"/>
        </w:rPr>
        <w:t xml:space="preserve">apatridie </w:t>
      </w:r>
      <w:r w:rsidRPr="00A751DD">
        <w:rPr>
          <w:rFonts w:eastAsia="MS Mincho"/>
          <w:spacing w:val="-1"/>
          <w:szCs w:val="22"/>
          <w:lang w:val="fr-FR"/>
        </w:rPr>
        <w:t>n</w:t>
      </w:r>
      <w:r w:rsidRPr="00A751DD">
        <w:rPr>
          <w:rFonts w:eastAsia="MS Mincho"/>
          <w:spacing w:val="-1"/>
          <w:szCs w:val="22"/>
          <w:vertAlign w:val="superscript"/>
          <w:lang w:val="fr-FR"/>
        </w:rPr>
        <w:t>o</w:t>
      </w:r>
      <w:r w:rsidRPr="00A751DD">
        <w:rPr>
          <w:spacing w:val="-1"/>
          <w:lang w:val="fr-FR"/>
        </w:rPr>
        <w:t> 4 : Garantir le droit de tout enfant d</w:t>
      </w:r>
      <w:r>
        <w:rPr>
          <w:spacing w:val="-1"/>
          <w:lang w:val="fr-FR"/>
        </w:rPr>
        <w:t>’</w:t>
      </w:r>
      <w:r w:rsidRPr="00A751DD">
        <w:rPr>
          <w:spacing w:val="-1"/>
          <w:lang w:val="fr-FR"/>
        </w:rPr>
        <w:t>acquérir une nationalité en vertu des articles</w:t>
      </w:r>
      <w:r w:rsidR="002279C6">
        <w:rPr>
          <w:spacing w:val="-1"/>
          <w:lang w:val="fr-FR"/>
        </w:rPr>
        <w:t> </w:t>
      </w:r>
      <w:r w:rsidRPr="00A751DD">
        <w:rPr>
          <w:spacing w:val="-1"/>
          <w:lang w:val="fr-FR"/>
        </w:rPr>
        <w:t xml:space="preserve">1 à 4 </w:t>
      </w:r>
      <w:r w:rsidRPr="00A751DD">
        <w:rPr>
          <w:bCs/>
          <w:spacing w:val="-1"/>
        </w:rPr>
        <w:t>de la Convention de 1961 sur la réduction des cas d</w:t>
      </w:r>
      <w:r>
        <w:rPr>
          <w:bCs/>
          <w:spacing w:val="-1"/>
        </w:rPr>
        <w:t>’</w:t>
      </w:r>
      <w:r w:rsidRPr="00A751DD">
        <w:rPr>
          <w:bCs/>
          <w:spacing w:val="-1"/>
        </w:rPr>
        <w:t>apatridie</w:t>
      </w:r>
      <w:r>
        <w:rPr>
          <w:bCs/>
          <w:spacing w:val="-1"/>
        </w:rPr>
        <w:t xml:space="preserve"> </w:t>
      </w:r>
      <w:r w:rsidR="002279C6">
        <w:rPr>
          <w:bCs/>
          <w:spacing w:val="-1"/>
        </w:rPr>
        <w:t>− </w:t>
      </w:r>
      <w:r>
        <w:rPr>
          <w:bCs/>
          <w:spacing w:val="-1"/>
        </w:rPr>
        <w:t>Convention à laquelle les Pays</w:t>
      </w:r>
      <w:r w:rsidR="002279C6">
        <w:rPr>
          <w:bCs/>
          <w:spacing w:val="-1"/>
        </w:rPr>
        <w:noBreakHyphen/>
      </w:r>
      <w:r>
        <w:rPr>
          <w:bCs/>
          <w:spacing w:val="-1"/>
        </w:rPr>
        <w:t>Bas sont partie</w:t>
      </w:r>
      <w:r w:rsidR="002279C6">
        <w:rPr>
          <w:bCs/>
          <w:spacing w:val="-1"/>
        </w:rPr>
        <w:t> −</w:t>
      </w:r>
      <w:r w:rsidRPr="00A751DD">
        <w:rPr>
          <w:bCs/>
          <w:spacing w:val="-1"/>
        </w:rPr>
        <w:t>, qu</w:t>
      </w:r>
      <w:r>
        <w:rPr>
          <w:bCs/>
          <w:spacing w:val="-1"/>
        </w:rPr>
        <w:t>’</w:t>
      </w:r>
      <w:r w:rsidRPr="00A751DD">
        <w:rPr>
          <w:bCs/>
          <w:spacing w:val="-1"/>
        </w:rPr>
        <w:t>« un État contractant doit accepter le fait qu</w:t>
      </w:r>
      <w:r>
        <w:rPr>
          <w:bCs/>
          <w:spacing w:val="-1"/>
        </w:rPr>
        <w:t>’</w:t>
      </w:r>
      <w:r w:rsidRPr="00A751DD">
        <w:rPr>
          <w:bCs/>
          <w:spacing w:val="-1"/>
        </w:rPr>
        <w:t>une personne n</w:t>
      </w:r>
      <w:r>
        <w:rPr>
          <w:bCs/>
          <w:spacing w:val="-1"/>
        </w:rPr>
        <w:t>’</w:t>
      </w:r>
      <w:r w:rsidRPr="00A751DD">
        <w:rPr>
          <w:bCs/>
          <w:spacing w:val="-1"/>
        </w:rPr>
        <w:t>est pas un ressortissant d</w:t>
      </w:r>
      <w:r>
        <w:rPr>
          <w:bCs/>
          <w:spacing w:val="-1"/>
        </w:rPr>
        <w:t>’</w:t>
      </w:r>
      <w:r w:rsidRPr="00A751DD">
        <w:rPr>
          <w:bCs/>
          <w:spacing w:val="-1"/>
        </w:rPr>
        <w:t>un État particulier si les autorités dudit État refusent de la reconnaître comme leur ressortissant. Un État peut refuser de reconnaître une personne comme son ressortissant, soit en déclarant explicitement qu</w:t>
      </w:r>
      <w:r>
        <w:rPr>
          <w:bCs/>
          <w:spacing w:val="-1"/>
        </w:rPr>
        <w:t>’</w:t>
      </w:r>
      <w:r w:rsidRPr="00A751DD">
        <w:rPr>
          <w:bCs/>
          <w:spacing w:val="-1"/>
        </w:rPr>
        <w:t>elle n</w:t>
      </w:r>
      <w:r>
        <w:rPr>
          <w:bCs/>
          <w:spacing w:val="-1"/>
        </w:rPr>
        <w:t>’</w:t>
      </w:r>
      <w:r w:rsidRPr="00A751DD">
        <w:rPr>
          <w:bCs/>
          <w:spacing w:val="-1"/>
        </w:rPr>
        <w:t xml:space="preserve">est pas un de ses ressortissants, soit en ne répondant </w:t>
      </w:r>
      <w:r w:rsidRPr="00A751DD">
        <w:rPr>
          <w:bCs/>
          <w:spacing w:val="-1"/>
        </w:rPr>
        <w:lastRenderedPageBreak/>
        <w:t>pas à des requêtes visant à confirmer qu</w:t>
      </w:r>
      <w:r>
        <w:rPr>
          <w:bCs/>
          <w:spacing w:val="-1"/>
        </w:rPr>
        <w:t>’</w:t>
      </w:r>
      <w:r w:rsidRPr="00A751DD">
        <w:rPr>
          <w:bCs/>
          <w:spacing w:val="-1"/>
        </w:rPr>
        <w:t>un individu est un ressortissant de cet État »</w:t>
      </w:r>
      <w:r w:rsidRPr="007F2E6C">
        <w:rPr>
          <w:rStyle w:val="Appelnotedebasdep"/>
        </w:rPr>
        <w:footnoteReference w:id="22"/>
      </w:r>
      <w:r w:rsidRPr="00A751DD">
        <w:rPr>
          <w:bCs/>
          <w:spacing w:val="-1"/>
        </w:rPr>
        <w:t>. Le</w:t>
      </w:r>
      <w:r w:rsidR="002279C6">
        <w:rPr>
          <w:bCs/>
          <w:spacing w:val="-1"/>
        </w:rPr>
        <w:t> </w:t>
      </w:r>
      <w:r w:rsidRPr="00A751DD">
        <w:rPr>
          <w:bCs/>
          <w:spacing w:val="-1"/>
        </w:rPr>
        <w:t>Comité observe également que les principes directeurs</w:t>
      </w:r>
      <w:r>
        <w:rPr>
          <w:bCs/>
          <w:spacing w:val="-1"/>
        </w:rPr>
        <w:t xml:space="preserve"> susmentionnés</w:t>
      </w:r>
      <w:r w:rsidRPr="00A751DD">
        <w:rPr>
          <w:bCs/>
          <w:spacing w:val="-1"/>
        </w:rPr>
        <w:t xml:space="preserve"> indiquent qu</w:t>
      </w:r>
      <w:r>
        <w:rPr>
          <w:bCs/>
          <w:spacing w:val="-1"/>
        </w:rPr>
        <w:t>’</w:t>
      </w:r>
      <w:r w:rsidRPr="00A751DD">
        <w:rPr>
          <w:bCs/>
          <w:spacing w:val="-1"/>
        </w:rPr>
        <w:t>en raison des difficultés qui surgissent souvent lorsqu</w:t>
      </w:r>
      <w:r>
        <w:rPr>
          <w:bCs/>
          <w:spacing w:val="-1"/>
        </w:rPr>
        <w:t>’</w:t>
      </w:r>
      <w:r w:rsidRPr="00A751DD">
        <w:rPr>
          <w:bCs/>
          <w:spacing w:val="-1"/>
        </w:rPr>
        <w:t>il s</w:t>
      </w:r>
      <w:r>
        <w:rPr>
          <w:bCs/>
          <w:spacing w:val="-1"/>
        </w:rPr>
        <w:t>’</w:t>
      </w:r>
      <w:r w:rsidRPr="00A751DD">
        <w:rPr>
          <w:bCs/>
          <w:spacing w:val="-1"/>
        </w:rPr>
        <w:t>agit de déterminer si une personne a acquis une nationalité, la charge de la preuve doit être partagée entre le demandeur et les autorités de l</w:t>
      </w:r>
      <w:r>
        <w:rPr>
          <w:bCs/>
          <w:spacing w:val="-1"/>
        </w:rPr>
        <w:t>’</w:t>
      </w:r>
      <w:r w:rsidRPr="00A751DD">
        <w:rPr>
          <w:bCs/>
          <w:spacing w:val="-1"/>
        </w:rPr>
        <w:t>État contractant afin d</w:t>
      </w:r>
      <w:r>
        <w:rPr>
          <w:bCs/>
          <w:spacing w:val="-1"/>
        </w:rPr>
        <w:t>’</w:t>
      </w:r>
      <w:r w:rsidRPr="00A751DD">
        <w:rPr>
          <w:bCs/>
          <w:spacing w:val="-1"/>
        </w:rPr>
        <w:t>obtenir des éléments de preuve et d</w:t>
      </w:r>
      <w:r>
        <w:rPr>
          <w:bCs/>
          <w:spacing w:val="-1"/>
        </w:rPr>
        <w:t>’</w:t>
      </w:r>
      <w:r w:rsidRPr="00A751DD">
        <w:rPr>
          <w:bCs/>
          <w:spacing w:val="-1"/>
        </w:rPr>
        <w:t>établir les faits consistant à savoir si un individu serait autrement apatride</w:t>
      </w:r>
      <w:r w:rsidRPr="007F2E6C">
        <w:rPr>
          <w:rStyle w:val="Appelnotedebasdep"/>
        </w:rPr>
        <w:footnoteReference w:id="23"/>
      </w:r>
      <w:r w:rsidRPr="00A751DD">
        <w:rPr>
          <w:bCs/>
          <w:spacing w:val="-1"/>
        </w:rPr>
        <w:t>. Le Comité observe en outre que, s</w:t>
      </w:r>
      <w:r>
        <w:rPr>
          <w:bCs/>
          <w:spacing w:val="-1"/>
        </w:rPr>
        <w:t>’</w:t>
      </w:r>
      <w:r w:rsidRPr="00A751DD">
        <w:rPr>
          <w:bCs/>
          <w:spacing w:val="-1"/>
        </w:rPr>
        <w:t>agissant de la classification d</w:t>
      </w:r>
      <w:r>
        <w:rPr>
          <w:bCs/>
          <w:spacing w:val="-1"/>
        </w:rPr>
        <w:t>’</w:t>
      </w:r>
      <w:r w:rsidRPr="00A751DD">
        <w:rPr>
          <w:bCs/>
          <w:spacing w:val="-1"/>
        </w:rPr>
        <w:t>enfants comme étant de « nationalité indéterminée », les principes directeurs recommandent aux États de « déterminer le plus vite possible si un enfant serait autrement apatride afin de ne pas prolonger le statut de nationalité indéterminée de l</w:t>
      </w:r>
      <w:r>
        <w:rPr>
          <w:bCs/>
          <w:spacing w:val="-1"/>
        </w:rPr>
        <w:t>’</w:t>
      </w:r>
      <w:r w:rsidRPr="00A751DD">
        <w:rPr>
          <w:bCs/>
          <w:spacing w:val="-1"/>
        </w:rPr>
        <w:t>enfant. Aux fins de l</w:t>
      </w:r>
      <w:r>
        <w:rPr>
          <w:bCs/>
          <w:spacing w:val="-1"/>
        </w:rPr>
        <w:t>’</w:t>
      </w:r>
      <w:r w:rsidRPr="00A751DD">
        <w:rPr>
          <w:bCs/>
          <w:spacing w:val="-1"/>
        </w:rPr>
        <w:t>application des articles 1 et 4 de la Convention de 1961, il serait judicieux que cette période ne dépasse pas cinq ans. Pendant la période où ils sont désignés comme étant de nationalité indéterminée, ces enfants doivent bénéficier des droits de l</w:t>
      </w:r>
      <w:r>
        <w:rPr>
          <w:bCs/>
          <w:spacing w:val="-1"/>
        </w:rPr>
        <w:t>’</w:t>
      </w:r>
      <w:r w:rsidRPr="00A751DD">
        <w:rPr>
          <w:bCs/>
          <w:spacing w:val="-1"/>
        </w:rPr>
        <w:t>homme (comme le droit à la santé et à l</w:t>
      </w:r>
      <w:r>
        <w:rPr>
          <w:bCs/>
          <w:spacing w:val="-1"/>
        </w:rPr>
        <w:t>’</w:t>
      </w:r>
      <w:r w:rsidRPr="00A751DD">
        <w:rPr>
          <w:bCs/>
          <w:spacing w:val="-1"/>
        </w:rPr>
        <w:t>éducation) dans les mêmes conditions que les enfants ressortissants du pays »</w:t>
      </w:r>
      <w:r w:rsidRPr="007F2E6C">
        <w:rPr>
          <w:rStyle w:val="Appelnotedebasdep"/>
        </w:rPr>
        <w:footnoteReference w:id="24"/>
      </w:r>
      <w:r w:rsidRPr="00A751DD">
        <w:rPr>
          <w:bCs/>
          <w:spacing w:val="-1"/>
        </w:rPr>
        <w:t>.</w:t>
      </w:r>
    </w:p>
    <w:p w14:paraId="7C65140A" w14:textId="77777777" w:rsidR="00C66C9A" w:rsidRPr="00812A02" w:rsidRDefault="00C66C9A" w:rsidP="00C66C9A">
      <w:pPr>
        <w:pStyle w:val="SingleTxtG"/>
        <w:rPr>
          <w:bCs/>
        </w:rPr>
      </w:pPr>
      <w:r w:rsidRPr="00812A02">
        <w:rPr>
          <w:bCs/>
        </w:rPr>
        <w:t>8.4</w:t>
      </w:r>
      <w:r w:rsidRPr="00812A02">
        <w:rPr>
          <w:bCs/>
        </w:rPr>
        <w:tab/>
        <w:t>Le Comité rappelle en outre ses observations finales concernant le cinquième rapport périodique de l</w:t>
      </w:r>
      <w:r>
        <w:rPr>
          <w:bCs/>
        </w:rPr>
        <w:t>’</w:t>
      </w:r>
      <w:r w:rsidRPr="00812A02">
        <w:rPr>
          <w:bCs/>
        </w:rPr>
        <w:t>État partie, dans lesquelles il a noté</w:t>
      </w:r>
      <w:r w:rsidRPr="00812A02">
        <w:t xml:space="preserve"> avec préoccupation que, selon certaines informations, le projet de loi définissant une procédure de détermination de l</w:t>
      </w:r>
      <w:r>
        <w:t>’</w:t>
      </w:r>
      <w:r w:rsidRPr="00812A02">
        <w:t>apatridie ne garantit pas la délivrance d</w:t>
      </w:r>
      <w:r>
        <w:t>’</w:t>
      </w:r>
      <w:r w:rsidRPr="00812A02">
        <w:t>un permis de séjour aux personnes reconnues comme apatrides, et que la procédure qui y est envisagée, notamment les critères régissant l</w:t>
      </w:r>
      <w:r>
        <w:t>’</w:t>
      </w:r>
      <w:r w:rsidRPr="00812A02">
        <w:t>acquisition de la nationalité néerlandaise par les enfants nés de parents apatrides, n</w:t>
      </w:r>
      <w:r>
        <w:t>’</w:t>
      </w:r>
      <w:r w:rsidRPr="00812A02">
        <w:t>est pas conforme aux normes internationales</w:t>
      </w:r>
      <w:r w:rsidRPr="007F2E6C">
        <w:rPr>
          <w:rStyle w:val="Appelnotedebasdep"/>
        </w:rPr>
        <w:footnoteReference w:id="25"/>
      </w:r>
      <w:r w:rsidRPr="00812A02">
        <w:t>. Le Comité a recommandé à l</w:t>
      </w:r>
      <w:r>
        <w:t>’</w:t>
      </w:r>
      <w:r w:rsidRPr="00812A02">
        <w:t>État partie de réexaminer et modifier le projet de loi afin de garantir que toute personne reconnue comme apatride obtienne un permis de séjour et puisse ainsi exercer pleinement les droits consacrés par le Pacte, et que la procédure de détermination de l</w:t>
      </w:r>
      <w:r>
        <w:t>’</w:t>
      </w:r>
      <w:r w:rsidRPr="00812A02">
        <w:t>apatridie soit pleinement conforme aux normes internationales, ait pour objet de réduire le nombre de cas d</w:t>
      </w:r>
      <w:r>
        <w:t>’</w:t>
      </w:r>
      <w:r w:rsidRPr="00812A02">
        <w:t>apatridie et tienne compte de l</w:t>
      </w:r>
      <w:r>
        <w:t>’</w:t>
      </w:r>
      <w:r w:rsidRPr="00812A02">
        <w:t>intérêt supérieur de l</w:t>
      </w:r>
      <w:r>
        <w:t>’</w:t>
      </w:r>
      <w:r w:rsidRPr="00812A02">
        <w:t>enfant dans les cas où cette procédure concerne un mineur</w:t>
      </w:r>
      <w:r w:rsidRPr="007F2E6C">
        <w:rPr>
          <w:rStyle w:val="Appelnotedebasdep"/>
        </w:rPr>
        <w:footnoteReference w:id="26"/>
      </w:r>
      <w:r w:rsidRPr="00812A02">
        <w:rPr>
          <w:bCs/>
        </w:rPr>
        <w:t>. Le</w:t>
      </w:r>
      <w:r w:rsidR="002279C6">
        <w:rPr>
          <w:bCs/>
        </w:rPr>
        <w:t> </w:t>
      </w:r>
      <w:r w:rsidRPr="00812A02">
        <w:rPr>
          <w:bCs/>
        </w:rPr>
        <w:t>Comité relève d</w:t>
      </w:r>
      <w:r>
        <w:rPr>
          <w:bCs/>
        </w:rPr>
        <w:t>’</w:t>
      </w:r>
      <w:r w:rsidRPr="00812A02">
        <w:rPr>
          <w:bCs/>
        </w:rPr>
        <w:t>autre part que le Comité des droits de l</w:t>
      </w:r>
      <w:r>
        <w:rPr>
          <w:bCs/>
        </w:rPr>
        <w:t>’</w:t>
      </w:r>
      <w:r w:rsidRPr="00812A02">
        <w:rPr>
          <w:bCs/>
        </w:rPr>
        <w:t>enfant, dans ses observations finales concernant le quatrième rapport périodique de l</w:t>
      </w:r>
      <w:r>
        <w:rPr>
          <w:bCs/>
        </w:rPr>
        <w:t>’</w:t>
      </w:r>
      <w:r w:rsidRPr="00812A02">
        <w:rPr>
          <w:bCs/>
        </w:rPr>
        <w:t>État partie au titre de la Convention relative aux droits de l</w:t>
      </w:r>
      <w:r>
        <w:rPr>
          <w:bCs/>
        </w:rPr>
        <w:t>’</w:t>
      </w:r>
      <w:r w:rsidRPr="00812A02">
        <w:rPr>
          <w:bCs/>
        </w:rPr>
        <w:t>enfant, a recommandé à l</w:t>
      </w:r>
      <w:r>
        <w:rPr>
          <w:bCs/>
        </w:rPr>
        <w:t>’</w:t>
      </w:r>
      <w:r w:rsidRPr="00812A02">
        <w:rPr>
          <w:bCs/>
        </w:rPr>
        <w:t>État partie « de faire en sorte que tous les enfants apatrides nés sur son territoire aient accès sans conditions à la nationalité néerlandaise, quel que soit leur statut en matière de séjour »</w:t>
      </w:r>
      <w:r w:rsidRPr="007F2E6C">
        <w:rPr>
          <w:rStyle w:val="Appelnotedebasdep"/>
        </w:rPr>
        <w:footnoteReference w:id="27"/>
      </w:r>
      <w:r w:rsidRPr="00812A02">
        <w:rPr>
          <w:bCs/>
        </w:rPr>
        <w:t>.</w:t>
      </w:r>
    </w:p>
    <w:p w14:paraId="4CBEBD64" w14:textId="77777777" w:rsidR="00C66C9A" w:rsidRPr="00812A02" w:rsidRDefault="00C66C9A" w:rsidP="00C66C9A">
      <w:pPr>
        <w:pStyle w:val="SingleTxtG"/>
        <w:rPr>
          <w:bCs/>
        </w:rPr>
      </w:pPr>
      <w:r w:rsidRPr="00812A02">
        <w:rPr>
          <w:bCs/>
        </w:rPr>
        <w:t>8.5</w:t>
      </w:r>
      <w:r w:rsidRPr="00812A02">
        <w:rPr>
          <w:bCs/>
        </w:rPr>
        <w:tab/>
      </w:r>
      <w:r>
        <w:rPr>
          <w:bCs/>
        </w:rPr>
        <w:t>S’agissant de la présente communication</w:t>
      </w:r>
      <w:r w:rsidRPr="00812A02">
        <w:rPr>
          <w:bCs/>
        </w:rPr>
        <w:t xml:space="preserve">, le Comité </w:t>
      </w:r>
      <w:r>
        <w:rPr>
          <w:bCs/>
        </w:rPr>
        <w:t xml:space="preserve">des </w:t>
      </w:r>
      <w:r w:rsidRPr="00A179ED">
        <w:rPr>
          <w:bCs/>
        </w:rPr>
        <w:t>droits de l</w:t>
      </w:r>
      <w:r>
        <w:rPr>
          <w:bCs/>
        </w:rPr>
        <w:t>’</w:t>
      </w:r>
      <w:r w:rsidRPr="00A179ED">
        <w:rPr>
          <w:bCs/>
        </w:rPr>
        <w:t>homme</w:t>
      </w:r>
      <w:r>
        <w:rPr>
          <w:bCs/>
        </w:rPr>
        <w:t xml:space="preserve"> </w:t>
      </w:r>
      <w:r w:rsidRPr="00812A02">
        <w:rPr>
          <w:bCs/>
        </w:rPr>
        <w:t>note que la mère de l</w:t>
      </w:r>
      <w:r>
        <w:rPr>
          <w:bCs/>
        </w:rPr>
        <w:t>’</w:t>
      </w:r>
      <w:r w:rsidRPr="00812A02">
        <w:rPr>
          <w:bCs/>
        </w:rPr>
        <w:t>auteur a contacté à plusieurs reprises les autorités chinoises, sans succès, pour savoir si elles considéraient l</w:t>
      </w:r>
      <w:r>
        <w:rPr>
          <w:bCs/>
        </w:rPr>
        <w:t>’</w:t>
      </w:r>
      <w:r w:rsidRPr="00812A02">
        <w:rPr>
          <w:bCs/>
        </w:rPr>
        <w:t>auteur comme un ressortissant chinois</w:t>
      </w:r>
      <w:r>
        <w:rPr>
          <w:bCs/>
        </w:rPr>
        <w:t>. Il note également</w:t>
      </w:r>
      <w:r w:rsidRPr="00812A02">
        <w:rPr>
          <w:bCs/>
        </w:rPr>
        <w:t xml:space="preserve"> qu</w:t>
      </w:r>
      <w:r>
        <w:rPr>
          <w:bCs/>
        </w:rPr>
        <w:t>’</w:t>
      </w:r>
      <w:r w:rsidRPr="00812A02">
        <w:rPr>
          <w:bCs/>
        </w:rPr>
        <w:t>après s</w:t>
      </w:r>
      <w:r>
        <w:rPr>
          <w:bCs/>
        </w:rPr>
        <w:t>’</w:t>
      </w:r>
      <w:r w:rsidRPr="00812A02">
        <w:rPr>
          <w:bCs/>
        </w:rPr>
        <w:t>être rendue à l</w:t>
      </w:r>
      <w:r>
        <w:rPr>
          <w:bCs/>
        </w:rPr>
        <w:t>’</w:t>
      </w:r>
      <w:r w:rsidRPr="00812A02">
        <w:rPr>
          <w:bCs/>
        </w:rPr>
        <w:t>ambassade de Chine, elle a été informée qu</w:t>
      </w:r>
      <w:r>
        <w:rPr>
          <w:bCs/>
        </w:rPr>
        <w:t>’</w:t>
      </w:r>
      <w:r w:rsidRPr="00812A02">
        <w:rPr>
          <w:bCs/>
        </w:rPr>
        <w:t>elle ne pouvait obtenir pour l</w:t>
      </w:r>
      <w:r>
        <w:rPr>
          <w:bCs/>
        </w:rPr>
        <w:t>’</w:t>
      </w:r>
      <w:r w:rsidRPr="00812A02">
        <w:rPr>
          <w:bCs/>
        </w:rPr>
        <w:t>auteur une preuve de nationalité chinoise que si elle-même était enregistrée comme ressortissant chinois. Il prend note de sa déclaration selon laquelle elle n</w:t>
      </w:r>
      <w:r>
        <w:rPr>
          <w:bCs/>
        </w:rPr>
        <w:t>’</w:t>
      </w:r>
      <w:r w:rsidRPr="00812A02">
        <w:rPr>
          <w:bCs/>
        </w:rPr>
        <w:t>a pas été enregistrée comme ressortissant chinois à la naissance, ni à aucun stade ultérieur. Le Comité note que la demande déposée par la mère de l</w:t>
      </w:r>
      <w:r>
        <w:rPr>
          <w:bCs/>
        </w:rPr>
        <w:t>’</w:t>
      </w:r>
      <w:r w:rsidRPr="00812A02">
        <w:rPr>
          <w:bCs/>
        </w:rPr>
        <w:t>auteur tendant à faire inscrire celui-ci comme apatride dans le registre d</w:t>
      </w:r>
      <w:r>
        <w:rPr>
          <w:bCs/>
        </w:rPr>
        <w:t>’</w:t>
      </w:r>
      <w:r w:rsidRPr="00812A02">
        <w:rPr>
          <w:bCs/>
        </w:rPr>
        <w:t>état civil de l</w:t>
      </w:r>
      <w:r>
        <w:rPr>
          <w:bCs/>
        </w:rPr>
        <w:t>’</w:t>
      </w:r>
      <w:r w:rsidRPr="00812A02">
        <w:rPr>
          <w:bCs/>
        </w:rPr>
        <w:t>État partie a été rejetée par les autorités internes au motif qu</w:t>
      </w:r>
      <w:r>
        <w:rPr>
          <w:bCs/>
        </w:rPr>
        <w:t>’</w:t>
      </w:r>
      <w:r w:rsidRPr="00812A02">
        <w:rPr>
          <w:bCs/>
        </w:rPr>
        <w:t>aucun élément prouvant que l</w:t>
      </w:r>
      <w:r>
        <w:rPr>
          <w:bCs/>
        </w:rPr>
        <w:t>’</w:t>
      </w:r>
      <w:r w:rsidRPr="00812A02">
        <w:rPr>
          <w:bCs/>
        </w:rPr>
        <w:t>auteur était apatride n</w:t>
      </w:r>
      <w:r>
        <w:rPr>
          <w:bCs/>
        </w:rPr>
        <w:t>’</w:t>
      </w:r>
      <w:r w:rsidRPr="00812A02">
        <w:rPr>
          <w:bCs/>
        </w:rPr>
        <w:t>avait été produit, tel qu</w:t>
      </w:r>
      <w:r>
        <w:rPr>
          <w:bCs/>
        </w:rPr>
        <w:t>’</w:t>
      </w:r>
      <w:r w:rsidRPr="00812A02">
        <w:rPr>
          <w:bCs/>
        </w:rPr>
        <w:t>un document officiel émanant des autorités chinoises confirmant qu</w:t>
      </w:r>
      <w:r>
        <w:rPr>
          <w:bCs/>
        </w:rPr>
        <w:t>’</w:t>
      </w:r>
      <w:r w:rsidRPr="00812A02">
        <w:rPr>
          <w:bCs/>
        </w:rPr>
        <w:t>il ne possédait pas la nationalité chinoise. Le Comité note en outre que les autorités internes n</w:t>
      </w:r>
      <w:r>
        <w:rPr>
          <w:bCs/>
        </w:rPr>
        <w:t>’</w:t>
      </w:r>
      <w:r w:rsidRPr="00812A02">
        <w:rPr>
          <w:bCs/>
        </w:rPr>
        <w:t>ont mentionné dans leurs décisions aucune autre mesure que la mère de l</w:t>
      </w:r>
      <w:r>
        <w:rPr>
          <w:bCs/>
        </w:rPr>
        <w:t>’</w:t>
      </w:r>
      <w:r w:rsidRPr="00812A02">
        <w:rPr>
          <w:bCs/>
        </w:rPr>
        <w:t>auteur aurait pu prendre pour obtenir des autorités chinoises des documents officiels concernant le statut de l</w:t>
      </w:r>
      <w:r>
        <w:rPr>
          <w:bCs/>
        </w:rPr>
        <w:t>’</w:t>
      </w:r>
      <w:r w:rsidRPr="00812A02">
        <w:rPr>
          <w:bCs/>
        </w:rPr>
        <w:t>auteur en matière de nationalité après l</w:t>
      </w:r>
      <w:r>
        <w:rPr>
          <w:bCs/>
        </w:rPr>
        <w:t>’</w:t>
      </w:r>
      <w:r w:rsidRPr="00812A02">
        <w:rPr>
          <w:bCs/>
        </w:rPr>
        <w:t>échec de ses démarches répétées en ce sens. Le Comité relève également que les autorités internes n</w:t>
      </w:r>
      <w:r>
        <w:rPr>
          <w:bCs/>
        </w:rPr>
        <w:t>’</w:t>
      </w:r>
      <w:r w:rsidRPr="00812A02">
        <w:rPr>
          <w:bCs/>
        </w:rPr>
        <w:t>ont pas enquêté de leur côté pour chercher à confirmer la nationalité de l</w:t>
      </w:r>
      <w:r>
        <w:rPr>
          <w:bCs/>
        </w:rPr>
        <w:t>’</w:t>
      </w:r>
      <w:r w:rsidRPr="00812A02">
        <w:rPr>
          <w:bCs/>
        </w:rPr>
        <w:t>auteur, ou l</w:t>
      </w:r>
      <w:r>
        <w:rPr>
          <w:bCs/>
        </w:rPr>
        <w:t>’</w:t>
      </w:r>
      <w:r w:rsidRPr="00812A02">
        <w:rPr>
          <w:bCs/>
        </w:rPr>
        <w:t>absence de nationalité. Il note en outre que le Conseil d</w:t>
      </w:r>
      <w:r>
        <w:rPr>
          <w:bCs/>
        </w:rPr>
        <w:t>’</w:t>
      </w:r>
      <w:r w:rsidRPr="00812A02">
        <w:rPr>
          <w:bCs/>
        </w:rPr>
        <w:t>État a reconnu dans sa décision du 21</w:t>
      </w:r>
      <w:r>
        <w:rPr>
          <w:bCs/>
        </w:rPr>
        <w:t> </w:t>
      </w:r>
      <w:r w:rsidRPr="00812A02">
        <w:rPr>
          <w:bCs/>
        </w:rPr>
        <w:t>mai 2014 que l</w:t>
      </w:r>
      <w:r>
        <w:rPr>
          <w:bCs/>
        </w:rPr>
        <w:t>’</w:t>
      </w:r>
      <w:r w:rsidRPr="00812A02">
        <w:rPr>
          <w:bCs/>
        </w:rPr>
        <w:t>absence de procédure permettant de déterminer le statut d</w:t>
      </w:r>
      <w:r>
        <w:rPr>
          <w:bCs/>
        </w:rPr>
        <w:t>’</w:t>
      </w:r>
      <w:r w:rsidRPr="00812A02">
        <w:rPr>
          <w:bCs/>
        </w:rPr>
        <w:t>apatride dans l</w:t>
      </w:r>
      <w:r>
        <w:rPr>
          <w:bCs/>
        </w:rPr>
        <w:t>’</w:t>
      </w:r>
      <w:r w:rsidRPr="00812A02">
        <w:rPr>
          <w:bCs/>
        </w:rPr>
        <w:t xml:space="preserve">État partie créait un vide juridique pour les personnes </w:t>
      </w:r>
      <w:r w:rsidRPr="00812A02">
        <w:rPr>
          <w:bCs/>
        </w:rPr>
        <w:lastRenderedPageBreak/>
        <w:t>pouvant prétendre à une protection, notamment les enfants. Le Comité prend note également de l</w:t>
      </w:r>
      <w:r>
        <w:rPr>
          <w:bCs/>
        </w:rPr>
        <w:t>’</w:t>
      </w:r>
      <w:r w:rsidRPr="00812A02">
        <w:rPr>
          <w:bCs/>
        </w:rPr>
        <w:t>observation de l</w:t>
      </w:r>
      <w:r>
        <w:rPr>
          <w:bCs/>
        </w:rPr>
        <w:t>’</w:t>
      </w:r>
      <w:r w:rsidRPr="00812A02">
        <w:rPr>
          <w:bCs/>
        </w:rPr>
        <w:t>État partie disant qu</w:t>
      </w:r>
      <w:r>
        <w:rPr>
          <w:bCs/>
        </w:rPr>
        <w:t>’</w:t>
      </w:r>
      <w:r w:rsidRPr="00812A02">
        <w:rPr>
          <w:bCs/>
        </w:rPr>
        <w:t>après avoir examiné la plainte de l</w:t>
      </w:r>
      <w:r>
        <w:rPr>
          <w:bCs/>
        </w:rPr>
        <w:t>’</w:t>
      </w:r>
      <w:r w:rsidRPr="00812A02">
        <w:rPr>
          <w:bCs/>
        </w:rPr>
        <w:t>auteur, il avait conclu et reconnu que l</w:t>
      </w:r>
      <w:r>
        <w:rPr>
          <w:bCs/>
        </w:rPr>
        <w:t>’</w:t>
      </w:r>
      <w:r w:rsidRPr="00812A02">
        <w:rPr>
          <w:bCs/>
        </w:rPr>
        <w:t>auteur était actuellement dans l</w:t>
      </w:r>
      <w:r>
        <w:rPr>
          <w:bCs/>
        </w:rPr>
        <w:t>’</w:t>
      </w:r>
      <w:r w:rsidRPr="00812A02">
        <w:rPr>
          <w:bCs/>
        </w:rPr>
        <w:t>incapacité de jouir effectivement de son droit d</w:t>
      </w:r>
      <w:r>
        <w:rPr>
          <w:bCs/>
        </w:rPr>
        <w:t>’</w:t>
      </w:r>
      <w:r w:rsidRPr="00812A02">
        <w:rPr>
          <w:bCs/>
        </w:rPr>
        <w:t xml:space="preserve">acquérir une nationalité en tant que mineur. Par conséquent, le Comité conclut que les faits dont il est saisi font apparaître une </w:t>
      </w:r>
      <w:r w:rsidRPr="00812A02">
        <w:rPr>
          <w:bCs/>
          <w:iCs/>
        </w:rPr>
        <w:t xml:space="preserve">violation des droits </w:t>
      </w:r>
      <w:r>
        <w:rPr>
          <w:bCs/>
          <w:iCs/>
        </w:rPr>
        <w:t xml:space="preserve">que </w:t>
      </w:r>
      <w:r w:rsidRPr="00812A02">
        <w:rPr>
          <w:bCs/>
          <w:iCs/>
        </w:rPr>
        <w:t>l</w:t>
      </w:r>
      <w:r>
        <w:rPr>
          <w:bCs/>
          <w:iCs/>
        </w:rPr>
        <w:t>’</w:t>
      </w:r>
      <w:r w:rsidRPr="00812A02">
        <w:rPr>
          <w:bCs/>
          <w:iCs/>
        </w:rPr>
        <w:t>article</w:t>
      </w:r>
      <w:r w:rsidR="002279C6">
        <w:rPr>
          <w:bCs/>
          <w:iCs/>
        </w:rPr>
        <w:t> </w:t>
      </w:r>
      <w:r w:rsidRPr="00812A02">
        <w:rPr>
          <w:bCs/>
          <w:iCs/>
        </w:rPr>
        <w:t>24</w:t>
      </w:r>
      <w:r>
        <w:rPr>
          <w:bCs/>
          <w:iCs/>
        </w:rPr>
        <w:t xml:space="preserve"> (par. 3)</w:t>
      </w:r>
      <w:r w:rsidRPr="00812A02">
        <w:rPr>
          <w:bCs/>
          <w:iCs/>
        </w:rPr>
        <w:t xml:space="preserve"> du Pacte</w:t>
      </w:r>
      <w:r>
        <w:rPr>
          <w:bCs/>
          <w:iCs/>
        </w:rPr>
        <w:t xml:space="preserve"> garantit à l’auteur</w:t>
      </w:r>
      <w:r w:rsidRPr="00812A02">
        <w:rPr>
          <w:bCs/>
          <w:iCs/>
        </w:rPr>
        <w:t xml:space="preserve">. </w:t>
      </w:r>
      <w:r>
        <w:rPr>
          <w:bCs/>
          <w:iCs/>
        </w:rPr>
        <w:t>Il</w:t>
      </w:r>
      <w:r w:rsidRPr="00812A02">
        <w:rPr>
          <w:bCs/>
          <w:iCs/>
        </w:rPr>
        <w:t xml:space="preserve"> considère en outre que le fait de ne pas avoir accordé à l</w:t>
      </w:r>
      <w:r>
        <w:rPr>
          <w:bCs/>
          <w:iCs/>
        </w:rPr>
        <w:t>’</w:t>
      </w:r>
      <w:r w:rsidRPr="00812A02">
        <w:rPr>
          <w:bCs/>
          <w:iCs/>
        </w:rPr>
        <w:t xml:space="preserve">auteur un recours utile constitue une violation des droits qui lui sont garantis </w:t>
      </w:r>
      <w:r>
        <w:rPr>
          <w:bCs/>
          <w:iCs/>
        </w:rPr>
        <w:t xml:space="preserve">à </w:t>
      </w:r>
      <w:r w:rsidRPr="00812A02">
        <w:rPr>
          <w:bCs/>
          <w:iCs/>
        </w:rPr>
        <w:t>l</w:t>
      </w:r>
      <w:r>
        <w:rPr>
          <w:bCs/>
          <w:iCs/>
        </w:rPr>
        <w:t>’</w:t>
      </w:r>
      <w:r w:rsidRPr="00812A02">
        <w:rPr>
          <w:bCs/>
          <w:iCs/>
        </w:rPr>
        <w:t>article</w:t>
      </w:r>
      <w:r w:rsidR="002279C6">
        <w:rPr>
          <w:bCs/>
          <w:iCs/>
        </w:rPr>
        <w:t> </w:t>
      </w:r>
      <w:r w:rsidRPr="00812A02">
        <w:rPr>
          <w:bCs/>
          <w:iCs/>
        </w:rPr>
        <w:t>24</w:t>
      </w:r>
      <w:r>
        <w:rPr>
          <w:bCs/>
          <w:iCs/>
        </w:rPr>
        <w:t xml:space="preserve"> (par. 3)</w:t>
      </w:r>
      <w:r w:rsidRPr="00812A02">
        <w:rPr>
          <w:bCs/>
          <w:iCs/>
        </w:rPr>
        <w:t>, lu conjointement avec l</w:t>
      </w:r>
      <w:r>
        <w:rPr>
          <w:bCs/>
          <w:iCs/>
        </w:rPr>
        <w:t>’</w:t>
      </w:r>
      <w:r w:rsidRPr="00812A02">
        <w:rPr>
          <w:bCs/>
          <w:iCs/>
        </w:rPr>
        <w:t>article</w:t>
      </w:r>
      <w:r w:rsidR="002279C6">
        <w:rPr>
          <w:bCs/>
          <w:iCs/>
        </w:rPr>
        <w:t> </w:t>
      </w:r>
      <w:r w:rsidRPr="00812A02">
        <w:rPr>
          <w:bCs/>
          <w:iCs/>
        </w:rPr>
        <w:t>2</w:t>
      </w:r>
      <w:r>
        <w:rPr>
          <w:bCs/>
          <w:iCs/>
        </w:rPr>
        <w:t xml:space="preserve"> (par. 3)</w:t>
      </w:r>
      <w:r w:rsidRPr="00812A02">
        <w:rPr>
          <w:bCs/>
          <w:iCs/>
        </w:rPr>
        <w:t xml:space="preserve"> du Pacte</w:t>
      </w:r>
      <w:r w:rsidRPr="00812A02">
        <w:rPr>
          <w:bCs/>
        </w:rPr>
        <w:t>.</w:t>
      </w:r>
    </w:p>
    <w:p w14:paraId="4C7493FF" w14:textId="77777777" w:rsidR="00C66C9A" w:rsidRDefault="00C66C9A" w:rsidP="00C66C9A">
      <w:pPr>
        <w:pStyle w:val="SingleTxtG"/>
        <w:rPr>
          <w:bCs/>
        </w:rPr>
      </w:pPr>
      <w:r w:rsidRPr="00812A02">
        <w:rPr>
          <w:bCs/>
        </w:rPr>
        <w:t>9.</w:t>
      </w:r>
      <w:r w:rsidRPr="00812A02">
        <w:rPr>
          <w:bCs/>
        </w:rPr>
        <w:tab/>
      </w:r>
      <w:r w:rsidRPr="00812A02">
        <w:t>Le Comité, agissant en vertu de l</w:t>
      </w:r>
      <w:r>
        <w:t>’</w:t>
      </w:r>
      <w:r w:rsidRPr="00812A02">
        <w:t>article</w:t>
      </w:r>
      <w:r w:rsidR="002279C6">
        <w:t> </w:t>
      </w:r>
      <w:r w:rsidRPr="00812A02">
        <w:t>5</w:t>
      </w:r>
      <w:r>
        <w:t xml:space="preserve"> (par. 4)</w:t>
      </w:r>
      <w:r w:rsidRPr="00812A02">
        <w:t xml:space="preserve"> du Protocole facultatif, constate que les faits dont il est saisi font apparaître une violation par l</w:t>
      </w:r>
      <w:r>
        <w:t>’</w:t>
      </w:r>
      <w:r w:rsidRPr="00812A02">
        <w:t xml:space="preserve">État partie des droits que </w:t>
      </w:r>
      <w:r w:rsidRPr="00812A02">
        <w:rPr>
          <w:bCs/>
        </w:rPr>
        <w:t>l</w:t>
      </w:r>
      <w:r>
        <w:rPr>
          <w:bCs/>
        </w:rPr>
        <w:t>’</w:t>
      </w:r>
      <w:r w:rsidRPr="00812A02">
        <w:rPr>
          <w:bCs/>
        </w:rPr>
        <w:t>auteur tient de l</w:t>
      </w:r>
      <w:r>
        <w:rPr>
          <w:bCs/>
        </w:rPr>
        <w:t>’</w:t>
      </w:r>
      <w:r w:rsidRPr="00812A02">
        <w:rPr>
          <w:bCs/>
        </w:rPr>
        <w:t>article</w:t>
      </w:r>
      <w:r w:rsidR="002279C6">
        <w:rPr>
          <w:bCs/>
        </w:rPr>
        <w:t> </w:t>
      </w:r>
      <w:r w:rsidRPr="00812A02">
        <w:rPr>
          <w:bCs/>
          <w:iCs/>
        </w:rPr>
        <w:t>24</w:t>
      </w:r>
      <w:r>
        <w:rPr>
          <w:bCs/>
          <w:iCs/>
        </w:rPr>
        <w:t xml:space="preserve"> (par. 3)</w:t>
      </w:r>
      <w:r w:rsidRPr="00812A02">
        <w:rPr>
          <w:bCs/>
          <w:iCs/>
        </w:rPr>
        <w:t>, lu isolément et conjointement avec l</w:t>
      </w:r>
      <w:r>
        <w:rPr>
          <w:bCs/>
          <w:iCs/>
        </w:rPr>
        <w:t>’</w:t>
      </w:r>
      <w:r w:rsidRPr="00812A02">
        <w:rPr>
          <w:bCs/>
          <w:iCs/>
        </w:rPr>
        <w:t>article 2</w:t>
      </w:r>
      <w:r>
        <w:rPr>
          <w:bCs/>
          <w:iCs/>
        </w:rPr>
        <w:t xml:space="preserve"> (par. 3)</w:t>
      </w:r>
      <w:r w:rsidRPr="00812A02">
        <w:rPr>
          <w:bCs/>
          <w:iCs/>
        </w:rPr>
        <w:t xml:space="preserve"> </w:t>
      </w:r>
      <w:r w:rsidRPr="00812A02">
        <w:rPr>
          <w:bCs/>
        </w:rPr>
        <w:t>du Pacte.</w:t>
      </w:r>
    </w:p>
    <w:p w14:paraId="2F5E8257" w14:textId="77777777" w:rsidR="00C66C9A" w:rsidRPr="00812A02" w:rsidRDefault="00C66C9A" w:rsidP="00C66C9A">
      <w:pPr>
        <w:pStyle w:val="SingleTxtG"/>
        <w:rPr>
          <w:bCs/>
        </w:rPr>
      </w:pPr>
      <w:r w:rsidRPr="00812A02">
        <w:rPr>
          <w:bCs/>
        </w:rPr>
        <w:t>10.</w:t>
      </w:r>
      <w:r w:rsidRPr="00812A02">
        <w:rPr>
          <w:bCs/>
        </w:rPr>
        <w:tab/>
      </w:r>
      <w:r w:rsidRPr="00812A02">
        <w:t xml:space="preserve">Conformément </w:t>
      </w:r>
      <w:r>
        <w:t>à</w:t>
      </w:r>
      <w:r w:rsidRPr="00812A02">
        <w:t xml:space="preserve"> l</w:t>
      </w:r>
      <w:r>
        <w:t>’</w:t>
      </w:r>
      <w:r w:rsidRPr="00812A02">
        <w:t>article</w:t>
      </w:r>
      <w:r w:rsidR="002279C6">
        <w:t> </w:t>
      </w:r>
      <w:r w:rsidRPr="00812A02">
        <w:t>2</w:t>
      </w:r>
      <w:r>
        <w:t xml:space="preserve"> (par. 3 a))</w:t>
      </w:r>
      <w:r w:rsidRPr="00812A02">
        <w:t xml:space="preserve"> du Pacte, l</w:t>
      </w:r>
      <w:r>
        <w:t>’</w:t>
      </w:r>
      <w:r w:rsidRPr="00812A02">
        <w:t>État partie est tenu d</w:t>
      </w:r>
      <w:r>
        <w:t>’</w:t>
      </w:r>
      <w:r w:rsidRPr="00812A02">
        <w:t>assurer à l</w:t>
      </w:r>
      <w:r>
        <w:t>’</w:t>
      </w:r>
      <w:r w:rsidRPr="00812A02">
        <w:t>auteur un recours utile et une réparation effective</w:t>
      </w:r>
      <w:r w:rsidRPr="00812A02">
        <w:rPr>
          <w:bCs/>
        </w:rPr>
        <w:t xml:space="preserve">. </w:t>
      </w:r>
      <w:r w:rsidRPr="00812A02">
        <w:t>Il a l</w:t>
      </w:r>
      <w:r>
        <w:t>’</w:t>
      </w:r>
      <w:r w:rsidRPr="00812A02">
        <w:t>obligation d</w:t>
      </w:r>
      <w:r>
        <w:t>’</w:t>
      </w:r>
      <w:r w:rsidRPr="00812A02">
        <w:t>accorder une réparation intégrale aux individus dont les droits garantis par le Pacte ont été violés</w:t>
      </w:r>
      <w:r w:rsidRPr="00812A02">
        <w:rPr>
          <w:bCs/>
        </w:rPr>
        <w:t xml:space="preserve">. </w:t>
      </w:r>
      <w:r w:rsidRPr="00812A02">
        <w:t>En conséquence, l</w:t>
      </w:r>
      <w:r>
        <w:t>’</w:t>
      </w:r>
      <w:r w:rsidRPr="00812A02">
        <w:t>État partie est tenu, entre autres,</w:t>
      </w:r>
      <w:r w:rsidRPr="00812A02">
        <w:rPr>
          <w:bCs/>
        </w:rPr>
        <w:t xml:space="preserve"> d</w:t>
      </w:r>
      <w:r>
        <w:rPr>
          <w:bCs/>
        </w:rPr>
        <w:t>’</w:t>
      </w:r>
      <w:r w:rsidRPr="00812A02">
        <w:rPr>
          <w:bCs/>
        </w:rPr>
        <w:t>octroyer à l</w:t>
      </w:r>
      <w:r>
        <w:rPr>
          <w:bCs/>
        </w:rPr>
        <w:t>’</w:t>
      </w:r>
      <w:r w:rsidRPr="00812A02">
        <w:rPr>
          <w:bCs/>
        </w:rPr>
        <w:t xml:space="preserve">auteur une indemnisation adéquate. </w:t>
      </w:r>
      <w:r>
        <w:rPr>
          <w:bCs/>
        </w:rPr>
        <w:t>Il</w:t>
      </w:r>
      <w:r w:rsidRPr="00812A02">
        <w:rPr>
          <w:bCs/>
        </w:rPr>
        <w:t xml:space="preserve"> est également tenu de revoir sa décision concernant la demande de l</w:t>
      </w:r>
      <w:r>
        <w:rPr>
          <w:bCs/>
        </w:rPr>
        <w:t>’</w:t>
      </w:r>
      <w:r w:rsidRPr="00812A02">
        <w:rPr>
          <w:bCs/>
        </w:rPr>
        <w:t>auteur d</w:t>
      </w:r>
      <w:r>
        <w:rPr>
          <w:bCs/>
        </w:rPr>
        <w:t>’</w:t>
      </w:r>
      <w:r w:rsidRPr="00812A02">
        <w:rPr>
          <w:bCs/>
        </w:rPr>
        <w:t>être inscrit comme apatride dans le registre d</w:t>
      </w:r>
      <w:r>
        <w:rPr>
          <w:bCs/>
        </w:rPr>
        <w:t>’</w:t>
      </w:r>
      <w:r w:rsidRPr="00812A02">
        <w:rPr>
          <w:bCs/>
        </w:rPr>
        <w:t>état civil, ainsi que sa décision concernant la demande de l</w:t>
      </w:r>
      <w:r>
        <w:rPr>
          <w:bCs/>
        </w:rPr>
        <w:t>’</w:t>
      </w:r>
      <w:r w:rsidRPr="00812A02">
        <w:rPr>
          <w:bCs/>
        </w:rPr>
        <w:t>auteur d</w:t>
      </w:r>
      <w:r>
        <w:rPr>
          <w:bCs/>
        </w:rPr>
        <w:t>’</w:t>
      </w:r>
      <w:r w:rsidRPr="00812A02">
        <w:rPr>
          <w:bCs/>
        </w:rPr>
        <w:t>être reconnu comme citoyen néerlandais, compte tenu des présentes constatations</w:t>
      </w:r>
      <w:r>
        <w:rPr>
          <w:bCs/>
        </w:rPr>
        <w:t> ;</w:t>
      </w:r>
      <w:r w:rsidRPr="00812A02">
        <w:rPr>
          <w:bCs/>
        </w:rPr>
        <w:t xml:space="preserve"> </w:t>
      </w:r>
      <w:r>
        <w:rPr>
          <w:bCs/>
        </w:rPr>
        <w:t>il</w:t>
      </w:r>
      <w:r w:rsidRPr="00812A02">
        <w:rPr>
          <w:bCs/>
        </w:rPr>
        <w:t xml:space="preserve"> est en outre prié de réexaminer les conditions de vie de l</w:t>
      </w:r>
      <w:r>
        <w:rPr>
          <w:bCs/>
        </w:rPr>
        <w:t>’</w:t>
      </w:r>
      <w:r w:rsidRPr="00812A02">
        <w:rPr>
          <w:bCs/>
        </w:rPr>
        <w:t>auteur et son permis de séjour, en tenant compte du principe de l</w:t>
      </w:r>
      <w:r>
        <w:rPr>
          <w:bCs/>
        </w:rPr>
        <w:t>’</w:t>
      </w:r>
      <w:r w:rsidRPr="00812A02">
        <w:rPr>
          <w:bCs/>
        </w:rPr>
        <w:t>intérêt supérieur de l</w:t>
      </w:r>
      <w:r>
        <w:rPr>
          <w:bCs/>
        </w:rPr>
        <w:t>’</w:t>
      </w:r>
      <w:r w:rsidRPr="00812A02">
        <w:rPr>
          <w:bCs/>
        </w:rPr>
        <w:t>enfant et des présentes constatations. De plus, l</w:t>
      </w:r>
      <w:r>
        <w:rPr>
          <w:bCs/>
        </w:rPr>
        <w:t>’</w:t>
      </w:r>
      <w:r w:rsidRPr="00812A02">
        <w:rPr>
          <w:bCs/>
        </w:rPr>
        <w:t xml:space="preserve">État partie est tenu de veiller à ce que des violations analogues ne se reproduisent pas, notamment en </w:t>
      </w:r>
      <w:r>
        <w:rPr>
          <w:bCs/>
        </w:rPr>
        <w:t xml:space="preserve">révisant </w:t>
      </w:r>
      <w:r w:rsidRPr="00812A02">
        <w:rPr>
          <w:bCs/>
        </w:rPr>
        <w:t>sa législation</w:t>
      </w:r>
      <w:r>
        <w:rPr>
          <w:bCs/>
        </w:rPr>
        <w:t>, au regard des obligations que lui impose l’article 2 (par. 2) du Pacte, afin qu’elle prévoie</w:t>
      </w:r>
      <w:r w:rsidRPr="00812A02">
        <w:rPr>
          <w:bCs/>
        </w:rPr>
        <w:t xml:space="preserve"> une procédure </w:t>
      </w:r>
      <w:r>
        <w:rPr>
          <w:bCs/>
        </w:rPr>
        <w:t>de</w:t>
      </w:r>
      <w:r w:rsidRPr="00812A02">
        <w:rPr>
          <w:bCs/>
        </w:rPr>
        <w:t xml:space="preserve"> détermination du statut d</w:t>
      </w:r>
      <w:r>
        <w:rPr>
          <w:bCs/>
        </w:rPr>
        <w:t>’</w:t>
      </w:r>
      <w:r w:rsidRPr="00812A02">
        <w:rPr>
          <w:bCs/>
        </w:rPr>
        <w:t xml:space="preserve">apatride et en révisant les conditions </w:t>
      </w:r>
      <w:r>
        <w:rPr>
          <w:bCs/>
        </w:rPr>
        <w:t>fixées par la loi</w:t>
      </w:r>
      <w:r w:rsidRPr="00812A02">
        <w:rPr>
          <w:bCs/>
        </w:rPr>
        <w:t xml:space="preserve"> pour demander la nationalité, de sorte que sa législation et ses procédures soient </w:t>
      </w:r>
      <w:r>
        <w:rPr>
          <w:bCs/>
        </w:rPr>
        <w:t>compatibles avec</w:t>
      </w:r>
      <w:r w:rsidRPr="00812A02">
        <w:rPr>
          <w:bCs/>
        </w:rPr>
        <w:t xml:space="preserve"> l</w:t>
      </w:r>
      <w:r>
        <w:rPr>
          <w:bCs/>
        </w:rPr>
        <w:t>’</w:t>
      </w:r>
      <w:r w:rsidRPr="00812A02">
        <w:rPr>
          <w:bCs/>
        </w:rPr>
        <w:t>article</w:t>
      </w:r>
      <w:r w:rsidR="002279C6">
        <w:rPr>
          <w:bCs/>
        </w:rPr>
        <w:t> </w:t>
      </w:r>
      <w:r w:rsidRPr="00812A02">
        <w:rPr>
          <w:bCs/>
        </w:rPr>
        <w:t>24 du Pacte.</w:t>
      </w:r>
    </w:p>
    <w:p w14:paraId="57BB223D" w14:textId="77777777" w:rsidR="00C66C9A" w:rsidRPr="00584D66" w:rsidRDefault="00C66C9A" w:rsidP="00C66C9A">
      <w:pPr>
        <w:pStyle w:val="SingleTxtG"/>
        <w:rPr>
          <w:bCs/>
        </w:rPr>
      </w:pPr>
      <w:r w:rsidRPr="00584D66">
        <w:rPr>
          <w:bCs/>
        </w:rPr>
        <w:t>11.</w:t>
      </w:r>
      <w:r w:rsidRPr="00584D66">
        <w:rPr>
          <w:bCs/>
        </w:rPr>
        <w:tab/>
      </w:r>
      <w:r w:rsidRPr="00584D66">
        <w:t>Étant donné qu</w:t>
      </w:r>
      <w:r>
        <w:t>’</w:t>
      </w:r>
      <w:r w:rsidRPr="00584D66">
        <w:t>en adhérant au Protocole facultatif, l</w:t>
      </w:r>
      <w:r>
        <w:t>’</w:t>
      </w:r>
      <w:r w:rsidRPr="00584D66">
        <w:t>État partie a reconnu que le Comité a compétence pour déterminer s</w:t>
      </w:r>
      <w:r>
        <w:t>’</w:t>
      </w:r>
      <w:r w:rsidRPr="00584D66">
        <w:t>il y a ou non violation du Pacte et que, conformément à l</w:t>
      </w:r>
      <w:r>
        <w:t>’</w:t>
      </w:r>
      <w:r w:rsidRPr="00584D66">
        <w:t>article</w:t>
      </w:r>
      <w:r w:rsidR="002279C6">
        <w:t> </w:t>
      </w:r>
      <w:r w:rsidRPr="00584D66">
        <w:t>2 du Pacte, il s</w:t>
      </w:r>
      <w:r>
        <w:t>’</w:t>
      </w:r>
      <w:r w:rsidRPr="00584D66">
        <w:t>est engagé à garantir à tous les individus se trouvant sur son territoire et relevant de sa juridiction les droits reconnus dans le Pacte et à assurer un recours utile et une réparation exécutoire lorsqu</w:t>
      </w:r>
      <w:r>
        <w:t>’</w:t>
      </w:r>
      <w:r w:rsidRPr="00584D66">
        <w:t>une violation a été établie</w:t>
      </w:r>
      <w:r w:rsidRPr="00584D66">
        <w:rPr>
          <w:bCs/>
        </w:rPr>
        <w:t xml:space="preserve">, </w:t>
      </w:r>
      <w:r w:rsidRPr="00584D66">
        <w:t>le Comité souhaite recevoir de l</w:t>
      </w:r>
      <w:r>
        <w:t>’</w:t>
      </w:r>
      <w:r w:rsidRPr="00584D66">
        <w:t>État partie, dans un délai de cent</w:t>
      </w:r>
      <w:r>
        <w:t xml:space="preserve"> </w:t>
      </w:r>
      <w:r w:rsidRPr="00584D66">
        <w:t>quatre-vingts jours, des renseignements sur les mesures prises pour donner effet aux présentes constatations</w:t>
      </w:r>
      <w:r w:rsidRPr="00584D66">
        <w:rPr>
          <w:bCs/>
        </w:rPr>
        <w:t>.</w:t>
      </w:r>
      <w:r w:rsidRPr="00584D66">
        <w:t xml:space="preserve"> L</w:t>
      </w:r>
      <w:r>
        <w:t>’</w:t>
      </w:r>
      <w:r w:rsidRPr="00584D66">
        <w:t>État partie est invité en outre à rendre celles-ci publiques et à les diffuser largement dans sa langue officielle</w:t>
      </w:r>
      <w:r w:rsidRPr="00584D66">
        <w:rPr>
          <w:bCs/>
        </w:rPr>
        <w:t>.</w:t>
      </w:r>
    </w:p>
    <w:p w14:paraId="411D67CF" w14:textId="77777777" w:rsidR="00C66C9A" w:rsidRDefault="00C66C9A">
      <w:pPr>
        <w:suppressAutoHyphens w:val="0"/>
        <w:kinsoku/>
        <w:overflowPunct/>
        <w:autoSpaceDE/>
        <w:autoSpaceDN/>
        <w:adjustRightInd/>
        <w:snapToGrid/>
        <w:spacing w:after="200" w:line="276" w:lineRule="auto"/>
      </w:pPr>
      <w:r>
        <w:br w:type="page"/>
      </w:r>
    </w:p>
    <w:p w14:paraId="20244E63" w14:textId="77777777" w:rsidR="00C66C9A" w:rsidRPr="00393312" w:rsidRDefault="00C66C9A" w:rsidP="002279C6">
      <w:pPr>
        <w:pStyle w:val="HChG"/>
        <w:rPr>
          <w:lang w:val="fr-FR"/>
        </w:rPr>
      </w:pPr>
      <w:r w:rsidRPr="005066E6">
        <w:rPr>
          <w:lang w:val="fr-FR"/>
        </w:rPr>
        <w:lastRenderedPageBreak/>
        <w:t>Annexe</w:t>
      </w:r>
      <w:r w:rsidRPr="000A645B">
        <w:rPr>
          <w:lang w:val="fr-FR"/>
        </w:rPr>
        <w:t xml:space="preserve"> I</w:t>
      </w:r>
    </w:p>
    <w:p w14:paraId="2BDFEBCE" w14:textId="77777777" w:rsidR="00C66C9A" w:rsidRPr="005066E6" w:rsidRDefault="00C66C9A" w:rsidP="002279C6">
      <w:pPr>
        <w:pStyle w:val="HChG"/>
        <w:rPr>
          <w:lang w:val="fr-FR" w:bidi="he-IL"/>
        </w:rPr>
      </w:pPr>
      <w:r w:rsidRPr="005066E6">
        <w:rPr>
          <w:sz w:val="24"/>
          <w:lang w:val="fr-FR" w:bidi="he-IL"/>
        </w:rPr>
        <w:tab/>
      </w:r>
      <w:r w:rsidRPr="005066E6">
        <w:rPr>
          <w:sz w:val="24"/>
          <w:lang w:val="fr-FR" w:bidi="he-IL"/>
        </w:rPr>
        <w:tab/>
      </w:r>
      <w:r w:rsidRPr="005066E6">
        <w:rPr>
          <w:lang w:val="fr-FR" w:bidi="he-IL"/>
        </w:rPr>
        <w:t>Opinion individuelle (concordante) de Yadh Ben Achour</w:t>
      </w:r>
    </w:p>
    <w:p w14:paraId="48660E62" w14:textId="77777777" w:rsidR="00C66C9A" w:rsidRPr="006061D3" w:rsidRDefault="00C66C9A" w:rsidP="00C66C9A">
      <w:pPr>
        <w:pStyle w:val="SingleTxtG"/>
        <w:rPr>
          <w:rFonts w:eastAsia="MS Mincho"/>
          <w:lang w:val="fr-FR"/>
        </w:rPr>
      </w:pPr>
      <w:r w:rsidRPr="006061D3">
        <w:rPr>
          <w:rFonts w:eastAsia="MS Mincho"/>
          <w:lang w:val="fr-FR"/>
        </w:rPr>
        <w:t>1.</w:t>
      </w:r>
      <w:r w:rsidRPr="006061D3">
        <w:rPr>
          <w:rFonts w:eastAsia="MS Mincho"/>
          <w:lang w:val="fr-FR"/>
        </w:rPr>
        <w:tab/>
        <w:t>Je suis pleinement d</w:t>
      </w:r>
      <w:r>
        <w:rPr>
          <w:rFonts w:eastAsia="MS Mincho"/>
          <w:lang w:val="fr-FR"/>
        </w:rPr>
        <w:t>’</w:t>
      </w:r>
      <w:r w:rsidRPr="006061D3">
        <w:rPr>
          <w:rFonts w:eastAsia="MS Mincho"/>
          <w:lang w:val="fr-FR"/>
        </w:rPr>
        <w:t>accord avec le Comité sur la constatation de violation par l</w:t>
      </w:r>
      <w:r>
        <w:rPr>
          <w:rFonts w:eastAsia="MS Mincho"/>
          <w:lang w:val="fr-FR"/>
        </w:rPr>
        <w:t>’</w:t>
      </w:r>
      <w:r w:rsidRPr="006061D3">
        <w:rPr>
          <w:rFonts w:eastAsia="MS Mincho"/>
          <w:lang w:val="fr-FR"/>
        </w:rPr>
        <w:t>État partie des droits que l</w:t>
      </w:r>
      <w:r>
        <w:rPr>
          <w:rFonts w:eastAsia="MS Mincho"/>
          <w:lang w:val="fr-FR"/>
        </w:rPr>
        <w:t>’</w:t>
      </w:r>
      <w:r w:rsidRPr="006061D3">
        <w:rPr>
          <w:rFonts w:eastAsia="MS Mincho"/>
          <w:lang w:val="fr-FR"/>
        </w:rPr>
        <w:t>auteur tient de l</w:t>
      </w:r>
      <w:r>
        <w:rPr>
          <w:rFonts w:eastAsia="MS Mincho"/>
          <w:lang w:val="fr-FR"/>
        </w:rPr>
        <w:t>’</w:t>
      </w:r>
      <w:r w:rsidRPr="006061D3">
        <w:rPr>
          <w:rFonts w:eastAsia="MS Mincho"/>
          <w:lang w:val="fr-FR"/>
        </w:rPr>
        <w:t>article</w:t>
      </w:r>
      <w:r w:rsidR="002279C6">
        <w:rPr>
          <w:rFonts w:eastAsia="MS Mincho"/>
          <w:lang w:val="fr-FR"/>
        </w:rPr>
        <w:t> </w:t>
      </w:r>
      <w:r w:rsidRPr="006061D3">
        <w:rPr>
          <w:rFonts w:eastAsia="MS Mincho"/>
          <w:lang w:val="fr-FR"/>
        </w:rPr>
        <w:t>24 (par. 3) du Pacte.</w:t>
      </w:r>
    </w:p>
    <w:p w14:paraId="0E42A98F" w14:textId="77777777" w:rsidR="00C66C9A" w:rsidRPr="006061D3" w:rsidRDefault="00C66C9A" w:rsidP="00C66C9A">
      <w:pPr>
        <w:pStyle w:val="SingleTxtG"/>
        <w:rPr>
          <w:rFonts w:eastAsia="MS Mincho"/>
          <w:lang w:val="fr-FR"/>
        </w:rPr>
      </w:pPr>
      <w:r w:rsidRPr="006061D3">
        <w:rPr>
          <w:rFonts w:eastAsia="MS Mincho"/>
          <w:lang w:val="fr-FR"/>
        </w:rPr>
        <w:t>2.</w:t>
      </w:r>
      <w:r w:rsidRPr="006061D3">
        <w:rPr>
          <w:rFonts w:eastAsia="MS Mincho"/>
          <w:lang w:val="fr-FR"/>
        </w:rPr>
        <w:tab/>
        <w:t>Cependant, j</w:t>
      </w:r>
      <w:r>
        <w:rPr>
          <w:rFonts w:eastAsia="MS Mincho"/>
          <w:lang w:val="fr-FR"/>
        </w:rPr>
        <w:t>’</w:t>
      </w:r>
      <w:r w:rsidRPr="006061D3">
        <w:rPr>
          <w:rFonts w:eastAsia="MS Mincho"/>
          <w:lang w:val="fr-FR"/>
        </w:rPr>
        <w:t>exprime mon désaccord sur le paragraphe</w:t>
      </w:r>
      <w:r w:rsidR="002279C6">
        <w:rPr>
          <w:rFonts w:eastAsia="MS Mincho"/>
          <w:lang w:val="fr-FR"/>
        </w:rPr>
        <w:t> </w:t>
      </w:r>
      <w:r w:rsidRPr="006061D3">
        <w:rPr>
          <w:rFonts w:eastAsia="MS Mincho"/>
          <w:lang w:val="fr-FR"/>
        </w:rPr>
        <w:t>7.</w:t>
      </w:r>
      <w:r>
        <w:rPr>
          <w:rFonts w:eastAsia="MS Mincho"/>
          <w:lang w:val="fr-FR"/>
        </w:rPr>
        <w:t>4</w:t>
      </w:r>
      <w:r w:rsidRPr="006061D3">
        <w:rPr>
          <w:rFonts w:eastAsia="MS Mincho"/>
          <w:lang w:val="fr-FR"/>
        </w:rPr>
        <w:t xml:space="preserve"> des présentes constatations, relatif à la recevabilité. L</w:t>
      </w:r>
      <w:r>
        <w:rPr>
          <w:rFonts w:eastAsia="MS Mincho"/>
          <w:lang w:val="fr-FR"/>
        </w:rPr>
        <w:t>’</w:t>
      </w:r>
      <w:r w:rsidRPr="006061D3">
        <w:rPr>
          <w:rFonts w:eastAsia="MS Mincho"/>
          <w:lang w:val="fr-FR"/>
        </w:rPr>
        <w:t>auteur affirme que dans la mesure où l</w:t>
      </w:r>
      <w:r>
        <w:rPr>
          <w:rFonts w:eastAsia="MS Mincho"/>
          <w:lang w:val="fr-FR"/>
        </w:rPr>
        <w:t>’</w:t>
      </w:r>
      <w:r w:rsidRPr="006061D3">
        <w:rPr>
          <w:rFonts w:eastAsia="MS Mincho"/>
          <w:lang w:val="fr-FR"/>
        </w:rPr>
        <w:t>État partie n</w:t>
      </w:r>
      <w:r>
        <w:rPr>
          <w:rFonts w:eastAsia="MS Mincho"/>
          <w:lang w:val="fr-FR"/>
        </w:rPr>
        <w:t>’</w:t>
      </w:r>
      <w:r w:rsidRPr="006061D3">
        <w:rPr>
          <w:rFonts w:eastAsia="MS Mincho"/>
          <w:lang w:val="fr-FR"/>
        </w:rPr>
        <w:t>a pas adopté, sur un laps de temps excessivement long, les lois et règlements administratifs nécessaires pour donner effet aux droits qu</w:t>
      </w:r>
      <w:r>
        <w:rPr>
          <w:rFonts w:eastAsia="MS Mincho"/>
          <w:lang w:val="fr-FR"/>
        </w:rPr>
        <w:t>’</w:t>
      </w:r>
      <w:r w:rsidRPr="006061D3">
        <w:rPr>
          <w:rFonts w:eastAsia="MS Mincho"/>
          <w:lang w:val="fr-FR"/>
        </w:rPr>
        <w:t>il tient de l</w:t>
      </w:r>
      <w:r>
        <w:rPr>
          <w:rFonts w:eastAsia="MS Mincho"/>
          <w:lang w:val="fr-FR"/>
        </w:rPr>
        <w:t>’</w:t>
      </w:r>
      <w:r w:rsidRPr="006061D3">
        <w:rPr>
          <w:rFonts w:eastAsia="MS Mincho"/>
          <w:lang w:val="fr-FR"/>
        </w:rPr>
        <w:t>article</w:t>
      </w:r>
      <w:r w:rsidR="002279C6">
        <w:rPr>
          <w:rFonts w:eastAsia="MS Mincho"/>
          <w:lang w:val="fr-FR"/>
        </w:rPr>
        <w:t> </w:t>
      </w:r>
      <w:r w:rsidRPr="006061D3">
        <w:rPr>
          <w:rFonts w:eastAsia="MS Mincho"/>
          <w:lang w:val="fr-FR"/>
        </w:rPr>
        <w:t>24 du Pacte, celui-ci a, en conséquence, violé les obligations qui lui incombent au titre de l</w:t>
      </w:r>
      <w:r>
        <w:rPr>
          <w:rFonts w:eastAsia="MS Mincho"/>
          <w:lang w:val="fr-FR"/>
        </w:rPr>
        <w:t>’</w:t>
      </w:r>
      <w:r w:rsidRPr="006061D3">
        <w:rPr>
          <w:rFonts w:eastAsia="MS Mincho"/>
          <w:lang w:val="fr-FR"/>
        </w:rPr>
        <w:t>article</w:t>
      </w:r>
      <w:r w:rsidR="002279C6">
        <w:rPr>
          <w:rFonts w:eastAsia="MS Mincho"/>
          <w:lang w:val="fr-FR"/>
        </w:rPr>
        <w:t> </w:t>
      </w:r>
      <w:r w:rsidRPr="006061D3">
        <w:rPr>
          <w:rFonts w:eastAsia="MS Mincho"/>
          <w:lang w:val="fr-FR"/>
        </w:rPr>
        <w:t>2 (par. 2), lu conjointement avec l</w:t>
      </w:r>
      <w:r>
        <w:rPr>
          <w:rFonts w:eastAsia="MS Mincho"/>
          <w:lang w:val="fr-FR"/>
        </w:rPr>
        <w:t>’</w:t>
      </w:r>
      <w:r w:rsidRPr="006061D3">
        <w:rPr>
          <w:rFonts w:eastAsia="MS Mincho"/>
          <w:lang w:val="fr-FR"/>
        </w:rPr>
        <w:t>article</w:t>
      </w:r>
      <w:r w:rsidR="002279C6">
        <w:rPr>
          <w:rFonts w:eastAsia="MS Mincho"/>
          <w:lang w:val="fr-FR"/>
        </w:rPr>
        <w:t> </w:t>
      </w:r>
      <w:r w:rsidRPr="006061D3">
        <w:rPr>
          <w:rFonts w:eastAsia="MS Mincho"/>
          <w:lang w:val="fr-FR"/>
        </w:rPr>
        <w:t>24 du Pacte. À cet argument, le Comité oppose sa jurisprudence traditionnelle selon laquelle les dispositions de l</w:t>
      </w:r>
      <w:r>
        <w:rPr>
          <w:rFonts w:eastAsia="MS Mincho"/>
          <w:lang w:val="fr-FR"/>
        </w:rPr>
        <w:t>’</w:t>
      </w:r>
      <w:r w:rsidRPr="006061D3">
        <w:rPr>
          <w:rFonts w:eastAsia="MS Mincho"/>
          <w:lang w:val="fr-FR"/>
        </w:rPr>
        <w:t>article</w:t>
      </w:r>
      <w:r w:rsidR="002279C6">
        <w:rPr>
          <w:rFonts w:eastAsia="MS Mincho"/>
          <w:lang w:val="fr-FR"/>
        </w:rPr>
        <w:t> </w:t>
      </w:r>
      <w:r w:rsidRPr="006061D3">
        <w:rPr>
          <w:rFonts w:eastAsia="MS Mincho"/>
          <w:lang w:val="fr-FR"/>
        </w:rPr>
        <w:t>2 (par. 2) ne sauraient être invoquées conjointement avec d</w:t>
      </w:r>
      <w:r>
        <w:rPr>
          <w:rFonts w:eastAsia="MS Mincho"/>
          <w:lang w:val="fr-FR"/>
        </w:rPr>
        <w:t>’</w:t>
      </w:r>
      <w:r w:rsidRPr="006061D3">
        <w:rPr>
          <w:rFonts w:eastAsia="MS Mincho"/>
          <w:lang w:val="fr-FR"/>
        </w:rPr>
        <w:t>autres dispositions du Pacte, sauf lorsque le manquement de l</w:t>
      </w:r>
      <w:r>
        <w:rPr>
          <w:rFonts w:eastAsia="MS Mincho"/>
          <w:lang w:val="fr-FR"/>
        </w:rPr>
        <w:t>’</w:t>
      </w:r>
      <w:r w:rsidRPr="006061D3">
        <w:rPr>
          <w:rFonts w:eastAsia="MS Mincho"/>
          <w:lang w:val="fr-FR"/>
        </w:rPr>
        <w:t>État partie aux obligations que lui impose l</w:t>
      </w:r>
      <w:r>
        <w:rPr>
          <w:rFonts w:eastAsia="MS Mincho"/>
          <w:lang w:val="fr-FR"/>
        </w:rPr>
        <w:t>’</w:t>
      </w:r>
      <w:r w:rsidRPr="006061D3">
        <w:rPr>
          <w:rFonts w:eastAsia="MS Mincho"/>
          <w:lang w:val="fr-FR"/>
        </w:rPr>
        <w:t>article</w:t>
      </w:r>
      <w:r w:rsidR="002279C6">
        <w:rPr>
          <w:rFonts w:eastAsia="MS Mincho"/>
          <w:lang w:val="fr-FR"/>
        </w:rPr>
        <w:t> </w:t>
      </w:r>
      <w:r w:rsidRPr="006061D3">
        <w:rPr>
          <w:rFonts w:eastAsia="MS Mincho"/>
          <w:lang w:val="fr-FR"/>
        </w:rPr>
        <w:t>2 est la cause immédiate d</w:t>
      </w:r>
      <w:r>
        <w:rPr>
          <w:rFonts w:eastAsia="MS Mincho"/>
          <w:lang w:val="fr-FR"/>
        </w:rPr>
        <w:t>’</w:t>
      </w:r>
      <w:r w:rsidRPr="006061D3">
        <w:rPr>
          <w:rFonts w:eastAsia="MS Mincho"/>
          <w:lang w:val="fr-FR"/>
        </w:rPr>
        <w:t>une violation distincte du Pacte qui affecte directement la personne qui se dit lésée. Le Comité précise qu</w:t>
      </w:r>
      <w:r>
        <w:rPr>
          <w:rFonts w:eastAsia="MS Mincho"/>
          <w:lang w:val="fr-FR"/>
        </w:rPr>
        <w:t>’</w:t>
      </w:r>
      <w:r w:rsidRPr="006061D3">
        <w:rPr>
          <w:rFonts w:eastAsia="MS Mincho"/>
          <w:lang w:val="fr-FR"/>
        </w:rPr>
        <w:t>il ne pense pas que l</w:t>
      </w:r>
      <w:r>
        <w:rPr>
          <w:rFonts w:eastAsia="MS Mincho"/>
          <w:lang w:val="fr-FR"/>
        </w:rPr>
        <w:t>’</w:t>
      </w:r>
      <w:r w:rsidRPr="006061D3">
        <w:rPr>
          <w:rFonts w:eastAsia="MS Mincho"/>
          <w:lang w:val="fr-FR"/>
        </w:rPr>
        <w:t>examen de la question de savoir si l</w:t>
      </w:r>
      <w:r>
        <w:rPr>
          <w:rFonts w:eastAsia="MS Mincho"/>
          <w:lang w:val="fr-FR"/>
        </w:rPr>
        <w:t>’</w:t>
      </w:r>
      <w:r w:rsidRPr="006061D3">
        <w:rPr>
          <w:rFonts w:eastAsia="MS Mincho"/>
          <w:lang w:val="fr-FR"/>
        </w:rPr>
        <w:t>État partie n</w:t>
      </w:r>
      <w:r>
        <w:rPr>
          <w:rFonts w:eastAsia="MS Mincho"/>
          <w:lang w:val="fr-FR"/>
        </w:rPr>
        <w:t>’</w:t>
      </w:r>
      <w:r w:rsidRPr="006061D3">
        <w:rPr>
          <w:rFonts w:eastAsia="MS Mincho"/>
          <w:lang w:val="fr-FR"/>
        </w:rPr>
        <w:t>a pas non plus respecté les obligations générales que lui impose l</w:t>
      </w:r>
      <w:r>
        <w:rPr>
          <w:rFonts w:eastAsia="MS Mincho"/>
          <w:lang w:val="fr-FR"/>
        </w:rPr>
        <w:t>’</w:t>
      </w:r>
      <w:r w:rsidRPr="006061D3">
        <w:rPr>
          <w:rFonts w:eastAsia="MS Mincho"/>
          <w:lang w:val="fr-FR"/>
        </w:rPr>
        <w:t>article</w:t>
      </w:r>
      <w:r w:rsidR="002279C6">
        <w:rPr>
          <w:rFonts w:eastAsia="MS Mincho"/>
          <w:lang w:val="fr-FR"/>
        </w:rPr>
        <w:t> </w:t>
      </w:r>
      <w:r w:rsidRPr="006061D3">
        <w:rPr>
          <w:rFonts w:eastAsia="MS Mincho"/>
          <w:lang w:val="fr-FR"/>
        </w:rPr>
        <w:t>2 (par. 2) du Pacte, lu conjointement avec l</w:t>
      </w:r>
      <w:r>
        <w:rPr>
          <w:rFonts w:eastAsia="MS Mincho"/>
          <w:lang w:val="fr-FR"/>
        </w:rPr>
        <w:t>’</w:t>
      </w:r>
      <w:r w:rsidRPr="006061D3">
        <w:rPr>
          <w:rFonts w:eastAsia="MS Mincho"/>
          <w:lang w:val="fr-FR"/>
        </w:rPr>
        <w:t>article</w:t>
      </w:r>
      <w:r w:rsidR="002279C6">
        <w:rPr>
          <w:rFonts w:eastAsia="MS Mincho"/>
          <w:lang w:val="fr-FR"/>
        </w:rPr>
        <w:t> </w:t>
      </w:r>
      <w:r w:rsidRPr="006061D3">
        <w:rPr>
          <w:rFonts w:eastAsia="MS Mincho"/>
          <w:lang w:val="fr-FR"/>
        </w:rPr>
        <w:t>24, serait différent de l</w:t>
      </w:r>
      <w:r>
        <w:rPr>
          <w:rFonts w:eastAsia="MS Mincho"/>
          <w:lang w:val="fr-FR"/>
        </w:rPr>
        <w:t>’</w:t>
      </w:r>
      <w:r w:rsidRPr="006061D3">
        <w:rPr>
          <w:rFonts w:eastAsia="MS Mincho"/>
          <w:lang w:val="fr-FR"/>
        </w:rPr>
        <w:t>examen d</w:t>
      </w:r>
      <w:r>
        <w:rPr>
          <w:rFonts w:eastAsia="MS Mincho"/>
          <w:lang w:val="fr-FR"/>
        </w:rPr>
        <w:t>’</w:t>
      </w:r>
      <w:r w:rsidRPr="006061D3">
        <w:rPr>
          <w:rFonts w:eastAsia="MS Mincho"/>
          <w:lang w:val="fr-FR"/>
        </w:rPr>
        <w:t>une violation des droits de l</w:t>
      </w:r>
      <w:r>
        <w:rPr>
          <w:rFonts w:eastAsia="MS Mincho"/>
          <w:lang w:val="fr-FR"/>
        </w:rPr>
        <w:t>’</w:t>
      </w:r>
      <w:r w:rsidRPr="006061D3">
        <w:rPr>
          <w:rFonts w:eastAsia="MS Mincho"/>
          <w:lang w:val="fr-FR"/>
        </w:rPr>
        <w:t>auteur au titre de l</w:t>
      </w:r>
      <w:r>
        <w:rPr>
          <w:rFonts w:eastAsia="MS Mincho"/>
          <w:lang w:val="fr-FR"/>
        </w:rPr>
        <w:t>’</w:t>
      </w:r>
      <w:r w:rsidRPr="006061D3">
        <w:rPr>
          <w:rFonts w:eastAsia="MS Mincho"/>
          <w:lang w:val="fr-FR"/>
        </w:rPr>
        <w:t>article</w:t>
      </w:r>
      <w:r w:rsidR="002279C6">
        <w:rPr>
          <w:rFonts w:eastAsia="MS Mincho"/>
          <w:lang w:val="fr-FR"/>
        </w:rPr>
        <w:t> </w:t>
      </w:r>
      <w:r w:rsidRPr="006061D3">
        <w:rPr>
          <w:rFonts w:eastAsia="MS Mincho"/>
          <w:lang w:val="fr-FR"/>
        </w:rPr>
        <w:t>24. En conséquence, et dans le sillage de l</w:t>
      </w:r>
      <w:r>
        <w:rPr>
          <w:rFonts w:eastAsia="MS Mincho"/>
          <w:lang w:val="fr-FR"/>
        </w:rPr>
        <w:t>’</w:t>
      </w:r>
      <w:r w:rsidRPr="006061D3">
        <w:rPr>
          <w:rFonts w:eastAsia="MS Mincho"/>
          <w:lang w:val="fr-FR"/>
        </w:rPr>
        <w:t xml:space="preserve">affaire </w:t>
      </w:r>
      <w:r w:rsidRPr="006061D3">
        <w:rPr>
          <w:rFonts w:eastAsia="MS Mincho"/>
          <w:i/>
          <w:iCs/>
          <w:lang w:val="fr-FR"/>
        </w:rPr>
        <w:t>Poliakov</w:t>
      </w:r>
      <w:r w:rsidR="002279C6">
        <w:rPr>
          <w:rFonts w:eastAsia="MS Mincho"/>
          <w:i/>
          <w:iCs/>
          <w:lang w:val="fr-FR"/>
        </w:rPr>
        <w:t> </w:t>
      </w:r>
      <w:r w:rsidRPr="006061D3">
        <w:rPr>
          <w:rFonts w:eastAsia="MS Mincho"/>
          <w:i/>
          <w:iCs/>
          <w:lang w:val="fr-FR"/>
        </w:rPr>
        <w:t>c.</w:t>
      </w:r>
      <w:r w:rsidR="002279C6">
        <w:rPr>
          <w:rFonts w:eastAsia="MS Mincho"/>
          <w:i/>
          <w:iCs/>
          <w:lang w:val="fr-FR"/>
        </w:rPr>
        <w:t> </w:t>
      </w:r>
      <w:r w:rsidRPr="006061D3">
        <w:rPr>
          <w:rFonts w:eastAsia="MS Mincho"/>
          <w:i/>
          <w:iCs/>
          <w:lang w:val="fr-FR"/>
        </w:rPr>
        <w:t>Bélarus</w:t>
      </w:r>
      <w:r w:rsidRPr="006061D3">
        <w:rPr>
          <w:rFonts w:eastAsia="MS Mincho"/>
          <w:lang w:val="fr-FR"/>
        </w:rPr>
        <w:t xml:space="preserve"> (CCPR/C/111/D/2030/2011), le Comité considère que ces griefs sont irrecevables. </w:t>
      </w:r>
    </w:p>
    <w:p w14:paraId="2E6F9244" w14:textId="77777777" w:rsidR="00C66C9A" w:rsidRPr="006061D3" w:rsidRDefault="00C66C9A" w:rsidP="00C66C9A">
      <w:pPr>
        <w:pStyle w:val="SingleTxtG"/>
        <w:rPr>
          <w:rFonts w:eastAsia="MS Mincho"/>
          <w:lang w:val="fr-FR"/>
        </w:rPr>
      </w:pPr>
      <w:r w:rsidRPr="006061D3">
        <w:rPr>
          <w:rFonts w:eastAsia="MS Mincho"/>
          <w:lang w:val="fr-FR"/>
        </w:rPr>
        <w:t>3.</w:t>
      </w:r>
      <w:r w:rsidRPr="006061D3">
        <w:rPr>
          <w:rFonts w:eastAsia="MS Mincho"/>
          <w:lang w:val="fr-FR"/>
        </w:rPr>
        <w:tab/>
        <w:t>Je voudrais tout d</w:t>
      </w:r>
      <w:r>
        <w:rPr>
          <w:rFonts w:eastAsia="MS Mincho"/>
          <w:lang w:val="fr-FR"/>
        </w:rPr>
        <w:t>’</w:t>
      </w:r>
      <w:r w:rsidRPr="006061D3">
        <w:rPr>
          <w:rFonts w:eastAsia="MS Mincho"/>
          <w:lang w:val="fr-FR"/>
        </w:rPr>
        <w:t>abord réaffirmer ici que je désapprouve les deux règles générales posées par les constatations du Comité dans l</w:t>
      </w:r>
      <w:r>
        <w:rPr>
          <w:rFonts w:eastAsia="MS Mincho"/>
          <w:lang w:val="fr-FR"/>
        </w:rPr>
        <w:t>’</w:t>
      </w:r>
      <w:r w:rsidRPr="006061D3">
        <w:rPr>
          <w:rFonts w:eastAsia="MS Mincho"/>
          <w:lang w:val="fr-FR"/>
        </w:rPr>
        <w:t xml:space="preserve">affaire </w:t>
      </w:r>
      <w:r w:rsidRPr="006061D3">
        <w:rPr>
          <w:rFonts w:eastAsia="MS Mincho"/>
          <w:i/>
          <w:iCs/>
          <w:lang w:val="fr-FR"/>
        </w:rPr>
        <w:t>Poliakov</w:t>
      </w:r>
      <w:r w:rsidR="002279C6">
        <w:rPr>
          <w:rFonts w:eastAsia="MS Mincho"/>
          <w:i/>
          <w:iCs/>
          <w:lang w:val="fr-FR"/>
        </w:rPr>
        <w:t> </w:t>
      </w:r>
      <w:r w:rsidRPr="006061D3">
        <w:rPr>
          <w:rFonts w:eastAsia="MS Mincho"/>
          <w:i/>
          <w:iCs/>
          <w:lang w:val="fr-FR"/>
        </w:rPr>
        <w:t>c.</w:t>
      </w:r>
      <w:r w:rsidR="002279C6">
        <w:rPr>
          <w:rFonts w:eastAsia="MS Mincho"/>
          <w:i/>
          <w:iCs/>
          <w:lang w:val="fr-FR"/>
        </w:rPr>
        <w:t> </w:t>
      </w:r>
      <w:r w:rsidRPr="006061D3">
        <w:rPr>
          <w:rFonts w:eastAsia="MS Mincho"/>
          <w:i/>
          <w:iCs/>
          <w:lang w:val="fr-FR"/>
        </w:rPr>
        <w:t>Bélarus</w:t>
      </w:r>
      <w:r w:rsidRPr="006061D3">
        <w:rPr>
          <w:rFonts w:eastAsia="MS Mincho"/>
          <w:lang w:val="fr-FR"/>
        </w:rPr>
        <w:t>. La première indique que les dispositions de l</w:t>
      </w:r>
      <w:r>
        <w:rPr>
          <w:rFonts w:eastAsia="MS Mincho"/>
          <w:lang w:val="fr-FR"/>
        </w:rPr>
        <w:t>’</w:t>
      </w:r>
      <w:r w:rsidRPr="006061D3">
        <w:rPr>
          <w:rFonts w:eastAsia="MS Mincho"/>
          <w:lang w:val="fr-FR"/>
        </w:rPr>
        <w:t>article</w:t>
      </w:r>
      <w:r w:rsidR="002279C6">
        <w:rPr>
          <w:rFonts w:eastAsia="MS Mincho"/>
          <w:lang w:val="fr-FR"/>
        </w:rPr>
        <w:t> </w:t>
      </w:r>
      <w:r w:rsidRPr="006061D3">
        <w:rPr>
          <w:rFonts w:eastAsia="MS Mincho"/>
          <w:lang w:val="fr-FR"/>
        </w:rPr>
        <w:t>2 du Pacte, qui énoncent une obligation générale à l</w:t>
      </w:r>
      <w:r>
        <w:rPr>
          <w:rFonts w:eastAsia="MS Mincho"/>
          <w:lang w:val="fr-FR"/>
        </w:rPr>
        <w:t>’</w:t>
      </w:r>
      <w:r w:rsidRPr="006061D3">
        <w:rPr>
          <w:rFonts w:eastAsia="MS Mincho"/>
          <w:lang w:val="fr-FR"/>
        </w:rPr>
        <w:t>intention des États parties, ne peuvent pas être invoquées isolément dans une communication présentée en vertu du Protocole facultatif. La deuxième implique que l</w:t>
      </w:r>
      <w:r>
        <w:rPr>
          <w:rFonts w:eastAsia="MS Mincho"/>
          <w:lang w:val="fr-FR"/>
        </w:rPr>
        <w:t>’</w:t>
      </w:r>
      <w:r w:rsidRPr="006061D3">
        <w:rPr>
          <w:rFonts w:eastAsia="MS Mincho"/>
          <w:lang w:val="fr-FR"/>
        </w:rPr>
        <w:t>article</w:t>
      </w:r>
      <w:r w:rsidR="002279C6">
        <w:rPr>
          <w:rFonts w:eastAsia="MS Mincho"/>
          <w:lang w:val="fr-FR"/>
        </w:rPr>
        <w:t> </w:t>
      </w:r>
      <w:r w:rsidRPr="006061D3">
        <w:rPr>
          <w:rFonts w:eastAsia="MS Mincho"/>
          <w:lang w:val="fr-FR"/>
        </w:rPr>
        <w:t>2 ne peut être invoqué conjointement avec d</w:t>
      </w:r>
      <w:r>
        <w:rPr>
          <w:rFonts w:eastAsia="MS Mincho"/>
          <w:lang w:val="fr-FR"/>
        </w:rPr>
        <w:t>’</w:t>
      </w:r>
      <w:r w:rsidRPr="006061D3">
        <w:rPr>
          <w:rFonts w:eastAsia="MS Mincho"/>
          <w:lang w:val="fr-FR"/>
        </w:rPr>
        <w:t>autres articles du Pacte, à moins de prouver que le manquement de l</w:t>
      </w:r>
      <w:r>
        <w:rPr>
          <w:rFonts w:eastAsia="MS Mincho"/>
          <w:lang w:val="fr-FR"/>
        </w:rPr>
        <w:t>’</w:t>
      </w:r>
      <w:r w:rsidRPr="006061D3">
        <w:rPr>
          <w:rFonts w:eastAsia="MS Mincho"/>
          <w:lang w:val="fr-FR"/>
        </w:rPr>
        <w:t>État partie est la cause immédiate d</w:t>
      </w:r>
      <w:r>
        <w:rPr>
          <w:rFonts w:eastAsia="MS Mincho"/>
          <w:lang w:val="fr-FR"/>
        </w:rPr>
        <w:t>’</w:t>
      </w:r>
      <w:r w:rsidRPr="006061D3">
        <w:rPr>
          <w:rFonts w:eastAsia="MS Mincho"/>
          <w:lang w:val="fr-FR"/>
        </w:rPr>
        <w:t xml:space="preserve">une violation distincte du Pacte qui affecte directement la victime. </w:t>
      </w:r>
    </w:p>
    <w:p w14:paraId="094B00D7" w14:textId="77777777" w:rsidR="00C66C9A" w:rsidRPr="006061D3" w:rsidRDefault="00C66C9A" w:rsidP="00C66C9A">
      <w:pPr>
        <w:pStyle w:val="SingleTxtG"/>
        <w:rPr>
          <w:rFonts w:eastAsia="MS Mincho"/>
          <w:lang w:val="fr-FR"/>
        </w:rPr>
      </w:pPr>
      <w:r w:rsidRPr="006061D3">
        <w:rPr>
          <w:rFonts w:eastAsia="MS Mincho"/>
          <w:lang w:val="fr-FR"/>
        </w:rPr>
        <w:t>4.</w:t>
      </w:r>
      <w:r w:rsidRPr="006061D3">
        <w:rPr>
          <w:rFonts w:eastAsia="MS Mincho"/>
          <w:lang w:val="fr-FR"/>
        </w:rPr>
        <w:tab/>
        <w:t>La première règle, qui remonte à une jurisprudence bien antérieure à l</w:t>
      </w:r>
      <w:r>
        <w:rPr>
          <w:rFonts w:eastAsia="MS Mincho"/>
          <w:lang w:val="fr-FR"/>
        </w:rPr>
        <w:t>’</w:t>
      </w:r>
      <w:r w:rsidRPr="006061D3">
        <w:rPr>
          <w:rFonts w:eastAsia="MS Mincho"/>
          <w:lang w:val="fr-FR"/>
        </w:rPr>
        <w:t xml:space="preserve">affaire </w:t>
      </w:r>
      <w:r w:rsidRPr="006061D3">
        <w:rPr>
          <w:rFonts w:eastAsia="MS Mincho"/>
          <w:i/>
          <w:iCs/>
          <w:lang w:val="fr-FR"/>
        </w:rPr>
        <w:t>Poliakov</w:t>
      </w:r>
      <w:r w:rsidR="002279C6">
        <w:rPr>
          <w:rFonts w:eastAsia="MS Mincho"/>
          <w:i/>
          <w:iCs/>
          <w:lang w:val="fr-FR"/>
        </w:rPr>
        <w:t> </w:t>
      </w:r>
      <w:r w:rsidRPr="006061D3">
        <w:rPr>
          <w:rFonts w:eastAsia="MS Mincho"/>
          <w:i/>
          <w:iCs/>
          <w:lang w:val="fr-FR"/>
        </w:rPr>
        <w:t>c.</w:t>
      </w:r>
      <w:r w:rsidR="002279C6">
        <w:rPr>
          <w:rFonts w:eastAsia="MS Mincho"/>
          <w:i/>
          <w:iCs/>
          <w:lang w:val="fr-FR"/>
        </w:rPr>
        <w:t> </w:t>
      </w:r>
      <w:r w:rsidRPr="006061D3">
        <w:rPr>
          <w:rFonts w:eastAsia="MS Mincho"/>
          <w:i/>
          <w:iCs/>
          <w:lang w:val="fr-FR"/>
        </w:rPr>
        <w:t>Bélarus</w:t>
      </w:r>
      <w:r w:rsidRPr="006061D3">
        <w:rPr>
          <w:rFonts w:eastAsia="MS Mincho"/>
          <w:lang w:val="fr-FR"/>
        </w:rPr>
        <w:t>, puisqu</w:t>
      </w:r>
      <w:r>
        <w:rPr>
          <w:rFonts w:eastAsia="MS Mincho"/>
          <w:lang w:val="fr-FR"/>
        </w:rPr>
        <w:t>’</w:t>
      </w:r>
      <w:r w:rsidRPr="006061D3">
        <w:rPr>
          <w:rFonts w:eastAsia="MS Mincho"/>
          <w:lang w:val="fr-FR"/>
        </w:rPr>
        <w:t>elle date des années 1990, repose sur le caractère second ou « accessoire » des dispositions de l</w:t>
      </w:r>
      <w:r>
        <w:rPr>
          <w:rFonts w:eastAsia="MS Mincho"/>
          <w:lang w:val="fr-FR"/>
        </w:rPr>
        <w:t>’</w:t>
      </w:r>
      <w:r w:rsidRPr="006061D3">
        <w:rPr>
          <w:rFonts w:eastAsia="MS Mincho"/>
          <w:lang w:val="fr-FR"/>
        </w:rPr>
        <w:t>article</w:t>
      </w:r>
      <w:r w:rsidR="002279C6">
        <w:rPr>
          <w:rFonts w:eastAsia="MS Mincho"/>
          <w:lang w:val="fr-FR"/>
        </w:rPr>
        <w:t> </w:t>
      </w:r>
      <w:r w:rsidRPr="006061D3">
        <w:rPr>
          <w:rFonts w:eastAsia="MS Mincho"/>
          <w:lang w:val="fr-FR"/>
        </w:rPr>
        <w:t>2 du Pacte, qui n</w:t>
      </w:r>
      <w:r>
        <w:rPr>
          <w:rFonts w:eastAsia="MS Mincho"/>
          <w:lang w:val="fr-FR"/>
        </w:rPr>
        <w:t>’</w:t>
      </w:r>
      <w:r w:rsidRPr="006061D3">
        <w:rPr>
          <w:rFonts w:eastAsia="MS Mincho"/>
          <w:lang w:val="fr-FR"/>
        </w:rPr>
        <w:t>a pas d</w:t>
      </w:r>
      <w:r>
        <w:rPr>
          <w:rFonts w:eastAsia="MS Mincho"/>
          <w:lang w:val="fr-FR"/>
        </w:rPr>
        <w:t>’</w:t>
      </w:r>
      <w:r w:rsidRPr="006061D3">
        <w:rPr>
          <w:rFonts w:eastAsia="MS Mincho"/>
          <w:lang w:val="fr-FR"/>
        </w:rPr>
        <w:t>effet substantiel sur les droits subjectifs qu</w:t>
      </w:r>
      <w:r>
        <w:rPr>
          <w:rFonts w:eastAsia="MS Mincho"/>
          <w:lang w:val="fr-FR"/>
        </w:rPr>
        <w:t>’</w:t>
      </w:r>
      <w:r w:rsidRPr="006061D3">
        <w:rPr>
          <w:rFonts w:eastAsia="MS Mincho"/>
          <w:lang w:val="fr-FR"/>
        </w:rPr>
        <w:t>une personne pourrait tirer du Pacte. L</w:t>
      </w:r>
      <w:r>
        <w:rPr>
          <w:rFonts w:eastAsia="MS Mincho"/>
          <w:lang w:val="fr-FR"/>
        </w:rPr>
        <w:t>’</w:t>
      </w:r>
      <w:r w:rsidRPr="006061D3">
        <w:rPr>
          <w:rFonts w:eastAsia="MS Mincho"/>
          <w:lang w:val="fr-FR"/>
        </w:rPr>
        <w:t>énoncé de ces droits ne commençant qu</w:t>
      </w:r>
      <w:r>
        <w:rPr>
          <w:rFonts w:eastAsia="MS Mincho"/>
          <w:lang w:val="fr-FR"/>
        </w:rPr>
        <w:t>’</w:t>
      </w:r>
      <w:r w:rsidRPr="006061D3">
        <w:rPr>
          <w:rFonts w:eastAsia="MS Mincho"/>
          <w:lang w:val="fr-FR"/>
        </w:rPr>
        <w:t>à partir de la troisième partie du Pacte, il en résulte que le préambule et les articles</w:t>
      </w:r>
      <w:r w:rsidR="002279C6">
        <w:rPr>
          <w:rFonts w:eastAsia="MS Mincho"/>
          <w:lang w:val="fr-FR"/>
        </w:rPr>
        <w:t> </w:t>
      </w:r>
      <w:r w:rsidRPr="006061D3">
        <w:rPr>
          <w:rFonts w:eastAsia="MS Mincho"/>
          <w:lang w:val="fr-FR"/>
        </w:rPr>
        <w:t>1 à 5 ne peuvent pas être invoqués directement dans une communication présentée sur la base du Protocole facultatif, comme l</w:t>
      </w:r>
      <w:r>
        <w:rPr>
          <w:rFonts w:eastAsia="MS Mincho"/>
          <w:lang w:val="fr-FR"/>
        </w:rPr>
        <w:t>’</w:t>
      </w:r>
      <w:r w:rsidRPr="006061D3">
        <w:rPr>
          <w:rFonts w:eastAsia="MS Mincho"/>
          <w:lang w:val="fr-FR"/>
        </w:rPr>
        <w:t>a décidé le Comité dans l</w:t>
      </w:r>
      <w:r>
        <w:rPr>
          <w:rFonts w:eastAsia="MS Mincho"/>
          <w:lang w:val="fr-FR"/>
        </w:rPr>
        <w:t>’</w:t>
      </w:r>
      <w:r w:rsidRPr="006061D3">
        <w:rPr>
          <w:rFonts w:eastAsia="MS Mincho"/>
          <w:lang w:val="fr-FR"/>
        </w:rPr>
        <w:t xml:space="preserve">affaire </w:t>
      </w:r>
      <w:r w:rsidRPr="006061D3">
        <w:rPr>
          <w:rFonts w:eastAsia="MS Mincho"/>
          <w:i/>
          <w:iCs/>
          <w:lang w:val="fr-FR"/>
        </w:rPr>
        <w:t>Bande du lac Lubicon</w:t>
      </w:r>
      <w:r w:rsidR="002279C6">
        <w:rPr>
          <w:rFonts w:eastAsia="MS Mincho"/>
          <w:i/>
          <w:iCs/>
          <w:lang w:val="fr-FR"/>
        </w:rPr>
        <w:t> </w:t>
      </w:r>
      <w:r w:rsidRPr="006061D3">
        <w:rPr>
          <w:rFonts w:eastAsia="MS Mincho"/>
          <w:i/>
          <w:iCs/>
          <w:lang w:val="fr-FR"/>
        </w:rPr>
        <w:t>c.</w:t>
      </w:r>
      <w:r w:rsidR="002279C6">
        <w:rPr>
          <w:rFonts w:eastAsia="MS Mincho"/>
          <w:i/>
          <w:iCs/>
          <w:lang w:val="fr-FR"/>
        </w:rPr>
        <w:t> </w:t>
      </w:r>
      <w:r w:rsidRPr="006061D3">
        <w:rPr>
          <w:rFonts w:eastAsia="MS Mincho"/>
          <w:i/>
          <w:iCs/>
          <w:lang w:val="fr-FR"/>
        </w:rPr>
        <w:t>Canada</w:t>
      </w:r>
      <w:r w:rsidRPr="006061D3">
        <w:rPr>
          <w:rFonts w:eastAsia="MS Mincho"/>
          <w:lang w:val="fr-FR"/>
        </w:rPr>
        <w:t xml:space="preserve"> (CCPR/C/38/D/167/1984). Cette interprétation soulève un immense débat. Je me contenterai d</w:t>
      </w:r>
      <w:r>
        <w:rPr>
          <w:rFonts w:eastAsia="MS Mincho"/>
          <w:lang w:val="fr-FR"/>
        </w:rPr>
        <w:t>’</w:t>
      </w:r>
      <w:r w:rsidRPr="006061D3">
        <w:rPr>
          <w:rFonts w:eastAsia="MS Mincho"/>
          <w:lang w:val="fr-FR"/>
        </w:rPr>
        <w:t>affirmer qu</w:t>
      </w:r>
      <w:r>
        <w:rPr>
          <w:rFonts w:eastAsia="MS Mincho"/>
          <w:lang w:val="fr-FR"/>
        </w:rPr>
        <w:t>’</w:t>
      </w:r>
      <w:r w:rsidRPr="006061D3">
        <w:rPr>
          <w:rFonts w:eastAsia="MS Mincho"/>
          <w:lang w:val="fr-FR"/>
        </w:rPr>
        <w:t>elle me semble contestable à plusieurs points de vue, notamment parce qu</w:t>
      </w:r>
      <w:r>
        <w:rPr>
          <w:rFonts w:eastAsia="MS Mincho"/>
          <w:lang w:val="fr-FR"/>
        </w:rPr>
        <w:t>’</w:t>
      </w:r>
      <w:r w:rsidRPr="006061D3">
        <w:rPr>
          <w:rFonts w:eastAsia="MS Mincho"/>
          <w:lang w:val="fr-FR"/>
        </w:rPr>
        <w:t>elle est contraire aux règles d</w:t>
      </w:r>
      <w:r>
        <w:rPr>
          <w:rFonts w:eastAsia="MS Mincho"/>
          <w:lang w:val="fr-FR"/>
        </w:rPr>
        <w:t>’</w:t>
      </w:r>
      <w:r w:rsidRPr="006061D3">
        <w:rPr>
          <w:rFonts w:eastAsia="MS Mincho"/>
          <w:lang w:val="fr-FR"/>
        </w:rPr>
        <w:t>interprétation posées par l</w:t>
      </w:r>
      <w:r>
        <w:rPr>
          <w:rFonts w:eastAsia="MS Mincho"/>
          <w:lang w:val="fr-FR"/>
        </w:rPr>
        <w:t>’</w:t>
      </w:r>
      <w:r w:rsidRPr="006061D3">
        <w:rPr>
          <w:rFonts w:eastAsia="MS Mincho"/>
          <w:lang w:val="fr-FR"/>
        </w:rPr>
        <w:t>article</w:t>
      </w:r>
      <w:r w:rsidR="002279C6">
        <w:rPr>
          <w:rFonts w:eastAsia="MS Mincho"/>
          <w:lang w:val="fr-FR"/>
        </w:rPr>
        <w:t> </w:t>
      </w:r>
      <w:r w:rsidRPr="006061D3">
        <w:rPr>
          <w:rFonts w:eastAsia="MS Mincho"/>
          <w:lang w:val="fr-FR"/>
        </w:rPr>
        <w:t>31 de la Convention de Vienne sur le droit des traités, et parce qu</w:t>
      </w:r>
      <w:r>
        <w:rPr>
          <w:rFonts w:eastAsia="MS Mincho"/>
          <w:lang w:val="fr-FR"/>
        </w:rPr>
        <w:t>’</w:t>
      </w:r>
      <w:r w:rsidRPr="006061D3">
        <w:rPr>
          <w:rFonts w:eastAsia="MS Mincho"/>
          <w:lang w:val="fr-FR"/>
        </w:rPr>
        <w:t>il est difficile de comprendre pourquoi une telle obligation peut être opposable à l</w:t>
      </w:r>
      <w:r>
        <w:rPr>
          <w:rFonts w:eastAsia="MS Mincho"/>
          <w:lang w:val="fr-FR"/>
        </w:rPr>
        <w:t>’</w:t>
      </w:r>
      <w:r w:rsidRPr="006061D3">
        <w:rPr>
          <w:rFonts w:eastAsia="MS Mincho"/>
          <w:lang w:val="fr-FR"/>
        </w:rPr>
        <w:t>État partie, en vertu du Pacte, dans les observations finales du Comité (qui pourraient parfaitement servir de titre aux particuliers pour réclamer le respect de leurs droits par l</w:t>
      </w:r>
      <w:r>
        <w:rPr>
          <w:rFonts w:eastAsia="MS Mincho"/>
          <w:lang w:val="fr-FR"/>
        </w:rPr>
        <w:t>’</w:t>
      </w:r>
      <w:r w:rsidRPr="006061D3">
        <w:rPr>
          <w:rFonts w:eastAsia="MS Mincho"/>
          <w:lang w:val="fr-FR"/>
        </w:rPr>
        <w:t>État partie), et ne pas l</w:t>
      </w:r>
      <w:r>
        <w:rPr>
          <w:rFonts w:eastAsia="MS Mincho"/>
          <w:lang w:val="fr-FR"/>
        </w:rPr>
        <w:t>’</w:t>
      </w:r>
      <w:r w:rsidRPr="006061D3">
        <w:rPr>
          <w:rFonts w:eastAsia="MS Mincho"/>
          <w:lang w:val="fr-FR"/>
        </w:rPr>
        <w:t>être, en vertu du même Pacte, dans le cadre du Protocole facultatif. Ce dernier ne constitue pourtant qu</w:t>
      </w:r>
      <w:r>
        <w:rPr>
          <w:rFonts w:eastAsia="MS Mincho"/>
          <w:lang w:val="fr-FR"/>
        </w:rPr>
        <w:t>’</w:t>
      </w:r>
      <w:r w:rsidRPr="006061D3">
        <w:rPr>
          <w:rFonts w:eastAsia="MS Mincho"/>
          <w:lang w:val="fr-FR"/>
        </w:rPr>
        <w:t>un instrument procédural de mise en application du Pacte, et non d</w:t>
      </w:r>
      <w:r>
        <w:rPr>
          <w:rFonts w:eastAsia="MS Mincho"/>
          <w:lang w:val="fr-FR"/>
        </w:rPr>
        <w:t>’</w:t>
      </w:r>
      <w:r w:rsidRPr="006061D3">
        <w:rPr>
          <w:rFonts w:eastAsia="MS Mincho"/>
          <w:lang w:val="fr-FR"/>
        </w:rPr>
        <w:t xml:space="preserve">une partie du Pacte. </w:t>
      </w:r>
    </w:p>
    <w:p w14:paraId="1D6BEC2F" w14:textId="77777777" w:rsidR="00C66C9A" w:rsidRPr="006061D3" w:rsidRDefault="00C66C9A" w:rsidP="00C66C9A">
      <w:pPr>
        <w:pStyle w:val="SingleTxtG"/>
        <w:rPr>
          <w:rFonts w:eastAsia="MS Mincho"/>
          <w:lang w:val="fr-FR"/>
        </w:rPr>
      </w:pPr>
      <w:r w:rsidRPr="006061D3">
        <w:rPr>
          <w:rFonts w:eastAsia="MS Mincho"/>
          <w:lang w:val="fr-FR"/>
        </w:rPr>
        <w:t>5.</w:t>
      </w:r>
      <w:r w:rsidRPr="006061D3">
        <w:rPr>
          <w:rFonts w:eastAsia="MS Mincho"/>
          <w:lang w:val="fr-FR"/>
        </w:rPr>
        <w:tab/>
        <w:t>D</w:t>
      </w:r>
      <w:r>
        <w:rPr>
          <w:rFonts w:eastAsia="MS Mincho"/>
          <w:lang w:val="fr-FR"/>
        </w:rPr>
        <w:t>’</w:t>
      </w:r>
      <w:r w:rsidRPr="006061D3">
        <w:rPr>
          <w:rFonts w:eastAsia="MS Mincho"/>
          <w:lang w:val="fr-FR"/>
        </w:rPr>
        <w:t>ailleurs, le Comité ne se prive pas de juger dans ce sens, comme il l</w:t>
      </w:r>
      <w:r>
        <w:rPr>
          <w:rFonts w:eastAsia="MS Mincho"/>
          <w:lang w:val="fr-FR"/>
        </w:rPr>
        <w:t>’</w:t>
      </w:r>
      <w:r w:rsidRPr="006061D3">
        <w:rPr>
          <w:rFonts w:eastAsia="MS Mincho"/>
          <w:lang w:val="fr-FR"/>
        </w:rPr>
        <w:t>a fait dans l</w:t>
      </w:r>
      <w:r>
        <w:rPr>
          <w:rFonts w:eastAsia="MS Mincho"/>
          <w:lang w:val="fr-FR"/>
        </w:rPr>
        <w:t>’</w:t>
      </w:r>
      <w:r w:rsidRPr="006061D3">
        <w:rPr>
          <w:rFonts w:eastAsia="MS Mincho"/>
          <w:lang w:val="fr-FR"/>
        </w:rPr>
        <w:t xml:space="preserve">affaire </w:t>
      </w:r>
      <w:r w:rsidRPr="006061D3">
        <w:rPr>
          <w:rFonts w:eastAsia="MS Mincho"/>
          <w:i/>
          <w:iCs/>
          <w:lang w:val="fr-FR"/>
        </w:rPr>
        <w:t>Rabbae et consorts c.</w:t>
      </w:r>
      <w:r w:rsidR="002279C6">
        <w:rPr>
          <w:rFonts w:eastAsia="MS Mincho"/>
          <w:i/>
          <w:iCs/>
          <w:lang w:val="fr-FR"/>
        </w:rPr>
        <w:t> </w:t>
      </w:r>
      <w:r w:rsidRPr="006061D3">
        <w:rPr>
          <w:rFonts w:eastAsia="MS Mincho"/>
          <w:i/>
          <w:iCs/>
          <w:lang w:val="fr-FR"/>
        </w:rPr>
        <w:t>Pays-Bas</w:t>
      </w:r>
      <w:r w:rsidRPr="006061D3">
        <w:rPr>
          <w:rFonts w:eastAsia="MS Mincho"/>
          <w:lang w:val="fr-FR"/>
        </w:rPr>
        <w:t xml:space="preserve"> (CCPR/C/117/D/2124/2011, par. 9.7). Alors que l</w:t>
      </w:r>
      <w:r>
        <w:rPr>
          <w:rFonts w:eastAsia="MS Mincho"/>
          <w:lang w:val="fr-FR"/>
        </w:rPr>
        <w:t>’</w:t>
      </w:r>
      <w:r w:rsidRPr="006061D3">
        <w:rPr>
          <w:rFonts w:eastAsia="MS Mincho"/>
          <w:lang w:val="fr-FR"/>
        </w:rPr>
        <w:t>État défendeur prétendait que l</w:t>
      </w:r>
      <w:r>
        <w:rPr>
          <w:rFonts w:eastAsia="MS Mincho"/>
          <w:lang w:val="fr-FR"/>
        </w:rPr>
        <w:t>’</w:t>
      </w:r>
      <w:r w:rsidRPr="006061D3">
        <w:rPr>
          <w:rFonts w:eastAsia="MS Mincho"/>
          <w:lang w:val="fr-FR"/>
        </w:rPr>
        <w:t>article</w:t>
      </w:r>
      <w:r w:rsidR="002279C6">
        <w:rPr>
          <w:rFonts w:eastAsia="MS Mincho"/>
          <w:lang w:val="fr-FR"/>
        </w:rPr>
        <w:t> </w:t>
      </w:r>
      <w:r w:rsidRPr="006061D3">
        <w:rPr>
          <w:rFonts w:eastAsia="MS Mincho"/>
          <w:lang w:val="fr-FR"/>
        </w:rPr>
        <w:t>20 du Pacte n</w:t>
      </w:r>
      <w:r>
        <w:rPr>
          <w:rFonts w:eastAsia="MS Mincho"/>
          <w:lang w:val="fr-FR"/>
        </w:rPr>
        <w:t>’</w:t>
      </w:r>
      <w:r w:rsidRPr="006061D3">
        <w:rPr>
          <w:rFonts w:eastAsia="MS Mincho"/>
          <w:lang w:val="fr-FR"/>
        </w:rPr>
        <w:t>était pas formulé en termes de droit opposable en justice, le Comité a estimé au contraire que cet article était bien opposable à l</w:t>
      </w:r>
      <w:r>
        <w:rPr>
          <w:rFonts w:eastAsia="MS Mincho"/>
          <w:lang w:val="fr-FR"/>
        </w:rPr>
        <w:t>’</w:t>
      </w:r>
      <w:r w:rsidRPr="006061D3">
        <w:rPr>
          <w:rFonts w:eastAsia="MS Mincho"/>
          <w:lang w:val="fr-FR"/>
        </w:rPr>
        <w:t>État partie par les particuliers lésés et s</w:t>
      </w:r>
      <w:r>
        <w:rPr>
          <w:rFonts w:eastAsia="MS Mincho"/>
          <w:lang w:val="fr-FR"/>
        </w:rPr>
        <w:t>’</w:t>
      </w:r>
      <w:r w:rsidRPr="006061D3">
        <w:rPr>
          <w:rFonts w:eastAsia="MS Mincho"/>
          <w:lang w:val="fr-FR"/>
        </w:rPr>
        <w:t>inscrivait dans la logique de protection qui sous</w:t>
      </w:r>
      <w:r w:rsidR="0067428A">
        <w:rPr>
          <w:rFonts w:eastAsia="MS Mincho"/>
          <w:lang w:val="fr-FR"/>
        </w:rPr>
        <w:noBreakHyphen/>
      </w:r>
      <w:r w:rsidRPr="006061D3">
        <w:rPr>
          <w:rFonts w:eastAsia="MS Mincho"/>
          <w:lang w:val="fr-FR"/>
        </w:rPr>
        <w:t>tendait l</w:t>
      </w:r>
      <w:r>
        <w:rPr>
          <w:rFonts w:eastAsia="MS Mincho"/>
          <w:lang w:val="fr-FR"/>
        </w:rPr>
        <w:t>’</w:t>
      </w:r>
      <w:r w:rsidRPr="006061D3">
        <w:rPr>
          <w:rFonts w:eastAsia="MS Mincho"/>
          <w:lang w:val="fr-FR"/>
        </w:rPr>
        <w:t>ensemble du Pacte. Or, l</w:t>
      </w:r>
      <w:r>
        <w:rPr>
          <w:rFonts w:eastAsia="MS Mincho"/>
          <w:lang w:val="fr-FR"/>
        </w:rPr>
        <w:t>’</w:t>
      </w:r>
      <w:r w:rsidRPr="006061D3">
        <w:rPr>
          <w:rFonts w:eastAsia="MS Mincho"/>
          <w:lang w:val="fr-FR"/>
        </w:rPr>
        <w:t>article</w:t>
      </w:r>
      <w:r w:rsidR="002279C6">
        <w:rPr>
          <w:rFonts w:eastAsia="MS Mincho"/>
          <w:lang w:val="fr-FR"/>
        </w:rPr>
        <w:t> </w:t>
      </w:r>
      <w:r w:rsidRPr="006061D3">
        <w:rPr>
          <w:rFonts w:eastAsia="MS Mincho"/>
          <w:lang w:val="fr-FR"/>
        </w:rPr>
        <w:t>20 (par. 2) du Pacte est de la même veine que l</w:t>
      </w:r>
      <w:r>
        <w:rPr>
          <w:rFonts w:eastAsia="MS Mincho"/>
          <w:lang w:val="fr-FR"/>
        </w:rPr>
        <w:t>’</w:t>
      </w:r>
      <w:r w:rsidRPr="006061D3">
        <w:rPr>
          <w:rFonts w:eastAsia="MS Mincho"/>
          <w:lang w:val="fr-FR"/>
        </w:rPr>
        <w:t>article</w:t>
      </w:r>
      <w:r w:rsidR="002279C6">
        <w:rPr>
          <w:rFonts w:eastAsia="MS Mincho"/>
          <w:lang w:val="fr-FR"/>
        </w:rPr>
        <w:t> </w:t>
      </w:r>
      <w:r w:rsidRPr="006061D3">
        <w:rPr>
          <w:rFonts w:eastAsia="MS Mincho"/>
          <w:lang w:val="fr-FR"/>
        </w:rPr>
        <w:t>2, puisqu</w:t>
      </w:r>
      <w:r>
        <w:rPr>
          <w:rFonts w:eastAsia="MS Mincho"/>
          <w:lang w:val="fr-FR"/>
        </w:rPr>
        <w:t>’</w:t>
      </w:r>
      <w:r w:rsidRPr="006061D3">
        <w:rPr>
          <w:rFonts w:eastAsia="MS Mincho"/>
          <w:lang w:val="fr-FR"/>
        </w:rPr>
        <w:t>il s</w:t>
      </w:r>
      <w:r>
        <w:rPr>
          <w:rFonts w:eastAsia="MS Mincho"/>
          <w:lang w:val="fr-FR"/>
        </w:rPr>
        <w:t>’</w:t>
      </w:r>
      <w:r w:rsidRPr="006061D3">
        <w:rPr>
          <w:rFonts w:eastAsia="MS Mincho"/>
          <w:lang w:val="fr-FR"/>
        </w:rPr>
        <w:t>agit en vérité d</w:t>
      </w:r>
      <w:r>
        <w:rPr>
          <w:rFonts w:eastAsia="MS Mincho"/>
          <w:lang w:val="fr-FR"/>
        </w:rPr>
        <w:t>’</w:t>
      </w:r>
      <w:r w:rsidRPr="006061D3">
        <w:rPr>
          <w:rFonts w:eastAsia="MS Mincho"/>
          <w:lang w:val="fr-FR"/>
        </w:rPr>
        <w:t>un engagement de l</w:t>
      </w:r>
      <w:r>
        <w:rPr>
          <w:rFonts w:eastAsia="MS Mincho"/>
          <w:lang w:val="fr-FR"/>
        </w:rPr>
        <w:t>’</w:t>
      </w:r>
      <w:r w:rsidRPr="006061D3">
        <w:rPr>
          <w:rFonts w:eastAsia="MS Mincho"/>
          <w:lang w:val="fr-FR"/>
        </w:rPr>
        <w:t>État partie d</w:t>
      </w:r>
      <w:r>
        <w:rPr>
          <w:rFonts w:eastAsia="MS Mincho"/>
          <w:lang w:val="fr-FR"/>
        </w:rPr>
        <w:t>’</w:t>
      </w:r>
      <w:r w:rsidRPr="006061D3">
        <w:rPr>
          <w:rFonts w:eastAsia="MS Mincho"/>
          <w:lang w:val="fr-FR"/>
        </w:rPr>
        <w:t>interdire par la loi (mesures d</w:t>
      </w:r>
      <w:r>
        <w:rPr>
          <w:rFonts w:eastAsia="MS Mincho"/>
          <w:lang w:val="fr-FR"/>
        </w:rPr>
        <w:t>’</w:t>
      </w:r>
      <w:r w:rsidRPr="006061D3">
        <w:rPr>
          <w:rFonts w:eastAsia="MS Mincho"/>
          <w:lang w:val="fr-FR"/>
        </w:rPr>
        <w:t>ordre législatif, à l</w:t>
      </w:r>
      <w:r>
        <w:rPr>
          <w:rFonts w:eastAsia="MS Mincho"/>
          <w:lang w:val="fr-FR"/>
        </w:rPr>
        <w:t>’</w:t>
      </w:r>
      <w:r w:rsidRPr="006061D3">
        <w:rPr>
          <w:rFonts w:eastAsia="MS Mincho"/>
          <w:lang w:val="fr-FR"/>
        </w:rPr>
        <w:t>article</w:t>
      </w:r>
      <w:r w:rsidR="002279C6">
        <w:rPr>
          <w:rFonts w:eastAsia="MS Mincho"/>
          <w:lang w:val="fr-FR"/>
        </w:rPr>
        <w:t> </w:t>
      </w:r>
      <w:r w:rsidRPr="006061D3">
        <w:rPr>
          <w:rFonts w:eastAsia="MS Mincho"/>
          <w:lang w:val="fr-FR"/>
        </w:rPr>
        <w:t>2) tout appel à la haine. Et si l</w:t>
      </w:r>
      <w:r>
        <w:rPr>
          <w:rFonts w:eastAsia="MS Mincho"/>
          <w:lang w:val="fr-FR"/>
        </w:rPr>
        <w:t>’</w:t>
      </w:r>
      <w:r w:rsidRPr="006061D3">
        <w:rPr>
          <w:rFonts w:eastAsia="MS Mincho"/>
          <w:lang w:val="fr-FR"/>
        </w:rPr>
        <w:t>article</w:t>
      </w:r>
      <w:r w:rsidR="002279C6">
        <w:rPr>
          <w:rFonts w:eastAsia="MS Mincho"/>
          <w:lang w:val="fr-FR"/>
        </w:rPr>
        <w:t> </w:t>
      </w:r>
      <w:r w:rsidRPr="006061D3">
        <w:rPr>
          <w:rFonts w:eastAsia="MS Mincho"/>
          <w:lang w:val="fr-FR"/>
        </w:rPr>
        <w:t>2, autant que l</w:t>
      </w:r>
      <w:r>
        <w:rPr>
          <w:rFonts w:eastAsia="MS Mincho"/>
          <w:lang w:val="fr-FR"/>
        </w:rPr>
        <w:t>’</w:t>
      </w:r>
      <w:r w:rsidRPr="006061D3">
        <w:rPr>
          <w:rFonts w:eastAsia="MS Mincho"/>
          <w:lang w:val="fr-FR"/>
        </w:rPr>
        <w:t>article</w:t>
      </w:r>
      <w:r w:rsidR="002279C6">
        <w:rPr>
          <w:rFonts w:eastAsia="MS Mincho"/>
          <w:lang w:val="fr-FR"/>
        </w:rPr>
        <w:t> </w:t>
      </w:r>
      <w:r w:rsidRPr="006061D3">
        <w:rPr>
          <w:rFonts w:eastAsia="MS Mincho"/>
          <w:lang w:val="fr-FR"/>
        </w:rPr>
        <w:t>20, fait incontestablement partie de l</w:t>
      </w:r>
      <w:r>
        <w:rPr>
          <w:rFonts w:eastAsia="MS Mincho"/>
          <w:lang w:val="fr-FR"/>
        </w:rPr>
        <w:t>’</w:t>
      </w:r>
      <w:r w:rsidRPr="006061D3">
        <w:rPr>
          <w:rFonts w:eastAsia="MS Mincho"/>
          <w:lang w:val="fr-FR"/>
        </w:rPr>
        <w:t>ensemble du Pacte, pourquoi alors le traiter autrement que l</w:t>
      </w:r>
      <w:r>
        <w:rPr>
          <w:rFonts w:eastAsia="MS Mincho"/>
          <w:lang w:val="fr-FR"/>
        </w:rPr>
        <w:t>’</w:t>
      </w:r>
      <w:r w:rsidRPr="006061D3">
        <w:rPr>
          <w:rFonts w:eastAsia="MS Mincho"/>
          <w:lang w:val="fr-FR"/>
        </w:rPr>
        <w:t>article</w:t>
      </w:r>
      <w:r w:rsidR="002279C6">
        <w:rPr>
          <w:rFonts w:eastAsia="MS Mincho"/>
          <w:lang w:val="fr-FR"/>
        </w:rPr>
        <w:t> </w:t>
      </w:r>
      <w:r w:rsidRPr="006061D3">
        <w:rPr>
          <w:rFonts w:eastAsia="MS Mincho"/>
          <w:lang w:val="fr-FR"/>
        </w:rPr>
        <w:t>20 ? Cette méthode de tronçonnage du Pacte ne peut être acceptée.</w:t>
      </w:r>
    </w:p>
    <w:p w14:paraId="505083C4" w14:textId="77777777" w:rsidR="00C66C9A" w:rsidRPr="006061D3" w:rsidRDefault="00C66C9A" w:rsidP="00C66C9A">
      <w:pPr>
        <w:pStyle w:val="SingleTxtG"/>
        <w:rPr>
          <w:rFonts w:eastAsia="MS Mincho"/>
          <w:lang w:val="fr-FR"/>
        </w:rPr>
      </w:pPr>
      <w:r w:rsidRPr="006061D3">
        <w:rPr>
          <w:rFonts w:eastAsia="MS Mincho"/>
          <w:lang w:val="fr-FR"/>
        </w:rPr>
        <w:lastRenderedPageBreak/>
        <w:t>6.</w:t>
      </w:r>
      <w:r w:rsidRPr="006061D3">
        <w:rPr>
          <w:rFonts w:eastAsia="MS Mincho"/>
          <w:lang w:val="fr-FR"/>
        </w:rPr>
        <w:tab/>
        <w:t>La deuxième règle des constatations du Comité dans l</w:t>
      </w:r>
      <w:r>
        <w:rPr>
          <w:rFonts w:eastAsia="MS Mincho"/>
          <w:lang w:val="fr-FR"/>
        </w:rPr>
        <w:t>’</w:t>
      </w:r>
      <w:r w:rsidRPr="006061D3">
        <w:rPr>
          <w:rFonts w:eastAsia="MS Mincho"/>
          <w:lang w:val="fr-FR"/>
        </w:rPr>
        <w:t xml:space="preserve">affaire </w:t>
      </w:r>
      <w:r w:rsidRPr="006061D3">
        <w:rPr>
          <w:rFonts w:eastAsia="MS Mincho"/>
          <w:i/>
          <w:iCs/>
          <w:lang w:val="fr-FR"/>
        </w:rPr>
        <w:t>Poliakov c. Bélarus</w:t>
      </w:r>
      <w:r w:rsidRPr="006061D3">
        <w:rPr>
          <w:rFonts w:eastAsia="MS Mincho"/>
          <w:lang w:val="fr-FR"/>
        </w:rPr>
        <w:t>, à supposer qu</w:t>
      </w:r>
      <w:r>
        <w:rPr>
          <w:rFonts w:eastAsia="MS Mincho"/>
          <w:lang w:val="fr-FR"/>
        </w:rPr>
        <w:t>’</w:t>
      </w:r>
      <w:r w:rsidRPr="006061D3">
        <w:rPr>
          <w:rFonts w:eastAsia="MS Mincho"/>
          <w:lang w:val="fr-FR"/>
        </w:rPr>
        <w:t>elle soit acceptable sur le plan des principes juridiques, ce qui n</w:t>
      </w:r>
      <w:r>
        <w:rPr>
          <w:rFonts w:eastAsia="MS Mincho"/>
          <w:lang w:val="fr-FR"/>
        </w:rPr>
        <w:t>’</w:t>
      </w:r>
      <w:r w:rsidRPr="006061D3">
        <w:rPr>
          <w:rFonts w:eastAsia="MS Mincho"/>
          <w:lang w:val="fr-FR"/>
        </w:rPr>
        <w:t>est pas le cas à mon avis, trouve précisément une parfaite application dans le présent cas. En effet, le manque de diligence du législateur néerlandais, qui a d</w:t>
      </w:r>
      <w:r>
        <w:rPr>
          <w:rFonts w:eastAsia="MS Mincho"/>
          <w:lang w:val="fr-FR"/>
        </w:rPr>
        <w:t>’</w:t>
      </w:r>
      <w:r w:rsidRPr="006061D3">
        <w:rPr>
          <w:rFonts w:eastAsia="MS Mincho"/>
          <w:lang w:val="fr-FR"/>
        </w:rPr>
        <w:t>ailleurs été implicitement relevé dans les observations finales du Comité concernant le cinquième rapport périodique des Pays-Bas, a été la cause directe et unique de l</w:t>
      </w:r>
      <w:r>
        <w:rPr>
          <w:rFonts w:eastAsia="MS Mincho"/>
          <w:lang w:val="fr-FR"/>
        </w:rPr>
        <w:t>’</w:t>
      </w:r>
      <w:r w:rsidRPr="006061D3">
        <w:rPr>
          <w:rFonts w:eastAsia="MS Mincho"/>
          <w:lang w:val="fr-FR"/>
        </w:rPr>
        <w:t>énorme préjudice subi par l</w:t>
      </w:r>
      <w:r>
        <w:rPr>
          <w:rFonts w:eastAsia="MS Mincho"/>
          <w:lang w:val="fr-FR"/>
        </w:rPr>
        <w:t>’</w:t>
      </w:r>
      <w:r w:rsidRPr="006061D3">
        <w:rPr>
          <w:rFonts w:eastAsia="MS Mincho"/>
          <w:lang w:val="fr-FR"/>
        </w:rPr>
        <w:t>auteur. Ce préjudice est considérable, non seulement par sa teneur intrinsèque à l</w:t>
      </w:r>
      <w:r>
        <w:rPr>
          <w:rFonts w:eastAsia="MS Mincho"/>
          <w:lang w:val="fr-FR"/>
        </w:rPr>
        <w:t>’</w:t>
      </w:r>
      <w:r w:rsidRPr="006061D3">
        <w:rPr>
          <w:rFonts w:eastAsia="MS Mincho"/>
          <w:lang w:val="fr-FR"/>
        </w:rPr>
        <w:t>égard des droits de l</w:t>
      </w:r>
      <w:r>
        <w:rPr>
          <w:rFonts w:eastAsia="MS Mincho"/>
          <w:lang w:val="fr-FR"/>
        </w:rPr>
        <w:t>’</w:t>
      </w:r>
      <w:r w:rsidRPr="006061D3">
        <w:rPr>
          <w:rFonts w:eastAsia="MS Mincho"/>
          <w:lang w:val="fr-FR"/>
        </w:rPr>
        <w:t>enfant, mais également parce qu</w:t>
      </w:r>
      <w:r>
        <w:rPr>
          <w:rFonts w:eastAsia="MS Mincho"/>
          <w:lang w:val="fr-FR"/>
        </w:rPr>
        <w:t>’</w:t>
      </w:r>
      <w:r w:rsidRPr="006061D3">
        <w:rPr>
          <w:rFonts w:eastAsia="MS Mincho"/>
          <w:lang w:val="fr-FR"/>
        </w:rPr>
        <w:t xml:space="preserve">il se trouve aggravé par son étalement dans le temps. </w:t>
      </w:r>
    </w:p>
    <w:p w14:paraId="3BDBD4FD" w14:textId="77777777" w:rsidR="00C66C9A" w:rsidRPr="006061D3" w:rsidRDefault="00C66C9A" w:rsidP="00C66C9A">
      <w:pPr>
        <w:pStyle w:val="SingleTxtG"/>
        <w:rPr>
          <w:rFonts w:eastAsia="MS Mincho"/>
          <w:lang w:val="fr-FR"/>
        </w:rPr>
      </w:pPr>
      <w:r w:rsidRPr="006061D3">
        <w:rPr>
          <w:rFonts w:eastAsia="MS Mincho"/>
          <w:lang w:val="fr-FR"/>
        </w:rPr>
        <w:t>7.</w:t>
      </w:r>
      <w:r w:rsidRPr="006061D3">
        <w:rPr>
          <w:rFonts w:eastAsia="MS Mincho"/>
          <w:lang w:val="fr-FR"/>
        </w:rPr>
        <w:tab/>
        <w:t>Le comportement de l</w:t>
      </w:r>
      <w:r>
        <w:rPr>
          <w:rFonts w:eastAsia="MS Mincho"/>
          <w:lang w:val="fr-FR"/>
        </w:rPr>
        <w:t>’</w:t>
      </w:r>
      <w:r w:rsidRPr="006061D3">
        <w:rPr>
          <w:rFonts w:eastAsia="MS Mincho"/>
          <w:lang w:val="fr-FR"/>
        </w:rPr>
        <w:t>État partie dans le présent cas atteint le degré de gravité prévu par l</w:t>
      </w:r>
      <w:r>
        <w:rPr>
          <w:rFonts w:eastAsia="MS Mincho"/>
          <w:lang w:val="fr-FR"/>
        </w:rPr>
        <w:t>’</w:t>
      </w:r>
      <w:r w:rsidRPr="006061D3">
        <w:rPr>
          <w:rFonts w:eastAsia="MS Mincho"/>
          <w:lang w:val="fr-FR"/>
        </w:rPr>
        <w:t>article</w:t>
      </w:r>
      <w:r w:rsidR="002279C6">
        <w:rPr>
          <w:rFonts w:eastAsia="MS Mincho"/>
          <w:lang w:val="fr-FR"/>
        </w:rPr>
        <w:t> </w:t>
      </w:r>
      <w:r w:rsidRPr="006061D3">
        <w:rPr>
          <w:rFonts w:eastAsia="MS Mincho"/>
          <w:lang w:val="fr-FR"/>
        </w:rPr>
        <w:t>16 du Pacte, puisqu</w:t>
      </w:r>
      <w:r>
        <w:rPr>
          <w:rFonts w:eastAsia="MS Mincho"/>
          <w:lang w:val="fr-FR"/>
        </w:rPr>
        <w:t>’</w:t>
      </w:r>
      <w:r w:rsidRPr="006061D3">
        <w:rPr>
          <w:rFonts w:eastAsia="MS Mincho"/>
          <w:lang w:val="fr-FR"/>
        </w:rPr>
        <w:t>il s</w:t>
      </w:r>
      <w:r>
        <w:rPr>
          <w:rFonts w:eastAsia="MS Mincho"/>
          <w:lang w:val="fr-FR"/>
        </w:rPr>
        <w:t>’</w:t>
      </w:r>
      <w:r w:rsidRPr="006061D3">
        <w:rPr>
          <w:rFonts w:eastAsia="MS Mincho"/>
          <w:lang w:val="fr-FR"/>
        </w:rPr>
        <w:t>agit quasiment d</w:t>
      </w:r>
      <w:r>
        <w:rPr>
          <w:rFonts w:eastAsia="MS Mincho"/>
          <w:lang w:val="fr-FR"/>
        </w:rPr>
        <w:t>’</w:t>
      </w:r>
      <w:r w:rsidRPr="006061D3">
        <w:rPr>
          <w:rFonts w:eastAsia="MS Mincho"/>
          <w:lang w:val="fr-FR"/>
        </w:rPr>
        <w:t>un déni de personnalité juridique. Malgré des années de démarches, la mère de l</w:t>
      </w:r>
      <w:r>
        <w:rPr>
          <w:rFonts w:eastAsia="MS Mincho"/>
          <w:lang w:val="fr-FR"/>
        </w:rPr>
        <w:t>’</w:t>
      </w:r>
      <w:r w:rsidRPr="006061D3">
        <w:rPr>
          <w:rFonts w:eastAsia="MS Mincho"/>
          <w:lang w:val="fr-FR"/>
        </w:rPr>
        <w:t>auteur n</w:t>
      </w:r>
      <w:r>
        <w:rPr>
          <w:rFonts w:eastAsia="MS Mincho"/>
          <w:lang w:val="fr-FR"/>
        </w:rPr>
        <w:t>’</w:t>
      </w:r>
      <w:r w:rsidRPr="006061D3">
        <w:rPr>
          <w:rFonts w:eastAsia="MS Mincho"/>
          <w:lang w:val="fr-FR"/>
        </w:rPr>
        <w:t>a pas réussi à faire changer en « apatride » la mention « nationalité inconnue », de façon que cet enfant né sur le sol néerlandais d</w:t>
      </w:r>
      <w:r>
        <w:rPr>
          <w:rFonts w:eastAsia="MS Mincho"/>
          <w:lang w:val="fr-FR"/>
        </w:rPr>
        <w:t>’</w:t>
      </w:r>
      <w:r w:rsidRPr="006061D3">
        <w:rPr>
          <w:rFonts w:eastAsia="MS Mincho"/>
          <w:lang w:val="fr-FR"/>
        </w:rPr>
        <w:t>une mère apatride puisse bénéficier du droit d</w:t>
      </w:r>
      <w:r>
        <w:rPr>
          <w:rFonts w:eastAsia="MS Mincho"/>
          <w:lang w:val="fr-FR"/>
        </w:rPr>
        <w:t>’</w:t>
      </w:r>
      <w:r w:rsidRPr="006061D3">
        <w:rPr>
          <w:rFonts w:eastAsia="MS Mincho"/>
          <w:lang w:val="fr-FR"/>
        </w:rPr>
        <w:t>acquérir la nationalité. Quant à l</w:t>
      </w:r>
      <w:r>
        <w:rPr>
          <w:rFonts w:eastAsia="MS Mincho"/>
          <w:lang w:val="fr-FR"/>
        </w:rPr>
        <w:t>’</w:t>
      </w:r>
      <w:r w:rsidRPr="006061D3">
        <w:rPr>
          <w:rFonts w:eastAsia="MS Mincho"/>
          <w:lang w:val="fr-FR"/>
        </w:rPr>
        <w:t>auteur, il affirme avoir déjà passé des années dans des limbes juridiques, exilé dans sa propre société, souffrant de conditions sociales extrêmement préjudiciables, à cause de cette manière dont l</w:t>
      </w:r>
      <w:r>
        <w:rPr>
          <w:rFonts w:eastAsia="MS Mincho"/>
          <w:lang w:val="fr-FR"/>
        </w:rPr>
        <w:t>’</w:t>
      </w:r>
      <w:r w:rsidRPr="006061D3">
        <w:rPr>
          <w:rFonts w:eastAsia="MS Mincho"/>
          <w:lang w:val="fr-FR"/>
        </w:rPr>
        <w:t>État traite l</w:t>
      </w:r>
      <w:r>
        <w:rPr>
          <w:rFonts w:eastAsia="MS Mincho"/>
          <w:lang w:val="fr-FR"/>
        </w:rPr>
        <w:t>’</w:t>
      </w:r>
      <w:r w:rsidRPr="006061D3">
        <w:rPr>
          <w:rFonts w:eastAsia="MS Mincho"/>
          <w:lang w:val="fr-FR"/>
        </w:rPr>
        <w:t>apatridie, le séjour et l</w:t>
      </w:r>
      <w:r>
        <w:rPr>
          <w:rFonts w:eastAsia="MS Mincho"/>
          <w:lang w:val="fr-FR"/>
        </w:rPr>
        <w:t>’</w:t>
      </w:r>
      <w:r w:rsidRPr="006061D3">
        <w:rPr>
          <w:rFonts w:eastAsia="MS Mincho"/>
          <w:lang w:val="fr-FR"/>
        </w:rPr>
        <w:t xml:space="preserve">acquisition de la nationalité. </w:t>
      </w:r>
    </w:p>
    <w:p w14:paraId="7B86BF21" w14:textId="77777777" w:rsidR="00C66C9A" w:rsidRPr="006061D3" w:rsidRDefault="00C66C9A" w:rsidP="00C66C9A">
      <w:pPr>
        <w:pStyle w:val="SingleTxtG"/>
        <w:rPr>
          <w:rFonts w:eastAsia="MS Mincho"/>
          <w:lang w:val="fr-FR"/>
        </w:rPr>
      </w:pPr>
      <w:r w:rsidRPr="006061D3">
        <w:rPr>
          <w:rFonts w:eastAsia="MS Mincho"/>
          <w:lang w:val="fr-FR"/>
        </w:rPr>
        <w:t>8.</w:t>
      </w:r>
      <w:r w:rsidRPr="006061D3">
        <w:rPr>
          <w:rFonts w:eastAsia="MS Mincho"/>
          <w:lang w:val="fr-FR"/>
        </w:rPr>
        <w:tab/>
        <w:t>Par conséquent, dans le présent cas, le manquement de l</w:t>
      </w:r>
      <w:r>
        <w:rPr>
          <w:rFonts w:eastAsia="MS Mincho"/>
          <w:lang w:val="fr-FR"/>
        </w:rPr>
        <w:t>’</w:t>
      </w:r>
      <w:r w:rsidRPr="006061D3">
        <w:rPr>
          <w:rFonts w:eastAsia="MS Mincho"/>
          <w:lang w:val="fr-FR"/>
        </w:rPr>
        <w:t>État partie aux obligations que lui impose l</w:t>
      </w:r>
      <w:r>
        <w:rPr>
          <w:rFonts w:eastAsia="MS Mincho"/>
          <w:lang w:val="fr-FR"/>
        </w:rPr>
        <w:t>’</w:t>
      </w:r>
      <w:r w:rsidRPr="006061D3">
        <w:rPr>
          <w:rFonts w:eastAsia="MS Mincho"/>
          <w:lang w:val="fr-FR"/>
        </w:rPr>
        <w:t>article</w:t>
      </w:r>
      <w:r w:rsidR="002279C6">
        <w:rPr>
          <w:rFonts w:eastAsia="MS Mincho"/>
          <w:lang w:val="fr-FR"/>
        </w:rPr>
        <w:t> </w:t>
      </w:r>
      <w:r w:rsidRPr="006061D3">
        <w:rPr>
          <w:rFonts w:eastAsia="MS Mincho"/>
          <w:lang w:val="fr-FR"/>
        </w:rPr>
        <w:t>2 (par. 2) du Pacte est la cause directe et immédiate d</w:t>
      </w:r>
      <w:r>
        <w:rPr>
          <w:rFonts w:eastAsia="MS Mincho"/>
          <w:lang w:val="fr-FR"/>
        </w:rPr>
        <w:t>’</w:t>
      </w:r>
      <w:r w:rsidRPr="006061D3">
        <w:rPr>
          <w:rFonts w:eastAsia="MS Mincho"/>
          <w:lang w:val="fr-FR"/>
        </w:rPr>
        <w:t>une violation distincte du Pacte. Il existe à mon avis une différence importante entre une violation de l</w:t>
      </w:r>
      <w:r>
        <w:rPr>
          <w:rFonts w:eastAsia="MS Mincho"/>
          <w:lang w:val="fr-FR"/>
        </w:rPr>
        <w:t>’</w:t>
      </w:r>
      <w:r w:rsidRPr="006061D3">
        <w:rPr>
          <w:rFonts w:eastAsia="MS Mincho"/>
          <w:lang w:val="fr-FR"/>
        </w:rPr>
        <w:t>article</w:t>
      </w:r>
      <w:r w:rsidR="002279C6">
        <w:rPr>
          <w:rFonts w:eastAsia="MS Mincho"/>
          <w:lang w:val="fr-FR"/>
        </w:rPr>
        <w:t> </w:t>
      </w:r>
      <w:r w:rsidRPr="006061D3">
        <w:rPr>
          <w:rFonts w:eastAsia="MS Mincho"/>
          <w:lang w:val="fr-FR"/>
        </w:rPr>
        <w:t>2 (par. 2) lu conjointement avec l</w:t>
      </w:r>
      <w:r>
        <w:rPr>
          <w:rFonts w:eastAsia="MS Mincho"/>
          <w:lang w:val="fr-FR"/>
        </w:rPr>
        <w:t>’</w:t>
      </w:r>
      <w:r w:rsidRPr="006061D3">
        <w:rPr>
          <w:rFonts w:eastAsia="MS Mincho"/>
          <w:lang w:val="fr-FR"/>
        </w:rPr>
        <w:t>article</w:t>
      </w:r>
      <w:r w:rsidR="002279C6">
        <w:rPr>
          <w:rFonts w:eastAsia="MS Mincho"/>
          <w:lang w:val="fr-FR"/>
        </w:rPr>
        <w:t> </w:t>
      </w:r>
      <w:r w:rsidRPr="006061D3">
        <w:rPr>
          <w:rFonts w:eastAsia="MS Mincho"/>
          <w:lang w:val="fr-FR"/>
        </w:rPr>
        <w:t>24 et une simple violation de l</w:t>
      </w:r>
      <w:r>
        <w:rPr>
          <w:rFonts w:eastAsia="MS Mincho"/>
          <w:lang w:val="fr-FR"/>
        </w:rPr>
        <w:t>’</w:t>
      </w:r>
      <w:r w:rsidRPr="006061D3">
        <w:rPr>
          <w:rFonts w:eastAsia="MS Mincho"/>
          <w:lang w:val="fr-FR"/>
        </w:rPr>
        <w:t>article</w:t>
      </w:r>
      <w:r w:rsidR="002279C6">
        <w:rPr>
          <w:rFonts w:eastAsia="MS Mincho"/>
          <w:lang w:val="fr-FR"/>
        </w:rPr>
        <w:t> </w:t>
      </w:r>
      <w:r w:rsidRPr="006061D3">
        <w:rPr>
          <w:rFonts w:eastAsia="MS Mincho"/>
          <w:lang w:val="fr-FR"/>
        </w:rPr>
        <w:t>24 du Pacte. La première, en sus de la violation de l</w:t>
      </w:r>
      <w:r>
        <w:rPr>
          <w:rFonts w:eastAsia="MS Mincho"/>
          <w:lang w:val="fr-FR"/>
        </w:rPr>
        <w:t>’</w:t>
      </w:r>
      <w:r w:rsidRPr="006061D3">
        <w:rPr>
          <w:rFonts w:eastAsia="MS Mincho"/>
          <w:lang w:val="fr-FR"/>
        </w:rPr>
        <w:t>article</w:t>
      </w:r>
      <w:r w:rsidR="002279C6">
        <w:rPr>
          <w:rFonts w:eastAsia="MS Mincho"/>
          <w:lang w:val="fr-FR"/>
        </w:rPr>
        <w:t> </w:t>
      </w:r>
      <w:r w:rsidRPr="006061D3">
        <w:rPr>
          <w:rFonts w:eastAsia="MS Mincho"/>
          <w:lang w:val="fr-FR"/>
        </w:rPr>
        <w:t>24, met l</w:t>
      </w:r>
      <w:r>
        <w:rPr>
          <w:rFonts w:eastAsia="MS Mincho"/>
          <w:lang w:val="fr-FR"/>
        </w:rPr>
        <w:t>’</w:t>
      </w:r>
      <w:r w:rsidRPr="006061D3">
        <w:rPr>
          <w:rFonts w:eastAsia="MS Mincho"/>
          <w:lang w:val="fr-FR"/>
        </w:rPr>
        <w:t>accent d</w:t>
      </w:r>
      <w:r>
        <w:rPr>
          <w:rFonts w:eastAsia="MS Mincho"/>
          <w:lang w:val="fr-FR"/>
        </w:rPr>
        <w:t>’</w:t>
      </w:r>
      <w:r w:rsidRPr="006061D3">
        <w:rPr>
          <w:rFonts w:eastAsia="MS Mincho"/>
          <w:lang w:val="fr-FR"/>
        </w:rPr>
        <w:t>une manière plus spécifique sur la responsabilité fautive et directe de l</w:t>
      </w:r>
      <w:r>
        <w:rPr>
          <w:rFonts w:eastAsia="MS Mincho"/>
          <w:lang w:val="fr-FR"/>
        </w:rPr>
        <w:t>’</w:t>
      </w:r>
      <w:r w:rsidRPr="006061D3">
        <w:rPr>
          <w:rFonts w:eastAsia="MS Mincho"/>
          <w:lang w:val="fr-FR"/>
        </w:rPr>
        <w:t>État partie pour le préjudice subi par l</w:t>
      </w:r>
      <w:r>
        <w:rPr>
          <w:rFonts w:eastAsia="MS Mincho"/>
          <w:lang w:val="fr-FR"/>
        </w:rPr>
        <w:t>’</w:t>
      </w:r>
      <w:r w:rsidRPr="006061D3">
        <w:rPr>
          <w:rFonts w:eastAsia="MS Mincho"/>
          <w:lang w:val="fr-FR"/>
        </w:rPr>
        <w:t xml:space="preserve">auteur. </w:t>
      </w:r>
    </w:p>
    <w:p w14:paraId="7B5F514B" w14:textId="77777777" w:rsidR="00C66C9A" w:rsidRPr="006061D3" w:rsidRDefault="00C66C9A" w:rsidP="00C66C9A">
      <w:pPr>
        <w:pStyle w:val="SingleTxtG"/>
        <w:rPr>
          <w:rFonts w:eastAsia="MS Mincho"/>
          <w:lang w:val="fr-FR"/>
        </w:rPr>
      </w:pPr>
      <w:r w:rsidRPr="006061D3">
        <w:rPr>
          <w:rFonts w:eastAsia="MS Mincho"/>
          <w:lang w:val="fr-FR"/>
        </w:rPr>
        <w:t>9.</w:t>
      </w:r>
      <w:r w:rsidRPr="006061D3">
        <w:rPr>
          <w:rFonts w:eastAsia="MS Mincho"/>
          <w:lang w:val="fr-FR"/>
        </w:rPr>
        <w:tab/>
        <w:t>Pour ces raisons, le grief tiré d</w:t>
      </w:r>
      <w:r>
        <w:rPr>
          <w:rFonts w:eastAsia="MS Mincho"/>
          <w:lang w:val="fr-FR"/>
        </w:rPr>
        <w:t>’</w:t>
      </w:r>
      <w:r w:rsidRPr="006061D3">
        <w:rPr>
          <w:rFonts w:eastAsia="MS Mincho"/>
          <w:lang w:val="fr-FR"/>
        </w:rPr>
        <w:t>une violation de l</w:t>
      </w:r>
      <w:r>
        <w:rPr>
          <w:rFonts w:eastAsia="MS Mincho"/>
          <w:lang w:val="fr-FR"/>
        </w:rPr>
        <w:t>’</w:t>
      </w:r>
      <w:r w:rsidRPr="006061D3">
        <w:rPr>
          <w:rFonts w:eastAsia="MS Mincho"/>
          <w:lang w:val="fr-FR"/>
        </w:rPr>
        <w:t>article</w:t>
      </w:r>
      <w:r w:rsidR="002279C6">
        <w:rPr>
          <w:rFonts w:eastAsia="MS Mincho"/>
          <w:lang w:val="fr-FR"/>
        </w:rPr>
        <w:t> </w:t>
      </w:r>
      <w:r w:rsidRPr="006061D3">
        <w:rPr>
          <w:rFonts w:eastAsia="MS Mincho"/>
          <w:lang w:val="fr-FR"/>
        </w:rPr>
        <w:t>2 (par. 2) du Pacte était, à mon avis, recevable en l</w:t>
      </w:r>
      <w:r>
        <w:rPr>
          <w:rFonts w:eastAsia="MS Mincho"/>
          <w:lang w:val="fr-FR"/>
        </w:rPr>
        <w:t>’</w:t>
      </w:r>
      <w:r w:rsidRPr="006061D3">
        <w:rPr>
          <w:rFonts w:eastAsia="MS Mincho"/>
          <w:lang w:val="fr-FR"/>
        </w:rPr>
        <w:t>espèce.</w:t>
      </w:r>
    </w:p>
    <w:p w14:paraId="12BE9147" w14:textId="77777777" w:rsidR="00C66C9A" w:rsidRDefault="00C66C9A" w:rsidP="00E85C42">
      <w:pPr>
        <w:rPr>
          <w:lang w:val="fr-FR"/>
        </w:rPr>
        <w:sectPr w:rsidR="00C66C9A" w:rsidSect="00C66C9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33D7FAFB" w14:textId="77777777" w:rsidR="00C66C9A" w:rsidRPr="001C0609" w:rsidRDefault="00C66C9A" w:rsidP="002279C6">
      <w:pPr>
        <w:pStyle w:val="HChG"/>
        <w:rPr>
          <w:lang w:val="fr-FR"/>
        </w:rPr>
      </w:pPr>
      <w:r w:rsidRPr="005066E6">
        <w:rPr>
          <w:lang w:val="fr-FR"/>
        </w:rPr>
        <w:lastRenderedPageBreak/>
        <w:t>Annexe I</w:t>
      </w:r>
      <w:r w:rsidRPr="001C0609">
        <w:rPr>
          <w:lang w:val="fr-FR"/>
        </w:rPr>
        <w:t>I</w:t>
      </w:r>
    </w:p>
    <w:p w14:paraId="7FC42CC5" w14:textId="77777777" w:rsidR="00C66C9A" w:rsidRPr="005066E6" w:rsidRDefault="00C66C9A" w:rsidP="002279C6">
      <w:pPr>
        <w:pStyle w:val="HChG"/>
        <w:rPr>
          <w:lang w:val="fr-FR" w:bidi="he-IL"/>
        </w:rPr>
      </w:pPr>
      <w:r w:rsidRPr="005066E6">
        <w:rPr>
          <w:sz w:val="24"/>
          <w:lang w:val="fr-FR" w:bidi="he-IL"/>
        </w:rPr>
        <w:tab/>
      </w:r>
      <w:r w:rsidRPr="005066E6">
        <w:rPr>
          <w:sz w:val="24"/>
          <w:lang w:val="fr-FR" w:bidi="he-IL"/>
        </w:rPr>
        <w:tab/>
      </w:r>
      <w:r w:rsidRPr="005066E6">
        <w:rPr>
          <w:lang w:val="fr-FR" w:bidi="he-IL"/>
        </w:rPr>
        <w:t>Opinion individuelle (concordante) de Hélène Tigroudja</w:t>
      </w:r>
    </w:p>
    <w:p w14:paraId="23F68D9C" w14:textId="77777777" w:rsidR="00C66C9A" w:rsidRPr="006061D3" w:rsidRDefault="00C66C9A" w:rsidP="00C66C9A">
      <w:pPr>
        <w:pStyle w:val="SingleTxtG"/>
        <w:rPr>
          <w:rFonts w:eastAsia="MS Mincho"/>
          <w:lang w:val="fr-FR"/>
        </w:rPr>
      </w:pPr>
      <w:r w:rsidRPr="005066E6">
        <w:rPr>
          <w:rFonts w:eastAsia="MS Mincho"/>
          <w:lang w:val="fr-FR"/>
        </w:rPr>
        <w:t>1.</w:t>
      </w:r>
      <w:r w:rsidRPr="005066E6">
        <w:rPr>
          <w:rFonts w:eastAsia="MS Mincho"/>
          <w:lang w:val="fr-FR"/>
        </w:rPr>
        <w:tab/>
        <w:t>Je partage entièrement la conclusion à laquelle est parvenue la majorité du Comité en ce qui concerne la violation de l</w:t>
      </w:r>
      <w:r>
        <w:rPr>
          <w:rFonts w:eastAsia="MS Mincho"/>
          <w:lang w:val="fr-FR"/>
        </w:rPr>
        <w:t>’</w:t>
      </w:r>
      <w:r w:rsidRPr="005066E6">
        <w:rPr>
          <w:rFonts w:eastAsia="MS Mincho"/>
          <w:lang w:val="fr-FR"/>
        </w:rPr>
        <w:t>article</w:t>
      </w:r>
      <w:r w:rsidR="002279C6">
        <w:rPr>
          <w:rFonts w:eastAsia="MS Mincho"/>
          <w:lang w:val="fr-FR"/>
        </w:rPr>
        <w:t> </w:t>
      </w:r>
      <w:r w:rsidRPr="005066E6">
        <w:rPr>
          <w:rFonts w:eastAsia="MS Mincho"/>
          <w:lang w:val="fr-FR"/>
        </w:rPr>
        <w:t>24 (par. 3) du Pacte par l</w:t>
      </w:r>
      <w:r>
        <w:rPr>
          <w:rFonts w:eastAsia="MS Mincho"/>
          <w:lang w:val="fr-FR"/>
        </w:rPr>
        <w:t>’</w:t>
      </w:r>
      <w:r w:rsidRPr="005066E6">
        <w:rPr>
          <w:rFonts w:eastAsia="MS Mincho"/>
          <w:lang w:val="fr-FR"/>
        </w:rPr>
        <w:t xml:space="preserve">État partie. Cette </w:t>
      </w:r>
      <w:r>
        <w:rPr>
          <w:rFonts w:eastAsia="MS Mincho"/>
          <w:lang w:val="fr-FR"/>
        </w:rPr>
        <w:t>conclusion</w:t>
      </w:r>
      <w:r w:rsidRPr="005066E6">
        <w:rPr>
          <w:rFonts w:eastAsia="MS Mincho"/>
          <w:lang w:val="fr-FR"/>
        </w:rPr>
        <w:t xml:space="preserve"> </w:t>
      </w:r>
      <w:r>
        <w:rPr>
          <w:rFonts w:eastAsia="MS Mincho"/>
          <w:lang w:val="fr-FR"/>
        </w:rPr>
        <w:t>constitue</w:t>
      </w:r>
      <w:r w:rsidRPr="005066E6">
        <w:rPr>
          <w:rFonts w:eastAsia="MS Mincho"/>
          <w:lang w:val="fr-FR"/>
        </w:rPr>
        <w:t xml:space="preserve"> sans aucun doute une contribution importante à la protection contre l</w:t>
      </w:r>
      <w:r>
        <w:rPr>
          <w:rFonts w:eastAsia="MS Mincho"/>
          <w:lang w:val="fr-FR"/>
        </w:rPr>
        <w:t>’</w:t>
      </w:r>
      <w:r w:rsidRPr="005066E6">
        <w:rPr>
          <w:rFonts w:eastAsia="MS Mincho"/>
          <w:lang w:val="fr-FR"/>
        </w:rPr>
        <w:t>apatridie, surtout lorsqu</w:t>
      </w:r>
      <w:r>
        <w:rPr>
          <w:rFonts w:eastAsia="MS Mincho"/>
          <w:lang w:val="fr-FR"/>
        </w:rPr>
        <w:t>’elle touche des enfants,</w:t>
      </w:r>
      <w:r w:rsidRPr="005066E6">
        <w:rPr>
          <w:rFonts w:eastAsia="MS Mincho"/>
          <w:lang w:val="fr-FR"/>
        </w:rPr>
        <w:t xml:space="preserve"> comme c</w:t>
      </w:r>
      <w:r>
        <w:rPr>
          <w:rFonts w:eastAsia="MS Mincho"/>
          <w:lang w:val="fr-FR"/>
        </w:rPr>
        <w:t>’</w:t>
      </w:r>
      <w:r w:rsidRPr="005066E6">
        <w:rPr>
          <w:rFonts w:eastAsia="MS Mincho"/>
          <w:lang w:val="fr-FR"/>
        </w:rPr>
        <w:t>est le cas dans la présente communication.</w:t>
      </w:r>
    </w:p>
    <w:p w14:paraId="44A35FE1" w14:textId="77777777" w:rsidR="00C66C9A" w:rsidRPr="006061D3" w:rsidRDefault="00C66C9A" w:rsidP="00C66C9A">
      <w:pPr>
        <w:pStyle w:val="SingleTxtG"/>
        <w:rPr>
          <w:rFonts w:eastAsia="MS Mincho"/>
          <w:lang w:val="fr-FR"/>
        </w:rPr>
      </w:pPr>
      <w:r w:rsidRPr="005066E6">
        <w:rPr>
          <w:rFonts w:eastAsia="MS Mincho"/>
          <w:lang w:val="fr-FR"/>
        </w:rPr>
        <w:t>2.</w:t>
      </w:r>
      <w:r w:rsidRPr="005066E6">
        <w:rPr>
          <w:rFonts w:eastAsia="MS Mincho"/>
          <w:lang w:val="fr-FR"/>
        </w:rPr>
        <w:tab/>
        <w:t>Toutefois, comme l</w:t>
      </w:r>
      <w:r>
        <w:rPr>
          <w:rFonts w:eastAsia="MS Mincho"/>
          <w:lang w:val="fr-FR"/>
        </w:rPr>
        <w:t>’</w:t>
      </w:r>
      <w:r w:rsidRPr="005066E6">
        <w:rPr>
          <w:rFonts w:eastAsia="MS Mincho"/>
          <w:lang w:val="fr-FR"/>
        </w:rPr>
        <w:t xml:space="preserve">a </w:t>
      </w:r>
      <w:r>
        <w:rPr>
          <w:rFonts w:eastAsia="MS Mincho"/>
          <w:lang w:val="fr-FR"/>
        </w:rPr>
        <w:t xml:space="preserve">très justement </w:t>
      </w:r>
      <w:r w:rsidRPr="005066E6">
        <w:rPr>
          <w:rFonts w:eastAsia="MS Mincho"/>
          <w:lang w:val="fr-FR"/>
        </w:rPr>
        <w:t>souligné mon collègue Yadh Ben Achour dans son opinion concordante (voir par.</w:t>
      </w:r>
      <w:r w:rsidR="002279C6">
        <w:rPr>
          <w:rFonts w:eastAsia="MS Mincho"/>
          <w:lang w:val="fr-FR"/>
        </w:rPr>
        <w:t> </w:t>
      </w:r>
      <w:r w:rsidRPr="005066E6">
        <w:rPr>
          <w:rFonts w:eastAsia="MS Mincho"/>
          <w:lang w:val="fr-FR"/>
        </w:rPr>
        <w:t xml:space="preserve">7), </w:t>
      </w:r>
      <w:r>
        <w:rPr>
          <w:rFonts w:eastAsia="MS Mincho"/>
          <w:lang w:val="fr-FR"/>
        </w:rPr>
        <w:t>il est à</w:t>
      </w:r>
      <w:r w:rsidRPr="005066E6">
        <w:rPr>
          <w:rFonts w:eastAsia="MS Mincho"/>
          <w:lang w:val="fr-FR"/>
        </w:rPr>
        <w:t xml:space="preserve"> regrette</w:t>
      </w:r>
      <w:r>
        <w:rPr>
          <w:rFonts w:eastAsia="MS Mincho"/>
          <w:lang w:val="fr-FR"/>
        </w:rPr>
        <w:t>r</w:t>
      </w:r>
      <w:r w:rsidRPr="005066E6">
        <w:rPr>
          <w:rFonts w:eastAsia="MS Mincho"/>
          <w:lang w:val="fr-FR"/>
        </w:rPr>
        <w:t xml:space="preserve"> que la majorité ne se soit pas étendue sur les violation</w:t>
      </w:r>
      <w:r w:rsidRPr="00D74AB1">
        <w:rPr>
          <w:rFonts w:eastAsia="MS Mincho"/>
          <w:lang w:val="fr-FR"/>
        </w:rPr>
        <w:t>s</w:t>
      </w:r>
      <w:r>
        <w:rPr>
          <w:rFonts w:eastAsia="MS Mincho"/>
          <w:lang w:val="fr-FR"/>
        </w:rPr>
        <w:t xml:space="preserve"> </w:t>
      </w:r>
      <w:r w:rsidRPr="00D74AB1">
        <w:rPr>
          <w:rFonts w:eastAsia="MS Mincho"/>
          <w:lang w:val="fr-FR"/>
        </w:rPr>
        <w:t>d</w:t>
      </w:r>
      <w:r>
        <w:rPr>
          <w:rFonts w:eastAsia="MS Mincho"/>
          <w:lang w:val="fr-FR"/>
        </w:rPr>
        <w:t>’</w:t>
      </w:r>
      <w:r w:rsidRPr="00D74AB1">
        <w:rPr>
          <w:rFonts w:eastAsia="MS Mincho"/>
          <w:lang w:val="fr-FR"/>
        </w:rPr>
        <w:t>autres dispositions du Pacte que la situation de l</w:t>
      </w:r>
      <w:r>
        <w:rPr>
          <w:rFonts w:eastAsia="MS Mincho"/>
          <w:lang w:val="fr-FR"/>
        </w:rPr>
        <w:t>’</w:t>
      </w:r>
      <w:r w:rsidRPr="00D74AB1">
        <w:rPr>
          <w:rFonts w:eastAsia="MS Mincho"/>
          <w:lang w:val="fr-FR"/>
        </w:rPr>
        <w:t>auteur a entraînées, et plus précisément des dispositions de l</w:t>
      </w:r>
      <w:r>
        <w:rPr>
          <w:rFonts w:eastAsia="MS Mincho"/>
          <w:lang w:val="fr-FR"/>
        </w:rPr>
        <w:t>’</w:t>
      </w:r>
      <w:r w:rsidRPr="00D74AB1">
        <w:rPr>
          <w:rFonts w:eastAsia="MS Mincho"/>
          <w:lang w:val="fr-FR"/>
        </w:rPr>
        <w:t>article</w:t>
      </w:r>
      <w:r w:rsidR="0067428A">
        <w:rPr>
          <w:rFonts w:eastAsia="MS Mincho"/>
          <w:lang w:val="fr-FR"/>
        </w:rPr>
        <w:t> </w:t>
      </w:r>
      <w:r w:rsidRPr="00D74AB1">
        <w:rPr>
          <w:rFonts w:eastAsia="MS Mincho"/>
          <w:lang w:val="fr-FR"/>
        </w:rPr>
        <w:t>16 (reconnaissance de la personnalité juridique) et celles de l</w:t>
      </w:r>
      <w:r>
        <w:rPr>
          <w:rFonts w:eastAsia="MS Mincho"/>
          <w:lang w:val="fr-FR"/>
        </w:rPr>
        <w:t>’</w:t>
      </w:r>
      <w:r w:rsidRPr="00D74AB1">
        <w:rPr>
          <w:rFonts w:eastAsia="MS Mincho"/>
          <w:lang w:val="fr-FR"/>
        </w:rPr>
        <w:t>article</w:t>
      </w:r>
      <w:r w:rsidR="002279C6">
        <w:rPr>
          <w:rFonts w:eastAsia="MS Mincho"/>
          <w:lang w:val="fr-FR"/>
        </w:rPr>
        <w:t> </w:t>
      </w:r>
      <w:r w:rsidRPr="00D74AB1">
        <w:rPr>
          <w:rFonts w:eastAsia="MS Mincho"/>
          <w:lang w:val="fr-FR"/>
        </w:rPr>
        <w:t>7 (</w:t>
      </w:r>
      <w:r>
        <w:rPr>
          <w:rFonts w:eastAsia="MS Mincho"/>
          <w:lang w:val="fr-FR"/>
        </w:rPr>
        <w:t xml:space="preserve">interdiction de </w:t>
      </w:r>
      <w:r w:rsidRPr="002279C6">
        <w:rPr>
          <w:rFonts w:eastAsia="MS Mincho"/>
          <w:lang w:val="fr-FR"/>
        </w:rPr>
        <w:t>traitement inhumain</w:t>
      </w:r>
      <w:r w:rsidRPr="00D74AB1">
        <w:rPr>
          <w:rFonts w:eastAsia="MS Mincho"/>
          <w:lang w:val="fr-FR"/>
        </w:rPr>
        <w:t>)</w:t>
      </w:r>
      <w:r>
        <w:rPr>
          <w:rFonts w:eastAsia="MS Mincho"/>
          <w:lang w:val="fr-FR"/>
        </w:rPr>
        <w:t>, et qui sont implicitement évoquées</w:t>
      </w:r>
      <w:r w:rsidRPr="00D74AB1">
        <w:rPr>
          <w:rFonts w:eastAsia="MS Mincho"/>
          <w:lang w:val="fr-FR"/>
        </w:rPr>
        <w:t>.</w:t>
      </w:r>
    </w:p>
    <w:p w14:paraId="4AA21C25" w14:textId="77777777" w:rsidR="00C66C9A" w:rsidRPr="006061D3" w:rsidRDefault="00C66C9A" w:rsidP="00C66C9A">
      <w:pPr>
        <w:pStyle w:val="SingleTxtG"/>
        <w:rPr>
          <w:rFonts w:eastAsia="MS Mincho"/>
          <w:lang w:val="fr-FR"/>
        </w:rPr>
      </w:pPr>
      <w:r w:rsidRPr="005066E6">
        <w:rPr>
          <w:rFonts w:eastAsia="MS Mincho"/>
          <w:lang w:val="fr-FR"/>
        </w:rPr>
        <w:t>3.</w:t>
      </w:r>
      <w:r w:rsidRPr="005066E6">
        <w:rPr>
          <w:rFonts w:eastAsia="MS Mincho"/>
          <w:lang w:val="fr-FR"/>
        </w:rPr>
        <w:tab/>
        <w:t>Au paragraphe</w:t>
      </w:r>
      <w:r w:rsidR="002279C6">
        <w:rPr>
          <w:rFonts w:eastAsia="MS Mincho"/>
          <w:lang w:val="fr-FR"/>
        </w:rPr>
        <w:t> </w:t>
      </w:r>
      <w:r w:rsidRPr="005066E6">
        <w:rPr>
          <w:rFonts w:eastAsia="MS Mincho"/>
          <w:lang w:val="fr-FR"/>
        </w:rPr>
        <w:t>3.1 de la communication, l</w:t>
      </w:r>
      <w:r>
        <w:rPr>
          <w:rFonts w:eastAsia="MS Mincho"/>
          <w:lang w:val="fr-FR"/>
        </w:rPr>
        <w:t>’</w:t>
      </w:r>
      <w:r w:rsidRPr="005066E6">
        <w:rPr>
          <w:rFonts w:eastAsia="MS Mincho"/>
          <w:lang w:val="fr-FR"/>
        </w:rPr>
        <w:t xml:space="preserve">auteur demande que soient reconnus </w:t>
      </w:r>
      <w:r w:rsidR="002279C6">
        <w:rPr>
          <w:rFonts w:eastAsia="MS Mincho"/>
          <w:lang w:val="fr-FR"/>
        </w:rPr>
        <w:t>« </w:t>
      </w:r>
      <w:r w:rsidRPr="005066E6">
        <w:rPr>
          <w:rFonts w:eastAsia="MS Mincho"/>
          <w:lang w:val="fr-FR"/>
        </w:rPr>
        <w:t>les</w:t>
      </w:r>
      <w:r w:rsidR="002279C6">
        <w:rPr>
          <w:rFonts w:eastAsia="MS Mincho"/>
          <w:lang w:val="fr-FR"/>
        </w:rPr>
        <w:t> </w:t>
      </w:r>
      <w:r w:rsidRPr="005066E6">
        <w:rPr>
          <w:rFonts w:eastAsia="MS Mincho"/>
          <w:lang w:val="fr-FR"/>
        </w:rPr>
        <w:t>liens qui existent entre le droit d</w:t>
      </w:r>
      <w:r>
        <w:rPr>
          <w:rFonts w:eastAsia="MS Mincho"/>
          <w:lang w:val="fr-FR"/>
        </w:rPr>
        <w:t>’</w:t>
      </w:r>
      <w:r w:rsidRPr="005066E6">
        <w:rPr>
          <w:rFonts w:eastAsia="MS Mincho"/>
          <w:lang w:val="fr-FR"/>
        </w:rPr>
        <w:t>acquérir une nationalité, la jouissance de la personnalité juridique et le respect de la dignité humaine</w:t>
      </w:r>
      <w:r w:rsidR="002279C6">
        <w:rPr>
          <w:rFonts w:eastAsia="MS Mincho"/>
          <w:lang w:val="fr-FR"/>
        </w:rPr>
        <w:t> »</w:t>
      </w:r>
      <w:r w:rsidRPr="005066E6">
        <w:rPr>
          <w:rFonts w:eastAsia="MS Mincho"/>
          <w:lang w:val="fr-FR"/>
        </w:rPr>
        <w:t>. Bien que l</w:t>
      </w:r>
      <w:r>
        <w:rPr>
          <w:rFonts w:eastAsia="MS Mincho"/>
          <w:lang w:val="fr-FR"/>
        </w:rPr>
        <w:t>’</w:t>
      </w:r>
      <w:r w:rsidRPr="005066E6">
        <w:rPr>
          <w:rFonts w:eastAsia="MS Mincho"/>
          <w:lang w:val="fr-FR"/>
        </w:rPr>
        <w:t>auteur n</w:t>
      </w:r>
      <w:r>
        <w:rPr>
          <w:rFonts w:eastAsia="MS Mincho"/>
          <w:lang w:val="fr-FR"/>
        </w:rPr>
        <w:t>’</w:t>
      </w:r>
      <w:r w:rsidRPr="005066E6">
        <w:rPr>
          <w:rFonts w:eastAsia="MS Mincho"/>
          <w:lang w:val="fr-FR"/>
        </w:rPr>
        <w:t>ait pas fo</w:t>
      </w:r>
      <w:r w:rsidRPr="006E0BD5">
        <w:rPr>
          <w:rFonts w:eastAsia="MS Mincho"/>
          <w:lang w:val="fr-FR"/>
        </w:rPr>
        <w:t>rmellement fondé sa plainte sur les articles</w:t>
      </w:r>
      <w:r w:rsidR="002279C6">
        <w:rPr>
          <w:rFonts w:eastAsia="MS Mincho"/>
          <w:lang w:val="fr-FR"/>
        </w:rPr>
        <w:t> </w:t>
      </w:r>
      <w:r w:rsidRPr="006E0BD5">
        <w:rPr>
          <w:rFonts w:eastAsia="MS Mincho"/>
          <w:lang w:val="fr-FR"/>
        </w:rPr>
        <w:t>7 et 16 du Pacte, la majorité du Comité aurait dû l</w:t>
      </w:r>
      <w:r>
        <w:rPr>
          <w:rFonts w:eastAsia="MS Mincho"/>
          <w:lang w:val="fr-FR"/>
        </w:rPr>
        <w:t>’</w:t>
      </w:r>
      <w:r w:rsidRPr="006E0BD5">
        <w:rPr>
          <w:rFonts w:eastAsia="MS Mincho"/>
          <w:lang w:val="fr-FR"/>
        </w:rPr>
        <w:t>examiner de manière approfondie et attentive</w:t>
      </w:r>
      <w:r>
        <w:rPr>
          <w:rFonts w:eastAsia="MS Mincho"/>
          <w:lang w:val="fr-FR"/>
        </w:rPr>
        <w:t xml:space="preserve"> sous cet angle</w:t>
      </w:r>
      <w:r w:rsidRPr="006E0BD5">
        <w:rPr>
          <w:rFonts w:eastAsia="MS Mincho"/>
          <w:lang w:val="fr-FR"/>
        </w:rPr>
        <w:t>.</w:t>
      </w:r>
    </w:p>
    <w:p w14:paraId="481E9660" w14:textId="77777777" w:rsidR="00C66C9A" w:rsidRPr="006061D3" w:rsidRDefault="00C66C9A" w:rsidP="00C66C9A">
      <w:pPr>
        <w:pStyle w:val="SingleTxtG"/>
        <w:rPr>
          <w:rFonts w:eastAsia="MS Mincho"/>
          <w:lang w:val="fr-FR"/>
        </w:rPr>
      </w:pPr>
      <w:r w:rsidRPr="005066E6">
        <w:rPr>
          <w:rFonts w:eastAsia="MS Mincho"/>
          <w:lang w:val="fr-FR"/>
        </w:rPr>
        <w:t>4.</w:t>
      </w:r>
      <w:r w:rsidRPr="005066E6">
        <w:rPr>
          <w:rFonts w:eastAsia="MS Mincho"/>
          <w:lang w:val="fr-FR"/>
        </w:rPr>
        <w:tab/>
        <w:t>En effet, comme l</w:t>
      </w:r>
      <w:r>
        <w:rPr>
          <w:rFonts w:eastAsia="MS Mincho"/>
          <w:lang w:val="fr-FR"/>
        </w:rPr>
        <w:t>’</w:t>
      </w:r>
      <w:r w:rsidRPr="005066E6">
        <w:rPr>
          <w:rFonts w:eastAsia="MS Mincho"/>
          <w:lang w:val="fr-FR"/>
        </w:rPr>
        <w:t>a récemment affirmé la Cour africaine des droits de l</w:t>
      </w:r>
      <w:r>
        <w:rPr>
          <w:rFonts w:eastAsia="MS Mincho"/>
          <w:lang w:val="fr-FR"/>
        </w:rPr>
        <w:t>’</w:t>
      </w:r>
      <w:r w:rsidRPr="005066E6">
        <w:rPr>
          <w:rFonts w:eastAsia="MS Mincho"/>
          <w:lang w:val="fr-FR"/>
        </w:rPr>
        <w:t xml:space="preserve">homme et des peuples, </w:t>
      </w:r>
      <w:r>
        <w:rPr>
          <w:rFonts w:eastAsia="MS Mincho"/>
          <w:lang w:val="fr-FR"/>
        </w:rPr>
        <w:t>« </w:t>
      </w:r>
      <w:r w:rsidRPr="005066E6">
        <w:rPr>
          <w:rFonts w:eastAsia="MS Mincho"/>
          <w:lang w:val="fr-FR"/>
        </w:rPr>
        <w:t>le droit à la n</w:t>
      </w:r>
      <w:r w:rsidRPr="00C3440C">
        <w:rPr>
          <w:rFonts w:eastAsia="MS Mincho"/>
          <w:lang w:val="fr-FR"/>
        </w:rPr>
        <w:t>ationalité constitue un élément fondamental de la dignité de la personne humaine</w:t>
      </w:r>
      <w:r>
        <w:rPr>
          <w:rFonts w:eastAsia="MS Mincho"/>
          <w:lang w:val="fr-FR"/>
        </w:rPr>
        <w:t> »</w:t>
      </w:r>
      <w:r w:rsidRPr="007F2E6C">
        <w:rPr>
          <w:rStyle w:val="Appelnotedebasdep"/>
        </w:rPr>
        <w:footnoteReference w:id="28"/>
      </w:r>
      <w:r w:rsidRPr="005066E6">
        <w:rPr>
          <w:rFonts w:eastAsia="MS Mincho"/>
          <w:lang w:val="fr-FR"/>
        </w:rPr>
        <w:t>. Dans le même ordre d</w:t>
      </w:r>
      <w:r>
        <w:rPr>
          <w:rFonts w:eastAsia="MS Mincho"/>
          <w:lang w:val="fr-FR"/>
        </w:rPr>
        <w:t>’</w:t>
      </w:r>
      <w:r w:rsidRPr="005066E6">
        <w:rPr>
          <w:rFonts w:eastAsia="MS Mincho"/>
          <w:lang w:val="fr-FR"/>
        </w:rPr>
        <w:t>idées, la Cour interaméricaine des droits de l</w:t>
      </w:r>
      <w:r>
        <w:rPr>
          <w:rFonts w:eastAsia="MS Mincho"/>
          <w:lang w:val="fr-FR"/>
        </w:rPr>
        <w:t>’</w:t>
      </w:r>
      <w:r w:rsidRPr="005066E6">
        <w:rPr>
          <w:rFonts w:eastAsia="MS Mincho"/>
          <w:lang w:val="fr-FR"/>
        </w:rPr>
        <w:t xml:space="preserve">homme </w:t>
      </w:r>
      <w:r w:rsidR="002279C6">
        <w:rPr>
          <w:rFonts w:eastAsia="MS Mincho"/>
          <w:lang w:val="fr-FR"/>
        </w:rPr>
        <w:t>− </w:t>
      </w:r>
      <w:r w:rsidRPr="005066E6">
        <w:rPr>
          <w:rFonts w:eastAsia="MS Mincho"/>
          <w:lang w:val="fr-FR"/>
        </w:rPr>
        <w:t xml:space="preserve">dont </w:t>
      </w:r>
      <w:r>
        <w:rPr>
          <w:rFonts w:eastAsia="MS Mincho"/>
          <w:lang w:val="fr-FR"/>
        </w:rPr>
        <w:t xml:space="preserve">la jurisprudence </w:t>
      </w:r>
      <w:r w:rsidRPr="005066E6">
        <w:rPr>
          <w:rFonts w:eastAsia="MS Mincho"/>
          <w:lang w:val="fr-FR"/>
        </w:rPr>
        <w:t xml:space="preserve">dans ce domaine </w:t>
      </w:r>
      <w:r>
        <w:rPr>
          <w:rFonts w:eastAsia="MS Mincho"/>
          <w:lang w:val="fr-FR"/>
        </w:rPr>
        <w:t xml:space="preserve">fait autorité et </w:t>
      </w:r>
      <w:r w:rsidRPr="005066E6">
        <w:rPr>
          <w:rFonts w:eastAsia="MS Mincho"/>
          <w:lang w:val="fr-FR"/>
        </w:rPr>
        <w:t xml:space="preserve">est </w:t>
      </w:r>
      <w:r>
        <w:rPr>
          <w:rFonts w:eastAsia="MS Mincho"/>
          <w:lang w:val="fr-FR"/>
        </w:rPr>
        <w:t>reflétée</w:t>
      </w:r>
      <w:r w:rsidRPr="005066E6">
        <w:rPr>
          <w:rFonts w:eastAsia="MS Mincho"/>
          <w:lang w:val="fr-FR"/>
        </w:rPr>
        <w:t xml:space="preserve"> dans les principes directeurs sur l</w:t>
      </w:r>
      <w:r>
        <w:rPr>
          <w:rFonts w:eastAsia="MS Mincho"/>
          <w:lang w:val="fr-FR"/>
        </w:rPr>
        <w:t>’</w:t>
      </w:r>
      <w:r w:rsidRPr="005066E6">
        <w:rPr>
          <w:rFonts w:eastAsia="MS Mincho"/>
          <w:lang w:val="fr-FR"/>
        </w:rPr>
        <w:t>apatridie n</w:t>
      </w:r>
      <w:r w:rsidR="002279C6" w:rsidRPr="002279C6">
        <w:rPr>
          <w:rFonts w:eastAsia="MS Mincho"/>
          <w:vertAlign w:val="superscript"/>
          <w:lang w:val="fr-FR"/>
        </w:rPr>
        <w:t>o</w:t>
      </w:r>
      <w:r w:rsidR="002279C6">
        <w:rPr>
          <w:rFonts w:eastAsia="MS Mincho"/>
          <w:lang w:val="fr-FR"/>
        </w:rPr>
        <w:t> </w:t>
      </w:r>
      <w:r w:rsidRPr="005066E6">
        <w:rPr>
          <w:rFonts w:eastAsia="MS Mincho"/>
          <w:lang w:val="fr-FR"/>
        </w:rPr>
        <w:t>5</w:t>
      </w:r>
      <w:r>
        <w:rPr>
          <w:rFonts w:eastAsia="MS Mincho"/>
          <w:lang w:val="fr-FR"/>
        </w:rPr>
        <w:t xml:space="preserve"> que le HCR a </w:t>
      </w:r>
      <w:r w:rsidRPr="005066E6">
        <w:rPr>
          <w:rFonts w:eastAsia="MS Mincho"/>
          <w:lang w:val="fr-FR"/>
        </w:rPr>
        <w:t>adoptés en mai 2020</w:t>
      </w:r>
      <w:r w:rsidR="002279C6">
        <w:rPr>
          <w:rFonts w:eastAsia="MS Mincho"/>
          <w:lang w:val="fr-FR"/>
        </w:rPr>
        <w:t> −</w:t>
      </w:r>
      <w:r w:rsidRPr="005066E6">
        <w:rPr>
          <w:rFonts w:eastAsia="MS Mincho"/>
          <w:lang w:val="fr-FR"/>
        </w:rPr>
        <w:t xml:space="preserve"> affirme que la nationalité est un droit inhérent à tous les êtres humains, ainsi que la condition de base pour l</w:t>
      </w:r>
      <w:r>
        <w:rPr>
          <w:rFonts w:eastAsia="MS Mincho"/>
          <w:lang w:val="fr-FR"/>
        </w:rPr>
        <w:t>’</w:t>
      </w:r>
      <w:r w:rsidRPr="005066E6">
        <w:rPr>
          <w:rFonts w:eastAsia="MS Mincho"/>
          <w:lang w:val="fr-FR"/>
        </w:rPr>
        <w:t>exercice des droits politiques et un élément cl</w:t>
      </w:r>
      <w:r w:rsidR="0067428A">
        <w:rPr>
          <w:rFonts w:eastAsia="MS Mincho"/>
          <w:lang w:val="fr-FR"/>
        </w:rPr>
        <w:t>ef</w:t>
      </w:r>
      <w:r w:rsidRPr="005066E6">
        <w:rPr>
          <w:rFonts w:eastAsia="MS Mincho"/>
          <w:lang w:val="fr-FR"/>
        </w:rPr>
        <w:t xml:space="preserve"> pour la capacité juridique de l</w:t>
      </w:r>
      <w:r>
        <w:rPr>
          <w:rFonts w:eastAsia="MS Mincho"/>
          <w:lang w:val="fr-FR"/>
        </w:rPr>
        <w:t>’</w:t>
      </w:r>
      <w:r w:rsidRPr="005066E6">
        <w:rPr>
          <w:rFonts w:eastAsia="MS Mincho"/>
          <w:lang w:val="fr-FR"/>
        </w:rPr>
        <w:t>individu</w:t>
      </w:r>
      <w:r w:rsidRPr="007F2E6C">
        <w:rPr>
          <w:rStyle w:val="Appelnotedebasdep"/>
        </w:rPr>
        <w:footnoteReference w:id="29"/>
      </w:r>
      <w:r w:rsidRPr="005066E6">
        <w:rPr>
          <w:rFonts w:eastAsia="MS Mincho"/>
          <w:lang w:val="fr-FR"/>
        </w:rPr>
        <w:t>. Plus important encore, la Cour interaméricaine des droits de l</w:t>
      </w:r>
      <w:r>
        <w:rPr>
          <w:rFonts w:eastAsia="MS Mincho"/>
          <w:lang w:val="fr-FR"/>
        </w:rPr>
        <w:t>’</w:t>
      </w:r>
      <w:r w:rsidRPr="005066E6">
        <w:rPr>
          <w:rFonts w:eastAsia="MS Mincho"/>
          <w:lang w:val="fr-FR"/>
        </w:rPr>
        <w:t>homme a souligné dans l</w:t>
      </w:r>
      <w:r>
        <w:rPr>
          <w:rFonts w:eastAsia="MS Mincho"/>
          <w:lang w:val="fr-FR"/>
        </w:rPr>
        <w:t>’</w:t>
      </w:r>
      <w:r w:rsidRPr="005066E6">
        <w:rPr>
          <w:rFonts w:eastAsia="MS Mincho"/>
          <w:lang w:val="fr-FR"/>
        </w:rPr>
        <w:t xml:space="preserve">affaire </w:t>
      </w:r>
      <w:r w:rsidRPr="005066E6">
        <w:rPr>
          <w:rFonts w:eastAsia="MS Mincho"/>
          <w:i/>
          <w:iCs/>
          <w:lang w:val="fr-FR"/>
        </w:rPr>
        <w:t>Yean and Bosico Girls</w:t>
      </w:r>
      <w:r w:rsidRPr="005066E6">
        <w:rPr>
          <w:rFonts w:eastAsia="MS Mincho"/>
          <w:lang w:val="fr-FR"/>
        </w:rPr>
        <w:t xml:space="preserve"> que si des personnes sans nationalité se trouvaient dans une situation d</w:t>
      </w:r>
      <w:r>
        <w:rPr>
          <w:rFonts w:eastAsia="MS Mincho"/>
          <w:lang w:val="fr-FR"/>
        </w:rPr>
        <w:t>’</w:t>
      </w:r>
      <w:r w:rsidRPr="005066E6">
        <w:rPr>
          <w:rFonts w:eastAsia="MS Mincho"/>
          <w:lang w:val="fr-FR"/>
        </w:rPr>
        <w:t>extrême vulnérabilité, les enfants étaient dans une situation plu</w:t>
      </w:r>
      <w:r w:rsidRPr="001C0609">
        <w:rPr>
          <w:rFonts w:eastAsia="MS Mincho"/>
          <w:lang w:val="fr-FR"/>
        </w:rPr>
        <w:t>s vulnérable encore</w:t>
      </w:r>
      <w:r w:rsidRPr="007F2E6C">
        <w:rPr>
          <w:rStyle w:val="Appelnotedebasdep"/>
        </w:rPr>
        <w:footnoteReference w:id="30"/>
      </w:r>
      <w:r w:rsidRPr="005066E6">
        <w:rPr>
          <w:rFonts w:eastAsia="MS Mincho"/>
          <w:lang w:val="fr-FR"/>
        </w:rPr>
        <w:t>. Les enfants apatrides sont placés dans un vide juridique</w:t>
      </w:r>
      <w:r w:rsidRPr="007F2E6C">
        <w:rPr>
          <w:rStyle w:val="Appelnotedebasdep"/>
        </w:rPr>
        <w:footnoteReference w:id="31"/>
      </w:r>
      <w:r w:rsidRPr="005066E6">
        <w:rPr>
          <w:rFonts w:eastAsia="MS Mincho"/>
          <w:lang w:val="fr-FR"/>
        </w:rPr>
        <w:t xml:space="preserve"> en ce sens qu</w:t>
      </w:r>
      <w:r>
        <w:rPr>
          <w:rFonts w:eastAsia="MS Mincho"/>
          <w:lang w:val="fr-FR"/>
        </w:rPr>
        <w:t>’</w:t>
      </w:r>
      <w:r w:rsidRPr="005066E6">
        <w:rPr>
          <w:rFonts w:eastAsia="MS Mincho"/>
          <w:lang w:val="fr-FR"/>
        </w:rPr>
        <w:t xml:space="preserve">ils </w:t>
      </w:r>
      <w:r w:rsidR="002279C6">
        <w:rPr>
          <w:rFonts w:eastAsia="MS Mincho"/>
          <w:lang w:val="fr-FR"/>
        </w:rPr>
        <w:t>« </w:t>
      </w:r>
      <w:r w:rsidRPr="005066E6">
        <w:rPr>
          <w:rFonts w:eastAsia="MS Mincho"/>
          <w:lang w:val="fr-FR"/>
        </w:rPr>
        <w:t>n</w:t>
      </w:r>
      <w:r>
        <w:rPr>
          <w:rFonts w:eastAsia="MS Mincho"/>
          <w:lang w:val="fr-FR"/>
        </w:rPr>
        <w:t>’</w:t>
      </w:r>
      <w:r w:rsidRPr="005066E6">
        <w:rPr>
          <w:rFonts w:eastAsia="MS Mincho"/>
          <w:lang w:val="fr-FR"/>
        </w:rPr>
        <w:t>ont pas de personnalité juridique reconnue, parce qu</w:t>
      </w:r>
      <w:r>
        <w:rPr>
          <w:rFonts w:eastAsia="MS Mincho"/>
          <w:lang w:val="fr-FR"/>
        </w:rPr>
        <w:t>’</w:t>
      </w:r>
      <w:r w:rsidRPr="005066E6">
        <w:rPr>
          <w:rFonts w:eastAsia="MS Mincho"/>
          <w:lang w:val="fr-FR"/>
        </w:rPr>
        <w:t>ils n</w:t>
      </w:r>
      <w:r>
        <w:rPr>
          <w:rFonts w:eastAsia="MS Mincho"/>
          <w:lang w:val="fr-FR"/>
        </w:rPr>
        <w:t>’</w:t>
      </w:r>
      <w:r w:rsidRPr="005066E6">
        <w:rPr>
          <w:rFonts w:eastAsia="MS Mincho"/>
          <w:lang w:val="fr-FR"/>
        </w:rPr>
        <w:t xml:space="preserve">ont établi de relation juridique et politique avec </w:t>
      </w:r>
      <w:r>
        <w:rPr>
          <w:rFonts w:eastAsia="MS Mincho"/>
          <w:lang w:val="fr-FR"/>
        </w:rPr>
        <w:t>aucun</w:t>
      </w:r>
      <w:r w:rsidRPr="005066E6">
        <w:rPr>
          <w:rFonts w:eastAsia="MS Mincho"/>
          <w:lang w:val="fr-FR"/>
        </w:rPr>
        <w:t xml:space="preserve"> État</w:t>
      </w:r>
      <w:r w:rsidR="002279C6">
        <w:rPr>
          <w:rFonts w:eastAsia="MS Mincho"/>
          <w:lang w:val="fr-FR"/>
        </w:rPr>
        <w:t> »</w:t>
      </w:r>
      <w:r w:rsidRPr="007F2E6C">
        <w:rPr>
          <w:rStyle w:val="Appelnotedebasdep"/>
        </w:rPr>
        <w:footnoteReference w:id="32"/>
      </w:r>
      <w:r w:rsidRPr="005066E6">
        <w:rPr>
          <w:rFonts w:eastAsia="MS Mincho"/>
          <w:lang w:val="fr-FR"/>
        </w:rPr>
        <w:t xml:space="preserve">. </w:t>
      </w:r>
    </w:p>
    <w:p w14:paraId="587BC008" w14:textId="77777777" w:rsidR="00C66C9A" w:rsidRDefault="00C66C9A" w:rsidP="002279C6">
      <w:pPr>
        <w:pStyle w:val="SingleTxtG"/>
        <w:keepNext/>
        <w:keepLines/>
        <w:rPr>
          <w:rFonts w:eastAsia="MS Mincho"/>
          <w:lang w:val="fr-FR"/>
        </w:rPr>
      </w:pPr>
      <w:r w:rsidRPr="005066E6">
        <w:rPr>
          <w:rFonts w:eastAsia="MS Mincho"/>
          <w:lang w:val="fr-FR"/>
        </w:rPr>
        <w:lastRenderedPageBreak/>
        <w:t>5.</w:t>
      </w:r>
      <w:r w:rsidRPr="005066E6">
        <w:rPr>
          <w:rFonts w:eastAsia="MS Mincho"/>
          <w:lang w:val="fr-FR"/>
        </w:rPr>
        <w:tab/>
        <w:t>C</w:t>
      </w:r>
      <w:r>
        <w:rPr>
          <w:rFonts w:eastAsia="MS Mincho"/>
          <w:lang w:val="fr-FR"/>
        </w:rPr>
        <w:t>’</w:t>
      </w:r>
      <w:r w:rsidRPr="005066E6">
        <w:rPr>
          <w:rFonts w:eastAsia="MS Mincho"/>
          <w:lang w:val="fr-FR"/>
        </w:rPr>
        <w:t xml:space="preserve">est exactement la situation </w:t>
      </w:r>
      <w:r>
        <w:rPr>
          <w:rFonts w:eastAsia="MS Mincho"/>
          <w:lang w:val="fr-FR"/>
        </w:rPr>
        <w:t>que décrit</w:t>
      </w:r>
      <w:r w:rsidRPr="005066E6">
        <w:rPr>
          <w:rFonts w:eastAsia="MS Mincho"/>
          <w:lang w:val="fr-FR"/>
        </w:rPr>
        <w:t xml:space="preserve"> l</w:t>
      </w:r>
      <w:r>
        <w:rPr>
          <w:rFonts w:eastAsia="MS Mincho"/>
          <w:lang w:val="fr-FR"/>
        </w:rPr>
        <w:t>’</w:t>
      </w:r>
      <w:r w:rsidRPr="005066E6">
        <w:rPr>
          <w:rFonts w:eastAsia="MS Mincho"/>
          <w:lang w:val="fr-FR"/>
        </w:rPr>
        <w:t>auteur au paragraphe</w:t>
      </w:r>
      <w:r>
        <w:rPr>
          <w:rFonts w:eastAsia="MS Mincho"/>
          <w:lang w:val="fr-FR"/>
        </w:rPr>
        <w:t> </w:t>
      </w:r>
      <w:r w:rsidRPr="005066E6">
        <w:rPr>
          <w:rFonts w:eastAsia="MS Mincho"/>
          <w:lang w:val="fr-FR"/>
        </w:rPr>
        <w:t>3.1 de sa communication devant le Comité. Par conséquent, sa situation d</w:t>
      </w:r>
      <w:r>
        <w:rPr>
          <w:rFonts w:eastAsia="MS Mincho"/>
          <w:lang w:val="fr-FR"/>
        </w:rPr>
        <w:t>’</w:t>
      </w:r>
      <w:r w:rsidRPr="005066E6">
        <w:rPr>
          <w:rFonts w:eastAsia="MS Mincho"/>
          <w:lang w:val="fr-FR"/>
        </w:rPr>
        <w:t>apatridie ne constitue pas seulement une violation de son droit à une nationalité (art.</w:t>
      </w:r>
      <w:r w:rsidR="006127E4">
        <w:rPr>
          <w:rFonts w:eastAsia="MS Mincho"/>
          <w:lang w:val="fr-FR"/>
        </w:rPr>
        <w:t> </w:t>
      </w:r>
      <w:r w:rsidRPr="005066E6">
        <w:rPr>
          <w:rFonts w:eastAsia="MS Mincho"/>
          <w:lang w:val="fr-FR"/>
        </w:rPr>
        <w:t>24 (par. 3) du Pacte). Elle aurait égale</w:t>
      </w:r>
      <w:r w:rsidRPr="001C0609">
        <w:rPr>
          <w:rFonts w:eastAsia="MS Mincho"/>
          <w:lang w:val="fr-FR"/>
        </w:rPr>
        <w:t xml:space="preserve">ment dû être analysée par la majorité comme une violation du droit </w:t>
      </w:r>
      <w:r>
        <w:rPr>
          <w:rFonts w:eastAsia="MS Mincho"/>
          <w:lang w:val="fr-FR"/>
        </w:rPr>
        <w:t>à la reconnaissance de la</w:t>
      </w:r>
      <w:r w:rsidRPr="001C0609">
        <w:rPr>
          <w:rFonts w:eastAsia="MS Mincho"/>
          <w:lang w:val="fr-FR"/>
        </w:rPr>
        <w:t xml:space="preserve"> personnalité juridiqu</w:t>
      </w:r>
      <w:bookmarkStart w:id="1" w:name="_GoBack"/>
      <w:bookmarkEnd w:id="1"/>
      <w:r w:rsidRPr="001C0609">
        <w:rPr>
          <w:rFonts w:eastAsia="MS Mincho"/>
          <w:lang w:val="fr-FR"/>
        </w:rPr>
        <w:t>e (art.</w:t>
      </w:r>
      <w:r w:rsidR="006127E4">
        <w:rPr>
          <w:rFonts w:eastAsia="MS Mincho"/>
          <w:lang w:val="fr-FR"/>
        </w:rPr>
        <w:t> </w:t>
      </w:r>
      <w:r w:rsidRPr="001C0609">
        <w:rPr>
          <w:rFonts w:eastAsia="MS Mincho"/>
          <w:lang w:val="fr-FR"/>
        </w:rPr>
        <w:t>16) et du droit d</w:t>
      </w:r>
      <w:r>
        <w:rPr>
          <w:rFonts w:eastAsia="MS Mincho"/>
          <w:lang w:val="fr-FR"/>
        </w:rPr>
        <w:t>’</w:t>
      </w:r>
      <w:r w:rsidRPr="001C0609">
        <w:rPr>
          <w:rFonts w:eastAsia="MS Mincho"/>
          <w:lang w:val="fr-FR"/>
        </w:rPr>
        <w:t>être traité avec humanité et dignité (art.</w:t>
      </w:r>
      <w:r w:rsidR="006127E4">
        <w:rPr>
          <w:rFonts w:eastAsia="MS Mincho"/>
          <w:lang w:val="fr-FR"/>
        </w:rPr>
        <w:t> </w:t>
      </w:r>
      <w:r w:rsidRPr="001C0609">
        <w:rPr>
          <w:rFonts w:eastAsia="MS Mincho"/>
          <w:lang w:val="fr-FR"/>
        </w:rPr>
        <w:t>7).</w:t>
      </w:r>
    </w:p>
    <w:p w14:paraId="1E82E6F9" w14:textId="77777777" w:rsidR="006127E4" w:rsidRPr="006127E4" w:rsidRDefault="006127E4" w:rsidP="006127E4">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6127E4" w:rsidRPr="006127E4" w:rsidSect="00C66C9A">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DAE0B" w14:textId="77777777" w:rsidR="002279C6" w:rsidRDefault="002279C6" w:rsidP="00F95C08">
      <w:pPr>
        <w:spacing w:line="240" w:lineRule="auto"/>
      </w:pPr>
    </w:p>
  </w:endnote>
  <w:endnote w:type="continuationSeparator" w:id="0">
    <w:p w14:paraId="7AB0F759" w14:textId="77777777" w:rsidR="002279C6" w:rsidRPr="00AC3823" w:rsidRDefault="002279C6" w:rsidP="00AC3823">
      <w:pPr>
        <w:pStyle w:val="Pieddepage"/>
      </w:pPr>
    </w:p>
  </w:endnote>
  <w:endnote w:type="continuationNotice" w:id="1">
    <w:p w14:paraId="218F9D69" w14:textId="77777777" w:rsidR="002279C6" w:rsidRDefault="002279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99D66" w14:textId="77777777" w:rsidR="002279C6" w:rsidRDefault="002279C6" w:rsidP="00C66C9A">
    <w:pPr>
      <w:pStyle w:val="Pieddepage"/>
      <w:tabs>
        <w:tab w:val="right" w:pos="9638"/>
      </w:tabs>
    </w:pPr>
    <w:r w:rsidRPr="00C66C9A">
      <w:rPr>
        <w:b/>
        <w:sz w:val="18"/>
      </w:rPr>
      <w:fldChar w:fldCharType="begin"/>
    </w:r>
    <w:r w:rsidRPr="00C66C9A">
      <w:rPr>
        <w:b/>
        <w:sz w:val="18"/>
      </w:rPr>
      <w:instrText xml:space="preserve"> PAGE  \* MERGEFORMAT </w:instrText>
    </w:r>
    <w:r w:rsidRPr="00C66C9A">
      <w:rPr>
        <w:b/>
        <w:sz w:val="18"/>
      </w:rPr>
      <w:fldChar w:fldCharType="separate"/>
    </w:r>
    <w:r w:rsidRPr="00C66C9A">
      <w:rPr>
        <w:b/>
        <w:noProof/>
        <w:sz w:val="18"/>
      </w:rPr>
      <w:t>2</w:t>
    </w:r>
    <w:r w:rsidRPr="00C66C9A">
      <w:rPr>
        <w:b/>
        <w:sz w:val="18"/>
      </w:rPr>
      <w:fldChar w:fldCharType="end"/>
    </w:r>
    <w:r>
      <w:rPr>
        <w:b/>
        <w:sz w:val="18"/>
      </w:rPr>
      <w:tab/>
    </w:r>
    <w:r>
      <w:t>GE.21-00755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86AD9" w14:textId="77777777" w:rsidR="002279C6" w:rsidRDefault="002279C6" w:rsidP="00C66C9A">
    <w:pPr>
      <w:pStyle w:val="Pieddepage"/>
      <w:tabs>
        <w:tab w:val="right" w:pos="9638"/>
      </w:tabs>
    </w:pPr>
    <w:r>
      <w:t>GE.21-00755</w:t>
    </w:r>
    <w:r>
      <w:tab/>
    </w:r>
    <w:r w:rsidRPr="00C66C9A">
      <w:rPr>
        <w:b/>
        <w:sz w:val="18"/>
      </w:rPr>
      <w:fldChar w:fldCharType="begin"/>
    </w:r>
    <w:r w:rsidRPr="00C66C9A">
      <w:rPr>
        <w:b/>
        <w:sz w:val="18"/>
      </w:rPr>
      <w:instrText xml:space="preserve"> PAGE  \* MERGEFORMAT </w:instrText>
    </w:r>
    <w:r w:rsidRPr="00C66C9A">
      <w:rPr>
        <w:b/>
        <w:sz w:val="18"/>
      </w:rPr>
      <w:fldChar w:fldCharType="separate"/>
    </w:r>
    <w:r w:rsidRPr="00C66C9A">
      <w:rPr>
        <w:b/>
        <w:noProof/>
        <w:sz w:val="18"/>
      </w:rPr>
      <w:t>3</w:t>
    </w:r>
    <w:r w:rsidRPr="00C66C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FC32B" w14:textId="77777777" w:rsidR="002279C6" w:rsidRPr="00C66C9A" w:rsidRDefault="002279C6" w:rsidP="00C66C9A">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CF139FE" wp14:editId="7D4ABA3C">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21-00755  (F)</w:t>
    </w:r>
    <w:r>
      <w:rPr>
        <w:noProof/>
        <w:sz w:val="20"/>
      </w:rPr>
      <w:drawing>
        <wp:anchor distT="0" distB="0" distL="114300" distR="114300" simplePos="0" relativeHeight="251660288" behindDoc="0" locked="0" layoutInCell="1" allowOverlap="1" wp14:anchorId="36D77E78" wp14:editId="041B8003">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120321    120321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BE4C2" w14:textId="77777777" w:rsidR="002279C6" w:rsidRPr="00AC3823" w:rsidRDefault="002279C6" w:rsidP="00AC3823">
      <w:pPr>
        <w:pStyle w:val="Pieddepage"/>
        <w:tabs>
          <w:tab w:val="right" w:pos="2155"/>
        </w:tabs>
        <w:spacing w:after="80" w:line="240" w:lineRule="atLeast"/>
        <w:ind w:left="680"/>
        <w:rPr>
          <w:u w:val="single"/>
        </w:rPr>
      </w:pPr>
      <w:r>
        <w:rPr>
          <w:u w:val="single"/>
        </w:rPr>
        <w:tab/>
      </w:r>
    </w:p>
  </w:footnote>
  <w:footnote w:type="continuationSeparator" w:id="0">
    <w:p w14:paraId="5ECEF232" w14:textId="77777777" w:rsidR="002279C6" w:rsidRPr="00AC3823" w:rsidRDefault="002279C6" w:rsidP="00AC3823">
      <w:pPr>
        <w:pStyle w:val="Pieddepage"/>
        <w:tabs>
          <w:tab w:val="right" w:pos="2155"/>
        </w:tabs>
        <w:spacing w:after="80" w:line="240" w:lineRule="atLeast"/>
        <w:ind w:left="680"/>
        <w:rPr>
          <w:u w:val="single"/>
        </w:rPr>
      </w:pPr>
      <w:r>
        <w:rPr>
          <w:u w:val="single"/>
        </w:rPr>
        <w:tab/>
      </w:r>
    </w:p>
  </w:footnote>
  <w:footnote w:type="continuationNotice" w:id="1">
    <w:p w14:paraId="3E8FC78F" w14:textId="77777777" w:rsidR="002279C6" w:rsidRPr="00AC3823" w:rsidRDefault="002279C6">
      <w:pPr>
        <w:spacing w:line="240" w:lineRule="auto"/>
        <w:rPr>
          <w:sz w:val="2"/>
          <w:szCs w:val="2"/>
        </w:rPr>
      </w:pPr>
    </w:p>
  </w:footnote>
  <w:footnote w:id="2">
    <w:p w14:paraId="1A938DDC" w14:textId="77777777" w:rsidR="002279C6" w:rsidRPr="00A751DD" w:rsidRDefault="002279C6" w:rsidP="00C66C9A">
      <w:pPr>
        <w:pStyle w:val="Notedebasdepage"/>
      </w:pPr>
      <w:r w:rsidRPr="00A751DD">
        <w:rPr>
          <w:rStyle w:val="Appelnotedebasdep"/>
        </w:rPr>
        <w:tab/>
      </w:r>
      <w:r w:rsidRPr="00A751DD">
        <w:rPr>
          <w:rStyle w:val="Appelnotedebasdep"/>
          <w:sz w:val="20"/>
          <w:vertAlign w:val="baseline"/>
        </w:rPr>
        <w:t>*</w:t>
      </w:r>
      <w:r w:rsidRPr="00A751DD">
        <w:rPr>
          <w:rStyle w:val="Appelnotedebasdep"/>
          <w:sz w:val="20"/>
          <w:vertAlign w:val="baseline"/>
        </w:rPr>
        <w:tab/>
      </w:r>
      <w:r w:rsidRPr="004A336D">
        <w:t>Adoptées par le Comité à sa 1</w:t>
      </w:r>
      <w:r>
        <w:t>30</w:t>
      </w:r>
      <w:r w:rsidRPr="006061D3">
        <w:rPr>
          <w:vertAlign w:val="superscript"/>
        </w:rPr>
        <w:t>e</w:t>
      </w:r>
      <w:r>
        <w:t> </w:t>
      </w:r>
      <w:r w:rsidRPr="004A336D">
        <w:t>session</w:t>
      </w:r>
      <w:r>
        <w:t xml:space="preserve"> (12 octobre-6 novembre 2020)</w:t>
      </w:r>
      <w:r w:rsidRPr="00A751DD">
        <w:rPr>
          <w:szCs w:val="18"/>
        </w:rPr>
        <w:t>.</w:t>
      </w:r>
    </w:p>
  </w:footnote>
  <w:footnote w:id="3">
    <w:p w14:paraId="29B5E4EC" w14:textId="77777777" w:rsidR="002279C6" w:rsidRPr="00A751DD" w:rsidRDefault="002279C6" w:rsidP="00C66C9A">
      <w:pPr>
        <w:pStyle w:val="Notedebasdepage"/>
      </w:pPr>
      <w:r w:rsidRPr="00A751DD">
        <w:rPr>
          <w:rStyle w:val="Appelnotedebasdep"/>
          <w:sz w:val="20"/>
          <w:vertAlign w:val="baseline"/>
        </w:rPr>
        <w:tab/>
        <w:t>**</w:t>
      </w:r>
      <w:r w:rsidRPr="00A751DD">
        <w:tab/>
        <w:t xml:space="preserve">Les membres du </w:t>
      </w:r>
      <w:r>
        <w:t>Comité</w:t>
      </w:r>
      <w:r w:rsidRPr="00A751DD">
        <w:t xml:space="preserve"> dont le nom suit ont participé à l</w:t>
      </w:r>
      <w:r>
        <w:t>’</w:t>
      </w:r>
      <w:r w:rsidRPr="00A751DD">
        <w:t>examen de la communication</w:t>
      </w:r>
      <w:r w:rsidR="006127E4">
        <w:t> :</w:t>
      </w:r>
      <w:r>
        <w:t xml:space="preserve"> </w:t>
      </w:r>
      <w:r w:rsidRPr="009F7AE5">
        <w:t>Yadh</w:t>
      </w:r>
      <w:r>
        <w:t> </w:t>
      </w:r>
      <w:r w:rsidRPr="009F7AE5">
        <w:t>Ben</w:t>
      </w:r>
      <w:r>
        <w:t> </w:t>
      </w:r>
      <w:r w:rsidRPr="009F7AE5">
        <w:t>Achour, Arif Bulkan, Ahmed Amin Fathalla, Furuya Shuichi, Christof Heyns, Duncan</w:t>
      </w:r>
      <w:r>
        <w:t> </w:t>
      </w:r>
      <w:r w:rsidRPr="009F7AE5">
        <w:t>Laki</w:t>
      </w:r>
      <w:r>
        <w:t> </w:t>
      </w:r>
      <w:r w:rsidRPr="009F7AE5">
        <w:t>Muhumuza, David H. Moore, Hernán Quezada Cabrera, Vasilka Sancin, José</w:t>
      </w:r>
      <w:r>
        <w:t> </w:t>
      </w:r>
      <w:r w:rsidRPr="009F7AE5">
        <w:t>Manuel</w:t>
      </w:r>
      <w:r>
        <w:t> </w:t>
      </w:r>
      <w:r w:rsidRPr="009F7AE5">
        <w:t xml:space="preserve">Santos Pais, Yuval Shany, Hélène Tigroudja, Andreas Zimmermann </w:t>
      </w:r>
      <w:r>
        <w:t>et</w:t>
      </w:r>
      <w:r w:rsidRPr="009F7AE5">
        <w:t xml:space="preserve"> Gentian Zyberi.</w:t>
      </w:r>
    </w:p>
    <w:p w14:paraId="421C0DD2" w14:textId="77777777" w:rsidR="002279C6" w:rsidRPr="00A751DD" w:rsidRDefault="002279C6" w:rsidP="00C66C9A">
      <w:pPr>
        <w:pStyle w:val="Notedebasdepage"/>
      </w:pPr>
      <w:r w:rsidRPr="00A751DD">
        <w:tab/>
      </w:r>
      <w:r w:rsidRPr="00A751DD">
        <w:rPr>
          <w:sz w:val="20"/>
        </w:rPr>
        <w:t>***</w:t>
      </w:r>
      <w:r w:rsidRPr="00A751DD">
        <w:rPr>
          <w:sz w:val="20"/>
        </w:rPr>
        <w:tab/>
      </w:r>
      <w:r w:rsidRPr="00F218C8">
        <w:t>Le texte d</w:t>
      </w:r>
      <w:r>
        <w:t>’</w:t>
      </w:r>
      <w:r w:rsidRPr="00F218C8">
        <w:t>opinions individuelles signées respectivement par</w:t>
      </w:r>
      <w:r>
        <w:t xml:space="preserve"> Yadh Ben Achour (concordante) et </w:t>
      </w:r>
      <w:r w:rsidRPr="00A751DD">
        <w:t>Hélène Tigroudja</w:t>
      </w:r>
      <w:r>
        <w:t xml:space="preserve"> (concordante)</w:t>
      </w:r>
      <w:r w:rsidRPr="00A751DD">
        <w:t xml:space="preserve"> e</w:t>
      </w:r>
      <w:r>
        <w:t>s</w:t>
      </w:r>
      <w:r w:rsidRPr="00A751DD">
        <w:t xml:space="preserve">t </w:t>
      </w:r>
      <w:r>
        <w:t>joint aux présentes constatations</w:t>
      </w:r>
      <w:r w:rsidRPr="00A751DD">
        <w:t>.</w:t>
      </w:r>
    </w:p>
  </w:footnote>
  <w:footnote w:id="4">
    <w:p w14:paraId="494B1432" w14:textId="77777777" w:rsidR="002279C6" w:rsidRPr="00A751DD" w:rsidRDefault="002279C6" w:rsidP="00C66C9A">
      <w:pPr>
        <w:pStyle w:val="Notedebasdepage"/>
      </w:pPr>
      <w:r w:rsidRPr="00A751DD">
        <w:tab/>
      </w:r>
      <w:r w:rsidRPr="007F2E6C">
        <w:rPr>
          <w:rStyle w:val="Appelnotedebasdep"/>
        </w:rPr>
        <w:footnoteRef/>
      </w:r>
      <w:r w:rsidRPr="00A751DD">
        <w:rPr>
          <w:vertAlign w:val="superscript"/>
        </w:rPr>
        <w:tab/>
      </w:r>
      <w:r w:rsidRPr="00A751DD">
        <w:t>L</w:t>
      </w:r>
      <w:r>
        <w:t>’</w:t>
      </w:r>
      <w:r w:rsidRPr="00A751DD">
        <w:t>auteur renvoie à Shuzhuo Li, Yexia Zhang</w:t>
      </w:r>
      <w:r>
        <w:t xml:space="preserve"> et</w:t>
      </w:r>
      <w:r w:rsidRPr="00A751DD">
        <w:t xml:space="preserve"> Marcus W. Feldman, « Birth </w:t>
      </w:r>
      <w:r>
        <w:t>r</w:t>
      </w:r>
      <w:r w:rsidRPr="00A751DD">
        <w:t xml:space="preserve">egistration in China: </w:t>
      </w:r>
      <w:r>
        <w:t>p</w:t>
      </w:r>
      <w:r w:rsidRPr="00A751DD">
        <w:t xml:space="preserve">ractices, </w:t>
      </w:r>
      <w:r>
        <w:t>p</w:t>
      </w:r>
      <w:r w:rsidRPr="00A751DD">
        <w:t xml:space="preserve">roblems and </w:t>
      </w:r>
      <w:r>
        <w:t>p</w:t>
      </w:r>
      <w:r w:rsidRPr="00A751DD">
        <w:t>olicies ».</w:t>
      </w:r>
    </w:p>
  </w:footnote>
  <w:footnote w:id="5">
    <w:p w14:paraId="60529303" w14:textId="77777777" w:rsidR="002279C6" w:rsidRPr="007F2E6C" w:rsidRDefault="002279C6" w:rsidP="00C66C9A">
      <w:pPr>
        <w:pStyle w:val="Notedebasdepage"/>
      </w:pPr>
      <w:r w:rsidRPr="00A751DD">
        <w:tab/>
      </w:r>
      <w:r w:rsidRPr="007F2E6C">
        <w:rPr>
          <w:rStyle w:val="Appelnotedebasdep"/>
        </w:rPr>
        <w:footnoteRef/>
      </w:r>
      <w:r w:rsidRPr="007F2E6C">
        <w:tab/>
      </w:r>
      <w:r w:rsidRPr="00A9199B">
        <w:t>Haut-Commissariat des Nations Unies pour les réfugiés</w:t>
      </w:r>
      <w:r w:rsidRPr="007F2E6C">
        <w:t xml:space="preserve"> (HCR) « </w:t>
      </w:r>
      <w:r w:rsidRPr="007F2E6C">
        <w:rPr>
          <w:i/>
        </w:rPr>
        <w:t>Mapping Statelessness in the Netherlands</w:t>
      </w:r>
      <w:r w:rsidRPr="007F2E6C">
        <w:t xml:space="preserve"> », </w:t>
      </w:r>
      <w:r w:rsidRPr="006061D3">
        <w:rPr>
          <w:lang w:val="fr-FR"/>
        </w:rPr>
        <w:t>novembre</w:t>
      </w:r>
      <w:r w:rsidRPr="007F2E6C">
        <w:t xml:space="preserve"> 2011, par. 46.</w:t>
      </w:r>
    </w:p>
  </w:footnote>
  <w:footnote w:id="6">
    <w:p w14:paraId="5ADEB38E" w14:textId="77777777" w:rsidR="002279C6" w:rsidRPr="00A751DD" w:rsidRDefault="002279C6" w:rsidP="00C66C9A">
      <w:pPr>
        <w:pStyle w:val="Notedebasdepage"/>
      </w:pPr>
      <w:r w:rsidRPr="007F2E6C">
        <w:tab/>
      </w:r>
      <w:r w:rsidRPr="007F2E6C">
        <w:rPr>
          <w:rStyle w:val="Appelnotedebasdep"/>
        </w:rPr>
        <w:footnoteRef/>
      </w:r>
      <w:r w:rsidRPr="00A751DD">
        <w:tab/>
        <w:t>L</w:t>
      </w:r>
      <w:r>
        <w:t>’</w:t>
      </w:r>
      <w:r w:rsidRPr="00A751DD">
        <w:t xml:space="preserve">auteur renvoie </w:t>
      </w:r>
      <w:r>
        <w:t>à des informations d</w:t>
      </w:r>
      <w:r w:rsidRPr="00A751DD">
        <w:t>u Bureau central néerlandais de statistique (Centraal Bureau voor de Statistiek).</w:t>
      </w:r>
    </w:p>
  </w:footnote>
  <w:footnote w:id="7">
    <w:p w14:paraId="2C9B23C8" w14:textId="77777777" w:rsidR="002279C6" w:rsidRPr="00A751DD" w:rsidRDefault="002279C6" w:rsidP="00C66C9A">
      <w:pPr>
        <w:pStyle w:val="Notedebasdepage"/>
      </w:pPr>
      <w:r w:rsidRPr="00A751DD">
        <w:tab/>
      </w:r>
      <w:r w:rsidRPr="007F2E6C">
        <w:rPr>
          <w:rStyle w:val="Appelnotedebasdep"/>
        </w:rPr>
        <w:footnoteRef/>
      </w:r>
      <w:r w:rsidRPr="00A751DD">
        <w:tab/>
        <w:t>Loi relative à la nationalité, art. 6 1) b).</w:t>
      </w:r>
    </w:p>
  </w:footnote>
  <w:footnote w:id="8">
    <w:p w14:paraId="56B87749" w14:textId="77777777" w:rsidR="002279C6" w:rsidRPr="007F2E6C" w:rsidRDefault="002279C6" w:rsidP="00C66C9A">
      <w:pPr>
        <w:pStyle w:val="Notedebasdepage"/>
        <w:rPr>
          <w:spacing w:val="-1"/>
        </w:rPr>
      </w:pPr>
      <w:r w:rsidRPr="00A751DD">
        <w:tab/>
      </w:r>
      <w:r w:rsidRPr="007F2E6C">
        <w:rPr>
          <w:rStyle w:val="Appelnotedebasdep"/>
        </w:rPr>
        <w:footnoteRef/>
      </w:r>
      <w:r w:rsidRPr="007F2E6C">
        <w:tab/>
      </w:r>
      <w:r w:rsidRPr="007F2E6C">
        <w:rPr>
          <w:spacing w:val="-1"/>
        </w:rPr>
        <w:t xml:space="preserve">Convention sur la </w:t>
      </w:r>
      <w:r w:rsidRPr="006061D3">
        <w:rPr>
          <w:spacing w:val="-1"/>
          <w:lang w:val="fr-FR"/>
        </w:rPr>
        <w:t>réduction des cas d</w:t>
      </w:r>
      <w:r>
        <w:rPr>
          <w:spacing w:val="-1"/>
          <w:lang w:val="fr-FR"/>
        </w:rPr>
        <w:t>’</w:t>
      </w:r>
      <w:r w:rsidRPr="006061D3">
        <w:rPr>
          <w:spacing w:val="-1"/>
          <w:lang w:val="fr-FR"/>
        </w:rPr>
        <w:t>apatridie</w:t>
      </w:r>
      <w:r w:rsidRPr="002279C6">
        <w:rPr>
          <w:spacing w:val="-1"/>
        </w:rPr>
        <w:t>, art. 1 (par. 2 b)) ; et Katja Swider, « Statelessness determination in the Netherlands », Amsterdam Law School research paper n</w:t>
      </w:r>
      <w:r w:rsidRPr="002279C6">
        <w:rPr>
          <w:spacing w:val="-1"/>
          <w:vertAlign w:val="superscript"/>
        </w:rPr>
        <w:t>o</w:t>
      </w:r>
      <w:r w:rsidRPr="002279C6">
        <w:rPr>
          <w:spacing w:val="-1"/>
        </w:rPr>
        <w:t xml:space="preserve"> 2014-33, mai 2014. </w:t>
      </w:r>
    </w:p>
  </w:footnote>
  <w:footnote w:id="9">
    <w:p w14:paraId="7DC51E3B" w14:textId="77777777" w:rsidR="002279C6" w:rsidRPr="007F2E6C" w:rsidRDefault="002279C6" w:rsidP="00C66C9A">
      <w:pPr>
        <w:pStyle w:val="Notedebasdepage"/>
      </w:pPr>
      <w:r w:rsidRPr="007F2E6C">
        <w:tab/>
      </w:r>
      <w:r w:rsidRPr="007F2E6C">
        <w:rPr>
          <w:rStyle w:val="Appelnotedebasdep"/>
        </w:rPr>
        <w:footnoteRef/>
      </w:r>
      <w:r w:rsidRPr="007F2E6C">
        <w:tab/>
      </w:r>
      <w:r w:rsidRPr="006061D3">
        <w:rPr>
          <w:lang w:val="fr-FR"/>
        </w:rPr>
        <w:t>Groupe de travail sur la situation des enfants dans les centres de demandeurs d</w:t>
      </w:r>
      <w:r>
        <w:rPr>
          <w:lang w:val="fr-FR"/>
        </w:rPr>
        <w:t>’</w:t>
      </w:r>
      <w:r w:rsidRPr="006061D3">
        <w:rPr>
          <w:lang w:val="fr-FR"/>
        </w:rPr>
        <w:t>asile, « Onderzoek naar het welzijn en perspectief van kinderen en jongeren in gezinslocaties » (rapport sur les centres pour familles), octobre 2014.</w:t>
      </w:r>
    </w:p>
  </w:footnote>
  <w:footnote w:id="10">
    <w:p w14:paraId="0E25C129" w14:textId="77777777" w:rsidR="002279C6" w:rsidRPr="00695208" w:rsidRDefault="002279C6" w:rsidP="00C66C9A">
      <w:pPr>
        <w:pStyle w:val="Notedebasdepage"/>
        <w:rPr>
          <w:spacing w:val="-2"/>
        </w:rPr>
      </w:pPr>
      <w:r w:rsidRPr="00695208">
        <w:rPr>
          <w:spacing w:val="-2"/>
        </w:rPr>
        <w:tab/>
      </w:r>
      <w:r w:rsidRPr="007F2E6C">
        <w:rPr>
          <w:rStyle w:val="Appelnotedebasdep"/>
        </w:rPr>
        <w:footnoteRef/>
      </w:r>
      <w:r w:rsidRPr="00695208">
        <w:rPr>
          <w:spacing w:val="-2"/>
        </w:rPr>
        <w:tab/>
        <w:t>L</w:t>
      </w:r>
      <w:r>
        <w:rPr>
          <w:spacing w:val="-2"/>
        </w:rPr>
        <w:t>’</w:t>
      </w:r>
      <w:r w:rsidRPr="00695208">
        <w:rPr>
          <w:spacing w:val="-2"/>
        </w:rPr>
        <w:t>auteur dit que ce déni de nationalité a profondément et négativement marqué toute son enfance, car il signifiait que lui et sa famille n</w:t>
      </w:r>
      <w:r>
        <w:rPr>
          <w:spacing w:val="-2"/>
        </w:rPr>
        <w:t>’</w:t>
      </w:r>
      <w:r w:rsidRPr="00695208">
        <w:rPr>
          <w:spacing w:val="-2"/>
        </w:rPr>
        <w:t>avaient nulle part leur place. Il a passé presque la moitié de son enfance en étant apatride, juridiquement et socialement exclu de la société et privé de nombreuses possibilités de vivre normalement. Il a été placé dans une situation prolongée de limbes juridiques et estime que le Comité devrait recommander le versement d</w:t>
      </w:r>
      <w:r>
        <w:rPr>
          <w:spacing w:val="-2"/>
        </w:rPr>
        <w:t>’</w:t>
      </w:r>
      <w:r w:rsidRPr="00695208">
        <w:rPr>
          <w:spacing w:val="-2"/>
        </w:rPr>
        <w:t>une indemnisation d</w:t>
      </w:r>
      <w:r>
        <w:rPr>
          <w:spacing w:val="-2"/>
        </w:rPr>
        <w:t>’</w:t>
      </w:r>
      <w:r w:rsidRPr="00695208">
        <w:rPr>
          <w:spacing w:val="-2"/>
        </w:rPr>
        <w:t>au moins 13</w:t>
      </w:r>
      <w:r>
        <w:rPr>
          <w:spacing w:val="-2"/>
        </w:rPr>
        <w:t> </w:t>
      </w:r>
      <w:r w:rsidRPr="00695208">
        <w:rPr>
          <w:spacing w:val="-2"/>
        </w:rPr>
        <w:t>000</w:t>
      </w:r>
      <w:r>
        <w:rPr>
          <w:spacing w:val="-2"/>
        </w:rPr>
        <w:t> </w:t>
      </w:r>
      <w:r w:rsidRPr="00695208">
        <w:rPr>
          <w:spacing w:val="-2"/>
        </w:rPr>
        <w:t>euros pour ce long préjudice. L</w:t>
      </w:r>
      <w:r>
        <w:rPr>
          <w:spacing w:val="-2"/>
        </w:rPr>
        <w:t>’</w:t>
      </w:r>
      <w:r w:rsidRPr="00695208">
        <w:rPr>
          <w:spacing w:val="-2"/>
        </w:rPr>
        <w:t>auteur ajoute que cette absence de nationalité l</w:t>
      </w:r>
      <w:r>
        <w:rPr>
          <w:spacing w:val="-2"/>
        </w:rPr>
        <w:t>’</w:t>
      </w:r>
      <w:r w:rsidRPr="00695208">
        <w:rPr>
          <w:spacing w:val="-2"/>
        </w:rPr>
        <w:t>a physiquement isolé de la société et entraîné un préjudice irréparable pour son éducation et son développement social. Il fait observer que les tribunaux de l</w:t>
      </w:r>
      <w:r>
        <w:rPr>
          <w:spacing w:val="-2"/>
        </w:rPr>
        <w:t>’</w:t>
      </w:r>
      <w:r w:rsidRPr="00695208">
        <w:rPr>
          <w:spacing w:val="-2"/>
        </w:rPr>
        <w:t>État partie ont considéré que les lieux de liberté restreinte étaient particulièrement préjudiciables pour les enfants et ordonné le versement d</w:t>
      </w:r>
      <w:r>
        <w:rPr>
          <w:spacing w:val="-2"/>
        </w:rPr>
        <w:t>’</w:t>
      </w:r>
      <w:r w:rsidRPr="00695208">
        <w:rPr>
          <w:spacing w:val="-2"/>
        </w:rPr>
        <w:t>une indemnisation de 250 euros par mois passé dans ces centres. Il indique qu</w:t>
      </w:r>
      <w:r>
        <w:rPr>
          <w:spacing w:val="-2"/>
        </w:rPr>
        <w:t>’</w:t>
      </w:r>
      <w:r w:rsidRPr="00695208">
        <w:rPr>
          <w:spacing w:val="-2"/>
        </w:rPr>
        <w:t>au moment où il soumettait ses observations, il vivait dans un tel centre depuis près de quarante-huit mois, ce qui donnerait un montant d</w:t>
      </w:r>
      <w:r>
        <w:rPr>
          <w:spacing w:val="-2"/>
        </w:rPr>
        <w:t>’</w:t>
      </w:r>
      <w:r w:rsidRPr="00695208">
        <w:rPr>
          <w:spacing w:val="-2"/>
        </w:rPr>
        <w:t>indemnisation de 12</w:t>
      </w:r>
      <w:r>
        <w:rPr>
          <w:spacing w:val="-2"/>
        </w:rPr>
        <w:t> </w:t>
      </w:r>
      <w:r w:rsidRPr="00695208">
        <w:rPr>
          <w:spacing w:val="-2"/>
        </w:rPr>
        <w:t>000</w:t>
      </w:r>
      <w:r>
        <w:rPr>
          <w:spacing w:val="-2"/>
        </w:rPr>
        <w:t> </w:t>
      </w:r>
      <w:r w:rsidRPr="00695208">
        <w:rPr>
          <w:spacing w:val="-2"/>
        </w:rPr>
        <w:t>euros.</w:t>
      </w:r>
    </w:p>
  </w:footnote>
  <w:footnote w:id="11">
    <w:p w14:paraId="597001F5" w14:textId="77777777" w:rsidR="002279C6" w:rsidRPr="00A751DD" w:rsidRDefault="002279C6" w:rsidP="00C66C9A">
      <w:pPr>
        <w:pStyle w:val="Notedebasdepage"/>
      </w:pPr>
      <w:r w:rsidRPr="00A751DD">
        <w:tab/>
      </w:r>
      <w:r w:rsidRPr="007F2E6C">
        <w:rPr>
          <w:rStyle w:val="Appelnotedebasdep"/>
        </w:rPr>
        <w:footnoteRef/>
      </w:r>
      <w:r w:rsidRPr="00A751DD">
        <w:tab/>
        <w:t>A/HRC/31/29, par. 9.</w:t>
      </w:r>
    </w:p>
  </w:footnote>
  <w:footnote w:id="12">
    <w:p w14:paraId="3907F975" w14:textId="77777777" w:rsidR="002279C6" w:rsidRPr="00A751DD" w:rsidRDefault="002279C6" w:rsidP="00C66C9A">
      <w:pPr>
        <w:pStyle w:val="Notedebasdepage"/>
      </w:pPr>
      <w:r w:rsidRPr="00A751DD">
        <w:tab/>
      </w:r>
      <w:r w:rsidRPr="007F2E6C">
        <w:rPr>
          <w:rStyle w:val="Appelnotedebasdep"/>
        </w:rPr>
        <w:footnoteRef/>
      </w:r>
      <w:r w:rsidRPr="00A751DD">
        <w:tab/>
      </w:r>
      <w:r w:rsidRPr="00A751DD">
        <w:rPr>
          <w:iCs/>
        </w:rPr>
        <w:t>Ibid.,</w:t>
      </w:r>
      <w:r w:rsidRPr="00A751DD">
        <w:t xml:space="preserve"> par. 8.</w:t>
      </w:r>
    </w:p>
  </w:footnote>
  <w:footnote w:id="13">
    <w:p w14:paraId="01F9D519" w14:textId="77777777" w:rsidR="002279C6" w:rsidRPr="00A751DD" w:rsidRDefault="002279C6" w:rsidP="00C66C9A">
      <w:pPr>
        <w:pStyle w:val="Notedebasdepage"/>
      </w:pPr>
      <w:r w:rsidRPr="00A751DD">
        <w:tab/>
      </w:r>
      <w:r w:rsidRPr="007F2E6C">
        <w:rPr>
          <w:rStyle w:val="Appelnotedebasdep"/>
        </w:rPr>
        <w:footnoteRef/>
      </w:r>
      <w:r w:rsidRPr="00A751DD">
        <w:tab/>
        <w:t>HCR, Manuel sur la protection des apatrides (</w:t>
      </w:r>
      <w:r>
        <w:t xml:space="preserve">Genève, </w:t>
      </w:r>
      <w:r w:rsidRPr="00A751DD">
        <w:t>2014), par. 69.</w:t>
      </w:r>
    </w:p>
  </w:footnote>
  <w:footnote w:id="14">
    <w:p w14:paraId="6870E085" w14:textId="77777777" w:rsidR="002279C6" w:rsidRPr="00B008ED" w:rsidRDefault="002279C6" w:rsidP="00C66C9A">
      <w:pPr>
        <w:pStyle w:val="Notedebasdepage"/>
        <w:rPr>
          <w:lang w:val="en-US"/>
        </w:rPr>
      </w:pPr>
      <w:r w:rsidRPr="00A751DD">
        <w:tab/>
      </w:r>
      <w:r w:rsidRPr="007F2E6C">
        <w:rPr>
          <w:rStyle w:val="Appelnotedebasdep"/>
        </w:rPr>
        <w:footnoteRef/>
      </w:r>
      <w:r w:rsidRPr="00B008ED">
        <w:rPr>
          <w:lang w:val="en-US"/>
        </w:rPr>
        <w:tab/>
        <w:t xml:space="preserve">HCR, </w:t>
      </w:r>
      <w:r w:rsidRPr="00B008ED">
        <w:rPr>
          <w:i/>
          <w:lang w:val="en-US"/>
        </w:rPr>
        <w:t>Mapping Statelessness in the Netherlands</w:t>
      </w:r>
      <w:r w:rsidRPr="00B008ED">
        <w:rPr>
          <w:lang w:val="en-US"/>
        </w:rPr>
        <w:t xml:space="preserve">, p. 60, recommandation 3 f) ; </w:t>
      </w:r>
      <w:r>
        <w:rPr>
          <w:lang w:val="en-US"/>
        </w:rPr>
        <w:t xml:space="preserve">et </w:t>
      </w:r>
      <w:r w:rsidRPr="00B008ED">
        <w:rPr>
          <w:lang w:val="en-US"/>
        </w:rPr>
        <w:t xml:space="preserve">Katja Swider, Statelessness </w:t>
      </w:r>
      <w:r>
        <w:rPr>
          <w:lang w:val="en-US"/>
        </w:rPr>
        <w:t>d</w:t>
      </w:r>
      <w:r w:rsidRPr="00B008ED">
        <w:rPr>
          <w:lang w:val="en-US"/>
        </w:rPr>
        <w:t>etermination in Netherlands, p. 16 à 18.</w:t>
      </w:r>
    </w:p>
  </w:footnote>
  <w:footnote w:id="15">
    <w:p w14:paraId="4D623040" w14:textId="77777777" w:rsidR="002279C6" w:rsidRPr="00B008ED" w:rsidRDefault="002279C6" w:rsidP="00C66C9A">
      <w:pPr>
        <w:pStyle w:val="Notedebasdepage"/>
        <w:rPr>
          <w:lang w:val="en-US"/>
        </w:rPr>
      </w:pPr>
      <w:r w:rsidRPr="00B008ED">
        <w:rPr>
          <w:lang w:val="en-US"/>
        </w:rPr>
        <w:tab/>
      </w:r>
      <w:r w:rsidRPr="007F2E6C">
        <w:rPr>
          <w:rStyle w:val="Appelnotedebasdep"/>
        </w:rPr>
        <w:footnoteRef/>
      </w:r>
      <w:r w:rsidRPr="00B008ED">
        <w:rPr>
          <w:lang w:val="en-US"/>
        </w:rPr>
        <w:tab/>
        <w:t xml:space="preserve">HCR, </w:t>
      </w:r>
      <w:r w:rsidRPr="00B008ED">
        <w:rPr>
          <w:i/>
          <w:lang w:val="en-US"/>
        </w:rPr>
        <w:t>Mapping Statelessness in the Netherlands</w:t>
      </w:r>
      <w:r w:rsidRPr="00B008ED">
        <w:rPr>
          <w:lang w:val="en-US"/>
        </w:rPr>
        <w:t>, p. 59, recommandation 3 b).</w:t>
      </w:r>
    </w:p>
  </w:footnote>
  <w:footnote w:id="16">
    <w:p w14:paraId="4AE1E13D" w14:textId="77777777" w:rsidR="002279C6" w:rsidRPr="00A751DD" w:rsidRDefault="002279C6" w:rsidP="00C66C9A">
      <w:pPr>
        <w:pStyle w:val="Notedebasdepage"/>
      </w:pPr>
      <w:r w:rsidRPr="00B008ED">
        <w:rPr>
          <w:lang w:val="en-US"/>
        </w:rPr>
        <w:tab/>
      </w:r>
      <w:r w:rsidRPr="007F2E6C">
        <w:rPr>
          <w:rStyle w:val="Appelnotedebasdep"/>
        </w:rPr>
        <w:footnoteRef/>
      </w:r>
      <w:r w:rsidRPr="00A751DD">
        <w:tab/>
        <w:t>HCR, Principes directeurs sur l</w:t>
      </w:r>
      <w:r>
        <w:t>’</w:t>
      </w:r>
      <w:r w:rsidRPr="00A751DD">
        <w:t xml:space="preserve">apatridie </w:t>
      </w:r>
      <w:r w:rsidRPr="00A751DD">
        <w:rPr>
          <w:rFonts w:eastAsia="MS Mincho"/>
          <w:szCs w:val="22"/>
        </w:rPr>
        <w:t>n</w:t>
      </w:r>
      <w:r w:rsidRPr="00A751DD">
        <w:rPr>
          <w:rFonts w:eastAsia="MS Mincho"/>
          <w:szCs w:val="22"/>
          <w:vertAlign w:val="superscript"/>
        </w:rPr>
        <w:t>o</w:t>
      </w:r>
      <w:r w:rsidRPr="00A751DD">
        <w:t> 4 : Garantir le droit de tout enfant d</w:t>
      </w:r>
      <w:r>
        <w:t>’</w:t>
      </w:r>
      <w:r w:rsidRPr="00A751DD">
        <w:t>acquérir une nationalité</w:t>
      </w:r>
      <w:r>
        <w:t xml:space="preserve"> </w:t>
      </w:r>
      <w:r w:rsidRPr="00A751DD">
        <w:t>en vertu des articles</w:t>
      </w:r>
      <w:r w:rsidR="00AD4C4F">
        <w:t> </w:t>
      </w:r>
      <w:r w:rsidRPr="00A751DD">
        <w:t>1 à 4 de la Convention de 1961 sur la réduction des cas d</w:t>
      </w:r>
      <w:r>
        <w:t>’</w:t>
      </w:r>
      <w:r w:rsidRPr="00A751DD">
        <w:t>apatridie, par.</w:t>
      </w:r>
      <w:r>
        <w:t> </w:t>
      </w:r>
      <w:r w:rsidRPr="00A751DD">
        <w:t>22.</w:t>
      </w:r>
    </w:p>
  </w:footnote>
  <w:footnote w:id="17">
    <w:p w14:paraId="568AC0C5" w14:textId="77777777" w:rsidR="002279C6" w:rsidRPr="00A751DD" w:rsidRDefault="002279C6" w:rsidP="00C66C9A">
      <w:pPr>
        <w:pStyle w:val="Notedebasdepage"/>
      </w:pPr>
      <w:r w:rsidRPr="00A751DD">
        <w:tab/>
      </w:r>
      <w:r w:rsidRPr="007F2E6C">
        <w:rPr>
          <w:rStyle w:val="Appelnotedebasdep"/>
        </w:rPr>
        <w:footnoteRef/>
      </w:r>
      <w:r w:rsidRPr="00A751DD">
        <w:tab/>
      </w:r>
      <w:r w:rsidRPr="00A751DD">
        <w:rPr>
          <w:i/>
        </w:rPr>
        <w:t>Poliakov c. Bélarus</w:t>
      </w:r>
      <w:r w:rsidRPr="00A751DD">
        <w:t xml:space="preserve"> (CCPR/C/111/D/2030/2011), par.</w:t>
      </w:r>
      <w:r>
        <w:t> </w:t>
      </w:r>
      <w:r w:rsidRPr="00A751DD">
        <w:t>7.4.</w:t>
      </w:r>
    </w:p>
  </w:footnote>
  <w:footnote w:id="18">
    <w:p w14:paraId="241216B7" w14:textId="77777777" w:rsidR="002279C6" w:rsidRPr="00A751DD" w:rsidRDefault="002279C6" w:rsidP="00C66C9A">
      <w:pPr>
        <w:pStyle w:val="Notedebasdepage"/>
      </w:pPr>
      <w:r w:rsidRPr="00A751DD">
        <w:tab/>
      </w:r>
      <w:r w:rsidRPr="007F2E6C">
        <w:rPr>
          <w:rStyle w:val="Appelnotedebasdep"/>
        </w:rPr>
        <w:footnoteRef/>
      </w:r>
      <w:r w:rsidRPr="00A751DD">
        <w:tab/>
      </w:r>
      <w:r>
        <w:t xml:space="preserve">Comité des </w:t>
      </w:r>
      <w:r w:rsidRPr="002D7755">
        <w:t>droits de l</w:t>
      </w:r>
      <w:r>
        <w:t>’</w:t>
      </w:r>
      <w:r w:rsidRPr="002D7755">
        <w:t>homme</w:t>
      </w:r>
      <w:r>
        <w:t>, O</w:t>
      </w:r>
      <w:r w:rsidRPr="00A751DD">
        <w:t xml:space="preserve">bservation générale </w:t>
      </w:r>
      <w:r w:rsidRPr="00A751DD">
        <w:rPr>
          <w:rFonts w:eastAsia="MS Mincho"/>
          <w:szCs w:val="22"/>
        </w:rPr>
        <w:t>n</w:t>
      </w:r>
      <w:r w:rsidRPr="00A751DD">
        <w:rPr>
          <w:rFonts w:eastAsia="MS Mincho"/>
          <w:szCs w:val="22"/>
          <w:vertAlign w:val="superscript"/>
        </w:rPr>
        <w:t>o</w:t>
      </w:r>
      <w:r w:rsidRPr="00A751DD">
        <w:t xml:space="preserve"> 17 </w:t>
      </w:r>
      <w:r>
        <w:t>(1989)</w:t>
      </w:r>
      <w:r w:rsidRPr="00A751DD">
        <w:t>, par. 4</w:t>
      </w:r>
      <w:r>
        <w:t> ;</w:t>
      </w:r>
      <w:r w:rsidRPr="00A751DD">
        <w:t xml:space="preserve"> et </w:t>
      </w:r>
      <w:r w:rsidRPr="00A751DD">
        <w:rPr>
          <w:i/>
        </w:rPr>
        <w:t>Mónaco de Gallicchio c.</w:t>
      </w:r>
      <w:r>
        <w:rPr>
          <w:i/>
        </w:rPr>
        <w:t> </w:t>
      </w:r>
      <w:r w:rsidRPr="00A751DD">
        <w:rPr>
          <w:i/>
        </w:rPr>
        <w:t>Argentine</w:t>
      </w:r>
      <w:r w:rsidRPr="00A751DD">
        <w:t xml:space="preserve"> (CCPR/C/53/D/400/1990), par. 10.5.</w:t>
      </w:r>
    </w:p>
  </w:footnote>
  <w:footnote w:id="19">
    <w:p w14:paraId="64FE3974" w14:textId="77777777" w:rsidR="002279C6" w:rsidRPr="00A751DD" w:rsidRDefault="002279C6" w:rsidP="00C66C9A">
      <w:pPr>
        <w:pStyle w:val="Notedebasdepage"/>
      </w:pPr>
      <w:r w:rsidRPr="00A751DD">
        <w:tab/>
      </w:r>
      <w:r w:rsidRPr="007F2E6C">
        <w:rPr>
          <w:rStyle w:val="Appelnotedebasdep"/>
        </w:rPr>
        <w:footnoteRef/>
      </w:r>
      <w:r w:rsidRPr="00A751DD">
        <w:tab/>
      </w:r>
      <w:r w:rsidRPr="00A751DD">
        <w:rPr>
          <w:i/>
        </w:rPr>
        <w:t>Bakhtiyari et Bakhtiyari c. Australie</w:t>
      </w:r>
      <w:r w:rsidRPr="00A751DD">
        <w:t xml:space="preserve"> (CCPR/C/79/D/1069/2002), par.</w:t>
      </w:r>
      <w:r>
        <w:t> </w:t>
      </w:r>
      <w:r w:rsidRPr="00A751DD">
        <w:t>9.7.</w:t>
      </w:r>
    </w:p>
  </w:footnote>
  <w:footnote w:id="20">
    <w:p w14:paraId="07EF0238" w14:textId="77777777" w:rsidR="002279C6" w:rsidRPr="00A751DD" w:rsidRDefault="002279C6" w:rsidP="00C66C9A">
      <w:pPr>
        <w:pStyle w:val="Notedebasdepage"/>
      </w:pPr>
      <w:r w:rsidRPr="00A751DD">
        <w:tab/>
      </w:r>
      <w:bookmarkStart w:id="0" w:name="_Hlk66441439"/>
      <w:r w:rsidRPr="007F2E6C">
        <w:rPr>
          <w:rStyle w:val="Appelnotedebasdep"/>
        </w:rPr>
        <w:footnoteRef/>
      </w:r>
      <w:r w:rsidRPr="00A751DD">
        <w:tab/>
        <w:t xml:space="preserve">Observation générale </w:t>
      </w:r>
      <w:r w:rsidRPr="00A751DD">
        <w:rPr>
          <w:rFonts w:eastAsia="MS Mincho"/>
          <w:szCs w:val="22"/>
        </w:rPr>
        <w:t>n</w:t>
      </w:r>
      <w:r w:rsidRPr="00A751DD">
        <w:rPr>
          <w:rFonts w:eastAsia="MS Mincho"/>
          <w:szCs w:val="22"/>
          <w:vertAlign w:val="superscript"/>
        </w:rPr>
        <w:t>o</w:t>
      </w:r>
      <w:r w:rsidRPr="00A751DD">
        <w:t> 17, par.</w:t>
      </w:r>
      <w:r>
        <w:t> </w:t>
      </w:r>
      <w:r w:rsidRPr="00A751DD">
        <w:t>8.</w:t>
      </w:r>
      <w:bookmarkEnd w:id="0"/>
    </w:p>
  </w:footnote>
  <w:footnote w:id="21">
    <w:p w14:paraId="7734C11C" w14:textId="77777777" w:rsidR="002279C6" w:rsidRPr="00A751DD" w:rsidRDefault="002279C6" w:rsidP="00C66C9A">
      <w:pPr>
        <w:pStyle w:val="Notedebasdepage"/>
      </w:pPr>
      <w:r w:rsidRPr="00A751DD">
        <w:tab/>
      </w:r>
      <w:r w:rsidRPr="007F2E6C">
        <w:rPr>
          <w:rStyle w:val="Appelnotedebasdep"/>
        </w:rPr>
        <w:footnoteRef/>
      </w:r>
      <w:r w:rsidRPr="00A751DD">
        <w:tab/>
      </w:r>
      <w:r w:rsidRPr="00A751DD">
        <w:rPr>
          <w:iCs/>
        </w:rPr>
        <w:t>Ibid.</w:t>
      </w:r>
    </w:p>
  </w:footnote>
  <w:footnote w:id="22">
    <w:p w14:paraId="3DE133CD" w14:textId="77777777" w:rsidR="002279C6" w:rsidRPr="00B008ED" w:rsidRDefault="002279C6" w:rsidP="00C66C9A">
      <w:pPr>
        <w:pStyle w:val="Notedebasdepage"/>
        <w:rPr>
          <w:lang w:val="en-US"/>
        </w:rPr>
      </w:pPr>
      <w:r w:rsidRPr="00A751DD">
        <w:tab/>
      </w:r>
      <w:r w:rsidRPr="007F2E6C">
        <w:rPr>
          <w:rStyle w:val="Appelnotedebasdep"/>
        </w:rPr>
        <w:footnoteRef/>
      </w:r>
      <w:r w:rsidRPr="007F2E6C">
        <w:rPr>
          <w:lang w:val="en-US"/>
        </w:rPr>
        <w:tab/>
        <w:t xml:space="preserve">Voir par. 19. </w:t>
      </w:r>
      <w:r w:rsidRPr="00B008ED">
        <w:rPr>
          <w:lang w:val="en-US"/>
        </w:rPr>
        <w:t>Voir aussi UNHCR Guidelines on Statelessness No. 5: Loss and Deprivation of Nationality under Articles 5-9 of the 1961 Convention on the Reduction of Statelessness, par. 86 à 90.</w:t>
      </w:r>
    </w:p>
  </w:footnote>
  <w:footnote w:id="23">
    <w:p w14:paraId="038D1738" w14:textId="77777777" w:rsidR="002279C6" w:rsidRPr="00A751DD" w:rsidRDefault="002279C6" w:rsidP="00C66C9A">
      <w:pPr>
        <w:pStyle w:val="Notedebasdepage"/>
        <w:rPr>
          <w:spacing w:val="-2"/>
        </w:rPr>
      </w:pPr>
      <w:r w:rsidRPr="00B008ED">
        <w:rPr>
          <w:spacing w:val="-2"/>
          <w:lang w:val="en-US"/>
        </w:rPr>
        <w:tab/>
      </w:r>
      <w:r w:rsidRPr="007F2E6C">
        <w:rPr>
          <w:rStyle w:val="Appelnotedebasdep"/>
        </w:rPr>
        <w:footnoteRef/>
      </w:r>
      <w:r w:rsidRPr="00A751DD">
        <w:rPr>
          <w:rStyle w:val="Appelnotedebasdep"/>
          <w:spacing w:val="-2"/>
          <w:vertAlign w:val="baseline"/>
        </w:rPr>
        <w:tab/>
      </w:r>
      <w:r w:rsidRPr="006061D3">
        <w:rPr>
          <w:lang w:val="fr-FR"/>
        </w:rPr>
        <w:t>Principes directeurs sur l</w:t>
      </w:r>
      <w:r>
        <w:rPr>
          <w:lang w:val="fr-FR"/>
        </w:rPr>
        <w:t>’</w:t>
      </w:r>
      <w:r w:rsidRPr="006061D3">
        <w:rPr>
          <w:lang w:val="fr-FR"/>
        </w:rPr>
        <w:t>apatridie n</w:t>
      </w:r>
      <w:r w:rsidRPr="006061D3">
        <w:rPr>
          <w:vertAlign w:val="superscript"/>
          <w:lang w:val="fr-FR"/>
        </w:rPr>
        <w:t>o</w:t>
      </w:r>
      <w:r w:rsidRPr="006061D3">
        <w:rPr>
          <w:lang w:val="fr-FR"/>
        </w:rPr>
        <w:t> 4</w:t>
      </w:r>
      <w:r w:rsidRPr="00A751DD">
        <w:rPr>
          <w:spacing w:val="-2"/>
        </w:rPr>
        <w:t>, par. 20.</w:t>
      </w:r>
    </w:p>
  </w:footnote>
  <w:footnote w:id="24">
    <w:p w14:paraId="56C0675B" w14:textId="77777777" w:rsidR="002279C6" w:rsidRPr="007F2E6C" w:rsidRDefault="002279C6" w:rsidP="00C66C9A">
      <w:pPr>
        <w:pStyle w:val="Notedebasdepage"/>
        <w:rPr>
          <w:lang w:val="en-US"/>
        </w:rPr>
      </w:pPr>
      <w:r w:rsidRPr="00A751DD">
        <w:tab/>
      </w:r>
      <w:r w:rsidRPr="007F2E6C">
        <w:rPr>
          <w:rStyle w:val="Appelnotedebasdep"/>
        </w:rPr>
        <w:footnoteRef/>
      </w:r>
      <w:r w:rsidRPr="007F2E6C">
        <w:rPr>
          <w:rStyle w:val="Appelnotedebasdep"/>
          <w:lang w:val="en-US"/>
        </w:rPr>
        <w:tab/>
      </w:r>
      <w:r w:rsidRPr="007F2E6C">
        <w:rPr>
          <w:iCs/>
          <w:lang w:val="en-US"/>
        </w:rPr>
        <w:t>Ibid.</w:t>
      </w:r>
      <w:r w:rsidRPr="007F2E6C">
        <w:rPr>
          <w:lang w:val="en-US"/>
        </w:rPr>
        <w:t>, par. 22.</w:t>
      </w:r>
    </w:p>
  </w:footnote>
  <w:footnote w:id="25">
    <w:p w14:paraId="2E49E7C0" w14:textId="77777777" w:rsidR="002279C6" w:rsidRPr="007F2E6C" w:rsidRDefault="002279C6" w:rsidP="00C66C9A">
      <w:pPr>
        <w:pStyle w:val="Notedebasdepage"/>
        <w:rPr>
          <w:lang w:val="en-US"/>
        </w:rPr>
      </w:pPr>
      <w:r w:rsidRPr="007F2E6C">
        <w:rPr>
          <w:lang w:val="en-US"/>
        </w:rPr>
        <w:tab/>
      </w:r>
      <w:r w:rsidRPr="007F2E6C">
        <w:rPr>
          <w:rStyle w:val="Appelnotedebasdep"/>
        </w:rPr>
        <w:footnoteRef/>
      </w:r>
      <w:r w:rsidRPr="007F2E6C">
        <w:rPr>
          <w:lang w:val="en-US"/>
        </w:rPr>
        <w:tab/>
        <w:t>CCPR/C/NLD/CO/5, par. 22.</w:t>
      </w:r>
    </w:p>
  </w:footnote>
  <w:footnote w:id="26">
    <w:p w14:paraId="644C747C" w14:textId="77777777" w:rsidR="002279C6" w:rsidRPr="007F2E6C" w:rsidRDefault="002279C6" w:rsidP="00C66C9A">
      <w:pPr>
        <w:pStyle w:val="Notedebasdepage"/>
        <w:rPr>
          <w:lang w:val="en-US"/>
        </w:rPr>
      </w:pPr>
      <w:r w:rsidRPr="007F2E6C">
        <w:rPr>
          <w:lang w:val="en-US"/>
        </w:rPr>
        <w:tab/>
      </w:r>
      <w:r w:rsidRPr="007F2E6C">
        <w:rPr>
          <w:rStyle w:val="Appelnotedebasdep"/>
        </w:rPr>
        <w:footnoteRef/>
      </w:r>
      <w:r w:rsidRPr="007F2E6C">
        <w:rPr>
          <w:rStyle w:val="Appelnotedebasdep"/>
          <w:lang w:val="en-US"/>
        </w:rPr>
        <w:tab/>
      </w:r>
      <w:r w:rsidRPr="007F2E6C">
        <w:rPr>
          <w:iCs/>
          <w:lang w:val="en-US"/>
        </w:rPr>
        <w:t>Ibid.,</w:t>
      </w:r>
      <w:r w:rsidRPr="007F2E6C">
        <w:rPr>
          <w:lang w:val="en-US"/>
        </w:rPr>
        <w:t xml:space="preserve"> par. 23.</w:t>
      </w:r>
    </w:p>
  </w:footnote>
  <w:footnote w:id="27">
    <w:p w14:paraId="641D9AAD" w14:textId="77777777" w:rsidR="002279C6" w:rsidRPr="007F2E6C" w:rsidRDefault="002279C6" w:rsidP="00C66C9A">
      <w:pPr>
        <w:pStyle w:val="Notedebasdepage"/>
        <w:rPr>
          <w:lang w:val="en-US"/>
        </w:rPr>
      </w:pPr>
      <w:r w:rsidRPr="007F2E6C">
        <w:rPr>
          <w:lang w:val="en-US"/>
        </w:rPr>
        <w:tab/>
      </w:r>
      <w:r w:rsidRPr="007F2E6C">
        <w:rPr>
          <w:rStyle w:val="Appelnotedebasdep"/>
        </w:rPr>
        <w:footnoteRef/>
      </w:r>
      <w:r w:rsidRPr="007F2E6C">
        <w:rPr>
          <w:lang w:val="en-US"/>
        </w:rPr>
        <w:tab/>
        <w:t>CRC/C/NLD/CO/4, par. 33.</w:t>
      </w:r>
    </w:p>
  </w:footnote>
  <w:footnote w:id="28">
    <w:p w14:paraId="5EC3D2AF" w14:textId="77777777" w:rsidR="002279C6" w:rsidRPr="0052180C" w:rsidRDefault="002279C6" w:rsidP="00C66C9A">
      <w:pPr>
        <w:pStyle w:val="Notedebasdepage"/>
      </w:pPr>
      <w:r w:rsidRPr="007F2E6C">
        <w:rPr>
          <w:lang w:val="en-US"/>
        </w:rPr>
        <w:tab/>
      </w:r>
      <w:r w:rsidRPr="007F2E6C">
        <w:rPr>
          <w:rStyle w:val="Appelnotedebasdep"/>
        </w:rPr>
        <w:footnoteRef/>
      </w:r>
      <w:r>
        <w:rPr>
          <w:lang w:val="fr-FR"/>
        </w:rPr>
        <w:tab/>
        <w:t xml:space="preserve">Cour africaine des droits de l’homme et des peuples, </w:t>
      </w:r>
      <w:r>
        <w:rPr>
          <w:i/>
          <w:iCs/>
          <w:lang w:val="fr-FR"/>
        </w:rPr>
        <w:t>Penessis c. République-Unie de Tanzanie</w:t>
      </w:r>
      <w:r>
        <w:rPr>
          <w:lang w:val="fr-FR"/>
        </w:rPr>
        <w:t xml:space="preserve">, requête </w:t>
      </w:r>
      <w:r w:rsidRPr="00C3440C">
        <w:rPr>
          <w:lang w:val="fr-FR"/>
        </w:rPr>
        <w:t>n</w:t>
      </w:r>
      <w:r w:rsidRPr="00C3440C">
        <w:rPr>
          <w:vertAlign w:val="superscript"/>
          <w:lang w:val="fr-FR"/>
        </w:rPr>
        <w:t>o</w:t>
      </w:r>
      <w:r>
        <w:rPr>
          <w:lang w:val="fr-FR"/>
        </w:rPr>
        <w:t> 013/2015, arrêt du 28 novembre 2019, par. 87. Voir aussi Commission africaine des droits de l’homme et des peuples,</w:t>
      </w:r>
      <w:r>
        <w:rPr>
          <w:i/>
          <w:iCs/>
          <w:lang w:val="fr-FR"/>
        </w:rPr>
        <w:t xml:space="preserve"> Open Society Justice Initiative v. Côte d’Ivoire</w:t>
      </w:r>
      <w:r>
        <w:rPr>
          <w:lang w:val="fr-FR"/>
        </w:rPr>
        <w:t xml:space="preserve">, communication </w:t>
      </w:r>
      <w:r w:rsidRPr="00C3440C">
        <w:rPr>
          <w:lang w:val="fr-FR"/>
        </w:rPr>
        <w:t>n</w:t>
      </w:r>
      <w:r w:rsidRPr="00C3440C">
        <w:rPr>
          <w:vertAlign w:val="superscript"/>
          <w:lang w:val="fr-FR"/>
        </w:rPr>
        <w:t>o</w:t>
      </w:r>
      <w:r>
        <w:rPr>
          <w:lang w:val="fr-FR"/>
        </w:rPr>
        <w:t> 318/06, décision adoptée entre les 18 et 28</w:t>
      </w:r>
      <w:r w:rsidR="006127E4">
        <w:rPr>
          <w:lang w:val="fr-FR"/>
        </w:rPr>
        <w:t> </w:t>
      </w:r>
      <w:r>
        <w:rPr>
          <w:lang w:val="fr-FR"/>
        </w:rPr>
        <w:t>février 2015.</w:t>
      </w:r>
    </w:p>
  </w:footnote>
  <w:footnote w:id="29">
    <w:p w14:paraId="19767CBC" w14:textId="77777777" w:rsidR="002279C6" w:rsidRPr="0052180C" w:rsidRDefault="002279C6" w:rsidP="00C66C9A">
      <w:pPr>
        <w:pStyle w:val="Notedebasdepage"/>
        <w:rPr>
          <w:bCs/>
          <w:color w:val="000000"/>
        </w:rPr>
      </w:pPr>
      <w:r>
        <w:rPr>
          <w:lang w:val="fr-FR"/>
        </w:rPr>
        <w:tab/>
      </w:r>
      <w:r w:rsidRPr="007F2E6C">
        <w:rPr>
          <w:rStyle w:val="Appelnotedebasdep"/>
        </w:rPr>
        <w:footnoteRef/>
      </w:r>
      <w:r>
        <w:rPr>
          <w:lang w:val="fr-FR"/>
        </w:rPr>
        <w:tab/>
        <w:t xml:space="preserve">Cour interaméricaine des droits de l’homme, </w:t>
      </w:r>
      <w:r>
        <w:rPr>
          <w:i/>
          <w:iCs/>
          <w:lang w:val="fr-FR"/>
        </w:rPr>
        <w:t>Proposed Amendments to the Naturalization Provisions of the Constitution of Costa Rica</w:t>
      </w:r>
      <w:r>
        <w:rPr>
          <w:lang w:val="fr-FR"/>
        </w:rPr>
        <w:t>, Avis consultatif OC-4/84 du 19</w:t>
      </w:r>
      <w:r w:rsidR="006127E4">
        <w:rPr>
          <w:lang w:val="fr-FR"/>
        </w:rPr>
        <w:t> </w:t>
      </w:r>
      <w:r>
        <w:rPr>
          <w:lang w:val="fr-FR"/>
        </w:rPr>
        <w:t>janvier 1984. Série A, n</w:t>
      </w:r>
      <w:r w:rsidR="006127E4" w:rsidRPr="006127E4">
        <w:rPr>
          <w:vertAlign w:val="superscript"/>
          <w:lang w:val="fr-FR"/>
        </w:rPr>
        <w:t>o</w:t>
      </w:r>
      <w:r w:rsidR="006127E4">
        <w:rPr>
          <w:lang w:val="fr-FR"/>
        </w:rPr>
        <w:t> </w:t>
      </w:r>
      <w:r>
        <w:rPr>
          <w:lang w:val="fr-FR"/>
        </w:rPr>
        <w:t>4, par.</w:t>
      </w:r>
      <w:r w:rsidR="006127E4">
        <w:rPr>
          <w:lang w:val="fr-FR"/>
        </w:rPr>
        <w:t> </w:t>
      </w:r>
      <w:r>
        <w:rPr>
          <w:lang w:val="fr-FR"/>
        </w:rPr>
        <w:t>32 et 33.</w:t>
      </w:r>
    </w:p>
  </w:footnote>
  <w:footnote w:id="30">
    <w:p w14:paraId="719C071E" w14:textId="77777777" w:rsidR="002279C6" w:rsidRPr="000B35B9" w:rsidRDefault="002279C6" w:rsidP="00C66C9A">
      <w:pPr>
        <w:pStyle w:val="Notedebasdepage"/>
      </w:pPr>
      <w:r>
        <w:rPr>
          <w:lang w:val="fr-FR"/>
        </w:rPr>
        <w:tab/>
      </w:r>
      <w:r w:rsidRPr="007F2E6C">
        <w:rPr>
          <w:rStyle w:val="Appelnotedebasdep"/>
        </w:rPr>
        <w:footnoteRef/>
      </w:r>
      <w:r>
        <w:rPr>
          <w:lang w:val="fr-FR"/>
        </w:rPr>
        <w:tab/>
        <w:t xml:space="preserve">Cour interaméricaine des droits de l’homme, </w:t>
      </w:r>
      <w:r w:rsidRPr="006061D3">
        <w:rPr>
          <w:i/>
          <w:iCs/>
          <w:lang w:val="fr-FR"/>
        </w:rPr>
        <w:t>Yean and Bosico Girls v. Dominican Republic</w:t>
      </w:r>
      <w:r>
        <w:rPr>
          <w:lang w:val="fr-FR"/>
        </w:rPr>
        <w:t xml:space="preserve"> (exceptions préliminaires, fond, réparations et dépens). Arrêt du 8</w:t>
      </w:r>
      <w:r w:rsidR="006127E4">
        <w:rPr>
          <w:lang w:val="fr-FR"/>
        </w:rPr>
        <w:t> </w:t>
      </w:r>
      <w:r>
        <w:rPr>
          <w:lang w:val="fr-FR"/>
        </w:rPr>
        <w:t>septembre 2005. Série C, n</w:t>
      </w:r>
      <w:r w:rsidR="006127E4" w:rsidRPr="006127E4">
        <w:rPr>
          <w:vertAlign w:val="superscript"/>
          <w:lang w:val="fr-FR"/>
        </w:rPr>
        <w:t>o</w:t>
      </w:r>
      <w:r w:rsidR="006127E4">
        <w:rPr>
          <w:lang w:val="fr-FR"/>
        </w:rPr>
        <w:t> </w:t>
      </w:r>
      <w:r>
        <w:rPr>
          <w:lang w:val="fr-FR"/>
        </w:rPr>
        <w:t>130, par.</w:t>
      </w:r>
      <w:r w:rsidR="006127E4">
        <w:rPr>
          <w:lang w:val="fr-FR"/>
        </w:rPr>
        <w:t> </w:t>
      </w:r>
      <w:r>
        <w:rPr>
          <w:lang w:val="fr-FR"/>
        </w:rPr>
        <w:t>134</w:t>
      </w:r>
      <w:r w:rsidR="006127E4">
        <w:rPr>
          <w:lang w:val="fr-FR"/>
        </w:rPr>
        <w:t> </w:t>
      </w:r>
      <w:r>
        <w:rPr>
          <w:lang w:val="fr-FR"/>
        </w:rPr>
        <w:t>: La Cour a déclaré que les cas dans lesquels les violations des droits de l’homme concernaient des enfants étaient particulièrement graves. La primauté de l’intérêt supérieur de l’enfant doit s’entendre de la nécessité de satisfaire tous les droits de l’enfant, ce qui oblige l’État et influence l’interprétation des autres droits établis dans la Convention lorsque le cas se rapporte à des enfants. En outre, l’État doit accorder une attention particulière aux besoins et aux droits des victimes présumées en raison de leur condition de fillettes, qui appartiennent à un groupe vulnérable.</w:t>
      </w:r>
    </w:p>
  </w:footnote>
  <w:footnote w:id="31">
    <w:p w14:paraId="09CA0D67" w14:textId="77777777" w:rsidR="002279C6" w:rsidRPr="00B77AB0" w:rsidRDefault="002279C6" w:rsidP="00C66C9A">
      <w:pPr>
        <w:pStyle w:val="Notedebasdepage"/>
      </w:pPr>
      <w:r w:rsidRPr="000B35B9">
        <w:rPr>
          <w:lang w:val="fr-FR"/>
        </w:rPr>
        <w:tab/>
      </w:r>
      <w:r w:rsidRPr="007F2E6C">
        <w:rPr>
          <w:rStyle w:val="Appelnotedebasdep"/>
        </w:rPr>
        <w:footnoteRef/>
      </w:r>
      <w:r>
        <w:rPr>
          <w:lang w:val="fr-FR"/>
        </w:rPr>
        <w:tab/>
        <w:t>Ibid., par.</w:t>
      </w:r>
      <w:r w:rsidR="006127E4">
        <w:rPr>
          <w:lang w:val="fr-FR"/>
        </w:rPr>
        <w:t> </w:t>
      </w:r>
      <w:r>
        <w:rPr>
          <w:lang w:val="fr-FR"/>
        </w:rPr>
        <w:t>180. Voir aussi Cour interaméricaine des droits de l’homme,</w:t>
      </w:r>
      <w:r>
        <w:rPr>
          <w:i/>
          <w:iCs/>
          <w:lang w:val="fr-FR"/>
        </w:rPr>
        <w:t xml:space="preserve"> Expelled Dominicans and Haitians v. Dominican Republic</w:t>
      </w:r>
      <w:r>
        <w:rPr>
          <w:lang w:val="fr-FR"/>
        </w:rPr>
        <w:t xml:space="preserve"> (exceptions préliminaires, fond, réparations et dépens). Arrêt du 28</w:t>
      </w:r>
      <w:r w:rsidR="006127E4">
        <w:rPr>
          <w:lang w:val="fr-FR"/>
        </w:rPr>
        <w:t> </w:t>
      </w:r>
      <w:r>
        <w:rPr>
          <w:lang w:val="fr-FR"/>
        </w:rPr>
        <w:t xml:space="preserve">août 2014. Série C, </w:t>
      </w:r>
      <w:r w:rsidRPr="00AF70AB">
        <w:rPr>
          <w:lang w:val="fr-FR"/>
        </w:rPr>
        <w:t>n</w:t>
      </w:r>
      <w:r w:rsidRPr="00AF70AB">
        <w:rPr>
          <w:vertAlign w:val="superscript"/>
          <w:lang w:val="fr-FR"/>
        </w:rPr>
        <w:t>o</w:t>
      </w:r>
      <w:r>
        <w:rPr>
          <w:lang w:val="fr-FR"/>
        </w:rPr>
        <w:t> 282, par.</w:t>
      </w:r>
      <w:r w:rsidR="006127E4">
        <w:rPr>
          <w:lang w:val="fr-FR"/>
        </w:rPr>
        <w:t> </w:t>
      </w:r>
      <w:r>
        <w:rPr>
          <w:lang w:val="fr-FR"/>
        </w:rPr>
        <w:t>265 et suivants.</w:t>
      </w:r>
    </w:p>
  </w:footnote>
  <w:footnote w:id="32">
    <w:p w14:paraId="2770D381" w14:textId="77777777" w:rsidR="002279C6" w:rsidRPr="0052180C" w:rsidRDefault="002279C6" w:rsidP="00C66C9A">
      <w:pPr>
        <w:pStyle w:val="Notedebasdepage"/>
      </w:pPr>
      <w:r>
        <w:rPr>
          <w:lang w:val="fr-FR"/>
        </w:rPr>
        <w:tab/>
      </w:r>
      <w:r w:rsidRPr="007F2E6C">
        <w:rPr>
          <w:rStyle w:val="Appelnotedebasdep"/>
        </w:rPr>
        <w:footnoteRef/>
      </w:r>
      <w:r>
        <w:rPr>
          <w:lang w:val="fr-FR"/>
        </w:rPr>
        <w:tab/>
        <w:t xml:space="preserve">Cour interaméricaine des droits de l’homme, </w:t>
      </w:r>
      <w:r w:rsidRPr="006061D3">
        <w:rPr>
          <w:i/>
          <w:iCs/>
          <w:lang w:val="fr-FR"/>
        </w:rPr>
        <w:t>Yean and Bosico Girls v. Dominican Republic</w:t>
      </w:r>
      <w:r>
        <w:rPr>
          <w:lang w:val="fr-FR"/>
        </w:rPr>
        <w:t xml:space="preserve"> (exceptions préliminaires, fond, réparations et dépens). Arrêt du 8</w:t>
      </w:r>
      <w:r w:rsidR="006127E4">
        <w:rPr>
          <w:lang w:val="fr-FR"/>
        </w:rPr>
        <w:t> </w:t>
      </w:r>
      <w:r>
        <w:rPr>
          <w:lang w:val="fr-FR"/>
        </w:rPr>
        <w:t>septembre 2005. Série C, n</w:t>
      </w:r>
      <w:r w:rsidR="006127E4" w:rsidRPr="006127E4">
        <w:rPr>
          <w:vertAlign w:val="superscript"/>
          <w:lang w:val="fr-FR"/>
        </w:rPr>
        <w:t>o</w:t>
      </w:r>
      <w:r w:rsidR="006127E4">
        <w:rPr>
          <w:lang w:val="fr-FR"/>
        </w:rPr>
        <w:t> </w:t>
      </w:r>
      <w:r>
        <w:rPr>
          <w:lang w:val="fr-FR"/>
        </w:rPr>
        <w:t>130, par.</w:t>
      </w:r>
      <w:r w:rsidR="006127E4">
        <w:rPr>
          <w:lang w:val="fr-FR"/>
        </w:rPr>
        <w:t> </w:t>
      </w:r>
      <w:r>
        <w:rPr>
          <w:lang w:val="fr-FR"/>
        </w:rPr>
        <w:t>178.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B8D53" w14:textId="2D6D99A5" w:rsidR="002279C6" w:rsidRPr="00C66C9A" w:rsidRDefault="002279C6">
    <w:pPr>
      <w:pStyle w:val="En-tte"/>
    </w:pPr>
    <w:fldSimple w:instr=" TITLE  \* MERGEFORMAT ">
      <w:r w:rsidR="00274F2C">
        <w:t>CCPR/C/130/D/2918/2016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B5A23" w14:textId="453E2E01" w:rsidR="002279C6" w:rsidRDefault="002279C6" w:rsidP="00C66C9A">
    <w:pPr>
      <w:pStyle w:val="En-tte"/>
      <w:jc w:val="right"/>
    </w:pPr>
    <w:fldSimple w:instr=" TITLE  \* MERGEFORMAT ">
      <w:r w:rsidR="00274F2C">
        <w:t>CCPR/C/130/D/2918/2016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3D75BF"/>
    <w:multiLevelType w:val="multilevel"/>
    <w:tmpl w:val="0116015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0C2F26A5"/>
    <w:multiLevelType w:val="hybridMultilevel"/>
    <w:tmpl w:val="040E09F0"/>
    <w:lvl w:ilvl="0" w:tplc="B13CD7A8">
      <w:start w:val="1"/>
      <w:numFmt w:val="bullet"/>
      <w:lvlText w:val="-"/>
      <w:lvlJc w:val="left"/>
      <w:pPr>
        <w:ind w:left="1428" w:hanging="72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6806919"/>
    <w:multiLevelType w:val="hybridMultilevel"/>
    <w:tmpl w:val="7D8A9DB0"/>
    <w:lvl w:ilvl="0" w:tplc="CED209BC">
      <w:start w:val="1"/>
      <w:numFmt w:val="decimal"/>
      <w:lvlText w:val="%1."/>
      <w:lvlJc w:val="left"/>
      <w:pPr>
        <w:ind w:left="720" w:hanging="360"/>
      </w:pPr>
      <w:rPr>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26374E3"/>
    <w:multiLevelType w:val="hybridMultilevel"/>
    <w:tmpl w:val="4F7EE43E"/>
    <w:lvl w:ilvl="0" w:tplc="A1F25AA8">
      <w:start w:val="3"/>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2CE04A4"/>
    <w:multiLevelType w:val="multilevel"/>
    <w:tmpl w:val="B41AB98A"/>
    <w:lvl w:ilvl="0">
      <w:start w:val="1"/>
      <w:numFmt w:val="decimal"/>
      <w:lvlText w:val="%1."/>
      <w:lvlJc w:val="left"/>
      <w:pPr>
        <w:ind w:left="1494" w:hanging="360"/>
      </w:pPr>
      <w:rPr>
        <w:rFonts w:hint="default"/>
        <w:lang w:val="en-US"/>
      </w:rPr>
    </w:lvl>
    <w:lvl w:ilvl="1">
      <w:start w:val="1"/>
      <w:numFmt w:val="decimal"/>
      <w:isLgl/>
      <w:lvlText w:val="%1.%2"/>
      <w:lvlJc w:val="left"/>
      <w:pPr>
        <w:ind w:left="1914" w:hanging="780"/>
      </w:pPr>
      <w:rPr>
        <w:rFonts w:hint="default"/>
      </w:rPr>
    </w:lvl>
    <w:lvl w:ilvl="2">
      <w:start w:val="1"/>
      <w:numFmt w:val="decimal"/>
      <w:isLgl/>
      <w:lvlText w:val="%1.%2.%3"/>
      <w:lvlJc w:val="left"/>
      <w:pPr>
        <w:ind w:left="1914" w:hanging="780"/>
      </w:pPr>
      <w:rPr>
        <w:rFonts w:hint="default"/>
      </w:rPr>
    </w:lvl>
    <w:lvl w:ilvl="3">
      <w:start w:val="1"/>
      <w:numFmt w:val="decimal"/>
      <w:isLgl/>
      <w:lvlText w:val="%1.%2.%3.%4"/>
      <w:lvlJc w:val="left"/>
      <w:pPr>
        <w:ind w:left="1914" w:hanging="7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9" w15:restartNumberingAfterBreak="0">
    <w:nsid w:val="321B6429"/>
    <w:multiLevelType w:val="hybridMultilevel"/>
    <w:tmpl w:val="5FC8F074"/>
    <w:lvl w:ilvl="0" w:tplc="F39AE86E">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46A0674"/>
    <w:multiLevelType w:val="hybridMultilevel"/>
    <w:tmpl w:val="A8C61EDC"/>
    <w:lvl w:ilvl="0" w:tplc="14461D26">
      <w:start w:val="1"/>
      <w:numFmt w:val="decimal"/>
      <w:lvlText w:val="%1."/>
      <w:lvlJc w:val="left"/>
      <w:pPr>
        <w:ind w:left="1494" w:hanging="360"/>
      </w:pPr>
      <w:rPr>
        <w:rFonts w:hint="default"/>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54550D11"/>
    <w:multiLevelType w:val="hybridMultilevel"/>
    <w:tmpl w:val="38DE1A9C"/>
    <w:lvl w:ilvl="0" w:tplc="EFF2D5B6">
      <w:start w:val="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56170025"/>
    <w:multiLevelType w:val="hybridMultilevel"/>
    <w:tmpl w:val="C396D36A"/>
    <w:lvl w:ilvl="0" w:tplc="BAD03DCC">
      <w:numFmt w:val="bullet"/>
      <w:lvlText w:val="-"/>
      <w:lvlJc w:val="left"/>
      <w:pPr>
        <w:ind w:left="720" w:hanging="360"/>
      </w:pPr>
      <w:rPr>
        <w:rFonts w:ascii="Times New Roman" w:eastAsia="SimSun" w:hAnsi="Times New Roman" w:cs="Times New Roman"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F367EA"/>
    <w:multiLevelType w:val="hybridMultilevel"/>
    <w:tmpl w:val="1CA0693E"/>
    <w:lvl w:ilvl="0" w:tplc="1116D2E4">
      <w:start w:val="9"/>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5" w15:restartNumberingAfterBreak="0">
    <w:nsid w:val="602F403C"/>
    <w:multiLevelType w:val="hybridMultilevel"/>
    <w:tmpl w:val="5CB29BA2"/>
    <w:lvl w:ilvl="0" w:tplc="10090015">
      <w:start w:val="1"/>
      <w:numFmt w:val="upperLetter"/>
      <w:lvlText w:val="%1."/>
      <w:lvlJc w:val="left"/>
      <w:pPr>
        <w:ind w:left="720" w:hanging="360"/>
      </w:pPr>
      <w:rPr>
        <w:rFonts w:hint="default"/>
      </w:rPr>
    </w:lvl>
    <w:lvl w:ilvl="1" w:tplc="46F0F3C2">
      <w:start w:val="1"/>
      <w:numFmt w:val="lowerLetter"/>
      <w:lvlText w:val="%2."/>
      <w:lvlJc w:val="left"/>
      <w:pPr>
        <w:ind w:left="1440" w:hanging="360"/>
      </w:pPr>
      <w:rPr>
        <w:b w:val="0"/>
        <w:i/>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1DD17E6"/>
    <w:multiLevelType w:val="hybridMultilevel"/>
    <w:tmpl w:val="18CEEE5E"/>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8"/>
  </w:num>
  <w:num w:numId="2">
    <w:abstractNumId w:val="21"/>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8"/>
  </w:num>
  <w:num w:numId="15">
    <w:abstractNumId w:val="21"/>
  </w:num>
  <w:num w:numId="16">
    <w:abstractNumId w:val="15"/>
  </w:num>
  <w:num w:numId="17">
    <w:abstractNumId w:val="28"/>
  </w:num>
  <w:num w:numId="18">
    <w:abstractNumId w:val="21"/>
  </w:num>
  <w:num w:numId="19">
    <w:abstractNumId w:val="15"/>
  </w:num>
  <w:num w:numId="20">
    <w:abstractNumId w:val="12"/>
  </w:num>
  <w:num w:numId="21">
    <w:abstractNumId w:val="27"/>
  </w:num>
  <w:num w:numId="22">
    <w:abstractNumId w:val="11"/>
  </w:num>
  <w:num w:numId="23">
    <w:abstractNumId w:val="20"/>
  </w:num>
  <w:num w:numId="24">
    <w:abstractNumId w:val="19"/>
  </w:num>
  <w:num w:numId="25">
    <w:abstractNumId w:val="13"/>
  </w:num>
  <w:num w:numId="26">
    <w:abstractNumId w:val="26"/>
  </w:num>
  <w:num w:numId="27">
    <w:abstractNumId w:val="22"/>
  </w:num>
  <w:num w:numId="28">
    <w:abstractNumId w:val="16"/>
  </w:num>
  <w:num w:numId="29">
    <w:abstractNumId w:val="25"/>
  </w:num>
  <w:num w:numId="30">
    <w:abstractNumId w:val="17"/>
  </w:num>
  <w:num w:numId="31">
    <w:abstractNumId w:val="23"/>
  </w:num>
  <w:num w:numId="32">
    <w:abstractNumId w:val="14"/>
  </w:num>
  <w:num w:numId="33">
    <w:abstractNumId w:val="10"/>
  </w:num>
  <w:num w:numId="34">
    <w:abstractNumId w:val="1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2E9"/>
    <w:rsid w:val="00017F94"/>
    <w:rsid w:val="00023842"/>
    <w:rsid w:val="000334F9"/>
    <w:rsid w:val="0007796D"/>
    <w:rsid w:val="000919AD"/>
    <w:rsid w:val="000B7790"/>
    <w:rsid w:val="000C2225"/>
    <w:rsid w:val="00111F2F"/>
    <w:rsid w:val="0014365E"/>
    <w:rsid w:val="00176178"/>
    <w:rsid w:val="001B379B"/>
    <w:rsid w:val="001F525A"/>
    <w:rsid w:val="00223272"/>
    <w:rsid w:val="002279C6"/>
    <w:rsid w:val="0024779E"/>
    <w:rsid w:val="00274F2C"/>
    <w:rsid w:val="002B7BC7"/>
    <w:rsid w:val="002E2D46"/>
    <w:rsid w:val="0032225A"/>
    <w:rsid w:val="003265B7"/>
    <w:rsid w:val="003402F1"/>
    <w:rsid w:val="00351332"/>
    <w:rsid w:val="003A6E96"/>
    <w:rsid w:val="00446FE5"/>
    <w:rsid w:val="00452396"/>
    <w:rsid w:val="005505B7"/>
    <w:rsid w:val="00573BE5"/>
    <w:rsid w:val="00586ED3"/>
    <w:rsid w:val="00596AA9"/>
    <w:rsid w:val="006127E4"/>
    <w:rsid w:val="0067428A"/>
    <w:rsid w:val="006F7144"/>
    <w:rsid w:val="006F71EA"/>
    <w:rsid w:val="0071601D"/>
    <w:rsid w:val="00793E85"/>
    <w:rsid w:val="007A611C"/>
    <w:rsid w:val="007A62E6"/>
    <w:rsid w:val="007E2032"/>
    <w:rsid w:val="0080684C"/>
    <w:rsid w:val="008452E9"/>
    <w:rsid w:val="008560DB"/>
    <w:rsid w:val="00871C75"/>
    <w:rsid w:val="008776DC"/>
    <w:rsid w:val="009705C8"/>
    <w:rsid w:val="009B1E6C"/>
    <w:rsid w:val="009E2C6A"/>
    <w:rsid w:val="009E5431"/>
    <w:rsid w:val="00A57411"/>
    <w:rsid w:val="00A76EBC"/>
    <w:rsid w:val="00A9151D"/>
    <w:rsid w:val="00AA6A35"/>
    <w:rsid w:val="00AC3823"/>
    <w:rsid w:val="00AD4C4F"/>
    <w:rsid w:val="00AE323C"/>
    <w:rsid w:val="00B00181"/>
    <w:rsid w:val="00B765F7"/>
    <w:rsid w:val="00BA0CA9"/>
    <w:rsid w:val="00C01ACF"/>
    <w:rsid w:val="00C02897"/>
    <w:rsid w:val="00C66C9A"/>
    <w:rsid w:val="00CA7BC4"/>
    <w:rsid w:val="00D05667"/>
    <w:rsid w:val="00D3439C"/>
    <w:rsid w:val="00D744E5"/>
    <w:rsid w:val="00D83177"/>
    <w:rsid w:val="00DB1831"/>
    <w:rsid w:val="00DD3BFD"/>
    <w:rsid w:val="00DF6678"/>
    <w:rsid w:val="00E85C42"/>
    <w:rsid w:val="00EC30D5"/>
    <w:rsid w:val="00EE1BD4"/>
    <w:rsid w:val="00F12152"/>
    <w:rsid w:val="00F660DF"/>
    <w:rsid w:val="00F95C08"/>
    <w:rsid w:val="00FD57A3"/>
    <w:rsid w:val="00FF2ED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D53A39"/>
  <w15:docId w15:val="{A523BD42-B72E-4306-BFD7-23EF8BE4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Re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b8d990e2">
    <w:name w:val="sb8d990e2"/>
    <w:rsid w:val="00C66C9A"/>
  </w:style>
  <w:style w:type="paragraph" w:styleId="Commentaire">
    <w:name w:val="annotation text"/>
    <w:basedOn w:val="Normal"/>
    <w:link w:val="CommentaireCar"/>
    <w:uiPriority w:val="99"/>
    <w:semiHidden/>
    <w:unhideWhenUsed/>
    <w:rsid w:val="00C66C9A"/>
    <w:pPr>
      <w:spacing w:line="240" w:lineRule="auto"/>
    </w:pPr>
  </w:style>
  <w:style w:type="character" w:customStyle="1" w:styleId="CommentaireCar">
    <w:name w:val="Commentaire Car"/>
    <w:basedOn w:val="Policepardfaut"/>
    <w:link w:val="Commentaire"/>
    <w:uiPriority w:val="99"/>
    <w:semiHidden/>
    <w:rsid w:val="00C66C9A"/>
    <w:rPr>
      <w:rFonts w:ascii="Times New Roman" w:eastAsiaTheme="minorHAnsi" w:hAnsi="Times New Roman" w:cs="Times New Roman"/>
      <w:sz w:val="20"/>
      <w:szCs w:val="20"/>
      <w:lang w:eastAsia="en-US"/>
    </w:rPr>
  </w:style>
  <w:style w:type="paragraph" w:styleId="Objetducommentaire">
    <w:name w:val="annotation subject"/>
    <w:basedOn w:val="Normal"/>
    <w:next w:val="Normal"/>
    <w:link w:val="ObjetducommentaireCar"/>
    <w:rsid w:val="00C66C9A"/>
    <w:pPr>
      <w:kinsoku/>
      <w:overflowPunct/>
      <w:autoSpaceDE/>
      <w:autoSpaceDN/>
      <w:adjustRightInd/>
      <w:snapToGrid/>
    </w:pPr>
    <w:rPr>
      <w:rFonts w:eastAsia="MS Mincho"/>
      <w:b/>
      <w:bCs/>
      <w:lang w:val="x-none"/>
    </w:rPr>
  </w:style>
  <w:style w:type="character" w:customStyle="1" w:styleId="ObjetducommentaireCar">
    <w:name w:val="Objet du commentaire Car"/>
    <w:basedOn w:val="CommentaireCar"/>
    <w:link w:val="Objetducommentaire"/>
    <w:rsid w:val="00C66C9A"/>
    <w:rPr>
      <w:rFonts w:ascii="Times New Roman" w:eastAsia="MS Mincho" w:hAnsi="Times New Roman" w:cs="Times New Roman"/>
      <w:b/>
      <w:bCs/>
      <w:sz w:val="20"/>
      <w:szCs w:val="20"/>
      <w:lang w:val="x-none" w:eastAsia="en-US"/>
    </w:rPr>
  </w:style>
  <w:style w:type="paragraph" w:styleId="Rvision">
    <w:name w:val="Revision"/>
    <w:hidden/>
    <w:uiPriority w:val="99"/>
    <w:semiHidden/>
    <w:rsid w:val="00C66C9A"/>
    <w:pPr>
      <w:spacing w:after="0" w:line="240" w:lineRule="auto"/>
    </w:pPr>
    <w:rPr>
      <w:rFonts w:ascii="Times New Roman" w:eastAsia="MS Mincho" w:hAnsi="Times New Roman" w:cs="Times New Roman"/>
      <w:sz w:val="20"/>
      <w:szCs w:val="20"/>
      <w:lang w:val="en-GB" w:eastAsia="en-US"/>
    </w:rPr>
  </w:style>
  <w:style w:type="paragraph" w:styleId="Paragraphedeliste">
    <w:name w:val="List Paragraph"/>
    <w:basedOn w:val="Normal"/>
    <w:uiPriority w:val="34"/>
    <w:rsid w:val="00C66C9A"/>
    <w:pPr>
      <w:suppressAutoHyphens w:val="0"/>
      <w:kinsoku/>
      <w:overflowPunct/>
      <w:autoSpaceDE/>
      <w:autoSpaceDN/>
      <w:adjustRightInd/>
      <w:snapToGrid/>
      <w:spacing w:after="200" w:line="276" w:lineRule="auto"/>
      <w:ind w:left="720"/>
      <w:contextualSpacing/>
    </w:pPr>
    <w:rPr>
      <w:sz w:val="24"/>
      <w:szCs w:val="24"/>
      <w:lang w:val="en-CA"/>
    </w:rPr>
  </w:style>
  <w:style w:type="paragraph" w:styleId="Sansinterligne">
    <w:name w:val="No Spacing"/>
    <w:uiPriority w:val="1"/>
    <w:rsid w:val="00C66C9A"/>
    <w:pPr>
      <w:spacing w:after="0" w:line="240" w:lineRule="auto"/>
    </w:pPr>
    <w:rPr>
      <w:rFonts w:ascii="Calibri" w:eastAsia="Calibri" w:hAnsi="Calibri" w:cs="Times New Roman"/>
      <w:lang w:val="en-GB" w:eastAsia="en-US"/>
    </w:rPr>
  </w:style>
  <w:style w:type="character" w:customStyle="1" w:styleId="SingleTxtGChar">
    <w:name w:val="_ Single Txt_G Char"/>
    <w:link w:val="SingleTxtG"/>
    <w:rsid w:val="00C66C9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15</TotalTime>
  <Pages>13</Pages>
  <Words>7023</Words>
  <Characters>36758</Characters>
  <Application>Microsoft Office Word</Application>
  <DocSecurity>0</DocSecurity>
  <Lines>535</Lines>
  <Paragraphs>90</Paragraphs>
  <ScaleCrop>false</ScaleCrop>
  <HeadingPairs>
    <vt:vector size="2" baseType="variant">
      <vt:variant>
        <vt:lpstr>Titre</vt:lpstr>
      </vt:variant>
      <vt:variant>
        <vt:i4>1</vt:i4>
      </vt:variant>
    </vt:vector>
  </HeadingPairs>
  <TitlesOfParts>
    <vt:vector size="1" baseType="lpstr">
      <vt:lpstr>CCPR/C/130/D/2918/2016</vt:lpstr>
    </vt:vector>
  </TitlesOfParts>
  <Company>DCM</Company>
  <LinksUpToDate>false</LinksUpToDate>
  <CharactersWithSpaces>43703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CCPR/C/130/D/2918/2016</dc:title>
  <dc:subject/>
  <dc:creator>Christine CHAUTAGNAT</dc:creator>
  <cp:keywords/>
  <cp:lastModifiedBy>Christine Chautagnat</cp:lastModifiedBy>
  <cp:revision>3</cp:revision>
  <cp:lastPrinted>2021-03-12T11:14:00Z</cp:lastPrinted>
  <dcterms:created xsi:type="dcterms:W3CDTF">2021-03-12T11:14:00Z</dcterms:created>
  <dcterms:modified xsi:type="dcterms:W3CDTF">2021-03-12T11:29:00Z</dcterms:modified>
</cp:coreProperties>
</file>