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21EB78A" w14:textId="77777777" w:rsidTr="00CA1AEA">
        <w:trPr>
          <w:cantSplit/>
          <w:trHeight w:hRule="exact" w:val="851"/>
        </w:trPr>
        <w:tc>
          <w:tcPr>
            <w:tcW w:w="1276" w:type="dxa"/>
            <w:tcBorders>
              <w:bottom w:val="single" w:sz="4" w:space="0" w:color="auto"/>
            </w:tcBorders>
            <w:vAlign w:val="bottom"/>
          </w:tcPr>
          <w:p w14:paraId="48404515" w14:textId="77777777" w:rsidR="00165C15" w:rsidRDefault="00165C15" w:rsidP="00CA1AEA">
            <w:pPr>
              <w:spacing w:after="80"/>
            </w:pPr>
          </w:p>
        </w:tc>
        <w:tc>
          <w:tcPr>
            <w:tcW w:w="2268" w:type="dxa"/>
            <w:tcBorders>
              <w:bottom w:val="single" w:sz="4" w:space="0" w:color="auto"/>
            </w:tcBorders>
            <w:vAlign w:val="bottom"/>
          </w:tcPr>
          <w:p w14:paraId="64A70B69"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76D95F4" w14:textId="77777777" w:rsidR="00165C15" w:rsidRPr="00D47EEA" w:rsidRDefault="00192C8E" w:rsidP="00192C8E">
            <w:pPr>
              <w:suppressAutoHyphens w:val="0"/>
              <w:spacing w:after="20"/>
              <w:jc w:val="right"/>
            </w:pPr>
            <w:r w:rsidRPr="00192C8E">
              <w:rPr>
                <w:sz w:val="40"/>
              </w:rPr>
              <w:t>CCPR</w:t>
            </w:r>
            <w:r>
              <w:t>/C/131/D/2635/2015</w:t>
            </w:r>
          </w:p>
        </w:tc>
      </w:tr>
      <w:tr w:rsidR="00165C15" w14:paraId="07128270" w14:textId="77777777" w:rsidTr="00CA1AEA">
        <w:trPr>
          <w:cantSplit/>
          <w:trHeight w:hRule="exact" w:val="2835"/>
        </w:trPr>
        <w:tc>
          <w:tcPr>
            <w:tcW w:w="1276" w:type="dxa"/>
            <w:tcBorders>
              <w:top w:val="single" w:sz="4" w:space="0" w:color="auto"/>
              <w:bottom w:val="single" w:sz="12" w:space="0" w:color="auto"/>
            </w:tcBorders>
          </w:tcPr>
          <w:p w14:paraId="2F73F363" w14:textId="77777777" w:rsidR="00165C15" w:rsidRDefault="00165C15" w:rsidP="00CA1AEA">
            <w:pPr>
              <w:spacing w:before="120"/>
            </w:pPr>
            <w:r>
              <w:rPr>
                <w:noProof/>
                <w:lang w:eastAsia="en-GB"/>
              </w:rPr>
              <w:drawing>
                <wp:inline distT="0" distB="0" distL="0" distR="0" wp14:anchorId="78AA843C" wp14:editId="409FED4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E4CF708"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5F3EDA7B" w14:textId="77777777" w:rsidR="00192C8E" w:rsidRPr="00B54943" w:rsidRDefault="00192C8E" w:rsidP="00192C8E">
            <w:pPr>
              <w:spacing w:before="240" w:line="240" w:lineRule="exact"/>
            </w:pPr>
            <w:r w:rsidRPr="00B54943">
              <w:t xml:space="preserve">Distr.: </w:t>
            </w:r>
            <w:r>
              <w:rPr>
                <w:lang w:val="en-US"/>
              </w:rPr>
              <w:t>General</w:t>
            </w:r>
          </w:p>
          <w:p w14:paraId="095094E7" w14:textId="34C78C07" w:rsidR="00192C8E" w:rsidRPr="00B54943" w:rsidRDefault="00192C8E" w:rsidP="00192C8E">
            <w:pPr>
              <w:spacing w:line="240" w:lineRule="exact"/>
            </w:pPr>
            <w:r>
              <w:t>1</w:t>
            </w:r>
            <w:r w:rsidR="00A63DB3">
              <w:t>4</w:t>
            </w:r>
            <w:r>
              <w:t xml:space="preserve"> May 2021</w:t>
            </w:r>
          </w:p>
          <w:p w14:paraId="736D0AD3" w14:textId="77777777" w:rsidR="00192C8E" w:rsidRPr="00FB6500" w:rsidRDefault="00192C8E" w:rsidP="00192C8E">
            <w:pPr>
              <w:suppressAutoHyphens w:val="0"/>
            </w:pPr>
          </w:p>
          <w:p w14:paraId="691934FB" w14:textId="6653C9A6" w:rsidR="00192C8E" w:rsidRDefault="00192C8E" w:rsidP="00A63DB3">
            <w:pPr>
              <w:suppressAutoHyphens w:val="0"/>
            </w:pPr>
            <w:r w:rsidRPr="00FB6500">
              <w:t>Original: English</w:t>
            </w:r>
          </w:p>
        </w:tc>
      </w:tr>
    </w:tbl>
    <w:p w14:paraId="012585D1" w14:textId="77777777" w:rsidR="00192C8E" w:rsidRPr="00CE04E3" w:rsidRDefault="00192C8E" w:rsidP="00192C8E">
      <w:pPr>
        <w:spacing w:before="120"/>
        <w:rPr>
          <w:b/>
          <w:bCs/>
          <w:sz w:val="24"/>
        </w:rPr>
      </w:pPr>
      <w:r w:rsidRPr="00CE04E3">
        <w:rPr>
          <w:b/>
          <w:bCs/>
          <w:sz w:val="24"/>
        </w:rPr>
        <w:t>Human Rights Committee</w:t>
      </w:r>
    </w:p>
    <w:p w14:paraId="178B59ED" w14:textId="1E9079C7" w:rsidR="00192C8E" w:rsidRDefault="00192C8E" w:rsidP="00192C8E">
      <w:pPr>
        <w:pStyle w:val="HChG"/>
        <w:rPr>
          <w:b w:val="0"/>
          <w:sz w:val="20"/>
        </w:rPr>
      </w:pPr>
      <w:r>
        <w:tab/>
      </w:r>
      <w:r>
        <w:tab/>
      </w:r>
      <w:r w:rsidRPr="00995ABD">
        <w:t>Views adopted by the Committee under article 5 (4) of the</w:t>
      </w:r>
      <w:r w:rsidR="00995ABD">
        <w:t xml:space="preserve"> </w:t>
      </w:r>
      <w:r w:rsidRPr="00995ABD">
        <w:t xml:space="preserve">Optional Protocol, concerning communication </w:t>
      </w:r>
      <w:r w:rsidR="00995ABD">
        <w:br/>
      </w:r>
      <w:r w:rsidRPr="00995ABD">
        <w:t>No.</w:t>
      </w:r>
      <w:r w:rsidR="00995ABD">
        <w:t xml:space="preserve"> </w:t>
      </w:r>
      <w:r w:rsidRPr="00995ABD">
        <w:t>2635/2015</w:t>
      </w:r>
      <w:r w:rsidRPr="00EA3CE2">
        <w:rPr>
          <w:rStyle w:val="FootnoteReference"/>
          <w:b w:val="0"/>
          <w:bCs/>
          <w:sz w:val="20"/>
          <w:szCs w:val="22"/>
          <w:vertAlign w:val="baseline"/>
        </w:rPr>
        <w:footnoteReference w:customMarkFollows="1" w:id="1"/>
        <w:t>*</w:t>
      </w:r>
      <w:r w:rsidRPr="00EA3CE2">
        <w:rPr>
          <w:b w:val="0"/>
          <w:position w:val="8"/>
          <w:sz w:val="20"/>
          <w:szCs w:val="22"/>
        </w:rPr>
        <w:t>,</w:t>
      </w:r>
      <w:r>
        <w:rPr>
          <w:sz w:val="20"/>
          <w:vertAlign w:val="superscript"/>
        </w:rPr>
        <w:t xml:space="preserve"> </w:t>
      </w:r>
      <w:r w:rsidRPr="00EA3CE2">
        <w:rPr>
          <w:rStyle w:val="FootnoteReference"/>
          <w:b w:val="0"/>
          <w:bCs/>
          <w:sz w:val="20"/>
          <w:szCs w:val="22"/>
          <w:vertAlign w:val="baseline"/>
        </w:rPr>
        <w:footnoteReference w:customMarkFollows="1" w:id="2"/>
        <w:t>**</w:t>
      </w:r>
      <w:r w:rsidRPr="00EA3CE2">
        <w:rPr>
          <w:b w:val="0"/>
          <w:position w:val="8"/>
          <w:sz w:val="20"/>
          <w:szCs w:val="22"/>
        </w:rPr>
        <w:t>,</w:t>
      </w:r>
      <w:r>
        <w:rPr>
          <w:sz w:val="20"/>
          <w:vertAlign w:val="superscript"/>
        </w:rPr>
        <w:t xml:space="preserve"> </w:t>
      </w:r>
      <w:r w:rsidRPr="00EA3CE2">
        <w:rPr>
          <w:rStyle w:val="FootnoteReference"/>
          <w:b w:val="0"/>
          <w:bCs/>
          <w:sz w:val="20"/>
          <w:szCs w:val="22"/>
          <w:vertAlign w:val="baseline"/>
        </w:rPr>
        <w:footnoteReference w:customMarkFollows="1" w:id="3"/>
        <w:t>***</w:t>
      </w:r>
    </w:p>
    <w:p w14:paraId="2F1EDDD1" w14:textId="77777777" w:rsidR="00192C8E" w:rsidRPr="005449E3" w:rsidRDefault="00192C8E" w:rsidP="00A63DB3">
      <w:pPr>
        <w:pStyle w:val="SingleTxtG"/>
        <w:tabs>
          <w:tab w:val="left" w:pos="4536"/>
        </w:tabs>
        <w:ind w:left="4536" w:hanging="3402"/>
        <w:jc w:val="left"/>
      </w:pPr>
      <w:r w:rsidRPr="005449E3">
        <w:rPr>
          <w:i/>
        </w:rPr>
        <w:t xml:space="preserve">Communication submitted </w:t>
      </w:r>
      <w:proofErr w:type="gramStart"/>
      <w:r w:rsidRPr="005449E3">
        <w:rPr>
          <w:i/>
        </w:rPr>
        <w:t>by:</w:t>
      </w:r>
      <w:proofErr w:type="gramEnd"/>
      <w:r w:rsidRPr="005449E3">
        <w:rPr>
          <w:i/>
        </w:rPr>
        <w:tab/>
      </w:r>
      <w:r>
        <w:t>Vladimir Ivanov (not represented by counsel)</w:t>
      </w:r>
    </w:p>
    <w:p w14:paraId="4E3058AB" w14:textId="77777777" w:rsidR="00192C8E" w:rsidRPr="005449E3" w:rsidRDefault="00192C8E" w:rsidP="00A63DB3">
      <w:pPr>
        <w:pStyle w:val="SingleTxtG"/>
        <w:tabs>
          <w:tab w:val="left" w:pos="4536"/>
        </w:tabs>
        <w:ind w:left="4536" w:hanging="3402"/>
        <w:jc w:val="left"/>
      </w:pPr>
      <w:r w:rsidRPr="005449E3">
        <w:rPr>
          <w:i/>
        </w:rPr>
        <w:t>Alleged victim:</w:t>
      </w:r>
      <w:r w:rsidRPr="005449E3">
        <w:rPr>
          <w:i/>
        </w:rPr>
        <w:tab/>
      </w:r>
      <w:r w:rsidRPr="005449E3">
        <w:t>The author</w:t>
      </w:r>
    </w:p>
    <w:p w14:paraId="7EBE70FD" w14:textId="77777777" w:rsidR="004F0165" w:rsidRDefault="00192C8E" w:rsidP="00A63DB3">
      <w:pPr>
        <w:pStyle w:val="SingleTxtG"/>
        <w:tabs>
          <w:tab w:val="clear" w:pos="2268"/>
          <w:tab w:val="left" w:pos="4536"/>
        </w:tabs>
        <w:ind w:left="4536" w:hanging="3402"/>
        <w:jc w:val="left"/>
      </w:pPr>
      <w:r w:rsidRPr="005449E3">
        <w:rPr>
          <w:i/>
        </w:rPr>
        <w:t>State party:</w:t>
      </w:r>
      <w:r w:rsidRPr="005449E3">
        <w:rPr>
          <w:i/>
        </w:rPr>
        <w:tab/>
      </w:r>
      <w:r>
        <w:t>Russian Federation</w:t>
      </w:r>
    </w:p>
    <w:p w14:paraId="377F3C7D" w14:textId="77777777" w:rsidR="004F0165" w:rsidRDefault="00192C8E" w:rsidP="00A63DB3">
      <w:pPr>
        <w:pStyle w:val="SingleTxtG"/>
        <w:tabs>
          <w:tab w:val="left" w:pos="4536"/>
        </w:tabs>
        <w:ind w:left="4536" w:hanging="3402"/>
        <w:jc w:val="left"/>
      </w:pPr>
      <w:r w:rsidRPr="005449E3">
        <w:rPr>
          <w:i/>
        </w:rPr>
        <w:t>Date of communication:</w:t>
      </w:r>
      <w:r w:rsidRPr="005449E3">
        <w:rPr>
          <w:i/>
        </w:rPr>
        <w:tab/>
      </w:r>
      <w:r>
        <w:t>17</w:t>
      </w:r>
      <w:r w:rsidRPr="005449E3">
        <w:t xml:space="preserve"> </w:t>
      </w:r>
      <w:r>
        <w:t>January</w:t>
      </w:r>
      <w:r w:rsidRPr="005449E3">
        <w:t xml:space="preserve"> 201</w:t>
      </w:r>
      <w:r>
        <w:t>5</w:t>
      </w:r>
      <w:r w:rsidRPr="005449E3">
        <w:t xml:space="preserve"> (initial submission)</w:t>
      </w:r>
    </w:p>
    <w:p w14:paraId="511B2764" w14:textId="6B019A09" w:rsidR="00192C8E" w:rsidRPr="005449E3" w:rsidRDefault="00192C8E" w:rsidP="00A63DB3">
      <w:pPr>
        <w:pStyle w:val="SingleTxtG"/>
        <w:tabs>
          <w:tab w:val="left" w:pos="4536"/>
        </w:tabs>
        <w:ind w:left="4536" w:hanging="3402"/>
        <w:jc w:val="left"/>
      </w:pPr>
      <w:r w:rsidRPr="005449E3">
        <w:rPr>
          <w:i/>
        </w:rPr>
        <w:t>Document references:</w:t>
      </w:r>
      <w:r w:rsidRPr="005449E3">
        <w:rPr>
          <w:i/>
        </w:rPr>
        <w:tab/>
      </w:r>
      <w:r>
        <w:t xml:space="preserve">Decision taken pursuant to </w:t>
      </w:r>
      <w:r w:rsidRPr="005449E3">
        <w:t>rule 9</w:t>
      </w:r>
      <w:r>
        <w:t>2</w:t>
      </w:r>
      <w:r w:rsidRPr="005449E3">
        <w:t xml:space="preserve"> </w:t>
      </w:r>
      <w:r>
        <w:t>of the Committee’s rules of procedure</w:t>
      </w:r>
      <w:r w:rsidRPr="005449E3">
        <w:t xml:space="preserve">, transmitted to the State party on </w:t>
      </w:r>
      <w:r>
        <w:t xml:space="preserve">22 July 2015 </w:t>
      </w:r>
      <w:r w:rsidRPr="005449E3">
        <w:t>(not issued in document form)</w:t>
      </w:r>
    </w:p>
    <w:p w14:paraId="19C30358" w14:textId="77777777" w:rsidR="00192C8E" w:rsidRPr="005449E3" w:rsidRDefault="00192C8E" w:rsidP="00A63DB3">
      <w:pPr>
        <w:pStyle w:val="SingleTxtG"/>
        <w:tabs>
          <w:tab w:val="left" w:pos="4536"/>
        </w:tabs>
        <w:ind w:left="4536" w:hanging="3402"/>
        <w:jc w:val="left"/>
      </w:pPr>
      <w:r w:rsidRPr="005449E3">
        <w:rPr>
          <w:i/>
        </w:rPr>
        <w:t>Date of adoption of Views:</w:t>
      </w:r>
      <w:r w:rsidRPr="005449E3">
        <w:rPr>
          <w:i/>
        </w:rPr>
        <w:tab/>
      </w:r>
      <w:r>
        <w:t xml:space="preserve">18 March </w:t>
      </w:r>
      <w:r w:rsidRPr="005449E3">
        <w:t>20</w:t>
      </w:r>
      <w:r>
        <w:t>21</w:t>
      </w:r>
    </w:p>
    <w:p w14:paraId="6963FC8A" w14:textId="77777777" w:rsidR="00192C8E" w:rsidRPr="005449E3" w:rsidRDefault="00192C8E" w:rsidP="00A63DB3">
      <w:pPr>
        <w:pStyle w:val="SingleTxtG"/>
        <w:tabs>
          <w:tab w:val="left" w:pos="4536"/>
        </w:tabs>
        <w:ind w:left="4536" w:hanging="3402"/>
        <w:jc w:val="left"/>
      </w:pPr>
      <w:r w:rsidRPr="005449E3">
        <w:rPr>
          <w:i/>
          <w:iCs/>
        </w:rPr>
        <w:t>Subject matter:</w:t>
      </w:r>
      <w:r w:rsidRPr="005449E3">
        <w:rPr>
          <w:i/>
        </w:rPr>
        <w:tab/>
      </w:r>
      <w:r w:rsidRPr="00B90C21">
        <w:t>Right to peaceful assembly; non-discrimination</w:t>
      </w:r>
    </w:p>
    <w:p w14:paraId="68C6499D" w14:textId="77777777" w:rsidR="004F0165" w:rsidRDefault="00192C8E" w:rsidP="00A63DB3">
      <w:pPr>
        <w:pStyle w:val="SingleTxtG"/>
        <w:tabs>
          <w:tab w:val="left" w:pos="4536"/>
        </w:tabs>
        <w:ind w:left="4536" w:hanging="3402"/>
        <w:jc w:val="left"/>
      </w:pPr>
      <w:r w:rsidRPr="005449E3">
        <w:rPr>
          <w:i/>
          <w:iCs/>
        </w:rPr>
        <w:t>Procedural issue</w:t>
      </w:r>
      <w:r w:rsidRPr="005449E3">
        <w:rPr>
          <w:i/>
        </w:rPr>
        <w:t>:</w:t>
      </w:r>
      <w:r w:rsidRPr="005449E3">
        <w:rPr>
          <w:i/>
          <w:iCs/>
        </w:rPr>
        <w:tab/>
      </w:r>
      <w:r>
        <w:t>Exhaustion of domestic remedies</w:t>
      </w:r>
    </w:p>
    <w:p w14:paraId="09FBEF53" w14:textId="27404C92" w:rsidR="00192C8E" w:rsidRPr="005449E3" w:rsidRDefault="00192C8E" w:rsidP="00A63DB3">
      <w:pPr>
        <w:pStyle w:val="SingleTxtG"/>
        <w:tabs>
          <w:tab w:val="left" w:pos="4536"/>
        </w:tabs>
        <w:ind w:left="4536" w:hanging="3402"/>
        <w:jc w:val="left"/>
      </w:pPr>
      <w:r w:rsidRPr="005449E3">
        <w:rPr>
          <w:i/>
          <w:iCs/>
        </w:rPr>
        <w:t>Substantive issue</w:t>
      </w:r>
      <w:r>
        <w:rPr>
          <w:i/>
          <w:iCs/>
        </w:rPr>
        <w:t>s</w:t>
      </w:r>
      <w:r w:rsidRPr="005449E3">
        <w:rPr>
          <w:i/>
          <w:iCs/>
        </w:rPr>
        <w:t>:</w:t>
      </w:r>
      <w:r w:rsidRPr="005449E3">
        <w:rPr>
          <w:i/>
          <w:iCs/>
        </w:rPr>
        <w:tab/>
      </w:r>
      <w:r w:rsidRPr="00B90C21">
        <w:t xml:space="preserve">Unjustified restrictions </w:t>
      </w:r>
      <w:r>
        <w:t>on</w:t>
      </w:r>
      <w:r w:rsidRPr="00B90C21">
        <w:t xml:space="preserve"> the right of peaceful assembly; discrimination against </w:t>
      </w:r>
      <w:r>
        <w:t xml:space="preserve">lesbian, gay, bisexual and transgender </w:t>
      </w:r>
      <w:r w:rsidRPr="00B90C21">
        <w:t>pe</w:t>
      </w:r>
      <w:r>
        <w:t>rsons</w:t>
      </w:r>
    </w:p>
    <w:p w14:paraId="2118F582" w14:textId="77777777" w:rsidR="00192C8E" w:rsidRPr="005449E3" w:rsidRDefault="00192C8E" w:rsidP="00A63DB3">
      <w:pPr>
        <w:pStyle w:val="SingleTxtG"/>
        <w:tabs>
          <w:tab w:val="left" w:pos="4536"/>
        </w:tabs>
        <w:ind w:left="4536" w:hanging="3402"/>
        <w:jc w:val="left"/>
      </w:pPr>
      <w:r w:rsidRPr="005449E3">
        <w:rPr>
          <w:i/>
          <w:iCs/>
        </w:rPr>
        <w:t>Articles of the Covenant</w:t>
      </w:r>
      <w:r w:rsidRPr="005449E3">
        <w:rPr>
          <w:i/>
        </w:rPr>
        <w:t>:</w:t>
      </w:r>
      <w:r w:rsidRPr="005449E3">
        <w:rPr>
          <w:i/>
          <w:iCs/>
        </w:rPr>
        <w:tab/>
      </w:r>
      <w:r w:rsidRPr="00B90C21">
        <w:t>21 and 26</w:t>
      </w:r>
    </w:p>
    <w:p w14:paraId="558F3219" w14:textId="77777777" w:rsidR="00192C8E" w:rsidRPr="008D30DE" w:rsidRDefault="00192C8E" w:rsidP="00A63DB3">
      <w:pPr>
        <w:pStyle w:val="SingleTxtG"/>
        <w:tabs>
          <w:tab w:val="left" w:pos="4536"/>
        </w:tabs>
        <w:ind w:left="4536" w:hanging="3402"/>
        <w:jc w:val="left"/>
      </w:pPr>
      <w:r w:rsidRPr="005449E3">
        <w:rPr>
          <w:i/>
          <w:iCs/>
        </w:rPr>
        <w:t>Article of the Optional Protocol:</w:t>
      </w:r>
      <w:r w:rsidRPr="005449E3">
        <w:rPr>
          <w:i/>
          <w:iCs/>
        </w:rPr>
        <w:tab/>
      </w:r>
      <w:r w:rsidRPr="00064FB3">
        <w:t>5</w:t>
      </w:r>
      <w:r>
        <w:t xml:space="preserve"> (2) (b)</w:t>
      </w:r>
    </w:p>
    <w:p w14:paraId="1B161B49" w14:textId="77777777" w:rsidR="00192C8E" w:rsidRPr="00B54943" w:rsidRDefault="00192C8E" w:rsidP="00192C8E">
      <w:pPr>
        <w:pStyle w:val="SingleTxtG"/>
        <w:spacing w:before="240"/>
        <w:rPr>
          <w:rFonts w:eastAsia="Verdana"/>
        </w:rPr>
      </w:pPr>
      <w:r w:rsidRPr="00B54943">
        <w:t>1.</w:t>
      </w:r>
      <w:r w:rsidRPr="00B54943">
        <w:tab/>
      </w:r>
      <w:r w:rsidRPr="00C8306D">
        <w:t>The author</w:t>
      </w:r>
      <w:r>
        <w:t xml:space="preserve"> of the communication</w:t>
      </w:r>
      <w:r w:rsidRPr="00C8306D">
        <w:t xml:space="preserve"> is Vladimir Ivanov, a </w:t>
      </w:r>
      <w:r>
        <w:t>national of the Russian Federation</w:t>
      </w:r>
      <w:r w:rsidRPr="00C8306D">
        <w:t xml:space="preserve"> born in 1945. He claims to be a victim of a violation by the Russian Federation of his rights under articles 21 and 26 of the Covenant. The Optional Protocol entered into force for the Russian Federation on 1 January 1992.</w:t>
      </w:r>
      <w:r w:rsidRPr="00C679B4">
        <w:t xml:space="preserve"> </w:t>
      </w:r>
      <w:r w:rsidRPr="00C8306D">
        <w:t>The author is not represented</w:t>
      </w:r>
      <w:r>
        <w:t xml:space="preserve"> by counsel</w:t>
      </w:r>
      <w:r w:rsidRPr="00C8306D">
        <w:t>.</w:t>
      </w:r>
    </w:p>
    <w:p w14:paraId="3A216F2D" w14:textId="77777777" w:rsidR="00192C8E" w:rsidRPr="00B54943" w:rsidRDefault="00192C8E" w:rsidP="00192C8E">
      <w:pPr>
        <w:pStyle w:val="H23G"/>
        <w:rPr>
          <w:rFonts w:eastAsia="Verdana"/>
        </w:rPr>
      </w:pPr>
      <w:r>
        <w:rPr>
          <w:rFonts w:eastAsia="Verdana"/>
        </w:rPr>
        <w:tab/>
      </w:r>
      <w:r>
        <w:rPr>
          <w:rFonts w:eastAsia="Verdana"/>
        </w:rPr>
        <w:tab/>
        <w:t>F</w:t>
      </w:r>
      <w:r w:rsidRPr="00B54943">
        <w:rPr>
          <w:rFonts w:eastAsia="Verdana"/>
        </w:rPr>
        <w:t xml:space="preserve">acts as </w:t>
      </w:r>
      <w:r>
        <w:rPr>
          <w:rFonts w:eastAsia="Verdana"/>
        </w:rPr>
        <w:t>submitted</w:t>
      </w:r>
      <w:r w:rsidRPr="00B54943">
        <w:rPr>
          <w:rFonts w:eastAsia="Verdana"/>
        </w:rPr>
        <w:t xml:space="preserve"> by the author</w:t>
      </w:r>
    </w:p>
    <w:p w14:paraId="0DCFBB49" w14:textId="77777777" w:rsidR="004F0165" w:rsidRDefault="00192C8E" w:rsidP="00192C8E">
      <w:pPr>
        <w:pStyle w:val="SingleTxtG"/>
      </w:pPr>
      <w:r w:rsidRPr="00C679B4">
        <w:t>2.1</w:t>
      </w:r>
      <w:r w:rsidRPr="00C679B4">
        <w:tab/>
        <w:t>The author is a documentary film director and an activist</w:t>
      </w:r>
      <w:r w:rsidRPr="004539C7">
        <w:t xml:space="preserve"> </w:t>
      </w:r>
      <w:r>
        <w:t>in the field of lesbian, gay, bisexual and transgender rights in the Russian Federation</w:t>
      </w:r>
      <w:r w:rsidRPr="00C679B4">
        <w:t>. Together with other activists</w:t>
      </w:r>
      <w:r>
        <w:t>,</w:t>
      </w:r>
      <w:r w:rsidRPr="00C679B4">
        <w:t xml:space="preserve"> he </w:t>
      </w:r>
      <w:r>
        <w:t xml:space="preserve">made </w:t>
      </w:r>
      <w:r w:rsidRPr="00191536">
        <w:rPr>
          <w:rFonts w:eastAsia="MS Mincho"/>
        </w:rPr>
        <w:t>numerous</w:t>
      </w:r>
      <w:r>
        <w:t xml:space="preserve"> attempts </w:t>
      </w:r>
      <w:r w:rsidRPr="00C679B4">
        <w:t xml:space="preserve">to organize peaceful assemblies on </w:t>
      </w:r>
      <w:r>
        <w:t xml:space="preserve">lesbian, gay, bisexual and </w:t>
      </w:r>
      <w:r>
        <w:lastRenderedPageBreak/>
        <w:t xml:space="preserve">transgender </w:t>
      </w:r>
      <w:r w:rsidRPr="00C679B4">
        <w:t xml:space="preserve">rights in Moscow, which were denied for nine consecutive years. On 10 April 2014, </w:t>
      </w:r>
      <w:r>
        <w:t xml:space="preserve">together </w:t>
      </w:r>
      <w:r w:rsidRPr="00C679B4">
        <w:t xml:space="preserve">with other </w:t>
      </w:r>
      <w:r>
        <w:t xml:space="preserve">activists, he </w:t>
      </w:r>
      <w:r w:rsidRPr="00C679B4">
        <w:t xml:space="preserve">informed the </w:t>
      </w:r>
      <w:r w:rsidRPr="00287A06">
        <w:t xml:space="preserve">Lenin District </w:t>
      </w:r>
      <w:r>
        <w:t>a</w:t>
      </w:r>
      <w:r w:rsidRPr="00287A06">
        <w:t>dministrati</w:t>
      </w:r>
      <w:r>
        <w:t>ve authority</w:t>
      </w:r>
      <w:r w:rsidRPr="00C679B4">
        <w:t xml:space="preserve"> </w:t>
      </w:r>
      <w:r>
        <w:t xml:space="preserve">in Sevastopol </w:t>
      </w:r>
      <w:r w:rsidRPr="00C679B4">
        <w:t xml:space="preserve">of the intention to hold a </w:t>
      </w:r>
      <w:r>
        <w:t>g</w:t>
      </w:r>
      <w:r w:rsidRPr="00C679B4">
        <w:t xml:space="preserve">ay </w:t>
      </w:r>
      <w:r>
        <w:t>pride p</w:t>
      </w:r>
      <w:r w:rsidRPr="00C679B4">
        <w:t xml:space="preserve">arade on 23 April 2014, indicating the aims of the </w:t>
      </w:r>
      <w:r>
        <w:t>p</w:t>
      </w:r>
      <w:r w:rsidRPr="00C679B4">
        <w:t>arade, its location and duration, and the number of participants (no more than 200 persons). The</w:t>
      </w:r>
      <w:r>
        <w:t xml:space="preserve"> organizers </w:t>
      </w:r>
      <w:r w:rsidRPr="00C679B4">
        <w:t xml:space="preserve">also stated that they </w:t>
      </w:r>
      <w:r>
        <w:t>were</w:t>
      </w:r>
      <w:r w:rsidRPr="00C679B4">
        <w:t xml:space="preserve"> ready to accept any proposal of the authorities if changes in the route of the </w:t>
      </w:r>
      <w:r>
        <w:t>p</w:t>
      </w:r>
      <w:r w:rsidRPr="00C679B4">
        <w:t xml:space="preserve">arade </w:t>
      </w:r>
      <w:r>
        <w:t>were deemed necessary</w:t>
      </w:r>
      <w:r w:rsidRPr="00C679B4">
        <w:t>.</w:t>
      </w:r>
    </w:p>
    <w:p w14:paraId="2FFE887B" w14:textId="77777777" w:rsidR="004F0165" w:rsidRDefault="00192C8E" w:rsidP="00192C8E">
      <w:pPr>
        <w:pStyle w:val="SingleTxtG"/>
        <w:rPr>
          <w:rFonts w:eastAsia="Verdana"/>
        </w:rPr>
      </w:pPr>
      <w:r w:rsidRPr="00C679B4">
        <w:rPr>
          <w:rFonts w:eastAsia="Verdana"/>
        </w:rPr>
        <w:t>2.2</w:t>
      </w:r>
      <w:r w:rsidRPr="00C679B4">
        <w:rPr>
          <w:rFonts w:eastAsia="Verdana"/>
        </w:rPr>
        <w:tab/>
        <w:t xml:space="preserve">On 14 April 2014, the head of the </w:t>
      </w:r>
      <w:r w:rsidRPr="00AE12BA">
        <w:rPr>
          <w:rFonts w:eastAsia="Verdana"/>
        </w:rPr>
        <w:t xml:space="preserve">Lenin District </w:t>
      </w:r>
      <w:r>
        <w:rPr>
          <w:rFonts w:eastAsia="Verdana"/>
        </w:rPr>
        <w:t>a</w:t>
      </w:r>
      <w:r w:rsidRPr="00AE12BA">
        <w:rPr>
          <w:rFonts w:eastAsia="Verdana"/>
        </w:rPr>
        <w:t>dministrat</w:t>
      </w:r>
      <w:r>
        <w:rPr>
          <w:rFonts w:eastAsia="Verdana"/>
        </w:rPr>
        <w:t>ive authority</w:t>
      </w:r>
      <w:r w:rsidRPr="00C679B4">
        <w:rPr>
          <w:rFonts w:eastAsia="Verdana"/>
        </w:rPr>
        <w:t xml:space="preserve"> refused</w:t>
      </w:r>
      <w:r>
        <w:rPr>
          <w:rFonts w:eastAsia="Verdana"/>
        </w:rPr>
        <w:t xml:space="preserve"> to grant </w:t>
      </w:r>
      <w:r w:rsidRPr="00C679B4">
        <w:rPr>
          <w:rFonts w:eastAsia="Verdana"/>
        </w:rPr>
        <w:t>permission f</w:t>
      </w:r>
      <w:r>
        <w:rPr>
          <w:rFonts w:eastAsia="Verdana"/>
        </w:rPr>
        <w:t>or</w:t>
      </w:r>
      <w:r w:rsidRPr="00C679B4">
        <w:rPr>
          <w:rFonts w:eastAsia="Verdana"/>
        </w:rPr>
        <w:t xml:space="preserve"> the </w:t>
      </w:r>
      <w:r>
        <w:rPr>
          <w:rFonts w:eastAsia="Verdana"/>
        </w:rPr>
        <w:t>g</w:t>
      </w:r>
      <w:r w:rsidRPr="00C679B4">
        <w:rPr>
          <w:rFonts w:eastAsia="Verdana"/>
        </w:rPr>
        <w:t xml:space="preserve">ay </w:t>
      </w:r>
      <w:r>
        <w:rPr>
          <w:rFonts w:eastAsia="Verdana"/>
        </w:rPr>
        <w:t>pride p</w:t>
      </w:r>
      <w:r w:rsidRPr="00C679B4">
        <w:rPr>
          <w:rFonts w:eastAsia="Verdana"/>
        </w:rPr>
        <w:t>arade</w:t>
      </w:r>
      <w:r>
        <w:rPr>
          <w:rFonts w:eastAsia="Verdana"/>
        </w:rPr>
        <w:t>,</w:t>
      </w:r>
      <w:r w:rsidRPr="00C679B4">
        <w:rPr>
          <w:rFonts w:eastAsia="Verdana"/>
        </w:rPr>
        <w:t xml:space="preserve"> </w:t>
      </w:r>
      <w:r>
        <w:rPr>
          <w:rFonts w:eastAsia="Verdana"/>
        </w:rPr>
        <w:t>citing considerations of</w:t>
      </w:r>
      <w:r w:rsidRPr="00C679B4">
        <w:rPr>
          <w:rFonts w:eastAsia="Verdana"/>
        </w:rPr>
        <w:t xml:space="preserve"> public order and referring to the laws on the protection of the morality of minors and banning</w:t>
      </w:r>
      <w:r>
        <w:rPr>
          <w:rFonts w:eastAsia="Verdana"/>
        </w:rPr>
        <w:t xml:space="preserve"> the dissemination </w:t>
      </w:r>
      <w:r w:rsidRPr="00C679B4">
        <w:rPr>
          <w:rFonts w:eastAsia="Verdana"/>
        </w:rPr>
        <w:t>among minors</w:t>
      </w:r>
      <w:r>
        <w:rPr>
          <w:rFonts w:eastAsia="Verdana"/>
        </w:rPr>
        <w:t xml:space="preserve"> of</w:t>
      </w:r>
      <w:r w:rsidRPr="00C679B4">
        <w:rPr>
          <w:rFonts w:eastAsia="Verdana"/>
        </w:rPr>
        <w:t xml:space="preserve"> propaganda o</w:t>
      </w:r>
      <w:r>
        <w:rPr>
          <w:rFonts w:eastAsia="Verdana"/>
        </w:rPr>
        <w:t>n</w:t>
      </w:r>
      <w:r w:rsidRPr="00C679B4">
        <w:rPr>
          <w:rFonts w:eastAsia="Verdana"/>
        </w:rPr>
        <w:t xml:space="preserve"> non-traditional sexual relations.</w:t>
      </w:r>
    </w:p>
    <w:p w14:paraId="2EA4B83E" w14:textId="755098B0" w:rsidR="00192C8E" w:rsidRPr="00C679B4" w:rsidRDefault="00192C8E" w:rsidP="00192C8E">
      <w:pPr>
        <w:pStyle w:val="SingleTxtG"/>
      </w:pPr>
      <w:r w:rsidRPr="00C679B4">
        <w:t>2.3</w:t>
      </w:r>
      <w:r w:rsidRPr="00C679B4">
        <w:tab/>
        <w:t xml:space="preserve">On 29 April 2014, the author lodged a complaint with </w:t>
      </w:r>
      <w:proofErr w:type="spellStart"/>
      <w:r w:rsidRPr="00C679B4">
        <w:t>Golovinsky</w:t>
      </w:r>
      <w:proofErr w:type="spellEnd"/>
      <w:r w:rsidRPr="00C679B4">
        <w:t xml:space="preserve"> District</w:t>
      </w:r>
      <w:r>
        <w:t xml:space="preserve"> Court</w:t>
      </w:r>
      <w:r w:rsidRPr="00C679B4">
        <w:t xml:space="preserve"> </w:t>
      </w:r>
      <w:r>
        <w:t xml:space="preserve">in </w:t>
      </w:r>
      <w:r w:rsidRPr="00C679B4">
        <w:t xml:space="preserve">Moscow challenging the decision of the </w:t>
      </w:r>
      <w:r w:rsidRPr="00AE12BA">
        <w:t xml:space="preserve">Lenin District </w:t>
      </w:r>
      <w:r>
        <w:t>a</w:t>
      </w:r>
      <w:r w:rsidRPr="00AE12BA">
        <w:t>dministrati</w:t>
      </w:r>
      <w:r>
        <w:t>ve authority</w:t>
      </w:r>
      <w:r w:rsidRPr="00AE12BA">
        <w:t>.</w:t>
      </w:r>
      <w:r w:rsidRPr="00C679B4">
        <w:t xml:space="preserve"> He argued that the Russian </w:t>
      </w:r>
      <w:r w:rsidRPr="00191536">
        <w:rPr>
          <w:rFonts w:eastAsia="MS Mincho"/>
        </w:rPr>
        <w:t>legislation</w:t>
      </w:r>
      <w:r w:rsidRPr="00C679B4">
        <w:t xml:space="preserve"> d</w:t>
      </w:r>
      <w:r>
        <w:t>id</w:t>
      </w:r>
      <w:r w:rsidRPr="00C679B4">
        <w:t xml:space="preserve"> not impose a blanket ban on holding peaceful assembl</w:t>
      </w:r>
      <w:r>
        <w:t>ies,</w:t>
      </w:r>
      <w:r w:rsidRPr="00C679B4">
        <w:t xml:space="preserve"> and that if the authorities</w:t>
      </w:r>
      <w:r>
        <w:t xml:space="preserve"> had</w:t>
      </w:r>
      <w:r w:rsidRPr="00C679B4">
        <w:t xml:space="preserve"> believe</w:t>
      </w:r>
      <w:r>
        <w:t>d</w:t>
      </w:r>
      <w:r w:rsidRPr="00C679B4">
        <w:t xml:space="preserve"> the </w:t>
      </w:r>
      <w:r>
        <w:t>pride p</w:t>
      </w:r>
      <w:r w:rsidRPr="00C679B4">
        <w:t xml:space="preserve">arade might trigger mass riots, they should </w:t>
      </w:r>
      <w:r>
        <w:t xml:space="preserve">have </w:t>
      </w:r>
      <w:r w:rsidRPr="00C679B4">
        <w:t>provide</w:t>
      </w:r>
      <w:r>
        <w:t>d</w:t>
      </w:r>
      <w:r w:rsidRPr="00C679B4">
        <w:t xml:space="preserve"> police protection for its participants or </w:t>
      </w:r>
      <w:r>
        <w:t xml:space="preserve">an </w:t>
      </w:r>
      <w:r w:rsidRPr="00C679B4">
        <w:t xml:space="preserve">alternative route. He also argued that the decision was discriminatory. The author referred to </w:t>
      </w:r>
      <w:r w:rsidRPr="00C72A29">
        <w:rPr>
          <w:i/>
          <w:color w:val="000000"/>
          <w:lang w:val="en-US"/>
        </w:rPr>
        <w:t>Alekseyev</w:t>
      </w:r>
      <w:r w:rsidRPr="006039B7">
        <w:rPr>
          <w:i/>
        </w:rPr>
        <w:t xml:space="preserve"> v. Russia</w:t>
      </w:r>
      <w:r w:rsidRPr="00192C8E">
        <w:rPr>
          <w:rStyle w:val="FootnoteReference"/>
        </w:rPr>
        <w:footnoteReference w:id="4"/>
      </w:r>
      <w:r w:rsidRPr="00192C8E">
        <w:rPr>
          <w:rStyle w:val="FootnoteReference"/>
        </w:rPr>
        <w:t xml:space="preserve"> </w:t>
      </w:r>
      <w:r w:rsidRPr="00C679B4">
        <w:t>and to the Committee</w:t>
      </w:r>
      <w:r>
        <w:t>’</w:t>
      </w:r>
      <w:r w:rsidRPr="00C679B4">
        <w:t xml:space="preserve">s Views in </w:t>
      </w:r>
      <w:r>
        <w:t xml:space="preserve">the </w:t>
      </w:r>
      <w:r w:rsidRPr="00C679B4">
        <w:t xml:space="preserve">case of </w:t>
      </w:r>
      <w:proofErr w:type="spellStart"/>
      <w:r w:rsidRPr="006039B7">
        <w:rPr>
          <w:i/>
        </w:rPr>
        <w:t>Fedotova</w:t>
      </w:r>
      <w:proofErr w:type="spellEnd"/>
      <w:r w:rsidRPr="006039B7">
        <w:rPr>
          <w:i/>
        </w:rPr>
        <w:t xml:space="preserve"> v. Russia</w:t>
      </w:r>
      <w:r>
        <w:rPr>
          <w:i/>
        </w:rPr>
        <w:t>n Federation</w:t>
      </w:r>
      <w:r w:rsidRPr="00192C8E">
        <w:rPr>
          <w:rStyle w:val="FootnoteReference"/>
        </w:rPr>
        <w:footnoteReference w:id="5"/>
      </w:r>
      <w:r w:rsidRPr="00192C8E">
        <w:rPr>
          <w:rStyle w:val="FootnoteReference"/>
        </w:rPr>
        <w:t xml:space="preserve"> </w:t>
      </w:r>
      <w:r w:rsidRPr="00C679B4">
        <w:t>in support of his argument.</w:t>
      </w:r>
    </w:p>
    <w:p w14:paraId="003CE224" w14:textId="6C6FC896" w:rsidR="00192C8E" w:rsidRDefault="00192C8E" w:rsidP="00192C8E">
      <w:pPr>
        <w:pStyle w:val="SingleTxtG"/>
        <w:rPr>
          <w:rFonts w:eastAsia="Verdana"/>
        </w:rPr>
      </w:pPr>
      <w:r w:rsidRPr="00C679B4">
        <w:rPr>
          <w:rFonts w:eastAsia="Verdana"/>
        </w:rPr>
        <w:t>2.4</w:t>
      </w:r>
      <w:r w:rsidRPr="00C679B4">
        <w:rPr>
          <w:rFonts w:eastAsia="Verdana"/>
        </w:rPr>
        <w:tab/>
        <w:t xml:space="preserve">On 20 May 2014, </w:t>
      </w:r>
      <w:proofErr w:type="spellStart"/>
      <w:r w:rsidRPr="00C679B4">
        <w:rPr>
          <w:rFonts w:eastAsia="Verdana"/>
        </w:rPr>
        <w:t>Golovinsky</w:t>
      </w:r>
      <w:proofErr w:type="spellEnd"/>
      <w:r w:rsidRPr="00C679B4">
        <w:rPr>
          <w:rFonts w:eastAsia="Verdana"/>
        </w:rPr>
        <w:t xml:space="preserve"> District</w:t>
      </w:r>
      <w:r>
        <w:rPr>
          <w:rFonts w:eastAsia="Verdana"/>
        </w:rPr>
        <w:t xml:space="preserve"> Court</w:t>
      </w:r>
      <w:r w:rsidRPr="00C679B4">
        <w:rPr>
          <w:rFonts w:eastAsia="Verdana"/>
        </w:rPr>
        <w:t xml:space="preserve"> rejected the </w:t>
      </w:r>
      <w:r>
        <w:rPr>
          <w:rFonts w:eastAsia="Verdana"/>
        </w:rPr>
        <w:t>appeal</w:t>
      </w:r>
      <w:r w:rsidRPr="00C679B4">
        <w:rPr>
          <w:rFonts w:eastAsia="Verdana"/>
        </w:rPr>
        <w:t xml:space="preserve"> and maintained the decision of the Lenin District </w:t>
      </w:r>
      <w:r>
        <w:rPr>
          <w:rFonts w:eastAsia="Verdana"/>
        </w:rPr>
        <w:t>a</w:t>
      </w:r>
      <w:r w:rsidRPr="00C679B4">
        <w:rPr>
          <w:rFonts w:eastAsia="Verdana"/>
        </w:rPr>
        <w:t>dministrati</w:t>
      </w:r>
      <w:r>
        <w:rPr>
          <w:rFonts w:eastAsia="Verdana"/>
        </w:rPr>
        <w:t>ve authority</w:t>
      </w:r>
      <w:r w:rsidRPr="00C679B4">
        <w:rPr>
          <w:rFonts w:eastAsia="Verdana"/>
        </w:rPr>
        <w:t>. On 28 June 2014, the author appealed to Moscow City Court</w:t>
      </w:r>
      <w:r>
        <w:rPr>
          <w:rFonts w:eastAsia="Verdana"/>
        </w:rPr>
        <w:t>, which</w:t>
      </w:r>
      <w:r w:rsidRPr="00C679B4">
        <w:rPr>
          <w:rFonts w:eastAsia="Verdana"/>
        </w:rPr>
        <w:t xml:space="preserve"> rejected the appeal on 18 August 2014. On 6 December 2014, he lodged a cassation appeal against the lower courts</w:t>
      </w:r>
      <w:r>
        <w:rPr>
          <w:rFonts w:eastAsia="Verdana"/>
        </w:rPr>
        <w:t>’</w:t>
      </w:r>
      <w:r w:rsidRPr="00C679B4">
        <w:rPr>
          <w:rFonts w:eastAsia="Verdana"/>
        </w:rPr>
        <w:t xml:space="preserve"> decisions with the Presidium of Moscow City Court, which was rejected on 16 December 2014</w:t>
      </w:r>
      <w:r w:rsidR="00A63DB3">
        <w:rPr>
          <w:rFonts w:eastAsia="Verdana"/>
        </w:rPr>
        <w:t>.</w:t>
      </w:r>
    </w:p>
    <w:p w14:paraId="3ABC3AB9" w14:textId="77777777" w:rsidR="00192C8E" w:rsidRPr="00B54943" w:rsidRDefault="00192C8E" w:rsidP="00192C8E">
      <w:pPr>
        <w:pStyle w:val="H23G"/>
        <w:rPr>
          <w:rFonts w:eastAsia="Verdana"/>
        </w:rPr>
      </w:pPr>
      <w:r>
        <w:rPr>
          <w:rFonts w:eastAsia="Verdana"/>
        </w:rPr>
        <w:tab/>
      </w:r>
      <w:r>
        <w:rPr>
          <w:rFonts w:eastAsia="Verdana"/>
        </w:rPr>
        <w:tab/>
        <w:t>C</w:t>
      </w:r>
      <w:r w:rsidRPr="00B54943">
        <w:rPr>
          <w:rFonts w:eastAsia="Verdana"/>
        </w:rPr>
        <w:t>omplaint</w:t>
      </w:r>
    </w:p>
    <w:p w14:paraId="2A71E1BC" w14:textId="77777777" w:rsidR="004F0165" w:rsidRDefault="00192C8E" w:rsidP="00192C8E">
      <w:pPr>
        <w:pStyle w:val="SingleTxtG"/>
        <w:rPr>
          <w:rFonts w:eastAsia="Verdana"/>
        </w:rPr>
      </w:pPr>
      <w:r>
        <w:rPr>
          <w:rFonts w:eastAsia="Verdana"/>
        </w:rPr>
        <w:t>3.1</w:t>
      </w:r>
      <w:r>
        <w:rPr>
          <w:rFonts w:eastAsia="Verdana"/>
        </w:rPr>
        <w:tab/>
      </w:r>
      <w:r w:rsidRPr="00C679B4">
        <w:rPr>
          <w:rFonts w:eastAsia="Verdana"/>
        </w:rPr>
        <w:t xml:space="preserve">The author </w:t>
      </w:r>
      <w:r>
        <w:rPr>
          <w:rFonts w:eastAsia="Verdana"/>
        </w:rPr>
        <w:t>claims</w:t>
      </w:r>
      <w:r w:rsidRPr="00C679B4">
        <w:rPr>
          <w:rFonts w:eastAsia="Verdana"/>
        </w:rPr>
        <w:t xml:space="preserve"> a violation of his rights under article 21 of the Covenant, because the authorities clearly interfered with his right to peaceful assembly by refusing permission to hold the </w:t>
      </w:r>
      <w:r>
        <w:rPr>
          <w:rFonts w:eastAsia="Verdana"/>
        </w:rPr>
        <w:t>g</w:t>
      </w:r>
      <w:r w:rsidRPr="00C679B4">
        <w:rPr>
          <w:rFonts w:eastAsia="Verdana"/>
        </w:rPr>
        <w:t xml:space="preserve">ay </w:t>
      </w:r>
      <w:r>
        <w:rPr>
          <w:rFonts w:eastAsia="Verdana"/>
        </w:rPr>
        <w:t>pride p</w:t>
      </w:r>
      <w:r w:rsidRPr="00C679B4">
        <w:rPr>
          <w:rFonts w:eastAsia="Verdana"/>
        </w:rPr>
        <w:t>arade.</w:t>
      </w:r>
    </w:p>
    <w:p w14:paraId="522DCC60" w14:textId="77777777" w:rsidR="004F0165" w:rsidRDefault="00192C8E" w:rsidP="00192C8E">
      <w:pPr>
        <w:pStyle w:val="SingleTxtG"/>
        <w:rPr>
          <w:rFonts w:eastAsia="Verdana"/>
        </w:rPr>
      </w:pPr>
      <w:r w:rsidRPr="00C679B4">
        <w:rPr>
          <w:rFonts w:eastAsia="Verdana"/>
        </w:rPr>
        <w:t>3.2</w:t>
      </w:r>
      <w:r w:rsidRPr="00C679B4">
        <w:rPr>
          <w:rFonts w:eastAsia="Verdana"/>
        </w:rPr>
        <w:tab/>
        <w:t xml:space="preserve">The author </w:t>
      </w:r>
      <w:r>
        <w:rPr>
          <w:rFonts w:eastAsia="Verdana"/>
        </w:rPr>
        <w:t>also claims</w:t>
      </w:r>
      <w:r w:rsidRPr="00C679B4">
        <w:rPr>
          <w:rFonts w:eastAsia="Verdana"/>
        </w:rPr>
        <w:t xml:space="preserve"> a violation of article 26</w:t>
      </w:r>
      <w:r>
        <w:rPr>
          <w:rFonts w:eastAsia="Verdana"/>
        </w:rPr>
        <w:t>, read</w:t>
      </w:r>
      <w:r w:rsidRPr="00C679B4">
        <w:rPr>
          <w:rFonts w:eastAsia="Verdana"/>
        </w:rPr>
        <w:t xml:space="preserve"> in conjunction with article 21 of the Covenant, </w:t>
      </w:r>
      <w:r>
        <w:rPr>
          <w:rFonts w:eastAsia="Verdana"/>
        </w:rPr>
        <w:t>owing</w:t>
      </w:r>
      <w:r w:rsidRPr="00C679B4">
        <w:rPr>
          <w:rFonts w:eastAsia="Verdana"/>
        </w:rPr>
        <w:t xml:space="preserve"> to the discriminatory grounds for the refusal to hold the </w:t>
      </w:r>
      <w:r>
        <w:rPr>
          <w:rFonts w:eastAsia="Verdana"/>
        </w:rPr>
        <w:t>p</w:t>
      </w:r>
      <w:r w:rsidRPr="00C679B4">
        <w:rPr>
          <w:rFonts w:eastAsia="Verdana"/>
        </w:rPr>
        <w:t xml:space="preserve">arade. Reference to the federal law banning </w:t>
      </w:r>
      <w:r>
        <w:rPr>
          <w:rFonts w:eastAsia="Verdana"/>
        </w:rPr>
        <w:t xml:space="preserve">the dissemination </w:t>
      </w:r>
      <w:r w:rsidRPr="00C679B4">
        <w:rPr>
          <w:rFonts w:eastAsia="Verdana"/>
        </w:rPr>
        <w:t xml:space="preserve">among minors </w:t>
      </w:r>
      <w:r>
        <w:rPr>
          <w:rFonts w:eastAsia="Verdana"/>
        </w:rPr>
        <w:t xml:space="preserve">of </w:t>
      </w:r>
      <w:r w:rsidRPr="00C679B4">
        <w:rPr>
          <w:rFonts w:eastAsia="Verdana"/>
        </w:rPr>
        <w:t xml:space="preserve">propaganda of non-traditional sexual relations suggests that the authorities would not allow any public events </w:t>
      </w:r>
      <w:r>
        <w:rPr>
          <w:rFonts w:eastAsia="Verdana"/>
        </w:rPr>
        <w:t>to be held by</w:t>
      </w:r>
      <w:r w:rsidRPr="00C679B4">
        <w:rPr>
          <w:rFonts w:eastAsia="Verdana"/>
        </w:rPr>
        <w:t xml:space="preserve"> sexual minorities </w:t>
      </w:r>
      <w:r>
        <w:rPr>
          <w:rFonts w:eastAsia="Verdana"/>
        </w:rPr>
        <w:t>owing</w:t>
      </w:r>
      <w:r w:rsidRPr="00C679B4">
        <w:rPr>
          <w:rFonts w:eastAsia="Verdana"/>
        </w:rPr>
        <w:t xml:space="preserve"> to </w:t>
      </w:r>
      <w:r>
        <w:rPr>
          <w:rFonts w:eastAsia="Verdana"/>
        </w:rPr>
        <w:t>opposition</w:t>
      </w:r>
      <w:r w:rsidRPr="00C679B4">
        <w:rPr>
          <w:rFonts w:eastAsia="Verdana"/>
        </w:rPr>
        <w:t xml:space="preserve"> </w:t>
      </w:r>
      <w:r>
        <w:rPr>
          <w:rFonts w:eastAsia="Verdana"/>
        </w:rPr>
        <w:t>from</w:t>
      </w:r>
      <w:r w:rsidRPr="00C679B4">
        <w:rPr>
          <w:rFonts w:eastAsia="Verdana"/>
        </w:rPr>
        <w:t xml:space="preserve"> the majority in society and the necessity to protect the morality of minors. The authorities could not demonstrate any objective and reasonable justification for the different treatment </w:t>
      </w:r>
      <w:r>
        <w:rPr>
          <w:rFonts w:eastAsia="Verdana"/>
        </w:rPr>
        <w:t>deriving from</w:t>
      </w:r>
      <w:r w:rsidRPr="00C679B4">
        <w:rPr>
          <w:rFonts w:eastAsia="Verdana"/>
        </w:rPr>
        <w:t xml:space="preserve"> </w:t>
      </w:r>
      <w:r>
        <w:rPr>
          <w:rFonts w:eastAsia="Verdana"/>
        </w:rPr>
        <w:t xml:space="preserve">the </w:t>
      </w:r>
      <w:r w:rsidRPr="00C679B4">
        <w:rPr>
          <w:rFonts w:eastAsia="Verdana"/>
        </w:rPr>
        <w:t>sexual orientation of the participants</w:t>
      </w:r>
      <w:r>
        <w:rPr>
          <w:rFonts w:eastAsia="Verdana"/>
        </w:rPr>
        <w:t xml:space="preserve"> in, and the </w:t>
      </w:r>
      <w:r w:rsidRPr="00C679B4">
        <w:rPr>
          <w:rFonts w:eastAsia="Verdana"/>
        </w:rPr>
        <w:t>beneficiaries of</w:t>
      </w:r>
      <w:r>
        <w:rPr>
          <w:rFonts w:eastAsia="Verdana"/>
        </w:rPr>
        <w:t>,</w:t>
      </w:r>
      <w:r w:rsidRPr="00C679B4">
        <w:rPr>
          <w:rFonts w:eastAsia="Verdana"/>
        </w:rPr>
        <w:t xml:space="preserve"> the </w:t>
      </w:r>
      <w:r>
        <w:rPr>
          <w:rFonts w:eastAsia="Verdana"/>
        </w:rPr>
        <w:t>p</w:t>
      </w:r>
      <w:r w:rsidRPr="00C679B4">
        <w:rPr>
          <w:rFonts w:eastAsia="Verdana"/>
        </w:rPr>
        <w:t>arade and the ideas</w:t>
      </w:r>
      <w:r>
        <w:rPr>
          <w:rFonts w:eastAsia="Verdana"/>
        </w:rPr>
        <w:t xml:space="preserve"> the public event </w:t>
      </w:r>
      <w:r w:rsidRPr="00C679B4">
        <w:rPr>
          <w:rFonts w:eastAsia="Verdana"/>
        </w:rPr>
        <w:t xml:space="preserve">was </w:t>
      </w:r>
      <w:r>
        <w:rPr>
          <w:rFonts w:eastAsia="Verdana"/>
        </w:rPr>
        <w:t>aimed</w:t>
      </w:r>
      <w:r w:rsidRPr="00C679B4">
        <w:rPr>
          <w:rFonts w:eastAsia="Verdana"/>
        </w:rPr>
        <w:t xml:space="preserve"> </w:t>
      </w:r>
      <w:r>
        <w:rPr>
          <w:rFonts w:eastAsia="Verdana"/>
        </w:rPr>
        <w:t>at</w:t>
      </w:r>
      <w:r w:rsidRPr="00C679B4">
        <w:rPr>
          <w:rFonts w:eastAsia="Verdana"/>
        </w:rPr>
        <w:t xml:space="preserve"> promot</w:t>
      </w:r>
      <w:r>
        <w:rPr>
          <w:rFonts w:eastAsia="Verdana"/>
        </w:rPr>
        <w:t>ing</w:t>
      </w:r>
      <w:r w:rsidRPr="00C679B4">
        <w:rPr>
          <w:rFonts w:eastAsia="Verdana"/>
        </w:rPr>
        <w:t>.</w:t>
      </w:r>
    </w:p>
    <w:p w14:paraId="400935A5" w14:textId="6DEDADB4" w:rsidR="00192C8E" w:rsidRPr="00AA5533" w:rsidRDefault="00192C8E" w:rsidP="00192C8E">
      <w:pPr>
        <w:pStyle w:val="H23G"/>
      </w:pPr>
      <w:r>
        <w:tab/>
      </w:r>
      <w:r>
        <w:tab/>
      </w:r>
      <w:r w:rsidRPr="00AA5533">
        <w:t>State party</w:t>
      </w:r>
      <w:r>
        <w:t>’</w:t>
      </w:r>
      <w:r w:rsidRPr="00AA5533">
        <w:t xml:space="preserve">s </w:t>
      </w:r>
      <w:r>
        <w:t xml:space="preserve">observations </w:t>
      </w:r>
      <w:r w:rsidRPr="00AA5533">
        <w:t xml:space="preserve">on admissibility </w:t>
      </w:r>
      <w:r>
        <w:t>and the merits</w:t>
      </w:r>
    </w:p>
    <w:p w14:paraId="3C5BD4DB" w14:textId="77777777" w:rsidR="00192C8E" w:rsidRDefault="00192C8E" w:rsidP="00192C8E">
      <w:pPr>
        <w:pStyle w:val="SingleTxtG"/>
      </w:pPr>
      <w:r>
        <w:t>4.1</w:t>
      </w:r>
      <w:r>
        <w:tab/>
        <w:t xml:space="preserve">In a note </w:t>
      </w:r>
      <w:proofErr w:type="spellStart"/>
      <w:r>
        <w:t>verbale</w:t>
      </w:r>
      <w:proofErr w:type="spellEnd"/>
      <w:r>
        <w:t xml:space="preserve"> dated 6 May </w:t>
      </w:r>
      <w:r w:rsidRPr="008D1724">
        <w:t>201</w:t>
      </w:r>
      <w:r>
        <w:t>6</w:t>
      </w:r>
      <w:r w:rsidRPr="004C5FE5">
        <w:t xml:space="preserve">, </w:t>
      </w:r>
      <w:r w:rsidRPr="006304A4">
        <w:t xml:space="preserve">the State party </w:t>
      </w:r>
      <w:r>
        <w:t xml:space="preserve">challenged the admissibility of the communication. It </w:t>
      </w:r>
      <w:r w:rsidRPr="00F308AF">
        <w:t>claim</w:t>
      </w:r>
      <w:r>
        <w:t>s</w:t>
      </w:r>
      <w:r w:rsidRPr="00F308AF">
        <w:t xml:space="preserve"> that in order to exhaust all domestic remedies</w:t>
      </w:r>
      <w:r>
        <w:t>,</w:t>
      </w:r>
      <w:r w:rsidRPr="00F308AF">
        <w:t xml:space="preserve"> </w:t>
      </w:r>
      <w:r>
        <w:t>following the first cassation appeal at the regional level to the Presidium of Moscow City Court,</w:t>
      </w:r>
      <w:r w:rsidRPr="00F308AF">
        <w:t xml:space="preserve"> the author </w:t>
      </w:r>
      <w:r>
        <w:t>should</w:t>
      </w:r>
      <w:r w:rsidRPr="00F308AF">
        <w:t xml:space="preserve"> have </w:t>
      </w:r>
      <w:r>
        <w:t>lodged a cassation</w:t>
      </w:r>
      <w:r w:rsidRPr="00F308AF">
        <w:t xml:space="preserve"> appeal </w:t>
      </w:r>
      <w:r>
        <w:t>also to</w:t>
      </w:r>
      <w:r w:rsidRPr="00F308AF">
        <w:t xml:space="preserve"> the Supreme Court</w:t>
      </w:r>
      <w:r>
        <w:t xml:space="preserve">, </w:t>
      </w:r>
      <w:r w:rsidRPr="00F308AF">
        <w:t xml:space="preserve">which </w:t>
      </w:r>
      <w:r>
        <w:t xml:space="preserve">the State party claims </w:t>
      </w:r>
      <w:r w:rsidRPr="00F308AF">
        <w:t xml:space="preserve">is an effective remedy according to the decision of the European Court of Human Rights </w:t>
      </w:r>
      <w:r>
        <w:t xml:space="preserve">in </w:t>
      </w:r>
      <w:proofErr w:type="spellStart"/>
      <w:r w:rsidRPr="00F308AF">
        <w:rPr>
          <w:i/>
        </w:rPr>
        <w:t>Abramyan</w:t>
      </w:r>
      <w:proofErr w:type="spellEnd"/>
      <w:r w:rsidRPr="00F308AF">
        <w:rPr>
          <w:i/>
        </w:rPr>
        <w:t xml:space="preserve"> and others v. Russia</w:t>
      </w:r>
      <w:r>
        <w:t>.</w:t>
      </w:r>
      <w:r w:rsidRPr="00192C8E">
        <w:rPr>
          <w:rStyle w:val="FootnoteReference"/>
        </w:rPr>
        <w:footnoteReference w:id="6"/>
      </w:r>
      <w:r w:rsidRPr="00192C8E">
        <w:rPr>
          <w:rStyle w:val="FootnoteReference"/>
        </w:rPr>
        <w:t xml:space="preserve"> </w:t>
      </w:r>
      <w:r>
        <w:t xml:space="preserve">The State party </w:t>
      </w:r>
      <w:r w:rsidRPr="006304A4">
        <w:t>request</w:t>
      </w:r>
      <w:r>
        <w:t>s</w:t>
      </w:r>
      <w:r w:rsidRPr="006304A4">
        <w:t xml:space="preserve"> that the communication be declared </w:t>
      </w:r>
      <w:r w:rsidRPr="007C06FC">
        <w:t xml:space="preserve">inadmissible </w:t>
      </w:r>
      <w:r>
        <w:t>for non-exhaustion of domestic remedies.</w:t>
      </w:r>
    </w:p>
    <w:p w14:paraId="06DCC94C" w14:textId="77777777" w:rsidR="004F0165" w:rsidRDefault="00192C8E" w:rsidP="00192C8E">
      <w:pPr>
        <w:pStyle w:val="SingleTxtG"/>
      </w:pPr>
      <w:r>
        <w:t>4.2</w:t>
      </w:r>
      <w:r>
        <w:tab/>
        <w:t xml:space="preserve">In a note </w:t>
      </w:r>
      <w:proofErr w:type="spellStart"/>
      <w:r>
        <w:t>verbale</w:t>
      </w:r>
      <w:proofErr w:type="spellEnd"/>
      <w:r>
        <w:t xml:space="preserve"> dated 23 May 2016, the State party submitted its observations on the merits of the communication. It</w:t>
      </w:r>
      <w:r w:rsidRPr="00F308AF">
        <w:t xml:space="preserve"> note</w:t>
      </w:r>
      <w:r>
        <w:t>s</w:t>
      </w:r>
      <w:r w:rsidRPr="00F308AF">
        <w:t xml:space="preserve"> that the decision of the court of first instance was guided by article 31 of the Constitution, </w:t>
      </w:r>
      <w:r>
        <w:t>which</w:t>
      </w:r>
      <w:r w:rsidRPr="00F308AF">
        <w:t xml:space="preserve"> guarantee</w:t>
      </w:r>
      <w:r>
        <w:t>s</w:t>
      </w:r>
      <w:r w:rsidRPr="00F308AF">
        <w:t xml:space="preserve"> the right of peaceful assembly</w:t>
      </w:r>
      <w:r w:rsidRPr="00F308AF">
        <w:rPr>
          <w:lang w:val="bg-BG"/>
        </w:rPr>
        <w:t>,</w:t>
      </w:r>
      <w:r w:rsidRPr="00F308AF">
        <w:t xml:space="preserve"> which may be restricted with the aim of protecting morals, public health and the rights and </w:t>
      </w:r>
      <w:r w:rsidRPr="00F308AF">
        <w:lastRenderedPageBreak/>
        <w:t xml:space="preserve">freedoms of others. The State </w:t>
      </w:r>
      <w:r>
        <w:t>p</w:t>
      </w:r>
      <w:r w:rsidRPr="00F308AF">
        <w:t xml:space="preserve">arty further submits that such a provision was in accordance with article 20 (1) of the Universal Declaration of Human Rights, article 21 of the International Covenant on Civil and Political Rights and article 11 of the </w:t>
      </w:r>
      <w:r>
        <w:t>Convention for the Protection of Human Rights and Fundamental Freedoms (</w:t>
      </w:r>
      <w:r w:rsidRPr="00F308AF">
        <w:t>European Conve</w:t>
      </w:r>
      <w:r>
        <w:t>n</w:t>
      </w:r>
      <w:r w:rsidRPr="00F308AF">
        <w:t>tion on Human Rights</w:t>
      </w:r>
      <w:r>
        <w:t>)</w:t>
      </w:r>
      <w:r w:rsidRPr="00F308AF">
        <w:t>.</w:t>
      </w:r>
    </w:p>
    <w:p w14:paraId="1D84AFCC" w14:textId="42064DA0" w:rsidR="00192C8E" w:rsidRPr="00F308AF" w:rsidRDefault="00192C8E" w:rsidP="00192C8E">
      <w:pPr>
        <w:pStyle w:val="SingleTxtG"/>
      </w:pPr>
      <w:r>
        <w:t>4.3</w:t>
      </w:r>
      <w:r>
        <w:tab/>
        <w:t>In support, t</w:t>
      </w:r>
      <w:r w:rsidRPr="00F308AF">
        <w:t xml:space="preserve">he State </w:t>
      </w:r>
      <w:r>
        <w:t>p</w:t>
      </w:r>
      <w:r w:rsidRPr="00F308AF">
        <w:t>arty refers to article 21 of the Covenant and articles 10 (2) and 11 (2) of the European Conve</w:t>
      </w:r>
      <w:r>
        <w:t>n</w:t>
      </w:r>
      <w:r w:rsidRPr="00F308AF">
        <w:t>tion on Human Rights</w:t>
      </w:r>
      <w:r>
        <w:t>,</w:t>
      </w:r>
      <w:r w:rsidRPr="00192C8E">
        <w:rPr>
          <w:rStyle w:val="FootnoteReference"/>
        </w:rPr>
        <w:footnoteReference w:id="7"/>
      </w:r>
      <w:r w:rsidRPr="00192C8E">
        <w:rPr>
          <w:rStyle w:val="FootnoteReference"/>
        </w:rPr>
        <w:t xml:space="preserve"> </w:t>
      </w:r>
      <w:r w:rsidRPr="00F308AF">
        <w:t xml:space="preserve">providing that the rights of peaceful assembly may be restricted in conformity with the law and </w:t>
      </w:r>
      <w:r>
        <w:t>as</w:t>
      </w:r>
      <w:r w:rsidRPr="00F308AF">
        <w:t xml:space="preserve"> necessary in a democratic society in the </w:t>
      </w:r>
      <w:bookmarkStart w:id="0" w:name="_Hlk59273540"/>
      <w:r w:rsidRPr="00F308AF">
        <w:t>interests of national security or public safety, public order, the protection of public health or morals or the protection of the rights and freedoms of others. In this regard, the State party also refers to the Committee</w:t>
      </w:r>
      <w:r>
        <w:t>’</w:t>
      </w:r>
      <w:r w:rsidRPr="00F308AF">
        <w:t xml:space="preserve">s jurisprudence, notably </w:t>
      </w:r>
      <w:proofErr w:type="spellStart"/>
      <w:r w:rsidRPr="00F308AF">
        <w:rPr>
          <w:i/>
        </w:rPr>
        <w:t>Poliakov</w:t>
      </w:r>
      <w:proofErr w:type="spellEnd"/>
      <w:r w:rsidRPr="00F308AF">
        <w:rPr>
          <w:i/>
        </w:rPr>
        <w:t xml:space="preserve"> v. Belarus</w:t>
      </w:r>
      <w:r w:rsidRPr="00192C8E">
        <w:rPr>
          <w:rStyle w:val="FootnoteReference"/>
        </w:rPr>
        <w:footnoteReference w:id="8"/>
      </w:r>
      <w:r w:rsidRPr="00192C8E">
        <w:rPr>
          <w:rStyle w:val="FootnoteReference"/>
        </w:rPr>
        <w:t xml:space="preserve"> </w:t>
      </w:r>
      <w:r w:rsidRPr="00F308AF">
        <w:t xml:space="preserve">and </w:t>
      </w:r>
      <w:proofErr w:type="spellStart"/>
      <w:r w:rsidRPr="00F308AF">
        <w:rPr>
          <w:i/>
        </w:rPr>
        <w:t>Sekerko</w:t>
      </w:r>
      <w:proofErr w:type="spellEnd"/>
      <w:r w:rsidRPr="00F308AF">
        <w:rPr>
          <w:i/>
        </w:rPr>
        <w:t xml:space="preserve"> v. Belarus</w:t>
      </w:r>
      <w:r>
        <w:rPr>
          <w:iCs/>
        </w:rPr>
        <w:t>,</w:t>
      </w:r>
      <w:r w:rsidRPr="00192C8E">
        <w:rPr>
          <w:rStyle w:val="FootnoteReference"/>
        </w:rPr>
        <w:footnoteReference w:id="9"/>
      </w:r>
      <w:r w:rsidRPr="00192C8E">
        <w:rPr>
          <w:rStyle w:val="FootnoteReference"/>
        </w:rPr>
        <w:t xml:space="preserve"> </w:t>
      </w:r>
      <w:r w:rsidRPr="00F308AF">
        <w:t xml:space="preserve">as well as </w:t>
      </w:r>
      <w:r>
        <w:t>its g</w:t>
      </w:r>
      <w:r w:rsidRPr="00F308AF">
        <w:t xml:space="preserve">eneral </w:t>
      </w:r>
      <w:r>
        <w:t>c</w:t>
      </w:r>
      <w:r w:rsidRPr="00F308AF">
        <w:t xml:space="preserve">omment </w:t>
      </w:r>
      <w:r>
        <w:t xml:space="preserve">No. </w:t>
      </w:r>
      <w:r w:rsidRPr="00F308AF">
        <w:t>34</w:t>
      </w:r>
      <w:r>
        <w:t xml:space="preserve"> (2011).</w:t>
      </w:r>
    </w:p>
    <w:bookmarkEnd w:id="0"/>
    <w:p w14:paraId="0658F3B7" w14:textId="35283705" w:rsidR="00192C8E" w:rsidRPr="00F308AF" w:rsidRDefault="00192C8E" w:rsidP="00192C8E">
      <w:pPr>
        <w:pStyle w:val="SingleTxtG"/>
      </w:pPr>
      <w:r>
        <w:t>4.4</w:t>
      </w:r>
      <w:r>
        <w:tab/>
      </w:r>
      <w:r w:rsidRPr="00F308AF">
        <w:t xml:space="preserve">The State </w:t>
      </w:r>
      <w:r>
        <w:t>p</w:t>
      </w:r>
      <w:r w:rsidRPr="00F308AF">
        <w:t xml:space="preserve">arty further reiterates the facts of the case and notes that the aim of the </w:t>
      </w:r>
      <w:r>
        <w:t>g</w:t>
      </w:r>
      <w:r w:rsidRPr="00F308AF">
        <w:t xml:space="preserve">ay </w:t>
      </w:r>
      <w:r>
        <w:t>pride p</w:t>
      </w:r>
      <w:r w:rsidRPr="00F308AF">
        <w:t>arade</w:t>
      </w:r>
      <w:r>
        <w:t>,</w:t>
      </w:r>
      <w:r w:rsidRPr="00F308AF">
        <w:t xml:space="preserve"> according to the author</w:t>
      </w:r>
      <w:r>
        <w:t>,</w:t>
      </w:r>
      <w:r w:rsidRPr="00F308AF">
        <w:t xml:space="preserve"> was to </w:t>
      </w:r>
      <w:r>
        <w:t>draw</w:t>
      </w:r>
      <w:r w:rsidRPr="00F308AF">
        <w:t xml:space="preserve"> the </w:t>
      </w:r>
      <w:r>
        <w:t xml:space="preserve">attention of the </w:t>
      </w:r>
      <w:r w:rsidRPr="00F308AF">
        <w:t xml:space="preserve">public and authorities to the human rights of persons with </w:t>
      </w:r>
      <w:r>
        <w:t xml:space="preserve">a </w:t>
      </w:r>
      <w:r w:rsidRPr="00F308AF">
        <w:t>homosexual orientation, to discrimination and homophobia, fascism and xenophobia. However, the court concluded that the intention of the participants to organi</w:t>
      </w:r>
      <w:r>
        <w:t>z</w:t>
      </w:r>
      <w:r w:rsidRPr="00F308AF">
        <w:t xml:space="preserve">e a </w:t>
      </w:r>
      <w:r>
        <w:t>p</w:t>
      </w:r>
      <w:r w:rsidRPr="00F308AF">
        <w:t xml:space="preserve">arade calling for tolerance towards </w:t>
      </w:r>
      <w:r>
        <w:t>“</w:t>
      </w:r>
      <w:r w:rsidRPr="00F308AF">
        <w:t>sexual minorities</w:t>
      </w:r>
      <w:r>
        <w:t>”</w:t>
      </w:r>
      <w:r w:rsidRPr="00F308AF">
        <w:t xml:space="preserve">, which would take place in </w:t>
      </w:r>
      <w:r w:rsidRPr="00117CD1">
        <w:t xml:space="preserve">recreational </w:t>
      </w:r>
      <w:r>
        <w:t>areas used by</w:t>
      </w:r>
      <w:r w:rsidRPr="00117CD1">
        <w:t xml:space="preserve"> citizens with children and</w:t>
      </w:r>
      <w:r>
        <w:t xml:space="preserve"> near</w:t>
      </w:r>
      <w:r w:rsidRPr="00117CD1">
        <w:t xml:space="preserve"> educational institutions,</w:t>
      </w:r>
      <w:r w:rsidRPr="00F308AF">
        <w:t xml:space="preserve"> violate</w:t>
      </w:r>
      <w:r>
        <w:t>d</w:t>
      </w:r>
      <w:r w:rsidRPr="00F308AF">
        <w:t xml:space="preserve"> the restrictions prescribed by law. The decision to refuse </w:t>
      </w:r>
      <w:r>
        <w:t xml:space="preserve">to authorize </w:t>
      </w:r>
      <w:r w:rsidRPr="00F308AF">
        <w:t xml:space="preserve">the </w:t>
      </w:r>
      <w:r>
        <w:t>g</w:t>
      </w:r>
      <w:r w:rsidRPr="00F308AF">
        <w:t xml:space="preserve">ay </w:t>
      </w:r>
      <w:r>
        <w:t>pride p</w:t>
      </w:r>
      <w:r w:rsidRPr="00F308AF">
        <w:t>arade was taken by</w:t>
      </w:r>
      <w:r>
        <w:t xml:space="preserve"> the</w:t>
      </w:r>
      <w:r w:rsidRPr="00F308AF">
        <w:t xml:space="preserve"> Lenin District </w:t>
      </w:r>
      <w:r>
        <w:t>a</w:t>
      </w:r>
      <w:r w:rsidRPr="00F308AF">
        <w:t>dministrati</w:t>
      </w:r>
      <w:r>
        <w:t>ve authority</w:t>
      </w:r>
      <w:r w:rsidRPr="00F308AF">
        <w:t xml:space="preserve"> and confirmed by the first instance court </w:t>
      </w:r>
      <w:r>
        <w:t xml:space="preserve">on the </w:t>
      </w:r>
      <w:r w:rsidRPr="00F308AF">
        <w:t>bas</w:t>
      </w:r>
      <w:r>
        <w:t>is</w:t>
      </w:r>
      <w:r w:rsidRPr="00F308AF">
        <w:t xml:space="preserve"> o</w:t>
      </w:r>
      <w:r>
        <w:t>f</w:t>
      </w:r>
      <w:r w:rsidRPr="00F308AF">
        <w:t xml:space="preserve"> possible violations of </w:t>
      </w:r>
      <w:r>
        <w:t xml:space="preserve">Federal </w:t>
      </w:r>
      <w:r w:rsidRPr="00F308AF">
        <w:t>Law</w:t>
      </w:r>
      <w:r>
        <w:t xml:space="preserve"> No.</w:t>
      </w:r>
      <w:r w:rsidR="00995ABD">
        <w:t xml:space="preserve"> </w:t>
      </w:r>
      <w:r>
        <w:t>436 of 2010</w:t>
      </w:r>
      <w:r w:rsidRPr="00F308AF">
        <w:t xml:space="preserve"> on </w:t>
      </w:r>
      <w:r>
        <w:t>the p</w:t>
      </w:r>
      <w:r w:rsidRPr="00F308AF">
        <w:t xml:space="preserve">rotection of </w:t>
      </w:r>
      <w:r>
        <w:t>c</w:t>
      </w:r>
      <w:r w:rsidRPr="00F308AF">
        <w:t xml:space="preserve">hildren from </w:t>
      </w:r>
      <w:r>
        <w:t>i</w:t>
      </w:r>
      <w:r w:rsidRPr="00F308AF">
        <w:t xml:space="preserve">nformation </w:t>
      </w:r>
      <w:r>
        <w:t>h</w:t>
      </w:r>
      <w:r w:rsidRPr="00F308AF">
        <w:t xml:space="preserve">armful to their </w:t>
      </w:r>
      <w:r>
        <w:t>h</w:t>
      </w:r>
      <w:r w:rsidRPr="00F308AF">
        <w:t xml:space="preserve">ealth and </w:t>
      </w:r>
      <w:r>
        <w:t>d</w:t>
      </w:r>
      <w:r w:rsidRPr="00F308AF">
        <w:t xml:space="preserve">evelopment and </w:t>
      </w:r>
      <w:r>
        <w:t>of Federal</w:t>
      </w:r>
      <w:r w:rsidRPr="00F308AF">
        <w:t xml:space="preserve"> Law </w:t>
      </w:r>
      <w:r>
        <w:t xml:space="preserve">No. 124 of 1998 </w:t>
      </w:r>
      <w:r w:rsidRPr="00F308AF">
        <w:t xml:space="preserve">on the </w:t>
      </w:r>
      <w:r>
        <w:t>b</w:t>
      </w:r>
      <w:r w:rsidRPr="00F308AF">
        <w:t xml:space="preserve">asic </w:t>
      </w:r>
      <w:r>
        <w:t>g</w:t>
      </w:r>
      <w:r w:rsidRPr="00F308AF">
        <w:t xml:space="preserve">uarantees of the </w:t>
      </w:r>
      <w:r>
        <w:t>r</w:t>
      </w:r>
      <w:r w:rsidRPr="00F308AF">
        <w:t xml:space="preserve">ights of the </w:t>
      </w:r>
      <w:r>
        <w:t>c</w:t>
      </w:r>
      <w:r w:rsidRPr="00F308AF">
        <w:t>hil</w:t>
      </w:r>
      <w:r>
        <w:t>d</w:t>
      </w:r>
      <w:r w:rsidRPr="00F308AF">
        <w:t xml:space="preserve">. </w:t>
      </w:r>
      <w:r>
        <w:t>By applying the provisions of t</w:t>
      </w:r>
      <w:r w:rsidRPr="00F308AF">
        <w:t>hese laws</w:t>
      </w:r>
      <w:r>
        <w:t>, the court</w:t>
      </w:r>
      <w:r w:rsidRPr="00F308AF">
        <w:t xml:space="preserve"> aim</w:t>
      </w:r>
      <w:r>
        <w:t>ed</w:t>
      </w:r>
      <w:r w:rsidRPr="00F308AF">
        <w:t xml:space="preserve"> </w:t>
      </w:r>
      <w:r>
        <w:t>to</w:t>
      </w:r>
      <w:r w:rsidRPr="00F308AF">
        <w:t xml:space="preserve"> prevent the dissemination of information </w:t>
      </w:r>
      <w:r>
        <w:t xml:space="preserve">that could lead to minors, as </w:t>
      </w:r>
      <w:r w:rsidRPr="00F308AF">
        <w:t>persons deprived of the opportunity to evaluate critically and independently such information</w:t>
      </w:r>
      <w:r>
        <w:t>, forming a</w:t>
      </w:r>
      <w:r w:rsidRPr="00F308AF">
        <w:t xml:space="preserve"> view of </w:t>
      </w:r>
      <w:r>
        <w:t xml:space="preserve">traditional and </w:t>
      </w:r>
      <w:r w:rsidRPr="00F308AF">
        <w:t xml:space="preserve">non-traditional marriage relations </w:t>
      </w:r>
      <w:r>
        <w:t>as having socially equal value</w:t>
      </w:r>
      <w:r w:rsidRPr="00F308AF">
        <w:t>. Children</w:t>
      </w:r>
      <w:r>
        <w:t>,</w:t>
      </w:r>
      <w:r w:rsidRPr="00F308AF">
        <w:t xml:space="preserve"> due to their physical and intellectual </w:t>
      </w:r>
      <w:r>
        <w:t xml:space="preserve">immaturity, need special protection and care, including appropriate legal protection. </w:t>
      </w:r>
      <w:r w:rsidRPr="00F308AF">
        <w:t xml:space="preserve">In its decision, the court took into consideration that several educational and school institutions were located in the immediate vicinity of the route of the </w:t>
      </w:r>
      <w:r>
        <w:t>p</w:t>
      </w:r>
      <w:r w:rsidRPr="00F308AF">
        <w:t xml:space="preserve">arade. The </w:t>
      </w:r>
      <w:r>
        <w:t xml:space="preserve">purpose of the </w:t>
      </w:r>
      <w:r w:rsidRPr="00F308AF">
        <w:t xml:space="preserve">court decision </w:t>
      </w:r>
      <w:r>
        <w:t>was</w:t>
      </w:r>
      <w:r w:rsidRPr="00F308AF">
        <w:t xml:space="preserve"> </w:t>
      </w:r>
      <w:r>
        <w:t xml:space="preserve">to </w:t>
      </w:r>
      <w:r w:rsidRPr="00F308AF">
        <w:t>protect minors from information, propaganda and agitation harmful to their health</w:t>
      </w:r>
      <w:r>
        <w:t xml:space="preserve"> and</w:t>
      </w:r>
      <w:r w:rsidRPr="00F308AF">
        <w:t xml:space="preserve"> moral and spiritual development.</w:t>
      </w:r>
    </w:p>
    <w:p w14:paraId="6052912A" w14:textId="1D9FE364" w:rsidR="004F0165" w:rsidRDefault="00192C8E" w:rsidP="00192C8E">
      <w:pPr>
        <w:pStyle w:val="SingleTxtG"/>
      </w:pPr>
      <w:r>
        <w:t>4.5</w:t>
      </w:r>
      <w:r>
        <w:tab/>
      </w:r>
      <w:r w:rsidRPr="00F308AF">
        <w:t xml:space="preserve">The State </w:t>
      </w:r>
      <w:r>
        <w:t>p</w:t>
      </w:r>
      <w:r w:rsidRPr="00F308AF">
        <w:t xml:space="preserve">arty also notes that the date chosen for the </w:t>
      </w:r>
      <w:r>
        <w:t>p</w:t>
      </w:r>
      <w:r w:rsidRPr="00F308AF">
        <w:t>arade, namely</w:t>
      </w:r>
      <w:r>
        <w:t>,</w:t>
      </w:r>
      <w:r w:rsidRPr="00F308AF">
        <w:t xml:space="preserve"> </w:t>
      </w:r>
      <w:r>
        <w:t>2</w:t>
      </w:r>
      <w:r w:rsidRPr="00F308AF">
        <w:t xml:space="preserve">3 April 2014, </w:t>
      </w:r>
      <w:r>
        <w:t>fell within the period of</w:t>
      </w:r>
      <w:r w:rsidRPr="00F308AF">
        <w:t xml:space="preserve"> the celebration of </w:t>
      </w:r>
      <w:r>
        <w:t>a</w:t>
      </w:r>
      <w:r w:rsidRPr="00F308AF">
        <w:t xml:space="preserve"> religious holiday</w:t>
      </w:r>
      <w:r w:rsidR="002F3FD7">
        <w:t xml:space="preserve"> </w:t>
      </w:r>
      <w:r>
        <w:t xml:space="preserve">– </w:t>
      </w:r>
      <w:r w:rsidRPr="00F308AF">
        <w:t>Easter</w:t>
      </w:r>
      <w:r>
        <w:t xml:space="preserve"> –</w:t>
      </w:r>
      <w:r w:rsidRPr="00F308AF">
        <w:t xml:space="preserve"> </w:t>
      </w:r>
      <w:r>
        <w:t>and coincided with</w:t>
      </w:r>
      <w:r w:rsidRPr="00F308AF">
        <w:t xml:space="preserve"> the celebration of the </w:t>
      </w:r>
      <w:r>
        <w:t>seventieth</w:t>
      </w:r>
      <w:r w:rsidRPr="00F308AF">
        <w:t xml:space="preserve"> anniversary of the liberation of the city of Sevastopol from the German-fascist invaders. For th</w:t>
      </w:r>
      <w:r>
        <w:t>ese</w:t>
      </w:r>
      <w:r w:rsidRPr="00F308AF">
        <w:t xml:space="preserve"> reasons, the court found that the date and route chosen were inappropriate.</w:t>
      </w:r>
    </w:p>
    <w:p w14:paraId="0EA5CC46" w14:textId="77777777" w:rsidR="004F0165" w:rsidRDefault="00192C8E" w:rsidP="00192C8E">
      <w:pPr>
        <w:pStyle w:val="SingleTxtG"/>
      </w:pPr>
      <w:r>
        <w:t>4.6</w:t>
      </w:r>
      <w:r>
        <w:tab/>
      </w:r>
      <w:r w:rsidRPr="00F308AF">
        <w:t xml:space="preserve">The State </w:t>
      </w:r>
      <w:r>
        <w:t>p</w:t>
      </w:r>
      <w:r w:rsidRPr="00F308AF">
        <w:t>arty submits that the court found without merit the author</w:t>
      </w:r>
      <w:r>
        <w:t>’</w:t>
      </w:r>
      <w:r w:rsidRPr="00F308AF">
        <w:t xml:space="preserve">s allegation concerning the discriminatory grounds of the refusal to hold the </w:t>
      </w:r>
      <w:r>
        <w:t>g</w:t>
      </w:r>
      <w:r w:rsidRPr="00F308AF">
        <w:t xml:space="preserve">ay </w:t>
      </w:r>
      <w:r>
        <w:t>pride p</w:t>
      </w:r>
      <w:r w:rsidRPr="00F308AF">
        <w:t xml:space="preserve">arade. </w:t>
      </w:r>
      <w:r>
        <w:t>It</w:t>
      </w:r>
      <w:r w:rsidRPr="00F308AF">
        <w:t xml:space="preserve"> recalls that under article 21 of the Covenant, and according to the Special Rapporteur on the right</w:t>
      </w:r>
      <w:r>
        <w:t>s</w:t>
      </w:r>
      <w:r w:rsidRPr="00F308AF">
        <w:t xml:space="preserve"> to </w:t>
      </w:r>
      <w:r>
        <w:t xml:space="preserve">freedom of </w:t>
      </w:r>
      <w:r w:rsidRPr="00F308AF">
        <w:t>peaceful assembly</w:t>
      </w:r>
      <w:r>
        <w:t xml:space="preserve"> and of association</w:t>
      </w:r>
      <w:r w:rsidRPr="00F308AF">
        <w:t xml:space="preserve">, the right to peaceful assembly is not absolute. It is subject to restrictions provided by law </w:t>
      </w:r>
      <w:r>
        <w:t>and</w:t>
      </w:r>
      <w:r w:rsidRPr="00F308AF">
        <w:t xml:space="preserve"> necessary in a democratic society in the interests of national security, public order, the protection of public health and morals or the protection of the rights and freedoms of others. Thus, in the present case, the refusal to permit the </w:t>
      </w:r>
      <w:r>
        <w:t>g</w:t>
      </w:r>
      <w:r w:rsidRPr="00F308AF">
        <w:t xml:space="preserve">ay </w:t>
      </w:r>
      <w:r>
        <w:t>pride p</w:t>
      </w:r>
      <w:r w:rsidRPr="00F308AF">
        <w:t>arade was the only measure possible to protect children from information and propaganda harmful to their health</w:t>
      </w:r>
      <w:r>
        <w:t xml:space="preserve"> and </w:t>
      </w:r>
      <w:r w:rsidRPr="00F308AF">
        <w:t>moral and spiritual development.</w:t>
      </w:r>
    </w:p>
    <w:p w14:paraId="7F45F4CB" w14:textId="77777777" w:rsidR="004F0165" w:rsidRDefault="00192C8E" w:rsidP="00192C8E">
      <w:pPr>
        <w:pStyle w:val="SingleTxtG"/>
      </w:pPr>
      <w:r>
        <w:t>4.7</w:t>
      </w:r>
      <w:r>
        <w:tab/>
      </w:r>
      <w:r w:rsidRPr="00F308AF">
        <w:t xml:space="preserve">According to the </w:t>
      </w:r>
      <w:r>
        <w:t>S</w:t>
      </w:r>
      <w:r w:rsidRPr="00F308AF">
        <w:t>tate party, th</w:t>
      </w:r>
      <w:r>
        <w:t>e</w:t>
      </w:r>
      <w:r w:rsidRPr="00F308AF">
        <w:t xml:space="preserve"> decision of the first instance court was upheld by the higher instances as lawful and </w:t>
      </w:r>
      <w:r>
        <w:t>well-founded</w:t>
      </w:r>
      <w:r w:rsidRPr="00F308AF">
        <w:t xml:space="preserve">, given that its aim was to protect </w:t>
      </w:r>
      <w:r>
        <w:t>minors</w:t>
      </w:r>
      <w:r w:rsidRPr="00F308AF">
        <w:t xml:space="preserve"> from the negative influence of homosexual propaganda on their development.</w:t>
      </w:r>
      <w:r w:rsidRPr="00192C8E">
        <w:rPr>
          <w:rStyle w:val="FootnoteReference"/>
        </w:rPr>
        <w:footnoteReference w:id="10"/>
      </w:r>
      <w:r w:rsidRPr="00192C8E">
        <w:rPr>
          <w:rStyle w:val="FootnoteReference"/>
        </w:rPr>
        <w:t xml:space="preserve"> </w:t>
      </w:r>
      <w:r w:rsidRPr="00F308AF">
        <w:t xml:space="preserve">The State </w:t>
      </w:r>
      <w:r>
        <w:t>p</w:t>
      </w:r>
      <w:r w:rsidRPr="00F308AF">
        <w:t xml:space="preserve">arty </w:t>
      </w:r>
      <w:r>
        <w:lastRenderedPageBreak/>
        <w:t xml:space="preserve">endorses </w:t>
      </w:r>
      <w:r w:rsidRPr="00F308AF">
        <w:t>the position of the courts and maintains that the rights of the author under the Covenant were not violated.</w:t>
      </w:r>
    </w:p>
    <w:p w14:paraId="5B3206BC" w14:textId="099A4B43" w:rsidR="00192C8E" w:rsidRPr="005D7178" w:rsidRDefault="00192C8E" w:rsidP="00192C8E">
      <w:pPr>
        <w:pStyle w:val="H23G"/>
      </w:pPr>
      <w:r w:rsidRPr="005D7178">
        <w:tab/>
      </w:r>
      <w:r w:rsidRPr="005D7178">
        <w:tab/>
      </w:r>
      <w:r w:rsidRPr="00F364AC">
        <w:t>Author</w:t>
      </w:r>
      <w:r>
        <w:t>’</w:t>
      </w:r>
      <w:r w:rsidRPr="00F364AC">
        <w:t xml:space="preserve">s comments on </w:t>
      </w:r>
      <w:r w:rsidRPr="007A0330">
        <w:t>the</w:t>
      </w:r>
      <w:r w:rsidRPr="00F364AC">
        <w:t xml:space="preserve"> State party</w:t>
      </w:r>
      <w:r>
        <w:t>’</w:t>
      </w:r>
      <w:r w:rsidRPr="00F364AC">
        <w:t>s observations on admissibility</w:t>
      </w:r>
      <w:r>
        <w:t xml:space="preserve"> and the merits</w:t>
      </w:r>
    </w:p>
    <w:p w14:paraId="0CEF17C0" w14:textId="77777777" w:rsidR="004F0165" w:rsidRDefault="00192C8E" w:rsidP="00192C8E">
      <w:pPr>
        <w:pStyle w:val="SingleTxtG"/>
      </w:pPr>
      <w:r w:rsidRPr="00BC246F">
        <w:t>5.1</w:t>
      </w:r>
      <w:r w:rsidRPr="00BC246F">
        <w:tab/>
        <w:t xml:space="preserve">On </w:t>
      </w:r>
      <w:r>
        <w:t>11</w:t>
      </w:r>
      <w:r w:rsidRPr="00BC246F">
        <w:t xml:space="preserve"> </w:t>
      </w:r>
      <w:r>
        <w:t>July</w:t>
      </w:r>
      <w:r w:rsidRPr="00BC246F">
        <w:t xml:space="preserve"> 201</w:t>
      </w:r>
      <w:r>
        <w:t>6</w:t>
      </w:r>
      <w:r w:rsidRPr="00BC246F">
        <w:t xml:space="preserve">, the author </w:t>
      </w:r>
      <w:r>
        <w:t>submitted</w:t>
      </w:r>
      <w:r w:rsidRPr="00BC246F">
        <w:t xml:space="preserve"> comments </w:t>
      </w:r>
      <w:r>
        <w:t>on</w:t>
      </w:r>
      <w:r w:rsidRPr="00BC246F">
        <w:t xml:space="preserve"> the State party</w:t>
      </w:r>
      <w:r>
        <w:t>’</w:t>
      </w:r>
      <w:r w:rsidRPr="00BC246F">
        <w:t xml:space="preserve">s observations. </w:t>
      </w:r>
      <w:r>
        <w:t>He</w:t>
      </w:r>
      <w:r w:rsidRPr="00BC246F">
        <w:t xml:space="preserve"> </w:t>
      </w:r>
      <w:r>
        <w:t xml:space="preserve">challenges the State party’s contention that the cassation appeal before the Supreme Court would be an effective remedy in the present case. He concedes that in </w:t>
      </w:r>
      <w:proofErr w:type="spellStart"/>
      <w:r w:rsidRPr="00B57FCF">
        <w:rPr>
          <w:i/>
        </w:rPr>
        <w:t>Abramyan</w:t>
      </w:r>
      <w:proofErr w:type="spellEnd"/>
      <w:r w:rsidRPr="00B57FCF">
        <w:rPr>
          <w:i/>
        </w:rPr>
        <w:t xml:space="preserve"> and others v</w:t>
      </w:r>
      <w:r>
        <w:rPr>
          <w:i/>
        </w:rPr>
        <w:t>.</w:t>
      </w:r>
      <w:r w:rsidRPr="00B57FCF">
        <w:rPr>
          <w:i/>
        </w:rPr>
        <w:t xml:space="preserve"> Russia</w:t>
      </w:r>
      <w:r>
        <w:rPr>
          <w:i/>
        </w:rPr>
        <w:t xml:space="preserve"> </w:t>
      </w:r>
      <w:r>
        <w:t>the European Court of Human Rights considered that the new cassation procedure could be effective if, not only in theory and but also in practice, a violation could be admitted and remedied as a result of the submission of the cassation appeal. He notes that in the above-mentioned case, t</w:t>
      </w:r>
      <w:r w:rsidRPr="00BE2FB1">
        <w:t xml:space="preserve">he </w:t>
      </w:r>
      <w:r>
        <w:t xml:space="preserve">determination of exhaustion of domestic remedies was linked to time limits: the </w:t>
      </w:r>
      <w:r w:rsidRPr="00BE2FB1">
        <w:t xml:space="preserve">Court had to determine </w:t>
      </w:r>
      <w:r>
        <w:t>the</w:t>
      </w:r>
      <w:r w:rsidRPr="00BE2FB1">
        <w:t xml:space="preserve"> date </w:t>
      </w:r>
      <w:r>
        <w:t xml:space="preserve">on which </w:t>
      </w:r>
      <w:r w:rsidRPr="00BE2FB1">
        <w:t>the final decision had been taken in the case for the purpose of the six-month time</w:t>
      </w:r>
      <w:r>
        <w:t xml:space="preserve"> </w:t>
      </w:r>
      <w:r w:rsidRPr="00BE2FB1">
        <w:t>limit.</w:t>
      </w:r>
      <w:r>
        <w:t xml:space="preserve"> The author further notes that, according the European Court, </w:t>
      </w:r>
      <w:r w:rsidRPr="00DD22C7">
        <w:t xml:space="preserve">it </w:t>
      </w:r>
      <w:r>
        <w:t xml:space="preserve">was </w:t>
      </w:r>
      <w:r w:rsidRPr="00DD22C7">
        <w:t xml:space="preserve">for the </w:t>
      </w:r>
      <w:r>
        <w:t xml:space="preserve">State party </w:t>
      </w:r>
      <w:r w:rsidRPr="00DD22C7">
        <w:t xml:space="preserve">to prove that the remedy </w:t>
      </w:r>
      <w:r>
        <w:t>wa</w:t>
      </w:r>
      <w:r w:rsidRPr="00DD22C7">
        <w:t>s effective both in theory and in practice</w:t>
      </w:r>
      <w:r>
        <w:t>. He maintains that the cassation instance judges, including of the Supreme Court, are not in a position to remedy the violation of his rights. The author thus claims that the cassation appeal to the Supreme Court would not be effective.</w:t>
      </w:r>
    </w:p>
    <w:p w14:paraId="74DC31BB" w14:textId="77777777" w:rsidR="004F0165" w:rsidRDefault="00192C8E" w:rsidP="00192C8E">
      <w:pPr>
        <w:pStyle w:val="SingleTxtG"/>
      </w:pPr>
      <w:r>
        <w:t>5.2</w:t>
      </w:r>
      <w:r>
        <w:tab/>
        <w:t xml:space="preserve">The author also refers to the European Court of Human Rights case </w:t>
      </w:r>
      <w:proofErr w:type="spellStart"/>
      <w:r w:rsidRPr="006039B7">
        <w:rPr>
          <w:i/>
        </w:rPr>
        <w:t>Kocherov</w:t>
      </w:r>
      <w:proofErr w:type="spellEnd"/>
      <w:r w:rsidRPr="006039B7">
        <w:rPr>
          <w:i/>
        </w:rPr>
        <w:t xml:space="preserve"> and </w:t>
      </w:r>
      <w:proofErr w:type="spellStart"/>
      <w:r w:rsidRPr="006039B7">
        <w:rPr>
          <w:i/>
        </w:rPr>
        <w:t>Sergeyeva</w:t>
      </w:r>
      <w:proofErr w:type="spellEnd"/>
      <w:r w:rsidRPr="006039B7">
        <w:rPr>
          <w:i/>
        </w:rPr>
        <w:t xml:space="preserve"> v. Russia</w:t>
      </w:r>
      <w:r w:rsidRPr="00271EB3">
        <w:t>,</w:t>
      </w:r>
      <w:r w:rsidRPr="00192C8E">
        <w:rPr>
          <w:rStyle w:val="FootnoteReference"/>
        </w:rPr>
        <w:footnoteReference w:id="11"/>
      </w:r>
      <w:r w:rsidRPr="00192C8E">
        <w:rPr>
          <w:rStyle w:val="FootnoteReference"/>
        </w:rPr>
        <w:t xml:space="preserve"> </w:t>
      </w:r>
      <w:r>
        <w:t>in which</w:t>
      </w:r>
      <w:r w:rsidRPr="00271EB3">
        <w:t xml:space="preserve"> the Court </w:t>
      </w:r>
      <w:r w:rsidRPr="008335EF">
        <w:t xml:space="preserve">considered that, in a situation where the applicants </w:t>
      </w:r>
      <w:r>
        <w:t xml:space="preserve">had </w:t>
      </w:r>
      <w:r w:rsidRPr="008335EF">
        <w:t xml:space="preserve">lodged their application with the Court before the Court </w:t>
      </w:r>
      <w:r>
        <w:t xml:space="preserve">had </w:t>
      </w:r>
      <w:r w:rsidRPr="008335EF">
        <w:t>recogni</w:t>
      </w:r>
      <w:r>
        <w:t>z</w:t>
      </w:r>
      <w:r w:rsidRPr="008335EF">
        <w:t xml:space="preserve">ed the reformed two-tier cassation appeal procedure as an effective remedy, the applicants were not required to </w:t>
      </w:r>
      <w:r>
        <w:t xml:space="preserve">have </w:t>
      </w:r>
      <w:r w:rsidRPr="008335EF">
        <w:t>pursue</w:t>
      </w:r>
      <w:r>
        <w:t>d</w:t>
      </w:r>
      <w:r w:rsidRPr="008335EF">
        <w:t xml:space="preserve"> that procedure prior to lodging their application to the Court</w:t>
      </w:r>
      <w:r>
        <w:t>.</w:t>
      </w:r>
    </w:p>
    <w:p w14:paraId="3F3AC1E0" w14:textId="4B6ECDDB" w:rsidR="00192C8E" w:rsidRDefault="00192C8E" w:rsidP="00192C8E">
      <w:pPr>
        <w:pStyle w:val="SingleTxtG"/>
        <w:rPr>
          <w:i/>
        </w:rPr>
      </w:pPr>
      <w:r>
        <w:t>5.3</w:t>
      </w:r>
      <w:r>
        <w:tab/>
        <w:t xml:space="preserve">The author notes that he submitted his communication to the Committee on 17 January 2015, namely, as in </w:t>
      </w:r>
      <w:proofErr w:type="spellStart"/>
      <w:r w:rsidRPr="00835987">
        <w:rPr>
          <w:i/>
        </w:rPr>
        <w:t>Kocherov</w:t>
      </w:r>
      <w:proofErr w:type="spellEnd"/>
      <w:r w:rsidRPr="00835987">
        <w:rPr>
          <w:i/>
        </w:rPr>
        <w:t xml:space="preserve"> and </w:t>
      </w:r>
      <w:proofErr w:type="spellStart"/>
      <w:r w:rsidRPr="00835987">
        <w:rPr>
          <w:i/>
        </w:rPr>
        <w:t>Sergeyeva</w:t>
      </w:r>
      <w:proofErr w:type="spellEnd"/>
      <w:r w:rsidRPr="00835987">
        <w:rPr>
          <w:i/>
        </w:rPr>
        <w:t xml:space="preserve"> v. Russia</w:t>
      </w:r>
      <w:r>
        <w:t xml:space="preserve">, before the European Court of Human Rights had recognized the effectiveness of the new remedy. Thus, he invites the Committee to consider the Court’s </w:t>
      </w:r>
      <w:r w:rsidRPr="00271EB3">
        <w:t>recogni</w:t>
      </w:r>
      <w:r>
        <w:t>tion of</w:t>
      </w:r>
      <w:r w:rsidRPr="00271EB3">
        <w:t xml:space="preserve"> the reformed two-tier cassation appeal procedure</w:t>
      </w:r>
      <w:r>
        <w:t xml:space="preserve"> as an effective remedy in light of the interpretation of the finding in </w:t>
      </w:r>
      <w:proofErr w:type="spellStart"/>
      <w:r w:rsidRPr="00835987">
        <w:rPr>
          <w:i/>
        </w:rPr>
        <w:t>Kocherov</w:t>
      </w:r>
      <w:proofErr w:type="spellEnd"/>
      <w:r w:rsidRPr="00835987">
        <w:rPr>
          <w:i/>
        </w:rPr>
        <w:t xml:space="preserve"> and </w:t>
      </w:r>
      <w:proofErr w:type="spellStart"/>
      <w:r w:rsidRPr="00835987">
        <w:rPr>
          <w:i/>
        </w:rPr>
        <w:t>Sergeyeva</w:t>
      </w:r>
      <w:proofErr w:type="spellEnd"/>
      <w:r w:rsidRPr="00835987">
        <w:rPr>
          <w:i/>
        </w:rPr>
        <w:t xml:space="preserve"> v. Russia</w:t>
      </w:r>
      <w:r>
        <w:rPr>
          <w:i/>
        </w:rPr>
        <w:t>.</w:t>
      </w:r>
    </w:p>
    <w:p w14:paraId="709C0F7F" w14:textId="77777777" w:rsidR="004F0165" w:rsidRDefault="00192C8E" w:rsidP="00192C8E">
      <w:pPr>
        <w:pStyle w:val="SingleTxtG"/>
        <w:rPr>
          <w:rFonts w:eastAsia="Verdana"/>
        </w:rPr>
      </w:pPr>
      <w:r>
        <w:t>5.4</w:t>
      </w:r>
      <w:r>
        <w:tab/>
        <w:t>In addition, the author submits that attempts to appeal, both in cassation proceedings and supervisory review proceedings before the Supreme Court, in similar cases concerning the rights of lesbian, gay, bisexual and transgender persons</w:t>
      </w:r>
      <w:r>
        <w:rPr>
          <w:rFonts w:eastAsia="Verdana"/>
        </w:rPr>
        <w:t xml:space="preserve"> in the Russian Federation have failed, as the Supreme Court has upheld the lower-court decisions to refuse permission for such public events.</w:t>
      </w:r>
    </w:p>
    <w:p w14:paraId="0648CFCE" w14:textId="77777777" w:rsidR="004F0165" w:rsidRDefault="00192C8E" w:rsidP="00192C8E">
      <w:pPr>
        <w:pStyle w:val="SingleTxtG"/>
      </w:pPr>
      <w:r>
        <w:t>5.5</w:t>
      </w:r>
      <w:r>
        <w:tab/>
        <w:t>The author submits that two other applications submitted to the European Court of Human Rights</w:t>
      </w:r>
      <w:r w:rsidRPr="00192C8E">
        <w:rPr>
          <w:rStyle w:val="FootnoteReference"/>
        </w:rPr>
        <w:footnoteReference w:id="12"/>
      </w:r>
      <w:r w:rsidRPr="00192C8E">
        <w:rPr>
          <w:rStyle w:val="FootnoteReference"/>
        </w:rPr>
        <w:t xml:space="preserve"> </w:t>
      </w:r>
      <w:r>
        <w:t>combined the claims of several organizers concerning the refusal of over 250 public events in several cities in the State party between 2008 and 2014, all in support of the rights of sexual and gender minorities and aimed at promoting tolerance. He emphasizes that in its observations of 8 June 2016, with regard to those applications, the State party did not raise the issue of exhaustion of domestic remedies, although in the majority of those cases the authors had not appealed on cassation to the Supreme Court. In the cases they had, all cassation appeals had been dismissed.</w:t>
      </w:r>
    </w:p>
    <w:p w14:paraId="0E565E96" w14:textId="2E0B65B0" w:rsidR="00192C8E" w:rsidRPr="00192C8E" w:rsidRDefault="00192C8E" w:rsidP="00192C8E">
      <w:pPr>
        <w:pStyle w:val="SingleTxtG"/>
        <w:rPr>
          <w:rStyle w:val="FootnoteReference"/>
        </w:rPr>
      </w:pPr>
      <w:r>
        <w:t>5.6</w:t>
      </w:r>
      <w:r>
        <w:tab/>
        <w:t xml:space="preserve">In a letter dated 23 July 2016, the author reiterates his previous comments in extenso. In support, he refers to the case law of the European Court of Human Rights, notably </w:t>
      </w:r>
      <w:r w:rsidRPr="006039B7">
        <w:rPr>
          <w:i/>
        </w:rPr>
        <w:t>Alekseyev v. Russia</w:t>
      </w:r>
      <w:r>
        <w:t>, concerning the refusal of the Moscow City authorities to permit pride parades in 2006, 2007 and 2008, in which the Court found that the authorities had violated the right to peaceful assembly and the prohibition of discrimination.</w:t>
      </w:r>
      <w:r w:rsidRPr="00192C8E">
        <w:rPr>
          <w:rStyle w:val="FootnoteReference"/>
        </w:rPr>
        <w:footnoteReference w:id="13"/>
      </w:r>
      <w:r w:rsidRPr="00192C8E">
        <w:rPr>
          <w:rStyle w:val="FootnoteReference"/>
        </w:rPr>
        <w:t xml:space="preserve"> </w:t>
      </w:r>
      <w:r>
        <w:t xml:space="preserve">He also refers to the </w:t>
      </w:r>
      <w:r>
        <w:lastRenderedPageBreak/>
        <w:t xml:space="preserve">jurisprudence of the Committee, in particular </w:t>
      </w:r>
      <w:proofErr w:type="spellStart"/>
      <w:r w:rsidRPr="006039B7">
        <w:rPr>
          <w:i/>
        </w:rPr>
        <w:t>Fedotova</w:t>
      </w:r>
      <w:proofErr w:type="spellEnd"/>
      <w:r w:rsidRPr="006039B7">
        <w:rPr>
          <w:i/>
        </w:rPr>
        <w:t xml:space="preserve"> v. Russian Federation</w:t>
      </w:r>
      <w:r>
        <w:rPr>
          <w:iCs/>
        </w:rPr>
        <w:t>,</w:t>
      </w:r>
      <w:r w:rsidRPr="00192C8E">
        <w:rPr>
          <w:rStyle w:val="FootnoteReference"/>
        </w:rPr>
        <w:footnoteReference w:id="14"/>
      </w:r>
      <w:r w:rsidRPr="00192C8E">
        <w:rPr>
          <w:rStyle w:val="FootnoteReference"/>
        </w:rPr>
        <w:t xml:space="preserve"> </w:t>
      </w:r>
      <w:r>
        <w:t xml:space="preserve">and </w:t>
      </w:r>
      <w:r w:rsidRPr="006039B7">
        <w:rPr>
          <w:i/>
        </w:rPr>
        <w:t xml:space="preserve">Alekseev v. Russian </w:t>
      </w:r>
      <w:r w:rsidRPr="00B40F56">
        <w:rPr>
          <w:i/>
        </w:rPr>
        <w:t>Federation</w:t>
      </w:r>
      <w:r>
        <w:t>.</w:t>
      </w:r>
      <w:r w:rsidRPr="00192C8E">
        <w:rPr>
          <w:rStyle w:val="FootnoteReference"/>
        </w:rPr>
        <w:footnoteReference w:id="15"/>
      </w:r>
      <w:r w:rsidRPr="00192C8E">
        <w:rPr>
          <w:rStyle w:val="FootnoteReference"/>
        </w:rPr>
        <w:t xml:space="preserve"> </w:t>
      </w:r>
      <w:r>
        <w:t xml:space="preserve">The author notes also the European Commission for Democracy through Law (Venice Commission) </w:t>
      </w:r>
      <w:r>
        <w:rPr>
          <w:iCs/>
        </w:rPr>
        <w:t>o</w:t>
      </w:r>
      <w:r w:rsidRPr="00191536">
        <w:rPr>
          <w:iCs/>
        </w:rPr>
        <w:t xml:space="preserve">pinion on the issue of the prohibition of so-called </w:t>
      </w:r>
      <w:r>
        <w:rPr>
          <w:iCs/>
        </w:rPr>
        <w:t>“</w:t>
      </w:r>
      <w:r w:rsidRPr="00191536">
        <w:rPr>
          <w:iCs/>
        </w:rPr>
        <w:t>propaganda of homosexuality</w:t>
      </w:r>
      <w:r>
        <w:rPr>
          <w:iCs/>
        </w:rPr>
        <w:t>”</w:t>
      </w:r>
      <w:r>
        <w:t xml:space="preserve"> in the light of recent legislation in some member States of the Council of Europe.</w:t>
      </w:r>
      <w:r w:rsidRPr="00192C8E">
        <w:rPr>
          <w:rStyle w:val="FootnoteReference"/>
        </w:rPr>
        <w:footnoteReference w:id="16"/>
      </w:r>
    </w:p>
    <w:p w14:paraId="22775FE2" w14:textId="77777777" w:rsidR="00192C8E" w:rsidRPr="008C00E7" w:rsidRDefault="00192C8E" w:rsidP="00192C8E">
      <w:pPr>
        <w:pStyle w:val="H23G"/>
      </w:pPr>
      <w:r>
        <w:tab/>
      </w:r>
      <w:r>
        <w:tab/>
      </w:r>
      <w:r w:rsidRPr="008C00E7">
        <w:t>Issues and proceedings before the Committee</w:t>
      </w:r>
    </w:p>
    <w:p w14:paraId="58A62E34" w14:textId="77777777" w:rsidR="00192C8E" w:rsidRDefault="00192C8E" w:rsidP="00192C8E">
      <w:pPr>
        <w:pStyle w:val="H4G"/>
      </w:pPr>
      <w:r>
        <w:tab/>
      </w:r>
      <w:r>
        <w:tab/>
      </w:r>
      <w:r w:rsidRPr="008C00E7">
        <w:t>Consideration of admissibility</w:t>
      </w:r>
    </w:p>
    <w:p w14:paraId="7A475734" w14:textId="77777777" w:rsidR="00192C8E" w:rsidRDefault="00192C8E" w:rsidP="00192C8E">
      <w:pPr>
        <w:pStyle w:val="SingleTxtG"/>
      </w:pPr>
      <w:r>
        <w:t>6.1</w:t>
      </w:r>
      <w:r>
        <w:tab/>
      </w:r>
      <w:r w:rsidRPr="008C00E7">
        <w:t xml:space="preserve">Before considering any claim contained in a communication, the Committee must decide, in accordance with </w:t>
      </w:r>
      <w:r w:rsidRPr="003E3616">
        <w:t xml:space="preserve">rule 97 </w:t>
      </w:r>
      <w:r w:rsidRPr="008C00E7">
        <w:t>of its rules of procedure, whether the communication is admissi</w:t>
      </w:r>
      <w:r>
        <w:t>ble under the Optional Protocol.</w:t>
      </w:r>
    </w:p>
    <w:p w14:paraId="1DE96FB0" w14:textId="77777777" w:rsidR="00192C8E" w:rsidRPr="007657C0" w:rsidRDefault="00192C8E" w:rsidP="00192C8E">
      <w:pPr>
        <w:pStyle w:val="SingleTxtG"/>
      </w:pPr>
      <w:r>
        <w:t>6</w:t>
      </w:r>
      <w:r w:rsidRPr="007657C0">
        <w:t>.2</w:t>
      </w:r>
      <w:r w:rsidRPr="007657C0">
        <w:tab/>
        <w:t>The Committee has ascertained, as required under article 5 (2) (a) of the Optional Protocol, that the same matter is not being examined under another procedure of international investigation or settlement.</w:t>
      </w:r>
    </w:p>
    <w:p w14:paraId="14DDE57C" w14:textId="77777777" w:rsidR="004F0165" w:rsidRDefault="00192C8E" w:rsidP="00192C8E">
      <w:pPr>
        <w:pStyle w:val="SingleTxtG"/>
        <w:rPr>
          <w:rStyle w:val="FootnoteReference"/>
        </w:rPr>
      </w:pPr>
      <w:r w:rsidRPr="00DC1D63">
        <w:t>6.</w:t>
      </w:r>
      <w:r>
        <w:t>3</w:t>
      </w:r>
      <w:r w:rsidRPr="00DC1D63">
        <w:tab/>
        <w:t>The Committee notes the State party</w:t>
      </w:r>
      <w:r>
        <w:t>’</w:t>
      </w:r>
      <w:r w:rsidRPr="00DC1D63">
        <w:t>s argument that the author ha</w:t>
      </w:r>
      <w:r>
        <w:t>s</w:t>
      </w:r>
      <w:r w:rsidRPr="00DC1D63">
        <w:t xml:space="preserve"> failed to exhaust domestic remedies, namely </w:t>
      </w:r>
      <w:r>
        <w:t xml:space="preserve">the </w:t>
      </w:r>
      <w:r w:rsidRPr="00DC1D63">
        <w:t xml:space="preserve">cassation procedure </w:t>
      </w:r>
      <w:r>
        <w:t xml:space="preserve">before </w:t>
      </w:r>
      <w:r w:rsidRPr="00DC1D63">
        <w:t xml:space="preserve">the Supreme Court. The Committee </w:t>
      </w:r>
      <w:r>
        <w:t xml:space="preserve">has taken note of the </w:t>
      </w:r>
      <w:r w:rsidRPr="00DC1D63">
        <w:t xml:space="preserve">jurisprudence of the European Court of Human Rights regarding changes introduced by the Civil Procedure Code, as amended by </w:t>
      </w:r>
      <w:r>
        <w:t xml:space="preserve">Federal </w:t>
      </w:r>
      <w:r w:rsidRPr="00DC1D63">
        <w:t>Law No.</w:t>
      </w:r>
      <w:r w:rsidR="00995ABD">
        <w:t xml:space="preserve"> </w:t>
      </w:r>
      <w:r w:rsidRPr="00DC1D63">
        <w:t>353</w:t>
      </w:r>
      <w:r>
        <w:t xml:space="preserve"> of 2010,</w:t>
      </w:r>
      <w:r w:rsidRPr="00DC1D63">
        <w:t xml:space="preserve"> and of the conclusion of the European Court about</w:t>
      </w:r>
      <w:r>
        <w:t xml:space="preserve"> the</w:t>
      </w:r>
      <w:r w:rsidRPr="00DC1D63">
        <w:t xml:space="preserve"> effectiveness of the new cassation procedure. The Committee also notes the submission by the author that he did </w:t>
      </w:r>
      <w:r>
        <w:t xml:space="preserve">appeal on cassation to the Presidium of the Moscow City Court, yet did </w:t>
      </w:r>
      <w:r w:rsidRPr="00DC1D63">
        <w:t xml:space="preserve">not exhaust the new cassation procedure for several reasons (see para </w:t>
      </w:r>
      <w:r>
        <w:t>5</w:t>
      </w:r>
      <w:r w:rsidRPr="00DC1D63">
        <w:t>.1</w:t>
      </w:r>
      <w:r>
        <w:t xml:space="preserve"> above</w:t>
      </w:r>
      <w:r w:rsidRPr="00DC1D63">
        <w:t>). The Committee refers in this respect to its jurisprudence to the effect that authors must avail themselves of all domestic remedies in order to fulfil the requirement of article 5 (2) (b) of the Optional Protocol, insofar as such remedies appear to be effective in the given case and are de facto available to the</w:t>
      </w:r>
      <w:r>
        <w:t>m</w:t>
      </w:r>
      <w:r w:rsidRPr="00DC1D63">
        <w:t>.</w:t>
      </w:r>
      <w:r w:rsidRPr="00192C8E">
        <w:rPr>
          <w:rStyle w:val="FootnoteReference"/>
        </w:rPr>
        <w:footnoteReference w:id="17"/>
      </w:r>
      <w:r w:rsidRPr="00192C8E">
        <w:rPr>
          <w:rStyle w:val="FootnoteReference"/>
        </w:rPr>
        <w:t xml:space="preserve"> </w:t>
      </w:r>
      <w:r w:rsidRPr="00DC1D63">
        <w:t>The Committee also recalls that mere doubts about the effectiveness of the remedies do not absolve an individual from exhausting available domestic remedies.</w:t>
      </w:r>
      <w:r w:rsidRPr="00192C8E">
        <w:rPr>
          <w:rStyle w:val="FootnoteReference"/>
        </w:rPr>
        <w:footnoteReference w:id="18"/>
      </w:r>
    </w:p>
    <w:p w14:paraId="69953F97" w14:textId="3258D486" w:rsidR="00192C8E" w:rsidRPr="00DC1D63" w:rsidRDefault="00192C8E" w:rsidP="00192C8E">
      <w:pPr>
        <w:pStyle w:val="SingleTxtG"/>
      </w:pPr>
      <w:r w:rsidRPr="00DC1D63">
        <w:t>6.</w:t>
      </w:r>
      <w:r>
        <w:t>4</w:t>
      </w:r>
      <w:r w:rsidRPr="00DC1D63">
        <w:tab/>
        <w:t>In the present case, the author do</w:t>
      </w:r>
      <w:r>
        <w:t>es</w:t>
      </w:r>
      <w:r w:rsidRPr="00DC1D63">
        <w:t xml:space="preserve"> not argue that he did not have access to the new cassation procedure, which was de facto available to h</w:t>
      </w:r>
      <w:r>
        <w:t>i</w:t>
      </w:r>
      <w:r w:rsidRPr="00DC1D63">
        <w:t>m. The author, however, contest</w:t>
      </w:r>
      <w:r>
        <w:t>s</w:t>
      </w:r>
      <w:r w:rsidRPr="00DC1D63">
        <w:t xml:space="preserve"> the effectiveness of such </w:t>
      </w:r>
      <w:r>
        <w:t xml:space="preserve">a </w:t>
      </w:r>
      <w:r w:rsidRPr="00DC1D63">
        <w:t xml:space="preserve">procedure in </w:t>
      </w:r>
      <w:r>
        <w:t>his</w:t>
      </w:r>
      <w:r w:rsidRPr="00DC1D63">
        <w:t xml:space="preserve"> particular case, namely</w:t>
      </w:r>
      <w:r>
        <w:t>,</w:t>
      </w:r>
      <w:r w:rsidRPr="00DC1D63">
        <w:t xml:space="preserve"> concerning public events organized by the </w:t>
      </w:r>
      <w:r>
        <w:t xml:space="preserve">lesbian, gay, bisexual and transgender </w:t>
      </w:r>
      <w:r w:rsidRPr="00DC1D63">
        <w:t xml:space="preserve">community in the </w:t>
      </w:r>
      <w:r>
        <w:t>context</w:t>
      </w:r>
      <w:r w:rsidRPr="00DC1D63">
        <w:t xml:space="preserve"> of overall </w:t>
      </w:r>
      <w:r>
        <w:t xml:space="preserve">State </w:t>
      </w:r>
      <w:r w:rsidRPr="00DC1D63">
        <w:t>opposition to such events. In this respect, the Committee notes the author</w:t>
      </w:r>
      <w:r>
        <w:t>’</w:t>
      </w:r>
      <w:r w:rsidRPr="00DC1D63">
        <w:t xml:space="preserve">s </w:t>
      </w:r>
      <w:r>
        <w:t xml:space="preserve">assertion, undisputed by the State party, </w:t>
      </w:r>
      <w:r w:rsidRPr="00DC1D63">
        <w:t>that</w:t>
      </w:r>
      <w:r>
        <w:t xml:space="preserve"> between 2008 and 2014, at least </w:t>
      </w:r>
      <w:r w:rsidRPr="00D1078F">
        <w:t xml:space="preserve">252 </w:t>
      </w:r>
      <w:r>
        <w:t>public</w:t>
      </w:r>
      <w:r w:rsidRPr="00D1078F">
        <w:t xml:space="preserve"> events </w:t>
      </w:r>
      <w:r w:rsidRPr="00DC1D63">
        <w:t xml:space="preserve">on </w:t>
      </w:r>
      <w:r>
        <w:t>lesbian, gay, bisexual and transgender</w:t>
      </w:r>
      <w:r w:rsidRPr="00DC1D63">
        <w:t>-related topic</w:t>
      </w:r>
      <w:r>
        <w:t>s</w:t>
      </w:r>
      <w:r w:rsidRPr="00D1078F">
        <w:t xml:space="preserve"> in seve</w:t>
      </w:r>
      <w:r>
        <w:t xml:space="preserve">ral </w:t>
      </w:r>
      <w:r w:rsidRPr="00D1078F">
        <w:t xml:space="preserve">cities in the State party </w:t>
      </w:r>
      <w:r w:rsidRPr="00DC1D63">
        <w:t xml:space="preserve">could not </w:t>
      </w:r>
      <w:r>
        <w:t xml:space="preserve">be </w:t>
      </w:r>
      <w:r w:rsidRPr="00DC1D63">
        <w:t>organize</w:t>
      </w:r>
      <w:r>
        <w:t>d</w:t>
      </w:r>
      <w:r w:rsidRPr="00DC1D63">
        <w:t xml:space="preserve"> </w:t>
      </w:r>
      <w:r>
        <w:t xml:space="preserve">owing to persistent refusals by the authorities, </w:t>
      </w:r>
      <w:r w:rsidRPr="00DC1D63">
        <w:t xml:space="preserve">and that </w:t>
      </w:r>
      <w:r>
        <w:t>to date</w:t>
      </w:r>
      <w:r w:rsidRPr="00DC1D63">
        <w:t xml:space="preserve"> there </w:t>
      </w:r>
      <w:r>
        <w:t xml:space="preserve">had </w:t>
      </w:r>
      <w:r w:rsidRPr="00DC1D63">
        <w:t>no</w:t>
      </w:r>
      <w:r>
        <w:t>t been a single</w:t>
      </w:r>
      <w:r w:rsidRPr="00DC1D63">
        <w:t xml:space="preserve"> court judgment quashing negative decisions of municipal authorities concerning assemblies</w:t>
      </w:r>
      <w:r>
        <w:t xml:space="preserve"> related to lesbian, gay, bisexual and transgender topics</w:t>
      </w:r>
      <w:r w:rsidRPr="00DC1D63">
        <w:t>.</w:t>
      </w:r>
    </w:p>
    <w:p w14:paraId="1DB57DEB" w14:textId="3505F045" w:rsidR="00192C8E" w:rsidRPr="00DC1D63" w:rsidRDefault="00192C8E" w:rsidP="00192C8E">
      <w:pPr>
        <w:pStyle w:val="SingleTxtG"/>
      </w:pPr>
      <w:r w:rsidRPr="00DC1D63">
        <w:t>6.</w:t>
      </w:r>
      <w:r>
        <w:t>5</w:t>
      </w:r>
      <w:r w:rsidRPr="00DC1D63">
        <w:tab/>
        <w:t xml:space="preserve">In assessing the effectiveness of the new cassation procedure in relation to the present communication, the Committee notes that the cassation procedure, introduced by Federal Law No. 353 </w:t>
      </w:r>
      <w:r>
        <w:t xml:space="preserve">of </w:t>
      </w:r>
      <w:r w:rsidRPr="00DC1D63">
        <w:t xml:space="preserve">2010, </w:t>
      </w:r>
      <w:r>
        <w:t xml:space="preserve">and which entered into </w:t>
      </w:r>
      <w:r w:rsidRPr="00DC1D63">
        <w:t xml:space="preserve">force </w:t>
      </w:r>
      <w:r>
        <w:t xml:space="preserve">on </w:t>
      </w:r>
      <w:r w:rsidRPr="00DC1D63">
        <w:t xml:space="preserve">1 January 2012, </w:t>
      </w:r>
      <w:r>
        <w:t>allows for</w:t>
      </w:r>
      <w:r w:rsidRPr="00DC1D63">
        <w:t xml:space="preserve"> the revision, on points of law only, of court decisions </w:t>
      </w:r>
      <w:r>
        <w:t xml:space="preserve">having the force of </w:t>
      </w:r>
      <w:r w:rsidRPr="008175B6">
        <w:rPr>
          <w:i/>
          <w:iCs/>
        </w:rPr>
        <w:t>res judicata</w:t>
      </w:r>
      <w:r w:rsidRPr="00DC1D63">
        <w:t xml:space="preserve">. The decision on whether to refer a case for hearing by the cassation court is discretionary in nature and is made by </w:t>
      </w:r>
      <w:r>
        <w:t xml:space="preserve">a </w:t>
      </w:r>
      <w:r w:rsidRPr="00DC1D63">
        <w:t>single judge. These characteristics lead the Committee to believe that such cassation review</w:t>
      </w:r>
      <w:r>
        <w:t>s</w:t>
      </w:r>
      <w:r w:rsidRPr="00DC1D63">
        <w:t xml:space="preserve"> contain elements of an extraordinary remedy. </w:t>
      </w:r>
      <w:r>
        <w:t xml:space="preserve">In addition, the Committee notes that, in the cassation procedure, the only grounds for the quashing or modification of binding judgments are significant violations of substantive or procedural law. </w:t>
      </w:r>
      <w:r w:rsidRPr="00DC1D63">
        <w:t xml:space="preserve">The State party must therefore show that there is a reasonable prospect that such </w:t>
      </w:r>
      <w:r>
        <w:t xml:space="preserve">a </w:t>
      </w:r>
      <w:r w:rsidRPr="00DC1D63">
        <w:t xml:space="preserve">procedure would provide </w:t>
      </w:r>
      <w:r w:rsidRPr="00DC1D63">
        <w:lastRenderedPageBreak/>
        <w:t>an effective remedy in the circumstances of the case</w:t>
      </w:r>
      <w:r>
        <w:t xml:space="preserve"> at stake</w:t>
      </w:r>
      <w:r w:rsidRPr="00DC1D63">
        <w:t>.</w:t>
      </w:r>
      <w:r w:rsidRPr="00192C8E">
        <w:rPr>
          <w:rStyle w:val="FootnoteReference"/>
        </w:rPr>
        <w:footnoteReference w:id="19"/>
      </w:r>
      <w:r w:rsidRPr="00192C8E">
        <w:rPr>
          <w:rStyle w:val="FootnoteReference"/>
        </w:rPr>
        <w:t xml:space="preserve"> </w:t>
      </w:r>
      <w:r>
        <w:t>T</w:t>
      </w:r>
      <w:r w:rsidRPr="00DC1D63">
        <w:t>he Committee notes that the municipal authorities and domestic courts have consistently denied the author</w:t>
      </w:r>
      <w:r>
        <w:t xml:space="preserve"> and other activists</w:t>
      </w:r>
      <w:r w:rsidRPr="00DC1D63">
        <w:t xml:space="preserve"> </w:t>
      </w:r>
      <w:r>
        <w:t>the</w:t>
      </w:r>
      <w:r w:rsidRPr="00DC1D63">
        <w:t xml:space="preserve"> possibility </w:t>
      </w:r>
      <w:r>
        <w:t>of</w:t>
      </w:r>
      <w:r w:rsidRPr="00DC1D63">
        <w:t xml:space="preserve"> organiz</w:t>
      </w:r>
      <w:r>
        <w:t>ing</w:t>
      </w:r>
      <w:r w:rsidRPr="00DC1D63">
        <w:t xml:space="preserve"> rallies</w:t>
      </w:r>
      <w:r>
        <w:t>,</w:t>
      </w:r>
      <w:r w:rsidRPr="00DC1D63">
        <w:t xml:space="preserve"> bas</w:t>
      </w:r>
      <w:r>
        <w:t>ing the decisions</w:t>
      </w:r>
      <w:r w:rsidRPr="00DC1D63">
        <w:t xml:space="preserve"> on legislation banning </w:t>
      </w:r>
      <w:r>
        <w:t xml:space="preserve">the </w:t>
      </w:r>
      <w:r w:rsidRPr="00DC1D63">
        <w:t>promotion</w:t>
      </w:r>
      <w:r>
        <w:t xml:space="preserve">, </w:t>
      </w:r>
      <w:r w:rsidRPr="00DC1D63">
        <w:t>among minors</w:t>
      </w:r>
      <w:r>
        <w:t>,</w:t>
      </w:r>
      <w:r w:rsidRPr="00DC1D63">
        <w:t xml:space="preserve"> of non-traditional sexual relations. </w:t>
      </w:r>
      <w:r>
        <w:t>In this regard, t</w:t>
      </w:r>
      <w:r w:rsidRPr="00DC1D63">
        <w:t>he Committee refers to para</w:t>
      </w:r>
      <w:r>
        <w:t>graph</w:t>
      </w:r>
      <w:r w:rsidRPr="00DC1D63">
        <w:t xml:space="preserve"> 10 (d) of its concluding observations on </w:t>
      </w:r>
      <w:r>
        <w:t xml:space="preserve">the seventh periodic report of the </w:t>
      </w:r>
      <w:r w:rsidRPr="00DC1D63">
        <w:t>Russian Federation,</w:t>
      </w:r>
      <w:r w:rsidRPr="00192C8E">
        <w:rPr>
          <w:rStyle w:val="FootnoteReference"/>
        </w:rPr>
        <w:footnoteReference w:id="20"/>
      </w:r>
      <w:r w:rsidRPr="00192C8E">
        <w:rPr>
          <w:rStyle w:val="FootnoteReference"/>
        </w:rPr>
        <w:t xml:space="preserve"> </w:t>
      </w:r>
      <w:r>
        <w:t>in which</w:t>
      </w:r>
      <w:r w:rsidRPr="00DC1D63">
        <w:t xml:space="preserve"> it </w:t>
      </w:r>
      <w:r>
        <w:t xml:space="preserve">expressed </w:t>
      </w:r>
      <w:r w:rsidRPr="00DC1D63">
        <w:t xml:space="preserve">concern </w:t>
      </w:r>
      <w:r>
        <w:t>that</w:t>
      </w:r>
      <w:r w:rsidRPr="00DC1D63">
        <w:t xml:space="preserve"> such legislation</w:t>
      </w:r>
      <w:r>
        <w:t xml:space="preserve"> exacerbated negative stereotypes against lesbian, gay, bisexual and transgender persons</w:t>
      </w:r>
      <w:r w:rsidRPr="00DC1D63">
        <w:t xml:space="preserve"> and </w:t>
      </w:r>
      <w:r>
        <w:t xml:space="preserve">represented a </w:t>
      </w:r>
      <w:r w:rsidRPr="00DC1D63">
        <w:t>disproportionate restriction on their rights under the Covenant. The Committee referred, in particular, to two Constitutional Court rulings, No.</w:t>
      </w:r>
      <w:r w:rsidR="00995ABD">
        <w:t xml:space="preserve"> </w:t>
      </w:r>
      <w:r w:rsidRPr="00DC1D63">
        <w:t>151-O-O of 19 January 2010 and No.</w:t>
      </w:r>
      <w:r w:rsidR="00995ABD">
        <w:t xml:space="preserve"> </w:t>
      </w:r>
      <w:r w:rsidRPr="00DC1D63">
        <w:t xml:space="preserve">24-P of 23 September 2014, which </w:t>
      </w:r>
      <w:r>
        <w:t xml:space="preserve">had </w:t>
      </w:r>
      <w:r w:rsidRPr="00DC1D63">
        <w:t>upheld the legality of such legislation. The Committee considers that the systematic application of th</w:t>
      </w:r>
      <w:r>
        <w:t>is</w:t>
      </w:r>
      <w:r w:rsidRPr="00DC1D63">
        <w:t xml:space="preserve"> legislation to </w:t>
      </w:r>
      <w:r>
        <w:t xml:space="preserve">lesbian, gay, bisexual and transgender </w:t>
      </w:r>
      <w:r w:rsidRPr="00DC1D63">
        <w:t xml:space="preserve">assemblies by the authorities, and the support of </w:t>
      </w:r>
      <w:r>
        <w:t>this</w:t>
      </w:r>
      <w:r w:rsidRPr="00DC1D63">
        <w:t xml:space="preserve"> practice by the courts, in particular by the Constitutional Court of the State party, render improbable a successful outcome for the author</w:t>
      </w:r>
      <w:r w:rsidRPr="00DC1D63" w:rsidDel="00D73BC6">
        <w:t xml:space="preserve"> </w:t>
      </w:r>
      <w:r>
        <w:t>in</w:t>
      </w:r>
      <w:r w:rsidRPr="00DC1D63">
        <w:t xml:space="preserve"> the cassation appeal procedure.</w:t>
      </w:r>
      <w:r w:rsidRPr="00192C8E">
        <w:rPr>
          <w:rStyle w:val="FootnoteReference"/>
        </w:rPr>
        <w:footnoteReference w:id="21"/>
      </w:r>
      <w:r w:rsidRPr="00192C8E">
        <w:rPr>
          <w:rStyle w:val="FootnoteReference"/>
        </w:rPr>
        <w:t xml:space="preserve"> </w:t>
      </w:r>
      <w:r w:rsidRPr="00DC1D63">
        <w:t xml:space="preserve">In the absence of information from the State party on changes </w:t>
      </w:r>
      <w:r>
        <w:t>to</w:t>
      </w:r>
      <w:r w:rsidRPr="00DC1D63">
        <w:t xml:space="preserve"> the legislation</w:t>
      </w:r>
      <w:r>
        <w:t xml:space="preserve"> </w:t>
      </w:r>
      <w:r w:rsidRPr="00DC1D63">
        <w:t xml:space="preserve">or administrative practice on this matter, and on the potential effectiveness of the new cassation recourse to challenge the application of this legislative scheme, </w:t>
      </w:r>
      <w:r>
        <w:t xml:space="preserve">and in the absence of examples of </w:t>
      </w:r>
      <w:r w:rsidRPr="00DC1D63">
        <w:t>judicial decisions</w:t>
      </w:r>
      <w:r>
        <w:t xml:space="preserve"> </w:t>
      </w:r>
      <w:r w:rsidRPr="00DC1D63">
        <w:t xml:space="preserve">quashing administrative decisions denying authorization of </w:t>
      </w:r>
      <w:r>
        <w:t xml:space="preserve">lesbian, gay, bisexual and transgender </w:t>
      </w:r>
      <w:r w:rsidRPr="00DC1D63">
        <w:t>assemblies</w:t>
      </w:r>
      <w:r w:rsidRPr="00CD0413">
        <w:t xml:space="preserve"> since 2015</w:t>
      </w:r>
      <w:r w:rsidRPr="00DC1D63">
        <w:t>, the Committee finds that</w:t>
      </w:r>
      <w:r>
        <w:t>, in the circumstances of the present case,</w:t>
      </w:r>
      <w:r w:rsidRPr="00DC1D63">
        <w:t xml:space="preserve"> the cassation procedure under the Civil Procedure Code is not to be considered a remedy </w:t>
      </w:r>
      <w:r>
        <w:t>that</w:t>
      </w:r>
      <w:r w:rsidRPr="00DC1D63">
        <w:t xml:space="preserve"> the author w</w:t>
      </w:r>
      <w:r>
        <w:t>as</w:t>
      </w:r>
      <w:r w:rsidRPr="00DC1D63">
        <w:t xml:space="preserve"> required to exhaust for the purpose of admissibility. The Committee therefore finds that it is not precluded by article 5 (2) (b) of the Optional </w:t>
      </w:r>
      <w:r>
        <w:t>p</w:t>
      </w:r>
      <w:r w:rsidRPr="00DC1D63">
        <w:t>rotocol from examining th</w:t>
      </w:r>
      <w:r>
        <w:t xml:space="preserve">e present </w:t>
      </w:r>
      <w:r w:rsidRPr="00DC1D63">
        <w:t>communication.</w:t>
      </w:r>
    </w:p>
    <w:p w14:paraId="56AC4FBA" w14:textId="5A6B6D4C" w:rsidR="00192C8E" w:rsidRDefault="00192C8E" w:rsidP="00192C8E">
      <w:pPr>
        <w:pStyle w:val="SingleTxtG"/>
        <w:rPr>
          <w:lang w:val="en-US"/>
        </w:rPr>
      </w:pPr>
      <w:r>
        <w:t>6.6</w:t>
      </w:r>
      <w:r>
        <w:tab/>
      </w:r>
      <w:r w:rsidRPr="00536CE3">
        <w:rPr>
          <w:lang w:val="en-US"/>
        </w:rPr>
        <w:t>The Committee notes the author</w:t>
      </w:r>
      <w:r>
        <w:rPr>
          <w:lang w:val="en-US"/>
        </w:rPr>
        <w:t>’s claim that his rights under articles 21 and 26 have been violated since he was denied</w:t>
      </w:r>
      <w:r w:rsidRPr="003E17A4">
        <w:rPr>
          <w:lang w:val="en-US"/>
        </w:rPr>
        <w:t xml:space="preserve"> an opportunity to hold a </w:t>
      </w:r>
      <w:r>
        <w:rPr>
          <w:lang w:val="en-US"/>
        </w:rPr>
        <w:t>gay pride p</w:t>
      </w:r>
      <w:r w:rsidRPr="003E17A4">
        <w:rPr>
          <w:lang w:val="en-US"/>
        </w:rPr>
        <w:t>arade</w:t>
      </w:r>
      <w:r>
        <w:rPr>
          <w:lang w:val="en-US"/>
        </w:rPr>
        <w:t xml:space="preserve"> and </w:t>
      </w:r>
      <w:r w:rsidRPr="007F5455">
        <w:rPr>
          <w:lang w:val="en-US"/>
        </w:rPr>
        <w:t xml:space="preserve">he was discriminated </w:t>
      </w:r>
      <w:r>
        <w:rPr>
          <w:lang w:val="en-US"/>
        </w:rPr>
        <w:t xml:space="preserve">against </w:t>
      </w:r>
      <w:r w:rsidRPr="007F5455">
        <w:rPr>
          <w:lang w:val="en-US"/>
        </w:rPr>
        <w:t>based on his sexual orientation</w:t>
      </w:r>
      <w:r>
        <w:rPr>
          <w:lang w:val="en-US"/>
        </w:rPr>
        <w:t xml:space="preserve">. </w:t>
      </w:r>
      <w:r w:rsidRPr="00C436A3">
        <w:t>The</w:t>
      </w:r>
      <w:r w:rsidRPr="008C00E7">
        <w:t xml:space="preserve"> Committee considers that </w:t>
      </w:r>
      <w:r>
        <w:t xml:space="preserve">these claims have been sufficiently </w:t>
      </w:r>
      <w:r w:rsidRPr="008C00E7">
        <w:t xml:space="preserve">substantiated for the purposes of admissibility. It therefore declares </w:t>
      </w:r>
      <w:r>
        <w:t>them</w:t>
      </w:r>
      <w:r w:rsidRPr="008C00E7">
        <w:t xml:space="preserve"> admissible and proceeds with </w:t>
      </w:r>
      <w:r>
        <w:t>its</w:t>
      </w:r>
      <w:r w:rsidRPr="008C00E7">
        <w:t xml:space="preserve"> examination of the merits.</w:t>
      </w:r>
    </w:p>
    <w:p w14:paraId="2B7B649E" w14:textId="77777777" w:rsidR="00192C8E" w:rsidRPr="008C00E7" w:rsidRDefault="00192C8E" w:rsidP="00192C8E">
      <w:pPr>
        <w:pStyle w:val="H4G"/>
      </w:pPr>
      <w:r>
        <w:tab/>
      </w:r>
      <w:r>
        <w:tab/>
      </w:r>
      <w:r w:rsidRPr="008C00E7">
        <w:t>Consideration of the merits</w:t>
      </w:r>
    </w:p>
    <w:p w14:paraId="37CFD744" w14:textId="77777777" w:rsidR="00192C8E" w:rsidRDefault="00192C8E" w:rsidP="00192C8E">
      <w:pPr>
        <w:pStyle w:val="SingleTxtG"/>
      </w:pPr>
      <w:r>
        <w:t>7.1</w:t>
      </w:r>
      <w:r>
        <w:tab/>
      </w:r>
      <w:r w:rsidRPr="008C00E7">
        <w:t>The Committee has considered the communication in</w:t>
      </w:r>
      <w:r>
        <w:t xml:space="preserve"> </w:t>
      </w:r>
      <w:r w:rsidRPr="008C00E7">
        <w:t>light of all the information submitted by the parties, in accordance with article 5 (1) of the Optional Protocol.</w:t>
      </w:r>
    </w:p>
    <w:p w14:paraId="2A832F53" w14:textId="77777777" w:rsidR="004F0165" w:rsidRDefault="00192C8E" w:rsidP="00192C8E">
      <w:pPr>
        <w:pStyle w:val="SingleTxtG"/>
        <w:rPr>
          <w:rStyle w:val="FootnoteReference"/>
        </w:rPr>
      </w:pPr>
      <w:r>
        <w:t>7.2</w:t>
      </w:r>
      <w:r>
        <w:tab/>
      </w:r>
      <w:r w:rsidRPr="0072412E">
        <w:t xml:space="preserve">The Committee </w:t>
      </w:r>
      <w:r>
        <w:t xml:space="preserve">has taken note of the author’s claim of violations of his rights under articles 21 and 26 of the Covenant. The Committee </w:t>
      </w:r>
      <w:r w:rsidRPr="0072412E">
        <w:t>recalls</w:t>
      </w:r>
      <w:r>
        <w:t xml:space="preserve"> that</w:t>
      </w:r>
      <w:r w:rsidRPr="0072412E">
        <w:t xml:space="preserve"> </w:t>
      </w:r>
      <w:r>
        <w:t>the right of peaceful assembly protects the ability of people to exercise individual autonomy in solidarity with others. Together with other related rights it also constitutes the very foundation of a system of participatory governance based on democracy, human rights, the rule of law and pluralism.</w:t>
      </w:r>
      <w:r w:rsidRPr="00192C8E">
        <w:rPr>
          <w:rStyle w:val="FootnoteReference"/>
        </w:rPr>
        <w:footnoteReference w:id="22"/>
      </w:r>
      <w:r w:rsidRPr="00192C8E">
        <w:rPr>
          <w:rStyle w:val="FootnoteReference"/>
        </w:rPr>
        <w:t xml:space="preserve"> </w:t>
      </w:r>
      <w:r>
        <w:t>Moreover, States must ensure that laws and their interpretation and application do not result in discrimination in the enjoyment of the right of peaceful assembly, for example on the basis of sexual orientation or gender identity.</w:t>
      </w:r>
      <w:r w:rsidRPr="00192C8E">
        <w:rPr>
          <w:rStyle w:val="FootnoteReference"/>
        </w:rPr>
        <w:footnoteReference w:id="23"/>
      </w:r>
    </w:p>
    <w:p w14:paraId="7FE86E12" w14:textId="3FDF64BA" w:rsidR="004F0165" w:rsidRDefault="00192C8E" w:rsidP="00192C8E">
      <w:pPr>
        <w:pStyle w:val="SingleTxtG"/>
        <w:rPr>
          <w:rStyle w:val="FootnoteReference"/>
        </w:rPr>
      </w:pPr>
      <w:r>
        <w:t>7.3</w:t>
      </w:r>
      <w:r>
        <w:tab/>
        <w:t>The Committee recalls that article 21 protects peaceful assemblies wherever they take place, including outdoors, indoors and online, and in public and private spaces.</w:t>
      </w:r>
      <w:r w:rsidRPr="00192C8E">
        <w:rPr>
          <w:rStyle w:val="FootnoteReference"/>
        </w:rPr>
        <w:footnoteReference w:id="24"/>
      </w:r>
      <w:r w:rsidRPr="00192C8E">
        <w:rPr>
          <w:rStyle w:val="FootnoteReference"/>
        </w:rPr>
        <w:t xml:space="preserve"> </w:t>
      </w:r>
      <w:r>
        <w:t>N</w:t>
      </w:r>
      <w:r w:rsidRPr="0072412E">
        <w:t xml:space="preserve">o restriction </w:t>
      </w:r>
      <w:r>
        <w:t>on</w:t>
      </w:r>
      <w:r w:rsidRPr="0072412E">
        <w:t xml:space="preserve"> th</w:t>
      </w:r>
      <w:r>
        <w:t>e</w:t>
      </w:r>
      <w:r w:rsidRPr="0072412E">
        <w:t xml:space="preserve"> right is permissible unless it is: (a) imposed in conformity with the law; and (b) </w:t>
      </w:r>
      <w:r>
        <w:t xml:space="preserve">is </w:t>
      </w:r>
      <w:r w:rsidRPr="0072412E">
        <w:t xml:space="preserve">necessary in a democratic society in the interests of national security or public safety, public order, </w:t>
      </w:r>
      <w:r>
        <w:t xml:space="preserve">the </w:t>
      </w:r>
      <w:r w:rsidRPr="0072412E">
        <w:t xml:space="preserve">protection of public health or morals or </w:t>
      </w:r>
      <w:r>
        <w:t xml:space="preserve">the </w:t>
      </w:r>
      <w:r w:rsidRPr="0072412E">
        <w:t>protection of the rights and freedoms of others.</w:t>
      </w:r>
      <w:r>
        <w:t xml:space="preserve"> The onus is on </w:t>
      </w:r>
      <w:r w:rsidRPr="0072412E">
        <w:t>State</w:t>
      </w:r>
      <w:r w:rsidR="00F41357">
        <w:t>s</w:t>
      </w:r>
      <w:r w:rsidRPr="0072412E">
        <w:t xml:space="preserve"> part</w:t>
      </w:r>
      <w:r>
        <w:t>ies</w:t>
      </w:r>
      <w:r w:rsidRPr="0072412E">
        <w:t xml:space="preserve"> to justify </w:t>
      </w:r>
      <w:r>
        <w:t xml:space="preserve">the </w:t>
      </w:r>
      <w:r w:rsidRPr="0072412E">
        <w:t>limitation</w:t>
      </w:r>
      <w:r>
        <w:t>s</w:t>
      </w:r>
      <w:r w:rsidRPr="0072412E">
        <w:t xml:space="preserve"> o</w:t>
      </w:r>
      <w:r>
        <w:t>n</w:t>
      </w:r>
      <w:r w:rsidRPr="0072412E">
        <w:t xml:space="preserve"> the right </w:t>
      </w:r>
      <w:r w:rsidRPr="0072412E">
        <w:lastRenderedPageBreak/>
        <w:t>protected by article 21 of the Covenant</w:t>
      </w:r>
      <w:r w:rsidRPr="00C64063">
        <w:t xml:space="preserve"> and to demonstrate that it does not serve as </w:t>
      </w:r>
      <w:r>
        <w:t xml:space="preserve">a </w:t>
      </w:r>
      <w:r w:rsidRPr="00C64063">
        <w:t xml:space="preserve">disproportionate obstacle </w:t>
      </w:r>
      <w:r>
        <w:t>to</w:t>
      </w:r>
      <w:r w:rsidRPr="00C64063">
        <w:t xml:space="preserve"> the exercise of the right</w:t>
      </w:r>
      <w:r w:rsidRPr="0072412E">
        <w:t>.</w:t>
      </w:r>
      <w:r w:rsidRPr="00192C8E">
        <w:rPr>
          <w:rStyle w:val="FootnoteReference"/>
        </w:rPr>
        <w:footnoteReference w:id="25"/>
      </w:r>
    </w:p>
    <w:p w14:paraId="30FE910C" w14:textId="05BB5CEC" w:rsidR="00192C8E" w:rsidRPr="00192C8E" w:rsidRDefault="00192C8E" w:rsidP="00192C8E">
      <w:pPr>
        <w:pStyle w:val="SingleTxtG"/>
        <w:rPr>
          <w:rStyle w:val="FootnoteReference"/>
        </w:rPr>
      </w:pPr>
      <w:r>
        <w:t>7.4</w:t>
      </w:r>
      <w:r>
        <w:tab/>
        <w:t>The Committee considers that the authorities must show that any r</w:t>
      </w:r>
      <w:r w:rsidRPr="00C77002">
        <w:t xml:space="preserve">estrictions </w:t>
      </w:r>
      <w:r w:rsidRPr="00C546BE">
        <w:t>meet the requirement of legality</w:t>
      </w:r>
      <w:r w:rsidRPr="00C77002">
        <w:t xml:space="preserve">, and are </w:t>
      </w:r>
      <w:r w:rsidRPr="00C546BE">
        <w:t>also</w:t>
      </w:r>
      <w:r>
        <w:t xml:space="preserve"> both </w:t>
      </w:r>
      <w:r w:rsidRPr="00C77002">
        <w:t xml:space="preserve">necessary </w:t>
      </w:r>
      <w:r>
        <w:t xml:space="preserve">for </w:t>
      </w:r>
      <w:r w:rsidRPr="00C77002">
        <w:t xml:space="preserve">and proportionate to </w:t>
      </w:r>
      <w:r>
        <w:t xml:space="preserve">at least one of </w:t>
      </w:r>
      <w:r w:rsidRPr="00C77002">
        <w:t>the permissible grounds for restrict</w:t>
      </w:r>
      <w:r>
        <w:t>ions enumerated in article 21</w:t>
      </w:r>
      <w:r w:rsidRPr="00C77002">
        <w:t>.</w:t>
      </w:r>
      <w:r>
        <w:t xml:space="preserve"> </w:t>
      </w:r>
      <w:r w:rsidRPr="00C77002">
        <w:t>Restrictions</w:t>
      </w:r>
      <w:r>
        <w:t xml:space="preserve"> must not be discriminatory, impair the essence of the right, or</w:t>
      </w:r>
      <w:r w:rsidRPr="00C77002">
        <w:t xml:space="preserve"> be aimed at discouraging participation in assemblies </w:t>
      </w:r>
      <w:r>
        <w:t>or</w:t>
      </w:r>
      <w:r w:rsidRPr="00C77002">
        <w:t xml:space="preserve"> caus</w:t>
      </w:r>
      <w:r>
        <w:t>e</w:t>
      </w:r>
      <w:r w:rsidRPr="00C77002">
        <w:t xml:space="preserve"> a chilling effect.</w:t>
      </w:r>
      <w:r w:rsidRPr="00192C8E">
        <w:rPr>
          <w:rStyle w:val="FootnoteReference"/>
        </w:rPr>
        <w:footnoteReference w:id="26"/>
      </w:r>
      <w:r w:rsidRPr="00192C8E">
        <w:rPr>
          <w:rStyle w:val="FootnoteReference"/>
        </w:rPr>
        <w:t xml:space="preserve"> </w:t>
      </w:r>
      <w:r>
        <w:t>Where this onus is not met, article 21 is violated.</w:t>
      </w:r>
      <w:r w:rsidRPr="00192C8E">
        <w:rPr>
          <w:rStyle w:val="FootnoteReference"/>
        </w:rPr>
        <w:footnoteReference w:id="27"/>
      </w:r>
    </w:p>
    <w:p w14:paraId="310F3FF1" w14:textId="77777777" w:rsidR="00192C8E" w:rsidRPr="00192C8E" w:rsidRDefault="00192C8E" w:rsidP="00192C8E">
      <w:pPr>
        <w:pStyle w:val="SingleTxtG"/>
        <w:rPr>
          <w:rStyle w:val="FootnoteReference"/>
        </w:rPr>
      </w:pPr>
      <w:r>
        <w:t>7.5</w:t>
      </w:r>
      <w:r>
        <w:tab/>
        <w:t xml:space="preserve">The Committee notes that </w:t>
      </w:r>
      <w:r w:rsidRPr="00C77002">
        <w:t xml:space="preserve">States parties moreover have </w:t>
      </w:r>
      <w:r w:rsidRPr="005348BD">
        <w:t>certain positive duties</w:t>
      </w:r>
      <w:r w:rsidRPr="00C77002">
        <w:t xml:space="preserve"> to </w:t>
      </w:r>
      <w:r w:rsidRPr="00191536">
        <w:t>facilitate</w:t>
      </w:r>
      <w:r w:rsidRPr="00454AEA">
        <w:t xml:space="preserve"> </w:t>
      </w:r>
      <w:r w:rsidRPr="00C77002">
        <w:t>peaceful assemblies, and to make it possible for participants to achieve their objectives</w:t>
      </w:r>
      <w:r w:rsidRPr="00B65764">
        <w:t>.</w:t>
      </w:r>
      <w:r w:rsidRPr="00192C8E">
        <w:rPr>
          <w:rStyle w:val="FootnoteReference"/>
        </w:rPr>
        <w:footnoteReference w:id="28"/>
      </w:r>
      <w:r w:rsidRPr="00192C8E">
        <w:rPr>
          <w:rStyle w:val="FootnoteReference"/>
        </w:rPr>
        <w:t xml:space="preserve"> </w:t>
      </w:r>
      <w:r w:rsidRPr="00C77002">
        <w:t>States must promote an enabling environment for the exercise of the right of peaceful assembly</w:t>
      </w:r>
      <w:r>
        <w:t xml:space="preserve"> </w:t>
      </w:r>
      <w:r w:rsidRPr="005348BD">
        <w:t>without discrimination</w:t>
      </w:r>
      <w:r>
        <w:t>,</w:t>
      </w:r>
      <w:r w:rsidRPr="00C77002">
        <w:t xml:space="preserve"> and </w:t>
      </w:r>
      <w:r>
        <w:t xml:space="preserve">must </w:t>
      </w:r>
      <w:r w:rsidRPr="00C77002">
        <w:t xml:space="preserve">put in place a legal and institutional framework within which the right can be exercised effectively. </w:t>
      </w:r>
      <w:r>
        <w:t>S</w:t>
      </w:r>
      <w:r w:rsidRPr="00C77002">
        <w:t xml:space="preserve">pecific </w:t>
      </w:r>
      <w:r w:rsidRPr="00B65764">
        <w:t>measures</w:t>
      </w:r>
      <w:r w:rsidRPr="00C77002">
        <w:t xml:space="preserve"> may </w:t>
      </w:r>
      <w:r>
        <w:t xml:space="preserve">sometimes </w:t>
      </w:r>
      <w:r w:rsidRPr="00C77002">
        <w:t xml:space="preserve">be required on the part of the authorities. For example, they may need to block off streets, redirect traffic </w:t>
      </w:r>
      <w:r>
        <w:t xml:space="preserve">or </w:t>
      </w:r>
      <w:r w:rsidRPr="00C77002">
        <w:t xml:space="preserve">provide security. Where needed, States must also </w:t>
      </w:r>
      <w:r w:rsidRPr="00191536">
        <w:t>protect</w:t>
      </w:r>
      <w:r w:rsidRPr="00454AEA">
        <w:t xml:space="preserve"> </w:t>
      </w:r>
      <w:r w:rsidRPr="00C77002">
        <w:t>participants against possible abuse by non-State actors, such as interference or violence by other members of the public,</w:t>
      </w:r>
      <w:r w:rsidRPr="00192C8E">
        <w:rPr>
          <w:rStyle w:val="FootnoteReference"/>
        </w:rPr>
        <w:footnoteReference w:id="29"/>
      </w:r>
      <w:r w:rsidRPr="00192C8E">
        <w:rPr>
          <w:rStyle w:val="FootnoteReference"/>
        </w:rPr>
        <w:t xml:space="preserve"> </w:t>
      </w:r>
      <w:r w:rsidRPr="00C77002">
        <w:t>counterdemonstrators and private security providers.</w:t>
      </w:r>
      <w:r w:rsidRPr="00192C8E">
        <w:rPr>
          <w:rStyle w:val="FootnoteReference"/>
        </w:rPr>
        <w:footnoteReference w:id="30"/>
      </w:r>
    </w:p>
    <w:p w14:paraId="5D8A2C5B" w14:textId="77777777" w:rsidR="004F0165" w:rsidRDefault="00192C8E" w:rsidP="00192C8E">
      <w:pPr>
        <w:pStyle w:val="SingleTxtG"/>
      </w:pPr>
      <w:r>
        <w:t>7.6</w:t>
      </w:r>
      <w:r>
        <w:tab/>
        <w:t xml:space="preserve">In the present case, the Committee observes that both the State party and the author agree that the failure </w:t>
      </w:r>
      <w:r w:rsidRPr="00403480">
        <w:t>to a</w:t>
      </w:r>
      <w:r>
        <w:t>uthorize a gay pride parade to be held in Moscow on 23 April 2014 was an interference with the author’s right of assembly, but the parties disagree as to whether the restriction in question was permissible</w:t>
      </w:r>
      <w:r w:rsidRPr="00403480">
        <w:t>.</w:t>
      </w:r>
    </w:p>
    <w:p w14:paraId="2E59513F" w14:textId="77777777" w:rsidR="004F0165" w:rsidRDefault="00192C8E" w:rsidP="00192C8E">
      <w:pPr>
        <w:pStyle w:val="SingleTxtG"/>
        <w:rPr>
          <w:lang w:val="en-US"/>
        </w:rPr>
      </w:pPr>
      <w:r>
        <w:t>7.7</w:t>
      </w:r>
      <w:r>
        <w:tab/>
        <w:t xml:space="preserve">The Committee notes the State party’s contention that its decision to refuse the holding of the parade with the stated purpose – promotion of the </w:t>
      </w:r>
      <w:r w:rsidRPr="00E54E94">
        <w:t>rights and freedom</w:t>
      </w:r>
      <w:r>
        <w:t>s</w:t>
      </w:r>
      <w:r w:rsidRPr="00E54E94">
        <w:t xml:space="preserve"> of </w:t>
      </w:r>
      <w:r w:rsidRPr="000C6A8E">
        <w:t>sexual minorities</w:t>
      </w:r>
      <w:r w:rsidRPr="00772451">
        <w:t xml:space="preserve"> </w:t>
      </w:r>
      <w:r>
        <w:t xml:space="preserve">– was </w:t>
      </w:r>
      <w:r w:rsidRPr="001A4ADD">
        <w:t>necessary</w:t>
      </w:r>
      <w:r>
        <w:t xml:space="preserve"> </w:t>
      </w:r>
      <w:r w:rsidRPr="007A13AE">
        <w:t>and proportional</w:t>
      </w:r>
      <w:r>
        <w:t xml:space="preserve">, and its contention that it was the only possible measure in a democratic society for </w:t>
      </w:r>
      <w:r w:rsidRPr="00270876">
        <w:t>protect</w:t>
      </w:r>
      <w:r>
        <w:t>ing</w:t>
      </w:r>
      <w:r w:rsidRPr="00270876">
        <w:t xml:space="preserve"> </w:t>
      </w:r>
      <w:r>
        <w:t>minors</w:t>
      </w:r>
      <w:r w:rsidRPr="00270876">
        <w:t xml:space="preserve"> from </w:t>
      </w:r>
      <w:r w:rsidRPr="00790F30">
        <w:t>information detrimental to their moral and spiritual development and health</w:t>
      </w:r>
      <w:r>
        <w:t xml:space="preserve">. </w:t>
      </w:r>
      <w:r w:rsidRPr="00720A7F">
        <w:t xml:space="preserve">The Committee </w:t>
      </w:r>
      <w:r>
        <w:t xml:space="preserve">also </w:t>
      </w:r>
      <w:r w:rsidRPr="00720A7F">
        <w:t>notes the State party</w:t>
      </w:r>
      <w:r>
        <w:t>’</w:t>
      </w:r>
      <w:r w:rsidRPr="00720A7F">
        <w:t xml:space="preserve">s </w:t>
      </w:r>
      <w:r>
        <w:t>claim</w:t>
      </w:r>
      <w:r w:rsidRPr="00720A7F">
        <w:t xml:space="preserve"> that </w:t>
      </w:r>
      <w:r>
        <w:t xml:space="preserve">it would not be possible to hold the parade owing to the fact that it would </w:t>
      </w:r>
      <w:r w:rsidRPr="00F308AF">
        <w:t xml:space="preserve">coincide with the celebration of </w:t>
      </w:r>
      <w:r>
        <w:t>a</w:t>
      </w:r>
      <w:r w:rsidRPr="00F308AF">
        <w:t xml:space="preserve"> religious holiday </w:t>
      </w:r>
      <w:r>
        <w:t xml:space="preserve">– </w:t>
      </w:r>
      <w:r w:rsidRPr="00F308AF">
        <w:t>Easter</w:t>
      </w:r>
      <w:r>
        <w:t xml:space="preserve"> –</w:t>
      </w:r>
      <w:r w:rsidRPr="00F308AF">
        <w:t xml:space="preserve"> </w:t>
      </w:r>
      <w:r>
        <w:t>and</w:t>
      </w:r>
      <w:r w:rsidRPr="00F308AF">
        <w:t xml:space="preserve"> the celebration of the </w:t>
      </w:r>
      <w:r>
        <w:t>seventieth</w:t>
      </w:r>
      <w:r w:rsidRPr="00F308AF">
        <w:t xml:space="preserve"> anniversary of the liberation of Sevastopol from the German-fascist </w:t>
      </w:r>
      <w:r>
        <w:t xml:space="preserve">occupation. </w:t>
      </w:r>
      <w:r>
        <w:rPr>
          <w:lang w:val="en-US"/>
        </w:rPr>
        <w:t xml:space="preserve">The Committee also notes the author’s statement that he was willing to exercise his right to peaceful assembly with </w:t>
      </w:r>
      <w:r w:rsidRPr="005302C0">
        <w:rPr>
          <w:lang w:val="en-US"/>
        </w:rPr>
        <w:t>the announced purpose</w:t>
      </w:r>
      <w:r w:rsidRPr="00734F78">
        <w:rPr>
          <w:lang w:val="en-US"/>
        </w:rPr>
        <w:t xml:space="preserve"> while guaranteeing respect </w:t>
      </w:r>
      <w:r>
        <w:rPr>
          <w:lang w:val="en-US"/>
        </w:rPr>
        <w:t>for</w:t>
      </w:r>
      <w:r w:rsidRPr="00734F78">
        <w:rPr>
          <w:lang w:val="en-US"/>
        </w:rPr>
        <w:t xml:space="preserve"> public order and norms of public morality</w:t>
      </w:r>
      <w:r>
        <w:rPr>
          <w:lang w:val="en-US"/>
        </w:rPr>
        <w:t>,</w:t>
      </w:r>
      <w:r w:rsidRPr="00734F78">
        <w:rPr>
          <w:lang w:val="en-US"/>
        </w:rPr>
        <w:t xml:space="preserve"> and </w:t>
      </w:r>
      <w:r>
        <w:rPr>
          <w:lang w:val="en-US"/>
        </w:rPr>
        <w:t xml:space="preserve">that he had </w:t>
      </w:r>
      <w:r w:rsidRPr="00734F78">
        <w:rPr>
          <w:lang w:val="en-US"/>
        </w:rPr>
        <w:t>inform</w:t>
      </w:r>
      <w:r>
        <w:rPr>
          <w:lang w:val="en-US"/>
        </w:rPr>
        <w:t>ed</w:t>
      </w:r>
      <w:r w:rsidRPr="00734F78">
        <w:rPr>
          <w:lang w:val="en-US"/>
        </w:rPr>
        <w:t xml:space="preserve"> the authorities about his readiness to modify the </w:t>
      </w:r>
      <w:r>
        <w:rPr>
          <w:lang w:val="en-US"/>
        </w:rPr>
        <w:t>route</w:t>
      </w:r>
      <w:r w:rsidRPr="00734F78">
        <w:rPr>
          <w:lang w:val="en-US"/>
        </w:rPr>
        <w:t xml:space="preserve"> of the parade.</w:t>
      </w:r>
    </w:p>
    <w:p w14:paraId="6BE62F7C" w14:textId="18D494B3" w:rsidR="00192C8E" w:rsidRPr="004E4ED3" w:rsidRDefault="00192C8E" w:rsidP="00192C8E">
      <w:pPr>
        <w:pStyle w:val="SingleTxtG"/>
      </w:pPr>
      <w:r>
        <w:t>7.8</w:t>
      </w:r>
      <w:r>
        <w:tab/>
        <w:t>The Committee notes that</w:t>
      </w:r>
      <w:r w:rsidRPr="00C77002">
        <w:rPr>
          <w:color w:val="000000"/>
        </w:rPr>
        <w:t xml:space="preserve"> </w:t>
      </w:r>
      <w:r>
        <w:rPr>
          <w:color w:val="000000"/>
        </w:rPr>
        <w:t>r</w:t>
      </w:r>
      <w:r w:rsidRPr="00C77002">
        <w:rPr>
          <w:color w:val="000000"/>
        </w:rPr>
        <w:t xml:space="preserve">estrictions on peaceful assemblies should only exceptionally be imposed for the protection of </w:t>
      </w:r>
      <w:r>
        <w:rPr>
          <w:color w:val="000000"/>
        </w:rPr>
        <w:t>“</w:t>
      </w:r>
      <w:r w:rsidRPr="00C77002">
        <w:rPr>
          <w:color w:val="000000"/>
        </w:rPr>
        <w:t>morals</w:t>
      </w:r>
      <w:r>
        <w:rPr>
          <w:color w:val="000000"/>
        </w:rPr>
        <w:t>”</w:t>
      </w:r>
      <w:r w:rsidRPr="00C77002">
        <w:rPr>
          <w:color w:val="000000"/>
        </w:rPr>
        <w:t xml:space="preserve">. If used at all, this ground should not be used to protect understandings of </w:t>
      </w:r>
      <w:r>
        <w:rPr>
          <w:color w:val="000000"/>
        </w:rPr>
        <w:t xml:space="preserve">morality deriving </w:t>
      </w:r>
      <w:r w:rsidRPr="00C77002">
        <w:rPr>
          <w:color w:val="000000"/>
        </w:rPr>
        <w:t xml:space="preserve">exclusively </w:t>
      </w:r>
      <w:r w:rsidRPr="006D7F0B">
        <w:rPr>
          <w:color w:val="000000"/>
        </w:rPr>
        <w:t xml:space="preserve">from a single social, philosophical or religious tradition </w:t>
      </w:r>
      <w:r w:rsidRPr="006D7F0B">
        <w:rPr>
          <w:color w:val="000000"/>
          <w:lang w:val="x-none"/>
        </w:rPr>
        <w:t xml:space="preserve">and any </w:t>
      </w:r>
      <w:r w:rsidRPr="006D7F0B">
        <w:rPr>
          <w:color w:val="000000"/>
          <w:lang w:val="en-US"/>
        </w:rPr>
        <w:t>such restrictions</w:t>
      </w:r>
      <w:r w:rsidRPr="006D7F0B">
        <w:rPr>
          <w:color w:val="000000"/>
          <w:lang w:val="x-none"/>
        </w:rPr>
        <w:t xml:space="preserve"> must be understood in the light of </w:t>
      </w:r>
      <w:r w:rsidRPr="006D7F0B">
        <w:rPr>
          <w:color w:val="000000"/>
          <w:lang w:val="en-US"/>
        </w:rPr>
        <w:t xml:space="preserve">the </w:t>
      </w:r>
      <w:r w:rsidRPr="006D7F0B">
        <w:rPr>
          <w:color w:val="000000"/>
          <w:lang w:val="x-none"/>
        </w:rPr>
        <w:t>universality of human rights</w:t>
      </w:r>
      <w:r>
        <w:rPr>
          <w:color w:val="000000"/>
          <w:lang w:val="en-US"/>
        </w:rPr>
        <w:t>, pluralism</w:t>
      </w:r>
      <w:r w:rsidRPr="006D7F0B">
        <w:rPr>
          <w:color w:val="000000"/>
          <w:lang w:val="x-none"/>
        </w:rPr>
        <w:t xml:space="preserve"> and the principle of non-discrimination</w:t>
      </w:r>
      <w:r w:rsidRPr="006D7F0B">
        <w:rPr>
          <w:color w:val="000000"/>
        </w:rPr>
        <w:t xml:space="preserve">. </w:t>
      </w:r>
      <w:r>
        <w:rPr>
          <w:color w:val="000000"/>
        </w:rPr>
        <w:t>The Committee recalls that r</w:t>
      </w:r>
      <w:r w:rsidRPr="006D7F0B">
        <w:rPr>
          <w:color w:val="000000"/>
        </w:rPr>
        <w:t>estrictions based on this ground may not</w:t>
      </w:r>
      <w:r>
        <w:rPr>
          <w:color w:val="000000"/>
        </w:rPr>
        <w:t>,</w:t>
      </w:r>
      <w:r w:rsidRPr="006D7F0B">
        <w:rPr>
          <w:color w:val="000000"/>
        </w:rPr>
        <w:t xml:space="preserve"> for instance</w:t>
      </w:r>
      <w:r>
        <w:rPr>
          <w:color w:val="000000"/>
        </w:rPr>
        <w:t>,</w:t>
      </w:r>
      <w:r w:rsidRPr="006D7F0B">
        <w:rPr>
          <w:color w:val="000000"/>
        </w:rPr>
        <w:t xml:space="preserve"> </w:t>
      </w:r>
      <w:r>
        <w:rPr>
          <w:color w:val="000000"/>
        </w:rPr>
        <w:t xml:space="preserve">be imposed because of </w:t>
      </w:r>
      <w:r w:rsidRPr="006D7F0B">
        <w:rPr>
          <w:color w:val="000000"/>
        </w:rPr>
        <w:t>opposition to expressions of sexual orientation</w:t>
      </w:r>
      <w:r>
        <w:rPr>
          <w:color w:val="000000"/>
        </w:rPr>
        <w:t xml:space="preserve"> or gender identity</w:t>
      </w:r>
      <w:r w:rsidRPr="006D7F0B">
        <w:rPr>
          <w:color w:val="000000"/>
        </w:rPr>
        <w:t>.</w:t>
      </w:r>
      <w:r w:rsidRPr="00192C8E">
        <w:rPr>
          <w:rStyle w:val="FootnoteReference"/>
        </w:rPr>
        <w:footnoteReference w:id="31"/>
      </w:r>
    </w:p>
    <w:p w14:paraId="0191415D" w14:textId="77777777" w:rsidR="004F0165" w:rsidRDefault="00192C8E" w:rsidP="00192C8E">
      <w:pPr>
        <w:pStyle w:val="SingleTxtG"/>
        <w:rPr>
          <w:color w:val="000000"/>
        </w:rPr>
      </w:pPr>
      <w:r>
        <w:rPr>
          <w:color w:val="000000"/>
        </w:rPr>
        <w:t>7.9</w:t>
      </w:r>
      <w:r>
        <w:rPr>
          <w:color w:val="000000"/>
        </w:rPr>
        <w:tab/>
      </w:r>
      <w:r w:rsidRPr="00C77002">
        <w:rPr>
          <w:color w:val="000000"/>
        </w:rPr>
        <w:t xml:space="preserve">Restrictions imposed on an assembly on the ground that they are for the protection of the rights and freedoms of others may relate to the protection of Covenant or other rights of people not participating in the assembly. </w:t>
      </w:r>
      <w:r>
        <w:rPr>
          <w:color w:val="000000"/>
        </w:rPr>
        <w:t xml:space="preserve">In this case, the Committee considers that there is </w:t>
      </w:r>
      <w:r>
        <w:rPr>
          <w:color w:val="000000"/>
        </w:rPr>
        <w:lastRenderedPageBreak/>
        <w:t>no evidence suggesting that the “</w:t>
      </w:r>
      <w:r w:rsidRPr="008F1CE4">
        <w:rPr>
          <w:color w:val="000000"/>
        </w:rPr>
        <w:t>mere mention of homosexuality</w:t>
      </w:r>
      <w:r>
        <w:rPr>
          <w:color w:val="000000"/>
        </w:rPr>
        <w:t>”,</w:t>
      </w:r>
      <w:r w:rsidRPr="00192C8E">
        <w:rPr>
          <w:rStyle w:val="FootnoteReference"/>
        </w:rPr>
        <w:footnoteReference w:id="32"/>
      </w:r>
      <w:r w:rsidRPr="00192C8E">
        <w:rPr>
          <w:rStyle w:val="FootnoteReference"/>
        </w:rPr>
        <w:t xml:space="preserve"> </w:t>
      </w:r>
      <w:r>
        <w:rPr>
          <w:color w:val="000000"/>
        </w:rPr>
        <w:t>or</w:t>
      </w:r>
      <w:r w:rsidRPr="008F1CE4">
        <w:rPr>
          <w:color w:val="000000"/>
        </w:rPr>
        <w:t xml:space="preserve"> </w:t>
      </w:r>
      <w:r>
        <w:rPr>
          <w:color w:val="000000"/>
        </w:rPr>
        <w:t>public expression of homosexual status, or the call for the respect of the</w:t>
      </w:r>
      <w:r w:rsidRPr="00BB2412">
        <w:rPr>
          <w:color w:val="000000"/>
        </w:rPr>
        <w:t xml:space="preserve"> rights</w:t>
      </w:r>
      <w:r>
        <w:rPr>
          <w:color w:val="000000"/>
        </w:rPr>
        <w:t xml:space="preserve"> of</w:t>
      </w:r>
      <w:r w:rsidRPr="00BB2412">
        <w:rPr>
          <w:color w:val="000000"/>
        </w:rPr>
        <w:t xml:space="preserve"> </w:t>
      </w:r>
      <w:r>
        <w:rPr>
          <w:color w:val="000000"/>
        </w:rPr>
        <w:t xml:space="preserve">homosexuals, could have a negative </w:t>
      </w:r>
      <w:r w:rsidRPr="00BB2412">
        <w:rPr>
          <w:color w:val="000000"/>
        </w:rPr>
        <w:t>effect</w:t>
      </w:r>
      <w:r>
        <w:rPr>
          <w:color w:val="000000"/>
        </w:rPr>
        <w:t xml:space="preserve"> on minors.</w:t>
      </w:r>
    </w:p>
    <w:p w14:paraId="5AA6446A" w14:textId="0243E412" w:rsidR="00192C8E" w:rsidRPr="005F6907" w:rsidRDefault="00192C8E" w:rsidP="00192C8E">
      <w:pPr>
        <w:pStyle w:val="SingleTxtG"/>
      </w:pPr>
      <w:r>
        <w:rPr>
          <w:color w:val="000000"/>
        </w:rPr>
        <w:t>7.10</w:t>
      </w:r>
      <w:r>
        <w:rPr>
          <w:color w:val="000000"/>
        </w:rPr>
        <w:tab/>
      </w:r>
      <w:r w:rsidRPr="00A86B40">
        <w:t xml:space="preserve">The Committee </w:t>
      </w:r>
      <w:r>
        <w:t xml:space="preserve">also </w:t>
      </w:r>
      <w:r w:rsidRPr="00A86B40">
        <w:t>recalls that the participants can freely determine the purpose of a peaceful assembly to advance ideas and aspirational goals in the public domain, and to establish the extent of support for or opposition to those ideas and goals. Central to the reali</w:t>
      </w:r>
      <w:r>
        <w:t>z</w:t>
      </w:r>
      <w:r w:rsidRPr="00A86B40">
        <w:t>ation of the right of peaceful assembly is the requirement that any restrictions must in principle be content neutral,</w:t>
      </w:r>
      <w:r w:rsidRPr="00192C8E">
        <w:rPr>
          <w:rStyle w:val="FootnoteReference"/>
        </w:rPr>
        <w:footnoteReference w:id="33"/>
      </w:r>
      <w:r w:rsidRPr="00192C8E">
        <w:rPr>
          <w:rStyle w:val="FootnoteReference"/>
        </w:rPr>
        <w:t xml:space="preserve"> </w:t>
      </w:r>
      <w:r w:rsidRPr="00A86B40">
        <w:t>and thus not be related to the message conveyed by the assembly. A contrary approach defeats the very purpose of peaceful assemblies as a tool of political and social participation.</w:t>
      </w:r>
      <w:r w:rsidRPr="00192C8E">
        <w:rPr>
          <w:rStyle w:val="FootnoteReference"/>
        </w:rPr>
        <w:footnoteReference w:id="34"/>
      </w:r>
      <w:r w:rsidRPr="00192C8E">
        <w:rPr>
          <w:rStyle w:val="FootnoteReference"/>
        </w:rPr>
        <w:t xml:space="preserve"> </w:t>
      </w:r>
      <w:r w:rsidRPr="00A86B40">
        <w:t>The Committee accordingly considers that in th</w:t>
      </w:r>
      <w:r>
        <w:t xml:space="preserve">e present </w:t>
      </w:r>
      <w:r w:rsidRPr="00A86B40">
        <w:t>case, the State party</w:t>
      </w:r>
      <w:r>
        <w:t>’</w:t>
      </w:r>
      <w:r w:rsidRPr="00A86B40">
        <w:t xml:space="preserve">s restrictions </w:t>
      </w:r>
      <w:r>
        <w:t>imposed on</w:t>
      </w:r>
      <w:r w:rsidRPr="00A86B40">
        <w:t xml:space="preserve"> the author</w:t>
      </w:r>
      <w:r>
        <w:t>’</w:t>
      </w:r>
      <w:r w:rsidRPr="00A86B40">
        <w:t xml:space="preserve">s right to assembly </w:t>
      </w:r>
      <w:r>
        <w:t xml:space="preserve">were </w:t>
      </w:r>
      <w:r w:rsidRPr="00A86B40">
        <w:t xml:space="preserve">directly related to the chosen purpose </w:t>
      </w:r>
      <w:r>
        <w:t xml:space="preserve">and content </w:t>
      </w:r>
      <w:r w:rsidRPr="00A86B40">
        <w:t>of assembly</w:t>
      </w:r>
      <w:r>
        <w:t>,</w:t>
      </w:r>
      <w:r w:rsidRPr="00A86B40">
        <w:t xml:space="preserve"> namely</w:t>
      </w:r>
      <w:r>
        <w:t>,</w:t>
      </w:r>
      <w:r w:rsidRPr="00A86B40">
        <w:t xml:space="preserve"> </w:t>
      </w:r>
      <w:r>
        <w:t xml:space="preserve">an affirmation of homosexuality and </w:t>
      </w:r>
      <w:r w:rsidRPr="00A86B40">
        <w:t xml:space="preserve">the rights of homosexuals. </w:t>
      </w:r>
      <w:r w:rsidRPr="00007C2A">
        <w:t xml:space="preserve">The Committee therefore concludes that </w:t>
      </w:r>
      <w:r>
        <w:t xml:space="preserve">the State party has not shown that </w:t>
      </w:r>
      <w:r w:rsidRPr="00007C2A">
        <w:t xml:space="preserve">the restriction </w:t>
      </w:r>
      <w:r>
        <w:t xml:space="preserve">imposed </w:t>
      </w:r>
      <w:r w:rsidRPr="00007C2A">
        <w:t>on the author</w:t>
      </w:r>
      <w:r>
        <w:t>’</w:t>
      </w:r>
      <w:r w:rsidRPr="00007C2A">
        <w:t>s rights</w:t>
      </w:r>
      <w:r>
        <w:t xml:space="preserve"> were </w:t>
      </w:r>
      <w:r w:rsidRPr="00007C2A">
        <w:t>necessary in a democratic society in the interest</w:t>
      </w:r>
      <w:r>
        <w:t>s</w:t>
      </w:r>
      <w:r w:rsidRPr="00007C2A">
        <w:t xml:space="preserve"> of </w:t>
      </w:r>
      <w:r w:rsidRPr="006432C5">
        <w:t>the protection of public health or morals or the protection of the rights and freedoms of others</w:t>
      </w:r>
      <w:r>
        <w:t xml:space="preserve">. Accordingly, the Committee considers that the facts as submitted reveal a violation of the author’s rights under </w:t>
      </w:r>
      <w:r w:rsidRPr="00007C2A">
        <w:t>article 21 of the Covenant.</w:t>
      </w:r>
      <w:r w:rsidRPr="00192C8E">
        <w:rPr>
          <w:rStyle w:val="FootnoteReference"/>
        </w:rPr>
        <w:footnoteReference w:id="35"/>
      </w:r>
    </w:p>
    <w:p w14:paraId="379B7059" w14:textId="3013047C" w:rsidR="00192C8E" w:rsidRDefault="00192C8E" w:rsidP="00192C8E">
      <w:pPr>
        <w:pStyle w:val="SingleTxtG"/>
      </w:pPr>
      <w:r>
        <w:rPr>
          <w:lang w:val="en-US"/>
        </w:rPr>
        <w:t>7.11</w:t>
      </w:r>
      <w:r>
        <w:rPr>
          <w:lang w:val="en-US"/>
        </w:rPr>
        <w:tab/>
        <w:t xml:space="preserve">The Committee further notes the author’s claim that by prohibiting the parade, the authorities subjected him to discrimination on the basis of his sexual orientation in violation of article 26. It also notes the State party’s claim that </w:t>
      </w:r>
      <w:r w:rsidRPr="00C22C29">
        <w:rPr>
          <w:lang w:val="en-US"/>
        </w:rPr>
        <w:t xml:space="preserve">the motive for </w:t>
      </w:r>
      <w:r>
        <w:rPr>
          <w:lang w:val="en-US"/>
        </w:rPr>
        <w:t xml:space="preserve">prohibiting the </w:t>
      </w:r>
      <w:r w:rsidRPr="00C22C29">
        <w:rPr>
          <w:lang w:val="en-US"/>
        </w:rPr>
        <w:t xml:space="preserve">parade did not include any manifestation of intolerance towards persons with non-traditional sexual </w:t>
      </w:r>
      <w:proofErr w:type="gramStart"/>
      <w:r w:rsidRPr="00C22C29">
        <w:rPr>
          <w:lang w:val="en-US"/>
        </w:rPr>
        <w:t xml:space="preserve">orientation, </w:t>
      </w:r>
      <w:r>
        <w:rPr>
          <w:lang w:val="en-US"/>
        </w:rPr>
        <w:t>but</w:t>
      </w:r>
      <w:proofErr w:type="gramEnd"/>
      <w:r>
        <w:rPr>
          <w:lang w:val="en-US"/>
        </w:rPr>
        <w:t xml:space="preserve"> </w:t>
      </w:r>
      <w:r w:rsidRPr="00C22C29">
        <w:rPr>
          <w:lang w:val="en-US"/>
        </w:rPr>
        <w:t>was</w:t>
      </w:r>
      <w:r>
        <w:rPr>
          <w:lang w:val="en-US"/>
        </w:rPr>
        <w:t xml:space="preserve"> strictly determined by the protection of the </w:t>
      </w:r>
      <w:r w:rsidRPr="00C22C29">
        <w:rPr>
          <w:lang w:val="en-US"/>
        </w:rPr>
        <w:t xml:space="preserve">rights </w:t>
      </w:r>
      <w:r>
        <w:rPr>
          <w:lang w:val="en-US"/>
        </w:rPr>
        <w:t>of minors.</w:t>
      </w:r>
    </w:p>
    <w:p w14:paraId="5CA0AE4C" w14:textId="77777777" w:rsidR="004F0165" w:rsidRPr="005F6907" w:rsidRDefault="00192C8E" w:rsidP="00192C8E">
      <w:pPr>
        <w:pStyle w:val="SingleTxtG"/>
      </w:pPr>
      <w:r>
        <w:t>7.12</w:t>
      </w:r>
      <w:r>
        <w:tab/>
      </w:r>
      <w:r w:rsidRPr="00AD6E31">
        <w:t>The Committee recalls that article 26 entitles all persons to equality before the law and equal protection of the law, prohibits any discrimination under the law and guarantees to all persons equal and effective protection against discrimination on any ground</w:t>
      </w:r>
      <w:r>
        <w:t>,</w:t>
      </w:r>
      <w:r w:rsidRPr="00AD6E31">
        <w:t xml:space="preserve"> such as race, colour, sex, language, religion, political or other opinion, national or social origin, property, birth or other status.</w:t>
      </w:r>
      <w:r w:rsidRPr="00192C8E">
        <w:rPr>
          <w:rStyle w:val="FootnoteReference"/>
        </w:rPr>
        <w:footnoteReference w:id="36"/>
      </w:r>
      <w:r w:rsidRPr="00192C8E">
        <w:rPr>
          <w:rStyle w:val="FootnoteReference"/>
        </w:rPr>
        <w:t xml:space="preserve"> </w:t>
      </w:r>
      <w:r w:rsidRPr="00503758">
        <w:t>With reference to its</w:t>
      </w:r>
      <w:r>
        <w:t xml:space="preserve"> case law,</w:t>
      </w:r>
      <w:bookmarkStart w:id="1" w:name="_Ref325462154"/>
      <w:r w:rsidRPr="00192C8E">
        <w:rPr>
          <w:rStyle w:val="FootnoteReference"/>
        </w:rPr>
        <w:footnoteReference w:id="37"/>
      </w:r>
      <w:bookmarkEnd w:id="1"/>
      <w:r w:rsidRPr="00192C8E">
        <w:rPr>
          <w:rStyle w:val="FootnoteReference"/>
        </w:rPr>
        <w:t xml:space="preserve"> </w:t>
      </w:r>
      <w:r w:rsidRPr="00503758">
        <w:t xml:space="preserve">the Committee </w:t>
      </w:r>
      <w:r>
        <w:t>recalls that the prohibition against discrimination under article 26 also extends to discrimination based on sexual orientation and gender identity.</w:t>
      </w:r>
      <w:r w:rsidRPr="00192C8E">
        <w:rPr>
          <w:rStyle w:val="FootnoteReference"/>
        </w:rPr>
        <w:footnoteReference w:id="38"/>
      </w:r>
    </w:p>
    <w:p w14:paraId="503877C1" w14:textId="3C853074" w:rsidR="00192C8E" w:rsidRDefault="00192C8E" w:rsidP="00192C8E">
      <w:pPr>
        <w:pStyle w:val="SingleTxtG"/>
      </w:pPr>
      <w:r>
        <w:t>7.13</w:t>
      </w:r>
      <w:r>
        <w:tab/>
      </w:r>
      <w:r w:rsidRPr="0075578A">
        <w:t>The Committee considers</w:t>
      </w:r>
      <w:r>
        <w:t xml:space="preserve"> </w:t>
      </w:r>
      <w:r w:rsidRPr="0075578A">
        <w:t xml:space="preserve">that the authorities </w:t>
      </w:r>
      <w:r>
        <w:t>were opposed to</w:t>
      </w:r>
      <w:r w:rsidRPr="0075578A">
        <w:t xml:space="preserve"> </w:t>
      </w:r>
      <w:r>
        <w:t xml:space="preserve">the </w:t>
      </w:r>
      <w:r w:rsidRPr="0075578A">
        <w:t xml:space="preserve">homosexual </w:t>
      </w:r>
      <w:r>
        <w:t>content</w:t>
      </w:r>
      <w:r w:rsidRPr="0075578A">
        <w:t xml:space="preserve"> of </w:t>
      </w:r>
      <w:r>
        <w:t xml:space="preserve">the </w:t>
      </w:r>
      <w:r w:rsidRPr="0075578A">
        <w:t xml:space="preserve">parade </w:t>
      </w:r>
      <w:r>
        <w:t xml:space="preserve">and </w:t>
      </w:r>
      <w:r w:rsidRPr="0075578A">
        <w:t>expressly dr</w:t>
      </w:r>
      <w:r>
        <w:t>ew</w:t>
      </w:r>
      <w:r w:rsidRPr="0075578A">
        <w:t xml:space="preserve"> a distinction based on sexual orientation </w:t>
      </w:r>
      <w:r w:rsidRPr="000C6A8E">
        <w:t>and gender identity</w:t>
      </w:r>
      <w:r>
        <w:t>,</w:t>
      </w:r>
      <w:r w:rsidRPr="0075578A">
        <w:t xml:space="preserve"> </w:t>
      </w:r>
      <w:r>
        <w:t>which</w:t>
      </w:r>
      <w:r w:rsidRPr="0075578A">
        <w:t xml:space="preserve"> constitute</w:t>
      </w:r>
      <w:r>
        <w:t>d</w:t>
      </w:r>
      <w:r w:rsidRPr="0075578A">
        <w:t xml:space="preserve"> a differentiation </w:t>
      </w:r>
      <w:r>
        <w:t xml:space="preserve">based </w:t>
      </w:r>
      <w:r w:rsidRPr="0075578A">
        <w:t>on grounds prohibited under article 26.</w:t>
      </w:r>
    </w:p>
    <w:p w14:paraId="2156F557" w14:textId="657258D4" w:rsidR="00192C8E" w:rsidRDefault="00192C8E" w:rsidP="00192C8E">
      <w:pPr>
        <w:pStyle w:val="SingleTxtG"/>
      </w:pPr>
      <w:r>
        <w:t>7.14</w:t>
      </w:r>
      <w:r>
        <w:tab/>
      </w:r>
      <w:r w:rsidRPr="00450134">
        <w:t xml:space="preserve">The Committee further recalls </w:t>
      </w:r>
      <w:r>
        <w:t xml:space="preserve">its jurisprudence </w:t>
      </w:r>
      <w:r w:rsidRPr="00450134">
        <w:t>that not every differentiation based on the grounds listed in article 26 of the Covenant amounts to discrimination, as long as it is based on reasonable and objective criteria</w:t>
      </w:r>
      <w:r w:rsidRPr="00192C8E">
        <w:rPr>
          <w:rStyle w:val="FootnoteReference"/>
        </w:rPr>
        <w:footnoteReference w:id="39"/>
      </w:r>
      <w:r w:rsidRPr="00192C8E">
        <w:rPr>
          <w:rStyle w:val="FootnoteReference"/>
        </w:rPr>
        <w:t xml:space="preserve"> </w:t>
      </w:r>
      <w:r w:rsidRPr="00450134">
        <w:t xml:space="preserve">and </w:t>
      </w:r>
      <w:r>
        <w:t xml:space="preserve">it </w:t>
      </w:r>
      <w:r w:rsidRPr="00450134">
        <w:t>pursu</w:t>
      </w:r>
      <w:r>
        <w:t xml:space="preserve">es a </w:t>
      </w:r>
      <w:r w:rsidRPr="00450134">
        <w:t xml:space="preserve">legitimate </w:t>
      </w:r>
      <w:r>
        <w:t xml:space="preserve">aim </w:t>
      </w:r>
      <w:r w:rsidRPr="00450134">
        <w:t>under the Covenant.</w:t>
      </w:r>
      <w:r w:rsidRPr="00192C8E">
        <w:rPr>
          <w:rStyle w:val="FootnoteReference"/>
        </w:rPr>
        <w:footnoteReference w:id="40"/>
      </w:r>
      <w:r w:rsidRPr="00192C8E">
        <w:rPr>
          <w:rStyle w:val="FootnoteReference"/>
        </w:rPr>
        <w:t xml:space="preserve"> </w:t>
      </w:r>
      <w:r w:rsidRPr="00007C2A">
        <w:t xml:space="preserve">In </w:t>
      </w:r>
      <w:r>
        <w:t>the</w:t>
      </w:r>
      <w:r w:rsidRPr="00007C2A">
        <w:t xml:space="preserve"> circumstances</w:t>
      </w:r>
      <w:r>
        <w:t xml:space="preserve"> of the present case,</w:t>
      </w:r>
      <w:r w:rsidRPr="00007C2A">
        <w:t xml:space="preserve"> the State party was </w:t>
      </w:r>
      <w:r>
        <w:t xml:space="preserve">obliged </w:t>
      </w:r>
      <w:r w:rsidRPr="00007C2A">
        <w:t xml:space="preserve">to protect the author in the exercise of his rights under the Covenant and not to contribute to suppressing </w:t>
      </w:r>
      <w:r w:rsidRPr="00007C2A">
        <w:lastRenderedPageBreak/>
        <w:t>those rights.</w:t>
      </w:r>
      <w:r w:rsidRPr="00192C8E">
        <w:rPr>
          <w:rStyle w:val="FootnoteReference"/>
        </w:rPr>
        <w:footnoteReference w:id="41"/>
      </w:r>
      <w:r w:rsidRPr="00192C8E">
        <w:rPr>
          <w:rStyle w:val="FootnoteReference"/>
        </w:rPr>
        <w:t xml:space="preserve"> </w:t>
      </w:r>
      <w:r w:rsidRPr="00450134">
        <w:t>The Committee further notes that it previously concluded that the laws banning</w:t>
      </w:r>
      <w:r>
        <w:t xml:space="preserve"> the</w:t>
      </w:r>
      <w:r w:rsidRPr="00450134">
        <w:t xml:space="preserve"> promotion</w:t>
      </w:r>
      <w:r>
        <w:t xml:space="preserve">, among </w:t>
      </w:r>
      <w:r w:rsidRPr="00450134">
        <w:t>minors</w:t>
      </w:r>
      <w:r>
        <w:t>,</w:t>
      </w:r>
      <w:r w:rsidRPr="00450134">
        <w:t xml:space="preserve"> of non-traditional sexual relations in the State party exacerbate</w:t>
      </w:r>
      <w:r>
        <w:t>d</w:t>
      </w:r>
      <w:r w:rsidRPr="00450134">
        <w:t xml:space="preserve"> negative stereotypes against </w:t>
      </w:r>
      <w:r>
        <w:t xml:space="preserve">lesbian, gay, bisexual and transgender </w:t>
      </w:r>
      <w:r w:rsidRPr="00450134">
        <w:t>individuals and represent</w:t>
      </w:r>
      <w:r>
        <w:t>ed</w:t>
      </w:r>
      <w:r w:rsidRPr="00450134">
        <w:t xml:space="preserve"> a disproportionate restriction of their rights under the Covenant, and called for the repeal of such laws.</w:t>
      </w:r>
      <w:r w:rsidRPr="00192C8E">
        <w:rPr>
          <w:rStyle w:val="FootnoteReference"/>
        </w:rPr>
        <w:footnoteReference w:id="42"/>
      </w:r>
      <w:r w:rsidRPr="00192C8E">
        <w:rPr>
          <w:rStyle w:val="FootnoteReference"/>
        </w:rPr>
        <w:t xml:space="preserve"> </w:t>
      </w:r>
      <w:r w:rsidRPr="00450134">
        <w:t xml:space="preserve">The Committee accordingly considers that the State party has failed to establish that the </w:t>
      </w:r>
      <w:r w:rsidRPr="007C06FC">
        <w:t>restriction imposed on the author</w:t>
      </w:r>
      <w:r>
        <w:t xml:space="preserve">’s right to peaceful assembly </w:t>
      </w:r>
      <w:r w:rsidRPr="00450134">
        <w:t>was based on reasonable and objective criteria and in pursuit of a</w:t>
      </w:r>
      <w:r>
        <w:t xml:space="preserve"> legitimate aim </w:t>
      </w:r>
      <w:r w:rsidRPr="00450134">
        <w:t>under the Covenant</w:t>
      </w:r>
      <w:r>
        <w:t>. T</w:t>
      </w:r>
      <w:r w:rsidRPr="00450134">
        <w:t xml:space="preserve">he prohibition </w:t>
      </w:r>
      <w:r>
        <w:t xml:space="preserve">of the assembly planned by the author </w:t>
      </w:r>
      <w:r w:rsidRPr="00450134">
        <w:t xml:space="preserve">therefore </w:t>
      </w:r>
      <w:r>
        <w:t>amounted to a violation of his rights under article 26</w:t>
      </w:r>
      <w:r w:rsidRPr="00076AB4">
        <w:t xml:space="preserve"> of the Covenant</w:t>
      </w:r>
      <w:r w:rsidRPr="00450134">
        <w:t>.</w:t>
      </w:r>
    </w:p>
    <w:p w14:paraId="200ED65C" w14:textId="5600256D" w:rsidR="00192C8E" w:rsidRPr="00501739" w:rsidRDefault="00192C8E" w:rsidP="00192C8E">
      <w:pPr>
        <w:pStyle w:val="SingleTxtG"/>
        <w:rPr>
          <w:highlight w:val="green"/>
        </w:rPr>
      </w:pPr>
      <w:r>
        <w:t>8</w:t>
      </w:r>
      <w:r w:rsidRPr="0072412E">
        <w:t>.</w:t>
      </w:r>
      <w:r w:rsidRPr="0072412E">
        <w:tab/>
      </w:r>
      <w:r w:rsidRPr="0007359B">
        <w:t>The Committee, acting under article 5</w:t>
      </w:r>
      <w:r>
        <w:t xml:space="preserve"> </w:t>
      </w:r>
      <w:r w:rsidRPr="0007359B">
        <w:t xml:space="preserve">(4) of the Optional Protocol, is of the view that the facts before it disclose a violation by the State party of </w:t>
      </w:r>
      <w:r>
        <w:t xml:space="preserve">the author’s rights under </w:t>
      </w:r>
      <w:r w:rsidRPr="00822F16">
        <w:t>article</w:t>
      </w:r>
      <w:r>
        <w:t>s</w:t>
      </w:r>
      <w:r w:rsidRPr="00822F16">
        <w:t xml:space="preserve"> 21</w:t>
      </w:r>
      <w:r>
        <w:t xml:space="preserve"> and</w:t>
      </w:r>
      <w:r w:rsidRPr="00822F16">
        <w:t xml:space="preserve"> </w:t>
      </w:r>
      <w:r>
        <w:t>26 of the Covenant</w:t>
      </w:r>
      <w:r w:rsidRPr="0007359B">
        <w:t>.</w:t>
      </w:r>
    </w:p>
    <w:p w14:paraId="3822F9C1" w14:textId="77777777" w:rsidR="004F0165" w:rsidRDefault="00192C8E" w:rsidP="00192C8E">
      <w:pPr>
        <w:pStyle w:val="SingleTxtG"/>
      </w:pPr>
      <w:r>
        <w:t>9</w:t>
      </w:r>
      <w:r w:rsidRPr="0007359B">
        <w:t>.</w:t>
      </w:r>
      <w:r w:rsidRPr="0007359B">
        <w:tab/>
        <w:t>Pursuant to article 2 (3) (a) of the Covenant, the State party is under an obligation to provide the author with an effective remedy. This requires it to make full reparation to individuals whose Covenant rights have been violated</w:t>
      </w:r>
      <w:r>
        <w:t>, including adequate compensation</w:t>
      </w:r>
      <w:r w:rsidRPr="0007359B">
        <w:t>. The State party is also under an obligation to take all steps necessary to prevent similar violations from occurring in the future.</w:t>
      </w:r>
      <w:r w:rsidRPr="0072412E">
        <w:t xml:space="preserve"> In this </w:t>
      </w:r>
      <w:r>
        <w:t>regard</w:t>
      </w:r>
      <w:r w:rsidRPr="0072412E">
        <w:t xml:space="preserve">, the Committee reiterates that, pursuant to its obligations under article 2 (2) of the Covenant, the State party should review its legislation </w:t>
      </w:r>
      <w:r>
        <w:t xml:space="preserve">and practice </w:t>
      </w:r>
      <w:r w:rsidRPr="0072412E">
        <w:t>with a view to ensuring that the rights under article 21 of the Covenant, including organiz</w:t>
      </w:r>
      <w:r>
        <w:t>ing</w:t>
      </w:r>
      <w:r w:rsidRPr="0072412E">
        <w:t xml:space="preserve"> and conduct</w:t>
      </w:r>
      <w:r>
        <w:t>ing</w:t>
      </w:r>
      <w:r w:rsidRPr="0072412E">
        <w:t xml:space="preserve"> peaceful assemblies</w:t>
      </w:r>
      <w:r>
        <w:t>,</w:t>
      </w:r>
      <w:r w:rsidRPr="0072412E">
        <w:t xml:space="preserve"> </w:t>
      </w:r>
      <w:r>
        <w:t xml:space="preserve">and article 26 </w:t>
      </w:r>
      <w:r w:rsidRPr="0072412E">
        <w:t>may be fully enjoyed in the State party.</w:t>
      </w:r>
    </w:p>
    <w:p w14:paraId="2F8650F0" w14:textId="1B4B7061" w:rsidR="00192C8E" w:rsidRPr="0072412E" w:rsidRDefault="00192C8E" w:rsidP="00192C8E">
      <w:pPr>
        <w:pStyle w:val="SingleTxtG"/>
        <w:rPr>
          <w:u w:val="single"/>
        </w:rPr>
      </w:pPr>
      <w:r w:rsidRPr="0072412E">
        <w:t>1</w:t>
      </w:r>
      <w:r>
        <w:t>0</w:t>
      </w:r>
      <w:r w:rsidRPr="0072412E">
        <w:t>.</w:t>
      </w:r>
      <w:r w:rsidRPr="0072412E">
        <w:tab/>
      </w:r>
      <w:r w:rsidRPr="0007359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t>’</w:t>
      </w:r>
      <w:r w:rsidRPr="0007359B">
        <w:t xml:space="preserve">s Views. The State party is also requested to publish the present Views and </w:t>
      </w:r>
      <w:r>
        <w:t xml:space="preserve">to have them widely </w:t>
      </w:r>
      <w:r w:rsidRPr="0007359B">
        <w:t>disseminate</w:t>
      </w:r>
      <w:r>
        <w:t>d</w:t>
      </w:r>
      <w:r w:rsidRPr="0007359B">
        <w:t xml:space="preserve"> in the official language</w:t>
      </w:r>
      <w:r>
        <w:t xml:space="preserve"> of the State party</w:t>
      </w:r>
      <w:r w:rsidRPr="0007359B">
        <w:t>.</w:t>
      </w:r>
    </w:p>
    <w:p w14:paraId="4EDBDBC8" w14:textId="77777777" w:rsidR="00192C8E" w:rsidRDefault="00192C8E" w:rsidP="00192C8E">
      <w:pPr>
        <w:pStyle w:val="SingleTxtG"/>
        <w:spacing w:before="240" w:after="0"/>
        <w:jc w:val="center"/>
        <w:rPr>
          <w:u w:val="single"/>
        </w:rPr>
        <w:sectPr w:rsidR="00192C8E" w:rsidSect="00192C8E">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pPr>
    </w:p>
    <w:p w14:paraId="638B6444" w14:textId="77777777" w:rsidR="00192C8E" w:rsidRDefault="00192C8E" w:rsidP="00192C8E">
      <w:pPr>
        <w:pStyle w:val="HChG"/>
      </w:pPr>
      <w:r>
        <w:lastRenderedPageBreak/>
        <w:t>Annex</w:t>
      </w:r>
    </w:p>
    <w:p w14:paraId="75927205" w14:textId="77777777" w:rsidR="00192C8E" w:rsidRPr="00BC47D2" w:rsidRDefault="00192C8E" w:rsidP="00192C8E">
      <w:pPr>
        <w:pStyle w:val="H1G"/>
        <w:rPr>
          <w:rFonts w:eastAsia="SimSun"/>
          <w:i/>
          <w:lang w:eastAsia="zh-CN"/>
        </w:rPr>
      </w:pPr>
      <w:r>
        <w:tab/>
      </w:r>
      <w:r>
        <w:tab/>
      </w:r>
      <w:r w:rsidRPr="001C4FF2">
        <w:t xml:space="preserve">Individual opinion </w:t>
      </w:r>
      <w:r>
        <w:t>by</w:t>
      </w:r>
      <w:r w:rsidRPr="001C4FF2">
        <w:t xml:space="preserve"> </w:t>
      </w:r>
      <w:r>
        <w:t>Committee member</w:t>
      </w:r>
      <w:r w:rsidRPr="001C4FF2">
        <w:t xml:space="preserve"> Gentian </w:t>
      </w:r>
      <w:proofErr w:type="spellStart"/>
      <w:r w:rsidRPr="001C4FF2">
        <w:t>Zyberi</w:t>
      </w:r>
      <w:proofErr w:type="spellEnd"/>
      <w:r w:rsidRPr="001C4FF2">
        <w:t xml:space="preserve"> </w:t>
      </w:r>
      <w:r>
        <w:t>(</w:t>
      </w:r>
      <w:r w:rsidRPr="001C4FF2">
        <w:t>concurring</w:t>
      </w:r>
      <w:r>
        <w:t>)</w:t>
      </w:r>
    </w:p>
    <w:p w14:paraId="0E2D2A8C" w14:textId="6C8A5C8D" w:rsidR="00192C8E" w:rsidRPr="00C81D82" w:rsidRDefault="00192C8E" w:rsidP="00192C8E">
      <w:pPr>
        <w:pStyle w:val="SingleTxtG"/>
      </w:pPr>
      <w:r>
        <w:t>1</w:t>
      </w:r>
      <w:r w:rsidRPr="00C81D82">
        <w:t>.</w:t>
      </w:r>
      <w:r w:rsidRPr="00C81D82">
        <w:tab/>
        <w:t xml:space="preserve">I </w:t>
      </w:r>
      <w:r>
        <w:t xml:space="preserve">agree </w:t>
      </w:r>
      <w:r w:rsidRPr="00C81D82">
        <w:t xml:space="preserve">with the decision of the Committee on the merits, finding that the facts before it disclose a violation by the State </w:t>
      </w:r>
      <w:r>
        <w:t>p</w:t>
      </w:r>
      <w:r w:rsidRPr="00C81D82">
        <w:t xml:space="preserve">arty of articles 21 and 26 of the Covenant. Similar to my concurring opinion in </w:t>
      </w:r>
      <w:r w:rsidRPr="00191536">
        <w:rPr>
          <w:i/>
          <w:iCs/>
        </w:rPr>
        <w:t>Alekseev</w:t>
      </w:r>
      <w:r w:rsidRPr="00C81D82">
        <w:t xml:space="preserve"> </w:t>
      </w:r>
      <w:r w:rsidRPr="00191536">
        <w:rPr>
          <w:i/>
          <w:iCs/>
        </w:rPr>
        <w:t>v. Russian Federation</w:t>
      </w:r>
      <w:r w:rsidRPr="00C81D82">
        <w:t xml:space="preserve"> (</w:t>
      </w:r>
      <w:r>
        <w:t>CCPR/C/130/D/2727/2016, annex</w:t>
      </w:r>
      <w:r w:rsidRPr="00C81D82">
        <w:t xml:space="preserve">), </w:t>
      </w:r>
      <w:r>
        <w:t>the present</w:t>
      </w:r>
      <w:r w:rsidRPr="00C81D82">
        <w:t xml:space="preserve"> concurring individual opinion highlight</w:t>
      </w:r>
      <w:r>
        <w:t>s</w:t>
      </w:r>
      <w:r w:rsidRPr="00C81D82">
        <w:t xml:space="preserve"> the general unlawful situation before us, since the violation happened in the city of Sevastopol, </w:t>
      </w:r>
      <w:r>
        <w:t>Ukraine</w:t>
      </w:r>
      <w:r w:rsidRPr="00C81D82">
        <w:t>, whose military annexation in early 2014 by the Russian Federation</w:t>
      </w:r>
      <w:r w:rsidR="0092787D">
        <w:rPr>
          <w:rStyle w:val="FootnoteReference"/>
        </w:rPr>
        <w:footnoteReference w:id="43"/>
      </w:r>
      <w:r w:rsidRPr="00192C8E">
        <w:rPr>
          <w:rStyle w:val="FootnoteReference"/>
        </w:rPr>
        <w:t xml:space="preserve"> </w:t>
      </w:r>
      <w:r w:rsidRPr="00C81D82">
        <w:t xml:space="preserve">remains a contentious matter of international concern. The complaint was brought against the Russian Federation on 17 January 2015, whereas the author was planning for the </w:t>
      </w:r>
      <w:r>
        <w:t>g</w:t>
      </w:r>
      <w:r w:rsidRPr="00C81D82">
        <w:t xml:space="preserve">ay </w:t>
      </w:r>
      <w:r>
        <w:t>p</w:t>
      </w:r>
      <w:r w:rsidRPr="00C81D82">
        <w:t xml:space="preserve">ride </w:t>
      </w:r>
      <w:r>
        <w:t>p</w:t>
      </w:r>
      <w:r w:rsidRPr="00C81D82">
        <w:t>arade to be held on 23 April 2014. While the Committee is rightly driven by its primary concern to ensure that civil and political rights under</w:t>
      </w:r>
      <w:r>
        <w:t xml:space="preserve"> the</w:t>
      </w:r>
      <w:r w:rsidRPr="00C81D82">
        <w:t xml:space="preserve"> Covenant are protected at all times and</w:t>
      </w:r>
      <w:r>
        <w:t xml:space="preserve"> in all</w:t>
      </w:r>
      <w:r w:rsidRPr="00C81D82">
        <w:t xml:space="preserve"> places, including in occupied territory, this unlawful situation needs to be given some attention. This follows from several General Assembly resolutions </w:t>
      </w:r>
      <w:r w:rsidRPr="00E1448F">
        <w:t>on the</w:t>
      </w:r>
      <w:r>
        <w:t xml:space="preserve"> situation of</w:t>
      </w:r>
      <w:r w:rsidRPr="00E1448F">
        <w:t xml:space="preserve"> human rights </w:t>
      </w:r>
      <w:r w:rsidRPr="00BB789A">
        <w:t xml:space="preserve">in </w:t>
      </w:r>
      <w:r>
        <w:t xml:space="preserve">the Autonomous Republic of </w:t>
      </w:r>
      <w:r w:rsidRPr="00E1448F">
        <w:t>Crimea</w:t>
      </w:r>
      <w:r w:rsidRPr="00C81D82">
        <w:t xml:space="preserve"> </w:t>
      </w:r>
      <w:r>
        <w:t xml:space="preserve">and the city of Sevastopol, Ukraine </w:t>
      </w:r>
      <w:r w:rsidRPr="00C81D82">
        <w:t>and general public international law considerations.</w:t>
      </w:r>
    </w:p>
    <w:p w14:paraId="75C5F2BB" w14:textId="26DA8C0C" w:rsidR="00192C8E" w:rsidRPr="00646EED" w:rsidRDefault="00192C8E" w:rsidP="00192C8E">
      <w:pPr>
        <w:pStyle w:val="SingleTxtG"/>
      </w:pPr>
      <w:r>
        <w:t>2.</w:t>
      </w:r>
      <w:r>
        <w:tab/>
      </w:r>
      <w:r w:rsidRPr="00C81D82">
        <w:t xml:space="preserve">The General Assembly addressed the situation in </w:t>
      </w:r>
      <w:r>
        <w:t>the Autonomous Republic of Crimea and the city of Sevastopol, Ukraine,</w:t>
      </w:r>
      <w:r w:rsidRPr="00C81D82">
        <w:t xml:space="preserve"> through several resolutions in the period </w:t>
      </w:r>
      <w:r>
        <w:t xml:space="preserve">between </w:t>
      </w:r>
      <w:r w:rsidRPr="00C81D82">
        <w:t xml:space="preserve">March 2014 </w:t>
      </w:r>
      <w:r>
        <w:t>and</w:t>
      </w:r>
      <w:r w:rsidRPr="00C81D82">
        <w:t xml:space="preserve"> December 2020, </w:t>
      </w:r>
      <w:r>
        <w:t>affirming its</w:t>
      </w:r>
      <w:r w:rsidRPr="00C81D82">
        <w:t xml:space="preserve"> commitment to the sovereignty, political independence, unity and territorial integrity of Ukraine within its internationally recognized borders.</w:t>
      </w:r>
      <w:r w:rsidRPr="00192C8E">
        <w:rPr>
          <w:rStyle w:val="FootnoteReference"/>
        </w:rPr>
        <w:footnoteReference w:id="44"/>
      </w:r>
      <w:r w:rsidRPr="00192C8E">
        <w:rPr>
          <w:rStyle w:val="FootnoteReference"/>
        </w:rPr>
        <w:t xml:space="preserve"> </w:t>
      </w:r>
      <w:r w:rsidRPr="00C81D82">
        <w:t>In its resolution</w:t>
      </w:r>
      <w:r>
        <w:t xml:space="preserve"> 68/262</w:t>
      </w:r>
      <w:r w:rsidRPr="00C81D82">
        <w:t>, the General Assembly underscored that the referendum held in the Autonomous Republic of Crimea and the city of Sevastopol on 16 March 2014, having no validity, c</w:t>
      </w:r>
      <w:r>
        <w:t xml:space="preserve">ould </w:t>
      </w:r>
      <w:r w:rsidRPr="00C81D82">
        <w:t xml:space="preserve">not form the basis for any alteration of the status of the Autonomous Republic of Crimea or of the city of Sevastopol. Moreover, </w:t>
      </w:r>
      <w:r>
        <w:t>it</w:t>
      </w:r>
      <w:r w:rsidRPr="00C81D82">
        <w:t xml:space="preserve"> called on all States, international organizations and specialized agencies to refrain from any action or dealing that might be interpreted as recognizing any such altered status.</w:t>
      </w:r>
    </w:p>
    <w:p w14:paraId="55687C88" w14:textId="7584B737" w:rsidR="004F0165" w:rsidRDefault="00192C8E" w:rsidP="00192C8E">
      <w:pPr>
        <w:pStyle w:val="SingleTxtG"/>
      </w:pPr>
      <w:r>
        <w:t>3.</w:t>
      </w:r>
      <w:r>
        <w:tab/>
      </w:r>
      <w:r w:rsidRPr="00C81D82">
        <w:t xml:space="preserve">The difficulties concerning the protection of human rights in </w:t>
      </w:r>
      <w:r>
        <w:t>the Autonomous Republic of Crimea and the city of Sevastopol, Ukraine,</w:t>
      </w:r>
      <w:r w:rsidRPr="00C81D82">
        <w:t xml:space="preserve"> have been repeated over the years by the General Assembly.</w:t>
      </w:r>
      <w:r w:rsidRPr="00192C8E">
        <w:rPr>
          <w:rStyle w:val="FootnoteReference"/>
        </w:rPr>
        <w:footnoteReference w:id="45"/>
      </w:r>
      <w:r w:rsidRPr="00192C8E">
        <w:rPr>
          <w:rStyle w:val="FootnoteReference"/>
        </w:rPr>
        <w:t xml:space="preserve"> </w:t>
      </w:r>
      <w:r w:rsidRPr="00C81D82">
        <w:t xml:space="preserve">In its resolution </w:t>
      </w:r>
      <w:r>
        <w:t>72/190</w:t>
      </w:r>
      <w:r w:rsidRPr="00C81D82">
        <w:t xml:space="preserve">, the General Assembly demanded that the Russian Federation respect obligations under international law with regard to respecting the laws in force in Crimea prior to occupation. </w:t>
      </w:r>
      <w:r>
        <w:t>Reiterating calls made in</w:t>
      </w:r>
      <w:r w:rsidRPr="00C81D82">
        <w:t xml:space="preserve"> resolutions </w:t>
      </w:r>
      <w:r w:rsidRPr="00191536">
        <w:rPr>
          <w:lang w:val="en-US"/>
        </w:rPr>
        <w:t>73/263</w:t>
      </w:r>
      <w:r>
        <w:rPr>
          <w:lang w:val="en-US"/>
        </w:rPr>
        <w:t xml:space="preserve"> and </w:t>
      </w:r>
      <w:r w:rsidRPr="00191536">
        <w:rPr>
          <w:lang w:val="en-US"/>
        </w:rPr>
        <w:t>74/168</w:t>
      </w:r>
      <w:r>
        <w:rPr>
          <w:lang w:val="en-US"/>
        </w:rPr>
        <w:t>, the Assembly, in its resolution</w:t>
      </w:r>
      <w:r w:rsidRPr="00191536">
        <w:rPr>
          <w:lang w:val="en-US"/>
        </w:rPr>
        <w:t xml:space="preserve"> 75/192</w:t>
      </w:r>
      <w:r>
        <w:rPr>
          <w:lang w:val="en-US"/>
        </w:rPr>
        <w:t>,</w:t>
      </w:r>
      <w:r w:rsidRPr="00C81D82">
        <w:t xml:space="preserve"> called upon all international organizations and specialized agencies of the United Nations system, when referring to Crimea in their official documents, communications</w:t>
      </w:r>
      <w:r>
        <w:t>,</w:t>
      </w:r>
      <w:r w:rsidRPr="00C81D82">
        <w:t xml:space="preserve"> publications,</w:t>
      </w:r>
      <w:r>
        <w:t xml:space="preserve"> information and reports,</w:t>
      </w:r>
      <w:r w:rsidRPr="00C81D82">
        <w:t xml:space="preserve"> including with regard to statistical data of the Russian Federation</w:t>
      </w:r>
      <w:r>
        <w:t xml:space="preserve"> or provided by the Russian Federation</w:t>
      </w:r>
      <w:r w:rsidRPr="00C81D82">
        <w:t xml:space="preserve">, </w:t>
      </w:r>
      <w:r w:rsidRPr="00191536">
        <w:t>as well as those placed or used on official United Nations Internet resources and platforms</w:t>
      </w:r>
      <w:r>
        <w:t>,</w:t>
      </w:r>
      <w:r w:rsidRPr="00C81D82">
        <w:t xml:space="preserve"> to refer to </w:t>
      </w:r>
      <w:r>
        <w:t>“</w:t>
      </w:r>
      <w:r w:rsidRPr="00C81D82">
        <w:t>the Autonomous Republic of Crimea and the city of Sevastopol, Ukraine, temporarily occupied by the Russian Federation</w:t>
      </w:r>
      <w:r>
        <w:t>”</w:t>
      </w:r>
      <w:r w:rsidRPr="00C81D82">
        <w:t>, and encouraged all States and other international organizations to do the same</w:t>
      </w:r>
      <w:r w:rsidRPr="00120279">
        <w:t>.</w:t>
      </w:r>
    </w:p>
    <w:p w14:paraId="1DC7934F" w14:textId="77777777" w:rsidR="004F0165" w:rsidRDefault="00192C8E" w:rsidP="00192C8E">
      <w:pPr>
        <w:pStyle w:val="SingleTxtG"/>
      </w:pPr>
      <w:r>
        <w:t>4.</w:t>
      </w:r>
      <w:r>
        <w:tab/>
      </w:r>
      <w:r w:rsidRPr="00C81D82">
        <w:t>Given that the Human Rights Committee is a part of the U</w:t>
      </w:r>
      <w:r>
        <w:t xml:space="preserve">nited </w:t>
      </w:r>
      <w:r w:rsidRPr="00C81D82">
        <w:t>N</w:t>
      </w:r>
      <w:r>
        <w:t>ations</w:t>
      </w:r>
      <w:r w:rsidRPr="00C81D82">
        <w:t xml:space="preserve"> system, reporting annually to the General Assembly on its activities, it must consider relevant resolutions and recommendations of the General Assembly in the course of its work. Hence, in my view, whenever the Committee deals with individual complaints arising from Crimea, it should include in the section on </w:t>
      </w:r>
      <w:r>
        <w:t>“</w:t>
      </w:r>
      <w:r w:rsidRPr="00C81D82">
        <w:t>consideration of admissibility</w:t>
      </w:r>
      <w:r>
        <w:t>”</w:t>
      </w:r>
      <w:r w:rsidRPr="00C81D82">
        <w:t xml:space="preserve"> a short explanation stating that the case arises in respect of </w:t>
      </w:r>
      <w:r>
        <w:t>“</w:t>
      </w:r>
      <w:r w:rsidRPr="00C81D82">
        <w:t>the Autonomous Republic of Crimea and the city of Sevastopol, Ukraine, temporarily occupied by the Russian Federation</w:t>
      </w:r>
      <w:r>
        <w:t>”</w:t>
      </w:r>
      <w:r w:rsidRPr="00C81D82">
        <w:t>.</w:t>
      </w:r>
    </w:p>
    <w:p w14:paraId="4F3FE382" w14:textId="247E5675" w:rsidR="00192C8E" w:rsidRDefault="00192C8E" w:rsidP="00192C8E">
      <w:pPr>
        <w:pStyle w:val="SingleTxtG"/>
        <w:rPr>
          <w:sz w:val="24"/>
          <w:szCs w:val="24"/>
        </w:rPr>
      </w:pPr>
      <w:r>
        <w:lastRenderedPageBreak/>
        <w:t>5.</w:t>
      </w:r>
      <w:r>
        <w:tab/>
      </w:r>
      <w:r w:rsidRPr="00C81D82">
        <w:t>In this manner, the Committee would be following the recommendations of the General Assembly contained in several of its resolutions, as well as general international law obligations related to non-recognition of an unlawful situation</w:t>
      </w:r>
      <w:r>
        <w:rPr>
          <w:sz w:val="24"/>
          <w:szCs w:val="24"/>
        </w:rPr>
        <w:t>.</w:t>
      </w:r>
    </w:p>
    <w:p w14:paraId="6107DE7F" w14:textId="77777777" w:rsidR="00192C8E" w:rsidRPr="003F52FB" w:rsidRDefault="00192C8E" w:rsidP="00192C8E">
      <w:pPr>
        <w:pStyle w:val="SingleTxtG"/>
        <w:jc w:val="center"/>
        <w:rPr>
          <w:u w:val="single"/>
        </w:rPr>
      </w:pPr>
      <w:r>
        <w:rPr>
          <w:u w:val="single"/>
        </w:rPr>
        <w:tab/>
      </w:r>
      <w:r>
        <w:rPr>
          <w:u w:val="single"/>
        </w:rPr>
        <w:tab/>
      </w:r>
      <w:r>
        <w:rPr>
          <w:u w:val="single"/>
        </w:rPr>
        <w:tab/>
      </w:r>
      <w:r>
        <w:rPr>
          <w:u w:val="single"/>
        </w:rPr>
        <w:tab/>
      </w:r>
    </w:p>
    <w:sectPr w:rsidR="00192C8E" w:rsidRPr="003F52FB" w:rsidSect="00472FED">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83CFF" w14:textId="77777777" w:rsidR="00E672AA" w:rsidRPr="00B903E5" w:rsidRDefault="00E672AA" w:rsidP="00B903E5">
      <w:pPr>
        <w:pStyle w:val="Footer"/>
      </w:pPr>
    </w:p>
  </w:endnote>
  <w:endnote w:type="continuationSeparator" w:id="0">
    <w:p w14:paraId="45B215A0" w14:textId="77777777" w:rsidR="00E672AA" w:rsidRPr="00B903E5" w:rsidRDefault="00E672A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6EDA9" w14:textId="20DB8BEF" w:rsidR="00192C8E" w:rsidRPr="009E2CF9" w:rsidRDefault="00192C8E" w:rsidP="009E2CF9">
    <w:pPr>
      <w:pStyle w:val="Footer"/>
      <w:tabs>
        <w:tab w:val="right" w:pos="9598"/>
      </w:tabs>
    </w:pPr>
    <w:r w:rsidRPr="009E2CF9">
      <w:rPr>
        <w:b/>
        <w:sz w:val="18"/>
      </w:rPr>
      <w:fldChar w:fldCharType="begin"/>
    </w:r>
    <w:r w:rsidRPr="009E2CF9">
      <w:rPr>
        <w:b/>
        <w:sz w:val="18"/>
      </w:rPr>
      <w:instrText xml:space="preserve"> PAGE  \* MERGEFORMAT </w:instrText>
    </w:r>
    <w:r w:rsidRPr="009E2CF9">
      <w:rPr>
        <w:b/>
        <w:sz w:val="18"/>
      </w:rPr>
      <w:fldChar w:fldCharType="separate"/>
    </w:r>
    <w:r w:rsidR="009A65CD">
      <w:rPr>
        <w:b/>
        <w:noProof/>
        <w:sz w:val="18"/>
      </w:rPr>
      <w:t>8</w:t>
    </w:r>
    <w:r w:rsidRPr="009E2CF9">
      <w:rPr>
        <w:b/>
        <w:sz w:val="18"/>
      </w:rPr>
      <w:fldChar w:fldCharType="end"/>
    </w:r>
    <w:r w:rsidR="00DF2441">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2873A" w14:textId="4A34E5C5" w:rsidR="00192C8E" w:rsidRPr="009E2CF9" w:rsidRDefault="00192C8E" w:rsidP="009E2CF9">
    <w:pPr>
      <w:pStyle w:val="Footer"/>
      <w:tabs>
        <w:tab w:val="right" w:pos="9598"/>
      </w:tabs>
      <w:rPr>
        <w:b/>
        <w:sz w:val="18"/>
      </w:rPr>
    </w:pPr>
    <w:r>
      <w:tab/>
    </w:r>
    <w:r w:rsidRPr="009E2CF9">
      <w:rPr>
        <w:b/>
        <w:sz w:val="18"/>
      </w:rPr>
      <w:fldChar w:fldCharType="begin"/>
    </w:r>
    <w:r w:rsidRPr="009E2CF9">
      <w:rPr>
        <w:b/>
        <w:sz w:val="18"/>
      </w:rPr>
      <w:instrText xml:space="preserve"> PAGE  \* MERGEFORMAT </w:instrText>
    </w:r>
    <w:r w:rsidRPr="009E2CF9">
      <w:rPr>
        <w:b/>
        <w:sz w:val="18"/>
      </w:rPr>
      <w:fldChar w:fldCharType="separate"/>
    </w:r>
    <w:r w:rsidR="009A65CD">
      <w:rPr>
        <w:b/>
        <w:noProof/>
        <w:sz w:val="18"/>
      </w:rPr>
      <w:t>9</w:t>
    </w:r>
    <w:r w:rsidRPr="009E2CF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379D2" w14:textId="541C0126" w:rsidR="00192C8E" w:rsidRDefault="00EF57DC" w:rsidP="00EF57DC">
    <w:pPr>
      <w:pStyle w:val="Footer"/>
      <w:ind w:right="1134"/>
      <w:rPr>
        <w:sz w:val="20"/>
      </w:rPr>
    </w:pPr>
    <w:r w:rsidRPr="00EF57DC">
      <w:rPr>
        <w:noProof/>
        <w:sz w:val="20"/>
        <w:lang w:val="en-US"/>
      </w:rPr>
      <w:drawing>
        <wp:anchor distT="0" distB="0" distL="114300" distR="114300" simplePos="0" relativeHeight="251659264" behindDoc="0" locked="1" layoutInCell="1" allowOverlap="1" wp14:anchorId="49121D48" wp14:editId="56FA1C4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164E678" w14:textId="6D6AEBFF" w:rsidR="00EF57DC" w:rsidRPr="00EF57DC" w:rsidRDefault="00EF57DC" w:rsidP="00EF57DC">
    <w:pPr>
      <w:pStyle w:val="Footer"/>
      <w:ind w:right="1134"/>
      <w:rPr>
        <w:sz w:val="20"/>
      </w:rPr>
    </w:pPr>
    <w:r>
      <w:rPr>
        <w:sz w:val="20"/>
      </w:rPr>
      <w:t>GE.21-06356(E)</w:t>
    </w:r>
    <w:r>
      <w:rPr>
        <w:noProof/>
        <w:sz w:val="20"/>
      </w:rPr>
      <w:drawing>
        <wp:anchor distT="0" distB="0" distL="114300" distR="114300" simplePos="0" relativeHeight="251660288" behindDoc="0" locked="0" layoutInCell="1" allowOverlap="1" wp14:anchorId="04130BE2" wp14:editId="1AED637F">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A8AA8" w14:textId="77777777" w:rsidR="00192C8E" w:rsidRDefault="00192C8E" w:rsidP="00192C8E">
    <w:pPr>
      <w:pStyle w:val="Footer"/>
      <w:tabs>
        <w:tab w:val="right" w:pos="9638"/>
      </w:tabs>
    </w:pPr>
    <w:r w:rsidRPr="00192C8E">
      <w:rPr>
        <w:b/>
        <w:bCs/>
        <w:sz w:val="18"/>
      </w:rPr>
      <w:fldChar w:fldCharType="begin"/>
    </w:r>
    <w:r w:rsidRPr="00192C8E">
      <w:rPr>
        <w:b/>
        <w:bCs/>
        <w:sz w:val="18"/>
      </w:rPr>
      <w:instrText xml:space="preserve"> PAGE  \* MERGEFORMAT </w:instrText>
    </w:r>
    <w:r w:rsidRPr="00192C8E">
      <w:rPr>
        <w:b/>
        <w:bCs/>
        <w:sz w:val="18"/>
      </w:rPr>
      <w:fldChar w:fldCharType="separate"/>
    </w:r>
    <w:r w:rsidRPr="00192C8E">
      <w:rPr>
        <w:b/>
        <w:bCs/>
        <w:noProof/>
        <w:sz w:val="18"/>
      </w:rPr>
      <w:t>2</w:t>
    </w:r>
    <w:r w:rsidRPr="00192C8E">
      <w:rPr>
        <w:b/>
        <w:bCs/>
        <w:sz w:val="18"/>
      </w:rPr>
      <w:fldChar w:fldCharType="end"/>
    </w:r>
    <w:r>
      <w:tab/>
      <w:t>GE.21-05911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260D" w14:textId="13C23FFA" w:rsidR="00192C8E" w:rsidRDefault="00192C8E" w:rsidP="00192C8E">
    <w:pPr>
      <w:pStyle w:val="Footer"/>
      <w:tabs>
        <w:tab w:val="right" w:pos="9638"/>
      </w:tabs>
    </w:pPr>
    <w:r>
      <w:tab/>
    </w:r>
    <w:r w:rsidRPr="00192C8E">
      <w:rPr>
        <w:b/>
        <w:bCs/>
        <w:sz w:val="18"/>
      </w:rPr>
      <w:fldChar w:fldCharType="begin"/>
    </w:r>
    <w:r w:rsidRPr="00192C8E">
      <w:rPr>
        <w:b/>
        <w:bCs/>
        <w:sz w:val="18"/>
      </w:rPr>
      <w:instrText xml:space="preserve"> PAGE  \* MERGEFORMAT </w:instrText>
    </w:r>
    <w:r w:rsidRPr="00192C8E">
      <w:rPr>
        <w:b/>
        <w:bCs/>
        <w:sz w:val="18"/>
      </w:rPr>
      <w:fldChar w:fldCharType="separate"/>
    </w:r>
    <w:r w:rsidR="009A65CD">
      <w:rPr>
        <w:b/>
        <w:bCs/>
        <w:noProof/>
        <w:sz w:val="18"/>
      </w:rPr>
      <w:t>11</w:t>
    </w:r>
    <w:r w:rsidRPr="00192C8E">
      <w:rPr>
        <w:b/>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1B308" w14:textId="6D8D2A76" w:rsidR="00D675B3" w:rsidRPr="009E2CF9" w:rsidRDefault="00D675B3" w:rsidP="00D675B3">
    <w:pPr>
      <w:pStyle w:val="Footer"/>
      <w:tabs>
        <w:tab w:val="right" w:pos="9598"/>
      </w:tabs>
      <w:rPr>
        <w:b/>
        <w:sz w:val="18"/>
      </w:rPr>
    </w:pPr>
    <w:r w:rsidRPr="009E2CF9">
      <w:rPr>
        <w:b/>
        <w:sz w:val="18"/>
      </w:rPr>
      <w:fldChar w:fldCharType="begin"/>
    </w:r>
    <w:r w:rsidRPr="009E2CF9">
      <w:rPr>
        <w:b/>
        <w:sz w:val="18"/>
      </w:rPr>
      <w:instrText xml:space="preserve"> PAGE  \* MERGEFORMAT </w:instrText>
    </w:r>
    <w:r w:rsidRPr="009E2CF9">
      <w:rPr>
        <w:b/>
        <w:sz w:val="18"/>
      </w:rPr>
      <w:fldChar w:fldCharType="separate"/>
    </w:r>
    <w:r w:rsidR="009A65CD">
      <w:rPr>
        <w:b/>
        <w:noProof/>
        <w:sz w:val="18"/>
      </w:rPr>
      <w:t>10</w:t>
    </w:r>
    <w:r w:rsidRPr="009E2CF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5C7B1" w14:textId="77777777" w:rsidR="00E672AA" w:rsidRPr="00B903E5" w:rsidRDefault="00E672AA" w:rsidP="00B903E5">
      <w:pPr>
        <w:tabs>
          <w:tab w:val="right" w:pos="2155"/>
        </w:tabs>
        <w:spacing w:after="80" w:line="240" w:lineRule="auto"/>
        <w:ind w:left="680"/>
      </w:pPr>
      <w:r>
        <w:rPr>
          <w:u w:val="single"/>
        </w:rPr>
        <w:tab/>
      </w:r>
    </w:p>
  </w:footnote>
  <w:footnote w:type="continuationSeparator" w:id="0">
    <w:p w14:paraId="4D5823FA" w14:textId="77777777" w:rsidR="00E672AA" w:rsidRPr="00B903E5" w:rsidRDefault="00E672AA" w:rsidP="00B903E5">
      <w:pPr>
        <w:tabs>
          <w:tab w:val="right" w:pos="2155"/>
        </w:tabs>
        <w:spacing w:after="80" w:line="240" w:lineRule="auto"/>
        <w:ind w:left="680"/>
      </w:pPr>
      <w:r>
        <w:rPr>
          <w:u w:val="single"/>
        </w:rPr>
        <w:tab/>
      </w:r>
    </w:p>
  </w:footnote>
  <w:footnote w:id="1">
    <w:p w14:paraId="05EF9A0A" w14:textId="77777777" w:rsidR="00192C8E" w:rsidRPr="00920B94" w:rsidRDefault="00192C8E" w:rsidP="00192C8E">
      <w:pPr>
        <w:pStyle w:val="FootnoteText"/>
      </w:pPr>
      <w:r>
        <w:tab/>
      </w:r>
      <w:r w:rsidRPr="00A63DB3">
        <w:rPr>
          <w:sz w:val="20"/>
          <w:szCs w:val="22"/>
        </w:rPr>
        <w:t>*</w:t>
      </w:r>
      <w:r w:rsidRPr="00191536">
        <w:tab/>
      </w:r>
      <w:r w:rsidRPr="00C436A3">
        <w:t>Adopted by the Committee at its 131</w:t>
      </w:r>
      <w:r w:rsidRPr="00191536">
        <w:t>st</w:t>
      </w:r>
      <w:r w:rsidRPr="00C436A3">
        <w:t xml:space="preserve"> session (</w:t>
      </w:r>
      <w:r>
        <w:t>1–</w:t>
      </w:r>
      <w:r w:rsidRPr="00C436A3">
        <w:t xml:space="preserve">26 </w:t>
      </w:r>
      <w:r>
        <w:t xml:space="preserve">March </w:t>
      </w:r>
      <w:r w:rsidRPr="00C436A3">
        <w:t>2021).</w:t>
      </w:r>
    </w:p>
  </w:footnote>
  <w:footnote w:id="2">
    <w:p w14:paraId="53F51453" w14:textId="77777777" w:rsidR="00192C8E" w:rsidRPr="00920B94" w:rsidRDefault="00192C8E" w:rsidP="00192C8E">
      <w:pPr>
        <w:pStyle w:val="FootnoteText"/>
      </w:pPr>
      <w:r w:rsidRPr="00191536">
        <w:tab/>
      </w:r>
      <w:r w:rsidRPr="00A63DB3">
        <w:rPr>
          <w:sz w:val="20"/>
          <w:szCs w:val="22"/>
        </w:rPr>
        <w:t>**</w:t>
      </w:r>
      <w:r w:rsidRPr="00191536">
        <w:tab/>
      </w:r>
      <w:r w:rsidRPr="00C436A3">
        <w:t xml:space="preserve">The following members of the Committee participated in the examination of the communication: Tania </w:t>
      </w:r>
      <w:r>
        <w:t xml:space="preserve">María </w:t>
      </w:r>
      <w:r w:rsidRPr="00C436A3">
        <w:t xml:space="preserve">Abdo </w:t>
      </w:r>
      <w:proofErr w:type="spellStart"/>
      <w:r w:rsidRPr="00C436A3">
        <w:t>Rocholl</w:t>
      </w:r>
      <w:proofErr w:type="spellEnd"/>
      <w:r w:rsidRPr="00C436A3">
        <w:t xml:space="preserve">, </w:t>
      </w:r>
      <w:r w:rsidRPr="00920B94">
        <w:t xml:space="preserve">Wafaa Ashraf Moharram </w:t>
      </w:r>
      <w:proofErr w:type="spellStart"/>
      <w:r w:rsidRPr="00920B94">
        <w:t>Bassim</w:t>
      </w:r>
      <w:proofErr w:type="spellEnd"/>
      <w:r w:rsidRPr="00920B94">
        <w:t xml:space="preserve">, </w:t>
      </w:r>
      <w:proofErr w:type="spellStart"/>
      <w:r w:rsidRPr="00920B94">
        <w:t>Yadh</w:t>
      </w:r>
      <w:proofErr w:type="spellEnd"/>
      <w:r w:rsidRPr="00920B94">
        <w:t xml:space="preserve"> Ben </w:t>
      </w:r>
      <w:proofErr w:type="spellStart"/>
      <w:r w:rsidRPr="00920B94">
        <w:t>Achour</w:t>
      </w:r>
      <w:proofErr w:type="spellEnd"/>
      <w:r w:rsidRPr="00920B94">
        <w:t xml:space="preserve">, </w:t>
      </w:r>
      <w:proofErr w:type="spellStart"/>
      <w:r w:rsidRPr="00920B94">
        <w:t>Arif</w:t>
      </w:r>
      <w:proofErr w:type="spellEnd"/>
      <w:r w:rsidRPr="00920B94">
        <w:t xml:space="preserve"> </w:t>
      </w:r>
      <w:proofErr w:type="spellStart"/>
      <w:r w:rsidRPr="00920B94">
        <w:t>Bulkan</w:t>
      </w:r>
      <w:proofErr w:type="spellEnd"/>
      <w:r w:rsidRPr="00920B94">
        <w:t xml:space="preserve">, </w:t>
      </w:r>
      <w:proofErr w:type="spellStart"/>
      <w:r w:rsidRPr="00920B94">
        <w:t>Mahjoub</w:t>
      </w:r>
      <w:proofErr w:type="spellEnd"/>
      <w:r w:rsidRPr="00920B94">
        <w:t xml:space="preserve"> El </w:t>
      </w:r>
      <w:proofErr w:type="spellStart"/>
      <w:r w:rsidRPr="00920B94">
        <w:t>Haiba</w:t>
      </w:r>
      <w:proofErr w:type="spellEnd"/>
      <w:r w:rsidRPr="00920B94">
        <w:t xml:space="preserve">, </w:t>
      </w:r>
      <w:proofErr w:type="spellStart"/>
      <w:r w:rsidRPr="00920B94">
        <w:t>Furuya</w:t>
      </w:r>
      <w:proofErr w:type="spellEnd"/>
      <w:r>
        <w:t xml:space="preserve"> </w:t>
      </w:r>
      <w:r w:rsidRPr="00920B94">
        <w:t>Shuichi, Marcia</w:t>
      </w:r>
      <w:r>
        <w:t xml:space="preserve"> V.J.</w:t>
      </w:r>
      <w:r w:rsidRPr="00920B94">
        <w:t xml:space="preserve"> </w:t>
      </w:r>
      <w:proofErr w:type="spellStart"/>
      <w:r w:rsidRPr="00920B94">
        <w:t>Kran</w:t>
      </w:r>
      <w:proofErr w:type="spellEnd"/>
      <w:r w:rsidRPr="00920B94">
        <w:t xml:space="preserve">, Carlos Gómez Martínez, Duncan </w:t>
      </w:r>
      <w:proofErr w:type="spellStart"/>
      <w:r w:rsidRPr="00920B94">
        <w:t>Laki</w:t>
      </w:r>
      <w:proofErr w:type="spellEnd"/>
      <w:r w:rsidRPr="00920B94">
        <w:t xml:space="preserve"> </w:t>
      </w:r>
      <w:proofErr w:type="spellStart"/>
      <w:r w:rsidRPr="00920B94">
        <w:t>Muhumuza</w:t>
      </w:r>
      <w:proofErr w:type="spellEnd"/>
      <w:r w:rsidRPr="00920B94">
        <w:t xml:space="preserve">, Photini </w:t>
      </w:r>
      <w:proofErr w:type="spellStart"/>
      <w:r w:rsidRPr="00920B94">
        <w:t>Pazartzis</w:t>
      </w:r>
      <w:proofErr w:type="spellEnd"/>
      <w:r w:rsidRPr="00920B94">
        <w:t xml:space="preserve">, </w:t>
      </w:r>
      <w:proofErr w:type="spellStart"/>
      <w:r w:rsidRPr="00920B94">
        <w:t>Vasilka</w:t>
      </w:r>
      <w:proofErr w:type="spellEnd"/>
      <w:r w:rsidRPr="00920B94">
        <w:t xml:space="preserve"> </w:t>
      </w:r>
      <w:proofErr w:type="spellStart"/>
      <w:r w:rsidRPr="00920B94">
        <w:t>Sancin</w:t>
      </w:r>
      <w:proofErr w:type="spellEnd"/>
      <w:r w:rsidRPr="00920B94">
        <w:t xml:space="preserve">, José Manuel Santos </w:t>
      </w:r>
      <w:proofErr w:type="spellStart"/>
      <w:r w:rsidRPr="00920B94">
        <w:t>Pais</w:t>
      </w:r>
      <w:proofErr w:type="spellEnd"/>
      <w:r w:rsidRPr="00920B94">
        <w:t xml:space="preserve">, Soh </w:t>
      </w:r>
      <w:proofErr w:type="spellStart"/>
      <w:r w:rsidRPr="00920B94">
        <w:t>Changrok</w:t>
      </w:r>
      <w:proofErr w:type="spellEnd"/>
      <w:r w:rsidRPr="00920B94">
        <w:t xml:space="preserve">, </w:t>
      </w:r>
      <w:proofErr w:type="spellStart"/>
      <w:r w:rsidRPr="00920B94">
        <w:t>Kobauyah</w:t>
      </w:r>
      <w:proofErr w:type="spellEnd"/>
      <w:r w:rsidRPr="00920B94">
        <w:t xml:space="preserve"> </w:t>
      </w:r>
      <w:proofErr w:type="spellStart"/>
      <w:r w:rsidRPr="00920B94">
        <w:t>Tchamdja</w:t>
      </w:r>
      <w:proofErr w:type="spellEnd"/>
      <w:r w:rsidRPr="00920B94">
        <w:t xml:space="preserve"> </w:t>
      </w:r>
      <w:proofErr w:type="spellStart"/>
      <w:r w:rsidRPr="00920B94">
        <w:t>Kpatcha</w:t>
      </w:r>
      <w:proofErr w:type="spellEnd"/>
      <w:r>
        <w:t>,</w:t>
      </w:r>
      <w:r w:rsidRPr="00920B94">
        <w:t xml:space="preserve"> Hélène </w:t>
      </w:r>
      <w:proofErr w:type="spellStart"/>
      <w:r w:rsidRPr="00920B94">
        <w:t>Tigroudja</w:t>
      </w:r>
      <w:proofErr w:type="spellEnd"/>
      <w:r w:rsidRPr="00920B94">
        <w:t xml:space="preserve">, </w:t>
      </w:r>
      <w:proofErr w:type="spellStart"/>
      <w:r w:rsidRPr="00920B94">
        <w:t>Imeru</w:t>
      </w:r>
      <w:proofErr w:type="spellEnd"/>
      <w:r w:rsidRPr="00920B94">
        <w:t xml:space="preserve"> </w:t>
      </w:r>
      <w:proofErr w:type="spellStart"/>
      <w:r w:rsidRPr="00920B94">
        <w:t>Tamerat</w:t>
      </w:r>
      <w:proofErr w:type="spellEnd"/>
      <w:r w:rsidRPr="00920B94">
        <w:t xml:space="preserve"> </w:t>
      </w:r>
      <w:proofErr w:type="spellStart"/>
      <w:r w:rsidRPr="00920B94">
        <w:t>Yigezu</w:t>
      </w:r>
      <w:proofErr w:type="spellEnd"/>
      <w:r w:rsidRPr="00920B94">
        <w:t xml:space="preserve"> and Gentian </w:t>
      </w:r>
      <w:proofErr w:type="spellStart"/>
      <w:r w:rsidRPr="00920B94">
        <w:t>Zyberi</w:t>
      </w:r>
      <w:proofErr w:type="spellEnd"/>
      <w:r w:rsidRPr="00920B94">
        <w:t>.</w:t>
      </w:r>
    </w:p>
  </w:footnote>
  <w:footnote w:id="3">
    <w:p w14:paraId="7C1991CF" w14:textId="77777777" w:rsidR="00192C8E" w:rsidRPr="00B2629C" w:rsidRDefault="00192C8E" w:rsidP="00192C8E">
      <w:pPr>
        <w:pStyle w:val="FootnoteText"/>
      </w:pPr>
      <w:r w:rsidRPr="00191536">
        <w:tab/>
      </w:r>
      <w:r w:rsidRPr="00A63DB3">
        <w:rPr>
          <w:sz w:val="20"/>
          <w:szCs w:val="22"/>
        </w:rPr>
        <w:t>***</w:t>
      </w:r>
      <w:r w:rsidRPr="00191536">
        <w:tab/>
      </w:r>
      <w:r w:rsidRPr="00C436A3">
        <w:t xml:space="preserve">An individual opinion by Committee member Gentian </w:t>
      </w:r>
      <w:proofErr w:type="spellStart"/>
      <w:r w:rsidRPr="00C436A3">
        <w:t>Zyberi</w:t>
      </w:r>
      <w:proofErr w:type="spellEnd"/>
      <w:r w:rsidRPr="00920B94">
        <w:t xml:space="preserve"> (concurring</w:t>
      </w:r>
      <w:r w:rsidRPr="00C436A3">
        <w:t>) is annexed to the present Views</w:t>
      </w:r>
      <w:r w:rsidRPr="00436D80">
        <w:t>.</w:t>
      </w:r>
    </w:p>
  </w:footnote>
  <w:footnote w:id="4">
    <w:p w14:paraId="7BFBB459" w14:textId="77777777" w:rsidR="00192C8E" w:rsidRDefault="00192C8E" w:rsidP="00192C8E">
      <w:pPr>
        <w:pStyle w:val="FootnoteText"/>
      </w:pPr>
      <w:r>
        <w:tab/>
      </w:r>
      <w:r w:rsidRPr="00192C8E">
        <w:rPr>
          <w:rStyle w:val="FootnoteReference"/>
        </w:rPr>
        <w:footnoteRef/>
      </w:r>
      <w:r w:rsidRPr="00192C8E">
        <w:rPr>
          <w:rStyle w:val="FootnoteReference"/>
        </w:rPr>
        <w:tab/>
      </w:r>
      <w:r>
        <w:t>European Court of Human Rights, A</w:t>
      </w:r>
      <w:r w:rsidRPr="00C679B4">
        <w:rPr>
          <w:rFonts w:eastAsia="Verdana"/>
        </w:rPr>
        <w:t xml:space="preserve">pplications No. 4916/07, </w:t>
      </w:r>
      <w:r>
        <w:rPr>
          <w:rFonts w:eastAsia="Verdana"/>
        </w:rPr>
        <w:t xml:space="preserve">No. </w:t>
      </w:r>
      <w:r w:rsidRPr="00C679B4">
        <w:rPr>
          <w:rFonts w:eastAsia="Verdana"/>
        </w:rPr>
        <w:t xml:space="preserve">25924/08 and </w:t>
      </w:r>
      <w:r>
        <w:rPr>
          <w:rFonts w:eastAsia="Verdana"/>
        </w:rPr>
        <w:t xml:space="preserve">No. </w:t>
      </w:r>
      <w:r w:rsidRPr="00C679B4">
        <w:rPr>
          <w:rFonts w:eastAsia="Verdana"/>
        </w:rPr>
        <w:t>14599/09</w:t>
      </w:r>
      <w:r>
        <w:rPr>
          <w:rFonts w:eastAsia="Verdana"/>
        </w:rPr>
        <w:t>, Judgment, 21 October 2010.</w:t>
      </w:r>
    </w:p>
  </w:footnote>
  <w:footnote w:id="5">
    <w:p w14:paraId="0242A7CE" w14:textId="77777777" w:rsidR="00192C8E" w:rsidRDefault="00192C8E" w:rsidP="00192C8E">
      <w:pPr>
        <w:pStyle w:val="FootnoteText"/>
      </w:pPr>
      <w:r>
        <w:tab/>
      </w:r>
      <w:r w:rsidRPr="00192C8E">
        <w:rPr>
          <w:rStyle w:val="FootnoteReference"/>
        </w:rPr>
        <w:footnoteRef/>
      </w:r>
      <w:r w:rsidRPr="00192C8E">
        <w:rPr>
          <w:rStyle w:val="FootnoteReference"/>
        </w:rPr>
        <w:tab/>
      </w:r>
      <w:r>
        <w:t>CCPR/C/106/D/1</w:t>
      </w:r>
      <w:r w:rsidRPr="00C679B4">
        <w:rPr>
          <w:rFonts w:eastAsia="Verdana"/>
        </w:rPr>
        <w:t>932/2010</w:t>
      </w:r>
      <w:r>
        <w:rPr>
          <w:rFonts w:eastAsia="Verdana"/>
        </w:rPr>
        <w:t>.</w:t>
      </w:r>
    </w:p>
  </w:footnote>
  <w:footnote w:id="6">
    <w:p w14:paraId="522C4BD9" w14:textId="77777777" w:rsidR="00192C8E" w:rsidRDefault="00192C8E" w:rsidP="00192C8E">
      <w:pPr>
        <w:pStyle w:val="FootnoteText"/>
      </w:pPr>
      <w:r>
        <w:tab/>
      </w:r>
      <w:r w:rsidRPr="00192C8E">
        <w:rPr>
          <w:rStyle w:val="FootnoteReference"/>
        </w:rPr>
        <w:footnoteRef/>
      </w:r>
      <w:r w:rsidRPr="00192C8E">
        <w:rPr>
          <w:rStyle w:val="FootnoteReference"/>
        </w:rPr>
        <w:tab/>
      </w:r>
      <w:r>
        <w:tab/>
        <w:t xml:space="preserve">Applications No. 38951/13 and No. 59611/13, Decision, 12 May 2015. </w:t>
      </w:r>
      <w:r w:rsidRPr="00B57FCF">
        <w:t>With regard to the effectiveness of the remedy, the State party</w:t>
      </w:r>
      <w:r>
        <w:t xml:space="preserve"> also</w:t>
      </w:r>
      <w:r w:rsidRPr="00B57FCF">
        <w:t xml:space="preserve"> refer</w:t>
      </w:r>
      <w:r>
        <w:t>red</w:t>
      </w:r>
      <w:r w:rsidRPr="00B57FCF">
        <w:t xml:space="preserve"> to the </w:t>
      </w:r>
      <w:r>
        <w:t>changes introduced in the Civil Procedural Code</w:t>
      </w:r>
      <w:r w:rsidRPr="00B57FCF">
        <w:t>.</w:t>
      </w:r>
    </w:p>
  </w:footnote>
  <w:footnote w:id="7">
    <w:p w14:paraId="08669EA7" w14:textId="77777777" w:rsidR="00192C8E" w:rsidRDefault="00192C8E" w:rsidP="00192C8E">
      <w:pPr>
        <w:pStyle w:val="FootnoteText"/>
      </w:pPr>
      <w:r>
        <w:tab/>
      </w:r>
      <w:r w:rsidRPr="00192C8E">
        <w:rPr>
          <w:rStyle w:val="FootnoteReference"/>
        </w:rPr>
        <w:footnoteRef/>
      </w:r>
      <w:r w:rsidRPr="00192C8E">
        <w:rPr>
          <w:rStyle w:val="FootnoteReference"/>
        </w:rPr>
        <w:tab/>
      </w:r>
      <w:r>
        <w:tab/>
        <w:t xml:space="preserve">See also European Court of Human Rights, </w:t>
      </w:r>
      <w:proofErr w:type="spellStart"/>
      <w:r w:rsidRPr="00191536">
        <w:rPr>
          <w:i/>
          <w:iCs/>
        </w:rPr>
        <w:t>Berladir</w:t>
      </w:r>
      <w:proofErr w:type="spellEnd"/>
      <w:r w:rsidRPr="00191536">
        <w:rPr>
          <w:i/>
          <w:iCs/>
        </w:rPr>
        <w:t xml:space="preserve"> and others v. Russia</w:t>
      </w:r>
      <w:r>
        <w:t>, Application</w:t>
      </w:r>
      <w:r w:rsidRPr="00E84E24">
        <w:t xml:space="preserve"> No. 34202/06</w:t>
      </w:r>
      <w:r>
        <w:t xml:space="preserve">, Judgment, </w:t>
      </w:r>
      <w:r w:rsidRPr="00E84E24">
        <w:t>10 July 2012</w:t>
      </w:r>
      <w:r>
        <w:t>, para. 52.</w:t>
      </w:r>
    </w:p>
  </w:footnote>
  <w:footnote w:id="8">
    <w:p w14:paraId="63E1167A" w14:textId="77777777" w:rsidR="00192C8E" w:rsidRPr="00191536" w:rsidRDefault="00192C8E" w:rsidP="00192C8E">
      <w:pPr>
        <w:pStyle w:val="FootnoteText"/>
        <w:rPr>
          <w:lang w:val="en-US"/>
        </w:rPr>
      </w:pPr>
      <w:r>
        <w:tab/>
      </w:r>
      <w:r w:rsidRPr="00192C8E">
        <w:rPr>
          <w:rStyle w:val="FootnoteReference"/>
        </w:rPr>
        <w:footnoteRef/>
      </w:r>
      <w:r w:rsidRPr="00192C8E">
        <w:rPr>
          <w:rStyle w:val="FootnoteReference"/>
        </w:rPr>
        <w:tab/>
      </w:r>
      <w:r w:rsidRPr="00191536">
        <w:rPr>
          <w:lang w:val="en-US"/>
        </w:rPr>
        <w:tab/>
        <w:t>CCPR/C/111/D/2030/2011, para. 8.2.</w:t>
      </w:r>
    </w:p>
  </w:footnote>
  <w:footnote w:id="9">
    <w:p w14:paraId="4D282DCC" w14:textId="1A02FE4E" w:rsidR="00192C8E" w:rsidRDefault="00192C8E" w:rsidP="00192C8E">
      <w:pPr>
        <w:pStyle w:val="FootnoteText"/>
      </w:pPr>
      <w:r w:rsidRPr="00191536">
        <w:rPr>
          <w:lang w:val="en-US"/>
        </w:rPr>
        <w:tab/>
      </w:r>
      <w:r w:rsidRPr="00192C8E">
        <w:rPr>
          <w:rStyle w:val="FootnoteReference"/>
        </w:rPr>
        <w:footnoteRef/>
      </w:r>
      <w:r w:rsidRPr="00192C8E">
        <w:rPr>
          <w:rStyle w:val="FootnoteReference"/>
        </w:rPr>
        <w:tab/>
      </w:r>
      <w:r w:rsidRPr="00191536">
        <w:rPr>
          <w:lang w:val="en-US"/>
        </w:rPr>
        <w:t xml:space="preserve">CCPR/C/109/D/1851/2008, para. </w:t>
      </w:r>
      <w:r>
        <w:t>9.6.</w:t>
      </w:r>
    </w:p>
  </w:footnote>
  <w:footnote w:id="10">
    <w:p w14:paraId="1971BF08" w14:textId="29FA674C" w:rsidR="00192C8E" w:rsidRPr="001163C9" w:rsidRDefault="00192C8E" w:rsidP="00192C8E">
      <w:pPr>
        <w:pStyle w:val="FootnoteText"/>
      </w:pPr>
      <w:r>
        <w:tab/>
      </w:r>
      <w:r w:rsidRPr="00192C8E">
        <w:rPr>
          <w:rStyle w:val="FootnoteReference"/>
        </w:rPr>
        <w:footnoteRef/>
      </w:r>
      <w:r w:rsidRPr="00192C8E">
        <w:rPr>
          <w:rStyle w:val="FootnoteReference"/>
        </w:rPr>
        <w:tab/>
      </w:r>
      <w:r>
        <w:tab/>
        <w:t xml:space="preserve">The State Party also refers to several United Nations instruments and documents relating to the rights of the child, in particular, the </w:t>
      </w:r>
      <w:r w:rsidRPr="001163C9">
        <w:t>Convention on the Rights of the Child</w:t>
      </w:r>
      <w:r>
        <w:t>, arts.</w:t>
      </w:r>
      <w:r w:rsidR="00995ABD">
        <w:t xml:space="preserve"> </w:t>
      </w:r>
      <w:r>
        <w:t>8 (1)</w:t>
      </w:r>
      <w:r w:rsidRPr="001163C9">
        <w:t xml:space="preserve">, </w:t>
      </w:r>
      <w:r>
        <w:t>13 and 16</w:t>
      </w:r>
      <w:r w:rsidRPr="001163C9">
        <w:t xml:space="preserve">; </w:t>
      </w:r>
      <w:r>
        <w:t xml:space="preserve">and </w:t>
      </w:r>
      <w:r w:rsidRPr="001163C9">
        <w:t>Committee on the Rights of the Child</w:t>
      </w:r>
      <w:r>
        <w:t>,</w:t>
      </w:r>
      <w:r w:rsidRPr="001163C9">
        <w:t xml:space="preserve"> </w:t>
      </w:r>
      <w:r>
        <w:t>g</w:t>
      </w:r>
      <w:r w:rsidRPr="001163C9">
        <w:t xml:space="preserve">eneral comment No. 4 (2003) </w:t>
      </w:r>
      <w:r>
        <w:t>and g</w:t>
      </w:r>
      <w:r w:rsidRPr="001163C9">
        <w:t>eneral comment No. 7 (2005).</w:t>
      </w:r>
    </w:p>
  </w:footnote>
  <w:footnote w:id="11">
    <w:p w14:paraId="3BBA5A2B" w14:textId="77777777" w:rsidR="00192C8E" w:rsidRPr="00191536" w:rsidRDefault="00192C8E" w:rsidP="00192C8E">
      <w:pPr>
        <w:pStyle w:val="FootnoteText"/>
        <w:rPr>
          <w:lang w:val="en-US"/>
        </w:rPr>
      </w:pPr>
      <w:r>
        <w:tab/>
      </w:r>
      <w:r w:rsidRPr="00192C8E">
        <w:rPr>
          <w:rStyle w:val="FootnoteReference"/>
        </w:rPr>
        <w:footnoteRef/>
      </w:r>
      <w:r w:rsidRPr="00192C8E">
        <w:rPr>
          <w:rStyle w:val="FootnoteReference"/>
        </w:rPr>
        <w:tab/>
      </w:r>
      <w:r>
        <w:t>Application No. 168899/13, Judgment, 29 March 2016.</w:t>
      </w:r>
    </w:p>
  </w:footnote>
  <w:footnote w:id="12">
    <w:p w14:paraId="7721E94D" w14:textId="77777777" w:rsidR="00192C8E" w:rsidRDefault="00192C8E" w:rsidP="00192C8E">
      <w:pPr>
        <w:pStyle w:val="FootnoteText"/>
      </w:pPr>
      <w:r>
        <w:tab/>
      </w:r>
      <w:r w:rsidRPr="00192C8E">
        <w:rPr>
          <w:rStyle w:val="FootnoteReference"/>
        </w:rPr>
        <w:footnoteRef/>
      </w:r>
      <w:r w:rsidRPr="00192C8E">
        <w:rPr>
          <w:rStyle w:val="FootnoteReference"/>
        </w:rPr>
        <w:tab/>
      </w:r>
      <w:r>
        <w:tab/>
      </w:r>
      <w:r w:rsidRPr="00191536">
        <w:rPr>
          <w:i/>
          <w:iCs/>
        </w:rPr>
        <w:t>Alekseyev</w:t>
      </w:r>
      <w:r w:rsidRPr="00E509A3">
        <w:rPr>
          <w:i/>
          <w:iCs/>
        </w:rPr>
        <w:t xml:space="preserve"> and others</w:t>
      </w:r>
      <w:r w:rsidRPr="00191536">
        <w:rPr>
          <w:i/>
          <w:iCs/>
        </w:rPr>
        <w:t xml:space="preserve"> v. Russia</w:t>
      </w:r>
      <w:r w:rsidRPr="00E509A3">
        <w:t xml:space="preserve">, </w:t>
      </w:r>
      <w:r w:rsidRPr="00191536">
        <w:t>A</w:t>
      </w:r>
      <w:r w:rsidRPr="00E509A3">
        <w:t xml:space="preserve">pplication No. 14988/09 and 50 others, </w:t>
      </w:r>
      <w:r w:rsidRPr="008F4DD4">
        <w:t xml:space="preserve">Judgment, 27 November 2018; and </w:t>
      </w:r>
      <w:r w:rsidRPr="00191536">
        <w:rPr>
          <w:i/>
          <w:iCs/>
        </w:rPr>
        <w:t>Alekseyev and others v. Russia</w:t>
      </w:r>
      <w:r w:rsidRPr="008F4DD4">
        <w:t xml:space="preserve">, </w:t>
      </w:r>
      <w:r w:rsidRPr="00191536">
        <w:t>A</w:t>
      </w:r>
      <w:r w:rsidRPr="008F4DD4">
        <w:t>pplication No. 31782/15</w:t>
      </w:r>
      <w:r>
        <w:t>, Decision of inadmissibility, 30 June 2020</w:t>
      </w:r>
      <w:r w:rsidRPr="008F4DD4">
        <w:t>.</w:t>
      </w:r>
    </w:p>
  </w:footnote>
  <w:footnote w:id="13">
    <w:p w14:paraId="6B002C53" w14:textId="77777777" w:rsidR="00192C8E" w:rsidRDefault="00192C8E" w:rsidP="00192C8E">
      <w:pPr>
        <w:pStyle w:val="FootnoteText"/>
      </w:pPr>
      <w:r>
        <w:tab/>
      </w:r>
      <w:r w:rsidRPr="00192C8E">
        <w:rPr>
          <w:rStyle w:val="FootnoteReference"/>
        </w:rPr>
        <w:footnoteRef/>
      </w:r>
      <w:r w:rsidRPr="00192C8E">
        <w:rPr>
          <w:rStyle w:val="FootnoteReference"/>
        </w:rPr>
        <w:tab/>
      </w:r>
      <w:r>
        <w:tab/>
        <w:t xml:space="preserve">The author quotes extensively from the decision in </w:t>
      </w:r>
      <w:r w:rsidRPr="00191536">
        <w:t xml:space="preserve">European Court of Human Rights, </w:t>
      </w:r>
      <w:r w:rsidRPr="00191536">
        <w:rPr>
          <w:i/>
          <w:iCs/>
        </w:rPr>
        <w:t>Alekseyev v. Russia</w:t>
      </w:r>
      <w:r w:rsidRPr="00B40F56">
        <w:t xml:space="preserve">, </w:t>
      </w:r>
      <w:r>
        <w:t>A</w:t>
      </w:r>
      <w:r w:rsidRPr="00B40F56">
        <w:t xml:space="preserve">pplications No. 4916/07, </w:t>
      </w:r>
      <w:r>
        <w:t xml:space="preserve">No. </w:t>
      </w:r>
      <w:r w:rsidRPr="00B40F56">
        <w:t xml:space="preserve">25924/08 and </w:t>
      </w:r>
      <w:r>
        <w:t xml:space="preserve">No. </w:t>
      </w:r>
      <w:r w:rsidRPr="00B40F56">
        <w:t>14599/09</w:t>
      </w:r>
      <w:r>
        <w:t>, Judgment, 21 October 2010, in particular paras. 78, 80–88 and 108.</w:t>
      </w:r>
    </w:p>
  </w:footnote>
  <w:footnote w:id="14">
    <w:p w14:paraId="00B16803" w14:textId="77777777" w:rsidR="00192C8E" w:rsidRDefault="00192C8E" w:rsidP="00192C8E">
      <w:pPr>
        <w:pStyle w:val="FootnoteText"/>
      </w:pPr>
      <w:r>
        <w:tab/>
      </w:r>
      <w:r w:rsidRPr="00192C8E">
        <w:rPr>
          <w:rStyle w:val="FootnoteReference"/>
        </w:rPr>
        <w:footnoteRef/>
      </w:r>
      <w:r w:rsidRPr="00192C8E">
        <w:rPr>
          <w:rStyle w:val="FootnoteReference"/>
        </w:rPr>
        <w:tab/>
      </w:r>
      <w:r>
        <w:tab/>
        <w:t>Paras. 10.6–10.8.</w:t>
      </w:r>
    </w:p>
  </w:footnote>
  <w:footnote w:id="15">
    <w:p w14:paraId="30EFF84F" w14:textId="77777777" w:rsidR="00192C8E" w:rsidRDefault="00192C8E" w:rsidP="00192C8E">
      <w:pPr>
        <w:pStyle w:val="FootnoteText"/>
      </w:pPr>
      <w:r>
        <w:tab/>
      </w:r>
      <w:r w:rsidRPr="00192C8E">
        <w:rPr>
          <w:rStyle w:val="FootnoteReference"/>
        </w:rPr>
        <w:footnoteRef/>
      </w:r>
      <w:r w:rsidRPr="00192C8E">
        <w:rPr>
          <w:rStyle w:val="FootnoteReference"/>
        </w:rPr>
        <w:tab/>
      </w:r>
      <w:r>
        <w:tab/>
        <w:t xml:space="preserve">See </w:t>
      </w:r>
      <w:r w:rsidRPr="00B40F56">
        <w:t>CCPR/C/10</w:t>
      </w:r>
      <w:r>
        <w:t>9</w:t>
      </w:r>
      <w:r w:rsidRPr="00B40F56">
        <w:t>/D/1</w:t>
      </w:r>
      <w:r>
        <w:t>873</w:t>
      </w:r>
      <w:r w:rsidRPr="00B40F56">
        <w:t>/200</w:t>
      </w:r>
      <w:r>
        <w:t xml:space="preserve">9. </w:t>
      </w:r>
    </w:p>
  </w:footnote>
  <w:footnote w:id="16">
    <w:p w14:paraId="0115B18A" w14:textId="77777777" w:rsidR="00192C8E" w:rsidRDefault="00192C8E" w:rsidP="00192C8E">
      <w:pPr>
        <w:pStyle w:val="FootnoteText"/>
      </w:pPr>
      <w:r>
        <w:tab/>
      </w:r>
      <w:r w:rsidRPr="00192C8E">
        <w:rPr>
          <w:rStyle w:val="FootnoteReference"/>
        </w:rPr>
        <w:footnoteRef/>
      </w:r>
      <w:r w:rsidRPr="00192C8E">
        <w:rPr>
          <w:rStyle w:val="FootnoteReference"/>
        </w:rPr>
        <w:tab/>
      </w:r>
      <w:r>
        <w:t>Adopted by the Venice Commission on 18 June 2013 at its 95th plenary session.</w:t>
      </w:r>
    </w:p>
  </w:footnote>
  <w:footnote w:id="17">
    <w:p w14:paraId="3848BB03" w14:textId="3353527E" w:rsidR="00192C8E" w:rsidRPr="00845237" w:rsidRDefault="00192C8E" w:rsidP="00192C8E">
      <w:pPr>
        <w:pStyle w:val="FootnoteText"/>
        <w:rPr>
          <w:lang w:eastAsia="en-GB"/>
        </w:rPr>
      </w:pPr>
      <w:r w:rsidRPr="00A956BA">
        <w:tab/>
      </w:r>
      <w:r w:rsidRPr="00192C8E">
        <w:rPr>
          <w:rStyle w:val="FootnoteReference"/>
        </w:rPr>
        <w:footnoteRef/>
      </w:r>
      <w:r w:rsidRPr="00192C8E">
        <w:rPr>
          <w:rStyle w:val="FootnoteReference"/>
        </w:rPr>
        <w:tab/>
      </w:r>
      <w:r w:rsidRPr="00E7151B">
        <w:rPr>
          <w:lang w:eastAsia="en-GB"/>
        </w:rPr>
        <w:t>See</w:t>
      </w:r>
      <w:r>
        <w:rPr>
          <w:lang w:eastAsia="en-GB"/>
        </w:rPr>
        <w:t>,</w:t>
      </w:r>
      <w:r w:rsidRPr="00E7151B">
        <w:rPr>
          <w:lang w:eastAsia="en-GB"/>
        </w:rPr>
        <w:t xml:space="preserve"> </w:t>
      </w:r>
      <w:r w:rsidRPr="00FF59AA">
        <w:rPr>
          <w:lang w:eastAsia="en-GB"/>
        </w:rPr>
        <w:t>inter alia</w:t>
      </w:r>
      <w:r>
        <w:rPr>
          <w:lang w:eastAsia="en-GB"/>
        </w:rPr>
        <w:t>,</w:t>
      </w:r>
      <w:r w:rsidRPr="00FF59AA">
        <w:rPr>
          <w:lang w:eastAsia="en-GB"/>
        </w:rPr>
        <w:t xml:space="preserve"> </w:t>
      </w:r>
      <w:r w:rsidRPr="00845237">
        <w:rPr>
          <w:i/>
          <w:lang w:eastAsia="en-GB"/>
        </w:rPr>
        <w:t xml:space="preserve">Warsame </w:t>
      </w:r>
      <w:r w:rsidRPr="00191536">
        <w:rPr>
          <w:i/>
          <w:lang w:eastAsia="en-GB"/>
        </w:rPr>
        <w:t>v.</w:t>
      </w:r>
      <w:r w:rsidRPr="00FF59AA">
        <w:rPr>
          <w:iCs/>
          <w:lang w:eastAsia="en-GB"/>
        </w:rPr>
        <w:t xml:space="preserve"> </w:t>
      </w:r>
      <w:r w:rsidRPr="00845237">
        <w:rPr>
          <w:i/>
          <w:lang w:eastAsia="en-GB"/>
        </w:rPr>
        <w:t>Canada</w:t>
      </w:r>
      <w:r>
        <w:rPr>
          <w:i/>
          <w:lang w:eastAsia="en-GB"/>
        </w:rPr>
        <w:t xml:space="preserve"> </w:t>
      </w:r>
      <w:r>
        <w:rPr>
          <w:iCs/>
          <w:lang w:eastAsia="en-GB"/>
        </w:rPr>
        <w:t>(</w:t>
      </w:r>
      <w:r>
        <w:t>CCPR/C/102/D/1959/2010)</w:t>
      </w:r>
      <w:r w:rsidRPr="00845237">
        <w:rPr>
          <w:lang w:eastAsia="en-GB"/>
        </w:rPr>
        <w:t>, para.</w:t>
      </w:r>
      <w:r w:rsidR="00995ABD">
        <w:rPr>
          <w:lang w:eastAsia="en-GB"/>
        </w:rPr>
        <w:t xml:space="preserve"> </w:t>
      </w:r>
      <w:r w:rsidRPr="00845237">
        <w:rPr>
          <w:lang w:eastAsia="en-GB"/>
        </w:rPr>
        <w:t xml:space="preserve">7.4; </w:t>
      </w:r>
      <w:r>
        <w:rPr>
          <w:lang w:eastAsia="en-GB"/>
        </w:rPr>
        <w:t xml:space="preserve">and </w:t>
      </w:r>
      <w:r w:rsidRPr="00845237">
        <w:rPr>
          <w:i/>
          <w:lang w:eastAsia="en-GB"/>
        </w:rPr>
        <w:t>P.L. v. Germany</w:t>
      </w:r>
      <w:r>
        <w:rPr>
          <w:i/>
          <w:lang w:eastAsia="en-GB"/>
        </w:rPr>
        <w:t xml:space="preserve"> </w:t>
      </w:r>
      <w:r>
        <w:rPr>
          <w:iCs/>
          <w:lang w:eastAsia="en-GB"/>
        </w:rPr>
        <w:t>(</w:t>
      </w:r>
      <w:r>
        <w:t>CCPR/C/79/D/1003/2001)</w:t>
      </w:r>
      <w:r w:rsidRPr="00845237">
        <w:rPr>
          <w:lang w:eastAsia="en-GB"/>
        </w:rPr>
        <w:t>, para.</w:t>
      </w:r>
      <w:r>
        <w:rPr>
          <w:lang w:eastAsia="en-GB"/>
        </w:rPr>
        <w:t xml:space="preserve"> </w:t>
      </w:r>
      <w:r w:rsidRPr="00845237">
        <w:rPr>
          <w:lang w:eastAsia="en-GB"/>
        </w:rPr>
        <w:t>6.5.</w:t>
      </w:r>
    </w:p>
  </w:footnote>
  <w:footnote w:id="18">
    <w:p w14:paraId="593B22F1" w14:textId="77777777" w:rsidR="00192C8E" w:rsidRPr="005002FC" w:rsidRDefault="00192C8E" w:rsidP="00192C8E">
      <w:pPr>
        <w:pStyle w:val="FootnoteText"/>
      </w:pPr>
      <w:r>
        <w:tab/>
      </w:r>
      <w:r w:rsidRPr="00192C8E">
        <w:rPr>
          <w:rStyle w:val="FootnoteReference"/>
        </w:rPr>
        <w:footnoteRef/>
      </w:r>
      <w:r w:rsidRPr="00192C8E">
        <w:rPr>
          <w:rStyle w:val="FootnoteReference"/>
        </w:rPr>
        <w:tab/>
      </w:r>
      <w:proofErr w:type="spellStart"/>
      <w:r w:rsidRPr="000B1BE9">
        <w:rPr>
          <w:i/>
        </w:rPr>
        <w:t>Leghaei</w:t>
      </w:r>
      <w:proofErr w:type="spellEnd"/>
      <w:r w:rsidRPr="000B1BE9">
        <w:rPr>
          <w:i/>
        </w:rPr>
        <w:t xml:space="preserve"> et al. </w:t>
      </w:r>
      <w:r w:rsidRPr="00191536">
        <w:rPr>
          <w:i/>
          <w:lang w:val="en-US"/>
        </w:rPr>
        <w:t xml:space="preserve">v. Australia </w:t>
      </w:r>
      <w:r w:rsidRPr="00191536">
        <w:rPr>
          <w:iCs/>
          <w:lang w:val="en-US"/>
        </w:rPr>
        <w:t>(</w:t>
      </w:r>
      <w:r w:rsidRPr="00191536">
        <w:rPr>
          <w:lang w:val="en-US"/>
        </w:rPr>
        <w:t xml:space="preserve">CCPR/C/113/D/1937/2010), para. </w:t>
      </w:r>
      <w:r>
        <w:t>9.3.</w:t>
      </w:r>
    </w:p>
  </w:footnote>
  <w:footnote w:id="19">
    <w:p w14:paraId="4CB851C4" w14:textId="77777777" w:rsidR="00192C8E" w:rsidRPr="00AD0C7C" w:rsidRDefault="00192C8E" w:rsidP="00192C8E">
      <w:pPr>
        <w:pStyle w:val="FootnoteText"/>
      </w:pPr>
      <w:r>
        <w:tab/>
      </w:r>
      <w:r w:rsidRPr="00192C8E">
        <w:rPr>
          <w:rStyle w:val="FootnoteReference"/>
        </w:rPr>
        <w:footnoteRef/>
      </w:r>
      <w:r w:rsidRPr="00192C8E">
        <w:rPr>
          <w:rStyle w:val="FootnoteReference"/>
        </w:rPr>
        <w:tab/>
      </w:r>
      <w:r>
        <w:t xml:space="preserve">See, for example, </w:t>
      </w:r>
      <w:proofErr w:type="spellStart"/>
      <w:r w:rsidRPr="00E06FBB">
        <w:rPr>
          <w:i/>
        </w:rPr>
        <w:t>Schumilin</w:t>
      </w:r>
      <w:proofErr w:type="spellEnd"/>
      <w:r w:rsidRPr="00E06FBB">
        <w:rPr>
          <w:i/>
        </w:rPr>
        <w:t xml:space="preserve"> v. Belarus</w:t>
      </w:r>
      <w:r>
        <w:t xml:space="preserve"> (CCPR/C/105/D/1784/2008)</w:t>
      </w:r>
      <w:r w:rsidRPr="00427D24">
        <w:t xml:space="preserve">, </w:t>
      </w:r>
      <w:r w:rsidRPr="006C442D">
        <w:t>para. 8.3</w:t>
      </w:r>
      <w:r>
        <w:t xml:space="preserve">; and </w:t>
      </w:r>
      <w:proofErr w:type="spellStart"/>
      <w:r w:rsidRPr="0071362C">
        <w:rPr>
          <w:i/>
        </w:rPr>
        <w:t>Dorofeev</w:t>
      </w:r>
      <w:proofErr w:type="spellEnd"/>
      <w:r w:rsidRPr="0071362C">
        <w:rPr>
          <w:i/>
        </w:rPr>
        <w:t xml:space="preserve"> v. Russian Federation</w:t>
      </w:r>
      <w:r>
        <w:rPr>
          <w:i/>
        </w:rPr>
        <w:t xml:space="preserve"> </w:t>
      </w:r>
      <w:r>
        <w:rPr>
          <w:iCs/>
        </w:rPr>
        <w:t>(</w:t>
      </w:r>
      <w:r>
        <w:t xml:space="preserve">CCPR/C/111/D/2041/2011). </w:t>
      </w:r>
    </w:p>
  </w:footnote>
  <w:footnote w:id="20">
    <w:p w14:paraId="56259A5A" w14:textId="77777777" w:rsidR="00192C8E" w:rsidRDefault="00192C8E" w:rsidP="00192C8E">
      <w:pPr>
        <w:pStyle w:val="FootnoteText"/>
      </w:pPr>
      <w:r>
        <w:tab/>
      </w:r>
      <w:r w:rsidRPr="00192C8E">
        <w:rPr>
          <w:rStyle w:val="FootnoteReference"/>
        </w:rPr>
        <w:footnoteRef/>
      </w:r>
      <w:r w:rsidRPr="00192C8E">
        <w:rPr>
          <w:rStyle w:val="FootnoteReference"/>
        </w:rPr>
        <w:tab/>
      </w:r>
      <w:r>
        <w:t xml:space="preserve">CCPR/C/RUS/CO/7. </w:t>
      </w:r>
    </w:p>
  </w:footnote>
  <w:footnote w:id="21">
    <w:p w14:paraId="7B9F59D7" w14:textId="77777777" w:rsidR="00192C8E" w:rsidRDefault="00192C8E" w:rsidP="00192C8E">
      <w:pPr>
        <w:pStyle w:val="FootnoteText"/>
        <w:jc w:val="both"/>
      </w:pPr>
      <w:r>
        <w:tab/>
      </w:r>
      <w:r w:rsidRPr="00192C8E">
        <w:rPr>
          <w:rStyle w:val="FootnoteReference"/>
        </w:rPr>
        <w:footnoteRef/>
      </w:r>
      <w:r w:rsidRPr="00192C8E">
        <w:rPr>
          <w:rStyle w:val="FootnoteReference"/>
        </w:rPr>
        <w:tab/>
      </w:r>
      <w:r>
        <w:t xml:space="preserve">See, inter alia, </w:t>
      </w:r>
      <w:r w:rsidRPr="00562622">
        <w:rPr>
          <w:i/>
        </w:rPr>
        <w:t>S.L. v. Czech Republic</w:t>
      </w:r>
      <w:r>
        <w:rPr>
          <w:i/>
        </w:rPr>
        <w:t xml:space="preserve"> </w:t>
      </w:r>
      <w:r>
        <w:rPr>
          <w:iCs/>
        </w:rPr>
        <w:t>(</w:t>
      </w:r>
      <w:r>
        <w:t xml:space="preserve">CCPR/C/103/D/1850/2008), para. 6.4; and </w:t>
      </w:r>
      <w:r w:rsidRPr="001A1199">
        <w:rPr>
          <w:i/>
        </w:rPr>
        <w:t xml:space="preserve">Min-Kyu </w:t>
      </w:r>
      <w:proofErr w:type="spellStart"/>
      <w:r w:rsidRPr="001A1199">
        <w:rPr>
          <w:i/>
        </w:rPr>
        <w:t>Jeong</w:t>
      </w:r>
      <w:proofErr w:type="spellEnd"/>
      <w:r w:rsidRPr="001A1199">
        <w:rPr>
          <w:i/>
        </w:rPr>
        <w:t xml:space="preserve"> et al. v. Republic of Korea</w:t>
      </w:r>
      <w:r>
        <w:rPr>
          <w:i/>
        </w:rPr>
        <w:t xml:space="preserve"> </w:t>
      </w:r>
      <w:r>
        <w:rPr>
          <w:iCs/>
        </w:rPr>
        <w:t>(</w:t>
      </w:r>
      <w:r>
        <w:t>CCPR/C/101/D/1642-1741/2007), para. 6.3.</w:t>
      </w:r>
    </w:p>
  </w:footnote>
  <w:footnote w:id="22">
    <w:p w14:paraId="2B468392" w14:textId="77777777" w:rsidR="00192C8E" w:rsidRPr="00191536" w:rsidRDefault="00192C8E" w:rsidP="00192C8E">
      <w:pPr>
        <w:pStyle w:val="FootnoteText"/>
        <w:rPr>
          <w:lang w:val="en-US"/>
        </w:rPr>
      </w:pPr>
      <w:r>
        <w:tab/>
      </w:r>
      <w:r w:rsidRPr="00192C8E">
        <w:rPr>
          <w:rStyle w:val="FootnoteReference"/>
        </w:rPr>
        <w:footnoteRef/>
      </w:r>
      <w:r w:rsidRPr="00192C8E">
        <w:rPr>
          <w:rStyle w:val="FootnoteReference"/>
        </w:rPr>
        <w:tab/>
      </w:r>
      <w:r>
        <w:t xml:space="preserve">Committee on Human Rights, general comment No. 37 (2020), para. </w:t>
      </w:r>
      <w:r w:rsidRPr="00191536">
        <w:rPr>
          <w:lang w:val="en-US"/>
        </w:rPr>
        <w:t>1.</w:t>
      </w:r>
    </w:p>
  </w:footnote>
  <w:footnote w:id="23">
    <w:p w14:paraId="4B323242" w14:textId="77777777" w:rsidR="00192C8E" w:rsidRPr="003F52FB" w:rsidRDefault="00192C8E" w:rsidP="00192C8E">
      <w:pPr>
        <w:pStyle w:val="FootnoteText"/>
        <w:rPr>
          <w:lang w:val="es-ES"/>
        </w:rPr>
      </w:pPr>
      <w:r w:rsidRPr="00191536">
        <w:rPr>
          <w:lang w:val="en-US"/>
        </w:rPr>
        <w:tab/>
      </w:r>
      <w:r w:rsidRPr="00192C8E">
        <w:rPr>
          <w:rStyle w:val="FootnoteReference"/>
        </w:rPr>
        <w:footnoteRef/>
      </w:r>
      <w:r w:rsidRPr="00192C8E">
        <w:rPr>
          <w:rStyle w:val="FootnoteReference"/>
        </w:rPr>
        <w:tab/>
      </w:r>
      <w:r w:rsidRPr="00191536">
        <w:rPr>
          <w:lang w:val="en-US"/>
        </w:rPr>
        <w:t xml:space="preserve">Ibid., para. </w:t>
      </w:r>
      <w:r w:rsidRPr="003F52FB">
        <w:rPr>
          <w:lang w:val="es-ES"/>
        </w:rPr>
        <w:t>25.</w:t>
      </w:r>
    </w:p>
  </w:footnote>
  <w:footnote w:id="24">
    <w:p w14:paraId="5FBEECFC" w14:textId="77777777" w:rsidR="00192C8E" w:rsidRPr="003F52FB" w:rsidRDefault="00192C8E" w:rsidP="00192C8E">
      <w:pPr>
        <w:pStyle w:val="FootnoteText"/>
        <w:rPr>
          <w:lang w:val="es-ES"/>
        </w:rPr>
      </w:pPr>
      <w:r w:rsidRPr="003F52FB">
        <w:rPr>
          <w:lang w:val="es-ES"/>
        </w:rPr>
        <w:tab/>
      </w:r>
      <w:r w:rsidRPr="00192C8E">
        <w:rPr>
          <w:rStyle w:val="FootnoteReference"/>
        </w:rPr>
        <w:footnoteRef/>
      </w:r>
      <w:r w:rsidRPr="00A63DB3">
        <w:rPr>
          <w:rStyle w:val="FootnoteReference"/>
          <w:lang w:val="es-ES"/>
        </w:rPr>
        <w:tab/>
      </w:r>
      <w:r w:rsidRPr="003F52FB">
        <w:rPr>
          <w:lang w:val="es-ES"/>
        </w:rPr>
        <w:t>Ibid</w:t>
      </w:r>
      <w:r>
        <w:rPr>
          <w:lang w:val="es-ES"/>
        </w:rPr>
        <w:t>.,</w:t>
      </w:r>
      <w:r w:rsidRPr="003F52FB">
        <w:rPr>
          <w:lang w:val="es-ES"/>
        </w:rPr>
        <w:t xml:space="preserve"> para</w:t>
      </w:r>
      <w:r>
        <w:rPr>
          <w:lang w:val="es-ES"/>
        </w:rPr>
        <w:t>.</w:t>
      </w:r>
      <w:r w:rsidRPr="003F52FB">
        <w:rPr>
          <w:lang w:val="es-ES"/>
        </w:rPr>
        <w:t xml:space="preserve"> 6.</w:t>
      </w:r>
    </w:p>
  </w:footnote>
  <w:footnote w:id="25">
    <w:p w14:paraId="3A9665AD" w14:textId="77777777" w:rsidR="00192C8E" w:rsidRPr="003F52FB" w:rsidRDefault="00192C8E" w:rsidP="00192C8E">
      <w:pPr>
        <w:pStyle w:val="EndnoteText"/>
      </w:pPr>
      <w:r>
        <w:rPr>
          <w:lang w:val="es-ES"/>
        </w:rPr>
        <w:tab/>
      </w:r>
      <w:r w:rsidRPr="00192C8E">
        <w:rPr>
          <w:rStyle w:val="FootnoteReference"/>
        </w:rPr>
        <w:footnoteRef/>
      </w:r>
      <w:r w:rsidRPr="00A63DB3">
        <w:rPr>
          <w:rStyle w:val="FootnoteReference"/>
          <w:lang w:val="es-ES"/>
        </w:rPr>
        <w:tab/>
      </w:r>
      <w:proofErr w:type="spellStart"/>
      <w:r w:rsidRPr="00191536">
        <w:rPr>
          <w:i/>
          <w:iCs/>
          <w:lang w:val="es-ES"/>
        </w:rPr>
        <w:t>Poplavny</w:t>
      </w:r>
      <w:proofErr w:type="spellEnd"/>
      <w:r w:rsidRPr="00191536">
        <w:rPr>
          <w:i/>
          <w:iCs/>
          <w:lang w:val="es-ES"/>
        </w:rPr>
        <w:t xml:space="preserve"> v. </w:t>
      </w:r>
      <w:proofErr w:type="spellStart"/>
      <w:r w:rsidRPr="00191536">
        <w:rPr>
          <w:i/>
          <w:iCs/>
          <w:lang w:val="es-ES"/>
        </w:rPr>
        <w:t>Belarus</w:t>
      </w:r>
      <w:proofErr w:type="spellEnd"/>
      <w:r w:rsidRPr="00191536">
        <w:rPr>
          <w:lang w:val="es-ES"/>
        </w:rPr>
        <w:t xml:space="preserve"> (CCPR/C/115/D/2019/2010), para. </w:t>
      </w:r>
      <w:r w:rsidRPr="003F52FB">
        <w:t>8.4</w:t>
      </w:r>
      <w:r>
        <w:t>;</w:t>
      </w:r>
      <w:r w:rsidRPr="003F52FB">
        <w:t xml:space="preserve"> </w:t>
      </w:r>
      <w:r w:rsidRPr="00191536">
        <w:rPr>
          <w:i/>
          <w:iCs/>
        </w:rPr>
        <w:t>Alekseev v. Russian Federation</w:t>
      </w:r>
      <w:r w:rsidRPr="003F52FB">
        <w:t xml:space="preserve"> (CCPR/C/130/D/2757/2016)</w:t>
      </w:r>
      <w:r>
        <w:t>;</w:t>
      </w:r>
      <w:r w:rsidRPr="003F52FB">
        <w:t xml:space="preserve"> and </w:t>
      </w:r>
      <w:r>
        <w:t>g</w:t>
      </w:r>
      <w:r w:rsidRPr="003F52FB">
        <w:t>eneral comment No. 37, para. 36.</w:t>
      </w:r>
    </w:p>
  </w:footnote>
  <w:footnote w:id="26">
    <w:p w14:paraId="36C7676E" w14:textId="77777777" w:rsidR="00192C8E" w:rsidRPr="006C3F18" w:rsidRDefault="00192C8E" w:rsidP="00192C8E">
      <w:pPr>
        <w:pStyle w:val="FootnoteText"/>
        <w:ind w:left="0" w:right="0" w:firstLine="0"/>
        <w:rPr>
          <w:lang w:val="en-US"/>
        </w:rPr>
      </w:pPr>
      <w:r w:rsidRPr="003F52FB">
        <w:tab/>
      </w:r>
      <w:r w:rsidRPr="00192C8E">
        <w:rPr>
          <w:rStyle w:val="FootnoteReference"/>
        </w:rPr>
        <w:footnoteRef/>
      </w:r>
      <w:r w:rsidRPr="00192C8E">
        <w:rPr>
          <w:rStyle w:val="FootnoteReference"/>
        </w:rPr>
        <w:tab/>
      </w:r>
      <w:r w:rsidRPr="003F52FB">
        <w:t xml:space="preserve">General comment No. 37, para. </w:t>
      </w:r>
      <w:r>
        <w:rPr>
          <w:lang w:val="en-US"/>
        </w:rPr>
        <w:t>36.</w:t>
      </w:r>
    </w:p>
  </w:footnote>
  <w:footnote w:id="27">
    <w:p w14:paraId="1AD7A8AD" w14:textId="77777777" w:rsidR="00192C8E" w:rsidRPr="00037AFF" w:rsidRDefault="00192C8E" w:rsidP="00192C8E">
      <w:pPr>
        <w:pStyle w:val="FootnoteText"/>
        <w:ind w:left="0" w:right="0" w:firstLine="0"/>
        <w:rPr>
          <w:szCs w:val="18"/>
        </w:rPr>
      </w:pPr>
      <w:r w:rsidRPr="00037AFF">
        <w:rPr>
          <w:szCs w:val="18"/>
        </w:rPr>
        <w:tab/>
      </w:r>
      <w:r w:rsidRPr="00192C8E">
        <w:rPr>
          <w:rStyle w:val="FootnoteReference"/>
        </w:rPr>
        <w:footnoteRef/>
      </w:r>
      <w:r w:rsidRPr="00192C8E">
        <w:rPr>
          <w:rStyle w:val="FootnoteReference"/>
        </w:rPr>
        <w:tab/>
      </w:r>
      <w:proofErr w:type="spellStart"/>
      <w:r w:rsidRPr="00037AFF">
        <w:rPr>
          <w:i/>
          <w:szCs w:val="18"/>
        </w:rPr>
        <w:t>Chebotareva</w:t>
      </w:r>
      <w:proofErr w:type="spellEnd"/>
      <w:r w:rsidRPr="00037AFF">
        <w:rPr>
          <w:i/>
          <w:szCs w:val="18"/>
        </w:rPr>
        <w:t xml:space="preserve"> v. Russian Federation</w:t>
      </w:r>
      <w:r w:rsidRPr="00037AFF">
        <w:rPr>
          <w:szCs w:val="18"/>
        </w:rPr>
        <w:t xml:space="preserve"> (CCPR/C/104/D/1866/2009), para. 9.3.</w:t>
      </w:r>
    </w:p>
  </w:footnote>
  <w:footnote w:id="28">
    <w:p w14:paraId="5E6EB3C9" w14:textId="77777777" w:rsidR="00192C8E" w:rsidRPr="00037AFF" w:rsidRDefault="00192C8E" w:rsidP="00192C8E">
      <w:pPr>
        <w:pStyle w:val="FootnoteText"/>
        <w:jc w:val="both"/>
      </w:pPr>
      <w:r w:rsidRPr="00037AFF">
        <w:tab/>
      </w:r>
      <w:r w:rsidRPr="00192C8E">
        <w:rPr>
          <w:rStyle w:val="FootnoteReference"/>
        </w:rPr>
        <w:footnoteRef/>
      </w:r>
      <w:r w:rsidRPr="00192C8E">
        <w:rPr>
          <w:rStyle w:val="FootnoteReference"/>
        </w:rPr>
        <w:tab/>
      </w:r>
      <w:r w:rsidRPr="00037AFF">
        <w:t xml:space="preserve">Since its decision in </w:t>
      </w:r>
      <w:proofErr w:type="spellStart"/>
      <w:r w:rsidRPr="00191536">
        <w:rPr>
          <w:i/>
          <w:iCs/>
        </w:rPr>
        <w:t>Turchenyak</w:t>
      </w:r>
      <w:proofErr w:type="spellEnd"/>
      <w:r w:rsidRPr="00037AFF">
        <w:rPr>
          <w:i/>
        </w:rPr>
        <w:t xml:space="preserve"> </w:t>
      </w:r>
      <w:r>
        <w:rPr>
          <w:i/>
        </w:rPr>
        <w:t xml:space="preserve">et al. </w:t>
      </w:r>
      <w:r w:rsidRPr="00037AFF">
        <w:rPr>
          <w:i/>
        </w:rPr>
        <w:t>v. Belarus</w:t>
      </w:r>
      <w:r w:rsidRPr="00037AFF">
        <w:t xml:space="preserve"> (CCPR/C/108/D/1948/2010</w:t>
      </w:r>
      <w:r>
        <w:t xml:space="preserve"> and Corr.1</w:t>
      </w:r>
      <w:r w:rsidRPr="00037AFF">
        <w:t>), the Committee has often re</w:t>
      </w:r>
      <w:r>
        <w:t>iter</w:t>
      </w:r>
      <w:r w:rsidRPr="00037AFF">
        <w:t xml:space="preserve">ated that </w:t>
      </w:r>
      <w:r w:rsidRPr="007A0330">
        <w:t>steps</w:t>
      </w:r>
      <w:r w:rsidRPr="00037AFF">
        <w:t xml:space="preserve"> taken by States in response to an assembly should be guided by the objective to facilitate the right. </w:t>
      </w:r>
      <w:r>
        <w:t>See a</w:t>
      </w:r>
      <w:r w:rsidRPr="00037AFF">
        <w:t>lso CCPR/C/BEN/CO/2, para. 33</w:t>
      </w:r>
      <w:r>
        <w:t>;</w:t>
      </w:r>
      <w:r w:rsidRPr="00037AFF">
        <w:t xml:space="preserve"> A/HRC/20/27, para. 33;</w:t>
      </w:r>
      <w:r>
        <w:t xml:space="preserve"> and</w:t>
      </w:r>
      <w:r w:rsidRPr="00037AFF">
        <w:t xml:space="preserve"> Human Rights Council </w:t>
      </w:r>
      <w:r>
        <w:t>r</w:t>
      </w:r>
      <w:r w:rsidRPr="00037AFF">
        <w:t>esolution 38/11.</w:t>
      </w:r>
    </w:p>
  </w:footnote>
  <w:footnote w:id="29">
    <w:p w14:paraId="57F41609" w14:textId="77777777" w:rsidR="00192C8E" w:rsidRPr="00191536" w:rsidRDefault="00192C8E" w:rsidP="00192C8E">
      <w:pPr>
        <w:pStyle w:val="FootnoteText"/>
        <w:rPr>
          <w:szCs w:val="18"/>
          <w:lang w:val="en-US"/>
        </w:rPr>
      </w:pPr>
      <w:r w:rsidRPr="00037AFF">
        <w:rPr>
          <w:szCs w:val="18"/>
        </w:rPr>
        <w:tab/>
      </w:r>
      <w:r w:rsidRPr="00192C8E">
        <w:rPr>
          <w:rStyle w:val="FootnoteReference"/>
        </w:rPr>
        <w:footnoteRef/>
      </w:r>
      <w:r w:rsidRPr="00192C8E">
        <w:rPr>
          <w:rStyle w:val="FootnoteReference"/>
        </w:rPr>
        <w:tab/>
      </w:r>
      <w:r w:rsidRPr="00037AFF">
        <w:rPr>
          <w:i/>
          <w:szCs w:val="18"/>
        </w:rPr>
        <w:t>Alekseev v. Russian Federation</w:t>
      </w:r>
      <w:r w:rsidRPr="00037AFF">
        <w:rPr>
          <w:szCs w:val="18"/>
        </w:rPr>
        <w:t xml:space="preserve"> (CCPR/C/109/D/1873/2009), para. </w:t>
      </w:r>
      <w:r w:rsidRPr="00191536">
        <w:rPr>
          <w:szCs w:val="18"/>
          <w:lang w:val="en-US"/>
        </w:rPr>
        <w:t xml:space="preserve">9.6. </w:t>
      </w:r>
    </w:p>
  </w:footnote>
  <w:footnote w:id="30">
    <w:p w14:paraId="49FE4650" w14:textId="77777777" w:rsidR="00192C8E" w:rsidRPr="00191536" w:rsidRDefault="00192C8E" w:rsidP="00192C8E">
      <w:pPr>
        <w:pStyle w:val="FootnoteText"/>
        <w:rPr>
          <w:lang w:val="en-US"/>
        </w:rPr>
      </w:pPr>
      <w:r w:rsidRPr="00191536">
        <w:rPr>
          <w:lang w:val="en-US"/>
        </w:rPr>
        <w:tab/>
      </w:r>
      <w:r w:rsidRPr="00192C8E">
        <w:rPr>
          <w:rStyle w:val="FootnoteReference"/>
        </w:rPr>
        <w:footnoteRef/>
      </w:r>
      <w:r w:rsidRPr="00192C8E">
        <w:rPr>
          <w:rStyle w:val="FootnoteReference"/>
        </w:rPr>
        <w:tab/>
      </w:r>
      <w:r w:rsidRPr="00191536">
        <w:rPr>
          <w:lang w:val="en-US"/>
        </w:rPr>
        <w:t>General comment No. 37, para. 24.</w:t>
      </w:r>
    </w:p>
  </w:footnote>
  <w:footnote w:id="31">
    <w:p w14:paraId="3ADC4C3F" w14:textId="77777777" w:rsidR="00192C8E" w:rsidRPr="00531C92" w:rsidRDefault="00192C8E" w:rsidP="00192C8E">
      <w:pPr>
        <w:pStyle w:val="FootnoteText"/>
        <w:jc w:val="both"/>
        <w:rPr>
          <w:szCs w:val="18"/>
        </w:rPr>
      </w:pPr>
      <w:r w:rsidRPr="00191536">
        <w:rPr>
          <w:szCs w:val="18"/>
          <w:lang w:val="en-US"/>
        </w:rPr>
        <w:tab/>
      </w:r>
      <w:r w:rsidRPr="00192C8E">
        <w:rPr>
          <w:rStyle w:val="FootnoteReference"/>
        </w:rPr>
        <w:footnoteRef/>
      </w:r>
      <w:r w:rsidRPr="00192C8E">
        <w:rPr>
          <w:rStyle w:val="FootnoteReference"/>
        </w:rPr>
        <w:tab/>
      </w:r>
      <w:r w:rsidRPr="00191536">
        <w:rPr>
          <w:szCs w:val="18"/>
          <w:lang w:val="en-US"/>
        </w:rPr>
        <w:t xml:space="preserve">Ibid., para. 46. See also </w:t>
      </w:r>
      <w:proofErr w:type="spellStart"/>
      <w:r w:rsidRPr="00191536">
        <w:rPr>
          <w:i/>
          <w:szCs w:val="18"/>
          <w:lang w:val="en-US"/>
        </w:rPr>
        <w:t>Fedotova</w:t>
      </w:r>
      <w:proofErr w:type="spellEnd"/>
      <w:r w:rsidRPr="00191536">
        <w:rPr>
          <w:i/>
          <w:szCs w:val="18"/>
          <w:lang w:val="en-US"/>
        </w:rPr>
        <w:t xml:space="preserve"> v. Russian Federation</w:t>
      </w:r>
      <w:r w:rsidRPr="00191536">
        <w:rPr>
          <w:szCs w:val="18"/>
          <w:lang w:val="en-US"/>
        </w:rPr>
        <w:t xml:space="preserve">, paras. </w:t>
      </w:r>
      <w:r w:rsidRPr="00531C92">
        <w:rPr>
          <w:szCs w:val="18"/>
        </w:rPr>
        <w:t xml:space="preserve">10.5–10.6; </w:t>
      </w:r>
      <w:r w:rsidRPr="00531C92">
        <w:rPr>
          <w:i/>
          <w:szCs w:val="18"/>
        </w:rPr>
        <w:t>Alekseev v. Russian Federation</w:t>
      </w:r>
      <w:r w:rsidRPr="00531C92">
        <w:rPr>
          <w:szCs w:val="18"/>
        </w:rPr>
        <w:t xml:space="preserve"> </w:t>
      </w:r>
      <w:r w:rsidRPr="00037AFF">
        <w:rPr>
          <w:szCs w:val="18"/>
        </w:rPr>
        <w:t>(CCPR/C/109/D/1873/2009)</w:t>
      </w:r>
      <w:r>
        <w:rPr>
          <w:szCs w:val="18"/>
        </w:rPr>
        <w:t xml:space="preserve">, </w:t>
      </w:r>
      <w:r w:rsidRPr="00531C92">
        <w:rPr>
          <w:szCs w:val="18"/>
        </w:rPr>
        <w:t>para. 9.6</w:t>
      </w:r>
      <w:r>
        <w:rPr>
          <w:szCs w:val="18"/>
        </w:rPr>
        <w:t>; and</w:t>
      </w:r>
      <w:r w:rsidRPr="003F52FB">
        <w:t xml:space="preserve"> </w:t>
      </w:r>
      <w:r w:rsidRPr="003F52FB">
        <w:rPr>
          <w:i/>
        </w:rPr>
        <w:t>Alekseev v. Russian Federation</w:t>
      </w:r>
      <w:r w:rsidRPr="003F52FB">
        <w:t xml:space="preserve"> (CCPR/C/130/D/2757/2016).</w:t>
      </w:r>
      <w:r>
        <w:rPr>
          <w:szCs w:val="18"/>
        </w:rPr>
        <w:t xml:space="preserve"> </w:t>
      </w:r>
    </w:p>
  </w:footnote>
  <w:footnote w:id="32">
    <w:p w14:paraId="3065D6EB" w14:textId="77777777" w:rsidR="00192C8E" w:rsidRPr="00087FBA" w:rsidRDefault="00192C8E" w:rsidP="00192C8E">
      <w:pPr>
        <w:pStyle w:val="FootnoteText"/>
        <w:ind w:right="1152"/>
      </w:pPr>
      <w:r>
        <w:tab/>
      </w:r>
      <w:r w:rsidRPr="00192C8E">
        <w:rPr>
          <w:rStyle w:val="FootnoteReference"/>
        </w:rPr>
        <w:footnoteRef/>
      </w:r>
      <w:r w:rsidRPr="00192C8E">
        <w:rPr>
          <w:rStyle w:val="FootnoteReference"/>
        </w:rPr>
        <w:tab/>
      </w:r>
      <w:r>
        <w:t xml:space="preserve">See </w:t>
      </w:r>
      <w:r w:rsidRPr="009C7BA1">
        <w:rPr>
          <w:i/>
        </w:rPr>
        <w:t>Alekseev v. Russian Federation</w:t>
      </w:r>
      <w:r w:rsidRPr="009C7BA1">
        <w:t xml:space="preserve"> (CCPR/C/130/D/2757/2016)</w:t>
      </w:r>
      <w:r>
        <w:t xml:space="preserve">. See also European Court of Human Rights, </w:t>
      </w:r>
      <w:r w:rsidRPr="004718E9">
        <w:rPr>
          <w:i/>
        </w:rPr>
        <w:t>Alekseyev v</w:t>
      </w:r>
      <w:r>
        <w:rPr>
          <w:i/>
        </w:rPr>
        <w:t>.</w:t>
      </w:r>
      <w:r w:rsidRPr="004718E9">
        <w:rPr>
          <w:i/>
        </w:rPr>
        <w:t xml:space="preserve"> Russia</w:t>
      </w:r>
      <w:r>
        <w:t xml:space="preserve">, Applications </w:t>
      </w:r>
      <w:r w:rsidRPr="00734F78">
        <w:t>No</w:t>
      </w:r>
      <w:r>
        <w:t>.</w:t>
      </w:r>
      <w:r w:rsidRPr="00734F78">
        <w:t xml:space="preserve"> 4916/07, </w:t>
      </w:r>
      <w:r>
        <w:t xml:space="preserve">No. </w:t>
      </w:r>
      <w:r w:rsidRPr="00734F78">
        <w:t xml:space="preserve">25924/08, </w:t>
      </w:r>
      <w:r>
        <w:t xml:space="preserve">and No. </w:t>
      </w:r>
      <w:r w:rsidRPr="00734F78">
        <w:t>14599/09,</w:t>
      </w:r>
      <w:r>
        <w:t xml:space="preserve"> para. 86; </w:t>
      </w:r>
      <w:r w:rsidRPr="00191536">
        <w:rPr>
          <w:i/>
          <w:iCs/>
        </w:rPr>
        <w:t>Zhdanov and others v. Russia</w:t>
      </w:r>
      <w:r>
        <w:t xml:space="preserve">, Application No. </w:t>
      </w:r>
      <w:r w:rsidRPr="00477F06">
        <w:t>12200/08</w:t>
      </w:r>
      <w:r>
        <w:t xml:space="preserve"> and two others, Judgment, 16 July 2019; and </w:t>
      </w:r>
      <w:r w:rsidRPr="00191536">
        <w:rPr>
          <w:i/>
          <w:iCs/>
        </w:rPr>
        <w:t>Alekseyev and others v. Russia</w:t>
      </w:r>
      <w:r w:rsidRPr="008F4DD4">
        <w:t>, Application No. 14988/09 and 50 others</w:t>
      </w:r>
      <w:r w:rsidRPr="00B72BF4">
        <w:t>.</w:t>
      </w:r>
    </w:p>
  </w:footnote>
  <w:footnote w:id="33">
    <w:p w14:paraId="4DF2BA88" w14:textId="77777777" w:rsidR="00192C8E" w:rsidRPr="00531C92" w:rsidRDefault="00192C8E" w:rsidP="00192C8E">
      <w:pPr>
        <w:pStyle w:val="FootnoteText"/>
        <w:rPr>
          <w:szCs w:val="18"/>
        </w:rPr>
      </w:pPr>
      <w:r w:rsidRPr="00531C92">
        <w:rPr>
          <w:szCs w:val="18"/>
        </w:rPr>
        <w:tab/>
      </w:r>
      <w:r w:rsidRPr="00192C8E">
        <w:rPr>
          <w:rStyle w:val="FootnoteReference"/>
        </w:rPr>
        <w:footnoteRef/>
      </w:r>
      <w:r w:rsidRPr="00192C8E">
        <w:rPr>
          <w:rStyle w:val="FootnoteReference"/>
        </w:rPr>
        <w:tab/>
      </w:r>
      <w:r>
        <w:rPr>
          <w:szCs w:val="18"/>
        </w:rPr>
        <w:t xml:space="preserve">General comment No. 37, para. 22; and </w:t>
      </w:r>
      <w:r w:rsidRPr="00531C92">
        <w:rPr>
          <w:i/>
          <w:szCs w:val="18"/>
        </w:rPr>
        <w:t>Alekseev v. Russian Federation</w:t>
      </w:r>
      <w:r>
        <w:rPr>
          <w:i/>
          <w:szCs w:val="18"/>
        </w:rPr>
        <w:t xml:space="preserve"> </w:t>
      </w:r>
      <w:r>
        <w:rPr>
          <w:iCs/>
          <w:szCs w:val="18"/>
        </w:rPr>
        <w:t>(CCPR/C/109/D/1873/2009)</w:t>
      </w:r>
      <w:r w:rsidRPr="00531C92">
        <w:rPr>
          <w:szCs w:val="18"/>
        </w:rPr>
        <w:t>, para. 9.6.</w:t>
      </w:r>
    </w:p>
  </w:footnote>
  <w:footnote w:id="34">
    <w:p w14:paraId="73EABFFB" w14:textId="77777777" w:rsidR="00192C8E" w:rsidRPr="00B6367B" w:rsidRDefault="00192C8E" w:rsidP="00192C8E">
      <w:pPr>
        <w:pStyle w:val="FootnoteText"/>
        <w:ind w:right="1152"/>
        <w:rPr>
          <w:lang w:val="en-US"/>
        </w:rPr>
      </w:pPr>
      <w:r>
        <w:tab/>
      </w:r>
      <w:r w:rsidRPr="00192C8E">
        <w:rPr>
          <w:rStyle w:val="FootnoteReference"/>
        </w:rPr>
        <w:footnoteRef/>
      </w:r>
      <w:r w:rsidRPr="00192C8E">
        <w:rPr>
          <w:rStyle w:val="FootnoteReference"/>
        </w:rPr>
        <w:tab/>
      </w:r>
      <w:r w:rsidRPr="00B6367B">
        <w:t xml:space="preserve">General </w:t>
      </w:r>
      <w:r>
        <w:t>c</w:t>
      </w:r>
      <w:r w:rsidRPr="00B6367B">
        <w:t>omment N</w:t>
      </w:r>
      <w:r>
        <w:t>o.</w:t>
      </w:r>
      <w:r w:rsidRPr="00B6367B">
        <w:t xml:space="preserve"> 37, para</w:t>
      </w:r>
      <w:r>
        <w:t>.</w:t>
      </w:r>
      <w:r w:rsidRPr="00B6367B">
        <w:t xml:space="preserve"> </w:t>
      </w:r>
      <w:r>
        <w:t>48.</w:t>
      </w:r>
    </w:p>
  </w:footnote>
  <w:footnote w:id="35">
    <w:p w14:paraId="0FD3F274" w14:textId="77777777" w:rsidR="00192C8E" w:rsidRPr="00A53AF3" w:rsidRDefault="00192C8E" w:rsidP="00192C8E">
      <w:pPr>
        <w:pStyle w:val="FootnoteText"/>
        <w:rPr>
          <w:lang w:val="en-US"/>
        </w:rPr>
      </w:pPr>
      <w:r>
        <w:tab/>
      </w:r>
      <w:r w:rsidRPr="00192C8E">
        <w:rPr>
          <w:rStyle w:val="FootnoteReference"/>
        </w:rPr>
        <w:footnoteRef/>
      </w:r>
      <w:r w:rsidRPr="00192C8E">
        <w:rPr>
          <w:rStyle w:val="FootnoteReference"/>
        </w:rPr>
        <w:tab/>
      </w:r>
      <w:r w:rsidRPr="004718E9">
        <w:rPr>
          <w:i/>
        </w:rPr>
        <w:t>Alekseev v. Russian Federation</w:t>
      </w:r>
      <w:r w:rsidRPr="00A53AF3">
        <w:t xml:space="preserve"> (CCPR/C/109/D/1873/2009), para. 9.6.</w:t>
      </w:r>
    </w:p>
  </w:footnote>
  <w:footnote w:id="36">
    <w:p w14:paraId="5108FFC4" w14:textId="77777777" w:rsidR="00192C8E" w:rsidRDefault="00192C8E" w:rsidP="00192C8E">
      <w:pPr>
        <w:pStyle w:val="FootnoteText"/>
      </w:pPr>
      <w:r>
        <w:tab/>
      </w:r>
      <w:r w:rsidRPr="00192C8E">
        <w:rPr>
          <w:rStyle w:val="FootnoteReference"/>
        </w:rPr>
        <w:footnoteRef/>
      </w:r>
      <w:r w:rsidRPr="00192C8E">
        <w:rPr>
          <w:rStyle w:val="FootnoteReference"/>
        </w:rPr>
        <w:tab/>
      </w:r>
      <w:r>
        <w:t>Committee on Human Rights, g</w:t>
      </w:r>
      <w:r w:rsidRPr="00AD6E31">
        <w:t>eneral comment No. 18 (1989), para</w:t>
      </w:r>
      <w:r>
        <w:t xml:space="preserve">. </w:t>
      </w:r>
      <w:r w:rsidRPr="00AD6E31">
        <w:t>1</w:t>
      </w:r>
      <w:r>
        <w:t>.</w:t>
      </w:r>
      <w:r w:rsidRPr="00AD6E31">
        <w:t xml:space="preserve"> </w:t>
      </w:r>
    </w:p>
  </w:footnote>
  <w:footnote w:id="37">
    <w:p w14:paraId="6148E1CF" w14:textId="77777777" w:rsidR="00192C8E" w:rsidRPr="00694DB5" w:rsidRDefault="00192C8E" w:rsidP="00192C8E">
      <w:pPr>
        <w:pStyle w:val="FootnoteText"/>
      </w:pPr>
      <w:r>
        <w:tab/>
      </w:r>
      <w:r w:rsidRPr="00192C8E">
        <w:rPr>
          <w:rStyle w:val="FootnoteReference"/>
        </w:rPr>
        <w:footnoteRef/>
      </w:r>
      <w:r w:rsidRPr="00192C8E">
        <w:rPr>
          <w:rStyle w:val="FootnoteReference"/>
        </w:rPr>
        <w:tab/>
      </w:r>
      <w:proofErr w:type="spellStart"/>
      <w:r w:rsidRPr="00694DB5">
        <w:rPr>
          <w:i/>
        </w:rPr>
        <w:t>Toonen</w:t>
      </w:r>
      <w:proofErr w:type="spellEnd"/>
      <w:r w:rsidRPr="00694DB5">
        <w:t xml:space="preserve"> </w:t>
      </w:r>
      <w:r w:rsidRPr="00191536">
        <w:rPr>
          <w:i/>
          <w:iCs/>
        </w:rPr>
        <w:t>v.</w:t>
      </w:r>
      <w:r w:rsidRPr="00694DB5">
        <w:t xml:space="preserve"> </w:t>
      </w:r>
      <w:r w:rsidRPr="00694DB5">
        <w:rPr>
          <w:i/>
        </w:rPr>
        <w:t>Australia</w:t>
      </w:r>
      <w:r w:rsidRPr="00694DB5">
        <w:t>,</w:t>
      </w:r>
      <w:r>
        <w:t xml:space="preserve"> communication No. 488/1992,</w:t>
      </w:r>
      <w:r w:rsidRPr="00694DB5">
        <w:t xml:space="preserve"> para. </w:t>
      </w:r>
      <w:r w:rsidRPr="00191536">
        <w:rPr>
          <w:lang w:val="es-ES"/>
        </w:rPr>
        <w:t xml:space="preserve">8.7; </w:t>
      </w:r>
      <w:r w:rsidRPr="00191536">
        <w:rPr>
          <w:i/>
          <w:lang w:val="es-ES"/>
        </w:rPr>
        <w:t xml:space="preserve">Young </w:t>
      </w:r>
      <w:r w:rsidRPr="00191536">
        <w:rPr>
          <w:i/>
          <w:iCs/>
          <w:lang w:val="es-ES"/>
        </w:rPr>
        <w:t>v.</w:t>
      </w:r>
      <w:r w:rsidRPr="00191536">
        <w:rPr>
          <w:lang w:val="es-ES"/>
        </w:rPr>
        <w:t xml:space="preserve"> </w:t>
      </w:r>
      <w:r w:rsidRPr="00191536">
        <w:rPr>
          <w:i/>
          <w:lang w:val="es-ES"/>
        </w:rPr>
        <w:t>Australia</w:t>
      </w:r>
      <w:r w:rsidRPr="00191536">
        <w:rPr>
          <w:iCs/>
          <w:lang w:val="es-ES"/>
        </w:rPr>
        <w:t xml:space="preserve"> (</w:t>
      </w:r>
      <w:r w:rsidRPr="00191536">
        <w:rPr>
          <w:lang w:val="es-ES"/>
        </w:rPr>
        <w:t xml:space="preserve">CCPR/C/78/D/941/2000), para. </w:t>
      </w:r>
      <w:r w:rsidRPr="00191536">
        <w:rPr>
          <w:lang w:val="en-US"/>
        </w:rPr>
        <w:t xml:space="preserve">10.4; and </w:t>
      </w:r>
      <w:r w:rsidRPr="00191536">
        <w:rPr>
          <w:i/>
          <w:lang w:val="en-US"/>
        </w:rPr>
        <w:t>X</w:t>
      </w:r>
      <w:r w:rsidRPr="00191536">
        <w:rPr>
          <w:lang w:val="en-US"/>
        </w:rPr>
        <w:t xml:space="preserve"> </w:t>
      </w:r>
      <w:r w:rsidRPr="00191536">
        <w:rPr>
          <w:i/>
          <w:iCs/>
          <w:lang w:val="en-US"/>
        </w:rPr>
        <w:t>v.</w:t>
      </w:r>
      <w:r w:rsidRPr="00191536">
        <w:rPr>
          <w:lang w:val="en-US"/>
        </w:rPr>
        <w:t xml:space="preserve"> </w:t>
      </w:r>
      <w:r w:rsidRPr="00191536">
        <w:rPr>
          <w:i/>
          <w:lang w:val="en-US"/>
        </w:rPr>
        <w:t>Colombia</w:t>
      </w:r>
      <w:r w:rsidRPr="00191536">
        <w:rPr>
          <w:lang w:val="en-US"/>
        </w:rPr>
        <w:t xml:space="preserve"> (CCPR/C/89/D/1361/2005), para. </w:t>
      </w:r>
      <w:r>
        <w:t>7.2.</w:t>
      </w:r>
      <w:r w:rsidRPr="00694DB5">
        <w:t xml:space="preserve"> </w:t>
      </w:r>
    </w:p>
  </w:footnote>
  <w:footnote w:id="38">
    <w:p w14:paraId="440BB9B6" w14:textId="77777777" w:rsidR="00192C8E" w:rsidRPr="007C06FC" w:rsidRDefault="00192C8E" w:rsidP="00192C8E">
      <w:pPr>
        <w:pStyle w:val="FootnoteText"/>
        <w:rPr>
          <w:lang w:val="en-US"/>
        </w:rPr>
      </w:pPr>
      <w:r>
        <w:tab/>
      </w:r>
      <w:r w:rsidRPr="00192C8E">
        <w:rPr>
          <w:rStyle w:val="FootnoteReference"/>
        </w:rPr>
        <w:footnoteRef/>
      </w:r>
      <w:r w:rsidRPr="00192C8E">
        <w:rPr>
          <w:rStyle w:val="FootnoteReference"/>
        </w:rPr>
        <w:tab/>
      </w:r>
      <w:proofErr w:type="spellStart"/>
      <w:r w:rsidRPr="004718E9">
        <w:rPr>
          <w:i/>
          <w:lang w:val="en-US"/>
        </w:rPr>
        <w:t>Nepomnyashchiy</w:t>
      </w:r>
      <w:proofErr w:type="spellEnd"/>
      <w:r w:rsidRPr="004718E9">
        <w:rPr>
          <w:i/>
          <w:lang w:val="en-US"/>
        </w:rPr>
        <w:t xml:space="preserve"> v</w:t>
      </w:r>
      <w:r>
        <w:rPr>
          <w:i/>
          <w:lang w:val="en-US"/>
        </w:rPr>
        <w:t>.</w:t>
      </w:r>
      <w:r w:rsidRPr="004718E9">
        <w:rPr>
          <w:i/>
          <w:lang w:val="en-US"/>
        </w:rPr>
        <w:t xml:space="preserve"> Russian Federation</w:t>
      </w:r>
      <w:r>
        <w:rPr>
          <w:lang w:val="en-US"/>
        </w:rPr>
        <w:t xml:space="preserve"> (</w:t>
      </w:r>
      <w:r w:rsidRPr="00822F16">
        <w:rPr>
          <w:lang w:val="en-US"/>
        </w:rPr>
        <w:t>CCPR/C/123/D/2318/2013</w:t>
      </w:r>
      <w:r>
        <w:rPr>
          <w:lang w:val="en-US"/>
        </w:rPr>
        <w:t xml:space="preserve">), para. 7.3; and </w:t>
      </w:r>
      <w:r w:rsidRPr="003F52FB">
        <w:rPr>
          <w:i/>
        </w:rPr>
        <w:t>Alekseev v. Russian Federation</w:t>
      </w:r>
      <w:r w:rsidRPr="003F52FB">
        <w:t xml:space="preserve"> (CCPR/C/130/D/2757/2016)</w:t>
      </w:r>
      <w:r>
        <w:t>.</w:t>
      </w:r>
    </w:p>
  </w:footnote>
  <w:footnote w:id="39">
    <w:p w14:paraId="10E04A18" w14:textId="77777777" w:rsidR="00192C8E" w:rsidRPr="00796C67" w:rsidRDefault="00192C8E" w:rsidP="00192C8E">
      <w:pPr>
        <w:pStyle w:val="FootnoteText"/>
        <w:rPr>
          <w:highlight w:val="yellow"/>
        </w:rPr>
      </w:pPr>
      <w:r>
        <w:tab/>
      </w:r>
      <w:r w:rsidRPr="00192C8E">
        <w:rPr>
          <w:rStyle w:val="FootnoteReference"/>
        </w:rPr>
        <w:footnoteRef/>
      </w:r>
      <w:r w:rsidRPr="00192C8E">
        <w:rPr>
          <w:rStyle w:val="FootnoteReference"/>
        </w:rPr>
        <w:tab/>
      </w:r>
      <w:r w:rsidRPr="00796C67">
        <w:t xml:space="preserve">See, inter alia, </w:t>
      </w:r>
      <w:proofErr w:type="spellStart"/>
      <w:r w:rsidRPr="00A729B9">
        <w:rPr>
          <w:i/>
        </w:rPr>
        <w:t>Broeks</w:t>
      </w:r>
      <w:proofErr w:type="spellEnd"/>
      <w:r w:rsidRPr="00506D5C">
        <w:rPr>
          <w:i/>
        </w:rPr>
        <w:t xml:space="preserve"> v. </w:t>
      </w:r>
      <w:r w:rsidRPr="00A729B9">
        <w:rPr>
          <w:i/>
        </w:rPr>
        <w:t>Netherlands</w:t>
      </w:r>
      <w:r>
        <w:rPr>
          <w:iCs/>
        </w:rPr>
        <w:t>, communication No.</w:t>
      </w:r>
      <w:r w:rsidRPr="00506D5C">
        <w:t xml:space="preserve"> </w:t>
      </w:r>
      <w:r w:rsidRPr="00A63DB3">
        <w:t xml:space="preserve">172/1984, para. </w:t>
      </w:r>
      <w:r w:rsidRPr="00E74F63">
        <w:rPr>
          <w:lang w:val="fr-CH"/>
        </w:rPr>
        <w:t xml:space="preserve">13; </w:t>
      </w:r>
      <w:r w:rsidRPr="00E74F63">
        <w:rPr>
          <w:i/>
          <w:lang w:val="fr-CH"/>
        </w:rPr>
        <w:t>Zwaan-de Vries v. Netherlands</w:t>
      </w:r>
      <w:r w:rsidRPr="00E74F63">
        <w:rPr>
          <w:lang w:val="fr-CH"/>
        </w:rPr>
        <w:t xml:space="preserve">, communication 182/1984, para. 13; </w:t>
      </w:r>
      <w:r w:rsidRPr="00E74F63">
        <w:rPr>
          <w:i/>
          <w:lang w:val="fr-CH"/>
        </w:rPr>
        <w:t>Müller and Engelhard v. Namibia</w:t>
      </w:r>
      <w:r w:rsidRPr="00E74F63">
        <w:rPr>
          <w:lang w:val="fr-CH"/>
        </w:rPr>
        <w:t xml:space="preserve"> (CCPR/C/74/D/919/2000), para. </w:t>
      </w:r>
      <w:r w:rsidRPr="00EE03D9">
        <w:t xml:space="preserve">6.7; </w:t>
      </w:r>
      <w:proofErr w:type="spellStart"/>
      <w:r w:rsidRPr="00EE03D9">
        <w:rPr>
          <w:i/>
        </w:rPr>
        <w:t>Derksen</w:t>
      </w:r>
      <w:proofErr w:type="spellEnd"/>
      <w:r w:rsidRPr="00EE03D9">
        <w:rPr>
          <w:i/>
        </w:rPr>
        <w:t xml:space="preserve"> </w:t>
      </w:r>
      <w:r>
        <w:rPr>
          <w:i/>
        </w:rPr>
        <w:t xml:space="preserve">and Bakker </w:t>
      </w:r>
      <w:r w:rsidRPr="00EE03D9">
        <w:rPr>
          <w:i/>
        </w:rPr>
        <w:t>v. Netherlands</w:t>
      </w:r>
      <w:r w:rsidRPr="00EE03D9">
        <w:t xml:space="preserve"> (CCPR/C/80/D/976/2001), para. </w:t>
      </w:r>
      <w:r w:rsidRPr="00796C67">
        <w:t xml:space="preserve">9.2; and </w:t>
      </w:r>
      <w:proofErr w:type="spellStart"/>
      <w:r w:rsidRPr="00A729B9">
        <w:rPr>
          <w:i/>
        </w:rPr>
        <w:t>Fedotova</w:t>
      </w:r>
      <w:proofErr w:type="spellEnd"/>
      <w:r w:rsidRPr="00A729B9">
        <w:rPr>
          <w:i/>
        </w:rPr>
        <w:t xml:space="preserve"> v. Russian Federation</w:t>
      </w:r>
      <w:r w:rsidRPr="00796C67">
        <w:t xml:space="preserve">, para. 10.6. </w:t>
      </w:r>
    </w:p>
  </w:footnote>
  <w:footnote w:id="40">
    <w:p w14:paraId="07873F6F" w14:textId="3706F2D7" w:rsidR="00192C8E" w:rsidRPr="003F52FB" w:rsidRDefault="00192C8E" w:rsidP="00192C8E">
      <w:pPr>
        <w:pStyle w:val="FootnoteText"/>
      </w:pPr>
      <w:r w:rsidRPr="00796C67">
        <w:tab/>
      </w:r>
      <w:r w:rsidRPr="00192C8E">
        <w:rPr>
          <w:rStyle w:val="FootnoteReference"/>
        </w:rPr>
        <w:footnoteRef/>
      </w:r>
      <w:r w:rsidRPr="00192C8E">
        <w:rPr>
          <w:rStyle w:val="FootnoteReference"/>
        </w:rPr>
        <w:tab/>
      </w:r>
      <w:r>
        <w:t xml:space="preserve">General comment No. 18, para. 13. </w:t>
      </w:r>
      <w:r w:rsidRPr="00796C67">
        <w:t xml:space="preserve">See, inter alia, </w:t>
      </w:r>
      <w:r w:rsidRPr="00191536">
        <w:rPr>
          <w:i/>
          <w:iCs/>
        </w:rPr>
        <w:t>O</w:t>
      </w:r>
      <w:r>
        <w:rPr>
          <w:i/>
          <w:iCs/>
        </w:rPr>
        <w:t>’</w:t>
      </w:r>
      <w:r w:rsidRPr="00191536">
        <w:rPr>
          <w:i/>
          <w:iCs/>
        </w:rPr>
        <w:t>Neill</w:t>
      </w:r>
      <w:r w:rsidRPr="0050658C">
        <w:rPr>
          <w:i/>
          <w:iCs/>
        </w:rPr>
        <w:t xml:space="preserve"> </w:t>
      </w:r>
      <w:r w:rsidRPr="00A729B9">
        <w:rPr>
          <w:i/>
        </w:rPr>
        <w:t>and Quinn</w:t>
      </w:r>
      <w:r w:rsidRPr="00506D5C">
        <w:rPr>
          <w:i/>
        </w:rPr>
        <w:t xml:space="preserve"> v. </w:t>
      </w:r>
      <w:r w:rsidRPr="00A729B9">
        <w:rPr>
          <w:i/>
        </w:rPr>
        <w:t>Ireland</w:t>
      </w:r>
      <w:r w:rsidRPr="00796C67">
        <w:t xml:space="preserve"> (CCPR/C/87/D/1314/2004), para. </w:t>
      </w:r>
      <w:r w:rsidRPr="003F52FB">
        <w:t xml:space="preserve">8.3. </w:t>
      </w:r>
    </w:p>
  </w:footnote>
  <w:footnote w:id="41">
    <w:p w14:paraId="6A992817" w14:textId="77777777" w:rsidR="00192C8E" w:rsidRPr="00F20183" w:rsidRDefault="00192C8E" w:rsidP="00192C8E">
      <w:pPr>
        <w:pStyle w:val="FootnoteText"/>
        <w:rPr>
          <w:lang w:val="en-US"/>
        </w:rPr>
      </w:pPr>
      <w:r>
        <w:tab/>
      </w:r>
      <w:r w:rsidRPr="00192C8E">
        <w:rPr>
          <w:rStyle w:val="FootnoteReference"/>
        </w:rPr>
        <w:footnoteRef/>
      </w:r>
      <w:r w:rsidRPr="00192C8E">
        <w:rPr>
          <w:rStyle w:val="FootnoteReference"/>
        </w:rPr>
        <w:tab/>
      </w:r>
      <w:r w:rsidRPr="00191536">
        <w:rPr>
          <w:i/>
          <w:iCs/>
        </w:rPr>
        <w:t>Alekseev v. Russian Federation</w:t>
      </w:r>
      <w:r>
        <w:rPr>
          <w:i/>
          <w:iCs/>
        </w:rPr>
        <w:t xml:space="preserve"> </w:t>
      </w:r>
      <w:r>
        <w:t>(CCPR/C/109/D/1873/2009)</w:t>
      </w:r>
      <w:r w:rsidRPr="00F20183">
        <w:t>, para</w:t>
      </w:r>
      <w:r w:rsidRPr="00EF6FBD">
        <w:t>. 9.6.</w:t>
      </w:r>
    </w:p>
  </w:footnote>
  <w:footnote w:id="42">
    <w:p w14:paraId="10A3DEFD" w14:textId="77777777" w:rsidR="00192C8E" w:rsidRPr="00E85AD3" w:rsidRDefault="00192C8E" w:rsidP="00192C8E">
      <w:pPr>
        <w:pStyle w:val="FootnoteText"/>
      </w:pPr>
      <w:r w:rsidRPr="00506D5C">
        <w:rPr>
          <w:lang w:val="en-US"/>
        </w:rPr>
        <w:tab/>
      </w:r>
      <w:r w:rsidRPr="00192C8E">
        <w:rPr>
          <w:rStyle w:val="FootnoteReference"/>
        </w:rPr>
        <w:footnoteRef/>
      </w:r>
      <w:r w:rsidRPr="00192C8E">
        <w:rPr>
          <w:rStyle w:val="FootnoteReference"/>
        </w:rPr>
        <w:tab/>
      </w:r>
      <w:r w:rsidRPr="00585B0C">
        <w:t>CCPR/C/RUS/CO/7</w:t>
      </w:r>
      <w:r w:rsidRPr="008B0D24">
        <w:t xml:space="preserve">, para. 10. </w:t>
      </w:r>
      <w:r>
        <w:t>See also</w:t>
      </w:r>
      <w:r w:rsidRPr="008B0D24">
        <w:t xml:space="preserve"> Committee on the Rights of the Child</w:t>
      </w:r>
      <w:r>
        <w:t xml:space="preserve"> (</w:t>
      </w:r>
      <w:r w:rsidRPr="008B0D24">
        <w:t>CRC/C/RUS/CO/4-5</w:t>
      </w:r>
      <w:r>
        <w:t>)</w:t>
      </w:r>
      <w:r w:rsidRPr="008B0D24">
        <w:t>, paras. 24</w:t>
      </w:r>
      <w:r>
        <w:t>–</w:t>
      </w:r>
      <w:r w:rsidRPr="008B0D24">
        <w:t xml:space="preserve">25, </w:t>
      </w:r>
      <w:r>
        <w:t xml:space="preserve">in which the Committee </w:t>
      </w:r>
      <w:r w:rsidRPr="008B0D24">
        <w:t>express</w:t>
      </w:r>
      <w:r>
        <w:t>ed</w:t>
      </w:r>
      <w:r w:rsidRPr="008B0D24">
        <w:t xml:space="preserve"> concern that such laws </w:t>
      </w:r>
      <w:r w:rsidRPr="00E85AD3">
        <w:t>encourage</w:t>
      </w:r>
      <w:r>
        <w:t>d</w:t>
      </w:r>
      <w:r w:rsidRPr="00E85AD3">
        <w:t xml:space="preserve"> the stigmatization of and discrimination against lesbian, gay, bisexual, transgender and intersex persons, including children, and children from lesbian, gay, bisexual, transgender and intersex</w:t>
      </w:r>
      <w:r w:rsidRPr="00E85AD3" w:rsidDel="009159B5">
        <w:t xml:space="preserve"> </w:t>
      </w:r>
      <w:r w:rsidRPr="00E85AD3">
        <w:t>families</w:t>
      </w:r>
      <w:r>
        <w:t>,</w:t>
      </w:r>
      <w:r w:rsidRPr="00E85AD3">
        <w:t xml:space="preserve"> and urg</w:t>
      </w:r>
      <w:r>
        <w:t>ed that such laws be</w:t>
      </w:r>
      <w:r w:rsidRPr="00E85AD3">
        <w:t xml:space="preserve"> repeal</w:t>
      </w:r>
      <w:r>
        <w:t>ed.</w:t>
      </w:r>
    </w:p>
  </w:footnote>
  <w:footnote w:id="43">
    <w:p w14:paraId="130D8317" w14:textId="520DFCA6" w:rsidR="0092787D" w:rsidRDefault="0092787D">
      <w:pPr>
        <w:pStyle w:val="FootnoteText"/>
      </w:pPr>
      <w:r>
        <w:tab/>
      </w:r>
      <w:r>
        <w:rPr>
          <w:rStyle w:val="FootnoteReference"/>
        </w:rPr>
        <w:footnoteRef/>
      </w:r>
      <w:r>
        <w:tab/>
      </w:r>
      <w:r w:rsidRPr="00DA13F6">
        <w:t xml:space="preserve">The Russian Federation militarily annexed Crimea between February and March 2014. </w:t>
      </w:r>
      <w:r w:rsidRPr="003248F7">
        <w:t xml:space="preserve">Since then </w:t>
      </w:r>
      <w:r>
        <w:t xml:space="preserve">it </w:t>
      </w:r>
      <w:r w:rsidRPr="00DA13F6">
        <w:t xml:space="preserve">has administered </w:t>
      </w:r>
      <w:r>
        <w:t xml:space="preserve">Crimea </w:t>
      </w:r>
      <w:r w:rsidRPr="00DA13F6">
        <w:t>as two Russian federal subjects</w:t>
      </w:r>
      <w:r>
        <w:t xml:space="preserve"> – </w:t>
      </w:r>
      <w:r w:rsidRPr="00DA13F6">
        <w:t>the Republic of Crimea and the federal city of Sevastopol.</w:t>
      </w:r>
    </w:p>
  </w:footnote>
  <w:footnote w:id="44">
    <w:p w14:paraId="2D08A263" w14:textId="77777777" w:rsidR="00192C8E" w:rsidRPr="00C81D82" w:rsidRDefault="00192C8E" w:rsidP="00192C8E">
      <w:pPr>
        <w:pStyle w:val="FootnoteText"/>
      </w:pPr>
      <w:r w:rsidRPr="00C81D82">
        <w:tab/>
      </w:r>
      <w:r w:rsidRPr="00192C8E">
        <w:rPr>
          <w:rStyle w:val="FootnoteReference"/>
        </w:rPr>
        <w:footnoteRef/>
      </w:r>
      <w:r w:rsidRPr="00192C8E">
        <w:rPr>
          <w:rStyle w:val="FootnoteReference"/>
        </w:rPr>
        <w:tab/>
      </w:r>
      <w:r w:rsidRPr="00C81D82">
        <w:t xml:space="preserve">General Assembly </w:t>
      </w:r>
      <w:r>
        <w:t>r</w:t>
      </w:r>
      <w:r w:rsidRPr="00C81D82">
        <w:t>esolution</w:t>
      </w:r>
      <w:r>
        <w:t xml:space="preserve">s </w:t>
      </w:r>
      <w:r w:rsidRPr="00C81D82">
        <w:t xml:space="preserve">68/262, 71/205, 72/190, 73/263, 74/168 </w:t>
      </w:r>
      <w:r>
        <w:t xml:space="preserve">and </w:t>
      </w:r>
      <w:r w:rsidRPr="00C81D82">
        <w:t>75/192.</w:t>
      </w:r>
    </w:p>
  </w:footnote>
  <w:footnote w:id="45">
    <w:p w14:paraId="3F4A8DDA" w14:textId="77777777" w:rsidR="00192C8E" w:rsidRPr="00C81D82" w:rsidRDefault="00192C8E" w:rsidP="00192C8E">
      <w:pPr>
        <w:pStyle w:val="FootnoteText"/>
      </w:pPr>
      <w:r w:rsidRPr="00C81D82">
        <w:tab/>
      </w:r>
      <w:r w:rsidRPr="00192C8E">
        <w:rPr>
          <w:rStyle w:val="FootnoteReference"/>
        </w:rPr>
        <w:footnoteRef/>
      </w:r>
      <w:r w:rsidRPr="00192C8E">
        <w:rPr>
          <w:rStyle w:val="FootnoteReference"/>
        </w:rPr>
        <w:tab/>
      </w:r>
      <w:r w:rsidRPr="00C81D82">
        <w:t xml:space="preserve">See </w:t>
      </w:r>
      <w:r>
        <w:t>foot</w:t>
      </w:r>
      <w:r w:rsidRPr="00C81D82">
        <w:t>note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0AE87" w14:textId="77777777" w:rsidR="00192C8E" w:rsidRPr="009E2CF9" w:rsidRDefault="00192C8E" w:rsidP="00A8132E">
    <w:pPr>
      <w:pStyle w:val="Header"/>
    </w:pPr>
    <w:r w:rsidRPr="009E2CF9">
      <w:t>CCPR/C</w:t>
    </w:r>
    <w:r>
      <w:t>/</w:t>
    </w:r>
    <w:r w:rsidRPr="009E2CF9">
      <w:t>1</w:t>
    </w:r>
    <w:r>
      <w:t>31</w:t>
    </w:r>
    <w:r w:rsidRPr="009E2CF9">
      <w:t>/D</w:t>
    </w:r>
    <w:r>
      <w:t>/2635/2015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DC793" w14:textId="77777777" w:rsidR="00192C8E" w:rsidRPr="009E2CF9" w:rsidRDefault="00192C8E">
    <w:pPr>
      <w:pStyle w:val="Header"/>
      <w:jc w:val="right"/>
    </w:pPr>
    <w:r w:rsidRPr="009E2CF9">
      <w:t>CCPR/C</w:t>
    </w:r>
    <w:r>
      <w:t>/</w:t>
    </w:r>
    <w:r w:rsidRPr="009E2CF9">
      <w:t>1</w:t>
    </w:r>
    <w:r>
      <w:t>31</w:t>
    </w:r>
    <w:r w:rsidRPr="009E2CF9">
      <w:t>/D</w:t>
    </w:r>
    <w:r>
      <w:t>/2635/2015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405D1" w14:textId="77777777" w:rsidR="00192C8E" w:rsidRDefault="00192C8E" w:rsidP="00192C8E">
    <w:pPr>
      <w:pStyle w:val="Header"/>
    </w:pPr>
    <w:r>
      <w:t>CCPR/C/131/D/2635/2015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B68F5" w14:textId="77777777" w:rsidR="00192C8E" w:rsidRDefault="00192C8E" w:rsidP="00192C8E">
    <w:pPr>
      <w:pStyle w:val="Header"/>
      <w:jc w:val="right"/>
    </w:pPr>
    <w:r>
      <w:t>CCPR/C/131/D/2635/2015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9BF1A" w14:textId="36988C04" w:rsidR="00192C8E" w:rsidRDefault="003E7664">
    <w:pPr>
      <w:pStyle w:val="Header"/>
    </w:pPr>
    <w:r w:rsidRPr="009E2CF9">
      <w:t>CCPR/C</w:t>
    </w:r>
    <w:r>
      <w:t>/</w:t>
    </w:r>
    <w:r w:rsidRPr="009E2CF9">
      <w:t>1</w:t>
    </w:r>
    <w:r>
      <w:t>31</w:t>
    </w:r>
    <w:r w:rsidRPr="009E2CF9">
      <w:t>/D</w:t>
    </w:r>
    <w:r>
      <w:t>/2635/2015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8FC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4C6F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A459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DF7BDE"/>
    <w:multiLevelType w:val="hybridMultilevel"/>
    <w:tmpl w:val="11F2C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434C3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63261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4D346B7"/>
    <w:multiLevelType w:val="hybridMultilevel"/>
    <w:tmpl w:val="99749C14"/>
    <w:lvl w:ilvl="0" w:tplc="59A8115E">
      <w:start w:val="1"/>
      <w:numFmt w:val="decimal"/>
      <w:lvlText w:val="%1."/>
      <w:lvlJc w:val="left"/>
      <w:pPr>
        <w:ind w:left="1494" w:hanging="360"/>
      </w:pPr>
      <w:rPr>
        <w:rFonts w:eastAsia="Calibri"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9" w15:restartNumberingAfterBreak="0">
    <w:nsid w:val="3DD12914"/>
    <w:multiLevelType w:val="hybridMultilevel"/>
    <w:tmpl w:val="4282D898"/>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DF46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4B44E7E"/>
    <w:multiLevelType w:val="hybridMultilevel"/>
    <w:tmpl w:val="28103E68"/>
    <w:lvl w:ilvl="0" w:tplc="D596607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4"/>
  </w:num>
  <w:num w:numId="3">
    <w:abstractNumId w:val="10"/>
  </w:num>
  <w:num w:numId="4">
    <w:abstractNumId w:val="22"/>
  </w:num>
  <w:num w:numId="5">
    <w:abstractNumId w:val="23"/>
  </w:num>
  <w:num w:numId="6">
    <w:abstractNumId w:val="24"/>
  </w:num>
  <w:num w:numId="7">
    <w:abstractNumId w:val="12"/>
  </w:num>
  <w:num w:numId="8">
    <w:abstractNumId w:val="1"/>
  </w:num>
  <w:num w:numId="9">
    <w:abstractNumId w:val="0"/>
  </w:num>
  <w:num w:numId="10">
    <w:abstractNumId w:val="2"/>
  </w:num>
  <w:num w:numId="11">
    <w:abstractNumId w:val="3"/>
  </w:num>
  <w:num w:numId="12">
    <w:abstractNumId w:val="8"/>
  </w:num>
  <w:num w:numId="13">
    <w:abstractNumId w:val="9"/>
  </w:num>
  <w:num w:numId="14">
    <w:abstractNumId w:val="7"/>
  </w:num>
  <w:num w:numId="15">
    <w:abstractNumId w:val="6"/>
  </w:num>
  <w:num w:numId="16">
    <w:abstractNumId w:val="5"/>
  </w:num>
  <w:num w:numId="17">
    <w:abstractNumId w:val="4"/>
  </w:num>
  <w:num w:numId="18">
    <w:abstractNumId w:val="20"/>
  </w:num>
  <w:num w:numId="19">
    <w:abstractNumId w:val="11"/>
  </w:num>
  <w:num w:numId="20">
    <w:abstractNumId w:val="17"/>
  </w:num>
  <w:num w:numId="21">
    <w:abstractNumId w:val="21"/>
  </w:num>
  <w:num w:numId="22">
    <w:abstractNumId w:val="15"/>
  </w:num>
  <w:num w:numId="23">
    <w:abstractNumId w:val="19"/>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2AA"/>
    <w:rsid w:val="00046E92"/>
    <w:rsid w:val="0006523D"/>
    <w:rsid w:val="000820E8"/>
    <w:rsid w:val="00131D7A"/>
    <w:rsid w:val="00165C15"/>
    <w:rsid w:val="00192C8E"/>
    <w:rsid w:val="00247E2C"/>
    <w:rsid w:val="002D3D0C"/>
    <w:rsid w:val="002D6C53"/>
    <w:rsid w:val="002F3FD7"/>
    <w:rsid w:val="002F5595"/>
    <w:rsid w:val="003271C8"/>
    <w:rsid w:val="00334F6A"/>
    <w:rsid w:val="00342AC8"/>
    <w:rsid w:val="003B4550"/>
    <w:rsid w:val="003E7664"/>
    <w:rsid w:val="00436EE8"/>
    <w:rsid w:val="00461253"/>
    <w:rsid w:val="00472FED"/>
    <w:rsid w:val="004E4ED3"/>
    <w:rsid w:val="004F0165"/>
    <w:rsid w:val="005042C2"/>
    <w:rsid w:val="005A393B"/>
    <w:rsid w:val="005D65FD"/>
    <w:rsid w:val="005F6907"/>
    <w:rsid w:val="00671529"/>
    <w:rsid w:val="007268F9"/>
    <w:rsid w:val="007327A0"/>
    <w:rsid w:val="00747FC5"/>
    <w:rsid w:val="007C52B0"/>
    <w:rsid w:val="00817E57"/>
    <w:rsid w:val="00892361"/>
    <w:rsid w:val="008D3450"/>
    <w:rsid w:val="0092787D"/>
    <w:rsid w:val="009411B4"/>
    <w:rsid w:val="009817C5"/>
    <w:rsid w:val="00995ABD"/>
    <w:rsid w:val="009A65CD"/>
    <w:rsid w:val="009D0139"/>
    <w:rsid w:val="009F5CDC"/>
    <w:rsid w:val="00A02403"/>
    <w:rsid w:val="00A23459"/>
    <w:rsid w:val="00A63DB3"/>
    <w:rsid w:val="00A775CF"/>
    <w:rsid w:val="00AF5CED"/>
    <w:rsid w:val="00B06045"/>
    <w:rsid w:val="00B53AA5"/>
    <w:rsid w:val="00B903E5"/>
    <w:rsid w:val="00C35A27"/>
    <w:rsid w:val="00CA1AEA"/>
    <w:rsid w:val="00D327D6"/>
    <w:rsid w:val="00D675B3"/>
    <w:rsid w:val="00DB065A"/>
    <w:rsid w:val="00DF2441"/>
    <w:rsid w:val="00E02C2B"/>
    <w:rsid w:val="00E05879"/>
    <w:rsid w:val="00E672AA"/>
    <w:rsid w:val="00E74F63"/>
    <w:rsid w:val="00EA3CE2"/>
    <w:rsid w:val="00ED6C48"/>
    <w:rsid w:val="00EF57DC"/>
    <w:rsid w:val="00F41357"/>
    <w:rsid w:val="00F41F0F"/>
    <w:rsid w:val="00F65F5D"/>
    <w:rsid w:val="00F86A3A"/>
    <w:rsid w:val="00FF15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DB52313"/>
  <w15:docId w15:val="{D3D92A90-BFCF-4FB7-9E5A-FE4299BC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40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semiHidden/>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semiHidden/>
    <w:rsid w:val="00A02403"/>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A02403"/>
    <w:rPr>
      <w:rFonts w:ascii="Times New Roman" w:hAnsi="Times New Roman" w:cs="Times New Roman"/>
      <w:sz w:val="20"/>
      <w:szCs w:val="20"/>
    </w:rPr>
  </w:style>
  <w:style w:type="character" w:customStyle="1" w:styleId="Heading2Char">
    <w:name w:val="Heading 2 Char"/>
    <w:basedOn w:val="DefaultParagraphFont"/>
    <w:link w:val="Heading2"/>
    <w:semiHidden/>
    <w:rsid w:val="00A02403"/>
    <w:rPr>
      <w:rFonts w:ascii="Times New Roman" w:hAnsi="Times New Roman" w:cs="Times New Roman"/>
      <w:sz w:val="20"/>
      <w:szCs w:val="20"/>
    </w:rPr>
  </w:style>
  <w:style w:type="character" w:customStyle="1" w:styleId="Heading3Char">
    <w:name w:val="Heading 3 Char"/>
    <w:basedOn w:val="DefaultParagraphFont"/>
    <w:link w:val="Heading3"/>
    <w:semiHidden/>
    <w:rsid w:val="00A02403"/>
    <w:rPr>
      <w:rFonts w:ascii="Times New Roman" w:hAnsi="Times New Roman" w:cs="Times New Roman"/>
      <w:sz w:val="20"/>
      <w:szCs w:val="20"/>
    </w:rPr>
  </w:style>
  <w:style w:type="character" w:customStyle="1" w:styleId="Heading4Char">
    <w:name w:val="Heading 4 Char"/>
    <w:basedOn w:val="DefaultParagraphFont"/>
    <w:link w:val="Heading4"/>
    <w:semiHidden/>
    <w:rsid w:val="00A02403"/>
    <w:rPr>
      <w:rFonts w:ascii="Times New Roman" w:hAnsi="Times New Roman" w:cs="Times New Roman"/>
      <w:sz w:val="20"/>
      <w:szCs w:val="20"/>
    </w:rPr>
  </w:style>
  <w:style w:type="character" w:customStyle="1" w:styleId="Heading5Char">
    <w:name w:val="Heading 5 Char"/>
    <w:basedOn w:val="DefaultParagraphFont"/>
    <w:link w:val="Heading5"/>
    <w:semiHidden/>
    <w:rsid w:val="00A02403"/>
    <w:rPr>
      <w:rFonts w:ascii="Times New Roman" w:hAnsi="Times New Roman" w:cs="Times New Roman"/>
      <w:sz w:val="20"/>
      <w:szCs w:val="20"/>
    </w:rPr>
  </w:style>
  <w:style w:type="character" w:customStyle="1" w:styleId="Heading6Char">
    <w:name w:val="Heading 6 Char"/>
    <w:basedOn w:val="DefaultParagraphFont"/>
    <w:link w:val="Heading6"/>
    <w:semiHidden/>
    <w:rsid w:val="00A02403"/>
    <w:rPr>
      <w:rFonts w:ascii="Times New Roman" w:hAnsi="Times New Roman" w:cs="Times New Roman"/>
      <w:sz w:val="20"/>
      <w:szCs w:val="20"/>
    </w:rPr>
  </w:style>
  <w:style w:type="character" w:customStyle="1" w:styleId="Heading7Char">
    <w:name w:val="Heading 7 Char"/>
    <w:basedOn w:val="DefaultParagraphFont"/>
    <w:link w:val="Heading7"/>
    <w:semiHidden/>
    <w:rsid w:val="00A02403"/>
    <w:rPr>
      <w:rFonts w:ascii="Times New Roman" w:hAnsi="Times New Roman" w:cs="Times New Roman"/>
      <w:sz w:val="20"/>
      <w:szCs w:val="20"/>
    </w:rPr>
  </w:style>
  <w:style w:type="character" w:customStyle="1" w:styleId="Heading8Char">
    <w:name w:val="Heading 8 Char"/>
    <w:basedOn w:val="DefaultParagraphFont"/>
    <w:link w:val="Heading8"/>
    <w:semiHidden/>
    <w:rsid w:val="00A02403"/>
    <w:rPr>
      <w:rFonts w:ascii="Times New Roman" w:hAnsi="Times New Roman" w:cs="Times New Roman"/>
      <w:sz w:val="20"/>
      <w:szCs w:val="20"/>
    </w:rPr>
  </w:style>
  <w:style w:type="character" w:customStyle="1" w:styleId="Heading9Char">
    <w:name w:val="Heading 9 Char"/>
    <w:basedOn w:val="DefaultParagraphFont"/>
    <w:link w:val="Heading9"/>
    <w:semiHidden/>
    <w:rsid w:val="00A02403"/>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FollowedHyperlink">
    <w:name w:val="FollowedHyperlink"/>
    <w:semiHidden/>
    <w:rsid w:val="00192C8E"/>
    <w:rPr>
      <w:color w:val="800080"/>
      <w:u w:val="single"/>
    </w:rPr>
  </w:style>
  <w:style w:type="character" w:customStyle="1" w:styleId="SingleTxtGChar">
    <w:name w:val="_ Single Txt_G Char"/>
    <w:link w:val="SingleTxtG"/>
    <w:locked/>
    <w:rsid w:val="00192C8E"/>
    <w:rPr>
      <w:rFonts w:ascii="Times New Roman" w:hAnsi="Times New Roman" w:cs="Times New Roman"/>
      <w:sz w:val="20"/>
      <w:szCs w:val="20"/>
    </w:rPr>
  </w:style>
  <w:style w:type="paragraph" w:styleId="Revision">
    <w:name w:val="Revision"/>
    <w:hidden/>
    <w:uiPriority w:val="99"/>
    <w:semiHidden/>
    <w:rsid w:val="00192C8E"/>
    <w:pPr>
      <w:spacing w:after="0" w:line="240" w:lineRule="auto"/>
    </w:pPr>
    <w:rPr>
      <w:rFonts w:ascii="Times New Roman" w:eastAsia="MS Mincho" w:hAnsi="Times New Roman" w:cs="Times New Roman"/>
      <w:sz w:val="20"/>
      <w:szCs w:val="20"/>
      <w:lang w:eastAsia="en-US"/>
    </w:rPr>
  </w:style>
  <w:style w:type="character" w:styleId="CommentReference">
    <w:name w:val="annotation reference"/>
    <w:basedOn w:val="DefaultParagraphFont"/>
    <w:uiPriority w:val="99"/>
    <w:semiHidden/>
    <w:unhideWhenUsed/>
    <w:rsid w:val="005A393B"/>
    <w:rPr>
      <w:sz w:val="16"/>
      <w:szCs w:val="16"/>
    </w:rPr>
  </w:style>
  <w:style w:type="paragraph" w:styleId="CommentText">
    <w:name w:val="annotation text"/>
    <w:basedOn w:val="Normal"/>
    <w:link w:val="CommentTextChar"/>
    <w:uiPriority w:val="99"/>
    <w:semiHidden/>
    <w:unhideWhenUsed/>
    <w:rsid w:val="005A393B"/>
    <w:pPr>
      <w:spacing w:line="240" w:lineRule="auto"/>
    </w:pPr>
  </w:style>
  <w:style w:type="character" w:customStyle="1" w:styleId="CommentTextChar">
    <w:name w:val="Comment Text Char"/>
    <w:basedOn w:val="DefaultParagraphFont"/>
    <w:link w:val="CommentText"/>
    <w:uiPriority w:val="99"/>
    <w:semiHidden/>
    <w:rsid w:val="005A393B"/>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A393B"/>
    <w:rPr>
      <w:b/>
      <w:bCs/>
    </w:rPr>
  </w:style>
  <w:style w:type="character" w:customStyle="1" w:styleId="CommentSubjectChar">
    <w:name w:val="Comment Subject Char"/>
    <w:basedOn w:val="CommentTextChar"/>
    <w:link w:val="CommentSubject"/>
    <w:uiPriority w:val="99"/>
    <w:semiHidden/>
    <w:rsid w:val="005A393B"/>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057A2-41C5-4C30-AA9C-522C5565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5523</Words>
  <Characters>29459</Characters>
  <Application>Microsoft Office Word</Application>
  <DocSecurity>0</DocSecurity>
  <Lines>431</Lines>
  <Paragraphs>76</Paragraphs>
  <ScaleCrop>false</ScaleCrop>
  <HeadingPairs>
    <vt:vector size="2" baseType="variant">
      <vt:variant>
        <vt:lpstr>Title</vt:lpstr>
      </vt:variant>
      <vt:variant>
        <vt:i4>1</vt:i4>
      </vt:variant>
    </vt:vector>
  </HeadingPairs>
  <TitlesOfParts>
    <vt:vector size="1" baseType="lpstr">
      <vt:lpstr>CCPR/C/131/D/2635/2015</vt:lpstr>
    </vt:vector>
  </TitlesOfParts>
  <Company>DCM</Company>
  <LinksUpToDate>false</LinksUpToDate>
  <CharactersWithSpaces>34934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CCPR/C/131/D/2635/2015</dc:title>
  <dc:subject>2106356</dc:subject>
  <dc:creator>cg</dc:creator>
  <cp:keywords/>
  <dc:description/>
  <cp:lastModifiedBy>Edna KAY</cp:lastModifiedBy>
  <cp:revision>2</cp:revision>
  <dcterms:created xsi:type="dcterms:W3CDTF">2021-05-14T09:49:00Z</dcterms:created>
  <dcterms:modified xsi:type="dcterms:W3CDTF">2021-05-14T09:49:00Z</dcterms:modified>
</cp:coreProperties>
</file>