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C2556DF" w14:textId="77777777" w:rsidTr="005B51C4">
        <w:trPr>
          <w:trHeight w:hRule="exact" w:val="851"/>
        </w:trPr>
        <w:tc>
          <w:tcPr>
            <w:tcW w:w="1274" w:type="dxa"/>
            <w:tcBorders>
              <w:bottom w:val="single" w:sz="4" w:space="0" w:color="auto"/>
            </w:tcBorders>
            <w:shd w:val="clear" w:color="auto" w:fill="auto"/>
          </w:tcPr>
          <w:p w14:paraId="127B8F26" w14:textId="77777777" w:rsidR="006B3E27" w:rsidRPr="00C175A6" w:rsidRDefault="006B3E27" w:rsidP="00A0356F">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92F5489"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7CADA4C" w14:textId="4CC1A869" w:rsidR="006B3E27" w:rsidRPr="00500648" w:rsidRDefault="00500648" w:rsidP="00500648">
            <w:pPr>
              <w:bidi w:val="0"/>
              <w:rPr>
                <w:szCs w:val="20"/>
              </w:rPr>
            </w:pPr>
            <w:r w:rsidRPr="00500648">
              <w:rPr>
                <w:sz w:val="40"/>
                <w:szCs w:val="20"/>
              </w:rPr>
              <w:t>CCPR</w:t>
            </w:r>
            <w:r>
              <w:rPr>
                <w:szCs w:val="20"/>
              </w:rPr>
              <w:t>/C/</w:t>
            </w:r>
            <w:r w:rsidRPr="00E4586A">
              <w:rPr>
                <w:szCs w:val="20"/>
              </w:rPr>
              <w:t>130</w:t>
            </w:r>
            <w:r>
              <w:rPr>
                <w:szCs w:val="20"/>
              </w:rPr>
              <w:t>/D/</w:t>
            </w:r>
            <w:r w:rsidRPr="00E4586A">
              <w:rPr>
                <w:szCs w:val="20"/>
              </w:rPr>
              <w:t>3778</w:t>
            </w:r>
            <w:r>
              <w:rPr>
                <w:szCs w:val="20"/>
              </w:rPr>
              <w:t>/</w:t>
            </w:r>
            <w:r w:rsidRPr="00E4586A">
              <w:rPr>
                <w:szCs w:val="20"/>
              </w:rPr>
              <w:t>2020</w:t>
            </w:r>
          </w:p>
        </w:tc>
      </w:tr>
      <w:tr w:rsidR="006B3E27" w:rsidRPr="00C175A6" w14:paraId="5C879F8D" w14:textId="77777777" w:rsidTr="005B51C4">
        <w:trPr>
          <w:trHeight w:hRule="exact" w:val="2835"/>
        </w:trPr>
        <w:tc>
          <w:tcPr>
            <w:tcW w:w="1274" w:type="dxa"/>
            <w:tcBorders>
              <w:top w:val="single" w:sz="4" w:space="0" w:color="auto"/>
              <w:bottom w:val="single" w:sz="12" w:space="0" w:color="auto"/>
            </w:tcBorders>
            <w:shd w:val="clear" w:color="auto" w:fill="auto"/>
          </w:tcPr>
          <w:p w14:paraId="1F828ADF"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E3127D0" wp14:editId="6ED1400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E164907" w14:textId="77777777" w:rsidR="006B3E27" w:rsidRPr="00E4586A" w:rsidRDefault="00ED7442" w:rsidP="00730446">
            <w:pPr>
              <w:spacing w:before="120" w:after="40" w:line="640" w:lineRule="exact"/>
              <w:ind w:left="57"/>
              <w:rPr>
                <w:b/>
                <w:bCs/>
                <w:sz w:val="46"/>
                <w:szCs w:val="46"/>
              </w:rPr>
            </w:pPr>
            <w:r w:rsidRPr="00E4586A">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2434BEA" w14:textId="77777777" w:rsidR="00610F4E" w:rsidRPr="00610F4E" w:rsidRDefault="00610F4E" w:rsidP="00610F4E">
            <w:pPr>
              <w:bidi w:val="0"/>
              <w:spacing w:before="240"/>
              <w:jc w:val="left"/>
              <w:rPr>
                <w:rFonts w:eastAsia="Times New Roman" w:cs="Times New Roman"/>
                <w:szCs w:val="20"/>
                <w:lang w:val="en-GB"/>
              </w:rPr>
            </w:pPr>
            <w:r w:rsidRPr="00610F4E">
              <w:rPr>
                <w:rFonts w:eastAsia="Times New Roman" w:cs="Times New Roman"/>
                <w:szCs w:val="20"/>
                <w:lang w:val="en-GB"/>
              </w:rPr>
              <w:t>Distr.: General</w:t>
            </w:r>
          </w:p>
          <w:p w14:paraId="3AC402BC" w14:textId="77777777" w:rsidR="00610F4E" w:rsidRPr="00610F4E" w:rsidRDefault="00610F4E" w:rsidP="00610F4E">
            <w:pPr>
              <w:bidi w:val="0"/>
              <w:jc w:val="left"/>
              <w:rPr>
                <w:rFonts w:eastAsia="Times New Roman" w:cs="Times New Roman"/>
                <w:szCs w:val="20"/>
                <w:lang w:val="en-GB"/>
              </w:rPr>
            </w:pPr>
            <w:r w:rsidRPr="00E4586A">
              <w:rPr>
                <w:rFonts w:eastAsia="Times New Roman" w:cs="Times New Roman"/>
                <w:szCs w:val="20"/>
                <w:lang w:val="en-GB"/>
              </w:rPr>
              <w:t>5</w:t>
            </w:r>
            <w:r w:rsidRPr="00610F4E">
              <w:rPr>
                <w:rFonts w:eastAsia="Times New Roman" w:cs="Times New Roman"/>
                <w:szCs w:val="20"/>
                <w:lang w:val="en-GB"/>
              </w:rPr>
              <w:t xml:space="preserve"> March </w:t>
            </w:r>
            <w:r w:rsidRPr="00E4586A">
              <w:rPr>
                <w:rFonts w:eastAsia="Times New Roman" w:cs="Times New Roman"/>
                <w:szCs w:val="20"/>
                <w:lang w:val="en-GB"/>
              </w:rPr>
              <w:t>2021</w:t>
            </w:r>
          </w:p>
          <w:p w14:paraId="0CA9BF04" w14:textId="7398B1A8" w:rsidR="00610F4E" w:rsidRPr="00610F4E" w:rsidRDefault="00610F4E" w:rsidP="00610F4E">
            <w:pPr>
              <w:bidi w:val="0"/>
              <w:jc w:val="left"/>
              <w:rPr>
                <w:rFonts w:eastAsia="Times New Roman" w:cs="Times New Roman"/>
                <w:szCs w:val="20"/>
                <w:lang w:val="en-GB"/>
              </w:rPr>
            </w:pPr>
            <w:r>
              <w:rPr>
                <w:rFonts w:eastAsia="Times New Roman" w:cs="Times New Roman"/>
                <w:szCs w:val="20"/>
                <w:lang w:val="en-GB"/>
              </w:rPr>
              <w:t>Arabic</w:t>
            </w:r>
          </w:p>
          <w:p w14:paraId="67FC7E56" w14:textId="6711B253" w:rsidR="00500648" w:rsidRPr="00610F4E" w:rsidRDefault="00610F4E" w:rsidP="00610F4E">
            <w:pPr>
              <w:bidi w:val="0"/>
              <w:spacing w:line="240" w:lineRule="exact"/>
              <w:jc w:val="left"/>
              <w:rPr>
                <w:szCs w:val="20"/>
                <w:lang w:val="en-GB"/>
              </w:rPr>
            </w:pPr>
            <w:r w:rsidRPr="00610F4E">
              <w:rPr>
                <w:rFonts w:eastAsia="Times New Roman" w:cs="Times New Roman"/>
                <w:szCs w:val="20"/>
                <w:lang w:val="en-GB"/>
              </w:rPr>
              <w:t>Original: Spanish</w:t>
            </w:r>
          </w:p>
        </w:tc>
      </w:tr>
    </w:tbl>
    <w:p w14:paraId="3A347AE4" w14:textId="08A5D8FD" w:rsidR="00637FD6" w:rsidRPr="00E4586A" w:rsidRDefault="00637FD6" w:rsidP="00637FD6">
      <w:pPr>
        <w:pStyle w:val="SingleTxtGA"/>
        <w:spacing w:before="120" w:after="0"/>
        <w:ind w:left="0"/>
        <w:rPr>
          <w:b/>
          <w:bCs/>
          <w:lang w:val="fr-CH"/>
        </w:rPr>
      </w:pPr>
      <w:r w:rsidRPr="00E4586A">
        <w:rPr>
          <w:b/>
          <w:bCs/>
          <w:rtl/>
          <w:lang w:val="fr-CH"/>
        </w:rPr>
        <w:t>اللجنة</w:t>
      </w:r>
      <w:r w:rsidRPr="00E4586A">
        <w:rPr>
          <w:rFonts w:hint="cs"/>
          <w:b/>
          <w:bCs/>
          <w:rtl/>
          <w:lang w:val="fr-CH"/>
        </w:rPr>
        <w:t xml:space="preserve"> </w:t>
      </w:r>
      <w:r w:rsidRPr="00E4586A">
        <w:rPr>
          <w:b/>
          <w:bCs/>
          <w:rtl/>
          <w:lang w:val="fr-CH"/>
        </w:rPr>
        <w:t>المعنية بحقوق الإنسان</w:t>
      </w:r>
    </w:p>
    <w:p w14:paraId="0A5B5373" w14:textId="1FFBDECD" w:rsidR="00637FD6" w:rsidRPr="00E4586A" w:rsidRDefault="00637FD6" w:rsidP="00637FD6">
      <w:pPr>
        <w:pStyle w:val="HChGA"/>
      </w:pPr>
      <w:r w:rsidRPr="00E4586A">
        <w:rPr>
          <w:rtl/>
        </w:rPr>
        <w:tab/>
      </w:r>
      <w:r w:rsidRPr="00E4586A">
        <w:rPr>
          <w:rtl/>
        </w:rPr>
        <w:tab/>
        <w:t>قرار اعتمدته اللجنة بموجب المادة 5(4) من البروتوكول الاختياري، بشأن البلاغ رقم 3778/2020</w:t>
      </w:r>
      <w:r w:rsidRPr="00E4586A">
        <w:rPr>
          <w:rStyle w:val="FootnoteReference"/>
          <w:sz w:val="28"/>
          <w:szCs w:val="28"/>
          <w:vertAlign w:val="baseline"/>
          <w:rtl/>
        </w:rPr>
        <w:footnoteReference w:customMarkFollows="1" w:id="1"/>
        <w:t>*</w:t>
      </w:r>
      <w:r w:rsidRPr="00E4586A">
        <w:rPr>
          <w:rFonts w:hint="cs"/>
          <w:sz w:val="22"/>
          <w:szCs w:val="22"/>
          <w:rtl/>
        </w:rPr>
        <w:t xml:space="preserve"> </w:t>
      </w:r>
      <w:r w:rsidRPr="00E4586A">
        <w:rPr>
          <w:rStyle w:val="FootnoteReference"/>
          <w:sz w:val="28"/>
          <w:szCs w:val="28"/>
          <w:vertAlign w:val="baseline"/>
          <w:rtl/>
        </w:rPr>
        <w:footnoteReference w:customMarkFollows="1" w:id="2"/>
        <w:t>**</w:t>
      </w:r>
    </w:p>
    <w:p w14:paraId="6C9D155A" w14:textId="023B2193"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بلاغ مقدم من:</w:t>
      </w:r>
      <w:r>
        <w:rPr>
          <w:rtl/>
        </w:rPr>
        <w:tab/>
      </w:r>
      <w:r w:rsidR="00610F4E">
        <w:rPr>
          <w:rtl/>
        </w:rPr>
        <w:t>م. خ. ب. ب.</w:t>
      </w:r>
      <w:r w:rsidRPr="00637FD6">
        <w:rPr>
          <w:rtl/>
        </w:rPr>
        <w:t xml:space="preserve">، </w:t>
      </w:r>
      <w:proofErr w:type="spellStart"/>
      <w:r w:rsidRPr="00637FD6">
        <w:rPr>
          <w:rtl/>
        </w:rPr>
        <w:t>و</w:t>
      </w:r>
      <w:r w:rsidR="00610F4E">
        <w:rPr>
          <w:rtl/>
        </w:rPr>
        <w:t>م</w:t>
      </w:r>
      <w:proofErr w:type="spellEnd"/>
      <w:r w:rsidR="00610F4E">
        <w:rPr>
          <w:rtl/>
        </w:rPr>
        <w:t>. خ. ز. س.</w:t>
      </w:r>
      <w:r w:rsidRPr="00637FD6">
        <w:rPr>
          <w:rtl/>
        </w:rPr>
        <w:t xml:space="preserve">، </w:t>
      </w:r>
      <w:proofErr w:type="spellStart"/>
      <w:r w:rsidRPr="00637FD6">
        <w:rPr>
          <w:rtl/>
        </w:rPr>
        <w:t>و</w:t>
      </w:r>
      <w:r w:rsidR="00610F4E">
        <w:rPr>
          <w:rtl/>
        </w:rPr>
        <w:t>م</w:t>
      </w:r>
      <w:proofErr w:type="spellEnd"/>
      <w:r w:rsidR="00610F4E">
        <w:rPr>
          <w:rtl/>
        </w:rPr>
        <w:t>. خ. ف. ز.</w:t>
      </w:r>
      <w:r w:rsidRPr="00637FD6">
        <w:rPr>
          <w:rtl/>
        </w:rPr>
        <w:t xml:space="preserve">، </w:t>
      </w:r>
      <w:proofErr w:type="spellStart"/>
      <w:r w:rsidRPr="00610F4E">
        <w:rPr>
          <w:spacing w:val="-2"/>
          <w:rtl/>
        </w:rPr>
        <w:t>وم</w:t>
      </w:r>
      <w:proofErr w:type="spellEnd"/>
      <w:r w:rsidRPr="00610F4E">
        <w:rPr>
          <w:spacing w:val="-2"/>
          <w:rtl/>
        </w:rPr>
        <w:t>.</w:t>
      </w:r>
      <w:r w:rsidR="00610F4E" w:rsidRPr="00610F4E">
        <w:rPr>
          <w:rFonts w:hint="cs"/>
          <w:spacing w:val="-2"/>
          <w:rtl/>
        </w:rPr>
        <w:t> </w:t>
      </w:r>
      <w:r w:rsidRPr="00610F4E">
        <w:rPr>
          <w:spacing w:val="-2"/>
          <w:rtl/>
        </w:rPr>
        <w:t>ديل س. ديل ر.</w:t>
      </w:r>
      <w:r w:rsidR="00610F4E" w:rsidRPr="00610F4E">
        <w:rPr>
          <w:rFonts w:hint="cs"/>
          <w:spacing w:val="-2"/>
          <w:rtl/>
        </w:rPr>
        <w:t xml:space="preserve"> </w:t>
      </w:r>
      <w:r w:rsidRPr="00610F4E">
        <w:rPr>
          <w:spacing w:val="-2"/>
          <w:rtl/>
        </w:rPr>
        <w:t>م.؛ وف.</w:t>
      </w:r>
      <w:r w:rsidR="00610F4E" w:rsidRPr="00610F4E">
        <w:rPr>
          <w:rFonts w:hint="cs"/>
          <w:spacing w:val="-2"/>
          <w:rtl/>
        </w:rPr>
        <w:t xml:space="preserve"> </w:t>
      </w:r>
      <w:r w:rsidRPr="00610F4E">
        <w:rPr>
          <w:spacing w:val="-2"/>
          <w:rtl/>
        </w:rPr>
        <w:t>م.</w:t>
      </w:r>
      <w:r w:rsidR="00610F4E" w:rsidRPr="00610F4E">
        <w:rPr>
          <w:rFonts w:hint="cs"/>
          <w:spacing w:val="-2"/>
          <w:rtl/>
        </w:rPr>
        <w:t xml:space="preserve"> </w:t>
      </w:r>
      <w:r w:rsidRPr="00610F4E">
        <w:rPr>
          <w:spacing w:val="-2"/>
          <w:rtl/>
        </w:rPr>
        <w:t xml:space="preserve">ه.، </w:t>
      </w:r>
      <w:proofErr w:type="spellStart"/>
      <w:r w:rsidRPr="00610F4E">
        <w:rPr>
          <w:spacing w:val="-2"/>
          <w:rtl/>
        </w:rPr>
        <w:t>وم</w:t>
      </w:r>
      <w:proofErr w:type="spellEnd"/>
      <w:r w:rsidRPr="00610F4E">
        <w:rPr>
          <w:spacing w:val="-2"/>
          <w:rtl/>
        </w:rPr>
        <w:t>.</w:t>
      </w:r>
      <w:r w:rsidR="00610F4E" w:rsidRPr="00610F4E">
        <w:rPr>
          <w:rFonts w:hint="cs"/>
          <w:spacing w:val="-2"/>
          <w:rtl/>
        </w:rPr>
        <w:t xml:space="preserve"> </w:t>
      </w:r>
      <w:r w:rsidRPr="00610F4E">
        <w:rPr>
          <w:spacing w:val="-2"/>
          <w:rtl/>
        </w:rPr>
        <w:t>ن.</w:t>
      </w:r>
      <w:r w:rsidR="00610F4E" w:rsidRPr="00610F4E">
        <w:rPr>
          <w:rFonts w:hint="cs"/>
          <w:spacing w:val="-2"/>
          <w:rtl/>
        </w:rPr>
        <w:t xml:space="preserve"> </w:t>
      </w:r>
      <w:r w:rsidRPr="00610F4E">
        <w:rPr>
          <w:spacing w:val="-2"/>
          <w:rtl/>
        </w:rPr>
        <w:t>س.</w:t>
      </w:r>
      <w:r w:rsidR="00610F4E" w:rsidRPr="00610F4E">
        <w:rPr>
          <w:rFonts w:hint="cs"/>
          <w:spacing w:val="-2"/>
          <w:rtl/>
        </w:rPr>
        <w:t xml:space="preserve"> </w:t>
      </w:r>
      <w:r w:rsidRPr="00610F4E">
        <w:rPr>
          <w:spacing w:val="-2"/>
          <w:rtl/>
        </w:rPr>
        <w:t>ف.</w:t>
      </w:r>
      <w:r w:rsidRPr="00637FD6">
        <w:rPr>
          <w:rtl/>
        </w:rPr>
        <w:t xml:space="preserve"> (يمثلهن المحامي دييغو فرنانديز فرنانديز)</w:t>
      </w:r>
    </w:p>
    <w:p w14:paraId="61490ED6" w14:textId="781D8A58"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الأشخاص المدعى أنهم ضحايا:</w:t>
      </w:r>
      <w:r>
        <w:rPr>
          <w:rtl/>
        </w:rPr>
        <w:tab/>
      </w:r>
      <w:r w:rsidRPr="00637FD6">
        <w:rPr>
          <w:rtl/>
        </w:rPr>
        <w:t>صاحبات البلاغ</w:t>
      </w:r>
    </w:p>
    <w:p w14:paraId="4ACB0C5F" w14:textId="630C4C64"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الدولة الطرف:</w:t>
      </w:r>
      <w:r>
        <w:rPr>
          <w:rtl/>
        </w:rPr>
        <w:tab/>
      </w:r>
      <w:r w:rsidRPr="00637FD6">
        <w:rPr>
          <w:rtl/>
        </w:rPr>
        <w:t>إسبانيا</w:t>
      </w:r>
    </w:p>
    <w:p w14:paraId="6AA6702D" w14:textId="7AA82B85"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تاريخ البلاغ:</w:t>
      </w:r>
      <w:r>
        <w:rPr>
          <w:rtl/>
        </w:rPr>
        <w:tab/>
      </w:r>
      <w:r w:rsidRPr="00E4586A">
        <w:rPr>
          <w:rtl/>
        </w:rPr>
        <w:t>8</w:t>
      </w:r>
      <w:r w:rsidRPr="00637FD6">
        <w:rPr>
          <w:rtl/>
        </w:rPr>
        <w:t xml:space="preserve"> تشرين الأول/أكتوبر </w:t>
      </w:r>
      <w:r w:rsidRPr="00E4586A">
        <w:rPr>
          <w:rtl/>
        </w:rPr>
        <w:t>2015</w:t>
      </w:r>
      <w:r w:rsidRPr="00637FD6">
        <w:rPr>
          <w:rtl/>
        </w:rPr>
        <w:t xml:space="preserve"> (تاريخ الرسالة الأولى)</w:t>
      </w:r>
    </w:p>
    <w:p w14:paraId="0E2A5C1F" w14:textId="1D5B945D"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الوثائق المرجعية:</w:t>
      </w:r>
      <w:r>
        <w:rPr>
          <w:rtl/>
        </w:rPr>
        <w:tab/>
      </w:r>
      <w:r w:rsidRPr="008D443F">
        <w:rPr>
          <w:spacing w:val="-4"/>
          <w:rtl/>
        </w:rPr>
        <w:t xml:space="preserve">القرار المتخذ عملاً بالمادة </w:t>
      </w:r>
      <w:r w:rsidRPr="00E4586A">
        <w:rPr>
          <w:spacing w:val="-4"/>
          <w:rtl/>
        </w:rPr>
        <w:t>92</w:t>
      </w:r>
      <w:r w:rsidRPr="008D443F">
        <w:rPr>
          <w:spacing w:val="-4"/>
          <w:rtl/>
        </w:rPr>
        <w:t xml:space="preserve"> من النظام الداخلي للجنة،</w:t>
      </w:r>
      <w:r w:rsidRPr="00637FD6">
        <w:rPr>
          <w:rtl/>
        </w:rPr>
        <w:t xml:space="preserve"> والمحال إلى الدولة الطرف في </w:t>
      </w:r>
      <w:r w:rsidRPr="00E4586A">
        <w:rPr>
          <w:rtl/>
        </w:rPr>
        <w:t>2</w:t>
      </w:r>
      <w:r w:rsidRPr="00637FD6">
        <w:rPr>
          <w:rtl/>
        </w:rPr>
        <w:t xml:space="preserve"> تموز/يوليه </w:t>
      </w:r>
      <w:r w:rsidRPr="00E4586A">
        <w:rPr>
          <w:rtl/>
        </w:rPr>
        <w:t>2020</w:t>
      </w:r>
      <w:r w:rsidRPr="00637FD6">
        <w:rPr>
          <w:rtl/>
        </w:rPr>
        <w:t xml:space="preserve"> (لم يصدر في شكل وثيقة)</w:t>
      </w:r>
    </w:p>
    <w:p w14:paraId="0A1CC8B6" w14:textId="102869C9"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تاريخ اعتماد القرار:</w:t>
      </w:r>
      <w:r>
        <w:rPr>
          <w:rtl/>
        </w:rPr>
        <w:tab/>
      </w:r>
      <w:r w:rsidRPr="00E4586A">
        <w:rPr>
          <w:rtl/>
        </w:rPr>
        <w:t>6</w:t>
      </w:r>
      <w:r w:rsidRPr="00637FD6">
        <w:rPr>
          <w:rtl/>
        </w:rPr>
        <w:t xml:space="preserve"> تشرين الثاني/نوفمبر </w:t>
      </w:r>
      <w:r w:rsidRPr="00E4586A">
        <w:rPr>
          <w:rtl/>
        </w:rPr>
        <w:t>2020</w:t>
      </w:r>
    </w:p>
    <w:p w14:paraId="0D4CB17B" w14:textId="44AD1A72"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الموضوع:</w:t>
      </w:r>
      <w:r>
        <w:rPr>
          <w:rtl/>
        </w:rPr>
        <w:tab/>
      </w:r>
      <w:r w:rsidRPr="00637FD6">
        <w:rPr>
          <w:rtl/>
        </w:rPr>
        <w:t>تقلد الوظائف العامة</w:t>
      </w:r>
    </w:p>
    <w:p w14:paraId="52417A79" w14:textId="7BA3A8BD"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المسألة الإجرائية:</w:t>
      </w:r>
      <w:r>
        <w:rPr>
          <w:rtl/>
        </w:rPr>
        <w:tab/>
      </w:r>
      <w:r w:rsidRPr="00637FD6">
        <w:rPr>
          <w:rtl/>
        </w:rPr>
        <w:t>استنفاد سبل الانتصاف المحلية</w:t>
      </w:r>
    </w:p>
    <w:p w14:paraId="3504560A" w14:textId="1E8A4D23"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المسألة الموضوعية:</w:t>
      </w:r>
      <w:r>
        <w:rPr>
          <w:rtl/>
        </w:rPr>
        <w:tab/>
      </w:r>
      <w:r w:rsidRPr="00637FD6">
        <w:rPr>
          <w:rtl/>
        </w:rPr>
        <w:t>المساواة أمام المحاكم والهيئات القضائية؛ والمساواة أمام القانون؛ والتمييز؛ والمساواة في التمتع بحماية القانون؛ والمساواة في تقلد الوظائف العامة</w:t>
      </w:r>
      <w:r w:rsidR="00E4586A">
        <w:rPr>
          <w:rFonts w:hint="cs"/>
          <w:rtl/>
        </w:rPr>
        <w:t xml:space="preserve"> </w:t>
      </w:r>
    </w:p>
    <w:p w14:paraId="02658E8F" w14:textId="4517F3EA"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مواد العهد:</w:t>
      </w:r>
      <w:r>
        <w:rPr>
          <w:rtl/>
        </w:rPr>
        <w:tab/>
      </w:r>
      <w:r w:rsidRPr="00E4586A">
        <w:rPr>
          <w:rtl/>
        </w:rPr>
        <w:t>14</w:t>
      </w:r>
      <w:r w:rsidRPr="00637FD6">
        <w:rPr>
          <w:rtl/>
        </w:rPr>
        <w:t>(</w:t>
      </w:r>
      <w:r w:rsidRPr="00E4586A">
        <w:rPr>
          <w:rtl/>
        </w:rPr>
        <w:t>1</w:t>
      </w:r>
      <w:r w:rsidRPr="00637FD6">
        <w:rPr>
          <w:rtl/>
        </w:rPr>
        <w:t>) و</w:t>
      </w:r>
      <w:r w:rsidRPr="00E4586A">
        <w:rPr>
          <w:rtl/>
        </w:rPr>
        <w:t>25</w:t>
      </w:r>
      <w:r w:rsidRPr="00637FD6">
        <w:rPr>
          <w:rtl/>
        </w:rPr>
        <w:t xml:space="preserve"> و</w:t>
      </w:r>
      <w:r w:rsidRPr="00E4586A">
        <w:rPr>
          <w:rtl/>
        </w:rPr>
        <w:t>26</w:t>
      </w:r>
    </w:p>
    <w:p w14:paraId="0D1ABE06" w14:textId="6C9F7C7A" w:rsidR="00637FD6" w:rsidRPr="00637FD6" w:rsidRDefault="00637FD6" w:rsidP="00637FD6">
      <w:pPr>
        <w:pStyle w:val="SingleTxtGA"/>
        <w:tabs>
          <w:tab w:val="clear" w:pos="1928"/>
          <w:tab w:val="clear" w:pos="2608"/>
          <w:tab w:val="clear" w:pos="3289"/>
          <w:tab w:val="clear" w:pos="3969"/>
          <w:tab w:val="clear" w:pos="4649"/>
          <w:tab w:val="clear" w:pos="5330"/>
        </w:tabs>
        <w:ind w:left="4649" w:hanging="2721"/>
      </w:pPr>
      <w:r w:rsidRPr="00E4586A">
        <w:rPr>
          <w:i/>
          <w:iCs/>
          <w:rtl/>
        </w:rPr>
        <w:t>مواد البروتوكول الاختياري:</w:t>
      </w:r>
      <w:r>
        <w:rPr>
          <w:rtl/>
        </w:rPr>
        <w:tab/>
      </w:r>
      <w:r w:rsidRPr="00E4586A">
        <w:rPr>
          <w:rtl/>
        </w:rPr>
        <w:t>2</w:t>
      </w:r>
      <w:r w:rsidRPr="00637FD6">
        <w:rPr>
          <w:rtl/>
        </w:rPr>
        <w:t xml:space="preserve"> و</w:t>
      </w:r>
      <w:r w:rsidRPr="00E4586A">
        <w:rPr>
          <w:rtl/>
        </w:rPr>
        <w:t>5</w:t>
      </w:r>
      <w:r w:rsidRPr="00637FD6">
        <w:rPr>
          <w:rtl/>
        </w:rPr>
        <w:t>(</w:t>
      </w:r>
      <w:r w:rsidRPr="00E4586A">
        <w:rPr>
          <w:rtl/>
        </w:rPr>
        <w:t>2</w:t>
      </w:r>
      <w:r w:rsidRPr="00637FD6">
        <w:rPr>
          <w:rtl/>
        </w:rPr>
        <w:t>)(أ)</w:t>
      </w:r>
    </w:p>
    <w:p w14:paraId="55F896E4" w14:textId="46C19F7B" w:rsidR="00637FD6" w:rsidRPr="00637FD6" w:rsidRDefault="00637FD6" w:rsidP="00637FD6">
      <w:pPr>
        <w:pStyle w:val="SingleTxtGA"/>
        <w:rPr>
          <w:lang w:val="fr-CH"/>
        </w:rPr>
      </w:pPr>
      <w:r w:rsidRPr="00E4586A">
        <w:rPr>
          <w:rtl/>
          <w:lang w:val="fr-CH"/>
        </w:rPr>
        <w:t>1</w:t>
      </w:r>
      <w:r w:rsidRPr="00637FD6">
        <w:rPr>
          <w:rtl/>
          <w:lang w:val="fr-CH"/>
        </w:rPr>
        <w:t>-</w:t>
      </w:r>
      <w:r w:rsidRPr="00637FD6">
        <w:rPr>
          <w:rtl/>
          <w:lang w:val="fr-CH"/>
        </w:rPr>
        <w:tab/>
      </w:r>
      <w:r w:rsidRPr="00DD6A88">
        <w:rPr>
          <w:spacing w:val="-6"/>
          <w:rtl/>
          <w:lang w:val="fr-CH"/>
        </w:rPr>
        <w:t xml:space="preserve">صاحبات البلاغ هن </w:t>
      </w:r>
      <w:r w:rsidR="00610F4E" w:rsidRPr="00DD6A88">
        <w:rPr>
          <w:spacing w:val="-6"/>
          <w:rtl/>
          <w:lang w:val="fr-CH"/>
        </w:rPr>
        <w:t>م. خ. ب. ب.</w:t>
      </w:r>
      <w:r w:rsidRPr="00DD6A88">
        <w:rPr>
          <w:spacing w:val="-6"/>
          <w:rtl/>
          <w:lang w:val="fr-CH"/>
        </w:rPr>
        <w:t xml:space="preserve">، </w:t>
      </w:r>
      <w:proofErr w:type="spellStart"/>
      <w:r w:rsidRPr="00DD6A88">
        <w:rPr>
          <w:spacing w:val="-6"/>
          <w:rtl/>
          <w:lang w:val="fr-CH"/>
        </w:rPr>
        <w:t>و</w:t>
      </w:r>
      <w:r w:rsidR="00610F4E" w:rsidRPr="00DD6A88">
        <w:rPr>
          <w:spacing w:val="-6"/>
          <w:rtl/>
          <w:lang w:val="fr-CH"/>
        </w:rPr>
        <w:t>م</w:t>
      </w:r>
      <w:proofErr w:type="spellEnd"/>
      <w:r w:rsidR="00610F4E" w:rsidRPr="00DD6A88">
        <w:rPr>
          <w:spacing w:val="-6"/>
          <w:rtl/>
          <w:lang w:val="fr-CH"/>
        </w:rPr>
        <w:t>. خ. ز. س.</w:t>
      </w:r>
      <w:r w:rsidRPr="00DD6A88">
        <w:rPr>
          <w:spacing w:val="-6"/>
          <w:rtl/>
          <w:lang w:val="fr-CH"/>
        </w:rPr>
        <w:t xml:space="preserve">، </w:t>
      </w:r>
      <w:proofErr w:type="spellStart"/>
      <w:r w:rsidRPr="00DD6A88">
        <w:rPr>
          <w:spacing w:val="-6"/>
          <w:rtl/>
          <w:lang w:val="fr-CH"/>
        </w:rPr>
        <w:t>و</w:t>
      </w:r>
      <w:r w:rsidR="00610F4E" w:rsidRPr="00DD6A88">
        <w:rPr>
          <w:spacing w:val="-6"/>
          <w:rtl/>
          <w:lang w:val="fr-CH"/>
        </w:rPr>
        <w:t>م</w:t>
      </w:r>
      <w:proofErr w:type="spellEnd"/>
      <w:r w:rsidR="00610F4E" w:rsidRPr="00DD6A88">
        <w:rPr>
          <w:spacing w:val="-6"/>
          <w:rtl/>
          <w:lang w:val="fr-CH"/>
        </w:rPr>
        <w:t>. خ. ف. ز.</w:t>
      </w:r>
      <w:r w:rsidRPr="00DD6A88">
        <w:rPr>
          <w:spacing w:val="-6"/>
          <w:rtl/>
          <w:lang w:val="fr-CH"/>
        </w:rPr>
        <w:t xml:space="preserve">، </w:t>
      </w:r>
      <w:proofErr w:type="spellStart"/>
      <w:r w:rsidRPr="00DD6A88">
        <w:rPr>
          <w:spacing w:val="-6"/>
          <w:rtl/>
          <w:lang w:val="fr-CH"/>
        </w:rPr>
        <w:t>وم</w:t>
      </w:r>
      <w:proofErr w:type="spellEnd"/>
      <w:r w:rsidRPr="00DD6A88">
        <w:rPr>
          <w:spacing w:val="-6"/>
          <w:rtl/>
          <w:lang w:val="fr-CH"/>
        </w:rPr>
        <w:t>. ديل س. ديل ر.</w:t>
      </w:r>
      <w:r w:rsidR="00DD6A88" w:rsidRPr="00DD6A88">
        <w:rPr>
          <w:rFonts w:hint="cs"/>
          <w:spacing w:val="-6"/>
          <w:rtl/>
          <w:lang w:val="fr-CH"/>
        </w:rPr>
        <w:t xml:space="preserve"> </w:t>
      </w:r>
      <w:r w:rsidRPr="00DD6A88">
        <w:rPr>
          <w:spacing w:val="-6"/>
          <w:rtl/>
          <w:lang w:val="fr-CH"/>
        </w:rPr>
        <w:t xml:space="preserve">م.؛ </w:t>
      </w:r>
      <w:r w:rsidRPr="00637FD6">
        <w:rPr>
          <w:rtl/>
          <w:lang w:val="fr-CH"/>
        </w:rPr>
        <w:t>وف.</w:t>
      </w:r>
      <w:r w:rsidR="00DD6A88">
        <w:rPr>
          <w:rFonts w:hint="cs"/>
          <w:rtl/>
          <w:lang w:val="fr-CH"/>
        </w:rPr>
        <w:t xml:space="preserve"> </w:t>
      </w:r>
      <w:r w:rsidRPr="00637FD6">
        <w:rPr>
          <w:rtl/>
          <w:lang w:val="fr-CH"/>
        </w:rPr>
        <w:t>م.</w:t>
      </w:r>
      <w:r w:rsidR="00DD6A88">
        <w:rPr>
          <w:rFonts w:hint="cs"/>
          <w:rtl/>
          <w:lang w:val="fr-CH"/>
        </w:rPr>
        <w:t xml:space="preserve"> </w:t>
      </w:r>
      <w:r w:rsidRPr="00637FD6">
        <w:rPr>
          <w:rtl/>
          <w:lang w:val="fr-CH"/>
        </w:rPr>
        <w:t xml:space="preserve">ه.، </w:t>
      </w:r>
      <w:proofErr w:type="spellStart"/>
      <w:r w:rsidRPr="00637FD6">
        <w:rPr>
          <w:rtl/>
          <w:lang w:val="fr-CH"/>
        </w:rPr>
        <w:t>وم</w:t>
      </w:r>
      <w:proofErr w:type="spellEnd"/>
      <w:r w:rsidRPr="00637FD6">
        <w:rPr>
          <w:rtl/>
          <w:lang w:val="fr-CH"/>
        </w:rPr>
        <w:t>.</w:t>
      </w:r>
      <w:r w:rsidR="00DD6A88">
        <w:rPr>
          <w:rFonts w:hint="cs"/>
          <w:rtl/>
          <w:lang w:val="fr-CH"/>
        </w:rPr>
        <w:t xml:space="preserve"> </w:t>
      </w:r>
      <w:r w:rsidRPr="00637FD6">
        <w:rPr>
          <w:rtl/>
          <w:lang w:val="fr-CH"/>
        </w:rPr>
        <w:t>ن.</w:t>
      </w:r>
      <w:r w:rsidR="00DD6A88">
        <w:rPr>
          <w:rFonts w:hint="cs"/>
          <w:rtl/>
          <w:lang w:val="fr-CH"/>
        </w:rPr>
        <w:t xml:space="preserve"> </w:t>
      </w:r>
      <w:r w:rsidRPr="00637FD6">
        <w:rPr>
          <w:rtl/>
          <w:lang w:val="fr-CH"/>
        </w:rPr>
        <w:t>س.</w:t>
      </w:r>
      <w:r w:rsidR="00DD6A88">
        <w:rPr>
          <w:rFonts w:hint="cs"/>
          <w:rtl/>
          <w:lang w:val="fr-CH"/>
        </w:rPr>
        <w:t xml:space="preserve"> </w:t>
      </w:r>
      <w:r w:rsidRPr="00637FD6">
        <w:rPr>
          <w:rtl/>
          <w:lang w:val="fr-CH"/>
        </w:rPr>
        <w:t xml:space="preserve">ف.، وجميعهن مواطنات إسبانيات. ويدعين أن الدولة الطرف انتهكت حقوقهن المكفولة في المواد </w:t>
      </w:r>
      <w:r w:rsidRPr="00E4586A">
        <w:rPr>
          <w:rtl/>
          <w:lang w:val="fr-CH"/>
        </w:rPr>
        <w:t>14</w:t>
      </w:r>
      <w:r w:rsidRPr="00637FD6">
        <w:rPr>
          <w:rtl/>
          <w:lang w:val="fr-CH"/>
        </w:rPr>
        <w:t>(</w:t>
      </w:r>
      <w:r w:rsidRPr="00E4586A">
        <w:rPr>
          <w:rtl/>
          <w:lang w:val="fr-CH"/>
        </w:rPr>
        <w:t>1</w:t>
      </w:r>
      <w:r w:rsidRPr="00637FD6">
        <w:rPr>
          <w:rtl/>
          <w:lang w:val="fr-CH"/>
        </w:rPr>
        <w:t>) و</w:t>
      </w:r>
      <w:r w:rsidRPr="00E4586A">
        <w:rPr>
          <w:rtl/>
          <w:lang w:val="fr-CH"/>
        </w:rPr>
        <w:t>25</w:t>
      </w:r>
      <w:r w:rsidRPr="00637FD6">
        <w:rPr>
          <w:rtl/>
          <w:lang w:val="fr-CH"/>
        </w:rPr>
        <w:t xml:space="preserve"> و</w:t>
      </w:r>
      <w:r w:rsidRPr="00E4586A">
        <w:rPr>
          <w:rtl/>
          <w:lang w:val="fr-CH"/>
        </w:rPr>
        <w:t>26</w:t>
      </w:r>
      <w:r w:rsidRPr="00637FD6">
        <w:rPr>
          <w:rtl/>
          <w:lang w:val="fr-CH"/>
        </w:rPr>
        <w:t xml:space="preserve"> من العهد. وقد دخل البروتوكول الاختياري حيز النفاذ بالنسبة للدولة الطرف في </w:t>
      </w:r>
      <w:r w:rsidRPr="00E4586A">
        <w:rPr>
          <w:rtl/>
          <w:lang w:val="fr-CH"/>
        </w:rPr>
        <w:t>25</w:t>
      </w:r>
      <w:r w:rsidRPr="00637FD6">
        <w:rPr>
          <w:rtl/>
          <w:lang w:val="fr-CH"/>
        </w:rPr>
        <w:t xml:space="preserve"> نيسان/أبريل </w:t>
      </w:r>
      <w:r w:rsidRPr="00E4586A">
        <w:rPr>
          <w:rtl/>
          <w:lang w:val="fr-CH"/>
        </w:rPr>
        <w:t>1985</w:t>
      </w:r>
      <w:r w:rsidRPr="00637FD6">
        <w:rPr>
          <w:rtl/>
          <w:lang w:val="fr-CH"/>
        </w:rPr>
        <w:t>. ويمثل صاحبات البلاغ محام.</w:t>
      </w:r>
    </w:p>
    <w:p w14:paraId="3CC187D4" w14:textId="77777777" w:rsidR="00637FD6" w:rsidRPr="00E4586A" w:rsidRDefault="00637FD6" w:rsidP="00637FD6">
      <w:pPr>
        <w:pStyle w:val="H23GA"/>
      </w:pPr>
      <w:r w:rsidRPr="00E4586A">
        <w:rPr>
          <w:rtl/>
        </w:rPr>
        <w:tab/>
      </w:r>
      <w:r w:rsidRPr="00E4586A">
        <w:rPr>
          <w:rtl/>
        </w:rPr>
        <w:tab/>
        <w:t>الوقائع كما عرضتها صاحبات البلاغ</w:t>
      </w:r>
    </w:p>
    <w:p w14:paraId="6784A6DB" w14:textId="49E52A49"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1</w:t>
      </w:r>
      <w:r w:rsidRPr="00637FD6">
        <w:rPr>
          <w:rtl/>
          <w:lang w:val="fr-CH"/>
        </w:rPr>
        <w:tab/>
        <w:t xml:space="preserve">شاركت صاحبات البلاغ في امتحان تنافسي نُظم بأمر من وزارة العدل في </w:t>
      </w:r>
      <w:r w:rsidRPr="00E4586A">
        <w:rPr>
          <w:rtl/>
          <w:lang w:val="fr-CH"/>
        </w:rPr>
        <w:t>17</w:t>
      </w:r>
      <w:r w:rsidRPr="00637FD6">
        <w:rPr>
          <w:rtl/>
          <w:lang w:val="fr-CH"/>
        </w:rPr>
        <w:t xml:space="preserve"> تشرين الثاني/</w:t>
      </w:r>
      <w:r w:rsidR="00DD6A88">
        <w:rPr>
          <w:rFonts w:hint="cs"/>
          <w:rtl/>
          <w:lang w:val="fr-CH"/>
        </w:rPr>
        <w:t xml:space="preserve"> </w:t>
      </w:r>
      <w:r w:rsidRPr="00637FD6">
        <w:rPr>
          <w:rtl/>
          <w:lang w:val="fr-CH"/>
        </w:rPr>
        <w:t xml:space="preserve">نوفمبر </w:t>
      </w:r>
      <w:r w:rsidRPr="00E4586A">
        <w:rPr>
          <w:rtl/>
          <w:lang w:val="fr-CH"/>
        </w:rPr>
        <w:t>1997</w:t>
      </w:r>
      <w:r w:rsidRPr="00637FD6">
        <w:rPr>
          <w:rtl/>
          <w:lang w:val="fr-CH"/>
        </w:rPr>
        <w:t xml:space="preserve"> في إطار عملية تعيين موظفي المحاكم. وعند انتهاء العملية، وافقت الأمانة العامة للعدل </w:t>
      </w:r>
      <w:r w:rsidRPr="00DD6A88">
        <w:rPr>
          <w:spacing w:val="-2"/>
          <w:rtl/>
          <w:lang w:val="fr-CH"/>
        </w:rPr>
        <w:t xml:space="preserve">في قرار صدر في </w:t>
      </w:r>
      <w:r w:rsidRPr="00E4586A">
        <w:rPr>
          <w:spacing w:val="-2"/>
          <w:rtl/>
          <w:lang w:val="fr-CH"/>
        </w:rPr>
        <w:t>4</w:t>
      </w:r>
      <w:r w:rsidRPr="00DD6A88">
        <w:rPr>
          <w:spacing w:val="-2"/>
          <w:rtl/>
          <w:lang w:val="fr-CH"/>
        </w:rPr>
        <w:t xml:space="preserve"> تشرين الثاني/نوفمبر </w:t>
      </w:r>
      <w:r w:rsidRPr="00E4586A">
        <w:rPr>
          <w:spacing w:val="-2"/>
          <w:rtl/>
          <w:lang w:val="fr-CH"/>
        </w:rPr>
        <w:t>1998</w:t>
      </w:r>
      <w:r w:rsidRPr="00DD6A88">
        <w:rPr>
          <w:spacing w:val="-2"/>
          <w:vertAlign w:val="superscript"/>
          <w:rtl/>
          <w:lang w:val="fr-CH"/>
        </w:rPr>
        <w:t>(</w:t>
      </w:r>
      <w:r w:rsidRPr="00E4586A">
        <w:rPr>
          <w:rStyle w:val="FootnoteReference"/>
          <w:spacing w:val="-2"/>
          <w:szCs w:val="22"/>
          <w:lang w:val="en-US"/>
        </w:rPr>
        <w:footnoteReference w:id="3"/>
      </w:r>
      <w:r w:rsidRPr="00DD6A88">
        <w:rPr>
          <w:spacing w:val="-2"/>
          <w:vertAlign w:val="superscript"/>
          <w:rtl/>
          <w:lang w:val="fr-CH"/>
        </w:rPr>
        <w:t>)</w:t>
      </w:r>
      <w:r w:rsidRPr="00DD6A88">
        <w:rPr>
          <w:spacing w:val="-2"/>
          <w:rtl/>
          <w:lang w:val="fr-CH"/>
        </w:rPr>
        <w:t xml:space="preserve"> على قائمة المترشحين الذين اجتازوا الامتحان ونشرتها.</w:t>
      </w:r>
      <w:r w:rsidRPr="00637FD6">
        <w:rPr>
          <w:rtl/>
          <w:lang w:val="fr-CH"/>
        </w:rPr>
        <w:t xml:space="preserve"> ولم تكن صاحبات البلاغ في القائمة. غير أنهن لم يطعن في القرار، لاعتقادهن بأن المترشحين خضعوا للتقييم على النحو الواجب.</w:t>
      </w:r>
    </w:p>
    <w:p w14:paraId="67020D67" w14:textId="1608652C"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2</w:t>
      </w:r>
      <w:r w:rsidRPr="00637FD6">
        <w:rPr>
          <w:rtl/>
          <w:lang w:val="fr-CH"/>
        </w:rPr>
        <w:tab/>
        <w:t xml:space="preserve">وفي الفترة بين عامي </w:t>
      </w:r>
      <w:r w:rsidRPr="00E4586A">
        <w:rPr>
          <w:rtl/>
          <w:lang w:val="fr-CH"/>
        </w:rPr>
        <w:t>2007</w:t>
      </w:r>
      <w:r w:rsidRPr="00637FD6">
        <w:rPr>
          <w:rtl/>
          <w:lang w:val="fr-CH"/>
        </w:rPr>
        <w:t xml:space="preserve"> و</w:t>
      </w:r>
      <w:r w:rsidRPr="00E4586A">
        <w:rPr>
          <w:rtl/>
          <w:lang w:val="fr-CH"/>
        </w:rPr>
        <w:t>2009</w:t>
      </w:r>
      <w:r w:rsidRPr="00637FD6">
        <w:rPr>
          <w:rtl/>
          <w:lang w:val="fr-CH"/>
        </w:rPr>
        <w:t xml:space="preserve">، اكتشفت صاحبات البلاغ، بعد أن أُبلغن من مترشحين آخرين بتقديم عشرات الطعون، أن مخالفات شابت على ما يبدو تقييم الامتحانات. وكان الامتحان يتألف من جزأين. ففيما يتعلق بالجزء الأول، قرر مجلس الامتحانات الوحيد، الذي يمارس السلطة المخولة له </w:t>
      </w:r>
      <w:r w:rsidRPr="00DD6A88">
        <w:rPr>
          <w:spacing w:val="-2"/>
          <w:rtl/>
          <w:lang w:val="fr-CH"/>
        </w:rPr>
        <w:t xml:space="preserve">بموجب القاعدة </w:t>
      </w:r>
      <w:r w:rsidRPr="00E4586A">
        <w:rPr>
          <w:spacing w:val="-2"/>
          <w:rtl/>
          <w:lang w:val="fr-CH"/>
        </w:rPr>
        <w:t>9</w:t>
      </w:r>
      <w:r w:rsidRPr="00DD6A88">
        <w:rPr>
          <w:spacing w:val="-2"/>
          <w:rtl/>
          <w:lang w:val="fr-CH"/>
        </w:rPr>
        <w:t>-</w:t>
      </w:r>
      <w:r w:rsidRPr="00E4586A">
        <w:rPr>
          <w:spacing w:val="-2"/>
          <w:rtl/>
          <w:lang w:val="fr-CH"/>
        </w:rPr>
        <w:t>1</w:t>
      </w:r>
      <w:r w:rsidRPr="00DD6A88">
        <w:rPr>
          <w:spacing w:val="-2"/>
          <w:rtl/>
          <w:lang w:val="fr-CH"/>
        </w:rPr>
        <w:t xml:space="preserve"> من القواعد المنصوص عليها في الدعوة إلى الترشح، أن الحصول على درجة النجاح</w:t>
      </w:r>
      <w:r w:rsidRPr="00637FD6">
        <w:rPr>
          <w:rtl/>
          <w:lang w:val="fr-CH"/>
        </w:rPr>
        <w:t xml:space="preserve"> يقتضي الإجابة الصحيحة على ما لا يقل عن </w:t>
      </w:r>
      <w:r w:rsidRPr="00E4586A">
        <w:rPr>
          <w:rtl/>
          <w:lang w:val="fr-CH"/>
        </w:rPr>
        <w:t>78</w:t>
      </w:r>
      <w:r w:rsidRPr="00637FD6">
        <w:rPr>
          <w:rtl/>
          <w:lang w:val="fr-CH"/>
        </w:rPr>
        <w:t xml:space="preserve"> </w:t>
      </w:r>
      <w:proofErr w:type="gramStart"/>
      <w:r w:rsidRPr="00637FD6">
        <w:rPr>
          <w:rtl/>
          <w:lang w:val="fr-CH"/>
        </w:rPr>
        <w:t>سؤالاً</w:t>
      </w:r>
      <w:r w:rsidRPr="00637FD6">
        <w:rPr>
          <w:vertAlign w:val="superscript"/>
          <w:rtl/>
          <w:lang w:val="fr-CH"/>
        </w:rPr>
        <w:t>(</w:t>
      </w:r>
      <w:proofErr w:type="gramEnd"/>
      <w:r w:rsidRPr="00E4586A">
        <w:rPr>
          <w:rStyle w:val="FootnoteReference"/>
          <w:szCs w:val="22"/>
          <w:lang w:val="en-US"/>
        </w:rPr>
        <w:footnoteReference w:id="4"/>
      </w:r>
      <w:r w:rsidRPr="00637FD6">
        <w:rPr>
          <w:vertAlign w:val="superscript"/>
          <w:rtl/>
          <w:lang w:val="fr-CH"/>
        </w:rPr>
        <w:t>)</w:t>
      </w:r>
      <w:r w:rsidRPr="00637FD6">
        <w:rPr>
          <w:rtl/>
          <w:lang w:val="fr-CH"/>
        </w:rPr>
        <w:t xml:space="preserve">. </w:t>
      </w:r>
      <w:r w:rsidRPr="00DD6A88">
        <w:rPr>
          <w:spacing w:val="-2"/>
          <w:rtl/>
          <w:lang w:val="fr-CH"/>
        </w:rPr>
        <w:t xml:space="preserve">غير أن المجلس قرر، بدلاً من منح </w:t>
      </w:r>
      <w:r w:rsidRPr="00E4586A">
        <w:rPr>
          <w:spacing w:val="-2"/>
          <w:rtl/>
          <w:lang w:val="fr-CH"/>
        </w:rPr>
        <w:t>78</w:t>
      </w:r>
      <w:r w:rsidRPr="00DD6A88">
        <w:rPr>
          <w:spacing w:val="-2"/>
          <w:rtl/>
          <w:lang w:val="fr-CH"/>
        </w:rPr>
        <w:t xml:space="preserve"> نقطة</w:t>
      </w:r>
      <w:r w:rsidRPr="00637FD6">
        <w:rPr>
          <w:rtl/>
          <w:lang w:val="fr-CH"/>
        </w:rPr>
        <w:t xml:space="preserve"> </w:t>
      </w:r>
      <w:r w:rsidRPr="00DD6A88">
        <w:rPr>
          <w:spacing w:val="-4"/>
          <w:rtl/>
          <w:lang w:val="fr-CH"/>
        </w:rPr>
        <w:t xml:space="preserve">لـ </w:t>
      </w:r>
      <w:r w:rsidRPr="00E4586A">
        <w:rPr>
          <w:spacing w:val="-4"/>
          <w:rtl/>
          <w:lang w:val="fr-CH"/>
        </w:rPr>
        <w:t>78</w:t>
      </w:r>
      <w:r w:rsidRPr="00DD6A88">
        <w:rPr>
          <w:spacing w:val="-4"/>
          <w:rtl/>
          <w:lang w:val="fr-CH"/>
        </w:rPr>
        <w:t xml:space="preserve"> إجابة صحيحة، منح </w:t>
      </w:r>
      <w:r w:rsidRPr="00E4586A">
        <w:rPr>
          <w:spacing w:val="-4"/>
          <w:rtl/>
          <w:lang w:val="fr-CH"/>
        </w:rPr>
        <w:t>50</w:t>
      </w:r>
      <w:r w:rsidRPr="00DD6A88">
        <w:rPr>
          <w:spacing w:val="-4"/>
          <w:rtl/>
          <w:lang w:val="fr-CH"/>
        </w:rPr>
        <w:t xml:space="preserve"> نقطة للإجابات الصحيحة الـ </w:t>
      </w:r>
      <w:r w:rsidRPr="00E4586A">
        <w:rPr>
          <w:spacing w:val="-4"/>
          <w:rtl/>
          <w:lang w:val="fr-CH"/>
        </w:rPr>
        <w:t>78</w:t>
      </w:r>
      <w:r w:rsidRPr="00DD6A88">
        <w:rPr>
          <w:spacing w:val="-4"/>
          <w:rtl/>
          <w:lang w:val="fr-CH"/>
        </w:rPr>
        <w:t xml:space="preserve"> الأولى، ومنح </w:t>
      </w:r>
      <w:r w:rsidRPr="00E4586A">
        <w:rPr>
          <w:spacing w:val="-4"/>
          <w:rtl/>
          <w:lang w:val="fr-CH"/>
        </w:rPr>
        <w:t>2</w:t>
      </w:r>
      <w:r w:rsidRPr="00DD6A88">
        <w:rPr>
          <w:spacing w:val="-4"/>
          <w:rtl/>
          <w:lang w:val="fr-CH"/>
        </w:rPr>
        <w:t>.</w:t>
      </w:r>
      <w:r w:rsidRPr="00E4586A">
        <w:rPr>
          <w:spacing w:val="-4"/>
          <w:rtl/>
          <w:lang w:val="fr-CH"/>
        </w:rPr>
        <w:t>5</w:t>
      </w:r>
      <w:r w:rsidRPr="00DD6A88">
        <w:rPr>
          <w:spacing w:val="-4"/>
          <w:rtl/>
          <w:lang w:val="fr-CH"/>
        </w:rPr>
        <w:t xml:space="preserve"> نقطة لكل جواب صحيح</w:t>
      </w:r>
      <w:r w:rsidRPr="00637FD6">
        <w:rPr>
          <w:rtl/>
          <w:lang w:val="fr-CH"/>
        </w:rPr>
        <w:t xml:space="preserve"> </w:t>
      </w:r>
      <w:r w:rsidRPr="00681C36">
        <w:rPr>
          <w:spacing w:val="-4"/>
          <w:rtl/>
          <w:lang w:val="fr-CH"/>
        </w:rPr>
        <w:t xml:space="preserve">بعدها، باستخدام الصيغة الرياضية التالية: النتيجة = ((الإجابات الصحيحة - </w:t>
      </w:r>
      <w:r w:rsidRPr="00E4586A">
        <w:rPr>
          <w:spacing w:val="-4"/>
          <w:rtl/>
          <w:lang w:val="fr-CH"/>
        </w:rPr>
        <w:t>78</w:t>
      </w:r>
      <w:r w:rsidRPr="00681C36">
        <w:rPr>
          <w:spacing w:val="-4"/>
          <w:rtl/>
          <w:lang w:val="fr-CH"/>
        </w:rPr>
        <w:t xml:space="preserve">) × </w:t>
      </w:r>
      <w:r w:rsidRPr="00E4586A">
        <w:rPr>
          <w:spacing w:val="-4"/>
          <w:rtl/>
          <w:lang w:val="fr-CH"/>
        </w:rPr>
        <w:t>2</w:t>
      </w:r>
      <w:r w:rsidRPr="00681C36">
        <w:rPr>
          <w:spacing w:val="-4"/>
          <w:rtl/>
          <w:lang w:val="fr-CH"/>
        </w:rPr>
        <w:t>.</w:t>
      </w:r>
      <w:r w:rsidRPr="00E4586A">
        <w:rPr>
          <w:spacing w:val="-4"/>
          <w:rtl/>
          <w:lang w:val="fr-CH"/>
        </w:rPr>
        <w:t>5</w:t>
      </w:r>
      <w:r w:rsidRPr="00681C36">
        <w:rPr>
          <w:spacing w:val="-4"/>
          <w:rtl/>
          <w:lang w:val="fr-CH"/>
        </w:rPr>
        <w:t xml:space="preserve">) + </w:t>
      </w:r>
      <w:r w:rsidRPr="00E4586A">
        <w:rPr>
          <w:spacing w:val="-4"/>
          <w:rtl/>
          <w:lang w:val="fr-CH"/>
        </w:rPr>
        <w:t>50</w:t>
      </w:r>
      <w:r w:rsidRPr="00681C36">
        <w:rPr>
          <w:spacing w:val="-4"/>
          <w:rtl/>
          <w:lang w:val="fr-CH"/>
        </w:rPr>
        <w:t>. أما الجزء</w:t>
      </w:r>
      <w:r w:rsidRPr="00637FD6">
        <w:rPr>
          <w:rtl/>
          <w:lang w:val="fr-CH"/>
        </w:rPr>
        <w:t xml:space="preserve"> </w:t>
      </w:r>
      <w:r w:rsidRPr="00681C36">
        <w:rPr>
          <w:spacing w:val="-4"/>
          <w:rtl/>
          <w:lang w:val="fr-CH"/>
        </w:rPr>
        <w:t>الثاني، الذي مُنحت فيه نقطة واحدة لكل سؤال يُجاب عليه إجابة صحيحة، فقد نُقِّط تنقيطاً سليماً. وفي الجزء</w:t>
      </w:r>
      <w:r w:rsidRPr="00637FD6">
        <w:rPr>
          <w:rtl/>
          <w:lang w:val="fr-CH"/>
        </w:rPr>
        <w:t xml:space="preserve"> الأول، كانت درجات المترشحين الذين أجابوا إجابة صحيحة على أقل من </w:t>
      </w:r>
      <w:r w:rsidRPr="00E4586A">
        <w:rPr>
          <w:rtl/>
          <w:lang w:val="fr-CH"/>
        </w:rPr>
        <w:t>78</w:t>
      </w:r>
      <w:r w:rsidRPr="00637FD6">
        <w:rPr>
          <w:rtl/>
          <w:lang w:val="fr-CH"/>
        </w:rPr>
        <w:t xml:space="preserve"> سؤالاً متدنية بشكل متعمد، بينما ضُخمت درجات الأشخاص الذين قدموا أكثر من </w:t>
      </w:r>
      <w:r w:rsidRPr="00E4586A">
        <w:rPr>
          <w:rtl/>
          <w:lang w:val="fr-CH"/>
        </w:rPr>
        <w:t>78</w:t>
      </w:r>
      <w:r w:rsidRPr="00637FD6">
        <w:rPr>
          <w:rtl/>
          <w:lang w:val="fr-CH"/>
        </w:rPr>
        <w:t xml:space="preserve"> إجابة صحيحة، فمُنحوا ميزة على غيرهم.</w:t>
      </w:r>
    </w:p>
    <w:p w14:paraId="54C90D32" w14:textId="77777777"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3</w:t>
      </w:r>
      <w:r w:rsidRPr="00637FD6">
        <w:rPr>
          <w:rtl/>
          <w:lang w:val="fr-CH"/>
        </w:rPr>
        <w:tab/>
        <w:t xml:space="preserve">وبين عامي </w:t>
      </w:r>
      <w:r w:rsidRPr="00E4586A">
        <w:rPr>
          <w:rtl/>
          <w:lang w:val="fr-CH"/>
        </w:rPr>
        <w:t>2005</w:t>
      </w:r>
      <w:r w:rsidRPr="00637FD6">
        <w:rPr>
          <w:rtl/>
          <w:lang w:val="fr-CH"/>
        </w:rPr>
        <w:t xml:space="preserve"> و</w:t>
      </w:r>
      <w:r w:rsidRPr="00E4586A">
        <w:rPr>
          <w:rtl/>
          <w:lang w:val="fr-CH"/>
        </w:rPr>
        <w:t>2011</w:t>
      </w:r>
      <w:r w:rsidRPr="00637FD6">
        <w:rPr>
          <w:rtl/>
          <w:lang w:val="fr-CH"/>
        </w:rPr>
        <w:t xml:space="preserve">، خلصت شعبة المنازعات الإدارية في المحكمة العليا في أكثر من </w:t>
      </w:r>
      <w:r w:rsidRPr="00E4586A">
        <w:rPr>
          <w:rtl/>
          <w:lang w:val="fr-CH"/>
        </w:rPr>
        <w:t>30</w:t>
      </w:r>
      <w:r w:rsidRPr="00637FD6">
        <w:rPr>
          <w:rtl/>
          <w:lang w:val="fr-CH"/>
        </w:rPr>
        <w:t xml:space="preserve"> قضية إلى أن الصيغة الرياضية التي استخدمت كانت تمييزية، مما يشكل انتهاكاً للمادتين </w:t>
      </w:r>
      <w:r w:rsidRPr="00E4586A">
        <w:rPr>
          <w:rtl/>
          <w:lang w:val="fr-CH"/>
        </w:rPr>
        <w:t>14</w:t>
      </w:r>
      <w:r w:rsidRPr="00637FD6">
        <w:rPr>
          <w:rtl/>
          <w:lang w:val="fr-CH"/>
        </w:rPr>
        <w:t xml:space="preserve"> و</w:t>
      </w:r>
      <w:r w:rsidRPr="00E4586A">
        <w:rPr>
          <w:rtl/>
          <w:lang w:val="fr-CH"/>
        </w:rPr>
        <w:t>23</w:t>
      </w:r>
      <w:r w:rsidRPr="00637FD6">
        <w:rPr>
          <w:rtl/>
          <w:lang w:val="fr-CH"/>
        </w:rPr>
        <w:t xml:space="preserve"> من الدستور. ولذلك، اعتبرت المحكمة استبعاد المدعين في تلك القضايا من قائمة المترشحين المختارين </w:t>
      </w:r>
      <w:r w:rsidRPr="00681C36">
        <w:rPr>
          <w:spacing w:val="-4"/>
          <w:rtl/>
          <w:lang w:val="fr-CH"/>
        </w:rPr>
        <w:t xml:space="preserve">في عام </w:t>
      </w:r>
      <w:r w:rsidRPr="00E4586A">
        <w:rPr>
          <w:spacing w:val="-4"/>
          <w:rtl/>
          <w:lang w:val="fr-CH"/>
        </w:rPr>
        <w:t>1998</w:t>
      </w:r>
      <w:r w:rsidRPr="00681C36">
        <w:rPr>
          <w:spacing w:val="-4"/>
          <w:rtl/>
          <w:lang w:val="fr-CH"/>
        </w:rPr>
        <w:t xml:space="preserve"> </w:t>
      </w:r>
      <w:proofErr w:type="spellStart"/>
      <w:r w:rsidRPr="00681C36">
        <w:rPr>
          <w:spacing w:val="-4"/>
          <w:rtl/>
          <w:lang w:val="fr-CH"/>
        </w:rPr>
        <w:t>لاغياً</w:t>
      </w:r>
      <w:proofErr w:type="spellEnd"/>
      <w:r w:rsidRPr="00681C36">
        <w:rPr>
          <w:spacing w:val="-4"/>
          <w:rtl/>
          <w:lang w:val="fr-CH"/>
        </w:rPr>
        <w:t>، وذكرت أن لهم الحق في الحصول على مناصب موظفي المحاكم، وأمرت بأن تُعرض</w:t>
      </w:r>
      <w:r w:rsidRPr="00637FD6">
        <w:rPr>
          <w:rtl/>
          <w:lang w:val="fr-CH"/>
        </w:rPr>
        <w:t xml:space="preserve"> عليهم هذه الوظائف.</w:t>
      </w:r>
    </w:p>
    <w:p w14:paraId="400C1CC4" w14:textId="311E3739"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4</w:t>
      </w:r>
      <w:r w:rsidRPr="00637FD6">
        <w:rPr>
          <w:rtl/>
          <w:lang w:val="fr-CH"/>
        </w:rPr>
        <w:tab/>
        <w:t xml:space="preserve">ورداً على هذه الأحكام الأولية، أصدر أمين المظالم </w:t>
      </w:r>
      <w:proofErr w:type="gramStart"/>
      <w:r w:rsidRPr="00637FD6">
        <w:rPr>
          <w:rtl/>
          <w:lang w:val="fr-CH"/>
        </w:rPr>
        <w:t>توصية</w:t>
      </w:r>
      <w:r w:rsidRPr="00637FD6">
        <w:rPr>
          <w:vertAlign w:val="superscript"/>
          <w:rtl/>
          <w:lang w:val="fr-CH"/>
        </w:rPr>
        <w:t>(</w:t>
      </w:r>
      <w:proofErr w:type="gramEnd"/>
      <w:r w:rsidRPr="00E4586A">
        <w:rPr>
          <w:rStyle w:val="FootnoteReference"/>
          <w:szCs w:val="22"/>
          <w:lang w:val="en-US"/>
        </w:rPr>
        <w:footnoteReference w:id="5"/>
      </w:r>
      <w:r w:rsidRPr="00637FD6">
        <w:rPr>
          <w:vertAlign w:val="superscript"/>
          <w:rtl/>
          <w:lang w:val="fr-CH"/>
        </w:rPr>
        <w:t>)</w:t>
      </w:r>
      <w:r w:rsidRPr="00637FD6">
        <w:rPr>
          <w:rtl/>
          <w:lang w:val="fr-CH"/>
        </w:rPr>
        <w:t xml:space="preserve"> أكد فيها من جديد أن الصيغة المستخدمة لتنقيط الامتحان تعطي ميزة لبعض الأشخاص على حساب الآخرين، مما يشكل انتهاكاً للحق </w:t>
      </w:r>
      <w:r w:rsidRPr="00DD6A88">
        <w:rPr>
          <w:spacing w:val="-4"/>
          <w:rtl/>
          <w:lang w:val="fr-CH"/>
        </w:rPr>
        <w:t xml:space="preserve">في المساواة في تقلد الوظائف العامة. وعندما علمت صاحبات البلاغ بهذه التوصية، قدمن بين عامي </w:t>
      </w:r>
      <w:r w:rsidRPr="00E4586A">
        <w:rPr>
          <w:rtl/>
          <w:lang w:val="fr-CH"/>
        </w:rPr>
        <w:t>2007</w:t>
      </w:r>
      <w:r w:rsidRPr="00637FD6">
        <w:rPr>
          <w:rtl/>
          <w:lang w:val="fr-CH"/>
        </w:rPr>
        <w:t xml:space="preserve"> و</w:t>
      </w:r>
      <w:r w:rsidRPr="00E4586A">
        <w:rPr>
          <w:rtl/>
          <w:lang w:val="fr-CH"/>
        </w:rPr>
        <w:t>2009</w:t>
      </w:r>
      <w:r w:rsidRPr="00637FD6">
        <w:rPr>
          <w:rtl/>
          <w:lang w:val="fr-CH"/>
        </w:rPr>
        <w:t xml:space="preserve"> التماسات إلى وزارة العدل يطلبن فيها إلغاء القرار الذي يتضمن قائمة المترشحين.</w:t>
      </w:r>
    </w:p>
    <w:p w14:paraId="2BB870BC" w14:textId="30581B43"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5</w:t>
      </w:r>
      <w:r w:rsidRPr="00637FD6">
        <w:rPr>
          <w:rtl/>
          <w:lang w:val="fr-CH"/>
        </w:rPr>
        <w:tab/>
        <w:t xml:space="preserve">ونظراً لعدم استجابة السلطات، رفعت صاحبات البلاغ أيضاً دعوى أمام شعبة المنازعات الإدارية في المحكمة الوطنية العليا في الفترة بين عامي </w:t>
      </w:r>
      <w:r w:rsidRPr="00E4586A">
        <w:rPr>
          <w:rtl/>
          <w:lang w:val="fr-CH"/>
        </w:rPr>
        <w:t>2009</w:t>
      </w:r>
      <w:r w:rsidRPr="00637FD6">
        <w:rPr>
          <w:rtl/>
          <w:lang w:val="fr-CH"/>
        </w:rPr>
        <w:t xml:space="preserve"> و</w:t>
      </w:r>
      <w:r w:rsidRPr="00E4586A">
        <w:rPr>
          <w:rtl/>
          <w:lang w:val="fr-CH"/>
        </w:rPr>
        <w:t>2011</w:t>
      </w:r>
      <w:r w:rsidRPr="00637FD6">
        <w:rPr>
          <w:rtl/>
          <w:lang w:val="fr-CH"/>
        </w:rPr>
        <w:t xml:space="preserve">، يدعين فيها انتهاك حقهن في المساواة أمام القانون وحقهن في المساواة في تقلد الوظائف العامة. وطلبت صاحبات البلاغ اعتبارهن مترشحات ناجحات، ومراعاة الآثار الاقتصادية والإدارية من التاريخ الذي كان ينبغي تعيينهن فيه، بالنظر </w:t>
      </w:r>
      <w:r w:rsidRPr="00DD6A88">
        <w:rPr>
          <w:spacing w:val="-2"/>
          <w:rtl/>
          <w:lang w:val="fr-CH"/>
        </w:rPr>
        <w:t xml:space="preserve">إلى درجات الامتحان التي كن سيحصلن عليها لو لم تُتبع طريقة التنقيط المطعون فيها (في ذلك السيناريو، </w:t>
      </w:r>
      <w:r w:rsidRPr="00681C36">
        <w:rPr>
          <w:spacing w:val="-4"/>
          <w:rtl/>
          <w:lang w:val="fr-CH"/>
        </w:rPr>
        <w:t>حصلت كل واحدة من صاحبات البلاغ على درجة نهائية أعلى من درجات العديد من الأشخاص الذين عُرضت</w:t>
      </w:r>
      <w:r w:rsidRPr="00DD6A88">
        <w:rPr>
          <w:spacing w:val="-2"/>
          <w:rtl/>
          <w:lang w:val="fr-CH"/>
        </w:rPr>
        <w:t xml:space="preserve"> عليهم وظائف استناداً إلى حسن أدائهم في الامتحان الذي قُيم بالصيغة الرياضية</w:t>
      </w:r>
      <w:r w:rsidRPr="00637FD6">
        <w:rPr>
          <w:rtl/>
          <w:lang w:val="fr-CH"/>
        </w:rPr>
        <w:t xml:space="preserve"> المطعون فيها). وفي الفترة بين حزيران/يونيه </w:t>
      </w:r>
      <w:r w:rsidRPr="00E4586A">
        <w:rPr>
          <w:rtl/>
          <w:lang w:val="fr-CH"/>
        </w:rPr>
        <w:t>2009</w:t>
      </w:r>
      <w:r w:rsidRPr="00637FD6">
        <w:rPr>
          <w:rtl/>
          <w:lang w:val="fr-CH"/>
        </w:rPr>
        <w:t xml:space="preserve"> وكانون الثاني/يناير </w:t>
      </w:r>
      <w:r w:rsidRPr="00E4586A">
        <w:rPr>
          <w:rtl/>
          <w:lang w:val="fr-CH"/>
        </w:rPr>
        <w:t>2011</w:t>
      </w:r>
      <w:r w:rsidRPr="00637FD6">
        <w:rPr>
          <w:rtl/>
          <w:lang w:val="fr-CH"/>
        </w:rPr>
        <w:t xml:space="preserve">، رفضت الشعبة، بالطريقة نفسها، الدعاوى القضائية </w:t>
      </w:r>
      <w:r w:rsidRPr="00681C36">
        <w:rPr>
          <w:spacing w:val="-2"/>
          <w:rtl/>
          <w:lang w:val="fr-CH"/>
        </w:rPr>
        <w:t xml:space="preserve">التي رفعتها كل واحدة من صاحبات البلاغ، مؤكدة أن القرار لا يمكن أن يعتبر </w:t>
      </w:r>
      <w:proofErr w:type="spellStart"/>
      <w:r w:rsidRPr="00681C36">
        <w:rPr>
          <w:spacing w:val="-2"/>
          <w:rtl/>
          <w:lang w:val="fr-CH"/>
        </w:rPr>
        <w:t>لاغياً</w:t>
      </w:r>
      <w:proofErr w:type="spellEnd"/>
      <w:r w:rsidRPr="00681C36">
        <w:rPr>
          <w:spacing w:val="-2"/>
          <w:rtl/>
          <w:lang w:val="fr-CH"/>
        </w:rPr>
        <w:t xml:space="preserve"> لأنه ظل سارياً لأكثر من</w:t>
      </w:r>
      <w:r w:rsidRPr="00637FD6">
        <w:rPr>
          <w:rtl/>
          <w:lang w:val="fr-CH"/>
        </w:rPr>
        <w:t xml:space="preserve"> عشر سنوات، ولأن اليقين القانوني مسألة لا بد </w:t>
      </w:r>
      <w:proofErr w:type="gramStart"/>
      <w:r w:rsidRPr="00637FD6">
        <w:rPr>
          <w:rtl/>
          <w:lang w:val="fr-CH"/>
        </w:rPr>
        <w:t>منها</w:t>
      </w:r>
      <w:r w:rsidRPr="00637FD6">
        <w:rPr>
          <w:vertAlign w:val="superscript"/>
          <w:rtl/>
          <w:lang w:val="fr-CH"/>
        </w:rPr>
        <w:t>(</w:t>
      </w:r>
      <w:proofErr w:type="gramEnd"/>
      <w:r w:rsidRPr="00E4586A">
        <w:rPr>
          <w:rStyle w:val="FootnoteReference"/>
          <w:szCs w:val="22"/>
          <w:lang w:val="en-US"/>
        </w:rPr>
        <w:footnoteReference w:id="6"/>
      </w:r>
      <w:r w:rsidRPr="00637FD6">
        <w:rPr>
          <w:vertAlign w:val="superscript"/>
          <w:rtl/>
          <w:lang w:val="fr-CH"/>
        </w:rPr>
        <w:t>)</w:t>
      </w:r>
      <w:r w:rsidRPr="00637FD6">
        <w:rPr>
          <w:rtl/>
          <w:lang w:val="fr-CH"/>
        </w:rPr>
        <w:t>.</w:t>
      </w:r>
    </w:p>
    <w:p w14:paraId="5DC9947E" w14:textId="5FF8FEEC"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6</w:t>
      </w:r>
      <w:r w:rsidRPr="00637FD6">
        <w:rPr>
          <w:rtl/>
          <w:lang w:val="fr-CH"/>
        </w:rPr>
        <w:tab/>
        <w:t xml:space="preserve">وقدمت صاحبات البلاغ طعوناً بالنقض أمام المحكمة العليا، تلتمسن فيها مرة أخرى اعتبار قرار السلطات </w:t>
      </w:r>
      <w:proofErr w:type="spellStart"/>
      <w:r w:rsidRPr="00637FD6">
        <w:rPr>
          <w:rtl/>
          <w:lang w:val="fr-CH"/>
        </w:rPr>
        <w:t>لاغياً</w:t>
      </w:r>
      <w:proofErr w:type="spellEnd"/>
      <w:r w:rsidRPr="00637FD6">
        <w:rPr>
          <w:rtl/>
          <w:lang w:val="fr-CH"/>
        </w:rPr>
        <w:t xml:space="preserve">. وفي الفترة بين شباط/فبراير وأيلول/سبتمبر </w:t>
      </w:r>
      <w:r w:rsidRPr="00E4586A">
        <w:rPr>
          <w:rtl/>
          <w:lang w:val="fr-CH"/>
        </w:rPr>
        <w:t>2012</w:t>
      </w:r>
      <w:r w:rsidRPr="00637FD6">
        <w:rPr>
          <w:rtl/>
          <w:lang w:val="fr-CH"/>
        </w:rPr>
        <w:t>، نقضت شعبة المنازعات الإدارية في</w:t>
      </w:r>
      <w:r w:rsidR="00DD6A88">
        <w:rPr>
          <w:rFonts w:hint="cs"/>
          <w:rtl/>
          <w:lang w:val="fr-CH"/>
        </w:rPr>
        <w:t> </w:t>
      </w:r>
      <w:r w:rsidRPr="00637FD6">
        <w:rPr>
          <w:rtl/>
          <w:lang w:val="fr-CH"/>
        </w:rPr>
        <w:t xml:space="preserve">المحكمة العليا جميع أحكام المحاكم الأدنى درجة، حيث اعتبرت الطعون مقبولة، بغض النظر عن </w:t>
      </w:r>
      <w:r w:rsidRPr="00DD6A88">
        <w:rPr>
          <w:spacing w:val="-4"/>
          <w:rtl/>
          <w:lang w:val="fr-CH"/>
        </w:rPr>
        <w:t xml:space="preserve">الوقت الذي مرّ على صدور </w:t>
      </w:r>
      <w:proofErr w:type="gramStart"/>
      <w:r w:rsidRPr="00DD6A88">
        <w:rPr>
          <w:spacing w:val="-4"/>
          <w:rtl/>
          <w:lang w:val="fr-CH"/>
        </w:rPr>
        <w:t>القرار</w:t>
      </w:r>
      <w:r w:rsidRPr="00DD6A88">
        <w:rPr>
          <w:spacing w:val="-4"/>
          <w:vertAlign w:val="superscript"/>
          <w:rtl/>
          <w:lang w:val="fr-CH"/>
        </w:rPr>
        <w:t>(</w:t>
      </w:r>
      <w:proofErr w:type="gramEnd"/>
      <w:r w:rsidRPr="00E4586A">
        <w:rPr>
          <w:rStyle w:val="FootnoteReference"/>
          <w:spacing w:val="-4"/>
          <w:szCs w:val="22"/>
          <w:lang w:val="en-US"/>
        </w:rPr>
        <w:footnoteReference w:id="7"/>
      </w:r>
      <w:r w:rsidRPr="00DD6A88">
        <w:rPr>
          <w:spacing w:val="-4"/>
          <w:vertAlign w:val="superscript"/>
          <w:rtl/>
          <w:lang w:val="fr-CH"/>
        </w:rPr>
        <w:t>)</w:t>
      </w:r>
      <w:r w:rsidRPr="00DD6A88">
        <w:rPr>
          <w:spacing w:val="-4"/>
          <w:rtl/>
          <w:lang w:val="fr-CH"/>
        </w:rPr>
        <w:t>. غير أن الشعبة رفضت جميع الطعون من حيث الأسس الموضوعية،</w:t>
      </w:r>
      <w:r w:rsidRPr="00637FD6">
        <w:rPr>
          <w:rtl/>
          <w:lang w:val="fr-CH"/>
        </w:rPr>
        <w:t xml:space="preserve"> لأن السلطات كانت آنذاك قد راجعت قوائم المترشحين باستخدام الدرجات التي كانوا سيحصلون عليها لو</w:t>
      </w:r>
      <w:r w:rsidR="00DD6A88">
        <w:rPr>
          <w:rFonts w:hint="cs"/>
          <w:rtl/>
          <w:lang w:val="fr-CH"/>
        </w:rPr>
        <w:t> </w:t>
      </w:r>
      <w:r w:rsidRPr="00637FD6">
        <w:rPr>
          <w:rtl/>
          <w:lang w:val="fr-CH"/>
        </w:rPr>
        <w:t xml:space="preserve">لم تُستخدم الصيغة المطعون فيها. وفي إطار هذه المراجعة، وضعت السلطات المترشحين المستبعدين </w:t>
      </w:r>
      <w:r w:rsidRPr="00DD6A88">
        <w:rPr>
          <w:spacing w:val="-2"/>
          <w:rtl/>
          <w:lang w:val="fr-CH"/>
        </w:rPr>
        <w:t>في القوائم بحسب ترتيب درجاتهم في الامتحان، من الأعلى إلى الأدنى، وعرضت عليهم وظائف (كان عدد</w:t>
      </w:r>
      <w:r w:rsidRPr="00637FD6">
        <w:rPr>
          <w:rtl/>
          <w:lang w:val="fr-CH"/>
        </w:rPr>
        <w:t xml:space="preserve"> الوظائف المعروضة مساوياً لعدد الوظائف الشاغرة المذكورة في الدعوة الأصلية إلى الترشح).</w:t>
      </w:r>
    </w:p>
    <w:p w14:paraId="19528875" w14:textId="77777777"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7</w:t>
      </w:r>
      <w:r w:rsidRPr="00637FD6">
        <w:rPr>
          <w:rtl/>
          <w:lang w:val="fr-CH"/>
        </w:rPr>
        <w:tab/>
        <w:t xml:space="preserve">وقدت صاحبات البلاغ التماسات بشأن بطلان الإجراءات فيما يتعلق بأحكام المحكمة العليا، </w:t>
      </w:r>
      <w:r w:rsidRPr="00DD6A88">
        <w:rPr>
          <w:spacing w:val="-2"/>
          <w:rtl/>
          <w:lang w:val="fr-CH"/>
        </w:rPr>
        <w:t>يدفعن فيها بأن جميع المترشحين الذين اجتازوا الامتحان كان ينبغي أن يحصلوا على وظائف عندما أُلغيت</w:t>
      </w:r>
      <w:r w:rsidRPr="00637FD6">
        <w:rPr>
          <w:rtl/>
          <w:lang w:val="fr-CH"/>
        </w:rPr>
        <w:t xml:space="preserve"> </w:t>
      </w:r>
      <w:r w:rsidRPr="00DD6A88">
        <w:rPr>
          <w:spacing w:val="-4"/>
          <w:rtl/>
          <w:lang w:val="fr-CH"/>
        </w:rPr>
        <w:t>الصيغة الرياضية التمييزية. وترى صاحبات البلاغ أن قصر عدد الموظفين المعيّنين على عدد الشواغر المتاحة</w:t>
      </w:r>
      <w:r w:rsidRPr="00DD6A88">
        <w:rPr>
          <w:spacing w:val="-2"/>
          <w:rtl/>
          <w:lang w:val="fr-CH"/>
        </w:rPr>
        <w:t xml:space="preserve"> يعني أن العديد من المترشحين الذين حصلوا على درجات أدنى من درجات صاحبات البلاغ قد أصبحوا</w:t>
      </w:r>
      <w:r w:rsidRPr="00637FD6">
        <w:rPr>
          <w:rtl/>
          <w:lang w:val="fr-CH"/>
        </w:rPr>
        <w:t xml:space="preserve"> موظفين في المحكمة إما لأن الوظيفة عُرضت عليهم لدى نشر القائمة الأولى في عام </w:t>
      </w:r>
      <w:r w:rsidRPr="00E4586A">
        <w:rPr>
          <w:rtl/>
          <w:lang w:val="fr-CH"/>
        </w:rPr>
        <w:t>1998</w:t>
      </w:r>
      <w:r w:rsidRPr="00637FD6">
        <w:rPr>
          <w:rtl/>
          <w:lang w:val="fr-CH"/>
        </w:rPr>
        <w:t>، وهي قائمة وُضعت استناداً إلى الصيغة الملغاة، أو لأنهم عُيِّنوا في أعقاب حكم صدر لاحقاً عن المحكمة. وقضت المحكمة العليا بعدم مقبولية الالتماسات المتعلقة ببطلان الإجراءات، في الفترة بين حزيران/</w:t>
      </w:r>
      <w:proofErr w:type="gramStart"/>
      <w:r w:rsidRPr="00637FD6">
        <w:rPr>
          <w:rtl/>
          <w:lang w:val="fr-CH"/>
        </w:rPr>
        <w:t>يونيه</w:t>
      </w:r>
      <w:proofErr w:type="gramEnd"/>
      <w:r w:rsidRPr="00637FD6">
        <w:rPr>
          <w:rtl/>
          <w:lang w:val="fr-CH"/>
        </w:rPr>
        <w:t xml:space="preserve"> </w:t>
      </w:r>
      <w:r w:rsidRPr="00E4586A">
        <w:rPr>
          <w:rtl/>
          <w:lang w:val="fr-CH"/>
        </w:rPr>
        <w:t>2012</w:t>
      </w:r>
      <w:r w:rsidRPr="00637FD6">
        <w:rPr>
          <w:rtl/>
          <w:lang w:val="fr-CH"/>
        </w:rPr>
        <w:t xml:space="preserve"> وحزيران/يونيه </w:t>
      </w:r>
      <w:r w:rsidRPr="00E4586A">
        <w:rPr>
          <w:rtl/>
          <w:lang w:val="fr-CH"/>
        </w:rPr>
        <w:t>2013</w:t>
      </w:r>
      <w:r w:rsidRPr="00637FD6">
        <w:rPr>
          <w:rtl/>
          <w:lang w:val="fr-CH"/>
        </w:rPr>
        <w:t>.</w:t>
      </w:r>
    </w:p>
    <w:p w14:paraId="0E49AC73" w14:textId="7D3EE80A" w:rsidR="00637FD6" w:rsidRPr="00637FD6" w:rsidRDefault="00637FD6" w:rsidP="00637FD6">
      <w:pPr>
        <w:pStyle w:val="SingleTxtGA"/>
        <w:rPr>
          <w:lang w:val="fr-CH"/>
        </w:rPr>
      </w:pPr>
      <w:r w:rsidRPr="00E4586A">
        <w:rPr>
          <w:rtl/>
          <w:lang w:val="fr-CH"/>
        </w:rPr>
        <w:t>2</w:t>
      </w:r>
      <w:r w:rsidRPr="00637FD6">
        <w:rPr>
          <w:rtl/>
          <w:lang w:val="fr-CH"/>
        </w:rPr>
        <w:t>-</w:t>
      </w:r>
      <w:r w:rsidRPr="00E4586A">
        <w:rPr>
          <w:rtl/>
          <w:lang w:val="fr-CH"/>
        </w:rPr>
        <w:t>8</w:t>
      </w:r>
      <w:r w:rsidRPr="00637FD6">
        <w:rPr>
          <w:rtl/>
          <w:lang w:val="fr-CH"/>
        </w:rPr>
        <w:tab/>
        <w:t xml:space="preserve">وفي الفترة بين تموز/يوليه وأيلول/سبتمبر </w:t>
      </w:r>
      <w:r w:rsidRPr="00E4586A">
        <w:rPr>
          <w:rtl/>
          <w:lang w:val="fr-CH"/>
        </w:rPr>
        <w:t>2012</w:t>
      </w:r>
      <w:r w:rsidRPr="00637FD6">
        <w:rPr>
          <w:rtl/>
          <w:lang w:val="fr-CH"/>
        </w:rPr>
        <w:t xml:space="preserve">، رفعت صاحبات البلاغ دعاوى لحماية الحقوق </w:t>
      </w:r>
      <w:r w:rsidRPr="00DD6A88">
        <w:rPr>
          <w:spacing w:val="-2"/>
          <w:rtl/>
          <w:lang w:val="fr-CH"/>
        </w:rPr>
        <w:t>الدستورية لدى المحكمة الدستورية. ورأت المحكمة الدستورية أن الطعون غير مقبولة منذ البداية بين تشرين</w:t>
      </w:r>
      <w:r w:rsidRPr="00637FD6">
        <w:rPr>
          <w:rtl/>
          <w:lang w:val="fr-CH"/>
        </w:rPr>
        <w:t xml:space="preserve"> الأول/أكتوبر </w:t>
      </w:r>
      <w:r w:rsidRPr="00E4586A">
        <w:rPr>
          <w:rtl/>
          <w:lang w:val="fr-CH"/>
        </w:rPr>
        <w:t>2012</w:t>
      </w:r>
      <w:r w:rsidRPr="00637FD6">
        <w:rPr>
          <w:rtl/>
          <w:lang w:val="fr-CH"/>
        </w:rPr>
        <w:t xml:space="preserve"> وتموز/يوليه </w:t>
      </w:r>
      <w:r w:rsidRPr="00E4586A">
        <w:rPr>
          <w:rtl/>
          <w:lang w:val="fr-CH"/>
        </w:rPr>
        <w:t>2014</w:t>
      </w:r>
      <w:r w:rsidRPr="00637FD6">
        <w:rPr>
          <w:vertAlign w:val="superscript"/>
          <w:rtl/>
          <w:lang w:val="fr-CH"/>
        </w:rPr>
        <w:t>(</w:t>
      </w:r>
      <w:r w:rsidRPr="00E4586A">
        <w:rPr>
          <w:rStyle w:val="FootnoteReference"/>
          <w:szCs w:val="22"/>
          <w:lang w:val="en-US"/>
        </w:rPr>
        <w:footnoteReference w:id="8"/>
      </w:r>
      <w:r w:rsidRPr="00637FD6">
        <w:rPr>
          <w:vertAlign w:val="superscript"/>
          <w:rtl/>
          <w:lang w:val="fr-CH"/>
        </w:rPr>
        <w:t>)</w:t>
      </w:r>
      <w:r w:rsidRPr="00637FD6">
        <w:rPr>
          <w:rtl/>
          <w:lang w:val="fr-CH"/>
        </w:rPr>
        <w:t>.</w:t>
      </w:r>
    </w:p>
    <w:p w14:paraId="3B69773E" w14:textId="3F383734" w:rsidR="00637FD6" w:rsidRPr="00637FD6" w:rsidRDefault="00637FD6" w:rsidP="00637FD6">
      <w:pPr>
        <w:pStyle w:val="SingleTxtGA"/>
        <w:rPr>
          <w:lang w:val="fr-CH"/>
        </w:rPr>
      </w:pPr>
      <w:r w:rsidRPr="00E4586A">
        <w:rPr>
          <w:spacing w:val="-2"/>
          <w:rtl/>
          <w:lang w:val="fr-CH"/>
        </w:rPr>
        <w:t>2</w:t>
      </w:r>
      <w:r w:rsidRPr="00DD6A88">
        <w:rPr>
          <w:spacing w:val="-2"/>
          <w:rtl/>
          <w:lang w:val="fr-CH"/>
        </w:rPr>
        <w:t>-</w:t>
      </w:r>
      <w:r w:rsidRPr="00E4586A">
        <w:rPr>
          <w:spacing w:val="-2"/>
          <w:rtl/>
          <w:lang w:val="fr-CH"/>
        </w:rPr>
        <w:t>9</w:t>
      </w:r>
      <w:r w:rsidRPr="00DD6A88">
        <w:rPr>
          <w:spacing w:val="-2"/>
          <w:rtl/>
          <w:lang w:val="fr-CH"/>
        </w:rPr>
        <w:tab/>
        <w:t xml:space="preserve">وفي </w:t>
      </w:r>
      <w:r w:rsidRPr="00E4586A">
        <w:rPr>
          <w:spacing w:val="-2"/>
          <w:rtl/>
          <w:lang w:val="fr-CH"/>
        </w:rPr>
        <w:t>8</w:t>
      </w:r>
      <w:r w:rsidRPr="00DD6A88">
        <w:rPr>
          <w:spacing w:val="-2"/>
          <w:rtl/>
          <w:lang w:val="fr-CH"/>
        </w:rPr>
        <w:t xml:space="preserve"> نيسان/أبريل </w:t>
      </w:r>
      <w:r w:rsidRPr="00E4586A">
        <w:rPr>
          <w:spacing w:val="-2"/>
          <w:rtl/>
          <w:lang w:val="fr-CH"/>
        </w:rPr>
        <w:t>2013</w:t>
      </w:r>
      <w:r w:rsidRPr="00DD6A88">
        <w:rPr>
          <w:spacing w:val="-2"/>
          <w:rtl/>
          <w:lang w:val="fr-CH"/>
        </w:rPr>
        <w:t>، رفعت صاحبات البلاغ ب.</w:t>
      </w:r>
      <w:r w:rsidR="00DD6A88" w:rsidRPr="00DD6A88">
        <w:rPr>
          <w:rFonts w:hint="cs"/>
          <w:spacing w:val="-2"/>
          <w:rtl/>
          <w:lang w:val="fr-CH"/>
        </w:rPr>
        <w:t xml:space="preserve"> </w:t>
      </w:r>
      <w:r w:rsidRPr="00DD6A88">
        <w:rPr>
          <w:spacing w:val="-2"/>
          <w:rtl/>
          <w:lang w:val="fr-CH"/>
        </w:rPr>
        <w:t>ب.، وز.</w:t>
      </w:r>
      <w:r w:rsidR="00DD6A88" w:rsidRPr="00DD6A88">
        <w:rPr>
          <w:rFonts w:hint="cs"/>
          <w:spacing w:val="-2"/>
          <w:rtl/>
          <w:lang w:val="fr-CH"/>
        </w:rPr>
        <w:t xml:space="preserve"> </w:t>
      </w:r>
      <w:r w:rsidRPr="00DD6A88">
        <w:rPr>
          <w:spacing w:val="-2"/>
          <w:rtl/>
          <w:lang w:val="fr-CH"/>
        </w:rPr>
        <w:t>س.، وف.</w:t>
      </w:r>
      <w:r w:rsidR="00DD6A88" w:rsidRPr="00DD6A88">
        <w:rPr>
          <w:rFonts w:hint="cs"/>
          <w:spacing w:val="-2"/>
          <w:rtl/>
          <w:lang w:val="fr-CH"/>
        </w:rPr>
        <w:t xml:space="preserve"> </w:t>
      </w:r>
      <w:r w:rsidRPr="00DD6A88">
        <w:rPr>
          <w:spacing w:val="-2"/>
          <w:rtl/>
          <w:lang w:val="fr-CH"/>
        </w:rPr>
        <w:t>ز.، وديل ر.</w:t>
      </w:r>
      <w:r w:rsidR="00DD6A88" w:rsidRPr="00DD6A88">
        <w:rPr>
          <w:rFonts w:hint="cs"/>
          <w:spacing w:val="-2"/>
          <w:rtl/>
          <w:lang w:val="fr-CH"/>
        </w:rPr>
        <w:t xml:space="preserve"> </w:t>
      </w:r>
      <w:r w:rsidRPr="00DD6A88">
        <w:rPr>
          <w:spacing w:val="-2"/>
          <w:rtl/>
          <w:lang w:val="fr-CH"/>
        </w:rPr>
        <w:t xml:space="preserve">م.، </w:t>
      </w:r>
      <w:r w:rsidRPr="00637FD6">
        <w:rPr>
          <w:rtl/>
          <w:lang w:val="fr-CH"/>
        </w:rPr>
        <w:t xml:space="preserve">دعوى إلى المحكمة الأوروبية لحقوق الإنسان ضد الدولة الطرف. ورأت المحكمة، في قرارها المؤرخ </w:t>
      </w:r>
      <w:r w:rsidRPr="00E4586A">
        <w:rPr>
          <w:rtl/>
          <w:lang w:val="fr-CH"/>
        </w:rPr>
        <w:t>13</w:t>
      </w:r>
      <w:r w:rsidRPr="00637FD6">
        <w:rPr>
          <w:rtl/>
          <w:lang w:val="fr-CH"/>
        </w:rPr>
        <w:t xml:space="preserve"> تشرين الثاني/نوفمبر </w:t>
      </w:r>
      <w:r w:rsidRPr="00E4586A">
        <w:rPr>
          <w:rtl/>
          <w:lang w:val="fr-CH"/>
        </w:rPr>
        <w:t>2015</w:t>
      </w:r>
      <w:r w:rsidRPr="00637FD6">
        <w:rPr>
          <w:rtl/>
          <w:lang w:val="fr-CH"/>
        </w:rPr>
        <w:t xml:space="preserve">، أن الدعوى لا تستوفي معايير المقبولية المنصوص عليها في المادتين </w:t>
      </w:r>
      <w:r w:rsidRPr="00E4586A">
        <w:rPr>
          <w:rtl/>
          <w:lang w:val="fr-CH"/>
        </w:rPr>
        <w:t>34</w:t>
      </w:r>
      <w:r w:rsidRPr="00637FD6">
        <w:rPr>
          <w:rtl/>
          <w:lang w:val="fr-CH"/>
        </w:rPr>
        <w:t xml:space="preserve"> و</w:t>
      </w:r>
      <w:r w:rsidRPr="00E4586A">
        <w:rPr>
          <w:rtl/>
          <w:lang w:val="fr-CH"/>
        </w:rPr>
        <w:t>35</w:t>
      </w:r>
      <w:r w:rsidRPr="00637FD6">
        <w:rPr>
          <w:rtl/>
          <w:lang w:val="fr-CH"/>
        </w:rPr>
        <w:t xml:space="preserve"> من الاتفاقية الأوروبية لحقوق الإنسان. وفي </w:t>
      </w:r>
      <w:r w:rsidRPr="00E4586A">
        <w:rPr>
          <w:rtl/>
          <w:lang w:val="fr-CH"/>
        </w:rPr>
        <w:t>6</w:t>
      </w:r>
      <w:r w:rsidRPr="00637FD6">
        <w:rPr>
          <w:rtl/>
          <w:lang w:val="fr-CH"/>
        </w:rPr>
        <w:t xml:space="preserve"> أيار/مايو </w:t>
      </w:r>
      <w:r w:rsidRPr="00E4586A">
        <w:rPr>
          <w:rtl/>
          <w:lang w:val="fr-CH"/>
        </w:rPr>
        <w:t>2014</w:t>
      </w:r>
      <w:r w:rsidRPr="00637FD6">
        <w:rPr>
          <w:rtl/>
          <w:lang w:val="fr-CH"/>
        </w:rPr>
        <w:t xml:space="preserve">، رفعت صاحبة البلاغ م. هـ. أيضاً شكوى ضد الدولة الطرف إلى المحكمة الأوروبية. ورُئي أنها غير مقبولة، في </w:t>
      </w:r>
      <w:r w:rsidRPr="00E4586A">
        <w:rPr>
          <w:rtl/>
          <w:lang w:val="fr-CH"/>
        </w:rPr>
        <w:t>19</w:t>
      </w:r>
      <w:r w:rsidRPr="00637FD6">
        <w:rPr>
          <w:rtl/>
          <w:lang w:val="fr-CH"/>
        </w:rPr>
        <w:t xml:space="preserve"> حزيران/</w:t>
      </w:r>
      <w:proofErr w:type="gramStart"/>
      <w:r w:rsidRPr="00637FD6">
        <w:rPr>
          <w:rtl/>
          <w:lang w:val="fr-CH"/>
        </w:rPr>
        <w:t>يونيه</w:t>
      </w:r>
      <w:proofErr w:type="gramEnd"/>
      <w:r w:rsidRPr="00637FD6">
        <w:rPr>
          <w:rtl/>
          <w:lang w:val="fr-CH"/>
        </w:rPr>
        <w:t xml:space="preserve"> </w:t>
      </w:r>
      <w:r w:rsidRPr="00E4586A">
        <w:rPr>
          <w:rtl/>
          <w:lang w:val="fr-CH"/>
        </w:rPr>
        <w:t>2014</w:t>
      </w:r>
      <w:r w:rsidRPr="00637FD6">
        <w:rPr>
          <w:rtl/>
          <w:lang w:val="fr-CH"/>
        </w:rPr>
        <w:t>، لنفس السبب الذي برر عدم قبول شكوى صاحبات البلاغ الأخريات.</w:t>
      </w:r>
    </w:p>
    <w:p w14:paraId="58105998" w14:textId="77777777" w:rsidR="00637FD6" w:rsidRPr="00E4586A" w:rsidRDefault="00637FD6" w:rsidP="00637FD6">
      <w:pPr>
        <w:pStyle w:val="H23GA"/>
      </w:pPr>
      <w:r w:rsidRPr="00E4586A">
        <w:rPr>
          <w:rtl/>
        </w:rPr>
        <w:tab/>
      </w:r>
      <w:r w:rsidRPr="00E4586A">
        <w:rPr>
          <w:rtl/>
        </w:rPr>
        <w:tab/>
        <w:t>الشكوى</w:t>
      </w:r>
    </w:p>
    <w:p w14:paraId="0649EE6B" w14:textId="77777777" w:rsidR="00637FD6" w:rsidRPr="00637FD6" w:rsidRDefault="00637FD6" w:rsidP="00637FD6">
      <w:pPr>
        <w:pStyle w:val="SingleTxtGA"/>
        <w:rPr>
          <w:lang w:val="fr-CH"/>
        </w:rPr>
      </w:pPr>
      <w:r w:rsidRPr="00E4586A">
        <w:rPr>
          <w:rtl/>
          <w:lang w:val="fr-CH"/>
        </w:rPr>
        <w:t>3</w:t>
      </w:r>
      <w:r w:rsidRPr="00637FD6">
        <w:rPr>
          <w:rtl/>
          <w:lang w:val="fr-CH"/>
        </w:rPr>
        <w:t>-</w:t>
      </w:r>
      <w:r w:rsidRPr="00E4586A">
        <w:rPr>
          <w:rtl/>
          <w:lang w:val="fr-CH"/>
        </w:rPr>
        <w:t>1</w:t>
      </w:r>
      <w:r w:rsidRPr="00637FD6">
        <w:rPr>
          <w:rtl/>
          <w:lang w:val="fr-CH"/>
        </w:rPr>
        <w:tab/>
        <w:t xml:space="preserve">ترى صاحبات البلاغ أن الأحكام التي أصدرتها المحكمة العليا، ويزيد عددها على </w:t>
      </w:r>
      <w:r w:rsidRPr="00E4586A">
        <w:rPr>
          <w:rtl/>
          <w:lang w:val="fr-CH"/>
        </w:rPr>
        <w:t>30</w:t>
      </w:r>
      <w:r w:rsidRPr="00637FD6">
        <w:rPr>
          <w:rtl/>
          <w:lang w:val="fr-CH"/>
        </w:rPr>
        <w:t xml:space="preserve"> حكماً، </w:t>
      </w:r>
      <w:r w:rsidRPr="00DD6A88">
        <w:rPr>
          <w:spacing w:val="-4"/>
          <w:rtl/>
          <w:lang w:val="fr-CH"/>
        </w:rPr>
        <w:t xml:space="preserve">قد أدت إلى انتهاك حقوقهن بموجب المادتين </w:t>
      </w:r>
      <w:r w:rsidRPr="00E4586A">
        <w:rPr>
          <w:spacing w:val="-4"/>
          <w:rtl/>
          <w:lang w:val="fr-CH"/>
        </w:rPr>
        <w:t>14</w:t>
      </w:r>
      <w:r w:rsidRPr="00DD6A88">
        <w:rPr>
          <w:spacing w:val="-4"/>
          <w:rtl/>
          <w:lang w:val="fr-CH"/>
        </w:rPr>
        <w:t>(</w:t>
      </w:r>
      <w:r w:rsidRPr="00E4586A">
        <w:rPr>
          <w:spacing w:val="-4"/>
          <w:rtl/>
          <w:lang w:val="fr-CH"/>
        </w:rPr>
        <w:t>1</w:t>
      </w:r>
      <w:r w:rsidRPr="00DD6A88">
        <w:rPr>
          <w:spacing w:val="-4"/>
          <w:rtl/>
          <w:lang w:val="fr-CH"/>
        </w:rPr>
        <w:t xml:space="preserve">) (المساواة أمام المحاكم والهيئات القضائية) والمادة </w:t>
      </w:r>
      <w:r w:rsidRPr="00E4586A">
        <w:rPr>
          <w:spacing w:val="-4"/>
          <w:rtl/>
          <w:lang w:val="fr-CH"/>
        </w:rPr>
        <w:t>26</w:t>
      </w:r>
      <w:r w:rsidRPr="00DD6A88">
        <w:rPr>
          <w:spacing w:val="-4"/>
          <w:rtl/>
          <w:lang w:val="fr-CH"/>
        </w:rPr>
        <w:t xml:space="preserve"> (المساواة أمام القانون وعدم التمييز) من العهد، وكذلك حقهما في المساواة في تقلد الوظائف العامة، المنصوص</w:t>
      </w:r>
      <w:r w:rsidRPr="00637FD6">
        <w:rPr>
          <w:rtl/>
          <w:lang w:val="fr-CH"/>
        </w:rPr>
        <w:t xml:space="preserve"> عليه في المادة </w:t>
      </w:r>
      <w:r w:rsidRPr="00E4586A">
        <w:rPr>
          <w:rtl/>
          <w:lang w:val="fr-CH"/>
        </w:rPr>
        <w:t>25</w:t>
      </w:r>
      <w:r w:rsidRPr="00637FD6">
        <w:rPr>
          <w:rtl/>
          <w:lang w:val="fr-CH"/>
        </w:rPr>
        <w:t>.</w:t>
      </w:r>
    </w:p>
    <w:p w14:paraId="5D4C3C50" w14:textId="18946649" w:rsidR="00637FD6" w:rsidRPr="00637FD6" w:rsidRDefault="00637FD6" w:rsidP="00637FD6">
      <w:pPr>
        <w:pStyle w:val="SingleTxtGA"/>
        <w:rPr>
          <w:rFonts w:hint="cs"/>
          <w:lang w:val="fr-CH"/>
        </w:rPr>
      </w:pPr>
      <w:r w:rsidRPr="00E4586A">
        <w:rPr>
          <w:rtl/>
          <w:lang w:val="fr-CH"/>
        </w:rPr>
        <w:t>3</w:t>
      </w:r>
      <w:r w:rsidRPr="00637FD6">
        <w:rPr>
          <w:rtl/>
          <w:lang w:val="fr-CH"/>
        </w:rPr>
        <w:t>-</w:t>
      </w:r>
      <w:r w:rsidRPr="00E4586A">
        <w:rPr>
          <w:rtl/>
          <w:lang w:val="fr-CH"/>
        </w:rPr>
        <w:t>2</w:t>
      </w:r>
      <w:r w:rsidRPr="00637FD6">
        <w:rPr>
          <w:rtl/>
          <w:lang w:val="fr-CH"/>
        </w:rPr>
        <w:tab/>
        <w:t xml:space="preserve">وتدفع صاحبات البلاغ بأن شعبة المنازعات الإدارية في المحكمة العليا نفسها خلصت إلى أن الصيغة الرياضية التي استخدمت كانت تمييزية، مما يشكل انتهاكاً للمادتين </w:t>
      </w:r>
      <w:r w:rsidRPr="00E4586A">
        <w:rPr>
          <w:rtl/>
          <w:lang w:val="fr-CH"/>
        </w:rPr>
        <w:t>14</w:t>
      </w:r>
      <w:r w:rsidRPr="00637FD6">
        <w:rPr>
          <w:rtl/>
          <w:lang w:val="fr-CH"/>
        </w:rPr>
        <w:t xml:space="preserve"> و</w:t>
      </w:r>
      <w:r w:rsidRPr="00E4586A">
        <w:rPr>
          <w:rtl/>
          <w:lang w:val="fr-CH"/>
        </w:rPr>
        <w:t>23</w:t>
      </w:r>
      <w:r w:rsidRPr="00637FD6">
        <w:rPr>
          <w:rtl/>
          <w:lang w:val="fr-CH"/>
        </w:rPr>
        <w:t xml:space="preserve"> من الدستور. وكان</w:t>
      </w:r>
      <w:r w:rsidR="00D84044">
        <w:rPr>
          <w:rFonts w:hint="cs"/>
          <w:rtl/>
        </w:rPr>
        <w:t> </w:t>
      </w:r>
      <w:r w:rsidRPr="00637FD6">
        <w:rPr>
          <w:rtl/>
          <w:lang w:val="fr-CH"/>
        </w:rPr>
        <w:t xml:space="preserve">ينبغي للمحكمة نفسها أو للسلطات القضائية أن تعلن أن قرار </w:t>
      </w:r>
      <w:r w:rsidRPr="00E4586A">
        <w:rPr>
          <w:rtl/>
          <w:lang w:val="fr-CH"/>
        </w:rPr>
        <w:t>4</w:t>
      </w:r>
      <w:r w:rsidRPr="00637FD6">
        <w:rPr>
          <w:rtl/>
          <w:lang w:val="fr-CH"/>
        </w:rPr>
        <w:t xml:space="preserve"> تشرين الثاني/نوفمبر </w:t>
      </w:r>
      <w:r w:rsidRPr="00E4586A">
        <w:rPr>
          <w:rtl/>
          <w:lang w:val="fr-CH"/>
        </w:rPr>
        <w:t>1998</w:t>
      </w:r>
      <w:r w:rsidRPr="00637FD6">
        <w:rPr>
          <w:rtl/>
          <w:lang w:val="fr-CH"/>
        </w:rPr>
        <w:t xml:space="preserve"> لاغ، وأن تضع قائمة جديدة تُعرض فيها وظيفة على كل من اجتاز الامتحان، بغض النظر عن عدد الوظائف الشاغرة المتاحة بموجب قرار عام </w:t>
      </w:r>
      <w:r w:rsidRPr="00E4586A">
        <w:rPr>
          <w:rtl/>
          <w:lang w:val="fr-CH"/>
        </w:rPr>
        <w:t>1998</w:t>
      </w:r>
      <w:r w:rsidRPr="00637FD6">
        <w:rPr>
          <w:rtl/>
          <w:lang w:val="fr-CH"/>
        </w:rPr>
        <w:t>.</w:t>
      </w:r>
    </w:p>
    <w:p w14:paraId="50B2A0CE" w14:textId="77777777" w:rsidR="00637FD6" w:rsidRPr="00DD6A88" w:rsidRDefault="00637FD6" w:rsidP="00637FD6">
      <w:pPr>
        <w:pStyle w:val="SingleTxtGA"/>
        <w:rPr>
          <w:spacing w:val="-2"/>
          <w:lang w:val="fr-CH"/>
        </w:rPr>
      </w:pPr>
      <w:r w:rsidRPr="00E4586A">
        <w:rPr>
          <w:rtl/>
          <w:lang w:val="fr-CH"/>
        </w:rPr>
        <w:t>3</w:t>
      </w:r>
      <w:r w:rsidRPr="00637FD6">
        <w:rPr>
          <w:rtl/>
          <w:lang w:val="fr-CH"/>
        </w:rPr>
        <w:t>-</w:t>
      </w:r>
      <w:r w:rsidRPr="00E4586A">
        <w:rPr>
          <w:rtl/>
          <w:lang w:val="fr-CH"/>
        </w:rPr>
        <w:t>3</w:t>
      </w:r>
      <w:r w:rsidRPr="00637FD6">
        <w:rPr>
          <w:rtl/>
          <w:lang w:val="fr-CH"/>
        </w:rPr>
        <w:tab/>
        <w:t xml:space="preserve">وتحتج صاحبات البلاغ أيضاً بأن حقهن في المساواة وحقهن في المساواة في تقلد الوظائف العامة قد انتُهكا انتهاكاً واضحاً لأن العديد من المترشحين الذين حصلوا على درجات أدنى من درجاتهن </w:t>
      </w:r>
      <w:r w:rsidRPr="00DD6A88">
        <w:rPr>
          <w:spacing w:val="-2"/>
          <w:rtl/>
          <w:lang w:val="fr-CH"/>
        </w:rPr>
        <w:t xml:space="preserve">قد عُرضت عليهم وظائف لأسباب لا علاقة لها بالأهلية للعمل. وبينما كان عدد الوظائف المعروضة على </w:t>
      </w:r>
      <w:r w:rsidRPr="00D84044">
        <w:rPr>
          <w:spacing w:val="-4"/>
          <w:rtl/>
          <w:lang w:val="fr-CH"/>
        </w:rPr>
        <w:t>الأشخاص الذين استُبعدوا من القائمة الأولى للمترشحين الناجحين يقتصر على العدد الأولي للوظائف الشاغرة،</w:t>
      </w:r>
      <w:r w:rsidRPr="00DD6A88">
        <w:rPr>
          <w:spacing w:val="-2"/>
          <w:rtl/>
          <w:lang w:val="fr-CH"/>
        </w:rPr>
        <w:t xml:space="preserve"> </w:t>
      </w:r>
      <w:r w:rsidRPr="00D84044">
        <w:rPr>
          <w:spacing w:val="-5"/>
          <w:rtl/>
          <w:lang w:val="fr-CH"/>
        </w:rPr>
        <w:t>فإن تقاعس سلطات الدولة الطرف عن اتخاذ الإجراءات اللازمة أدى إلى إسناد وظائف إلى العديد من المترشحين</w:t>
      </w:r>
      <w:r w:rsidRPr="00DD6A88">
        <w:rPr>
          <w:spacing w:val="-2"/>
          <w:rtl/>
          <w:lang w:val="fr-CH"/>
        </w:rPr>
        <w:t xml:space="preserve"> الذين لم يكونوا على نفس القدر من كفاءة صاحبات البلاغ لو أن تقييم المؤهلات كان سليماً.</w:t>
      </w:r>
    </w:p>
    <w:p w14:paraId="6FCFCD35" w14:textId="1599FE4C" w:rsidR="00637FD6" w:rsidRPr="00637FD6" w:rsidRDefault="00637FD6" w:rsidP="00637FD6">
      <w:pPr>
        <w:pStyle w:val="SingleTxtGA"/>
        <w:rPr>
          <w:lang w:val="fr-CH"/>
        </w:rPr>
      </w:pPr>
      <w:r w:rsidRPr="00E4586A">
        <w:rPr>
          <w:rtl/>
          <w:lang w:val="fr-CH"/>
        </w:rPr>
        <w:t>3</w:t>
      </w:r>
      <w:r w:rsidRPr="00637FD6">
        <w:rPr>
          <w:rtl/>
          <w:lang w:val="fr-CH"/>
        </w:rPr>
        <w:t>-</w:t>
      </w:r>
      <w:r w:rsidRPr="00E4586A">
        <w:rPr>
          <w:rtl/>
          <w:lang w:val="fr-CH"/>
        </w:rPr>
        <w:t>4</w:t>
      </w:r>
      <w:r w:rsidRPr="00637FD6">
        <w:rPr>
          <w:rtl/>
          <w:lang w:val="fr-CH"/>
        </w:rPr>
        <w:tab/>
      </w:r>
      <w:r w:rsidRPr="00D84044">
        <w:rPr>
          <w:spacing w:val="2"/>
          <w:rtl/>
          <w:lang w:val="fr-CH"/>
        </w:rPr>
        <w:t xml:space="preserve">إضافة إلى ذلك، تدفع صاحبات البلاغ بأن تعليق اللجنة العام رقم </w:t>
      </w:r>
      <w:r w:rsidRPr="00E4586A">
        <w:rPr>
          <w:spacing w:val="2"/>
          <w:rtl/>
          <w:lang w:val="fr-CH"/>
        </w:rPr>
        <w:t>18</w:t>
      </w:r>
      <w:r w:rsidRPr="00D84044">
        <w:rPr>
          <w:spacing w:val="2"/>
          <w:rtl/>
          <w:lang w:val="fr-CH"/>
        </w:rPr>
        <w:t>(</w:t>
      </w:r>
      <w:r w:rsidRPr="00E4586A">
        <w:rPr>
          <w:spacing w:val="2"/>
          <w:rtl/>
          <w:lang w:val="fr-CH"/>
        </w:rPr>
        <w:t>1989</w:t>
      </w:r>
      <w:r w:rsidRPr="00D84044">
        <w:rPr>
          <w:spacing w:val="2"/>
          <w:rtl/>
          <w:lang w:val="fr-CH"/>
        </w:rPr>
        <w:t>) واجتهاداتها يوضحان</w:t>
      </w:r>
      <w:r w:rsidRPr="00637FD6">
        <w:rPr>
          <w:rtl/>
          <w:lang w:val="fr-CH"/>
        </w:rPr>
        <w:t xml:space="preserve"> أن التفريق في المعاملة تمييزي إذا لم يستند إلى معايير معقولة وموضوعية - أي إذا كانت غايات التفريق غير مشروعة أو إذا كانت الوسائل غير متناسبة على الإطلاق مع </w:t>
      </w:r>
      <w:proofErr w:type="gramStart"/>
      <w:r w:rsidRPr="00637FD6">
        <w:rPr>
          <w:rtl/>
          <w:lang w:val="fr-CH"/>
        </w:rPr>
        <w:t>الغايات</w:t>
      </w:r>
      <w:r w:rsidRPr="00637FD6">
        <w:rPr>
          <w:vertAlign w:val="superscript"/>
          <w:rtl/>
          <w:lang w:val="fr-CH"/>
        </w:rPr>
        <w:t>(</w:t>
      </w:r>
      <w:proofErr w:type="gramEnd"/>
      <w:r w:rsidRPr="00E4586A">
        <w:rPr>
          <w:rStyle w:val="FootnoteReference"/>
          <w:szCs w:val="22"/>
          <w:lang w:val="en-US"/>
        </w:rPr>
        <w:footnoteReference w:id="9"/>
      </w:r>
      <w:r w:rsidRPr="00637FD6">
        <w:rPr>
          <w:vertAlign w:val="superscript"/>
          <w:rtl/>
          <w:lang w:val="fr-CH"/>
        </w:rPr>
        <w:t>)</w:t>
      </w:r>
      <w:r w:rsidRPr="00637FD6">
        <w:rPr>
          <w:rtl/>
          <w:lang w:val="fr-CH"/>
        </w:rPr>
        <w:t xml:space="preserve">. وبالإشارة إلى السوابق القضائية للمحكمة </w:t>
      </w:r>
      <w:proofErr w:type="gramStart"/>
      <w:r w:rsidRPr="00637FD6">
        <w:rPr>
          <w:rtl/>
          <w:lang w:val="fr-CH"/>
        </w:rPr>
        <w:t>الدستورية</w:t>
      </w:r>
      <w:r w:rsidRPr="00637FD6">
        <w:rPr>
          <w:vertAlign w:val="superscript"/>
          <w:rtl/>
          <w:lang w:val="fr-CH"/>
        </w:rPr>
        <w:t>(</w:t>
      </w:r>
      <w:proofErr w:type="gramEnd"/>
      <w:r w:rsidRPr="00E4586A">
        <w:rPr>
          <w:rStyle w:val="FootnoteReference"/>
          <w:szCs w:val="22"/>
          <w:lang w:val="en-US"/>
        </w:rPr>
        <w:footnoteReference w:id="10"/>
      </w:r>
      <w:r w:rsidRPr="00637FD6">
        <w:rPr>
          <w:vertAlign w:val="superscript"/>
          <w:rtl/>
          <w:lang w:val="fr-CH"/>
        </w:rPr>
        <w:t>)</w:t>
      </w:r>
      <w:r w:rsidRPr="00637FD6">
        <w:rPr>
          <w:rtl/>
          <w:lang w:val="fr-CH"/>
        </w:rPr>
        <w:t>، أوضحت صاحبات البلاغ بأن السلطات ملزمة موضوعياً، في حالة استبعاد مترشح من عملية اختيار بسبب خطأ في تقييم مؤهلاته، ثم تصحيح الخطأ نتيجة طعن مقدم من طرف ثالث، بمعاملة الجميع على قدم المساواة. وعدم معاملة الجميع على هذا النحو للمرة الثانية هو في حد ذاته انتهاك للحقوق يستتبع الحق في الانتصاف.</w:t>
      </w:r>
    </w:p>
    <w:p w14:paraId="12006A4F" w14:textId="77777777" w:rsidR="00637FD6" w:rsidRPr="00637FD6" w:rsidRDefault="00637FD6" w:rsidP="00637FD6">
      <w:pPr>
        <w:pStyle w:val="SingleTxtGA"/>
        <w:rPr>
          <w:lang w:val="fr-CH"/>
        </w:rPr>
      </w:pPr>
      <w:r w:rsidRPr="00E4586A">
        <w:rPr>
          <w:rtl/>
          <w:lang w:val="fr-CH"/>
        </w:rPr>
        <w:t>3</w:t>
      </w:r>
      <w:r w:rsidRPr="00637FD6">
        <w:rPr>
          <w:rtl/>
          <w:lang w:val="fr-CH"/>
        </w:rPr>
        <w:t>-</w:t>
      </w:r>
      <w:r w:rsidRPr="00E4586A">
        <w:rPr>
          <w:rtl/>
          <w:lang w:val="fr-CH"/>
        </w:rPr>
        <w:t>5</w:t>
      </w:r>
      <w:r w:rsidRPr="00637FD6">
        <w:rPr>
          <w:rtl/>
          <w:lang w:val="fr-CH"/>
        </w:rPr>
        <w:tab/>
      </w:r>
      <w:r w:rsidRPr="0021068A">
        <w:rPr>
          <w:spacing w:val="-2"/>
          <w:rtl/>
          <w:lang w:val="fr-CH"/>
        </w:rPr>
        <w:t>وتشير صاحبات البلاغ إلى أن المحكمة العليا أسندت في قضيتهن وظائف إلى جميع المترشحين</w:t>
      </w:r>
      <w:r w:rsidRPr="00637FD6">
        <w:rPr>
          <w:rtl/>
          <w:lang w:val="fr-CH"/>
        </w:rPr>
        <w:t xml:space="preserve"> الذين حُكم لصالحهم قبل عام </w:t>
      </w:r>
      <w:r w:rsidRPr="00E4586A">
        <w:rPr>
          <w:rtl/>
          <w:lang w:val="fr-CH"/>
        </w:rPr>
        <w:t>2012</w:t>
      </w:r>
      <w:r w:rsidRPr="00637FD6">
        <w:rPr>
          <w:rtl/>
          <w:lang w:val="fr-CH"/>
        </w:rPr>
        <w:t xml:space="preserve">، عندما نقحت السلطات في نهاية المطاف القوائم وشغلت عدداً من الوظائف يعادل عدد الوظائف الشاغرة المذكورة في الدعوة الترشح في عام </w:t>
      </w:r>
      <w:r w:rsidRPr="00E4586A">
        <w:rPr>
          <w:rtl/>
          <w:lang w:val="fr-CH"/>
        </w:rPr>
        <w:t>1998</w:t>
      </w:r>
      <w:r w:rsidRPr="00637FD6">
        <w:rPr>
          <w:rtl/>
          <w:lang w:val="fr-CH"/>
        </w:rPr>
        <w:t xml:space="preserve">. ومن ثم فإن انتهاك حق صاحبات البلاغ في المساواة هو انتهاك مزدوج: فقد تعرضن لمعاملة غير متساوية عندما عُرضت وظائف على المترشحين في القوائم الأصلية في عام </w:t>
      </w:r>
      <w:r w:rsidRPr="00E4586A">
        <w:rPr>
          <w:rtl/>
          <w:lang w:val="fr-CH"/>
        </w:rPr>
        <w:t>1998</w:t>
      </w:r>
      <w:r w:rsidRPr="00637FD6">
        <w:rPr>
          <w:rtl/>
          <w:lang w:val="fr-CH"/>
        </w:rPr>
        <w:t xml:space="preserve">، وعندما مُنح الأشخاص الذين كسبوا قضاياهم قبل عام </w:t>
      </w:r>
      <w:r w:rsidRPr="00E4586A">
        <w:rPr>
          <w:rtl/>
          <w:lang w:val="fr-CH"/>
        </w:rPr>
        <w:t>2012</w:t>
      </w:r>
      <w:r w:rsidRPr="00637FD6">
        <w:rPr>
          <w:rtl/>
          <w:lang w:val="fr-CH"/>
        </w:rPr>
        <w:t xml:space="preserve"> وظائف بأمر من المحكمة العليا. وطوال العملية برمتها، لم يكن هناك أي مبرر موضوعي ومعقول أو هدف مشروع.</w:t>
      </w:r>
    </w:p>
    <w:p w14:paraId="34FB1C83" w14:textId="77777777" w:rsidR="00637FD6" w:rsidRPr="00637FD6" w:rsidRDefault="00637FD6" w:rsidP="00637FD6">
      <w:pPr>
        <w:pStyle w:val="SingleTxtGA"/>
        <w:rPr>
          <w:lang w:val="fr-CH"/>
        </w:rPr>
      </w:pPr>
      <w:r w:rsidRPr="00E4586A">
        <w:rPr>
          <w:rtl/>
          <w:lang w:val="fr-CH"/>
        </w:rPr>
        <w:t>3</w:t>
      </w:r>
      <w:r w:rsidRPr="00637FD6">
        <w:rPr>
          <w:rtl/>
          <w:lang w:val="fr-CH"/>
        </w:rPr>
        <w:t>-</w:t>
      </w:r>
      <w:r w:rsidRPr="00E4586A">
        <w:rPr>
          <w:rtl/>
          <w:lang w:val="fr-CH"/>
        </w:rPr>
        <w:t>6</w:t>
      </w:r>
      <w:r w:rsidRPr="00637FD6">
        <w:rPr>
          <w:rtl/>
          <w:lang w:val="fr-CH"/>
        </w:rPr>
        <w:tab/>
        <w:t xml:space="preserve">وتطلب صاحبات البلاغ من اللجنة أن تخلص إلى وقوع انتهاك لمواد العهد المذكورة أعلاه، وأن تكفل توفير سبيل انتصاف من هذا الانتهاك بإلزام الدولة الطرف بإعلان بطلان جميع القرارات المتعلقة </w:t>
      </w:r>
      <w:r w:rsidRPr="0021068A">
        <w:rPr>
          <w:spacing w:val="-2"/>
          <w:rtl/>
          <w:lang w:val="fr-CH"/>
        </w:rPr>
        <w:t>بقضاياهن. إضافة إلى ذلك، تطلب صاحبات البلاغ من اللجنة أن تأمر الدولة الطرف بدفع تعويض منصف</w:t>
      </w:r>
      <w:r w:rsidRPr="00637FD6">
        <w:rPr>
          <w:rtl/>
          <w:lang w:val="fr-CH"/>
        </w:rPr>
        <w:t xml:space="preserve"> عن انتهاكات حقوقهن.</w:t>
      </w:r>
    </w:p>
    <w:p w14:paraId="20818FD4" w14:textId="77777777" w:rsidR="00637FD6" w:rsidRPr="00E4586A" w:rsidRDefault="00637FD6" w:rsidP="00637FD6">
      <w:pPr>
        <w:pStyle w:val="H23GA"/>
      </w:pPr>
      <w:r w:rsidRPr="00E4586A">
        <w:rPr>
          <w:rtl/>
        </w:rPr>
        <w:tab/>
      </w:r>
      <w:r w:rsidRPr="00E4586A">
        <w:rPr>
          <w:rtl/>
        </w:rPr>
        <w:tab/>
        <w:t>المسائل والإجراءات المعروضة على اللجنة</w:t>
      </w:r>
    </w:p>
    <w:p w14:paraId="2577815F" w14:textId="77777777" w:rsidR="00637FD6" w:rsidRPr="00E4586A" w:rsidRDefault="00637FD6" w:rsidP="00637FD6">
      <w:pPr>
        <w:pStyle w:val="H4GA"/>
      </w:pPr>
      <w:r w:rsidRPr="00E4586A">
        <w:rPr>
          <w:rtl/>
        </w:rPr>
        <w:tab/>
      </w:r>
      <w:r w:rsidRPr="00E4586A">
        <w:rPr>
          <w:rtl/>
        </w:rPr>
        <w:tab/>
        <w:t>النظر في المقبولية</w:t>
      </w:r>
    </w:p>
    <w:p w14:paraId="74AAECAE" w14:textId="77777777" w:rsidR="00637FD6" w:rsidRPr="00637FD6" w:rsidRDefault="00637FD6" w:rsidP="00637FD6">
      <w:pPr>
        <w:pStyle w:val="SingleTxtGA"/>
        <w:rPr>
          <w:lang w:val="fr-CH"/>
        </w:rPr>
      </w:pPr>
      <w:r w:rsidRPr="00E4586A">
        <w:rPr>
          <w:rtl/>
          <w:lang w:val="fr-CH"/>
        </w:rPr>
        <w:t>4</w:t>
      </w:r>
      <w:r w:rsidRPr="00637FD6">
        <w:rPr>
          <w:rtl/>
          <w:lang w:val="fr-CH"/>
        </w:rPr>
        <w:t>-</w:t>
      </w:r>
      <w:r w:rsidRPr="00E4586A">
        <w:rPr>
          <w:rtl/>
          <w:lang w:val="fr-CH"/>
        </w:rPr>
        <w:t>1</w:t>
      </w:r>
      <w:r w:rsidRPr="00637FD6">
        <w:rPr>
          <w:rtl/>
          <w:lang w:val="fr-CH"/>
        </w:rPr>
        <w:tab/>
        <w:t xml:space="preserve">قبل النظر في أي ادعاء يرد في بلاغ ما، يجب على اللجنة أن تقرر، وفقاً للمادة </w:t>
      </w:r>
      <w:r w:rsidRPr="00E4586A">
        <w:rPr>
          <w:rtl/>
          <w:lang w:val="fr-CH"/>
        </w:rPr>
        <w:t>97</w:t>
      </w:r>
      <w:r w:rsidRPr="00637FD6">
        <w:rPr>
          <w:rtl/>
          <w:lang w:val="fr-CH"/>
        </w:rPr>
        <w:t xml:space="preserve"> من نظامها الداخلي، ما إذا كان البلاغ مقبولاً أم لا بموجب البروتوكول الاختياري الملحق بالعهد.</w:t>
      </w:r>
    </w:p>
    <w:p w14:paraId="5C46C0E0" w14:textId="4D5AD4DD" w:rsidR="00637FD6" w:rsidRPr="00637FD6" w:rsidRDefault="00637FD6" w:rsidP="00637FD6">
      <w:pPr>
        <w:pStyle w:val="SingleTxtGA"/>
        <w:rPr>
          <w:lang w:val="fr-CH"/>
        </w:rPr>
      </w:pPr>
      <w:r w:rsidRPr="00E4586A">
        <w:rPr>
          <w:rtl/>
          <w:lang w:val="fr-CH"/>
        </w:rPr>
        <w:t>4</w:t>
      </w:r>
      <w:r w:rsidRPr="00637FD6">
        <w:rPr>
          <w:rtl/>
          <w:lang w:val="fr-CH"/>
        </w:rPr>
        <w:t>-</w:t>
      </w:r>
      <w:r w:rsidRPr="00E4586A">
        <w:rPr>
          <w:rtl/>
          <w:lang w:val="fr-CH"/>
        </w:rPr>
        <w:t>2</w:t>
      </w:r>
      <w:r w:rsidRPr="00637FD6">
        <w:rPr>
          <w:rtl/>
          <w:lang w:val="fr-CH"/>
        </w:rPr>
        <w:tab/>
        <w:t xml:space="preserve">وتحيط اللجنة علماً بتحفظ الدولة الطرف على المادة </w:t>
      </w:r>
      <w:r w:rsidRPr="00E4586A">
        <w:rPr>
          <w:rtl/>
          <w:lang w:val="fr-CH"/>
        </w:rPr>
        <w:t>5</w:t>
      </w:r>
      <w:r w:rsidRPr="00637FD6">
        <w:rPr>
          <w:rtl/>
          <w:lang w:val="fr-CH"/>
        </w:rPr>
        <w:t>(</w:t>
      </w:r>
      <w:r w:rsidRPr="00E4586A">
        <w:rPr>
          <w:rtl/>
          <w:lang w:val="fr-CH"/>
        </w:rPr>
        <w:t>2</w:t>
      </w:r>
      <w:r w:rsidRPr="00637FD6">
        <w:rPr>
          <w:rtl/>
          <w:lang w:val="fr-CH"/>
        </w:rPr>
        <w:t xml:space="preserve">)(أ) من البروتوكول الاختياري، التي تستبعد اختصاص اللجنة بالنظر في بلاغ يرد من أي فرد إذا كانت المسألة نفسها قد بحثت أو هي قيد البحث في إطار إجراء آخر من إجراءات التحقيق الدولي أو التسوية الدولية. وعلى الرغم من أن خمساً من صاحبات البلاغ الست أحلن المسألة نفسها إلى المحكمة الأوروبية لحقوق الإنسان، تلاحظ اللجنة أن </w:t>
      </w:r>
      <w:r w:rsidRPr="0021068A">
        <w:rPr>
          <w:spacing w:val="-2"/>
          <w:rtl/>
          <w:lang w:val="fr-CH"/>
        </w:rPr>
        <w:t xml:space="preserve">المحكمة خلصت إلى عدم مقبولية طلباتهن لعدم استيفاء شروط المقبولية المنصوص عليها في المادتين </w:t>
      </w:r>
      <w:r w:rsidRPr="00E4586A">
        <w:rPr>
          <w:spacing w:val="-2"/>
          <w:rtl/>
          <w:lang w:val="fr-CH"/>
        </w:rPr>
        <w:t>34</w:t>
      </w:r>
      <w:r w:rsidRPr="00637FD6">
        <w:rPr>
          <w:rtl/>
          <w:lang w:val="fr-CH"/>
        </w:rPr>
        <w:t xml:space="preserve"> و</w:t>
      </w:r>
      <w:r w:rsidRPr="00E4586A">
        <w:rPr>
          <w:rtl/>
          <w:lang w:val="fr-CH"/>
        </w:rPr>
        <w:t>35</w:t>
      </w:r>
      <w:r w:rsidRPr="00637FD6">
        <w:rPr>
          <w:rtl/>
          <w:lang w:val="fr-CH"/>
        </w:rPr>
        <w:t xml:space="preserve"> من الاتفاقية الأوروبية لحقوق الإنسان. غير أن اللجنة ذكرت في قضايا سابقة أن مسألة ما</w:t>
      </w:r>
      <w:r w:rsidR="0021068A">
        <w:rPr>
          <w:rFonts w:hint="cs"/>
          <w:rtl/>
          <w:lang w:val="fr-CH"/>
        </w:rPr>
        <w:t> </w:t>
      </w:r>
      <w:r w:rsidRPr="00637FD6">
        <w:rPr>
          <w:rtl/>
          <w:lang w:val="fr-CH"/>
        </w:rPr>
        <w:t>لا</w:t>
      </w:r>
      <w:r w:rsidR="0021068A">
        <w:rPr>
          <w:rFonts w:hint="cs"/>
          <w:rtl/>
          <w:lang w:val="fr-CH"/>
        </w:rPr>
        <w:t> </w:t>
      </w:r>
      <w:r w:rsidRPr="00637FD6">
        <w:rPr>
          <w:rtl/>
          <w:lang w:val="fr-CH"/>
        </w:rPr>
        <w:t xml:space="preserve">تُعتبر </w:t>
      </w:r>
      <w:r w:rsidRPr="0021068A">
        <w:rPr>
          <w:spacing w:val="-2"/>
          <w:rtl/>
          <w:lang w:val="fr-CH"/>
        </w:rPr>
        <w:t>قد بُحثت في إطار إجراء دولي للتحقيق أو التسوية إذا استُنتج أنها غير مقبولة لأسباب إجرائية فقط من دون</w:t>
      </w:r>
      <w:r w:rsidRPr="00637FD6">
        <w:rPr>
          <w:rtl/>
          <w:lang w:val="fr-CH"/>
        </w:rPr>
        <w:t xml:space="preserve"> النظر في أسسها </w:t>
      </w:r>
      <w:proofErr w:type="gramStart"/>
      <w:r w:rsidRPr="00637FD6">
        <w:rPr>
          <w:rtl/>
          <w:lang w:val="fr-CH"/>
        </w:rPr>
        <w:t>الموضوعية</w:t>
      </w:r>
      <w:r w:rsidRPr="00637FD6">
        <w:rPr>
          <w:vertAlign w:val="superscript"/>
          <w:rtl/>
          <w:lang w:val="fr-CH"/>
        </w:rPr>
        <w:t>(</w:t>
      </w:r>
      <w:proofErr w:type="gramEnd"/>
      <w:r w:rsidRPr="00E4586A">
        <w:rPr>
          <w:rStyle w:val="FootnoteReference"/>
          <w:szCs w:val="22"/>
          <w:lang w:val="en-US"/>
        </w:rPr>
        <w:footnoteReference w:id="11"/>
      </w:r>
      <w:r w:rsidRPr="00637FD6">
        <w:rPr>
          <w:vertAlign w:val="superscript"/>
          <w:rtl/>
          <w:lang w:val="fr-CH"/>
        </w:rPr>
        <w:t>)</w:t>
      </w:r>
      <w:r w:rsidRPr="00637FD6">
        <w:rPr>
          <w:rtl/>
          <w:lang w:val="fr-CH"/>
        </w:rPr>
        <w:t xml:space="preserve">. ونظراً إلى عدم قدرة اللجنة على أن تستبعد، استناداً إلى قرار المحكمة الأوروبية، أن هذه المحكمة قد خلصت إلى عدم مقبولية طلبات صاحبات البلاغ لأسباب إجرائية فقط ومن دون النظر، ولو بإيجاز، في الأسس الموضوعية، فإن اللجنة تخلص إلى عدم وجود شيء يحول دون نظرها في البلاغ بموجب المادة </w:t>
      </w:r>
      <w:r w:rsidRPr="00E4586A">
        <w:rPr>
          <w:rtl/>
          <w:lang w:val="fr-CH"/>
        </w:rPr>
        <w:t>5</w:t>
      </w:r>
      <w:r w:rsidRPr="00637FD6">
        <w:rPr>
          <w:rtl/>
          <w:lang w:val="fr-CH"/>
        </w:rPr>
        <w:t>(</w:t>
      </w:r>
      <w:r w:rsidRPr="00E4586A">
        <w:rPr>
          <w:rtl/>
          <w:lang w:val="fr-CH"/>
        </w:rPr>
        <w:t>2</w:t>
      </w:r>
      <w:r w:rsidRPr="00637FD6">
        <w:rPr>
          <w:rtl/>
          <w:lang w:val="fr-CH"/>
        </w:rPr>
        <w:t>)(أ) من البروتوكول الاختياري.</w:t>
      </w:r>
    </w:p>
    <w:p w14:paraId="21624059" w14:textId="77777777" w:rsidR="00637FD6" w:rsidRPr="00637FD6" w:rsidRDefault="00637FD6" w:rsidP="00637FD6">
      <w:pPr>
        <w:pStyle w:val="SingleTxtGA"/>
        <w:rPr>
          <w:lang w:val="fr-CH"/>
        </w:rPr>
      </w:pPr>
      <w:r w:rsidRPr="00E4586A">
        <w:rPr>
          <w:rtl/>
          <w:lang w:val="fr-CH"/>
        </w:rPr>
        <w:t>4</w:t>
      </w:r>
      <w:r w:rsidRPr="00637FD6">
        <w:rPr>
          <w:rtl/>
          <w:lang w:val="fr-CH"/>
        </w:rPr>
        <w:t>-</w:t>
      </w:r>
      <w:r w:rsidRPr="00E4586A">
        <w:rPr>
          <w:rtl/>
          <w:lang w:val="fr-CH"/>
        </w:rPr>
        <w:t>3</w:t>
      </w:r>
      <w:r w:rsidRPr="00637FD6">
        <w:rPr>
          <w:rtl/>
          <w:lang w:val="fr-CH"/>
        </w:rPr>
        <w:tab/>
        <w:t xml:space="preserve">لذا، ترى اللجنة أن صاحبات البلاغ قد استنفدن سبل الانتصاف المحلية، وأن ادعاءاتهن مقبولة بموجب المادة </w:t>
      </w:r>
      <w:r w:rsidRPr="00E4586A">
        <w:rPr>
          <w:rtl/>
          <w:lang w:val="fr-CH"/>
        </w:rPr>
        <w:t>5</w:t>
      </w:r>
      <w:r w:rsidRPr="00637FD6">
        <w:rPr>
          <w:rtl/>
          <w:lang w:val="fr-CH"/>
        </w:rPr>
        <w:t>(</w:t>
      </w:r>
      <w:r w:rsidRPr="00E4586A">
        <w:rPr>
          <w:rtl/>
          <w:lang w:val="fr-CH"/>
        </w:rPr>
        <w:t>2</w:t>
      </w:r>
      <w:r w:rsidRPr="00637FD6">
        <w:rPr>
          <w:rtl/>
          <w:lang w:val="fr-CH"/>
        </w:rPr>
        <w:t>)(ب) من البروتوكول الاختياري.</w:t>
      </w:r>
    </w:p>
    <w:p w14:paraId="514B4A2F" w14:textId="2CDED8F8" w:rsidR="00637FD6" w:rsidRPr="00637FD6" w:rsidRDefault="00637FD6" w:rsidP="00637FD6">
      <w:pPr>
        <w:pStyle w:val="SingleTxtGA"/>
        <w:rPr>
          <w:lang w:val="fr-CH"/>
        </w:rPr>
      </w:pPr>
      <w:r w:rsidRPr="00E4586A">
        <w:rPr>
          <w:rtl/>
          <w:lang w:val="fr-CH"/>
        </w:rPr>
        <w:t>4</w:t>
      </w:r>
      <w:r w:rsidRPr="00637FD6">
        <w:rPr>
          <w:rtl/>
          <w:lang w:val="fr-CH"/>
        </w:rPr>
        <w:t>-</w:t>
      </w:r>
      <w:r w:rsidRPr="00E4586A">
        <w:rPr>
          <w:rtl/>
          <w:lang w:val="fr-CH"/>
        </w:rPr>
        <w:t>4</w:t>
      </w:r>
      <w:r w:rsidRPr="00637FD6">
        <w:rPr>
          <w:rtl/>
          <w:lang w:val="fr-CH"/>
        </w:rPr>
        <w:tab/>
      </w:r>
      <w:r w:rsidRPr="0021068A">
        <w:rPr>
          <w:spacing w:val="-4"/>
          <w:rtl/>
          <w:lang w:val="fr-CH"/>
        </w:rPr>
        <w:t>وتلاحظ اللجنة حجة صاحبات البلاغ تعرضهن للتمييز في سعيهن للحصول على عمل في الوظائف</w:t>
      </w:r>
      <w:r w:rsidRPr="00637FD6">
        <w:rPr>
          <w:rtl/>
          <w:lang w:val="fr-CH"/>
        </w:rPr>
        <w:t xml:space="preserve"> العامة لأن المحكمة العليا أسندت وظائف إلى جميع المترشحين الذين كسبوا قضاياهم قبل عام </w:t>
      </w:r>
      <w:r w:rsidRPr="00E4586A">
        <w:rPr>
          <w:rtl/>
          <w:lang w:val="fr-CH"/>
        </w:rPr>
        <w:t>2012</w:t>
      </w:r>
      <w:r w:rsidRPr="00637FD6">
        <w:rPr>
          <w:rtl/>
          <w:lang w:val="fr-CH"/>
        </w:rPr>
        <w:t xml:space="preserve"> </w:t>
      </w:r>
      <w:r w:rsidRPr="00681C36">
        <w:rPr>
          <w:rtl/>
          <w:lang w:val="fr-CH"/>
        </w:rPr>
        <w:t>ولأن السلطات قصرت عدد الوظائف الممنوحة، عندما نقحت قائمة المترشحين في نهاية المطاف، في عدد الوظائف</w:t>
      </w:r>
      <w:r w:rsidRPr="0021068A">
        <w:rPr>
          <w:spacing w:val="-4"/>
          <w:rtl/>
          <w:lang w:val="fr-CH"/>
        </w:rPr>
        <w:t xml:space="preserve"> الشاغرة المذكورة في الدعوة إلى الترشح الصادرة في عام </w:t>
      </w:r>
      <w:r w:rsidRPr="00E4586A">
        <w:rPr>
          <w:spacing w:val="-4"/>
          <w:rtl/>
          <w:lang w:val="fr-CH"/>
        </w:rPr>
        <w:t>1998</w:t>
      </w:r>
      <w:r w:rsidRPr="0021068A">
        <w:rPr>
          <w:spacing w:val="-4"/>
          <w:rtl/>
          <w:lang w:val="fr-CH"/>
        </w:rPr>
        <w:t>. وقد ذكرت اللجنة في اجتهاداتها</w:t>
      </w:r>
      <w:r w:rsidRPr="00637FD6">
        <w:rPr>
          <w:rtl/>
          <w:lang w:val="fr-CH"/>
        </w:rPr>
        <w:t xml:space="preserve"> أن</w:t>
      </w:r>
      <w:r w:rsidR="0021068A">
        <w:rPr>
          <w:rFonts w:hint="cs"/>
          <w:rtl/>
          <w:lang w:val="fr-CH"/>
        </w:rPr>
        <w:t> </w:t>
      </w:r>
      <w:r w:rsidRPr="0021068A">
        <w:rPr>
          <w:rtl/>
          <w:lang w:val="fr-CH"/>
        </w:rPr>
        <w:t xml:space="preserve">محاكم الدول الأطراف هي التي تتولى عموماً استعراض الوقائع والأدلة أو تطبيق التشريعات المحلية </w:t>
      </w:r>
      <w:proofErr w:type="gramStart"/>
      <w:r w:rsidRPr="0021068A">
        <w:rPr>
          <w:rtl/>
          <w:lang w:val="fr-CH"/>
        </w:rPr>
        <w:t>وتفسيرها</w:t>
      </w:r>
      <w:r w:rsidRPr="00637FD6">
        <w:rPr>
          <w:vertAlign w:val="superscript"/>
          <w:rtl/>
          <w:lang w:val="fr-CH"/>
        </w:rPr>
        <w:t>(</w:t>
      </w:r>
      <w:proofErr w:type="gramEnd"/>
      <w:r w:rsidRPr="00E4586A">
        <w:rPr>
          <w:rStyle w:val="FootnoteReference"/>
          <w:szCs w:val="22"/>
          <w:lang w:val="en-US"/>
        </w:rPr>
        <w:footnoteReference w:id="12"/>
      </w:r>
      <w:r w:rsidRPr="00637FD6">
        <w:rPr>
          <w:vertAlign w:val="superscript"/>
          <w:rtl/>
          <w:lang w:val="fr-CH"/>
        </w:rPr>
        <w:t>)</w:t>
      </w:r>
      <w:r w:rsidRPr="00637FD6">
        <w:rPr>
          <w:rtl/>
          <w:lang w:val="fr-CH"/>
        </w:rPr>
        <w:t xml:space="preserve">. </w:t>
      </w:r>
      <w:r w:rsidRPr="0021068A">
        <w:rPr>
          <w:spacing w:val="-4"/>
          <w:rtl/>
          <w:lang w:val="fr-CH"/>
        </w:rPr>
        <w:t xml:space="preserve">وفي هذه القضية، ترى اللجنة أن صاحبات البلاغ لم يثبتن أن الخطوات التي اتخذتها السلطات </w:t>
      </w:r>
      <w:r w:rsidRPr="00681C36">
        <w:rPr>
          <w:rtl/>
          <w:lang w:val="fr-CH"/>
        </w:rPr>
        <w:t>الإدارية والقضائية المحلية - أي تطبيقها معايير موضوعية ومعقولة للتفريق في المعاملة على وجه الخصوص</w:t>
      </w:r>
      <w:r w:rsidRPr="00637FD6">
        <w:rPr>
          <w:rtl/>
          <w:lang w:val="fr-CH"/>
        </w:rPr>
        <w:t xml:space="preserve"> - كانت تعسفية أو تشكل خطأً واضحاً أو امتناعاً عن إحقاق </w:t>
      </w:r>
      <w:proofErr w:type="gramStart"/>
      <w:r w:rsidRPr="00637FD6">
        <w:rPr>
          <w:rtl/>
          <w:lang w:val="fr-CH"/>
        </w:rPr>
        <w:t>الحق</w:t>
      </w:r>
      <w:r w:rsidRPr="00637FD6">
        <w:rPr>
          <w:vertAlign w:val="superscript"/>
          <w:rtl/>
          <w:lang w:val="fr-CH"/>
        </w:rPr>
        <w:t>(</w:t>
      </w:r>
      <w:proofErr w:type="gramEnd"/>
      <w:r w:rsidRPr="00E4586A">
        <w:rPr>
          <w:rStyle w:val="FootnoteReference"/>
          <w:szCs w:val="22"/>
          <w:lang w:val="en-US"/>
        </w:rPr>
        <w:footnoteReference w:id="13"/>
      </w:r>
      <w:r w:rsidRPr="00637FD6">
        <w:rPr>
          <w:vertAlign w:val="superscript"/>
          <w:rtl/>
          <w:lang w:val="fr-CH"/>
        </w:rPr>
        <w:t>)</w:t>
      </w:r>
      <w:r w:rsidRPr="00637FD6">
        <w:rPr>
          <w:rtl/>
          <w:lang w:val="fr-CH"/>
        </w:rPr>
        <w:t xml:space="preserve">. ولم تعرض صاحبات البلاغ أيضاً أدلة كافية، لأغراض المقبولية، تثبت أن عدم منحهن وظائف عامة لأنهن لم يقدمن طعوناً قضائية في الوقت المناسب أو لم يحصلن على درجات عالية بما فيه الكفاية بعد تنقيح قائمة المترشحين، </w:t>
      </w:r>
      <w:r w:rsidRPr="00681C36">
        <w:rPr>
          <w:spacing w:val="-2"/>
          <w:rtl/>
          <w:lang w:val="fr-CH"/>
        </w:rPr>
        <w:t xml:space="preserve">يشكل معاملة تمييزية على الأسس المبينة في المادة </w:t>
      </w:r>
      <w:r w:rsidRPr="00E4586A">
        <w:rPr>
          <w:spacing w:val="-2"/>
          <w:rtl/>
          <w:lang w:val="fr-CH"/>
        </w:rPr>
        <w:t>26</w:t>
      </w:r>
      <w:r w:rsidRPr="00681C36">
        <w:rPr>
          <w:spacing w:val="-2"/>
          <w:rtl/>
          <w:lang w:val="fr-CH"/>
        </w:rPr>
        <w:t xml:space="preserve"> من العهد. وعليه، تخلص اللجنة إلى أن صاحبات البلاغ لم يدعمن ادعاءاتهن بما يكفي من الأدلة لأغراض المقبولية، وترى أنها غير مقبولة بموجب المادة</w:t>
      </w:r>
      <w:r w:rsidRPr="00637FD6">
        <w:rPr>
          <w:rtl/>
          <w:lang w:val="fr-CH"/>
        </w:rPr>
        <w:t xml:space="preserve"> </w:t>
      </w:r>
      <w:r w:rsidRPr="00E4586A">
        <w:rPr>
          <w:rtl/>
          <w:lang w:val="fr-CH"/>
        </w:rPr>
        <w:t>2</w:t>
      </w:r>
      <w:r w:rsidRPr="00637FD6">
        <w:rPr>
          <w:rtl/>
          <w:lang w:val="fr-CH"/>
        </w:rPr>
        <w:t xml:space="preserve"> من البروتوكول الاختياري.</w:t>
      </w:r>
    </w:p>
    <w:p w14:paraId="5069BB39" w14:textId="77777777" w:rsidR="00637FD6" w:rsidRPr="00637FD6" w:rsidRDefault="00637FD6" w:rsidP="00637FD6">
      <w:pPr>
        <w:pStyle w:val="SingleTxtGA"/>
        <w:rPr>
          <w:lang w:val="fr-CH"/>
        </w:rPr>
      </w:pPr>
      <w:r w:rsidRPr="00E4586A">
        <w:rPr>
          <w:rtl/>
          <w:lang w:val="fr-CH"/>
        </w:rPr>
        <w:t>5</w:t>
      </w:r>
      <w:r w:rsidRPr="00637FD6">
        <w:rPr>
          <w:rtl/>
          <w:lang w:val="fr-CH"/>
        </w:rPr>
        <w:t>-</w:t>
      </w:r>
      <w:r w:rsidRPr="00637FD6">
        <w:rPr>
          <w:rtl/>
          <w:lang w:val="fr-CH"/>
        </w:rPr>
        <w:tab/>
        <w:t>وبناءً عليه، تقرر اللجنة المعنية بحقوق الإنسان ما يلي:</w:t>
      </w:r>
    </w:p>
    <w:p w14:paraId="034064DC" w14:textId="77777777" w:rsidR="00637FD6" w:rsidRPr="00637FD6" w:rsidRDefault="00637FD6" w:rsidP="00637FD6">
      <w:pPr>
        <w:pStyle w:val="SingleTxtGA"/>
        <w:rPr>
          <w:lang w:val="fr-CH"/>
        </w:rPr>
      </w:pPr>
      <w:r w:rsidRPr="00637FD6">
        <w:rPr>
          <w:rtl/>
          <w:lang w:val="fr-CH"/>
        </w:rPr>
        <w:tab/>
        <w:t>(أ)</w:t>
      </w:r>
      <w:r w:rsidRPr="00637FD6">
        <w:rPr>
          <w:rtl/>
          <w:lang w:val="fr-CH"/>
        </w:rPr>
        <w:tab/>
        <w:t xml:space="preserve">عدم قبول البلاغ بموجب المادة </w:t>
      </w:r>
      <w:r w:rsidRPr="00E4586A">
        <w:rPr>
          <w:rtl/>
          <w:lang w:val="fr-CH"/>
        </w:rPr>
        <w:t>2</w:t>
      </w:r>
      <w:r w:rsidRPr="00637FD6">
        <w:rPr>
          <w:rtl/>
          <w:lang w:val="fr-CH"/>
        </w:rPr>
        <w:t xml:space="preserve"> من البروتوكول الاختياري؛</w:t>
      </w:r>
    </w:p>
    <w:p w14:paraId="5869F5A8" w14:textId="77777777" w:rsidR="00637FD6" w:rsidRPr="00637FD6" w:rsidRDefault="00637FD6" w:rsidP="00637FD6">
      <w:pPr>
        <w:pStyle w:val="SingleTxtGA"/>
        <w:rPr>
          <w:lang w:val="fr-CH"/>
        </w:rPr>
      </w:pPr>
      <w:r w:rsidRPr="00637FD6">
        <w:rPr>
          <w:rtl/>
          <w:lang w:val="fr-CH"/>
        </w:rPr>
        <w:tab/>
        <w:t>(ب)</w:t>
      </w:r>
      <w:r w:rsidRPr="00637FD6">
        <w:rPr>
          <w:rtl/>
          <w:lang w:val="fr-CH"/>
        </w:rPr>
        <w:tab/>
        <w:t>إحالة هذا القرار إلى الدولة الطرف وإلى صاحبات البلاغ.</w:t>
      </w:r>
    </w:p>
    <w:p w14:paraId="197CCFBF" w14:textId="643A9080" w:rsidR="00637FD6" w:rsidRPr="00637FD6" w:rsidRDefault="00637FD6" w:rsidP="00637FD6">
      <w:pPr>
        <w:pStyle w:val="SingleTxtGA"/>
        <w:jc w:val="center"/>
        <w:rPr>
          <w:u w:val="single"/>
          <w:rtl/>
        </w:rPr>
      </w:pPr>
      <w:r>
        <w:rPr>
          <w:u w:val="single"/>
          <w:rtl/>
        </w:rPr>
        <w:tab/>
      </w:r>
      <w:r>
        <w:rPr>
          <w:u w:val="single"/>
          <w:rtl/>
        </w:rPr>
        <w:tab/>
      </w:r>
      <w:r>
        <w:rPr>
          <w:u w:val="single"/>
          <w:rtl/>
        </w:rPr>
        <w:tab/>
      </w:r>
    </w:p>
    <w:sectPr w:rsidR="00637FD6" w:rsidRPr="00637FD6" w:rsidSect="0050064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A1C6" w14:textId="77777777" w:rsidR="00DD6A88" w:rsidRPr="002901D9" w:rsidRDefault="00DD6A88" w:rsidP="00DC4D4B">
      <w:pPr>
        <w:spacing w:after="60" w:line="240" w:lineRule="auto"/>
        <w:ind w:left="57"/>
        <w:rPr>
          <w:i/>
          <w:iCs/>
        </w:rPr>
      </w:pPr>
      <w:r>
        <w:rPr>
          <w:rFonts w:hint="cs"/>
          <w:i/>
          <w:iCs/>
          <w:rtl/>
        </w:rPr>
        <w:t>الحواشي</w:t>
      </w:r>
    </w:p>
  </w:endnote>
  <w:endnote w:type="continuationSeparator" w:id="0">
    <w:p w14:paraId="4BA88643" w14:textId="77777777" w:rsidR="00DD6A88" w:rsidRDefault="00DD6A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1CD1" w14:textId="5A2FD1F6" w:rsidR="00DD6A88" w:rsidRPr="00A0356F" w:rsidRDefault="00DD6A88" w:rsidP="00A0356F">
    <w:pPr>
      <w:pStyle w:val="Footer"/>
      <w:tabs>
        <w:tab w:val="right" w:pos="9638"/>
      </w:tabs>
      <w:rPr>
        <w:b/>
        <w:sz w:val="18"/>
        <w:lang w:val="en-US"/>
      </w:rPr>
    </w:pPr>
    <w:r>
      <w:rPr>
        <w:lang w:val="en-US"/>
      </w:rPr>
      <w:t>GE.21-03103</w:t>
    </w:r>
    <w:r>
      <w:rPr>
        <w:lang w:val="en-US"/>
      </w:rPr>
      <w:tab/>
    </w:r>
    <w:r w:rsidRPr="00A0356F">
      <w:rPr>
        <w:b/>
        <w:sz w:val="18"/>
        <w:lang w:val="en-US"/>
      </w:rPr>
      <w:fldChar w:fldCharType="begin"/>
    </w:r>
    <w:r w:rsidRPr="00A0356F">
      <w:rPr>
        <w:b/>
        <w:sz w:val="18"/>
        <w:lang w:val="en-US"/>
      </w:rPr>
      <w:instrText xml:space="preserve"> PAGE  \* MERGEFORMAT </w:instrText>
    </w:r>
    <w:r w:rsidRPr="00A0356F">
      <w:rPr>
        <w:b/>
        <w:sz w:val="18"/>
        <w:lang w:val="en-US"/>
      </w:rPr>
      <w:fldChar w:fldCharType="separate"/>
    </w:r>
    <w:r w:rsidRPr="00A0356F">
      <w:rPr>
        <w:b/>
        <w:noProof/>
        <w:sz w:val="18"/>
        <w:lang w:val="en-US"/>
      </w:rPr>
      <w:t>2</w:t>
    </w:r>
    <w:r w:rsidRPr="00A0356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BE51" w14:textId="41A02A1D" w:rsidR="00DD6A88" w:rsidRPr="00A0356F" w:rsidRDefault="00DD6A88" w:rsidP="00A0356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09BF" w14:textId="15108FD0" w:rsidR="00DD6A88" w:rsidRPr="00A0356F" w:rsidRDefault="00DD6A88" w:rsidP="00A0356F">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5D3BCB7" wp14:editId="0BA25A8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21-03103 (A)</w:t>
    </w:r>
    <w:r>
      <w:rPr>
        <w:noProof/>
        <w:sz w:val="20"/>
        <w:lang w:val="en-US"/>
      </w:rPr>
      <w:drawing>
        <wp:anchor distT="0" distB="0" distL="114300" distR="114300" simplePos="0" relativeHeight="251659264" behindDoc="0" locked="0" layoutInCell="1" allowOverlap="1" wp14:anchorId="4F2F2733" wp14:editId="58C9E8ED">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3760F" w14:textId="77777777" w:rsidR="00DD6A88" w:rsidRPr="000437B8" w:rsidRDefault="00DD6A88" w:rsidP="00F10DAB">
      <w:pPr>
        <w:pStyle w:val="Footer"/>
        <w:bidi/>
        <w:spacing w:after="80" w:line="200" w:lineRule="exact"/>
        <w:ind w:left="680"/>
      </w:pPr>
      <w:r>
        <w:rPr>
          <w:rtl/>
        </w:rPr>
        <w:t>__________</w:t>
      </w:r>
    </w:p>
  </w:footnote>
  <w:footnote w:type="continuationSeparator" w:id="0">
    <w:p w14:paraId="5848FFEF" w14:textId="77777777" w:rsidR="00DD6A88" w:rsidRDefault="00DD6A88" w:rsidP="00656392">
      <w:pPr>
        <w:spacing w:line="240" w:lineRule="auto"/>
      </w:pPr>
      <w:r>
        <w:continuationSeparator/>
      </w:r>
    </w:p>
  </w:footnote>
  <w:footnote w:id="1">
    <w:p w14:paraId="50584770" w14:textId="1D5929B0" w:rsidR="00DD6A88" w:rsidRPr="00637FD6" w:rsidRDefault="00DD6A88" w:rsidP="00637FD6">
      <w:pPr>
        <w:pStyle w:val="FootnoteText1"/>
        <w:rPr>
          <w:rFonts w:hint="cs"/>
          <w:rtl/>
        </w:rPr>
      </w:pPr>
      <w:r>
        <w:rPr>
          <w:rtl/>
        </w:rPr>
        <w:t>*</w:t>
      </w:r>
      <w:r>
        <w:rPr>
          <w:rtl/>
        </w:rPr>
        <w:tab/>
      </w:r>
      <w:r w:rsidRPr="00610F4E">
        <w:rPr>
          <w:rtl/>
        </w:rPr>
        <w:t xml:space="preserve">اعتمدته اللجنة في دورتها </w:t>
      </w:r>
      <w:r w:rsidRPr="00E4586A">
        <w:rPr>
          <w:rtl/>
        </w:rPr>
        <w:t>130</w:t>
      </w:r>
      <w:r w:rsidRPr="00610F4E">
        <w:rPr>
          <w:rtl/>
        </w:rPr>
        <w:t xml:space="preserve"> (</w:t>
      </w:r>
      <w:r w:rsidRPr="00E4586A">
        <w:rPr>
          <w:rtl/>
        </w:rPr>
        <w:t>12</w:t>
      </w:r>
      <w:r w:rsidRPr="00610F4E">
        <w:rPr>
          <w:rtl/>
        </w:rPr>
        <w:t xml:space="preserve"> تشرين الأول/أكتوبر - </w:t>
      </w:r>
      <w:r w:rsidRPr="00E4586A">
        <w:rPr>
          <w:rtl/>
        </w:rPr>
        <w:t>6</w:t>
      </w:r>
      <w:r w:rsidRPr="00610F4E">
        <w:rPr>
          <w:rtl/>
        </w:rPr>
        <w:t xml:space="preserve"> تشرين الثاني/نوفمبر </w:t>
      </w:r>
      <w:r w:rsidRPr="00E4586A">
        <w:rPr>
          <w:rtl/>
        </w:rPr>
        <w:t>2020</w:t>
      </w:r>
      <w:r w:rsidRPr="00610F4E">
        <w:rPr>
          <w:rtl/>
        </w:rPr>
        <w:t>).</w:t>
      </w:r>
    </w:p>
  </w:footnote>
  <w:footnote w:id="2">
    <w:p w14:paraId="1C9F2834" w14:textId="57E48172" w:rsidR="00DD6A88" w:rsidRPr="00DD6A88" w:rsidRDefault="00DD6A88" w:rsidP="00637FD6">
      <w:pPr>
        <w:pStyle w:val="FootnoteText1"/>
        <w:rPr>
          <w:rFonts w:hint="cs"/>
          <w:spacing w:val="-3"/>
          <w:rtl/>
        </w:rPr>
      </w:pPr>
      <w:r>
        <w:rPr>
          <w:rtl/>
        </w:rPr>
        <w:t>**</w:t>
      </w:r>
      <w:r>
        <w:rPr>
          <w:rtl/>
        </w:rPr>
        <w:tab/>
      </w:r>
      <w:r w:rsidRPr="00610F4E">
        <w:rPr>
          <w:spacing w:val="2"/>
          <w:rtl/>
        </w:rPr>
        <w:t xml:space="preserve">شارك في دراسة هذا البلاغ أعضاء اللجنة التالية أسماؤهم: تانيا ماريا عبدو </w:t>
      </w:r>
      <w:proofErr w:type="spellStart"/>
      <w:r w:rsidRPr="00610F4E">
        <w:rPr>
          <w:spacing w:val="2"/>
          <w:rtl/>
        </w:rPr>
        <w:t>روشول</w:t>
      </w:r>
      <w:proofErr w:type="spellEnd"/>
      <w:r w:rsidRPr="00610F4E">
        <w:rPr>
          <w:spacing w:val="2"/>
          <w:rtl/>
        </w:rPr>
        <w:t>، عياض بن عاشور، عارف بلقان، أحمد</w:t>
      </w:r>
      <w:r w:rsidRPr="00610F4E">
        <w:rPr>
          <w:spacing w:val="2"/>
        </w:rPr>
        <w:t> </w:t>
      </w:r>
      <w:r w:rsidRPr="00610F4E">
        <w:rPr>
          <w:spacing w:val="2"/>
          <w:rtl/>
        </w:rPr>
        <w:t>أمين</w:t>
      </w:r>
      <w:r w:rsidRPr="00610F4E">
        <w:rPr>
          <w:rtl/>
        </w:rPr>
        <w:t xml:space="preserve"> فتح الله، </w:t>
      </w:r>
      <w:proofErr w:type="spellStart"/>
      <w:r w:rsidRPr="00610F4E">
        <w:rPr>
          <w:rtl/>
        </w:rPr>
        <w:t>فورويا</w:t>
      </w:r>
      <w:proofErr w:type="spellEnd"/>
      <w:r w:rsidRPr="00610F4E">
        <w:rPr>
          <w:rtl/>
        </w:rPr>
        <w:t xml:space="preserve"> </w:t>
      </w:r>
      <w:proofErr w:type="spellStart"/>
      <w:r w:rsidRPr="00610F4E">
        <w:rPr>
          <w:rtl/>
        </w:rPr>
        <w:t>سويتشي</w:t>
      </w:r>
      <w:proofErr w:type="spellEnd"/>
      <w:r w:rsidRPr="00610F4E">
        <w:rPr>
          <w:rtl/>
        </w:rPr>
        <w:t xml:space="preserve">، كريستوف </w:t>
      </w:r>
      <w:proofErr w:type="spellStart"/>
      <w:r w:rsidRPr="00610F4E">
        <w:rPr>
          <w:rtl/>
        </w:rPr>
        <w:t>هاينز</w:t>
      </w:r>
      <w:proofErr w:type="spellEnd"/>
      <w:r w:rsidRPr="00610F4E">
        <w:rPr>
          <w:rtl/>
        </w:rPr>
        <w:t xml:space="preserve">، </w:t>
      </w:r>
      <w:proofErr w:type="spellStart"/>
      <w:r w:rsidRPr="00610F4E">
        <w:rPr>
          <w:rtl/>
        </w:rPr>
        <w:t>باماريام</w:t>
      </w:r>
      <w:proofErr w:type="spellEnd"/>
      <w:r w:rsidRPr="00610F4E">
        <w:rPr>
          <w:rtl/>
        </w:rPr>
        <w:t xml:space="preserve"> كويتا، ديفيد ه. مور، </w:t>
      </w:r>
      <w:proofErr w:type="spellStart"/>
      <w:r w:rsidRPr="00610F4E">
        <w:rPr>
          <w:rtl/>
        </w:rPr>
        <w:t>دانكان</w:t>
      </w:r>
      <w:proofErr w:type="spellEnd"/>
      <w:r w:rsidRPr="00610F4E">
        <w:rPr>
          <w:rtl/>
        </w:rPr>
        <w:t xml:space="preserve"> </w:t>
      </w:r>
      <w:proofErr w:type="spellStart"/>
      <w:r w:rsidRPr="00610F4E">
        <w:rPr>
          <w:rtl/>
        </w:rPr>
        <w:t>لاكي</w:t>
      </w:r>
      <w:proofErr w:type="spellEnd"/>
      <w:r w:rsidRPr="00610F4E">
        <w:rPr>
          <w:rtl/>
        </w:rPr>
        <w:t xml:space="preserve"> </w:t>
      </w:r>
      <w:proofErr w:type="spellStart"/>
      <w:r w:rsidRPr="00610F4E">
        <w:rPr>
          <w:rtl/>
        </w:rPr>
        <w:t>موهوموزا</w:t>
      </w:r>
      <w:proofErr w:type="spellEnd"/>
      <w:r w:rsidRPr="00610F4E">
        <w:rPr>
          <w:rtl/>
        </w:rPr>
        <w:t xml:space="preserve">، فوتيني </w:t>
      </w:r>
      <w:proofErr w:type="spellStart"/>
      <w:r w:rsidRPr="00610F4E">
        <w:rPr>
          <w:rtl/>
        </w:rPr>
        <w:t>بزاغتزيس</w:t>
      </w:r>
      <w:proofErr w:type="spellEnd"/>
      <w:r w:rsidRPr="00610F4E">
        <w:rPr>
          <w:rtl/>
        </w:rPr>
        <w:t xml:space="preserve">، </w:t>
      </w:r>
      <w:proofErr w:type="spellStart"/>
      <w:r w:rsidRPr="00DD6A88">
        <w:rPr>
          <w:spacing w:val="-3"/>
          <w:rtl/>
        </w:rPr>
        <w:t>هيرنان</w:t>
      </w:r>
      <w:proofErr w:type="spellEnd"/>
      <w:r w:rsidRPr="00DD6A88">
        <w:rPr>
          <w:spacing w:val="-3"/>
          <w:rtl/>
        </w:rPr>
        <w:t xml:space="preserve"> </w:t>
      </w:r>
      <w:proofErr w:type="spellStart"/>
      <w:r w:rsidRPr="00DD6A88">
        <w:rPr>
          <w:spacing w:val="-3"/>
          <w:rtl/>
        </w:rPr>
        <w:t>كيسادا</w:t>
      </w:r>
      <w:proofErr w:type="spellEnd"/>
      <w:r w:rsidRPr="00DD6A88">
        <w:rPr>
          <w:spacing w:val="-3"/>
          <w:rtl/>
        </w:rPr>
        <w:t xml:space="preserve"> </w:t>
      </w:r>
      <w:proofErr w:type="spellStart"/>
      <w:r w:rsidRPr="00DD6A88">
        <w:rPr>
          <w:spacing w:val="-3"/>
          <w:rtl/>
        </w:rPr>
        <w:t>كابريرا</w:t>
      </w:r>
      <w:proofErr w:type="spellEnd"/>
      <w:r w:rsidRPr="00DD6A88">
        <w:rPr>
          <w:spacing w:val="-3"/>
          <w:rtl/>
        </w:rPr>
        <w:t xml:space="preserve">، </w:t>
      </w:r>
      <w:proofErr w:type="spellStart"/>
      <w:r w:rsidRPr="00DD6A88">
        <w:rPr>
          <w:spacing w:val="-3"/>
          <w:rtl/>
        </w:rPr>
        <w:t>فاسيلكا</w:t>
      </w:r>
      <w:proofErr w:type="spellEnd"/>
      <w:r w:rsidRPr="00DD6A88">
        <w:rPr>
          <w:spacing w:val="-3"/>
          <w:rtl/>
        </w:rPr>
        <w:t xml:space="preserve"> </w:t>
      </w:r>
      <w:proofErr w:type="spellStart"/>
      <w:r w:rsidRPr="00DD6A88">
        <w:rPr>
          <w:spacing w:val="-3"/>
          <w:rtl/>
        </w:rPr>
        <w:t>سانسين</w:t>
      </w:r>
      <w:proofErr w:type="spellEnd"/>
      <w:r w:rsidRPr="00DD6A88">
        <w:rPr>
          <w:spacing w:val="-3"/>
          <w:rtl/>
        </w:rPr>
        <w:t xml:space="preserve">، خوسيه مانويل سانتوس بيس، يوفال </w:t>
      </w:r>
      <w:proofErr w:type="spellStart"/>
      <w:r w:rsidRPr="00DD6A88">
        <w:rPr>
          <w:spacing w:val="-3"/>
          <w:rtl/>
        </w:rPr>
        <w:t>شاني</w:t>
      </w:r>
      <w:proofErr w:type="spellEnd"/>
      <w:r w:rsidRPr="00DD6A88">
        <w:rPr>
          <w:spacing w:val="-3"/>
          <w:rtl/>
        </w:rPr>
        <w:t xml:space="preserve">، إيلين </w:t>
      </w:r>
      <w:proofErr w:type="spellStart"/>
      <w:r w:rsidRPr="00DD6A88">
        <w:rPr>
          <w:spacing w:val="-3"/>
          <w:rtl/>
        </w:rPr>
        <w:t>تيغرودجا</w:t>
      </w:r>
      <w:proofErr w:type="spellEnd"/>
      <w:r w:rsidRPr="00DD6A88">
        <w:rPr>
          <w:spacing w:val="-3"/>
          <w:rtl/>
        </w:rPr>
        <w:t xml:space="preserve">، أندرياس </w:t>
      </w:r>
      <w:proofErr w:type="spellStart"/>
      <w:r w:rsidRPr="00DD6A88">
        <w:rPr>
          <w:spacing w:val="-3"/>
          <w:rtl/>
        </w:rPr>
        <w:t>زيمرمان</w:t>
      </w:r>
      <w:proofErr w:type="spellEnd"/>
      <w:r w:rsidRPr="00DD6A88">
        <w:rPr>
          <w:spacing w:val="-3"/>
          <w:rtl/>
        </w:rPr>
        <w:t xml:space="preserve">، </w:t>
      </w:r>
      <w:proofErr w:type="spellStart"/>
      <w:r w:rsidRPr="00DD6A88">
        <w:rPr>
          <w:spacing w:val="-3"/>
          <w:rtl/>
        </w:rPr>
        <w:t>جينتيان</w:t>
      </w:r>
      <w:proofErr w:type="spellEnd"/>
      <w:r w:rsidRPr="00DD6A88">
        <w:rPr>
          <w:spacing w:val="-3"/>
          <w:rtl/>
        </w:rPr>
        <w:t xml:space="preserve"> زبيري.</w:t>
      </w:r>
    </w:p>
  </w:footnote>
  <w:footnote w:id="3">
    <w:p w14:paraId="4DE67B60" w14:textId="2F8E0212" w:rsidR="00DD6A88" w:rsidRPr="00DD6A88" w:rsidRDefault="00DD6A88" w:rsidP="00637FD6">
      <w:pPr>
        <w:pStyle w:val="FootnoteText1"/>
        <w:rPr>
          <w:rFonts w:hint="cs"/>
          <w:rtl/>
          <w:lang w:val="es-ES"/>
        </w:rPr>
      </w:pPr>
      <w:r w:rsidRPr="00637FD6">
        <w:rPr>
          <w:rtl/>
        </w:rPr>
        <w:t>(</w:t>
      </w:r>
      <w:r w:rsidRPr="00E4586A">
        <w:rPr>
          <w:rStyle w:val="FootnoteReference"/>
          <w:vertAlign w:val="baseline"/>
        </w:rPr>
        <w:footnoteRef/>
      </w:r>
      <w:r w:rsidRPr="00637FD6">
        <w:rPr>
          <w:rtl/>
        </w:rPr>
        <w:t>)</w:t>
      </w:r>
      <w:r w:rsidRPr="00DD6A88">
        <w:rPr>
          <w:lang w:val="es-ES"/>
        </w:rPr>
        <w:tab/>
      </w:r>
      <w:r w:rsidRPr="00DD6A88">
        <w:rPr>
          <w:i/>
          <w:iCs/>
          <w:lang w:val="es-ES"/>
        </w:rPr>
        <w:t>Boletín Oficial del Estado</w:t>
      </w:r>
      <w:r w:rsidRPr="00DD6A88">
        <w:rPr>
          <w:lang w:val="es-ES"/>
        </w:rPr>
        <w:t xml:space="preserve">, No. 278 (20 </w:t>
      </w:r>
      <w:proofErr w:type="spellStart"/>
      <w:r w:rsidRPr="00DD6A88">
        <w:rPr>
          <w:lang w:val="es-ES"/>
        </w:rPr>
        <w:t>November</w:t>
      </w:r>
      <w:proofErr w:type="spellEnd"/>
      <w:r w:rsidRPr="00DD6A88">
        <w:rPr>
          <w:lang w:val="es-ES"/>
        </w:rPr>
        <w:t xml:space="preserve"> 1998)</w:t>
      </w:r>
      <w:r>
        <w:rPr>
          <w:rFonts w:hint="cs"/>
          <w:rtl/>
          <w:lang w:val="es-ES"/>
        </w:rPr>
        <w:t>.</w:t>
      </w:r>
    </w:p>
  </w:footnote>
  <w:footnote w:id="4">
    <w:p w14:paraId="5B1E1556" w14:textId="4366F2AA"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المرجع نفسه، رقم </w:t>
      </w:r>
      <w:r w:rsidRPr="00E4586A">
        <w:rPr>
          <w:rtl/>
        </w:rPr>
        <w:t>290</w:t>
      </w:r>
      <w:r w:rsidRPr="00610F4E">
        <w:rPr>
          <w:rtl/>
        </w:rPr>
        <w:t xml:space="preserve"> (</w:t>
      </w:r>
      <w:r w:rsidRPr="00E4586A">
        <w:rPr>
          <w:rtl/>
        </w:rPr>
        <w:t>4</w:t>
      </w:r>
      <w:r w:rsidRPr="00610F4E">
        <w:rPr>
          <w:rtl/>
        </w:rPr>
        <w:t xml:space="preserve"> كانون الأول/ديسمبر </w:t>
      </w:r>
      <w:r w:rsidRPr="00E4586A">
        <w:rPr>
          <w:rtl/>
        </w:rPr>
        <w:t>1997</w:t>
      </w:r>
      <w:r w:rsidRPr="00610F4E">
        <w:rPr>
          <w:rtl/>
        </w:rPr>
        <w:t>).</w:t>
      </w:r>
    </w:p>
  </w:footnote>
  <w:footnote w:id="5">
    <w:p w14:paraId="52AC0BE5" w14:textId="2D512CBB" w:rsidR="00DD6A88"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القضية رقم </w:t>
      </w:r>
      <w:r w:rsidRPr="00610F4E">
        <w:t>Q</w:t>
      </w:r>
      <w:r w:rsidRPr="00E4586A">
        <w:t>9817884</w:t>
      </w:r>
      <w:r w:rsidRPr="00610F4E">
        <w:rPr>
          <w:rtl/>
        </w:rPr>
        <w:t>:</w:t>
      </w:r>
    </w:p>
    <w:p w14:paraId="6F395D39" w14:textId="797683D2" w:rsidR="00DD6A88" w:rsidRPr="00637FD6" w:rsidRDefault="00DD6A88" w:rsidP="00610F4E">
      <w:pPr>
        <w:pStyle w:val="FootnoteText1"/>
        <w:ind w:left="1701"/>
        <w:rPr>
          <w:rFonts w:hint="cs"/>
          <w:rtl/>
        </w:rPr>
      </w:pPr>
      <w:r w:rsidRPr="00610F4E">
        <w:rPr>
          <w:rtl/>
        </w:rPr>
        <w:tab/>
        <w:t xml:space="preserve">ضُخمت الفوارق الحقيقية بشكل متعمد - بحيث لا تُعكس على النحو السليم الفوارق الحقيقية بين المترشحين - باللجوء إلى حيلة، لم تُذكر في الدعوة إلى الترشح، ويمكن اعتبارها تمييزية ضد بعض المترشحين (الذين حصلوا على درجات أقرب من </w:t>
      </w:r>
      <w:r w:rsidRPr="00E4586A">
        <w:rPr>
          <w:rtl/>
        </w:rPr>
        <w:t>78</w:t>
      </w:r>
      <w:r w:rsidRPr="00610F4E">
        <w:rPr>
          <w:rtl/>
        </w:rPr>
        <w:t xml:space="preserve"> نقطة)، بينما تعطي ميزة للآخرين، وتؤدي من ثم إلى انتهاك المادة </w:t>
      </w:r>
      <w:r w:rsidRPr="00E4586A">
        <w:rPr>
          <w:rtl/>
        </w:rPr>
        <w:t>14</w:t>
      </w:r>
      <w:r w:rsidRPr="00610F4E">
        <w:rPr>
          <w:rtl/>
        </w:rPr>
        <w:t xml:space="preserve"> من الدستور والحق في المساواة في تقلد الوظائف العامة المنصوص عليه في المادة </w:t>
      </w:r>
      <w:r w:rsidRPr="00E4586A">
        <w:rPr>
          <w:rtl/>
        </w:rPr>
        <w:t>23</w:t>
      </w:r>
      <w:r w:rsidRPr="00610F4E">
        <w:rPr>
          <w:rtl/>
        </w:rPr>
        <w:t>(</w:t>
      </w:r>
      <w:r w:rsidRPr="00E4586A">
        <w:rPr>
          <w:rtl/>
        </w:rPr>
        <w:t>2</w:t>
      </w:r>
      <w:r w:rsidRPr="00610F4E">
        <w:rPr>
          <w:rtl/>
        </w:rPr>
        <w:t>) من الدستور.</w:t>
      </w:r>
    </w:p>
  </w:footnote>
  <w:footnote w:id="6">
    <w:p w14:paraId="3F1AA2EB" w14:textId="00BB67D7"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أحكام شعبة المنازعات الإدارية في المحكمة الوطنية العليا: </w:t>
      </w:r>
      <w:r w:rsidRPr="00E4586A">
        <w:rPr>
          <w:rtl/>
        </w:rPr>
        <w:t>2</w:t>
      </w:r>
      <w:r w:rsidRPr="00610F4E">
        <w:rPr>
          <w:rtl/>
        </w:rPr>
        <w:t xml:space="preserve"> كانون الأول/ديسمبر </w:t>
      </w:r>
      <w:r w:rsidRPr="00E4586A">
        <w:rPr>
          <w:rtl/>
        </w:rPr>
        <w:t>2010</w:t>
      </w:r>
      <w:r w:rsidRPr="00610F4E">
        <w:rPr>
          <w:rtl/>
        </w:rPr>
        <w:t xml:space="preserve">، المطالبة رقم </w:t>
      </w:r>
      <w:r w:rsidRPr="00E4586A">
        <w:rPr>
          <w:rtl/>
        </w:rPr>
        <w:t>475</w:t>
      </w:r>
      <w:r w:rsidRPr="00610F4E">
        <w:rPr>
          <w:rtl/>
        </w:rPr>
        <w:t>/</w:t>
      </w:r>
      <w:r w:rsidRPr="00E4586A">
        <w:rPr>
          <w:rtl/>
        </w:rPr>
        <w:t>09</w:t>
      </w:r>
      <w:r w:rsidRPr="00610F4E">
        <w:rPr>
          <w:rtl/>
        </w:rPr>
        <w:t>، المقدمة من ب.</w:t>
      </w:r>
      <w:r>
        <w:rPr>
          <w:rFonts w:hint="cs"/>
          <w:rtl/>
        </w:rPr>
        <w:t xml:space="preserve"> </w:t>
      </w:r>
      <w:r w:rsidRPr="00610F4E">
        <w:rPr>
          <w:rtl/>
        </w:rPr>
        <w:t>ب.؛ و</w:t>
      </w:r>
      <w:r w:rsidRPr="00E4586A">
        <w:rPr>
          <w:rtl/>
        </w:rPr>
        <w:t>23</w:t>
      </w:r>
      <w:r w:rsidRPr="00610F4E">
        <w:rPr>
          <w:rtl/>
        </w:rPr>
        <w:t xml:space="preserve"> حزيران/</w:t>
      </w:r>
      <w:proofErr w:type="gramStart"/>
      <w:r w:rsidRPr="00610F4E">
        <w:rPr>
          <w:rtl/>
        </w:rPr>
        <w:t>يونيه</w:t>
      </w:r>
      <w:proofErr w:type="gramEnd"/>
      <w:r w:rsidRPr="00610F4E">
        <w:rPr>
          <w:rtl/>
        </w:rPr>
        <w:t xml:space="preserve"> </w:t>
      </w:r>
      <w:r w:rsidRPr="00E4586A">
        <w:rPr>
          <w:rtl/>
        </w:rPr>
        <w:t>2009</w:t>
      </w:r>
      <w:r w:rsidRPr="00610F4E">
        <w:rPr>
          <w:rtl/>
        </w:rPr>
        <w:t xml:space="preserve">، المطالبة رقم </w:t>
      </w:r>
      <w:r w:rsidRPr="00E4586A">
        <w:rPr>
          <w:rtl/>
        </w:rPr>
        <w:t>948</w:t>
      </w:r>
      <w:r w:rsidRPr="00610F4E">
        <w:rPr>
          <w:rtl/>
        </w:rPr>
        <w:t>/</w:t>
      </w:r>
      <w:r w:rsidRPr="00E4586A">
        <w:rPr>
          <w:rtl/>
        </w:rPr>
        <w:t>07</w:t>
      </w:r>
      <w:r w:rsidRPr="00610F4E">
        <w:rPr>
          <w:rtl/>
        </w:rPr>
        <w:t>، المقدمة من ف.</w:t>
      </w:r>
      <w:r>
        <w:rPr>
          <w:rFonts w:hint="cs"/>
          <w:rtl/>
        </w:rPr>
        <w:t xml:space="preserve"> </w:t>
      </w:r>
      <w:r w:rsidRPr="00610F4E">
        <w:rPr>
          <w:rtl/>
        </w:rPr>
        <w:t>ز.؛ و</w:t>
      </w:r>
      <w:r w:rsidRPr="00E4586A">
        <w:rPr>
          <w:rtl/>
        </w:rPr>
        <w:t>3</w:t>
      </w:r>
      <w:r w:rsidRPr="00610F4E">
        <w:rPr>
          <w:rtl/>
        </w:rPr>
        <w:t xml:space="preserve"> كانون الأول/ديسمبر </w:t>
      </w:r>
      <w:r w:rsidRPr="00E4586A">
        <w:rPr>
          <w:rtl/>
        </w:rPr>
        <w:t>2009</w:t>
      </w:r>
      <w:r w:rsidRPr="00610F4E">
        <w:rPr>
          <w:rtl/>
        </w:rPr>
        <w:t xml:space="preserve">، المطالبة رقم </w:t>
      </w:r>
      <w:r w:rsidRPr="00E4586A">
        <w:rPr>
          <w:rtl/>
        </w:rPr>
        <w:t>295</w:t>
      </w:r>
      <w:r w:rsidRPr="00610F4E">
        <w:rPr>
          <w:rtl/>
        </w:rPr>
        <w:t>/</w:t>
      </w:r>
      <w:r w:rsidRPr="00E4586A">
        <w:rPr>
          <w:rtl/>
        </w:rPr>
        <w:t>08</w:t>
      </w:r>
      <w:r w:rsidRPr="00610F4E">
        <w:rPr>
          <w:rtl/>
        </w:rPr>
        <w:t>، المقدمة من ز.</w:t>
      </w:r>
      <w:r>
        <w:rPr>
          <w:rFonts w:hint="cs"/>
          <w:rtl/>
        </w:rPr>
        <w:t xml:space="preserve"> </w:t>
      </w:r>
      <w:r w:rsidRPr="00610F4E">
        <w:rPr>
          <w:rtl/>
        </w:rPr>
        <w:t>س.؛ و</w:t>
      </w:r>
      <w:r w:rsidRPr="00E4586A">
        <w:rPr>
          <w:rtl/>
        </w:rPr>
        <w:t>24</w:t>
      </w:r>
      <w:r w:rsidRPr="00610F4E">
        <w:rPr>
          <w:rtl/>
        </w:rPr>
        <w:t xml:space="preserve"> كانون الثاني/يناير </w:t>
      </w:r>
      <w:r w:rsidRPr="00E4586A">
        <w:rPr>
          <w:rtl/>
        </w:rPr>
        <w:t>2011</w:t>
      </w:r>
      <w:r w:rsidRPr="00610F4E">
        <w:rPr>
          <w:rtl/>
        </w:rPr>
        <w:t xml:space="preserve">، المطالبة رقم </w:t>
      </w:r>
      <w:r w:rsidRPr="00E4586A">
        <w:rPr>
          <w:rtl/>
        </w:rPr>
        <w:t>474</w:t>
      </w:r>
      <w:r w:rsidRPr="00610F4E">
        <w:rPr>
          <w:rtl/>
        </w:rPr>
        <w:t>/</w:t>
      </w:r>
      <w:r w:rsidRPr="00E4586A">
        <w:rPr>
          <w:rtl/>
        </w:rPr>
        <w:t>09</w:t>
      </w:r>
      <w:r w:rsidRPr="00610F4E">
        <w:rPr>
          <w:rtl/>
        </w:rPr>
        <w:t xml:space="preserve"> المقدمة من ديل ر.</w:t>
      </w:r>
      <w:r>
        <w:rPr>
          <w:rFonts w:hint="cs"/>
          <w:rtl/>
        </w:rPr>
        <w:t xml:space="preserve"> </w:t>
      </w:r>
      <w:r w:rsidRPr="00610F4E">
        <w:rPr>
          <w:rtl/>
        </w:rPr>
        <w:t>م.؛ و</w:t>
      </w:r>
      <w:r w:rsidRPr="00E4586A">
        <w:rPr>
          <w:rtl/>
        </w:rPr>
        <w:t>1</w:t>
      </w:r>
      <w:r w:rsidRPr="00610F4E">
        <w:rPr>
          <w:rtl/>
        </w:rPr>
        <w:t xml:space="preserve"> تشرين الأول/أكتوبر </w:t>
      </w:r>
      <w:r w:rsidRPr="00E4586A">
        <w:rPr>
          <w:rtl/>
        </w:rPr>
        <w:t>2009</w:t>
      </w:r>
      <w:r w:rsidRPr="00610F4E">
        <w:rPr>
          <w:rtl/>
        </w:rPr>
        <w:t xml:space="preserve">، المطالبة رقم </w:t>
      </w:r>
      <w:r w:rsidRPr="00E4586A">
        <w:rPr>
          <w:rtl/>
        </w:rPr>
        <w:t>77</w:t>
      </w:r>
      <w:r w:rsidRPr="00610F4E">
        <w:rPr>
          <w:rtl/>
        </w:rPr>
        <w:t>/</w:t>
      </w:r>
      <w:r w:rsidRPr="00E4586A">
        <w:rPr>
          <w:rtl/>
        </w:rPr>
        <w:t>06</w:t>
      </w:r>
      <w:r w:rsidRPr="00610F4E">
        <w:rPr>
          <w:rtl/>
        </w:rPr>
        <w:t>، المقدمة من م.</w:t>
      </w:r>
      <w:r>
        <w:rPr>
          <w:rFonts w:hint="cs"/>
          <w:rtl/>
        </w:rPr>
        <w:t xml:space="preserve"> </w:t>
      </w:r>
      <w:r w:rsidRPr="00610F4E">
        <w:rPr>
          <w:rtl/>
        </w:rPr>
        <w:t>ه.؛ و</w:t>
      </w:r>
      <w:r w:rsidRPr="00E4586A">
        <w:rPr>
          <w:rtl/>
        </w:rPr>
        <w:t>30</w:t>
      </w:r>
      <w:r w:rsidRPr="00610F4E">
        <w:rPr>
          <w:rtl/>
        </w:rPr>
        <w:t xml:space="preserve"> حزيران/يونيه </w:t>
      </w:r>
      <w:r w:rsidRPr="00E4586A">
        <w:rPr>
          <w:rtl/>
        </w:rPr>
        <w:t>2011</w:t>
      </w:r>
      <w:r w:rsidRPr="00610F4E">
        <w:rPr>
          <w:rtl/>
        </w:rPr>
        <w:t xml:space="preserve">، المطالبة رقم </w:t>
      </w:r>
      <w:r w:rsidRPr="00E4586A">
        <w:rPr>
          <w:rtl/>
        </w:rPr>
        <w:t>463</w:t>
      </w:r>
      <w:r w:rsidRPr="00610F4E">
        <w:rPr>
          <w:rtl/>
        </w:rPr>
        <w:t>/</w:t>
      </w:r>
      <w:r w:rsidRPr="00E4586A">
        <w:rPr>
          <w:rtl/>
        </w:rPr>
        <w:t>09</w:t>
      </w:r>
      <w:r w:rsidRPr="00610F4E">
        <w:rPr>
          <w:rtl/>
        </w:rPr>
        <w:t>، المقدمة من</w:t>
      </w:r>
      <w:r>
        <w:rPr>
          <w:rFonts w:hint="cs"/>
          <w:rtl/>
        </w:rPr>
        <w:t> </w:t>
      </w:r>
      <w:r w:rsidRPr="00610F4E">
        <w:rPr>
          <w:rtl/>
        </w:rPr>
        <w:t>س.</w:t>
      </w:r>
      <w:r>
        <w:rPr>
          <w:rFonts w:hint="cs"/>
          <w:rtl/>
        </w:rPr>
        <w:t xml:space="preserve"> </w:t>
      </w:r>
      <w:r w:rsidRPr="00610F4E">
        <w:rPr>
          <w:rtl/>
        </w:rPr>
        <w:t>ف.</w:t>
      </w:r>
    </w:p>
  </w:footnote>
  <w:footnote w:id="7">
    <w:p w14:paraId="78E8AF7F" w14:textId="4C4ECE85"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DD6A88">
        <w:rPr>
          <w:spacing w:val="-4"/>
          <w:rtl/>
        </w:rPr>
        <w:t xml:space="preserve">الأحكام الصادرة عن القسم السابع من شعبة المنازعات الإدارية في المحكمة العليا: </w:t>
      </w:r>
      <w:r w:rsidRPr="00E4586A">
        <w:rPr>
          <w:spacing w:val="-4"/>
          <w:rtl/>
        </w:rPr>
        <w:t>27</w:t>
      </w:r>
      <w:r w:rsidRPr="00DD6A88">
        <w:rPr>
          <w:spacing w:val="-4"/>
          <w:rtl/>
        </w:rPr>
        <w:t xml:space="preserve"> آذار/مارس </w:t>
      </w:r>
      <w:r w:rsidRPr="00E4586A">
        <w:rPr>
          <w:spacing w:val="-4"/>
          <w:rtl/>
        </w:rPr>
        <w:t>2012</w:t>
      </w:r>
      <w:r w:rsidRPr="00DD6A88">
        <w:rPr>
          <w:spacing w:val="-4"/>
          <w:rtl/>
        </w:rPr>
        <w:t xml:space="preserve">، الطعن رقم </w:t>
      </w:r>
      <w:r w:rsidRPr="00E4586A">
        <w:rPr>
          <w:spacing w:val="-4"/>
          <w:rtl/>
        </w:rPr>
        <w:t>524</w:t>
      </w:r>
      <w:r w:rsidRPr="00DD6A88">
        <w:rPr>
          <w:spacing w:val="-4"/>
          <w:rtl/>
        </w:rPr>
        <w:t>/</w:t>
      </w:r>
      <w:r w:rsidRPr="00E4586A">
        <w:rPr>
          <w:spacing w:val="-4"/>
          <w:rtl/>
        </w:rPr>
        <w:t>2011</w:t>
      </w:r>
      <w:r w:rsidRPr="00DD6A88">
        <w:rPr>
          <w:spacing w:val="-4"/>
          <w:rtl/>
        </w:rPr>
        <w:t>،</w:t>
      </w:r>
      <w:r w:rsidRPr="00610F4E">
        <w:rPr>
          <w:rtl/>
        </w:rPr>
        <w:t xml:space="preserve"> المقدم من ب.</w:t>
      </w:r>
      <w:r>
        <w:rPr>
          <w:rFonts w:hint="cs"/>
          <w:rtl/>
        </w:rPr>
        <w:t xml:space="preserve"> </w:t>
      </w:r>
      <w:r w:rsidRPr="00610F4E">
        <w:rPr>
          <w:rtl/>
        </w:rPr>
        <w:t>ب.؛ و</w:t>
      </w:r>
      <w:r w:rsidRPr="00E4586A">
        <w:rPr>
          <w:rtl/>
        </w:rPr>
        <w:t>27</w:t>
      </w:r>
      <w:r w:rsidRPr="00610F4E">
        <w:rPr>
          <w:rtl/>
        </w:rPr>
        <w:t xml:space="preserve"> آذار/مارس </w:t>
      </w:r>
      <w:r w:rsidRPr="00E4586A">
        <w:rPr>
          <w:rtl/>
        </w:rPr>
        <w:t>2012</w:t>
      </w:r>
      <w:r w:rsidRPr="00610F4E">
        <w:rPr>
          <w:rtl/>
        </w:rPr>
        <w:t xml:space="preserve">، الطعن رقم </w:t>
      </w:r>
      <w:r w:rsidRPr="00E4586A">
        <w:rPr>
          <w:rtl/>
        </w:rPr>
        <w:t>918</w:t>
      </w:r>
      <w:r w:rsidRPr="00610F4E">
        <w:rPr>
          <w:rtl/>
        </w:rPr>
        <w:t>/</w:t>
      </w:r>
      <w:r w:rsidRPr="00E4586A">
        <w:rPr>
          <w:rtl/>
        </w:rPr>
        <w:t>2010</w:t>
      </w:r>
      <w:r w:rsidRPr="00610F4E">
        <w:rPr>
          <w:rtl/>
        </w:rPr>
        <w:t>، المقدم من ز.</w:t>
      </w:r>
      <w:r>
        <w:rPr>
          <w:rFonts w:hint="cs"/>
          <w:rtl/>
        </w:rPr>
        <w:t xml:space="preserve"> </w:t>
      </w:r>
      <w:r w:rsidRPr="00610F4E">
        <w:rPr>
          <w:rtl/>
        </w:rPr>
        <w:t>س.؛ و</w:t>
      </w:r>
      <w:r w:rsidRPr="00E4586A">
        <w:rPr>
          <w:rtl/>
        </w:rPr>
        <w:t>27</w:t>
      </w:r>
      <w:r w:rsidRPr="00610F4E">
        <w:rPr>
          <w:rtl/>
        </w:rPr>
        <w:t xml:space="preserve"> آذار/مارس </w:t>
      </w:r>
      <w:r w:rsidRPr="00E4586A">
        <w:rPr>
          <w:rtl/>
        </w:rPr>
        <w:t>2012</w:t>
      </w:r>
      <w:r w:rsidRPr="00610F4E">
        <w:rPr>
          <w:rtl/>
        </w:rPr>
        <w:t>، الطعن</w:t>
      </w:r>
      <w:r>
        <w:rPr>
          <w:rFonts w:hint="cs"/>
          <w:rtl/>
        </w:rPr>
        <w:t> </w:t>
      </w:r>
      <w:r w:rsidRPr="00610F4E">
        <w:rPr>
          <w:rtl/>
        </w:rPr>
        <w:t>رقم</w:t>
      </w:r>
      <w:r>
        <w:rPr>
          <w:rFonts w:hint="cs"/>
          <w:rtl/>
        </w:rPr>
        <w:t> </w:t>
      </w:r>
      <w:r w:rsidRPr="00E4586A">
        <w:rPr>
          <w:rtl/>
        </w:rPr>
        <w:t>4780</w:t>
      </w:r>
      <w:r w:rsidRPr="00610F4E">
        <w:rPr>
          <w:rtl/>
        </w:rPr>
        <w:t>/</w:t>
      </w:r>
      <w:r w:rsidRPr="00E4586A">
        <w:rPr>
          <w:rtl/>
        </w:rPr>
        <w:t>2009</w:t>
      </w:r>
      <w:r w:rsidRPr="00610F4E">
        <w:rPr>
          <w:rtl/>
        </w:rPr>
        <w:t>، المقدم من ف. ز.؛ و</w:t>
      </w:r>
      <w:r w:rsidRPr="00E4586A">
        <w:rPr>
          <w:rtl/>
        </w:rPr>
        <w:t>27</w:t>
      </w:r>
      <w:r w:rsidRPr="00610F4E">
        <w:rPr>
          <w:rtl/>
        </w:rPr>
        <w:t xml:space="preserve"> آذار/مارس </w:t>
      </w:r>
      <w:r w:rsidRPr="00E4586A">
        <w:rPr>
          <w:rtl/>
        </w:rPr>
        <w:t>2012</w:t>
      </w:r>
      <w:r w:rsidRPr="00610F4E">
        <w:rPr>
          <w:rtl/>
        </w:rPr>
        <w:t xml:space="preserve">، الطعن رقم </w:t>
      </w:r>
      <w:r w:rsidRPr="00E4586A">
        <w:rPr>
          <w:rtl/>
        </w:rPr>
        <w:t>1124</w:t>
      </w:r>
      <w:r w:rsidRPr="00610F4E">
        <w:rPr>
          <w:rtl/>
        </w:rPr>
        <w:t>/</w:t>
      </w:r>
      <w:r w:rsidRPr="00E4586A">
        <w:rPr>
          <w:rtl/>
        </w:rPr>
        <w:t>2011</w:t>
      </w:r>
      <w:r w:rsidRPr="00610F4E">
        <w:rPr>
          <w:rtl/>
        </w:rPr>
        <w:t>، المقدم من ديل ر.</w:t>
      </w:r>
      <w:r>
        <w:rPr>
          <w:rFonts w:hint="cs"/>
          <w:rtl/>
        </w:rPr>
        <w:t xml:space="preserve"> </w:t>
      </w:r>
      <w:r w:rsidRPr="00610F4E">
        <w:rPr>
          <w:rtl/>
        </w:rPr>
        <w:t>م.؛ و</w:t>
      </w:r>
      <w:r w:rsidRPr="00E4586A">
        <w:rPr>
          <w:rtl/>
        </w:rPr>
        <w:t>13</w:t>
      </w:r>
      <w:r>
        <w:rPr>
          <w:rFonts w:hint="cs"/>
          <w:rtl/>
        </w:rPr>
        <w:t> </w:t>
      </w:r>
      <w:r w:rsidRPr="00610F4E">
        <w:rPr>
          <w:rtl/>
        </w:rPr>
        <w:t xml:space="preserve">شباط/فبراير </w:t>
      </w:r>
      <w:r w:rsidRPr="00E4586A">
        <w:rPr>
          <w:rtl/>
        </w:rPr>
        <w:t>2012</w:t>
      </w:r>
      <w:r w:rsidRPr="00610F4E">
        <w:rPr>
          <w:rtl/>
        </w:rPr>
        <w:t xml:space="preserve">، الطعن رقم </w:t>
      </w:r>
      <w:r w:rsidRPr="00E4586A">
        <w:rPr>
          <w:rtl/>
        </w:rPr>
        <w:t>6884</w:t>
      </w:r>
      <w:r w:rsidRPr="00610F4E">
        <w:rPr>
          <w:rtl/>
        </w:rPr>
        <w:t>/</w:t>
      </w:r>
      <w:r w:rsidRPr="00E4586A">
        <w:rPr>
          <w:rtl/>
        </w:rPr>
        <w:t>2009</w:t>
      </w:r>
      <w:r w:rsidRPr="00610F4E">
        <w:rPr>
          <w:rtl/>
        </w:rPr>
        <w:t>، المقدم من م.</w:t>
      </w:r>
      <w:r>
        <w:rPr>
          <w:rFonts w:hint="cs"/>
          <w:rtl/>
        </w:rPr>
        <w:t xml:space="preserve"> </w:t>
      </w:r>
      <w:r w:rsidRPr="00610F4E">
        <w:rPr>
          <w:rtl/>
        </w:rPr>
        <w:t>ه.؛ و</w:t>
      </w:r>
      <w:r w:rsidRPr="00E4586A">
        <w:rPr>
          <w:rtl/>
        </w:rPr>
        <w:t>28</w:t>
      </w:r>
      <w:r w:rsidRPr="00610F4E">
        <w:rPr>
          <w:rtl/>
        </w:rPr>
        <w:t xml:space="preserve"> أيلول/سبتمبر </w:t>
      </w:r>
      <w:r w:rsidRPr="00E4586A">
        <w:rPr>
          <w:rtl/>
        </w:rPr>
        <w:t>2012</w:t>
      </w:r>
      <w:r w:rsidRPr="00610F4E">
        <w:rPr>
          <w:rtl/>
        </w:rPr>
        <w:t xml:space="preserve">، الطعن رقم </w:t>
      </w:r>
      <w:r w:rsidRPr="00E4586A">
        <w:rPr>
          <w:rtl/>
        </w:rPr>
        <w:t>4721</w:t>
      </w:r>
      <w:r w:rsidRPr="00610F4E">
        <w:rPr>
          <w:rtl/>
        </w:rPr>
        <w:t>/</w:t>
      </w:r>
      <w:r w:rsidRPr="00E4586A">
        <w:rPr>
          <w:rtl/>
        </w:rPr>
        <w:t>2011</w:t>
      </w:r>
      <w:r w:rsidRPr="00610F4E">
        <w:rPr>
          <w:rtl/>
        </w:rPr>
        <w:t>، المقدم من س.</w:t>
      </w:r>
      <w:r>
        <w:rPr>
          <w:rFonts w:hint="cs"/>
          <w:rtl/>
        </w:rPr>
        <w:t xml:space="preserve"> </w:t>
      </w:r>
      <w:r w:rsidRPr="00610F4E">
        <w:rPr>
          <w:rtl/>
        </w:rPr>
        <w:t>ف.</w:t>
      </w:r>
    </w:p>
  </w:footnote>
  <w:footnote w:id="8">
    <w:p w14:paraId="7158C5F6" w14:textId="701B3AAB"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قرارات المحكمة الدستورية: </w:t>
      </w:r>
      <w:r w:rsidRPr="00E4586A">
        <w:rPr>
          <w:rtl/>
        </w:rPr>
        <w:t>24</w:t>
      </w:r>
      <w:r w:rsidRPr="00610F4E">
        <w:rPr>
          <w:rtl/>
        </w:rPr>
        <w:t xml:space="preserve"> تشرين الأول/أكتوبر </w:t>
      </w:r>
      <w:r w:rsidRPr="00E4586A">
        <w:rPr>
          <w:rtl/>
        </w:rPr>
        <w:t>2012</w:t>
      </w:r>
      <w:r w:rsidRPr="00610F4E">
        <w:rPr>
          <w:rtl/>
        </w:rPr>
        <w:t>، القسم الثالث من الدائرة الثانية، استئناف مقدم من ب.</w:t>
      </w:r>
      <w:r w:rsidR="0021068A">
        <w:rPr>
          <w:rFonts w:hint="cs"/>
          <w:rtl/>
        </w:rPr>
        <w:t xml:space="preserve"> </w:t>
      </w:r>
      <w:r w:rsidRPr="00610F4E">
        <w:rPr>
          <w:rtl/>
        </w:rPr>
        <w:t>ب.؛ و</w:t>
      </w:r>
      <w:r w:rsidRPr="00E4586A">
        <w:rPr>
          <w:rtl/>
        </w:rPr>
        <w:t>18</w:t>
      </w:r>
      <w:r w:rsidR="0021068A">
        <w:rPr>
          <w:rFonts w:hint="cs"/>
          <w:rtl/>
        </w:rPr>
        <w:t> </w:t>
      </w:r>
      <w:r w:rsidRPr="00610F4E">
        <w:rPr>
          <w:rtl/>
        </w:rPr>
        <w:t xml:space="preserve">تشرين الأول/أكتوبر </w:t>
      </w:r>
      <w:r w:rsidRPr="00E4586A">
        <w:rPr>
          <w:rtl/>
        </w:rPr>
        <w:t>2012</w:t>
      </w:r>
      <w:r w:rsidRPr="00610F4E">
        <w:rPr>
          <w:rtl/>
        </w:rPr>
        <w:t>، القسم الثالث من الدائرة الأولى، استئناف مقدم من ز.</w:t>
      </w:r>
      <w:r w:rsidR="0021068A">
        <w:rPr>
          <w:rFonts w:hint="cs"/>
          <w:rtl/>
        </w:rPr>
        <w:t xml:space="preserve"> </w:t>
      </w:r>
      <w:r w:rsidRPr="00610F4E">
        <w:rPr>
          <w:rtl/>
        </w:rPr>
        <w:t>س.؛ و</w:t>
      </w:r>
      <w:r w:rsidRPr="00E4586A">
        <w:rPr>
          <w:rtl/>
        </w:rPr>
        <w:t>10</w:t>
      </w:r>
      <w:r w:rsidRPr="00610F4E">
        <w:rPr>
          <w:rtl/>
        </w:rPr>
        <w:t xml:space="preserve"> تشرين الأول/أكتوبر </w:t>
      </w:r>
      <w:r w:rsidRPr="00E4586A">
        <w:rPr>
          <w:rtl/>
        </w:rPr>
        <w:t>2012</w:t>
      </w:r>
      <w:r w:rsidRPr="00610F4E">
        <w:rPr>
          <w:rtl/>
        </w:rPr>
        <w:t>، القسم الثالث من الدائرة الثانية، استئناف مقدم من ف.</w:t>
      </w:r>
      <w:r w:rsidR="0021068A">
        <w:rPr>
          <w:rFonts w:hint="cs"/>
          <w:rtl/>
        </w:rPr>
        <w:t xml:space="preserve"> </w:t>
      </w:r>
      <w:r w:rsidRPr="00610F4E">
        <w:rPr>
          <w:rtl/>
        </w:rPr>
        <w:t>ز.؛ و</w:t>
      </w:r>
      <w:r w:rsidRPr="00E4586A">
        <w:rPr>
          <w:rtl/>
        </w:rPr>
        <w:t>18</w:t>
      </w:r>
      <w:r w:rsidRPr="00610F4E">
        <w:rPr>
          <w:rtl/>
        </w:rPr>
        <w:t xml:space="preserve"> تشرين الأول/أكتوبر </w:t>
      </w:r>
      <w:r w:rsidRPr="00E4586A">
        <w:rPr>
          <w:rtl/>
        </w:rPr>
        <w:t>2012</w:t>
      </w:r>
      <w:r w:rsidRPr="00610F4E">
        <w:rPr>
          <w:rtl/>
        </w:rPr>
        <w:t>، القسم الثالث من الدائرة الثانية، استئناف مقدم من ديل ر.م.؛ و</w:t>
      </w:r>
      <w:r w:rsidRPr="00E4586A">
        <w:rPr>
          <w:rtl/>
        </w:rPr>
        <w:t>30</w:t>
      </w:r>
      <w:r w:rsidRPr="00610F4E">
        <w:rPr>
          <w:rtl/>
        </w:rPr>
        <w:t xml:space="preserve"> تشرين الأول/أكتوبر </w:t>
      </w:r>
      <w:r w:rsidRPr="00E4586A">
        <w:rPr>
          <w:rtl/>
        </w:rPr>
        <w:t>2013</w:t>
      </w:r>
      <w:r w:rsidRPr="00610F4E">
        <w:rPr>
          <w:rtl/>
        </w:rPr>
        <w:t>، القسم الأول من الدائرة الأولى، استئناف مقدم من م.</w:t>
      </w:r>
      <w:r w:rsidR="0021068A">
        <w:rPr>
          <w:rFonts w:hint="cs"/>
          <w:rtl/>
        </w:rPr>
        <w:t xml:space="preserve"> </w:t>
      </w:r>
      <w:r w:rsidRPr="00610F4E">
        <w:rPr>
          <w:rtl/>
        </w:rPr>
        <w:t>ه.؛ و</w:t>
      </w:r>
      <w:r w:rsidRPr="00E4586A">
        <w:rPr>
          <w:rtl/>
        </w:rPr>
        <w:t>21</w:t>
      </w:r>
      <w:r w:rsidR="0021068A">
        <w:rPr>
          <w:rFonts w:hint="cs"/>
          <w:rtl/>
        </w:rPr>
        <w:t> </w:t>
      </w:r>
      <w:r w:rsidRPr="00610F4E">
        <w:rPr>
          <w:rtl/>
        </w:rPr>
        <w:t xml:space="preserve">تموز/يوليه </w:t>
      </w:r>
      <w:r w:rsidRPr="00E4586A">
        <w:rPr>
          <w:rtl/>
        </w:rPr>
        <w:t>2014</w:t>
      </w:r>
      <w:r w:rsidRPr="00610F4E">
        <w:rPr>
          <w:rtl/>
        </w:rPr>
        <w:t>، القسم الثالث من الدائرة الثانية، استئناف مقدم من س.</w:t>
      </w:r>
      <w:r w:rsidR="0021068A">
        <w:rPr>
          <w:rFonts w:hint="cs"/>
          <w:rtl/>
        </w:rPr>
        <w:t xml:space="preserve"> </w:t>
      </w:r>
      <w:r w:rsidRPr="00610F4E">
        <w:rPr>
          <w:rtl/>
        </w:rPr>
        <w:t>ف..</w:t>
      </w:r>
    </w:p>
  </w:footnote>
  <w:footnote w:id="9">
    <w:p w14:paraId="30863170" w14:textId="2744E13A"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تستشهد صاحبات البلاغ بالتعليق العام رقم </w:t>
      </w:r>
      <w:r w:rsidRPr="00E4586A">
        <w:rPr>
          <w:rtl/>
        </w:rPr>
        <w:t>18</w:t>
      </w:r>
      <w:r w:rsidRPr="00610F4E">
        <w:rPr>
          <w:rtl/>
        </w:rPr>
        <w:t>(</w:t>
      </w:r>
      <w:r w:rsidRPr="00E4586A">
        <w:rPr>
          <w:rtl/>
        </w:rPr>
        <w:t>1989</w:t>
      </w:r>
      <w:r w:rsidRPr="00610F4E">
        <w:rPr>
          <w:rtl/>
        </w:rPr>
        <w:t xml:space="preserve">)، الفقرتين </w:t>
      </w:r>
      <w:r w:rsidRPr="00E4586A">
        <w:rPr>
          <w:rtl/>
        </w:rPr>
        <w:t>1</w:t>
      </w:r>
      <w:r w:rsidRPr="00610F4E">
        <w:rPr>
          <w:rtl/>
        </w:rPr>
        <w:t xml:space="preserve"> و</w:t>
      </w:r>
      <w:r w:rsidRPr="00E4586A">
        <w:rPr>
          <w:rtl/>
        </w:rPr>
        <w:t>12</w:t>
      </w:r>
      <w:r w:rsidRPr="00610F4E">
        <w:rPr>
          <w:rtl/>
        </w:rPr>
        <w:t xml:space="preserve">، </w:t>
      </w:r>
      <w:proofErr w:type="spellStart"/>
      <w:r w:rsidRPr="00610F4E">
        <w:rPr>
          <w:rtl/>
        </w:rPr>
        <w:t>و</w:t>
      </w:r>
      <w:r w:rsidRPr="0021068A">
        <w:rPr>
          <w:i/>
          <w:iCs/>
          <w:rtl/>
        </w:rPr>
        <w:t>فوان</w:t>
      </w:r>
      <w:proofErr w:type="spellEnd"/>
      <w:r w:rsidRPr="0021068A">
        <w:rPr>
          <w:i/>
          <w:iCs/>
          <w:rtl/>
        </w:rPr>
        <w:t xml:space="preserve"> ضد فرنسا</w:t>
      </w:r>
      <w:r w:rsidRPr="00610F4E">
        <w:rPr>
          <w:rtl/>
        </w:rPr>
        <w:t xml:space="preserve"> (</w:t>
      </w:r>
      <w:r w:rsidRPr="00610F4E">
        <w:t>CCPR/C/</w:t>
      </w:r>
      <w:r w:rsidRPr="00E4586A">
        <w:t>67</w:t>
      </w:r>
      <w:r w:rsidRPr="00610F4E">
        <w:t>/D/</w:t>
      </w:r>
      <w:r w:rsidRPr="00E4586A">
        <w:t>666</w:t>
      </w:r>
      <w:r w:rsidRPr="00610F4E">
        <w:t>/</w:t>
      </w:r>
      <w:r w:rsidRPr="00E4586A">
        <w:t>1995</w:t>
      </w:r>
      <w:r w:rsidRPr="00610F4E">
        <w:rPr>
          <w:rtl/>
        </w:rPr>
        <w:t xml:space="preserve">)، الفقرة </w:t>
      </w:r>
      <w:r w:rsidRPr="00E4586A">
        <w:rPr>
          <w:rtl/>
        </w:rPr>
        <w:t>10</w:t>
      </w:r>
      <w:r w:rsidRPr="00610F4E">
        <w:rPr>
          <w:rtl/>
        </w:rPr>
        <w:t>-</w:t>
      </w:r>
      <w:r w:rsidRPr="00E4586A">
        <w:rPr>
          <w:rtl/>
        </w:rPr>
        <w:t>3</w:t>
      </w:r>
      <w:r w:rsidRPr="00610F4E">
        <w:rPr>
          <w:rtl/>
        </w:rPr>
        <w:t>، وبأمثلة أخرى على اجتهادات اللجنة.</w:t>
      </w:r>
    </w:p>
  </w:footnote>
  <w:footnote w:id="10">
    <w:p w14:paraId="4FBD55AB" w14:textId="1BDB3E99"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الأحكام رقم </w:t>
      </w:r>
      <w:r w:rsidRPr="00E4586A">
        <w:rPr>
          <w:rtl/>
        </w:rPr>
        <w:t>10</w:t>
      </w:r>
      <w:r w:rsidRPr="00610F4E">
        <w:rPr>
          <w:rtl/>
        </w:rPr>
        <w:t>/</w:t>
      </w:r>
      <w:r w:rsidRPr="00E4586A">
        <w:rPr>
          <w:rtl/>
        </w:rPr>
        <w:t>1998</w:t>
      </w:r>
      <w:r w:rsidRPr="00610F4E">
        <w:rPr>
          <w:rtl/>
        </w:rPr>
        <w:t xml:space="preserve">، المؤرخ </w:t>
      </w:r>
      <w:r w:rsidRPr="00E4586A">
        <w:rPr>
          <w:rtl/>
        </w:rPr>
        <w:t>13</w:t>
      </w:r>
      <w:r w:rsidRPr="00610F4E">
        <w:rPr>
          <w:rtl/>
        </w:rPr>
        <w:t xml:space="preserve"> كانون الثاني/يناير، ورقم </w:t>
      </w:r>
      <w:r w:rsidRPr="00E4586A">
        <w:rPr>
          <w:rtl/>
        </w:rPr>
        <w:t>85</w:t>
      </w:r>
      <w:r w:rsidRPr="00610F4E">
        <w:rPr>
          <w:rtl/>
        </w:rPr>
        <w:t>/</w:t>
      </w:r>
      <w:r w:rsidRPr="00E4586A">
        <w:rPr>
          <w:rtl/>
        </w:rPr>
        <w:t>1998</w:t>
      </w:r>
      <w:r w:rsidRPr="00610F4E">
        <w:rPr>
          <w:rtl/>
        </w:rPr>
        <w:t xml:space="preserve">، المؤرخ </w:t>
      </w:r>
      <w:r w:rsidRPr="00E4586A">
        <w:rPr>
          <w:rtl/>
        </w:rPr>
        <w:t>20</w:t>
      </w:r>
      <w:r w:rsidRPr="00610F4E">
        <w:rPr>
          <w:rtl/>
        </w:rPr>
        <w:t xml:space="preserve"> أيار/مايو، ورقم </w:t>
      </w:r>
      <w:r w:rsidRPr="00E4586A">
        <w:rPr>
          <w:rtl/>
        </w:rPr>
        <w:t>210</w:t>
      </w:r>
      <w:r w:rsidRPr="00610F4E">
        <w:rPr>
          <w:rtl/>
        </w:rPr>
        <w:t>/</w:t>
      </w:r>
      <w:r w:rsidRPr="00E4586A">
        <w:rPr>
          <w:rtl/>
        </w:rPr>
        <w:t>2002</w:t>
      </w:r>
      <w:r w:rsidRPr="00610F4E">
        <w:rPr>
          <w:rtl/>
        </w:rPr>
        <w:t xml:space="preserve">، المؤرخ </w:t>
      </w:r>
      <w:r w:rsidRPr="00E4586A">
        <w:rPr>
          <w:rtl/>
        </w:rPr>
        <w:t>11</w:t>
      </w:r>
      <w:r w:rsidRPr="00610F4E">
        <w:rPr>
          <w:rtl/>
        </w:rPr>
        <w:t xml:space="preserve"> تشرين الثاني/نوفمبر.</w:t>
      </w:r>
    </w:p>
  </w:footnote>
  <w:footnote w:id="11">
    <w:p w14:paraId="503838F5" w14:textId="2F8C1483"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proofErr w:type="spellStart"/>
      <w:r w:rsidRPr="0021068A">
        <w:rPr>
          <w:i/>
          <w:iCs/>
          <w:spacing w:val="-4"/>
          <w:rtl/>
        </w:rPr>
        <w:t>بيرتيلي</w:t>
      </w:r>
      <w:proofErr w:type="spellEnd"/>
      <w:r w:rsidRPr="0021068A">
        <w:rPr>
          <w:i/>
          <w:iCs/>
          <w:spacing w:val="-4"/>
          <w:rtl/>
        </w:rPr>
        <w:t xml:space="preserve"> </w:t>
      </w:r>
      <w:proofErr w:type="spellStart"/>
      <w:r w:rsidRPr="0021068A">
        <w:rPr>
          <w:i/>
          <w:iCs/>
          <w:spacing w:val="-4"/>
          <w:rtl/>
        </w:rPr>
        <w:t>غالفيز</w:t>
      </w:r>
      <w:proofErr w:type="spellEnd"/>
      <w:r w:rsidRPr="0021068A">
        <w:rPr>
          <w:i/>
          <w:iCs/>
          <w:spacing w:val="-4"/>
          <w:rtl/>
        </w:rPr>
        <w:t xml:space="preserve"> ضد إسبانيا</w:t>
      </w:r>
      <w:r w:rsidRPr="0021068A">
        <w:rPr>
          <w:spacing w:val="-4"/>
          <w:rtl/>
        </w:rPr>
        <w:t xml:space="preserve"> (</w:t>
      </w:r>
      <w:r w:rsidRPr="0021068A">
        <w:rPr>
          <w:spacing w:val="-4"/>
        </w:rPr>
        <w:t>CCPR/C/</w:t>
      </w:r>
      <w:r w:rsidRPr="00E4586A">
        <w:rPr>
          <w:spacing w:val="-4"/>
        </w:rPr>
        <w:t>84</w:t>
      </w:r>
      <w:r w:rsidRPr="0021068A">
        <w:rPr>
          <w:spacing w:val="-4"/>
        </w:rPr>
        <w:t>/D/</w:t>
      </w:r>
      <w:r w:rsidRPr="00E4586A">
        <w:rPr>
          <w:spacing w:val="-4"/>
        </w:rPr>
        <w:t>1389</w:t>
      </w:r>
      <w:r w:rsidRPr="0021068A">
        <w:rPr>
          <w:spacing w:val="-4"/>
        </w:rPr>
        <w:t>/</w:t>
      </w:r>
      <w:r w:rsidRPr="00E4586A">
        <w:rPr>
          <w:spacing w:val="-4"/>
        </w:rPr>
        <w:t>2005</w:t>
      </w:r>
      <w:r w:rsidRPr="0021068A">
        <w:rPr>
          <w:spacing w:val="-4"/>
          <w:rtl/>
        </w:rPr>
        <w:t xml:space="preserve">)، الفقرة </w:t>
      </w:r>
      <w:r w:rsidRPr="00E4586A">
        <w:rPr>
          <w:spacing w:val="-4"/>
          <w:rtl/>
        </w:rPr>
        <w:t>4</w:t>
      </w:r>
      <w:r w:rsidRPr="0021068A">
        <w:rPr>
          <w:spacing w:val="-4"/>
          <w:rtl/>
        </w:rPr>
        <w:t>-</w:t>
      </w:r>
      <w:r w:rsidRPr="00E4586A">
        <w:rPr>
          <w:spacing w:val="-4"/>
          <w:rtl/>
        </w:rPr>
        <w:t>3</w:t>
      </w:r>
      <w:r w:rsidRPr="0021068A">
        <w:rPr>
          <w:spacing w:val="-4"/>
          <w:rtl/>
        </w:rPr>
        <w:t xml:space="preserve">، </w:t>
      </w:r>
      <w:proofErr w:type="spellStart"/>
      <w:r w:rsidRPr="0021068A">
        <w:rPr>
          <w:spacing w:val="-4"/>
          <w:rtl/>
        </w:rPr>
        <w:t>و</w:t>
      </w:r>
      <w:r w:rsidRPr="0021068A">
        <w:rPr>
          <w:i/>
          <w:iCs/>
          <w:spacing w:val="-4"/>
          <w:rtl/>
        </w:rPr>
        <w:t>ودوياك</w:t>
      </w:r>
      <w:proofErr w:type="spellEnd"/>
      <w:r w:rsidRPr="0021068A">
        <w:rPr>
          <w:i/>
          <w:iCs/>
          <w:spacing w:val="-4"/>
          <w:rtl/>
        </w:rPr>
        <w:t xml:space="preserve"> ضد بولندا</w:t>
      </w:r>
      <w:r w:rsidRPr="0021068A">
        <w:rPr>
          <w:spacing w:val="-4"/>
          <w:rtl/>
        </w:rPr>
        <w:t xml:space="preserve"> (</w:t>
      </w:r>
      <w:r w:rsidRPr="0021068A">
        <w:rPr>
          <w:spacing w:val="-4"/>
        </w:rPr>
        <w:t>CCPR/C/</w:t>
      </w:r>
      <w:r w:rsidRPr="00E4586A">
        <w:rPr>
          <w:spacing w:val="-4"/>
        </w:rPr>
        <w:t>88</w:t>
      </w:r>
      <w:r w:rsidRPr="0021068A">
        <w:rPr>
          <w:spacing w:val="-4"/>
        </w:rPr>
        <w:t>/D/</w:t>
      </w:r>
      <w:r w:rsidRPr="00E4586A">
        <w:rPr>
          <w:spacing w:val="-4"/>
        </w:rPr>
        <w:t>1446</w:t>
      </w:r>
      <w:r w:rsidRPr="0021068A">
        <w:rPr>
          <w:spacing w:val="-4"/>
        </w:rPr>
        <w:t>/</w:t>
      </w:r>
      <w:r w:rsidRPr="00E4586A">
        <w:rPr>
          <w:spacing w:val="-4"/>
        </w:rPr>
        <w:t>2006</w:t>
      </w:r>
      <w:r w:rsidRPr="0021068A">
        <w:rPr>
          <w:spacing w:val="-4"/>
          <w:rtl/>
        </w:rPr>
        <w:t>)،</w:t>
      </w:r>
      <w:r w:rsidRPr="00610F4E">
        <w:rPr>
          <w:rtl/>
        </w:rPr>
        <w:t xml:space="preserve"> </w:t>
      </w:r>
      <w:r w:rsidRPr="0021068A">
        <w:rPr>
          <w:spacing w:val="2"/>
          <w:rtl/>
        </w:rPr>
        <w:t xml:space="preserve">الفقرة </w:t>
      </w:r>
      <w:r w:rsidRPr="00E4586A">
        <w:rPr>
          <w:spacing w:val="2"/>
          <w:rtl/>
        </w:rPr>
        <w:t>6</w:t>
      </w:r>
      <w:r w:rsidRPr="0021068A">
        <w:rPr>
          <w:spacing w:val="2"/>
          <w:rtl/>
        </w:rPr>
        <w:t>-</w:t>
      </w:r>
      <w:r w:rsidRPr="00E4586A">
        <w:rPr>
          <w:spacing w:val="2"/>
          <w:rtl/>
        </w:rPr>
        <w:t>2</w:t>
      </w:r>
      <w:r w:rsidRPr="0021068A">
        <w:rPr>
          <w:spacing w:val="2"/>
          <w:rtl/>
        </w:rPr>
        <w:t xml:space="preserve">، </w:t>
      </w:r>
      <w:proofErr w:type="spellStart"/>
      <w:r w:rsidRPr="0021068A">
        <w:rPr>
          <w:spacing w:val="2"/>
          <w:rtl/>
        </w:rPr>
        <w:t>و</w:t>
      </w:r>
      <w:r w:rsidRPr="0021068A">
        <w:rPr>
          <w:i/>
          <w:iCs/>
          <w:spacing w:val="2"/>
          <w:rtl/>
        </w:rPr>
        <w:t>الزيري</w:t>
      </w:r>
      <w:proofErr w:type="spellEnd"/>
      <w:r w:rsidRPr="0021068A">
        <w:rPr>
          <w:i/>
          <w:iCs/>
          <w:spacing w:val="2"/>
          <w:rtl/>
        </w:rPr>
        <w:t xml:space="preserve"> ضد السويد</w:t>
      </w:r>
      <w:r w:rsidRPr="0021068A">
        <w:rPr>
          <w:spacing w:val="2"/>
          <w:rtl/>
        </w:rPr>
        <w:t xml:space="preserve"> (</w:t>
      </w:r>
      <w:r w:rsidRPr="0021068A">
        <w:rPr>
          <w:spacing w:val="2"/>
        </w:rPr>
        <w:t>CCPR/C/</w:t>
      </w:r>
      <w:r w:rsidRPr="00E4586A">
        <w:rPr>
          <w:spacing w:val="2"/>
        </w:rPr>
        <w:t>88</w:t>
      </w:r>
      <w:r w:rsidRPr="0021068A">
        <w:rPr>
          <w:spacing w:val="2"/>
        </w:rPr>
        <w:t>/D/</w:t>
      </w:r>
      <w:r w:rsidRPr="00E4586A">
        <w:rPr>
          <w:spacing w:val="2"/>
        </w:rPr>
        <w:t>1416</w:t>
      </w:r>
      <w:r w:rsidRPr="0021068A">
        <w:rPr>
          <w:spacing w:val="2"/>
        </w:rPr>
        <w:t>/</w:t>
      </w:r>
      <w:r w:rsidRPr="00E4586A">
        <w:rPr>
          <w:spacing w:val="2"/>
        </w:rPr>
        <w:t>2005</w:t>
      </w:r>
      <w:r w:rsidRPr="0021068A">
        <w:rPr>
          <w:spacing w:val="2"/>
          <w:rtl/>
        </w:rPr>
        <w:t xml:space="preserve">)، الفقرة </w:t>
      </w:r>
      <w:r w:rsidRPr="00E4586A">
        <w:rPr>
          <w:spacing w:val="2"/>
          <w:rtl/>
        </w:rPr>
        <w:t>8</w:t>
      </w:r>
      <w:r w:rsidRPr="0021068A">
        <w:rPr>
          <w:spacing w:val="2"/>
          <w:rtl/>
        </w:rPr>
        <w:t>-</w:t>
      </w:r>
      <w:r w:rsidRPr="00E4586A">
        <w:rPr>
          <w:spacing w:val="2"/>
          <w:rtl/>
        </w:rPr>
        <w:t>1</w:t>
      </w:r>
      <w:r w:rsidRPr="0021068A">
        <w:rPr>
          <w:spacing w:val="2"/>
          <w:rtl/>
        </w:rPr>
        <w:t xml:space="preserve">، </w:t>
      </w:r>
      <w:proofErr w:type="spellStart"/>
      <w:r w:rsidRPr="0021068A">
        <w:rPr>
          <w:spacing w:val="2"/>
          <w:rtl/>
        </w:rPr>
        <w:t>و</w:t>
      </w:r>
      <w:r w:rsidRPr="0021068A">
        <w:rPr>
          <w:i/>
          <w:iCs/>
          <w:spacing w:val="2"/>
          <w:rtl/>
        </w:rPr>
        <w:t>قولييف</w:t>
      </w:r>
      <w:proofErr w:type="spellEnd"/>
      <w:r w:rsidRPr="0021068A">
        <w:rPr>
          <w:i/>
          <w:iCs/>
          <w:spacing w:val="2"/>
          <w:rtl/>
        </w:rPr>
        <w:t xml:space="preserve"> ضد أذربيجان</w:t>
      </w:r>
      <w:r w:rsidRPr="0021068A">
        <w:rPr>
          <w:spacing w:val="2"/>
          <w:rtl/>
        </w:rPr>
        <w:t xml:space="preserve"> (</w:t>
      </w:r>
      <w:r w:rsidRPr="0021068A">
        <w:rPr>
          <w:spacing w:val="2"/>
        </w:rPr>
        <w:t>CCPR/C/</w:t>
      </w:r>
      <w:r w:rsidRPr="00E4586A">
        <w:rPr>
          <w:spacing w:val="2"/>
        </w:rPr>
        <w:t>112</w:t>
      </w:r>
      <w:r w:rsidRPr="0021068A">
        <w:rPr>
          <w:spacing w:val="2"/>
        </w:rPr>
        <w:t>/D/</w:t>
      </w:r>
      <w:r w:rsidRPr="00E4586A">
        <w:rPr>
          <w:spacing w:val="2"/>
        </w:rPr>
        <w:t>1972</w:t>
      </w:r>
      <w:r w:rsidRPr="0021068A">
        <w:rPr>
          <w:spacing w:val="2"/>
        </w:rPr>
        <w:t>/</w:t>
      </w:r>
      <w:r w:rsidRPr="00E4586A">
        <w:rPr>
          <w:spacing w:val="2"/>
        </w:rPr>
        <w:t>2010</w:t>
      </w:r>
      <w:r w:rsidRPr="0021068A">
        <w:rPr>
          <w:spacing w:val="2"/>
          <w:rtl/>
        </w:rPr>
        <w:t xml:space="preserve"> </w:t>
      </w:r>
      <w:r w:rsidRPr="00610F4E">
        <w:rPr>
          <w:rtl/>
        </w:rPr>
        <w:t>و</w:t>
      </w:r>
      <w:r w:rsidRPr="00610F4E">
        <w:t>Corr.</w:t>
      </w:r>
      <w:r w:rsidRPr="00E4586A">
        <w:t>1</w:t>
      </w:r>
      <w:r w:rsidRPr="00610F4E">
        <w:rPr>
          <w:rtl/>
        </w:rPr>
        <w:t xml:space="preserve">)، الفقرة </w:t>
      </w:r>
      <w:r w:rsidRPr="00E4586A">
        <w:rPr>
          <w:rtl/>
        </w:rPr>
        <w:t>8</w:t>
      </w:r>
      <w:r w:rsidRPr="00610F4E">
        <w:rPr>
          <w:rtl/>
        </w:rPr>
        <w:t>-</w:t>
      </w:r>
      <w:r w:rsidRPr="00E4586A">
        <w:rPr>
          <w:rtl/>
        </w:rPr>
        <w:t>2</w:t>
      </w:r>
      <w:r w:rsidRPr="00610F4E">
        <w:rPr>
          <w:rtl/>
        </w:rPr>
        <w:t>.</w:t>
      </w:r>
    </w:p>
  </w:footnote>
  <w:footnote w:id="12">
    <w:p w14:paraId="0AA119FF" w14:textId="06552EEB"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r w:rsidRPr="00610F4E">
        <w:rPr>
          <w:rtl/>
        </w:rPr>
        <w:t xml:space="preserve">التعليق العام رقم </w:t>
      </w:r>
      <w:r w:rsidRPr="00E4586A">
        <w:rPr>
          <w:rtl/>
        </w:rPr>
        <w:t>32</w:t>
      </w:r>
      <w:r w:rsidRPr="00610F4E">
        <w:rPr>
          <w:rtl/>
        </w:rPr>
        <w:t>(</w:t>
      </w:r>
      <w:r w:rsidRPr="00E4586A">
        <w:rPr>
          <w:rtl/>
        </w:rPr>
        <w:t>2007</w:t>
      </w:r>
      <w:r w:rsidRPr="00610F4E">
        <w:rPr>
          <w:rtl/>
        </w:rPr>
        <w:t xml:space="preserve">)، الفقرة </w:t>
      </w:r>
      <w:r w:rsidRPr="00E4586A">
        <w:rPr>
          <w:rtl/>
        </w:rPr>
        <w:t>26</w:t>
      </w:r>
      <w:r w:rsidRPr="00610F4E">
        <w:rPr>
          <w:rtl/>
        </w:rPr>
        <w:t>.</w:t>
      </w:r>
    </w:p>
  </w:footnote>
  <w:footnote w:id="13">
    <w:p w14:paraId="2DB20843" w14:textId="4D270092" w:rsidR="00DD6A88" w:rsidRPr="00637FD6" w:rsidRDefault="00DD6A88" w:rsidP="00637FD6">
      <w:pPr>
        <w:pStyle w:val="FootnoteText1"/>
        <w:rPr>
          <w:rFonts w:hint="cs"/>
          <w:rtl/>
        </w:rPr>
      </w:pPr>
      <w:r w:rsidRPr="00637FD6">
        <w:rPr>
          <w:rtl/>
        </w:rPr>
        <w:t>(</w:t>
      </w:r>
      <w:r w:rsidRPr="00E4586A">
        <w:rPr>
          <w:rStyle w:val="FootnoteReference"/>
          <w:vertAlign w:val="baseline"/>
        </w:rPr>
        <w:footnoteRef/>
      </w:r>
      <w:r w:rsidRPr="00637FD6">
        <w:rPr>
          <w:rtl/>
        </w:rPr>
        <w:t>)</w:t>
      </w:r>
      <w:r>
        <w:tab/>
      </w:r>
      <w:proofErr w:type="spellStart"/>
      <w:r w:rsidRPr="0021068A">
        <w:rPr>
          <w:i/>
          <w:iCs/>
          <w:rtl/>
        </w:rPr>
        <w:t>ريدل</w:t>
      </w:r>
      <w:proofErr w:type="spellEnd"/>
      <w:r w:rsidR="0021068A" w:rsidRPr="0021068A">
        <w:rPr>
          <w:rFonts w:hint="cs"/>
          <w:i/>
          <w:iCs/>
          <w:rtl/>
        </w:rPr>
        <w:t xml:space="preserve"> </w:t>
      </w:r>
      <w:r w:rsidRPr="0021068A">
        <w:rPr>
          <w:i/>
          <w:iCs/>
          <w:rtl/>
        </w:rPr>
        <w:t>-</w:t>
      </w:r>
      <w:r w:rsidR="0021068A" w:rsidRPr="0021068A">
        <w:rPr>
          <w:rFonts w:hint="cs"/>
          <w:i/>
          <w:iCs/>
          <w:rtl/>
        </w:rPr>
        <w:t xml:space="preserve"> </w:t>
      </w:r>
      <w:proofErr w:type="spellStart"/>
      <w:r w:rsidRPr="0021068A">
        <w:rPr>
          <w:i/>
          <w:iCs/>
          <w:rtl/>
        </w:rPr>
        <w:t>ريدنشتاين</w:t>
      </w:r>
      <w:proofErr w:type="spellEnd"/>
      <w:r w:rsidRPr="0021068A">
        <w:rPr>
          <w:i/>
          <w:iCs/>
          <w:rtl/>
        </w:rPr>
        <w:t xml:space="preserve"> وآخرون ضد ألمانيا</w:t>
      </w:r>
      <w:r w:rsidRPr="00610F4E">
        <w:rPr>
          <w:rtl/>
        </w:rPr>
        <w:t xml:space="preserve"> (</w:t>
      </w:r>
      <w:r w:rsidRPr="00610F4E">
        <w:t>CCPR/C/</w:t>
      </w:r>
      <w:r w:rsidRPr="00E4586A">
        <w:t>82</w:t>
      </w:r>
      <w:r w:rsidRPr="00610F4E">
        <w:t>/D/</w:t>
      </w:r>
      <w:r w:rsidRPr="00E4586A">
        <w:t>1188</w:t>
      </w:r>
      <w:r w:rsidRPr="00610F4E">
        <w:t>/</w:t>
      </w:r>
      <w:r w:rsidRPr="00E4586A">
        <w:t>2003</w:t>
      </w:r>
      <w:r w:rsidRPr="00610F4E">
        <w:rPr>
          <w:rtl/>
        </w:rPr>
        <w:t xml:space="preserve">)، الفقرة </w:t>
      </w:r>
      <w:r w:rsidRPr="00E4586A">
        <w:rPr>
          <w:rtl/>
        </w:rPr>
        <w:t>7</w:t>
      </w:r>
      <w:r w:rsidRPr="00610F4E">
        <w:rPr>
          <w:rtl/>
        </w:rPr>
        <w:t>-</w:t>
      </w:r>
      <w:r w:rsidRPr="00E4586A">
        <w:rPr>
          <w:rtl/>
        </w:rPr>
        <w:t>3</w:t>
      </w:r>
      <w:r w:rsidRPr="00610F4E">
        <w:rPr>
          <w:rtl/>
        </w:rPr>
        <w:t xml:space="preserve">، </w:t>
      </w:r>
      <w:proofErr w:type="spellStart"/>
      <w:r w:rsidRPr="00610F4E">
        <w:rPr>
          <w:rtl/>
        </w:rPr>
        <w:t>و</w:t>
      </w:r>
      <w:r w:rsidRPr="0021068A">
        <w:rPr>
          <w:i/>
          <w:iCs/>
          <w:rtl/>
        </w:rPr>
        <w:t>شيدكو</w:t>
      </w:r>
      <w:proofErr w:type="spellEnd"/>
      <w:r w:rsidRPr="0021068A">
        <w:rPr>
          <w:i/>
          <w:iCs/>
          <w:rtl/>
        </w:rPr>
        <w:t xml:space="preserve"> ضد بيلاروس</w:t>
      </w:r>
      <w:r w:rsidRPr="00610F4E">
        <w:rPr>
          <w:rtl/>
        </w:rPr>
        <w:t xml:space="preserve"> (</w:t>
      </w:r>
      <w:r w:rsidRPr="00610F4E">
        <w:t>CCPR/C/</w:t>
      </w:r>
      <w:r w:rsidRPr="00E4586A">
        <w:t>77</w:t>
      </w:r>
      <w:r w:rsidRPr="00610F4E">
        <w:t>/D/</w:t>
      </w:r>
      <w:r w:rsidRPr="00E4586A">
        <w:t>886</w:t>
      </w:r>
      <w:r w:rsidRPr="00610F4E">
        <w:t>/</w:t>
      </w:r>
      <w:r w:rsidRPr="00E4586A">
        <w:t>1999</w:t>
      </w:r>
      <w:r w:rsidRPr="00610F4E">
        <w:rPr>
          <w:rtl/>
        </w:rPr>
        <w:t xml:space="preserve">)، الفقرة </w:t>
      </w:r>
      <w:r w:rsidRPr="00E4586A">
        <w:rPr>
          <w:rtl/>
        </w:rPr>
        <w:t>9</w:t>
      </w:r>
      <w:r w:rsidRPr="00610F4E">
        <w:rPr>
          <w:rtl/>
        </w:rPr>
        <w:t>-</w:t>
      </w:r>
      <w:r w:rsidRPr="00E4586A">
        <w:rPr>
          <w:rtl/>
        </w:rPr>
        <w:t>3</w:t>
      </w:r>
      <w:r w:rsidRPr="00610F4E">
        <w:rPr>
          <w:rtl/>
        </w:rPr>
        <w:t xml:space="preserve">، </w:t>
      </w:r>
      <w:proofErr w:type="spellStart"/>
      <w:r w:rsidRPr="00610F4E">
        <w:rPr>
          <w:rtl/>
        </w:rPr>
        <w:t>و</w:t>
      </w:r>
      <w:r w:rsidRPr="0021068A">
        <w:rPr>
          <w:i/>
          <w:iCs/>
          <w:rtl/>
        </w:rPr>
        <w:t>رودر</w:t>
      </w:r>
      <w:proofErr w:type="spellEnd"/>
      <w:r w:rsidRPr="0021068A">
        <w:rPr>
          <w:i/>
          <w:iCs/>
          <w:rtl/>
        </w:rPr>
        <w:t xml:space="preserve"> </w:t>
      </w:r>
      <w:proofErr w:type="spellStart"/>
      <w:r w:rsidRPr="0021068A">
        <w:rPr>
          <w:i/>
          <w:iCs/>
          <w:rtl/>
        </w:rPr>
        <w:t>ورودر</w:t>
      </w:r>
      <w:proofErr w:type="spellEnd"/>
      <w:r w:rsidRPr="0021068A">
        <w:rPr>
          <w:i/>
          <w:iCs/>
          <w:rtl/>
        </w:rPr>
        <w:t xml:space="preserve"> ضد ألمانيا</w:t>
      </w:r>
      <w:r w:rsidRPr="00610F4E">
        <w:rPr>
          <w:rtl/>
        </w:rPr>
        <w:t xml:space="preserve"> (</w:t>
      </w:r>
      <w:r w:rsidRPr="00610F4E">
        <w:t>CCPR/C/</w:t>
      </w:r>
      <w:r w:rsidRPr="00E4586A">
        <w:t>80</w:t>
      </w:r>
      <w:r w:rsidRPr="00610F4E">
        <w:t>/D/</w:t>
      </w:r>
      <w:r w:rsidRPr="00E4586A">
        <w:t>1138</w:t>
      </w:r>
      <w:r w:rsidRPr="00610F4E">
        <w:t>/</w:t>
      </w:r>
      <w:r w:rsidRPr="00E4586A">
        <w:t>2002</w:t>
      </w:r>
      <w:r w:rsidRPr="00610F4E">
        <w:rPr>
          <w:rtl/>
        </w:rPr>
        <w:t xml:space="preserve">)، الفقرة </w:t>
      </w:r>
      <w:r w:rsidRPr="00E4586A">
        <w:rPr>
          <w:rtl/>
        </w:rPr>
        <w:t>8</w:t>
      </w:r>
      <w:r w:rsidRPr="00610F4E">
        <w:rPr>
          <w:rtl/>
        </w:rPr>
        <w:t>-</w:t>
      </w:r>
      <w:r w:rsidRPr="00E4586A">
        <w:rPr>
          <w:rtl/>
        </w:rPr>
        <w:t>6</w:t>
      </w:r>
      <w:r w:rsidRPr="00610F4E">
        <w:rPr>
          <w:rtl/>
        </w:rPr>
        <w:t>، و</w:t>
      </w:r>
      <w:r w:rsidRPr="0021068A">
        <w:rPr>
          <w:i/>
          <w:iCs/>
          <w:rtl/>
        </w:rPr>
        <w:t>ف. ب. ل. ضد كوستاريكا</w:t>
      </w:r>
      <w:r w:rsidRPr="00610F4E">
        <w:rPr>
          <w:rtl/>
        </w:rPr>
        <w:t xml:space="preserve"> (</w:t>
      </w:r>
      <w:r w:rsidRPr="00610F4E">
        <w:t>CCPR/C/</w:t>
      </w:r>
      <w:r w:rsidRPr="00E4586A">
        <w:t>109</w:t>
      </w:r>
      <w:r w:rsidRPr="00610F4E">
        <w:t>/D/</w:t>
      </w:r>
      <w:r w:rsidRPr="00E4586A">
        <w:t>1612</w:t>
      </w:r>
      <w:r w:rsidRPr="00610F4E">
        <w:t>/</w:t>
      </w:r>
      <w:r w:rsidRPr="00E4586A">
        <w:t>2007</w:t>
      </w:r>
      <w:r w:rsidRPr="00610F4E">
        <w:rPr>
          <w:rtl/>
        </w:rPr>
        <w:t xml:space="preserve">)، الفقرة </w:t>
      </w:r>
      <w:r w:rsidRPr="00E4586A">
        <w:rPr>
          <w:rtl/>
        </w:rPr>
        <w:t>4</w:t>
      </w:r>
      <w:r w:rsidRPr="00610F4E">
        <w:rPr>
          <w:rtl/>
        </w:rPr>
        <w:t>-</w:t>
      </w:r>
      <w:r w:rsidRPr="00E4586A">
        <w:rPr>
          <w:rtl/>
        </w:rPr>
        <w:t>2</w:t>
      </w:r>
      <w:r w:rsidRPr="00610F4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7731" w14:textId="786E0F4B" w:rsidR="00DD6A88" w:rsidRPr="00A0356F" w:rsidRDefault="00DD6A88" w:rsidP="00A0356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CCPR/C/130/D/3778/2020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ABFD" w14:textId="33C1DB62" w:rsidR="00DD6A88" w:rsidRPr="00A0356F" w:rsidRDefault="00DD6A88" w:rsidP="00A0356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CCPR/C/130/D/3778/2020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85"/>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068A"/>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B0A1C"/>
    <w:rsid w:val="004B27E0"/>
    <w:rsid w:val="004D298E"/>
    <w:rsid w:val="00500648"/>
    <w:rsid w:val="005044B3"/>
    <w:rsid w:val="00517BC9"/>
    <w:rsid w:val="0054472E"/>
    <w:rsid w:val="005662A9"/>
    <w:rsid w:val="005827D4"/>
    <w:rsid w:val="0058508B"/>
    <w:rsid w:val="0059622A"/>
    <w:rsid w:val="005B51C4"/>
    <w:rsid w:val="005C0061"/>
    <w:rsid w:val="005C5878"/>
    <w:rsid w:val="005C7CEA"/>
    <w:rsid w:val="005D3C0B"/>
    <w:rsid w:val="005E5217"/>
    <w:rsid w:val="005E574D"/>
    <w:rsid w:val="005F0FA4"/>
    <w:rsid w:val="005F30EE"/>
    <w:rsid w:val="005F5271"/>
    <w:rsid w:val="0060473A"/>
    <w:rsid w:val="00610F4E"/>
    <w:rsid w:val="00617024"/>
    <w:rsid w:val="00637FD6"/>
    <w:rsid w:val="00652221"/>
    <w:rsid w:val="00656392"/>
    <w:rsid w:val="006645EC"/>
    <w:rsid w:val="00681C36"/>
    <w:rsid w:val="0068781D"/>
    <w:rsid w:val="006959B0"/>
    <w:rsid w:val="006B3E27"/>
    <w:rsid w:val="006B6507"/>
    <w:rsid w:val="006C104C"/>
    <w:rsid w:val="006C632E"/>
    <w:rsid w:val="00717FB3"/>
    <w:rsid w:val="00730446"/>
    <w:rsid w:val="00733704"/>
    <w:rsid w:val="007653C1"/>
    <w:rsid w:val="0078071A"/>
    <w:rsid w:val="00787022"/>
    <w:rsid w:val="00787E1E"/>
    <w:rsid w:val="007A7A85"/>
    <w:rsid w:val="00852A9A"/>
    <w:rsid w:val="008D443F"/>
    <w:rsid w:val="008F49E1"/>
    <w:rsid w:val="0090370F"/>
    <w:rsid w:val="009269D2"/>
    <w:rsid w:val="00942135"/>
    <w:rsid w:val="009521B0"/>
    <w:rsid w:val="00957437"/>
    <w:rsid w:val="00982139"/>
    <w:rsid w:val="00985C28"/>
    <w:rsid w:val="009867A8"/>
    <w:rsid w:val="00991F44"/>
    <w:rsid w:val="009A0CFB"/>
    <w:rsid w:val="009A7E9F"/>
    <w:rsid w:val="009C17EC"/>
    <w:rsid w:val="009D58C2"/>
    <w:rsid w:val="009E5018"/>
    <w:rsid w:val="00A0356F"/>
    <w:rsid w:val="00A03700"/>
    <w:rsid w:val="00A053F2"/>
    <w:rsid w:val="00A12B37"/>
    <w:rsid w:val="00A54828"/>
    <w:rsid w:val="00A97E1F"/>
    <w:rsid w:val="00AB512E"/>
    <w:rsid w:val="00AB6758"/>
    <w:rsid w:val="00AB727F"/>
    <w:rsid w:val="00AF7F1B"/>
    <w:rsid w:val="00B13763"/>
    <w:rsid w:val="00B477A4"/>
    <w:rsid w:val="00B54045"/>
    <w:rsid w:val="00B63ADD"/>
    <w:rsid w:val="00B9684B"/>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84044"/>
    <w:rsid w:val="00D914A7"/>
    <w:rsid w:val="00DC4D4B"/>
    <w:rsid w:val="00DD13C3"/>
    <w:rsid w:val="00DD596E"/>
    <w:rsid w:val="00DD621E"/>
    <w:rsid w:val="00DD6A88"/>
    <w:rsid w:val="00DE50B1"/>
    <w:rsid w:val="00DF0138"/>
    <w:rsid w:val="00DF0575"/>
    <w:rsid w:val="00E2228E"/>
    <w:rsid w:val="00E4586A"/>
    <w:rsid w:val="00E70E04"/>
    <w:rsid w:val="00E77E6C"/>
    <w:rsid w:val="00E83ED5"/>
    <w:rsid w:val="00EC05A7"/>
    <w:rsid w:val="00EC4B6B"/>
    <w:rsid w:val="00EC68A5"/>
    <w:rsid w:val="00ED7442"/>
    <w:rsid w:val="00EF1EE5"/>
    <w:rsid w:val="00EF52CB"/>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FA82B4"/>
  <w15:docId w15:val="{E28A2154-1FFB-400A-9CC3-880A966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1337</Words>
  <Characters>10583</Characters>
  <Application>Microsoft Office Word</Application>
  <DocSecurity>0</DocSecurity>
  <Lines>1175</Lines>
  <Paragraphs>744</Paragraphs>
  <ScaleCrop>false</ScaleCrop>
  <HeadingPairs>
    <vt:vector size="2" baseType="variant">
      <vt:variant>
        <vt:lpstr>Title</vt:lpstr>
      </vt:variant>
      <vt:variant>
        <vt:i4>1</vt:i4>
      </vt:variant>
    </vt:vector>
  </HeadingPairs>
  <TitlesOfParts>
    <vt:vector size="1" baseType="lpstr">
      <vt:lpstr>CCPR/C/130/D/3778/2020</vt:lpstr>
    </vt:vector>
  </TitlesOfParts>
  <Company>DCM</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CCPR/C/130/D/3778/2020</dc:title>
  <dc:subject>GE.2103103(A)</dc:subject>
  <dc:creator>Gamal MAHMOUD - S. Oussar</dc:creator>
  <cp:keywords>GE.2105710(A)</cp:keywords>
  <dc:description>Distr.: General_x000d_
5 March 2021_x000d_
Original: Spanish</dc:description>
  <cp:lastModifiedBy>Gamal MAHMOUD</cp:lastModifiedBy>
  <cp:revision>2</cp:revision>
  <dcterms:created xsi:type="dcterms:W3CDTF">2021-04-19T10:43:00Z</dcterms:created>
  <dcterms:modified xsi:type="dcterms:W3CDTF">2021-04-19T10:43:00Z</dcterms:modified>
  <cp:category>Finale</cp:category>
</cp:coreProperties>
</file>