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BF3E80" w14:paraId="255DC8B7" w14:textId="77777777" w:rsidTr="00B614C4">
        <w:trPr>
          <w:trHeight w:hRule="exact" w:val="851"/>
        </w:trPr>
        <w:tc>
          <w:tcPr>
            <w:tcW w:w="1280" w:type="dxa"/>
            <w:tcBorders>
              <w:bottom w:val="single" w:sz="4" w:space="0" w:color="auto"/>
            </w:tcBorders>
          </w:tcPr>
          <w:p w14:paraId="20778B38" w14:textId="58447616" w:rsidR="00CE1D1C" w:rsidRPr="00BF3E80" w:rsidRDefault="00CE1D1C" w:rsidP="00B614C4">
            <w:pPr>
              <w:pStyle w:val="H23GC"/>
            </w:pPr>
          </w:p>
        </w:tc>
        <w:tc>
          <w:tcPr>
            <w:tcW w:w="2273" w:type="dxa"/>
            <w:tcBorders>
              <w:bottom w:val="single" w:sz="4" w:space="0" w:color="auto"/>
            </w:tcBorders>
            <w:vAlign w:val="bottom"/>
          </w:tcPr>
          <w:p w14:paraId="25249E64" w14:textId="77777777" w:rsidR="00CE1D1C" w:rsidRPr="00BF3E80" w:rsidRDefault="00CE1D1C" w:rsidP="00B614C4">
            <w:pPr>
              <w:spacing w:after="80" w:line="300" w:lineRule="exact"/>
              <w:rPr>
                <w:rFonts w:ascii="Time New Roman" w:eastAsia="黑体" w:hAnsi="Time New Roman" w:hint="eastAsia"/>
                <w:sz w:val="28"/>
              </w:rPr>
            </w:pPr>
            <w:r w:rsidRPr="00BF3E80">
              <w:rPr>
                <w:rFonts w:ascii="宋体" w:eastAsia="黑体" w:hAnsi="宋体" w:cs="宋体" w:hint="eastAsia"/>
                <w:sz w:val="28"/>
              </w:rPr>
              <w:t>联</w:t>
            </w:r>
            <w:r w:rsidRPr="00BF3E80">
              <w:rPr>
                <w:rFonts w:ascii="Time New Roman" w:eastAsia="黑体" w:hAnsi="Time New Roman" w:hint="eastAsia"/>
                <w:sz w:val="28"/>
              </w:rPr>
              <w:t xml:space="preserve"> </w:t>
            </w:r>
            <w:r w:rsidRPr="00BF3E80">
              <w:rPr>
                <w:rFonts w:ascii="宋体" w:eastAsia="黑体" w:hAnsi="宋体" w:cs="宋体" w:hint="eastAsia"/>
                <w:sz w:val="28"/>
              </w:rPr>
              <w:t>合</w:t>
            </w:r>
            <w:r w:rsidRPr="00BF3E80">
              <w:rPr>
                <w:rFonts w:ascii="Time New Roman" w:eastAsia="黑体" w:hAnsi="Time New Roman" w:hint="eastAsia"/>
                <w:sz w:val="28"/>
              </w:rPr>
              <w:t xml:space="preserve"> </w:t>
            </w:r>
            <w:r w:rsidRPr="00BF3E80">
              <w:rPr>
                <w:rFonts w:ascii="宋体" w:eastAsia="黑体" w:hAnsi="宋体" w:cs="宋体" w:hint="eastAsia"/>
                <w:sz w:val="28"/>
              </w:rPr>
              <w:t>国</w:t>
            </w:r>
          </w:p>
        </w:tc>
        <w:tc>
          <w:tcPr>
            <w:tcW w:w="6086" w:type="dxa"/>
            <w:gridSpan w:val="2"/>
            <w:tcBorders>
              <w:bottom w:val="single" w:sz="4" w:space="0" w:color="auto"/>
            </w:tcBorders>
            <w:vAlign w:val="bottom"/>
          </w:tcPr>
          <w:p w14:paraId="08DD1AE7" w14:textId="77777777" w:rsidR="00CE1D1C" w:rsidRPr="00BF3E80" w:rsidRDefault="004F0C8C" w:rsidP="00B614C4">
            <w:pPr>
              <w:spacing w:line="240" w:lineRule="atLeast"/>
              <w:jc w:val="right"/>
              <w:rPr>
                <w:sz w:val="20"/>
                <w:szCs w:val="21"/>
              </w:rPr>
            </w:pPr>
            <w:proofErr w:type="spellStart"/>
            <w:r w:rsidRPr="00BF3E80">
              <w:rPr>
                <w:sz w:val="40"/>
                <w:szCs w:val="21"/>
              </w:rPr>
              <w:t>CCPR</w:t>
            </w:r>
            <w:proofErr w:type="spellEnd"/>
            <w:r w:rsidRPr="00BF3E80">
              <w:rPr>
                <w:sz w:val="20"/>
                <w:szCs w:val="21"/>
              </w:rPr>
              <w:t>/C/131/D/2578/2015</w:t>
            </w:r>
          </w:p>
        </w:tc>
      </w:tr>
      <w:tr w:rsidR="00CE1D1C" w:rsidRPr="00BF3E80" w14:paraId="75C09A96" w14:textId="77777777" w:rsidTr="00B614C4">
        <w:trPr>
          <w:trHeight w:hRule="exact" w:val="2835"/>
        </w:trPr>
        <w:tc>
          <w:tcPr>
            <w:tcW w:w="1280" w:type="dxa"/>
            <w:tcBorders>
              <w:top w:val="single" w:sz="4" w:space="0" w:color="auto"/>
              <w:bottom w:val="single" w:sz="12" w:space="0" w:color="auto"/>
            </w:tcBorders>
          </w:tcPr>
          <w:p w14:paraId="19E9E22F" w14:textId="77777777" w:rsidR="00CE1D1C" w:rsidRPr="00BF3E80" w:rsidRDefault="00CE1D1C" w:rsidP="00B614C4">
            <w:pPr>
              <w:spacing w:line="120" w:lineRule="atLeast"/>
              <w:rPr>
                <w:sz w:val="10"/>
                <w:szCs w:val="10"/>
              </w:rPr>
            </w:pPr>
          </w:p>
          <w:p w14:paraId="3C96E66A" w14:textId="77777777" w:rsidR="00CE1D1C" w:rsidRPr="00BF3E80" w:rsidRDefault="00CE1D1C" w:rsidP="00B614C4">
            <w:pPr>
              <w:spacing w:line="120" w:lineRule="atLeast"/>
              <w:rPr>
                <w:sz w:val="10"/>
                <w:szCs w:val="10"/>
              </w:rPr>
            </w:pPr>
            <w:r w:rsidRPr="00BF3E80">
              <w:rPr>
                <w:rFonts w:hint="eastAsia"/>
                <w:noProof/>
                <w:snapToGrid/>
              </w:rPr>
              <w:drawing>
                <wp:inline distT="0" distB="0" distL="0" distR="0" wp14:anchorId="46C6FDC6" wp14:editId="5B026D6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41232F9" w14:textId="77777777" w:rsidR="00CE1D1C" w:rsidRPr="00BF3E80" w:rsidRDefault="00CE1D1C" w:rsidP="00B614C4">
            <w:pPr>
              <w:spacing w:before="120" w:line="240" w:lineRule="auto"/>
              <w:rPr>
                <w:rFonts w:ascii="Time New Roman" w:eastAsia="黑体" w:hAnsi="Time New Roman" w:hint="eastAsia"/>
                <w:sz w:val="34"/>
                <w:szCs w:val="34"/>
              </w:rPr>
            </w:pPr>
            <w:r w:rsidRPr="00BF3E80">
              <w:rPr>
                <w:rFonts w:ascii="Time New Roman" w:eastAsia="黑体" w:hAnsi="Time New Roman" w:hint="eastAsia"/>
                <w:sz w:val="34"/>
                <w:szCs w:val="34"/>
              </w:rPr>
              <w:t>公民</w:t>
            </w:r>
            <w:r w:rsidR="00654DD9" w:rsidRPr="00BF3E80">
              <w:rPr>
                <w:rFonts w:ascii="Time New Roman" w:eastAsia="黑体" w:hAnsi="Time New Roman" w:hint="eastAsia"/>
                <w:sz w:val="34"/>
                <w:szCs w:val="34"/>
                <w:lang w:val="fr-CH"/>
              </w:rPr>
              <w:t>及</w:t>
            </w:r>
            <w:r w:rsidRPr="00BF3E80">
              <w:rPr>
                <w:rFonts w:ascii="Time New Roman" w:eastAsia="黑体" w:hAnsi="Time New Roman" w:hint="eastAsia"/>
                <w:sz w:val="34"/>
                <w:szCs w:val="34"/>
              </w:rPr>
              <w:t>政治权利</w:t>
            </w:r>
            <w:r w:rsidRPr="00BF3E80">
              <w:rPr>
                <w:rFonts w:ascii="Time New Roman" w:eastAsia="黑体" w:hAnsi="Time New Roman"/>
                <w:sz w:val="34"/>
                <w:szCs w:val="34"/>
              </w:rPr>
              <w:br/>
            </w:r>
            <w:r w:rsidRPr="00BF3E80">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493A325A" w14:textId="71DEFB0E" w:rsidR="00CE1D1C" w:rsidRPr="00BF3E80" w:rsidRDefault="00CE1D1C" w:rsidP="00B614C4">
            <w:pPr>
              <w:spacing w:before="240" w:line="240" w:lineRule="atLeast"/>
              <w:rPr>
                <w:sz w:val="20"/>
              </w:rPr>
            </w:pPr>
            <w:r w:rsidRPr="00BF3E80">
              <w:rPr>
                <w:sz w:val="20"/>
              </w:rPr>
              <w:t xml:space="preserve">Distr.: </w:t>
            </w:r>
            <w:r w:rsidR="000C48C9" w:rsidRPr="00BF3E80">
              <w:rPr>
                <w:sz w:val="20"/>
              </w:rPr>
              <w:t>General</w:t>
            </w:r>
          </w:p>
          <w:p w14:paraId="58AA93DD" w14:textId="30805AFA" w:rsidR="00CE1D1C" w:rsidRPr="00BF3E80" w:rsidRDefault="000C48C9" w:rsidP="00B614C4">
            <w:pPr>
              <w:spacing w:line="240" w:lineRule="atLeast"/>
              <w:rPr>
                <w:sz w:val="20"/>
              </w:rPr>
            </w:pPr>
            <w:r w:rsidRPr="00BF3E80">
              <w:rPr>
                <w:sz w:val="20"/>
              </w:rPr>
              <w:t>15 December 2021</w:t>
            </w:r>
          </w:p>
          <w:p w14:paraId="22F77814" w14:textId="77777777" w:rsidR="00CE1D1C" w:rsidRPr="00BF3E80" w:rsidRDefault="00CE1D1C" w:rsidP="00B614C4">
            <w:pPr>
              <w:spacing w:line="240" w:lineRule="atLeast"/>
              <w:rPr>
                <w:sz w:val="20"/>
              </w:rPr>
            </w:pPr>
            <w:r w:rsidRPr="00BF3E80">
              <w:rPr>
                <w:sz w:val="20"/>
              </w:rPr>
              <w:t xml:space="preserve">Chinese </w:t>
            </w:r>
          </w:p>
          <w:p w14:paraId="0AC6553C" w14:textId="77777777" w:rsidR="00CE1D1C" w:rsidRPr="00BF3E80" w:rsidRDefault="00CE1D1C" w:rsidP="00B614C4">
            <w:pPr>
              <w:spacing w:line="240" w:lineRule="atLeast"/>
            </w:pPr>
            <w:r w:rsidRPr="00BF3E80">
              <w:rPr>
                <w:sz w:val="20"/>
              </w:rPr>
              <w:t>Original: English</w:t>
            </w:r>
          </w:p>
        </w:tc>
      </w:tr>
    </w:tbl>
    <w:p w14:paraId="004E68CF" w14:textId="77777777" w:rsidR="004F0C8C" w:rsidRPr="00BF3E80" w:rsidRDefault="004F0C8C" w:rsidP="00172E04">
      <w:pPr>
        <w:spacing w:before="120"/>
        <w:rPr>
          <w:rFonts w:ascii="Time New Roman" w:eastAsia="黑体" w:hAnsi="Time New Roman" w:hint="eastAsia"/>
          <w:sz w:val="24"/>
          <w:szCs w:val="24"/>
        </w:rPr>
      </w:pPr>
      <w:r w:rsidRPr="00BF3E80">
        <w:rPr>
          <w:rFonts w:ascii="Time New Roman" w:eastAsia="黑体" w:hAnsi="Time New Roman" w:hint="eastAsia"/>
          <w:sz w:val="24"/>
          <w:szCs w:val="24"/>
        </w:rPr>
        <w:t>人权事务委员会</w:t>
      </w:r>
    </w:p>
    <w:p w14:paraId="53348943" w14:textId="7CA316A0" w:rsidR="004F0C8C" w:rsidRPr="00BF3E80" w:rsidRDefault="000C48C9" w:rsidP="00162EC8">
      <w:pPr>
        <w:pStyle w:val="HChGC"/>
      </w:pPr>
      <w:r w:rsidRPr="00BF3E80">
        <w:rPr>
          <w:rFonts w:hint="eastAsia"/>
        </w:rPr>
        <w:tab/>
      </w:r>
      <w:r w:rsidRPr="00BF3E80">
        <w:rPr>
          <w:rFonts w:hint="eastAsia"/>
        </w:rPr>
        <w:tab/>
      </w:r>
      <w:r w:rsidRPr="00BF3E80">
        <w:rPr>
          <w:rFonts w:hint="eastAsia"/>
        </w:rPr>
        <w:t>委员会根据《任择议定书》通过的关于第</w:t>
      </w:r>
      <w:r w:rsidRPr="00BF3E80">
        <w:rPr>
          <w:rFonts w:hint="eastAsia"/>
        </w:rPr>
        <w:t>2578/2015</w:t>
      </w:r>
      <w:r w:rsidRPr="00BF3E80">
        <w:rPr>
          <w:rFonts w:hint="eastAsia"/>
        </w:rPr>
        <w:t>号来文的决定</w:t>
      </w:r>
      <w:r w:rsidRPr="00BF3E80">
        <w:rPr>
          <w:rStyle w:val="a8"/>
          <w:rFonts w:eastAsia="黑体"/>
          <w:sz w:val="28"/>
          <w:vertAlign w:val="baseline"/>
        </w:rPr>
        <w:footnoteReference w:customMarkFollows="1" w:id="2"/>
        <w:t>*</w:t>
      </w:r>
      <w:r w:rsidRPr="00BF3E80">
        <w:t xml:space="preserve"> </w:t>
      </w:r>
      <w:r w:rsidRPr="00BF3E80">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4F0C8C" w:rsidRPr="00BF3E80" w14:paraId="52D46014" w14:textId="77777777" w:rsidTr="0069394F">
        <w:trPr>
          <w:cantSplit/>
        </w:trPr>
        <w:tc>
          <w:tcPr>
            <w:tcW w:w="2205" w:type="dxa"/>
          </w:tcPr>
          <w:p w14:paraId="2182BAF0" w14:textId="1ACB59C3" w:rsidR="004F0C8C" w:rsidRPr="00BF3E80" w:rsidRDefault="00DD2221" w:rsidP="0069394F">
            <w:pPr>
              <w:pStyle w:val="SingleTxtGC"/>
              <w:ind w:left="0" w:right="0"/>
              <w:rPr>
                <w:rFonts w:eastAsia="楷体"/>
              </w:rPr>
            </w:pPr>
            <w:r w:rsidRPr="00BF3E80">
              <w:rPr>
                <w:rFonts w:ascii="Time New Roman" w:eastAsia="楷体" w:hAnsi="Time New Roman" w:hint="eastAsia"/>
              </w:rPr>
              <w:t>来文</w:t>
            </w:r>
            <w:r w:rsidR="004F0C8C" w:rsidRPr="00BF3E80">
              <w:rPr>
                <w:rFonts w:ascii="Time New Roman" w:eastAsia="楷体" w:hAnsi="Time New Roman" w:hint="eastAsia"/>
              </w:rPr>
              <w:t>提交人</w:t>
            </w:r>
            <w:r w:rsidR="004F0C8C" w:rsidRPr="00BF3E80">
              <w:rPr>
                <w:rFonts w:eastAsia="楷体" w:hint="eastAsia"/>
              </w:rPr>
              <w:t>：</w:t>
            </w:r>
          </w:p>
        </w:tc>
        <w:tc>
          <w:tcPr>
            <w:tcW w:w="4726" w:type="dxa"/>
          </w:tcPr>
          <w:p w14:paraId="2F4A5CBC" w14:textId="60332D07" w:rsidR="004F0C8C" w:rsidRPr="00BF3E80" w:rsidRDefault="00DD2221" w:rsidP="0069394F">
            <w:pPr>
              <w:pStyle w:val="SingleTxtGC"/>
              <w:ind w:left="0" w:right="0"/>
            </w:pPr>
            <w:r w:rsidRPr="00BF3E80">
              <w:rPr>
                <w:rFonts w:hint="eastAsia"/>
              </w:rPr>
              <w:t>O.D. (</w:t>
            </w:r>
            <w:r w:rsidRPr="00BF3E80">
              <w:rPr>
                <w:rFonts w:hint="eastAsia"/>
              </w:rPr>
              <w:t>无</w:t>
            </w:r>
            <w:r w:rsidR="004F0C8C" w:rsidRPr="00BF3E80">
              <w:rPr>
                <w:rFonts w:hint="eastAsia"/>
              </w:rPr>
              <w:t>律师代理</w:t>
            </w:r>
            <w:r w:rsidR="004F0C8C" w:rsidRPr="00BF3E80">
              <w:rPr>
                <w:rFonts w:hint="eastAsia"/>
              </w:rPr>
              <w:t>)</w:t>
            </w:r>
          </w:p>
        </w:tc>
      </w:tr>
      <w:tr w:rsidR="004F0C8C" w:rsidRPr="00BF3E80" w14:paraId="09804D6C" w14:textId="77777777" w:rsidTr="0069394F">
        <w:trPr>
          <w:cantSplit/>
        </w:trPr>
        <w:tc>
          <w:tcPr>
            <w:tcW w:w="2205" w:type="dxa"/>
          </w:tcPr>
          <w:p w14:paraId="3876B98E" w14:textId="77777777" w:rsidR="004F0C8C" w:rsidRPr="00BF3E80" w:rsidRDefault="004F0C8C" w:rsidP="0069394F">
            <w:pPr>
              <w:pStyle w:val="SingleTxtGC"/>
              <w:ind w:left="0" w:right="0"/>
              <w:rPr>
                <w:rFonts w:eastAsia="楷体"/>
              </w:rPr>
            </w:pPr>
            <w:r w:rsidRPr="00BF3E80">
              <w:rPr>
                <w:rFonts w:ascii="Time New Roman" w:eastAsia="楷体" w:hAnsi="Time New Roman" w:hint="eastAsia"/>
              </w:rPr>
              <w:t>据称受害人：</w:t>
            </w:r>
          </w:p>
        </w:tc>
        <w:tc>
          <w:tcPr>
            <w:tcW w:w="4726" w:type="dxa"/>
          </w:tcPr>
          <w:p w14:paraId="3DB951B4" w14:textId="77777777" w:rsidR="004F0C8C" w:rsidRPr="00BF3E80" w:rsidRDefault="004F0C8C" w:rsidP="0069394F">
            <w:pPr>
              <w:pStyle w:val="SingleTxtGC"/>
              <w:ind w:left="0" w:right="0"/>
            </w:pPr>
            <w:r w:rsidRPr="00BF3E80">
              <w:rPr>
                <w:rFonts w:hint="eastAsia"/>
              </w:rPr>
              <w:t>提交人</w:t>
            </w:r>
          </w:p>
        </w:tc>
      </w:tr>
      <w:tr w:rsidR="004F0C8C" w:rsidRPr="00BF3E80" w14:paraId="30F4B871" w14:textId="77777777" w:rsidTr="0069394F">
        <w:trPr>
          <w:cantSplit/>
        </w:trPr>
        <w:tc>
          <w:tcPr>
            <w:tcW w:w="2205" w:type="dxa"/>
          </w:tcPr>
          <w:p w14:paraId="1A26D259" w14:textId="77777777" w:rsidR="004F0C8C" w:rsidRPr="00BF3E80" w:rsidRDefault="004F0C8C" w:rsidP="0069394F">
            <w:pPr>
              <w:pStyle w:val="SingleTxtGC"/>
              <w:ind w:left="0" w:right="0"/>
              <w:rPr>
                <w:rFonts w:eastAsia="楷体"/>
              </w:rPr>
            </w:pPr>
            <w:r w:rsidRPr="00BF3E80">
              <w:rPr>
                <w:rFonts w:ascii="Time New Roman" w:eastAsia="楷体" w:hAnsi="Time New Roman" w:hint="eastAsia"/>
              </w:rPr>
              <w:t>所涉缔约国：</w:t>
            </w:r>
          </w:p>
        </w:tc>
        <w:tc>
          <w:tcPr>
            <w:tcW w:w="4726" w:type="dxa"/>
          </w:tcPr>
          <w:p w14:paraId="5E6056F4" w14:textId="09056CF6" w:rsidR="004F0C8C" w:rsidRPr="00BF3E80" w:rsidRDefault="00DD2221" w:rsidP="0069394F">
            <w:pPr>
              <w:pStyle w:val="SingleTxtGC"/>
              <w:ind w:left="0" w:right="0"/>
            </w:pPr>
            <w:r w:rsidRPr="00BF3E80">
              <w:rPr>
                <w:rFonts w:hint="eastAsia"/>
              </w:rPr>
              <w:t>俄罗斯联邦</w:t>
            </w:r>
          </w:p>
        </w:tc>
      </w:tr>
      <w:tr w:rsidR="004F0C8C" w:rsidRPr="00BF3E80" w14:paraId="4E745931" w14:textId="77777777" w:rsidTr="0069394F">
        <w:trPr>
          <w:cantSplit/>
        </w:trPr>
        <w:tc>
          <w:tcPr>
            <w:tcW w:w="2205" w:type="dxa"/>
          </w:tcPr>
          <w:p w14:paraId="37548CCF" w14:textId="77777777" w:rsidR="004F0C8C" w:rsidRPr="00BF3E80" w:rsidRDefault="004F0C8C" w:rsidP="0069394F">
            <w:pPr>
              <w:pStyle w:val="SingleTxtGC"/>
              <w:ind w:left="0" w:right="0"/>
              <w:rPr>
                <w:rFonts w:ascii="Time New Roman" w:eastAsia="楷体" w:hAnsi="Time New Roman" w:hint="eastAsia"/>
              </w:rPr>
            </w:pPr>
            <w:r w:rsidRPr="00BF3E80">
              <w:rPr>
                <w:rFonts w:ascii="Time New Roman" w:eastAsia="楷体" w:hAnsi="Time New Roman" w:hint="eastAsia"/>
              </w:rPr>
              <w:t>来文日期：</w:t>
            </w:r>
          </w:p>
        </w:tc>
        <w:tc>
          <w:tcPr>
            <w:tcW w:w="4726" w:type="dxa"/>
          </w:tcPr>
          <w:p w14:paraId="41AABF29" w14:textId="7E634D4E" w:rsidR="004F0C8C" w:rsidRPr="00BF3E80" w:rsidRDefault="00DD2221" w:rsidP="0069394F">
            <w:pPr>
              <w:pStyle w:val="SingleTxtGC"/>
              <w:ind w:left="0" w:right="0"/>
            </w:pPr>
            <w:r w:rsidRPr="00BF3E80">
              <w:rPr>
                <w:rFonts w:hint="eastAsia"/>
              </w:rPr>
              <w:t>2014</w:t>
            </w:r>
            <w:r w:rsidRPr="00BF3E80">
              <w:rPr>
                <w:rFonts w:hint="eastAsia"/>
              </w:rPr>
              <w:t>年</w:t>
            </w:r>
            <w:r w:rsidRPr="00BF3E80">
              <w:rPr>
                <w:rFonts w:hint="eastAsia"/>
              </w:rPr>
              <w:t>12</w:t>
            </w:r>
            <w:r w:rsidRPr="00BF3E80">
              <w:rPr>
                <w:rFonts w:hint="eastAsia"/>
              </w:rPr>
              <w:t>月</w:t>
            </w:r>
            <w:r w:rsidRPr="00BF3E80">
              <w:rPr>
                <w:rFonts w:hint="eastAsia"/>
              </w:rPr>
              <w:t>4</w:t>
            </w:r>
            <w:r w:rsidRPr="00BF3E80">
              <w:rPr>
                <w:rFonts w:hint="eastAsia"/>
              </w:rPr>
              <w:t>日</w:t>
            </w:r>
            <w:r w:rsidR="004F0C8C" w:rsidRPr="00BF3E80">
              <w:rPr>
                <w:rFonts w:hint="eastAsia"/>
              </w:rPr>
              <w:t>(</w:t>
            </w:r>
            <w:r w:rsidR="004F0C8C" w:rsidRPr="00BF3E80">
              <w:rPr>
                <w:rFonts w:hint="eastAsia"/>
              </w:rPr>
              <w:t>首次提交</w:t>
            </w:r>
            <w:r w:rsidR="004F0C8C" w:rsidRPr="00BF3E80">
              <w:rPr>
                <w:rFonts w:hint="eastAsia"/>
              </w:rPr>
              <w:t>)</w:t>
            </w:r>
          </w:p>
        </w:tc>
      </w:tr>
      <w:tr w:rsidR="004F0C8C" w:rsidRPr="00BF3E80" w14:paraId="30C64D28" w14:textId="77777777" w:rsidTr="0069394F">
        <w:trPr>
          <w:cantSplit/>
        </w:trPr>
        <w:tc>
          <w:tcPr>
            <w:tcW w:w="2205" w:type="dxa"/>
          </w:tcPr>
          <w:p w14:paraId="608E89B6" w14:textId="77777777" w:rsidR="004F0C8C" w:rsidRPr="00BF3E80" w:rsidRDefault="004F0C8C" w:rsidP="0069394F">
            <w:pPr>
              <w:pStyle w:val="SingleTxtGC"/>
              <w:ind w:left="0" w:right="0"/>
              <w:rPr>
                <w:rFonts w:ascii="Time New Roman" w:eastAsia="楷体" w:hAnsi="Time New Roman" w:hint="eastAsia"/>
              </w:rPr>
            </w:pPr>
            <w:r w:rsidRPr="00BF3E80">
              <w:rPr>
                <w:rFonts w:ascii="Time New Roman" w:eastAsia="楷体" w:hAnsi="Time New Roman" w:hint="eastAsia"/>
              </w:rPr>
              <w:t>参考文件：</w:t>
            </w:r>
          </w:p>
        </w:tc>
        <w:tc>
          <w:tcPr>
            <w:tcW w:w="4726" w:type="dxa"/>
          </w:tcPr>
          <w:p w14:paraId="5745EDF2" w14:textId="1F455149" w:rsidR="004F0C8C" w:rsidRPr="00BF3E80" w:rsidRDefault="00DD2221" w:rsidP="0069394F">
            <w:pPr>
              <w:pStyle w:val="SingleTxtGC"/>
              <w:ind w:left="0" w:right="0"/>
              <w:rPr>
                <w:lang w:val="fr-CH"/>
              </w:rPr>
            </w:pPr>
            <w:r w:rsidRPr="00BF3E80">
              <w:rPr>
                <w:rFonts w:hint="eastAsia"/>
                <w:lang w:val="fr-CH"/>
              </w:rPr>
              <w:t>根据委员会议事规则第</w:t>
            </w:r>
            <w:r w:rsidRPr="00BF3E80">
              <w:rPr>
                <w:rFonts w:hint="eastAsia"/>
                <w:lang w:val="fr-CH"/>
              </w:rPr>
              <w:t>92</w:t>
            </w:r>
            <w:r w:rsidRPr="00BF3E80">
              <w:rPr>
                <w:rFonts w:hint="eastAsia"/>
                <w:lang w:val="fr-CH"/>
              </w:rPr>
              <w:t>条</w:t>
            </w:r>
            <w:proofErr w:type="gramStart"/>
            <w:r w:rsidRPr="00BF3E80">
              <w:rPr>
                <w:rFonts w:hint="eastAsia"/>
                <w:lang w:val="fr-CH"/>
              </w:rPr>
              <w:t>作出</w:t>
            </w:r>
            <w:proofErr w:type="gramEnd"/>
            <w:r w:rsidRPr="00BF3E80">
              <w:rPr>
                <w:rFonts w:hint="eastAsia"/>
                <w:lang w:val="fr-CH"/>
              </w:rPr>
              <w:t>的决定，已于</w:t>
            </w:r>
            <w:r w:rsidRPr="00BF3E80">
              <w:rPr>
                <w:rFonts w:hint="eastAsia"/>
                <w:lang w:val="fr-CH"/>
              </w:rPr>
              <w:t>2015</w:t>
            </w:r>
            <w:r w:rsidRPr="00BF3E80">
              <w:rPr>
                <w:rFonts w:hint="eastAsia"/>
                <w:lang w:val="fr-CH"/>
              </w:rPr>
              <w:t>年</w:t>
            </w:r>
            <w:r w:rsidRPr="00BF3E80">
              <w:rPr>
                <w:rFonts w:hint="eastAsia"/>
                <w:lang w:val="fr-CH"/>
              </w:rPr>
              <w:t>3</w:t>
            </w:r>
            <w:r w:rsidRPr="00BF3E80">
              <w:rPr>
                <w:rFonts w:hint="eastAsia"/>
                <w:lang w:val="fr-CH"/>
              </w:rPr>
              <w:t>月</w:t>
            </w:r>
            <w:r w:rsidRPr="00BF3E80">
              <w:rPr>
                <w:rFonts w:hint="eastAsia"/>
                <w:lang w:val="fr-CH"/>
              </w:rPr>
              <w:t>4</w:t>
            </w:r>
            <w:r w:rsidRPr="00BF3E80">
              <w:rPr>
                <w:rFonts w:hint="eastAsia"/>
                <w:lang w:val="fr-CH"/>
              </w:rPr>
              <w:t>日转交缔约国</w:t>
            </w:r>
            <w:r w:rsidRPr="00BF3E80">
              <w:rPr>
                <w:rFonts w:hint="eastAsia"/>
                <w:lang w:val="fr-CH"/>
              </w:rPr>
              <w:t>(</w:t>
            </w:r>
            <w:r w:rsidRPr="00BF3E80">
              <w:rPr>
                <w:rFonts w:hint="eastAsia"/>
                <w:lang w:val="fr-CH"/>
              </w:rPr>
              <w:t>未以文件形式印发</w:t>
            </w:r>
            <w:r w:rsidRPr="00BF3E80">
              <w:rPr>
                <w:rFonts w:hint="eastAsia"/>
                <w:lang w:val="fr-CH"/>
              </w:rPr>
              <w:t>)</w:t>
            </w:r>
          </w:p>
        </w:tc>
      </w:tr>
      <w:tr w:rsidR="004F0C8C" w:rsidRPr="00BF3E80" w14:paraId="2C07C200" w14:textId="77777777" w:rsidTr="0069394F">
        <w:trPr>
          <w:cantSplit/>
        </w:trPr>
        <w:tc>
          <w:tcPr>
            <w:tcW w:w="2205" w:type="dxa"/>
          </w:tcPr>
          <w:p w14:paraId="428AD51E" w14:textId="27837E1A" w:rsidR="004F0C8C" w:rsidRPr="00BF3E80" w:rsidRDefault="007D785F" w:rsidP="0069394F">
            <w:pPr>
              <w:pStyle w:val="SingleTxtGC"/>
              <w:ind w:left="0" w:right="0"/>
              <w:rPr>
                <w:rFonts w:ascii="Time New Roman" w:eastAsia="楷体" w:hAnsi="Time New Roman" w:hint="eastAsia"/>
              </w:rPr>
            </w:pPr>
            <w:r w:rsidRPr="00BF3E80">
              <w:rPr>
                <w:rFonts w:eastAsia="楷体" w:hint="eastAsia"/>
              </w:rPr>
              <w:t>决定</w:t>
            </w:r>
            <w:r w:rsidR="004F0C8C" w:rsidRPr="00BF3E80">
              <w:rPr>
                <w:rFonts w:eastAsia="楷体" w:hint="eastAsia"/>
              </w:rPr>
              <w:t>通过日期</w:t>
            </w:r>
            <w:r w:rsidR="004F0C8C" w:rsidRPr="00BF3E80">
              <w:rPr>
                <w:rFonts w:ascii="Time New Roman" w:eastAsia="楷体" w:hAnsi="Time New Roman" w:hint="eastAsia"/>
              </w:rPr>
              <w:t>：</w:t>
            </w:r>
          </w:p>
        </w:tc>
        <w:tc>
          <w:tcPr>
            <w:tcW w:w="4726" w:type="dxa"/>
          </w:tcPr>
          <w:p w14:paraId="631EB4B7" w14:textId="593CEB39" w:rsidR="004F0C8C" w:rsidRPr="00BF3E80" w:rsidRDefault="007D785F" w:rsidP="0069394F">
            <w:pPr>
              <w:pStyle w:val="SingleTxtGC"/>
              <w:ind w:left="0" w:right="0"/>
              <w:rPr>
                <w:lang w:val="fr-CH"/>
              </w:rPr>
            </w:pPr>
            <w:r w:rsidRPr="00BF3E80">
              <w:rPr>
                <w:rFonts w:hint="eastAsia"/>
                <w:snapToGrid/>
              </w:rPr>
              <w:t>2021</w:t>
            </w:r>
            <w:r w:rsidRPr="00BF3E80">
              <w:rPr>
                <w:rFonts w:hint="eastAsia"/>
                <w:snapToGrid/>
              </w:rPr>
              <w:t>年</w:t>
            </w:r>
            <w:r w:rsidRPr="00BF3E80">
              <w:rPr>
                <w:rFonts w:hint="eastAsia"/>
                <w:snapToGrid/>
              </w:rPr>
              <w:t>3</w:t>
            </w:r>
            <w:r w:rsidRPr="00BF3E80">
              <w:rPr>
                <w:rFonts w:hint="eastAsia"/>
                <w:snapToGrid/>
              </w:rPr>
              <w:t>月</w:t>
            </w:r>
            <w:r w:rsidRPr="00BF3E80">
              <w:rPr>
                <w:rFonts w:hint="eastAsia"/>
                <w:snapToGrid/>
              </w:rPr>
              <w:t>25</w:t>
            </w:r>
            <w:r w:rsidRPr="00BF3E80">
              <w:rPr>
                <w:rFonts w:hint="eastAsia"/>
                <w:snapToGrid/>
              </w:rPr>
              <w:t>日</w:t>
            </w:r>
          </w:p>
        </w:tc>
      </w:tr>
      <w:tr w:rsidR="004F0C8C" w:rsidRPr="00BF3E80" w14:paraId="7B2C9F46" w14:textId="77777777" w:rsidTr="0069394F">
        <w:trPr>
          <w:cantSplit/>
        </w:trPr>
        <w:tc>
          <w:tcPr>
            <w:tcW w:w="2205" w:type="dxa"/>
          </w:tcPr>
          <w:p w14:paraId="40AA3498" w14:textId="77777777" w:rsidR="004F0C8C" w:rsidRPr="00BF3E80" w:rsidRDefault="004F0C8C" w:rsidP="0069394F">
            <w:pPr>
              <w:pStyle w:val="SingleTxtGC"/>
              <w:ind w:left="0" w:right="0"/>
              <w:rPr>
                <w:rFonts w:ascii="Time New Roman" w:eastAsia="楷体" w:hAnsi="Time New Roman" w:hint="eastAsia"/>
              </w:rPr>
            </w:pPr>
            <w:r w:rsidRPr="00BF3E80">
              <w:rPr>
                <w:rFonts w:ascii="Time New Roman" w:eastAsia="楷体" w:hAnsi="Time New Roman" w:hint="eastAsia"/>
              </w:rPr>
              <w:t>事由</w:t>
            </w:r>
            <w:r w:rsidRPr="00BF3E80">
              <w:rPr>
                <w:rFonts w:eastAsia="楷体" w:hint="eastAsia"/>
                <w:snapToGrid/>
              </w:rPr>
              <w:t>：</w:t>
            </w:r>
          </w:p>
        </w:tc>
        <w:tc>
          <w:tcPr>
            <w:tcW w:w="4726" w:type="dxa"/>
          </w:tcPr>
          <w:p w14:paraId="5CB086B4" w14:textId="51D34F4F" w:rsidR="004F0C8C" w:rsidRPr="00BF3E80" w:rsidRDefault="007D785F" w:rsidP="0069394F">
            <w:pPr>
              <w:pStyle w:val="SingleTxtGC"/>
              <w:ind w:left="0" w:right="0"/>
              <w:rPr>
                <w:snapToGrid/>
              </w:rPr>
            </w:pPr>
            <w:r w:rsidRPr="00BF3E80">
              <w:rPr>
                <w:rFonts w:hint="eastAsia"/>
                <w:snapToGrid/>
              </w:rPr>
              <w:t>公正审判，包括上诉听审期间没有法律代表、酷刑和残忍、不人道或有辱人格的待遇或处罚</w:t>
            </w:r>
          </w:p>
        </w:tc>
      </w:tr>
      <w:tr w:rsidR="004F0C8C" w:rsidRPr="00BF3E80" w14:paraId="752F5B01" w14:textId="77777777" w:rsidTr="0069394F">
        <w:trPr>
          <w:cantSplit/>
        </w:trPr>
        <w:tc>
          <w:tcPr>
            <w:tcW w:w="2205" w:type="dxa"/>
          </w:tcPr>
          <w:p w14:paraId="79E7323E" w14:textId="77777777" w:rsidR="004F0C8C" w:rsidRPr="00BF3E80" w:rsidRDefault="004F0C8C" w:rsidP="0069394F">
            <w:pPr>
              <w:pStyle w:val="SingleTxtGC"/>
              <w:ind w:left="0" w:right="0"/>
              <w:rPr>
                <w:rFonts w:ascii="Time New Roman" w:eastAsia="楷体" w:hAnsi="Time New Roman" w:hint="eastAsia"/>
              </w:rPr>
            </w:pPr>
            <w:r w:rsidRPr="00BF3E80">
              <w:rPr>
                <w:rFonts w:eastAsia="楷体" w:hint="eastAsia"/>
                <w:snapToGrid/>
              </w:rPr>
              <w:t>程序性问题：</w:t>
            </w:r>
          </w:p>
        </w:tc>
        <w:tc>
          <w:tcPr>
            <w:tcW w:w="4726" w:type="dxa"/>
          </w:tcPr>
          <w:p w14:paraId="357F716E" w14:textId="0C096C5A" w:rsidR="004F0C8C" w:rsidRPr="00BF3E80" w:rsidRDefault="007D785F" w:rsidP="0069394F">
            <w:pPr>
              <w:pStyle w:val="SingleTxtGC"/>
              <w:ind w:left="0" w:right="0"/>
              <w:rPr>
                <w:snapToGrid/>
              </w:rPr>
            </w:pPr>
            <w:r w:rsidRPr="00BF3E80">
              <w:rPr>
                <w:rFonts w:hint="eastAsia"/>
                <w:snapToGrid/>
              </w:rPr>
              <w:t>可否受理</w:t>
            </w:r>
            <w:r w:rsidR="007E40D5" w:rsidRPr="00BF3E80">
              <w:rPr>
                <w:rFonts w:hint="eastAsia"/>
                <w:snapToGrid/>
                <w:spacing w:val="-50"/>
              </w:rPr>
              <w:t>―</w:t>
            </w:r>
            <w:r w:rsidR="007E40D5" w:rsidRPr="00BF3E80">
              <w:rPr>
                <w:rFonts w:hint="eastAsia"/>
                <w:snapToGrid/>
              </w:rPr>
              <w:t>―</w:t>
            </w:r>
            <w:r w:rsidRPr="00BF3E80">
              <w:rPr>
                <w:rFonts w:hint="eastAsia"/>
                <w:snapToGrid/>
              </w:rPr>
              <w:t>同一事项由另一国际解决程序审查；可否受理</w:t>
            </w:r>
            <w:r w:rsidR="007E40D5" w:rsidRPr="00BF3E80">
              <w:rPr>
                <w:rFonts w:hint="eastAsia"/>
                <w:snapToGrid/>
                <w:spacing w:val="-50"/>
              </w:rPr>
              <w:t>―</w:t>
            </w:r>
            <w:r w:rsidR="007E40D5" w:rsidRPr="00BF3E80">
              <w:rPr>
                <w:rFonts w:hint="eastAsia"/>
                <w:snapToGrid/>
              </w:rPr>
              <w:t>―</w:t>
            </w:r>
            <w:r w:rsidRPr="00BF3E80">
              <w:rPr>
                <w:rFonts w:hint="eastAsia"/>
                <w:snapToGrid/>
              </w:rPr>
              <w:t>滥用提交来文的权利；可否受理</w:t>
            </w:r>
            <w:r w:rsidR="007E40D5" w:rsidRPr="00BF3E80">
              <w:rPr>
                <w:rFonts w:hint="eastAsia"/>
                <w:snapToGrid/>
                <w:spacing w:val="-50"/>
              </w:rPr>
              <w:t>―</w:t>
            </w:r>
            <w:r w:rsidR="007E40D5" w:rsidRPr="00BF3E80">
              <w:rPr>
                <w:rFonts w:hint="eastAsia"/>
                <w:snapToGrid/>
              </w:rPr>
              <w:t>―</w:t>
            </w:r>
            <w:r w:rsidRPr="00BF3E80">
              <w:rPr>
                <w:rFonts w:hint="eastAsia"/>
                <w:snapToGrid/>
              </w:rPr>
              <w:t>用尽国内补救办法；可否受理</w:t>
            </w:r>
            <w:r w:rsidR="007E40D5" w:rsidRPr="00BF3E80">
              <w:rPr>
                <w:rFonts w:hint="eastAsia"/>
                <w:snapToGrid/>
                <w:spacing w:val="-50"/>
              </w:rPr>
              <w:t>―</w:t>
            </w:r>
            <w:r w:rsidR="007E40D5" w:rsidRPr="00BF3E80">
              <w:rPr>
                <w:rFonts w:hint="eastAsia"/>
                <w:snapToGrid/>
              </w:rPr>
              <w:t>―</w:t>
            </w:r>
            <w:r w:rsidRPr="00BF3E80">
              <w:rPr>
                <w:rFonts w:hint="eastAsia"/>
                <w:snapToGrid/>
              </w:rPr>
              <w:t>申诉证据不足</w:t>
            </w:r>
          </w:p>
        </w:tc>
      </w:tr>
      <w:tr w:rsidR="004F0C8C" w:rsidRPr="00BF3E80" w14:paraId="59467C42" w14:textId="77777777" w:rsidTr="0069394F">
        <w:trPr>
          <w:cantSplit/>
        </w:trPr>
        <w:tc>
          <w:tcPr>
            <w:tcW w:w="2205" w:type="dxa"/>
          </w:tcPr>
          <w:p w14:paraId="34C33198" w14:textId="77777777" w:rsidR="004F0C8C" w:rsidRPr="00BF3E80" w:rsidRDefault="004F0C8C" w:rsidP="0069394F">
            <w:pPr>
              <w:pStyle w:val="SingleTxtGC"/>
              <w:ind w:left="0" w:right="0"/>
              <w:rPr>
                <w:rFonts w:eastAsia="楷体"/>
                <w:snapToGrid/>
                <w:lang w:val="fr-CH"/>
              </w:rPr>
            </w:pPr>
            <w:r w:rsidRPr="00BF3E80">
              <w:rPr>
                <w:rFonts w:eastAsia="楷体"/>
                <w:snapToGrid/>
              </w:rPr>
              <w:t>实质性问题</w:t>
            </w:r>
            <w:r w:rsidRPr="00BF3E80">
              <w:rPr>
                <w:rFonts w:eastAsia="楷体" w:hint="eastAsia"/>
                <w:snapToGrid/>
                <w:lang w:val="fr-CH"/>
              </w:rPr>
              <w:t>：</w:t>
            </w:r>
          </w:p>
        </w:tc>
        <w:tc>
          <w:tcPr>
            <w:tcW w:w="4726" w:type="dxa"/>
          </w:tcPr>
          <w:p w14:paraId="3F52745A" w14:textId="39334154" w:rsidR="004F0C8C" w:rsidRPr="00BF3E80" w:rsidRDefault="007D785F" w:rsidP="0069394F">
            <w:pPr>
              <w:pStyle w:val="SingleTxtGC"/>
              <w:ind w:left="0" w:right="0"/>
              <w:rPr>
                <w:snapToGrid/>
              </w:rPr>
            </w:pPr>
            <w:r w:rsidRPr="00BF3E80">
              <w:rPr>
                <w:rFonts w:hint="eastAsia"/>
                <w:snapToGrid/>
              </w:rPr>
              <w:t>酷刑</w:t>
            </w:r>
            <w:r w:rsidRPr="00BF3E80">
              <w:rPr>
                <w:rFonts w:hint="eastAsia"/>
                <w:snapToGrid/>
              </w:rPr>
              <w:t>;</w:t>
            </w:r>
            <w:r w:rsidRPr="00BF3E80">
              <w:rPr>
                <w:rFonts w:hint="eastAsia"/>
                <w:snapToGrid/>
              </w:rPr>
              <w:t>残忍、不人道或有辱人格的待遇或处罚；拘留条件；公正审判；公正审判</w:t>
            </w:r>
            <w:r w:rsidR="007E40D5" w:rsidRPr="00BF3E80">
              <w:rPr>
                <w:rFonts w:hint="eastAsia"/>
                <w:snapToGrid/>
                <w:spacing w:val="-50"/>
              </w:rPr>
              <w:t>―</w:t>
            </w:r>
            <w:r w:rsidR="007E40D5" w:rsidRPr="00BF3E80">
              <w:rPr>
                <w:rFonts w:hint="eastAsia"/>
                <w:snapToGrid/>
              </w:rPr>
              <w:t>―</w:t>
            </w:r>
            <w:r w:rsidRPr="00BF3E80">
              <w:rPr>
                <w:rFonts w:hint="eastAsia"/>
                <w:snapToGrid/>
              </w:rPr>
              <w:t>法律援助；公正审判</w:t>
            </w:r>
            <w:r w:rsidR="007E40D5" w:rsidRPr="00BF3E80">
              <w:rPr>
                <w:rFonts w:hint="eastAsia"/>
                <w:snapToGrid/>
                <w:spacing w:val="-50"/>
              </w:rPr>
              <w:t>―</w:t>
            </w:r>
            <w:r w:rsidR="007E40D5" w:rsidRPr="00BF3E80">
              <w:rPr>
                <w:rFonts w:hint="eastAsia"/>
                <w:snapToGrid/>
              </w:rPr>
              <w:t>―</w:t>
            </w:r>
            <w:r w:rsidRPr="00BF3E80">
              <w:rPr>
                <w:rFonts w:hint="eastAsia"/>
                <w:snapToGrid/>
              </w:rPr>
              <w:t>上诉；不歧视</w:t>
            </w:r>
          </w:p>
        </w:tc>
      </w:tr>
      <w:tr w:rsidR="004F0C8C" w:rsidRPr="00BF3E80" w14:paraId="5B0EDCF1" w14:textId="77777777" w:rsidTr="0069394F">
        <w:trPr>
          <w:cantSplit/>
        </w:trPr>
        <w:tc>
          <w:tcPr>
            <w:tcW w:w="2205" w:type="dxa"/>
          </w:tcPr>
          <w:p w14:paraId="0019C879" w14:textId="77777777" w:rsidR="004F0C8C" w:rsidRPr="00BF3E80" w:rsidRDefault="004F0C8C" w:rsidP="0069394F">
            <w:pPr>
              <w:pStyle w:val="SingleTxtGC"/>
              <w:ind w:left="-85" w:right="0"/>
              <w:rPr>
                <w:rFonts w:eastAsia="楷体"/>
                <w:snapToGrid/>
              </w:rPr>
            </w:pPr>
            <w:r w:rsidRPr="00BF3E80">
              <w:rPr>
                <w:rFonts w:ascii="Time New Roman" w:eastAsia="楷体" w:hAnsi="Time New Roman" w:hint="eastAsia"/>
              </w:rPr>
              <w:t>《公约》</w:t>
            </w:r>
            <w:r w:rsidRPr="00BF3E80">
              <w:rPr>
                <w:rFonts w:eastAsia="楷体" w:hint="eastAsia"/>
                <w:snapToGrid/>
              </w:rPr>
              <w:t>条款：</w:t>
            </w:r>
          </w:p>
        </w:tc>
        <w:tc>
          <w:tcPr>
            <w:tcW w:w="4726" w:type="dxa"/>
          </w:tcPr>
          <w:p w14:paraId="782C6AEC" w14:textId="66E359F8" w:rsidR="004F0C8C" w:rsidRPr="00BF3E80" w:rsidRDefault="00AC7D8A" w:rsidP="0069394F">
            <w:pPr>
              <w:pStyle w:val="SingleTxtGC"/>
              <w:ind w:left="0" w:right="0"/>
              <w:rPr>
                <w:snapToGrid/>
              </w:rPr>
            </w:pPr>
            <w:r w:rsidRPr="00BF3E80">
              <w:rPr>
                <w:rFonts w:hint="eastAsia"/>
                <w:snapToGrid/>
              </w:rPr>
              <w:t>第七条、第十四条第一款、第三款</w:t>
            </w:r>
            <w:r w:rsidRPr="00BF3E80">
              <w:rPr>
                <w:rFonts w:hint="eastAsia"/>
                <w:snapToGrid/>
              </w:rPr>
              <w:t>(</w:t>
            </w:r>
            <w:r w:rsidRPr="00BF3E80">
              <w:rPr>
                <w:rFonts w:hint="eastAsia"/>
                <w:snapToGrid/>
              </w:rPr>
              <w:t>卯</w:t>
            </w:r>
            <w:r w:rsidRPr="00BF3E80">
              <w:rPr>
                <w:rFonts w:hint="eastAsia"/>
                <w:snapToGrid/>
              </w:rPr>
              <w:t>)</w:t>
            </w:r>
            <w:r w:rsidRPr="00BF3E80">
              <w:rPr>
                <w:rFonts w:hint="eastAsia"/>
                <w:snapToGrid/>
              </w:rPr>
              <w:t>项和第五款以及第二十六条</w:t>
            </w:r>
          </w:p>
        </w:tc>
      </w:tr>
      <w:tr w:rsidR="004F0C8C" w:rsidRPr="00BF3E80" w14:paraId="5FA4452B" w14:textId="77777777" w:rsidTr="0069394F">
        <w:trPr>
          <w:cantSplit/>
        </w:trPr>
        <w:tc>
          <w:tcPr>
            <w:tcW w:w="2205" w:type="dxa"/>
          </w:tcPr>
          <w:p w14:paraId="643EDEBE" w14:textId="77777777" w:rsidR="004F0C8C" w:rsidRPr="00BF3E80" w:rsidRDefault="004F0C8C" w:rsidP="0069394F">
            <w:pPr>
              <w:pStyle w:val="SingleTxtGC"/>
              <w:ind w:left="-85" w:right="0"/>
              <w:rPr>
                <w:rFonts w:ascii="Time New Roman" w:eastAsia="楷体" w:hAnsi="Time New Roman" w:hint="eastAsia"/>
              </w:rPr>
            </w:pPr>
            <w:r w:rsidRPr="00BF3E80">
              <w:rPr>
                <w:rFonts w:ascii="Time New Roman" w:eastAsia="楷体" w:hAnsi="Time New Roman" w:hint="eastAsia"/>
              </w:rPr>
              <w:t>《任择议定书》</w:t>
            </w:r>
            <w:r w:rsidRPr="00BF3E80">
              <w:rPr>
                <w:rFonts w:eastAsia="楷体" w:hint="eastAsia"/>
                <w:snapToGrid/>
              </w:rPr>
              <w:t>条款：</w:t>
            </w:r>
          </w:p>
        </w:tc>
        <w:tc>
          <w:tcPr>
            <w:tcW w:w="4726" w:type="dxa"/>
          </w:tcPr>
          <w:p w14:paraId="5AF40D04" w14:textId="299284C4" w:rsidR="004F0C8C" w:rsidRPr="00BF3E80" w:rsidRDefault="00AC7D8A" w:rsidP="0069394F">
            <w:pPr>
              <w:pStyle w:val="SingleTxtGC"/>
              <w:ind w:left="0" w:right="0"/>
              <w:rPr>
                <w:snapToGrid/>
              </w:rPr>
            </w:pPr>
            <w:r w:rsidRPr="00BF3E80">
              <w:rPr>
                <w:rFonts w:hint="eastAsia"/>
                <w:snapToGrid/>
              </w:rPr>
              <w:t>第二条、第三条和第五条第</w:t>
            </w:r>
            <w:r w:rsidRPr="00BF3E80">
              <w:rPr>
                <w:rFonts w:hint="eastAsia"/>
                <w:snapToGrid/>
              </w:rPr>
              <w:t>2</w:t>
            </w:r>
            <w:r w:rsidRPr="00BF3E80">
              <w:rPr>
                <w:rFonts w:hint="eastAsia"/>
                <w:snapToGrid/>
              </w:rPr>
              <w:t>款</w:t>
            </w:r>
            <w:r w:rsidRPr="00BF3E80">
              <w:rPr>
                <w:rFonts w:hint="eastAsia"/>
                <w:snapToGrid/>
              </w:rPr>
              <w:t>(</w:t>
            </w:r>
            <w:r w:rsidRPr="00BF3E80">
              <w:rPr>
                <w:rFonts w:hint="eastAsia"/>
                <w:snapToGrid/>
              </w:rPr>
              <w:t>子</w:t>
            </w:r>
            <w:r w:rsidRPr="00BF3E80">
              <w:rPr>
                <w:rFonts w:hint="eastAsia"/>
                <w:snapToGrid/>
              </w:rPr>
              <w:t>)</w:t>
            </w:r>
            <w:r w:rsidRPr="00BF3E80">
              <w:rPr>
                <w:rFonts w:hint="eastAsia"/>
                <w:snapToGrid/>
              </w:rPr>
              <w:t>项和</w:t>
            </w:r>
            <w:r w:rsidRPr="00BF3E80">
              <w:rPr>
                <w:rFonts w:hint="eastAsia"/>
                <w:snapToGrid/>
              </w:rPr>
              <w:t>(</w:t>
            </w:r>
            <w:r w:rsidRPr="00BF3E80">
              <w:rPr>
                <w:rFonts w:hint="eastAsia"/>
                <w:snapToGrid/>
              </w:rPr>
              <w:t>丑</w:t>
            </w:r>
            <w:r w:rsidRPr="00BF3E80">
              <w:rPr>
                <w:rFonts w:hint="eastAsia"/>
                <w:snapToGrid/>
              </w:rPr>
              <w:t>)</w:t>
            </w:r>
            <w:r w:rsidRPr="00BF3E80">
              <w:rPr>
                <w:rFonts w:hint="eastAsia"/>
                <w:snapToGrid/>
              </w:rPr>
              <w:t>项</w:t>
            </w:r>
          </w:p>
        </w:tc>
      </w:tr>
    </w:tbl>
    <w:p w14:paraId="1B6D2A1F" w14:textId="77777777" w:rsidR="005C668C" w:rsidRPr="00BF3E80" w:rsidRDefault="004F0C8C" w:rsidP="005C668C">
      <w:pPr>
        <w:pStyle w:val="SingleTxtGC"/>
      </w:pPr>
      <w:r w:rsidRPr="00BF3E80">
        <w:br w:type="page"/>
      </w:r>
      <w:r w:rsidR="005C668C" w:rsidRPr="00BF3E80">
        <w:lastRenderedPageBreak/>
        <w:t>1.1</w:t>
      </w:r>
      <w:r w:rsidR="005C668C" w:rsidRPr="00BF3E80">
        <w:tab/>
      </w:r>
      <w:r w:rsidR="005C668C" w:rsidRPr="00BF3E80">
        <w:t>来文提交人</w:t>
      </w:r>
      <w:r w:rsidR="005C668C" w:rsidRPr="00BF3E80">
        <w:t>O.D.</w:t>
      </w:r>
      <w:r w:rsidR="005C668C" w:rsidRPr="00BF3E80">
        <w:t>是俄罗斯联邦国民，生于</w:t>
      </w:r>
      <w:r w:rsidR="005C668C" w:rsidRPr="00BF3E80">
        <w:t>1969</w:t>
      </w:r>
      <w:r w:rsidR="005C668C" w:rsidRPr="00BF3E80">
        <w:t>年。他声称，缔约国侵犯了他根据《公约》第七条、第十四条第一款、第三款</w:t>
      </w:r>
      <w:r w:rsidR="005C668C" w:rsidRPr="00BF3E80">
        <w:t>(</w:t>
      </w:r>
      <w:r w:rsidR="005C668C" w:rsidRPr="00BF3E80">
        <w:t>卯</w:t>
      </w:r>
      <w:r w:rsidR="005C668C" w:rsidRPr="00BF3E80">
        <w:t>)</w:t>
      </w:r>
      <w:r w:rsidR="005C668C" w:rsidRPr="00BF3E80">
        <w:t>项和第五款以及第二十六条享有的权利。《任择议定书》于</w:t>
      </w:r>
      <w:r w:rsidR="005C668C" w:rsidRPr="00BF3E80">
        <w:t>1992</w:t>
      </w:r>
      <w:r w:rsidR="005C668C" w:rsidRPr="00BF3E80">
        <w:t>年</w:t>
      </w:r>
      <w:r w:rsidR="005C668C" w:rsidRPr="00BF3E80">
        <w:t>1</w:t>
      </w:r>
      <w:r w:rsidR="005C668C" w:rsidRPr="00BF3E80">
        <w:t>月</w:t>
      </w:r>
      <w:r w:rsidR="005C668C" w:rsidRPr="00BF3E80">
        <w:t>1</w:t>
      </w:r>
      <w:r w:rsidR="005C668C" w:rsidRPr="00BF3E80">
        <w:t>日对俄罗斯联邦生效。提交人未由律师代理。</w:t>
      </w:r>
    </w:p>
    <w:p w14:paraId="45F59B56" w14:textId="77777777" w:rsidR="005C668C" w:rsidRPr="00BF3E80" w:rsidRDefault="005C668C" w:rsidP="005C668C">
      <w:pPr>
        <w:pStyle w:val="SingleTxtGC"/>
      </w:pPr>
      <w:r w:rsidRPr="00BF3E80">
        <w:t>1.2</w:t>
      </w:r>
      <w:r w:rsidRPr="00BF3E80">
        <w:tab/>
        <w:t>2015</w:t>
      </w:r>
      <w:r w:rsidRPr="00BF3E80">
        <w:t>年</w:t>
      </w:r>
      <w:r w:rsidRPr="00BF3E80">
        <w:t>7</w:t>
      </w:r>
      <w:r w:rsidRPr="00BF3E80">
        <w:t>月</w:t>
      </w:r>
      <w:r w:rsidRPr="00BF3E80">
        <w:t>30</w:t>
      </w:r>
      <w:r w:rsidRPr="00BF3E80">
        <w:t>日，委员会通过新来文和临时措施特别报告员行事，驳回了缔约国</w:t>
      </w:r>
      <w:r w:rsidRPr="00BF3E80">
        <w:t>2015</w:t>
      </w:r>
      <w:r w:rsidRPr="00BF3E80">
        <w:t>年</w:t>
      </w:r>
      <w:r w:rsidRPr="00BF3E80">
        <w:t>5</w:t>
      </w:r>
      <w:r w:rsidRPr="00BF3E80">
        <w:t>月</w:t>
      </w:r>
      <w:r w:rsidRPr="00BF3E80">
        <w:t>19</w:t>
      </w:r>
      <w:r w:rsidRPr="00BF3E80">
        <w:t>日提出的将来文可否受理问题与</w:t>
      </w:r>
      <w:r w:rsidRPr="00BF3E80">
        <w:rPr>
          <w:rFonts w:hint="eastAsia"/>
        </w:rPr>
        <w:t>案情</w:t>
      </w:r>
      <w:r w:rsidRPr="00BF3E80">
        <w:t>分开审查的请求。</w:t>
      </w:r>
    </w:p>
    <w:p w14:paraId="7A55154B" w14:textId="77777777" w:rsidR="005C668C" w:rsidRPr="00BF3E80" w:rsidRDefault="005C668C" w:rsidP="005C668C">
      <w:pPr>
        <w:pStyle w:val="H23GC"/>
      </w:pPr>
      <w:r w:rsidRPr="00BF3E80">
        <w:tab/>
      </w:r>
      <w:r w:rsidRPr="00BF3E80">
        <w:tab/>
      </w:r>
      <w:r w:rsidRPr="00BF3E80">
        <w:t>事实背景</w:t>
      </w:r>
    </w:p>
    <w:p w14:paraId="2D1EE365" w14:textId="77777777" w:rsidR="005C668C" w:rsidRPr="00BF3E80" w:rsidRDefault="005C668C" w:rsidP="005C668C">
      <w:pPr>
        <w:pStyle w:val="SingleTxtGC"/>
      </w:pPr>
      <w:r w:rsidRPr="00BF3E80">
        <w:t>2.1</w:t>
      </w:r>
      <w:r w:rsidRPr="00BF3E80">
        <w:tab/>
        <w:t>2007</w:t>
      </w:r>
      <w:r w:rsidRPr="00BF3E80">
        <w:t>年</w:t>
      </w:r>
      <w:r w:rsidRPr="00BF3E80">
        <w:t>8</w:t>
      </w:r>
      <w:r w:rsidRPr="00BF3E80">
        <w:t>月</w:t>
      </w:r>
      <w:r w:rsidRPr="00BF3E80">
        <w:t>27</w:t>
      </w:r>
      <w:r w:rsidRPr="00BF3E80">
        <w:t>日，俄罗斯联邦鞑靼斯坦共和国最高法院判定提交人及其同案被告参与有组织犯罪集团和犯有若干其他罪行，判处提交人终身监禁。</w:t>
      </w:r>
    </w:p>
    <w:p w14:paraId="15066AFE" w14:textId="77777777" w:rsidR="005C668C" w:rsidRPr="00BF3E80" w:rsidRDefault="005C668C" w:rsidP="005C668C">
      <w:pPr>
        <w:pStyle w:val="SingleTxtGC"/>
      </w:pPr>
      <w:r w:rsidRPr="00BF3E80">
        <w:t>2.2</w:t>
      </w:r>
      <w:r w:rsidRPr="00BF3E80">
        <w:tab/>
        <w:t>2009</w:t>
      </w:r>
      <w:r w:rsidRPr="00BF3E80">
        <w:t>年</w:t>
      </w:r>
      <w:r w:rsidRPr="00BF3E80">
        <w:t>3</w:t>
      </w:r>
      <w:r w:rsidRPr="00BF3E80">
        <w:t>月</w:t>
      </w:r>
      <w:r w:rsidRPr="00BF3E80">
        <w:t>19</w:t>
      </w:r>
      <w:r w:rsidRPr="00BF3E80">
        <w:t>日，俄罗斯联邦最高法院刑事分院作为上诉法院行事，维持了有罪判决和终身监禁判决。</w:t>
      </w:r>
      <w:r w:rsidRPr="00BF3E80">
        <w:rPr>
          <w:vertAlign w:val="superscript"/>
        </w:rPr>
        <w:footnoteReference w:id="4"/>
      </w:r>
    </w:p>
    <w:p w14:paraId="324348D3" w14:textId="77777777" w:rsidR="005C668C" w:rsidRPr="00BF3E80" w:rsidRDefault="005C668C" w:rsidP="005C668C">
      <w:pPr>
        <w:pStyle w:val="SingleTxtGC"/>
      </w:pPr>
      <w:r w:rsidRPr="00BF3E80">
        <w:t>2.3</w:t>
      </w:r>
      <w:r w:rsidRPr="00BF3E80">
        <w:tab/>
      </w:r>
      <w:r w:rsidRPr="00BF3E80">
        <w:t>撤销原判的上诉庭审是在没有辩护律师</w:t>
      </w:r>
      <w:r w:rsidRPr="00BF3E80">
        <w:rPr>
          <w:rFonts w:hint="eastAsia"/>
        </w:rPr>
        <w:t>出庭</w:t>
      </w:r>
      <w:r w:rsidRPr="00BF3E80">
        <w:t>的情况下进行</w:t>
      </w:r>
      <w:r w:rsidRPr="00BF3E80">
        <w:rPr>
          <w:rFonts w:hint="eastAsia"/>
        </w:rPr>
        <w:t>的</w:t>
      </w:r>
      <w:r w:rsidRPr="00BF3E80">
        <w:t>。本应代表提交人的律师</w:t>
      </w:r>
      <w:r w:rsidRPr="00BF3E80">
        <w:t>N.</w:t>
      </w:r>
      <w:r w:rsidRPr="00BF3E80">
        <w:t>女士由于不明原因未出席上诉庭审。提交人拒绝由司法当局指定的辩护律师为他服务，理由是</w:t>
      </w:r>
      <w:r w:rsidRPr="00BF3E80">
        <w:t>N.</w:t>
      </w:r>
      <w:r w:rsidRPr="00BF3E80">
        <w:t>女士从初始调查阶段就一直担任他的辩护律师，她完全熟悉案件情况，而提交人认为指定的律师无法在短时间内研究大量案件卷宗并有效地为他辩护。</w:t>
      </w:r>
    </w:p>
    <w:p w14:paraId="5A4D831E" w14:textId="7BC4238C" w:rsidR="005C668C" w:rsidRPr="00BF3E80" w:rsidRDefault="005C668C" w:rsidP="005C668C">
      <w:pPr>
        <w:pStyle w:val="SingleTxtGC"/>
      </w:pPr>
      <w:r w:rsidRPr="00BF3E80">
        <w:t>2.4.</w:t>
      </w:r>
      <w:r w:rsidRPr="00BF3E80">
        <w:tab/>
      </w:r>
      <w:r w:rsidRPr="00BF3E80">
        <w:t>提交人指出，根据《刑事诉讼法》第</w:t>
      </w:r>
      <w:r w:rsidRPr="00BF3E80">
        <w:t>51</w:t>
      </w:r>
      <w:r w:rsidRPr="00BF3E80">
        <w:t>条第</w:t>
      </w:r>
      <w:r w:rsidRPr="00BF3E80">
        <w:t>1</w:t>
      </w:r>
      <w:r w:rsidRPr="00BF3E80">
        <w:t>款第</w:t>
      </w:r>
      <w:r w:rsidRPr="00BF3E80">
        <w:t>5</w:t>
      </w:r>
      <w:r w:rsidRPr="00BF3E80">
        <w:t>项，当被告所受指控涉及</w:t>
      </w:r>
      <w:r w:rsidRPr="00BF3E80">
        <w:t>15</w:t>
      </w:r>
      <w:r w:rsidRPr="00BF3E80">
        <w:t>年以上监禁、</w:t>
      </w:r>
      <w:r w:rsidRPr="00BF3E80">
        <w:rPr>
          <w:rFonts w:hint="eastAsia"/>
        </w:rPr>
        <w:t>无期徒刑</w:t>
      </w:r>
      <w:r w:rsidRPr="00BF3E80">
        <w:t>或死刑时，该被告必须有法律代表</w:t>
      </w:r>
      <w:r w:rsidRPr="00BF3E80">
        <w:rPr>
          <w:rFonts w:hint="eastAsia"/>
        </w:rPr>
        <w:t>。</w:t>
      </w:r>
      <w:r w:rsidRPr="00BF3E80">
        <w:t>因此他声称，上诉法院有义务确保有辩护律师</w:t>
      </w:r>
      <w:r w:rsidRPr="00BF3E80">
        <w:rPr>
          <w:rFonts w:hint="eastAsia"/>
        </w:rPr>
        <w:t>出席</w:t>
      </w:r>
      <w:r w:rsidRPr="00BF3E80">
        <w:t>上诉庭审。</w:t>
      </w:r>
      <w:r w:rsidRPr="00BF3E80">
        <w:rPr>
          <w:vertAlign w:val="superscript"/>
        </w:rPr>
        <w:footnoteReference w:id="5"/>
      </w:r>
      <w:r w:rsidR="00BF3E80" w:rsidRPr="00BF3E80">
        <w:rPr>
          <w:rFonts w:hint="eastAsia"/>
        </w:rPr>
        <w:t xml:space="preserve"> </w:t>
      </w:r>
      <w:r w:rsidRPr="00BF3E80">
        <w:t>2012</w:t>
      </w:r>
      <w:r w:rsidRPr="00BF3E80">
        <w:t>年</w:t>
      </w:r>
      <w:r w:rsidRPr="00BF3E80">
        <w:t>12</w:t>
      </w:r>
      <w:r w:rsidRPr="00BF3E80">
        <w:t>月</w:t>
      </w:r>
      <w:r w:rsidRPr="00BF3E80">
        <w:t>4</w:t>
      </w:r>
      <w:r w:rsidRPr="00BF3E80">
        <w:t>日，在上诉法院</w:t>
      </w:r>
      <w:proofErr w:type="gramStart"/>
      <w:r w:rsidRPr="00BF3E80">
        <w:t>作出裁决约</w:t>
      </w:r>
      <w:proofErr w:type="gramEnd"/>
      <w:r w:rsidRPr="00BF3E80">
        <w:t>三年</w:t>
      </w:r>
      <w:proofErr w:type="gramStart"/>
      <w:r w:rsidRPr="00BF3E80">
        <w:t>零八个</w:t>
      </w:r>
      <w:proofErr w:type="gramEnd"/>
      <w:r w:rsidRPr="00BF3E80">
        <w:t>半月后，提交人向俄罗斯联邦最高法院提出</w:t>
      </w:r>
      <w:r w:rsidRPr="00BF3E80">
        <w:rPr>
          <w:rFonts w:hint="eastAsia"/>
        </w:rPr>
        <w:t>要求</w:t>
      </w:r>
      <w:r w:rsidRPr="00BF3E80">
        <w:t>，</w:t>
      </w:r>
      <w:r w:rsidRPr="00BF3E80">
        <w:rPr>
          <w:rFonts w:hint="eastAsia"/>
        </w:rPr>
        <w:t>希望</w:t>
      </w:r>
      <w:r w:rsidRPr="00BF3E80">
        <w:t>对</w:t>
      </w:r>
      <w:r w:rsidRPr="00BF3E80">
        <w:t>2007</w:t>
      </w:r>
      <w:r w:rsidRPr="00BF3E80">
        <w:t>年</w:t>
      </w:r>
      <w:r w:rsidRPr="00BF3E80">
        <w:t>8</w:t>
      </w:r>
      <w:r w:rsidRPr="00BF3E80">
        <w:t>月</w:t>
      </w:r>
      <w:r w:rsidRPr="00BF3E80">
        <w:t>27</w:t>
      </w:r>
      <w:r w:rsidRPr="00BF3E80">
        <w:t>日的裁决和</w:t>
      </w:r>
      <w:r w:rsidRPr="00BF3E80">
        <w:t>2009</w:t>
      </w:r>
      <w:r w:rsidRPr="00BF3E80">
        <w:t>年</w:t>
      </w:r>
      <w:r w:rsidRPr="00BF3E80">
        <w:t>3</w:t>
      </w:r>
      <w:r w:rsidRPr="00BF3E80">
        <w:t>月</w:t>
      </w:r>
      <w:r w:rsidRPr="00BF3E80">
        <w:t>19</w:t>
      </w:r>
      <w:r w:rsidRPr="00BF3E80">
        <w:t>日的上诉裁决进行监督复审。除其他外，提交人称上诉法院在没有辩护律师</w:t>
      </w:r>
      <w:r w:rsidRPr="00BF3E80">
        <w:rPr>
          <w:rFonts w:hint="eastAsia"/>
        </w:rPr>
        <w:t>出庭</w:t>
      </w:r>
      <w:r w:rsidRPr="00BF3E80">
        <w:t>的情况下审理了他的上诉，这侵犯了他的辩护权。</w:t>
      </w:r>
      <w:r w:rsidRPr="00BF3E80">
        <w:t>2013</w:t>
      </w:r>
      <w:r w:rsidRPr="00BF3E80">
        <w:t>年</w:t>
      </w:r>
      <w:r w:rsidRPr="00BF3E80">
        <w:t>3</w:t>
      </w:r>
      <w:r w:rsidRPr="00BF3E80">
        <w:t>月</w:t>
      </w:r>
      <w:r w:rsidRPr="00BF3E80">
        <w:t>13</w:t>
      </w:r>
      <w:r w:rsidRPr="00BF3E80">
        <w:t>日最高法院驳回了这一</w:t>
      </w:r>
      <w:r w:rsidRPr="00BF3E80">
        <w:rPr>
          <w:rFonts w:hint="eastAsia"/>
        </w:rPr>
        <w:t>要求</w:t>
      </w:r>
      <w:r w:rsidRPr="00BF3E80">
        <w:t>，法院提及了《刑事诉讼法》第</w:t>
      </w:r>
      <w:r w:rsidRPr="00BF3E80">
        <w:t>51</w:t>
      </w:r>
      <w:r w:rsidRPr="00BF3E80">
        <w:t>条第</w:t>
      </w:r>
      <w:r w:rsidRPr="00BF3E80">
        <w:t>1</w:t>
      </w:r>
      <w:r w:rsidRPr="00BF3E80">
        <w:t>款第</w:t>
      </w:r>
      <w:r w:rsidRPr="00BF3E80">
        <w:t>1</w:t>
      </w:r>
      <w:r w:rsidRPr="00BF3E80">
        <w:t>项，</w:t>
      </w:r>
      <w:r w:rsidRPr="00BF3E80">
        <w:rPr>
          <w:vertAlign w:val="superscript"/>
        </w:rPr>
        <w:footnoteReference w:id="6"/>
      </w:r>
      <w:r w:rsidR="00BF3E80" w:rsidRPr="00BF3E80">
        <w:rPr>
          <w:rFonts w:hint="eastAsia"/>
        </w:rPr>
        <w:t xml:space="preserve"> </w:t>
      </w:r>
      <w:r w:rsidRPr="00BF3E80">
        <w:t>并指出提交人书面拒绝了由指定</w:t>
      </w:r>
      <w:r w:rsidRPr="00BF3E80">
        <w:rPr>
          <w:rFonts w:hint="eastAsia"/>
        </w:rPr>
        <w:t>的</w:t>
      </w:r>
      <w:r w:rsidRPr="00BF3E80">
        <w:t>辩护律师提供服务，认为没有理由认定提交人的辩护权受到了侵犯。</w:t>
      </w:r>
    </w:p>
    <w:p w14:paraId="6AAC0624" w14:textId="2E949D62" w:rsidR="005C668C" w:rsidRPr="00BF3E80" w:rsidRDefault="005C668C" w:rsidP="005C668C">
      <w:pPr>
        <w:pStyle w:val="SingleTxtGC"/>
      </w:pPr>
      <w:r w:rsidRPr="00BF3E80">
        <w:t>2.5</w:t>
      </w:r>
      <w:r w:rsidRPr="00BF3E80">
        <w:tab/>
        <w:t>2013</w:t>
      </w:r>
      <w:r w:rsidRPr="00BF3E80">
        <w:t>年</w:t>
      </w:r>
      <w:r w:rsidRPr="00BF3E80">
        <w:t>5</w:t>
      </w:r>
      <w:r w:rsidRPr="00BF3E80">
        <w:t>月</w:t>
      </w:r>
      <w:r w:rsidRPr="00BF3E80">
        <w:t>6</w:t>
      </w:r>
      <w:r w:rsidRPr="00BF3E80">
        <w:t>日，提交人以上诉法院侵犯了他的辩护权为由向宪法法院提出申诉，要求宪法法院认定《刑事诉讼法》第</w:t>
      </w:r>
      <w:r w:rsidRPr="00BF3E80">
        <w:t>51</w:t>
      </w:r>
      <w:r w:rsidRPr="00BF3E80">
        <w:t>条第</w:t>
      </w:r>
      <w:r w:rsidRPr="00BF3E80">
        <w:t>1</w:t>
      </w:r>
      <w:r w:rsidRPr="00BF3E80">
        <w:t>款第</w:t>
      </w:r>
      <w:r w:rsidRPr="00BF3E80">
        <w:t>5</w:t>
      </w:r>
      <w:r w:rsidRPr="00BF3E80">
        <w:t>项不符合</w:t>
      </w:r>
      <w:r w:rsidRPr="00BF3E80">
        <w:rPr>
          <w:rFonts w:hint="eastAsia"/>
        </w:rPr>
        <w:t>多项</w:t>
      </w:r>
      <w:r w:rsidRPr="00BF3E80">
        <w:t>宪法</w:t>
      </w:r>
      <w:r w:rsidRPr="00BF3E80">
        <w:lastRenderedPageBreak/>
        <w:t>规定。</w:t>
      </w:r>
      <w:r w:rsidRPr="00BF3E80">
        <w:t>2013</w:t>
      </w:r>
      <w:r w:rsidRPr="00BF3E80">
        <w:t>年</w:t>
      </w:r>
      <w:r w:rsidRPr="00BF3E80">
        <w:t>6</w:t>
      </w:r>
      <w:r w:rsidRPr="00BF3E80">
        <w:t>月</w:t>
      </w:r>
      <w:r w:rsidRPr="00BF3E80">
        <w:t>17</w:t>
      </w:r>
      <w:r w:rsidRPr="00BF3E80">
        <w:t>日该申诉被驳回，</w:t>
      </w:r>
      <w:r w:rsidRPr="00BF3E80">
        <w:rPr>
          <w:vertAlign w:val="superscript"/>
        </w:rPr>
        <w:footnoteReference w:id="7"/>
      </w:r>
      <w:r w:rsidR="00BF3E80" w:rsidRPr="00BF3E80">
        <w:rPr>
          <w:rFonts w:hint="eastAsia"/>
        </w:rPr>
        <w:t xml:space="preserve"> </w:t>
      </w:r>
      <w:r w:rsidRPr="00BF3E80">
        <w:t>但提交人称，尽管如此，宪法法院实际上承认了他的法律权利</w:t>
      </w:r>
      <w:r w:rsidRPr="00BF3E80">
        <w:t>(</w:t>
      </w:r>
      <w:r w:rsidRPr="00BF3E80">
        <w:t>必须有辩护律师参与上诉程序</w:t>
      </w:r>
      <w:r w:rsidRPr="00BF3E80">
        <w:t>)</w:t>
      </w:r>
      <w:r w:rsidRPr="00BF3E80">
        <w:t>以及他的辩护权受到</w:t>
      </w:r>
      <w:r w:rsidRPr="00BF3E80">
        <w:rPr>
          <w:rFonts w:hint="eastAsia"/>
        </w:rPr>
        <w:t>了</w:t>
      </w:r>
      <w:r w:rsidRPr="00BF3E80">
        <w:t>侵犯，但没有确定应由哪个官员或当局纠正已</w:t>
      </w:r>
      <w:r w:rsidRPr="00BF3E80">
        <w:rPr>
          <w:rFonts w:hint="eastAsia"/>
        </w:rPr>
        <w:t>有</w:t>
      </w:r>
      <w:r w:rsidRPr="00BF3E80">
        <w:t>的侵权行为。</w:t>
      </w:r>
      <w:r w:rsidRPr="00BF3E80">
        <w:rPr>
          <w:vertAlign w:val="superscript"/>
        </w:rPr>
        <w:footnoteReference w:id="8"/>
      </w:r>
    </w:p>
    <w:p w14:paraId="647470A9" w14:textId="77777777" w:rsidR="005C668C" w:rsidRPr="00BF3E80" w:rsidRDefault="005C668C" w:rsidP="005C668C">
      <w:pPr>
        <w:pStyle w:val="SingleTxtGC"/>
      </w:pPr>
      <w:r w:rsidRPr="00BF3E80">
        <w:t>2.6</w:t>
      </w:r>
      <w:r w:rsidRPr="00BF3E80">
        <w:tab/>
        <w:t>2014</w:t>
      </w:r>
      <w:r w:rsidRPr="00BF3E80">
        <w:t>年</w:t>
      </w:r>
      <w:r w:rsidRPr="00BF3E80">
        <w:t>9</w:t>
      </w:r>
      <w:r w:rsidRPr="00BF3E80">
        <w:t>月</w:t>
      </w:r>
      <w:r w:rsidRPr="00BF3E80">
        <w:t>23</w:t>
      </w:r>
      <w:r w:rsidRPr="00BF3E80">
        <w:t>日，提交人向最高法院院长提出申诉，要求根据新发现的情况复议对他的定罪，请求将无期徒刑改判有期徒刑。</w:t>
      </w:r>
      <w:r w:rsidRPr="00BF3E80">
        <w:t>2014</w:t>
      </w:r>
      <w:r w:rsidRPr="00BF3E80">
        <w:t>年</w:t>
      </w:r>
      <w:r w:rsidRPr="00BF3E80">
        <w:t>10</w:t>
      </w:r>
      <w:r w:rsidRPr="00BF3E80">
        <w:t>月</w:t>
      </w:r>
      <w:r w:rsidRPr="00BF3E80">
        <w:t>16</w:t>
      </w:r>
      <w:r w:rsidRPr="00BF3E80">
        <w:t>日</w:t>
      </w:r>
      <w:r w:rsidRPr="00BF3E80">
        <w:rPr>
          <w:rFonts w:hint="eastAsia"/>
        </w:rPr>
        <w:t>该申诉</w:t>
      </w:r>
      <w:r w:rsidRPr="00BF3E80">
        <w:t>被驳回，理由是所援引的宪法法院裁决</w:t>
      </w:r>
      <w:r w:rsidRPr="00BF3E80">
        <w:rPr>
          <w:rFonts w:hint="eastAsia"/>
        </w:rPr>
        <w:t>中</w:t>
      </w:r>
      <w:r w:rsidRPr="00BF3E80">
        <w:t>没有《刑事诉讼法》第</w:t>
      </w:r>
      <w:r w:rsidRPr="00BF3E80">
        <w:t>413</w:t>
      </w:r>
      <w:r w:rsidRPr="00BF3E80">
        <w:t>条第</w:t>
      </w:r>
      <w:r w:rsidRPr="00BF3E80">
        <w:t>4</w:t>
      </w:r>
      <w:r w:rsidRPr="00BF3E80">
        <w:t>款意义</w:t>
      </w:r>
      <w:r w:rsidRPr="00BF3E80">
        <w:rPr>
          <w:rFonts w:hint="eastAsia"/>
        </w:rPr>
        <w:t>上</w:t>
      </w:r>
      <w:r w:rsidRPr="00BF3E80">
        <w:t>的新情况。</w:t>
      </w:r>
    </w:p>
    <w:p w14:paraId="6212FE93" w14:textId="77777777" w:rsidR="005C668C" w:rsidRPr="00BF3E80" w:rsidRDefault="005C668C" w:rsidP="005C668C">
      <w:pPr>
        <w:pStyle w:val="SingleTxtGC"/>
      </w:pPr>
      <w:r w:rsidRPr="00BF3E80">
        <w:t>2.7</w:t>
      </w:r>
      <w:r w:rsidRPr="00BF3E80">
        <w:tab/>
      </w:r>
      <w:r w:rsidRPr="00BF3E80">
        <w:t>提交人在</w:t>
      </w:r>
      <w:r w:rsidRPr="00BF3E80">
        <w:t>2015</w:t>
      </w:r>
      <w:r w:rsidRPr="00BF3E80">
        <w:t>年</w:t>
      </w:r>
      <w:r w:rsidRPr="00BF3E80">
        <w:t>5</w:t>
      </w:r>
      <w:r w:rsidRPr="00BF3E80">
        <w:t>月</w:t>
      </w:r>
      <w:r w:rsidRPr="00BF3E80">
        <w:t>31</w:t>
      </w:r>
      <w:r w:rsidRPr="00BF3E80">
        <w:t>日向委员会提交的另一份材料中指出，他之后于</w:t>
      </w:r>
      <w:r w:rsidRPr="00BF3E80">
        <w:t>2014</w:t>
      </w:r>
      <w:r w:rsidRPr="00BF3E80">
        <w:t>年</w:t>
      </w:r>
      <w:r w:rsidRPr="00BF3E80">
        <w:t>9</w:t>
      </w:r>
      <w:r w:rsidRPr="00BF3E80">
        <w:t>月</w:t>
      </w:r>
      <w:r w:rsidRPr="00BF3E80">
        <w:t>24</w:t>
      </w:r>
      <w:r w:rsidRPr="00BF3E80">
        <w:t>日和</w:t>
      </w:r>
      <w:r w:rsidRPr="00BF3E80">
        <w:t>11</w:t>
      </w:r>
      <w:r w:rsidRPr="00BF3E80">
        <w:t>月</w:t>
      </w:r>
      <w:r w:rsidRPr="00BF3E80">
        <w:t>20</w:t>
      </w:r>
      <w:r w:rsidRPr="00BF3E80">
        <w:t>日向宪法法院提出的申诉</w:t>
      </w:r>
      <w:r w:rsidRPr="00BF3E80">
        <w:rPr>
          <w:rFonts w:hint="eastAsia"/>
        </w:rPr>
        <w:t>，</w:t>
      </w:r>
      <w:r w:rsidRPr="00BF3E80">
        <w:t>分别于</w:t>
      </w:r>
      <w:r w:rsidRPr="00BF3E80">
        <w:t>2014</w:t>
      </w:r>
      <w:r w:rsidRPr="00BF3E80">
        <w:t>年</w:t>
      </w:r>
      <w:r w:rsidRPr="00BF3E80">
        <w:t>10</w:t>
      </w:r>
      <w:r w:rsidRPr="00BF3E80">
        <w:t>月</w:t>
      </w:r>
      <w:r w:rsidRPr="00BF3E80">
        <w:t>30</w:t>
      </w:r>
      <w:r w:rsidRPr="00BF3E80">
        <w:t>日和</w:t>
      </w:r>
      <w:r w:rsidRPr="00BF3E80">
        <w:t>12</w:t>
      </w:r>
      <w:r w:rsidRPr="00BF3E80">
        <w:t>月</w:t>
      </w:r>
      <w:r w:rsidRPr="00BF3E80">
        <w:t>26</w:t>
      </w:r>
      <w:r w:rsidRPr="00BF3E80">
        <w:t>日被驳回。他在</w:t>
      </w:r>
      <w:r w:rsidRPr="00BF3E80">
        <w:t>2015</w:t>
      </w:r>
      <w:r w:rsidRPr="00BF3E80">
        <w:t>年</w:t>
      </w:r>
      <w:r w:rsidRPr="00BF3E80">
        <w:t>2</w:t>
      </w:r>
      <w:r w:rsidRPr="00BF3E80">
        <w:t>月</w:t>
      </w:r>
      <w:r w:rsidRPr="00BF3E80">
        <w:t>2</w:t>
      </w:r>
      <w:r w:rsidRPr="00BF3E80">
        <w:t>日的另一份申诉中称，宪法法院</w:t>
      </w:r>
      <w:r w:rsidRPr="00BF3E80">
        <w:t>2013</w:t>
      </w:r>
      <w:r w:rsidRPr="00BF3E80">
        <w:t>年</w:t>
      </w:r>
      <w:r w:rsidRPr="00BF3E80">
        <w:t>6</w:t>
      </w:r>
      <w:r w:rsidRPr="00BF3E80">
        <w:t>月</w:t>
      </w:r>
      <w:r w:rsidRPr="00BF3E80">
        <w:t>17</w:t>
      </w:r>
      <w:r w:rsidRPr="00BF3E80">
        <w:t>日的裁决书中</w:t>
      </w:r>
      <w:r w:rsidRPr="00BF3E80">
        <w:rPr>
          <w:rFonts w:hint="eastAsia"/>
        </w:rPr>
        <w:t>有一项疏忽，即没有提到</w:t>
      </w:r>
      <w:r w:rsidRPr="00BF3E80">
        <w:t>需要对其刑事案件的法院裁决进行强制性复审，他</w:t>
      </w:r>
      <w:r w:rsidRPr="00BF3E80">
        <w:rPr>
          <w:rFonts w:hint="eastAsia"/>
        </w:rPr>
        <w:t>要求</w:t>
      </w:r>
      <w:r w:rsidRPr="00BF3E80">
        <w:t>宪法法院纠正这一情况，因为这</w:t>
      </w:r>
      <w:r w:rsidRPr="00BF3E80">
        <w:rPr>
          <w:rFonts w:hint="eastAsia"/>
        </w:rPr>
        <w:t>一疏忽</w:t>
      </w:r>
      <w:r w:rsidRPr="00BF3E80">
        <w:t>使他无法恢复获得法律援助的权利。宪法法院于</w:t>
      </w:r>
      <w:r w:rsidRPr="00BF3E80">
        <w:t>2015</w:t>
      </w:r>
      <w:r w:rsidRPr="00BF3E80">
        <w:t>年</w:t>
      </w:r>
      <w:r w:rsidRPr="00BF3E80">
        <w:t>3</w:t>
      </w:r>
      <w:r w:rsidRPr="00BF3E80">
        <w:t>月</w:t>
      </w:r>
      <w:r w:rsidRPr="00BF3E80">
        <w:t>24</w:t>
      </w:r>
      <w:r w:rsidRPr="00BF3E80">
        <w:t>日</w:t>
      </w:r>
      <w:proofErr w:type="gramStart"/>
      <w:r w:rsidRPr="00BF3E80">
        <w:t>作出</w:t>
      </w:r>
      <w:proofErr w:type="gramEnd"/>
      <w:r w:rsidRPr="00BF3E80">
        <w:t>最后裁决，认定没有理由改变先前的决定，表明其决定不可上诉，并不再</w:t>
      </w:r>
      <w:r w:rsidRPr="00BF3E80">
        <w:rPr>
          <w:rFonts w:hint="eastAsia"/>
        </w:rPr>
        <w:t>与</w:t>
      </w:r>
      <w:r w:rsidRPr="00BF3E80">
        <w:t>提交人</w:t>
      </w:r>
      <w:r w:rsidRPr="00BF3E80">
        <w:rPr>
          <w:rFonts w:hint="eastAsia"/>
        </w:rPr>
        <w:t>交换</w:t>
      </w:r>
      <w:r w:rsidRPr="00BF3E80">
        <w:t>任何信函。</w:t>
      </w:r>
    </w:p>
    <w:p w14:paraId="0DBD3EEC" w14:textId="77777777" w:rsidR="005C668C" w:rsidRPr="00BF3E80" w:rsidRDefault="005C668C" w:rsidP="005C668C">
      <w:pPr>
        <w:pStyle w:val="H23GC"/>
      </w:pPr>
      <w:r w:rsidRPr="00BF3E80">
        <w:tab/>
      </w:r>
      <w:r w:rsidRPr="00BF3E80">
        <w:tab/>
      </w:r>
      <w:r w:rsidRPr="00BF3E80">
        <w:rPr>
          <w:bCs/>
        </w:rPr>
        <w:t>申诉</w:t>
      </w:r>
    </w:p>
    <w:p w14:paraId="30239E54" w14:textId="77777777" w:rsidR="005C668C" w:rsidRPr="00BF3E80" w:rsidRDefault="005C668C" w:rsidP="005C668C">
      <w:pPr>
        <w:pStyle w:val="SingleTxtGC"/>
      </w:pPr>
      <w:r w:rsidRPr="00BF3E80">
        <w:t>3.1</w:t>
      </w:r>
      <w:r w:rsidRPr="00BF3E80">
        <w:tab/>
      </w:r>
      <w:r w:rsidRPr="00BF3E80">
        <w:t>提交人称，他在上诉庭审期间被剥夺了</w:t>
      </w:r>
      <w:r w:rsidRPr="00BF3E80">
        <w:rPr>
          <w:rFonts w:hint="eastAsia"/>
        </w:rPr>
        <w:t>获得</w:t>
      </w:r>
      <w:r w:rsidRPr="00BF3E80">
        <w:t>辩护律师的权利，这侵犯了他根据《公约》第十四条第一款、第三款</w:t>
      </w:r>
      <w:r w:rsidRPr="00BF3E80">
        <w:t>(</w:t>
      </w:r>
      <w:r w:rsidRPr="00BF3E80">
        <w:t>卯</w:t>
      </w:r>
      <w:r w:rsidRPr="00BF3E80">
        <w:t>)</w:t>
      </w:r>
      <w:r w:rsidRPr="00BF3E80">
        <w:t>项和第五款以及第二十六条享有的权利。《刑事诉讼法》第</w:t>
      </w:r>
      <w:r w:rsidRPr="00BF3E80">
        <w:t>51</w:t>
      </w:r>
      <w:r w:rsidRPr="00BF3E80">
        <w:t>条第</w:t>
      </w:r>
      <w:r w:rsidRPr="00BF3E80">
        <w:t>1</w:t>
      </w:r>
      <w:r w:rsidRPr="00BF3E80">
        <w:t>款第</w:t>
      </w:r>
      <w:r w:rsidRPr="00BF3E80">
        <w:t>5</w:t>
      </w:r>
      <w:r w:rsidRPr="00BF3E80">
        <w:t>项</w:t>
      </w:r>
      <w:r w:rsidRPr="00BF3E80">
        <w:rPr>
          <w:rFonts w:hint="eastAsia"/>
        </w:rPr>
        <w:t>规定，</w:t>
      </w:r>
      <w:r w:rsidRPr="00BF3E80">
        <w:t>当被告所受指控涉及</w:t>
      </w:r>
      <w:r w:rsidRPr="00BF3E80">
        <w:t>15</w:t>
      </w:r>
      <w:r w:rsidRPr="00BF3E80">
        <w:t>年以上监禁、终身监禁或死刑时，该被告必须有法律代表，根据该规定</w:t>
      </w:r>
      <w:r w:rsidRPr="00BF3E80">
        <w:rPr>
          <w:rFonts w:hint="eastAsia"/>
        </w:rPr>
        <w:t>，</w:t>
      </w:r>
      <w:r w:rsidRPr="00BF3E80">
        <w:t>上诉法院有义务确保有辩护律师</w:t>
      </w:r>
      <w:r w:rsidRPr="00BF3E80">
        <w:rPr>
          <w:rFonts w:hint="eastAsia"/>
        </w:rPr>
        <w:t>出席</w:t>
      </w:r>
      <w:r w:rsidRPr="00BF3E80">
        <w:t>上诉庭审。</w:t>
      </w:r>
    </w:p>
    <w:p w14:paraId="617DD800" w14:textId="16668542" w:rsidR="005C668C" w:rsidRPr="00BF3E80" w:rsidRDefault="005C668C" w:rsidP="005C668C">
      <w:pPr>
        <w:pStyle w:val="SingleTxtGC"/>
        <w:rPr>
          <w:i/>
        </w:rPr>
      </w:pPr>
      <w:r w:rsidRPr="00BF3E80">
        <w:t>3.2</w:t>
      </w:r>
      <w:r w:rsidRPr="00BF3E80">
        <w:tab/>
      </w:r>
      <w:r w:rsidRPr="00BF3E80">
        <w:t>提交人称，在庭审期间，他处于与专业法律人士</w:t>
      </w:r>
      <w:r w:rsidRPr="00BF3E80">
        <w:rPr>
          <w:rFonts w:hint="eastAsia"/>
        </w:rPr>
        <w:t>对峙的</w:t>
      </w:r>
      <w:r w:rsidRPr="00BF3E80">
        <w:t>不平等地位，由于未受过法律培训，他无法在没有律师协助的情况下充分为自己辩护，也不能反驳检方提出的法律问题。因此，上诉法院未能在司法利益有此需要时确保有辩护律师</w:t>
      </w:r>
      <w:r w:rsidRPr="00BF3E80">
        <w:rPr>
          <w:rFonts w:hint="eastAsia"/>
        </w:rPr>
        <w:t>出席</w:t>
      </w:r>
      <w:r w:rsidRPr="00BF3E80">
        <w:t>上诉庭审，</w:t>
      </w:r>
      <w:r w:rsidRPr="00BF3E80">
        <w:rPr>
          <w:vertAlign w:val="superscript"/>
        </w:rPr>
        <w:footnoteReference w:id="9"/>
      </w:r>
      <w:r w:rsidR="00BF3E80" w:rsidRPr="00BF3E80">
        <w:rPr>
          <w:rFonts w:hint="eastAsia"/>
        </w:rPr>
        <w:t xml:space="preserve"> </w:t>
      </w:r>
      <w:r w:rsidRPr="00BF3E80">
        <w:t>这侵犯了他根据《公约》第十四条第一款、第三款</w:t>
      </w:r>
      <w:r w:rsidRPr="00BF3E80">
        <w:t>(</w:t>
      </w:r>
      <w:r w:rsidRPr="00BF3E80">
        <w:t>卯</w:t>
      </w:r>
      <w:r w:rsidRPr="00BF3E80">
        <w:t>)</w:t>
      </w:r>
      <w:r w:rsidRPr="00BF3E80">
        <w:t>项和第二十六条获得法律援助的权利、由合格、独立和公正的法庭进行公正庭审</w:t>
      </w:r>
      <w:r w:rsidRPr="00BF3E80">
        <w:rPr>
          <w:rFonts w:hint="eastAsia"/>
        </w:rPr>
        <w:t>的权利，</w:t>
      </w:r>
      <w:r w:rsidRPr="00BF3E80">
        <w:t>以及不受歧视地平等受到法律保护的权利。</w:t>
      </w:r>
    </w:p>
    <w:p w14:paraId="33D46FE3" w14:textId="77777777" w:rsidR="005C668C" w:rsidRPr="00BF3E80" w:rsidRDefault="005C668C" w:rsidP="005C668C">
      <w:pPr>
        <w:pStyle w:val="SingleTxtGC"/>
      </w:pPr>
      <w:r w:rsidRPr="00BF3E80">
        <w:t>3.3</w:t>
      </w:r>
      <w:r w:rsidRPr="00BF3E80">
        <w:tab/>
      </w:r>
      <w:r w:rsidRPr="00BF3E80">
        <w:t>提交人还称，最高法院驳回了他关于复审初审法院和上诉法院裁决的</w:t>
      </w:r>
      <w:r w:rsidRPr="00BF3E80">
        <w:rPr>
          <w:rFonts w:hint="eastAsia"/>
        </w:rPr>
        <w:t>要求</w:t>
      </w:r>
      <w:r w:rsidRPr="00BF3E80">
        <w:t>(</w:t>
      </w:r>
      <w:r w:rsidRPr="00BF3E80">
        <w:t>见上文第</w:t>
      </w:r>
      <w:r w:rsidRPr="00BF3E80">
        <w:t>2.4</w:t>
      </w:r>
      <w:r w:rsidRPr="00BF3E80">
        <w:t>和</w:t>
      </w:r>
      <w:r w:rsidRPr="00BF3E80">
        <w:t>2.6</w:t>
      </w:r>
      <w:r w:rsidRPr="00BF3E80">
        <w:t>段</w:t>
      </w:r>
      <w:r w:rsidRPr="00BF3E80">
        <w:t>)</w:t>
      </w:r>
      <w:r w:rsidRPr="00BF3E80">
        <w:t>，剥夺了他要求高一级法院复审其判决的权利，这违反了《公约》第十四条第五款。</w:t>
      </w:r>
    </w:p>
    <w:p w14:paraId="77D522EA" w14:textId="77777777" w:rsidR="005C668C" w:rsidRPr="00BF3E80" w:rsidRDefault="005C668C" w:rsidP="005C668C">
      <w:pPr>
        <w:pStyle w:val="SingleTxtGC"/>
      </w:pPr>
      <w:r w:rsidRPr="00BF3E80">
        <w:t>3.4</w:t>
      </w:r>
      <w:r w:rsidRPr="00BF3E80">
        <w:tab/>
      </w:r>
      <w:r w:rsidRPr="00BF3E80">
        <w:t>提交人要求缔约国承认侵犯了他的法律代表权和公正审判权，并要求复审对他的判决，将无期徒刑改判为</w:t>
      </w:r>
      <w:r w:rsidRPr="00BF3E80">
        <w:t>25</w:t>
      </w:r>
      <w:r w:rsidRPr="00BF3E80">
        <w:t>年监禁。</w:t>
      </w:r>
    </w:p>
    <w:p w14:paraId="46A967D7" w14:textId="77777777" w:rsidR="005C668C" w:rsidRPr="00BF3E80" w:rsidRDefault="005C668C" w:rsidP="005C668C">
      <w:pPr>
        <w:pStyle w:val="H23GC"/>
      </w:pPr>
      <w:r w:rsidRPr="00BF3E80">
        <w:lastRenderedPageBreak/>
        <w:tab/>
      </w:r>
      <w:r w:rsidRPr="00BF3E80">
        <w:tab/>
      </w:r>
      <w:r w:rsidRPr="00BF3E80">
        <w:t>缔约国关于可否受理的意见</w:t>
      </w:r>
    </w:p>
    <w:p w14:paraId="6C016E42" w14:textId="77777777" w:rsidR="005C668C" w:rsidRPr="00BF3E80" w:rsidRDefault="005C668C" w:rsidP="005C668C">
      <w:pPr>
        <w:pStyle w:val="SingleTxtGC"/>
      </w:pPr>
      <w:r w:rsidRPr="00BF3E80">
        <w:t>4.1</w:t>
      </w:r>
      <w:r w:rsidRPr="00BF3E80">
        <w:tab/>
      </w:r>
      <w:r w:rsidRPr="00BF3E80">
        <w:t>缔约国在</w:t>
      </w:r>
      <w:r w:rsidRPr="00BF3E80">
        <w:t>2015</w:t>
      </w:r>
      <w:r w:rsidRPr="00BF3E80">
        <w:t>年</w:t>
      </w:r>
      <w:r w:rsidRPr="00BF3E80">
        <w:t>5</w:t>
      </w:r>
      <w:r w:rsidRPr="00BF3E80">
        <w:t>月</w:t>
      </w:r>
      <w:r w:rsidRPr="00BF3E80">
        <w:t>19</w:t>
      </w:r>
      <w:r w:rsidRPr="00BF3E80">
        <w:t>日的普通照会中对来文的可受理性提出质疑，认为根据委员会议事规则第</w:t>
      </w:r>
      <w:r w:rsidRPr="00BF3E80">
        <w:t>99</w:t>
      </w:r>
      <w:r w:rsidRPr="00BF3E80">
        <w:t>条</w:t>
      </w:r>
      <w:r w:rsidRPr="00BF3E80">
        <w:t>(c)</w:t>
      </w:r>
      <w:r w:rsidRPr="00BF3E80">
        <w:t>款，来文构成滥用提交权。提交人称，由于他在撤销原判的上诉庭审中没有辩护律师，他根据第十四条第三款</w:t>
      </w:r>
      <w:r w:rsidRPr="00BF3E80">
        <w:t>(</w:t>
      </w:r>
      <w:r w:rsidRPr="00BF3E80">
        <w:t>卯</w:t>
      </w:r>
      <w:r w:rsidRPr="00BF3E80">
        <w:t>)</w:t>
      </w:r>
      <w:r w:rsidRPr="00BF3E80">
        <w:t>项享有的辩护权受到侵犯。缔约国回顾，最高法院刑事分院于</w:t>
      </w:r>
      <w:r w:rsidRPr="00BF3E80">
        <w:t>2009</w:t>
      </w:r>
      <w:r w:rsidRPr="00BF3E80">
        <w:t>年</w:t>
      </w:r>
      <w:r w:rsidRPr="00BF3E80">
        <w:t>3</w:t>
      </w:r>
      <w:r w:rsidRPr="00BF3E80">
        <w:t>月</w:t>
      </w:r>
      <w:r w:rsidRPr="00BF3E80">
        <w:t>19</w:t>
      </w:r>
      <w:r w:rsidRPr="00BF3E80">
        <w:t>日就提交人的上诉</w:t>
      </w:r>
      <w:proofErr w:type="gramStart"/>
      <w:r w:rsidRPr="00BF3E80">
        <w:t>作出</w:t>
      </w:r>
      <w:proofErr w:type="gramEnd"/>
      <w:r w:rsidRPr="00BF3E80">
        <w:t>了裁决，而提交人直到</w:t>
      </w:r>
      <w:r w:rsidRPr="00BF3E80">
        <w:t>2014</w:t>
      </w:r>
      <w:r w:rsidRPr="00BF3E80">
        <w:t>年</w:t>
      </w:r>
      <w:r w:rsidRPr="00BF3E80">
        <w:t>12</w:t>
      </w:r>
      <w:r w:rsidRPr="00BF3E80">
        <w:t>月</w:t>
      </w:r>
      <w:r w:rsidRPr="00BF3E80">
        <w:t>4</w:t>
      </w:r>
      <w:r w:rsidRPr="00BF3E80">
        <w:t>日才向委员会提交来文，从开展上诉程序审理其刑事案件到此时已经过去了五年多。提交人没有提供任何资料说明为何延迟向委员会提交来文。</w:t>
      </w:r>
    </w:p>
    <w:p w14:paraId="0DEFBAF0" w14:textId="77777777" w:rsidR="005C668C" w:rsidRPr="00BF3E80" w:rsidRDefault="005C668C" w:rsidP="005C668C">
      <w:pPr>
        <w:pStyle w:val="SingleTxtGC"/>
      </w:pPr>
      <w:r w:rsidRPr="00BF3E80">
        <w:t>4.2</w:t>
      </w:r>
      <w:r w:rsidRPr="00BF3E80">
        <w:tab/>
      </w:r>
      <w:r w:rsidRPr="00BF3E80">
        <w:t>根据《刑事诉讼法》第</w:t>
      </w:r>
      <w:r w:rsidRPr="00BF3E80">
        <w:t>52</w:t>
      </w:r>
      <w:r w:rsidRPr="00BF3E80">
        <w:t>条，嫌疑人或被告可在刑事诉讼的任何阶段放弃法律代表权，只有在嫌疑人或被告以书面形式主动提出放弃该权利的情况下，才能予以接受。在审议提交人的监督复审</w:t>
      </w:r>
      <w:r w:rsidRPr="00BF3E80">
        <w:rPr>
          <w:rFonts w:hint="eastAsia"/>
        </w:rPr>
        <w:t>要求</w:t>
      </w:r>
      <w:r w:rsidRPr="00BF3E80">
        <w:t>时，最高法院确定，提交人以书面形式放弃了由辩护律师在上诉庭审中提供服务，他在</w:t>
      </w:r>
      <w:r w:rsidRPr="00BF3E80">
        <w:t>2009</w:t>
      </w:r>
      <w:r w:rsidRPr="00BF3E80">
        <w:t>年</w:t>
      </w:r>
      <w:r w:rsidRPr="00BF3E80">
        <w:t>3</w:t>
      </w:r>
      <w:r w:rsidRPr="00BF3E80">
        <w:t>月</w:t>
      </w:r>
      <w:r w:rsidRPr="00BF3E80">
        <w:t>4</w:t>
      </w:r>
      <w:r w:rsidRPr="00BF3E80">
        <w:t>日的陈述中确认放弃该权利并非因为经济困难。</w:t>
      </w:r>
      <w:r w:rsidRPr="00BF3E80">
        <w:rPr>
          <w:vertAlign w:val="superscript"/>
        </w:rPr>
        <w:footnoteReference w:id="10"/>
      </w:r>
    </w:p>
    <w:p w14:paraId="40E33E76" w14:textId="77777777" w:rsidR="005C668C" w:rsidRPr="00BF3E80" w:rsidRDefault="005C668C" w:rsidP="005C668C">
      <w:pPr>
        <w:pStyle w:val="SingleTxtGC"/>
      </w:pPr>
      <w:r w:rsidRPr="00BF3E80">
        <w:t>4.3</w:t>
      </w:r>
      <w:r w:rsidRPr="00BF3E80">
        <w:tab/>
      </w:r>
      <w:r w:rsidRPr="00BF3E80">
        <w:t>缔约国还回顾称，上诉法院审议了提交人及其律师</w:t>
      </w:r>
      <w:r w:rsidRPr="00BF3E80">
        <w:t>N.</w:t>
      </w:r>
      <w:r w:rsidRPr="00BF3E80">
        <w:t>女士提出的撤销原判上诉。</w:t>
      </w:r>
    </w:p>
    <w:p w14:paraId="68E01453" w14:textId="77777777" w:rsidR="005C668C" w:rsidRPr="00BF3E80" w:rsidRDefault="005C668C" w:rsidP="005C668C">
      <w:pPr>
        <w:pStyle w:val="SingleTxtGC"/>
      </w:pPr>
      <w:r w:rsidRPr="00BF3E80">
        <w:t>4.4</w:t>
      </w:r>
      <w:r w:rsidRPr="00BF3E80">
        <w:tab/>
      </w:r>
      <w:r w:rsidRPr="00BF3E80">
        <w:t>基于上述考虑，缔约国认为，提交人的来文构成滥用提交权，因此，根据《任择议定书》第三条，应宣布提交人根据《公约》第十四条第三款</w:t>
      </w:r>
      <w:r w:rsidRPr="00BF3E80">
        <w:t>(</w:t>
      </w:r>
      <w:r w:rsidRPr="00BF3E80">
        <w:t>卯</w:t>
      </w:r>
      <w:r w:rsidRPr="00BF3E80">
        <w:t>)</w:t>
      </w:r>
      <w:proofErr w:type="gramStart"/>
      <w:r w:rsidRPr="00BF3E80">
        <w:t>项提出</w:t>
      </w:r>
      <w:proofErr w:type="gramEnd"/>
      <w:r w:rsidRPr="00BF3E80">
        <w:t>的申诉不可受理。</w:t>
      </w:r>
    </w:p>
    <w:p w14:paraId="77789DB9" w14:textId="77777777" w:rsidR="005C668C" w:rsidRPr="00BF3E80" w:rsidRDefault="005C668C" w:rsidP="005C668C">
      <w:pPr>
        <w:pStyle w:val="SingleTxtGC"/>
      </w:pPr>
      <w:r w:rsidRPr="00BF3E80">
        <w:t>4.5</w:t>
      </w:r>
      <w:r w:rsidRPr="00BF3E80">
        <w:tab/>
      </w:r>
      <w:r w:rsidRPr="00BF3E80">
        <w:t>关于提交人指称他被剥夺了由合格、独立和公正的法庭进行公正审判的权利，缔约国认为，提交人的来文未提供关于这一权利据称受到侵犯的任何资料。从上诉法院</w:t>
      </w:r>
      <w:r w:rsidRPr="00BF3E80">
        <w:t>2009</w:t>
      </w:r>
      <w:r w:rsidRPr="00BF3E80">
        <w:t>年</w:t>
      </w:r>
      <w:r w:rsidRPr="00BF3E80">
        <w:t>3</w:t>
      </w:r>
      <w:r w:rsidRPr="00BF3E80">
        <w:t>月</w:t>
      </w:r>
      <w:r w:rsidRPr="00BF3E80">
        <w:t>19</w:t>
      </w:r>
      <w:r w:rsidRPr="00BF3E80">
        <w:t>日的裁决中可以看出，提交人及其律师</w:t>
      </w:r>
      <w:r w:rsidRPr="00BF3E80">
        <w:t>N.</w:t>
      </w:r>
      <w:r w:rsidRPr="00BF3E80">
        <w:t>女士都没有就一审法院侵犯公正审判权提出申诉，而是就法院对事实的评估提出了质疑。因此，缔约国认为，提交人没有为根据第十四条第一款提出的申诉用尽所有国内补救办法，该申诉显然毫无根据，应根据《任择议定书》第二条宣布不可受理。</w:t>
      </w:r>
    </w:p>
    <w:p w14:paraId="6947BFC9" w14:textId="7612E17B" w:rsidR="005C668C" w:rsidRPr="00BF3E80" w:rsidRDefault="005C668C" w:rsidP="005C668C">
      <w:pPr>
        <w:pStyle w:val="SingleTxtGC"/>
        <w:rPr>
          <w:i/>
        </w:rPr>
      </w:pPr>
      <w:r w:rsidRPr="00BF3E80">
        <w:t>4.6</w:t>
      </w:r>
      <w:r w:rsidRPr="00BF3E80">
        <w:tab/>
      </w:r>
      <w:r w:rsidRPr="00BF3E80">
        <w:t>关于</w:t>
      </w:r>
      <w:r w:rsidRPr="00BF3E80">
        <w:rPr>
          <w:rFonts w:hint="eastAsia"/>
        </w:rPr>
        <w:t>指称</w:t>
      </w:r>
      <w:r w:rsidRPr="00BF3E80">
        <w:t>违反《公约》第十四条第五款，</w:t>
      </w:r>
      <w:r w:rsidRPr="00BF3E80">
        <w:rPr>
          <w:vertAlign w:val="superscript"/>
        </w:rPr>
        <w:footnoteReference w:id="11"/>
      </w:r>
      <w:r w:rsidR="00BF3E80" w:rsidRPr="00BF3E80">
        <w:rPr>
          <w:rFonts w:hint="eastAsia"/>
        </w:rPr>
        <w:t xml:space="preserve"> </w:t>
      </w:r>
      <w:r w:rsidRPr="00BF3E80">
        <w:t>缔约国回顾，最高法院刑事分院于</w:t>
      </w:r>
      <w:r w:rsidRPr="00BF3E80">
        <w:t>2009</w:t>
      </w:r>
      <w:r w:rsidRPr="00BF3E80">
        <w:t>年</w:t>
      </w:r>
      <w:r w:rsidRPr="00BF3E80">
        <w:t>3</w:t>
      </w:r>
      <w:r w:rsidRPr="00BF3E80">
        <w:t>月</w:t>
      </w:r>
      <w:r w:rsidRPr="00BF3E80">
        <w:t>19</w:t>
      </w:r>
      <w:r w:rsidRPr="00BF3E80">
        <w:t>日对</w:t>
      </w:r>
      <w:r w:rsidRPr="00BF3E80">
        <w:t>2007</w:t>
      </w:r>
      <w:r w:rsidRPr="00BF3E80">
        <w:t>年</w:t>
      </w:r>
      <w:r w:rsidRPr="00BF3E80">
        <w:t>8</w:t>
      </w:r>
      <w:r w:rsidRPr="00BF3E80">
        <w:t>月</w:t>
      </w:r>
      <w:r w:rsidRPr="00BF3E80">
        <w:t>27</w:t>
      </w:r>
      <w:r w:rsidRPr="00BF3E80">
        <w:t>日的判决进行了上诉审查。因此，提交人的申诉未被证实，根据《任择议定书》第二条不可受理。</w:t>
      </w:r>
    </w:p>
    <w:p w14:paraId="00956C59" w14:textId="4D6127D7" w:rsidR="005C668C" w:rsidRPr="00BF3E80" w:rsidRDefault="005C668C" w:rsidP="005C668C">
      <w:pPr>
        <w:pStyle w:val="SingleTxtGC"/>
        <w:rPr>
          <w:i/>
        </w:rPr>
      </w:pPr>
      <w:r w:rsidRPr="00BF3E80">
        <w:t>4.7</w:t>
      </w:r>
      <w:r w:rsidRPr="00BF3E80">
        <w:tab/>
      </w:r>
      <w:r w:rsidRPr="00BF3E80">
        <w:t>关于</w:t>
      </w:r>
      <w:r w:rsidRPr="00BF3E80">
        <w:rPr>
          <w:rFonts w:hint="eastAsia"/>
        </w:rPr>
        <w:t>指称</w:t>
      </w:r>
      <w:r w:rsidRPr="00BF3E80">
        <w:t>违反《公约》第二十六条，缔约国参照了对歧视的定义，</w:t>
      </w:r>
      <w:r w:rsidRPr="00BF3E80">
        <w:rPr>
          <w:vertAlign w:val="superscript"/>
        </w:rPr>
        <w:footnoteReference w:id="12"/>
      </w:r>
      <w:r w:rsidR="00BF3E80" w:rsidRPr="00BF3E80">
        <w:rPr>
          <w:rFonts w:hint="eastAsia"/>
        </w:rPr>
        <w:t xml:space="preserve"> </w:t>
      </w:r>
      <w:r w:rsidRPr="00BF3E80">
        <w:t>称提交人没有证明在上诉庭审期间未向他提供律师如何构成歧视</w:t>
      </w:r>
      <w:r w:rsidRPr="00BF3E80">
        <w:rPr>
          <w:rFonts w:hint="eastAsia"/>
        </w:rPr>
        <w:t>，是</w:t>
      </w:r>
      <w:r w:rsidRPr="00BF3E80">
        <w:t>他主动拒绝了由律师提供服务。因此，缔约国认为，根据《任择议定书》第二条，</w:t>
      </w:r>
      <w:r w:rsidRPr="00BF3E80">
        <w:rPr>
          <w:rFonts w:hint="eastAsia"/>
        </w:rPr>
        <w:t>相关</w:t>
      </w:r>
      <w:r w:rsidRPr="00BF3E80">
        <w:t>申诉不可受理。</w:t>
      </w:r>
    </w:p>
    <w:p w14:paraId="7F6A3C23" w14:textId="77777777" w:rsidR="005C668C" w:rsidRPr="00BF3E80" w:rsidRDefault="005C668C" w:rsidP="005C668C">
      <w:pPr>
        <w:pStyle w:val="H23GC"/>
      </w:pPr>
      <w:r w:rsidRPr="00BF3E80">
        <w:tab/>
      </w:r>
      <w:r w:rsidRPr="00BF3E80">
        <w:tab/>
      </w:r>
      <w:r w:rsidRPr="00BF3E80">
        <w:t>提交人对缔约国关于可否受理的意见的评论</w:t>
      </w:r>
    </w:p>
    <w:p w14:paraId="2992188F" w14:textId="77777777" w:rsidR="005C668C" w:rsidRPr="00BF3E80" w:rsidRDefault="005C668C" w:rsidP="005C668C">
      <w:pPr>
        <w:pStyle w:val="SingleTxtGC"/>
      </w:pPr>
      <w:r w:rsidRPr="00BF3E80">
        <w:t>5.1</w:t>
      </w:r>
      <w:r w:rsidRPr="00BF3E80">
        <w:tab/>
        <w:t>2015</w:t>
      </w:r>
      <w:r w:rsidRPr="00BF3E80">
        <w:t>年</w:t>
      </w:r>
      <w:r w:rsidRPr="00BF3E80">
        <w:t>6</w:t>
      </w:r>
      <w:r w:rsidRPr="00BF3E80">
        <w:t>月</w:t>
      </w:r>
      <w:r w:rsidRPr="00BF3E80">
        <w:t>29</w:t>
      </w:r>
      <w:r w:rsidRPr="00BF3E80">
        <w:t>日，提交人就缔约国关于可否受理的意见提交了评论。关于延迟向委员会提交来文，提交人称，在提交来文前他为获得补救不断向法院提出申诉，包括</w:t>
      </w:r>
      <w:r w:rsidRPr="00BF3E80">
        <w:rPr>
          <w:rFonts w:hint="eastAsia"/>
        </w:rPr>
        <w:t>在</w:t>
      </w:r>
      <w:r w:rsidRPr="00BF3E80">
        <w:t>2012</w:t>
      </w:r>
      <w:r w:rsidRPr="00BF3E80">
        <w:t>年向最高法院提出了监督复审的</w:t>
      </w:r>
      <w:r w:rsidRPr="00BF3E80">
        <w:rPr>
          <w:rFonts w:hint="eastAsia"/>
        </w:rPr>
        <w:t>要求</w:t>
      </w:r>
      <w:r w:rsidRPr="00BF3E80">
        <w:t>，还向宪法法院提出了</w:t>
      </w:r>
      <w:r w:rsidRPr="00BF3E80">
        <w:lastRenderedPageBreak/>
        <w:t>申诉。宪法法院最近的裁决是在</w:t>
      </w:r>
      <w:r w:rsidRPr="00BF3E80">
        <w:t>2015</w:t>
      </w:r>
      <w:r w:rsidRPr="00BF3E80">
        <w:t>年</w:t>
      </w:r>
      <w:r w:rsidRPr="00BF3E80">
        <w:t>3</w:t>
      </w:r>
      <w:r w:rsidRPr="00BF3E80">
        <w:t>月</w:t>
      </w:r>
      <w:r w:rsidRPr="00BF3E80">
        <w:t>24</w:t>
      </w:r>
      <w:r w:rsidRPr="00BF3E80">
        <w:t>日</w:t>
      </w:r>
      <w:proofErr w:type="gramStart"/>
      <w:r w:rsidRPr="00BF3E80">
        <w:t>作出</w:t>
      </w:r>
      <w:proofErr w:type="gramEnd"/>
      <w:r w:rsidRPr="00BF3E80">
        <w:t>的，因此，缔约国关于延迟提交来文的说法没有根据。</w:t>
      </w:r>
    </w:p>
    <w:p w14:paraId="64C4DF1E" w14:textId="23423C33" w:rsidR="005C668C" w:rsidRPr="00BF3E80" w:rsidRDefault="005C668C" w:rsidP="005C668C">
      <w:pPr>
        <w:pStyle w:val="SingleTxtGC"/>
      </w:pPr>
      <w:r w:rsidRPr="00BF3E80">
        <w:t>5.2</w:t>
      </w:r>
      <w:r w:rsidRPr="00BF3E80">
        <w:tab/>
      </w:r>
      <w:r w:rsidRPr="00BF3E80">
        <w:t>提交人确认，他确实拒绝了指定律师的服务，并重申了他拒绝的理由</w:t>
      </w:r>
      <w:r w:rsidRPr="00BF3E80">
        <w:t>(</w:t>
      </w:r>
      <w:r w:rsidRPr="00BF3E80">
        <w:t>见上文第</w:t>
      </w:r>
      <w:r w:rsidRPr="00BF3E80">
        <w:t>2.3</w:t>
      </w:r>
      <w:r w:rsidRPr="00BF3E80">
        <w:t>段</w:t>
      </w:r>
      <w:r w:rsidRPr="00BF3E80">
        <w:t>)</w:t>
      </w:r>
      <w:r w:rsidRPr="00BF3E80">
        <w:t>。他称，当被告本人拒绝律师或其他辩护人的协助时，必须有辩护律师出席庭审。</w:t>
      </w:r>
      <w:r w:rsidRPr="00BF3E80">
        <w:rPr>
          <w:vertAlign w:val="superscript"/>
        </w:rPr>
        <w:footnoteReference w:id="13"/>
      </w:r>
      <w:r w:rsidR="00BF3E80" w:rsidRPr="00BF3E80">
        <w:rPr>
          <w:rFonts w:hint="eastAsia"/>
        </w:rPr>
        <w:t xml:space="preserve"> </w:t>
      </w:r>
      <w:r w:rsidRPr="00BF3E80">
        <w:t>根据《刑事诉讼法》第</w:t>
      </w:r>
      <w:r w:rsidRPr="00BF3E80">
        <w:t>51</w:t>
      </w:r>
      <w:r w:rsidRPr="00BF3E80">
        <w:t>条第</w:t>
      </w:r>
      <w:r w:rsidRPr="00BF3E80">
        <w:t>1</w:t>
      </w:r>
      <w:r w:rsidRPr="00BF3E80">
        <w:t>款第</w:t>
      </w:r>
      <w:r w:rsidRPr="00BF3E80">
        <w:t>5</w:t>
      </w:r>
      <w:r w:rsidRPr="00BF3E80">
        <w:t>项，上诉法院无论如何都应该确保他有辩护律师。根据该法第</w:t>
      </w:r>
      <w:r w:rsidRPr="00BF3E80">
        <w:t>381</w:t>
      </w:r>
      <w:r w:rsidRPr="00BF3E80">
        <w:t>条第</w:t>
      </w:r>
      <w:r w:rsidRPr="00BF3E80">
        <w:t>2</w:t>
      </w:r>
      <w:r w:rsidRPr="00BF3E80">
        <w:t>款第</w:t>
      </w:r>
      <w:r w:rsidRPr="00BF3E80">
        <w:t>4</w:t>
      </w:r>
      <w:r w:rsidRPr="00BF3E80">
        <w:t>项，对于必须有辩护律师参与的刑事案件，若审理时没有辩护律师出庭，则可</w:t>
      </w:r>
      <w:r w:rsidRPr="00BF3E80">
        <w:rPr>
          <w:rFonts w:hint="eastAsia"/>
        </w:rPr>
        <w:t>构成</w:t>
      </w:r>
      <w:r w:rsidRPr="00BF3E80">
        <w:t>推翻或改变上诉法院司法裁决的理由之一。</w:t>
      </w:r>
    </w:p>
    <w:p w14:paraId="6FB07270" w14:textId="77777777" w:rsidR="005C668C" w:rsidRPr="00BF3E80" w:rsidRDefault="005C668C" w:rsidP="005C668C">
      <w:pPr>
        <w:pStyle w:val="SingleTxtGC"/>
      </w:pPr>
      <w:r w:rsidRPr="00BF3E80">
        <w:t>5.3</w:t>
      </w:r>
      <w:r w:rsidRPr="00BF3E80">
        <w:tab/>
      </w:r>
      <w:r w:rsidRPr="00BF3E80">
        <w:t>提交人反驳了缔约国的说法，即其来文缺乏关于据称违反《公约》第十四条第一款的资料，他指出，在必须有辩护律师参与庭审的情况下</w:t>
      </w:r>
      <w:r w:rsidRPr="00BF3E80">
        <w:rPr>
          <w:rFonts w:hint="eastAsia"/>
        </w:rPr>
        <w:t>，没有</w:t>
      </w:r>
      <w:r w:rsidRPr="00BF3E80">
        <w:t>辩护律师出庭，以及未能根据《刑事诉讼法》第</w:t>
      </w:r>
      <w:r w:rsidRPr="00BF3E80">
        <w:t>381</w:t>
      </w:r>
      <w:r w:rsidRPr="00BF3E80">
        <w:t>条第</w:t>
      </w:r>
      <w:r w:rsidRPr="00BF3E80">
        <w:t>2</w:t>
      </w:r>
      <w:r w:rsidRPr="00BF3E80">
        <w:t>款第</w:t>
      </w:r>
      <w:r w:rsidRPr="00BF3E80">
        <w:t>4</w:t>
      </w:r>
      <w:r w:rsidRPr="00BF3E80">
        <w:t>项推翻或改变法院的裁决，</w:t>
      </w:r>
      <w:r w:rsidRPr="00BF3E80">
        <w:rPr>
          <w:rFonts w:hint="eastAsia"/>
        </w:rPr>
        <w:t>即侵犯了他</w:t>
      </w:r>
      <w:r w:rsidRPr="00BF3E80">
        <w:t>由合格、独立和公正的法庭进行公正审判的权利，以及在法院面前平等和</w:t>
      </w:r>
      <w:r w:rsidRPr="00BF3E80">
        <w:rPr>
          <w:rFonts w:hint="eastAsia"/>
        </w:rPr>
        <w:t>手段平等</w:t>
      </w:r>
      <w:r w:rsidRPr="00BF3E80">
        <w:t>的</w:t>
      </w:r>
      <w:r w:rsidRPr="00BF3E80">
        <w:rPr>
          <w:rFonts w:hint="eastAsia"/>
        </w:rPr>
        <w:t>权利。</w:t>
      </w:r>
    </w:p>
    <w:p w14:paraId="5F232C25" w14:textId="77777777" w:rsidR="005C668C" w:rsidRPr="00BF3E80" w:rsidRDefault="005C668C" w:rsidP="005C668C">
      <w:pPr>
        <w:pStyle w:val="SingleTxtGC"/>
      </w:pPr>
      <w:r w:rsidRPr="00BF3E80">
        <w:t>5.4</w:t>
      </w:r>
      <w:r w:rsidRPr="00BF3E80">
        <w:tab/>
      </w:r>
      <w:r w:rsidRPr="00BF3E80">
        <w:t>关于缔约国认为他没有证明不向他提供律师如何构成歧视，提交人重申在庭审期间他与检方和法官处于不平等地位，以及由于没有受过法律培训，他无法在没有律师协助的情况下充分为自己辩护</w:t>
      </w:r>
      <w:r w:rsidRPr="00BF3E80">
        <w:t>(</w:t>
      </w:r>
      <w:r w:rsidRPr="00BF3E80">
        <w:t>见上文第</w:t>
      </w:r>
      <w:r w:rsidRPr="00BF3E80">
        <w:t>3.2</w:t>
      </w:r>
      <w:r w:rsidRPr="00BF3E80">
        <w:t>段</w:t>
      </w:r>
      <w:r w:rsidRPr="00BF3E80">
        <w:t>)</w:t>
      </w:r>
      <w:r w:rsidRPr="00BF3E80">
        <w:t>。</w:t>
      </w:r>
    </w:p>
    <w:p w14:paraId="63617236" w14:textId="77777777" w:rsidR="005C668C" w:rsidRPr="00BF3E80" w:rsidRDefault="005C668C" w:rsidP="005C668C">
      <w:pPr>
        <w:pStyle w:val="SingleTxtGC"/>
      </w:pPr>
      <w:r w:rsidRPr="00BF3E80">
        <w:t>5.5</w:t>
      </w:r>
      <w:r w:rsidRPr="00BF3E80">
        <w:tab/>
      </w:r>
      <w:r w:rsidRPr="00BF3E80">
        <w:t>提交人回顾了《公约》第十四条第三款</w:t>
      </w:r>
      <w:r w:rsidRPr="00BF3E80">
        <w:t>(</w:t>
      </w:r>
      <w:r w:rsidRPr="00BF3E80">
        <w:t>卯</w:t>
      </w:r>
      <w:r w:rsidRPr="00BF3E80">
        <w:t>)</w:t>
      </w:r>
      <w:r w:rsidRPr="00BF3E80">
        <w:t>项的措辞，并再次提及欧洲人权法院对</w:t>
      </w:r>
      <w:proofErr w:type="spellStart"/>
      <w:r w:rsidRPr="00BF3E80">
        <w:t>Artico</w:t>
      </w:r>
      <w:proofErr w:type="spellEnd"/>
      <w:r w:rsidRPr="00BF3E80">
        <w:rPr>
          <w:rFonts w:ascii="Time New Roman" w:eastAsia="楷体" w:hAnsi="Time New Roman"/>
        </w:rPr>
        <w:t>诉意大利案</w:t>
      </w:r>
      <w:r w:rsidRPr="00BF3E80">
        <w:t>和</w:t>
      </w:r>
      <w:proofErr w:type="spellStart"/>
      <w:r w:rsidRPr="00BF3E80">
        <w:t>Pakelli</w:t>
      </w:r>
      <w:proofErr w:type="spellEnd"/>
      <w:r w:rsidRPr="00BF3E80">
        <w:rPr>
          <w:rFonts w:ascii="Time New Roman" w:eastAsia="楷体" w:hAnsi="Time New Roman"/>
        </w:rPr>
        <w:t>诉德国案</w:t>
      </w:r>
      <w:r w:rsidRPr="00BF3E80">
        <w:t>的判决</w:t>
      </w:r>
      <w:r w:rsidRPr="00BF3E80">
        <w:t>(</w:t>
      </w:r>
      <w:r w:rsidRPr="00BF3E80">
        <w:t>见上文第</w:t>
      </w:r>
      <w:r w:rsidRPr="00BF3E80">
        <w:t>3.2</w:t>
      </w:r>
      <w:r w:rsidRPr="00BF3E80">
        <w:t>段</w:t>
      </w:r>
      <w:r w:rsidRPr="00BF3E80">
        <w:t>)</w:t>
      </w:r>
      <w:r w:rsidRPr="00BF3E80">
        <w:t>。</w:t>
      </w:r>
    </w:p>
    <w:p w14:paraId="2C677B9A" w14:textId="77777777" w:rsidR="005C668C" w:rsidRPr="00BF3E80" w:rsidRDefault="005C668C" w:rsidP="005C668C">
      <w:pPr>
        <w:pStyle w:val="H23GC"/>
      </w:pPr>
      <w:r w:rsidRPr="00BF3E80">
        <w:tab/>
      </w:r>
      <w:r w:rsidRPr="00BF3E80">
        <w:tab/>
      </w:r>
      <w:r w:rsidRPr="00BF3E80">
        <w:t>提交人的补充陈述</w:t>
      </w:r>
    </w:p>
    <w:p w14:paraId="18FD91B3" w14:textId="77777777" w:rsidR="005C668C" w:rsidRPr="00BF3E80" w:rsidRDefault="005C668C" w:rsidP="005C668C">
      <w:pPr>
        <w:pStyle w:val="SingleTxtGC"/>
      </w:pPr>
      <w:r w:rsidRPr="00BF3E80">
        <w:t>6.1</w:t>
      </w:r>
      <w:r w:rsidRPr="00BF3E80">
        <w:tab/>
        <w:t>2015</w:t>
      </w:r>
      <w:r w:rsidRPr="00BF3E80">
        <w:t>年</w:t>
      </w:r>
      <w:r w:rsidRPr="00BF3E80">
        <w:t>6</w:t>
      </w:r>
      <w:r w:rsidRPr="00BF3E80">
        <w:t>月</w:t>
      </w:r>
      <w:r w:rsidRPr="00BF3E80">
        <w:t>24</w:t>
      </w:r>
      <w:r w:rsidRPr="00BF3E80">
        <w:t>日，提交人补充了</w:t>
      </w:r>
      <w:r w:rsidRPr="00BF3E80">
        <w:t>2014</w:t>
      </w:r>
      <w:r w:rsidRPr="00BF3E80">
        <w:t>年</w:t>
      </w:r>
      <w:r w:rsidRPr="00BF3E80">
        <w:t>12</w:t>
      </w:r>
      <w:r w:rsidRPr="00BF3E80">
        <w:t>月</w:t>
      </w:r>
      <w:r w:rsidRPr="00BF3E80">
        <w:t>4</w:t>
      </w:r>
      <w:r w:rsidRPr="00BF3E80">
        <w:t>日的初次来文，提出了新的申诉，即初审法官没有考虑他对审判记录第三、第四和第五部分的异议，在未经审查的情况下就将记录转交俄罗斯联邦最高法院，这违反了《刑事诉讼法》第</w:t>
      </w:r>
      <w:r w:rsidRPr="00BF3E80">
        <w:t>260</w:t>
      </w:r>
      <w:r w:rsidRPr="00BF3E80">
        <w:t>条第</w:t>
      </w:r>
      <w:r w:rsidRPr="00BF3E80">
        <w:t>2</w:t>
      </w:r>
      <w:r w:rsidRPr="00BF3E80">
        <w:t>款和第</w:t>
      </w:r>
      <w:r w:rsidRPr="00BF3E80">
        <w:t>3</w:t>
      </w:r>
      <w:r w:rsidRPr="00BF3E80">
        <w:t>款。</w:t>
      </w:r>
      <w:r w:rsidRPr="00BF3E80">
        <w:rPr>
          <w:vertAlign w:val="superscript"/>
        </w:rPr>
        <w:footnoteReference w:id="14"/>
      </w:r>
    </w:p>
    <w:p w14:paraId="52CB2FD5" w14:textId="77777777" w:rsidR="005C668C" w:rsidRPr="00BF3E80" w:rsidRDefault="005C668C" w:rsidP="005C668C">
      <w:pPr>
        <w:pStyle w:val="SingleTxtGC"/>
      </w:pPr>
      <w:r w:rsidRPr="00BF3E80">
        <w:t>6.2</w:t>
      </w:r>
      <w:r w:rsidRPr="00BF3E80">
        <w:tab/>
      </w:r>
      <w:r w:rsidRPr="00BF3E80">
        <w:t>提交人称，作为上诉法院的俄罗斯联邦最高法院刑事分院无视对他获得公正审判权的侵犯行为，在</w:t>
      </w:r>
      <w:r w:rsidRPr="00BF3E80">
        <w:t>2009</w:t>
      </w:r>
      <w:r w:rsidRPr="00BF3E80">
        <w:t>年</w:t>
      </w:r>
      <w:r w:rsidRPr="00BF3E80">
        <w:t>3</w:t>
      </w:r>
      <w:r w:rsidRPr="00BF3E80">
        <w:t>月</w:t>
      </w:r>
      <w:r w:rsidRPr="00BF3E80">
        <w:t>19</w:t>
      </w:r>
      <w:r w:rsidRPr="00BF3E80">
        <w:t>日的裁决中指出，在《刑事诉讼法》第</w:t>
      </w:r>
      <w:r w:rsidRPr="00BF3E80">
        <w:t>260</w:t>
      </w:r>
      <w:r w:rsidRPr="00BF3E80">
        <w:t>条规定的截止日期后收到对审判记录的部分异议，因此未</w:t>
      </w:r>
      <w:proofErr w:type="gramStart"/>
      <w:r w:rsidRPr="00BF3E80">
        <w:t>予审</w:t>
      </w:r>
      <w:proofErr w:type="gramEnd"/>
      <w:r w:rsidRPr="00BF3E80">
        <w:t>议。提交人称，法院将</w:t>
      </w:r>
      <w:r w:rsidRPr="00BF3E80">
        <w:t>2008</w:t>
      </w:r>
      <w:r w:rsidRPr="00BF3E80">
        <w:t>年</w:t>
      </w:r>
      <w:r w:rsidRPr="00BF3E80">
        <w:t>2</w:t>
      </w:r>
      <w:r w:rsidRPr="00BF3E80">
        <w:t>月</w:t>
      </w:r>
      <w:r w:rsidRPr="00BF3E80">
        <w:t>18</w:t>
      </w:r>
      <w:r w:rsidRPr="00BF3E80">
        <w:t>日定为所有罪犯熟悉审判记录的截止日期，他遵守了这一规定，于</w:t>
      </w:r>
      <w:r w:rsidRPr="00BF3E80">
        <w:t>2008</w:t>
      </w:r>
      <w:r w:rsidRPr="00BF3E80">
        <w:t>年</w:t>
      </w:r>
      <w:r w:rsidRPr="00BF3E80">
        <w:t>2</w:t>
      </w:r>
      <w:r w:rsidRPr="00BF3E80">
        <w:t>月</w:t>
      </w:r>
      <w:r w:rsidRPr="00BF3E80">
        <w:t>11</w:t>
      </w:r>
      <w:r w:rsidRPr="00BF3E80">
        <w:t>日提前提交了对审判记录第三部分的异议。他还指出，鞑靼斯坦共和国最高法院的法官本应审查他提出的异议，但该法官于</w:t>
      </w:r>
      <w:r w:rsidRPr="00BF3E80">
        <w:t>2008</w:t>
      </w:r>
      <w:r w:rsidRPr="00BF3E80">
        <w:t>年</w:t>
      </w:r>
      <w:r w:rsidRPr="00BF3E80">
        <w:t>1</w:t>
      </w:r>
      <w:r w:rsidRPr="00BF3E80">
        <w:t>月</w:t>
      </w:r>
      <w:r w:rsidRPr="00BF3E80">
        <w:t>17</w:t>
      </w:r>
      <w:r w:rsidRPr="00BF3E80">
        <w:t>日</w:t>
      </w:r>
      <w:r w:rsidRPr="00BF3E80">
        <w:rPr>
          <w:rFonts w:hint="eastAsia"/>
        </w:rPr>
        <w:t>退休</w:t>
      </w:r>
      <w:r w:rsidRPr="00BF3E80">
        <w:t>。</w:t>
      </w:r>
    </w:p>
    <w:p w14:paraId="57F6D3DF" w14:textId="77777777" w:rsidR="005C668C" w:rsidRPr="00BF3E80" w:rsidRDefault="005C668C" w:rsidP="005C668C">
      <w:pPr>
        <w:pStyle w:val="SingleTxtGC"/>
        <w:rPr>
          <w:i/>
        </w:rPr>
      </w:pPr>
      <w:r w:rsidRPr="00BF3E80">
        <w:t>6.3</w:t>
      </w:r>
      <w:r w:rsidRPr="00BF3E80">
        <w:tab/>
        <w:t>2012</w:t>
      </w:r>
      <w:r w:rsidRPr="00BF3E80">
        <w:t>年</w:t>
      </w:r>
      <w:r w:rsidRPr="00BF3E80">
        <w:t>7</w:t>
      </w:r>
      <w:r w:rsidRPr="00BF3E80">
        <w:t>月</w:t>
      </w:r>
      <w:r w:rsidRPr="00BF3E80">
        <w:t>9</w:t>
      </w:r>
      <w:r w:rsidRPr="00BF3E80">
        <w:t>日，提交人向宪法法院提出申诉，</w:t>
      </w:r>
      <w:proofErr w:type="gramStart"/>
      <w:r w:rsidRPr="00BF3E80">
        <w:t>称存在</w:t>
      </w:r>
      <w:proofErr w:type="gramEnd"/>
      <w:r w:rsidRPr="00BF3E80">
        <w:t>违反《刑事诉讼法》第</w:t>
      </w:r>
      <w:r w:rsidRPr="00BF3E80">
        <w:t>260</w:t>
      </w:r>
      <w:r w:rsidRPr="00BF3E80">
        <w:t>条第</w:t>
      </w:r>
      <w:r w:rsidRPr="00BF3E80">
        <w:t>2</w:t>
      </w:r>
      <w:r w:rsidRPr="00BF3E80">
        <w:t>款和第</w:t>
      </w:r>
      <w:r w:rsidRPr="00BF3E80">
        <w:t>3</w:t>
      </w:r>
      <w:r w:rsidRPr="00BF3E80">
        <w:t>款的行为。</w:t>
      </w:r>
      <w:r w:rsidRPr="00BF3E80">
        <w:t>2012</w:t>
      </w:r>
      <w:r w:rsidRPr="00BF3E80">
        <w:t>年</w:t>
      </w:r>
      <w:r w:rsidRPr="00BF3E80">
        <w:t>9</w:t>
      </w:r>
      <w:r w:rsidRPr="00BF3E80">
        <w:t>月</w:t>
      </w:r>
      <w:r w:rsidRPr="00BF3E80">
        <w:t>24</w:t>
      </w:r>
      <w:r w:rsidRPr="00BF3E80">
        <w:t>日，宪法法院决定不受理该申诉，但提交人称，宪法法院仍然确认了上述法律规范和他的公平审判权，但没有确定应由哪个官员或当局纠正这些侵权行为。</w:t>
      </w:r>
      <w:r w:rsidRPr="00BF3E80">
        <w:rPr>
          <w:vertAlign w:val="superscript"/>
        </w:rPr>
        <w:footnoteReference w:id="15"/>
      </w:r>
    </w:p>
    <w:p w14:paraId="332AF585" w14:textId="77777777" w:rsidR="005C668C" w:rsidRPr="00BF3E80" w:rsidRDefault="005C668C" w:rsidP="005C668C">
      <w:pPr>
        <w:pStyle w:val="SingleTxtGC"/>
      </w:pPr>
      <w:r w:rsidRPr="00BF3E80">
        <w:lastRenderedPageBreak/>
        <w:t>6.4</w:t>
      </w:r>
      <w:r w:rsidRPr="00BF3E80">
        <w:tab/>
      </w:r>
      <w:r w:rsidRPr="00BF3E80">
        <w:t>提交人于</w:t>
      </w:r>
      <w:r w:rsidRPr="00BF3E80">
        <w:t>2012</w:t>
      </w:r>
      <w:r w:rsidRPr="00BF3E80">
        <w:t>年</w:t>
      </w:r>
      <w:r w:rsidRPr="00BF3E80">
        <w:t>12</w:t>
      </w:r>
      <w:r w:rsidRPr="00BF3E80">
        <w:t>月</w:t>
      </w:r>
      <w:r w:rsidRPr="00BF3E80">
        <w:t>4</w:t>
      </w:r>
      <w:r w:rsidRPr="00BF3E80">
        <w:t>日提出监督复审</w:t>
      </w:r>
      <w:r w:rsidRPr="00BF3E80">
        <w:rPr>
          <w:rFonts w:hint="eastAsia"/>
        </w:rPr>
        <w:t>要求</w:t>
      </w:r>
      <w:r w:rsidRPr="00BF3E80">
        <w:t>(</w:t>
      </w:r>
      <w:r w:rsidRPr="00BF3E80">
        <w:t>另见上文第</w:t>
      </w:r>
      <w:r w:rsidRPr="00BF3E80">
        <w:t>2.4</w:t>
      </w:r>
      <w:r w:rsidRPr="00BF3E80">
        <w:t>段</w:t>
      </w:r>
      <w:r w:rsidRPr="00BF3E80">
        <w:t>)</w:t>
      </w:r>
      <w:r w:rsidRPr="00BF3E80">
        <w:t>，除其他外，提交人称存在违反《刑事诉讼法》第</w:t>
      </w:r>
      <w:r w:rsidRPr="00BF3E80">
        <w:t>260</w:t>
      </w:r>
      <w:r w:rsidRPr="00BF3E80">
        <w:t>条第</w:t>
      </w:r>
      <w:r w:rsidRPr="00BF3E80">
        <w:t>2</w:t>
      </w:r>
      <w:r w:rsidRPr="00BF3E80">
        <w:t>款和第</w:t>
      </w:r>
      <w:r w:rsidRPr="00BF3E80">
        <w:t>3</w:t>
      </w:r>
      <w:r w:rsidRPr="00BF3E80">
        <w:t>款的行为，俄罗斯联邦最高法院</w:t>
      </w:r>
      <w:r w:rsidRPr="00BF3E80">
        <w:t>2013</w:t>
      </w:r>
      <w:r w:rsidRPr="00BF3E80">
        <w:t>年</w:t>
      </w:r>
      <w:r w:rsidRPr="00BF3E80">
        <w:t>3</w:t>
      </w:r>
      <w:r w:rsidRPr="00BF3E80">
        <w:t>月</w:t>
      </w:r>
      <w:r w:rsidRPr="00BF3E80">
        <w:t>13</w:t>
      </w:r>
      <w:r w:rsidRPr="00BF3E80">
        <w:t>日驳回了该</w:t>
      </w:r>
      <w:r w:rsidRPr="00BF3E80">
        <w:rPr>
          <w:rFonts w:hint="eastAsia"/>
        </w:rPr>
        <w:t>要求</w:t>
      </w:r>
      <w:r w:rsidRPr="00BF3E80">
        <w:t>。</w:t>
      </w:r>
    </w:p>
    <w:p w14:paraId="1219AB30" w14:textId="77777777" w:rsidR="005C668C" w:rsidRPr="00BF3E80" w:rsidRDefault="005C668C" w:rsidP="005C668C">
      <w:pPr>
        <w:pStyle w:val="SingleTxtGC"/>
      </w:pPr>
      <w:r w:rsidRPr="00BF3E80">
        <w:t>6.5</w:t>
      </w:r>
      <w:r w:rsidRPr="00BF3E80">
        <w:tab/>
        <w:t>2013</w:t>
      </w:r>
      <w:r w:rsidRPr="00BF3E80">
        <w:t>年</w:t>
      </w:r>
      <w:r w:rsidRPr="00BF3E80">
        <w:t>4</w:t>
      </w:r>
      <w:r w:rsidRPr="00BF3E80">
        <w:t>月</w:t>
      </w:r>
      <w:r w:rsidRPr="00BF3E80">
        <w:t>25</w:t>
      </w:r>
      <w:r w:rsidRPr="00BF3E80">
        <w:t>日，提交人向总检察长办公室提出申诉，该申诉于</w:t>
      </w:r>
      <w:r w:rsidRPr="00BF3E80">
        <w:t>2013</w:t>
      </w:r>
      <w:r w:rsidRPr="00BF3E80">
        <w:t>年</w:t>
      </w:r>
      <w:r w:rsidRPr="00BF3E80">
        <w:t>7</w:t>
      </w:r>
      <w:r w:rsidRPr="00BF3E80">
        <w:t>月</w:t>
      </w:r>
      <w:r w:rsidRPr="00BF3E80">
        <w:t>1</w:t>
      </w:r>
      <w:r w:rsidRPr="00BF3E80">
        <w:t>日被驳回。他随后提出多个上诉</w:t>
      </w:r>
      <w:r w:rsidRPr="00BF3E80">
        <w:t>(</w:t>
      </w:r>
      <w:r w:rsidRPr="00BF3E80">
        <w:t>其中一次未说明具体日期，其余</w:t>
      </w:r>
      <w:r w:rsidRPr="00BF3E80">
        <w:rPr>
          <w:rFonts w:hint="eastAsia"/>
        </w:rPr>
        <w:t>几次</w:t>
      </w:r>
      <w:r w:rsidRPr="00BF3E80">
        <w:t>分别在</w:t>
      </w:r>
      <w:r w:rsidRPr="00BF3E80">
        <w:t>2013</w:t>
      </w:r>
      <w:r w:rsidRPr="00BF3E80">
        <w:t>年</w:t>
      </w:r>
      <w:r w:rsidRPr="00BF3E80">
        <w:t>8</w:t>
      </w:r>
      <w:r w:rsidRPr="00BF3E80">
        <w:t>月</w:t>
      </w:r>
      <w:r w:rsidRPr="00BF3E80">
        <w:t>28</w:t>
      </w:r>
      <w:r w:rsidRPr="00BF3E80">
        <w:t>日、</w:t>
      </w:r>
      <w:r w:rsidRPr="00BF3E80">
        <w:t>2014</w:t>
      </w:r>
      <w:r w:rsidRPr="00BF3E80">
        <w:t>年</w:t>
      </w:r>
      <w:r w:rsidRPr="00BF3E80">
        <w:t>4</w:t>
      </w:r>
      <w:r w:rsidRPr="00BF3E80">
        <w:t>月</w:t>
      </w:r>
      <w:r w:rsidRPr="00BF3E80">
        <w:t>22</w:t>
      </w:r>
      <w:r w:rsidRPr="00BF3E80">
        <w:t>日和</w:t>
      </w:r>
      <w:r w:rsidRPr="00BF3E80">
        <w:t>2014</w:t>
      </w:r>
      <w:r w:rsidRPr="00BF3E80">
        <w:t>年</w:t>
      </w:r>
      <w:r w:rsidRPr="00BF3E80">
        <w:t>8</w:t>
      </w:r>
      <w:r w:rsidRPr="00BF3E80">
        <w:t>月</w:t>
      </w:r>
      <w:r w:rsidRPr="00BF3E80">
        <w:t>18</w:t>
      </w:r>
      <w:r w:rsidRPr="00BF3E80">
        <w:t>日</w:t>
      </w:r>
      <w:r w:rsidRPr="00BF3E80">
        <w:t>)</w:t>
      </w:r>
      <w:r w:rsidRPr="00BF3E80">
        <w:rPr>
          <w:rFonts w:hint="eastAsia"/>
        </w:rPr>
        <w:t>，</w:t>
      </w:r>
      <w:r w:rsidRPr="00BF3E80">
        <w:t>也分别于</w:t>
      </w:r>
      <w:r w:rsidRPr="00BF3E80">
        <w:t>2013</w:t>
      </w:r>
      <w:r w:rsidRPr="00BF3E80">
        <w:t>年</w:t>
      </w:r>
      <w:r w:rsidRPr="00BF3E80">
        <w:t>9</w:t>
      </w:r>
      <w:r w:rsidRPr="00BF3E80">
        <w:t>月</w:t>
      </w:r>
      <w:r w:rsidRPr="00BF3E80">
        <w:t>3</w:t>
      </w:r>
      <w:r w:rsidRPr="00BF3E80">
        <w:t>日、</w:t>
      </w:r>
      <w:r w:rsidRPr="00BF3E80">
        <w:t>2013</w:t>
      </w:r>
      <w:r w:rsidRPr="00BF3E80">
        <w:t>年</w:t>
      </w:r>
      <w:r w:rsidRPr="00BF3E80">
        <w:t>10</w:t>
      </w:r>
      <w:r w:rsidRPr="00BF3E80">
        <w:t>月</w:t>
      </w:r>
      <w:r w:rsidRPr="00BF3E80">
        <w:t>21</w:t>
      </w:r>
      <w:r w:rsidRPr="00BF3E80">
        <w:t>日、</w:t>
      </w:r>
      <w:r w:rsidRPr="00BF3E80">
        <w:t>2014</w:t>
      </w:r>
      <w:r w:rsidRPr="00BF3E80">
        <w:t>年</w:t>
      </w:r>
      <w:r w:rsidRPr="00BF3E80">
        <w:t>7</w:t>
      </w:r>
      <w:r w:rsidRPr="00BF3E80">
        <w:t>月</w:t>
      </w:r>
      <w:r w:rsidRPr="00BF3E80">
        <w:t>21</w:t>
      </w:r>
      <w:r w:rsidRPr="00BF3E80">
        <w:t>日和</w:t>
      </w:r>
      <w:r w:rsidRPr="00BF3E80">
        <w:t>2014</w:t>
      </w:r>
      <w:r w:rsidRPr="00BF3E80">
        <w:t>年</w:t>
      </w:r>
      <w:r w:rsidRPr="00BF3E80">
        <w:t>10</w:t>
      </w:r>
      <w:r w:rsidRPr="00BF3E80">
        <w:t>月</w:t>
      </w:r>
      <w:r w:rsidRPr="00BF3E80">
        <w:t>10</w:t>
      </w:r>
      <w:r w:rsidRPr="00BF3E80">
        <w:t>日被驳回。</w:t>
      </w:r>
    </w:p>
    <w:p w14:paraId="7DC908EE" w14:textId="77777777" w:rsidR="005C668C" w:rsidRPr="00BF3E80" w:rsidRDefault="005C668C" w:rsidP="005C668C">
      <w:pPr>
        <w:pStyle w:val="SingleTxtGC"/>
      </w:pPr>
      <w:r w:rsidRPr="00BF3E80">
        <w:t>6.6</w:t>
      </w:r>
      <w:r w:rsidRPr="00BF3E80">
        <w:tab/>
      </w:r>
      <w:r w:rsidRPr="00BF3E80">
        <w:t>提交人依据宪法法院</w:t>
      </w:r>
      <w:r w:rsidRPr="00BF3E80">
        <w:t>2012</w:t>
      </w:r>
      <w:r w:rsidRPr="00BF3E80">
        <w:t>年</w:t>
      </w:r>
      <w:r w:rsidRPr="00BF3E80">
        <w:t>9</w:t>
      </w:r>
      <w:r w:rsidRPr="00BF3E80">
        <w:t>月</w:t>
      </w:r>
      <w:r w:rsidRPr="00BF3E80">
        <w:t>24</w:t>
      </w:r>
      <w:r w:rsidRPr="00BF3E80">
        <w:t>日的裁决，于</w:t>
      </w:r>
      <w:r w:rsidRPr="00BF3E80">
        <w:t>2014</w:t>
      </w:r>
      <w:r w:rsidRPr="00BF3E80">
        <w:t>年</w:t>
      </w:r>
      <w:r w:rsidRPr="00BF3E80">
        <w:t>8</w:t>
      </w:r>
      <w:r w:rsidRPr="00BF3E80">
        <w:t>月</w:t>
      </w:r>
      <w:r w:rsidRPr="00BF3E80">
        <w:t>13</w:t>
      </w:r>
      <w:r w:rsidRPr="00BF3E80">
        <w:t>日向最高法院主席团提出申诉，要求根据新发现的情况重新审议其案件。</w:t>
      </w:r>
      <w:r w:rsidRPr="00BF3E80">
        <w:t>2014</w:t>
      </w:r>
      <w:r w:rsidRPr="00BF3E80">
        <w:t>年</w:t>
      </w:r>
      <w:r w:rsidRPr="00BF3E80">
        <w:t>9</w:t>
      </w:r>
      <w:r w:rsidRPr="00BF3E80">
        <w:t>月</w:t>
      </w:r>
      <w:r w:rsidRPr="00BF3E80">
        <w:t>2</w:t>
      </w:r>
      <w:r w:rsidRPr="00BF3E80">
        <w:t>日，最高法院驳回了该申诉。</w:t>
      </w:r>
    </w:p>
    <w:p w14:paraId="24689104" w14:textId="77777777" w:rsidR="005C668C" w:rsidRPr="00BF3E80" w:rsidRDefault="005C668C" w:rsidP="005C668C">
      <w:pPr>
        <w:pStyle w:val="SingleTxtGC"/>
      </w:pPr>
      <w:r w:rsidRPr="00BF3E80">
        <w:t>6.7</w:t>
      </w:r>
      <w:r w:rsidRPr="00BF3E80">
        <w:tab/>
      </w:r>
      <w:r w:rsidRPr="00BF3E80">
        <w:t>提交人随后于</w:t>
      </w:r>
      <w:r w:rsidRPr="00BF3E80">
        <w:t>2014</w:t>
      </w:r>
      <w:r w:rsidRPr="00BF3E80">
        <w:t>年</w:t>
      </w:r>
      <w:r w:rsidRPr="00BF3E80">
        <w:t>10</w:t>
      </w:r>
      <w:r w:rsidRPr="00BF3E80">
        <w:t>月</w:t>
      </w:r>
      <w:r w:rsidRPr="00BF3E80">
        <w:t>8</w:t>
      </w:r>
      <w:r w:rsidRPr="00BF3E80">
        <w:t>日和</w:t>
      </w:r>
      <w:r w:rsidRPr="00BF3E80">
        <w:t>2015</w:t>
      </w:r>
      <w:r w:rsidRPr="00BF3E80">
        <w:t>年</w:t>
      </w:r>
      <w:r w:rsidRPr="00BF3E80">
        <w:t>1</w:t>
      </w:r>
      <w:r w:rsidRPr="00BF3E80">
        <w:t>月</w:t>
      </w:r>
      <w:r w:rsidRPr="00BF3E80">
        <w:t>27</w:t>
      </w:r>
      <w:r w:rsidRPr="00BF3E80">
        <w:t>日向宪法法院提出了申诉，分别于</w:t>
      </w:r>
      <w:r w:rsidRPr="00BF3E80">
        <w:t>2014</w:t>
      </w:r>
      <w:r w:rsidRPr="00BF3E80">
        <w:t>年</w:t>
      </w:r>
      <w:r w:rsidRPr="00BF3E80">
        <w:t>11</w:t>
      </w:r>
      <w:r w:rsidRPr="00BF3E80">
        <w:t>月</w:t>
      </w:r>
      <w:r w:rsidRPr="00BF3E80">
        <w:t>19</w:t>
      </w:r>
      <w:r w:rsidRPr="00BF3E80">
        <w:t>日和</w:t>
      </w:r>
      <w:r w:rsidRPr="00BF3E80">
        <w:t>2015</w:t>
      </w:r>
      <w:r w:rsidRPr="00BF3E80">
        <w:t>年</w:t>
      </w:r>
      <w:r w:rsidRPr="00BF3E80">
        <w:t>3</w:t>
      </w:r>
      <w:r w:rsidRPr="00BF3E80">
        <w:t>月</w:t>
      </w:r>
      <w:r w:rsidRPr="00BF3E80">
        <w:t>24</w:t>
      </w:r>
      <w:r w:rsidRPr="00BF3E80">
        <w:t>日被驳回。</w:t>
      </w:r>
    </w:p>
    <w:p w14:paraId="5A901859" w14:textId="3F0C22E1" w:rsidR="005C668C" w:rsidRPr="00BF3E80" w:rsidRDefault="005C668C" w:rsidP="005C668C">
      <w:pPr>
        <w:pStyle w:val="SingleTxtGC"/>
        <w:rPr>
          <w:b/>
        </w:rPr>
      </w:pPr>
      <w:r w:rsidRPr="00BF3E80">
        <w:t>6.8</w:t>
      </w:r>
      <w:r w:rsidRPr="00BF3E80">
        <w:tab/>
        <w:t>2015</w:t>
      </w:r>
      <w:r w:rsidRPr="00BF3E80">
        <w:t>年</w:t>
      </w:r>
      <w:r w:rsidRPr="00BF3E80">
        <w:t>1</w:t>
      </w:r>
      <w:r w:rsidRPr="00BF3E80">
        <w:t>月</w:t>
      </w:r>
      <w:r w:rsidRPr="00BF3E80">
        <w:t>12</w:t>
      </w:r>
      <w:r w:rsidRPr="00BF3E80">
        <w:t>日，提交人向欧洲人权法院提交了一份申诉</w:t>
      </w:r>
      <w:r w:rsidRPr="00BF3E80">
        <w:t>(</w:t>
      </w:r>
      <w:r w:rsidRPr="00BF3E80">
        <w:t>登记号为</w:t>
      </w:r>
      <w:r w:rsidRPr="00BF3E80">
        <w:t>59375/14)</w:t>
      </w:r>
      <w:r w:rsidRPr="00BF3E80">
        <w:t>，</w:t>
      </w:r>
      <w:r w:rsidRPr="00BF3E80">
        <w:rPr>
          <w:vertAlign w:val="superscript"/>
        </w:rPr>
        <w:footnoteReference w:id="16"/>
      </w:r>
      <w:r w:rsidR="00BF3E80" w:rsidRPr="00BF3E80">
        <w:rPr>
          <w:rFonts w:hint="eastAsia"/>
        </w:rPr>
        <w:t xml:space="preserve"> </w:t>
      </w:r>
      <w:r w:rsidRPr="00BF3E80">
        <w:t>该</w:t>
      </w:r>
      <w:proofErr w:type="gramStart"/>
      <w:r w:rsidRPr="00BF3E80">
        <w:t>申诉因</w:t>
      </w:r>
      <w:proofErr w:type="gramEnd"/>
      <w:r w:rsidRPr="00BF3E80">
        <w:t>不符合《欧洲人权公约》第</w:t>
      </w:r>
      <w:r w:rsidRPr="00BF3E80">
        <w:t>34</w:t>
      </w:r>
      <w:r w:rsidRPr="00BF3E80">
        <w:t>和</w:t>
      </w:r>
      <w:r w:rsidRPr="00BF3E80">
        <w:t>35</w:t>
      </w:r>
      <w:r w:rsidRPr="00BF3E80">
        <w:t>条的要求</w:t>
      </w:r>
      <w:r w:rsidRPr="00BF3E80">
        <w:rPr>
          <w:rFonts w:hint="eastAsia"/>
        </w:rPr>
        <w:t>，</w:t>
      </w:r>
      <w:r w:rsidRPr="00BF3E80">
        <w:t>于</w:t>
      </w:r>
      <w:r w:rsidRPr="00BF3E80">
        <w:t>2015</w:t>
      </w:r>
      <w:r w:rsidRPr="00BF3E80">
        <w:t>年</w:t>
      </w:r>
      <w:r w:rsidRPr="00BF3E80">
        <w:t>3</w:t>
      </w:r>
      <w:r w:rsidRPr="00BF3E80">
        <w:t>月</w:t>
      </w:r>
      <w:r w:rsidRPr="00BF3E80">
        <w:t>12</w:t>
      </w:r>
      <w:r w:rsidRPr="00BF3E80">
        <w:t>日被宣布不予受理。</w:t>
      </w:r>
    </w:p>
    <w:p w14:paraId="6502FCA0" w14:textId="77777777" w:rsidR="005C668C" w:rsidRPr="00BF3E80" w:rsidRDefault="005C668C" w:rsidP="005C668C">
      <w:pPr>
        <w:pStyle w:val="SingleTxtGC"/>
      </w:pPr>
      <w:r w:rsidRPr="00BF3E80">
        <w:t>6.9</w:t>
      </w:r>
      <w:r w:rsidRPr="00BF3E80">
        <w:tab/>
      </w:r>
      <w:r w:rsidRPr="00BF3E80">
        <w:t>提交人称，不</w:t>
      </w:r>
      <w:r w:rsidRPr="00BF3E80">
        <w:rPr>
          <w:rFonts w:hint="eastAsia"/>
        </w:rPr>
        <w:t>审议</w:t>
      </w:r>
      <w:r w:rsidRPr="00BF3E80">
        <w:t>他对审判记录</w:t>
      </w:r>
      <w:r w:rsidRPr="00BF3E80">
        <w:rPr>
          <w:rFonts w:hint="eastAsia"/>
        </w:rPr>
        <w:t>提出的</w:t>
      </w:r>
      <w:r w:rsidRPr="00BF3E80">
        <w:t>异议违反了《公约》第十四条第一款。</w:t>
      </w:r>
    </w:p>
    <w:p w14:paraId="3EA26E5A" w14:textId="4D0C43AA" w:rsidR="005C668C" w:rsidRPr="00BF3E80" w:rsidRDefault="005C668C" w:rsidP="00BF3E80">
      <w:pPr>
        <w:pStyle w:val="SingleTxtGC"/>
        <w:tabs>
          <w:tab w:val="clear" w:pos="1565"/>
          <w:tab w:val="left" w:pos="1701"/>
        </w:tabs>
      </w:pPr>
      <w:r w:rsidRPr="00BF3E80">
        <w:t>6.10</w:t>
      </w:r>
      <w:r w:rsidRPr="00BF3E80">
        <w:tab/>
      </w:r>
      <w:r w:rsidRPr="00BF3E80">
        <w:t>他还称，不</w:t>
      </w:r>
      <w:r w:rsidRPr="00BF3E80">
        <w:rPr>
          <w:rFonts w:hint="eastAsia"/>
        </w:rPr>
        <w:t>审议</w:t>
      </w:r>
      <w:r w:rsidRPr="00BF3E80">
        <w:t>他的异议违反了《刑事诉讼法》</w:t>
      </w:r>
      <w:r w:rsidRPr="00BF3E80">
        <w:rPr>
          <w:rFonts w:hint="eastAsia"/>
        </w:rPr>
        <w:t>(</w:t>
      </w:r>
      <w:r w:rsidRPr="00BF3E80">
        <w:t>第</w:t>
      </w:r>
      <w:r w:rsidRPr="00BF3E80">
        <w:t>260</w:t>
      </w:r>
      <w:r w:rsidRPr="00BF3E80">
        <w:t>条第</w:t>
      </w:r>
      <w:r w:rsidRPr="00BF3E80">
        <w:t>2</w:t>
      </w:r>
      <w:r w:rsidRPr="00BF3E80">
        <w:t>款和第</w:t>
      </w:r>
      <w:r w:rsidRPr="00BF3E80">
        <w:t>3</w:t>
      </w:r>
      <w:r w:rsidRPr="00BF3E80">
        <w:t>款</w:t>
      </w:r>
      <w:r w:rsidRPr="00BF3E80">
        <w:rPr>
          <w:rFonts w:hint="eastAsia"/>
        </w:rPr>
        <w:t>)</w:t>
      </w:r>
      <w:r w:rsidRPr="00BF3E80">
        <w:t>，此外，根据《刑事诉讼法》第</w:t>
      </w:r>
      <w:r w:rsidRPr="00BF3E80">
        <w:t>379</w:t>
      </w:r>
      <w:r w:rsidRPr="00BF3E80">
        <w:t>条第</w:t>
      </w:r>
      <w:r w:rsidRPr="00BF3E80">
        <w:t>1</w:t>
      </w:r>
      <w:r w:rsidRPr="00BF3E80">
        <w:t>款第</w:t>
      </w:r>
      <w:r w:rsidRPr="00BF3E80">
        <w:t>2</w:t>
      </w:r>
      <w:r w:rsidRPr="00BF3E80">
        <w:t>项，违反刑事诉讼程序的行为</w:t>
      </w:r>
      <w:r w:rsidRPr="00BF3E80">
        <w:rPr>
          <w:rFonts w:hint="eastAsia"/>
        </w:rPr>
        <w:t>构成</w:t>
      </w:r>
      <w:r w:rsidRPr="00BF3E80">
        <w:t>在上诉程序期间撤销或修改判决的理由。然而，法院拒绝审查对他的判决，这违反了《公约》第十四条第五款。</w:t>
      </w:r>
    </w:p>
    <w:p w14:paraId="78703F92" w14:textId="77777777" w:rsidR="005C668C" w:rsidRPr="00BF3E80" w:rsidRDefault="005C668C" w:rsidP="00BF3E80">
      <w:pPr>
        <w:pStyle w:val="SingleTxtGC"/>
        <w:tabs>
          <w:tab w:val="clear" w:pos="1565"/>
          <w:tab w:val="left" w:pos="1701"/>
        </w:tabs>
      </w:pPr>
      <w:r w:rsidRPr="00BF3E80">
        <w:t>6.11</w:t>
      </w:r>
      <w:r w:rsidRPr="00BF3E80">
        <w:tab/>
      </w:r>
      <w:r w:rsidRPr="00BF3E80">
        <w:t>最后，提交人称，由于司法部门没有审议他对审判记录的异议，随后又拒绝纠正上述司法不公的情况，因此侵犯了他根据《公约》第二十六条享有的不受歧视地</w:t>
      </w:r>
      <w:r w:rsidRPr="00BF3E80">
        <w:rPr>
          <w:rFonts w:hint="eastAsia"/>
        </w:rPr>
        <w:t>获得</w:t>
      </w:r>
      <w:r w:rsidRPr="00BF3E80">
        <w:t>法律平等保护的权利。</w:t>
      </w:r>
    </w:p>
    <w:p w14:paraId="0543ABD2" w14:textId="77777777" w:rsidR="005C668C" w:rsidRPr="00BF3E80" w:rsidRDefault="005C668C" w:rsidP="005C668C">
      <w:pPr>
        <w:pStyle w:val="H23GC"/>
      </w:pPr>
      <w:r w:rsidRPr="00BF3E80">
        <w:tab/>
      </w:r>
      <w:r w:rsidRPr="00BF3E80">
        <w:tab/>
      </w:r>
      <w:r w:rsidRPr="00BF3E80">
        <w:rPr>
          <w:rFonts w:hint="eastAsia"/>
        </w:rPr>
        <w:t>缔约国对提交人补充陈述的案情的意见</w:t>
      </w:r>
    </w:p>
    <w:p w14:paraId="10233A6F" w14:textId="77777777" w:rsidR="005C668C" w:rsidRPr="00BF3E80" w:rsidRDefault="005C668C" w:rsidP="005C668C">
      <w:pPr>
        <w:pStyle w:val="SingleTxtGC"/>
      </w:pPr>
      <w:r w:rsidRPr="00BF3E80">
        <w:t>7.1</w:t>
      </w:r>
      <w:r w:rsidRPr="00BF3E80">
        <w:tab/>
      </w:r>
      <w:r w:rsidRPr="00BF3E80">
        <w:t>缔约国在</w:t>
      </w:r>
      <w:r w:rsidRPr="00BF3E80">
        <w:t>2015</w:t>
      </w:r>
      <w:r w:rsidRPr="00BF3E80">
        <w:t>年</w:t>
      </w:r>
      <w:r w:rsidRPr="00BF3E80">
        <w:t>12</w:t>
      </w:r>
      <w:r w:rsidRPr="00BF3E80">
        <w:t>月</w:t>
      </w:r>
      <w:r w:rsidRPr="00BF3E80">
        <w:t>21</w:t>
      </w:r>
      <w:r w:rsidRPr="00BF3E80">
        <w:t>日的普通照会中指出，根据《刑事诉讼法》第</w:t>
      </w:r>
      <w:r w:rsidRPr="00BF3E80">
        <w:t>259</w:t>
      </w:r>
      <w:r w:rsidRPr="00BF3E80">
        <w:t>条，法院必须保存诉讼记录。记录可分部分编写，主审法官和书记官应在记录的各个部分和完整版本上签字。记录编写完成后，</w:t>
      </w:r>
      <w:proofErr w:type="gramStart"/>
      <w:r w:rsidRPr="00BF3E80">
        <w:t>可应当事方</w:t>
      </w:r>
      <w:proofErr w:type="gramEnd"/>
      <w:r w:rsidRPr="00BF3E80">
        <w:t>的要求</w:t>
      </w:r>
      <w:r w:rsidRPr="00BF3E80">
        <w:rPr>
          <w:rFonts w:hint="eastAsia"/>
        </w:rPr>
        <w:t>，</w:t>
      </w:r>
      <w:r w:rsidRPr="00BF3E80">
        <w:t>让他们有机会熟悉记录的各部分。</w:t>
      </w:r>
    </w:p>
    <w:p w14:paraId="32856F12" w14:textId="77777777" w:rsidR="005C668C" w:rsidRPr="00BF3E80" w:rsidRDefault="005C668C" w:rsidP="005C668C">
      <w:pPr>
        <w:pStyle w:val="SingleTxtGC"/>
      </w:pPr>
      <w:r w:rsidRPr="00BF3E80">
        <w:t>7.2</w:t>
      </w:r>
      <w:r w:rsidRPr="00BF3E80">
        <w:tab/>
      </w:r>
      <w:r w:rsidRPr="00BF3E80">
        <w:t>由主审法官根据相关庭审记录的多少</w:t>
      </w:r>
      <w:r w:rsidRPr="00BF3E80">
        <w:rPr>
          <w:rFonts w:hint="eastAsia"/>
        </w:rPr>
        <w:t>，</w:t>
      </w:r>
      <w:r w:rsidRPr="00BF3E80">
        <w:t>确定熟悉</w:t>
      </w:r>
      <w:r w:rsidRPr="00BF3E80">
        <w:rPr>
          <w:rFonts w:hint="eastAsia"/>
        </w:rPr>
        <w:t>有关</w:t>
      </w:r>
      <w:r w:rsidRPr="00BF3E80">
        <w:t>记录所需时间，但不得少于五天。在特殊情况下，可根据要求延长这一期限。如果法院诉讼程序的参与</w:t>
      </w:r>
      <w:proofErr w:type="gramStart"/>
      <w:r w:rsidRPr="00BF3E80">
        <w:t>方明显</w:t>
      </w:r>
      <w:proofErr w:type="gramEnd"/>
      <w:r w:rsidRPr="00BF3E80">
        <w:rPr>
          <w:rFonts w:hint="eastAsia"/>
        </w:rPr>
        <w:t>地</w:t>
      </w:r>
      <w:r w:rsidRPr="00BF3E80">
        <w:t>拖延熟悉记录的时间，法官可以</w:t>
      </w:r>
      <w:r w:rsidRPr="00BF3E80">
        <w:rPr>
          <w:rFonts w:hint="eastAsia"/>
        </w:rPr>
        <w:t>就此</w:t>
      </w:r>
      <w:r w:rsidRPr="00BF3E80">
        <w:t>设定一个具体期限。</w:t>
      </w:r>
    </w:p>
    <w:p w14:paraId="4402C89A" w14:textId="77777777" w:rsidR="005C668C" w:rsidRPr="00BF3E80" w:rsidRDefault="005C668C" w:rsidP="005C668C">
      <w:pPr>
        <w:pStyle w:val="SingleTxtGC"/>
      </w:pPr>
      <w:r w:rsidRPr="00BF3E80">
        <w:t>7.3</w:t>
      </w:r>
      <w:r w:rsidRPr="00BF3E80">
        <w:tab/>
      </w:r>
      <w:r w:rsidRPr="00BF3E80">
        <w:t>根据《刑事诉讼法》第</w:t>
      </w:r>
      <w:r w:rsidRPr="00BF3E80">
        <w:t>260</w:t>
      </w:r>
      <w:r w:rsidRPr="00BF3E80">
        <w:t>条，当事各方熟悉了记录后，可在三天内就相关记录提出意见。</w:t>
      </w:r>
    </w:p>
    <w:p w14:paraId="39D6853A" w14:textId="77777777" w:rsidR="005C668C" w:rsidRPr="00BF3E80" w:rsidRDefault="005C668C" w:rsidP="005C668C">
      <w:pPr>
        <w:pStyle w:val="SingleTxtGC"/>
      </w:pPr>
      <w:r w:rsidRPr="00BF3E80">
        <w:lastRenderedPageBreak/>
        <w:t>7.4</w:t>
      </w:r>
      <w:r w:rsidRPr="00BF3E80">
        <w:tab/>
      </w:r>
      <w:r w:rsidRPr="00BF3E80">
        <w:t>提交人案件的法庭诉讼记录共有</w:t>
      </w:r>
      <w:r w:rsidRPr="00BF3E80">
        <w:t>1,023</w:t>
      </w:r>
      <w:r w:rsidRPr="00BF3E80">
        <w:t>页。将该记录分部分</w:t>
      </w:r>
      <w:r w:rsidRPr="00BF3E80">
        <w:t>(</w:t>
      </w:r>
      <w:r w:rsidRPr="00BF3E80">
        <w:t>共五部分</w:t>
      </w:r>
      <w:r w:rsidRPr="00BF3E80">
        <w:t>)</w:t>
      </w:r>
      <w:r w:rsidRPr="00BF3E80">
        <w:t>发给了提交人和其他要求熟悉记录内容的</w:t>
      </w:r>
      <w:r w:rsidRPr="00BF3E80">
        <w:rPr>
          <w:rFonts w:hint="eastAsia"/>
        </w:rPr>
        <w:t>当事方</w:t>
      </w:r>
      <w:r w:rsidRPr="00BF3E80">
        <w:t>。于</w:t>
      </w:r>
      <w:r w:rsidRPr="00BF3E80">
        <w:t>2007</w:t>
      </w:r>
      <w:r w:rsidRPr="00BF3E80">
        <w:t>年</w:t>
      </w:r>
      <w:r w:rsidRPr="00BF3E80">
        <w:t>5</w:t>
      </w:r>
      <w:r w:rsidRPr="00BF3E80">
        <w:t>月</w:t>
      </w:r>
      <w:r w:rsidRPr="00BF3E80">
        <w:t>31</w:t>
      </w:r>
      <w:r w:rsidRPr="00BF3E80">
        <w:t>日将记录的第三部分</w:t>
      </w:r>
      <w:r w:rsidRPr="00BF3E80">
        <w:t>(</w:t>
      </w:r>
      <w:r w:rsidRPr="00BF3E80">
        <w:t>第</w:t>
      </w:r>
      <w:r w:rsidRPr="00BF3E80">
        <w:t>360(a)</w:t>
      </w:r>
      <w:r w:rsidRPr="00BF3E80">
        <w:t>至</w:t>
      </w:r>
      <w:r w:rsidRPr="00BF3E80">
        <w:t>612</w:t>
      </w:r>
      <w:r w:rsidRPr="00BF3E80">
        <w:t>页</w:t>
      </w:r>
      <w:r w:rsidRPr="00BF3E80">
        <w:t>)</w:t>
      </w:r>
      <w:r w:rsidRPr="00BF3E80">
        <w:t>发送提交人，供他在收到之日起七天内熟悉记录内容。根据提交人签署的确认表，他于</w:t>
      </w:r>
      <w:r w:rsidRPr="00BF3E80">
        <w:t>2007</w:t>
      </w:r>
      <w:r w:rsidRPr="00BF3E80">
        <w:t>年</w:t>
      </w:r>
      <w:r w:rsidRPr="00BF3E80">
        <w:t>11</w:t>
      </w:r>
      <w:r w:rsidRPr="00BF3E80">
        <w:t>月</w:t>
      </w:r>
      <w:r w:rsidRPr="00BF3E80">
        <w:t>27</w:t>
      </w:r>
      <w:r w:rsidRPr="00BF3E80">
        <w:t>日表示已经熟悉了第三部分的内容。然而，他直到</w:t>
      </w:r>
      <w:r w:rsidRPr="00BF3E80">
        <w:t>2008</w:t>
      </w:r>
      <w:r w:rsidRPr="00BF3E80">
        <w:t>年</w:t>
      </w:r>
      <w:r w:rsidRPr="00BF3E80">
        <w:t>2</w:t>
      </w:r>
      <w:r w:rsidRPr="00BF3E80">
        <w:t>月</w:t>
      </w:r>
      <w:r w:rsidRPr="00BF3E80">
        <w:t>11</w:t>
      </w:r>
      <w:r w:rsidRPr="00BF3E80">
        <w:t>日</w:t>
      </w:r>
      <w:r w:rsidRPr="00BF3E80">
        <w:t>(</w:t>
      </w:r>
      <w:r w:rsidRPr="00BF3E80">
        <w:t>两个多月后</w:t>
      </w:r>
      <w:r w:rsidRPr="00BF3E80">
        <w:t>)</w:t>
      </w:r>
      <w:r w:rsidRPr="00BF3E80">
        <w:t>才提出异议，然后在</w:t>
      </w:r>
      <w:r w:rsidRPr="00BF3E80">
        <w:t>2008</w:t>
      </w:r>
      <w:r w:rsidRPr="00BF3E80">
        <w:t>年</w:t>
      </w:r>
      <w:r w:rsidRPr="00BF3E80">
        <w:t>7</w:t>
      </w:r>
      <w:r w:rsidRPr="00BF3E80">
        <w:t>月</w:t>
      </w:r>
      <w:r w:rsidRPr="00BF3E80">
        <w:t>7</w:t>
      </w:r>
      <w:r w:rsidRPr="00BF3E80">
        <w:t>日再次提出异议。因此，俄罗斯联邦最高法院刑事分院在其</w:t>
      </w:r>
      <w:r w:rsidRPr="00BF3E80">
        <w:t>2019</w:t>
      </w:r>
      <w:r w:rsidRPr="00BF3E80">
        <w:t>年</w:t>
      </w:r>
      <w:r w:rsidRPr="00BF3E80">
        <w:t>3</w:t>
      </w:r>
      <w:r w:rsidRPr="00BF3E80">
        <w:t>月</w:t>
      </w:r>
      <w:r w:rsidRPr="00BF3E80">
        <w:t>19</w:t>
      </w:r>
      <w:r w:rsidRPr="00BF3E80">
        <w:t>日关于撤销原判上诉的裁决书中说明，在提交期限过后才收到提交人对审判记录的部分异议。提交人的异议被列入案件卷宗，但初审法院未</w:t>
      </w:r>
      <w:proofErr w:type="gramStart"/>
      <w:r w:rsidRPr="00BF3E80">
        <w:t>予考</w:t>
      </w:r>
      <w:proofErr w:type="gramEnd"/>
      <w:r w:rsidRPr="00BF3E80">
        <w:t>虑。</w:t>
      </w:r>
    </w:p>
    <w:p w14:paraId="75C1CE45" w14:textId="77777777" w:rsidR="005C668C" w:rsidRPr="00BF3E80" w:rsidRDefault="005C668C" w:rsidP="005C668C">
      <w:pPr>
        <w:pStyle w:val="SingleTxtGC"/>
      </w:pPr>
      <w:r w:rsidRPr="00BF3E80">
        <w:t>7.5</w:t>
      </w:r>
      <w:r w:rsidRPr="00BF3E80">
        <w:tab/>
      </w:r>
      <w:r w:rsidRPr="00BF3E80">
        <w:t>提交人称，法院规定的对审判记录提出意见的</w:t>
      </w:r>
      <w:r w:rsidRPr="00BF3E80">
        <w:rPr>
          <w:rFonts w:hint="eastAsia"/>
        </w:rPr>
        <w:t>截止日期</w:t>
      </w:r>
      <w:r w:rsidRPr="00BF3E80">
        <w:t>是</w:t>
      </w:r>
      <w:r w:rsidRPr="00BF3E80">
        <w:t>2008</w:t>
      </w:r>
      <w:r w:rsidRPr="00BF3E80">
        <w:t>年</w:t>
      </w:r>
      <w:r w:rsidRPr="00BF3E80">
        <w:t>2</w:t>
      </w:r>
      <w:r w:rsidRPr="00BF3E80">
        <w:t>月</w:t>
      </w:r>
      <w:r w:rsidRPr="00BF3E80">
        <w:t>18</w:t>
      </w:r>
      <w:r w:rsidRPr="00BF3E80">
        <w:t>日，因此他没有错过对第三部分提出异议</w:t>
      </w:r>
      <w:r w:rsidRPr="00BF3E80">
        <w:rPr>
          <w:rFonts w:hint="eastAsia"/>
        </w:rPr>
        <w:t>的最后期限，</w:t>
      </w:r>
      <w:r w:rsidRPr="00BF3E80">
        <w:t>他的这一说法与他卷宗中的资料相矛盾。如上所述，审判记录共五部分，编写完成后即提供给当事各方以熟悉其内容。因此，法院分别规定了就每个部分提出意见的最后期限。法院确定就审判记录第四部分</w:t>
      </w:r>
      <w:r w:rsidRPr="00BF3E80">
        <w:t>(</w:t>
      </w:r>
      <w:r w:rsidRPr="00BF3E80">
        <w:t>第</w:t>
      </w:r>
      <w:r w:rsidRPr="00BF3E80">
        <w:t>613</w:t>
      </w:r>
      <w:r w:rsidRPr="00BF3E80">
        <w:t>至</w:t>
      </w:r>
      <w:r w:rsidRPr="00BF3E80">
        <w:t>758</w:t>
      </w:r>
      <w:r w:rsidRPr="00BF3E80">
        <w:t>页</w:t>
      </w:r>
      <w:r w:rsidRPr="00BF3E80">
        <w:t>)</w:t>
      </w:r>
      <w:r w:rsidRPr="00BF3E80">
        <w:t>提出意见的</w:t>
      </w:r>
      <w:r w:rsidRPr="00BF3E80">
        <w:rPr>
          <w:rFonts w:hint="eastAsia"/>
        </w:rPr>
        <w:t>截止日期</w:t>
      </w:r>
      <w:r w:rsidRPr="00BF3E80">
        <w:t>为</w:t>
      </w:r>
      <w:r w:rsidRPr="00BF3E80">
        <w:t>2008</w:t>
      </w:r>
      <w:r w:rsidRPr="00BF3E80">
        <w:t>年</w:t>
      </w:r>
      <w:r w:rsidRPr="00BF3E80">
        <w:t>2</w:t>
      </w:r>
      <w:r w:rsidRPr="00BF3E80">
        <w:t>月</w:t>
      </w:r>
      <w:r w:rsidRPr="00BF3E80">
        <w:t>18</w:t>
      </w:r>
      <w:r w:rsidRPr="00BF3E80">
        <w:t>日。</w:t>
      </w:r>
    </w:p>
    <w:p w14:paraId="271322DB" w14:textId="77777777" w:rsidR="005C668C" w:rsidRPr="00BF3E80" w:rsidRDefault="005C668C" w:rsidP="005C668C">
      <w:pPr>
        <w:pStyle w:val="SingleTxtGC"/>
      </w:pPr>
      <w:r w:rsidRPr="00BF3E80">
        <w:t>7.6</w:t>
      </w:r>
      <w:r w:rsidRPr="00BF3E80">
        <w:tab/>
      </w:r>
      <w:r w:rsidRPr="00BF3E80">
        <w:t>鉴于上述情况，提交人熟悉审判记录并对其提出异议的权利并未受到侵犯。</w:t>
      </w:r>
    </w:p>
    <w:p w14:paraId="242CF3B7" w14:textId="77777777" w:rsidR="005C668C" w:rsidRPr="00BF3E80" w:rsidRDefault="005C668C" w:rsidP="005C668C">
      <w:pPr>
        <w:pStyle w:val="H23GC"/>
      </w:pPr>
      <w:r w:rsidRPr="00BF3E80">
        <w:tab/>
      </w:r>
      <w:r w:rsidRPr="00BF3E80">
        <w:tab/>
      </w:r>
      <w:r w:rsidRPr="00BF3E80">
        <w:t>提交人对缔约国意见的评论</w:t>
      </w:r>
    </w:p>
    <w:p w14:paraId="6B8E8A3F" w14:textId="77777777" w:rsidR="005C668C" w:rsidRPr="00BF3E80" w:rsidRDefault="005C668C" w:rsidP="005C668C">
      <w:pPr>
        <w:pStyle w:val="SingleTxtGC"/>
      </w:pPr>
      <w:r w:rsidRPr="00BF3E80">
        <w:t>8.1</w:t>
      </w:r>
      <w:r w:rsidRPr="00BF3E80">
        <w:tab/>
      </w:r>
      <w:r w:rsidRPr="00BF3E80">
        <w:t>在</w:t>
      </w:r>
      <w:r w:rsidRPr="00BF3E80">
        <w:t>2016</w:t>
      </w:r>
      <w:r w:rsidRPr="00BF3E80">
        <w:t>年</w:t>
      </w:r>
      <w:r w:rsidRPr="00BF3E80">
        <w:t>2</w:t>
      </w:r>
      <w:r w:rsidRPr="00BF3E80">
        <w:t>月</w:t>
      </w:r>
      <w:r w:rsidRPr="00BF3E80">
        <w:t>9</w:t>
      </w:r>
      <w:r w:rsidRPr="00BF3E80">
        <w:t>日的评论中，提交人反驳了缔约国关于他在</w:t>
      </w:r>
      <w:r w:rsidRPr="00BF3E80">
        <w:t>2007</w:t>
      </w:r>
      <w:r w:rsidRPr="00BF3E80">
        <w:t>年</w:t>
      </w:r>
      <w:r w:rsidRPr="00BF3E80">
        <w:t>11</w:t>
      </w:r>
      <w:r w:rsidRPr="00BF3E80">
        <w:t>月</w:t>
      </w:r>
      <w:r w:rsidRPr="00BF3E80">
        <w:t>27</w:t>
      </w:r>
      <w:r w:rsidRPr="00BF3E80">
        <w:t>日确认已经熟悉了审判记录第三部分的说法，他称，他签字的确认</w:t>
      </w:r>
      <w:proofErr w:type="gramStart"/>
      <w:r w:rsidRPr="00BF3E80">
        <w:t>表只能</w:t>
      </w:r>
      <w:proofErr w:type="gramEnd"/>
      <w:r w:rsidRPr="00BF3E80">
        <w:t>显示他在这一天收到了记录</w:t>
      </w:r>
      <w:r w:rsidRPr="00BF3E80">
        <w:rPr>
          <w:rFonts w:hint="eastAsia"/>
        </w:rPr>
        <w:t>的</w:t>
      </w:r>
      <w:r w:rsidRPr="00BF3E80">
        <w:t>第三部分，用于熟悉其内容。</w:t>
      </w:r>
    </w:p>
    <w:p w14:paraId="565A79C3" w14:textId="77777777" w:rsidR="005C668C" w:rsidRPr="00BF3E80" w:rsidRDefault="005C668C" w:rsidP="005C668C">
      <w:pPr>
        <w:pStyle w:val="SingleTxtGC"/>
      </w:pPr>
      <w:r w:rsidRPr="00BF3E80">
        <w:t>8.2</w:t>
      </w:r>
      <w:r w:rsidRPr="00BF3E80">
        <w:tab/>
      </w:r>
      <w:r w:rsidRPr="00BF3E80">
        <w:t>他还反驳了法院分别设定就审判记录的五个部分提出意见最后期限</w:t>
      </w:r>
      <w:r w:rsidRPr="00BF3E80">
        <w:t>(</w:t>
      </w:r>
      <w:r w:rsidRPr="00BF3E80">
        <w:t>见上文第</w:t>
      </w:r>
      <w:r w:rsidRPr="00BF3E80">
        <w:t>7.5</w:t>
      </w:r>
      <w:r w:rsidRPr="00BF3E80">
        <w:t>段</w:t>
      </w:r>
      <w:r w:rsidRPr="00BF3E80">
        <w:t>)</w:t>
      </w:r>
      <w:r w:rsidRPr="00BF3E80">
        <w:t>的说法，并提及了鞑靼斯坦共和国最高法院法官</w:t>
      </w:r>
      <w:r w:rsidRPr="00BF3E80">
        <w:t>2008</w:t>
      </w:r>
      <w:r w:rsidRPr="00BF3E80">
        <w:t>年</w:t>
      </w:r>
      <w:r w:rsidRPr="00BF3E80">
        <w:t>5</w:t>
      </w:r>
      <w:r w:rsidRPr="00BF3E80">
        <w:t>月</w:t>
      </w:r>
      <w:r w:rsidRPr="00BF3E80">
        <w:t>21</w:t>
      </w:r>
      <w:r w:rsidRPr="00BF3E80">
        <w:t>日的决定，称法院将</w:t>
      </w:r>
      <w:r w:rsidRPr="00BF3E80">
        <w:t>2008</w:t>
      </w:r>
      <w:r w:rsidRPr="00BF3E80">
        <w:t>年</w:t>
      </w:r>
      <w:r w:rsidRPr="00BF3E80">
        <w:t>2</w:t>
      </w:r>
      <w:r w:rsidRPr="00BF3E80">
        <w:t>月</w:t>
      </w:r>
      <w:r w:rsidRPr="00BF3E80">
        <w:t>18</w:t>
      </w:r>
      <w:r w:rsidRPr="00BF3E80">
        <w:t>日定为每个罪犯熟悉审判记录</w:t>
      </w:r>
      <w:r w:rsidRPr="00BF3E80">
        <w:t>(</w:t>
      </w:r>
      <w:r w:rsidRPr="00BF3E80">
        <w:t>即熟悉整个记录，而不是其中某个部分</w:t>
      </w:r>
      <w:r w:rsidRPr="00BF3E80">
        <w:t>)</w:t>
      </w:r>
      <w:r w:rsidRPr="00BF3E80">
        <w:t>的</w:t>
      </w:r>
      <w:r w:rsidRPr="00BF3E80">
        <w:rPr>
          <w:rFonts w:hint="eastAsia"/>
        </w:rPr>
        <w:t>截止日期</w:t>
      </w:r>
      <w:r w:rsidRPr="00BF3E80">
        <w:t>。</w:t>
      </w:r>
    </w:p>
    <w:p w14:paraId="67FE16D0" w14:textId="77777777" w:rsidR="005C668C" w:rsidRPr="00BF3E80" w:rsidRDefault="005C668C" w:rsidP="005C668C">
      <w:pPr>
        <w:pStyle w:val="SingleTxtGC"/>
      </w:pPr>
      <w:r w:rsidRPr="00BF3E80">
        <w:t>8.3</w:t>
      </w:r>
      <w:r w:rsidRPr="00BF3E80">
        <w:tab/>
      </w:r>
      <w:r w:rsidRPr="00BF3E80">
        <w:t>提交人指出，主审法官于</w:t>
      </w:r>
      <w:r w:rsidRPr="00BF3E80">
        <w:t>2008</w:t>
      </w:r>
      <w:r w:rsidRPr="00BF3E80">
        <w:t>年</w:t>
      </w:r>
      <w:r w:rsidRPr="00BF3E80">
        <w:t>1</w:t>
      </w:r>
      <w:r w:rsidRPr="00BF3E80">
        <w:t>月</w:t>
      </w:r>
      <w:r w:rsidRPr="00BF3E80">
        <w:t>15</w:t>
      </w:r>
      <w:r w:rsidRPr="00BF3E80">
        <w:t>日审议了他对审判记录第一和第二部分的异议。该法官随后于</w:t>
      </w:r>
      <w:r w:rsidRPr="00BF3E80">
        <w:t>2008</w:t>
      </w:r>
      <w:r w:rsidRPr="00BF3E80">
        <w:t>年</w:t>
      </w:r>
      <w:r w:rsidRPr="00BF3E80">
        <w:t>1</w:t>
      </w:r>
      <w:r w:rsidRPr="00BF3E80">
        <w:t>月</w:t>
      </w:r>
      <w:r w:rsidRPr="00BF3E80">
        <w:t>17</w:t>
      </w:r>
      <w:r w:rsidRPr="00BF3E80">
        <w:t>日退休。他于</w:t>
      </w:r>
      <w:r w:rsidRPr="00BF3E80">
        <w:t>2008</w:t>
      </w:r>
      <w:r w:rsidRPr="00BF3E80">
        <w:t>年</w:t>
      </w:r>
      <w:r w:rsidRPr="00BF3E80">
        <w:t>2</w:t>
      </w:r>
      <w:r w:rsidRPr="00BF3E80">
        <w:t>月</w:t>
      </w:r>
      <w:r w:rsidRPr="00BF3E80">
        <w:t>11</w:t>
      </w:r>
      <w:r w:rsidRPr="00BF3E80">
        <w:t>日，即在</w:t>
      </w:r>
      <w:r w:rsidRPr="00BF3E80">
        <w:t>2008</w:t>
      </w:r>
      <w:r w:rsidRPr="00BF3E80">
        <w:t>年</w:t>
      </w:r>
      <w:r w:rsidRPr="00BF3E80">
        <w:t>2</w:t>
      </w:r>
      <w:r w:rsidRPr="00BF3E80">
        <w:t>月</w:t>
      </w:r>
      <w:r w:rsidRPr="00BF3E80">
        <w:t>18</w:t>
      </w:r>
      <w:r w:rsidRPr="00BF3E80">
        <w:t>日这一截止日期之前</w:t>
      </w:r>
      <w:r w:rsidRPr="00BF3E80">
        <w:rPr>
          <w:rFonts w:hint="eastAsia"/>
        </w:rPr>
        <w:t>，</w:t>
      </w:r>
      <w:r w:rsidRPr="00BF3E80">
        <w:t>提交了对审判记录第三部分的异议。他于</w:t>
      </w:r>
      <w:r w:rsidRPr="00BF3E80">
        <w:t>2008</w:t>
      </w:r>
      <w:r w:rsidRPr="00BF3E80">
        <w:t>年</w:t>
      </w:r>
      <w:r w:rsidRPr="00BF3E80">
        <w:t>2</w:t>
      </w:r>
      <w:r w:rsidRPr="00BF3E80">
        <w:t>月</w:t>
      </w:r>
      <w:r w:rsidRPr="00BF3E80">
        <w:t>11</w:t>
      </w:r>
      <w:r w:rsidRPr="00BF3E80">
        <w:t>日和</w:t>
      </w:r>
      <w:r w:rsidRPr="00BF3E80">
        <w:t>2008</w:t>
      </w:r>
      <w:r w:rsidRPr="00BF3E80">
        <w:t>年</w:t>
      </w:r>
      <w:r w:rsidRPr="00BF3E80">
        <w:t>5</w:t>
      </w:r>
      <w:r w:rsidRPr="00BF3E80">
        <w:t>月</w:t>
      </w:r>
      <w:r w:rsidRPr="00BF3E80">
        <w:t>15</w:t>
      </w:r>
      <w:r w:rsidRPr="00BF3E80">
        <w:t>日分别收到了审判记录的第四和第五部分，但当时法院已经知道，由于主审法官退休，对这两部分的异议将不会得到审议。直至</w:t>
      </w:r>
      <w:r w:rsidRPr="00BF3E80">
        <w:t>2008</w:t>
      </w:r>
      <w:r w:rsidRPr="00BF3E80">
        <w:t>年</w:t>
      </w:r>
      <w:r w:rsidRPr="00BF3E80">
        <w:t>11</w:t>
      </w:r>
      <w:r w:rsidRPr="00BF3E80">
        <w:t>月</w:t>
      </w:r>
      <w:r w:rsidRPr="00BF3E80">
        <w:t>18</w:t>
      </w:r>
      <w:r w:rsidRPr="00BF3E80">
        <w:t>日他才被告知，他对审判记录的异议在未经审议的情况下已被送交最高法院。</w:t>
      </w:r>
    </w:p>
    <w:p w14:paraId="19BE15C3" w14:textId="14E50495" w:rsidR="005C668C" w:rsidRPr="00BF3E80" w:rsidRDefault="005C668C" w:rsidP="005C668C">
      <w:pPr>
        <w:pStyle w:val="SingleTxtGC"/>
      </w:pPr>
      <w:r w:rsidRPr="00BF3E80">
        <w:t>8.4</w:t>
      </w:r>
      <w:r w:rsidRPr="00BF3E80">
        <w:tab/>
      </w:r>
      <w:r w:rsidRPr="00BF3E80">
        <w:t>提交人回顾称，法官应立即审议对审判记录的异议，然后应</w:t>
      </w:r>
      <w:proofErr w:type="gramStart"/>
      <w:r w:rsidRPr="00BF3E80">
        <w:t>作出</w:t>
      </w:r>
      <w:proofErr w:type="gramEnd"/>
      <w:r w:rsidRPr="00BF3E80">
        <w:t>决定</w:t>
      </w:r>
      <w:r w:rsidRPr="00BF3E80">
        <w:rPr>
          <w:rFonts w:hint="eastAsia"/>
        </w:rPr>
        <w:t>，证</w:t>
      </w:r>
      <w:r w:rsidRPr="00BF3E80">
        <w:t>明这些异议的正确性或予以驳回，</w:t>
      </w:r>
      <w:r w:rsidRPr="00BF3E80">
        <w:rPr>
          <w:vertAlign w:val="superscript"/>
        </w:rPr>
        <w:footnoteReference w:id="17"/>
      </w:r>
      <w:r w:rsidR="00BF3E80" w:rsidRPr="00BF3E80">
        <w:rPr>
          <w:rFonts w:hint="eastAsia"/>
        </w:rPr>
        <w:t xml:space="preserve"> </w:t>
      </w:r>
      <w:r w:rsidRPr="00BF3E80">
        <w:t>且这些异议应得到充分和客观的审议。</w:t>
      </w:r>
      <w:r w:rsidRPr="00BF3E80">
        <w:rPr>
          <w:vertAlign w:val="superscript"/>
        </w:rPr>
        <w:footnoteReference w:id="18"/>
      </w:r>
      <w:r w:rsidR="00BF3E80" w:rsidRPr="00BF3E80">
        <w:rPr>
          <w:rFonts w:hint="eastAsia"/>
        </w:rPr>
        <w:t xml:space="preserve"> </w:t>
      </w:r>
      <w:r w:rsidRPr="00BF3E80">
        <w:t>他认为：</w:t>
      </w:r>
      <w:r w:rsidRPr="00BF3E80">
        <w:t>(a)</w:t>
      </w:r>
      <w:r w:rsidR="00BF3E80" w:rsidRPr="00BF3E80">
        <w:t xml:space="preserve"> </w:t>
      </w:r>
      <w:r w:rsidRPr="00BF3E80">
        <w:t>尽管他在</w:t>
      </w:r>
      <w:r w:rsidRPr="00BF3E80">
        <w:t>2008</w:t>
      </w:r>
      <w:r w:rsidRPr="00BF3E80">
        <w:t>年</w:t>
      </w:r>
      <w:r w:rsidRPr="00BF3E80">
        <w:t>2</w:t>
      </w:r>
      <w:r w:rsidRPr="00BF3E80">
        <w:t>月</w:t>
      </w:r>
      <w:r w:rsidRPr="00BF3E80">
        <w:t>18</w:t>
      </w:r>
      <w:r w:rsidRPr="00BF3E80">
        <w:t>日这一最后期限的七天前就提交了对审判记录第三部分的异议，但他的意见没有得到审议；</w:t>
      </w:r>
      <w:r w:rsidRPr="00BF3E80">
        <w:t xml:space="preserve">(b) </w:t>
      </w:r>
      <w:r w:rsidRPr="00BF3E80">
        <w:rPr>
          <w:rFonts w:hint="eastAsia"/>
        </w:rPr>
        <w:t>并未</w:t>
      </w:r>
      <w:r w:rsidRPr="00BF3E80">
        <w:t>为熟悉审判记录的五个部分分别规定具体期限；</w:t>
      </w:r>
      <w:r w:rsidRPr="00BF3E80">
        <w:t xml:space="preserve">(c) </w:t>
      </w:r>
      <w:r w:rsidRPr="00BF3E80">
        <w:t>虽然</w:t>
      </w:r>
      <w:r w:rsidRPr="00BF3E80">
        <w:rPr>
          <w:rFonts w:hint="eastAsia"/>
        </w:rPr>
        <w:t>提供</w:t>
      </w:r>
      <w:r w:rsidRPr="00BF3E80">
        <w:t>了记录的第四和第五部分</w:t>
      </w:r>
      <w:r w:rsidRPr="00BF3E80">
        <w:rPr>
          <w:rFonts w:hint="eastAsia"/>
        </w:rPr>
        <w:t>供</w:t>
      </w:r>
      <w:r w:rsidRPr="00BF3E80">
        <w:t>熟悉其内容，但可以预见的是，由于法官退休，法院在任何情况下都</w:t>
      </w:r>
      <w:proofErr w:type="gramStart"/>
      <w:r w:rsidRPr="00BF3E80">
        <w:t>不会审议</w:t>
      </w:r>
      <w:proofErr w:type="gramEnd"/>
      <w:r w:rsidRPr="00BF3E80">
        <w:t>对该两部分记录的任何异议；</w:t>
      </w:r>
      <w:r w:rsidRPr="00BF3E80">
        <w:t>(d)</w:t>
      </w:r>
      <w:r w:rsidRPr="00BF3E80">
        <w:t>司法不公导致他对审判记录的异议没有得到审议。因此，提交</w:t>
      </w:r>
      <w:r w:rsidRPr="00BF3E80">
        <w:lastRenderedPageBreak/>
        <w:t>人认为，缔约国关于他根据《公约》第十四条第一款和第五款以及第二十六条享有的权利受到侵犯的意见是不合法且没有根据的。</w:t>
      </w:r>
    </w:p>
    <w:p w14:paraId="2C559868" w14:textId="77777777" w:rsidR="005C668C" w:rsidRPr="00BF3E80" w:rsidRDefault="005C668C" w:rsidP="005C668C">
      <w:pPr>
        <w:pStyle w:val="SingleTxtGC"/>
      </w:pPr>
      <w:r w:rsidRPr="00BF3E80">
        <w:t>8.5</w:t>
      </w:r>
      <w:r w:rsidRPr="00BF3E80">
        <w:tab/>
      </w:r>
      <w:r w:rsidRPr="00BF3E80">
        <w:t>提交人在</w:t>
      </w:r>
      <w:r w:rsidRPr="00BF3E80">
        <w:t>2016</w:t>
      </w:r>
      <w:r w:rsidRPr="00BF3E80">
        <w:t>年</w:t>
      </w:r>
      <w:r w:rsidRPr="00BF3E80">
        <w:t>2</w:t>
      </w:r>
      <w:r w:rsidRPr="00BF3E80">
        <w:t>月</w:t>
      </w:r>
      <w:r w:rsidRPr="00BF3E80">
        <w:t>15</w:t>
      </w:r>
      <w:r w:rsidRPr="00BF3E80">
        <w:t>日的呈件中指出，宪法法院于</w:t>
      </w:r>
      <w:r w:rsidRPr="00BF3E80">
        <w:t>2015</w:t>
      </w:r>
      <w:r w:rsidRPr="00BF3E80">
        <w:t>年</w:t>
      </w:r>
      <w:r w:rsidRPr="00BF3E80">
        <w:t>5</w:t>
      </w:r>
      <w:r w:rsidRPr="00BF3E80">
        <w:t>月</w:t>
      </w:r>
      <w:r w:rsidRPr="00BF3E80">
        <w:t>21</w:t>
      </w:r>
      <w:r w:rsidRPr="00BF3E80">
        <w:t>日驳回了他</w:t>
      </w:r>
      <w:r w:rsidRPr="00BF3E80">
        <w:t>2015</w:t>
      </w:r>
      <w:r w:rsidRPr="00BF3E80">
        <w:t>年</w:t>
      </w:r>
      <w:r w:rsidRPr="00BF3E80">
        <w:t>4</w:t>
      </w:r>
      <w:r w:rsidRPr="00BF3E80">
        <w:t>月</w:t>
      </w:r>
      <w:r w:rsidRPr="00BF3E80">
        <w:t>3</w:t>
      </w:r>
      <w:r w:rsidRPr="00BF3E80">
        <w:t>日提出的申诉，各个法院在审议他的案件时皆无视刑事法院的诉讼程序。</w:t>
      </w:r>
    </w:p>
    <w:p w14:paraId="6AC49AF5" w14:textId="77777777" w:rsidR="005C668C" w:rsidRPr="00BF3E80" w:rsidRDefault="005C668C" w:rsidP="005C668C">
      <w:pPr>
        <w:pStyle w:val="H23GC"/>
      </w:pPr>
      <w:r w:rsidRPr="00BF3E80">
        <w:tab/>
      </w:r>
      <w:r w:rsidRPr="00BF3E80">
        <w:tab/>
      </w:r>
      <w:r w:rsidRPr="00BF3E80">
        <w:t>提交人的补充陈述</w:t>
      </w:r>
    </w:p>
    <w:p w14:paraId="1379864B" w14:textId="77777777" w:rsidR="005C668C" w:rsidRPr="00BF3E80" w:rsidRDefault="005C668C" w:rsidP="005C668C">
      <w:pPr>
        <w:pStyle w:val="SingleTxtGC"/>
      </w:pPr>
      <w:r w:rsidRPr="00BF3E80">
        <w:t>9.1</w:t>
      </w:r>
      <w:r w:rsidRPr="00BF3E80">
        <w:tab/>
        <w:t>2016</w:t>
      </w:r>
      <w:r w:rsidRPr="00BF3E80">
        <w:t>年</w:t>
      </w:r>
      <w:r w:rsidRPr="00BF3E80">
        <w:t>6</w:t>
      </w:r>
      <w:r w:rsidRPr="00BF3E80">
        <w:t>月</w:t>
      </w:r>
      <w:r w:rsidRPr="00BF3E80">
        <w:t>19</w:t>
      </w:r>
      <w:r w:rsidRPr="00BF3E80">
        <w:t>日，提交人补充了其</w:t>
      </w:r>
      <w:r w:rsidRPr="00BF3E80">
        <w:t>2014</w:t>
      </w:r>
      <w:r w:rsidRPr="00BF3E80">
        <w:t>年</w:t>
      </w:r>
      <w:r w:rsidRPr="00BF3E80">
        <w:t>12</w:t>
      </w:r>
      <w:r w:rsidRPr="00BF3E80">
        <w:t>月</w:t>
      </w:r>
      <w:r w:rsidRPr="00BF3E80">
        <w:t>4</w:t>
      </w:r>
      <w:r w:rsidRPr="00BF3E80">
        <w:t>日的首次来文，提出了新的申诉，称在</w:t>
      </w:r>
      <w:r w:rsidRPr="00BF3E80">
        <w:t>2003</w:t>
      </w:r>
      <w:r w:rsidRPr="00BF3E80">
        <w:t>年</w:t>
      </w:r>
      <w:r w:rsidRPr="00BF3E80">
        <w:t>9</w:t>
      </w:r>
      <w:r w:rsidRPr="00BF3E80">
        <w:t>月</w:t>
      </w:r>
      <w:r w:rsidRPr="00BF3E80">
        <w:t>27</w:t>
      </w:r>
      <w:r w:rsidRPr="00BF3E80">
        <w:t>日至</w:t>
      </w:r>
      <w:r w:rsidRPr="00BF3E80">
        <w:t>2006</w:t>
      </w:r>
      <w:r w:rsidRPr="00BF3E80">
        <w:t>年</w:t>
      </w:r>
      <w:r w:rsidRPr="00BF3E80">
        <w:t>6</w:t>
      </w:r>
      <w:r w:rsidRPr="00BF3E80">
        <w:t>月</w:t>
      </w:r>
      <w:r w:rsidRPr="00BF3E80">
        <w:t>14</w:t>
      </w:r>
      <w:r w:rsidRPr="00BF3E80">
        <w:t>日的</w:t>
      </w:r>
      <w:r w:rsidRPr="00BF3E80">
        <w:rPr>
          <w:rFonts w:hint="eastAsia"/>
        </w:rPr>
        <w:t>初始</w:t>
      </w:r>
      <w:r w:rsidRPr="00BF3E80">
        <w:t>调查期间</w:t>
      </w:r>
      <w:r w:rsidRPr="00BF3E80">
        <w:rPr>
          <w:rFonts w:hint="eastAsia"/>
        </w:rPr>
        <w:t>，</w:t>
      </w:r>
      <w:r w:rsidRPr="00BF3E80">
        <w:t>他的权利受到</w:t>
      </w:r>
      <w:r w:rsidRPr="00BF3E80">
        <w:rPr>
          <w:rFonts w:hint="eastAsia"/>
        </w:rPr>
        <w:t>了</w:t>
      </w:r>
      <w:r w:rsidRPr="00BF3E80">
        <w:t>侵犯。提交人称，</w:t>
      </w:r>
      <w:r w:rsidRPr="00BF3E80">
        <w:t>2003</w:t>
      </w:r>
      <w:r w:rsidRPr="00BF3E80">
        <w:t>年</w:t>
      </w:r>
      <w:r w:rsidRPr="00BF3E80">
        <w:t>9</w:t>
      </w:r>
      <w:r w:rsidRPr="00BF3E80">
        <w:t>月</w:t>
      </w:r>
      <w:r w:rsidRPr="00BF3E80">
        <w:t>27</w:t>
      </w:r>
      <w:r w:rsidRPr="00BF3E80">
        <w:t>日至</w:t>
      </w:r>
      <w:r w:rsidRPr="00BF3E80">
        <w:t>2004</w:t>
      </w:r>
      <w:r w:rsidRPr="00BF3E80">
        <w:t>年</w:t>
      </w:r>
      <w:r w:rsidRPr="00BF3E80">
        <w:t>3</w:t>
      </w:r>
      <w:r w:rsidRPr="00BF3E80">
        <w:t>月</w:t>
      </w:r>
      <w:r w:rsidRPr="00BF3E80">
        <w:t>1</w:t>
      </w:r>
      <w:r w:rsidRPr="00BF3E80">
        <w:t>日，他在卡马河畔切尔尼市的临时拘留所被拘留了</w:t>
      </w:r>
      <w:r w:rsidRPr="00BF3E80">
        <w:t>116</w:t>
      </w:r>
      <w:r w:rsidRPr="00BF3E80">
        <w:t>天，而</w:t>
      </w:r>
      <w:r w:rsidRPr="00BF3E80">
        <w:t>1995</w:t>
      </w:r>
      <w:r w:rsidRPr="00BF3E80">
        <w:t>年</w:t>
      </w:r>
      <w:r w:rsidRPr="00BF3E80">
        <w:t>7</w:t>
      </w:r>
      <w:r w:rsidRPr="00BF3E80">
        <w:t>月</w:t>
      </w:r>
      <w:r w:rsidRPr="00BF3E80">
        <w:t>15</w:t>
      </w:r>
      <w:r w:rsidRPr="00BF3E80">
        <w:t>日</w:t>
      </w:r>
      <w:proofErr w:type="spellStart"/>
      <w:r w:rsidRPr="00BF3E80">
        <w:t>FZ</w:t>
      </w:r>
      <w:proofErr w:type="spellEnd"/>
      <w:r w:rsidRPr="00BF3E80">
        <w:t>-103</w:t>
      </w:r>
      <w:r w:rsidRPr="00BF3E80">
        <w:t>号《联邦法》</w:t>
      </w:r>
      <w:r w:rsidRPr="00BF3E80">
        <w:t>(</w:t>
      </w:r>
      <w:r w:rsidRPr="00BF3E80">
        <w:t>《审前拘留法》</w:t>
      </w:r>
      <w:r w:rsidRPr="00BF3E80">
        <w:t>)</w:t>
      </w:r>
      <w:r w:rsidRPr="00BF3E80">
        <w:t>第</w:t>
      </w:r>
      <w:r w:rsidRPr="00BF3E80">
        <w:t>13</w:t>
      </w:r>
      <w:r w:rsidRPr="00BF3E80">
        <w:t>条规定，在临时拘留所的拘留时间一个月内不得超过</w:t>
      </w:r>
      <w:r w:rsidRPr="00BF3E80">
        <w:t>10</w:t>
      </w:r>
      <w:r w:rsidRPr="00BF3E80">
        <w:t>天。</w:t>
      </w:r>
    </w:p>
    <w:p w14:paraId="3821A444" w14:textId="77777777" w:rsidR="005C668C" w:rsidRPr="00BF3E80" w:rsidRDefault="005C668C" w:rsidP="005C668C">
      <w:pPr>
        <w:pStyle w:val="SingleTxtGC"/>
        <w:rPr>
          <w:iCs/>
        </w:rPr>
      </w:pPr>
      <w:r w:rsidRPr="00BF3E80">
        <w:t>9.2</w:t>
      </w:r>
      <w:r w:rsidRPr="00BF3E80">
        <w:tab/>
      </w:r>
      <w:r w:rsidRPr="00BF3E80">
        <w:t>提交人还称，临时拘留所的拘留条件不人道，如牢房闷热、不通风或通风不良且过度拥挤；牢房光线昏暗，不见日光；到处是臭虫、蟑螂和老鼠；没有室外散步的机会；食物不足</w:t>
      </w:r>
      <w:r w:rsidRPr="00BF3E80">
        <w:t>(</w:t>
      </w:r>
      <w:r w:rsidRPr="00BF3E80">
        <w:t>每天一餐</w:t>
      </w:r>
      <w:r w:rsidRPr="00BF3E80">
        <w:t>)</w:t>
      </w:r>
      <w:r w:rsidRPr="00BF3E80">
        <w:t>；亲属寄送的物品有时会被扣留。</w:t>
      </w:r>
      <w:r w:rsidRPr="00BF3E80">
        <w:t>2005</w:t>
      </w:r>
      <w:r w:rsidRPr="00BF3E80">
        <w:t>年</w:t>
      </w:r>
      <w:r w:rsidRPr="00BF3E80">
        <w:t>5</w:t>
      </w:r>
      <w:r w:rsidRPr="00BF3E80">
        <w:t>月</w:t>
      </w:r>
      <w:r w:rsidRPr="00BF3E80">
        <w:t>23</w:t>
      </w:r>
      <w:r w:rsidRPr="00BF3E80">
        <w:t>日，提交人及其狱友就拘留条件向喀山市检察官办公室提出申诉，并于</w:t>
      </w:r>
      <w:r w:rsidRPr="00BF3E80">
        <w:t>2005</w:t>
      </w:r>
      <w:r w:rsidRPr="00BF3E80">
        <w:t>年</w:t>
      </w:r>
      <w:r w:rsidRPr="00BF3E80">
        <w:t>7</w:t>
      </w:r>
      <w:r w:rsidRPr="00BF3E80">
        <w:t>月</w:t>
      </w:r>
      <w:r w:rsidRPr="00BF3E80">
        <w:t>14</w:t>
      </w:r>
      <w:r w:rsidRPr="00BF3E80">
        <w:t>日向卡马河畔切尔尼市法院提出了类似申诉</w:t>
      </w:r>
      <w:r w:rsidRPr="00BF3E80">
        <w:t>(</w:t>
      </w:r>
      <w:r w:rsidRPr="00BF3E80">
        <w:t>没有提供关于申诉结果的资料</w:t>
      </w:r>
      <w:r w:rsidRPr="00BF3E80">
        <w:t>)</w:t>
      </w:r>
      <w:r w:rsidRPr="00BF3E80">
        <w:t>。</w:t>
      </w:r>
    </w:p>
    <w:p w14:paraId="7DA7A74E" w14:textId="77777777" w:rsidR="005C668C" w:rsidRPr="00BF3E80" w:rsidRDefault="005C668C" w:rsidP="005C668C">
      <w:pPr>
        <w:pStyle w:val="SingleTxtGC"/>
      </w:pPr>
      <w:r w:rsidRPr="00BF3E80">
        <w:t>9.3</w:t>
      </w:r>
      <w:r w:rsidRPr="00BF3E80">
        <w:tab/>
      </w:r>
      <w:r w:rsidRPr="00BF3E80">
        <w:t>提交人还称，在被关押在临时拘留所期间，调查人员在采集他的证词时侵犯了《宪法》、《审前拘留法》第</w:t>
      </w:r>
      <w:r w:rsidRPr="00BF3E80">
        <w:t>13</w:t>
      </w:r>
      <w:r w:rsidRPr="00BF3E80">
        <w:t>条以及收集和使用证据的规则所保障的他的权利。根据《宪法》第</w:t>
      </w:r>
      <w:r w:rsidRPr="00BF3E80">
        <w:t>50</w:t>
      </w:r>
      <w:r w:rsidRPr="00BF3E80">
        <w:t>条第</w:t>
      </w:r>
      <w:r w:rsidRPr="00BF3E80">
        <w:t>2</w:t>
      </w:r>
      <w:r w:rsidRPr="00BF3E80">
        <w:t>款的规定，在违反联邦法律的情况下取得的证据不可采用，但鞑靼斯坦共和国最高法院针对他使用了从同案共犯处非法获得的证据，这违反了《审前拘留法》第</w:t>
      </w:r>
      <w:r w:rsidRPr="00BF3E80">
        <w:t>13</w:t>
      </w:r>
      <w:r w:rsidRPr="00BF3E80">
        <w:t>条。他要求提供卡马河畔切尔尼市临时拘留所被拘留人员进出登记册的核证副本，因为这些副本可能会证实存在违反上述条款的行为，但法院无理拒绝了这一要求。俄罗斯联邦最高法院</w:t>
      </w:r>
      <w:r w:rsidRPr="00BF3E80">
        <w:t>(</w:t>
      </w:r>
      <w:r w:rsidRPr="00BF3E80">
        <w:t>上诉法院</w:t>
      </w:r>
      <w:r w:rsidRPr="00BF3E80">
        <w:t>)</w:t>
      </w:r>
      <w:r w:rsidRPr="00BF3E80">
        <w:t>也无视了他于</w:t>
      </w:r>
      <w:r w:rsidRPr="00BF3E80">
        <w:t>2008</w:t>
      </w:r>
      <w:r w:rsidRPr="00BF3E80">
        <w:t>年</w:t>
      </w:r>
      <w:r w:rsidRPr="00BF3E80">
        <w:t>11</w:t>
      </w:r>
      <w:r w:rsidRPr="00BF3E80">
        <w:t>月</w:t>
      </w:r>
      <w:r w:rsidRPr="00BF3E80">
        <w:t>7</w:t>
      </w:r>
      <w:r w:rsidRPr="00BF3E80">
        <w:t>日和</w:t>
      </w:r>
      <w:r w:rsidRPr="00BF3E80">
        <w:t>2009</w:t>
      </w:r>
      <w:r w:rsidRPr="00BF3E80">
        <w:t>年</w:t>
      </w:r>
      <w:r w:rsidRPr="00BF3E80">
        <w:t>1</w:t>
      </w:r>
      <w:r w:rsidRPr="00BF3E80">
        <w:t>月</w:t>
      </w:r>
      <w:r w:rsidRPr="00BF3E80">
        <w:t>12</w:t>
      </w:r>
      <w:r w:rsidRPr="00BF3E80">
        <w:t>日提出的类似要求，也没有在</w:t>
      </w:r>
      <w:r w:rsidRPr="00BF3E80">
        <w:t>2009</w:t>
      </w:r>
      <w:r w:rsidRPr="00BF3E80">
        <w:t>年</w:t>
      </w:r>
      <w:r w:rsidRPr="00BF3E80">
        <w:t>3</w:t>
      </w:r>
      <w:r w:rsidRPr="00BF3E80">
        <w:t>月</w:t>
      </w:r>
      <w:r w:rsidRPr="00BF3E80">
        <w:t>19</w:t>
      </w:r>
      <w:r w:rsidRPr="00BF3E80">
        <w:t>日的最终裁决中反映这些要求。因此，提交人不得不自己收集有关违反《审前拘留法》第</w:t>
      </w:r>
      <w:r w:rsidRPr="00BF3E80">
        <w:t>13</w:t>
      </w:r>
      <w:r w:rsidRPr="00BF3E80">
        <w:t>条的证据，并在</w:t>
      </w:r>
      <w:r w:rsidRPr="00BF3E80">
        <w:t>2008</w:t>
      </w:r>
      <w:r w:rsidRPr="00BF3E80">
        <w:t>年获得了这些证据。</w:t>
      </w:r>
    </w:p>
    <w:p w14:paraId="23CA5D0A" w14:textId="77777777" w:rsidR="005C668C" w:rsidRPr="00BF3E80" w:rsidRDefault="005C668C" w:rsidP="005C668C">
      <w:pPr>
        <w:pStyle w:val="SingleTxtGC"/>
      </w:pPr>
      <w:r w:rsidRPr="00BF3E80">
        <w:t>9.4</w:t>
      </w:r>
      <w:r w:rsidRPr="00BF3E80">
        <w:tab/>
        <w:t>2013</w:t>
      </w:r>
      <w:r w:rsidRPr="00BF3E80">
        <w:t>年</w:t>
      </w:r>
      <w:r w:rsidRPr="00BF3E80">
        <w:t>10</w:t>
      </w:r>
      <w:r w:rsidRPr="00BF3E80">
        <w:t>月</w:t>
      </w:r>
      <w:r w:rsidRPr="00BF3E80">
        <w:t>21</w:t>
      </w:r>
      <w:r w:rsidRPr="00BF3E80">
        <w:t>日，提交人向总检察长办公室提出申诉，指称</w:t>
      </w:r>
      <w:r w:rsidRPr="00BF3E80">
        <w:rPr>
          <w:rFonts w:hint="eastAsia"/>
        </w:rPr>
        <w:t>初始</w:t>
      </w:r>
      <w:r w:rsidRPr="00BF3E80">
        <w:t>调查阶段的收集证据工作违反了《审前拘留法》第</w:t>
      </w:r>
      <w:r w:rsidRPr="00BF3E80">
        <w:t>13</w:t>
      </w:r>
      <w:r w:rsidRPr="00BF3E80">
        <w:t>条，并且针对他使用了违反联邦法律而获得的证据，以及他在卡马河畔切尔尼市临时拘留所遭受了不人道的拘留。该申诉于</w:t>
      </w:r>
      <w:r w:rsidRPr="00BF3E80">
        <w:t>2013</w:t>
      </w:r>
      <w:r w:rsidRPr="00BF3E80">
        <w:t>年</w:t>
      </w:r>
      <w:r w:rsidRPr="00BF3E80">
        <w:t>12</w:t>
      </w:r>
      <w:r w:rsidRPr="00BF3E80">
        <w:t>月</w:t>
      </w:r>
      <w:r w:rsidRPr="00BF3E80">
        <w:t>11</w:t>
      </w:r>
      <w:r w:rsidRPr="00BF3E80">
        <w:t>日被驳回，他随后在</w:t>
      </w:r>
      <w:r w:rsidRPr="00BF3E80">
        <w:t>2014</w:t>
      </w:r>
      <w:r w:rsidRPr="00BF3E80">
        <w:t>年</w:t>
      </w:r>
      <w:r w:rsidRPr="00BF3E80">
        <w:t>1</w:t>
      </w:r>
      <w:r w:rsidRPr="00BF3E80">
        <w:t>月</w:t>
      </w:r>
      <w:r w:rsidRPr="00BF3E80">
        <w:t>15</w:t>
      </w:r>
      <w:r w:rsidRPr="00BF3E80">
        <w:t>日提出的申诉于</w:t>
      </w:r>
      <w:r w:rsidRPr="00BF3E80">
        <w:t>2014</w:t>
      </w:r>
      <w:r w:rsidRPr="00BF3E80">
        <w:t>年</w:t>
      </w:r>
      <w:r w:rsidRPr="00BF3E80">
        <w:t>3</w:t>
      </w:r>
      <w:r w:rsidRPr="00BF3E80">
        <w:t>月</w:t>
      </w:r>
      <w:r w:rsidRPr="00BF3E80">
        <w:t>18</w:t>
      </w:r>
      <w:r w:rsidRPr="00BF3E80">
        <w:t>日被驳回，驳回理由皆</w:t>
      </w:r>
      <w:r w:rsidRPr="00BF3E80">
        <w:rPr>
          <w:rFonts w:hint="eastAsia"/>
        </w:rPr>
        <w:t>提到</w:t>
      </w:r>
      <w:r w:rsidRPr="00BF3E80">
        <w:t>此前向提交人</w:t>
      </w:r>
      <w:proofErr w:type="gramStart"/>
      <w:r w:rsidRPr="00BF3E80">
        <w:t>作出</w:t>
      </w:r>
      <w:proofErr w:type="gramEnd"/>
      <w:r w:rsidRPr="00BF3E80">
        <w:t>的答复。</w:t>
      </w:r>
    </w:p>
    <w:p w14:paraId="25600C4C" w14:textId="77777777" w:rsidR="005C668C" w:rsidRPr="00BF3E80" w:rsidRDefault="005C668C" w:rsidP="005C668C">
      <w:pPr>
        <w:pStyle w:val="SingleTxtGC"/>
      </w:pPr>
      <w:r w:rsidRPr="00BF3E80">
        <w:t>9.5</w:t>
      </w:r>
      <w:r w:rsidRPr="00BF3E80">
        <w:tab/>
      </w:r>
      <w:r w:rsidRPr="00BF3E80">
        <w:t>提交人分别于</w:t>
      </w:r>
      <w:r w:rsidRPr="00BF3E80">
        <w:t>2014</w:t>
      </w:r>
      <w:r w:rsidRPr="00BF3E80">
        <w:t>年</w:t>
      </w:r>
      <w:r w:rsidRPr="00BF3E80">
        <w:t>1</w:t>
      </w:r>
      <w:r w:rsidRPr="00BF3E80">
        <w:t>月</w:t>
      </w:r>
      <w:r w:rsidRPr="00BF3E80">
        <w:t>17</w:t>
      </w:r>
      <w:r w:rsidRPr="00BF3E80">
        <w:t>日、</w:t>
      </w:r>
      <w:r w:rsidRPr="00BF3E80">
        <w:t>3</w:t>
      </w:r>
      <w:r w:rsidRPr="00BF3E80">
        <w:t>月</w:t>
      </w:r>
      <w:r w:rsidRPr="00BF3E80">
        <w:t>26</w:t>
      </w:r>
      <w:r w:rsidRPr="00BF3E80">
        <w:t>日和</w:t>
      </w:r>
      <w:r w:rsidRPr="00BF3E80">
        <w:t>5</w:t>
      </w:r>
      <w:r w:rsidRPr="00BF3E80">
        <w:t>月</w:t>
      </w:r>
      <w:r w:rsidRPr="00BF3E80">
        <w:t>26</w:t>
      </w:r>
      <w:r w:rsidRPr="00BF3E80">
        <w:t>日向喀山市、鞑靼斯坦共和国和卡马河畔切尔尼市的检察官办公室提出了类似申诉。三个检察官办公室在</w:t>
      </w:r>
      <w:r w:rsidRPr="00BF3E80">
        <w:t>2014</w:t>
      </w:r>
      <w:r w:rsidRPr="00BF3E80">
        <w:t>年</w:t>
      </w:r>
      <w:r w:rsidRPr="00BF3E80">
        <w:t>3</w:t>
      </w:r>
      <w:r w:rsidRPr="00BF3E80">
        <w:t>月</w:t>
      </w:r>
      <w:r w:rsidRPr="00BF3E80">
        <w:t>7</w:t>
      </w:r>
      <w:r w:rsidRPr="00BF3E80">
        <w:t>日、</w:t>
      </w:r>
      <w:r w:rsidRPr="00BF3E80">
        <w:t>5</w:t>
      </w:r>
      <w:r w:rsidRPr="00BF3E80">
        <w:t>月</w:t>
      </w:r>
      <w:r w:rsidRPr="00BF3E80">
        <w:t>7</w:t>
      </w:r>
      <w:r w:rsidRPr="00BF3E80">
        <w:t>日和</w:t>
      </w:r>
      <w:r w:rsidRPr="00BF3E80">
        <w:t>7</w:t>
      </w:r>
      <w:r w:rsidRPr="00BF3E80">
        <w:t>月</w:t>
      </w:r>
      <w:r w:rsidRPr="00BF3E80">
        <w:t>9</w:t>
      </w:r>
      <w:r w:rsidRPr="00BF3E80">
        <w:t>日的答复中确认，提交人被拘留在临时拘留所</w:t>
      </w:r>
      <w:r w:rsidRPr="00BF3E80">
        <w:rPr>
          <w:rFonts w:hint="eastAsia"/>
        </w:rPr>
        <w:t>时，该拘留所</w:t>
      </w:r>
      <w:r w:rsidRPr="00BF3E80">
        <w:t>的</w:t>
      </w:r>
      <w:r w:rsidRPr="00BF3E80">
        <w:rPr>
          <w:rFonts w:hint="eastAsia"/>
        </w:rPr>
        <w:t>建筑</w:t>
      </w:r>
      <w:r w:rsidRPr="00BF3E80">
        <w:t>不符合法律规定的卫生和防疫要求，但认为他的其余指控毫无根据，因为法院已经对这些指控进行了适当的审议。提交人在法庭上对这些答复提出质疑，但未成功。他于</w:t>
      </w:r>
      <w:r w:rsidRPr="00BF3E80">
        <w:t>2014</w:t>
      </w:r>
      <w:r w:rsidRPr="00BF3E80">
        <w:t>年</w:t>
      </w:r>
      <w:r w:rsidRPr="00BF3E80">
        <w:t>5</w:t>
      </w:r>
      <w:r w:rsidRPr="00BF3E80">
        <w:t>月</w:t>
      </w:r>
      <w:r w:rsidRPr="00BF3E80">
        <w:t>8</w:t>
      </w:r>
      <w:r w:rsidRPr="00BF3E80">
        <w:t>日和</w:t>
      </w:r>
      <w:r w:rsidRPr="00BF3E80">
        <w:t>2016</w:t>
      </w:r>
      <w:r w:rsidRPr="00BF3E80">
        <w:t>年</w:t>
      </w:r>
      <w:r w:rsidRPr="00BF3E80">
        <w:t>2</w:t>
      </w:r>
      <w:r w:rsidRPr="00BF3E80">
        <w:t>月</w:t>
      </w:r>
      <w:r w:rsidRPr="00BF3E80">
        <w:t>15</w:t>
      </w:r>
      <w:r w:rsidRPr="00BF3E80">
        <w:t>日向监察员办公室提出的申诉仍未得到答复。</w:t>
      </w:r>
    </w:p>
    <w:p w14:paraId="70C473E8" w14:textId="77777777" w:rsidR="005C668C" w:rsidRPr="00BF3E80" w:rsidRDefault="005C668C" w:rsidP="005C668C">
      <w:pPr>
        <w:pStyle w:val="SingleTxtGC"/>
      </w:pPr>
      <w:r w:rsidRPr="00BF3E80">
        <w:lastRenderedPageBreak/>
        <w:t>9.6</w:t>
      </w:r>
      <w:r w:rsidRPr="00BF3E80">
        <w:tab/>
      </w:r>
      <w:r w:rsidRPr="00BF3E80">
        <w:t>提交人称，在被拘留期间，他在临时拘留所遭受了不人道的拘留，目的是让他</w:t>
      </w:r>
      <w:proofErr w:type="gramStart"/>
      <w:r w:rsidRPr="00BF3E80">
        <w:t>作出</w:t>
      </w:r>
      <w:proofErr w:type="gramEnd"/>
      <w:r w:rsidRPr="00BF3E80">
        <w:t>后来被用于庭审</w:t>
      </w:r>
      <w:r w:rsidRPr="00BF3E80">
        <w:rPr>
          <w:rFonts w:hint="eastAsia"/>
        </w:rPr>
        <w:t>的</w:t>
      </w:r>
      <w:r w:rsidRPr="00BF3E80">
        <w:t>供罪陈述，他因此遭受了精神和心理上的痛苦。因此，他指称存在违反《公约》第七条的行为。</w:t>
      </w:r>
    </w:p>
    <w:p w14:paraId="3B9F833E" w14:textId="77777777" w:rsidR="005C668C" w:rsidRPr="00BF3E80" w:rsidRDefault="005C668C" w:rsidP="005C668C">
      <w:pPr>
        <w:pStyle w:val="H23GC"/>
      </w:pPr>
      <w:r w:rsidRPr="00BF3E80">
        <w:tab/>
      </w:r>
      <w:r w:rsidRPr="00BF3E80">
        <w:tab/>
      </w:r>
      <w:r w:rsidRPr="00BF3E80">
        <w:t>委员会需处理的问题和议事情况</w:t>
      </w:r>
    </w:p>
    <w:p w14:paraId="717AB404" w14:textId="77777777" w:rsidR="005C668C" w:rsidRPr="00BF3E80" w:rsidRDefault="005C668C" w:rsidP="005C668C">
      <w:pPr>
        <w:pStyle w:val="H4GC"/>
      </w:pPr>
      <w:r w:rsidRPr="00BF3E80">
        <w:tab/>
      </w:r>
      <w:r w:rsidRPr="00BF3E80">
        <w:tab/>
      </w:r>
      <w:r w:rsidRPr="00BF3E80">
        <w:t>审议可否受理问题</w:t>
      </w:r>
    </w:p>
    <w:p w14:paraId="0B58FD22" w14:textId="77777777" w:rsidR="005C668C" w:rsidRPr="00BF3E80" w:rsidRDefault="005C668C" w:rsidP="00640BF0">
      <w:pPr>
        <w:pStyle w:val="SingleTxtGC"/>
        <w:tabs>
          <w:tab w:val="clear" w:pos="1565"/>
          <w:tab w:val="left" w:pos="1701"/>
        </w:tabs>
      </w:pPr>
      <w:r w:rsidRPr="00BF3E80">
        <w:t>10.1</w:t>
      </w:r>
      <w:r w:rsidRPr="00BF3E80">
        <w:tab/>
      </w:r>
      <w:r w:rsidRPr="00BF3E80">
        <w:t>在审议来文所载的任何请求之前，委员会必须根据其议事规则第</w:t>
      </w:r>
      <w:r w:rsidRPr="00BF3E80">
        <w:t>97</w:t>
      </w:r>
      <w:r w:rsidRPr="00BF3E80">
        <w:t>条，决定来文是否符合《任择议定书》规定的受理条件。</w:t>
      </w:r>
    </w:p>
    <w:p w14:paraId="6FF3C89B" w14:textId="77777777" w:rsidR="005C668C" w:rsidRPr="00BF3E80" w:rsidRDefault="005C668C" w:rsidP="00640BF0">
      <w:pPr>
        <w:pStyle w:val="SingleTxtGC"/>
        <w:tabs>
          <w:tab w:val="clear" w:pos="1565"/>
          <w:tab w:val="left" w:pos="1701"/>
        </w:tabs>
      </w:pPr>
      <w:r w:rsidRPr="00BF3E80">
        <w:t>10.2</w:t>
      </w:r>
      <w:r w:rsidRPr="00BF3E80">
        <w:tab/>
      </w:r>
      <w:r w:rsidRPr="00BF3E80">
        <w:t>根据《任择议定书》第五条第</w:t>
      </w:r>
      <w:r w:rsidRPr="00BF3E80">
        <w:rPr>
          <w:rFonts w:hint="eastAsia"/>
        </w:rPr>
        <w:t>2</w:t>
      </w:r>
      <w:r w:rsidRPr="00BF3E80">
        <w:t>款</w:t>
      </w:r>
      <w:r w:rsidRPr="00BF3E80">
        <w:t>(</w:t>
      </w:r>
      <w:r w:rsidRPr="00BF3E80">
        <w:t>子</w:t>
      </w:r>
      <w:r w:rsidRPr="00BF3E80">
        <w:t>)</w:t>
      </w:r>
      <w:r w:rsidRPr="00BF3E80">
        <w:t>项的要求，委员会已确定同一事项不在另一国际调查或解决程序审查之中。委员会注意到，提交人于</w:t>
      </w:r>
      <w:r w:rsidRPr="00BF3E80">
        <w:t>2006</w:t>
      </w:r>
      <w:r w:rsidRPr="00BF3E80">
        <w:t>年</w:t>
      </w:r>
      <w:r w:rsidRPr="00BF3E80">
        <w:t>7</w:t>
      </w:r>
      <w:r w:rsidRPr="00BF3E80">
        <w:t>月</w:t>
      </w:r>
      <w:r w:rsidRPr="00BF3E80">
        <w:t>21</w:t>
      </w:r>
      <w:r w:rsidRPr="00BF3E80">
        <w:t>日</w:t>
      </w:r>
      <w:r w:rsidRPr="00BF3E80">
        <w:t>(</w:t>
      </w:r>
      <w:r w:rsidRPr="00BF3E80">
        <w:t>第</w:t>
      </w:r>
      <w:r w:rsidRPr="00BF3E80">
        <w:t>36025/06</w:t>
      </w:r>
      <w:r w:rsidRPr="00BF3E80">
        <w:t>号</w:t>
      </w:r>
      <w:r w:rsidRPr="00BF3E80">
        <w:t>)</w:t>
      </w:r>
      <w:r w:rsidRPr="00BF3E80">
        <w:t>和</w:t>
      </w:r>
      <w:r w:rsidRPr="00BF3E80">
        <w:t>2015</w:t>
      </w:r>
      <w:r w:rsidRPr="00BF3E80">
        <w:t>年</w:t>
      </w:r>
      <w:r w:rsidRPr="00BF3E80">
        <w:t>1</w:t>
      </w:r>
      <w:r w:rsidRPr="00BF3E80">
        <w:t>月</w:t>
      </w:r>
      <w:r w:rsidRPr="00BF3E80">
        <w:t>12</w:t>
      </w:r>
      <w:r w:rsidRPr="00BF3E80">
        <w:t>日</w:t>
      </w:r>
      <w:r w:rsidRPr="00BF3E80">
        <w:t>(</w:t>
      </w:r>
      <w:r w:rsidRPr="00BF3E80">
        <w:t>第</w:t>
      </w:r>
      <w:r w:rsidRPr="00BF3E80">
        <w:t>59375/14</w:t>
      </w:r>
      <w:r w:rsidRPr="00BF3E80">
        <w:t>号</w:t>
      </w:r>
      <w:r w:rsidRPr="00BF3E80">
        <w:t>)</w:t>
      </w:r>
      <w:r w:rsidRPr="00BF3E80">
        <w:t>向欧洲人权法院提交的两项申诉</w:t>
      </w:r>
      <w:r w:rsidRPr="00BF3E80">
        <w:rPr>
          <w:rFonts w:hint="eastAsia"/>
        </w:rPr>
        <w:t>，</w:t>
      </w:r>
      <w:r w:rsidRPr="00BF3E80">
        <w:t>因为不符合《欧洲人权公约》第</w:t>
      </w:r>
      <w:r w:rsidRPr="00BF3E80">
        <w:t>34</w:t>
      </w:r>
      <w:r w:rsidRPr="00BF3E80">
        <w:t>和</w:t>
      </w:r>
      <w:r w:rsidRPr="00BF3E80">
        <w:t>35</w:t>
      </w:r>
      <w:r w:rsidRPr="00BF3E80">
        <w:t>条的规定</w:t>
      </w:r>
      <w:r w:rsidRPr="00BF3E80">
        <w:rPr>
          <w:rFonts w:hint="eastAsia"/>
        </w:rPr>
        <w:t>，</w:t>
      </w:r>
      <w:r w:rsidRPr="00BF3E80">
        <w:t>分别于</w:t>
      </w:r>
      <w:r w:rsidRPr="00BF3E80">
        <w:t>2012</w:t>
      </w:r>
      <w:r w:rsidRPr="00BF3E80">
        <w:t>年</w:t>
      </w:r>
      <w:r w:rsidRPr="00BF3E80">
        <w:t>2</w:t>
      </w:r>
      <w:r w:rsidRPr="00BF3E80">
        <w:t>月</w:t>
      </w:r>
      <w:r w:rsidRPr="00BF3E80">
        <w:t>23</w:t>
      </w:r>
      <w:r w:rsidRPr="00BF3E80">
        <w:t>日和</w:t>
      </w:r>
      <w:r w:rsidRPr="00BF3E80">
        <w:t>2015</w:t>
      </w:r>
      <w:r w:rsidRPr="00BF3E80">
        <w:t>年</w:t>
      </w:r>
      <w:r w:rsidRPr="00BF3E80">
        <w:t>3</w:t>
      </w:r>
      <w:r w:rsidRPr="00BF3E80">
        <w:t>月</w:t>
      </w:r>
      <w:r w:rsidRPr="00BF3E80">
        <w:t>12</w:t>
      </w:r>
      <w:r w:rsidRPr="00BF3E80">
        <w:t>日被宣布不予受理。委员会回顾，缔约国在批准《任择议定书》时没有</w:t>
      </w:r>
      <w:proofErr w:type="gramStart"/>
      <w:r w:rsidRPr="00BF3E80">
        <w:t>作出</w:t>
      </w:r>
      <w:proofErr w:type="gramEnd"/>
      <w:r w:rsidRPr="00BF3E80">
        <w:t>保留，声称委员会无权审议已</w:t>
      </w:r>
      <w:r w:rsidRPr="00BF3E80">
        <w:rPr>
          <w:rFonts w:hint="eastAsia"/>
        </w:rPr>
        <w:t>得到</w:t>
      </w:r>
      <w:r w:rsidRPr="00BF3E80">
        <w:t>另一国际调查或解决程序审查的案件。因此，委员会得出结论认为，《任择议定书》第五条第</w:t>
      </w:r>
      <w:r w:rsidRPr="00BF3E80">
        <w:rPr>
          <w:rFonts w:hint="eastAsia"/>
        </w:rPr>
        <w:t>2</w:t>
      </w:r>
      <w:r w:rsidRPr="00BF3E80">
        <w:t>款</w:t>
      </w:r>
      <w:r w:rsidRPr="00BF3E80">
        <w:t>(</w:t>
      </w:r>
      <w:r w:rsidRPr="00BF3E80">
        <w:t>子</w:t>
      </w:r>
      <w:r w:rsidRPr="00BF3E80">
        <w:t>)</w:t>
      </w:r>
      <w:r w:rsidRPr="00BF3E80">
        <w:t>项不妨碍委员会审查本来文。</w:t>
      </w:r>
    </w:p>
    <w:p w14:paraId="7663D88B" w14:textId="77777777" w:rsidR="005C668C" w:rsidRPr="00BF3E80" w:rsidRDefault="005C668C" w:rsidP="00640BF0">
      <w:pPr>
        <w:pStyle w:val="SingleTxtGC"/>
        <w:tabs>
          <w:tab w:val="clear" w:pos="1565"/>
          <w:tab w:val="left" w:pos="1701"/>
        </w:tabs>
      </w:pPr>
      <w:r w:rsidRPr="00BF3E80">
        <w:t>10.3</w:t>
      </w:r>
      <w:r w:rsidRPr="00BF3E80">
        <w:tab/>
      </w:r>
      <w:r w:rsidRPr="00BF3E80">
        <w:t>委员会注意到缔约国的以下意见</w:t>
      </w:r>
      <w:r w:rsidRPr="00BF3E80">
        <w:t>(</w:t>
      </w:r>
      <w:r w:rsidRPr="00BF3E80">
        <w:t>见上文第</w:t>
      </w:r>
      <w:r w:rsidRPr="00BF3E80">
        <w:t>4.1</w:t>
      </w:r>
      <w:r w:rsidRPr="00BF3E80">
        <w:t>至</w:t>
      </w:r>
      <w:r w:rsidRPr="00BF3E80">
        <w:t>4.4</w:t>
      </w:r>
      <w:r w:rsidRPr="00BF3E80">
        <w:t>段</w:t>
      </w:r>
      <w:r w:rsidRPr="00BF3E80">
        <w:t>)</w:t>
      </w:r>
      <w:r w:rsidRPr="00BF3E80">
        <w:rPr>
          <w:rFonts w:hint="eastAsia"/>
        </w:rPr>
        <w:t>，即</w:t>
      </w:r>
      <w:r w:rsidRPr="00BF3E80">
        <w:t>提交人</w:t>
      </w:r>
      <w:r w:rsidRPr="00BF3E80">
        <w:rPr>
          <w:rFonts w:hint="eastAsia"/>
        </w:rPr>
        <w:t>是</w:t>
      </w:r>
      <w:r w:rsidRPr="00BF3E80">
        <w:t>在上诉审理程序完结五年多后</w:t>
      </w:r>
      <w:r w:rsidRPr="00BF3E80">
        <w:rPr>
          <w:rFonts w:hint="eastAsia"/>
        </w:rPr>
        <w:t>，才</w:t>
      </w:r>
      <w:r w:rsidRPr="00BF3E80">
        <w:t>向委员会提交</w:t>
      </w:r>
      <w:r w:rsidRPr="00BF3E80">
        <w:rPr>
          <w:rFonts w:hint="eastAsia"/>
        </w:rPr>
        <w:t>关于上诉程序</w:t>
      </w:r>
      <w:r w:rsidRPr="00BF3E80">
        <w:t>期间他没有法律代表的</w:t>
      </w:r>
      <w:r w:rsidRPr="00BF3E80">
        <w:rPr>
          <w:rFonts w:hint="eastAsia"/>
        </w:rPr>
        <w:t>来文</w:t>
      </w:r>
      <w:r w:rsidRPr="00BF3E80">
        <w:t>，且没有就延</w:t>
      </w:r>
      <w:r w:rsidRPr="00BF3E80">
        <w:rPr>
          <w:rFonts w:hint="eastAsia"/>
        </w:rPr>
        <w:t>迟提交来文提供</w:t>
      </w:r>
      <w:r w:rsidRPr="00BF3E80">
        <w:t>任何</w:t>
      </w:r>
      <w:r w:rsidRPr="00BF3E80">
        <w:rPr>
          <w:rFonts w:hint="eastAsia"/>
        </w:rPr>
        <w:t>理由</w:t>
      </w:r>
      <w:r w:rsidRPr="00BF3E80">
        <w:t>，并且提交人以书面形式放弃了在上诉庭审期间由辩护律师提供服务，因此，根据委员会议事规则第</w:t>
      </w:r>
      <w:r w:rsidRPr="00BF3E80">
        <w:t>99</w:t>
      </w:r>
      <w:r w:rsidRPr="00BF3E80">
        <w:t>条</w:t>
      </w:r>
      <w:r w:rsidRPr="00BF3E80">
        <w:t>(c)</w:t>
      </w:r>
      <w:r w:rsidRPr="00BF3E80">
        <w:t>款和《任择议定书》第</w:t>
      </w:r>
      <w:r w:rsidRPr="00BF3E80">
        <w:rPr>
          <w:rFonts w:hint="eastAsia"/>
        </w:rPr>
        <w:t>3</w:t>
      </w:r>
      <w:r w:rsidRPr="00BF3E80">
        <w:t>条，来文构成滥用提交权。</w:t>
      </w:r>
    </w:p>
    <w:p w14:paraId="6F773E9C" w14:textId="77777777" w:rsidR="005C668C" w:rsidRPr="00BF3E80" w:rsidRDefault="005C668C" w:rsidP="00640BF0">
      <w:pPr>
        <w:pStyle w:val="SingleTxtGC"/>
        <w:tabs>
          <w:tab w:val="clear" w:pos="1565"/>
          <w:tab w:val="left" w:pos="1701"/>
        </w:tabs>
      </w:pPr>
      <w:r w:rsidRPr="00BF3E80">
        <w:t>10.4</w:t>
      </w:r>
      <w:r w:rsidRPr="00BF3E80">
        <w:tab/>
      </w:r>
      <w:r w:rsidRPr="00BF3E80">
        <w:t>委员会注意到，在本案中，提交人于</w:t>
      </w:r>
      <w:r w:rsidRPr="00BF3E80">
        <w:t>2007</w:t>
      </w:r>
      <w:r w:rsidRPr="00BF3E80">
        <w:t>年</w:t>
      </w:r>
      <w:r w:rsidRPr="00BF3E80">
        <w:t>8</w:t>
      </w:r>
      <w:r w:rsidRPr="00BF3E80">
        <w:t>月</w:t>
      </w:r>
      <w:r w:rsidRPr="00BF3E80">
        <w:t>27</w:t>
      </w:r>
      <w:r w:rsidRPr="00BF3E80">
        <w:t>日被鞑靼斯坦共和国最高法院定罪并判处终身监禁。</w:t>
      </w:r>
      <w:r w:rsidRPr="00BF3E80">
        <w:t>2009</w:t>
      </w:r>
      <w:r w:rsidRPr="00BF3E80">
        <w:t>年</w:t>
      </w:r>
      <w:r w:rsidRPr="00BF3E80">
        <w:t>3</w:t>
      </w:r>
      <w:r w:rsidRPr="00BF3E80">
        <w:t>月</w:t>
      </w:r>
      <w:r w:rsidRPr="00BF3E80">
        <w:t>19</w:t>
      </w:r>
      <w:r w:rsidRPr="00BF3E80">
        <w:t>日，作为上诉法院的俄罗斯联邦最高法院维持了该判决。提交人于</w:t>
      </w:r>
      <w:r w:rsidRPr="00BF3E80">
        <w:t>2014</w:t>
      </w:r>
      <w:r w:rsidRPr="00BF3E80">
        <w:t>年</w:t>
      </w:r>
      <w:r w:rsidRPr="00BF3E80">
        <w:t>12</w:t>
      </w:r>
      <w:r w:rsidRPr="00BF3E80">
        <w:t>月</w:t>
      </w:r>
      <w:r w:rsidRPr="00BF3E80">
        <w:t>4</w:t>
      </w:r>
      <w:r w:rsidRPr="00BF3E80">
        <w:t>日向委员会提交了来文，于</w:t>
      </w:r>
      <w:r w:rsidRPr="00BF3E80">
        <w:t>2015</w:t>
      </w:r>
      <w:r w:rsidRPr="00BF3E80">
        <w:t>年</w:t>
      </w:r>
      <w:r w:rsidRPr="00BF3E80">
        <w:t>6</w:t>
      </w:r>
      <w:r w:rsidRPr="00BF3E80">
        <w:t>月</w:t>
      </w:r>
      <w:r w:rsidRPr="00BF3E80">
        <w:t>24</w:t>
      </w:r>
      <w:r w:rsidRPr="00BF3E80">
        <w:t>日进行了补充，并于</w:t>
      </w:r>
      <w:r w:rsidRPr="00BF3E80">
        <w:t>2016</w:t>
      </w:r>
      <w:r w:rsidRPr="00BF3E80">
        <w:t>年</w:t>
      </w:r>
      <w:r w:rsidRPr="00BF3E80">
        <w:t>6</w:t>
      </w:r>
      <w:r w:rsidRPr="00BF3E80">
        <w:t>月</w:t>
      </w:r>
      <w:r w:rsidRPr="00BF3E80">
        <w:t>19</w:t>
      </w:r>
      <w:r w:rsidRPr="00BF3E80">
        <w:t>日再次进行</w:t>
      </w:r>
      <w:r w:rsidRPr="00BF3E80">
        <w:rPr>
          <w:rFonts w:hint="eastAsia"/>
        </w:rPr>
        <w:t>了</w:t>
      </w:r>
      <w:r w:rsidRPr="00BF3E80">
        <w:t>补充。委员会注意到，提交人称，为获得补救，他自</w:t>
      </w:r>
      <w:r w:rsidRPr="00BF3E80">
        <w:t>2012</w:t>
      </w:r>
      <w:r w:rsidRPr="00BF3E80">
        <w:t>年起提出了监督复审</w:t>
      </w:r>
      <w:r w:rsidRPr="00BF3E80">
        <w:rPr>
          <w:rFonts w:hint="eastAsia"/>
        </w:rPr>
        <w:t>要求</w:t>
      </w:r>
      <w:r w:rsidRPr="00BF3E80">
        <w:t>和向宪法法院提出申诉，他以此作为延迟提交来文的理由</w:t>
      </w:r>
      <w:r w:rsidRPr="00BF3E80">
        <w:t>(</w:t>
      </w:r>
      <w:r w:rsidRPr="00BF3E80">
        <w:t>见上文第</w:t>
      </w:r>
      <w:r w:rsidRPr="00BF3E80">
        <w:t>2.4</w:t>
      </w:r>
      <w:r w:rsidRPr="00BF3E80">
        <w:t>至</w:t>
      </w:r>
      <w:r w:rsidRPr="00BF3E80">
        <w:t>2.7</w:t>
      </w:r>
      <w:r w:rsidRPr="00BF3E80">
        <w:t>段和</w:t>
      </w:r>
      <w:r w:rsidRPr="00BF3E80">
        <w:t>5.1</w:t>
      </w:r>
      <w:r w:rsidRPr="00BF3E80">
        <w:t>段</w:t>
      </w:r>
      <w:r w:rsidRPr="00BF3E80">
        <w:t>)</w:t>
      </w:r>
      <w:r w:rsidRPr="00BF3E80">
        <w:t>，但委员会认为，鉴于提交人的判决已于</w:t>
      </w:r>
      <w:r w:rsidRPr="00BF3E80">
        <w:t>2009</w:t>
      </w:r>
      <w:r w:rsidRPr="00BF3E80">
        <w:t>年</w:t>
      </w:r>
      <w:r w:rsidRPr="00BF3E80">
        <w:t>3</w:t>
      </w:r>
      <w:r w:rsidRPr="00BF3E80">
        <w:t>月</w:t>
      </w:r>
      <w:r w:rsidRPr="00BF3E80">
        <w:t>19</w:t>
      </w:r>
      <w:r w:rsidRPr="00BF3E80">
        <w:t>日成为最终且可执行的判决，且宪法法院无权复审该判决或其他法院就提交人的刑事案件</w:t>
      </w:r>
      <w:proofErr w:type="gramStart"/>
      <w:r w:rsidRPr="00BF3E80">
        <w:t>作出</w:t>
      </w:r>
      <w:proofErr w:type="gramEnd"/>
      <w:r w:rsidRPr="00BF3E80">
        <w:t>的任何决定，因此就延迟提交来文</w:t>
      </w:r>
      <w:r w:rsidRPr="00BF3E80">
        <w:rPr>
          <w:rFonts w:hint="eastAsia"/>
        </w:rPr>
        <w:t>而言</w:t>
      </w:r>
      <w:r w:rsidRPr="00BF3E80">
        <w:t>，诉诸以上特别审查程序本身并不构成令人信服的理由。</w:t>
      </w:r>
    </w:p>
    <w:p w14:paraId="4CA9D916" w14:textId="77777777" w:rsidR="005C668C" w:rsidRPr="00BF3E80" w:rsidRDefault="005C668C" w:rsidP="00640BF0">
      <w:pPr>
        <w:pStyle w:val="SingleTxtGC"/>
        <w:tabs>
          <w:tab w:val="clear" w:pos="1565"/>
          <w:tab w:val="left" w:pos="1701"/>
        </w:tabs>
      </w:pPr>
      <w:r w:rsidRPr="00BF3E80">
        <w:t>10.5</w:t>
      </w:r>
      <w:r w:rsidRPr="00BF3E80">
        <w:tab/>
      </w:r>
      <w:r w:rsidRPr="00BF3E80">
        <w:t>根据本案的具体情况，并在</w:t>
      </w:r>
      <w:r w:rsidRPr="00BF3E80">
        <w:rPr>
          <w:rFonts w:hint="eastAsia"/>
        </w:rPr>
        <w:t>提交人</w:t>
      </w:r>
      <w:r w:rsidRPr="00BF3E80">
        <w:t>未</w:t>
      </w:r>
      <w:proofErr w:type="gramStart"/>
      <w:r w:rsidRPr="00BF3E80">
        <w:t>作出</w:t>
      </w:r>
      <w:proofErr w:type="gramEnd"/>
      <w:r w:rsidRPr="00BF3E80">
        <w:t>任何其他相关解释说明为何延迟提交所有上述要求的情况下，委员会认为，来文构成了《任择议定书》第三条和委员会议事规则第</w:t>
      </w:r>
      <w:r w:rsidRPr="00BF3E80">
        <w:t>99</w:t>
      </w:r>
      <w:r w:rsidRPr="00BF3E80">
        <w:t>条</w:t>
      </w:r>
      <w:r w:rsidRPr="00BF3E80">
        <w:t>(c)</w:t>
      </w:r>
      <w:r w:rsidRPr="00BF3E80">
        <w:t>款规定的滥用提交权。</w:t>
      </w:r>
    </w:p>
    <w:p w14:paraId="2AFA08EB" w14:textId="77777777" w:rsidR="005C668C" w:rsidRPr="00BF3E80" w:rsidRDefault="005C668C" w:rsidP="00640BF0">
      <w:pPr>
        <w:pStyle w:val="SingleTxtGC"/>
        <w:tabs>
          <w:tab w:val="clear" w:pos="1565"/>
          <w:tab w:val="left" w:pos="1701"/>
        </w:tabs>
      </w:pPr>
      <w:r w:rsidRPr="00BF3E80">
        <w:t>10.6</w:t>
      </w:r>
      <w:r w:rsidRPr="00BF3E80">
        <w:tab/>
      </w:r>
      <w:r w:rsidRPr="00BF3E80">
        <w:t>因此，委员会决定：</w:t>
      </w:r>
    </w:p>
    <w:p w14:paraId="5534F6BD" w14:textId="77777777" w:rsidR="005C668C" w:rsidRPr="00BF3E80" w:rsidRDefault="005C668C" w:rsidP="005C668C">
      <w:pPr>
        <w:pStyle w:val="SingleTxtGC"/>
      </w:pPr>
      <w:r w:rsidRPr="00BF3E80">
        <w:tab/>
        <w:t>(a)</w:t>
      </w:r>
      <w:r w:rsidRPr="00BF3E80">
        <w:tab/>
      </w:r>
      <w:r w:rsidRPr="00BF3E80">
        <w:t>根据《任择议定书》第三条，来文不予受理；</w:t>
      </w:r>
    </w:p>
    <w:p w14:paraId="6BEA828E" w14:textId="77777777" w:rsidR="005C668C" w:rsidRPr="00BF3E80" w:rsidRDefault="005C668C" w:rsidP="005C668C">
      <w:pPr>
        <w:pStyle w:val="SingleTxtGC"/>
      </w:pPr>
      <w:r w:rsidRPr="00BF3E80">
        <w:tab/>
        <w:t>(b)</w:t>
      </w:r>
      <w:r w:rsidRPr="00BF3E80">
        <w:tab/>
      </w:r>
      <w:r w:rsidRPr="00BF3E80">
        <w:t>将本决定转交缔约国和来文提交人。</w:t>
      </w:r>
    </w:p>
    <w:p w14:paraId="26D18D41" w14:textId="675D8AAB" w:rsidR="004F0C8C" w:rsidRPr="00BF3E80" w:rsidRDefault="004F0C8C" w:rsidP="00162EC8">
      <w:pPr>
        <w:pStyle w:val="SingleTxtGC"/>
      </w:pPr>
    </w:p>
    <w:p w14:paraId="1DB37C51" w14:textId="77777777" w:rsidR="00640BF0" w:rsidRPr="00BF3E80" w:rsidRDefault="00640BF0">
      <w:pPr>
        <w:spacing w:before="240"/>
        <w:jc w:val="center"/>
        <w:rPr>
          <w:u w:val="single"/>
        </w:rPr>
      </w:pPr>
      <w:r w:rsidRPr="00BF3E80">
        <w:rPr>
          <w:rFonts w:hint="eastAsia"/>
          <w:u w:val="single"/>
        </w:rPr>
        <w:tab/>
      </w:r>
      <w:r w:rsidRPr="00BF3E80">
        <w:rPr>
          <w:rFonts w:hint="eastAsia"/>
          <w:u w:val="single"/>
        </w:rPr>
        <w:tab/>
      </w:r>
      <w:r w:rsidRPr="00BF3E80">
        <w:rPr>
          <w:rFonts w:hint="eastAsia"/>
          <w:u w:val="single"/>
        </w:rPr>
        <w:tab/>
      </w:r>
      <w:r w:rsidRPr="00BF3E80">
        <w:rPr>
          <w:u w:val="single"/>
        </w:rPr>
        <w:tab/>
      </w:r>
    </w:p>
    <w:p w14:paraId="0A9DAAB9" w14:textId="5846583A" w:rsidR="00640BF0" w:rsidRPr="00BF3E80" w:rsidRDefault="00640BF0" w:rsidP="00162EC8">
      <w:pPr>
        <w:pStyle w:val="SingleTxtGC"/>
      </w:pPr>
    </w:p>
    <w:sectPr w:rsidR="00640BF0" w:rsidRPr="00BF3E8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5904" w14:textId="77777777" w:rsidR="00530C0A" w:rsidRPr="000D319F" w:rsidRDefault="00530C0A" w:rsidP="000D319F">
      <w:pPr>
        <w:pStyle w:val="af0"/>
        <w:spacing w:after="240"/>
        <w:ind w:left="907"/>
        <w:rPr>
          <w:rFonts w:asciiTheme="majorBidi" w:eastAsia="宋体" w:hAnsiTheme="majorBidi" w:cstheme="majorBidi"/>
          <w:sz w:val="21"/>
          <w:szCs w:val="21"/>
          <w:lang w:val="en-US"/>
        </w:rPr>
      </w:pPr>
    </w:p>
    <w:p w14:paraId="2EECB15E" w14:textId="77777777" w:rsidR="00530C0A" w:rsidRPr="000D319F" w:rsidRDefault="00530C0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7D9B88B" w14:textId="77777777" w:rsidR="00530C0A" w:rsidRPr="000D319F" w:rsidRDefault="00530C0A" w:rsidP="000D319F">
      <w:pPr>
        <w:pStyle w:val="af0"/>
      </w:pPr>
    </w:p>
  </w:endnote>
  <w:endnote w:type="continuationNotice" w:id="1">
    <w:p w14:paraId="30BD736A" w14:textId="77777777" w:rsidR="00530C0A" w:rsidRDefault="00530C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BE80" w14:textId="77777777" w:rsidR="00056632" w:rsidRPr="004F0C8C" w:rsidRDefault="004F0C8C" w:rsidP="004F0C8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F0C8C">
      <w:rPr>
        <w:rStyle w:val="af2"/>
        <w:b w:val="0"/>
        <w:snapToGrid w:val="0"/>
        <w:sz w:val="16"/>
      </w:rPr>
      <w:t>GE.21</w:t>
    </w:r>
    <w:proofErr w:type="spellEnd"/>
    <w:r w:rsidRPr="004F0C8C">
      <w:rPr>
        <w:rStyle w:val="af2"/>
        <w:b w:val="0"/>
        <w:snapToGrid w:val="0"/>
        <w:sz w:val="16"/>
      </w:rPr>
      <w:t>-18948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94C" w14:textId="77777777" w:rsidR="00056632" w:rsidRPr="004F0C8C" w:rsidRDefault="004F0C8C" w:rsidP="004F0C8C">
    <w:pPr>
      <w:pStyle w:val="af0"/>
      <w:tabs>
        <w:tab w:val="clear" w:pos="431"/>
        <w:tab w:val="right" w:pos="9638"/>
      </w:tabs>
      <w:rPr>
        <w:rStyle w:val="af2"/>
      </w:rPr>
    </w:pPr>
    <w:proofErr w:type="spellStart"/>
    <w:r>
      <w:t>GE.21</w:t>
    </w:r>
    <w:proofErr w:type="spellEnd"/>
    <w:r>
      <w:t>-18948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EBA" w14:textId="0EA9D6E3" w:rsidR="00056632" w:rsidRPr="00487939" w:rsidRDefault="004F0C8C"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C4F68F2" wp14:editId="6D79F2B7">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-18948</w:t>
    </w:r>
    <w:r w:rsidR="00731A42" w:rsidRPr="00EE277A">
      <w:rPr>
        <w:sz w:val="20"/>
        <w:lang w:eastAsia="zh-CN"/>
      </w:rPr>
      <w:t xml:space="preserve"> (C)</w:t>
    </w:r>
    <w:r w:rsidR="00EA7E67">
      <w:rPr>
        <w:sz w:val="20"/>
        <w:lang w:eastAsia="zh-CN"/>
      </w:rPr>
      <w:tab/>
    </w:r>
    <w:r w:rsidR="00AC7D8A">
      <w:rPr>
        <w:sz w:val="20"/>
        <w:lang w:eastAsia="zh-CN"/>
      </w:rPr>
      <w:t>0802</w:t>
    </w:r>
    <w:r w:rsidR="0060122D">
      <w:rPr>
        <w:sz w:val="20"/>
        <w:lang w:eastAsia="zh-CN"/>
      </w:rPr>
      <w:t>2</w:t>
    </w:r>
    <w:r w:rsidR="00C829C3">
      <w:rPr>
        <w:sz w:val="20"/>
        <w:lang w:eastAsia="zh-CN"/>
      </w:rPr>
      <w:t>1</w:t>
    </w:r>
    <w:r w:rsidR="00731A42">
      <w:rPr>
        <w:sz w:val="20"/>
        <w:lang w:eastAsia="zh-CN"/>
      </w:rPr>
      <w:tab/>
    </w:r>
    <w:r w:rsidR="00AC7D8A">
      <w:rPr>
        <w:sz w:val="20"/>
        <w:lang w:eastAsia="zh-CN"/>
      </w:rPr>
      <w:t>1</w:t>
    </w:r>
    <w:r w:rsidR="00BF3E80">
      <w:rPr>
        <w:sz w:val="20"/>
        <w:lang w:eastAsia="zh-CN"/>
      </w:rPr>
      <w:t>4</w:t>
    </w:r>
    <w:r w:rsidR="00AC7D8A">
      <w:rPr>
        <w:sz w:val="20"/>
        <w:lang w:eastAsia="zh-CN"/>
      </w:rPr>
      <w:t>04</w:t>
    </w:r>
    <w:r w:rsidR="0060122D">
      <w:rPr>
        <w:sz w:val="20"/>
        <w:lang w:eastAsia="zh-CN"/>
      </w:rPr>
      <w:t>2</w:t>
    </w:r>
    <w:r w:rsidR="00C829C3">
      <w:rPr>
        <w:sz w:val="20"/>
        <w:lang w:eastAsia="zh-CN"/>
      </w:rPr>
      <w:t>1</w:t>
    </w:r>
    <w:r w:rsidR="00731A42">
      <w:rPr>
        <w:b/>
        <w:sz w:val="21"/>
      </w:rPr>
      <w:tab/>
    </w:r>
    <w:r w:rsidR="00A1364C">
      <w:rPr>
        <w:rFonts w:hint="eastAsia"/>
        <w:b/>
        <w:noProof/>
        <w:snapToGrid/>
        <w:sz w:val="21"/>
        <w:lang w:val="en-US" w:eastAsia="zh-CN"/>
      </w:rPr>
      <w:drawing>
        <wp:inline distT="0" distB="0" distL="0" distR="0" wp14:anchorId="7A613869" wp14:editId="7EBDFD9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EC8C" w14:textId="77777777" w:rsidR="00530C0A" w:rsidRPr="000157B1" w:rsidRDefault="00530C0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EF451D1" w14:textId="77777777" w:rsidR="00530C0A" w:rsidRPr="000157B1" w:rsidRDefault="00530C0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3893C46" w14:textId="77777777" w:rsidR="00530C0A" w:rsidRDefault="00530C0A"/>
  </w:footnote>
  <w:footnote w:id="2">
    <w:p w14:paraId="1A38AED0" w14:textId="524F3199" w:rsidR="000C48C9" w:rsidRPr="00BF3E80" w:rsidRDefault="000C48C9" w:rsidP="007E40D5">
      <w:pPr>
        <w:pStyle w:val="a6"/>
      </w:pPr>
      <w:r w:rsidRPr="00BF3E80">
        <w:rPr>
          <w:rStyle w:val="a8"/>
          <w:rFonts w:eastAsia="宋体"/>
          <w:vertAlign w:val="baseline"/>
        </w:rPr>
        <w:tab/>
        <w:t>*</w:t>
      </w:r>
      <w:r w:rsidRPr="00BF3E80">
        <w:t xml:space="preserve"> </w:t>
      </w:r>
      <w:r w:rsidRPr="00BF3E80">
        <w:tab/>
      </w:r>
      <w:r w:rsidR="00AC7D8A" w:rsidRPr="00BF3E80">
        <w:rPr>
          <w:rFonts w:hint="eastAsia"/>
        </w:rPr>
        <w:t>委员会第一三一届会议</w:t>
      </w:r>
      <w:r w:rsidR="00AC7D8A" w:rsidRPr="00BF3E80">
        <w:rPr>
          <w:rFonts w:hint="eastAsia"/>
        </w:rPr>
        <w:t>(2021</w:t>
      </w:r>
      <w:r w:rsidR="00AC7D8A" w:rsidRPr="00BF3E80">
        <w:rPr>
          <w:rFonts w:hint="eastAsia"/>
        </w:rPr>
        <w:t>年</w:t>
      </w:r>
      <w:r w:rsidR="00AC7D8A" w:rsidRPr="00BF3E80">
        <w:rPr>
          <w:rFonts w:hint="eastAsia"/>
        </w:rPr>
        <w:t>3</w:t>
      </w:r>
      <w:r w:rsidR="00AC7D8A" w:rsidRPr="00BF3E80">
        <w:rPr>
          <w:rFonts w:hint="eastAsia"/>
        </w:rPr>
        <w:t>月</w:t>
      </w:r>
      <w:r w:rsidR="00AC7D8A" w:rsidRPr="00BF3E80">
        <w:rPr>
          <w:rFonts w:hint="eastAsia"/>
        </w:rPr>
        <w:t>1</w:t>
      </w:r>
      <w:r w:rsidR="00AC7D8A" w:rsidRPr="00BF3E80">
        <w:rPr>
          <w:rFonts w:hint="eastAsia"/>
        </w:rPr>
        <w:t>日至</w:t>
      </w:r>
      <w:r w:rsidR="00AC7D8A" w:rsidRPr="00BF3E80">
        <w:rPr>
          <w:rFonts w:hint="eastAsia"/>
        </w:rPr>
        <w:t>26</w:t>
      </w:r>
      <w:r w:rsidR="00AC7D8A" w:rsidRPr="00BF3E80">
        <w:rPr>
          <w:rFonts w:hint="eastAsia"/>
        </w:rPr>
        <w:t>日</w:t>
      </w:r>
      <w:r w:rsidR="00AC7D8A" w:rsidRPr="00BF3E80">
        <w:rPr>
          <w:rFonts w:hint="eastAsia"/>
        </w:rPr>
        <w:t>)</w:t>
      </w:r>
      <w:r w:rsidR="00AC7D8A" w:rsidRPr="00BF3E80">
        <w:rPr>
          <w:rFonts w:hint="eastAsia"/>
        </w:rPr>
        <w:t>通过。</w:t>
      </w:r>
    </w:p>
  </w:footnote>
  <w:footnote w:id="3">
    <w:p w14:paraId="0B972959" w14:textId="2EF2D0F0" w:rsidR="000C48C9" w:rsidRPr="00BF3E80" w:rsidRDefault="000C48C9" w:rsidP="000C48C9">
      <w:pPr>
        <w:pStyle w:val="a6"/>
      </w:pPr>
      <w:r w:rsidRPr="00BF3E80">
        <w:rPr>
          <w:rStyle w:val="a8"/>
          <w:rFonts w:eastAsia="宋体"/>
          <w:vertAlign w:val="baseline"/>
        </w:rPr>
        <w:tab/>
        <w:t>**</w:t>
      </w:r>
      <w:r w:rsidRPr="00BF3E80">
        <w:t xml:space="preserve"> </w:t>
      </w:r>
      <w:r w:rsidRPr="00BF3E80">
        <w:tab/>
      </w:r>
      <w:r w:rsidR="007E40D5" w:rsidRPr="00BF3E80">
        <w:rPr>
          <w:rFonts w:hint="eastAsia"/>
        </w:rPr>
        <w:t>塔尼亚·阿布多·罗乔利、瓦法阿·阿什拉芙·穆哈拉姆·巴西姆、亚兹·本·阿舒尔、阿里夫·布尔坎、马哈吉布·埃尔·哈伊巴、古谷修一、马西娅·克兰、科波亚·查姆加·克帕查、卡洛斯·戈麦斯·马丁内斯、邓肯·莱基·穆胡穆扎、福蒂妮·帕扎尔齐斯、埃尔南·克萨达、瓦西尔卡·桑钦、若泽·曼努埃尔·桑托斯·派斯、徐昌禄、埃莱娜·</w:t>
      </w:r>
      <w:proofErr w:type="gramStart"/>
      <w:r w:rsidR="007E40D5" w:rsidRPr="00BF3E80">
        <w:rPr>
          <w:rFonts w:hint="eastAsia"/>
        </w:rPr>
        <w:t>提格乎德</w:t>
      </w:r>
      <w:proofErr w:type="gramEnd"/>
      <w:r w:rsidR="007E40D5" w:rsidRPr="00BF3E80">
        <w:rPr>
          <w:rFonts w:hint="eastAsia"/>
        </w:rPr>
        <w:t>加、伊梅鲁·塔姆拉特·伊盖祖和根提安·齐伯利。</w:t>
      </w:r>
    </w:p>
  </w:footnote>
  <w:footnote w:id="4">
    <w:p w14:paraId="6593F2F6"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最高法院的裁决表明，法院审议了提交人及其律师</w:t>
      </w:r>
      <w:r w:rsidRPr="00BF3E80">
        <w:rPr>
          <w:lang w:val="zh-CN"/>
        </w:rPr>
        <w:t>N.</w:t>
      </w:r>
      <w:r w:rsidRPr="00BF3E80">
        <w:rPr>
          <w:lang w:val="zh-CN"/>
        </w:rPr>
        <w:t>女士提交的撤销原判上诉申请。该上诉申请和法庭记录未提交委员会。</w:t>
      </w:r>
    </w:p>
  </w:footnote>
  <w:footnote w:id="5">
    <w:p w14:paraId="77DCBA9B" w14:textId="77777777" w:rsidR="005C668C" w:rsidRPr="00BF3E80" w:rsidRDefault="005C668C" w:rsidP="005C668C">
      <w:pPr>
        <w:pStyle w:val="a6"/>
        <w:rPr>
          <w:i/>
        </w:rPr>
      </w:pPr>
      <w:r w:rsidRPr="00BF3E80">
        <w:rPr>
          <w:lang w:val="zh-CN"/>
        </w:rPr>
        <w:tab/>
      </w:r>
      <w:r w:rsidRPr="00BF3E80">
        <w:rPr>
          <w:rStyle w:val="a8"/>
          <w:rFonts w:eastAsia="宋体"/>
          <w:lang w:val="zh-CN"/>
        </w:rPr>
        <w:footnoteRef/>
      </w:r>
      <w:r w:rsidRPr="00BF3E80">
        <w:rPr>
          <w:lang w:val="zh-CN"/>
        </w:rPr>
        <w:tab/>
      </w:r>
      <w:r w:rsidRPr="00BF3E80">
        <w:rPr>
          <w:lang w:val="zh-CN"/>
        </w:rPr>
        <w:t>还提及了</w:t>
      </w:r>
      <w:r w:rsidRPr="00BF3E80">
        <w:t>《俄罗斯联邦宪法》</w:t>
      </w:r>
      <w:r w:rsidRPr="00BF3E80">
        <w:rPr>
          <w:lang w:val="zh-CN"/>
        </w:rPr>
        <w:t>第</w:t>
      </w:r>
      <w:r w:rsidRPr="00BF3E80">
        <w:rPr>
          <w:lang w:val="zh-CN"/>
        </w:rPr>
        <w:t>19</w:t>
      </w:r>
      <w:r w:rsidRPr="00BF3E80">
        <w:rPr>
          <w:lang w:val="zh-CN"/>
        </w:rPr>
        <w:t>条</w:t>
      </w:r>
      <w:r w:rsidRPr="00BF3E80">
        <w:rPr>
          <w:lang w:val="zh-CN"/>
        </w:rPr>
        <w:t>(</w:t>
      </w:r>
      <w:r w:rsidRPr="00BF3E80">
        <w:rPr>
          <w:lang w:val="zh-CN"/>
        </w:rPr>
        <w:t>法律和法院面前人人平等</w:t>
      </w:r>
      <w:r w:rsidRPr="00BF3E80">
        <w:rPr>
          <w:lang w:val="zh-CN"/>
        </w:rPr>
        <w:t>)</w:t>
      </w:r>
      <w:r w:rsidRPr="00BF3E80">
        <w:rPr>
          <w:lang w:val="zh-CN"/>
        </w:rPr>
        <w:t>和第</w:t>
      </w:r>
      <w:r w:rsidRPr="00BF3E80">
        <w:rPr>
          <w:lang w:val="zh-CN"/>
        </w:rPr>
        <w:t>48</w:t>
      </w:r>
      <w:r w:rsidRPr="00BF3E80">
        <w:rPr>
          <w:lang w:val="zh-CN"/>
        </w:rPr>
        <w:t>条</w:t>
      </w:r>
      <w:r w:rsidRPr="00BF3E80">
        <w:rPr>
          <w:lang w:val="zh-CN"/>
        </w:rPr>
        <w:t>(</w:t>
      </w:r>
      <w:r w:rsidRPr="00BF3E80">
        <w:rPr>
          <w:lang w:val="zh-CN"/>
        </w:rPr>
        <w:t>获得专业法律援助的权利</w:t>
      </w:r>
      <w:r w:rsidRPr="00BF3E80">
        <w:rPr>
          <w:lang w:val="zh-CN"/>
        </w:rPr>
        <w:t>)</w:t>
      </w:r>
      <w:r w:rsidRPr="00BF3E80">
        <w:rPr>
          <w:lang w:val="zh-CN"/>
        </w:rPr>
        <w:t>，以及</w:t>
      </w:r>
      <w:r w:rsidRPr="00BF3E80">
        <w:rPr>
          <w:lang w:val="zh-CN"/>
        </w:rPr>
        <w:t>1995</w:t>
      </w:r>
      <w:r w:rsidRPr="00BF3E80">
        <w:rPr>
          <w:lang w:val="zh-CN"/>
        </w:rPr>
        <w:t>年</w:t>
      </w:r>
      <w:r w:rsidRPr="00BF3E80">
        <w:rPr>
          <w:lang w:val="zh-CN"/>
        </w:rPr>
        <w:t>10</w:t>
      </w:r>
      <w:r w:rsidRPr="00BF3E80">
        <w:rPr>
          <w:lang w:val="zh-CN"/>
        </w:rPr>
        <w:t>月</w:t>
      </w:r>
      <w:r w:rsidRPr="00BF3E80">
        <w:rPr>
          <w:lang w:val="zh-CN"/>
        </w:rPr>
        <w:t>31</w:t>
      </w:r>
      <w:r w:rsidRPr="00BF3E80">
        <w:rPr>
          <w:lang w:val="zh-CN"/>
        </w:rPr>
        <w:t>日最高法院主席团第</w:t>
      </w:r>
      <w:r w:rsidRPr="00BF3E80">
        <w:rPr>
          <w:lang w:val="zh-CN"/>
        </w:rPr>
        <w:t>8</w:t>
      </w:r>
      <w:r w:rsidRPr="00BF3E80">
        <w:rPr>
          <w:lang w:val="zh-CN"/>
        </w:rPr>
        <w:t>号决定第</w:t>
      </w:r>
      <w:r w:rsidRPr="00BF3E80">
        <w:rPr>
          <w:lang w:val="zh-CN"/>
        </w:rPr>
        <w:t>17</w:t>
      </w:r>
      <w:r w:rsidRPr="00BF3E80">
        <w:rPr>
          <w:lang w:val="zh-CN"/>
        </w:rPr>
        <w:t>段</w:t>
      </w:r>
      <w:r w:rsidRPr="00BF3E80">
        <w:rPr>
          <w:lang w:val="zh-CN"/>
        </w:rPr>
        <w:t>(</w:t>
      </w:r>
      <w:r w:rsidRPr="00BF3E80">
        <w:rPr>
          <w:lang w:val="zh-CN"/>
        </w:rPr>
        <w:t>提交人称，该</w:t>
      </w:r>
      <w:r w:rsidRPr="00BF3E80">
        <w:rPr>
          <w:rFonts w:hint="eastAsia"/>
          <w:lang w:val="zh-CN"/>
        </w:rPr>
        <w:t>段</w:t>
      </w:r>
      <w:r w:rsidRPr="00BF3E80">
        <w:rPr>
          <w:lang w:val="zh-CN"/>
        </w:rPr>
        <w:t>规定，在被告本人拒绝由律师或任何其他辩护人提供协助的情况下，必须有辩护律师出席庭审</w:t>
      </w:r>
      <w:r w:rsidRPr="00BF3E80">
        <w:rPr>
          <w:lang w:val="zh-CN"/>
        </w:rPr>
        <w:t>)</w:t>
      </w:r>
      <w:r w:rsidRPr="00BF3E80">
        <w:rPr>
          <w:lang w:val="zh-CN"/>
        </w:rPr>
        <w:t>。</w:t>
      </w:r>
    </w:p>
  </w:footnote>
  <w:footnote w:id="6">
    <w:p w14:paraId="69EFB415"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根据</w:t>
      </w:r>
      <w:r w:rsidRPr="00BF3E80">
        <w:t>《刑事诉讼法》</w:t>
      </w:r>
      <w:r w:rsidRPr="00BF3E80">
        <w:rPr>
          <w:lang w:val="zh-CN"/>
        </w:rPr>
        <w:t>第</w:t>
      </w:r>
      <w:r w:rsidRPr="00BF3E80">
        <w:rPr>
          <w:lang w:val="zh-CN"/>
        </w:rPr>
        <w:t>51</w:t>
      </w:r>
      <w:r w:rsidRPr="00BF3E80">
        <w:rPr>
          <w:lang w:val="zh-CN"/>
        </w:rPr>
        <w:t>条第</w:t>
      </w:r>
      <w:r w:rsidRPr="00BF3E80">
        <w:rPr>
          <w:lang w:val="zh-CN"/>
        </w:rPr>
        <w:t>1</w:t>
      </w:r>
      <w:r w:rsidRPr="00BF3E80">
        <w:rPr>
          <w:lang w:val="zh-CN"/>
        </w:rPr>
        <w:t>款，除非嫌疑人或被告根据该法第</w:t>
      </w:r>
      <w:r w:rsidRPr="00BF3E80">
        <w:rPr>
          <w:lang w:val="zh-CN"/>
        </w:rPr>
        <w:t>52</w:t>
      </w:r>
      <w:r w:rsidRPr="00BF3E80">
        <w:rPr>
          <w:lang w:val="zh-CN"/>
        </w:rPr>
        <w:t>条规定的程序放弃获得法律援助的权利，否则刑事案件中必须有法律代表。根据第</w:t>
      </w:r>
      <w:r w:rsidRPr="00BF3E80">
        <w:rPr>
          <w:lang w:val="zh-CN"/>
        </w:rPr>
        <w:t>52</w:t>
      </w:r>
      <w:r w:rsidRPr="00BF3E80">
        <w:rPr>
          <w:lang w:val="zh-CN"/>
        </w:rPr>
        <w:t>条，嫌疑人或被告可以在刑事诉讼的任何阶段放弃其法律代表权。只有在嫌疑人或被告主动提出放弃该权利的情况下，才能予以接受。放弃必须以书面形式</w:t>
      </w:r>
      <w:proofErr w:type="gramStart"/>
      <w:r w:rsidRPr="00BF3E80">
        <w:rPr>
          <w:lang w:val="zh-CN"/>
        </w:rPr>
        <w:t>作出</w:t>
      </w:r>
      <w:proofErr w:type="gramEnd"/>
      <w:r w:rsidRPr="00BF3E80">
        <w:rPr>
          <w:lang w:val="zh-CN"/>
        </w:rPr>
        <w:t>。如果在调查期间拒绝</w:t>
      </w:r>
      <w:r w:rsidRPr="00BF3E80">
        <w:rPr>
          <w:rFonts w:hint="eastAsia"/>
          <w:lang w:val="zh-CN"/>
        </w:rPr>
        <w:t>接受</w:t>
      </w:r>
      <w:r w:rsidRPr="00BF3E80">
        <w:rPr>
          <w:lang w:val="zh-CN"/>
        </w:rPr>
        <w:t>辩护律师的服务，则应在相关调查的正式记录中予以注明。拒绝法律代表的服务不会剥夺嫌疑人或被告在刑事诉讼的后续阶段要求获得律师协助的权利。</w:t>
      </w:r>
    </w:p>
  </w:footnote>
  <w:footnote w:id="7">
    <w:p w14:paraId="2BDC7980"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宪法法院指出，提交人在质疑《刑事诉讼法》第</w:t>
      </w:r>
      <w:r w:rsidRPr="00BF3E80">
        <w:rPr>
          <w:lang w:val="zh-CN"/>
        </w:rPr>
        <w:t>51</w:t>
      </w:r>
      <w:r w:rsidRPr="00BF3E80">
        <w:rPr>
          <w:lang w:val="zh-CN"/>
        </w:rPr>
        <w:t>条第</w:t>
      </w:r>
      <w:r w:rsidRPr="00BF3E80">
        <w:rPr>
          <w:lang w:val="zh-CN"/>
        </w:rPr>
        <w:t>1</w:t>
      </w:r>
      <w:r w:rsidRPr="00BF3E80">
        <w:rPr>
          <w:lang w:val="zh-CN"/>
        </w:rPr>
        <w:t>款第</w:t>
      </w:r>
      <w:r w:rsidRPr="00BF3E80">
        <w:rPr>
          <w:lang w:val="zh-CN"/>
        </w:rPr>
        <w:t>5</w:t>
      </w:r>
      <w:r w:rsidRPr="00BF3E80">
        <w:rPr>
          <w:lang w:val="zh-CN"/>
        </w:rPr>
        <w:t>项时，并未说明相关规范</w:t>
      </w:r>
      <w:r w:rsidRPr="00BF3E80">
        <w:rPr>
          <w:rFonts w:hint="eastAsia"/>
          <w:lang w:val="zh-CN"/>
        </w:rPr>
        <w:t>如何导致他的辩护权受到侵犯</w:t>
      </w:r>
      <w:r w:rsidRPr="00BF3E80">
        <w:rPr>
          <w:lang w:val="zh-CN"/>
        </w:rPr>
        <w:t>，而是指出了侵权与据称错误地执行该规范之间的联系。他实际上是请宪法法院在考虑到他案件的具体情况</w:t>
      </w:r>
      <w:r w:rsidRPr="00BF3E80">
        <w:rPr>
          <w:rFonts w:hint="eastAsia"/>
          <w:lang w:val="zh-CN"/>
        </w:rPr>
        <w:t>的同时</w:t>
      </w:r>
      <w:r w:rsidRPr="00BF3E80">
        <w:rPr>
          <w:lang w:val="zh-CN"/>
        </w:rPr>
        <w:t>，核实要适用的规范及其司法解释的正确性，而这不属于宪法法院的职权范围。该</w:t>
      </w:r>
      <w:proofErr w:type="gramStart"/>
      <w:r w:rsidRPr="00BF3E80">
        <w:rPr>
          <w:lang w:val="zh-CN"/>
        </w:rPr>
        <w:t>申诉因</w:t>
      </w:r>
      <w:proofErr w:type="gramEnd"/>
      <w:r w:rsidRPr="00BF3E80">
        <w:rPr>
          <w:lang w:val="zh-CN"/>
        </w:rPr>
        <w:t>不符合受理要求而被驳回。</w:t>
      </w:r>
    </w:p>
  </w:footnote>
  <w:footnote w:id="8">
    <w:p w14:paraId="442DDE3E"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提交人的推理依据是：宪法法院在其裁决中指出，根据《刑事诉讼法》第</w:t>
      </w:r>
      <w:r w:rsidRPr="00BF3E80">
        <w:rPr>
          <w:lang w:val="zh-CN"/>
        </w:rPr>
        <w:t>51</w:t>
      </w:r>
      <w:r w:rsidRPr="00BF3E80">
        <w:rPr>
          <w:lang w:val="zh-CN"/>
        </w:rPr>
        <w:t>条第</w:t>
      </w:r>
      <w:r w:rsidRPr="00BF3E80">
        <w:rPr>
          <w:lang w:val="zh-CN"/>
        </w:rPr>
        <w:t>1</w:t>
      </w:r>
      <w:r w:rsidRPr="00BF3E80">
        <w:rPr>
          <w:lang w:val="zh-CN"/>
        </w:rPr>
        <w:t>款第</w:t>
      </w:r>
      <w:r w:rsidRPr="00BF3E80">
        <w:rPr>
          <w:lang w:val="zh-CN"/>
        </w:rPr>
        <w:t>5</w:t>
      </w:r>
      <w:r w:rsidRPr="00BF3E80">
        <w:rPr>
          <w:lang w:val="zh-CN"/>
        </w:rPr>
        <w:t>项，当被告所受指控涉及</w:t>
      </w:r>
      <w:r w:rsidRPr="00BF3E80">
        <w:rPr>
          <w:lang w:val="zh-CN"/>
        </w:rPr>
        <w:t>15</w:t>
      </w:r>
      <w:r w:rsidRPr="00BF3E80">
        <w:rPr>
          <w:lang w:val="zh-CN"/>
        </w:rPr>
        <w:t>年以上监禁、无期徒刑或死刑时，该被告必须有法律代表。而事实上，宪法法院只是援引了提交人所质疑的法律规范。</w:t>
      </w:r>
    </w:p>
  </w:footnote>
  <w:footnote w:id="9">
    <w:p w14:paraId="2EB3D9F3"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见《刑事诉讼法》第</w:t>
      </w:r>
      <w:r w:rsidRPr="00BF3E80">
        <w:rPr>
          <w:lang w:val="zh-CN"/>
        </w:rPr>
        <w:t>51</w:t>
      </w:r>
      <w:r w:rsidRPr="00BF3E80">
        <w:rPr>
          <w:lang w:val="zh-CN"/>
        </w:rPr>
        <w:t>条第</w:t>
      </w:r>
      <w:r w:rsidRPr="00BF3E80">
        <w:rPr>
          <w:lang w:val="zh-CN"/>
        </w:rPr>
        <w:t>1</w:t>
      </w:r>
      <w:r w:rsidRPr="00BF3E80">
        <w:rPr>
          <w:lang w:val="zh-CN"/>
        </w:rPr>
        <w:t>款第</w:t>
      </w:r>
      <w:r w:rsidRPr="00BF3E80">
        <w:rPr>
          <w:lang w:val="zh-CN"/>
        </w:rPr>
        <w:t>5</w:t>
      </w:r>
      <w:r w:rsidRPr="00BF3E80">
        <w:rPr>
          <w:lang w:val="zh-CN"/>
        </w:rPr>
        <w:t>项和欧洲人权法院对</w:t>
      </w:r>
      <w:r w:rsidRPr="00BF3E80">
        <w:rPr>
          <w:lang w:val="zh-CN"/>
        </w:rPr>
        <w:t>Artic</w:t>
      </w:r>
      <w:r w:rsidRPr="00BF3E80">
        <w:rPr>
          <w:rFonts w:ascii="Time New Roman" w:eastAsia="楷体" w:hAnsi="Time New Roman"/>
          <w:lang w:val="zh-CN"/>
        </w:rPr>
        <w:t>o</w:t>
      </w:r>
      <w:r w:rsidRPr="00BF3E80">
        <w:rPr>
          <w:rFonts w:ascii="Time New Roman" w:eastAsia="楷体" w:hAnsi="Time New Roman"/>
          <w:lang w:val="zh-CN"/>
        </w:rPr>
        <w:t>诉意大利案</w:t>
      </w:r>
      <w:r w:rsidRPr="00BF3E80">
        <w:rPr>
          <w:lang w:val="zh-CN"/>
        </w:rPr>
        <w:t>和</w:t>
      </w:r>
      <w:r w:rsidRPr="00BF3E80">
        <w:rPr>
          <w:lang w:val="zh-CN"/>
        </w:rPr>
        <w:t>Pakelli</w:t>
      </w:r>
      <w:r w:rsidRPr="00BF3E80">
        <w:rPr>
          <w:rFonts w:ascii="Time New Roman" w:eastAsia="楷体" w:hAnsi="Time New Roman"/>
          <w:lang w:val="zh-CN"/>
        </w:rPr>
        <w:t>诉德国案</w:t>
      </w:r>
      <w:r w:rsidRPr="00BF3E80">
        <w:rPr>
          <w:lang w:val="zh-CN"/>
        </w:rPr>
        <w:t>的判决，欧洲人权法院在判决中认定，在司法利益有需要的情况下不提供法律援助构成对辩护权的侵犯。</w:t>
      </w:r>
    </w:p>
  </w:footnote>
  <w:footnote w:id="10">
    <w:p w14:paraId="44BD088F"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 xml:space="preserve"> </w:t>
      </w:r>
      <w:r w:rsidRPr="00BF3E80">
        <w:rPr>
          <w:lang w:val="zh-CN"/>
        </w:rPr>
        <w:tab/>
      </w:r>
      <w:r w:rsidRPr="00BF3E80">
        <w:rPr>
          <w:lang w:val="zh-CN"/>
        </w:rPr>
        <w:t>见最高法院</w:t>
      </w:r>
      <w:r w:rsidRPr="00BF3E80">
        <w:rPr>
          <w:lang w:val="zh-CN"/>
        </w:rPr>
        <w:t>2013</w:t>
      </w:r>
      <w:r w:rsidRPr="00BF3E80">
        <w:rPr>
          <w:lang w:val="zh-CN"/>
        </w:rPr>
        <w:t>年</w:t>
      </w:r>
      <w:r w:rsidRPr="00BF3E80">
        <w:rPr>
          <w:lang w:val="zh-CN"/>
        </w:rPr>
        <w:t>3</w:t>
      </w:r>
      <w:r w:rsidRPr="00BF3E80">
        <w:rPr>
          <w:lang w:val="zh-CN"/>
        </w:rPr>
        <w:t>月</w:t>
      </w:r>
      <w:r w:rsidRPr="00BF3E80">
        <w:rPr>
          <w:lang w:val="zh-CN"/>
        </w:rPr>
        <w:t>13</w:t>
      </w:r>
      <w:r w:rsidRPr="00BF3E80">
        <w:rPr>
          <w:lang w:val="zh-CN"/>
        </w:rPr>
        <w:t>日的裁决。</w:t>
      </w:r>
    </w:p>
  </w:footnote>
  <w:footnote w:id="11">
    <w:p w14:paraId="22FE2227" w14:textId="37E1F354"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缔约国提及委员会根据第十四条第五款</w:t>
      </w:r>
      <w:proofErr w:type="gramStart"/>
      <w:r w:rsidRPr="00BF3E80">
        <w:rPr>
          <w:lang w:val="zh-CN"/>
        </w:rPr>
        <w:t>作出</w:t>
      </w:r>
      <w:proofErr w:type="gramEnd"/>
      <w:r w:rsidRPr="00BF3E80">
        <w:rPr>
          <w:lang w:val="zh-CN"/>
        </w:rPr>
        <w:t>的判例，即</w:t>
      </w:r>
      <w:r w:rsidRPr="00BF3E80">
        <w:rPr>
          <w:lang w:val="zh-CN"/>
        </w:rPr>
        <w:t>T.L.N.</w:t>
      </w:r>
      <w:r w:rsidRPr="00BF3E80">
        <w:rPr>
          <w:rFonts w:ascii="Time New Roman" w:eastAsia="楷体" w:hAnsi="Time New Roman"/>
          <w:lang w:val="zh-CN"/>
        </w:rPr>
        <w:t>诉挪威案</w:t>
      </w:r>
      <w:r w:rsidRPr="00BF3E80">
        <w:rPr>
          <w:lang w:val="zh-CN"/>
        </w:rPr>
        <w:t>(</w:t>
      </w:r>
      <w:hyperlink r:id="rId1" w:history="1">
        <w:r w:rsidRPr="00BF3E80">
          <w:rPr>
            <w:rStyle w:val="af6"/>
            <w:lang w:val="zh-CN"/>
          </w:rPr>
          <w:t>CCPR/C/111/D/</w:t>
        </w:r>
        <w:r w:rsidRPr="00BF3E80">
          <w:rPr>
            <w:rStyle w:val="af6"/>
            <w:rFonts w:ascii="Time New Roman" w:eastAsia="楷体" w:hAnsi="Time New Roman"/>
            <w:lang w:val="zh-CN"/>
          </w:rPr>
          <w:t>1942/</w:t>
        </w:r>
        <w:r w:rsidR="00AC0B18">
          <w:rPr>
            <w:rStyle w:val="af6"/>
            <w:rFonts w:ascii="Time New Roman" w:eastAsia="楷体" w:hAnsi="Time New Roman"/>
            <w:lang w:val="zh-CN"/>
          </w:rPr>
          <w:t xml:space="preserve"> </w:t>
        </w:r>
        <w:r w:rsidRPr="00BF3E80">
          <w:rPr>
            <w:rStyle w:val="af6"/>
            <w:rFonts w:ascii="Time New Roman" w:eastAsia="楷体" w:hAnsi="Time New Roman"/>
            <w:lang w:val="zh-CN"/>
          </w:rPr>
          <w:t>2010</w:t>
        </w:r>
      </w:hyperlink>
      <w:r w:rsidRPr="00BF3E80">
        <w:rPr>
          <w:lang w:val="zh-CN"/>
        </w:rPr>
        <w:t>)</w:t>
      </w:r>
      <w:r w:rsidRPr="00BF3E80">
        <w:rPr>
          <w:lang w:val="zh-CN"/>
        </w:rPr>
        <w:t>，第</w:t>
      </w:r>
      <w:r w:rsidRPr="00BF3E80">
        <w:rPr>
          <w:lang w:val="zh-CN"/>
        </w:rPr>
        <w:t>9.2</w:t>
      </w:r>
      <w:r w:rsidRPr="00BF3E80">
        <w:rPr>
          <w:lang w:val="zh-CN"/>
        </w:rPr>
        <w:t>段。</w:t>
      </w:r>
    </w:p>
  </w:footnote>
  <w:footnote w:id="12">
    <w:p w14:paraId="0A710198" w14:textId="326B450B"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proofErr w:type="gramStart"/>
      <w:r w:rsidRPr="00BF3E80">
        <w:rPr>
          <w:lang w:val="zh-CN"/>
        </w:rPr>
        <w:t>例见</w:t>
      </w:r>
      <w:proofErr w:type="gramEnd"/>
      <w:r w:rsidRPr="00BF3E80">
        <w:rPr>
          <w:lang w:val="zh-CN"/>
        </w:rPr>
        <w:t>H.M.</w:t>
      </w:r>
      <w:r w:rsidRPr="00BF3E80">
        <w:rPr>
          <w:rFonts w:ascii="Time New Roman" w:eastAsia="楷体" w:hAnsi="Time New Roman"/>
          <w:lang w:val="zh-CN"/>
        </w:rPr>
        <w:t>诉瑞典案</w:t>
      </w:r>
      <w:r w:rsidRPr="00BF3E80">
        <w:rPr>
          <w:lang w:val="zh-CN"/>
        </w:rPr>
        <w:t>(</w:t>
      </w:r>
      <w:hyperlink r:id="rId2" w:history="1">
        <w:r w:rsidRPr="00BF3E80">
          <w:rPr>
            <w:rStyle w:val="af6"/>
            <w:lang w:val="zh-CN"/>
          </w:rPr>
          <w:t>CRPD/C/7/D/3/2011</w:t>
        </w:r>
      </w:hyperlink>
      <w:r w:rsidRPr="00BF3E80">
        <w:rPr>
          <w:lang w:val="zh-CN"/>
        </w:rPr>
        <w:t>)</w:t>
      </w:r>
      <w:r w:rsidRPr="00BF3E80">
        <w:rPr>
          <w:lang w:val="zh-CN"/>
        </w:rPr>
        <w:t>，第</w:t>
      </w:r>
      <w:r w:rsidRPr="00BF3E80">
        <w:rPr>
          <w:lang w:val="zh-CN"/>
        </w:rPr>
        <w:t>8.3</w:t>
      </w:r>
      <w:r w:rsidRPr="00BF3E80">
        <w:rPr>
          <w:lang w:val="zh-CN"/>
        </w:rPr>
        <w:t>段。</w:t>
      </w:r>
    </w:p>
  </w:footnote>
  <w:footnote w:id="13">
    <w:p w14:paraId="2C56EC60"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见俄罗斯联邦最高法院主席团</w:t>
      </w:r>
      <w:r w:rsidRPr="00BF3E80">
        <w:rPr>
          <w:lang w:val="zh-CN"/>
        </w:rPr>
        <w:t>1995</w:t>
      </w:r>
      <w:r w:rsidRPr="00BF3E80">
        <w:rPr>
          <w:lang w:val="zh-CN"/>
        </w:rPr>
        <w:t>年</w:t>
      </w:r>
      <w:r w:rsidRPr="00BF3E80">
        <w:rPr>
          <w:lang w:val="zh-CN"/>
        </w:rPr>
        <w:t>10</w:t>
      </w:r>
      <w:r w:rsidRPr="00BF3E80">
        <w:rPr>
          <w:lang w:val="zh-CN"/>
        </w:rPr>
        <w:t>月</w:t>
      </w:r>
      <w:r w:rsidRPr="00BF3E80">
        <w:rPr>
          <w:lang w:val="zh-CN"/>
        </w:rPr>
        <w:t>31</w:t>
      </w:r>
      <w:r w:rsidRPr="00BF3E80">
        <w:rPr>
          <w:lang w:val="zh-CN"/>
        </w:rPr>
        <w:t>日的第</w:t>
      </w:r>
      <w:r w:rsidRPr="00BF3E80">
        <w:rPr>
          <w:lang w:val="zh-CN"/>
        </w:rPr>
        <w:t>8</w:t>
      </w:r>
      <w:r w:rsidRPr="00BF3E80">
        <w:rPr>
          <w:lang w:val="zh-CN"/>
        </w:rPr>
        <w:t>号决定。</w:t>
      </w:r>
    </w:p>
  </w:footnote>
  <w:footnote w:id="14">
    <w:p w14:paraId="1DB6F5A5" w14:textId="1C7164D7" w:rsidR="005C668C" w:rsidRPr="00BF3E80" w:rsidRDefault="005C668C" w:rsidP="005C668C">
      <w:pPr>
        <w:pStyle w:val="a6"/>
        <w:tabs>
          <w:tab w:val="clear" w:pos="1021"/>
          <w:tab w:val="right" w:pos="1020"/>
        </w:tabs>
      </w:pPr>
      <w:r w:rsidRPr="00BF3E80">
        <w:rPr>
          <w:lang w:val="zh-CN"/>
        </w:rPr>
        <w:tab/>
      </w:r>
      <w:r w:rsidRPr="00BF3E80">
        <w:rPr>
          <w:rStyle w:val="a8"/>
          <w:rFonts w:eastAsia="宋体"/>
          <w:lang w:val="zh-CN"/>
        </w:rPr>
        <w:footnoteRef/>
      </w:r>
      <w:r w:rsidRPr="00BF3E80">
        <w:rPr>
          <w:lang w:val="zh-CN"/>
        </w:rPr>
        <w:tab/>
      </w:r>
      <w:r w:rsidRPr="00BF3E80">
        <w:rPr>
          <w:lang w:val="zh-CN"/>
        </w:rPr>
        <w:t>《刑事诉讼法》第</w:t>
      </w:r>
      <w:r w:rsidRPr="00BF3E80">
        <w:rPr>
          <w:lang w:val="zh-CN"/>
        </w:rPr>
        <w:t>260</w:t>
      </w:r>
      <w:r w:rsidRPr="00BF3E80">
        <w:rPr>
          <w:lang w:val="zh-CN"/>
        </w:rPr>
        <w:t>条（对审判记录</w:t>
      </w:r>
      <w:r w:rsidRPr="00BF3E80">
        <w:rPr>
          <w:lang w:val="zh-CN"/>
        </w:rPr>
        <w:t>[</w:t>
      </w:r>
      <w:r w:rsidRPr="00BF3E80">
        <w:rPr>
          <w:lang w:val="zh-CN"/>
        </w:rPr>
        <w:t>内容</w:t>
      </w:r>
      <w:r w:rsidRPr="00BF3E80">
        <w:rPr>
          <w:lang w:val="zh-CN"/>
        </w:rPr>
        <w:t>]</w:t>
      </w:r>
      <w:r w:rsidRPr="00BF3E80">
        <w:rPr>
          <w:lang w:val="zh-CN"/>
        </w:rPr>
        <w:t>提出异议）规定：</w:t>
      </w:r>
      <w:r w:rsidRPr="00BF3E80">
        <w:rPr>
          <w:lang w:val="zh-CN"/>
        </w:rPr>
        <w:t xml:space="preserve">(1) </w:t>
      </w:r>
      <w:r w:rsidRPr="00BF3E80">
        <w:rPr>
          <w:lang w:val="zh-CN"/>
        </w:rPr>
        <w:t>当事人可在收到庭审记录后三日内对庭审记录</w:t>
      </w:r>
      <w:r w:rsidRPr="00BF3E80">
        <w:rPr>
          <w:lang w:val="zh-CN"/>
        </w:rPr>
        <w:t>[</w:t>
      </w:r>
      <w:r w:rsidRPr="00BF3E80">
        <w:rPr>
          <w:lang w:val="zh-CN"/>
        </w:rPr>
        <w:t>内容</w:t>
      </w:r>
      <w:r w:rsidRPr="00BF3E80">
        <w:rPr>
          <w:lang w:val="zh-CN"/>
        </w:rPr>
        <w:t>]</w:t>
      </w:r>
      <w:r w:rsidRPr="00BF3E80">
        <w:rPr>
          <w:lang w:val="zh-CN"/>
        </w:rPr>
        <w:t>提出异议；</w:t>
      </w:r>
      <w:r w:rsidRPr="00BF3E80">
        <w:rPr>
          <w:lang w:val="zh-CN"/>
        </w:rPr>
        <w:t xml:space="preserve">(2) </w:t>
      </w:r>
      <w:r w:rsidRPr="00BF3E80">
        <w:rPr>
          <w:lang w:val="zh-CN"/>
        </w:rPr>
        <w:t>主审法官应立即审议这些异议。如果主审法官认为有必要，可以传唤提出异议的人，以澄清异议的内容；</w:t>
      </w:r>
      <w:r w:rsidRPr="00BF3E80">
        <w:rPr>
          <w:lang w:val="zh-CN"/>
        </w:rPr>
        <w:t>(3)</w:t>
      </w:r>
      <w:r w:rsidR="005D78EF" w:rsidRPr="00BF3E80">
        <w:t xml:space="preserve"> </w:t>
      </w:r>
      <w:r w:rsidRPr="00BF3E80">
        <w:rPr>
          <w:lang w:val="zh-CN"/>
        </w:rPr>
        <w:t>主审法官审议异议后，应</w:t>
      </w:r>
      <w:proofErr w:type="gramStart"/>
      <w:r w:rsidRPr="00BF3E80">
        <w:rPr>
          <w:lang w:val="zh-CN"/>
        </w:rPr>
        <w:t>作出</w:t>
      </w:r>
      <w:proofErr w:type="gramEnd"/>
      <w:r w:rsidRPr="00BF3E80">
        <w:rPr>
          <w:lang w:val="zh-CN"/>
        </w:rPr>
        <w:t>决定，证明异议的正确性或予以驳回。异议和主审法官的裁决应附在审判记录中。</w:t>
      </w:r>
    </w:p>
  </w:footnote>
  <w:footnote w:id="15">
    <w:p w14:paraId="0EFA7B75"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proofErr w:type="gramStart"/>
      <w:r w:rsidRPr="00BF3E80">
        <w:rPr>
          <w:lang w:val="zh-CN"/>
        </w:rPr>
        <w:t>申诉因</w:t>
      </w:r>
      <w:proofErr w:type="gramEnd"/>
      <w:r w:rsidRPr="00BF3E80">
        <w:rPr>
          <w:lang w:val="zh-CN"/>
        </w:rPr>
        <w:t>不符合受理要求而被驳回，该裁决为最终裁决，不得上诉。</w:t>
      </w:r>
    </w:p>
  </w:footnote>
  <w:footnote w:id="16">
    <w:p w14:paraId="3A5EFA0A"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提交人称，他提出的申述有关他根据《刑事诉讼法》第</w:t>
      </w:r>
      <w:r w:rsidRPr="00BF3E80">
        <w:rPr>
          <w:lang w:val="zh-CN"/>
        </w:rPr>
        <w:t>260</w:t>
      </w:r>
      <w:r w:rsidRPr="00BF3E80">
        <w:rPr>
          <w:lang w:val="zh-CN"/>
        </w:rPr>
        <w:t>条第</w:t>
      </w:r>
      <w:r w:rsidRPr="00BF3E80">
        <w:rPr>
          <w:lang w:val="zh-CN"/>
        </w:rPr>
        <w:t>2</w:t>
      </w:r>
      <w:r w:rsidRPr="00BF3E80">
        <w:rPr>
          <w:lang w:val="zh-CN"/>
        </w:rPr>
        <w:t>款和第</w:t>
      </w:r>
      <w:r w:rsidRPr="00BF3E80">
        <w:rPr>
          <w:lang w:val="zh-CN"/>
        </w:rPr>
        <w:t>3</w:t>
      </w:r>
      <w:r w:rsidRPr="00BF3E80">
        <w:rPr>
          <w:lang w:val="zh-CN"/>
        </w:rPr>
        <w:t>款</w:t>
      </w:r>
      <w:r w:rsidRPr="00BF3E80">
        <w:rPr>
          <w:lang w:val="zh-CN"/>
        </w:rPr>
        <w:t>(</w:t>
      </w:r>
      <w:r w:rsidRPr="00BF3E80">
        <w:rPr>
          <w:lang w:val="zh-CN"/>
        </w:rPr>
        <w:t>对审判记录</w:t>
      </w:r>
      <w:r w:rsidRPr="00BF3E80">
        <w:rPr>
          <w:lang w:val="zh-CN"/>
        </w:rPr>
        <w:t>[</w:t>
      </w:r>
      <w:r w:rsidRPr="00BF3E80">
        <w:rPr>
          <w:lang w:val="zh-CN"/>
        </w:rPr>
        <w:t>内容</w:t>
      </w:r>
      <w:r w:rsidRPr="00BF3E80">
        <w:rPr>
          <w:lang w:val="zh-CN"/>
        </w:rPr>
        <w:t>]</w:t>
      </w:r>
      <w:r w:rsidRPr="00BF3E80">
        <w:rPr>
          <w:lang w:val="zh-CN"/>
        </w:rPr>
        <w:t>提出异议</w:t>
      </w:r>
      <w:r w:rsidRPr="00BF3E80">
        <w:rPr>
          <w:lang w:val="zh-CN"/>
        </w:rPr>
        <w:t>)</w:t>
      </w:r>
      <w:r w:rsidRPr="00BF3E80">
        <w:rPr>
          <w:lang w:val="zh-CN"/>
        </w:rPr>
        <w:t>享有的权利受到侵犯。</w:t>
      </w:r>
    </w:p>
  </w:footnote>
  <w:footnote w:id="17">
    <w:p w14:paraId="68AB36DC" w14:textId="77777777"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见《刑事诉讼法》第</w:t>
      </w:r>
      <w:r w:rsidRPr="00BF3E80">
        <w:rPr>
          <w:lang w:val="zh-CN"/>
        </w:rPr>
        <w:t>260</w:t>
      </w:r>
      <w:r w:rsidRPr="00BF3E80">
        <w:rPr>
          <w:lang w:val="zh-CN"/>
        </w:rPr>
        <w:t>条第</w:t>
      </w:r>
      <w:r w:rsidRPr="00BF3E80">
        <w:rPr>
          <w:lang w:val="zh-CN"/>
        </w:rPr>
        <w:t>1</w:t>
      </w:r>
      <w:r w:rsidRPr="00BF3E80">
        <w:rPr>
          <w:lang w:val="zh-CN"/>
        </w:rPr>
        <w:t>款和第</w:t>
      </w:r>
      <w:r w:rsidRPr="00BF3E80">
        <w:rPr>
          <w:lang w:val="zh-CN"/>
        </w:rPr>
        <w:t>2</w:t>
      </w:r>
      <w:r w:rsidRPr="00BF3E80">
        <w:rPr>
          <w:lang w:val="zh-CN"/>
        </w:rPr>
        <w:t>款。</w:t>
      </w:r>
    </w:p>
  </w:footnote>
  <w:footnote w:id="18">
    <w:p w14:paraId="0B647EFA" w14:textId="5D72E52B" w:rsidR="005C668C" w:rsidRPr="00BF3E80" w:rsidRDefault="005C668C" w:rsidP="005C668C">
      <w:pPr>
        <w:pStyle w:val="a6"/>
      </w:pPr>
      <w:r w:rsidRPr="00BF3E80">
        <w:rPr>
          <w:lang w:val="zh-CN"/>
        </w:rPr>
        <w:tab/>
      </w:r>
      <w:r w:rsidRPr="00BF3E80">
        <w:rPr>
          <w:rStyle w:val="a8"/>
          <w:rFonts w:eastAsia="宋体"/>
          <w:lang w:val="zh-CN"/>
        </w:rPr>
        <w:footnoteRef/>
      </w:r>
      <w:r w:rsidRPr="00BF3E80">
        <w:rPr>
          <w:lang w:val="zh-CN"/>
        </w:rPr>
        <w:tab/>
      </w:r>
      <w:r w:rsidRPr="00BF3E80">
        <w:rPr>
          <w:lang w:val="zh-CN"/>
        </w:rPr>
        <w:t>见俄罗斯联邦最高法院主席团</w:t>
      </w:r>
      <w:r w:rsidRPr="00BF3E80">
        <w:rPr>
          <w:lang w:val="zh-CN"/>
        </w:rPr>
        <w:t>1976</w:t>
      </w:r>
      <w:r w:rsidRPr="00BF3E80">
        <w:rPr>
          <w:lang w:val="zh-CN"/>
        </w:rPr>
        <w:t>年</w:t>
      </w:r>
      <w:r w:rsidRPr="00BF3E80">
        <w:rPr>
          <w:lang w:val="zh-CN"/>
        </w:rPr>
        <w:t>6</w:t>
      </w:r>
      <w:r w:rsidRPr="00BF3E80">
        <w:rPr>
          <w:lang w:val="zh-CN"/>
        </w:rPr>
        <w:t>月</w:t>
      </w:r>
      <w:r w:rsidRPr="00BF3E80">
        <w:rPr>
          <w:lang w:val="zh-CN"/>
        </w:rPr>
        <w:t>16</w:t>
      </w:r>
      <w:r w:rsidRPr="00BF3E80">
        <w:rPr>
          <w:lang w:val="zh-CN"/>
        </w:rPr>
        <w:t>日</w:t>
      </w:r>
      <w:r w:rsidR="005D78EF" w:rsidRPr="00BF3E80">
        <w:rPr>
          <w:rFonts w:hint="eastAsia"/>
          <w:lang w:val="zh-CN"/>
        </w:rPr>
        <w:t>(</w:t>
      </w:r>
      <w:r w:rsidRPr="00BF3E80">
        <w:rPr>
          <w:lang w:val="zh-CN"/>
        </w:rPr>
        <w:t>第</w:t>
      </w:r>
      <w:r w:rsidRPr="00BF3E80">
        <w:rPr>
          <w:lang w:val="zh-CN"/>
        </w:rPr>
        <w:t>5</w:t>
      </w:r>
      <w:r w:rsidRPr="00BF3E80">
        <w:rPr>
          <w:lang w:val="zh-CN"/>
        </w:rPr>
        <w:t>号，第</w:t>
      </w:r>
      <w:r w:rsidRPr="00BF3E80">
        <w:rPr>
          <w:lang w:val="zh-CN"/>
        </w:rPr>
        <w:t>19</w:t>
      </w:r>
      <w:r w:rsidRPr="00BF3E80">
        <w:rPr>
          <w:lang w:val="zh-CN"/>
        </w:rPr>
        <w:t>段</w:t>
      </w:r>
      <w:r w:rsidR="005D78EF" w:rsidRPr="00BF3E80">
        <w:rPr>
          <w:rFonts w:hint="eastAsia"/>
          <w:lang w:val="zh-CN"/>
        </w:rPr>
        <w:t>)</w:t>
      </w:r>
      <w:r w:rsidRPr="00BF3E80">
        <w:rPr>
          <w:lang w:val="zh-CN"/>
        </w:rPr>
        <w:t>和</w:t>
      </w:r>
      <w:r w:rsidRPr="00BF3E80">
        <w:rPr>
          <w:lang w:val="zh-CN"/>
        </w:rPr>
        <w:t>1976</w:t>
      </w:r>
      <w:r w:rsidRPr="00BF3E80">
        <w:rPr>
          <w:lang w:val="zh-CN"/>
        </w:rPr>
        <w:t>年</w:t>
      </w:r>
      <w:r w:rsidRPr="00BF3E80">
        <w:rPr>
          <w:lang w:val="zh-CN"/>
        </w:rPr>
        <w:t>12</w:t>
      </w:r>
      <w:r w:rsidRPr="00BF3E80">
        <w:rPr>
          <w:lang w:val="zh-CN"/>
        </w:rPr>
        <w:t>月</w:t>
      </w:r>
      <w:r w:rsidRPr="00BF3E80">
        <w:rPr>
          <w:lang w:val="zh-CN"/>
        </w:rPr>
        <w:t>3</w:t>
      </w:r>
      <w:r w:rsidRPr="00BF3E80">
        <w:rPr>
          <w:lang w:val="zh-CN"/>
        </w:rPr>
        <w:t>日</w:t>
      </w:r>
      <w:r w:rsidR="005D78EF" w:rsidRPr="00BF3E80">
        <w:rPr>
          <w:rFonts w:hint="eastAsia"/>
          <w:lang w:val="zh-CN"/>
        </w:rPr>
        <w:t>(</w:t>
      </w:r>
      <w:r w:rsidRPr="00BF3E80">
        <w:rPr>
          <w:lang w:val="zh-CN"/>
        </w:rPr>
        <w:t>第</w:t>
      </w:r>
      <w:r w:rsidRPr="00BF3E80">
        <w:rPr>
          <w:lang w:val="zh-CN"/>
        </w:rPr>
        <w:t>15</w:t>
      </w:r>
      <w:r w:rsidRPr="00BF3E80">
        <w:rPr>
          <w:lang w:val="zh-CN"/>
        </w:rPr>
        <w:t>号，第</w:t>
      </w:r>
      <w:r w:rsidRPr="00BF3E80">
        <w:rPr>
          <w:lang w:val="zh-CN"/>
        </w:rPr>
        <w:t>12</w:t>
      </w:r>
      <w:r w:rsidRPr="00BF3E80">
        <w:rPr>
          <w:lang w:val="zh-CN"/>
        </w:rPr>
        <w:t>段</w:t>
      </w:r>
      <w:r w:rsidR="005D78EF" w:rsidRPr="00BF3E80">
        <w:rPr>
          <w:rFonts w:hint="eastAsia"/>
          <w:lang w:val="zh-CN"/>
        </w:rPr>
        <w:t>)</w:t>
      </w:r>
      <w:r w:rsidRPr="00BF3E80">
        <w:rPr>
          <w:lang w:val="zh-CN"/>
        </w:rPr>
        <w:t>的决定。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8F3F" w14:textId="77777777" w:rsidR="00056632" w:rsidRDefault="004F0C8C" w:rsidP="004F0C8C">
    <w:pPr>
      <w:pStyle w:val="af3"/>
    </w:pPr>
    <w:proofErr w:type="spellStart"/>
    <w:r>
      <w:t>CCPR</w:t>
    </w:r>
    <w:proofErr w:type="spellEnd"/>
    <w:r>
      <w:t>/C/131/D/2578/2015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5894" w14:textId="77777777" w:rsidR="00056632" w:rsidRPr="00202A30" w:rsidRDefault="004F0C8C" w:rsidP="004F0C8C">
    <w:pPr>
      <w:pStyle w:val="af3"/>
      <w:jc w:val="right"/>
    </w:pPr>
    <w:proofErr w:type="spellStart"/>
    <w:r>
      <w:t>CCPR</w:t>
    </w:r>
    <w:proofErr w:type="spellEnd"/>
    <w:r>
      <w:t>/C/131/D/2578/2015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6"/>
  </w:num>
  <w:num w:numId="3">
    <w:abstractNumId w:val="1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14"/>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0A"/>
    <w:rsid w:val="00011483"/>
    <w:rsid w:val="0004554F"/>
    <w:rsid w:val="000C48C9"/>
    <w:rsid w:val="000D319F"/>
    <w:rsid w:val="000E4D0E"/>
    <w:rsid w:val="000F5EB8"/>
    <w:rsid w:val="00126EB7"/>
    <w:rsid w:val="00144B69"/>
    <w:rsid w:val="00153E86"/>
    <w:rsid w:val="00162EC8"/>
    <w:rsid w:val="00172E04"/>
    <w:rsid w:val="001B1BD1"/>
    <w:rsid w:val="001C3EF2"/>
    <w:rsid w:val="001D17F6"/>
    <w:rsid w:val="00204B42"/>
    <w:rsid w:val="0021265F"/>
    <w:rsid w:val="002231C3"/>
    <w:rsid w:val="0024417F"/>
    <w:rsid w:val="00250F8D"/>
    <w:rsid w:val="0025482B"/>
    <w:rsid w:val="002E1C97"/>
    <w:rsid w:val="002F5834"/>
    <w:rsid w:val="003006AB"/>
    <w:rsid w:val="00326EBF"/>
    <w:rsid w:val="00327FE4"/>
    <w:rsid w:val="003333CC"/>
    <w:rsid w:val="00385347"/>
    <w:rsid w:val="00427F63"/>
    <w:rsid w:val="00434D38"/>
    <w:rsid w:val="00494EB8"/>
    <w:rsid w:val="004C4A0A"/>
    <w:rsid w:val="004D0A00"/>
    <w:rsid w:val="004E473D"/>
    <w:rsid w:val="004F0C8C"/>
    <w:rsid w:val="004F348E"/>
    <w:rsid w:val="00501220"/>
    <w:rsid w:val="00530C0A"/>
    <w:rsid w:val="0057615F"/>
    <w:rsid w:val="005C668C"/>
    <w:rsid w:val="005D78EF"/>
    <w:rsid w:val="005E403A"/>
    <w:rsid w:val="005E4086"/>
    <w:rsid w:val="0060122D"/>
    <w:rsid w:val="00604D91"/>
    <w:rsid w:val="006257FE"/>
    <w:rsid w:val="00640BF0"/>
    <w:rsid w:val="00652D41"/>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D785F"/>
    <w:rsid w:val="007D7D53"/>
    <w:rsid w:val="007E40D5"/>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4072"/>
    <w:rsid w:val="00AC0B18"/>
    <w:rsid w:val="00AC7D8A"/>
    <w:rsid w:val="00B16570"/>
    <w:rsid w:val="00B23B03"/>
    <w:rsid w:val="00B43EB7"/>
    <w:rsid w:val="00B53320"/>
    <w:rsid w:val="00B614C4"/>
    <w:rsid w:val="00B712F3"/>
    <w:rsid w:val="00BC6522"/>
    <w:rsid w:val="00BE1FFE"/>
    <w:rsid w:val="00BF3E80"/>
    <w:rsid w:val="00C121D5"/>
    <w:rsid w:val="00C17349"/>
    <w:rsid w:val="00C323A4"/>
    <w:rsid w:val="00C351AA"/>
    <w:rsid w:val="00C70852"/>
    <w:rsid w:val="00C7253F"/>
    <w:rsid w:val="00C829C3"/>
    <w:rsid w:val="00C90707"/>
    <w:rsid w:val="00CB5BC2"/>
    <w:rsid w:val="00CE1D1C"/>
    <w:rsid w:val="00D26A05"/>
    <w:rsid w:val="00D9309B"/>
    <w:rsid w:val="00D97B98"/>
    <w:rsid w:val="00DB0D94"/>
    <w:rsid w:val="00DC671F"/>
    <w:rsid w:val="00DD2221"/>
    <w:rsid w:val="00DE4DA7"/>
    <w:rsid w:val="00E02C13"/>
    <w:rsid w:val="00E33B38"/>
    <w:rsid w:val="00E442A1"/>
    <w:rsid w:val="00E47FE5"/>
    <w:rsid w:val="00E574AF"/>
    <w:rsid w:val="00E73B33"/>
    <w:rsid w:val="00EA7E67"/>
    <w:rsid w:val="00F24E6D"/>
    <w:rsid w:val="00F379B8"/>
    <w:rsid w:val="00F714DA"/>
    <w:rsid w:val="00F87910"/>
    <w:rsid w:val="00FA45CB"/>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5B447"/>
  <w15:docId w15:val="{D296A69E-7F90-4DBE-8A7A-76C45236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4F0C8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rsid w:val="00CB5BC2"/>
    <w:rPr>
      <w:color w:val="0000FF" w:themeColor="hyperlink"/>
      <w:u w:val="none"/>
    </w:rPr>
  </w:style>
  <w:style w:type="character" w:styleId="af7">
    <w:name w:val="FollowedHyperlink"/>
    <w:basedOn w:val="a0"/>
    <w:uiPriority w:val="99"/>
    <w:semiHidden/>
    <w:rsid w:val="00CB5BC2"/>
    <w:rPr>
      <w:color w:val="0000FF"/>
      <w:u w:val="none"/>
    </w:rPr>
  </w:style>
  <w:style w:type="paragraph" w:styleId="af8">
    <w:name w:val="macro"/>
    <w:link w:val="af9"/>
    <w:semiHidden/>
    <w:rsid w:val="00CB5BC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9">
    <w:name w:val="宏文本 字符"/>
    <w:basedOn w:val="a0"/>
    <w:link w:val="af8"/>
    <w:semiHidden/>
    <w:rsid w:val="00CB5BC2"/>
    <w:rPr>
      <w:kern w:val="24"/>
      <w:sz w:val="24"/>
      <w:szCs w:val="24"/>
    </w:rPr>
  </w:style>
  <w:style w:type="character" w:styleId="afa">
    <w:name w:val="Unresolved Mention"/>
    <w:basedOn w:val="a0"/>
    <w:uiPriority w:val="99"/>
    <w:semiHidden/>
    <w:unhideWhenUsed/>
    <w:rsid w:val="00BF3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ch/CRPD/C/7/D/3/2011" TargetMode="External"/><Relationship Id="rId1" Type="http://schemas.openxmlformats.org/officeDocument/2006/relationships/hyperlink" Target="http://undocs.org/ch/CCPR/C/111/D/1942/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8315</Words>
  <Characters>9146</Characters>
  <Application>Microsoft Office Word</Application>
  <DocSecurity>0</DocSecurity>
  <Lines>320</Lines>
  <Paragraphs>102</Paragraphs>
  <ScaleCrop>false</ScaleCrop>
  <Company>DCM</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CCPR/C/131/D/2578/2015</dc:title>
  <dc:subject>2118948</dc:subject>
  <dc:creator>JI</dc:creator>
  <cp:keywords/>
  <dc:description/>
  <cp:lastModifiedBy>Xiangli Ferschin-Ji</cp:lastModifiedBy>
  <cp:revision>2</cp:revision>
  <cp:lastPrinted>2014-05-09T11:28:00Z</cp:lastPrinted>
  <dcterms:created xsi:type="dcterms:W3CDTF">2022-04-14T09:16:00Z</dcterms:created>
  <dcterms:modified xsi:type="dcterms:W3CDTF">2022-04-14T09:16:00Z</dcterms:modified>
</cp:coreProperties>
</file>