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906A1A9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F56F02" w14:textId="77777777" w:rsidR="002D5AAC" w:rsidRDefault="002D5AAC" w:rsidP="00C723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FB07BAA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084FDBA" w14:textId="4F58DCB0" w:rsidR="002D5AAC" w:rsidRDefault="00C72380" w:rsidP="00C72380">
            <w:pPr>
              <w:jc w:val="right"/>
            </w:pPr>
            <w:r w:rsidRPr="00C72380">
              <w:rPr>
                <w:sz w:val="40"/>
              </w:rPr>
              <w:t>CCPR</w:t>
            </w:r>
            <w:r>
              <w:t>/C/131/2/Add.2</w:t>
            </w:r>
          </w:p>
        </w:tc>
      </w:tr>
      <w:tr w:rsidR="002D5AAC" w:rsidRPr="002D6698" w14:paraId="016EBBE2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74A91D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B886BD" wp14:editId="0115D1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887368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A8F40BB" w14:textId="77777777" w:rsidR="002D5AAC" w:rsidRPr="007B3877" w:rsidRDefault="00C72380" w:rsidP="00BC3629">
            <w:pPr>
              <w:spacing w:before="240"/>
              <w:rPr>
                <w:lang w:val="en-US"/>
              </w:rPr>
            </w:pPr>
            <w:r w:rsidRPr="007B3877">
              <w:rPr>
                <w:lang w:val="en-US"/>
              </w:rPr>
              <w:t>Distr.: General</w:t>
            </w:r>
          </w:p>
          <w:p w14:paraId="2A0DC13D" w14:textId="77777777" w:rsidR="00C72380" w:rsidRPr="007B3877" w:rsidRDefault="00C72380" w:rsidP="00C72380">
            <w:pPr>
              <w:spacing w:line="240" w:lineRule="exact"/>
              <w:rPr>
                <w:lang w:val="en-US"/>
              </w:rPr>
            </w:pPr>
            <w:r w:rsidRPr="007B3877">
              <w:rPr>
                <w:lang w:val="en-US"/>
              </w:rPr>
              <w:t>29 April 2021</w:t>
            </w:r>
          </w:p>
          <w:p w14:paraId="242AEE96" w14:textId="77777777" w:rsidR="00C72380" w:rsidRPr="007B3877" w:rsidRDefault="00C72380" w:rsidP="00C72380">
            <w:pPr>
              <w:spacing w:line="240" w:lineRule="exact"/>
              <w:rPr>
                <w:lang w:val="en-US"/>
              </w:rPr>
            </w:pPr>
            <w:r w:rsidRPr="007B3877">
              <w:rPr>
                <w:lang w:val="en-US"/>
              </w:rPr>
              <w:t>Russian</w:t>
            </w:r>
          </w:p>
          <w:p w14:paraId="19C04DA0" w14:textId="5BCCB357" w:rsidR="00C72380" w:rsidRPr="007B3877" w:rsidRDefault="00C72380" w:rsidP="00C72380">
            <w:pPr>
              <w:spacing w:line="240" w:lineRule="exact"/>
              <w:rPr>
                <w:lang w:val="en-US"/>
              </w:rPr>
            </w:pPr>
            <w:r w:rsidRPr="007B3877">
              <w:rPr>
                <w:lang w:val="en-US"/>
              </w:rPr>
              <w:t>Original: English</w:t>
            </w:r>
          </w:p>
        </w:tc>
      </w:tr>
    </w:tbl>
    <w:p w14:paraId="634F4385" w14:textId="77777777" w:rsidR="00C72380" w:rsidRPr="00C72380" w:rsidRDefault="00C72380" w:rsidP="00C72380">
      <w:pPr>
        <w:spacing w:before="120"/>
        <w:jc w:val="both"/>
        <w:rPr>
          <w:b/>
          <w:bCs/>
          <w:sz w:val="24"/>
          <w:szCs w:val="24"/>
        </w:rPr>
      </w:pPr>
      <w:r w:rsidRPr="00C72380">
        <w:rPr>
          <w:b/>
          <w:bCs/>
          <w:sz w:val="24"/>
          <w:szCs w:val="24"/>
        </w:rPr>
        <w:t>Комитет по правам человека</w:t>
      </w:r>
    </w:p>
    <w:p w14:paraId="72DE24C6" w14:textId="4B6AD5AF" w:rsidR="00C72380" w:rsidRPr="00A708A0" w:rsidRDefault="00C72380" w:rsidP="00C72380">
      <w:pPr>
        <w:pStyle w:val="HChG"/>
      </w:pPr>
      <w:bookmarkStart w:id="0" w:name="_Toc506807534"/>
      <w:r>
        <w:tab/>
      </w:r>
      <w:r>
        <w:tab/>
      </w:r>
      <w:r>
        <w:rPr>
          <w:bCs/>
        </w:rPr>
        <w:t>Доклад о последующей деятельности в связи с</w:t>
      </w:r>
      <w:r>
        <w:rPr>
          <w:bCs/>
          <w:lang w:val="en-US"/>
        </w:rPr>
        <w:t> </w:t>
      </w:r>
      <w:r>
        <w:rPr>
          <w:bCs/>
        </w:rPr>
        <w:t>заключительными замечаниями Комитета по правам человека</w:t>
      </w:r>
      <w:r w:rsidRPr="008D10C9">
        <w:rPr>
          <w:b w:val="0"/>
          <w:bCs/>
          <w:sz w:val="20"/>
        </w:rPr>
        <w:footnoteReference w:customMarkFollows="1" w:id="1"/>
        <w:t>*</w:t>
      </w:r>
      <w:bookmarkEnd w:id="0"/>
    </w:p>
    <w:p w14:paraId="4F35A981" w14:textId="77777777" w:rsidR="00C72380" w:rsidRPr="00A708A0" w:rsidRDefault="00C72380" w:rsidP="00C72380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Добавление</w:t>
      </w:r>
    </w:p>
    <w:p w14:paraId="6A323D7B" w14:textId="28365D01" w:rsidR="00C72380" w:rsidRPr="0064331C" w:rsidRDefault="00C72380" w:rsidP="00826841">
      <w:pPr>
        <w:pStyle w:val="H1G"/>
      </w:pPr>
      <w:r>
        <w:tab/>
      </w:r>
      <w:r>
        <w:tab/>
      </w:r>
      <w:r>
        <w:rPr>
          <w:bCs/>
        </w:rPr>
        <w:t>Оценка информации о последующей деятельности в связи с</w:t>
      </w:r>
      <w:r>
        <w:rPr>
          <w:bCs/>
          <w:lang w:val="en-US"/>
        </w:rPr>
        <w:t> </w:t>
      </w:r>
      <w:r>
        <w:rPr>
          <w:bCs/>
        </w:rPr>
        <w:t>заключительными замечаниями по Словакии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C72380" w:rsidRPr="0064331C" w14:paraId="0AACD02B" w14:textId="77777777" w:rsidTr="00C72380">
        <w:tc>
          <w:tcPr>
            <w:tcW w:w="2936" w:type="dxa"/>
            <w:hideMark/>
          </w:tcPr>
          <w:p w14:paraId="246D95CA" w14:textId="656AC98E" w:rsidR="00C72380" w:rsidRPr="0064331C" w:rsidRDefault="00C72380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(сто восемнадцатая сессия):</w:t>
            </w:r>
          </w:p>
        </w:tc>
        <w:tc>
          <w:tcPr>
            <w:tcW w:w="3874" w:type="dxa"/>
          </w:tcPr>
          <w:p w14:paraId="1B1834C3" w14:textId="16153357" w:rsidR="00C72380" w:rsidRPr="0064331C" w:rsidRDefault="00632655">
            <w:pPr>
              <w:spacing w:after="120"/>
            </w:pPr>
            <w:hyperlink r:id="rId8" w:history="1">
              <w:r w:rsidR="00C72380" w:rsidRPr="00C72380">
                <w:rPr>
                  <w:rStyle w:val="af1"/>
                </w:rPr>
                <w:t>CCPR/C/SVK/CO/4</w:t>
              </w:r>
            </w:hyperlink>
            <w:r w:rsidR="00C72380">
              <w:t>, 31 октября 2016 года</w:t>
            </w:r>
          </w:p>
        </w:tc>
      </w:tr>
      <w:tr w:rsidR="00C72380" w:rsidRPr="0064331C" w14:paraId="0676F4C8" w14:textId="77777777" w:rsidTr="00C72380">
        <w:tc>
          <w:tcPr>
            <w:tcW w:w="2936" w:type="dxa"/>
            <w:hideMark/>
          </w:tcPr>
          <w:p w14:paraId="22BAC55C" w14:textId="31724807" w:rsidR="00C72380" w:rsidRPr="0064331C" w:rsidRDefault="00C72380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3874" w:type="dxa"/>
          </w:tcPr>
          <w:p w14:paraId="723215B0" w14:textId="4722481B" w:rsidR="00C72380" w:rsidRPr="0064331C" w:rsidRDefault="00C72380">
            <w:pPr>
              <w:spacing w:after="120"/>
            </w:pPr>
            <w:r>
              <w:t>13, 25 и 33</w:t>
            </w:r>
          </w:p>
        </w:tc>
      </w:tr>
      <w:tr w:rsidR="00C72380" w:rsidRPr="0064331C" w14:paraId="4C6D83A1" w14:textId="77777777" w:rsidTr="00C72380">
        <w:tc>
          <w:tcPr>
            <w:tcW w:w="2936" w:type="dxa"/>
            <w:hideMark/>
          </w:tcPr>
          <w:p w14:paraId="1C99493E" w14:textId="57777D4B" w:rsidR="00C72380" w:rsidRPr="0064331C" w:rsidRDefault="00C72380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Ответ, касающийся последующей деятельности:</w:t>
            </w:r>
          </w:p>
        </w:tc>
        <w:tc>
          <w:tcPr>
            <w:tcW w:w="3874" w:type="dxa"/>
          </w:tcPr>
          <w:p w14:paraId="3F9B85EC" w14:textId="031C09A0" w:rsidR="00C72380" w:rsidRPr="0064331C" w:rsidRDefault="00632655">
            <w:pPr>
              <w:spacing w:after="120"/>
            </w:pPr>
            <w:hyperlink r:id="rId9" w:history="1">
              <w:r w:rsidR="00B74B3A" w:rsidRPr="00D34A6C">
                <w:rPr>
                  <w:rStyle w:val="af1"/>
                </w:rPr>
                <w:t>CCPR/C/SVK/CO/4/Add.1</w:t>
              </w:r>
            </w:hyperlink>
            <w:r w:rsidR="00C72380">
              <w:t xml:space="preserve">, </w:t>
            </w:r>
            <w:r w:rsidR="00C72380">
              <w:br/>
              <w:t>18 октября 2017 года</w:t>
            </w:r>
          </w:p>
        </w:tc>
      </w:tr>
      <w:tr w:rsidR="00C72380" w:rsidRPr="0064331C" w14:paraId="02801118" w14:textId="77777777" w:rsidTr="00C72380">
        <w:tc>
          <w:tcPr>
            <w:tcW w:w="2936" w:type="dxa"/>
            <w:hideMark/>
          </w:tcPr>
          <w:p w14:paraId="205F899D" w14:textId="29A7501F" w:rsidR="00C72380" w:rsidRPr="0064331C" w:rsidRDefault="00C72380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Оценка Комитета:</w:t>
            </w:r>
          </w:p>
        </w:tc>
        <w:tc>
          <w:tcPr>
            <w:tcW w:w="3874" w:type="dxa"/>
          </w:tcPr>
          <w:p w14:paraId="0C2F0283" w14:textId="2A082309" w:rsidR="00C72380" w:rsidRPr="0064331C" w:rsidRDefault="00C72380">
            <w:pPr>
              <w:spacing w:after="120"/>
            </w:pPr>
            <w:r>
              <w:t>требуется дополнительная информация по пунктам 13</w:t>
            </w:r>
            <w:r w:rsidR="008E0D16">
              <w:t xml:space="preserve"> </w:t>
            </w:r>
            <w:r>
              <w:t>[</w:t>
            </w:r>
            <w:r w:rsidRPr="007757D2">
              <w:rPr>
                <w:b/>
                <w:bCs/>
              </w:rPr>
              <w:t>В</w:t>
            </w:r>
            <w:r>
              <w:t>], 25</w:t>
            </w:r>
            <w:r w:rsidR="008E0D16">
              <w:t xml:space="preserve"> </w:t>
            </w:r>
            <w:r>
              <w:t>[</w:t>
            </w:r>
            <w:r w:rsidRPr="007757D2">
              <w:rPr>
                <w:b/>
                <w:bCs/>
              </w:rPr>
              <w:t>В</w:t>
            </w:r>
            <w:r>
              <w:t>]</w:t>
            </w:r>
            <w:r w:rsidR="008E0D16">
              <w:t xml:space="preserve"> </w:t>
            </w:r>
            <w:r>
              <w:t>[</w:t>
            </w:r>
            <w:r w:rsidRPr="007757D2">
              <w:rPr>
                <w:b/>
                <w:bCs/>
              </w:rPr>
              <w:t>С</w:t>
            </w:r>
            <w:r>
              <w:t>] и 33 [</w:t>
            </w:r>
            <w:r w:rsidRPr="007757D2">
              <w:rPr>
                <w:b/>
                <w:bCs/>
              </w:rPr>
              <w:t>C</w:t>
            </w:r>
            <w:r>
              <w:t>] [</w:t>
            </w:r>
            <w:r w:rsidRPr="007757D2">
              <w:rPr>
                <w:b/>
                <w:bCs/>
              </w:rPr>
              <w:t>B</w:t>
            </w:r>
            <w:r>
              <w:t>] [</w:t>
            </w:r>
            <w:r w:rsidRPr="007757D2">
              <w:rPr>
                <w:b/>
                <w:bCs/>
              </w:rPr>
              <w:t>C</w:t>
            </w:r>
            <w:r>
              <w:t>]</w:t>
            </w:r>
          </w:p>
        </w:tc>
      </w:tr>
    </w:tbl>
    <w:p w14:paraId="13C3FFD4" w14:textId="77777777" w:rsidR="00C72380" w:rsidRPr="00A708A0" w:rsidRDefault="00C72380" w:rsidP="00C72380">
      <w:pPr>
        <w:pStyle w:val="H23G"/>
      </w:pPr>
      <w:r>
        <w:tab/>
      </w:r>
      <w:r>
        <w:tab/>
      </w:r>
      <w:r>
        <w:tab/>
      </w:r>
      <w:r>
        <w:rPr>
          <w:bCs/>
        </w:rPr>
        <w:t>Пункт 13: Преступления на почве ненависти, язык вражды и растущая радикализация в политическом дискурсе и СМИ</w:t>
      </w:r>
    </w:p>
    <w:p w14:paraId="613A2F93" w14:textId="0454729F" w:rsidR="00C72380" w:rsidRPr="00531467" w:rsidRDefault="00C72380" w:rsidP="00531467">
      <w:pPr>
        <w:pStyle w:val="SingleTxtG"/>
        <w:rPr>
          <w:b/>
          <w:bCs/>
        </w:rPr>
      </w:pPr>
      <w:r>
        <w:tab/>
      </w:r>
      <w:r w:rsidRPr="00531467">
        <w:rPr>
          <w:b/>
          <w:bCs/>
        </w:rPr>
        <w:t>Государству-участнику следует: а) принять меры по поощрению терпимости и созданию обстановки, учитывающей интересы лиц, принадлежащих к этническим, национальным, расовым, религиозным и другим меньшинствам; b) использовать законодательные, политические и образовательные меры, включая повышение осведомленности и информированности, для противодействия стигматизации рома, мусульман и других меньшинств; с)</w:t>
      </w:r>
      <w:r w:rsidR="00531467">
        <w:rPr>
          <w:b/>
          <w:bCs/>
        </w:rPr>
        <w:t xml:space="preserve"> </w:t>
      </w:r>
      <w:r w:rsidRPr="00531467">
        <w:rPr>
          <w:b/>
          <w:bCs/>
        </w:rPr>
        <w:t>принять более эффективные меры по предупреждению нападений на расовой почве и обеспечить тщательное расследование таких деяний и судебного преследования подозреваемых и, в случае установления их вины, назначения им надлежащего наказания, а также предоставления надлежащей компенсации жертвам</w:t>
      </w:r>
      <w:r w:rsidR="00531467">
        <w:rPr>
          <w:b/>
          <w:bCs/>
        </w:rPr>
        <w:t>;</w:t>
      </w:r>
      <w:r w:rsidRPr="00531467">
        <w:rPr>
          <w:b/>
          <w:bCs/>
        </w:rPr>
        <w:t xml:space="preserve"> и d) запретить любую пропаганду национальной, расовой или религиозной ненависти, которая представляет собой подстрекательство к дискриминации, вражде или насилию</w:t>
      </w:r>
      <w:r w:rsidR="00531467">
        <w:rPr>
          <w:b/>
          <w:bCs/>
        </w:rPr>
        <w:t>.</w:t>
      </w:r>
    </w:p>
    <w:p w14:paraId="103FF6CB" w14:textId="77777777" w:rsidR="00C72380" w:rsidRPr="00A708A0" w:rsidRDefault="00C72380" w:rsidP="00C72380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</w:p>
    <w:p w14:paraId="00EB7BCD" w14:textId="6FA2EEE6" w:rsidR="00C72380" w:rsidRPr="00A708A0" w:rsidRDefault="00B74B3A" w:rsidP="00C72380">
      <w:pPr>
        <w:pStyle w:val="SingleTxtG"/>
      </w:pPr>
      <w:r>
        <w:tab/>
      </w:r>
      <w:r w:rsidR="00C72380">
        <w:t>a)</w:t>
      </w:r>
      <w:r w:rsidR="00C72380">
        <w:tab/>
        <w:t xml:space="preserve">Министерство внутренних дел координирует работу Комитета по предупреждению и искоренению расизма, ксенофобии, антисемитизма и других форм </w:t>
      </w:r>
      <w:r w:rsidR="00C72380">
        <w:lastRenderedPageBreak/>
        <w:t>нетерпимости. Этот комитет проводит учебные мероприятия и участвует в работе законодательной целевой группы, созданной для пересмотра Уголовного кодекса;</w:t>
      </w:r>
    </w:p>
    <w:p w14:paraId="64F927D6" w14:textId="1B3C86D0" w:rsidR="00C72380" w:rsidRPr="00A708A0" w:rsidRDefault="008E0D16" w:rsidP="00C72380">
      <w:pPr>
        <w:pStyle w:val="SingleTxtG"/>
      </w:pPr>
      <w:r>
        <w:tab/>
      </w:r>
      <w:r w:rsidR="00C72380">
        <w:t>b)</w:t>
      </w:r>
      <w:r w:rsidR="00C72380">
        <w:tab/>
        <w:t xml:space="preserve">Министерство внутренних дел организовало концерты </w:t>
      </w:r>
      <w:r w:rsidR="00531467">
        <w:t>«</w:t>
      </w:r>
      <w:r w:rsidR="00C72380">
        <w:t>Поколение XYZ</w:t>
      </w:r>
      <w:r w:rsidR="00531467">
        <w:t>»</w:t>
      </w:r>
      <w:r w:rsidR="00C72380">
        <w:t>, чтобы повысить осведомленность старшеклассников об историческом контексте нетерпимости к группам меньшинств. Министерство также создало посвященный Холокосту образовательный ресурс, который дополняет музей Холокоста в Середе. Министерство образования, науки, исследований и спорта выделяет средства на реализацию проектов по обеспечению инклюзии в школах;</w:t>
      </w:r>
    </w:p>
    <w:p w14:paraId="457A17B5" w14:textId="0E033028" w:rsidR="00C72380" w:rsidRPr="00A708A0" w:rsidRDefault="008E0D16" w:rsidP="00C72380">
      <w:pPr>
        <w:pStyle w:val="SingleTxtG"/>
      </w:pPr>
      <w:r>
        <w:tab/>
      </w:r>
      <w:r w:rsidR="00C72380">
        <w:t>c)</w:t>
      </w:r>
      <w:r w:rsidR="00C72380">
        <w:tab/>
        <w:t>Закон № 316/2016 Coll. о внесении поправок в Уголовный кодекс. Уголовный кодекс с внесенными изменениями был введен в действие 1 января 2017</w:t>
      </w:r>
      <w:r w:rsidR="00531467">
        <w:t> </w:t>
      </w:r>
      <w:r w:rsidR="00C72380">
        <w:t>года; в статье 140 он содержит положения, призванные содействовать преследованию за преступления на почве расовой ненависти. Комитет по предупреждению и искоренению расизма, ксенофобии, антисемитизма и других форм нетерпимости осуществляет образовательную программу, направленную на повышение способности сотрудников правоохранительных органов выявлять и расследовать преступления на расовой почве. В 2017 и 2018 годах были запланированы учебные семинары для судей и прокуроров;</w:t>
      </w:r>
    </w:p>
    <w:p w14:paraId="77EC4D52" w14:textId="10FF7FA4" w:rsidR="00C72380" w:rsidRPr="00A708A0" w:rsidRDefault="008E0D16" w:rsidP="00C72380">
      <w:pPr>
        <w:pStyle w:val="SingleTxtG"/>
      </w:pPr>
      <w:r>
        <w:tab/>
      </w:r>
      <w:r w:rsidR="00C72380">
        <w:t>d)</w:t>
      </w:r>
      <w:r w:rsidR="00C72380">
        <w:tab/>
        <w:t>Уголовный кодекс с внесенными изменениями содержит положения, предусматривающие уголовную ответственность за разжигание национальной, расовой и этнической ненависти.</w:t>
      </w:r>
    </w:p>
    <w:p w14:paraId="3F5F4970" w14:textId="77777777" w:rsidR="00C72380" w:rsidRPr="00A708A0" w:rsidRDefault="00C72380" w:rsidP="00C72380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459110E6" w14:textId="77777777" w:rsidR="00C72380" w:rsidRPr="00A708A0" w:rsidRDefault="00C72380" w:rsidP="00C72380">
      <w:pPr>
        <w:pStyle w:val="SingleTxtG"/>
      </w:pPr>
      <w:r>
        <w:t>[</w:t>
      </w:r>
      <w:r w:rsidRPr="007757D2">
        <w:rPr>
          <w:b/>
          <w:bCs/>
        </w:rPr>
        <w:t>B</w:t>
      </w:r>
      <w:r>
        <w:t>]: a), b), c) и d)</w:t>
      </w:r>
    </w:p>
    <w:p w14:paraId="69421EC5" w14:textId="4C3E3405" w:rsidR="00C72380" w:rsidRPr="00A708A0" w:rsidRDefault="00C72380" w:rsidP="00C72380">
      <w:pPr>
        <w:pStyle w:val="SingleTxtG"/>
      </w:pPr>
      <w:r>
        <w:tab/>
        <w:t xml:space="preserve">Комитет приветствует представленную информацию о мероприятиях по повышению осведомленности и информированности, включая концерты </w:t>
      </w:r>
      <w:r w:rsidR="00531467">
        <w:t>«</w:t>
      </w:r>
      <w:r>
        <w:t>Поколение XYZ</w:t>
      </w:r>
      <w:r w:rsidR="00531467">
        <w:t>»</w:t>
      </w:r>
      <w:r>
        <w:t xml:space="preserve"> и проекты, направленные на вовлечение меньшинств, которые осуществляются Министерством образования, науки, исследований и спорта. Он просит представить более подробную информацию об этих мероприятиях, включая время их проведения, количество лиц, принявших в них участие в течение отчетного периода, и любые имеющиеся данные об их реальном воздействии. Комитет также просит представить информацию о том, планируется ли в будущем проведение дальнейших мероприятий по повышению осведомленности, а также о любых более широких мерах, принятых в течение отчетного периода для поощрения терпимости и создания благоприятной среды для лиц, принадлежащих к этническим, национальным, расовым, религиозным и иным меньшинствам.</w:t>
      </w:r>
    </w:p>
    <w:p w14:paraId="28A355E4" w14:textId="2B5B3770" w:rsidR="00C72380" w:rsidRPr="00A708A0" w:rsidRDefault="00C72380" w:rsidP="00C72380">
      <w:pPr>
        <w:pStyle w:val="SingleTxtG"/>
      </w:pPr>
      <w:r>
        <w:tab/>
        <w:t>Комитет приветствует информацию о внесении изменений в Уголовный кодекс и учебных мероприятиях, направленных на повышение эффективности судебного преследования преступлений на расовой почве. В то же время он просит представить дополнительную информацию о сроках проведения этих учебных мероприятий, количестве слушателей и результатах обучения. Он также просит представить данные о количестве расследований и судебных дел, возбужденных в связи с совершенными в течение отчетного периода расистскими нападениями, а также подробную информацию о наказании виновных и возмещении ущерба потерпевшим по делам, связанным с нападениями на расовой почве.</w:t>
      </w:r>
    </w:p>
    <w:p w14:paraId="1D22DC01" w14:textId="77777777" w:rsidR="00C72380" w:rsidRPr="00A708A0" w:rsidRDefault="00C72380" w:rsidP="00C72380">
      <w:pPr>
        <w:pStyle w:val="SingleTxtG"/>
      </w:pPr>
      <w:r>
        <w:tab/>
        <w:t>Комитет приветствует внесение изменений в статью 424 Уголовного кодекса, предусматривающих уголовную ответственность за разжигание ненависти по различным признакам. Он просит представить информацию о мерах, которые были приняты после внесения изменений для обеспечения эффективного применения пересмотренных правовых норм.</w:t>
      </w:r>
    </w:p>
    <w:p w14:paraId="5D5ED379" w14:textId="77777777" w:rsidR="00C72380" w:rsidRPr="00A708A0" w:rsidRDefault="00C72380" w:rsidP="00C72380">
      <w:pPr>
        <w:pStyle w:val="H23G"/>
      </w:pPr>
      <w:r>
        <w:tab/>
      </w:r>
      <w:r>
        <w:tab/>
      </w:r>
      <w:r>
        <w:rPr>
          <w:bCs/>
        </w:rPr>
        <w:t>Пункт 25: Насилие в отношении женщин, включая бытовое насилие</w:t>
      </w:r>
    </w:p>
    <w:p w14:paraId="19E3C33E" w14:textId="0D9E6D95" w:rsidR="00C72380" w:rsidRPr="00531467" w:rsidRDefault="00C72380" w:rsidP="00531467">
      <w:pPr>
        <w:pStyle w:val="SingleTxtG"/>
        <w:rPr>
          <w:rFonts w:eastAsia="SimSun"/>
          <w:b/>
          <w:bCs/>
        </w:rPr>
      </w:pPr>
      <w:r>
        <w:tab/>
      </w:r>
      <w:r w:rsidRPr="00531467">
        <w:rPr>
          <w:b/>
          <w:bCs/>
        </w:rPr>
        <w:t xml:space="preserve">Государству-участнику следует: a) обеспечить, чтобы ставшие жертвами насилия женщины имели адекватный доступ к защите и помощи; b) обеспечить, чтобы лица, виновные в применении насилия в отношении женщин, привлекались к ответственности и в случае осуждения им назначалось </w:t>
      </w:r>
      <w:r w:rsidRPr="00531467">
        <w:rPr>
          <w:b/>
          <w:bCs/>
        </w:rPr>
        <w:lastRenderedPageBreak/>
        <w:t>надлежащее наказание; c) ускорить принятие закона о предупреждении и ликвидации насилия в отношении женщин и насилия в семье; d) обеспечить всем женщинам недискриминационный доступ к медицинскому обслуживанию, включая охрану репродуктивного здоровья; и e) рассмотреть вопрос о ратификации Конвенции Совета Европы о предотвращении и борьбе с насилием в отношении женщин и бытовым насилием (Стамбульская конвенция).</w:t>
      </w:r>
    </w:p>
    <w:p w14:paraId="51C5E5C8" w14:textId="77777777" w:rsidR="00C72380" w:rsidRPr="00A708A0" w:rsidRDefault="00C72380" w:rsidP="00C72380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  <w:bookmarkStart w:id="1" w:name="_Hlk62813093"/>
      <w:bookmarkEnd w:id="1"/>
    </w:p>
    <w:p w14:paraId="300D15B4" w14:textId="34D06EED" w:rsidR="00C72380" w:rsidRPr="00A708A0" w:rsidRDefault="008E0D16" w:rsidP="00C72380">
      <w:pPr>
        <w:pStyle w:val="SingleTxtG"/>
      </w:pPr>
      <w:r>
        <w:tab/>
      </w:r>
      <w:r w:rsidR="00C72380">
        <w:t>a)</w:t>
      </w:r>
      <w:r w:rsidR="00C72380">
        <w:tab/>
        <w:t>В 2015 году Генеральная прокуратура открыла бесплатную линию для жертв жестокого обращения, в том числе домашнего насилия. Закон о жертвах преступлений, который вступил в силу 1 января 2018 года, наделяет Министерство труда, социальных дел и семьи полномочиями по координации системы профилактики семейно-бытового насилия;</w:t>
      </w:r>
    </w:p>
    <w:p w14:paraId="01067163" w14:textId="2AF0C957" w:rsidR="00C72380" w:rsidRPr="00A708A0" w:rsidRDefault="008E0D16" w:rsidP="00C72380">
      <w:pPr>
        <w:pStyle w:val="SingleTxtG"/>
      </w:pPr>
      <w:r>
        <w:tab/>
      </w:r>
      <w:r w:rsidR="00C72380">
        <w:t>b)</w:t>
      </w:r>
      <w:r w:rsidR="00C72380">
        <w:tab/>
        <w:t>Закон о жертвах преступлений внес изменения в Уголовный кодекс, предусматривающие ужесточения наказания за преступления с отягчающими обстоятельствами, включая сексуальное насилие. Генеральная прокуратура приняла ряд мер для обеспечения преследования за акты насили</w:t>
      </w:r>
      <w:r w:rsidR="00531467">
        <w:t>я</w:t>
      </w:r>
      <w:r w:rsidR="00C72380">
        <w:t xml:space="preserve"> в отношении женщин, включая участие в оценке соответствующих правовых положений, разработку и реализацию национальных планов действий и участие в подготовке закона о жертвах преступлений;</w:t>
      </w:r>
    </w:p>
    <w:p w14:paraId="6F389204" w14:textId="1F1F8AB3" w:rsidR="00C72380" w:rsidRPr="00A708A0" w:rsidRDefault="008E0D16" w:rsidP="00C72380">
      <w:pPr>
        <w:pStyle w:val="SingleTxtG"/>
      </w:pPr>
      <w:r>
        <w:tab/>
      </w:r>
      <w:r w:rsidR="00C72380">
        <w:t>c)</w:t>
      </w:r>
      <w:r w:rsidR="00C72380">
        <w:tab/>
      </w:r>
      <w:r w:rsidR="009D4BFF">
        <w:t>в</w:t>
      </w:r>
      <w:r w:rsidR="00C72380">
        <w:t xml:space="preserve"> Законе о жертвах преступлений дается определение жертв преступлений, и в него включены преступления, связанные с семейно-бытовым насилием. В этом законе также изменен срок давности по таким преступлениям, как торговля людьми, сексуальное насилие, детская порнография и изнасилование, и</w:t>
      </w:r>
      <w:r w:rsidR="00531467">
        <w:t> </w:t>
      </w:r>
      <w:r w:rsidR="00C72380">
        <w:t>предусматривается его продление с 3 лет после достижения жертвой 18-летнего возраста до 15 лет после этой даты, а также дает право жертвам преступлений на получение юридической помощи;</w:t>
      </w:r>
      <w:bookmarkStart w:id="2" w:name="_Hlk62812883"/>
    </w:p>
    <w:bookmarkEnd w:id="2"/>
    <w:p w14:paraId="6846A65A" w14:textId="6280CA4D" w:rsidR="00C72380" w:rsidRPr="00A708A0" w:rsidRDefault="008E0D16" w:rsidP="00C72380">
      <w:pPr>
        <w:pStyle w:val="SingleTxtG"/>
      </w:pPr>
      <w:r>
        <w:tab/>
      </w:r>
      <w:r w:rsidR="00C72380">
        <w:t>d)</w:t>
      </w:r>
      <w:r w:rsidR="00C72380">
        <w:tab/>
        <w:t>Закон № 567/2004 Coll. об охране здоровья предусматривает, что каждый человек имеет право на медицинское обслуживание без дискриминации;</w:t>
      </w:r>
    </w:p>
    <w:p w14:paraId="7968BCA8" w14:textId="59F68A2D" w:rsidR="00C72380" w:rsidRPr="00A708A0" w:rsidRDefault="00D23EB8" w:rsidP="00C72380">
      <w:pPr>
        <w:pStyle w:val="SingleTxtG"/>
      </w:pPr>
      <w:r>
        <w:tab/>
      </w:r>
      <w:r w:rsidR="00C72380">
        <w:t>e)</w:t>
      </w:r>
      <w:r w:rsidR="00C72380">
        <w:tab/>
      </w:r>
      <w:r w:rsidR="009D4BFF">
        <w:t>х</w:t>
      </w:r>
      <w:r w:rsidR="00C72380">
        <w:t>отя особых препятствий на пути ратификации Конвенции Совета Европы о предотвращении и борьбе с насилием в отношении женщин и домашним насилием (Стамбульская конвенция) не предвидится, необходимы дополнительные консультации с гражданским обществом и Национальным советом.</w:t>
      </w:r>
    </w:p>
    <w:p w14:paraId="421A83CC" w14:textId="77777777" w:rsidR="00C72380" w:rsidRPr="00A708A0" w:rsidRDefault="00C72380" w:rsidP="00C72380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0E3F123D" w14:textId="2DC5197A" w:rsidR="00C72380" w:rsidRPr="00A708A0" w:rsidRDefault="00C72380" w:rsidP="00C72380">
      <w:pPr>
        <w:pStyle w:val="SingleTxtG"/>
      </w:pPr>
      <w:r>
        <w:t>[</w:t>
      </w:r>
      <w:r w:rsidRPr="00931A6B">
        <w:rPr>
          <w:b/>
          <w:bCs/>
        </w:rPr>
        <w:t>B</w:t>
      </w:r>
      <w:r>
        <w:t xml:space="preserve">]: a), b) </w:t>
      </w:r>
      <w:r w:rsidR="00D23EB8">
        <w:t xml:space="preserve">и </w:t>
      </w:r>
      <w:r>
        <w:t>c)</w:t>
      </w:r>
    </w:p>
    <w:p w14:paraId="24AB5B92" w14:textId="77777777" w:rsidR="00C72380" w:rsidRPr="00A708A0" w:rsidRDefault="00C72380" w:rsidP="00C72380">
      <w:pPr>
        <w:pStyle w:val="SingleTxtG"/>
      </w:pPr>
      <w:r>
        <w:tab/>
        <w:t>Комитет отмечает, что Закон о жертвах преступлений наделяет Министерство труда, социальных дел и семьи полномочиями по координации системы профилактики семейно-бытового насилия. Вместе с тем он просит представить дополнительную информацию о конкретных мерах, принятых Министерством для обеспечения этой системы координации. Комитет также принимает к сведению представленную информацию о наличии горячей линии для жертв жестокого обращения и просит представить данные об использовании этой услуги жертвами всех видов насилия в отношении женщин за отчетный период. Комитет также просит представить информацию о воздействии всех описанных мер защиты и о любых более широких усилиях по предоставлению комплексной защиты и помощи жертвам всех форм насилия в отношении женщин.</w:t>
      </w:r>
    </w:p>
    <w:p w14:paraId="5CE4A65C" w14:textId="77777777" w:rsidR="00C72380" w:rsidRPr="00A708A0" w:rsidRDefault="00C72380" w:rsidP="00C72380">
      <w:pPr>
        <w:pStyle w:val="SingleTxtG"/>
      </w:pPr>
      <w:r>
        <w:tab/>
        <w:t xml:space="preserve">Комитет приветствует меры, принятые для обеспечения судебного преследования лиц, совершивших акты насилия в отношении женщин, включая законодательные изменения, позволяющие применять более строгие меры наказания за различные формы насилия в отношении женщин, и увеличение срока давности по многим формам насилия в отношении женщин и девочек. В нем отмечается право жертв преступлений, в том числе связанных с насилием в отношении женщин, на получение юридической помощи в соответствии с Законом о жертвах преступлений. Он просит представить информацию о текущем правовом статусе этого закона и </w:t>
      </w:r>
      <w:r>
        <w:lastRenderedPageBreak/>
        <w:t>воздействии реформ, включая статистическую информацию о количестве расследований, судебных дел и приговоров по делам, связанным с сексуальным и гендерным насилием, а также о назначенных наказаниях.</w:t>
      </w:r>
    </w:p>
    <w:p w14:paraId="4ACF0BB6" w14:textId="77777777" w:rsidR="00C72380" w:rsidRPr="00A708A0" w:rsidRDefault="00C72380" w:rsidP="00C72380">
      <w:pPr>
        <w:pStyle w:val="SingleTxtG"/>
      </w:pPr>
      <w:r>
        <w:t>[</w:t>
      </w:r>
      <w:r w:rsidRPr="00B80911">
        <w:rPr>
          <w:b/>
          <w:bCs/>
        </w:rPr>
        <w:t>C</w:t>
      </w:r>
      <w:r>
        <w:t>]: d) и e)</w:t>
      </w:r>
    </w:p>
    <w:p w14:paraId="04011B5D" w14:textId="705BF2ED" w:rsidR="00C72380" w:rsidRPr="00A708A0" w:rsidRDefault="00C72380" w:rsidP="00C72380">
      <w:pPr>
        <w:pStyle w:val="SingleTxtG"/>
      </w:pPr>
      <w:r>
        <w:tab/>
        <w:t>Комитет выражает сожаление по поводу отсутствия конкретной информации о принятых в течение отчетного периода мерах для обеспечения предоставления медицинских услуг, включая услуги по охране репродуктивного здоровья, всем женщинам и повторяет свою рекомендацию в этом отношении.</w:t>
      </w:r>
    </w:p>
    <w:p w14:paraId="398374E2" w14:textId="0253A7C5" w:rsidR="00C72380" w:rsidRPr="00A708A0" w:rsidRDefault="00C72380" w:rsidP="00C72380">
      <w:pPr>
        <w:pStyle w:val="SingleTxtG"/>
      </w:pPr>
      <w:r>
        <w:tab/>
        <w:t xml:space="preserve">Комитет отмечает представленную информацию об отсутствии юридических препятствий ратификации Конвенции Совета Европы о предотвращении и борьбе с насилием в отношении женщин и домашним насилием (Стамбульская конвенция) </w:t>
      </w:r>
      <w:r w:rsidR="00104104">
        <w:br/>
      </w:r>
      <w:r>
        <w:t>и о необходимости проведения консультаций с различными заинтересованными сторонами. Вместе с тем Комитет выражает сожаление по поводу отсутствия информации о шагах, предпринятых для начала такой консультативной деятельности, и повторяет свою рекомендацию.</w:t>
      </w:r>
    </w:p>
    <w:p w14:paraId="0327E17D" w14:textId="77777777" w:rsidR="00C72380" w:rsidRPr="00A708A0" w:rsidRDefault="00C72380" w:rsidP="00C72380">
      <w:pPr>
        <w:pStyle w:val="H23G"/>
      </w:pPr>
      <w:r>
        <w:tab/>
      </w:r>
      <w:r>
        <w:tab/>
      </w:r>
      <w:r>
        <w:rPr>
          <w:bCs/>
        </w:rPr>
        <w:t>Пункт 33: Несопровождаемые несовершеннолетние</w:t>
      </w:r>
    </w:p>
    <w:p w14:paraId="2C0234A7" w14:textId="4D49CD85" w:rsidR="00C72380" w:rsidRPr="00104104" w:rsidRDefault="00C72380" w:rsidP="00104104">
      <w:pPr>
        <w:pStyle w:val="SingleTxtG"/>
        <w:rPr>
          <w:rFonts w:eastAsia="SimSun"/>
          <w:b/>
          <w:bCs/>
        </w:rPr>
      </w:pPr>
      <w:r>
        <w:tab/>
      </w:r>
      <w:r w:rsidRPr="00104104">
        <w:rPr>
          <w:b/>
          <w:bCs/>
        </w:rPr>
        <w:t>Государству-участнику следует: a) обеспечить, чтобы несопровождаемые несовершеннолетние пользовались надлежащей защитой, и в срочном порядке создать реестр исчезнувших несопровождаемых детей и при необходимости предпринимать действия по поиску этих детей в сотрудничестве с другими государствами; b) исключить презумпцию совершеннолетия из Закона о пребывании иностранцев (№ 404/2011 Coll.) и обеспечить, чтобы процедуры оценки возраста проводились только экспертами в этой области и только в случае наличия обоснованных сомнений относительно возраста соответствующего лица, с учетом наилучших интересов ребенка; и с) обеспечить, чтобы просители убежища, в частности несопровождаемые дети, имели доступ к услугам в области образования, социально-психологическим услугам и юридической помощи и чтобы им незамедлительно был предоставлен законный представитель и/или опекун.</w:t>
      </w:r>
    </w:p>
    <w:p w14:paraId="6BAAC601" w14:textId="77777777" w:rsidR="00C72380" w:rsidRPr="00A708A0" w:rsidRDefault="00C72380" w:rsidP="00C72380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</w:p>
    <w:p w14:paraId="117B1551" w14:textId="4D08B30C" w:rsidR="00C72380" w:rsidRPr="00A708A0" w:rsidRDefault="008E0D16" w:rsidP="00C72380">
      <w:pPr>
        <w:pStyle w:val="SingleTxtG"/>
      </w:pPr>
      <w:r>
        <w:tab/>
      </w:r>
      <w:r w:rsidR="00C72380">
        <w:t>a)</w:t>
      </w:r>
      <w:r w:rsidR="00C72380">
        <w:tab/>
        <w:t>В соответствии с Законом № 171/1993 судьбой пропавших без вести лиц занимается полиция. Персональные данные о пропавших детях вносятся в информационную систему PATROS, которая используется совместно странами, входящими в Шенгенскую зону, и поэтому в реестре исчезнувших несопровождаемых детей нет необходимости;</w:t>
      </w:r>
    </w:p>
    <w:p w14:paraId="39ED8F21" w14:textId="4C54FDA3" w:rsidR="00C72380" w:rsidRPr="00A708A0" w:rsidRDefault="008E0D16" w:rsidP="00C72380">
      <w:pPr>
        <w:pStyle w:val="SingleTxtG"/>
      </w:pPr>
      <w:r>
        <w:tab/>
      </w:r>
      <w:r w:rsidR="00C72380">
        <w:t>b)</w:t>
      </w:r>
      <w:r w:rsidR="00C72380">
        <w:tab/>
        <w:t>1 мая 2017 года Законом № 82/2017 были внесены изменения в Закон</w:t>
      </w:r>
      <w:r w:rsidR="009D4BFF">
        <w:t> </w:t>
      </w:r>
      <w:r w:rsidR="00C72380">
        <w:t>№</w:t>
      </w:r>
      <w:r w:rsidR="009D4BFF">
        <w:t> </w:t>
      </w:r>
      <w:r w:rsidR="00C72380">
        <w:t>404/2011 о пребывании иностранцев. Статья 111 обновленного закона предусматривает, что несопровождаемые несовершеннолетние из третьих стран должны проходить процедуру проверки возраста только при</w:t>
      </w:r>
      <w:r w:rsidR="00104104">
        <w:t xml:space="preserve"> </w:t>
      </w:r>
      <w:r w:rsidR="00C72380">
        <w:t xml:space="preserve">наличии подозрения на то, что они уже достигли совершеннолетия. </w:t>
      </w:r>
      <w:r w:rsidR="00104104">
        <w:t>П</w:t>
      </w:r>
      <w:r w:rsidR="00C72380">
        <w:t>роцедуру проверки возраста проводит врач;</w:t>
      </w:r>
    </w:p>
    <w:p w14:paraId="6998C27F" w14:textId="025EFB17" w:rsidR="00C72380" w:rsidRPr="00A708A0" w:rsidRDefault="008E0D16" w:rsidP="00C72380">
      <w:pPr>
        <w:pStyle w:val="SingleTxtG"/>
      </w:pPr>
      <w:r>
        <w:tab/>
      </w:r>
      <w:r w:rsidR="00C72380">
        <w:t>c)</w:t>
      </w:r>
      <w:r w:rsidR="00C72380">
        <w:tab/>
      </w:r>
      <w:r w:rsidR="009D4BFF">
        <w:t>н</w:t>
      </w:r>
      <w:r w:rsidR="00C72380">
        <w:t>есопровождаемые дети защищены Законом о пребывании иностранцев, который запрещает арест и высылку ребенка. Поправка к Закону о социальной защите детей и социальной опеке вводит обязательство обеспечить доступ к юридической консультации и помощи для несопровождаемых несовершеннолетних. Закон</w:t>
      </w:r>
      <w:r w:rsidR="009D4BFF">
        <w:t> </w:t>
      </w:r>
      <w:r w:rsidR="00C72380">
        <w:t>№</w:t>
      </w:r>
      <w:r w:rsidR="009D4BFF">
        <w:t> </w:t>
      </w:r>
      <w:r w:rsidR="00C72380">
        <w:t>327/2005 предусматривает бесплатную юридическую помощь для просителей убежища. В соответствии с национальной правовой базой, включая Закон</w:t>
      </w:r>
      <w:r w:rsidR="009D4BFF">
        <w:t> </w:t>
      </w:r>
      <w:r w:rsidR="00C72380">
        <w:t>№ 245/2008</w:t>
      </w:r>
      <w:r w:rsidR="00104104">
        <w:t> </w:t>
      </w:r>
      <w:r w:rsidR="00C72380">
        <w:t xml:space="preserve">Coll. об образовании и учебной подготовке и Закон № 596/2003 Coll. по вопросам государственного управления в школьной системе и школьного саморегулирования, дети </w:t>
      </w:r>
      <w:r w:rsidR="00104104">
        <w:t>—</w:t>
      </w:r>
      <w:r w:rsidR="00C72380">
        <w:t xml:space="preserve"> просители убежища получают образование и обучаются на тех же условиях, что и словацкие граждане. Детские психологи и </w:t>
      </w:r>
      <w:r w:rsidR="00C72380" w:rsidRPr="00A708A0">
        <w:t xml:space="preserve">специалисты по межкультурной коммуникации </w:t>
      </w:r>
      <w:r w:rsidR="00C72380">
        <w:t>все чаще оказывают поддержку несопровождаемым детям</w:t>
      </w:r>
      <w:r w:rsidR="00104104">
        <w:t> —</w:t>
      </w:r>
      <w:r w:rsidR="00C72380">
        <w:t xml:space="preserve"> просителям убежища. Закон </w:t>
      </w:r>
      <w:r w:rsidR="00531467">
        <w:t>«</w:t>
      </w:r>
      <w:r w:rsidR="00C72380">
        <w:t xml:space="preserve">О социальной защите детей и социальной </w:t>
      </w:r>
      <w:r w:rsidR="00C72380">
        <w:lastRenderedPageBreak/>
        <w:t>опеке</w:t>
      </w:r>
      <w:r w:rsidR="00531467">
        <w:t>»</w:t>
      </w:r>
      <w:r w:rsidR="00C72380">
        <w:t xml:space="preserve"> определяет юридические процедуры для срочного назначения опекуна для несопровождаемых несовершеннолетних.</w:t>
      </w:r>
    </w:p>
    <w:p w14:paraId="246A765A" w14:textId="77777777" w:rsidR="00C72380" w:rsidRPr="00A708A0" w:rsidRDefault="00C72380" w:rsidP="00C72380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234B29F9" w14:textId="78A21FEA" w:rsidR="00C72380" w:rsidRPr="00A708A0" w:rsidRDefault="00C72380" w:rsidP="00C72380">
      <w:pPr>
        <w:pStyle w:val="SingleTxtG"/>
      </w:pPr>
      <w:r>
        <w:t>[</w:t>
      </w:r>
      <w:r>
        <w:rPr>
          <w:b/>
          <w:bCs/>
        </w:rPr>
        <w:t>C</w:t>
      </w:r>
      <w:r>
        <w:t>] a): Комитет принимает к сведению информацию о компетенции полиции в вопросах поиска пропавших без вести лиц, но выражает сожаление по поводу отсутствия конкретной информации о принятых в течение отчетного периода мерах для рассмотрения случаев исчезновения несопровождаемых детей-мигрантов из приемных семей в Словакии и повторяет свою рекомендацию. Он просит представить информацию о мерах по поиску пропавших детей, в том числе о количестве детей, местонахождение которых было установлено за отчетный период, и о принятых мерах по защите для предотвращения новых случаев в будущем. Комитет сожалеет об отсутствии информации о срочном создании специального реестра исчезнувших несопровождаемых детей и повторяет свою рекомендацию на этот счет.</w:t>
      </w:r>
    </w:p>
    <w:p w14:paraId="1595EFAE" w14:textId="77777777" w:rsidR="00C72380" w:rsidRPr="00A708A0" w:rsidRDefault="00C72380" w:rsidP="00C72380">
      <w:pPr>
        <w:pStyle w:val="SingleTxtG"/>
      </w:pPr>
      <w:r>
        <w:t>[</w:t>
      </w:r>
      <w:r>
        <w:rPr>
          <w:b/>
          <w:bCs/>
        </w:rPr>
        <w:t>B</w:t>
      </w:r>
      <w:r>
        <w:t>] b): Комитет приветствует поправки к Закону о пребывании иностранцев, которые позволяют проводить процедуру проверки возраста только в случае наличия обоснованных сомнений в возрасте соответствующего лица. Комитет просит представить информацию о принятых мерах для обеспечения эффективной реализации этих законодательных изменений и их практическом эффекте. Комитет также просит представить информацию о принимаемых мерах для обеспечения надлежащей подготовки врачей, проводящих такие проверки, и о том, каким образом в процессе общей разработки процедур проверки возраста учитывается принцип наилучшего обеспечения интересов ребенка.</w:t>
      </w:r>
    </w:p>
    <w:p w14:paraId="34189EDC" w14:textId="778463C1" w:rsidR="00C72380" w:rsidRPr="00A708A0" w:rsidRDefault="00C72380" w:rsidP="00C72380">
      <w:pPr>
        <w:pStyle w:val="SingleTxtG"/>
      </w:pPr>
      <w:r>
        <w:t>[</w:t>
      </w:r>
      <w:r>
        <w:rPr>
          <w:b/>
          <w:bCs/>
        </w:rPr>
        <w:t>C</w:t>
      </w:r>
      <w:r>
        <w:t xml:space="preserve">] c): Комитет принимает к сведению информацию о предоставлении услуг по поддержке несопровождаемых детей-мигрантов. Он просит представить информацию о принятых конкретных мерах по устранению препятствий для получения образования детьми </w:t>
      </w:r>
      <w:r w:rsidR="00242719">
        <w:t>—</w:t>
      </w:r>
      <w:r>
        <w:t xml:space="preserve"> просителями убежища, включая более подробную информацию о любых конкретных положениях в рамках правовых норм, которые гарантируют доступ этих детей к образованию. Он также просит представить дополнительную информацию о сроках и содержании поправок к закону </w:t>
      </w:r>
      <w:r w:rsidR="00531467">
        <w:t>«</w:t>
      </w:r>
      <w:r>
        <w:t>О социальной защите детей и социальной опеке</w:t>
      </w:r>
      <w:r w:rsidR="00531467">
        <w:t>»</w:t>
      </w:r>
      <w:r>
        <w:t xml:space="preserve">, а также данные о количестве случаев несопровождаемых несовершеннолетних, в которых задействованы детские психологи и специалисты по </w:t>
      </w:r>
      <w:r w:rsidRPr="00A708A0">
        <w:t>межкультурной коммуникации.</w:t>
      </w:r>
      <w:r>
        <w:t xml:space="preserve"> Комитет приветствует введение законодательных положений, предусматривающих срочное назначении опекуна для несопровождаемых несовершеннолетних; он запрашивает дополнительную информацию, демонстрирующую их эффективное применение и реальное влияние.</w:t>
      </w:r>
    </w:p>
    <w:p w14:paraId="2F931DB0" w14:textId="77777777" w:rsidR="00C72380" w:rsidRPr="00A708A0" w:rsidRDefault="00C72380" w:rsidP="00C72380">
      <w:pPr>
        <w:pStyle w:val="SingleTxtG"/>
      </w:pPr>
      <w:r w:rsidRPr="00931A6B">
        <w:rPr>
          <w:b/>
          <w:bCs/>
        </w:rPr>
        <w:t>Рекомендуемые действия</w:t>
      </w:r>
      <w:r>
        <w:t>: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</w:t>
      </w:r>
    </w:p>
    <w:p w14:paraId="39E6B285" w14:textId="672D31FA" w:rsidR="00C72380" w:rsidRPr="00C72380" w:rsidRDefault="00C72380" w:rsidP="00242719">
      <w:pPr>
        <w:pStyle w:val="SingleTxtG"/>
        <w:rPr>
          <w:lang w:val="en-US"/>
        </w:rPr>
      </w:pPr>
      <w:r>
        <w:rPr>
          <w:b/>
          <w:bCs/>
        </w:rPr>
        <w:t>Сроки представления следующего периодического доклада</w:t>
      </w:r>
      <w:r>
        <w:t>: 2024 год (страновой обзор в 2025 году в соответствии с планируемым циклом обзора. См</w:t>
      </w:r>
      <w:r w:rsidRPr="00C72380">
        <w:rPr>
          <w:lang w:val="en-US"/>
        </w:rPr>
        <w:t xml:space="preserve">. URL: </w:t>
      </w:r>
      <w:hyperlink r:id="rId10" w:history="1">
        <w:r w:rsidRPr="00F1450E">
          <w:rPr>
            <w:rStyle w:val="af1"/>
            <w:lang w:val="en-US"/>
          </w:rPr>
          <w:t>www.ohchr.org/EN/HRBodies/CCPR/Pages/PredictableReviewCycle.aspx</w:t>
        </w:r>
      </w:hyperlink>
      <w:r w:rsidRPr="00C72380">
        <w:rPr>
          <w:lang w:val="en-US"/>
        </w:rPr>
        <w:t xml:space="preserve">). </w:t>
      </w:r>
    </w:p>
    <w:p w14:paraId="1E271682" w14:textId="0E738E62" w:rsidR="00381C24" w:rsidRPr="00C72380" w:rsidRDefault="00C72380" w:rsidP="00C72380">
      <w:pPr>
        <w:spacing w:before="240"/>
        <w:jc w:val="center"/>
        <w:rPr>
          <w:lang w:val="en-US"/>
        </w:rPr>
      </w:pPr>
      <w:r w:rsidRPr="00C72380">
        <w:rPr>
          <w:u w:val="single"/>
          <w:lang w:val="en-US"/>
        </w:rPr>
        <w:tab/>
      </w:r>
      <w:r w:rsidRPr="00C72380">
        <w:rPr>
          <w:u w:val="single"/>
          <w:lang w:val="en-US"/>
        </w:rPr>
        <w:tab/>
      </w:r>
      <w:r w:rsidRPr="00C72380">
        <w:rPr>
          <w:u w:val="single"/>
          <w:lang w:val="en-US"/>
        </w:rPr>
        <w:tab/>
      </w:r>
    </w:p>
    <w:sectPr w:rsidR="00381C24" w:rsidRPr="00C72380" w:rsidSect="00C723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6596" w14:textId="77777777" w:rsidR="00464FC3" w:rsidRPr="00A312BC" w:rsidRDefault="00464FC3" w:rsidP="00A312BC"/>
  </w:endnote>
  <w:endnote w:type="continuationSeparator" w:id="0">
    <w:p w14:paraId="740D12D1" w14:textId="77777777" w:rsidR="00464FC3" w:rsidRPr="00A312BC" w:rsidRDefault="00464F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02B3" w14:textId="394AA40F" w:rsidR="00C72380" w:rsidRPr="00C72380" w:rsidRDefault="00C72380">
    <w:pPr>
      <w:pStyle w:val="a8"/>
    </w:pPr>
    <w:r w:rsidRPr="00C72380">
      <w:rPr>
        <w:b/>
        <w:sz w:val="18"/>
      </w:rPr>
      <w:fldChar w:fldCharType="begin"/>
    </w:r>
    <w:r w:rsidRPr="00C72380">
      <w:rPr>
        <w:b/>
        <w:sz w:val="18"/>
      </w:rPr>
      <w:instrText xml:space="preserve"> PAGE  \* MERGEFORMAT </w:instrText>
    </w:r>
    <w:r w:rsidRPr="00C72380">
      <w:rPr>
        <w:b/>
        <w:sz w:val="18"/>
      </w:rPr>
      <w:fldChar w:fldCharType="separate"/>
    </w:r>
    <w:r w:rsidRPr="00C72380">
      <w:rPr>
        <w:b/>
        <w:noProof/>
        <w:sz w:val="18"/>
      </w:rPr>
      <w:t>2</w:t>
    </w:r>
    <w:r w:rsidRPr="00C72380">
      <w:rPr>
        <w:b/>
        <w:sz w:val="18"/>
      </w:rPr>
      <w:fldChar w:fldCharType="end"/>
    </w:r>
    <w:r>
      <w:rPr>
        <w:b/>
        <w:sz w:val="18"/>
      </w:rPr>
      <w:tab/>
    </w:r>
    <w:r>
      <w:t>GE.21-05698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117F" w14:textId="7A803FE8" w:rsidR="00C72380" w:rsidRPr="00C72380" w:rsidRDefault="00C72380" w:rsidP="00C72380">
    <w:pPr>
      <w:pStyle w:val="a8"/>
      <w:tabs>
        <w:tab w:val="clear" w:pos="9639"/>
        <w:tab w:val="right" w:pos="9638"/>
      </w:tabs>
      <w:rPr>
        <w:b/>
        <w:sz w:val="18"/>
      </w:rPr>
    </w:pPr>
    <w:r>
      <w:t>GE.21-05698</w:t>
    </w:r>
    <w:r>
      <w:tab/>
    </w:r>
    <w:r w:rsidRPr="00C72380">
      <w:rPr>
        <w:b/>
        <w:sz w:val="18"/>
      </w:rPr>
      <w:fldChar w:fldCharType="begin"/>
    </w:r>
    <w:r w:rsidRPr="00C72380">
      <w:rPr>
        <w:b/>
        <w:sz w:val="18"/>
      </w:rPr>
      <w:instrText xml:space="preserve"> PAGE  \* MERGEFORMAT </w:instrText>
    </w:r>
    <w:r w:rsidRPr="00C72380">
      <w:rPr>
        <w:b/>
        <w:sz w:val="18"/>
      </w:rPr>
      <w:fldChar w:fldCharType="separate"/>
    </w:r>
    <w:r w:rsidRPr="00C72380">
      <w:rPr>
        <w:b/>
        <w:noProof/>
        <w:sz w:val="18"/>
      </w:rPr>
      <w:t>3</w:t>
    </w:r>
    <w:r w:rsidRPr="00C723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100C" w14:textId="377F7CD4" w:rsidR="00042B72" w:rsidRPr="00C72380" w:rsidRDefault="00C72380" w:rsidP="00C7238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9DC688" wp14:editId="32B96F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21-05698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51B147" wp14:editId="46015C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010621  090621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7155" w14:textId="77777777" w:rsidR="00464FC3" w:rsidRPr="001075E9" w:rsidRDefault="00464F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2486CC" w14:textId="77777777" w:rsidR="00464FC3" w:rsidRDefault="00464F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99A3D8" w14:textId="3CE50C5C" w:rsidR="00C72380" w:rsidRPr="00A708A0" w:rsidRDefault="00C72380" w:rsidP="00C72380">
      <w:pPr>
        <w:pStyle w:val="ad"/>
      </w:pPr>
      <w:r>
        <w:tab/>
      </w:r>
      <w:r w:rsidRPr="00B74B3A">
        <w:rPr>
          <w:sz w:val="20"/>
        </w:rPr>
        <w:t>*</w:t>
      </w:r>
      <w:r>
        <w:tab/>
        <w:t xml:space="preserve">Принят Комитетом на его </w:t>
      </w:r>
      <w:r w:rsidR="00B74B3A">
        <w:t>сто тридцать первой</w:t>
      </w:r>
      <w:r>
        <w:t xml:space="preserve"> сессии (1</w:t>
      </w:r>
      <w:r w:rsidR="00B74B3A">
        <w:t>–</w:t>
      </w:r>
      <w:r>
        <w:t>26 марта 2021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1681" w14:textId="0ECA4683" w:rsidR="00C72380" w:rsidRPr="00C72380" w:rsidRDefault="0063265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CCPR/C/131/2/Add.2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AD33" w14:textId="71695822" w:rsidR="00C72380" w:rsidRPr="00C72380" w:rsidRDefault="00632655" w:rsidP="00C7238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CCPR/C/131/2/Add.2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F40" w14:textId="77777777" w:rsidR="00C72380" w:rsidRDefault="00C72380" w:rsidP="00C7238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C3"/>
    <w:rsid w:val="00033EE1"/>
    <w:rsid w:val="000358F2"/>
    <w:rsid w:val="00042B72"/>
    <w:rsid w:val="000558BD"/>
    <w:rsid w:val="000B57E7"/>
    <w:rsid w:val="000B6373"/>
    <w:rsid w:val="000F09DF"/>
    <w:rsid w:val="000F61B2"/>
    <w:rsid w:val="0010160D"/>
    <w:rsid w:val="00104104"/>
    <w:rsid w:val="001075E9"/>
    <w:rsid w:val="00180183"/>
    <w:rsid w:val="0018024D"/>
    <w:rsid w:val="0018649F"/>
    <w:rsid w:val="00196389"/>
    <w:rsid w:val="001B3EF6"/>
    <w:rsid w:val="001C7A89"/>
    <w:rsid w:val="00242719"/>
    <w:rsid w:val="00254812"/>
    <w:rsid w:val="002A2EFC"/>
    <w:rsid w:val="002C0E18"/>
    <w:rsid w:val="002D5AAC"/>
    <w:rsid w:val="002D6698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64FC3"/>
    <w:rsid w:val="00472C5C"/>
    <w:rsid w:val="004969B2"/>
    <w:rsid w:val="0050108D"/>
    <w:rsid w:val="00513081"/>
    <w:rsid w:val="00517901"/>
    <w:rsid w:val="00526683"/>
    <w:rsid w:val="00531467"/>
    <w:rsid w:val="005709E0"/>
    <w:rsid w:val="00572E19"/>
    <w:rsid w:val="005961C8"/>
    <w:rsid w:val="005D7914"/>
    <w:rsid w:val="005E2B41"/>
    <w:rsid w:val="005F0B42"/>
    <w:rsid w:val="00632655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B3877"/>
    <w:rsid w:val="00812D77"/>
    <w:rsid w:val="00825F8D"/>
    <w:rsid w:val="00834B71"/>
    <w:rsid w:val="0086445C"/>
    <w:rsid w:val="00894693"/>
    <w:rsid w:val="008A08D7"/>
    <w:rsid w:val="008B6909"/>
    <w:rsid w:val="008E0D16"/>
    <w:rsid w:val="00906890"/>
    <w:rsid w:val="00911BE4"/>
    <w:rsid w:val="00931A71"/>
    <w:rsid w:val="00951972"/>
    <w:rsid w:val="009608F3"/>
    <w:rsid w:val="009918E2"/>
    <w:rsid w:val="009A24AC"/>
    <w:rsid w:val="009D21FD"/>
    <w:rsid w:val="009D4BFF"/>
    <w:rsid w:val="00A14DA8"/>
    <w:rsid w:val="00A312BC"/>
    <w:rsid w:val="00A34D07"/>
    <w:rsid w:val="00A84021"/>
    <w:rsid w:val="00A84D35"/>
    <w:rsid w:val="00A917B3"/>
    <w:rsid w:val="00AB4B51"/>
    <w:rsid w:val="00AD6F87"/>
    <w:rsid w:val="00AE43FF"/>
    <w:rsid w:val="00B10CC7"/>
    <w:rsid w:val="00B136DB"/>
    <w:rsid w:val="00B539E7"/>
    <w:rsid w:val="00B62458"/>
    <w:rsid w:val="00B74B3A"/>
    <w:rsid w:val="00B80911"/>
    <w:rsid w:val="00BC18B2"/>
    <w:rsid w:val="00BC3629"/>
    <w:rsid w:val="00BD33EE"/>
    <w:rsid w:val="00BF1A04"/>
    <w:rsid w:val="00C0177C"/>
    <w:rsid w:val="00C106D6"/>
    <w:rsid w:val="00C46D5A"/>
    <w:rsid w:val="00C60F0C"/>
    <w:rsid w:val="00C72380"/>
    <w:rsid w:val="00C805C9"/>
    <w:rsid w:val="00C92939"/>
    <w:rsid w:val="00CA1679"/>
    <w:rsid w:val="00CB151C"/>
    <w:rsid w:val="00CE5A1A"/>
    <w:rsid w:val="00CF55F6"/>
    <w:rsid w:val="00D23EB8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37A10"/>
    <w:rsid w:val="00F43903"/>
    <w:rsid w:val="00F94155"/>
    <w:rsid w:val="00F9783F"/>
    <w:rsid w:val="00FA14A1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A46457"/>
  <w15:docId w15:val="{8E8455CA-A4B7-4FC6-A412-B37A2ADE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Testo nota a piè di pagina Carattere,Footnote Text-progetto,notefranz,Nota_2 Carattere Carattere Carattere Carattere Carattere Carattere Carattere,Nota_2,Nota,Nota_,Testo nota a piè di pagina Carattere1 Carattere,N,Not,fn,Char,Car,f"/>
    <w:basedOn w:val="a"/>
    <w:link w:val="ae"/>
    <w:uiPriority w:val="99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Testo nota a piè di pagina Carattere Знак,Footnote Text-progetto Знак,notefranz Знак,Nota_2 Carattere Carattere Carattere Carattere Carattere Carattere Carattere Знак,Nota_2 Знак,Nota Знак,Nota_ Знак,N Знак,Not Знак,fn Знак"/>
    <w:basedOn w:val="a0"/>
    <w:link w:val="ad"/>
    <w:uiPriority w:val="99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C72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CCPR/C/SVK/CO/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hchr.org/EN/HRBodies/CCPR/Pages/PredictableReviewCyc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docs.org/en/CCPR/C/SVK/CO/4/Add.1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5</Pages>
  <Words>1959</Words>
  <Characters>13700</Characters>
  <Application>Microsoft Office Word</Application>
  <DocSecurity>0</DocSecurity>
  <Lines>258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CCPR/C/131/2/Add.2</vt:lpstr>
      <vt:lpstr>A/</vt:lpstr>
      <vt:lpstr>A/</vt:lpstr>
    </vt:vector>
  </TitlesOfParts>
  <Company>DCM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CCPR/C/131/2/Add.2</dc:title>
  <dc:subject/>
  <dc:creator>Olga OVTCHINNIKOVA</dc:creator>
  <cp:keywords/>
  <cp:lastModifiedBy>Ioulia Goussarova</cp:lastModifiedBy>
  <cp:revision>3</cp:revision>
  <cp:lastPrinted>2021-06-09T15:45:00Z</cp:lastPrinted>
  <dcterms:created xsi:type="dcterms:W3CDTF">2021-06-09T15:45:00Z</dcterms:created>
  <dcterms:modified xsi:type="dcterms:W3CDTF">2021-06-09T15:45:00Z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