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2D46D66A" w14:textId="77777777" w:rsidTr="005B51C4">
        <w:trPr>
          <w:trHeight w:hRule="exact" w:val="851"/>
        </w:trPr>
        <w:tc>
          <w:tcPr>
            <w:tcW w:w="1274" w:type="dxa"/>
            <w:tcBorders>
              <w:bottom w:val="single" w:sz="4" w:space="0" w:color="auto"/>
            </w:tcBorders>
            <w:shd w:val="clear" w:color="auto" w:fill="auto"/>
          </w:tcPr>
          <w:p w14:paraId="7707293B" w14:textId="77777777" w:rsidR="006B3E27" w:rsidRPr="00C175A6" w:rsidRDefault="006B3E27" w:rsidP="008F6DD9">
            <w:pPr>
              <w:kinsoku w:val="0"/>
              <w:overflowPunct w:val="0"/>
              <w:autoSpaceDE w:val="0"/>
              <w:autoSpaceDN w:val="0"/>
              <w:adjustRightInd w:val="0"/>
              <w:snapToGrid w:val="0"/>
              <w:jc w:val="center"/>
              <w:rPr>
                <w:sz w:val="56"/>
                <w:szCs w:val="56"/>
              </w:rPr>
            </w:pPr>
          </w:p>
        </w:tc>
        <w:tc>
          <w:tcPr>
            <w:tcW w:w="4537" w:type="dxa"/>
            <w:tcBorders>
              <w:bottom w:val="single" w:sz="4" w:space="0" w:color="auto"/>
            </w:tcBorders>
            <w:shd w:val="clear" w:color="auto" w:fill="auto"/>
            <w:vAlign w:val="bottom"/>
          </w:tcPr>
          <w:p w14:paraId="68C5BD88"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0505096A" w14:textId="30352B55" w:rsidR="006B3E27" w:rsidRPr="0035745C" w:rsidRDefault="0035745C" w:rsidP="0035745C">
            <w:pPr>
              <w:bidi w:val="0"/>
              <w:rPr>
                <w:szCs w:val="20"/>
              </w:rPr>
            </w:pPr>
            <w:r w:rsidRPr="001D3651">
              <w:rPr>
                <w:sz w:val="40"/>
                <w:szCs w:val="20"/>
              </w:rPr>
              <w:t>CCPR</w:t>
            </w:r>
            <w:r w:rsidRPr="001D3651">
              <w:rPr>
                <w:szCs w:val="20"/>
              </w:rPr>
              <w:t>/C/</w:t>
            </w:r>
            <w:r w:rsidRPr="001D3651">
              <w:t>131</w:t>
            </w:r>
            <w:r w:rsidRPr="001D3651">
              <w:rPr>
                <w:szCs w:val="20"/>
              </w:rPr>
              <w:t>/</w:t>
            </w:r>
            <w:r w:rsidRPr="001D3651">
              <w:t>2</w:t>
            </w:r>
            <w:r w:rsidRPr="001D3651">
              <w:rPr>
                <w:szCs w:val="20"/>
              </w:rPr>
              <w:t>/Add.</w:t>
            </w:r>
            <w:r w:rsidRPr="001D3651">
              <w:t>2</w:t>
            </w:r>
          </w:p>
        </w:tc>
      </w:tr>
      <w:tr w:rsidR="006B3E27" w:rsidRPr="00C175A6" w14:paraId="6597CAC5" w14:textId="77777777" w:rsidTr="005B51C4">
        <w:trPr>
          <w:trHeight w:hRule="exact" w:val="2835"/>
        </w:trPr>
        <w:tc>
          <w:tcPr>
            <w:tcW w:w="1274" w:type="dxa"/>
            <w:tcBorders>
              <w:top w:val="single" w:sz="4" w:space="0" w:color="auto"/>
              <w:bottom w:val="single" w:sz="12" w:space="0" w:color="auto"/>
            </w:tcBorders>
            <w:shd w:val="clear" w:color="auto" w:fill="auto"/>
          </w:tcPr>
          <w:p w14:paraId="119C6F1C"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77784911" wp14:editId="5C9813B3">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395F4D67" w14:textId="77777777" w:rsidR="006B3E27" w:rsidRPr="00C175A6" w:rsidRDefault="00ED7442" w:rsidP="00730446">
            <w:pPr>
              <w:spacing w:before="120" w:after="40" w:line="640" w:lineRule="exact"/>
              <w:ind w:left="57"/>
              <w:rPr>
                <w:b/>
                <w:bCs/>
                <w:sz w:val="46"/>
                <w:szCs w:val="46"/>
              </w:rPr>
            </w:pPr>
            <w:r w:rsidRPr="00C175A6">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18294628" w14:textId="77777777" w:rsidR="006B3E27" w:rsidRDefault="0035745C" w:rsidP="004B27E0">
            <w:pPr>
              <w:bidi w:val="0"/>
              <w:spacing w:before="240"/>
              <w:rPr>
                <w:szCs w:val="20"/>
              </w:rPr>
            </w:pPr>
            <w:r>
              <w:rPr>
                <w:szCs w:val="20"/>
              </w:rPr>
              <w:t>Distr.: General</w:t>
            </w:r>
          </w:p>
          <w:p w14:paraId="027528ED" w14:textId="3046FD9C" w:rsidR="0035745C" w:rsidRDefault="00CB27C3" w:rsidP="0035745C">
            <w:pPr>
              <w:bidi w:val="0"/>
              <w:spacing w:line="240" w:lineRule="exact"/>
              <w:jc w:val="left"/>
              <w:rPr>
                <w:szCs w:val="20"/>
              </w:rPr>
            </w:pPr>
            <w:r w:rsidRPr="001D3651">
              <w:t>29</w:t>
            </w:r>
            <w:r>
              <w:t xml:space="preserve"> April </w:t>
            </w:r>
            <w:r w:rsidRPr="001D3651">
              <w:t>2021</w:t>
            </w:r>
          </w:p>
          <w:p w14:paraId="63AFCF02" w14:textId="77777777" w:rsidR="0035745C" w:rsidRDefault="0035745C" w:rsidP="0035745C">
            <w:pPr>
              <w:bidi w:val="0"/>
              <w:spacing w:line="240" w:lineRule="exact"/>
              <w:jc w:val="left"/>
              <w:rPr>
                <w:szCs w:val="20"/>
              </w:rPr>
            </w:pPr>
            <w:r>
              <w:rPr>
                <w:szCs w:val="20"/>
              </w:rPr>
              <w:t>Arabic</w:t>
            </w:r>
          </w:p>
          <w:p w14:paraId="6AA5616F" w14:textId="77777777" w:rsidR="0035745C" w:rsidRPr="0035745C" w:rsidRDefault="0035745C" w:rsidP="0035745C">
            <w:pPr>
              <w:bidi w:val="0"/>
              <w:spacing w:line="240" w:lineRule="exact"/>
              <w:jc w:val="left"/>
              <w:rPr>
                <w:szCs w:val="20"/>
              </w:rPr>
            </w:pPr>
            <w:r>
              <w:rPr>
                <w:szCs w:val="20"/>
              </w:rPr>
              <w:t>Original: English</w:t>
            </w:r>
          </w:p>
        </w:tc>
      </w:tr>
    </w:tbl>
    <w:p w14:paraId="0FA1FC02" w14:textId="77777777" w:rsidR="0093415D" w:rsidRPr="00CB27C3" w:rsidRDefault="0093415D" w:rsidP="00CB27C3">
      <w:pPr>
        <w:spacing w:before="120" w:line="360" w:lineRule="exact"/>
        <w:jc w:val="both"/>
        <w:textDirection w:val="tbRlV"/>
        <w:rPr>
          <w:b/>
          <w:bCs/>
          <w:sz w:val="28"/>
          <w:szCs w:val="24"/>
          <w:lang w:val="ar-SA" w:eastAsia="zh-TW" w:bidi="en-GB"/>
        </w:rPr>
      </w:pPr>
      <w:r w:rsidRPr="00CB27C3">
        <w:rPr>
          <w:b/>
          <w:bCs/>
          <w:sz w:val="24"/>
          <w:szCs w:val="26"/>
          <w:rtl/>
        </w:rPr>
        <w:t>اللجنة المعنية بحقوق الإنسان</w:t>
      </w:r>
    </w:p>
    <w:p w14:paraId="544D9964" w14:textId="6458AEA6" w:rsidR="0093415D" w:rsidRPr="00FC27A2" w:rsidRDefault="0093415D" w:rsidP="00104BC0">
      <w:pPr>
        <w:pStyle w:val="HChGA"/>
        <w:rPr>
          <w:szCs w:val="20"/>
          <w:rtl/>
          <w:lang w:val="ar-SA" w:eastAsia="zh-TW" w:bidi="en-GB"/>
        </w:rPr>
      </w:pPr>
      <w:bookmarkStart w:id="0" w:name="_Toc506807534"/>
      <w:r>
        <w:rPr>
          <w:rtl/>
        </w:rPr>
        <w:tab/>
      </w:r>
      <w:r>
        <w:rPr>
          <w:rtl/>
        </w:rPr>
        <w:tab/>
        <w:t>تقرير متابعة الملاحظات الختامية للجنة المعنية بحقوق الإنسان</w:t>
      </w:r>
      <w:bookmarkEnd w:id="0"/>
      <w:r w:rsidR="001D3651" w:rsidRPr="001D3651">
        <w:rPr>
          <w:rStyle w:val="FootnoteReference"/>
          <w:sz w:val="22"/>
          <w:szCs w:val="22"/>
          <w:vertAlign w:val="baseline"/>
          <w:rtl/>
        </w:rPr>
        <w:footnoteReference w:customMarkFollows="1" w:id="1"/>
        <w:t>*</w:t>
      </w:r>
    </w:p>
    <w:p w14:paraId="400261CD" w14:textId="77777777" w:rsidR="0093415D" w:rsidRPr="00104BC0" w:rsidRDefault="0093415D" w:rsidP="00104BC0">
      <w:pPr>
        <w:pStyle w:val="H23GA"/>
        <w:rPr>
          <w:szCs w:val="20"/>
          <w:lang w:val="en-US" w:eastAsia="zh-TW" w:bidi="en-GB"/>
        </w:rPr>
      </w:pPr>
      <w:r>
        <w:rPr>
          <w:rtl/>
        </w:rPr>
        <w:tab/>
      </w:r>
      <w:r>
        <w:rPr>
          <w:rtl/>
        </w:rPr>
        <w:tab/>
        <w:t>إضافة</w:t>
      </w:r>
    </w:p>
    <w:p w14:paraId="366ED276" w14:textId="77777777" w:rsidR="0093415D" w:rsidRPr="00070B91" w:rsidRDefault="0093415D" w:rsidP="00104BC0">
      <w:pPr>
        <w:pStyle w:val="H1GA"/>
        <w:rPr>
          <w:szCs w:val="20"/>
          <w:lang w:val="en-US" w:eastAsia="zh-TW" w:bidi="en-GB"/>
        </w:rPr>
      </w:pPr>
      <w:r>
        <w:rPr>
          <w:rtl/>
        </w:rPr>
        <w:tab/>
      </w:r>
      <w:r>
        <w:rPr>
          <w:rtl/>
        </w:rPr>
        <w:tab/>
        <w:t>تقييم المعلومات المتعلقة بمتابعة الملاحظات الختامية بشأن سلوفاكيا</w:t>
      </w:r>
    </w:p>
    <w:p w14:paraId="548CBC4D" w14:textId="5502A02B" w:rsidR="0093415D" w:rsidRPr="000D1ED1" w:rsidRDefault="0093415D" w:rsidP="00D73510">
      <w:pPr>
        <w:pStyle w:val="SingleTxtGA"/>
        <w:tabs>
          <w:tab w:val="clear" w:pos="2608"/>
          <w:tab w:val="clear" w:pos="3289"/>
        </w:tabs>
        <w:rPr>
          <w:szCs w:val="20"/>
          <w:lang w:val="ar-SA" w:eastAsia="zh-TW" w:bidi="en-GB"/>
        </w:rPr>
      </w:pPr>
      <w:r>
        <w:rPr>
          <w:i/>
          <w:iCs/>
          <w:rtl/>
        </w:rPr>
        <w:t xml:space="preserve">الملاحظات الختامية (الدورة </w:t>
      </w:r>
      <w:r w:rsidRPr="001D3651">
        <w:rPr>
          <w:i/>
          <w:iCs/>
          <w:rtl/>
        </w:rPr>
        <w:t>118</w:t>
      </w:r>
      <w:r>
        <w:rPr>
          <w:rFonts w:ascii="Traditional Arabic"/>
          <w:i/>
          <w:iCs/>
          <w:szCs w:val="20"/>
          <w:rtl/>
          <w:lang w:val="fr-CH"/>
        </w:rPr>
        <w:t>):</w:t>
      </w:r>
      <w:r>
        <w:rPr>
          <w:rtl/>
        </w:rPr>
        <w:tab/>
      </w:r>
      <w:hyperlink r:id="rId9" w:history="1">
        <w:r w:rsidRPr="00D73510">
          <w:rPr>
            <w:rStyle w:val="Hyperlink"/>
            <w:rFonts w:cs="Times New Roman"/>
            <w:szCs w:val="20"/>
          </w:rPr>
          <w:t>CCPR/C/</w:t>
        </w:r>
        <w:r w:rsidRPr="001D3651">
          <w:rPr>
            <w:rStyle w:val="Hyperlink"/>
            <w:rFonts w:cs="Times New Roman"/>
            <w:szCs w:val="20"/>
          </w:rPr>
          <w:t>SVK</w:t>
        </w:r>
        <w:r w:rsidRPr="00D73510">
          <w:rPr>
            <w:rStyle w:val="Hyperlink"/>
            <w:rFonts w:cs="Times New Roman"/>
            <w:szCs w:val="20"/>
          </w:rPr>
          <w:t>/CO/</w:t>
        </w:r>
        <w:r w:rsidRPr="001D3651">
          <w:rPr>
            <w:color w:val="0000FF"/>
          </w:rPr>
          <w:t>4</w:t>
        </w:r>
        <w:r w:rsidRPr="00D73510">
          <w:rPr>
            <w:rStyle w:val="Hyperlink"/>
            <w:rtl/>
          </w:rPr>
          <w:t>،</w:t>
        </w:r>
      </w:hyperlink>
      <w:r>
        <w:rPr>
          <w:rtl/>
        </w:rPr>
        <w:t xml:space="preserve"> </w:t>
      </w:r>
      <w:r w:rsidRPr="001D3651">
        <w:rPr>
          <w:rtl/>
        </w:rPr>
        <w:t>31</w:t>
      </w:r>
      <w:r>
        <w:rPr>
          <w:rtl/>
        </w:rPr>
        <w:t xml:space="preserve"> تشرين الأول/أكتوبر </w:t>
      </w:r>
      <w:r w:rsidRPr="001D3651">
        <w:rPr>
          <w:rtl/>
        </w:rPr>
        <w:t>2016</w:t>
      </w:r>
    </w:p>
    <w:p w14:paraId="3620C218" w14:textId="0999D0A9" w:rsidR="0093415D" w:rsidRDefault="0093415D" w:rsidP="00D73510">
      <w:pPr>
        <w:pStyle w:val="SingleTxtGA"/>
        <w:tabs>
          <w:tab w:val="clear" w:pos="2608"/>
          <w:tab w:val="clear" w:pos="3289"/>
        </w:tabs>
        <w:rPr>
          <w:szCs w:val="20"/>
          <w:lang w:val="ar-SA" w:eastAsia="zh-TW" w:bidi="en-GB"/>
        </w:rPr>
      </w:pPr>
      <w:r w:rsidRPr="00973C21">
        <w:rPr>
          <w:i/>
          <w:iCs/>
          <w:rtl/>
        </w:rPr>
        <w:t>الفقرات المشمولة بالمتابعة:</w:t>
      </w:r>
      <w:r>
        <w:rPr>
          <w:rtl/>
        </w:rPr>
        <w:tab/>
      </w:r>
      <w:r w:rsidRPr="001D3651">
        <w:rPr>
          <w:rtl/>
        </w:rPr>
        <w:t>13</w:t>
      </w:r>
      <w:r>
        <w:rPr>
          <w:rtl/>
        </w:rPr>
        <w:t xml:space="preserve"> و</w:t>
      </w:r>
      <w:r w:rsidRPr="001D3651">
        <w:rPr>
          <w:rtl/>
        </w:rPr>
        <w:t>25</w:t>
      </w:r>
      <w:r>
        <w:rPr>
          <w:rtl/>
        </w:rPr>
        <w:t xml:space="preserve"> و</w:t>
      </w:r>
      <w:r w:rsidRPr="001D3651">
        <w:rPr>
          <w:rtl/>
        </w:rPr>
        <w:t>33</w:t>
      </w:r>
    </w:p>
    <w:p w14:paraId="21C2F0AE" w14:textId="2A65BB2A" w:rsidR="0093415D" w:rsidRPr="001D3651" w:rsidRDefault="0093415D" w:rsidP="00D73510">
      <w:pPr>
        <w:pStyle w:val="SingleTxtGA"/>
        <w:tabs>
          <w:tab w:val="clear" w:pos="2608"/>
          <w:tab w:val="clear" w:pos="3289"/>
        </w:tabs>
        <w:rPr>
          <w:spacing w:val="-6"/>
          <w:lang w:val="ar-SA" w:eastAsia="zh-TW" w:bidi="en-GB"/>
        </w:rPr>
      </w:pPr>
      <w:r w:rsidRPr="001D3651">
        <w:rPr>
          <w:i/>
          <w:iCs/>
          <w:spacing w:val="-6"/>
          <w:rtl/>
        </w:rPr>
        <w:t>الرد الوارد في إطار المتابعة:</w:t>
      </w:r>
      <w:r w:rsidRPr="001D3651">
        <w:rPr>
          <w:spacing w:val="-6"/>
          <w:rtl/>
        </w:rPr>
        <w:tab/>
      </w:r>
      <w:hyperlink r:id="rId10" w:history="1">
        <w:r w:rsidRPr="001D3651">
          <w:rPr>
            <w:rStyle w:val="Hyperlink"/>
            <w:rFonts w:cs="Times New Roman"/>
            <w:spacing w:val="-6"/>
          </w:rPr>
          <w:t>CCPR/C/SVK/CO/</w:t>
        </w:r>
        <w:r w:rsidRPr="001D3651">
          <w:rPr>
            <w:color w:val="0000FF"/>
            <w:spacing w:val="-6"/>
          </w:rPr>
          <w:t>4</w:t>
        </w:r>
        <w:r w:rsidRPr="001D3651">
          <w:rPr>
            <w:rStyle w:val="Hyperlink"/>
            <w:rFonts w:cs="Times New Roman"/>
            <w:spacing w:val="-6"/>
          </w:rPr>
          <w:t>/Add.</w:t>
        </w:r>
        <w:r w:rsidRPr="001D3651">
          <w:rPr>
            <w:color w:val="0000FF"/>
            <w:spacing w:val="-6"/>
          </w:rPr>
          <w:t>1</w:t>
        </w:r>
        <w:r w:rsidRPr="001D3651">
          <w:rPr>
            <w:rStyle w:val="Hyperlink"/>
            <w:spacing w:val="-6"/>
            <w:rtl/>
          </w:rPr>
          <w:t>،</w:t>
        </w:r>
      </w:hyperlink>
      <w:r w:rsidRPr="001D3651">
        <w:rPr>
          <w:spacing w:val="-6"/>
          <w:rtl/>
        </w:rPr>
        <w:t xml:space="preserve"> 18 تشرين الأول/أكتوبر 2017</w:t>
      </w:r>
    </w:p>
    <w:p w14:paraId="4E981482" w14:textId="77777777" w:rsidR="0093415D" w:rsidRPr="00104BC0" w:rsidRDefault="0093415D" w:rsidP="001D3651">
      <w:pPr>
        <w:pStyle w:val="SingleTxtGA"/>
        <w:tabs>
          <w:tab w:val="clear" w:pos="2608"/>
          <w:tab w:val="clear" w:pos="3289"/>
        </w:tabs>
        <w:ind w:left="3983" w:hanging="2736"/>
        <w:rPr>
          <w:szCs w:val="20"/>
          <w:lang w:val="en-US" w:eastAsia="zh-TW" w:bidi="en-GB"/>
        </w:rPr>
      </w:pPr>
      <w:r>
        <w:rPr>
          <w:i/>
          <w:iCs/>
          <w:rtl/>
        </w:rPr>
        <w:t>تقييم اللجنة:</w:t>
      </w:r>
      <w:r>
        <w:rPr>
          <w:rtl/>
        </w:rPr>
        <w:tab/>
        <w:t xml:space="preserve">يلزم تقديم معلومات إضافية عن الفقرات </w:t>
      </w:r>
      <w:r w:rsidRPr="001D3651">
        <w:rPr>
          <w:rtl/>
        </w:rPr>
        <w:t>13</w:t>
      </w:r>
      <w:r>
        <w:rPr>
          <w:rFonts w:ascii="Traditional Arabic"/>
          <w:szCs w:val="20"/>
          <w:rtl/>
        </w:rPr>
        <w:t>[</w:t>
      </w:r>
      <w:r w:rsidRPr="001D3651">
        <w:rPr>
          <w:b/>
          <w:bCs/>
          <w:rtl/>
        </w:rPr>
        <w:t>باء</w:t>
      </w:r>
      <w:r>
        <w:rPr>
          <w:rFonts w:ascii="Traditional Arabic"/>
          <w:szCs w:val="20"/>
          <w:rtl/>
        </w:rPr>
        <w:t>]</w:t>
      </w:r>
      <w:r>
        <w:rPr>
          <w:rtl/>
        </w:rPr>
        <w:t>، و</w:t>
      </w:r>
      <w:r w:rsidRPr="001D3651">
        <w:rPr>
          <w:rtl/>
        </w:rPr>
        <w:t>25</w:t>
      </w:r>
      <w:r>
        <w:rPr>
          <w:rFonts w:ascii="Traditional Arabic"/>
          <w:szCs w:val="20"/>
          <w:rtl/>
        </w:rPr>
        <w:t>[</w:t>
      </w:r>
      <w:r w:rsidRPr="001D3651">
        <w:rPr>
          <w:b/>
          <w:bCs/>
          <w:rtl/>
        </w:rPr>
        <w:t>باء</w:t>
      </w:r>
      <w:r>
        <w:rPr>
          <w:rFonts w:ascii="Traditional Arabic"/>
          <w:szCs w:val="20"/>
          <w:rtl/>
        </w:rPr>
        <w:t>]</w:t>
      </w:r>
      <w:r>
        <w:rPr>
          <w:rtl/>
        </w:rPr>
        <w:t xml:space="preserve"> [</w:t>
      </w:r>
      <w:r w:rsidRPr="001D3651">
        <w:rPr>
          <w:b/>
          <w:bCs/>
          <w:rtl/>
        </w:rPr>
        <w:t>جيم</w:t>
      </w:r>
      <w:r>
        <w:rPr>
          <w:rtl/>
        </w:rPr>
        <w:t>]، و</w:t>
      </w:r>
      <w:r w:rsidRPr="001D3651">
        <w:rPr>
          <w:rtl/>
        </w:rPr>
        <w:t>33</w:t>
      </w:r>
      <w:r>
        <w:rPr>
          <w:rFonts w:ascii="Traditional Arabic"/>
          <w:szCs w:val="20"/>
          <w:rtl/>
        </w:rPr>
        <w:t xml:space="preserve"> [</w:t>
      </w:r>
      <w:r w:rsidRPr="001D3651">
        <w:rPr>
          <w:b/>
          <w:bCs/>
          <w:rtl/>
        </w:rPr>
        <w:t>جيم</w:t>
      </w:r>
      <w:r>
        <w:rPr>
          <w:rFonts w:ascii="Traditional Arabic"/>
          <w:szCs w:val="20"/>
          <w:rtl/>
        </w:rPr>
        <w:t>]</w:t>
      </w:r>
      <w:r>
        <w:rPr>
          <w:rtl/>
        </w:rPr>
        <w:t xml:space="preserve"> [</w:t>
      </w:r>
      <w:r w:rsidRPr="001D3651">
        <w:rPr>
          <w:b/>
          <w:bCs/>
          <w:rtl/>
        </w:rPr>
        <w:t>باء</w:t>
      </w:r>
      <w:r>
        <w:rPr>
          <w:rtl/>
        </w:rPr>
        <w:t>] [</w:t>
      </w:r>
      <w:r w:rsidRPr="001D3651">
        <w:rPr>
          <w:b/>
          <w:bCs/>
          <w:rtl/>
        </w:rPr>
        <w:t>جيم</w:t>
      </w:r>
      <w:r>
        <w:rPr>
          <w:rtl/>
        </w:rPr>
        <w:t>]</w:t>
      </w:r>
      <w:r>
        <w:rPr>
          <w:rFonts w:cs="Times New Roman" w:hint="cs"/>
          <w:rtl/>
        </w:rPr>
        <w:t>‬</w:t>
      </w:r>
    </w:p>
    <w:p w14:paraId="3B579C23" w14:textId="73342F19" w:rsidR="0093415D" w:rsidRPr="00FC27A2" w:rsidRDefault="0093415D" w:rsidP="00973C21">
      <w:pPr>
        <w:pStyle w:val="H23GA"/>
        <w:rPr>
          <w:szCs w:val="20"/>
          <w:lang w:val="ar-SA" w:eastAsia="zh-TW" w:bidi="en-GB"/>
        </w:rPr>
      </w:pPr>
      <w:r>
        <w:rPr>
          <w:rtl/>
        </w:rPr>
        <w:tab/>
      </w:r>
      <w:r>
        <w:rPr>
          <w:rtl/>
        </w:rPr>
        <w:tab/>
        <w:t xml:space="preserve">الفقرة </w:t>
      </w:r>
      <w:r w:rsidRPr="001D3651">
        <w:rPr>
          <w:rtl/>
        </w:rPr>
        <w:t>13</w:t>
      </w:r>
      <w:r>
        <w:rPr>
          <w:rtl/>
        </w:rPr>
        <w:t>:</w:t>
      </w:r>
      <w:dir w:val="rtl">
        <w:r>
          <w:rPr>
            <w:rtl/>
          </w:rPr>
          <w:t xml:space="preserve"> جرائم الكراهية وخطاب الكراهية وتزايد التطرف في الخطاب السياسي وفي وسائط الإعلام</w:t>
        </w:r>
        <w:r>
          <w:rPr>
            <w:rFonts w:cs="Times New Roman" w:hint="cs"/>
            <w:rtl/>
          </w:rPr>
          <w:t>‬</w:t>
        </w:r>
        <w:r>
          <w:t>‬</w:t>
        </w:r>
        <w:r w:rsidR="002D7555">
          <w:t>‬</w:t>
        </w:r>
      </w:dir>
    </w:p>
    <w:p w14:paraId="2B0DCD8C" w14:textId="4E89111C" w:rsidR="0093415D" w:rsidRPr="001D3651" w:rsidRDefault="0093415D" w:rsidP="0093415D">
      <w:pPr>
        <w:pStyle w:val="SingleTxtGA"/>
        <w:rPr>
          <w:b/>
          <w:bCs/>
          <w:szCs w:val="20"/>
          <w:lang w:val="ar-SA" w:eastAsia="zh-TW" w:bidi="en-GB"/>
        </w:rPr>
      </w:pPr>
      <w:r w:rsidRPr="001D3651">
        <w:rPr>
          <w:b/>
          <w:bCs/>
          <w:rtl/>
        </w:rPr>
        <w:tab/>
        <w:t xml:space="preserve">ينبغي للدولة الطرف: (أ) اتخاذ تدابير لتعزيز التسامح وتهيئة بيئة تستوعب الأشخاص المنتمين إلى أقليات إثنية أو قومية أو عرقية أو دينية والأقليات الأخرى؛ و(ب) استخدام التدابير التشريعية والسياسية والتعليمية، بما في ذلك التوعية والتثقيف، لمكافحة وصم </w:t>
      </w:r>
      <w:proofErr w:type="spellStart"/>
      <w:r w:rsidRPr="001D3651">
        <w:rPr>
          <w:b/>
          <w:bCs/>
          <w:rtl/>
        </w:rPr>
        <w:t>الروما</w:t>
      </w:r>
      <w:proofErr w:type="spellEnd"/>
      <w:r w:rsidRPr="001D3651">
        <w:rPr>
          <w:b/>
          <w:bCs/>
          <w:rtl/>
        </w:rPr>
        <w:t xml:space="preserve"> والمسلمين وغيرهم من الأقليات؛ و(ج) اتخاذ كل التدابير اللازمة لمنع حدوث الاعتداءات العنصرية، ولضمان التحقيق الشامل فيها ومقاضاة المتهمين بارتكابها ومعاقبتهم، إذا ثبتت إدانتهم، بعقوبات مناسبة، وتقديم التعويضات الملائمة للضحايا؛ و(د) حظر أية دعوة إلى الكراهية القومية أو العرقية أو الدينية تشكل تحريضا على التمييز أو العداء أو العنف.</w:t>
      </w:r>
    </w:p>
    <w:p w14:paraId="4B933DBD" w14:textId="77777777" w:rsidR="0093415D" w:rsidRPr="00FC27A2" w:rsidRDefault="0093415D" w:rsidP="0093415D">
      <w:pPr>
        <w:pStyle w:val="H23GA"/>
        <w:rPr>
          <w:szCs w:val="20"/>
          <w:lang w:val="ar-SA" w:eastAsia="zh-TW" w:bidi="en-GB"/>
        </w:rPr>
      </w:pPr>
      <w:r>
        <w:rPr>
          <w:rtl/>
        </w:rPr>
        <w:tab/>
      </w:r>
      <w:r>
        <w:rPr>
          <w:rtl/>
        </w:rPr>
        <w:tab/>
        <w:t>ملخص ردّ الدولة الطرف</w:t>
      </w:r>
    </w:p>
    <w:p w14:paraId="6AB4593E" w14:textId="2C611A14" w:rsidR="0093415D" w:rsidRPr="00FC27A2" w:rsidRDefault="0093415D" w:rsidP="0093415D">
      <w:pPr>
        <w:pStyle w:val="SingleTxtGA"/>
        <w:rPr>
          <w:szCs w:val="20"/>
          <w:lang w:val="ar-SA" w:eastAsia="zh-TW" w:bidi="en-GB"/>
        </w:rPr>
      </w:pPr>
      <w:r>
        <w:rPr>
          <w:rtl/>
        </w:rPr>
        <w:tab/>
      </w:r>
      <w:r w:rsidR="001D3651">
        <w:rPr>
          <w:rFonts w:hint="cs"/>
          <w:rtl/>
        </w:rPr>
        <w:t>(أ)</w:t>
      </w:r>
      <w:r w:rsidR="001D3651">
        <w:rPr>
          <w:rtl/>
        </w:rPr>
        <w:tab/>
      </w:r>
      <w:r>
        <w:rPr>
          <w:rtl/>
        </w:rPr>
        <w:t>تنسق وزارة الداخلية عمل لجنة منع العنصرية وكره الأجانب ومعاداة السامية وغيرها من أشكال التعصب والقضاء عليها.</w:t>
      </w:r>
      <w:r>
        <w:rPr>
          <w:rFonts w:cs="Times New Roman" w:hint="cs"/>
          <w:rtl/>
        </w:rPr>
        <w:t>‬</w:t>
      </w:r>
      <w:r>
        <w:rPr>
          <w:rtl/>
        </w:rPr>
        <w:t xml:space="preserve"> </w:t>
      </w:r>
      <w:r>
        <w:rPr>
          <w:rFonts w:ascii="Simplified Arabic" w:hAnsi="Simplified Arabic" w:hint="cs"/>
          <w:rtl/>
        </w:rPr>
        <w:t>وقد</w:t>
      </w:r>
      <w:r>
        <w:rPr>
          <w:rtl/>
        </w:rPr>
        <w:t xml:space="preserve"> </w:t>
      </w:r>
      <w:r>
        <w:rPr>
          <w:rFonts w:ascii="Simplified Arabic" w:hAnsi="Simplified Arabic" w:hint="cs"/>
          <w:rtl/>
        </w:rPr>
        <w:t>نفذت</w:t>
      </w:r>
      <w:r>
        <w:rPr>
          <w:rtl/>
        </w:rPr>
        <w:t xml:space="preserve"> </w:t>
      </w:r>
      <w:r>
        <w:rPr>
          <w:rFonts w:ascii="Simplified Arabic" w:hAnsi="Simplified Arabic" w:hint="cs"/>
          <w:rtl/>
        </w:rPr>
        <w:t>تلك</w:t>
      </w:r>
      <w:r>
        <w:rPr>
          <w:rtl/>
        </w:rPr>
        <w:t xml:space="preserve"> </w:t>
      </w:r>
      <w:r>
        <w:rPr>
          <w:rFonts w:ascii="Simplified Arabic" w:hAnsi="Simplified Arabic" w:hint="cs"/>
          <w:rtl/>
        </w:rPr>
        <w:t>اللجنة</w:t>
      </w:r>
      <w:r>
        <w:rPr>
          <w:rtl/>
        </w:rPr>
        <w:t xml:space="preserve"> </w:t>
      </w:r>
      <w:r>
        <w:rPr>
          <w:rFonts w:ascii="Simplified Arabic" w:hAnsi="Simplified Arabic" w:hint="cs"/>
          <w:rtl/>
        </w:rPr>
        <w:t>أنشطة</w:t>
      </w:r>
      <w:r>
        <w:rPr>
          <w:rtl/>
        </w:rPr>
        <w:t xml:space="preserve"> </w:t>
      </w:r>
      <w:r>
        <w:rPr>
          <w:rFonts w:ascii="Simplified Arabic" w:hAnsi="Simplified Arabic" w:hint="cs"/>
          <w:rtl/>
        </w:rPr>
        <w:t>تدريبية</w:t>
      </w:r>
      <w:r>
        <w:rPr>
          <w:rtl/>
        </w:rPr>
        <w:t xml:space="preserve"> </w:t>
      </w:r>
      <w:r>
        <w:rPr>
          <w:rFonts w:ascii="Simplified Arabic" w:hAnsi="Simplified Arabic" w:hint="cs"/>
          <w:rtl/>
        </w:rPr>
        <w:t>وشاركت</w:t>
      </w:r>
      <w:r>
        <w:rPr>
          <w:rtl/>
        </w:rPr>
        <w:t xml:space="preserve"> </w:t>
      </w:r>
      <w:r>
        <w:rPr>
          <w:rFonts w:ascii="Simplified Arabic" w:hAnsi="Simplified Arabic" w:hint="cs"/>
          <w:rtl/>
        </w:rPr>
        <w:t>في</w:t>
      </w:r>
      <w:r>
        <w:rPr>
          <w:rtl/>
        </w:rPr>
        <w:t xml:space="preserve"> </w:t>
      </w:r>
      <w:r>
        <w:rPr>
          <w:rFonts w:ascii="Simplified Arabic" w:hAnsi="Simplified Arabic" w:hint="cs"/>
          <w:rtl/>
        </w:rPr>
        <w:t>فرق</w:t>
      </w:r>
      <w:r>
        <w:rPr>
          <w:rtl/>
        </w:rPr>
        <w:t>ة العمل التشريعية التي أنشئت لتنقيح القانون الجنائي؛</w:t>
      </w:r>
    </w:p>
    <w:p w14:paraId="23D09AB5" w14:textId="490D1C32" w:rsidR="0093415D" w:rsidRPr="00FC27A2" w:rsidRDefault="0093415D" w:rsidP="0093415D">
      <w:pPr>
        <w:pStyle w:val="SingleTxtGA"/>
        <w:rPr>
          <w:szCs w:val="20"/>
          <w:lang w:val="ar-SA" w:eastAsia="zh-TW" w:bidi="en-GB"/>
        </w:rPr>
      </w:pPr>
      <w:r>
        <w:rPr>
          <w:rtl/>
        </w:rPr>
        <w:lastRenderedPageBreak/>
        <w:tab/>
      </w:r>
      <w:r w:rsidR="001D3651">
        <w:rPr>
          <w:rFonts w:hint="cs"/>
          <w:rtl/>
        </w:rPr>
        <w:t>(ب)</w:t>
      </w:r>
      <w:r w:rsidR="001D3651">
        <w:rPr>
          <w:rtl/>
        </w:rPr>
        <w:tab/>
      </w:r>
      <w:r>
        <w:rPr>
          <w:rtl/>
        </w:rPr>
        <w:t xml:space="preserve">ونظمت وزارة الداخلية حفلات موسيقية بعنوان "جيل </w:t>
      </w:r>
      <w:r>
        <w:rPr>
          <w:rFonts w:cs="Times New Roman"/>
          <w:szCs w:val="20"/>
        </w:rPr>
        <w:t>XYZ</w:t>
      </w:r>
      <w:r w:rsidR="001D3651">
        <w:rPr>
          <w:rFonts w:hint="cs"/>
          <w:rtl/>
        </w:rPr>
        <w:t>"</w:t>
      </w:r>
      <w:r>
        <w:rPr>
          <w:rtl/>
        </w:rPr>
        <w:t xml:space="preserve"> لتوعية طلاب المدارس الثانوية بالسياق التاريخي للتعصب تجاه الأقليات. كما استحدثت الوزارة أداة تثقيفية عن المحرقة، تكمل متحف المحرقة في سيريد. وقدمت وزارة التعليم والعلوم والبحوث والرياضة أموالا لمشاريع الإدماج في المدارس؛</w:t>
      </w:r>
    </w:p>
    <w:p w14:paraId="14CBDCE9" w14:textId="0EC78F6A" w:rsidR="0093415D" w:rsidRPr="00FC27A2" w:rsidRDefault="0093415D" w:rsidP="0093415D">
      <w:pPr>
        <w:pStyle w:val="SingleTxtGA"/>
        <w:rPr>
          <w:szCs w:val="20"/>
          <w:lang w:val="ar-SA" w:eastAsia="zh-TW" w:bidi="en-GB"/>
        </w:rPr>
      </w:pPr>
      <w:r>
        <w:rPr>
          <w:rtl/>
        </w:rPr>
        <w:tab/>
      </w:r>
      <w:r w:rsidR="002D1763">
        <w:rPr>
          <w:rFonts w:hint="cs"/>
          <w:rtl/>
        </w:rPr>
        <w:t>(ج)</w:t>
      </w:r>
      <w:r w:rsidR="002D1763">
        <w:rPr>
          <w:rtl/>
        </w:rPr>
        <w:tab/>
      </w:r>
      <w:r>
        <w:rPr>
          <w:rtl/>
        </w:rPr>
        <w:t xml:space="preserve">وعُدل القانون الجنائي بالقانون رقم </w:t>
      </w:r>
      <w:r w:rsidRPr="001D3651">
        <w:rPr>
          <w:rtl/>
        </w:rPr>
        <w:t>316</w:t>
      </w:r>
      <w:r>
        <w:rPr>
          <w:rFonts w:cs="Times New Roman"/>
          <w:szCs w:val="20"/>
          <w:rtl/>
        </w:rPr>
        <w:t>/</w:t>
      </w:r>
      <w:r w:rsidRPr="001D3651">
        <w:rPr>
          <w:rtl/>
        </w:rPr>
        <w:t>2016</w:t>
      </w:r>
      <w:r>
        <w:rPr>
          <w:rFonts w:cs="Times New Roman"/>
          <w:szCs w:val="20"/>
          <w:rtl/>
        </w:rPr>
        <w:t xml:space="preserve"> </w:t>
      </w:r>
      <w:proofErr w:type="spellStart"/>
      <w:r>
        <w:rPr>
          <w:rFonts w:cs="Times New Roman"/>
          <w:szCs w:val="20"/>
          <w:rtl/>
        </w:rPr>
        <w:t>Coll</w:t>
      </w:r>
      <w:proofErr w:type="spellEnd"/>
      <w:r>
        <w:rPr>
          <w:rFonts w:cs="Times New Roman"/>
          <w:szCs w:val="20"/>
          <w:rtl/>
        </w:rPr>
        <w:t>.</w:t>
      </w:r>
      <w:r>
        <w:rPr>
          <w:rtl/>
        </w:rPr>
        <w:t xml:space="preserve"> وسُنت النسخة المعدلة في </w:t>
      </w:r>
      <w:r w:rsidRPr="001D3651">
        <w:rPr>
          <w:rtl/>
        </w:rPr>
        <w:t>1</w:t>
      </w:r>
      <w:r>
        <w:rPr>
          <w:rtl/>
        </w:rPr>
        <w:t xml:space="preserve"> كانون الثاني/يناير </w:t>
      </w:r>
      <w:r w:rsidRPr="001D3651">
        <w:rPr>
          <w:rtl/>
        </w:rPr>
        <w:t>2017</w:t>
      </w:r>
      <w:r>
        <w:rPr>
          <w:rtl/>
        </w:rPr>
        <w:t xml:space="preserve"> وتضمنت أحكاما في المادة </w:t>
      </w:r>
      <w:r w:rsidRPr="001D3651">
        <w:rPr>
          <w:rtl/>
        </w:rPr>
        <w:t>140</w:t>
      </w:r>
      <w:r>
        <w:rPr>
          <w:rtl/>
        </w:rPr>
        <w:t xml:space="preserve"> تهدف إلى تسهيل الملاحقة القضائية على جرائم الكراهية ذات الدوافع العنصرية. ونفذت لجنة منع العنصرية وكره الأجانب ومعاداة السامية وغيرها من أشكال التعصب والقضاء عليها برنامجا تثقيفيا يهدف إلى تعزيز قدرة موظفي إنفاذ القانون على تحديد الجرائم ذات الدوافع العنصرية والتحقيق فيها. وتقرر عقد حلقات عمل تدريبية للقضاة والمدعين العامين في عامي </w:t>
      </w:r>
      <w:r w:rsidRPr="001D3651">
        <w:rPr>
          <w:rtl/>
        </w:rPr>
        <w:t>2017</w:t>
      </w:r>
      <w:r>
        <w:rPr>
          <w:rtl/>
        </w:rPr>
        <w:t xml:space="preserve"> و</w:t>
      </w:r>
      <w:r w:rsidRPr="001D3651">
        <w:rPr>
          <w:rtl/>
        </w:rPr>
        <w:t>2018</w:t>
      </w:r>
      <w:r>
        <w:rPr>
          <w:rtl/>
        </w:rPr>
        <w:t>؛</w:t>
      </w:r>
    </w:p>
    <w:p w14:paraId="6BE6913C" w14:textId="5F1DA8E8" w:rsidR="0093415D" w:rsidRPr="00FC27A2" w:rsidRDefault="0093415D" w:rsidP="0093415D">
      <w:pPr>
        <w:pStyle w:val="SingleTxtGA"/>
        <w:rPr>
          <w:szCs w:val="20"/>
          <w:lang w:val="ar-SA" w:eastAsia="zh-TW" w:bidi="en-GB"/>
        </w:rPr>
      </w:pPr>
      <w:r>
        <w:rPr>
          <w:rtl/>
        </w:rPr>
        <w:tab/>
      </w:r>
      <w:r w:rsidR="002D1763">
        <w:rPr>
          <w:rFonts w:hint="cs"/>
          <w:rtl/>
        </w:rPr>
        <w:t>(د)</w:t>
      </w:r>
      <w:r w:rsidR="002D1763">
        <w:rPr>
          <w:rtl/>
        </w:rPr>
        <w:tab/>
      </w:r>
      <w:r>
        <w:rPr>
          <w:rtl/>
        </w:rPr>
        <w:t>ويتضمن القانون الجنائي المعدل أحكاما تجرم التحريض على الكراهية القومية والعرقية والإثنية.</w:t>
      </w:r>
    </w:p>
    <w:p w14:paraId="075EACA7" w14:textId="77777777" w:rsidR="0093415D" w:rsidRPr="00FC27A2" w:rsidRDefault="0093415D" w:rsidP="0093415D">
      <w:pPr>
        <w:pStyle w:val="H23GA"/>
        <w:rPr>
          <w:szCs w:val="20"/>
          <w:lang w:val="ar-SA" w:eastAsia="zh-TW" w:bidi="en-GB"/>
        </w:rPr>
      </w:pPr>
      <w:r>
        <w:rPr>
          <w:rtl/>
        </w:rPr>
        <w:tab/>
      </w:r>
      <w:r>
        <w:rPr>
          <w:rtl/>
        </w:rPr>
        <w:tab/>
        <w:t>تقييم اللجنة:</w:t>
      </w:r>
    </w:p>
    <w:p w14:paraId="56122DE7" w14:textId="77777777" w:rsidR="0093415D" w:rsidRPr="00FC27A2" w:rsidRDefault="0093415D" w:rsidP="0093415D">
      <w:pPr>
        <w:pStyle w:val="SingleTxtGA"/>
        <w:rPr>
          <w:szCs w:val="20"/>
          <w:lang w:val="ar-SA" w:eastAsia="zh-TW" w:bidi="en-GB"/>
        </w:rPr>
      </w:pPr>
      <w:r>
        <w:rPr>
          <w:rtl/>
        </w:rPr>
        <w:t>[</w:t>
      </w:r>
      <w:r w:rsidRPr="002D1763">
        <w:rPr>
          <w:b/>
          <w:bCs/>
          <w:rtl/>
        </w:rPr>
        <w:t>باء</w:t>
      </w:r>
      <w:r>
        <w:rPr>
          <w:rtl/>
        </w:rPr>
        <w:t>]: (أ) و(ب) و(ج) و(د)</w:t>
      </w:r>
    </w:p>
    <w:p w14:paraId="1277C958" w14:textId="532D1FC5" w:rsidR="0093415D" w:rsidRPr="00FC27A2" w:rsidRDefault="0093415D" w:rsidP="0093415D">
      <w:pPr>
        <w:pStyle w:val="SingleTxtGA"/>
        <w:rPr>
          <w:szCs w:val="20"/>
          <w:lang w:val="ar-SA" w:eastAsia="zh-TW" w:bidi="en-GB"/>
        </w:rPr>
      </w:pPr>
      <w:r>
        <w:rPr>
          <w:rtl/>
        </w:rPr>
        <w:tab/>
        <w:t xml:space="preserve">ترحب اللجنة بالمعلومات المقدمة عن أنشطة التوعية والتثقيف، بما في ذلك حفلات "جيل </w:t>
      </w:r>
      <w:r>
        <w:rPr>
          <w:rFonts w:cs="Times New Roman"/>
          <w:szCs w:val="20"/>
        </w:rPr>
        <w:t>XYZ</w:t>
      </w:r>
      <w:r w:rsidR="00ED124F">
        <w:rPr>
          <w:rFonts w:hint="cs"/>
          <w:rtl/>
        </w:rPr>
        <w:t>"</w:t>
      </w:r>
      <w:r>
        <w:rPr>
          <w:rtl/>
        </w:rPr>
        <w:t xml:space="preserve"> الموسيقية والمشاريع الرامية إلى إدماج الأقليات، التي تديرها وزارة التعليم والعلوم والبحوث والرياضة. وتطلب معلومات أكثر تفصيلا</w:t>
      </w:r>
      <w:r w:rsidR="00ED124F">
        <w:rPr>
          <w:rFonts w:hint="cs"/>
          <w:rtl/>
        </w:rPr>
        <w:t>ً</w:t>
      </w:r>
      <w:r>
        <w:rPr>
          <w:rtl/>
        </w:rPr>
        <w:t xml:space="preserve"> عن هذه الأنشطة، بما في ذلك وقت وقوعها، وعدد الأفراد الذين شاركوا خلال الفترة المشمولة بالتقرير، وأية بيانات متاحة عن أثرها الموضوعي. كما تسعى اللجنة إلى الحصول على معلومات عما إذا كان من المزمع القيام بمزيد من أنشطة التوعية في المستقبل، وعن أي تدابير أوسع نطاقا</w:t>
      </w:r>
      <w:r w:rsidR="000A1045">
        <w:rPr>
          <w:rFonts w:hint="cs"/>
          <w:rtl/>
        </w:rPr>
        <w:t>ً</w:t>
      </w:r>
      <w:r>
        <w:rPr>
          <w:rtl/>
        </w:rPr>
        <w:t xml:space="preserve"> اتخذت خلال الفترة المشمولة بالتقرير لتعزيز التسامح وتهيئة بيئة تشمل الأشخاص المنتمين إلى أقليات إثنية وقومية وعرقية ودينية وغيرها.</w:t>
      </w:r>
    </w:p>
    <w:p w14:paraId="1873E0F4" w14:textId="77777777" w:rsidR="0093415D" w:rsidRPr="00FC27A2" w:rsidRDefault="0093415D" w:rsidP="0093415D">
      <w:pPr>
        <w:pStyle w:val="SingleTxtGA"/>
        <w:rPr>
          <w:szCs w:val="20"/>
          <w:lang w:val="ar-SA" w:eastAsia="zh-TW" w:bidi="en-GB"/>
        </w:rPr>
      </w:pPr>
      <w:r>
        <w:rPr>
          <w:rtl/>
        </w:rPr>
        <w:tab/>
        <w:t xml:space="preserve">وترحب اللجنة بالمعلومات المتعلقة </w:t>
      </w:r>
      <w:proofErr w:type="spellStart"/>
      <w:r>
        <w:rPr>
          <w:rtl/>
        </w:rPr>
        <w:t>بتنقيحات</w:t>
      </w:r>
      <w:proofErr w:type="spellEnd"/>
      <w:r>
        <w:rPr>
          <w:rtl/>
        </w:rPr>
        <w:t xml:space="preserve"> القانون الجنائي وأنشطة التدريب الرامية إلى تحسين الملاحقة القضائية على الجرائم ذات الدوافع العنصرية. ومع ذلك، تطلب مزيدا من المعلومات عن توقيت هذه الأنشطة التدريبية، وعدد الأشخاص المدربين، وأثر التدريب. وتطلب أيضا بيانات عن عدد التحقيقات والملاحقات القضائية المتعلقة بالهجمات العنصرية المرتكبة خلال الفترة المشمولة بالتقرير، وتفاصيل عن الجزاءات المفروضة على الجناة والتعويضات المقدمة إلى الضحايا في قضايا الاعتداءات العنصرية.</w:t>
      </w:r>
    </w:p>
    <w:p w14:paraId="3089BC05" w14:textId="77777777" w:rsidR="0093415D" w:rsidRPr="00FC27A2" w:rsidRDefault="0093415D" w:rsidP="0093415D">
      <w:pPr>
        <w:pStyle w:val="SingleTxtGA"/>
        <w:rPr>
          <w:szCs w:val="20"/>
          <w:lang w:val="ar-SA" w:eastAsia="zh-TW" w:bidi="en-GB"/>
        </w:rPr>
      </w:pPr>
      <w:r>
        <w:rPr>
          <w:rtl/>
        </w:rPr>
        <w:tab/>
        <w:t xml:space="preserve">وترحب اللجنة </w:t>
      </w:r>
      <w:proofErr w:type="spellStart"/>
      <w:r>
        <w:rPr>
          <w:rtl/>
        </w:rPr>
        <w:t>بالتنقيحات</w:t>
      </w:r>
      <w:proofErr w:type="spellEnd"/>
      <w:r>
        <w:rPr>
          <w:rtl/>
        </w:rPr>
        <w:t xml:space="preserve"> المدخلة على المادة </w:t>
      </w:r>
      <w:r w:rsidRPr="001D3651">
        <w:rPr>
          <w:rtl/>
        </w:rPr>
        <w:t>424</w:t>
      </w:r>
      <w:r>
        <w:rPr>
          <w:rtl/>
        </w:rPr>
        <w:t xml:space="preserve"> من القانون الجنائي التي تجرم التحريض على الكراهية لأسباب متعددة. وتطلب معلومات عن التدابير التي اتخذت بعد </w:t>
      </w:r>
      <w:proofErr w:type="spellStart"/>
      <w:r>
        <w:rPr>
          <w:rtl/>
        </w:rPr>
        <w:t>التنقيحات</w:t>
      </w:r>
      <w:proofErr w:type="spellEnd"/>
      <w:r>
        <w:rPr>
          <w:rtl/>
        </w:rPr>
        <w:t xml:space="preserve"> لضمان الفعالية في تنفيذ هذه المعايير القانونية المنقحة.</w:t>
      </w:r>
    </w:p>
    <w:p w14:paraId="2EFEDB51" w14:textId="77777777" w:rsidR="0093415D" w:rsidRPr="00FC27A2" w:rsidRDefault="0093415D" w:rsidP="000A1045">
      <w:pPr>
        <w:pStyle w:val="H23GA"/>
        <w:rPr>
          <w:szCs w:val="20"/>
          <w:lang w:val="ar-SA" w:eastAsia="zh-TW" w:bidi="en-GB"/>
        </w:rPr>
      </w:pPr>
      <w:r>
        <w:rPr>
          <w:rtl/>
        </w:rPr>
        <w:tab/>
      </w:r>
      <w:r>
        <w:rPr>
          <w:rtl/>
        </w:rPr>
        <w:tab/>
        <w:t xml:space="preserve">الفقرة </w:t>
      </w:r>
      <w:r w:rsidRPr="001D3651">
        <w:rPr>
          <w:rtl/>
        </w:rPr>
        <w:t>25</w:t>
      </w:r>
      <w:r>
        <w:rPr>
          <w:rFonts w:ascii="Traditional Arabic"/>
          <w:szCs w:val="20"/>
        </w:rPr>
        <w:t>:</w:t>
      </w:r>
      <w:r>
        <w:rPr>
          <w:rtl/>
        </w:rPr>
        <w:t xml:space="preserve"> العنف بالمرأة والطفل، بما في ذلك العنف المنزلي</w:t>
      </w:r>
      <w:r>
        <w:rPr>
          <w:rFonts w:cs="Times New Roman" w:hint="cs"/>
          <w:rtl/>
        </w:rPr>
        <w:t>‬</w:t>
      </w:r>
      <w:r>
        <w:rPr>
          <w:rFonts w:cs="Times New Roman" w:hint="cs"/>
          <w:rtl/>
        </w:rPr>
        <w:t>‬</w:t>
      </w:r>
      <w:r>
        <w:rPr>
          <w:rFonts w:cs="Times New Roman" w:hint="cs"/>
          <w:rtl/>
        </w:rPr>
        <w:t>‬</w:t>
      </w:r>
      <w:r>
        <w:rPr>
          <w:rFonts w:cs="Times New Roman" w:hint="cs"/>
          <w:rtl/>
        </w:rPr>
        <w:t>‬</w:t>
      </w:r>
    </w:p>
    <w:p w14:paraId="0230818E" w14:textId="05289A2B" w:rsidR="0093415D" w:rsidRPr="000A1045" w:rsidRDefault="0093415D" w:rsidP="0093415D">
      <w:pPr>
        <w:pStyle w:val="SingleTxtGA"/>
        <w:rPr>
          <w:b/>
          <w:bCs/>
          <w:szCs w:val="20"/>
          <w:lang w:val="ar-SA" w:eastAsia="zh-TW" w:bidi="en-GB"/>
        </w:rPr>
      </w:pPr>
      <w:r w:rsidRPr="000A1045">
        <w:rPr>
          <w:b/>
          <w:bCs/>
          <w:rtl/>
        </w:rPr>
        <w:tab/>
        <w:t xml:space="preserve">ينبغي للدولة الطرف: (أ) ضمان حصول النساء ضحايا العنف على الحماية والمساعدة على نحو ملائم؛ و(ب) ضمان ملاحقة مرتكبي أعمال العنف بالنساء، وفي حال إدانتهم، فرض عقوبات مناسبة عليهم؛ و(ج) التسريع بسنّ القانون المتعلق بمنع العنف بالمرأة والعنف المنزلي والقضاء عليهما؛ و(د) ضمان حصول جميع النساء دون تمييز على العلاج الطبي، بما في ذلك الحصول على </w:t>
      </w:r>
      <w:r w:rsidRPr="000A1045">
        <w:rPr>
          <w:b/>
          <w:bCs/>
          <w:rtl/>
        </w:rPr>
        <w:lastRenderedPageBreak/>
        <w:t>الرعاية في مجال الصحة الإنجابية؛ و(ه) النظر في التصديق على اتفاقية مجلس أوروبا للوقاية من العنف ضد النساء والعنف المنزلي ومكافحتهما (اتفاقية اسطنبول).</w:t>
      </w:r>
    </w:p>
    <w:p w14:paraId="19E6D0DF" w14:textId="77777777" w:rsidR="0093415D" w:rsidRPr="00FC27A2" w:rsidRDefault="0093415D" w:rsidP="0093415D">
      <w:pPr>
        <w:pStyle w:val="H23GA"/>
        <w:rPr>
          <w:szCs w:val="20"/>
          <w:lang w:val="ar-SA" w:eastAsia="zh-TW" w:bidi="en-GB"/>
        </w:rPr>
      </w:pPr>
      <w:r>
        <w:rPr>
          <w:rtl/>
        </w:rPr>
        <w:tab/>
      </w:r>
      <w:r>
        <w:rPr>
          <w:rtl/>
        </w:rPr>
        <w:tab/>
        <w:t>ملخص ردّ الدولة الطرف</w:t>
      </w:r>
      <w:bookmarkStart w:id="1" w:name="_Hlk62813093"/>
      <w:bookmarkEnd w:id="1"/>
    </w:p>
    <w:p w14:paraId="46E7BBE7" w14:textId="7EC03059" w:rsidR="0093415D" w:rsidRPr="00FC27A2" w:rsidRDefault="0093415D" w:rsidP="0093415D">
      <w:pPr>
        <w:pStyle w:val="SingleTxtGA"/>
        <w:rPr>
          <w:szCs w:val="20"/>
          <w:lang w:val="ar-SA" w:eastAsia="zh-TW" w:bidi="en-GB"/>
        </w:rPr>
      </w:pPr>
      <w:r>
        <w:rPr>
          <w:rtl/>
        </w:rPr>
        <w:tab/>
      </w:r>
      <w:r w:rsidR="00C617BC">
        <w:rPr>
          <w:rFonts w:hint="cs"/>
          <w:rtl/>
        </w:rPr>
        <w:t>(أ)</w:t>
      </w:r>
      <w:r w:rsidR="00C617BC">
        <w:rPr>
          <w:rtl/>
        </w:rPr>
        <w:tab/>
      </w:r>
      <w:r>
        <w:rPr>
          <w:rtl/>
        </w:rPr>
        <w:t xml:space="preserve">في عام </w:t>
      </w:r>
      <w:r w:rsidRPr="001D3651">
        <w:rPr>
          <w:rtl/>
        </w:rPr>
        <w:t>2015</w:t>
      </w:r>
      <w:r>
        <w:rPr>
          <w:rtl/>
        </w:rPr>
        <w:t xml:space="preserve">، أنشأ مكتب المدعي العام خطا مجانيا لضحايا الانتهاكات، بما في ذلك العنف الأسري. ويكلف قانون ضحايا الجريمة، الذي صدر في </w:t>
      </w:r>
      <w:r w:rsidRPr="001D3651">
        <w:rPr>
          <w:rtl/>
        </w:rPr>
        <w:t>1</w:t>
      </w:r>
      <w:r>
        <w:rPr>
          <w:rtl/>
        </w:rPr>
        <w:t xml:space="preserve"> كانون الثاني/يناير </w:t>
      </w:r>
      <w:r w:rsidRPr="001D3651">
        <w:rPr>
          <w:rtl/>
        </w:rPr>
        <w:t>2018</w:t>
      </w:r>
      <w:r>
        <w:rPr>
          <w:rtl/>
        </w:rPr>
        <w:t>، وزارة العمل والشؤون الاجتماعية والأسرة بتنسيق نظام لمنع العنف المنزلي؛</w:t>
      </w:r>
    </w:p>
    <w:p w14:paraId="432062F0" w14:textId="295D330B" w:rsidR="0093415D" w:rsidRPr="00FC27A2" w:rsidRDefault="0093415D" w:rsidP="0093415D">
      <w:pPr>
        <w:pStyle w:val="SingleTxtGA"/>
        <w:rPr>
          <w:szCs w:val="20"/>
          <w:lang w:val="ar-SA" w:eastAsia="zh-TW" w:bidi="en-GB"/>
        </w:rPr>
      </w:pPr>
      <w:r>
        <w:rPr>
          <w:rtl/>
        </w:rPr>
        <w:tab/>
      </w:r>
      <w:r w:rsidR="00C617BC">
        <w:rPr>
          <w:rFonts w:hint="cs"/>
          <w:rtl/>
        </w:rPr>
        <w:t>(ب)</w:t>
      </w:r>
      <w:r w:rsidR="00C617BC">
        <w:rPr>
          <w:rtl/>
        </w:rPr>
        <w:tab/>
      </w:r>
      <w:r>
        <w:rPr>
          <w:rtl/>
        </w:rPr>
        <w:t>وقد عدل قانون ضحايا الجريمة القانون الجنائي وسمح بفرض عقوبات أشد على الجرائم المقترنة بظروف مشددة، بما في ذلك العنف الجنسي. واتخذ مكتب المدعي العام مجموعة من التدابير لضمان الملاحقة القضائية على العنف بالمرأة، بما في ذلك المشاركة في تقييم الأحكام القانونية ذات الصلة، ووضع وتنفيذ خطط عمل وطنية والمشاركة في إعداد قانون ضحايا الجريمة؛</w:t>
      </w:r>
    </w:p>
    <w:p w14:paraId="4C8058BE" w14:textId="39C2E452" w:rsidR="0093415D" w:rsidRPr="00FC27A2" w:rsidRDefault="0093415D" w:rsidP="0093415D">
      <w:pPr>
        <w:pStyle w:val="SingleTxtGA"/>
        <w:rPr>
          <w:szCs w:val="20"/>
          <w:lang w:val="ar-SA" w:eastAsia="zh-TW" w:bidi="en-GB"/>
        </w:rPr>
      </w:pPr>
      <w:r>
        <w:rPr>
          <w:rtl/>
        </w:rPr>
        <w:tab/>
      </w:r>
      <w:r w:rsidR="00C617BC">
        <w:rPr>
          <w:rFonts w:hint="cs"/>
          <w:rtl/>
        </w:rPr>
        <w:t>(ج)</w:t>
      </w:r>
      <w:r w:rsidR="00C617BC">
        <w:rPr>
          <w:rtl/>
        </w:rPr>
        <w:tab/>
      </w:r>
      <w:r>
        <w:rPr>
          <w:rtl/>
        </w:rPr>
        <w:t xml:space="preserve">ويتضمن قانون ضحايا الجريمة تعريفا لضحايا الجريمة ويتضمن جرائم العنف المنزلي. وينقح أيضا قانون التقادم فيما يتعلق بجرائم مثل الاتجار بالبشر والاعتداء الجنسي واستغلال الأطفال في المواد الإباحية والاغتصاب، وينص على تمديد أجل التقادم من </w:t>
      </w:r>
      <w:r w:rsidRPr="001D3651">
        <w:rPr>
          <w:rtl/>
        </w:rPr>
        <w:t>3</w:t>
      </w:r>
      <w:r>
        <w:rPr>
          <w:rtl/>
        </w:rPr>
        <w:t xml:space="preserve"> سنوات بعد بلوغ الضحية سن الثامنة عشرة إلى </w:t>
      </w:r>
      <w:r w:rsidRPr="001D3651">
        <w:rPr>
          <w:rtl/>
        </w:rPr>
        <w:t>15</w:t>
      </w:r>
      <w:r>
        <w:rPr>
          <w:rtl/>
        </w:rPr>
        <w:t xml:space="preserve"> سنة بعد ذلك التاريخ، ويمنح ضحايا الجريمة الحق في المساعدة القانونية؛</w:t>
      </w:r>
      <w:bookmarkStart w:id="2" w:name="_Hlk62812883"/>
    </w:p>
    <w:bookmarkEnd w:id="2"/>
    <w:p w14:paraId="72D95CC4" w14:textId="60656539" w:rsidR="0093415D" w:rsidRPr="00FC27A2" w:rsidRDefault="0093415D" w:rsidP="0093415D">
      <w:pPr>
        <w:pStyle w:val="SingleTxtGA"/>
        <w:rPr>
          <w:szCs w:val="20"/>
          <w:lang w:val="ar-SA" w:eastAsia="zh-TW" w:bidi="en-GB"/>
        </w:rPr>
      </w:pPr>
      <w:r>
        <w:rPr>
          <w:rtl/>
        </w:rPr>
        <w:tab/>
      </w:r>
      <w:r w:rsidR="00C617BC">
        <w:rPr>
          <w:rFonts w:hint="cs"/>
          <w:rtl/>
        </w:rPr>
        <w:t>(د)</w:t>
      </w:r>
      <w:r w:rsidR="00C617BC">
        <w:rPr>
          <w:rtl/>
        </w:rPr>
        <w:tab/>
      </w:r>
      <w:r>
        <w:rPr>
          <w:rtl/>
        </w:rPr>
        <w:t xml:space="preserve">وينص القانون رقم </w:t>
      </w:r>
      <w:r w:rsidRPr="001D3651">
        <w:rPr>
          <w:rtl/>
        </w:rPr>
        <w:t>567</w:t>
      </w:r>
      <w:r>
        <w:rPr>
          <w:rFonts w:cs="Times New Roman"/>
          <w:szCs w:val="20"/>
          <w:rtl/>
        </w:rPr>
        <w:t>/</w:t>
      </w:r>
      <w:r w:rsidRPr="001D3651">
        <w:rPr>
          <w:rtl/>
        </w:rPr>
        <w:t>2004</w:t>
      </w:r>
      <w:r>
        <w:rPr>
          <w:rFonts w:cs="Times New Roman"/>
          <w:szCs w:val="20"/>
          <w:rtl/>
        </w:rPr>
        <w:t xml:space="preserve"> </w:t>
      </w:r>
      <w:proofErr w:type="spellStart"/>
      <w:r>
        <w:rPr>
          <w:rFonts w:cs="Times New Roman"/>
          <w:szCs w:val="20"/>
          <w:rtl/>
        </w:rPr>
        <w:t>Coll</w:t>
      </w:r>
      <w:proofErr w:type="spellEnd"/>
      <w:r>
        <w:rPr>
          <w:rFonts w:cs="Times New Roman"/>
          <w:szCs w:val="20"/>
          <w:rtl/>
        </w:rPr>
        <w:t>.</w:t>
      </w:r>
      <w:r>
        <w:rPr>
          <w:rtl/>
        </w:rPr>
        <w:t xml:space="preserve"> المتعلق بالرعاية الصحية على حق كل شخص في الحصول على الرعاية الصحية دون تمييز؛</w:t>
      </w:r>
    </w:p>
    <w:p w14:paraId="17C8D30D" w14:textId="3B8BF801" w:rsidR="0093415D" w:rsidRPr="00FC27A2" w:rsidRDefault="0093415D" w:rsidP="0093415D">
      <w:pPr>
        <w:pStyle w:val="SingleTxtGA"/>
        <w:rPr>
          <w:szCs w:val="20"/>
          <w:lang w:val="ar-SA" w:eastAsia="zh-TW" w:bidi="en-GB"/>
        </w:rPr>
      </w:pPr>
      <w:r>
        <w:rPr>
          <w:rtl/>
        </w:rPr>
        <w:tab/>
      </w:r>
      <w:r w:rsidR="004E3ED6">
        <w:rPr>
          <w:rFonts w:hint="cs"/>
          <w:rtl/>
        </w:rPr>
        <w:t>(ه)</w:t>
      </w:r>
      <w:r w:rsidR="004E3ED6">
        <w:rPr>
          <w:rtl/>
        </w:rPr>
        <w:tab/>
      </w:r>
      <w:r>
        <w:rPr>
          <w:rtl/>
        </w:rPr>
        <w:t>وفي حين لا يتوقع وجود عوائق محددة أمام التصديق على اتفاقية مجلس أوروبا للوقاية من العنف ضد النساء والعنف المنزلي ومكافحتهما (اتفاقية اسطنبول)، فإن الأمر يحتاج إلى مزيد من التشاور مع المجتمع المدني والمجلس الوطني.</w:t>
      </w:r>
    </w:p>
    <w:p w14:paraId="0E555957" w14:textId="77777777" w:rsidR="0093415D" w:rsidRPr="00FC27A2" w:rsidRDefault="0093415D" w:rsidP="0093415D">
      <w:pPr>
        <w:pStyle w:val="H23GA"/>
        <w:rPr>
          <w:szCs w:val="20"/>
          <w:lang w:val="ar-SA" w:eastAsia="zh-TW" w:bidi="en-GB"/>
        </w:rPr>
      </w:pPr>
      <w:r>
        <w:rPr>
          <w:rtl/>
        </w:rPr>
        <w:tab/>
      </w:r>
      <w:r>
        <w:rPr>
          <w:rtl/>
        </w:rPr>
        <w:tab/>
        <w:t>تقييم اللجنة:</w:t>
      </w:r>
    </w:p>
    <w:p w14:paraId="7B511A3F" w14:textId="77777777" w:rsidR="0093415D" w:rsidRPr="004E3ED6" w:rsidRDefault="0093415D" w:rsidP="0093415D">
      <w:pPr>
        <w:pStyle w:val="SingleTxtGA"/>
        <w:rPr>
          <w:szCs w:val="20"/>
          <w:lang w:val="en-US" w:eastAsia="zh-TW" w:bidi="en-GB"/>
        </w:rPr>
      </w:pPr>
      <w:r>
        <w:rPr>
          <w:rtl/>
        </w:rPr>
        <w:t>[</w:t>
      </w:r>
      <w:r w:rsidRPr="004E3ED6">
        <w:rPr>
          <w:b/>
          <w:bCs/>
          <w:rtl/>
        </w:rPr>
        <w:t>باء</w:t>
      </w:r>
      <w:r>
        <w:rPr>
          <w:rtl/>
        </w:rPr>
        <w:t>]: (أ) و(ب) و(ج)</w:t>
      </w:r>
    </w:p>
    <w:p w14:paraId="7168D334" w14:textId="44956958" w:rsidR="0093415D" w:rsidRPr="00FC27A2" w:rsidRDefault="0093415D" w:rsidP="0093415D">
      <w:pPr>
        <w:pStyle w:val="SingleTxtGA"/>
        <w:rPr>
          <w:szCs w:val="20"/>
          <w:lang w:val="ar-SA" w:eastAsia="zh-TW" w:bidi="en-GB"/>
        </w:rPr>
      </w:pPr>
      <w:r>
        <w:rPr>
          <w:rtl/>
        </w:rPr>
        <w:tab/>
        <w:t>تلاحظ اللجنة أن قانون ضحايا الجريمة يكلف وزارة العمل والشؤون الاجتماعية والأسرة بتنسيق نظام لمنع العنف المنزلي. ومع ذلك، تطلب مزيدا من المعلومات عن التدابير المحددة التي اتخذتها الوزارة لضمان هذا التنسيق. وتحيط اللجنة علما</w:t>
      </w:r>
      <w:r w:rsidR="004E3ED6">
        <w:rPr>
          <w:rFonts w:hint="cs"/>
          <w:rtl/>
        </w:rPr>
        <w:t>ً</w:t>
      </w:r>
      <w:r>
        <w:rPr>
          <w:rtl/>
        </w:rPr>
        <w:t xml:space="preserve"> أيضا</w:t>
      </w:r>
      <w:r w:rsidR="004E3ED6">
        <w:rPr>
          <w:rFonts w:hint="cs"/>
          <w:rtl/>
        </w:rPr>
        <w:t>ً</w:t>
      </w:r>
      <w:r>
        <w:rPr>
          <w:rtl/>
        </w:rPr>
        <w:t xml:space="preserve"> بالمعلومات المقدمة بشأن إتاحة خط ساخن لضحايا الاعتداء وتطلب بيانات عن استخدام هذه الخدمة من جانب ضحايا جميع أنواع العنف بالمرأة خلال الفترة المشمولة بالتقرير. وتطلب اللجنة أيضا</w:t>
      </w:r>
      <w:r w:rsidR="004E3ED6">
        <w:rPr>
          <w:rFonts w:hint="cs"/>
          <w:rtl/>
        </w:rPr>
        <w:t>ً</w:t>
      </w:r>
      <w:r>
        <w:rPr>
          <w:rtl/>
        </w:rPr>
        <w:t xml:space="preserve"> معلومات عن أثر جميع تدابير الحماية المعروضة، وعن أي جهود أوسع نطاقا</w:t>
      </w:r>
      <w:r w:rsidR="00081582">
        <w:rPr>
          <w:rFonts w:hint="cs"/>
          <w:rtl/>
        </w:rPr>
        <w:t>ً</w:t>
      </w:r>
      <w:r>
        <w:rPr>
          <w:rtl/>
        </w:rPr>
        <w:t xml:space="preserve"> لتوفير الحماية والمساعدة الشاملتين لضحايا جميع أشكال العنف بالمرأة.</w:t>
      </w:r>
    </w:p>
    <w:p w14:paraId="5D7B5685" w14:textId="77777777" w:rsidR="0093415D" w:rsidRPr="00FC27A2" w:rsidRDefault="0093415D" w:rsidP="0093415D">
      <w:pPr>
        <w:pStyle w:val="SingleTxtGA"/>
        <w:rPr>
          <w:szCs w:val="20"/>
          <w:lang w:val="ar-SA" w:eastAsia="zh-TW" w:bidi="en-GB"/>
        </w:rPr>
      </w:pPr>
      <w:r>
        <w:rPr>
          <w:rtl/>
        </w:rPr>
        <w:tab/>
        <w:t xml:space="preserve">وترحب اللجنة بالتدابير المتخذة لضمان مقاضاة مرتكبي أعمال العنف بالمرأة، بما في ذلك التغييرات التشريعية التي تسمح بتطبيق عقوبات مشددة على مختلف أشكال العنف بالمرأة، وتمديد أجل تقادم الجرائم بالنسبة إلى العديد من أشكال العنف بالنساء والبنات. وتلاحظ اللجنة منح ضحايا الجرائم، بما في ذلك الجرائم التي تنطوي على عنف بالمرأة، حق الحصول على المساعدة القانونية بموجب قانون ضحايا الجريمة. وتطلب معلومات عن الوضع القانوني الحالي لذلك القانون وأثر الإصلاحات، بما في ذلك معلومات إحصائية عن عدد التحقيقات والملاحقات القضائية والإدانات في قضايا العنف الجنسي والعنف </w:t>
      </w:r>
      <w:proofErr w:type="spellStart"/>
      <w:r>
        <w:rPr>
          <w:rtl/>
        </w:rPr>
        <w:t>الجنساني</w:t>
      </w:r>
      <w:proofErr w:type="spellEnd"/>
      <w:r>
        <w:rPr>
          <w:rtl/>
        </w:rPr>
        <w:t xml:space="preserve"> والجزاءات المفروضة.</w:t>
      </w:r>
    </w:p>
    <w:p w14:paraId="5FB3040E" w14:textId="77777777" w:rsidR="0093415D" w:rsidRPr="00FC27A2" w:rsidRDefault="0093415D" w:rsidP="00A0008D">
      <w:pPr>
        <w:pStyle w:val="SingleTxtGA"/>
        <w:keepNext/>
        <w:keepLines/>
        <w:rPr>
          <w:szCs w:val="20"/>
          <w:lang w:val="ar-SA" w:eastAsia="zh-TW" w:bidi="en-GB"/>
        </w:rPr>
      </w:pPr>
      <w:r>
        <w:rPr>
          <w:rtl/>
        </w:rPr>
        <w:lastRenderedPageBreak/>
        <w:t>[</w:t>
      </w:r>
      <w:r w:rsidRPr="00081582">
        <w:rPr>
          <w:b/>
          <w:bCs/>
          <w:rtl/>
        </w:rPr>
        <w:t>جيم</w:t>
      </w:r>
      <w:r>
        <w:rPr>
          <w:rtl/>
        </w:rPr>
        <w:t>]: (د) و(ه)</w:t>
      </w:r>
    </w:p>
    <w:p w14:paraId="71AF81D2" w14:textId="77777777" w:rsidR="0093415D" w:rsidRPr="00FC27A2" w:rsidRDefault="0093415D" w:rsidP="0093415D">
      <w:pPr>
        <w:pStyle w:val="SingleTxtGA"/>
        <w:rPr>
          <w:szCs w:val="20"/>
          <w:lang w:val="ar-SA" w:eastAsia="zh-TW" w:bidi="en-GB"/>
        </w:rPr>
      </w:pPr>
      <w:r>
        <w:rPr>
          <w:rtl/>
        </w:rPr>
        <w:tab/>
        <w:t>تأسف اللجنة لعدم وجود معلومات محددة عن التدابير المتخذة خلال الفترة المشمولة بالتقرير لضمان توفير خدمات الرعاية الصحية، بما في ذلك رعاية الصحة الإنجابية، لجميع النساء، وتؤكد من جديد توصيتها في هذا الخصوص.</w:t>
      </w:r>
    </w:p>
    <w:p w14:paraId="75145557" w14:textId="77777777" w:rsidR="0093415D" w:rsidRPr="00FC27A2" w:rsidRDefault="0093415D" w:rsidP="0093415D">
      <w:pPr>
        <w:pStyle w:val="SingleTxtGA"/>
        <w:rPr>
          <w:szCs w:val="20"/>
          <w:lang w:val="ar-SA" w:eastAsia="zh-TW" w:bidi="en-GB"/>
        </w:rPr>
      </w:pPr>
      <w:r>
        <w:rPr>
          <w:rtl/>
        </w:rPr>
        <w:tab/>
        <w:t>وتلاحظ اللجنة المعلومات المقدمة بشأن عدم وجود عقبات قانونية يتوقع أن تعترض التصديق على اتفاقية مجلس أوروبا للوقاية من العنف ضد النساء والعنف المنزلي ومكافحتهما (اتفاقية اسطنبول) وبشأن الحاجة إلى التشاور مع مختلف الجهات المعنية. ومع ذلك، تأسف اللجنة لعدم توفر معلومات عن الخطوات المتخذة للشروع في هذه الأنشطة التشاورية، وتؤكد من جديد توصيتها في هذا الخصوص.</w:t>
      </w:r>
    </w:p>
    <w:p w14:paraId="281AD4C8" w14:textId="77777777" w:rsidR="0093415D" w:rsidRPr="00FC27A2" w:rsidRDefault="0093415D" w:rsidP="0093415D">
      <w:pPr>
        <w:pStyle w:val="H23GA"/>
        <w:rPr>
          <w:szCs w:val="20"/>
          <w:lang w:val="ar-SA" w:eastAsia="zh-TW" w:bidi="en-GB"/>
        </w:rPr>
      </w:pPr>
      <w:r>
        <w:rPr>
          <w:rtl/>
        </w:rPr>
        <w:tab/>
      </w:r>
      <w:r>
        <w:rPr>
          <w:rtl/>
        </w:rPr>
        <w:tab/>
        <w:t xml:space="preserve">الفقرة </w:t>
      </w:r>
      <w:r w:rsidRPr="001D3651">
        <w:rPr>
          <w:rtl/>
        </w:rPr>
        <w:t>33</w:t>
      </w:r>
      <w:r>
        <w:rPr>
          <w:rFonts w:ascii="Traditional Arabic"/>
          <w:szCs w:val="20"/>
        </w:rPr>
        <w:t>:</w:t>
      </w:r>
      <w:r>
        <w:rPr>
          <w:rtl/>
        </w:rPr>
        <w:t xml:space="preserve"> القصر غير المصحوبين بذويهم</w:t>
      </w:r>
    </w:p>
    <w:p w14:paraId="2861BEF8" w14:textId="0BC4F8CB" w:rsidR="0093415D" w:rsidRPr="005D4B21" w:rsidRDefault="0093415D" w:rsidP="0093415D">
      <w:pPr>
        <w:pStyle w:val="SingleTxtGA"/>
        <w:rPr>
          <w:b/>
          <w:bCs/>
          <w:szCs w:val="20"/>
          <w:lang w:val="ar-SA" w:eastAsia="zh-TW" w:bidi="en-GB"/>
        </w:rPr>
      </w:pPr>
      <w:r w:rsidRPr="005D4B21">
        <w:rPr>
          <w:b/>
          <w:bCs/>
          <w:rtl/>
        </w:rPr>
        <w:tab/>
        <w:t>ينبغي للدولة الطرف: (أ) ضمان تمتع القصّر غير المصحوبين بالحماية المناسبة، وإنشاء سجل، على سبيل الاستعجال، خاص بالأطفال غير المصحوبين المختفين والاضطلاع بعمليات البحث عنهم، بالتعاون مع دول أخرى عند الاقتضاء؛</w:t>
      </w:r>
      <w:r w:rsidRPr="005D4B21">
        <w:rPr>
          <w:rFonts w:cs="Times New Roman" w:hint="cs"/>
          <w:b/>
          <w:bCs/>
          <w:rtl/>
        </w:rPr>
        <w:t>‬</w:t>
      </w:r>
      <w:r w:rsidRPr="005D4B21">
        <w:rPr>
          <w:b/>
          <w:bCs/>
          <w:rtl/>
        </w:rPr>
        <w:t xml:space="preserve"> و(ب) إلغاء افتراض بلوغ سن الرشد من قانون إقامة الأجانب (رقم 404</w:t>
      </w:r>
      <w:r w:rsidRPr="005D4B21">
        <w:rPr>
          <w:rFonts w:cs="Times New Roman"/>
          <w:b/>
          <w:bCs/>
          <w:szCs w:val="20"/>
          <w:rtl/>
        </w:rPr>
        <w:t>/</w:t>
      </w:r>
      <w:r w:rsidRPr="005D4B21">
        <w:rPr>
          <w:b/>
          <w:bCs/>
          <w:rtl/>
        </w:rPr>
        <w:t>2011</w:t>
      </w:r>
      <w:r w:rsidRPr="005D4B21">
        <w:rPr>
          <w:rFonts w:cs="Times New Roman"/>
          <w:b/>
          <w:bCs/>
          <w:szCs w:val="20"/>
          <w:rtl/>
        </w:rPr>
        <w:t xml:space="preserve"> </w:t>
      </w:r>
      <w:proofErr w:type="spellStart"/>
      <w:r w:rsidRPr="005D4B21">
        <w:rPr>
          <w:rFonts w:cs="Times New Roman"/>
          <w:b/>
          <w:bCs/>
          <w:szCs w:val="20"/>
          <w:rtl/>
        </w:rPr>
        <w:t>Coll</w:t>
      </w:r>
      <w:proofErr w:type="spellEnd"/>
      <w:r w:rsidRPr="005D4B21">
        <w:rPr>
          <w:rFonts w:cs="Times New Roman"/>
          <w:b/>
          <w:bCs/>
          <w:szCs w:val="20"/>
          <w:rtl/>
        </w:rPr>
        <w:t>.</w:t>
      </w:r>
      <w:r w:rsidRPr="005D4B21">
        <w:rPr>
          <w:rFonts w:ascii="Traditional Arabic"/>
          <w:b/>
          <w:bCs/>
          <w:szCs w:val="20"/>
          <w:rtl/>
        </w:rPr>
        <w:t>)</w:t>
      </w:r>
      <w:r w:rsidRPr="005D4B21">
        <w:rPr>
          <w:b/>
          <w:bCs/>
          <w:rtl/>
        </w:rPr>
        <w:t xml:space="preserve"> وضمان ألا يَضطلع بإجراءات تقدير السن سوى الخبراء في هذا المجال وفقط في حالات وجود شك معقول حيال سن الشخص المعني، حفاظاً على المصلحة الفضلى للطفل؛ و</w:t>
      </w:r>
      <w:dir w:val="rtl">
        <w:r w:rsidRPr="005D4B21">
          <w:rPr>
            <w:b/>
            <w:bCs/>
            <w:rtl/>
          </w:rPr>
          <w:t>(ج</w:t>
        </w:r>
        <w:r w:rsidRPr="005D4B21">
          <w:rPr>
            <w:rFonts w:ascii="Traditional Arabic"/>
            <w:b/>
            <w:bCs/>
            <w:szCs w:val="20"/>
            <w:rtl/>
          </w:rPr>
          <w:t>)</w:t>
        </w:r>
        <w:r w:rsidRPr="005D4B21">
          <w:rPr>
            <w:b/>
            <w:bCs/>
            <w:rtl/>
          </w:rPr>
          <w:t xml:space="preserve"> ضمان حصول الأطفال ملتمسي اللجوء، ولا سيما الأطفال غير المصحوبين، على التعليم والخدمات الاجتماعية والنفسية والمساعدة القانونية، وتزويدهم دون تأخير بممثل قانوني و/أو وصي.</w:t>
        </w:r>
        <w:r w:rsidRPr="005D4B21">
          <w:rPr>
            <w:rFonts w:cs="Times New Roman" w:hint="cs"/>
            <w:b/>
            <w:bCs/>
            <w:rtl/>
          </w:rPr>
          <w:t>‬</w:t>
        </w:r>
        <w:r w:rsidRPr="005D4B21">
          <w:rPr>
            <w:b/>
            <w:bCs/>
          </w:rPr>
          <w:t>‬</w:t>
        </w:r>
        <w:r w:rsidR="002D7555">
          <w:t>‬</w:t>
        </w:r>
      </w:dir>
    </w:p>
    <w:p w14:paraId="48E8006B" w14:textId="77777777" w:rsidR="0093415D" w:rsidRPr="00FC27A2" w:rsidRDefault="0093415D" w:rsidP="0093415D">
      <w:pPr>
        <w:pStyle w:val="H23GA"/>
        <w:rPr>
          <w:szCs w:val="20"/>
          <w:lang w:val="ar-SA" w:eastAsia="zh-TW" w:bidi="en-GB"/>
        </w:rPr>
      </w:pPr>
      <w:r>
        <w:rPr>
          <w:rtl/>
        </w:rPr>
        <w:tab/>
      </w:r>
      <w:r>
        <w:rPr>
          <w:rtl/>
        </w:rPr>
        <w:tab/>
        <w:t>ملخص ردّ الدولة الطرف</w:t>
      </w:r>
    </w:p>
    <w:p w14:paraId="0764D7ED" w14:textId="120123EB" w:rsidR="0093415D" w:rsidRPr="00FC27A2" w:rsidRDefault="0093415D" w:rsidP="0093415D">
      <w:pPr>
        <w:pStyle w:val="SingleTxtGA"/>
        <w:rPr>
          <w:szCs w:val="20"/>
          <w:lang w:val="ar-SA" w:eastAsia="zh-TW" w:bidi="en-GB"/>
        </w:rPr>
      </w:pPr>
      <w:r>
        <w:rPr>
          <w:rtl/>
        </w:rPr>
        <w:tab/>
      </w:r>
      <w:r w:rsidR="009D59F1">
        <w:rPr>
          <w:rFonts w:hint="cs"/>
          <w:rtl/>
        </w:rPr>
        <w:t>(أ)</w:t>
      </w:r>
      <w:r w:rsidR="009D59F1">
        <w:rPr>
          <w:rtl/>
        </w:rPr>
        <w:tab/>
      </w:r>
      <w:r>
        <w:rPr>
          <w:rtl/>
        </w:rPr>
        <w:t xml:space="preserve">تتحمل قوة الشرطة المسؤولية عن المفقودين بموجب القانون رقم </w:t>
      </w:r>
      <w:r w:rsidR="008E1EA1">
        <w:rPr>
          <w:rFonts w:hint="cs"/>
          <w:rtl/>
        </w:rPr>
        <w:t>171/1993</w:t>
      </w:r>
      <w:r>
        <w:rPr>
          <w:rFonts w:ascii="Traditional Arabic"/>
          <w:szCs w:val="20"/>
          <w:rtl/>
        </w:rPr>
        <w:t>.</w:t>
      </w:r>
      <w:r>
        <w:rPr>
          <w:rtl/>
        </w:rPr>
        <w:t xml:space="preserve"> وتُدرج البيانات الشخصية المتعلقة بالأطفال المفقودين في نظام معلومات </w:t>
      </w:r>
      <w:r>
        <w:rPr>
          <w:rFonts w:cs="Times New Roman"/>
          <w:szCs w:val="20"/>
        </w:rPr>
        <w:t>PATROS</w:t>
      </w:r>
      <w:r>
        <w:rPr>
          <w:rtl/>
        </w:rPr>
        <w:t xml:space="preserve"> ، المشترك بين البلدان التي تقع في منطقة شنغن، ما يزيل الحاجة إلى تسجيل الأطفال غير المصحوبين المختفين؛</w:t>
      </w:r>
    </w:p>
    <w:p w14:paraId="42BC446A" w14:textId="6986C392" w:rsidR="0093415D" w:rsidRPr="00FC27A2" w:rsidRDefault="0093415D" w:rsidP="0093415D">
      <w:pPr>
        <w:pStyle w:val="SingleTxtGA"/>
        <w:rPr>
          <w:szCs w:val="20"/>
          <w:lang w:val="ar-SA" w:eastAsia="zh-TW" w:bidi="en-GB"/>
        </w:rPr>
      </w:pPr>
      <w:r>
        <w:rPr>
          <w:rtl/>
        </w:rPr>
        <w:tab/>
      </w:r>
      <w:r w:rsidR="009D59F1">
        <w:rPr>
          <w:rFonts w:hint="cs"/>
          <w:rtl/>
        </w:rPr>
        <w:t>(ب)</w:t>
      </w:r>
      <w:r w:rsidR="009D59F1">
        <w:rPr>
          <w:rtl/>
        </w:rPr>
        <w:tab/>
      </w:r>
      <w:r>
        <w:rPr>
          <w:rtl/>
        </w:rPr>
        <w:t xml:space="preserve">وفي </w:t>
      </w:r>
      <w:r w:rsidRPr="001D3651">
        <w:rPr>
          <w:rtl/>
        </w:rPr>
        <w:t>1</w:t>
      </w:r>
      <w:r>
        <w:rPr>
          <w:rtl/>
        </w:rPr>
        <w:t xml:space="preserve"> أيار/مايو </w:t>
      </w:r>
      <w:r w:rsidRPr="001D3651">
        <w:rPr>
          <w:rtl/>
        </w:rPr>
        <w:t>2017</w:t>
      </w:r>
      <w:r>
        <w:rPr>
          <w:rtl/>
        </w:rPr>
        <w:t xml:space="preserve">، عدل القانون رقم </w:t>
      </w:r>
      <w:r w:rsidRPr="001D3651">
        <w:rPr>
          <w:rtl/>
        </w:rPr>
        <w:t>82</w:t>
      </w:r>
      <w:r>
        <w:rPr>
          <w:rFonts w:ascii="Traditional Arabic"/>
          <w:szCs w:val="20"/>
          <w:rtl/>
        </w:rPr>
        <w:t>/</w:t>
      </w:r>
      <w:r w:rsidRPr="001D3651">
        <w:rPr>
          <w:rtl/>
        </w:rPr>
        <w:t>2017</w:t>
      </w:r>
      <w:r>
        <w:rPr>
          <w:rtl/>
        </w:rPr>
        <w:t xml:space="preserve"> القانون رقم </w:t>
      </w:r>
      <w:r w:rsidRPr="001D3651">
        <w:rPr>
          <w:rtl/>
        </w:rPr>
        <w:t>404</w:t>
      </w:r>
      <w:r>
        <w:rPr>
          <w:rFonts w:ascii="Traditional Arabic"/>
          <w:szCs w:val="20"/>
          <w:rtl/>
        </w:rPr>
        <w:t>/</w:t>
      </w:r>
      <w:r w:rsidRPr="001D3651">
        <w:rPr>
          <w:rtl/>
        </w:rPr>
        <w:t>2011</w:t>
      </w:r>
      <w:r>
        <w:rPr>
          <w:rtl/>
        </w:rPr>
        <w:t xml:space="preserve"> بشأن إقامة الأجانب. وتنص المادة </w:t>
      </w:r>
      <w:r w:rsidRPr="001D3651">
        <w:rPr>
          <w:rtl/>
        </w:rPr>
        <w:t>111</w:t>
      </w:r>
      <w:r>
        <w:rPr>
          <w:rtl/>
        </w:rPr>
        <w:t xml:space="preserve"> من القانون المحدث على أنه لا يتعين على القصر غير المصحوبين الوافدين من بلد ثالث الخضوع لإجراءات التحقق من العمر إلا في حال الشك في أنهم ربما بلغوا سن الرشد. ويضطلع أطباء بإجراءات التحقق من العمر؛</w:t>
      </w:r>
    </w:p>
    <w:p w14:paraId="4B995B84" w14:textId="72B54254" w:rsidR="0093415D" w:rsidRPr="00FC27A2" w:rsidRDefault="0093415D" w:rsidP="0093415D">
      <w:pPr>
        <w:pStyle w:val="SingleTxtGA"/>
        <w:rPr>
          <w:szCs w:val="20"/>
          <w:lang w:val="ar-SA" w:eastAsia="zh-TW" w:bidi="en-GB"/>
        </w:rPr>
      </w:pPr>
      <w:r>
        <w:rPr>
          <w:rtl/>
        </w:rPr>
        <w:tab/>
      </w:r>
      <w:r w:rsidR="009D59F1">
        <w:rPr>
          <w:rFonts w:hint="cs"/>
          <w:rtl/>
        </w:rPr>
        <w:t>(ج)</w:t>
      </w:r>
      <w:r w:rsidR="009D59F1">
        <w:rPr>
          <w:rtl/>
        </w:rPr>
        <w:tab/>
      </w:r>
      <w:r>
        <w:rPr>
          <w:rtl/>
        </w:rPr>
        <w:t xml:space="preserve">ويتمتع الأطفال غير المصحوبين بحماية القانون المتعلق بإقامة الأجانب، الذي يحظر توقيف أي طفل أو طرده. وأدخَل تعديل على قانون الحماية الاجتماعية للأطفال والوصاية الاجتماعية التزاما بتمكين القصر غير المصحوبين من الحصول على المشورة والمساعدة القانونيتين. وينص القانون رقم </w:t>
      </w:r>
      <w:r w:rsidRPr="001D3651">
        <w:rPr>
          <w:rtl/>
        </w:rPr>
        <w:t>327</w:t>
      </w:r>
      <w:r>
        <w:rPr>
          <w:rFonts w:ascii="Traditional Arabic"/>
          <w:szCs w:val="20"/>
          <w:rtl/>
        </w:rPr>
        <w:t>/</w:t>
      </w:r>
      <w:r w:rsidRPr="001D3651">
        <w:rPr>
          <w:rtl/>
        </w:rPr>
        <w:t>2005</w:t>
      </w:r>
      <w:r>
        <w:rPr>
          <w:rtl/>
        </w:rPr>
        <w:t xml:space="preserve"> على تقديم المساعدة القانونية المجانية إلى ملتمسي اللجوء. ووفقا للإطار القانوني الوطني، بما في ذلك القانون رقم </w:t>
      </w:r>
      <w:proofErr w:type="spellStart"/>
      <w:r>
        <w:rPr>
          <w:rFonts w:cs="Times New Roman"/>
          <w:szCs w:val="20"/>
          <w:rtl/>
        </w:rPr>
        <w:t>Act</w:t>
      </w:r>
      <w:proofErr w:type="spellEnd"/>
      <w:r>
        <w:rPr>
          <w:rFonts w:cs="Times New Roman"/>
          <w:szCs w:val="20"/>
          <w:rtl/>
        </w:rPr>
        <w:t xml:space="preserve"> </w:t>
      </w:r>
      <w:proofErr w:type="spellStart"/>
      <w:r>
        <w:rPr>
          <w:rFonts w:cs="Times New Roman"/>
          <w:szCs w:val="20"/>
          <w:rtl/>
        </w:rPr>
        <w:t>No</w:t>
      </w:r>
      <w:proofErr w:type="spellEnd"/>
      <w:r>
        <w:rPr>
          <w:rFonts w:cs="Times New Roman"/>
          <w:szCs w:val="20"/>
          <w:rtl/>
        </w:rPr>
        <w:t>.</w:t>
      </w:r>
      <w:r w:rsidR="009D59F1">
        <w:rPr>
          <w:rFonts w:cs="Times New Roman" w:hint="cs"/>
          <w:szCs w:val="20"/>
          <w:rtl/>
        </w:rPr>
        <w:t xml:space="preserve"> </w:t>
      </w:r>
      <w:r w:rsidRPr="001D3651">
        <w:rPr>
          <w:rtl/>
        </w:rPr>
        <w:t>2008</w:t>
      </w:r>
      <w:r w:rsidR="009D59F1" w:rsidRPr="009D59F1">
        <w:rPr>
          <w:rFonts w:hint="cs"/>
          <w:rtl/>
        </w:rPr>
        <w:t>/</w:t>
      </w:r>
      <w:r w:rsidRPr="001D3651">
        <w:rPr>
          <w:rtl/>
        </w:rPr>
        <w:t>245</w:t>
      </w:r>
      <w:r w:rsidR="009D59F1">
        <w:rPr>
          <w:rFonts w:hint="cs"/>
          <w:rtl/>
        </w:rPr>
        <w:t xml:space="preserve"> </w:t>
      </w:r>
      <w:proofErr w:type="spellStart"/>
      <w:r>
        <w:rPr>
          <w:rFonts w:cs="Times New Roman"/>
          <w:szCs w:val="20"/>
          <w:rtl/>
        </w:rPr>
        <w:t>Coll</w:t>
      </w:r>
      <w:proofErr w:type="spellEnd"/>
      <w:r>
        <w:rPr>
          <w:rFonts w:cs="Times New Roman"/>
          <w:szCs w:val="20"/>
          <w:rtl/>
        </w:rPr>
        <w:t>.</w:t>
      </w:r>
      <w:r>
        <w:rPr>
          <w:rtl/>
        </w:rPr>
        <w:t xml:space="preserve"> بشأن التعليم والتدريب، والقانون رقم </w:t>
      </w:r>
      <w:proofErr w:type="spellStart"/>
      <w:r>
        <w:rPr>
          <w:rFonts w:cs="Times New Roman"/>
          <w:szCs w:val="20"/>
          <w:rtl/>
        </w:rPr>
        <w:t>Act</w:t>
      </w:r>
      <w:proofErr w:type="spellEnd"/>
      <w:r>
        <w:rPr>
          <w:rFonts w:cs="Times New Roman"/>
          <w:szCs w:val="20"/>
          <w:rtl/>
        </w:rPr>
        <w:t xml:space="preserve"> </w:t>
      </w:r>
      <w:proofErr w:type="spellStart"/>
      <w:r>
        <w:rPr>
          <w:rFonts w:cs="Times New Roman"/>
          <w:szCs w:val="20"/>
          <w:rtl/>
        </w:rPr>
        <w:t>No</w:t>
      </w:r>
      <w:proofErr w:type="spellEnd"/>
      <w:r>
        <w:rPr>
          <w:rFonts w:cs="Times New Roman"/>
          <w:szCs w:val="20"/>
          <w:rtl/>
        </w:rPr>
        <w:t>.</w:t>
      </w:r>
      <w:r w:rsidR="009B6100">
        <w:rPr>
          <w:rFonts w:cs="Times New Roman" w:hint="cs"/>
          <w:szCs w:val="20"/>
          <w:rtl/>
        </w:rPr>
        <w:t xml:space="preserve"> </w:t>
      </w:r>
      <w:r w:rsidRPr="001D3651">
        <w:rPr>
          <w:rtl/>
        </w:rPr>
        <w:t>2003</w:t>
      </w:r>
      <w:r w:rsidR="009B6100" w:rsidRPr="009B6100">
        <w:rPr>
          <w:rFonts w:hint="cs"/>
          <w:rtl/>
        </w:rPr>
        <w:t>/</w:t>
      </w:r>
      <w:r w:rsidRPr="001D3651">
        <w:rPr>
          <w:rtl/>
        </w:rPr>
        <w:t>596</w:t>
      </w:r>
      <w:r w:rsidR="009B6100">
        <w:rPr>
          <w:rFonts w:cs="Times New Roman" w:hint="cs"/>
          <w:szCs w:val="20"/>
          <w:rtl/>
        </w:rPr>
        <w:t xml:space="preserve"> </w:t>
      </w:r>
      <w:proofErr w:type="spellStart"/>
      <w:r>
        <w:rPr>
          <w:rFonts w:cs="Times New Roman"/>
          <w:szCs w:val="20"/>
          <w:rtl/>
        </w:rPr>
        <w:t>Coll</w:t>
      </w:r>
      <w:proofErr w:type="spellEnd"/>
      <w:r>
        <w:rPr>
          <w:rFonts w:cs="Times New Roman"/>
          <w:szCs w:val="20"/>
          <w:rtl/>
        </w:rPr>
        <w:t>.</w:t>
      </w:r>
      <w:r>
        <w:rPr>
          <w:rtl/>
        </w:rPr>
        <w:t xml:space="preserve"> بشأن الإدارة الحكومية في النظام المدرسي والتنظيم الذاتي للمدارس، يزود الأطفال الذين يلتمسون اللجوء بالتعليم والتدريب بالشروط ذاتها المنطبقة على المواطنين السلوفاكيين. ويقدم أخصائيون في علم نفس الأطفال ووسطاء ثقافيون دعما متزايدا إلى الأطفال ملتمسي اللجوء غير المصحوبين بذويهم. ويحدد قانون الحماية الاجتماعية للأطفال والوصاية الاجتماعية الإجراءات القانونية اللازمة للتعجيل بتعيين وصي على القاصر غير المصحوب.</w:t>
      </w:r>
    </w:p>
    <w:p w14:paraId="5558BBF5" w14:textId="77777777" w:rsidR="0093415D" w:rsidRPr="00FC27A2" w:rsidRDefault="0093415D" w:rsidP="0093415D">
      <w:pPr>
        <w:pStyle w:val="H23GA"/>
        <w:rPr>
          <w:szCs w:val="20"/>
          <w:lang w:val="ar-SA" w:eastAsia="zh-TW" w:bidi="en-GB"/>
        </w:rPr>
      </w:pPr>
      <w:r>
        <w:rPr>
          <w:rtl/>
        </w:rPr>
        <w:lastRenderedPageBreak/>
        <w:tab/>
      </w:r>
      <w:r>
        <w:rPr>
          <w:rtl/>
        </w:rPr>
        <w:tab/>
        <w:t>تقييم اللجنة:</w:t>
      </w:r>
    </w:p>
    <w:p w14:paraId="482F7A26" w14:textId="77777777" w:rsidR="0093415D" w:rsidRPr="00FC27A2" w:rsidRDefault="0093415D" w:rsidP="0093415D">
      <w:pPr>
        <w:pStyle w:val="SingleTxtGA"/>
        <w:rPr>
          <w:szCs w:val="20"/>
          <w:lang w:val="ar-SA" w:eastAsia="zh-TW" w:bidi="en-GB"/>
        </w:rPr>
      </w:pPr>
      <w:r>
        <w:rPr>
          <w:rtl/>
        </w:rPr>
        <w:t>[</w:t>
      </w:r>
      <w:r w:rsidRPr="009B6100">
        <w:rPr>
          <w:b/>
          <w:bCs/>
          <w:rtl/>
        </w:rPr>
        <w:t>جيم</w:t>
      </w:r>
      <w:r>
        <w:rPr>
          <w:rtl/>
        </w:rPr>
        <w:t>] (أ): تحيط اللجنة علما بالمعلومات المتعلقة باختصاص قوات الشرطة في مسألة الأشخاص المفقودين، لكنها تأسف لعدم وجود معلومات محددة عن التدابير المتخذة خلال الفترة المشمولة بالتقرير لمعالجة حالات الأطفال المهاجرين غير المصحوبين الذين فقدوا من دور الحضانة في سلوفاكيا، وتكرر توصيتها في هذا الخصوص. وتطلب اللجنة معلومات عن الجهود المبذولة للبحث عن الأطفال المفقودين، بما في ذلك عدد الأطفال الذين حدد موقعهم في الفترة المشمولة بالتقرير، وتدابير الحماية المتخذة لمنع حدوث المزيد من هذه الحالات في المستقبل. وتأسف اللجنة لعدم وجود معلومات عن التعجيل بوضع سجل محدد للأطفال المختفين غير المصحوبين، وتكرر توصيتها في هذا الخصوص.</w:t>
      </w:r>
    </w:p>
    <w:p w14:paraId="606DDCF8" w14:textId="088ADCC7" w:rsidR="0093415D" w:rsidRPr="00767F2B" w:rsidRDefault="0093415D" w:rsidP="0093415D">
      <w:pPr>
        <w:pStyle w:val="SingleTxtGA"/>
        <w:rPr>
          <w:spacing w:val="-2"/>
          <w:szCs w:val="20"/>
          <w:lang w:val="ar-SA" w:eastAsia="zh-TW" w:bidi="en-GB"/>
        </w:rPr>
      </w:pPr>
      <w:r w:rsidRPr="00767F2B">
        <w:rPr>
          <w:spacing w:val="-2"/>
          <w:rtl/>
        </w:rPr>
        <w:t>[</w:t>
      </w:r>
      <w:r w:rsidRPr="00767F2B">
        <w:rPr>
          <w:b/>
          <w:bCs/>
          <w:spacing w:val="-2"/>
          <w:rtl/>
        </w:rPr>
        <w:t>ب</w:t>
      </w:r>
      <w:r w:rsidR="001008E0">
        <w:rPr>
          <w:rFonts w:hint="cs"/>
          <w:b/>
          <w:bCs/>
          <w:spacing w:val="-2"/>
          <w:rtl/>
        </w:rPr>
        <w:t>اء</w:t>
      </w:r>
      <w:r w:rsidRPr="00767F2B">
        <w:rPr>
          <w:spacing w:val="-2"/>
          <w:rtl/>
        </w:rPr>
        <w:t>] (ب): ترحب اللجنة بالتعديلات التي أدخلت على قانون إقامة الأجانب التي لا تسمح بإجراء عمليات التحقق من العمر إلا في الحالات التي يكون فيها عمر الشخص المعني موضع شك معقول. وتطلب اللجنة معلومات عن التدابير المتخذة لضمان تنفيذ هذه التغييرات التشريعية تنفيذا</w:t>
      </w:r>
      <w:r w:rsidR="00EE38DE" w:rsidRPr="00767F2B">
        <w:rPr>
          <w:rFonts w:hint="cs"/>
          <w:spacing w:val="-2"/>
          <w:rtl/>
        </w:rPr>
        <w:t>ً</w:t>
      </w:r>
      <w:r w:rsidRPr="00767F2B">
        <w:rPr>
          <w:spacing w:val="-2"/>
          <w:rtl/>
        </w:rPr>
        <w:t xml:space="preserve"> فعالا</w:t>
      </w:r>
      <w:r w:rsidR="00EE38DE" w:rsidRPr="00767F2B">
        <w:rPr>
          <w:rFonts w:hint="cs"/>
          <w:spacing w:val="-2"/>
          <w:rtl/>
        </w:rPr>
        <w:t>ً</w:t>
      </w:r>
      <w:r w:rsidRPr="00767F2B">
        <w:rPr>
          <w:spacing w:val="-2"/>
          <w:rtl/>
        </w:rPr>
        <w:t xml:space="preserve"> وعن أثرها في الواقع العملي. وتطلب اللجنة أيضا</w:t>
      </w:r>
      <w:r w:rsidR="00767F2B" w:rsidRPr="00767F2B">
        <w:rPr>
          <w:rFonts w:hint="cs"/>
          <w:spacing w:val="-2"/>
          <w:rtl/>
        </w:rPr>
        <w:t>ً</w:t>
      </w:r>
      <w:r w:rsidRPr="00767F2B">
        <w:rPr>
          <w:spacing w:val="-2"/>
          <w:rtl/>
        </w:rPr>
        <w:t xml:space="preserve"> معلومات عن التدابير المتخذة لضمان تحلي الأطباء الذين يقومون بهذه الإجراءات بالخبرة، وعن كيفية مراعاة مبدأ مصالح الطفل الفضلى في بلورة إجراءات التحقق من العمر.</w:t>
      </w:r>
    </w:p>
    <w:p w14:paraId="71C2F5C6" w14:textId="79639567" w:rsidR="0093415D" w:rsidRPr="00FC27A2" w:rsidRDefault="0093415D" w:rsidP="0093415D">
      <w:pPr>
        <w:pStyle w:val="SingleTxtGA"/>
        <w:rPr>
          <w:szCs w:val="20"/>
          <w:lang w:val="ar-SA" w:eastAsia="zh-TW" w:bidi="en-GB"/>
        </w:rPr>
      </w:pPr>
      <w:r>
        <w:rPr>
          <w:rtl/>
        </w:rPr>
        <w:t>[</w:t>
      </w:r>
      <w:r w:rsidR="00610265">
        <w:rPr>
          <w:rFonts w:hint="cs"/>
          <w:b/>
          <w:bCs/>
          <w:rtl/>
        </w:rPr>
        <w:t>جيم</w:t>
      </w:r>
      <w:r>
        <w:rPr>
          <w:rtl/>
        </w:rPr>
        <w:t>] (ج): تحيط اللجنة علما بالمعلومات المتعلقة بتوفير خدمات الدعم للأطفال المهاجرين غير المصحوبين بذويهم. وتطل</w:t>
      </w:r>
      <w:bookmarkStart w:id="3" w:name="_GoBack"/>
      <w:bookmarkEnd w:id="3"/>
      <w:r>
        <w:rPr>
          <w:rtl/>
        </w:rPr>
        <w:t>ب معلومات عن التدابير الخاصة المتخذة لمعالجة الحواجز التي تعترض تعليم الأطفال ملتمسي اللجوء، بما في ذلك تقديم المزيد من التفاصيل عن أي أحكام محددة في المعايير القانونية تضمن حصول هؤلاء الأطفال على التعليم. وتطلب أيضا معلومات إضافية عن توقيت ومضمون التعديلات التي أدخلت على قانون الحماية الاجتماعية للأطفال والوصاية الاجتماعية، وبيانات عن عدد حالات القصر غير المصحوبين التي يستعان فيها بأخصائيين في علم نفس الأطفال ووسطاء ثقافيين. وترحب اللجنة باعتماد أحكام قانونية بشأن التعجيل بتعيين وصي على القاصر غير المصحوب؛ وتطلب معلومات إضافية تبين تنفيذها الفعال وتأثيرها الموضوعي.</w:t>
      </w:r>
    </w:p>
    <w:p w14:paraId="5F5BAB68" w14:textId="77777777" w:rsidR="0093415D" w:rsidRPr="00FC27A2" w:rsidRDefault="0093415D" w:rsidP="0093415D">
      <w:pPr>
        <w:pStyle w:val="SingleTxtGA"/>
        <w:rPr>
          <w:szCs w:val="20"/>
          <w:lang w:val="ar-SA" w:eastAsia="zh-TW" w:bidi="en-GB"/>
        </w:rPr>
      </w:pPr>
      <w:r w:rsidRPr="00767F2B">
        <w:rPr>
          <w:b/>
          <w:bCs/>
          <w:rtl/>
        </w:rPr>
        <w:t xml:space="preserve">الإجراء </w:t>
      </w:r>
      <w:proofErr w:type="spellStart"/>
      <w:r w:rsidRPr="00767F2B">
        <w:rPr>
          <w:b/>
          <w:bCs/>
          <w:rtl/>
        </w:rPr>
        <w:t>الموصى</w:t>
      </w:r>
      <w:proofErr w:type="spellEnd"/>
      <w:r w:rsidRPr="00767F2B">
        <w:rPr>
          <w:b/>
          <w:bCs/>
          <w:rtl/>
        </w:rPr>
        <w:t xml:space="preserve"> به:</w:t>
      </w:r>
      <w:r>
        <w:rPr>
          <w:rtl/>
        </w:rPr>
        <w:t xml:space="preserve"> ينبغي توجيه رسالة إلى الدولة الطرف لإبلاغها بوقف إجراء المتابعة. وينبغي إدراج المعلومات المطلوبة في التقرير الدوري المقبل للدولة الطرف.</w:t>
      </w:r>
    </w:p>
    <w:p w14:paraId="5ACBA5FF" w14:textId="46090423" w:rsidR="0093415D" w:rsidRDefault="0093415D" w:rsidP="0093415D">
      <w:pPr>
        <w:pStyle w:val="SingleTxtGA"/>
        <w:rPr>
          <w:szCs w:val="20"/>
          <w:lang w:val="en-US" w:eastAsia="zh-TW" w:bidi="en-GB"/>
        </w:rPr>
      </w:pPr>
      <w:r w:rsidRPr="00767F2B">
        <w:rPr>
          <w:b/>
          <w:bCs/>
          <w:rtl/>
        </w:rPr>
        <w:t>موعد تقديم التقرير الدوري المقبل:</w:t>
      </w:r>
      <w:r>
        <w:rPr>
          <w:rtl/>
        </w:rPr>
        <w:t xml:space="preserve"> عام </w:t>
      </w:r>
      <w:r w:rsidRPr="001D3651">
        <w:rPr>
          <w:rtl/>
        </w:rPr>
        <w:t>2024</w:t>
      </w:r>
      <w:r>
        <w:rPr>
          <w:rFonts w:ascii="Traditional Arabic"/>
          <w:szCs w:val="20"/>
          <w:rtl/>
        </w:rPr>
        <w:t xml:space="preserve"> (</w:t>
      </w:r>
      <w:r>
        <w:rPr>
          <w:rtl/>
        </w:rPr>
        <w:t xml:space="preserve">الاستعراض القطري في عام </w:t>
      </w:r>
      <w:r w:rsidRPr="001D3651">
        <w:rPr>
          <w:rtl/>
        </w:rPr>
        <w:t>2025</w:t>
      </w:r>
      <w:r>
        <w:rPr>
          <w:rtl/>
        </w:rPr>
        <w:t>، وفقا</w:t>
      </w:r>
      <w:r w:rsidR="00895352">
        <w:rPr>
          <w:rFonts w:hint="cs"/>
          <w:rtl/>
        </w:rPr>
        <w:t>ً</w:t>
      </w:r>
      <w:r>
        <w:rPr>
          <w:rtl/>
        </w:rPr>
        <w:t xml:space="preserve"> لدورة الاستعراض التي يمكن التنبؤ بها</w:t>
      </w:r>
      <w:r>
        <w:rPr>
          <w:rFonts w:ascii="Traditional Arabic"/>
          <w:szCs w:val="20"/>
          <w:rtl/>
        </w:rPr>
        <w:t>)</w:t>
      </w:r>
      <w:r>
        <w:rPr>
          <w:rtl/>
        </w:rPr>
        <w:t>. انظر</w:t>
      </w:r>
      <w:r>
        <w:rPr>
          <w:rFonts w:ascii="Traditional Arabic"/>
          <w:szCs w:val="20"/>
        </w:rPr>
        <w:t>:</w:t>
      </w:r>
      <w:r>
        <w:rPr>
          <w:rtl/>
        </w:rPr>
        <w:t xml:space="preserve"> </w:t>
      </w:r>
      <w:hyperlink r:id="rId11" w:history="1">
        <w:r w:rsidR="00895352" w:rsidRPr="0045498D">
          <w:rPr>
            <w:rStyle w:val="Hyperlink"/>
            <w:rFonts w:cs="Times New Roman"/>
            <w:szCs w:val="20"/>
            <w:rtl/>
          </w:rPr>
          <w:t>www.ohchr.org/EN/HRBodies/CCPR/Pages/Pre</w:t>
        </w:r>
        <w:r w:rsidR="00895352" w:rsidRPr="0045498D">
          <w:rPr>
            <w:rStyle w:val="Hyperlink"/>
            <w:rFonts w:cs="Times New Roman"/>
            <w:szCs w:val="20"/>
            <w:rtl/>
          </w:rPr>
          <w:br/>
          <w:t>dictableReviewCycle.aspx</w:t>
        </w:r>
      </w:hyperlink>
      <w:r>
        <w:rPr>
          <w:rFonts w:cs="Times New Roman"/>
          <w:szCs w:val="20"/>
          <w:rtl/>
        </w:rPr>
        <w:t>)</w:t>
      </w:r>
      <w:r>
        <w:rPr>
          <w:rtl/>
        </w:rPr>
        <w:t>.</w:t>
      </w:r>
      <w:r w:rsidR="00767F2B">
        <w:rPr>
          <w:szCs w:val="20"/>
          <w:lang w:val="en-US" w:eastAsia="zh-TW" w:bidi="en-GB"/>
        </w:rPr>
        <w:t xml:space="preserve"> </w:t>
      </w:r>
    </w:p>
    <w:p w14:paraId="3058D21C" w14:textId="4A1CD0F5" w:rsidR="00C30DDB" w:rsidRPr="00C30DDB" w:rsidRDefault="00C30DDB" w:rsidP="00C30DDB">
      <w:pPr>
        <w:pStyle w:val="SingleTxtGA"/>
        <w:jc w:val="center"/>
        <w:rPr>
          <w:u w:val="single"/>
          <w:rtl/>
          <w:lang w:eastAsia="zh-TW"/>
        </w:rPr>
      </w:pPr>
      <w:r>
        <w:rPr>
          <w:u w:val="single"/>
          <w:rtl/>
          <w:lang w:eastAsia="zh-TW"/>
        </w:rPr>
        <w:tab/>
      </w:r>
      <w:r>
        <w:rPr>
          <w:u w:val="single"/>
          <w:rtl/>
          <w:lang w:eastAsia="zh-TW"/>
        </w:rPr>
        <w:tab/>
      </w:r>
      <w:r>
        <w:rPr>
          <w:u w:val="single"/>
          <w:rtl/>
          <w:lang w:eastAsia="zh-TW"/>
        </w:rPr>
        <w:tab/>
      </w:r>
    </w:p>
    <w:sectPr w:rsidR="00C30DDB" w:rsidRPr="00C30DDB" w:rsidSect="0035745C">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0ABF2" w14:textId="77777777" w:rsidR="005A276B" w:rsidRPr="002901D9" w:rsidRDefault="005A276B" w:rsidP="00DC4D4B">
      <w:pPr>
        <w:spacing w:after="60" w:line="240" w:lineRule="auto"/>
        <w:ind w:left="57"/>
        <w:rPr>
          <w:i/>
          <w:iCs/>
        </w:rPr>
      </w:pPr>
      <w:r>
        <w:rPr>
          <w:rFonts w:hint="cs"/>
          <w:i/>
          <w:iCs/>
          <w:rtl/>
        </w:rPr>
        <w:t>الحواشي</w:t>
      </w:r>
    </w:p>
  </w:endnote>
  <w:endnote w:type="continuationSeparator" w:id="0">
    <w:p w14:paraId="30A76E0F" w14:textId="77777777" w:rsidR="005A276B" w:rsidRDefault="005A276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33AD9" w14:textId="77777777" w:rsidR="008F6DD9" w:rsidRPr="008F6DD9" w:rsidRDefault="008F6DD9" w:rsidP="008F6DD9">
    <w:pPr>
      <w:pStyle w:val="Footer"/>
      <w:tabs>
        <w:tab w:val="right" w:pos="9638"/>
      </w:tabs>
      <w:rPr>
        <w:b/>
        <w:sz w:val="18"/>
        <w:lang w:val="en-US"/>
      </w:rPr>
    </w:pPr>
    <w:r>
      <w:rPr>
        <w:lang w:val="en-US"/>
      </w:rPr>
      <w:t>GE.21-05698</w:t>
    </w:r>
    <w:r>
      <w:rPr>
        <w:lang w:val="en-US"/>
      </w:rPr>
      <w:tab/>
    </w:r>
    <w:r w:rsidRPr="008F6DD9">
      <w:rPr>
        <w:b/>
        <w:sz w:val="18"/>
        <w:lang w:val="en-US"/>
      </w:rPr>
      <w:fldChar w:fldCharType="begin"/>
    </w:r>
    <w:r w:rsidRPr="008F6DD9">
      <w:rPr>
        <w:b/>
        <w:sz w:val="18"/>
        <w:lang w:val="en-US"/>
      </w:rPr>
      <w:instrText xml:space="preserve"> PAGE  \* MERGEFORMAT </w:instrText>
    </w:r>
    <w:r w:rsidRPr="008F6DD9">
      <w:rPr>
        <w:b/>
        <w:sz w:val="18"/>
        <w:lang w:val="en-US"/>
      </w:rPr>
      <w:fldChar w:fldCharType="separate"/>
    </w:r>
    <w:r w:rsidRPr="008F6DD9">
      <w:rPr>
        <w:b/>
        <w:noProof/>
        <w:sz w:val="18"/>
        <w:lang w:val="en-US"/>
      </w:rPr>
      <w:t>2</w:t>
    </w:r>
    <w:r w:rsidRPr="008F6DD9">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6DF9F" w14:textId="77777777" w:rsidR="006959B0" w:rsidRPr="008F6DD9" w:rsidRDefault="008F6DD9" w:rsidP="008F6DD9">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GE.21-05698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39886" w14:textId="77777777" w:rsidR="00DE50B1" w:rsidRPr="008F6DD9" w:rsidRDefault="008F6DD9" w:rsidP="008F6DD9">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2FCD538A" wp14:editId="730A9797">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21-05698 (A)</w:t>
    </w:r>
    <w:r>
      <w:rPr>
        <w:noProof/>
        <w:sz w:val="20"/>
        <w:lang w:val="en-US"/>
      </w:rPr>
      <w:drawing>
        <wp:anchor distT="0" distB="0" distL="114300" distR="114300" simplePos="0" relativeHeight="251659264" behindDoc="0" locked="0" layoutInCell="1" allowOverlap="1" wp14:anchorId="7866807A" wp14:editId="0F5BB5A5">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5D9EE" w14:textId="77777777" w:rsidR="005A276B" w:rsidRPr="000437B8" w:rsidRDefault="005A276B" w:rsidP="00F10DAB">
      <w:pPr>
        <w:pStyle w:val="Footer"/>
        <w:bidi/>
        <w:spacing w:after="80" w:line="200" w:lineRule="exact"/>
        <w:ind w:left="680"/>
      </w:pPr>
      <w:r>
        <w:rPr>
          <w:rtl/>
        </w:rPr>
        <w:t>__________</w:t>
      </w:r>
    </w:p>
  </w:footnote>
  <w:footnote w:type="continuationSeparator" w:id="0">
    <w:p w14:paraId="71DCD600" w14:textId="77777777" w:rsidR="005A276B" w:rsidRDefault="005A276B" w:rsidP="00656392">
      <w:pPr>
        <w:spacing w:line="240" w:lineRule="auto"/>
      </w:pPr>
      <w:r>
        <w:continuationSeparator/>
      </w:r>
    </w:p>
  </w:footnote>
  <w:footnote w:id="1">
    <w:p w14:paraId="3930F397" w14:textId="066A6994" w:rsidR="001D3651" w:rsidRPr="001D3651" w:rsidRDefault="001D3651" w:rsidP="001D3651">
      <w:pPr>
        <w:pStyle w:val="FootnoteText1"/>
        <w:rPr>
          <w:rtl/>
        </w:rPr>
      </w:pPr>
      <w:r>
        <w:rPr>
          <w:rtl/>
        </w:rPr>
        <w:t>*</w:t>
      </w:r>
      <w:r>
        <w:rPr>
          <w:rtl/>
        </w:rPr>
        <w:tab/>
      </w:r>
      <w:r w:rsidRPr="001D3651">
        <w:rPr>
          <w:rtl/>
        </w:rPr>
        <w:t>اعتمدته اللجنة في دورتها 131 (1-26 آذار/مارس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1F4E8" w14:textId="4B6E2C08" w:rsidR="008F6DD9" w:rsidRPr="008F6DD9" w:rsidRDefault="008F6DD9" w:rsidP="008F6DD9">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2D7555">
      <w:t>CCPR/C/131/2/Add.2</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F04E" w14:textId="6C6F51DF" w:rsidR="008F6DD9" w:rsidRPr="008F6DD9" w:rsidRDefault="008F6DD9" w:rsidP="008F6DD9">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2D7555">
      <w:t>CCPR/C/131/2/Add.2</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76B"/>
    <w:rsid w:val="000076D5"/>
    <w:rsid w:val="00043663"/>
    <w:rsid w:val="000437B8"/>
    <w:rsid w:val="000505CF"/>
    <w:rsid w:val="00081582"/>
    <w:rsid w:val="000A1045"/>
    <w:rsid w:val="000D701C"/>
    <w:rsid w:val="000E2A71"/>
    <w:rsid w:val="001008E0"/>
    <w:rsid w:val="00104BC0"/>
    <w:rsid w:val="00145577"/>
    <w:rsid w:val="00160263"/>
    <w:rsid w:val="00181F96"/>
    <w:rsid w:val="001872B1"/>
    <w:rsid w:val="001A1371"/>
    <w:rsid w:val="001B043F"/>
    <w:rsid w:val="001B346A"/>
    <w:rsid w:val="001D3651"/>
    <w:rsid w:val="001E1CAD"/>
    <w:rsid w:val="001E290D"/>
    <w:rsid w:val="002144FA"/>
    <w:rsid w:val="0023469A"/>
    <w:rsid w:val="00243C8A"/>
    <w:rsid w:val="00267A0E"/>
    <w:rsid w:val="002901D9"/>
    <w:rsid w:val="002976C2"/>
    <w:rsid w:val="002D1763"/>
    <w:rsid w:val="002D7555"/>
    <w:rsid w:val="003068BC"/>
    <w:rsid w:val="003260FF"/>
    <w:rsid w:val="00343D95"/>
    <w:rsid w:val="0035745C"/>
    <w:rsid w:val="00363A18"/>
    <w:rsid w:val="00374341"/>
    <w:rsid w:val="003D1062"/>
    <w:rsid w:val="00402051"/>
    <w:rsid w:val="00420D7B"/>
    <w:rsid w:val="00450B21"/>
    <w:rsid w:val="00453B63"/>
    <w:rsid w:val="00455780"/>
    <w:rsid w:val="004B0A1C"/>
    <w:rsid w:val="004B27E0"/>
    <w:rsid w:val="004D298E"/>
    <w:rsid w:val="004E3ED6"/>
    <w:rsid w:val="005044B3"/>
    <w:rsid w:val="00517BC9"/>
    <w:rsid w:val="0054472E"/>
    <w:rsid w:val="005662A9"/>
    <w:rsid w:val="005827D4"/>
    <w:rsid w:val="0058508B"/>
    <w:rsid w:val="0059622A"/>
    <w:rsid w:val="005A276B"/>
    <w:rsid w:val="005B51C4"/>
    <w:rsid w:val="005C0061"/>
    <w:rsid w:val="005C5878"/>
    <w:rsid w:val="005C7CEA"/>
    <w:rsid w:val="005D3C0B"/>
    <w:rsid w:val="005D4B21"/>
    <w:rsid w:val="005E5217"/>
    <w:rsid w:val="005F0FA4"/>
    <w:rsid w:val="005F30EE"/>
    <w:rsid w:val="005F5271"/>
    <w:rsid w:val="0060473A"/>
    <w:rsid w:val="00610265"/>
    <w:rsid w:val="00617024"/>
    <w:rsid w:val="00652221"/>
    <w:rsid w:val="00656392"/>
    <w:rsid w:val="006645EC"/>
    <w:rsid w:val="0068781D"/>
    <w:rsid w:val="006959B0"/>
    <w:rsid w:val="006B3E27"/>
    <w:rsid w:val="006B6507"/>
    <w:rsid w:val="006C104C"/>
    <w:rsid w:val="006C632E"/>
    <w:rsid w:val="00717FB3"/>
    <w:rsid w:val="00730446"/>
    <w:rsid w:val="00733704"/>
    <w:rsid w:val="00767F2B"/>
    <w:rsid w:val="0078071A"/>
    <w:rsid w:val="00787022"/>
    <w:rsid w:val="00787E1E"/>
    <w:rsid w:val="00852A9A"/>
    <w:rsid w:val="00895352"/>
    <w:rsid w:val="008B47D2"/>
    <w:rsid w:val="008E1EA1"/>
    <w:rsid w:val="008F49E1"/>
    <w:rsid w:val="008F6DD9"/>
    <w:rsid w:val="0090370F"/>
    <w:rsid w:val="009269D2"/>
    <w:rsid w:val="0093415D"/>
    <w:rsid w:val="00942135"/>
    <w:rsid w:val="009521B0"/>
    <w:rsid w:val="00957437"/>
    <w:rsid w:val="00973C21"/>
    <w:rsid w:val="00982139"/>
    <w:rsid w:val="009867A8"/>
    <w:rsid w:val="00987774"/>
    <w:rsid w:val="00991F44"/>
    <w:rsid w:val="009A0CFB"/>
    <w:rsid w:val="009A7E9F"/>
    <w:rsid w:val="009B6100"/>
    <w:rsid w:val="009C17EC"/>
    <w:rsid w:val="009D59F1"/>
    <w:rsid w:val="009E5018"/>
    <w:rsid w:val="00A0008D"/>
    <w:rsid w:val="00A03700"/>
    <w:rsid w:val="00A053F2"/>
    <w:rsid w:val="00A12B37"/>
    <w:rsid w:val="00A54828"/>
    <w:rsid w:val="00A97E1F"/>
    <w:rsid w:val="00AB512E"/>
    <w:rsid w:val="00AB6758"/>
    <w:rsid w:val="00AB727F"/>
    <w:rsid w:val="00AF1A2A"/>
    <w:rsid w:val="00B13763"/>
    <w:rsid w:val="00B477A4"/>
    <w:rsid w:val="00B54045"/>
    <w:rsid w:val="00B63ADD"/>
    <w:rsid w:val="00BB09A0"/>
    <w:rsid w:val="00C175A6"/>
    <w:rsid w:val="00C30DDB"/>
    <w:rsid w:val="00C41DCF"/>
    <w:rsid w:val="00C42AF7"/>
    <w:rsid w:val="00C438D7"/>
    <w:rsid w:val="00C617BC"/>
    <w:rsid w:val="00C62C20"/>
    <w:rsid w:val="00C81B50"/>
    <w:rsid w:val="00C902EF"/>
    <w:rsid w:val="00CB0011"/>
    <w:rsid w:val="00CB27C3"/>
    <w:rsid w:val="00CB6622"/>
    <w:rsid w:val="00CD1801"/>
    <w:rsid w:val="00CF56F9"/>
    <w:rsid w:val="00CF65C6"/>
    <w:rsid w:val="00D00A89"/>
    <w:rsid w:val="00D10EF1"/>
    <w:rsid w:val="00D42810"/>
    <w:rsid w:val="00D60DD5"/>
    <w:rsid w:val="00D73510"/>
    <w:rsid w:val="00D914A7"/>
    <w:rsid w:val="00DC4D4B"/>
    <w:rsid w:val="00DD13C3"/>
    <w:rsid w:val="00DD596E"/>
    <w:rsid w:val="00DD621E"/>
    <w:rsid w:val="00DE50B1"/>
    <w:rsid w:val="00DF0138"/>
    <w:rsid w:val="00DF0575"/>
    <w:rsid w:val="00E2228E"/>
    <w:rsid w:val="00E70E04"/>
    <w:rsid w:val="00E77E6C"/>
    <w:rsid w:val="00E83ED5"/>
    <w:rsid w:val="00EC05A7"/>
    <w:rsid w:val="00EC4B6B"/>
    <w:rsid w:val="00EC68A5"/>
    <w:rsid w:val="00ED124F"/>
    <w:rsid w:val="00ED7442"/>
    <w:rsid w:val="00EE38DE"/>
    <w:rsid w:val="00EF1EE5"/>
    <w:rsid w:val="00EF5C43"/>
    <w:rsid w:val="00F04190"/>
    <w:rsid w:val="00F10DAB"/>
    <w:rsid w:val="00F46D42"/>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A93D4F"/>
  <w15:docId w15:val="{2CC39E46-4499-4CEC-9540-B3C8D35E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EC"/>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9C17EC"/>
    <w:pPr>
      <w:bidi w:val="0"/>
      <w:outlineLvl w:val="0"/>
    </w:pPr>
  </w:style>
  <w:style w:type="paragraph" w:styleId="Heading2">
    <w:name w:val="heading 2"/>
    <w:basedOn w:val="Normal"/>
    <w:next w:val="Normal"/>
    <w:link w:val="Heading2Char"/>
    <w:uiPriority w:val="9"/>
    <w:unhideWhenUsed/>
    <w:rsid w:val="009C17EC"/>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C17EC"/>
    <w:pPr>
      <w:keepNext/>
      <w:keepLines/>
      <w:spacing w:before="200"/>
      <w:outlineLvl w:val="2"/>
    </w:pPr>
    <w:rPr>
      <w:b/>
      <w:bCs/>
      <w:color w:val="4F81BD"/>
    </w:rPr>
  </w:style>
  <w:style w:type="paragraph" w:styleId="Heading4">
    <w:name w:val="heading 4"/>
    <w:basedOn w:val="Normal"/>
    <w:next w:val="Normal"/>
    <w:link w:val="Heading4Char"/>
    <w:uiPriority w:val="9"/>
    <w:unhideWhenUsed/>
    <w:rsid w:val="009C17EC"/>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C17EC"/>
    <w:pPr>
      <w:keepNext/>
      <w:keepLines/>
      <w:spacing w:before="200"/>
      <w:outlineLvl w:val="4"/>
    </w:pPr>
    <w:rPr>
      <w:color w:val="243F60"/>
    </w:rPr>
  </w:style>
  <w:style w:type="paragraph" w:styleId="Heading6">
    <w:name w:val="heading 6"/>
    <w:basedOn w:val="Normal"/>
    <w:next w:val="Normal"/>
    <w:link w:val="Heading6Char"/>
    <w:uiPriority w:val="9"/>
    <w:unhideWhenUsed/>
    <w:rsid w:val="009C17EC"/>
    <w:pPr>
      <w:keepNext/>
      <w:keepLines/>
      <w:spacing w:before="200"/>
      <w:outlineLvl w:val="5"/>
    </w:pPr>
    <w:rPr>
      <w:i/>
      <w:iCs/>
      <w:color w:val="243F60"/>
    </w:rPr>
  </w:style>
  <w:style w:type="paragraph" w:styleId="Heading7">
    <w:name w:val="heading 7"/>
    <w:basedOn w:val="Normal"/>
    <w:next w:val="Normal"/>
    <w:link w:val="Heading7Char"/>
    <w:uiPriority w:val="9"/>
    <w:unhideWhenUsed/>
    <w:rsid w:val="009C17EC"/>
    <w:pPr>
      <w:keepNext/>
      <w:keepLines/>
      <w:spacing w:before="200"/>
      <w:outlineLvl w:val="6"/>
    </w:pPr>
    <w:rPr>
      <w:i/>
      <w:iCs/>
      <w:color w:val="404040"/>
    </w:rPr>
  </w:style>
  <w:style w:type="paragraph" w:styleId="Heading8">
    <w:name w:val="heading 8"/>
    <w:basedOn w:val="Normal"/>
    <w:next w:val="Normal"/>
    <w:link w:val="Heading8Char"/>
    <w:uiPriority w:val="9"/>
    <w:unhideWhenUsed/>
    <w:rsid w:val="009C17EC"/>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C17EC"/>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9C17EC"/>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9C17EC"/>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uiPriority w:val="99"/>
    <w:qFormat/>
    <w:rsid w:val="009C17EC"/>
    <w:rPr>
      <w:szCs w:val="18"/>
      <w:vertAlign w:val="superscript"/>
    </w:rPr>
  </w:style>
  <w:style w:type="paragraph" w:customStyle="1" w:styleId="HMGA">
    <w:name w:val="_ H __M_GA"/>
    <w:basedOn w:val="Normal"/>
    <w:next w:val="SingleTxtGA"/>
    <w:qFormat/>
    <w:rsid w:val="009C17EC"/>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C17EC"/>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C17EC"/>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C17EC"/>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C17EC"/>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C17EC"/>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C17EC"/>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C17EC"/>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C17EC"/>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C17EC"/>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C17EC"/>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C17EC"/>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C17EC"/>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C17EC"/>
    <w:pPr>
      <w:numPr>
        <w:numId w:val="5"/>
      </w:numPr>
      <w:bidi w:val="0"/>
    </w:pPr>
    <w:rPr>
      <w:lang w:val="en-US"/>
    </w:rPr>
  </w:style>
  <w:style w:type="paragraph" w:customStyle="1" w:styleId="Roman1GA">
    <w:name w:val="_Roman 1_GA"/>
    <w:basedOn w:val="Bullet1GA"/>
    <w:qFormat/>
    <w:rsid w:val="009C17EC"/>
    <w:pPr>
      <w:numPr>
        <w:numId w:val="6"/>
      </w:numPr>
      <w:tabs>
        <w:tab w:val="clear" w:pos="2310"/>
        <w:tab w:val="left" w:pos="2486"/>
      </w:tabs>
      <w:ind w:left="2486" w:hanging="378"/>
    </w:pPr>
  </w:style>
  <w:style w:type="paragraph" w:customStyle="1" w:styleId="Roman2GA">
    <w:name w:val="_Roman 2_GA"/>
    <w:basedOn w:val="Bullet2GA"/>
    <w:qFormat/>
    <w:rsid w:val="009C17EC"/>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C17EC"/>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C17EC"/>
    <w:rPr>
      <w:rFonts w:ascii="Times New Roman" w:eastAsia="PMingLiU" w:hAnsi="Times New Roman" w:cs="Simplified Arabic"/>
      <w:sz w:val="18"/>
      <w:lang w:val="en-GB" w:eastAsia="en-US"/>
    </w:rPr>
  </w:style>
  <w:style w:type="character" w:customStyle="1" w:styleId="EndtnoteReference">
    <w:name w:val="Endtnote Reference"/>
    <w:aliases w:val="1_GA"/>
    <w:qFormat/>
    <w:rsid w:val="009C17EC"/>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C17EC"/>
    <w:pPr>
      <w:suppressAutoHyphens/>
      <w:bidi w:val="0"/>
      <w:spacing w:line="240" w:lineRule="auto"/>
    </w:pPr>
    <w:rPr>
      <w:sz w:val="16"/>
      <w:lang w:val="en-GB"/>
    </w:rPr>
  </w:style>
  <w:style w:type="character" w:customStyle="1" w:styleId="FooterChar">
    <w:name w:val="Footer Char"/>
    <w:aliases w:val="3_GA Char,3_G Char"/>
    <w:link w:val="Footer"/>
    <w:rsid w:val="009C17EC"/>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9C17EC"/>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9C17EC"/>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9C17EC"/>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9C17EC"/>
    <w:rPr>
      <w:rFonts w:ascii="Times New Roman" w:eastAsia="PMingLiU" w:hAnsi="Times New Roman" w:cs="Simplified Arabic"/>
      <w:sz w:val="22"/>
      <w:szCs w:val="22"/>
      <w:lang w:val="en-GB" w:eastAsia="en-US"/>
    </w:rPr>
  </w:style>
  <w:style w:type="character" w:styleId="PageNumber">
    <w:name w:val="page number"/>
    <w:aliases w:val="7_GA,7_G"/>
    <w:qFormat/>
    <w:rsid w:val="009C17EC"/>
    <w:rPr>
      <w:rFonts w:ascii="Times New Roman Bold" w:hAnsi="Times New Roman Bold"/>
      <w:b/>
      <w:i w:val="0"/>
      <w:sz w:val="18"/>
      <w:szCs w:val="18"/>
    </w:rPr>
  </w:style>
  <w:style w:type="paragraph" w:customStyle="1" w:styleId="XXLargeGA">
    <w:name w:val="XXLarge_GA"/>
    <w:basedOn w:val="Normal"/>
    <w:next w:val="SingleTxtGA"/>
    <w:qFormat/>
    <w:rsid w:val="009C17EC"/>
    <w:pPr>
      <w:suppressAutoHyphens/>
      <w:spacing w:line="820" w:lineRule="exact"/>
    </w:pPr>
    <w:rPr>
      <w:spacing w:val="-8"/>
      <w:w w:val="96"/>
      <w:sz w:val="57"/>
      <w:szCs w:val="86"/>
      <w:lang w:val="en-GB"/>
    </w:rPr>
  </w:style>
  <w:style w:type="character" w:customStyle="1" w:styleId="Heading2Char">
    <w:name w:val="Heading 2 Char"/>
    <w:link w:val="Heading2"/>
    <w:uiPriority w:val="9"/>
    <w:rsid w:val="009C17EC"/>
    <w:rPr>
      <w:rFonts w:ascii="Times New Roman" w:eastAsia="PMingLiU" w:hAnsi="Times New Roman" w:cs="Simplified Arabic"/>
      <w:b/>
      <w:bCs/>
      <w:color w:val="4F81BD"/>
      <w:sz w:val="26"/>
      <w:szCs w:val="26"/>
      <w:lang w:eastAsia="en-US"/>
    </w:rPr>
  </w:style>
  <w:style w:type="character" w:styleId="BookTitle">
    <w:name w:val="Book Title"/>
    <w:uiPriority w:val="33"/>
    <w:rsid w:val="009C17EC"/>
    <w:rPr>
      <w:b/>
      <w:bCs/>
      <w:smallCaps/>
      <w:spacing w:val="5"/>
    </w:rPr>
  </w:style>
  <w:style w:type="character" w:customStyle="1" w:styleId="Heading3Char">
    <w:name w:val="Heading 3 Char"/>
    <w:link w:val="Heading3"/>
    <w:uiPriority w:val="9"/>
    <w:rsid w:val="009C17EC"/>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9C17EC"/>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9C17EC"/>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9C17EC"/>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9C17EC"/>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9C17EC"/>
    <w:rPr>
      <w:rFonts w:ascii="Times New Roman" w:eastAsia="PMingLiU" w:hAnsi="Times New Roman" w:cs="Simplified Arabic"/>
      <w:color w:val="404040"/>
      <w:lang w:eastAsia="en-US"/>
    </w:rPr>
  </w:style>
  <w:style w:type="character" w:customStyle="1" w:styleId="Heading9Char">
    <w:name w:val="Heading 9 Char"/>
    <w:link w:val="Heading9"/>
    <w:uiPriority w:val="9"/>
    <w:rsid w:val="009C17EC"/>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9C17E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C17EC"/>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9C17EC"/>
    <w:pPr>
      <w:numPr>
        <w:ilvl w:val="1"/>
      </w:numPr>
    </w:pPr>
    <w:rPr>
      <w:i/>
      <w:iCs/>
      <w:color w:val="4F81BD"/>
      <w:spacing w:val="15"/>
      <w:sz w:val="24"/>
      <w:szCs w:val="24"/>
    </w:rPr>
  </w:style>
  <w:style w:type="character" w:customStyle="1" w:styleId="SubtitleChar">
    <w:name w:val="Subtitle Char"/>
    <w:link w:val="Subtitle"/>
    <w:uiPriority w:val="11"/>
    <w:rsid w:val="009C17EC"/>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9C17EC"/>
    <w:rPr>
      <w:i/>
      <w:iCs/>
      <w:color w:val="808080"/>
    </w:rPr>
  </w:style>
  <w:style w:type="table" w:styleId="ColorfulGrid-Accent6">
    <w:name w:val="Colorful Grid Accent 6"/>
    <w:basedOn w:val="TableNormal"/>
    <w:uiPriority w:val="73"/>
    <w:rsid w:val="009C17EC"/>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C17EC"/>
    <w:rPr>
      <w:i/>
      <w:iCs/>
    </w:rPr>
  </w:style>
  <w:style w:type="character" w:styleId="IntenseEmphasis">
    <w:name w:val="Intense Emphasis"/>
    <w:uiPriority w:val="21"/>
    <w:rsid w:val="009C17EC"/>
    <w:rPr>
      <w:b/>
      <w:bCs/>
      <w:i/>
      <w:iCs/>
      <w:color w:val="4F81BD"/>
    </w:rPr>
  </w:style>
  <w:style w:type="character" w:styleId="Strong">
    <w:name w:val="Strong"/>
    <w:uiPriority w:val="22"/>
    <w:rsid w:val="009C17EC"/>
    <w:rPr>
      <w:b/>
      <w:bCs/>
    </w:rPr>
  </w:style>
  <w:style w:type="paragraph" w:styleId="Quote">
    <w:name w:val="Quote"/>
    <w:basedOn w:val="Normal"/>
    <w:next w:val="Normal"/>
    <w:link w:val="QuoteChar"/>
    <w:uiPriority w:val="29"/>
    <w:rsid w:val="009C17EC"/>
    <w:rPr>
      <w:i/>
      <w:iCs/>
      <w:color w:val="000000"/>
    </w:rPr>
  </w:style>
  <w:style w:type="character" w:customStyle="1" w:styleId="QuoteChar">
    <w:name w:val="Quote Char"/>
    <w:link w:val="Quote"/>
    <w:uiPriority w:val="29"/>
    <w:rsid w:val="009C17EC"/>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9C17E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C17EC"/>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9C17EC"/>
    <w:rPr>
      <w:smallCaps/>
      <w:color w:val="C0504D"/>
      <w:u w:val="single"/>
    </w:rPr>
  </w:style>
  <w:style w:type="character" w:styleId="IntenseReference">
    <w:name w:val="Intense Reference"/>
    <w:uiPriority w:val="32"/>
    <w:rsid w:val="009C17EC"/>
    <w:rPr>
      <w:b/>
      <w:bCs/>
      <w:smallCaps/>
      <w:color w:val="C0504D"/>
      <w:spacing w:val="5"/>
      <w:u w:val="single"/>
    </w:rPr>
  </w:style>
  <w:style w:type="paragraph" w:styleId="ListParagraph">
    <w:name w:val="List Paragraph"/>
    <w:basedOn w:val="Normal"/>
    <w:uiPriority w:val="34"/>
    <w:rsid w:val="009C17EC"/>
    <w:pPr>
      <w:ind w:left="720"/>
      <w:contextualSpacing/>
    </w:pPr>
  </w:style>
  <w:style w:type="table" w:styleId="MediumShading1-Accent4">
    <w:name w:val="Medium Shading 1 Accent 4"/>
    <w:basedOn w:val="TableNormal"/>
    <w:uiPriority w:val="63"/>
    <w:rsid w:val="009C17EC"/>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C17EC"/>
    <w:rPr>
      <w:rFonts w:eastAsia="MS Mincho"/>
      <w:sz w:val="18"/>
      <w:vertAlign w:val="superscript"/>
    </w:rPr>
  </w:style>
  <w:style w:type="table" w:styleId="TableGrid">
    <w:name w:val="Table Grid"/>
    <w:basedOn w:val="TableNormal"/>
    <w:rsid w:val="009C17EC"/>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7EC"/>
    <w:pPr>
      <w:spacing w:line="240" w:lineRule="auto"/>
    </w:pPr>
    <w:rPr>
      <w:sz w:val="16"/>
      <w:szCs w:val="16"/>
    </w:rPr>
  </w:style>
  <w:style w:type="character" w:customStyle="1" w:styleId="BalloonTextChar">
    <w:name w:val="Balloon Text Char"/>
    <w:link w:val="BalloonText"/>
    <w:uiPriority w:val="99"/>
    <w:semiHidden/>
    <w:rsid w:val="009C17EC"/>
    <w:rPr>
      <w:rFonts w:ascii="Times New Roman" w:eastAsia="PMingLiU" w:hAnsi="Times New Roman" w:cs="Simplified Arabic"/>
      <w:sz w:val="16"/>
      <w:szCs w:val="16"/>
      <w:lang w:eastAsia="en-US"/>
    </w:rPr>
  </w:style>
  <w:style w:type="character" w:styleId="Hyperlink">
    <w:name w:val="Hyperlink"/>
    <w:uiPriority w:val="99"/>
    <w:unhideWhenUsed/>
    <w:rsid w:val="009C17EC"/>
    <w:rPr>
      <w:color w:val="0000FF"/>
      <w:u w:val="none"/>
    </w:rPr>
  </w:style>
  <w:style w:type="paragraph" w:styleId="TOC1">
    <w:name w:val="toc 1"/>
    <w:basedOn w:val="Normal"/>
    <w:link w:val="TOC1Char"/>
    <w:autoRedefine/>
    <w:uiPriority w:val="39"/>
    <w:unhideWhenUsed/>
    <w:rsid w:val="009C17EC"/>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C17EC"/>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C17EC"/>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C17EC"/>
    <w:rPr>
      <w:rFonts w:eastAsia="DengXian"/>
      <w:color w:val="auto"/>
      <w:sz w:val="20"/>
      <w:szCs w:val="20"/>
      <w:u w:val="none"/>
      <w:lang w:eastAsia="zh-CN" w:bidi="ar-EG"/>
    </w:rPr>
  </w:style>
  <w:style w:type="paragraph" w:styleId="TOC4">
    <w:name w:val="toc 4"/>
    <w:basedOn w:val="Normal"/>
    <w:link w:val="TOC4Char"/>
    <w:autoRedefine/>
    <w:uiPriority w:val="39"/>
    <w:unhideWhenUsed/>
    <w:rsid w:val="009C17EC"/>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C17EC"/>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C17EC"/>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C17EC"/>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9C17EC"/>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C17EC"/>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9C17EC"/>
    <w:rPr>
      <w:color w:val="605E5C"/>
      <w:shd w:val="clear" w:color="auto" w:fill="E1DFDD"/>
    </w:rPr>
  </w:style>
  <w:style w:type="character" w:customStyle="1" w:styleId="TOC1Char">
    <w:name w:val="TOC 1 Char"/>
    <w:basedOn w:val="DefaultParagraphFont"/>
    <w:link w:val="TOC1"/>
    <w:uiPriority w:val="39"/>
    <w:rsid w:val="009C17EC"/>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9C17EC"/>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9C17EC"/>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9C17EC"/>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9C17EC"/>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9C17EC"/>
    <w:rPr>
      <w:rFonts w:ascii="Times New Roman" w:eastAsia="PMingLiU" w:hAnsi="Times New Roman" w:cs="Simplified Arabic"/>
      <w:lang w:val="en-GB" w:eastAsia="en-US"/>
    </w:rPr>
  </w:style>
  <w:style w:type="paragraph" w:customStyle="1" w:styleId="SessionDate">
    <w:name w:val="Session_Date"/>
    <w:basedOn w:val="Normal"/>
    <w:qFormat/>
    <w:rsid w:val="009C17EC"/>
    <w:pPr>
      <w:spacing w:before="240" w:after="240" w:line="460" w:lineRule="exact"/>
      <w:ind w:left="1247"/>
    </w:pPr>
    <w:rPr>
      <w:b/>
      <w:bCs/>
      <w:sz w:val="32"/>
      <w:szCs w:val="44"/>
    </w:rPr>
  </w:style>
  <w:style w:type="paragraph" w:customStyle="1" w:styleId="SessionNumber">
    <w:name w:val="Session_Number"/>
    <w:basedOn w:val="Normal"/>
    <w:qFormat/>
    <w:rsid w:val="009C17EC"/>
    <w:pPr>
      <w:spacing w:line="480" w:lineRule="exact"/>
      <w:ind w:left="1247"/>
    </w:pPr>
    <w:rPr>
      <w:b/>
      <w:bCs/>
      <w:sz w:val="28"/>
      <w:szCs w:val="38"/>
    </w:rPr>
  </w:style>
  <w:style w:type="paragraph" w:customStyle="1" w:styleId="CityandYear">
    <w:name w:val="City and Year"/>
    <w:basedOn w:val="SingleTxtGA"/>
    <w:qFormat/>
    <w:rsid w:val="009C17EC"/>
    <w:pPr>
      <w:spacing w:line="480" w:lineRule="exact"/>
    </w:pPr>
    <w:rPr>
      <w:b/>
      <w:bCs/>
      <w:sz w:val="30"/>
      <w:szCs w:val="38"/>
      <w:lang w:eastAsia="ar-SA"/>
    </w:rPr>
  </w:style>
  <w:style w:type="paragraph" w:customStyle="1" w:styleId="NormalA">
    <w:name w:val="Normal_A"/>
    <w:basedOn w:val="Normal"/>
    <w:qFormat/>
    <w:rsid w:val="009C17EC"/>
  </w:style>
  <w:style w:type="paragraph" w:customStyle="1" w:styleId="H1G">
    <w:name w:val="_ H_1_G"/>
    <w:basedOn w:val="Normal"/>
    <w:next w:val="Normal"/>
    <w:qFormat/>
    <w:rsid w:val="009C17EC"/>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C17EC"/>
    <w:pPr>
      <w:suppressAutoHyphens/>
      <w:bidi w:val="0"/>
      <w:spacing w:after="120"/>
      <w:ind w:left="1134" w:right="1134"/>
      <w:jc w:val="both"/>
    </w:pPr>
    <w:rPr>
      <w:szCs w:val="20"/>
      <w:lang w:val="en-GB"/>
    </w:rPr>
  </w:style>
  <w:style w:type="paragraph" w:customStyle="1" w:styleId="HChG">
    <w:name w:val="_ H _Ch_G"/>
    <w:basedOn w:val="Normal"/>
    <w:next w:val="Normal"/>
    <w:qFormat/>
    <w:rsid w:val="009C17EC"/>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9C17EC"/>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C17EC"/>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C17EC"/>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C17EC"/>
    <w:rPr>
      <w:sz w:val="44"/>
      <w:szCs w:val="44"/>
      <w:lang w:val="en-US" w:bidi="ar-DZ"/>
    </w:rPr>
  </w:style>
  <w:style w:type="paragraph" w:customStyle="1" w:styleId="FootnoteGA0">
    <w:name w:val="Footnote_GA"/>
    <w:basedOn w:val="Normal"/>
    <w:qFormat/>
    <w:rsid w:val="009C17EC"/>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C17EC"/>
    <w:pPr>
      <w:keepNext/>
      <w:keepLines/>
      <w:spacing w:after="120" w:line="400" w:lineRule="exact"/>
      <w:outlineLvl w:val="0"/>
    </w:pPr>
    <w:rPr>
      <w:b/>
      <w:bCs/>
      <w:kern w:val="14"/>
      <w:sz w:val="24"/>
      <w:szCs w:val="32"/>
    </w:rPr>
  </w:style>
  <w:style w:type="paragraph" w:customStyle="1" w:styleId="HCh">
    <w:name w:val="_ H _Ch"/>
    <w:basedOn w:val="H1"/>
    <w:next w:val="SingleTxt"/>
    <w:qFormat/>
    <w:rsid w:val="009C17EC"/>
    <w:pPr>
      <w:spacing w:line="440" w:lineRule="exact"/>
    </w:pPr>
    <w:rPr>
      <w:spacing w:val="-2"/>
      <w:sz w:val="28"/>
      <w:szCs w:val="36"/>
    </w:rPr>
  </w:style>
  <w:style w:type="character" w:styleId="CommentReference">
    <w:name w:val="annotation reference"/>
    <w:uiPriority w:val="99"/>
    <w:semiHidden/>
    <w:rsid w:val="009C17EC"/>
    <w:rPr>
      <w:sz w:val="6"/>
      <w:szCs w:val="9"/>
    </w:rPr>
  </w:style>
  <w:style w:type="paragraph" w:customStyle="1" w:styleId="HM">
    <w:name w:val="_ H __M"/>
    <w:basedOn w:val="HCh"/>
    <w:next w:val="Normal"/>
    <w:qFormat/>
    <w:rsid w:val="009C17EC"/>
    <w:pPr>
      <w:suppressAutoHyphens/>
      <w:spacing w:line="520" w:lineRule="exact"/>
    </w:pPr>
    <w:rPr>
      <w:spacing w:val="-3"/>
      <w:sz w:val="34"/>
      <w:szCs w:val="48"/>
    </w:rPr>
  </w:style>
  <w:style w:type="paragraph" w:customStyle="1" w:styleId="SingleTxt">
    <w:name w:val="__Single Txt"/>
    <w:basedOn w:val="Normal"/>
    <w:qFormat/>
    <w:rsid w:val="009C17EC"/>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C17EC"/>
    <w:pPr>
      <w:suppressAutoHyphens/>
      <w:spacing w:line="360" w:lineRule="exact"/>
      <w:outlineLvl w:val="1"/>
    </w:pPr>
    <w:rPr>
      <w:spacing w:val="2"/>
      <w:sz w:val="20"/>
      <w:szCs w:val="28"/>
    </w:rPr>
  </w:style>
  <w:style w:type="paragraph" w:customStyle="1" w:styleId="H4">
    <w:name w:val="_ H_4"/>
    <w:basedOn w:val="Normal"/>
    <w:next w:val="Normal"/>
    <w:qFormat/>
    <w:rsid w:val="009C17EC"/>
    <w:pPr>
      <w:keepNext/>
      <w:keepLines/>
      <w:spacing w:after="120" w:line="360" w:lineRule="exact"/>
      <w:outlineLvl w:val="3"/>
    </w:pPr>
    <w:rPr>
      <w:i/>
      <w:iCs/>
      <w:kern w:val="14"/>
      <w:szCs w:val="28"/>
    </w:rPr>
  </w:style>
  <w:style w:type="paragraph" w:customStyle="1" w:styleId="H56">
    <w:name w:val="_ H_5/6"/>
    <w:basedOn w:val="Normal"/>
    <w:next w:val="Normal"/>
    <w:qFormat/>
    <w:rsid w:val="009C17EC"/>
    <w:pPr>
      <w:keepNext/>
      <w:keepLines/>
      <w:spacing w:after="120" w:line="360" w:lineRule="exact"/>
      <w:outlineLvl w:val="4"/>
    </w:pPr>
    <w:rPr>
      <w:kern w:val="14"/>
      <w:szCs w:val="28"/>
    </w:rPr>
  </w:style>
  <w:style w:type="paragraph" w:customStyle="1" w:styleId="DualTxt">
    <w:name w:val="__Dual Txt"/>
    <w:basedOn w:val="Normal"/>
    <w:qFormat/>
    <w:rsid w:val="009C17EC"/>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C17EC"/>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C17EC"/>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C17EC"/>
    <w:pPr>
      <w:spacing w:after="120" w:line="440" w:lineRule="exact"/>
      <w:jc w:val="center"/>
    </w:pPr>
    <w:rPr>
      <w:b/>
      <w:bCs/>
      <w:sz w:val="25"/>
      <w:szCs w:val="38"/>
    </w:rPr>
  </w:style>
  <w:style w:type="paragraph" w:customStyle="1" w:styleId="JH1">
    <w:name w:val="J_H_1"/>
    <w:basedOn w:val="JCH"/>
    <w:qFormat/>
    <w:rsid w:val="009C17EC"/>
    <w:pPr>
      <w:spacing w:line="420" w:lineRule="exact"/>
    </w:pPr>
    <w:rPr>
      <w:sz w:val="23"/>
      <w:szCs w:val="34"/>
    </w:rPr>
  </w:style>
  <w:style w:type="paragraph" w:customStyle="1" w:styleId="JH2">
    <w:name w:val="J_H_2"/>
    <w:basedOn w:val="JH1"/>
    <w:qFormat/>
    <w:rsid w:val="009C17EC"/>
    <w:pPr>
      <w:spacing w:line="400" w:lineRule="exact"/>
    </w:pPr>
    <w:rPr>
      <w:sz w:val="20"/>
      <w:szCs w:val="30"/>
    </w:rPr>
  </w:style>
  <w:style w:type="paragraph" w:customStyle="1" w:styleId="JSmall">
    <w:name w:val="J_Small"/>
    <w:basedOn w:val="JSingleTxt"/>
    <w:next w:val="JSingleTxt"/>
    <w:qFormat/>
    <w:rsid w:val="009C17E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C17EC"/>
    <w:pPr>
      <w:tabs>
        <w:tab w:val="right" w:leader="dot" w:pos="360"/>
      </w:tabs>
      <w:spacing w:line="310" w:lineRule="exact"/>
      <w:jc w:val="right"/>
    </w:pPr>
    <w:rPr>
      <w:spacing w:val="5"/>
      <w:w w:val="104"/>
      <w:kern w:val="14"/>
      <w:sz w:val="17"/>
      <w:szCs w:val="25"/>
    </w:rPr>
  </w:style>
  <w:style w:type="character" w:styleId="LineNumber">
    <w:name w:val="line number"/>
    <w:qFormat/>
    <w:rsid w:val="009C17EC"/>
    <w:rPr>
      <w:sz w:val="14"/>
      <w:szCs w:val="16"/>
    </w:rPr>
  </w:style>
  <w:style w:type="paragraph" w:customStyle="1" w:styleId="SmallX">
    <w:name w:val="SmallX"/>
    <w:basedOn w:val="Small"/>
    <w:next w:val="Normal"/>
    <w:qFormat/>
    <w:rsid w:val="009C17EC"/>
    <w:pPr>
      <w:spacing w:line="240" w:lineRule="exact"/>
    </w:pPr>
    <w:rPr>
      <w:spacing w:val="6"/>
      <w:w w:val="106"/>
      <w:sz w:val="14"/>
      <w:szCs w:val="21"/>
    </w:rPr>
  </w:style>
  <w:style w:type="paragraph" w:customStyle="1" w:styleId="XLarge">
    <w:name w:val="XLarge"/>
    <w:basedOn w:val="HM"/>
    <w:qFormat/>
    <w:rsid w:val="009C17EC"/>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C17EC"/>
    <w:pPr>
      <w:spacing w:line="820" w:lineRule="exact"/>
    </w:pPr>
    <w:rPr>
      <w:spacing w:val="-8"/>
      <w:w w:val="96"/>
      <w:sz w:val="57"/>
      <w:szCs w:val="86"/>
    </w:rPr>
  </w:style>
  <w:style w:type="paragraph" w:customStyle="1" w:styleId="Distribution">
    <w:name w:val="Distribu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C17EC"/>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9C17EC"/>
    <w:pPr>
      <w:tabs>
        <w:tab w:val="left" w:pos="662"/>
        <w:tab w:val="left" w:pos="1267"/>
        <w:tab w:val="left" w:pos="1987"/>
        <w:tab w:val="left" w:pos="2650"/>
      </w:tabs>
      <w:spacing w:after="0"/>
      <w:ind w:left="662" w:hanging="662"/>
    </w:pPr>
  </w:style>
  <w:style w:type="paragraph" w:customStyle="1" w:styleId="Committee">
    <w:name w:val="Committee"/>
    <w:basedOn w:val="H1"/>
    <w:qFormat/>
    <w:rsid w:val="009C17EC"/>
    <w:pPr>
      <w:tabs>
        <w:tab w:val="left" w:pos="662"/>
        <w:tab w:val="left" w:pos="1267"/>
        <w:tab w:val="left" w:pos="1987"/>
        <w:tab w:val="left" w:pos="2650"/>
      </w:tabs>
      <w:ind w:right="1264"/>
    </w:pPr>
  </w:style>
  <w:style w:type="paragraph" w:customStyle="1" w:styleId="AgendaItemNormal">
    <w:name w:val="Agenda_Item_Normal"/>
    <w:next w:val="Normal"/>
    <w:qFormat/>
    <w:rsid w:val="009C17EC"/>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9C17EC"/>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C17EC"/>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C17E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C17EC"/>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C17EC"/>
    <w:rPr>
      <w:i w:val="0"/>
      <w:color w:val="0000FF"/>
      <w:u w:val="none"/>
    </w:rPr>
  </w:style>
  <w:style w:type="paragraph" w:customStyle="1" w:styleId="Bullet1">
    <w:name w:val="Bullet 1"/>
    <w:basedOn w:val="Normal"/>
    <w:qFormat/>
    <w:rsid w:val="009C17EC"/>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C17EC"/>
    <w:pPr>
      <w:numPr>
        <w:numId w:val="19"/>
      </w:numPr>
      <w:spacing w:after="120" w:line="360" w:lineRule="exact"/>
      <w:ind w:right="1264"/>
    </w:pPr>
    <w:rPr>
      <w:kern w:val="14"/>
      <w:szCs w:val="28"/>
    </w:rPr>
  </w:style>
  <w:style w:type="paragraph" w:customStyle="1" w:styleId="Bullet3">
    <w:name w:val="Bullet 3"/>
    <w:basedOn w:val="SingleTxt"/>
    <w:qFormat/>
    <w:rsid w:val="009C17EC"/>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C17EC"/>
    <w:pPr>
      <w:ind w:right="5760"/>
      <w:outlineLvl w:val="1"/>
    </w:pPr>
    <w:rPr>
      <w:spacing w:val="2"/>
      <w:sz w:val="20"/>
      <w:szCs w:val="28"/>
    </w:rPr>
  </w:style>
  <w:style w:type="paragraph" w:customStyle="1" w:styleId="STitleM">
    <w:name w:val="S_Title_M"/>
    <w:basedOn w:val="Normal"/>
    <w:next w:val="Normal"/>
    <w:qFormat/>
    <w:rsid w:val="009C17EC"/>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C17EC"/>
    <w:pPr>
      <w:spacing w:line="600" w:lineRule="exact"/>
      <w:ind w:left="1267" w:right="1267"/>
    </w:pPr>
    <w:rPr>
      <w:w w:val="103"/>
      <w:sz w:val="60"/>
      <w:szCs w:val="60"/>
    </w:rPr>
  </w:style>
  <w:style w:type="paragraph" w:customStyle="1" w:styleId="STitleL">
    <w:name w:val="S_Title_L"/>
    <w:basedOn w:val="XLarge"/>
    <w:next w:val="Normal"/>
    <w:qFormat/>
    <w:rsid w:val="009C17EC"/>
    <w:rPr>
      <w:spacing w:val="-8"/>
      <w:w w:val="96"/>
      <w:sz w:val="57"/>
    </w:rPr>
  </w:style>
  <w:style w:type="paragraph" w:styleId="CommentText">
    <w:name w:val="annotation text"/>
    <w:basedOn w:val="Normal"/>
    <w:link w:val="CommentTextChar"/>
    <w:uiPriority w:val="99"/>
    <w:semiHidden/>
    <w:unhideWhenUsed/>
    <w:rsid w:val="009C17EC"/>
    <w:pPr>
      <w:spacing w:line="240" w:lineRule="auto"/>
    </w:pPr>
    <w:rPr>
      <w:kern w:val="14"/>
    </w:rPr>
  </w:style>
  <w:style w:type="character" w:customStyle="1" w:styleId="CommentTextChar">
    <w:name w:val="Comment Text Char"/>
    <w:basedOn w:val="DefaultParagraphFont"/>
    <w:link w:val="CommentText"/>
    <w:uiPriority w:val="99"/>
    <w:semiHidden/>
    <w:rsid w:val="009C17EC"/>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9C17EC"/>
    <w:rPr>
      <w:b/>
      <w:bCs/>
    </w:rPr>
  </w:style>
  <w:style w:type="character" w:customStyle="1" w:styleId="CommentSubjectChar">
    <w:name w:val="Comment Subject Char"/>
    <w:basedOn w:val="CommentTextChar"/>
    <w:link w:val="CommentSubject"/>
    <w:uiPriority w:val="99"/>
    <w:semiHidden/>
    <w:rsid w:val="009C17EC"/>
    <w:rPr>
      <w:rFonts w:ascii="Times New Roman" w:eastAsia="PMingLiU" w:hAnsi="Times New Roman" w:cs="Simplified Arabic"/>
      <w:b/>
      <w:bCs/>
      <w:kern w:val="14"/>
      <w:szCs w:val="22"/>
      <w:lang w:eastAsia="en-US"/>
    </w:rPr>
  </w:style>
  <w:style w:type="paragraph" w:customStyle="1" w:styleId="Bullet1G">
    <w:name w:val="_Bullet 1_G"/>
    <w:basedOn w:val="Normal"/>
    <w:qFormat/>
    <w:rsid w:val="009C17EC"/>
    <w:pPr>
      <w:numPr>
        <w:numId w:val="21"/>
      </w:numPr>
      <w:bidi w:val="0"/>
      <w:spacing w:after="120"/>
      <w:ind w:right="1134"/>
      <w:jc w:val="both"/>
    </w:pPr>
    <w:rPr>
      <w:sz w:val="22"/>
    </w:rPr>
  </w:style>
  <w:style w:type="character" w:customStyle="1" w:styleId="SingleTxtGChar">
    <w:name w:val="_ Single Txt_G Char"/>
    <w:link w:val="SingleTxtG"/>
    <w:rsid w:val="009C17EC"/>
    <w:rPr>
      <w:rFonts w:ascii="Times New Roman" w:eastAsia="PMingLiU" w:hAnsi="Times New Roman" w:cs="Simplified Arabic"/>
      <w:lang w:val="en-GB" w:eastAsia="en-US"/>
    </w:rPr>
  </w:style>
  <w:style w:type="paragraph" w:customStyle="1" w:styleId="Preparedby">
    <w:name w:val="Prepared by:"/>
    <w:basedOn w:val="H23GA"/>
    <w:qFormat/>
    <w:rsid w:val="009C17EC"/>
    <w:rPr>
      <w:sz w:val="32"/>
      <w:szCs w:val="32"/>
    </w:rPr>
  </w:style>
  <w:style w:type="paragraph" w:customStyle="1" w:styleId="ParaNoG">
    <w:name w:val="_ParaNo._G"/>
    <w:basedOn w:val="SingleTxtG"/>
    <w:rsid w:val="009C17EC"/>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C17EC"/>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C17EC"/>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C17EC"/>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C17EC"/>
    <w:rPr>
      <w:rFonts w:asciiTheme="minorHAnsi" w:eastAsiaTheme="minorEastAsia" w:hAnsiTheme="minorHAnsi" w:cstheme="minorBidi"/>
      <w:sz w:val="24"/>
      <w:szCs w:val="24"/>
      <w:lang w:val="fr-FR" w:eastAsia="fr-FR"/>
    </w:rPr>
  </w:style>
  <w:style w:type="paragraph" w:customStyle="1" w:styleId="Default">
    <w:name w:val="Default"/>
    <w:semiHidden/>
    <w:rsid w:val="009C17EC"/>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C17EC"/>
  </w:style>
  <w:style w:type="character" w:customStyle="1" w:styleId="preferred">
    <w:name w:val="preferred"/>
    <w:basedOn w:val="DefaultParagraphFont"/>
    <w:rsid w:val="009C17EC"/>
  </w:style>
  <w:style w:type="character" w:customStyle="1" w:styleId="admitted">
    <w:name w:val="admitted"/>
    <w:basedOn w:val="DefaultParagraphFont"/>
    <w:rsid w:val="009C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chr.org/EN/HRBodies/CCPR/Pages/PredictableReviewCycle.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ndocs.org/ar/CCPR/C/SVK/CO/4/Add.1&#1548;" TargetMode="External"/><Relationship Id="rId4" Type="http://schemas.openxmlformats.org/officeDocument/2006/relationships/settings" Target="settings.xml"/><Relationship Id="rId9" Type="http://schemas.openxmlformats.org/officeDocument/2006/relationships/hyperlink" Target="http://undocs.org/ar/CCPR/C/SVK/CO/4&#1548;"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BF652-774E-4EA3-B6DF-6DE31EEB7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1752</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CCPR/C/131/2/Add.2</vt:lpstr>
    </vt:vector>
  </TitlesOfParts>
  <Company>DCM</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CCPR/C/131/2/Add.2</dc:title>
  <dc:subject>GE.2105698(A)</dc:subject>
  <dc:creator>Ihab RIZ - </dc:creator>
  <cp:keywords>GE.2109808(A)</cp:keywords>
  <dc:description>General_x000d_
_x000d_
Arabic_x000d_
English</dc:description>
  <cp:lastModifiedBy>Ihab RIZ</cp:lastModifiedBy>
  <cp:revision>3</cp:revision>
  <cp:lastPrinted>2021-05-03T14:21:00Z</cp:lastPrinted>
  <dcterms:created xsi:type="dcterms:W3CDTF">2021-05-03T14:21:00Z</dcterms:created>
  <dcterms:modified xsi:type="dcterms:W3CDTF">2021-05-03T14:21:00Z</dcterms:modified>
  <cp:category>Finale</cp:category>
</cp:coreProperties>
</file>