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14:paraId="70FEE460" w14:textId="77777777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4AB37A0" w14:textId="77777777" w:rsidR="006F71EA" w:rsidRPr="00DB58B5" w:rsidRDefault="006F71EA" w:rsidP="0085375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781BCC1" w14:textId="77777777"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332AD5" w14:textId="6E4F535E" w:rsidR="006F71EA" w:rsidRPr="00EE3B8C" w:rsidRDefault="00EE3B8C" w:rsidP="00EE3B8C">
            <w:pPr>
              <w:jc w:val="right"/>
            </w:pPr>
            <w:r w:rsidRPr="00EE3B8C">
              <w:rPr>
                <w:sz w:val="40"/>
              </w:rPr>
              <w:t>CCPR</w:t>
            </w:r>
            <w:r>
              <w:t>/C/130/D/2587/2015</w:t>
            </w:r>
          </w:p>
        </w:tc>
      </w:tr>
      <w:tr w:rsidR="006F71EA" w:rsidRPr="00DB58B5" w14:paraId="2392D299" w14:textId="77777777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D8C1D26" w14:textId="77777777"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C150A78" wp14:editId="6E3F57F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4738C3" w14:textId="77777777"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BBA6725" w14:textId="77777777" w:rsidR="006F71EA" w:rsidRDefault="0085375E" w:rsidP="002B7BC7">
            <w:pPr>
              <w:spacing w:before="240"/>
            </w:pPr>
            <w:r>
              <w:t>Distr. générale</w:t>
            </w:r>
          </w:p>
          <w:p w14:paraId="6E0D8CA3" w14:textId="6815293D" w:rsidR="0085375E" w:rsidRDefault="00652F33" w:rsidP="0085375E">
            <w:pPr>
              <w:spacing w:line="240" w:lineRule="exact"/>
            </w:pPr>
            <w:r>
              <w:t>7</w:t>
            </w:r>
            <w:r w:rsidR="0085375E">
              <w:t xml:space="preserve"> mai 2021</w:t>
            </w:r>
          </w:p>
          <w:p w14:paraId="0C5109D8" w14:textId="4911BF10" w:rsidR="0085375E" w:rsidRDefault="0085375E" w:rsidP="0085375E">
            <w:pPr>
              <w:spacing w:line="240" w:lineRule="exact"/>
            </w:pPr>
          </w:p>
          <w:p w14:paraId="5E59515A" w14:textId="614FD41A" w:rsidR="0085375E" w:rsidRPr="00DB58B5" w:rsidRDefault="0085375E" w:rsidP="0085375E">
            <w:pPr>
              <w:spacing w:line="240" w:lineRule="exact"/>
            </w:pPr>
            <w:r>
              <w:t>Original : français</w:t>
            </w:r>
          </w:p>
        </w:tc>
      </w:tr>
    </w:tbl>
    <w:p w14:paraId="52A60D73" w14:textId="71C70DED"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14:paraId="195A9D9B" w14:textId="0361514E" w:rsidR="00E83006" w:rsidRPr="004A04F6" w:rsidRDefault="00E83006" w:rsidP="00ED242C">
      <w:pPr>
        <w:pStyle w:val="HChG"/>
      </w:pPr>
      <w:r w:rsidRPr="004A04F6">
        <w:rPr>
          <w:lang w:val="fr-FR"/>
        </w:rPr>
        <w:tab/>
      </w:r>
      <w:r w:rsidRPr="004A04F6">
        <w:rPr>
          <w:lang w:val="fr-FR"/>
        </w:rPr>
        <w:tab/>
      </w:r>
      <w:r w:rsidRPr="00D032A9">
        <w:t xml:space="preserve">Constatations adoptées par le Comité au titre </w:t>
      </w:r>
      <w:r w:rsidR="00BE7656">
        <w:br/>
      </w:r>
      <w:r w:rsidRPr="00D032A9">
        <w:t>de l</w:t>
      </w:r>
      <w:r>
        <w:t>’</w:t>
      </w:r>
      <w:r w:rsidRPr="00D032A9">
        <w:t xml:space="preserve">article 5 (par. 4) du Protocole facultatif, </w:t>
      </w:r>
      <w:r w:rsidR="00BE7656">
        <w:br/>
      </w:r>
      <w:r w:rsidRPr="00D032A9">
        <w:t>concernant la</w:t>
      </w:r>
      <w:r w:rsidRPr="004A04F6">
        <w:rPr>
          <w:lang w:val="fr-FR"/>
        </w:rPr>
        <w:t xml:space="preserve"> </w:t>
      </w:r>
      <w:r>
        <w:rPr>
          <w:lang w:val="fr-FR"/>
        </w:rPr>
        <w:t>c</w:t>
      </w:r>
      <w:r w:rsidRPr="004A04F6">
        <w:rPr>
          <w:lang w:val="fr-FR"/>
        </w:rPr>
        <w:t xml:space="preserve">ommunication </w:t>
      </w:r>
      <w:r w:rsidRPr="00EA73E1">
        <w:rPr>
          <w:rFonts w:eastAsia="MS Mincho"/>
          <w:lang w:val="fr-FR"/>
        </w:rPr>
        <w:t>n</w:t>
      </w:r>
      <w:r w:rsidRPr="00EA73E1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4A04F6">
        <w:rPr>
          <w:lang w:val="fr-FR"/>
        </w:rPr>
        <w:t>2</w:t>
      </w:r>
      <w:r>
        <w:rPr>
          <w:lang w:val="fr-FR"/>
        </w:rPr>
        <w:t>587</w:t>
      </w:r>
      <w:r w:rsidRPr="004A04F6">
        <w:rPr>
          <w:lang w:val="fr-FR"/>
        </w:rPr>
        <w:t>/201</w:t>
      </w:r>
      <w:r>
        <w:rPr>
          <w:lang w:val="fr-FR"/>
        </w:rPr>
        <w:t>5</w:t>
      </w:r>
      <w:r w:rsidRPr="00ED242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ED242C">
        <w:rPr>
          <w:b w:val="0"/>
          <w:bCs/>
          <w:position w:val="6"/>
          <w:sz w:val="18"/>
        </w:rPr>
        <w:t>,</w:t>
      </w:r>
      <w:r w:rsidRPr="00ED242C">
        <w:rPr>
          <w:b w:val="0"/>
          <w:bCs/>
        </w:rPr>
        <w:t xml:space="preserve"> </w:t>
      </w:r>
      <w:r w:rsidRPr="00ED242C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Grilledutableau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4123"/>
      </w:tblGrid>
      <w:tr w:rsidR="00E83006" w14:paraId="70E9268C" w14:textId="77777777" w:rsidTr="00ED242C">
        <w:tc>
          <w:tcPr>
            <w:tcW w:w="2681" w:type="dxa"/>
          </w:tcPr>
          <w:p w14:paraId="445CFA4E" w14:textId="77777777" w:rsidR="00E83006" w:rsidRDefault="00E83006" w:rsidP="00ED242C">
            <w:pPr>
              <w:spacing w:after="120"/>
              <w:rPr>
                <w:i/>
              </w:rPr>
            </w:pPr>
            <w:r w:rsidRPr="004A04F6">
              <w:rPr>
                <w:i/>
                <w:iCs/>
                <w:lang w:val="fr-FR"/>
              </w:rPr>
              <w:t>Communication présentée par</w:t>
            </w:r>
            <w:r>
              <w:rPr>
                <w:i/>
                <w:iCs/>
                <w:lang w:val="fr-FR"/>
              </w:rPr>
              <w:t> </w:t>
            </w:r>
            <w:r w:rsidRPr="004677B4">
              <w:rPr>
                <w:iCs/>
                <w:lang w:val="fr-FR"/>
              </w:rPr>
              <w:t>:</w:t>
            </w:r>
          </w:p>
        </w:tc>
        <w:tc>
          <w:tcPr>
            <w:tcW w:w="4123" w:type="dxa"/>
          </w:tcPr>
          <w:p w14:paraId="3DFB689D" w14:textId="77777777" w:rsidR="00E83006" w:rsidRDefault="00E83006" w:rsidP="00ED242C">
            <w:pPr>
              <w:spacing w:after="120"/>
            </w:pPr>
            <w:r>
              <w:rPr>
                <w:lang w:val="fr-FR"/>
              </w:rPr>
              <w:t>Étienne Abessolo</w:t>
            </w:r>
          </w:p>
        </w:tc>
      </w:tr>
      <w:tr w:rsidR="00E83006" w14:paraId="7D0F318F" w14:textId="77777777" w:rsidTr="00ED242C">
        <w:tc>
          <w:tcPr>
            <w:tcW w:w="2681" w:type="dxa"/>
          </w:tcPr>
          <w:p w14:paraId="3B78CF0E" w14:textId="77777777" w:rsidR="00E83006" w:rsidRDefault="00E83006" w:rsidP="00ED242C">
            <w:pPr>
              <w:spacing w:after="120"/>
              <w:rPr>
                <w:i/>
              </w:rPr>
            </w:pPr>
            <w:r>
              <w:rPr>
                <w:i/>
                <w:iCs/>
                <w:lang w:val="fr-FR"/>
              </w:rPr>
              <w:t>Victime(s) présumée(s) </w:t>
            </w:r>
            <w:r w:rsidRPr="004677B4">
              <w:rPr>
                <w:iCs/>
                <w:lang w:val="fr-FR"/>
              </w:rPr>
              <w:t>:</w:t>
            </w:r>
          </w:p>
        </w:tc>
        <w:tc>
          <w:tcPr>
            <w:tcW w:w="4123" w:type="dxa"/>
          </w:tcPr>
          <w:p w14:paraId="24AC3237" w14:textId="77777777" w:rsidR="00E83006" w:rsidRDefault="00E83006" w:rsidP="00ED242C">
            <w:pPr>
              <w:spacing w:after="120"/>
            </w:pPr>
            <w:r>
              <w:t>L’auteur</w:t>
            </w:r>
          </w:p>
        </w:tc>
      </w:tr>
      <w:tr w:rsidR="00E83006" w14:paraId="7F4E7892" w14:textId="77777777" w:rsidTr="00ED242C">
        <w:tc>
          <w:tcPr>
            <w:tcW w:w="2681" w:type="dxa"/>
          </w:tcPr>
          <w:p w14:paraId="4AED2306" w14:textId="77777777" w:rsidR="00E83006" w:rsidRDefault="00E83006" w:rsidP="00ED242C">
            <w:pPr>
              <w:spacing w:after="120"/>
              <w:rPr>
                <w:i/>
              </w:rPr>
            </w:pPr>
            <w:r w:rsidRPr="004A04F6">
              <w:rPr>
                <w:i/>
                <w:iCs/>
                <w:lang w:val="fr-FR"/>
              </w:rPr>
              <w:t>État partie</w:t>
            </w:r>
            <w:r>
              <w:rPr>
                <w:i/>
                <w:iCs/>
                <w:lang w:val="fr-FR"/>
              </w:rPr>
              <w:t> </w:t>
            </w:r>
            <w:r w:rsidRPr="004677B4">
              <w:rPr>
                <w:iCs/>
                <w:lang w:val="fr-FR"/>
              </w:rPr>
              <w:t>:</w:t>
            </w:r>
          </w:p>
        </w:tc>
        <w:tc>
          <w:tcPr>
            <w:tcW w:w="4123" w:type="dxa"/>
          </w:tcPr>
          <w:p w14:paraId="06658290" w14:textId="77777777" w:rsidR="00E83006" w:rsidRDefault="00E83006" w:rsidP="00ED242C">
            <w:pPr>
              <w:spacing w:after="120"/>
            </w:pPr>
            <w:r>
              <w:rPr>
                <w:lang w:val="fr-FR"/>
              </w:rPr>
              <w:t>Cameroun</w:t>
            </w:r>
          </w:p>
        </w:tc>
      </w:tr>
      <w:tr w:rsidR="00E83006" w14:paraId="03F1EB7B" w14:textId="77777777" w:rsidTr="00ED242C">
        <w:tc>
          <w:tcPr>
            <w:tcW w:w="2681" w:type="dxa"/>
          </w:tcPr>
          <w:p w14:paraId="007463F7" w14:textId="77777777" w:rsidR="00E83006" w:rsidRDefault="00E83006" w:rsidP="00ED242C">
            <w:pPr>
              <w:spacing w:after="120"/>
              <w:rPr>
                <w:i/>
              </w:rPr>
            </w:pPr>
            <w:r w:rsidRPr="004A04F6">
              <w:rPr>
                <w:i/>
                <w:iCs/>
                <w:lang w:val="fr-FR"/>
              </w:rPr>
              <w:t>Date de la communication</w:t>
            </w:r>
            <w:r>
              <w:rPr>
                <w:i/>
                <w:iCs/>
                <w:lang w:val="fr-FR"/>
              </w:rPr>
              <w:t> </w:t>
            </w:r>
            <w:r w:rsidRPr="004677B4">
              <w:rPr>
                <w:iCs/>
                <w:lang w:val="fr-FR"/>
              </w:rPr>
              <w:t>:</w:t>
            </w:r>
          </w:p>
        </w:tc>
        <w:tc>
          <w:tcPr>
            <w:tcW w:w="4123" w:type="dxa"/>
          </w:tcPr>
          <w:p w14:paraId="0C2BB601" w14:textId="77777777" w:rsidR="00E83006" w:rsidRDefault="00E83006" w:rsidP="00ED242C">
            <w:pPr>
              <w:spacing w:after="120"/>
            </w:pPr>
            <w:r>
              <w:rPr>
                <w:lang w:val="fr-FR"/>
              </w:rPr>
              <w:t>16 octobre 2014</w:t>
            </w:r>
            <w:r w:rsidRPr="004A04F6">
              <w:rPr>
                <w:lang w:val="fr-FR"/>
              </w:rPr>
              <w:t xml:space="preserve"> (date de la lettre initiale)</w:t>
            </w:r>
          </w:p>
        </w:tc>
      </w:tr>
      <w:tr w:rsidR="00E83006" w14:paraId="4CC4D799" w14:textId="77777777" w:rsidTr="00ED242C">
        <w:tc>
          <w:tcPr>
            <w:tcW w:w="2681" w:type="dxa"/>
          </w:tcPr>
          <w:p w14:paraId="72E3859D" w14:textId="77777777" w:rsidR="00E83006" w:rsidRDefault="00E83006" w:rsidP="00ED242C">
            <w:pPr>
              <w:spacing w:after="120"/>
              <w:rPr>
                <w:i/>
              </w:rPr>
            </w:pPr>
            <w:r w:rsidRPr="004A04F6">
              <w:rPr>
                <w:i/>
                <w:iCs/>
                <w:lang w:val="fr-FR"/>
              </w:rPr>
              <w:t>Références</w:t>
            </w:r>
            <w:r>
              <w:rPr>
                <w:i/>
                <w:iCs/>
                <w:lang w:val="fr-FR"/>
              </w:rPr>
              <w:t> </w:t>
            </w:r>
            <w:r w:rsidRPr="004677B4">
              <w:rPr>
                <w:iCs/>
                <w:lang w:val="fr-FR"/>
              </w:rPr>
              <w:t>:</w:t>
            </w:r>
          </w:p>
        </w:tc>
        <w:tc>
          <w:tcPr>
            <w:tcW w:w="4123" w:type="dxa"/>
          </w:tcPr>
          <w:p w14:paraId="1D89DBE0" w14:textId="56B7E366" w:rsidR="00E83006" w:rsidRDefault="00E83006" w:rsidP="00ED242C">
            <w:pPr>
              <w:spacing w:after="120"/>
            </w:pPr>
            <w:r w:rsidRPr="004A04F6">
              <w:rPr>
                <w:lang w:val="fr-FR"/>
              </w:rPr>
              <w:t>Décision prise en application de l</w:t>
            </w:r>
            <w:r>
              <w:rPr>
                <w:lang w:val="fr-FR"/>
              </w:rPr>
              <w:t>’</w:t>
            </w:r>
            <w:r w:rsidRPr="004A04F6">
              <w:rPr>
                <w:lang w:val="fr-FR"/>
              </w:rPr>
              <w:t xml:space="preserve">article 92 </w:t>
            </w:r>
            <w:r w:rsidR="00BE7656">
              <w:rPr>
                <w:lang w:val="fr-FR"/>
              </w:rPr>
              <w:br/>
            </w:r>
            <w:r w:rsidRPr="004A04F6">
              <w:rPr>
                <w:lang w:val="fr-FR"/>
              </w:rPr>
              <w:t xml:space="preserve">du règlement intérieur du Comité, communiquée </w:t>
            </w:r>
            <w:r w:rsidR="00BE7656">
              <w:rPr>
                <w:lang w:val="fr-FR"/>
              </w:rPr>
              <w:br/>
            </w:r>
            <w:r w:rsidRPr="004A04F6">
              <w:rPr>
                <w:lang w:val="fr-FR"/>
              </w:rPr>
              <w:t>à l</w:t>
            </w:r>
            <w:r>
              <w:rPr>
                <w:lang w:val="fr-FR"/>
              </w:rPr>
              <w:t>’</w:t>
            </w:r>
            <w:r w:rsidRPr="004A04F6">
              <w:rPr>
                <w:lang w:val="fr-FR"/>
              </w:rPr>
              <w:t xml:space="preserve">État partie le </w:t>
            </w:r>
            <w:r w:rsidR="00BE7656">
              <w:rPr>
                <w:lang w:val="fr-FR"/>
              </w:rPr>
              <w:t>14 </w:t>
            </w:r>
            <w:r>
              <w:rPr>
                <w:lang w:val="fr-FR"/>
              </w:rPr>
              <w:t>septembre 2015</w:t>
            </w:r>
            <w:r w:rsidRPr="004A04F6">
              <w:rPr>
                <w:lang w:val="fr-FR"/>
              </w:rPr>
              <w:t xml:space="preserve"> (non publiée sous forme de document)</w:t>
            </w:r>
          </w:p>
        </w:tc>
      </w:tr>
      <w:tr w:rsidR="00E83006" w14:paraId="151D5900" w14:textId="77777777" w:rsidTr="00ED242C">
        <w:tc>
          <w:tcPr>
            <w:tcW w:w="2681" w:type="dxa"/>
          </w:tcPr>
          <w:p w14:paraId="368FDD67" w14:textId="77777777" w:rsidR="00E83006" w:rsidRDefault="00E83006" w:rsidP="00ED242C">
            <w:pPr>
              <w:spacing w:after="120"/>
              <w:rPr>
                <w:i/>
              </w:rPr>
            </w:pPr>
            <w:r w:rsidRPr="004A04F6">
              <w:rPr>
                <w:i/>
                <w:iCs/>
                <w:lang w:val="fr-FR"/>
              </w:rPr>
              <w:t>Date des constatations</w:t>
            </w:r>
            <w:r>
              <w:rPr>
                <w:i/>
                <w:iCs/>
                <w:lang w:val="fr-FR"/>
              </w:rPr>
              <w:t> </w:t>
            </w:r>
            <w:r w:rsidRPr="004677B4">
              <w:rPr>
                <w:iCs/>
                <w:lang w:val="fr-FR"/>
              </w:rPr>
              <w:t>:</w:t>
            </w:r>
          </w:p>
        </w:tc>
        <w:tc>
          <w:tcPr>
            <w:tcW w:w="4123" w:type="dxa"/>
          </w:tcPr>
          <w:p w14:paraId="482D8392" w14:textId="679BAF3F" w:rsidR="00E83006" w:rsidRDefault="00BE7656" w:rsidP="00ED242C">
            <w:pPr>
              <w:spacing w:after="120"/>
            </w:pPr>
            <w:r>
              <w:rPr>
                <w:lang w:val="fr-FR"/>
              </w:rPr>
              <w:t>30 </w:t>
            </w:r>
            <w:r w:rsidR="00E83006">
              <w:rPr>
                <w:lang w:val="fr-FR"/>
              </w:rPr>
              <w:t xml:space="preserve">octobre </w:t>
            </w:r>
            <w:r w:rsidR="00E83006" w:rsidRPr="004A04F6">
              <w:rPr>
                <w:lang w:val="fr-FR"/>
              </w:rPr>
              <w:t>20</w:t>
            </w:r>
            <w:r w:rsidR="00E83006">
              <w:rPr>
                <w:lang w:val="fr-FR"/>
              </w:rPr>
              <w:t>20</w:t>
            </w:r>
          </w:p>
        </w:tc>
      </w:tr>
      <w:tr w:rsidR="00E83006" w14:paraId="697C6041" w14:textId="77777777" w:rsidTr="00ED242C">
        <w:tc>
          <w:tcPr>
            <w:tcW w:w="2681" w:type="dxa"/>
          </w:tcPr>
          <w:p w14:paraId="21EC0A20" w14:textId="77777777" w:rsidR="00E83006" w:rsidRDefault="00E83006" w:rsidP="00ED242C">
            <w:pPr>
              <w:spacing w:after="120"/>
              <w:rPr>
                <w:i/>
              </w:rPr>
            </w:pPr>
            <w:r w:rsidRPr="004A04F6">
              <w:rPr>
                <w:i/>
                <w:iCs/>
                <w:lang w:val="fr-FR"/>
              </w:rPr>
              <w:t>Objet</w:t>
            </w:r>
            <w:r>
              <w:rPr>
                <w:i/>
                <w:iCs/>
                <w:lang w:val="fr-FR"/>
              </w:rPr>
              <w:t> </w:t>
            </w:r>
            <w:r w:rsidRPr="004677B4">
              <w:rPr>
                <w:iCs/>
                <w:lang w:val="fr-FR"/>
              </w:rPr>
              <w:t>:</w:t>
            </w:r>
          </w:p>
        </w:tc>
        <w:tc>
          <w:tcPr>
            <w:tcW w:w="4123" w:type="dxa"/>
          </w:tcPr>
          <w:p w14:paraId="774D3F25" w14:textId="77777777" w:rsidR="00E83006" w:rsidRDefault="00E83006" w:rsidP="00ED242C">
            <w:pPr>
              <w:spacing w:after="120"/>
            </w:pPr>
            <w:r>
              <w:rPr>
                <w:lang w:val="fr-FR"/>
              </w:rPr>
              <w:t>A</w:t>
            </w:r>
            <w:r w:rsidRPr="001C3232">
              <w:rPr>
                <w:lang w:val="fr-FR"/>
              </w:rPr>
              <w:t>bsence de voie de recours en indemnisation</w:t>
            </w:r>
          </w:p>
        </w:tc>
      </w:tr>
      <w:tr w:rsidR="00E83006" w14:paraId="7F158FC7" w14:textId="77777777" w:rsidTr="00ED242C">
        <w:tc>
          <w:tcPr>
            <w:tcW w:w="2681" w:type="dxa"/>
          </w:tcPr>
          <w:p w14:paraId="63859A84" w14:textId="77777777" w:rsidR="00E83006" w:rsidRDefault="00E83006" w:rsidP="00ED242C">
            <w:pPr>
              <w:spacing w:after="120"/>
              <w:rPr>
                <w:i/>
              </w:rPr>
            </w:pPr>
            <w:r w:rsidRPr="004A04F6">
              <w:rPr>
                <w:i/>
                <w:iCs/>
                <w:lang w:val="fr-FR"/>
              </w:rPr>
              <w:t>Question(s) de procédure</w:t>
            </w:r>
            <w:r>
              <w:rPr>
                <w:i/>
                <w:iCs/>
                <w:lang w:val="fr-FR"/>
              </w:rPr>
              <w:t> </w:t>
            </w:r>
            <w:r w:rsidRPr="004677B4">
              <w:rPr>
                <w:iCs/>
                <w:lang w:val="fr-FR"/>
              </w:rPr>
              <w:t>:</w:t>
            </w:r>
          </w:p>
        </w:tc>
        <w:tc>
          <w:tcPr>
            <w:tcW w:w="4123" w:type="dxa"/>
          </w:tcPr>
          <w:p w14:paraId="1785B24A" w14:textId="77777777" w:rsidR="00E83006" w:rsidRDefault="00E83006" w:rsidP="00ED242C">
            <w:pPr>
              <w:spacing w:after="120"/>
            </w:pPr>
            <w:r>
              <w:rPr>
                <w:lang w:val="fr-FR"/>
              </w:rPr>
              <w:t xml:space="preserve">Irrecevabilité </w:t>
            </w:r>
            <w:r w:rsidRPr="006A794B">
              <w:rPr>
                <w:i/>
                <w:lang w:val="fr-FR"/>
              </w:rPr>
              <w:t>ratione materiae</w:t>
            </w:r>
            <w:r w:rsidRPr="006A794B">
              <w:rPr>
                <w:iCs/>
                <w:lang w:val="fr-FR"/>
              </w:rPr>
              <w:t> ;</w:t>
            </w:r>
            <w:r>
              <w:rPr>
                <w:i/>
                <w:lang w:val="fr-FR"/>
              </w:rPr>
              <w:t xml:space="preserve"> </w:t>
            </w:r>
            <w:r w:rsidRPr="006A794B">
              <w:rPr>
                <w:lang w:val="fr-FR"/>
              </w:rPr>
              <w:t>non-épuisement des voies de recours internes</w:t>
            </w:r>
          </w:p>
        </w:tc>
      </w:tr>
      <w:tr w:rsidR="00E83006" w14:paraId="036F0BB0" w14:textId="77777777" w:rsidTr="00ED242C">
        <w:tc>
          <w:tcPr>
            <w:tcW w:w="2681" w:type="dxa"/>
          </w:tcPr>
          <w:p w14:paraId="7939CFC2" w14:textId="77777777" w:rsidR="00E83006" w:rsidRDefault="00E83006" w:rsidP="00ED242C">
            <w:pPr>
              <w:spacing w:after="120"/>
              <w:rPr>
                <w:i/>
              </w:rPr>
            </w:pPr>
            <w:r w:rsidRPr="004A04F6">
              <w:rPr>
                <w:i/>
                <w:iCs/>
                <w:lang w:val="fr-FR"/>
              </w:rPr>
              <w:t>Question(s) de fond</w:t>
            </w:r>
            <w:r>
              <w:rPr>
                <w:i/>
                <w:iCs/>
                <w:lang w:val="fr-FR"/>
              </w:rPr>
              <w:t> </w:t>
            </w:r>
            <w:r w:rsidRPr="004677B4">
              <w:rPr>
                <w:iCs/>
                <w:lang w:val="fr-FR"/>
              </w:rPr>
              <w:t>:</w:t>
            </w:r>
          </w:p>
        </w:tc>
        <w:tc>
          <w:tcPr>
            <w:tcW w:w="4123" w:type="dxa"/>
          </w:tcPr>
          <w:p w14:paraId="39E43917" w14:textId="77777777" w:rsidR="00E83006" w:rsidRDefault="00E83006" w:rsidP="00ED242C">
            <w:pPr>
              <w:spacing w:after="120"/>
            </w:pPr>
            <w:r w:rsidRPr="004A04F6">
              <w:rPr>
                <w:lang w:val="fr-FR"/>
              </w:rPr>
              <w:t>Recours utile</w:t>
            </w:r>
          </w:p>
        </w:tc>
      </w:tr>
      <w:tr w:rsidR="00E83006" w14:paraId="42392DF7" w14:textId="77777777" w:rsidTr="00ED242C">
        <w:tc>
          <w:tcPr>
            <w:tcW w:w="2681" w:type="dxa"/>
          </w:tcPr>
          <w:p w14:paraId="56201ABB" w14:textId="77777777" w:rsidR="00E83006" w:rsidRDefault="00E83006" w:rsidP="00ED242C">
            <w:pPr>
              <w:spacing w:after="120"/>
              <w:rPr>
                <w:i/>
              </w:rPr>
            </w:pPr>
            <w:r w:rsidRPr="004A04F6">
              <w:rPr>
                <w:i/>
                <w:iCs/>
                <w:lang w:val="fr-FR"/>
              </w:rPr>
              <w:t>Article(s) du Pacte</w:t>
            </w:r>
            <w:r>
              <w:rPr>
                <w:i/>
                <w:iCs/>
                <w:lang w:val="fr-FR"/>
              </w:rPr>
              <w:t> </w:t>
            </w:r>
            <w:r w:rsidRPr="004677B4">
              <w:rPr>
                <w:iCs/>
                <w:lang w:val="fr-FR"/>
              </w:rPr>
              <w:t>:</w:t>
            </w:r>
          </w:p>
        </w:tc>
        <w:tc>
          <w:tcPr>
            <w:tcW w:w="4123" w:type="dxa"/>
          </w:tcPr>
          <w:p w14:paraId="28AE4FD4" w14:textId="1EDD5584" w:rsidR="00E83006" w:rsidRDefault="00E83006" w:rsidP="00ED242C">
            <w:pPr>
              <w:spacing w:after="120"/>
            </w:pPr>
            <w:r w:rsidRPr="004A04F6">
              <w:rPr>
                <w:lang w:val="fr-FR"/>
              </w:rPr>
              <w:t>2 (par</w:t>
            </w:r>
            <w:r w:rsidR="00BE7656" w:rsidRPr="004A04F6">
              <w:rPr>
                <w:lang w:val="fr-FR"/>
              </w:rPr>
              <w:t>.</w:t>
            </w:r>
            <w:r w:rsidR="00BE7656">
              <w:rPr>
                <w:lang w:val="fr-FR"/>
              </w:rPr>
              <w:t> </w:t>
            </w:r>
            <w:r w:rsidRPr="004A04F6">
              <w:rPr>
                <w:lang w:val="fr-FR"/>
              </w:rPr>
              <w:t>3)</w:t>
            </w:r>
            <w:r>
              <w:rPr>
                <w:lang w:val="fr-FR"/>
              </w:rPr>
              <w:t xml:space="preserve"> et 14 (par</w:t>
            </w:r>
            <w:r w:rsidR="00BE7656">
              <w:rPr>
                <w:lang w:val="fr-FR"/>
              </w:rPr>
              <w:t>. </w:t>
            </w:r>
            <w:r>
              <w:rPr>
                <w:lang w:val="fr-FR"/>
              </w:rPr>
              <w:t>1)</w:t>
            </w:r>
          </w:p>
        </w:tc>
      </w:tr>
      <w:tr w:rsidR="00E83006" w14:paraId="78F5DBC0" w14:textId="77777777" w:rsidTr="00ED242C">
        <w:tc>
          <w:tcPr>
            <w:tcW w:w="2681" w:type="dxa"/>
          </w:tcPr>
          <w:p w14:paraId="26A52E2E" w14:textId="77777777" w:rsidR="00E83006" w:rsidRPr="004A04F6" w:rsidRDefault="00E83006" w:rsidP="00ED242C">
            <w:pPr>
              <w:spacing w:after="120"/>
              <w:rPr>
                <w:i/>
                <w:iCs/>
                <w:lang w:val="fr-FR"/>
              </w:rPr>
            </w:pPr>
            <w:r w:rsidRPr="004A04F6">
              <w:rPr>
                <w:i/>
                <w:iCs/>
                <w:lang w:val="fr-FR"/>
              </w:rPr>
              <w:t>Article(s) du Protocole facultatif</w:t>
            </w:r>
            <w:r>
              <w:rPr>
                <w:i/>
                <w:iCs/>
                <w:lang w:val="fr-FR"/>
              </w:rPr>
              <w:t> </w:t>
            </w:r>
            <w:r w:rsidRPr="004677B4">
              <w:rPr>
                <w:iCs/>
                <w:lang w:val="fr-FR"/>
              </w:rPr>
              <w:t>:</w:t>
            </w:r>
          </w:p>
        </w:tc>
        <w:tc>
          <w:tcPr>
            <w:tcW w:w="4123" w:type="dxa"/>
          </w:tcPr>
          <w:p w14:paraId="29E95F32" w14:textId="5977D9D1" w:rsidR="00E83006" w:rsidRPr="004A04F6" w:rsidRDefault="00E83006" w:rsidP="00ED242C">
            <w:pPr>
              <w:spacing w:after="120"/>
              <w:rPr>
                <w:lang w:val="fr-FR"/>
              </w:rPr>
            </w:pPr>
            <w:r w:rsidRPr="004A04F6">
              <w:rPr>
                <w:lang w:val="fr-FR"/>
              </w:rPr>
              <w:t>5 (par</w:t>
            </w:r>
            <w:r w:rsidR="00BE7656" w:rsidRPr="004A04F6">
              <w:rPr>
                <w:lang w:val="fr-FR"/>
              </w:rPr>
              <w:t>.</w:t>
            </w:r>
            <w:r w:rsidR="00BE7656">
              <w:rPr>
                <w:lang w:val="fr-FR"/>
              </w:rPr>
              <w:t> </w:t>
            </w:r>
            <w:r w:rsidR="00BE7656" w:rsidRPr="004A04F6">
              <w:rPr>
                <w:lang w:val="fr-FR"/>
              </w:rPr>
              <w:t>2</w:t>
            </w:r>
            <w:r w:rsidR="00BE7656">
              <w:rPr>
                <w:lang w:val="fr-FR"/>
              </w:rPr>
              <w:t> </w:t>
            </w:r>
            <w:r w:rsidRPr="004A04F6">
              <w:rPr>
                <w:lang w:val="fr-FR"/>
              </w:rPr>
              <w:t>b))</w:t>
            </w:r>
          </w:p>
        </w:tc>
      </w:tr>
    </w:tbl>
    <w:p w14:paraId="0AFC45BF" w14:textId="3BC899D3" w:rsidR="00E83006" w:rsidRPr="00412C58" w:rsidRDefault="00E83006" w:rsidP="00ED242C">
      <w:pPr>
        <w:pStyle w:val="SingleTxtG"/>
        <w:spacing w:before="120"/>
        <w:rPr>
          <w:lang w:val="fr-FR"/>
        </w:rPr>
      </w:pPr>
      <w:r w:rsidRPr="00412C58">
        <w:rPr>
          <w:lang w:val="fr-FR"/>
        </w:rPr>
        <w:t>1.1</w:t>
      </w:r>
      <w:r w:rsidRPr="00412C58">
        <w:rPr>
          <w:lang w:val="fr-FR"/>
        </w:rPr>
        <w:tab/>
        <w:t>L</w:t>
      </w:r>
      <w:r>
        <w:rPr>
          <w:lang w:val="fr-FR"/>
        </w:rPr>
        <w:t>’</w:t>
      </w:r>
      <w:r w:rsidRPr="00412C58">
        <w:rPr>
          <w:lang w:val="fr-FR"/>
        </w:rPr>
        <w:t xml:space="preserve">auteur de la communication est </w:t>
      </w:r>
      <w:r>
        <w:rPr>
          <w:lang w:val="fr-FR"/>
        </w:rPr>
        <w:t>É</w:t>
      </w:r>
      <w:r w:rsidRPr="00412C58">
        <w:rPr>
          <w:lang w:val="fr-FR"/>
        </w:rPr>
        <w:t xml:space="preserve">tienne Abessolo, de nationalité camerounaise, né en 1956. Il </w:t>
      </w:r>
      <w:r>
        <w:rPr>
          <w:lang w:val="fr-FR"/>
        </w:rPr>
        <w:t>affirme</w:t>
      </w:r>
      <w:r w:rsidRPr="00412C58">
        <w:rPr>
          <w:lang w:val="fr-FR"/>
        </w:rPr>
        <w:t xml:space="preserve"> que l</w:t>
      </w:r>
      <w:r>
        <w:rPr>
          <w:lang w:val="fr-FR"/>
        </w:rPr>
        <w:t>’É</w:t>
      </w:r>
      <w:r w:rsidRPr="00412C58">
        <w:rPr>
          <w:lang w:val="fr-FR"/>
        </w:rPr>
        <w:t xml:space="preserve">tat partie </w:t>
      </w:r>
      <w:r>
        <w:rPr>
          <w:lang w:val="fr-FR"/>
        </w:rPr>
        <w:t xml:space="preserve">a </w:t>
      </w:r>
      <w:r w:rsidRPr="00412C58">
        <w:rPr>
          <w:lang w:val="fr-FR"/>
        </w:rPr>
        <w:t>viol</w:t>
      </w:r>
      <w:r>
        <w:rPr>
          <w:lang w:val="fr-FR"/>
        </w:rPr>
        <w:t>é</w:t>
      </w:r>
      <w:r w:rsidRPr="00412C58">
        <w:rPr>
          <w:lang w:val="fr-FR"/>
        </w:rPr>
        <w:t xml:space="preserve"> les droits qu</w:t>
      </w:r>
      <w:r>
        <w:rPr>
          <w:lang w:val="fr-FR"/>
        </w:rPr>
        <w:t>’</w:t>
      </w:r>
      <w:r w:rsidRPr="00412C58">
        <w:rPr>
          <w:lang w:val="fr-FR"/>
        </w:rPr>
        <w:t>il tient de</w:t>
      </w:r>
      <w:r>
        <w:rPr>
          <w:lang w:val="fr-FR"/>
        </w:rPr>
        <w:t>s</w:t>
      </w:r>
      <w:r w:rsidRPr="00412C58">
        <w:rPr>
          <w:lang w:val="fr-FR"/>
        </w:rPr>
        <w:t xml:space="preserve"> </w:t>
      </w:r>
      <w:r w:rsidR="00BE7656" w:rsidRPr="00412C58">
        <w:rPr>
          <w:lang w:val="fr-FR"/>
        </w:rPr>
        <w:t>article</w:t>
      </w:r>
      <w:r w:rsidR="00BE7656">
        <w:rPr>
          <w:lang w:val="fr-FR"/>
        </w:rPr>
        <w:t>s </w:t>
      </w:r>
      <w:r w:rsidRPr="00412C58">
        <w:rPr>
          <w:lang w:val="fr-FR"/>
        </w:rPr>
        <w:t xml:space="preserve">2 </w:t>
      </w:r>
      <w:r>
        <w:rPr>
          <w:lang w:val="fr-FR"/>
        </w:rPr>
        <w:t>(</w:t>
      </w:r>
      <w:r w:rsidRPr="00412C58">
        <w:rPr>
          <w:lang w:val="fr-FR"/>
        </w:rPr>
        <w:t>par</w:t>
      </w:r>
      <w:r>
        <w:rPr>
          <w:lang w:val="fr-FR"/>
        </w:rPr>
        <w:t>. </w:t>
      </w:r>
      <w:r w:rsidRPr="00412C58">
        <w:rPr>
          <w:lang w:val="fr-FR"/>
        </w:rPr>
        <w:t>3</w:t>
      </w:r>
      <w:r>
        <w:rPr>
          <w:lang w:val="fr-FR"/>
        </w:rPr>
        <w:t>)</w:t>
      </w:r>
      <w:r w:rsidRPr="00412C58">
        <w:rPr>
          <w:lang w:val="fr-FR"/>
        </w:rPr>
        <w:t xml:space="preserve"> et </w:t>
      </w:r>
      <w:r w:rsidR="00BE7656" w:rsidRPr="00412C58">
        <w:rPr>
          <w:lang w:val="fr-FR"/>
        </w:rPr>
        <w:t>14</w:t>
      </w:r>
      <w:r w:rsidR="00BE7656">
        <w:rPr>
          <w:lang w:val="fr-FR"/>
        </w:rPr>
        <w:t> </w:t>
      </w:r>
      <w:r>
        <w:rPr>
          <w:lang w:val="fr-FR"/>
        </w:rPr>
        <w:t>(</w:t>
      </w:r>
      <w:r w:rsidRPr="00412C58">
        <w:rPr>
          <w:lang w:val="fr-FR"/>
        </w:rPr>
        <w:t>par</w:t>
      </w:r>
      <w:r>
        <w:rPr>
          <w:lang w:val="fr-FR"/>
        </w:rPr>
        <w:t>. </w:t>
      </w:r>
      <w:r w:rsidRPr="00412C58">
        <w:rPr>
          <w:lang w:val="fr-FR"/>
        </w:rPr>
        <w:t>1</w:t>
      </w:r>
      <w:r>
        <w:rPr>
          <w:lang w:val="fr-FR"/>
        </w:rPr>
        <w:t>)</w:t>
      </w:r>
      <w:r w:rsidRPr="00412C58">
        <w:rPr>
          <w:lang w:val="fr-FR"/>
        </w:rPr>
        <w:t xml:space="preserve"> du Pacte. </w:t>
      </w:r>
      <w:r>
        <w:rPr>
          <w:lang w:val="fr-FR"/>
        </w:rPr>
        <w:t xml:space="preserve">Le </w:t>
      </w:r>
      <w:r w:rsidRPr="00412C58">
        <w:rPr>
          <w:lang w:val="fr-FR"/>
        </w:rPr>
        <w:t xml:space="preserve">Protocole facultatif est entré en vigueur pour </w:t>
      </w:r>
      <w:r>
        <w:rPr>
          <w:lang w:val="fr-FR"/>
        </w:rPr>
        <w:t>l’État partie</w:t>
      </w:r>
      <w:r w:rsidRPr="00412C58">
        <w:rPr>
          <w:lang w:val="fr-FR"/>
        </w:rPr>
        <w:t xml:space="preserve"> le 27</w:t>
      </w:r>
      <w:r>
        <w:rPr>
          <w:lang w:val="fr-FR"/>
        </w:rPr>
        <w:t> septembre</w:t>
      </w:r>
      <w:r w:rsidRPr="00412C58">
        <w:rPr>
          <w:lang w:val="fr-FR"/>
        </w:rPr>
        <w:t xml:space="preserve"> 1984.</w:t>
      </w:r>
      <w:r>
        <w:rPr>
          <w:lang w:val="fr-FR"/>
        </w:rPr>
        <w:t xml:space="preserve"> </w:t>
      </w:r>
      <w:r w:rsidRPr="00412C58">
        <w:rPr>
          <w:lang w:val="fr-FR"/>
        </w:rPr>
        <w:t>L</w:t>
      </w:r>
      <w:r>
        <w:rPr>
          <w:lang w:val="fr-FR"/>
        </w:rPr>
        <w:t>’</w:t>
      </w:r>
      <w:r w:rsidRPr="00412C58">
        <w:rPr>
          <w:lang w:val="fr-FR"/>
        </w:rPr>
        <w:t>auteur, avocat de profession, n</w:t>
      </w:r>
      <w:r>
        <w:rPr>
          <w:lang w:val="fr-FR"/>
        </w:rPr>
        <w:t>’</w:t>
      </w:r>
      <w:r w:rsidRPr="00412C58">
        <w:rPr>
          <w:lang w:val="fr-FR"/>
        </w:rPr>
        <w:t>est pas représenté par un conseil.</w:t>
      </w:r>
    </w:p>
    <w:p w14:paraId="0B0C6092" w14:textId="19C214FD" w:rsidR="00E83006" w:rsidRPr="00412C58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1.2</w:t>
      </w:r>
      <w:r w:rsidRPr="00412C58">
        <w:rPr>
          <w:lang w:val="fr-FR"/>
        </w:rPr>
        <w:tab/>
        <w:t xml:space="preserve">Le </w:t>
      </w:r>
      <w:r w:rsidR="00BE7656" w:rsidRPr="00412C58">
        <w:rPr>
          <w:lang w:val="fr-FR"/>
        </w:rPr>
        <w:t>18</w:t>
      </w:r>
      <w:r w:rsidR="00BE7656">
        <w:rPr>
          <w:lang w:val="fr-FR"/>
        </w:rPr>
        <w:t> </w:t>
      </w:r>
      <w:r w:rsidRPr="00412C58">
        <w:rPr>
          <w:lang w:val="fr-FR"/>
        </w:rPr>
        <w:t>novembre 2015, le Comité, agissant par l</w:t>
      </w:r>
      <w:r>
        <w:rPr>
          <w:lang w:val="fr-FR"/>
        </w:rPr>
        <w:t>’</w:t>
      </w:r>
      <w:r w:rsidRPr="00412C58">
        <w:rPr>
          <w:lang w:val="fr-FR"/>
        </w:rPr>
        <w:t xml:space="preserve">intermédiaire </w:t>
      </w:r>
      <w:r>
        <w:rPr>
          <w:lang w:val="fr-FR"/>
        </w:rPr>
        <w:t>du</w:t>
      </w:r>
      <w:r w:rsidRPr="00412C58">
        <w:rPr>
          <w:lang w:val="fr-FR"/>
        </w:rPr>
        <w:t xml:space="preserve"> Rapporteur spécial chargé des nouvelles communications et des mesures provisoires, a décidé de rejeter la demande de l</w:t>
      </w:r>
      <w:r>
        <w:rPr>
          <w:lang w:val="fr-FR"/>
        </w:rPr>
        <w:t>’</w:t>
      </w:r>
      <w:r w:rsidRPr="00412C58">
        <w:rPr>
          <w:lang w:val="fr-FR"/>
        </w:rPr>
        <w:t>État partie, qui l</w:t>
      </w:r>
      <w:r>
        <w:rPr>
          <w:lang w:val="fr-FR"/>
        </w:rPr>
        <w:t>’</w:t>
      </w:r>
      <w:r w:rsidRPr="00412C58">
        <w:rPr>
          <w:lang w:val="fr-FR"/>
        </w:rPr>
        <w:t>avait prié d</w:t>
      </w:r>
      <w:r>
        <w:rPr>
          <w:lang w:val="fr-FR"/>
        </w:rPr>
        <w:t>’</w:t>
      </w:r>
      <w:r w:rsidRPr="00412C58">
        <w:rPr>
          <w:lang w:val="fr-FR"/>
        </w:rPr>
        <w:t>examiner la recevabilité de la communication séparément du fond.</w:t>
      </w:r>
    </w:p>
    <w:p w14:paraId="74E16CA5" w14:textId="77777777" w:rsidR="00E83006" w:rsidRPr="00412C58" w:rsidRDefault="00E83006" w:rsidP="00ED242C">
      <w:pPr>
        <w:pStyle w:val="H23G"/>
      </w:pPr>
      <w:r w:rsidRPr="00412C58">
        <w:rPr>
          <w:lang w:val="fr-FR"/>
        </w:rPr>
        <w:lastRenderedPageBreak/>
        <w:tab/>
      </w:r>
      <w:r w:rsidRPr="00412C58">
        <w:rPr>
          <w:lang w:val="fr-FR"/>
        </w:rPr>
        <w:tab/>
        <w:t>Rappel des faits présentés par l</w:t>
      </w:r>
      <w:r>
        <w:rPr>
          <w:lang w:val="fr-FR"/>
        </w:rPr>
        <w:t>’</w:t>
      </w:r>
      <w:r w:rsidRPr="00412C58">
        <w:rPr>
          <w:lang w:val="fr-FR"/>
        </w:rPr>
        <w:t>auteur</w:t>
      </w:r>
    </w:p>
    <w:p w14:paraId="0711EB35" w14:textId="45ABDF83" w:rsidR="00E83006" w:rsidRPr="00412C58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2.1</w:t>
      </w:r>
      <w:r w:rsidRPr="00412C58">
        <w:rPr>
          <w:lang w:val="fr-FR"/>
        </w:rPr>
        <w:tab/>
        <w:t xml:space="preserve">Le </w:t>
      </w:r>
      <w:r w:rsidR="00BE7656" w:rsidRPr="00412C58">
        <w:rPr>
          <w:lang w:val="fr-FR"/>
        </w:rPr>
        <w:t>9</w:t>
      </w:r>
      <w:r w:rsidR="00BE7656">
        <w:rPr>
          <w:lang w:val="fr-FR"/>
        </w:rPr>
        <w:t> </w:t>
      </w:r>
      <w:r w:rsidRPr="00412C58">
        <w:rPr>
          <w:lang w:val="fr-FR"/>
        </w:rPr>
        <w:t>août 2000, l</w:t>
      </w:r>
      <w:r>
        <w:rPr>
          <w:lang w:val="fr-FR"/>
        </w:rPr>
        <w:t>’</w:t>
      </w:r>
      <w:r w:rsidRPr="00412C58">
        <w:rPr>
          <w:lang w:val="fr-FR"/>
        </w:rPr>
        <w:t xml:space="preserve">auteur et le Port </w:t>
      </w:r>
      <w:r>
        <w:rPr>
          <w:lang w:val="fr-FR"/>
        </w:rPr>
        <w:t>a</w:t>
      </w:r>
      <w:r w:rsidRPr="00412C58">
        <w:rPr>
          <w:lang w:val="fr-FR"/>
        </w:rPr>
        <w:t>utonome de Douala ont signé une convention d</w:t>
      </w:r>
      <w:r>
        <w:rPr>
          <w:lang w:val="fr-FR"/>
        </w:rPr>
        <w:t>’</w:t>
      </w:r>
      <w:r w:rsidRPr="00412C58">
        <w:rPr>
          <w:lang w:val="fr-FR"/>
        </w:rPr>
        <w:t>abonnement, de représentation et d</w:t>
      </w:r>
      <w:r>
        <w:rPr>
          <w:lang w:val="fr-FR"/>
        </w:rPr>
        <w:t>’</w:t>
      </w:r>
      <w:r w:rsidRPr="00412C58">
        <w:rPr>
          <w:lang w:val="fr-FR"/>
        </w:rPr>
        <w:t>assistance juridique pour une durée indéterminée. En décembre 2006, dans le cadre de l</w:t>
      </w:r>
      <w:r>
        <w:rPr>
          <w:lang w:val="fr-FR"/>
        </w:rPr>
        <w:t>’</w:t>
      </w:r>
      <w:r w:rsidRPr="00412C58">
        <w:rPr>
          <w:lang w:val="fr-FR"/>
        </w:rPr>
        <w:t>exécution du contrat, l</w:t>
      </w:r>
      <w:r>
        <w:rPr>
          <w:lang w:val="fr-FR"/>
        </w:rPr>
        <w:t>’</w:t>
      </w:r>
      <w:r w:rsidRPr="00412C58">
        <w:rPr>
          <w:lang w:val="fr-FR"/>
        </w:rPr>
        <w:t xml:space="preserve">auteur a été inculpé pour détournement de </w:t>
      </w:r>
      <w:r w:rsidRPr="00DF181A">
        <w:t>deniers</w:t>
      </w:r>
      <w:r w:rsidRPr="00412C58">
        <w:rPr>
          <w:lang w:val="fr-FR"/>
        </w:rPr>
        <w:t xml:space="preserve"> publics commis en groupe. Il a été renvoyé avec </w:t>
      </w:r>
      <w:r>
        <w:rPr>
          <w:lang w:val="fr-FR"/>
        </w:rPr>
        <w:t>12 </w:t>
      </w:r>
      <w:r w:rsidRPr="00412C58">
        <w:rPr>
          <w:lang w:val="fr-FR"/>
        </w:rPr>
        <w:t xml:space="preserve">autres coaccusés devant le </w:t>
      </w:r>
      <w:r>
        <w:rPr>
          <w:lang w:val="fr-FR"/>
        </w:rPr>
        <w:t>t</w:t>
      </w:r>
      <w:r w:rsidRPr="00412C58">
        <w:rPr>
          <w:lang w:val="fr-FR"/>
        </w:rPr>
        <w:t xml:space="preserve">ribunal de </w:t>
      </w:r>
      <w:r>
        <w:rPr>
          <w:lang w:val="fr-FR"/>
        </w:rPr>
        <w:t>g</w:t>
      </w:r>
      <w:r w:rsidRPr="00412C58">
        <w:rPr>
          <w:lang w:val="fr-FR"/>
        </w:rPr>
        <w:t xml:space="preserve">rande </w:t>
      </w:r>
      <w:r>
        <w:rPr>
          <w:lang w:val="fr-FR"/>
        </w:rPr>
        <w:t>i</w:t>
      </w:r>
      <w:r w:rsidRPr="00412C58">
        <w:rPr>
          <w:lang w:val="fr-FR"/>
        </w:rPr>
        <w:t>nstance du Wouri à Douala</w:t>
      </w:r>
      <w:r>
        <w:rPr>
          <w:lang w:val="fr-FR"/>
        </w:rPr>
        <w:t>,</w:t>
      </w:r>
      <w:r w:rsidRPr="00412C58">
        <w:rPr>
          <w:lang w:val="fr-FR"/>
        </w:rPr>
        <w:t xml:space="preserve"> dans le cadre d</w:t>
      </w:r>
      <w:r>
        <w:rPr>
          <w:lang w:val="fr-FR"/>
        </w:rPr>
        <w:t>’</w:t>
      </w:r>
      <w:r w:rsidRPr="00412C58">
        <w:rPr>
          <w:lang w:val="fr-FR"/>
        </w:rPr>
        <w:t xml:space="preserve">une vaste opération judiciaire </w:t>
      </w:r>
      <w:r>
        <w:rPr>
          <w:lang w:val="fr-FR"/>
        </w:rPr>
        <w:t>de lutte anticorruption,</w:t>
      </w:r>
      <w:r w:rsidRPr="00412C58">
        <w:rPr>
          <w:lang w:val="fr-FR"/>
        </w:rPr>
        <w:t xml:space="preserve"> </w:t>
      </w:r>
      <w:r>
        <w:rPr>
          <w:lang w:val="fr-FR"/>
        </w:rPr>
        <w:t>l’</w:t>
      </w:r>
      <w:r w:rsidRPr="00412C58">
        <w:rPr>
          <w:lang w:val="fr-FR"/>
        </w:rPr>
        <w:t xml:space="preserve">Opération </w:t>
      </w:r>
      <w:r>
        <w:rPr>
          <w:lang w:val="fr-FR"/>
        </w:rPr>
        <w:t>É</w:t>
      </w:r>
      <w:r w:rsidRPr="00412C58">
        <w:rPr>
          <w:lang w:val="fr-FR"/>
        </w:rPr>
        <w:t xml:space="preserve">pervier. </w:t>
      </w:r>
    </w:p>
    <w:p w14:paraId="55790E12" w14:textId="1824B70E" w:rsidR="00E83006" w:rsidRPr="00412C58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2.2</w:t>
      </w:r>
      <w:r w:rsidRPr="00412C58">
        <w:rPr>
          <w:lang w:val="fr-FR"/>
        </w:rPr>
        <w:tab/>
        <w:t xml:space="preserve">Les 12 et </w:t>
      </w:r>
      <w:r w:rsidR="008618C7" w:rsidRPr="00412C58">
        <w:rPr>
          <w:lang w:val="fr-FR"/>
        </w:rPr>
        <w:t>13</w:t>
      </w:r>
      <w:r w:rsidR="008618C7">
        <w:rPr>
          <w:lang w:val="fr-FR"/>
        </w:rPr>
        <w:t> </w:t>
      </w:r>
      <w:r w:rsidRPr="00412C58">
        <w:rPr>
          <w:lang w:val="fr-FR"/>
        </w:rPr>
        <w:t xml:space="preserve">décembre </w:t>
      </w:r>
      <w:r w:rsidRPr="00DF181A">
        <w:t>2007</w:t>
      </w:r>
      <w:r w:rsidRPr="00412C58">
        <w:rPr>
          <w:lang w:val="fr-FR"/>
        </w:rPr>
        <w:t>, l</w:t>
      </w:r>
      <w:r>
        <w:rPr>
          <w:lang w:val="fr-FR"/>
        </w:rPr>
        <w:t>’</w:t>
      </w:r>
      <w:r w:rsidRPr="00412C58">
        <w:rPr>
          <w:lang w:val="fr-FR"/>
        </w:rPr>
        <w:t xml:space="preserve">auteur ainsi que </w:t>
      </w:r>
      <w:r>
        <w:rPr>
          <w:lang w:val="fr-FR"/>
        </w:rPr>
        <w:t>huit</w:t>
      </w:r>
      <w:r w:rsidRPr="00412C58">
        <w:rPr>
          <w:lang w:val="fr-FR"/>
        </w:rPr>
        <w:t xml:space="preserve"> autres coaccusés ont été acquittés par jugement du </w:t>
      </w:r>
      <w:r>
        <w:rPr>
          <w:lang w:val="fr-FR"/>
        </w:rPr>
        <w:t>t</w:t>
      </w:r>
      <w:r w:rsidRPr="00412C58">
        <w:rPr>
          <w:lang w:val="fr-FR"/>
        </w:rPr>
        <w:t xml:space="preserve">ribunal de </w:t>
      </w:r>
      <w:r>
        <w:rPr>
          <w:lang w:val="fr-FR"/>
        </w:rPr>
        <w:t>g</w:t>
      </w:r>
      <w:r w:rsidRPr="00412C58">
        <w:rPr>
          <w:lang w:val="fr-FR"/>
        </w:rPr>
        <w:t xml:space="preserve">rande </w:t>
      </w:r>
      <w:r>
        <w:rPr>
          <w:lang w:val="fr-FR"/>
        </w:rPr>
        <w:t>i</w:t>
      </w:r>
      <w:r w:rsidRPr="00412C58">
        <w:rPr>
          <w:lang w:val="fr-FR"/>
        </w:rPr>
        <w:t xml:space="preserve">nstance du Wouri à Douala. Le </w:t>
      </w:r>
      <w:r>
        <w:rPr>
          <w:lang w:val="fr-FR"/>
        </w:rPr>
        <w:t>p</w:t>
      </w:r>
      <w:r w:rsidRPr="00412C58">
        <w:rPr>
          <w:lang w:val="fr-FR"/>
        </w:rPr>
        <w:t xml:space="preserve">arquet près ce </w:t>
      </w:r>
      <w:r>
        <w:rPr>
          <w:lang w:val="fr-FR"/>
        </w:rPr>
        <w:t>tribunal</w:t>
      </w:r>
      <w:r w:rsidRPr="00412C58">
        <w:rPr>
          <w:lang w:val="fr-FR"/>
        </w:rPr>
        <w:t xml:space="preserve"> a interjeté appel du jugement d</w:t>
      </w:r>
      <w:r>
        <w:rPr>
          <w:lang w:val="fr-FR"/>
        </w:rPr>
        <w:t>’</w:t>
      </w:r>
      <w:r w:rsidRPr="00412C58">
        <w:rPr>
          <w:lang w:val="fr-FR"/>
        </w:rPr>
        <w:t xml:space="preserve">acquittement. Le </w:t>
      </w:r>
      <w:r w:rsidR="008618C7" w:rsidRPr="00412C58">
        <w:rPr>
          <w:lang w:val="fr-FR"/>
        </w:rPr>
        <w:t>11</w:t>
      </w:r>
      <w:r w:rsidR="008618C7">
        <w:rPr>
          <w:lang w:val="fr-FR"/>
        </w:rPr>
        <w:t> </w:t>
      </w:r>
      <w:r w:rsidRPr="00412C58">
        <w:rPr>
          <w:lang w:val="fr-FR"/>
        </w:rPr>
        <w:t xml:space="preserve">juin 2009, la </w:t>
      </w:r>
      <w:r>
        <w:rPr>
          <w:lang w:val="fr-FR"/>
        </w:rPr>
        <w:t>c</w:t>
      </w:r>
      <w:r w:rsidRPr="00412C58">
        <w:rPr>
          <w:lang w:val="fr-FR"/>
        </w:rPr>
        <w:t>our d</w:t>
      </w:r>
      <w:r>
        <w:rPr>
          <w:lang w:val="fr-FR"/>
        </w:rPr>
        <w:t>’a</w:t>
      </w:r>
      <w:r w:rsidRPr="00412C58">
        <w:rPr>
          <w:lang w:val="fr-FR"/>
        </w:rPr>
        <w:t>ppel du Littoral de Douala a déclaré tous les coaccusés coupables et a condamné l</w:t>
      </w:r>
      <w:r>
        <w:rPr>
          <w:lang w:val="fr-FR"/>
        </w:rPr>
        <w:t>’</w:t>
      </w:r>
      <w:r w:rsidRPr="00412C58">
        <w:rPr>
          <w:lang w:val="fr-FR"/>
        </w:rPr>
        <w:t xml:space="preserve">auteur </w:t>
      </w:r>
      <w:r>
        <w:rPr>
          <w:lang w:val="fr-FR"/>
        </w:rPr>
        <w:t>à</w:t>
      </w:r>
      <w:r w:rsidRPr="00412C58">
        <w:rPr>
          <w:lang w:val="fr-FR"/>
        </w:rPr>
        <w:t xml:space="preserve"> </w:t>
      </w:r>
      <w:r>
        <w:rPr>
          <w:lang w:val="fr-FR"/>
        </w:rPr>
        <w:t>quinze</w:t>
      </w:r>
      <w:r w:rsidRPr="00412C58">
        <w:rPr>
          <w:lang w:val="fr-FR"/>
        </w:rPr>
        <w:t xml:space="preserve"> ans d</w:t>
      </w:r>
      <w:r>
        <w:rPr>
          <w:lang w:val="fr-FR"/>
        </w:rPr>
        <w:t>’</w:t>
      </w:r>
      <w:r w:rsidRPr="00412C58">
        <w:rPr>
          <w:lang w:val="fr-FR"/>
        </w:rPr>
        <w:t>emprisonnement ferme ainsi qu</w:t>
      </w:r>
      <w:r>
        <w:rPr>
          <w:lang w:val="fr-FR"/>
        </w:rPr>
        <w:t>’</w:t>
      </w:r>
      <w:r w:rsidRPr="00412C58">
        <w:rPr>
          <w:lang w:val="fr-FR"/>
        </w:rPr>
        <w:t xml:space="preserve">au paiement, solidairement avec le Directeur </w:t>
      </w:r>
      <w:r>
        <w:rPr>
          <w:lang w:val="fr-FR"/>
        </w:rPr>
        <w:t>général</w:t>
      </w:r>
      <w:r w:rsidRPr="00412C58">
        <w:rPr>
          <w:lang w:val="fr-FR"/>
        </w:rPr>
        <w:t xml:space="preserve"> du Port </w:t>
      </w:r>
      <w:r>
        <w:rPr>
          <w:lang w:val="fr-FR"/>
        </w:rPr>
        <w:t>a</w:t>
      </w:r>
      <w:r w:rsidRPr="00412C58">
        <w:rPr>
          <w:lang w:val="fr-FR"/>
        </w:rPr>
        <w:t xml:space="preserve">utonome de Douala, lui-même condamné à </w:t>
      </w:r>
      <w:r>
        <w:rPr>
          <w:lang w:val="fr-FR"/>
        </w:rPr>
        <w:t xml:space="preserve">une incarcération à </w:t>
      </w:r>
      <w:r w:rsidRPr="00412C58">
        <w:rPr>
          <w:lang w:val="fr-FR"/>
        </w:rPr>
        <w:t xml:space="preserve">vie, </w:t>
      </w:r>
      <w:r>
        <w:rPr>
          <w:lang w:val="fr-FR"/>
        </w:rPr>
        <w:t xml:space="preserve">de </w:t>
      </w:r>
      <w:r w:rsidRPr="00412C58">
        <w:rPr>
          <w:lang w:val="fr-FR"/>
        </w:rPr>
        <w:t>la somme de 188</w:t>
      </w:r>
      <w:r>
        <w:rPr>
          <w:lang w:val="fr-FR"/>
        </w:rPr>
        <w:t> </w:t>
      </w:r>
      <w:r w:rsidRPr="00412C58">
        <w:rPr>
          <w:lang w:val="fr-FR"/>
        </w:rPr>
        <w:t>794</w:t>
      </w:r>
      <w:r w:rsidR="008618C7">
        <w:rPr>
          <w:lang w:val="fr-FR"/>
        </w:rPr>
        <w:t> </w:t>
      </w:r>
      <w:r w:rsidR="008618C7" w:rsidRPr="00412C58">
        <w:rPr>
          <w:lang w:val="fr-FR"/>
        </w:rPr>
        <w:t>955</w:t>
      </w:r>
      <w:r w:rsidR="008618C7">
        <w:rPr>
          <w:lang w:val="fr-FR"/>
        </w:rPr>
        <w:t> </w:t>
      </w:r>
      <w:r w:rsidRPr="00412C58">
        <w:rPr>
          <w:lang w:val="fr-FR"/>
        </w:rPr>
        <w:t>francs CFA (environ 280</w:t>
      </w:r>
      <w:r w:rsidR="008618C7">
        <w:rPr>
          <w:lang w:val="fr-FR"/>
        </w:rPr>
        <w:t> </w:t>
      </w:r>
      <w:r w:rsidR="008618C7" w:rsidRPr="00412C58">
        <w:rPr>
          <w:lang w:val="fr-FR"/>
        </w:rPr>
        <w:t>000</w:t>
      </w:r>
      <w:r w:rsidR="008618C7">
        <w:rPr>
          <w:lang w:val="fr-FR"/>
        </w:rPr>
        <w:t> </w:t>
      </w:r>
      <w:r>
        <w:rPr>
          <w:lang w:val="fr-FR"/>
        </w:rPr>
        <w:t>e</w:t>
      </w:r>
      <w:r w:rsidRPr="00412C58">
        <w:rPr>
          <w:lang w:val="fr-FR"/>
        </w:rPr>
        <w:t xml:space="preserve">uros) au Port </w:t>
      </w:r>
      <w:r>
        <w:rPr>
          <w:lang w:val="fr-FR"/>
        </w:rPr>
        <w:t>a</w:t>
      </w:r>
      <w:r w:rsidRPr="00412C58">
        <w:rPr>
          <w:lang w:val="fr-FR"/>
        </w:rPr>
        <w:t xml:space="preserve">utonome de Douala </w:t>
      </w:r>
      <w:r>
        <w:rPr>
          <w:lang w:val="fr-FR"/>
        </w:rPr>
        <w:t>à</w:t>
      </w:r>
      <w:r w:rsidRPr="00412C58">
        <w:rPr>
          <w:lang w:val="fr-FR"/>
        </w:rPr>
        <w:t xml:space="preserve"> titre de dommages-intérêts</w:t>
      </w:r>
      <w:r>
        <w:rPr>
          <w:lang w:val="fr-FR"/>
        </w:rPr>
        <w:t>,</w:t>
      </w:r>
      <w:r w:rsidRPr="00412C58">
        <w:rPr>
          <w:lang w:val="fr-FR"/>
        </w:rPr>
        <w:t xml:space="preserve"> alors que </w:t>
      </w:r>
      <w:r>
        <w:rPr>
          <w:lang w:val="fr-FR"/>
        </w:rPr>
        <w:t>ce dernier</w:t>
      </w:r>
      <w:r w:rsidRPr="00412C58">
        <w:rPr>
          <w:lang w:val="fr-FR"/>
        </w:rPr>
        <w:t xml:space="preserve"> n</w:t>
      </w:r>
      <w:r>
        <w:rPr>
          <w:lang w:val="fr-FR"/>
        </w:rPr>
        <w:t>’</w:t>
      </w:r>
      <w:r w:rsidRPr="00412C58">
        <w:rPr>
          <w:lang w:val="fr-FR"/>
        </w:rPr>
        <w:t>avait pas fait appel contre l</w:t>
      </w:r>
      <w:r>
        <w:rPr>
          <w:lang w:val="fr-FR"/>
        </w:rPr>
        <w:t>’</w:t>
      </w:r>
      <w:r w:rsidRPr="00412C58">
        <w:rPr>
          <w:lang w:val="fr-FR"/>
        </w:rPr>
        <w:t xml:space="preserve">auteur. </w:t>
      </w:r>
    </w:p>
    <w:p w14:paraId="201D9CC3" w14:textId="04E83222" w:rsidR="00E83006" w:rsidRPr="00412C58" w:rsidRDefault="00E83006" w:rsidP="00ED242C">
      <w:pPr>
        <w:pStyle w:val="SingleTxtG"/>
        <w:rPr>
          <w:lang w:val="fr-FR"/>
        </w:rPr>
      </w:pPr>
      <w:r>
        <w:rPr>
          <w:lang w:val="fr-FR"/>
        </w:rPr>
        <w:t>2.3</w:t>
      </w:r>
      <w:r>
        <w:rPr>
          <w:lang w:val="fr-FR"/>
        </w:rPr>
        <w:tab/>
      </w:r>
      <w:r w:rsidRPr="00412C58">
        <w:rPr>
          <w:lang w:val="fr-FR"/>
        </w:rPr>
        <w:t xml:space="preserve">En exécution du jugement de la </w:t>
      </w:r>
      <w:r>
        <w:rPr>
          <w:lang w:val="fr-FR"/>
        </w:rPr>
        <w:t>c</w:t>
      </w:r>
      <w:r w:rsidRPr="00412C58">
        <w:rPr>
          <w:lang w:val="fr-FR"/>
        </w:rPr>
        <w:t>our d</w:t>
      </w:r>
      <w:r>
        <w:rPr>
          <w:lang w:val="fr-FR"/>
        </w:rPr>
        <w:t>’a</w:t>
      </w:r>
      <w:r w:rsidRPr="00412C58">
        <w:rPr>
          <w:lang w:val="fr-FR"/>
        </w:rPr>
        <w:t>ppel du Littoral de Douala, l</w:t>
      </w:r>
      <w:r>
        <w:rPr>
          <w:lang w:val="fr-FR"/>
        </w:rPr>
        <w:t>’</w:t>
      </w:r>
      <w:r w:rsidRPr="00412C58">
        <w:rPr>
          <w:lang w:val="fr-FR"/>
        </w:rPr>
        <w:t xml:space="preserve">auteur a été placé en détention le </w:t>
      </w:r>
      <w:r w:rsidR="008618C7" w:rsidRPr="00412C58">
        <w:rPr>
          <w:lang w:val="fr-FR"/>
        </w:rPr>
        <w:t>12</w:t>
      </w:r>
      <w:r w:rsidR="008618C7">
        <w:rPr>
          <w:lang w:val="fr-FR"/>
        </w:rPr>
        <w:t> </w:t>
      </w:r>
      <w:r w:rsidRPr="00412C58">
        <w:rPr>
          <w:lang w:val="fr-FR"/>
        </w:rPr>
        <w:t>juin 2009. Il s</w:t>
      </w:r>
      <w:r>
        <w:rPr>
          <w:lang w:val="fr-FR"/>
        </w:rPr>
        <w:t>’</w:t>
      </w:r>
      <w:r w:rsidRPr="00412C58">
        <w:rPr>
          <w:lang w:val="fr-FR"/>
        </w:rPr>
        <w:t xml:space="preserve">est pourvu en cassation et a </w:t>
      </w:r>
      <w:r>
        <w:rPr>
          <w:lang w:val="fr-FR"/>
        </w:rPr>
        <w:t>déposé</w:t>
      </w:r>
      <w:r w:rsidRPr="00412C58">
        <w:rPr>
          <w:lang w:val="fr-FR"/>
        </w:rPr>
        <w:t xml:space="preserve"> une requête en mainlevée du mandat d</w:t>
      </w:r>
      <w:r>
        <w:rPr>
          <w:lang w:val="fr-FR"/>
        </w:rPr>
        <w:t>’</w:t>
      </w:r>
      <w:r w:rsidRPr="00412C58">
        <w:rPr>
          <w:lang w:val="fr-FR"/>
        </w:rPr>
        <w:t xml:space="preserve">incarcération, enregistrée le </w:t>
      </w:r>
      <w:r w:rsidR="008618C7" w:rsidRPr="00412C58">
        <w:rPr>
          <w:lang w:val="fr-FR"/>
        </w:rPr>
        <w:t>24</w:t>
      </w:r>
      <w:r w:rsidR="008618C7">
        <w:rPr>
          <w:lang w:val="fr-FR"/>
        </w:rPr>
        <w:t> </w:t>
      </w:r>
      <w:r w:rsidRPr="00412C58">
        <w:rPr>
          <w:lang w:val="fr-FR"/>
        </w:rPr>
        <w:t xml:space="preserve">juin 2009 au secrétariat de la Cour </w:t>
      </w:r>
      <w:r>
        <w:rPr>
          <w:lang w:val="fr-FR"/>
        </w:rPr>
        <w:t>s</w:t>
      </w:r>
      <w:r w:rsidRPr="00412C58">
        <w:rPr>
          <w:lang w:val="fr-FR"/>
        </w:rPr>
        <w:t xml:space="preserve">uprême. Par un arrêt du </w:t>
      </w:r>
      <w:r w:rsidR="008618C7" w:rsidRPr="00412C58">
        <w:rPr>
          <w:lang w:val="fr-FR"/>
        </w:rPr>
        <w:t>21</w:t>
      </w:r>
      <w:r w:rsidR="008618C7">
        <w:rPr>
          <w:lang w:val="fr-FR"/>
        </w:rPr>
        <w:t> </w:t>
      </w:r>
      <w:r w:rsidRPr="00412C58">
        <w:rPr>
          <w:lang w:val="fr-FR"/>
        </w:rPr>
        <w:t xml:space="preserve">janvier 2010, la section pénale de la Cour </w:t>
      </w:r>
      <w:r>
        <w:rPr>
          <w:lang w:val="fr-FR"/>
        </w:rPr>
        <w:t>s</w:t>
      </w:r>
      <w:r w:rsidRPr="00412C58">
        <w:rPr>
          <w:lang w:val="fr-FR"/>
        </w:rPr>
        <w:t xml:space="preserve">uprême a déclaré la requête irrecevable au motif que le pourvoi lui-même </w:t>
      </w:r>
      <w:r>
        <w:rPr>
          <w:lang w:val="fr-FR"/>
        </w:rPr>
        <w:t>était</w:t>
      </w:r>
      <w:r w:rsidRPr="00412C58">
        <w:rPr>
          <w:lang w:val="fr-FR"/>
        </w:rPr>
        <w:t xml:space="preserve"> irrecevable.</w:t>
      </w:r>
    </w:p>
    <w:p w14:paraId="2B139E9C" w14:textId="324EAAFE" w:rsidR="00E83006" w:rsidRPr="00412C58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2.4</w:t>
      </w:r>
      <w:r w:rsidRPr="00412C58">
        <w:rPr>
          <w:lang w:val="fr-FR"/>
        </w:rPr>
        <w:tab/>
        <w:t>L</w:t>
      </w:r>
      <w:r>
        <w:rPr>
          <w:lang w:val="fr-FR"/>
        </w:rPr>
        <w:t>’</w:t>
      </w:r>
      <w:r w:rsidRPr="00412C58">
        <w:rPr>
          <w:lang w:val="fr-FR"/>
        </w:rPr>
        <w:t xml:space="preserve">auteur a introduit une deuxième requête, enregistrée le </w:t>
      </w:r>
      <w:r w:rsidR="008618C7" w:rsidRPr="00412C58">
        <w:rPr>
          <w:lang w:val="fr-FR"/>
        </w:rPr>
        <w:t>16</w:t>
      </w:r>
      <w:r w:rsidR="008618C7">
        <w:rPr>
          <w:lang w:val="fr-FR"/>
        </w:rPr>
        <w:t> </w:t>
      </w:r>
      <w:r w:rsidRPr="00412C58">
        <w:rPr>
          <w:lang w:val="fr-FR"/>
        </w:rPr>
        <w:t xml:space="preserve">mars 2010 au secrétariat de la Cour </w:t>
      </w:r>
      <w:r>
        <w:rPr>
          <w:lang w:val="fr-FR"/>
        </w:rPr>
        <w:t>s</w:t>
      </w:r>
      <w:r w:rsidRPr="00412C58">
        <w:rPr>
          <w:lang w:val="fr-FR"/>
        </w:rPr>
        <w:t>uprême, aux mêmes fins et a réintroduit le pourvoi. D</w:t>
      </w:r>
      <w:r>
        <w:rPr>
          <w:lang w:val="fr-FR"/>
        </w:rPr>
        <w:t>’</w:t>
      </w:r>
      <w:r w:rsidRPr="00412C58">
        <w:rPr>
          <w:lang w:val="fr-FR"/>
        </w:rPr>
        <w:t>après la loi camerounaise, vu que cette procédure visait une mesure de privation de liberté, elle a été classée parmi les procédures d</w:t>
      </w:r>
      <w:r>
        <w:rPr>
          <w:lang w:val="fr-FR"/>
        </w:rPr>
        <w:t>’</w:t>
      </w:r>
      <w:r w:rsidRPr="00412C58">
        <w:rPr>
          <w:lang w:val="fr-FR"/>
        </w:rPr>
        <w:t xml:space="preserve">urgence. Le </w:t>
      </w:r>
      <w:r w:rsidR="008618C7" w:rsidRPr="00412C58">
        <w:rPr>
          <w:lang w:val="fr-FR"/>
        </w:rPr>
        <w:t>20</w:t>
      </w:r>
      <w:r w:rsidR="008618C7">
        <w:rPr>
          <w:lang w:val="fr-FR"/>
        </w:rPr>
        <w:t> </w:t>
      </w:r>
      <w:proofErr w:type="spellStart"/>
      <w:r w:rsidRPr="00412C58">
        <w:rPr>
          <w:lang w:val="fr-FR"/>
        </w:rPr>
        <w:t>septem</w:t>
      </w:r>
      <w:r w:rsidRPr="00DF181A">
        <w:t>br</w:t>
      </w:r>
      <w:proofErr w:type="spellEnd"/>
      <w:r w:rsidRPr="00412C58">
        <w:rPr>
          <w:lang w:val="fr-FR"/>
        </w:rPr>
        <w:t>e 2010, l</w:t>
      </w:r>
      <w:r>
        <w:rPr>
          <w:lang w:val="fr-FR"/>
        </w:rPr>
        <w:t>’</w:t>
      </w:r>
      <w:r w:rsidRPr="00412C58">
        <w:rPr>
          <w:lang w:val="fr-FR"/>
        </w:rPr>
        <w:t xml:space="preserve">auteur a saisi le Premier Président de la Cour </w:t>
      </w:r>
      <w:r>
        <w:rPr>
          <w:lang w:val="fr-FR"/>
        </w:rPr>
        <w:t>s</w:t>
      </w:r>
      <w:r w:rsidRPr="00412C58">
        <w:rPr>
          <w:lang w:val="fr-FR"/>
        </w:rPr>
        <w:t>uprême</w:t>
      </w:r>
      <w:r>
        <w:rPr>
          <w:lang w:val="fr-FR"/>
        </w:rPr>
        <w:t>,</w:t>
      </w:r>
      <w:r w:rsidRPr="00412C58">
        <w:rPr>
          <w:lang w:val="fr-FR"/>
        </w:rPr>
        <w:t xml:space="preserve"> sollicitant que sa requête bénéficie de l</w:t>
      </w:r>
      <w:r>
        <w:rPr>
          <w:lang w:val="fr-FR"/>
        </w:rPr>
        <w:t>’</w:t>
      </w:r>
      <w:r w:rsidRPr="00412C58">
        <w:rPr>
          <w:lang w:val="fr-FR"/>
        </w:rPr>
        <w:t xml:space="preserve">urgence </w:t>
      </w:r>
      <w:r>
        <w:rPr>
          <w:lang w:val="fr-FR"/>
        </w:rPr>
        <w:t>qu’impliquait</w:t>
      </w:r>
      <w:r w:rsidRPr="00412C58">
        <w:rPr>
          <w:lang w:val="fr-FR"/>
        </w:rPr>
        <w:t xml:space="preserve"> son objet. Sans nouvelle</w:t>
      </w:r>
      <w:r>
        <w:rPr>
          <w:lang w:val="fr-FR"/>
        </w:rPr>
        <w:t>s</w:t>
      </w:r>
      <w:r w:rsidRPr="00412C58">
        <w:rPr>
          <w:lang w:val="fr-FR"/>
        </w:rPr>
        <w:t xml:space="preserve"> de son recours, l</w:t>
      </w:r>
      <w:r>
        <w:rPr>
          <w:lang w:val="fr-FR"/>
        </w:rPr>
        <w:t>’</w:t>
      </w:r>
      <w:r w:rsidRPr="00412C58">
        <w:rPr>
          <w:lang w:val="fr-FR"/>
        </w:rPr>
        <w:t xml:space="preserve">auteur a saisi de nouveau le Premier Président de la Cour </w:t>
      </w:r>
      <w:r>
        <w:rPr>
          <w:lang w:val="fr-FR"/>
        </w:rPr>
        <w:t>s</w:t>
      </w:r>
      <w:r w:rsidRPr="00412C58">
        <w:rPr>
          <w:lang w:val="fr-FR"/>
        </w:rPr>
        <w:t xml:space="preserve">uprême pour attirer son attention sur sa situation. Le dossier a été enrôlé une nouvelle fois le </w:t>
      </w:r>
      <w:r w:rsidR="008618C7" w:rsidRPr="00412C58">
        <w:rPr>
          <w:lang w:val="fr-FR"/>
        </w:rPr>
        <w:t>16</w:t>
      </w:r>
      <w:r w:rsidR="008618C7">
        <w:rPr>
          <w:lang w:val="fr-FR"/>
        </w:rPr>
        <w:t> </w:t>
      </w:r>
      <w:r w:rsidRPr="00412C58">
        <w:rPr>
          <w:lang w:val="fr-FR"/>
        </w:rPr>
        <w:t>juin 2011 et a été de nouveau renvoyé au rôle général. Les débats ont été ouverts, l</w:t>
      </w:r>
      <w:r>
        <w:rPr>
          <w:lang w:val="fr-FR"/>
        </w:rPr>
        <w:t>’</w:t>
      </w:r>
      <w:r w:rsidRPr="00412C58">
        <w:rPr>
          <w:lang w:val="fr-FR"/>
        </w:rPr>
        <w:t xml:space="preserve">affaire a été mise en délibéré et un arrêt devait être rendu le </w:t>
      </w:r>
      <w:r w:rsidR="008618C7" w:rsidRPr="00412C58">
        <w:rPr>
          <w:lang w:val="fr-FR"/>
        </w:rPr>
        <w:t>21</w:t>
      </w:r>
      <w:r w:rsidR="008618C7">
        <w:rPr>
          <w:lang w:val="fr-FR"/>
        </w:rPr>
        <w:t> </w:t>
      </w:r>
      <w:r w:rsidRPr="00412C58">
        <w:rPr>
          <w:lang w:val="fr-FR"/>
        </w:rPr>
        <w:t xml:space="preserve">juin 2012. </w:t>
      </w:r>
      <w:r>
        <w:rPr>
          <w:lang w:val="fr-FR"/>
        </w:rPr>
        <w:t>À</w:t>
      </w:r>
      <w:r w:rsidRPr="00412C58">
        <w:rPr>
          <w:lang w:val="fr-FR"/>
        </w:rPr>
        <w:t xml:space="preserve"> cette audience, le délibéré a été rabattu et l</w:t>
      </w:r>
      <w:r>
        <w:rPr>
          <w:lang w:val="fr-FR"/>
        </w:rPr>
        <w:t>’</w:t>
      </w:r>
      <w:r w:rsidRPr="00412C58">
        <w:rPr>
          <w:lang w:val="fr-FR"/>
        </w:rPr>
        <w:t xml:space="preserve">affaire a été renvoyée au </w:t>
      </w:r>
      <w:r w:rsidR="008618C7" w:rsidRPr="00412C58">
        <w:rPr>
          <w:lang w:val="fr-FR"/>
        </w:rPr>
        <w:t>19</w:t>
      </w:r>
      <w:r w:rsidR="008618C7">
        <w:rPr>
          <w:lang w:val="fr-FR"/>
        </w:rPr>
        <w:t> </w:t>
      </w:r>
      <w:r w:rsidRPr="00412C58">
        <w:rPr>
          <w:lang w:val="fr-FR"/>
        </w:rPr>
        <w:t xml:space="preserve">juillet 2012, </w:t>
      </w:r>
      <w:r>
        <w:rPr>
          <w:lang w:val="fr-FR"/>
        </w:rPr>
        <w:t xml:space="preserve">date à laquelle </w:t>
      </w:r>
      <w:r w:rsidRPr="00412C58">
        <w:rPr>
          <w:lang w:val="fr-FR"/>
        </w:rPr>
        <w:t>l</w:t>
      </w:r>
      <w:r>
        <w:rPr>
          <w:lang w:val="fr-FR"/>
        </w:rPr>
        <w:t>’</w:t>
      </w:r>
      <w:r w:rsidRPr="00412C58">
        <w:rPr>
          <w:lang w:val="fr-FR"/>
        </w:rPr>
        <w:t>affaire a été retirée du rôle une nouvelle fois et l</w:t>
      </w:r>
      <w:r>
        <w:rPr>
          <w:lang w:val="fr-FR"/>
        </w:rPr>
        <w:t>’</w:t>
      </w:r>
      <w:r w:rsidRPr="00412C58">
        <w:rPr>
          <w:lang w:val="fr-FR"/>
        </w:rPr>
        <w:t>auteur n</w:t>
      </w:r>
      <w:r>
        <w:rPr>
          <w:lang w:val="fr-FR"/>
        </w:rPr>
        <w:t>’</w:t>
      </w:r>
      <w:r w:rsidRPr="00412C58">
        <w:rPr>
          <w:lang w:val="fr-FR"/>
        </w:rPr>
        <w:t xml:space="preserve">en a plus entendu parler. </w:t>
      </w:r>
    </w:p>
    <w:p w14:paraId="2AB8A23C" w14:textId="746F27C2" w:rsidR="00E83006" w:rsidRPr="00412C58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2.5</w:t>
      </w:r>
      <w:r w:rsidRPr="00412C58">
        <w:rPr>
          <w:lang w:val="fr-FR"/>
        </w:rPr>
        <w:tab/>
        <w:t xml:space="preserve">Le </w:t>
      </w:r>
      <w:r w:rsidR="008618C7" w:rsidRPr="00412C58">
        <w:rPr>
          <w:lang w:val="fr-FR"/>
        </w:rPr>
        <w:t>2</w:t>
      </w:r>
      <w:r w:rsidR="008618C7">
        <w:rPr>
          <w:lang w:val="fr-FR"/>
        </w:rPr>
        <w:t> </w:t>
      </w:r>
      <w:r w:rsidRPr="00412C58">
        <w:rPr>
          <w:lang w:val="fr-FR"/>
        </w:rPr>
        <w:t>mai 2013, l</w:t>
      </w:r>
      <w:r>
        <w:rPr>
          <w:lang w:val="fr-FR"/>
        </w:rPr>
        <w:t>’</w:t>
      </w:r>
      <w:r w:rsidRPr="00412C58">
        <w:rPr>
          <w:lang w:val="fr-FR"/>
        </w:rPr>
        <w:t xml:space="preserve">auteur a présenté une troisième requête en vue de sa mise en liberté. Cette nouvelle requête a été également déclarée irrecevable au motif que le pourvoi lui-même </w:t>
      </w:r>
      <w:r>
        <w:rPr>
          <w:lang w:val="fr-FR"/>
        </w:rPr>
        <w:t>était</w:t>
      </w:r>
      <w:r w:rsidRPr="00412C58">
        <w:rPr>
          <w:lang w:val="fr-FR"/>
        </w:rPr>
        <w:t xml:space="preserve"> irrecevable. Entre</w:t>
      </w:r>
      <w:r>
        <w:rPr>
          <w:lang w:val="fr-FR"/>
        </w:rPr>
        <w:t>-</w:t>
      </w:r>
      <w:r w:rsidRPr="00412C58">
        <w:rPr>
          <w:lang w:val="fr-FR"/>
        </w:rPr>
        <w:t>temps, le pourvoi a progressé quant au fond et l</w:t>
      </w:r>
      <w:r>
        <w:rPr>
          <w:lang w:val="fr-FR"/>
        </w:rPr>
        <w:t>’</w:t>
      </w:r>
      <w:r w:rsidRPr="00412C58">
        <w:rPr>
          <w:lang w:val="fr-FR"/>
        </w:rPr>
        <w:t xml:space="preserve">affaire a été examinée </w:t>
      </w:r>
      <w:r>
        <w:rPr>
          <w:lang w:val="fr-FR"/>
        </w:rPr>
        <w:t>lors de l’</w:t>
      </w:r>
      <w:r w:rsidRPr="00412C58">
        <w:rPr>
          <w:lang w:val="fr-FR"/>
        </w:rPr>
        <w:t xml:space="preserve">audience du </w:t>
      </w:r>
      <w:r w:rsidR="008618C7" w:rsidRPr="00412C58">
        <w:rPr>
          <w:lang w:val="fr-FR"/>
        </w:rPr>
        <w:t>29</w:t>
      </w:r>
      <w:r w:rsidR="008618C7">
        <w:rPr>
          <w:lang w:val="fr-FR"/>
        </w:rPr>
        <w:t> </w:t>
      </w:r>
      <w:r w:rsidRPr="00412C58">
        <w:rPr>
          <w:lang w:val="fr-FR"/>
        </w:rPr>
        <w:t>avril 2014, au cours de laquelle l</w:t>
      </w:r>
      <w:r>
        <w:rPr>
          <w:lang w:val="fr-FR"/>
        </w:rPr>
        <w:t>’</w:t>
      </w:r>
      <w:r w:rsidRPr="00412C58">
        <w:rPr>
          <w:lang w:val="fr-FR"/>
        </w:rPr>
        <w:t xml:space="preserve">auteur a été acquitté par la Cour </w:t>
      </w:r>
      <w:r>
        <w:rPr>
          <w:lang w:val="fr-FR"/>
        </w:rPr>
        <w:t>s</w:t>
      </w:r>
      <w:r w:rsidRPr="00412C58">
        <w:rPr>
          <w:lang w:val="fr-FR"/>
        </w:rPr>
        <w:t>uprême.</w:t>
      </w:r>
    </w:p>
    <w:p w14:paraId="0834B04A" w14:textId="77777777" w:rsidR="00E83006" w:rsidRPr="00412C58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2.6</w:t>
      </w:r>
      <w:r w:rsidRPr="00412C58">
        <w:rPr>
          <w:lang w:val="fr-FR"/>
        </w:rPr>
        <w:tab/>
        <w:t>L</w:t>
      </w:r>
      <w:r>
        <w:rPr>
          <w:lang w:val="fr-FR"/>
        </w:rPr>
        <w:t>’</w:t>
      </w:r>
      <w:r w:rsidRPr="00412C58">
        <w:rPr>
          <w:lang w:val="fr-FR"/>
        </w:rPr>
        <w:t>auteur explique qu</w:t>
      </w:r>
      <w:r>
        <w:rPr>
          <w:lang w:val="fr-FR"/>
        </w:rPr>
        <w:t>’</w:t>
      </w:r>
      <w:r w:rsidRPr="00412C58">
        <w:rPr>
          <w:lang w:val="fr-FR"/>
        </w:rPr>
        <w:t xml:space="preserve">il a subi de nombreux préjudices, tant moraux que matériels, du fait des </w:t>
      </w:r>
      <w:r>
        <w:rPr>
          <w:lang w:val="fr-FR"/>
        </w:rPr>
        <w:t>cinq</w:t>
      </w:r>
      <w:r w:rsidRPr="00412C58">
        <w:rPr>
          <w:lang w:val="fr-FR"/>
        </w:rPr>
        <w:t xml:space="preserve"> années passées en détention. </w:t>
      </w:r>
      <w:r>
        <w:rPr>
          <w:lang w:val="fr-FR"/>
        </w:rPr>
        <w:t>Il affirme</w:t>
      </w:r>
      <w:r w:rsidRPr="00412C58">
        <w:rPr>
          <w:lang w:val="fr-FR"/>
        </w:rPr>
        <w:t xml:space="preserve"> que</w:t>
      </w:r>
      <w:r>
        <w:rPr>
          <w:lang w:val="fr-FR"/>
        </w:rPr>
        <w:t>,</w:t>
      </w:r>
      <w:r w:rsidRPr="00412C58">
        <w:rPr>
          <w:lang w:val="fr-FR"/>
        </w:rPr>
        <w:t xml:space="preserve"> selon le Code de procédure pénale, une </w:t>
      </w:r>
      <w:r w:rsidRPr="00DF181A">
        <w:t>indemnisation</w:t>
      </w:r>
      <w:r w:rsidRPr="00412C58">
        <w:rPr>
          <w:lang w:val="fr-FR"/>
        </w:rPr>
        <w:t xml:space="preserve"> est possible en cas de longue détention qui se solde par un acquittement définitif. Le Code de procédure pénale prévoit qu</w:t>
      </w:r>
      <w:r>
        <w:rPr>
          <w:lang w:val="fr-FR"/>
        </w:rPr>
        <w:t>’</w:t>
      </w:r>
      <w:r w:rsidRPr="00412C58">
        <w:rPr>
          <w:lang w:val="fr-FR"/>
        </w:rPr>
        <w:t xml:space="preserve">une </w:t>
      </w:r>
      <w:r>
        <w:rPr>
          <w:lang w:val="fr-FR"/>
        </w:rPr>
        <w:t>c</w:t>
      </w:r>
      <w:r w:rsidRPr="00412C58">
        <w:rPr>
          <w:lang w:val="fr-FR"/>
        </w:rPr>
        <w:t>ommission d</w:t>
      </w:r>
      <w:r>
        <w:rPr>
          <w:lang w:val="fr-FR"/>
        </w:rPr>
        <w:t>’</w:t>
      </w:r>
      <w:r w:rsidRPr="00412C58">
        <w:rPr>
          <w:lang w:val="fr-FR"/>
        </w:rPr>
        <w:t>indemnisation</w:t>
      </w:r>
      <w:r w:rsidRPr="003F22BB">
        <w:rPr>
          <w:lang w:val="fr-FR"/>
        </w:rPr>
        <w:t>, présidé</w:t>
      </w:r>
      <w:r>
        <w:rPr>
          <w:lang w:val="fr-FR"/>
        </w:rPr>
        <w:t>e</w:t>
      </w:r>
      <w:r w:rsidRPr="003F22BB">
        <w:rPr>
          <w:lang w:val="fr-FR"/>
        </w:rPr>
        <w:t xml:space="preserve"> par un conseiller de la Cour suprême et composé</w:t>
      </w:r>
      <w:r>
        <w:rPr>
          <w:lang w:val="fr-FR"/>
        </w:rPr>
        <w:t>e</w:t>
      </w:r>
      <w:r w:rsidRPr="003F22BB">
        <w:rPr>
          <w:lang w:val="fr-FR"/>
        </w:rPr>
        <w:t>, entre autres, de deux magistrats de la cour d</w:t>
      </w:r>
      <w:r>
        <w:rPr>
          <w:lang w:val="fr-FR"/>
        </w:rPr>
        <w:t>’</w:t>
      </w:r>
      <w:r w:rsidRPr="003F22BB">
        <w:rPr>
          <w:lang w:val="fr-FR"/>
        </w:rPr>
        <w:t>appel, de représentants de la fonction publique et d</w:t>
      </w:r>
      <w:r>
        <w:rPr>
          <w:lang w:val="fr-FR"/>
        </w:rPr>
        <w:t>’</w:t>
      </w:r>
      <w:r w:rsidRPr="003F22BB">
        <w:rPr>
          <w:lang w:val="fr-FR"/>
        </w:rPr>
        <w:t>un représentant de l</w:t>
      </w:r>
      <w:r>
        <w:rPr>
          <w:lang w:val="fr-FR"/>
        </w:rPr>
        <w:t>’</w:t>
      </w:r>
      <w:r w:rsidRPr="003F22BB">
        <w:rPr>
          <w:lang w:val="fr-FR"/>
        </w:rPr>
        <w:t>ordre des avocats</w:t>
      </w:r>
      <w:r>
        <w:rPr>
          <w:lang w:val="fr-FR"/>
        </w:rPr>
        <w:t>,</w:t>
      </w:r>
      <w:r w:rsidRPr="003F22BB">
        <w:rPr>
          <w:lang w:val="fr-FR"/>
        </w:rPr>
        <w:t xml:space="preserve"> </w:t>
      </w:r>
      <w:r w:rsidRPr="00412C58">
        <w:rPr>
          <w:lang w:val="fr-FR"/>
        </w:rPr>
        <w:t>devrait être mise en place. Cette commission est la seule instance compétente pour traiter des demandes d</w:t>
      </w:r>
      <w:r>
        <w:rPr>
          <w:lang w:val="fr-FR"/>
        </w:rPr>
        <w:t>’</w:t>
      </w:r>
      <w:r w:rsidRPr="00412C58">
        <w:rPr>
          <w:lang w:val="fr-FR"/>
        </w:rPr>
        <w:t>indemnisation</w:t>
      </w:r>
      <w:r>
        <w:rPr>
          <w:lang w:val="fr-FR"/>
        </w:rPr>
        <w:t xml:space="preserve"> et de </w:t>
      </w:r>
      <w:r w:rsidRPr="00412C58">
        <w:rPr>
          <w:lang w:val="fr-FR"/>
        </w:rPr>
        <w:t xml:space="preserve">réparation. Toutefois, cette </w:t>
      </w:r>
      <w:r>
        <w:rPr>
          <w:lang w:val="fr-FR"/>
        </w:rPr>
        <w:t>c</w:t>
      </w:r>
      <w:r w:rsidRPr="00412C58">
        <w:rPr>
          <w:lang w:val="fr-FR"/>
        </w:rPr>
        <w:t>ommission n</w:t>
      </w:r>
      <w:r>
        <w:rPr>
          <w:lang w:val="fr-FR"/>
        </w:rPr>
        <w:t>’</w:t>
      </w:r>
      <w:r w:rsidRPr="00412C58">
        <w:rPr>
          <w:lang w:val="fr-FR"/>
        </w:rPr>
        <w:t>a pas été formellement établie et l</w:t>
      </w:r>
      <w:r>
        <w:rPr>
          <w:lang w:val="fr-FR"/>
        </w:rPr>
        <w:t>’</w:t>
      </w:r>
      <w:r w:rsidRPr="00412C58">
        <w:rPr>
          <w:lang w:val="fr-FR"/>
        </w:rPr>
        <w:t>auteur n</w:t>
      </w:r>
      <w:r>
        <w:rPr>
          <w:lang w:val="fr-FR"/>
        </w:rPr>
        <w:t>’</w:t>
      </w:r>
      <w:r w:rsidRPr="00412C58">
        <w:rPr>
          <w:lang w:val="fr-FR"/>
        </w:rPr>
        <w:t>a pas pu présenter sa demande.</w:t>
      </w:r>
    </w:p>
    <w:p w14:paraId="685BCE36" w14:textId="77777777" w:rsidR="00E83006" w:rsidRPr="00412C58" w:rsidRDefault="00E83006" w:rsidP="00ED242C">
      <w:pPr>
        <w:pStyle w:val="H23G"/>
        <w:rPr>
          <w:lang w:val="fr-FR"/>
        </w:rPr>
      </w:pPr>
      <w:r w:rsidRPr="00412C58">
        <w:rPr>
          <w:lang w:val="fr-FR"/>
        </w:rPr>
        <w:tab/>
      </w:r>
      <w:r w:rsidRPr="00412C58">
        <w:rPr>
          <w:lang w:val="fr-FR"/>
        </w:rPr>
        <w:tab/>
        <w:t>Teneur de la plainte</w:t>
      </w:r>
    </w:p>
    <w:p w14:paraId="2502EAD3" w14:textId="675521F4" w:rsidR="00E83006" w:rsidRPr="00412C58" w:rsidRDefault="00E83006" w:rsidP="00ED242C">
      <w:pPr>
        <w:pStyle w:val="SingleTxtG"/>
      </w:pPr>
      <w:r w:rsidRPr="00412C58">
        <w:t>3.1</w:t>
      </w:r>
      <w:r w:rsidRPr="00412C58">
        <w:tab/>
        <w:t>L</w:t>
      </w:r>
      <w:r>
        <w:t>’</w:t>
      </w:r>
      <w:r w:rsidRPr="00412C58">
        <w:t xml:space="preserve">auteur </w:t>
      </w:r>
      <w:r>
        <w:t>affirme</w:t>
      </w:r>
      <w:r w:rsidRPr="00412C58">
        <w:t xml:space="preserve"> que le fait que la </w:t>
      </w:r>
      <w:r>
        <w:t>c</w:t>
      </w:r>
      <w:r w:rsidRPr="00412C58">
        <w:t>ommission d</w:t>
      </w:r>
      <w:r>
        <w:t>’</w:t>
      </w:r>
      <w:r w:rsidRPr="00412C58">
        <w:t>indemnisation prévue par le Code de procédure pénale n</w:t>
      </w:r>
      <w:r>
        <w:t>’</w:t>
      </w:r>
      <w:r w:rsidRPr="00412C58">
        <w:t xml:space="preserve">a </w:t>
      </w:r>
      <w:r w:rsidRPr="00DF181A">
        <w:t>jamais</w:t>
      </w:r>
      <w:r w:rsidRPr="00412C58">
        <w:t xml:space="preserve"> été établie par l</w:t>
      </w:r>
      <w:r>
        <w:t>’É</w:t>
      </w:r>
      <w:r w:rsidRPr="00412C58">
        <w:t>tat partie l</w:t>
      </w:r>
      <w:r>
        <w:t>’</w:t>
      </w:r>
      <w:r w:rsidRPr="00412C58">
        <w:t>empêche de soumettre sa demande de réparation et qu</w:t>
      </w:r>
      <w:r>
        <w:t>’</w:t>
      </w:r>
      <w:r w:rsidRPr="00412C58">
        <w:t>en conséquence</w:t>
      </w:r>
      <w:r>
        <w:t>,</w:t>
      </w:r>
      <w:r w:rsidRPr="00412C58">
        <w:t xml:space="preserve"> il est victime d</w:t>
      </w:r>
      <w:r>
        <w:t>’</w:t>
      </w:r>
      <w:r w:rsidRPr="00412C58">
        <w:t xml:space="preserve">une violation de ses droits </w:t>
      </w:r>
      <w:r>
        <w:t>au titre</w:t>
      </w:r>
      <w:r w:rsidRPr="00412C58">
        <w:t xml:space="preserve"> des </w:t>
      </w:r>
      <w:r w:rsidR="008618C7" w:rsidRPr="00412C58">
        <w:t>articles</w:t>
      </w:r>
      <w:r w:rsidR="008618C7">
        <w:t> </w:t>
      </w:r>
      <w:r w:rsidRPr="00412C58">
        <w:t xml:space="preserve">2 </w:t>
      </w:r>
      <w:r>
        <w:t>(</w:t>
      </w:r>
      <w:r w:rsidRPr="00412C58">
        <w:t>par</w:t>
      </w:r>
      <w:r>
        <w:t>. </w:t>
      </w:r>
      <w:r w:rsidRPr="00412C58">
        <w:t>3</w:t>
      </w:r>
      <w:r>
        <w:t>)</w:t>
      </w:r>
      <w:r w:rsidRPr="00412C58">
        <w:t xml:space="preserve"> et 14 </w:t>
      </w:r>
      <w:r>
        <w:t>(</w:t>
      </w:r>
      <w:r w:rsidRPr="00412C58">
        <w:t>par</w:t>
      </w:r>
      <w:r>
        <w:t>. </w:t>
      </w:r>
      <w:r w:rsidRPr="00412C58">
        <w:t>1</w:t>
      </w:r>
      <w:r>
        <w:t>)</w:t>
      </w:r>
      <w:r w:rsidRPr="00412C58">
        <w:t xml:space="preserve"> du Pacte.</w:t>
      </w:r>
    </w:p>
    <w:p w14:paraId="7BF76821" w14:textId="77777777" w:rsidR="00E83006" w:rsidRPr="00412C58" w:rsidRDefault="00E83006" w:rsidP="00ED242C">
      <w:pPr>
        <w:pStyle w:val="SingleTxtG"/>
        <w:rPr>
          <w:lang w:val="fr-FR"/>
        </w:rPr>
      </w:pPr>
      <w:r w:rsidRPr="00412C58">
        <w:t>3.2</w:t>
      </w:r>
      <w:r w:rsidRPr="00412C58">
        <w:tab/>
        <w:t>L</w:t>
      </w:r>
      <w:r>
        <w:t>’</w:t>
      </w:r>
      <w:r w:rsidRPr="00412C58">
        <w:t>auteur estime que les voies de recours internes ont été épuisées</w:t>
      </w:r>
      <w:r>
        <w:t>,</w:t>
      </w:r>
      <w:r w:rsidRPr="00412C58">
        <w:t xml:space="preserve"> car l</w:t>
      </w:r>
      <w:r>
        <w:t>’</w:t>
      </w:r>
      <w:r w:rsidRPr="00412C58">
        <w:t>objet même de la requête est l</w:t>
      </w:r>
      <w:r>
        <w:t>’</w:t>
      </w:r>
      <w:r w:rsidRPr="00412C58">
        <w:t xml:space="preserve">absence de voie de recours en indemnisation </w:t>
      </w:r>
      <w:r>
        <w:t xml:space="preserve">par </w:t>
      </w:r>
      <w:r w:rsidRPr="00412C58">
        <w:t xml:space="preserve">suite </w:t>
      </w:r>
      <w:r>
        <w:t>de</w:t>
      </w:r>
      <w:r w:rsidRPr="00412C58">
        <w:t xml:space="preserve"> sa longue détention provisoire, qui s</w:t>
      </w:r>
      <w:r>
        <w:t>’</w:t>
      </w:r>
      <w:r w:rsidRPr="00412C58">
        <w:t xml:space="preserve">est soldée par un acquittement définitif. </w:t>
      </w:r>
    </w:p>
    <w:p w14:paraId="5D62C521" w14:textId="77777777" w:rsidR="00E83006" w:rsidRPr="00412C58" w:rsidRDefault="00E83006" w:rsidP="00ED242C">
      <w:pPr>
        <w:pStyle w:val="H23G"/>
      </w:pPr>
      <w:r w:rsidRPr="00412C58">
        <w:rPr>
          <w:lang w:val="fr-FR"/>
        </w:rPr>
        <w:lastRenderedPageBreak/>
        <w:tab/>
      </w:r>
      <w:r w:rsidRPr="00412C58">
        <w:rPr>
          <w:lang w:val="fr-FR"/>
        </w:rPr>
        <w:tab/>
        <w:t>Observations de l</w:t>
      </w:r>
      <w:r>
        <w:rPr>
          <w:lang w:val="fr-FR"/>
        </w:rPr>
        <w:t>’</w:t>
      </w:r>
      <w:r w:rsidRPr="00412C58">
        <w:rPr>
          <w:lang w:val="fr-FR"/>
        </w:rPr>
        <w:t xml:space="preserve">État </w:t>
      </w:r>
      <w:r w:rsidRPr="00DF181A">
        <w:t>partie</w:t>
      </w:r>
      <w:r w:rsidRPr="00412C58">
        <w:rPr>
          <w:lang w:val="fr-FR"/>
        </w:rPr>
        <w:t xml:space="preserve"> sur la recevabilité</w:t>
      </w:r>
    </w:p>
    <w:p w14:paraId="313168AB" w14:textId="79B1FB1F" w:rsidR="00E83006" w:rsidRPr="00412C58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4.1</w:t>
      </w:r>
      <w:r w:rsidRPr="00412C58">
        <w:rPr>
          <w:lang w:val="fr-FR"/>
        </w:rPr>
        <w:tab/>
        <w:t xml:space="preserve">Le </w:t>
      </w:r>
      <w:r w:rsidR="008618C7" w:rsidRPr="00412C58">
        <w:rPr>
          <w:lang w:val="fr-FR"/>
        </w:rPr>
        <w:t>13</w:t>
      </w:r>
      <w:r w:rsidR="008618C7">
        <w:rPr>
          <w:lang w:val="fr-FR"/>
        </w:rPr>
        <w:t> </w:t>
      </w:r>
      <w:r w:rsidRPr="00412C58">
        <w:rPr>
          <w:lang w:val="fr-FR"/>
        </w:rPr>
        <w:t>août 2015, l</w:t>
      </w:r>
      <w:r>
        <w:rPr>
          <w:lang w:val="fr-FR"/>
        </w:rPr>
        <w:t>’É</w:t>
      </w:r>
      <w:r w:rsidRPr="00412C58">
        <w:rPr>
          <w:lang w:val="fr-FR"/>
        </w:rPr>
        <w:t xml:space="preserve">tat partie a soumis ses observations sur la recevabilité de la communication. Il estime que, suivant une jurisprudence constante du Comité, </w:t>
      </w:r>
      <w:r w:rsidR="008618C7" w:rsidRPr="00412C58">
        <w:rPr>
          <w:lang w:val="fr-FR"/>
        </w:rPr>
        <w:t>l</w:t>
      </w:r>
      <w:r w:rsidR="008618C7">
        <w:rPr>
          <w:lang w:val="fr-FR"/>
        </w:rPr>
        <w:t>’</w:t>
      </w:r>
      <w:r w:rsidR="008618C7" w:rsidRPr="00412C58">
        <w:rPr>
          <w:lang w:val="fr-FR"/>
        </w:rPr>
        <w:t>article</w:t>
      </w:r>
      <w:r w:rsidR="008618C7">
        <w:rPr>
          <w:lang w:val="fr-FR"/>
        </w:rPr>
        <w:t> </w:t>
      </w:r>
      <w:r w:rsidRPr="00412C58">
        <w:rPr>
          <w:lang w:val="fr-FR"/>
        </w:rPr>
        <w:t xml:space="preserve">14 </w:t>
      </w:r>
      <w:r>
        <w:rPr>
          <w:lang w:val="fr-FR"/>
        </w:rPr>
        <w:t>(par. </w:t>
      </w:r>
      <w:r w:rsidRPr="00412C58">
        <w:rPr>
          <w:lang w:val="fr-FR"/>
        </w:rPr>
        <w:t>6</w:t>
      </w:r>
      <w:r>
        <w:rPr>
          <w:lang w:val="fr-FR"/>
        </w:rPr>
        <w:t>)</w:t>
      </w:r>
      <w:r w:rsidRPr="00412C58">
        <w:rPr>
          <w:lang w:val="fr-FR"/>
        </w:rPr>
        <w:t xml:space="preserve"> du Pacte, </w:t>
      </w:r>
      <w:r>
        <w:rPr>
          <w:lang w:val="fr-FR"/>
        </w:rPr>
        <w:t>reflété dans le droit interne</w:t>
      </w:r>
      <w:r w:rsidRPr="00412C58">
        <w:rPr>
          <w:lang w:val="fr-FR"/>
        </w:rPr>
        <w:t xml:space="preserve"> par </w:t>
      </w:r>
      <w:r w:rsidR="008618C7" w:rsidRPr="00DF181A">
        <w:t>l</w:t>
      </w:r>
      <w:r w:rsidR="008618C7">
        <w:t>’</w:t>
      </w:r>
      <w:r w:rsidR="008618C7" w:rsidRPr="00DF181A">
        <w:t>article</w:t>
      </w:r>
      <w:r w:rsidR="008618C7">
        <w:rPr>
          <w:lang w:val="fr-FR"/>
        </w:rPr>
        <w:t> </w:t>
      </w:r>
      <w:r w:rsidRPr="00412C58">
        <w:rPr>
          <w:lang w:val="fr-FR"/>
        </w:rPr>
        <w:t>544 du Code de procédure pénale, évoqué par l</w:t>
      </w:r>
      <w:r>
        <w:rPr>
          <w:lang w:val="fr-FR"/>
        </w:rPr>
        <w:t>’</w:t>
      </w:r>
      <w:r w:rsidRPr="00412C58">
        <w:rPr>
          <w:lang w:val="fr-FR"/>
        </w:rPr>
        <w:t>auteur, n</w:t>
      </w:r>
      <w:r>
        <w:rPr>
          <w:lang w:val="fr-FR"/>
        </w:rPr>
        <w:t>’</w:t>
      </w:r>
      <w:r w:rsidRPr="00412C58">
        <w:rPr>
          <w:lang w:val="fr-FR"/>
        </w:rPr>
        <w:t xml:space="preserve">est recevable que si </w:t>
      </w:r>
      <w:r>
        <w:rPr>
          <w:lang w:val="fr-FR"/>
        </w:rPr>
        <w:t>trois</w:t>
      </w:r>
      <w:r w:rsidRPr="00412C58">
        <w:rPr>
          <w:lang w:val="fr-FR"/>
        </w:rPr>
        <w:t xml:space="preserve"> conditions sont réunies</w:t>
      </w:r>
      <w:r>
        <w:rPr>
          <w:lang w:val="fr-FR"/>
        </w:rPr>
        <w:t> </w:t>
      </w:r>
      <w:r w:rsidRPr="00412C58">
        <w:rPr>
          <w:lang w:val="fr-FR"/>
        </w:rPr>
        <w:t>: une condamnation pénale définitive, une peine subie en raison de cette condamnation</w:t>
      </w:r>
      <w:r>
        <w:rPr>
          <w:lang w:val="fr-FR"/>
        </w:rPr>
        <w:t>,</w:t>
      </w:r>
      <w:r w:rsidRPr="00412C58">
        <w:rPr>
          <w:lang w:val="fr-FR"/>
        </w:rPr>
        <w:t xml:space="preserve"> et une annulation ou grâce ultérieure en raison d</w:t>
      </w:r>
      <w:r>
        <w:rPr>
          <w:lang w:val="fr-FR"/>
        </w:rPr>
        <w:t>’</w:t>
      </w:r>
      <w:r w:rsidRPr="00412C58">
        <w:rPr>
          <w:lang w:val="fr-FR"/>
        </w:rPr>
        <w:t>un fait nouveau ou nouvellement révélé. L</w:t>
      </w:r>
      <w:r>
        <w:rPr>
          <w:lang w:val="fr-FR"/>
        </w:rPr>
        <w:t>’É</w:t>
      </w:r>
      <w:r w:rsidRPr="00412C58">
        <w:rPr>
          <w:lang w:val="fr-FR"/>
        </w:rPr>
        <w:t>tat partie souligne également que le recours en révision n</w:t>
      </w:r>
      <w:r>
        <w:rPr>
          <w:lang w:val="fr-FR"/>
        </w:rPr>
        <w:t>’</w:t>
      </w:r>
      <w:r w:rsidRPr="00412C58">
        <w:rPr>
          <w:lang w:val="fr-FR"/>
        </w:rPr>
        <w:t xml:space="preserve">est recevable, aux termes de </w:t>
      </w:r>
      <w:r w:rsidR="008618C7" w:rsidRPr="00412C58">
        <w:rPr>
          <w:lang w:val="fr-FR"/>
        </w:rPr>
        <w:t>l</w:t>
      </w:r>
      <w:r w:rsidR="008618C7">
        <w:rPr>
          <w:lang w:val="fr-FR"/>
        </w:rPr>
        <w:t>’</w:t>
      </w:r>
      <w:r w:rsidR="008618C7" w:rsidRPr="00412C58">
        <w:rPr>
          <w:lang w:val="fr-FR"/>
        </w:rPr>
        <w:t>article</w:t>
      </w:r>
      <w:r w:rsidR="008618C7">
        <w:rPr>
          <w:lang w:val="fr-FR"/>
        </w:rPr>
        <w:t> </w:t>
      </w:r>
      <w:r w:rsidRPr="00412C58">
        <w:rPr>
          <w:lang w:val="fr-FR"/>
        </w:rPr>
        <w:t>535 du Code de procédure pénale</w:t>
      </w:r>
      <w:r>
        <w:rPr>
          <w:lang w:val="fr-FR"/>
        </w:rPr>
        <w:t>,</w:t>
      </w:r>
      <w:r w:rsidRPr="00412C58">
        <w:rPr>
          <w:lang w:val="fr-FR"/>
        </w:rPr>
        <w:t xml:space="preserve"> qu</w:t>
      </w:r>
      <w:r>
        <w:rPr>
          <w:lang w:val="fr-FR"/>
        </w:rPr>
        <w:t>’</w:t>
      </w:r>
      <w:r w:rsidRPr="00412C58">
        <w:rPr>
          <w:lang w:val="fr-FR"/>
        </w:rPr>
        <w:t>à l</w:t>
      </w:r>
      <w:r>
        <w:rPr>
          <w:lang w:val="fr-FR"/>
        </w:rPr>
        <w:t>’</w:t>
      </w:r>
      <w:r w:rsidRPr="00412C58">
        <w:rPr>
          <w:lang w:val="fr-FR"/>
        </w:rPr>
        <w:t>encontre d</w:t>
      </w:r>
      <w:r>
        <w:rPr>
          <w:lang w:val="fr-FR"/>
        </w:rPr>
        <w:t>’</w:t>
      </w:r>
      <w:r w:rsidRPr="00412C58">
        <w:rPr>
          <w:lang w:val="fr-FR"/>
        </w:rPr>
        <w:t xml:space="preserve">une décision de condamnation passée en force de chose jugée. </w:t>
      </w:r>
    </w:p>
    <w:p w14:paraId="4F892E41" w14:textId="6E85A2F2" w:rsidR="00E83006" w:rsidRPr="00412C58" w:rsidRDefault="00E83006" w:rsidP="00ED242C">
      <w:pPr>
        <w:pStyle w:val="SingleTxtG"/>
      </w:pPr>
      <w:r>
        <w:rPr>
          <w:lang w:val="fr-FR"/>
        </w:rPr>
        <w:t>4.2</w:t>
      </w:r>
      <w:r>
        <w:rPr>
          <w:lang w:val="fr-FR"/>
        </w:rPr>
        <w:tab/>
      </w:r>
      <w:r w:rsidRPr="00412C58">
        <w:rPr>
          <w:lang w:val="fr-FR"/>
        </w:rPr>
        <w:t>L</w:t>
      </w:r>
      <w:r>
        <w:rPr>
          <w:lang w:val="fr-FR"/>
        </w:rPr>
        <w:t>’É</w:t>
      </w:r>
      <w:r w:rsidRPr="00412C58">
        <w:rPr>
          <w:lang w:val="fr-FR"/>
        </w:rPr>
        <w:t>tat partie souligne qu</w:t>
      </w:r>
      <w:r>
        <w:rPr>
          <w:lang w:val="fr-FR"/>
        </w:rPr>
        <w:t>’</w:t>
      </w:r>
      <w:r w:rsidRPr="00412C58">
        <w:rPr>
          <w:lang w:val="fr-FR"/>
        </w:rPr>
        <w:t>en l</w:t>
      </w:r>
      <w:r>
        <w:rPr>
          <w:lang w:val="fr-FR"/>
        </w:rPr>
        <w:t>’</w:t>
      </w:r>
      <w:r w:rsidRPr="00412C58">
        <w:rPr>
          <w:lang w:val="fr-FR"/>
        </w:rPr>
        <w:t>espèce, les trois conditions susmentionnées ne sont pas réunies. L</w:t>
      </w:r>
      <w:r>
        <w:rPr>
          <w:lang w:val="fr-FR"/>
        </w:rPr>
        <w:t>’a</w:t>
      </w:r>
      <w:r w:rsidRPr="00412C58">
        <w:rPr>
          <w:lang w:val="fr-FR"/>
        </w:rPr>
        <w:t>rrêt</w:t>
      </w:r>
      <w:r w:rsidRPr="00DF181A">
        <w:t xml:space="preserve"> </w:t>
      </w:r>
      <w:r w:rsidRPr="00412C58">
        <w:rPr>
          <w:lang w:val="fr-FR"/>
        </w:rPr>
        <w:t>n</w:t>
      </w:r>
      <w:r w:rsidRPr="006A794B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12C58">
        <w:rPr>
          <w:lang w:val="fr-FR"/>
        </w:rPr>
        <w:t xml:space="preserve">038/CRIM du </w:t>
      </w:r>
      <w:r w:rsidR="008618C7" w:rsidRPr="00412C58">
        <w:rPr>
          <w:lang w:val="fr-FR"/>
        </w:rPr>
        <w:t>11</w:t>
      </w:r>
      <w:r w:rsidR="008618C7">
        <w:rPr>
          <w:lang w:val="fr-FR"/>
        </w:rPr>
        <w:t> </w:t>
      </w:r>
      <w:r w:rsidRPr="00412C58">
        <w:rPr>
          <w:lang w:val="fr-FR"/>
        </w:rPr>
        <w:t xml:space="preserve">juin 2009 de la </w:t>
      </w:r>
      <w:r>
        <w:rPr>
          <w:lang w:val="fr-FR"/>
        </w:rPr>
        <w:t>c</w:t>
      </w:r>
      <w:r w:rsidRPr="00412C58">
        <w:rPr>
          <w:lang w:val="fr-FR"/>
        </w:rPr>
        <w:t>our d</w:t>
      </w:r>
      <w:r>
        <w:rPr>
          <w:lang w:val="fr-FR"/>
        </w:rPr>
        <w:t>’a</w:t>
      </w:r>
      <w:r w:rsidRPr="00412C58">
        <w:rPr>
          <w:lang w:val="fr-FR"/>
        </w:rPr>
        <w:t>ppel du Littoral à Douala</w:t>
      </w:r>
      <w:r>
        <w:rPr>
          <w:lang w:val="fr-FR"/>
        </w:rPr>
        <w:t>,</w:t>
      </w:r>
      <w:r w:rsidRPr="00412C58">
        <w:rPr>
          <w:lang w:val="fr-FR"/>
        </w:rPr>
        <w:t xml:space="preserve"> en vertu duquel l</w:t>
      </w:r>
      <w:r>
        <w:rPr>
          <w:lang w:val="fr-FR"/>
        </w:rPr>
        <w:t>’</w:t>
      </w:r>
      <w:r w:rsidRPr="00412C58">
        <w:rPr>
          <w:lang w:val="fr-FR"/>
        </w:rPr>
        <w:t>auteur a été incarcéré</w:t>
      </w:r>
      <w:r>
        <w:rPr>
          <w:lang w:val="fr-FR"/>
        </w:rPr>
        <w:t>,</w:t>
      </w:r>
      <w:r w:rsidRPr="00412C58">
        <w:rPr>
          <w:lang w:val="fr-FR"/>
        </w:rPr>
        <w:t xml:space="preserve"> n</w:t>
      </w:r>
      <w:r>
        <w:rPr>
          <w:lang w:val="fr-FR"/>
        </w:rPr>
        <w:t>’</w:t>
      </w:r>
      <w:r w:rsidRPr="00412C58">
        <w:rPr>
          <w:lang w:val="fr-FR"/>
        </w:rPr>
        <w:t xml:space="preserve">est pas définitif. </w:t>
      </w:r>
      <w:r>
        <w:rPr>
          <w:lang w:val="fr-FR"/>
        </w:rPr>
        <w:t>É</w:t>
      </w:r>
      <w:r w:rsidRPr="00412C58">
        <w:rPr>
          <w:lang w:val="fr-FR"/>
        </w:rPr>
        <w:t>voquant l</w:t>
      </w:r>
      <w:r>
        <w:rPr>
          <w:lang w:val="fr-FR"/>
        </w:rPr>
        <w:t>’</w:t>
      </w:r>
      <w:r w:rsidRPr="00412C58">
        <w:rPr>
          <w:lang w:val="fr-FR"/>
        </w:rPr>
        <w:t xml:space="preserve">affaire </w:t>
      </w:r>
      <w:r w:rsidR="008618C7" w:rsidRPr="006A794B">
        <w:rPr>
          <w:i/>
          <w:iCs/>
          <w:lang w:val="fr-FR"/>
        </w:rPr>
        <w:t>Anderson</w:t>
      </w:r>
      <w:r w:rsidR="008618C7">
        <w:rPr>
          <w:i/>
          <w:iCs/>
          <w:lang w:val="fr-FR"/>
        </w:rPr>
        <w:t> </w:t>
      </w:r>
      <w:r w:rsidRPr="006A794B">
        <w:rPr>
          <w:i/>
          <w:iCs/>
          <w:lang w:val="fr-FR"/>
        </w:rPr>
        <w:t>c</w:t>
      </w:r>
      <w:r w:rsidR="008618C7" w:rsidRPr="006A794B">
        <w:rPr>
          <w:i/>
          <w:iCs/>
          <w:lang w:val="fr-FR"/>
        </w:rPr>
        <w:t>.</w:t>
      </w:r>
      <w:r w:rsidR="008618C7">
        <w:rPr>
          <w:i/>
          <w:iCs/>
          <w:lang w:val="fr-FR"/>
        </w:rPr>
        <w:t> </w:t>
      </w:r>
      <w:r w:rsidRPr="006A794B">
        <w:rPr>
          <w:i/>
          <w:iCs/>
          <w:lang w:val="fr-FR"/>
        </w:rPr>
        <w:t>Australie</w:t>
      </w:r>
      <w:r w:rsidRPr="00412C58">
        <w:rPr>
          <w:lang w:val="fr-FR"/>
        </w:rPr>
        <w:t>, l</w:t>
      </w:r>
      <w:r>
        <w:rPr>
          <w:lang w:val="fr-FR"/>
        </w:rPr>
        <w:t>’É</w:t>
      </w:r>
      <w:r w:rsidRPr="00412C58">
        <w:rPr>
          <w:lang w:val="fr-FR"/>
        </w:rPr>
        <w:t>tat partie souligne que le Comité a déjà établi que la condamnation n</w:t>
      </w:r>
      <w:r>
        <w:rPr>
          <w:lang w:val="fr-FR"/>
        </w:rPr>
        <w:t>’</w:t>
      </w:r>
      <w:r w:rsidRPr="00412C58">
        <w:rPr>
          <w:lang w:val="fr-FR"/>
        </w:rPr>
        <w:t>est pas définitive s</w:t>
      </w:r>
      <w:r>
        <w:rPr>
          <w:lang w:val="fr-FR"/>
        </w:rPr>
        <w:t>’</w:t>
      </w:r>
      <w:r w:rsidRPr="00412C58">
        <w:rPr>
          <w:lang w:val="fr-FR"/>
        </w:rPr>
        <w:t>il est encore possible de faire appel</w:t>
      </w:r>
      <w:r w:rsidRPr="00914591">
        <w:rPr>
          <w:rStyle w:val="Appelnotedebasdep"/>
        </w:rPr>
        <w:footnoteReference w:id="4"/>
      </w:r>
      <w:r>
        <w:rPr>
          <w:lang w:val="fr-FR"/>
        </w:rPr>
        <w:t>.</w:t>
      </w:r>
      <w:r w:rsidRPr="00412C58">
        <w:t xml:space="preserve"> </w:t>
      </w:r>
      <w:r w:rsidRPr="00412C58">
        <w:rPr>
          <w:lang w:val="fr-FR"/>
        </w:rPr>
        <w:t>L</w:t>
      </w:r>
      <w:r>
        <w:rPr>
          <w:lang w:val="fr-FR"/>
        </w:rPr>
        <w:t>’É</w:t>
      </w:r>
      <w:r w:rsidRPr="00412C58">
        <w:rPr>
          <w:lang w:val="fr-FR"/>
        </w:rPr>
        <w:t xml:space="preserve">tat partie </w:t>
      </w:r>
      <w:r>
        <w:rPr>
          <w:lang w:val="fr-FR"/>
        </w:rPr>
        <w:t>indique</w:t>
      </w:r>
      <w:r w:rsidRPr="00412C58">
        <w:rPr>
          <w:lang w:val="fr-FR"/>
        </w:rPr>
        <w:t xml:space="preserve"> que l</w:t>
      </w:r>
      <w:r>
        <w:rPr>
          <w:lang w:val="fr-FR"/>
        </w:rPr>
        <w:t>’</w:t>
      </w:r>
      <w:r w:rsidRPr="00412C58">
        <w:rPr>
          <w:lang w:val="fr-FR"/>
        </w:rPr>
        <w:t>auteur a déclaré qu</w:t>
      </w:r>
      <w:r>
        <w:rPr>
          <w:lang w:val="fr-FR"/>
        </w:rPr>
        <w:t>’</w:t>
      </w:r>
      <w:r w:rsidRPr="00412C58">
        <w:rPr>
          <w:lang w:val="fr-FR"/>
        </w:rPr>
        <w:t>il a</w:t>
      </w:r>
      <w:r>
        <w:rPr>
          <w:lang w:val="fr-FR"/>
        </w:rPr>
        <w:t>vait</w:t>
      </w:r>
      <w:r w:rsidRPr="00412C58">
        <w:rPr>
          <w:lang w:val="fr-FR"/>
        </w:rPr>
        <w:t xml:space="preserve"> exercé un pourvoi devant la Cour suprême contre cette décision et que son recours a</w:t>
      </w:r>
      <w:r>
        <w:rPr>
          <w:lang w:val="fr-FR"/>
        </w:rPr>
        <w:t>vait</w:t>
      </w:r>
      <w:r w:rsidRPr="00412C58">
        <w:rPr>
          <w:lang w:val="fr-FR"/>
        </w:rPr>
        <w:t xml:space="preserve"> été reçu et examiné. </w:t>
      </w:r>
      <w:r>
        <w:rPr>
          <w:lang w:val="fr-FR"/>
        </w:rPr>
        <w:t>É</w:t>
      </w:r>
      <w:r w:rsidRPr="00412C58">
        <w:rPr>
          <w:lang w:val="fr-FR"/>
        </w:rPr>
        <w:t xml:space="preserve">tant donné que la première condition énumérée à </w:t>
      </w:r>
      <w:r w:rsidR="008618C7" w:rsidRPr="00412C58">
        <w:rPr>
          <w:lang w:val="fr-FR"/>
        </w:rPr>
        <w:t>l</w:t>
      </w:r>
      <w:r w:rsidR="008618C7">
        <w:rPr>
          <w:lang w:val="fr-FR"/>
        </w:rPr>
        <w:t>’</w:t>
      </w:r>
      <w:r w:rsidR="008618C7" w:rsidRPr="00412C58">
        <w:rPr>
          <w:lang w:val="fr-FR"/>
        </w:rPr>
        <w:t>article</w:t>
      </w:r>
      <w:r w:rsidR="008618C7">
        <w:rPr>
          <w:lang w:val="fr-FR"/>
        </w:rPr>
        <w:t> </w:t>
      </w:r>
      <w:r w:rsidRPr="00412C58">
        <w:rPr>
          <w:lang w:val="fr-FR"/>
        </w:rPr>
        <w:t>14</w:t>
      </w:r>
      <w:r>
        <w:rPr>
          <w:lang w:val="fr-FR"/>
        </w:rPr>
        <w:t xml:space="preserve"> </w:t>
      </w:r>
      <w:r w:rsidRPr="00412C58">
        <w:rPr>
          <w:lang w:val="fr-FR"/>
        </w:rPr>
        <w:t>(</w:t>
      </w:r>
      <w:r>
        <w:rPr>
          <w:lang w:val="fr-FR"/>
        </w:rPr>
        <w:t>par. </w:t>
      </w:r>
      <w:r w:rsidRPr="00412C58">
        <w:rPr>
          <w:lang w:val="fr-FR"/>
        </w:rPr>
        <w:t xml:space="preserve">6) </w:t>
      </w:r>
      <w:r>
        <w:rPr>
          <w:lang w:val="fr-FR"/>
        </w:rPr>
        <w:t xml:space="preserve">du Pacte </w:t>
      </w:r>
      <w:r w:rsidRPr="00412C58">
        <w:rPr>
          <w:lang w:val="fr-FR"/>
        </w:rPr>
        <w:t>(condamnation pénale définitive) n</w:t>
      </w:r>
      <w:r>
        <w:rPr>
          <w:lang w:val="fr-FR"/>
        </w:rPr>
        <w:t>’</w:t>
      </w:r>
      <w:r w:rsidRPr="00412C58">
        <w:rPr>
          <w:lang w:val="fr-FR"/>
        </w:rPr>
        <w:t>est pas réalisée, il s</w:t>
      </w:r>
      <w:r>
        <w:rPr>
          <w:lang w:val="fr-FR"/>
        </w:rPr>
        <w:t>’</w:t>
      </w:r>
      <w:r w:rsidRPr="00412C58">
        <w:rPr>
          <w:lang w:val="fr-FR"/>
        </w:rPr>
        <w:t>ensuit que la deuxième condition n</w:t>
      </w:r>
      <w:r>
        <w:rPr>
          <w:lang w:val="fr-FR"/>
        </w:rPr>
        <w:t>e l’</w:t>
      </w:r>
      <w:r w:rsidRPr="00412C58">
        <w:rPr>
          <w:lang w:val="fr-FR"/>
        </w:rPr>
        <w:t xml:space="preserve">est pas non plus. </w:t>
      </w:r>
    </w:p>
    <w:p w14:paraId="5CC04E0D" w14:textId="77777777" w:rsidR="00E83006" w:rsidRPr="00412C58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4.3</w:t>
      </w:r>
      <w:r w:rsidRPr="00412C58">
        <w:rPr>
          <w:lang w:val="fr-FR"/>
        </w:rPr>
        <w:tab/>
        <w:t>L</w:t>
      </w:r>
      <w:r>
        <w:rPr>
          <w:lang w:val="fr-FR"/>
        </w:rPr>
        <w:t>’É</w:t>
      </w:r>
      <w:r w:rsidRPr="00412C58">
        <w:rPr>
          <w:lang w:val="fr-FR"/>
        </w:rPr>
        <w:t>tat partie fait valoir que la troisième condition n</w:t>
      </w:r>
      <w:r>
        <w:rPr>
          <w:lang w:val="fr-FR"/>
        </w:rPr>
        <w:t>’</w:t>
      </w:r>
      <w:r w:rsidRPr="00412C58">
        <w:rPr>
          <w:lang w:val="fr-FR"/>
        </w:rPr>
        <w:t>est pas non plus réalisée</w:t>
      </w:r>
      <w:r>
        <w:rPr>
          <w:lang w:val="fr-FR"/>
        </w:rPr>
        <w:t>,</w:t>
      </w:r>
      <w:r w:rsidRPr="00412C58">
        <w:rPr>
          <w:lang w:val="fr-FR"/>
        </w:rPr>
        <w:t xml:space="preserve"> vu que la Cour </w:t>
      </w:r>
      <w:r>
        <w:rPr>
          <w:lang w:val="fr-FR"/>
        </w:rPr>
        <w:t>s</w:t>
      </w:r>
      <w:r w:rsidRPr="00412C58">
        <w:rPr>
          <w:lang w:val="fr-FR"/>
        </w:rPr>
        <w:t>uprême n</w:t>
      </w:r>
      <w:r>
        <w:rPr>
          <w:lang w:val="fr-FR"/>
        </w:rPr>
        <w:t>’</w:t>
      </w:r>
      <w:r w:rsidRPr="00412C58">
        <w:rPr>
          <w:lang w:val="fr-FR"/>
        </w:rPr>
        <w:t>a pas été saisie d</w:t>
      </w:r>
      <w:r>
        <w:rPr>
          <w:lang w:val="fr-FR"/>
        </w:rPr>
        <w:t>’</w:t>
      </w:r>
      <w:r w:rsidRPr="00412C58">
        <w:rPr>
          <w:lang w:val="fr-FR"/>
        </w:rPr>
        <w:t>un fait nouveau ou nouvellement révélé</w:t>
      </w:r>
      <w:r w:rsidRPr="00914591">
        <w:rPr>
          <w:rStyle w:val="Appelnotedebasdep"/>
        </w:rPr>
        <w:footnoteReference w:id="5"/>
      </w:r>
      <w:r>
        <w:rPr>
          <w:lang w:val="fr-FR"/>
        </w:rPr>
        <w:t>.</w:t>
      </w:r>
      <w:r w:rsidRPr="00412C58">
        <w:rPr>
          <w:lang w:val="fr-FR"/>
        </w:rPr>
        <w:t xml:space="preserve"> </w:t>
      </w:r>
      <w:r>
        <w:rPr>
          <w:lang w:val="fr-FR"/>
        </w:rPr>
        <w:t>Il</w:t>
      </w:r>
      <w:r w:rsidRPr="00412C58">
        <w:rPr>
          <w:lang w:val="fr-FR"/>
        </w:rPr>
        <w:t xml:space="preserve"> souligne que l</w:t>
      </w:r>
      <w:r>
        <w:rPr>
          <w:lang w:val="fr-FR"/>
        </w:rPr>
        <w:t>’</w:t>
      </w:r>
      <w:r w:rsidRPr="00412C58">
        <w:rPr>
          <w:lang w:val="fr-FR"/>
        </w:rPr>
        <w:t xml:space="preserve">arrêt de la </w:t>
      </w:r>
      <w:r>
        <w:rPr>
          <w:lang w:val="fr-FR"/>
        </w:rPr>
        <w:t>h</w:t>
      </w:r>
      <w:r w:rsidRPr="00412C58">
        <w:rPr>
          <w:lang w:val="fr-FR"/>
        </w:rPr>
        <w:t>aute juridiction révèle que ce sont les mêmes faits portés à l</w:t>
      </w:r>
      <w:r>
        <w:rPr>
          <w:lang w:val="fr-FR"/>
        </w:rPr>
        <w:t>’</w:t>
      </w:r>
      <w:r w:rsidRPr="00412C58">
        <w:rPr>
          <w:lang w:val="fr-FR"/>
        </w:rPr>
        <w:t>appréciation des premiers juges qui lui ont été soumis</w:t>
      </w:r>
      <w:r>
        <w:rPr>
          <w:lang w:val="fr-FR"/>
        </w:rPr>
        <w:t>,</w:t>
      </w:r>
      <w:r w:rsidRPr="00412C58">
        <w:rPr>
          <w:lang w:val="fr-FR"/>
        </w:rPr>
        <w:t xml:space="preserve"> et </w:t>
      </w:r>
      <w:r>
        <w:rPr>
          <w:lang w:val="fr-FR"/>
        </w:rPr>
        <w:t>que la Cour</w:t>
      </w:r>
      <w:r w:rsidRPr="00412C58">
        <w:rPr>
          <w:lang w:val="fr-FR"/>
        </w:rPr>
        <w:t xml:space="preserve"> a simplement eu une appréciation différente de celle des juges d</w:t>
      </w:r>
      <w:r>
        <w:rPr>
          <w:lang w:val="fr-FR"/>
        </w:rPr>
        <w:t>’</w:t>
      </w:r>
      <w:r w:rsidRPr="00412C58">
        <w:rPr>
          <w:lang w:val="fr-FR"/>
        </w:rPr>
        <w:t>appel qui avaient déclaré la culpabilité de l</w:t>
      </w:r>
      <w:r>
        <w:rPr>
          <w:lang w:val="fr-FR"/>
        </w:rPr>
        <w:t>’</w:t>
      </w:r>
      <w:r w:rsidRPr="00412C58">
        <w:rPr>
          <w:lang w:val="fr-FR"/>
        </w:rPr>
        <w:t>auteur. L</w:t>
      </w:r>
      <w:r>
        <w:rPr>
          <w:lang w:val="fr-FR"/>
        </w:rPr>
        <w:t>’É</w:t>
      </w:r>
      <w:r w:rsidRPr="00412C58">
        <w:rPr>
          <w:lang w:val="fr-FR"/>
        </w:rPr>
        <w:t xml:space="preserve">tat partie </w:t>
      </w:r>
      <w:r>
        <w:rPr>
          <w:lang w:val="fr-FR"/>
        </w:rPr>
        <w:t>ajoute</w:t>
      </w:r>
      <w:r w:rsidRPr="00412C58">
        <w:rPr>
          <w:lang w:val="fr-FR"/>
        </w:rPr>
        <w:t xml:space="preserve"> qu</w:t>
      </w:r>
      <w:r>
        <w:rPr>
          <w:lang w:val="fr-FR"/>
        </w:rPr>
        <w:t>’</w:t>
      </w:r>
      <w:r w:rsidRPr="00412C58">
        <w:rPr>
          <w:lang w:val="fr-FR"/>
        </w:rPr>
        <w:t>en l</w:t>
      </w:r>
      <w:r>
        <w:rPr>
          <w:lang w:val="fr-FR"/>
        </w:rPr>
        <w:t>’</w:t>
      </w:r>
      <w:r w:rsidRPr="00412C58">
        <w:rPr>
          <w:lang w:val="fr-FR"/>
        </w:rPr>
        <w:t>espèce, on ne peut pas non plus parler d</w:t>
      </w:r>
      <w:r>
        <w:rPr>
          <w:lang w:val="fr-FR"/>
        </w:rPr>
        <w:t>’</w:t>
      </w:r>
      <w:r w:rsidRPr="00412C58">
        <w:rPr>
          <w:lang w:val="fr-FR"/>
        </w:rPr>
        <w:t>erreur judiciaire dans la mesure où les recours ordinaires prévus par le Code de procédure pénale ont permis de statuer définitivement sur la situation de l</w:t>
      </w:r>
      <w:r>
        <w:rPr>
          <w:lang w:val="fr-FR"/>
        </w:rPr>
        <w:t>’</w:t>
      </w:r>
      <w:r w:rsidRPr="00412C58">
        <w:rPr>
          <w:lang w:val="fr-FR"/>
        </w:rPr>
        <w:t xml:space="preserve">auteur. </w:t>
      </w:r>
    </w:p>
    <w:p w14:paraId="587F2BC7" w14:textId="77777777" w:rsidR="00E83006" w:rsidRPr="00412C58" w:rsidRDefault="00E83006" w:rsidP="00ED242C">
      <w:pPr>
        <w:pStyle w:val="H23G"/>
      </w:pPr>
      <w:r w:rsidRPr="00412C58">
        <w:rPr>
          <w:lang w:val="fr-FR"/>
        </w:rPr>
        <w:tab/>
      </w:r>
      <w:r w:rsidRPr="00412C58">
        <w:rPr>
          <w:lang w:val="fr-FR"/>
        </w:rPr>
        <w:tab/>
        <w:t>Commentaires de l</w:t>
      </w:r>
      <w:r>
        <w:rPr>
          <w:lang w:val="fr-FR"/>
        </w:rPr>
        <w:t>’</w:t>
      </w:r>
      <w:r w:rsidRPr="00412C58">
        <w:rPr>
          <w:lang w:val="fr-FR"/>
        </w:rPr>
        <w:t>auteur sur les observations de l</w:t>
      </w:r>
      <w:r>
        <w:rPr>
          <w:lang w:val="fr-FR"/>
        </w:rPr>
        <w:t>’</w:t>
      </w:r>
      <w:r w:rsidRPr="00412C58">
        <w:rPr>
          <w:lang w:val="fr-FR"/>
        </w:rPr>
        <w:t>État partie</w:t>
      </w:r>
    </w:p>
    <w:p w14:paraId="21BF5014" w14:textId="5FCCC439" w:rsidR="00E83006" w:rsidRPr="00412C58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5.1</w:t>
      </w:r>
      <w:r w:rsidRPr="00412C58">
        <w:rPr>
          <w:lang w:val="fr-FR"/>
        </w:rPr>
        <w:tab/>
      </w:r>
      <w:r w:rsidRPr="00F27EEE">
        <w:rPr>
          <w:lang w:val="fr-FR"/>
        </w:rPr>
        <w:t xml:space="preserve">Dans sa soumission du </w:t>
      </w:r>
      <w:r w:rsidR="008618C7" w:rsidRPr="00F27EEE">
        <w:rPr>
          <w:lang w:val="fr-FR"/>
        </w:rPr>
        <w:t>14</w:t>
      </w:r>
      <w:r w:rsidR="008618C7">
        <w:rPr>
          <w:lang w:val="fr-FR"/>
        </w:rPr>
        <w:t> </w:t>
      </w:r>
      <w:r w:rsidRPr="00F27EEE">
        <w:rPr>
          <w:lang w:val="fr-FR"/>
        </w:rPr>
        <w:t>septembre 2015</w:t>
      </w:r>
      <w:r w:rsidRPr="00412C58">
        <w:rPr>
          <w:lang w:val="fr-FR"/>
        </w:rPr>
        <w:t>, l</w:t>
      </w:r>
      <w:r>
        <w:rPr>
          <w:lang w:val="fr-FR"/>
        </w:rPr>
        <w:t>’</w:t>
      </w:r>
      <w:r w:rsidRPr="00412C58">
        <w:rPr>
          <w:lang w:val="fr-FR"/>
        </w:rPr>
        <w:t>auteur fait valoir que</w:t>
      </w:r>
      <w:r>
        <w:rPr>
          <w:lang w:val="fr-FR"/>
        </w:rPr>
        <w:t>,</w:t>
      </w:r>
      <w:r w:rsidRPr="00412C58">
        <w:rPr>
          <w:lang w:val="fr-FR"/>
        </w:rPr>
        <w:t xml:space="preserve"> bien que </w:t>
      </w:r>
      <w:r w:rsidR="008618C7" w:rsidRPr="00412C58">
        <w:rPr>
          <w:lang w:val="fr-FR"/>
        </w:rPr>
        <w:t>l</w:t>
      </w:r>
      <w:r w:rsidR="008618C7">
        <w:rPr>
          <w:lang w:val="fr-FR"/>
        </w:rPr>
        <w:t>’</w:t>
      </w:r>
      <w:r w:rsidR="008618C7" w:rsidRPr="00412C58">
        <w:rPr>
          <w:lang w:val="fr-FR"/>
        </w:rPr>
        <w:t>article</w:t>
      </w:r>
      <w:r w:rsidR="008618C7">
        <w:rPr>
          <w:lang w:val="fr-FR"/>
        </w:rPr>
        <w:t> </w:t>
      </w:r>
      <w:r w:rsidRPr="00412C58">
        <w:rPr>
          <w:lang w:val="fr-FR"/>
        </w:rPr>
        <w:t xml:space="preserve">544 du Code de procédure pénale </w:t>
      </w:r>
      <w:r>
        <w:rPr>
          <w:lang w:val="fr-FR"/>
        </w:rPr>
        <w:t>soit le reflet en droit interne de</w:t>
      </w:r>
      <w:r w:rsidRPr="00412C58">
        <w:rPr>
          <w:lang w:val="fr-FR"/>
        </w:rPr>
        <w:t xml:space="preserve"> </w:t>
      </w:r>
      <w:r w:rsidR="008618C7" w:rsidRPr="00412C58">
        <w:rPr>
          <w:lang w:val="fr-FR"/>
        </w:rPr>
        <w:t>l</w:t>
      </w:r>
      <w:r w:rsidR="008618C7">
        <w:rPr>
          <w:lang w:val="fr-FR"/>
        </w:rPr>
        <w:t>’</w:t>
      </w:r>
      <w:r w:rsidR="008618C7" w:rsidRPr="00412C58">
        <w:rPr>
          <w:lang w:val="fr-FR"/>
        </w:rPr>
        <w:t>article</w:t>
      </w:r>
      <w:r w:rsidR="008618C7">
        <w:rPr>
          <w:lang w:val="fr-FR"/>
        </w:rPr>
        <w:t> </w:t>
      </w:r>
      <w:r w:rsidRPr="00412C58">
        <w:rPr>
          <w:lang w:val="fr-FR"/>
        </w:rPr>
        <w:t xml:space="preserve">14 </w:t>
      </w:r>
      <w:r>
        <w:rPr>
          <w:lang w:val="fr-FR"/>
        </w:rPr>
        <w:t>(par. </w:t>
      </w:r>
      <w:r w:rsidRPr="00412C58">
        <w:rPr>
          <w:lang w:val="fr-FR"/>
        </w:rPr>
        <w:t>6</w:t>
      </w:r>
      <w:r>
        <w:rPr>
          <w:lang w:val="fr-FR"/>
        </w:rPr>
        <w:t>)</w:t>
      </w:r>
      <w:r w:rsidRPr="00412C58">
        <w:rPr>
          <w:lang w:val="fr-FR"/>
        </w:rPr>
        <w:t xml:space="preserve"> du Pacte, cette disposition nationale va au-delà du champ des bénéficiaires du droit à l</w:t>
      </w:r>
      <w:r>
        <w:rPr>
          <w:lang w:val="fr-FR"/>
        </w:rPr>
        <w:t>’</w:t>
      </w:r>
      <w:r w:rsidRPr="00412C58">
        <w:rPr>
          <w:lang w:val="fr-FR"/>
        </w:rPr>
        <w:t xml:space="preserve">indemnisation. </w:t>
      </w:r>
      <w:r>
        <w:rPr>
          <w:lang w:val="fr-FR"/>
        </w:rPr>
        <w:t>Il</w:t>
      </w:r>
      <w:r w:rsidRPr="00412C58">
        <w:rPr>
          <w:lang w:val="fr-FR"/>
        </w:rPr>
        <w:t xml:space="preserve"> fait valoir également que </w:t>
      </w:r>
      <w:r w:rsidR="008618C7" w:rsidRPr="00412C58">
        <w:rPr>
          <w:lang w:val="fr-FR"/>
        </w:rPr>
        <w:t>l</w:t>
      </w:r>
      <w:r w:rsidR="008618C7">
        <w:rPr>
          <w:lang w:val="fr-FR"/>
        </w:rPr>
        <w:t>’</w:t>
      </w:r>
      <w:r w:rsidR="008618C7" w:rsidRPr="00412C58">
        <w:rPr>
          <w:lang w:val="fr-FR"/>
        </w:rPr>
        <w:t>article</w:t>
      </w:r>
      <w:r w:rsidR="008618C7">
        <w:rPr>
          <w:lang w:val="fr-FR"/>
        </w:rPr>
        <w:t> </w:t>
      </w:r>
      <w:r w:rsidRPr="00412C58">
        <w:rPr>
          <w:lang w:val="fr-FR"/>
        </w:rPr>
        <w:t>544 du Code de procédure pénale prévoit une indemnisation dans tous les cas de relaxe</w:t>
      </w:r>
      <w:r>
        <w:rPr>
          <w:lang w:val="fr-FR"/>
        </w:rPr>
        <w:t xml:space="preserve"> ou</w:t>
      </w:r>
      <w:r w:rsidRPr="00412C58">
        <w:rPr>
          <w:lang w:val="fr-FR"/>
        </w:rPr>
        <w:t xml:space="preserve"> d</w:t>
      </w:r>
      <w:r>
        <w:rPr>
          <w:lang w:val="fr-FR"/>
        </w:rPr>
        <w:t>’</w:t>
      </w:r>
      <w:r w:rsidRPr="00412C58">
        <w:rPr>
          <w:lang w:val="fr-FR"/>
        </w:rPr>
        <w:t>acquittement</w:t>
      </w:r>
      <w:r>
        <w:rPr>
          <w:lang w:val="fr-FR"/>
        </w:rPr>
        <w:t>,</w:t>
      </w:r>
      <w:r w:rsidRPr="00412C58">
        <w:rPr>
          <w:lang w:val="fr-FR"/>
        </w:rPr>
        <w:t xml:space="preserve"> même en l</w:t>
      </w:r>
      <w:r>
        <w:rPr>
          <w:lang w:val="fr-FR"/>
        </w:rPr>
        <w:t>’</w:t>
      </w:r>
      <w:r w:rsidRPr="00412C58">
        <w:rPr>
          <w:lang w:val="fr-FR"/>
        </w:rPr>
        <w:t>absence d</w:t>
      </w:r>
      <w:r>
        <w:rPr>
          <w:lang w:val="fr-FR"/>
        </w:rPr>
        <w:t>’</w:t>
      </w:r>
      <w:r w:rsidRPr="00412C58">
        <w:rPr>
          <w:lang w:val="fr-FR"/>
        </w:rPr>
        <w:t xml:space="preserve">un recours en révision. </w:t>
      </w:r>
    </w:p>
    <w:p w14:paraId="436FE07D" w14:textId="59FC7789" w:rsidR="00E83006" w:rsidRPr="00412C58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5.2</w:t>
      </w:r>
      <w:r w:rsidRPr="00412C58">
        <w:rPr>
          <w:lang w:val="fr-FR"/>
        </w:rPr>
        <w:tab/>
        <w:t>L</w:t>
      </w:r>
      <w:r>
        <w:rPr>
          <w:lang w:val="fr-FR"/>
        </w:rPr>
        <w:t>’</w:t>
      </w:r>
      <w:r w:rsidRPr="00412C58">
        <w:rPr>
          <w:lang w:val="fr-FR"/>
        </w:rPr>
        <w:t xml:space="preserve">auteur </w:t>
      </w:r>
      <w:r>
        <w:rPr>
          <w:lang w:val="fr-FR"/>
        </w:rPr>
        <w:t>affirme</w:t>
      </w:r>
      <w:r w:rsidRPr="00412C58">
        <w:rPr>
          <w:lang w:val="fr-FR"/>
        </w:rPr>
        <w:t xml:space="preserve"> que l</w:t>
      </w:r>
      <w:r>
        <w:rPr>
          <w:lang w:val="fr-FR"/>
        </w:rPr>
        <w:t>’É</w:t>
      </w:r>
      <w:r w:rsidRPr="00412C58">
        <w:rPr>
          <w:lang w:val="fr-FR"/>
        </w:rPr>
        <w:t>tat partie a adopté une lecture réductrice du Pacte et que le droit à l</w:t>
      </w:r>
      <w:r>
        <w:rPr>
          <w:lang w:val="fr-FR"/>
        </w:rPr>
        <w:t>’</w:t>
      </w:r>
      <w:r w:rsidRPr="00412C58">
        <w:rPr>
          <w:lang w:val="fr-FR"/>
        </w:rPr>
        <w:t xml:space="preserve">indemnisation est reconnu par la </w:t>
      </w:r>
      <w:r>
        <w:rPr>
          <w:lang w:val="fr-FR"/>
        </w:rPr>
        <w:t>législation</w:t>
      </w:r>
      <w:r w:rsidRPr="00412C58">
        <w:rPr>
          <w:lang w:val="fr-FR"/>
        </w:rPr>
        <w:t xml:space="preserve"> nationale. </w:t>
      </w:r>
      <w:r>
        <w:rPr>
          <w:lang w:val="fr-FR"/>
        </w:rPr>
        <w:t>Il</w:t>
      </w:r>
      <w:r w:rsidRPr="00412C58">
        <w:rPr>
          <w:lang w:val="fr-FR"/>
        </w:rPr>
        <w:t xml:space="preserve"> souligne que sa communication ne puise pas son fondement dans </w:t>
      </w:r>
      <w:r w:rsidR="008618C7" w:rsidRPr="00412C58">
        <w:rPr>
          <w:lang w:val="fr-FR"/>
        </w:rPr>
        <w:t>l</w:t>
      </w:r>
      <w:r w:rsidR="008618C7">
        <w:rPr>
          <w:lang w:val="fr-FR"/>
        </w:rPr>
        <w:t>’</w:t>
      </w:r>
      <w:r w:rsidR="008618C7" w:rsidRPr="00412C58">
        <w:rPr>
          <w:lang w:val="fr-FR"/>
        </w:rPr>
        <w:t>article</w:t>
      </w:r>
      <w:r w:rsidR="008618C7">
        <w:rPr>
          <w:lang w:val="fr-FR"/>
        </w:rPr>
        <w:t> </w:t>
      </w:r>
      <w:r w:rsidRPr="00412C58">
        <w:rPr>
          <w:lang w:val="fr-FR"/>
        </w:rPr>
        <w:t xml:space="preserve">14 </w:t>
      </w:r>
      <w:r>
        <w:rPr>
          <w:lang w:val="fr-FR"/>
        </w:rPr>
        <w:t>(par. </w:t>
      </w:r>
      <w:r w:rsidRPr="00412C58">
        <w:rPr>
          <w:lang w:val="fr-FR"/>
        </w:rPr>
        <w:t>6</w:t>
      </w:r>
      <w:r>
        <w:rPr>
          <w:lang w:val="fr-FR"/>
        </w:rPr>
        <w:t>)</w:t>
      </w:r>
      <w:r w:rsidRPr="00412C58">
        <w:rPr>
          <w:lang w:val="fr-FR"/>
        </w:rPr>
        <w:t xml:space="preserve"> du Pacte, mais bien </w:t>
      </w:r>
      <w:r>
        <w:rPr>
          <w:lang w:val="fr-FR"/>
        </w:rPr>
        <w:t>dans</w:t>
      </w:r>
      <w:r w:rsidRPr="00412C58">
        <w:rPr>
          <w:lang w:val="fr-FR"/>
        </w:rPr>
        <w:t xml:space="preserve"> </w:t>
      </w:r>
      <w:r w:rsidR="008618C7" w:rsidRPr="00412C58">
        <w:rPr>
          <w:lang w:val="fr-FR"/>
        </w:rPr>
        <w:t>l</w:t>
      </w:r>
      <w:r w:rsidR="008618C7">
        <w:rPr>
          <w:lang w:val="fr-FR"/>
        </w:rPr>
        <w:t>’</w:t>
      </w:r>
      <w:r w:rsidR="008618C7" w:rsidRPr="00412C58">
        <w:rPr>
          <w:lang w:val="fr-FR"/>
        </w:rPr>
        <w:t>article</w:t>
      </w:r>
      <w:r w:rsidR="008618C7">
        <w:rPr>
          <w:lang w:val="fr-FR"/>
        </w:rPr>
        <w:t> </w:t>
      </w:r>
      <w:r w:rsidRPr="00412C58">
        <w:rPr>
          <w:lang w:val="fr-FR"/>
        </w:rPr>
        <w:t xml:space="preserve">14 </w:t>
      </w:r>
      <w:r>
        <w:rPr>
          <w:lang w:val="fr-FR"/>
        </w:rPr>
        <w:t>(par. </w:t>
      </w:r>
      <w:r w:rsidRPr="00412C58">
        <w:rPr>
          <w:lang w:val="fr-FR"/>
        </w:rPr>
        <w:t>1</w:t>
      </w:r>
      <w:r>
        <w:rPr>
          <w:lang w:val="fr-FR"/>
        </w:rPr>
        <w:t>)</w:t>
      </w:r>
      <w:r w:rsidRPr="00412C58">
        <w:rPr>
          <w:lang w:val="fr-FR"/>
        </w:rPr>
        <w:t xml:space="preserve">. </w:t>
      </w:r>
      <w:r>
        <w:rPr>
          <w:lang w:val="fr-FR"/>
        </w:rPr>
        <w:t>À</w:t>
      </w:r>
      <w:r w:rsidRPr="00412C58">
        <w:rPr>
          <w:lang w:val="fr-FR"/>
        </w:rPr>
        <w:t xml:space="preserve"> cet égard, l</w:t>
      </w:r>
      <w:r>
        <w:rPr>
          <w:lang w:val="fr-FR"/>
        </w:rPr>
        <w:t>’</w:t>
      </w:r>
      <w:r w:rsidRPr="00412C58">
        <w:rPr>
          <w:lang w:val="fr-FR"/>
        </w:rPr>
        <w:t>auteur précise qu</w:t>
      </w:r>
      <w:r>
        <w:rPr>
          <w:lang w:val="fr-FR"/>
        </w:rPr>
        <w:t>’</w:t>
      </w:r>
      <w:r w:rsidRPr="00412C58">
        <w:rPr>
          <w:lang w:val="fr-FR"/>
        </w:rPr>
        <w:t>il n</w:t>
      </w:r>
      <w:r>
        <w:rPr>
          <w:lang w:val="fr-FR"/>
        </w:rPr>
        <w:t>’</w:t>
      </w:r>
      <w:r w:rsidRPr="00412C58">
        <w:rPr>
          <w:lang w:val="fr-FR"/>
        </w:rPr>
        <w:t>est pas en mesure d</w:t>
      </w:r>
      <w:r>
        <w:rPr>
          <w:lang w:val="fr-FR"/>
        </w:rPr>
        <w:t>’</w:t>
      </w:r>
      <w:r w:rsidRPr="00412C58">
        <w:rPr>
          <w:lang w:val="fr-FR"/>
        </w:rPr>
        <w:t>exercer son droit à l</w:t>
      </w:r>
      <w:r>
        <w:rPr>
          <w:lang w:val="fr-FR"/>
        </w:rPr>
        <w:t>’</w:t>
      </w:r>
      <w:r w:rsidRPr="00412C58">
        <w:rPr>
          <w:lang w:val="fr-FR"/>
        </w:rPr>
        <w:t xml:space="preserve">indemnisation </w:t>
      </w:r>
      <w:r>
        <w:rPr>
          <w:lang w:val="fr-FR"/>
        </w:rPr>
        <w:t>du</w:t>
      </w:r>
      <w:r w:rsidRPr="00412C58">
        <w:rPr>
          <w:lang w:val="fr-FR"/>
        </w:rPr>
        <w:t xml:space="preserve"> fait que l</w:t>
      </w:r>
      <w:r>
        <w:rPr>
          <w:lang w:val="fr-FR"/>
        </w:rPr>
        <w:t>’É</w:t>
      </w:r>
      <w:r w:rsidRPr="00412C58">
        <w:rPr>
          <w:lang w:val="fr-FR"/>
        </w:rPr>
        <w:t>tat partie n</w:t>
      </w:r>
      <w:r>
        <w:rPr>
          <w:lang w:val="fr-FR"/>
        </w:rPr>
        <w:t>’</w:t>
      </w:r>
      <w:r w:rsidRPr="00412C58">
        <w:rPr>
          <w:lang w:val="fr-FR"/>
        </w:rPr>
        <w:t xml:space="preserve">a pas mis en place la commission prévue à cet effet. En conséquence, </w:t>
      </w:r>
      <w:r>
        <w:rPr>
          <w:lang w:val="fr-FR"/>
        </w:rPr>
        <w:t>il</w:t>
      </w:r>
      <w:r w:rsidRPr="00412C58">
        <w:rPr>
          <w:lang w:val="fr-FR"/>
        </w:rPr>
        <w:t xml:space="preserve"> demande au Comité de déclarer la communication recevable. </w:t>
      </w:r>
    </w:p>
    <w:p w14:paraId="3603F15B" w14:textId="712392FB" w:rsidR="00E83006" w:rsidRPr="00412C58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5.3</w:t>
      </w:r>
      <w:r w:rsidRPr="00412C58">
        <w:rPr>
          <w:lang w:val="fr-FR"/>
        </w:rPr>
        <w:tab/>
        <w:t xml:space="preserve">Le </w:t>
      </w:r>
      <w:r w:rsidR="008618C7" w:rsidRPr="00412C58">
        <w:rPr>
          <w:lang w:val="fr-FR"/>
        </w:rPr>
        <w:t>30</w:t>
      </w:r>
      <w:r w:rsidR="008618C7">
        <w:rPr>
          <w:lang w:val="fr-FR"/>
        </w:rPr>
        <w:t> </w:t>
      </w:r>
      <w:r w:rsidRPr="00412C58">
        <w:rPr>
          <w:lang w:val="fr-FR"/>
        </w:rPr>
        <w:t>novembre 2016, l</w:t>
      </w:r>
      <w:r>
        <w:rPr>
          <w:lang w:val="fr-FR"/>
        </w:rPr>
        <w:t>’</w:t>
      </w:r>
      <w:r w:rsidRPr="00412C58">
        <w:rPr>
          <w:lang w:val="fr-FR"/>
        </w:rPr>
        <w:t xml:space="preserve">auteur a soumis au Comité des informations additionnelles </w:t>
      </w:r>
      <w:r>
        <w:rPr>
          <w:lang w:val="fr-FR"/>
        </w:rPr>
        <w:t>selon lesquelles</w:t>
      </w:r>
      <w:r w:rsidRPr="00412C58">
        <w:rPr>
          <w:lang w:val="fr-FR"/>
        </w:rPr>
        <w:t xml:space="preserve"> la Commission nationale des droits de l</w:t>
      </w:r>
      <w:r>
        <w:rPr>
          <w:lang w:val="fr-FR"/>
        </w:rPr>
        <w:t>’</w:t>
      </w:r>
      <w:r w:rsidRPr="00412C58">
        <w:rPr>
          <w:lang w:val="fr-FR"/>
        </w:rPr>
        <w:t>homme et des libertés l</w:t>
      </w:r>
      <w:r>
        <w:rPr>
          <w:lang w:val="fr-FR"/>
        </w:rPr>
        <w:t>’</w:t>
      </w:r>
      <w:r w:rsidRPr="00412C58">
        <w:rPr>
          <w:lang w:val="fr-FR"/>
        </w:rPr>
        <w:t>a</w:t>
      </w:r>
      <w:r>
        <w:rPr>
          <w:lang w:val="fr-FR"/>
        </w:rPr>
        <w:t>vait</w:t>
      </w:r>
      <w:r w:rsidRPr="00412C58">
        <w:rPr>
          <w:lang w:val="fr-FR"/>
        </w:rPr>
        <w:t xml:space="preserve"> informé que le Président de la Cour </w:t>
      </w:r>
      <w:r>
        <w:rPr>
          <w:lang w:val="fr-FR"/>
        </w:rPr>
        <w:t>s</w:t>
      </w:r>
      <w:r w:rsidRPr="00412C58">
        <w:rPr>
          <w:lang w:val="fr-FR"/>
        </w:rPr>
        <w:t>uprême a</w:t>
      </w:r>
      <w:r>
        <w:rPr>
          <w:lang w:val="fr-FR"/>
        </w:rPr>
        <w:t>vait</w:t>
      </w:r>
      <w:r w:rsidRPr="00412C58">
        <w:rPr>
          <w:lang w:val="fr-FR"/>
        </w:rPr>
        <w:t xml:space="preserve"> pris l</w:t>
      </w:r>
      <w:r>
        <w:rPr>
          <w:lang w:val="fr-FR"/>
        </w:rPr>
        <w:t>’o</w:t>
      </w:r>
      <w:r w:rsidRPr="00412C58">
        <w:rPr>
          <w:lang w:val="fr-FR"/>
        </w:rPr>
        <w:t>rdonnance n</w:t>
      </w:r>
      <w:r w:rsidR="008618C7" w:rsidRPr="00ED242C">
        <w:rPr>
          <w:vertAlign w:val="superscript"/>
          <w:lang w:val="fr-FR"/>
        </w:rPr>
        <w:t>o</w:t>
      </w:r>
      <w:r w:rsidR="008618C7">
        <w:rPr>
          <w:lang w:val="fr-FR"/>
        </w:rPr>
        <w:t> </w:t>
      </w:r>
      <w:r w:rsidRPr="00412C58">
        <w:rPr>
          <w:lang w:val="fr-FR"/>
        </w:rPr>
        <w:t>115</w:t>
      </w:r>
      <w:r>
        <w:rPr>
          <w:lang w:val="fr-FR"/>
        </w:rPr>
        <w:t>,</w:t>
      </w:r>
      <w:r w:rsidRPr="00412C58">
        <w:rPr>
          <w:lang w:val="fr-FR"/>
        </w:rPr>
        <w:t xml:space="preserve"> rendue le </w:t>
      </w:r>
      <w:r w:rsidR="008618C7" w:rsidRPr="00412C58">
        <w:rPr>
          <w:lang w:val="fr-FR"/>
        </w:rPr>
        <w:t>16</w:t>
      </w:r>
      <w:r w:rsidR="008618C7">
        <w:rPr>
          <w:lang w:val="fr-FR"/>
        </w:rPr>
        <w:t> </w:t>
      </w:r>
      <w:r w:rsidRPr="00412C58">
        <w:rPr>
          <w:lang w:val="fr-FR"/>
        </w:rPr>
        <w:t xml:space="preserve">février 2016, portant constatation de la composition et de la mise en place effective de la </w:t>
      </w:r>
      <w:r>
        <w:rPr>
          <w:lang w:val="fr-FR"/>
        </w:rPr>
        <w:t>c</w:t>
      </w:r>
      <w:r w:rsidRPr="00412C58">
        <w:rPr>
          <w:lang w:val="fr-FR"/>
        </w:rPr>
        <w:t>ommission d</w:t>
      </w:r>
      <w:r>
        <w:rPr>
          <w:lang w:val="fr-FR"/>
        </w:rPr>
        <w:t>’</w:t>
      </w:r>
      <w:r w:rsidRPr="00412C58">
        <w:rPr>
          <w:lang w:val="fr-FR"/>
        </w:rPr>
        <w:t>indemnisation. L</w:t>
      </w:r>
      <w:r>
        <w:rPr>
          <w:lang w:val="fr-FR"/>
        </w:rPr>
        <w:t>’</w:t>
      </w:r>
      <w:r w:rsidRPr="00412C58">
        <w:rPr>
          <w:lang w:val="fr-FR"/>
        </w:rPr>
        <w:t xml:space="preserve">auteur rappelle que ladite commission est par essence une structure purement administrative et ne peut être considérée comme une émanation de la Cour </w:t>
      </w:r>
      <w:r>
        <w:rPr>
          <w:lang w:val="fr-FR"/>
        </w:rPr>
        <w:t>s</w:t>
      </w:r>
      <w:r w:rsidRPr="00412C58">
        <w:rPr>
          <w:lang w:val="fr-FR"/>
        </w:rPr>
        <w:t>uprême. L</w:t>
      </w:r>
      <w:r>
        <w:rPr>
          <w:lang w:val="fr-FR"/>
        </w:rPr>
        <w:t>’</w:t>
      </w:r>
      <w:r w:rsidRPr="00412C58">
        <w:rPr>
          <w:lang w:val="fr-FR"/>
        </w:rPr>
        <w:t xml:space="preserve">auteur </w:t>
      </w:r>
      <w:r>
        <w:rPr>
          <w:lang w:val="fr-FR"/>
        </w:rPr>
        <w:t>affirme</w:t>
      </w:r>
      <w:r w:rsidRPr="00412C58">
        <w:rPr>
          <w:lang w:val="fr-FR"/>
        </w:rPr>
        <w:t xml:space="preserve"> que, malgré </w:t>
      </w:r>
      <w:r>
        <w:rPr>
          <w:lang w:val="fr-FR"/>
        </w:rPr>
        <w:t xml:space="preserve">cette </w:t>
      </w:r>
      <w:r w:rsidRPr="00412C58">
        <w:rPr>
          <w:lang w:val="fr-FR"/>
        </w:rPr>
        <w:t xml:space="preserve">ordonnance, la </w:t>
      </w:r>
      <w:r>
        <w:rPr>
          <w:lang w:val="fr-FR"/>
        </w:rPr>
        <w:t>c</w:t>
      </w:r>
      <w:r w:rsidRPr="00412C58">
        <w:rPr>
          <w:lang w:val="fr-FR"/>
        </w:rPr>
        <w:t>ommission d</w:t>
      </w:r>
      <w:r>
        <w:rPr>
          <w:lang w:val="fr-FR"/>
        </w:rPr>
        <w:t>’</w:t>
      </w:r>
      <w:r w:rsidRPr="00412C58">
        <w:rPr>
          <w:lang w:val="fr-FR"/>
        </w:rPr>
        <w:t xml:space="preserve">indemnisation </w:t>
      </w:r>
      <w:r>
        <w:rPr>
          <w:lang w:val="fr-FR"/>
        </w:rPr>
        <w:t>n’est pas opérationnelle</w:t>
      </w:r>
      <w:r w:rsidRPr="00412C58">
        <w:rPr>
          <w:lang w:val="fr-FR"/>
        </w:rPr>
        <w:t xml:space="preserve">. </w:t>
      </w:r>
      <w:r>
        <w:rPr>
          <w:lang w:val="fr-FR"/>
        </w:rPr>
        <w:t>Il</w:t>
      </w:r>
      <w:r w:rsidRPr="00412C58">
        <w:rPr>
          <w:lang w:val="fr-FR"/>
        </w:rPr>
        <w:t xml:space="preserve"> ajoute qu</w:t>
      </w:r>
      <w:r>
        <w:rPr>
          <w:lang w:val="fr-FR"/>
        </w:rPr>
        <w:t>’ell</w:t>
      </w:r>
      <w:r w:rsidRPr="00412C58">
        <w:rPr>
          <w:lang w:val="fr-FR"/>
        </w:rPr>
        <w:t>e reste inconnue du grand public et que son siège n</w:t>
      </w:r>
      <w:r>
        <w:rPr>
          <w:lang w:val="fr-FR"/>
        </w:rPr>
        <w:t>’</w:t>
      </w:r>
      <w:r w:rsidRPr="00412C58">
        <w:rPr>
          <w:lang w:val="fr-FR"/>
        </w:rPr>
        <w:t xml:space="preserve">a pas été fixé. </w:t>
      </w:r>
      <w:r>
        <w:rPr>
          <w:lang w:val="fr-FR"/>
        </w:rPr>
        <w:t>Il indique en outre ne pas être</w:t>
      </w:r>
      <w:r w:rsidRPr="00412C58">
        <w:rPr>
          <w:lang w:val="fr-FR"/>
        </w:rPr>
        <w:t xml:space="preserve"> concerné par cette commission d</w:t>
      </w:r>
      <w:r>
        <w:rPr>
          <w:lang w:val="fr-FR"/>
        </w:rPr>
        <w:t>’</w:t>
      </w:r>
      <w:r w:rsidRPr="00412C58">
        <w:rPr>
          <w:lang w:val="fr-FR"/>
        </w:rPr>
        <w:t>indemnisation créée en février 2016</w:t>
      </w:r>
      <w:r>
        <w:rPr>
          <w:lang w:val="fr-FR"/>
        </w:rPr>
        <w:t xml:space="preserve"> seulement,</w:t>
      </w:r>
      <w:r w:rsidRPr="00412C58">
        <w:rPr>
          <w:lang w:val="fr-FR"/>
        </w:rPr>
        <w:t xml:space="preserve"> alors que </w:t>
      </w:r>
      <w:r w:rsidR="008618C7" w:rsidRPr="00412C58">
        <w:rPr>
          <w:lang w:val="fr-FR"/>
        </w:rPr>
        <w:t>l</w:t>
      </w:r>
      <w:r w:rsidR="008618C7">
        <w:rPr>
          <w:lang w:val="fr-FR"/>
        </w:rPr>
        <w:t>’</w:t>
      </w:r>
      <w:r w:rsidR="008618C7" w:rsidRPr="00412C58">
        <w:rPr>
          <w:lang w:val="fr-FR"/>
        </w:rPr>
        <w:t>article</w:t>
      </w:r>
      <w:r w:rsidR="008618C7">
        <w:rPr>
          <w:lang w:val="fr-FR"/>
        </w:rPr>
        <w:t> </w:t>
      </w:r>
      <w:r w:rsidRPr="00412C58">
        <w:rPr>
          <w:lang w:val="fr-FR"/>
        </w:rPr>
        <w:t xml:space="preserve">237 </w:t>
      </w:r>
      <w:r>
        <w:rPr>
          <w:lang w:val="fr-FR"/>
        </w:rPr>
        <w:t>(par. </w:t>
      </w:r>
      <w:r w:rsidRPr="00412C58">
        <w:rPr>
          <w:lang w:val="fr-FR"/>
        </w:rPr>
        <w:t>6</w:t>
      </w:r>
      <w:r>
        <w:rPr>
          <w:lang w:val="fr-FR"/>
        </w:rPr>
        <w:t>)</w:t>
      </w:r>
      <w:r w:rsidRPr="00412C58">
        <w:rPr>
          <w:lang w:val="fr-FR"/>
        </w:rPr>
        <w:t xml:space="preserve"> du Code de procédure pénale </w:t>
      </w:r>
      <w:r w:rsidRPr="00412C58">
        <w:rPr>
          <w:lang w:val="fr-FR"/>
        </w:rPr>
        <w:lastRenderedPageBreak/>
        <w:t>lui donnait un délai de six mois pour la saisir. L</w:t>
      </w:r>
      <w:r>
        <w:rPr>
          <w:lang w:val="fr-FR"/>
        </w:rPr>
        <w:t>’</w:t>
      </w:r>
      <w:r w:rsidRPr="00412C58">
        <w:rPr>
          <w:lang w:val="fr-FR"/>
        </w:rPr>
        <w:t xml:space="preserve">auteur </w:t>
      </w:r>
      <w:r>
        <w:rPr>
          <w:lang w:val="fr-FR"/>
        </w:rPr>
        <w:t>affirme</w:t>
      </w:r>
      <w:r w:rsidRPr="00412C58">
        <w:rPr>
          <w:lang w:val="fr-FR"/>
        </w:rPr>
        <w:t xml:space="preserve"> dès lors que la saisine du Comité est devenue irrévocable. </w:t>
      </w:r>
    </w:p>
    <w:p w14:paraId="504EF0A5" w14:textId="4D65A21A" w:rsidR="00E83006" w:rsidRPr="00412C58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5.4</w:t>
      </w:r>
      <w:r w:rsidRPr="00412C58">
        <w:rPr>
          <w:lang w:val="fr-FR"/>
        </w:rPr>
        <w:tab/>
        <w:t>L</w:t>
      </w:r>
      <w:r>
        <w:rPr>
          <w:lang w:val="fr-FR"/>
        </w:rPr>
        <w:t>’</w:t>
      </w:r>
      <w:r w:rsidRPr="00412C58">
        <w:rPr>
          <w:lang w:val="fr-FR"/>
        </w:rPr>
        <w:t>auteur soutient par ailleurs que l</w:t>
      </w:r>
      <w:r>
        <w:rPr>
          <w:lang w:val="fr-FR"/>
        </w:rPr>
        <w:t>’</w:t>
      </w:r>
      <w:r w:rsidRPr="00412C58">
        <w:rPr>
          <w:lang w:val="fr-FR"/>
        </w:rPr>
        <w:t>État partie raisonne comme si c</w:t>
      </w:r>
      <w:r>
        <w:rPr>
          <w:lang w:val="fr-FR"/>
        </w:rPr>
        <w:t>’</w:t>
      </w:r>
      <w:r w:rsidRPr="00412C58">
        <w:rPr>
          <w:lang w:val="fr-FR"/>
        </w:rPr>
        <w:t>était le droit à l</w:t>
      </w:r>
      <w:r>
        <w:rPr>
          <w:lang w:val="fr-FR"/>
        </w:rPr>
        <w:t>’</w:t>
      </w:r>
      <w:r w:rsidRPr="00412C58">
        <w:rPr>
          <w:lang w:val="fr-FR"/>
        </w:rPr>
        <w:t>indemnisation qui posait problème, alors que ce droit est clairement reconnu dans la législation nationale. L</w:t>
      </w:r>
      <w:r>
        <w:rPr>
          <w:lang w:val="fr-FR"/>
        </w:rPr>
        <w:t>’</w:t>
      </w:r>
      <w:r w:rsidRPr="00412C58">
        <w:rPr>
          <w:lang w:val="fr-FR"/>
        </w:rPr>
        <w:t>auteur considère que c</w:t>
      </w:r>
      <w:r>
        <w:rPr>
          <w:lang w:val="fr-FR"/>
        </w:rPr>
        <w:t>’</w:t>
      </w:r>
      <w:r w:rsidRPr="00412C58">
        <w:rPr>
          <w:lang w:val="fr-FR"/>
        </w:rPr>
        <w:t>est en réalité le problème de l</w:t>
      </w:r>
      <w:r>
        <w:rPr>
          <w:lang w:val="fr-FR"/>
        </w:rPr>
        <w:t>’</w:t>
      </w:r>
      <w:r w:rsidRPr="00412C58">
        <w:rPr>
          <w:lang w:val="fr-FR"/>
        </w:rPr>
        <w:t>exercice de ce droit qui se pose</w:t>
      </w:r>
      <w:r>
        <w:rPr>
          <w:lang w:val="fr-FR"/>
        </w:rPr>
        <w:t>,</w:t>
      </w:r>
      <w:r w:rsidRPr="00412C58">
        <w:rPr>
          <w:lang w:val="fr-FR"/>
        </w:rPr>
        <w:t xml:space="preserve"> dans la mesure où l</w:t>
      </w:r>
      <w:r>
        <w:rPr>
          <w:lang w:val="fr-FR"/>
        </w:rPr>
        <w:t>’É</w:t>
      </w:r>
      <w:r w:rsidRPr="00412C58">
        <w:rPr>
          <w:lang w:val="fr-FR"/>
        </w:rPr>
        <w:t xml:space="preserve">tat </w:t>
      </w:r>
      <w:r>
        <w:rPr>
          <w:lang w:val="fr-FR"/>
        </w:rPr>
        <w:t>partie</w:t>
      </w:r>
      <w:r w:rsidRPr="00412C58">
        <w:rPr>
          <w:lang w:val="fr-FR"/>
        </w:rPr>
        <w:t xml:space="preserve"> n</w:t>
      </w:r>
      <w:r>
        <w:rPr>
          <w:lang w:val="fr-FR"/>
        </w:rPr>
        <w:t>’</w:t>
      </w:r>
      <w:r w:rsidRPr="00412C58">
        <w:rPr>
          <w:lang w:val="fr-FR"/>
        </w:rPr>
        <w:t>a pas mis en place la commission devant examiner sa demande de réparation. L</w:t>
      </w:r>
      <w:r>
        <w:rPr>
          <w:lang w:val="fr-FR"/>
        </w:rPr>
        <w:t>’</w:t>
      </w:r>
      <w:r w:rsidRPr="00412C58">
        <w:rPr>
          <w:lang w:val="fr-FR"/>
        </w:rPr>
        <w:t>auteur réitère que la base de la saisine du Comité n</w:t>
      </w:r>
      <w:r>
        <w:rPr>
          <w:lang w:val="fr-FR"/>
        </w:rPr>
        <w:t>’</w:t>
      </w:r>
      <w:r w:rsidRPr="00412C58">
        <w:rPr>
          <w:lang w:val="fr-FR"/>
        </w:rPr>
        <w:t xml:space="preserve">est pas </w:t>
      </w:r>
      <w:r w:rsidR="009624DB" w:rsidRPr="00412C58">
        <w:rPr>
          <w:lang w:val="fr-FR"/>
        </w:rPr>
        <w:t>l</w:t>
      </w:r>
      <w:r w:rsidR="009624DB">
        <w:rPr>
          <w:lang w:val="fr-FR"/>
        </w:rPr>
        <w:t>’</w:t>
      </w:r>
      <w:r w:rsidR="009624DB" w:rsidRPr="00412C58">
        <w:rPr>
          <w:lang w:val="fr-FR"/>
        </w:rPr>
        <w:t>article</w:t>
      </w:r>
      <w:r w:rsidR="009624DB">
        <w:rPr>
          <w:lang w:val="fr-FR"/>
        </w:rPr>
        <w:t> </w:t>
      </w:r>
      <w:r w:rsidRPr="00412C58">
        <w:rPr>
          <w:lang w:val="fr-FR"/>
        </w:rPr>
        <w:t xml:space="preserve">14 </w:t>
      </w:r>
      <w:r>
        <w:rPr>
          <w:lang w:val="fr-FR"/>
        </w:rPr>
        <w:t>(par. </w:t>
      </w:r>
      <w:r w:rsidRPr="00412C58">
        <w:rPr>
          <w:lang w:val="fr-FR"/>
        </w:rPr>
        <w:t>6</w:t>
      </w:r>
      <w:r>
        <w:rPr>
          <w:lang w:val="fr-FR"/>
        </w:rPr>
        <w:t>)</w:t>
      </w:r>
      <w:r w:rsidRPr="00412C58">
        <w:rPr>
          <w:lang w:val="fr-FR"/>
        </w:rPr>
        <w:t xml:space="preserve"> du Pacte, mais bien </w:t>
      </w:r>
      <w:r w:rsidR="009624DB" w:rsidRPr="00412C58">
        <w:rPr>
          <w:lang w:val="fr-FR"/>
        </w:rPr>
        <w:t>l</w:t>
      </w:r>
      <w:r w:rsidR="009624DB">
        <w:rPr>
          <w:lang w:val="fr-FR"/>
        </w:rPr>
        <w:t>’</w:t>
      </w:r>
      <w:r w:rsidR="009624DB" w:rsidRPr="00412C58">
        <w:rPr>
          <w:lang w:val="fr-FR"/>
        </w:rPr>
        <w:t>article</w:t>
      </w:r>
      <w:r w:rsidR="009624DB">
        <w:rPr>
          <w:lang w:val="fr-FR"/>
        </w:rPr>
        <w:t> </w:t>
      </w:r>
      <w:r w:rsidRPr="00412C58">
        <w:rPr>
          <w:lang w:val="fr-FR"/>
        </w:rPr>
        <w:t xml:space="preserve">14 </w:t>
      </w:r>
      <w:r>
        <w:rPr>
          <w:lang w:val="fr-FR"/>
        </w:rPr>
        <w:t>(par. </w:t>
      </w:r>
      <w:r w:rsidRPr="00412C58">
        <w:rPr>
          <w:lang w:val="fr-FR"/>
        </w:rPr>
        <w:t>1</w:t>
      </w:r>
      <w:r>
        <w:rPr>
          <w:lang w:val="fr-FR"/>
        </w:rPr>
        <w:t>)</w:t>
      </w:r>
      <w:r w:rsidRPr="00412C58">
        <w:rPr>
          <w:lang w:val="fr-FR"/>
        </w:rPr>
        <w:t>. L</w:t>
      </w:r>
      <w:r>
        <w:rPr>
          <w:lang w:val="fr-FR"/>
        </w:rPr>
        <w:t>’</w:t>
      </w:r>
      <w:r w:rsidRPr="00412C58">
        <w:rPr>
          <w:lang w:val="fr-FR"/>
        </w:rPr>
        <w:t>auteur demande au Comité de déclarer la communication recevable et de l</w:t>
      </w:r>
      <w:r>
        <w:rPr>
          <w:lang w:val="fr-FR"/>
        </w:rPr>
        <w:t>’</w:t>
      </w:r>
      <w:r w:rsidRPr="00412C58">
        <w:rPr>
          <w:lang w:val="fr-FR"/>
        </w:rPr>
        <w:t>examiner au fond.</w:t>
      </w:r>
    </w:p>
    <w:p w14:paraId="7F72D9CE" w14:textId="77777777" w:rsidR="00E83006" w:rsidRPr="00412C58" w:rsidRDefault="00E83006" w:rsidP="00ED242C">
      <w:pPr>
        <w:pStyle w:val="H23G"/>
      </w:pPr>
      <w:r w:rsidRPr="00412C58">
        <w:rPr>
          <w:lang w:val="fr-FR"/>
        </w:rPr>
        <w:tab/>
      </w:r>
      <w:r w:rsidRPr="00412C58">
        <w:rPr>
          <w:lang w:val="fr-FR"/>
        </w:rPr>
        <w:tab/>
        <w:t xml:space="preserve">Observations </w:t>
      </w:r>
      <w:r>
        <w:rPr>
          <w:lang w:val="fr-FR"/>
        </w:rPr>
        <w:t xml:space="preserve">complémentaires </w:t>
      </w:r>
      <w:r w:rsidRPr="00412C58">
        <w:rPr>
          <w:lang w:val="fr-FR"/>
        </w:rPr>
        <w:t>de l</w:t>
      </w:r>
      <w:r>
        <w:rPr>
          <w:lang w:val="fr-FR"/>
        </w:rPr>
        <w:t>’</w:t>
      </w:r>
      <w:r w:rsidRPr="00412C58">
        <w:rPr>
          <w:lang w:val="fr-FR"/>
        </w:rPr>
        <w:t xml:space="preserve">État partie sur la recevabilité et le fond </w:t>
      </w:r>
    </w:p>
    <w:p w14:paraId="741ABB4E" w14:textId="4F088C65" w:rsidR="00E83006" w:rsidRPr="00412C58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6.1</w:t>
      </w:r>
      <w:r w:rsidRPr="00412C58">
        <w:rPr>
          <w:lang w:val="fr-FR"/>
        </w:rPr>
        <w:tab/>
        <w:t xml:space="preserve">Dans ses observations du </w:t>
      </w:r>
      <w:r w:rsidR="009624DB" w:rsidRPr="00412C58">
        <w:rPr>
          <w:lang w:val="fr-FR"/>
        </w:rPr>
        <w:t>3</w:t>
      </w:r>
      <w:r w:rsidR="009624DB">
        <w:rPr>
          <w:lang w:val="fr-FR"/>
        </w:rPr>
        <w:t> </w:t>
      </w:r>
      <w:r w:rsidRPr="00412C58">
        <w:rPr>
          <w:lang w:val="fr-FR"/>
        </w:rPr>
        <w:t>avril 2017, l</w:t>
      </w:r>
      <w:r>
        <w:rPr>
          <w:lang w:val="fr-FR"/>
        </w:rPr>
        <w:t>’É</w:t>
      </w:r>
      <w:r w:rsidRPr="00412C58">
        <w:rPr>
          <w:lang w:val="fr-FR"/>
        </w:rPr>
        <w:t>tat partie souligne que l</w:t>
      </w:r>
      <w:r>
        <w:rPr>
          <w:lang w:val="fr-FR"/>
        </w:rPr>
        <w:t>’</w:t>
      </w:r>
      <w:r w:rsidRPr="00412C58">
        <w:rPr>
          <w:lang w:val="fr-FR"/>
        </w:rPr>
        <w:t>auteur a justifié les raisons pour lesquelles il n</w:t>
      </w:r>
      <w:r>
        <w:rPr>
          <w:lang w:val="fr-FR"/>
        </w:rPr>
        <w:t>’</w:t>
      </w:r>
      <w:r w:rsidRPr="00412C58">
        <w:rPr>
          <w:lang w:val="fr-FR"/>
        </w:rPr>
        <w:t>a</w:t>
      </w:r>
      <w:r>
        <w:rPr>
          <w:lang w:val="fr-FR"/>
        </w:rPr>
        <w:t>vait</w:t>
      </w:r>
      <w:r w:rsidRPr="00412C58">
        <w:rPr>
          <w:lang w:val="fr-FR"/>
        </w:rPr>
        <w:t xml:space="preserve"> pas saisi la commission</w:t>
      </w:r>
      <w:r>
        <w:rPr>
          <w:lang w:val="fr-FR"/>
        </w:rPr>
        <w:t xml:space="preserve"> d’indemnisation</w:t>
      </w:r>
      <w:r w:rsidRPr="00412C58">
        <w:rPr>
          <w:lang w:val="fr-FR"/>
        </w:rPr>
        <w:t xml:space="preserve">, notamment son caractère purement administratif </w:t>
      </w:r>
      <w:r>
        <w:rPr>
          <w:lang w:val="fr-FR"/>
        </w:rPr>
        <w:t>et non opérationnel</w:t>
      </w:r>
      <w:r w:rsidRPr="00412C58">
        <w:rPr>
          <w:lang w:val="fr-FR"/>
        </w:rPr>
        <w:t>, l</w:t>
      </w:r>
      <w:r>
        <w:rPr>
          <w:lang w:val="fr-FR"/>
        </w:rPr>
        <w:t>’</w:t>
      </w:r>
      <w:r w:rsidRPr="00412C58">
        <w:rPr>
          <w:lang w:val="fr-FR"/>
        </w:rPr>
        <w:t xml:space="preserve">absence de publication de la </w:t>
      </w:r>
      <w:r>
        <w:rPr>
          <w:lang w:val="fr-FR"/>
        </w:rPr>
        <w:t>d</w:t>
      </w:r>
      <w:r w:rsidRPr="00412C58">
        <w:rPr>
          <w:lang w:val="fr-FR"/>
        </w:rPr>
        <w:t xml:space="preserve">écision de création de cette </w:t>
      </w:r>
      <w:r>
        <w:rPr>
          <w:lang w:val="fr-FR"/>
        </w:rPr>
        <w:t>c</w:t>
      </w:r>
      <w:r w:rsidRPr="00412C58">
        <w:rPr>
          <w:lang w:val="fr-FR"/>
        </w:rPr>
        <w:t>ommission et l</w:t>
      </w:r>
      <w:r>
        <w:rPr>
          <w:lang w:val="fr-FR"/>
        </w:rPr>
        <w:t>’</w:t>
      </w:r>
      <w:r w:rsidRPr="00412C58">
        <w:rPr>
          <w:lang w:val="fr-FR"/>
        </w:rPr>
        <w:t xml:space="preserve">absence de siège reconnu. </w:t>
      </w:r>
    </w:p>
    <w:p w14:paraId="409088C3" w14:textId="15FEED70" w:rsidR="00E83006" w:rsidRPr="00412C58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6.2</w:t>
      </w:r>
      <w:r w:rsidRPr="00412C58">
        <w:rPr>
          <w:lang w:val="fr-FR"/>
        </w:rPr>
        <w:tab/>
        <w:t>L</w:t>
      </w:r>
      <w:r>
        <w:rPr>
          <w:lang w:val="fr-FR"/>
        </w:rPr>
        <w:t>’É</w:t>
      </w:r>
      <w:r w:rsidRPr="00412C58">
        <w:rPr>
          <w:lang w:val="fr-FR"/>
        </w:rPr>
        <w:t xml:space="preserve">tat partie rappelle que </w:t>
      </w:r>
      <w:r>
        <w:rPr>
          <w:lang w:val="fr-FR"/>
        </w:rPr>
        <w:t xml:space="preserve">par </w:t>
      </w:r>
      <w:r w:rsidRPr="00412C58">
        <w:rPr>
          <w:lang w:val="fr-FR"/>
        </w:rPr>
        <w:t xml:space="preserve">suite </w:t>
      </w:r>
      <w:r>
        <w:rPr>
          <w:lang w:val="fr-FR"/>
        </w:rPr>
        <w:t>de</w:t>
      </w:r>
      <w:r w:rsidRPr="00412C58">
        <w:rPr>
          <w:lang w:val="fr-FR"/>
        </w:rPr>
        <w:t xml:space="preserve"> l</w:t>
      </w:r>
      <w:r>
        <w:rPr>
          <w:lang w:val="fr-FR"/>
        </w:rPr>
        <w:t>’</w:t>
      </w:r>
      <w:r w:rsidRPr="00412C58">
        <w:rPr>
          <w:lang w:val="fr-FR"/>
        </w:rPr>
        <w:t>acquittement de l</w:t>
      </w:r>
      <w:r>
        <w:rPr>
          <w:lang w:val="fr-FR"/>
        </w:rPr>
        <w:t>’</w:t>
      </w:r>
      <w:r w:rsidRPr="00412C58">
        <w:rPr>
          <w:lang w:val="fr-FR"/>
        </w:rPr>
        <w:t>auteur, ce dernier a saisi le Président de la Commission nationale des droits de l</w:t>
      </w:r>
      <w:r>
        <w:rPr>
          <w:lang w:val="fr-FR"/>
        </w:rPr>
        <w:t>’</w:t>
      </w:r>
      <w:r w:rsidRPr="00412C58">
        <w:rPr>
          <w:lang w:val="fr-FR"/>
        </w:rPr>
        <w:t>homme et des libertés concernant l</w:t>
      </w:r>
      <w:r>
        <w:rPr>
          <w:lang w:val="fr-FR"/>
        </w:rPr>
        <w:t>’</w:t>
      </w:r>
      <w:r w:rsidRPr="00412C58">
        <w:rPr>
          <w:lang w:val="fr-FR"/>
        </w:rPr>
        <w:t>impossibilité d</w:t>
      </w:r>
      <w:r>
        <w:rPr>
          <w:lang w:val="fr-FR"/>
        </w:rPr>
        <w:t>’</w:t>
      </w:r>
      <w:r w:rsidRPr="00412C58">
        <w:rPr>
          <w:lang w:val="fr-FR"/>
        </w:rPr>
        <w:t xml:space="preserve">être indemnisé </w:t>
      </w:r>
      <w:r>
        <w:rPr>
          <w:lang w:val="fr-FR"/>
        </w:rPr>
        <w:t>en conséquence de</w:t>
      </w:r>
      <w:r w:rsidRPr="00412C58">
        <w:rPr>
          <w:lang w:val="fr-FR"/>
        </w:rPr>
        <w:t xml:space="preserve"> sa détention, en raison de l</w:t>
      </w:r>
      <w:r>
        <w:rPr>
          <w:lang w:val="fr-FR"/>
        </w:rPr>
        <w:t>’</w:t>
      </w:r>
      <w:r w:rsidRPr="00412C58">
        <w:rPr>
          <w:lang w:val="fr-FR"/>
        </w:rPr>
        <w:t xml:space="preserve">absence de la </w:t>
      </w:r>
      <w:r>
        <w:rPr>
          <w:lang w:val="fr-FR"/>
        </w:rPr>
        <w:t>c</w:t>
      </w:r>
      <w:r w:rsidRPr="00412C58">
        <w:rPr>
          <w:lang w:val="fr-FR"/>
        </w:rPr>
        <w:t>ommission d</w:t>
      </w:r>
      <w:r>
        <w:rPr>
          <w:lang w:val="fr-FR"/>
        </w:rPr>
        <w:t>’</w:t>
      </w:r>
      <w:r w:rsidRPr="00412C58">
        <w:rPr>
          <w:lang w:val="fr-FR"/>
        </w:rPr>
        <w:t xml:space="preserve">indemnisation susmentionnée. En réponse à cette correspondance, le </w:t>
      </w:r>
      <w:r w:rsidR="009624DB" w:rsidRPr="00412C58">
        <w:rPr>
          <w:lang w:val="fr-FR"/>
        </w:rPr>
        <w:t>8</w:t>
      </w:r>
      <w:r w:rsidR="009624DB">
        <w:rPr>
          <w:lang w:val="fr-FR"/>
        </w:rPr>
        <w:t> </w:t>
      </w:r>
      <w:r w:rsidRPr="00412C58">
        <w:rPr>
          <w:lang w:val="fr-FR"/>
        </w:rPr>
        <w:t>novembre 2016, la Commission nationale des droits de l</w:t>
      </w:r>
      <w:r>
        <w:rPr>
          <w:lang w:val="fr-FR"/>
        </w:rPr>
        <w:t>’</w:t>
      </w:r>
      <w:r w:rsidRPr="00412C58">
        <w:rPr>
          <w:lang w:val="fr-FR"/>
        </w:rPr>
        <w:t>homme et des libertés a indiqué à l</w:t>
      </w:r>
      <w:r>
        <w:rPr>
          <w:lang w:val="fr-FR"/>
        </w:rPr>
        <w:t>’</w:t>
      </w:r>
      <w:r w:rsidRPr="00412C58">
        <w:rPr>
          <w:lang w:val="fr-FR"/>
        </w:rPr>
        <w:t xml:space="preserve">auteur que la </w:t>
      </w:r>
      <w:r>
        <w:rPr>
          <w:lang w:val="fr-FR"/>
        </w:rPr>
        <w:t>c</w:t>
      </w:r>
      <w:r w:rsidRPr="00412C58">
        <w:rPr>
          <w:lang w:val="fr-FR"/>
        </w:rPr>
        <w:t>ommission d</w:t>
      </w:r>
      <w:r>
        <w:rPr>
          <w:lang w:val="fr-FR"/>
        </w:rPr>
        <w:t>’</w:t>
      </w:r>
      <w:r w:rsidRPr="00412C58">
        <w:rPr>
          <w:lang w:val="fr-FR"/>
        </w:rPr>
        <w:t xml:space="preserve">indemnisation était désormais effective, selon les informations fournies par le Ministère de la </w:t>
      </w:r>
      <w:r>
        <w:rPr>
          <w:lang w:val="fr-FR"/>
        </w:rPr>
        <w:t>j</w:t>
      </w:r>
      <w:r w:rsidRPr="00412C58">
        <w:rPr>
          <w:lang w:val="fr-FR"/>
        </w:rPr>
        <w:t xml:space="preserve">ustice. </w:t>
      </w:r>
    </w:p>
    <w:p w14:paraId="03DB6A33" w14:textId="26C23E0E" w:rsidR="00E83006" w:rsidRPr="00412C58" w:rsidRDefault="00E83006" w:rsidP="00ED242C">
      <w:pPr>
        <w:pStyle w:val="SingleTxtG"/>
      </w:pPr>
      <w:r w:rsidRPr="00412C58">
        <w:rPr>
          <w:lang w:val="fr-FR"/>
        </w:rPr>
        <w:t>6.3</w:t>
      </w:r>
      <w:r w:rsidRPr="00412C58">
        <w:rPr>
          <w:lang w:val="fr-FR"/>
        </w:rPr>
        <w:tab/>
        <w:t>Sur le fond, l</w:t>
      </w:r>
      <w:r>
        <w:rPr>
          <w:lang w:val="fr-FR"/>
        </w:rPr>
        <w:t>’É</w:t>
      </w:r>
      <w:r w:rsidRPr="00412C58">
        <w:rPr>
          <w:lang w:val="fr-FR"/>
        </w:rPr>
        <w:t>tat partie conteste l</w:t>
      </w:r>
      <w:r>
        <w:rPr>
          <w:lang w:val="fr-FR"/>
        </w:rPr>
        <w:t>’</w:t>
      </w:r>
      <w:r w:rsidRPr="00412C58">
        <w:rPr>
          <w:lang w:val="fr-FR"/>
        </w:rPr>
        <w:t>argument de l</w:t>
      </w:r>
      <w:r>
        <w:rPr>
          <w:lang w:val="fr-FR"/>
        </w:rPr>
        <w:t>’</w:t>
      </w:r>
      <w:r w:rsidRPr="00412C58">
        <w:rPr>
          <w:lang w:val="fr-FR"/>
        </w:rPr>
        <w:t xml:space="preserve">auteur selon lequel en raison de sa nature purement administrative, la </w:t>
      </w:r>
      <w:r>
        <w:rPr>
          <w:lang w:val="fr-FR"/>
        </w:rPr>
        <w:t>c</w:t>
      </w:r>
      <w:r w:rsidRPr="00412C58">
        <w:rPr>
          <w:lang w:val="fr-FR"/>
        </w:rPr>
        <w:t>ommission d</w:t>
      </w:r>
      <w:r>
        <w:rPr>
          <w:lang w:val="fr-FR"/>
        </w:rPr>
        <w:t>’</w:t>
      </w:r>
      <w:r w:rsidRPr="00412C58">
        <w:rPr>
          <w:lang w:val="fr-FR"/>
        </w:rPr>
        <w:t xml:space="preserve">indemnisation ne saurait être une émanation de la Cour suprême. </w:t>
      </w:r>
      <w:r>
        <w:rPr>
          <w:lang w:val="fr-FR"/>
        </w:rPr>
        <w:t>Il</w:t>
      </w:r>
      <w:r w:rsidRPr="00412C58">
        <w:rPr>
          <w:lang w:val="fr-FR"/>
        </w:rPr>
        <w:t xml:space="preserve"> conteste également qu</w:t>
      </w:r>
      <w:r>
        <w:rPr>
          <w:lang w:val="fr-FR"/>
        </w:rPr>
        <w:t>’</w:t>
      </w:r>
      <w:r w:rsidRPr="00412C58">
        <w:rPr>
          <w:lang w:val="fr-FR"/>
        </w:rPr>
        <w:t xml:space="preserve">un </w:t>
      </w:r>
      <w:r>
        <w:rPr>
          <w:lang w:val="fr-FR"/>
        </w:rPr>
        <w:t>d</w:t>
      </w:r>
      <w:r w:rsidRPr="00412C58">
        <w:rPr>
          <w:lang w:val="fr-FR"/>
        </w:rPr>
        <w:t>écret d</w:t>
      </w:r>
      <w:r>
        <w:rPr>
          <w:lang w:val="fr-FR"/>
        </w:rPr>
        <w:t>’</w:t>
      </w:r>
      <w:r w:rsidRPr="00412C58">
        <w:rPr>
          <w:lang w:val="fr-FR"/>
        </w:rPr>
        <w:t xml:space="preserve">application de la disposition légale créant la </w:t>
      </w:r>
      <w:r>
        <w:rPr>
          <w:lang w:val="fr-FR"/>
        </w:rPr>
        <w:t>c</w:t>
      </w:r>
      <w:r w:rsidRPr="00412C58">
        <w:rPr>
          <w:lang w:val="fr-FR"/>
        </w:rPr>
        <w:t xml:space="preserve">ommission était nécessaire pour en désigner les membres. </w:t>
      </w:r>
      <w:r>
        <w:rPr>
          <w:lang w:val="fr-FR"/>
        </w:rPr>
        <w:t>À</w:t>
      </w:r>
      <w:r w:rsidRPr="00412C58">
        <w:rPr>
          <w:lang w:val="fr-FR"/>
        </w:rPr>
        <w:t xml:space="preserve"> cet égard, l</w:t>
      </w:r>
      <w:r>
        <w:rPr>
          <w:lang w:val="fr-FR"/>
        </w:rPr>
        <w:t>’É</w:t>
      </w:r>
      <w:r w:rsidRPr="00412C58">
        <w:rPr>
          <w:lang w:val="fr-FR"/>
        </w:rPr>
        <w:t xml:space="preserve">tat partie estime que, dès lors que le Président de la Cour suprême </w:t>
      </w:r>
      <w:r>
        <w:rPr>
          <w:lang w:val="fr-FR"/>
        </w:rPr>
        <w:t>a constaté</w:t>
      </w:r>
      <w:r w:rsidRPr="00412C58">
        <w:rPr>
          <w:lang w:val="fr-FR"/>
        </w:rPr>
        <w:t xml:space="preserve"> la composition de ladite </w:t>
      </w:r>
      <w:r>
        <w:rPr>
          <w:lang w:val="fr-FR"/>
        </w:rPr>
        <w:t>c</w:t>
      </w:r>
      <w:r w:rsidRPr="00412C58">
        <w:rPr>
          <w:lang w:val="fr-FR"/>
        </w:rPr>
        <w:t xml:space="preserve">ommission le </w:t>
      </w:r>
      <w:r w:rsidR="009624DB" w:rsidRPr="00412C58">
        <w:rPr>
          <w:lang w:val="fr-FR"/>
        </w:rPr>
        <w:t>16</w:t>
      </w:r>
      <w:r w:rsidR="009624DB">
        <w:rPr>
          <w:lang w:val="fr-FR"/>
        </w:rPr>
        <w:t> </w:t>
      </w:r>
      <w:r w:rsidRPr="00412C58">
        <w:rPr>
          <w:lang w:val="fr-FR"/>
        </w:rPr>
        <w:t>février 2016, par l</w:t>
      </w:r>
      <w:r>
        <w:rPr>
          <w:lang w:val="fr-FR"/>
        </w:rPr>
        <w:t>’</w:t>
      </w:r>
      <w:r w:rsidRPr="00412C58">
        <w:rPr>
          <w:lang w:val="fr-FR"/>
        </w:rPr>
        <w:t>ordonnance n</w:t>
      </w:r>
      <w:r w:rsidR="009624DB" w:rsidRPr="00ED242C">
        <w:rPr>
          <w:vertAlign w:val="superscript"/>
          <w:lang w:val="fr-FR"/>
        </w:rPr>
        <w:t>o</w:t>
      </w:r>
      <w:r w:rsidR="009624DB">
        <w:rPr>
          <w:lang w:val="fr-FR"/>
        </w:rPr>
        <w:t> </w:t>
      </w:r>
      <w:r w:rsidRPr="00412C58">
        <w:rPr>
          <w:lang w:val="fr-FR"/>
        </w:rPr>
        <w:t xml:space="preserve">115, le vœu de </w:t>
      </w:r>
      <w:r w:rsidR="009624DB" w:rsidRPr="00412C58">
        <w:rPr>
          <w:lang w:val="fr-FR"/>
        </w:rPr>
        <w:t>l</w:t>
      </w:r>
      <w:r w:rsidR="009624DB">
        <w:rPr>
          <w:lang w:val="fr-FR"/>
        </w:rPr>
        <w:t>’</w:t>
      </w:r>
      <w:r w:rsidR="009624DB" w:rsidRPr="00412C58">
        <w:rPr>
          <w:lang w:val="fr-FR"/>
        </w:rPr>
        <w:t>article</w:t>
      </w:r>
      <w:r w:rsidR="009624DB">
        <w:rPr>
          <w:lang w:val="fr-FR"/>
        </w:rPr>
        <w:t> </w:t>
      </w:r>
      <w:r w:rsidRPr="00412C58">
        <w:rPr>
          <w:lang w:val="fr-FR"/>
        </w:rPr>
        <w:t xml:space="preserve">237 du Code de procédure pénale </w:t>
      </w:r>
      <w:r>
        <w:rPr>
          <w:lang w:val="fr-FR"/>
        </w:rPr>
        <w:t>était</w:t>
      </w:r>
      <w:r w:rsidRPr="00412C58">
        <w:rPr>
          <w:lang w:val="fr-FR"/>
        </w:rPr>
        <w:t xml:space="preserve"> comblé. </w:t>
      </w:r>
      <w:r>
        <w:rPr>
          <w:lang w:val="fr-FR"/>
        </w:rPr>
        <w:t>Il</w:t>
      </w:r>
      <w:r w:rsidRPr="00412C58">
        <w:rPr>
          <w:lang w:val="fr-FR"/>
        </w:rPr>
        <w:t xml:space="preserve"> souligne que cette </w:t>
      </w:r>
      <w:r>
        <w:rPr>
          <w:lang w:val="fr-FR"/>
        </w:rPr>
        <w:t>c</w:t>
      </w:r>
      <w:r w:rsidRPr="00412C58">
        <w:rPr>
          <w:lang w:val="fr-FR"/>
        </w:rPr>
        <w:t>ommission d</w:t>
      </w:r>
      <w:r>
        <w:rPr>
          <w:lang w:val="fr-FR"/>
        </w:rPr>
        <w:t>’</w:t>
      </w:r>
      <w:r w:rsidRPr="00412C58">
        <w:rPr>
          <w:lang w:val="fr-FR"/>
        </w:rPr>
        <w:t>indemnisation logée au sein de la Cour suprême</w:t>
      </w:r>
      <w:r>
        <w:rPr>
          <w:lang w:val="fr-FR"/>
        </w:rPr>
        <w:t xml:space="preserve"> est présidée par un</w:t>
      </w:r>
      <w:r w:rsidRPr="00412C58">
        <w:rPr>
          <w:lang w:val="fr-FR"/>
        </w:rPr>
        <w:t xml:space="preserve"> conseiller de la Cour </w:t>
      </w:r>
      <w:r>
        <w:rPr>
          <w:lang w:val="fr-FR"/>
        </w:rPr>
        <w:t>s</w:t>
      </w:r>
      <w:r w:rsidRPr="00412C58">
        <w:rPr>
          <w:lang w:val="fr-FR"/>
        </w:rPr>
        <w:t>uprême</w:t>
      </w:r>
      <w:r>
        <w:rPr>
          <w:lang w:val="fr-FR"/>
        </w:rPr>
        <w:t xml:space="preserve"> et composée, entre autres</w:t>
      </w:r>
      <w:r w:rsidRPr="00412C58">
        <w:rPr>
          <w:lang w:val="fr-FR"/>
        </w:rPr>
        <w:t xml:space="preserve">, </w:t>
      </w:r>
      <w:r>
        <w:rPr>
          <w:lang w:val="fr-FR"/>
        </w:rPr>
        <w:t xml:space="preserve">de </w:t>
      </w:r>
      <w:r w:rsidRPr="00412C58">
        <w:rPr>
          <w:lang w:val="fr-FR"/>
        </w:rPr>
        <w:t xml:space="preserve">deux magistrats issus de la </w:t>
      </w:r>
      <w:r>
        <w:rPr>
          <w:lang w:val="fr-FR"/>
        </w:rPr>
        <w:t>c</w:t>
      </w:r>
      <w:r w:rsidRPr="00412C58">
        <w:rPr>
          <w:lang w:val="fr-FR"/>
        </w:rPr>
        <w:t>our d</w:t>
      </w:r>
      <w:r>
        <w:rPr>
          <w:lang w:val="fr-FR"/>
        </w:rPr>
        <w:t>’a</w:t>
      </w:r>
      <w:r w:rsidRPr="00412C58">
        <w:rPr>
          <w:lang w:val="fr-FR"/>
        </w:rPr>
        <w:t>ppel et de représentants de certaines administrations publiques. L</w:t>
      </w:r>
      <w:r>
        <w:rPr>
          <w:lang w:val="fr-FR"/>
        </w:rPr>
        <w:t>’É</w:t>
      </w:r>
      <w:r w:rsidRPr="00412C58">
        <w:rPr>
          <w:lang w:val="fr-FR"/>
        </w:rPr>
        <w:t>tat partie souligne que la présence de représentants de l</w:t>
      </w:r>
      <w:r>
        <w:rPr>
          <w:lang w:val="fr-FR"/>
        </w:rPr>
        <w:t>’</w:t>
      </w:r>
      <w:r w:rsidRPr="00412C58">
        <w:rPr>
          <w:lang w:val="fr-FR"/>
        </w:rPr>
        <w:t xml:space="preserve">administration publique au sein de la </w:t>
      </w:r>
      <w:r>
        <w:rPr>
          <w:lang w:val="fr-FR"/>
        </w:rPr>
        <w:t>c</w:t>
      </w:r>
      <w:r w:rsidRPr="00412C58">
        <w:rPr>
          <w:lang w:val="fr-FR"/>
        </w:rPr>
        <w:t>ommission n</w:t>
      </w:r>
      <w:r>
        <w:rPr>
          <w:lang w:val="fr-FR"/>
        </w:rPr>
        <w:t>’</w:t>
      </w:r>
      <w:r w:rsidRPr="00412C58">
        <w:rPr>
          <w:lang w:val="fr-FR"/>
        </w:rPr>
        <w:t>enlève rien de sa nature judiciaire</w:t>
      </w:r>
      <w:r>
        <w:t>,</w:t>
      </w:r>
      <w:r w:rsidRPr="00412C58">
        <w:t xml:space="preserve"> que ladite commission </w:t>
      </w:r>
      <w:r w:rsidRPr="00412C58">
        <w:rPr>
          <w:lang w:val="fr-FR"/>
        </w:rPr>
        <w:t>n</w:t>
      </w:r>
      <w:r>
        <w:rPr>
          <w:lang w:val="fr-FR"/>
        </w:rPr>
        <w:t>’</w:t>
      </w:r>
      <w:r w:rsidRPr="00412C58">
        <w:rPr>
          <w:lang w:val="fr-FR"/>
        </w:rPr>
        <w:t>a rien de spécial et qu</w:t>
      </w:r>
      <w:r>
        <w:rPr>
          <w:lang w:val="fr-FR"/>
        </w:rPr>
        <w:t>’</w:t>
      </w:r>
      <w:r w:rsidRPr="00412C58">
        <w:rPr>
          <w:lang w:val="fr-FR"/>
        </w:rPr>
        <w:t>elle peut être comparée aux commissions d</w:t>
      </w:r>
      <w:r>
        <w:rPr>
          <w:lang w:val="fr-FR"/>
        </w:rPr>
        <w:t>’</w:t>
      </w:r>
      <w:r w:rsidRPr="00412C58">
        <w:rPr>
          <w:lang w:val="fr-FR"/>
        </w:rPr>
        <w:t xml:space="preserve">assistance judiciaire créées au sein de chaque juridiction par la </w:t>
      </w:r>
      <w:r>
        <w:rPr>
          <w:lang w:val="fr-FR"/>
        </w:rPr>
        <w:t>l</w:t>
      </w:r>
      <w:r w:rsidRPr="00412C58">
        <w:rPr>
          <w:lang w:val="fr-FR"/>
        </w:rPr>
        <w:t>oi n</w:t>
      </w:r>
      <w:r w:rsidR="009624DB" w:rsidRPr="00ED242C">
        <w:rPr>
          <w:vertAlign w:val="superscript"/>
          <w:lang w:val="fr-FR"/>
        </w:rPr>
        <w:t>o</w:t>
      </w:r>
      <w:r w:rsidR="009624DB">
        <w:rPr>
          <w:lang w:val="fr-FR"/>
        </w:rPr>
        <w:t> </w:t>
      </w:r>
      <w:r w:rsidRPr="00412C58">
        <w:rPr>
          <w:lang w:val="fr-FR"/>
        </w:rPr>
        <w:t xml:space="preserve">2009/004 du </w:t>
      </w:r>
      <w:r w:rsidR="009624DB" w:rsidRPr="00412C58">
        <w:rPr>
          <w:lang w:val="fr-FR"/>
        </w:rPr>
        <w:t>14</w:t>
      </w:r>
      <w:r w:rsidR="009624DB">
        <w:rPr>
          <w:lang w:val="fr-FR"/>
        </w:rPr>
        <w:t> </w:t>
      </w:r>
      <w:r w:rsidRPr="00412C58">
        <w:rPr>
          <w:lang w:val="fr-FR"/>
        </w:rPr>
        <w:t>avril 2009, y compris auprès de la Cour suprême, intégrant des membres de l</w:t>
      </w:r>
      <w:r>
        <w:rPr>
          <w:lang w:val="fr-FR"/>
        </w:rPr>
        <w:t>’</w:t>
      </w:r>
      <w:r w:rsidRPr="00412C58">
        <w:rPr>
          <w:lang w:val="fr-FR"/>
        </w:rPr>
        <w:t>administration publique.</w:t>
      </w:r>
    </w:p>
    <w:p w14:paraId="1385D356" w14:textId="3E1561D1" w:rsidR="00E83006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6.4</w:t>
      </w:r>
      <w:r w:rsidRPr="00412C58">
        <w:rPr>
          <w:lang w:val="fr-FR"/>
        </w:rPr>
        <w:tab/>
        <w:t>Quant à l</w:t>
      </w:r>
      <w:r>
        <w:rPr>
          <w:lang w:val="fr-FR"/>
        </w:rPr>
        <w:t>’</w:t>
      </w:r>
      <w:r w:rsidRPr="00412C58">
        <w:rPr>
          <w:lang w:val="fr-FR"/>
        </w:rPr>
        <w:t>argument de l</w:t>
      </w:r>
      <w:r>
        <w:rPr>
          <w:lang w:val="fr-FR"/>
        </w:rPr>
        <w:t>’</w:t>
      </w:r>
      <w:r w:rsidRPr="00412C58">
        <w:rPr>
          <w:lang w:val="fr-FR"/>
        </w:rPr>
        <w:t xml:space="preserve">auteur sur le non-fonctionnement de la </w:t>
      </w:r>
      <w:r>
        <w:rPr>
          <w:lang w:val="fr-FR"/>
        </w:rPr>
        <w:t>c</w:t>
      </w:r>
      <w:r w:rsidRPr="00412C58">
        <w:rPr>
          <w:lang w:val="fr-FR"/>
        </w:rPr>
        <w:t>ommission d</w:t>
      </w:r>
      <w:r>
        <w:rPr>
          <w:lang w:val="fr-FR"/>
        </w:rPr>
        <w:t>’</w:t>
      </w:r>
      <w:r w:rsidRPr="00412C58">
        <w:rPr>
          <w:lang w:val="fr-FR"/>
        </w:rPr>
        <w:t>indemnisation, l</w:t>
      </w:r>
      <w:r>
        <w:rPr>
          <w:lang w:val="fr-FR"/>
        </w:rPr>
        <w:t>’É</w:t>
      </w:r>
      <w:r w:rsidRPr="00412C58">
        <w:rPr>
          <w:lang w:val="fr-FR"/>
        </w:rPr>
        <w:t>tat partie réitère que l</w:t>
      </w:r>
      <w:r>
        <w:rPr>
          <w:lang w:val="fr-FR"/>
        </w:rPr>
        <w:t>’</w:t>
      </w:r>
      <w:r w:rsidRPr="00412C58">
        <w:rPr>
          <w:lang w:val="fr-FR"/>
        </w:rPr>
        <w:t>auteur, n</w:t>
      </w:r>
      <w:r>
        <w:rPr>
          <w:lang w:val="fr-FR"/>
        </w:rPr>
        <w:t>’</w:t>
      </w:r>
      <w:r w:rsidRPr="00412C58">
        <w:rPr>
          <w:lang w:val="fr-FR"/>
        </w:rPr>
        <w:t>ayant pas saisi cette instance, ne saurait préjuger de son effectivité. L</w:t>
      </w:r>
      <w:r>
        <w:rPr>
          <w:lang w:val="fr-FR"/>
        </w:rPr>
        <w:t>’É</w:t>
      </w:r>
      <w:r w:rsidRPr="00412C58">
        <w:rPr>
          <w:lang w:val="fr-FR"/>
        </w:rPr>
        <w:t xml:space="preserve">tat partie </w:t>
      </w:r>
      <w:r>
        <w:rPr>
          <w:lang w:val="fr-FR"/>
        </w:rPr>
        <w:t>affirme</w:t>
      </w:r>
      <w:r w:rsidRPr="00412C58">
        <w:rPr>
          <w:lang w:val="fr-FR"/>
        </w:rPr>
        <w:t xml:space="preserve"> en outre que l</w:t>
      </w:r>
      <w:r>
        <w:rPr>
          <w:lang w:val="fr-FR"/>
        </w:rPr>
        <w:t>’</w:t>
      </w:r>
      <w:r w:rsidRPr="00412C58">
        <w:rPr>
          <w:lang w:val="fr-FR"/>
        </w:rPr>
        <w:t>argument de l</w:t>
      </w:r>
      <w:r>
        <w:rPr>
          <w:lang w:val="fr-FR"/>
        </w:rPr>
        <w:t>’</w:t>
      </w:r>
      <w:r w:rsidRPr="00412C58">
        <w:rPr>
          <w:lang w:val="fr-FR"/>
        </w:rPr>
        <w:t>auteur concernant l</w:t>
      </w:r>
      <w:r>
        <w:rPr>
          <w:lang w:val="fr-FR"/>
        </w:rPr>
        <w:t>’</w:t>
      </w:r>
      <w:r w:rsidRPr="00412C58">
        <w:rPr>
          <w:lang w:val="fr-FR"/>
        </w:rPr>
        <w:t xml:space="preserve">absence </w:t>
      </w:r>
      <w:r>
        <w:rPr>
          <w:lang w:val="fr-FR"/>
        </w:rPr>
        <w:t>de</w:t>
      </w:r>
      <w:r w:rsidRPr="00412C58">
        <w:rPr>
          <w:lang w:val="fr-FR"/>
        </w:rPr>
        <w:t xml:space="preserve"> siège de la</w:t>
      </w:r>
      <w:r>
        <w:rPr>
          <w:lang w:val="fr-FR"/>
        </w:rPr>
        <w:t>dite</w:t>
      </w:r>
      <w:r w:rsidRPr="00412C58">
        <w:rPr>
          <w:lang w:val="fr-FR"/>
        </w:rPr>
        <w:t xml:space="preserve"> </w:t>
      </w:r>
      <w:r>
        <w:rPr>
          <w:lang w:val="fr-FR"/>
        </w:rPr>
        <w:t>c</w:t>
      </w:r>
      <w:r w:rsidRPr="00412C58">
        <w:rPr>
          <w:lang w:val="fr-FR"/>
        </w:rPr>
        <w:t xml:space="preserve">ommission est inopérant dans la mesure où, la présidence de la </w:t>
      </w:r>
      <w:r>
        <w:rPr>
          <w:lang w:val="fr-FR"/>
        </w:rPr>
        <w:t>c</w:t>
      </w:r>
      <w:r w:rsidRPr="00412C58">
        <w:rPr>
          <w:lang w:val="fr-FR"/>
        </w:rPr>
        <w:t xml:space="preserve">ommission </w:t>
      </w:r>
      <w:r>
        <w:rPr>
          <w:lang w:val="fr-FR"/>
        </w:rPr>
        <w:t xml:space="preserve">étant confiée </w:t>
      </w:r>
      <w:r w:rsidRPr="00412C58">
        <w:rPr>
          <w:lang w:val="fr-FR"/>
        </w:rPr>
        <w:t xml:space="preserve">à un </w:t>
      </w:r>
      <w:r>
        <w:rPr>
          <w:lang w:val="fr-FR"/>
        </w:rPr>
        <w:t>c</w:t>
      </w:r>
      <w:r w:rsidRPr="00412C58">
        <w:rPr>
          <w:lang w:val="fr-FR"/>
        </w:rPr>
        <w:t xml:space="preserve">onseiller de la Cour </w:t>
      </w:r>
      <w:r>
        <w:rPr>
          <w:lang w:val="fr-FR"/>
        </w:rPr>
        <w:t>s</w:t>
      </w:r>
      <w:r w:rsidRPr="00412C58">
        <w:rPr>
          <w:lang w:val="fr-FR"/>
        </w:rPr>
        <w:t xml:space="preserve">uprême et </w:t>
      </w:r>
      <w:r>
        <w:rPr>
          <w:lang w:val="fr-FR"/>
        </w:rPr>
        <w:t>la</w:t>
      </w:r>
      <w:r w:rsidRPr="00412C58">
        <w:rPr>
          <w:lang w:val="fr-FR"/>
        </w:rPr>
        <w:t xml:space="preserve"> procédure </w:t>
      </w:r>
      <w:r>
        <w:rPr>
          <w:lang w:val="fr-FR"/>
        </w:rPr>
        <w:t xml:space="preserve">applicable </w:t>
      </w:r>
      <w:r w:rsidRPr="00412C58">
        <w:rPr>
          <w:lang w:val="fr-FR"/>
        </w:rPr>
        <w:t xml:space="preserve">à la </w:t>
      </w:r>
      <w:r>
        <w:rPr>
          <w:lang w:val="fr-FR"/>
        </w:rPr>
        <w:t>c</w:t>
      </w:r>
      <w:r w:rsidRPr="00412C58">
        <w:rPr>
          <w:lang w:val="fr-FR"/>
        </w:rPr>
        <w:t xml:space="preserve">ommission </w:t>
      </w:r>
      <w:r>
        <w:rPr>
          <w:lang w:val="fr-FR"/>
        </w:rPr>
        <w:t>étant la même que</w:t>
      </w:r>
      <w:r w:rsidRPr="00412C58">
        <w:rPr>
          <w:lang w:val="fr-FR"/>
        </w:rPr>
        <w:t xml:space="preserve"> devant la </w:t>
      </w:r>
      <w:r>
        <w:rPr>
          <w:lang w:val="fr-FR"/>
        </w:rPr>
        <w:t>c</w:t>
      </w:r>
      <w:r w:rsidRPr="00412C58">
        <w:rPr>
          <w:lang w:val="fr-FR"/>
        </w:rPr>
        <w:t xml:space="preserve">hambre judiciaire de la Cour </w:t>
      </w:r>
      <w:r>
        <w:rPr>
          <w:lang w:val="fr-FR"/>
        </w:rPr>
        <w:t>s</w:t>
      </w:r>
      <w:r w:rsidRPr="00412C58">
        <w:rPr>
          <w:lang w:val="fr-FR"/>
        </w:rPr>
        <w:t xml:space="preserve">uprême, il devient évident que le siège de la </w:t>
      </w:r>
      <w:r>
        <w:rPr>
          <w:lang w:val="fr-FR"/>
        </w:rPr>
        <w:t>c</w:t>
      </w:r>
      <w:r w:rsidRPr="00412C58">
        <w:rPr>
          <w:lang w:val="fr-FR"/>
        </w:rPr>
        <w:t xml:space="preserve">ommission est à la Cour </w:t>
      </w:r>
      <w:r>
        <w:rPr>
          <w:lang w:val="fr-FR"/>
        </w:rPr>
        <w:t>s</w:t>
      </w:r>
      <w:r w:rsidRPr="00412C58">
        <w:rPr>
          <w:lang w:val="fr-FR"/>
        </w:rPr>
        <w:t>uprême. L</w:t>
      </w:r>
      <w:r>
        <w:rPr>
          <w:lang w:val="fr-FR"/>
        </w:rPr>
        <w:t>’É</w:t>
      </w:r>
      <w:r w:rsidRPr="00412C58">
        <w:rPr>
          <w:lang w:val="fr-FR"/>
        </w:rPr>
        <w:t xml:space="preserve">tat partie rappelle que les </w:t>
      </w:r>
      <w:r w:rsidR="009624DB" w:rsidRPr="00412C58">
        <w:rPr>
          <w:lang w:val="fr-FR"/>
        </w:rPr>
        <w:t>articles</w:t>
      </w:r>
      <w:r w:rsidR="009624DB">
        <w:rPr>
          <w:lang w:val="fr-FR"/>
        </w:rPr>
        <w:t> </w:t>
      </w:r>
      <w:r w:rsidRPr="00412C58">
        <w:rPr>
          <w:lang w:val="fr-FR"/>
        </w:rPr>
        <w:t xml:space="preserve">236 et 237 du Code de procédure pénale ont ainsi établi que la </w:t>
      </w:r>
      <w:r>
        <w:rPr>
          <w:lang w:val="fr-FR"/>
        </w:rPr>
        <w:t>c</w:t>
      </w:r>
      <w:r w:rsidRPr="00412C58">
        <w:rPr>
          <w:lang w:val="fr-FR"/>
        </w:rPr>
        <w:t>ommission d</w:t>
      </w:r>
      <w:r>
        <w:rPr>
          <w:lang w:val="fr-FR"/>
        </w:rPr>
        <w:t>’</w:t>
      </w:r>
      <w:r w:rsidRPr="00412C58">
        <w:rPr>
          <w:lang w:val="fr-FR"/>
        </w:rPr>
        <w:t>indemnisation a</w:t>
      </w:r>
      <w:r>
        <w:rPr>
          <w:lang w:val="fr-FR"/>
        </w:rPr>
        <w:t>vait</w:t>
      </w:r>
      <w:r w:rsidRPr="00412C58">
        <w:rPr>
          <w:lang w:val="fr-FR"/>
        </w:rPr>
        <w:t xml:space="preserve"> son siège à la Cour </w:t>
      </w:r>
      <w:r>
        <w:rPr>
          <w:lang w:val="fr-FR"/>
        </w:rPr>
        <w:t>s</w:t>
      </w:r>
      <w:r w:rsidRPr="00412C58">
        <w:rPr>
          <w:lang w:val="fr-FR"/>
        </w:rPr>
        <w:t>uprême. En conséquence, l</w:t>
      </w:r>
      <w:r>
        <w:rPr>
          <w:lang w:val="fr-FR"/>
        </w:rPr>
        <w:t>’É</w:t>
      </w:r>
      <w:r w:rsidRPr="00412C58">
        <w:rPr>
          <w:lang w:val="fr-FR"/>
        </w:rPr>
        <w:t>tat partie réitère sa demande au Comité de déclarer la communication irrecevable et</w:t>
      </w:r>
      <w:r>
        <w:rPr>
          <w:lang w:val="fr-FR"/>
        </w:rPr>
        <w:t>,</w:t>
      </w:r>
      <w:r w:rsidRPr="00412C58">
        <w:rPr>
          <w:lang w:val="fr-FR"/>
        </w:rPr>
        <w:t xml:space="preserve"> subsidiairement</w:t>
      </w:r>
      <w:r>
        <w:rPr>
          <w:lang w:val="fr-FR"/>
        </w:rPr>
        <w:t>,</w:t>
      </w:r>
      <w:r w:rsidRPr="00412C58">
        <w:rPr>
          <w:lang w:val="fr-FR"/>
        </w:rPr>
        <w:t xml:space="preserve"> mal fondée. </w:t>
      </w:r>
    </w:p>
    <w:p w14:paraId="1009558C" w14:textId="6CEA30CC" w:rsidR="00E83006" w:rsidRPr="00412C58" w:rsidRDefault="00E83006" w:rsidP="00ED242C">
      <w:pPr>
        <w:pStyle w:val="SingleTxtG"/>
        <w:rPr>
          <w:lang w:val="fr-FR"/>
        </w:rPr>
      </w:pPr>
      <w:r>
        <w:rPr>
          <w:lang w:val="fr-FR"/>
        </w:rPr>
        <w:t>6.5</w:t>
      </w:r>
      <w:r>
        <w:rPr>
          <w:lang w:val="fr-FR"/>
        </w:rPr>
        <w:tab/>
      </w:r>
      <w:r w:rsidRPr="00412C58">
        <w:rPr>
          <w:lang w:val="fr-FR"/>
        </w:rPr>
        <w:t>Dans sa soumission du 22</w:t>
      </w:r>
      <w:r>
        <w:rPr>
          <w:lang w:val="fr-FR"/>
        </w:rPr>
        <w:t> </w:t>
      </w:r>
      <w:r w:rsidR="009624DB" w:rsidRPr="00412C58">
        <w:rPr>
          <w:lang w:val="fr-FR"/>
        </w:rPr>
        <w:t>janvier</w:t>
      </w:r>
      <w:r w:rsidR="009624DB">
        <w:rPr>
          <w:lang w:val="fr-FR"/>
        </w:rPr>
        <w:t xml:space="preserve"> </w:t>
      </w:r>
      <w:r w:rsidRPr="00412C58">
        <w:rPr>
          <w:lang w:val="fr-FR"/>
        </w:rPr>
        <w:t>2019, l</w:t>
      </w:r>
      <w:r>
        <w:rPr>
          <w:lang w:val="fr-FR"/>
        </w:rPr>
        <w:t>’É</w:t>
      </w:r>
      <w:r w:rsidRPr="00412C58">
        <w:rPr>
          <w:lang w:val="fr-FR"/>
        </w:rPr>
        <w:t xml:space="preserve">tat partie réitère que la communication est irrecevable et subsidiairement non fondée. Il </w:t>
      </w:r>
      <w:r>
        <w:rPr>
          <w:lang w:val="fr-FR"/>
        </w:rPr>
        <w:t>affirme</w:t>
      </w:r>
      <w:r w:rsidRPr="00412C58">
        <w:rPr>
          <w:lang w:val="fr-FR"/>
        </w:rPr>
        <w:t xml:space="preserve"> que l</w:t>
      </w:r>
      <w:r>
        <w:rPr>
          <w:lang w:val="fr-FR"/>
        </w:rPr>
        <w:t>’</w:t>
      </w:r>
      <w:r w:rsidRPr="00412C58">
        <w:rPr>
          <w:lang w:val="fr-FR"/>
        </w:rPr>
        <w:t>auteur n</w:t>
      </w:r>
      <w:r>
        <w:rPr>
          <w:lang w:val="fr-FR"/>
        </w:rPr>
        <w:t>’</w:t>
      </w:r>
      <w:r w:rsidRPr="00412C58">
        <w:rPr>
          <w:lang w:val="fr-FR"/>
        </w:rPr>
        <w:t>a pas donné la preuve qu</w:t>
      </w:r>
      <w:r>
        <w:rPr>
          <w:lang w:val="fr-FR"/>
        </w:rPr>
        <w:t>’</w:t>
      </w:r>
      <w:r w:rsidRPr="00412C58">
        <w:rPr>
          <w:lang w:val="fr-FR"/>
        </w:rPr>
        <w:t>il a</w:t>
      </w:r>
      <w:r>
        <w:rPr>
          <w:lang w:val="fr-FR"/>
        </w:rPr>
        <w:t>vait</w:t>
      </w:r>
      <w:r w:rsidRPr="00412C58">
        <w:rPr>
          <w:lang w:val="fr-FR"/>
        </w:rPr>
        <w:t xml:space="preserve"> saisi la </w:t>
      </w:r>
      <w:r>
        <w:rPr>
          <w:lang w:val="fr-FR"/>
        </w:rPr>
        <w:t>c</w:t>
      </w:r>
      <w:r w:rsidRPr="00412C58">
        <w:rPr>
          <w:lang w:val="fr-FR"/>
        </w:rPr>
        <w:t>ommission d</w:t>
      </w:r>
      <w:r>
        <w:rPr>
          <w:lang w:val="fr-FR"/>
        </w:rPr>
        <w:t>’</w:t>
      </w:r>
      <w:r w:rsidRPr="00412C58">
        <w:rPr>
          <w:lang w:val="fr-FR"/>
        </w:rPr>
        <w:t>indemnisation et qu</w:t>
      </w:r>
      <w:r>
        <w:rPr>
          <w:lang w:val="fr-FR"/>
        </w:rPr>
        <w:t>’</w:t>
      </w:r>
      <w:r w:rsidRPr="00412C58">
        <w:rPr>
          <w:lang w:val="fr-FR"/>
        </w:rPr>
        <w:t>au contraire</w:t>
      </w:r>
      <w:r>
        <w:rPr>
          <w:lang w:val="fr-FR"/>
        </w:rPr>
        <w:t>,</w:t>
      </w:r>
      <w:r w:rsidRPr="00412C58">
        <w:rPr>
          <w:lang w:val="fr-FR"/>
        </w:rPr>
        <w:t xml:space="preserve"> il se contente de préjuger de l</w:t>
      </w:r>
      <w:r>
        <w:rPr>
          <w:lang w:val="fr-FR"/>
        </w:rPr>
        <w:t>’</w:t>
      </w:r>
      <w:r w:rsidRPr="00412C58">
        <w:rPr>
          <w:lang w:val="fr-FR"/>
        </w:rPr>
        <w:t xml:space="preserve">indisponibilité du recours en tirant argument de son </w:t>
      </w:r>
      <w:r>
        <w:rPr>
          <w:lang w:val="fr-FR"/>
        </w:rPr>
        <w:t>caractère non opérationnel</w:t>
      </w:r>
      <w:r w:rsidRPr="00412C58">
        <w:rPr>
          <w:lang w:val="fr-FR"/>
        </w:rPr>
        <w:t>. L</w:t>
      </w:r>
      <w:r>
        <w:rPr>
          <w:lang w:val="fr-FR"/>
        </w:rPr>
        <w:t>’É</w:t>
      </w:r>
      <w:r w:rsidRPr="00412C58">
        <w:rPr>
          <w:lang w:val="fr-FR"/>
        </w:rPr>
        <w:t>tat partie estime que seule une absence d</w:t>
      </w:r>
      <w:r>
        <w:rPr>
          <w:lang w:val="fr-FR"/>
        </w:rPr>
        <w:t>’</w:t>
      </w:r>
      <w:r w:rsidRPr="00412C58">
        <w:rPr>
          <w:lang w:val="fr-FR"/>
        </w:rPr>
        <w:t>examen de la requête de l</w:t>
      </w:r>
      <w:r>
        <w:rPr>
          <w:lang w:val="fr-FR"/>
        </w:rPr>
        <w:t>’</w:t>
      </w:r>
      <w:r w:rsidRPr="00412C58">
        <w:rPr>
          <w:lang w:val="fr-FR"/>
        </w:rPr>
        <w:t>auteur par la</w:t>
      </w:r>
      <w:r>
        <w:rPr>
          <w:lang w:val="fr-FR"/>
        </w:rPr>
        <w:t>dite</w:t>
      </w:r>
      <w:r w:rsidRPr="00412C58">
        <w:rPr>
          <w:lang w:val="fr-FR"/>
        </w:rPr>
        <w:t xml:space="preserve"> </w:t>
      </w:r>
      <w:r>
        <w:rPr>
          <w:lang w:val="fr-FR"/>
        </w:rPr>
        <w:t>c</w:t>
      </w:r>
      <w:r w:rsidRPr="00412C58">
        <w:rPr>
          <w:lang w:val="fr-FR"/>
        </w:rPr>
        <w:t xml:space="preserve">ommission aurait pu permettre </w:t>
      </w:r>
      <w:r>
        <w:rPr>
          <w:lang w:val="fr-FR"/>
        </w:rPr>
        <w:t xml:space="preserve">à ce dernier </w:t>
      </w:r>
      <w:r w:rsidRPr="00412C58">
        <w:rPr>
          <w:lang w:val="fr-FR"/>
        </w:rPr>
        <w:t>d</w:t>
      </w:r>
      <w:r>
        <w:rPr>
          <w:lang w:val="fr-FR"/>
        </w:rPr>
        <w:t>’</w:t>
      </w:r>
      <w:r w:rsidRPr="00412C58">
        <w:rPr>
          <w:lang w:val="fr-FR"/>
        </w:rPr>
        <w:t>avancer l</w:t>
      </w:r>
      <w:r>
        <w:rPr>
          <w:lang w:val="fr-FR"/>
        </w:rPr>
        <w:t>’</w:t>
      </w:r>
      <w:r w:rsidRPr="00412C58">
        <w:rPr>
          <w:lang w:val="fr-FR"/>
        </w:rPr>
        <w:t>argument de l</w:t>
      </w:r>
      <w:r>
        <w:rPr>
          <w:lang w:val="fr-FR"/>
        </w:rPr>
        <w:t>’</w:t>
      </w:r>
      <w:r w:rsidRPr="00412C58">
        <w:rPr>
          <w:lang w:val="fr-FR"/>
        </w:rPr>
        <w:t>indisponibilité des recours en indemnisation. L</w:t>
      </w:r>
      <w:r>
        <w:rPr>
          <w:lang w:val="fr-FR"/>
        </w:rPr>
        <w:t>’É</w:t>
      </w:r>
      <w:r w:rsidRPr="00412C58">
        <w:rPr>
          <w:lang w:val="fr-FR"/>
        </w:rPr>
        <w:t xml:space="preserve">tat partie réitère que la </w:t>
      </w:r>
      <w:r>
        <w:rPr>
          <w:lang w:val="fr-FR"/>
        </w:rPr>
        <w:t>c</w:t>
      </w:r>
      <w:r w:rsidRPr="00412C58">
        <w:rPr>
          <w:lang w:val="fr-FR"/>
        </w:rPr>
        <w:t xml:space="preserve">ommission </w:t>
      </w:r>
      <w:r>
        <w:rPr>
          <w:lang w:val="fr-FR"/>
        </w:rPr>
        <w:t xml:space="preserve">d’indemnisation </w:t>
      </w:r>
      <w:r w:rsidRPr="00412C58">
        <w:rPr>
          <w:lang w:val="fr-FR"/>
        </w:rPr>
        <w:t>est fonctionnelle</w:t>
      </w:r>
      <w:r>
        <w:rPr>
          <w:lang w:val="fr-FR"/>
        </w:rPr>
        <w:t xml:space="preserve"> et précise</w:t>
      </w:r>
      <w:r w:rsidRPr="00412C58">
        <w:rPr>
          <w:lang w:val="fr-FR"/>
        </w:rPr>
        <w:t xml:space="preserve"> </w:t>
      </w:r>
      <w:r>
        <w:rPr>
          <w:lang w:val="fr-FR"/>
        </w:rPr>
        <w:t>qu’elle</w:t>
      </w:r>
      <w:r w:rsidRPr="00412C58">
        <w:rPr>
          <w:lang w:val="fr-FR"/>
        </w:rPr>
        <w:t xml:space="preserve"> a déjà été saisie de 16</w:t>
      </w:r>
      <w:r>
        <w:rPr>
          <w:lang w:val="fr-FR"/>
        </w:rPr>
        <w:t> </w:t>
      </w:r>
      <w:r w:rsidRPr="00412C58">
        <w:rPr>
          <w:lang w:val="fr-FR"/>
        </w:rPr>
        <w:t>requêtes qui sont en cours d</w:t>
      </w:r>
      <w:r>
        <w:rPr>
          <w:lang w:val="fr-FR"/>
        </w:rPr>
        <w:t>’</w:t>
      </w:r>
      <w:r w:rsidRPr="00412C58">
        <w:rPr>
          <w:lang w:val="fr-FR"/>
        </w:rPr>
        <w:t xml:space="preserve">examen. </w:t>
      </w:r>
    </w:p>
    <w:p w14:paraId="5123A464" w14:textId="77777777" w:rsidR="00E83006" w:rsidRPr="00412C58" w:rsidRDefault="00E83006" w:rsidP="00ED242C">
      <w:pPr>
        <w:pStyle w:val="H23G"/>
      </w:pPr>
      <w:r w:rsidRPr="00412C58">
        <w:rPr>
          <w:lang w:val="fr-FR"/>
        </w:rPr>
        <w:lastRenderedPageBreak/>
        <w:tab/>
      </w:r>
      <w:r w:rsidRPr="00412C58">
        <w:rPr>
          <w:lang w:val="fr-FR"/>
        </w:rPr>
        <w:tab/>
        <w:t>Commentaires de l</w:t>
      </w:r>
      <w:r>
        <w:rPr>
          <w:lang w:val="fr-FR"/>
        </w:rPr>
        <w:t>’</w:t>
      </w:r>
      <w:r w:rsidRPr="00412C58">
        <w:rPr>
          <w:lang w:val="fr-FR"/>
        </w:rPr>
        <w:t xml:space="preserve">auteur sur les observations </w:t>
      </w:r>
      <w:r>
        <w:rPr>
          <w:lang w:val="fr-FR"/>
        </w:rPr>
        <w:t xml:space="preserve">complémentaires </w:t>
      </w:r>
      <w:r w:rsidRPr="00412C58">
        <w:rPr>
          <w:lang w:val="fr-FR"/>
        </w:rPr>
        <w:t>de l</w:t>
      </w:r>
      <w:r>
        <w:rPr>
          <w:lang w:val="fr-FR"/>
        </w:rPr>
        <w:t>’</w:t>
      </w:r>
      <w:r w:rsidRPr="00412C58">
        <w:rPr>
          <w:lang w:val="fr-FR"/>
        </w:rPr>
        <w:t>État partie</w:t>
      </w:r>
    </w:p>
    <w:p w14:paraId="5F666392" w14:textId="6F5EFCFD" w:rsidR="00E83006" w:rsidRPr="00412C58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7.1</w:t>
      </w:r>
      <w:r w:rsidRPr="00412C58">
        <w:rPr>
          <w:lang w:val="fr-FR"/>
        </w:rPr>
        <w:tab/>
        <w:t xml:space="preserve">Dans ses commentaires du </w:t>
      </w:r>
      <w:r w:rsidR="009624DB" w:rsidRPr="00412C58">
        <w:rPr>
          <w:lang w:val="fr-FR"/>
        </w:rPr>
        <w:t>7</w:t>
      </w:r>
      <w:r w:rsidR="009624DB">
        <w:rPr>
          <w:lang w:val="fr-FR"/>
        </w:rPr>
        <w:t> </w:t>
      </w:r>
      <w:r w:rsidRPr="00412C58">
        <w:rPr>
          <w:lang w:val="fr-FR"/>
        </w:rPr>
        <w:t>juillet 2019, l</w:t>
      </w:r>
      <w:r>
        <w:rPr>
          <w:lang w:val="fr-FR"/>
        </w:rPr>
        <w:t>’</w:t>
      </w:r>
      <w:r w:rsidRPr="00412C58">
        <w:rPr>
          <w:lang w:val="fr-FR"/>
        </w:rPr>
        <w:t>auteur rappelle qu</w:t>
      </w:r>
      <w:r>
        <w:rPr>
          <w:lang w:val="fr-FR"/>
        </w:rPr>
        <w:t>’</w:t>
      </w:r>
      <w:r w:rsidRPr="00412C58">
        <w:rPr>
          <w:lang w:val="fr-FR"/>
        </w:rPr>
        <w:t>il a soumis sa communication au Comité en octobre 2014</w:t>
      </w:r>
      <w:r>
        <w:rPr>
          <w:lang w:val="fr-FR"/>
        </w:rPr>
        <w:t>,</w:t>
      </w:r>
      <w:r w:rsidRPr="00412C58">
        <w:rPr>
          <w:lang w:val="fr-FR"/>
        </w:rPr>
        <w:t xml:space="preserve"> alors que la </w:t>
      </w:r>
      <w:r>
        <w:rPr>
          <w:lang w:val="fr-FR"/>
        </w:rPr>
        <w:t>c</w:t>
      </w:r>
      <w:r w:rsidRPr="00412C58">
        <w:rPr>
          <w:lang w:val="fr-FR"/>
        </w:rPr>
        <w:t>ommission d</w:t>
      </w:r>
      <w:r>
        <w:rPr>
          <w:lang w:val="fr-FR"/>
        </w:rPr>
        <w:t>’</w:t>
      </w:r>
      <w:r w:rsidRPr="00412C58">
        <w:rPr>
          <w:lang w:val="fr-FR"/>
        </w:rPr>
        <w:t>indemnisation a été mise en place en février 2016</w:t>
      </w:r>
      <w:r>
        <w:rPr>
          <w:lang w:val="fr-FR"/>
        </w:rPr>
        <w:t xml:space="preserve"> seulement</w:t>
      </w:r>
      <w:r w:rsidRPr="00412C58">
        <w:rPr>
          <w:lang w:val="fr-FR"/>
        </w:rPr>
        <w:t xml:space="preserve">. </w:t>
      </w:r>
      <w:r>
        <w:rPr>
          <w:lang w:val="fr-FR"/>
        </w:rPr>
        <w:t>À</w:t>
      </w:r>
      <w:r w:rsidRPr="00412C58">
        <w:rPr>
          <w:lang w:val="fr-FR"/>
        </w:rPr>
        <w:t xml:space="preserve"> cet égard, </w:t>
      </w:r>
      <w:r>
        <w:rPr>
          <w:lang w:val="fr-FR"/>
        </w:rPr>
        <w:t>il fait valoir</w:t>
      </w:r>
      <w:r w:rsidRPr="00412C58">
        <w:rPr>
          <w:lang w:val="fr-FR"/>
        </w:rPr>
        <w:t xml:space="preserve"> que l</w:t>
      </w:r>
      <w:r>
        <w:rPr>
          <w:lang w:val="fr-FR"/>
        </w:rPr>
        <w:t>’É</w:t>
      </w:r>
      <w:r w:rsidRPr="00412C58">
        <w:rPr>
          <w:lang w:val="fr-FR"/>
        </w:rPr>
        <w:t>tat partie ne saurait lui demander de saisir un organe qui n</w:t>
      </w:r>
      <w:r>
        <w:rPr>
          <w:lang w:val="fr-FR"/>
        </w:rPr>
        <w:t>’</w:t>
      </w:r>
      <w:r w:rsidRPr="00412C58">
        <w:rPr>
          <w:lang w:val="fr-FR"/>
        </w:rPr>
        <w:t>existait pas. L</w:t>
      </w:r>
      <w:r>
        <w:rPr>
          <w:lang w:val="fr-FR"/>
        </w:rPr>
        <w:t>’</w:t>
      </w:r>
      <w:r w:rsidRPr="00412C58">
        <w:rPr>
          <w:lang w:val="fr-FR"/>
        </w:rPr>
        <w:t xml:space="preserve">auteur souligne </w:t>
      </w:r>
      <w:r>
        <w:rPr>
          <w:lang w:val="fr-FR"/>
        </w:rPr>
        <w:t xml:space="preserve">également </w:t>
      </w:r>
      <w:r w:rsidRPr="00412C58">
        <w:rPr>
          <w:lang w:val="fr-FR"/>
        </w:rPr>
        <w:t>que</w:t>
      </w:r>
      <w:r>
        <w:rPr>
          <w:lang w:val="fr-FR"/>
        </w:rPr>
        <w:t>,</w:t>
      </w:r>
      <w:r w:rsidRPr="00412C58">
        <w:rPr>
          <w:lang w:val="fr-FR"/>
        </w:rPr>
        <w:t xml:space="preserve"> </w:t>
      </w:r>
      <w:r>
        <w:rPr>
          <w:lang w:val="fr-FR"/>
        </w:rPr>
        <w:t>du fait qu’il n’a pu</w:t>
      </w:r>
      <w:r w:rsidRPr="00412C58">
        <w:rPr>
          <w:lang w:val="fr-FR"/>
        </w:rPr>
        <w:t xml:space="preserve"> saisir la </w:t>
      </w:r>
      <w:r>
        <w:rPr>
          <w:lang w:val="fr-FR"/>
        </w:rPr>
        <w:t>c</w:t>
      </w:r>
      <w:r w:rsidRPr="00412C58">
        <w:rPr>
          <w:lang w:val="fr-FR"/>
        </w:rPr>
        <w:t>ommission dans un délai de six mois</w:t>
      </w:r>
      <w:r w:rsidRPr="00914591">
        <w:rPr>
          <w:rStyle w:val="Appelnotedebasdep"/>
        </w:rPr>
        <w:footnoteReference w:id="6"/>
      </w:r>
      <w:r w:rsidRPr="00412C58">
        <w:rPr>
          <w:lang w:val="fr-FR"/>
        </w:rPr>
        <w:t>, il a été frappé de forclusion et qu</w:t>
      </w:r>
      <w:r>
        <w:rPr>
          <w:lang w:val="fr-FR"/>
        </w:rPr>
        <w:t>’</w:t>
      </w:r>
      <w:r w:rsidRPr="00412C58">
        <w:rPr>
          <w:lang w:val="fr-FR"/>
        </w:rPr>
        <w:t>en conséquence</w:t>
      </w:r>
      <w:r>
        <w:rPr>
          <w:lang w:val="fr-FR"/>
        </w:rPr>
        <w:t>,</w:t>
      </w:r>
      <w:r w:rsidRPr="00412C58">
        <w:rPr>
          <w:lang w:val="fr-FR"/>
        </w:rPr>
        <w:t xml:space="preserve"> il a épuisé toutes les voies de recours internes. L</w:t>
      </w:r>
      <w:r>
        <w:rPr>
          <w:lang w:val="fr-FR"/>
        </w:rPr>
        <w:t>’</w:t>
      </w:r>
      <w:r w:rsidRPr="00412C58">
        <w:rPr>
          <w:lang w:val="fr-FR"/>
        </w:rPr>
        <w:t>auteur réitère qu</w:t>
      </w:r>
      <w:r>
        <w:rPr>
          <w:lang w:val="fr-FR"/>
        </w:rPr>
        <w:t>’</w:t>
      </w:r>
      <w:r w:rsidRPr="00412C58">
        <w:rPr>
          <w:lang w:val="fr-FR"/>
        </w:rPr>
        <w:t>il a droit à l</w:t>
      </w:r>
      <w:r>
        <w:rPr>
          <w:lang w:val="fr-FR"/>
        </w:rPr>
        <w:t>’</w:t>
      </w:r>
      <w:r w:rsidRPr="00412C58">
        <w:rPr>
          <w:lang w:val="fr-FR"/>
        </w:rPr>
        <w:t xml:space="preserve">indemnisation même </w:t>
      </w:r>
      <w:r>
        <w:rPr>
          <w:lang w:val="fr-FR"/>
        </w:rPr>
        <w:t>si la</w:t>
      </w:r>
      <w:r w:rsidRPr="00412C58">
        <w:rPr>
          <w:lang w:val="fr-FR"/>
        </w:rPr>
        <w:t xml:space="preserve"> décision </w:t>
      </w:r>
      <w:r>
        <w:rPr>
          <w:lang w:val="fr-FR"/>
        </w:rPr>
        <w:t xml:space="preserve">de son </w:t>
      </w:r>
      <w:r w:rsidRPr="00412C58">
        <w:rPr>
          <w:lang w:val="fr-FR"/>
        </w:rPr>
        <w:t xml:space="preserve">acquittement </w:t>
      </w:r>
      <w:r>
        <w:rPr>
          <w:lang w:val="fr-FR"/>
        </w:rPr>
        <w:t xml:space="preserve">n’est pas consécutive </w:t>
      </w:r>
      <w:r w:rsidRPr="00412C58">
        <w:rPr>
          <w:lang w:val="fr-FR"/>
        </w:rPr>
        <w:t>à la découverte d</w:t>
      </w:r>
      <w:r>
        <w:rPr>
          <w:lang w:val="fr-FR"/>
        </w:rPr>
        <w:t>’</w:t>
      </w:r>
      <w:r w:rsidRPr="00412C58">
        <w:rPr>
          <w:lang w:val="fr-FR"/>
        </w:rPr>
        <w:t>un fait nouveau</w:t>
      </w:r>
      <w:r>
        <w:rPr>
          <w:lang w:val="fr-FR"/>
        </w:rPr>
        <w:t>, et</w:t>
      </w:r>
      <w:r w:rsidRPr="00412C58">
        <w:rPr>
          <w:lang w:val="fr-FR"/>
        </w:rPr>
        <w:t xml:space="preserve"> que l</w:t>
      </w:r>
      <w:r>
        <w:rPr>
          <w:lang w:val="fr-FR"/>
        </w:rPr>
        <w:t>’</w:t>
      </w:r>
      <w:r w:rsidRPr="00412C58">
        <w:rPr>
          <w:lang w:val="fr-FR"/>
        </w:rPr>
        <w:t xml:space="preserve">absence de </w:t>
      </w:r>
      <w:r>
        <w:rPr>
          <w:lang w:val="fr-FR"/>
        </w:rPr>
        <w:t>c</w:t>
      </w:r>
      <w:r w:rsidRPr="00412C58">
        <w:rPr>
          <w:lang w:val="fr-FR"/>
        </w:rPr>
        <w:t>ommission d</w:t>
      </w:r>
      <w:r>
        <w:rPr>
          <w:lang w:val="fr-FR"/>
        </w:rPr>
        <w:t>’</w:t>
      </w:r>
      <w:r w:rsidRPr="00412C58">
        <w:rPr>
          <w:lang w:val="fr-FR"/>
        </w:rPr>
        <w:t xml:space="preserve">indemnisation est une violation de son droit à réparation. </w:t>
      </w:r>
    </w:p>
    <w:p w14:paraId="7606D0AC" w14:textId="77777777" w:rsidR="00E83006" w:rsidRPr="00412C58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7.2</w:t>
      </w:r>
      <w:r w:rsidRPr="00412C58">
        <w:rPr>
          <w:lang w:val="fr-FR"/>
        </w:rPr>
        <w:tab/>
        <w:t>L</w:t>
      </w:r>
      <w:r>
        <w:rPr>
          <w:lang w:val="fr-FR"/>
        </w:rPr>
        <w:t>’</w:t>
      </w:r>
      <w:r w:rsidRPr="00412C58">
        <w:rPr>
          <w:lang w:val="fr-FR"/>
        </w:rPr>
        <w:t>auteur conteste la déclaration de l</w:t>
      </w:r>
      <w:r>
        <w:rPr>
          <w:lang w:val="fr-FR"/>
        </w:rPr>
        <w:t>’É</w:t>
      </w:r>
      <w:r w:rsidRPr="00412C58">
        <w:rPr>
          <w:lang w:val="fr-FR"/>
        </w:rPr>
        <w:t xml:space="preserve">tat partie selon laquelle il a choisi délibérément de ne pas saisir la </w:t>
      </w:r>
      <w:r>
        <w:rPr>
          <w:lang w:val="fr-FR"/>
        </w:rPr>
        <w:t>c</w:t>
      </w:r>
      <w:r w:rsidRPr="00412C58">
        <w:rPr>
          <w:lang w:val="fr-FR"/>
        </w:rPr>
        <w:t>ommission d</w:t>
      </w:r>
      <w:r>
        <w:rPr>
          <w:lang w:val="fr-FR"/>
        </w:rPr>
        <w:t>’</w:t>
      </w:r>
      <w:r w:rsidRPr="00412C58">
        <w:rPr>
          <w:lang w:val="fr-FR"/>
        </w:rPr>
        <w:t xml:space="preserve">indemnisation. </w:t>
      </w:r>
      <w:r>
        <w:rPr>
          <w:lang w:val="fr-FR"/>
        </w:rPr>
        <w:t>Il</w:t>
      </w:r>
      <w:r w:rsidRPr="00412C58">
        <w:rPr>
          <w:lang w:val="fr-FR"/>
        </w:rPr>
        <w:t xml:space="preserve"> rappelle qu</w:t>
      </w:r>
      <w:r>
        <w:rPr>
          <w:lang w:val="fr-FR"/>
        </w:rPr>
        <w:t>’</w:t>
      </w:r>
      <w:r w:rsidRPr="00412C58">
        <w:rPr>
          <w:lang w:val="fr-FR"/>
        </w:rPr>
        <w:t>en dépit de l</w:t>
      </w:r>
      <w:r>
        <w:rPr>
          <w:lang w:val="fr-FR"/>
        </w:rPr>
        <w:t>’</w:t>
      </w:r>
      <w:r w:rsidRPr="00412C58">
        <w:rPr>
          <w:lang w:val="fr-FR"/>
        </w:rPr>
        <w:t>absence de la</w:t>
      </w:r>
      <w:r>
        <w:rPr>
          <w:lang w:val="fr-FR"/>
        </w:rPr>
        <w:t>dite</w:t>
      </w:r>
      <w:r w:rsidRPr="00412C58">
        <w:rPr>
          <w:lang w:val="fr-FR"/>
        </w:rPr>
        <w:t xml:space="preserve"> </w:t>
      </w:r>
      <w:r>
        <w:rPr>
          <w:lang w:val="fr-FR"/>
        </w:rPr>
        <w:t>c</w:t>
      </w:r>
      <w:r w:rsidRPr="00412C58">
        <w:rPr>
          <w:lang w:val="fr-FR"/>
        </w:rPr>
        <w:t>ommission, dans le souci de respecter la règle de l</w:t>
      </w:r>
      <w:r>
        <w:rPr>
          <w:lang w:val="fr-FR"/>
        </w:rPr>
        <w:t>’</w:t>
      </w:r>
      <w:r w:rsidRPr="00412C58">
        <w:rPr>
          <w:lang w:val="fr-FR"/>
        </w:rPr>
        <w:t>épuisement des voies de recours internes, il a quand même attendu l</w:t>
      </w:r>
      <w:r>
        <w:rPr>
          <w:lang w:val="fr-FR"/>
        </w:rPr>
        <w:t>’</w:t>
      </w:r>
      <w:r w:rsidRPr="00412C58">
        <w:rPr>
          <w:lang w:val="fr-FR"/>
        </w:rPr>
        <w:t xml:space="preserve">expiration des six mois prévus par le Code de procédure pénale avant de saisir le Comité. </w:t>
      </w:r>
    </w:p>
    <w:p w14:paraId="7E804141" w14:textId="2A1C71EB" w:rsidR="00E83006" w:rsidRPr="00412C58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7.3</w:t>
      </w:r>
      <w:r w:rsidRPr="00412C58">
        <w:rPr>
          <w:lang w:val="fr-FR"/>
        </w:rPr>
        <w:tab/>
        <w:t>L</w:t>
      </w:r>
      <w:r>
        <w:rPr>
          <w:lang w:val="fr-FR"/>
        </w:rPr>
        <w:t>’</w:t>
      </w:r>
      <w:r w:rsidRPr="00412C58">
        <w:rPr>
          <w:lang w:val="fr-FR"/>
        </w:rPr>
        <w:t>auteur rappelle que ce n</w:t>
      </w:r>
      <w:r>
        <w:rPr>
          <w:lang w:val="fr-FR"/>
        </w:rPr>
        <w:t>’</w:t>
      </w:r>
      <w:r w:rsidRPr="00412C58">
        <w:rPr>
          <w:lang w:val="fr-FR"/>
        </w:rPr>
        <w:t>est qu</w:t>
      </w:r>
      <w:r>
        <w:rPr>
          <w:lang w:val="fr-FR"/>
        </w:rPr>
        <w:t>’</w:t>
      </w:r>
      <w:r w:rsidRPr="00412C58">
        <w:rPr>
          <w:lang w:val="fr-FR"/>
        </w:rPr>
        <w:t>après avoir écrit à la Commission nationale des droits de l</w:t>
      </w:r>
      <w:r>
        <w:rPr>
          <w:lang w:val="fr-FR"/>
        </w:rPr>
        <w:t>’</w:t>
      </w:r>
      <w:r w:rsidRPr="00412C58">
        <w:rPr>
          <w:lang w:val="fr-FR"/>
        </w:rPr>
        <w:t>homme et des libertés pour lui faire part de sa forclusion, de l</w:t>
      </w:r>
      <w:r>
        <w:rPr>
          <w:lang w:val="fr-FR"/>
        </w:rPr>
        <w:t>’</w:t>
      </w:r>
      <w:r w:rsidRPr="00412C58">
        <w:rPr>
          <w:lang w:val="fr-FR"/>
        </w:rPr>
        <w:t xml:space="preserve">indisponibilité de la </w:t>
      </w:r>
      <w:r>
        <w:rPr>
          <w:lang w:val="fr-FR"/>
        </w:rPr>
        <w:t>c</w:t>
      </w:r>
      <w:r w:rsidRPr="00412C58">
        <w:rPr>
          <w:lang w:val="fr-FR"/>
        </w:rPr>
        <w:t>ommission d</w:t>
      </w:r>
      <w:r>
        <w:rPr>
          <w:lang w:val="fr-FR"/>
        </w:rPr>
        <w:t>’</w:t>
      </w:r>
      <w:r w:rsidRPr="00412C58">
        <w:rPr>
          <w:lang w:val="fr-FR"/>
        </w:rPr>
        <w:t xml:space="preserve">indemnisation et de </w:t>
      </w:r>
      <w:r>
        <w:rPr>
          <w:lang w:val="fr-FR"/>
        </w:rPr>
        <w:t>la soumission de la présente</w:t>
      </w:r>
      <w:r w:rsidRPr="00412C58">
        <w:rPr>
          <w:lang w:val="fr-FR"/>
        </w:rPr>
        <w:t xml:space="preserve"> communication au Comité que le Ministère de la </w:t>
      </w:r>
      <w:r>
        <w:rPr>
          <w:lang w:val="fr-FR"/>
        </w:rPr>
        <w:t>j</w:t>
      </w:r>
      <w:r w:rsidRPr="00412C58">
        <w:rPr>
          <w:lang w:val="fr-FR"/>
        </w:rPr>
        <w:t>ustice a révélé que l</w:t>
      </w:r>
      <w:r>
        <w:rPr>
          <w:lang w:val="fr-FR"/>
        </w:rPr>
        <w:t>’É</w:t>
      </w:r>
      <w:r w:rsidRPr="00412C58">
        <w:rPr>
          <w:lang w:val="fr-FR"/>
        </w:rPr>
        <w:t xml:space="preserve">tat partie était en train de mettre sur pied ladite </w:t>
      </w:r>
      <w:r>
        <w:rPr>
          <w:lang w:val="fr-FR"/>
        </w:rPr>
        <w:t>c</w:t>
      </w:r>
      <w:r w:rsidRPr="00412C58">
        <w:rPr>
          <w:lang w:val="fr-FR"/>
        </w:rPr>
        <w:t>ommission, qui n</w:t>
      </w:r>
      <w:r>
        <w:rPr>
          <w:lang w:val="fr-FR"/>
        </w:rPr>
        <w:t>’</w:t>
      </w:r>
      <w:r w:rsidRPr="00412C58">
        <w:rPr>
          <w:lang w:val="fr-FR"/>
        </w:rPr>
        <w:t xml:space="preserve">est devenue effective que le </w:t>
      </w:r>
      <w:r w:rsidR="009624DB" w:rsidRPr="00412C58">
        <w:rPr>
          <w:lang w:val="fr-FR"/>
        </w:rPr>
        <w:t>6</w:t>
      </w:r>
      <w:r w:rsidR="009624DB">
        <w:rPr>
          <w:lang w:val="fr-FR"/>
        </w:rPr>
        <w:t> </w:t>
      </w:r>
      <w:r w:rsidRPr="00412C58">
        <w:rPr>
          <w:lang w:val="fr-FR"/>
        </w:rPr>
        <w:t>juin 2016. L</w:t>
      </w:r>
      <w:r>
        <w:rPr>
          <w:lang w:val="fr-FR"/>
        </w:rPr>
        <w:t>’</w:t>
      </w:r>
      <w:r w:rsidRPr="00412C58">
        <w:rPr>
          <w:lang w:val="fr-FR"/>
        </w:rPr>
        <w:t xml:space="preserve">auteur </w:t>
      </w:r>
      <w:r>
        <w:rPr>
          <w:lang w:val="fr-FR"/>
        </w:rPr>
        <w:t>ajoute</w:t>
      </w:r>
      <w:r w:rsidRPr="00412C58">
        <w:rPr>
          <w:lang w:val="fr-FR"/>
        </w:rPr>
        <w:t xml:space="preserve"> que ce n</w:t>
      </w:r>
      <w:r>
        <w:rPr>
          <w:lang w:val="fr-FR"/>
        </w:rPr>
        <w:t>’</w:t>
      </w:r>
      <w:r w:rsidRPr="00412C58">
        <w:rPr>
          <w:lang w:val="fr-FR"/>
        </w:rPr>
        <w:t xml:space="preserve">est pas parce que la </w:t>
      </w:r>
      <w:r>
        <w:rPr>
          <w:lang w:val="fr-FR"/>
        </w:rPr>
        <w:t>c</w:t>
      </w:r>
      <w:r w:rsidRPr="00412C58">
        <w:rPr>
          <w:lang w:val="fr-FR"/>
        </w:rPr>
        <w:t>ommission a</w:t>
      </w:r>
      <w:r>
        <w:rPr>
          <w:lang w:val="fr-FR"/>
        </w:rPr>
        <w:t>vait</w:t>
      </w:r>
      <w:r w:rsidRPr="00412C58">
        <w:rPr>
          <w:lang w:val="fr-FR"/>
        </w:rPr>
        <w:t xml:space="preserve"> été créée qu</w:t>
      </w:r>
      <w:r>
        <w:rPr>
          <w:lang w:val="fr-FR"/>
        </w:rPr>
        <w:t>’</w:t>
      </w:r>
      <w:r w:rsidRPr="00412C58">
        <w:rPr>
          <w:lang w:val="fr-FR"/>
        </w:rPr>
        <w:t xml:space="preserve">il </w:t>
      </w:r>
      <w:r>
        <w:rPr>
          <w:lang w:val="fr-FR"/>
        </w:rPr>
        <w:t>était</w:t>
      </w:r>
      <w:r w:rsidRPr="00412C58">
        <w:rPr>
          <w:lang w:val="fr-FR"/>
        </w:rPr>
        <w:t xml:space="preserve"> relevé de sa forclusion au regard de la loi. </w:t>
      </w:r>
    </w:p>
    <w:p w14:paraId="195454AD" w14:textId="77777777" w:rsidR="00E83006" w:rsidRPr="00412C58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7.4</w:t>
      </w:r>
      <w:r w:rsidRPr="00412C58">
        <w:rPr>
          <w:lang w:val="fr-FR"/>
        </w:rPr>
        <w:tab/>
        <w:t>L</w:t>
      </w:r>
      <w:r>
        <w:rPr>
          <w:lang w:val="fr-FR"/>
        </w:rPr>
        <w:t>’</w:t>
      </w:r>
      <w:r w:rsidRPr="00412C58">
        <w:rPr>
          <w:lang w:val="fr-FR"/>
        </w:rPr>
        <w:t xml:space="preserve">auteur conteste le caractère judiciaire allégué de la </w:t>
      </w:r>
      <w:r>
        <w:rPr>
          <w:lang w:val="fr-FR"/>
        </w:rPr>
        <w:t>c</w:t>
      </w:r>
      <w:r w:rsidRPr="00412C58">
        <w:rPr>
          <w:lang w:val="fr-FR"/>
        </w:rPr>
        <w:t>ommission d</w:t>
      </w:r>
      <w:r>
        <w:rPr>
          <w:lang w:val="fr-FR"/>
        </w:rPr>
        <w:t>’</w:t>
      </w:r>
      <w:r w:rsidRPr="00412C58">
        <w:rPr>
          <w:lang w:val="fr-FR"/>
        </w:rPr>
        <w:t xml:space="preserve">indemnisation. </w:t>
      </w:r>
      <w:r>
        <w:rPr>
          <w:lang w:val="fr-FR"/>
        </w:rPr>
        <w:t>S’</w:t>
      </w:r>
      <w:r w:rsidRPr="00412C58">
        <w:rPr>
          <w:lang w:val="fr-FR"/>
        </w:rPr>
        <w:t xml:space="preserve">il est vrai que </w:t>
      </w:r>
      <w:r>
        <w:rPr>
          <w:lang w:val="fr-FR"/>
        </w:rPr>
        <w:t>celle-ci</w:t>
      </w:r>
      <w:r w:rsidRPr="00412C58">
        <w:rPr>
          <w:lang w:val="fr-FR"/>
        </w:rPr>
        <w:t xml:space="preserve"> est présidée par un conseiller de la Cour </w:t>
      </w:r>
      <w:r>
        <w:rPr>
          <w:lang w:val="fr-FR"/>
        </w:rPr>
        <w:t>s</w:t>
      </w:r>
      <w:r w:rsidRPr="00412C58">
        <w:rPr>
          <w:lang w:val="fr-FR"/>
        </w:rPr>
        <w:t>uprême, qui est sa juridiction d</w:t>
      </w:r>
      <w:r>
        <w:rPr>
          <w:lang w:val="fr-FR"/>
        </w:rPr>
        <w:t>’</w:t>
      </w:r>
      <w:r w:rsidRPr="00412C58">
        <w:rPr>
          <w:lang w:val="fr-FR"/>
        </w:rPr>
        <w:t>appel</w:t>
      </w:r>
      <w:r w:rsidRPr="00914591">
        <w:rPr>
          <w:rStyle w:val="Appelnotedebasdep"/>
        </w:rPr>
        <w:footnoteReference w:id="7"/>
      </w:r>
      <w:r w:rsidRPr="00412C58">
        <w:rPr>
          <w:lang w:val="fr-FR"/>
        </w:rPr>
        <w:t xml:space="preserve">, </w:t>
      </w:r>
      <w:r>
        <w:rPr>
          <w:lang w:val="fr-FR"/>
        </w:rPr>
        <w:t>l’auteur souligne qu’</w:t>
      </w:r>
      <w:r w:rsidRPr="00412C58">
        <w:rPr>
          <w:lang w:val="fr-FR"/>
        </w:rPr>
        <w:t xml:space="preserve">elle ne fait pas corps avec la </w:t>
      </w:r>
      <w:r>
        <w:rPr>
          <w:lang w:val="fr-FR"/>
        </w:rPr>
        <w:t>h</w:t>
      </w:r>
      <w:r w:rsidRPr="00412C58">
        <w:rPr>
          <w:lang w:val="fr-FR"/>
        </w:rPr>
        <w:t xml:space="preserve">aute juridiction. </w:t>
      </w:r>
      <w:r>
        <w:rPr>
          <w:lang w:val="fr-FR"/>
        </w:rPr>
        <w:t>Il</w:t>
      </w:r>
      <w:r w:rsidRPr="00412C58">
        <w:rPr>
          <w:lang w:val="fr-FR"/>
        </w:rPr>
        <w:t xml:space="preserve"> réitère que la </w:t>
      </w:r>
      <w:r>
        <w:rPr>
          <w:lang w:val="fr-FR"/>
        </w:rPr>
        <w:t>c</w:t>
      </w:r>
      <w:r w:rsidRPr="00412C58">
        <w:rPr>
          <w:lang w:val="fr-FR"/>
        </w:rPr>
        <w:t>ommission d</w:t>
      </w:r>
      <w:r>
        <w:rPr>
          <w:lang w:val="fr-FR"/>
        </w:rPr>
        <w:t>’</w:t>
      </w:r>
      <w:r w:rsidRPr="00412C58">
        <w:rPr>
          <w:lang w:val="fr-FR"/>
        </w:rPr>
        <w:t>indemnisation n</w:t>
      </w:r>
      <w:r>
        <w:rPr>
          <w:lang w:val="fr-FR"/>
        </w:rPr>
        <w:t>’</w:t>
      </w:r>
      <w:r w:rsidRPr="00412C58">
        <w:rPr>
          <w:lang w:val="fr-FR"/>
        </w:rPr>
        <w:t>est pas fonctionnelle et n</w:t>
      </w:r>
      <w:r>
        <w:rPr>
          <w:lang w:val="fr-FR"/>
        </w:rPr>
        <w:t>’</w:t>
      </w:r>
      <w:r w:rsidRPr="00412C58">
        <w:rPr>
          <w:lang w:val="fr-FR"/>
        </w:rPr>
        <w:t>a pas été portée à la connaissance des citoyens</w:t>
      </w:r>
      <w:r>
        <w:rPr>
          <w:lang w:val="fr-FR"/>
        </w:rPr>
        <w:t>,</w:t>
      </w:r>
      <w:r w:rsidRPr="00412C58">
        <w:rPr>
          <w:lang w:val="fr-FR"/>
        </w:rPr>
        <w:t xml:space="preserve"> et </w:t>
      </w:r>
      <w:r>
        <w:rPr>
          <w:lang w:val="fr-FR"/>
        </w:rPr>
        <w:t xml:space="preserve">que, </w:t>
      </w:r>
      <w:r w:rsidRPr="00412C58">
        <w:rPr>
          <w:lang w:val="fr-FR"/>
        </w:rPr>
        <w:t>par conséquent</w:t>
      </w:r>
      <w:r>
        <w:rPr>
          <w:lang w:val="fr-FR"/>
        </w:rPr>
        <w:t>, elle</w:t>
      </w:r>
      <w:r w:rsidRPr="00412C58">
        <w:rPr>
          <w:lang w:val="fr-FR"/>
        </w:rPr>
        <w:t xml:space="preserve"> ne saurait leur être opposable.</w:t>
      </w:r>
    </w:p>
    <w:p w14:paraId="53412047" w14:textId="7A9F68A2" w:rsidR="00E83006" w:rsidRPr="00412C58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7.</w:t>
      </w:r>
      <w:r>
        <w:rPr>
          <w:lang w:val="fr-FR"/>
        </w:rPr>
        <w:t>5</w:t>
      </w:r>
      <w:r w:rsidRPr="00412C58">
        <w:rPr>
          <w:lang w:val="fr-FR"/>
        </w:rPr>
        <w:tab/>
        <w:t xml:space="preserve">Le </w:t>
      </w:r>
      <w:r w:rsidR="009624DB" w:rsidRPr="00412C58">
        <w:rPr>
          <w:lang w:val="fr-FR"/>
        </w:rPr>
        <w:t>29</w:t>
      </w:r>
      <w:r w:rsidR="009624DB">
        <w:rPr>
          <w:lang w:val="fr-FR"/>
        </w:rPr>
        <w:t> </w:t>
      </w:r>
      <w:r w:rsidRPr="00412C58">
        <w:rPr>
          <w:lang w:val="fr-FR"/>
        </w:rPr>
        <w:t xml:space="preserve">mai 2019, pour démontrer le caractère dysfonctionnel de la </w:t>
      </w:r>
      <w:r>
        <w:rPr>
          <w:lang w:val="fr-FR"/>
        </w:rPr>
        <w:t>c</w:t>
      </w:r>
      <w:r w:rsidRPr="00412C58">
        <w:rPr>
          <w:lang w:val="fr-FR"/>
        </w:rPr>
        <w:t>ommission d</w:t>
      </w:r>
      <w:r>
        <w:rPr>
          <w:lang w:val="fr-FR"/>
        </w:rPr>
        <w:t>’indemnisation</w:t>
      </w:r>
      <w:r w:rsidRPr="00412C58">
        <w:rPr>
          <w:lang w:val="fr-FR"/>
        </w:rPr>
        <w:t>, l</w:t>
      </w:r>
      <w:r>
        <w:rPr>
          <w:lang w:val="fr-FR"/>
        </w:rPr>
        <w:t>’</w:t>
      </w:r>
      <w:r w:rsidRPr="00412C58">
        <w:rPr>
          <w:lang w:val="fr-FR"/>
        </w:rPr>
        <w:t>auteur a soumis au Comité une lettre du Bâtonnier de l</w:t>
      </w:r>
      <w:r>
        <w:rPr>
          <w:lang w:val="fr-FR"/>
        </w:rPr>
        <w:t>’o</w:t>
      </w:r>
      <w:r w:rsidRPr="00412C58">
        <w:rPr>
          <w:lang w:val="fr-FR"/>
        </w:rPr>
        <w:t xml:space="preserve">rdre des avocats du </w:t>
      </w:r>
      <w:r>
        <w:rPr>
          <w:lang w:val="fr-FR"/>
        </w:rPr>
        <w:t>b</w:t>
      </w:r>
      <w:r w:rsidRPr="00412C58">
        <w:rPr>
          <w:lang w:val="fr-FR"/>
        </w:rPr>
        <w:t>arreau du Cameroun indiquant que</w:t>
      </w:r>
      <w:r>
        <w:rPr>
          <w:lang w:val="fr-FR"/>
        </w:rPr>
        <w:t>,</w:t>
      </w:r>
      <w:r w:rsidRPr="00412C58">
        <w:rPr>
          <w:lang w:val="fr-FR"/>
        </w:rPr>
        <w:t xml:space="preserve"> jusqu</w:t>
      </w:r>
      <w:r>
        <w:rPr>
          <w:lang w:val="fr-FR"/>
        </w:rPr>
        <w:t>’</w:t>
      </w:r>
      <w:r w:rsidRPr="00412C58">
        <w:rPr>
          <w:lang w:val="fr-FR"/>
        </w:rPr>
        <w:t xml:space="preserve">au mois de mars 2018 à tout le moins, la </w:t>
      </w:r>
      <w:r>
        <w:rPr>
          <w:lang w:val="fr-FR"/>
        </w:rPr>
        <w:t>c</w:t>
      </w:r>
      <w:r w:rsidRPr="00412C58">
        <w:rPr>
          <w:lang w:val="fr-FR"/>
        </w:rPr>
        <w:t>ommission d</w:t>
      </w:r>
      <w:r>
        <w:rPr>
          <w:lang w:val="fr-FR"/>
        </w:rPr>
        <w:t>’</w:t>
      </w:r>
      <w:r w:rsidRPr="00412C58">
        <w:rPr>
          <w:lang w:val="fr-FR"/>
        </w:rPr>
        <w:t>indemnisation ne fonctionnait pas. De plus, l</w:t>
      </w:r>
      <w:r>
        <w:rPr>
          <w:lang w:val="fr-FR"/>
        </w:rPr>
        <w:t>’</w:t>
      </w:r>
      <w:r w:rsidRPr="00412C58">
        <w:rPr>
          <w:lang w:val="fr-FR"/>
        </w:rPr>
        <w:t xml:space="preserve">auteur soumet une copie des extraits des réquisitions introductives du Procureur près la Cour </w:t>
      </w:r>
      <w:r>
        <w:rPr>
          <w:lang w:val="fr-FR"/>
        </w:rPr>
        <w:t>s</w:t>
      </w:r>
      <w:r w:rsidRPr="00412C58">
        <w:rPr>
          <w:lang w:val="fr-FR"/>
        </w:rPr>
        <w:t>uprême, au cours de la cérémonie d</w:t>
      </w:r>
      <w:r>
        <w:rPr>
          <w:lang w:val="fr-FR"/>
        </w:rPr>
        <w:t>’</w:t>
      </w:r>
      <w:r w:rsidRPr="00412C58">
        <w:rPr>
          <w:lang w:val="fr-FR"/>
        </w:rPr>
        <w:t xml:space="preserve">installation des membres de ladite commission le </w:t>
      </w:r>
      <w:r w:rsidR="009624DB" w:rsidRPr="00412C58">
        <w:rPr>
          <w:lang w:val="fr-FR"/>
        </w:rPr>
        <w:t>8</w:t>
      </w:r>
      <w:r w:rsidR="009624DB">
        <w:rPr>
          <w:lang w:val="fr-FR"/>
        </w:rPr>
        <w:t> </w:t>
      </w:r>
      <w:r w:rsidRPr="00412C58">
        <w:rPr>
          <w:lang w:val="fr-FR"/>
        </w:rPr>
        <w:t>août 2018, et dans lesquelles ce magistrat affirme que la cérémonie consacre « l</w:t>
      </w:r>
      <w:r>
        <w:rPr>
          <w:lang w:val="fr-FR"/>
        </w:rPr>
        <w:t>’</w:t>
      </w:r>
      <w:r w:rsidRPr="00412C58">
        <w:rPr>
          <w:lang w:val="fr-FR"/>
        </w:rPr>
        <w:t xml:space="preserve">entrée effective » de la </w:t>
      </w:r>
      <w:r>
        <w:rPr>
          <w:lang w:val="fr-FR"/>
        </w:rPr>
        <w:t>c</w:t>
      </w:r>
      <w:r w:rsidRPr="00412C58">
        <w:rPr>
          <w:lang w:val="fr-FR"/>
        </w:rPr>
        <w:t>ommission d</w:t>
      </w:r>
      <w:r>
        <w:rPr>
          <w:lang w:val="fr-FR"/>
        </w:rPr>
        <w:t>’</w:t>
      </w:r>
      <w:r w:rsidRPr="00412C58">
        <w:rPr>
          <w:lang w:val="fr-FR"/>
        </w:rPr>
        <w:t>indemnisation. L</w:t>
      </w:r>
      <w:r>
        <w:rPr>
          <w:lang w:val="fr-FR"/>
        </w:rPr>
        <w:t>’</w:t>
      </w:r>
      <w:r w:rsidRPr="00412C58">
        <w:rPr>
          <w:lang w:val="fr-FR"/>
        </w:rPr>
        <w:t>auteur demande au Comité, en conséquence</w:t>
      </w:r>
      <w:r>
        <w:rPr>
          <w:lang w:val="fr-FR"/>
        </w:rPr>
        <w:t>,</w:t>
      </w:r>
      <w:r w:rsidRPr="00412C58">
        <w:rPr>
          <w:lang w:val="fr-FR"/>
        </w:rPr>
        <w:t xml:space="preserve"> de déclarer la communication recevable et fondée. </w:t>
      </w:r>
    </w:p>
    <w:p w14:paraId="04801CD0" w14:textId="77777777" w:rsidR="00E83006" w:rsidRPr="00412C58" w:rsidRDefault="00E83006" w:rsidP="00ED242C">
      <w:pPr>
        <w:pStyle w:val="H23G"/>
      </w:pPr>
      <w:r w:rsidRPr="00412C58">
        <w:rPr>
          <w:lang w:val="fr-FR"/>
        </w:rPr>
        <w:tab/>
      </w:r>
      <w:r w:rsidRPr="00412C58">
        <w:rPr>
          <w:lang w:val="fr-FR"/>
        </w:rPr>
        <w:tab/>
        <w:t>Délibérations du Comité</w:t>
      </w:r>
    </w:p>
    <w:p w14:paraId="41DE02F2" w14:textId="77777777" w:rsidR="00E83006" w:rsidRPr="00412C58" w:rsidRDefault="00E83006" w:rsidP="00ED242C">
      <w:pPr>
        <w:pStyle w:val="H4G"/>
      </w:pPr>
      <w:r w:rsidRPr="00412C58">
        <w:rPr>
          <w:lang w:val="fr-FR"/>
        </w:rPr>
        <w:tab/>
      </w:r>
      <w:r w:rsidRPr="00412C58">
        <w:rPr>
          <w:lang w:val="fr-FR"/>
        </w:rPr>
        <w:tab/>
        <w:t>Examen de la recevabilité</w:t>
      </w:r>
    </w:p>
    <w:p w14:paraId="7D23DE45" w14:textId="156DAE56" w:rsidR="00E83006" w:rsidRPr="00412C58" w:rsidRDefault="00E83006" w:rsidP="00ED242C">
      <w:pPr>
        <w:pStyle w:val="SingleTxtG"/>
      </w:pPr>
      <w:r w:rsidRPr="00412C58">
        <w:rPr>
          <w:lang w:val="fr-FR"/>
        </w:rPr>
        <w:t>8.1</w:t>
      </w:r>
      <w:r w:rsidRPr="00412C58">
        <w:rPr>
          <w:lang w:val="fr-FR"/>
        </w:rPr>
        <w:tab/>
        <w:t>Avant d</w:t>
      </w:r>
      <w:r>
        <w:rPr>
          <w:lang w:val="fr-FR"/>
        </w:rPr>
        <w:t>’</w:t>
      </w:r>
      <w:r w:rsidRPr="00412C58">
        <w:rPr>
          <w:lang w:val="fr-FR"/>
        </w:rPr>
        <w:t>examiner tout grief formulé dans une communication, le Comité des droits de l</w:t>
      </w:r>
      <w:r>
        <w:rPr>
          <w:lang w:val="fr-FR"/>
        </w:rPr>
        <w:t>’</w:t>
      </w:r>
      <w:r w:rsidRPr="00412C58">
        <w:rPr>
          <w:lang w:val="fr-FR"/>
        </w:rPr>
        <w:t xml:space="preserve">homme doit, conformément à </w:t>
      </w:r>
      <w:r w:rsidR="009624DB" w:rsidRPr="00412C58">
        <w:rPr>
          <w:lang w:val="fr-FR"/>
        </w:rPr>
        <w:t>l</w:t>
      </w:r>
      <w:r w:rsidR="009624DB">
        <w:rPr>
          <w:lang w:val="fr-FR"/>
        </w:rPr>
        <w:t>’</w:t>
      </w:r>
      <w:r w:rsidR="009624DB" w:rsidRPr="00412C58">
        <w:rPr>
          <w:lang w:val="fr-FR"/>
        </w:rPr>
        <w:t>article</w:t>
      </w:r>
      <w:r w:rsidR="009624DB">
        <w:rPr>
          <w:lang w:val="fr-FR"/>
        </w:rPr>
        <w:t> </w:t>
      </w:r>
      <w:r w:rsidRPr="00412C58">
        <w:rPr>
          <w:lang w:val="fr-FR"/>
        </w:rPr>
        <w:t>97 de son règlement intérieur, déterminer si la communication est recevable au regard du Protocole facultatif se rapportant au Pacte.</w:t>
      </w:r>
    </w:p>
    <w:p w14:paraId="6412ED88" w14:textId="7E0CC446" w:rsidR="00E83006" w:rsidRPr="00412C58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8.2</w:t>
      </w:r>
      <w:r w:rsidRPr="00412C58">
        <w:rPr>
          <w:lang w:val="fr-FR"/>
        </w:rPr>
        <w:tab/>
        <w:t>Le Comité s</w:t>
      </w:r>
      <w:r>
        <w:rPr>
          <w:lang w:val="fr-FR"/>
        </w:rPr>
        <w:t>’</w:t>
      </w:r>
      <w:r w:rsidRPr="00412C58">
        <w:rPr>
          <w:lang w:val="fr-FR"/>
        </w:rPr>
        <w:t xml:space="preserve">est assuré, comme il est tenu de le faire conformément </w:t>
      </w:r>
      <w:r>
        <w:rPr>
          <w:lang w:val="fr-FR"/>
        </w:rPr>
        <w:t>à</w:t>
      </w:r>
      <w:r w:rsidRPr="00412C58">
        <w:rPr>
          <w:lang w:val="fr-FR"/>
        </w:rPr>
        <w:t xml:space="preserve"> </w:t>
      </w:r>
      <w:r w:rsidR="009624DB" w:rsidRPr="00412C58">
        <w:rPr>
          <w:lang w:val="fr-FR"/>
        </w:rPr>
        <w:t>l</w:t>
      </w:r>
      <w:r w:rsidR="009624DB">
        <w:rPr>
          <w:lang w:val="fr-FR"/>
        </w:rPr>
        <w:t>’</w:t>
      </w:r>
      <w:r w:rsidR="009624DB" w:rsidRPr="00412C58">
        <w:rPr>
          <w:lang w:val="fr-FR"/>
        </w:rPr>
        <w:t>article</w:t>
      </w:r>
      <w:r w:rsidR="009624DB">
        <w:rPr>
          <w:lang w:val="fr-FR"/>
        </w:rPr>
        <w:t> </w:t>
      </w:r>
      <w:r w:rsidRPr="00412C58">
        <w:rPr>
          <w:lang w:val="fr-FR"/>
        </w:rPr>
        <w:t>5</w:t>
      </w:r>
      <w:r>
        <w:rPr>
          <w:lang w:val="fr-FR"/>
        </w:rPr>
        <w:t xml:space="preserve"> (par. 2 a))</w:t>
      </w:r>
      <w:r w:rsidRPr="00412C58">
        <w:rPr>
          <w:lang w:val="fr-FR"/>
        </w:rPr>
        <w:t xml:space="preserve"> du Protocole facultatif, que la même question n</w:t>
      </w:r>
      <w:r>
        <w:rPr>
          <w:lang w:val="fr-FR"/>
        </w:rPr>
        <w:t>’</w:t>
      </w:r>
      <w:r w:rsidRPr="00412C58">
        <w:rPr>
          <w:lang w:val="fr-FR"/>
        </w:rPr>
        <w:t>était pas déjà en cours d</w:t>
      </w:r>
      <w:r>
        <w:rPr>
          <w:lang w:val="fr-FR"/>
        </w:rPr>
        <w:t>’</w:t>
      </w:r>
      <w:r w:rsidRPr="00412C58">
        <w:rPr>
          <w:lang w:val="fr-FR"/>
        </w:rPr>
        <w:t>examen devant une autre instance internationale d</w:t>
      </w:r>
      <w:r>
        <w:rPr>
          <w:lang w:val="fr-FR"/>
        </w:rPr>
        <w:t>’</w:t>
      </w:r>
      <w:r w:rsidRPr="00412C58">
        <w:rPr>
          <w:lang w:val="fr-FR"/>
        </w:rPr>
        <w:t>enquête ou de règlement.</w:t>
      </w:r>
    </w:p>
    <w:p w14:paraId="452F6CF9" w14:textId="14932852" w:rsidR="00E83006" w:rsidRPr="00412C58" w:rsidRDefault="00E83006" w:rsidP="00ED242C">
      <w:pPr>
        <w:pStyle w:val="SingleTxtG"/>
        <w:rPr>
          <w:rFonts w:eastAsia="Times New Roman"/>
          <w:lang w:eastAsia="fr-FR"/>
        </w:rPr>
      </w:pPr>
      <w:r w:rsidRPr="00412C58">
        <w:rPr>
          <w:lang w:val="fr-FR"/>
        </w:rPr>
        <w:t>8.3</w:t>
      </w:r>
      <w:r w:rsidRPr="00412C58">
        <w:rPr>
          <w:lang w:val="fr-FR"/>
        </w:rPr>
        <w:tab/>
      </w:r>
      <w:r w:rsidRPr="00CE67F4">
        <w:rPr>
          <w:rFonts w:eastAsia="Calibri"/>
          <w:lang w:val="fr-FR"/>
        </w:rPr>
        <w:t xml:space="preserve">Concernant la recevabilité </w:t>
      </w:r>
      <w:r w:rsidRPr="00CE67F4">
        <w:rPr>
          <w:rFonts w:eastAsia="Calibri"/>
          <w:i/>
          <w:lang w:val="fr-FR"/>
        </w:rPr>
        <w:t>ratione materiae</w:t>
      </w:r>
      <w:r w:rsidRPr="00CE67F4">
        <w:rPr>
          <w:rFonts w:eastAsia="Calibri"/>
          <w:lang w:val="fr-FR"/>
        </w:rPr>
        <w:t xml:space="preserve"> de la communication, le Comité </w:t>
      </w:r>
      <w:r w:rsidRPr="00412C58">
        <w:rPr>
          <w:rFonts w:eastAsia="Calibri"/>
          <w:lang w:val="fr-FR"/>
        </w:rPr>
        <w:t>note</w:t>
      </w:r>
      <w:r w:rsidRPr="00CE67F4">
        <w:rPr>
          <w:rFonts w:eastAsia="Calibri"/>
          <w:lang w:val="fr-FR"/>
        </w:rPr>
        <w:t xml:space="preserve"> l</w:t>
      </w:r>
      <w:r>
        <w:rPr>
          <w:rFonts w:eastAsia="Calibri"/>
          <w:lang w:val="fr-FR"/>
        </w:rPr>
        <w:t>’</w:t>
      </w:r>
      <w:r w:rsidRPr="00CE67F4">
        <w:rPr>
          <w:rFonts w:eastAsia="Calibri"/>
          <w:lang w:val="fr-FR"/>
        </w:rPr>
        <w:t>argument de l</w:t>
      </w:r>
      <w:r>
        <w:rPr>
          <w:rFonts w:eastAsia="Calibri"/>
          <w:lang w:val="fr-FR"/>
        </w:rPr>
        <w:t>’É</w:t>
      </w:r>
      <w:r w:rsidRPr="00CE67F4">
        <w:rPr>
          <w:rFonts w:eastAsia="Calibri"/>
          <w:lang w:val="fr-FR"/>
        </w:rPr>
        <w:t>tat partie qui fait valoir l</w:t>
      </w:r>
      <w:r>
        <w:rPr>
          <w:rFonts w:eastAsia="Calibri"/>
          <w:lang w:val="fr-FR"/>
        </w:rPr>
        <w:t>’</w:t>
      </w:r>
      <w:r w:rsidRPr="00CE67F4">
        <w:rPr>
          <w:rFonts w:eastAsia="Calibri"/>
          <w:lang w:val="fr-FR"/>
        </w:rPr>
        <w:t xml:space="preserve">inadéquation du grief soulevé par rapport aux dispositions de </w:t>
      </w:r>
      <w:r w:rsidR="009624DB" w:rsidRPr="00CE67F4">
        <w:rPr>
          <w:rFonts w:eastAsia="Calibri"/>
          <w:lang w:val="fr-FR"/>
        </w:rPr>
        <w:t>l</w:t>
      </w:r>
      <w:r w:rsidR="009624DB">
        <w:rPr>
          <w:rFonts w:eastAsia="Calibri"/>
          <w:lang w:val="fr-FR"/>
        </w:rPr>
        <w:t>’</w:t>
      </w:r>
      <w:r w:rsidR="009624DB" w:rsidRPr="00CE67F4">
        <w:rPr>
          <w:rFonts w:eastAsia="Calibri"/>
          <w:lang w:val="fr-FR"/>
        </w:rPr>
        <w:t>article</w:t>
      </w:r>
      <w:r w:rsidR="009624DB">
        <w:rPr>
          <w:rFonts w:eastAsia="Calibri"/>
          <w:lang w:val="fr-FR"/>
        </w:rPr>
        <w:t> </w:t>
      </w:r>
      <w:r w:rsidRPr="00CE67F4">
        <w:rPr>
          <w:rFonts w:eastAsia="Calibri"/>
          <w:lang w:val="fr-FR"/>
        </w:rPr>
        <w:t>14</w:t>
      </w:r>
      <w:r>
        <w:rPr>
          <w:rFonts w:eastAsia="Calibri"/>
          <w:lang w:val="fr-FR"/>
        </w:rPr>
        <w:t xml:space="preserve"> </w:t>
      </w:r>
      <w:r w:rsidRPr="00CE67F4">
        <w:rPr>
          <w:rFonts w:eastAsia="Calibri"/>
          <w:lang w:val="fr-FR"/>
        </w:rPr>
        <w:t>(</w:t>
      </w:r>
      <w:r>
        <w:rPr>
          <w:rFonts w:eastAsia="Calibri"/>
          <w:lang w:val="fr-FR"/>
        </w:rPr>
        <w:t>par. </w:t>
      </w:r>
      <w:r w:rsidRPr="00CE67F4">
        <w:rPr>
          <w:rFonts w:eastAsia="Calibri"/>
          <w:lang w:val="fr-FR"/>
        </w:rPr>
        <w:t xml:space="preserve">1) du Pacte. Le Comité note </w:t>
      </w:r>
      <w:r w:rsidRPr="00412C58">
        <w:rPr>
          <w:rFonts w:eastAsia="Calibri"/>
          <w:lang w:val="fr-FR"/>
        </w:rPr>
        <w:t>que selon l</w:t>
      </w:r>
      <w:r>
        <w:rPr>
          <w:rFonts w:eastAsia="Calibri"/>
          <w:lang w:val="fr-FR"/>
        </w:rPr>
        <w:t>’É</w:t>
      </w:r>
      <w:r w:rsidRPr="00412C58">
        <w:rPr>
          <w:rFonts w:eastAsia="Calibri"/>
          <w:lang w:val="fr-FR"/>
        </w:rPr>
        <w:t xml:space="preserve">tat partie, </w:t>
      </w:r>
      <w:r w:rsidRPr="00CE67F4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CE67F4">
        <w:rPr>
          <w:rFonts w:eastAsia="Calibri"/>
          <w:lang w:val="fr-FR"/>
        </w:rPr>
        <w:t xml:space="preserve">auteur soulève des questions qui relèvent </w:t>
      </w:r>
      <w:r w:rsidRPr="00412C58">
        <w:rPr>
          <w:rFonts w:eastAsia="Calibri"/>
          <w:lang w:val="fr-FR"/>
        </w:rPr>
        <w:t>de l</w:t>
      </w:r>
      <w:r>
        <w:rPr>
          <w:rFonts w:eastAsia="Calibri"/>
          <w:lang w:val="fr-FR"/>
        </w:rPr>
        <w:t>’</w:t>
      </w:r>
      <w:r w:rsidRPr="00412C58">
        <w:rPr>
          <w:rFonts w:eastAsia="Calibri"/>
          <w:lang w:val="fr-FR"/>
        </w:rPr>
        <w:t xml:space="preserve">application </w:t>
      </w:r>
      <w:r w:rsidRPr="00412C58">
        <w:rPr>
          <w:lang w:val="fr-FR"/>
        </w:rPr>
        <w:t xml:space="preserve">de </w:t>
      </w:r>
      <w:r w:rsidR="009624DB" w:rsidRPr="00412C58">
        <w:rPr>
          <w:lang w:val="fr-FR"/>
        </w:rPr>
        <w:t>l</w:t>
      </w:r>
      <w:r w:rsidR="009624DB">
        <w:rPr>
          <w:lang w:val="fr-FR"/>
        </w:rPr>
        <w:t>’</w:t>
      </w:r>
      <w:r w:rsidR="009624DB" w:rsidRPr="00412C58">
        <w:rPr>
          <w:lang w:val="fr-FR"/>
        </w:rPr>
        <w:t>article</w:t>
      </w:r>
      <w:r w:rsidR="009624DB">
        <w:rPr>
          <w:lang w:val="fr-FR"/>
        </w:rPr>
        <w:t> </w:t>
      </w:r>
      <w:r w:rsidRPr="00412C58">
        <w:rPr>
          <w:lang w:val="fr-FR"/>
        </w:rPr>
        <w:t>14</w:t>
      </w:r>
      <w:r>
        <w:rPr>
          <w:lang w:val="fr-FR"/>
        </w:rPr>
        <w:t xml:space="preserve"> (par. 6)</w:t>
      </w:r>
      <w:r w:rsidRPr="00412C58">
        <w:rPr>
          <w:lang w:val="fr-FR"/>
        </w:rPr>
        <w:t xml:space="preserve"> du Pacte, </w:t>
      </w:r>
      <w:r>
        <w:rPr>
          <w:lang w:val="fr-FR"/>
        </w:rPr>
        <w:t>reflété dans le droit interne par</w:t>
      </w:r>
      <w:r w:rsidRPr="00412C58">
        <w:rPr>
          <w:lang w:val="fr-FR"/>
        </w:rPr>
        <w:t xml:space="preserve"> </w:t>
      </w:r>
      <w:r w:rsidR="009624DB" w:rsidRPr="00412C58">
        <w:rPr>
          <w:rFonts w:eastAsia="Calibri"/>
          <w:lang w:val="fr-FR"/>
        </w:rPr>
        <w:t>l</w:t>
      </w:r>
      <w:r w:rsidR="009624DB">
        <w:rPr>
          <w:lang w:val="fr-FR"/>
        </w:rPr>
        <w:t>’</w:t>
      </w:r>
      <w:r w:rsidR="009624DB" w:rsidRPr="00412C58">
        <w:rPr>
          <w:lang w:val="fr-FR"/>
        </w:rPr>
        <w:t>article</w:t>
      </w:r>
      <w:r w:rsidR="009624DB">
        <w:rPr>
          <w:lang w:val="fr-FR"/>
        </w:rPr>
        <w:t> </w:t>
      </w:r>
      <w:r w:rsidRPr="00412C58">
        <w:rPr>
          <w:lang w:val="fr-FR"/>
        </w:rPr>
        <w:t xml:space="preserve">544 du Code de procédure pénale. </w:t>
      </w:r>
      <w:r>
        <w:rPr>
          <w:rFonts w:eastAsia="Calibri"/>
          <w:lang w:val="fr-FR"/>
        </w:rPr>
        <w:t>À</w:t>
      </w:r>
      <w:r w:rsidRPr="006A794B">
        <w:rPr>
          <w:rFonts w:eastAsia="Calibri"/>
          <w:lang w:val="fr-FR"/>
        </w:rPr>
        <w:t xml:space="preserve"> cet égard, le Comité rappelle sa jurisprudence selon laquelle </w:t>
      </w:r>
      <w:r w:rsidR="009624DB" w:rsidRPr="006A794B">
        <w:rPr>
          <w:rFonts w:eastAsia="Times New Roman"/>
          <w:lang w:eastAsia="fr-FR"/>
        </w:rPr>
        <w:t>l</w:t>
      </w:r>
      <w:r w:rsidR="009624DB">
        <w:rPr>
          <w:rFonts w:eastAsia="Times New Roman"/>
          <w:lang w:eastAsia="fr-FR"/>
        </w:rPr>
        <w:t>’</w:t>
      </w:r>
      <w:r w:rsidR="009624DB" w:rsidRPr="006A794B">
        <w:rPr>
          <w:rFonts w:eastAsia="Times New Roman"/>
          <w:lang w:eastAsia="fr-FR"/>
        </w:rPr>
        <w:t>article</w:t>
      </w:r>
      <w:r w:rsidR="009624DB">
        <w:rPr>
          <w:rFonts w:eastAsia="Times New Roman"/>
          <w:lang w:eastAsia="fr-FR"/>
        </w:rPr>
        <w:t> </w:t>
      </w:r>
      <w:r w:rsidRPr="006A794B">
        <w:rPr>
          <w:rFonts w:eastAsia="Times New Roman"/>
          <w:lang w:eastAsia="fr-FR"/>
        </w:rPr>
        <w:t>14</w:t>
      </w:r>
      <w:r>
        <w:rPr>
          <w:rFonts w:eastAsia="Times New Roman"/>
          <w:lang w:eastAsia="fr-FR"/>
        </w:rPr>
        <w:t xml:space="preserve"> (par. 6) du Pacte</w:t>
      </w:r>
      <w:r w:rsidRPr="006A794B">
        <w:rPr>
          <w:rFonts w:eastAsia="Times New Roman"/>
          <w:lang w:eastAsia="fr-FR"/>
        </w:rPr>
        <w:t xml:space="preserve"> prévoit qu</w:t>
      </w:r>
      <w:r>
        <w:rPr>
          <w:rFonts w:eastAsia="Times New Roman"/>
          <w:lang w:eastAsia="fr-FR"/>
        </w:rPr>
        <w:t>’</w:t>
      </w:r>
      <w:r w:rsidRPr="006A794B">
        <w:rPr>
          <w:rFonts w:eastAsia="Times New Roman"/>
          <w:lang w:eastAsia="fr-FR"/>
        </w:rPr>
        <w:t>une personne sera indemnisée, conformément à la loi, lorsqu</w:t>
      </w:r>
      <w:r>
        <w:rPr>
          <w:rFonts w:eastAsia="Times New Roman"/>
          <w:lang w:eastAsia="fr-FR"/>
        </w:rPr>
        <w:t>’</w:t>
      </w:r>
      <w:r w:rsidRPr="006A794B">
        <w:rPr>
          <w:rFonts w:eastAsia="Times New Roman"/>
          <w:lang w:eastAsia="fr-FR"/>
        </w:rPr>
        <w:t xml:space="preserve">une condamnation pénale définitive a été </w:t>
      </w:r>
      <w:r w:rsidRPr="006A794B">
        <w:rPr>
          <w:rFonts w:eastAsia="Times New Roman"/>
          <w:lang w:eastAsia="fr-FR"/>
        </w:rPr>
        <w:lastRenderedPageBreak/>
        <w:t>prononcée et qu</w:t>
      </w:r>
      <w:r>
        <w:rPr>
          <w:rFonts w:eastAsia="Times New Roman"/>
          <w:lang w:eastAsia="fr-FR"/>
        </w:rPr>
        <w:t>’</w:t>
      </w:r>
      <w:r w:rsidRPr="006A794B">
        <w:rPr>
          <w:rFonts w:eastAsia="Times New Roman"/>
          <w:lang w:eastAsia="fr-FR"/>
        </w:rPr>
        <w:t>elle a subi une peine en raison de cette condamnation, si celle-ci a été annulée ou qu</w:t>
      </w:r>
      <w:r>
        <w:rPr>
          <w:rFonts w:eastAsia="Times New Roman"/>
          <w:lang w:eastAsia="fr-FR"/>
        </w:rPr>
        <w:t>’</w:t>
      </w:r>
      <w:r w:rsidRPr="006A794B">
        <w:rPr>
          <w:rFonts w:eastAsia="Times New Roman"/>
          <w:lang w:eastAsia="fr-FR"/>
        </w:rPr>
        <w:t>une grâce a été accordée parce qu</w:t>
      </w:r>
      <w:r>
        <w:rPr>
          <w:rFonts w:eastAsia="Times New Roman"/>
          <w:lang w:eastAsia="fr-FR"/>
        </w:rPr>
        <w:t>’</w:t>
      </w:r>
      <w:r w:rsidRPr="006A794B">
        <w:rPr>
          <w:rFonts w:eastAsia="Times New Roman"/>
          <w:lang w:eastAsia="fr-FR"/>
        </w:rPr>
        <w:t>un fait nouveau ou nouvellement révélé prouve qu</w:t>
      </w:r>
      <w:r>
        <w:rPr>
          <w:rFonts w:eastAsia="Times New Roman"/>
          <w:lang w:eastAsia="fr-FR"/>
        </w:rPr>
        <w:t>’</w:t>
      </w:r>
      <w:r w:rsidRPr="006A794B">
        <w:rPr>
          <w:rFonts w:eastAsia="Times New Roman"/>
          <w:lang w:eastAsia="fr-FR"/>
        </w:rPr>
        <w:t>il s</w:t>
      </w:r>
      <w:r>
        <w:rPr>
          <w:rFonts w:eastAsia="Times New Roman"/>
          <w:lang w:eastAsia="fr-FR"/>
        </w:rPr>
        <w:t>’</w:t>
      </w:r>
      <w:r w:rsidRPr="006A794B">
        <w:rPr>
          <w:rFonts w:eastAsia="Times New Roman"/>
          <w:lang w:eastAsia="fr-FR"/>
        </w:rPr>
        <w:t>est produit une erreur judiciaire</w:t>
      </w:r>
      <w:r w:rsidRPr="00914591">
        <w:rPr>
          <w:rStyle w:val="Appelnotedebasdep"/>
        </w:rPr>
        <w:footnoteReference w:id="8"/>
      </w:r>
      <w:r>
        <w:rPr>
          <w:rFonts w:eastAsia="Times New Roman"/>
          <w:lang w:eastAsia="fr-FR"/>
        </w:rPr>
        <w:t>.</w:t>
      </w:r>
      <w:r w:rsidRPr="004D2D44">
        <w:t xml:space="preserve"> </w:t>
      </w:r>
      <w:r w:rsidRPr="004D2D44">
        <w:rPr>
          <w:rFonts w:eastAsia="Times New Roman"/>
          <w:lang w:eastAsia="fr-FR"/>
        </w:rPr>
        <w:t xml:space="preserve">Le Comité considère que </w:t>
      </w:r>
      <w:r>
        <w:rPr>
          <w:rFonts w:eastAsia="Times New Roman"/>
          <w:lang w:eastAsia="fr-FR"/>
        </w:rPr>
        <w:t xml:space="preserve">si l’auteur avait présenté sa communication au titre de </w:t>
      </w:r>
      <w:r w:rsidR="009624DB">
        <w:rPr>
          <w:rFonts w:eastAsia="Times New Roman"/>
          <w:lang w:eastAsia="fr-FR"/>
        </w:rPr>
        <w:t>l’article </w:t>
      </w:r>
      <w:r>
        <w:rPr>
          <w:rFonts w:eastAsia="Times New Roman"/>
          <w:lang w:eastAsia="fr-FR"/>
        </w:rPr>
        <w:t xml:space="preserve">14 (par. 6), celle-ci serait inadmissible dans la mesure où </w:t>
      </w:r>
      <w:r w:rsidRPr="004D2D44">
        <w:rPr>
          <w:rFonts w:eastAsia="Times New Roman"/>
          <w:lang w:eastAsia="fr-FR"/>
        </w:rPr>
        <w:t xml:space="preserve">les conditions énumérées </w:t>
      </w:r>
      <w:r>
        <w:rPr>
          <w:rFonts w:eastAsia="Times New Roman"/>
          <w:lang w:eastAsia="fr-FR"/>
        </w:rPr>
        <w:t>par cet article ne sont pas réunies</w:t>
      </w:r>
      <w:r w:rsidRPr="004D2D44">
        <w:rPr>
          <w:rFonts w:eastAsia="Times New Roman"/>
          <w:lang w:eastAsia="fr-FR"/>
        </w:rPr>
        <w:t>.</w:t>
      </w:r>
    </w:p>
    <w:p w14:paraId="47745BE2" w14:textId="56C2A8E7" w:rsidR="00E83006" w:rsidRPr="00CE67F4" w:rsidRDefault="00E83006" w:rsidP="00ED242C">
      <w:pPr>
        <w:pStyle w:val="SingleTxtG"/>
        <w:rPr>
          <w:lang w:val="fr-FR"/>
        </w:rPr>
      </w:pPr>
      <w:r w:rsidRPr="00412C58">
        <w:t>8.</w:t>
      </w:r>
      <w:r w:rsidRPr="00412C58">
        <w:rPr>
          <w:rFonts w:eastAsia="Calibri"/>
          <w:lang w:val="fr-FR"/>
        </w:rPr>
        <w:t>4</w:t>
      </w:r>
      <w:r w:rsidRPr="00412C58">
        <w:rPr>
          <w:rFonts w:eastAsia="Calibri"/>
          <w:lang w:val="fr-FR"/>
        </w:rPr>
        <w:tab/>
      </w:r>
      <w:r w:rsidRPr="00CE67F4">
        <w:rPr>
          <w:rFonts w:eastAsia="Calibri"/>
          <w:lang w:val="fr-FR"/>
        </w:rPr>
        <w:t xml:space="preserve">Le Comité note </w:t>
      </w:r>
      <w:r>
        <w:rPr>
          <w:rFonts w:eastAsia="Calibri"/>
          <w:lang w:val="fr-FR"/>
        </w:rPr>
        <w:t xml:space="preserve">toutefois </w:t>
      </w:r>
      <w:r w:rsidRPr="00CE67F4">
        <w:rPr>
          <w:rFonts w:eastAsia="Calibri"/>
          <w:lang w:val="fr-FR"/>
        </w:rPr>
        <w:t>que l</w:t>
      </w:r>
      <w:r>
        <w:rPr>
          <w:rFonts w:eastAsia="Calibri"/>
          <w:lang w:val="fr-FR"/>
        </w:rPr>
        <w:t>’</w:t>
      </w:r>
      <w:r w:rsidRPr="00CE67F4">
        <w:rPr>
          <w:rFonts w:eastAsia="Calibri"/>
          <w:lang w:val="fr-FR"/>
        </w:rPr>
        <w:t xml:space="preserve">auteur </w:t>
      </w:r>
      <w:r>
        <w:rPr>
          <w:rFonts w:eastAsia="Calibri"/>
          <w:lang w:val="fr-FR"/>
        </w:rPr>
        <w:t>précise</w:t>
      </w:r>
      <w:r w:rsidRPr="00CE67F4">
        <w:rPr>
          <w:rFonts w:eastAsia="Calibri"/>
          <w:lang w:val="fr-FR"/>
        </w:rPr>
        <w:t xml:space="preserve"> que sa communication relève de </w:t>
      </w:r>
      <w:r w:rsidR="009624DB" w:rsidRPr="00CE67F4">
        <w:rPr>
          <w:rFonts w:eastAsia="Calibri"/>
          <w:lang w:val="fr-FR"/>
        </w:rPr>
        <w:t>l</w:t>
      </w:r>
      <w:r w:rsidR="009624DB">
        <w:rPr>
          <w:rFonts w:eastAsia="Calibri"/>
          <w:lang w:val="fr-FR"/>
        </w:rPr>
        <w:t>’</w:t>
      </w:r>
      <w:r w:rsidR="009624DB" w:rsidRPr="00CE67F4">
        <w:rPr>
          <w:rFonts w:eastAsia="Calibri"/>
          <w:lang w:val="fr-FR"/>
        </w:rPr>
        <w:t>article</w:t>
      </w:r>
      <w:r w:rsidR="009624DB">
        <w:rPr>
          <w:rFonts w:eastAsia="Calibri"/>
          <w:lang w:val="fr-FR"/>
        </w:rPr>
        <w:t> </w:t>
      </w:r>
      <w:r w:rsidRPr="00CE67F4">
        <w:rPr>
          <w:rFonts w:eastAsia="Calibri"/>
          <w:lang w:val="fr-FR"/>
        </w:rPr>
        <w:t>14</w:t>
      </w:r>
      <w:r>
        <w:rPr>
          <w:rFonts w:eastAsia="Calibri"/>
          <w:lang w:val="fr-FR"/>
        </w:rPr>
        <w:t xml:space="preserve"> </w:t>
      </w:r>
      <w:r w:rsidRPr="00CE67F4">
        <w:rPr>
          <w:rFonts w:eastAsia="Calibri"/>
          <w:lang w:val="fr-FR"/>
        </w:rPr>
        <w:t>(</w:t>
      </w:r>
      <w:r>
        <w:rPr>
          <w:rFonts w:eastAsia="Calibri"/>
          <w:lang w:val="fr-FR"/>
        </w:rPr>
        <w:t>par. </w:t>
      </w:r>
      <w:r w:rsidRPr="00CE67F4">
        <w:rPr>
          <w:rFonts w:eastAsia="Calibri"/>
          <w:lang w:val="fr-FR"/>
        </w:rPr>
        <w:t xml:space="preserve">1) </w:t>
      </w:r>
      <w:r>
        <w:rPr>
          <w:rFonts w:eastAsia="Calibri"/>
          <w:lang w:val="fr-FR"/>
        </w:rPr>
        <w:t xml:space="preserve">et non de </w:t>
      </w:r>
      <w:r w:rsidR="009624DB">
        <w:rPr>
          <w:rFonts w:eastAsia="Calibri"/>
          <w:lang w:val="fr-FR"/>
        </w:rPr>
        <w:t>l’article </w:t>
      </w:r>
      <w:r>
        <w:rPr>
          <w:rFonts w:eastAsia="Calibri"/>
          <w:lang w:val="fr-FR"/>
        </w:rPr>
        <w:t xml:space="preserve">14 (par. 6) du Pacte, comme le prétend l’État partie. Le Comité note également que l’auteur fait valoir une violation de </w:t>
      </w:r>
      <w:r w:rsidR="009624DB">
        <w:rPr>
          <w:rFonts w:eastAsia="Calibri"/>
          <w:lang w:val="fr-FR"/>
        </w:rPr>
        <w:t>l’article </w:t>
      </w:r>
      <w:r>
        <w:rPr>
          <w:rFonts w:eastAsia="Calibri"/>
          <w:lang w:val="fr-FR"/>
        </w:rPr>
        <w:t xml:space="preserve">14 (par. 1) </w:t>
      </w:r>
      <w:r w:rsidRPr="00CE67F4">
        <w:rPr>
          <w:rFonts w:eastAsia="Calibri"/>
          <w:lang w:val="fr-FR"/>
        </w:rPr>
        <w:t xml:space="preserve">du Pacte </w:t>
      </w:r>
      <w:r>
        <w:rPr>
          <w:rFonts w:eastAsia="Calibri"/>
          <w:lang w:val="fr-FR"/>
        </w:rPr>
        <w:t xml:space="preserve">en raison de </w:t>
      </w:r>
      <w:r w:rsidRPr="00412C58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>’</w:t>
      </w:r>
      <w:r w:rsidRPr="00412C58">
        <w:rPr>
          <w:rFonts w:eastAsia="Calibri"/>
          <w:lang w:val="fr-FR"/>
        </w:rPr>
        <w:t>absence de recours disponible</w:t>
      </w:r>
      <w:r>
        <w:rPr>
          <w:rFonts w:eastAsia="Calibri"/>
          <w:lang w:val="fr-FR"/>
        </w:rPr>
        <w:t xml:space="preserve"> et de l’absence d’accès à un tribunal pouvant déterminer les droits et obligations conférés par la loi</w:t>
      </w:r>
      <w:r w:rsidRPr="00CE67F4">
        <w:rPr>
          <w:rFonts w:eastAsia="Calibri"/>
          <w:lang w:val="fr-FR"/>
        </w:rPr>
        <w:t xml:space="preserve">. </w:t>
      </w:r>
      <w:r>
        <w:rPr>
          <w:rFonts w:eastAsia="Calibri"/>
          <w:lang w:val="fr-FR"/>
        </w:rPr>
        <w:t xml:space="preserve">Le Comité note en outre que l’auteur affirme que l’État partie ne lui a pas garanti un recours utile, en violation de </w:t>
      </w:r>
      <w:r w:rsidR="009624DB">
        <w:rPr>
          <w:rFonts w:eastAsia="Calibri"/>
          <w:lang w:val="fr-FR"/>
        </w:rPr>
        <w:t>l’article </w:t>
      </w:r>
      <w:r>
        <w:rPr>
          <w:rFonts w:eastAsia="Calibri"/>
          <w:lang w:val="fr-FR"/>
        </w:rPr>
        <w:t xml:space="preserve">2 (par. 3) du Pacte. </w:t>
      </w:r>
      <w:r w:rsidRPr="00412C58">
        <w:rPr>
          <w:rFonts w:eastAsia="Calibri"/>
          <w:lang w:val="fr-FR"/>
        </w:rPr>
        <w:t>Ayant constaté que l</w:t>
      </w:r>
      <w:r>
        <w:rPr>
          <w:rFonts w:eastAsia="Calibri"/>
          <w:lang w:val="fr-FR"/>
        </w:rPr>
        <w:t>’É</w:t>
      </w:r>
      <w:r w:rsidRPr="00412C58">
        <w:rPr>
          <w:rFonts w:eastAsia="Calibri"/>
          <w:lang w:val="fr-FR"/>
        </w:rPr>
        <w:t>tat partie n</w:t>
      </w:r>
      <w:r>
        <w:rPr>
          <w:rFonts w:eastAsia="Calibri"/>
          <w:lang w:val="fr-FR"/>
        </w:rPr>
        <w:t>’</w:t>
      </w:r>
      <w:r w:rsidRPr="00412C58">
        <w:rPr>
          <w:rFonts w:eastAsia="Calibri"/>
          <w:lang w:val="fr-FR"/>
        </w:rPr>
        <w:t>a pas produit d</w:t>
      </w:r>
      <w:r>
        <w:rPr>
          <w:rFonts w:eastAsia="Calibri"/>
          <w:lang w:val="fr-FR"/>
        </w:rPr>
        <w:t>’</w:t>
      </w:r>
      <w:r w:rsidRPr="00412C58">
        <w:rPr>
          <w:rFonts w:eastAsia="Calibri"/>
          <w:lang w:val="fr-FR"/>
        </w:rPr>
        <w:t xml:space="preserve">éléments </w:t>
      </w:r>
      <w:r>
        <w:rPr>
          <w:rFonts w:eastAsia="Calibri"/>
          <w:lang w:val="fr-FR"/>
        </w:rPr>
        <w:t>suffisants</w:t>
      </w:r>
      <w:r w:rsidRPr="00412C58">
        <w:rPr>
          <w:rFonts w:eastAsia="Calibri"/>
          <w:lang w:val="fr-FR"/>
        </w:rPr>
        <w:t xml:space="preserve"> pour contester la recevabilité de la communication sur la base </w:t>
      </w:r>
      <w:r>
        <w:rPr>
          <w:rFonts w:eastAsia="Calibri"/>
          <w:lang w:val="fr-FR"/>
        </w:rPr>
        <w:t xml:space="preserve">des </w:t>
      </w:r>
      <w:r w:rsidR="009624DB" w:rsidRPr="00585582">
        <w:rPr>
          <w:rFonts w:eastAsia="Calibri"/>
          <w:lang w:val="fr-FR"/>
        </w:rPr>
        <w:t>articles</w:t>
      </w:r>
      <w:r w:rsidR="009624DB">
        <w:rPr>
          <w:rFonts w:eastAsia="Calibri"/>
          <w:lang w:val="fr-FR"/>
        </w:rPr>
        <w:t> </w:t>
      </w:r>
      <w:r>
        <w:rPr>
          <w:rFonts w:eastAsia="Calibri"/>
          <w:lang w:val="fr-FR"/>
        </w:rPr>
        <w:t xml:space="preserve">2 (par. 3) et </w:t>
      </w:r>
      <w:r w:rsidRPr="00585582">
        <w:rPr>
          <w:rFonts w:eastAsia="Calibri"/>
          <w:lang w:val="fr-FR"/>
        </w:rPr>
        <w:t>14</w:t>
      </w:r>
      <w:r>
        <w:rPr>
          <w:rFonts w:eastAsia="Calibri"/>
          <w:lang w:val="fr-FR"/>
        </w:rPr>
        <w:t xml:space="preserve"> </w:t>
      </w:r>
      <w:r w:rsidRPr="00585582">
        <w:rPr>
          <w:rFonts w:eastAsia="Calibri"/>
          <w:lang w:val="fr-FR"/>
        </w:rPr>
        <w:t>(</w:t>
      </w:r>
      <w:r>
        <w:rPr>
          <w:rFonts w:eastAsia="Calibri"/>
          <w:lang w:val="fr-FR"/>
        </w:rPr>
        <w:t>par. </w:t>
      </w:r>
      <w:r w:rsidRPr="00585582">
        <w:rPr>
          <w:rFonts w:eastAsia="Calibri"/>
          <w:lang w:val="fr-FR"/>
        </w:rPr>
        <w:t>1) du Pacte</w:t>
      </w:r>
      <w:r>
        <w:rPr>
          <w:rFonts w:eastAsia="Calibri"/>
          <w:lang w:val="fr-FR"/>
        </w:rPr>
        <w:t>,</w:t>
      </w:r>
      <w:r w:rsidRPr="00585582">
        <w:rPr>
          <w:rFonts w:eastAsia="Calibri"/>
          <w:lang w:val="fr-FR"/>
        </w:rPr>
        <w:t xml:space="preserve"> lu</w:t>
      </w:r>
      <w:r>
        <w:rPr>
          <w:rFonts w:eastAsia="Calibri"/>
          <w:lang w:val="fr-FR"/>
        </w:rPr>
        <w:t>s</w:t>
      </w:r>
      <w:r w:rsidRPr="00585582">
        <w:rPr>
          <w:rFonts w:eastAsia="Calibri"/>
          <w:lang w:val="fr-FR"/>
        </w:rPr>
        <w:t xml:space="preserve"> seul</w:t>
      </w:r>
      <w:r>
        <w:rPr>
          <w:rFonts w:eastAsia="Calibri"/>
          <w:lang w:val="fr-FR"/>
        </w:rPr>
        <w:t>s</w:t>
      </w:r>
      <w:r w:rsidRPr="00585582">
        <w:rPr>
          <w:rFonts w:eastAsia="Calibri"/>
          <w:lang w:val="fr-FR"/>
        </w:rPr>
        <w:t xml:space="preserve"> et conjointement</w:t>
      </w:r>
      <w:r>
        <w:rPr>
          <w:rFonts w:eastAsia="Calibri"/>
          <w:lang w:val="fr-FR"/>
        </w:rPr>
        <w:t xml:space="preserve">, </w:t>
      </w:r>
      <w:r w:rsidRPr="00CE67F4">
        <w:rPr>
          <w:rFonts w:eastAsia="Calibri"/>
          <w:lang w:val="fr-FR"/>
        </w:rPr>
        <w:t>le Comité estime que le grief soulevé par l</w:t>
      </w:r>
      <w:r>
        <w:rPr>
          <w:rFonts w:eastAsia="Calibri"/>
          <w:lang w:val="fr-FR"/>
        </w:rPr>
        <w:t>’</w:t>
      </w:r>
      <w:r w:rsidRPr="00CE67F4">
        <w:rPr>
          <w:rFonts w:eastAsia="Calibri"/>
          <w:lang w:val="fr-FR"/>
        </w:rPr>
        <w:t xml:space="preserve">auteur est recevable </w:t>
      </w:r>
      <w:r>
        <w:rPr>
          <w:rFonts w:eastAsia="Calibri"/>
          <w:lang w:val="fr-FR"/>
        </w:rPr>
        <w:t>au titre</w:t>
      </w:r>
      <w:r w:rsidRPr="00412C58">
        <w:rPr>
          <w:rFonts w:eastAsia="Calibri"/>
          <w:lang w:val="fr-FR"/>
        </w:rPr>
        <w:t xml:space="preserve"> d</w:t>
      </w:r>
      <w:r>
        <w:rPr>
          <w:rFonts w:eastAsia="Calibri"/>
          <w:lang w:val="fr-FR"/>
        </w:rPr>
        <w:t>es</w:t>
      </w:r>
      <w:r w:rsidRPr="00412C58">
        <w:rPr>
          <w:rFonts w:eastAsia="Calibri"/>
          <w:lang w:val="fr-FR"/>
        </w:rPr>
        <w:t>dit</w:t>
      </w:r>
      <w:r>
        <w:rPr>
          <w:rFonts w:eastAsia="Calibri"/>
          <w:lang w:val="fr-FR"/>
        </w:rPr>
        <w:t>s</w:t>
      </w:r>
      <w:r w:rsidRPr="00412C58">
        <w:rPr>
          <w:rFonts w:eastAsia="Calibri"/>
          <w:lang w:val="fr-FR"/>
        </w:rPr>
        <w:t xml:space="preserve"> article</w:t>
      </w:r>
      <w:r>
        <w:rPr>
          <w:rFonts w:eastAsia="Calibri"/>
          <w:lang w:val="fr-FR"/>
        </w:rPr>
        <w:t>s</w:t>
      </w:r>
      <w:r w:rsidRPr="00CE67F4">
        <w:rPr>
          <w:rFonts w:eastAsia="Calibri"/>
          <w:lang w:val="fr-FR"/>
        </w:rPr>
        <w:t xml:space="preserve">. </w:t>
      </w:r>
    </w:p>
    <w:p w14:paraId="55F5B542" w14:textId="77777777" w:rsidR="00E83006" w:rsidRPr="00CE67F4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8.5</w:t>
      </w:r>
      <w:r w:rsidRPr="00412C58">
        <w:rPr>
          <w:lang w:val="fr-FR"/>
        </w:rPr>
        <w:tab/>
      </w:r>
      <w:r w:rsidRPr="00CE67F4">
        <w:rPr>
          <w:lang w:val="fr-FR"/>
        </w:rPr>
        <w:t xml:space="preserve">Concernant </w:t>
      </w:r>
      <w:r>
        <w:rPr>
          <w:lang w:val="fr-FR"/>
        </w:rPr>
        <w:t>l’argument d’ir</w:t>
      </w:r>
      <w:r w:rsidRPr="00CE67F4">
        <w:rPr>
          <w:lang w:val="fr-FR"/>
        </w:rPr>
        <w:t xml:space="preserve">recevabilité </w:t>
      </w:r>
      <w:r w:rsidRPr="00412C58">
        <w:rPr>
          <w:lang w:val="fr-FR"/>
        </w:rPr>
        <w:t xml:space="preserve">de la communication </w:t>
      </w:r>
      <w:r w:rsidRPr="00CE67F4">
        <w:rPr>
          <w:lang w:val="fr-FR"/>
        </w:rPr>
        <w:t>pour non-épuisement des voies de recours internes</w:t>
      </w:r>
      <w:r w:rsidRPr="00412C58">
        <w:rPr>
          <w:lang w:val="fr-FR"/>
        </w:rPr>
        <w:t>, le</w:t>
      </w:r>
      <w:r w:rsidRPr="00CE67F4">
        <w:rPr>
          <w:lang w:val="fr-FR"/>
        </w:rPr>
        <w:t xml:space="preserve"> Comité observe </w:t>
      </w:r>
      <w:r w:rsidRPr="00412C58">
        <w:rPr>
          <w:lang w:val="fr-FR"/>
        </w:rPr>
        <w:t>qu</w:t>
      </w:r>
      <w:r>
        <w:rPr>
          <w:lang w:val="fr-FR"/>
        </w:rPr>
        <w:t>’</w:t>
      </w:r>
      <w:r w:rsidRPr="00412C58">
        <w:rPr>
          <w:lang w:val="fr-FR"/>
        </w:rPr>
        <w:t>en l</w:t>
      </w:r>
      <w:r>
        <w:rPr>
          <w:lang w:val="fr-FR"/>
        </w:rPr>
        <w:t>’</w:t>
      </w:r>
      <w:r w:rsidRPr="00412C58">
        <w:rPr>
          <w:lang w:val="fr-FR"/>
        </w:rPr>
        <w:t xml:space="preserve">espèce, </w:t>
      </w:r>
      <w:r w:rsidRPr="00CE67F4">
        <w:rPr>
          <w:lang w:val="fr-FR"/>
        </w:rPr>
        <w:t>l</w:t>
      </w:r>
      <w:r>
        <w:rPr>
          <w:lang w:val="fr-FR"/>
        </w:rPr>
        <w:t>’É</w:t>
      </w:r>
      <w:r w:rsidRPr="00CE67F4">
        <w:rPr>
          <w:lang w:val="fr-FR"/>
        </w:rPr>
        <w:t>tat</w:t>
      </w:r>
      <w:r>
        <w:rPr>
          <w:lang w:val="fr-FR"/>
        </w:rPr>
        <w:t xml:space="preserve"> partie</w:t>
      </w:r>
      <w:r w:rsidRPr="00CE67F4">
        <w:rPr>
          <w:lang w:val="fr-FR"/>
        </w:rPr>
        <w:t xml:space="preserve"> ne </w:t>
      </w:r>
      <w:r w:rsidRPr="00BE2A2C">
        <w:rPr>
          <w:lang w:val="fr-FR"/>
        </w:rPr>
        <w:t>pouvait pas s</w:t>
      </w:r>
      <w:r>
        <w:rPr>
          <w:lang w:val="fr-FR"/>
        </w:rPr>
        <w:t>’</w:t>
      </w:r>
      <w:r w:rsidRPr="00BE2A2C">
        <w:rPr>
          <w:lang w:val="fr-FR"/>
        </w:rPr>
        <w:t xml:space="preserve">attendre à ce que </w:t>
      </w:r>
      <w:r w:rsidRPr="00CE67F4">
        <w:rPr>
          <w:lang w:val="fr-FR"/>
        </w:rPr>
        <w:t>l</w:t>
      </w:r>
      <w:r>
        <w:rPr>
          <w:lang w:val="fr-FR"/>
        </w:rPr>
        <w:t>’</w:t>
      </w:r>
      <w:r w:rsidRPr="00CE67F4">
        <w:rPr>
          <w:lang w:val="fr-FR"/>
        </w:rPr>
        <w:t xml:space="preserve">auteur </w:t>
      </w:r>
      <w:r>
        <w:rPr>
          <w:lang w:val="fr-FR"/>
        </w:rPr>
        <w:t>sollicite une indemnisation de la part de</w:t>
      </w:r>
      <w:r w:rsidRPr="00CE67F4">
        <w:rPr>
          <w:lang w:val="fr-FR"/>
        </w:rPr>
        <w:t xml:space="preserve"> la commission d</w:t>
      </w:r>
      <w:r>
        <w:rPr>
          <w:lang w:val="fr-FR"/>
        </w:rPr>
        <w:t>’</w:t>
      </w:r>
      <w:r w:rsidRPr="00CE67F4">
        <w:rPr>
          <w:lang w:val="fr-FR"/>
        </w:rPr>
        <w:t>indemnisation alors que cet organe n</w:t>
      </w:r>
      <w:r>
        <w:rPr>
          <w:lang w:val="fr-FR"/>
        </w:rPr>
        <w:t>’</w:t>
      </w:r>
      <w:r w:rsidRPr="00CE67F4">
        <w:rPr>
          <w:lang w:val="fr-FR"/>
        </w:rPr>
        <w:t>était pas encore opérationnel au moment où</w:t>
      </w:r>
      <w:r>
        <w:rPr>
          <w:lang w:val="fr-FR"/>
        </w:rPr>
        <w:t>,</w:t>
      </w:r>
      <w:r w:rsidRPr="00CE67F4">
        <w:rPr>
          <w:lang w:val="fr-FR"/>
        </w:rPr>
        <w:t xml:space="preserve"> légale</w:t>
      </w:r>
      <w:r w:rsidRPr="00412C58">
        <w:rPr>
          <w:lang w:val="fr-FR"/>
        </w:rPr>
        <w:t>ment</w:t>
      </w:r>
      <w:r>
        <w:rPr>
          <w:lang w:val="fr-FR"/>
        </w:rPr>
        <w:t>,</w:t>
      </w:r>
      <w:r w:rsidRPr="00412C58">
        <w:rPr>
          <w:lang w:val="fr-FR"/>
        </w:rPr>
        <w:t xml:space="preserve"> l</w:t>
      </w:r>
      <w:r>
        <w:rPr>
          <w:lang w:val="fr-FR"/>
        </w:rPr>
        <w:t>’</w:t>
      </w:r>
      <w:r w:rsidRPr="00412C58">
        <w:rPr>
          <w:lang w:val="fr-FR"/>
        </w:rPr>
        <w:t xml:space="preserve">auteur pouvait le saisir. </w:t>
      </w:r>
      <w:r w:rsidRPr="00CE67F4">
        <w:rPr>
          <w:lang w:val="fr-FR"/>
        </w:rPr>
        <w:t xml:space="preserve">Le Comité </w:t>
      </w:r>
      <w:r w:rsidRPr="00412C58">
        <w:rPr>
          <w:lang w:val="fr-FR"/>
        </w:rPr>
        <w:t>observe</w:t>
      </w:r>
      <w:r w:rsidRPr="00CE67F4">
        <w:rPr>
          <w:lang w:val="fr-FR"/>
        </w:rPr>
        <w:t xml:space="preserve"> également que, dans ses conclusions, </w:t>
      </w:r>
      <w:r w:rsidRPr="00412C58">
        <w:rPr>
          <w:lang w:val="fr-FR"/>
        </w:rPr>
        <w:t>l</w:t>
      </w:r>
      <w:r>
        <w:rPr>
          <w:lang w:val="fr-FR"/>
        </w:rPr>
        <w:t>’É</w:t>
      </w:r>
      <w:r w:rsidRPr="00412C58">
        <w:rPr>
          <w:lang w:val="fr-FR"/>
        </w:rPr>
        <w:t>tat</w:t>
      </w:r>
      <w:r w:rsidRPr="00CE67F4">
        <w:rPr>
          <w:lang w:val="fr-FR"/>
        </w:rPr>
        <w:t xml:space="preserve"> </w:t>
      </w:r>
      <w:r>
        <w:rPr>
          <w:lang w:val="fr-FR"/>
        </w:rPr>
        <w:t xml:space="preserve">partie </w:t>
      </w:r>
      <w:r w:rsidRPr="00CE67F4">
        <w:rPr>
          <w:lang w:val="fr-FR"/>
        </w:rPr>
        <w:t xml:space="preserve">ne renseigne pas sur la manière dont </w:t>
      </w:r>
      <w:r>
        <w:rPr>
          <w:lang w:val="fr-FR"/>
        </w:rPr>
        <w:t>l’</w:t>
      </w:r>
      <w:r w:rsidRPr="00BE2A2C">
        <w:rPr>
          <w:lang w:val="fr-FR"/>
        </w:rPr>
        <w:t>interdiction</w:t>
      </w:r>
      <w:r>
        <w:rPr>
          <w:lang w:val="fr-FR"/>
        </w:rPr>
        <w:t xml:space="preserve"> faite à l’auteur</w:t>
      </w:r>
      <w:r w:rsidRPr="00BE2A2C">
        <w:rPr>
          <w:lang w:val="fr-FR"/>
        </w:rPr>
        <w:t xml:space="preserve"> de déposer une plainte auprès de la commission d</w:t>
      </w:r>
      <w:r>
        <w:rPr>
          <w:lang w:val="fr-FR"/>
        </w:rPr>
        <w:t>’</w:t>
      </w:r>
      <w:r w:rsidRPr="00BE2A2C">
        <w:rPr>
          <w:lang w:val="fr-FR"/>
        </w:rPr>
        <w:t xml:space="preserve">indemnisation </w:t>
      </w:r>
      <w:r>
        <w:rPr>
          <w:lang w:val="fr-FR"/>
        </w:rPr>
        <w:t xml:space="preserve">par suite de l’expiration du </w:t>
      </w:r>
      <w:r w:rsidRPr="00BE2A2C">
        <w:rPr>
          <w:lang w:val="fr-FR"/>
        </w:rPr>
        <w:t xml:space="preserve">délai de </w:t>
      </w:r>
      <w:r>
        <w:rPr>
          <w:lang w:val="fr-FR"/>
        </w:rPr>
        <w:t>six</w:t>
      </w:r>
      <w:r w:rsidRPr="00BE2A2C">
        <w:rPr>
          <w:lang w:val="fr-FR"/>
        </w:rPr>
        <w:t xml:space="preserve"> mois pr</w:t>
      </w:r>
      <w:r>
        <w:rPr>
          <w:lang w:val="fr-FR"/>
        </w:rPr>
        <w:t xml:space="preserve">évu à l’article 237 (par. 6) du Code de procédure pénale pourrait être levée, et n’indique pas s’il était possible de recourir contre cette mesure dans l’ordre juridique interne, </w:t>
      </w:r>
      <w:r w:rsidRPr="00CE67F4">
        <w:rPr>
          <w:lang w:val="fr-FR"/>
        </w:rPr>
        <w:t>en l</w:t>
      </w:r>
      <w:r>
        <w:rPr>
          <w:lang w:val="fr-FR"/>
        </w:rPr>
        <w:t>’</w:t>
      </w:r>
      <w:r w:rsidRPr="00CE67F4">
        <w:rPr>
          <w:lang w:val="fr-FR"/>
        </w:rPr>
        <w:t>absence de l</w:t>
      </w:r>
      <w:r>
        <w:rPr>
          <w:lang w:val="fr-FR"/>
        </w:rPr>
        <w:t>’</w:t>
      </w:r>
      <w:r w:rsidRPr="00CE67F4">
        <w:rPr>
          <w:lang w:val="fr-FR"/>
        </w:rPr>
        <w:t xml:space="preserve">effectivité </w:t>
      </w:r>
      <w:r w:rsidRPr="00412C58">
        <w:rPr>
          <w:lang w:val="fr-FR"/>
        </w:rPr>
        <w:t xml:space="preserve">en temps utile </w:t>
      </w:r>
      <w:r w:rsidRPr="00CE67F4">
        <w:rPr>
          <w:lang w:val="fr-FR"/>
        </w:rPr>
        <w:t xml:space="preserve">de la </w:t>
      </w:r>
      <w:r w:rsidRPr="00412C58">
        <w:rPr>
          <w:lang w:val="fr-FR"/>
        </w:rPr>
        <w:t>voie de recours prévue par la loi</w:t>
      </w:r>
      <w:r w:rsidRPr="00CE67F4">
        <w:rPr>
          <w:lang w:val="fr-FR"/>
        </w:rPr>
        <w:t xml:space="preserve">. </w:t>
      </w:r>
    </w:p>
    <w:p w14:paraId="4E377BBE" w14:textId="10A732CB" w:rsidR="00E83006" w:rsidRPr="00412C58" w:rsidRDefault="00E83006" w:rsidP="00ED242C">
      <w:pPr>
        <w:pStyle w:val="SingleTxtG"/>
      </w:pPr>
      <w:r w:rsidRPr="00412C58">
        <w:rPr>
          <w:lang w:val="fr-FR"/>
        </w:rPr>
        <w:t>8.6</w:t>
      </w:r>
      <w:r w:rsidRPr="00412C58">
        <w:rPr>
          <w:lang w:val="fr-FR"/>
        </w:rPr>
        <w:tab/>
        <w:t>Compte tenu de ce qui précède, le Comité considère que les griefs formulés par l</w:t>
      </w:r>
      <w:r>
        <w:rPr>
          <w:lang w:val="fr-FR"/>
        </w:rPr>
        <w:t>’</w:t>
      </w:r>
      <w:r w:rsidRPr="00412C58">
        <w:rPr>
          <w:lang w:val="fr-FR"/>
        </w:rPr>
        <w:t xml:space="preserve">auteur </w:t>
      </w:r>
      <w:r w:rsidRPr="00CE67F4">
        <w:rPr>
          <w:lang w:val="fr-FR"/>
        </w:rPr>
        <w:t>sont suffisamment fondés, et déclare que la communication est recevable en ce qu</w:t>
      </w:r>
      <w:r>
        <w:rPr>
          <w:lang w:val="fr-FR"/>
        </w:rPr>
        <w:t>’</w:t>
      </w:r>
      <w:r w:rsidRPr="00CE67F4">
        <w:rPr>
          <w:lang w:val="fr-FR"/>
        </w:rPr>
        <w:t>elle concerne les griefs soulevés par l</w:t>
      </w:r>
      <w:r>
        <w:rPr>
          <w:lang w:val="fr-FR"/>
        </w:rPr>
        <w:t>’</w:t>
      </w:r>
      <w:r w:rsidRPr="00CE67F4">
        <w:rPr>
          <w:lang w:val="fr-FR"/>
        </w:rPr>
        <w:t>auteur au titre de</w:t>
      </w:r>
      <w:r>
        <w:rPr>
          <w:lang w:val="fr-FR"/>
        </w:rPr>
        <w:t xml:space="preserve"> </w:t>
      </w:r>
      <w:r w:rsidR="009624DB">
        <w:rPr>
          <w:lang w:val="fr-FR"/>
        </w:rPr>
        <w:t>l’article </w:t>
      </w:r>
      <w:r>
        <w:rPr>
          <w:lang w:val="fr-FR"/>
        </w:rPr>
        <w:t xml:space="preserve">14 (par. 1) lu seul et conjointement avec </w:t>
      </w:r>
      <w:r w:rsidR="009624DB">
        <w:rPr>
          <w:lang w:val="fr-FR"/>
        </w:rPr>
        <w:t>l’article </w:t>
      </w:r>
      <w:r w:rsidRPr="00412C58">
        <w:rPr>
          <w:lang w:val="fr-FR"/>
        </w:rPr>
        <w:t>2</w:t>
      </w:r>
      <w:r>
        <w:rPr>
          <w:lang w:val="fr-FR"/>
        </w:rPr>
        <w:t xml:space="preserve"> </w:t>
      </w:r>
      <w:r w:rsidRPr="00412C58">
        <w:rPr>
          <w:lang w:val="fr-FR"/>
        </w:rPr>
        <w:t>(</w:t>
      </w:r>
      <w:r>
        <w:rPr>
          <w:lang w:val="fr-FR"/>
        </w:rPr>
        <w:t>par. </w:t>
      </w:r>
      <w:r w:rsidRPr="00412C58">
        <w:rPr>
          <w:lang w:val="fr-FR"/>
        </w:rPr>
        <w:t xml:space="preserve">3) </w:t>
      </w:r>
      <w:r w:rsidRPr="00CE67F4">
        <w:rPr>
          <w:lang w:val="fr-FR"/>
        </w:rPr>
        <w:t>du Pacte</w:t>
      </w:r>
      <w:r>
        <w:rPr>
          <w:lang w:val="fr-FR"/>
        </w:rPr>
        <w:t>,</w:t>
      </w:r>
      <w:r w:rsidRPr="00CE67F4">
        <w:rPr>
          <w:lang w:val="fr-FR"/>
        </w:rPr>
        <w:t xml:space="preserve"> et procède à son examen quant au fond.</w:t>
      </w:r>
    </w:p>
    <w:p w14:paraId="41930EE6" w14:textId="77777777" w:rsidR="00E83006" w:rsidRPr="00CE67F4" w:rsidRDefault="00E83006" w:rsidP="00ED242C">
      <w:pPr>
        <w:pStyle w:val="H4G"/>
      </w:pPr>
      <w:r>
        <w:rPr>
          <w:lang w:val="fr-FR"/>
        </w:rPr>
        <w:tab/>
      </w:r>
      <w:r>
        <w:rPr>
          <w:lang w:val="fr-FR"/>
        </w:rPr>
        <w:tab/>
      </w:r>
      <w:r w:rsidRPr="00CE67F4">
        <w:rPr>
          <w:lang w:val="fr-FR"/>
        </w:rPr>
        <w:t>Examen au fond</w:t>
      </w:r>
    </w:p>
    <w:p w14:paraId="41AF7674" w14:textId="2CF3472A" w:rsidR="00E83006" w:rsidRPr="00CE67F4" w:rsidRDefault="00E83006" w:rsidP="00ED242C">
      <w:pPr>
        <w:pStyle w:val="SingleTxtG"/>
        <w:rPr>
          <w:b/>
        </w:rPr>
      </w:pPr>
      <w:r w:rsidRPr="00412C58">
        <w:t>9</w:t>
      </w:r>
      <w:r w:rsidRPr="00CE67F4">
        <w:rPr>
          <w:lang w:val="fr-FR"/>
        </w:rPr>
        <w:t>.1</w:t>
      </w:r>
      <w:r w:rsidRPr="00CE67F4">
        <w:rPr>
          <w:lang w:val="fr-FR"/>
        </w:rPr>
        <w:tab/>
        <w:t xml:space="preserve">Conformément </w:t>
      </w:r>
      <w:r>
        <w:rPr>
          <w:lang w:val="fr-FR"/>
        </w:rPr>
        <w:t>à</w:t>
      </w:r>
      <w:r w:rsidRPr="00CE67F4">
        <w:rPr>
          <w:lang w:val="fr-FR"/>
        </w:rPr>
        <w:t xml:space="preserve"> </w:t>
      </w:r>
      <w:r w:rsidR="009624DB" w:rsidRPr="00CE67F4">
        <w:rPr>
          <w:lang w:val="fr-FR"/>
        </w:rPr>
        <w:t>l</w:t>
      </w:r>
      <w:r w:rsidR="009624DB">
        <w:rPr>
          <w:lang w:val="fr-FR"/>
        </w:rPr>
        <w:t>’</w:t>
      </w:r>
      <w:r w:rsidR="009624DB" w:rsidRPr="00CE67F4">
        <w:rPr>
          <w:lang w:val="fr-FR"/>
        </w:rPr>
        <w:t>article</w:t>
      </w:r>
      <w:r w:rsidR="009624DB">
        <w:rPr>
          <w:lang w:val="fr-FR"/>
        </w:rPr>
        <w:t> </w:t>
      </w:r>
      <w:r w:rsidRPr="00CE67F4">
        <w:rPr>
          <w:lang w:val="fr-FR"/>
        </w:rPr>
        <w:t>5</w:t>
      </w:r>
      <w:r>
        <w:rPr>
          <w:lang w:val="fr-FR"/>
        </w:rPr>
        <w:t xml:space="preserve"> (par. 1)</w:t>
      </w:r>
      <w:r w:rsidRPr="00CE67F4">
        <w:rPr>
          <w:lang w:val="fr-FR"/>
        </w:rPr>
        <w:t xml:space="preserve"> du Protocole facultatif, le Comité a examiné la présente communication en tenant compte de toutes les informations </w:t>
      </w:r>
      <w:r>
        <w:rPr>
          <w:lang w:val="fr-FR"/>
        </w:rPr>
        <w:t>qui</w:t>
      </w:r>
      <w:r w:rsidRPr="00CE67F4">
        <w:rPr>
          <w:lang w:val="fr-FR"/>
        </w:rPr>
        <w:t xml:space="preserve"> lui ont </w:t>
      </w:r>
      <w:r>
        <w:rPr>
          <w:lang w:val="fr-FR"/>
        </w:rPr>
        <w:t xml:space="preserve">été </w:t>
      </w:r>
      <w:r w:rsidRPr="00CE67F4">
        <w:rPr>
          <w:lang w:val="fr-FR"/>
        </w:rPr>
        <w:t xml:space="preserve">communiquées </w:t>
      </w:r>
      <w:r>
        <w:rPr>
          <w:lang w:val="fr-FR"/>
        </w:rPr>
        <w:t xml:space="preserve">par </w:t>
      </w:r>
      <w:r w:rsidRPr="00CE67F4">
        <w:rPr>
          <w:lang w:val="fr-FR"/>
        </w:rPr>
        <w:t>les parties.</w:t>
      </w:r>
    </w:p>
    <w:p w14:paraId="0360255F" w14:textId="4667106C" w:rsidR="00E83006" w:rsidRPr="00CE67F4" w:rsidRDefault="00E83006" w:rsidP="00ED242C">
      <w:pPr>
        <w:pStyle w:val="SingleTxtG"/>
        <w:rPr>
          <w:lang w:val="fr-FR"/>
        </w:rPr>
      </w:pPr>
      <w:r w:rsidRPr="00412C58">
        <w:t>9</w:t>
      </w:r>
      <w:r w:rsidRPr="00412C58">
        <w:rPr>
          <w:lang w:val="fr-FR"/>
        </w:rPr>
        <w:t>.</w:t>
      </w:r>
      <w:r>
        <w:rPr>
          <w:lang w:val="fr-FR"/>
        </w:rPr>
        <w:t>2</w:t>
      </w:r>
      <w:r w:rsidRPr="00412C58">
        <w:rPr>
          <w:lang w:val="fr-FR"/>
        </w:rPr>
        <w:tab/>
      </w:r>
      <w:r w:rsidRPr="00CE67F4">
        <w:rPr>
          <w:lang w:val="fr-FR"/>
        </w:rPr>
        <w:t>Le Comité note que l</w:t>
      </w:r>
      <w:r>
        <w:rPr>
          <w:lang w:val="fr-FR"/>
        </w:rPr>
        <w:t>’</w:t>
      </w:r>
      <w:r w:rsidRPr="00CE67F4">
        <w:rPr>
          <w:lang w:val="fr-FR"/>
        </w:rPr>
        <w:t>auteur fait valoir qu</w:t>
      </w:r>
      <w:r>
        <w:rPr>
          <w:lang w:val="fr-FR"/>
        </w:rPr>
        <w:t>’</w:t>
      </w:r>
      <w:r w:rsidRPr="00CE67F4">
        <w:rPr>
          <w:lang w:val="fr-FR"/>
        </w:rPr>
        <w:t>il a subi de nombreux préjudices</w:t>
      </w:r>
      <w:r w:rsidRPr="00412C58">
        <w:rPr>
          <w:lang w:val="fr-FR"/>
        </w:rPr>
        <w:t>, y compris moraux et matériels,</w:t>
      </w:r>
      <w:r w:rsidRPr="00CE67F4">
        <w:rPr>
          <w:lang w:val="fr-FR"/>
        </w:rPr>
        <w:t xml:space="preserve"> en raison des cinq années passées en détention et </w:t>
      </w:r>
      <w:r w:rsidRPr="00412C58">
        <w:rPr>
          <w:lang w:val="fr-FR"/>
        </w:rPr>
        <w:t>qu</w:t>
      </w:r>
      <w:r>
        <w:rPr>
          <w:lang w:val="fr-FR"/>
        </w:rPr>
        <w:t>’</w:t>
      </w:r>
      <w:r w:rsidRPr="00412C58">
        <w:rPr>
          <w:lang w:val="fr-FR"/>
        </w:rPr>
        <w:t>au regard</w:t>
      </w:r>
      <w:r w:rsidRPr="00CE67F4">
        <w:rPr>
          <w:lang w:val="fr-FR"/>
        </w:rPr>
        <w:t xml:space="preserve"> du Code de procédure pénale, il a droit à une indemnisation</w:t>
      </w:r>
      <w:r>
        <w:rPr>
          <w:lang w:val="fr-FR"/>
        </w:rPr>
        <w:t xml:space="preserve"> si certaines conditions sont satisfaites</w:t>
      </w:r>
      <w:r w:rsidRPr="00412C58">
        <w:rPr>
          <w:lang w:val="fr-FR"/>
        </w:rPr>
        <w:t xml:space="preserve">. Le Comité souligne néanmoins que la présente communication soulève non pas </w:t>
      </w:r>
      <w:r>
        <w:rPr>
          <w:lang w:val="fr-FR"/>
        </w:rPr>
        <w:t xml:space="preserve">la question de savoir si l’auteur a droit à la compensation, </w:t>
      </w:r>
      <w:r w:rsidRPr="00412C58">
        <w:rPr>
          <w:lang w:val="fr-FR"/>
        </w:rPr>
        <w:t xml:space="preserve">mais </w:t>
      </w:r>
      <w:r>
        <w:rPr>
          <w:lang w:val="fr-FR"/>
        </w:rPr>
        <w:t xml:space="preserve">celle de </w:t>
      </w:r>
      <w:r w:rsidRPr="00412C58">
        <w:rPr>
          <w:lang w:val="fr-FR"/>
        </w:rPr>
        <w:t>l</w:t>
      </w:r>
      <w:r>
        <w:rPr>
          <w:lang w:val="fr-FR"/>
        </w:rPr>
        <w:t>’</w:t>
      </w:r>
      <w:r w:rsidRPr="00412C58">
        <w:rPr>
          <w:lang w:val="fr-FR"/>
        </w:rPr>
        <w:t xml:space="preserve">accès au recours qui lui permettrait de faire valoir </w:t>
      </w:r>
      <w:r>
        <w:rPr>
          <w:lang w:val="fr-FR"/>
        </w:rPr>
        <w:t xml:space="preserve">et établir </w:t>
      </w:r>
      <w:r w:rsidRPr="00412C58">
        <w:rPr>
          <w:lang w:val="fr-FR"/>
        </w:rPr>
        <w:t>son droit à l</w:t>
      </w:r>
      <w:r>
        <w:rPr>
          <w:lang w:val="fr-FR"/>
        </w:rPr>
        <w:t>’</w:t>
      </w:r>
      <w:r w:rsidRPr="00412C58">
        <w:rPr>
          <w:lang w:val="fr-FR"/>
        </w:rPr>
        <w:t xml:space="preserve">indemnisation. </w:t>
      </w:r>
      <w:r w:rsidRPr="00CE67F4">
        <w:rPr>
          <w:lang w:val="fr-FR"/>
        </w:rPr>
        <w:t xml:space="preserve">Le Comité note </w:t>
      </w:r>
      <w:r w:rsidRPr="00412C58">
        <w:rPr>
          <w:lang w:val="fr-FR"/>
        </w:rPr>
        <w:t>l</w:t>
      </w:r>
      <w:r>
        <w:rPr>
          <w:lang w:val="fr-FR"/>
        </w:rPr>
        <w:t>’</w:t>
      </w:r>
      <w:r w:rsidRPr="00412C58">
        <w:rPr>
          <w:lang w:val="fr-FR"/>
        </w:rPr>
        <w:t>argument de l</w:t>
      </w:r>
      <w:r>
        <w:rPr>
          <w:lang w:val="fr-FR"/>
        </w:rPr>
        <w:t>’</w:t>
      </w:r>
      <w:r w:rsidRPr="00412C58">
        <w:rPr>
          <w:lang w:val="fr-FR"/>
        </w:rPr>
        <w:t>auteur selon lequel</w:t>
      </w:r>
      <w:r w:rsidRPr="00CE67F4">
        <w:rPr>
          <w:lang w:val="fr-FR"/>
        </w:rPr>
        <w:t xml:space="preserve"> </w:t>
      </w:r>
      <w:r w:rsidRPr="00412C58">
        <w:rPr>
          <w:lang w:val="fr-FR"/>
        </w:rPr>
        <w:t xml:space="preserve">le défaut de </w:t>
      </w:r>
      <w:r w:rsidRPr="00CE67F4">
        <w:rPr>
          <w:lang w:val="fr-FR"/>
        </w:rPr>
        <w:t xml:space="preserve">mise à disposition de la </w:t>
      </w:r>
      <w:r w:rsidRPr="00412C58">
        <w:rPr>
          <w:lang w:val="fr-FR"/>
        </w:rPr>
        <w:t>voie de recours prévue à cet effet</w:t>
      </w:r>
      <w:r>
        <w:rPr>
          <w:lang w:val="fr-FR"/>
        </w:rPr>
        <w:t xml:space="preserve"> </w:t>
      </w:r>
      <w:r w:rsidR="009624DB">
        <w:rPr>
          <w:lang w:val="fr-FR"/>
        </w:rPr>
        <w:t>− </w:t>
      </w:r>
      <w:r w:rsidRPr="00412C58">
        <w:rPr>
          <w:lang w:val="fr-FR"/>
        </w:rPr>
        <w:t>en l</w:t>
      </w:r>
      <w:r>
        <w:rPr>
          <w:lang w:val="fr-FR"/>
        </w:rPr>
        <w:t>’</w:t>
      </w:r>
      <w:r w:rsidRPr="00412C58">
        <w:rPr>
          <w:lang w:val="fr-FR"/>
        </w:rPr>
        <w:t xml:space="preserve">occurrence, la </w:t>
      </w:r>
      <w:r>
        <w:rPr>
          <w:lang w:val="fr-FR"/>
        </w:rPr>
        <w:t>c</w:t>
      </w:r>
      <w:r w:rsidRPr="00412C58">
        <w:rPr>
          <w:lang w:val="fr-FR"/>
        </w:rPr>
        <w:t>ommission d</w:t>
      </w:r>
      <w:r>
        <w:rPr>
          <w:lang w:val="fr-FR"/>
        </w:rPr>
        <w:t>’</w:t>
      </w:r>
      <w:r w:rsidRPr="00412C58">
        <w:rPr>
          <w:lang w:val="fr-FR"/>
        </w:rPr>
        <w:t>indemnisation</w:t>
      </w:r>
      <w:r w:rsidR="009624DB">
        <w:rPr>
          <w:lang w:val="fr-FR"/>
        </w:rPr>
        <w:t> −</w:t>
      </w:r>
      <w:r w:rsidRPr="00412C58">
        <w:rPr>
          <w:lang w:val="fr-FR"/>
        </w:rPr>
        <w:t xml:space="preserve"> </w:t>
      </w:r>
      <w:r w:rsidRPr="00CE67F4">
        <w:rPr>
          <w:lang w:val="fr-FR"/>
        </w:rPr>
        <w:t xml:space="preserve">constitue une violation des </w:t>
      </w:r>
      <w:r w:rsidR="009624DB" w:rsidRPr="00CE67F4">
        <w:rPr>
          <w:lang w:val="fr-FR"/>
        </w:rPr>
        <w:t>articles</w:t>
      </w:r>
      <w:r w:rsidR="009624DB">
        <w:rPr>
          <w:lang w:val="fr-FR"/>
        </w:rPr>
        <w:t> </w:t>
      </w:r>
      <w:r w:rsidRPr="00CE67F4">
        <w:rPr>
          <w:lang w:val="fr-FR"/>
        </w:rPr>
        <w:t xml:space="preserve">2 </w:t>
      </w:r>
      <w:r>
        <w:rPr>
          <w:lang w:val="fr-FR"/>
        </w:rPr>
        <w:t>(</w:t>
      </w:r>
      <w:r w:rsidRPr="00CE67F4">
        <w:rPr>
          <w:lang w:val="fr-FR"/>
        </w:rPr>
        <w:t>par</w:t>
      </w:r>
      <w:r>
        <w:rPr>
          <w:lang w:val="fr-FR"/>
        </w:rPr>
        <w:t>. </w:t>
      </w:r>
      <w:r w:rsidRPr="00CE67F4">
        <w:rPr>
          <w:lang w:val="fr-FR"/>
        </w:rPr>
        <w:t>3</w:t>
      </w:r>
      <w:r>
        <w:rPr>
          <w:lang w:val="fr-FR"/>
        </w:rPr>
        <w:t>)</w:t>
      </w:r>
      <w:r w:rsidRPr="00CE67F4">
        <w:rPr>
          <w:lang w:val="fr-FR"/>
        </w:rPr>
        <w:t xml:space="preserve"> et 14 </w:t>
      </w:r>
      <w:r>
        <w:rPr>
          <w:lang w:val="fr-FR"/>
        </w:rPr>
        <w:t>(</w:t>
      </w:r>
      <w:r w:rsidRPr="00CE67F4">
        <w:rPr>
          <w:lang w:val="fr-FR"/>
        </w:rPr>
        <w:t>par</w:t>
      </w:r>
      <w:r>
        <w:rPr>
          <w:lang w:val="fr-FR"/>
        </w:rPr>
        <w:t>. </w:t>
      </w:r>
      <w:r w:rsidRPr="00CE67F4">
        <w:rPr>
          <w:lang w:val="fr-FR"/>
        </w:rPr>
        <w:t>1</w:t>
      </w:r>
      <w:r>
        <w:rPr>
          <w:lang w:val="fr-FR"/>
        </w:rPr>
        <w:t>)</w:t>
      </w:r>
      <w:r w:rsidRPr="00CE67F4">
        <w:rPr>
          <w:lang w:val="fr-FR"/>
        </w:rPr>
        <w:t xml:space="preserve"> du Pacte.</w:t>
      </w:r>
    </w:p>
    <w:p w14:paraId="1A867033" w14:textId="77777777" w:rsidR="00E83006" w:rsidRPr="00412C58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9.</w:t>
      </w:r>
      <w:r>
        <w:rPr>
          <w:lang w:val="fr-FR"/>
        </w:rPr>
        <w:t>3</w:t>
      </w:r>
      <w:r w:rsidRPr="00412C58">
        <w:rPr>
          <w:lang w:val="fr-FR"/>
        </w:rPr>
        <w:tab/>
      </w:r>
      <w:r>
        <w:rPr>
          <w:lang w:val="fr-FR"/>
        </w:rPr>
        <w:t>En ce qui concerne</w:t>
      </w:r>
      <w:r w:rsidRPr="00CE67F4">
        <w:rPr>
          <w:lang w:val="fr-FR"/>
        </w:rPr>
        <w:t xml:space="preserve"> la nature de la </w:t>
      </w:r>
      <w:r>
        <w:rPr>
          <w:lang w:val="fr-FR"/>
        </w:rPr>
        <w:t>c</w:t>
      </w:r>
      <w:r w:rsidRPr="00CE67F4">
        <w:rPr>
          <w:lang w:val="fr-FR"/>
        </w:rPr>
        <w:t>ommission</w:t>
      </w:r>
      <w:r w:rsidRPr="00E1757F">
        <w:rPr>
          <w:lang w:val="fr-FR"/>
        </w:rPr>
        <w:t xml:space="preserve"> </w:t>
      </w:r>
      <w:r w:rsidRPr="00CE67F4">
        <w:rPr>
          <w:lang w:val="fr-FR"/>
        </w:rPr>
        <w:t>d</w:t>
      </w:r>
      <w:r>
        <w:rPr>
          <w:lang w:val="fr-FR"/>
        </w:rPr>
        <w:t>’</w:t>
      </w:r>
      <w:r w:rsidRPr="00CE67F4">
        <w:rPr>
          <w:lang w:val="fr-FR"/>
        </w:rPr>
        <w:t>indemnisation, le Comité prend note de l</w:t>
      </w:r>
      <w:r>
        <w:rPr>
          <w:lang w:val="fr-FR"/>
        </w:rPr>
        <w:t>’</w:t>
      </w:r>
      <w:r w:rsidRPr="00CE67F4">
        <w:rPr>
          <w:lang w:val="fr-FR"/>
        </w:rPr>
        <w:t>argument de l</w:t>
      </w:r>
      <w:r>
        <w:rPr>
          <w:lang w:val="fr-FR"/>
        </w:rPr>
        <w:t>’É</w:t>
      </w:r>
      <w:r w:rsidRPr="00CE67F4">
        <w:rPr>
          <w:lang w:val="fr-FR"/>
        </w:rPr>
        <w:t xml:space="preserve">tat partie selon lequel </w:t>
      </w:r>
      <w:r>
        <w:rPr>
          <w:lang w:val="fr-FR"/>
        </w:rPr>
        <w:t>celle-ci</w:t>
      </w:r>
      <w:r w:rsidRPr="00CE67F4">
        <w:rPr>
          <w:lang w:val="fr-FR"/>
        </w:rPr>
        <w:t xml:space="preserve"> est une émanation de la Cour suprême et non une structure purement administrative. Le Comité </w:t>
      </w:r>
      <w:r w:rsidRPr="00412C58">
        <w:rPr>
          <w:lang w:val="fr-FR"/>
        </w:rPr>
        <w:t>observe que selon la législation de l</w:t>
      </w:r>
      <w:r>
        <w:rPr>
          <w:lang w:val="fr-FR"/>
        </w:rPr>
        <w:t>’É</w:t>
      </w:r>
      <w:r w:rsidRPr="00412C58">
        <w:rPr>
          <w:lang w:val="fr-FR"/>
        </w:rPr>
        <w:t>tat partie, les décisions des commissions d</w:t>
      </w:r>
      <w:r>
        <w:rPr>
          <w:lang w:val="fr-FR"/>
        </w:rPr>
        <w:t>’</w:t>
      </w:r>
      <w:r w:rsidRPr="00412C58">
        <w:rPr>
          <w:lang w:val="fr-FR"/>
        </w:rPr>
        <w:t xml:space="preserve">indemnisation auxquelles est assimilée la </w:t>
      </w:r>
      <w:r>
        <w:rPr>
          <w:lang w:val="fr-FR"/>
        </w:rPr>
        <w:t>c</w:t>
      </w:r>
      <w:r w:rsidRPr="00412C58">
        <w:rPr>
          <w:lang w:val="fr-FR"/>
        </w:rPr>
        <w:t>ommission évoquée par l</w:t>
      </w:r>
      <w:r>
        <w:rPr>
          <w:lang w:val="fr-FR"/>
        </w:rPr>
        <w:t>’</w:t>
      </w:r>
      <w:r w:rsidRPr="00412C58">
        <w:rPr>
          <w:lang w:val="fr-FR"/>
        </w:rPr>
        <w:t>auteur sont assimilé</w:t>
      </w:r>
      <w:r>
        <w:rPr>
          <w:lang w:val="fr-FR"/>
        </w:rPr>
        <w:t>e</w:t>
      </w:r>
      <w:r w:rsidRPr="00412C58">
        <w:rPr>
          <w:lang w:val="fr-FR"/>
        </w:rPr>
        <w:t>s à des jugements civils</w:t>
      </w:r>
      <w:r w:rsidRPr="00914591">
        <w:rPr>
          <w:rStyle w:val="Appelnotedebasdep"/>
        </w:rPr>
        <w:footnoteReference w:id="9"/>
      </w:r>
      <w:r w:rsidRPr="00412C58">
        <w:rPr>
          <w:lang w:val="fr-FR"/>
        </w:rPr>
        <w:t>.</w:t>
      </w:r>
    </w:p>
    <w:p w14:paraId="328B2154" w14:textId="4F6EF0C9" w:rsidR="00E83006" w:rsidRPr="00412C58" w:rsidRDefault="00E83006" w:rsidP="00ED242C">
      <w:pPr>
        <w:pStyle w:val="SingleTxtG"/>
        <w:rPr>
          <w:lang w:val="fr-FR"/>
        </w:rPr>
      </w:pPr>
      <w:r w:rsidRPr="00412C58">
        <w:rPr>
          <w:lang w:val="fr-FR"/>
        </w:rPr>
        <w:t>9.</w:t>
      </w:r>
      <w:r>
        <w:rPr>
          <w:lang w:val="fr-FR"/>
        </w:rPr>
        <w:t>4</w:t>
      </w:r>
      <w:r w:rsidRPr="00412C58">
        <w:rPr>
          <w:lang w:val="fr-FR"/>
        </w:rPr>
        <w:tab/>
      </w:r>
      <w:r>
        <w:rPr>
          <w:lang w:val="fr-FR"/>
        </w:rPr>
        <w:t>L</w:t>
      </w:r>
      <w:r w:rsidRPr="00CE67F4">
        <w:rPr>
          <w:lang w:val="fr-FR"/>
        </w:rPr>
        <w:t xml:space="preserve">e Comité considère que le </w:t>
      </w:r>
      <w:r>
        <w:rPr>
          <w:lang w:val="fr-FR"/>
        </w:rPr>
        <w:t>défaut</w:t>
      </w:r>
      <w:r w:rsidRPr="00CE67F4">
        <w:rPr>
          <w:lang w:val="fr-FR"/>
        </w:rPr>
        <w:t xml:space="preserve"> par l</w:t>
      </w:r>
      <w:r>
        <w:rPr>
          <w:lang w:val="fr-FR"/>
        </w:rPr>
        <w:t>’É</w:t>
      </w:r>
      <w:r w:rsidRPr="00CE67F4">
        <w:rPr>
          <w:lang w:val="fr-FR"/>
        </w:rPr>
        <w:t xml:space="preserve">tat partie de rendre effective </w:t>
      </w:r>
      <w:r w:rsidRPr="00412C58">
        <w:rPr>
          <w:lang w:val="fr-FR"/>
        </w:rPr>
        <w:t>une voie</w:t>
      </w:r>
      <w:r w:rsidRPr="00CE67F4">
        <w:rPr>
          <w:lang w:val="fr-FR"/>
        </w:rPr>
        <w:t xml:space="preserve"> de recours prévu</w:t>
      </w:r>
      <w:r w:rsidRPr="00412C58">
        <w:rPr>
          <w:lang w:val="fr-FR"/>
        </w:rPr>
        <w:t>e</w:t>
      </w:r>
      <w:r w:rsidRPr="00CE67F4">
        <w:rPr>
          <w:lang w:val="fr-FR"/>
        </w:rPr>
        <w:t xml:space="preserve"> par la loi en vue de la réparation d</w:t>
      </w:r>
      <w:r>
        <w:rPr>
          <w:lang w:val="fr-FR"/>
        </w:rPr>
        <w:t>’</w:t>
      </w:r>
      <w:r w:rsidRPr="00CE67F4">
        <w:rPr>
          <w:lang w:val="fr-FR"/>
        </w:rPr>
        <w:t xml:space="preserve">un dommage </w:t>
      </w:r>
      <w:r w:rsidRPr="00412C58">
        <w:rPr>
          <w:lang w:val="fr-FR"/>
        </w:rPr>
        <w:t>constitue une violation de</w:t>
      </w:r>
      <w:r w:rsidRPr="00CE67F4">
        <w:rPr>
          <w:lang w:val="fr-FR"/>
        </w:rPr>
        <w:t xml:space="preserve"> </w:t>
      </w:r>
      <w:r w:rsidR="009624DB" w:rsidRPr="00CE67F4">
        <w:rPr>
          <w:lang w:val="fr-FR"/>
        </w:rPr>
        <w:t>l</w:t>
      </w:r>
      <w:r w:rsidR="009624DB">
        <w:rPr>
          <w:lang w:val="fr-FR"/>
        </w:rPr>
        <w:t>’</w:t>
      </w:r>
      <w:r w:rsidR="009624DB" w:rsidRPr="00CE67F4">
        <w:rPr>
          <w:lang w:val="fr-FR"/>
        </w:rPr>
        <w:t>article</w:t>
      </w:r>
      <w:r w:rsidR="009624DB">
        <w:rPr>
          <w:lang w:val="fr-FR"/>
        </w:rPr>
        <w:t> </w:t>
      </w:r>
      <w:r w:rsidRPr="00CE67F4">
        <w:rPr>
          <w:lang w:val="fr-FR"/>
        </w:rPr>
        <w:t>14 (</w:t>
      </w:r>
      <w:r>
        <w:rPr>
          <w:lang w:val="fr-FR"/>
        </w:rPr>
        <w:t>par. </w:t>
      </w:r>
      <w:r w:rsidRPr="00CE67F4">
        <w:rPr>
          <w:lang w:val="fr-FR"/>
        </w:rPr>
        <w:t>1) du Pacte. Le Comité rappelle qu</w:t>
      </w:r>
      <w:r>
        <w:rPr>
          <w:lang w:val="fr-FR"/>
        </w:rPr>
        <w:t>’</w:t>
      </w:r>
      <w:r w:rsidRPr="00CE67F4">
        <w:rPr>
          <w:lang w:val="fr-FR"/>
        </w:rPr>
        <w:t>il est du devoir de l</w:t>
      </w:r>
      <w:r>
        <w:rPr>
          <w:lang w:val="fr-FR"/>
        </w:rPr>
        <w:t>’É</w:t>
      </w:r>
      <w:r w:rsidRPr="00CE67F4">
        <w:rPr>
          <w:lang w:val="fr-FR"/>
        </w:rPr>
        <w:t xml:space="preserve">tat partie, au regard </w:t>
      </w:r>
      <w:r w:rsidRPr="00CE67F4">
        <w:rPr>
          <w:lang w:val="fr-FR"/>
        </w:rPr>
        <w:lastRenderedPageBreak/>
        <w:t>d</w:t>
      </w:r>
      <w:r>
        <w:rPr>
          <w:lang w:val="fr-FR"/>
        </w:rPr>
        <w:t>e l’article</w:t>
      </w:r>
      <w:r w:rsidR="009624DB">
        <w:rPr>
          <w:lang w:val="fr-FR"/>
        </w:rPr>
        <w:t> </w:t>
      </w:r>
      <w:r w:rsidRPr="00CE67F4">
        <w:rPr>
          <w:lang w:val="fr-FR"/>
        </w:rPr>
        <w:t>2 (</w:t>
      </w:r>
      <w:r>
        <w:rPr>
          <w:lang w:val="fr-FR"/>
        </w:rPr>
        <w:t>par. 3 b))</w:t>
      </w:r>
      <w:r w:rsidRPr="00CE67F4">
        <w:rPr>
          <w:lang w:val="fr-FR"/>
        </w:rPr>
        <w:t xml:space="preserve"> du Pacte</w:t>
      </w:r>
      <w:r>
        <w:rPr>
          <w:lang w:val="fr-FR"/>
        </w:rPr>
        <w:t>,</w:t>
      </w:r>
      <w:r w:rsidRPr="00CE67F4">
        <w:rPr>
          <w:lang w:val="fr-FR"/>
        </w:rPr>
        <w:t xml:space="preserve"> de s</w:t>
      </w:r>
      <w:r>
        <w:rPr>
          <w:lang w:val="fr-FR"/>
        </w:rPr>
        <w:t>’</w:t>
      </w:r>
      <w:r w:rsidRPr="00CE67F4">
        <w:rPr>
          <w:lang w:val="fr-FR"/>
        </w:rPr>
        <w:t>assurer que l</w:t>
      </w:r>
      <w:r>
        <w:rPr>
          <w:lang w:val="fr-FR"/>
        </w:rPr>
        <w:t>’</w:t>
      </w:r>
      <w:r w:rsidRPr="00CE67F4">
        <w:rPr>
          <w:lang w:val="fr-FR"/>
        </w:rPr>
        <w:t>autorité compétente, selon la législation de l</w:t>
      </w:r>
      <w:r>
        <w:rPr>
          <w:lang w:val="fr-FR"/>
        </w:rPr>
        <w:t>’É</w:t>
      </w:r>
      <w:r w:rsidRPr="00CE67F4">
        <w:rPr>
          <w:lang w:val="fr-FR"/>
        </w:rPr>
        <w:t>tat, statuera sur les droits de la personne qui forme le recours</w:t>
      </w:r>
      <w:r>
        <w:rPr>
          <w:lang w:val="fr-FR"/>
        </w:rPr>
        <w:t>, et qu’en l’espèce, non seulement le recours prévu n’était pas disponible en temps utile, mais aucune issue n’était offerte dans la législation interne quant à la manière de recourir contre cette indisponibilité du recours.</w:t>
      </w:r>
      <w:r w:rsidRPr="00CE67F4">
        <w:rPr>
          <w:lang w:val="fr-FR"/>
        </w:rPr>
        <w:t xml:space="preserve"> </w:t>
      </w:r>
    </w:p>
    <w:p w14:paraId="1E8A7453" w14:textId="69675B59" w:rsidR="00E83006" w:rsidRPr="00F20C8F" w:rsidRDefault="00E83006" w:rsidP="00ED242C">
      <w:pPr>
        <w:pStyle w:val="SingleTxtG"/>
        <w:rPr>
          <w:lang w:val="fr-FR"/>
        </w:rPr>
      </w:pPr>
      <w:r>
        <w:rPr>
          <w:lang w:val="fr-FR"/>
        </w:rPr>
        <w:t>9.5</w:t>
      </w:r>
      <w:r w:rsidRPr="00F20C8F">
        <w:rPr>
          <w:lang w:val="fr-FR"/>
        </w:rPr>
        <w:tab/>
        <w:t>En conséquence, le Co</w:t>
      </w:r>
      <w:r w:rsidRPr="00412C58">
        <w:rPr>
          <w:lang w:val="fr-FR"/>
        </w:rPr>
        <w:t>mité estime qu</w:t>
      </w:r>
      <w:r>
        <w:rPr>
          <w:lang w:val="fr-FR"/>
        </w:rPr>
        <w:t>’</w:t>
      </w:r>
      <w:r w:rsidRPr="00412C58">
        <w:rPr>
          <w:lang w:val="fr-FR"/>
        </w:rPr>
        <w:t>en l</w:t>
      </w:r>
      <w:r>
        <w:rPr>
          <w:lang w:val="fr-FR"/>
        </w:rPr>
        <w:t>’</w:t>
      </w:r>
      <w:r w:rsidRPr="00412C58">
        <w:rPr>
          <w:lang w:val="fr-FR"/>
        </w:rPr>
        <w:t xml:space="preserve">espèce, le fait </w:t>
      </w:r>
      <w:r>
        <w:rPr>
          <w:lang w:val="fr-FR"/>
        </w:rPr>
        <w:t>que</w:t>
      </w:r>
      <w:r w:rsidRPr="00412C58">
        <w:rPr>
          <w:lang w:val="fr-FR"/>
        </w:rPr>
        <w:t xml:space="preserve"> l</w:t>
      </w:r>
      <w:r>
        <w:rPr>
          <w:lang w:val="fr-FR"/>
        </w:rPr>
        <w:t>’É</w:t>
      </w:r>
      <w:r w:rsidRPr="00412C58">
        <w:rPr>
          <w:lang w:val="fr-FR"/>
        </w:rPr>
        <w:t xml:space="preserve">tat partie </w:t>
      </w:r>
      <w:r>
        <w:rPr>
          <w:lang w:val="fr-FR"/>
        </w:rPr>
        <w:t>n’a</w:t>
      </w:r>
      <w:r w:rsidRPr="00412C58">
        <w:rPr>
          <w:lang w:val="fr-FR"/>
        </w:rPr>
        <w:t xml:space="preserve"> pas mis en temps utile à la disposition de l</w:t>
      </w:r>
      <w:r>
        <w:rPr>
          <w:lang w:val="fr-FR"/>
        </w:rPr>
        <w:t>’</w:t>
      </w:r>
      <w:r w:rsidRPr="00412C58">
        <w:rPr>
          <w:lang w:val="fr-FR"/>
        </w:rPr>
        <w:t xml:space="preserve">auteur le recours en indemnisation prévu par la loi constitue une violation </w:t>
      </w:r>
      <w:r w:rsidRPr="000D78B6">
        <w:rPr>
          <w:lang w:val="fr-FR"/>
        </w:rPr>
        <w:t xml:space="preserve">de </w:t>
      </w:r>
      <w:r w:rsidR="009624DB" w:rsidRPr="000D78B6">
        <w:rPr>
          <w:lang w:val="fr-FR"/>
        </w:rPr>
        <w:t>l</w:t>
      </w:r>
      <w:r w:rsidR="009624DB">
        <w:rPr>
          <w:lang w:val="fr-FR"/>
        </w:rPr>
        <w:t>’</w:t>
      </w:r>
      <w:r w:rsidR="009624DB" w:rsidRPr="000D78B6">
        <w:rPr>
          <w:lang w:val="fr-FR"/>
        </w:rPr>
        <w:t>article</w:t>
      </w:r>
      <w:r w:rsidR="009624DB">
        <w:rPr>
          <w:lang w:val="fr-FR"/>
        </w:rPr>
        <w:t> </w:t>
      </w:r>
      <w:r w:rsidRPr="000D78B6">
        <w:rPr>
          <w:lang w:val="fr-FR"/>
        </w:rPr>
        <w:t>14 (</w:t>
      </w:r>
      <w:r>
        <w:rPr>
          <w:lang w:val="fr-FR"/>
        </w:rPr>
        <w:t>par. </w:t>
      </w:r>
      <w:r w:rsidRPr="000D78B6">
        <w:rPr>
          <w:lang w:val="fr-FR"/>
        </w:rPr>
        <w:t xml:space="preserve">1) lu seul et conjointement avec </w:t>
      </w:r>
      <w:r w:rsidR="009624DB" w:rsidRPr="000D78B6">
        <w:rPr>
          <w:lang w:val="fr-FR"/>
        </w:rPr>
        <w:t>l</w:t>
      </w:r>
      <w:r w:rsidR="009624DB">
        <w:rPr>
          <w:lang w:val="fr-FR"/>
        </w:rPr>
        <w:t>’</w:t>
      </w:r>
      <w:r w:rsidR="009624DB" w:rsidRPr="000D78B6">
        <w:rPr>
          <w:lang w:val="fr-FR"/>
        </w:rPr>
        <w:t>article</w:t>
      </w:r>
      <w:r w:rsidR="009624DB">
        <w:rPr>
          <w:lang w:val="fr-FR"/>
        </w:rPr>
        <w:t> </w:t>
      </w:r>
      <w:r w:rsidRPr="000D78B6">
        <w:rPr>
          <w:lang w:val="fr-FR"/>
        </w:rPr>
        <w:t>2</w:t>
      </w:r>
      <w:r>
        <w:rPr>
          <w:lang w:val="fr-FR"/>
        </w:rPr>
        <w:t xml:space="preserve"> </w:t>
      </w:r>
      <w:r w:rsidRPr="000D78B6">
        <w:rPr>
          <w:lang w:val="fr-FR"/>
        </w:rPr>
        <w:t>(</w:t>
      </w:r>
      <w:r>
        <w:rPr>
          <w:lang w:val="fr-FR"/>
        </w:rPr>
        <w:t>par. </w:t>
      </w:r>
      <w:r w:rsidRPr="000D78B6">
        <w:rPr>
          <w:lang w:val="fr-FR"/>
        </w:rPr>
        <w:t xml:space="preserve">3) </w:t>
      </w:r>
      <w:r w:rsidRPr="00412C58">
        <w:rPr>
          <w:lang w:val="fr-FR"/>
        </w:rPr>
        <w:t xml:space="preserve">du Pacte. </w:t>
      </w:r>
    </w:p>
    <w:p w14:paraId="409D61B4" w14:textId="1C5F820F" w:rsidR="00E83006" w:rsidRPr="00F20C8F" w:rsidRDefault="00E83006" w:rsidP="00ED242C">
      <w:pPr>
        <w:pStyle w:val="SingleTxtG"/>
      </w:pPr>
      <w:r>
        <w:rPr>
          <w:lang w:val="fr-FR"/>
        </w:rPr>
        <w:t>10.</w:t>
      </w:r>
      <w:r>
        <w:rPr>
          <w:lang w:val="fr-FR"/>
        </w:rPr>
        <w:tab/>
      </w:r>
      <w:r w:rsidRPr="00F20C8F">
        <w:rPr>
          <w:lang w:val="fr-FR"/>
        </w:rPr>
        <w:t xml:space="preserve">Le Comité, agissant en vertu de </w:t>
      </w:r>
      <w:r w:rsidR="009624DB" w:rsidRPr="00F20C8F">
        <w:rPr>
          <w:lang w:val="fr-FR"/>
        </w:rPr>
        <w:t>l</w:t>
      </w:r>
      <w:r w:rsidR="009624DB">
        <w:rPr>
          <w:lang w:val="fr-FR"/>
        </w:rPr>
        <w:t>’</w:t>
      </w:r>
      <w:r w:rsidR="009624DB" w:rsidRPr="00F20C8F">
        <w:rPr>
          <w:lang w:val="fr-FR"/>
        </w:rPr>
        <w:t>article</w:t>
      </w:r>
      <w:r w:rsidR="009624DB">
        <w:rPr>
          <w:lang w:val="fr-FR"/>
        </w:rPr>
        <w:t> </w:t>
      </w:r>
      <w:r w:rsidRPr="00F20C8F">
        <w:rPr>
          <w:lang w:val="fr-FR"/>
        </w:rPr>
        <w:t xml:space="preserve">5 </w:t>
      </w:r>
      <w:r>
        <w:rPr>
          <w:lang w:val="fr-FR"/>
        </w:rPr>
        <w:t xml:space="preserve">(par. 4) </w:t>
      </w:r>
      <w:r w:rsidRPr="00F20C8F">
        <w:rPr>
          <w:lang w:val="fr-FR"/>
        </w:rPr>
        <w:t xml:space="preserve">du Protocole facultatif, constate que </w:t>
      </w:r>
      <w:r>
        <w:rPr>
          <w:lang w:val="fr-FR"/>
        </w:rPr>
        <w:t xml:space="preserve">les faits dont il est saisi font apparaître une violation par </w:t>
      </w:r>
      <w:r w:rsidRPr="00F20C8F">
        <w:rPr>
          <w:lang w:val="fr-FR"/>
        </w:rPr>
        <w:t>l</w:t>
      </w:r>
      <w:r>
        <w:rPr>
          <w:lang w:val="fr-FR"/>
        </w:rPr>
        <w:t>’</w:t>
      </w:r>
      <w:r w:rsidRPr="00F20C8F">
        <w:rPr>
          <w:lang w:val="fr-FR"/>
        </w:rPr>
        <w:t xml:space="preserve">État partie </w:t>
      </w:r>
      <w:r>
        <w:rPr>
          <w:lang w:val="fr-FR"/>
        </w:rPr>
        <w:t>des</w:t>
      </w:r>
      <w:r w:rsidRPr="00412C58">
        <w:rPr>
          <w:lang w:val="fr-FR"/>
        </w:rPr>
        <w:t xml:space="preserve"> droits que l</w:t>
      </w:r>
      <w:r>
        <w:rPr>
          <w:lang w:val="fr-FR"/>
        </w:rPr>
        <w:t>’</w:t>
      </w:r>
      <w:r w:rsidRPr="00412C58">
        <w:rPr>
          <w:lang w:val="fr-FR"/>
        </w:rPr>
        <w:t>auteur</w:t>
      </w:r>
      <w:r w:rsidRPr="00F20C8F">
        <w:rPr>
          <w:lang w:val="fr-FR"/>
        </w:rPr>
        <w:t xml:space="preserve"> tient </w:t>
      </w:r>
      <w:r w:rsidRPr="00AF55C2">
        <w:rPr>
          <w:lang w:val="fr-FR"/>
        </w:rPr>
        <w:t xml:space="preserve">de </w:t>
      </w:r>
      <w:r w:rsidR="009624DB" w:rsidRPr="00AF55C2">
        <w:rPr>
          <w:lang w:val="fr-FR"/>
        </w:rPr>
        <w:t>l</w:t>
      </w:r>
      <w:r w:rsidR="009624DB">
        <w:rPr>
          <w:lang w:val="fr-FR"/>
        </w:rPr>
        <w:t>’</w:t>
      </w:r>
      <w:r w:rsidR="009624DB" w:rsidRPr="00AF55C2">
        <w:rPr>
          <w:lang w:val="fr-FR"/>
        </w:rPr>
        <w:t>article</w:t>
      </w:r>
      <w:r w:rsidR="009624DB">
        <w:rPr>
          <w:lang w:val="fr-FR"/>
        </w:rPr>
        <w:t> </w:t>
      </w:r>
      <w:r w:rsidRPr="00AF55C2">
        <w:rPr>
          <w:lang w:val="fr-FR"/>
        </w:rPr>
        <w:t>14</w:t>
      </w:r>
      <w:r>
        <w:rPr>
          <w:lang w:val="fr-FR"/>
        </w:rPr>
        <w:t xml:space="preserve"> (par. 1)</w:t>
      </w:r>
      <w:r w:rsidRPr="00AF55C2">
        <w:rPr>
          <w:lang w:val="fr-FR"/>
        </w:rPr>
        <w:t xml:space="preserve"> lu seul et conjointement avec </w:t>
      </w:r>
      <w:r w:rsidR="009624DB" w:rsidRPr="00AF55C2">
        <w:rPr>
          <w:lang w:val="fr-FR"/>
        </w:rPr>
        <w:t>l</w:t>
      </w:r>
      <w:r w:rsidR="009624DB">
        <w:rPr>
          <w:lang w:val="fr-FR"/>
        </w:rPr>
        <w:t>’</w:t>
      </w:r>
      <w:r w:rsidR="009624DB" w:rsidRPr="00AF55C2">
        <w:rPr>
          <w:lang w:val="fr-FR"/>
        </w:rPr>
        <w:t>article</w:t>
      </w:r>
      <w:r w:rsidR="009624DB">
        <w:rPr>
          <w:lang w:val="fr-FR"/>
        </w:rPr>
        <w:t> </w:t>
      </w:r>
      <w:r w:rsidRPr="00AF55C2">
        <w:rPr>
          <w:lang w:val="fr-FR"/>
        </w:rPr>
        <w:t xml:space="preserve">2 </w:t>
      </w:r>
      <w:r>
        <w:rPr>
          <w:lang w:val="fr-FR"/>
        </w:rPr>
        <w:t xml:space="preserve">(par. 3) </w:t>
      </w:r>
      <w:r w:rsidRPr="00412C58">
        <w:rPr>
          <w:lang w:val="fr-FR"/>
        </w:rPr>
        <w:t>du Pacte</w:t>
      </w:r>
      <w:r w:rsidRPr="00F20C8F">
        <w:rPr>
          <w:lang w:val="fr-FR"/>
        </w:rPr>
        <w:t>.</w:t>
      </w:r>
    </w:p>
    <w:p w14:paraId="70BA1027" w14:textId="60FC4F4C" w:rsidR="00E83006" w:rsidRPr="00F20C8F" w:rsidRDefault="00E83006" w:rsidP="00ED242C">
      <w:pPr>
        <w:pStyle w:val="SingleTxtG"/>
      </w:pPr>
      <w:r>
        <w:t>11.</w:t>
      </w:r>
      <w:r w:rsidRPr="00F20C8F">
        <w:rPr>
          <w:lang w:val="fr-FR"/>
        </w:rPr>
        <w:tab/>
        <w:t xml:space="preserve">Conformément </w:t>
      </w:r>
      <w:r>
        <w:rPr>
          <w:lang w:val="fr-FR"/>
        </w:rPr>
        <w:t>à</w:t>
      </w:r>
      <w:r w:rsidRPr="00F20C8F">
        <w:rPr>
          <w:lang w:val="fr-FR"/>
        </w:rPr>
        <w:t xml:space="preserve"> </w:t>
      </w:r>
      <w:r w:rsidR="009624DB" w:rsidRPr="00F20C8F">
        <w:rPr>
          <w:lang w:val="fr-FR"/>
        </w:rPr>
        <w:t>l</w:t>
      </w:r>
      <w:r w:rsidR="009624DB">
        <w:rPr>
          <w:lang w:val="fr-FR"/>
        </w:rPr>
        <w:t>’</w:t>
      </w:r>
      <w:r w:rsidR="009624DB" w:rsidRPr="00F20C8F">
        <w:rPr>
          <w:lang w:val="fr-FR"/>
        </w:rPr>
        <w:t>article</w:t>
      </w:r>
      <w:r w:rsidR="009624DB">
        <w:rPr>
          <w:lang w:val="fr-FR"/>
        </w:rPr>
        <w:t> </w:t>
      </w:r>
      <w:r w:rsidRPr="00F20C8F">
        <w:rPr>
          <w:lang w:val="fr-FR"/>
        </w:rPr>
        <w:t>2</w:t>
      </w:r>
      <w:r>
        <w:rPr>
          <w:lang w:val="fr-FR"/>
        </w:rPr>
        <w:t xml:space="preserve"> (par. 3 a))</w:t>
      </w:r>
      <w:r w:rsidRPr="00F20C8F">
        <w:rPr>
          <w:lang w:val="fr-FR"/>
        </w:rPr>
        <w:t xml:space="preserve"> du Pacte, l</w:t>
      </w:r>
      <w:r>
        <w:rPr>
          <w:lang w:val="fr-FR"/>
        </w:rPr>
        <w:t>’</w:t>
      </w:r>
      <w:r w:rsidRPr="00F20C8F">
        <w:rPr>
          <w:lang w:val="fr-FR"/>
        </w:rPr>
        <w:t>État partie est tenu d</w:t>
      </w:r>
      <w:r>
        <w:rPr>
          <w:lang w:val="fr-FR"/>
        </w:rPr>
        <w:t>’</w:t>
      </w:r>
      <w:r w:rsidRPr="00F20C8F">
        <w:rPr>
          <w:lang w:val="fr-FR"/>
        </w:rPr>
        <w:t xml:space="preserve">assurer </w:t>
      </w:r>
      <w:r>
        <w:rPr>
          <w:lang w:val="fr-FR"/>
        </w:rPr>
        <w:t>à l’</w:t>
      </w:r>
      <w:r w:rsidRPr="00F20C8F">
        <w:rPr>
          <w:lang w:val="fr-FR"/>
        </w:rPr>
        <w:t>auteur un recours utile. Il a l</w:t>
      </w:r>
      <w:r>
        <w:rPr>
          <w:lang w:val="fr-FR"/>
        </w:rPr>
        <w:t>’</w:t>
      </w:r>
      <w:r w:rsidRPr="00F20C8F">
        <w:rPr>
          <w:lang w:val="fr-FR"/>
        </w:rPr>
        <w:t>obligation d</w:t>
      </w:r>
      <w:r>
        <w:rPr>
          <w:lang w:val="fr-FR"/>
        </w:rPr>
        <w:t>’</w:t>
      </w:r>
      <w:r w:rsidRPr="00F20C8F">
        <w:rPr>
          <w:lang w:val="fr-FR"/>
        </w:rPr>
        <w:t>accorder une réparation intégrale aux individus dont les droits garantis par le Pacte ont été violés. En conséquence, l</w:t>
      </w:r>
      <w:r>
        <w:rPr>
          <w:lang w:val="fr-FR"/>
        </w:rPr>
        <w:t>’</w:t>
      </w:r>
      <w:r w:rsidRPr="00F20C8F">
        <w:rPr>
          <w:lang w:val="fr-FR"/>
        </w:rPr>
        <w:t xml:space="preserve">État partie est tenu, notamment, de prendre </w:t>
      </w:r>
      <w:r>
        <w:rPr>
          <w:lang w:val="fr-FR"/>
        </w:rPr>
        <w:t>des</w:t>
      </w:r>
      <w:r w:rsidRPr="00F20C8F">
        <w:rPr>
          <w:lang w:val="fr-FR"/>
        </w:rPr>
        <w:t xml:space="preserve"> mesures </w:t>
      </w:r>
      <w:r>
        <w:rPr>
          <w:lang w:val="fr-FR"/>
        </w:rPr>
        <w:t>appropriées</w:t>
      </w:r>
      <w:r w:rsidRPr="00F20C8F">
        <w:rPr>
          <w:lang w:val="fr-FR"/>
        </w:rPr>
        <w:t xml:space="preserve"> pour : a) </w:t>
      </w:r>
      <w:r w:rsidRPr="00AF55C2">
        <w:rPr>
          <w:lang w:val="fr-FR"/>
        </w:rPr>
        <w:t>accorder à l</w:t>
      </w:r>
      <w:r>
        <w:rPr>
          <w:lang w:val="fr-FR"/>
        </w:rPr>
        <w:t>’</w:t>
      </w:r>
      <w:r w:rsidRPr="00AF55C2">
        <w:rPr>
          <w:lang w:val="fr-FR"/>
        </w:rPr>
        <w:t xml:space="preserve">auteur une réparation adéquate pour la violation de </w:t>
      </w:r>
      <w:r w:rsidR="009624DB" w:rsidRPr="00AF55C2">
        <w:rPr>
          <w:lang w:val="fr-FR"/>
        </w:rPr>
        <w:t>l</w:t>
      </w:r>
      <w:r w:rsidR="009624DB">
        <w:rPr>
          <w:lang w:val="fr-FR"/>
        </w:rPr>
        <w:t>’</w:t>
      </w:r>
      <w:r w:rsidR="009624DB" w:rsidRPr="00AF55C2">
        <w:rPr>
          <w:lang w:val="fr-FR"/>
        </w:rPr>
        <w:t>article</w:t>
      </w:r>
      <w:r w:rsidR="009624DB">
        <w:rPr>
          <w:lang w:val="fr-FR"/>
        </w:rPr>
        <w:t> </w:t>
      </w:r>
      <w:r w:rsidRPr="00AF55C2">
        <w:rPr>
          <w:lang w:val="fr-FR"/>
        </w:rPr>
        <w:t>14</w:t>
      </w:r>
      <w:r>
        <w:rPr>
          <w:lang w:val="fr-FR"/>
        </w:rPr>
        <w:t xml:space="preserve"> (par. 1) du Pacte </w:t>
      </w:r>
      <w:r w:rsidRPr="00AF55C2">
        <w:rPr>
          <w:lang w:val="fr-FR"/>
        </w:rPr>
        <w:t xml:space="preserve">; </w:t>
      </w:r>
      <w:r>
        <w:rPr>
          <w:lang w:val="fr-FR"/>
        </w:rPr>
        <w:t xml:space="preserve">et </w:t>
      </w:r>
      <w:r w:rsidRPr="00AF55C2">
        <w:rPr>
          <w:lang w:val="fr-FR"/>
        </w:rPr>
        <w:t>b</w:t>
      </w:r>
      <w:r w:rsidR="009624DB" w:rsidRPr="00AF55C2">
        <w:rPr>
          <w:lang w:val="fr-FR"/>
        </w:rPr>
        <w:t>)</w:t>
      </w:r>
      <w:r w:rsidR="009624DB">
        <w:rPr>
          <w:lang w:val="fr-FR"/>
        </w:rPr>
        <w:t> </w:t>
      </w:r>
      <w:r w:rsidRPr="00AF55C2">
        <w:rPr>
          <w:lang w:val="fr-FR"/>
        </w:rPr>
        <w:t>donner à l</w:t>
      </w:r>
      <w:r>
        <w:rPr>
          <w:lang w:val="fr-FR"/>
        </w:rPr>
        <w:t>’</w:t>
      </w:r>
      <w:r w:rsidRPr="00AF55C2">
        <w:rPr>
          <w:lang w:val="fr-FR"/>
        </w:rPr>
        <w:t>auteur l</w:t>
      </w:r>
      <w:r>
        <w:rPr>
          <w:lang w:val="fr-FR"/>
        </w:rPr>
        <w:t>’</w:t>
      </w:r>
      <w:r w:rsidRPr="00AF55C2">
        <w:rPr>
          <w:lang w:val="fr-FR"/>
        </w:rPr>
        <w:t>accès à un mécanisme d</w:t>
      </w:r>
      <w:r>
        <w:rPr>
          <w:lang w:val="fr-FR"/>
        </w:rPr>
        <w:t>’</w:t>
      </w:r>
      <w:r w:rsidRPr="00AF55C2">
        <w:rPr>
          <w:lang w:val="fr-FR"/>
        </w:rPr>
        <w:t>indemnisation pour détention injustifiée</w:t>
      </w:r>
      <w:r>
        <w:rPr>
          <w:lang w:val="fr-FR"/>
        </w:rPr>
        <w:t>.</w:t>
      </w:r>
      <w:r w:rsidRPr="00F20C8F">
        <w:rPr>
          <w:lang w:val="fr-FR"/>
        </w:rPr>
        <w:t xml:space="preserve"> </w:t>
      </w:r>
      <w:r w:rsidRPr="00EE42F5">
        <w:t>L</w:t>
      </w:r>
      <w:r>
        <w:t>’</w:t>
      </w:r>
      <w:r w:rsidRPr="00EE42F5">
        <w:t xml:space="preserve">État partie est également tenu de veiller à ce </w:t>
      </w:r>
      <w:r w:rsidRPr="00F20C8F">
        <w:rPr>
          <w:lang w:val="fr-FR"/>
        </w:rPr>
        <w:t>que des violations analogues ne se reproduisent</w:t>
      </w:r>
      <w:r>
        <w:rPr>
          <w:lang w:val="fr-FR"/>
        </w:rPr>
        <w:t xml:space="preserve"> pas</w:t>
      </w:r>
      <w:r w:rsidRPr="00F20C8F">
        <w:rPr>
          <w:lang w:val="fr-FR"/>
        </w:rPr>
        <w:t>.</w:t>
      </w:r>
    </w:p>
    <w:p w14:paraId="0AA57063" w14:textId="69807CE0" w:rsidR="00E83006" w:rsidRDefault="00E83006" w:rsidP="00ED242C">
      <w:pPr>
        <w:pStyle w:val="SingleTxtG"/>
        <w:rPr>
          <w:u w:val="single"/>
          <w:lang w:val="fr-FR"/>
        </w:rPr>
      </w:pPr>
      <w:r>
        <w:rPr>
          <w:lang w:val="fr-FR"/>
        </w:rPr>
        <w:t>12.</w:t>
      </w:r>
      <w:r w:rsidRPr="00F20C8F">
        <w:rPr>
          <w:lang w:val="fr-FR"/>
        </w:rPr>
        <w:tab/>
        <w:t>Étant donné qu</w:t>
      </w:r>
      <w:r>
        <w:rPr>
          <w:lang w:val="fr-FR"/>
        </w:rPr>
        <w:t>’</w:t>
      </w:r>
      <w:r w:rsidRPr="00F20C8F">
        <w:rPr>
          <w:lang w:val="fr-FR"/>
        </w:rPr>
        <w:t>en adhérant au Protocole facultatif, l</w:t>
      </w:r>
      <w:r>
        <w:rPr>
          <w:lang w:val="fr-FR"/>
        </w:rPr>
        <w:t>’</w:t>
      </w:r>
      <w:r w:rsidRPr="00F20C8F">
        <w:rPr>
          <w:lang w:val="fr-FR"/>
        </w:rPr>
        <w:t>État partie a reconnu que le Comité a compétence pour déterminer s</w:t>
      </w:r>
      <w:r>
        <w:rPr>
          <w:lang w:val="fr-FR"/>
        </w:rPr>
        <w:t>’</w:t>
      </w:r>
      <w:r w:rsidRPr="00F20C8F">
        <w:rPr>
          <w:lang w:val="fr-FR"/>
        </w:rPr>
        <w:t>il y a ou non violation du Pacte et que, conformément à l</w:t>
      </w:r>
      <w:r>
        <w:rPr>
          <w:lang w:val="fr-FR"/>
        </w:rPr>
        <w:t>’</w:t>
      </w:r>
      <w:r w:rsidRPr="00F20C8F">
        <w:rPr>
          <w:lang w:val="fr-FR"/>
        </w:rPr>
        <w:t>article 2 du Pacte, il s</w:t>
      </w:r>
      <w:r>
        <w:rPr>
          <w:lang w:val="fr-FR"/>
        </w:rPr>
        <w:t>’</w:t>
      </w:r>
      <w:r w:rsidRPr="00F20C8F">
        <w:rPr>
          <w:lang w:val="fr-FR"/>
        </w:rPr>
        <w:t>est engagé à garantir à tous les individus se trouvant sur son territoire et relevant de sa juridiction les droits reconnus dans le Pacte et à assurer un recours utile et une réparation exécutoire lorsqu</w:t>
      </w:r>
      <w:r>
        <w:rPr>
          <w:lang w:val="fr-FR"/>
        </w:rPr>
        <w:t>’</w:t>
      </w:r>
      <w:r w:rsidRPr="00F20C8F">
        <w:rPr>
          <w:lang w:val="fr-FR"/>
        </w:rPr>
        <w:t>une violation a été établie, le Comité souhaite recevoir de l</w:t>
      </w:r>
      <w:r>
        <w:rPr>
          <w:lang w:val="fr-FR"/>
        </w:rPr>
        <w:t>’</w:t>
      </w:r>
      <w:r w:rsidRPr="00F20C8F">
        <w:rPr>
          <w:lang w:val="fr-FR"/>
        </w:rPr>
        <w:t>État partie, dans un délai de cent quatre-vingts jours, des renseignements sur les mesures prises pour donner effet aux présentes constatations. L</w:t>
      </w:r>
      <w:r>
        <w:rPr>
          <w:lang w:val="fr-FR"/>
        </w:rPr>
        <w:t>’</w:t>
      </w:r>
      <w:r w:rsidRPr="00F20C8F">
        <w:rPr>
          <w:lang w:val="fr-FR"/>
        </w:rPr>
        <w:t>État partie est invité en outre à rendre celles-ci publiques et à les diffuser largement dans ses langues officielles.</w:t>
      </w:r>
    </w:p>
    <w:p w14:paraId="01437CFD" w14:textId="151EA0B2" w:rsidR="00C17351" w:rsidRPr="00C17351" w:rsidRDefault="00C17351" w:rsidP="00C1735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7351" w:rsidRPr="00C17351" w:rsidSect="0085375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50C9E" w14:textId="77777777" w:rsidR="008618C7" w:rsidRDefault="008618C7" w:rsidP="00F95C08">
      <w:pPr>
        <w:spacing w:line="240" w:lineRule="auto"/>
      </w:pPr>
    </w:p>
  </w:endnote>
  <w:endnote w:type="continuationSeparator" w:id="0">
    <w:p w14:paraId="5F8E700C" w14:textId="77777777" w:rsidR="008618C7" w:rsidRPr="00AC3823" w:rsidRDefault="008618C7" w:rsidP="00AC3823">
      <w:pPr>
        <w:pStyle w:val="Pieddepage"/>
      </w:pPr>
    </w:p>
  </w:endnote>
  <w:endnote w:type="continuationNotice" w:id="1">
    <w:p w14:paraId="5E709317" w14:textId="77777777" w:rsidR="008618C7" w:rsidRDefault="008618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522C" w14:textId="0985C547" w:rsidR="008618C7" w:rsidRPr="0085375E" w:rsidRDefault="008618C7" w:rsidP="0085375E">
    <w:pPr>
      <w:pStyle w:val="Pieddepage"/>
      <w:tabs>
        <w:tab w:val="right" w:pos="9638"/>
      </w:tabs>
    </w:pPr>
    <w:r w:rsidRPr="0085375E">
      <w:rPr>
        <w:b/>
        <w:sz w:val="18"/>
      </w:rPr>
      <w:fldChar w:fldCharType="begin"/>
    </w:r>
    <w:r w:rsidRPr="0085375E">
      <w:rPr>
        <w:b/>
        <w:sz w:val="18"/>
      </w:rPr>
      <w:instrText xml:space="preserve"> PAGE  \* MERGEFORMAT </w:instrText>
    </w:r>
    <w:r w:rsidRPr="0085375E">
      <w:rPr>
        <w:b/>
        <w:sz w:val="18"/>
      </w:rPr>
      <w:fldChar w:fldCharType="separate"/>
    </w:r>
    <w:r w:rsidR="00D10ACE">
      <w:rPr>
        <w:b/>
        <w:noProof/>
        <w:sz w:val="18"/>
      </w:rPr>
      <w:t>6</w:t>
    </w:r>
    <w:r w:rsidRPr="0085375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AED9" w14:textId="22EB7A1C" w:rsidR="008618C7" w:rsidRPr="0085375E" w:rsidRDefault="008618C7" w:rsidP="0085375E">
    <w:pPr>
      <w:pStyle w:val="Pieddepage"/>
      <w:tabs>
        <w:tab w:val="right" w:pos="9638"/>
      </w:tabs>
      <w:rPr>
        <w:b/>
        <w:sz w:val="18"/>
      </w:rPr>
    </w:pPr>
    <w:r>
      <w:tab/>
    </w:r>
    <w:r w:rsidRPr="0085375E">
      <w:rPr>
        <w:b/>
        <w:sz w:val="18"/>
      </w:rPr>
      <w:fldChar w:fldCharType="begin"/>
    </w:r>
    <w:r w:rsidRPr="0085375E">
      <w:rPr>
        <w:b/>
        <w:sz w:val="18"/>
      </w:rPr>
      <w:instrText xml:space="preserve"> PAGE  \* MERGEFORMAT </w:instrText>
    </w:r>
    <w:r w:rsidRPr="0085375E">
      <w:rPr>
        <w:b/>
        <w:sz w:val="18"/>
      </w:rPr>
      <w:fldChar w:fldCharType="separate"/>
    </w:r>
    <w:r w:rsidR="00D10ACE">
      <w:rPr>
        <w:b/>
        <w:noProof/>
        <w:sz w:val="18"/>
      </w:rPr>
      <w:t>7</w:t>
    </w:r>
    <w:r w:rsidRPr="008537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9F63C" w14:textId="16A660AD" w:rsidR="00EE3B8C" w:rsidRPr="00EE3B8C" w:rsidRDefault="00EE3B8C" w:rsidP="00EE3B8C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GE.21-06067  (F)</w:t>
    </w:r>
    <w:bookmarkStart w:id="0" w:name="_GoBack"/>
    <w:bookmarkEnd w:id="0"/>
    <w:r>
      <w:rPr>
        <w:sz w:val="20"/>
      </w:rPr>
      <w:tab/>
    </w:r>
    <w:r w:rsidRPr="00EE3B8C">
      <w:rPr>
        <w:noProof/>
        <w:sz w:val="20"/>
        <w:lang w:eastAsia="fr-CH"/>
      </w:rPr>
      <w:drawing>
        <wp:inline distT="0" distB="0" distL="0" distR="0" wp14:anchorId="1F3A50AD" wp14:editId="1B35C2C3">
          <wp:extent cx="1105200" cy="234000"/>
          <wp:effectExtent l="0" t="0" r="0" b="0"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722993AF" wp14:editId="5508448C">
          <wp:extent cx="636270" cy="63627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E6551" w14:textId="77777777" w:rsidR="008618C7" w:rsidRPr="00AC3823" w:rsidRDefault="008618C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087359" w14:textId="77777777" w:rsidR="008618C7" w:rsidRPr="00AC3823" w:rsidRDefault="008618C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517E678" w14:textId="77777777" w:rsidR="008618C7" w:rsidRPr="00AC3823" w:rsidRDefault="008618C7">
      <w:pPr>
        <w:spacing w:line="240" w:lineRule="auto"/>
        <w:rPr>
          <w:sz w:val="2"/>
          <w:szCs w:val="2"/>
        </w:rPr>
      </w:pPr>
    </w:p>
  </w:footnote>
  <w:footnote w:id="2">
    <w:p w14:paraId="1948DE64" w14:textId="424F0778" w:rsidR="008618C7" w:rsidRPr="00BE7656" w:rsidRDefault="008618C7" w:rsidP="00BE7656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6A794B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BE7656">
        <w:t>Adoptées par le Comité à sa 130</w:t>
      </w:r>
      <w:r w:rsidRPr="00BE7656">
        <w:rPr>
          <w:vertAlign w:val="superscript"/>
        </w:rPr>
        <w:t>e</w:t>
      </w:r>
      <w:r>
        <w:t> </w:t>
      </w:r>
      <w:r w:rsidRPr="00BE7656">
        <w:t>session (12</w:t>
      </w:r>
      <w:r>
        <w:t> </w:t>
      </w:r>
      <w:r w:rsidRPr="00BE7656">
        <w:t>octobre-6</w:t>
      </w:r>
      <w:r>
        <w:t> </w:t>
      </w:r>
      <w:r w:rsidRPr="00BE7656">
        <w:t>novembre 2020).</w:t>
      </w:r>
    </w:p>
  </w:footnote>
  <w:footnote w:id="3">
    <w:p w14:paraId="1B885CED" w14:textId="36D39B48" w:rsidR="008618C7" w:rsidRPr="006A794B" w:rsidRDefault="008618C7" w:rsidP="00ED242C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6A794B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D032A9">
        <w:t>Les membres du Comité dont le nom suit ont participé à l</w:t>
      </w:r>
      <w:r>
        <w:t>’</w:t>
      </w:r>
      <w:r w:rsidRPr="00D032A9">
        <w:t xml:space="preserve">examen de la communication : </w:t>
      </w:r>
      <w:proofErr w:type="spellStart"/>
      <w:r w:rsidRPr="00D032A9">
        <w:t>Yadh</w:t>
      </w:r>
      <w:proofErr w:type="spellEnd"/>
      <w:r>
        <w:t> </w:t>
      </w:r>
      <w:r w:rsidRPr="00D032A9">
        <w:t>Ben</w:t>
      </w:r>
      <w:r>
        <w:t> </w:t>
      </w:r>
      <w:r w:rsidRPr="00D032A9">
        <w:t xml:space="preserve">Achour, Arif </w:t>
      </w:r>
      <w:proofErr w:type="spellStart"/>
      <w:r w:rsidRPr="00D032A9">
        <w:t>Bulkan</w:t>
      </w:r>
      <w:proofErr w:type="spellEnd"/>
      <w:r w:rsidRPr="00D032A9">
        <w:t xml:space="preserve">, Ahmed Amin </w:t>
      </w:r>
      <w:proofErr w:type="spellStart"/>
      <w:r w:rsidRPr="00D032A9">
        <w:t>Fathalla</w:t>
      </w:r>
      <w:proofErr w:type="spellEnd"/>
      <w:r w:rsidRPr="00D032A9">
        <w:t xml:space="preserve">, </w:t>
      </w:r>
      <w:proofErr w:type="spellStart"/>
      <w:r w:rsidRPr="00D032A9">
        <w:t>Furuya</w:t>
      </w:r>
      <w:proofErr w:type="spellEnd"/>
      <w:r w:rsidRPr="00D032A9">
        <w:t xml:space="preserve"> </w:t>
      </w:r>
      <w:proofErr w:type="spellStart"/>
      <w:r w:rsidRPr="00D032A9">
        <w:t>Shuichi</w:t>
      </w:r>
      <w:proofErr w:type="spellEnd"/>
      <w:r w:rsidRPr="00D032A9">
        <w:t xml:space="preserve">, </w:t>
      </w:r>
      <w:proofErr w:type="spellStart"/>
      <w:r w:rsidRPr="00D032A9">
        <w:t>Christof</w:t>
      </w:r>
      <w:proofErr w:type="spellEnd"/>
      <w:r w:rsidRPr="00D032A9">
        <w:t xml:space="preserve"> </w:t>
      </w:r>
      <w:proofErr w:type="spellStart"/>
      <w:r w:rsidRPr="00D032A9">
        <w:t>Heyns</w:t>
      </w:r>
      <w:proofErr w:type="spellEnd"/>
      <w:r w:rsidRPr="00D032A9">
        <w:t xml:space="preserve">, </w:t>
      </w:r>
      <w:proofErr w:type="spellStart"/>
      <w:r w:rsidRPr="00D032A9">
        <w:t>Bamariam</w:t>
      </w:r>
      <w:proofErr w:type="spellEnd"/>
      <w:r>
        <w:t> </w:t>
      </w:r>
      <w:proofErr w:type="spellStart"/>
      <w:r w:rsidRPr="00D032A9">
        <w:t>Koita</w:t>
      </w:r>
      <w:proofErr w:type="spellEnd"/>
      <w:r w:rsidRPr="00D032A9">
        <w:t xml:space="preserve">, David </w:t>
      </w:r>
      <w:r>
        <w:t>H. </w:t>
      </w:r>
      <w:r w:rsidRPr="00D032A9">
        <w:t>Moore</w:t>
      </w:r>
      <w:r>
        <w:t>,</w:t>
      </w:r>
      <w:r w:rsidRPr="00D032A9">
        <w:t xml:space="preserve"> Duncan Laki </w:t>
      </w:r>
      <w:proofErr w:type="spellStart"/>
      <w:r w:rsidRPr="00D032A9">
        <w:t>Muhumuza</w:t>
      </w:r>
      <w:proofErr w:type="spellEnd"/>
      <w:r w:rsidRPr="00D032A9">
        <w:t xml:space="preserve">, Hernán </w:t>
      </w:r>
      <w:proofErr w:type="spellStart"/>
      <w:r w:rsidRPr="00D032A9">
        <w:t>Quezada</w:t>
      </w:r>
      <w:proofErr w:type="spellEnd"/>
      <w:r>
        <w:t xml:space="preserve"> Cabrera</w:t>
      </w:r>
      <w:r w:rsidRPr="00D032A9">
        <w:t xml:space="preserve">, </w:t>
      </w:r>
      <w:proofErr w:type="spellStart"/>
      <w:r w:rsidRPr="00D032A9">
        <w:t>Vasilka</w:t>
      </w:r>
      <w:proofErr w:type="spellEnd"/>
      <w:r>
        <w:t> </w:t>
      </w:r>
      <w:proofErr w:type="spellStart"/>
      <w:r w:rsidRPr="00D032A9">
        <w:t>Sancin</w:t>
      </w:r>
      <w:proofErr w:type="spellEnd"/>
      <w:r w:rsidRPr="00D032A9">
        <w:t xml:space="preserve">, José Manuel Santos Pais, Yuval </w:t>
      </w:r>
      <w:proofErr w:type="spellStart"/>
      <w:r w:rsidRPr="00D032A9">
        <w:t>Shany</w:t>
      </w:r>
      <w:proofErr w:type="spellEnd"/>
      <w:r w:rsidRPr="00D032A9">
        <w:t xml:space="preserve">, Hélène </w:t>
      </w:r>
      <w:proofErr w:type="spellStart"/>
      <w:r w:rsidRPr="00D032A9">
        <w:t>Tigroudja</w:t>
      </w:r>
      <w:proofErr w:type="spellEnd"/>
      <w:r w:rsidRPr="00D032A9">
        <w:t>, Andreas Zimmermann et</w:t>
      </w:r>
      <w:r>
        <w:t> </w:t>
      </w:r>
      <w:proofErr w:type="spellStart"/>
      <w:r w:rsidRPr="00D032A9">
        <w:t>Gentian</w:t>
      </w:r>
      <w:proofErr w:type="spellEnd"/>
      <w:r w:rsidRPr="00D032A9">
        <w:t xml:space="preserve"> </w:t>
      </w:r>
      <w:proofErr w:type="spellStart"/>
      <w:r w:rsidRPr="00D032A9">
        <w:t>Zyberi</w:t>
      </w:r>
      <w:proofErr w:type="spellEnd"/>
      <w:r w:rsidRPr="00D032A9">
        <w:t>.</w:t>
      </w:r>
    </w:p>
  </w:footnote>
  <w:footnote w:id="4">
    <w:p w14:paraId="5961A538" w14:textId="6EF8DF96" w:rsidR="008618C7" w:rsidRPr="003E1BC1" w:rsidRDefault="008618C7" w:rsidP="00E83006">
      <w:pPr>
        <w:pStyle w:val="Notedebasdepage"/>
        <w:rPr>
          <w:lang w:val="fr-FR"/>
        </w:rPr>
      </w:pPr>
      <w:r>
        <w:tab/>
      </w:r>
      <w:r w:rsidRPr="00914591">
        <w:rPr>
          <w:rStyle w:val="Appelnotedebasdep"/>
        </w:rPr>
        <w:footnoteRef/>
      </w:r>
      <w:r>
        <w:tab/>
      </w:r>
      <w:r w:rsidRPr="006A794B">
        <w:rPr>
          <w:i/>
          <w:iCs/>
          <w:lang w:val="fr-FR"/>
        </w:rPr>
        <w:t>Anderson c. Australie</w:t>
      </w:r>
      <w:r>
        <w:rPr>
          <w:lang w:val="fr-FR"/>
        </w:rPr>
        <w:t xml:space="preserve"> (CCPR/C/88/D/1367/2005), par. 7.4.</w:t>
      </w:r>
      <w:r w:rsidRPr="003E1BC1">
        <w:rPr>
          <w:lang w:val="fr-FR"/>
        </w:rPr>
        <w:t xml:space="preserve"> </w:t>
      </w:r>
    </w:p>
  </w:footnote>
  <w:footnote w:id="5">
    <w:p w14:paraId="120C4D3B" w14:textId="77777777" w:rsidR="008618C7" w:rsidRPr="00161EC1" w:rsidRDefault="008618C7" w:rsidP="00E83006">
      <w:pPr>
        <w:pStyle w:val="Notedebasdepage"/>
        <w:rPr>
          <w:lang w:val="fr-FR"/>
        </w:rPr>
      </w:pPr>
      <w:r>
        <w:rPr>
          <w:lang w:val="fr-FR"/>
        </w:rPr>
        <w:tab/>
      </w:r>
      <w:r w:rsidRPr="00914591">
        <w:rPr>
          <w:rStyle w:val="Appelnotedebasdep"/>
        </w:rPr>
        <w:footnoteRef/>
      </w:r>
      <w:r>
        <w:tab/>
        <w:t xml:space="preserve">Voir </w:t>
      </w:r>
      <w:r w:rsidRPr="006A794B">
        <w:rPr>
          <w:i/>
          <w:iCs/>
        </w:rPr>
        <w:t>W. J. H. c. Pays-Bas</w:t>
      </w:r>
      <w:r>
        <w:rPr>
          <w:i/>
          <w:iCs/>
        </w:rPr>
        <w:t xml:space="preserve"> </w:t>
      </w:r>
      <w:r>
        <w:t xml:space="preserve">(CCPR/C/45/D/408/1990) ; et </w:t>
      </w:r>
      <w:r w:rsidRPr="006A794B">
        <w:rPr>
          <w:i/>
          <w:iCs/>
        </w:rPr>
        <w:t>Irving c. Australie</w:t>
      </w:r>
      <w:r w:rsidRPr="006A794B">
        <w:t xml:space="preserve"> </w:t>
      </w:r>
      <w:r>
        <w:t xml:space="preserve">(CCPR/C/74/D/880/1999). </w:t>
      </w:r>
    </w:p>
  </w:footnote>
  <w:footnote w:id="6">
    <w:p w14:paraId="7CFB9BE2" w14:textId="77777777" w:rsidR="008618C7" w:rsidRPr="00DF181A" w:rsidRDefault="008618C7" w:rsidP="00E83006">
      <w:pPr>
        <w:pStyle w:val="Notedebasdepage"/>
      </w:pPr>
      <w:r>
        <w:rPr>
          <w:lang w:val="fr-FR"/>
        </w:rPr>
        <w:tab/>
      </w:r>
      <w:r w:rsidRPr="00914591">
        <w:rPr>
          <w:rStyle w:val="Appelnotedebasdep"/>
        </w:rPr>
        <w:footnoteRef/>
      </w:r>
      <w:r>
        <w:tab/>
      </w:r>
      <w:r w:rsidRPr="00DF181A">
        <w:t>Code de procédure pénale</w:t>
      </w:r>
      <w:r>
        <w:t>, art. 237, par. 6</w:t>
      </w:r>
      <w:r w:rsidRPr="00DF181A">
        <w:t>.</w:t>
      </w:r>
    </w:p>
  </w:footnote>
  <w:footnote w:id="7">
    <w:p w14:paraId="5B9829EE" w14:textId="77777777" w:rsidR="008618C7" w:rsidRPr="00DF181A" w:rsidRDefault="008618C7" w:rsidP="00E83006">
      <w:pPr>
        <w:pStyle w:val="Notedebasdepage"/>
      </w:pPr>
      <w:r w:rsidRPr="00DF181A">
        <w:tab/>
      </w:r>
      <w:r w:rsidRPr="00914591">
        <w:rPr>
          <w:rStyle w:val="Appelnotedebasdep"/>
        </w:rPr>
        <w:footnoteRef/>
      </w:r>
      <w:r w:rsidRPr="00DF181A">
        <w:rPr>
          <w:rStyle w:val="Appelnotedebasdep"/>
        </w:rPr>
        <w:tab/>
      </w:r>
      <w:r>
        <w:t>Ibid., par. 8.</w:t>
      </w:r>
    </w:p>
  </w:footnote>
  <w:footnote w:id="8">
    <w:p w14:paraId="778D80F9" w14:textId="6443CF5A" w:rsidR="008618C7" w:rsidRPr="00DF181A" w:rsidRDefault="008618C7" w:rsidP="00E83006">
      <w:pPr>
        <w:pStyle w:val="Notedebasdepage"/>
      </w:pPr>
      <w:r w:rsidRPr="00DF181A">
        <w:tab/>
      </w:r>
      <w:r w:rsidRPr="00914591">
        <w:rPr>
          <w:rStyle w:val="Appelnotedebasdep"/>
        </w:rPr>
        <w:footnoteRef/>
      </w:r>
      <w:r>
        <w:tab/>
      </w:r>
      <w:r w:rsidRPr="006A794B">
        <w:rPr>
          <w:i/>
          <w:iCs/>
        </w:rPr>
        <w:t>Anderson c. Australie</w:t>
      </w:r>
      <w:r w:rsidRPr="00DF181A">
        <w:t>, par</w:t>
      </w:r>
      <w:r w:rsidR="009624DB" w:rsidRPr="00DF181A">
        <w:t>.</w:t>
      </w:r>
      <w:r w:rsidR="009624DB">
        <w:t> </w:t>
      </w:r>
      <w:r w:rsidRPr="00DF181A">
        <w:t>7</w:t>
      </w:r>
      <w:r>
        <w:t>.</w:t>
      </w:r>
      <w:r w:rsidRPr="00DF181A">
        <w:t>4</w:t>
      </w:r>
      <w:r>
        <w:t> ;</w:t>
      </w:r>
      <w:r w:rsidRPr="00DF181A">
        <w:t xml:space="preserve"> </w:t>
      </w:r>
      <w:r w:rsidRPr="006A794B">
        <w:rPr>
          <w:i/>
          <w:iCs/>
        </w:rPr>
        <w:t>W. J. H. c. Pays</w:t>
      </w:r>
      <w:r>
        <w:rPr>
          <w:i/>
          <w:iCs/>
        </w:rPr>
        <w:t>-</w:t>
      </w:r>
      <w:r w:rsidRPr="006A794B">
        <w:rPr>
          <w:i/>
          <w:iCs/>
        </w:rPr>
        <w:t>Bas</w:t>
      </w:r>
      <w:r w:rsidRPr="00DF181A">
        <w:t>, par</w:t>
      </w:r>
      <w:r w:rsidR="009624DB" w:rsidRPr="00DF181A">
        <w:t>.</w:t>
      </w:r>
      <w:r w:rsidR="009624DB">
        <w:t> </w:t>
      </w:r>
      <w:r w:rsidRPr="00DF181A">
        <w:t>6.3</w:t>
      </w:r>
      <w:r>
        <w:t> </w:t>
      </w:r>
      <w:r w:rsidRPr="00DF181A">
        <w:t xml:space="preserve">; </w:t>
      </w:r>
      <w:r w:rsidRPr="006A794B">
        <w:rPr>
          <w:i/>
          <w:iCs/>
        </w:rPr>
        <w:t>Irving c. Australie</w:t>
      </w:r>
      <w:r w:rsidRPr="00DF181A">
        <w:t>, par</w:t>
      </w:r>
      <w:r w:rsidR="009624DB" w:rsidRPr="00DF181A">
        <w:t>.</w:t>
      </w:r>
      <w:r w:rsidR="009624DB">
        <w:t> </w:t>
      </w:r>
      <w:r w:rsidRPr="00DF181A">
        <w:t>8.3</w:t>
      </w:r>
      <w:r>
        <w:t> </w:t>
      </w:r>
      <w:r w:rsidRPr="00DF181A">
        <w:t xml:space="preserve">; et </w:t>
      </w:r>
      <w:r w:rsidRPr="006A794B">
        <w:rPr>
          <w:i/>
          <w:iCs/>
        </w:rPr>
        <w:t>Uebergang c. Australie</w:t>
      </w:r>
      <w:r>
        <w:t xml:space="preserve"> (CCPR/C/71/D/963/2001)</w:t>
      </w:r>
      <w:r w:rsidRPr="00DF181A">
        <w:t>, par</w:t>
      </w:r>
      <w:r w:rsidR="009624DB" w:rsidRPr="00DF181A">
        <w:t>.</w:t>
      </w:r>
      <w:r w:rsidR="009624DB">
        <w:t> </w:t>
      </w:r>
      <w:r w:rsidRPr="00DF181A">
        <w:t>4.2.</w:t>
      </w:r>
    </w:p>
  </w:footnote>
  <w:footnote w:id="9">
    <w:p w14:paraId="0A99D7C8" w14:textId="77777777" w:rsidR="008618C7" w:rsidRPr="00985ECC" w:rsidRDefault="008618C7" w:rsidP="00E83006">
      <w:pPr>
        <w:pStyle w:val="Notedebasdepage"/>
        <w:rPr>
          <w:lang w:val="fr-FR"/>
        </w:rPr>
      </w:pPr>
      <w:r>
        <w:tab/>
      </w:r>
      <w:r w:rsidRPr="00914591">
        <w:rPr>
          <w:rStyle w:val="Appelnotedebasdep"/>
        </w:rPr>
        <w:footnoteRef/>
      </w:r>
      <w:r>
        <w:tab/>
      </w:r>
      <w:r w:rsidRPr="00985ECC">
        <w:rPr>
          <w:lang w:val="fr-FR"/>
        </w:rPr>
        <w:t>Code de procédure pénale</w:t>
      </w:r>
      <w:r>
        <w:rPr>
          <w:lang w:val="fr-FR"/>
        </w:rPr>
        <w:t>, art. 237, par. 8</w:t>
      </w:r>
      <w:r w:rsidRPr="00985ECC">
        <w:rPr>
          <w:lang w:val="fr-FR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56900" w14:textId="3FCA0E91" w:rsidR="008618C7" w:rsidRPr="0085375E" w:rsidRDefault="00D10ACE">
    <w:pPr>
      <w:pStyle w:val="En-tte"/>
    </w:pPr>
    <w:fldSimple w:instr=" TITLE  \* MERGEFORMAT ">
      <w:r w:rsidR="008618C7">
        <w:t>CCPR/C/130/D/2587/2015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9512E" w14:textId="526165BE" w:rsidR="008618C7" w:rsidRPr="0085375E" w:rsidRDefault="00D10ACE" w:rsidP="0085375E">
    <w:pPr>
      <w:pStyle w:val="En-tte"/>
      <w:jc w:val="right"/>
    </w:pPr>
    <w:fldSimple w:instr=" TITLE  \* MERGEFORMAT ">
      <w:r w:rsidR="008618C7">
        <w:t>CCPR/C/130/D/2587/2015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73A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3"/>
  </w:num>
  <w:num w:numId="18">
    <w:abstractNumId w:val="12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35"/>
    <w:rsid w:val="00017F94"/>
    <w:rsid w:val="00023842"/>
    <w:rsid w:val="000334F9"/>
    <w:rsid w:val="0007796D"/>
    <w:rsid w:val="000919AD"/>
    <w:rsid w:val="000B7790"/>
    <w:rsid w:val="000C2225"/>
    <w:rsid w:val="00111F2F"/>
    <w:rsid w:val="0014365E"/>
    <w:rsid w:val="00156C69"/>
    <w:rsid w:val="00176178"/>
    <w:rsid w:val="001B379B"/>
    <w:rsid w:val="001F525A"/>
    <w:rsid w:val="00223272"/>
    <w:rsid w:val="0024779E"/>
    <w:rsid w:val="002B7BC7"/>
    <w:rsid w:val="002E2D46"/>
    <w:rsid w:val="0032225A"/>
    <w:rsid w:val="003265B7"/>
    <w:rsid w:val="003402F1"/>
    <w:rsid w:val="00351332"/>
    <w:rsid w:val="003A6E96"/>
    <w:rsid w:val="00446FE5"/>
    <w:rsid w:val="00452396"/>
    <w:rsid w:val="005505B7"/>
    <w:rsid w:val="00573BE5"/>
    <w:rsid w:val="00586ED3"/>
    <w:rsid w:val="00596AA9"/>
    <w:rsid w:val="0061598B"/>
    <w:rsid w:val="00652F33"/>
    <w:rsid w:val="006C7EBF"/>
    <w:rsid w:val="006F7144"/>
    <w:rsid w:val="006F71EA"/>
    <w:rsid w:val="0071601D"/>
    <w:rsid w:val="00793E85"/>
    <w:rsid w:val="007A611C"/>
    <w:rsid w:val="007A62E6"/>
    <w:rsid w:val="007B7F93"/>
    <w:rsid w:val="007E2032"/>
    <w:rsid w:val="0080684C"/>
    <w:rsid w:val="0085375E"/>
    <w:rsid w:val="008560DB"/>
    <w:rsid w:val="008618C7"/>
    <w:rsid w:val="00871C75"/>
    <w:rsid w:val="008776DC"/>
    <w:rsid w:val="009624DB"/>
    <w:rsid w:val="009705C8"/>
    <w:rsid w:val="009B1E6C"/>
    <w:rsid w:val="009D1D2F"/>
    <w:rsid w:val="009E2C6A"/>
    <w:rsid w:val="00A57411"/>
    <w:rsid w:val="00A9151D"/>
    <w:rsid w:val="00AA6A35"/>
    <w:rsid w:val="00AC3823"/>
    <w:rsid w:val="00AE323C"/>
    <w:rsid w:val="00B00181"/>
    <w:rsid w:val="00B765F7"/>
    <w:rsid w:val="00B94535"/>
    <w:rsid w:val="00BA0CA9"/>
    <w:rsid w:val="00BE7656"/>
    <w:rsid w:val="00C01582"/>
    <w:rsid w:val="00C01ACF"/>
    <w:rsid w:val="00C02897"/>
    <w:rsid w:val="00C17351"/>
    <w:rsid w:val="00CA7BC4"/>
    <w:rsid w:val="00D05667"/>
    <w:rsid w:val="00D10ACE"/>
    <w:rsid w:val="00D3439C"/>
    <w:rsid w:val="00D744E5"/>
    <w:rsid w:val="00D83177"/>
    <w:rsid w:val="00DB1831"/>
    <w:rsid w:val="00DD3BFD"/>
    <w:rsid w:val="00DF6678"/>
    <w:rsid w:val="00E83006"/>
    <w:rsid w:val="00E85C42"/>
    <w:rsid w:val="00EC30D5"/>
    <w:rsid w:val="00ED242C"/>
    <w:rsid w:val="00EE1BD4"/>
    <w:rsid w:val="00EE3B8C"/>
    <w:rsid w:val="00F12152"/>
    <w:rsid w:val="00F660DF"/>
    <w:rsid w:val="00F95C08"/>
    <w:rsid w:val="00FA03A3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0C8722"/>
  <w15:docId w15:val="{7CA9083A-D273-458B-A1BE-260439D2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D744E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7</Pages>
  <Words>4171</Words>
  <Characters>21650</Characters>
  <Application>Microsoft Office Word</Application>
  <DocSecurity>0</DocSecurity>
  <Lines>338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CCPR/C/130/D/2587/2015</vt:lpstr>
      <vt:lpstr>CCPR/C/130/D/2587/2015</vt:lpstr>
    </vt:vector>
  </TitlesOfParts>
  <Company>DCM</Company>
  <LinksUpToDate>false</LinksUpToDate>
  <CharactersWithSpaces>25726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CCPR/C/130/D/2587/2015</dc:title>
  <dc:subject/>
  <dc:creator>Christine CHAUTAGNAT</dc:creator>
  <cp:keywords/>
  <cp:lastModifiedBy>Nicolas Morin</cp:lastModifiedBy>
  <cp:revision>2</cp:revision>
  <cp:lastPrinted>2014-05-14T10:59:00Z</cp:lastPrinted>
  <dcterms:created xsi:type="dcterms:W3CDTF">2021-05-07T08:05:00Z</dcterms:created>
  <dcterms:modified xsi:type="dcterms:W3CDTF">2021-05-07T08:05:00Z</dcterms:modified>
</cp:coreProperties>
</file>