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F1693C5" w14:textId="77777777" w:rsidTr="005B51C4">
        <w:trPr>
          <w:trHeight w:hRule="exact" w:val="851"/>
        </w:trPr>
        <w:tc>
          <w:tcPr>
            <w:tcW w:w="1274" w:type="dxa"/>
            <w:tcBorders>
              <w:bottom w:val="single" w:sz="4" w:space="0" w:color="auto"/>
            </w:tcBorders>
            <w:shd w:val="clear" w:color="auto" w:fill="auto"/>
          </w:tcPr>
          <w:p w14:paraId="68C5A8E7" w14:textId="77777777" w:rsidR="006B3E27" w:rsidRPr="00645993" w:rsidRDefault="006B3E27" w:rsidP="00AB6D67">
            <w:pPr>
              <w:kinsoku w:val="0"/>
              <w:overflowPunct w:val="0"/>
              <w:autoSpaceDE w:val="0"/>
              <w:autoSpaceDN w:val="0"/>
              <w:adjustRightInd w:val="0"/>
              <w:snapToGrid w:val="0"/>
              <w:jc w:val="center"/>
              <w:rPr>
                <w:sz w:val="56"/>
                <w:szCs w:val="56"/>
                <w:lang w:val="fr-CH"/>
              </w:rPr>
            </w:pPr>
          </w:p>
        </w:tc>
        <w:tc>
          <w:tcPr>
            <w:tcW w:w="4537" w:type="dxa"/>
            <w:tcBorders>
              <w:bottom w:val="single" w:sz="4" w:space="0" w:color="auto"/>
            </w:tcBorders>
            <w:shd w:val="clear" w:color="auto" w:fill="auto"/>
            <w:vAlign w:val="bottom"/>
          </w:tcPr>
          <w:p w14:paraId="01ED9CD5"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3A654F9" w14:textId="7A9A8AD0" w:rsidR="006B3E27" w:rsidRPr="00A76BB2" w:rsidRDefault="00A76BB2" w:rsidP="00A76BB2">
            <w:pPr>
              <w:bidi w:val="0"/>
              <w:rPr>
                <w:szCs w:val="20"/>
              </w:rPr>
            </w:pPr>
            <w:r w:rsidRPr="00A76BB2">
              <w:rPr>
                <w:sz w:val="40"/>
                <w:szCs w:val="20"/>
              </w:rPr>
              <w:t>CCPR</w:t>
            </w:r>
            <w:r>
              <w:rPr>
                <w:szCs w:val="20"/>
              </w:rPr>
              <w:t>/C/</w:t>
            </w:r>
            <w:r w:rsidRPr="00D83A61">
              <w:rPr>
                <w:szCs w:val="20"/>
              </w:rPr>
              <w:t>130</w:t>
            </w:r>
            <w:r>
              <w:rPr>
                <w:szCs w:val="20"/>
              </w:rPr>
              <w:t>/D/</w:t>
            </w:r>
            <w:r w:rsidRPr="00D83A61">
              <w:rPr>
                <w:szCs w:val="20"/>
              </w:rPr>
              <w:t>2843</w:t>
            </w:r>
            <w:r>
              <w:rPr>
                <w:szCs w:val="20"/>
              </w:rPr>
              <w:t>/</w:t>
            </w:r>
            <w:r w:rsidRPr="00D83A61">
              <w:rPr>
                <w:szCs w:val="20"/>
              </w:rPr>
              <w:t>2016</w:t>
            </w:r>
          </w:p>
        </w:tc>
      </w:tr>
      <w:tr w:rsidR="006B3E27" w:rsidRPr="00C175A6" w14:paraId="39D9F643" w14:textId="77777777" w:rsidTr="005B51C4">
        <w:trPr>
          <w:trHeight w:hRule="exact" w:val="2835"/>
        </w:trPr>
        <w:tc>
          <w:tcPr>
            <w:tcW w:w="1274" w:type="dxa"/>
            <w:tcBorders>
              <w:top w:val="single" w:sz="4" w:space="0" w:color="auto"/>
              <w:bottom w:val="single" w:sz="12" w:space="0" w:color="auto"/>
            </w:tcBorders>
            <w:shd w:val="clear" w:color="auto" w:fill="auto"/>
          </w:tcPr>
          <w:p w14:paraId="502FF011"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6B52AA3" wp14:editId="5F318142">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A198D9F" w14:textId="77777777" w:rsidR="006B3E27" w:rsidRPr="00D83A61" w:rsidRDefault="00ED7442" w:rsidP="00730446">
            <w:pPr>
              <w:spacing w:before="120" w:after="40" w:line="640" w:lineRule="exact"/>
              <w:ind w:left="57"/>
              <w:rPr>
                <w:b/>
                <w:bCs/>
                <w:sz w:val="46"/>
                <w:szCs w:val="46"/>
              </w:rPr>
            </w:pPr>
            <w:r w:rsidRPr="00D83A61">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BEE9E38" w14:textId="77777777" w:rsidR="006F28FC" w:rsidRPr="006F28FC" w:rsidRDefault="006F28FC" w:rsidP="006F28FC">
            <w:pPr>
              <w:bidi w:val="0"/>
              <w:spacing w:before="240"/>
              <w:jc w:val="left"/>
              <w:rPr>
                <w:rFonts w:eastAsia="Times New Roman" w:cs="Times New Roman"/>
                <w:szCs w:val="20"/>
                <w:lang w:val="en-GB"/>
              </w:rPr>
            </w:pPr>
            <w:r w:rsidRPr="006F28FC">
              <w:rPr>
                <w:rFonts w:eastAsia="Times New Roman" w:cs="Times New Roman"/>
                <w:szCs w:val="20"/>
                <w:lang w:val="en-GB"/>
              </w:rPr>
              <w:t>Distr.: General</w:t>
            </w:r>
          </w:p>
          <w:p w14:paraId="0C38B3D9" w14:textId="77777777" w:rsidR="006F28FC" w:rsidRPr="006F28FC" w:rsidRDefault="006F28FC" w:rsidP="006F28FC">
            <w:pPr>
              <w:bidi w:val="0"/>
              <w:jc w:val="left"/>
              <w:rPr>
                <w:rFonts w:eastAsia="Times New Roman" w:cs="Times New Roman"/>
                <w:szCs w:val="20"/>
                <w:lang w:val="en-GB"/>
              </w:rPr>
            </w:pPr>
            <w:r w:rsidRPr="00D83A61">
              <w:rPr>
                <w:rFonts w:eastAsia="Times New Roman" w:cs="Times New Roman"/>
                <w:szCs w:val="20"/>
                <w:lang w:val="en-GB"/>
              </w:rPr>
              <w:t>5</w:t>
            </w:r>
            <w:r w:rsidRPr="006F28FC">
              <w:rPr>
                <w:rFonts w:eastAsia="Times New Roman" w:cs="Times New Roman"/>
                <w:szCs w:val="20"/>
                <w:lang w:val="en-GB"/>
              </w:rPr>
              <w:t xml:space="preserve"> March </w:t>
            </w:r>
            <w:r w:rsidRPr="00D83A61">
              <w:rPr>
                <w:rFonts w:eastAsia="Times New Roman" w:cs="Times New Roman"/>
                <w:szCs w:val="20"/>
                <w:lang w:val="en-GB"/>
              </w:rPr>
              <w:t>2021</w:t>
            </w:r>
          </w:p>
          <w:p w14:paraId="765835B7" w14:textId="77777777" w:rsidR="006F28FC" w:rsidRPr="006F28FC" w:rsidRDefault="006F28FC" w:rsidP="006F28FC">
            <w:pPr>
              <w:bidi w:val="0"/>
              <w:jc w:val="left"/>
              <w:rPr>
                <w:rFonts w:eastAsia="Times New Roman" w:cs="Times New Roman"/>
                <w:szCs w:val="20"/>
                <w:lang w:val="en-GB"/>
              </w:rPr>
            </w:pPr>
            <w:r w:rsidRPr="006F28FC">
              <w:rPr>
                <w:rFonts w:eastAsia="Times New Roman" w:cs="Times New Roman"/>
                <w:szCs w:val="20"/>
                <w:lang w:val="en-GB"/>
              </w:rPr>
              <w:t>English</w:t>
            </w:r>
          </w:p>
          <w:p w14:paraId="215AF79D" w14:textId="31119BED" w:rsidR="00A76BB2" w:rsidRPr="006F28FC" w:rsidRDefault="006F28FC" w:rsidP="006F28FC">
            <w:pPr>
              <w:bidi w:val="0"/>
              <w:spacing w:line="240" w:lineRule="exact"/>
              <w:jc w:val="left"/>
              <w:rPr>
                <w:szCs w:val="20"/>
              </w:rPr>
            </w:pPr>
            <w:r w:rsidRPr="006F28FC">
              <w:rPr>
                <w:rFonts w:eastAsia="Times New Roman" w:cs="Times New Roman"/>
                <w:szCs w:val="20"/>
                <w:lang w:val="en-GB"/>
              </w:rPr>
              <w:t>Original: French</w:t>
            </w:r>
          </w:p>
        </w:tc>
      </w:tr>
    </w:tbl>
    <w:p w14:paraId="7F86F9C8" w14:textId="77777777" w:rsidR="006F28FC" w:rsidRPr="00D83A61" w:rsidRDefault="006F28FC" w:rsidP="006F28FC">
      <w:pPr>
        <w:pStyle w:val="SingleTxtGA"/>
        <w:spacing w:before="120" w:after="0"/>
        <w:ind w:left="0"/>
        <w:rPr>
          <w:b/>
          <w:bCs/>
          <w:sz w:val="26"/>
          <w:szCs w:val="26"/>
        </w:rPr>
      </w:pPr>
      <w:r w:rsidRPr="00D83A61">
        <w:rPr>
          <w:b/>
          <w:bCs/>
          <w:sz w:val="26"/>
          <w:szCs w:val="26"/>
          <w:rtl/>
        </w:rPr>
        <w:t>اللجنة المعنية بحقوق الإنسان</w:t>
      </w:r>
    </w:p>
    <w:p w14:paraId="78295E92" w14:textId="516819A8" w:rsidR="006F28FC" w:rsidRPr="00D83A61" w:rsidRDefault="006F28FC" w:rsidP="006F28FC">
      <w:pPr>
        <w:pStyle w:val="HChGA"/>
        <w:rPr>
          <w:rFonts w:hint="cs"/>
          <w:rtl/>
        </w:rPr>
      </w:pPr>
      <w:r w:rsidRPr="00D83A61">
        <w:rPr>
          <w:rtl/>
        </w:rPr>
        <w:tab/>
      </w:r>
      <w:r w:rsidRPr="00D83A61">
        <w:rPr>
          <w:rtl/>
        </w:rPr>
        <w:tab/>
        <w:t>آراء اعتمدتها اللجنة بموجب المادة 5(4) من البروتوكول الاختياري، بشأن البلاغ رقم 2843/2016</w:t>
      </w:r>
      <w:r w:rsidRPr="00D83A61">
        <w:rPr>
          <w:rStyle w:val="FootnoteReference"/>
          <w:sz w:val="28"/>
          <w:szCs w:val="28"/>
          <w:vertAlign w:val="baseline"/>
          <w:rtl/>
        </w:rPr>
        <w:footnoteReference w:customMarkFollows="1" w:id="1"/>
        <w:t>*</w:t>
      </w:r>
      <w:r w:rsidRPr="00D83A61">
        <w:rPr>
          <w:rFonts w:hint="cs"/>
          <w:sz w:val="22"/>
          <w:szCs w:val="22"/>
          <w:rtl/>
        </w:rPr>
        <w:t xml:space="preserve"> </w:t>
      </w:r>
      <w:r w:rsidRPr="00D83A61">
        <w:rPr>
          <w:rStyle w:val="FootnoteReference"/>
          <w:sz w:val="28"/>
          <w:szCs w:val="28"/>
          <w:vertAlign w:val="baseline"/>
          <w:rtl/>
        </w:rPr>
        <w:footnoteReference w:customMarkFollows="1" w:id="2"/>
        <w:t>**</w:t>
      </w:r>
    </w:p>
    <w:p w14:paraId="661DFD0D" w14:textId="68F4A2BA" w:rsidR="006F28FC" w:rsidRPr="006F28FC" w:rsidRDefault="006F28FC" w:rsidP="006F28FC">
      <w:pPr>
        <w:pStyle w:val="SingleTxtGA"/>
        <w:tabs>
          <w:tab w:val="clear" w:pos="1928"/>
          <w:tab w:val="clear" w:pos="2608"/>
          <w:tab w:val="clear" w:pos="3289"/>
          <w:tab w:val="clear" w:pos="3969"/>
          <w:tab w:val="clear" w:pos="4649"/>
          <w:tab w:val="clear" w:pos="5330"/>
        </w:tabs>
        <w:ind w:left="4649" w:hanging="2721"/>
      </w:pPr>
      <w:r w:rsidRPr="00D83A61">
        <w:rPr>
          <w:i/>
          <w:iCs/>
          <w:rtl/>
        </w:rPr>
        <w:t>بلاغ مقدم من:</w:t>
      </w:r>
      <w:r>
        <w:rPr>
          <w:rtl/>
        </w:rPr>
        <w:tab/>
      </w:r>
      <w:r w:rsidRPr="006F28FC">
        <w:rPr>
          <w:rtl/>
        </w:rPr>
        <w:t xml:space="preserve">فاطمة </w:t>
      </w:r>
      <w:proofErr w:type="spellStart"/>
      <w:r w:rsidRPr="006F28FC">
        <w:rPr>
          <w:rtl/>
        </w:rPr>
        <w:t>الرسيوي</w:t>
      </w:r>
      <w:proofErr w:type="spellEnd"/>
      <w:r w:rsidRPr="006F28FC">
        <w:rPr>
          <w:rtl/>
        </w:rPr>
        <w:t xml:space="preserve"> (يمثلها محام من منظمة الكرامة)</w:t>
      </w:r>
    </w:p>
    <w:p w14:paraId="2781B8DC" w14:textId="3B6EB290" w:rsidR="006F28FC" w:rsidRPr="006F28FC" w:rsidRDefault="006F28FC" w:rsidP="006F28FC">
      <w:pPr>
        <w:pStyle w:val="SingleTxtGA"/>
        <w:tabs>
          <w:tab w:val="clear" w:pos="1928"/>
          <w:tab w:val="clear" w:pos="2608"/>
          <w:tab w:val="clear" w:pos="3289"/>
          <w:tab w:val="clear" w:pos="3969"/>
          <w:tab w:val="clear" w:pos="4649"/>
          <w:tab w:val="clear" w:pos="5330"/>
        </w:tabs>
        <w:ind w:left="4649" w:hanging="2721"/>
      </w:pPr>
      <w:r w:rsidRPr="00D83A61">
        <w:rPr>
          <w:i/>
          <w:iCs/>
          <w:rtl/>
        </w:rPr>
        <w:t>الشخص المدعى أنه ضحية:</w:t>
      </w:r>
      <w:r>
        <w:rPr>
          <w:rtl/>
        </w:rPr>
        <w:tab/>
      </w:r>
      <w:r w:rsidRPr="006F28FC">
        <w:rPr>
          <w:rtl/>
        </w:rPr>
        <w:t xml:space="preserve">صاحبة البلاغ وصادق </w:t>
      </w:r>
      <w:proofErr w:type="spellStart"/>
      <w:r w:rsidRPr="006F28FC">
        <w:rPr>
          <w:rtl/>
        </w:rPr>
        <w:t>الرسيوي</w:t>
      </w:r>
      <w:proofErr w:type="spellEnd"/>
      <w:r w:rsidRPr="006F28FC">
        <w:rPr>
          <w:rtl/>
        </w:rPr>
        <w:t xml:space="preserve"> (زوج صاحبة البلاغ)</w:t>
      </w:r>
    </w:p>
    <w:p w14:paraId="369DA14B" w14:textId="1ECA9F1D" w:rsidR="006F28FC" w:rsidRPr="006F28FC" w:rsidRDefault="006F28FC" w:rsidP="006F28FC">
      <w:pPr>
        <w:pStyle w:val="SingleTxtGA"/>
        <w:tabs>
          <w:tab w:val="clear" w:pos="1928"/>
          <w:tab w:val="clear" w:pos="2608"/>
          <w:tab w:val="clear" w:pos="3289"/>
          <w:tab w:val="clear" w:pos="3969"/>
          <w:tab w:val="clear" w:pos="4649"/>
          <w:tab w:val="clear" w:pos="5330"/>
        </w:tabs>
        <w:ind w:left="4649" w:hanging="2721"/>
      </w:pPr>
      <w:r w:rsidRPr="00D83A61">
        <w:rPr>
          <w:i/>
          <w:iCs/>
          <w:rtl/>
        </w:rPr>
        <w:t>الدولة الطرف:</w:t>
      </w:r>
      <w:r>
        <w:rPr>
          <w:rtl/>
        </w:rPr>
        <w:tab/>
      </w:r>
      <w:r w:rsidRPr="006F28FC">
        <w:rPr>
          <w:rtl/>
        </w:rPr>
        <w:t>الجزائر</w:t>
      </w:r>
    </w:p>
    <w:p w14:paraId="58419E20" w14:textId="5C51B203" w:rsidR="006F28FC" w:rsidRPr="006F28FC" w:rsidRDefault="006F28FC" w:rsidP="006F28FC">
      <w:pPr>
        <w:pStyle w:val="SingleTxtGA"/>
        <w:tabs>
          <w:tab w:val="clear" w:pos="1928"/>
          <w:tab w:val="clear" w:pos="2608"/>
          <w:tab w:val="clear" w:pos="3289"/>
          <w:tab w:val="clear" w:pos="3969"/>
          <w:tab w:val="clear" w:pos="4649"/>
          <w:tab w:val="clear" w:pos="5330"/>
        </w:tabs>
        <w:ind w:left="4649" w:hanging="2721"/>
      </w:pPr>
      <w:r w:rsidRPr="00D83A61">
        <w:rPr>
          <w:i/>
          <w:iCs/>
          <w:rtl/>
        </w:rPr>
        <w:t>تاريخ تقديم البلاغ:</w:t>
      </w:r>
      <w:r>
        <w:rPr>
          <w:rtl/>
        </w:rPr>
        <w:tab/>
      </w:r>
      <w:r w:rsidRPr="00D83A61">
        <w:rPr>
          <w:rtl/>
        </w:rPr>
        <w:t>7</w:t>
      </w:r>
      <w:r w:rsidRPr="006F28FC">
        <w:rPr>
          <w:rtl/>
        </w:rPr>
        <w:t xml:space="preserve"> أيلول/سبتمبر </w:t>
      </w:r>
      <w:r w:rsidRPr="00D83A61">
        <w:rPr>
          <w:rtl/>
        </w:rPr>
        <w:t>2016</w:t>
      </w:r>
      <w:r w:rsidRPr="006F28FC">
        <w:rPr>
          <w:rtl/>
        </w:rPr>
        <w:t xml:space="preserve"> (تاريخ الرسالة الأولى)</w:t>
      </w:r>
    </w:p>
    <w:p w14:paraId="685C1055" w14:textId="56768818" w:rsidR="006F28FC" w:rsidRPr="006F28FC" w:rsidRDefault="006F28FC" w:rsidP="006F28FC">
      <w:pPr>
        <w:pStyle w:val="SingleTxtGA"/>
        <w:tabs>
          <w:tab w:val="clear" w:pos="1928"/>
          <w:tab w:val="clear" w:pos="2608"/>
          <w:tab w:val="clear" w:pos="3289"/>
          <w:tab w:val="clear" w:pos="3969"/>
          <w:tab w:val="clear" w:pos="4649"/>
          <w:tab w:val="clear" w:pos="5330"/>
        </w:tabs>
        <w:ind w:left="4649" w:hanging="2721"/>
      </w:pPr>
      <w:r w:rsidRPr="00D83A61">
        <w:rPr>
          <w:i/>
          <w:iCs/>
          <w:rtl/>
        </w:rPr>
        <w:t>الوثائق المرجعية:</w:t>
      </w:r>
      <w:r>
        <w:rPr>
          <w:rtl/>
        </w:rPr>
        <w:tab/>
      </w:r>
      <w:r w:rsidRPr="006F28FC">
        <w:rPr>
          <w:rtl/>
        </w:rPr>
        <w:t xml:space="preserve">القرار المتخذ عملاً بالمادة </w:t>
      </w:r>
      <w:r w:rsidRPr="00D83A61">
        <w:rPr>
          <w:rtl/>
        </w:rPr>
        <w:t>92</w:t>
      </w:r>
      <w:r w:rsidRPr="006F28FC">
        <w:rPr>
          <w:rtl/>
        </w:rPr>
        <w:t xml:space="preserve"> من النظام الداخلي للجنة، المحال إلى الدولة الطرف في </w:t>
      </w:r>
      <w:r w:rsidRPr="00D83A61">
        <w:rPr>
          <w:rtl/>
        </w:rPr>
        <w:t>8</w:t>
      </w:r>
      <w:r w:rsidRPr="006F28FC">
        <w:rPr>
          <w:rtl/>
        </w:rPr>
        <w:t xml:space="preserve"> تشرين الثاني/</w:t>
      </w:r>
      <w:r w:rsidR="00645468">
        <w:rPr>
          <w:rFonts w:hint="cs"/>
          <w:rtl/>
        </w:rPr>
        <w:t xml:space="preserve"> </w:t>
      </w:r>
      <w:r w:rsidRPr="006F28FC">
        <w:rPr>
          <w:rtl/>
        </w:rPr>
        <w:t xml:space="preserve">نوفمبر </w:t>
      </w:r>
      <w:r w:rsidRPr="00D83A61">
        <w:rPr>
          <w:rtl/>
        </w:rPr>
        <w:t>2016</w:t>
      </w:r>
      <w:r w:rsidRPr="006F28FC">
        <w:rPr>
          <w:rtl/>
        </w:rPr>
        <w:t xml:space="preserve"> (لم يصدر في شكل وثيقة)</w:t>
      </w:r>
      <w:r w:rsidRPr="006F28FC">
        <w:rPr>
          <w:rFonts w:cs="Times New Roman" w:hint="cs"/>
          <w:rtl/>
        </w:rPr>
        <w:t>‬</w:t>
      </w:r>
    </w:p>
    <w:p w14:paraId="2C5D37DF" w14:textId="77777777" w:rsidR="006F28FC" w:rsidRPr="006F28FC" w:rsidRDefault="006F28FC" w:rsidP="006F28FC">
      <w:pPr>
        <w:pStyle w:val="SingleTxtGA"/>
        <w:tabs>
          <w:tab w:val="clear" w:pos="1928"/>
          <w:tab w:val="clear" w:pos="2608"/>
          <w:tab w:val="clear" w:pos="3289"/>
          <w:tab w:val="clear" w:pos="3969"/>
          <w:tab w:val="clear" w:pos="4649"/>
          <w:tab w:val="clear" w:pos="5330"/>
        </w:tabs>
        <w:ind w:left="4649" w:hanging="2721"/>
      </w:pPr>
      <w:r w:rsidRPr="00D83A61">
        <w:rPr>
          <w:i/>
          <w:iCs/>
          <w:rtl/>
        </w:rPr>
        <w:t>تاريخ اعتماد الآراء:</w:t>
      </w:r>
      <w:r>
        <w:rPr>
          <w:rtl/>
        </w:rPr>
        <w:tab/>
      </w:r>
      <w:r w:rsidRPr="00D83A61">
        <w:rPr>
          <w:rtl/>
        </w:rPr>
        <w:t>19</w:t>
      </w:r>
      <w:r w:rsidRPr="006F28FC">
        <w:rPr>
          <w:rtl/>
        </w:rPr>
        <w:t xml:space="preserve"> تشرين الأول/أكتوبر </w:t>
      </w:r>
      <w:r w:rsidRPr="00D83A61">
        <w:rPr>
          <w:rtl/>
        </w:rPr>
        <w:t>2020</w:t>
      </w:r>
    </w:p>
    <w:p w14:paraId="1B3A4B34" w14:textId="0F351F1C" w:rsidR="006F28FC" w:rsidRPr="006F28FC" w:rsidRDefault="006F28FC" w:rsidP="006F28FC">
      <w:pPr>
        <w:pStyle w:val="SingleTxtGA"/>
        <w:tabs>
          <w:tab w:val="clear" w:pos="1928"/>
          <w:tab w:val="clear" w:pos="2608"/>
          <w:tab w:val="clear" w:pos="3289"/>
          <w:tab w:val="clear" w:pos="3969"/>
          <w:tab w:val="clear" w:pos="4649"/>
          <w:tab w:val="clear" w:pos="5330"/>
        </w:tabs>
        <w:ind w:left="4649" w:hanging="2721"/>
      </w:pPr>
      <w:r w:rsidRPr="00D83A61">
        <w:rPr>
          <w:i/>
          <w:iCs/>
          <w:rtl/>
        </w:rPr>
        <w:t xml:space="preserve"> الموضوع:</w:t>
      </w:r>
      <w:r>
        <w:rPr>
          <w:rtl/>
        </w:rPr>
        <w:tab/>
      </w:r>
      <w:r w:rsidRPr="006F28FC">
        <w:rPr>
          <w:rtl/>
        </w:rPr>
        <w:t>الاختفاء القسري</w:t>
      </w:r>
    </w:p>
    <w:p w14:paraId="2663CA1B" w14:textId="00E2FFB0" w:rsidR="006F28FC" w:rsidRPr="006F28FC" w:rsidRDefault="006F28FC" w:rsidP="006F28FC">
      <w:pPr>
        <w:pStyle w:val="SingleTxtGA"/>
        <w:tabs>
          <w:tab w:val="clear" w:pos="1928"/>
          <w:tab w:val="clear" w:pos="2608"/>
          <w:tab w:val="clear" w:pos="3289"/>
          <w:tab w:val="clear" w:pos="3969"/>
          <w:tab w:val="clear" w:pos="4649"/>
          <w:tab w:val="clear" w:pos="5330"/>
        </w:tabs>
        <w:ind w:left="4649" w:hanging="2721"/>
      </w:pPr>
      <w:r w:rsidRPr="00D83A61">
        <w:rPr>
          <w:i/>
          <w:iCs/>
          <w:rtl/>
        </w:rPr>
        <w:t>المسائل الإجرائية:</w:t>
      </w:r>
      <w:r>
        <w:rPr>
          <w:rtl/>
        </w:rPr>
        <w:tab/>
      </w:r>
      <w:r w:rsidRPr="006F28FC">
        <w:rPr>
          <w:rtl/>
        </w:rPr>
        <w:t>استنفاد سبل الانتصاف المحلية</w:t>
      </w:r>
    </w:p>
    <w:p w14:paraId="5D4D3AD5" w14:textId="77B70734" w:rsidR="006F28FC" w:rsidRPr="006F28FC" w:rsidRDefault="006F28FC" w:rsidP="006F28FC">
      <w:pPr>
        <w:pStyle w:val="SingleTxtGA"/>
        <w:tabs>
          <w:tab w:val="clear" w:pos="1928"/>
          <w:tab w:val="clear" w:pos="2608"/>
          <w:tab w:val="clear" w:pos="3289"/>
          <w:tab w:val="clear" w:pos="3969"/>
          <w:tab w:val="clear" w:pos="4649"/>
          <w:tab w:val="clear" w:pos="5330"/>
        </w:tabs>
        <w:ind w:left="4649" w:hanging="2721"/>
      </w:pPr>
      <w:r w:rsidRPr="00D83A61">
        <w:rPr>
          <w:i/>
          <w:iCs/>
          <w:rtl/>
        </w:rPr>
        <w:t>المسائل الموضوعية:</w:t>
      </w:r>
      <w:r>
        <w:rPr>
          <w:rtl/>
        </w:rPr>
        <w:tab/>
      </w:r>
      <w:r w:rsidRPr="006F28FC">
        <w:rPr>
          <w:rtl/>
        </w:rPr>
        <w:t>الحق في سبيل انتصاف فعال؛ والمعاملة أو العقوبة القاسية أو اللاإنسانية أو المهينة؛ وحرية الفرد والأمان على شخصه؛ والكرامة الإنسانية؛ والاعتراف بالشخصية القانونية</w:t>
      </w:r>
    </w:p>
    <w:p w14:paraId="76D6F317" w14:textId="1952C5E8" w:rsidR="006F28FC" w:rsidRPr="006F28FC" w:rsidRDefault="006F28FC" w:rsidP="006F28FC">
      <w:pPr>
        <w:pStyle w:val="SingleTxtGA"/>
        <w:tabs>
          <w:tab w:val="clear" w:pos="1928"/>
          <w:tab w:val="clear" w:pos="2608"/>
          <w:tab w:val="clear" w:pos="3289"/>
          <w:tab w:val="clear" w:pos="3969"/>
          <w:tab w:val="clear" w:pos="4649"/>
          <w:tab w:val="clear" w:pos="5330"/>
        </w:tabs>
        <w:ind w:left="4649" w:hanging="2721"/>
      </w:pPr>
      <w:r w:rsidRPr="00D83A61">
        <w:rPr>
          <w:i/>
          <w:iCs/>
          <w:rtl/>
        </w:rPr>
        <w:t>مواد العهد:</w:t>
      </w:r>
      <w:r>
        <w:rPr>
          <w:rtl/>
        </w:rPr>
        <w:tab/>
      </w:r>
      <w:r w:rsidRPr="006F28FC">
        <w:rPr>
          <w:rtl/>
        </w:rPr>
        <w:t xml:space="preserve">المواد </w:t>
      </w:r>
      <w:r w:rsidRPr="00D83A61">
        <w:rPr>
          <w:rtl/>
        </w:rPr>
        <w:t>2</w:t>
      </w:r>
      <w:r w:rsidRPr="006F28FC">
        <w:rPr>
          <w:rtl/>
        </w:rPr>
        <w:t>(</w:t>
      </w:r>
      <w:r w:rsidRPr="00D83A61">
        <w:rPr>
          <w:rtl/>
        </w:rPr>
        <w:t>2</w:t>
      </w:r>
      <w:r w:rsidRPr="006F28FC">
        <w:rPr>
          <w:rtl/>
        </w:rPr>
        <w:t>) و(</w:t>
      </w:r>
      <w:r w:rsidRPr="00D83A61">
        <w:rPr>
          <w:rtl/>
        </w:rPr>
        <w:t>3</w:t>
      </w:r>
      <w:r w:rsidRPr="006F28FC">
        <w:rPr>
          <w:rtl/>
        </w:rPr>
        <w:t>) و</w:t>
      </w:r>
      <w:r w:rsidRPr="00D83A61">
        <w:rPr>
          <w:rtl/>
        </w:rPr>
        <w:t>6</w:t>
      </w:r>
      <w:r w:rsidRPr="006F28FC">
        <w:rPr>
          <w:rtl/>
        </w:rPr>
        <w:t>(</w:t>
      </w:r>
      <w:r w:rsidRPr="00D83A61">
        <w:rPr>
          <w:rtl/>
        </w:rPr>
        <w:t>1</w:t>
      </w:r>
      <w:r w:rsidRPr="006F28FC">
        <w:rPr>
          <w:rtl/>
        </w:rPr>
        <w:t>) و</w:t>
      </w:r>
      <w:r w:rsidRPr="00D83A61">
        <w:rPr>
          <w:rtl/>
        </w:rPr>
        <w:t>7</w:t>
      </w:r>
      <w:r w:rsidRPr="006F28FC">
        <w:rPr>
          <w:rtl/>
        </w:rPr>
        <w:t xml:space="preserve"> و</w:t>
      </w:r>
      <w:r w:rsidRPr="00D83A61">
        <w:rPr>
          <w:rtl/>
        </w:rPr>
        <w:t>9</w:t>
      </w:r>
      <w:r w:rsidRPr="006F28FC">
        <w:rPr>
          <w:rtl/>
        </w:rPr>
        <w:t xml:space="preserve"> و</w:t>
      </w:r>
      <w:r w:rsidRPr="00D83A61">
        <w:rPr>
          <w:rtl/>
        </w:rPr>
        <w:t>10</w:t>
      </w:r>
      <w:r w:rsidRPr="006F28FC">
        <w:rPr>
          <w:rtl/>
        </w:rPr>
        <w:t>(</w:t>
      </w:r>
      <w:r w:rsidRPr="00D83A61">
        <w:rPr>
          <w:rtl/>
        </w:rPr>
        <w:t>1</w:t>
      </w:r>
      <w:r w:rsidRPr="006F28FC">
        <w:rPr>
          <w:rtl/>
        </w:rPr>
        <w:t>) و</w:t>
      </w:r>
      <w:r w:rsidRPr="00D83A61">
        <w:rPr>
          <w:rtl/>
        </w:rPr>
        <w:t>16</w:t>
      </w:r>
      <w:r w:rsidRPr="006F28FC">
        <w:rPr>
          <w:rtl/>
        </w:rPr>
        <w:t xml:space="preserve"> و</w:t>
      </w:r>
      <w:r w:rsidRPr="00D83A61">
        <w:rPr>
          <w:rtl/>
        </w:rPr>
        <w:t>19</w:t>
      </w:r>
      <w:r w:rsidRPr="006F28FC">
        <w:rPr>
          <w:rtl/>
        </w:rPr>
        <w:t xml:space="preserve"> و</w:t>
      </w:r>
      <w:r w:rsidRPr="00D83A61">
        <w:rPr>
          <w:rtl/>
        </w:rPr>
        <w:t>23</w:t>
      </w:r>
      <w:r w:rsidRPr="006F28FC">
        <w:rPr>
          <w:rtl/>
        </w:rPr>
        <w:t>(</w:t>
      </w:r>
      <w:r w:rsidRPr="00D83A61">
        <w:rPr>
          <w:rtl/>
        </w:rPr>
        <w:t>1</w:t>
      </w:r>
      <w:r w:rsidRPr="006F28FC">
        <w:rPr>
          <w:rtl/>
        </w:rPr>
        <w:t>)</w:t>
      </w:r>
    </w:p>
    <w:p w14:paraId="2F38A0E8" w14:textId="66FF5FEB" w:rsidR="006F28FC" w:rsidRPr="006F28FC" w:rsidRDefault="006F28FC" w:rsidP="006F28FC">
      <w:pPr>
        <w:pStyle w:val="SingleTxtGA"/>
        <w:tabs>
          <w:tab w:val="clear" w:pos="1928"/>
          <w:tab w:val="clear" w:pos="2608"/>
          <w:tab w:val="clear" w:pos="3289"/>
          <w:tab w:val="clear" w:pos="3969"/>
          <w:tab w:val="clear" w:pos="4649"/>
          <w:tab w:val="clear" w:pos="5330"/>
        </w:tabs>
        <w:ind w:left="4649" w:hanging="2721"/>
      </w:pPr>
      <w:r w:rsidRPr="00D83A61">
        <w:rPr>
          <w:i/>
          <w:iCs/>
          <w:rtl/>
        </w:rPr>
        <w:t>مواد البروتوكول الاختياري:</w:t>
      </w:r>
      <w:r>
        <w:rPr>
          <w:rtl/>
        </w:rPr>
        <w:tab/>
      </w:r>
      <w:r w:rsidRPr="00D83A61">
        <w:rPr>
          <w:rtl/>
        </w:rPr>
        <w:t>2</w:t>
      </w:r>
      <w:r w:rsidRPr="006F28FC">
        <w:rPr>
          <w:rtl/>
        </w:rPr>
        <w:t xml:space="preserve"> و</w:t>
      </w:r>
      <w:r w:rsidRPr="00D83A61">
        <w:rPr>
          <w:rtl/>
        </w:rPr>
        <w:t>3</w:t>
      </w:r>
      <w:r w:rsidRPr="006F28FC">
        <w:rPr>
          <w:rtl/>
        </w:rPr>
        <w:t xml:space="preserve"> و</w:t>
      </w:r>
      <w:r w:rsidRPr="00D83A61">
        <w:rPr>
          <w:rtl/>
        </w:rPr>
        <w:t>5</w:t>
      </w:r>
      <w:r w:rsidRPr="006F28FC">
        <w:rPr>
          <w:rtl/>
        </w:rPr>
        <w:t>(</w:t>
      </w:r>
      <w:r w:rsidRPr="00D83A61">
        <w:rPr>
          <w:rtl/>
        </w:rPr>
        <w:t>2</w:t>
      </w:r>
      <w:r w:rsidRPr="006F28FC">
        <w:rPr>
          <w:rtl/>
        </w:rPr>
        <w:t>)</w:t>
      </w:r>
    </w:p>
    <w:p w14:paraId="2A81BF52" w14:textId="77777777" w:rsidR="006F28FC" w:rsidRDefault="006F28FC" w:rsidP="006F28FC">
      <w:pPr>
        <w:pStyle w:val="SingleTxtGA"/>
      </w:pPr>
      <w:r w:rsidRPr="00D83A61">
        <w:rPr>
          <w:rtl/>
        </w:rPr>
        <w:t>1</w:t>
      </w:r>
      <w:r>
        <w:rPr>
          <w:rtl/>
        </w:rPr>
        <w:t>-</w:t>
      </w:r>
      <w:r>
        <w:rPr>
          <w:rtl/>
        </w:rPr>
        <w:tab/>
      </w:r>
      <w:r w:rsidRPr="00000BA0">
        <w:rPr>
          <w:spacing w:val="-4"/>
          <w:rtl/>
        </w:rPr>
        <w:t xml:space="preserve">صاحبة البلاغ هي فاطمة </w:t>
      </w:r>
      <w:proofErr w:type="spellStart"/>
      <w:r w:rsidRPr="00000BA0">
        <w:rPr>
          <w:spacing w:val="-4"/>
          <w:rtl/>
        </w:rPr>
        <w:t>الرسيوي</w:t>
      </w:r>
      <w:proofErr w:type="spellEnd"/>
      <w:r w:rsidRPr="00000BA0">
        <w:rPr>
          <w:spacing w:val="-4"/>
          <w:rtl/>
        </w:rPr>
        <w:t>، وهي مواطنة جزائرية. وتدّعي صاحبة البلاغ أن زوجها صادق</w:t>
      </w:r>
      <w:r>
        <w:rPr>
          <w:rtl/>
        </w:rPr>
        <w:t xml:space="preserve"> </w:t>
      </w:r>
      <w:proofErr w:type="spellStart"/>
      <w:r>
        <w:rPr>
          <w:rtl/>
        </w:rPr>
        <w:t>الرسيوي</w:t>
      </w:r>
      <w:proofErr w:type="spellEnd"/>
      <w:r>
        <w:rPr>
          <w:rtl/>
        </w:rPr>
        <w:t xml:space="preserve">، المولود في عام </w:t>
      </w:r>
      <w:r w:rsidRPr="00D83A61">
        <w:rPr>
          <w:rtl/>
        </w:rPr>
        <w:t>1942</w:t>
      </w:r>
      <w:r>
        <w:rPr>
          <w:rtl/>
        </w:rPr>
        <w:t xml:space="preserve">، وهو أيضاً مواطن جزائري، كان ضحية اختفاء قسري يُعزى إلى الدولة الطرف، مما يشكل انتهاكاً للمواد </w:t>
      </w:r>
      <w:r w:rsidRPr="00D83A61">
        <w:rPr>
          <w:rtl/>
        </w:rPr>
        <w:t>2</w:t>
      </w:r>
      <w:r>
        <w:rPr>
          <w:rtl/>
        </w:rPr>
        <w:t>(</w:t>
      </w:r>
      <w:r w:rsidRPr="00D83A61">
        <w:rPr>
          <w:rtl/>
        </w:rPr>
        <w:t>3</w:t>
      </w:r>
      <w:r>
        <w:rPr>
          <w:rtl/>
        </w:rPr>
        <w:t>) و</w:t>
      </w:r>
      <w:r w:rsidRPr="00D83A61">
        <w:rPr>
          <w:rtl/>
        </w:rPr>
        <w:t>6</w:t>
      </w:r>
      <w:r>
        <w:rPr>
          <w:rtl/>
        </w:rPr>
        <w:t xml:space="preserve"> و</w:t>
      </w:r>
      <w:r w:rsidRPr="00D83A61">
        <w:rPr>
          <w:rtl/>
        </w:rPr>
        <w:t>7</w:t>
      </w:r>
      <w:r>
        <w:rPr>
          <w:rtl/>
        </w:rPr>
        <w:t xml:space="preserve"> و</w:t>
      </w:r>
      <w:r w:rsidRPr="00D83A61">
        <w:rPr>
          <w:rtl/>
        </w:rPr>
        <w:t>9</w:t>
      </w:r>
      <w:r>
        <w:rPr>
          <w:rtl/>
        </w:rPr>
        <w:t xml:space="preserve"> و</w:t>
      </w:r>
      <w:r w:rsidRPr="00D83A61">
        <w:rPr>
          <w:rtl/>
        </w:rPr>
        <w:t>10</w:t>
      </w:r>
      <w:r>
        <w:rPr>
          <w:rtl/>
        </w:rPr>
        <w:t xml:space="preserve"> و</w:t>
      </w:r>
      <w:r w:rsidRPr="00D83A61">
        <w:rPr>
          <w:rtl/>
        </w:rPr>
        <w:t>16</w:t>
      </w:r>
      <w:r>
        <w:rPr>
          <w:rtl/>
        </w:rPr>
        <w:t xml:space="preserve"> و</w:t>
      </w:r>
      <w:r w:rsidRPr="00D83A61">
        <w:rPr>
          <w:rtl/>
        </w:rPr>
        <w:t>23</w:t>
      </w:r>
      <w:r>
        <w:rPr>
          <w:rtl/>
        </w:rPr>
        <w:t>(</w:t>
      </w:r>
      <w:r w:rsidRPr="00D83A61">
        <w:rPr>
          <w:rtl/>
        </w:rPr>
        <w:t>1</w:t>
      </w:r>
      <w:r>
        <w:rPr>
          <w:rtl/>
        </w:rPr>
        <w:t xml:space="preserve">) من العهد. وتؤكد صاحبة البلاغ </w:t>
      </w:r>
      <w:r w:rsidRPr="00000BA0">
        <w:rPr>
          <w:spacing w:val="-4"/>
          <w:rtl/>
        </w:rPr>
        <w:t xml:space="preserve">أيضاً أنها تعرضت لانتهاك حقوقها بموجب المواد </w:t>
      </w:r>
      <w:r w:rsidRPr="00D83A61">
        <w:rPr>
          <w:spacing w:val="-4"/>
          <w:rtl/>
        </w:rPr>
        <w:t>2</w:t>
      </w:r>
      <w:r w:rsidRPr="00000BA0">
        <w:rPr>
          <w:spacing w:val="-4"/>
          <w:rtl/>
        </w:rPr>
        <w:t>(</w:t>
      </w:r>
      <w:r w:rsidRPr="00D83A61">
        <w:rPr>
          <w:spacing w:val="-4"/>
          <w:rtl/>
        </w:rPr>
        <w:t>3</w:t>
      </w:r>
      <w:r w:rsidRPr="00000BA0">
        <w:rPr>
          <w:spacing w:val="-4"/>
          <w:rtl/>
        </w:rPr>
        <w:t>) و</w:t>
      </w:r>
      <w:r w:rsidRPr="00D83A61">
        <w:rPr>
          <w:spacing w:val="-4"/>
          <w:rtl/>
        </w:rPr>
        <w:t>7</w:t>
      </w:r>
      <w:r w:rsidRPr="00000BA0">
        <w:rPr>
          <w:spacing w:val="-4"/>
          <w:rtl/>
        </w:rPr>
        <w:t xml:space="preserve"> و</w:t>
      </w:r>
      <w:r w:rsidRPr="00D83A61">
        <w:rPr>
          <w:spacing w:val="-4"/>
          <w:rtl/>
        </w:rPr>
        <w:t>23</w:t>
      </w:r>
      <w:r w:rsidRPr="00000BA0">
        <w:rPr>
          <w:spacing w:val="-4"/>
          <w:rtl/>
        </w:rPr>
        <w:t>(</w:t>
      </w:r>
      <w:r w:rsidRPr="00D83A61">
        <w:rPr>
          <w:spacing w:val="-4"/>
          <w:rtl/>
        </w:rPr>
        <w:t>1</w:t>
      </w:r>
      <w:r w:rsidRPr="00000BA0">
        <w:rPr>
          <w:spacing w:val="-4"/>
          <w:rtl/>
        </w:rPr>
        <w:t>) من العهد. وهي تدّعي أخيراً أن الدولة</w:t>
      </w:r>
      <w:r>
        <w:rPr>
          <w:rtl/>
        </w:rPr>
        <w:t xml:space="preserve"> </w:t>
      </w:r>
      <w:r w:rsidRPr="00000BA0">
        <w:rPr>
          <w:spacing w:val="-2"/>
          <w:rtl/>
        </w:rPr>
        <w:t xml:space="preserve">الطرف، من خلال تشريعاتها المحلية، انتهكت الالتزام العام الذي يقع على عاتقها بموجب المادة </w:t>
      </w:r>
      <w:r w:rsidRPr="00D83A61">
        <w:rPr>
          <w:spacing w:val="-2"/>
          <w:rtl/>
        </w:rPr>
        <w:t>2</w:t>
      </w:r>
      <w:r w:rsidRPr="00000BA0">
        <w:rPr>
          <w:spacing w:val="-2"/>
          <w:rtl/>
        </w:rPr>
        <w:t>(</w:t>
      </w:r>
      <w:r w:rsidRPr="00D83A61">
        <w:rPr>
          <w:spacing w:val="-2"/>
          <w:rtl/>
        </w:rPr>
        <w:t>2</w:t>
      </w:r>
      <w:r w:rsidRPr="00000BA0">
        <w:rPr>
          <w:spacing w:val="-2"/>
          <w:rtl/>
        </w:rPr>
        <w:t>) مقروءة</w:t>
      </w:r>
      <w:r>
        <w:rPr>
          <w:rtl/>
        </w:rPr>
        <w:t xml:space="preserve"> بالاقتران مع المادتين </w:t>
      </w:r>
      <w:r w:rsidRPr="00D83A61">
        <w:rPr>
          <w:rtl/>
        </w:rPr>
        <w:t>2</w:t>
      </w:r>
      <w:r>
        <w:rPr>
          <w:rtl/>
        </w:rPr>
        <w:t>(</w:t>
      </w:r>
      <w:r w:rsidRPr="00D83A61">
        <w:rPr>
          <w:rtl/>
        </w:rPr>
        <w:t>3</w:t>
      </w:r>
      <w:r>
        <w:rPr>
          <w:rtl/>
        </w:rPr>
        <w:t>) و</w:t>
      </w:r>
      <w:r w:rsidRPr="00D83A61">
        <w:rPr>
          <w:rtl/>
        </w:rPr>
        <w:t>19</w:t>
      </w:r>
      <w:r>
        <w:rPr>
          <w:rtl/>
        </w:rPr>
        <w:t xml:space="preserve"> من العهد. وقد دخل العهد والبروتوكول الاختياري الملحق به </w:t>
      </w:r>
      <w:r w:rsidRPr="00000BA0">
        <w:rPr>
          <w:spacing w:val="-2"/>
          <w:rtl/>
        </w:rPr>
        <w:t xml:space="preserve">حيز النفاذ بالنسبة إلى الدولة الطرف في </w:t>
      </w:r>
      <w:r w:rsidRPr="00D83A61">
        <w:rPr>
          <w:spacing w:val="-2"/>
          <w:rtl/>
        </w:rPr>
        <w:t>12</w:t>
      </w:r>
      <w:r w:rsidRPr="00000BA0">
        <w:rPr>
          <w:spacing w:val="-2"/>
          <w:rtl/>
        </w:rPr>
        <w:t xml:space="preserve"> كانون الأول/ديسمبر </w:t>
      </w:r>
      <w:r w:rsidRPr="00D83A61">
        <w:rPr>
          <w:spacing w:val="-2"/>
          <w:rtl/>
        </w:rPr>
        <w:t>1989</w:t>
      </w:r>
      <w:r w:rsidRPr="00000BA0">
        <w:rPr>
          <w:spacing w:val="-2"/>
          <w:rtl/>
        </w:rPr>
        <w:t>. ويمثّل صاحبة البلاغ محام من</w:t>
      </w:r>
      <w:r>
        <w:rPr>
          <w:rtl/>
        </w:rPr>
        <w:t xml:space="preserve"> منظمة الكرامة.</w:t>
      </w:r>
    </w:p>
    <w:p w14:paraId="4E957ADD" w14:textId="77777777" w:rsidR="006F28FC" w:rsidRPr="00D83A61" w:rsidRDefault="006F28FC" w:rsidP="006F28FC">
      <w:pPr>
        <w:pStyle w:val="H23GA"/>
      </w:pPr>
      <w:r w:rsidRPr="00D83A61">
        <w:rPr>
          <w:rtl/>
        </w:rPr>
        <w:tab/>
      </w:r>
      <w:r w:rsidRPr="00D83A61">
        <w:rPr>
          <w:rtl/>
        </w:rPr>
        <w:tab/>
      </w:r>
      <w:r w:rsidRPr="00D83A61">
        <w:rPr>
          <w:rtl/>
        </w:rPr>
        <w:tab/>
        <w:t>الوقائع كما عرضتها صاحبة البلاغ</w:t>
      </w:r>
    </w:p>
    <w:p w14:paraId="57975477" w14:textId="77777777" w:rsidR="006F28FC" w:rsidRDefault="006F28FC" w:rsidP="006F28FC">
      <w:pPr>
        <w:pStyle w:val="SingleTxtGA"/>
      </w:pPr>
      <w:r w:rsidRPr="00D83A61">
        <w:rPr>
          <w:rtl/>
        </w:rPr>
        <w:t>2</w:t>
      </w:r>
      <w:r>
        <w:rPr>
          <w:rtl/>
        </w:rPr>
        <w:t>-</w:t>
      </w:r>
      <w:r w:rsidRPr="00D83A61">
        <w:rPr>
          <w:rtl/>
        </w:rPr>
        <w:t>1</w:t>
      </w:r>
      <w:r>
        <w:rPr>
          <w:rtl/>
        </w:rPr>
        <w:tab/>
        <w:t xml:space="preserve">عاش صادق </w:t>
      </w:r>
      <w:proofErr w:type="spellStart"/>
      <w:r>
        <w:rPr>
          <w:rtl/>
        </w:rPr>
        <w:t>الرسيوي</w:t>
      </w:r>
      <w:proofErr w:type="spellEnd"/>
      <w:r>
        <w:rPr>
          <w:rtl/>
        </w:rPr>
        <w:t xml:space="preserve">، وهو أب لثمانية أطفال، في غرداية وكان "ضابطاً عسكرياً سابقاً" في جيش التحرير الوطني، الذي أُسس في عام </w:t>
      </w:r>
      <w:r w:rsidRPr="00D83A61">
        <w:rPr>
          <w:rtl/>
        </w:rPr>
        <w:t>1954</w:t>
      </w:r>
      <w:r>
        <w:rPr>
          <w:rtl/>
        </w:rPr>
        <w:t xml:space="preserve"> للكفاح من أجل استقلال الجزائر. وبالنظر إلى مهاراته ودرايته بالمنطقة، إذ عمل بها لفترة طويلة، طلبت منه السلطات الجزائرية ترؤس ميليشيا محلية لدعم عمل أجهزة الأمن، وهو اقتراح رفضه صادق </w:t>
      </w:r>
      <w:proofErr w:type="spellStart"/>
      <w:r>
        <w:rPr>
          <w:rtl/>
        </w:rPr>
        <w:t>الرسيوي</w:t>
      </w:r>
      <w:proofErr w:type="spellEnd"/>
      <w:r>
        <w:rPr>
          <w:rtl/>
        </w:rPr>
        <w:t xml:space="preserve"> مراراً وتكراراً.</w:t>
      </w:r>
    </w:p>
    <w:p w14:paraId="63902D73" w14:textId="1194833D" w:rsidR="006F28FC" w:rsidRDefault="006F28FC" w:rsidP="006F28FC">
      <w:pPr>
        <w:pStyle w:val="SingleTxtGA"/>
      </w:pPr>
      <w:r w:rsidRPr="00D83A61">
        <w:rPr>
          <w:rtl/>
        </w:rPr>
        <w:t>2</w:t>
      </w:r>
      <w:r>
        <w:rPr>
          <w:rtl/>
        </w:rPr>
        <w:t>-</w:t>
      </w:r>
      <w:r w:rsidRPr="00D83A61">
        <w:rPr>
          <w:rtl/>
        </w:rPr>
        <w:t>2</w:t>
      </w:r>
      <w:r>
        <w:rPr>
          <w:rtl/>
        </w:rPr>
        <w:tab/>
        <w:t xml:space="preserve">وفي يوم من أيام أوائل شهر آذار/مارس </w:t>
      </w:r>
      <w:r w:rsidRPr="00D83A61">
        <w:rPr>
          <w:rtl/>
        </w:rPr>
        <w:t>1996</w:t>
      </w:r>
      <w:r>
        <w:rPr>
          <w:rtl/>
        </w:rPr>
        <w:t xml:space="preserve">، حوالي الساعة </w:t>
      </w:r>
      <w:r w:rsidR="00FA2721">
        <w:rPr>
          <w:rFonts w:hint="cs"/>
          <w:rtl/>
        </w:rPr>
        <w:t>30</w:t>
      </w:r>
      <w:r>
        <w:rPr>
          <w:rtl/>
        </w:rPr>
        <w:t>/</w:t>
      </w:r>
      <w:r w:rsidR="00FA2721">
        <w:rPr>
          <w:rFonts w:hint="cs"/>
          <w:rtl/>
        </w:rPr>
        <w:t>11</w:t>
      </w:r>
      <w:r>
        <w:rPr>
          <w:rtl/>
        </w:rPr>
        <w:t xml:space="preserve"> صباحا</w:t>
      </w:r>
      <w:r w:rsidR="00FA2721">
        <w:rPr>
          <w:rFonts w:hint="cs"/>
          <w:rtl/>
        </w:rPr>
        <w:t>ً</w:t>
      </w:r>
      <w:r>
        <w:rPr>
          <w:rtl/>
        </w:rPr>
        <w:t xml:space="preserve">، كان صادق </w:t>
      </w:r>
      <w:proofErr w:type="spellStart"/>
      <w:r>
        <w:rPr>
          <w:rtl/>
        </w:rPr>
        <w:t>الرسيوي</w:t>
      </w:r>
      <w:proofErr w:type="spellEnd"/>
      <w:r>
        <w:rPr>
          <w:rtl/>
        </w:rPr>
        <w:t xml:space="preserve"> في منزله عندما وصل جنود من منطقة غرداية على متن عدة مركبات </w:t>
      </w:r>
      <w:proofErr w:type="gramStart"/>
      <w:r>
        <w:rPr>
          <w:rtl/>
        </w:rPr>
        <w:t>رسمية</w:t>
      </w:r>
      <w:r w:rsidRPr="006F28FC">
        <w:rPr>
          <w:vertAlign w:val="superscript"/>
          <w:rtl/>
        </w:rPr>
        <w:t>(</w:t>
      </w:r>
      <w:proofErr w:type="gramEnd"/>
      <w:r w:rsidRPr="00D83A61">
        <w:rPr>
          <w:rStyle w:val="FootnoteReference"/>
          <w:szCs w:val="22"/>
          <w:lang w:val="en-US"/>
        </w:rPr>
        <w:footnoteReference w:id="3"/>
      </w:r>
      <w:r w:rsidRPr="006F28FC">
        <w:rPr>
          <w:vertAlign w:val="superscript"/>
          <w:rtl/>
        </w:rPr>
        <w:t>)</w:t>
      </w:r>
      <w:r w:rsidR="00000BA0">
        <w:rPr>
          <w:rFonts w:hint="cs"/>
          <w:rtl/>
        </w:rPr>
        <w:t>.</w:t>
      </w:r>
      <w:r>
        <w:rPr>
          <w:rtl/>
        </w:rPr>
        <w:t xml:space="preserve"> وقاموا بمحاصرة وتفتيش منزله، قبل أن يعتقلوه ويقتادوه إلى منطقة غرداية </w:t>
      </w:r>
      <w:proofErr w:type="gramStart"/>
      <w:r>
        <w:rPr>
          <w:rtl/>
        </w:rPr>
        <w:t>العسكرية</w:t>
      </w:r>
      <w:r w:rsidRPr="006F28FC">
        <w:rPr>
          <w:vertAlign w:val="superscript"/>
          <w:rtl/>
        </w:rPr>
        <w:t>(</w:t>
      </w:r>
      <w:proofErr w:type="gramEnd"/>
      <w:r w:rsidRPr="00D83A61">
        <w:rPr>
          <w:rStyle w:val="FootnoteReference"/>
          <w:szCs w:val="22"/>
          <w:lang w:val="en-US"/>
        </w:rPr>
        <w:footnoteReference w:id="4"/>
      </w:r>
      <w:r w:rsidRPr="006F28FC">
        <w:rPr>
          <w:vertAlign w:val="superscript"/>
          <w:rtl/>
        </w:rPr>
        <w:t>)</w:t>
      </w:r>
      <w:r w:rsidR="00000BA0">
        <w:rPr>
          <w:rFonts w:hint="cs"/>
          <w:rtl/>
        </w:rPr>
        <w:t>.</w:t>
      </w:r>
    </w:p>
    <w:p w14:paraId="2D2C74E9" w14:textId="77777777" w:rsidR="006F28FC" w:rsidRPr="00000BA0" w:rsidRDefault="006F28FC" w:rsidP="006F28FC">
      <w:pPr>
        <w:pStyle w:val="SingleTxtGA"/>
        <w:rPr>
          <w:spacing w:val="-2"/>
        </w:rPr>
      </w:pPr>
      <w:r w:rsidRPr="00D83A61">
        <w:rPr>
          <w:rtl/>
        </w:rPr>
        <w:t>2</w:t>
      </w:r>
      <w:r>
        <w:rPr>
          <w:rtl/>
        </w:rPr>
        <w:t>-</w:t>
      </w:r>
      <w:r w:rsidRPr="00D83A61">
        <w:rPr>
          <w:rtl/>
        </w:rPr>
        <w:t>3</w:t>
      </w:r>
      <w:r>
        <w:rPr>
          <w:rtl/>
        </w:rPr>
        <w:tab/>
        <w:t xml:space="preserve">وفي </w:t>
      </w:r>
      <w:r w:rsidRPr="00D83A61">
        <w:rPr>
          <w:rtl/>
        </w:rPr>
        <w:t>17</w:t>
      </w:r>
      <w:r>
        <w:rPr>
          <w:rtl/>
        </w:rPr>
        <w:t xml:space="preserve"> و</w:t>
      </w:r>
      <w:r w:rsidRPr="00D83A61">
        <w:rPr>
          <w:rtl/>
        </w:rPr>
        <w:t>18</w:t>
      </w:r>
      <w:r>
        <w:rPr>
          <w:rtl/>
        </w:rPr>
        <w:t xml:space="preserve"> آذار/مارس </w:t>
      </w:r>
      <w:r w:rsidRPr="00D83A61">
        <w:rPr>
          <w:rtl/>
        </w:rPr>
        <w:t>1996</w:t>
      </w:r>
      <w:r>
        <w:rPr>
          <w:rtl/>
        </w:rPr>
        <w:t xml:space="preserve">، تمكنت صاحبة البلاغ من زيارة زوجها مرتين، ولا سيما مده </w:t>
      </w:r>
      <w:r w:rsidRPr="00000BA0">
        <w:rPr>
          <w:spacing w:val="-2"/>
          <w:rtl/>
        </w:rPr>
        <w:t>بأدوية لعلاج مرض السكري الذي كان يعاني منه. وأُبلغت صاحبة البلاغ في زيارتها التالية بأن زوجها نُقل</w:t>
      </w:r>
      <w:r>
        <w:rPr>
          <w:rtl/>
        </w:rPr>
        <w:t xml:space="preserve"> إلى ورقلة. وبعد ذهابها إلى ذلك المكان، أُبلغت بأنه لم يسجل قط وجود صادق </w:t>
      </w:r>
      <w:proofErr w:type="spellStart"/>
      <w:r>
        <w:rPr>
          <w:rtl/>
        </w:rPr>
        <w:t>الرسيوي</w:t>
      </w:r>
      <w:proofErr w:type="spellEnd"/>
      <w:r>
        <w:rPr>
          <w:rtl/>
        </w:rPr>
        <w:t xml:space="preserve"> هناك. وقد عادت عدة مرات إلى القطاع العسكري لغرداية من أجل الاستفسار عن مصير زوجها. وكان يؤكد لها في كل </w:t>
      </w:r>
      <w:r w:rsidRPr="00000BA0">
        <w:rPr>
          <w:spacing w:val="-2"/>
          <w:rtl/>
        </w:rPr>
        <w:t>مرة أنه لم يعد هناك كما أُمرت بعدم المجيء مجدداً. ولم تسمع صاحبة البلاغ أية أخبار عن زوجها منذئذ.</w:t>
      </w:r>
    </w:p>
    <w:p w14:paraId="1D8DEA36" w14:textId="46A52A88" w:rsidR="006F28FC" w:rsidRDefault="006F28FC" w:rsidP="006F28FC">
      <w:pPr>
        <w:pStyle w:val="SingleTxtGA"/>
      </w:pPr>
      <w:r w:rsidRPr="00D83A61">
        <w:rPr>
          <w:rtl/>
        </w:rPr>
        <w:t>2</w:t>
      </w:r>
      <w:r>
        <w:rPr>
          <w:rtl/>
        </w:rPr>
        <w:t>-</w:t>
      </w:r>
      <w:r w:rsidRPr="00D83A61">
        <w:rPr>
          <w:rtl/>
        </w:rPr>
        <w:t>4</w:t>
      </w:r>
      <w:r>
        <w:rPr>
          <w:rtl/>
        </w:rPr>
        <w:tab/>
      </w:r>
      <w:r w:rsidRPr="00000BA0">
        <w:rPr>
          <w:spacing w:val="-2"/>
          <w:rtl/>
        </w:rPr>
        <w:t xml:space="preserve">وقد قامت صاحبة البلاغ بمساعٍ عديدة لدى المؤسسات القضائية والإدارية الوطنية للحصول على معلومات بشأن حالة صادق </w:t>
      </w:r>
      <w:proofErr w:type="spellStart"/>
      <w:r w:rsidRPr="00000BA0">
        <w:rPr>
          <w:spacing w:val="-2"/>
          <w:rtl/>
        </w:rPr>
        <w:t>الرسيوي</w:t>
      </w:r>
      <w:proofErr w:type="spellEnd"/>
      <w:r w:rsidRPr="00000BA0">
        <w:rPr>
          <w:spacing w:val="-2"/>
          <w:rtl/>
        </w:rPr>
        <w:t xml:space="preserve">، بما في ذلك إرسال رسائل إلى مختلف الهيئات الإدارية </w:t>
      </w:r>
      <w:proofErr w:type="gramStart"/>
      <w:r w:rsidRPr="00000BA0">
        <w:rPr>
          <w:spacing w:val="-2"/>
          <w:rtl/>
        </w:rPr>
        <w:t>والحكومية</w:t>
      </w:r>
      <w:r w:rsidRPr="006F28FC">
        <w:rPr>
          <w:vertAlign w:val="superscript"/>
          <w:rtl/>
        </w:rPr>
        <w:t>(</w:t>
      </w:r>
      <w:proofErr w:type="gramEnd"/>
      <w:r w:rsidRPr="00D83A61">
        <w:rPr>
          <w:rStyle w:val="FootnoteReference"/>
          <w:szCs w:val="22"/>
          <w:lang w:val="en-US"/>
        </w:rPr>
        <w:footnoteReference w:id="5"/>
      </w:r>
      <w:r w:rsidRPr="006F28FC">
        <w:rPr>
          <w:vertAlign w:val="superscript"/>
          <w:rtl/>
        </w:rPr>
        <w:t>)</w:t>
      </w:r>
      <w:r w:rsidR="00000BA0">
        <w:rPr>
          <w:rFonts w:hint="cs"/>
          <w:rtl/>
        </w:rPr>
        <w:t>.</w:t>
      </w:r>
      <w:r>
        <w:rPr>
          <w:rtl/>
        </w:rPr>
        <w:t xml:space="preserve"> </w:t>
      </w:r>
      <w:r w:rsidRPr="00000BA0">
        <w:rPr>
          <w:spacing w:val="-2"/>
          <w:rtl/>
        </w:rPr>
        <w:t xml:space="preserve">وظلت تلك المساعي عديمة الجدوى. وهكذا، بعثت صاحبة البلاغ في </w:t>
      </w:r>
      <w:r w:rsidRPr="00D83A61">
        <w:rPr>
          <w:spacing w:val="-2"/>
          <w:rtl/>
        </w:rPr>
        <w:t>9</w:t>
      </w:r>
      <w:r w:rsidRPr="00000BA0">
        <w:rPr>
          <w:spacing w:val="-2"/>
          <w:rtl/>
        </w:rPr>
        <w:t xml:space="preserve"> حزيران/</w:t>
      </w:r>
      <w:proofErr w:type="gramStart"/>
      <w:r w:rsidRPr="00000BA0">
        <w:rPr>
          <w:spacing w:val="-2"/>
          <w:rtl/>
        </w:rPr>
        <w:t>يونيه</w:t>
      </w:r>
      <w:proofErr w:type="gramEnd"/>
      <w:r w:rsidRPr="00000BA0">
        <w:rPr>
          <w:spacing w:val="-2"/>
          <w:rtl/>
        </w:rPr>
        <w:t xml:space="preserve"> </w:t>
      </w:r>
      <w:r w:rsidRPr="00D83A61">
        <w:rPr>
          <w:spacing w:val="-2"/>
          <w:rtl/>
        </w:rPr>
        <w:t>1996</w:t>
      </w:r>
      <w:r w:rsidRPr="00000BA0">
        <w:rPr>
          <w:spacing w:val="-2"/>
          <w:rtl/>
        </w:rPr>
        <w:t xml:space="preserve"> رسالة إلى قائد</w:t>
      </w:r>
      <w:r>
        <w:rPr>
          <w:rtl/>
        </w:rPr>
        <w:t xml:space="preserve"> </w:t>
      </w:r>
      <w:r w:rsidRPr="00330C29">
        <w:rPr>
          <w:rtl/>
        </w:rPr>
        <w:t>القطاع العسكري في ورقلة تطلب منه فيها معلومات بشأن مصير زوجها، لكنها ظلت دون ردّ.</w:t>
      </w:r>
      <w:r w:rsidRPr="00000BA0">
        <w:rPr>
          <w:spacing w:val="-2"/>
          <w:rtl/>
        </w:rPr>
        <w:t xml:space="preserve"> وقدمت الطلب</w:t>
      </w:r>
      <w:r>
        <w:rPr>
          <w:rtl/>
        </w:rPr>
        <w:t xml:space="preserve"> نفسه إلى قائد القطاع العسكري في غرداية في </w:t>
      </w:r>
      <w:r w:rsidRPr="00D83A61">
        <w:rPr>
          <w:rtl/>
        </w:rPr>
        <w:t>1</w:t>
      </w:r>
      <w:r>
        <w:rPr>
          <w:rtl/>
        </w:rPr>
        <w:t xml:space="preserve"> تشرين الأول/أكتوبر </w:t>
      </w:r>
      <w:r w:rsidRPr="00D83A61">
        <w:rPr>
          <w:rtl/>
        </w:rPr>
        <w:t>1996</w:t>
      </w:r>
      <w:r>
        <w:rPr>
          <w:rtl/>
        </w:rPr>
        <w:t>، وبقي دون ردّ أيضاً.</w:t>
      </w:r>
    </w:p>
    <w:p w14:paraId="685ECBBE" w14:textId="77777777" w:rsidR="006F28FC" w:rsidRDefault="006F28FC" w:rsidP="006F28FC">
      <w:pPr>
        <w:pStyle w:val="SingleTxtGA"/>
      </w:pPr>
      <w:r w:rsidRPr="00D83A61">
        <w:rPr>
          <w:rtl/>
        </w:rPr>
        <w:t>2</w:t>
      </w:r>
      <w:r>
        <w:rPr>
          <w:rtl/>
        </w:rPr>
        <w:t>-</w:t>
      </w:r>
      <w:r w:rsidRPr="00D83A61">
        <w:rPr>
          <w:rtl/>
        </w:rPr>
        <w:t>5</w:t>
      </w:r>
      <w:r>
        <w:rPr>
          <w:rtl/>
        </w:rPr>
        <w:tab/>
        <w:t xml:space="preserve">وفي </w:t>
      </w:r>
      <w:r w:rsidRPr="00D83A61">
        <w:rPr>
          <w:rtl/>
        </w:rPr>
        <w:t>13</w:t>
      </w:r>
      <w:r>
        <w:rPr>
          <w:rtl/>
        </w:rPr>
        <w:t xml:space="preserve"> تشرين الأول/أكتوبر </w:t>
      </w:r>
      <w:r w:rsidRPr="00D83A61">
        <w:rPr>
          <w:rtl/>
        </w:rPr>
        <w:t>1997</w:t>
      </w:r>
      <w:r>
        <w:rPr>
          <w:rtl/>
        </w:rPr>
        <w:t xml:space="preserve"> و</w:t>
      </w:r>
      <w:r w:rsidRPr="00D83A61">
        <w:rPr>
          <w:rtl/>
        </w:rPr>
        <w:t>21</w:t>
      </w:r>
      <w:r>
        <w:rPr>
          <w:rtl/>
        </w:rPr>
        <w:t xml:space="preserve"> حزيران/</w:t>
      </w:r>
      <w:proofErr w:type="gramStart"/>
      <w:r>
        <w:rPr>
          <w:rtl/>
        </w:rPr>
        <w:t>يونيه</w:t>
      </w:r>
      <w:proofErr w:type="gramEnd"/>
      <w:r>
        <w:rPr>
          <w:rtl/>
        </w:rPr>
        <w:t xml:space="preserve"> </w:t>
      </w:r>
      <w:r w:rsidRPr="00D83A61">
        <w:rPr>
          <w:rtl/>
        </w:rPr>
        <w:t>1998</w:t>
      </w:r>
      <w:r>
        <w:rPr>
          <w:rtl/>
        </w:rPr>
        <w:t xml:space="preserve"> و</w:t>
      </w:r>
      <w:r w:rsidRPr="00D83A61">
        <w:rPr>
          <w:rtl/>
        </w:rPr>
        <w:t>20</w:t>
      </w:r>
      <w:r>
        <w:rPr>
          <w:rtl/>
        </w:rPr>
        <w:t xml:space="preserve"> أيلول/سبتمبر </w:t>
      </w:r>
      <w:r w:rsidRPr="00D83A61">
        <w:rPr>
          <w:rtl/>
        </w:rPr>
        <w:t>1998</w:t>
      </w:r>
      <w:r>
        <w:rPr>
          <w:rtl/>
        </w:rPr>
        <w:t xml:space="preserve"> </w:t>
      </w:r>
      <w:r w:rsidRPr="00FA2721">
        <w:rPr>
          <w:spacing w:val="-4"/>
          <w:rtl/>
        </w:rPr>
        <w:t>و</w:t>
      </w:r>
      <w:r w:rsidRPr="00D83A61">
        <w:rPr>
          <w:spacing w:val="-4"/>
          <w:rtl/>
        </w:rPr>
        <w:t>24</w:t>
      </w:r>
      <w:r w:rsidRPr="00FA2721">
        <w:rPr>
          <w:spacing w:val="-4"/>
          <w:rtl/>
        </w:rPr>
        <w:t xml:space="preserve"> تموز/يوليه </w:t>
      </w:r>
      <w:r w:rsidRPr="00D83A61">
        <w:rPr>
          <w:spacing w:val="-4"/>
          <w:rtl/>
        </w:rPr>
        <w:t>2000</w:t>
      </w:r>
      <w:r w:rsidRPr="00FA2721">
        <w:rPr>
          <w:spacing w:val="-4"/>
          <w:rtl/>
        </w:rPr>
        <w:t>، وجهت صاحبة البلاغ رسائل إلى وكيل الجمهورية لدى محكمة غرداية، دون جدوى.</w:t>
      </w:r>
      <w:r w:rsidRPr="00000BA0">
        <w:rPr>
          <w:spacing w:val="-2"/>
          <w:rtl/>
        </w:rPr>
        <w:t xml:space="preserve"> وفي </w:t>
      </w:r>
      <w:r w:rsidRPr="00D83A61">
        <w:rPr>
          <w:spacing w:val="-2"/>
          <w:rtl/>
        </w:rPr>
        <w:t>8</w:t>
      </w:r>
      <w:r w:rsidRPr="00000BA0">
        <w:rPr>
          <w:spacing w:val="-2"/>
          <w:rtl/>
        </w:rPr>
        <w:t xml:space="preserve"> تشرين الأول/أكتوبر </w:t>
      </w:r>
      <w:r w:rsidRPr="00D83A61">
        <w:rPr>
          <w:spacing w:val="-2"/>
          <w:rtl/>
        </w:rPr>
        <w:t>1996</w:t>
      </w:r>
      <w:r w:rsidRPr="00000BA0">
        <w:rPr>
          <w:spacing w:val="-2"/>
          <w:rtl/>
        </w:rPr>
        <w:t xml:space="preserve"> و</w:t>
      </w:r>
      <w:r w:rsidRPr="00D83A61">
        <w:rPr>
          <w:spacing w:val="-2"/>
          <w:rtl/>
        </w:rPr>
        <w:t>11</w:t>
      </w:r>
      <w:r w:rsidRPr="00000BA0">
        <w:rPr>
          <w:spacing w:val="-2"/>
          <w:rtl/>
        </w:rPr>
        <w:t xml:space="preserve"> أيار/مايو </w:t>
      </w:r>
      <w:r w:rsidRPr="00D83A61">
        <w:rPr>
          <w:spacing w:val="-2"/>
          <w:rtl/>
        </w:rPr>
        <w:t>1998</w:t>
      </w:r>
      <w:r w:rsidRPr="00000BA0">
        <w:rPr>
          <w:spacing w:val="-2"/>
          <w:rtl/>
        </w:rPr>
        <w:t xml:space="preserve"> و</w:t>
      </w:r>
      <w:r w:rsidRPr="00D83A61">
        <w:rPr>
          <w:spacing w:val="-2"/>
          <w:rtl/>
        </w:rPr>
        <w:t>24</w:t>
      </w:r>
      <w:r w:rsidRPr="00000BA0">
        <w:rPr>
          <w:spacing w:val="-2"/>
          <w:rtl/>
        </w:rPr>
        <w:t xml:space="preserve"> تموز/يوليه </w:t>
      </w:r>
      <w:r w:rsidRPr="00D83A61">
        <w:rPr>
          <w:spacing w:val="-2"/>
          <w:rtl/>
        </w:rPr>
        <w:t>2000</w:t>
      </w:r>
      <w:r w:rsidRPr="00000BA0">
        <w:rPr>
          <w:spacing w:val="-2"/>
          <w:rtl/>
        </w:rPr>
        <w:t>، راسلت صاحبة</w:t>
      </w:r>
      <w:r>
        <w:rPr>
          <w:rtl/>
        </w:rPr>
        <w:t xml:space="preserve"> البلاغ رئيس المرصد الوطني لحقوق الإنسان. وطلبت مساعدته لاستجلاء ظروف اختفاء زوجها.</w:t>
      </w:r>
    </w:p>
    <w:p w14:paraId="17BB25B9" w14:textId="0A643DE1" w:rsidR="006F28FC" w:rsidRDefault="006F28FC" w:rsidP="006F28FC">
      <w:pPr>
        <w:pStyle w:val="SingleTxtGA"/>
      </w:pPr>
      <w:r w:rsidRPr="00D83A61">
        <w:rPr>
          <w:rtl/>
        </w:rPr>
        <w:t>2</w:t>
      </w:r>
      <w:r>
        <w:rPr>
          <w:rtl/>
        </w:rPr>
        <w:t>-</w:t>
      </w:r>
      <w:r w:rsidRPr="00D83A61">
        <w:rPr>
          <w:rtl/>
        </w:rPr>
        <w:t>6</w:t>
      </w:r>
      <w:r>
        <w:rPr>
          <w:rtl/>
        </w:rPr>
        <w:tab/>
        <w:t xml:space="preserve">وفي </w:t>
      </w:r>
      <w:r w:rsidRPr="00D83A61">
        <w:rPr>
          <w:rtl/>
        </w:rPr>
        <w:t>12</w:t>
      </w:r>
      <w:r>
        <w:rPr>
          <w:rtl/>
        </w:rPr>
        <w:t xml:space="preserve"> نيسان/أبريل و</w:t>
      </w:r>
      <w:r w:rsidRPr="00D83A61">
        <w:rPr>
          <w:rtl/>
        </w:rPr>
        <w:t>20</w:t>
      </w:r>
      <w:r>
        <w:rPr>
          <w:rtl/>
        </w:rPr>
        <w:t xml:space="preserve"> حزيران/يونيه </w:t>
      </w:r>
      <w:r w:rsidRPr="00D83A61">
        <w:rPr>
          <w:rtl/>
        </w:rPr>
        <w:t>1998</w:t>
      </w:r>
      <w:r>
        <w:rPr>
          <w:rtl/>
        </w:rPr>
        <w:t xml:space="preserve">، وجهت صاحبة البلاغ رسائل إلى وسيط الجمهورية تطلب فيها تدخله لدى المؤسسات </w:t>
      </w:r>
      <w:proofErr w:type="gramStart"/>
      <w:r>
        <w:rPr>
          <w:rtl/>
        </w:rPr>
        <w:t>المعنية</w:t>
      </w:r>
      <w:r w:rsidRPr="006F28FC">
        <w:rPr>
          <w:vertAlign w:val="superscript"/>
          <w:rtl/>
        </w:rPr>
        <w:t>(</w:t>
      </w:r>
      <w:proofErr w:type="gramEnd"/>
      <w:r w:rsidRPr="00D83A61">
        <w:rPr>
          <w:rStyle w:val="FootnoteReference"/>
          <w:szCs w:val="22"/>
          <w:lang w:val="en-US"/>
        </w:rPr>
        <w:footnoteReference w:id="6"/>
      </w:r>
      <w:r w:rsidRPr="006F28FC">
        <w:rPr>
          <w:vertAlign w:val="superscript"/>
          <w:rtl/>
        </w:rPr>
        <w:t>)</w:t>
      </w:r>
      <w:r w:rsidR="00000BA0">
        <w:rPr>
          <w:rFonts w:hint="cs"/>
          <w:rtl/>
        </w:rPr>
        <w:t>.</w:t>
      </w:r>
      <w:r>
        <w:rPr>
          <w:rtl/>
        </w:rPr>
        <w:t xml:space="preserve"> ثم أرسلت في </w:t>
      </w:r>
      <w:r w:rsidRPr="00D83A61">
        <w:rPr>
          <w:rtl/>
        </w:rPr>
        <w:t>23</w:t>
      </w:r>
      <w:r>
        <w:rPr>
          <w:rtl/>
        </w:rPr>
        <w:t xml:space="preserve"> تشرين الأول/أكتوبر </w:t>
      </w:r>
      <w:r w:rsidRPr="00D83A61">
        <w:rPr>
          <w:rtl/>
        </w:rPr>
        <w:t>1999</w:t>
      </w:r>
      <w:r>
        <w:rPr>
          <w:rtl/>
        </w:rPr>
        <w:t xml:space="preserve"> </w:t>
      </w:r>
      <w:r w:rsidRPr="00000BA0">
        <w:rPr>
          <w:spacing w:val="-2"/>
          <w:rtl/>
        </w:rPr>
        <w:t>رسالة إلى وزيري الدفاع والعدل أوضحت فيها أنها لم تتلق أي ردّ من الإدارات التي قامت بمراسلتها وطلبت</w:t>
      </w:r>
      <w:r>
        <w:rPr>
          <w:rtl/>
        </w:rPr>
        <w:t xml:space="preserve"> فتح تحقيق بشأن اختفاء زوجها. وفي </w:t>
      </w:r>
      <w:r w:rsidRPr="00D83A61">
        <w:rPr>
          <w:rtl/>
        </w:rPr>
        <w:t>5</w:t>
      </w:r>
      <w:r>
        <w:rPr>
          <w:rtl/>
        </w:rPr>
        <w:t xml:space="preserve"> تشرين الثاني/نوفمبر </w:t>
      </w:r>
      <w:r w:rsidRPr="00D83A61">
        <w:rPr>
          <w:rtl/>
        </w:rPr>
        <w:t>2001</w:t>
      </w:r>
      <w:r>
        <w:rPr>
          <w:rtl/>
        </w:rPr>
        <w:t xml:space="preserve">، وجهت صاحبة البلاغ رسالتين إلى كل من رئيس الجمهورية ووزير الداخلية والجماعات المحلية، طالبة منهما مساعدتها. وفي </w:t>
      </w:r>
      <w:r w:rsidRPr="00D83A61">
        <w:rPr>
          <w:rtl/>
        </w:rPr>
        <w:t>16</w:t>
      </w:r>
      <w:r>
        <w:rPr>
          <w:rtl/>
        </w:rPr>
        <w:t xml:space="preserve"> آذار/</w:t>
      </w:r>
      <w:r w:rsidR="00000BA0">
        <w:rPr>
          <w:rFonts w:hint="cs"/>
          <w:rtl/>
        </w:rPr>
        <w:t xml:space="preserve"> </w:t>
      </w:r>
      <w:r w:rsidRPr="00000BA0">
        <w:rPr>
          <w:spacing w:val="-4"/>
          <w:rtl/>
        </w:rPr>
        <w:t xml:space="preserve">مارس </w:t>
      </w:r>
      <w:r w:rsidRPr="00D83A61">
        <w:rPr>
          <w:spacing w:val="-4"/>
          <w:rtl/>
        </w:rPr>
        <w:t>2002</w:t>
      </w:r>
      <w:r w:rsidRPr="00000BA0">
        <w:rPr>
          <w:spacing w:val="-4"/>
          <w:rtl/>
        </w:rPr>
        <w:t>، أوضحت اللجنة الوطنية الاستشارية لترقية حقوق الإنسان وحمايتها لصاحبة البلاغ أنه اتضح</w:t>
      </w:r>
      <w:r>
        <w:rPr>
          <w:rtl/>
        </w:rPr>
        <w:t xml:space="preserve"> بعد عمليات التفتيش التي قام بها درك غرداية أن أجهزة الأمن لم تعتقل صادق </w:t>
      </w:r>
      <w:proofErr w:type="spellStart"/>
      <w:proofErr w:type="gramStart"/>
      <w:r>
        <w:rPr>
          <w:rtl/>
        </w:rPr>
        <w:t>الرسيوي</w:t>
      </w:r>
      <w:proofErr w:type="spellEnd"/>
      <w:r w:rsidRPr="006F28FC">
        <w:rPr>
          <w:vertAlign w:val="superscript"/>
          <w:rtl/>
        </w:rPr>
        <w:t>(</w:t>
      </w:r>
      <w:proofErr w:type="gramEnd"/>
      <w:r w:rsidRPr="00D83A61">
        <w:rPr>
          <w:rStyle w:val="FootnoteReference"/>
          <w:szCs w:val="22"/>
          <w:lang w:val="en-US"/>
        </w:rPr>
        <w:footnoteReference w:id="7"/>
      </w:r>
      <w:r w:rsidRPr="006F28FC">
        <w:rPr>
          <w:vertAlign w:val="superscript"/>
          <w:rtl/>
        </w:rPr>
        <w:t>)</w:t>
      </w:r>
      <w:r w:rsidR="00000BA0">
        <w:rPr>
          <w:rFonts w:hint="cs"/>
          <w:rtl/>
        </w:rPr>
        <w:t>.</w:t>
      </w:r>
      <w:r>
        <w:rPr>
          <w:rtl/>
        </w:rPr>
        <w:t xml:space="preserve"> ثم راسلت صاحب البلاغ رئيس اللجنة في </w:t>
      </w:r>
      <w:r w:rsidRPr="00D83A61">
        <w:rPr>
          <w:rtl/>
        </w:rPr>
        <w:t>30</w:t>
      </w:r>
      <w:r>
        <w:rPr>
          <w:rtl/>
        </w:rPr>
        <w:t xml:space="preserve"> نيسان/أبريل </w:t>
      </w:r>
      <w:r w:rsidRPr="00D83A61">
        <w:rPr>
          <w:rtl/>
        </w:rPr>
        <w:t>2002</w:t>
      </w:r>
      <w:r>
        <w:rPr>
          <w:rtl/>
        </w:rPr>
        <w:t xml:space="preserve"> لتطلب منه مواصلة البحث.</w:t>
      </w:r>
    </w:p>
    <w:p w14:paraId="01A2DAB1" w14:textId="6D9E6632" w:rsidR="006F28FC" w:rsidRDefault="006F28FC" w:rsidP="006F28FC">
      <w:pPr>
        <w:pStyle w:val="SingleTxtGA"/>
      </w:pPr>
      <w:r w:rsidRPr="00D83A61">
        <w:rPr>
          <w:rtl/>
        </w:rPr>
        <w:t>2</w:t>
      </w:r>
      <w:r>
        <w:rPr>
          <w:rtl/>
        </w:rPr>
        <w:t>-</w:t>
      </w:r>
      <w:r w:rsidRPr="00D83A61">
        <w:rPr>
          <w:rtl/>
        </w:rPr>
        <w:t>7</w:t>
      </w:r>
      <w:r>
        <w:rPr>
          <w:rtl/>
        </w:rPr>
        <w:tab/>
        <w:t xml:space="preserve">ولم يُفتح أي تحقيق رغم ما بذلته صاحبة البلاغ من جهود. وتؤكد صاحبة البلاغ أنه لم يعد يجوز لها قانوناً اللجوء إلى هيئة قضائية، بعد صدور الأمر رقم </w:t>
      </w:r>
      <w:r w:rsidRPr="00D83A61">
        <w:rPr>
          <w:rtl/>
        </w:rPr>
        <w:t>06</w:t>
      </w:r>
      <w:r>
        <w:rPr>
          <w:rtl/>
        </w:rPr>
        <w:t>-</w:t>
      </w:r>
      <w:r w:rsidRPr="00D83A61">
        <w:rPr>
          <w:rtl/>
        </w:rPr>
        <w:t>01</w:t>
      </w:r>
      <w:r>
        <w:rPr>
          <w:rtl/>
        </w:rPr>
        <w:t xml:space="preserve"> المؤرخ </w:t>
      </w:r>
      <w:r w:rsidRPr="00D83A61">
        <w:rPr>
          <w:rtl/>
        </w:rPr>
        <w:t>27</w:t>
      </w:r>
      <w:r>
        <w:rPr>
          <w:rtl/>
        </w:rPr>
        <w:t xml:space="preserve"> شباط/فبراير </w:t>
      </w:r>
      <w:r w:rsidRPr="00D83A61">
        <w:rPr>
          <w:rtl/>
        </w:rPr>
        <w:t>2006</w:t>
      </w:r>
      <w:r>
        <w:rPr>
          <w:rtl/>
        </w:rPr>
        <w:t xml:space="preserve"> المتضمِّن تنفيذ ميثاق السلم والمصالحة الوطنية. وعليه، فقد أصبحت سبل الانتصاف المحلية منعدمة كلياً، وهي لم تكن مفيدة وفعالة على أي حال. وينص ميثاق السلم والمصالحة الوطنية على أنه "لا يخول لأي كان، في الجزائر أو خارجها، أن يتذرع بما خلفته المأساة الوطنية من جراح</w:t>
      </w:r>
      <w:r w:rsidR="00507C1E">
        <w:rPr>
          <w:rtl/>
        </w:rPr>
        <w:t xml:space="preserve"> </w:t>
      </w:r>
      <w:r>
        <w:rPr>
          <w:rtl/>
        </w:rPr>
        <w:t>أو يعتد به بقصد المساس بمؤسسات الجمهورية الجزائرية الديمقراطية الشعبية، أو زعزعة أركان الدولة، أو المساس بشرف جميع أعوانها الذين أخلصوا في خدمتها، أو تشويه صورة الجزائر على الصعيد الدولي"</w:t>
      </w:r>
      <w:r w:rsidR="00507C1E">
        <w:rPr>
          <w:rtl/>
        </w:rPr>
        <w:t>،</w:t>
      </w:r>
      <w:r>
        <w:rPr>
          <w:rtl/>
        </w:rPr>
        <w:t xml:space="preserve"> ويرفض "كل زعم يقصد به تحميل مسؤولية ظاهرة الاختفاء المتعمد للدولة". وينص ميثاق السلم والمصالحة الوطنية على أن "الأفعال الجديرة بالعقاب المقترفة من قبل أعوان الدولة الذين تمت معاقبتهم من قبل العدالة كلما ثبتت تلك الأفعال، لا يمكن أن تكون مدعاة لإلقاء الشبهة على جميع قوات النظام العام التي اضطلعت بواجبها بمؤازرة من المواطنين وخدمة للوطن".</w:t>
      </w:r>
    </w:p>
    <w:p w14:paraId="5FAC596B" w14:textId="42046E4C" w:rsidR="006F28FC" w:rsidRDefault="006F28FC" w:rsidP="006F28FC">
      <w:pPr>
        <w:pStyle w:val="SingleTxtGA"/>
      </w:pPr>
      <w:r w:rsidRPr="00D83A61">
        <w:rPr>
          <w:rtl/>
        </w:rPr>
        <w:t>2</w:t>
      </w:r>
      <w:r>
        <w:rPr>
          <w:rtl/>
        </w:rPr>
        <w:t>-</w:t>
      </w:r>
      <w:r w:rsidRPr="00D83A61">
        <w:rPr>
          <w:rtl/>
        </w:rPr>
        <w:t>8</w:t>
      </w:r>
      <w:r>
        <w:rPr>
          <w:rtl/>
        </w:rPr>
        <w:tab/>
        <w:t xml:space="preserve">وتفيد صاحبة البلاغ بأن الأمر رقم </w:t>
      </w:r>
      <w:r w:rsidRPr="00D83A61">
        <w:rPr>
          <w:rtl/>
        </w:rPr>
        <w:t>06</w:t>
      </w:r>
      <w:r>
        <w:rPr>
          <w:rtl/>
        </w:rPr>
        <w:t>-</w:t>
      </w:r>
      <w:r w:rsidRPr="00D83A61">
        <w:rPr>
          <w:rtl/>
        </w:rPr>
        <w:t>01</w:t>
      </w:r>
      <w:r>
        <w:rPr>
          <w:rtl/>
        </w:rPr>
        <w:t xml:space="preserve"> يحظر اللجوء إلى القضاء تحت طائلة الملاحقة الجنائية، وهو ما يعفي الضحايا من واجب استنفاد سبل الانتصاف المحلية. ويحظر هذا الأمر تقديم أي شكوى بشأن الاختفاء أو الجرائم الأخرى، وتنص المادة </w:t>
      </w:r>
      <w:r w:rsidRPr="00D83A61">
        <w:rPr>
          <w:rtl/>
        </w:rPr>
        <w:t>45</w:t>
      </w:r>
      <w:r>
        <w:rPr>
          <w:rtl/>
        </w:rPr>
        <w:t xml:space="preserve"> منه على أنه "لا يجوز الشروع في أي متابعة، بصورة فردية أو جماعية، في حق أفراد قوى الدفاع والأمن للجمهورية، بجميع أسلاكها، بسبب أعمال نفذت من أجل حماية الأشخاص والممتلكات، ونجدة الأمة، والحفاظ على مؤسسات الجمهورية الجزائرية الديمقراطية الشعبية". ويجب على السلطة القضائية المختصة التصريح بعدم قبول كل إبلاغ أو شكوى، بموجب هذا الحكم. وبالإضافة إلى ذلك، تنص المادة </w:t>
      </w:r>
      <w:r w:rsidRPr="00D83A61">
        <w:rPr>
          <w:rtl/>
        </w:rPr>
        <w:t>46</w:t>
      </w:r>
      <w:r>
        <w:rPr>
          <w:rtl/>
        </w:rPr>
        <w:t xml:space="preserve"> من الأمر نفسه على ما يلي: "يعاقب بالحبس من ثلاث (</w:t>
      </w:r>
      <w:r w:rsidRPr="00D83A61">
        <w:rPr>
          <w:rtl/>
        </w:rPr>
        <w:t>3</w:t>
      </w:r>
      <w:r>
        <w:rPr>
          <w:rtl/>
        </w:rPr>
        <w:t>) سنوات إلى خمس (</w:t>
      </w:r>
      <w:r w:rsidRPr="00D83A61">
        <w:rPr>
          <w:rtl/>
        </w:rPr>
        <w:t>5</w:t>
      </w:r>
      <w:r>
        <w:rPr>
          <w:rtl/>
        </w:rPr>
        <w:t xml:space="preserve">) سنوات وبغرامة من </w:t>
      </w:r>
      <w:r w:rsidRPr="00D83A61">
        <w:rPr>
          <w:rtl/>
        </w:rPr>
        <w:t>000</w:t>
      </w:r>
      <w:r>
        <w:rPr>
          <w:rtl/>
        </w:rPr>
        <w:t xml:space="preserve"> </w:t>
      </w:r>
      <w:r w:rsidRPr="00D83A61">
        <w:rPr>
          <w:rtl/>
        </w:rPr>
        <w:t>250</w:t>
      </w:r>
      <w:r>
        <w:rPr>
          <w:rtl/>
        </w:rPr>
        <w:t xml:space="preserve"> إلى </w:t>
      </w:r>
      <w:r w:rsidRPr="00D83A61">
        <w:rPr>
          <w:rtl/>
        </w:rPr>
        <w:t>000</w:t>
      </w:r>
      <w:r>
        <w:rPr>
          <w:rtl/>
        </w:rPr>
        <w:t xml:space="preserve"> </w:t>
      </w:r>
      <w:r w:rsidRPr="00D83A61">
        <w:rPr>
          <w:rtl/>
        </w:rPr>
        <w:t>500</w:t>
      </w:r>
      <w:r>
        <w:rPr>
          <w:rtl/>
        </w:rPr>
        <w:t xml:space="preserve"> [دينار جزائري] كل من تذرع بما خلفته المأساة الوطنية من جراح</w:t>
      </w:r>
      <w:r w:rsidR="00507C1E">
        <w:rPr>
          <w:rtl/>
        </w:rPr>
        <w:t xml:space="preserve"> </w:t>
      </w:r>
      <w:r>
        <w:rPr>
          <w:rtl/>
        </w:rPr>
        <w:t xml:space="preserve">أو اعتد به، من خلال تصريحاته أو كتاباته أو أي عمل آخر، بقصد المساس بمؤسسات الجمهورية الجزائرية الديمقراطية الشعبية، أو زعزعة أركان الدولة، </w:t>
      </w:r>
      <w:r w:rsidRPr="00330C29">
        <w:rPr>
          <w:spacing w:val="-2"/>
          <w:rtl/>
        </w:rPr>
        <w:t>أو</w:t>
      </w:r>
      <w:r w:rsidR="00330C29" w:rsidRPr="00330C29">
        <w:rPr>
          <w:rFonts w:hint="cs"/>
          <w:spacing w:val="-2"/>
          <w:rtl/>
        </w:rPr>
        <w:t> </w:t>
      </w:r>
      <w:r w:rsidRPr="00330C29">
        <w:rPr>
          <w:spacing w:val="-2"/>
          <w:rtl/>
        </w:rPr>
        <w:t>المساس بشرف جميع أعوانها الذين أخلصوا في خدمتها، أو تشويه صورة الجزائر على الصعيد الدولي".</w:t>
      </w:r>
      <w:r>
        <w:rPr>
          <w:rtl/>
        </w:rPr>
        <w:t xml:space="preserve"> وتباشر النيابة العامة المتابعات الجزائية تلقائياً. وفي حالة العود، تضاعف العقوبة المنصوص عليها في هذه المادة". </w:t>
      </w:r>
    </w:p>
    <w:p w14:paraId="71EF42A6" w14:textId="7BE35035" w:rsidR="006F28FC" w:rsidRDefault="006F28FC" w:rsidP="006F28FC">
      <w:pPr>
        <w:pStyle w:val="SingleTxtGA"/>
      </w:pPr>
      <w:r w:rsidRPr="00D83A61">
        <w:rPr>
          <w:rtl/>
        </w:rPr>
        <w:t>2</w:t>
      </w:r>
      <w:r>
        <w:rPr>
          <w:rtl/>
        </w:rPr>
        <w:t>-</w:t>
      </w:r>
      <w:r w:rsidRPr="00D83A61">
        <w:rPr>
          <w:rtl/>
        </w:rPr>
        <w:t>9</w:t>
      </w:r>
      <w:r>
        <w:rPr>
          <w:rtl/>
        </w:rPr>
        <w:tab/>
        <w:t xml:space="preserve">وتضيف صاحبة البلاغ أن هذا الأمر هو بمثابة عفو فعلي عن الجرائم المرتكبة خلال العقد </w:t>
      </w:r>
      <w:r w:rsidRPr="00FA2721">
        <w:rPr>
          <w:spacing w:val="-2"/>
          <w:rtl/>
        </w:rPr>
        <w:t>الماضي، بما فيها أشد الجرائم خطورة، مثل الاختفاء القسري. وهو يمنع أيضاً اللجوء إلى القضاء لاستجلاء</w:t>
      </w:r>
      <w:r>
        <w:rPr>
          <w:rtl/>
        </w:rPr>
        <w:t xml:space="preserve"> مصير الضحايا، تحت طائلة </w:t>
      </w:r>
      <w:proofErr w:type="gramStart"/>
      <w:r>
        <w:rPr>
          <w:rtl/>
        </w:rPr>
        <w:t>الحبس</w:t>
      </w:r>
      <w:r w:rsidRPr="006F28FC">
        <w:rPr>
          <w:vertAlign w:val="superscript"/>
          <w:rtl/>
        </w:rPr>
        <w:t>(</w:t>
      </w:r>
      <w:proofErr w:type="gramEnd"/>
      <w:r w:rsidRPr="00D83A61">
        <w:rPr>
          <w:rStyle w:val="FootnoteReference"/>
          <w:szCs w:val="22"/>
          <w:lang w:val="en-US"/>
        </w:rPr>
        <w:footnoteReference w:id="8"/>
      </w:r>
      <w:r w:rsidRPr="006F28FC">
        <w:rPr>
          <w:vertAlign w:val="superscript"/>
          <w:rtl/>
        </w:rPr>
        <w:t>)</w:t>
      </w:r>
      <w:r w:rsidR="00000BA0">
        <w:rPr>
          <w:rFonts w:hint="cs"/>
          <w:rtl/>
        </w:rPr>
        <w:t>.</w:t>
      </w:r>
      <w:r>
        <w:rPr>
          <w:rtl/>
        </w:rPr>
        <w:t xml:space="preserve"> ومن الواضح أن السلطات الجزائرية، بما فيها السلطات القضائية، ترفض إثبات مسؤولية أجهزة الأمن، التي يُزعم أن أعوانها متورطون في اختفاء صادق </w:t>
      </w:r>
      <w:proofErr w:type="spellStart"/>
      <w:r>
        <w:rPr>
          <w:rtl/>
        </w:rPr>
        <w:t>الرسيوي</w:t>
      </w:r>
      <w:proofErr w:type="spellEnd"/>
      <w:r>
        <w:rPr>
          <w:rtl/>
        </w:rPr>
        <w:t xml:space="preserve"> قسراً. وهذا</w:t>
      </w:r>
      <w:r w:rsidR="00FA2721">
        <w:rPr>
          <w:rFonts w:hint="cs"/>
          <w:rtl/>
        </w:rPr>
        <w:t> </w:t>
      </w:r>
      <w:r>
        <w:rPr>
          <w:rtl/>
        </w:rPr>
        <w:t>الرفض يعوق فعالية سبل الانتصاف التي لجأت إليها أسرته.</w:t>
      </w:r>
    </w:p>
    <w:p w14:paraId="02DCCB60" w14:textId="42A69D81" w:rsidR="006F28FC" w:rsidRPr="00D83A61" w:rsidRDefault="006F28FC" w:rsidP="00000BA0">
      <w:pPr>
        <w:pStyle w:val="H23GA"/>
      </w:pPr>
      <w:r w:rsidRPr="00D83A61">
        <w:rPr>
          <w:rtl/>
        </w:rPr>
        <w:tab/>
      </w:r>
      <w:r w:rsidRPr="00D83A61">
        <w:rPr>
          <w:rtl/>
        </w:rPr>
        <w:tab/>
        <w:t>الشكوى</w:t>
      </w:r>
    </w:p>
    <w:p w14:paraId="6B72D918" w14:textId="77777777" w:rsidR="006F28FC" w:rsidRDefault="006F28FC" w:rsidP="006F28FC">
      <w:pPr>
        <w:pStyle w:val="SingleTxtGA"/>
      </w:pPr>
      <w:r w:rsidRPr="00D83A61">
        <w:rPr>
          <w:spacing w:val="-4"/>
          <w:rtl/>
        </w:rPr>
        <w:t>3</w:t>
      </w:r>
      <w:r w:rsidRPr="00000BA0">
        <w:rPr>
          <w:spacing w:val="-4"/>
          <w:rtl/>
        </w:rPr>
        <w:t>-</w:t>
      </w:r>
      <w:r w:rsidRPr="00D83A61">
        <w:rPr>
          <w:spacing w:val="-4"/>
          <w:rtl/>
        </w:rPr>
        <w:t>1</w:t>
      </w:r>
      <w:r w:rsidRPr="00000BA0">
        <w:rPr>
          <w:spacing w:val="-4"/>
          <w:rtl/>
        </w:rPr>
        <w:tab/>
        <w:t xml:space="preserve">تدعي صاحبة البلاغ أن زوجها عُرّضَ للاختفاء قسري من قبل عناصر قوات الأمن الجزائرية، وبالتالي يمكن أن يعزى ذلك إلى الدولة الطرف، وفقاً لتعريف حالات الاختفاء القسري الوارد في المادة </w:t>
      </w:r>
      <w:r w:rsidRPr="00D83A61">
        <w:rPr>
          <w:spacing w:val="-4"/>
          <w:rtl/>
        </w:rPr>
        <w:t>7</w:t>
      </w:r>
      <w:r w:rsidRPr="00000BA0">
        <w:rPr>
          <w:spacing w:val="-4"/>
          <w:rtl/>
        </w:rPr>
        <w:t>(</w:t>
      </w:r>
      <w:r w:rsidRPr="00D83A61">
        <w:rPr>
          <w:spacing w:val="-4"/>
          <w:rtl/>
        </w:rPr>
        <w:t>2</w:t>
      </w:r>
      <w:r w:rsidRPr="00000BA0">
        <w:rPr>
          <w:spacing w:val="-4"/>
          <w:rtl/>
        </w:rPr>
        <w:t xml:space="preserve">)(ط) </w:t>
      </w:r>
      <w:r>
        <w:rPr>
          <w:rtl/>
        </w:rPr>
        <w:t xml:space="preserve">من نظام روما الأساسي للمحكمة الجنائية الدولية والمادة </w:t>
      </w:r>
      <w:r w:rsidRPr="00D83A61">
        <w:rPr>
          <w:rtl/>
        </w:rPr>
        <w:t>2</w:t>
      </w:r>
      <w:r>
        <w:rPr>
          <w:rtl/>
        </w:rPr>
        <w:t xml:space="preserve"> من الاتفاقية الدولية لحماية جميع الأشخاص من الاختفاء القسري. وعلى الرغم من أن العهد لا يتضمن حكماً محدداً يشير صراحةً إلى حالات الاختفاء القسري، فإن هذه الممارسة تنطوي على انتهاكات للحق في الحياة، والحق في عدم التعرض للتعذيب وغيره من ضروب المعاملة أو العقوبة القاسية أو اللاإنسانية أو المهينة، والحق في الحرية والأمن الشخصي. </w:t>
      </w:r>
      <w:r w:rsidRPr="00000BA0">
        <w:rPr>
          <w:spacing w:val="-2"/>
          <w:rtl/>
        </w:rPr>
        <w:t xml:space="preserve">وتدعي صاحبة البلاغ، في هذه القضية، أن الدولة الطرف انتهكت المواد </w:t>
      </w:r>
      <w:r w:rsidRPr="00D83A61">
        <w:rPr>
          <w:spacing w:val="-2"/>
          <w:rtl/>
        </w:rPr>
        <w:t>6</w:t>
      </w:r>
      <w:r w:rsidRPr="00000BA0">
        <w:rPr>
          <w:spacing w:val="-2"/>
          <w:rtl/>
        </w:rPr>
        <w:t>(</w:t>
      </w:r>
      <w:r w:rsidRPr="00D83A61">
        <w:rPr>
          <w:spacing w:val="-2"/>
          <w:rtl/>
        </w:rPr>
        <w:t>1</w:t>
      </w:r>
      <w:r w:rsidRPr="00000BA0">
        <w:rPr>
          <w:spacing w:val="-2"/>
          <w:rtl/>
        </w:rPr>
        <w:t>) و</w:t>
      </w:r>
      <w:r w:rsidRPr="00D83A61">
        <w:rPr>
          <w:spacing w:val="-2"/>
          <w:rtl/>
        </w:rPr>
        <w:t>7</w:t>
      </w:r>
      <w:r w:rsidRPr="00000BA0">
        <w:rPr>
          <w:spacing w:val="-2"/>
          <w:rtl/>
        </w:rPr>
        <w:t xml:space="preserve"> و</w:t>
      </w:r>
      <w:r w:rsidRPr="00D83A61">
        <w:rPr>
          <w:spacing w:val="-2"/>
          <w:rtl/>
        </w:rPr>
        <w:t>9</w:t>
      </w:r>
      <w:r w:rsidRPr="00000BA0">
        <w:rPr>
          <w:spacing w:val="-2"/>
          <w:rtl/>
        </w:rPr>
        <w:t>(</w:t>
      </w:r>
      <w:r w:rsidRPr="00D83A61">
        <w:rPr>
          <w:spacing w:val="-2"/>
          <w:rtl/>
        </w:rPr>
        <w:t>1</w:t>
      </w:r>
      <w:r w:rsidRPr="00000BA0">
        <w:rPr>
          <w:spacing w:val="-2"/>
          <w:rtl/>
        </w:rPr>
        <w:t xml:space="preserve"> إلى </w:t>
      </w:r>
      <w:r w:rsidRPr="00D83A61">
        <w:rPr>
          <w:spacing w:val="-2"/>
          <w:rtl/>
        </w:rPr>
        <w:t>4</w:t>
      </w:r>
      <w:r w:rsidRPr="00000BA0">
        <w:rPr>
          <w:spacing w:val="-2"/>
          <w:rtl/>
        </w:rPr>
        <w:t>) و</w:t>
      </w:r>
      <w:r w:rsidRPr="00D83A61">
        <w:rPr>
          <w:spacing w:val="-2"/>
          <w:rtl/>
        </w:rPr>
        <w:t>10</w:t>
      </w:r>
      <w:r w:rsidRPr="00000BA0">
        <w:rPr>
          <w:spacing w:val="-2"/>
          <w:rtl/>
        </w:rPr>
        <w:t>(</w:t>
      </w:r>
      <w:r w:rsidRPr="00D83A61">
        <w:rPr>
          <w:spacing w:val="-2"/>
          <w:rtl/>
        </w:rPr>
        <w:t>1</w:t>
      </w:r>
      <w:r w:rsidRPr="00000BA0">
        <w:rPr>
          <w:spacing w:val="-2"/>
          <w:rtl/>
        </w:rPr>
        <w:t>)</w:t>
      </w:r>
      <w:r>
        <w:rPr>
          <w:rtl/>
        </w:rPr>
        <w:t xml:space="preserve"> و</w:t>
      </w:r>
      <w:r w:rsidRPr="00D83A61">
        <w:rPr>
          <w:rtl/>
        </w:rPr>
        <w:t>16</w:t>
      </w:r>
      <w:r>
        <w:rPr>
          <w:rtl/>
        </w:rPr>
        <w:t xml:space="preserve"> و</w:t>
      </w:r>
      <w:r w:rsidRPr="00D83A61">
        <w:rPr>
          <w:rtl/>
        </w:rPr>
        <w:t>23</w:t>
      </w:r>
      <w:r>
        <w:rPr>
          <w:rtl/>
        </w:rPr>
        <w:t>(</w:t>
      </w:r>
      <w:r w:rsidRPr="00D83A61">
        <w:rPr>
          <w:rtl/>
        </w:rPr>
        <w:t>1</w:t>
      </w:r>
      <w:r>
        <w:rPr>
          <w:rtl/>
        </w:rPr>
        <w:t xml:space="preserve">)، فضلاً عن المادة </w:t>
      </w:r>
      <w:r w:rsidRPr="00D83A61">
        <w:rPr>
          <w:rtl/>
        </w:rPr>
        <w:t>2</w:t>
      </w:r>
      <w:r>
        <w:rPr>
          <w:rtl/>
        </w:rPr>
        <w:t>(</w:t>
      </w:r>
      <w:r w:rsidRPr="00D83A61">
        <w:rPr>
          <w:rtl/>
        </w:rPr>
        <w:t>2</w:t>
      </w:r>
      <w:r>
        <w:rPr>
          <w:rtl/>
        </w:rPr>
        <w:t xml:space="preserve">)، مقروءة بالاقتران مع المادتين </w:t>
      </w:r>
      <w:r w:rsidRPr="00D83A61">
        <w:rPr>
          <w:rtl/>
        </w:rPr>
        <w:t>2</w:t>
      </w:r>
      <w:r>
        <w:rPr>
          <w:rtl/>
        </w:rPr>
        <w:t>(</w:t>
      </w:r>
      <w:r w:rsidRPr="00D83A61">
        <w:rPr>
          <w:rtl/>
        </w:rPr>
        <w:t>3</w:t>
      </w:r>
      <w:r>
        <w:rPr>
          <w:rtl/>
        </w:rPr>
        <w:t>) و</w:t>
      </w:r>
      <w:r w:rsidRPr="00D83A61">
        <w:rPr>
          <w:rtl/>
        </w:rPr>
        <w:t>19</w:t>
      </w:r>
      <w:r>
        <w:rPr>
          <w:rtl/>
        </w:rPr>
        <w:t xml:space="preserve"> من العهد.</w:t>
      </w:r>
    </w:p>
    <w:p w14:paraId="2FFF68E8" w14:textId="103DC25C" w:rsidR="006F28FC" w:rsidRDefault="006F28FC" w:rsidP="006F28FC">
      <w:pPr>
        <w:pStyle w:val="SingleTxtGA"/>
      </w:pPr>
      <w:r w:rsidRPr="00D83A61">
        <w:rPr>
          <w:rtl/>
        </w:rPr>
        <w:t>3</w:t>
      </w:r>
      <w:r>
        <w:rPr>
          <w:rtl/>
        </w:rPr>
        <w:t>-</w:t>
      </w:r>
      <w:r w:rsidRPr="00D83A61">
        <w:rPr>
          <w:rtl/>
        </w:rPr>
        <w:t>2</w:t>
      </w:r>
      <w:r>
        <w:rPr>
          <w:rtl/>
        </w:rPr>
        <w:tab/>
      </w:r>
      <w:r w:rsidRPr="00000BA0">
        <w:rPr>
          <w:spacing w:val="-2"/>
          <w:rtl/>
        </w:rPr>
        <w:t>وتُذكِّر صاحبة البلاغ بالطابع الأسمى للحق في الحياة، وبالالتزام الواقع على عاتق الدولة الطرف</w:t>
      </w:r>
      <w:r>
        <w:rPr>
          <w:rtl/>
        </w:rPr>
        <w:t xml:space="preserve"> ليس فقط بالامتناع عن سلب الشخص حقه في الحياة سلباً تعسفياً، ولكن أيضاً بمنع أي فعل ينطوي على </w:t>
      </w:r>
      <w:r w:rsidRPr="00000BA0">
        <w:rPr>
          <w:spacing w:val="-2"/>
          <w:rtl/>
        </w:rPr>
        <w:t xml:space="preserve">انتهاك للمادة </w:t>
      </w:r>
      <w:r w:rsidRPr="00D83A61">
        <w:rPr>
          <w:spacing w:val="-2"/>
          <w:rtl/>
        </w:rPr>
        <w:t>6</w:t>
      </w:r>
      <w:r w:rsidRPr="00000BA0">
        <w:rPr>
          <w:spacing w:val="-2"/>
          <w:rtl/>
        </w:rPr>
        <w:t xml:space="preserve"> من العهد وبالمعاقبة عليه، ولو كان الجاني أو الجناة من أعوان الدولة. وتُذكِّر صاحبة البلاغ أيضاً بالالتزام الواقع على عاتق الدولة بحماية حياة الأشخاص الموجودين رهن الاحتجاز، وبالتحقيق</w:t>
      </w:r>
      <w:r>
        <w:rPr>
          <w:rtl/>
        </w:rPr>
        <w:t xml:space="preserve"> في جميع حالات الاختفاء، إذ من شأن عدم التحقيق أن يشكل في حد ذاته انتهاكاً للمادة </w:t>
      </w:r>
      <w:r w:rsidRPr="00D83A61">
        <w:rPr>
          <w:rtl/>
        </w:rPr>
        <w:t>6</w:t>
      </w:r>
      <w:r>
        <w:rPr>
          <w:rtl/>
        </w:rPr>
        <w:t xml:space="preserve">، بما في ذلك </w:t>
      </w:r>
      <w:r w:rsidRPr="00330C29">
        <w:rPr>
          <w:spacing w:val="2"/>
          <w:rtl/>
        </w:rPr>
        <w:t>حين لا يكون أعوان الدولة مسؤولين عن الاختفاء. وتؤكد صاحبة البلاغ أن زوجها قد اعتُقل</w:t>
      </w:r>
      <w:r>
        <w:rPr>
          <w:rtl/>
        </w:rPr>
        <w:t xml:space="preserve"> في آذار</w:t>
      </w:r>
      <w:proofErr w:type="gramStart"/>
      <w:r>
        <w:rPr>
          <w:rtl/>
        </w:rPr>
        <w:t>/</w:t>
      </w:r>
      <w:r w:rsidR="00000BA0">
        <w:rPr>
          <w:rFonts w:hint="cs"/>
          <w:rtl/>
        </w:rPr>
        <w:t xml:space="preserve">  </w:t>
      </w:r>
      <w:r>
        <w:rPr>
          <w:rtl/>
        </w:rPr>
        <w:t>مارس</w:t>
      </w:r>
      <w:proofErr w:type="gramEnd"/>
      <w:r>
        <w:rPr>
          <w:rtl/>
        </w:rPr>
        <w:t xml:space="preserve"> </w:t>
      </w:r>
      <w:r w:rsidRPr="00D83A61">
        <w:rPr>
          <w:rtl/>
        </w:rPr>
        <w:t>1996</w:t>
      </w:r>
      <w:r>
        <w:rPr>
          <w:rtl/>
        </w:rPr>
        <w:t xml:space="preserve"> وأخذته عناصر قوات الأمن إلى مركز غرداية العسكري. وجاء اختفاؤه بعد رفضه الانضمام إلى الميليشيات الجزائرية التي كانت تقوم بعمليات تحت رقابة الدولة. ولم يسمع أقارب صادق </w:t>
      </w:r>
      <w:proofErr w:type="spellStart"/>
      <w:r>
        <w:rPr>
          <w:rtl/>
        </w:rPr>
        <w:t>الرسيوي</w:t>
      </w:r>
      <w:proofErr w:type="spellEnd"/>
      <w:r>
        <w:rPr>
          <w:rtl/>
        </w:rPr>
        <w:t xml:space="preserve"> أية أخبار عنه منذ أكثر من عشرين عاماً. كما أن فرصهم في العثور عليه على قيد الحياة ضئيلة. وقد تكون وفاته حدثت أثناء الاحتجاز، نتيجة للتعذيب أو للإعدام خارج نطاق القانون. وكان يجب ذكر احتجاز صادق </w:t>
      </w:r>
      <w:proofErr w:type="spellStart"/>
      <w:r>
        <w:rPr>
          <w:rtl/>
        </w:rPr>
        <w:t>الرسيوي</w:t>
      </w:r>
      <w:proofErr w:type="spellEnd"/>
      <w:r>
        <w:rPr>
          <w:rtl/>
        </w:rPr>
        <w:t xml:space="preserve"> في السجلات، وفقاً لأحكام قانون الإجراءات الجزائية الجزائري. وهذه العوامل، مقترنة بعدم فتح تحقيق، تشهد على عدم وفاء الدولة الطرف بالتزاماتها، مما يشكل انتهاكاً للمادة </w:t>
      </w:r>
      <w:r w:rsidRPr="00D83A61">
        <w:rPr>
          <w:rtl/>
        </w:rPr>
        <w:t>6</w:t>
      </w:r>
      <w:r>
        <w:rPr>
          <w:rtl/>
        </w:rPr>
        <w:t>(</w:t>
      </w:r>
      <w:r w:rsidRPr="00D83A61">
        <w:rPr>
          <w:rtl/>
        </w:rPr>
        <w:t>1</w:t>
      </w:r>
      <w:r>
        <w:rPr>
          <w:rtl/>
        </w:rPr>
        <w:t>) من العهد.</w:t>
      </w:r>
    </w:p>
    <w:p w14:paraId="74684825" w14:textId="792444C4" w:rsidR="006F28FC" w:rsidRDefault="006F28FC" w:rsidP="006F28FC">
      <w:pPr>
        <w:pStyle w:val="SingleTxtGA"/>
      </w:pPr>
      <w:r w:rsidRPr="00D83A61">
        <w:rPr>
          <w:rtl/>
        </w:rPr>
        <w:t>3</w:t>
      </w:r>
      <w:r>
        <w:rPr>
          <w:rtl/>
        </w:rPr>
        <w:t>-</w:t>
      </w:r>
      <w:r w:rsidRPr="00D83A61">
        <w:rPr>
          <w:rtl/>
        </w:rPr>
        <w:t>3</w:t>
      </w:r>
      <w:r>
        <w:rPr>
          <w:rtl/>
        </w:rPr>
        <w:tab/>
      </w:r>
      <w:r w:rsidRPr="00000BA0">
        <w:rPr>
          <w:spacing w:val="-4"/>
          <w:rtl/>
        </w:rPr>
        <w:t>وتُشير صاحبة البلاغ أيضاً إلى أن الحق في عدم التعرض للتعذيب أو للمعاملة أو العقوبة القاسية</w:t>
      </w:r>
      <w:r>
        <w:rPr>
          <w:rtl/>
        </w:rPr>
        <w:t xml:space="preserve"> أو اللاإنسانية أو المهينة حق مطلق يجب التقيد به. ويهيِّئ الاحتجاز مع منع الاتصال تلقائيا بيئة مواتية لممارسة التعذيب، لأن الفرد يكون محروماً من حماية القانون. وهي تذكِّر باجتهادات اللجنة التي أشارت إلى أن هذه الممارسة يمكن أن تشكل في حد ذاتها انتهاكاً للمادة </w:t>
      </w:r>
      <w:r w:rsidRPr="00D83A61">
        <w:rPr>
          <w:rtl/>
        </w:rPr>
        <w:t>7</w:t>
      </w:r>
      <w:r>
        <w:rPr>
          <w:rtl/>
        </w:rPr>
        <w:t xml:space="preserve"> من العهد. وأشارت صاحبة </w:t>
      </w:r>
      <w:r w:rsidRPr="00000BA0">
        <w:rPr>
          <w:spacing w:val="-2"/>
          <w:rtl/>
        </w:rPr>
        <w:t>البلاغ إلى التزام الدولة الطرف بفتح تحقيق بمجرد تقديم ادعاء بحدوث احتجاز سرّي أو بمجرد علمها بذلك</w:t>
      </w:r>
      <w:r>
        <w:rPr>
          <w:rtl/>
        </w:rPr>
        <w:t xml:space="preserve">. وقد سبق </w:t>
      </w:r>
      <w:r w:rsidRPr="00000BA0">
        <w:rPr>
          <w:spacing w:val="-4"/>
          <w:rtl/>
        </w:rPr>
        <w:t>للجنة أن شددت على أن قوانين العفو تتعارض عموماً مع واجب الدول المتمثل في التحقيق مع أي شخص</w:t>
      </w:r>
      <w:r>
        <w:rPr>
          <w:rtl/>
        </w:rPr>
        <w:t xml:space="preserve"> </w:t>
      </w:r>
      <w:r w:rsidRPr="00000BA0">
        <w:rPr>
          <w:spacing w:val="-4"/>
          <w:rtl/>
        </w:rPr>
        <w:t xml:space="preserve">مسؤول عن الاحتجاز مع منع الاتصال </w:t>
      </w:r>
      <w:proofErr w:type="gramStart"/>
      <w:r w:rsidRPr="00000BA0">
        <w:rPr>
          <w:spacing w:val="-4"/>
          <w:rtl/>
        </w:rPr>
        <w:t>ومعاقبته</w:t>
      </w:r>
      <w:r w:rsidRPr="006F28FC">
        <w:rPr>
          <w:vertAlign w:val="superscript"/>
          <w:rtl/>
        </w:rPr>
        <w:t>(</w:t>
      </w:r>
      <w:proofErr w:type="gramEnd"/>
      <w:r w:rsidRPr="00D83A61">
        <w:rPr>
          <w:rStyle w:val="FootnoteReference"/>
          <w:szCs w:val="22"/>
          <w:lang w:val="en-US"/>
        </w:rPr>
        <w:footnoteReference w:id="9"/>
      </w:r>
      <w:r w:rsidRPr="006F28FC">
        <w:rPr>
          <w:vertAlign w:val="superscript"/>
          <w:rtl/>
        </w:rPr>
        <w:t>)</w:t>
      </w:r>
      <w:r w:rsidR="00000BA0">
        <w:rPr>
          <w:rFonts w:hint="cs"/>
          <w:rtl/>
        </w:rPr>
        <w:t>.</w:t>
      </w:r>
      <w:r>
        <w:rPr>
          <w:rtl/>
        </w:rPr>
        <w:t xml:space="preserve"> وتؤكد صاحبة البلاغ أن احتجاز صادق </w:t>
      </w:r>
      <w:proofErr w:type="spellStart"/>
      <w:r>
        <w:rPr>
          <w:rtl/>
        </w:rPr>
        <w:t>الرسيوي</w:t>
      </w:r>
      <w:proofErr w:type="spellEnd"/>
      <w:r>
        <w:rPr>
          <w:rtl/>
        </w:rPr>
        <w:t xml:space="preserve"> ظل يكتسي طابع السرية لأكثر من عشرين عاماً، في غياب التسجيل أو أي إجراء آخر كان يمكن أن تُحاط الأسرة علماً به. ولم تتمكن أسرته من الاتصال به خلال تلك الفترة، وخاصة منذ </w:t>
      </w:r>
      <w:r w:rsidRPr="00D83A61">
        <w:rPr>
          <w:rtl/>
        </w:rPr>
        <w:t>18</w:t>
      </w:r>
      <w:r>
        <w:rPr>
          <w:rtl/>
        </w:rPr>
        <w:t xml:space="preserve"> آذار/مارس </w:t>
      </w:r>
      <w:r w:rsidRPr="00D83A61">
        <w:rPr>
          <w:rtl/>
        </w:rPr>
        <w:t>1996</w:t>
      </w:r>
      <w:r>
        <w:rPr>
          <w:rtl/>
        </w:rPr>
        <w:t xml:space="preserve">. </w:t>
      </w:r>
      <w:r w:rsidRPr="00000BA0">
        <w:rPr>
          <w:spacing w:val="-4"/>
          <w:rtl/>
        </w:rPr>
        <w:t>وبالنسبة للشخص المحتجز، تمثّل استحالة الاتصال بالعالم الخارجي التي تطبع الاحتجاز مع منع الاتصال،</w:t>
      </w:r>
      <w:r>
        <w:rPr>
          <w:rtl/>
        </w:rPr>
        <w:t xml:space="preserve"> معاناة نفسية جسيمة ومن الخطورة بحيث يمكن أن تندرج ضمن نطاق المادة </w:t>
      </w:r>
      <w:r w:rsidRPr="00D83A61">
        <w:rPr>
          <w:rtl/>
        </w:rPr>
        <w:t>7</w:t>
      </w:r>
      <w:r>
        <w:rPr>
          <w:rtl/>
        </w:rPr>
        <w:t xml:space="preserve"> من العهد.</w:t>
      </w:r>
      <w:r w:rsidR="00507C1E">
        <w:rPr>
          <w:rtl/>
        </w:rPr>
        <w:t xml:space="preserve"> و</w:t>
      </w:r>
      <w:r>
        <w:rPr>
          <w:rtl/>
        </w:rPr>
        <w:t xml:space="preserve">من ثم فإن صاحبة البلاغ تؤكد أن صادق </w:t>
      </w:r>
      <w:proofErr w:type="spellStart"/>
      <w:r>
        <w:rPr>
          <w:rtl/>
        </w:rPr>
        <w:t>الرسيوي</w:t>
      </w:r>
      <w:proofErr w:type="spellEnd"/>
      <w:r>
        <w:rPr>
          <w:rtl/>
        </w:rPr>
        <w:t xml:space="preserve"> هو ضحية انتهاك المادة </w:t>
      </w:r>
      <w:r w:rsidRPr="00D83A61">
        <w:rPr>
          <w:rtl/>
        </w:rPr>
        <w:t>7</w:t>
      </w:r>
      <w:r>
        <w:rPr>
          <w:rtl/>
        </w:rPr>
        <w:t xml:space="preserve">. وتشكل حالة الكرب والشدّة وعدم التيقّن الناجمة عن الاختفاء وعدم اعتراف السلطات وعدم إجراء تحقيق في ذلك لأكثر من عشرين عاماً حالة معاملة لا إنسانية، وبالتالي انتهاكاً للمادة </w:t>
      </w:r>
      <w:r w:rsidRPr="00D83A61">
        <w:rPr>
          <w:rtl/>
        </w:rPr>
        <w:t>7</w:t>
      </w:r>
      <w:r>
        <w:rPr>
          <w:rtl/>
        </w:rPr>
        <w:t xml:space="preserve">، مقروءة بمفردها وبالاقتران مع المادة </w:t>
      </w:r>
      <w:r w:rsidRPr="00D83A61">
        <w:rPr>
          <w:rtl/>
        </w:rPr>
        <w:t>2</w:t>
      </w:r>
      <w:r>
        <w:rPr>
          <w:rtl/>
        </w:rPr>
        <w:t>(</w:t>
      </w:r>
      <w:r w:rsidRPr="00D83A61">
        <w:rPr>
          <w:rtl/>
        </w:rPr>
        <w:t>3</w:t>
      </w:r>
      <w:r>
        <w:rPr>
          <w:rtl/>
        </w:rPr>
        <w:t>) من العهد.</w:t>
      </w:r>
    </w:p>
    <w:p w14:paraId="5FA4B8AA" w14:textId="0E38D297" w:rsidR="006F28FC" w:rsidRPr="00D83A61" w:rsidRDefault="006F28FC" w:rsidP="006F28FC">
      <w:pPr>
        <w:pStyle w:val="SingleTxtGA"/>
        <w:rPr>
          <w:spacing w:val="-2"/>
        </w:rPr>
      </w:pPr>
      <w:r w:rsidRPr="00D83A61">
        <w:rPr>
          <w:rtl/>
        </w:rPr>
        <w:t>3</w:t>
      </w:r>
      <w:r>
        <w:rPr>
          <w:rtl/>
        </w:rPr>
        <w:t>-</w:t>
      </w:r>
      <w:r w:rsidRPr="00D83A61">
        <w:rPr>
          <w:rtl/>
        </w:rPr>
        <w:t>4</w:t>
      </w:r>
      <w:r>
        <w:rPr>
          <w:rtl/>
        </w:rPr>
        <w:tab/>
        <w:t xml:space="preserve">وتُذكّر صاحبة البلاغ كذلك بأن حق الفرد في الحرية وفي الأمان على شخصه المعترف به في المادة </w:t>
      </w:r>
      <w:r w:rsidRPr="00D83A61">
        <w:rPr>
          <w:rtl/>
        </w:rPr>
        <w:t>9</w:t>
      </w:r>
      <w:r>
        <w:rPr>
          <w:rtl/>
        </w:rPr>
        <w:t xml:space="preserve"> من العهد، يحظر الاعتقال والاحتجاز التعسفيين ويفرض على الدولة الطرف توفير عدد من </w:t>
      </w:r>
      <w:r w:rsidRPr="00000BA0">
        <w:rPr>
          <w:spacing w:val="-4"/>
          <w:rtl/>
        </w:rPr>
        <w:t xml:space="preserve">الضمانات الإجرائية. وفيما يتعلق بالمادة </w:t>
      </w:r>
      <w:r w:rsidRPr="00D83A61">
        <w:rPr>
          <w:spacing w:val="-4"/>
          <w:rtl/>
        </w:rPr>
        <w:t>9</w:t>
      </w:r>
      <w:r w:rsidRPr="00000BA0">
        <w:rPr>
          <w:spacing w:val="-4"/>
          <w:rtl/>
        </w:rPr>
        <w:t xml:space="preserve"> من العهد، تدّعي صاحبة البلاغ أن الدولة الطرف انتهكت حقوق</w:t>
      </w:r>
      <w:r>
        <w:rPr>
          <w:rtl/>
        </w:rPr>
        <w:t xml:space="preserve"> </w:t>
      </w:r>
      <w:r w:rsidRPr="00000BA0">
        <w:rPr>
          <w:spacing w:val="-4"/>
          <w:rtl/>
        </w:rPr>
        <w:t xml:space="preserve">زوجها في إطار: (أ) الفقرة </w:t>
      </w:r>
      <w:r w:rsidRPr="00D83A61">
        <w:rPr>
          <w:spacing w:val="-4"/>
          <w:rtl/>
        </w:rPr>
        <w:t>1</w:t>
      </w:r>
      <w:r w:rsidRPr="00000BA0">
        <w:rPr>
          <w:spacing w:val="-4"/>
          <w:rtl/>
        </w:rPr>
        <w:t xml:space="preserve">، لأن صادق </w:t>
      </w:r>
      <w:proofErr w:type="spellStart"/>
      <w:r w:rsidRPr="00000BA0">
        <w:rPr>
          <w:spacing w:val="-4"/>
          <w:rtl/>
        </w:rPr>
        <w:t>الرسيوي</w:t>
      </w:r>
      <w:proofErr w:type="spellEnd"/>
      <w:r w:rsidRPr="00000BA0">
        <w:rPr>
          <w:spacing w:val="-4"/>
          <w:rtl/>
        </w:rPr>
        <w:t xml:space="preserve"> هو ضحية للحرمان التعسفي من الحرية من طرف الشرطة</w:t>
      </w:r>
      <w:r>
        <w:rPr>
          <w:rtl/>
        </w:rPr>
        <w:t xml:space="preserve"> العسكرية؛ و(ب) الفقرة </w:t>
      </w:r>
      <w:r w:rsidRPr="00D83A61">
        <w:rPr>
          <w:rtl/>
        </w:rPr>
        <w:t>2</w:t>
      </w:r>
      <w:r>
        <w:rPr>
          <w:rtl/>
        </w:rPr>
        <w:t xml:space="preserve">، لأن الموظفين الذين ألقوا القبض على صادق </w:t>
      </w:r>
      <w:proofErr w:type="spellStart"/>
      <w:r>
        <w:rPr>
          <w:rtl/>
        </w:rPr>
        <w:t>الرسيوي</w:t>
      </w:r>
      <w:proofErr w:type="spellEnd"/>
      <w:r>
        <w:rPr>
          <w:rtl/>
        </w:rPr>
        <w:t xml:space="preserve"> لم يذكروا أسباب ذلك، ولم يقدموا أي أمر ذي صلة، ولأنه لم يتلقّ قط أي إعلام رسمي منذ إلقاء القبض عليه؛ و(ج) الفقرة </w:t>
      </w:r>
      <w:r w:rsidRPr="00D83A61">
        <w:rPr>
          <w:rtl/>
        </w:rPr>
        <w:t>3</w:t>
      </w:r>
      <w:r>
        <w:rPr>
          <w:rtl/>
        </w:rPr>
        <w:t xml:space="preserve">، لأن صادق </w:t>
      </w:r>
      <w:proofErr w:type="spellStart"/>
      <w:r>
        <w:rPr>
          <w:rtl/>
        </w:rPr>
        <w:t>الرسيوي</w:t>
      </w:r>
      <w:proofErr w:type="spellEnd"/>
      <w:r>
        <w:rPr>
          <w:rtl/>
        </w:rPr>
        <w:t xml:space="preserve"> لم يُعرض على قاضٍ مختص بعد إلقاء القبض عليه، ولا حوكم ولا أُفرج عنه، ولأن السنوات العشرين التي انقضت منذ إلقاء القبض عليه تجاوزت بكثير المدة القصوى للاحتجاز لدى الشرطة</w:t>
      </w:r>
      <w:r w:rsidR="00507C1E">
        <w:rPr>
          <w:rtl/>
        </w:rPr>
        <w:t xml:space="preserve"> </w:t>
      </w:r>
      <w:r w:rsidRPr="00FA2721">
        <w:rPr>
          <w:spacing w:val="-4"/>
          <w:rtl/>
        </w:rPr>
        <w:t>المتمثلة في اثني عشر يوماً والمنصوص عليها في قانون الإجراءات الجنائية بالنسبة للجرائم المتصلة بالإرهاب</w:t>
      </w:r>
      <w:r>
        <w:rPr>
          <w:rtl/>
        </w:rPr>
        <w:t xml:space="preserve">؛ </w:t>
      </w:r>
      <w:r w:rsidRPr="00D83A61">
        <w:rPr>
          <w:spacing w:val="-2"/>
          <w:rtl/>
        </w:rPr>
        <w:t xml:space="preserve">و(د) الفقرة 4، لأن صادق </w:t>
      </w:r>
      <w:proofErr w:type="spellStart"/>
      <w:r w:rsidRPr="00D83A61">
        <w:rPr>
          <w:spacing w:val="-2"/>
          <w:rtl/>
        </w:rPr>
        <w:t>الرسيوي</w:t>
      </w:r>
      <w:proofErr w:type="spellEnd"/>
      <w:r w:rsidRPr="00D83A61">
        <w:rPr>
          <w:spacing w:val="-2"/>
          <w:rtl/>
        </w:rPr>
        <w:t xml:space="preserve"> لم يتمكّن إطلاقاً من الطعن في قانونية احتجازه، نظراً إلى كونه مستثنى من حماية القانون.</w:t>
      </w:r>
    </w:p>
    <w:p w14:paraId="4D4D2A19" w14:textId="77777777" w:rsidR="006F28FC" w:rsidRDefault="006F28FC" w:rsidP="006F28FC">
      <w:pPr>
        <w:pStyle w:val="SingleTxtGA"/>
      </w:pPr>
      <w:r w:rsidRPr="00D83A61">
        <w:rPr>
          <w:rtl/>
        </w:rPr>
        <w:t>3</w:t>
      </w:r>
      <w:r>
        <w:rPr>
          <w:rtl/>
        </w:rPr>
        <w:t>-</w:t>
      </w:r>
      <w:r w:rsidRPr="00D83A61">
        <w:rPr>
          <w:rtl/>
        </w:rPr>
        <w:t>5</w:t>
      </w:r>
      <w:r w:rsidRPr="00000BA0">
        <w:rPr>
          <w:spacing w:val="-4"/>
          <w:rtl/>
        </w:rPr>
        <w:tab/>
        <w:t>وتُشير صاحبة البلاغ أيضاً إلى الطابع الأساسي والعالمي للمبدأ الذي مفاده "يعامل جميع المحرومين</w:t>
      </w:r>
      <w:r>
        <w:rPr>
          <w:rtl/>
        </w:rPr>
        <w:t xml:space="preserve"> </w:t>
      </w:r>
      <w:r w:rsidRPr="00000BA0">
        <w:rPr>
          <w:spacing w:val="-2"/>
          <w:rtl/>
        </w:rPr>
        <w:t xml:space="preserve">من حريتهم معاملة إنسانية، تحترم الكرامة الأصيلة في الشخص الإنساني"، كما ورد ذلك في المادة </w:t>
      </w:r>
      <w:r w:rsidRPr="00D83A61">
        <w:rPr>
          <w:spacing w:val="-2"/>
          <w:rtl/>
        </w:rPr>
        <w:t>10</w:t>
      </w:r>
      <w:r w:rsidRPr="00000BA0">
        <w:rPr>
          <w:spacing w:val="-2"/>
          <w:rtl/>
        </w:rPr>
        <w:t>(</w:t>
      </w:r>
      <w:r w:rsidRPr="00D83A61">
        <w:rPr>
          <w:spacing w:val="-2"/>
          <w:rtl/>
        </w:rPr>
        <w:t>1</w:t>
      </w:r>
      <w:r w:rsidRPr="00000BA0">
        <w:rPr>
          <w:spacing w:val="-2"/>
          <w:rtl/>
        </w:rPr>
        <w:t>)</w:t>
      </w:r>
      <w:r>
        <w:rPr>
          <w:rtl/>
        </w:rPr>
        <w:t xml:space="preserve"> </w:t>
      </w:r>
      <w:r w:rsidRPr="00000BA0">
        <w:rPr>
          <w:spacing w:val="-2"/>
          <w:rtl/>
        </w:rPr>
        <w:t xml:space="preserve">من العهد. وقد حُرِم صادق </w:t>
      </w:r>
      <w:proofErr w:type="spellStart"/>
      <w:r w:rsidRPr="00000BA0">
        <w:rPr>
          <w:spacing w:val="-2"/>
          <w:rtl/>
        </w:rPr>
        <w:t>الرسيوي</w:t>
      </w:r>
      <w:proofErr w:type="spellEnd"/>
      <w:r w:rsidRPr="00000BA0">
        <w:rPr>
          <w:spacing w:val="-2"/>
          <w:rtl/>
        </w:rPr>
        <w:t xml:space="preserve"> من أي اتصال بالعالم الخارجي منذ نقله من غرداية إلى مكان احتجاز</w:t>
      </w:r>
      <w:r>
        <w:rPr>
          <w:rtl/>
        </w:rPr>
        <w:t xml:space="preserve"> </w:t>
      </w:r>
      <w:r w:rsidRPr="00000BA0">
        <w:rPr>
          <w:spacing w:val="-2"/>
          <w:rtl/>
        </w:rPr>
        <w:t>مجهول. ويتسبب الاحتجاز مع منع الاتصال بطبيعته في معاناة تتسم بما يكفي من الخطورة لجعلها توصف</w:t>
      </w:r>
      <w:r>
        <w:rPr>
          <w:rtl/>
        </w:rPr>
        <w:t xml:space="preserve"> بأنها أعمال تعذيب، بل إنه يتيح أيضاً ممارسة الأفعال </w:t>
      </w:r>
      <w:proofErr w:type="spellStart"/>
      <w:r>
        <w:rPr>
          <w:rtl/>
        </w:rPr>
        <w:t>اللا</w:t>
      </w:r>
      <w:proofErr w:type="spellEnd"/>
      <w:r>
        <w:rPr>
          <w:rtl/>
        </w:rPr>
        <w:t xml:space="preserve"> إنسانية. ولأن صادق </w:t>
      </w:r>
      <w:proofErr w:type="spellStart"/>
      <w:r>
        <w:rPr>
          <w:rtl/>
        </w:rPr>
        <w:t>الرسيوي</w:t>
      </w:r>
      <w:proofErr w:type="spellEnd"/>
      <w:r>
        <w:rPr>
          <w:rtl/>
        </w:rPr>
        <w:t xml:space="preserve"> تعرّض لمعاملة قاسية أو لا إنسانية أو مهينة، بما يشكّل انتهاكاً للمادة </w:t>
      </w:r>
      <w:r w:rsidRPr="00D83A61">
        <w:rPr>
          <w:rtl/>
        </w:rPr>
        <w:t>7</w:t>
      </w:r>
      <w:r>
        <w:rPr>
          <w:rtl/>
        </w:rPr>
        <w:t xml:space="preserve"> من العهد، فإنه كان بالأحرى ضحية انتهاك الفقرة </w:t>
      </w:r>
      <w:r w:rsidRPr="00D83A61">
        <w:rPr>
          <w:rtl/>
        </w:rPr>
        <w:t>1</w:t>
      </w:r>
      <w:r>
        <w:rPr>
          <w:rtl/>
        </w:rPr>
        <w:t xml:space="preserve"> من المادة </w:t>
      </w:r>
      <w:r w:rsidRPr="00D83A61">
        <w:rPr>
          <w:rtl/>
        </w:rPr>
        <w:t>10</w:t>
      </w:r>
      <w:r>
        <w:rPr>
          <w:rtl/>
        </w:rPr>
        <w:t xml:space="preserve"> لأن المعاملة القاسية أو اللاإنسانية أو المهينة تتعارض بطبيعتها مع احترام الكرامة الأصيلة في الشخص الإنساني.</w:t>
      </w:r>
    </w:p>
    <w:p w14:paraId="2454E0D8" w14:textId="56ECA186" w:rsidR="006F28FC" w:rsidRDefault="006F28FC" w:rsidP="006F28FC">
      <w:pPr>
        <w:pStyle w:val="SingleTxtGA"/>
      </w:pPr>
      <w:r w:rsidRPr="00D83A61">
        <w:rPr>
          <w:rtl/>
        </w:rPr>
        <w:t>3</w:t>
      </w:r>
      <w:r>
        <w:rPr>
          <w:rtl/>
        </w:rPr>
        <w:t>-</w:t>
      </w:r>
      <w:r w:rsidRPr="00D83A61">
        <w:rPr>
          <w:rtl/>
        </w:rPr>
        <w:t>6</w:t>
      </w:r>
      <w:r>
        <w:rPr>
          <w:rtl/>
        </w:rPr>
        <w:tab/>
      </w:r>
      <w:r w:rsidRPr="00000BA0">
        <w:rPr>
          <w:spacing w:val="-4"/>
          <w:rtl/>
        </w:rPr>
        <w:t>وتُذكِّر صاحبة البلاغ كذلك بأن لكل فرد الحق في أن يُعتَرف له بشخصيته القانونية. وتحيل صاحبة</w:t>
      </w:r>
      <w:r>
        <w:rPr>
          <w:rtl/>
        </w:rPr>
        <w:t xml:space="preserve"> البلاغ، في هذا الصدد، إلى الملاحظات الختامية للجنة بشأن التقرير الدوري الثاني للجزائر المقدم بموجب المادة </w:t>
      </w:r>
      <w:r w:rsidRPr="00D83A61">
        <w:rPr>
          <w:rtl/>
        </w:rPr>
        <w:t>40</w:t>
      </w:r>
      <w:r>
        <w:rPr>
          <w:rtl/>
        </w:rPr>
        <w:t xml:space="preserve"> من العهد، التي مفادها أن الأشخاص المختفين، الذين لا يزالون على قيد الحياة ويخضعون للاحتجاز مع منع الاتصال، يُنتهك حقهم في أن يُعترف لهم بالشخصية القانونية، على النحو المكرس في المادة </w:t>
      </w:r>
      <w:r w:rsidRPr="00D83A61">
        <w:rPr>
          <w:rtl/>
        </w:rPr>
        <w:t>16</w:t>
      </w:r>
      <w:r>
        <w:rPr>
          <w:rtl/>
        </w:rPr>
        <w:t xml:space="preserve"> من </w:t>
      </w:r>
      <w:proofErr w:type="gramStart"/>
      <w:r>
        <w:rPr>
          <w:rtl/>
        </w:rPr>
        <w:t>العهد</w:t>
      </w:r>
      <w:r w:rsidRPr="006F28FC">
        <w:rPr>
          <w:vertAlign w:val="superscript"/>
          <w:rtl/>
        </w:rPr>
        <w:t>(</w:t>
      </w:r>
      <w:proofErr w:type="gramEnd"/>
      <w:r w:rsidRPr="00D83A61">
        <w:rPr>
          <w:rStyle w:val="FootnoteReference"/>
          <w:szCs w:val="22"/>
          <w:lang w:val="en-US"/>
        </w:rPr>
        <w:footnoteReference w:id="10"/>
      </w:r>
      <w:r w:rsidRPr="006F28FC">
        <w:rPr>
          <w:vertAlign w:val="superscript"/>
          <w:rtl/>
        </w:rPr>
        <w:t>)</w:t>
      </w:r>
      <w:r w:rsidR="00FA2721">
        <w:rPr>
          <w:rFonts w:hint="cs"/>
          <w:rtl/>
        </w:rPr>
        <w:t>.</w:t>
      </w:r>
      <w:r>
        <w:rPr>
          <w:rtl/>
        </w:rPr>
        <w:t xml:space="preserve"> وبناء عليه، يشكل احتجاز صادق </w:t>
      </w:r>
      <w:proofErr w:type="spellStart"/>
      <w:r>
        <w:rPr>
          <w:rtl/>
        </w:rPr>
        <w:t>الرسيوي</w:t>
      </w:r>
      <w:proofErr w:type="spellEnd"/>
      <w:r>
        <w:rPr>
          <w:rtl/>
        </w:rPr>
        <w:t xml:space="preserve"> مع منع الاتصال انتهاكاً من جانب الدولة الطرف للمادة </w:t>
      </w:r>
      <w:r w:rsidRPr="00D83A61">
        <w:rPr>
          <w:rtl/>
        </w:rPr>
        <w:t>16</w:t>
      </w:r>
      <w:r>
        <w:rPr>
          <w:rtl/>
        </w:rPr>
        <w:t xml:space="preserve"> من العهد.</w:t>
      </w:r>
    </w:p>
    <w:p w14:paraId="67427730" w14:textId="77777777" w:rsidR="006F28FC" w:rsidRDefault="006F28FC" w:rsidP="006F28FC">
      <w:pPr>
        <w:pStyle w:val="SingleTxtGA"/>
      </w:pPr>
      <w:r w:rsidRPr="00D83A61">
        <w:rPr>
          <w:rtl/>
        </w:rPr>
        <w:t>3</w:t>
      </w:r>
      <w:r>
        <w:rPr>
          <w:rtl/>
        </w:rPr>
        <w:t>-</w:t>
      </w:r>
      <w:r w:rsidRPr="00D83A61">
        <w:rPr>
          <w:rtl/>
        </w:rPr>
        <w:t>7</w:t>
      </w:r>
      <w:r>
        <w:rPr>
          <w:rtl/>
        </w:rPr>
        <w:tab/>
        <w:t xml:space="preserve">وإذ تُشير صاحبة البلاغ إلى أن الفقرة </w:t>
      </w:r>
      <w:r w:rsidRPr="00D83A61">
        <w:rPr>
          <w:rtl/>
        </w:rPr>
        <w:t>1</w:t>
      </w:r>
      <w:r>
        <w:rPr>
          <w:rtl/>
        </w:rPr>
        <w:t xml:space="preserve"> من المادة </w:t>
      </w:r>
      <w:r w:rsidRPr="00D83A61">
        <w:rPr>
          <w:rtl/>
        </w:rPr>
        <w:t>23</w:t>
      </w:r>
      <w:r>
        <w:rPr>
          <w:rtl/>
        </w:rPr>
        <w:t xml:space="preserve"> من العهد تنصّ على الحق في حماية الأسرة، فإنها تدفع بأن اختفاء صادق </w:t>
      </w:r>
      <w:proofErr w:type="spellStart"/>
      <w:r>
        <w:rPr>
          <w:rtl/>
        </w:rPr>
        <w:t>الرسيوي</w:t>
      </w:r>
      <w:proofErr w:type="spellEnd"/>
      <w:r>
        <w:rPr>
          <w:rtl/>
        </w:rPr>
        <w:t xml:space="preserve"> قد حرم أسرته من والد وزوج، وهو يشكّل من ثم انتهاكاً لتلك المادة.</w:t>
      </w:r>
    </w:p>
    <w:p w14:paraId="7BE35988" w14:textId="77777777" w:rsidR="006F28FC" w:rsidRDefault="006F28FC" w:rsidP="006F28FC">
      <w:pPr>
        <w:pStyle w:val="SingleTxtGA"/>
      </w:pPr>
      <w:r w:rsidRPr="00D83A61">
        <w:rPr>
          <w:rtl/>
        </w:rPr>
        <w:t>3</w:t>
      </w:r>
      <w:r>
        <w:rPr>
          <w:rtl/>
        </w:rPr>
        <w:t>-</w:t>
      </w:r>
      <w:r w:rsidRPr="00D83A61">
        <w:rPr>
          <w:rtl/>
        </w:rPr>
        <w:t>8</w:t>
      </w:r>
      <w:r>
        <w:rPr>
          <w:rtl/>
        </w:rPr>
        <w:tab/>
        <w:t xml:space="preserve">وتُذكِّر صاحبة البلاغ بأن المادة </w:t>
      </w:r>
      <w:r w:rsidRPr="00D83A61">
        <w:rPr>
          <w:rtl/>
        </w:rPr>
        <w:t>2</w:t>
      </w:r>
      <w:r>
        <w:rPr>
          <w:rtl/>
        </w:rPr>
        <w:t>(</w:t>
      </w:r>
      <w:r w:rsidRPr="00D83A61">
        <w:rPr>
          <w:rtl/>
        </w:rPr>
        <w:t>3</w:t>
      </w:r>
      <w:r>
        <w:rPr>
          <w:rtl/>
        </w:rPr>
        <w:t xml:space="preserve">) من العهد تضمن إمكانية الحصول على سبل انتصاف فعالة لأي شخص يدّعي وقوع انتهاك لأي حق من حقوقه التي يحميها العهد. وكان بحكم الواقع يستحيل على صادق </w:t>
      </w:r>
      <w:proofErr w:type="spellStart"/>
      <w:r>
        <w:rPr>
          <w:rtl/>
        </w:rPr>
        <w:t>الرسيوي</w:t>
      </w:r>
      <w:proofErr w:type="spellEnd"/>
      <w:r>
        <w:rPr>
          <w:rtl/>
        </w:rPr>
        <w:t xml:space="preserve">، ضحية الاختفاء القسري، أن يسلك أي سبيل من سبل الانتصاف. واستناداً إلى </w:t>
      </w:r>
      <w:r w:rsidRPr="00000BA0">
        <w:rPr>
          <w:spacing w:val="-4"/>
          <w:rtl/>
        </w:rPr>
        <w:t>اجتهادات اللجنة، تُذكِّر صاحبة البلاغ بأن الدولة الطرف ملزمة بإجراء تحقيقات في ادعاءات انتهاك حقوق</w:t>
      </w:r>
      <w:r>
        <w:rPr>
          <w:rtl/>
        </w:rPr>
        <w:t xml:space="preserve"> </w:t>
      </w:r>
      <w:r w:rsidRPr="00000BA0">
        <w:rPr>
          <w:spacing w:val="-4"/>
          <w:rtl/>
        </w:rPr>
        <w:t>الإنسان، وبمقاضاة الأشخاص المزعوم تورطهم فيها وبمعاقبتهم؛ وهي ترى أن الدولة الطرف، بعدم استجابتها</w:t>
      </w:r>
      <w:r>
        <w:rPr>
          <w:rtl/>
        </w:rPr>
        <w:t xml:space="preserve"> لطلبات زوجة الضحية، تكون قد أخلت بالالتزامات الواقعة على عاتقها موجب المادة </w:t>
      </w:r>
      <w:r w:rsidRPr="00D83A61">
        <w:rPr>
          <w:rtl/>
        </w:rPr>
        <w:t>2</w:t>
      </w:r>
      <w:r>
        <w:rPr>
          <w:rtl/>
        </w:rPr>
        <w:t xml:space="preserve"> من العهد. ويشكل </w:t>
      </w:r>
      <w:r w:rsidRPr="00000BA0">
        <w:rPr>
          <w:spacing w:val="-4"/>
          <w:rtl/>
        </w:rPr>
        <w:t xml:space="preserve">الأمر رقم </w:t>
      </w:r>
      <w:r w:rsidRPr="00D83A61">
        <w:rPr>
          <w:spacing w:val="-4"/>
          <w:rtl/>
        </w:rPr>
        <w:t>06</w:t>
      </w:r>
      <w:r w:rsidRPr="00000BA0">
        <w:rPr>
          <w:spacing w:val="-4"/>
          <w:rtl/>
        </w:rPr>
        <w:t>-</w:t>
      </w:r>
      <w:r w:rsidRPr="00D83A61">
        <w:rPr>
          <w:spacing w:val="-4"/>
          <w:rtl/>
        </w:rPr>
        <w:t>01</w:t>
      </w:r>
      <w:r w:rsidRPr="00000BA0">
        <w:rPr>
          <w:spacing w:val="-4"/>
          <w:rtl/>
        </w:rPr>
        <w:t xml:space="preserve">، ولا سيما المادة </w:t>
      </w:r>
      <w:r w:rsidRPr="00D83A61">
        <w:rPr>
          <w:spacing w:val="-4"/>
          <w:rtl/>
        </w:rPr>
        <w:t>45</w:t>
      </w:r>
      <w:r w:rsidRPr="00000BA0">
        <w:rPr>
          <w:spacing w:val="-4"/>
          <w:rtl/>
        </w:rPr>
        <w:t xml:space="preserve"> منه، إخلالا من جانب الدولة الطرف بالتزامها بضمان سبيل انتصاف</w:t>
      </w:r>
      <w:r>
        <w:rPr>
          <w:rtl/>
        </w:rPr>
        <w:t xml:space="preserve"> </w:t>
      </w:r>
      <w:r w:rsidRPr="00000BA0">
        <w:rPr>
          <w:spacing w:val="-4"/>
          <w:rtl/>
        </w:rPr>
        <w:t xml:space="preserve">فعال. وبناء على ذلك، طلبت صاحبة البلاغ إلى اللجنة أن تعترف بحدوث انتهاك المادة </w:t>
      </w:r>
      <w:r w:rsidRPr="00D83A61">
        <w:rPr>
          <w:spacing w:val="-4"/>
          <w:rtl/>
        </w:rPr>
        <w:t>2</w:t>
      </w:r>
      <w:r w:rsidRPr="00000BA0">
        <w:rPr>
          <w:spacing w:val="-4"/>
          <w:rtl/>
        </w:rPr>
        <w:t>(</w:t>
      </w:r>
      <w:r w:rsidRPr="00D83A61">
        <w:rPr>
          <w:spacing w:val="-4"/>
          <w:rtl/>
        </w:rPr>
        <w:t>3</w:t>
      </w:r>
      <w:r w:rsidRPr="00000BA0">
        <w:rPr>
          <w:spacing w:val="-4"/>
          <w:rtl/>
        </w:rPr>
        <w:t>)، مقروءة بمفردها</w:t>
      </w:r>
      <w:r>
        <w:rPr>
          <w:rtl/>
        </w:rPr>
        <w:t xml:space="preserve"> وبالاقتران مع المواد </w:t>
      </w:r>
      <w:r w:rsidRPr="00D83A61">
        <w:rPr>
          <w:rtl/>
        </w:rPr>
        <w:t>6</w:t>
      </w:r>
      <w:r>
        <w:rPr>
          <w:rtl/>
        </w:rPr>
        <w:t>، و</w:t>
      </w:r>
      <w:r w:rsidRPr="00D83A61">
        <w:rPr>
          <w:rtl/>
        </w:rPr>
        <w:t>7</w:t>
      </w:r>
      <w:r>
        <w:rPr>
          <w:rtl/>
        </w:rPr>
        <w:t>، و</w:t>
      </w:r>
      <w:r w:rsidRPr="00D83A61">
        <w:rPr>
          <w:rtl/>
        </w:rPr>
        <w:t>9</w:t>
      </w:r>
      <w:r>
        <w:rPr>
          <w:rtl/>
        </w:rPr>
        <w:t>، و</w:t>
      </w:r>
      <w:r w:rsidRPr="00D83A61">
        <w:rPr>
          <w:rtl/>
        </w:rPr>
        <w:t>10</w:t>
      </w:r>
      <w:r>
        <w:rPr>
          <w:rtl/>
        </w:rPr>
        <w:t>، و</w:t>
      </w:r>
      <w:r w:rsidRPr="00D83A61">
        <w:rPr>
          <w:rtl/>
        </w:rPr>
        <w:t>16</w:t>
      </w:r>
      <w:r>
        <w:rPr>
          <w:rtl/>
        </w:rPr>
        <w:t xml:space="preserve"> من العهد.</w:t>
      </w:r>
    </w:p>
    <w:p w14:paraId="5BEEA23A" w14:textId="77777777" w:rsidR="006F28FC" w:rsidRDefault="006F28FC" w:rsidP="006F28FC">
      <w:pPr>
        <w:pStyle w:val="SingleTxtGA"/>
      </w:pPr>
      <w:r w:rsidRPr="00D83A61">
        <w:rPr>
          <w:rtl/>
        </w:rPr>
        <w:t>3</w:t>
      </w:r>
      <w:r>
        <w:rPr>
          <w:rtl/>
        </w:rPr>
        <w:t>-</w:t>
      </w:r>
      <w:r w:rsidRPr="00D83A61">
        <w:rPr>
          <w:rtl/>
        </w:rPr>
        <w:t>9</w:t>
      </w:r>
      <w:r>
        <w:rPr>
          <w:rtl/>
        </w:rPr>
        <w:tab/>
      </w:r>
      <w:r w:rsidRPr="00000BA0">
        <w:rPr>
          <w:spacing w:val="-4"/>
          <w:rtl/>
        </w:rPr>
        <w:t xml:space="preserve">وأخيراً، يشكل الأمر </w:t>
      </w:r>
      <w:r w:rsidRPr="00D83A61">
        <w:rPr>
          <w:spacing w:val="-4"/>
          <w:rtl/>
        </w:rPr>
        <w:t>06</w:t>
      </w:r>
      <w:r w:rsidRPr="00000BA0">
        <w:rPr>
          <w:spacing w:val="-4"/>
          <w:rtl/>
        </w:rPr>
        <w:t>-</w:t>
      </w:r>
      <w:r w:rsidRPr="00D83A61">
        <w:rPr>
          <w:spacing w:val="-4"/>
          <w:rtl/>
        </w:rPr>
        <w:t>01</w:t>
      </w:r>
      <w:r w:rsidRPr="00000BA0">
        <w:rPr>
          <w:spacing w:val="-4"/>
          <w:rtl/>
        </w:rPr>
        <w:t xml:space="preserve"> خرقاً للواجب العام المنصوص عليه في المادة </w:t>
      </w:r>
      <w:r w:rsidRPr="00D83A61">
        <w:rPr>
          <w:spacing w:val="-4"/>
          <w:rtl/>
        </w:rPr>
        <w:t>2</w:t>
      </w:r>
      <w:r w:rsidRPr="00000BA0">
        <w:rPr>
          <w:spacing w:val="-4"/>
          <w:rtl/>
        </w:rPr>
        <w:t>(</w:t>
      </w:r>
      <w:r w:rsidRPr="00D83A61">
        <w:rPr>
          <w:spacing w:val="-4"/>
          <w:rtl/>
        </w:rPr>
        <w:t>2</w:t>
      </w:r>
      <w:r w:rsidRPr="00000BA0">
        <w:rPr>
          <w:spacing w:val="-4"/>
          <w:rtl/>
        </w:rPr>
        <w:t>) من العهد، مقروءة</w:t>
      </w:r>
      <w:r>
        <w:rPr>
          <w:rtl/>
        </w:rPr>
        <w:t xml:space="preserve"> بالاقتران مع المادتين </w:t>
      </w:r>
      <w:r w:rsidRPr="00D83A61">
        <w:rPr>
          <w:rtl/>
        </w:rPr>
        <w:t>2</w:t>
      </w:r>
      <w:r>
        <w:rPr>
          <w:rtl/>
        </w:rPr>
        <w:t>(</w:t>
      </w:r>
      <w:r w:rsidRPr="00D83A61">
        <w:rPr>
          <w:rtl/>
        </w:rPr>
        <w:t>3</w:t>
      </w:r>
      <w:r>
        <w:rPr>
          <w:rtl/>
        </w:rPr>
        <w:t>) و</w:t>
      </w:r>
      <w:r w:rsidRPr="00D83A61">
        <w:rPr>
          <w:rtl/>
        </w:rPr>
        <w:t>19</w:t>
      </w:r>
      <w:r>
        <w:rPr>
          <w:rtl/>
        </w:rPr>
        <w:t xml:space="preserve">. ومن ثم، فقد اتخذت الدولة الطرف، باعتمادها هذا الأمر، ولا سيما </w:t>
      </w:r>
      <w:r w:rsidRPr="00000BA0">
        <w:rPr>
          <w:spacing w:val="-4"/>
          <w:rtl/>
        </w:rPr>
        <w:t xml:space="preserve">المادة </w:t>
      </w:r>
      <w:r w:rsidRPr="00D83A61">
        <w:rPr>
          <w:spacing w:val="-4"/>
          <w:rtl/>
        </w:rPr>
        <w:t>45</w:t>
      </w:r>
      <w:r w:rsidRPr="00000BA0">
        <w:rPr>
          <w:spacing w:val="-4"/>
          <w:rtl/>
        </w:rPr>
        <w:t>، تدبيراً تشريعياً يحرم من الآثار الفعلية لحقها في الحصول على سبيل انتصاف فعال من انتهاكات</w:t>
      </w:r>
      <w:r>
        <w:rPr>
          <w:rtl/>
        </w:rPr>
        <w:t xml:space="preserve"> حقوق الإنسان، انتهاكاً للمادة </w:t>
      </w:r>
      <w:r w:rsidRPr="00D83A61">
        <w:rPr>
          <w:rtl/>
        </w:rPr>
        <w:t>2</w:t>
      </w:r>
      <w:r>
        <w:rPr>
          <w:rtl/>
        </w:rPr>
        <w:t>(</w:t>
      </w:r>
      <w:r w:rsidRPr="00D83A61">
        <w:rPr>
          <w:rtl/>
        </w:rPr>
        <w:t>3</w:t>
      </w:r>
      <w:r>
        <w:rPr>
          <w:rtl/>
        </w:rPr>
        <w:t xml:space="preserve">) من العهد، وذلك بتجريمها بموجب المادة </w:t>
      </w:r>
      <w:r w:rsidRPr="00D83A61">
        <w:rPr>
          <w:rtl/>
        </w:rPr>
        <w:t>46</w:t>
      </w:r>
      <w:r>
        <w:rPr>
          <w:rtl/>
        </w:rPr>
        <w:t xml:space="preserve"> من الأمر، بالإضافة </w:t>
      </w:r>
      <w:r w:rsidRPr="00000BA0">
        <w:rPr>
          <w:spacing w:val="-4"/>
          <w:rtl/>
        </w:rPr>
        <w:t xml:space="preserve">إلى ذلك، أي تعبير سلمي عن </w:t>
      </w:r>
      <w:proofErr w:type="spellStart"/>
      <w:r w:rsidRPr="00000BA0">
        <w:rPr>
          <w:spacing w:val="-4"/>
          <w:rtl/>
        </w:rPr>
        <w:t>مظالمها</w:t>
      </w:r>
      <w:proofErr w:type="spellEnd"/>
      <w:r w:rsidRPr="00000BA0">
        <w:rPr>
          <w:spacing w:val="-4"/>
          <w:rtl/>
        </w:rPr>
        <w:t xml:space="preserve"> أو أي دعاية للوقائع المزعومة، منتهكة بذلك حق صاحبة البلاغ في حرية</w:t>
      </w:r>
      <w:r>
        <w:rPr>
          <w:rtl/>
        </w:rPr>
        <w:t xml:space="preserve"> التعبير بموجب المادة </w:t>
      </w:r>
      <w:r w:rsidRPr="00D83A61">
        <w:rPr>
          <w:rtl/>
        </w:rPr>
        <w:t>19</w:t>
      </w:r>
      <w:r>
        <w:rPr>
          <w:rtl/>
        </w:rPr>
        <w:t xml:space="preserve"> من العهد. وترى صاحبة البلاغ أنه بفعل وجود ذلك الأمر، وعلى وجه التحديد المواد المذكورة أعلاه التي سبق للجنة أن أشارت مراراً وتكراراً إلى عدم توافقها مع العهد، لم تنفذ الدولة الطرف قط توصيات اللجنة في جميع القرارات المتعلقة بحالات الاختفاء القسري التي تندرج في إطار الأمر المذكور.</w:t>
      </w:r>
    </w:p>
    <w:p w14:paraId="6CD27398" w14:textId="77777777" w:rsidR="006F28FC" w:rsidRDefault="006F28FC" w:rsidP="006F28FC">
      <w:pPr>
        <w:pStyle w:val="SingleTxtGA"/>
      </w:pPr>
      <w:r w:rsidRPr="00D83A61">
        <w:rPr>
          <w:rtl/>
        </w:rPr>
        <w:t>3</w:t>
      </w:r>
      <w:r>
        <w:rPr>
          <w:rtl/>
        </w:rPr>
        <w:t>-</w:t>
      </w:r>
      <w:r w:rsidRPr="00D83A61">
        <w:rPr>
          <w:rtl/>
        </w:rPr>
        <w:t>10</w:t>
      </w:r>
      <w:r>
        <w:rPr>
          <w:rtl/>
        </w:rPr>
        <w:tab/>
      </w:r>
      <w:r w:rsidRPr="00000BA0">
        <w:rPr>
          <w:spacing w:val="-4"/>
          <w:rtl/>
        </w:rPr>
        <w:t xml:space="preserve">وتطلب صاحبة البلاغ إلى اللجنة بأن تعترف بحدوث انتهاك للمواد </w:t>
      </w:r>
      <w:r w:rsidRPr="00D83A61">
        <w:rPr>
          <w:spacing w:val="-4"/>
          <w:rtl/>
        </w:rPr>
        <w:t>2</w:t>
      </w:r>
      <w:r w:rsidRPr="00000BA0">
        <w:rPr>
          <w:spacing w:val="-4"/>
          <w:rtl/>
        </w:rPr>
        <w:t>(</w:t>
      </w:r>
      <w:r w:rsidRPr="00D83A61">
        <w:rPr>
          <w:spacing w:val="-4"/>
          <w:rtl/>
        </w:rPr>
        <w:t>3</w:t>
      </w:r>
      <w:r w:rsidRPr="00000BA0">
        <w:rPr>
          <w:spacing w:val="-4"/>
          <w:rtl/>
        </w:rPr>
        <w:t>)، و</w:t>
      </w:r>
      <w:r w:rsidRPr="00D83A61">
        <w:rPr>
          <w:spacing w:val="-4"/>
          <w:rtl/>
        </w:rPr>
        <w:t>6</w:t>
      </w:r>
      <w:r w:rsidRPr="00000BA0">
        <w:rPr>
          <w:spacing w:val="-4"/>
          <w:rtl/>
        </w:rPr>
        <w:t>(</w:t>
      </w:r>
      <w:r w:rsidRPr="00D83A61">
        <w:rPr>
          <w:spacing w:val="-4"/>
          <w:rtl/>
        </w:rPr>
        <w:t>1</w:t>
      </w:r>
      <w:r w:rsidRPr="00000BA0">
        <w:rPr>
          <w:spacing w:val="-4"/>
          <w:rtl/>
        </w:rPr>
        <w:t>)، و</w:t>
      </w:r>
      <w:r w:rsidRPr="00D83A61">
        <w:rPr>
          <w:spacing w:val="-4"/>
          <w:rtl/>
        </w:rPr>
        <w:t>7</w:t>
      </w:r>
      <w:r w:rsidRPr="00000BA0">
        <w:rPr>
          <w:spacing w:val="-4"/>
          <w:rtl/>
        </w:rPr>
        <w:t xml:space="preserve"> ومن </w:t>
      </w:r>
      <w:r w:rsidRPr="00D83A61">
        <w:rPr>
          <w:spacing w:val="-4"/>
          <w:rtl/>
        </w:rPr>
        <w:t>9</w:t>
      </w:r>
      <w:r w:rsidRPr="00000BA0">
        <w:rPr>
          <w:spacing w:val="-4"/>
          <w:rtl/>
        </w:rPr>
        <w:t>(</w:t>
      </w:r>
      <w:r w:rsidRPr="00D83A61">
        <w:rPr>
          <w:spacing w:val="-4"/>
          <w:rtl/>
        </w:rPr>
        <w:t>1</w:t>
      </w:r>
      <w:r w:rsidRPr="00000BA0">
        <w:rPr>
          <w:spacing w:val="-4"/>
          <w:rtl/>
        </w:rPr>
        <w:t xml:space="preserve">) </w:t>
      </w:r>
      <w:r>
        <w:rPr>
          <w:rtl/>
        </w:rPr>
        <w:t>إلى</w:t>
      </w:r>
      <w:r w:rsidRPr="00D83A61">
        <w:rPr>
          <w:rtl/>
        </w:rPr>
        <w:t>9</w:t>
      </w:r>
      <w:r>
        <w:rPr>
          <w:rtl/>
        </w:rPr>
        <w:t>(</w:t>
      </w:r>
      <w:r w:rsidRPr="00D83A61">
        <w:rPr>
          <w:rtl/>
        </w:rPr>
        <w:t>4</w:t>
      </w:r>
      <w:r>
        <w:rPr>
          <w:rtl/>
        </w:rPr>
        <w:t>)، و</w:t>
      </w:r>
      <w:r w:rsidRPr="00D83A61">
        <w:rPr>
          <w:rtl/>
        </w:rPr>
        <w:t>10</w:t>
      </w:r>
      <w:r>
        <w:rPr>
          <w:rtl/>
        </w:rPr>
        <w:t>(</w:t>
      </w:r>
      <w:r w:rsidRPr="00D83A61">
        <w:rPr>
          <w:rtl/>
        </w:rPr>
        <w:t>1</w:t>
      </w:r>
      <w:r>
        <w:rPr>
          <w:rtl/>
        </w:rPr>
        <w:t>)، و</w:t>
      </w:r>
      <w:r w:rsidRPr="00D83A61">
        <w:rPr>
          <w:rtl/>
        </w:rPr>
        <w:t>16</w:t>
      </w:r>
      <w:r>
        <w:rPr>
          <w:rtl/>
        </w:rPr>
        <w:t xml:space="preserve"> و</w:t>
      </w:r>
      <w:r w:rsidRPr="00D83A61">
        <w:rPr>
          <w:rtl/>
        </w:rPr>
        <w:t>23</w:t>
      </w:r>
      <w:r>
        <w:rPr>
          <w:rtl/>
        </w:rPr>
        <w:t>(</w:t>
      </w:r>
      <w:r w:rsidRPr="00D83A61">
        <w:rPr>
          <w:rtl/>
        </w:rPr>
        <w:t>1</w:t>
      </w:r>
      <w:r>
        <w:rPr>
          <w:rtl/>
        </w:rPr>
        <w:t xml:space="preserve">) من العهد فيما يتعلق بصادق </w:t>
      </w:r>
      <w:proofErr w:type="spellStart"/>
      <w:r>
        <w:rPr>
          <w:rtl/>
        </w:rPr>
        <w:t>الرسيوي</w:t>
      </w:r>
      <w:proofErr w:type="spellEnd"/>
      <w:r>
        <w:rPr>
          <w:rtl/>
        </w:rPr>
        <w:t xml:space="preserve">؛ وتطلب إليها، ثانياً، أن تعترف </w:t>
      </w:r>
      <w:r w:rsidRPr="00000BA0">
        <w:rPr>
          <w:spacing w:val="-4"/>
          <w:rtl/>
        </w:rPr>
        <w:t xml:space="preserve">بانتهاك المواد </w:t>
      </w:r>
      <w:r w:rsidRPr="00D83A61">
        <w:rPr>
          <w:spacing w:val="-4"/>
          <w:rtl/>
        </w:rPr>
        <w:t>2</w:t>
      </w:r>
      <w:r w:rsidRPr="00000BA0">
        <w:rPr>
          <w:spacing w:val="-4"/>
          <w:rtl/>
        </w:rPr>
        <w:t>(</w:t>
      </w:r>
      <w:r w:rsidRPr="00D83A61">
        <w:rPr>
          <w:spacing w:val="-4"/>
          <w:rtl/>
        </w:rPr>
        <w:t>3</w:t>
      </w:r>
      <w:r w:rsidRPr="00000BA0">
        <w:rPr>
          <w:spacing w:val="-4"/>
          <w:rtl/>
        </w:rPr>
        <w:t>) و</w:t>
      </w:r>
      <w:r w:rsidRPr="00D83A61">
        <w:rPr>
          <w:spacing w:val="-4"/>
          <w:rtl/>
        </w:rPr>
        <w:t>7</w:t>
      </w:r>
      <w:r w:rsidRPr="00000BA0">
        <w:rPr>
          <w:spacing w:val="-4"/>
          <w:rtl/>
        </w:rPr>
        <w:t xml:space="preserve"> و</w:t>
      </w:r>
      <w:r w:rsidRPr="00D83A61">
        <w:rPr>
          <w:spacing w:val="-4"/>
          <w:rtl/>
        </w:rPr>
        <w:t>23</w:t>
      </w:r>
      <w:r w:rsidRPr="00000BA0">
        <w:rPr>
          <w:spacing w:val="-4"/>
          <w:rtl/>
        </w:rPr>
        <w:t>(</w:t>
      </w:r>
      <w:r w:rsidRPr="00D83A61">
        <w:rPr>
          <w:spacing w:val="-4"/>
          <w:rtl/>
        </w:rPr>
        <w:t>1</w:t>
      </w:r>
      <w:r w:rsidRPr="00000BA0">
        <w:rPr>
          <w:spacing w:val="-4"/>
          <w:rtl/>
        </w:rPr>
        <w:t xml:space="preserve">) من العهد فيما يتعلق به. وتطلب إليها، ثالثاً، أن تلاحظ أن الأمر </w:t>
      </w:r>
      <w:r w:rsidRPr="00D83A61">
        <w:rPr>
          <w:spacing w:val="-4"/>
          <w:rtl/>
        </w:rPr>
        <w:t>06</w:t>
      </w:r>
      <w:r w:rsidRPr="00000BA0">
        <w:rPr>
          <w:spacing w:val="-4"/>
          <w:rtl/>
        </w:rPr>
        <w:t>-</w:t>
      </w:r>
      <w:r w:rsidRPr="00D83A61">
        <w:rPr>
          <w:spacing w:val="-4"/>
          <w:rtl/>
        </w:rPr>
        <w:t>01</w:t>
      </w:r>
      <w:r w:rsidRPr="00000BA0">
        <w:rPr>
          <w:spacing w:val="-4"/>
          <w:rtl/>
        </w:rPr>
        <w:t>،</w:t>
      </w:r>
      <w:r>
        <w:rPr>
          <w:rtl/>
        </w:rPr>
        <w:t xml:space="preserve"> ولا سيما المادتان </w:t>
      </w:r>
      <w:r w:rsidRPr="00D83A61">
        <w:rPr>
          <w:rtl/>
        </w:rPr>
        <w:t>45</w:t>
      </w:r>
      <w:r>
        <w:rPr>
          <w:rtl/>
        </w:rPr>
        <w:t xml:space="preserve"> و</w:t>
      </w:r>
      <w:r w:rsidRPr="00D83A61">
        <w:rPr>
          <w:rtl/>
        </w:rPr>
        <w:t>46</w:t>
      </w:r>
      <w:r>
        <w:rPr>
          <w:rtl/>
        </w:rPr>
        <w:t xml:space="preserve"> منه، يشكل انتهاكاً للالتزام العام بموجب المادة </w:t>
      </w:r>
      <w:r w:rsidRPr="00D83A61">
        <w:rPr>
          <w:rtl/>
        </w:rPr>
        <w:t>2</w:t>
      </w:r>
      <w:r>
        <w:rPr>
          <w:rtl/>
        </w:rPr>
        <w:t>(</w:t>
      </w:r>
      <w:r w:rsidRPr="00D83A61">
        <w:rPr>
          <w:rtl/>
        </w:rPr>
        <w:t>2</w:t>
      </w:r>
      <w:r>
        <w:rPr>
          <w:rtl/>
        </w:rPr>
        <w:t xml:space="preserve">)، مقروءة بالاقتران مع </w:t>
      </w:r>
      <w:r w:rsidRPr="008C6159">
        <w:rPr>
          <w:spacing w:val="-5"/>
          <w:rtl/>
        </w:rPr>
        <w:t xml:space="preserve">المادتين </w:t>
      </w:r>
      <w:r w:rsidRPr="00D83A61">
        <w:rPr>
          <w:spacing w:val="-5"/>
          <w:rtl/>
        </w:rPr>
        <w:t>2</w:t>
      </w:r>
      <w:r w:rsidRPr="008C6159">
        <w:rPr>
          <w:spacing w:val="-5"/>
          <w:rtl/>
        </w:rPr>
        <w:t>(</w:t>
      </w:r>
      <w:r w:rsidRPr="00D83A61">
        <w:rPr>
          <w:spacing w:val="-5"/>
          <w:rtl/>
        </w:rPr>
        <w:t>3</w:t>
      </w:r>
      <w:r w:rsidRPr="008C6159">
        <w:rPr>
          <w:spacing w:val="-5"/>
          <w:rtl/>
        </w:rPr>
        <w:t>) و</w:t>
      </w:r>
      <w:r w:rsidRPr="00D83A61">
        <w:rPr>
          <w:spacing w:val="-5"/>
          <w:rtl/>
        </w:rPr>
        <w:t>19</w:t>
      </w:r>
      <w:r w:rsidRPr="008C6159">
        <w:rPr>
          <w:spacing w:val="-5"/>
          <w:rtl/>
        </w:rPr>
        <w:t xml:space="preserve"> من العهد. وتطلب صاحبة البلاغ إلى اللجنة، علاوة على ذلك، أن تحث الدولة الطرف على</w:t>
      </w:r>
      <w:r>
        <w:rPr>
          <w:rtl/>
        </w:rPr>
        <w:t xml:space="preserve"> </w:t>
      </w:r>
      <w:r w:rsidRPr="008C6159">
        <w:rPr>
          <w:spacing w:val="-5"/>
          <w:rtl/>
        </w:rPr>
        <w:t xml:space="preserve">ما يلي: (أ) إطلاق سراح صادق </w:t>
      </w:r>
      <w:proofErr w:type="spellStart"/>
      <w:r w:rsidRPr="008C6159">
        <w:rPr>
          <w:spacing w:val="-5"/>
          <w:rtl/>
        </w:rPr>
        <w:t>الرسيوي</w:t>
      </w:r>
      <w:proofErr w:type="spellEnd"/>
      <w:r w:rsidRPr="008C6159">
        <w:rPr>
          <w:spacing w:val="-5"/>
          <w:rtl/>
        </w:rPr>
        <w:t xml:space="preserve"> إذا كان لا يزال على قيد الحياة؛ و(ب) ضمان حصولها على سبيل</w:t>
      </w:r>
      <w:r>
        <w:rPr>
          <w:rtl/>
        </w:rPr>
        <w:t xml:space="preserve"> انتصاف فعال من خلال إجراء تحقيق دقيق وفعال في الاختفاء القسري لزوجها وإبلاغها بنتائج التحقيق؛ و(ج) مباشرة إجراءات جنائية ضد المسؤولين المزعومين عن اختفاء صادق </w:t>
      </w:r>
      <w:proofErr w:type="spellStart"/>
      <w:r>
        <w:rPr>
          <w:rtl/>
        </w:rPr>
        <w:t>الرسيوي</w:t>
      </w:r>
      <w:proofErr w:type="spellEnd"/>
      <w:r>
        <w:rPr>
          <w:rtl/>
        </w:rPr>
        <w:t xml:space="preserve"> وتقديمهم </w:t>
      </w:r>
      <w:r w:rsidRPr="00000BA0">
        <w:rPr>
          <w:spacing w:val="-2"/>
          <w:rtl/>
        </w:rPr>
        <w:t xml:space="preserve">إلى العدالة </w:t>
      </w:r>
      <w:r w:rsidRPr="008C6159">
        <w:rPr>
          <w:spacing w:val="-5"/>
          <w:rtl/>
        </w:rPr>
        <w:t>ومعاقبتهم وفقاً للالتزامات الدولية للدولة الطرف؛ و(د) تقديم تعويض مناسب إلى صاحبة البلاغ وإلى أصحاب</w:t>
      </w:r>
      <w:r w:rsidRPr="00000BA0">
        <w:rPr>
          <w:spacing w:val="-4"/>
          <w:rtl/>
        </w:rPr>
        <w:t xml:space="preserve"> </w:t>
      </w:r>
      <w:r w:rsidRPr="008C6159">
        <w:rPr>
          <w:spacing w:val="-5"/>
          <w:rtl/>
        </w:rPr>
        <w:t xml:space="preserve">الحقوق من أقارب صادق </w:t>
      </w:r>
      <w:proofErr w:type="spellStart"/>
      <w:r w:rsidRPr="008C6159">
        <w:rPr>
          <w:spacing w:val="-5"/>
          <w:rtl/>
        </w:rPr>
        <w:t>الرسيوي</w:t>
      </w:r>
      <w:proofErr w:type="spellEnd"/>
      <w:r w:rsidRPr="008C6159">
        <w:rPr>
          <w:spacing w:val="-5"/>
          <w:rtl/>
        </w:rPr>
        <w:t xml:space="preserve"> عما تعرض له من انتهاكات. وفي الأخير، تطلب إلى اللجنة أن تُلزِم السلطات</w:t>
      </w:r>
      <w:r>
        <w:rPr>
          <w:rtl/>
        </w:rPr>
        <w:t xml:space="preserve"> الجزائرية بإلغاء المواد المذكورة من الأمر رقم </w:t>
      </w:r>
      <w:r w:rsidRPr="00D83A61">
        <w:rPr>
          <w:rtl/>
        </w:rPr>
        <w:t>06</w:t>
      </w:r>
      <w:r>
        <w:rPr>
          <w:rtl/>
        </w:rPr>
        <w:t>-</w:t>
      </w:r>
      <w:r w:rsidRPr="00D83A61">
        <w:rPr>
          <w:rtl/>
        </w:rPr>
        <w:t>01</w:t>
      </w:r>
      <w:r>
        <w:rPr>
          <w:rtl/>
        </w:rPr>
        <w:t>.</w:t>
      </w:r>
    </w:p>
    <w:p w14:paraId="60A976F8" w14:textId="77777777" w:rsidR="006F28FC" w:rsidRPr="00D83A61" w:rsidRDefault="006F28FC" w:rsidP="00A35DE8">
      <w:pPr>
        <w:pStyle w:val="H23GA"/>
      </w:pPr>
      <w:r w:rsidRPr="00D83A61">
        <w:rPr>
          <w:rtl/>
        </w:rPr>
        <w:tab/>
      </w:r>
      <w:r w:rsidRPr="00D83A61">
        <w:rPr>
          <w:rtl/>
        </w:rPr>
        <w:tab/>
        <w:t>ملاحظات الدولة الطرف</w:t>
      </w:r>
    </w:p>
    <w:p w14:paraId="6045DF89" w14:textId="0BB63C72" w:rsidR="006F28FC" w:rsidRDefault="006F28FC" w:rsidP="006F28FC">
      <w:pPr>
        <w:pStyle w:val="SingleTxtGA"/>
      </w:pPr>
      <w:r w:rsidRPr="00D83A61">
        <w:rPr>
          <w:rtl/>
        </w:rPr>
        <w:t>4</w:t>
      </w:r>
      <w:r>
        <w:rPr>
          <w:rtl/>
        </w:rPr>
        <w:t>-</w:t>
      </w:r>
      <w:r w:rsidRPr="00D83A61">
        <w:rPr>
          <w:rtl/>
        </w:rPr>
        <w:t>1</w:t>
      </w:r>
      <w:r>
        <w:rPr>
          <w:rtl/>
        </w:rPr>
        <w:tab/>
        <w:t xml:space="preserve">في تعليقها على الأُسس الموضوعية للادعاءات، دعت الدولة الطرف اللجنة، في </w:t>
      </w:r>
      <w:r w:rsidRPr="00D83A61">
        <w:rPr>
          <w:rtl/>
        </w:rPr>
        <w:t>3</w:t>
      </w:r>
      <w:r>
        <w:rPr>
          <w:rtl/>
        </w:rPr>
        <w:t xml:space="preserve"> نيسان</w:t>
      </w:r>
      <w:proofErr w:type="gramStart"/>
      <w:r>
        <w:rPr>
          <w:rtl/>
        </w:rPr>
        <w:t>/</w:t>
      </w:r>
      <w:r w:rsidR="00A35DE8">
        <w:rPr>
          <w:rFonts w:hint="cs"/>
          <w:rtl/>
        </w:rPr>
        <w:t xml:space="preserve">  </w:t>
      </w:r>
      <w:r>
        <w:rPr>
          <w:rtl/>
        </w:rPr>
        <w:t>أبريل</w:t>
      </w:r>
      <w:proofErr w:type="gramEnd"/>
      <w:r>
        <w:rPr>
          <w:rtl/>
        </w:rPr>
        <w:t xml:space="preserve"> </w:t>
      </w:r>
      <w:r w:rsidRPr="00D83A61">
        <w:rPr>
          <w:rtl/>
        </w:rPr>
        <w:t>2017</w:t>
      </w:r>
      <w:r>
        <w:rPr>
          <w:rtl/>
        </w:rPr>
        <w:t xml:space="preserve">، إلى الاستناد إلى المذكرة المرجعية للحكومة الجزائرية بشأن معالجة مسألة الاختفاء في ضوء تنفيذ ميثاق السلم والمصالحة الوطنية. </w:t>
      </w:r>
    </w:p>
    <w:p w14:paraId="739D63A2" w14:textId="77777777" w:rsidR="006F28FC" w:rsidRDefault="006F28FC" w:rsidP="006F28FC">
      <w:pPr>
        <w:pStyle w:val="SingleTxtGA"/>
      </w:pPr>
      <w:r w:rsidRPr="00D83A61">
        <w:rPr>
          <w:rtl/>
        </w:rPr>
        <w:t>4</w:t>
      </w:r>
      <w:r>
        <w:rPr>
          <w:rtl/>
        </w:rPr>
        <w:t>-</w:t>
      </w:r>
      <w:r w:rsidRPr="00D83A61">
        <w:rPr>
          <w:rtl/>
        </w:rPr>
        <w:t>2</w:t>
      </w:r>
      <w:r>
        <w:rPr>
          <w:rtl/>
        </w:rPr>
        <w:tab/>
      </w:r>
      <w:r w:rsidRPr="00A35DE8">
        <w:rPr>
          <w:spacing w:val="-2"/>
          <w:rtl/>
        </w:rPr>
        <w:t xml:space="preserve">وتعتبر الدولة الطرف أن البلاغات التي تُحمِّل أعوان الدولة أو أشخاص آخرين تصرفوا تحت إمرة </w:t>
      </w:r>
      <w:r>
        <w:rPr>
          <w:rtl/>
        </w:rPr>
        <w:t xml:space="preserve">السلطات العمومية المسؤولية عن وقوع حالات الاختفاء القسري أثناء الفترة من </w:t>
      </w:r>
      <w:r w:rsidRPr="00D83A61">
        <w:rPr>
          <w:rtl/>
        </w:rPr>
        <w:t>1993</w:t>
      </w:r>
      <w:r>
        <w:rPr>
          <w:rtl/>
        </w:rPr>
        <w:t xml:space="preserve"> إلى </w:t>
      </w:r>
      <w:r w:rsidRPr="00D83A61">
        <w:rPr>
          <w:rtl/>
        </w:rPr>
        <w:t>1998</w:t>
      </w:r>
      <w:r>
        <w:rPr>
          <w:rtl/>
        </w:rPr>
        <w:t xml:space="preserve"> يجب </w:t>
      </w:r>
      <w:r w:rsidRPr="00A35DE8">
        <w:rPr>
          <w:spacing w:val="-2"/>
          <w:rtl/>
        </w:rPr>
        <w:t>النظر فيها "وفقاً لنهج شامل". وتعتبر الدولة الطرف أن مثل تلك البلاغات يجب إدراجها في السياق الأشمل</w:t>
      </w:r>
      <w:r>
        <w:rPr>
          <w:rtl/>
        </w:rPr>
        <w:t xml:space="preserve"> </w:t>
      </w:r>
      <w:r w:rsidRPr="00A35DE8">
        <w:rPr>
          <w:spacing w:val="-4"/>
          <w:rtl/>
        </w:rPr>
        <w:t>للوضع الاجتماعي السياسي والظروف الأمنية السائدة في البلد في فترة كانت فيها الحكومة منهمكة في مكافحة</w:t>
      </w:r>
      <w:r>
        <w:rPr>
          <w:rtl/>
        </w:rPr>
        <w:t xml:space="preserve"> شكل من الإرهاب كان يسعى إلى إحداث انهيار للدولة الجمهورية. ففي هذا السياق، وعملاً بالمادتين </w:t>
      </w:r>
      <w:r w:rsidRPr="00D83A61">
        <w:rPr>
          <w:rtl/>
        </w:rPr>
        <w:t>87</w:t>
      </w:r>
      <w:r>
        <w:rPr>
          <w:rtl/>
        </w:rPr>
        <w:t xml:space="preserve"> و</w:t>
      </w:r>
      <w:r w:rsidRPr="00D83A61">
        <w:rPr>
          <w:rtl/>
        </w:rPr>
        <w:t>91</w:t>
      </w:r>
      <w:r>
        <w:rPr>
          <w:rtl/>
        </w:rPr>
        <w:t xml:space="preserve"> من الدستور، اتخذت الحكومة الجزائرية إجراءات وقائية وقامت، وفقاً للمادة </w:t>
      </w:r>
      <w:r w:rsidRPr="00D83A61">
        <w:rPr>
          <w:rtl/>
        </w:rPr>
        <w:t>4</w:t>
      </w:r>
      <w:r>
        <w:rPr>
          <w:rtl/>
        </w:rPr>
        <w:t>(</w:t>
      </w:r>
      <w:r w:rsidRPr="00D83A61">
        <w:rPr>
          <w:rtl/>
        </w:rPr>
        <w:t>3</w:t>
      </w:r>
      <w:r>
        <w:rPr>
          <w:rtl/>
        </w:rPr>
        <w:t>) من العهد، بإبلاغ الأمانة العامة لمنظمة الأمم المتحدة بأنها أعلنت حالة الطوارئ في البلد.</w:t>
      </w:r>
    </w:p>
    <w:p w14:paraId="78042806" w14:textId="7E90524A" w:rsidR="006F28FC" w:rsidRDefault="006F28FC" w:rsidP="00F10B90">
      <w:pPr>
        <w:pStyle w:val="SingleTxtGA"/>
        <w:spacing w:line="346" w:lineRule="exact"/>
      </w:pPr>
      <w:r w:rsidRPr="00D83A61">
        <w:rPr>
          <w:rtl/>
        </w:rPr>
        <w:t>4</w:t>
      </w:r>
      <w:r>
        <w:rPr>
          <w:rtl/>
        </w:rPr>
        <w:t>-</w:t>
      </w:r>
      <w:r w:rsidRPr="00D83A61">
        <w:rPr>
          <w:rtl/>
        </w:rPr>
        <w:t>3</w:t>
      </w:r>
      <w:r>
        <w:rPr>
          <w:rtl/>
        </w:rPr>
        <w:tab/>
      </w:r>
      <w:r w:rsidRPr="00A35DE8">
        <w:rPr>
          <w:spacing w:val="-6"/>
          <w:rtl/>
        </w:rPr>
        <w:t>وقدمت الدولة الطرف توضيحات بشأن السياق الذي كان سائداً أثناء حدوث الوقائع (</w:t>
      </w:r>
      <w:r w:rsidRPr="00D83A61">
        <w:rPr>
          <w:spacing w:val="-6"/>
          <w:rtl/>
        </w:rPr>
        <w:t>1993</w:t>
      </w:r>
      <w:r w:rsidRPr="00A35DE8">
        <w:rPr>
          <w:spacing w:val="-6"/>
          <w:rtl/>
        </w:rPr>
        <w:t>-</w:t>
      </w:r>
      <w:r w:rsidRPr="00D83A61">
        <w:rPr>
          <w:spacing w:val="-6"/>
          <w:rtl/>
        </w:rPr>
        <w:t>1998</w:t>
      </w:r>
      <w:r w:rsidRPr="00A35DE8">
        <w:rPr>
          <w:spacing w:val="-6"/>
          <w:rtl/>
        </w:rPr>
        <w:t>).</w:t>
      </w:r>
      <w:r>
        <w:rPr>
          <w:rtl/>
        </w:rPr>
        <w:t xml:space="preserve"> </w:t>
      </w:r>
      <w:r w:rsidRPr="006D2692">
        <w:rPr>
          <w:spacing w:val="-4"/>
          <w:rtl/>
        </w:rPr>
        <w:t xml:space="preserve">وهي توضيحات تكررها الدولة الطرف باستمرار بمناسبة جميع البلاغات المتعلقة بحالات الاختفاء </w:t>
      </w:r>
      <w:proofErr w:type="gramStart"/>
      <w:r w:rsidRPr="006D2692">
        <w:rPr>
          <w:spacing w:val="-4"/>
          <w:rtl/>
        </w:rPr>
        <w:t>القسري</w:t>
      </w:r>
      <w:r w:rsidRPr="006F28FC">
        <w:rPr>
          <w:vertAlign w:val="superscript"/>
          <w:rtl/>
        </w:rPr>
        <w:t>(</w:t>
      </w:r>
      <w:proofErr w:type="gramEnd"/>
      <w:r w:rsidRPr="00D83A61">
        <w:rPr>
          <w:rStyle w:val="FootnoteReference"/>
          <w:szCs w:val="22"/>
          <w:lang w:val="en-US"/>
        </w:rPr>
        <w:footnoteReference w:id="11"/>
      </w:r>
      <w:r w:rsidRPr="006F28FC">
        <w:rPr>
          <w:vertAlign w:val="superscript"/>
          <w:rtl/>
        </w:rPr>
        <w:t>)</w:t>
      </w:r>
      <w:r w:rsidR="00A35DE8">
        <w:rPr>
          <w:rFonts w:hint="cs"/>
          <w:rtl/>
        </w:rPr>
        <w:t>.</w:t>
      </w:r>
    </w:p>
    <w:p w14:paraId="528056DB" w14:textId="6939AA8B" w:rsidR="006F28FC" w:rsidRPr="00D83A61" w:rsidRDefault="006F28FC" w:rsidP="00F10B90">
      <w:pPr>
        <w:pStyle w:val="H23GA"/>
        <w:spacing w:line="346" w:lineRule="exact"/>
      </w:pPr>
      <w:r w:rsidRPr="00D83A61">
        <w:rPr>
          <w:rtl/>
        </w:rPr>
        <w:tab/>
      </w:r>
      <w:r w:rsidRPr="00D83A61">
        <w:rPr>
          <w:rtl/>
        </w:rPr>
        <w:tab/>
        <w:t>تعليقات صاحبة البلاغ على ملاحظات الدولة الطرف</w:t>
      </w:r>
    </w:p>
    <w:p w14:paraId="2090DFF5" w14:textId="77777777" w:rsidR="006F28FC" w:rsidRDefault="006F28FC" w:rsidP="00F10B90">
      <w:pPr>
        <w:pStyle w:val="SingleTxtGA"/>
        <w:spacing w:line="346" w:lineRule="exact"/>
      </w:pPr>
      <w:r w:rsidRPr="00D83A61">
        <w:rPr>
          <w:rtl/>
        </w:rPr>
        <w:t>5</w:t>
      </w:r>
      <w:r>
        <w:rPr>
          <w:rtl/>
        </w:rPr>
        <w:t>-</w:t>
      </w:r>
      <w:r w:rsidRPr="00D83A61">
        <w:rPr>
          <w:rtl/>
        </w:rPr>
        <w:t>1</w:t>
      </w:r>
      <w:r>
        <w:rPr>
          <w:rtl/>
        </w:rPr>
        <w:tab/>
      </w:r>
      <w:r w:rsidRPr="006D2692">
        <w:rPr>
          <w:spacing w:val="-4"/>
          <w:rtl/>
        </w:rPr>
        <w:t xml:space="preserve">قدمت صاحبة البلاغ في </w:t>
      </w:r>
      <w:r w:rsidRPr="00D83A61">
        <w:rPr>
          <w:spacing w:val="-4"/>
          <w:rtl/>
        </w:rPr>
        <w:t>11</w:t>
      </w:r>
      <w:r w:rsidRPr="006D2692">
        <w:rPr>
          <w:spacing w:val="-4"/>
          <w:rtl/>
        </w:rPr>
        <w:t xml:space="preserve"> تشرين الأول/أكتوبر </w:t>
      </w:r>
      <w:r w:rsidRPr="00D83A61">
        <w:rPr>
          <w:spacing w:val="-4"/>
          <w:rtl/>
        </w:rPr>
        <w:t>2018</w:t>
      </w:r>
      <w:r w:rsidRPr="006D2692">
        <w:rPr>
          <w:spacing w:val="-4"/>
          <w:rtl/>
        </w:rPr>
        <w:t xml:space="preserve"> تعليقاتها على ملاحظات الدولة الطرف.</w:t>
      </w:r>
      <w:r>
        <w:rPr>
          <w:rtl/>
        </w:rPr>
        <w:t xml:space="preserve"> وتشير إلى أن تلك الملاحظات غير ملائمة لأنها تشير إلى وثيقة موحدة مؤرخة تموز/يوليه </w:t>
      </w:r>
      <w:r w:rsidRPr="00D83A61">
        <w:rPr>
          <w:rtl/>
        </w:rPr>
        <w:t>2009</w:t>
      </w:r>
      <w:r>
        <w:rPr>
          <w:rtl/>
        </w:rPr>
        <w:t xml:space="preserve"> موجهة إلى الفريق العامل المعني بحالات الاختفاء القسري أو غير الطوعي، وليس إلى اللجنة. ولا تذكر ملاحظات الدولة الطرف تفاصيل القضية ولا تقدم أي ردّ بشأن الظروف الخاصة لاختفاء صادق </w:t>
      </w:r>
      <w:proofErr w:type="spellStart"/>
      <w:r>
        <w:rPr>
          <w:rtl/>
        </w:rPr>
        <w:t>الرسيوي</w:t>
      </w:r>
      <w:proofErr w:type="spellEnd"/>
      <w:r>
        <w:rPr>
          <w:rtl/>
        </w:rPr>
        <w:t>.</w:t>
      </w:r>
    </w:p>
    <w:p w14:paraId="70EC9005" w14:textId="0C950193" w:rsidR="006F28FC" w:rsidRDefault="006F28FC" w:rsidP="00F10B90">
      <w:pPr>
        <w:pStyle w:val="SingleTxtGA"/>
        <w:spacing w:line="346" w:lineRule="exact"/>
      </w:pPr>
      <w:r w:rsidRPr="00D83A61">
        <w:rPr>
          <w:rtl/>
        </w:rPr>
        <w:t>5</w:t>
      </w:r>
      <w:r>
        <w:rPr>
          <w:rtl/>
        </w:rPr>
        <w:t>-</w:t>
      </w:r>
      <w:r w:rsidRPr="00D83A61">
        <w:rPr>
          <w:rtl/>
        </w:rPr>
        <w:t>2</w:t>
      </w:r>
      <w:r>
        <w:rPr>
          <w:rtl/>
        </w:rPr>
        <w:tab/>
        <w:t xml:space="preserve">ووفقاً لصاحبة البلاغ، يشكك ردّ الدولة الطرف في التزامها بالتعاون بحسن نية مع اللجنة، </w:t>
      </w:r>
      <w:r w:rsidRPr="00E714E0">
        <w:rPr>
          <w:spacing w:val="-4"/>
          <w:rtl/>
        </w:rPr>
        <w:t>وهو</w:t>
      </w:r>
      <w:r w:rsidR="00E714E0" w:rsidRPr="00E714E0">
        <w:rPr>
          <w:rFonts w:hint="cs"/>
          <w:spacing w:val="-4"/>
          <w:rtl/>
        </w:rPr>
        <w:t> </w:t>
      </w:r>
      <w:r w:rsidRPr="00E714E0">
        <w:rPr>
          <w:spacing w:val="-4"/>
          <w:rtl/>
        </w:rPr>
        <w:t xml:space="preserve">واجب ينبع - كما أشارت اللجنة إلى ذلك في الفقرة </w:t>
      </w:r>
      <w:r w:rsidRPr="00D83A61">
        <w:rPr>
          <w:spacing w:val="-4"/>
          <w:rtl/>
        </w:rPr>
        <w:t>15</w:t>
      </w:r>
      <w:r w:rsidRPr="00E714E0">
        <w:rPr>
          <w:spacing w:val="-4"/>
          <w:rtl/>
        </w:rPr>
        <w:t xml:space="preserve"> من تعليقها العام رقم </w:t>
      </w:r>
      <w:r w:rsidRPr="00D83A61">
        <w:rPr>
          <w:spacing w:val="-4"/>
          <w:rtl/>
        </w:rPr>
        <w:t>33</w:t>
      </w:r>
      <w:r w:rsidRPr="00E714E0">
        <w:rPr>
          <w:spacing w:val="-4"/>
          <w:rtl/>
        </w:rPr>
        <w:t>(</w:t>
      </w:r>
      <w:r w:rsidRPr="00D83A61">
        <w:rPr>
          <w:spacing w:val="-4"/>
          <w:rtl/>
        </w:rPr>
        <w:t>2008</w:t>
      </w:r>
      <w:r w:rsidRPr="00E714E0">
        <w:rPr>
          <w:spacing w:val="-4"/>
          <w:rtl/>
        </w:rPr>
        <w:t>) - من تطبيق</w:t>
      </w:r>
      <w:r>
        <w:rPr>
          <w:rtl/>
        </w:rPr>
        <w:t xml:space="preserve"> مبدأ حسن النية في سياق احترام جميع الالتزامات </w:t>
      </w:r>
      <w:proofErr w:type="spellStart"/>
      <w:r>
        <w:rPr>
          <w:rtl/>
        </w:rPr>
        <w:t>التعاهدية</w:t>
      </w:r>
      <w:proofErr w:type="spellEnd"/>
      <w:r>
        <w:rPr>
          <w:rtl/>
        </w:rPr>
        <w:t xml:space="preserve">. وتشير صاحبة البلاغ إلى أن اللجنة أوصت الدولة الطرف، في ملاحظاتها الختامية على التقرير الدوري الرابع للجزائر، بأن تتعاون معها بحسن نية في إطار إجراء البلاغات الفردية والتوقف عن الإحالة إلى "المذكرة"، وتقديم ردّ فردي ومحدد بشأن </w:t>
      </w:r>
      <w:r w:rsidRPr="00F10B90">
        <w:rPr>
          <w:rtl/>
        </w:rPr>
        <w:t xml:space="preserve">ادعاءات أصحاب </w:t>
      </w:r>
      <w:proofErr w:type="gramStart"/>
      <w:r w:rsidRPr="00F10B90">
        <w:rPr>
          <w:rtl/>
        </w:rPr>
        <w:t>البلاغات</w:t>
      </w:r>
      <w:r w:rsidRPr="00F10B90">
        <w:rPr>
          <w:vertAlign w:val="superscript"/>
          <w:rtl/>
        </w:rPr>
        <w:t>(</w:t>
      </w:r>
      <w:proofErr w:type="gramEnd"/>
      <w:r w:rsidRPr="00D83A61">
        <w:rPr>
          <w:rStyle w:val="FootnoteReference"/>
          <w:szCs w:val="22"/>
          <w:lang w:val="en-US"/>
        </w:rPr>
        <w:footnoteReference w:id="12"/>
      </w:r>
      <w:r w:rsidRPr="00F10B90">
        <w:rPr>
          <w:vertAlign w:val="superscript"/>
          <w:rtl/>
        </w:rPr>
        <w:t>)</w:t>
      </w:r>
      <w:r w:rsidR="00E714E0" w:rsidRPr="00F10B90">
        <w:rPr>
          <w:rFonts w:hint="cs"/>
          <w:rtl/>
        </w:rPr>
        <w:t>.</w:t>
      </w:r>
      <w:r w:rsidRPr="00F10B90">
        <w:rPr>
          <w:rtl/>
        </w:rPr>
        <w:t xml:space="preserve"> وكانت اللجنة قد أعربت أيضاً في ملاحظاتها الختامية عن قلقها إزاء الاستخدام</w:t>
      </w:r>
      <w:r>
        <w:rPr>
          <w:rtl/>
        </w:rPr>
        <w:t xml:space="preserve"> المنهجي لتلك "المذكرة" التي لا تقدم رداً جوهرياً على الادعاءات التي يقدمها أصحاب البلاغات في جميع الحالات التي تغطي الفترة من </w:t>
      </w:r>
      <w:r w:rsidRPr="00D83A61">
        <w:rPr>
          <w:rtl/>
        </w:rPr>
        <w:t>1993</w:t>
      </w:r>
      <w:r>
        <w:rPr>
          <w:rtl/>
        </w:rPr>
        <w:t xml:space="preserve"> إلى </w:t>
      </w:r>
      <w:r w:rsidRPr="00D83A61">
        <w:rPr>
          <w:rtl/>
        </w:rPr>
        <w:t>1998</w:t>
      </w:r>
      <w:r>
        <w:rPr>
          <w:rtl/>
        </w:rPr>
        <w:t xml:space="preserve">، بل وأحياناً خارج تلك </w:t>
      </w:r>
      <w:proofErr w:type="gramStart"/>
      <w:r>
        <w:rPr>
          <w:rtl/>
        </w:rPr>
        <w:t>الفترة</w:t>
      </w:r>
      <w:r w:rsidRPr="006F28FC">
        <w:rPr>
          <w:vertAlign w:val="superscript"/>
          <w:rtl/>
        </w:rPr>
        <w:t>(</w:t>
      </w:r>
      <w:proofErr w:type="gramEnd"/>
      <w:r w:rsidRPr="00D83A61">
        <w:rPr>
          <w:rStyle w:val="FootnoteReference"/>
          <w:szCs w:val="22"/>
          <w:lang w:val="en-US"/>
        </w:rPr>
        <w:footnoteReference w:id="13"/>
      </w:r>
      <w:r w:rsidRPr="006F28FC">
        <w:rPr>
          <w:vertAlign w:val="superscript"/>
          <w:rtl/>
        </w:rPr>
        <w:t>)</w:t>
      </w:r>
      <w:r w:rsidR="00E714E0">
        <w:rPr>
          <w:rFonts w:hint="cs"/>
          <w:rtl/>
        </w:rPr>
        <w:t>.</w:t>
      </w:r>
    </w:p>
    <w:p w14:paraId="3E5DFDBD" w14:textId="4B6A25E4" w:rsidR="006F28FC" w:rsidRDefault="006F28FC" w:rsidP="00F10B90">
      <w:pPr>
        <w:pStyle w:val="SingleTxtGA"/>
        <w:spacing w:line="346" w:lineRule="exact"/>
      </w:pPr>
      <w:r w:rsidRPr="00D83A61">
        <w:rPr>
          <w:rtl/>
        </w:rPr>
        <w:t>5</w:t>
      </w:r>
      <w:r>
        <w:rPr>
          <w:rtl/>
        </w:rPr>
        <w:t>-</w:t>
      </w:r>
      <w:r w:rsidRPr="00D83A61">
        <w:rPr>
          <w:rtl/>
        </w:rPr>
        <w:t>3</w:t>
      </w:r>
      <w:r>
        <w:rPr>
          <w:rtl/>
        </w:rPr>
        <w:tab/>
        <w:t xml:space="preserve">وذكِّرت اللجنة في اجتهاداتها السابقة بأنه لا يجوز للدولة الطرف أن تتذرع بأحكام ميثاق السلم </w:t>
      </w:r>
      <w:r w:rsidRPr="00E714E0">
        <w:rPr>
          <w:spacing w:val="-4"/>
          <w:rtl/>
        </w:rPr>
        <w:t xml:space="preserve">والمصالحة الوطنية ضد أشخاص يحتجون بأحكام العهد أو قدموا أو يمكن أن يقدّموا بلاغات إلى </w:t>
      </w:r>
      <w:proofErr w:type="gramStart"/>
      <w:r w:rsidRPr="00E714E0">
        <w:rPr>
          <w:spacing w:val="-4"/>
          <w:rtl/>
        </w:rPr>
        <w:t>اللجنة</w:t>
      </w:r>
      <w:r w:rsidRPr="006F28FC">
        <w:rPr>
          <w:vertAlign w:val="superscript"/>
          <w:rtl/>
        </w:rPr>
        <w:t>(</w:t>
      </w:r>
      <w:proofErr w:type="gramEnd"/>
      <w:r w:rsidRPr="00D83A61">
        <w:rPr>
          <w:rStyle w:val="FootnoteReference"/>
          <w:szCs w:val="22"/>
          <w:lang w:val="en-US"/>
        </w:rPr>
        <w:footnoteReference w:id="14"/>
      </w:r>
      <w:r w:rsidRPr="006F28FC">
        <w:rPr>
          <w:vertAlign w:val="superscript"/>
          <w:rtl/>
        </w:rPr>
        <w:t>)</w:t>
      </w:r>
      <w:r>
        <w:rPr>
          <w:rtl/>
        </w:rPr>
        <w:t xml:space="preserve"> </w:t>
      </w:r>
      <w:r w:rsidRPr="00E714E0">
        <w:rPr>
          <w:spacing w:val="-4"/>
          <w:rtl/>
        </w:rPr>
        <w:t>وترى صاحبة البلاغ أن اعتماد الدولة الطرف للميثاق أو "آلية تسوية داخلية شاملة" ليس من التدابير الكافية</w:t>
      </w:r>
      <w:r>
        <w:rPr>
          <w:rtl/>
        </w:rPr>
        <w:t xml:space="preserve"> للوفاء بالتزاماتها </w:t>
      </w:r>
      <w:proofErr w:type="spellStart"/>
      <w:r>
        <w:rPr>
          <w:rtl/>
        </w:rPr>
        <w:t>التعاهدية</w:t>
      </w:r>
      <w:proofErr w:type="spellEnd"/>
      <w:r>
        <w:rPr>
          <w:rtl/>
        </w:rPr>
        <w:t xml:space="preserve"> المتمثلة في التحقيق والملاحقة القضائية والجبر، وأن تلك التدابير لا يمكن أن يُحتج بها لدى اللجنة على نحو صحيح، ولا أن تشكل سبباً لعدم مقبولية البلاغ.</w:t>
      </w:r>
    </w:p>
    <w:p w14:paraId="36DC011F" w14:textId="6AE6F302" w:rsidR="006F28FC" w:rsidRDefault="006F28FC" w:rsidP="00F10B90">
      <w:pPr>
        <w:pStyle w:val="SingleTxtGA"/>
        <w:spacing w:line="346" w:lineRule="exact"/>
      </w:pPr>
      <w:r w:rsidRPr="00D83A61">
        <w:rPr>
          <w:rtl/>
        </w:rPr>
        <w:t>5</w:t>
      </w:r>
      <w:r>
        <w:rPr>
          <w:rtl/>
        </w:rPr>
        <w:t>-</w:t>
      </w:r>
      <w:r w:rsidRPr="00D83A61">
        <w:rPr>
          <w:rtl/>
        </w:rPr>
        <w:t>4</w:t>
      </w:r>
      <w:r>
        <w:rPr>
          <w:rtl/>
        </w:rPr>
        <w:tab/>
        <w:t xml:space="preserve">وعلاوة على ذلك، أعادت اللجنة في تعليقاتها الختامية على التقرير الدوري الرابع للجزائر الإعراب عن قلقها العميق، الذي أعربت عنه مراراً، ولا سيما في سياق آرائها، فيما يتعلق بالمادة </w:t>
      </w:r>
      <w:r w:rsidRPr="00D83A61">
        <w:rPr>
          <w:rtl/>
        </w:rPr>
        <w:t>45</w:t>
      </w:r>
      <w:r>
        <w:rPr>
          <w:rtl/>
        </w:rPr>
        <w:t xml:space="preserve"> من الأمر </w:t>
      </w:r>
      <w:r w:rsidRPr="00D83A61">
        <w:rPr>
          <w:rtl/>
        </w:rPr>
        <w:t>06</w:t>
      </w:r>
      <w:r>
        <w:rPr>
          <w:rtl/>
        </w:rPr>
        <w:t>-</w:t>
      </w:r>
      <w:r w:rsidRPr="00D83A61">
        <w:rPr>
          <w:rtl/>
        </w:rPr>
        <w:t>01</w:t>
      </w:r>
      <w:r>
        <w:rPr>
          <w:rtl/>
        </w:rPr>
        <w:t xml:space="preserve">، التي تعوق أي سبيل انتصاف فعال ومتاح لضحايا انتهاكات أحكام العهد التي يرتكبها الأعوان المكلفون بإنفاذ القوانين، بما في ذلك القوات المسلحة والأجهزة الأمنية، وتعزز الإفلات من العقاب. ومن ثم، فإنها أعادت الإعراب فيها عن قلقها إزاء الانتهاكات العديدة والخطيرة التي يُزعم أنها ارتُكبت والتي لم تتم ملاحقة مرتكبيها أو </w:t>
      </w:r>
      <w:proofErr w:type="gramStart"/>
      <w:r>
        <w:rPr>
          <w:rtl/>
        </w:rPr>
        <w:t>إدانتهم</w:t>
      </w:r>
      <w:r w:rsidRPr="006F28FC">
        <w:rPr>
          <w:vertAlign w:val="superscript"/>
          <w:rtl/>
        </w:rPr>
        <w:t>(</w:t>
      </w:r>
      <w:proofErr w:type="gramEnd"/>
      <w:r w:rsidRPr="00D83A61">
        <w:rPr>
          <w:rStyle w:val="FootnoteReference"/>
          <w:szCs w:val="22"/>
          <w:lang w:val="en-US"/>
        </w:rPr>
        <w:footnoteReference w:id="15"/>
      </w:r>
      <w:r w:rsidRPr="006F28FC">
        <w:rPr>
          <w:vertAlign w:val="superscript"/>
          <w:rtl/>
        </w:rPr>
        <w:t>)</w:t>
      </w:r>
      <w:r w:rsidR="00645993">
        <w:rPr>
          <w:rFonts w:hint="cs"/>
          <w:rtl/>
        </w:rPr>
        <w:t>.</w:t>
      </w:r>
    </w:p>
    <w:p w14:paraId="3123C45A" w14:textId="30A90A6B" w:rsidR="006F28FC" w:rsidRDefault="006F28FC" w:rsidP="00F10B90">
      <w:pPr>
        <w:pStyle w:val="SingleTxtGA"/>
        <w:spacing w:line="346" w:lineRule="exact"/>
      </w:pPr>
      <w:r w:rsidRPr="00D83A61">
        <w:rPr>
          <w:rtl/>
        </w:rPr>
        <w:t>5</w:t>
      </w:r>
      <w:r>
        <w:rPr>
          <w:rtl/>
        </w:rPr>
        <w:t>-</w:t>
      </w:r>
      <w:r w:rsidRPr="00D83A61">
        <w:rPr>
          <w:rtl/>
        </w:rPr>
        <w:t>5</w:t>
      </w:r>
      <w:r>
        <w:rPr>
          <w:rtl/>
        </w:rPr>
        <w:tab/>
      </w:r>
      <w:r w:rsidRPr="00F10B90">
        <w:rPr>
          <w:spacing w:val="-2"/>
          <w:rtl/>
        </w:rPr>
        <w:t xml:space="preserve">وتعتبر صاحبة البلاغ أن اعتراض الدولة الطرف على اختصاص اللجنة بدعوى أنه ينبغي النظر في حالات الاختفاء القسري في الفترة من عام </w:t>
      </w:r>
      <w:r w:rsidRPr="00D83A61">
        <w:rPr>
          <w:spacing w:val="-2"/>
          <w:rtl/>
        </w:rPr>
        <w:t>1993</w:t>
      </w:r>
      <w:r w:rsidRPr="00F10B90">
        <w:rPr>
          <w:spacing w:val="-2"/>
          <w:rtl/>
        </w:rPr>
        <w:t xml:space="preserve"> إلى عام </w:t>
      </w:r>
      <w:r w:rsidRPr="00D83A61">
        <w:rPr>
          <w:spacing w:val="-2"/>
          <w:rtl/>
        </w:rPr>
        <w:t>1998</w:t>
      </w:r>
      <w:r w:rsidRPr="00F10B90">
        <w:rPr>
          <w:spacing w:val="-2"/>
          <w:rtl/>
        </w:rPr>
        <w:t xml:space="preserve"> وفقاً لنهج شمولي وغير فردي هو اعتراض غير ذي بال؛ إذ سبق للدولة الطرف أن صدقت على العهد وعلى بروتوكوله الاختياري وهي بذلك </w:t>
      </w:r>
      <w:r w:rsidRPr="00F10B90">
        <w:rPr>
          <w:spacing w:val="-4"/>
          <w:rtl/>
        </w:rPr>
        <w:t>اعترفت باختصاص اللجنة فيما يتعلق بالنظر في البلاغات التي يقدمها الأفراد الذين انتُهكت حقوقهم المنصوص</w:t>
      </w:r>
      <w:r w:rsidRPr="00F10B90">
        <w:rPr>
          <w:spacing w:val="-2"/>
          <w:rtl/>
        </w:rPr>
        <w:t xml:space="preserve"> عليها في العهد</w:t>
      </w:r>
      <w:r>
        <w:rPr>
          <w:rtl/>
        </w:rPr>
        <w:t xml:space="preserve">. وتشدد صاحبة البلاغ أيضاً على أن إعلان حالة الطوارئ على النحو المنصوص عليه في المادة </w:t>
      </w:r>
      <w:r w:rsidRPr="00D83A61">
        <w:rPr>
          <w:rtl/>
        </w:rPr>
        <w:t>4</w:t>
      </w:r>
      <w:r>
        <w:rPr>
          <w:rtl/>
        </w:rPr>
        <w:t xml:space="preserve"> من العهد لا يؤثر بأي حال في حظر الاختفاء القسري، أو في ممارسة الحقوق المنصوص عليها في البروتوكول الاختياري. وأضافت أيضاً أنه يفهم ضمناً من المادة </w:t>
      </w:r>
      <w:r w:rsidRPr="00D83A61">
        <w:rPr>
          <w:rtl/>
        </w:rPr>
        <w:t>4</w:t>
      </w:r>
      <w:r>
        <w:rPr>
          <w:rtl/>
        </w:rPr>
        <w:t>(</w:t>
      </w:r>
      <w:r w:rsidRPr="00D83A61">
        <w:rPr>
          <w:rtl/>
        </w:rPr>
        <w:t>2</w:t>
      </w:r>
      <w:r>
        <w:rPr>
          <w:rtl/>
        </w:rPr>
        <w:t xml:space="preserve">) من البروتوكول الاختياري أنه من واجب الدولة الطرف أن تحقق بحسن نية في كل ما يُوجه لممثليها من ادعاءات بانتهاك أحكام العهد، وأن تزود اللجنة بما لديها من معلومات في هذا </w:t>
      </w:r>
      <w:proofErr w:type="gramStart"/>
      <w:r>
        <w:rPr>
          <w:rtl/>
        </w:rPr>
        <w:t>الشأن</w:t>
      </w:r>
      <w:r w:rsidRPr="006F28FC">
        <w:rPr>
          <w:vertAlign w:val="superscript"/>
          <w:rtl/>
        </w:rPr>
        <w:t>(</w:t>
      </w:r>
      <w:proofErr w:type="gramEnd"/>
      <w:r w:rsidRPr="00D83A61">
        <w:rPr>
          <w:rStyle w:val="FootnoteReference"/>
          <w:szCs w:val="22"/>
          <w:lang w:val="en-US"/>
        </w:rPr>
        <w:footnoteReference w:id="16"/>
      </w:r>
      <w:r w:rsidRPr="006F28FC">
        <w:rPr>
          <w:vertAlign w:val="superscript"/>
          <w:rtl/>
        </w:rPr>
        <w:t>)</w:t>
      </w:r>
      <w:r w:rsidR="00F10B90">
        <w:rPr>
          <w:rFonts w:hint="cs"/>
          <w:rtl/>
        </w:rPr>
        <w:t>.</w:t>
      </w:r>
    </w:p>
    <w:p w14:paraId="44306C1D" w14:textId="77777777" w:rsidR="006F28FC" w:rsidRPr="00F10B90" w:rsidRDefault="006F28FC" w:rsidP="00F10B90">
      <w:pPr>
        <w:pStyle w:val="SingleTxtGA"/>
        <w:spacing w:line="346" w:lineRule="exact"/>
      </w:pPr>
      <w:r w:rsidRPr="00D83A61">
        <w:rPr>
          <w:rtl/>
        </w:rPr>
        <w:t>5</w:t>
      </w:r>
      <w:r>
        <w:rPr>
          <w:rtl/>
        </w:rPr>
        <w:t>-</w:t>
      </w:r>
      <w:r w:rsidRPr="00D83A61">
        <w:rPr>
          <w:rtl/>
        </w:rPr>
        <w:t>6</w:t>
      </w:r>
      <w:r>
        <w:rPr>
          <w:rtl/>
        </w:rPr>
        <w:tab/>
        <w:t xml:space="preserve">وترى صاحبة البلاغ أخيراً أن الدولة الطرف انتهكت الالتزام العام الذي يقع على عاتقها بموجب </w:t>
      </w:r>
      <w:r w:rsidRPr="00F10B90">
        <w:rPr>
          <w:spacing w:val="-4"/>
          <w:rtl/>
        </w:rPr>
        <w:t xml:space="preserve">المادة </w:t>
      </w:r>
      <w:r w:rsidRPr="00D83A61">
        <w:rPr>
          <w:spacing w:val="-4"/>
          <w:rtl/>
        </w:rPr>
        <w:t>2</w:t>
      </w:r>
      <w:r w:rsidRPr="00F10B90">
        <w:rPr>
          <w:spacing w:val="-4"/>
          <w:rtl/>
        </w:rPr>
        <w:t>(</w:t>
      </w:r>
      <w:r w:rsidRPr="00D83A61">
        <w:rPr>
          <w:spacing w:val="-4"/>
          <w:rtl/>
        </w:rPr>
        <w:t>2</w:t>
      </w:r>
      <w:r w:rsidRPr="00F10B90">
        <w:rPr>
          <w:spacing w:val="-4"/>
          <w:rtl/>
        </w:rPr>
        <w:t xml:space="preserve">) مقروءة بالاقتران مع المادتين </w:t>
      </w:r>
      <w:r w:rsidRPr="00D83A61">
        <w:rPr>
          <w:spacing w:val="-4"/>
          <w:rtl/>
        </w:rPr>
        <w:t>2</w:t>
      </w:r>
      <w:r w:rsidRPr="00F10B90">
        <w:rPr>
          <w:spacing w:val="-4"/>
          <w:rtl/>
        </w:rPr>
        <w:t>(</w:t>
      </w:r>
      <w:r w:rsidRPr="00D83A61">
        <w:rPr>
          <w:spacing w:val="-4"/>
          <w:rtl/>
        </w:rPr>
        <w:t>3</w:t>
      </w:r>
      <w:r w:rsidRPr="00F10B90">
        <w:rPr>
          <w:spacing w:val="-4"/>
          <w:rtl/>
        </w:rPr>
        <w:t>) و</w:t>
      </w:r>
      <w:r w:rsidRPr="00D83A61">
        <w:rPr>
          <w:spacing w:val="-4"/>
          <w:rtl/>
        </w:rPr>
        <w:t>19</w:t>
      </w:r>
      <w:r w:rsidRPr="00F10B90">
        <w:rPr>
          <w:spacing w:val="-4"/>
          <w:rtl/>
        </w:rPr>
        <w:t xml:space="preserve"> من العهد. والواقع أن السبب الرئيسي لعدم فعالية أي سبيل انتصاف داخل الدولة الطرف يكمن في أنه يستحيل قانوناً على صاحب البلاغ تقديم تظلم أمام محاكم</w:t>
      </w:r>
      <w:r>
        <w:rPr>
          <w:rtl/>
        </w:rPr>
        <w:t xml:space="preserve"> الدولة الطرف بموجب المادة </w:t>
      </w:r>
      <w:r w:rsidRPr="00D83A61">
        <w:rPr>
          <w:rtl/>
        </w:rPr>
        <w:t>45</w:t>
      </w:r>
      <w:r>
        <w:rPr>
          <w:rtl/>
        </w:rPr>
        <w:t xml:space="preserve"> من الأمر </w:t>
      </w:r>
      <w:r w:rsidRPr="00D83A61">
        <w:rPr>
          <w:rtl/>
        </w:rPr>
        <w:t>06</w:t>
      </w:r>
      <w:r>
        <w:rPr>
          <w:rtl/>
        </w:rPr>
        <w:t>-</w:t>
      </w:r>
      <w:r w:rsidRPr="00D83A61">
        <w:rPr>
          <w:rtl/>
        </w:rPr>
        <w:t>01</w:t>
      </w:r>
      <w:r>
        <w:rPr>
          <w:rtl/>
        </w:rPr>
        <w:t xml:space="preserve">. ويكمن أثر ذلك الأمر في تسجيل الاستحالة القانونية </w:t>
      </w:r>
      <w:r w:rsidRPr="00F10B90">
        <w:rPr>
          <w:rtl/>
        </w:rPr>
        <w:t xml:space="preserve">لتقديم استئناف فعال في الإطار التشريعي للدولة الطرف، في انتهاك للمادة </w:t>
      </w:r>
      <w:r w:rsidRPr="00D83A61">
        <w:rPr>
          <w:rtl/>
        </w:rPr>
        <w:t>2</w:t>
      </w:r>
      <w:r w:rsidRPr="00F10B90">
        <w:rPr>
          <w:rtl/>
        </w:rPr>
        <w:t>(</w:t>
      </w:r>
      <w:r w:rsidRPr="00D83A61">
        <w:rPr>
          <w:rtl/>
        </w:rPr>
        <w:t>3</w:t>
      </w:r>
      <w:r w:rsidRPr="00F10B90">
        <w:rPr>
          <w:rtl/>
        </w:rPr>
        <w:t xml:space="preserve">) من العهد، ولكن أيضاً في تجريم أي تعبير سلمي عن </w:t>
      </w:r>
      <w:proofErr w:type="spellStart"/>
      <w:r w:rsidRPr="00F10B90">
        <w:rPr>
          <w:rtl/>
        </w:rPr>
        <w:t>مظالمها</w:t>
      </w:r>
      <w:proofErr w:type="spellEnd"/>
      <w:r w:rsidRPr="00F10B90">
        <w:rPr>
          <w:rtl/>
        </w:rPr>
        <w:t xml:space="preserve"> أو أية دعاية بشأن الوقائع المزعومة، في انتهاك لحقها في حرية </w:t>
      </w:r>
      <w:r w:rsidRPr="00F10B90">
        <w:rPr>
          <w:spacing w:val="-2"/>
          <w:rtl/>
        </w:rPr>
        <w:t xml:space="preserve">التعبير المنصوص عليه في المادة </w:t>
      </w:r>
      <w:r w:rsidRPr="00D83A61">
        <w:rPr>
          <w:spacing w:val="-2"/>
          <w:rtl/>
        </w:rPr>
        <w:t>19</w:t>
      </w:r>
      <w:r w:rsidRPr="00F10B90">
        <w:rPr>
          <w:spacing w:val="-2"/>
          <w:rtl/>
        </w:rPr>
        <w:t xml:space="preserve"> من العهد. وما دامت أحكام ميثاق السلم والمصالحة الوطنية المذكورة</w:t>
      </w:r>
      <w:r w:rsidRPr="00F10B90">
        <w:rPr>
          <w:rtl/>
        </w:rPr>
        <w:t xml:space="preserve"> أعلاه سارية، لن تتوفر لأسر الضحايا أية وسائل قانونية لإعمال حقوقها بموجب المادة </w:t>
      </w:r>
      <w:r w:rsidRPr="00D83A61">
        <w:rPr>
          <w:rtl/>
        </w:rPr>
        <w:t>2</w:t>
      </w:r>
      <w:r w:rsidRPr="00F10B90">
        <w:rPr>
          <w:rtl/>
        </w:rPr>
        <w:t>(</w:t>
      </w:r>
      <w:r w:rsidRPr="00D83A61">
        <w:rPr>
          <w:rtl/>
        </w:rPr>
        <w:t>3</w:t>
      </w:r>
      <w:r w:rsidRPr="00F10B90">
        <w:rPr>
          <w:rtl/>
        </w:rPr>
        <w:t xml:space="preserve">) من العهد، أو حتى التحدث علناً عن الانتهاكات المرتكبة ضد ذويها، مما يعرضها للحكم بالسجن لمدة قد تصل إلى خمس سنوات، في انتهاك للمادة </w:t>
      </w:r>
      <w:r w:rsidRPr="00D83A61">
        <w:rPr>
          <w:rtl/>
        </w:rPr>
        <w:t>19</w:t>
      </w:r>
      <w:r w:rsidRPr="00F10B90">
        <w:rPr>
          <w:rtl/>
        </w:rPr>
        <w:t xml:space="preserve"> من العهد.</w:t>
      </w:r>
    </w:p>
    <w:p w14:paraId="10B06FF3" w14:textId="77777777" w:rsidR="006F28FC" w:rsidRPr="00D83A61" w:rsidRDefault="006F28FC" w:rsidP="00F10B90">
      <w:pPr>
        <w:pStyle w:val="H23GA"/>
        <w:spacing w:line="346" w:lineRule="exact"/>
      </w:pPr>
      <w:r w:rsidRPr="00D83A61">
        <w:rPr>
          <w:rtl/>
        </w:rPr>
        <w:tab/>
      </w:r>
      <w:r w:rsidRPr="00D83A61">
        <w:rPr>
          <w:rtl/>
        </w:rPr>
        <w:tab/>
        <w:t>عدم تعاون الدولة الطرف</w:t>
      </w:r>
    </w:p>
    <w:p w14:paraId="5BC387D4" w14:textId="265F3517" w:rsidR="006F28FC" w:rsidRDefault="006F28FC" w:rsidP="00F10B90">
      <w:pPr>
        <w:pStyle w:val="SingleTxtGA"/>
        <w:spacing w:line="346" w:lineRule="exact"/>
      </w:pPr>
      <w:r w:rsidRPr="00D83A61">
        <w:rPr>
          <w:rtl/>
        </w:rPr>
        <w:t>6</w:t>
      </w:r>
      <w:r>
        <w:rPr>
          <w:rtl/>
        </w:rPr>
        <w:t>-</w:t>
      </w:r>
      <w:r>
        <w:rPr>
          <w:rtl/>
        </w:rPr>
        <w:tab/>
        <w:t xml:space="preserve">في </w:t>
      </w:r>
      <w:r w:rsidRPr="00D83A61">
        <w:rPr>
          <w:rtl/>
        </w:rPr>
        <w:t>12</w:t>
      </w:r>
      <w:r>
        <w:rPr>
          <w:rtl/>
        </w:rPr>
        <w:t xml:space="preserve"> تشرين الأول/أكتوبر و</w:t>
      </w:r>
      <w:r w:rsidRPr="00D83A61">
        <w:rPr>
          <w:rtl/>
        </w:rPr>
        <w:t>13</w:t>
      </w:r>
      <w:r>
        <w:rPr>
          <w:rtl/>
        </w:rPr>
        <w:t xml:space="preserve"> كانون الأول/ديسمبر </w:t>
      </w:r>
      <w:r w:rsidRPr="00D83A61">
        <w:rPr>
          <w:rtl/>
        </w:rPr>
        <w:t>2018</w:t>
      </w:r>
      <w:r>
        <w:rPr>
          <w:rtl/>
        </w:rPr>
        <w:t xml:space="preserve">، طُلب إلى الدولة الطرف تقديم ملاحظاتها بشأن الأسس الموضوعية للبلاغ. وتشير اللجنة إلى أنها لم تتلق أي ردّ وتعبر عن أسفها لامتناع الدولة الطرف عن تقديم أي معلومات بهذا الشأن. والدولة الطرف ملزمةٌ، بموجب المادة </w:t>
      </w:r>
      <w:r w:rsidRPr="00D83A61">
        <w:rPr>
          <w:rtl/>
        </w:rPr>
        <w:t>4</w:t>
      </w:r>
      <w:r>
        <w:rPr>
          <w:rtl/>
        </w:rPr>
        <w:t>(</w:t>
      </w:r>
      <w:r w:rsidRPr="00D83A61">
        <w:rPr>
          <w:rtl/>
        </w:rPr>
        <w:t>2</w:t>
      </w:r>
      <w:r>
        <w:rPr>
          <w:rtl/>
        </w:rPr>
        <w:t xml:space="preserve">) من </w:t>
      </w:r>
      <w:r w:rsidRPr="004A14A3">
        <w:rPr>
          <w:spacing w:val="2"/>
          <w:rtl/>
        </w:rPr>
        <w:t>البروتوكول الاختياري، بأن تفحص بحسن نية جميع الادعاءات التي تنسب لها ولمن يمثلها بارتكاب</w:t>
      </w:r>
      <w:r>
        <w:rPr>
          <w:rtl/>
        </w:rPr>
        <w:t xml:space="preserve"> انتهاكات لأحكام العهد، وبأن توافي اللجنة بما تملكه من </w:t>
      </w:r>
      <w:proofErr w:type="gramStart"/>
      <w:r>
        <w:rPr>
          <w:rtl/>
        </w:rPr>
        <w:t>معلومات</w:t>
      </w:r>
      <w:r w:rsidRPr="006F28FC">
        <w:rPr>
          <w:vertAlign w:val="superscript"/>
          <w:rtl/>
        </w:rPr>
        <w:t>(</w:t>
      </w:r>
      <w:proofErr w:type="gramEnd"/>
      <w:r w:rsidRPr="00D83A61">
        <w:rPr>
          <w:rStyle w:val="FootnoteReference"/>
          <w:szCs w:val="22"/>
          <w:lang w:val="en-US"/>
        </w:rPr>
        <w:footnoteReference w:id="17"/>
      </w:r>
      <w:r w:rsidRPr="006F28FC">
        <w:rPr>
          <w:vertAlign w:val="superscript"/>
          <w:rtl/>
        </w:rPr>
        <w:t>)</w:t>
      </w:r>
      <w:r w:rsidR="00F10B90">
        <w:rPr>
          <w:rFonts w:hint="cs"/>
          <w:rtl/>
        </w:rPr>
        <w:t>.</w:t>
      </w:r>
    </w:p>
    <w:p w14:paraId="773EC5F3" w14:textId="3FE56CBF" w:rsidR="006F28FC" w:rsidRPr="00D83A61" w:rsidRDefault="006F28FC" w:rsidP="00F10B90">
      <w:pPr>
        <w:pStyle w:val="H23GA"/>
        <w:spacing w:line="346" w:lineRule="exact"/>
      </w:pPr>
      <w:r w:rsidRPr="00D83A61">
        <w:rPr>
          <w:rtl/>
        </w:rPr>
        <w:tab/>
      </w:r>
      <w:r w:rsidRPr="00D83A61">
        <w:rPr>
          <w:rtl/>
        </w:rPr>
        <w:tab/>
        <w:t>المسائل والإجراءات المعروضة على اللجنة</w:t>
      </w:r>
    </w:p>
    <w:p w14:paraId="3E3CF7BC" w14:textId="5F89BCDE" w:rsidR="006F28FC" w:rsidRPr="00D83A61" w:rsidRDefault="006F28FC" w:rsidP="00F10B90">
      <w:pPr>
        <w:pStyle w:val="H4GA"/>
        <w:spacing w:line="346" w:lineRule="exact"/>
      </w:pPr>
      <w:r w:rsidRPr="00D83A61">
        <w:rPr>
          <w:rtl/>
        </w:rPr>
        <w:tab/>
      </w:r>
      <w:r w:rsidRPr="00D83A61">
        <w:rPr>
          <w:rtl/>
        </w:rPr>
        <w:tab/>
        <w:t>النظر في المقبولية</w:t>
      </w:r>
    </w:p>
    <w:p w14:paraId="43F8B5E6" w14:textId="77777777" w:rsidR="006F28FC" w:rsidRDefault="006F28FC" w:rsidP="00F10B90">
      <w:pPr>
        <w:pStyle w:val="SingleTxtGA"/>
        <w:spacing w:line="346" w:lineRule="exact"/>
      </w:pPr>
      <w:r w:rsidRPr="00D83A61">
        <w:rPr>
          <w:rtl/>
        </w:rPr>
        <w:t>7</w:t>
      </w:r>
      <w:r>
        <w:rPr>
          <w:rtl/>
        </w:rPr>
        <w:t>-</w:t>
      </w:r>
      <w:r w:rsidRPr="00D83A61">
        <w:rPr>
          <w:rtl/>
        </w:rPr>
        <w:t>1</w:t>
      </w:r>
      <w:r>
        <w:rPr>
          <w:rtl/>
        </w:rPr>
        <w:tab/>
        <w:t xml:space="preserve">قبل النظر في أي شكوى ترد في بلاغ ما، يتعين على اللجنة، وفقاً للمادة </w:t>
      </w:r>
      <w:r w:rsidRPr="00D83A61">
        <w:rPr>
          <w:rtl/>
        </w:rPr>
        <w:t>97</w:t>
      </w:r>
      <w:r>
        <w:rPr>
          <w:rtl/>
        </w:rPr>
        <w:t xml:space="preserve"> من نظامها الداخلي، أن تحدد ما إذا كان البلاغ مقبولاً بموجب البروتوكول الاختياري الملحق بالعهد.</w:t>
      </w:r>
    </w:p>
    <w:p w14:paraId="376700C9" w14:textId="77777777" w:rsidR="006F28FC" w:rsidRDefault="006F28FC" w:rsidP="00F10B90">
      <w:pPr>
        <w:pStyle w:val="SingleTxtGA"/>
        <w:spacing w:line="346" w:lineRule="exact"/>
      </w:pPr>
      <w:r w:rsidRPr="00D83A61">
        <w:rPr>
          <w:rtl/>
        </w:rPr>
        <w:t>7</w:t>
      </w:r>
      <w:r>
        <w:rPr>
          <w:rtl/>
        </w:rPr>
        <w:t>-</w:t>
      </w:r>
      <w:r w:rsidRPr="00D83A61">
        <w:rPr>
          <w:rtl/>
        </w:rPr>
        <w:t>2</w:t>
      </w:r>
      <w:r>
        <w:rPr>
          <w:rtl/>
        </w:rPr>
        <w:tab/>
      </w:r>
      <w:r w:rsidRPr="00F10B90">
        <w:rPr>
          <w:spacing w:val="-2"/>
          <w:rtl/>
        </w:rPr>
        <w:t xml:space="preserve">وقد استيقنت اللجنة، وفقاً لما تنص عليه المادة </w:t>
      </w:r>
      <w:r w:rsidRPr="00D83A61">
        <w:rPr>
          <w:spacing w:val="-2"/>
          <w:rtl/>
        </w:rPr>
        <w:t>5</w:t>
      </w:r>
      <w:r w:rsidRPr="00F10B90">
        <w:rPr>
          <w:spacing w:val="-2"/>
          <w:rtl/>
        </w:rPr>
        <w:t>(</w:t>
      </w:r>
      <w:r w:rsidRPr="00D83A61">
        <w:rPr>
          <w:spacing w:val="-2"/>
          <w:rtl/>
        </w:rPr>
        <w:t>2</w:t>
      </w:r>
      <w:r w:rsidRPr="00F10B90">
        <w:rPr>
          <w:spacing w:val="-2"/>
          <w:rtl/>
        </w:rPr>
        <w:t xml:space="preserve">)(أ) من البروتوكول الاختياري، من أن المسألة </w:t>
      </w:r>
      <w:r>
        <w:rPr>
          <w:rtl/>
        </w:rPr>
        <w:t>نفسها ليست قيد البحث في إطار أي إجراء آخر من إجراءات التحقيق الدولي أو التسوية الدولية.</w:t>
      </w:r>
    </w:p>
    <w:p w14:paraId="0595FCC2" w14:textId="4C13DA43" w:rsidR="006F28FC" w:rsidRDefault="006F28FC" w:rsidP="00F10B90">
      <w:pPr>
        <w:pStyle w:val="SingleTxtGA"/>
        <w:spacing w:line="346" w:lineRule="exact"/>
      </w:pPr>
      <w:r w:rsidRPr="00D83A61">
        <w:rPr>
          <w:rtl/>
        </w:rPr>
        <w:t>7</w:t>
      </w:r>
      <w:r>
        <w:rPr>
          <w:rtl/>
        </w:rPr>
        <w:t>-</w:t>
      </w:r>
      <w:r w:rsidRPr="00D83A61">
        <w:rPr>
          <w:rtl/>
        </w:rPr>
        <w:t>3</w:t>
      </w:r>
      <w:r>
        <w:rPr>
          <w:rtl/>
        </w:rPr>
        <w:tab/>
        <w:t xml:space="preserve">وتحيط اللجنة علماً بادعاءات صاحبة البلاغ التي ترى أنها قد استنفدت جميع سبل الانتصاف المحلية المتاحة. وتلاحظ أن الدولة الطرف تكتفي، في معرض الطعن في مقبولية البلاغ، بالإحالة إلى المذكرة المرجعية الصادرة عن الحكومة الجزائرية بشأن معالجة مسألة الاختفاء في ضوء تنفيذ ميثاق السلم والمصالحة الوطنية. وفي هذا الصدد، تشير اللجنة إلى أنها كانت قد أعربت عن قلقها في عام </w:t>
      </w:r>
      <w:r w:rsidRPr="00D83A61">
        <w:rPr>
          <w:rtl/>
        </w:rPr>
        <w:t>2018</w:t>
      </w:r>
      <w:r>
        <w:rPr>
          <w:rtl/>
        </w:rPr>
        <w:t xml:space="preserve"> لأن الدولة الطرف ظلت، على الرغم من طلباتها المتكررة، تحيل بصورة منهجية إلى وثيقة عامة نموذجية </w:t>
      </w:r>
      <w:r w:rsidRPr="004A14A3">
        <w:rPr>
          <w:spacing w:val="2"/>
          <w:rtl/>
        </w:rPr>
        <w:t xml:space="preserve">تُعرف باسم "مذكرة"، دون تقديم ردود محددة على ادعاءات أصحاب البلاغات. وبناءً على ذلك، حثت </w:t>
      </w:r>
      <w:r w:rsidRPr="008C6159">
        <w:rPr>
          <w:spacing w:val="-2"/>
          <w:rtl/>
        </w:rPr>
        <w:t>اللجنة الدولة الطرف على أن تتعاون معها بحسن نية في إطار إجراء البلاغات الفردية والتوقف عن الإحالة</w:t>
      </w:r>
      <w:r>
        <w:rPr>
          <w:rtl/>
        </w:rPr>
        <w:t xml:space="preserve"> إلى "المذكرة"، وتقديم ردود محددة وفردية على ادعاءات أصحاب </w:t>
      </w:r>
      <w:proofErr w:type="gramStart"/>
      <w:r>
        <w:rPr>
          <w:rtl/>
        </w:rPr>
        <w:t>البلاغات</w:t>
      </w:r>
      <w:r w:rsidRPr="006F28FC">
        <w:rPr>
          <w:vertAlign w:val="superscript"/>
          <w:rtl/>
        </w:rPr>
        <w:t>(</w:t>
      </w:r>
      <w:proofErr w:type="gramEnd"/>
      <w:r w:rsidRPr="00D83A61">
        <w:rPr>
          <w:rStyle w:val="FootnoteReference"/>
          <w:szCs w:val="22"/>
          <w:lang w:val="en-US"/>
        </w:rPr>
        <w:footnoteReference w:id="18"/>
      </w:r>
      <w:r w:rsidRPr="006F28FC">
        <w:rPr>
          <w:vertAlign w:val="superscript"/>
          <w:rtl/>
        </w:rPr>
        <w:t>)</w:t>
      </w:r>
      <w:r w:rsidR="00F10B90">
        <w:rPr>
          <w:rFonts w:hint="cs"/>
          <w:rtl/>
        </w:rPr>
        <w:t>.</w:t>
      </w:r>
    </w:p>
    <w:p w14:paraId="660E5ADE" w14:textId="0FDB2AA4" w:rsidR="006F28FC" w:rsidRDefault="006F28FC" w:rsidP="006F28FC">
      <w:pPr>
        <w:pStyle w:val="SingleTxtGA"/>
      </w:pPr>
      <w:r w:rsidRPr="00D83A61">
        <w:rPr>
          <w:rtl/>
        </w:rPr>
        <w:t>7</w:t>
      </w:r>
      <w:r>
        <w:rPr>
          <w:rtl/>
        </w:rPr>
        <w:t>-</w:t>
      </w:r>
      <w:r w:rsidRPr="00D83A61">
        <w:rPr>
          <w:rtl/>
        </w:rPr>
        <w:t>4</w:t>
      </w:r>
      <w:r>
        <w:rPr>
          <w:rtl/>
        </w:rPr>
        <w:tab/>
        <w:t xml:space="preserve">وتذكّر اللجنة بأن واجب الدولة الطرف لا يقتصر فقط على إجراء تحقيقات شاملة في انتهاكات حقوق الإنسان المزعومة التي تُبلَّغ بها سلطاتها، ولا سيما ما تعلّق منها بانتهاك الحق في الحياة، بل من واجبها أيضاً ملاحقة كل شخص يُزعم أنه ضالعٌ في تلك الانتهاكات ومحاكمته </w:t>
      </w:r>
      <w:proofErr w:type="gramStart"/>
      <w:r>
        <w:rPr>
          <w:rtl/>
        </w:rPr>
        <w:t>ومعاقبته</w:t>
      </w:r>
      <w:r w:rsidRPr="006F28FC">
        <w:rPr>
          <w:vertAlign w:val="superscript"/>
          <w:rtl/>
        </w:rPr>
        <w:t>(</w:t>
      </w:r>
      <w:proofErr w:type="gramEnd"/>
      <w:r w:rsidRPr="00D83A61">
        <w:rPr>
          <w:rStyle w:val="FootnoteReference"/>
          <w:szCs w:val="22"/>
          <w:lang w:val="en-US"/>
        </w:rPr>
        <w:footnoteReference w:id="19"/>
      </w:r>
      <w:r w:rsidRPr="006F28FC">
        <w:rPr>
          <w:vertAlign w:val="superscript"/>
          <w:rtl/>
        </w:rPr>
        <w:t>)</w:t>
      </w:r>
      <w:r w:rsidR="00F10B90">
        <w:rPr>
          <w:rFonts w:hint="cs"/>
          <w:rtl/>
        </w:rPr>
        <w:t>.</w:t>
      </w:r>
      <w:r>
        <w:rPr>
          <w:rtl/>
        </w:rPr>
        <w:t xml:space="preserve"> وقد نبَّهت أسرة صادق </w:t>
      </w:r>
      <w:proofErr w:type="spellStart"/>
      <w:r>
        <w:rPr>
          <w:rtl/>
        </w:rPr>
        <w:t>الرسيوي</w:t>
      </w:r>
      <w:proofErr w:type="spellEnd"/>
      <w:r>
        <w:rPr>
          <w:rtl/>
        </w:rPr>
        <w:t xml:space="preserve"> السلطات المختصة مراراً وتكراراً إلى تعرض الضحية للاختفاء القسري، ولكن الدولة الطرف لم تباشر أي تحقيق شامل ودقيق في هذا الادعاء الخطير. وبالإضافة إلى ذلك، لم تقدم الدولة الطرف تفسيراً محدداً في ملاحظاتها بشأن قضية صادق </w:t>
      </w:r>
      <w:proofErr w:type="spellStart"/>
      <w:r>
        <w:rPr>
          <w:rtl/>
        </w:rPr>
        <w:t>الرسيوي</w:t>
      </w:r>
      <w:proofErr w:type="spellEnd"/>
      <w:r>
        <w:rPr>
          <w:rtl/>
        </w:rPr>
        <w:t xml:space="preserve"> يُمكن أن يُستنتج منه أن ثمة سبيل انتصاف فعال قد بات متاحاً. ويضاف إلى ذلك أن تطبيق الأمر </w:t>
      </w:r>
      <w:r w:rsidRPr="00D83A61">
        <w:rPr>
          <w:rtl/>
        </w:rPr>
        <w:t>06</w:t>
      </w:r>
      <w:r>
        <w:rPr>
          <w:rtl/>
        </w:rPr>
        <w:t>-</w:t>
      </w:r>
      <w:r w:rsidRPr="00D83A61">
        <w:rPr>
          <w:rtl/>
        </w:rPr>
        <w:t>01</w:t>
      </w:r>
      <w:r>
        <w:rPr>
          <w:rtl/>
        </w:rPr>
        <w:t xml:space="preserve"> لا يزال مستمراً، مع أن اللجنة </w:t>
      </w:r>
      <w:r w:rsidRPr="00F10B90">
        <w:rPr>
          <w:spacing w:val="-2"/>
          <w:rtl/>
        </w:rPr>
        <w:t xml:space="preserve">أوصت بمواءمته مع </w:t>
      </w:r>
      <w:proofErr w:type="gramStart"/>
      <w:r w:rsidRPr="00F10B90">
        <w:rPr>
          <w:spacing w:val="-2"/>
          <w:rtl/>
        </w:rPr>
        <w:t>العهد</w:t>
      </w:r>
      <w:r w:rsidRPr="00F10B90">
        <w:rPr>
          <w:spacing w:val="-2"/>
          <w:vertAlign w:val="superscript"/>
          <w:rtl/>
        </w:rPr>
        <w:t>(</w:t>
      </w:r>
      <w:proofErr w:type="gramEnd"/>
      <w:r w:rsidRPr="00D83A61">
        <w:rPr>
          <w:rStyle w:val="FootnoteReference"/>
          <w:spacing w:val="-2"/>
          <w:szCs w:val="22"/>
          <w:lang w:val="en-US"/>
        </w:rPr>
        <w:footnoteReference w:id="20"/>
      </w:r>
      <w:r w:rsidRPr="00F10B90">
        <w:rPr>
          <w:spacing w:val="-2"/>
          <w:vertAlign w:val="superscript"/>
          <w:rtl/>
        </w:rPr>
        <w:t>)</w:t>
      </w:r>
      <w:r w:rsidR="00F10B90" w:rsidRPr="00F10B90">
        <w:rPr>
          <w:rFonts w:hint="cs"/>
          <w:spacing w:val="-2"/>
          <w:rtl/>
        </w:rPr>
        <w:t>.</w:t>
      </w:r>
      <w:r w:rsidRPr="00F10B90">
        <w:rPr>
          <w:spacing w:val="-2"/>
          <w:rtl/>
        </w:rPr>
        <w:t xml:space="preserve"> وقد ذكرت اللجنة في ملاحظاتها الختامية بشأن التقرير الدوري الرابع للدولة</w:t>
      </w:r>
      <w:r>
        <w:rPr>
          <w:rtl/>
        </w:rPr>
        <w:t xml:space="preserve"> الطرف أنها تأسف لعدم توفير سبيل انتصاف فعال للأشخاص المفقودين و/أو أسرهم، وعدم اتخاذ تدابير </w:t>
      </w:r>
      <w:r w:rsidRPr="00F10B90">
        <w:rPr>
          <w:spacing w:val="-4"/>
          <w:rtl/>
        </w:rPr>
        <w:t xml:space="preserve">لاستجلاء حقيقة اختفاء الأشخاص المفقودين، وتحديد مكان وجودهم وإعادة رفات من توفي منهم إلى </w:t>
      </w:r>
      <w:proofErr w:type="gramStart"/>
      <w:r w:rsidRPr="00F10B90">
        <w:rPr>
          <w:spacing w:val="-4"/>
          <w:rtl/>
        </w:rPr>
        <w:t>أسرته</w:t>
      </w:r>
      <w:r w:rsidRPr="006F28FC">
        <w:rPr>
          <w:vertAlign w:val="superscript"/>
          <w:rtl/>
        </w:rPr>
        <w:t>(</w:t>
      </w:r>
      <w:proofErr w:type="gramEnd"/>
      <w:r w:rsidRPr="00D83A61">
        <w:rPr>
          <w:rStyle w:val="FootnoteReference"/>
          <w:szCs w:val="22"/>
          <w:lang w:val="en-US"/>
        </w:rPr>
        <w:footnoteReference w:id="21"/>
      </w:r>
      <w:r w:rsidRPr="006F28FC">
        <w:rPr>
          <w:vertAlign w:val="superscript"/>
          <w:rtl/>
        </w:rPr>
        <w:t>)</w:t>
      </w:r>
      <w:r w:rsidR="00F10B90">
        <w:rPr>
          <w:rFonts w:hint="cs"/>
          <w:rtl/>
        </w:rPr>
        <w:t>.</w:t>
      </w:r>
      <w:r>
        <w:rPr>
          <w:rtl/>
        </w:rPr>
        <w:t xml:space="preserve"> وفي ضوء هذه الظروف، ترى اللجنة أنه لا شيء يمنعها من النظر في البلاغ وفقاً للمادة </w:t>
      </w:r>
      <w:r w:rsidRPr="00D83A61">
        <w:rPr>
          <w:rtl/>
        </w:rPr>
        <w:t>5</w:t>
      </w:r>
      <w:r>
        <w:rPr>
          <w:rtl/>
        </w:rPr>
        <w:t>(</w:t>
      </w:r>
      <w:r w:rsidRPr="00D83A61">
        <w:rPr>
          <w:rtl/>
        </w:rPr>
        <w:t>2</w:t>
      </w:r>
      <w:r>
        <w:rPr>
          <w:rtl/>
        </w:rPr>
        <w:t>)(ب) من البروتوكول الاختياري.</w:t>
      </w:r>
    </w:p>
    <w:p w14:paraId="4FC0DFEC" w14:textId="61BD0402" w:rsidR="006F28FC" w:rsidRDefault="006F28FC" w:rsidP="006F28FC">
      <w:pPr>
        <w:pStyle w:val="SingleTxtGA"/>
      </w:pPr>
      <w:r w:rsidRPr="00D83A61">
        <w:rPr>
          <w:rtl/>
        </w:rPr>
        <w:t>7</w:t>
      </w:r>
      <w:r>
        <w:rPr>
          <w:rtl/>
        </w:rPr>
        <w:t>-</w:t>
      </w:r>
      <w:r w:rsidRPr="00D83A61">
        <w:rPr>
          <w:rtl/>
        </w:rPr>
        <w:t>5</w:t>
      </w:r>
      <w:r>
        <w:rPr>
          <w:rtl/>
        </w:rPr>
        <w:tab/>
        <w:t xml:space="preserve">وتلاحظ اللجنة أن صاحبة البلاغ تؤكد أن الدولة الطرف لم تف بالتزاماتها بموجب المادة </w:t>
      </w:r>
      <w:r w:rsidRPr="00D83A61">
        <w:rPr>
          <w:rtl/>
        </w:rPr>
        <w:t>2</w:t>
      </w:r>
      <w:r>
        <w:rPr>
          <w:rtl/>
        </w:rPr>
        <w:t>(</w:t>
      </w:r>
      <w:r w:rsidRPr="00D83A61">
        <w:rPr>
          <w:rtl/>
        </w:rPr>
        <w:t>2</w:t>
      </w:r>
      <w:r>
        <w:rPr>
          <w:rtl/>
        </w:rPr>
        <w:t xml:space="preserve">) من العهد، مقروءة بالاقتران مع المادتين </w:t>
      </w:r>
      <w:r w:rsidRPr="00D83A61">
        <w:rPr>
          <w:rtl/>
        </w:rPr>
        <w:t>2</w:t>
      </w:r>
      <w:r>
        <w:rPr>
          <w:rtl/>
        </w:rPr>
        <w:t>(</w:t>
      </w:r>
      <w:r w:rsidRPr="00D83A61">
        <w:rPr>
          <w:rtl/>
        </w:rPr>
        <w:t>3</w:t>
      </w:r>
      <w:r>
        <w:rPr>
          <w:rtl/>
        </w:rPr>
        <w:t>)</w:t>
      </w:r>
      <w:r w:rsidR="00507C1E">
        <w:rPr>
          <w:rtl/>
        </w:rPr>
        <w:t xml:space="preserve"> و</w:t>
      </w:r>
      <w:r w:rsidRPr="00D83A61">
        <w:rPr>
          <w:rtl/>
        </w:rPr>
        <w:t>19</w:t>
      </w:r>
      <w:r>
        <w:rPr>
          <w:rtl/>
        </w:rPr>
        <w:t xml:space="preserve">، لأن الدولة الطرف، باعتمادها الأمر </w:t>
      </w:r>
      <w:r w:rsidRPr="00D83A61">
        <w:rPr>
          <w:rtl/>
        </w:rPr>
        <w:t>06</w:t>
      </w:r>
      <w:r>
        <w:rPr>
          <w:rtl/>
        </w:rPr>
        <w:t>-</w:t>
      </w:r>
      <w:r w:rsidRPr="00D83A61">
        <w:rPr>
          <w:rtl/>
        </w:rPr>
        <w:t>01</w:t>
      </w:r>
      <w:r>
        <w:rPr>
          <w:rtl/>
        </w:rPr>
        <w:t xml:space="preserve">، اتخذت تدبيرا تشريعيا يحرم من الآثار الفعلية للحق في الحصول على سبيل انتصاف فعال من انتهاكات حقوق الإنسان، في انتهاك للمادة </w:t>
      </w:r>
      <w:r w:rsidRPr="00D83A61">
        <w:rPr>
          <w:rtl/>
        </w:rPr>
        <w:t>2</w:t>
      </w:r>
      <w:r>
        <w:rPr>
          <w:rtl/>
        </w:rPr>
        <w:t>(</w:t>
      </w:r>
      <w:r w:rsidRPr="00D83A61">
        <w:rPr>
          <w:rtl/>
        </w:rPr>
        <w:t>3</w:t>
      </w:r>
      <w:r>
        <w:rPr>
          <w:rtl/>
        </w:rPr>
        <w:t xml:space="preserve">) من العهد، وبتجريمها أيضاً لأي تعبير سلمي أو أية دعاية بشأن الوقائع المزعومة، في انتهاك لحق صاحبة البلاغ في حرية التعبير بموجب المادة </w:t>
      </w:r>
      <w:r w:rsidRPr="00D83A61">
        <w:rPr>
          <w:rtl/>
        </w:rPr>
        <w:t>19</w:t>
      </w:r>
      <w:r>
        <w:rPr>
          <w:rtl/>
        </w:rPr>
        <w:t xml:space="preserve"> من العهد. وتشير اللجنة أيضاً إلى اجتهاداتها السابقة التي تفيد بأنه</w:t>
      </w:r>
      <w:r w:rsidR="00507C1E">
        <w:rPr>
          <w:rtl/>
        </w:rPr>
        <w:t xml:space="preserve"> </w:t>
      </w:r>
      <w:r>
        <w:rPr>
          <w:rtl/>
        </w:rPr>
        <w:t xml:space="preserve">لا يمكن الاحتجاج بأحكام المادة </w:t>
      </w:r>
      <w:r w:rsidRPr="00D83A61">
        <w:rPr>
          <w:rtl/>
        </w:rPr>
        <w:t>2</w:t>
      </w:r>
      <w:r>
        <w:rPr>
          <w:rtl/>
        </w:rPr>
        <w:t>(</w:t>
      </w:r>
      <w:r w:rsidRPr="00D83A61">
        <w:rPr>
          <w:rtl/>
        </w:rPr>
        <w:t>2</w:t>
      </w:r>
      <w:r>
        <w:rPr>
          <w:rtl/>
        </w:rPr>
        <w:t xml:space="preserve">) في ادعاء يرد في بلاغ ما مقدم بمقتضى البروتوكول الاختياري مقترناً بأحكام أخرى من العهد، إلا إذا كان عدم تقيّد الدولة الطرف بالتزاماتها في إطار المادة </w:t>
      </w:r>
      <w:r w:rsidRPr="00D83A61">
        <w:rPr>
          <w:rtl/>
        </w:rPr>
        <w:t>2</w:t>
      </w:r>
      <w:r>
        <w:rPr>
          <w:rtl/>
        </w:rPr>
        <w:t xml:space="preserve"> هو السبب المباشر لحدوث انتهاك منفصل للعهد يؤثّر مباشرة على الشخص الذي يدعي أنه </w:t>
      </w:r>
      <w:proofErr w:type="gramStart"/>
      <w:r>
        <w:rPr>
          <w:rtl/>
        </w:rPr>
        <w:t>ضحية</w:t>
      </w:r>
      <w:r w:rsidRPr="006F28FC">
        <w:rPr>
          <w:vertAlign w:val="superscript"/>
          <w:rtl/>
        </w:rPr>
        <w:t>(</w:t>
      </w:r>
      <w:proofErr w:type="gramEnd"/>
      <w:r w:rsidRPr="00D83A61">
        <w:rPr>
          <w:rStyle w:val="FootnoteReference"/>
          <w:szCs w:val="22"/>
          <w:lang w:val="en-US"/>
        </w:rPr>
        <w:footnoteReference w:id="22"/>
      </w:r>
      <w:r w:rsidRPr="006F28FC">
        <w:rPr>
          <w:vertAlign w:val="superscript"/>
          <w:rtl/>
        </w:rPr>
        <w:t>)</w:t>
      </w:r>
      <w:r w:rsidR="00F10B90">
        <w:rPr>
          <w:rFonts w:hint="cs"/>
          <w:rtl/>
        </w:rPr>
        <w:t>.</w:t>
      </w:r>
      <w:r>
        <w:rPr>
          <w:rtl/>
        </w:rPr>
        <w:t xml:space="preserve"> وتُذكِّر اللجنة أيضاً باجتهاداتها التي مفادها أنه لا يجوز لأي شخص أن يدعي أنه ضحية بالمعنى الوارد في المادة </w:t>
      </w:r>
      <w:r w:rsidRPr="00D83A61">
        <w:rPr>
          <w:rtl/>
        </w:rPr>
        <w:t>1</w:t>
      </w:r>
      <w:r>
        <w:rPr>
          <w:rtl/>
        </w:rPr>
        <w:t xml:space="preserve"> من البروتوكول الاختياري إلا إذا انتهكت حقوقه بالفعل، وأنه لا يجوز لأي شخص أن يطعن، نظرياً ومن خلال دعوى الحِسبة، في قانون أو ممارسة يراها</w:t>
      </w:r>
      <w:r w:rsidR="00F10B90">
        <w:rPr>
          <w:rFonts w:hint="cs"/>
          <w:rtl/>
        </w:rPr>
        <w:t> </w:t>
      </w:r>
      <w:r>
        <w:rPr>
          <w:rtl/>
        </w:rPr>
        <w:t xml:space="preserve">منافية </w:t>
      </w:r>
      <w:proofErr w:type="gramStart"/>
      <w:r>
        <w:rPr>
          <w:rtl/>
        </w:rPr>
        <w:t>للعهد</w:t>
      </w:r>
      <w:r w:rsidRPr="006F28FC">
        <w:rPr>
          <w:vertAlign w:val="superscript"/>
          <w:rtl/>
        </w:rPr>
        <w:t>(</w:t>
      </w:r>
      <w:proofErr w:type="gramEnd"/>
      <w:r w:rsidRPr="00D83A61">
        <w:rPr>
          <w:rStyle w:val="FootnoteReference"/>
          <w:szCs w:val="22"/>
          <w:lang w:val="en-US"/>
        </w:rPr>
        <w:footnoteReference w:id="23"/>
      </w:r>
      <w:r w:rsidRPr="006F28FC">
        <w:rPr>
          <w:vertAlign w:val="superscript"/>
          <w:rtl/>
        </w:rPr>
        <w:t>)</w:t>
      </w:r>
      <w:r w:rsidR="00F10B90">
        <w:rPr>
          <w:rFonts w:hint="cs"/>
          <w:rtl/>
        </w:rPr>
        <w:t>.</w:t>
      </w:r>
      <w:r>
        <w:rPr>
          <w:rtl/>
        </w:rPr>
        <w:t xml:space="preserve"> وفي هذه القضية، ترى اللجنة أن صاحبة البلاغ لم تقدم معلومات كافية توضح كيف أن الأمر </w:t>
      </w:r>
      <w:r w:rsidRPr="00D83A61">
        <w:rPr>
          <w:rtl/>
        </w:rPr>
        <w:t>06</w:t>
      </w:r>
      <w:r>
        <w:rPr>
          <w:rtl/>
        </w:rPr>
        <w:t>-</w:t>
      </w:r>
      <w:r w:rsidRPr="00D83A61">
        <w:rPr>
          <w:rtl/>
        </w:rPr>
        <w:t>01</w:t>
      </w:r>
      <w:r>
        <w:rPr>
          <w:rtl/>
        </w:rPr>
        <w:t xml:space="preserve"> قد طبق عليها فعلاً من منظور المادة </w:t>
      </w:r>
      <w:r w:rsidRPr="00D83A61">
        <w:rPr>
          <w:rtl/>
        </w:rPr>
        <w:t>19</w:t>
      </w:r>
      <w:r>
        <w:rPr>
          <w:rtl/>
        </w:rPr>
        <w:t xml:space="preserve"> من العهد. ولذلك، ترى اللجنة أن </w:t>
      </w:r>
      <w:r w:rsidRPr="00F10B90">
        <w:rPr>
          <w:spacing w:val="-2"/>
          <w:rtl/>
        </w:rPr>
        <w:t xml:space="preserve">صاحبة البلاغ لم تدعم تلك الادعاءات بما يكفي من الأدلة، وتعلن بالتالي عدم قبولها بموجب المادة </w:t>
      </w:r>
      <w:r w:rsidRPr="00D83A61">
        <w:rPr>
          <w:spacing w:val="-2"/>
          <w:rtl/>
        </w:rPr>
        <w:t>2</w:t>
      </w:r>
      <w:r w:rsidRPr="00F10B90">
        <w:rPr>
          <w:spacing w:val="-2"/>
          <w:rtl/>
        </w:rPr>
        <w:t xml:space="preserve"> من</w:t>
      </w:r>
      <w:r>
        <w:rPr>
          <w:rtl/>
        </w:rPr>
        <w:t xml:space="preserve"> البروتوكول الاختياري.</w:t>
      </w:r>
    </w:p>
    <w:p w14:paraId="355B4271" w14:textId="34005A13" w:rsidR="006F28FC" w:rsidRPr="004F0CEC" w:rsidRDefault="006F28FC" w:rsidP="006F28FC">
      <w:pPr>
        <w:pStyle w:val="SingleTxtGA"/>
        <w:rPr>
          <w:spacing w:val="-4"/>
        </w:rPr>
      </w:pPr>
      <w:r w:rsidRPr="00D83A61">
        <w:rPr>
          <w:rtl/>
        </w:rPr>
        <w:t>7</w:t>
      </w:r>
      <w:r>
        <w:rPr>
          <w:rtl/>
        </w:rPr>
        <w:t>-</w:t>
      </w:r>
      <w:r w:rsidRPr="00D83A61">
        <w:rPr>
          <w:rtl/>
        </w:rPr>
        <w:t>6</w:t>
      </w:r>
      <w:r>
        <w:rPr>
          <w:rtl/>
        </w:rPr>
        <w:tab/>
      </w:r>
      <w:r w:rsidRPr="00F10B90">
        <w:rPr>
          <w:spacing w:val="-4"/>
          <w:rtl/>
        </w:rPr>
        <w:t xml:space="preserve">وعلاوة على ذلك، تلاحظ اللجنة، في ضوء التغيير الذي حدث في الإطار القانوني في عام </w:t>
      </w:r>
      <w:r w:rsidRPr="00D83A61">
        <w:rPr>
          <w:spacing w:val="-4"/>
          <w:rtl/>
        </w:rPr>
        <w:t>2006</w:t>
      </w:r>
      <w:r w:rsidRPr="00F10B90">
        <w:rPr>
          <w:spacing w:val="-4"/>
          <w:rtl/>
        </w:rPr>
        <w:t>،</w:t>
      </w:r>
      <w:r>
        <w:rPr>
          <w:rtl/>
        </w:rPr>
        <w:t xml:space="preserve"> أن صاحبة البلاغ لم تتمكن من إعمال حقها في الحصول على سبيل انتصاف فعال للإبلاغ عن اختفاء زوجها في عام </w:t>
      </w:r>
      <w:r w:rsidRPr="00D83A61">
        <w:rPr>
          <w:rtl/>
        </w:rPr>
        <w:t>1996</w:t>
      </w:r>
      <w:r>
        <w:rPr>
          <w:rtl/>
        </w:rPr>
        <w:t xml:space="preserve">، نظراً لعدم وجود أي سبيل من سبل الانتصاف يفي بهذا الغرض. وتلاحظ اللجنة أيضاً أن هذا البلاغ قُدم إليها في عام </w:t>
      </w:r>
      <w:r w:rsidRPr="00D83A61">
        <w:rPr>
          <w:rtl/>
        </w:rPr>
        <w:t>2016</w:t>
      </w:r>
      <w:r>
        <w:rPr>
          <w:rtl/>
        </w:rPr>
        <w:t xml:space="preserve">. وتذكّر بأن المادة </w:t>
      </w:r>
      <w:r w:rsidRPr="00D83A61">
        <w:rPr>
          <w:rtl/>
        </w:rPr>
        <w:t>99</w:t>
      </w:r>
      <w:r>
        <w:rPr>
          <w:rtl/>
        </w:rPr>
        <w:t xml:space="preserve">(ج) من نظامها الداخلي تنص على أنه قد يُساء استخدام الحق في تقديم البلاغات عندما يُقدَّم البلاغ بعد خمس سنوات من استنفاد صاحبه لسبل الانتصاف المحلية. وتُعطي صياغة هذا الحكم سلطة تقديرية للجنة، التي يمكنها أن تحدد الحالات </w:t>
      </w:r>
      <w:r w:rsidRPr="000951F1">
        <w:rPr>
          <w:spacing w:val="-4"/>
          <w:rtl/>
        </w:rPr>
        <w:t>التي لا يمكن أن تُطبق عليها بصرامة. وقد سبق أن استعرضت اللجنة حالات للاختفاء القسري ضد الدولة</w:t>
      </w:r>
      <w:r>
        <w:rPr>
          <w:rtl/>
        </w:rPr>
        <w:t xml:space="preserve"> </w:t>
      </w:r>
      <w:r w:rsidRPr="000951F1">
        <w:rPr>
          <w:spacing w:val="-2"/>
          <w:rtl/>
        </w:rPr>
        <w:t xml:space="preserve">الطرف. فعلى سبيل المثال، أُحيلت إلى اللجنة قضية محمود بوجمعة في عام </w:t>
      </w:r>
      <w:r w:rsidRPr="00D83A61">
        <w:rPr>
          <w:spacing w:val="-2"/>
          <w:rtl/>
        </w:rPr>
        <w:t>2013</w:t>
      </w:r>
      <w:r w:rsidRPr="000951F1">
        <w:rPr>
          <w:spacing w:val="-2"/>
          <w:rtl/>
        </w:rPr>
        <w:t>، ولو أن اختفاءه حدث</w:t>
      </w:r>
      <w:r>
        <w:rPr>
          <w:rtl/>
        </w:rPr>
        <w:t xml:space="preserve"> </w:t>
      </w:r>
      <w:r w:rsidRPr="000951F1">
        <w:rPr>
          <w:spacing w:val="4"/>
          <w:rtl/>
        </w:rPr>
        <w:t xml:space="preserve">في عام </w:t>
      </w:r>
      <w:r w:rsidRPr="00D83A61">
        <w:rPr>
          <w:spacing w:val="4"/>
          <w:rtl/>
        </w:rPr>
        <w:t>1996</w:t>
      </w:r>
      <w:r w:rsidRPr="000951F1">
        <w:rPr>
          <w:spacing w:val="4"/>
          <w:vertAlign w:val="superscript"/>
          <w:rtl/>
        </w:rPr>
        <w:t>(</w:t>
      </w:r>
      <w:r w:rsidRPr="00D83A61">
        <w:rPr>
          <w:rStyle w:val="FootnoteReference"/>
          <w:spacing w:val="4"/>
          <w:szCs w:val="22"/>
          <w:lang w:val="en-US"/>
        </w:rPr>
        <w:footnoteReference w:id="24"/>
      </w:r>
      <w:r w:rsidRPr="000951F1">
        <w:rPr>
          <w:spacing w:val="4"/>
          <w:vertAlign w:val="superscript"/>
          <w:rtl/>
        </w:rPr>
        <w:t>)</w:t>
      </w:r>
      <w:r w:rsidR="000951F1" w:rsidRPr="000951F1">
        <w:rPr>
          <w:rFonts w:hint="cs"/>
          <w:spacing w:val="4"/>
          <w:rtl/>
        </w:rPr>
        <w:t>.</w:t>
      </w:r>
      <w:r w:rsidRPr="000951F1">
        <w:rPr>
          <w:spacing w:val="4"/>
          <w:rtl/>
        </w:rPr>
        <w:t xml:space="preserve"> وتلاحظ اللجنة أنه في قضية </w:t>
      </w:r>
      <w:r w:rsidRPr="00D83A61">
        <w:rPr>
          <w:i/>
          <w:iCs/>
          <w:spacing w:val="4"/>
          <w:rtl/>
        </w:rPr>
        <w:t>بوجمعة ضد الجزائر</w:t>
      </w:r>
      <w:r w:rsidRPr="000951F1">
        <w:rPr>
          <w:spacing w:val="4"/>
          <w:rtl/>
        </w:rPr>
        <w:t>، لم تثر الدولة الطرف الطابع التعسفي للبلاغ</w:t>
      </w:r>
      <w:r w:rsidRPr="000951F1">
        <w:rPr>
          <w:spacing w:val="2"/>
          <w:rtl/>
        </w:rPr>
        <w:t xml:space="preserve">، كما فعلت في هذه القضية. وبالإضافة إلى ذلك، أتيحت الفرصة للجنة في عام </w:t>
      </w:r>
      <w:r w:rsidRPr="00D83A61">
        <w:rPr>
          <w:spacing w:val="2"/>
          <w:rtl/>
        </w:rPr>
        <w:t>2007</w:t>
      </w:r>
      <w:r w:rsidRPr="000951F1">
        <w:rPr>
          <w:spacing w:val="2"/>
          <w:rtl/>
        </w:rPr>
        <w:t xml:space="preserve"> وفي عام </w:t>
      </w:r>
      <w:r w:rsidRPr="00D83A61">
        <w:rPr>
          <w:spacing w:val="2"/>
          <w:rtl/>
        </w:rPr>
        <w:t>2018</w:t>
      </w:r>
      <w:r>
        <w:rPr>
          <w:rtl/>
        </w:rPr>
        <w:t xml:space="preserve">، لملاحظة أن الأمر </w:t>
      </w:r>
      <w:r w:rsidRPr="00D83A61">
        <w:rPr>
          <w:rtl/>
        </w:rPr>
        <w:t>06</w:t>
      </w:r>
      <w:r>
        <w:rPr>
          <w:rtl/>
        </w:rPr>
        <w:t>-</w:t>
      </w:r>
      <w:r w:rsidRPr="00D83A61">
        <w:rPr>
          <w:rtl/>
        </w:rPr>
        <w:t>01</w:t>
      </w:r>
      <w:r>
        <w:rPr>
          <w:rtl/>
        </w:rPr>
        <w:t xml:space="preserve"> يحظر مقاضاة عناصر قوات الدفاع والأمن، ويبدو أنه </w:t>
      </w:r>
      <w:r w:rsidRPr="004F0CEC">
        <w:rPr>
          <w:spacing w:val="-4"/>
          <w:rtl/>
        </w:rPr>
        <w:t xml:space="preserve">يعزز الإفلات من </w:t>
      </w:r>
      <w:proofErr w:type="gramStart"/>
      <w:r w:rsidRPr="004F0CEC">
        <w:rPr>
          <w:spacing w:val="-4"/>
          <w:rtl/>
        </w:rPr>
        <w:t>العقاب</w:t>
      </w:r>
      <w:r w:rsidRPr="004F0CEC">
        <w:rPr>
          <w:spacing w:val="-4"/>
          <w:vertAlign w:val="superscript"/>
          <w:rtl/>
        </w:rPr>
        <w:t>(</w:t>
      </w:r>
      <w:proofErr w:type="gramEnd"/>
      <w:r w:rsidRPr="00D83A61">
        <w:rPr>
          <w:rStyle w:val="FootnoteReference"/>
          <w:spacing w:val="-4"/>
          <w:szCs w:val="22"/>
          <w:lang w:val="en-US"/>
        </w:rPr>
        <w:footnoteReference w:id="25"/>
      </w:r>
      <w:r w:rsidRPr="004F0CEC">
        <w:rPr>
          <w:spacing w:val="-4"/>
          <w:vertAlign w:val="superscript"/>
          <w:rtl/>
        </w:rPr>
        <w:t>)</w:t>
      </w:r>
      <w:r w:rsidR="000951F1" w:rsidRPr="004F0CEC">
        <w:rPr>
          <w:rFonts w:hint="cs"/>
          <w:spacing w:val="-4"/>
          <w:rtl/>
        </w:rPr>
        <w:t>.</w:t>
      </w:r>
      <w:r w:rsidRPr="004F0CEC">
        <w:rPr>
          <w:spacing w:val="-4"/>
          <w:rtl/>
        </w:rPr>
        <w:t xml:space="preserve"> وترى اللجنة أن مناخ الإفلات من العقاب هذا، الذي يدعمه حظر اللجوء قانوناً إلى هيئة قضائية، له أثر سلبي لا جدال فيه على قدرة الضحايا على إعمال حقهم في سبيل انتصاف فعال، ليس على الصعيد الوطني فحسب، بل على الصعيد الدولي أيضاً. ويمكن أن يؤدي إعلان عدم مقبولية هذا البلاغ من أجل إساءة استخدام الحقوق إلى تشجيع الدولة الطرف على مواصلة عرقلة حق ضحايا انتهاك الحق في الحياة في الحصول على سبيل انتصاف فعال. وتشير اللجنة أيضاً إلى أن الاختفاء القسري يكتسي طابعاً مستمرا، وأن واجب التحقيق هو أيضاً ذو طابع مستمر، وهو ما يُقوضه ذلك القانون وآثاره في هذه القضية. ولذلك، لا ترى اللجنة أن هذا البلاغ يشكل إساءة لاستخدام للقانون في الظروف الخاصة لهذه القضية.</w:t>
      </w:r>
    </w:p>
    <w:p w14:paraId="0910BD80" w14:textId="77777777" w:rsidR="006F28FC" w:rsidRDefault="006F28FC" w:rsidP="006F28FC">
      <w:pPr>
        <w:pStyle w:val="SingleTxtGA"/>
      </w:pPr>
      <w:r w:rsidRPr="00D83A61">
        <w:rPr>
          <w:rtl/>
        </w:rPr>
        <w:t>7</w:t>
      </w:r>
      <w:r>
        <w:rPr>
          <w:rtl/>
        </w:rPr>
        <w:t>-</w:t>
      </w:r>
      <w:r w:rsidRPr="00D83A61">
        <w:rPr>
          <w:rtl/>
        </w:rPr>
        <w:t>7</w:t>
      </w:r>
      <w:r>
        <w:rPr>
          <w:rtl/>
        </w:rPr>
        <w:tab/>
        <w:t xml:space="preserve">وترى اللجنة أن صاحبة البلاغ قدمت ما يكفي من الأدلة لإثبات ادعاءاتها لأغراض المقبولية، </w:t>
      </w:r>
      <w:r w:rsidRPr="000951F1">
        <w:rPr>
          <w:spacing w:val="-4"/>
          <w:rtl/>
        </w:rPr>
        <w:t xml:space="preserve">ومن ثم فهي تشرع في النظر في الأسس الموضوعية للادعاءات المتعلقة بانتهاك المادة </w:t>
      </w:r>
      <w:r w:rsidRPr="00D83A61">
        <w:rPr>
          <w:spacing w:val="-4"/>
          <w:rtl/>
        </w:rPr>
        <w:t>2</w:t>
      </w:r>
      <w:r w:rsidRPr="000951F1">
        <w:rPr>
          <w:spacing w:val="-4"/>
          <w:rtl/>
        </w:rPr>
        <w:t>(</w:t>
      </w:r>
      <w:r w:rsidRPr="00D83A61">
        <w:rPr>
          <w:spacing w:val="-4"/>
          <w:rtl/>
        </w:rPr>
        <w:t>3</w:t>
      </w:r>
      <w:r w:rsidRPr="000951F1">
        <w:rPr>
          <w:spacing w:val="-4"/>
          <w:rtl/>
        </w:rPr>
        <w:t xml:space="preserve">)، والمادة </w:t>
      </w:r>
      <w:r w:rsidRPr="00D83A61">
        <w:rPr>
          <w:spacing w:val="-4"/>
          <w:rtl/>
        </w:rPr>
        <w:t>6</w:t>
      </w:r>
      <w:r w:rsidRPr="000951F1">
        <w:rPr>
          <w:spacing w:val="-4"/>
          <w:rtl/>
        </w:rPr>
        <w:t>(</w:t>
      </w:r>
      <w:r w:rsidRPr="00D83A61">
        <w:rPr>
          <w:spacing w:val="-4"/>
          <w:rtl/>
        </w:rPr>
        <w:t>1</w:t>
      </w:r>
      <w:r w:rsidRPr="000951F1">
        <w:rPr>
          <w:spacing w:val="-4"/>
          <w:rtl/>
        </w:rPr>
        <w:t>)</w:t>
      </w:r>
      <w:r>
        <w:rPr>
          <w:rtl/>
        </w:rPr>
        <w:t xml:space="preserve"> والمواد </w:t>
      </w:r>
      <w:r w:rsidRPr="00D83A61">
        <w:rPr>
          <w:rtl/>
        </w:rPr>
        <w:t>7</w:t>
      </w:r>
      <w:r>
        <w:rPr>
          <w:rtl/>
        </w:rPr>
        <w:t xml:space="preserve"> و</w:t>
      </w:r>
      <w:r w:rsidRPr="00D83A61">
        <w:rPr>
          <w:rtl/>
        </w:rPr>
        <w:t>9</w:t>
      </w:r>
      <w:r>
        <w:rPr>
          <w:rtl/>
        </w:rPr>
        <w:t xml:space="preserve"> و</w:t>
      </w:r>
      <w:r w:rsidRPr="00D83A61">
        <w:rPr>
          <w:rtl/>
        </w:rPr>
        <w:t>10</w:t>
      </w:r>
      <w:r>
        <w:rPr>
          <w:rtl/>
        </w:rPr>
        <w:t>(</w:t>
      </w:r>
      <w:r w:rsidRPr="00D83A61">
        <w:rPr>
          <w:rtl/>
        </w:rPr>
        <w:t>1</w:t>
      </w:r>
      <w:r>
        <w:rPr>
          <w:rtl/>
        </w:rPr>
        <w:t>) و</w:t>
      </w:r>
      <w:r w:rsidRPr="00D83A61">
        <w:rPr>
          <w:rtl/>
        </w:rPr>
        <w:t>16</w:t>
      </w:r>
      <w:r>
        <w:rPr>
          <w:rtl/>
        </w:rPr>
        <w:t xml:space="preserve"> و</w:t>
      </w:r>
      <w:r w:rsidRPr="00D83A61">
        <w:rPr>
          <w:rtl/>
        </w:rPr>
        <w:t>23</w:t>
      </w:r>
      <w:r>
        <w:rPr>
          <w:rtl/>
        </w:rPr>
        <w:t>(</w:t>
      </w:r>
      <w:r w:rsidRPr="00D83A61">
        <w:rPr>
          <w:rtl/>
        </w:rPr>
        <w:t>1</w:t>
      </w:r>
      <w:r>
        <w:rPr>
          <w:rtl/>
        </w:rPr>
        <w:t>) من العهد.</w:t>
      </w:r>
    </w:p>
    <w:p w14:paraId="62427FCF" w14:textId="77777777" w:rsidR="006F28FC" w:rsidRPr="00D83A61" w:rsidRDefault="006F28FC" w:rsidP="004F0CEC">
      <w:pPr>
        <w:pStyle w:val="H4GA"/>
        <w:spacing w:line="346" w:lineRule="exact"/>
      </w:pPr>
      <w:r w:rsidRPr="00D83A61">
        <w:rPr>
          <w:rtl/>
        </w:rPr>
        <w:tab/>
      </w:r>
      <w:r w:rsidRPr="00D83A61">
        <w:rPr>
          <w:rtl/>
        </w:rPr>
        <w:tab/>
        <w:t>النظر في الأسس الموضوعية</w:t>
      </w:r>
    </w:p>
    <w:p w14:paraId="2C2E1DC3" w14:textId="77777777" w:rsidR="006F28FC" w:rsidRDefault="006F28FC" w:rsidP="004F0CEC">
      <w:pPr>
        <w:pStyle w:val="SingleTxtGA"/>
        <w:spacing w:line="346" w:lineRule="exact"/>
      </w:pPr>
      <w:r w:rsidRPr="00D83A61">
        <w:rPr>
          <w:rtl/>
        </w:rPr>
        <w:t>8</w:t>
      </w:r>
      <w:r>
        <w:rPr>
          <w:rtl/>
        </w:rPr>
        <w:t>-</w:t>
      </w:r>
      <w:r w:rsidRPr="00D83A61">
        <w:rPr>
          <w:rtl/>
        </w:rPr>
        <w:t>1</w:t>
      </w:r>
      <w:r>
        <w:rPr>
          <w:rtl/>
        </w:rPr>
        <w:tab/>
      </w:r>
      <w:r w:rsidRPr="000951F1">
        <w:rPr>
          <w:spacing w:val="-5"/>
          <w:rtl/>
        </w:rPr>
        <w:t xml:space="preserve">نظرت اللجنة في هذا البلاغ في ضوء جميع المعلومات التي أتيحت لها، وفق ما تقتضيه المادة </w:t>
      </w:r>
      <w:r w:rsidRPr="00D83A61">
        <w:rPr>
          <w:spacing w:val="-5"/>
          <w:rtl/>
        </w:rPr>
        <w:t>5</w:t>
      </w:r>
      <w:r w:rsidRPr="000951F1">
        <w:rPr>
          <w:spacing w:val="-5"/>
          <w:rtl/>
        </w:rPr>
        <w:t>(</w:t>
      </w:r>
      <w:r w:rsidRPr="00D83A61">
        <w:rPr>
          <w:spacing w:val="-5"/>
          <w:rtl/>
        </w:rPr>
        <w:t>1</w:t>
      </w:r>
      <w:r w:rsidRPr="000951F1">
        <w:rPr>
          <w:spacing w:val="-5"/>
          <w:rtl/>
        </w:rPr>
        <w:t xml:space="preserve">) </w:t>
      </w:r>
      <w:r>
        <w:rPr>
          <w:rtl/>
        </w:rPr>
        <w:t>من البروتوكول الاختياري.</w:t>
      </w:r>
    </w:p>
    <w:p w14:paraId="00389B75" w14:textId="600C7984" w:rsidR="006F28FC" w:rsidRDefault="006F28FC" w:rsidP="004F0CEC">
      <w:pPr>
        <w:pStyle w:val="SingleTxtGA"/>
        <w:spacing w:line="346" w:lineRule="exact"/>
      </w:pPr>
      <w:r w:rsidRPr="00D83A61">
        <w:rPr>
          <w:rtl/>
        </w:rPr>
        <w:t>8</w:t>
      </w:r>
      <w:r>
        <w:rPr>
          <w:rtl/>
        </w:rPr>
        <w:t>-</w:t>
      </w:r>
      <w:r w:rsidRPr="00D83A61">
        <w:rPr>
          <w:rtl/>
        </w:rPr>
        <w:t>2</w:t>
      </w:r>
      <w:r>
        <w:rPr>
          <w:rtl/>
        </w:rPr>
        <w:tab/>
        <w:t xml:space="preserve">وتلاحظ اللجنة أن الدولة الطرف اكتفت بالإشارة إلى ملاحظاتها الجماعية والعامة التي كانت قد قدّمتها سابقاً إلى الفريق العامل المعني بحالات الاختفاء القسري أو غير الطوعي، وإلى اللجنة فيما يتصل ببلاغات أخرى، وذلك من أجل تأكيد موقفها القائل إنه سبق تسوية مثل هذه القضايا في إطار تنفيذ ميثاق </w:t>
      </w:r>
      <w:r w:rsidRPr="000951F1">
        <w:rPr>
          <w:spacing w:val="-2"/>
          <w:rtl/>
        </w:rPr>
        <w:t>السلم والمصالحة الوطنية. وتحيل اللجنة إلى اجتهاداتها وإلى ملاحظاتها الختامية بشأن التقرير الدوري الرابع للجزائر وتذكِّر بأنه لا يجوز للدولة الطرف أن تحتج بأحكام ميثاق السلم والمصالحة الوطنية ضد أشخاص يحتجون بأحكام العهد أو قدموا، أو يمكن أن يقدّموا، بلاغات إلى اللجنة. وتقضي أحكام العهد بأن تبدي</w:t>
      </w:r>
      <w:r>
        <w:rPr>
          <w:rtl/>
        </w:rPr>
        <w:t xml:space="preserve"> </w:t>
      </w:r>
      <w:r w:rsidRPr="000951F1">
        <w:rPr>
          <w:spacing w:val="-2"/>
          <w:rtl/>
        </w:rPr>
        <w:t>الدولة الطرف حرصاً على مصير كل شخص وبأن تعامل كل شخص معاملة تحترم كرامة الإنسان الأصيلة</w:t>
      </w:r>
      <w:r>
        <w:rPr>
          <w:rtl/>
        </w:rPr>
        <w:t xml:space="preserve"> </w:t>
      </w:r>
      <w:r w:rsidRPr="000951F1">
        <w:rPr>
          <w:spacing w:val="-2"/>
          <w:rtl/>
        </w:rPr>
        <w:t>فيه. ونظراً إلى أن الدولة الطرف لم تُدخل التعديلات التي أوصت بها اللجنة، فإن الأمر رقم</w:t>
      </w:r>
      <w:r>
        <w:rPr>
          <w:rtl/>
        </w:rPr>
        <w:t xml:space="preserve"> </w:t>
      </w:r>
      <w:r w:rsidRPr="00D83A61">
        <w:rPr>
          <w:rtl/>
        </w:rPr>
        <w:t>06</w:t>
      </w:r>
      <w:r>
        <w:rPr>
          <w:rtl/>
        </w:rPr>
        <w:t>-</w:t>
      </w:r>
      <w:r w:rsidRPr="00D83A61">
        <w:rPr>
          <w:rtl/>
        </w:rPr>
        <w:t>01</w:t>
      </w:r>
      <w:r>
        <w:rPr>
          <w:rtl/>
        </w:rPr>
        <w:t xml:space="preserve"> يُسهم في الإفلات من العقاب في هذه القضية، ولذلك لا يمكن اعتباره متفقاً مع أحكام </w:t>
      </w:r>
      <w:proofErr w:type="gramStart"/>
      <w:r>
        <w:rPr>
          <w:rtl/>
        </w:rPr>
        <w:t>العهد</w:t>
      </w:r>
      <w:r w:rsidRPr="006F28FC">
        <w:rPr>
          <w:vertAlign w:val="superscript"/>
          <w:rtl/>
        </w:rPr>
        <w:t>(</w:t>
      </w:r>
      <w:proofErr w:type="gramEnd"/>
      <w:r w:rsidRPr="00D83A61">
        <w:rPr>
          <w:rStyle w:val="FootnoteReference"/>
          <w:szCs w:val="22"/>
          <w:lang w:val="en-US"/>
        </w:rPr>
        <w:footnoteReference w:id="26"/>
      </w:r>
      <w:r w:rsidRPr="006F28FC">
        <w:rPr>
          <w:vertAlign w:val="superscript"/>
          <w:rtl/>
        </w:rPr>
        <w:t>)</w:t>
      </w:r>
      <w:r w:rsidR="000951F1">
        <w:rPr>
          <w:rFonts w:hint="cs"/>
          <w:rtl/>
        </w:rPr>
        <w:t>.</w:t>
      </w:r>
    </w:p>
    <w:p w14:paraId="16B09446" w14:textId="3CE318CD" w:rsidR="006F28FC" w:rsidRPr="004F0CEC" w:rsidRDefault="006F28FC" w:rsidP="004F0CEC">
      <w:pPr>
        <w:pStyle w:val="SingleTxtGA"/>
        <w:rPr>
          <w:spacing w:val="2"/>
        </w:rPr>
      </w:pPr>
      <w:r w:rsidRPr="00D83A61">
        <w:rPr>
          <w:rtl/>
        </w:rPr>
        <w:t>8</w:t>
      </w:r>
      <w:r>
        <w:rPr>
          <w:rtl/>
        </w:rPr>
        <w:t>-</w:t>
      </w:r>
      <w:r w:rsidRPr="00D83A61">
        <w:rPr>
          <w:rtl/>
        </w:rPr>
        <w:t>3</w:t>
      </w:r>
      <w:r>
        <w:rPr>
          <w:rtl/>
        </w:rPr>
        <w:tab/>
        <w:t xml:space="preserve">وتلاحظ اللجنة أن الدولة الطرف لم تردّ على ادعاءات صاحبة البلاغ بشأن الأسس الموضوعية، وتُذكّر باجتهاداتها التي تفيد بأن عبء الإثبات يجب ألا يقع على عاتق صاحب البلاغ وحده، خاصة وأن </w:t>
      </w:r>
      <w:r w:rsidRPr="000951F1">
        <w:rPr>
          <w:spacing w:val="-2"/>
          <w:rtl/>
        </w:rPr>
        <w:t>هذا الأخير لا يتساوى دائماً مع الدولة الطرف في إمكانية الحصول على عناصر الإثبات وأن الدولة</w:t>
      </w:r>
      <w:r>
        <w:rPr>
          <w:rtl/>
        </w:rPr>
        <w:t xml:space="preserve"> الطرف غالباً ما تكون المالكة الوحيدة للمعلومات </w:t>
      </w:r>
      <w:proofErr w:type="gramStart"/>
      <w:r>
        <w:rPr>
          <w:rtl/>
        </w:rPr>
        <w:t>اللازمة</w:t>
      </w:r>
      <w:r w:rsidRPr="006F28FC">
        <w:rPr>
          <w:vertAlign w:val="superscript"/>
          <w:rtl/>
        </w:rPr>
        <w:t>(</w:t>
      </w:r>
      <w:proofErr w:type="gramEnd"/>
      <w:r w:rsidRPr="00D83A61">
        <w:rPr>
          <w:rStyle w:val="FootnoteReference"/>
          <w:szCs w:val="22"/>
          <w:lang w:val="en-US"/>
        </w:rPr>
        <w:footnoteReference w:id="27"/>
      </w:r>
      <w:r w:rsidRPr="006F28FC">
        <w:rPr>
          <w:vertAlign w:val="superscript"/>
          <w:rtl/>
        </w:rPr>
        <w:t>)</w:t>
      </w:r>
      <w:r w:rsidR="000951F1">
        <w:rPr>
          <w:rFonts w:hint="cs"/>
          <w:rtl/>
        </w:rPr>
        <w:t>.</w:t>
      </w:r>
      <w:r>
        <w:rPr>
          <w:rtl/>
        </w:rPr>
        <w:t xml:space="preserve"> والدولة الطرف ملزمةٌ، بموجب المادة </w:t>
      </w:r>
      <w:r w:rsidRPr="00D83A61">
        <w:rPr>
          <w:rtl/>
        </w:rPr>
        <w:t>4</w:t>
      </w:r>
      <w:r>
        <w:rPr>
          <w:rtl/>
        </w:rPr>
        <w:t>(</w:t>
      </w:r>
      <w:r w:rsidRPr="00D83A61">
        <w:rPr>
          <w:rtl/>
        </w:rPr>
        <w:t>2</w:t>
      </w:r>
      <w:r>
        <w:rPr>
          <w:rtl/>
        </w:rPr>
        <w:t xml:space="preserve">) من </w:t>
      </w:r>
      <w:r w:rsidRPr="004F0CEC">
        <w:rPr>
          <w:spacing w:val="2"/>
          <w:rtl/>
        </w:rPr>
        <w:t xml:space="preserve">البروتوكول الاختياري، بأن تحقق بحسن نية في جميع الادعاءات التي تنسب لها ولمن يمثلها بارتكاب انتهاكات لأحكام العهد، وبأن توافي اللجنة بما تملكه من </w:t>
      </w:r>
      <w:proofErr w:type="gramStart"/>
      <w:r w:rsidRPr="004F0CEC">
        <w:rPr>
          <w:spacing w:val="2"/>
          <w:rtl/>
        </w:rPr>
        <w:t>معلومات</w:t>
      </w:r>
      <w:r w:rsidRPr="004F0CEC">
        <w:rPr>
          <w:spacing w:val="2"/>
          <w:vertAlign w:val="superscript"/>
          <w:rtl/>
        </w:rPr>
        <w:t>(</w:t>
      </w:r>
      <w:proofErr w:type="gramEnd"/>
      <w:r w:rsidRPr="00D83A61">
        <w:rPr>
          <w:rStyle w:val="FootnoteReference"/>
          <w:spacing w:val="2"/>
          <w:szCs w:val="22"/>
          <w:lang w:val="en-US"/>
        </w:rPr>
        <w:footnoteReference w:id="28"/>
      </w:r>
      <w:r w:rsidRPr="004F0CEC">
        <w:rPr>
          <w:spacing w:val="2"/>
          <w:vertAlign w:val="superscript"/>
          <w:rtl/>
        </w:rPr>
        <w:t>)</w:t>
      </w:r>
      <w:r w:rsidR="000951F1" w:rsidRPr="004F0CEC">
        <w:rPr>
          <w:rFonts w:hint="cs"/>
          <w:spacing w:val="2"/>
          <w:rtl/>
        </w:rPr>
        <w:t>.</w:t>
      </w:r>
      <w:r w:rsidRPr="004F0CEC">
        <w:rPr>
          <w:spacing w:val="2"/>
          <w:rtl/>
        </w:rPr>
        <w:t xml:space="preserve"> وفي حال لم تقدم الدولة الطرف أي توضيح بهذا الشأن، فإنه يتعين إيلاء ادعاءات صاحب البلاغ الاهتمام الواجب ما دامت معللة بما</w:t>
      </w:r>
      <w:r w:rsidR="004F0CEC">
        <w:rPr>
          <w:rFonts w:hint="cs"/>
          <w:spacing w:val="2"/>
          <w:rtl/>
        </w:rPr>
        <w:t> </w:t>
      </w:r>
      <w:r w:rsidRPr="004F0CEC">
        <w:rPr>
          <w:spacing w:val="2"/>
          <w:rtl/>
        </w:rPr>
        <w:t>فيه الكفاية.</w:t>
      </w:r>
    </w:p>
    <w:p w14:paraId="0F3500D3" w14:textId="65B128C0" w:rsidR="006F28FC" w:rsidRDefault="006F28FC" w:rsidP="004F0CEC">
      <w:pPr>
        <w:pStyle w:val="SingleTxtGA"/>
      </w:pPr>
      <w:r w:rsidRPr="00D83A61">
        <w:rPr>
          <w:rtl/>
        </w:rPr>
        <w:t>8</w:t>
      </w:r>
      <w:r>
        <w:rPr>
          <w:rtl/>
        </w:rPr>
        <w:t>-</w:t>
      </w:r>
      <w:r w:rsidRPr="00D83A61">
        <w:rPr>
          <w:rtl/>
        </w:rPr>
        <w:t>4</w:t>
      </w:r>
      <w:r>
        <w:rPr>
          <w:rtl/>
        </w:rPr>
        <w:tab/>
        <w:t xml:space="preserve">وتذكّر اللجنة بأنه على الرغم من أن مصطلح "الاختفاء القسري" لا يرد صراحة في أي مادة من مواد العهد، فإن الاختفاء القسري يشكل مجموعة فريدة ومتكاملة من الأفعال التي تمثل انتهاكاً مستمراً لعدة حقوق مكرسة في هذا الصك، مثل الحق في الحياة والحق في عدم التعرض للتعذيب وغيره من ضروب العقوبة أو المعاملة القاسية أو اللاإنسانية أو المهينة، وحق الفرد في الحرية وفي الأمان على </w:t>
      </w:r>
      <w:proofErr w:type="gramStart"/>
      <w:r>
        <w:rPr>
          <w:rtl/>
        </w:rPr>
        <w:t>شخصه</w:t>
      </w:r>
      <w:r w:rsidRPr="006F28FC">
        <w:rPr>
          <w:vertAlign w:val="superscript"/>
          <w:rtl/>
        </w:rPr>
        <w:t>(</w:t>
      </w:r>
      <w:proofErr w:type="gramEnd"/>
      <w:r w:rsidRPr="00D83A61">
        <w:rPr>
          <w:rStyle w:val="FootnoteReference"/>
          <w:szCs w:val="22"/>
          <w:lang w:val="en-US"/>
        </w:rPr>
        <w:footnoteReference w:id="29"/>
      </w:r>
      <w:r w:rsidRPr="006F28FC">
        <w:rPr>
          <w:vertAlign w:val="superscript"/>
          <w:rtl/>
        </w:rPr>
        <w:t>)</w:t>
      </w:r>
      <w:r w:rsidR="000951F1">
        <w:rPr>
          <w:rFonts w:hint="cs"/>
          <w:rtl/>
        </w:rPr>
        <w:t>.</w:t>
      </w:r>
    </w:p>
    <w:p w14:paraId="7F6D53C1" w14:textId="1BC0871D" w:rsidR="006F28FC" w:rsidRDefault="006F28FC" w:rsidP="004F0CEC">
      <w:pPr>
        <w:pStyle w:val="SingleTxtGA"/>
      </w:pPr>
      <w:r w:rsidRPr="00D83A61">
        <w:rPr>
          <w:rtl/>
        </w:rPr>
        <w:t>8</w:t>
      </w:r>
      <w:r>
        <w:rPr>
          <w:rtl/>
        </w:rPr>
        <w:t>-</w:t>
      </w:r>
      <w:r w:rsidRPr="00D83A61">
        <w:rPr>
          <w:rtl/>
        </w:rPr>
        <w:t>5</w:t>
      </w:r>
      <w:r>
        <w:rPr>
          <w:rtl/>
        </w:rPr>
        <w:tab/>
        <w:t xml:space="preserve">وتلاحظ اللجنة أن آخر مرة شاهدت فيها صاحبة البلاغ صادق </w:t>
      </w:r>
      <w:proofErr w:type="spellStart"/>
      <w:r>
        <w:rPr>
          <w:rtl/>
        </w:rPr>
        <w:t>الرسيوي</w:t>
      </w:r>
      <w:proofErr w:type="spellEnd"/>
      <w:r>
        <w:rPr>
          <w:rtl/>
        </w:rPr>
        <w:t xml:space="preserve"> كانت في </w:t>
      </w:r>
      <w:r w:rsidRPr="00D83A61">
        <w:rPr>
          <w:rtl/>
        </w:rPr>
        <w:t>18</w:t>
      </w:r>
      <w:r>
        <w:rPr>
          <w:rtl/>
        </w:rPr>
        <w:t xml:space="preserve"> آذار/</w:t>
      </w:r>
      <w:r w:rsidR="000951F1">
        <w:rPr>
          <w:rFonts w:hint="cs"/>
          <w:rtl/>
        </w:rPr>
        <w:t xml:space="preserve"> </w:t>
      </w:r>
      <w:r>
        <w:rPr>
          <w:rtl/>
        </w:rPr>
        <w:t xml:space="preserve">مارس </w:t>
      </w:r>
      <w:r w:rsidRPr="00D83A61">
        <w:rPr>
          <w:rtl/>
        </w:rPr>
        <w:t>1996</w:t>
      </w:r>
      <w:r>
        <w:rPr>
          <w:rtl/>
        </w:rPr>
        <w:t>، حين كان رهن الاحتجاز في القطاع العسكري لغرداية. وتحيط علماً بأن الدولة الطرف لم</w:t>
      </w:r>
      <w:r w:rsidR="000951F1">
        <w:rPr>
          <w:rFonts w:hint="cs"/>
          <w:rtl/>
        </w:rPr>
        <w:t> </w:t>
      </w:r>
      <w:r>
        <w:rPr>
          <w:rtl/>
        </w:rPr>
        <w:t xml:space="preserve">تقدم أي دليل يسمح بتحديد مصير صادق </w:t>
      </w:r>
      <w:proofErr w:type="spellStart"/>
      <w:r>
        <w:rPr>
          <w:rtl/>
        </w:rPr>
        <w:t>الرسيوي</w:t>
      </w:r>
      <w:proofErr w:type="spellEnd"/>
      <w:r>
        <w:rPr>
          <w:rtl/>
        </w:rPr>
        <w:t xml:space="preserve"> ولم تؤكد قط احتجازه. وتذكّر اللجنة بأن سلب الشخص حريته ثم رفض الاعتراف بذلك، أو رفض الكشف عن مصير الشخص المختفي يعني، في حالات الاختفاء القسري، حرمان ذلك الشخص من حماية القانون وتعريض حياته لخطر مستمر وجسيم </w:t>
      </w:r>
      <w:r w:rsidRPr="000951F1">
        <w:rPr>
          <w:spacing w:val="-2"/>
          <w:rtl/>
        </w:rPr>
        <w:t xml:space="preserve">تُعتبر الدولة مسؤولة </w:t>
      </w:r>
      <w:proofErr w:type="gramStart"/>
      <w:r w:rsidRPr="000951F1">
        <w:rPr>
          <w:spacing w:val="-2"/>
          <w:rtl/>
        </w:rPr>
        <w:t>عنه</w:t>
      </w:r>
      <w:r w:rsidRPr="000951F1">
        <w:rPr>
          <w:spacing w:val="-2"/>
          <w:vertAlign w:val="superscript"/>
          <w:rtl/>
        </w:rPr>
        <w:t>(</w:t>
      </w:r>
      <w:proofErr w:type="gramEnd"/>
      <w:r w:rsidRPr="00D83A61">
        <w:rPr>
          <w:rStyle w:val="FootnoteReference"/>
          <w:spacing w:val="-2"/>
          <w:szCs w:val="22"/>
          <w:lang w:val="en-US"/>
        </w:rPr>
        <w:footnoteReference w:id="30"/>
      </w:r>
      <w:r w:rsidRPr="000951F1">
        <w:rPr>
          <w:spacing w:val="-2"/>
          <w:vertAlign w:val="superscript"/>
          <w:rtl/>
        </w:rPr>
        <w:t>)</w:t>
      </w:r>
      <w:r w:rsidR="000951F1" w:rsidRPr="000951F1">
        <w:rPr>
          <w:rFonts w:hint="cs"/>
          <w:spacing w:val="-2"/>
          <w:rtl/>
        </w:rPr>
        <w:t>.</w:t>
      </w:r>
      <w:r w:rsidRPr="000951F1">
        <w:rPr>
          <w:spacing w:val="-2"/>
          <w:rtl/>
        </w:rPr>
        <w:t xml:space="preserve"> وفي القضية قيد النظر، تلاحظ اللجنة أن الدولة الطرف لم تقدم أي معلومات قد تبين أنها وفت بالتزامها بحماية حياة صادق </w:t>
      </w:r>
      <w:proofErr w:type="spellStart"/>
      <w:r w:rsidRPr="000951F1">
        <w:rPr>
          <w:spacing w:val="-2"/>
          <w:rtl/>
        </w:rPr>
        <w:t>الرسيوي</w:t>
      </w:r>
      <w:proofErr w:type="spellEnd"/>
      <w:r w:rsidRPr="000951F1">
        <w:rPr>
          <w:spacing w:val="-2"/>
          <w:rtl/>
        </w:rPr>
        <w:t>. وبناءً عليه، تخلص اللجنة إلى أن الدولة</w:t>
      </w:r>
      <w:r>
        <w:rPr>
          <w:rtl/>
        </w:rPr>
        <w:t xml:space="preserve"> الطرف أخلت بالتزامها بحماية حياة صادق </w:t>
      </w:r>
      <w:proofErr w:type="spellStart"/>
      <w:r>
        <w:rPr>
          <w:rtl/>
        </w:rPr>
        <w:t>الرسيوي</w:t>
      </w:r>
      <w:proofErr w:type="spellEnd"/>
      <w:r>
        <w:rPr>
          <w:rtl/>
        </w:rPr>
        <w:t xml:space="preserve">، وهو ما يشكّل انتهاكاً للمادة </w:t>
      </w:r>
      <w:r w:rsidRPr="00D83A61">
        <w:rPr>
          <w:rtl/>
        </w:rPr>
        <w:t>6</w:t>
      </w:r>
      <w:r>
        <w:rPr>
          <w:rtl/>
        </w:rPr>
        <w:t>(</w:t>
      </w:r>
      <w:r w:rsidRPr="00D83A61">
        <w:rPr>
          <w:rtl/>
        </w:rPr>
        <w:t>1</w:t>
      </w:r>
      <w:r>
        <w:rPr>
          <w:rtl/>
        </w:rPr>
        <w:t>) من العهد.</w:t>
      </w:r>
    </w:p>
    <w:p w14:paraId="203312D9" w14:textId="70134D3E" w:rsidR="006F28FC" w:rsidRDefault="006F28FC" w:rsidP="004F0CEC">
      <w:pPr>
        <w:pStyle w:val="SingleTxtGA"/>
      </w:pPr>
      <w:r w:rsidRPr="00D83A61">
        <w:rPr>
          <w:rtl/>
        </w:rPr>
        <w:t>8</w:t>
      </w:r>
      <w:r>
        <w:rPr>
          <w:rtl/>
        </w:rPr>
        <w:t>-</w:t>
      </w:r>
      <w:r w:rsidRPr="00D83A61">
        <w:rPr>
          <w:rtl/>
        </w:rPr>
        <w:t>6</w:t>
      </w:r>
      <w:r>
        <w:rPr>
          <w:rtl/>
        </w:rPr>
        <w:tab/>
      </w:r>
      <w:r w:rsidRPr="00A82124">
        <w:rPr>
          <w:spacing w:val="-2"/>
          <w:rtl/>
        </w:rPr>
        <w:t>وتقر اللجنة بمدى المعاناة الناجمة عن الاحتجاز دون اتصال بالعالم الخارجي لأجلٍ غير مسمى.</w:t>
      </w:r>
      <w:r w:rsidRPr="000951F1">
        <w:rPr>
          <w:spacing w:val="-2"/>
          <w:rtl/>
        </w:rPr>
        <w:t xml:space="preserve"> وتذكّر بتعليقها العام رقم </w:t>
      </w:r>
      <w:r w:rsidRPr="00D83A61">
        <w:rPr>
          <w:spacing w:val="-2"/>
          <w:rtl/>
        </w:rPr>
        <w:t>20</w:t>
      </w:r>
      <w:r w:rsidRPr="000951F1">
        <w:rPr>
          <w:spacing w:val="-2"/>
          <w:rtl/>
        </w:rPr>
        <w:t>(</w:t>
      </w:r>
      <w:r w:rsidRPr="00D83A61">
        <w:rPr>
          <w:spacing w:val="-2"/>
          <w:rtl/>
        </w:rPr>
        <w:t>1992</w:t>
      </w:r>
      <w:r w:rsidRPr="000951F1">
        <w:rPr>
          <w:spacing w:val="-2"/>
          <w:rtl/>
        </w:rPr>
        <w:t>) الذي أوصت فيه الدول الأطراف باتخاذ تدابير لمنع الاحتجاز</w:t>
      </w:r>
      <w:r>
        <w:rPr>
          <w:rtl/>
        </w:rPr>
        <w:t xml:space="preserve"> مع منع الاتصال. وتلاحظ أنه في هذه القضية، بعد أن رأت صاحبة البلاغ زوجها مرتين في القطاع العسكري لغرداية، في </w:t>
      </w:r>
      <w:r w:rsidRPr="00D83A61">
        <w:rPr>
          <w:rtl/>
        </w:rPr>
        <w:t>17</w:t>
      </w:r>
      <w:r>
        <w:rPr>
          <w:rtl/>
        </w:rPr>
        <w:t xml:space="preserve"> و</w:t>
      </w:r>
      <w:r w:rsidRPr="00D83A61">
        <w:rPr>
          <w:rtl/>
        </w:rPr>
        <w:t>18</w:t>
      </w:r>
      <w:r>
        <w:rPr>
          <w:rtl/>
        </w:rPr>
        <w:t xml:space="preserve"> آذار/مارس </w:t>
      </w:r>
      <w:r w:rsidRPr="00D83A61">
        <w:rPr>
          <w:rtl/>
        </w:rPr>
        <w:t>1996</w:t>
      </w:r>
      <w:r>
        <w:rPr>
          <w:rtl/>
        </w:rPr>
        <w:t xml:space="preserve">، لم تصلها قط أي معلومات أخرى عن مصيره أو عن مكان احتجازه بعد ذلك، مع أنها حاولت عدة مرات زيارة أماكن الاحتجاز حيث كان أصلاً والتي قد يكون نُقل منها، ورغم أنها رفعت إلى سلطات الدولة عدة التماسات متتالية. وعليه، ترى اللجنة من المحتمل أن يكون صادق </w:t>
      </w:r>
      <w:proofErr w:type="spellStart"/>
      <w:r>
        <w:rPr>
          <w:rtl/>
        </w:rPr>
        <w:t>الرسيوي</w:t>
      </w:r>
      <w:proofErr w:type="spellEnd"/>
      <w:r>
        <w:rPr>
          <w:rtl/>
        </w:rPr>
        <w:t xml:space="preserve">، الذي اختفى في </w:t>
      </w:r>
      <w:r w:rsidRPr="00D83A61">
        <w:rPr>
          <w:rtl/>
        </w:rPr>
        <w:t>18</w:t>
      </w:r>
      <w:r>
        <w:rPr>
          <w:rtl/>
        </w:rPr>
        <w:t xml:space="preserve"> آذار/مارس </w:t>
      </w:r>
      <w:r w:rsidRPr="00D83A61">
        <w:rPr>
          <w:rtl/>
        </w:rPr>
        <w:t>1996</w:t>
      </w:r>
      <w:r>
        <w:rPr>
          <w:rtl/>
        </w:rPr>
        <w:t xml:space="preserve">، لا يزال قيد الاحتجاز مع منع الاتصال لدى السلطات الجزائرية. وبالنظر إلى عدم تقديم الدولة الطرف توضيحات بهذا الخصوص، ترى اللجنة أن هذا الاختفاء يشكل انتهاكاً للمادة </w:t>
      </w:r>
      <w:r w:rsidRPr="00D83A61">
        <w:rPr>
          <w:rtl/>
        </w:rPr>
        <w:t>7</w:t>
      </w:r>
      <w:r>
        <w:rPr>
          <w:rtl/>
        </w:rPr>
        <w:t xml:space="preserve"> من العهد في حق صادق </w:t>
      </w:r>
      <w:proofErr w:type="spellStart"/>
      <w:proofErr w:type="gramStart"/>
      <w:r>
        <w:rPr>
          <w:rtl/>
        </w:rPr>
        <w:t>الرسيوي</w:t>
      </w:r>
      <w:proofErr w:type="spellEnd"/>
      <w:r w:rsidRPr="006F28FC">
        <w:rPr>
          <w:vertAlign w:val="superscript"/>
          <w:rtl/>
        </w:rPr>
        <w:t>(</w:t>
      </w:r>
      <w:proofErr w:type="gramEnd"/>
      <w:r w:rsidRPr="00D83A61">
        <w:rPr>
          <w:rStyle w:val="FootnoteReference"/>
          <w:szCs w:val="22"/>
          <w:lang w:val="en-US"/>
        </w:rPr>
        <w:footnoteReference w:id="31"/>
      </w:r>
      <w:r w:rsidRPr="006F28FC">
        <w:rPr>
          <w:vertAlign w:val="superscript"/>
          <w:rtl/>
        </w:rPr>
        <w:t>)</w:t>
      </w:r>
      <w:r w:rsidR="000951F1">
        <w:rPr>
          <w:rFonts w:hint="cs"/>
          <w:rtl/>
        </w:rPr>
        <w:t>.</w:t>
      </w:r>
    </w:p>
    <w:p w14:paraId="6266E4EC" w14:textId="6F1C37E8" w:rsidR="006F28FC" w:rsidRDefault="006F28FC" w:rsidP="004F0CEC">
      <w:pPr>
        <w:pStyle w:val="SingleTxtGA"/>
      </w:pPr>
      <w:r w:rsidRPr="00D83A61">
        <w:rPr>
          <w:rtl/>
        </w:rPr>
        <w:t>8</w:t>
      </w:r>
      <w:r>
        <w:rPr>
          <w:rtl/>
        </w:rPr>
        <w:t>-</w:t>
      </w:r>
      <w:r w:rsidRPr="00D83A61">
        <w:rPr>
          <w:rtl/>
        </w:rPr>
        <w:t>7</w:t>
      </w:r>
      <w:r>
        <w:rPr>
          <w:rtl/>
        </w:rPr>
        <w:tab/>
        <w:t xml:space="preserve">وفي ضوء ما تقدّم، لن تنظر اللجنة بشكل منفصل في ادعاءات انتهاك المادة </w:t>
      </w:r>
      <w:r w:rsidRPr="00D83A61">
        <w:rPr>
          <w:rtl/>
        </w:rPr>
        <w:t>10</w:t>
      </w:r>
      <w:r>
        <w:rPr>
          <w:rtl/>
        </w:rPr>
        <w:t xml:space="preserve"> من </w:t>
      </w:r>
      <w:proofErr w:type="gramStart"/>
      <w:r>
        <w:rPr>
          <w:rtl/>
        </w:rPr>
        <w:t>العهد</w:t>
      </w:r>
      <w:r w:rsidRPr="006F28FC">
        <w:rPr>
          <w:vertAlign w:val="superscript"/>
          <w:rtl/>
        </w:rPr>
        <w:t>(</w:t>
      </w:r>
      <w:proofErr w:type="gramEnd"/>
      <w:r w:rsidRPr="00D83A61">
        <w:rPr>
          <w:rStyle w:val="FootnoteReference"/>
          <w:szCs w:val="22"/>
          <w:lang w:val="en-US"/>
        </w:rPr>
        <w:footnoteReference w:id="32"/>
      </w:r>
      <w:r w:rsidRPr="006F28FC">
        <w:rPr>
          <w:vertAlign w:val="superscript"/>
          <w:rtl/>
        </w:rPr>
        <w:t>)</w:t>
      </w:r>
      <w:r w:rsidR="000951F1">
        <w:rPr>
          <w:rFonts w:hint="cs"/>
          <w:rtl/>
        </w:rPr>
        <w:t>.</w:t>
      </w:r>
    </w:p>
    <w:p w14:paraId="206926A0" w14:textId="2B9BFDA8" w:rsidR="006F28FC" w:rsidRDefault="006F28FC" w:rsidP="006F28FC">
      <w:pPr>
        <w:pStyle w:val="SingleTxtGA"/>
      </w:pPr>
      <w:r w:rsidRPr="00D83A61">
        <w:rPr>
          <w:rtl/>
        </w:rPr>
        <w:t>8</w:t>
      </w:r>
      <w:r>
        <w:rPr>
          <w:rtl/>
        </w:rPr>
        <w:t>-</w:t>
      </w:r>
      <w:r w:rsidRPr="00D83A61">
        <w:rPr>
          <w:rtl/>
        </w:rPr>
        <w:t>8</w:t>
      </w:r>
      <w:r>
        <w:rPr>
          <w:rtl/>
        </w:rPr>
        <w:tab/>
        <w:t xml:space="preserve">وتحيط اللجنة علماً بحالة القلق والكرب التي يسببها اختفاء صادق </w:t>
      </w:r>
      <w:proofErr w:type="spellStart"/>
      <w:r>
        <w:rPr>
          <w:rtl/>
        </w:rPr>
        <w:t>الرسيوي</w:t>
      </w:r>
      <w:proofErr w:type="spellEnd"/>
      <w:r>
        <w:rPr>
          <w:rtl/>
        </w:rPr>
        <w:t xml:space="preserve"> لصاحبة البلاغ وأسرتها منذ أكثر من خمسة وعشرين عاماً. وترى أن الوقائع المعروضة عليها تكشف عن وقوع انتهاكٍ للمادة </w:t>
      </w:r>
      <w:r w:rsidRPr="00D83A61">
        <w:rPr>
          <w:rtl/>
        </w:rPr>
        <w:t>7</w:t>
      </w:r>
      <w:r>
        <w:rPr>
          <w:rtl/>
        </w:rPr>
        <w:t xml:space="preserve"> مقروءة منفردة وبالاقتران مع المادة </w:t>
      </w:r>
      <w:r w:rsidRPr="00D83A61">
        <w:rPr>
          <w:rtl/>
        </w:rPr>
        <w:t>2</w:t>
      </w:r>
      <w:r>
        <w:rPr>
          <w:rtl/>
        </w:rPr>
        <w:t>(</w:t>
      </w:r>
      <w:r w:rsidRPr="00D83A61">
        <w:rPr>
          <w:rtl/>
        </w:rPr>
        <w:t>3</w:t>
      </w:r>
      <w:r>
        <w:rPr>
          <w:rtl/>
        </w:rPr>
        <w:t xml:space="preserve">) من العهد في حق صاحبة </w:t>
      </w:r>
      <w:proofErr w:type="gramStart"/>
      <w:r>
        <w:rPr>
          <w:rtl/>
        </w:rPr>
        <w:t>البلاغ</w:t>
      </w:r>
      <w:r w:rsidRPr="006F28FC">
        <w:rPr>
          <w:vertAlign w:val="superscript"/>
          <w:rtl/>
        </w:rPr>
        <w:t>(</w:t>
      </w:r>
      <w:proofErr w:type="gramEnd"/>
      <w:r w:rsidRPr="00D83A61">
        <w:rPr>
          <w:rStyle w:val="FootnoteReference"/>
          <w:szCs w:val="22"/>
          <w:lang w:val="en-US"/>
        </w:rPr>
        <w:footnoteReference w:id="33"/>
      </w:r>
      <w:r w:rsidRPr="006F28FC">
        <w:rPr>
          <w:vertAlign w:val="superscript"/>
          <w:rtl/>
        </w:rPr>
        <w:t>)</w:t>
      </w:r>
      <w:r w:rsidR="000951F1">
        <w:rPr>
          <w:rFonts w:hint="cs"/>
          <w:rtl/>
        </w:rPr>
        <w:t>.</w:t>
      </w:r>
    </w:p>
    <w:p w14:paraId="7CFB8962" w14:textId="46BCFCDB" w:rsidR="006F28FC" w:rsidRDefault="006F28FC" w:rsidP="006F28FC">
      <w:pPr>
        <w:pStyle w:val="SingleTxtGA"/>
      </w:pPr>
      <w:r w:rsidRPr="00D83A61">
        <w:rPr>
          <w:rtl/>
        </w:rPr>
        <w:t>8</w:t>
      </w:r>
      <w:r>
        <w:rPr>
          <w:rtl/>
        </w:rPr>
        <w:t>-</w:t>
      </w:r>
      <w:r w:rsidRPr="00D83A61">
        <w:rPr>
          <w:rtl/>
        </w:rPr>
        <w:t>9</w:t>
      </w:r>
      <w:r>
        <w:rPr>
          <w:rtl/>
        </w:rPr>
        <w:tab/>
        <w:t xml:space="preserve">وفيما يتعلق بالانتهاك المزعوم للمادة </w:t>
      </w:r>
      <w:r w:rsidRPr="00D83A61">
        <w:rPr>
          <w:rtl/>
        </w:rPr>
        <w:t>9</w:t>
      </w:r>
      <w:r>
        <w:rPr>
          <w:rtl/>
        </w:rPr>
        <w:t xml:space="preserve"> من العهد، تحيط اللجنة علماً بادعاءات صاحبة البلاغ التي مفادها أن صادق </w:t>
      </w:r>
      <w:proofErr w:type="spellStart"/>
      <w:r>
        <w:rPr>
          <w:rtl/>
        </w:rPr>
        <w:t>الرسيوي</w:t>
      </w:r>
      <w:proofErr w:type="spellEnd"/>
      <w:r>
        <w:rPr>
          <w:rtl/>
        </w:rPr>
        <w:t xml:space="preserve"> احتُجز تعسفاً ودون أمر قضائي، ولم توجه إليه تهمة، ولم يُعرض على سلطة قضائية يمكنه الطعن أمامها في مشروعية احتجازه. ونظراً إلى عدم ورود أي معلومات أخرى من </w:t>
      </w:r>
      <w:r w:rsidRPr="00D83A61">
        <w:rPr>
          <w:spacing w:val="-2"/>
          <w:rtl/>
        </w:rPr>
        <w:t xml:space="preserve">الدولة الطرف في هذا الصدد، فإن اللجنة ترى أنه يجب إيلاء الاعتبار الواجب لادعاءات صاحبة </w:t>
      </w:r>
      <w:proofErr w:type="gramStart"/>
      <w:r w:rsidRPr="00D83A61">
        <w:rPr>
          <w:spacing w:val="-2"/>
          <w:rtl/>
        </w:rPr>
        <w:t>البلاغ</w:t>
      </w:r>
      <w:r w:rsidRPr="006F28FC">
        <w:rPr>
          <w:vertAlign w:val="superscript"/>
          <w:rtl/>
        </w:rPr>
        <w:t>(</w:t>
      </w:r>
      <w:proofErr w:type="gramEnd"/>
      <w:r w:rsidRPr="00D83A61">
        <w:rPr>
          <w:rStyle w:val="FootnoteReference"/>
          <w:szCs w:val="22"/>
          <w:lang w:val="en-US"/>
        </w:rPr>
        <w:footnoteReference w:id="34"/>
      </w:r>
      <w:r w:rsidRPr="006F28FC">
        <w:rPr>
          <w:vertAlign w:val="superscript"/>
          <w:rtl/>
        </w:rPr>
        <w:t>)</w:t>
      </w:r>
      <w:r w:rsidR="000951F1">
        <w:rPr>
          <w:rFonts w:hint="cs"/>
          <w:rtl/>
        </w:rPr>
        <w:t>.</w:t>
      </w:r>
      <w:r>
        <w:rPr>
          <w:rtl/>
        </w:rPr>
        <w:t xml:space="preserve"> وعليه، تخلص اللجنة إلى انتهاك حقوق صادق </w:t>
      </w:r>
      <w:proofErr w:type="spellStart"/>
      <w:r>
        <w:rPr>
          <w:rtl/>
        </w:rPr>
        <w:t>الرسيوي</w:t>
      </w:r>
      <w:proofErr w:type="spellEnd"/>
      <w:r>
        <w:rPr>
          <w:rtl/>
        </w:rPr>
        <w:t xml:space="preserve"> بمقتضى المادة </w:t>
      </w:r>
      <w:r w:rsidRPr="00D83A61">
        <w:rPr>
          <w:rtl/>
        </w:rPr>
        <w:t>9</w:t>
      </w:r>
      <w:r>
        <w:rPr>
          <w:rtl/>
        </w:rPr>
        <w:t xml:space="preserve"> من </w:t>
      </w:r>
      <w:proofErr w:type="gramStart"/>
      <w:r>
        <w:rPr>
          <w:rtl/>
        </w:rPr>
        <w:t>العهد</w:t>
      </w:r>
      <w:r w:rsidRPr="006F28FC">
        <w:rPr>
          <w:vertAlign w:val="superscript"/>
          <w:rtl/>
        </w:rPr>
        <w:t>(</w:t>
      </w:r>
      <w:proofErr w:type="gramEnd"/>
      <w:r w:rsidRPr="00D83A61">
        <w:rPr>
          <w:rStyle w:val="FootnoteReference"/>
          <w:szCs w:val="22"/>
          <w:lang w:val="en-US"/>
        </w:rPr>
        <w:footnoteReference w:id="35"/>
      </w:r>
      <w:r w:rsidRPr="006F28FC">
        <w:rPr>
          <w:vertAlign w:val="superscript"/>
          <w:rtl/>
        </w:rPr>
        <w:t>)</w:t>
      </w:r>
      <w:r w:rsidR="000951F1">
        <w:rPr>
          <w:rFonts w:hint="cs"/>
          <w:rtl/>
        </w:rPr>
        <w:t>.</w:t>
      </w:r>
    </w:p>
    <w:p w14:paraId="58D27CD2" w14:textId="54722D86" w:rsidR="006F28FC" w:rsidRPr="002D3F5F" w:rsidRDefault="006F28FC" w:rsidP="006F28FC">
      <w:pPr>
        <w:pStyle w:val="SingleTxtGA"/>
        <w:rPr>
          <w:spacing w:val="-2"/>
        </w:rPr>
      </w:pPr>
      <w:r w:rsidRPr="00D83A61">
        <w:rPr>
          <w:rtl/>
        </w:rPr>
        <w:t>8</w:t>
      </w:r>
      <w:r>
        <w:rPr>
          <w:rtl/>
        </w:rPr>
        <w:t>-</w:t>
      </w:r>
      <w:r w:rsidRPr="00D83A61">
        <w:rPr>
          <w:rtl/>
        </w:rPr>
        <w:t>10</w:t>
      </w:r>
      <w:r>
        <w:rPr>
          <w:rtl/>
        </w:rPr>
        <w:tab/>
        <w:t xml:space="preserve">وترى اللجنة أن حرمان الشخص عمداً من الحماية القانونية يشكل إنكاراً لحق ذلك الشخص في </w:t>
      </w:r>
      <w:r w:rsidRPr="002D3F5F">
        <w:rPr>
          <w:spacing w:val="-2"/>
          <w:rtl/>
        </w:rPr>
        <w:t xml:space="preserve">الاعتراف بشخصيته القانونية، ولا سيما عندما توضع عراقيل بصورة منهجية أمام جهود أقارب الضحية الرامية إلى ممارسة حقهم في الوصول إلى سبل انتصاف </w:t>
      </w:r>
      <w:proofErr w:type="gramStart"/>
      <w:r w:rsidRPr="002D3F5F">
        <w:rPr>
          <w:spacing w:val="-2"/>
          <w:rtl/>
        </w:rPr>
        <w:t>فعالة</w:t>
      </w:r>
      <w:r w:rsidRPr="002D3F5F">
        <w:rPr>
          <w:spacing w:val="-2"/>
          <w:vertAlign w:val="superscript"/>
          <w:rtl/>
        </w:rPr>
        <w:t>(</w:t>
      </w:r>
      <w:proofErr w:type="gramEnd"/>
      <w:r w:rsidRPr="00D83A61">
        <w:rPr>
          <w:rStyle w:val="FootnoteReference"/>
          <w:spacing w:val="-2"/>
          <w:szCs w:val="22"/>
          <w:lang w:val="en-US"/>
        </w:rPr>
        <w:footnoteReference w:id="36"/>
      </w:r>
      <w:r w:rsidRPr="002D3F5F">
        <w:rPr>
          <w:spacing w:val="-2"/>
          <w:vertAlign w:val="superscript"/>
          <w:rtl/>
        </w:rPr>
        <w:t>)</w:t>
      </w:r>
      <w:r w:rsidR="000951F1" w:rsidRPr="002D3F5F">
        <w:rPr>
          <w:rFonts w:hint="cs"/>
          <w:spacing w:val="-2"/>
          <w:rtl/>
        </w:rPr>
        <w:t>.</w:t>
      </w:r>
      <w:r w:rsidRPr="002D3F5F">
        <w:rPr>
          <w:spacing w:val="-2"/>
          <w:rtl/>
        </w:rPr>
        <w:t xml:space="preserve"> وفي هذه القضية، تلاحظ اللجنة أن الدولة الطرف لم تقدم أي توضيح مقنع بشأن مصير صادق </w:t>
      </w:r>
      <w:proofErr w:type="spellStart"/>
      <w:r w:rsidRPr="002D3F5F">
        <w:rPr>
          <w:spacing w:val="-2"/>
          <w:rtl/>
        </w:rPr>
        <w:t>الرسيوي</w:t>
      </w:r>
      <w:proofErr w:type="spellEnd"/>
      <w:r w:rsidRPr="002D3F5F">
        <w:rPr>
          <w:spacing w:val="-2"/>
          <w:rtl/>
        </w:rPr>
        <w:t xml:space="preserve"> ولا بشأن مكان وجوده، على الرغم من المساعي التي بذلها أقاربه، وعلى الرغم أيضاً من أنه كان في عهدة سلطات الدولة الطرف عندما شوهد آخر مرة. وتخلص اللجنة إلى أن اختفاء صادق </w:t>
      </w:r>
      <w:proofErr w:type="spellStart"/>
      <w:r w:rsidRPr="002D3F5F">
        <w:rPr>
          <w:spacing w:val="-2"/>
          <w:rtl/>
        </w:rPr>
        <w:t>الرسيوي</w:t>
      </w:r>
      <w:proofErr w:type="spellEnd"/>
      <w:r w:rsidRPr="002D3F5F">
        <w:rPr>
          <w:spacing w:val="-2"/>
          <w:rtl/>
        </w:rPr>
        <w:t xml:space="preserve"> قسراً منذ ما يزيد على أربعة وعشرين عاماً حرمه من حماية القانون وحرمه من حقه في أن يُعترف له بشخصيته القانونية، بما يشكّل انتهاكاً للمادة </w:t>
      </w:r>
      <w:r w:rsidRPr="00D83A61">
        <w:rPr>
          <w:spacing w:val="-2"/>
          <w:rtl/>
        </w:rPr>
        <w:t>16</w:t>
      </w:r>
      <w:r w:rsidRPr="002D3F5F">
        <w:rPr>
          <w:spacing w:val="-2"/>
          <w:rtl/>
        </w:rPr>
        <w:t xml:space="preserve"> من العهد.</w:t>
      </w:r>
    </w:p>
    <w:p w14:paraId="1E0B66D2" w14:textId="2FDB3A61" w:rsidR="006F28FC" w:rsidRDefault="006F28FC" w:rsidP="006F28FC">
      <w:pPr>
        <w:pStyle w:val="SingleTxtGA"/>
      </w:pPr>
      <w:r w:rsidRPr="00D83A61">
        <w:rPr>
          <w:spacing w:val="-4"/>
          <w:rtl/>
        </w:rPr>
        <w:t>8</w:t>
      </w:r>
      <w:r w:rsidRPr="002D3F5F">
        <w:rPr>
          <w:spacing w:val="-4"/>
          <w:rtl/>
        </w:rPr>
        <w:t>-</w:t>
      </w:r>
      <w:r w:rsidRPr="00D83A61">
        <w:rPr>
          <w:spacing w:val="-4"/>
          <w:rtl/>
        </w:rPr>
        <w:t>11</w:t>
      </w:r>
      <w:r w:rsidRPr="002D3F5F">
        <w:rPr>
          <w:spacing w:val="-4"/>
          <w:rtl/>
        </w:rPr>
        <w:tab/>
        <w:t xml:space="preserve">وفي ضوء ما تقدّم، لن تنظر اللجنة بشكل منفصل في ادعاءات انتهاك المادة </w:t>
      </w:r>
      <w:r w:rsidRPr="00D83A61">
        <w:rPr>
          <w:spacing w:val="-4"/>
          <w:rtl/>
        </w:rPr>
        <w:t>23</w:t>
      </w:r>
      <w:r w:rsidRPr="002D3F5F">
        <w:rPr>
          <w:spacing w:val="-4"/>
          <w:rtl/>
        </w:rPr>
        <w:t>(</w:t>
      </w:r>
      <w:r w:rsidRPr="00D83A61">
        <w:rPr>
          <w:spacing w:val="-4"/>
          <w:rtl/>
        </w:rPr>
        <w:t>1</w:t>
      </w:r>
      <w:r w:rsidRPr="002D3F5F">
        <w:rPr>
          <w:spacing w:val="-4"/>
          <w:rtl/>
        </w:rPr>
        <w:t xml:space="preserve">) من </w:t>
      </w:r>
      <w:proofErr w:type="gramStart"/>
      <w:r w:rsidRPr="002D3F5F">
        <w:rPr>
          <w:spacing w:val="-4"/>
          <w:rtl/>
        </w:rPr>
        <w:t>العهد</w:t>
      </w:r>
      <w:r w:rsidRPr="006F28FC">
        <w:rPr>
          <w:vertAlign w:val="superscript"/>
          <w:rtl/>
        </w:rPr>
        <w:t>(</w:t>
      </w:r>
      <w:proofErr w:type="gramEnd"/>
      <w:r w:rsidRPr="00D83A61">
        <w:rPr>
          <w:rStyle w:val="FootnoteReference"/>
          <w:szCs w:val="22"/>
          <w:lang w:val="en-US"/>
        </w:rPr>
        <w:footnoteReference w:id="37"/>
      </w:r>
      <w:r w:rsidRPr="006F28FC">
        <w:rPr>
          <w:vertAlign w:val="superscript"/>
          <w:rtl/>
        </w:rPr>
        <w:t>)</w:t>
      </w:r>
      <w:r w:rsidR="002D3F5F">
        <w:rPr>
          <w:rFonts w:hint="cs"/>
          <w:rtl/>
        </w:rPr>
        <w:t>.</w:t>
      </w:r>
    </w:p>
    <w:p w14:paraId="36745AA9" w14:textId="35572C94" w:rsidR="006F28FC" w:rsidRDefault="006F28FC" w:rsidP="006F28FC">
      <w:pPr>
        <w:pStyle w:val="SingleTxtGA"/>
      </w:pPr>
      <w:r w:rsidRPr="00D83A61">
        <w:rPr>
          <w:rtl/>
        </w:rPr>
        <w:t>8</w:t>
      </w:r>
      <w:r>
        <w:rPr>
          <w:rtl/>
        </w:rPr>
        <w:t>-</w:t>
      </w:r>
      <w:r w:rsidRPr="00D83A61">
        <w:rPr>
          <w:rtl/>
        </w:rPr>
        <w:t>12</w:t>
      </w:r>
      <w:r>
        <w:rPr>
          <w:rtl/>
        </w:rPr>
        <w:tab/>
        <w:t xml:space="preserve">وتحتج صاحبة البلاغ أيضاً بأحكام المادة </w:t>
      </w:r>
      <w:r w:rsidRPr="00D83A61">
        <w:rPr>
          <w:rtl/>
        </w:rPr>
        <w:t>2</w:t>
      </w:r>
      <w:r>
        <w:rPr>
          <w:rtl/>
        </w:rPr>
        <w:t>(</w:t>
      </w:r>
      <w:r w:rsidRPr="00D83A61">
        <w:rPr>
          <w:rtl/>
        </w:rPr>
        <w:t>3</w:t>
      </w:r>
      <w:r>
        <w:rPr>
          <w:rtl/>
        </w:rPr>
        <w:t xml:space="preserve">) من العهد، التي تلزم الدول الأطراف بأن تضمن لأي </w:t>
      </w:r>
      <w:r w:rsidR="00A36E8E">
        <w:rPr>
          <w:rFonts w:hint="cs"/>
          <w:rtl/>
        </w:rPr>
        <w:t>شخص</w:t>
      </w:r>
      <w:r>
        <w:rPr>
          <w:rtl/>
        </w:rPr>
        <w:t xml:space="preserve"> سبل انتصاف متاحة وفعالة وقابلة للإنفاذ من أجل إعمال الحقوق التي يكفلها العهد. وتُذكِّر اللجنة بأنها تولي الأهمية لإنشاء الدول الأطراف آليات قضائية وإدارية مناسبة لمعالجة الشكاوى المتعلقة بانتهاكات الحقوق التي يكفلها </w:t>
      </w:r>
      <w:proofErr w:type="gramStart"/>
      <w:r>
        <w:rPr>
          <w:rtl/>
        </w:rPr>
        <w:t>العهد</w:t>
      </w:r>
      <w:r w:rsidRPr="006F28FC">
        <w:rPr>
          <w:vertAlign w:val="superscript"/>
          <w:rtl/>
        </w:rPr>
        <w:t>(</w:t>
      </w:r>
      <w:proofErr w:type="gramEnd"/>
      <w:r w:rsidRPr="00D83A61">
        <w:rPr>
          <w:rStyle w:val="FootnoteReference"/>
          <w:szCs w:val="22"/>
          <w:lang w:val="en-US"/>
        </w:rPr>
        <w:footnoteReference w:id="38"/>
      </w:r>
      <w:r w:rsidRPr="006F28FC">
        <w:rPr>
          <w:vertAlign w:val="superscript"/>
          <w:rtl/>
        </w:rPr>
        <w:t>)</w:t>
      </w:r>
      <w:r w:rsidR="002D3F5F">
        <w:rPr>
          <w:rFonts w:hint="cs"/>
          <w:rtl/>
        </w:rPr>
        <w:t>.</w:t>
      </w:r>
      <w:r>
        <w:rPr>
          <w:rtl/>
        </w:rPr>
        <w:t xml:space="preserve"> وتذكّر بتعليقها العام رقم </w:t>
      </w:r>
      <w:r w:rsidRPr="00D83A61">
        <w:rPr>
          <w:rtl/>
        </w:rPr>
        <w:t>31</w:t>
      </w:r>
      <w:r>
        <w:rPr>
          <w:rtl/>
        </w:rPr>
        <w:t>(</w:t>
      </w:r>
      <w:r w:rsidRPr="00D83A61">
        <w:rPr>
          <w:rtl/>
        </w:rPr>
        <w:t>2004</w:t>
      </w:r>
      <w:r>
        <w:rPr>
          <w:rtl/>
        </w:rPr>
        <w:t xml:space="preserve">) الذي تشير فيه على وجه </w:t>
      </w:r>
      <w:r w:rsidRPr="002D3F5F">
        <w:rPr>
          <w:spacing w:val="-4"/>
          <w:rtl/>
        </w:rPr>
        <w:t>الخصوص إلى أن تقاعس دولة طرف عن التحقيق في انتهاكات مزعومة قد يفضي، في حد ذاته، إلى انتهاك</w:t>
      </w:r>
      <w:r>
        <w:rPr>
          <w:rtl/>
        </w:rPr>
        <w:t xml:space="preserve"> واضح للعهد.</w:t>
      </w:r>
    </w:p>
    <w:p w14:paraId="28C6CD1A" w14:textId="3B819B39" w:rsidR="006F28FC" w:rsidRDefault="006F28FC" w:rsidP="006F28FC">
      <w:pPr>
        <w:pStyle w:val="SingleTxtGA"/>
      </w:pPr>
      <w:r w:rsidRPr="00D83A61">
        <w:rPr>
          <w:rtl/>
        </w:rPr>
        <w:t>8</w:t>
      </w:r>
      <w:r>
        <w:rPr>
          <w:rtl/>
        </w:rPr>
        <w:t>-</w:t>
      </w:r>
      <w:r w:rsidRPr="00D83A61">
        <w:rPr>
          <w:rtl/>
        </w:rPr>
        <w:t>13</w:t>
      </w:r>
      <w:r>
        <w:rPr>
          <w:rtl/>
        </w:rPr>
        <w:tab/>
        <w:t>وفي هذه القضية، نبّهت صاحبة البلاغ</w:t>
      </w:r>
      <w:r w:rsidR="00507C1E">
        <w:rPr>
          <w:rtl/>
        </w:rPr>
        <w:t xml:space="preserve"> </w:t>
      </w:r>
      <w:r>
        <w:rPr>
          <w:rtl/>
        </w:rPr>
        <w:t xml:space="preserve">السلطات المعنية مراراً إلى اختفاء زوجها دون أن تجري </w:t>
      </w:r>
      <w:r w:rsidRPr="002D3F5F">
        <w:rPr>
          <w:spacing w:val="-4"/>
          <w:rtl/>
        </w:rPr>
        <w:t>الدولة الطرف تحقيقاً شاملاً ودقيقاً في حالة الاختفاء، ولم تتلقّ صاحبة البلاغ أي معلومات في هذا الصدد.</w:t>
      </w:r>
      <w:r>
        <w:rPr>
          <w:rtl/>
        </w:rPr>
        <w:t xml:space="preserve"> وعلاوة على ذلك، فإن عدم توفر إمكانية قانونية للجوء إلى هيئة قضائية بعد صدور الأمر رقم </w:t>
      </w:r>
      <w:r w:rsidRPr="00D83A61">
        <w:rPr>
          <w:rtl/>
        </w:rPr>
        <w:t>06</w:t>
      </w:r>
      <w:r>
        <w:rPr>
          <w:rtl/>
        </w:rPr>
        <w:t>-</w:t>
      </w:r>
      <w:r w:rsidRPr="00D83A61">
        <w:rPr>
          <w:rtl/>
        </w:rPr>
        <w:t>01</w:t>
      </w:r>
      <w:r>
        <w:rPr>
          <w:rtl/>
        </w:rPr>
        <w:t xml:space="preserve"> يحرم صادق </w:t>
      </w:r>
      <w:proofErr w:type="spellStart"/>
      <w:r>
        <w:rPr>
          <w:rtl/>
        </w:rPr>
        <w:t>الرسيوي</w:t>
      </w:r>
      <w:proofErr w:type="spellEnd"/>
      <w:r>
        <w:rPr>
          <w:rtl/>
        </w:rPr>
        <w:t xml:space="preserve"> وصاحبة البلاغ حتى الآن، من أي فرصة للوصول إلى سبيل انتصاف فعال لأن ذلك الأمر يمنعهما من اللجوء إلى العدالة لاستجلاء ملابسات جريمة الاختفاء القسري التي هي من أشد </w:t>
      </w:r>
      <w:r w:rsidRPr="002D3F5F">
        <w:rPr>
          <w:spacing w:val="-4"/>
          <w:rtl/>
        </w:rPr>
        <w:t xml:space="preserve">الجرائم </w:t>
      </w:r>
      <w:proofErr w:type="gramStart"/>
      <w:r w:rsidRPr="002D3F5F">
        <w:rPr>
          <w:spacing w:val="-4"/>
          <w:rtl/>
        </w:rPr>
        <w:t>خطورة</w:t>
      </w:r>
      <w:r w:rsidRPr="002D3F5F">
        <w:rPr>
          <w:spacing w:val="-4"/>
          <w:vertAlign w:val="superscript"/>
          <w:rtl/>
        </w:rPr>
        <w:t>(</w:t>
      </w:r>
      <w:proofErr w:type="gramEnd"/>
      <w:r w:rsidRPr="00D83A61">
        <w:rPr>
          <w:rStyle w:val="FootnoteReference"/>
          <w:spacing w:val="-4"/>
          <w:szCs w:val="22"/>
          <w:lang w:val="en-US"/>
        </w:rPr>
        <w:footnoteReference w:id="39"/>
      </w:r>
      <w:r w:rsidRPr="002D3F5F">
        <w:rPr>
          <w:spacing w:val="-4"/>
          <w:vertAlign w:val="superscript"/>
          <w:rtl/>
        </w:rPr>
        <w:t>)</w:t>
      </w:r>
      <w:r w:rsidR="002D3F5F">
        <w:rPr>
          <w:rFonts w:hint="cs"/>
          <w:spacing w:val="-4"/>
          <w:rtl/>
        </w:rPr>
        <w:t>.</w:t>
      </w:r>
      <w:r w:rsidRPr="002D3F5F">
        <w:rPr>
          <w:spacing w:val="-4"/>
          <w:rtl/>
        </w:rPr>
        <w:t xml:space="preserve"> وتخلص اللجنة إلى أن الوقائع المعروضة عليها تكشف عن حدوث انتهاك للمادة </w:t>
      </w:r>
      <w:r w:rsidRPr="00D83A61">
        <w:rPr>
          <w:spacing w:val="-4"/>
          <w:rtl/>
        </w:rPr>
        <w:t>2</w:t>
      </w:r>
      <w:r w:rsidRPr="002D3F5F">
        <w:rPr>
          <w:spacing w:val="-4"/>
          <w:rtl/>
        </w:rPr>
        <w:t>(</w:t>
      </w:r>
      <w:r w:rsidRPr="00D83A61">
        <w:rPr>
          <w:spacing w:val="-4"/>
          <w:rtl/>
        </w:rPr>
        <w:t>3</w:t>
      </w:r>
      <w:r w:rsidRPr="002D3F5F">
        <w:rPr>
          <w:spacing w:val="-4"/>
          <w:rtl/>
        </w:rPr>
        <w:t>)</w:t>
      </w:r>
      <w:r>
        <w:rPr>
          <w:rtl/>
        </w:rPr>
        <w:t xml:space="preserve"> </w:t>
      </w:r>
      <w:r w:rsidRPr="002D3F5F">
        <w:rPr>
          <w:spacing w:val="-4"/>
          <w:rtl/>
        </w:rPr>
        <w:t xml:space="preserve">مقروءة بالاقتران مع المواد </w:t>
      </w:r>
      <w:r w:rsidRPr="00D83A61">
        <w:rPr>
          <w:spacing w:val="-4"/>
          <w:rtl/>
        </w:rPr>
        <w:t>6</w:t>
      </w:r>
      <w:r w:rsidRPr="002D3F5F">
        <w:rPr>
          <w:spacing w:val="-4"/>
          <w:rtl/>
        </w:rPr>
        <w:t xml:space="preserve"> و</w:t>
      </w:r>
      <w:r w:rsidRPr="00D83A61">
        <w:rPr>
          <w:spacing w:val="-4"/>
          <w:rtl/>
        </w:rPr>
        <w:t>7</w:t>
      </w:r>
      <w:r w:rsidRPr="002D3F5F">
        <w:rPr>
          <w:spacing w:val="-4"/>
          <w:rtl/>
        </w:rPr>
        <w:t xml:space="preserve"> و</w:t>
      </w:r>
      <w:r w:rsidRPr="00D83A61">
        <w:rPr>
          <w:spacing w:val="-4"/>
          <w:rtl/>
        </w:rPr>
        <w:t>9</w:t>
      </w:r>
      <w:r w:rsidRPr="002D3F5F">
        <w:rPr>
          <w:spacing w:val="-4"/>
          <w:rtl/>
        </w:rPr>
        <w:t xml:space="preserve"> و</w:t>
      </w:r>
      <w:r w:rsidRPr="00D83A61">
        <w:rPr>
          <w:spacing w:val="-4"/>
          <w:rtl/>
        </w:rPr>
        <w:t>16</w:t>
      </w:r>
      <w:r w:rsidRPr="002D3F5F">
        <w:rPr>
          <w:spacing w:val="-4"/>
          <w:rtl/>
        </w:rPr>
        <w:t xml:space="preserve"> من العهد في حق صادق </w:t>
      </w:r>
      <w:proofErr w:type="spellStart"/>
      <w:r w:rsidRPr="002D3F5F">
        <w:rPr>
          <w:spacing w:val="-4"/>
          <w:rtl/>
        </w:rPr>
        <w:t>الرسيوي</w:t>
      </w:r>
      <w:proofErr w:type="spellEnd"/>
      <w:r w:rsidRPr="002D3F5F">
        <w:rPr>
          <w:spacing w:val="-4"/>
          <w:rtl/>
        </w:rPr>
        <w:t xml:space="preserve">، وانتهاك المادة </w:t>
      </w:r>
      <w:r w:rsidRPr="00D83A61">
        <w:rPr>
          <w:spacing w:val="-4"/>
          <w:rtl/>
        </w:rPr>
        <w:t>2</w:t>
      </w:r>
      <w:r w:rsidRPr="002D3F5F">
        <w:rPr>
          <w:spacing w:val="-4"/>
          <w:rtl/>
        </w:rPr>
        <w:t>(</w:t>
      </w:r>
      <w:r w:rsidRPr="00D83A61">
        <w:rPr>
          <w:spacing w:val="-4"/>
          <w:rtl/>
        </w:rPr>
        <w:t>3</w:t>
      </w:r>
      <w:r w:rsidRPr="002D3F5F">
        <w:rPr>
          <w:spacing w:val="-4"/>
          <w:rtl/>
        </w:rPr>
        <w:t>) مقروءة</w:t>
      </w:r>
      <w:r>
        <w:rPr>
          <w:rtl/>
        </w:rPr>
        <w:t xml:space="preserve"> بالاقتران مع المادة </w:t>
      </w:r>
      <w:r w:rsidRPr="00D83A61">
        <w:rPr>
          <w:rtl/>
        </w:rPr>
        <w:t>7</w:t>
      </w:r>
      <w:r>
        <w:rPr>
          <w:rtl/>
        </w:rPr>
        <w:t xml:space="preserve"> من العهد في حق صاحبة البلاغ.</w:t>
      </w:r>
    </w:p>
    <w:p w14:paraId="6DB731C3" w14:textId="77777777" w:rsidR="006F28FC" w:rsidRPr="002D3F5F" w:rsidRDefault="006F28FC" w:rsidP="006F28FC">
      <w:pPr>
        <w:pStyle w:val="SingleTxtGA"/>
        <w:rPr>
          <w:spacing w:val="2"/>
        </w:rPr>
      </w:pPr>
      <w:r w:rsidRPr="00D83A61">
        <w:rPr>
          <w:rtl/>
        </w:rPr>
        <w:t>9</w:t>
      </w:r>
      <w:r>
        <w:rPr>
          <w:rtl/>
        </w:rPr>
        <w:t>-</w:t>
      </w:r>
      <w:r>
        <w:rPr>
          <w:rtl/>
        </w:rPr>
        <w:tab/>
      </w:r>
      <w:r w:rsidRPr="00D83A61">
        <w:rPr>
          <w:spacing w:val="-4"/>
          <w:rtl/>
        </w:rPr>
        <w:t xml:space="preserve">وتخلص اللجنة، متصرفةً وفقاً للمادة 5(4) من البروتوكول الاختياري الملحق بالعهد، إلى أن الوقائع </w:t>
      </w:r>
      <w:r w:rsidRPr="00D83A61">
        <w:rPr>
          <w:rtl/>
        </w:rPr>
        <w:t>المعروضة عليها تكشف عن انتهاكات الدولة الطرف للمواد 6 و7 و9 و16 من العهد، وللمادة 2(3) مقروءة بالاقتران</w:t>
      </w:r>
      <w:r w:rsidRPr="002D3F5F">
        <w:rPr>
          <w:spacing w:val="-4"/>
          <w:rtl/>
        </w:rPr>
        <w:t xml:space="preserve"> مع المواد </w:t>
      </w:r>
      <w:r w:rsidRPr="00D83A61">
        <w:rPr>
          <w:spacing w:val="-4"/>
          <w:rtl/>
        </w:rPr>
        <w:t>6</w:t>
      </w:r>
      <w:r w:rsidRPr="002D3F5F">
        <w:rPr>
          <w:spacing w:val="-4"/>
          <w:rtl/>
        </w:rPr>
        <w:t xml:space="preserve"> و</w:t>
      </w:r>
      <w:r w:rsidRPr="00D83A61">
        <w:rPr>
          <w:spacing w:val="-4"/>
          <w:rtl/>
        </w:rPr>
        <w:t>7</w:t>
      </w:r>
      <w:r w:rsidRPr="002D3F5F">
        <w:rPr>
          <w:spacing w:val="-4"/>
          <w:rtl/>
        </w:rPr>
        <w:t xml:space="preserve"> و</w:t>
      </w:r>
      <w:r w:rsidRPr="00D83A61">
        <w:rPr>
          <w:spacing w:val="-4"/>
          <w:rtl/>
        </w:rPr>
        <w:t>9</w:t>
      </w:r>
      <w:r w:rsidRPr="002D3F5F">
        <w:rPr>
          <w:spacing w:val="-4"/>
          <w:rtl/>
        </w:rPr>
        <w:t xml:space="preserve"> و</w:t>
      </w:r>
      <w:r w:rsidRPr="00D83A61">
        <w:rPr>
          <w:spacing w:val="-4"/>
          <w:rtl/>
        </w:rPr>
        <w:t>16</w:t>
      </w:r>
      <w:r w:rsidRPr="002D3F5F">
        <w:rPr>
          <w:spacing w:val="-4"/>
          <w:rtl/>
        </w:rPr>
        <w:t xml:space="preserve"> من العهد، في حق صادق </w:t>
      </w:r>
      <w:proofErr w:type="spellStart"/>
      <w:r w:rsidRPr="002D3F5F">
        <w:rPr>
          <w:spacing w:val="-4"/>
          <w:rtl/>
        </w:rPr>
        <w:t>الرسيوي</w:t>
      </w:r>
      <w:proofErr w:type="spellEnd"/>
      <w:r w:rsidRPr="002D3F5F">
        <w:rPr>
          <w:spacing w:val="-4"/>
          <w:rtl/>
        </w:rPr>
        <w:t>. وتسجّل اللجنة أيضاً انتهاك</w:t>
      </w:r>
      <w:r>
        <w:rPr>
          <w:rtl/>
        </w:rPr>
        <w:t xml:space="preserve"> </w:t>
      </w:r>
      <w:r w:rsidRPr="002D3F5F">
        <w:rPr>
          <w:spacing w:val="2"/>
          <w:rtl/>
        </w:rPr>
        <w:t xml:space="preserve">الدولة الطرف للمادة </w:t>
      </w:r>
      <w:r w:rsidRPr="00D83A61">
        <w:rPr>
          <w:spacing w:val="2"/>
          <w:rtl/>
        </w:rPr>
        <w:t>7</w:t>
      </w:r>
      <w:r w:rsidRPr="002D3F5F">
        <w:rPr>
          <w:spacing w:val="2"/>
          <w:rtl/>
        </w:rPr>
        <w:t xml:space="preserve"> مقروءة منفردة وبالاقتران مع المادة </w:t>
      </w:r>
      <w:r w:rsidRPr="00D83A61">
        <w:rPr>
          <w:spacing w:val="2"/>
          <w:rtl/>
        </w:rPr>
        <w:t>2</w:t>
      </w:r>
      <w:r w:rsidRPr="002D3F5F">
        <w:rPr>
          <w:spacing w:val="2"/>
          <w:rtl/>
        </w:rPr>
        <w:t>(</w:t>
      </w:r>
      <w:r w:rsidRPr="00D83A61">
        <w:rPr>
          <w:spacing w:val="2"/>
          <w:rtl/>
        </w:rPr>
        <w:t>3</w:t>
      </w:r>
      <w:r w:rsidRPr="002D3F5F">
        <w:rPr>
          <w:spacing w:val="2"/>
          <w:rtl/>
        </w:rPr>
        <w:t>) من العهد في حق صاحبة البلاغ.</w:t>
      </w:r>
    </w:p>
    <w:p w14:paraId="27FD0572" w14:textId="7E30189F" w:rsidR="006F28FC" w:rsidRDefault="006F28FC" w:rsidP="006F28FC">
      <w:pPr>
        <w:pStyle w:val="SingleTxtGA"/>
      </w:pPr>
      <w:r w:rsidRPr="00D83A61">
        <w:rPr>
          <w:rtl/>
        </w:rPr>
        <w:t>10</w:t>
      </w:r>
      <w:r>
        <w:rPr>
          <w:rtl/>
        </w:rPr>
        <w:t>-</w:t>
      </w:r>
      <w:r>
        <w:rPr>
          <w:rtl/>
        </w:rPr>
        <w:tab/>
        <w:t xml:space="preserve">وعملاً بأحكام المادة </w:t>
      </w:r>
      <w:r w:rsidRPr="00D83A61">
        <w:rPr>
          <w:rtl/>
        </w:rPr>
        <w:t>2</w:t>
      </w:r>
      <w:r>
        <w:rPr>
          <w:rtl/>
        </w:rPr>
        <w:t>(</w:t>
      </w:r>
      <w:r w:rsidRPr="00D83A61">
        <w:rPr>
          <w:rtl/>
        </w:rPr>
        <w:t>3</w:t>
      </w:r>
      <w:r>
        <w:rPr>
          <w:rtl/>
        </w:rPr>
        <w:t xml:space="preserve">)(أ) من العهد، يقع على عاتق الدولة الطرف الالتزام بتوفير سبيل انتصاف فعال لصاحبة البلاغ. ويقتضي منها ذلك جبر ضرر الأشخاص الذين انتُهكت حقوقهم المكفولة </w:t>
      </w:r>
      <w:r w:rsidRPr="002D3F5F">
        <w:rPr>
          <w:spacing w:val="-4"/>
          <w:rtl/>
        </w:rPr>
        <w:t>بموجب العهد جبراً</w:t>
      </w:r>
      <w:r w:rsidR="00507C1E" w:rsidRPr="002D3F5F">
        <w:rPr>
          <w:spacing w:val="-4"/>
          <w:rtl/>
        </w:rPr>
        <w:t xml:space="preserve"> </w:t>
      </w:r>
      <w:r w:rsidRPr="002D3F5F">
        <w:rPr>
          <w:spacing w:val="-4"/>
          <w:rtl/>
        </w:rPr>
        <w:t>كاملاً. وفي هذه القضية، تُلزَم الدولة الطرف بما يلي: (أ) إجراء تحقيق سريع وفعال وشامل</w:t>
      </w:r>
      <w:r>
        <w:rPr>
          <w:rtl/>
        </w:rPr>
        <w:t xml:space="preserve"> </w:t>
      </w:r>
      <w:r w:rsidRPr="002D3F5F">
        <w:rPr>
          <w:spacing w:val="-4"/>
          <w:rtl/>
        </w:rPr>
        <w:t xml:space="preserve">ونزيه ومستقل في اختفاء صادق </w:t>
      </w:r>
      <w:proofErr w:type="spellStart"/>
      <w:r w:rsidRPr="002D3F5F">
        <w:rPr>
          <w:spacing w:val="-4"/>
          <w:rtl/>
        </w:rPr>
        <w:t>الرسيوي</w:t>
      </w:r>
      <w:proofErr w:type="spellEnd"/>
      <w:r w:rsidRPr="002D3F5F">
        <w:rPr>
          <w:spacing w:val="-4"/>
          <w:rtl/>
        </w:rPr>
        <w:t xml:space="preserve"> وتزويد صاحبة البلاغ بمعلومات مفصلة عن نتائج ذلك التحقيق؛</w:t>
      </w:r>
      <w:r>
        <w:rPr>
          <w:rtl/>
        </w:rPr>
        <w:t xml:space="preserve"> </w:t>
      </w:r>
      <w:r w:rsidRPr="002D3F5F">
        <w:rPr>
          <w:spacing w:val="-4"/>
          <w:rtl/>
        </w:rPr>
        <w:t xml:space="preserve">و(ب) الإفراج فوراً عن صادق </w:t>
      </w:r>
      <w:proofErr w:type="spellStart"/>
      <w:r w:rsidRPr="002D3F5F">
        <w:rPr>
          <w:spacing w:val="-4"/>
          <w:rtl/>
        </w:rPr>
        <w:t>الرسيوي</w:t>
      </w:r>
      <w:proofErr w:type="spellEnd"/>
      <w:r w:rsidRPr="002D3F5F">
        <w:rPr>
          <w:spacing w:val="-4"/>
          <w:rtl/>
        </w:rPr>
        <w:t xml:space="preserve"> إن كان لا يزال محتجزاً مع منع الاتصال؛ و(ج) إعادة رفات صادق</w:t>
      </w:r>
      <w:r>
        <w:rPr>
          <w:rtl/>
        </w:rPr>
        <w:t xml:space="preserve"> </w:t>
      </w:r>
      <w:proofErr w:type="spellStart"/>
      <w:r>
        <w:rPr>
          <w:rtl/>
        </w:rPr>
        <w:t>الرسيوي</w:t>
      </w:r>
      <w:proofErr w:type="spellEnd"/>
      <w:r>
        <w:rPr>
          <w:rtl/>
        </w:rPr>
        <w:t xml:space="preserve">، في حالة وفاته، إلى أسرته في ظروف تحفظ الكرامة، وفقاً للمعايير والتقاليد الثقافية للضحايا؛ </w:t>
      </w:r>
      <w:r w:rsidRPr="00A82124">
        <w:rPr>
          <w:spacing w:val="2"/>
          <w:rtl/>
        </w:rPr>
        <w:t>و(د) ملاحقة المسؤولين عن الانتهاكات المرتكبة ومحاكمتهم ومعاقبتهم؛ و(ه) منح صاحبة البلاغ</w:t>
      </w:r>
      <w:r>
        <w:rPr>
          <w:rtl/>
        </w:rPr>
        <w:t xml:space="preserve"> وصادق </w:t>
      </w:r>
      <w:proofErr w:type="spellStart"/>
      <w:r>
        <w:rPr>
          <w:rtl/>
        </w:rPr>
        <w:t>الرسيوي</w:t>
      </w:r>
      <w:proofErr w:type="spellEnd"/>
      <w:r>
        <w:rPr>
          <w:rtl/>
        </w:rPr>
        <w:t xml:space="preserve"> إذا كان على قيد الحياة تعويضاً كافياً وتدابير ترضية مناسبة. وبصرف النظر عن الأمر رقم </w:t>
      </w:r>
      <w:r w:rsidRPr="00D83A61">
        <w:rPr>
          <w:rtl/>
        </w:rPr>
        <w:t>06</w:t>
      </w:r>
      <w:r>
        <w:rPr>
          <w:rtl/>
        </w:rPr>
        <w:t>-</w:t>
      </w:r>
      <w:r w:rsidRPr="00D83A61">
        <w:rPr>
          <w:rtl/>
        </w:rPr>
        <w:t>01</w:t>
      </w:r>
      <w:r>
        <w:rPr>
          <w:rtl/>
        </w:rPr>
        <w:t xml:space="preserve">، يتعين على الدولة الطرف أيضاً أن تحرص على أن يمارس ضحايا الجرائم مثل التعذيب، </w:t>
      </w:r>
      <w:r w:rsidRPr="002D3F5F">
        <w:rPr>
          <w:spacing w:val="-4"/>
          <w:rtl/>
        </w:rPr>
        <w:t>والإعدام خارج نطاق القضاء، والاختفاء القسري، حقهم في سبيل انتصاف فعال دون عراقيل. والدولة الطرف</w:t>
      </w:r>
      <w:r>
        <w:rPr>
          <w:rtl/>
        </w:rPr>
        <w:t xml:space="preserve"> ملزمةٌ أيضاً باتخاذ تدابير تمنع تكرار مثل تلك الانتهاكات في المستقبل. وفي هذا الصدد، ترى اللجنة أنه ينبغي للدولة الطرف أن تعيد النظر في تشريعاتها وفقاً للالتزام الواقع على عاتقها بموجب المادة </w:t>
      </w:r>
      <w:r w:rsidRPr="00D83A61">
        <w:rPr>
          <w:rtl/>
        </w:rPr>
        <w:t>2</w:t>
      </w:r>
      <w:r>
        <w:rPr>
          <w:rtl/>
        </w:rPr>
        <w:t>(</w:t>
      </w:r>
      <w:r w:rsidRPr="00D83A61">
        <w:rPr>
          <w:rtl/>
        </w:rPr>
        <w:t>2</w:t>
      </w:r>
      <w:r>
        <w:rPr>
          <w:rtl/>
        </w:rPr>
        <w:t xml:space="preserve">) من </w:t>
      </w:r>
      <w:r w:rsidRPr="002D3F5F">
        <w:rPr>
          <w:spacing w:val="-4"/>
          <w:rtl/>
        </w:rPr>
        <w:t>العهد، وأن تلغي على وجه الخصوص، أحكام الأمر المذكور التي تتنافى مع أحكام العهد، حتى يتسنى التمتع</w:t>
      </w:r>
      <w:r>
        <w:rPr>
          <w:rtl/>
        </w:rPr>
        <w:t xml:space="preserve"> بالحقوق المكرسة في العهد تمتعاً كاملاً في الدولة الطرف.</w:t>
      </w:r>
    </w:p>
    <w:p w14:paraId="30C6A6C7" w14:textId="77777777" w:rsidR="006F28FC" w:rsidRDefault="006F28FC" w:rsidP="006F28FC">
      <w:pPr>
        <w:pStyle w:val="SingleTxtGA"/>
      </w:pPr>
      <w:r w:rsidRPr="00D83A61">
        <w:rPr>
          <w:rtl/>
        </w:rPr>
        <w:t>11</w:t>
      </w:r>
      <w:r>
        <w:rPr>
          <w:rtl/>
        </w:rPr>
        <w:t>-</w:t>
      </w:r>
      <w:r>
        <w:rPr>
          <w:rtl/>
        </w:rPr>
        <w:tab/>
      </w:r>
      <w:r w:rsidRPr="0041139A">
        <w:rPr>
          <w:spacing w:val="-2"/>
          <w:rtl/>
        </w:rPr>
        <w:t>وإذ تضع اللجنة في اعتبارها أن الدولة الطرف قد اعترفت، بانضمامها إلى البروتوكول الاختياري،</w:t>
      </w:r>
      <w:r>
        <w:rPr>
          <w:rtl/>
        </w:rPr>
        <w:t xml:space="preserve"> باختصاص اللجنة بتحديد ما إذا كان هناك انتهاك للعهد، وتعهدت، بموجب المادة </w:t>
      </w:r>
      <w:r w:rsidRPr="00D83A61">
        <w:rPr>
          <w:rtl/>
        </w:rPr>
        <w:t>2</w:t>
      </w:r>
      <w:r>
        <w:rPr>
          <w:rtl/>
        </w:rPr>
        <w:t xml:space="preserve"> من العهد، بأن تكفل لجميع الأفراد الموجودين في إقليمها، والخاضعين لولايتها، الحقوق المعترف بها في العهد وبأن توفر سبيل انتصاف فعال وقابل للإنفاذ في حالة ثبوت حدوث انتهاك، فإنها تود أن تتلقى من الدولة الطرف، في غضون مائة وثمانين يوماً، معلومات عن التدابير المتخذة لوضع آراء اللجنة موضع التنفيذ. ويُطلب إلى الدولة الطرف أيضاً نشر هذه الآراء وتعميمها على نطاق واسع بلغاتها الرسمية.</w:t>
      </w:r>
    </w:p>
    <w:p w14:paraId="611FEB4F" w14:textId="20932E09" w:rsidR="002D3F5F" w:rsidRPr="002D3F5F" w:rsidRDefault="002D3F5F" w:rsidP="002D3F5F">
      <w:pPr>
        <w:pStyle w:val="SingleTxtGA"/>
        <w:jc w:val="center"/>
        <w:rPr>
          <w:u w:val="single"/>
          <w:rtl/>
        </w:rPr>
      </w:pPr>
      <w:r>
        <w:rPr>
          <w:u w:val="single"/>
          <w:rtl/>
        </w:rPr>
        <w:tab/>
      </w:r>
      <w:r>
        <w:rPr>
          <w:u w:val="single"/>
          <w:rtl/>
        </w:rPr>
        <w:tab/>
      </w:r>
      <w:r>
        <w:rPr>
          <w:u w:val="single"/>
          <w:rtl/>
        </w:rPr>
        <w:tab/>
      </w:r>
    </w:p>
    <w:sectPr w:rsidR="002D3F5F" w:rsidRPr="002D3F5F" w:rsidSect="00A76BB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6F0B3" w14:textId="77777777" w:rsidR="00645993" w:rsidRPr="002901D9" w:rsidRDefault="00645993" w:rsidP="00DC4D4B">
      <w:pPr>
        <w:spacing w:after="60" w:line="240" w:lineRule="auto"/>
        <w:ind w:left="57"/>
        <w:rPr>
          <w:i/>
          <w:iCs/>
        </w:rPr>
      </w:pPr>
      <w:r>
        <w:rPr>
          <w:rFonts w:hint="cs"/>
          <w:i/>
          <w:iCs/>
          <w:rtl/>
        </w:rPr>
        <w:t>الحواشي</w:t>
      </w:r>
    </w:p>
  </w:endnote>
  <w:endnote w:type="continuationSeparator" w:id="0">
    <w:p w14:paraId="38ED7D8D" w14:textId="77777777" w:rsidR="00645993" w:rsidRDefault="0064599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F9BD" w14:textId="0AD30BC2" w:rsidR="00645993" w:rsidRPr="00AB6D67" w:rsidRDefault="00645993" w:rsidP="00AB6D67">
    <w:pPr>
      <w:pStyle w:val="Footer"/>
      <w:tabs>
        <w:tab w:val="right" w:pos="9638"/>
      </w:tabs>
      <w:rPr>
        <w:b/>
        <w:sz w:val="18"/>
        <w:lang w:val="en-US"/>
      </w:rPr>
    </w:pPr>
    <w:r>
      <w:rPr>
        <w:lang w:val="en-US"/>
      </w:rPr>
      <w:t>GE.21-03102</w:t>
    </w:r>
    <w:r>
      <w:rPr>
        <w:lang w:val="en-US"/>
      </w:rPr>
      <w:tab/>
    </w:r>
    <w:r w:rsidRPr="00AB6D67">
      <w:rPr>
        <w:b/>
        <w:sz w:val="18"/>
        <w:lang w:val="en-US"/>
      </w:rPr>
      <w:fldChar w:fldCharType="begin"/>
    </w:r>
    <w:r w:rsidRPr="00AB6D67">
      <w:rPr>
        <w:b/>
        <w:sz w:val="18"/>
        <w:lang w:val="en-US"/>
      </w:rPr>
      <w:instrText xml:space="preserve"> PAGE  \* MERGEFORMAT </w:instrText>
    </w:r>
    <w:r w:rsidRPr="00AB6D67">
      <w:rPr>
        <w:b/>
        <w:sz w:val="18"/>
        <w:lang w:val="en-US"/>
      </w:rPr>
      <w:fldChar w:fldCharType="separate"/>
    </w:r>
    <w:r w:rsidRPr="00AB6D67">
      <w:rPr>
        <w:b/>
        <w:noProof/>
        <w:sz w:val="18"/>
        <w:lang w:val="en-US"/>
      </w:rPr>
      <w:t>2</w:t>
    </w:r>
    <w:r w:rsidRPr="00AB6D6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7F12" w14:textId="42DD9E24" w:rsidR="00645993" w:rsidRPr="00AB6D67" w:rsidRDefault="00645993" w:rsidP="00AB6D6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GE.21-03102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C360" w14:textId="381D1F4F" w:rsidR="00645993" w:rsidRPr="00AB6D67" w:rsidRDefault="00645993" w:rsidP="00AB6D67">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3A4ABC95" wp14:editId="4947A18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21-03102 (A)</w:t>
    </w:r>
    <w:r>
      <w:rPr>
        <w:noProof/>
        <w:sz w:val="20"/>
        <w:lang w:val="en-US"/>
      </w:rPr>
      <w:drawing>
        <wp:anchor distT="0" distB="0" distL="114300" distR="114300" simplePos="0" relativeHeight="251659264" behindDoc="0" locked="0" layoutInCell="1" allowOverlap="1" wp14:anchorId="52F6A378" wp14:editId="28454561">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BD36" w14:textId="77777777" w:rsidR="00645993" w:rsidRPr="000437B8" w:rsidRDefault="00645993" w:rsidP="00F10DAB">
      <w:pPr>
        <w:pStyle w:val="Footer"/>
        <w:bidi/>
        <w:spacing w:after="80" w:line="200" w:lineRule="exact"/>
        <w:ind w:left="680"/>
      </w:pPr>
      <w:r>
        <w:rPr>
          <w:rtl/>
        </w:rPr>
        <w:t>__________</w:t>
      </w:r>
    </w:p>
  </w:footnote>
  <w:footnote w:type="continuationSeparator" w:id="0">
    <w:p w14:paraId="2CC143CA" w14:textId="77777777" w:rsidR="00645993" w:rsidRDefault="00645993" w:rsidP="00656392">
      <w:pPr>
        <w:spacing w:line="240" w:lineRule="auto"/>
      </w:pPr>
      <w:r>
        <w:continuationSeparator/>
      </w:r>
    </w:p>
  </w:footnote>
  <w:footnote w:id="1">
    <w:p w14:paraId="25B5C186" w14:textId="1CD59CAD" w:rsidR="00645993" w:rsidRPr="006F28FC" w:rsidRDefault="00645993" w:rsidP="006F28FC">
      <w:pPr>
        <w:pStyle w:val="FootnoteText1"/>
        <w:rPr>
          <w:rFonts w:hint="cs"/>
          <w:rtl/>
        </w:rPr>
      </w:pPr>
      <w:r>
        <w:rPr>
          <w:rtl/>
        </w:rPr>
        <w:t>*</w:t>
      </w:r>
      <w:r>
        <w:rPr>
          <w:rtl/>
        </w:rPr>
        <w:tab/>
      </w:r>
      <w:r w:rsidRPr="006F28FC">
        <w:rPr>
          <w:rtl/>
        </w:rPr>
        <w:t xml:space="preserve">اعتمدتها اللجنة في دورتها </w:t>
      </w:r>
      <w:r w:rsidRPr="00D83A61">
        <w:rPr>
          <w:rtl/>
        </w:rPr>
        <w:t>130</w:t>
      </w:r>
      <w:r w:rsidRPr="006F28FC">
        <w:rPr>
          <w:rtl/>
        </w:rPr>
        <w:t xml:space="preserve"> (</w:t>
      </w:r>
      <w:r w:rsidRPr="00D83A61">
        <w:rPr>
          <w:rtl/>
        </w:rPr>
        <w:t>12</w:t>
      </w:r>
      <w:r w:rsidRPr="006F28FC">
        <w:rPr>
          <w:rtl/>
        </w:rPr>
        <w:t xml:space="preserve"> تشرين الأول/أكتوبر - </w:t>
      </w:r>
      <w:r w:rsidRPr="00D83A61">
        <w:rPr>
          <w:rtl/>
        </w:rPr>
        <w:t>6</w:t>
      </w:r>
      <w:r w:rsidRPr="006F28FC">
        <w:rPr>
          <w:rtl/>
        </w:rPr>
        <w:t xml:space="preserve"> تشرين الثاني/نوفمبر </w:t>
      </w:r>
      <w:r w:rsidRPr="00D83A61">
        <w:rPr>
          <w:rtl/>
        </w:rPr>
        <w:t>2020</w:t>
      </w:r>
      <w:r w:rsidRPr="006F28FC">
        <w:rPr>
          <w:rtl/>
        </w:rPr>
        <w:t>).</w:t>
      </w:r>
      <w:r>
        <w:rPr>
          <w:rFonts w:hint="cs"/>
          <w:rtl/>
        </w:rPr>
        <w:t xml:space="preserve"> </w:t>
      </w:r>
    </w:p>
  </w:footnote>
  <w:footnote w:id="2">
    <w:p w14:paraId="21AD12E2" w14:textId="1F0D4126" w:rsidR="00645993" w:rsidRPr="006F28FC" w:rsidRDefault="00645993" w:rsidP="006F28FC">
      <w:pPr>
        <w:pStyle w:val="FootnoteText1"/>
        <w:rPr>
          <w:rFonts w:hint="cs"/>
          <w:rtl/>
        </w:rPr>
      </w:pPr>
      <w:r>
        <w:rPr>
          <w:rtl/>
        </w:rPr>
        <w:t>**</w:t>
      </w:r>
      <w:r>
        <w:rPr>
          <w:rtl/>
        </w:rPr>
        <w:tab/>
      </w:r>
      <w:r w:rsidRPr="006F28FC">
        <w:rPr>
          <w:rtl/>
        </w:rPr>
        <w:t xml:space="preserve">شارك في دراسة هذا البلاغ أعضاء اللجنة التالية أسماؤهم: عياض بن عاشور، وعارف بلقان، وأحمد أمين فتح الله، </w:t>
      </w:r>
      <w:proofErr w:type="spellStart"/>
      <w:r w:rsidRPr="006F28FC">
        <w:rPr>
          <w:rtl/>
        </w:rPr>
        <w:t>وفورويا</w:t>
      </w:r>
      <w:proofErr w:type="spellEnd"/>
      <w:r w:rsidRPr="006F28FC">
        <w:rPr>
          <w:rtl/>
        </w:rPr>
        <w:t xml:space="preserve"> </w:t>
      </w:r>
      <w:proofErr w:type="spellStart"/>
      <w:r w:rsidRPr="006F28FC">
        <w:rPr>
          <w:rtl/>
        </w:rPr>
        <w:t>شويتشي</w:t>
      </w:r>
      <w:proofErr w:type="spellEnd"/>
      <w:r w:rsidRPr="006F28FC">
        <w:rPr>
          <w:rtl/>
        </w:rPr>
        <w:t xml:space="preserve">، وكريستوف </w:t>
      </w:r>
      <w:proofErr w:type="spellStart"/>
      <w:r w:rsidRPr="006F28FC">
        <w:rPr>
          <w:rtl/>
        </w:rPr>
        <w:t>هينز</w:t>
      </w:r>
      <w:proofErr w:type="spellEnd"/>
      <w:r w:rsidRPr="006F28FC">
        <w:rPr>
          <w:rtl/>
        </w:rPr>
        <w:t xml:space="preserve">، </w:t>
      </w:r>
      <w:proofErr w:type="spellStart"/>
      <w:r w:rsidRPr="006F28FC">
        <w:rPr>
          <w:rtl/>
        </w:rPr>
        <w:t>وبامريم</w:t>
      </w:r>
      <w:proofErr w:type="spellEnd"/>
      <w:r w:rsidRPr="006F28FC">
        <w:rPr>
          <w:rtl/>
        </w:rPr>
        <w:t xml:space="preserve"> كويتا، وديفيد ه. مور، </w:t>
      </w:r>
      <w:proofErr w:type="spellStart"/>
      <w:r w:rsidRPr="006F28FC">
        <w:rPr>
          <w:rtl/>
        </w:rPr>
        <w:t>ودنكان</w:t>
      </w:r>
      <w:proofErr w:type="spellEnd"/>
      <w:r w:rsidRPr="006F28FC">
        <w:rPr>
          <w:rtl/>
        </w:rPr>
        <w:t xml:space="preserve"> </w:t>
      </w:r>
      <w:proofErr w:type="spellStart"/>
      <w:r w:rsidRPr="006F28FC">
        <w:rPr>
          <w:rtl/>
        </w:rPr>
        <w:t>لاكي</w:t>
      </w:r>
      <w:proofErr w:type="spellEnd"/>
      <w:r w:rsidRPr="006F28FC">
        <w:rPr>
          <w:rtl/>
        </w:rPr>
        <w:t xml:space="preserve"> </w:t>
      </w:r>
      <w:proofErr w:type="spellStart"/>
      <w:r w:rsidRPr="006F28FC">
        <w:rPr>
          <w:rtl/>
        </w:rPr>
        <w:t>موهوموزا</w:t>
      </w:r>
      <w:proofErr w:type="spellEnd"/>
      <w:r w:rsidRPr="006F28FC">
        <w:rPr>
          <w:rtl/>
        </w:rPr>
        <w:t xml:space="preserve">، </w:t>
      </w:r>
      <w:proofErr w:type="spellStart"/>
      <w:r w:rsidRPr="006F28FC">
        <w:rPr>
          <w:rtl/>
        </w:rPr>
        <w:t>وهيرنان</w:t>
      </w:r>
      <w:proofErr w:type="spellEnd"/>
      <w:r w:rsidRPr="006F28FC">
        <w:rPr>
          <w:rtl/>
        </w:rPr>
        <w:t xml:space="preserve"> </w:t>
      </w:r>
      <w:proofErr w:type="spellStart"/>
      <w:r w:rsidRPr="006F28FC">
        <w:rPr>
          <w:rtl/>
        </w:rPr>
        <w:t>كيسادا</w:t>
      </w:r>
      <w:proofErr w:type="spellEnd"/>
      <w:r w:rsidRPr="006F28FC">
        <w:rPr>
          <w:rtl/>
        </w:rPr>
        <w:t xml:space="preserve"> </w:t>
      </w:r>
      <w:proofErr w:type="spellStart"/>
      <w:r w:rsidRPr="006F28FC">
        <w:rPr>
          <w:rtl/>
        </w:rPr>
        <w:t>كابريرا</w:t>
      </w:r>
      <w:proofErr w:type="spellEnd"/>
      <w:r w:rsidRPr="006F28FC">
        <w:rPr>
          <w:rtl/>
        </w:rPr>
        <w:t xml:space="preserve">، </w:t>
      </w:r>
      <w:proofErr w:type="spellStart"/>
      <w:r w:rsidRPr="006F28FC">
        <w:rPr>
          <w:rtl/>
        </w:rPr>
        <w:t>وفاسيلكا</w:t>
      </w:r>
      <w:proofErr w:type="spellEnd"/>
      <w:r w:rsidRPr="006F28FC">
        <w:rPr>
          <w:rtl/>
        </w:rPr>
        <w:t xml:space="preserve"> </w:t>
      </w:r>
      <w:proofErr w:type="spellStart"/>
      <w:r w:rsidRPr="006F28FC">
        <w:rPr>
          <w:rtl/>
        </w:rPr>
        <w:t>سانسين</w:t>
      </w:r>
      <w:proofErr w:type="spellEnd"/>
      <w:r w:rsidRPr="006F28FC">
        <w:rPr>
          <w:rtl/>
        </w:rPr>
        <w:t xml:space="preserve">، وخوسيه مانويل سانتوس </w:t>
      </w:r>
      <w:proofErr w:type="spellStart"/>
      <w:r w:rsidRPr="006F28FC">
        <w:rPr>
          <w:rtl/>
        </w:rPr>
        <w:t>بايس</w:t>
      </w:r>
      <w:proofErr w:type="spellEnd"/>
      <w:r w:rsidRPr="006F28FC">
        <w:rPr>
          <w:rtl/>
        </w:rPr>
        <w:t xml:space="preserve">، ويوفال </w:t>
      </w:r>
      <w:proofErr w:type="spellStart"/>
      <w:r w:rsidRPr="006F28FC">
        <w:rPr>
          <w:rtl/>
        </w:rPr>
        <w:t>شاني</w:t>
      </w:r>
      <w:proofErr w:type="spellEnd"/>
      <w:r w:rsidRPr="006F28FC">
        <w:rPr>
          <w:rtl/>
        </w:rPr>
        <w:t xml:space="preserve">، وهيلين </w:t>
      </w:r>
      <w:proofErr w:type="spellStart"/>
      <w:r w:rsidRPr="006F28FC">
        <w:rPr>
          <w:rtl/>
        </w:rPr>
        <w:t>تيغرودجا</w:t>
      </w:r>
      <w:proofErr w:type="spellEnd"/>
      <w:r w:rsidRPr="006F28FC">
        <w:rPr>
          <w:rtl/>
        </w:rPr>
        <w:t xml:space="preserve">، وأندرياس </w:t>
      </w:r>
      <w:proofErr w:type="spellStart"/>
      <w:r w:rsidRPr="006F28FC">
        <w:rPr>
          <w:rtl/>
        </w:rPr>
        <w:t>زيمرمان</w:t>
      </w:r>
      <w:proofErr w:type="spellEnd"/>
      <w:r w:rsidRPr="006F28FC">
        <w:rPr>
          <w:rtl/>
        </w:rPr>
        <w:t xml:space="preserve">، </w:t>
      </w:r>
      <w:proofErr w:type="spellStart"/>
      <w:r w:rsidRPr="006F28FC">
        <w:rPr>
          <w:rtl/>
        </w:rPr>
        <w:t>وجنتيان</w:t>
      </w:r>
      <w:proofErr w:type="spellEnd"/>
      <w:r w:rsidRPr="006F28FC">
        <w:rPr>
          <w:rtl/>
        </w:rPr>
        <w:t xml:space="preserve"> </w:t>
      </w:r>
      <w:proofErr w:type="spellStart"/>
      <w:r w:rsidRPr="006F28FC">
        <w:rPr>
          <w:rtl/>
        </w:rPr>
        <w:t>زيبيري</w:t>
      </w:r>
      <w:proofErr w:type="spellEnd"/>
      <w:r w:rsidRPr="006F28FC">
        <w:rPr>
          <w:rtl/>
        </w:rPr>
        <w:t>.</w:t>
      </w:r>
    </w:p>
  </w:footnote>
  <w:footnote w:id="3">
    <w:p w14:paraId="25573314" w14:textId="7A632827"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6F28FC">
        <w:rPr>
          <w:rtl/>
        </w:rPr>
        <w:t>ذكرت صاحبة البلاغ أ. و.، وهو ضابط في القطاع العسكري في غرداية.</w:t>
      </w:r>
    </w:p>
  </w:footnote>
  <w:footnote w:id="4">
    <w:p w14:paraId="1ADDB11E" w14:textId="3E77D59E"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Pr>
          <w:rtl/>
        </w:rPr>
        <w:t>تذكر صاحبة البلاغ أن زوجها أُلقي عليه القبض رغم أن المفتشين لم يعثروا على شيء.</w:t>
      </w:r>
    </w:p>
  </w:footnote>
  <w:footnote w:id="5">
    <w:p w14:paraId="4DDCA270" w14:textId="5EFB1425"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6F28FC">
        <w:rPr>
          <w:rtl/>
        </w:rPr>
        <w:t>تلك الرسائل مرفقة بالملف.</w:t>
      </w:r>
    </w:p>
  </w:footnote>
  <w:footnote w:id="6">
    <w:p w14:paraId="508FE0C3" w14:textId="5E9DFCE7"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6F28FC">
        <w:rPr>
          <w:rtl/>
        </w:rPr>
        <w:t xml:space="preserve">تذكر صاحبة البلاغ أن دور الوسيط يتجلى في المساهمة في حماية حقوق المواطنين وحرياتهم، وفي عمل المؤسسات والإدارات </w:t>
      </w:r>
      <w:r w:rsidRPr="00FA2721">
        <w:rPr>
          <w:spacing w:val="-2"/>
          <w:rtl/>
        </w:rPr>
        <w:t xml:space="preserve">العامة بشكل صحيح. وقد أنشئت هيئة الانتصاف تلك في عام </w:t>
      </w:r>
      <w:r w:rsidRPr="00D83A61">
        <w:rPr>
          <w:spacing w:val="-2"/>
          <w:rtl/>
        </w:rPr>
        <w:t>1996</w:t>
      </w:r>
      <w:r w:rsidRPr="00FA2721">
        <w:rPr>
          <w:spacing w:val="-2"/>
          <w:rtl/>
        </w:rPr>
        <w:t xml:space="preserve">، وهي تتكون من </w:t>
      </w:r>
      <w:r w:rsidRPr="00D83A61">
        <w:rPr>
          <w:spacing w:val="-2"/>
          <w:rtl/>
        </w:rPr>
        <w:t>44</w:t>
      </w:r>
      <w:r w:rsidRPr="00FA2721">
        <w:rPr>
          <w:spacing w:val="-2"/>
          <w:rtl/>
        </w:rPr>
        <w:t xml:space="preserve"> ممثلاً ويمكن أن يلجأ إليها أي</w:t>
      </w:r>
      <w:r w:rsidR="00FA2721" w:rsidRPr="00FA2721">
        <w:rPr>
          <w:rFonts w:hint="cs"/>
          <w:spacing w:val="-2"/>
          <w:rtl/>
        </w:rPr>
        <w:t> </w:t>
      </w:r>
      <w:r w:rsidRPr="00FA2721">
        <w:rPr>
          <w:spacing w:val="-2"/>
          <w:rtl/>
        </w:rPr>
        <w:t>شخص</w:t>
      </w:r>
      <w:r w:rsidRPr="006F28FC">
        <w:rPr>
          <w:rtl/>
        </w:rPr>
        <w:t xml:space="preserve"> يشعر بأنه متضرر بفعل خلل وظيفي لإحدى الخدمات العامة.</w:t>
      </w:r>
    </w:p>
  </w:footnote>
  <w:footnote w:id="7">
    <w:p w14:paraId="640B5EE7" w14:textId="7C72E1F1"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6F28FC">
        <w:rPr>
          <w:rtl/>
        </w:rPr>
        <w:t>توضح صاحبة البلاغ أن هذه المؤسسة، التي حلت محل المرصد الوطني لحقوق الإنسان، هي سلطة إدارية لا تضطلع بأية وظيفة قانونية وليست لديها أية سلطة مماثلة. وهي لا تملك سوى سلطة التوصية، دون أي أثر واجب الإنفاذ، لأن قرار إنفاذها أو</w:t>
      </w:r>
      <w:r>
        <w:rPr>
          <w:rFonts w:hint="cs"/>
          <w:rtl/>
        </w:rPr>
        <w:t> </w:t>
      </w:r>
      <w:r w:rsidRPr="006F28FC">
        <w:rPr>
          <w:rtl/>
        </w:rPr>
        <w:t>عدمه يرجع لرئيس الجمهورية.</w:t>
      </w:r>
    </w:p>
  </w:footnote>
  <w:footnote w:id="8">
    <w:p w14:paraId="01405631" w14:textId="56E15B75"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B22CDF">
        <w:t>CCPR/C/DZA/CO/</w:t>
      </w:r>
      <w:r w:rsidRPr="00D83A61">
        <w:t>3</w:t>
      </w:r>
      <w:r w:rsidRPr="00B22CDF">
        <w:rPr>
          <w:rtl/>
        </w:rPr>
        <w:t xml:space="preserve">، الفقرتان </w:t>
      </w:r>
      <w:r w:rsidRPr="00D83A61">
        <w:rPr>
          <w:rtl/>
        </w:rPr>
        <w:t>7</w:t>
      </w:r>
      <w:r>
        <w:rPr>
          <w:rtl/>
        </w:rPr>
        <w:t xml:space="preserve"> و</w:t>
      </w:r>
      <w:r w:rsidRPr="00D83A61">
        <w:rPr>
          <w:rtl/>
        </w:rPr>
        <w:t>8</w:t>
      </w:r>
      <w:r w:rsidRPr="00B22CDF">
        <w:rPr>
          <w:rtl/>
        </w:rPr>
        <w:t>.</w:t>
      </w:r>
    </w:p>
  </w:footnote>
  <w:footnote w:id="9">
    <w:p w14:paraId="24B258FD" w14:textId="194070DE"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B22CDF">
        <w:rPr>
          <w:rtl/>
        </w:rPr>
        <w:t xml:space="preserve">اللجنة المعنية بحقوق الإنسان، التعليق العام رقم </w:t>
      </w:r>
      <w:r w:rsidRPr="00D83A61">
        <w:rPr>
          <w:rtl/>
        </w:rPr>
        <w:t>20</w:t>
      </w:r>
      <w:r w:rsidRPr="00B22CDF">
        <w:rPr>
          <w:rtl/>
        </w:rPr>
        <w:t>(</w:t>
      </w:r>
      <w:r w:rsidRPr="00D83A61">
        <w:rPr>
          <w:rtl/>
        </w:rPr>
        <w:t>1992</w:t>
      </w:r>
      <w:r w:rsidRPr="00B22CDF">
        <w:rPr>
          <w:rtl/>
        </w:rPr>
        <w:t xml:space="preserve">)، الفقرة </w:t>
      </w:r>
      <w:r w:rsidRPr="00D83A61">
        <w:rPr>
          <w:rtl/>
        </w:rPr>
        <w:t>15</w:t>
      </w:r>
      <w:r w:rsidRPr="00B22CDF">
        <w:rPr>
          <w:rtl/>
        </w:rPr>
        <w:t>.</w:t>
      </w:r>
    </w:p>
  </w:footnote>
  <w:footnote w:id="10">
    <w:p w14:paraId="7C6A0798" w14:textId="76EC6B27"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B22CDF">
        <w:t>CCPR/C/</w:t>
      </w:r>
      <w:r w:rsidRPr="00D83A61">
        <w:t>79</w:t>
      </w:r>
      <w:r w:rsidRPr="00B22CDF">
        <w:t>/Add.</w:t>
      </w:r>
      <w:r w:rsidRPr="00D83A61">
        <w:t>95</w:t>
      </w:r>
      <w:r w:rsidRPr="00B22CDF">
        <w:rPr>
          <w:rtl/>
        </w:rPr>
        <w:t xml:space="preserve">، الفقرة </w:t>
      </w:r>
      <w:r w:rsidRPr="00D83A61">
        <w:rPr>
          <w:rtl/>
        </w:rPr>
        <w:t>10</w:t>
      </w:r>
      <w:r w:rsidRPr="00B22CDF">
        <w:rPr>
          <w:rtl/>
        </w:rPr>
        <w:t>.</w:t>
      </w:r>
    </w:p>
  </w:footnote>
  <w:footnote w:id="11">
    <w:p w14:paraId="54200721" w14:textId="200AE3B4"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B22CDF">
        <w:rPr>
          <w:rtl/>
        </w:rPr>
        <w:t xml:space="preserve">انظر، في جملة قضايا أخرى، قضية </w:t>
      </w:r>
      <w:proofErr w:type="spellStart"/>
      <w:r w:rsidRPr="00D83A61">
        <w:rPr>
          <w:i/>
          <w:iCs/>
          <w:rtl/>
        </w:rPr>
        <w:t>البواثي</w:t>
      </w:r>
      <w:proofErr w:type="spellEnd"/>
      <w:r w:rsidRPr="00D83A61">
        <w:rPr>
          <w:i/>
          <w:iCs/>
          <w:rtl/>
        </w:rPr>
        <w:t xml:space="preserve"> ضد الجزائر</w:t>
      </w:r>
      <w:r w:rsidRPr="00B22CDF">
        <w:rPr>
          <w:rtl/>
        </w:rPr>
        <w:t xml:space="preserve"> (</w:t>
      </w:r>
      <w:r w:rsidRPr="00B22CDF">
        <w:t>CCPR/C/</w:t>
      </w:r>
      <w:r w:rsidRPr="00D83A61">
        <w:t>119</w:t>
      </w:r>
      <w:r w:rsidRPr="00B22CDF">
        <w:t>/D/</w:t>
      </w:r>
      <w:r w:rsidRPr="00D83A61">
        <w:t>2259</w:t>
      </w:r>
      <w:r w:rsidRPr="00B22CDF">
        <w:t>/</w:t>
      </w:r>
      <w:r w:rsidRPr="00D83A61">
        <w:t>2013</w:t>
      </w:r>
      <w:r w:rsidRPr="00B22CDF">
        <w:rPr>
          <w:rtl/>
        </w:rPr>
        <w:t xml:space="preserve">)، الفقرة </w:t>
      </w:r>
      <w:r w:rsidRPr="00D83A61">
        <w:rPr>
          <w:rtl/>
        </w:rPr>
        <w:t>4</w:t>
      </w:r>
      <w:r w:rsidRPr="00B22CDF">
        <w:rPr>
          <w:rtl/>
        </w:rPr>
        <w:t>-</w:t>
      </w:r>
      <w:r w:rsidRPr="00D83A61">
        <w:rPr>
          <w:rtl/>
        </w:rPr>
        <w:t>3</w:t>
      </w:r>
      <w:r w:rsidRPr="00B22CDF">
        <w:rPr>
          <w:rtl/>
        </w:rPr>
        <w:t xml:space="preserve"> وما تلاها؛ وقضية </w:t>
      </w:r>
      <w:r w:rsidRPr="00D83A61">
        <w:rPr>
          <w:i/>
          <w:iCs/>
          <w:rtl/>
        </w:rPr>
        <w:t>بوجمعة ضد الجزائر</w:t>
      </w:r>
      <w:r w:rsidRPr="00B22CDF">
        <w:rPr>
          <w:rtl/>
        </w:rPr>
        <w:t xml:space="preserve"> (</w:t>
      </w:r>
      <w:r w:rsidRPr="00B22CDF">
        <w:t>CCPR/C/</w:t>
      </w:r>
      <w:r w:rsidRPr="00D83A61">
        <w:t>121</w:t>
      </w:r>
      <w:r w:rsidRPr="00B22CDF">
        <w:t>/D/</w:t>
      </w:r>
      <w:r w:rsidRPr="00D83A61">
        <w:t>2283</w:t>
      </w:r>
      <w:r w:rsidRPr="00B22CDF">
        <w:t>/</w:t>
      </w:r>
      <w:r w:rsidRPr="00D83A61">
        <w:t>2013</w:t>
      </w:r>
      <w:r w:rsidRPr="00B22CDF">
        <w:rPr>
          <w:rtl/>
        </w:rPr>
        <w:t xml:space="preserve">)، الفقرة </w:t>
      </w:r>
      <w:r w:rsidRPr="00D83A61">
        <w:rPr>
          <w:rtl/>
        </w:rPr>
        <w:t>5</w:t>
      </w:r>
      <w:r w:rsidRPr="00B22CDF">
        <w:rPr>
          <w:rtl/>
        </w:rPr>
        <w:t>-</w:t>
      </w:r>
      <w:r w:rsidRPr="00D83A61">
        <w:rPr>
          <w:rtl/>
        </w:rPr>
        <w:t>3</w:t>
      </w:r>
      <w:r w:rsidRPr="00B22CDF">
        <w:rPr>
          <w:rtl/>
        </w:rPr>
        <w:t xml:space="preserve"> وما تلاها.</w:t>
      </w:r>
    </w:p>
  </w:footnote>
  <w:footnote w:id="12">
    <w:p w14:paraId="36AAB66D" w14:textId="315A6671"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B22CDF">
        <w:rPr>
          <w:rtl/>
        </w:rPr>
        <w:t>(</w:t>
      </w:r>
      <w:r w:rsidRPr="00B22CDF">
        <w:t>CCPR/C/DZA/CO/</w:t>
      </w:r>
      <w:r w:rsidRPr="00D83A61">
        <w:t>4</w:t>
      </w:r>
      <w:r w:rsidRPr="00B22CDF">
        <w:rPr>
          <w:rtl/>
        </w:rPr>
        <w:t xml:space="preserve">)، الفقرة </w:t>
      </w:r>
      <w:r w:rsidRPr="00D83A61">
        <w:rPr>
          <w:rtl/>
        </w:rPr>
        <w:t>8</w:t>
      </w:r>
      <w:r w:rsidRPr="00B22CDF">
        <w:rPr>
          <w:rtl/>
        </w:rPr>
        <w:t>.</w:t>
      </w:r>
    </w:p>
  </w:footnote>
  <w:footnote w:id="13">
    <w:p w14:paraId="17EB5968" w14:textId="31B36582"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Pr>
          <w:rtl/>
        </w:rPr>
        <w:t xml:space="preserve">المرجع نفسه، الفقرة </w:t>
      </w:r>
      <w:r w:rsidRPr="00D83A61">
        <w:rPr>
          <w:rFonts w:ascii="Traditional Arabic"/>
          <w:szCs w:val="20"/>
          <w:rtl/>
        </w:rPr>
        <w:t>7</w:t>
      </w:r>
      <w:r>
        <w:rPr>
          <w:rFonts w:ascii="Traditional Arabic"/>
          <w:szCs w:val="20"/>
          <w:rtl/>
        </w:rPr>
        <w:t>.</w:t>
      </w:r>
    </w:p>
  </w:footnote>
  <w:footnote w:id="14">
    <w:p w14:paraId="15D0F4EE" w14:textId="14703ABB"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9D4BAD">
        <w:rPr>
          <w:rtl/>
        </w:rPr>
        <w:t xml:space="preserve">قضية </w:t>
      </w:r>
      <w:r w:rsidRPr="00D83A61">
        <w:rPr>
          <w:i/>
          <w:iCs/>
          <w:rtl/>
        </w:rPr>
        <w:t>فدسي ضد الجزائر</w:t>
      </w:r>
      <w:r w:rsidRPr="009D4BAD">
        <w:rPr>
          <w:rtl/>
        </w:rPr>
        <w:t xml:space="preserve"> (</w:t>
      </w:r>
      <w:r w:rsidRPr="009D4BAD">
        <w:t>CCPR/C/</w:t>
      </w:r>
      <w:r w:rsidRPr="00D83A61">
        <w:t>111</w:t>
      </w:r>
      <w:r w:rsidRPr="009D4BAD">
        <w:t>/D/</w:t>
      </w:r>
      <w:r w:rsidRPr="00D83A61">
        <w:t>1964</w:t>
      </w:r>
      <w:r w:rsidRPr="009D4BAD">
        <w:t>/</w:t>
      </w:r>
      <w:r w:rsidRPr="00D83A61">
        <w:t>2010</w:t>
      </w:r>
      <w:r w:rsidRPr="009D4BAD">
        <w:rPr>
          <w:rtl/>
        </w:rPr>
        <w:t xml:space="preserve">)، الفقرة </w:t>
      </w:r>
      <w:r w:rsidRPr="00D83A61">
        <w:rPr>
          <w:rtl/>
        </w:rPr>
        <w:t>7</w:t>
      </w:r>
      <w:r w:rsidRPr="009D4BAD">
        <w:rPr>
          <w:rtl/>
        </w:rPr>
        <w:t>-</w:t>
      </w:r>
      <w:r w:rsidRPr="00D83A61">
        <w:rPr>
          <w:rtl/>
        </w:rPr>
        <w:t>2</w:t>
      </w:r>
      <w:r>
        <w:rPr>
          <w:rFonts w:hint="cs"/>
          <w:rtl/>
        </w:rPr>
        <w:t>.</w:t>
      </w:r>
    </w:p>
  </w:footnote>
  <w:footnote w:id="15">
    <w:p w14:paraId="75BB0A70" w14:textId="10F54B64"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9D4BAD">
        <w:rPr>
          <w:rtl/>
        </w:rPr>
        <w:t>(</w:t>
      </w:r>
      <w:r w:rsidRPr="009D4BAD">
        <w:t>(CCPR/C/DZA/CO/</w:t>
      </w:r>
      <w:r w:rsidRPr="00D83A61">
        <w:t>4</w:t>
      </w:r>
      <w:r w:rsidRPr="009D4BAD">
        <w:rPr>
          <w:rtl/>
        </w:rPr>
        <w:t xml:space="preserve">، الفقرة </w:t>
      </w:r>
      <w:r w:rsidRPr="00D83A61">
        <w:rPr>
          <w:rtl/>
        </w:rPr>
        <w:t>11</w:t>
      </w:r>
      <w:r w:rsidRPr="009D4BAD">
        <w:rPr>
          <w:rtl/>
        </w:rPr>
        <w:t>.</w:t>
      </w:r>
    </w:p>
  </w:footnote>
  <w:footnote w:id="16">
    <w:p w14:paraId="5FA9D174" w14:textId="6E000872"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9D4BAD">
        <w:rPr>
          <w:rtl/>
        </w:rPr>
        <w:t xml:space="preserve">قضية </w:t>
      </w:r>
      <w:r w:rsidRPr="00D83A61">
        <w:rPr>
          <w:i/>
          <w:iCs/>
          <w:rtl/>
        </w:rPr>
        <w:t>مجنون ضد الجزائر</w:t>
      </w:r>
      <w:r w:rsidRPr="009D4BAD">
        <w:rPr>
          <w:rtl/>
        </w:rPr>
        <w:t>، (</w:t>
      </w:r>
      <w:r w:rsidRPr="009D4BAD">
        <w:t>CCPR/C/</w:t>
      </w:r>
      <w:r w:rsidRPr="00D83A61">
        <w:t>87</w:t>
      </w:r>
      <w:r w:rsidRPr="009D4BAD">
        <w:t>/D/</w:t>
      </w:r>
      <w:r w:rsidRPr="00D83A61">
        <w:t>1297</w:t>
      </w:r>
      <w:r w:rsidRPr="009D4BAD">
        <w:t>/</w:t>
      </w:r>
      <w:r w:rsidRPr="00D83A61">
        <w:t>2004</w:t>
      </w:r>
      <w:r w:rsidRPr="009D4BAD">
        <w:rPr>
          <w:rtl/>
        </w:rPr>
        <w:t xml:space="preserve">)، الفقرة </w:t>
      </w:r>
      <w:r w:rsidRPr="00D83A61">
        <w:rPr>
          <w:rtl/>
        </w:rPr>
        <w:t>8</w:t>
      </w:r>
      <w:r w:rsidRPr="009D4BAD">
        <w:rPr>
          <w:rtl/>
        </w:rPr>
        <w:t>-</w:t>
      </w:r>
      <w:r w:rsidRPr="00D83A61">
        <w:rPr>
          <w:rtl/>
        </w:rPr>
        <w:t>3</w:t>
      </w:r>
      <w:r>
        <w:rPr>
          <w:rFonts w:hint="cs"/>
          <w:rtl/>
        </w:rPr>
        <w:t>.</w:t>
      </w:r>
    </w:p>
  </w:footnote>
  <w:footnote w:id="17">
    <w:p w14:paraId="1D301DCF" w14:textId="5AB23E9F"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9D4BAD">
        <w:rPr>
          <w:rtl/>
        </w:rPr>
        <w:t xml:space="preserve">قضية </w:t>
      </w:r>
      <w:r w:rsidRPr="00D83A61">
        <w:rPr>
          <w:i/>
          <w:iCs/>
          <w:rtl/>
        </w:rPr>
        <w:t>مجنون ضد الجزائر</w:t>
      </w:r>
      <w:r w:rsidRPr="009D4BAD">
        <w:rPr>
          <w:rtl/>
        </w:rPr>
        <w:t>، (</w:t>
      </w:r>
      <w:r w:rsidRPr="009D4BAD">
        <w:t>CCPR/C/</w:t>
      </w:r>
      <w:r w:rsidRPr="00D83A61">
        <w:t>106</w:t>
      </w:r>
      <w:r w:rsidRPr="009D4BAD">
        <w:t>/D/</w:t>
      </w:r>
      <w:r w:rsidRPr="00D83A61">
        <w:t>1779</w:t>
      </w:r>
      <w:r w:rsidRPr="009D4BAD">
        <w:t>/</w:t>
      </w:r>
      <w:r w:rsidRPr="00D83A61">
        <w:t>2008</w:t>
      </w:r>
      <w:r w:rsidRPr="009D4BAD">
        <w:rPr>
          <w:rtl/>
        </w:rPr>
        <w:t xml:space="preserve">)، الفقرة </w:t>
      </w:r>
      <w:r w:rsidRPr="00D83A61">
        <w:rPr>
          <w:rtl/>
        </w:rPr>
        <w:t>8</w:t>
      </w:r>
      <w:r w:rsidRPr="009D4BAD">
        <w:rPr>
          <w:rtl/>
        </w:rPr>
        <w:t>-</w:t>
      </w:r>
      <w:r w:rsidRPr="00D83A61">
        <w:rPr>
          <w:rtl/>
        </w:rPr>
        <w:t>3</w:t>
      </w:r>
      <w:r w:rsidRPr="009D4BAD">
        <w:rPr>
          <w:rtl/>
        </w:rPr>
        <w:t xml:space="preserve">؛ وقضية </w:t>
      </w:r>
      <w:r w:rsidRPr="00D83A61">
        <w:rPr>
          <w:i/>
          <w:iCs/>
          <w:rtl/>
        </w:rPr>
        <w:t>مجنون ضد الجزائر</w:t>
      </w:r>
      <w:r w:rsidRPr="009D4BAD">
        <w:rPr>
          <w:rtl/>
        </w:rPr>
        <w:t xml:space="preserve">، الفقرة </w:t>
      </w:r>
      <w:r w:rsidRPr="00D83A61">
        <w:rPr>
          <w:rtl/>
        </w:rPr>
        <w:t>8</w:t>
      </w:r>
      <w:r w:rsidRPr="009D4BAD">
        <w:rPr>
          <w:rtl/>
        </w:rPr>
        <w:t>-</w:t>
      </w:r>
      <w:r w:rsidRPr="00D83A61">
        <w:rPr>
          <w:rtl/>
        </w:rPr>
        <w:t>3</w:t>
      </w:r>
      <w:r w:rsidRPr="009D4BAD">
        <w:rPr>
          <w:rtl/>
        </w:rPr>
        <w:t>.</w:t>
      </w:r>
    </w:p>
  </w:footnote>
  <w:footnote w:id="18">
    <w:p w14:paraId="5166C9E1" w14:textId="3D12893F"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9D4BAD">
        <w:t>CCPR/C/DZA/CO/</w:t>
      </w:r>
      <w:r w:rsidRPr="00D83A61">
        <w:t>4</w:t>
      </w:r>
      <w:r w:rsidRPr="009D4BAD">
        <w:rPr>
          <w:rtl/>
        </w:rPr>
        <w:t xml:space="preserve">، الفقرتان </w:t>
      </w:r>
      <w:r w:rsidRPr="00D83A61">
        <w:rPr>
          <w:rtl/>
        </w:rPr>
        <w:t>7</w:t>
      </w:r>
      <w:r w:rsidRPr="009D4BAD">
        <w:rPr>
          <w:rtl/>
        </w:rPr>
        <w:t xml:space="preserve"> و</w:t>
      </w:r>
      <w:r w:rsidRPr="00D83A61">
        <w:rPr>
          <w:rtl/>
        </w:rPr>
        <w:t>8</w:t>
      </w:r>
      <w:r w:rsidRPr="009D4BAD">
        <w:rPr>
          <w:rtl/>
        </w:rPr>
        <w:t>.</w:t>
      </w:r>
    </w:p>
  </w:footnote>
  <w:footnote w:id="19">
    <w:p w14:paraId="14D9AE0E" w14:textId="049C28A1"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9D4BAD">
        <w:rPr>
          <w:rtl/>
        </w:rPr>
        <w:t xml:space="preserve">قضية </w:t>
      </w:r>
      <w:proofErr w:type="spellStart"/>
      <w:r w:rsidRPr="00D83A61">
        <w:rPr>
          <w:i/>
          <w:iCs/>
          <w:rtl/>
        </w:rPr>
        <w:t>بوجمعي</w:t>
      </w:r>
      <w:proofErr w:type="spellEnd"/>
      <w:r w:rsidRPr="00D83A61">
        <w:rPr>
          <w:i/>
          <w:iCs/>
          <w:rtl/>
        </w:rPr>
        <w:t xml:space="preserve"> ضد الجزائر</w:t>
      </w:r>
      <w:r w:rsidRPr="009D4BAD">
        <w:rPr>
          <w:rtl/>
        </w:rPr>
        <w:t xml:space="preserve"> (</w:t>
      </w:r>
      <w:r w:rsidRPr="009D4BAD">
        <w:t>CCPR/C/</w:t>
      </w:r>
      <w:r w:rsidRPr="00D83A61">
        <w:t>107</w:t>
      </w:r>
      <w:r w:rsidRPr="009D4BAD">
        <w:t>/D/</w:t>
      </w:r>
      <w:r w:rsidRPr="00D83A61">
        <w:t>1791</w:t>
      </w:r>
      <w:r w:rsidRPr="009D4BAD">
        <w:t>/</w:t>
      </w:r>
      <w:r w:rsidRPr="00D83A61">
        <w:t>2008</w:t>
      </w:r>
      <w:r w:rsidRPr="009D4BAD">
        <w:rPr>
          <w:rtl/>
        </w:rPr>
        <w:t xml:space="preserve">)، الفقرة </w:t>
      </w:r>
      <w:r w:rsidRPr="00D83A61">
        <w:rPr>
          <w:rtl/>
        </w:rPr>
        <w:t>7</w:t>
      </w:r>
      <w:r w:rsidRPr="009D4BAD">
        <w:rPr>
          <w:rtl/>
        </w:rPr>
        <w:t>-</w:t>
      </w:r>
      <w:r w:rsidRPr="00D83A61">
        <w:rPr>
          <w:rtl/>
        </w:rPr>
        <w:t>4</w:t>
      </w:r>
      <w:r w:rsidRPr="009D4BAD">
        <w:rPr>
          <w:rtl/>
        </w:rPr>
        <w:t>.</w:t>
      </w:r>
    </w:p>
  </w:footnote>
  <w:footnote w:id="20">
    <w:p w14:paraId="52BC88B1" w14:textId="482D428F"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9D4BAD">
        <w:t>CCPR/C/DZA/CO/</w:t>
      </w:r>
      <w:r w:rsidRPr="00D83A61">
        <w:t>3</w:t>
      </w:r>
      <w:r w:rsidRPr="009D4BAD">
        <w:rPr>
          <w:rtl/>
        </w:rPr>
        <w:t xml:space="preserve">، الفقرات </w:t>
      </w:r>
      <w:r w:rsidRPr="00D83A61">
        <w:rPr>
          <w:rtl/>
        </w:rPr>
        <w:t>7</w:t>
      </w:r>
      <w:r w:rsidRPr="009D4BAD">
        <w:rPr>
          <w:rtl/>
        </w:rPr>
        <w:t xml:space="preserve"> و</w:t>
      </w:r>
      <w:r w:rsidRPr="00D83A61">
        <w:rPr>
          <w:rtl/>
        </w:rPr>
        <w:t>8</w:t>
      </w:r>
      <w:r w:rsidRPr="009D4BAD">
        <w:rPr>
          <w:rtl/>
        </w:rPr>
        <w:t xml:space="preserve"> و</w:t>
      </w:r>
      <w:r w:rsidRPr="00D83A61">
        <w:rPr>
          <w:rtl/>
        </w:rPr>
        <w:t>13</w:t>
      </w:r>
      <w:r w:rsidRPr="009D4BAD">
        <w:rPr>
          <w:rtl/>
        </w:rPr>
        <w:t xml:space="preserve"> و</w:t>
      </w:r>
      <w:r w:rsidRPr="009D4BAD">
        <w:t>CCPR/C/DZA/CO/</w:t>
      </w:r>
      <w:r w:rsidRPr="00D83A61">
        <w:t>4</w:t>
      </w:r>
      <w:r w:rsidRPr="009D4BAD">
        <w:rPr>
          <w:rtl/>
        </w:rPr>
        <w:t xml:space="preserve">، الفقرات </w:t>
      </w:r>
      <w:r w:rsidRPr="00D83A61">
        <w:rPr>
          <w:rtl/>
        </w:rPr>
        <w:t>6</w:t>
      </w:r>
      <w:r w:rsidRPr="009D4BAD">
        <w:rPr>
          <w:rtl/>
        </w:rPr>
        <w:t xml:space="preserve"> و</w:t>
      </w:r>
      <w:r w:rsidRPr="00D83A61">
        <w:rPr>
          <w:rtl/>
        </w:rPr>
        <w:t>8</w:t>
      </w:r>
      <w:r w:rsidRPr="009D4BAD">
        <w:rPr>
          <w:rtl/>
        </w:rPr>
        <w:t xml:space="preserve"> و</w:t>
      </w:r>
      <w:r w:rsidRPr="00D83A61">
        <w:rPr>
          <w:rtl/>
        </w:rPr>
        <w:t>12</w:t>
      </w:r>
      <w:r w:rsidRPr="009D4BAD">
        <w:rPr>
          <w:rtl/>
        </w:rPr>
        <w:t xml:space="preserve"> و</w:t>
      </w:r>
      <w:r w:rsidRPr="00D83A61">
        <w:rPr>
          <w:rtl/>
        </w:rPr>
        <w:t>14</w:t>
      </w:r>
      <w:r w:rsidRPr="009D4BAD">
        <w:rPr>
          <w:rtl/>
        </w:rPr>
        <w:t xml:space="preserve"> و</w:t>
      </w:r>
      <w:r w:rsidRPr="00D83A61">
        <w:rPr>
          <w:rtl/>
        </w:rPr>
        <w:t>34</w:t>
      </w:r>
      <w:r w:rsidRPr="009D4BAD">
        <w:rPr>
          <w:rtl/>
        </w:rPr>
        <w:t>.</w:t>
      </w:r>
      <w:r>
        <w:rPr>
          <w:rFonts w:hint="cs"/>
          <w:rtl/>
        </w:rPr>
        <w:t xml:space="preserve"> </w:t>
      </w:r>
    </w:p>
  </w:footnote>
  <w:footnote w:id="21">
    <w:p w14:paraId="57FC5B46" w14:textId="31746502"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9D4BAD">
        <w:t>CCPR/C/DZA/CO/</w:t>
      </w:r>
      <w:r w:rsidRPr="00D83A61">
        <w:t>4</w:t>
      </w:r>
      <w:r w:rsidRPr="009D4BAD">
        <w:rPr>
          <w:rtl/>
        </w:rPr>
        <w:t xml:space="preserve">، الفقرة </w:t>
      </w:r>
      <w:r w:rsidRPr="00D83A61">
        <w:rPr>
          <w:rtl/>
        </w:rPr>
        <w:t>29</w:t>
      </w:r>
      <w:r w:rsidRPr="009D4BAD">
        <w:rPr>
          <w:rtl/>
        </w:rPr>
        <w:t>.</w:t>
      </w:r>
    </w:p>
  </w:footnote>
  <w:footnote w:id="22">
    <w:p w14:paraId="4B017F80" w14:textId="6AFC5268"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9D4BAD">
        <w:rPr>
          <w:rtl/>
        </w:rPr>
        <w:t xml:space="preserve">قضية </w:t>
      </w:r>
      <w:proofErr w:type="spellStart"/>
      <w:r w:rsidRPr="00D83A61">
        <w:rPr>
          <w:i/>
          <w:iCs/>
          <w:rtl/>
        </w:rPr>
        <w:t>بولياكوف</w:t>
      </w:r>
      <w:proofErr w:type="spellEnd"/>
      <w:r w:rsidRPr="00D83A61">
        <w:rPr>
          <w:i/>
          <w:iCs/>
          <w:rtl/>
        </w:rPr>
        <w:t xml:space="preserve"> ضد بيلاروس</w:t>
      </w:r>
      <w:r w:rsidRPr="009D4BAD">
        <w:rPr>
          <w:rtl/>
        </w:rPr>
        <w:t xml:space="preserve"> (</w:t>
      </w:r>
      <w:r w:rsidRPr="009D4BAD">
        <w:t>CCPR/C/</w:t>
      </w:r>
      <w:r w:rsidRPr="00D83A61">
        <w:t>111</w:t>
      </w:r>
      <w:r w:rsidRPr="009D4BAD">
        <w:t>/D/</w:t>
      </w:r>
      <w:r w:rsidRPr="00D83A61">
        <w:t>2030</w:t>
      </w:r>
      <w:r w:rsidRPr="009D4BAD">
        <w:t>/</w:t>
      </w:r>
      <w:r w:rsidRPr="00D83A61">
        <w:t>2011</w:t>
      </w:r>
      <w:r w:rsidRPr="009D4BAD">
        <w:rPr>
          <w:rtl/>
        </w:rPr>
        <w:t xml:space="preserve">)، الفقرة </w:t>
      </w:r>
      <w:r w:rsidRPr="00D83A61">
        <w:rPr>
          <w:rtl/>
        </w:rPr>
        <w:t>7</w:t>
      </w:r>
      <w:r w:rsidRPr="009D4BAD">
        <w:rPr>
          <w:rtl/>
        </w:rPr>
        <w:t>-</w:t>
      </w:r>
      <w:r w:rsidRPr="00D83A61">
        <w:rPr>
          <w:rtl/>
        </w:rPr>
        <w:t>4</w:t>
      </w:r>
      <w:r w:rsidRPr="009D4BAD">
        <w:rPr>
          <w:rtl/>
        </w:rPr>
        <w:t>.</w:t>
      </w:r>
    </w:p>
  </w:footnote>
  <w:footnote w:id="23">
    <w:p w14:paraId="32C3E552" w14:textId="6FAC9580"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proofErr w:type="spellStart"/>
      <w:r w:rsidRPr="00D83A61">
        <w:rPr>
          <w:i/>
          <w:iCs/>
          <w:rtl/>
        </w:rPr>
        <w:t>مارتشانت</w:t>
      </w:r>
      <w:proofErr w:type="spellEnd"/>
      <w:r w:rsidRPr="00D83A61">
        <w:rPr>
          <w:i/>
          <w:iCs/>
          <w:rtl/>
        </w:rPr>
        <w:t xml:space="preserve"> </w:t>
      </w:r>
      <w:proofErr w:type="spellStart"/>
      <w:r w:rsidRPr="00D83A61">
        <w:rPr>
          <w:i/>
          <w:iCs/>
          <w:rtl/>
        </w:rPr>
        <w:t>رييس</w:t>
      </w:r>
      <w:proofErr w:type="spellEnd"/>
      <w:r w:rsidRPr="00D83A61">
        <w:rPr>
          <w:i/>
          <w:iCs/>
          <w:rtl/>
        </w:rPr>
        <w:t xml:space="preserve"> وآخرون ضد شيلي</w:t>
      </w:r>
      <w:r w:rsidRPr="009D4BAD">
        <w:rPr>
          <w:rtl/>
        </w:rPr>
        <w:t xml:space="preserve"> (</w:t>
      </w:r>
      <w:r w:rsidRPr="009D4BAD">
        <w:t>CCPR/C/</w:t>
      </w:r>
      <w:r w:rsidRPr="00D83A61">
        <w:t>121</w:t>
      </w:r>
      <w:r w:rsidRPr="009D4BAD">
        <w:t>/D/</w:t>
      </w:r>
      <w:r w:rsidRPr="00D83A61">
        <w:t>2627</w:t>
      </w:r>
      <w:r w:rsidRPr="009D4BAD">
        <w:t>/</w:t>
      </w:r>
      <w:r w:rsidRPr="00D83A61">
        <w:t>2015</w:t>
      </w:r>
      <w:r w:rsidRPr="009D4BAD">
        <w:rPr>
          <w:rtl/>
        </w:rPr>
        <w:t xml:space="preserve">)، الفقرة </w:t>
      </w:r>
      <w:r w:rsidRPr="00D83A61">
        <w:rPr>
          <w:rtl/>
        </w:rPr>
        <w:t>6</w:t>
      </w:r>
      <w:r w:rsidRPr="009D4BAD">
        <w:rPr>
          <w:rtl/>
        </w:rPr>
        <w:t>-</w:t>
      </w:r>
      <w:r w:rsidRPr="00D83A61">
        <w:rPr>
          <w:rtl/>
        </w:rPr>
        <w:t>4</w:t>
      </w:r>
      <w:r w:rsidRPr="009D4BAD">
        <w:rPr>
          <w:rtl/>
        </w:rPr>
        <w:t>.</w:t>
      </w:r>
    </w:p>
  </w:footnote>
  <w:footnote w:id="24">
    <w:p w14:paraId="3FD0C9B7" w14:textId="776AFAC5"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Pr>
          <w:rtl/>
        </w:rPr>
        <w:t xml:space="preserve">قضية </w:t>
      </w:r>
      <w:r w:rsidRPr="00D83A61">
        <w:rPr>
          <w:i/>
          <w:iCs/>
          <w:rtl/>
        </w:rPr>
        <w:t>بوجمعة ضد الجزائر</w:t>
      </w:r>
      <w:r>
        <w:rPr>
          <w:rtl/>
        </w:rPr>
        <w:t>.</w:t>
      </w:r>
    </w:p>
  </w:footnote>
  <w:footnote w:id="25">
    <w:p w14:paraId="2F92C8B1" w14:textId="174BD9A9"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9D4BAD">
        <w:t>CCPR/C/DZA/CO/</w:t>
      </w:r>
      <w:r w:rsidRPr="00D83A61">
        <w:t>3</w:t>
      </w:r>
      <w:r w:rsidRPr="009D4BAD">
        <w:rPr>
          <w:rtl/>
        </w:rPr>
        <w:t xml:space="preserve">، الفقرة </w:t>
      </w:r>
      <w:r w:rsidRPr="00D83A61">
        <w:rPr>
          <w:rtl/>
        </w:rPr>
        <w:t>7</w:t>
      </w:r>
      <w:r w:rsidRPr="009D4BAD">
        <w:rPr>
          <w:rtl/>
        </w:rPr>
        <w:t>. و</w:t>
      </w:r>
      <w:r w:rsidRPr="009D4BAD">
        <w:t>CCPR/C/DZA/CO/</w:t>
      </w:r>
      <w:r w:rsidRPr="00D83A61">
        <w:t>4</w:t>
      </w:r>
      <w:r w:rsidRPr="009D4BAD">
        <w:rPr>
          <w:rtl/>
        </w:rPr>
        <w:t xml:space="preserve">، الفقرة </w:t>
      </w:r>
      <w:r w:rsidRPr="00D83A61">
        <w:rPr>
          <w:rtl/>
        </w:rPr>
        <w:t>11</w:t>
      </w:r>
      <w:r w:rsidRPr="009D4BAD">
        <w:rPr>
          <w:rtl/>
        </w:rPr>
        <w:t>.</w:t>
      </w:r>
    </w:p>
  </w:footnote>
  <w:footnote w:id="26">
    <w:p w14:paraId="0D442B97" w14:textId="7893DAB6"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A36E8E">
        <w:rPr>
          <w:rtl/>
        </w:rPr>
        <w:t xml:space="preserve">قضية </w:t>
      </w:r>
      <w:r w:rsidRPr="00D83A61">
        <w:rPr>
          <w:i/>
          <w:iCs/>
          <w:rtl/>
        </w:rPr>
        <w:t>زاير ضد الجزائر</w:t>
      </w:r>
      <w:r w:rsidRPr="00A36E8E">
        <w:rPr>
          <w:rtl/>
        </w:rPr>
        <w:t xml:space="preserve"> (</w:t>
      </w:r>
      <w:r w:rsidRPr="00A36E8E">
        <w:t>CCPR/C/</w:t>
      </w:r>
      <w:r w:rsidRPr="00D83A61">
        <w:t>112</w:t>
      </w:r>
      <w:r w:rsidRPr="00A36E8E">
        <w:t>/D/</w:t>
      </w:r>
      <w:r w:rsidRPr="00D83A61">
        <w:t>2026</w:t>
      </w:r>
      <w:r w:rsidRPr="00A36E8E">
        <w:t>/</w:t>
      </w:r>
      <w:r w:rsidRPr="00D83A61">
        <w:t>2011</w:t>
      </w:r>
      <w:r w:rsidRPr="00A36E8E">
        <w:rPr>
          <w:rtl/>
        </w:rPr>
        <w:t xml:space="preserve">)، الفقرة </w:t>
      </w:r>
      <w:r w:rsidRPr="00D83A61">
        <w:rPr>
          <w:rtl/>
        </w:rPr>
        <w:t>7</w:t>
      </w:r>
      <w:r w:rsidRPr="00A36E8E">
        <w:rPr>
          <w:rtl/>
        </w:rPr>
        <w:t>-</w:t>
      </w:r>
      <w:r w:rsidRPr="00D83A61">
        <w:rPr>
          <w:rtl/>
        </w:rPr>
        <w:t>2</w:t>
      </w:r>
      <w:r w:rsidRPr="00A36E8E">
        <w:rPr>
          <w:rtl/>
        </w:rPr>
        <w:t xml:space="preserve">؛ وقضية </w:t>
      </w:r>
      <w:r w:rsidRPr="00D83A61">
        <w:rPr>
          <w:i/>
          <w:iCs/>
          <w:rtl/>
        </w:rPr>
        <w:t>عماري ضد الجزائر</w:t>
      </w:r>
      <w:r w:rsidRPr="00A36E8E">
        <w:rPr>
          <w:rtl/>
        </w:rPr>
        <w:t xml:space="preserve"> (</w:t>
      </w:r>
      <w:r w:rsidRPr="00A36E8E">
        <w:t>CCPR/C/</w:t>
      </w:r>
      <w:r w:rsidRPr="00D83A61">
        <w:t>112</w:t>
      </w:r>
      <w:r w:rsidRPr="00A36E8E">
        <w:t>/D/</w:t>
      </w:r>
      <w:r w:rsidRPr="00D83A61">
        <w:t>2098</w:t>
      </w:r>
      <w:r w:rsidRPr="00A36E8E">
        <w:t>/</w:t>
      </w:r>
      <w:r w:rsidRPr="00D83A61">
        <w:t>2011</w:t>
      </w:r>
      <w:r w:rsidRPr="00A36E8E">
        <w:rPr>
          <w:rtl/>
        </w:rPr>
        <w:t xml:space="preserve">)، الفقرة </w:t>
      </w:r>
      <w:r w:rsidRPr="00D83A61">
        <w:rPr>
          <w:rtl/>
        </w:rPr>
        <w:t>8</w:t>
      </w:r>
      <w:r w:rsidRPr="00A36E8E">
        <w:rPr>
          <w:rtl/>
        </w:rPr>
        <w:t>-</w:t>
      </w:r>
      <w:r w:rsidRPr="00D83A61">
        <w:rPr>
          <w:rtl/>
        </w:rPr>
        <w:t>2</w:t>
      </w:r>
      <w:r>
        <w:rPr>
          <w:rFonts w:hint="cs"/>
          <w:rtl/>
        </w:rPr>
        <w:t>.</w:t>
      </w:r>
    </w:p>
  </w:footnote>
  <w:footnote w:id="27">
    <w:p w14:paraId="55050ED4" w14:textId="3CD2E262"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A36E8E">
        <w:rPr>
          <w:spacing w:val="-4"/>
          <w:rtl/>
        </w:rPr>
        <w:t xml:space="preserve">انظر، في جملة قضايا أخرى، قضية </w:t>
      </w:r>
      <w:r w:rsidRPr="00D83A61">
        <w:rPr>
          <w:i/>
          <w:iCs/>
          <w:spacing w:val="-4"/>
          <w:rtl/>
        </w:rPr>
        <w:t>عماري ضد الجزائر</w:t>
      </w:r>
      <w:r w:rsidRPr="00A36E8E">
        <w:rPr>
          <w:spacing w:val="-4"/>
          <w:rtl/>
        </w:rPr>
        <w:t xml:space="preserve">، الفقرة </w:t>
      </w:r>
      <w:r w:rsidRPr="00D83A61">
        <w:rPr>
          <w:spacing w:val="-4"/>
          <w:rtl/>
        </w:rPr>
        <w:t>8</w:t>
      </w:r>
      <w:r w:rsidRPr="00A36E8E">
        <w:rPr>
          <w:spacing w:val="-4"/>
          <w:rtl/>
        </w:rPr>
        <w:t>-</w:t>
      </w:r>
      <w:r w:rsidRPr="00D83A61">
        <w:rPr>
          <w:spacing w:val="-4"/>
          <w:rtl/>
        </w:rPr>
        <w:t>3</w:t>
      </w:r>
      <w:r w:rsidRPr="00A36E8E">
        <w:rPr>
          <w:spacing w:val="-4"/>
          <w:rtl/>
        </w:rPr>
        <w:t xml:space="preserve">؛ وقضية </w:t>
      </w:r>
      <w:r w:rsidRPr="00D83A61">
        <w:rPr>
          <w:i/>
          <w:iCs/>
          <w:spacing w:val="-4"/>
          <w:rtl/>
        </w:rPr>
        <w:t>مزين ضد الجزائر</w:t>
      </w:r>
      <w:r w:rsidRPr="00A36E8E">
        <w:rPr>
          <w:spacing w:val="-4"/>
          <w:rtl/>
        </w:rPr>
        <w:t xml:space="preserve">، الفقرة </w:t>
      </w:r>
      <w:r w:rsidRPr="00D83A61">
        <w:rPr>
          <w:spacing w:val="-4"/>
          <w:rtl/>
        </w:rPr>
        <w:t>8</w:t>
      </w:r>
      <w:r w:rsidRPr="00A36E8E">
        <w:rPr>
          <w:spacing w:val="-4"/>
          <w:rtl/>
        </w:rPr>
        <w:t>-</w:t>
      </w:r>
      <w:r w:rsidRPr="00D83A61">
        <w:rPr>
          <w:spacing w:val="-4"/>
          <w:rtl/>
        </w:rPr>
        <w:t>3</w:t>
      </w:r>
      <w:r w:rsidRPr="00A36E8E">
        <w:rPr>
          <w:spacing w:val="-4"/>
          <w:rtl/>
        </w:rPr>
        <w:t xml:space="preserve">؛ وقضية </w:t>
      </w:r>
      <w:r w:rsidRPr="00D83A61">
        <w:rPr>
          <w:i/>
          <w:iCs/>
          <w:spacing w:val="-4"/>
          <w:rtl/>
        </w:rPr>
        <w:t xml:space="preserve">العباني ضد </w:t>
      </w:r>
      <w:r w:rsidRPr="00D83A61">
        <w:rPr>
          <w:i/>
          <w:iCs/>
          <w:spacing w:val="-6"/>
          <w:rtl/>
        </w:rPr>
        <w:t>الجماهيرية العربية الليبية</w:t>
      </w:r>
      <w:r w:rsidRPr="00A36E8E">
        <w:rPr>
          <w:spacing w:val="-6"/>
          <w:rtl/>
        </w:rPr>
        <w:t xml:space="preserve"> (</w:t>
      </w:r>
      <w:r w:rsidRPr="00A36E8E">
        <w:rPr>
          <w:spacing w:val="-6"/>
        </w:rPr>
        <w:t>CCPR/C/</w:t>
      </w:r>
      <w:r w:rsidRPr="00D83A61">
        <w:rPr>
          <w:spacing w:val="-6"/>
        </w:rPr>
        <w:t>99</w:t>
      </w:r>
      <w:r w:rsidRPr="00A36E8E">
        <w:rPr>
          <w:spacing w:val="-6"/>
        </w:rPr>
        <w:t>/D/</w:t>
      </w:r>
      <w:r w:rsidRPr="00D83A61">
        <w:rPr>
          <w:spacing w:val="-6"/>
        </w:rPr>
        <w:t>1640</w:t>
      </w:r>
      <w:r w:rsidRPr="00A36E8E">
        <w:rPr>
          <w:spacing w:val="-6"/>
        </w:rPr>
        <w:t>/</w:t>
      </w:r>
      <w:r w:rsidRPr="00D83A61">
        <w:rPr>
          <w:spacing w:val="-6"/>
        </w:rPr>
        <w:t>2007</w:t>
      </w:r>
      <w:r w:rsidRPr="00A36E8E">
        <w:rPr>
          <w:spacing w:val="-6"/>
          <w:rtl/>
        </w:rPr>
        <w:t xml:space="preserve">)، الفقرة </w:t>
      </w:r>
      <w:r w:rsidRPr="00D83A61">
        <w:rPr>
          <w:spacing w:val="-6"/>
          <w:rtl/>
        </w:rPr>
        <w:t>7</w:t>
      </w:r>
      <w:r w:rsidRPr="00A36E8E">
        <w:rPr>
          <w:spacing w:val="-6"/>
          <w:rtl/>
        </w:rPr>
        <w:t>-</w:t>
      </w:r>
      <w:r w:rsidRPr="00D83A61">
        <w:rPr>
          <w:spacing w:val="-6"/>
          <w:rtl/>
        </w:rPr>
        <w:t>4</w:t>
      </w:r>
      <w:r w:rsidRPr="00A36E8E">
        <w:rPr>
          <w:spacing w:val="-6"/>
          <w:rtl/>
        </w:rPr>
        <w:t xml:space="preserve">؛ وقضية </w:t>
      </w:r>
      <w:r w:rsidRPr="00D83A61">
        <w:rPr>
          <w:i/>
          <w:iCs/>
          <w:spacing w:val="-6"/>
          <w:rtl/>
        </w:rPr>
        <w:t>برزيق ضد الجزائر</w:t>
      </w:r>
      <w:r w:rsidRPr="00A36E8E">
        <w:rPr>
          <w:spacing w:val="-6"/>
          <w:rtl/>
        </w:rPr>
        <w:t xml:space="preserve"> (</w:t>
      </w:r>
      <w:r w:rsidRPr="00A36E8E">
        <w:rPr>
          <w:spacing w:val="-6"/>
        </w:rPr>
        <w:t>CCPR/C/</w:t>
      </w:r>
      <w:r w:rsidRPr="00D83A61">
        <w:rPr>
          <w:spacing w:val="-6"/>
        </w:rPr>
        <w:t>103</w:t>
      </w:r>
      <w:r w:rsidRPr="00A36E8E">
        <w:rPr>
          <w:spacing w:val="-6"/>
        </w:rPr>
        <w:t>/D/</w:t>
      </w:r>
      <w:r w:rsidRPr="00D83A61">
        <w:rPr>
          <w:spacing w:val="-6"/>
        </w:rPr>
        <w:t>1781</w:t>
      </w:r>
      <w:r w:rsidRPr="00A36E8E">
        <w:rPr>
          <w:spacing w:val="-6"/>
        </w:rPr>
        <w:t>/</w:t>
      </w:r>
      <w:r w:rsidRPr="00D83A61">
        <w:rPr>
          <w:spacing w:val="-6"/>
        </w:rPr>
        <w:t>2008</w:t>
      </w:r>
      <w:r w:rsidRPr="00A36E8E">
        <w:rPr>
          <w:spacing w:val="-6"/>
          <w:rtl/>
        </w:rPr>
        <w:t>)،</w:t>
      </w:r>
      <w:r w:rsidRPr="00A36E8E">
        <w:rPr>
          <w:rtl/>
        </w:rPr>
        <w:t xml:space="preserve"> الفقرة </w:t>
      </w:r>
      <w:r w:rsidRPr="00D83A61">
        <w:rPr>
          <w:rtl/>
        </w:rPr>
        <w:t>8</w:t>
      </w:r>
      <w:r w:rsidRPr="00A36E8E">
        <w:rPr>
          <w:rtl/>
        </w:rPr>
        <w:t>-</w:t>
      </w:r>
      <w:r w:rsidRPr="00D83A61">
        <w:rPr>
          <w:rtl/>
        </w:rPr>
        <w:t>3</w:t>
      </w:r>
      <w:r w:rsidRPr="00A36E8E">
        <w:rPr>
          <w:rtl/>
        </w:rPr>
        <w:t xml:space="preserve">؛ وقضية </w:t>
      </w:r>
      <w:proofErr w:type="spellStart"/>
      <w:r w:rsidRPr="00D83A61">
        <w:rPr>
          <w:i/>
          <w:iCs/>
          <w:rtl/>
        </w:rPr>
        <w:t>بولاخي</w:t>
      </w:r>
      <w:proofErr w:type="spellEnd"/>
      <w:r w:rsidRPr="00D83A61">
        <w:rPr>
          <w:i/>
          <w:iCs/>
          <w:rtl/>
        </w:rPr>
        <w:t xml:space="preserve"> وآخرون ضد نيبال</w:t>
      </w:r>
      <w:r w:rsidRPr="00A36E8E">
        <w:rPr>
          <w:rtl/>
        </w:rPr>
        <w:t xml:space="preserve"> (</w:t>
      </w:r>
      <w:r w:rsidRPr="00A36E8E">
        <w:t>CCPR/C/</w:t>
      </w:r>
      <w:r w:rsidRPr="00D83A61">
        <w:t>123</w:t>
      </w:r>
      <w:r w:rsidRPr="00A36E8E">
        <w:t>/D/</w:t>
      </w:r>
      <w:r w:rsidRPr="00D83A61">
        <w:t>2658</w:t>
      </w:r>
      <w:r w:rsidRPr="00A36E8E">
        <w:t>/</w:t>
      </w:r>
      <w:r w:rsidRPr="00D83A61">
        <w:t>2015</w:t>
      </w:r>
      <w:r w:rsidRPr="00A36E8E">
        <w:rPr>
          <w:rtl/>
        </w:rPr>
        <w:t xml:space="preserve">)، الفقرة </w:t>
      </w:r>
      <w:r w:rsidRPr="00D83A61">
        <w:rPr>
          <w:rtl/>
        </w:rPr>
        <w:t>7</w:t>
      </w:r>
      <w:r w:rsidRPr="00A36E8E">
        <w:rPr>
          <w:rtl/>
        </w:rPr>
        <w:t>-</w:t>
      </w:r>
      <w:r w:rsidRPr="00D83A61">
        <w:rPr>
          <w:rtl/>
        </w:rPr>
        <w:t>4</w:t>
      </w:r>
      <w:r w:rsidRPr="00A36E8E">
        <w:rPr>
          <w:rtl/>
        </w:rPr>
        <w:t>.</w:t>
      </w:r>
    </w:p>
  </w:footnote>
  <w:footnote w:id="28">
    <w:p w14:paraId="310066DF" w14:textId="33EB376B"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A36E8E">
        <w:rPr>
          <w:rtl/>
        </w:rPr>
        <w:t xml:space="preserve">قضية </w:t>
      </w:r>
      <w:r w:rsidRPr="00D83A61">
        <w:rPr>
          <w:i/>
          <w:iCs/>
          <w:rtl/>
        </w:rPr>
        <w:t>مزين ضد الجزائر</w:t>
      </w:r>
      <w:r w:rsidRPr="00A36E8E">
        <w:rPr>
          <w:rtl/>
        </w:rPr>
        <w:t xml:space="preserve">، الفقرة </w:t>
      </w:r>
      <w:r w:rsidRPr="00D83A61">
        <w:rPr>
          <w:rtl/>
        </w:rPr>
        <w:t>8</w:t>
      </w:r>
      <w:r w:rsidRPr="00A36E8E">
        <w:rPr>
          <w:rtl/>
        </w:rPr>
        <w:t>-</w:t>
      </w:r>
      <w:r w:rsidRPr="00D83A61">
        <w:rPr>
          <w:rtl/>
        </w:rPr>
        <w:t>3</w:t>
      </w:r>
      <w:r w:rsidRPr="00A36E8E">
        <w:rPr>
          <w:rtl/>
        </w:rPr>
        <w:t xml:space="preserve">؛ وقضية </w:t>
      </w:r>
      <w:r w:rsidRPr="00D83A61">
        <w:rPr>
          <w:i/>
          <w:iCs/>
          <w:rtl/>
        </w:rPr>
        <w:t>مجنون ضد الجزائر</w:t>
      </w:r>
      <w:r w:rsidRPr="00A36E8E">
        <w:rPr>
          <w:rtl/>
        </w:rPr>
        <w:t xml:space="preserve">، الفقرة </w:t>
      </w:r>
      <w:r w:rsidRPr="00D83A61">
        <w:rPr>
          <w:rtl/>
        </w:rPr>
        <w:t>8</w:t>
      </w:r>
      <w:r w:rsidRPr="00A36E8E">
        <w:rPr>
          <w:rtl/>
        </w:rPr>
        <w:t>-</w:t>
      </w:r>
      <w:r w:rsidRPr="00D83A61">
        <w:rPr>
          <w:rtl/>
        </w:rPr>
        <w:t>3</w:t>
      </w:r>
      <w:r w:rsidRPr="00A36E8E">
        <w:rPr>
          <w:rtl/>
        </w:rPr>
        <w:t>.</w:t>
      </w:r>
    </w:p>
  </w:footnote>
  <w:footnote w:id="29">
    <w:p w14:paraId="2FD54660" w14:textId="41F0E598"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A82124">
        <w:rPr>
          <w:spacing w:val="-4"/>
          <w:rtl/>
        </w:rPr>
        <w:t xml:space="preserve">الاتفاقية الدولية لحماية جميع الأشخاص من الاختفاء القسري، المادة </w:t>
      </w:r>
      <w:r w:rsidRPr="00D83A61">
        <w:rPr>
          <w:spacing w:val="-4"/>
          <w:rtl/>
        </w:rPr>
        <w:t>2</w:t>
      </w:r>
      <w:r w:rsidRPr="00A82124">
        <w:rPr>
          <w:spacing w:val="-4"/>
          <w:rtl/>
        </w:rPr>
        <w:t>؛ قضية</w:t>
      </w:r>
      <w:r w:rsidRPr="00D83A61">
        <w:rPr>
          <w:i/>
          <w:iCs/>
          <w:spacing w:val="-4"/>
          <w:rtl/>
        </w:rPr>
        <w:t xml:space="preserve"> </w:t>
      </w:r>
      <w:proofErr w:type="spellStart"/>
      <w:r w:rsidRPr="00D83A61">
        <w:rPr>
          <w:i/>
          <w:iCs/>
          <w:spacing w:val="-4"/>
          <w:rtl/>
        </w:rPr>
        <w:t>كاتوال</w:t>
      </w:r>
      <w:proofErr w:type="spellEnd"/>
      <w:r w:rsidRPr="00D83A61">
        <w:rPr>
          <w:i/>
          <w:iCs/>
          <w:spacing w:val="-4"/>
          <w:rtl/>
        </w:rPr>
        <w:t xml:space="preserve"> ضد نيبال </w:t>
      </w:r>
      <w:r w:rsidRPr="00A82124">
        <w:rPr>
          <w:spacing w:val="-4"/>
          <w:rtl/>
        </w:rPr>
        <w:t>(</w:t>
      </w:r>
      <w:r w:rsidRPr="00A82124">
        <w:rPr>
          <w:spacing w:val="-4"/>
        </w:rPr>
        <w:t>CCPR/C/</w:t>
      </w:r>
      <w:r w:rsidRPr="00D83A61">
        <w:rPr>
          <w:spacing w:val="-4"/>
        </w:rPr>
        <w:t>113</w:t>
      </w:r>
      <w:r w:rsidRPr="00A82124">
        <w:rPr>
          <w:spacing w:val="-4"/>
        </w:rPr>
        <w:t>/D/</w:t>
      </w:r>
      <w:r w:rsidRPr="00D83A61">
        <w:rPr>
          <w:spacing w:val="-4"/>
        </w:rPr>
        <w:t>2000</w:t>
      </w:r>
      <w:r w:rsidRPr="00A82124">
        <w:rPr>
          <w:spacing w:val="-4"/>
        </w:rPr>
        <w:t>/</w:t>
      </w:r>
      <w:r w:rsidRPr="00D83A61">
        <w:rPr>
          <w:spacing w:val="-4"/>
        </w:rPr>
        <w:t>2010</w:t>
      </w:r>
      <w:r w:rsidRPr="00A82124">
        <w:rPr>
          <w:spacing w:val="-4"/>
          <w:rtl/>
        </w:rPr>
        <w:t>)،</w:t>
      </w:r>
      <w:r w:rsidRPr="00A36E8E">
        <w:rPr>
          <w:rtl/>
        </w:rPr>
        <w:t xml:space="preserve"> </w:t>
      </w:r>
      <w:r w:rsidRPr="00A82124">
        <w:rPr>
          <w:spacing w:val="-4"/>
          <w:rtl/>
        </w:rPr>
        <w:t xml:space="preserve">الفقرة </w:t>
      </w:r>
      <w:r w:rsidRPr="00D83A61">
        <w:rPr>
          <w:spacing w:val="-4"/>
          <w:rtl/>
        </w:rPr>
        <w:t>11</w:t>
      </w:r>
      <w:r w:rsidRPr="00A82124">
        <w:rPr>
          <w:spacing w:val="-4"/>
          <w:rtl/>
        </w:rPr>
        <w:t>-</w:t>
      </w:r>
      <w:r w:rsidRPr="00D83A61">
        <w:rPr>
          <w:spacing w:val="-4"/>
          <w:rtl/>
        </w:rPr>
        <w:t>3</w:t>
      </w:r>
      <w:r w:rsidRPr="00A82124">
        <w:rPr>
          <w:spacing w:val="-4"/>
          <w:rtl/>
        </w:rPr>
        <w:t xml:space="preserve">؛ وقضية </w:t>
      </w:r>
      <w:r w:rsidRPr="00D83A61">
        <w:rPr>
          <w:i/>
          <w:iCs/>
          <w:spacing w:val="-4"/>
          <w:rtl/>
        </w:rPr>
        <w:t xml:space="preserve">سيرنا وآخرون ضد كولومبيا </w:t>
      </w:r>
      <w:r w:rsidRPr="00A82124">
        <w:rPr>
          <w:spacing w:val="-4"/>
          <w:rtl/>
        </w:rPr>
        <w:t>(</w:t>
      </w:r>
      <w:r w:rsidRPr="00A82124">
        <w:rPr>
          <w:spacing w:val="-4"/>
        </w:rPr>
        <w:t>CCPR/C/</w:t>
      </w:r>
      <w:r w:rsidRPr="00D83A61">
        <w:rPr>
          <w:spacing w:val="-4"/>
        </w:rPr>
        <w:t>114</w:t>
      </w:r>
      <w:r w:rsidRPr="00A82124">
        <w:rPr>
          <w:spacing w:val="-4"/>
        </w:rPr>
        <w:t>/D/</w:t>
      </w:r>
      <w:r w:rsidRPr="00D83A61">
        <w:rPr>
          <w:spacing w:val="-4"/>
        </w:rPr>
        <w:t>2134</w:t>
      </w:r>
      <w:r w:rsidRPr="00A82124">
        <w:rPr>
          <w:spacing w:val="-4"/>
        </w:rPr>
        <w:t>/</w:t>
      </w:r>
      <w:r w:rsidRPr="00D83A61">
        <w:rPr>
          <w:spacing w:val="-4"/>
        </w:rPr>
        <w:t>2012</w:t>
      </w:r>
      <w:r w:rsidRPr="00A82124">
        <w:rPr>
          <w:spacing w:val="-4"/>
          <w:rtl/>
        </w:rPr>
        <w:t xml:space="preserve">)، الفقرة </w:t>
      </w:r>
      <w:r w:rsidRPr="00D83A61">
        <w:rPr>
          <w:spacing w:val="-4"/>
          <w:rtl/>
        </w:rPr>
        <w:t>9</w:t>
      </w:r>
      <w:r w:rsidRPr="00A82124">
        <w:rPr>
          <w:spacing w:val="-4"/>
          <w:rtl/>
        </w:rPr>
        <w:t>-</w:t>
      </w:r>
      <w:r w:rsidRPr="00D83A61">
        <w:rPr>
          <w:spacing w:val="-4"/>
          <w:rtl/>
        </w:rPr>
        <w:t>4</w:t>
      </w:r>
      <w:r w:rsidRPr="00A82124">
        <w:rPr>
          <w:spacing w:val="-4"/>
          <w:rtl/>
        </w:rPr>
        <w:t xml:space="preserve">؛ وقضية </w:t>
      </w:r>
      <w:proofErr w:type="spellStart"/>
      <w:r w:rsidRPr="00D83A61">
        <w:rPr>
          <w:i/>
          <w:iCs/>
          <w:spacing w:val="-4"/>
          <w:rtl/>
        </w:rPr>
        <w:t>البعطي</w:t>
      </w:r>
      <w:proofErr w:type="spellEnd"/>
      <w:r w:rsidRPr="00D83A61">
        <w:rPr>
          <w:i/>
          <w:iCs/>
          <w:spacing w:val="-4"/>
          <w:rtl/>
        </w:rPr>
        <w:t xml:space="preserve"> ضد الجزائر</w:t>
      </w:r>
      <w:r w:rsidRPr="00A82124">
        <w:rPr>
          <w:spacing w:val="-4"/>
          <w:rtl/>
        </w:rPr>
        <w:t>،</w:t>
      </w:r>
      <w:r w:rsidRPr="00A36E8E">
        <w:rPr>
          <w:rtl/>
        </w:rPr>
        <w:t xml:space="preserve"> الفقرة </w:t>
      </w:r>
      <w:r w:rsidRPr="00D83A61">
        <w:rPr>
          <w:rtl/>
        </w:rPr>
        <w:t>7</w:t>
      </w:r>
      <w:r w:rsidRPr="00A36E8E">
        <w:rPr>
          <w:rtl/>
        </w:rPr>
        <w:t>-</w:t>
      </w:r>
      <w:r w:rsidRPr="00D83A61">
        <w:rPr>
          <w:rtl/>
        </w:rPr>
        <w:t>4</w:t>
      </w:r>
      <w:r w:rsidRPr="00A36E8E">
        <w:rPr>
          <w:rtl/>
        </w:rPr>
        <w:t xml:space="preserve">. انظر أيضاً اللجنة المعنية بحقوق الإنسان، التعليق العام رقم </w:t>
      </w:r>
      <w:r w:rsidRPr="00D83A61">
        <w:rPr>
          <w:rtl/>
        </w:rPr>
        <w:t>36</w:t>
      </w:r>
      <w:r w:rsidRPr="00A36E8E">
        <w:rPr>
          <w:rtl/>
        </w:rPr>
        <w:t>(</w:t>
      </w:r>
      <w:r w:rsidRPr="00D83A61">
        <w:rPr>
          <w:rtl/>
        </w:rPr>
        <w:t>2019</w:t>
      </w:r>
      <w:r w:rsidRPr="00A36E8E">
        <w:rPr>
          <w:rtl/>
        </w:rPr>
        <w:t xml:space="preserve">)، الفقرة </w:t>
      </w:r>
      <w:r w:rsidRPr="00D83A61">
        <w:rPr>
          <w:rtl/>
        </w:rPr>
        <w:t>58</w:t>
      </w:r>
      <w:r w:rsidRPr="00A36E8E">
        <w:rPr>
          <w:rtl/>
        </w:rPr>
        <w:t>.</w:t>
      </w:r>
    </w:p>
  </w:footnote>
  <w:footnote w:id="30">
    <w:p w14:paraId="2073271B" w14:textId="684A771F"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A36E8E">
        <w:rPr>
          <w:rtl/>
        </w:rPr>
        <w:t xml:space="preserve">قضية </w:t>
      </w:r>
      <w:r w:rsidRPr="00D83A61">
        <w:rPr>
          <w:i/>
          <w:iCs/>
          <w:rtl/>
        </w:rPr>
        <w:t xml:space="preserve">العُدِّي ضد الجزائر </w:t>
      </w:r>
      <w:r w:rsidRPr="00A36E8E">
        <w:rPr>
          <w:rtl/>
        </w:rPr>
        <w:t>(</w:t>
      </w:r>
      <w:r w:rsidRPr="00A36E8E">
        <w:t>CCPR/C/</w:t>
      </w:r>
      <w:r w:rsidRPr="00D83A61">
        <w:t>112</w:t>
      </w:r>
      <w:r w:rsidRPr="00A36E8E">
        <w:t>/D/</w:t>
      </w:r>
      <w:r w:rsidRPr="00D83A61">
        <w:t>2117</w:t>
      </w:r>
      <w:r w:rsidRPr="00A36E8E">
        <w:t>/</w:t>
      </w:r>
      <w:r w:rsidRPr="00D83A61">
        <w:t>2011</w:t>
      </w:r>
      <w:r w:rsidRPr="00A36E8E">
        <w:rPr>
          <w:rtl/>
        </w:rPr>
        <w:t xml:space="preserve">)، الفقرة </w:t>
      </w:r>
      <w:r w:rsidRPr="00D83A61">
        <w:rPr>
          <w:rtl/>
        </w:rPr>
        <w:t>7</w:t>
      </w:r>
      <w:r w:rsidRPr="00A36E8E">
        <w:rPr>
          <w:rtl/>
        </w:rPr>
        <w:t>-</w:t>
      </w:r>
      <w:r w:rsidRPr="00D83A61">
        <w:rPr>
          <w:rtl/>
        </w:rPr>
        <w:t>4</w:t>
      </w:r>
      <w:r w:rsidRPr="00A36E8E">
        <w:rPr>
          <w:rtl/>
        </w:rPr>
        <w:t xml:space="preserve">؛ وقضية </w:t>
      </w:r>
      <w:r w:rsidRPr="00D83A61">
        <w:rPr>
          <w:i/>
          <w:iCs/>
          <w:rtl/>
        </w:rPr>
        <w:t>مزين ضد الجزائر</w:t>
      </w:r>
      <w:r w:rsidRPr="00A36E8E">
        <w:rPr>
          <w:rtl/>
        </w:rPr>
        <w:t xml:space="preserve">، الفقرة </w:t>
      </w:r>
      <w:r w:rsidRPr="00D83A61">
        <w:rPr>
          <w:rtl/>
        </w:rPr>
        <w:t>8</w:t>
      </w:r>
      <w:r w:rsidRPr="00A36E8E">
        <w:rPr>
          <w:rtl/>
        </w:rPr>
        <w:t>-</w:t>
      </w:r>
      <w:r w:rsidRPr="00D83A61">
        <w:rPr>
          <w:rtl/>
        </w:rPr>
        <w:t>4</w:t>
      </w:r>
      <w:r w:rsidRPr="00A36E8E">
        <w:rPr>
          <w:rtl/>
        </w:rPr>
        <w:t xml:space="preserve">؛ وقضية </w:t>
      </w:r>
      <w:r w:rsidRPr="00D83A61">
        <w:rPr>
          <w:i/>
          <w:iCs/>
          <w:spacing w:val="-4"/>
          <w:rtl/>
        </w:rPr>
        <w:t>بوجمعة ضد الجزائر</w:t>
      </w:r>
      <w:r w:rsidRPr="00A82124">
        <w:rPr>
          <w:spacing w:val="-4"/>
          <w:rtl/>
        </w:rPr>
        <w:t xml:space="preserve">، الفقرة </w:t>
      </w:r>
      <w:r w:rsidRPr="00D83A61">
        <w:rPr>
          <w:spacing w:val="-4"/>
          <w:rtl/>
        </w:rPr>
        <w:t>8</w:t>
      </w:r>
      <w:r w:rsidRPr="00A82124">
        <w:rPr>
          <w:spacing w:val="-4"/>
          <w:rtl/>
        </w:rPr>
        <w:t>-</w:t>
      </w:r>
      <w:r w:rsidRPr="00D83A61">
        <w:rPr>
          <w:spacing w:val="-4"/>
          <w:rtl/>
        </w:rPr>
        <w:t>4</w:t>
      </w:r>
      <w:r w:rsidRPr="00A82124">
        <w:rPr>
          <w:spacing w:val="-4"/>
          <w:rtl/>
        </w:rPr>
        <w:t>؛ وقضية</w:t>
      </w:r>
      <w:r w:rsidRPr="00D83A61">
        <w:rPr>
          <w:i/>
          <w:iCs/>
          <w:spacing w:val="-4"/>
          <w:rtl/>
        </w:rPr>
        <w:t xml:space="preserve"> شارما ضد نيبال</w:t>
      </w:r>
      <w:r w:rsidRPr="00A82124">
        <w:rPr>
          <w:spacing w:val="-4"/>
          <w:rtl/>
        </w:rPr>
        <w:t xml:space="preserve"> (</w:t>
      </w:r>
      <w:r w:rsidRPr="00A82124">
        <w:rPr>
          <w:spacing w:val="-4"/>
        </w:rPr>
        <w:t>CCPR/C/</w:t>
      </w:r>
      <w:r w:rsidRPr="00D83A61">
        <w:rPr>
          <w:spacing w:val="-4"/>
        </w:rPr>
        <w:t>122</w:t>
      </w:r>
      <w:r w:rsidRPr="00A82124">
        <w:rPr>
          <w:spacing w:val="-4"/>
        </w:rPr>
        <w:t>/D/</w:t>
      </w:r>
      <w:r w:rsidRPr="00D83A61">
        <w:rPr>
          <w:spacing w:val="-4"/>
        </w:rPr>
        <w:t>2265</w:t>
      </w:r>
      <w:r w:rsidRPr="00A82124">
        <w:rPr>
          <w:spacing w:val="-4"/>
        </w:rPr>
        <w:t>/</w:t>
      </w:r>
      <w:r w:rsidRPr="00D83A61">
        <w:rPr>
          <w:spacing w:val="-4"/>
        </w:rPr>
        <w:t>2013</w:t>
      </w:r>
      <w:r w:rsidRPr="00A82124">
        <w:rPr>
          <w:spacing w:val="-4"/>
          <w:rtl/>
        </w:rPr>
        <w:t xml:space="preserve">)، الفقرة </w:t>
      </w:r>
      <w:r w:rsidRPr="00D83A61">
        <w:rPr>
          <w:spacing w:val="-4"/>
          <w:rtl/>
        </w:rPr>
        <w:t>10</w:t>
      </w:r>
      <w:r w:rsidRPr="00A82124">
        <w:rPr>
          <w:spacing w:val="-4"/>
          <w:rtl/>
        </w:rPr>
        <w:t>-</w:t>
      </w:r>
      <w:r w:rsidRPr="00D83A61">
        <w:rPr>
          <w:spacing w:val="-4"/>
          <w:rtl/>
        </w:rPr>
        <w:t>6</w:t>
      </w:r>
      <w:r w:rsidRPr="00A82124">
        <w:rPr>
          <w:spacing w:val="-4"/>
          <w:rtl/>
        </w:rPr>
        <w:t>؛ انظر أيضاً اللجنة</w:t>
      </w:r>
      <w:r w:rsidRPr="00A36E8E">
        <w:rPr>
          <w:rtl/>
        </w:rPr>
        <w:t xml:space="preserve"> المعنية بحقوق الإنسان، التعليق العام رقم </w:t>
      </w:r>
      <w:r w:rsidRPr="00D83A61">
        <w:rPr>
          <w:rtl/>
        </w:rPr>
        <w:t>36</w:t>
      </w:r>
      <w:r w:rsidRPr="00A36E8E">
        <w:rPr>
          <w:rtl/>
        </w:rPr>
        <w:t xml:space="preserve">، الفقرة </w:t>
      </w:r>
      <w:r w:rsidRPr="00D83A61">
        <w:rPr>
          <w:rtl/>
        </w:rPr>
        <w:t>58</w:t>
      </w:r>
      <w:r w:rsidRPr="00A36E8E">
        <w:rPr>
          <w:rtl/>
        </w:rPr>
        <w:t>.</w:t>
      </w:r>
    </w:p>
  </w:footnote>
  <w:footnote w:id="31">
    <w:p w14:paraId="00AF5C08" w14:textId="14A9A0F6"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A36E8E">
        <w:rPr>
          <w:rtl/>
        </w:rPr>
        <w:t xml:space="preserve">قضية </w:t>
      </w:r>
      <w:r w:rsidRPr="00D83A61">
        <w:rPr>
          <w:i/>
          <w:iCs/>
          <w:rtl/>
        </w:rPr>
        <w:t>عماري ضد الجزائر</w:t>
      </w:r>
      <w:r w:rsidRPr="00A36E8E">
        <w:rPr>
          <w:rtl/>
        </w:rPr>
        <w:t xml:space="preserve">، الفقرة </w:t>
      </w:r>
      <w:r w:rsidRPr="00D83A61">
        <w:rPr>
          <w:rtl/>
        </w:rPr>
        <w:t>8</w:t>
      </w:r>
      <w:r w:rsidRPr="00A36E8E">
        <w:rPr>
          <w:rtl/>
        </w:rPr>
        <w:t>-</w:t>
      </w:r>
      <w:r w:rsidRPr="00D83A61">
        <w:rPr>
          <w:rtl/>
        </w:rPr>
        <w:t>5</w:t>
      </w:r>
      <w:r w:rsidRPr="00A36E8E">
        <w:rPr>
          <w:rtl/>
        </w:rPr>
        <w:t xml:space="preserve">؛ وقضية </w:t>
      </w:r>
      <w:r w:rsidRPr="00D83A61">
        <w:rPr>
          <w:i/>
          <w:iCs/>
          <w:rtl/>
        </w:rPr>
        <w:t>مزين ضد الجزائر</w:t>
      </w:r>
      <w:r w:rsidRPr="00A36E8E">
        <w:rPr>
          <w:rtl/>
        </w:rPr>
        <w:t xml:space="preserve">، الفقرة </w:t>
      </w:r>
      <w:r w:rsidRPr="00D83A61">
        <w:rPr>
          <w:rtl/>
        </w:rPr>
        <w:t>8</w:t>
      </w:r>
      <w:r w:rsidRPr="00A36E8E">
        <w:rPr>
          <w:rtl/>
        </w:rPr>
        <w:t>-</w:t>
      </w:r>
      <w:r w:rsidRPr="00D83A61">
        <w:rPr>
          <w:rtl/>
        </w:rPr>
        <w:t>5</w:t>
      </w:r>
      <w:r w:rsidRPr="00A36E8E">
        <w:rPr>
          <w:rtl/>
        </w:rPr>
        <w:t xml:space="preserve">؛ وقضية </w:t>
      </w:r>
      <w:r w:rsidRPr="00D83A61">
        <w:rPr>
          <w:i/>
          <w:iCs/>
          <w:rtl/>
        </w:rPr>
        <w:t xml:space="preserve">خيراني ضد الجزائر </w:t>
      </w:r>
      <w:r w:rsidRPr="00A36E8E">
        <w:t>CCPR/C/</w:t>
      </w:r>
      <w:r w:rsidRPr="00D83A61">
        <w:t>104</w:t>
      </w:r>
      <w:r w:rsidRPr="00A36E8E">
        <w:t>/D/</w:t>
      </w:r>
      <w:r w:rsidRPr="00D83A61">
        <w:t>1905</w:t>
      </w:r>
      <w:r w:rsidRPr="00A36E8E">
        <w:t>/</w:t>
      </w:r>
      <w:r w:rsidRPr="00D83A61">
        <w:t>2009</w:t>
      </w:r>
      <w:r w:rsidRPr="00A36E8E">
        <w:rPr>
          <w:rtl/>
        </w:rPr>
        <w:t xml:space="preserve"> و</w:t>
      </w:r>
      <w:r w:rsidRPr="00A36E8E">
        <w:t>Corr.</w:t>
      </w:r>
      <w:r w:rsidRPr="00D83A61">
        <w:t>1</w:t>
      </w:r>
      <w:r w:rsidRPr="00A36E8E">
        <w:rPr>
          <w:rtl/>
        </w:rPr>
        <w:t xml:space="preserve">)، الفقرة </w:t>
      </w:r>
      <w:r w:rsidRPr="00D83A61">
        <w:rPr>
          <w:rtl/>
        </w:rPr>
        <w:t>7</w:t>
      </w:r>
      <w:r w:rsidRPr="00A36E8E">
        <w:rPr>
          <w:rtl/>
        </w:rPr>
        <w:t>-</w:t>
      </w:r>
      <w:r w:rsidRPr="00D83A61">
        <w:rPr>
          <w:rtl/>
        </w:rPr>
        <w:t>5</w:t>
      </w:r>
      <w:r w:rsidRPr="00A36E8E">
        <w:rPr>
          <w:rtl/>
        </w:rPr>
        <w:t xml:space="preserve">؛ وقضية </w:t>
      </w:r>
      <w:r w:rsidRPr="00D83A61">
        <w:rPr>
          <w:i/>
          <w:iCs/>
          <w:rtl/>
        </w:rPr>
        <w:t>برزيق ضد الجزائر</w:t>
      </w:r>
      <w:r w:rsidRPr="00A36E8E">
        <w:rPr>
          <w:rtl/>
        </w:rPr>
        <w:t xml:space="preserve">، الفقرة </w:t>
      </w:r>
      <w:r w:rsidRPr="00D83A61">
        <w:rPr>
          <w:rtl/>
        </w:rPr>
        <w:t>8</w:t>
      </w:r>
      <w:r w:rsidRPr="00A36E8E">
        <w:rPr>
          <w:rtl/>
        </w:rPr>
        <w:t>-</w:t>
      </w:r>
      <w:r w:rsidRPr="00D83A61">
        <w:rPr>
          <w:rtl/>
        </w:rPr>
        <w:t>5</w:t>
      </w:r>
      <w:r w:rsidRPr="00A36E8E">
        <w:rPr>
          <w:rtl/>
        </w:rPr>
        <w:t xml:space="preserve">؛ وقضية </w:t>
      </w:r>
      <w:r w:rsidRPr="00D83A61">
        <w:rPr>
          <w:i/>
          <w:iCs/>
          <w:rtl/>
        </w:rPr>
        <w:t xml:space="preserve">العلواني ضد الجماهيرية العربية الليبية </w:t>
      </w:r>
      <w:r w:rsidRPr="00A36E8E">
        <w:rPr>
          <w:rtl/>
        </w:rPr>
        <w:t>(</w:t>
      </w:r>
      <w:r w:rsidRPr="00A36E8E">
        <w:t>CCPR/C/</w:t>
      </w:r>
      <w:r w:rsidRPr="00D83A61">
        <w:t>90</w:t>
      </w:r>
      <w:r w:rsidRPr="00A36E8E">
        <w:t>/D/</w:t>
      </w:r>
      <w:r w:rsidRPr="00D83A61">
        <w:t>1295</w:t>
      </w:r>
      <w:r w:rsidRPr="00A36E8E">
        <w:t>/</w:t>
      </w:r>
      <w:r w:rsidRPr="00D83A61">
        <w:t>2004</w:t>
      </w:r>
      <w:r w:rsidRPr="00A36E8E">
        <w:rPr>
          <w:rtl/>
        </w:rPr>
        <w:t xml:space="preserve">)، الفقرة </w:t>
      </w:r>
      <w:r w:rsidRPr="00D83A61">
        <w:rPr>
          <w:rtl/>
        </w:rPr>
        <w:t>6</w:t>
      </w:r>
      <w:r w:rsidRPr="00A36E8E">
        <w:rPr>
          <w:rtl/>
        </w:rPr>
        <w:t>-</w:t>
      </w:r>
      <w:r w:rsidRPr="00D83A61">
        <w:rPr>
          <w:rtl/>
        </w:rPr>
        <w:t>5</w:t>
      </w:r>
      <w:r w:rsidRPr="00A36E8E">
        <w:rPr>
          <w:rtl/>
        </w:rPr>
        <w:t>.</w:t>
      </w:r>
    </w:p>
  </w:footnote>
  <w:footnote w:id="32">
    <w:p w14:paraId="2E474556" w14:textId="369ADE19"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A36E8E">
        <w:rPr>
          <w:rtl/>
        </w:rPr>
        <w:t xml:space="preserve">قضية </w:t>
      </w:r>
      <w:r w:rsidRPr="00D83A61">
        <w:rPr>
          <w:i/>
          <w:iCs/>
          <w:rtl/>
        </w:rPr>
        <w:t>عماري ضد الجزائر</w:t>
      </w:r>
      <w:r w:rsidRPr="00A36E8E">
        <w:rPr>
          <w:rtl/>
        </w:rPr>
        <w:t xml:space="preserve">، الفقرة </w:t>
      </w:r>
      <w:r w:rsidRPr="00D83A61">
        <w:rPr>
          <w:rtl/>
        </w:rPr>
        <w:t>8</w:t>
      </w:r>
      <w:r w:rsidRPr="00A36E8E">
        <w:rPr>
          <w:rtl/>
        </w:rPr>
        <w:t>-</w:t>
      </w:r>
      <w:r w:rsidRPr="00D83A61">
        <w:rPr>
          <w:rtl/>
        </w:rPr>
        <w:t>6</w:t>
      </w:r>
      <w:r>
        <w:rPr>
          <w:rFonts w:hint="cs"/>
          <w:rtl/>
        </w:rPr>
        <w:t>.</w:t>
      </w:r>
    </w:p>
  </w:footnote>
  <w:footnote w:id="33">
    <w:p w14:paraId="23DBE951" w14:textId="44948A11"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A36E8E">
        <w:rPr>
          <w:rtl/>
        </w:rPr>
        <w:t xml:space="preserve">قضية </w:t>
      </w:r>
      <w:r w:rsidRPr="00D83A61">
        <w:rPr>
          <w:i/>
          <w:iCs/>
          <w:rtl/>
        </w:rPr>
        <w:t>مزين ضد الجزائر</w:t>
      </w:r>
      <w:r w:rsidRPr="00A36E8E">
        <w:rPr>
          <w:rtl/>
        </w:rPr>
        <w:t xml:space="preserve">، الفقرة </w:t>
      </w:r>
      <w:r w:rsidRPr="00D83A61">
        <w:rPr>
          <w:rtl/>
        </w:rPr>
        <w:t>8</w:t>
      </w:r>
      <w:r w:rsidRPr="00A36E8E">
        <w:rPr>
          <w:rtl/>
        </w:rPr>
        <w:t>-</w:t>
      </w:r>
      <w:r w:rsidRPr="00D83A61">
        <w:rPr>
          <w:rtl/>
        </w:rPr>
        <w:t>6</w:t>
      </w:r>
      <w:r w:rsidRPr="00A36E8E">
        <w:rPr>
          <w:rtl/>
        </w:rPr>
        <w:t xml:space="preserve">؛ وقضية </w:t>
      </w:r>
      <w:r w:rsidRPr="00D83A61">
        <w:rPr>
          <w:i/>
          <w:iCs/>
          <w:rtl/>
        </w:rPr>
        <w:t>خيراني ضد الجزائر</w:t>
      </w:r>
      <w:r w:rsidRPr="00A36E8E">
        <w:rPr>
          <w:rtl/>
        </w:rPr>
        <w:t xml:space="preserve">، الفقرة </w:t>
      </w:r>
      <w:r w:rsidRPr="00D83A61">
        <w:rPr>
          <w:rtl/>
        </w:rPr>
        <w:t>7</w:t>
      </w:r>
      <w:r w:rsidRPr="00A36E8E">
        <w:rPr>
          <w:rtl/>
        </w:rPr>
        <w:t>-</w:t>
      </w:r>
      <w:r w:rsidRPr="00D83A61">
        <w:rPr>
          <w:rtl/>
        </w:rPr>
        <w:t>6</w:t>
      </w:r>
      <w:r w:rsidRPr="00A36E8E">
        <w:rPr>
          <w:rtl/>
        </w:rPr>
        <w:t xml:space="preserve">؛ وقضية </w:t>
      </w:r>
      <w:r w:rsidRPr="00D83A61">
        <w:rPr>
          <w:i/>
          <w:iCs/>
          <w:rtl/>
        </w:rPr>
        <w:t>برزيق ضد الجزائر</w:t>
      </w:r>
      <w:r w:rsidRPr="00A36E8E">
        <w:rPr>
          <w:rtl/>
        </w:rPr>
        <w:t xml:space="preserve">، الفقرة </w:t>
      </w:r>
      <w:r w:rsidRPr="00D83A61">
        <w:rPr>
          <w:rtl/>
        </w:rPr>
        <w:t>8</w:t>
      </w:r>
      <w:r w:rsidRPr="00A36E8E">
        <w:rPr>
          <w:rtl/>
        </w:rPr>
        <w:t>-</w:t>
      </w:r>
      <w:r w:rsidRPr="00D83A61">
        <w:rPr>
          <w:rtl/>
        </w:rPr>
        <w:t>6</w:t>
      </w:r>
      <w:r w:rsidRPr="00A36E8E">
        <w:rPr>
          <w:rtl/>
        </w:rPr>
        <w:t xml:space="preserve">؛ وقضية </w:t>
      </w:r>
      <w:r w:rsidRPr="00D83A61">
        <w:rPr>
          <w:i/>
          <w:iCs/>
          <w:rtl/>
        </w:rPr>
        <w:t>العباني ضد الجماهيرية العربية الليبية</w:t>
      </w:r>
      <w:r w:rsidRPr="00A36E8E">
        <w:rPr>
          <w:rtl/>
        </w:rPr>
        <w:t xml:space="preserve">، الفقرة </w:t>
      </w:r>
      <w:r w:rsidRPr="00D83A61">
        <w:rPr>
          <w:rtl/>
        </w:rPr>
        <w:t>7</w:t>
      </w:r>
      <w:r w:rsidRPr="00A36E8E">
        <w:rPr>
          <w:rtl/>
        </w:rPr>
        <w:t>-</w:t>
      </w:r>
      <w:r w:rsidRPr="00D83A61">
        <w:rPr>
          <w:rtl/>
        </w:rPr>
        <w:t>5</w:t>
      </w:r>
      <w:r w:rsidRPr="00A36E8E">
        <w:rPr>
          <w:rtl/>
        </w:rPr>
        <w:t xml:space="preserve">؛ وقضية </w:t>
      </w:r>
      <w:r w:rsidRPr="00D83A61">
        <w:rPr>
          <w:i/>
          <w:iCs/>
          <w:rtl/>
        </w:rPr>
        <w:t>الحاسي ضد الجماهيرية العربية الليبية</w:t>
      </w:r>
      <w:r w:rsidRPr="00A36E8E">
        <w:rPr>
          <w:rtl/>
        </w:rPr>
        <w:t xml:space="preserve"> (</w:t>
      </w:r>
      <w:r w:rsidRPr="00A36E8E">
        <w:t>CCPR/C/</w:t>
      </w:r>
      <w:r w:rsidRPr="00D83A61">
        <w:t>91</w:t>
      </w:r>
      <w:r w:rsidRPr="00A36E8E">
        <w:t>/D/</w:t>
      </w:r>
      <w:r w:rsidRPr="00D83A61">
        <w:t>1422</w:t>
      </w:r>
      <w:r w:rsidRPr="00A36E8E">
        <w:t>/</w:t>
      </w:r>
      <w:r w:rsidRPr="00D83A61">
        <w:t>2005</w:t>
      </w:r>
      <w:r w:rsidRPr="00A36E8E">
        <w:rPr>
          <w:rtl/>
        </w:rPr>
        <w:t xml:space="preserve">)، الفقرة </w:t>
      </w:r>
      <w:r w:rsidRPr="00D83A61">
        <w:rPr>
          <w:rtl/>
        </w:rPr>
        <w:t>6</w:t>
      </w:r>
      <w:r w:rsidRPr="00A36E8E">
        <w:rPr>
          <w:rtl/>
        </w:rPr>
        <w:t>-</w:t>
      </w:r>
      <w:r w:rsidRPr="00D83A61">
        <w:rPr>
          <w:rtl/>
        </w:rPr>
        <w:t>11</w:t>
      </w:r>
      <w:r w:rsidRPr="00A36E8E">
        <w:rPr>
          <w:rtl/>
        </w:rPr>
        <w:t xml:space="preserve">؛ وقضية </w:t>
      </w:r>
      <w:proofErr w:type="spellStart"/>
      <w:r w:rsidRPr="00D83A61">
        <w:rPr>
          <w:i/>
          <w:iCs/>
          <w:rtl/>
        </w:rPr>
        <w:t>سانكارا</w:t>
      </w:r>
      <w:proofErr w:type="spellEnd"/>
      <w:r w:rsidRPr="00D83A61">
        <w:rPr>
          <w:i/>
          <w:iCs/>
          <w:rtl/>
        </w:rPr>
        <w:t xml:space="preserve"> وآخرون ضد بوركينا فاسو</w:t>
      </w:r>
      <w:r w:rsidRPr="00A36E8E">
        <w:rPr>
          <w:rtl/>
        </w:rPr>
        <w:t xml:space="preserve"> (</w:t>
      </w:r>
      <w:r w:rsidRPr="00A36E8E">
        <w:t>CCPR/C/</w:t>
      </w:r>
      <w:r w:rsidRPr="00D83A61">
        <w:t>86</w:t>
      </w:r>
      <w:r w:rsidRPr="00A36E8E">
        <w:t>/D/</w:t>
      </w:r>
      <w:r w:rsidRPr="00D83A61">
        <w:t>1159</w:t>
      </w:r>
      <w:r w:rsidRPr="00A36E8E">
        <w:t>/</w:t>
      </w:r>
      <w:r w:rsidRPr="00D83A61">
        <w:t>2003</w:t>
      </w:r>
      <w:r w:rsidRPr="00A36E8E">
        <w:rPr>
          <w:rtl/>
        </w:rPr>
        <w:t xml:space="preserve">)، الفقرة </w:t>
      </w:r>
      <w:r w:rsidRPr="00D83A61">
        <w:rPr>
          <w:rtl/>
        </w:rPr>
        <w:t>12</w:t>
      </w:r>
      <w:r w:rsidRPr="00A36E8E">
        <w:rPr>
          <w:rtl/>
        </w:rPr>
        <w:t>-</w:t>
      </w:r>
      <w:r w:rsidRPr="00D83A61">
        <w:rPr>
          <w:rtl/>
        </w:rPr>
        <w:t>2</w:t>
      </w:r>
      <w:r>
        <w:rPr>
          <w:rFonts w:hint="cs"/>
          <w:rtl/>
        </w:rPr>
        <w:t>.</w:t>
      </w:r>
    </w:p>
  </w:footnote>
  <w:footnote w:id="34">
    <w:p w14:paraId="46361B7F" w14:textId="35C2F21B"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A36E8E">
        <w:rPr>
          <w:rtl/>
        </w:rPr>
        <w:t xml:space="preserve">قضية </w:t>
      </w:r>
      <w:proofErr w:type="spellStart"/>
      <w:r w:rsidRPr="00D83A61">
        <w:rPr>
          <w:i/>
          <w:iCs/>
          <w:rtl/>
        </w:rPr>
        <w:t>شاني</w:t>
      </w:r>
      <w:proofErr w:type="spellEnd"/>
      <w:r w:rsidRPr="00D83A61">
        <w:rPr>
          <w:i/>
          <w:iCs/>
          <w:rtl/>
        </w:rPr>
        <w:t xml:space="preserve"> ضد الجزائر</w:t>
      </w:r>
      <w:r w:rsidRPr="00A36E8E">
        <w:rPr>
          <w:rtl/>
        </w:rPr>
        <w:t xml:space="preserve"> (</w:t>
      </w:r>
      <w:r w:rsidRPr="00A36E8E">
        <w:t>CCPR/C/</w:t>
      </w:r>
      <w:r w:rsidRPr="00D83A61">
        <w:t>116</w:t>
      </w:r>
      <w:r w:rsidRPr="00A36E8E">
        <w:t>/D/</w:t>
      </w:r>
      <w:r w:rsidRPr="00D83A61">
        <w:t>2297</w:t>
      </w:r>
      <w:r w:rsidRPr="00A36E8E">
        <w:t>/</w:t>
      </w:r>
      <w:r w:rsidRPr="00D83A61">
        <w:t>2013</w:t>
      </w:r>
      <w:r w:rsidRPr="00A36E8E">
        <w:rPr>
          <w:rtl/>
        </w:rPr>
        <w:t xml:space="preserve">)، الفقرة </w:t>
      </w:r>
      <w:r w:rsidRPr="00D83A61">
        <w:rPr>
          <w:rtl/>
        </w:rPr>
        <w:t>7</w:t>
      </w:r>
      <w:r w:rsidRPr="00A36E8E">
        <w:rPr>
          <w:rtl/>
        </w:rPr>
        <w:t>-</w:t>
      </w:r>
      <w:r w:rsidRPr="00D83A61">
        <w:rPr>
          <w:rtl/>
        </w:rPr>
        <w:t>5</w:t>
      </w:r>
      <w:r w:rsidRPr="00A36E8E">
        <w:rPr>
          <w:rtl/>
        </w:rPr>
        <w:t>.</w:t>
      </w:r>
    </w:p>
  </w:footnote>
  <w:footnote w:id="35">
    <w:p w14:paraId="39E04A7E" w14:textId="14BF0251"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A36E8E">
        <w:rPr>
          <w:rtl/>
        </w:rPr>
        <w:t xml:space="preserve">انظر، في جملة قضايا أخرى، قضية </w:t>
      </w:r>
      <w:r w:rsidRPr="00D83A61">
        <w:rPr>
          <w:i/>
          <w:iCs/>
          <w:rtl/>
        </w:rPr>
        <w:t>مزين ضد الجزائر</w:t>
      </w:r>
      <w:r w:rsidRPr="00A36E8E">
        <w:rPr>
          <w:rtl/>
        </w:rPr>
        <w:t xml:space="preserve">، الفقرة </w:t>
      </w:r>
      <w:r w:rsidRPr="00D83A61">
        <w:rPr>
          <w:rtl/>
        </w:rPr>
        <w:t>8</w:t>
      </w:r>
      <w:r w:rsidRPr="00A36E8E">
        <w:rPr>
          <w:rtl/>
        </w:rPr>
        <w:t>-</w:t>
      </w:r>
      <w:r w:rsidRPr="00D83A61">
        <w:rPr>
          <w:rtl/>
        </w:rPr>
        <w:t>7</w:t>
      </w:r>
      <w:r w:rsidRPr="00A36E8E">
        <w:rPr>
          <w:rtl/>
        </w:rPr>
        <w:t xml:space="preserve">؛ وقضية </w:t>
      </w:r>
      <w:r w:rsidRPr="00D83A61">
        <w:rPr>
          <w:i/>
          <w:iCs/>
          <w:rtl/>
        </w:rPr>
        <w:t>خيراني ضد الجزائر</w:t>
      </w:r>
      <w:r w:rsidRPr="00A36E8E">
        <w:rPr>
          <w:rtl/>
        </w:rPr>
        <w:t xml:space="preserve">، الفقرة </w:t>
      </w:r>
      <w:r w:rsidRPr="00D83A61">
        <w:rPr>
          <w:rtl/>
        </w:rPr>
        <w:t>7</w:t>
      </w:r>
      <w:r w:rsidRPr="00A36E8E">
        <w:rPr>
          <w:rtl/>
        </w:rPr>
        <w:t>-</w:t>
      </w:r>
      <w:r w:rsidRPr="00D83A61">
        <w:rPr>
          <w:rtl/>
        </w:rPr>
        <w:t>7</w:t>
      </w:r>
      <w:r w:rsidRPr="00A36E8E">
        <w:rPr>
          <w:rtl/>
        </w:rPr>
        <w:t xml:space="preserve">؛ وقضية </w:t>
      </w:r>
      <w:r w:rsidRPr="00D83A61">
        <w:rPr>
          <w:i/>
          <w:iCs/>
          <w:rtl/>
        </w:rPr>
        <w:t>برزيق ضد الجزائر</w:t>
      </w:r>
      <w:r w:rsidRPr="00A36E8E">
        <w:rPr>
          <w:rtl/>
        </w:rPr>
        <w:t xml:space="preserve">، الفقرة </w:t>
      </w:r>
      <w:r w:rsidRPr="00D83A61">
        <w:rPr>
          <w:rtl/>
        </w:rPr>
        <w:t>8</w:t>
      </w:r>
      <w:r w:rsidRPr="00A36E8E">
        <w:rPr>
          <w:rtl/>
        </w:rPr>
        <w:t>-</w:t>
      </w:r>
      <w:r w:rsidRPr="00D83A61">
        <w:rPr>
          <w:rtl/>
        </w:rPr>
        <w:t>7</w:t>
      </w:r>
      <w:r>
        <w:rPr>
          <w:rFonts w:hint="cs"/>
          <w:rtl/>
        </w:rPr>
        <w:t>.</w:t>
      </w:r>
    </w:p>
  </w:footnote>
  <w:footnote w:id="36">
    <w:p w14:paraId="21084B1C" w14:textId="176B88A6"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6C7946">
        <w:rPr>
          <w:rtl/>
        </w:rPr>
        <w:t xml:space="preserve">قضية </w:t>
      </w:r>
      <w:proofErr w:type="spellStart"/>
      <w:r w:rsidRPr="00D83A61">
        <w:rPr>
          <w:i/>
          <w:iCs/>
          <w:rtl/>
        </w:rPr>
        <w:t>باسنت</w:t>
      </w:r>
      <w:proofErr w:type="spellEnd"/>
      <w:r w:rsidRPr="00D83A61">
        <w:rPr>
          <w:i/>
          <w:iCs/>
          <w:rtl/>
        </w:rPr>
        <w:t xml:space="preserve"> ضد نيبال</w:t>
      </w:r>
      <w:r w:rsidRPr="006C7946">
        <w:rPr>
          <w:rtl/>
        </w:rPr>
        <w:t xml:space="preserve"> (</w:t>
      </w:r>
      <w:r w:rsidRPr="006C7946">
        <w:t>CCPR/C/</w:t>
      </w:r>
      <w:r w:rsidRPr="00D83A61">
        <w:t>117</w:t>
      </w:r>
      <w:r w:rsidRPr="006C7946">
        <w:t>/D/</w:t>
      </w:r>
      <w:r w:rsidRPr="00D83A61">
        <w:t>2164</w:t>
      </w:r>
      <w:r w:rsidRPr="006C7946">
        <w:t>/</w:t>
      </w:r>
      <w:r w:rsidRPr="00D83A61">
        <w:t>2012</w:t>
      </w:r>
      <w:r w:rsidRPr="006C7946">
        <w:rPr>
          <w:rtl/>
        </w:rPr>
        <w:t xml:space="preserve">)، الفقرة </w:t>
      </w:r>
      <w:r w:rsidRPr="00D83A61">
        <w:rPr>
          <w:rtl/>
        </w:rPr>
        <w:t>10</w:t>
      </w:r>
      <w:r w:rsidRPr="006C7946">
        <w:rPr>
          <w:rtl/>
        </w:rPr>
        <w:t>-</w:t>
      </w:r>
      <w:r w:rsidRPr="00D83A61">
        <w:rPr>
          <w:rtl/>
        </w:rPr>
        <w:t>9</w:t>
      </w:r>
      <w:r w:rsidRPr="006C7946">
        <w:rPr>
          <w:rtl/>
        </w:rPr>
        <w:t xml:space="preserve">؛ وقضية </w:t>
      </w:r>
      <w:proofErr w:type="spellStart"/>
      <w:r w:rsidRPr="00D83A61">
        <w:rPr>
          <w:i/>
          <w:iCs/>
          <w:rtl/>
        </w:rPr>
        <w:t>ثارو</w:t>
      </w:r>
      <w:proofErr w:type="spellEnd"/>
      <w:r w:rsidRPr="00D83A61">
        <w:rPr>
          <w:i/>
          <w:iCs/>
          <w:rtl/>
        </w:rPr>
        <w:t xml:space="preserve"> وآخرون ضد نيبال</w:t>
      </w:r>
      <w:r w:rsidRPr="006C7946">
        <w:rPr>
          <w:rtl/>
        </w:rPr>
        <w:t xml:space="preserve"> (</w:t>
      </w:r>
      <w:r w:rsidRPr="006C7946">
        <w:t>CCPR/C/</w:t>
      </w:r>
      <w:r w:rsidRPr="00D83A61">
        <w:t>114</w:t>
      </w:r>
      <w:r w:rsidRPr="006C7946">
        <w:t>/D/</w:t>
      </w:r>
      <w:r w:rsidRPr="00D83A61">
        <w:t>2038</w:t>
      </w:r>
      <w:r w:rsidRPr="006C7946">
        <w:t>/</w:t>
      </w:r>
      <w:r w:rsidRPr="00D83A61">
        <w:t>2011</w:t>
      </w:r>
      <w:r w:rsidRPr="006C7946">
        <w:rPr>
          <w:rtl/>
        </w:rPr>
        <w:t>)، الفقرة</w:t>
      </w:r>
      <w:r w:rsidRPr="00D83A61">
        <w:rPr>
          <w:rtl/>
        </w:rPr>
        <w:t>10</w:t>
      </w:r>
      <w:r w:rsidRPr="006C7946">
        <w:rPr>
          <w:rtl/>
        </w:rPr>
        <w:t>-</w:t>
      </w:r>
      <w:r w:rsidRPr="00D83A61">
        <w:rPr>
          <w:rtl/>
        </w:rPr>
        <w:t>9</w:t>
      </w:r>
      <w:r w:rsidRPr="006C7946">
        <w:rPr>
          <w:rtl/>
        </w:rPr>
        <w:t xml:space="preserve">؛ وقضية </w:t>
      </w:r>
      <w:r w:rsidRPr="00D83A61">
        <w:rPr>
          <w:i/>
          <w:iCs/>
          <w:rtl/>
        </w:rPr>
        <w:t>سيرنا وآخرون ضد كولومبيا</w:t>
      </w:r>
      <w:r w:rsidRPr="006C7946">
        <w:rPr>
          <w:rtl/>
        </w:rPr>
        <w:t xml:space="preserve">، الفقرة </w:t>
      </w:r>
      <w:r w:rsidRPr="00D83A61">
        <w:rPr>
          <w:rtl/>
        </w:rPr>
        <w:t>9</w:t>
      </w:r>
      <w:r w:rsidRPr="006C7946">
        <w:rPr>
          <w:rtl/>
        </w:rPr>
        <w:t>-</w:t>
      </w:r>
      <w:r w:rsidRPr="00D83A61">
        <w:rPr>
          <w:rtl/>
        </w:rPr>
        <w:t>5</w:t>
      </w:r>
      <w:r w:rsidRPr="006C7946">
        <w:rPr>
          <w:rtl/>
        </w:rPr>
        <w:t>.</w:t>
      </w:r>
    </w:p>
  </w:footnote>
  <w:footnote w:id="37">
    <w:p w14:paraId="4D7FBD06" w14:textId="57759464"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6C7946">
        <w:rPr>
          <w:rtl/>
        </w:rPr>
        <w:t xml:space="preserve">قضية </w:t>
      </w:r>
      <w:r w:rsidRPr="00D83A61">
        <w:rPr>
          <w:i/>
          <w:iCs/>
          <w:rtl/>
        </w:rPr>
        <w:t>بوجمعة ضد الجزائر</w:t>
      </w:r>
      <w:r w:rsidRPr="006C7946">
        <w:rPr>
          <w:rtl/>
        </w:rPr>
        <w:t xml:space="preserve">، الفقرة </w:t>
      </w:r>
      <w:r w:rsidRPr="00D83A61">
        <w:rPr>
          <w:rtl/>
        </w:rPr>
        <w:t>8</w:t>
      </w:r>
      <w:r w:rsidRPr="006C7946">
        <w:rPr>
          <w:rtl/>
        </w:rPr>
        <w:t>-</w:t>
      </w:r>
      <w:r w:rsidRPr="00D83A61">
        <w:rPr>
          <w:rtl/>
        </w:rPr>
        <w:t>12</w:t>
      </w:r>
      <w:r w:rsidRPr="006C7946">
        <w:rPr>
          <w:rtl/>
        </w:rPr>
        <w:t xml:space="preserve">؛ وقضية </w:t>
      </w:r>
      <w:proofErr w:type="spellStart"/>
      <w:r w:rsidRPr="00D83A61">
        <w:rPr>
          <w:i/>
          <w:iCs/>
          <w:rtl/>
        </w:rPr>
        <w:t>بوزريبة</w:t>
      </w:r>
      <w:proofErr w:type="spellEnd"/>
      <w:r w:rsidRPr="00D83A61">
        <w:rPr>
          <w:i/>
          <w:iCs/>
          <w:rtl/>
        </w:rPr>
        <w:t xml:space="preserve"> ضد الجزائر</w:t>
      </w:r>
      <w:r w:rsidRPr="006C7946">
        <w:rPr>
          <w:rtl/>
        </w:rPr>
        <w:t xml:space="preserve"> (</w:t>
      </w:r>
      <w:r w:rsidRPr="006C7946">
        <w:t>CCPR/C/</w:t>
      </w:r>
      <w:r w:rsidRPr="00D83A61">
        <w:t>111</w:t>
      </w:r>
      <w:r w:rsidRPr="006C7946">
        <w:t>/D/</w:t>
      </w:r>
      <w:r w:rsidRPr="00D83A61">
        <w:t>1931</w:t>
      </w:r>
      <w:r w:rsidRPr="006C7946">
        <w:t>/</w:t>
      </w:r>
      <w:r w:rsidRPr="00D83A61">
        <w:t>2010</w:t>
      </w:r>
      <w:r w:rsidRPr="006C7946">
        <w:rPr>
          <w:rtl/>
        </w:rPr>
        <w:t xml:space="preserve">)، الفقرة </w:t>
      </w:r>
      <w:r w:rsidRPr="00D83A61">
        <w:rPr>
          <w:rtl/>
        </w:rPr>
        <w:t>8</w:t>
      </w:r>
      <w:r w:rsidRPr="006C7946">
        <w:rPr>
          <w:rtl/>
        </w:rPr>
        <w:t>-</w:t>
      </w:r>
      <w:r w:rsidRPr="00D83A61">
        <w:rPr>
          <w:rtl/>
        </w:rPr>
        <w:t>10</w:t>
      </w:r>
      <w:r w:rsidRPr="006C7946">
        <w:rPr>
          <w:rtl/>
        </w:rPr>
        <w:t>.</w:t>
      </w:r>
    </w:p>
  </w:footnote>
  <w:footnote w:id="38">
    <w:p w14:paraId="4E93C0BD" w14:textId="7560BF87"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6C7946">
        <w:rPr>
          <w:rtl/>
        </w:rPr>
        <w:t xml:space="preserve">قضية </w:t>
      </w:r>
      <w:r w:rsidRPr="00D83A61">
        <w:rPr>
          <w:i/>
          <w:iCs/>
          <w:rtl/>
        </w:rPr>
        <w:t>عليوة وقروان ضد الجزائر</w:t>
      </w:r>
      <w:r w:rsidRPr="006C7946">
        <w:rPr>
          <w:rtl/>
        </w:rPr>
        <w:t xml:space="preserve"> (</w:t>
      </w:r>
      <w:r w:rsidRPr="006C7946">
        <w:t>CCPR/C/</w:t>
      </w:r>
      <w:r w:rsidRPr="00D83A61">
        <w:t>112</w:t>
      </w:r>
      <w:r w:rsidRPr="006C7946">
        <w:t>/D/</w:t>
      </w:r>
      <w:r w:rsidRPr="00D83A61">
        <w:t>2132</w:t>
      </w:r>
      <w:r w:rsidRPr="006C7946">
        <w:t>/</w:t>
      </w:r>
      <w:r w:rsidRPr="00D83A61">
        <w:t>2012</w:t>
      </w:r>
      <w:r w:rsidRPr="006C7946">
        <w:rPr>
          <w:rtl/>
        </w:rPr>
        <w:t xml:space="preserve">)، الفقرة </w:t>
      </w:r>
      <w:r w:rsidRPr="00D83A61">
        <w:rPr>
          <w:rtl/>
        </w:rPr>
        <w:t>7</w:t>
      </w:r>
      <w:r w:rsidRPr="006C7946">
        <w:rPr>
          <w:rtl/>
        </w:rPr>
        <w:t>-</w:t>
      </w:r>
      <w:r w:rsidRPr="00D83A61">
        <w:rPr>
          <w:rtl/>
        </w:rPr>
        <w:t>11</w:t>
      </w:r>
      <w:r w:rsidRPr="006C7946">
        <w:rPr>
          <w:rtl/>
        </w:rPr>
        <w:t>.</w:t>
      </w:r>
    </w:p>
  </w:footnote>
  <w:footnote w:id="39">
    <w:p w14:paraId="5B49E606" w14:textId="1407232F" w:rsidR="00645993" w:rsidRPr="006F28FC" w:rsidRDefault="00645993" w:rsidP="006F28FC">
      <w:pPr>
        <w:pStyle w:val="FootnoteText1"/>
        <w:rPr>
          <w:rFonts w:hint="cs"/>
          <w:rtl/>
        </w:rPr>
      </w:pPr>
      <w:r w:rsidRPr="006F28FC">
        <w:rPr>
          <w:rtl/>
        </w:rPr>
        <w:t>(</w:t>
      </w:r>
      <w:r w:rsidRPr="00D83A61">
        <w:rPr>
          <w:rStyle w:val="FootnoteReference"/>
          <w:vertAlign w:val="baseline"/>
        </w:rPr>
        <w:footnoteRef/>
      </w:r>
      <w:r w:rsidRPr="006F28FC">
        <w:rPr>
          <w:rtl/>
        </w:rPr>
        <w:t>)</w:t>
      </w:r>
      <w:r>
        <w:tab/>
      </w:r>
      <w:r w:rsidRPr="006C7946">
        <w:t>CCPR/C/DZA/CO/</w:t>
      </w:r>
      <w:r w:rsidRPr="00D83A61">
        <w:t>3</w:t>
      </w:r>
      <w:r w:rsidRPr="006C7946">
        <w:rPr>
          <w:rtl/>
        </w:rPr>
        <w:t xml:space="preserve">، الفقرة </w:t>
      </w:r>
      <w:r w:rsidRPr="00D83A61">
        <w:rPr>
          <w:rtl/>
        </w:rPr>
        <w:t>7</w:t>
      </w:r>
      <w:r w:rsidRPr="006C7946">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3CB8" w14:textId="2A20E016" w:rsidR="00645993" w:rsidRPr="00AB6D67" w:rsidRDefault="00645993" w:rsidP="00AB6D6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51453">
      <w:t>CCPR/C/130/D/2843/2016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7E0B" w14:textId="4A7F3EAD" w:rsidR="00645993" w:rsidRPr="00AB6D67" w:rsidRDefault="00645993" w:rsidP="00AB6D6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51453">
      <w:t>CCPR/C/130/D/2843/2016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1A"/>
    <w:rsid w:val="00000BA0"/>
    <w:rsid w:val="000076D5"/>
    <w:rsid w:val="00043663"/>
    <w:rsid w:val="000437B8"/>
    <w:rsid w:val="000505CF"/>
    <w:rsid w:val="000951F1"/>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2D3F5F"/>
    <w:rsid w:val="003068BC"/>
    <w:rsid w:val="003260FF"/>
    <w:rsid w:val="00330C29"/>
    <w:rsid w:val="00343D95"/>
    <w:rsid w:val="00363A18"/>
    <w:rsid w:val="00374341"/>
    <w:rsid w:val="003D1062"/>
    <w:rsid w:val="00402051"/>
    <w:rsid w:val="0041139A"/>
    <w:rsid w:val="00420D7B"/>
    <w:rsid w:val="00450B21"/>
    <w:rsid w:val="00453B63"/>
    <w:rsid w:val="00455780"/>
    <w:rsid w:val="004A14A3"/>
    <w:rsid w:val="004B0A1C"/>
    <w:rsid w:val="004B27E0"/>
    <w:rsid w:val="004D298E"/>
    <w:rsid w:val="004F0CEC"/>
    <w:rsid w:val="005044B3"/>
    <w:rsid w:val="00507C1E"/>
    <w:rsid w:val="00517BC9"/>
    <w:rsid w:val="0054472E"/>
    <w:rsid w:val="005662A9"/>
    <w:rsid w:val="005806E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45468"/>
    <w:rsid w:val="00645993"/>
    <w:rsid w:val="00652221"/>
    <w:rsid w:val="00656392"/>
    <w:rsid w:val="006645EC"/>
    <w:rsid w:val="0068781D"/>
    <w:rsid w:val="006959B0"/>
    <w:rsid w:val="006B3E27"/>
    <w:rsid w:val="006B6507"/>
    <w:rsid w:val="006C104C"/>
    <w:rsid w:val="006C632E"/>
    <w:rsid w:val="006C7946"/>
    <w:rsid w:val="006D2692"/>
    <w:rsid w:val="006F28FC"/>
    <w:rsid w:val="00717FB3"/>
    <w:rsid w:val="00730446"/>
    <w:rsid w:val="00733704"/>
    <w:rsid w:val="0078071A"/>
    <w:rsid w:val="00787022"/>
    <w:rsid w:val="00787E1E"/>
    <w:rsid w:val="00852A9A"/>
    <w:rsid w:val="008C6159"/>
    <w:rsid w:val="008F49E1"/>
    <w:rsid w:val="0090370F"/>
    <w:rsid w:val="009269D2"/>
    <w:rsid w:val="00942135"/>
    <w:rsid w:val="009521B0"/>
    <w:rsid w:val="00957437"/>
    <w:rsid w:val="00982139"/>
    <w:rsid w:val="009867A8"/>
    <w:rsid w:val="00991F44"/>
    <w:rsid w:val="009A0CFB"/>
    <w:rsid w:val="009A7E9F"/>
    <w:rsid w:val="009C17EC"/>
    <w:rsid w:val="009D4BAD"/>
    <w:rsid w:val="009E5018"/>
    <w:rsid w:val="00A03700"/>
    <w:rsid w:val="00A053F2"/>
    <w:rsid w:val="00A12B37"/>
    <w:rsid w:val="00A35DE8"/>
    <w:rsid w:val="00A36E8E"/>
    <w:rsid w:val="00A51453"/>
    <w:rsid w:val="00A54828"/>
    <w:rsid w:val="00A76BB2"/>
    <w:rsid w:val="00A82124"/>
    <w:rsid w:val="00A97E1F"/>
    <w:rsid w:val="00AB512E"/>
    <w:rsid w:val="00AB5E1A"/>
    <w:rsid w:val="00AB6758"/>
    <w:rsid w:val="00AB6D67"/>
    <w:rsid w:val="00AB727F"/>
    <w:rsid w:val="00B13763"/>
    <w:rsid w:val="00B22CDF"/>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83A61"/>
    <w:rsid w:val="00D914A7"/>
    <w:rsid w:val="00DC4D4B"/>
    <w:rsid w:val="00DD13C3"/>
    <w:rsid w:val="00DD596E"/>
    <w:rsid w:val="00DD621E"/>
    <w:rsid w:val="00DE50B1"/>
    <w:rsid w:val="00DF0138"/>
    <w:rsid w:val="00DF0575"/>
    <w:rsid w:val="00E2228E"/>
    <w:rsid w:val="00E70E04"/>
    <w:rsid w:val="00E714E0"/>
    <w:rsid w:val="00E77E6C"/>
    <w:rsid w:val="00E83ED5"/>
    <w:rsid w:val="00EC05A7"/>
    <w:rsid w:val="00EC4B6B"/>
    <w:rsid w:val="00EC68A5"/>
    <w:rsid w:val="00ED7442"/>
    <w:rsid w:val="00EF1EE5"/>
    <w:rsid w:val="00EF5C43"/>
    <w:rsid w:val="00F10B90"/>
    <w:rsid w:val="00F10DAB"/>
    <w:rsid w:val="00F46D42"/>
    <w:rsid w:val="00F763B4"/>
    <w:rsid w:val="00F900C3"/>
    <w:rsid w:val="00FA2721"/>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E085B3"/>
  <w15:docId w15:val="{32D10846-0ED3-41D8-9499-D035B5CF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3847</Words>
  <Characters>30438</Characters>
  <Application>Microsoft Office Word</Application>
  <DocSecurity>0</DocSecurity>
  <Lines>3382</Lines>
  <Paragraphs>2142</Paragraphs>
  <ScaleCrop>false</ScaleCrop>
  <HeadingPairs>
    <vt:vector size="2" baseType="variant">
      <vt:variant>
        <vt:lpstr>Title</vt:lpstr>
      </vt:variant>
      <vt:variant>
        <vt:i4>1</vt:i4>
      </vt:variant>
    </vt:vector>
  </HeadingPairs>
  <TitlesOfParts>
    <vt:vector size="1" baseType="lpstr">
      <vt:lpstr>CCPR/C/130/D/2843/2016</vt:lpstr>
    </vt:vector>
  </TitlesOfParts>
  <Company>DCM</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CCPR/C/130/D/2843/2016</dc:title>
  <dc:subject>GE.2103102(A)</dc:subject>
  <dc:creator>Gamal MAHMOUD - MBOU</dc:creator>
  <cp:keywords>GE.2105704(A)</cp:keywords>
  <dc:description>Distr.: General_x000d_
5 March 2021_x000d_
Original: French</dc:description>
  <cp:lastModifiedBy>Gamal MAHMOUD</cp:lastModifiedBy>
  <cp:revision>3</cp:revision>
  <cp:lastPrinted>2021-04-13T16:32:00Z</cp:lastPrinted>
  <dcterms:created xsi:type="dcterms:W3CDTF">2021-04-13T16:32:00Z</dcterms:created>
  <dcterms:modified xsi:type="dcterms:W3CDTF">2021-04-13T16:32:00Z</dcterms:modified>
  <cp:category>Finale</cp:category>
</cp:coreProperties>
</file>