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22A03FF" w14:textId="77777777" w:rsidTr="005B51C4">
        <w:trPr>
          <w:trHeight w:hRule="exact" w:val="851"/>
        </w:trPr>
        <w:tc>
          <w:tcPr>
            <w:tcW w:w="1274" w:type="dxa"/>
            <w:tcBorders>
              <w:bottom w:val="single" w:sz="4" w:space="0" w:color="auto"/>
            </w:tcBorders>
            <w:shd w:val="clear" w:color="auto" w:fill="auto"/>
          </w:tcPr>
          <w:p w14:paraId="5DFFCB2E" w14:textId="77777777" w:rsidR="006B3E27" w:rsidRPr="00C175A6" w:rsidRDefault="006B3E27" w:rsidP="008C3FB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9228F1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DD7FDA1" w14:textId="5E71FB8E" w:rsidR="006B3E27" w:rsidRPr="00A235E2" w:rsidRDefault="00A235E2" w:rsidP="00A235E2">
            <w:pPr>
              <w:bidi w:val="0"/>
              <w:rPr>
                <w:szCs w:val="20"/>
              </w:rPr>
            </w:pPr>
            <w:r w:rsidRPr="00A235E2">
              <w:rPr>
                <w:sz w:val="40"/>
                <w:szCs w:val="20"/>
              </w:rPr>
              <w:t>CCPR</w:t>
            </w:r>
            <w:r>
              <w:rPr>
                <w:szCs w:val="20"/>
              </w:rPr>
              <w:t>/C/132/2</w:t>
            </w:r>
          </w:p>
        </w:tc>
      </w:tr>
      <w:tr w:rsidR="006B3E27" w:rsidRPr="00C175A6" w14:paraId="60B8DAD3" w14:textId="77777777" w:rsidTr="005B51C4">
        <w:trPr>
          <w:trHeight w:hRule="exact" w:val="2835"/>
        </w:trPr>
        <w:tc>
          <w:tcPr>
            <w:tcW w:w="1274" w:type="dxa"/>
            <w:tcBorders>
              <w:top w:val="single" w:sz="4" w:space="0" w:color="auto"/>
              <w:bottom w:val="single" w:sz="12" w:space="0" w:color="auto"/>
            </w:tcBorders>
            <w:shd w:val="clear" w:color="auto" w:fill="auto"/>
          </w:tcPr>
          <w:p w14:paraId="00E826E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5154AF9" wp14:editId="3CE9F0F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528460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79620BC" w14:textId="77777777" w:rsidR="006B3E27" w:rsidRDefault="00A235E2" w:rsidP="004B27E0">
            <w:pPr>
              <w:bidi w:val="0"/>
              <w:spacing w:before="240"/>
              <w:rPr>
                <w:szCs w:val="20"/>
              </w:rPr>
            </w:pPr>
            <w:r>
              <w:rPr>
                <w:szCs w:val="20"/>
              </w:rPr>
              <w:t>Distr.: General</w:t>
            </w:r>
          </w:p>
          <w:p w14:paraId="79E683B0" w14:textId="71377691" w:rsidR="00A235E2" w:rsidRDefault="00B11B84" w:rsidP="00A235E2">
            <w:pPr>
              <w:bidi w:val="0"/>
              <w:spacing w:line="240" w:lineRule="exact"/>
              <w:jc w:val="left"/>
              <w:rPr>
                <w:szCs w:val="20"/>
              </w:rPr>
            </w:pPr>
            <w:r>
              <w:rPr>
                <w:rFonts w:cs="Times New Roman"/>
                <w:szCs w:val="20"/>
              </w:rPr>
              <w:t>6 September 2021</w:t>
            </w:r>
          </w:p>
          <w:p w14:paraId="21E38825" w14:textId="77777777" w:rsidR="00A235E2" w:rsidRDefault="00A235E2" w:rsidP="00A235E2">
            <w:pPr>
              <w:bidi w:val="0"/>
              <w:spacing w:line="240" w:lineRule="exact"/>
              <w:jc w:val="left"/>
              <w:rPr>
                <w:szCs w:val="20"/>
              </w:rPr>
            </w:pPr>
            <w:r>
              <w:rPr>
                <w:szCs w:val="20"/>
              </w:rPr>
              <w:t>Arabic</w:t>
            </w:r>
          </w:p>
          <w:p w14:paraId="55134E8A" w14:textId="38E3AB13" w:rsidR="00A235E2" w:rsidRPr="00A235E2" w:rsidRDefault="00A235E2" w:rsidP="00A235E2">
            <w:pPr>
              <w:bidi w:val="0"/>
              <w:spacing w:line="240" w:lineRule="exact"/>
              <w:jc w:val="left"/>
              <w:rPr>
                <w:szCs w:val="20"/>
              </w:rPr>
            </w:pPr>
            <w:r>
              <w:rPr>
                <w:szCs w:val="20"/>
              </w:rPr>
              <w:t>Original: English</w:t>
            </w:r>
          </w:p>
        </w:tc>
      </w:tr>
    </w:tbl>
    <w:p w14:paraId="2AE133C2" w14:textId="77777777" w:rsidR="00FF02FF" w:rsidRPr="00FF02FF" w:rsidRDefault="00FF02FF" w:rsidP="00FF02FF">
      <w:pPr>
        <w:spacing w:before="120" w:line="360" w:lineRule="exact"/>
        <w:rPr>
          <w:b/>
          <w:bCs/>
          <w:sz w:val="24"/>
          <w:szCs w:val="26"/>
        </w:rPr>
      </w:pPr>
      <w:r w:rsidRPr="00FF02FF">
        <w:rPr>
          <w:b/>
          <w:bCs/>
          <w:sz w:val="24"/>
          <w:szCs w:val="26"/>
          <w:rtl/>
        </w:rPr>
        <w:t>اللجنة المعنية بحقوق الإنسان</w:t>
      </w:r>
    </w:p>
    <w:p w14:paraId="1C8B5100" w14:textId="51F37B7E" w:rsidR="00FF02FF" w:rsidRPr="00FF02FF" w:rsidRDefault="00FF02FF" w:rsidP="00FF02FF">
      <w:pPr>
        <w:pStyle w:val="HChGA"/>
        <w:rPr>
          <w:rFonts w:hint="cs"/>
          <w:rtl/>
        </w:rPr>
      </w:pPr>
      <w:r w:rsidRPr="00FF02FF">
        <w:rPr>
          <w:rtl/>
        </w:rPr>
        <w:tab/>
      </w:r>
      <w:r w:rsidRPr="00FF02FF">
        <w:rPr>
          <w:rtl/>
        </w:rPr>
        <w:tab/>
        <w:t>تقرير متابعة الملاحظات الختامية للجنة المعنية بحقوق الإنسان</w:t>
      </w:r>
      <w:r w:rsidRPr="00FF02FF">
        <w:rPr>
          <w:rStyle w:val="FootnoteReference"/>
          <w:sz w:val="22"/>
          <w:szCs w:val="22"/>
          <w:vertAlign w:val="baseline"/>
          <w:rtl/>
        </w:rPr>
        <w:footnoteReference w:customMarkFollows="1" w:id="1"/>
        <w:t>*</w:t>
      </w:r>
      <w:r>
        <w:rPr>
          <w:rFonts w:hint="cs"/>
          <w:rtl/>
        </w:rPr>
        <w:t xml:space="preserve">  </w:t>
      </w:r>
      <w:bookmarkStart w:id="0" w:name="_Toc506807534"/>
      <w:bookmarkEnd w:id="0"/>
    </w:p>
    <w:p w14:paraId="27AF3755" w14:textId="77777777" w:rsidR="00FF02FF" w:rsidRPr="008C3898" w:rsidRDefault="00FF02FF" w:rsidP="00FF02FF">
      <w:pPr>
        <w:pStyle w:val="SingleTxtGA"/>
        <w:rPr>
          <w:lang w:val="ar-SA" w:eastAsia="zh-TW" w:bidi="en-GB"/>
        </w:rPr>
      </w:pPr>
      <w:r w:rsidRPr="008C3898">
        <w:rPr>
          <w:rtl/>
        </w:rPr>
        <w:t>1-</w:t>
      </w:r>
      <w:r w:rsidRPr="008C3898">
        <w:rPr>
          <w:rtl/>
        </w:rPr>
        <w:tab/>
        <w:t>يجوز للجنة، وفقاً للفقرة 4 من المادة 40 من العهد، أن تعد تقارير متابعة استناداً إلى مختلف مواد العهد وأحكامه، لمساعدة الدول الأطراف على الوفاء بالتزاماتها المتعلقة بتقديم التقارير. و</w:t>
      </w:r>
      <w:r>
        <w:rPr>
          <w:rtl/>
        </w:rPr>
        <w:t xml:space="preserve">قد </w:t>
      </w:r>
      <w:r w:rsidRPr="008C3898">
        <w:rPr>
          <w:rtl/>
        </w:rPr>
        <w:t>أُعد هذا التقرير، المؤلَف من هذه الوثيقة وأربع إضافات</w:t>
      </w:r>
      <w:r>
        <w:rPr>
          <w:rtl/>
        </w:rPr>
        <w:t xml:space="preserve"> (</w:t>
      </w:r>
      <w:r w:rsidRPr="00CE2A5D">
        <w:t>CCPR/C/</w:t>
      </w:r>
      <w:r w:rsidRPr="00C62621">
        <w:t>1</w:t>
      </w:r>
      <w:r>
        <w:t>32/2</w:t>
      </w:r>
      <w:r w:rsidRPr="00C62621">
        <w:t>/Adds</w:t>
      </w:r>
      <w:r w:rsidRPr="00CE2A5D">
        <w:t>.1</w:t>
      </w:r>
      <w:r>
        <w:t>–</w:t>
      </w:r>
      <w:r w:rsidRPr="00CE2A5D">
        <w:t>4</w:t>
      </w:r>
      <w:r>
        <w:rPr>
          <w:rtl/>
        </w:rPr>
        <w:t>)</w:t>
      </w:r>
      <w:r w:rsidRPr="008C3898">
        <w:rPr>
          <w:rtl/>
        </w:rPr>
        <w:t>، عملاً بتلك المادة.</w:t>
      </w:r>
    </w:p>
    <w:p w14:paraId="07EA728D" w14:textId="2A4A9C81" w:rsidR="00FF02FF" w:rsidRPr="00320837" w:rsidRDefault="00FF02FF" w:rsidP="00FF02FF">
      <w:pPr>
        <w:pStyle w:val="SingleTxtGA"/>
      </w:pPr>
      <w:r w:rsidRPr="00320837">
        <w:rPr>
          <w:rtl/>
        </w:rPr>
        <w:t>2-</w:t>
      </w:r>
      <w:r w:rsidRPr="00320837">
        <w:rPr>
          <w:rtl/>
        </w:rPr>
        <w:tab/>
        <w:t>وتتضمن الإضافات موجزات المعلومات التي تلقتها المقررة الخاصة المعنية بمتابعة الملاحظات الختامية، والتقييمات والمقررات التي اعتمدتها اللجنة في دورتها 132. وترد حالة متابعة الملاحظات الختامية التي اعتمدتها اللجنة منذ دورتها 105 المعقودة في تموز/يوليه 2012 في جدول متاح على الصفحة الشبكية للجنة</w:t>
      </w:r>
      <w:r w:rsidR="00320837" w:rsidRPr="00320837">
        <w:rPr>
          <w:rFonts w:hint="cs"/>
          <w:vertAlign w:val="superscript"/>
          <w:rtl/>
        </w:rPr>
        <w:t>(</w:t>
      </w:r>
      <w:r w:rsidRPr="00320837">
        <w:rPr>
          <w:vertAlign w:val="superscript"/>
          <w:rtl/>
        </w:rPr>
        <w:footnoteReference w:id="2"/>
      </w:r>
      <w:r w:rsidR="00320837" w:rsidRPr="00320837">
        <w:rPr>
          <w:rFonts w:hint="cs"/>
          <w:vertAlign w:val="superscript"/>
          <w:rtl/>
        </w:rPr>
        <w:t>)</w:t>
      </w:r>
      <w:r w:rsidRPr="00320837">
        <w:rPr>
          <w:rtl/>
        </w:rPr>
        <w:t>. ويرد أدناه موجز لمعايير التقييم</w:t>
      </w:r>
      <w:r w:rsidR="00320837" w:rsidRPr="00320837">
        <w:rPr>
          <w:rFonts w:hint="cs"/>
          <w:vertAlign w:val="superscript"/>
          <w:rtl/>
        </w:rPr>
        <w:t>(</w:t>
      </w:r>
      <w:r w:rsidRPr="00320837">
        <w:rPr>
          <w:vertAlign w:val="superscript"/>
          <w:rtl/>
        </w:rPr>
        <w:footnoteReference w:id="3"/>
      </w:r>
      <w:r w:rsidR="00320837" w:rsidRPr="00320837">
        <w:rPr>
          <w:rFonts w:hint="cs"/>
          <w:vertAlign w:val="superscript"/>
          <w:rtl/>
        </w:rPr>
        <w:t>)</w:t>
      </w:r>
      <w:r w:rsidRPr="00320837">
        <w:rPr>
          <w:rtl/>
        </w:rPr>
        <w:t>.</w:t>
      </w:r>
    </w:p>
    <w:p w14:paraId="48394751" w14:textId="500A4A59" w:rsidR="00FF02FF" w:rsidRPr="008C3898" w:rsidRDefault="00FF02FF" w:rsidP="00320837">
      <w:pPr>
        <w:pStyle w:val="SingleTxtGA"/>
        <w:ind w:left="1928" w:hanging="681"/>
        <w:rPr>
          <w:lang w:val="ar-SA" w:eastAsia="zh-TW" w:bidi="en-GB"/>
        </w:rPr>
      </w:pPr>
      <w:r w:rsidRPr="00320837">
        <w:rPr>
          <w:b/>
          <w:bCs/>
          <w:rtl/>
        </w:rPr>
        <w:t>ألف</w:t>
      </w:r>
      <w:r w:rsidRPr="00320837">
        <w:rPr>
          <w:rFonts w:hint="cs"/>
          <w:b/>
          <w:bCs/>
          <w:rtl/>
        </w:rPr>
        <w:t>-</w:t>
      </w:r>
      <w:r w:rsidRPr="00320837">
        <w:rPr>
          <w:b/>
          <w:bCs/>
          <w:rtl/>
        </w:rPr>
        <w:tab/>
        <w:t>ردٌ/إجراءٌ مُرضٍ إلى حد بعيد:</w:t>
      </w:r>
      <w:r w:rsidRPr="008C3898">
        <w:rPr>
          <w:rtl/>
        </w:rPr>
        <w:t xml:space="preserve"> قدمت الدولة الطرف أدلة على اتخاذ إجراءات هامة لتنفيذ توصية اللجنة.</w:t>
      </w:r>
    </w:p>
    <w:p w14:paraId="5871BBD3" w14:textId="35D307FB" w:rsidR="00FF02FF" w:rsidRPr="0044307A" w:rsidRDefault="00FF02FF" w:rsidP="00320837">
      <w:pPr>
        <w:pStyle w:val="SingleTxtGA"/>
        <w:ind w:left="1928" w:hanging="681"/>
        <w:rPr>
          <w:lang w:eastAsia="zh-TW" w:bidi="en-GB"/>
        </w:rPr>
      </w:pPr>
      <w:r w:rsidRPr="008C3898">
        <w:rPr>
          <w:b/>
          <w:bCs/>
          <w:rtl/>
        </w:rPr>
        <w:t>باء</w:t>
      </w:r>
      <w:r>
        <w:rPr>
          <w:rFonts w:hint="cs"/>
          <w:rtl/>
        </w:rPr>
        <w:t>-</w:t>
      </w:r>
      <w:r w:rsidRPr="008C3898">
        <w:rPr>
          <w:rtl/>
        </w:rPr>
        <w:tab/>
      </w:r>
      <w:r w:rsidRPr="008C3898">
        <w:rPr>
          <w:b/>
          <w:bCs/>
          <w:rtl/>
        </w:rPr>
        <w:t>ردٌ/إجراءٌ مُرضٍ جزئياً</w:t>
      </w:r>
      <w:r w:rsidRPr="008C3898">
        <w:rPr>
          <w:rtl/>
        </w:rPr>
        <w:t>: خَطَت الدولة الطرف خطوات لتنفيذ التوصية، لكن لا يزال يتعيّن عليها تقديم معلومات إضافية أو اتخاذ مزيد من الإجراءات.</w:t>
      </w:r>
    </w:p>
    <w:p w14:paraId="1E3F7FD8" w14:textId="7BE6053E" w:rsidR="00FF02FF" w:rsidRPr="0044307A" w:rsidRDefault="00FF02FF" w:rsidP="00320837">
      <w:pPr>
        <w:pStyle w:val="SingleTxtGA"/>
        <w:ind w:left="1928" w:hanging="681"/>
        <w:rPr>
          <w:lang w:eastAsia="zh-TW" w:bidi="en-GB"/>
        </w:rPr>
      </w:pPr>
      <w:r w:rsidRPr="008C3898">
        <w:rPr>
          <w:b/>
          <w:bCs/>
          <w:rtl/>
        </w:rPr>
        <w:t>جيم</w:t>
      </w:r>
      <w:r>
        <w:rPr>
          <w:rFonts w:hint="cs"/>
          <w:rtl/>
        </w:rPr>
        <w:t>-</w:t>
      </w:r>
      <w:r w:rsidRPr="008C3898">
        <w:rPr>
          <w:rtl/>
        </w:rPr>
        <w:tab/>
      </w:r>
      <w:r w:rsidRPr="008C3898">
        <w:rPr>
          <w:b/>
          <w:bCs/>
          <w:rtl/>
        </w:rPr>
        <w:t>ردٌّ/إجراءٌ غير مُرضٍ</w:t>
      </w:r>
      <w:r w:rsidRPr="008C3898">
        <w:rPr>
          <w:rtl/>
        </w:rPr>
        <w:t>: ورد رد</w:t>
      </w:r>
      <w:r>
        <w:rPr>
          <w:rtl/>
        </w:rPr>
        <w:t>ّ</w:t>
      </w:r>
      <w:r w:rsidRPr="008C3898">
        <w:rPr>
          <w:rtl/>
        </w:rPr>
        <w:t>، لكن الإجراءات التي اتخذتها الدولة الطرف أو المعلومات التي قدمتها هي إما غير ملائمة أو لا تفضي إلى تنفيذ التوصية.</w:t>
      </w:r>
    </w:p>
    <w:p w14:paraId="0518546B" w14:textId="42640C4A" w:rsidR="00FF02FF" w:rsidRPr="008C3898" w:rsidRDefault="00FF02FF" w:rsidP="00320837">
      <w:pPr>
        <w:pStyle w:val="SingleTxtGA"/>
        <w:ind w:left="1928" w:hanging="681"/>
        <w:rPr>
          <w:lang w:val="ar-SA" w:eastAsia="zh-TW" w:bidi="en-GB"/>
        </w:rPr>
      </w:pPr>
      <w:r w:rsidRPr="008C3898">
        <w:rPr>
          <w:b/>
          <w:bCs/>
          <w:rtl/>
        </w:rPr>
        <w:t>دال</w:t>
      </w:r>
      <w:r>
        <w:rPr>
          <w:rFonts w:hint="cs"/>
          <w:rtl/>
        </w:rPr>
        <w:t>-</w:t>
      </w:r>
      <w:r w:rsidRPr="008C3898">
        <w:rPr>
          <w:rtl/>
        </w:rPr>
        <w:tab/>
      </w:r>
      <w:r w:rsidRPr="008C3898">
        <w:rPr>
          <w:b/>
          <w:bCs/>
          <w:rtl/>
        </w:rPr>
        <w:t>عدم التعاون مع اللجنة</w:t>
      </w:r>
      <w:r w:rsidRPr="008C3898">
        <w:rPr>
          <w:rtl/>
        </w:rPr>
        <w:t>: لم يرد أي تقرير متابعة بعد توجيه رسالة (رسائل) تذكير.</w:t>
      </w:r>
    </w:p>
    <w:p w14:paraId="116B4346" w14:textId="13385AF6" w:rsidR="00FF02FF" w:rsidRPr="00320837" w:rsidRDefault="00FF02FF" w:rsidP="00320837">
      <w:pPr>
        <w:pStyle w:val="SingleTxtGA"/>
        <w:ind w:left="1928" w:hanging="681"/>
        <w:rPr>
          <w:b/>
          <w:bCs/>
          <w:szCs w:val="20"/>
          <w:lang w:val="ar-SA" w:eastAsia="zh-TW" w:bidi="en-GB"/>
        </w:rPr>
      </w:pPr>
      <w:r w:rsidRPr="00320837">
        <w:rPr>
          <w:b/>
          <w:bCs/>
          <w:rtl/>
        </w:rPr>
        <w:t>هاء</w:t>
      </w:r>
      <w:r w:rsidRPr="00320837">
        <w:rPr>
          <w:rFonts w:hint="cs"/>
          <w:b/>
          <w:bCs/>
          <w:rtl/>
        </w:rPr>
        <w:t>-</w:t>
      </w:r>
      <w:r w:rsidRPr="00320837">
        <w:rPr>
          <w:b/>
          <w:bCs/>
          <w:rtl/>
        </w:rPr>
        <w:tab/>
        <w:t>المعلومات المقدمة أو التدابير المتخذة تتنافى مع التوصية أو تنم عن رفضها.</w:t>
      </w:r>
    </w:p>
    <w:p w14:paraId="133D874B" w14:textId="3A7C0922" w:rsidR="00FF02FF" w:rsidRPr="00FF02FF" w:rsidRDefault="00FF02FF" w:rsidP="00FF02FF">
      <w:pPr>
        <w:pStyle w:val="SingleTxtGA"/>
        <w:jc w:val="center"/>
        <w:rPr>
          <w:u w:val="single"/>
          <w:rtl/>
        </w:rPr>
      </w:pPr>
      <w:r>
        <w:rPr>
          <w:u w:val="single"/>
          <w:rtl/>
        </w:rPr>
        <w:tab/>
      </w:r>
      <w:r>
        <w:rPr>
          <w:u w:val="single"/>
          <w:rtl/>
        </w:rPr>
        <w:tab/>
      </w:r>
      <w:r>
        <w:rPr>
          <w:u w:val="single"/>
          <w:rtl/>
        </w:rPr>
        <w:tab/>
      </w:r>
    </w:p>
    <w:sectPr w:rsidR="00FF02FF" w:rsidRPr="00FF02FF" w:rsidSect="00A235E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C284" w14:textId="77777777" w:rsidR="00AD7611" w:rsidRPr="002901D9" w:rsidRDefault="00AD7611" w:rsidP="00DC4D4B">
      <w:pPr>
        <w:spacing w:after="60" w:line="240" w:lineRule="auto"/>
        <w:ind w:left="57"/>
        <w:rPr>
          <w:i/>
          <w:iCs/>
        </w:rPr>
      </w:pPr>
      <w:r>
        <w:rPr>
          <w:rFonts w:hint="cs"/>
          <w:i/>
          <w:iCs/>
          <w:rtl/>
        </w:rPr>
        <w:t>الحواشي</w:t>
      </w:r>
    </w:p>
  </w:endnote>
  <w:endnote w:type="continuationSeparator" w:id="0">
    <w:p w14:paraId="5F9516B5" w14:textId="77777777" w:rsidR="00AD7611" w:rsidRDefault="00AD76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B6EA" w14:textId="4D0E0D3F" w:rsidR="008C3FB7" w:rsidRPr="008C3FB7" w:rsidRDefault="008C3FB7" w:rsidP="008C3FB7">
    <w:pPr>
      <w:pStyle w:val="Footer"/>
      <w:tabs>
        <w:tab w:val="right" w:pos="9638"/>
      </w:tabs>
      <w:rPr>
        <w:b/>
        <w:sz w:val="18"/>
        <w:lang w:val="en-US"/>
      </w:rPr>
    </w:pPr>
    <w:r>
      <w:rPr>
        <w:lang w:val="en-US"/>
      </w:rPr>
      <w:t>GE.21-12374</w:t>
    </w:r>
    <w:r>
      <w:rPr>
        <w:lang w:val="en-US"/>
      </w:rPr>
      <w:tab/>
    </w:r>
    <w:r w:rsidRPr="008C3FB7">
      <w:rPr>
        <w:b/>
        <w:sz w:val="18"/>
        <w:lang w:val="en-US"/>
      </w:rPr>
      <w:fldChar w:fldCharType="begin"/>
    </w:r>
    <w:r w:rsidRPr="008C3FB7">
      <w:rPr>
        <w:b/>
        <w:sz w:val="18"/>
        <w:lang w:val="en-US"/>
      </w:rPr>
      <w:instrText xml:space="preserve"> PAGE  \* MERGEFORMAT </w:instrText>
    </w:r>
    <w:r w:rsidRPr="008C3FB7">
      <w:rPr>
        <w:b/>
        <w:sz w:val="18"/>
        <w:lang w:val="en-US"/>
      </w:rPr>
      <w:fldChar w:fldCharType="separate"/>
    </w:r>
    <w:r w:rsidRPr="008C3FB7">
      <w:rPr>
        <w:b/>
        <w:noProof/>
        <w:sz w:val="18"/>
        <w:lang w:val="en-US"/>
      </w:rPr>
      <w:t>2</w:t>
    </w:r>
    <w:r w:rsidRPr="008C3FB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EC42" w14:textId="408A1E8B" w:rsidR="006959B0" w:rsidRPr="008C3FB7" w:rsidRDefault="008C3FB7" w:rsidP="008C3FB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GE.21-12374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2D79" w14:textId="18A7B01A" w:rsidR="00DE50B1" w:rsidRPr="008C3FB7" w:rsidRDefault="008C3FB7" w:rsidP="008C3FB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A3826C6" wp14:editId="08D65FF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21-12374 (A)</w:t>
    </w:r>
    <w:r>
      <w:rPr>
        <w:noProof/>
        <w:sz w:val="20"/>
        <w:lang w:val="en-US"/>
      </w:rPr>
      <w:drawing>
        <wp:anchor distT="0" distB="0" distL="114300" distR="114300" simplePos="0" relativeHeight="251659264" behindDoc="0" locked="0" layoutInCell="1" allowOverlap="1" wp14:anchorId="5786B936" wp14:editId="198C236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607B" w14:textId="77777777" w:rsidR="00AD7611" w:rsidRPr="008A49D2" w:rsidRDefault="00AD7611"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F307F13" w14:textId="77777777" w:rsidR="00AD7611" w:rsidRDefault="00AD7611" w:rsidP="00656392">
      <w:pPr>
        <w:spacing w:line="240" w:lineRule="auto"/>
      </w:pPr>
      <w:r>
        <w:continuationSeparator/>
      </w:r>
    </w:p>
  </w:footnote>
  <w:footnote w:id="1">
    <w:p w14:paraId="0FEAD6C9" w14:textId="02D574EE" w:rsidR="00FF02FF" w:rsidRPr="00FF02FF" w:rsidRDefault="00FF02FF" w:rsidP="00FF02FF">
      <w:pPr>
        <w:pStyle w:val="FootnoteText1"/>
        <w:rPr>
          <w:rFonts w:hint="cs"/>
          <w:rtl/>
        </w:rPr>
      </w:pPr>
      <w:r>
        <w:rPr>
          <w:rtl/>
        </w:rPr>
        <w:t>*</w:t>
      </w:r>
      <w:r>
        <w:rPr>
          <w:rtl/>
        </w:rPr>
        <w:tab/>
      </w:r>
      <w:r w:rsidRPr="00FF02FF">
        <w:rPr>
          <w:rtl/>
        </w:rPr>
        <w:t>اعتمدته اللجنة في دورتها 132 (28 حزيران/يونيه - 23 تموز/يوليه 2021).</w:t>
      </w:r>
    </w:p>
  </w:footnote>
  <w:footnote w:id="2">
    <w:p w14:paraId="2D863D3F" w14:textId="14FDC928" w:rsidR="00FF02FF" w:rsidRPr="00FF02FF" w:rsidRDefault="00FF02FF" w:rsidP="00FF02FF">
      <w:pPr>
        <w:pStyle w:val="FootnoteText1"/>
        <w:rPr>
          <w:spacing w:val="-2"/>
        </w:rPr>
      </w:pPr>
      <w:r w:rsidRPr="00FF02FF">
        <w:rPr>
          <w:rFonts w:hint="cs"/>
          <w:spacing w:val="-2"/>
          <w:rtl/>
        </w:rPr>
        <w:t>(</w:t>
      </w:r>
      <w:r w:rsidRPr="00FF02FF">
        <w:rPr>
          <w:spacing w:val="-2"/>
          <w:rtl/>
        </w:rPr>
        <w:footnoteRef/>
      </w:r>
      <w:r w:rsidRPr="00FF02FF">
        <w:rPr>
          <w:rFonts w:hint="cs"/>
          <w:spacing w:val="-2"/>
          <w:rtl/>
        </w:rPr>
        <w:t>)</w:t>
      </w:r>
      <w:r w:rsidRPr="00FF02FF">
        <w:rPr>
          <w:spacing w:val="-2"/>
          <w:rtl/>
        </w:rPr>
        <w:tab/>
        <w:t xml:space="preserve">انظر(ي) </w:t>
      </w:r>
      <w:r w:rsidRPr="00FF02FF">
        <w:rPr>
          <w:spacing w:val="-2"/>
        </w:rPr>
        <w:t>https://tbinternet.ohchr.org/_layouts/15/treatybodyexternal/SessionDetails1.aspx?SessionID=</w:t>
      </w:r>
      <w:r>
        <w:rPr>
          <w:spacing w:val="-2"/>
        </w:rPr>
        <w:br/>
      </w:r>
      <w:r w:rsidRPr="00FF02FF">
        <w:rPr>
          <w:spacing w:val="-2"/>
        </w:rPr>
        <w:t>2466&amp;Lang=</w:t>
      </w:r>
      <w:proofErr w:type="spellStart"/>
      <w:r w:rsidRPr="00FF02FF">
        <w:rPr>
          <w:spacing w:val="-2"/>
        </w:rPr>
        <w:t>en</w:t>
      </w:r>
      <w:proofErr w:type="spellEnd"/>
      <w:r w:rsidRPr="00FF02FF">
        <w:rPr>
          <w:spacing w:val="-2"/>
          <w:rtl/>
        </w:rPr>
        <w:t>.</w:t>
      </w:r>
    </w:p>
  </w:footnote>
  <w:footnote w:id="3">
    <w:p w14:paraId="11E875C0" w14:textId="74064E4E" w:rsidR="00FF02FF" w:rsidRPr="00F66FEE" w:rsidRDefault="00FF02FF" w:rsidP="00FF02FF">
      <w:pPr>
        <w:pStyle w:val="FootnoteText1"/>
        <w:rPr>
          <w:szCs w:val="20"/>
          <w:lang w:val="ar-SA" w:eastAsia="zh-TW" w:bidi="en-GB"/>
        </w:rPr>
      </w:pPr>
      <w:r>
        <w:rPr>
          <w:rFonts w:hint="cs"/>
          <w:rtl/>
        </w:rPr>
        <w:t>(</w:t>
      </w:r>
      <w:r w:rsidRPr="00FF02FF">
        <w:rPr>
          <w:rtl/>
        </w:rPr>
        <w:footnoteRef/>
      </w:r>
      <w:r>
        <w:rPr>
          <w:rFonts w:hint="cs"/>
          <w:rtl/>
        </w:rPr>
        <w:t>)</w:t>
      </w:r>
      <w:r w:rsidRPr="00FF02FF">
        <w:rPr>
          <w:rtl/>
        </w:rPr>
        <w:tab/>
        <w:t>يمكن الاطلاع على معايير التقييم كاملة في الصفحة الشبكية:</w:t>
      </w:r>
      <w:r w:rsidR="00320837">
        <w:rPr>
          <w:rFonts w:hint="cs"/>
          <w:rtl/>
        </w:rPr>
        <w:t xml:space="preserve"> </w:t>
      </w:r>
      <w:r w:rsidRPr="00FF02FF">
        <w:t>http://tbinternet.ohchr.org/Treaties/CCPR/ Shared</w:t>
      </w:r>
      <w:r>
        <w:br/>
      </w:r>
      <w:r w:rsidRPr="00FF02FF">
        <w:t>%20Documents/1_Global/INT_CCPR_FGD_8108_E.pdf</w:t>
      </w:r>
      <w:r w:rsidRPr="00FF02F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27F6" w14:textId="3FC12792" w:rsidR="008C3FB7" w:rsidRPr="008C3FB7" w:rsidRDefault="008C3FB7" w:rsidP="008C3FB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F1B75">
      <w:t>CCPR/C/132/2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D48F" w14:textId="61CEE3E8" w:rsidR="008C3FB7" w:rsidRPr="008C3FB7" w:rsidRDefault="008C3FB7" w:rsidP="008C3FB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F1B75">
      <w:t>CCPR/C/132/2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11"/>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B49BC"/>
    <w:rsid w:val="003068BC"/>
    <w:rsid w:val="00320837"/>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706FE"/>
    <w:rsid w:val="0078071A"/>
    <w:rsid w:val="00787022"/>
    <w:rsid w:val="00787E1E"/>
    <w:rsid w:val="00852A9A"/>
    <w:rsid w:val="008A49D2"/>
    <w:rsid w:val="008C3FB7"/>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235E2"/>
    <w:rsid w:val="00A54828"/>
    <w:rsid w:val="00A97E1F"/>
    <w:rsid w:val="00AB512E"/>
    <w:rsid w:val="00AB6758"/>
    <w:rsid w:val="00AB727F"/>
    <w:rsid w:val="00AD7611"/>
    <w:rsid w:val="00B11B84"/>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1B75"/>
    <w:rsid w:val="00CF56F9"/>
    <w:rsid w:val="00CF65C6"/>
    <w:rsid w:val="00D00A89"/>
    <w:rsid w:val="00D10EF1"/>
    <w:rsid w:val="00D42810"/>
    <w:rsid w:val="00D60DD5"/>
    <w:rsid w:val="00D81E1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02F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A30376"/>
  <w15:docId w15:val="{870DE595-7244-4A09-A452-C30EEEA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174</Words>
  <Characters>1236</Characters>
  <Application>Microsoft Office Word</Application>
  <DocSecurity>0</DocSecurity>
  <Lines>137</Lines>
  <Paragraphs>82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CCPR/C/132/2</vt:lpstr>
      <vt:lpstr>    تقرير متابعة الملاحظات الختامية للجنة المعنية بحقوق الإنسان*  </vt:lpstr>
      <vt:lpstr>        ألف-	ردٌ/إجراءٌ مُرضٍ إلى حد بعيد: قدمت الدولة الطرف أدلة على اتخاذ إجراءات هام</vt:lpstr>
      <vt:lpstr>        باء-	ردٌ/إجراءٌ مُرضٍ جزئياً: خَطَت الدولة الطرف خطوات لتنفيذ التوصية، لكن لا ي</vt:lpstr>
      <vt:lpstr>        جيم-	ردٌّ/إجراءٌ غير مُرضٍ: ورد ردّ، لكن الإجراءات التي اتخذتها الدولة الطرف أو</vt:lpstr>
      <vt:lpstr>        دال-	عدم التعاون مع اللجنة: لم يرد أي تقرير متابعة بعد توجيه رسالة (رسائل) تذكي</vt:lpstr>
      <vt:lpstr>        هاء-	المعلومات المقدمة أو التدابير المتخذة تتنافى مع التوصية أو تنم عن رفضها.</vt:lpstr>
    </vt:vector>
  </TitlesOfParts>
  <Company>DCM</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dc:title>
  <dc:subject>GE.2112374(A)</dc:subject>
  <dc:creator>bah - JHGOD</dc:creator>
  <cp:keywords>GE.2124408(A)</cp:keywords>
  <dc:description>Distr.: General
6 September 2021
Arabic
Original: English</dc:description>
  <cp:lastModifiedBy>Mohamed Abdallah El Sayed Elbahnassawy</cp:lastModifiedBy>
  <cp:revision>3</cp:revision>
  <cp:lastPrinted>2021-10-25T08:58:00Z</cp:lastPrinted>
  <dcterms:created xsi:type="dcterms:W3CDTF">2021-10-25T08:58:00Z</dcterms:created>
  <dcterms:modified xsi:type="dcterms:W3CDTF">2021-10-25T08:58:00Z</dcterms:modified>
  <cp:category>Finale</cp:category>
</cp:coreProperties>
</file>