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14:paraId="276EB1C7" w14:textId="77777777" w:rsidTr="002B7BC7">
        <w:trPr>
          <w:trHeight w:hRule="exact" w:val="851"/>
        </w:trPr>
        <w:tc>
          <w:tcPr>
            <w:tcW w:w="1276" w:type="dxa"/>
            <w:tcBorders>
              <w:bottom w:val="single" w:sz="4" w:space="0" w:color="auto"/>
            </w:tcBorders>
          </w:tcPr>
          <w:p w14:paraId="52A5B149" w14:textId="77777777" w:rsidR="006F71EA" w:rsidRPr="00DB58B5" w:rsidRDefault="006F71EA" w:rsidP="00B44A2D"/>
        </w:tc>
        <w:tc>
          <w:tcPr>
            <w:tcW w:w="2268" w:type="dxa"/>
            <w:tcBorders>
              <w:bottom w:val="single" w:sz="4" w:space="0" w:color="auto"/>
            </w:tcBorders>
            <w:vAlign w:val="bottom"/>
          </w:tcPr>
          <w:p w14:paraId="398F2EE3" w14:textId="77777777"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45068D7C" w14:textId="6B42B7AE" w:rsidR="006F71EA" w:rsidRPr="00DB58B5" w:rsidRDefault="00B44A2D" w:rsidP="00B44A2D">
            <w:pPr>
              <w:jc w:val="right"/>
            </w:pPr>
            <w:r w:rsidRPr="00B44A2D">
              <w:rPr>
                <w:sz w:val="40"/>
              </w:rPr>
              <w:t>CCPR</w:t>
            </w:r>
            <w:r>
              <w:t>/C/130/D/3639/2019</w:t>
            </w:r>
          </w:p>
        </w:tc>
      </w:tr>
      <w:tr w:rsidR="006F71EA" w:rsidRPr="00DB58B5" w14:paraId="7806C0BA" w14:textId="77777777" w:rsidTr="002B7BC7">
        <w:trPr>
          <w:trHeight w:hRule="exact" w:val="2835"/>
        </w:trPr>
        <w:tc>
          <w:tcPr>
            <w:tcW w:w="1276" w:type="dxa"/>
            <w:tcBorders>
              <w:top w:val="single" w:sz="4" w:space="0" w:color="auto"/>
              <w:bottom w:val="single" w:sz="12" w:space="0" w:color="auto"/>
            </w:tcBorders>
          </w:tcPr>
          <w:p w14:paraId="5CA6F010" w14:textId="77777777" w:rsidR="006F71EA" w:rsidRPr="00DB58B5" w:rsidRDefault="006F71EA" w:rsidP="002B7BC7">
            <w:pPr>
              <w:spacing w:before="120"/>
              <w:jc w:val="center"/>
            </w:pPr>
            <w:r>
              <w:rPr>
                <w:noProof/>
                <w:lang w:eastAsia="fr-CH"/>
              </w:rPr>
              <w:drawing>
                <wp:inline distT="0" distB="0" distL="0" distR="0" wp14:anchorId="3C6DE99E" wp14:editId="5FA8334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B548EAD" w14:textId="77777777" w:rsidR="006F71EA" w:rsidRPr="00AB51C8" w:rsidRDefault="006F71EA" w:rsidP="002B7BC7">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14:paraId="642DDAF6" w14:textId="77777777" w:rsidR="006F71EA" w:rsidRDefault="00B44A2D" w:rsidP="002B7BC7">
            <w:pPr>
              <w:spacing w:before="240"/>
            </w:pPr>
            <w:r>
              <w:t>Distr. générale</w:t>
            </w:r>
          </w:p>
          <w:p w14:paraId="16AD909E" w14:textId="58843EE1" w:rsidR="00B44A2D" w:rsidRDefault="00B44A2D" w:rsidP="00B44A2D">
            <w:pPr>
              <w:spacing w:line="240" w:lineRule="exact"/>
            </w:pPr>
            <w:r>
              <w:t>4 juin 2021</w:t>
            </w:r>
          </w:p>
          <w:p w14:paraId="30509856" w14:textId="77777777" w:rsidR="00B44A2D" w:rsidRDefault="00B44A2D" w:rsidP="00B44A2D">
            <w:pPr>
              <w:spacing w:line="240" w:lineRule="exact"/>
            </w:pPr>
            <w:r>
              <w:t>Français</w:t>
            </w:r>
          </w:p>
          <w:p w14:paraId="45F235CD" w14:textId="13129E57" w:rsidR="00B44A2D" w:rsidRPr="00DB58B5" w:rsidRDefault="00B44A2D" w:rsidP="00B44A2D">
            <w:pPr>
              <w:spacing w:line="240" w:lineRule="exact"/>
            </w:pPr>
            <w:r>
              <w:t>Original : espagnol</w:t>
            </w:r>
          </w:p>
        </w:tc>
      </w:tr>
    </w:tbl>
    <w:p w14:paraId="361C95CF" w14:textId="77777777" w:rsidR="006F71EA" w:rsidRDefault="006F71EA" w:rsidP="006F71EA">
      <w:pPr>
        <w:spacing w:before="120"/>
        <w:rPr>
          <w:b/>
          <w:sz w:val="24"/>
          <w:szCs w:val="24"/>
        </w:rPr>
      </w:pPr>
      <w:r w:rsidRPr="00DF3BF1">
        <w:rPr>
          <w:b/>
          <w:sz w:val="24"/>
          <w:szCs w:val="24"/>
        </w:rPr>
        <w:t>Comité des droits de l’homme</w:t>
      </w:r>
    </w:p>
    <w:p w14:paraId="6695C3E9" w14:textId="6EEB9B10" w:rsidR="00E85C42" w:rsidRDefault="003A41A8" w:rsidP="003A41A8">
      <w:pPr>
        <w:pStyle w:val="HChG"/>
      </w:pPr>
      <w:r>
        <w:rPr>
          <w:lang w:val="fr-FR"/>
        </w:rPr>
        <w:tab/>
      </w:r>
      <w:r>
        <w:rPr>
          <w:lang w:val="fr-FR"/>
        </w:rPr>
        <w:tab/>
      </w:r>
      <w:r w:rsidRPr="00775B2E">
        <w:rPr>
          <w:lang w:val="fr-FR"/>
        </w:rPr>
        <w:t xml:space="preserve">Décision adoptée par le Comité en vertu du Protocole facultatif, concernant la communication </w:t>
      </w:r>
      <w:r w:rsidRPr="00775B2E">
        <w:rPr>
          <w:rFonts w:eastAsia="MS Mincho"/>
          <w:szCs w:val="22"/>
          <w:lang w:val="fr-FR"/>
        </w:rPr>
        <w:t>n</w:t>
      </w:r>
      <w:r w:rsidRPr="00775B2E">
        <w:rPr>
          <w:rFonts w:eastAsia="MS Mincho"/>
          <w:szCs w:val="22"/>
          <w:vertAlign w:val="superscript"/>
          <w:lang w:val="fr-FR"/>
        </w:rPr>
        <w:t>o</w:t>
      </w:r>
      <w:r w:rsidRPr="00775B2E">
        <w:rPr>
          <w:i/>
          <w:lang w:val="fr-FR"/>
        </w:rPr>
        <w:t> </w:t>
      </w:r>
      <w:r w:rsidRPr="007C3495">
        <w:rPr>
          <w:bCs/>
          <w:lang w:val="fr-FR"/>
        </w:rPr>
        <w:t>3639/2019</w:t>
      </w:r>
      <w:r w:rsidRPr="003A41A8">
        <w:rPr>
          <w:rStyle w:val="Appelnotedebasdep"/>
          <w:b w:val="0"/>
          <w:sz w:val="20"/>
          <w:vertAlign w:val="baseline"/>
        </w:rPr>
        <w:footnoteReference w:customMarkFollows="1" w:id="2"/>
        <w:t>*</w:t>
      </w:r>
      <w:r w:rsidRPr="003A41A8">
        <w:rPr>
          <w:rStyle w:val="Appelnotedebasdep"/>
          <w:b w:val="0"/>
          <w:sz w:val="20"/>
        </w:rPr>
        <w:t>,</w:t>
      </w:r>
      <w:r w:rsidRPr="003A41A8">
        <w:rPr>
          <w:b w:val="0"/>
          <w:sz w:val="20"/>
          <w:vertAlign w:val="superscript"/>
        </w:rPr>
        <w:t xml:space="preserve"> </w:t>
      </w:r>
      <w:r w:rsidRPr="003A41A8">
        <w:rPr>
          <w:rStyle w:val="Appelnotedebasdep"/>
          <w:b w:val="0"/>
          <w:sz w:val="20"/>
          <w:vertAlign w:val="baseline"/>
        </w:rPr>
        <w:footnoteReference w:customMarkFollows="1" w:id="3"/>
        <w:t>**</w:t>
      </w:r>
    </w:p>
    <w:tbl>
      <w:tblPr>
        <w:tblW w:w="0" w:type="auto"/>
        <w:tblInd w:w="1701" w:type="dxa"/>
        <w:tblLayout w:type="fixed"/>
        <w:tblCellMar>
          <w:left w:w="0" w:type="dxa"/>
          <w:right w:w="0" w:type="dxa"/>
        </w:tblCellMar>
        <w:tblLook w:val="01E0" w:firstRow="1" w:lastRow="1" w:firstColumn="1" w:lastColumn="1" w:noHBand="0" w:noVBand="0"/>
      </w:tblPr>
      <w:tblGrid>
        <w:gridCol w:w="2977"/>
        <w:gridCol w:w="3828"/>
      </w:tblGrid>
      <w:tr w:rsidR="003A41A8" w14:paraId="2DDFF6FC" w14:textId="77777777" w:rsidTr="00D10629">
        <w:tc>
          <w:tcPr>
            <w:tcW w:w="2977" w:type="dxa"/>
          </w:tcPr>
          <w:p w14:paraId="47C75A4A" w14:textId="77777777" w:rsidR="003A41A8" w:rsidRDefault="003A41A8">
            <w:pPr>
              <w:pStyle w:val="SingleTxtG"/>
              <w:ind w:left="0" w:right="0"/>
              <w:jc w:val="left"/>
              <w:rPr>
                <w:i/>
              </w:rPr>
            </w:pPr>
            <w:r>
              <w:rPr>
                <w:i/>
              </w:rPr>
              <w:t>Communication présentée par</w:t>
            </w:r>
            <w:r>
              <w:t> :</w:t>
            </w:r>
          </w:p>
        </w:tc>
        <w:tc>
          <w:tcPr>
            <w:tcW w:w="3828" w:type="dxa"/>
          </w:tcPr>
          <w:p w14:paraId="45DF983B" w14:textId="17362D76" w:rsidR="003A41A8" w:rsidRDefault="003A41A8">
            <w:pPr>
              <w:pStyle w:val="SingleTxtG"/>
              <w:ind w:left="0" w:right="0"/>
              <w:jc w:val="left"/>
            </w:pPr>
            <w:r w:rsidRPr="007C3495">
              <w:rPr>
                <w:lang w:val="fr-FR"/>
              </w:rPr>
              <w:t>E.</w:t>
            </w:r>
            <w:r w:rsidR="00D10629">
              <w:rPr>
                <w:lang w:val="fr-FR"/>
              </w:rPr>
              <w:t> </w:t>
            </w:r>
            <w:r w:rsidRPr="007C3495">
              <w:rPr>
                <w:lang w:val="fr-FR"/>
              </w:rPr>
              <w:t>I.</w:t>
            </w:r>
            <w:r w:rsidR="00D10629">
              <w:rPr>
                <w:lang w:val="fr-FR"/>
              </w:rPr>
              <w:t> </w:t>
            </w:r>
            <w:r w:rsidRPr="007C3495">
              <w:rPr>
                <w:lang w:val="fr-FR"/>
              </w:rPr>
              <w:t>G.</w:t>
            </w:r>
            <w:r w:rsidR="00D10629">
              <w:rPr>
                <w:lang w:val="fr-FR"/>
              </w:rPr>
              <w:t> </w:t>
            </w:r>
            <w:r w:rsidRPr="007C3495">
              <w:rPr>
                <w:lang w:val="fr-FR"/>
              </w:rPr>
              <w:t>R. (représentée par des conseils, Electra Leda Koutra et Marta Busquets Gallego)</w:t>
            </w:r>
          </w:p>
        </w:tc>
      </w:tr>
      <w:tr w:rsidR="003A41A8" w14:paraId="120ACF14" w14:textId="77777777" w:rsidTr="00D10629">
        <w:tc>
          <w:tcPr>
            <w:tcW w:w="2977" w:type="dxa"/>
          </w:tcPr>
          <w:p w14:paraId="0412FC70" w14:textId="0A7C9350" w:rsidR="003A41A8" w:rsidRDefault="003A41A8">
            <w:pPr>
              <w:pStyle w:val="SingleTxtG"/>
              <w:ind w:left="0" w:right="0"/>
              <w:jc w:val="left"/>
              <w:rPr>
                <w:i/>
              </w:rPr>
            </w:pPr>
            <w:r>
              <w:rPr>
                <w:i/>
              </w:rPr>
              <w:t>Vict</w:t>
            </w:r>
            <w:r w:rsidR="00D10629">
              <w:rPr>
                <w:i/>
              </w:rPr>
              <w:t>i</w:t>
            </w:r>
            <w:r>
              <w:rPr>
                <w:i/>
              </w:rPr>
              <w:t>me(s) présumée(s)</w:t>
            </w:r>
            <w:r>
              <w:t> :</w:t>
            </w:r>
          </w:p>
        </w:tc>
        <w:tc>
          <w:tcPr>
            <w:tcW w:w="3828" w:type="dxa"/>
          </w:tcPr>
          <w:p w14:paraId="676B14D3" w14:textId="4860C7F4" w:rsidR="003A41A8" w:rsidRDefault="003A41A8">
            <w:pPr>
              <w:pStyle w:val="SingleTxtG"/>
              <w:ind w:left="0" w:right="0"/>
              <w:jc w:val="left"/>
            </w:pPr>
            <w:r>
              <w:t>L’auteure</w:t>
            </w:r>
          </w:p>
        </w:tc>
      </w:tr>
      <w:tr w:rsidR="003A41A8" w14:paraId="096D0C5A" w14:textId="77777777" w:rsidTr="00D10629">
        <w:tc>
          <w:tcPr>
            <w:tcW w:w="2977" w:type="dxa"/>
          </w:tcPr>
          <w:p w14:paraId="43B6DF5F" w14:textId="77777777" w:rsidR="003A41A8" w:rsidRDefault="003A41A8">
            <w:pPr>
              <w:pStyle w:val="SingleTxtG"/>
              <w:ind w:left="0" w:right="0"/>
              <w:jc w:val="left"/>
              <w:rPr>
                <w:i/>
              </w:rPr>
            </w:pPr>
            <w:r>
              <w:rPr>
                <w:i/>
              </w:rPr>
              <w:t>État partie</w:t>
            </w:r>
            <w:r>
              <w:t> :</w:t>
            </w:r>
          </w:p>
        </w:tc>
        <w:tc>
          <w:tcPr>
            <w:tcW w:w="3828" w:type="dxa"/>
          </w:tcPr>
          <w:p w14:paraId="59A426B0" w14:textId="1123910A" w:rsidR="003A41A8" w:rsidRDefault="00D10629">
            <w:pPr>
              <w:pStyle w:val="SingleTxtG"/>
              <w:ind w:left="0" w:right="0"/>
              <w:jc w:val="left"/>
            </w:pPr>
            <w:r>
              <w:t>Espagne</w:t>
            </w:r>
          </w:p>
        </w:tc>
      </w:tr>
      <w:tr w:rsidR="003A41A8" w14:paraId="3995F6DB" w14:textId="77777777" w:rsidTr="00D10629">
        <w:tc>
          <w:tcPr>
            <w:tcW w:w="2977" w:type="dxa"/>
          </w:tcPr>
          <w:p w14:paraId="377F8714" w14:textId="7486DC8C" w:rsidR="003A41A8" w:rsidRDefault="003A41A8">
            <w:pPr>
              <w:pStyle w:val="SingleTxtG"/>
              <w:ind w:left="0" w:right="0"/>
              <w:jc w:val="left"/>
              <w:rPr>
                <w:i/>
              </w:rPr>
            </w:pPr>
            <w:r>
              <w:rPr>
                <w:i/>
              </w:rPr>
              <w:t xml:space="preserve">Date de la </w:t>
            </w:r>
            <w:r w:rsidR="00D10629">
              <w:rPr>
                <w:i/>
              </w:rPr>
              <w:t>communication</w:t>
            </w:r>
            <w:r>
              <w:t> :</w:t>
            </w:r>
          </w:p>
        </w:tc>
        <w:tc>
          <w:tcPr>
            <w:tcW w:w="3828" w:type="dxa"/>
          </w:tcPr>
          <w:p w14:paraId="326DCE74" w14:textId="6F9D1162" w:rsidR="003A41A8" w:rsidRDefault="00D10629">
            <w:pPr>
              <w:pStyle w:val="SingleTxtG"/>
              <w:ind w:left="0" w:right="0"/>
              <w:jc w:val="left"/>
            </w:pPr>
            <w:r w:rsidRPr="007C3495">
              <w:rPr>
                <w:lang w:val="fr-FR"/>
              </w:rPr>
              <w:t>30</w:t>
            </w:r>
            <w:r>
              <w:rPr>
                <w:lang w:val="fr-FR"/>
              </w:rPr>
              <w:t> </w:t>
            </w:r>
            <w:r w:rsidRPr="007C3495">
              <w:rPr>
                <w:lang w:val="fr-FR"/>
              </w:rPr>
              <w:t xml:space="preserve">juillet 2019 </w:t>
            </w:r>
            <w:r w:rsidRPr="00775B2E">
              <w:rPr>
                <w:lang w:val="fr-FR"/>
              </w:rPr>
              <w:t>(date de la lettre initiale)</w:t>
            </w:r>
          </w:p>
        </w:tc>
      </w:tr>
      <w:tr w:rsidR="003A41A8" w14:paraId="201F441A" w14:textId="77777777" w:rsidTr="00D10629">
        <w:tc>
          <w:tcPr>
            <w:tcW w:w="2977" w:type="dxa"/>
          </w:tcPr>
          <w:p w14:paraId="492C0AAC" w14:textId="114CFEA9" w:rsidR="003A41A8" w:rsidRDefault="00D10629">
            <w:pPr>
              <w:pStyle w:val="SingleTxtG"/>
              <w:ind w:left="0" w:right="0"/>
              <w:jc w:val="left"/>
              <w:rPr>
                <w:i/>
              </w:rPr>
            </w:pPr>
            <w:r>
              <w:rPr>
                <w:i/>
              </w:rPr>
              <w:t>Références</w:t>
            </w:r>
            <w:r w:rsidR="003A41A8">
              <w:t> :</w:t>
            </w:r>
          </w:p>
        </w:tc>
        <w:tc>
          <w:tcPr>
            <w:tcW w:w="3828" w:type="dxa"/>
            <w:vAlign w:val="bottom"/>
          </w:tcPr>
          <w:p w14:paraId="39A23D87" w14:textId="600BFDD0" w:rsidR="003A41A8" w:rsidRDefault="00D10629">
            <w:pPr>
              <w:pStyle w:val="SingleTxtG"/>
              <w:ind w:left="0" w:right="0"/>
              <w:jc w:val="left"/>
            </w:pPr>
            <w:r w:rsidRPr="007C3495">
              <w:rPr>
                <w:lang w:val="fr-FR"/>
              </w:rPr>
              <w:t xml:space="preserve">Décision prise </w:t>
            </w:r>
            <w:r w:rsidRPr="00775B2E">
              <w:rPr>
                <w:lang w:val="fr-FR"/>
              </w:rPr>
              <w:t>en application de l</w:t>
            </w:r>
            <w:r>
              <w:rPr>
                <w:lang w:val="fr-FR"/>
              </w:rPr>
              <w:t>’</w:t>
            </w:r>
            <w:r w:rsidRPr="00775B2E">
              <w:rPr>
                <w:lang w:val="fr-FR"/>
              </w:rPr>
              <w:t>article</w:t>
            </w:r>
            <w:r>
              <w:rPr>
                <w:lang w:val="fr-FR"/>
              </w:rPr>
              <w:t> </w:t>
            </w:r>
            <w:r w:rsidRPr="00775B2E">
              <w:rPr>
                <w:lang w:val="fr-FR"/>
              </w:rPr>
              <w:t>92 du règlement intérieur du Comité</w:t>
            </w:r>
            <w:r w:rsidRPr="007C3495">
              <w:rPr>
                <w:lang w:val="fr-FR"/>
              </w:rPr>
              <w:t>, communiquée à l</w:t>
            </w:r>
            <w:r>
              <w:rPr>
                <w:lang w:val="fr-FR"/>
              </w:rPr>
              <w:t>’</w:t>
            </w:r>
            <w:r w:rsidRPr="007C3495">
              <w:rPr>
                <w:lang w:val="fr-FR"/>
              </w:rPr>
              <w:t>État partie le 6</w:t>
            </w:r>
            <w:r>
              <w:rPr>
                <w:lang w:val="fr-FR"/>
              </w:rPr>
              <w:t> </w:t>
            </w:r>
            <w:r w:rsidRPr="007C3495">
              <w:rPr>
                <w:lang w:val="fr-FR"/>
              </w:rPr>
              <w:t>août 2019 (non publiée sous forme de document)</w:t>
            </w:r>
          </w:p>
        </w:tc>
      </w:tr>
      <w:tr w:rsidR="00D10629" w14:paraId="0F132B20" w14:textId="77777777" w:rsidTr="00D10629">
        <w:tc>
          <w:tcPr>
            <w:tcW w:w="2977" w:type="dxa"/>
          </w:tcPr>
          <w:p w14:paraId="6735D0BD" w14:textId="49E52CD9" w:rsidR="00D10629" w:rsidRPr="00D10629" w:rsidRDefault="00D10629">
            <w:pPr>
              <w:pStyle w:val="SingleTxtG"/>
              <w:ind w:left="0" w:right="0"/>
              <w:jc w:val="left"/>
              <w:rPr>
                <w:iCs/>
              </w:rPr>
            </w:pPr>
            <w:r>
              <w:rPr>
                <w:i/>
              </w:rPr>
              <w:t>Date de la décision </w:t>
            </w:r>
            <w:r>
              <w:rPr>
                <w:iCs/>
              </w:rPr>
              <w:t>:</w:t>
            </w:r>
          </w:p>
        </w:tc>
        <w:tc>
          <w:tcPr>
            <w:tcW w:w="3828" w:type="dxa"/>
            <w:vAlign w:val="bottom"/>
          </w:tcPr>
          <w:p w14:paraId="1695E231" w14:textId="535F1EC1" w:rsidR="00D10629" w:rsidRPr="007C3495" w:rsidRDefault="00D10629">
            <w:pPr>
              <w:pStyle w:val="SingleTxtG"/>
              <w:ind w:left="0" w:right="0"/>
              <w:jc w:val="left"/>
              <w:rPr>
                <w:lang w:val="fr-FR"/>
              </w:rPr>
            </w:pPr>
            <w:r>
              <w:rPr>
                <w:lang w:val="fr-FR"/>
              </w:rPr>
              <w:t>6 novembre 2020</w:t>
            </w:r>
          </w:p>
        </w:tc>
      </w:tr>
      <w:tr w:rsidR="00D10629" w14:paraId="11B3FC22" w14:textId="77777777" w:rsidTr="00D10629">
        <w:tc>
          <w:tcPr>
            <w:tcW w:w="2977" w:type="dxa"/>
          </w:tcPr>
          <w:p w14:paraId="6E7DF7FD" w14:textId="4E4284A4" w:rsidR="00D10629" w:rsidRDefault="00D10629" w:rsidP="00D10629">
            <w:pPr>
              <w:pStyle w:val="SingleTxtG"/>
              <w:ind w:left="0" w:right="0"/>
              <w:jc w:val="left"/>
              <w:rPr>
                <w:i/>
              </w:rPr>
            </w:pPr>
            <w:r>
              <w:rPr>
                <w:i/>
              </w:rPr>
              <w:t>Objet</w:t>
            </w:r>
            <w:r>
              <w:t> :</w:t>
            </w:r>
          </w:p>
        </w:tc>
        <w:tc>
          <w:tcPr>
            <w:tcW w:w="3828" w:type="dxa"/>
            <w:vAlign w:val="bottom"/>
          </w:tcPr>
          <w:p w14:paraId="719F9214" w14:textId="4B75B342" w:rsidR="00D10629" w:rsidRPr="007C3495" w:rsidRDefault="00D10629" w:rsidP="00D10629">
            <w:pPr>
              <w:pStyle w:val="SingleTxtG"/>
              <w:ind w:left="0" w:right="0"/>
              <w:jc w:val="left"/>
              <w:rPr>
                <w:lang w:val="fr-FR"/>
              </w:rPr>
            </w:pPr>
            <w:r w:rsidRPr="007C3495">
              <w:rPr>
                <w:lang w:val="fr-FR"/>
              </w:rPr>
              <w:t>Déclenchement du travail sans consentement</w:t>
            </w:r>
          </w:p>
        </w:tc>
      </w:tr>
      <w:tr w:rsidR="00D10629" w14:paraId="399BE5B5" w14:textId="77777777" w:rsidTr="00D10629">
        <w:tc>
          <w:tcPr>
            <w:tcW w:w="2977" w:type="dxa"/>
          </w:tcPr>
          <w:p w14:paraId="6C784A1F" w14:textId="0E18887D" w:rsidR="00D10629" w:rsidRDefault="00D10629" w:rsidP="00D10629">
            <w:pPr>
              <w:pStyle w:val="SingleTxtG"/>
              <w:ind w:left="0" w:right="0"/>
              <w:jc w:val="left"/>
              <w:rPr>
                <w:i/>
              </w:rPr>
            </w:pPr>
            <w:r>
              <w:rPr>
                <w:i/>
              </w:rPr>
              <w:t>Questions de procédure</w:t>
            </w:r>
            <w:r>
              <w:t> :</w:t>
            </w:r>
          </w:p>
        </w:tc>
        <w:tc>
          <w:tcPr>
            <w:tcW w:w="3828" w:type="dxa"/>
            <w:vAlign w:val="bottom"/>
          </w:tcPr>
          <w:p w14:paraId="5DC0697E" w14:textId="7F332F06" w:rsidR="00D10629" w:rsidRPr="007C3495" w:rsidRDefault="00D10629" w:rsidP="00D10629">
            <w:pPr>
              <w:pStyle w:val="SingleTxtG"/>
              <w:ind w:left="0" w:right="0"/>
              <w:jc w:val="left"/>
              <w:rPr>
                <w:lang w:val="fr-FR"/>
              </w:rPr>
            </w:pPr>
            <w:r w:rsidRPr="007C3495">
              <w:rPr>
                <w:lang w:val="fr-FR"/>
              </w:rPr>
              <w:t>Épuisement des recours internes</w:t>
            </w:r>
          </w:p>
        </w:tc>
      </w:tr>
      <w:tr w:rsidR="00D10629" w14:paraId="2B7323F2" w14:textId="77777777" w:rsidTr="00D10629">
        <w:tc>
          <w:tcPr>
            <w:tcW w:w="2977" w:type="dxa"/>
          </w:tcPr>
          <w:p w14:paraId="5400AB7C" w14:textId="5E38D935" w:rsidR="00D10629" w:rsidRDefault="00D10629" w:rsidP="00D10629">
            <w:pPr>
              <w:pStyle w:val="SingleTxtG"/>
              <w:ind w:left="0" w:right="0"/>
              <w:jc w:val="left"/>
              <w:rPr>
                <w:i/>
              </w:rPr>
            </w:pPr>
            <w:r>
              <w:rPr>
                <w:i/>
              </w:rPr>
              <w:t>Questions de fond</w:t>
            </w:r>
            <w:r>
              <w:t> :</w:t>
            </w:r>
          </w:p>
        </w:tc>
        <w:tc>
          <w:tcPr>
            <w:tcW w:w="3828" w:type="dxa"/>
            <w:vAlign w:val="bottom"/>
          </w:tcPr>
          <w:p w14:paraId="38BFA6EA" w14:textId="6621B031" w:rsidR="00D10629" w:rsidRPr="007C3495" w:rsidRDefault="00D10629" w:rsidP="00D10629">
            <w:pPr>
              <w:pStyle w:val="SingleTxtG"/>
              <w:ind w:left="0" w:right="0"/>
              <w:jc w:val="left"/>
              <w:rPr>
                <w:lang w:val="fr-FR"/>
              </w:rPr>
            </w:pPr>
            <w:r w:rsidRPr="007C3495">
              <w:rPr>
                <w:lang w:val="fr-FR"/>
              </w:rPr>
              <w:t>Intégrité, autonomie, vie privée, dignité</w:t>
            </w:r>
          </w:p>
        </w:tc>
      </w:tr>
      <w:tr w:rsidR="00D10629" w14:paraId="3D2BE9F2" w14:textId="77777777" w:rsidTr="00D10629">
        <w:tc>
          <w:tcPr>
            <w:tcW w:w="2977" w:type="dxa"/>
          </w:tcPr>
          <w:p w14:paraId="10CF29D1" w14:textId="5D5C29F8" w:rsidR="00D10629" w:rsidRDefault="00D10629" w:rsidP="00D10629">
            <w:pPr>
              <w:pStyle w:val="SingleTxtG"/>
              <w:ind w:left="0" w:right="0"/>
              <w:jc w:val="left"/>
              <w:rPr>
                <w:i/>
              </w:rPr>
            </w:pPr>
            <w:r>
              <w:rPr>
                <w:i/>
              </w:rPr>
              <w:t>Article(s) d</w:t>
            </w:r>
            <w:r>
              <w:rPr>
                <w:i/>
              </w:rPr>
              <w:t>u Pacte</w:t>
            </w:r>
            <w:r>
              <w:t> :</w:t>
            </w:r>
          </w:p>
        </w:tc>
        <w:tc>
          <w:tcPr>
            <w:tcW w:w="3828" w:type="dxa"/>
            <w:vAlign w:val="bottom"/>
          </w:tcPr>
          <w:p w14:paraId="7683E66D" w14:textId="786334F6" w:rsidR="00D10629" w:rsidRPr="007C3495" w:rsidRDefault="00D10629" w:rsidP="00D10629">
            <w:pPr>
              <w:pStyle w:val="SingleTxtG"/>
              <w:ind w:left="0" w:right="0"/>
              <w:jc w:val="left"/>
              <w:rPr>
                <w:lang w:val="fr-FR"/>
              </w:rPr>
            </w:pPr>
            <w:r w:rsidRPr="007C3495">
              <w:rPr>
                <w:lang w:val="fr-FR"/>
              </w:rPr>
              <w:t>7, 9 et 17</w:t>
            </w:r>
          </w:p>
        </w:tc>
      </w:tr>
      <w:tr w:rsidR="00D10629" w14:paraId="1F084A0B" w14:textId="77777777" w:rsidTr="00D10629">
        <w:tc>
          <w:tcPr>
            <w:tcW w:w="2977" w:type="dxa"/>
          </w:tcPr>
          <w:p w14:paraId="28F02659" w14:textId="56F9DDBA" w:rsidR="00D10629" w:rsidRDefault="00D10629" w:rsidP="00D10629">
            <w:pPr>
              <w:pStyle w:val="SingleTxtG"/>
              <w:ind w:left="0" w:right="0"/>
              <w:jc w:val="left"/>
              <w:rPr>
                <w:i/>
              </w:rPr>
            </w:pPr>
            <w:r>
              <w:rPr>
                <w:i/>
              </w:rPr>
              <w:t xml:space="preserve">Article(s) du </w:t>
            </w:r>
            <w:r>
              <w:rPr>
                <w:i/>
              </w:rPr>
              <w:t>Protocole facultatif</w:t>
            </w:r>
            <w:r>
              <w:t> :</w:t>
            </w:r>
          </w:p>
        </w:tc>
        <w:tc>
          <w:tcPr>
            <w:tcW w:w="3828" w:type="dxa"/>
            <w:vAlign w:val="bottom"/>
          </w:tcPr>
          <w:p w14:paraId="1FFBEEE3" w14:textId="6ABE0131" w:rsidR="00D10629" w:rsidRPr="007C3495" w:rsidRDefault="00D10629" w:rsidP="00D10629">
            <w:pPr>
              <w:pStyle w:val="SingleTxtG"/>
              <w:ind w:left="0" w:right="0"/>
              <w:jc w:val="left"/>
              <w:rPr>
                <w:lang w:val="fr-FR"/>
              </w:rPr>
            </w:pPr>
            <w:r w:rsidRPr="007C3495">
              <w:rPr>
                <w:lang w:val="fr-FR"/>
              </w:rPr>
              <w:t>3 et 5 (par.</w:t>
            </w:r>
            <w:r>
              <w:rPr>
                <w:lang w:val="fr-FR"/>
              </w:rPr>
              <w:t> </w:t>
            </w:r>
            <w:r w:rsidRPr="007C3495">
              <w:rPr>
                <w:lang w:val="fr-FR"/>
              </w:rPr>
              <w:t>2</w:t>
            </w:r>
            <w:r>
              <w:rPr>
                <w:lang w:val="fr-FR"/>
              </w:rPr>
              <w:t> </w:t>
            </w:r>
            <w:r w:rsidRPr="007C3495">
              <w:rPr>
                <w:lang w:val="fr-FR"/>
              </w:rPr>
              <w:t>b))</w:t>
            </w:r>
          </w:p>
        </w:tc>
      </w:tr>
    </w:tbl>
    <w:p w14:paraId="75C3B9E4" w14:textId="05587737" w:rsidR="00D10629" w:rsidRPr="00775B2E" w:rsidRDefault="00D10629" w:rsidP="00D10629">
      <w:pPr>
        <w:pStyle w:val="SingleTxtG"/>
        <w:spacing w:before="240"/>
        <w:rPr>
          <w:lang w:val="fr-FR"/>
        </w:rPr>
      </w:pPr>
      <w:r w:rsidRPr="007C3495">
        <w:rPr>
          <w:lang w:val="fr-FR"/>
        </w:rPr>
        <w:t>1.1.</w:t>
      </w:r>
      <w:r w:rsidRPr="007C3495">
        <w:rPr>
          <w:lang w:val="fr-FR"/>
        </w:rPr>
        <w:tab/>
        <w:t>L</w:t>
      </w:r>
      <w:r>
        <w:rPr>
          <w:lang w:val="fr-FR"/>
        </w:rPr>
        <w:t>’</w:t>
      </w:r>
      <w:r w:rsidRPr="007C3495">
        <w:rPr>
          <w:lang w:val="fr-FR"/>
        </w:rPr>
        <w:t xml:space="preserve">auteure de la communication est E. I. G. R., de nationalité espagnole. </w:t>
      </w:r>
      <w:r w:rsidRPr="00775B2E">
        <w:rPr>
          <w:lang w:val="fr-FR"/>
        </w:rPr>
        <w:t>Elle affirme que l</w:t>
      </w:r>
      <w:r>
        <w:rPr>
          <w:lang w:val="fr-FR"/>
        </w:rPr>
        <w:t>’</w:t>
      </w:r>
      <w:r w:rsidRPr="00775B2E">
        <w:rPr>
          <w:lang w:val="fr-FR"/>
        </w:rPr>
        <w:t>État partie a violé les droits qu</w:t>
      </w:r>
      <w:r>
        <w:rPr>
          <w:lang w:val="fr-FR"/>
        </w:rPr>
        <w:t>’</w:t>
      </w:r>
      <w:r w:rsidRPr="00775B2E">
        <w:rPr>
          <w:lang w:val="fr-FR"/>
        </w:rPr>
        <w:t xml:space="preserve">elle tient </w:t>
      </w:r>
      <w:r w:rsidRPr="007C3495">
        <w:rPr>
          <w:lang w:val="fr-FR"/>
        </w:rPr>
        <w:t>des articles</w:t>
      </w:r>
      <w:r>
        <w:rPr>
          <w:lang w:val="fr-FR"/>
        </w:rPr>
        <w:t> </w:t>
      </w:r>
      <w:r w:rsidRPr="007C3495">
        <w:rPr>
          <w:lang w:val="fr-FR"/>
        </w:rPr>
        <w:t>7, 9 et 17 du Pacte. Le Protocole facultatif est entré en vigueur pour l</w:t>
      </w:r>
      <w:r>
        <w:rPr>
          <w:lang w:val="fr-FR"/>
        </w:rPr>
        <w:t>’</w:t>
      </w:r>
      <w:r w:rsidRPr="007C3495">
        <w:rPr>
          <w:lang w:val="fr-FR"/>
        </w:rPr>
        <w:t>État partie le 25</w:t>
      </w:r>
      <w:r>
        <w:rPr>
          <w:lang w:val="fr-FR"/>
        </w:rPr>
        <w:t> </w:t>
      </w:r>
      <w:r w:rsidRPr="007C3495">
        <w:rPr>
          <w:lang w:val="fr-FR"/>
        </w:rPr>
        <w:t>avril 1985. L</w:t>
      </w:r>
      <w:r>
        <w:rPr>
          <w:lang w:val="fr-FR"/>
        </w:rPr>
        <w:t>’</w:t>
      </w:r>
      <w:r w:rsidRPr="007C3495">
        <w:rPr>
          <w:lang w:val="fr-FR"/>
        </w:rPr>
        <w:t>auteure est représentée par des conseils.</w:t>
      </w:r>
    </w:p>
    <w:p w14:paraId="70BF5277" w14:textId="778117CD" w:rsidR="00D10629" w:rsidRPr="00775B2E" w:rsidRDefault="00D10629" w:rsidP="00D10629">
      <w:pPr>
        <w:pStyle w:val="SingleTxtG"/>
        <w:rPr>
          <w:lang w:val="fr-FR"/>
        </w:rPr>
      </w:pPr>
      <w:r w:rsidRPr="007C3495">
        <w:rPr>
          <w:lang w:val="fr-FR"/>
        </w:rPr>
        <w:t>1.2</w:t>
      </w:r>
      <w:r w:rsidRPr="007C3495">
        <w:rPr>
          <w:lang w:val="fr-FR"/>
        </w:rPr>
        <w:tab/>
        <w:t>Le 3</w:t>
      </w:r>
      <w:r>
        <w:rPr>
          <w:lang w:val="fr-FR"/>
        </w:rPr>
        <w:t> </w:t>
      </w:r>
      <w:r w:rsidRPr="007C3495">
        <w:rPr>
          <w:lang w:val="fr-FR"/>
        </w:rPr>
        <w:t xml:space="preserve">juin 2020, </w:t>
      </w:r>
      <w:r w:rsidRPr="00BA7B88">
        <w:rPr>
          <w:lang w:val="fr-FR"/>
        </w:rPr>
        <w:t>conformément à l’article</w:t>
      </w:r>
      <w:r w:rsidRPr="00BA7B88">
        <w:rPr>
          <w:lang w:val="fr-FR"/>
        </w:rPr>
        <w:t> </w:t>
      </w:r>
      <w:r w:rsidRPr="00BA7B88">
        <w:rPr>
          <w:lang w:val="fr-FR"/>
        </w:rPr>
        <w:t>93 de son règlement intérieur, le Comité, agissant par l’intermédiaire des rapporteurs spéciaux chargés</w:t>
      </w:r>
      <w:r w:rsidRPr="007C3495">
        <w:rPr>
          <w:lang w:val="fr-FR"/>
        </w:rPr>
        <w:t xml:space="preserve"> des nouvelles communications et des mesures provisoires, a décidé d</w:t>
      </w:r>
      <w:r>
        <w:rPr>
          <w:lang w:val="fr-FR"/>
        </w:rPr>
        <w:t>’</w:t>
      </w:r>
      <w:r w:rsidRPr="007C3495">
        <w:rPr>
          <w:lang w:val="fr-FR"/>
        </w:rPr>
        <w:t>accepter la demande de l</w:t>
      </w:r>
      <w:r>
        <w:rPr>
          <w:lang w:val="fr-FR"/>
        </w:rPr>
        <w:t>’</w:t>
      </w:r>
      <w:r w:rsidRPr="007C3495">
        <w:rPr>
          <w:lang w:val="fr-FR"/>
        </w:rPr>
        <w:t>État partie, qui l</w:t>
      </w:r>
      <w:r>
        <w:rPr>
          <w:lang w:val="fr-FR"/>
        </w:rPr>
        <w:t>’</w:t>
      </w:r>
      <w:r w:rsidRPr="007C3495">
        <w:rPr>
          <w:lang w:val="fr-FR"/>
        </w:rPr>
        <w:t>avait prié d</w:t>
      </w:r>
      <w:r>
        <w:rPr>
          <w:lang w:val="fr-FR"/>
        </w:rPr>
        <w:t>’</w:t>
      </w:r>
      <w:r w:rsidRPr="007C3495">
        <w:rPr>
          <w:lang w:val="fr-FR"/>
        </w:rPr>
        <w:t>examiner la recevabilité de la communication séparément du fond.</w:t>
      </w:r>
    </w:p>
    <w:p w14:paraId="76CB9C22" w14:textId="77777777" w:rsidR="00D10629" w:rsidRPr="00775B2E" w:rsidRDefault="00D10629" w:rsidP="00D10629">
      <w:pPr>
        <w:pStyle w:val="H23G"/>
        <w:rPr>
          <w:lang w:val="fr-FR"/>
        </w:rPr>
      </w:pPr>
      <w:r w:rsidRPr="007C3495">
        <w:rPr>
          <w:lang w:val="fr-FR"/>
        </w:rPr>
        <w:tab/>
      </w:r>
      <w:r w:rsidRPr="007C3495">
        <w:rPr>
          <w:lang w:val="fr-FR"/>
        </w:rPr>
        <w:tab/>
        <w:t>Rappel des faits présentés par l</w:t>
      </w:r>
      <w:r>
        <w:rPr>
          <w:lang w:val="fr-FR"/>
        </w:rPr>
        <w:t>’</w:t>
      </w:r>
      <w:r w:rsidRPr="007C3495">
        <w:rPr>
          <w:lang w:val="fr-FR"/>
        </w:rPr>
        <w:t>auteure</w:t>
      </w:r>
    </w:p>
    <w:p w14:paraId="7C31BCC2" w14:textId="5FFE1B5B" w:rsidR="00D10629" w:rsidRPr="00775B2E" w:rsidRDefault="00D10629" w:rsidP="00D10629">
      <w:pPr>
        <w:pStyle w:val="SingleTxtG"/>
        <w:rPr>
          <w:lang w:val="fr-FR"/>
        </w:rPr>
      </w:pPr>
      <w:r w:rsidRPr="007C3495">
        <w:rPr>
          <w:lang w:val="fr-FR"/>
        </w:rPr>
        <w:t>2.1</w:t>
      </w:r>
      <w:r w:rsidRPr="007C3495">
        <w:rPr>
          <w:lang w:val="fr-FR"/>
        </w:rPr>
        <w:tab/>
        <w:t>Le 29</w:t>
      </w:r>
      <w:r>
        <w:rPr>
          <w:lang w:val="fr-FR"/>
        </w:rPr>
        <w:t> </w:t>
      </w:r>
      <w:r w:rsidRPr="007C3495">
        <w:rPr>
          <w:lang w:val="fr-FR"/>
        </w:rPr>
        <w:t>juillet 2019, l</w:t>
      </w:r>
      <w:r>
        <w:rPr>
          <w:lang w:val="fr-FR"/>
        </w:rPr>
        <w:t>’</w:t>
      </w:r>
      <w:r w:rsidRPr="007C3495">
        <w:rPr>
          <w:lang w:val="fr-FR"/>
        </w:rPr>
        <w:t>auteure, qui était enceinte de 41</w:t>
      </w:r>
      <w:r>
        <w:rPr>
          <w:lang w:val="fr-FR"/>
        </w:rPr>
        <w:t> </w:t>
      </w:r>
      <w:r w:rsidRPr="007C3495">
        <w:rPr>
          <w:lang w:val="fr-FR"/>
        </w:rPr>
        <w:t>semaines et 1</w:t>
      </w:r>
      <w:r>
        <w:rPr>
          <w:lang w:val="fr-FR"/>
        </w:rPr>
        <w:t> </w:t>
      </w:r>
      <w:r w:rsidRPr="007C3495">
        <w:rPr>
          <w:lang w:val="fr-FR"/>
        </w:rPr>
        <w:t>jour, s</w:t>
      </w:r>
      <w:r>
        <w:rPr>
          <w:lang w:val="fr-FR"/>
        </w:rPr>
        <w:t>’</w:t>
      </w:r>
      <w:r w:rsidRPr="007C3495">
        <w:rPr>
          <w:lang w:val="fr-FR"/>
        </w:rPr>
        <w:t>est rendue à l</w:t>
      </w:r>
      <w:r>
        <w:rPr>
          <w:lang w:val="fr-FR"/>
        </w:rPr>
        <w:t>’</w:t>
      </w:r>
      <w:r w:rsidRPr="007C3495">
        <w:rPr>
          <w:lang w:val="fr-FR"/>
        </w:rPr>
        <w:t xml:space="preserve">hôpital universitaire Rey Juan Carlos de Móstoles pour des examens de routine. </w:t>
      </w:r>
      <w:r w:rsidRPr="007C3495">
        <w:rPr>
          <w:lang w:val="fr-FR"/>
        </w:rPr>
        <w:lastRenderedPageBreak/>
        <w:t>Elle</w:t>
      </w:r>
      <w:r>
        <w:rPr>
          <w:lang w:val="fr-FR"/>
        </w:rPr>
        <w:t> </w:t>
      </w:r>
      <w:r w:rsidRPr="007C3495">
        <w:rPr>
          <w:lang w:val="fr-FR"/>
        </w:rPr>
        <w:t>explique qu</w:t>
      </w:r>
      <w:r>
        <w:rPr>
          <w:lang w:val="fr-FR"/>
        </w:rPr>
        <w:t>’</w:t>
      </w:r>
      <w:r w:rsidRPr="007C3495">
        <w:rPr>
          <w:lang w:val="fr-FR"/>
        </w:rPr>
        <w:t>à cette occasion, elle a présenté un « plan de naissance » qui a été rejeté, et que l</w:t>
      </w:r>
      <w:r>
        <w:rPr>
          <w:lang w:val="fr-FR"/>
        </w:rPr>
        <w:t>’</w:t>
      </w:r>
      <w:r w:rsidRPr="007C3495">
        <w:rPr>
          <w:lang w:val="fr-FR"/>
        </w:rPr>
        <w:t>hôpital l</w:t>
      </w:r>
      <w:r>
        <w:rPr>
          <w:lang w:val="fr-FR"/>
        </w:rPr>
        <w:t>’</w:t>
      </w:r>
      <w:r w:rsidRPr="007C3495">
        <w:rPr>
          <w:lang w:val="fr-FR"/>
        </w:rPr>
        <w:t>a informée qu</w:t>
      </w:r>
      <w:r>
        <w:rPr>
          <w:lang w:val="fr-FR"/>
        </w:rPr>
        <w:t>’</w:t>
      </w:r>
      <w:r w:rsidRPr="007C3495">
        <w:rPr>
          <w:lang w:val="fr-FR"/>
        </w:rPr>
        <w:t>elle devait signer un consentement éclairé. Elle a alors déclaré qu</w:t>
      </w:r>
      <w:r>
        <w:rPr>
          <w:lang w:val="fr-FR"/>
        </w:rPr>
        <w:t>’</w:t>
      </w:r>
      <w:r w:rsidRPr="007C3495">
        <w:rPr>
          <w:lang w:val="fr-FR"/>
        </w:rPr>
        <w:t>elle n</w:t>
      </w:r>
      <w:r>
        <w:rPr>
          <w:lang w:val="fr-FR"/>
        </w:rPr>
        <w:t>’</w:t>
      </w:r>
      <w:r w:rsidRPr="007C3495">
        <w:rPr>
          <w:lang w:val="fr-FR"/>
        </w:rPr>
        <w:t>acceptait de se soumettre à certaines procédures (comme la rupture artificielle de la poche des eaux, ou amniotomie) que si celles-ci étaient rigoureusement nécessaires dans son cas, et non à titre de routine. Toutefois, l</w:t>
      </w:r>
      <w:r>
        <w:rPr>
          <w:lang w:val="fr-FR"/>
        </w:rPr>
        <w:t>’</w:t>
      </w:r>
      <w:r w:rsidRPr="007C3495">
        <w:rPr>
          <w:lang w:val="fr-FR"/>
        </w:rPr>
        <w:t>hôpital l</w:t>
      </w:r>
      <w:r>
        <w:rPr>
          <w:lang w:val="fr-FR"/>
        </w:rPr>
        <w:t>’</w:t>
      </w:r>
      <w:r w:rsidRPr="007C3495">
        <w:rPr>
          <w:lang w:val="fr-FR"/>
        </w:rPr>
        <w:t>a informée que si elle ne signait pas ce consentement éclairé, comme cela lui était proposé, elle ne serait plus reçue comme patiente pour les visites de contrôle du bien-être du fœtus.</w:t>
      </w:r>
    </w:p>
    <w:p w14:paraId="1B235AC9" w14:textId="7CB0C0D2" w:rsidR="00D10629" w:rsidRPr="00775B2E" w:rsidRDefault="00D10629" w:rsidP="00D10629">
      <w:pPr>
        <w:pStyle w:val="SingleTxtG"/>
        <w:rPr>
          <w:lang w:val="fr-FR"/>
        </w:rPr>
      </w:pPr>
      <w:r w:rsidRPr="007C3495">
        <w:rPr>
          <w:lang w:val="fr-FR"/>
        </w:rPr>
        <w:t>2.2</w:t>
      </w:r>
      <w:r w:rsidRPr="007C3495">
        <w:rPr>
          <w:lang w:val="fr-FR"/>
        </w:rPr>
        <w:tab/>
        <w:t>L</w:t>
      </w:r>
      <w:r>
        <w:rPr>
          <w:lang w:val="fr-FR"/>
        </w:rPr>
        <w:t>’</w:t>
      </w:r>
      <w:r w:rsidRPr="007C3495">
        <w:rPr>
          <w:lang w:val="fr-FR"/>
        </w:rPr>
        <w:t>auteure affirme qu</w:t>
      </w:r>
      <w:r>
        <w:rPr>
          <w:lang w:val="fr-FR"/>
        </w:rPr>
        <w:t>’</w:t>
      </w:r>
      <w:r w:rsidRPr="007C3495">
        <w:rPr>
          <w:lang w:val="fr-FR"/>
        </w:rPr>
        <w:t>elle a ensuite été informée que l</w:t>
      </w:r>
      <w:r>
        <w:rPr>
          <w:lang w:val="fr-FR"/>
        </w:rPr>
        <w:t>’</w:t>
      </w:r>
      <w:r w:rsidRPr="007C3495">
        <w:rPr>
          <w:lang w:val="fr-FR"/>
        </w:rPr>
        <w:t>hôpital proposait de déclencher le travail à 41</w:t>
      </w:r>
      <w:r>
        <w:rPr>
          <w:lang w:val="fr-FR"/>
        </w:rPr>
        <w:t> </w:t>
      </w:r>
      <w:r w:rsidRPr="007C3495">
        <w:rPr>
          <w:lang w:val="fr-FR"/>
        </w:rPr>
        <w:t>semaines et 5</w:t>
      </w:r>
      <w:r>
        <w:rPr>
          <w:lang w:val="fr-FR"/>
        </w:rPr>
        <w:t> </w:t>
      </w:r>
      <w:r w:rsidRPr="007C3495">
        <w:rPr>
          <w:lang w:val="fr-FR"/>
        </w:rPr>
        <w:t>jours et lui a demandé de signer un autre formulaire de consentement à ce sujet. Si elle ne donnait pas son accord, elle ne serait plus acceptée comme patiente et le service juridique de l</w:t>
      </w:r>
      <w:r>
        <w:rPr>
          <w:lang w:val="fr-FR"/>
        </w:rPr>
        <w:t>’</w:t>
      </w:r>
      <w:r w:rsidRPr="007C3495">
        <w:rPr>
          <w:lang w:val="fr-FR"/>
        </w:rPr>
        <w:t>hôpital devrait la signaler. À ce moment-là, l</w:t>
      </w:r>
      <w:r>
        <w:rPr>
          <w:lang w:val="fr-FR"/>
        </w:rPr>
        <w:t>’</w:t>
      </w:r>
      <w:r w:rsidRPr="007C3495">
        <w:rPr>
          <w:lang w:val="fr-FR"/>
        </w:rPr>
        <w:t>auteure a fait savoir que, puisqu</w:t>
      </w:r>
      <w:r>
        <w:rPr>
          <w:lang w:val="fr-FR"/>
        </w:rPr>
        <w:t>’</w:t>
      </w:r>
      <w:r w:rsidRPr="007C3495">
        <w:rPr>
          <w:lang w:val="fr-FR"/>
        </w:rPr>
        <w:t>elle et son bébé étaient en bonne santé, elle préférait la « méthode expectante »</w:t>
      </w:r>
      <w:r w:rsidRPr="00DE4E77">
        <w:rPr>
          <w:rStyle w:val="Appelnotedebasdep"/>
        </w:rPr>
        <w:footnoteReference w:id="4"/>
      </w:r>
      <w:r w:rsidRPr="007C3495">
        <w:rPr>
          <w:lang w:val="fr-FR"/>
        </w:rPr>
        <w:t>, consistant à attendre que le travail débute naturellement.</w:t>
      </w:r>
    </w:p>
    <w:p w14:paraId="365E91AF" w14:textId="77777777" w:rsidR="00D10629" w:rsidRPr="00775B2E" w:rsidRDefault="00D10629" w:rsidP="00D10629">
      <w:pPr>
        <w:pStyle w:val="SingleTxtG"/>
        <w:rPr>
          <w:lang w:val="fr-FR"/>
        </w:rPr>
      </w:pPr>
      <w:r w:rsidRPr="007C3495">
        <w:rPr>
          <w:lang w:val="fr-FR"/>
        </w:rPr>
        <w:t>2.3</w:t>
      </w:r>
      <w:r w:rsidRPr="007C3495">
        <w:rPr>
          <w:lang w:val="fr-FR"/>
        </w:rPr>
        <w:tab/>
        <w:t>L</w:t>
      </w:r>
      <w:r>
        <w:rPr>
          <w:lang w:val="fr-FR"/>
        </w:rPr>
        <w:t>’</w:t>
      </w:r>
      <w:r w:rsidRPr="007C3495">
        <w:rPr>
          <w:lang w:val="fr-FR"/>
        </w:rPr>
        <w:t>auteure explique qu</w:t>
      </w:r>
      <w:r>
        <w:rPr>
          <w:lang w:val="fr-FR"/>
        </w:rPr>
        <w:t>’</w:t>
      </w:r>
      <w:r w:rsidRPr="007C3495">
        <w:rPr>
          <w:lang w:val="fr-FR"/>
        </w:rPr>
        <w:t>en Espagne, il est légal d</w:t>
      </w:r>
      <w:r>
        <w:rPr>
          <w:lang w:val="fr-FR"/>
        </w:rPr>
        <w:t>’</w:t>
      </w:r>
      <w:r w:rsidRPr="007C3495">
        <w:rPr>
          <w:lang w:val="fr-FR"/>
        </w:rPr>
        <w:t>engager une sage-femme pour assister une femme pendant son accouchement. Elle affirme cependant qu</w:t>
      </w:r>
      <w:r>
        <w:rPr>
          <w:lang w:val="fr-FR"/>
        </w:rPr>
        <w:t>’</w:t>
      </w:r>
      <w:r w:rsidRPr="007C3495">
        <w:rPr>
          <w:lang w:val="fr-FR"/>
        </w:rPr>
        <w:t>elle n</w:t>
      </w:r>
      <w:r>
        <w:rPr>
          <w:lang w:val="fr-FR"/>
        </w:rPr>
        <w:t>’</w:t>
      </w:r>
      <w:r w:rsidRPr="007C3495">
        <w:rPr>
          <w:lang w:val="fr-FR"/>
        </w:rPr>
        <w:t>en avait pas les moyens financiers. C</w:t>
      </w:r>
      <w:r>
        <w:rPr>
          <w:lang w:val="fr-FR"/>
        </w:rPr>
        <w:t>’</w:t>
      </w:r>
      <w:r w:rsidRPr="007C3495">
        <w:rPr>
          <w:lang w:val="fr-FR"/>
        </w:rPr>
        <w:t>est pourquoi elle a dû avoir recours au système de santé publique.</w:t>
      </w:r>
    </w:p>
    <w:p w14:paraId="6507B70C" w14:textId="77777777" w:rsidR="00D10629" w:rsidRPr="00775B2E" w:rsidRDefault="00D10629" w:rsidP="00D10629">
      <w:pPr>
        <w:pStyle w:val="H23G"/>
        <w:rPr>
          <w:lang w:val="fr-FR"/>
        </w:rPr>
      </w:pPr>
      <w:r w:rsidRPr="007C3495">
        <w:rPr>
          <w:lang w:val="fr-FR"/>
        </w:rPr>
        <w:tab/>
      </w:r>
      <w:r w:rsidRPr="007C3495">
        <w:rPr>
          <w:lang w:val="fr-FR"/>
        </w:rPr>
        <w:tab/>
        <w:t>Teneur de la plainte</w:t>
      </w:r>
    </w:p>
    <w:p w14:paraId="74062458" w14:textId="77777777" w:rsidR="00D10629" w:rsidRPr="00775B2E" w:rsidRDefault="00D10629" w:rsidP="00D10629">
      <w:pPr>
        <w:pStyle w:val="SingleTxtG"/>
        <w:rPr>
          <w:lang w:val="fr-FR"/>
        </w:rPr>
      </w:pPr>
      <w:r w:rsidRPr="007C3495">
        <w:rPr>
          <w:lang w:val="fr-FR"/>
        </w:rPr>
        <w:t>3.1</w:t>
      </w:r>
      <w:r w:rsidRPr="007C3495">
        <w:rPr>
          <w:lang w:val="fr-FR"/>
        </w:rPr>
        <w:tab/>
        <w:t>L</w:t>
      </w:r>
      <w:r>
        <w:rPr>
          <w:lang w:val="fr-FR"/>
        </w:rPr>
        <w:t>’</w:t>
      </w:r>
      <w:r w:rsidRPr="007C3495">
        <w:rPr>
          <w:lang w:val="fr-FR"/>
        </w:rPr>
        <w:t>auteure a voulu que la naissance ait lieu à l</w:t>
      </w:r>
      <w:r>
        <w:rPr>
          <w:lang w:val="fr-FR"/>
        </w:rPr>
        <w:t>’</w:t>
      </w:r>
      <w:r w:rsidRPr="007C3495">
        <w:rPr>
          <w:lang w:val="fr-FR"/>
        </w:rPr>
        <w:t>hôpital, mais en respectant autant que possible les rythmes de la nature. Elle affirme que l</w:t>
      </w:r>
      <w:r>
        <w:rPr>
          <w:lang w:val="fr-FR"/>
        </w:rPr>
        <w:t>’</w:t>
      </w:r>
      <w:r w:rsidRPr="007C3495">
        <w:rPr>
          <w:lang w:val="fr-FR"/>
        </w:rPr>
        <w:t>hôpital a empêché cela depuis le début.</w:t>
      </w:r>
    </w:p>
    <w:p w14:paraId="2AAD2DC5" w14:textId="1326252E" w:rsidR="00D10629" w:rsidRPr="00775B2E" w:rsidRDefault="00D10629" w:rsidP="00D10629">
      <w:pPr>
        <w:pStyle w:val="SingleTxtG"/>
        <w:rPr>
          <w:lang w:val="fr-FR"/>
        </w:rPr>
      </w:pPr>
      <w:r w:rsidRPr="007C3495">
        <w:rPr>
          <w:lang w:val="fr-FR"/>
        </w:rPr>
        <w:t>3.2</w:t>
      </w:r>
      <w:r w:rsidRPr="007C3495">
        <w:rPr>
          <w:lang w:val="fr-FR"/>
        </w:rPr>
        <w:tab/>
        <w:t>L</w:t>
      </w:r>
      <w:r>
        <w:rPr>
          <w:lang w:val="fr-FR"/>
        </w:rPr>
        <w:t>’</w:t>
      </w:r>
      <w:r w:rsidRPr="007C3495">
        <w:rPr>
          <w:lang w:val="fr-FR"/>
        </w:rPr>
        <w:t>auteure affirme qu</w:t>
      </w:r>
      <w:r>
        <w:rPr>
          <w:lang w:val="fr-FR"/>
        </w:rPr>
        <w:t>’</w:t>
      </w:r>
      <w:r w:rsidRPr="007C3495">
        <w:rPr>
          <w:lang w:val="fr-FR"/>
        </w:rPr>
        <w:t>il y a eu récemment à Barcelone et à Oviedo deux cas similaires dans lesquels deux femmes ont été arrêtées sur ordonnance judiciaire urgente et emmenées de force à l</w:t>
      </w:r>
      <w:r>
        <w:rPr>
          <w:lang w:val="fr-FR"/>
        </w:rPr>
        <w:t>’</w:t>
      </w:r>
      <w:r w:rsidRPr="007C3495">
        <w:rPr>
          <w:lang w:val="fr-FR"/>
        </w:rPr>
        <w:t>hôpital, où leur accouchement a été provoqué. Elle explique que l</w:t>
      </w:r>
      <w:r>
        <w:rPr>
          <w:lang w:val="fr-FR"/>
        </w:rPr>
        <w:t>’</w:t>
      </w:r>
      <w:r w:rsidRPr="007C3495">
        <w:rPr>
          <w:lang w:val="fr-FR"/>
        </w:rPr>
        <w:t>avertissement de l</w:t>
      </w:r>
      <w:r>
        <w:rPr>
          <w:lang w:val="fr-FR"/>
        </w:rPr>
        <w:t>’</w:t>
      </w:r>
      <w:r w:rsidRPr="007C3495">
        <w:rPr>
          <w:lang w:val="fr-FR"/>
        </w:rPr>
        <w:t>hôpital lui a fait craindre d</w:t>
      </w:r>
      <w:r>
        <w:rPr>
          <w:lang w:val="fr-FR"/>
        </w:rPr>
        <w:t>’</w:t>
      </w:r>
      <w:r w:rsidRPr="007C3495">
        <w:rPr>
          <w:lang w:val="fr-FR"/>
        </w:rPr>
        <w:t>être elle-aussi arrêtée et de subir ensuite des interventions physiques et chimiques non désirées, ce qui porterait atteinte à sa dignité et à son autonomie en tant que femme enceinte, ainsi qu</w:t>
      </w:r>
      <w:r>
        <w:rPr>
          <w:lang w:val="fr-FR"/>
        </w:rPr>
        <w:t>’</w:t>
      </w:r>
      <w:r w:rsidRPr="007C3495">
        <w:rPr>
          <w:lang w:val="fr-FR"/>
        </w:rPr>
        <w:t xml:space="preserve">à son intégrité et à sa vie privée, en violation des articles </w:t>
      </w:r>
      <w:r>
        <w:rPr>
          <w:lang w:val="fr-FR"/>
        </w:rPr>
        <w:t> </w:t>
      </w:r>
      <w:r w:rsidRPr="007C3495">
        <w:rPr>
          <w:lang w:val="fr-FR"/>
        </w:rPr>
        <w:t>7 et 17 du Pacte.</w:t>
      </w:r>
    </w:p>
    <w:p w14:paraId="50C1A453" w14:textId="77777777" w:rsidR="00D10629" w:rsidRPr="00775B2E" w:rsidRDefault="00D10629" w:rsidP="00D10629">
      <w:pPr>
        <w:pStyle w:val="SingleTxtG"/>
        <w:rPr>
          <w:lang w:val="fr-FR"/>
        </w:rPr>
      </w:pPr>
      <w:r w:rsidRPr="007C3495">
        <w:rPr>
          <w:lang w:val="fr-FR"/>
        </w:rPr>
        <w:t>3.3</w:t>
      </w:r>
      <w:r w:rsidRPr="007C3495">
        <w:rPr>
          <w:lang w:val="fr-FR"/>
        </w:rPr>
        <w:tab/>
        <w:t>L</w:t>
      </w:r>
      <w:r>
        <w:rPr>
          <w:lang w:val="fr-FR"/>
        </w:rPr>
        <w:t>’</w:t>
      </w:r>
      <w:r w:rsidRPr="007C3495">
        <w:rPr>
          <w:lang w:val="fr-FR"/>
        </w:rPr>
        <w:t>auteure fait valoir que c</w:t>
      </w:r>
      <w:r>
        <w:rPr>
          <w:lang w:val="fr-FR"/>
        </w:rPr>
        <w:t>’</w:t>
      </w:r>
      <w:r w:rsidRPr="007C3495">
        <w:rPr>
          <w:lang w:val="fr-FR"/>
        </w:rPr>
        <w:t>est à elle, et non à l</w:t>
      </w:r>
      <w:r>
        <w:rPr>
          <w:lang w:val="fr-FR"/>
        </w:rPr>
        <w:t>’</w:t>
      </w:r>
      <w:r w:rsidRPr="007C3495">
        <w:rPr>
          <w:lang w:val="fr-FR"/>
        </w:rPr>
        <w:t>État partie, qu</w:t>
      </w:r>
      <w:r>
        <w:rPr>
          <w:lang w:val="fr-FR"/>
        </w:rPr>
        <w:t>’</w:t>
      </w:r>
      <w:r w:rsidRPr="007C3495">
        <w:rPr>
          <w:lang w:val="fr-FR"/>
        </w:rPr>
        <w:t>il devrait revenir de décider des circonstances entourant la naissance de son enfant. Toute situation contraire porte atteinte de manière disproportionnée non seulement à sa vie familiale et privée et à son autonomie, mais aussi à sa dignité fondamentale et à son intégrité morale, en la « dépersonnalisant » et en instrumentalisant ses choix.</w:t>
      </w:r>
    </w:p>
    <w:p w14:paraId="2FC9E21D" w14:textId="77777777" w:rsidR="00D10629" w:rsidRPr="00775B2E" w:rsidRDefault="00D10629" w:rsidP="00D10629">
      <w:pPr>
        <w:pStyle w:val="SingleTxtG"/>
        <w:rPr>
          <w:lang w:val="fr-FR"/>
        </w:rPr>
      </w:pPr>
      <w:r w:rsidRPr="007C3495">
        <w:rPr>
          <w:lang w:val="fr-FR"/>
        </w:rPr>
        <w:t>3.4</w:t>
      </w:r>
      <w:r w:rsidRPr="007C3495">
        <w:rPr>
          <w:lang w:val="fr-FR"/>
        </w:rPr>
        <w:tab/>
        <w:t>L</w:t>
      </w:r>
      <w:r>
        <w:rPr>
          <w:lang w:val="fr-FR"/>
        </w:rPr>
        <w:t>’</w:t>
      </w:r>
      <w:r w:rsidRPr="007C3495">
        <w:rPr>
          <w:lang w:val="fr-FR"/>
        </w:rPr>
        <w:t>auteure affirme que les recours internes disponibles auraient été inefficaces puisque la délivrance d</w:t>
      </w:r>
      <w:r>
        <w:rPr>
          <w:lang w:val="fr-FR"/>
        </w:rPr>
        <w:t>’</w:t>
      </w:r>
      <w:r w:rsidRPr="007C3495">
        <w:rPr>
          <w:lang w:val="fr-FR"/>
        </w:rPr>
        <w:t>une ordonnance judiciaire l</w:t>
      </w:r>
      <w:r>
        <w:rPr>
          <w:lang w:val="fr-FR"/>
        </w:rPr>
        <w:t>’</w:t>
      </w:r>
      <w:r w:rsidRPr="007C3495">
        <w:rPr>
          <w:lang w:val="fr-FR"/>
        </w:rPr>
        <w:t>obligeant à se rendre à l</w:t>
      </w:r>
      <w:r>
        <w:rPr>
          <w:lang w:val="fr-FR"/>
        </w:rPr>
        <w:t>’</w:t>
      </w:r>
      <w:r w:rsidRPr="007C3495">
        <w:rPr>
          <w:lang w:val="fr-FR"/>
        </w:rPr>
        <w:t>hôpital pour que l</w:t>
      </w:r>
      <w:r>
        <w:rPr>
          <w:lang w:val="fr-FR"/>
        </w:rPr>
        <w:t>’</w:t>
      </w:r>
      <w:r w:rsidRPr="007C3495">
        <w:rPr>
          <w:lang w:val="fr-FR"/>
        </w:rPr>
        <w:t>accouchement soit déclenché était imminente et qu</w:t>
      </w:r>
      <w:r>
        <w:rPr>
          <w:lang w:val="fr-FR"/>
        </w:rPr>
        <w:t>’</w:t>
      </w:r>
      <w:r w:rsidRPr="007C3495">
        <w:rPr>
          <w:lang w:val="fr-FR"/>
        </w:rPr>
        <w:t>elle n</w:t>
      </w:r>
      <w:r>
        <w:rPr>
          <w:lang w:val="fr-FR"/>
        </w:rPr>
        <w:t>’</w:t>
      </w:r>
      <w:r w:rsidRPr="007C3495">
        <w:rPr>
          <w:lang w:val="fr-FR"/>
        </w:rPr>
        <w:t>aurait pas la possibilité de s</w:t>
      </w:r>
      <w:r>
        <w:rPr>
          <w:lang w:val="fr-FR"/>
        </w:rPr>
        <w:t>’</w:t>
      </w:r>
      <w:r w:rsidRPr="007C3495">
        <w:rPr>
          <w:lang w:val="fr-FR"/>
        </w:rPr>
        <w:t>y opposer étant donné qu</w:t>
      </w:r>
      <w:r>
        <w:rPr>
          <w:lang w:val="fr-FR"/>
        </w:rPr>
        <w:t>’</w:t>
      </w:r>
      <w:r w:rsidRPr="007C3495">
        <w:rPr>
          <w:lang w:val="fr-FR"/>
        </w:rPr>
        <w:t>elle ne serait notifiée que le jour de l</w:t>
      </w:r>
      <w:r>
        <w:rPr>
          <w:lang w:val="fr-FR"/>
        </w:rPr>
        <w:t>’</w:t>
      </w:r>
      <w:r w:rsidRPr="007C3495">
        <w:rPr>
          <w:lang w:val="fr-FR"/>
        </w:rPr>
        <w:t>arrestation. C</w:t>
      </w:r>
      <w:r>
        <w:rPr>
          <w:lang w:val="fr-FR"/>
        </w:rPr>
        <w:t>’</w:t>
      </w:r>
      <w:r w:rsidRPr="007C3495">
        <w:rPr>
          <w:lang w:val="fr-FR"/>
        </w:rPr>
        <w:t>est pourquoi elle a demandé au Comité des mesures provisoires de protection pour ne pas être forcée à se rendre à l</w:t>
      </w:r>
      <w:r>
        <w:rPr>
          <w:lang w:val="fr-FR"/>
        </w:rPr>
        <w:t>’</w:t>
      </w:r>
      <w:r w:rsidRPr="007C3495">
        <w:rPr>
          <w:lang w:val="fr-FR"/>
        </w:rPr>
        <w:t>hôpital où le travail serait déclenché contre son gré.</w:t>
      </w:r>
    </w:p>
    <w:p w14:paraId="6EF443D4" w14:textId="77777777" w:rsidR="00D10629" w:rsidRPr="00775B2E" w:rsidRDefault="00D10629" w:rsidP="00D10629">
      <w:pPr>
        <w:pStyle w:val="H23G"/>
        <w:rPr>
          <w:lang w:val="fr-FR"/>
        </w:rPr>
      </w:pPr>
      <w:r w:rsidRPr="007C3495">
        <w:rPr>
          <w:lang w:val="fr-FR"/>
        </w:rPr>
        <w:tab/>
      </w:r>
      <w:r w:rsidRPr="007C3495">
        <w:rPr>
          <w:lang w:val="fr-FR"/>
        </w:rPr>
        <w:tab/>
        <w:t>Observations de l</w:t>
      </w:r>
      <w:r>
        <w:rPr>
          <w:lang w:val="fr-FR"/>
        </w:rPr>
        <w:t>’</w:t>
      </w:r>
      <w:r w:rsidRPr="007C3495">
        <w:rPr>
          <w:lang w:val="fr-FR"/>
        </w:rPr>
        <w:t>État partie sur la recevabilité</w:t>
      </w:r>
    </w:p>
    <w:p w14:paraId="2BDB1F4B" w14:textId="061CA4FF" w:rsidR="00D10629" w:rsidRPr="00775B2E" w:rsidRDefault="00D10629" w:rsidP="00D10629">
      <w:pPr>
        <w:pStyle w:val="SingleTxtG"/>
        <w:rPr>
          <w:lang w:val="fr-FR"/>
        </w:rPr>
      </w:pPr>
      <w:r w:rsidRPr="007C3495">
        <w:rPr>
          <w:lang w:val="fr-FR"/>
        </w:rPr>
        <w:t>4.1</w:t>
      </w:r>
      <w:r w:rsidRPr="007C3495">
        <w:rPr>
          <w:lang w:val="fr-FR"/>
        </w:rPr>
        <w:tab/>
        <w:t>Dans ses observations du 7</w:t>
      </w:r>
      <w:r>
        <w:rPr>
          <w:lang w:val="fr-FR"/>
        </w:rPr>
        <w:t> </w:t>
      </w:r>
      <w:r w:rsidRPr="007C3495">
        <w:rPr>
          <w:lang w:val="fr-FR"/>
        </w:rPr>
        <w:t>août 2019, l</w:t>
      </w:r>
      <w:r>
        <w:rPr>
          <w:lang w:val="fr-FR"/>
        </w:rPr>
        <w:t>’</w:t>
      </w:r>
      <w:r w:rsidRPr="007C3495">
        <w:rPr>
          <w:lang w:val="fr-FR"/>
        </w:rPr>
        <w:t>État partie réfute la version des faits présentée par l</w:t>
      </w:r>
      <w:r>
        <w:rPr>
          <w:lang w:val="fr-FR"/>
        </w:rPr>
        <w:t>’</w:t>
      </w:r>
      <w:r w:rsidRPr="007C3495">
        <w:rPr>
          <w:lang w:val="fr-FR"/>
        </w:rPr>
        <w:t>auteure et donne sa propre version</w:t>
      </w:r>
      <w:r w:rsidRPr="00775B2E">
        <w:rPr>
          <w:i/>
          <w:lang w:val="fr-FR"/>
        </w:rPr>
        <w:t> </w:t>
      </w:r>
      <w:r w:rsidRPr="007C3495">
        <w:rPr>
          <w:lang w:val="fr-FR"/>
        </w:rPr>
        <w:t>: le 31</w:t>
      </w:r>
      <w:r>
        <w:rPr>
          <w:lang w:val="fr-FR"/>
        </w:rPr>
        <w:t> </w:t>
      </w:r>
      <w:r w:rsidRPr="007C3495">
        <w:rPr>
          <w:lang w:val="fr-FR"/>
        </w:rPr>
        <w:t>juillet 2019 (à 41</w:t>
      </w:r>
      <w:r>
        <w:rPr>
          <w:lang w:val="fr-FR"/>
        </w:rPr>
        <w:t> </w:t>
      </w:r>
      <w:r w:rsidRPr="007C3495">
        <w:rPr>
          <w:lang w:val="fr-FR"/>
        </w:rPr>
        <w:t>semaines et 3</w:t>
      </w:r>
      <w:r w:rsidRPr="00775B2E">
        <w:rPr>
          <w:i/>
          <w:lang w:val="fr-FR"/>
        </w:rPr>
        <w:t> </w:t>
      </w:r>
      <w:r w:rsidRPr="007C3495">
        <w:rPr>
          <w:lang w:val="fr-FR"/>
        </w:rPr>
        <w:t>jours de grossesse), l</w:t>
      </w:r>
      <w:r>
        <w:rPr>
          <w:lang w:val="fr-FR"/>
        </w:rPr>
        <w:t>’</w:t>
      </w:r>
      <w:r w:rsidRPr="007C3495">
        <w:rPr>
          <w:lang w:val="fr-FR"/>
        </w:rPr>
        <w:t>auteure s</w:t>
      </w:r>
      <w:r>
        <w:rPr>
          <w:lang w:val="fr-FR"/>
        </w:rPr>
        <w:t>’</w:t>
      </w:r>
      <w:r w:rsidRPr="007C3495">
        <w:rPr>
          <w:lang w:val="fr-FR"/>
        </w:rPr>
        <w:t>est rendue à l</w:t>
      </w:r>
      <w:r>
        <w:rPr>
          <w:lang w:val="fr-FR"/>
        </w:rPr>
        <w:t>’</w:t>
      </w:r>
      <w:r w:rsidRPr="007C3495">
        <w:rPr>
          <w:lang w:val="fr-FR"/>
        </w:rPr>
        <w:t>hôpital pour un contrôle. Là, le personnel médical lui a expliqué les risques pouvant découler du fait de ne pas déclencher l</w:t>
      </w:r>
      <w:r>
        <w:rPr>
          <w:lang w:val="fr-FR"/>
        </w:rPr>
        <w:t>’</w:t>
      </w:r>
      <w:r w:rsidRPr="007C3495">
        <w:rPr>
          <w:lang w:val="fr-FR"/>
        </w:rPr>
        <w:t>accouchement à partir de la quarante-deuxième semaine et lui ont proposé deux options</w:t>
      </w:r>
      <w:r w:rsidRPr="00775B2E">
        <w:rPr>
          <w:i/>
          <w:lang w:val="fr-FR"/>
        </w:rPr>
        <w:t> </w:t>
      </w:r>
      <w:r w:rsidRPr="007C3495">
        <w:rPr>
          <w:lang w:val="fr-FR"/>
        </w:rPr>
        <w:t>: programmer un déclenchement le 1</w:t>
      </w:r>
      <w:r w:rsidRPr="007C3495">
        <w:rPr>
          <w:vertAlign w:val="superscript"/>
          <w:lang w:val="fr-FR"/>
        </w:rPr>
        <w:t>er</w:t>
      </w:r>
      <w:r>
        <w:rPr>
          <w:lang w:val="fr-FR"/>
        </w:rPr>
        <w:t> </w:t>
      </w:r>
      <w:r w:rsidRPr="007C3495">
        <w:rPr>
          <w:lang w:val="fr-FR"/>
        </w:rPr>
        <w:t>août ou faire un nouvel examen le 2</w:t>
      </w:r>
      <w:r>
        <w:rPr>
          <w:lang w:val="fr-FR"/>
        </w:rPr>
        <w:t> </w:t>
      </w:r>
      <w:r w:rsidRPr="007C3495">
        <w:rPr>
          <w:lang w:val="fr-FR"/>
        </w:rPr>
        <w:t>août (41</w:t>
      </w:r>
      <w:r w:rsidRPr="00775B2E">
        <w:rPr>
          <w:i/>
          <w:lang w:val="fr-FR"/>
        </w:rPr>
        <w:t> </w:t>
      </w:r>
      <w:r w:rsidRPr="007C3495">
        <w:rPr>
          <w:lang w:val="fr-FR"/>
        </w:rPr>
        <w:t>semaines et 5</w:t>
      </w:r>
      <w:r>
        <w:rPr>
          <w:lang w:val="fr-FR"/>
        </w:rPr>
        <w:t> </w:t>
      </w:r>
      <w:r w:rsidRPr="007C3495">
        <w:rPr>
          <w:lang w:val="fr-FR"/>
        </w:rPr>
        <w:t>jours de grossesse). L</w:t>
      </w:r>
      <w:r>
        <w:rPr>
          <w:lang w:val="fr-FR"/>
        </w:rPr>
        <w:t>’</w:t>
      </w:r>
      <w:r w:rsidRPr="007C3495">
        <w:rPr>
          <w:lang w:val="fr-FR"/>
        </w:rPr>
        <w:t>auteure a choisi la deuxième solution. Le 2</w:t>
      </w:r>
      <w:r>
        <w:rPr>
          <w:lang w:val="fr-FR"/>
        </w:rPr>
        <w:t> </w:t>
      </w:r>
      <w:r w:rsidRPr="007C3495">
        <w:rPr>
          <w:lang w:val="fr-FR"/>
        </w:rPr>
        <w:t>août 2019, elle a présenté un « plan de naissance », qui a été rejeté par l</w:t>
      </w:r>
      <w:r>
        <w:rPr>
          <w:lang w:val="fr-FR"/>
        </w:rPr>
        <w:t>’</w:t>
      </w:r>
      <w:r w:rsidRPr="007C3495">
        <w:rPr>
          <w:lang w:val="fr-FR"/>
        </w:rPr>
        <w:t>hôpital. Ce plan a été examiné par une sage-femme, qui a exposé ses doutes à l</w:t>
      </w:r>
      <w:r>
        <w:rPr>
          <w:lang w:val="fr-FR"/>
        </w:rPr>
        <w:t>’</w:t>
      </w:r>
      <w:r w:rsidRPr="007C3495">
        <w:rPr>
          <w:lang w:val="fr-FR"/>
        </w:rPr>
        <w:t>auteure. Deux gynécologues ont de nouveau expliqué les raisons d</w:t>
      </w:r>
      <w:r>
        <w:rPr>
          <w:lang w:val="fr-FR"/>
        </w:rPr>
        <w:t>’</w:t>
      </w:r>
      <w:r w:rsidRPr="007C3495">
        <w:rPr>
          <w:lang w:val="fr-FR"/>
        </w:rPr>
        <w:t>un déclenchement du travail à 4</w:t>
      </w:r>
      <w:r>
        <w:rPr>
          <w:lang w:val="fr-FR"/>
        </w:rPr>
        <w:t>1 </w:t>
      </w:r>
      <w:r w:rsidRPr="007C3495">
        <w:rPr>
          <w:lang w:val="fr-FR"/>
        </w:rPr>
        <w:t>semaines et 6</w:t>
      </w:r>
      <w:r>
        <w:rPr>
          <w:lang w:val="fr-FR"/>
        </w:rPr>
        <w:t> </w:t>
      </w:r>
      <w:r w:rsidRPr="007C3495">
        <w:rPr>
          <w:lang w:val="fr-FR"/>
        </w:rPr>
        <w:t>jours et les risques qu</w:t>
      </w:r>
      <w:r>
        <w:rPr>
          <w:lang w:val="fr-FR"/>
        </w:rPr>
        <w:t>’</w:t>
      </w:r>
      <w:r w:rsidRPr="007C3495">
        <w:rPr>
          <w:lang w:val="fr-FR"/>
        </w:rPr>
        <w:t>entraînait un choix contraire. L</w:t>
      </w:r>
      <w:r>
        <w:rPr>
          <w:lang w:val="fr-FR"/>
        </w:rPr>
        <w:t>’</w:t>
      </w:r>
      <w:r w:rsidRPr="007C3495">
        <w:rPr>
          <w:lang w:val="fr-FR"/>
        </w:rPr>
        <w:t>auteure a refusé le déclenchement du travail et a révoqué le consentement qu</w:t>
      </w:r>
      <w:r>
        <w:rPr>
          <w:lang w:val="fr-FR"/>
        </w:rPr>
        <w:t>’</w:t>
      </w:r>
      <w:r w:rsidRPr="007C3495">
        <w:rPr>
          <w:lang w:val="fr-FR"/>
        </w:rPr>
        <w:t>elle avait signé lors de sa visite du 29</w:t>
      </w:r>
      <w:r>
        <w:rPr>
          <w:lang w:val="fr-FR"/>
        </w:rPr>
        <w:t> </w:t>
      </w:r>
      <w:r w:rsidRPr="007C3495">
        <w:rPr>
          <w:lang w:val="fr-FR"/>
        </w:rPr>
        <w:t>juillet. Les médecins, tout en respectant le droit à l</w:t>
      </w:r>
      <w:r>
        <w:rPr>
          <w:lang w:val="fr-FR"/>
        </w:rPr>
        <w:t>’</w:t>
      </w:r>
      <w:r w:rsidRPr="007C3495">
        <w:rPr>
          <w:lang w:val="fr-FR"/>
        </w:rPr>
        <w:t>autonomie de la patiente, ont expliqué qu</w:t>
      </w:r>
      <w:r>
        <w:rPr>
          <w:lang w:val="fr-FR"/>
        </w:rPr>
        <w:t>’</w:t>
      </w:r>
      <w:r w:rsidRPr="007C3495">
        <w:rPr>
          <w:lang w:val="fr-FR"/>
        </w:rPr>
        <w:t xml:space="preserve">elle devrait assumer la responsabilité de ce choix, </w:t>
      </w:r>
      <w:r w:rsidRPr="007C3495">
        <w:rPr>
          <w:lang w:val="fr-FR"/>
        </w:rPr>
        <w:lastRenderedPageBreak/>
        <w:t>compte tenu des risques qu</w:t>
      </w:r>
      <w:r>
        <w:rPr>
          <w:lang w:val="fr-FR"/>
        </w:rPr>
        <w:t>’</w:t>
      </w:r>
      <w:r w:rsidRPr="007C3495">
        <w:rPr>
          <w:lang w:val="fr-FR"/>
        </w:rPr>
        <w:t>il faisait courir au bébé. L</w:t>
      </w:r>
      <w:r>
        <w:rPr>
          <w:lang w:val="fr-FR"/>
        </w:rPr>
        <w:t>’</w:t>
      </w:r>
      <w:r w:rsidRPr="007C3495">
        <w:rPr>
          <w:lang w:val="fr-FR"/>
        </w:rPr>
        <w:t>avocate de l</w:t>
      </w:r>
      <w:r>
        <w:rPr>
          <w:lang w:val="fr-FR"/>
        </w:rPr>
        <w:t>’</w:t>
      </w:r>
      <w:r w:rsidRPr="007C3495">
        <w:rPr>
          <w:lang w:val="fr-FR"/>
        </w:rPr>
        <w:t>auteure a établi un document demandant un suivi continu jusqu</w:t>
      </w:r>
      <w:r>
        <w:rPr>
          <w:lang w:val="fr-FR"/>
        </w:rPr>
        <w:t>’</w:t>
      </w:r>
      <w:r w:rsidRPr="007C3495">
        <w:rPr>
          <w:lang w:val="fr-FR"/>
        </w:rPr>
        <w:t>à ce que le travail débute spontanément ou que l</w:t>
      </w:r>
      <w:r>
        <w:rPr>
          <w:lang w:val="fr-FR"/>
        </w:rPr>
        <w:t>’</w:t>
      </w:r>
      <w:r w:rsidRPr="007C3495">
        <w:rPr>
          <w:lang w:val="fr-FR"/>
        </w:rPr>
        <w:t>auteure décide de le provoquer. Les médecins ont consulté le service juridique de l</w:t>
      </w:r>
      <w:r>
        <w:rPr>
          <w:lang w:val="fr-FR"/>
        </w:rPr>
        <w:t>’</w:t>
      </w:r>
      <w:r w:rsidRPr="007C3495">
        <w:rPr>
          <w:lang w:val="fr-FR"/>
        </w:rPr>
        <w:t>hôpital et ont refusé de signer ce document, au motif qu</w:t>
      </w:r>
      <w:r>
        <w:rPr>
          <w:lang w:val="fr-FR"/>
        </w:rPr>
        <w:t>’</w:t>
      </w:r>
      <w:r w:rsidRPr="007C3495">
        <w:rPr>
          <w:lang w:val="fr-FR"/>
        </w:rPr>
        <w:t>il allait à l</w:t>
      </w:r>
      <w:r>
        <w:rPr>
          <w:lang w:val="fr-FR"/>
        </w:rPr>
        <w:t>’</w:t>
      </w:r>
      <w:r w:rsidRPr="007C3495">
        <w:rPr>
          <w:lang w:val="fr-FR"/>
        </w:rPr>
        <w:t>encontre de l</w:t>
      </w:r>
      <w:r>
        <w:rPr>
          <w:lang w:val="fr-FR"/>
        </w:rPr>
        <w:t>’</w:t>
      </w:r>
      <w:r w:rsidRPr="007C3495">
        <w:rPr>
          <w:lang w:val="fr-FR"/>
        </w:rPr>
        <w:t>avis médical préconisant un déclenchement à 41</w:t>
      </w:r>
      <w:r>
        <w:rPr>
          <w:lang w:val="fr-FR"/>
        </w:rPr>
        <w:t> </w:t>
      </w:r>
      <w:r w:rsidRPr="007C3495">
        <w:rPr>
          <w:lang w:val="fr-FR"/>
        </w:rPr>
        <w:t>semaines et 6</w:t>
      </w:r>
      <w:r w:rsidRPr="00775B2E">
        <w:rPr>
          <w:i/>
          <w:lang w:val="fr-FR"/>
        </w:rPr>
        <w:t> </w:t>
      </w:r>
      <w:r w:rsidRPr="007C3495">
        <w:rPr>
          <w:lang w:val="fr-FR"/>
        </w:rPr>
        <w:t>jours. De plus, ils ont fait savoir à l</w:t>
      </w:r>
      <w:r>
        <w:rPr>
          <w:lang w:val="fr-FR"/>
        </w:rPr>
        <w:t>’</w:t>
      </w:r>
      <w:r w:rsidRPr="007C3495">
        <w:rPr>
          <w:lang w:val="fr-FR"/>
        </w:rPr>
        <w:t>auteure que, bien que son autonomie prévale, s</w:t>
      </w:r>
      <w:r>
        <w:rPr>
          <w:lang w:val="fr-FR"/>
        </w:rPr>
        <w:t>’</w:t>
      </w:r>
      <w:r w:rsidRPr="007C3495">
        <w:rPr>
          <w:lang w:val="fr-FR"/>
        </w:rPr>
        <w:t>ils estimaient que les risques pour la santé ou la vie du bébé étaient trop élevés, ils devraient en informer les autorités judiciaires.</w:t>
      </w:r>
    </w:p>
    <w:p w14:paraId="104C3CB7" w14:textId="56B50909" w:rsidR="00D10629" w:rsidRPr="00775B2E" w:rsidRDefault="00D10629" w:rsidP="00D10629">
      <w:pPr>
        <w:pStyle w:val="SingleTxtG"/>
        <w:rPr>
          <w:lang w:val="fr-FR"/>
        </w:rPr>
      </w:pPr>
      <w:r w:rsidRPr="007C3495">
        <w:rPr>
          <w:lang w:val="fr-FR"/>
        </w:rPr>
        <w:t>4.2</w:t>
      </w:r>
      <w:r w:rsidRPr="007C3495">
        <w:rPr>
          <w:lang w:val="fr-FR"/>
        </w:rPr>
        <w:tab/>
        <w:t>Le 5</w:t>
      </w:r>
      <w:r>
        <w:rPr>
          <w:lang w:val="fr-FR"/>
        </w:rPr>
        <w:t> </w:t>
      </w:r>
      <w:r w:rsidRPr="007C3495">
        <w:rPr>
          <w:lang w:val="fr-FR"/>
        </w:rPr>
        <w:t>août 2019, l</w:t>
      </w:r>
      <w:r>
        <w:rPr>
          <w:lang w:val="fr-FR"/>
        </w:rPr>
        <w:t>’</w:t>
      </w:r>
      <w:r w:rsidRPr="007C3495">
        <w:rPr>
          <w:lang w:val="fr-FR"/>
        </w:rPr>
        <w:t>auteure est retournée à l</w:t>
      </w:r>
      <w:r>
        <w:rPr>
          <w:lang w:val="fr-FR"/>
        </w:rPr>
        <w:t>’</w:t>
      </w:r>
      <w:r w:rsidRPr="007C3495">
        <w:rPr>
          <w:lang w:val="fr-FR"/>
        </w:rPr>
        <w:t>hôpital après avoir perdu les eaux. À son arrivée, elle a été informée que, compte tenu des risques, il serait nécessaire de déclencher le travail. Elle a accepté et a ensuite demandé une anesthésie péridurale. Son fils est né le 6</w:t>
      </w:r>
      <w:r w:rsidRPr="00775B2E">
        <w:rPr>
          <w:i/>
          <w:lang w:val="fr-FR"/>
        </w:rPr>
        <w:t> </w:t>
      </w:r>
      <w:r w:rsidRPr="007C3495">
        <w:rPr>
          <w:lang w:val="fr-FR"/>
        </w:rPr>
        <w:t>août 2019. Juste après sa naissance, il a eu besoin de quelques soins de réanimation, ce qui faisait partie des risques courants qui avaient été exposés à l</w:t>
      </w:r>
      <w:r>
        <w:rPr>
          <w:lang w:val="fr-FR"/>
        </w:rPr>
        <w:t>’</w:t>
      </w:r>
      <w:r w:rsidRPr="007C3495">
        <w:rPr>
          <w:lang w:val="fr-FR"/>
        </w:rPr>
        <w:t>auteure. Il a été rendu à l</w:t>
      </w:r>
      <w:r>
        <w:rPr>
          <w:lang w:val="fr-FR"/>
        </w:rPr>
        <w:t>’</w:t>
      </w:r>
      <w:r w:rsidRPr="007C3495">
        <w:rPr>
          <w:lang w:val="fr-FR"/>
        </w:rPr>
        <w:t>auteure une fois son état stabilisé.</w:t>
      </w:r>
    </w:p>
    <w:p w14:paraId="57C2025C" w14:textId="77777777" w:rsidR="00D10629" w:rsidRPr="00775B2E" w:rsidRDefault="00D10629" w:rsidP="00D10629">
      <w:pPr>
        <w:pStyle w:val="SingleTxtG"/>
        <w:rPr>
          <w:lang w:val="fr-FR"/>
        </w:rPr>
      </w:pPr>
      <w:r w:rsidRPr="007C3495">
        <w:rPr>
          <w:lang w:val="fr-FR"/>
        </w:rPr>
        <w:t>4.3</w:t>
      </w:r>
      <w:r w:rsidRPr="007C3495">
        <w:rPr>
          <w:lang w:val="fr-FR"/>
        </w:rPr>
        <w:tab/>
        <w:t>En conséquence, l</w:t>
      </w:r>
      <w:r>
        <w:rPr>
          <w:lang w:val="fr-FR"/>
        </w:rPr>
        <w:t>’</w:t>
      </w:r>
      <w:r w:rsidRPr="007C3495">
        <w:rPr>
          <w:lang w:val="fr-FR"/>
        </w:rPr>
        <w:t>État partie considère que la communication est sans objet depuis le départ et qu</w:t>
      </w:r>
      <w:r>
        <w:rPr>
          <w:lang w:val="fr-FR"/>
        </w:rPr>
        <w:t>’</w:t>
      </w:r>
      <w:r w:rsidRPr="007C3495">
        <w:rPr>
          <w:lang w:val="fr-FR"/>
        </w:rPr>
        <w:t>il n</w:t>
      </w:r>
      <w:r>
        <w:rPr>
          <w:lang w:val="fr-FR"/>
        </w:rPr>
        <w:t>’</w:t>
      </w:r>
      <w:r w:rsidRPr="007C3495">
        <w:rPr>
          <w:lang w:val="fr-FR"/>
        </w:rPr>
        <w:t>est pas nécessaire de prendre des mesures provisoires puisque l</w:t>
      </w:r>
      <w:r>
        <w:rPr>
          <w:lang w:val="fr-FR"/>
        </w:rPr>
        <w:t>’</w:t>
      </w:r>
      <w:r w:rsidRPr="007C3495">
        <w:rPr>
          <w:lang w:val="fr-FR"/>
        </w:rPr>
        <w:t>auteure a accouché après s</w:t>
      </w:r>
      <w:r>
        <w:rPr>
          <w:lang w:val="fr-FR"/>
        </w:rPr>
        <w:t>’</w:t>
      </w:r>
      <w:r w:rsidRPr="007C3495">
        <w:rPr>
          <w:lang w:val="fr-FR"/>
        </w:rPr>
        <w:t>être rendue volontairement à l</w:t>
      </w:r>
      <w:r>
        <w:rPr>
          <w:lang w:val="fr-FR"/>
        </w:rPr>
        <w:t>’</w:t>
      </w:r>
      <w:r w:rsidRPr="007C3495">
        <w:rPr>
          <w:lang w:val="fr-FR"/>
        </w:rPr>
        <w:t>hôpital.</w:t>
      </w:r>
    </w:p>
    <w:p w14:paraId="48E16102" w14:textId="77777777" w:rsidR="00D10629" w:rsidRPr="00775B2E" w:rsidRDefault="00D10629" w:rsidP="00D10629">
      <w:pPr>
        <w:pStyle w:val="SingleTxtG"/>
        <w:rPr>
          <w:lang w:val="fr-FR"/>
        </w:rPr>
      </w:pPr>
      <w:r w:rsidRPr="007C3495">
        <w:rPr>
          <w:lang w:val="fr-FR"/>
        </w:rPr>
        <w:t>4.4</w:t>
      </w:r>
      <w:r w:rsidRPr="007C3495">
        <w:rPr>
          <w:lang w:val="fr-FR"/>
        </w:rPr>
        <w:tab/>
        <w:t>L</w:t>
      </w:r>
      <w:r>
        <w:rPr>
          <w:lang w:val="fr-FR"/>
        </w:rPr>
        <w:t>’</w:t>
      </w:r>
      <w:r w:rsidRPr="007C3495">
        <w:rPr>
          <w:lang w:val="fr-FR"/>
        </w:rPr>
        <w:t>État partie affirme que l</w:t>
      </w:r>
      <w:r>
        <w:rPr>
          <w:lang w:val="fr-FR"/>
        </w:rPr>
        <w:t>’</w:t>
      </w:r>
      <w:r w:rsidRPr="007C3495">
        <w:rPr>
          <w:lang w:val="fr-FR"/>
        </w:rPr>
        <w:t>auteure n</w:t>
      </w:r>
      <w:r>
        <w:rPr>
          <w:lang w:val="fr-FR"/>
        </w:rPr>
        <w:t>’</w:t>
      </w:r>
      <w:r w:rsidRPr="007C3495">
        <w:rPr>
          <w:lang w:val="fr-FR"/>
        </w:rPr>
        <w:t>a jamais subi de déclenchement artificiel du travail contre son gré. Ses souhaits ont été respectés jusqu</w:t>
      </w:r>
      <w:r>
        <w:rPr>
          <w:lang w:val="fr-FR"/>
        </w:rPr>
        <w:t>’</w:t>
      </w:r>
      <w:r w:rsidRPr="007C3495">
        <w:rPr>
          <w:lang w:val="fr-FR"/>
        </w:rPr>
        <w:t>à ce qu</w:t>
      </w:r>
      <w:r>
        <w:rPr>
          <w:lang w:val="fr-FR"/>
        </w:rPr>
        <w:t>’</w:t>
      </w:r>
      <w:r w:rsidRPr="007C3495">
        <w:rPr>
          <w:lang w:val="fr-FR"/>
        </w:rPr>
        <w:t>elle perde les eaux prématurément (un risque dont elle avait été informée)</w:t>
      </w:r>
      <w:r w:rsidRPr="00775B2E">
        <w:rPr>
          <w:i/>
          <w:lang w:val="fr-FR"/>
        </w:rPr>
        <w:t> </w:t>
      </w:r>
      <w:r w:rsidRPr="007C3495">
        <w:rPr>
          <w:lang w:val="fr-FR"/>
        </w:rPr>
        <w:t>; elle s</w:t>
      </w:r>
      <w:r>
        <w:rPr>
          <w:lang w:val="fr-FR"/>
        </w:rPr>
        <w:t>’</w:t>
      </w:r>
      <w:r w:rsidRPr="007C3495">
        <w:rPr>
          <w:lang w:val="fr-FR"/>
        </w:rPr>
        <w:t>est alors rendue elle-même à l</w:t>
      </w:r>
      <w:r>
        <w:rPr>
          <w:lang w:val="fr-FR"/>
        </w:rPr>
        <w:t>’</w:t>
      </w:r>
      <w:r w:rsidRPr="007C3495">
        <w:rPr>
          <w:lang w:val="fr-FR"/>
        </w:rPr>
        <w:t>hôpital et a accepté le déclenchement. L</w:t>
      </w:r>
      <w:r>
        <w:rPr>
          <w:lang w:val="fr-FR"/>
        </w:rPr>
        <w:t>’</w:t>
      </w:r>
      <w:r w:rsidRPr="007C3495">
        <w:rPr>
          <w:lang w:val="fr-FR"/>
        </w:rPr>
        <w:t>État partie fait observer qu</w:t>
      </w:r>
      <w:r>
        <w:rPr>
          <w:lang w:val="fr-FR"/>
        </w:rPr>
        <w:t>’</w:t>
      </w:r>
      <w:r w:rsidRPr="007C3495">
        <w:rPr>
          <w:lang w:val="fr-FR"/>
        </w:rPr>
        <w:t>aucun instrument n</w:t>
      </w:r>
      <w:r>
        <w:rPr>
          <w:lang w:val="fr-FR"/>
        </w:rPr>
        <w:t>’</w:t>
      </w:r>
      <w:r w:rsidRPr="007C3495">
        <w:rPr>
          <w:lang w:val="fr-FR"/>
        </w:rPr>
        <w:t>a été utilisé et qu</w:t>
      </w:r>
      <w:r>
        <w:rPr>
          <w:lang w:val="fr-FR"/>
        </w:rPr>
        <w:t>’</w:t>
      </w:r>
      <w:r w:rsidRPr="007C3495">
        <w:rPr>
          <w:lang w:val="fr-FR"/>
        </w:rPr>
        <w:t>il n</w:t>
      </w:r>
      <w:r>
        <w:rPr>
          <w:lang w:val="fr-FR"/>
        </w:rPr>
        <w:t>’</w:t>
      </w:r>
      <w:r w:rsidRPr="007C3495">
        <w:rPr>
          <w:lang w:val="fr-FR"/>
        </w:rPr>
        <w:t>y a pas eu d</w:t>
      </w:r>
      <w:r>
        <w:rPr>
          <w:lang w:val="fr-FR"/>
        </w:rPr>
        <w:t>’</w:t>
      </w:r>
      <w:r w:rsidRPr="007C3495">
        <w:rPr>
          <w:lang w:val="fr-FR"/>
        </w:rPr>
        <w:t>épisiotomie.</w:t>
      </w:r>
    </w:p>
    <w:p w14:paraId="09535E8D" w14:textId="0A587203" w:rsidR="00D10629" w:rsidRPr="00775B2E" w:rsidRDefault="00D10629" w:rsidP="00D10629">
      <w:pPr>
        <w:pStyle w:val="SingleTxtG"/>
        <w:rPr>
          <w:lang w:val="fr-FR"/>
        </w:rPr>
      </w:pPr>
      <w:r w:rsidRPr="007C3495">
        <w:rPr>
          <w:lang w:val="fr-FR"/>
        </w:rPr>
        <w:t>4.5</w:t>
      </w:r>
      <w:r w:rsidRPr="007C3495">
        <w:rPr>
          <w:lang w:val="fr-FR"/>
        </w:rPr>
        <w:tab/>
        <w:t>L</w:t>
      </w:r>
      <w:r>
        <w:rPr>
          <w:lang w:val="fr-FR"/>
        </w:rPr>
        <w:t>’</w:t>
      </w:r>
      <w:r w:rsidRPr="007C3495">
        <w:rPr>
          <w:lang w:val="fr-FR"/>
        </w:rPr>
        <w:t>État partie soutient que l</w:t>
      </w:r>
      <w:r>
        <w:rPr>
          <w:lang w:val="fr-FR"/>
        </w:rPr>
        <w:t>’</w:t>
      </w:r>
      <w:r w:rsidRPr="007C3495">
        <w:rPr>
          <w:lang w:val="fr-FR"/>
        </w:rPr>
        <w:t>auteure n</w:t>
      </w:r>
      <w:r>
        <w:rPr>
          <w:lang w:val="fr-FR"/>
        </w:rPr>
        <w:t>’</w:t>
      </w:r>
      <w:r w:rsidRPr="007C3495">
        <w:rPr>
          <w:lang w:val="fr-FR"/>
        </w:rPr>
        <w:t xml:space="preserve">a pas épuisé les recours internes disponibles. </w:t>
      </w:r>
      <w:r w:rsidRPr="00775B2E">
        <w:rPr>
          <w:lang w:val="fr-FR"/>
        </w:rPr>
        <w:t>Selon lui, il n</w:t>
      </w:r>
      <w:r>
        <w:rPr>
          <w:lang w:val="fr-FR"/>
        </w:rPr>
        <w:t>’</w:t>
      </w:r>
      <w:r w:rsidRPr="00775B2E">
        <w:rPr>
          <w:lang w:val="fr-FR"/>
        </w:rPr>
        <w:t>y a aucune preuve que l</w:t>
      </w:r>
      <w:r>
        <w:rPr>
          <w:lang w:val="fr-FR"/>
        </w:rPr>
        <w:t>’</w:t>
      </w:r>
      <w:r w:rsidRPr="00775B2E">
        <w:rPr>
          <w:lang w:val="fr-FR"/>
        </w:rPr>
        <w:t>autorité judiciaire espagnole ait été saisie d</w:t>
      </w:r>
      <w:r>
        <w:rPr>
          <w:lang w:val="fr-FR"/>
        </w:rPr>
        <w:t>’</w:t>
      </w:r>
      <w:r w:rsidRPr="00775B2E">
        <w:rPr>
          <w:lang w:val="fr-FR"/>
        </w:rPr>
        <w:t>un recours avant la naissance visant à ce qu</w:t>
      </w:r>
      <w:r>
        <w:rPr>
          <w:lang w:val="fr-FR"/>
        </w:rPr>
        <w:t>’</w:t>
      </w:r>
      <w:r w:rsidRPr="00775B2E">
        <w:rPr>
          <w:lang w:val="fr-FR"/>
        </w:rPr>
        <w:t>elle prenne des mesures pour éviter le risque allégué par l</w:t>
      </w:r>
      <w:r>
        <w:rPr>
          <w:lang w:val="fr-FR"/>
        </w:rPr>
        <w:t>’</w:t>
      </w:r>
      <w:r w:rsidRPr="00775B2E">
        <w:rPr>
          <w:lang w:val="fr-FR"/>
        </w:rPr>
        <w:t>auteure.</w:t>
      </w:r>
      <w:r w:rsidRPr="007C3495">
        <w:rPr>
          <w:lang w:val="fr-FR"/>
        </w:rPr>
        <w:t xml:space="preserve"> Le droit espagnol prévoit un recours judiciaire dans </w:t>
      </w:r>
      <w:r w:rsidRPr="00775B2E">
        <w:rPr>
          <w:lang w:val="fr-FR"/>
        </w:rPr>
        <w:t>les cas d</w:t>
      </w:r>
      <w:r>
        <w:rPr>
          <w:lang w:val="fr-FR"/>
        </w:rPr>
        <w:t>’</w:t>
      </w:r>
      <w:r w:rsidRPr="00775B2E">
        <w:rPr>
          <w:lang w:val="fr-FR"/>
        </w:rPr>
        <w:t>abus de pouvoir simples commis par l</w:t>
      </w:r>
      <w:r>
        <w:rPr>
          <w:lang w:val="fr-FR"/>
        </w:rPr>
        <w:t>’</w:t>
      </w:r>
      <w:r w:rsidRPr="00775B2E">
        <w:rPr>
          <w:lang w:val="fr-FR"/>
        </w:rPr>
        <w:t>administration</w:t>
      </w:r>
      <w:r w:rsidRPr="007C3495">
        <w:rPr>
          <w:lang w:val="fr-FR"/>
        </w:rPr>
        <w:t>. Ce recours permet d</w:t>
      </w:r>
      <w:r>
        <w:rPr>
          <w:lang w:val="fr-FR"/>
        </w:rPr>
        <w:t>’</w:t>
      </w:r>
      <w:r w:rsidRPr="007C3495">
        <w:rPr>
          <w:lang w:val="fr-FR"/>
        </w:rPr>
        <w:t>obtenir l</w:t>
      </w:r>
      <w:r>
        <w:rPr>
          <w:lang w:val="fr-FR"/>
        </w:rPr>
        <w:t>’</w:t>
      </w:r>
      <w:r w:rsidRPr="007C3495">
        <w:rPr>
          <w:lang w:val="fr-FR"/>
        </w:rPr>
        <w:t xml:space="preserve">adoption de mesures provisoires et, dans les situations particulièrement urgentes, de mesures provisoires spéciales, conformément à la loi </w:t>
      </w:r>
      <w:r w:rsidRPr="007C3495">
        <w:rPr>
          <w:rFonts w:eastAsia="MS Mincho"/>
          <w:szCs w:val="22"/>
          <w:lang w:val="fr-FR"/>
        </w:rPr>
        <w:t>n</w:t>
      </w:r>
      <w:r w:rsidRPr="007C3495">
        <w:rPr>
          <w:rFonts w:eastAsia="MS Mincho"/>
          <w:szCs w:val="22"/>
          <w:vertAlign w:val="superscript"/>
          <w:lang w:val="fr-FR"/>
        </w:rPr>
        <w:t>o</w:t>
      </w:r>
      <w:r w:rsidRPr="00775B2E">
        <w:rPr>
          <w:i/>
          <w:lang w:val="fr-FR"/>
        </w:rPr>
        <w:t> </w:t>
      </w:r>
      <w:r w:rsidRPr="007C3495">
        <w:rPr>
          <w:lang w:val="fr-FR"/>
        </w:rPr>
        <w:t>29/1998 qui régit la juridiction administrative contentieuse. En</w:t>
      </w:r>
      <w:r w:rsidR="00292C5B">
        <w:rPr>
          <w:lang w:val="fr-FR"/>
        </w:rPr>
        <w:t> </w:t>
      </w:r>
      <w:r w:rsidRPr="007C3495">
        <w:rPr>
          <w:lang w:val="fr-FR"/>
        </w:rPr>
        <w:t>particulier, en application de l</w:t>
      </w:r>
      <w:r>
        <w:rPr>
          <w:lang w:val="fr-FR"/>
        </w:rPr>
        <w:t>’</w:t>
      </w:r>
      <w:r w:rsidRPr="007C3495">
        <w:rPr>
          <w:lang w:val="fr-FR"/>
        </w:rPr>
        <w:t>article</w:t>
      </w:r>
      <w:r w:rsidR="00292C5B">
        <w:rPr>
          <w:lang w:val="fr-FR"/>
        </w:rPr>
        <w:t> </w:t>
      </w:r>
      <w:r w:rsidRPr="007C3495">
        <w:rPr>
          <w:lang w:val="fr-FR"/>
        </w:rPr>
        <w:t>135 de cette loi, les mesures provisoires spéciales permettent de prendre des mesures judiciaires immédiates (dans un délai de deux jours) sans même qu</w:t>
      </w:r>
      <w:r>
        <w:rPr>
          <w:lang w:val="fr-FR"/>
        </w:rPr>
        <w:t>’</w:t>
      </w:r>
      <w:r w:rsidRPr="007C3495">
        <w:rPr>
          <w:lang w:val="fr-FR"/>
        </w:rPr>
        <w:t>il soit nécessaire de notifier l</w:t>
      </w:r>
      <w:r>
        <w:rPr>
          <w:lang w:val="fr-FR"/>
        </w:rPr>
        <w:t>’</w:t>
      </w:r>
      <w:r w:rsidRPr="007C3495">
        <w:rPr>
          <w:lang w:val="fr-FR"/>
        </w:rPr>
        <w:t>autorité administrative concernée.</w:t>
      </w:r>
    </w:p>
    <w:p w14:paraId="5E5EEC03" w14:textId="77777777" w:rsidR="00D10629" w:rsidRPr="00775B2E" w:rsidRDefault="00D10629" w:rsidP="00D10629">
      <w:pPr>
        <w:pStyle w:val="SingleTxtG"/>
        <w:rPr>
          <w:lang w:val="fr-FR"/>
        </w:rPr>
      </w:pPr>
      <w:r w:rsidRPr="007C3495">
        <w:rPr>
          <w:lang w:val="fr-FR"/>
        </w:rPr>
        <w:t>4.6</w:t>
      </w:r>
      <w:r w:rsidRPr="007C3495">
        <w:rPr>
          <w:lang w:val="fr-FR"/>
        </w:rPr>
        <w:tab/>
        <w:t>L</w:t>
      </w:r>
      <w:r>
        <w:rPr>
          <w:lang w:val="fr-FR"/>
        </w:rPr>
        <w:t>’</w:t>
      </w:r>
      <w:r w:rsidRPr="007C3495">
        <w:rPr>
          <w:lang w:val="fr-FR"/>
        </w:rPr>
        <w:t>État partie prie par conséquent le Comité de ne pas formuler de demande de mesures provisoires et de mettre fin à l</w:t>
      </w:r>
      <w:r>
        <w:rPr>
          <w:lang w:val="fr-FR"/>
        </w:rPr>
        <w:t>’</w:t>
      </w:r>
      <w:r w:rsidRPr="007C3495">
        <w:rPr>
          <w:lang w:val="fr-FR"/>
        </w:rPr>
        <w:t>examen de la communication au motif que celle-ci est manifestement dénuée de fondement et que les recours internes n</w:t>
      </w:r>
      <w:r>
        <w:rPr>
          <w:lang w:val="fr-FR"/>
        </w:rPr>
        <w:t>’</w:t>
      </w:r>
      <w:r w:rsidRPr="007C3495">
        <w:rPr>
          <w:lang w:val="fr-FR"/>
        </w:rPr>
        <w:t>ont pas été épuisés.</w:t>
      </w:r>
    </w:p>
    <w:p w14:paraId="7A91100B" w14:textId="77777777" w:rsidR="00D10629" w:rsidRPr="00775B2E" w:rsidRDefault="00D10629" w:rsidP="00292C5B">
      <w:pPr>
        <w:pStyle w:val="H23G"/>
        <w:rPr>
          <w:lang w:val="fr-FR"/>
        </w:rPr>
      </w:pPr>
      <w:r w:rsidRPr="007C3495">
        <w:rPr>
          <w:lang w:val="fr-FR"/>
        </w:rPr>
        <w:tab/>
      </w:r>
      <w:r w:rsidRPr="007C3495">
        <w:rPr>
          <w:lang w:val="fr-FR"/>
        </w:rPr>
        <w:tab/>
        <w:t>Observations supplémentaires de l</w:t>
      </w:r>
      <w:r>
        <w:rPr>
          <w:lang w:val="fr-FR"/>
        </w:rPr>
        <w:t>’</w:t>
      </w:r>
      <w:r w:rsidRPr="007C3495">
        <w:rPr>
          <w:lang w:val="fr-FR"/>
        </w:rPr>
        <w:t>État partie concernant la recevabilité</w:t>
      </w:r>
    </w:p>
    <w:p w14:paraId="2A2177D9" w14:textId="75667DD7" w:rsidR="00D10629" w:rsidRPr="00775B2E" w:rsidRDefault="00D10629" w:rsidP="00D10629">
      <w:pPr>
        <w:pStyle w:val="SingleTxtG"/>
        <w:rPr>
          <w:lang w:val="fr-FR"/>
        </w:rPr>
      </w:pPr>
      <w:r w:rsidRPr="007C3495">
        <w:rPr>
          <w:lang w:val="fr-FR"/>
        </w:rPr>
        <w:t>5.1</w:t>
      </w:r>
      <w:r w:rsidRPr="007C3495">
        <w:rPr>
          <w:lang w:val="fr-FR"/>
        </w:rPr>
        <w:tab/>
        <w:t>Dans ses observations sur la recevabilité en date du 28</w:t>
      </w:r>
      <w:r w:rsidR="00292C5B">
        <w:rPr>
          <w:lang w:val="fr-FR"/>
        </w:rPr>
        <w:t> </w:t>
      </w:r>
      <w:r w:rsidRPr="007C3495">
        <w:rPr>
          <w:lang w:val="fr-FR"/>
        </w:rPr>
        <w:t>octobre 2019, l</w:t>
      </w:r>
      <w:r>
        <w:rPr>
          <w:lang w:val="fr-FR"/>
        </w:rPr>
        <w:t>’</w:t>
      </w:r>
      <w:r w:rsidRPr="007C3495">
        <w:rPr>
          <w:lang w:val="fr-FR"/>
        </w:rPr>
        <w:t>État partie réaffirme que la communication est sans objet et que l</w:t>
      </w:r>
      <w:r>
        <w:rPr>
          <w:lang w:val="fr-FR"/>
        </w:rPr>
        <w:t>’</w:t>
      </w:r>
      <w:r w:rsidRPr="007C3495">
        <w:rPr>
          <w:lang w:val="fr-FR"/>
        </w:rPr>
        <w:t>auteure n</w:t>
      </w:r>
      <w:r>
        <w:rPr>
          <w:lang w:val="fr-FR"/>
        </w:rPr>
        <w:t>’</w:t>
      </w:r>
      <w:r w:rsidRPr="007C3495">
        <w:rPr>
          <w:lang w:val="fr-FR"/>
        </w:rPr>
        <w:t>a pas épuisé les recours internes. Il ajoute que la réticence de l</w:t>
      </w:r>
      <w:r>
        <w:rPr>
          <w:lang w:val="fr-FR"/>
        </w:rPr>
        <w:t>’</w:t>
      </w:r>
      <w:r w:rsidRPr="007C3495">
        <w:rPr>
          <w:lang w:val="fr-FR"/>
        </w:rPr>
        <w:t>auteure à suivre les directives médicales a mis en danger la santé du bébé.</w:t>
      </w:r>
    </w:p>
    <w:p w14:paraId="60FF916D" w14:textId="485B4AB1" w:rsidR="00D10629" w:rsidRPr="00775B2E" w:rsidRDefault="00D10629" w:rsidP="00D10629">
      <w:pPr>
        <w:pStyle w:val="SingleTxtG"/>
        <w:rPr>
          <w:lang w:val="fr-FR"/>
        </w:rPr>
      </w:pPr>
      <w:r w:rsidRPr="007C3495">
        <w:rPr>
          <w:lang w:val="fr-FR"/>
        </w:rPr>
        <w:t>5.2</w:t>
      </w:r>
      <w:r w:rsidRPr="007C3495">
        <w:rPr>
          <w:lang w:val="fr-FR"/>
        </w:rPr>
        <w:tab/>
        <w:t>De même, l</w:t>
      </w:r>
      <w:r>
        <w:rPr>
          <w:lang w:val="fr-FR"/>
        </w:rPr>
        <w:t>’</w:t>
      </w:r>
      <w:r w:rsidRPr="007C3495">
        <w:rPr>
          <w:lang w:val="fr-FR"/>
        </w:rPr>
        <w:t>État partie affirme que l</w:t>
      </w:r>
      <w:r>
        <w:rPr>
          <w:lang w:val="fr-FR"/>
        </w:rPr>
        <w:t>’</w:t>
      </w:r>
      <w:r w:rsidRPr="007C3495">
        <w:rPr>
          <w:lang w:val="fr-FR"/>
        </w:rPr>
        <w:t>auteure a abusé du droit de présenter une communication au regard de l</w:t>
      </w:r>
      <w:r>
        <w:rPr>
          <w:lang w:val="fr-FR"/>
        </w:rPr>
        <w:t>’</w:t>
      </w:r>
      <w:r w:rsidRPr="007C3495">
        <w:rPr>
          <w:lang w:val="fr-FR"/>
        </w:rPr>
        <w:t>article</w:t>
      </w:r>
      <w:r w:rsidR="00292C5B">
        <w:rPr>
          <w:lang w:val="fr-FR"/>
        </w:rPr>
        <w:t> </w:t>
      </w:r>
      <w:r w:rsidRPr="007C3495">
        <w:rPr>
          <w:lang w:val="fr-FR"/>
        </w:rPr>
        <w:t>3 du Protocole facultatif.</w:t>
      </w:r>
    </w:p>
    <w:p w14:paraId="477AFB62" w14:textId="3C3FBA89" w:rsidR="00D10629" w:rsidRPr="00292C5B" w:rsidRDefault="00D10629" w:rsidP="00292C5B">
      <w:pPr>
        <w:pStyle w:val="H23G"/>
        <w:rPr>
          <w:spacing w:val="-4"/>
          <w:lang w:val="fr-FR"/>
        </w:rPr>
      </w:pPr>
      <w:r w:rsidRPr="00292C5B">
        <w:rPr>
          <w:spacing w:val="-4"/>
          <w:lang w:val="fr-FR"/>
        </w:rPr>
        <w:tab/>
      </w:r>
      <w:r w:rsidRPr="00292C5B">
        <w:rPr>
          <w:spacing w:val="-4"/>
          <w:lang w:val="fr-FR"/>
        </w:rPr>
        <w:tab/>
        <w:t>Commentaires de l’auteure sur les observations de l’État partie concernant la recevabilité</w:t>
      </w:r>
    </w:p>
    <w:p w14:paraId="540AB0F2" w14:textId="3E4AD5DD" w:rsidR="00D10629" w:rsidRPr="00775B2E" w:rsidRDefault="00D10629" w:rsidP="00D10629">
      <w:pPr>
        <w:pStyle w:val="SingleTxtG"/>
        <w:rPr>
          <w:lang w:val="fr-FR"/>
        </w:rPr>
      </w:pPr>
      <w:r w:rsidRPr="007C3495">
        <w:rPr>
          <w:lang w:val="fr-FR"/>
        </w:rPr>
        <w:t>6.1</w:t>
      </w:r>
      <w:r w:rsidRPr="007C3495">
        <w:rPr>
          <w:lang w:val="fr-FR"/>
        </w:rPr>
        <w:tab/>
        <w:t>Dans ses commentaires en date du 30</w:t>
      </w:r>
      <w:r w:rsidR="00292C5B">
        <w:rPr>
          <w:lang w:val="fr-FR"/>
        </w:rPr>
        <w:t> </w:t>
      </w:r>
      <w:r w:rsidRPr="007C3495">
        <w:rPr>
          <w:lang w:val="fr-FR"/>
        </w:rPr>
        <w:t>janvier 2020, l</w:t>
      </w:r>
      <w:r>
        <w:rPr>
          <w:lang w:val="fr-FR"/>
        </w:rPr>
        <w:t>’</w:t>
      </w:r>
      <w:r w:rsidRPr="007C3495">
        <w:rPr>
          <w:lang w:val="fr-FR"/>
        </w:rPr>
        <w:t>auteure décrit plus en détail ce qui s</w:t>
      </w:r>
      <w:r>
        <w:rPr>
          <w:lang w:val="fr-FR"/>
        </w:rPr>
        <w:t>’</w:t>
      </w:r>
      <w:r w:rsidRPr="007C3495">
        <w:rPr>
          <w:lang w:val="fr-FR"/>
        </w:rPr>
        <w:t>est produit à partir du moment où le travail a débuté, le 5</w:t>
      </w:r>
      <w:r w:rsidR="00292C5B">
        <w:rPr>
          <w:lang w:val="fr-FR"/>
        </w:rPr>
        <w:t> </w:t>
      </w:r>
      <w:r w:rsidRPr="007C3495">
        <w:rPr>
          <w:lang w:val="fr-FR"/>
        </w:rPr>
        <w:t>août 2019</w:t>
      </w:r>
      <w:r w:rsidRPr="00775B2E">
        <w:rPr>
          <w:i/>
          <w:lang w:val="fr-FR"/>
        </w:rPr>
        <w:t> </w:t>
      </w:r>
      <w:r w:rsidRPr="007C3495">
        <w:rPr>
          <w:lang w:val="fr-FR"/>
        </w:rPr>
        <w:t>: alors qu</w:t>
      </w:r>
      <w:r>
        <w:rPr>
          <w:lang w:val="fr-FR"/>
        </w:rPr>
        <w:t>’</w:t>
      </w:r>
      <w:r w:rsidRPr="007C3495">
        <w:rPr>
          <w:lang w:val="fr-FR"/>
        </w:rPr>
        <w:t>elle avait déjà été admise à l</w:t>
      </w:r>
      <w:r>
        <w:rPr>
          <w:lang w:val="fr-FR"/>
        </w:rPr>
        <w:t>’</w:t>
      </w:r>
      <w:r w:rsidRPr="007C3495">
        <w:rPr>
          <w:lang w:val="fr-FR"/>
        </w:rPr>
        <w:t>hôpital, on lui a demandé de signer un formulaire de consentement au déclenchement, ce qui l</w:t>
      </w:r>
      <w:r>
        <w:rPr>
          <w:lang w:val="fr-FR"/>
        </w:rPr>
        <w:t>’</w:t>
      </w:r>
      <w:r w:rsidRPr="007C3495">
        <w:rPr>
          <w:lang w:val="fr-FR"/>
        </w:rPr>
        <w:t>a surprise car la dilatation avait déjà commencé et le travail était en cours. L</w:t>
      </w:r>
      <w:r>
        <w:rPr>
          <w:lang w:val="fr-FR"/>
        </w:rPr>
        <w:t>’</w:t>
      </w:r>
      <w:r w:rsidRPr="007C3495">
        <w:rPr>
          <w:lang w:val="fr-FR"/>
        </w:rPr>
        <w:t>hôpital l</w:t>
      </w:r>
      <w:r>
        <w:rPr>
          <w:lang w:val="fr-FR"/>
        </w:rPr>
        <w:t>’</w:t>
      </w:r>
      <w:r w:rsidRPr="007C3495">
        <w:rPr>
          <w:lang w:val="fr-FR"/>
        </w:rPr>
        <w:t>a informée que c</w:t>
      </w:r>
      <w:r>
        <w:rPr>
          <w:lang w:val="fr-FR"/>
        </w:rPr>
        <w:t>’</w:t>
      </w:r>
      <w:r w:rsidRPr="007C3495">
        <w:rPr>
          <w:lang w:val="fr-FR"/>
        </w:rPr>
        <w:t>était au cas où la dilatation s</w:t>
      </w:r>
      <w:r>
        <w:rPr>
          <w:lang w:val="fr-FR"/>
        </w:rPr>
        <w:t>’</w:t>
      </w:r>
      <w:r w:rsidRPr="007C3495">
        <w:rPr>
          <w:lang w:val="fr-FR"/>
        </w:rPr>
        <w:t>arrêterait, et elle a donc signé le document. Plus tard, à la surprise de l</w:t>
      </w:r>
      <w:r>
        <w:rPr>
          <w:lang w:val="fr-FR"/>
        </w:rPr>
        <w:t>’</w:t>
      </w:r>
      <w:r w:rsidRPr="007C3495">
        <w:rPr>
          <w:lang w:val="fr-FR"/>
        </w:rPr>
        <w:t>auteure, une sage-femme lui a administré de l</w:t>
      </w:r>
      <w:r>
        <w:rPr>
          <w:lang w:val="fr-FR"/>
        </w:rPr>
        <w:t>’</w:t>
      </w:r>
      <w:r w:rsidRPr="007C3495">
        <w:rPr>
          <w:lang w:val="fr-FR"/>
        </w:rPr>
        <w:t>ocytocine. L</w:t>
      </w:r>
      <w:r>
        <w:rPr>
          <w:lang w:val="fr-FR"/>
        </w:rPr>
        <w:t>’</w:t>
      </w:r>
      <w:r w:rsidRPr="007C3495">
        <w:rPr>
          <w:lang w:val="fr-FR"/>
        </w:rPr>
        <w:t>auteure a alors déclaré qu</w:t>
      </w:r>
      <w:r>
        <w:rPr>
          <w:lang w:val="fr-FR"/>
        </w:rPr>
        <w:t>’</w:t>
      </w:r>
      <w:r w:rsidRPr="007C3495">
        <w:rPr>
          <w:lang w:val="fr-FR"/>
        </w:rPr>
        <w:t>elle n</w:t>
      </w:r>
      <w:r>
        <w:rPr>
          <w:lang w:val="fr-FR"/>
        </w:rPr>
        <w:t>’</w:t>
      </w:r>
      <w:r w:rsidRPr="007C3495">
        <w:rPr>
          <w:lang w:val="fr-FR"/>
        </w:rPr>
        <w:t>avait pas accepté de recevoir ce médicament et qu</w:t>
      </w:r>
      <w:r>
        <w:rPr>
          <w:lang w:val="fr-FR"/>
        </w:rPr>
        <w:t>’</w:t>
      </w:r>
      <w:r w:rsidRPr="007C3495">
        <w:rPr>
          <w:lang w:val="fr-FR"/>
        </w:rPr>
        <w:t>elle avait signé le formulaire de consentement parce qu</w:t>
      </w:r>
      <w:r>
        <w:rPr>
          <w:lang w:val="fr-FR"/>
        </w:rPr>
        <w:t>’</w:t>
      </w:r>
      <w:r w:rsidRPr="007C3495">
        <w:rPr>
          <w:lang w:val="fr-FR"/>
        </w:rPr>
        <w:t>on lui avait dit que c</w:t>
      </w:r>
      <w:r>
        <w:rPr>
          <w:lang w:val="fr-FR"/>
        </w:rPr>
        <w:t>’</w:t>
      </w:r>
      <w:r w:rsidRPr="007C3495">
        <w:rPr>
          <w:lang w:val="fr-FR"/>
        </w:rPr>
        <w:t>était au cas où la dilatation s</w:t>
      </w:r>
      <w:r>
        <w:rPr>
          <w:lang w:val="fr-FR"/>
        </w:rPr>
        <w:t>’</w:t>
      </w:r>
      <w:r w:rsidRPr="007C3495">
        <w:rPr>
          <w:lang w:val="fr-FR"/>
        </w:rPr>
        <w:t>interromprait. Elle a ensuite souligné que la poche des eaux s</w:t>
      </w:r>
      <w:r>
        <w:rPr>
          <w:lang w:val="fr-FR"/>
        </w:rPr>
        <w:t>’</w:t>
      </w:r>
      <w:r w:rsidRPr="007C3495">
        <w:rPr>
          <w:lang w:val="fr-FR"/>
        </w:rPr>
        <w:t>était rompue seulement une heure auparavant, et qu</w:t>
      </w:r>
      <w:r>
        <w:rPr>
          <w:lang w:val="fr-FR"/>
        </w:rPr>
        <w:t>’</w:t>
      </w:r>
      <w:r w:rsidRPr="007C3495">
        <w:rPr>
          <w:lang w:val="fr-FR"/>
        </w:rPr>
        <w:t xml:space="preserve">elle souhaitait donc accoucher le plus naturellement possible, tant que cela était sans danger pour elle et pour le bébé. On lui a </w:t>
      </w:r>
      <w:r w:rsidRPr="007C3495">
        <w:rPr>
          <w:lang w:val="fr-FR"/>
        </w:rPr>
        <w:lastRenderedPageBreak/>
        <w:t>répondu que son accouchement avait trop attendu et qu</w:t>
      </w:r>
      <w:r>
        <w:rPr>
          <w:lang w:val="fr-FR"/>
        </w:rPr>
        <w:t>’</w:t>
      </w:r>
      <w:r w:rsidRPr="007C3495">
        <w:rPr>
          <w:lang w:val="fr-FR"/>
        </w:rPr>
        <w:t>il allait être déclenché de toute façon. L</w:t>
      </w:r>
      <w:r>
        <w:rPr>
          <w:lang w:val="fr-FR"/>
        </w:rPr>
        <w:t>’</w:t>
      </w:r>
      <w:r w:rsidRPr="007C3495">
        <w:rPr>
          <w:lang w:val="fr-FR"/>
        </w:rPr>
        <w:t>auteure explique qu</w:t>
      </w:r>
      <w:r>
        <w:rPr>
          <w:lang w:val="fr-FR"/>
        </w:rPr>
        <w:t>’</w:t>
      </w:r>
      <w:r w:rsidRPr="007C3495">
        <w:rPr>
          <w:lang w:val="fr-FR"/>
        </w:rPr>
        <w:t>elle était nue à ce moment-là et qu</w:t>
      </w:r>
      <w:r>
        <w:rPr>
          <w:lang w:val="fr-FR"/>
        </w:rPr>
        <w:t>’</w:t>
      </w:r>
      <w:r w:rsidRPr="007C3495">
        <w:rPr>
          <w:lang w:val="fr-FR"/>
        </w:rPr>
        <w:t>elle était stressée et subissait des pressions du personnel hospitalier depuis plusieurs jours. Elle se sentait épuisée mentalement et elle était consciente que son bien-être et celui du bébé étaient entre les mains des médecins, si bien qu</w:t>
      </w:r>
      <w:r>
        <w:rPr>
          <w:lang w:val="fr-FR"/>
        </w:rPr>
        <w:t>’</w:t>
      </w:r>
      <w:r w:rsidRPr="007C3495">
        <w:rPr>
          <w:lang w:val="fr-FR"/>
        </w:rPr>
        <w:t>elle ne pouvait plus les contredire. Elle a donc cédé et cessé de se plaindre</w:t>
      </w:r>
      <w:r w:rsidRPr="00DE4E77">
        <w:rPr>
          <w:rStyle w:val="Appelnotedebasdep"/>
        </w:rPr>
        <w:footnoteReference w:id="5"/>
      </w:r>
      <w:r w:rsidRPr="007C3495">
        <w:rPr>
          <w:lang w:val="fr-FR"/>
        </w:rPr>
        <w:t>.</w:t>
      </w:r>
    </w:p>
    <w:p w14:paraId="393325A8" w14:textId="77777777" w:rsidR="00D10629" w:rsidRPr="00775B2E" w:rsidRDefault="00D10629" w:rsidP="00D10629">
      <w:pPr>
        <w:pStyle w:val="SingleTxtG"/>
        <w:rPr>
          <w:lang w:val="fr-FR"/>
        </w:rPr>
      </w:pPr>
      <w:r w:rsidRPr="007C3495">
        <w:rPr>
          <w:lang w:val="fr-FR"/>
        </w:rPr>
        <w:t>6.2</w:t>
      </w:r>
      <w:r w:rsidRPr="007C3495">
        <w:rPr>
          <w:lang w:val="fr-FR"/>
        </w:rPr>
        <w:tab/>
        <w:t>L</w:t>
      </w:r>
      <w:r>
        <w:rPr>
          <w:lang w:val="fr-FR"/>
        </w:rPr>
        <w:t>’</w:t>
      </w:r>
      <w:r w:rsidRPr="007C3495">
        <w:rPr>
          <w:lang w:val="fr-FR"/>
        </w:rPr>
        <w:t>auteure ajoute qu</w:t>
      </w:r>
      <w:r>
        <w:rPr>
          <w:lang w:val="fr-FR"/>
        </w:rPr>
        <w:t>’</w:t>
      </w:r>
      <w:r w:rsidRPr="007C3495">
        <w:rPr>
          <w:lang w:val="fr-FR"/>
        </w:rPr>
        <w:t>elle a commencé à avoir l</w:t>
      </w:r>
      <w:r>
        <w:rPr>
          <w:lang w:val="fr-FR"/>
        </w:rPr>
        <w:t>’</w:t>
      </w:r>
      <w:r w:rsidRPr="007C3495">
        <w:rPr>
          <w:lang w:val="fr-FR"/>
        </w:rPr>
        <w:t>impression qu</w:t>
      </w:r>
      <w:r>
        <w:rPr>
          <w:lang w:val="fr-FR"/>
        </w:rPr>
        <w:t>’</w:t>
      </w:r>
      <w:r w:rsidRPr="007C3495">
        <w:rPr>
          <w:lang w:val="fr-FR"/>
        </w:rPr>
        <w:t>elle allait s</w:t>
      </w:r>
      <w:r>
        <w:rPr>
          <w:lang w:val="fr-FR"/>
        </w:rPr>
        <w:t>’</w:t>
      </w:r>
      <w:r w:rsidRPr="007C3495">
        <w:rPr>
          <w:lang w:val="fr-FR"/>
        </w:rPr>
        <w:t>évanouir et qu</w:t>
      </w:r>
      <w:r>
        <w:rPr>
          <w:lang w:val="fr-FR"/>
        </w:rPr>
        <w:t>’</w:t>
      </w:r>
      <w:r w:rsidRPr="007C3495">
        <w:rPr>
          <w:lang w:val="fr-FR"/>
        </w:rPr>
        <w:t>elle a donc demandé une anesthésie péridurale (elle a également eu besoin d</w:t>
      </w:r>
      <w:r>
        <w:rPr>
          <w:lang w:val="fr-FR"/>
        </w:rPr>
        <w:t>’</w:t>
      </w:r>
      <w:r w:rsidRPr="007C3495">
        <w:rPr>
          <w:lang w:val="fr-FR"/>
        </w:rPr>
        <w:t>autres médicaments). Elle affirme qu</w:t>
      </w:r>
      <w:r>
        <w:rPr>
          <w:lang w:val="fr-FR"/>
        </w:rPr>
        <w:t>’</w:t>
      </w:r>
      <w:r w:rsidRPr="007C3495">
        <w:rPr>
          <w:lang w:val="fr-FR"/>
        </w:rPr>
        <w:t>il y avait dans la salle de nombreuses personnes qui ne s</w:t>
      </w:r>
      <w:r>
        <w:rPr>
          <w:lang w:val="fr-FR"/>
        </w:rPr>
        <w:t>’</w:t>
      </w:r>
      <w:r w:rsidRPr="007C3495">
        <w:rPr>
          <w:lang w:val="fr-FR"/>
        </w:rPr>
        <w:t>étaient pas présentées et n</w:t>
      </w:r>
      <w:r>
        <w:rPr>
          <w:lang w:val="fr-FR"/>
        </w:rPr>
        <w:t>’</w:t>
      </w:r>
      <w:r w:rsidRPr="007C3495">
        <w:rPr>
          <w:lang w:val="fr-FR"/>
        </w:rPr>
        <w:t>avaient pas expliqué leur rôle, en violation de l</w:t>
      </w:r>
      <w:r>
        <w:rPr>
          <w:lang w:val="fr-FR"/>
        </w:rPr>
        <w:t>’</w:t>
      </w:r>
      <w:r w:rsidRPr="007C3495">
        <w:rPr>
          <w:lang w:val="fr-FR"/>
        </w:rPr>
        <w:t>article 5 (par.</w:t>
      </w:r>
      <w:r w:rsidRPr="00775B2E">
        <w:rPr>
          <w:i/>
          <w:lang w:val="fr-FR"/>
        </w:rPr>
        <w:t> </w:t>
      </w:r>
      <w:r w:rsidRPr="007C3495">
        <w:rPr>
          <w:lang w:val="fr-FR"/>
        </w:rPr>
        <w:t>c et</w:t>
      </w:r>
      <w:r w:rsidRPr="00775B2E">
        <w:rPr>
          <w:i/>
          <w:lang w:val="fr-FR"/>
        </w:rPr>
        <w:t> </w:t>
      </w:r>
      <w:r w:rsidRPr="007C3495">
        <w:rPr>
          <w:lang w:val="fr-FR"/>
        </w:rPr>
        <w:t xml:space="preserve">e) de la loi </w:t>
      </w:r>
      <w:r w:rsidRPr="007C3495">
        <w:rPr>
          <w:rFonts w:eastAsia="MS Mincho"/>
          <w:szCs w:val="22"/>
          <w:lang w:val="fr-FR"/>
        </w:rPr>
        <w:t>n</w:t>
      </w:r>
      <w:r w:rsidRPr="007C3495">
        <w:rPr>
          <w:rFonts w:eastAsia="MS Mincho"/>
          <w:szCs w:val="22"/>
          <w:vertAlign w:val="superscript"/>
          <w:lang w:val="fr-FR"/>
        </w:rPr>
        <w:t>o</w:t>
      </w:r>
      <w:r w:rsidRPr="00775B2E">
        <w:rPr>
          <w:i/>
          <w:lang w:val="fr-FR"/>
        </w:rPr>
        <w:t> </w:t>
      </w:r>
      <w:r w:rsidRPr="007C3495">
        <w:rPr>
          <w:lang w:val="fr-FR"/>
        </w:rPr>
        <w:t>44/2003 sur l</w:t>
      </w:r>
      <w:r>
        <w:rPr>
          <w:lang w:val="fr-FR"/>
        </w:rPr>
        <w:t>’</w:t>
      </w:r>
      <w:r w:rsidRPr="007C3495">
        <w:rPr>
          <w:lang w:val="fr-FR"/>
        </w:rPr>
        <w:t>organisation des professions de santé et de la jurisprudence de la Cour européenne des droits de l</w:t>
      </w:r>
      <w:r>
        <w:rPr>
          <w:lang w:val="fr-FR"/>
        </w:rPr>
        <w:t>’</w:t>
      </w:r>
      <w:r w:rsidRPr="007C3495">
        <w:rPr>
          <w:lang w:val="fr-FR"/>
        </w:rPr>
        <w:t>homme</w:t>
      </w:r>
      <w:r w:rsidRPr="00DE4E77">
        <w:rPr>
          <w:rStyle w:val="Appelnotedebasdep"/>
        </w:rPr>
        <w:footnoteReference w:id="6"/>
      </w:r>
      <w:r w:rsidRPr="007C3495">
        <w:rPr>
          <w:lang w:val="fr-FR"/>
        </w:rPr>
        <w:t>.</w:t>
      </w:r>
    </w:p>
    <w:p w14:paraId="7A386D87" w14:textId="37F5FE59" w:rsidR="00D10629" w:rsidRPr="00775B2E" w:rsidRDefault="00D10629" w:rsidP="00D10629">
      <w:pPr>
        <w:pStyle w:val="SingleTxtG"/>
        <w:rPr>
          <w:lang w:val="fr-FR"/>
        </w:rPr>
      </w:pPr>
      <w:r w:rsidRPr="007C3495">
        <w:rPr>
          <w:lang w:val="fr-FR"/>
        </w:rPr>
        <w:t>6.3</w:t>
      </w:r>
      <w:r w:rsidRPr="007C3495">
        <w:rPr>
          <w:lang w:val="fr-FR"/>
        </w:rPr>
        <w:tab/>
        <w:t>L</w:t>
      </w:r>
      <w:r>
        <w:rPr>
          <w:lang w:val="fr-FR"/>
        </w:rPr>
        <w:t>’</w:t>
      </w:r>
      <w:r w:rsidRPr="007C3495">
        <w:rPr>
          <w:lang w:val="fr-FR"/>
        </w:rPr>
        <w:t>auteure affirme qu</w:t>
      </w:r>
      <w:r>
        <w:rPr>
          <w:lang w:val="fr-FR"/>
        </w:rPr>
        <w:t>’</w:t>
      </w:r>
      <w:r w:rsidRPr="007C3495">
        <w:rPr>
          <w:lang w:val="fr-FR"/>
        </w:rPr>
        <w:t>une fois son bébé né, son placenta a été extrait de force et que le personnel présent lui a dit de se taire alors qu</w:t>
      </w:r>
      <w:r>
        <w:rPr>
          <w:lang w:val="fr-FR"/>
        </w:rPr>
        <w:t>’</w:t>
      </w:r>
      <w:r w:rsidRPr="007C3495">
        <w:rPr>
          <w:lang w:val="fr-FR"/>
        </w:rPr>
        <w:t>elle demandait d</w:t>
      </w:r>
      <w:r>
        <w:rPr>
          <w:lang w:val="fr-FR"/>
        </w:rPr>
        <w:t>’</w:t>
      </w:r>
      <w:r w:rsidRPr="007C3495">
        <w:rPr>
          <w:lang w:val="fr-FR"/>
        </w:rPr>
        <w:t xml:space="preserve">arrêter. Elle ajoute que </w:t>
      </w:r>
      <w:r w:rsidR="00292C5B">
        <w:rPr>
          <w:lang w:val="fr-FR"/>
        </w:rPr>
        <w:t xml:space="preserve">le </w:t>
      </w:r>
      <w:r w:rsidRPr="007C3495">
        <w:rPr>
          <w:lang w:val="fr-FR"/>
        </w:rPr>
        <w:t>cordon ombilical a été coupé dès que le bébé est sorti, contrairement à ce qu</w:t>
      </w:r>
      <w:r>
        <w:rPr>
          <w:lang w:val="fr-FR"/>
        </w:rPr>
        <w:t>’</w:t>
      </w:r>
      <w:r w:rsidRPr="007C3495">
        <w:rPr>
          <w:lang w:val="fr-FR"/>
        </w:rPr>
        <w:t>elle voulait et aux directives du Ministère de la santé</w:t>
      </w:r>
      <w:r w:rsidRPr="00DE4E77">
        <w:rPr>
          <w:rStyle w:val="Appelnotedebasdep"/>
        </w:rPr>
        <w:footnoteReference w:id="7"/>
      </w:r>
      <w:r w:rsidRPr="007C3495">
        <w:rPr>
          <w:lang w:val="fr-FR"/>
        </w:rPr>
        <w:t>.</w:t>
      </w:r>
    </w:p>
    <w:p w14:paraId="61CEC987" w14:textId="25B58D01" w:rsidR="00D10629" w:rsidRPr="00775B2E" w:rsidRDefault="00D10629" w:rsidP="00D10629">
      <w:pPr>
        <w:pStyle w:val="SingleTxtG"/>
        <w:rPr>
          <w:lang w:val="fr-FR"/>
        </w:rPr>
      </w:pPr>
      <w:r w:rsidRPr="007C3495">
        <w:rPr>
          <w:lang w:val="fr-FR"/>
        </w:rPr>
        <w:t>6.4</w:t>
      </w:r>
      <w:r w:rsidRPr="007C3495">
        <w:rPr>
          <w:lang w:val="fr-FR"/>
        </w:rPr>
        <w:tab/>
        <w:t>L</w:t>
      </w:r>
      <w:r>
        <w:rPr>
          <w:lang w:val="fr-FR"/>
        </w:rPr>
        <w:t>’</w:t>
      </w:r>
      <w:r w:rsidRPr="007C3495">
        <w:rPr>
          <w:lang w:val="fr-FR"/>
        </w:rPr>
        <w:t>auteure affirme que le bébé a été séparé d</w:t>
      </w:r>
      <w:r>
        <w:rPr>
          <w:lang w:val="fr-FR"/>
        </w:rPr>
        <w:t>’</w:t>
      </w:r>
      <w:r w:rsidRPr="007C3495">
        <w:rPr>
          <w:lang w:val="fr-FR"/>
        </w:rPr>
        <w:t>elle parce qu</w:t>
      </w:r>
      <w:r>
        <w:rPr>
          <w:lang w:val="fr-FR"/>
        </w:rPr>
        <w:t>’</w:t>
      </w:r>
      <w:r w:rsidRPr="007C3495">
        <w:rPr>
          <w:lang w:val="fr-FR"/>
        </w:rPr>
        <w:t>il présentait un taux élevé de bilirubine alors qu</w:t>
      </w:r>
      <w:r>
        <w:rPr>
          <w:lang w:val="fr-FR"/>
        </w:rPr>
        <w:t>’</w:t>
      </w:r>
      <w:r w:rsidRPr="007C3495">
        <w:rPr>
          <w:lang w:val="fr-FR"/>
        </w:rPr>
        <w:t>une autre solution aurait pu être trouvée pour les laisser ensemble, ce qui est contraire à l</w:t>
      </w:r>
      <w:r>
        <w:rPr>
          <w:lang w:val="fr-FR"/>
        </w:rPr>
        <w:t>’</w:t>
      </w:r>
      <w:r w:rsidRPr="007C3495">
        <w:rPr>
          <w:lang w:val="fr-FR"/>
        </w:rPr>
        <w:t>article</w:t>
      </w:r>
      <w:r w:rsidR="00292C5B">
        <w:rPr>
          <w:lang w:val="fr-FR"/>
        </w:rPr>
        <w:t> </w:t>
      </w:r>
      <w:r w:rsidRPr="007C3495">
        <w:rPr>
          <w:lang w:val="fr-FR"/>
        </w:rPr>
        <w:t>4 (par.</w:t>
      </w:r>
      <w:r w:rsidR="00292C5B">
        <w:rPr>
          <w:lang w:val="fr-FR"/>
        </w:rPr>
        <w:t> </w:t>
      </w:r>
      <w:r w:rsidRPr="007C3495">
        <w:rPr>
          <w:lang w:val="fr-FR"/>
        </w:rPr>
        <w:t>a et c) de la Charte européenne des droits de l</w:t>
      </w:r>
      <w:r>
        <w:rPr>
          <w:lang w:val="fr-FR"/>
        </w:rPr>
        <w:t>’</w:t>
      </w:r>
      <w:r w:rsidRPr="007C3495">
        <w:rPr>
          <w:lang w:val="fr-FR"/>
        </w:rPr>
        <w:t>enfant à l</w:t>
      </w:r>
      <w:r>
        <w:rPr>
          <w:lang w:val="fr-FR"/>
        </w:rPr>
        <w:t>’</w:t>
      </w:r>
      <w:r w:rsidRPr="007C3495">
        <w:rPr>
          <w:lang w:val="fr-FR"/>
        </w:rPr>
        <w:t>hôpital (1986), ainsi qu</w:t>
      </w:r>
      <w:r>
        <w:rPr>
          <w:lang w:val="fr-FR"/>
        </w:rPr>
        <w:t>’</w:t>
      </w:r>
      <w:r w:rsidRPr="007C3495">
        <w:rPr>
          <w:lang w:val="fr-FR"/>
        </w:rPr>
        <w:t>à la jurisprudence de la Cour européenne des droits de l</w:t>
      </w:r>
      <w:r>
        <w:rPr>
          <w:lang w:val="fr-FR"/>
        </w:rPr>
        <w:t>’</w:t>
      </w:r>
      <w:r w:rsidRPr="007C3495">
        <w:rPr>
          <w:lang w:val="fr-FR"/>
        </w:rPr>
        <w:t>homme</w:t>
      </w:r>
      <w:r w:rsidRPr="00DE4E77">
        <w:rPr>
          <w:rStyle w:val="Appelnotedebasdep"/>
        </w:rPr>
        <w:footnoteReference w:id="8"/>
      </w:r>
      <w:r w:rsidRPr="007C3495">
        <w:rPr>
          <w:lang w:val="fr-FR"/>
        </w:rPr>
        <w:t>. Elle ajoute qu</w:t>
      </w:r>
      <w:r>
        <w:rPr>
          <w:lang w:val="fr-FR"/>
        </w:rPr>
        <w:t>’</w:t>
      </w:r>
      <w:r w:rsidRPr="007C3495">
        <w:rPr>
          <w:lang w:val="fr-FR"/>
        </w:rPr>
        <w:t>elle n</w:t>
      </w:r>
      <w:r>
        <w:rPr>
          <w:lang w:val="fr-FR"/>
        </w:rPr>
        <w:t>’</w:t>
      </w:r>
      <w:r w:rsidRPr="007C3495">
        <w:rPr>
          <w:lang w:val="fr-FR"/>
        </w:rPr>
        <w:t>a pas été informée des tests effectués sur le bébé, en violation de l</w:t>
      </w:r>
      <w:r>
        <w:rPr>
          <w:lang w:val="fr-FR"/>
        </w:rPr>
        <w:t>’</w:t>
      </w:r>
      <w:r w:rsidRPr="007C3495">
        <w:rPr>
          <w:lang w:val="fr-FR"/>
        </w:rPr>
        <w:t>article</w:t>
      </w:r>
      <w:r w:rsidRPr="00775B2E">
        <w:rPr>
          <w:i/>
          <w:lang w:val="fr-FR"/>
        </w:rPr>
        <w:t> </w:t>
      </w:r>
      <w:r w:rsidRPr="007C3495">
        <w:rPr>
          <w:lang w:val="fr-FR"/>
        </w:rPr>
        <w:t>4 (par.</w:t>
      </w:r>
      <w:r w:rsidRPr="00775B2E">
        <w:rPr>
          <w:i/>
          <w:lang w:val="fr-FR"/>
        </w:rPr>
        <w:t> </w:t>
      </w:r>
      <w:r w:rsidRPr="007C3495">
        <w:rPr>
          <w:lang w:val="fr-FR"/>
        </w:rPr>
        <w:t>g) de la Charte susmentionnée. Elle affirme également que le médecin lui a reproché d</w:t>
      </w:r>
      <w:r>
        <w:rPr>
          <w:lang w:val="fr-FR"/>
        </w:rPr>
        <w:t>’</w:t>
      </w:r>
      <w:r w:rsidRPr="007C3495">
        <w:rPr>
          <w:lang w:val="fr-FR"/>
        </w:rPr>
        <w:t>avoir causé les problèmes rencontrés par son bébé du fait de sa décision d</w:t>
      </w:r>
      <w:r>
        <w:rPr>
          <w:lang w:val="fr-FR"/>
        </w:rPr>
        <w:t>’</w:t>
      </w:r>
      <w:r w:rsidRPr="007C3495">
        <w:rPr>
          <w:lang w:val="fr-FR"/>
        </w:rPr>
        <w:t>accoucher tardivement.</w:t>
      </w:r>
    </w:p>
    <w:p w14:paraId="5516390D" w14:textId="40EF2B44" w:rsidR="00D10629" w:rsidRPr="00775B2E" w:rsidRDefault="00D10629" w:rsidP="00D10629">
      <w:pPr>
        <w:pStyle w:val="SingleTxtG"/>
        <w:rPr>
          <w:lang w:val="fr-FR"/>
        </w:rPr>
      </w:pPr>
      <w:r w:rsidRPr="007C3495">
        <w:rPr>
          <w:lang w:val="fr-FR"/>
        </w:rPr>
        <w:t>6.5</w:t>
      </w:r>
      <w:r w:rsidRPr="007C3495">
        <w:rPr>
          <w:lang w:val="fr-FR"/>
        </w:rPr>
        <w:tab/>
        <w:t>L</w:t>
      </w:r>
      <w:r>
        <w:rPr>
          <w:lang w:val="fr-FR"/>
        </w:rPr>
        <w:t>’</w:t>
      </w:r>
      <w:r w:rsidRPr="007C3495">
        <w:rPr>
          <w:lang w:val="fr-FR"/>
        </w:rPr>
        <w:t>auteure indique en outre qu</w:t>
      </w:r>
      <w:r>
        <w:rPr>
          <w:lang w:val="fr-FR"/>
        </w:rPr>
        <w:t>’</w:t>
      </w:r>
      <w:r w:rsidRPr="007C3495">
        <w:rPr>
          <w:lang w:val="fr-FR"/>
        </w:rPr>
        <w:t>elle a souffert d</w:t>
      </w:r>
      <w:r>
        <w:rPr>
          <w:lang w:val="fr-FR"/>
        </w:rPr>
        <w:t>’</w:t>
      </w:r>
      <w:r w:rsidRPr="007C3495">
        <w:rPr>
          <w:lang w:val="fr-FR"/>
        </w:rPr>
        <w:t>une hémorragie due à l</w:t>
      </w:r>
      <w:r>
        <w:rPr>
          <w:lang w:val="fr-FR"/>
        </w:rPr>
        <w:t>’</w:t>
      </w:r>
      <w:r w:rsidRPr="007C3495">
        <w:rPr>
          <w:lang w:val="fr-FR"/>
        </w:rPr>
        <w:t>administration de médicaments utérotoniques et qu</w:t>
      </w:r>
      <w:r>
        <w:rPr>
          <w:lang w:val="fr-FR"/>
        </w:rPr>
        <w:t>’</w:t>
      </w:r>
      <w:r w:rsidRPr="007C3495">
        <w:rPr>
          <w:lang w:val="fr-FR"/>
        </w:rPr>
        <w:t>elle a donc reçu une transfusion sanguine, ce qui n</w:t>
      </w:r>
      <w:r>
        <w:rPr>
          <w:lang w:val="fr-FR"/>
        </w:rPr>
        <w:t>’</w:t>
      </w:r>
      <w:r w:rsidRPr="007C3495">
        <w:rPr>
          <w:lang w:val="fr-FR"/>
        </w:rPr>
        <w:t>est pas consigné dans son dossier médical.</w:t>
      </w:r>
    </w:p>
    <w:p w14:paraId="50978EF9" w14:textId="0186EB0B" w:rsidR="00D10629" w:rsidRPr="00775B2E" w:rsidRDefault="00D10629" w:rsidP="00D10629">
      <w:pPr>
        <w:pStyle w:val="SingleTxtG"/>
        <w:rPr>
          <w:lang w:val="fr-FR"/>
        </w:rPr>
      </w:pPr>
      <w:r w:rsidRPr="007C3495">
        <w:rPr>
          <w:lang w:val="fr-FR"/>
        </w:rPr>
        <w:t>6.6</w:t>
      </w:r>
      <w:r w:rsidRPr="007C3495">
        <w:rPr>
          <w:lang w:val="fr-FR"/>
        </w:rPr>
        <w:tab/>
        <w:t>En ce qui concerne l</w:t>
      </w:r>
      <w:r>
        <w:rPr>
          <w:lang w:val="fr-FR"/>
        </w:rPr>
        <w:t>’</w:t>
      </w:r>
      <w:r w:rsidRPr="007C3495">
        <w:rPr>
          <w:lang w:val="fr-FR"/>
        </w:rPr>
        <w:t>épuisement des recours internes, l</w:t>
      </w:r>
      <w:r>
        <w:rPr>
          <w:lang w:val="fr-FR"/>
        </w:rPr>
        <w:t>’</w:t>
      </w:r>
      <w:r w:rsidRPr="007C3495">
        <w:rPr>
          <w:lang w:val="fr-FR"/>
        </w:rPr>
        <w:t>auteure indique que l</w:t>
      </w:r>
      <w:r>
        <w:rPr>
          <w:lang w:val="fr-FR"/>
        </w:rPr>
        <w:t>’</w:t>
      </w:r>
      <w:r w:rsidRPr="007C3495">
        <w:rPr>
          <w:lang w:val="fr-FR"/>
        </w:rPr>
        <w:t>État partie n</w:t>
      </w:r>
      <w:r>
        <w:rPr>
          <w:lang w:val="fr-FR"/>
        </w:rPr>
        <w:t>’</w:t>
      </w:r>
      <w:r w:rsidRPr="007C3495">
        <w:rPr>
          <w:lang w:val="fr-FR"/>
        </w:rPr>
        <w:t>a pas précisé quels recours internes lui étaient ouverts, ni en quoi et dans quelle mesure ils auraient été efficaces. À cet égard, elle fait observer qu</w:t>
      </w:r>
      <w:r>
        <w:rPr>
          <w:lang w:val="fr-FR"/>
        </w:rPr>
        <w:t>’</w:t>
      </w:r>
      <w:r w:rsidRPr="007C3495">
        <w:rPr>
          <w:lang w:val="fr-FR"/>
        </w:rPr>
        <w:t>il n</w:t>
      </w:r>
      <w:r>
        <w:rPr>
          <w:lang w:val="fr-FR"/>
        </w:rPr>
        <w:t>’</w:t>
      </w:r>
      <w:r w:rsidRPr="007C3495">
        <w:rPr>
          <w:lang w:val="fr-FR"/>
        </w:rPr>
        <w:t>existe pas de recours internes spécialement destinés aux victimes de violations présumées des droits de l</w:t>
      </w:r>
      <w:r>
        <w:rPr>
          <w:lang w:val="fr-FR"/>
        </w:rPr>
        <w:t>’</w:t>
      </w:r>
      <w:r w:rsidRPr="007C3495">
        <w:rPr>
          <w:lang w:val="fr-FR"/>
        </w:rPr>
        <w:t>homme. Elle ajoute qu</w:t>
      </w:r>
      <w:r>
        <w:rPr>
          <w:lang w:val="fr-FR"/>
        </w:rPr>
        <w:t>’</w:t>
      </w:r>
      <w:r w:rsidRPr="007C3495">
        <w:rPr>
          <w:lang w:val="fr-FR"/>
        </w:rPr>
        <w:t>elle n</w:t>
      </w:r>
      <w:r>
        <w:rPr>
          <w:lang w:val="fr-FR"/>
        </w:rPr>
        <w:t>’</w:t>
      </w:r>
      <w:r w:rsidRPr="007C3495">
        <w:rPr>
          <w:lang w:val="fr-FR"/>
        </w:rPr>
        <w:t>est pas tenue d</w:t>
      </w:r>
      <w:r>
        <w:rPr>
          <w:lang w:val="fr-FR"/>
        </w:rPr>
        <w:t>’</w:t>
      </w:r>
      <w:r w:rsidRPr="007C3495">
        <w:rPr>
          <w:lang w:val="fr-FR"/>
        </w:rPr>
        <w:t>épuiser les recours internes lorsqu</w:t>
      </w:r>
      <w:r>
        <w:rPr>
          <w:lang w:val="fr-FR"/>
        </w:rPr>
        <w:t>’</w:t>
      </w:r>
      <w:r w:rsidRPr="007C3495">
        <w:rPr>
          <w:lang w:val="fr-FR"/>
        </w:rPr>
        <w:t>ils n</w:t>
      </w:r>
      <w:r>
        <w:rPr>
          <w:lang w:val="fr-FR"/>
        </w:rPr>
        <w:t>’</w:t>
      </w:r>
      <w:r w:rsidRPr="007C3495">
        <w:rPr>
          <w:lang w:val="fr-FR"/>
        </w:rPr>
        <w:t>ont pas de réelle chance d</w:t>
      </w:r>
      <w:r>
        <w:rPr>
          <w:lang w:val="fr-FR"/>
        </w:rPr>
        <w:t>’</w:t>
      </w:r>
      <w:r w:rsidRPr="007C3495">
        <w:rPr>
          <w:lang w:val="fr-FR"/>
        </w:rPr>
        <w:t>aboutir</w:t>
      </w:r>
      <w:r w:rsidRPr="00DE4E77">
        <w:rPr>
          <w:rStyle w:val="Appelnotedebasdep"/>
        </w:rPr>
        <w:footnoteReference w:id="9"/>
      </w:r>
      <w:r w:rsidRPr="007C3495">
        <w:rPr>
          <w:lang w:val="fr-FR"/>
        </w:rPr>
        <w:t xml:space="preserve">. Le recours en </w:t>
      </w:r>
      <w:r w:rsidRPr="007C3495">
        <w:rPr>
          <w:i/>
          <w:iCs/>
          <w:lang w:val="fr-FR"/>
        </w:rPr>
        <w:t>amparo</w:t>
      </w:r>
      <w:r w:rsidRPr="007C3495">
        <w:rPr>
          <w:lang w:val="fr-FR"/>
        </w:rPr>
        <w:t xml:space="preserve"> est de nature subsidiaire (il ne relève pas de la compétence du pouvoir judiciaire ordinaire) et ne protège que certains droits et libertés fondamentaux énoncés dans la Constitution de l</w:t>
      </w:r>
      <w:r>
        <w:rPr>
          <w:lang w:val="fr-FR"/>
        </w:rPr>
        <w:t>’</w:t>
      </w:r>
      <w:r w:rsidRPr="007C3495">
        <w:rPr>
          <w:lang w:val="fr-FR"/>
        </w:rPr>
        <w:t>Espagne. En l</w:t>
      </w:r>
      <w:r>
        <w:rPr>
          <w:lang w:val="fr-FR"/>
        </w:rPr>
        <w:t>’</w:t>
      </w:r>
      <w:r w:rsidRPr="007C3495">
        <w:rPr>
          <w:lang w:val="fr-FR"/>
        </w:rPr>
        <w:t>espèce, l</w:t>
      </w:r>
      <w:r>
        <w:rPr>
          <w:lang w:val="fr-FR"/>
        </w:rPr>
        <w:t>’</w:t>
      </w:r>
      <w:r w:rsidRPr="007C3495">
        <w:rPr>
          <w:lang w:val="fr-FR"/>
        </w:rPr>
        <w:t>auteure n</w:t>
      </w:r>
      <w:r>
        <w:rPr>
          <w:lang w:val="fr-FR"/>
        </w:rPr>
        <w:t>’</w:t>
      </w:r>
      <w:r w:rsidRPr="007C3495">
        <w:rPr>
          <w:lang w:val="fr-FR"/>
        </w:rPr>
        <w:t>avait que quatre jours entre le dernier examen gynécologique effectué le 29 juillet 2019 (à</w:t>
      </w:r>
      <w:r w:rsidRPr="00775B2E">
        <w:rPr>
          <w:i/>
          <w:lang w:val="fr-FR"/>
        </w:rPr>
        <w:t> </w:t>
      </w:r>
      <w:r w:rsidRPr="007C3495">
        <w:rPr>
          <w:lang w:val="fr-FR"/>
        </w:rPr>
        <w:t>41</w:t>
      </w:r>
      <w:r w:rsidRPr="00775B2E">
        <w:rPr>
          <w:i/>
          <w:lang w:val="fr-FR"/>
        </w:rPr>
        <w:t> </w:t>
      </w:r>
      <w:r w:rsidRPr="007C3495">
        <w:rPr>
          <w:lang w:val="fr-FR"/>
        </w:rPr>
        <w:t>semaines et 1</w:t>
      </w:r>
      <w:r w:rsidR="00292C5B">
        <w:rPr>
          <w:lang w:val="fr-FR"/>
        </w:rPr>
        <w:t> </w:t>
      </w:r>
      <w:r w:rsidRPr="007C3495">
        <w:rPr>
          <w:lang w:val="fr-FR"/>
        </w:rPr>
        <w:t>jour de gestation) et la date à laquelle le déclenchement du travail était supposément programmé (à 41 semaines et 5 jours). Dans l</w:t>
      </w:r>
      <w:r>
        <w:rPr>
          <w:lang w:val="fr-FR"/>
        </w:rPr>
        <w:t>’</w:t>
      </w:r>
      <w:r w:rsidRPr="007C3495">
        <w:rPr>
          <w:lang w:val="fr-FR"/>
        </w:rPr>
        <w:t>intervalle, elle aurait dû engager un avocat et un avoué (en payant une partie de leurs honoraires à l</w:t>
      </w:r>
      <w:r>
        <w:rPr>
          <w:lang w:val="fr-FR"/>
        </w:rPr>
        <w:t>’</w:t>
      </w:r>
      <w:r w:rsidRPr="007C3495">
        <w:rPr>
          <w:lang w:val="fr-FR"/>
        </w:rPr>
        <w:t>avance), et donner à l</w:t>
      </w:r>
      <w:r>
        <w:rPr>
          <w:lang w:val="fr-FR"/>
        </w:rPr>
        <w:t>’</w:t>
      </w:r>
      <w:r w:rsidRPr="007C3495">
        <w:rPr>
          <w:lang w:val="fr-FR"/>
        </w:rPr>
        <w:t>un et à l</w:t>
      </w:r>
      <w:r>
        <w:rPr>
          <w:lang w:val="fr-FR"/>
        </w:rPr>
        <w:t>’</w:t>
      </w:r>
      <w:r w:rsidRPr="007C3495">
        <w:rPr>
          <w:lang w:val="fr-FR"/>
        </w:rPr>
        <w:t>autre mandat de représentation. Ne disposant pas de moyens financiers suffisants, elle aurait dû demander une aide juridictionnelle gratuite, pour laquelle le délai d</w:t>
      </w:r>
      <w:r>
        <w:rPr>
          <w:lang w:val="fr-FR"/>
        </w:rPr>
        <w:t>’</w:t>
      </w:r>
      <w:r w:rsidRPr="007C3495">
        <w:rPr>
          <w:lang w:val="fr-FR"/>
        </w:rPr>
        <w:t>attente peut aller jusqu</w:t>
      </w:r>
      <w:r>
        <w:rPr>
          <w:lang w:val="fr-FR"/>
        </w:rPr>
        <w:t>’</w:t>
      </w:r>
      <w:r w:rsidRPr="007C3495">
        <w:rPr>
          <w:lang w:val="fr-FR"/>
        </w:rPr>
        <w:t>à dix jours. De plus, la majorité des tribunaux de l</w:t>
      </w:r>
      <w:r>
        <w:rPr>
          <w:lang w:val="fr-FR"/>
        </w:rPr>
        <w:t>’</w:t>
      </w:r>
      <w:r w:rsidRPr="007C3495">
        <w:rPr>
          <w:lang w:val="fr-FR"/>
        </w:rPr>
        <w:t>État partie ferment en août. Dans ces circonstances, même si elle avait eu le temps de former d</w:t>
      </w:r>
      <w:r>
        <w:rPr>
          <w:lang w:val="fr-FR"/>
        </w:rPr>
        <w:t>’</w:t>
      </w:r>
      <w:r w:rsidRPr="007C3495">
        <w:rPr>
          <w:lang w:val="fr-FR"/>
        </w:rPr>
        <w:t>une manière ou d</w:t>
      </w:r>
      <w:r>
        <w:rPr>
          <w:lang w:val="fr-FR"/>
        </w:rPr>
        <w:t>’</w:t>
      </w:r>
      <w:r w:rsidRPr="007C3495">
        <w:rPr>
          <w:lang w:val="fr-FR"/>
        </w:rPr>
        <w:t xml:space="preserve">une autre un </w:t>
      </w:r>
      <w:r w:rsidRPr="007C3495">
        <w:rPr>
          <w:lang w:val="fr-FR"/>
        </w:rPr>
        <w:lastRenderedPageBreak/>
        <w:t>recours contre la décision de déclencher artificiellement le travail, ce recours aurait été inefficace car au moment où il aurait été tranché, elle aurait déjà accouché et ses droits auraient donc déjà été violés.</w:t>
      </w:r>
    </w:p>
    <w:p w14:paraId="6154CBD5" w14:textId="33497385" w:rsidR="00D10629" w:rsidRPr="00775B2E" w:rsidRDefault="00D10629" w:rsidP="00D10629">
      <w:pPr>
        <w:pStyle w:val="SingleTxtG"/>
        <w:rPr>
          <w:lang w:val="fr-FR"/>
        </w:rPr>
      </w:pPr>
      <w:r w:rsidRPr="007C3495">
        <w:rPr>
          <w:lang w:val="fr-FR"/>
        </w:rPr>
        <w:t>6.7</w:t>
      </w:r>
      <w:r w:rsidRPr="007C3495">
        <w:rPr>
          <w:lang w:val="fr-FR"/>
        </w:rPr>
        <w:tab/>
        <w:t>En ce qui concerne le droit de présenter une communication, l</w:t>
      </w:r>
      <w:r>
        <w:rPr>
          <w:lang w:val="fr-FR"/>
        </w:rPr>
        <w:t>’</w:t>
      </w:r>
      <w:r w:rsidRPr="007C3495">
        <w:rPr>
          <w:lang w:val="fr-FR"/>
        </w:rPr>
        <w:t>auteure affirme qu</w:t>
      </w:r>
      <w:r>
        <w:rPr>
          <w:lang w:val="fr-FR"/>
        </w:rPr>
        <w:t>’</w:t>
      </w:r>
      <w:r w:rsidRPr="007C3495">
        <w:rPr>
          <w:lang w:val="fr-FR"/>
        </w:rPr>
        <w:t>elle a subi des mauvais traitements, voire des actes de torture, dès son admission à l</w:t>
      </w:r>
      <w:r>
        <w:rPr>
          <w:lang w:val="fr-FR"/>
        </w:rPr>
        <w:t>’</w:t>
      </w:r>
      <w:r w:rsidRPr="007C3495">
        <w:rPr>
          <w:lang w:val="fr-FR"/>
        </w:rPr>
        <w:t>hôpital. À ce sujet, elle renvoie au paragraphe</w:t>
      </w:r>
      <w:r w:rsidR="00292C5B">
        <w:rPr>
          <w:lang w:val="fr-FR"/>
        </w:rPr>
        <w:t> </w:t>
      </w:r>
      <w:r w:rsidRPr="007C3495">
        <w:rPr>
          <w:lang w:val="fr-FR"/>
        </w:rPr>
        <w:t>22 de l</w:t>
      </w:r>
      <w:r>
        <w:rPr>
          <w:lang w:val="fr-FR"/>
        </w:rPr>
        <w:t>’</w:t>
      </w:r>
      <w:r w:rsidRPr="007C3495">
        <w:rPr>
          <w:lang w:val="fr-FR"/>
        </w:rPr>
        <w:t xml:space="preserve">observation générale </w:t>
      </w:r>
      <w:r w:rsidRPr="007C3495">
        <w:rPr>
          <w:rFonts w:eastAsia="MS Mincho"/>
          <w:szCs w:val="22"/>
          <w:lang w:val="fr-FR"/>
        </w:rPr>
        <w:t>n</w:t>
      </w:r>
      <w:r w:rsidRPr="007C3495">
        <w:rPr>
          <w:rFonts w:eastAsia="MS Mincho"/>
          <w:szCs w:val="22"/>
          <w:vertAlign w:val="superscript"/>
          <w:lang w:val="fr-FR"/>
        </w:rPr>
        <w:t>o</w:t>
      </w:r>
      <w:r w:rsidRPr="007C3495">
        <w:rPr>
          <w:lang w:val="fr-FR"/>
        </w:rPr>
        <w:t> 2 (2007) du Comité contre la torture, qui inclut les « traitements médicaux » parmi les situations dans lesquelles les femmes sont exposées au risque de torture. L</w:t>
      </w:r>
      <w:r>
        <w:rPr>
          <w:lang w:val="fr-FR"/>
        </w:rPr>
        <w:t>’</w:t>
      </w:r>
      <w:r w:rsidRPr="007C3495">
        <w:rPr>
          <w:lang w:val="fr-FR"/>
        </w:rPr>
        <w:t>auteure affirme avoir présenté cette communication comme concernant un cas évident de violence obstétricale. La manière dont le personnel médical l</w:t>
      </w:r>
      <w:r>
        <w:rPr>
          <w:lang w:val="fr-FR"/>
        </w:rPr>
        <w:t>’</w:t>
      </w:r>
      <w:r w:rsidRPr="007C3495">
        <w:rPr>
          <w:lang w:val="fr-FR"/>
        </w:rPr>
        <w:t>a traitée met en évidence l</w:t>
      </w:r>
      <w:r>
        <w:rPr>
          <w:lang w:val="fr-FR"/>
        </w:rPr>
        <w:t>’</w:t>
      </w:r>
      <w:r w:rsidRPr="007C3495">
        <w:rPr>
          <w:lang w:val="fr-FR"/>
        </w:rPr>
        <w:t>injustice et les préjugés systémiques qui prévalent à l</w:t>
      </w:r>
      <w:r>
        <w:rPr>
          <w:lang w:val="fr-FR"/>
        </w:rPr>
        <w:t>’</w:t>
      </w:r>
      <w:r w:rsidRPr="007C3495">
        <w:rPr>
          <w:lang w:val="fr-FR"/>
        </w:rPr>
        <w:t>égard des femmes en ce qui concerne leurs droits en matière de procréation et de santé, ainsi que la tendance dominante à médicaliser les naissances.</w:t>
      </w:r>
    </w:p>
    <w:p w14:paraId="0D1CA15E" w14:textId="77777777" w:rsidR="00D10629" w:rsidRPr="00775B2E" w:rsidRDefault="00D10629" w:rsidP="00D10629">
      <w:pPr>
        <w:pStyle w:val="SingleTxtG"/>
        <w:rPr>
          <w:lang w:val="fr-FR"/>
        </w:rPr>
      </w:pPr>
      <w:r w:rsidRPr="007C3495">
        <w:rPr>
          <w:lang w:val="fr-FR"/>
        </w:rPr>
        <w:t>6.8</w:t>
      </w:r>
      <w:r w:rsidRPr="007C3495">
        <w:rPr>
          <w:lang w:val="fr-FR"/>
        </w:rPr>
        <w:tab/>
        <w:t>L</w:t>
      </w:r>
      <w:r>
        <w:rPr>
          <w:lang w:val="fr-FR"/>
        </w:rPr>
        <w:t>’</w:t>
      </w:r>
      <w:r w:rsidRPr="007C3495">
        <w:rPr>
          <w:lang w:val="fr-FR"/>
        </w:rPr>
        <w:t>auteure cite la jurisprudence de la Cour européenne des droits de l</w:t>
      </w:r>
      <w:r>
        <w:rPr>
          <w:lang w:val="fr-FR"/>
        </w:rPr>
        <w:t>’</w:t>
      </w:r>
      <w:r w:rsidRPr="007C3495">
        <w:rPr>
          <w:lang w:val="fr-FR"/>
        </w:rPr>
        <w:t>homme</w:t>
      </w:r>
      <w:r w:rsidRPr="00DE4E77">
        <w:rPr>
          <w:rStyle w:val="Appelnotedebasdep"/>
        </w:rPr>
        <w:footnoteReference w:id="10"/>
      </w:r>
      <w:r w:rsidRPr="007C3495">
        <w:rPr>
          <w:lang w:val="fr-FR"/>
        </w:rPr>
        <w:t xml:space="preserve"> selon laquelle chaque femme a le droit de choisir les circonstances de l</w:t>
      </w:r>
      <w:r>
        <w:rPr>
          <w:lang w:val="fr-FR"/>
        </w:rPr>
        <w:t>’</w:t>
      </w:r>
      <w:r w:rsidRPr="007C3495">
        <w:rPr>
          <w:lang w:val="fr-FR"/>
        </w:rPr>
        <w:t>accouchement et de la naissance. Elle précise que cette jurisprudence fait référence aux directives de l</w:t>
      </w:r>
      <w:r>
        <w:rPr>
          <w:lang w:val="fr-FR"/>
        </w:rPr>
        <w:t>’</w:t>
      </w:r>
      <w:r w:rsidRPr="007C3495">
        <w:rPr>
          <w:lang w:val="fr-FR"/>
        </w:rPr>
        <w:t>Organisation mondiale de la Santé qui soulignent l</w:t>
      </w:r>
      <w:r>
        <w:rPr>
          <w:lang w:val="fr-FR"/>
        </w:rPr>
        <w:t>’</w:t>
      </w:r>
      <w:r w:rsidRPr="007C3495">
        <w:rPr>
          <w:lang w:val="fr-FR"/>
        </w:rPr>
        <w:t>importance de traiter chaque césarienne indépendamment, au cas par cas, en tenant compte des conditions et circonstances personnelles de chaque femme</w:t>
      </w:r>
      <w:r w:rsidRPr="00DE4E77">
        <w:rPr>
          <w:rStyle w:val="Appelnotedebasdep"/>
        </w:rPr>
        <w:footnoteReference w:id="11"/>
      </w:r>
      <w:r w:rsidRPr="007C3495">
        <w:rPr>
          <w:lang w:val="fr-FR"/>
        </w:rPr>
        <w:t>. Elle fait valoir que, dans le domaine de la santé, les mauvais traitements peuvent se produire dans différents contextes</w:t>
      </w:r>
      <w:r w:rsidRPr="00775B2E">
        <w:rPr>
          <w:i/>
          <w:lang w:val="fr-FR"/>
        </w:rPr>
        <w:t> </w:t>
      </w:r>
      <w:r w:rsidRPr="007C3495">
        <w:rPr>
          <w:lang w:val="fr-FR"/>
        </w:rPr>
        <w:t>: par conséquent, le droit au consentement doit également inclure le droit de révoquer le consentement pour chaque acte médical demandé ; le personnel de santé doit considérer les femmes en travail comme des personnes et non comme des patientes, en évitant l</w:t>
      </w:r>
      <w:r>
        <w:rPr>
          <w:lang w:val="fr-FR"/>
        </w:rPr>
        <w:t>’</w:t>
      </w:r>
      <w:r w:rsidRPr="007C3495">
        <w:rPr>
          <w:lang w:val="fr-FR"/>
        </w:rPr>
        <w:t>instrumentalisation qui expose ces femmes à des situations de grande vulnérabilité et réduit leur autonomie. Elle ajoute que la maltraitance médicale (tout comme l</w:t>
      </w:r>
      <w:r>
        <w:rPr>
          <w:lang w:val="fr-FR"/>
        </w:rPr>
        <w:t>’</w:t>
      </w:r>
      <w:r w:rsidRPr="007C3495">
        <w:rPr>
          <w:lang w:val="fr-FR"/>
        </w:rPr>
        <w:t>angoisse physique et psychique qu</w:t>
      </w:r>
      <w:r>
        <w:rPr>
          <w:lang w:val="fr-FR"/>
        </w:rPr>
        <w:t>’</w:t>
      </w:r>
      <w:r w:rsidRPr="007C3495">
        <w:rPr>
          <w:lang w:val="fr-FR"/>
        </w:rPr>
        <w:t>elle génère) est discriminatoire et peut être assimilée à de la torture lorsque le corps féminin et ses besoins sont soumis à la toute-puissance scientifique</w:t>
      </w:r>
      <w:r w:rsidRPr="00DE4E77">
        <w:rPr>
          <w:rStyle w:val="Appelnotedebasdep"/>
        </w:rPr>
        <w:footnoteReference w:id="12"/>
      </w:r>
      <w:r w:rsidRPr="007C3495">
        <w:rPr>
          <w:lang w:val="fr-FR"/>
        </w:rPr>
        <w:t>.</w:t>
      </w:r>
    </w:p>
    <w:p w14:paraId="1E6757B6" w14:textId="23E1890D" w:rsidR="00D10629" w:rsidRPr="00775B2E" w:rsidRDefault="00D10629" w:rsidP="00D10629">
      <w:pPr>
        <w:pStyle w:val="SingleTxtG"/>
        <w:rPr>
          <w:spacing w:val="-2"/>
          <w:lang w:val="fr-FR"/>
        </w:rPr>
      </w:pPr>
      <w:r w:rsidRPr="007C3495">
        <w:rPr>
          <w:spacing w:val="-2"/>
          <w:lang w:val="fr-FR"/>
        </w:rPr>
        <w:t>6.9</w:t>
      </w:r>
      <w:r w:rsidRPr="007C3495">
        <w:rPr>
          <w:spacing w:val="-2"/>
          <w:lang w:val="fr-FR"/>
        </w:rPr>
        <w:tab/>
        <w:t>Pour conclure, l</w:t>
      </w:r>
      <w:r>
        <w:rPr>
          <w:spacing w:val="-2"/>
          <w:lang w:val="fr-FR"/>
        </w:rPr>
        <w:t>’</w:t>
      </w:r>
      <w:r w:rsidRPr="007C3495">
        <w:rPr>
          <w:spacing w:val="-2"/>
          <w:lang w:val="fr-FR"/>
        </w:rPr>
        <w:t>auteure affirme qu</w:t>
      </w:r>
      <w:r>
        <w:rPr>
          <w:spacing w:val="-2"/>
          <w:lang w:val="fr-FR"/>
        </w:rPr>
        <w:t>’</w:t>
      </w:r>
      <w:r w:rsidRPr="007C3495">
        <w:rPr>
          <w:spacing w:val="-2"/>
          <w:lang w:val="fr-FR"/>
        </w:rPr>
        <w:t>elle a été victime de violence verbale, physique et psychologique, ce qui l</w:t>
      </w:r>
      <w:r>
        <w:rPr>
          <w:spacing w:val="-2"/>
          <w:lang w:val="fr-FR"/>
        </w:rPr>
        <w:t>’</w:t>
      </w:r>
      <w:r w:rsidRPr="007C3495">
        <w:rPr>
          <w:spacing w:val="-2"/>
          <w:lang w:val="fr-FR"/>
        </w:rPr>
        <w:t>a traumatisée et l</w:t>
      </w:r>
      <w:r>
        <w:rPr>
          <w:spacing w:val="-2"/>
          <w:lang w:val="fr-FR"/>
        </w:rPr>
        <w:t>’</w:t>
      </w:r>
      <w:r w:rsidRPr="007C3495">
        <w:rPr>
          <w:spacing w:val="-2"/>
          <w:lang w:val="fr-FR"/>
        </w:rPr>
        <w:t>a contrainte à renoncer à ses véritables désirs, tels qu</w:t>
      </w:r>
      <w:r>
        <w:rPr>
          <w:spacing w:val="-2"/>
          <w:lang w:val="fr-FR"/>
        </w:rPr>
        <w:t>’</w:t>
      </w:r>
      <w:r w:rsidRPr="007C3495">
        <w:rPr>
          <w:spacing w:val="-2"/>
          <w:lang w:val="fr-FR"/>
        </w:rPr>
        <w:t>ils étaient énoncés dans son plan de naissance. On lui a injecté des produits qu</w:t>
      </w:r>
      <w:r>
        <w:rPr>
          <w:spacing w:val="-2"/>
          <w:lang w:val="fr-FR"/>
        </w:rPr>
        <w:t>’</w:t>
      </w:r>
      <w:r w:rsidRPr="007C3495">
        <w:rPr>
          <w:spacing w:val="-2"/>
          <w:lang w:val="fr-FR"/>
        </w:rPr>
        <w:t>elle avait expressément refusés et elle a été soumise à une procédure accélérée, ce qu</w:t>
      </w:r>
      <w:r>
        <w:rPr>
          <w:spacing w:val="-2"/>
          <w:lang w:val="fr-FR"/>
        </w:rPr>
        <w:t>’</w:t>
      </w:r>
      <w:r w:rsidRPr="007C3495">
        <w:rPr>
          <w:spacing w:val="-2"/>
          <w:lang w:val="fr-FR"/>
        </w:rPr>
        <w:t>elle considère comme contraire à l</w:t>
      </w:r>
      <w:r>
        <w:rPr>
          <w:spacing w:val="-2"/>
          <w:lang w:val="fr-FR"/>
        </w:rPr>
        <w:t>’</w:t>
      </w:r>
      <w:r w:rsidRPr="007C3495">
        <w:rPr>
          <w:spacing w:val="-2"/>
          <w:lang w:val="fr-FR"/>
        </w:rPr>
        <w:t>éthique et illégal et qui découle d</w:t>
      </w:r>
      <w:r>
        <w:rPr>
          <w:spacing w:val="-2"/>
          <w:lang w:val="fr-FR"/>
        </w:rPr>
        <w:t>’</w:t>
      </w:r>
      <w:r w:rsidRPr="007C3495">
        <w:rPr>
          <w:spacing w:val="-2"/>
          <w:lang w:val="fr-FR"/>
        </w:rPr>
        <w:t>une vision partiale de son rôle en tant que mère et en tant que femme. On lui a également reproché d</w:t>
      </w:r>
      <w:r>
        <w:rPr>
          <w:spacing w:val="-2"/>
          <w:lang w:val="fr-FR"/>
        </w:rPr>
        <w:t>’</w:t>
      </w:r>
      <w:r w:rsidRPr="007C3495">
        <w:rPr>
          <w:spacing w:val="-2"/>
          <w:lang w:val="fr-FR"/>
        </w:rPr>
        <w:t>avoir causé les problèmes rencontrés par le bébé (victimisation secondaire), alors que ceux-ci ont en fait commencé après qu</w:t>
      </w:r>
      <w:r>
        <w:rPr>
          <w:spacing w:val="-2"/>
          <w:lang w:val="fr-FR"/>
        </w:rPr>
        <w:t>’</w:t>
      </w:r>
      <w:r w:rsidRPr="007C3495">
        <w:rPr>
          <w:spacing w:val="-2"/>
          <w:lang w:val="fr-FR"/>
        </w:rPr>
        <w:t>il a été séparé d</w:t>
      </w:r>
      <w:r>
        <w:rPr>
          <w:spacing w:val="-2"/>
          <w:lang w:val="fr-FR"/>
        </w:rPr>
        <w:t>’</w:t>
      </w:r>
      <w:r w:rsidRPr="007C3495">
        <w:rPr>
          <w:spacing w:val="-2"/>
          <w:lang w:val="fr-FR"/>
        </w:rPr>
        <w:t>elle. L</w:t>
      </w:r>
      <w:r>
        <w:rPr>
          <w:spacing w:val="-2"/>
          <w:lang w:val="fr-FR"/>
        </w:rPr>
        <w:t>’</w:t>
      </w:r>
      <w:r w:rsidRPr="007C3495">
        <w:rPr>
          <w:spacing w:val="-2"/>
          <w:lang w:val="fr-FR"/>
        </w:rPr>
        <w:t>auteure estime en outre que son bébé a subi des actes inutiles.</w:t>
      </w:r>
    </w:p>
    <w:p w14:paraId="7D9C9C4F" w14:textId="77777777" w:rsidR="00D10629" w:rsidRPr="00775B2E" w:rsidRDefault="00D10629" w:rsidP="00292C5B">
      <w:pPr>
        <w:pStyle w:val="H23G"/>
        <w:rPr>
          <w:lang w:val="fr-FR"/>
        </w:rPr>
      </w:pPr>
      <w:r w:rsidRPr="007C3495">
        <w:rPr>
          <w:lang w:val="fr-FR"/>
        </w:rPr>
        <w:tab/>
      </w:r>
      <w:r w:rsidRPr="007C3495">
        <w:rPr>
          <w:lang w:val="fr-FR"/>
        </w:rPr>
        <w:tab/>
        <w:t>Délibérations du Comité</w:t>
      </w:r>
    </w:p>
    <w:p w14:paraId="7C256F91" w14:textId="77777777" w:rsidR="00D10629" w:rsidRPr="00775B2E" w:rsidRDefault="00D10629" w:rsidP="00292C5B">
      <w:pPr>
        <w:pStyle w:val="H4G"/>
        <w:rPr>
          <w:lang w:val="fr-FR"/>
        </w:rPr>
      </w:pPr>
      <w:r w:rsidRPr="007C3495">
        <w:rPr>
          <w:lang w:val="fr-FR"/>
        </w:rPr>
        <w:tab/>
      </w:r>
      <w:r w:rsidRPr="007C3495">
        <w:rPr>
          <w:lang w:val="fr-FR"/>
        </w:rPr>
        <w:tab/>
        <w:t>Examen de la recevabilité</w:t>
      </w:r>
    </w:p>
    <w:p w14:paraId="43360B08" w14:textId="6C55D0A0" w:rsidR="00D10629" w:rsidRPr="00775B2E" w:rsidRDefault="00D10629" w:rsidP="00D10629">
      <w:pPr>
        <w:pStyle w:val="SingleTxtG"/>
        <w:rPr>
          <w:lang w:val="fr-FR"/>
        </w:rPr>
      </w:pPr>
      <w:r w:rsidRPr="007C3495">
        <w:rPr>
          <w:lang w:val="fr-FR"/>
        </w:rPr>
        <w:t>7.1</w:t>
      </w:r>
      <w:r w:rsidRPr="007C3495">
        <w:rPr>
          <w:lang w:val="fr-FR"/>
        </w:rPr>
        <w:tab/>
        <w:t>Avant d</w:t>
      </w:r>
      <w:r>
        <w:rPr>
          <w:lang w:val="fr-FR"/>
        </w:rPr>
        <w:t>’</w:t>
      </w:r>
      <w:r w:rsidRPr="007C3495">
        <w:rPr>
          <w:lang w:val="fr-FR"/>
        </w:rPr>
        <w:t>examiner tout grief formulé dans une communication, le Comité des droits de l</w:t>
      </w:r>
      <w:r>
        <w:rPr>
          <w:lang w:val="fr-FR"/>
        </w:rPr>
        <w:t>’</w:t>
      </w:r>
      <w:r w:rsidRPr="007C3495">
        <w:rPr>
          <w:lang w:val="fr-FR"/>
        </w:rPr>
        <w:t>homme doit, conformément à l</w:t>
      </w:r>
      <w:r>
        <w:rPr>
          <w:lang w:val="fr-FR"/>
        </w:rPr>
        <w:t>’</w:t>
      </w:r>
      <w:r w:rsidRPr="007C3495">
        <w:rPr>
          <w:lang w:val="fr-FR"/>
        </w:rPr>
        <w:t>article</w:t>
      </w:r>
      <w:r w:rsidR="00292C5B">
        <w:rPr>
          <w:lang w:val="fr-FR"/>
        </w:rPr>
        <w:t> </w:t>
      </w:r>
      <w:r w:rsidRPr="007C3495">
        <w:rPr>
          <w:lang w:val="fr-FR"/>
        </w:rPr>
        <w:t>97 de son règlement intérieur, déterminer si la communication est recevable au regard du Protocole facultatif se rapportant au Pacte.</w:t>
      </w:r>
    </w:p>
    <w:p w14:paraId="0B520767" w14:textId="52957635" w:rsidR="00D10629" w:rsidRPr="00775B2E" w:rsidRDefault="00D10629" w:rsidP="00D10629">
      <w:pPr>
        <w:pStyle w:val="SingleTxtG"/>
        <w:rPr>
          <w:lang w:val="fr-FR"/>
        </w:rPr>
      </w:pPr>
      <w:r w:rsidRPr="007C3495">
        <w:rPr>
          <w:lang w:val="fr-FR"/>
        </w:rPr>
        <w:t>7.2</w:t>
      </w:r>
      <w:r w:rsidRPr="007C3495">
        <w:rPr>
          <w:lang w:val="fr-FR"/>
        </w:rPr>
        <w:tab/>
        <w:t>Le Comité s</w:t>
      </w:r>
      <w:r>
        <w:rPr>
          <w:lang w:val="fr-FR"/>
        </w:rPr>
        <w:t>’</w:t>
      </w:r>
      <w:r w:rsidRPr="007C3495">
        <w:rPr>
          <w:lang w:val="fr-FR"/>
        </w:rPr>
        <w:t>est assuré, comme il est tenu de le faire conformément au paragraphe 2 a) de l</w:t>
      </w:r>
      <w:r>
        <w:rPr>
          <w:lang w:val="fr-FR"/>
        </w:rPr>
        <w:t>’</w:t>
      </w:r>
      <w:r w:rsidRPr="007C3495">
        <w:rPr>
          <w:lang w:val="fr-FR"/>
        </w:rPr>
        <w:t>article</w:t>
      </w:r>
      <w:r w:rsidR="00292C5B">
        <w:rPr>
          <w:lang w:val="fr-FR"/>
        </w:rPr>
        <w:t> </w:t>
      </w:r>
      <w:r w:rsidRPr="007C3495">
        <w:rPr>
          <w:lang w:val="fr-FR"/>
        </w:rPr>
        <w:t>5 du Protocole facultatif, que la même question n</w:t>
      </w:r>
      <w:r>
        <w:rPr>
          <w:lang w:val="fr-FR"/>
        </w:rPr>
        <w:t>’</w:t>
      </w:r>
      <w:r w:rsidRPr="007C3495">
        <w:rPr>
          <w:lang w:val="fr-FR"/>
        </w:rPr>
        <w:t>était pas déjà en cours d</w:t>
      </w:r>
      <w:r>
        <w:rPr>
          <w:lang w:val="fr-FR"/>
        </w:rPr>
        <w:t>’</w:t>
      </w:r>
      <w:r w:rsidRPr="007C3495">
        <w:rPr>
          <w:lang w:val="fr-FR"/>
        </w:rPr>
        <w:t>examen devant une autre instance internationale d</w:t>
      </w:r>
      <w:r>
        <w:rPr>
          <w:lang w:val="fr-FR"/>
        </w:rPr>
        <w:t>’</w:t>
      </w:r>
      <w:r w:rsidRPr="007C3495">
        <w:rPr>
          <w:lang w:val="fr-FR"/>
        </w:rPr>
        <w:t>enquête ou de règlement.</w:t>
      </w:r>
    </w:p>
    <w:p w14:paraId="64F2B78F" w14:textId="4E1D955E" w:rsidR="00D10629" w:rsidRPr="00775B2E" w:rsidRDefault="00D10629" w:rsidP="00D10629">
      <w:pPr>
        <w:pStyle w:val="SingleTxtG"/>
        <w:rPr>
          <w:lang w:val="fr-FR"/>
        </w:rPr>
      </w:pPr>
      <w:r w:rsidRPr="007C3495">
        <w:rPr>
          <w:lang w:val="fr-FR"/>
        </w:rPr>
        <w:lastRenderedPageBreak/>
        <w:t>7.3</w:t>
      </w:r>
      <w:r w:rsidRPr="007C3495">
        <w:rPr>
          <w:lang w:val="fr-FR"/>
        </w:rPr>
        <w:tab/>
        <w:t>Le Comité prend note des allégations de l</w:t>
      </w:r>
      <w:r>
        <w:rPr>
          <w:lang w:val="fr-FR"/>
        </w:rPr>
        <w:t>’</w:t>
      </w:r>
      <w:r w:rsidRPr="007C3495">
        <w:rPr>
          <w:lang w:val="fr-FR"/>
        </w:rPr>
        <w:t>État partie qui affirme que les recours internes disponibles n</w:t>
      </w:r>
      <w:r>
        <w:rPr>
          <w:lang w:val="fr-FR"/>
        </w:rPr>
        <w:t>’</w:t>
      </w:r>
      <w:r w:rsidRPr="007C3495">
        <w:rPr>
          <w:lang w:val="fr-FR"/>
        </w:rPr>
        <w:t>ont pas été épuisés, ainsi que de l</w:t>
      </w:r>
      <w:r>
        <w:rPr>
          <w:lang w:val="fr-FR"/>
        </w:rPr>
        <w:t>’</w:t>
      </w:r>
      <w:r w:rsidRPr="007C3495">
        <w:rPr>
          <w:lang w:val="fr-FR"/>
        </w:rPr>
        <w:t>affirmation de l</w:t>
      </w:r>
      <w:r>
        <w:rPr>
          <w:lang w:val="fr-FR"/>
        </w:rPr>
        <w:t>’</w:t>
      </w:r>
      <w:r w:rsidRPr="007C3495">
        <w:rPr>
          <w:lang w:val="fr-FR"/>
        </w:rPr>
        <w:t>auteure selon laquelle ces recours n</w:t>
      </w:r>
      <w:r>
        <w:rPr>
          <w:lang w:val="fr-FR"/>
        </w:rPr>
        <w:t>’</w:t>
      </w:r>
      <w:r w:rsidRPr="007C3495">
        <w:rPr>
          <w:lang w:val="fr-FR"/>
        </w:rPr>
        <w:t>auraient pas été efficaces. Il rappelle sa jurisprudence et réaffirme que pour satisfaire aux prescriptions du paragraphe 2 b) de l</w:t>
      </w:r>
      <w:r>
        <w:rPr>
          <w:lang w:val="fr-FR"/>
        </w:rPr>
        <w:t>’</w:t>
      </w:r>
      <w:r w:rsidRPr="007C3495">
        <w:rPr>
          <w:lang w:val="fr-FR"/>
        </w:rPr>
        <w:t>article 5 du Protocole facultatif, les auteurs de communications doivent faire usage de tous les recours judiciaires, dans la mesure où ces recours semblent être utiles en l</w:t>
      </w:r>
      <w:r>
        <w:rPr>
          <w:lang w:val="fr-FR"/>
        </w:rPr>
        <w:t>’</w:t>
      </w:r>
      <w:r w:rsidRPr="007C3495">
        <w:rPr>
          <w:lang w:val="fr-FR"/>
        </w:rPr>
        <w:t>espèce et leur sont d</w:t>
      </w:r>
      <w:r w:rsidR="00292C5B">
        <w:rPr>
          <w:lang w:val="fr-FR"/>
        </w:rPr>
        <w:t>e </w:t>
      </w:r>
      <w:r w:rsidRPr="007C3495">
        <w:rPr>
          <w:lang w:val="fr-FR"/>
        </w:rPr>
        <w:t>facto ouverts</w:t>
      </w:r>
      <w:r w:rsidRPr="00DE4E77">
        <w:rPr>
          <w:rStyle w:val="Appelnotedebasdep"/>
        </w:rPr>
        <w:footnoteReference w:id="13"/>
      </w:r>
      <w:r w:rsidRPr="007C3495">
        <w:rPr>
          <w:lang w:val="fr-FR"/>
        </w:rPr>
        <w:t>.</w:t>
      </w:r>
    </w:p>
    <w:p w14:paraId="4E78CB2E" w14:textId="7FD4AD35" w:rsidR="00D10629" w:rsidRPr="00775B2E" w:rsidRDefault="00D10629" w:rsidP="00D10629">
      <w:pPr>
        <w:pStyle w:val="SingleTxtG"/>
        <w:rPr>
          <w:lang w:val="fr-FR"/>
        </w:rPr>
      </w:pPr>
      <w:r w:rsidRPr="007C3495">
        <w:rPr>
          <w:lang w:val="fr-FR"/>
        </w:rPr>
        <w:t>7.4</w:t>
      </w:r>
      <w:r w:rsidRPr="007C3495">
        <w:rPr>
          <w:lang w:val="fr-FR"/>
        </w:rPr>
        <w:tab/>
        <w:t>Le Comité prend note des arguments de l</w:t>
      </w:r>
      <w:r>
        <w:rPr>
          <w:lang w:val="fr-FR"/>
        </w:rPr>
        <w:t>’</w:t>
      </w:r>
      <w:r w:rsidRPr="007C3495">
        <w:rPr>
          <w:lang w:val="fr-FR"/>
        </w:rPr>
        <w:t>auteure qui fait valoir que l</w:t>
      </w:r>
      <w:r>
        <w:rPr>
          <w:lang w:val="fr-FR"/>
        </w:rPr>
        <w:t>’</w:t>
      </w:r>
      <w:r w:rsidRPr="007C3495">
        <w:rPr>
          <w:lang w:val="fr-FR"/>
        </w:rPr>
        <w:t>État partie n</w:t>
      </w:r>
      <w:r>
        <w:rPr>
          <w:lang w:val="fr-FR"/>
        </w:rPr>
        <w:t>’</w:t>
      </w:r>
      <w:r w:rsidRPr="007C3495">
        <w:rPr>
          <w:lang w:val="fr-FR"/>
        </w:rPr>
        <w:t>a pas indiqué quels étaient les recours utiles qu</w:t>
      </w:r>
      <w:r>
        <w:rPr>
          <w:lang w:val="fr-FR"/>
        </w:rPr>
        <w:t>’</w:t>
      </w:r>
      <w:r w:rsidRPr="007C3495">
        <w:rPr>
          <w:lang w:val="fr-FR"/>
        </w:rPr>
        <w:t>elle aurait pu exercer et que le temps dont elle disposait n</w:t>
      </w:r>
      <w:r>
        <w:rPr>
          <w:lang w:val="fr-FR"/>
        </w:rPr>
        <w:t>’</w:t>
      </w:r>
      <w:r w:rsidRPr="007C3495">
        <w:rPr>
          <w:lang w:val="fr-FR"/>
        </w:rPr>
        <w:t>était pas suffisant puisque quelques jours seulement se sont écoulés entre son dernier examen gynécologique en juillet et la date supposément programmée pour le déclenchement du travail contre son gré. Il prend également note de l</w:t>
      </w:r>
      <w:r>
        <w:rPr>
          <w:lang w:val="fr-FR"/>
        </w:rPr>
        <w:t>’</w:t>
      </w:r>
      <w:r w:rsidRPr="007C3495">
        <w:rPr>
          <w:lang w:val="fr-FR"/>
        </w:rPr>
        <w:t>argument de l</w:t>
      </w:r>
      <w:r>
        <w:rPr>
          <w:lang w:val="fr-FR"/>
        </w:rPr>
        <w:t>’</w:t>
      </w:r>
      <w:r w:rsidRPr="007C3495">
        <w:rPr>
          <w:lang w:val="fr-FR"/>
        </w:rPr>
        <w:t>État partie selon lequel l</w:t>
      </w:r>
      <w:r>
        <w:rPr>
          <w:lang w:val="fr-FR"/>
        </w:rPr>
        <w:t>’</w:t>
      </w:r>
      <w:r w:rsidRPr="007C3495">
        <w:rPr>
          <w:lang w:val="fr-FR"/>
        </w:rPr>
        <w:t xml:space="preserve">auteure aurait pu, face aux </w:t>
      </w:r>
      <w:r w:rsidRPr="00775B2E">
        <w:rPr>
          <w:lang w:val="fr-FR"/>
        </w:rPr>
        <w:t>abus de pouvoir de l</w:t>
      </w:r>
      <w:r>
        <w:rPr>
          <w:lang w:val="fr-FR"/>
        </w:rPr>
        <w:t>’</w:t>
      </w:r>
      <w:r w:rsidRPr="00775B2E">
        <w:rPr>
          <w:lang w:val="fr-FR"/>
        </w:rPr>
        <w:t>administration,</w:t>
      </w:r>
      <w:r w:rsidRPr="007C3495">
        <w:rPr>
          <w:lang w:val="fr-FR"/>
        </w:rPr>
        <w:t xml:space="preserve"> demander des mesures provisoires d</w:t>
      </w:r>
      <w:r>
        <w:rPr>
          <w:lang w:val="fr-FR"/>
        </w:rPr>
        <w:t>’</w:t>
      </w:r>
      <w:r w:rsidRPr="007C3495">
        <w:rPr>
          <w:lang w:val="fr-FR"/>
        </w:rPr>
        <w:t>urgence en vertu de l</w:t>
      </w:r>
      <w:r>
        <w:rPr>
          <w:lang w:val="fr-FR"/>
        </w:rPr>
        <w:t>’</w:t>
      </w:r>
      <w:r w:rsidRPr="007C3495">
        <w:rPr>
          <w:lang w:val="fr-FR"/>
        </w:rPr>
        <w:t>article</w:t>
      </w:r>
      <w:r w:rsidR="00292C5B">
        <w:rPr>
          <w:lang w:val="fr-FR"/>
        </w:rPr>
        <w:t> </w:t>
      </w:r>
      <w:r w:rsidRPr="007C3495">
        <w:rPr>
          <w:lang w:val="fr-FR"/>
        </w:rPr>
        <w:t xml:space="preserve">135 de la loi </w:t>
      </w:r>
      <w:r w:rsidRPr="007C3495">
        <w:rPr>
          <w:rFonts w:eastAsia="MS Mincho"/>
          <w:szCs w:val="22"/>
          <w:lang w:val="fr-FR"/>
        </w:rPr>
        <w:t>n</w:t>
      </w:r>
      <w:r w:rsidRPr="007C3495">
        <w:rPr>
          <w:rFonts w:eastAsia="MS Mincho"/>
          <w:szCs w:val="22"/>
          <w:vertAlign w:val="superscript"/>
          <w:lang w:val="fr-FR"/>
        </w:rPr>
        <w:t>o</w:t>
      </w:r>
      <w:r w:rsidRPr="007C3495">
        <w:rPr>
          <w:lang w:val="fr-FR"/>
        </w:rPr>
        <w:t> 29/1998 sur la juridiction administrative, mesures qui doivent être décidées dans un délai de deux jours et permettent d</w:t>
      </w:r>
      <w:r>
        <w:rPr>
          <w:lang w:val="fr-FR"/>
        </w:rPr>
        <w:t>’</w:t>
      </w:r>
      <w:r w:rsidRPr="007C3495">
        <w:rPr>
          <w:lang w:val="fr-FR"/>
        </w:rPr>
        <w:t>agir immédiatement sans avoir notifié l</w:t>
      </w:r>
      <w:r>
        <w:rPr>
          <w:lang w:val="fr-FR"/>
        </w:rPr>
        <w:t>’</w:t>
      </w:r>
      <w:r w:rsidRPr="007C3495">
        <w:rPr>
          <w:lang w:val="fr-FR"/>
        </w:rPr>
        <w:t>administration défenderesse. Il note en outre que l</w:t>
      </w:r>
      <w:r>
        <w:rPr>
          <w:lang w:val="fr-FR"/>
        </w:rPr>
        <w:t>’</w:t>
      </w:r>
      <w:r w:rsidRPr="007C3495">
        <w:rPr>
          <w:lang w:val="fr-FR"/>
        </w:rPr>
        <w:t>auteure affirme que l</w:t>
      </w:r>
      <w:r>
        <w:rPr>
          <w:lang w:val="fr-FR"/>
        </w:rPr>
        <w:t>’</w:t>
      </w:r>
      <w:r w:rsidRPr="007C3495">
        <w:rPr>
          <w:lang w:val="fr-FR"/>
        </w:rPr>
        <w:t>introduction d</w:t>
      </w:r>
      <w:r>
        <w:rPr>
          <w:lang w:val="fr-FR"/>
        </w:rPr>
        <w:t>’</w:t>
      </w:r>
      <w:r w:rsidRPr="007C3495">
        <w:rPr>
          <w:lang w:val="fr-FR"/>
        </w:rPr>
        <w:t>un recours judiciaire aurait supposé d</w:t>
      </w:r>
      <w:r>
        <w:rPr>
          <w:lang w:val="fr-FR"/>
        </w:rPr>
        <w:t>’</w:t>
      </w:r>
      <w:r w:rsidRPr="007C3495">
        <w:rPr>
          <w:lang w:val="fr-FR"/>
        </w:rPr>
        <w:t>engager des dépenses considérables en peu de temps pour couvrir certains frais de représentation et de défense ou, à défaut, de demander à bénéficier d</w:t>
      </w:r>
      <w:r>
        <w:rPr>
          <w:lang w:val="fr-FR"/>
        </w:rPr>
        <w:t>’</w:t>
      </w:r>
      <w:r w:rsidRPr="007C3495">
        <w:rPr>
          <w:lang w:val="fr-FR"/>
        </w:rPr>
        <w:t>une aide juridictionnelle gratuite, ce qui pouvait prendre jusqu</w:t>
      </w:r>
      <w:r>
        <w:rPr>
          <w:lang w:val="fr-FR"/>
        </w:rPr>
        <w:t>’</w:t>
      </w:r>
      <w:r w:rsidRPr="007C3495">
        <w:rPr>
          <w:lang w:val="fr-FR"/>
        </w:rPr>
        <w:t>à dix jours. Il rappelle sa jurisprudence selon laquelle les considérations économiques ne dispensent généralement pas l</w:t>
      </w:r>
      <w:r>
        <w:rPr>
          <w:lang w:val="fr-FR"/>
        </w:rPr>
        <w:t>’</w:t>
      </w:r>
      <w:r w:rsidRPr="007C3495">
        <w:rPr>
          <w:lang w:val="fr-FR"/>
        </w:rPr>
        <w:t>auteur d</w:t>
      </w:r>
      <w:r>
        <w:rPr>
          <w:lang w:val="fr-FR"/>
        </w:rPr>
        <w:t>’</w:t>
      </w:r>
      <w:r w:rsidRPr="007C3495">
        <w:rPr>
          <w:lang w:val="fr-FR"/>
        </w:rPr>
        <w:t>une communication de l</w:t>
      </w:r>
      <w:r>
        <w:rPr>
          <w:lang w:val="fr-FR"/>
        </w:rPr>
        <w:t>’</w:t>
      </w:r>
      <w:r w:rsidRPr="007C3495">
        <w:rPr>
          <w:lang w:val="fr-FR"/>
        </w:rPr>
        <w:t>obligation d</w:t>
      </w:r>
      <w:r>
        <w:rPr>
          <w:lang w:val="fr-FR"/>
        </w:rPr>
        <w:t>’</w:t>
      </w:r>
      <w:r w:rsidRPr="007C3495">
        <w:rPr>
          <w:lang w:val="fr-FR"/>
        </w:rPr>
        <w:t>épuiser les recours internes</w:t>
      </w:r>
      <w:r w:rsidRPr="00DE4E77">
        <w:rPr>
          <w:rStyle w:val="Appelnotedebasdep"/>
        </w:rPr>
        <w:footnoteReference w:id="14"/>
      </w:r>
      <w:r w:rsidRPr="007C3495">
        <w:rPr>
          <w:lang w:val="fr-FR"/>
        </w:rPr>
        <w:t>. En même temps, le Comité note que l</w:t>
      </w:r>
      <w:r>
        <w:rPr>
          <w:lang w:val="fr-FR"/>
        </w:rPr>
        <w:t>’</w:t>
      </w:r>
      <w:r w:rsidRPr="007C3495">
        <w:rPr>
          <w:lang w:val="fr-FR"/>
        </w:rPr>
        <w:t>auteure lui a soumis sa communication le 2</w:t>
      </w:r>
      <w:r w:rsidR="00292C5B">
        <w:rPr>
          <w:lang w:val="fr-FR"/>
        </w:rPr>
        <w:t> </w:t>
      </w:r>
      <w:r w:rsidRPr="007C3495">
        <w:rPr>
          <w:lang w:val="fr-FR"/>
        </w:rPr>
        <w:t>août 2019, soit quatre jours après que son plan de naissance a été rejeté par l</w:t>
      </w:r>
      <w:r>
        <w:rPr>
          <w:lang w:val="fr-FR"/>
        </w:rPr>
        <w:t>’</w:t>
      </w:r>
      <w:r w:rsidRPr="007C3495">
        <w:rPr>
          <w:lang w:val="fr-FR"/>
        </w:rPr>
        <w:t>hôpital, et qu</w:t>
      </w:r>
      <w:r>
        <w:rPr>
          <w:lang w:val="fr-FR"/>
        </w:rPr>
        <w:t>’</w:t>
      </w:r>
      <w:r w:rsidRPr="007C3495">
        <w:rPr>
          <w:lang w:val="fr-FR"/>
        </w:rPr>
        <w:t>elle était représentée par deux conseils, dont l</w:t>
      </w:r>
      <w:r>
        <w:rPr>
          <w:lang w:val="fr-FR"/>
        </w:rPr>
        <w:t>’</w:t>
      </w:r>
      <w:r w:rsidRPr="007C3495">
        <w:rPr>
          <w:lang w:val="fr-FR"/>
        </w:rPr>
        <w:t>un est une avocate en exercice en Espagne. Tout ce qui précède signifie que l</w:t>
      </w:r>
      <w:r>
        <w:rPr>
          <w:lang w:val="fr-FR"/>
        </w:rPr>
        <w:t>’</w:t>
      </w:r>
      <w:r w:rsidRPr="007C3495">
        <w:rPr>
          <w:lang w:val="fr-FR"/>
        </w:rPr>
        <w:t>auteure aurait pu exercer des recours internes pour empêcher que son accouchement soit déclenché sans son consentement. Le Comité considère donc que l</w:t>
      </w:r>
      <w:r>
        <w:rPr>
          <w:lang w:val="fr-FR"/>
        </w:rPr>
        <w:t>’</w:t>
      </w:r>
      <w:r w:rsidRPr="007C3495">
        <w:rPr>
          <w:lang w:val="fr-FR"/>
        </w:rPr>
        <w:t>auteure n</w:t>
      </w:r>
      <w:r>
        <w:rPr>
          <w:lang w:val="fr-FR"/>
        </w:rPr>
        <w:t>’</w:t>
      </w:r>
      <w:r w:rsidRPr="007C3495">
        <w:rPr>
          <w:lang w:val="fr-FR"/>
        </w:rPr>
        <w:t>a pas épuisé les recours internes disponibles et que ses griefs sont irrecevables au regard du paragraphe</w:t>
      </w:r>
      <w:r w:rsidR="00292C5B">
        <w:rPr>
          <w:lang w:val="fr-FR"/>
        </w:rPr>
        <w:t> </w:t>
      </w:r>
      <w:r w:rsidRPr="007C3495">
        <w:rPr>
          <w:lang w:val="fr-FR"/>
        </w:rPr>
        <w:t>2</w:t>
      </w:r>
      <w:r w:rsidR="00292C5B">
        <w:rPr>
          <w:lang w:val="fr-FR"/>
        </w:rPr>
        <w:t> </w:t>
      </w:r>
      <w:r w:rsidRPr="007C3495">
        <w:rPr>
          <w:lang w:val="fr-FR"/>
        </w:rPr>
        <w:t>b) de l</w:t>
      </w:r>
      <w:r>
        <w:rPr>
          <w:lang w:val="fr-FR"/>
        </w:rPr>
        <w:t>’</w:t>
      </w:r>
      <w:r w:rsidRPr="007C3495">
        <w:rPr>
          <w:lang w:val="fr-FR"/>
        </w:rPr>
        <w:t>article</w:t>
      </w:r>
      <w:r w:rsidR="00292C5B">
        <w:rPr>
          <w:lang w:val="fr-FR"/>
        </w:rPr>
        <w:t> </w:t>
      </w:r>
      <w:r w:rsidRPr="007C3495">
        <w:rPr>
          <w:lang w:val="fr-FR"/>
        </w:rPr>
        <w:t>5 du Protocole facultatif.</w:t>
      </w:r>
    </w:p>
    <w:p w14:paraId="0B178293" w14:textId="77777777" w:rsidR="00D10629" w:rsidRPr="00775B2E" w:rsidRDefault="00D10629" w:rsidP="00D10629">
      <w:pPr>
        <w:pStyle w:val="SingleTxtG"/>
        <w:rPr>
          <w:lang w:val="fr-FR"/>
        </w:rPr>
      </w:pPr>
      <w:r w:rsidRPr="007C3495">
        <w:rPr>
          <w:lang w:val="fr-FR"/>
        </w:rPr>
        <w:t>8.</w:t>
      </w:r>
      <w:r w:rsidRPr="007C3495">
        <w:rPr>
          <w:lang w:val="fr-FR"/>
        </w:rPr>
        <w:tab/>
        <w:t>En conséquence, le Comité des droits de l</w:t>
      </w:r>
      <w:r>
        <w:rPr>
          <w:lang w:val="fr-FR"/>
        </w:rPr>
        <w:t>’</w:t>
      </w:r>
      <w:r w:rsidRPr="007C3495">
        <w:rPr>
          <w:lang w:val="fr-FR"/>
        </w:rPr>
        <w:t>homme décide :</w:t>
      </w:r>
    </w:p>
    <w:p w14:paraId="19C224DE" w14:textId="77777777" w:rsidR="00292C5B" w:rsidRDefault="00D10629" w:rsidP="00292C5B">
      <w:pPr>
        <w:pStyle w:val="SingleTxtG"/>
        <w:ind w:firstLine="567"/>
        <w:rPr>
          <w:lang w:val="fr-FR"/>
        </w:rPr>
      </w:pPr>
      <w:r w:rsidRPr="007C3495">
        <w:rPr>
          <w:lang w:val="fr-FR"/>
        </w:rPr>
        <w:t>a)</w:t>
      </w:r>
      <w:r w:rsidRPr="007C3495">
        <w:rPr>
          <w:lang w:val="fr-FR"/>
        </w:rPr>
        <w:tab/>
        <w:t>Que la communication est irrecevable au regard des articles 2 et 5 (par. 2 b)) du Protocole facultatif ;</w:t>
      </w:r>
    </w:p>
    <w:p w14:paraId="1FCB2FE6" w14:textId="68C173AE" w:rsidR="003A41A8" w:rsidRDefault="00D10629" w:rsidP="00292C5B">
      <w:pPr>
        <w:pStyle w:val="SingleTxtG"/>
        <w:ind w:firstLine="567"/>
        <w:rPr>
          <w:lang w:val="fr-FR"/>
        </w:rPr>
      </w:pPr>
      <w:r w:rsidRPr="007C3495">
        <w:rPr>
          <w:lang w:val="fr-FR"/>
        </w:rPr>
        <w:t>b)</w:t>
      </w:r>
      <w:r w:rsidRPr="007C3495">
        <w:rPr>
          <w:lang w:val="fr-FR"/>
        </w:rPr>
        <w:tab/>
        <w:t>Que la présente décision sera communiquée à l</w:t>
      </w:r>
      <w:r>
        <w:rPr>
          <w:lang w:val="fr-FR"/>
        </w:rPr>
        <w:t>’</w:t>
      </w:r>
      <w:r w:rsidRPr="007C3495">
        <w:rPr>
          <w:lang w:val="fr-FR"/>
        </w:rPr>
        <w:t>État partie et à l</w:t>
      </w:r>
      <w:r>
        <w:rPr>
          <w:lang w:val="fr-FR"/>
        </w:rPr>
        <w:t>’</w:t>
      </w:r>
      <w:r w:rsidRPr="007C3495">
        <w:rPr>
          <w:lang w:val="fr-FR"/>
        </w:rPr>
        <w:t>auteure de la</w:t>
      </w:r>
      <w:r w:rsidR="00DF6BFE">
        <w:rPr>
          <w:lang w:val="fr-FR"/>
        </w:rPr>
        <w:t> </w:t>
      </w:r>
      <w:r w:rsidRPr="007C3495">
        <w:rPr>
          <w:lang w:val="fr-FR"/>
        </w:rPr>
        <w:t>communication.</w:t>
      </w:r>
    </w:p>
    <w:p w14:paraId="3C14C591" w14:textId="03EC2645" w:rsidR="00292C5B" w:rsidRPr="00292C5B" w:rsidRDefault="00292C5B" w:rsidP="00292C5B">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292C5B" w:rsidRPr="00292C5B" w:rsidSect="00B44A2D">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68F9A" w14:textId="77777777" w:rsidR="007612C2" w:rsidRDefault="007612C2" w:rsidP="00F95C08">
      <w:pPr>
        <w:spacing w:line="240" w:lineRule="auto"/>
      </w:pPr>
    </w:p>
  </w:endnote>
  <w:endnote w:type="continuationSeparator" w:id="0">
    <w:p w14:paraId="48FBCF15" w14:textId="77777777" w:rsidR="007612C2" w:rsidRPr="00AC3823" w:rsidRDefault="007612C2" w:rsidP="00AC3823">
      <w:pPr>
        <w:pStyle w:val="Pieddepage"/>
      </w:pPr>
    </w:p>
  </w:endnote>
  <w:endnote w:type="continuationNotice" w:id="1">
    <w:p w14:paraId="77A707DF" w14:textId="77777777" w:rsidR="007612C2" w:rsidRDefault="007612C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6BF0A" w14:textId="66946BA0" w:rsidR="00B44A2D" w:rsidRPr="00B44A2D" w:rsidRDefault="00B44A2D" w:rsidP="00B44A2D">
    <w:pPr>
      <w:pStyle w:val="Pieddepage"/>
      <w:tabs>
        <w:tab w:val="right" w:pos="9638"/>
      </w:tabs>
    </w:pPr>
    <w:r w:rsidRPr="00B44A2D">
      <w:rPr>
        <w:b/>
        <w:sz w:val="18"/>
      </w:rPr>
      <w:fldChar w:fldCharType="begin"/>
    </w:r>
    <w:r w:rsidRPr="00B44A2D">
      <w:rPr>
        <w:b/>
        <w:sz w:val="18"/>
      </w:rPr>
      <w:instrText xml:space="preserve"> PAGE  \* MERGEFORMAT </w:instrText>
    </w:r>
    <w:r w:rsidRPr="00B44A2D">
      <w:rPr>
        <w:b/>
        <w:sz w:val="18"/>
      </w:rPr>
      <w:fldChar w:fldCharType="separate"/>
    </w:r>
    <w:r w:rsidRPr="00B44A2D">
      <w:rPr>
        <w:b/>
        <w:noProof/>
        <w:sz w:val="18"/>
      </w:rPr>
      <w:t>2</w:t>
    </w:r>
    <w:r w:rsidRPr="00B44A2D">
      <w:rPr>
        <w:b/>
        <w:sz w:val="18"/>
      </w:rPr>
      <w:fldChar w:fldCharType="end"/>
    </w:r>
    <w:r>
      <w:rPr>
        <w:b/>
        <w:sz w:val="18"/>
      </w:rPr>
      <w:tab/>
    </w:r>
    <w:r>
      <w:t>GE.21-07305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88F38" w14:textId="5082F92D" w:rsidR="00B44A2D" w:rsidRPr="00B44A2D" w:rsidRDefault="00B44A2D" w:rsidP="00B44A2D">
    <w:pPr>
      <w:pStyle w:val="Pieddepage"/>
      <w:tabs>
        <w:tab w:val="right" w:pos="9638"/>
      </w:tabs>
      <w:rPr>
        <w:b/>
        <w:sz w:val="18"/>
      </w:rPr>
    </w:pPr>
    <w:r>
      <w:t>GE.21-07305</w:t>
    </w:r>
    <w:r>
      <w:tab/>
    </w:r>
    <w:r w:rsidRPr="00B44A2D">
      <w:rPr>
        <w:b/>
        <w:sz w:val="18"/>
      </w:rPr>
      <w:fldChar w:fldCharType="begin"/>
    </w:r>
    <w:r w:rsidRPr="00B44A2D">
      <w:rPr>
        <w:b/>
        <w:sz w:val="18"/>
      </w:rPr>
      <w:instrText xml:space="preserve"> PAGE  \* MERGEFORMAT </w:instrText>
    </w:r>
    <w:r w:rsidRPr="00B44A2D">
      <w:rPr>
        <w:b/>
        <w:sz w:val="18"/>
      </w:rPr>
      <w:fldChar w:fldCharType="separate"/>
    </w:r>
    <w:r w:rsidRPr="00B44A2D">
      <w:rPr>
        <w:b/>
        <w:noProof/>
        <w:sz w:val="18"/>
      </w:rPr>
      <w:t>3</w:t>
    </w:r>
    <w:r w:rsidRPr="00B44A2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42004" w14:textId="5FB6B522" w:rsidR="001B379B" w:rsidRPr="00B44A2D" w:rsidRDefault="00B44A2D" w:rsidP="00B44A2D">
    <w:pPr>
      <w:pStyle w:val="Pieddepage"/>
      <w:spacing w:before="120"/>
      <w:rPr>
        <w:sz w:val="20"/>
      </w:rPr>
    </w:pPr>
    <w:r>
      <w:rPr>
        <w:sz w:val="20"/>
      </w:rPr>
      <w:t>GE.</w:t>
    </w:r>
    <w:r w:rsidR="001B379B">
      <w:rPr>
        <w:noProof/>
        <w:lang w:eastAsia="fr-CH"/>
      </w:rPr>
      <w:drawing>
        <wp:anchor distT="0" distB="0" distL="114300" distR="114300" simplePos="0" relativeHeight="251659264" behindDoc="0" locked="0" layoutInCell="1" allowOverlap="0" wp14:anchorId="1B67EFEB" wp14:editId="7A805B5F">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21-07305  (F)</w:t>
    </w:r>
    <w:r>
      <w:rPr>
        <w:noProof/>
        <w:sz w:val="20"/>
      </w:rPr>
      <w:drawing>
        <wp:anchor distT="0" distB="0" distL="114300" distR="114300" simplePos="0" relativeHeight="251660288" behindDoc="0" locked="0" layoutInCell="1" allowOverlap="1" wp14:anchorId="424CD014" wp14:editId="262DEC28">
          <wp:simplePos x="0" y="0"/>
          <wp:positionH relativeFrom="margin">
            <wp:posOffset>5489575</wp:posOffset>
          </wp:positionH>
          <wp:positionV relativeFrom="margin">
            <wp:posOffset>8891905</wp:posOffset>
          </wp:positionV>
          <wp:extent cx="638175" cy="6381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290422    030522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43CAD" w14:textId="77777777" w:rsidR="007612C2" w:rsidRPr="00AC3823" w:rsidRDefault="007612C2" w:rsidP="00AC3823">
      <w:pPr>
        <w:pStyle w:val="Pieddepage"/>
        <w:tabs>
          <w:tab w:val="right" w:pos="2155"/>
        </w:tabs>
        <w:spacing w:after="80" w:line="240" w:lineRule="atLeast"/>
        <w:ind w:left="680"/>
        <w:rPr>
          <w:u w:val="single"/>
        </w:rPr>
      </w:pPr>
      <w:r>
        <w:rPr>
          <w:u w:val="single"/>
        </w:rPr>
        <w:tab/>
      </w:r>
    </w:p>
  </w:footnote>
  <w:footnote w:type="continuationSeparator" w:id="0">
    <w:p w14:paraId="5DC33049" w14:textId="77777777" w:rsidR="007612C2" w:rsidRPr="00AC3823" w:rsidRDefault="007612C2" w:rsidP="00AC3823">
      <w:pPr>
        <w:pStyle w:val="Pieddepage"/>
        <w:tabs>
          <w:tab w:val="right" w:pos="2155"/>
        </w:tabs>
        <w:spacing w:after="80" w:line="240" w:lineRule="atLeast"/>
        <w:ind w:left="680"/>
        <w:rPr>
          <w:u w:val="single"/>
        </w:rPr>
      </w:pPr>
      <w:r>
        <w:rPr>
          <w:u w:val="single"/>
        </w:rPr>
        <w:tab/>
      </w:r>
    </w:p>
  </w:footnote>
  <w:footnote w:type="continuationNotice" w:id="1">
    <w:p w14:paraId="036E8CF8" w14:textId="77777777" w:rsidR="007612C2" w:rsidRPr="00AC3823" w:rsidRDefault="007612C2">
      <w:pPr>
        <w:spacing w:line="240" w:lineRule="auto"/>
        <w:rPr>
          <w:sz w:val="2"/>
          <w:szCs w:val="2"/>
        </w:rPr>
      </w:pPr>
    </w:p>
  </w:footnote>
  <w:footnote w:id="2">
    <w:p w14:paraId="11088008" w14:textId="46573000" w:rsidR="003A41A8" w:rsidRPr="003A41A8" w:rsidRDefault="003A41A8">
      <w:pPr>
        <w:pStyle w:val="Notedebasdepage"/>
      </w:pPr>
      <w:r>
        <w:rPr>
          <w:rStyle w:val="Appelnotedebasdep"/>
        </w:rPr>
        <w:tab/>
      </w:r>
      <w:r w:rsidRPr="003A41A8">
        <w:rPr>
          <w:rStyle w:val="Appelnotedebasdep"/>
          <w:sz w:val="20"/>
          <w:vertAlign w:val="baseline"/>
        </w:rPr>
        <w:t>*</w:t>
      </w:r>
      <w:r>
        <w:rPr>
          <w:rStyle w:val="Appelnotedebasdep"/>
          <w:sz w:val="20"/>
          <w:vertAlign w:val="baseline"/>
        </w:rPr>
        <w:tab/>
      </w:r>
      <w:r w:rsidRPr="00822583">
        <w:rPr>
          <w:lang w:val="fr-FR"/>
        </w:rPr>
        <w:t>Adoptée par le Comité à sa 130</w:t>
      </w:r>
      <w:r w:rsidRPr="00822583">
        <w:rPr>
          <w:vertAlign w:val="superscript"/>
          <w:lang w:val="fr-FR"/>
        </w:rPr>
        <w:t>e</w:t>
      </w:r>
      <w:r>
        <w:rPr>
          <w:lang w:val="fr-FR"/>
        </w:rPr>
        <w:t> </w:t>
      </w:r>
      <w:r w:rsidRPr="00822583">
        <w:rPr>
          <w:lang w:val="fr-FR"/>
        </w:rPr>
        <w:t>session (12</w:t>
      </w:r>
      <w:r>
        <w:rPr>
          <w:lang w:val="fr-FR"/>
        </w:rPr>
        <w:t> </w:t>
      </w:r>
      <w:r>
        <w:rPr>
          <w:lang w:val="fr-FR"/>
        </w:rPr>
        <w:t>octobre-</w:t>
      </w:r>
      <w:r w:rsidRPr="00822583">
        <w:rPr>
          <w:lang w:val="fr-FR"/>
        </w:rPr>
        <w:t>6</w:t>
      </w:r>
      <w:r>
        <w:rPr>
          <w:lang w:val="fr-FR"/>
        </w:rPr>
        <w:t> </w:t>
      </w:r>
      <w:r>
        <w:rPr>
          <w:lang w:val="fr-FR"/>
        </w:rPr>
        <w:t>novembre</w:t>
      </w:r>
      <w:r w:rsidRPr="00822583">
        <w:rPr>
          <w:lang w:val="fr-FR"/>
        </w:rPr>
        <w:t xml:space="preserve"> 2020)</w:t>
      </w:r>
      <w:r w:rsidRPr="00775B2E">
        <w:rPr>
          <w:lang w:val="fr-FR"/>
        </w:rPr>
        <w:t>.</w:t>
      </w:r>
    </w:p>
  </w:footnote>
  <w:footnote w:id="3">
    <w:p w14:paraId="5434FB33" w14:textId="3800E704" w:rsidR="003A41A8" w:rsidRPr="003A41A8" w:rsidRDefault="003A41A8">
      <w:pPr>
        <w:pStyle w:val="Notedebasdepage"/>
      </w:pPr>
      <w:r>
        <w:rPr>
          <w:rStyle w:val="Appelnotedebasdep"/>
        </w:rPr>
        <w:tab/>
      </w:r>
      <w:r w:rsidRPr="003A41A8">
        <w:rPr>
          <w:rStyle w:val="Appelnotedebasdep"/>
          <w:sz w:val="20"/>
          <w:vertAlign w:val="baseline"/>
        </w:rPr>
        <w:t>**</w:t>
      </w:r>
      <w:r>
        <w:rPr>
          <w:rStyle w:val="Appelnotedebasdep"/>
          <w:sz w:val="20"/>
          <w:vertAlign w:val="baseline"/>
        </w:rPr>
        <w:tab/>
      </w:r>
      <w:r>
        <w:t>Les membres du Comité dont le nom suit ont participé à l’examen de la communication</w:t>
      </w:r>
      <w:r>
        <w:t> </w:t>
      </w:r>
      <w:r w:rsidRPr="00775B2E">
        <w:rPr>
          <w:lang w:val="fr-FR"/>
        </w:rPr>
        <w:t xml:space="preserve">: </w:t>
      </w:r>
      <w:r w:rsidRPr="00775B2E">
        <w:rPr>
          <w:bCs/>
          <w:lang w:val="fr-FR"/>
        </w:rPr>
        <w:t xml:space="preserve">Tania María </w:t>
      </w:r>
      <w:r w:rsidRPr="00D10629">
        <w:rPr>
          <w:bCs/>
          <w:spacing w:val="-2"/>
          <w:lang w:val="fr-FR"/>
        </w:rPr>
        <w:t>Abdo Rocholl</w:t>
      </w:r>
      <w:r w:rsidRPr="00D10629">
        <w:rPr>
          <w:spacing w:val="-2"/>
          <w:lang w:val="fr-FR"/>
        </w:rPr>
        <w:t>, Yadh Ben Achour, Arif Bulkan, Ahmed Amin Fathalla, Furuya Shuichi, Christof Heyns,</w:t>
      </w:r>
      <w:r w:rsidRPr="00775B2E">
        <w:rPr>
          <w:lang w:val="fr-FR"/>
        </w:rPr>
        <w:t xml:space="preserve"> </w:t>
      </w:r>
      <w:r w:rsidRPr="00BA7B88">
        <w:rPr>
          <w:bCs/>
          <w:spacing w:val="-3"/>
          <w:lang w:val="fr-FR"/>
        </w:rPr>
        <w:t xml:space="preserve">Bamariam Koita, </w:t>
      </w:r>
      <w:r w:rsidRPr="00BA7B88">
        <w:rPr>
          <w:spacing w:val="-3"/>
          <w:lang w:val="fr-FR"/>
        </w:rPr>
        <w:t>David H.</w:t>
      </w:r>
      <w:r w:rsidR="00D10629" w:rsidRPr="00BA7B88">
        <w:rPr>
          <w:spacing w:val="-3"/>
          <w:lang w:val="fr-FR"/>
        </w:rPr>
        <w:t> </w:t>
      </w:r>
      <w:r w:rsidRPr="00BA7B88">
        <w:rPr>
          <w:spacing w:val="-3"/>
          <w:lang w:val="fr-FR"/>
        </w:rPr>
        <w:t>Moore, Duncan Laki Muhumuza, Photini Pazartzis, Hernán Quezada Cabrera,</w:t>
      </w:r>
      <w:r w:rsidRPr="00775B2E">
        <w:rPr>
          <w:lang w:val="fr-FR"/>
        </w:rPr>
        <w:t xml:space="preserve"> Vasilka Sancin, José Manuel Santos Pais, Yuval Shany, Hélène Tigroudja, Andreas Zimmermann </w:t>
      </w:r>
      <w:r>
        <w:rPr>
          <w:lang w:val="fr-FR"/>
        </w:rPr>
        <w:t>et</w:t>
      </w:r>
      <w:r w:rsidRPr="00775B2E">
        <w:rPr>
          <w:lang w:val="fr-FR"/>
        </w:rPr>
        <w:t xml:space="preserve"> Gentian Zyberi.</w:t>
      </w:r>
    </w:p>
  </w:footnote>
  <w:footnote w:id="4">
    <w:p w14:paraId="5BE8D4F0" w14:textId="77777777" w:rsidR="00D10629" w:rsidRPr="00503DC8" w:rsidRDefault="00D10629" w:rsidP="00D10629">
      <w:pPr>
        <w:pStyle w:val="Notedebasdepage"/>
      </w:pPr>
      <w:r>
        <w:rPr>
          <w:lang w:val="fr-FR"/>
        </w:rPr>
        <w:tab/>
      </w:r>
      <w:r w:rsidRPr="00DE4E77">
        <w:rPr>
          <w:rStyle w:val="Appelnotedebasdep"/>
        </w:rPr>
        <w:footnoteRef/>
      </w:r>
      <w:r>
        <w:rPr>
          <w:lang w:val="fr-FR"/>
        </w:rPr>
        <w:tab/>
        <w:t>Une telle approche suppose une période d’« attente vigilante », sans aucune intervention</w:t>
      </w:r>
      <w:r w:rsidRPr="007F20EA">
        <w:rPr>
          <w:lang w:val="fr-FR"/>
        </w:rPr>
        <w:t>.</w:t>
      </w:r>
    </w:p>
  </w:footnote>
  <w:footnote w:id="5">
    <w:p w14:paraId="0E3DE78A" w14:textId="57586ABC" w:rsidR="00D10629" w:rsidRPr="0040478C" w:rsidRDefault="00D10629" w:rsidP="00D10629">
      <w:pPr>
        <w:pStyle w:val="Notedebasdepage"/>
      </w:pPr>
      <w:r>
        <w:rPr>
          <w:lang w:val="fr-FR"/>
        </w:rPr>
        <w:tab/>
      </w:r>
      <w:r w:rsidRPr="00DE4E77">
        <w:rPr>
          <w:rStyle w:val="Appelnotedebasdep"/>
        </w:rPr>
        <w:footnoteRef/>
      </w:r>
      <w:r>
        <w:rPr>
          <w:lang w:val="fr-FR"/>
        </w:rPr>
        <w:tab/>
        <w:t xml:space="preserve">L’auteure fournit des informations sur l’utilisation de l’« ocytocine synthétique », qui n’est conseillée que dans des circonstances exceptionnelles car elle pourrait causer au fœtus des souffrances, une asphyxie ou même la mort (disponibles à </w:t>
      </w:r>
      <w:r w:rsidRPr="0040478C">
        <w:rPr>
          <w:lang w:val="fr-FR"/>
        </w:rPr>
        <w:t xml:space="preserve">l’adresse </w:t>
      </w:r>
      <w:hyperlink r:id="rId1" w:history="1">
        <w:r w:rsidRPr="0040478C">
          <w:rPr>
            <w:rStyle w:val="Lienhypertexte"/>
            <w:color w:val="auto"/>
            <w:szCs w:val="18"/>
            <w:lang w:val="fr-FR"/>
          </w:rPr>
          <w:t>www.elpartoesnuestro.es/informacion/parto/</w:t>
        </w:r>
        <w:r w:rsidR="0040478C" w:rsidRPr="0040478C">
          <w:rPr>
            <w:rStyle w:val="Lienhypertexte"/>
            <w:color w:val="auto"/>
            <w:szCs w:val="18"/>
            <w:lang w:val="fr-FR"/>
          </w:rPr>
          <w:br/>
        </w:r>
        <w:r w:rsidRPr="0040478C">
          <w:rPr>
            <w:rStyle w:val="Lienhypertexte"/>
            <w:color w:val="auto"/>
            <w:szCs w:val="18"/>
            <w:lang w:val="fr-FR"/>
          </w:rPr>
          <w:t>administracion--de--oxitocina--sintetica</w:t>
        </w:r>
      </w:hyperlink>
      <w:r w:rsidRPr="0040478C">
        <w:rPr>
          <w:lang w:val="fr-FR"/>
        </w:rPr>
        <w:t>).</w:t>
      </w:r>
    </w:p>
  </w:footnote>
  <w:footnote w:id="6">
    <w:p w14:paraId="77E83F45" w14:textId="055BC832" w:rsidR="00D10629" w:rsidRPr="00503DC8" w:rsidRDefault="00D10629" w:rsidP="00D10629">
      <w:pPr>
        <w:pStyle w:val="Notedebasdepage"/>
        <w:rPr>
          <w:szCs w:val="18"/>
        </w:rPr>
      </w:pPr>
      <w:r w:rsidRPr="0040478C">
        <w:rPr>
          <w:szCs w:val="18"/>
          <w:lang w:val="fr-FR"/>
        </w:rPr>
        <w:tab/>
      </w:r>
      <w:r w:rsidRPr="0040478C">
        <w:rPr>
          <w:rStyle w:val="Appelnotedebasdep"/>
        </w:rPr>
        <w:footnoteRef/>
      </w:r>
      <w:r w:rsidRPr="0040478C">
        <w:rPr>
          <w:lang w:val="fr-FR"/>
        </w:rPr>
        <w:tab/>
        <w:t xml:space="preserve">L’auteure cite la Cour européenne des droits de </w:t>
      </w:r>
      <w:r>
        <w:rPr>
          <w:lang w:val="fr-FR"/>
        </w:rPr>
        <w:t xml:space="preserve">l’homme, affaire </w:t>
      </w:r>
      <w:r>
        <w:rPr>
          <w:i/>
          <w:iCs/>
          <w:lang w:val="fr-FR"/>
        </w:rPr>
        <w:t>Konovalova c</w:t>
      </w:r>
      <w:r w:rsidRPr="007F20EA">
        <w:rPr>
          <w:i/>
          <w:iCs/>
          <w:lang w:val="fr-FR"/>
        </w:rPr>
        <w:t>.</w:t>
      </w:r>
      <w:r w:rsidR="0040478C">
        <w:rPr>
          <w:i/>
          <w:iCs/>
          <w:lang w:val="fr-FR"/>
        </w:rPr>
        <w:t> </w:t>
      </w:r>
      <w:r>
        <w:rPr>
          <w:i/>
          <w:iCs/>
          <w:lang w:val="fr-FR"/>
        </w:rPr>
        <w:t xml:space="preserve">Russie </w:t>
      </w:r>
      <w:r>
        <w:rPr>
          <w:lang w:val="fr-FR"/>
        </w:rPr>
        <w:t xml:space="preserve">(requête </w:t>
      </w:r>
      <w:r w:rsidRPr="002247BB">
        <w:rPr>
          <w:rFonts w:eastAsia="MS Mincho"/>
          <w:szCs w:val="22"/>
          <w:lang w:val="fr-FR"/>
        </w:rPr>
        <w:t>n</w:t>
      </w:r>
      <w:r w:rsidRPr="002247BB">
        <w:rPr>
          <w:rFonts w:eastAsia="MS Mincho"/>
          <w:szCs w:val="22"/>
          <w:vertAlign w:val="superscript"/>
          <w:lang w:val="fr-FR"/>
        </w:rPr>
        <w:t>o</w:t>
      </w:r>
      <w:r>
        <w:rPr>
          <w:i/>
        </w:rPr>
        <w:t> </w:t>
      </w:r>
      <w:r>
        <w:rPr>
          <w:lang w:val="fr-FR"/>
        </w:rPr>
        <w:t>37873/04), arrêt du 9</w:t>
      </w:r>
      <w:r w:rsidR="0040478C">
        <w:rPr>
          <w:lang w:val="fr-FR"/>
        </w:rPr>
        <w:t> </w:t>
      </w:r>
      <w:r>
        <w:rPr>
          <w:lang w:val="fr-FR"/>
        </w:rPr>
        <w:t>octobre 2014</w:t>
      </w:r>
      <w:r w:rsidRPr="007F20EA">
        <w:rPr>
          <w:lang w:val="fr-FR"/>
        </w:rPr>
        <w:t>.</w:t>
      </w:r>
    </w:p>
  </w:footnote>
  <w:footnote w:id="7">
    <w:p w14:paraId="23D0255E" w14:textId="57AC69C1" w:rsidR="00D10629" w:rsidRPr="00503DC8" w:rsidRDefault="00D10629" w:rsidP="00D10629">
      <w:pPr>
        <w:pStyle w:val="Notedebasdepage"/>
        <w:rPr>
          <w:lang w:val="es-ES"/>
        </w:rPr>
      </w:pPr>
      <w:r>
        <w:rPr>
          <w:szCs w:val="18"/>
          <w:lang w:val="fr-FR"/>
        </w:rPr>
        <w:tab/>
      </w:r>
      <w:r w:rsidRPr="00DE4E77">
        <w:rPr>
          <w:rStyle w:val="Appelnotedebasdep"/>
        </w:rPr>
        <w:footnoteRef/>
      </w:r>
      <w:r w:rsidRPr="00503DC8">
        <w:rPr>
          <w:lang w:val="es-ES"/>
        </w:rPr>
        <w:tab/>
        <w:t>L</w:t>
      </w:r>
      <w:r>
        <w:rPr>
          <w:lang w:val="es-ES"/>
        </w:rPr>
        <w:t>’</w:t>
      </w:r>
      <w:r w:rsidRPr="00503DC8">
        <w:rPr>
          <w:lang w:val="es-ES"/>
        </w:rPr>
        <w:t>auteur</w:t>
      </w:r>
      <w:r>
        <w:rPr>
          <w:lang w:val="es-ES"/>
        </w:rPr>
        <w:t>e</w:t>
      </w:r>
      <w:r w:rsidRPr="00503DC8">
        <w:rPr>
          <w:lang w:val="es-ES"/>
        </w:rPr>
        <w:t xml:space="preserve"> cite le</w:t>
      </w:r>
      <w:r w:rsidRPr="00503DC8">
        <w:rPr>
          <w:i/>
          <w:iCs/>
          <w:lang w:val="es-ES"/>
        </w:rPr>
        <w:t xml:space="preserve"> Guía de Práctica Clínica sobre la Atención al Parto Normal</w:t>
      </w:r>
      <w:r w:rsidRPr="00503DC8">
        <w:rPr>
          <w:lang w:val="es-ES"/>
        </w:rPr>
        <w:t>, p</w:t>
      </w:r>
      <w:r w:rsidRPr="007F20EA">
        <w:rPr>
          <w:lang w:val="es-ES"/>
        </w:rPr>
        <w:t>.</w:t>
      </w:r>
      <w:r w:rsidR="0040478C">
        <w:rPr>
          <w:lang w:val="es-ES"/>
        </w:rPr>
        <w:t> </w:t>
      </w:r>
      <w:r w:rsidRPr="00503DC8">
        <w:rPr>
          <w:lang w:val="es-ES"/>
        </w:rPr>
        <w:t>29, disponible à l</w:t>
      </w:r>
      <w:r>
        <w:rPr>
          <w:lang w:val="es-ES"/>
        </w:rPr>
        <w:t>’</w:t>
      </w:r>
      <w:r w:rsidRPr="00503DC8">
        <w:rPr>
          <w:lang w:val="es-ES"/>
        </w:rPr>
        <w:t xml:space="preserve">adresse </w:t>
      </w:r>
      <w:hyperlink r:id="rId2" w:anchor="_blank" w:history="1">
        <w:r w:rsidRPr="00BA7B88">
          <w:rPr>
            <w:rStyle w:val="Lienhypertexte"/>
            <w:color w:val="auto"/>
            <w:lang w:val="es-ES"/>
          </w:rPr>
          <w:t>https://portal.guiasalud.es/wp-content/uploads/2018/12/GPC_472_Parto_Normal_</w:t>
        </w:r>
        <w:r w:rsidR="0040478C" w:rsidRPr="00BA7B88">
          <w:rPr>
            <w:rStyle w:val="En-tte"/>
            <w:lang w:val="es-ES"/>
          </w:rPr>
          <w:br/>
        </w:r>
        <w:r w:rsidRPr="00BA7B88">
          <w:rPr>
            <w:rStyle w:val="Lienhypertexte"/>
            <w:color w:val="auto"/>
            <w:lang w:val="es-ES"/>
          </w:rPr>
          <w:t>Osteba_compl.pdf#_blank</w:t>
        </w:r>
      </w:hyperlink>
      <w:r w:rsidRPr="00BA7B88">
        <w:rPr>
          <w:lang w:val="es-ES"/>
        </w:rPr>
        <w:t>.</w:t>
      </w:r>
    </w:p>
  </w:footnote>
  <w:footnote w:id="8">
    <w:p w14:paraId="03363ED3" w14:textId="040A4B65" w:rsidR="00D10629" w:rsidRPr="00503DC8" w:rsidRDefault="00D10629" w:rsidP="00D10629">
      <w:pPr>
        <w:pStyle w:val="Notedebasdepage"/>
      </w:pPr>
      <w:r w:rsidRPr="00503DC8">
        <w:rPr>
          <w:lang w:val="es-ES"/>
        </w:rPr>
        <w:tab/>
      </w:r>
      <w:r w:rsidRPr="00DE4E77">
        <w:rPr>
          <w:rStyle w:val="Appelnotedebasdep"/>
        </w:rPr>
        <w:footnoteRef/>
      </w:r>
      <w:r>
        <w:rPr>
          <w:lang w:val="fr-FR"/>
        </w:rPr>
        <w:tab/>
        <w:t xml:space="preserve">L’auteure cite la Cour européenne des droits de l’homme, affaire </w:t>
      </w:r>
      <w:r>
        <w:rPr>
          <w:i/>
          <w:iCs/>
          <w:lang w:val="fr-FR"/>
        </w:rPr>
        <w:t>Johansen c</w:t>
      </w:r>
      <w:r w:rsidRPr="007F20EA">
        <w:rPr>
          <w:i/>
          <w:iCs/>
          <w:lang w:val="fr-FR"/>
        </w:rPr>
        <w:t>.</w:t>
      </w:r>
      <w:r w:rsidR="0040478C">
        <w:rPr>
          <w:i/>
          <w:iCs/>
          <w:lang w:val="fr-FR"/>
        </w:rPr>
        <w:t> </w:t>
      </w:r>
      <w:r>
        <w:rPr>
          <w:i/>
          <w:iCs/>
          <w:lang w:val="fr-FR"/>
        </w:rPr>
        <w:t>Norvège</w:t>
      </w:r>
      <w:r>
        <w:rPr>
          <w:lang w:val="fr-FR"/>
        </w:rPr>
        <w:t xml:space="preserve"> (requête </w:t>
      </w:r>
      <w:r w:rsidRPr="002247BB">
        <w:rPr>
          <w:rFonts w:eastAsia="MS Mincho"/>
          <w:szCs w:val="22"/>
          <w:lang w:val="fr-FR"/>
        </w:rPr>
        <w:t>n</w:t>
      </w:r>
      <w:r w:rsidRPr="002247BB">
        <w:rPr>
          <w:rFonts w:eastAsia="MS Mincho"/>
          <w:szCs w:val="22"/>
          <w:vertAlign w:val="superscript"/>
          <w:lang w:val="fr-FR"/>
        </w:rPr>
        <w:t>o</w:t>
      </w:r>
      <w:r>
        <w:rPr>
          <w:i/>
        </w:rPr>
        <w:t> </w:t>
      </w:r>
      <w:r>
        <w:rPr>
          <w:lang w:val="fr-FR"/>
        </w:rPr>
        <w:t>17383/90), arrêt du 7</w:t>
      </w:r>
      <w:r w:rsidR="0040478C">
        <w:rPr>
          <w:lang w:val="fr-FR"/>
        </w:rPr>
        <w:t> </w:t>
      </w:r>
      <w:r>
        <w:rPr>
          <w:lang w:val="fr-FR"/>
        </w:rPr>
        <w:t>août 1996</w:t>
      </w:r>
      <w:r>
        <w:rPr>
          <w:i/>
        </w:rPr>
        <w:t> </w:t>
      </w:r>
      <w:r>
        <w:rPr>
          <w:lang w:val="fr-FR"/>
        </w:rPr>
        <w:t xml:space="preserve">; affaire </w:t>
      </w:r>
      <w:r>
        <w:rPr>
          <w:rFonts w:eastAsia="Times New Roman"/>
          <w:i/>
          <w:iCs/>
          <w:color w:val="000000"/>
        </w:rPr>
        <w:t>P</w:t>
      </w:r>
      <w:r w:rsidRPr="007F20EA">
        <w:rPr>
          <w:rFonts w:eastAsia="Times New Roman"/>
          <w:i/>
          <w:iCs/>
          <w:color w:val="000000"/>
        </w:rPr>
        <w:t>.</w:t>
      </w:r>
      <w:r>
        <w:rPr>
          <w:rFonts w:eastAsia="Times New Roman"/>
          <w:i/>
          <w:iCs/>
          <w:color w:val="000000"/>
        </w:rPr>
        <w:t> C</w:t>
      </w:r>
      <w:r w:rsidRPr="007F20EA">
        <w:rPr>
          <w:rFonts w:eastAsia="Times New Roman"/>
          <w:i/>
          <w:iCs/>
          <w:color w:val="000000"/>
        </w:rPr>
        <w:t>.</w:t>
      </w:r>
      <w:r>
        <w:rPr>
          <w:rFonts w:eastAsia="Times New Roman"/>
          <w:i/>
          <w:iCs/>
          <w:color w:val="000000"/>
        </w:rPr>
        <w:t xml:space="preserve"> et S</w:t>
      </w:r>
      <w:r w:rsidRPr="007F20EA">
        <w:rPr>
          <w:rFonts w:eastAsia="Times New Roman"/>
          <w:i/>
          <w:iCs/>
          <w:color w:val="000000"/>
        </w:rPr>
        <w:t>.</w:t>
      </w:r>
      <w:r>
        <w:rPr>
          <w:rFonts w:eastAsia="Times New Roman"/>
          <w:i/>
          <w:iCs/>
          <w:color w:val="000000"/>
        </w:rPr>
        <w:t> c</w:t>
      </w:r>
      <w:r w:rsidRPr="007F20EA">
        <w:rPr>
          <w:rFonts w:eastAsia="Times New Roman"/>
          <w:i/>
          <w:iCs/>
          <w:color w:val="000000"/>
        </w:rPr>
        <w:t>.</w:t>
      </w:r>
      <w:r>
        <w:rPr>
          <w:rFonts w:eastAsia="Times New Roman"/>
          <w:i/>
          <w:iCs/>
          <w:color w:val="000000"/>
        </w:rPr>
        <w:t> Royaume-Uni</w:t>
      </w:r>
      <w:r>
        <w:rPr>
          <w:rFonts w:eastAsia="Times New Roman"/>
          <w:color w:val="000000"/>
        </w:rPr>
        <w:t xml:space="preserve">, requête </w:t>
      </w:r>
      <w:r w:rsidRPr="002247BB">
        <w:rPr>
          <w:rFonts w:eastAsia="MS Mincho"/>
          <w:color w:val="000000"/>
          <w:szCs w:val="22"/>
        </w:rPr>
        <w:t>n</w:t>
      </w:r>
      <w:r w:rsidRPr="002247BB">
        <w:rPr>
          <w:rFonts w:eastAsia="MS Mincho"/>
          <w:color w:val="000000"/>
          <w:szCs w:val="22"/>
          <w:vertAlign w:val="superscript"/>
        </w:rPr>
        <w:t>o</w:t>
      </w:r>
      <w:r>
        <w:rPr>
          <w:i/>
        </w:rPr>
        <w:t> </w:t>
      </w:r>
      <w:r>
        <w:rPr>
          <w:rFonts w:eastAsia="Times New Roman"/>
          <w:color w:val="000000"/>
        </w:rPr>
        <w:t>56547/00, arrêt du</w:t>
      </w:r>
      <w:r w:rsidR="0040478C">
        <w:rPr>
          <w:rFonts w:eastAsia="Times New Roman"/>
          <w:color w:val="000000"/>
        </w:rPr>
        <w:t> </w:t>
      </w:r>
      <w:r>
        <w:rPr>
          <w:rFonts w:eastAsia="Times New Roman"/>
          <w:color w:val="000000"/>
        </w:rPr>
        <w:t>16</w:t>
      </w:r>
      <w:r w:rsidR="0040478C">
        <w:rPr>
          <w:rFonts w:eastAsia="Times New Roman"/>
          <w:color w:val="000000"/>
        </w:rPr>
        <w:t> </w:t>
      </w:r>
      <w:r>
        <w:rPr>
          <w:rFonts w:eastAsia="Times New Roman"/>
          <w:color w:val="000000"/>
        </w:rPr>
        <w:t>juillet 2002</w:t>
      </w:r>
      <w:r w:rsidRPr="007F20EA">
        <w:rPr>
          <w:rFonts w:eastAsia="Times New Roman"/>
          <w:color w:val="000000"/>
        </w:rPr>
        <w:t>.</w:t>
      </w:r>
    </w:p>
  </w:footnote>
  <w:footnote w:id="9">
    <w:p w14:paraId="5314D68E" w14:textId="4F7A2F29" w:rsidR="00D10629" w:rsidRPr="00503DC8" w:rsidRDefault="00D10629" w:rsidP="00D10629">
      <w:pPr>
        <w:pStyle w:val="Notedebasdepage"/>
      </w:pPr>
      <w:r>
        <w:rPr>
          <w:lang w:val="fr-FR"/>
        </w:rPr>
        <w:tab/>
      </w:r>
      <w:r w:rsidRPr="00DE4E77">
        <w:rPr>
          <w:rStyle w:val="Appelnotedebasdep"/>
        </w:rPr>
        <w:footnoteRef/>
      </w:r>
      <w:r>
        <w:rPr>
          <w:lang w:val="fr-FR"/>
        </w:rPr>
        <w:tab/>
      </w:r>
      <w:r w:rsidRPr="00E83DA4">
        <w:rPr>
          <w:spacing w:val="-2"/>
          <w:lang w:val="fr-FR"/>
        </w:rPr>
        <w:t xml:space="preserve">L’auteure cite </w:t>
      </w:r>
      <w:r>
        <w:rPr>
          <w:spacing w:val="-2"/>
          <w:lang w:val="fr-FR"/>
        </w:rPr>
        <w:t xml:space="preserve">le Comité des droits de l’homme, </w:t>
      </w:r>
      <w:r w:rsidRPr="00E83DA4">
        <w:rPr>
          <w:i/>
          <w:iCs/>
          <w:spacing w:val="-2"/>
          <w:lang w:val="fr-FR"/>
        </w:rPr>
        <w:t>T</w:t>
      </w:r>
      <w:r w:rsidRPr="007F20EA">
        <w:rPr>
          <w:i/>
          <w:iCs/>
          <w:spacing w:val="-2"/>
          <w:lang w:val="fr-FR"/>
        </w:rPr>
        <w:t>.</w:t>
      </w:r>
      <w:r w:rsidRPr="00E83DA4">
        <w:rPr>
          <w:i/>
          <w:iCs/>
          <w:spacing w:val="-2"/>
          <w:lang w:val="fr-FR"/>
        </w:rPr>
        <w:t> K</w:t>
      </w:r>
      <w:r w:rsidRPr="007F20EA">
        <w:rPr>
          <w:i/>
          <w:iCs/>
          <w:spacing w:val="-2"/>
          <w:lang w:val="fr-FR"/>
        </w:rPr>
        <w:t>.</w:t>
      </w:r>
      <w:r w:rsidRPr="00E83DA4">
        <w:rPr>
          <w:i/>
          <w:iCs/>
          <w:spacing w:val="-2"/>
          <w:lang w:val="fr-FR"/>
        </w:rPr>
        <w:t xml:space="preserve"> c</w:t>
      </w:r>
      <w:r w:rsidRPr="007F20EA">
        <w:rPr>
          <w:i/>
          <w:iCs/>
          <w:spacing w:val="-2"/>
          <w:lang w:val="fr-FR"/>
        </w:rPr>
        <w:t>.</w:t>
      </w:r>
      <w:r w:rsidR="0040478C">
        <w:rPr>
          <w:i/>
          <w:iCs/>
          <w:spacing w:val="-2"/>
          <w:lang w:val="fr-FR"/>
        </w:rPr>
        <w:t> </w:t>
      </w:r>
      <w:r>
        <w:rPr>
          <w:i/>
          <w:iCs/>
          <w:spacing w:val="-2"/>
          <w:lang w:val="fr-FR"/>
        </w:rPr>
        <w:t>France</w:t>
      </w:r>
      <w:r w:rsidRPr="00775B2E">
        <w:rPr>
          <w:spacing w:val="-2"/>
          <w:lang w:val="fr-FR"/>
        </w:rPr>
        <w:t>, communication n</w:t>
      </w:r>
      <w:r w:rsidRPr="00775B2E">
        <w:rPr>
          <w:spacing w:val="-2"/>
          <w:vertAlign w:val="superscript"/>
          <w:lang w:val="fr-FR"/>
        </w:rPr>
        <w:t>o</w:t>
      </w:r>
      <w:r w:rsidR="0040478C">
        <w:rPr>
          <w:spacing w:val="-2"/>
          <w:lang w:val="fr-FR"/>
        </w:rPr>
        <w:t> </w:t>
      </w:r>
      <w:r w:rsidRPr="00775B2E">
        <w:rPr>
          <w:spacing w:val="-2"/>
          <w:lang w:val="fr-FR"/>
        </w:rPr>
        <w:t>220/1987</w:t>
      </w:r>
      <w:r w:rsidRPr="00E83DA4">
        <w:rPr>
          <w:spacing w:val="-2"/>
          <w:lang w:val="fr-FR"/>
        </w:rPr>
        <w:t xml:space="preserve"> et </w:t>
      </w:r>
      <w:r w:rsidRPr="00E83DA4">
        <w:rPr>
          <w:i/>
          <w:iCs/>
          <w:spacing w:val="-2"/>
          <w:lang w:val="fr-FR"/>
        </w:rPr>
        <w:t>M</w:t>
      </w:r>
      <w:r w:rsidRPr="007F20EA">
        <w:rPr>
          <w:i/>
          <w:iCs/>
          <w:spacing w:val="-2"/>
          <w:lang w:val="fr-FR"/>
        </w:rPr>
        <w:t>.</w:t>
      </w:r>
      <w:r w:rsidRPr="00E83DA4">
        <w:rPr>
          <w:i/>
          <w:iCs/>
          <w:spacing w:val="-2"/>
          <w:lang w:val="fr-FR"/>
        </w:rPr>
        <w:t> K</w:t>
      </w:r>
      <w:r w:rsidRPr="007F20EA">
        <w:rPr>
          <w:i/>
          <w:iCs/>
          <w:spacing w:val="-2"/>
          <w:lang w:val="fr-FR"/>
        </w:rPr>
        <w:t>.</w:t>
      </w:r>
      <w:r w:rsidRPr="00E83DA4">
        <w:rPr>
          <w:i/>
          <w:iCs/>
          <w:spacing w:val="-2"/>
          <w:lang w:val="fr-FR"/>
        </w:rPr>
        <w:t xml:space="preserve"> c</w:t>
      </w:r>
      <w:r w:rsidRPr="007F20EA">
        <w:rPr>
          <w:i/>
          <w:iCs/>
          <w:spacing w:val="-2"/>
          <w:lang w:val="fr-FR"/>
        </w:rPr>
        <w:t>.</w:t>
      </w:r>
      <w:r w:rsidR="0040478C">
        <w:rPr>
          <w:i/>
          <w:iCs/>
          <w:spacing w:val="-2"/>
          <w:lang w:val="fr-FR"/>
        </w:rPr>
        <w:t> </w:t>
      </w:r>
      <w:r w:rsidRPr="00E83DA4">
        <w:rPr>
          <w:i/>
          <w:iCs/>
          <w:spacing w:val="-2"/>
          <w:lang w:val="fr-FR"/>
        </w:rPr>
        <w:t>France</w:t>
      </w:r>
      <w:r>
        <w:rPr>
          <w:spacing w:val="-2"/>
          <w:lang w:val="fr-FR"/>
        </w:rPr>
        <w:t>, communication n</w:t>
      </w:r>
      <w:r w:rsidRPr="00775B2E">
        <w:rPr>
          <w:spacing w:val="-2"/>
          <w:vertAlign w:val="superscript"/>
          <w:lang w:val="fr-FR"/>
        </w:rPr>
        <w:t>o</w:t>
      </w:r>
      <w:r w:rsidR="0040478C">
        <w:rPr>
          <w:spacing w:val="-2"/>
          <w:lang w:val="fr-FR"/>
        </w:rPr>
        <w:t> </w:t>
      </w:r>
      <w:r>
        <w:rPr>
          <w:spacing w:val="-2"/>
          <w:lang w:val="fr-FR"/>
        </w:rPr>
        <w:t>222/1987</w:t>
      </w:r>
      <w:r w:rsidRPr="007F20EA">
        <w:rPr>
          <w:spacing w:val="-2"/>
          <w:lang w:val="fr-FR"/>
        </w:rPr>
        <w:t>.</w:t>
      </w:r>
    </w:p>
  </w:footnote>
  <w:footnote w:id="10">
    <w:p w14:paraId="6177DE60" w14:textId="45A0B2F9" w:rsidR="00D10629" w:rsidRPr="00503DC8" w:rsidRDefault="00D10629" w:rsidP="00D10629">
      <w:pPr>
        <w:pStyle w:val="Notedebasdepage"/>
        <w:rPr>
          <w:szCs w:val="18"/>
        </w:rPr>
      </w:pPr>
      <w:r>
        <w:rPr>
          <w:szCs w:val="18"/>
          <w:lang w:val="fr-FR"/>
        </w:rPr>
        <w:tab/>
      </w:r>
      <w:r w:rsidRPr="00DE4E77">
        <w:rPr>
          <w:rStyle w:val="Appelnotedebasdep"/>
        </w:rPr>
        <w:footnoteRef/>
      </w:r>
      <w:r>
        <w:rPr>
          <w:lang w:val="fr-FR"/>
        </w:rPr>
        <w:tab/>
        <w:t xml:space="preserve">Cour européenne des droits de l’homme, affaire </w:t>
      </w:r>
      <w:r w:rsidRPr="00BB5E67">
        <w:rPr>
          <w:i/>
          <w:iCs/>
          <w:lang w:val="fr-FR"/>
        </w:rPr>
        <w:t>Ternovszky c</w:t>
      </w:r>
      <w:r w:rsidRPr="007F20EA">
        <w:rPr>
          <w:i/>
          <w:iCs/>
          <w:lang w:val="fr-FR"/>
        </w:rPr>
        <w:t>.</w:t>
      </w:r>
      <w:r w:rsidR="0040478C">
        <w:rPr>
          <w:i/>
          <w:iCs/>
          <w:lang w:val="fr-FR"/>
        </w:rPr>
        <w:t> </w:t>
      </w:r>
      <w:r w:rsidRPr="00BB5E67">
        <w:rPr>
          <w:i/>
          <w:iCs/>
          <w:lang w:val="fr-FR"/>
        </w:rPr>
        <w:t>Hongrie</w:t>
      </w:r>
      <w:r>
        <w:rPr>
          <w:lang w:val="fr-FR"/>
        </w:rPr>
        <w:t xml:space="preserve"> (requête</w:t>
      </w:r>
      <w:r w:rsidR="0040478C">
        <w:rPr>
          <w:lang w:val="fr-FR"/>
        </w:rPr>
        <w:t> </w:t>
      </w:r>
      <w:r>
        <w:rPr>
          <w:lang w:val="fr-FR"/>
        </w:rPr>
        <w:t>67545/09), arrêt du</w:t>
      </w:r>
      <w:r w:rsidR="0040478C">
        <w:rPr>
          <w:lang w:val="fr-FR"/>
        </w:rPr>
        <w:t> </w:t>
      </w:r>
      <w:r>
        <w:rPr>
          <w:lang w:val="fr-FR"/>
        </w:rPr>
        <w:t>14</w:t>
      </w:r>
      <w:r w:rsidR="0040478C">
        <w:rPr>
          <w:lang w:val="fr-FR"/>
        </w:rPr>
        <w:t> </w:t>
      </w:r>
      <w:r>
        <w:rPr>
          <w:lang w:val="fr-FR"/>
        </w:rPr>
        <w:t>décembre 2010</w:t>
      </w:r>
      <w:r w:rsidRPr="007F20EA">
        <w:rPr>
          <w:lang w:val="fr-FR"/>
        </w:rPr>
        <w:t>.</w:t>
      </w:r>
    </w:p>
  </w:footnote>
  <w:footnote w:id="11">
    <w:p w14:paraId="4E9B0315" w14:textId="768F657D" w:rsidR="00D10629" w:rsidRPr="00503DC8" w:rsidRDefault="00D10629" w:rsidP="00D10629">
      <w:pPr>
        <w:pStyle w:val="Notedebasdepage"/>
        <w:rPr>
          <w:b/>
          <w:bCs/>
        </w:rPr>
      </w:pPr>
      <w:r>
        <w:rPr>
          <w:lang w:val="fr-FR"/>
        </w:rPr>
        <w:tab/>
      </w:r>
      <w:r w:rsidRPr="00DE4E77">
        <w:rPr>
          <w:rStyle w:val="Appelnotedebasdep"/>
        </w:rPr>
        <w:footnoteRef/>
      </w:r>
      <w:r>
        <w:rPr>
          <w:lang w:val="fr-FR"/>
        </w:rPr>
        <w:tab/>
        <w:t>Organisation mondiale de la Santé, « La césarienne</w:t>
      </w:r>
      <w:r w:rsidR="0040478C">
        <w:rPr>
          <w:lang w:val="fr-FR"/>
        </w:rPr>
        <w:t> </w:t>
      </w:r>
      <w:r>
        <w:rPr>
          <w:lang w:val="fr-FR"/>
        </w:rPr>
        <w:t>: une intervention à ne pratiquer qu’en cas de nécessité médicale » (10</w:t>
      </w:r>
      <w:r w:rsidR="0040478C">
        <w:rPr>
          <w:lang w:val="fr-FR"/>
        </w:rPr>
        <w:t> </w:t>
      </w:r>
      <w:r>
        <w:rPr>
          <w:lang w:val="fr-FR"/>
        </w:rPr>
        <w:t>avril 2015).</w:t>
      </w:r>
    </w:p>
  </w:footnote>
  <w:footnote w:id="12">
    <w:p w14:paraId="2BD22049" w14:textId="50D71DAA" w:rsidR="00D10629" w:rsidRPr="00503DC8" w:rsidRDefault="00D10629" w:rsidP="00D10629">
      <w:pPr>
        <w:pStyle w:val="Notedebasdepage"/>
      </w:pPr>
      <w:r>
        <w:rPr>
          <w:szCs w:val="18"/>
          <w:lang w:val="fr-FR"/>
        </w:rPr>
        <w:tab/>
      </w:r>
      <w:r w:rsidRPr="00DE4E77">
        <w:rPr>
          <w:rStyle w:val="Appelnotedebasdep"/>
        </w:rPr>
        <w:footnoteRef/>
      </w:r>
      <w:r>
        <w:rPr>
          <w:lang w:val="fr-FR"/>
        </w:rPr>
        <w:tab/>
        <w:t xml:space="preserve">L’auteure cite les observations faites par </w:t>
      </w:r>
      <w:r>
        <w:t>la Rapporteuse spéciale sur la violence contre les femmes, ses causes et ses conséquences dans son rapport sur l’adoption d’une démarche fondée sur les droits de la personne dans la lutte contre les mauvais traitements et les violences infligés aux femmes dans les services de santé procréative, en particulier les violences commises pendant l’accouchement et les</w:t>
      </w:r>
      <w:r w:rsidR="0040478C">
        <w:t> </w:t>
      </w:r>
      <w:r>
        <w:t xml:space="preserve">violences </w:t>
      </w:r>
      <w:r w:rsidRPr="00BA7B88">
        <w:rPr>
          <w:lang w:val="fr-FR"/>
        </w:rPr>
        <w:t>obstétricales</w:t>
      </w:r>
      <w:r>
        <w:rPr>
          <w:lang w:val="fr-FR"/>
        </w:rPr>
        <w:t xml:space="preserve"> </w:t>
      </w:r>
      <w:r w:rsidRPr="00BA7B88">
        <w:rPr>
          <w:bCs/>
        </w:rPr>
        <w:t>(A/74/137)</w:t>
      </w:r>
      <w:r w:rsidR="0040478C" w:rsidRPr="00BA7B88">
        <w:t> </w:t>
      </w:r>
      <w:r>
        <w:rPr>
          <w:lang w:val="fr-FR"/>
        </w:rPr>
        <w:t>; la recommandation générale n</w:t>
      </w:r>
      <w:r w:rsidRPr="00775B2E">
        <w:rPr>
          <w:vertAlign w:val="superscript"/>
          <w:lang w:val="fr-FR"/>
        </w:rPr>
        <w:t>o</w:t>
      </w:r>
      <w:r w:rsidR="0040478C">
        <w:rPr>
          <w:lang w:val="fr-FR"/>
        </w:rPr>
        <w:t> </w:t>
      </w:r>
      <w:r>
        <w:rPr>
          <w:lang w:val="fr-FR"/>
        </w:rPr>
        <w:t xml:space="preserve">35 (2017) du </w:t>
      </w:r>
      <w:r>
        <w:t>Comité pour l’élimination de la discrimination à l’égard des femmes </w:t>
      </w:r>
      <w:r>
        <w:rPr>
          <w:lang w:val="fr-FR"/>
        </w:rPr>
        <w:t>; le rapport du Rapporteur spécial sur la torture et autres peines ou traitements cruels, inhumains ou dégradants (A/HRC/22/53)</w:t>
      </w:r>
      <w:r w:rsidRPr="007F20EA">
        <w:rPr>
          <w:lang w:val="fr-FR"/>
        </w:rPr>
        <w:t>.</w:t>
      </w:r>
    </w:p>
  </w:footnote>
  <w:footnote w:id="13">
    <w:p w14:paraId="372D5A53" w14:textId="2F7BA4F6" w:rsidR="00D10629" w:rsidRPr="00503DC8" w:rsidRDefault="00D10629" w:rsidP="00D10629">
      <w:pPr>
        <w:pStyle w:val="Notedebasdepage"/>
      </w:pPr>
      <w:r>
        <w:rPr>
          <w:lang w:val="fr-FR"/>
        </w:rPr>
        <w:tab/>
      </w:r>
      <w:r w:rsidRPr="00DE4E77">
        <w:rPr>
          <w:rStyle w:val="Appelnotedebasdep"/>
        </w:rPr>
        <w:footnoteRef/>
      </w:r>
      <w:r>
        <w:rPr>
          <w:lang w:val="fr-FR"/>
        </w:rPr>
        <w:tab/>
      </w:r>
      <w:r w:rsidRPr="008D4866">
        <w:rPr>
          <w:i/>
          <w:iCs/>
          <w:lang w:val="fr-FR"/>
        </w:rPr>
        <w:t>P</w:t>
      </w:r>
      <w:r w:rsidRPr="007F20EA">
        <w:rPr>
          <w:i/>
          <w:iCs/>
          <w:lang w:val="fr-FR"/>
        </w:rPr>
        <w:t>.</w:t>
      </w:r>
      <w:r w:rsidR="0040478C">
        <w:rPr>
          <w:i/>
          <w:iCs/>
          <w:lang w:val="fr-FR"/>
        </w:rPr>
        <w:t> </w:t>
      </w:r>
      <w:r w:rsidRPr="008D4866">
        <w:rPr>
          <w:i/>
          <w:iCs/>
          <w:lang w:val="fr-FR"/>
        </w:rPr>
        <w:t>L</w:t>
      </w:r>
      <w:r w:rsidRPr="007F20EA">
        <w:rPr>
          <w:i/>
          <w:iCs/>
          <w:lang w:val="fr-FR"/>
        </w:rPr>
        <w:t>.</w:t>
      </w:r>
      <w:r w:rsidRPr="008D4866">
        <w:rPr>
          <w:i/>
          <w:iCs/>
          <w:lang w:val="fr-FR"/>
        </w:rPr>
        <w:t xml:space="preserve"> c</w:t>
      </w:r>
      <w:r w:rsidRPr="007F20EA">
        <w:rPr>
          <w:i/>
          <w:iCs/>
          <w:lang w:val="fr-FR"/>
        </w:rPr>
        <w:t>.</w:t>
      </w:r>
      <w:r w:rsidR="0040478C">
        <w:rPr>
          <w:i/>
          <w:iCs/>
          <w:lang w:val="fr-FR"/>
        </w:rPr>
        <w:t> </w:t>
      </w:r>
      <w:r w:rsidRPr="008D4866">
        <w:rPr>
          <w:i/>
          <w:iCs/>
          <w:lang w:val="fr-FR"/>
        </w:rPr>
        <w:t>Allemagne</w:t>
      </w:r>
      <w:r>
        <w:rPr>
          <w:lang w:val="fr-FR"/>
        </w:rPr>
        <w:t xml:space="preserve"> (CCPR/C/79/D/1003/2001), par</w:t>
      </w:r>
      <w:r w:rsidRPr="007F20EA">
        <w:rPr>
          <w:lang w:val="fr-FR"/>
        </w:rPr>
        <w:t>.</w:t>
      </w:r>
      <w:r w:rsidR="0040478C">
        <w:rPr>
          <w:lang w:val="fr-FR"/>
        </w:rPr>
        <w:t> </w:t>
      </w:r>
      <w:r>
        <w:rPr>
          <w:lang w:val="fr-FR"/>
        </w:rPr>
        <w:t>6</w:t>
      </w:r>
      <w:r w:rsidRPr="007F20EA">
        <w:rPr>
          <w:lang w:val="fr-FR"/>
        </w:rPr>
        <w:t>.</w:t>
      </w:r>
      <w:r>
        <w:rPr>
          <w:lang w:val="fr-FR"/>
        </w:rPr>
        <w:t xml:space="preserve">5, et </w:t>
      </w:r>
      <w:r w:rsidRPr="008D4866">
        <w:rPr>
          <w:i/>
          <w:iCs/>
          <w:lang w:val="fr-FR"/>
        </w:rPr>
        <w:t>A</w:t>
      </w:r>
      <w:r w:rsidRPr="007F20EA">
        <w:rPr>
          <w:i/>
          <w:iCs/>
          <w:lang w:val="fr-FR"/>
        </w:rPr>
        <w:t>.</w:t>
      </w:r>
      <w:r>
        <w:rPr>
          <w:i/>
          <w:iCs/>
          <w:lang w:val="fr-FR"/>
        </w:rPr>
        <w:t> </w:t>
      </w:r>
      <w:r w:rsidRPr="008D4866">
        <w:rPr>
          <w:i/>
          <w:iCs/>
          <w:lang w:val="fr-FR"/>
        </w:rPr>
        <w:t>P</w:t>
      </w:r>
      <w:r w:rsidRPr="007F20EA">
        <w:rPr>
          <w:i/>
          <w:iCs/>
          <w:lang w:val="fr-FR"/>
        </w:rPr>
        <w:t>.</w:t>
      </w:r>
      <w:r>
        <w:rPr>
          <w:i/>
          <w:iCs/>
          <w:lang w:val="fr-FR"/>
        </w:rPr>
        <w:t> </w:t>
      </w:r>
      <w:r w:rsidRPr="008D4866">
        <w:rPr>
          <w:i/>
          <w:iCs/>
          <w:lang w:val="fr-FR"/>
        </w:rPr>
        <w:t>A</w:t>
      </w:r>
      <w:r w:rsidRPr="007F20EA">
        <w:rPr>
          <w:i/>
          <w:iCs/>
          <w:lang w:val="fr-FR"/>
        </w:rPr>
        <w:t>.</w:t>
      </w:r>
      <w:r w:rsidRPr="008D4866">
        <w:rPr>
          <w:i/>
          <w:iCs/>
          <w:lang w:val="fr-FR"/>
        </w:rPr>
        <w:t xml:space="preserve"> c</w:t>
      </w:r>
      <w:r w:rsidRPr="007F20EA">
        <w:rPr>
          <w:i/>
          <w:iCs/>
          <w:lang w:val="fr-FR"/>
        </w:rPr>
        <w:t>.</w:t>
      </w:r>
      <w:r>
        <w:rPr>
          <w:i/>
          <w:iCs/>
          <w:lang w:val="fr-FR"/>
        </w:rPr>
        <w:t xml:space="preserve"> Espagne, </w:t>
      </w:r>
      <w:r>
        <w:rPr>
          <w:lang w:val="fr-FR"/>
        </w:rPr>
        <w:t>communication n</w:t>
      </w:r>
      <w:r w:rsidRPr="00775B2E">
        <w:rPr>
          <w:vertAlign w:val="superscript"/>
          <w:lang w:val="fr-FR"/>
        </w:rPr>
        <w:t>o</w:t>
      </w:r>
      <w:r>
        <w:rPr>
          <w:lang w:val="fr-FR"/>
        </w:rPr>
        <w:t> 433/1990, par</w:t>
      </w:r>
      <w:r w:rsidRPr="007F20EA">
        <w:rPr>
          <w:lang w:val="fr-FR"/>
        </w:rPr>
        <w:t>.</w:t>
      </w:r>
      <w:r w:rsidR="0040478C">
        <w:rPr>
          <w:lang w:val="fr-FR"/>
        </w:rPr>
        <w:t> </w:t>
      </w:r>
      <w:r>
        <w:rPr>
          <w:lang w:val="fr-FR"/>
        </w:rPr>
        <w:t>6</w:t>
      </w:r>
      <w:r w:rsidRPr="007F20EA">
        <w:rPr>
          <w:lang w:val="fr-FR"/>
        </w:rPr>
        <w:t>.</w:t>
      </w:r>
      <w:r>
        <w:rPr>
          <w:lang w:val="fr-FR"/>
        </w:rPr>
        <w:t>2</w:t>
      </w:r>
      <w:r w:rsidRPr="007F20EA">
        <w:rPr>
          <w:lang w:val="fr-FR"/>
        </w:rPr>
        <w:t>.</w:t>
      </w:r>
    </w:p>
  </w:footnote>
  <w:footnote w:id="14">
    <w:p w14:paraId="61EEF8C5" w14:textId="0C845DCE" w:rsidR="00D10629" w:rsidRPr="00503DC8" w:rsidRDefault="00D10629" w:rsidP="00D10629">
      <w:pPr>
        <w:pStyle w:val="Notedebasdepage"/>
        <w:rPr>
          <w:b/>
          <w:bCs/>
        </w:rPr>
      </w:pPr>
      <w:r>
        <w:rPr>
          <w:szCs w:val="18"/>
          <w:lang w:val="fr-FR"/>
        </w:rPr>
        <w:tab/>
      </w:r>
      <w:r w:rsidRPr="00DE4E77">
        <w:rPr>
          <w:rStyle w:val="Appelnotedebasdep"/>
        </w:rPr>
        <w:footnoteRef/>
      </w:r>
      <w:r>
        <w:rPr>
          <w:lang w:val="fr-FR"/>
        </w:rPr>
        <w:tab/>
        <w:t xml:space="preserve"> </w:t>
      </w:r>
      <w:r w:rsidRPr="008D4866">
        <w:rPr>
          <w:i/>
          <w:iCs/>
          <w:lang w:val="fr-FR"/>
        </w:rPr>
        <w:t>P</w:t>
      </w:r>
      <w:r w:rsidRPr="007F20EA">
        <w:rPr>
          <w:i/>
          <w:iCs/>
          <w:lang w:val="fr-FR"/>
        </w:rPr>
        <w:t>.</w:t>
      </w:r>
      <w:r w:rsidR="0040478C">
        <w:rPr>
          <w:i/>
          <w:iCs/>
          <w:lang w:val="fr-FR"/>
        </w:rPr>
        <w:t> </w:t>
      </w:r>
      <w:r w:rsidRPr="008D4866">
        <w:rPr>
          <w:i/>
          <w:iCs/>
          <w:lang w:val="fr-FR"/>
        </w:rPr>
        <w:t>S</w:t>
      </w:r>
      <w:r w:rsidRPr="007F20EA">
        <w:rPr>
          <w:i/>
          <w:iCs/>
          <w:lang w:val="fr-FR"/>
        </w:rPr>
        <w:t>.</w:t>
      </w:r>
      <w:r w:rsidRPr="008D4866">
        <w:rPr>
          <w:i/>
          <w:iCs/>
          <w:lang w:val="fr-FR"/>
        </w:rPr>
        <w:t xml:space="preserve"> c</w:t>
      </w:r>
      <w:r w:rsidRPr="007F20EA">
        <w:rPr>
          <w:i/>
          <w:iCs/>
          <w:lang w:val="fr-FR"/>
        </w:rPr>
        <w:t>.</w:t>
      </w:r>
      <w:r w:rsidR="0040478C">
        <w:rPr>
          <w:i/>
          <w:iCs/>
          <w:lang w:val="fr-FR"/>
        </w:rPr>
        <w:t> </w:t>
      </w:r>
      <w:r w:rsidRPr="008D4866">
        <w:rPr>
          <w:i/>
          <w:iCs/>
          <w:lang w:val="fr-FR"/>
        </w:rPr>
        <w:t>Danemark</w:t>
      </w:r>
      <w:r>
        <w:rPr>
          <w:lang w:val="fr-FR"/>
        </w:rPr>
        <w:t>, communication n</w:t>
      </w:r>
      <w:r w:rsidRPr="00775B2E">
        <w:rPr>
          <w:vertAlign w:val="superscript"/>
          <w:lang w:val="fr-FR"/>
        </w:rPr>
        <w:t>o</w:t>
      </w:r>
      <w:r w:rsidR="0040478C">
        <w:rPr>
          <w:lang w:val="fr-FR"/>
        </w:rPr>
        <w:t> </w:t>
      </w:r>
      <w:r>
        <w:rPr>
          <w:lang w:val="fr-FR"/>
        </w:rPr>
        <w:t>397/1990, par</w:t>
      </w:r>
      <w:r w:rsidRPr="007F20EA">
        <w:rPr>
          <w:lang w:val="fr-FR"/>
        </w:rPr>
        <w:t>.</w:t>
      </w:r>
      <w:r w:rsidR="0040478C">
        <w:rPr>
          <w:lang w:val="fr-FR"/>
        </w:rPr>
        <w:t> </w:t>
      </w:r>
      <w:r>
        <w:rPr>
          <w:lang w:val="fr-FR"/>
        </w:rPr>
        <w:t>5</w:t>
      </w:r>
      <w:r w:rsidRPr="007F20EA">
        <w:rPr>
          <w:lang w:val="fr-FR"/>
        </w:rPr>
        <w:t>.</w:t>
      </w:r>
      <w:r>
        <w:rPr>
          <w:lang w:val="fr-FR"/>
        </w:rPr>
        <w:t>4</w:t>
      </w:r>
      <w:r>
        <w:rPr>
          <w:i/>
        </w:rPr>
        <w:t> </w:t>
      </w:r>
      <w:r>
        <w:rPr>
          <w:lang w:val="fr-FR"/>
        </w:rPr>
        <w:t xml:space="preserve">; </w:t>
      </w:r>
      <w:r w:rsidRPr="008D4866">
        <w:rPr>
          <w:i/>
          <w:iCs/>
          <w:lang w:val="fr-FR"/>
        </w:rPr>
        <w:t>Faurisson c</w:t>
      </w:r>
      <w:r w:rsidRPr="007F20EA">
        <w:rPr>
          <w:i/>
          <w:iCs/>
          <w:lang w:val="fr-FR"/>
        </w:rPr>
        <w:t>.</w:t>
      </w:r>
      <w:r w:rsidR="0040478C">
        <w:rPr>
          <w:i/>
          <w:iCs/>
          <w:lang w:val="fr-FR"/>
        </w:rPr>
        <w:t> </w:t>
      </w:r>
      <w:r w:rsidRPr="008D4866">
        <w:rPr>
          <w:i/>
          <w:iCs/>
          <w:lang w:val="fr-FR"/>
        </w:rPr>
        <w:t>France</w:t>
      </w:r>
      <w:r>
        <w:rPr>
          <w:lang w:val="fr-FR"/>
        </w:rPr>
        <w:t xml:space="preserve"> (CCPR/C/58/D/550/1993), par</w:t>
      </w:r>
      <w:r w:rsidRPr="007F20EA">
        <w:rPr>
          <w:lang w:val="fr-FR"/>
        </w:rPr>
        <w:t>.</w:t>
      </w:r>
      <w:r w:rsidR="0040478C">
        <w:rPr>
          <w:lang w:val="fr-FR"/>
        </w:rPr>
        <w:t> </w:t>
      </w:r>
      <w:r>
        <w:rPr>
          <w:lang w:val="fr-FR"/>
        </w:rPr>
        <w:t>6</w:t>
      </w:r>
      <w:r w:rsidRPr="007F20EA">
        <w:rPr>
          <w:lang w:val="fr-FR"/>
        </w:rPr>
        <w:t>.</w:t>
      </w:r>
      <w:r>
        <w:rPr>
          <w:lang w:val="fr-FR"/>
        </w:rPr>
        <w:t>1</w:t>
      </w:r>
      <w:r>
        <w:rPr>
          <w:i/>
        </w:rPr>
        <w:t> </w:t>
      </w:r>
      <w:r>
        <w:rPr>
          <w:lang w:val="fr-FR"/>
        </w:rPr>
        <w:t xml:space="preserve">; </w:t>
      </w:r>
      <w:r w:rsidRPr="008D4866">
        <w:rPr>
          <w:i/>
          <w:iCs/>
          <w:lang w:val="fr-FR"/>
        </w:rPr>
        <w:t>Kly c</w:t>
      </w:r>
      <w:r w:rsidRPr="007F20EA">
        <w:rPr>
          <w:i/>
          <w:iCs/>
          <w:lang w:val="fr-FR"/>
        </w:rPr>
        <w:t>.</w:t>
      </w:r>
      <w:r w:rsidR="0040478C">
        <w:rPr>
          <w:i/>
          <w:iCs/>
          <w:lang w:val="fr-FR"/>
        </w:rPr>
        <w:t> </w:t>
      </w:r>
      <w:r w:rsidRPr="008D4866">
        <w:rPr>
          <w:i/>
          <w:iCs/>
          <w:lang w:val="fr-FR"/>
        </w:rPr>
        <w:t>Canada</w:t>
      </w:r>
      <w:r>
        <w:rPr>
          <w:lang w:val="fr-FR"/>
        </w:rPr>
        <w:t xml:space="preserve"> (CCPR/C/95/D/1576/2007), par</w:t>
      </w:r>
      <w:r w:rsidRPr="007F20EA">
        <w:rPr>
          <w:lang w:val="fr-FR"/>
        </w:rPr>
        <w:t>.</w:t>
      </w:r>
      <w:r w:rsidR="0040478C">
        <w:rPr>
          <w:lang w:val="fr-FR"/>
        </w:rPr>
        <w:t> </w:t>
      </w:r>
      <w:r>
        <w:rPr>
          <w:lang w:val="fr-FR"/>
        </w:rPr>
        <w:t>6</w:t>
      </w:r>
      <w:r w:rsidRPr="007F20EA">
        <w:rPr>
          <w:lang w:val="fr-FR"/>
        </w:rPr>
        <w:t>.</w:t>
      </w:r>
      <w:r>
        <w:rPr>
          <w:lang w:val="fr-FR"/>
        </w:rPr>
        <w:t>4</w:t>
      </w:r>
      <w:r w:rsidRPr="007F20EA">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A6999" w14:textId="597DC2DC" w:rsidR="00B44A2D" w:rsidRPr="00B44A2D" w:rsidRDefault="00B44A2D">
    <w:pPr>
      <w:pStyle w:val="En-tte"/>
    </w:pPr>
    <w:fldSimple w:instr=" TITLE  \* MERGEFORMAT ">
      <w:r>
        <w:t>CCPR/C/130/D/3639/2019</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BCFB3" w14:textId="72621303" w:rsidR="00B44A2D" w:rsidRPr="00B44A2D" w:rsidRDefault="00B44A2D" w:rsidP="00B44A2D">
    <w:pPr>
      <w:pStyle w:val="En-tte"/>
      <w:jc w:val="right"/>
    </w:pPr>
    <w:fldSimple w:instr=" TITLE  \* MERGEFORMAT ">
      <w:r>
        <w:t>CCPR/C/130/D/3639/2019</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2C2"/>
    <w:rsid w:val="00017F94"/>
    <w:rsid w:val="00023842"/>
    <w:rsid w:val="000334F9"/>
    <w:rsid w:val="0007796D"/>
    <w:rsid w:val="000919AD"/>
    <w:rsid w:val="000B7790"/>
    <w:rsid w:val="000C2225"/>
    <w:rsid w:val="00111F2F"/>
    <w:rsid w:val="0014365E"/>
    <w:rsid w:val="00176178"/>
    <w:rsid w:val="001B379B"/>
    <w:rsid w:val="001F525A"/>
    <w:rsid w:val="00223272"/>
    <w:rsid w:val="0024779E"/>
    <w:rsid w:val="00292C5B"/>
    <w:rsid w:val="002B7BC7"/>
    <w:rsid w:val="002E2D46"/>
    <w:rsid w:val="0032225A"/>
    <w:rsid w:val="003265B7"/>
    <w:rsid w:val="003402F1"/>
    <w:rsid w:val="00351332"/>
    <w:rsid w:val="003A41A8"/>
    <w:rsid w:val="003A6E96"/>
    <w:rsid w:val="0040478C"/>
    <w:rsid w:val="00446FE5"/>
    <w:rsid w:val="00452396"/>
    <w:rsid w:val="004D11FC"/>
    <w:rsid w:val="005505B7"/>
    <w:rsid w:val="00573BE5"/>
    <w:rsid w:val="00586ED3"/>
    <w:rsid w:val="00596AA9"/>
    <w:rsid w:val="006D1448"/>
    <w:rsid w:val="006F7144"/>
    <w:rsid w:val="006F71EA"/>
    <w:rsid w:val="0071601D"/>
    <w:rsid w:val="007612C2"/>
    <w:rsid w:val="00793E85"/>
    <w:rsid w:val="007A611C"/>
    <w:rsid w:val="007A62E6"/>
    <w:rsid w:val="007E2032"/>
    <w:rsid w:val="007F2E61"/>
    <w:rsid w:val="0080684C"/>
    <w:rsid w:val="0080707A"/>
    <w:rsid w:val="008560DB"/>
    <w:rsid w:val="00871C75"/>
    <w:rsid w:val="008776DC"/>
    <w:rsid w:val="009705C8"/>
    <w:rsid w:val="009B1E6C"/>
    <w:rsid w:val="009E2C6A"/>
    <w:rsid w:val="00A57411"/>
    <w:rsid w:val="00A9151D"/>
    <w:rsid w:val="00A92823"/>
    <w:rsid w:val="00AA6A35"/>
    <w:rsid w:val="00AC3823"/>
    <w:rsid w:val="00AE323C"/>
    <w:rsid w:val="00B00181"/>
    <w:rsid w:val="00B44A2D"/>
    <w:rsid w:val="00B765F7"/>
    <w:rsid w:val="00BA0CA9"/>
    <w:rsid w:val="00BA7B88"/>
    <w:rsid w:val="00C01ACF"/>
    <w:rsid w:val="00C02897"/>
    <w:rsid w:val="00CA7BC4"/>
    <w:rsid w:val="00D05667"/>
    <w:rsid w:val="00D10629"/>
    <w:rsid w:val="00D22C9C"/>
    <w:rsid w:val="00D3439C"/>
    <w:rsid w:val="00D744E5"/>
    <w:rsid w:val="00D83177"/>
    <w:rsid w:val="00DB1831"/>
    <w:rsid w:val="00DD3BFD"/>
    <w:rsid w:val="00DF6678"/>
    <w:rsid w:val="00DF6BFE"/>
    <w:rsid w:val="00E85C42"/>
    <w:rsid w:val="00EC30D5"/>
    <w:rsid w:val="00EE1BD4"/>
    <w:rsid w:val="00F12152"/>
    <w:rsid w:val="00F660DF"/>
    <w:rsid w:val="00F95C08"/>
    <w:rsid w:val="00FD57A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EDAB2EB"/>
  <w15:docId w15:val="{392858A5-B814-4BF4-AD1D-758A5043B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semiHidden/>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D744E5"/>
    <w:pPr>
      <w:tabs>
        <w:tab w:val="left" w:pos="1701"/>
        <w:tab w:val="left" w:pos="2268"/>
        <w:tab w:val="left" w:pos="2835"/>
      </w:tabs>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left" w:pos="1701"/>
        <w:tab w:val="left" w:pos="2268"/>
        <w:tab w:val="left" w:pos="2835"/>
      </w:tabs>
      <w:spacing w:after="120"/>
      <w:ind w:right="1134"/>
      <w:jc w:val="both"/>
    </w:pPr>
  </w:style>
  <w:style w:type="character" w:styleId="Appelnotedebasdep">
    <w:name w:val="footnote reference"/>
    <w:aliases w:val="4_G,ftref,BVI fnr,16 Point,Superscript 6 Point,Footnote,Footnote symbol,Footnote Refernece,Texto de nota al pie,Fußnotenzeichen_Raxen,Footnote number,Footnotes refss,Style 10,referencia nota al pie,Footnote text,4_Footnote text,f"/>
    <w:basedOn w:val="Policepardfaut"/>
    <w:qFormat/>
    <w:rsid w:val="00D744E5"/>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single space,ft,Footnote Text Char Char Char,Footnote Text Char Char,footnote text Char,single space Char,ft Char Char Char,ft Char Char,ft Char,FOOTNOTES,fn,Fußnote,F1,Geneva,Char,single space Char Char Char,fn Cha"/>
    <w:basedOn w:val="Normal"/>
    <w:link w:val="NotedebasdepageCar"/>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single space Car,ft Car,Footnote Text Char Char Char Car,Footnote Text Char Char Car,footnote text Char Car,single space Char Car,ft Char Char Char Car,ft Char Char Car,ft Char Car,FOOTNOTES Car,fn Car,Fußnote Car,F1 Car"/>
    <w:basedOn w:val="Policepardfaut"/>
    <w:link w:val="Notedebasdepage"/>
    <w:rsid w:val="00D744E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character" w:customStyle="1" w:styleId="Titre1Car">
    <w:name w:val="Titre 1 Car"/>
    <w:aliases w:val="Table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 w:type="character" w:customStyle="1" w:styleId="SingleTxtGChar">
    <w:name w:val="_ Single Txt_G Char"/>
    <w:link w:val="SingleTxtG"/>
    <w:rsid w:val="003A41A8"/>
    <w:rPr>
      <w:rFonts w:ascii="Times New Roman" w:eastAsiaTheme="minorHAnsi" w:hAnsi="Times New Roman" w:cs="Times New Roman"/>
      <w:sz w:val="20"/>
      <w:szCs w:val="20"/>
      <w:lang w:eastAsia="en-US"/>
    </w:rPr>
  </w:style>
  <w:style w:type="character" w:styleId="Mentionnonrsolue">
    <w:name w:val="Unresolved Mention"/>
    <w:basedOn w:val="Policepardfaut"/>
    <w:uiPriority w:val="99"/>
    <w:semiHidden/>
    <w:unhideWhenUsed/>
    <w:rsid w:val="004047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portal.guiasalud.es/wp-content/uploads/2018/12/GPC_472_Parto_Normal_Osteba_compl.pdf" TargetMode="External"/><Relationship Id="rId1" Type="http://schemas.openxmlformats.org/officeDocument/2006/relationships/hyperlink" Target="https://undocs.org/fr/www.elpartoesnuestro.es/informacion/parto/administracion--de--oxitocina--sintetic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1</TotalTime>
  <Pages>6</Pages>
  <Words>3341</Words>
  <Characters>17418</Characters>
  <Application>Microsoft Office Word</Application>
  <DocSecurity>0</DocSecurity>
  <Lines>272</Lines>
  <Paragraphs>71</Paragraphs>
  <ScaleCrop>false</ScaleCrop>
  <HeadingPairs>
    <vt:vector size="2" baseType="variant">
      <vt:variant>
        <vt:lpstr>Titre</vt:lpstr>
      </vt:variant>
      <vt:variant>
        <vt:i4>1</vt:i4>
      </vt:variant>
    </vt:vector>
  </HeadingPairs>
  <TitlesOfParts>
    <vt:vector size="1" baseType="lpstr">
      <vt:lpstr>CCPR/C/130/D/3639/2019</vt:lpstr>
    </vt:vector>
  </TitlesOfParts>
  <Company>DCM</Company>
  <LinksUpToDate>false</LinksUpToDate>
  <CharactersWithSpaces>20698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CCPR/C/130/D/3639/2019</dc:title>
  <dc:subject/>
  <dc:creator>Marie DESCHAMPS</dc:creator>
  <cp:keywords/>
  <cp:lastModifiedBy>Marie Deschamps</cp:lastModifiedBy>
  <cp:revision>2</cp:revision>
  <cp:lastPrinted>2014-05-14T10:59:00Z</cp:lastPrinted>
  <dcterms:created xsi:type="dcterms:W3CDTF">2022-05-03T15:36:00Z</dcterms:created>
  <dcterms:modified xsi:type="dcterms:W3CDTF">2022-05-03T15:36:00Z</dcterms:modified>
</cp:coreProperties>
</file>