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AB5845E" w14:textId="77777777" w:rsidTr="002B7BC7">
        <w:trPr>
          <w:trHeight w:hRule="exact" w:val="851"/>
        </w:trPr>
        <w:tc>
          <w:tcPr>
            <w:tcW w:w="1276" w:type="dxa"/>
            <w:tcBorders>
              <w:bottom w:val="single" w:sz="4" w:space="0" w:color="auto"/>
            </w:tcBorders>
          </w:tcPr>
          <w:p w14:paraId="6A62CC13" w14:textId="77777777" w:rsidR="006F71EA" w:rsidRPr="00DB58B5" w:rsidRDefault="006F71EA" w:rsidP="00F85A35"/>
        </w:tc>
        <w:tc>
          <w:tcPr>
            <w:tcW w:w="2268" w:type="dxa"/>
            <w:tcBorders>
              <w:bottom w:val="single" w:sz="4" w:space="0" w:color="auto"/>
            </w:tcBorders>
            <w:vAlign w:val="bottom"/>
          </w:tcPr>
          <w:p w14:paraId="6B3BD40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433783" w14:textId="45583AB8" w:rsidR="006F71EA" w:rsidRPr="00DB58B5" w:rsidRDefault="00F85A35" w:rsidP="00F85A35">
            <w:pPr>
              <w:jc w:val="right"/>
            </w:pPr>
            <w:r w:rsidRPr="00F85A35">
              <w:rPr>
                <w:sz w:val="40"/>
              </w:rPr>
              <w:t>CCPR</w:t>
            </w:r>
            <w:r>
              <w:t>/C/130/D/2820/2016</w:t>
            </w:r>
          </w:p>
        </w:tc>
      </w:tr>
      <w:tr w:rsidR="006F71EA" w:rsidRPr="00DB58B5" w14:paraId="3A090B57" w14:textId="77777777" w:rsidTr="002B7BC7">
        <w:trPr>
          <w:trHeight w:hRule="exact" w:val="2835"/>
        </w:trPr>
        <w:tc>
          <w:tcPr>
            <w:tcW w:w="1276" w:type="dxa"/>
            <w:tcBorders>
              <w:top w:val="single" w:sz="4" w:space="0" w:color="auto"/>
              <w:bottom w:val="single" w:sz="12" w:space="0" w:color="auto"/>
            </w:tcBorders>
          </w:tcPr>
          <w:p w14:paraId="60A3D3A7" w14:textId="77777777" w:rsidR="006F71EA" w:rsidRPr="00DB58B5" w:rsidRDefault="006F71EA" w:rsidP="002B7BC7">
            <w:pPr>
              <w:spacing w:before="120"/>
              <w:jc w:val="center"/>
            </w:pPr>
            <w:r>
              <w:rPr>
                <w:noProof/>
                <w:lang w:eastAsia="fr-CH"/>
              </w:rPr>
              <w:drawing>
                <wp:inline distT="0" distB="0" distL="0" distR="0" wp14:anchorId="03D73A49" wp14:editId="72E3B2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FB8EC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CD29D9C" w14:textId="77777777" w:rsidR="006F71EA" w:rsidRDefault="00F85A35" w:rsidP="002B7BC7">
            <w:pPr>
              <w:spacing w:before="240"/>
            </w:pPr>
            <w:r>
              <w:t>Distr. générale</w:t>
            </w:r>
          </w:p>
          <w:p w14:paraId="75F88B98" w14:textId="3CB03846" w:rsidR="00F85A35" w:rsidRDefault="00F85A35" w:rsidP="00F85A35">
            <w:pPr>
              <w:spacing w:line="240" w:lineRule="exact"/>
            </w:pPr>
            <w:r>
              <w:t>8 juin 2021</w:t>
            </w:r>
          </w:p>
          <w:p w14:paraId="122563FF" w14:textId="77777777" w:rsidR="00F85A35" w:rsidRDefault="00F85A35" w:rsidP="00F85A35">
            <w:pPr>
              <w:spacing w:line="240" w:lineRule="exact"/>
            </w:pPr>
            <w:r>
              <w:t>Français</w:t>
            </w:r>
          </w:p>
          <w:p w14:paraId="58A12B5A" w14:textId="44250B88" w:rsidR="00F85A35" w:rsidRPr="00DB58B5" w:rsidRDefault="00F85A35" w:rsidP="00F85A35">
            <w:pPr>
              <w:spacing w:line="240" w:lineRule="exact"/>
            </w:pPr>
            <w:r>
              <w:t>Original : anglais</w:t>
            </w:r>
          </w:p>
        </w:tc>
      </w:tr>
    </w:tbl>
    <w:p w14:paraId="0804D4D0" w14:textId="2420D126" w:rsidR="006F71EA" w:rsidRDefault="006F71EA" w:rsidP="006F71EA">
      <w:pPr>
        <w:spacing w:before="120"/>
        <w:rPr>
          <w:b/>
          <w:sz w:val="24"/>
          <w:szCs w:val="24"/>
        </w:rPr>
      </w:pPr>
      <w:r w:rsidRPr="00DF3BF1">
        <w:rPr>
          <w:b/>
          <w:sz w:val="24"/>
          <w:szCs w:val="24"/>
        </w:rPr>
        <w:t>Comité des droits de l</w:t>
      </w:r>
      <w:r w:rsidR="00390237">
        <w:rPr>
          <w:b/>
          <w:sz w:val="24"/>
          <w:szCs w:val="24"/>
        </w:rPr>
        <w:t>’</w:t>
      </w:r>
      <w:r w:rsidRPr="00DF3BF1">
        <w:rPr>
          <w:b/>
          <w:sz w:val="24"/>
          <w:szCs w:val="24"/>
        </w:rPr>
        <w:t>homme</w:t>
      </w:r>
    </w:p>
    <w:p w14:paraId="30B97E32" w14:textId="32F22489" w:rsidR="00E85C42" w:rsidRDefault="00F85A35" w:rsidP="00F85A35">
      <w:pPr>
        <w:pStyle w:val="HChG"/>
      </w:pPr>
      <w:r w:rsidRPr="002B6E68">
        <w:rPr>
          <w:lang w:val="fr-FR"/>
        </w:rPr>
        <w:tab/>
      </w:r>
      <w:r w:rsidRPr="002B6E68">
        <w:rPr>
          <w:lang w:val="fr-FR"/>
        </w:rPr>
        <w:tab/>
      </w:r>
      <w:r>
        <w:t>C</w:t>
      </w:r>
      <w:r w:rsidRPr="006B73DA">
        <w:rPr>
          <w:lang w:val="fr-FR"/>
        </w:rPr>
        <w:t>onstatations adoptées par le Comité au titre</w:t>
      </w:r>
      <w:r w:rsidRPr="00383E07">
        <w:rPr>
          <w:lang w:val="fr-FR"/>
        </w:rPr>
        <w:t xml:space="preserve"> de </w:t>
      </w:r>
      <w:r w:rsidRPr="006B73DA">
        <w:rPr>
          <w:lang w:val="fr-FR"/>
        </w:rPr>
        <w:t>l</w:t>
      </w:r>
      <w:r w:rsidR="00390237">
        <w:rPr>
          <w:lang w:val="fr-FR"/>
        </w:rPr>
        <w:t>’</w:t>
      </w:r>
      <w:r w:rsidRPr="006B73DA">
        <w:rPr>
          <w:lang w:val="fr-FR"/>
        </w:rPr>
        <w:t>article 5 (par. 4)</w:t>
      </w:r>
      <w:r w:rsidRPr="00383E07">
        <w:rPr>
          <w:lang w:val="fr-FR"/>
        </w:rPr>
        <w:t xml:space="preserve"> du </w:t>
      </w:r>
      <w:r w:rsidRPr="00454BD4">
        <w:rPr>
          <w:bCs/>
          <w:lang w:val="fr-FR"/>
        </w:rPr>
        <w:t>Protocole facultatif</w:t>
      </w:r>
      <w:r w:rsidRPr="00E43716">
        <w:rPr>
          <w:bCs/>
          <w:lang w:val="fr-FR"/>
        </w:rPr>
        <w:t>,</w:t>
      </w:r>
      <w:r w:rsidRPr="006B73DA">
        <w:rPr>
          <w:lang w:val="fr-FR"/>
        </w:rPr>
        <w:t xml:space="preserve"> concernant la communication</w:t>
      </w:r>
      <w:r w:rsidRPr="002B6E68" w:rsidDel="00E43716">
        <w:rPr>
          <w:lang w:val="fr-FR"/>
        </w:rPr>
        <w:t xml:space="preserve"> </w:t>
      </w:r>
      <w:r w:rsidRPr="002B6E68">
        <w:rPr>
          <w:lang w:val="fr-FR"/>
        </w:rPr>
        <w:t>n</w:t>
      </w:r>
      <w:r w:rsidRPr="002B6E68">
        <w:rPr>
          <w:vertAlign w:val="superscript"/>
          <w:lang w:val="fr-FR"/>
        </w:rPr>
        <w:t>o</w:t>
      </w:r>
      <w:r w:rsidRPr="00495E90">
        <w:rPr>
          <w:lang w:val="fr-FR"/>
        </w:rPr>
        <w:t> </w:t>
      </w:r>
      <w:r w:rsidRPr="002B6E68">
        <w:rPr>
          <w:lang w:val="fr-FR"/>
        </w:rPr>
        <w:t>2820/2016</w:t>
      </w:r>
      <w:r w:rsidR="00B82B82" w:rsidRPr="00B82B82">
        <w:rPr>
          <w:rStyle w:val="Appelnotedebasdep"/>
          <w:b w:val="0"/>
          <w:bCs/>
          <w:sz w:val="20"/>
          <w:vertAlign w:val="baseline"/>
        </w:rPr>
        <w:footnoteReference w:customMarkFollows="1" w:id="2"/>
        <w:t>*</w:t>
      </w:r>
      <w:r w:rsidRPr="00B82B82">
        <w:rPr>
          <w:b w:val="0"/>
          <w:bCs/>
          <w:position w:val="6"/>
          <w:sz w:val="20"/>
        </w:rPr>
        <w:t>,</w:t>
      </w:r>
      <w:r w:rsidRPr="00B82B82">
        <w:rPr>
          <w:b w:val="0"/>
          <w:bCs/>
          <w:sz w:val="20"/>
        </w:rPr>
        <w:t xml:space="preserve"> </w:t>
      </w:r>
      <w:r w:rsidR="00B82B82" w:rsidRPr="00B82B82">
        <w:rPr>
          <w:rStyle w:val="Appelnotedebasdep"/>
          <w:b w:val="0"/>
          <w:bCs/>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112"/>
      </w:tblGrid>
      <w:tr w:rsidR="00F85A35" w14:paraId="3881D8F6" w14:textId="77777777" w:rsidTr="00DB7CC9">
        <w:tc>
          <w:tcPr>
            <w:tcW w:w="2835" w:type="dxa"/>
          </w:tcPr>
          <w:p w14:paraId="35E50CB3" w14:textId="77777777" w:rsidR="00F85A35" w:rsidRDefault="00F85A35" w:rsidP="00DB7CC9">
            <w:pPr>
              <w:pStyle w:val="SingleTxtG"/>
              <w:ind w:left="0" w:right="0"/>
              <w:jc w:val="left"/>
              <w:rPr>
                <w:i/>
              </w:rPr>
            </w:pPr>
            <w:r w:rsidRPr="00912B33">
              <w:rPr>
                <w:i/>
                <w:spacing w:val="-3"/>
              </w:rPr>
              <w:t>Communication présentée par</w:t>
            </w:r>
            <w:r>
              <w:t> :</w:t>
            </w:r>
          </w:p>
        </w:tc>
        <w:tc>
          <w:tcPr>
            <w:tcW w:w="4112" w:type="dxa"/>
          </w:tcPr>
          <w:p w14:paraId="2F24F96F" w14:textId="0ADE390A" w:rsidR="00F85A35" w:rsidRDefault="00F85A35" w:rsidP="00DB7CC9">
            <w:pPr>
              <w:pStyle w:val="SingleTxtG"/>
              <w:ind w:left="0" w:right="0"/>
              <w:jc w:val="left"/>
            </w:pPr>
            <w:r w:rsidRPr="002B6E68">
              <w:rPr>
                <w:lang w:val="fr-FR"/>
              </w:rPr>
              <w:t xml:space="preserve">Mitko Vanchev </w:t>
            </w:r>
            <w:r>
              <w:rPr>
                <w:lang w:val="fr-FR"/>
              </w:rPr>
              <w:t>(</w:t>
            </w:r>
            <w:r w:rsidRPr="002B6E68">
              <w:rPr>
                <w:lang w:val="fr-FR"/>
              </w:rPr>
              <w:t>représenté par un conseil, Mihail</w:t>
            </w:r>
            <w:r w:rsidR="00390237">
              <w:rPr>
                <w:lang w:val="fr-FR"/>
              </w:rPr>
              <w:t> </w:t>
            </w:r>
            <w:r w:rsidRPr="002B6E68">
              <w:rPr>
                <w:lang w:val="fr-FR"/>
              </w:rPr>
              <w:t>Ekimdjiev</w:t>
            </w:r>
            <w:r>
              <w:rPr>
                <w:lang w:val="fr-FR"/>
              </w:rPr>
              <w:t>)</w:t>
            </w:r>
          </w:p>
        </w:tc>
      </w:tr>
      <w:tr w:rsidR="00F85A35" w14:paraId="09748FEE" w14:textId="77777777" w:rsidTr="00DB7CC9">
        <w:tc>
          <w:tcPr>
            <w:tcW w:w="2835" w:type="dxa"/>
          </w:tcPr>
          <w:p w14:paraId="686D33B3" w14:textId="77777777" w:rsidR="00F85A35" w:rsidRDefault="00F85A35" w:rsidP="00DB7CC9">
            <w:pPr>
              <w:pStyle w:val="SingleTxtG"/>
              <w:ind w:left="0" w:right="0"/>
              <w:jc w:val="left"/>
              <w:rPr>
                <w:i/>
              </w:rPr>
            </w:pPr>
            <w:r w:rsidRPr="002B6E68">
              <w:rPr>
                <w:i/>
                <w:iCs/>
                <w:lang w:val="fr-FR"/>
              </w:rPr>
              <w:t>Victime(s) présumée(s)</w:t>
            </w:r>
            <w:r>
              <w:t> :</w:t>
            </w:r>
          </w:p>
        </w:tc>
        <w:tc>
          <w:tcPr>
            <w:tcW w:w="4112" w:type="dxa"/>
          </w:tcPr>
          <w:p w14:paraId="40654E2B" w14:textId="70BC4A58" w:rsidR="00F85A35" w:rsidRDefault="00F85A35" w:rsidP="00DB7CC9">
            <w:pPr>
              <w:pStyle w:val="SingleTxtG"/>
              <w:ind w:left="0" w:right="0"/>
              <w:jc w:val="left"/>
            </w:pPr>
            <w:r>
              <w:rPr>
                <w:lang w:val="fr-FR"/>
              </w:rPr>
              <w:t>L</w:t>
            </w:r>
            <w:r w:rsidR="00390237">
              <w:rPr>
                <w:lang w:val="fr-FR"/>
              </w:rPr>
              <w:t>’</w:t>
            </w:r>
            <w:r>
              <w:rPr>
                <w:lang w:val="fr-FR"/>
              </w:rPr>
              <w:t>auteur</w:t>
            </w:r>
          </w:p>
        </w:tc>
      </w:tr>
      <w:tr w:rsidR="00F85A35" w14:paraId="3C194375" w14:textId="77777777" w:rsidTr="00DB7CC9">
        <w:tc>
          <w:tcPr>
            <w:tcW w:w="2835" w:type="dxa"/>
          </w:tcPr>
          <w:p w14:paraId="57C25BCD" w14:textId="77777777" w:rsidR="00F85A35" w:rsidRDefault="00F85A35" w:rsidP="00DB7CC9">
            <w:pPr>
              <w:pStyle w:val="SingleTxtG"/>
              <w:ind w:left="0" w:right="0"/>
              <w:jc w:val="left"/>
              <w:rPr>
                <w:i/>
              </w:rPr>
            </w:pPr>
            <w:r>
              <w:rPr>
                <w:i/>
              </w:rPr>
              <w:t>État partie</w:t>
            </w:r>
            <w:r>
              <w:t> :</w:t>
            </w:r>
          </w:p>
        </w:tc>
        <w:tc>
          <w:tcPr>
            <w:tcW w:w="4112" w:type="dxa"/>
          </w:tcPr>
          <w:p w14:paraId="5648A61B" w14:textId="77777777" w:rsidR="00F85A35" w:rsidRDefault="00F85A35" w:rsidP="00DB7CC9">
            <w:pPr>
              <w:pStyle w:val="SingleTxtG"/>
              <w:ind w:left="0" w:right="0"/>
              <w:jc w:val="left"/>
            </w:pPr>
            <w:r w:rsidRPr="002B6E68">
              <w:rPr>
                <w:lang w:val="fr-FR"/>
              </w:rPr>
              <w:t>Bulgarie</w:t>
            </w:r>
          </w:p>
        </w:tc>
      </w:tr>
      <w:tr w:rsidR="00F85A35" w14:paraId="44BD08A0" w14:textId="77777777" w:rsidTr="00DB7CC9">
        <w:tc>
          <w:tcPr>
            <w:tcW w:w="2835" w:type="dxa"/>
          </w:tcPr>
          <w:p w14:paraId="303DBDB1" w14:textId="77777777" w:rsidR="00F85A35" w:rsidRDefault="00F85A35" w:rsidP="00DB7CC9">
            <w:pPr>
              <w:pStyle w:val="SingleTxtG"/>
              <w:ind w:left="0" w:right="0"/>
              <w:jc w:val="left"/>
              <w:rPr>
                <w:i/>
              </w:rPr>
            </w:pPr>
            <w:r w:rsidRPr="002B6E68">
              <w:rPr>
                <w:i/>
                <w:iCs/>
                <w:lang w:val="fr-FR"/>
              </w:rPr>
              <w:t>Date de la communication</w:t>
            </w:r>
            <w:r>
              <w:t> :</w:t>
            </w:r>
          </w:p>
        </w:tc>
        <w:tc>
          <w:tcPr>
            <w:tcW w:w="4112" w:type="dxa"/>
          </w:tcPr>
          <w:p w14:paraId="4BA2EF24" w14:textId="77777777" w:rsidR="00F85A35" w:rsidRDefault="00F85A35" w:rsidP="00DB7CC9">
            <w:pPr>
              <w:pStyle w:val="SingleTxtG"/>
              <w:ind w:left="0" w:right="0"/>
              <w:jc w:val="left"/>
            </w:pPr>
            <w:r w:rsidRPr="002B6E68">
              <w:rPr>
                <w:lang w:val="fr-FR"/>
              </w:rPr>
              <w:t>27 octobre 2014 (date de la lettre initiale)</w:t>
            </w:r>
          </w:p>
        </w:tc>
      </w:tr>
      <w:tr w:rsidR="00F85A35" w:rsidRPr="00FE3D93" w14:paraId="1398540D" w14:textId="77777777" w:rsidTr="00DB7CC9">
        <w:tc>
          <w:tcPr>
            <w:tcW w:w="2835" w:type="dxa"/>
          </w:tcPr>
          <w:p w14:paraId="2300C615" w14:textId="77777777" w:rsidR="00F85A35" w:rsidRDefault="00F85A35" w:rsidP="00DB7CC9">
            <w:pPr>
              <w:pStyle w:val="SingleTxtG"/>
              <w:ind w:left="0" w:right="0"/>
              <w:jc w:val="left"/>
              <w:rPr>
                <w:i/>
              </w:rPr>
            </w:pPr>
            <w:r>
              <w:rPr>
                <w:i/>
              </w:rPr>
              <w:t>Références :</w:t>
            </w:r>
          </w:p>
        </w:tc>
        <w:tc>
          <w:tcPr>
            <w:tcW w:w="4112" w:type="dxa"/>
            <w:vAlign w:val="bottom"/>
          </w:tcPr>
          <w:p w14:paraId="6FBBD2F1" w14:textId="0A3EDD2C" w:rsidR="00F85A35" w:rsidRPr="003C5081" w:rsidRDefault="00F85A35" w:rsidP="00DB7CC9">
            <w:pPr>
              <w:pStyle w:val="SingleTxtG"/>
              <w:ind w:left="0" w:right="0"/>
              <w:jc w:val="left"/>
              <w:rPr>
                <w:lang w:val="fr-FR"/>
              </w:rPr>
            </w:pPr>
            <w:r w:rsidRPr="0027097B">
              <w:rPr>
                <w:color w:val="000000" w:themeColor="text1"/>
              </w:rPr>
              <w:t>Décision prise en application de l</w:t>
            </w:r>
            <w:r w:rsidR="00390237">
              <w:rPr>
                <w:color w:val="000000" w:themeColor="text1"/>
              </w:rPr>
              <w:t>’</w:t>
            </w:r>
            <w:r w:rsidRPr="0027097B">
              <w:rPr>
                <w:color w:val="000000" w:themeColor="text1"/>
              </w:rPr>
              <w:t>article</w:t>
            </w:r>
            <w:r>
              <w:rPr>
                <w:color w:val="000000" w:themeColor="text1"/>
              </w:rPr>
              <w:t> </w:t>
            </w:r>
            <w:r w:rsidRPr="0027097B">
              <w:rPr>
                <w:color w:val="000000" w:themeColor="text1"/>
              </w:rPr>
              <w:t>9</w:t>
            </w:r>
            <w:r>
              <w:rPr>
                <w:color w:val="000000" w:themeColor="text1"/>
              </w:rPr>
              <w:t>2</w:t>
            </w:r>
            <w:r w:rsidRPr="0027097B">
              <w:rPr>
                <w:color w:val="000000" w:themeColor="text1"/>
              </w:rPr>
              <w:t xml:space="preserve"> du règlement intérieur</w:t>
            </w:r>
            <w:r>
              <w:rPr>
                <w:color w:val="000000" w:themeColor="text1"/>
              </w:rPr>
              <w:t xml:space="preserve"> du Comité</w:t>
            </w:r>
            <w:r w:rsidRPr="0027097B">
              <w:rPr>
                <w:color w:val="000000" w:themeColor="text1"/>
              </w:rPr>
              <w:t>, communiquée à l</w:t>
            </w:r>
            <w:r w:rsidR="00390237">
              <w:rPr>
                <w:color w:val="000000" w:themeColor="text1"/>
              </w:rPr>
              <w:t>’</w:t>
            </w:r>
            <w:r w:rsidRPr="0027097B">
              <w:rPr>
                <w:color w:val="000000" w:themeColor="text1"/>
              </w:rPr>
              <w:t xml:space="preserve">État partie le </w:t>
            </w:r>
            <w:r>
              <w:rPr>
                <w:color w:val="000000" w:themeColor="text1"/>
              </w:rPr>
              <w:t>22 décembre 2020</w:t>
            </w:r>
            <w:r w:rsidRPr="0027097B">
              <w:rPr>
                <w:color w:val="000000" w:themeColor="text1"/>
              </w:rPr>
              <w:t xml:space="preserve"> </w:t>
            </w:r>
            <w:r w:rsidR="00390237">
              <w:rPr>
                <w:color w:val="000000" w:themeColor="text1"/>
              </w:rPr>
              <w:br/>
            </w:r>
            <w:r w:rsidRPr="0027097B">
              <w:rPr>
                <w:color w:val="000000" w:themeColor="text1"/>
              </w:rPr>
              <w:t>(non publiée sous forme de document)</w:t>
            </w:r>
          </w:p>
        </w:tc>
      </w:tr>
      <w:tr w:rsidR="00F85A35" w14:paraId="75E2A50A" w14:textId="77777777" w:rsidTr="00DB7CC9">
        <w:tc>
          <w:tcPr>
            <w:tcW w:w="2835" w:type="dxa"/>
          </w:tcPr>
          <w:p w14:paraId="55DD2ACC" w14:textId="77777777" w:rsidR="00F85A35" w:rsidRDefault="00F85A35" w:rsidP="00DB7CC9">
            <w:pPr>
              <w:pStyle w:val="SingleTxtG"/>
              <w:ind w:left="0" w:right="0"/>
              <w:jc w:val="left"/>
              <w:rPr>
                <w:i/>
              </w:rPr>
            </w:pPr>
            <w:r>
              <w:rPr>
                <w:i/>
              </w:rPr>
              <w:t>Date des constatations</w:t>
            </w:r>
            <w:r>
              <w:t> :</w:t>
            </w:r>
          </w:p>
        </w:tc>
        <w:tc>
          <w:tcPr>
            <w:tcW w:w="4112" w:type="dxa"/>
            <w:vAlign w:val="bottom"/>
          </w:tcPr>
          <w:p w14:paraId="20BFB72B" w14:textId="28B79EBA" w:rsidR="00F85A35" w:rsidRDefault="00F85A35" w:rsidP="00DB7CC9">
            <w:pPr>
              <w:pStyle w:val="SingleTxtG"/>
              <w:ind w:left="0" w:right="0"/>
              <w:jc w:val="left"/>
            </w:pPr>
            <w:r>
              <w:rPr>
                <w:lang w:val="fr-FR"/>
              </w:rPr>
              <w:t xml:space="preserve">6 novembre </w:t>
            </w:r>
            <w:r w:rsidRPr="002B6E68">
              <w:rPr>
                <w:lang w:val="fr-FR"/>
              </w:rPr>
              <w:t>2020</w:t>
            </w:r>
          </w:p>
        </w:tc>
      </w:tr>
      <w:tr w:rsidR="00F85A35" w14:paraId="2AF59179" w14:textId="77777777" w:rsidTr="00DB7CC9">
        <w:tc>
          <w:tcPr>
            <w:tcW w:w="2835" w:type="dxa"/>
          </w:tcPr>
          <w:p w14:paraId="12E26839" w14:textId="77777777" w:rsidR="00F85A35" w:rsidRDefault="00F85A35" w:rsidP="00DB7CC9">
            <w:pPr>
              <w:pStyle w:val="SingleTxtG"/>
              <w:ind w:left="0" w:right="0"/>
              <w:jc w:val="left"/>
            </w:pPr>
            <w:r>
              <w:rPr>
                <w:i/>
              </w:rPr>
              <w:t>Objet</w:t>
            </w:r>
            <w:r>
              <w:t> :</w:t>
            </w:r>
          </w:p>
        </w:tc>
        <w:tc>
          <w:tcPr>
            <w:tcW w:w="4112" w:type="dxa"/>
            <w:vAlign w:val="bottom"/>
          </w:tcPr>
          <w:p w14:paraId="12C5024A" w14:textId="275112D3" w:rsidR="00F85A35" w:rsidRDefault="00F85A35" w:rsidP="00DB7CC9">
            <w:pPr>
              <w:pStyle w:val="SingleTxtG"/>
              <w:ind w:left="0" w:right="0"/>
              <w:jc w:val="left"/>
            </w:pPr>
            <w:r w:rsidRPr="002B6E68">
              <w:rPr>
                <w:lang w:val="fr-FR"/>
              </w:rPr>
              <w:t>Absence d</w:t>
            </w:r>
            <w:r w:rsidR="00390237">
              <w:rPr>
                <w:lang w:val="fr-FR"/>
              </w:rPr>
              <w:t>’</w:t>
            </w:r>
            <w:r w:rsidRPr="002B6E68">
              <w:rPr>
                <w:lang w:val="fr-FR"/>
              </w:rPr>
              <w:t>enquête effective sur des allégations de peine ou traitement cruel, inhumain ou dégradant</w:t>
            </w:r>
          </w:p>
        </w:tc>
      </w:tr>
      <w:tr w:rsidR="00F85A35" w14:paraId="255F84E2" w14:textId="77777777" w:rsidTr="00DB7CC9">
        <w:tc>
          <w:tcPr>
            <w:tcW w:w="2835" w:type="dxa"/>
          </w:tcPr>
          <w:p w14:paraId="29DA9877" w14:textId="77777777" w:rsidR="00F85A35" w:rsidRDefault="00F85A35" w:rsidP="00DB7CC9">
            <w:pPr>
              <w:pStyle w:val="SingleTxtG"/>
              <w:ind w:left="0" w:right="0"/>
              <w:jc w:val="left"/>
            </w:pPr>
            <w:r>
              <w:rPr>
                <w:i/>
              </w:rPr>
              <w:t>Question(s) de procédure</w:t>
            </w:r>
            <w:r>
              <w:t> :</w:t>
            </w:r>
          </w:p>
        </w:tc>
        <w:tc>
          <w:tcPr>
            <w:tcW w:w="4112" w:type="dxa"/>
            <w:vAlign w:val="bottom"/>
          </w:tcPr>
          <w:p w14:paraId="4217C7F9" w14:textId="1E4C2785" w:rsidR="00F85A35" w:rsidRDefault="00F85A35" w:rsidP="00DB7CC9">
            <w:pPr>
              <w:pStyle w:val="SingleTxtG"/>
              <w:ind w:left="0" w:right="0"/>
              <w:jc w:val="left"/>
            </w:pPr>
            <w:r w:rsidRPr="002B6E68">
              <w:rPr>
                <w:lang w:val="fr-FR"/>
              </w:rPr>
              <w:t>Examen de la même question devant une autre instance internationale d</w:t>
            </w:r>
            <w:r w:rsidR="00390237">
              <w:rPr>
                <w:lang w:val="fr-FR"/>
              </w:rPr>
              <w:t>’</w:t>
            </w:r>
            <w:r w:rsidRPr="002B6E68">
              <w:rPr>
                <w:lang w:val="fr-FR"/>
              </w:rPr>
              <w:t>enquête ou de règlement ; épuisement des recours internes</w:t>
            </w:r>
          </w:p>
        </w:tc>
      </w:tr>
      <w:tr w:rsidR="00F85A35" w14:paraId="10531043" w14:textId="77777777" w:rsidTr="00DB7CC9">
        <w:tc>
          <w:tcPr>
            <w:tcW w:w="2835" w:type="dxa"/>
          </w:tcPr>
          <w:p w14:paraId="5C799B61" w14:textId="77777777" w:rsidR="00F85A35" w:rsidRDefault="00F85A35" w:rsidP="00DB7CC9">
            <w:pPr>
              <w:pStyle w:val="SingleTxtG"/>
              <w:ind w:left="0" w:right="0"/>
              <w:jc w:val="left"/>
            </w:pPr>
            <w:r>
              <w:rPr>
                <w:i/>
              </w:rPr>
              <w:t>Question(s) de fond</w:t>
            </w:r>
            <w:r>
              <w:t> :</w:t>
            </w:r>
          </w:p>
        </w:tc>
        <w:tc>
          <w:tcPr>
            <w:tcW w:w="4112" w:type="dxa"/>
            <w:vAlign w:val="bottom"/>
          </w:tcPr>
          <w:p w14:paraId="404ACACE" w14:textId="22995E95" w:rsidR="00F85A35" w:rsidRDefault="00F85A35" w:rsidP="00DB7CC9">
            <w:pPr>
              <w:pStyle w:val="SingleTxtG"/>
              <w:ind w:left="0" w:right="0"/>
              <w:jc w:val="left"/>
            </w:pPr>
            <w:r w:rsidRPr="002B6E68">
              <w:rPr>
                <w:lang w:val="fr-FR"/>
              </w:rPr>
              <w:t>Peine ou traitement cruel, inhumain ou dégradant ; droit à un procès équitable</w:t>
            </w:r>
            <w:r w:rsidR="00BF2428">
              <w:rPr>
                <w:lang w:val="fr-FR"/>
              </w:rPr>
              <w:t> </w:t>
            </w:r>
            <w:r w:rsidRPr="002B6E68">
              <w:rPr>
                <w:lang w:val="fr-FR"/>
              </w:rPr>
              <w:t>; droit à un recours utile</w:t>
            </w:r>
          </w:p>
        </w:tc>
      </w:tr>
      <w:tr w:rsidR="00F85A35" w14:paraId="62CB5CCB" w14:textId="77777777" w:rsidTr="00DB7CC9">
        <w:tc>
          <w:tcPr>
            <w:tcW w:w="2835" w:type="dxa"/>
          </w:tcPr>
          <w:p w14:paraId="5DA3A27F" w14:textId="77777777" w:rsidR="00F85A35" w:rsidRDefault="00F85A35" w:rsidP="00DB7CC9">
            <w:pPr>
              <w:pStyle w:val="SingleTxtG"/>
              <w:ind w:left="0" w:right="0"/>
              <w:jc w:val="left"/>
            </w:pPr>
            <w:r>
              <w:rPr>
                <w:i/>
              </w:rPr>
              <w:t xml:space="preserve">Article(s) </w:t>
            </w:r>
            <w:r w:rsidRPr="002B6E68">
              <w:rPr>
                <w:i/>
                <w:iCs/>
                <w:lang w:val="fr-FR"/>
              </w:rPr>
              <w:t>du Pacte</w:t>
            </w:r>
            <w:r>
              <w:rPr>
                <w:i/>
                <w:iCs/>
                <w:lang w:val="fr-FR"/>
              </w:rPr>
              <w:t> </w:t>
            </w:r>
            <w:r>
              <w:t>:</w:t>
            </w:r>
          </w:p>
        </w:tc>
        <w:tc>
          <w:tcPr>
            <w:tcW w:w="4112" w:type="dxa"/>
            <w:vAlign w:val="bottom"/>
          </w:tcPr>
          <w:p w14:paraId="699DB8E7" w14:textId="77777777" w:rsidR="00F85A35" w:rsidRDefault="00F85A35" w:rsidP="00DB7CC9">
            <w:pPr>
              <w:pStyle w:val="SingleTxtG"/>
              <w:ind w:left="0" w:right="0"/>
              <w:jc w:val="left"/>
            </w:pPr>
            <w:r w:rsidRPr="002B6E68">
              <w:rPr>
                <w:lang w:val="fr-FR"/>
              </w:rPr>
              <w:t>2 (par</w:t>
            </w:r>
            <w:r w:rsidRPr="00BA7980">
              <w:rPr>
                <w:lang w:val="fr-FR"/>
              </w:rPr>
              <w:t>.</w:t>
            </w:r>
            <w:r w:rsidRPr="002B6E68">
              <w:rPr>
                <w:lang w:val="fr-FR"/>
              </w:rPr>
              <w:t xml:space="preserve"> 3 a)), 7 et 14 (par</w:t>
            </w:r>
            <w:r w:rsidRPr="00BA7980">
              <w:rPr>
                <w:lang w:val="fr-FR"/>
              </w:rPr>
              <w:t>.</w:t>
            </w:r>
            <w:r w:rsidRPr="002B6E68">
              <w:rPr>
                <w:lang w:val="fr-FR"/>
              </w:rPr>
              <w:t xml:space="preserve"> 1)</w:t>
            </w:r>
          </w:p>
        </w:tc>
      </w:tr>
      <w:tr w:rsidR="00F85A35" w14:paraId="2D39DDAC" w14:textId="77777777" w:rsidTr="00DB7CC9">
        <w:tc>
          <w:tcPr>
            <w:tcW w:w="2835" w:type="dxa"/>
          </w:tcPr>
          <w:p w14:paraId="2EB3C0A6" w14:textId="77777777" w:rsidR="00F85A35" w:rsidRDefault="00F85A35" w:rsidP="00DB7CC9">
            <w:pPr>
              <w:pStyle w:val="SingleTxtG"/>
              <w:ind w:left="0" w:right="0"/>
              <w:jc w:val="left"/>
              <w:rPr>
                <w:i/>
              </w:rPr>
            </w:pPr>
            <w:r w:rsidRPr="002B6E68">
              <w:rPr>
                <w:i/>
                <w:iCs/>
                <w:lang w:val="fr-FR"/>
              </w:rPr>
              <w:t>Article(s) du Protocole facultatif</w:t>
            </w:r>
            <w:r>
              <w:rPr>
                <w:i/>
                <w:iCs/>
                <w:lang w:val="fr-FR"/>
              </w:rPr>
              <w:t> :</w:t>
            </w:r>
          </w:p>
        </w:tc>
        <w:tc>
          <w:tcPr>
            <w:tcW w:w="4112" w:type="dxa"/>
            <w:vAlign w:val="bottom"/>
          </w:tcPr>
          <w:p w14:paraId="40F25F2B" w14:textId="77777777" w:rsidR="00F85A35" w:rsidRDefault="00F85A35" w:rsidP="00DB7CC9">
            <w:pPr>
              <w:pStyle w:val="SingleTxtG"/>
              <w:ind w:left="0" w:right="0"/>
              <w:jc w:val="left"/>
            </w:pPr>
            <w:r w:rsidRPr="002B6E68">
              <w:rPr>
                <w:lang w:val="fr-FR"/>
              </w:rPr>
              <w:t>2, 3 et 5 (par</w:t>
            </w:r>
            <w:r w:rsidRPr="00BA7980">
              <w:rPr>
                <w:lang w:val="fr-FR"/>
              </w:rPr>
              <w:t>.</w:t>
            </w:r>
            <w:r w:rsidRPr="002B6E68">
              <w:rPr>
                <w:lang w:val="fr-FR"/>
              </w:rPr>
              <w:t> 2 a) et b))</w:t>
            </w:r>
          </w:p>
        </w:tc>
      </w:tr>
    </w:tbl>
    <w:p w14:paraId="5DD698E8" w14:textId="7D47BC4C" w:rsidR="00F85A35" w:rsidRPr="002B6E68" w:rsidRDefault="00F85A35" w:rsidP="00B82B82">
      <w:pPr>
        <w:pStyle w:val="SingleTxtG"/>
        <w:spacing w:before="120"/>
        <w:rPr>
          <w:lang w:val="fr-FR"/>
        </w:rPr>
      </w:pPr>
      <w:r w:rsidRPr="002B6E68">
        <w:rPr>
          <w:lang w:val="fr-FR"/>
        </w:rPr>
        <w:t>1</w:t>
      </w:r>
      <w:r w:rsidRPr="00BA7980">
        <w:rPr>
          <w:lang w:val="fr-FR"/>
        </w:rPr>
        <w:t>.</w:t>
      </w:r>
      <w:r w:rsidRPr="002B6E68">
        <w:rPr>
          <w:lang w:val="fr-FR"/>
        </w:rPr>
        <w:tab/>
        <w:t>L</w:t>
      </w:r>
      <w:r w:rsidR="00390237">
        <w:rPr>
          <w:lang w:val="fr-FR"/>
        </w:rPr>
        <w:t>’</w:t>
      </w:r>
      <w:r w:rsidRPr="002B6E68">
        <w:rPr>
          <w:lang w:val="fr-FR"/>
        </w:rPr>
        <w:t>auteur de la communication est Mitko Vanchev, de nationalité bulgare, né le 1</w:t>
      </w:r>
      <w:r w:rsidRPr="00912B33">
        <w:rPr>
          <w:vertAlign w:val="superscript"/>
          <w:lang w:val="fr-FR"/>
        </w:rPr>
        <w:t>er</w:t>
      </w:r>
      <w:r w:rsidRPr="002B6E68">
        <w:rPr>
          <w:lang w:val="fr-FR"/>
        </w:rPr>
        <w:t> juin 1985</w:t>
      </w:r>
      <w:r w:rsidRPr="00BA7980">
        <w:rPr>
          <w:lang w:val="fr-FR"/>
        </w:rPr>
        <w:t>.</w:t>
      </w:r>
      <w:r w:rsidRPr="002B6E68">
        <w:rPr>
          <w:lang w:val="fr-FR"/>
        </w:rPr>
        <w:t xml:space="preserve"> Il affirme que l</w:t>
      </w:r>
      <w:r w:rsidR="00390237">
        <w:rPr>
          <w:lang w:val="fr-FR"/>
        </w:rPr>
        <w:t>’</w:t>
      </w:r>
      <w:r w:rsidRPr="002B6E68">
        <w:rPr>
          <w:lang w:val="fr-FR"/>
        </w:rPr>
        <w:t>État partie a violé les droits qu</w:t>
      </w:r>
      <w:r w:rsidR="00390237">
        <w:rPr>
          <w:lang w:val="fr-FR"/>
        </w:rPr>
        <w:t>’</w:t>
      </w:r>
      <w:r w:rsidRPr="002B6E68">
        <w:rPr>
          <w:lang w:val="fr-FR"/>
        </w:rPr>
        <w:t xml:space="preserve">il tient </w:t>
      </w:r>
      <w:r w:rsidRPr="00D1453F">
        <w:rPr>
          <w:lang w:val="fr-FR"/>
        </w:rPr>
        <w:t>des articles</w:t>
      </w:r>
      <w:r w:rsidR="00390237" w:rsidRPr="00D1453F">
        <w:rPr>
          <w:lang w:val="fr-FR"/>
        </w:rPr>
        <w:t> </w:t>
      </w:r>
      <w:r w:rsidRPr="00D1453F">
        <w:rPr>
          <w:lang w:val="fr-FR"/>
        </w:rPr>
        <w:t>7 et 14 (par.</w:t>
      </w:r>
      <w:r w:rsidR="00390237" w:rsidRPr="00D1453F">
        <w:rPr>
          <w:lang w:val="fr-FR"/>
        </w:rPr>
        <w:t> </w:t>
      </w:r>
      <w:r w:rsidRPr="00D1453F">
        <w:rPr>
          <w:lang w:val="fr-FR"/>
        </w:rPr>
        <w:t>1)</w:t>
      </w:r>
      <w:r>
        <w:rPr>
          <w:lang w:val="fr-FR"/>
        </w:rPr>
        <w:t xml:space="preserve"> du Pacte, lus seuls et conjointement avec l</w:t>
      </w:r>
      <w:r w:rsidR="00390237">
        <w:rPr>
          <w:lang w:val="fr-FR"/>
        </w:rPr>
        <w:t>’</w:t>
      </w:r>
      <w:r w:rsidRPr="002B6E68">
        <w:rPr>
          <w:lang w:val="fr-FR"/>
        </w:rPr>
        <w:t>article 2 (par</w:t>
      </w:r>
      <w:r w:rsidRPr="00BA7980">
        <w:rPr>
          <w:lang w:val="fr-FR"/>
        </w:rPr>
        <w:t>.</w:t>
      </w:r>
      <w:r w:rsidRPr="002B6E68">
        <w:rPr>
          <w:lang w:val="fr-FR"/>
        </w:rPr>
        <w:t> 3 a))</w:t>
      </w:r>
      <w:r w:rsidRPr="00BA7980">
        <w:rPr>
          <w:lang w:val="fr-FR"/>
        </w:rPr>
        <w:t>.</w:t>
      </w:r>
      <w:r w:rsidRPr="002B6E68">
        <w:rPr>
          <w:lang w:val="fr-FR"/>
        </w:rPr>
        <w:t xml:space="preserve"> Le Protocole facultatif est entré en vigueur pour la Bulgarie le 26 juin 1992</w:t>
      </w:r>
      <w:r w:rsidRPr="00BA7980">
        <w:rPr>
          <w:lang w:val="fr-FR"/>
        </w:rPr>
        <w:t>.</w:t>
      </w:r>
      <w:r w:rsidRPr="002B6E68">
        <w:rPr>
          <w:lang w:val="fr-FR"/>
        </w:rPr>
        <w:t xml:space="preserve"> L</w:t>
      </w:r>
      <w:r w:rsidR="00390237">
        <w:rPr>
          <w:lang w:val="fr-FR"/>
        </w:rPr>
        <w:t>’</w:t>
      </w:r>
      <w:r w:rsidRPr="002B6E68">
        <w:rPr>
          <w:lang w:val="fr-FR"/>
        </w:rPr>
        <w:t>auteur est représenté par un conseil</w:t>
      </w:r>
      <w:r w:rsidRPr="00BA7980">
        <w:rPr>
          <w:lang w:val="fr-FR"/>
        </w:rPr>
        <w:t>.</w:t>
      </w:r>
    </w:p>
    <w:p w14:paraId="0CB4F78B" w14:textId="008B0A19" w:rsidR="00F85A35" w:rsidRPr="002B6E68" w:rsidRDefault="00F85A35" w:rsidP="00B82B82">
      <w:pPr>
        <w:pStyle w:val="H23G"/>
        <w:rPr>
          <w:lang w:val="fr-FR"/>
        </w:rPr>
      </w:pPr>
      <w:r w:rsidRPr="002B6E68">
        <w:rPr>
          <w:lang w:val="fr-FR"/>
        </w:rPr>
        <w:lastRenderedPageBreak/>
        <w:tab/>
      </w:r>
      <w:r w:rsidRPr="002B6E68">
        <w:rPr>
          <w:lang w:val="fr-FR"/>
        </w:rPr>
        <w:tab/>
        <w:t>Rappel des faits présentés par l</w:t>
      </w:r>
      <w:r w:rsidR="00390237">
        <w:rPr>
          <w:lang w:val="fr-FR"/>
        </w:rPr>
        <w:t>’</w:t>
      </w:r>
      <w:r w:rsidRPr="002B6E68">
        <w:rPr>
          <w:lang w:val="fr-FR"/>
        </w:rPr>
        <w:t>auteur</w:t>
      </w:r>
    </w:p>
    <w:p w14:paraId="15893B42" w14:textId="42C5E759" w:rsidR="00F85A35" w:rsidRPr="002B6E68" w:rsidRDefault="00F85A35" w:rsidP="00B82B82">
      <w:pPr>
        <w:pStyle w:val="SingleTxtG"/>
        <w:keepNext/>
        <w:keepLines/>
        <w:rPr>
          <w:lang w:val="fr-FR"/>
        </w:rPr>
      </w:pPr>
      <w:r w:rsidRPr="002B6E68">
        <w:rPr>
          <w:lang w:val="fr-FR"/>
        </w:rPr>
        <w:t>2</w:t>
      </w:r>
      <w:r w:rsidRPr="00BA7980">
        <w:rPr>
          <w:lang w:val="fr-FR"/>
        </w:rPr>
        <w:t>.</w:t>
      </w:r>
      <w:r w:rsidRPr="002B6E68">
        <w:rPr>
          <w:lang w:val="fr-FR"/>
        </w:rPr>
        <w:t>1</w:t>
      </w:r>
      <w:r w:rsidRPr="002B6E68">
        <w:rPr>
          <w:lang w:val="fr-FR"/>
        </w:rPr>
        <w:tab/>
        <w:t>Le 15 septembre 2005, l</w:t>
      </w:r>
      <w:r w:rsidR="00390237">
        <w:rPr>
          <w:lang w:val="fr-FR"/>
        </w:rPr>
        <w:t>’</w:t>
      </w:r>
      <w:r w:rsidRPr="002B6E68">
        <w:rPr>
          <w:lang w:val="fr-FR"/>
        </w:rPr>
        <w:t>auteur, étudiant en deuxième année à l</w:t>
      </w:r>
      <w:r w:rsidR="00390237">
        <w:rPr>
          <w:lang w:val="fr-FR"/>
        </w:rPr>
        <w:t>’</w:t>
      </w:r>
      <w:r w:rsidRPr="002B6E68">
        <w:rPr>
          <w:lang w:val="fr-FR"/>
        </w:rPr>
        <w:t xml:space="preserve">Université technique de Sofia, a pris un </w:t>
      </w:r>
      <w:r>
        <w:rPr>
          <w:lang w:val="fr-FR"/>
        </w:rPr>
        <w:t xml:space="preserve">autocar </w:t>
      </w:r>
      <w:r w:rsidRPr="002B6E68">
        <w:rPr>
          <w:lang w:val="fr-FR"/>
        </w:rPr>
        <w:t xml:space="preserve">de Sofia à </w:t>
      </w:r>
      <w:r w:rsidRPr="008B667D">
        <w:t>Kardzhali</w:t>
      </w:r>
      <w:r w:rsidRPr="00BA7980">
        <w:rPr>
          <w:lang w:val="fr-FR"/>
        </w:rPr>
        <w:t>.</w:t>
      </w:r>
      <w:r w:rsidRPr="002B6E68">
        <w:rPr>
          <w:lang w:val="fr-FR"/>
        </w:rPr>
        <w:t xml:space="preserve"> L</w:t>
      </w:r>
      <w:r w:rsidR="00390237">
        <w:rPr>
          <w:lang w:val="fr-FR"/>
        </w:rPr>
        <w:t>’</w:t>
      </w:r>
      <w:r>
        <w:rPr>
          <w:lang w:val="fr-FR"/>
        </w:rPr>
        <w:t xml:space="preserve">autocar </w:t>
      </w:r>
      <w:r w:rsidRPr="002B6E68">
        <w:rPr>
          <w:lang w:val="fr-FR"/>
        </w:rPr>
        <w:t>est arrivé à destination vers 19 h 45</w:t>
      </w:r>
      <w:r w:rsidRPr="00BA7980">
        <w:rPr>
          <w:lang w:val="fr-FR"/>
        </w:rPr>
        <w:t>.</w:t>
      </w:r>
      <w:r w:rsidRPr="002B6E68">
        <w:rPr>
          <w:lang w:val="fr-FR"/>
        </w:rPr>
        <w:t xml:space="preserve"> Alors qu</w:t>
      </w:r>
      <w:r w:rsidR="00390237">
        <w:rPr>
          <w:lang w:val="fr-FR"/>
        </w:rPr>
        <w:t>’</w:t>
      </w:r>
      <w:r w:rsidRPr="002B6E68">
        <w:rPr>
          <w:lang w:val="fr-FR"/>
        </w:rPr>
        <w:t xml:space="preserve">il marchait dans les rues de </w:t>
      </w:r>
      <w:r w:rsidRPr="008B667D">
        <w:t>Kardzhali</w:t>
      </w:r>
      <w:r w:rsidRPr="002B6E68">
        <w:rPr>
          <w:lang w:val="fr-FR"/>
        </w:rPr>
        <w:t>, l</w:t>
      </w:r>
      <w:r w:rsidR="00390237">
        <w:rPr>
          <w:lang w:val="fr-FR"/>
        </w:rPr>
        <w:t>’</w:t>
      </w:r>
      <w:r w:rsidRPr="002B6E68">
        <w:rPr>
          <w:lang w:val="fr-FR"/>
        </w:rPr>
        <w:t>auteur a entendu des pas derrière lui et, un instant plus tard, un homme de grande taille l</w:t>
      </w:r>
      <w:r w:rsidR="00390237">
        <w:rPr>
          <w:lang w:val="fr-FR"/>
        </w:rPr>
        <w:t>’</w:t>
      </w:r>
      <w:r w:rsidRPr="002B6E68">
        <w:rPr>
          <w:lang w:val="fr-FR"/>
        </w:rPr>
        <w:t>a soudainement attaqué</w:t>
      </w:r>
      <w:r w:rsidRPr="00BA7980">
        <w:rPr>
          <w:lang w:val="fr-FR"/>
        </w:rPr>
        <w:t>.</w:t>
      </w:r>
      <w:r w:rsidRPr="002B6E68">
        <w:rPr>
          <w:lang w:val="fr-FR"/>
        </w:rPr>
        <w:t xml:space="preserve"> Pensant qu</w:t>
      </w:r>
      <w:r w:rsidR="00390237">
        <w:rPr>
          <w:lang w:val="fr-FR"/>
        </w:rPr>
        <w:t>’</w:t>
      </w:r>
      <w:r w:rsidRPr="002B6E68">
        <w:rPr>
          <w:lang w:val="fr-FR"/>
        </w:rPr>
        <w:t>il s</w:t>
      </w:r>
      <w:r w:rsidR="00390237">
        <w:rPr>
          <w:lang w:val="fr-FR"/>
        </w:rPr>
        <w:t>’</w:t>
      </w:r>
      <w:r w:rsidRPr="002B6E68">
        <w:rPr>
          <w:lang w:val="fr-FR"/>
        </w:rPr>
        <w:t>agissait d</w:t>
      </w:r>
      <w:r w:rsidR="00390237">
        <w:rPr>
          <w:lang w:val="fr-FR"/>
        </w:rPr>
        <w:t>’</w:t>
      </w:r>
      <w:r w:rsidRPr="002B6E68">
        <w:rPr>
          <w:lang w:val="fr-FR"/>
        </w:rPr>
        <w:t>une tentative de vol, l</w:t>
      </w:r>
      <w:r w:rsidR="00390237">
        <w:rPr>
          <w:lang w:val="fr-FR"/>
        </w:rPr>
        <w:t>’</w:t>
      </w:r>
      <w:r w:rsidRPr="002B6E68">
        <w:rPr>
          <w:lang w:val="fr-FR"/>
        </w:rPr>
        <w:t>auteur, pour se défendre, a frappé l</w:t>
      </w:r>
      <w:r w:rsidR="00390237">
        <w:rPr>
          <w:lang w:val="fr-FR"/>
        </w:rPr>
        <w:t>’</w:t>
      </w:r>
      <w:r w:rsidRPr="002B6E68">
        <w:rPr>
          <w:lang w:val="fr-FR"/>
        </w:rPr>
        <w:t>agresseur au visage</w:t>
      </w:r>
      <w:r w:rsidRPr="00BA7980">
        <w:rPr>
          <w:lang w:val="fr-FR"/>
        </w:rPr>
        <w:t>.</w:t>
      </w:r>
      <w:r w:rsidRPr="002B6E68">
        <w:rPr>
          <w:lang w:val="fr-FR"/>
        </w:rPr>
        <w:t xml:space="preserve"> Un deuxième homme l</w:t>
      </w:r>
      <w:r w:rsidR="00390237">
        <w:rPr>
          <w:lang w:val="fr-FR"/>
        </w:rPr>
        <w:t>’</w:t>
      </w:r>
      <w:r w:rsidRPr="002B6E68">
        <w:rPr>
          <w:lang w:val="fr-FR"/>
        </w:rPr>
        <w:t>a alors également attaqué et s</w:t>
      </w:r>
      <w:r w:rsidR="00390237">
        <w:rPr>
          <w:lang w:val="fr-FR"/>
        </w:rPr>
        <w:t>’</w:t>
      </w:r>
      <w:r w:rsidRPr="002B6E68">
        <w:rPr>
          <w:lang w:val="fr-FR"/>
        </w:rPr>
        <w:t>est mis à le frapper</w:t>
      </w:r>
      <w:r w:rsidRPr="00BA7980">
        <w:rPr>
          <w:lang w:val="fr-FR"/>
        </w:rPr>
        <w:t>.</w:t>
      </w:r>
      <w:r w:rsidRPr="002B6E68">
        <w:rPr>
          <w:lang w:val="fr-FR"/>
        </w:rPr>
        <w:t xml:space="preserve"> L</w:t>
      </w:r>
      <w:r w:rsidR="00390237">
        <w:rPr>
          <w:lang w:val="fr-FR"/>
        </w:rPr>
        <w:t>’</w:t>
      </w:r>
      <w:r w:rsidRPr="002B6E68">
        <w:rPr>
          <w:lang w:val="fr-FR"/>
        </w:rPr>
        <w:t xml:space="preserve">auteur a été frappé à la tête avec un objet </w:t>
      </w:r>
      <w:r>
        <w:rPr>
          <w:lang w:val="fr-FR"/>
        </w:rPr>
        <w:t xml:space="preserve">contondant </w:t>
      </w:r>
      <w:r w:rsidRPr="002B6E68">
        <w:rPr>
          <w:lang w:val="fr-FR"/>
        </w:rPr>
        <w:t>et est tombé par terre</w:t>
      </w:r>
      <w:r w:rsidRPr="00454BD4">
        <w:rPr>
          <w:rStyle w:val="Appelnotedebasdep"/>
        </w:rPr>
        <w:footnoteReference w:id="4"/>
      </w:r>
      <w:r w:rsidRPr="00BA7980">
        <w:rPr>
          <w:lang w:val="fr-FR"/>
        </w:rPr>
        <w:t>.</w:t>
      </w:r>
      <w:r w:rsidRPr="002B6E68">
        <w:rPr>
          <w:lang w:val="fr-FR"/>
        </w:rPr>
        <w:t xml:space="preserve"> Alors qu</w:t>
      </w:r>
      <w:r w:rsidR="00390237">
        <w:rPr>
          <w:lang w:val="fr-FR"/>
        </w:rPr>
        <w:t>’</w:t>
      </w:r>
      <w:r w:rsidRPr="002B6E68">
        <w:rPr>
          <w:lang w:val="fr-FR"/>
        </w:rPr>
        <w:t>il était au sol, les deux hommes ont continué à le frapper et à lui donner des coups de pied</w:t>
      </w:r>
      <w:r w:rsidRPr="00BA7980">
        <w:rPr>
          <w:lang w:val="fr-FR"/>
        </w:rPr>
        <w:t>.</w:t>
      </w:r>
      <w:r w:rsidRPr="002B6E68">
        <w:rPr>
          <w:lang w:val="fr-FR"/>
        </w:rPr>
        <w:t xml:space="preserve"> L</w:t>
      </w:r>
      <w:r w:rsidR="00390237">
        <w:rPr>
          <w:lang w:val="fr-FR"/>
        </w:rPr>
        <w:t>’</w:t>
      </w:r>
      <w:r w:rsidRPr="002B6E68">
        <w:rPr>
          <w:lang w:val="fr-FR"/>
        </w:rPr>
        <w:t xml:space="preserve">auteur a essayé </w:t>
      </w:r>
      <w:r>
        <w:rPr>
          <w:lang w:val="fr-FR"/>
        </w:rPr>
        <w:t xml:space="preserve">en vain </w:t>
      </w:r>
      <w:r w:rsidRPr="002B6E68">
        <w:rPr>
          <w:lang w:val="fr-FR"/>
        </w:rPr>
        <w:t>de se défendre, croyant toujours être victime d</w:t>
      </w:r>
      <w:r w:rsidR="00390237">
        <w:rPr>
          <w:lang w:val="fr-FR"/>
        </w:rPr>
        <w:t>’</w:t>
      </w:r>
      <w:r w:rsidRPr="002B6E68">
        <w:rPr>
          <w:lang w:val="fr-FR"/>
        </w:rPr>
        <w:t>un vol</w:t>
      </w:r>
      <w:r w:rsidRPr="00BA7980">
        <w:rPr>
          <w:lang w:val="fr-FR"/>
        </w:rPr>
        <w:t>.</w:t>
      </w:r>
      <w:r w:rsidRPr="002B6E68">
        <w:rPr>
          <w:lang w:val="fr-FR"/>
        </w:rPr>
        <w:t xml:space="preserve"> L</w:t>
      </w:r>
      <w:r w:rsidR="00390237">
        <w:rPr>
          <w:lang w:val="fr-FR"/>
        </w:rPr>
        <w:t>’</w:t>
      </w:r>
      <w:r w:rsidRPr="002B6E68">
        <w:rPr>
          <w:lang w:val="fr-FR"/>
        </w:rPr>
        <w:t>un des deux agresseurs a dit</w:t>
      </w:r>
      <w:r w:rsidR="00BF2428">
        <w:rPr>
          <w:lang w:val="fr-FR"/>
        </w:rPr>
        <w:t> </w:t>
      </w:r>
      <w:r w:rsidRPr="002B6E68">
        <w:rPr>
          <w:lang w:val="fr-FR"/>
        </w:rPr>
        <w:t>: « Où est l</w:t>
      </w:r>
      <w:r w:rsidR="00390237">
        <w:rPr>
          <w:lang w:val="fr-FR"/>
        </w:rPr>
        <w:t>’</w:t>
      </w:r>
      <w:r w:rsidRPr="002B6E68">
        <w:rPr>
          <w:lang w:val="fr-FR"/>
        </w:rPr>
        <w:t>herbe</w:t>
      </w:r>
      <w:r w:rsidR="00EF4A35">
        <w:rPr>
          <w:lang w:val="fr-FR"/>
        </w:rPr>
        <w:t> </w:t>
      </w:r>
      <w:r w:rsidRPr="002B6E68">
        <w:rPr>
          <w:lang w:val="fr-FR"/>
        </w:rPr>
        <w:t>? Donne-moi l</w:t>
      </w:r>
      <w:r w:rsidR="00390237">
        <w:rPr>
          <w:lang w:val="fr-FR"/>
        </w:rPr>
        <w:t>’</w:t>
      </w:r>
      <w:r w:rsidRPr="002B6E68">
        <w:rPr>
          <w:lang w:val="fr-FR"/>
        </w:rPr>
        <w:t>herbe</w:t>
      </w:r>
      <w:r w:rsidR="00EF4A35">
        <w:rPr>
          <w:lang w:val="fr-FR"/>
        </w:rPr>
        <w:t> </w:t>
      </w:r>
      <w:r w:rsidRPr="002B6E68">
        <w:rPr>
          <w:lang w:val="fr-FR"/>
        </w:rPr>
        <w:t>! »</w:t>
      </w:r>
      <w:r w:rsidRPr="00BA7980">
        <w:rPr>
          <w:lang w:val="fr-FR"/>
        </w:rPr>
        <w:t>.</w:t>
      </w:r>
      <w:r w:rsidRPr="002B6E68">
        <w:rPr>
          <w:lang w:val="fr-FR"/>
        </w:rPr>
        <w:t xml:space="preserve"> À ce moment-là, l</w:t>
      </w:r>
      <w:r w:rsidR="00390237">
        <w:rPr>
          <w:lang w:val="fr-FR"/>
        </w:rPr>
        <w:t>’</w:t>
      </w:r>
      <w:r w:rsidRPr="002B6E68">
        <w:rPr>
          <w:lang w:val="fr-FR"/>
        </w:rPr>
        <w:t>auteur a pensé que ses agresseurs étaient des trafiquants de drogue qui l</w:t>
      </w:r>
      <w:r w:rsidR="00390237">
        <w:rPr>
          <w:lang w:val="fr-FR"/>
        </w:rPr>
        <w:t>’</w:t>
      </w:r>
      <w:r w:rsidRPr="002B6E68">
        <w:rPr>
          <w:lang w:val="fr-FR"/>
        </w:rPr>
        <w:t>avaient pris à tort pour un dealer</w:t>
      </w:r>
      <w:r w:rsidRPr="00BA7980">
        <w:rPr>
          <w:lang w:val="fr-FR"/>
        </w:rPr>
        <w:t>.</w:t>
      </w:r>
      <w:r w:rsidRPr="002B6E68">
        <w:rPr>
          <w:lang w:val="fr-FR"/>
        </w:rPr>
        <w:t xml:space="preserve"> Il a répondu qu</w:t>
      </w:r>
      <w:r w:rsidR="00390237">
        <w:rPr>
          <w:lang w:val="fr-FR"/>
        </w:rPr>
        <w:t>’</w:t>
      </w:r>
      <w:r w:rsidRPr="002B6E68">
        <w:rPr>
          <w:lang w:val="fr-FR"/>
        </w:rPr>
        <w:t>il n</w:t>
      </w:r>
      <w:r w:rsidR="00390237">
        <w:rPr>
          <w:lang w:val="fr-FR"/>
        </w:rPr>
        <w:t>’</w:t>
      </w:r>
      <w:r w:rsidRPr="002B6E68">
        <w:rPr>
          <w:lang w:val="fr-FR"/>
        </w:rPr>
        <w:t>avait pas d</w:t>
      </w:r>
      <w:r w:rsidR="00390237">
        <w:rPr>
          <w:lang w:val="fr-FR"/>
        </w:rPr>
        <w:t>’</w:t>
      </w:r>
      <w:r w:rsidRPr="002B6E68">
        <w:rPr>
          <w:lang w:val="fr-FR"/>
        </w:rPr>
        <w:t>herbe et qu</w:t>
      </w:r>
      <w:r w:rsidR="00390237">
        <w:rPr>
          <w:lang w:val="fr-FR"/>
        </w:rPr>
        <w:t>’</w:t>
      </w:r>
      <w:r w:rsidRPr="002B6E68">
        <w:rPr>
          <w:lang w:val="fr-FR"/>
        </w:rPr>
        <w:t xml:space="preserve">il </w:t>
      </w:r>
      <w:r>
        <w:rPr>
          <w:lang w:val="fr-FR"/>
        </w:rPr>
        <w:t>ne se livrait pas à ce genre de trafic</w:t>
      </w:r>
      <w:r w:rsidRPr="00BA7980">
        <w:rPr>
          <w:lang w:val="fr-FR"/>
        </w:rPr>
        <w:t>.</w:t>
      </w:r>
    </w:p>
    <w:p w14:paraId="4CB30973" w14:textId="4EAA88C5"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2</w:t>
      </w:r>
      <w:r w:rsidRPr="002B6E68">
        <w:rPr>
          <w:lang w:val="fr-FR"/>
        </w:rPr>
        <w:tab/>
        <w:t>L</w:t>
      </w:r>
      <w:r w:rsidR="00390237">
        <w:rPr>
          <w:lang w:val="fr-FR"/>
        </w:rPr>
        <w:t>’</w:t>
      </w:r>
      <w:r w:rsidRPr="002B6E68">
        <w:rPr>
          <w:lang w:val="fr-FR"/>
        </w:rPr>
        <w:t>auteur a été menotté et placé dans une voiture</w:t>
      </w:r>
      <w:r w:rsidRPr="00BA7980">
        <w:rPr>
          <w:lang w:val="fr-FR"/>
        </w:rPr>
        <w:t>.</w:t>
      </w:r>
      <w:r w:rsidRPr="002B6E68">
        <w:rPr>
          <w:lang w:val="fr-FR"/>
        </w:rPr>
        <w:t xml:space="preserve"> Selon lui, ce n</w:t>
      </w:r>
      <w:r w:rsidR="00390237">
        <w:rPr>
          <w:lang w:val="fr-FR"/>
        </w:rPr>
        <w:t>’</w:t>
      </w:r>
      <w:r w:rsidRPr="002B6E68">
        <w:rPr>
          <w:lang w:val="fr-FR"/>
        </w:rPr>
        <w:t>est qu</w:t>
      </w:r>
      <w:r w:rsidR="00390237">
        <w:rPr>
          <w:lang w:val="fr-FR"/>
        </w:rPr>
        <w:t>’</w:t>
      </w:r>
      <w:r w:rsidRPr="002B6E68">
        <w:rPr>
          <w:lang w:val="fr-FR"/>
        </w:rPr>
        <w:t>à ce moment que les hommes ont dit qu</w:t>
      </w:r>
      <w:r w:rsidR="00390237">
        <w:rPr>
          <w:lang w:val="fr-FR"/>
        </w:rPr>
        <w:t>’</w:t>
      </w:r>
      <w:r w:rsidRPr="002B6E68">
        <w:rPr>
          <w:lang w:val="fr-FR"/>
        </w:rPr>
        <w:t>ils étaient policiers</w:t>
      </w:r>
      <w:r w:rsidRPr="00BA7980">
        <w:rPr>
          <w:lang w:val="fr-FR"/>
        </w:rPr>
        <w:t>.</w:t>
      </w:r>
      <w:r w:rsidRPr="002B6E68">
        <w:rPr>
          <w:lang w:val="fr-FR"/>
        </w:rPr>
        <w:t xml:space="preserve"> </w:t>
      </w:r>
      <w:r>
        <w:rPr>
          <w:lang w:val="fr-FR"/>
        </w:rPr>
        <w:t xml:space="preserve">Arrivés au poste </w:t>
      </w:r>
      <w:r w:rsidRPr="002B6E68">
        <w:rPr>
          <w:lang w:val="fr-FR"/>
        </w:rPr>
        <w:t xml:space="preserve">de police, ils </w:t>
      </w:r>
      <w:r>
        <w:rPr>
          <w:lang w:val="fr-FR"/>
        </w:rPr>
        <w:t xml:space="preserve">se sont aperçus </w:t>
      </w:r>
      <w:r w:rsidRPr="002B6E68">
        <w:rPr>
          <w:lang w:val="fr-FR"/>
        </w:rPr>
        <w:t>qu</w:t>
      </w:r>
      <w:r w:rsidR="00390237">
        <w:rPr>
          <w:lang w:val="fr-FR"/>
        </w:rPr>
        <w:t>’</w:t>
      </w:r>
      <w:r w:rsidRPr="002B6E68">
        <w:rPr>
          <w:lang w:val="fr-FR"/>
        </w:rPr>
        <w:t>il y avait erreur et que l</w:t>
      </w:r>
      <w:r w:rsidR="00390237">
        <w:rPr>
          <w:lang w:val="fr-FR"/>
        </w:rPr>
        <w:t>’</w:t>
      </w:r>
      <w:r w:rsidRPr="002B6E68">
        <w:rPr>
          <w:lang w:val="fr-FR"/>
        </w:rPr>
        <w:t>auteur n</w:t>
      </w:r>
      <w:r w:rsidR="00390237">
        <w:rPr>
          <w:lang w:val="fr-FR"/>
        </w:rPr>
        <w:t>’</w:t>
      </w:r>
      <w:r w:rsidRPr="002B6E68">
        <w:rPr>
          <w:lang w:val="fr-FR"/>
        </w:rPr>
        <w:t>était pas la personne qu</w:t>
      </w:r>
      <w:r w:rsidR="00390237">
        <w:rPr>
          <w:lang w:val="fr-FR"/>
        </w:rPr>
        <w:t>’</w:t>
      </w:r>
      <w:r w:rsidRPr="002B6E68">
        <w:rPr>
          <w:lang w:val="fr-FR"/>
        </w:rPr>
        <w:t>ils recherchaient</w:t>
      </w:r>
      <w:r w:rsidRPr="00BA7980">
        <w:rPr>
          <w:lang w:val="fr-FR"/>
        </w:rPr>
        <w:t>.</w:t>
      </w:r>
      <w:r w:rsidRPr="002B6E68">
        <w:rPr>
          <w:lang w:val="fr-FR"/>
        </w:rPr>
        <w:t xml:space="preserve"> L</w:t>
      </w:r>
      <w:r w:rsidR="00390237">
        <w:rPr>
          <w:lang w:val="fr-FR"/>
        </w:rPr>
        <w:t>’</w:t>
      </w:r>
      <w:r w:rsidRPr="002B6E68">
        <w:rPr>
          <w:lang w:val="fr-FR"/>
        </w:rPr>
        <w:t>auteur a été conduit à l</w:t>
      </w:r>
      <w:r w:rsidR="00390237">
        <w:rPr>
          <w:lang w:val="fr-FR"/>
        </w:rPr>
        <w:t>’</w:t>
      </w:r>
      <w:r w:rsidRPr="002B6E68">
        <w:rPr>
          <w:lang w:val="fr-FR"/>
        </w:rPr>
        <w:t>hôpital et y est resté quatre jours pour le traitement des blessures causées par les coups</w:t>
      </w:r>
      <w:r w:rsidRPr="00BA7980">
        <w:rPr>
          <w:lang w:val="fr-FR"/>
        </w:rPr>
        <w:t>.</w:t>
      </w:r>
      <w:r w:rsidRPr="002B6E68">
        <w:rPr>
          <w:lang w:val="fr-FR"/>
        </w:rPr>
        <w:t xml:space="preserve"> Le certificat médico-légal qui lui a été délivré indique qu</w:t>
      </w:r>
      <w:r w:rsidR="00390237">
        <w:rPr>
          <w:lang w:val="fr-FR"/>
        </w:rPr>
        <w:t>’</w:t>
      </w:r>
      <w:r w:rsidRPr="002B6E68">
        <w:rPr>
          <w:lang w:val="fr-FR"/>
        </w:rPr>
        <w:t xml:space="preserve">il avait deux contusions avec lacérations à la tête </w:t>
      </w:r>
      <w:r>
        <w:rPr>
          <w:lang w:val="fr-FR"/>
        </w:rPr>
        <w:t xml:space="preserve">et </w:t>
      </w:r>
      <w:r w:rsidRPr="002B6E68">
        <w:rPr>
          <w:lang w:val="fr-FR"/>
        </w:rPr>
        <w:t>que des</w:t>
      </w:r>
      <w:r>
        <w:rPr>
          <w:lang w:val="fr-FR"/>
        </w:rPr>
        <w:t xml:space="preserve"> hématomes dues à des contusions étaient visibles </w:t>
      </w:r>
      <w:r w:rsidRPr="002B6E68">
        <w:rPr>
          <w:lang w:val="fr-FR"/>
        </w:rPr>
        <w:t>sur le côté droit de l</w:t>
      </w:r>
      <w:r w:rsidR="00390237">
        <w:rPr>
          <w:lang w:val="fr-FR"/>
        </w:rPr>
        <w:t>’</w:t>
      </w:r>
      <w:r w:rsidRPr="002B6E68">
        <w:rPr>
          <w:lang w:val="fr-FR"/>
        </w:rPr>
        <w:t>abdomen</w:t>
      </w:r>
      <w:r w:rsidRPr="00454BD4">
        <w:rPr>
          <w:rStyle w:val="Appelnotedebasdep"/>
        </w:rPr>
        <w:footnoteReference w:id="5"/>
      </w:r>
      <w:r w:rsidRPr="00BA7980">
        <w:rPr>
          <w:lang w:val="fr-FR"/>
        </w:rPr>
        <w:t>.</w:t>
      </w:r>
    </w:p>
    <w:p w14:paraId="0B7E5CA5" w14:textId="0E905AE2"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3</w:t>
      </w:r>
      <w:r w:rsidRPr="002B6E68">
        <w:rPr>
          <w:lang w:val="fr-FR"/>
        </w:rPr>
        <w:tab/>
        <w:t>Le 26 septembre 2005, l</w:t>
      </w:r>
      <w:r w:rsidR="00390237">
        <w:rPr>
          <w:lang w:val="fr-FR"/>
        </w:rPr>
        <w:t>’</w:t>
      </w:r>
      <w:r w:rsidRPr="002B6E68">
        <w:rPr>
          <w:lang w:val="fr-FR"/>
        </w:rPr>
        <w:t>auteur a déposé, auprès du Directeur du Département du Ministère de l</w:t>
      </w:r>
      <w:r w:rsidR="00390237">
        <w:rPr>
          <w:lang w:val="fr-FR"/>
        </w:rPr>
        <w:t>’</w:t>
      </w:r>
      <w:r w:rsidRPr="002B6E68">
        <w:rPr>
          <w:lang w:val="fr-FR"/>
        </w:rPr>
        <w:t xml:space="preserve">intérieur dans le district de </w:t>
      </w:r>
      <w:r w:rsidRPr="008B667D">
        <w:t>Kardzhali</w:t>
      </w:r>
      <w:r w:rsidRPr="002B6E68">
        <w:rPr>
          <w:lang w:val="fr-FR"/>
        </w:rPr>
        <w:t xml:space="preserve">, une plainte contre les deux policiers pour les violences </w:t>
      </w:r>
      <w:r>
        <w:rPr>
          <w:lang w:val="fr-FR"/>
        </w:rPr>
        <w:t>qu</w:t>
      </w:r>
      <w:r w:rsidR="00390237">
        <w:rPr>
          <w:lang w:val="fr-FR"/>
        </w:rPr>
        <w:t>’</w:t>
      </w:r>
      <w:r>
        <w:rPr>
          <w:lang w:val="fr-FR"/>
        </w:rPr>
        <w:t xml:space="preserve">il avait </w:t>
      </w:r>
      <w:r w:rsidRPr="002B6E68">
        <w:rPr>
          <w:lang w:val="fr-FR"/>
        </w:rPr>
        <w:t>subies</w:t>
      </w:r>
      <w:r w:rsidRPr="00BA7980">
        <w:rPr>
          <w:lang w:val="fr-FR"/>
        </w:rPr>
        <w:t>.</w:t>
      </w:r>
      <w:r w:rsidRPr="002B6E68">
        <w:rPr>
          <w:lang w:val="fr-FR"/>
        </w:rPr>
        <w:t xml:space="preserve"> Le 13 octobre 2005, le Directeur a reconnu que les policiers avaient fait un usage disproportionné de la force, qu</w:t>
      </w:r>
      <w:r w:rsidR="00390237">
        <w:rPr>
          <w:lang w:val="fr-FR"/>
        </w:rPr>
        <w:t>’</w:t>
      </w:r>
      <w:r w:rsidRPr="002B6E68">
        <w:rPr>
          <w:lang w:val="fr-FR"/>
        </w:rPr>
        <w:t>ils avaient agi avec négligence en n</w:t>
      </w:r>
      <w:r w:rsidR="00390237">
        <w:rPr>
          <w:lang w:val="fr-FR"/>
        </w:rPr>
        <w:t>’</w:t>
      </w:r>
      <w:r w:rsidRPr="002B6E68">
        <w:rPr>
          <w:lang w:val="fr-FR"/>
        </w:rPr>
        <w:t>informant pas l</w:t>
      </w:r>
      <w:r w:rsidR="00390237">
        <w:rPr>
          <w:lang w:val="fr-FR"/>
        </w:rPr>
        <w:t>’</w:t>
      </w:r>
      <w:r w:rsidRPr="002B6E68">
        <w:rPr>
          <w:lang w:val="fr-FR"/>
        </w:rPr>
        <w:t xml:space="preserve">auteur </w:t>
      </w:r>
      <w:r>
        <w:rPr>
          <w:lang w:val="fr-FR"/>
        </w:rPr>
        <w:t>qu</w:t>
      </w:r>
      <w:r w:rsidR="00390237">
        <w:rPr>
          <w:lang w:val="fr-FR"/>
        </w:rPr>
        <w:t>’</w:t>
      </w:r>
      <w:r>
        <w:rPr>
          <w:lang w:val="fr-FR"/>
        </w:rPr>
        <w:t>ils étaient policiers</w:t>
      </w:r>
      <w:r w:rsidRPr="002B6E68">
        <w:rPr>
          <w:lang w:val="fr-FR"/>
        </w:rPr>
        <w:t xml:space="preserve"> et </w:t>
      </w:r>
      <w:r>
        <w:rPr>
          <w:lang w:val="fr-FR"/>
        </w:rPr>
        <w:t>qu</w:t>
      </w:r>
      <w:r w:rsidR="00390237">
        <w:rPr>
          <w:lang w:val="fr-FR"/>
        </w:rPr>
        <w:t>’</w:t>
      </w:r>
      <w:r>
        <w:rPr>
          <w:lang w:val="fr-FR"/>
        </w:rPr>
        <w:t>ils avaient donc fait l</w:t>
      </w:r>
      <w:r w:rsidR="00390237">
        <w:rPr>
          <w:lang w:val="fr-FR"/>
        </w:rPr>
        <w:t>’</w:t>
      </w:r>
      <w:r>
        <w:rPr>
          <w:lang w:val="fr-FR"/>
        </w:rPr>
        <w:t xml:space="preserve">objet de </w:t>
      </w:r>
      <w:r w:rsidRPr="002B6E68">
        <w:rPr>
          <w:lang w:val="fr-FR"/>
        </w:rPr>
        <w:t>sanctions disciplinaires</w:t>
      </w:r>
      <w:r w:rsidRPr="00454BD4">
        <w:rPr>
          <w:rStyle w:val="Appelnotedebasdep"/>
        </w:rPr>
        <w:footnoteReference w:id="6"/>
      </w:r>
      <w:r w:rsidRPr="00BA7980">
        <w:rPr>
          <w:lang w:val="fr-FR"/>
        </w:rPr>
        <w:t>.</w:t>
      </w:r>
    </w:p>
    <w:p w14:paraId="09B4CD95" w14:textId="272E75F2"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4</w:t>
      </w:r>
      <w:r w:rsidRPr="002B6E68">
        <w:rPr>
          <w:lang w:val="fr-FR"/>
        </w:rPr>
        <w:tab/>
        <w:t>À une date non précisée, l</w:t>
      </w:r>
      <w:r w:rsidR="00390237">
        <w:rPr>
          <w:lang w:val="fr-FR"/>
        </w:rPr>
        <w:t>’</w:t>
      </w:r>
      <w:r w:rsidRPr="002B6E68">
        <w:rPr>
          <w:lang w:val="fr-FR"/>
        </w:rPr>
        <w:t>auteur a déposé la même plainte auprès du parquet militaire du district de Plovdiv</w:t>
      </w:r>
      <w:r w:rsidRPr="00BA7980">
        <w:rPr>
          <w:lang w:val="fr-FR"/>
        </w:rPr>
        <w:t>.</w:t>
      </w:r>
      <w:r w:rsidRPr="002B6E68">
        <w:rPr>
          <w:lang w:val="fr-FR"/>
        </w:rPr>
        <w:t xml:space="preserve"> Le 17 octobre 2005, le parquet militaire a </w:t>
      </w:r>
      <w:r>
        <w:rPr>
          <w:lang w:val="fr-FR"/>
        </w:rPr>
        <w:t>refusé d</w:t>
      </w:r>
      <w:r w:rsidR="00390237">
        <w:rPr>
          <w:lang w:val="fr-FR"/>
        </w:rPr>
        <w:t>’</w:t>
      </w:r>
      <w:r>
        <w:rPr>
          <w:lang w:val="fr-FR"/>
        </w:rPr>
        <w:t xml:space="preserve">engager des poursuites pénales </w:t>
      </w:r>
      <w:r w:rsidRPr="002B6E68">
        <w:rPr>
          <w:lang w:val="fr-FR"/>
        </w:rPr>
        <w:t>contre les policiers concernés</w:t>
      </w:r>
      <w:r w:rsidRPr="00BA7980">
        <w:rPr>
          <w:lang w:val="fr-FR"/>
        </w:rPr>
        <w:t>.</w:t>
      </w:r>
      <w:r w:rsidRPr="002B6E68">
        <w:rPr>
          <w:lang w:val="fr-FR"/>
        </w:rPr>
        <w:t xml:space="preserve"> Le 9 février 2006, l</w:t>
      </w:r>
      <w:r w:rsidR="00390237">
        <w:rPr>
          <w:lang w:val="fr-FR"/>
        </w:rPr>
        <w:t>’</w:t>
      </w:r>
      <w:r w:rsidRPr="002B6E68">
        <w:rPr>
          <w:lang w:val="fr-FR"/>
        </w:rPr>
        <w:t>instance d</w:t>
      </w:r>
      <w:r w:rsidR="00390237">
        <w:rPr>
          <w:lang w:val="fr-FR"/>
        </w:rPr>
        <w:t>’</w:t>
      </w:r>
      <w:r w:rsidRPr="002B6E68">
        <w:rPr>
          <w:lang w:val="fr-FR"/>
        </w:rPr>
        <w:t xml:space="preserve">appel du parquet militaire a </w:t>
      </w:r>
      <w:r>
        <w:rPr>
          <w:lang w:val="fr-FR"/>
        </w:rPr>
        <w:t xml:space="preserve">infirmé </w:t>
      </w:r>
      <w:r w:rsidRPr="002B6E68">
        <w:rPr>
          <w:lang w:val="fr-FR"/>
        </w:rPr>
        <w:t xml:space="preserve">la décision du parquet militaire du district de Plovdiv et ordonné </w:t>
      </w:r>
      <w:r>
        <w:rPr>
          <w:lang w:val="fr-FR"/>
        </w:rPr>
        <w:t>l</w:t>
      </w:r>
      <w:r w:rsidR="00390237">
        <w:rPr>
          <w:lang w:val="fr-FR"/>
        </w:rPr>
        <w:t>’</w:t>
      </w:r>
      <w:r>
        <w:rPr>
          <w:lang w:val="fr-FR"/>
        </w:rPr>
        <w:t xml:space="preserve">engagement de poursuites pénales </w:t>
      </w:r>
      <w:r w:rsidRPr="002B6E68">
        <w:rPr>
          <w:lang w:val="fr-FR"/>
        </w:rPr>
        <w:t xml:space="preserve">contre les deux </w:t>
      </w:r>
      <w:r>
        <w:rPr>
          <w:lang w:val="fr-FR"/>
        </w:rPr>
        <w:t>policiers</w:t>
      </w:r>
      <w:r w:rsidRPr="00BA7980">
        <w:rPr>
          <w:lang w:val="fr-FR"/>
        </w:rPr>
        <w:t>.</w:t>
      </w:r>
      <w:r w:rsidRPr="002B6E68">
        <w:rPr>
          <w:lang w:val="fr-FR"/>
        </w:rPr>
        <w:t xml:space="preserve"> </w:t>
      </w:r>
    </w:p>
    <w:p w14:paraId="783F83F9" w14:textId="37D838D8"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5</w:t>
      </w:r>
      <w:r w:rsidRPr="002B6E68">
        <w:rPr>
          <w:lang w:val="fr-FR"/>
        </w:rPr>
        <w:tab/>
        <w:t>Le 28 juillet 2006, le parquet militaire du district de Plovdiv a accusé les deux policiers d</w:t>
      </w:r>
      <w:r w:rsidR="00390237">
        <w:rPr>
          <w:lang w:val="fr-FR"/>
        </w:rPr>
        <w:t>’</w:t>
      </w:r>
      <w:r w:rsidRPr="002B6E68">
        <w:rPr>
          <w:lang w:val="fr-FR"/>
        </w:rPr>
        <w:t xml:space="preserve">avoir causé </w:t>
      </w:r>
      <w:r>
        <w:rPr>
          <w:lang w:val="fr-FR"/>
        </w:rPr>
        <w:t xml:space="preserve">un préjudice corporel mineur </w:t>
      </w:r>
      <w:r w:rsidRPr="002B6E68">
        <w:rPr>
          <w:lang w:val="fr-FR"/>
        </w:rPr>
        <w:t>à l</w:t>
      </w:r>
      <w:r w:rsidR="00390237">
        <w:rPr>
          <w:lang w:val="fr-FR"/>
        </w:rPr>
        <w:t>’</w:t>
      </w:r>
      <w:r w:rsidRPr="002B6E68">
        <w:rPr>
          <w:lang w:val="fr-FR"/>
        </w:rPr>
        <w:t>auteur (art</w:t>
      </w:r>
      <w:r w:rsidRPr="00BA7980">
        <w:rPr>
          <w:lang w:val="fr-FR"/>
        </w:rPr>
        <w:t>.</w:t>
      </w:r>
      <w:r w:rsidRPr="002B6E68">
        <w:rPr>
          <w:lang w:val="fr-FR"/>
        </w:rPr>
        <w:t> 131 (par</w:t>
      </w:r>
      <w:r w:rsidRPr="00BA7980">
        <w:rPr>
          <w:lang w:val="fr-FR"/>
        </w:rPr>
        <w:t>.</w:t>
      </w:r>
      <w:r w:rsidRPr="002B6E68">
        <w:rPr>
          <w:lang w:val="fr-FR"/>
        </w:rPr>
        <w:t> 1) du Code pénal, lu conjointement avec les articles 130 (par</w:t>
      </w:r>
      <w:r w:rsidRPr="00BA7980">
        <w:rPr>
          <w:lang w:val="fr-FR"/>
        </w:rPr>
        <w:t>.</w:t>
      </w:r>
      <w:r w:rsidRPr="002B6E68">
        <w:rPr>
          <w:lang w:val="fr-FR"/>
        </w:rPr>
        <w:t> 1) et 20 (par</w:t>
      </w:r>
      <w:r w:rsidRPr="00BA7980">
        <w:rPr>
          <w:lang w:val="fr-FR"/>
        </w:rPr>
        <w:t>.</w:t>
      </w:r>
      <w:r w:rsidRPr="002B6E68">
        <w:rPr>
          <w:lang w:val="fr-FR"/>
        </w:rPr>
        <w:t> 3))</w:t>
      </w:r>
      <w:r w:rsidRPr="00454BD4">
        <w:rPr>
          <w:rStyle w:val="Appelnotedebasdep"/>
        </w:rPr>
        <w:footnoteReference w:id="7"/>
      </w:r>
      <w:r w:rsidRPr="00BA7980">
        <w:rPr>
          <w:lang w:val="fr-FR"/>
        </w:rPr>
        <w:t>.</w:t>
      </w:r>
      <w:r w:rsidRPr="002B6E68">
        <w:rPr>
          <w:lang w:val="fr-FR"/>
        </w:rPr>
        <w:t xml:space="preserve"> Le tribunal militaire de première instance de Plovdiv a ouvert l</w:t>
      </w:r>
      <w:r w:rsidR="00390237">
        <w:rPr>
          <w:lang w:val="fr-FR"/>
        </w:rPr>
        <w:t>’</w:t>
      </w:r>
      <w:r w:rsidRPr="002B6E68">
        <w:rPr>
          <w:lang w:val="fr-FR"/>
        </w:rPr>
        <w:t xml:space="preserve">affaire pénale </w:t>
      </w:r>
      <w:r>
        <w:rPr>
          <w:lang w:val="fr-FR"/>
        </w:rPr>
        <w:t>(</w:t>
      </w:r>
      <w:r w:rsidRPr="002B6E68">
        <w:rPr>
          <w:lang w:val="fr-FR"/>
        </w:rPr>
        <w:t>n</w:t>
      </w:r>
      <w:r w:rsidRPr="002B6E68">
        <w:rPr>
          <w:vertAlign w:val="superscript"/>
          <w:lang w:val="fr-FR"/>
        </w:rPr>
        <w:t>o</w:t>
      </w:r>
      <w:r w:rsidRPr="002B6E68">
        <w:rPr>
          <w:lang w:val="fr-FR"/>
        </w:rPr>
        <w:t> 160/2006</w:t>
      </w:r>
      <w:r>
        <w:rPr>
          <w:lang w:val="fr-FR"/>
        </w:rPr>
        <w:t>)</w:t>
      </w:r>
      <w:r w:rsidRPr="00BA7980">
        <w:rPr>
          <w:lang w:val="fr-FR"/>
        </w:rPr>
        <w:t>.</w:t>
      </w:r>
      <w:r w:rsidRPr="002B6E68">
        <w:rPr>
          <w:lang w:val="fr-FR"/>
        </w:rPr>
        <w:t xml:space="preserve"> L</w:t>
      </w:r>
      <w:r w:rsidR="00390237">
        <w:rPr>
          <w:lang w:val="fr-FR"/>
        </w:rPr>
        <w:t>’</w:t>
      </w:r>
      <w:r w:rsidRPr="002B6E68">
        <w:rPr>
          <w:lang w:val="fr-FR"/>
        </w:rPr>
        <w:t xml:space="preserve">auteur </w:t>
      </w:r>
      <w:r>
        <w:rPr>
          <w:lang w:val="fr-FR"/>
        </w:rPr>
        <w:t>s</w:t>
      </w:r>
      <w:r w:rsidR="00390237">
        <w:rPr>
          <w:lang w:val="fr-FR"/>
        </w:rPr>
        <w:t>’</w:t>
      </w:r>
      <w:r>
        <w:rPr>
          <w:lang w:val="fr-FR"/>
        </w:rPr>
        <w:t xml:space="preserve">est constitué partie civile </w:t>
      </w:r>
      <w:r w:rsidRPr="002B6E68">
        <w:rPr>
          <w:lang w:val="fr-FR"/>
        </w:rPr>
        <w:t xml:space="preserve">contre les </w:t>
      </w:r>
      <w:r>
        <w:rPr>
          <w:lang w:val="fr-FR"/>
        </w:rPr>
        <w:t xml:space="preserve">accusés </w:t>
      </w:r>
      <w:r w:rsidRPr="002B6E68">
        <w:rPr>
          <w:lang w:val="fr-FR"/>
        </w:rPr>
        <w:t xml:space="preserve">et </w:t>
      </w:r>
      <w:r>
        <w:rPr>
          <w:lang w:val="fr-FR"/>
        </w:rPr>
        <w:t xml:space="preserve">a demandé </w:t>
      </w:r>
      <w:r w:rsidRPr="002B6E68">
        <w:rPr>
          <w:lang w:val="fr-FR"/>
        </w:rPr>
        <w:t xml:space="preserve">8 000 levas (environ 4 800 dollars), </w:t>
      </w:r>
      <w:r>
        <w:rPr>
          <w:lang w:val="fr-FR"/>
        </w:rPr>
        <w:t>de dommages</w:t>
      </w:r>
      <w:r w:rsidR="00EF4A35">
        <w:rPr>
          <w:lang w:val="fr-FR"/>
        </w:rPr>
        <w:noBreakHyphen/>
      </w:r>
      <w:r>
        <w:rPr>
          <w:lang w:val="fr-FR"/>
        </w:rPr>
        <w:t xml:space="preserve">intérêts au titre du </w:t>
      </w:r>
      <w:r w:rsidRPr="002B6E68">
        <w:rPr>
          <w:lang w:val="fr-FR"/>
        </w:rPr>
        <w:t>préjudice moral</w:t>
      </w:r>
      <w:r w:rsidRPr="00BA7980">
        <w:rPr>
          <w:lang w:val="fr-FR"/>
        </w:rPr>
        <w:t>.</w:t>
      </w:r>
    </w:p>
    <w:p w14:paraId="37B6E629" w14:textId="21D07137"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6</w:t>
      </w:r>
      <w:r w:rsidRPr="002B6E68">
        <w:rPr>
          <w:lang w:val="fr-FR"/>
        </w:rPr>
        <w:tab/>
        <w:t xml:space="preserve">Le 16 septembre 2006, le tribunal militaire de Plovdiv a </w:t>
      </w:r>
      <w:r>
        <w:rPr>
          <w:lang w:val="fr-FR"/>
        </w:rPr>
        <w:t xml:space="preserve">relaxé </w:t>
      </w:r>
      <w:r w:rsidRPr="002B6E68">
        <w:rPr>
          <w:lang w:val="fr-FR"/>
        </w:rPr>
        <w:t>les accusés</w:t>
      </w:r>
      <w:r w:rsidRPr="00454BD4">
        <w:rPr>
          <w:rStyle w:val="Appelnotedebasdep"/>
        </w:rPr>
        <w:footnoteReference w:id="8"/>
      </w:r>
      <w:r w:rsidRPr="00BA7980">
        <w:rPr>
          <w:lang w:val="fr-FR"/>
        </w:rPr>
        <w:t>.</w:t>
      </w:r>
      <w:r w:rsidRPr="002B6E68">
        <w:rPr>
          <w:lang w:val="fr-FR"/>
        </w:rPr>
        <w:t xml:space="preserve"> Il a conclu que les policiers avaient</w:t>
      </w:r>
      <w:r>
        <w:rPr>
          <w:lang w:val="fr-FR"/>
        </w:rPr>
        <w:t xml:space="preserve"> décliné</w:t>
      </w:r>
      <w:r w:rsidRPr="00D55D50">
        <w:rPr>
          <w:lang w:val="fr-FR"/>
        </w:rPr>
        <w:t xml:space="preserve"> leur identité</w:t>
      </w:r>
      <w:r w:rsidRPr="002B6E68">
        <w:rPr>
          <w:lang w:val="fr-FR"/>
        </w:rPr>
        <w:t xml:space="preserve"> lorsqu</w:t>
      </w:r>
      <w:r w:rsidR="00390237">
        <w:rPr>
          <w:lang w:val="fr-FR"/>
        </w:rPr>
        <w:t>’</w:t>
      </w:r>
      <w:r w:rsidRPr="002B6E68">
        <w:rPr>
          <w:lang w:val="fr-FR"/>
        </w:rPr>
        <w:t>ils avaient dit à l</w:t>
      </w:r>
      <w:r w:rsidR="00390237">
        <w:rPr>
          <w:lang w:val="fr-FR"/>
        </w:rPr>
        <w:t>’</w:t>
      </w:r>
      <w:r w:rsidRPr="002B6E68">
        <w:rPr>
          <w:lang w:val="fr-FR"/>
        </w:rPr>
        <w:t>auteur : « Police, ne bougez pas », et qu</w:t>
      </w:r>
      <w:r w:rsidR="00390237">
        <w:rPr>
          <w:lang w:val="fr-FR"/>
        </w:rPr>
        <w:t>’</w:t>
      </w:r>
      <w:r w:rsidRPr="002B6E68">
        <w:rPr>
          <w:lang w:val="fr-FR"/>
        </w:rPr>
        <w:t>ils avaient attaqué l</w:t>
      </w:r>
      <w:r w:rsidR="00390237">
        <w:rPr>
          <w:lang w:val="fr-FR"/>
        </w:rPr>
        <w:t>’</w:t>
      </w:r>
      <w:r w:rsidRPr="002B6E68">
        <w:rPr>
          <w:lang w:val="fr-FR"/>
        </w:rPr>
        <w:t>auteur parce qu</w:t>
      </w:r>
      <w:r w:rsidR="00390237">
        <w:rPr>
          <w:lang w:val="fr-FR"/>
        </w:rPr>
        <w:t>’</w:t>
      </w:r>
      <w:r w:rsidRPr="002B6E68">
        <w:rPr>
          <w:lang w:val="fr-FR"/>
        </w:rPr>
        <w:t>il avait résisté et les avait attaqués</w:t>
      </w:r>
      <w:r w:rsidRPr="00BA7980">
        <w:rPr>
          <w:lang w:val="fr-FR"/>
        </w:rPr>
        <w:t>.</w:t>
      </w:r>
      <w:r w:rsidRPr="002B6E68">
        <w:rPr>
          <w:lang w:val="fr-FR"/>
        </w:rPr>
        <w:t xml:space="preserve"> </w:t>
      </w:r>
      <w:r>
        <w:rPr>
          <w:lang w:val="fr-FR"/>
        </w:rPr>
        <w:t xml:space="preserve">Il a jugé que la </w:t>
      </w:r>
      <w:r w:rsidRPr="002B6E68">
        <w:rPr>
          <w:lang w:val="fr-FR"/>
        </w:rPr>
        <w:t xml:space="preserve">force </w:t>
      </w:r>
      <w:r>
        <w:rPr>
          <w:lang w:val="fr-FR"/>
        </w:rPr>
        <w:t xml:space="preserve">dont </w:t>
      </w:r>
      <w:r w:rsidRPr="002B6E68">
        <w:rPr>
          <w:lang w:val="fr-FR"/>
        </w:rPr>
        <w:t xml:space="preserve">les policiers </w:t>
      </w:r>
      <w:r>
        <w:rPr>
          <w:lang w:val="fr-FR"/>
        </w:rPr>
        <w:t xml:space="preserve">avaient fait usage </w:t>
      </w:r>
      <w:r w:rsidRPr="002B6E68">
        <w:rPr>
          <w:lang w:val="fr-FR"/>
        </w:rPr>
        <w:t>s</w:t>
      </w:r>
      <w:r w:rsidR="00390237">
        <w:rPr>
          <w:lang w:val="fr-FR"/>
        </w:rPr>
        <w:t>’</w:t>
      </w:r>
      <w:r w:rsidRPr="002B6E68">
        <w:rPr>
          <w:lang w:val="fr-FR"/>
        </w:rPr>
        <w:t xml:space="preserve">inscrivait dans le cadre légal et </w:t>
      </w:r>
      <w:r>
        <w:rPr>
          <w:lang w:val="fr-FR"/>
        </w:rPr>
        <w:t xml:space="preserve">était demeurée dans les limites de </w:t>
      </w:r>
      <w:r w:rsidRPr="002B6E68">
        <w:rPr>
          <w:lang w:val="fr-FR"/>
        </w:rPr>
        <w:t>ce qui était nécessaire pour neutraliser l</w:t>
      </w:r>
      <w:r w:rsidR="00390237">
        <w:rPr>
          <w:lang w:val="fr-FR"/>
        </w:rPr>
        <w:t>’</w:t>
      </w:r>
      <w:r w:rsidRPr="002B6E68">
        <w:rPr>
          <w:lang w:val="fr-FR"/>
        </w:rPr>
        <w:t>auteur</w:t>
      </w:r>
      <w:r w:rsidRPr="00BA7980">
        <w:rPr>
          <w:lang w:val="fr-FR"/>
        </w:rPr>
        <w:t>.</w:t>
      </w:r>
      <w:r w:rsidRPr="002B6E68">
        <w:rPr>
          <w:lang w:val="fr-FR"/>
        </w:rPr>
        <w:t xml:space="preserve"> L</w:t>
      </w:r>
      <w:r w:rsidR="00390237">
        <w:rPr>
          <w:lang w:val="fr-FR"/>
        </w:rPr>
        <w:t>’</w:t>
      </w:r>
      <w:r w:rsidRPr="002B6E68">
        <w:rPr>
          <w:lang w:val="fr-FR"/>
        </w:rPr>
        <w:t>auteur et le parquet militaire régional de Plovdiv ont fait appel de cette décision devant la Cour militaire d</w:t>
      </w:r>
      <w:r w:rsidR="00390237">
        <w:rPr>
          <w:lang w:val="fr-FR"/>
        </w:rPr>
        <w:t>’</w:t>
      </w:r>
      <w:r w:rsidRPr="002B6E68">
        <w:rPr>
          <w:lang w:val="fr-FR"/>
        </w:rPr>
        <w:t>appel</w:t>
      </w:r>
      <w:r w:rsidRPr="00BA7980">
        <w:rPr>
          <w:lang w:val="fr-FR"/>
        </w:rPr>
        <w:t>.</w:t>
      </w:r>
    </w:p>
    <w:p w14:paraId="7EA892B9" w14:textId="6F5FE17E"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7</w:t>
      </w:r>
      <w:r w:rsidRPr="002B6E68">
        <w:rPr>
          <w:lang w:val="fr-FR"/>
        </w:rPr>
        <w:tab/>
        <w:t>Le 10 janvier 2007, la Cour militaire d</w:t>
      </w:r>
      <w:r w:rsidR="00390237">
        <w:rPr>
          <w:lang w:val="fr-FR"/>
        </w:rPr>
        <w:t>’</w:t>
      </w:r>
      <w:r w:rsidRPr="002B6E68">
        <w:rPr>
          <w:lang w:val="fr-FR"/>
        </w:rPr>
        <w:t>appel a annulé cette décision, déclaré les accusés coupables d</w:t>
      </w:r>
      <w:r w:rsidR="00390237">
        <w:rPr>
          <w:lang w:val="fr-FR"/>
        </w:rPr>
        <w:t>’</w:t>
      </w:r>
      <w:r w:rsidRPr="002B6E68">
        <w:rPr>
          <w:lang w:val="fr-FR"/>
        </w:rPr>
        <w:t xml:space="preserve">avoir causé </w:t>
      </w:r>
      <w:r>
        <w:rPr>
          <w:lang w:val="fr-FR"/>
        </w:rPr>
        <w:t xml:space="preserve">un préjudice corporel mineur </w:t>
      </w:r>
      <w:r w:rsidRPr="002B6E68">
        <w:rPr>
          <w:lang w:val="fr-FR"/>
        </w:rPr>
        <w:t>à l</w:t>
      </w:r>
      <w:r w:rsidR="00390237">
        <w:rPr>
          <w:lang w:val="fr-FR"/>
        </w:rPr>
        <w:t>’</w:t>
      </w:r>
      <w:r w:rsidRPr="002B6E68">
        <w:rPr>
          <w:lang w:val="fr-FR"/>
        </w:rPr>
        <w:t xml:space="preserve">auteur et </w:t>
      </w:r>
      <w:r>
        <w:rPr>
          <w:lang w:val="fr-FR"/>
        </w:rPr>
        <w:t xml:space="preserve">condamné </w:t>
      </w:r>
      <w:r w:rsidRPr="002B6E68">
        <w:rPr>
          <w:lang w:val="fr-FR"/>
        </w:rPr>
        <w:t>chacun d</w:t>
      </w:r>
      <w:r w:rsidR="00390237">
        <w:rPr>
          <w:lang w:val="fr-FR"/>
        </w:rPr>
        <w:t>’</w:t>
      </w:r>
      <w:r w:rsidRPr="002B6E68">
        <w:rPr>
          <w:lang w:val="fr-FR"/>
        </w:rPr>
        <w:t xml:space="preserve">eux </w:t>
      </w:r>
      <w:r>
        <w:rPr>
          <w:lang w:val="fr-FR"/>
        </w:rPr>
        <w:t xml:space="preserve">à </w:t>
      </w:r>
      <w:r w:rsidRPr="002B6E68">
        <w:rPr>
          <w:lang w:val="fr-FR"/>
        </w:rPr>
        <w:t>une amende administrative de 1 000 levas (</w:t>
      </w:r>
      <w:r>
        <w:rPr>
          <w:lang w:val="fr-FR"/>
        </w:rPr>
        <w:t xml:space="preserve">environ </w:t>
      </w:r>
      <w:r w:rsidRPr="002B6E68">
        <w:rPr>
          <w:lang w:val="fr-FR"/>
        </w:rPr>
        <w:t>604 dollars)</w:t>
      </w:r>
      <w:r w:rsidRPr="00454BD4">
        <w:rPr>
          <w:rStyle w:val="Appelnotedebasdep"/>
        </w:rPr>
        <w:footnoteReference w:id="9"/>
      </w:r>
      <w:r w:rsidRPr="00BA7980">
        <w:rPr>
          <w:lang w:val="fr-FR"/>
        </w:rPr>
        <w:t>.</w:t>
      </w:r>
      <w:r w:rsidRPr="002B6E68">
        <w:rPr>
          <w:lang w:val="fr-FR"/>
        </w:rPr>
        <w:t xml:space="preserve"> Elle a également ordonné </w:t>
      </w:r>
      <w:r>
        <w:rPr>
          <w:lang w:val="fr-FR"/>
        </w:rPr>
        <w:t xml:space="preserve">le versement à </w:t>
      </w:r>
      <w:r w:rsidRPr="002B6E68">
        <w:rPr>
          <w:lang w:val="fr-FR"/>
        </w:rPr>
        <w:t>l</w:t>
      </w:r>
      <w:r w:rsidR="00390237">
        <w:rPr>
          <w:lang w:val="fr-FR"/>
        </w:rPr>
        <w:t>’</w:t>
      </w:r>
      <w:r w:rsidRPr="002B6E68">
        <w:rPr>
          <w:lang w:val="fr-FR"/>
        </w:rPr>
        <w:t xml:space="preserve">auteur </w:t>
      </w:r>
      <w:r>
        <w:rPr>
          <w:lang w:val="fr-FR"/>
        </w:rPr>
        <w:t>d</w:t>
      </w:r>
      <w:r w:rsidR="00390237">
        <w:rPr>
          <w:lang w:val="fr-FR"/>
        </w:rPr>
        <w:t>’</w:t>
      </w:r>
      <w:r>
        <w:rPr>
          <w:lang w:val="fr-FR"/>
        </w:rPr>
        <w:t>une indemnité d</w:t>
      </w:r>
      <w:r w:rsidR="00390237">
        <w:rPr>
          <w:lang w:val="fr-FR"/>
        </w:rPr>
        <w:t>’</w:t>
      </w:r>
      <w:r>
        <w:rPr>
          <w:lang w:val="fr-FR"/>
        </w:rPr>
        <w:t xml:space="preserve">un montant de </w:t>
      </w:r>
      <w:r w:rsidRPr="002B6E68">
        <w:rPr>
          <w:lang w:val="fr-FR"/>
        </w:rPr>
        <w:t>1 500 levas (</w:t>
      </w:r>
      <w:r>
        <w:rPr>
          <w:lang w:val="fr-FR"/>
        </w:rPr>
        <w:t xml:space="preserve">environ </w:t>
      </w:r>
      <w:r w:rsidRPr="002B6E68">
        <w:rPr>
          <w:lang w:val="fr-FR"/>
        </w:rPr>
        <w:t>90</w:t>
      </w:r>
      <w:r>
        <w:rPr>
          <w:lang w:val="fr-FR"/>
        </w:rPr>
        <w:t>7</w:t>
      </w:r>
      <w:r w:rsidR="00EF4A35">
        <w:rPr>
          <w:lang w:val="fr-FR"/>
        </w:rPr>
        <w:t> </w:t>
      </w:r>
      <w:r w:rsidRPr="002B6E68">
        <w:rPr>
          <w:lang w:val="fr-FR"/>
        </w:rPr>
        <w:t>dollars)</w:t>
      </w:r>
      <w:r>
        <w:rPr>
          <w:lang w:val="fr-FR"/>
        </w:rPr>
        <w:t xml:space="preserve"> au titre du préjudice moral</w:t>
      </w:r>
      <w:r w:rsidRPr="00BA7980">
        <w:rPr>
          <w:lang w:val="fr-FR"/>
        </w:rPr>
        <w:t>.</w:t>
      </w:r>
    </w:p>
    <w:p w14:paraId="2411CFA0" w14:textId="42E2A1D2"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8</w:t>
      </w:r>
      <w:r w:rsidRPr="002B6E68">
        <w:rPr>
          <w:lang w:val="fr-FR"/>
        </w:rPr>
        <w:tab/>
        <w:t>Le Procureur général, se fondant sur l</w:t>
      </w:r>
      <w:r w:rsidR="00390237">
        <w:rPr>
          <w:lang w:val="fr-FR"/>
        </w:rPr>
        <w:t>’</w:t>
      </w:r>
      <w:r w:rsidRPr="002B6E68">
        <w:rPr>
          <w:lang w:val="fr-FR"/>
        </w:rPr>
        <w:t>article 422</w:t>
      </w:r>
      <w:r w:rsidRPr="00BA7980">
        <w:rPr>
          <w:lang w:val="fr-FR"/>
        </w:rPr>
        <w:t>.</w:t>
      </w:r>
      <w:r w:rsidRPr="002B6E68">
        <w:rPr>
          <w:lang w:val="fr-FR"/>
        </w:rPr>
        <w:t>1 du Code de procédure pénale, a demandé l</w:t>
      </w:r>
      <w:r w:rsidR="00390237">
        <w:rPr>
          <w:lang w:val="fr-FR"/>
        </w:rPr>
        <w:t>’</w:t>
      </w:r>
      <w:r w:rsidRPr="002B6E68">
        <w:rPr>
          <w:lang w:val="fr-FR"/>
        </w:rPr>
        <w:t xml:space="preserve">annulation de cette décision devant la Cour </w:t>
      </w:r>
      <w:r>
        <w:rPr>
          <w:lang w:val="fr-FR"/>
        </w:rPr>
        <w:t>s</w:t>
      </w:r>
      <w:r w:rsidRPr="002B6E68">
        <w:rPr>
          <w:lang w:val="fr-FR"/>
        </w:rPr>
        <w:t xml:space="preserve">uprême de </w:t>
      </w:r>
      <w:r>
        <w:rPr>
          <w:lang w:val="fr-FR"/>
        </w:rPr>
        <w:t>c</w:t>
      </w:r>
      <w:r w:rsidRPr="002B6E68">
        <w:rPr>
          <w:lang w:val="fr-FR"/>
        </w:rPr>
        <w:t>assation, au motif que les droits de la défense des accusés avaient été violés</w:t>
      </w:r>
      <w:r w:rsidRPr="00BA7980">
        <w:rPr>
          <w:lang w:val="fr-FR"/>
        </w:rPr>
        <w:t>.</w:t>
      </w:r>
      <w:r w:rsidRPr="002B6E68">
        <w:rPr>
          <w:lang w:val="fr-FR"/>
        </w:rPr>
        <w:t xml:space="preserve"> Cette demande du Procureur général n</w:t>
      </w:r>
      <w:r w:rsidR="00390237">
        <w:rPr>
          <w:lang w:val="fr-FR"/>
        </w:rPr>
        <w:t>’</w:t>
      </w:r>
      <w:r w:rsidRPr="002B6E68">
        <w:rPr>
          <w:lang w:val="fr-FR"/>
        </w:rPr>
        <w:t>a pas été communiquée à l</w:t>
      </w:r>
      <w:r w:rsidR="00390237">
        <w:rPr>
          <w:lang w:val="fr-FR"/>
        </w:rPr>
        <w:t>’</w:t>
      </w:r>
      <w:r w:rsidRPr="002B6E68">
        <w:rPr>
          <w:lang w:val="fr-FR"/>
        </w:rPr>
        <w:t xml:space="preserve">auteur </w:t>
      </w:r>
      <w:r>
        <w:rPr>
          <w:lang w:val="fr-FR"/>
        </w:rPr>
        <w:t xml:space="preserve">et celui-ci </w:t>
      </w:r>
      <w:r w:rsidRPr="002B6E68">
        <w:rPr>
          <w:lang w:val="fr-FR"/>
        </w:rPr>
        <w:t>n</w:t>
      </w:r>
      <w:r w:rsidR="00390237">
        <w:rPr>
          <w:lang w:val="fr-FR"/>
        </w:rPr>
        <w:t>’</w:t>
      </w:r>
      <w:r w:rsidRPr="002B6E68">
        <w:rPr>
          <w:lang w:val="fr-FR"/>
        </w:rPr>
        <w:t xml:space="preserve">a pas été </w:t>
      </w:r>
      <w:r>
        <w:rPr>
          <w:lang w:val="fr-FR"/>
        </w:rPr>
        <w:t xml:space="preserve">convoqué </w:t>
      </w:r>
      <w:r w:rsidRPr="002B6E68">
        <w:rPr>
          <w:lang w:val="fr-FR"/>
        </w:rPr>
        <w:t xml:space="preserve">devant la Cour </w:t>
      </w:r>
      <w:r>
        <w:rPr>
          <w:lang w:val="fr-FR"/>
        </w:rPr>
        <w:t>s</w:t>
      </w:r>
      <w:r w:rsidRPr="002B6E68">
        <w:rPr>
          <w:lang w:val="fr-FR"/>
        </w:rPr>
        <w:t xml:space="preserve">uprême de </w:t>
      </w:r>
      <w:r>
        <w:rPr>
          <w:lang w:val="fr-FR"/>
        </w:rPr>
        <w:t>c</w:t>
      </w:r>
      <w:r w:rsidRPr="002B6E68">
        <w:rPr>
          <w:lang w:val="fr-FR"/>
        </w:rPr>
        <w:t xml:space="preserve">assation lorsque </w:t>
      </w:r>
      <w:r>
        <w:rPr>
          <w:lang w:val="fr-FR"/>
        </w:rPr>
        <w:t xml:space="preserve">celle-ci a examiné </w:t>
      </w:r>
      <w:r w:rsidRPr="002B6E68">
        <w:rPr>
          <w:lang w:val="fr-FR"/>
        </w:rPr>
        <w:t>l</w:t>
      </w:r>
      <w:r w:rsidR="00390237">
        <w:rPr>
          <w:lang w:val="fr-FR"/>
        </w:rPr>
        <w:t>’</w:t>
      </w:r>
      <w:r w:rsidRPr="002B6E68">
        <w:rPr>
          <w:lang w:val="fr-FR"/>
        </w:rPr>
        <w:t>affaire</w:t>
      </w:r>
      <w:r w:rsidRPr="00454BD4">
        <w:rPr>
          <w:rStyle w:val="Appelnotedebasdep"/>
        </w:rPr>
        <w:footnoteReference w:id="10"/>
      </w:r>
      <w:r w:rsidRPr="00BA7980">
        <w:rPr>
          <w:lang w:val="fr-FR"/>
        </w:rPr>
        <w:t>.</w:t>
      </w:r>
      <w:r w:rsidRPr="002B6E68">
        <w:rPr>
          <w:lang w:val="fr-FR"/>
        </w:rPr>
        <w:t xml:space="preserve"> Le 18 décembre 2007, la Cour </w:t>
      </w:r>
      <w:r>
        <w:rPr>
          <w:lang w:val="fr-FR"/>
        </w:rPr>
        <w:t>s</w:t>
      </w:r>
      <w:r w:rsidRPr="002B6E68">
        <w:rPr>
          <w:lang w:val="fr-FR"/>
        </w:rPr>
        <w:t xml:space="preserve">uprême de </w:t>
      </w:r>
      <w:r>
        <w:rPr>
          <w:lang w:val="fr-FR"/>
        </w:rPr>
        <w:t>c</w:t>
      </w:r>
      <w:r w:rsidRPr="002B6E68">
        <w:rPr>
          <w:lang w:val="fr-FR"/>
        </w:rPr>
        <w:t>assation a annulé dans son intégralité la décision rendue le 10 janvier 2007 par la Cour militaire d</w:t>
      </w:r>
      <w:r w:rsidR="00390237">
        <w:rPr>
          <w:lang w:val="fr-FR"/>
        </w:rPr>
        <w:t>’</w:t>
      </w:r>
      <w:r w:rsidRPr="002B6E68">
        <w:rPr>
          <w:lang w:val="fr-FR"/>
        </w:rPr>
        <w:t>appel et a renvoyé l</w:t>
      </w:r>
      <w:r w:rsidR="00390237">
        <w:rPr>
          <w:lang w:val="fr-FR"/>
        </w:rPr>
        <w:t>’</w:t>
      </w:r>
      <w:r w:rsidRPr="002B6E68">
        <w:rPr>
          <w:lang w:val="fr-FR"/>
        </w:rPr>
        <w:t>affaire devant la même juridiction pour qu</w:t>
      </w:r>
      <w:r w:rsidR="00390237">
        <w:rPr>
          <w:lang w:val="fr-FR"/>
        </w:rPr>
        <w:t>’</w:t>
      </w:r>
      <w:r w:rsidRPr="002B6E68">
        <w:rPr>
          <w:lang w:val="fr-FR"/>
        </w:rPr>
        <w:t>une autre Chambre la réexamine</w:t>
      </w:r>
      <w:r w:rsidRPr="00BA7980">
        <w:rPr>
          <w:lang w:val="fr-FR"/>
        </w:rPr>
        <w:t>.</w:t>
      </w:r>
    </w:p>
    <w:p w14:paraId="5A56EFE3" w14:textId="4382ED6C"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9</w:t>
      </w:r>
      <w:r w:rsidRPr="002B6E68">
        <w:rPr>
          <w:lang w:val="fr-FR"/>
        </w:rPr>
        <w:tab/>
        <w:t xml:space="preserve">Le 17 janvier 2008, </w:t>
      </w:r>
      <w:r>
        <w:rPr>
          <w:lang w:val="fr-FR"/>
        </w:rPr>
        <w:t xml:space="preserve">par son </w:t>
      </w:r>
      <w:r w:rsidRPr="002B6E68">
        <w:rPr>
          <w:lang w:val="fr-FR"/>
        </w:rPr>
        <w:t>arrêt n</w:t>
      </w:r>
      <w:r w:rsidRPr="002B6E68">
        <w:rPr>
          <w:vertAlign w:val="superscript"/>
          <w:lang w:val="fr-FR"/>
        </w:rPr>
        <w:t>o</w:t>
      </w:r>
      <w:r w:rsidRPr="002B6E68">
        <w:rPr>
          <w:lang w:val="fr-FR"/>
        </w:rPr>
        <w:t> 3, la Cour militaire d</w:t>
      </w:r>
      <w:r w:rsidR="00390237">
        <w:rPr>
          <w:lang w:val="fr-FR"/>
        </w:rPr>
        <w:t>’</w:t>
      </w:r>
      <w:r w:rsidRPr="002B6E68">
        <w:rPr>
          <w:lang w:val="fr-FR"/>
        </w:rPr>
        <w:t xml:space="preserve">appel a confirmé la décision rendue en première instance par le tribunal militaire de Plovdiv, </w:t>
      </w:r>
      <w:r>
        <w:rPr>
          <w:lang w:val="fr-FR"/>
        </w:rPr>
        <w:t xml:space="preserve">relaxé </w:t>
      </w:r>
      <w:r w:rsidRPr="002B6E68">
        <w:rPr>
          <w:lang w:val="fr-FR"/>
        </w:rPr>
        <w:t>les accusés et rejeté la demande d</w:t>
      </w:r>
      <w:r w:rsidR="00390237">
        <w:rPr>
          <w:lang w:val="fr-FR"/>
        </w:rPr>
        <w:t>’</w:t>
      </w:r>
      <w:r w:rsidRPr="002B6E68">
        <w:rPr>
          <w:lang w:val="fr-FR"/>
        </w:rPr>
        <w:t xml:space="preserve">indemnisation </w:t>
      </w:r>
      <w:r>
        <w:rPr>
          <w:lang w:val="fr-FR"/>
        </w:rPr>
        <w:t xml:space="preserve">introduite </w:t>
      </w:r>
      <w:r w:rsidRPr="002B6E68">
        <w:rPr>
          <w:lang w:val="fr-FR"/>
        </w:rPr>
        <w:t>par l</w:t>
      </w:r>
      <w:r w:rsidR="00390237">
        <w:rPr>
          <w:lang w:val="fr-FR"/>
        </w:rPr>
        <w:t>’</w:t>
      </w:r>
      <w:r w:rsidRPr="002B6E68">
        <w:rPr>
          <w:lang w:val="fr-FR"/>
        </w:rPr>
        <w:t>auteur</w:t>
      </w:r>
      <w:r w:rsidRPr="00454BD4">
        <w:rPr>
          <w:rStyle w:val="Appelnotedebasdep"/>
        </w:rPr>
        <w:footnoteReference w:id="11"/>
      </w:r>
      <w:r w:rsidRPr="00BA7980">
        <w:rPr>
          <w:lang w:val="fr-FR"/>
        </w:rPr>
        <w:t>.</w:t>
      </w:r>
      <w:r w:rsidRPr="002B6E68">
        <w:rPr>
          <w:lang w:val="fr-FR"/>
        </w:rPr>
        <w:t xml:space="preserve"> Elle a précisé que l</w:t>
      </w:r>
      <w:r w:rsidR="00390237">
        <w:rPr>
          <w:lang w:val="fr-FR"/>
        </w:rPr>
        <w:t>’</w:t>
      </w:r>
      <w:r w:rsidRPr="002B6E68">
        <w:rPr>
          <w:lang w:val="fr-FR"/>
        </w:rPr>
        <w:t>arrêt était définitif et non susceptible d</w:t>
      </w:r>
      <w:r w:rsidR="00390237">
        <w:rPr>
          <w:lang w:val="fr-FR"/>
        </w:rPr>
        <w:t>’</w:t>
      </w:r>
      <w:r w:rsidRPr="002B6E68">
        <w:rPr>
          <w:lang w:val="fr-FR"/>
        </w:rPr>
        <w:t>appel</w:t>
      </w:r>
      <w:r w:rsidRPr="00BA7980">
        <w:rPr>
          <w:lang w:val="fr-FR"/>
        </w:rPr>
        <w:t>.</w:t>
      </w:r>
    </w:p>
    <w:p w14:paraId="543DAB3C" w14:textId="26EC4E95" w:rsidR="00F85A35" w:rsidRPr="002B6E68" w:rsidRDefault="00F85A35" w:rsidP="00F85A35">
      <w:pPr>
        <w:pStyle w:val="SingleTxtG"/>
        <w:rPr>
          <w:lang w:val="fr-FR"/>
        </w:rPr>
      </w:pPr>
      <w:r w:rsidRPr="002B6E68">
        <w:rPr>
          <w:lang w:val="fr-FR"/>
        </w:rPr>
        <w:t>2</w:t>
      </w:r>
      <w:r w:rsidRPr="00BA7980">
        <w:rPr>
          <w:lang w:val="fr-FR"/>
        </w:rPr>
        <w:t>.</w:t>
      </w:r>
      <w:r w:rsidRPr="002B6E68">
        <w:rPr>
          <w:lang w:val="fr-FR"/>
        </w:rPr>
        <w:t>10</w:t>
      </w:r>
      <w:r w:rsidRPr="002B6E68">
        <w:rPr>
          <w:lang w:val="fr-FR"/>
        </w:rPr>
        <w:tab/>
        <w:t>Le 2 juin 2008, l</w:t>
      </w:r>
      <w:r w:rsidR="00390237">
        <w:rPr>
          <w:lang w:val="fr-FR"/>
        </w:rPr>
        <w:t>’</w:t>
      </w:r>
      <w:r w:rsidRPr="002B6E68">
        <w:rPr>
          <w:lang w:val="fr-FR"/>
        </w:rPr>
        <w:t xml:space="preserve">auteur a </w:t>
      </w:r>
      <w:r>
        <w:rPr>
          <w:lang w:val="fr-FR"/>
        </w:rPr>
        <w:t xml:space="preserve">introduit une requête </w:t>
      </w:r>
      <w:r w:rsidRPr="002B6E68">
        <w:rPr>
          <w:lang w:val="fr-FR"/>
        </w:rPr>
        <w:t>devant la Cour européenne des droits de l</w:t>
      </w:r>
      <w:r w:rsidR="00390237">
        <w:rPr>
          <w:lang w:val="fr-FR"/>
        </w:rPr>
        <w:t>’</w:t>
      </w:r>
      <w:r w:rsidRPr="002B6E68">
        <w:rPr>
          <w:lang w:val="fr-FR"/>
        </w:rPr>
        <w:t>homme</w:t>
      </w:r>
      <w:r>
        <w:rPr>
          <w:lang w:val="fr-FR"/>
        </w:rPr>
        <w:t xml:space="preserve"> en invoquant </w:t>
      </w:r>
      <w:r w:rsidRPr="002B6E68">
        <w:rPr>
          <w:lang w:val="fr-FR"/>
        </w:rPr>
        <w:t>une violation des articles 3, 6 (par</w:t>
      </w:r>
      <w:r w:rsidRPr="00BA7980">
        <w:rPr>
          <w:lang w:val="fr-FR"/>
        </w:rPr>
        <w:t>.</w:t>
      </w:r>
      <w:r w:rsidR="00C94921">
        <w:rPr>
          <w:lang w:val="fr-FR"/>
        </w:rPr>
        <w:t> </w:t>
      </w:r>
      <w:r w:rsidRPr="002B6E68">
        <w:rPr>
          <w:lang w:val="fr-FR"/>
        </w:rPr>
        <w:t xml:space="preserve">1) et 13 de la </w:t>
      </w:r>
      <w:r w:rsidRPr="000A5B83">
        <w:rPr>
          <w:lang w:val="fr-FR"/>
        </w:rPr>
        <w:t>Convention de sauvegarde des droits de l</w:t>
      </w:r>
      <w:r w:rsidR="00390237">
        <w:rPr>
          <w:lang w:val="fr-FR"/>
        </w:rPr>
        <w:t>’</w:t>
      </w:r>
      <w:r w:rsidRPr="000A5B83">
        <w:rPr>
          <w:lang w:val="fr-FR"/>
        </w:rPr>
        <w:t>homme et des libertés fondamentales</w:t>
      </w:r>
      <w:r w:rsidRPr="00BA7980">
        <w:rPr>
          <w:lang w:val="fr-FR"/>
        </w:rPr>
        <w:t>.</w:t>
      </w:r>
      <w:r w:rsidRPr="002B6E68">
        <w:rPr>
          <w:lang w:val="fr-FR"/>
        </w:rPr>
        <w:t xml:space="preserve"> Le 10 juillet 2014, la Cour l</w:t>
      </w:r>
      <w:r w:rsidR="00390237">
        <w:rPr>
          <w:lang w:val="fr-FR"/>
        </w:rPr>
        <w:t>’</w:t>
      </w:r>
      <w:r w:rsidRPr="002B6E68">
        <w:rPr>
          <w:lang w:val="fr-FR"/>
        </w:rPr>
        <w:t>a informé que sa requête était irrecevable</w:t>
      </w:r>
      <w:r>
        <w:rPr>
          <w:lang w:val="fr-FR"/>
        </w:rPr>
        <w:t xml:space="preserve"> du fait qu</w:t>
      </w:r>
      <w:r w:rsidR="00390237">
        <w:rPr>
          <w:lang w:val="fr-FR"/>
        </w:rPr>
        <w:t>’</w:t>
      </w:r>
      <w:r>
        <w:rPr>
          <w:lang w:val="fr-FR"/>
        </w:rPr>
        <w:t xml:space="preserve">elle </w:t>
      </w:r>
      <w:r w:rsidRPr="002B6E68">
        <w:rPr>
          <w:lang w:val="fr-FR"/>
        </w:rPr>
        <w:t xml:space="preserve">ne satisfaisait pas aux </w:t>
      </w:r>
      <w:r>
        <w:rPr>
          <w:lang w:val="fr-FR"/>
        </w:rPr>
        <w:t xml:space="preserve">conditions </w:t>
      </w:r>
      <w:r w:rsidRPr="002B6E68">
        <w:rPr>
          <w:lang w:val="fr-FR"/>
        </w:rPr>
        <w:t xml:space="preserve">de recevabilité </w:t>
      </w:r>
      <w:r>
        <w:rPr>
          <w:lang w:val="fr-FR"/>
        </w:rPr>
        <w:t xml:space="preserve">énoncées </w:t>
      </w:r>
      <w:r w:rsidRPr="002B6E68">
        <w:rPr>
          <w:lang w:val="fr-FR"/>
        </w:rPr>
        <w:t>aux articles 34 et 35 de la Convention</w:t>
      </w:r>
      <w:r w:rsidRPr="00454BD4">
        <w:rPr>
          <w:rStyle w:val="Appelnotedebasdep"/>
        </w:rPr>
        <w:footnoteReference w:id="12"/>
      </w:r>
      <w:r w:rsidRPr="00BA7980">
        <w:rPr>
          <w:lang w:val="fr-FR"/>
        </w:rPr>
        <w:t>.</w:t>
      </w:r>
      <w:r w:rsidRPr="002B6E68">
        <w:rPr>
          <w:lang w:val="fr-FR"/>
        </w:rPr>
        <w:t xml:space="preserve"> </w:t>
      </w:r>
      <w:r w:rsidRPr="00D16CF5">
        <w:rPr>
          <w:lang w:val="fr-FR"/>
        </w:rPr>
        <w:t>L</w:t>
      </w:r>
      <w:r w:rsidR="00390237">
        <w:rPr>
          <w:lang w:val="fr-FR"/>
        </w:rPr>
        <w:t>’</w:t>
      </w:r>
      <w:r w:rsidRPr="00D16CF5">
        <w:rPr>
          <w:lang w:val="fr-FR"/>
        </w:rPr>
        <w:t xml:space="preserve">auteur </w:t>
      </w:r>
      <w:r w:rsidRPr="00454BD4">
        <w:rPr>
          <w:lang w:val="fr-FR"/>
        </w:rPr>
        <w:t>renvoie</w:t>
      </w:r>
      <w:r w:rsidRPr="00D16CF5">
        <w:rPr>
          <w:lang w:val="fr-FR"/>
        </w:rPr>
        <w:t xml:space="preserve"> à la jurisprudence du Comité des droits de l</w:t>
      </w:r>
      <w:r w:rsidR="00390237">
        <w:rPr>
          <w:lang w:val="fr-FR"/>
        </w:rPr>
        <w:t>’</w:t>
      </w:r>
      <w:r w:rsidRPr="00D16CF5">
        <w:rPr>
          <w:lang w:val="fr-FR"/>
        </w:rPr>
        <w:t xml:space="preserve">homme </w:t>
      </w:r>
      <w:r w:rsidRPr="00454BD4">
        <w:rPr>
          <w:lang w:val="fr-FR"/>
        </w:rPr>
        <w:t>attestant que le Comité accepte d</w:t>
      </w:r>
      <w:r w:rsidR="00390237">
        <w:rPr>
          <w:lang w:val="fr-FR"/>
        </w:rPr>
        <w:t>’</w:t>
      </w:r>
      <w:r w:rsidRPr="00454BD4">
        <w:rPr>
          <w:lang w:val="fr-FR"/>
        </w:rPr>
        <w:t xml:space="preserve">examiner une affaire </w:t>
      </w:r>
      <w:r w:rsidRPr="00D16CF5">
        <w:rPr>
          <w:lang w:val="fr-FR"/>
        </w:rPr>
        <w:t>après une décision d</w:t>
      </w:r>
      <w:r w:rsidR="00390237">
        <w:rPr>
          <w:lang w:val="fr-FR"/>
        </w:rPr>
        <w:t>’</w:t>
      </w:r>
      <w:r w:rsidRPr="00D16CF5">
        <w:rPr>
          <w:lang w:val="fr-FR"/>
        </w:rPr>
        <w:t>irrecevabilité de la Cour européenne des droits de l</w:t>
      </w:r>
      <w:r w:rsidR="00390237">
        <w:rPr>
          <w:lang w:val="fr-FR"/>
        </w:rPr>
        <w:t>’</w:t>
      </w:r>
      <w:r w:rsidRPr="00D16CF5">
        <w:rPr>
          <w:lang w:val="fr-FR"/>
        </w:rPr>
        <w:t xml:space="preserve">homme </w:t>
      </w:r>
      <w:r w:rsidRPr="00454BD4">
        <w:rPr>
          <w:lang w:val="fr-FR"/>
        </w:rPr>
        <w:t xml:space="preserve">si </w:t>
      </w:r>
      <w:r w:rsidRPr="00D16CF5">
        <w:rPr>
          <w:lang w:val="fr-FR"/>
        </w:rPr>
        <w:t>celle-ci n</w:t>
      </w:r>
      <w:r w:rsidRPr="00454BD4">
        <w:rPr>
          <w:lang w:val="fr-FR"/>
        </w:rPr>
        <w:t>e l</w:t>
      </w:r>
      <w:r w:rsidR="00390237">
        <w:rPr>
          <w:lang w:val="fr-FR"/>
        </w:rPr>
        <w:t>’</w:t>
      </w:r>
      <w:r w:rsidRPr="00D16CF5">
        <w:rPr>
          <w:lang w:val="fr-FR"/>
        </w:rPr>
        <w:t>a pas examiné</w:t>
      </w:r>
      <w:r w:rsidRPr="00454BD4">
        <w:rPr>
          <w:lang w:val="fr-FR"/>
        </w:rPr>
        <w:t>e quant</w:t>
      </w:r>
      <w:r w:rsidRPr="00D16CF5">
        <w:rPr>
          <w:lang w:val="fr-FR"/>
        </w:rPr>
        <w:t xml:space="preserve"> au fond</w:t>
      </w:r>
      <w:r w:rsidRPr="00454BD4">
        <w:rPr>
          <w:rStyle w:val="Appelnotedebasdep"/>
        </w:rPr>
        <w:footnoteReference w:id="13"/>
      </w:r>
      <w:r w:rsidRPr="00D16CF5">
        <w:rPr>
          <w:lang w:val="fr-FR"/>
        </w:rPr>
        <w:t>.</w:t>
      </w:r>
    </w:p>
    <w:p w14:paraId="5CDEF97B" w14:textId="77777777" w:rsidR="00F85A35" w:rsidRPr="002B6E68" w:rsidRDefault="00F85A35" w:rsidP="00F85A35">
      <w:pPr>
        <w:pStyle w:val="H23G"/>
        <w:rPr>
          <w:lang w:val="fr-FR"/>
        </w:rPr>
      </w:pPr>
      <w:r w:rsidRPr="002B6E68">
        <w:rPr>
          <w:lang w:val="fr-FR"/>
        </w:rPr>
        <w:tab/>
      </w:r>
      <w:r w:rsidRPr="002B6E68">
        <w:rPr>
          <w:lang w:val="fr-FR"/>
        </w:rPr>
        <w:tab/>
      </w:r>
      <w:r w:rsidRPr="002B6E68">
        <w:rPr>
          <w:bCs/>
          <w:lang w:val="fr-FR"/>
        </w:rPr>
        <w:t xml:space="preserve">Teneur de la </w:t>
      </w:r>
      <w:r w:rsidRPr="00F85A35">
        <w:rPr>
          <w:lang w:val="fr-FR"/>
        </w:rPr>
        <w:t>plainte</w:t>
      </w:r>
    </w:p>
    <w:p w14:paraId="7115D7F8" w14:textId="05044196"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1</w:t>
      </w:r>
      <w:r w:rsidRPr="002B6E68">
        <w:rPr>
          <w:lang w:val="fr-FR"/>
        </w:rPr>
        <w:tab/>
        <w:t>L</w:t>
      </w:r>
      <w:r w:rsidR="00390237">
        <w:rPr>
          <w:lang w:val="fr-FR"/>
        </w:rPr>
        <w:t>’</w:t>
      </w:r>
      <w:r w:rsidRPr="002B6E68">
        <w:rPr>
          <w:lang w:val="fr-FR"/>
        </w:rPr>
        <w:t xml:space="preserve">auteur </w:t>
      </w:r>
      <w:r>
        <w:rPr>
          <w:lang w:val="fr-FR"/>
        </w:rPr>
        <w:t xml:space="preserve">affirme avoir été </w:t>
      </w:r>
      <w:r w:rsidRPr="002B6E68">
        <w:rPr>
          <w:lang w:val="fr-FR"/>
        </w:rPr>
        <w:t>victime d</w:t>
      </w:r>
      <w:r w:rsidR="00390237">
        <w:rPr>
          <w:lang w:val="fr-FR"/>
        </w:rPr>
        <w:t>’</w:t>
      </w:r>
      <w:r w:rsidRPr="002B6E68">
        <w:rPr>
          <w:lang w:val="fr-FR"/>
        </w:rPr>
        <w:t>une violation des droits qu</w:t>
      </w:r>
      <w:r w:rsidR="00390237">
        <w:rPr>
          <w:lang w:val="fr-FR"/>
        </w:rPr>
        <w:t>’</w:t>
      </w:r>
      <w:r w:rsidRPr="002B6E68">
        <w:rPr>
          <w:lang w:val="fr-FR"/>
        </w:rPr>
        <w:t>il tient des articles</w:t>
      </w:r>
      <w:r w:rsidR="00C94921">
        <w:rPr>
          <w:lang w:val="fr-FR"/>
        </w:rPr>
        <w:t> </w:t>
      </w:r>
      <w:r w:rsidRPr="002B6E68">
        <w:rPr>
          <w:lang w:val="fr-FR"/>
        </w:rPr>
        <w:t>7 et 14 (par</w:t>
      </w:r>
      <w:r w:rsidRPr="00BA7980">
        <w:rPr>
          <w:lang w:val="fr-FR"/>
        </w:rPr>
        <w:t>.</w:t>
      </w:r>
      <w:r w:rsidR="00C94921">
        <w:rPr>
          <w:lang w:val="fr-FR"/>
        </w:rPr>
        <w:t> </w:t>
      </w:r>
      <w:r w:rsidRPr="002B6E68">
        <w:rPr>
          <w:lang w:val="fr-FR"/>
        </w:rPr>
        <w:t>1)</w:t>
      </w:r>
      <w:r>
        <w:rPr>
          <w:lang w:val="fr-FR"/>
        </w:rPr>
        <w:t xml:space="preserve">du Pacte, lus seuls et conjointement avec </w:t>
      </w:r>
      <w:r>
        <w:t>l</w:t>
      </w:r>
      <w:r w:rsidR="00390237">
        <w:t>’</w:t>
      </w:r>
      <w:r w:rsidRPr="004607CA">
        <w:t>article</w:t>
      </w:r>
      <w:r>
        <w:t> </w:t>
      </w:r>
      <w:r w:rsidRPr="004607CA">
        <w:t>2 (</w:t>
      </w:r>
      <w:r>
        <w:t>par. </w:t>
      </w:r>
      <w:r w:rsidRPr="004607CA">
        <w:t>3</w:t>
      </w:r>
      <w:r>
        <w:t> </w:t>
      </w:r>
      <w:r w:rsidRPr="004607CA">
        <w:t>a)</w:t>
      </w:r>
      <w:r>
        <w:t>)</w:t>
      </w:r>
      <w:r w:rsidRPr="00BA7980">
        <w:rPr>
          <w:lang w:val="fr-FR"/>
        </w:rPr>
        <w:t>.</w:t>
      </w:r>
    </w:p>
    <w:p w14:paraId="6E0B41B2" w14:textId="7DD2BCB3"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2</w:t>
      </w:r>
      <w:r w:rsidRPr="002B6E68">
        <w:rPr>
          <w:lang w:val="fr-FR"/>
        </w:rPr>
        <w:tab/>
        <w:t>L</w:t>
      </w:r>
      <w:r w:rsidR="00390237">
        <w:rPr>
          <w:lang w:val="fr-FR"/>
        </w:rPr>
        <w:t>’</w:t>
      </w:r>
      <w:r w:rsidRPr="002B6E68">
        <w:rPr>
          <w:lang w:val="fr-FR"/>
        </w:rPr>
        <w:t xml:space="preserve">auteur </w:t>
      </w:r>
      <w:r>
        <w:rPr>
          <w:lang w:val="fr-FR"/>
        </w:rPr>
        <w:t>affirme qu</w:t>
      </w:r>
      <w:r w:rsidR="00390237">
        <w:rPr>
          <w:lang w:val="fr-FR"/>
        </w:rPr>
        <w:t>’</w:t>
      </w:r>
      <w:r>
        <w:rPr>
          <w:lang w:val="fr-FR"/>
        </w:rPr>
        <w:t>il a été victime d</w:t>
      </w:r>
      <w:r w:rsidR="00390237">
        <w:rPr>
          <w:lang w:val="fr-FR"/>
        </w:rPr>
        <w:t>’</w:t>
      </w:r>
      <w:r>
        <w:rPr>
          <w:lang w:val="fr-FR"/>
        </w:rPr>
        <w:t xml:space="preserve">une </w:t>
      </w:r>
      <w:r w:rsidRPr="002B6E68">
        <w:rPr>
          <w:lang w:val="fr-FR"/>
        </w:rPr>
        <w:t>violation des droits qu</w:t>
      </w:r>
      <w:r w:rsidR="00390237">
        <w:rPr>
          <w:lang w:val="fr-FR"/>
        </w:rPr>
        <w:t>’</w:t>
      </w:r>
      <w:r w:rsidRPr="002B6E68">
        <w:rPr>
          <w:lang w:val="fr-FR"/>
        </w:rPr>
        <w:t>il tient de l</w:t>
      </w:r>
      <w:r w:rsidR="00390237">
        <w:rPr>
          <w:lang w:val="fr-FR"/>
        </w:rPr>
        <w:t>’</w:t>
      </w:r>
      <w:r w:rsidRPr="002B6E68">
        <w:rPr>
          <w:lang w:val="fr-FR"/>
        </w:rPr>
        <w:t>article</w:t>
      </w:r>
      <w:r>
        <w:rPr>
          <w:lang w:val="fr-FR"/>
        </w:rPr>
        <w:t> </w:t>
      </w:r>
      <w:r w:rsidRPr="002B6E68">
        <w:rPr>
          <w:lang w:val="fr-FR"/>
        </w:rPr>
        <w:t>7</w:t>
      </w:r>
      <w:r w:rsidRPr="00BD7D4D">
        <w:rPr>
          <w:lang w:val="fr-FR"/>
        </w:rPr>
        <w:t xml:space="preserve"> </w:t>
      </w:r>
      <w:r w:rsidRPr="002B6E68">
        <w:rPr>
          <w:lang w:val="fr-FR"/>
        </w:rPr>
        <w:t>du Pacte, lu seul et conjointement avec l</w:t>
      </w:r>
      <w:r w:rsidR="00390237">
        <w:rPr>
          <w:lang w:val="fr-FR"/>
        </w:rPr>
        <w:t>’</w:t>
      </w:r>
      <w:r w:rsidRPr="002B6E68">
        <w:rPr>
          <w:lang w:val="fr-FR"/>
        </w:rPr>
        <w:t>article</w:t>
      </w:r>
      <w:r>
        <w:rPr>
          <w:lang w:val="fr-FR"/>
        </w:rPr>
        <w:t> </w:t>
      </w:r>
      <w:r w:rsidRPr="002B6E68">
        <w:rPr>
          <w:lang w:val="fr-FR"/>
        </w:rPr>
        <w:t>2 (par</w:t>
      </w:r>
      <w:r w:rsidRPr="00BA7980">
        <w:rPr>
          <w:lang w:val="fr-FR"/>
        </w:rPr>
        <w:t>.</w:t>
      </w:r>
      <w:r>
        <w:rPr>
          <w:lang w:val="fr-FR"/>
        </w:rPr>
        <w:t> </w:t>
      </w:r>
      <w:r w:rsidRPr="002B6E68">
        <w:rPr>
          <w:lang w:val="fr-FR"/>
        </w:rPr>
        <w:t>3</w:t>
      </w:r>
      <w:r>
        <w:rPr>
          <w:lang w:val="fr-FR"/>
        </w:rPr>
        <w:t> a)</w:t>
      </w:r>
      <w:r w:rsidRPr="002B6E68">
        <w:rPr>
          <w:lang w:val="fr-FR"/>
        </w:rPr>
        <w:t>)</w:t>
      </w:r>
      <w:r w:rsidRPr="00BA7980">
        <w:rPr>
          <w:lang w:val="fr-FR"/>
        </w:rPr>
        <w:t>.</w:t>
      </w:r>
      <w:r w:rsidRPr="002B6E68">
        <w:rPr>
          <w:lang w:val="fr-FR"/>
        </w:rPr>
        <w:t xml:space="preserve"> Les contusions de l</w:t>
      </w:r>
      <w:r w:rsidR="00390237">
        <w:rPr>
          <w:lang w:val="fr-FR"/>
        </w:rPr>
        <w:t>’</w:t>
      </w:r>
      <w:r w:rsidRPr="002B6E68">
        <w:rPr>
          <w:lang w:val="fr-FR"/>
        </w:rPr>
        <w:t>auteur ont manifestement été causées par les policiers</w:t>
      </w:r>
      <w:r w:rsidRPr="00BA7980">
        <w:rPr>
          <w:lang w:val="fr-FR"/>
        </w:rPr>
        <w:t>.</w:t>
      </w:r>
      <w:r w:rsidRPr="002B6E68">
        <w:rPr>
          <w:lang w:val="fr-FR"/>
        </w:rPr>
        <w:t xml:space="preserve"> La gravité et le nombre des </w:t>
      </w:r>
      <w:r>
        <w:rPr>
          <w:lang w:val="fr-FR"/>
        </w:rPr>
        <w:t>lésions</w:t>
      </w:r>
      <w:r w:rsidRPr="002B6E68">
        <w:rPr>
          <w:lang w:val="fr-FR"/>
        </w:rPr>
        <w:t>, ainsi que l</w:t>
      </w:r>
      <w:r w:rsidR="00390237">
        <w:rPr>
          <w:lang w:val="fr-FR"/>
        </w:rPr>
        <w:t>’</w:t>
      </w:r>
      <w:r w:rsidRPr="002B6E68">
        <w:rPr>
          <w:lang w:val="fr-FR"/>
        </w:rPr>
        <w:t>intensité de la douleur et de la souffrance de l</w:t>
      </w:r>
      <w:r w:rsidR="00390237">
        <w:rPr>
          <w:lang w:val="fr-FR"/>
        </w:rPr>
        <w:t>’</w:t>
      </w:r>
      <w:r w:rsidRPr="002B6E68">
        <w:rPr>
          <w:lang w:val="fr-FR"/>
        </w:rPr>
        <w:t>auteur</w:t>
      </w:r>
      <w:r>
        <w:rPr>
          <w:lang w:val="fr-FR"/>
        </w:rPr>
        <w:t>,</w:t>
      </w:r>
      <w:r w:rsidRPr="002B6E68">
        <w:rPr>
          <w:lang w:val="fr-FR"/>
        </w:rPr>
        <w:t xml:space="preserve"> entrent dans le champ d</w:t>
      </w:r>
      <w:r w:rsidR="00390237">
        <w:rPr>
          <w:lang w:val="fr-FR"/>
        </w:rPr>
        <w:t>’</w:t>
      </w:r>
      <w:r w:rsidRPr="002B6E68">
        <w:rPr>
          <w:lang w:val="fr-FR"/>
        </w:rPr>
        <w:t xml:space="preserve">application </w:t>
      </w:r>
      <w:r w:rsidRPr="00454BD4">
        <w:rPr>
          <w:i/>
          <w:iCs/>
          <w:lang w:val="fr-FR"/>
        </w:rPr>
        <w:t>ratione materiae</w:t>
      </w:r>
      <w:r>
        <w:rPr>
          <w:lang w:val="fr-FR"/>
        </w:rPr>
        <w:t xml:space="preserve"> </w:t>
      </w:r>
      <w:r w:rsidRPr="002B6E68">
        <w:rPr>
          <w:lang w:val="fr-FR"/>
        </w:rPr>
        <w:t>de l</w:t>
      </w:r>
      <w:r w:rsidR="00390237">
        <w:rPr>
          <w:lang w:val="fr-FR"/>
        </w:rPr>
        <w:t>’</w:t>
      </w:r>
      <w:r w:rsidRPr="002B6E68">
        <w:rPr>
          <w:lang w:val="fr-FR"/>
        </w:rPr>
        <w:t>article 7 du Pacte</w:t>
      </w:r>
      <w:r w:rsidRPr="00BA7980">
        <w:rPr>
          <w:lang w:val="fr-FR"/>
        </w:rPr>
        <w:t>.</w:t>
      </w:r>
      <w:r w:rsidRPr="002B6E68">
        <w:rPr>
          <w:lang w:val="fr-FR"/>
        </w:rPr>
        <w:t xml:space="preserve"> Les policiers, sans raison légitime évidente, ont fait usage d</w:t>
      </w:r>
      <w:r w:rsidR="00390237">
        <w:rPr>
          <w:lang w:val="fr-FR"/>
        </w:rPr>
        <w:t>’</w:t>
      </w:r>
      <w:r w:rsidRPr="002B6E68">
        <w:rPr>
          <w:lang w:val="fr-FR"/>
        </w:rPr>
        <w:t>une force physique disproportionnée contre lui</w:t>
      </w:r>
      <w:r w:rsidRPr="00BA7980">
        <w:rPr>
          <w:lang w:val="fr-FR"/>
        </w:rPr>
        <w:t>.</w:t>
      </w:r>
      <w:r w:rsidRPr="002B6E68">
        <w:rPr>
          <w:lang w:val="fr-FR"/>
        </w:rPr>
        <w:t xml:space="preserve"> L</w:t>
      </w:r>
      <w:r w:rsidR="00390237">
        <w:rPr>
          <w:lang w:val="fr-FR"/>
        </w:rPr>
        <w:t>’</w:t>
      </w:r>
      <w:r w:rsidRPr="002B6E68">
        <w:rPr>
          <w:lang w:val="fr-FR"/>
        </w:rPr>
        <w:t>auteur affirme également que l</w:t>
      </w:r>
      <w:r w:rsidR="00390237">
        <w:rPr>
          <w:lang w:val="fr-FR"/>
        </w:rPr>
        <w:t>’</w:t>
      </w:r>
      <w:r w:rsidRPr="002B6E68">
        <w:rPr>
          <w:lang w:val="fr-FR"/>
        </w:rPr>
        <w:t xml:space="preserve">enquête </w:t>
      </w:r>
      <w:r>
        <w:rPr>
          <w:lang w:val="fr-FR"/>
        </w:rPr>
        <w:t xml:space="preserve">menée </w:t>
      </w:r>
      <w:r w:rsidRPr="002B6E68">
        <w:rPr>
          <w:lang w:val="fr-FR"/>
        </w:rPr>
        <w:t>sur ses allégations de violence</w:t>
      </w:r>
      <w:r>
        <w:rPr>
          <w:lang w:val="fr-FR"/>
        </w:rPr>
        <w:t>s</w:t>
      </w:r>
      <w:r w:rsidRPr="002B6E68">
        <w:rPr>
          <w:lang w:val="fr-FR"/>
        </w:rPr>
        <w:t xml:space="preserve"> policière</w:t>
      </w:r>
      <w:r>
        <w:rPr>
          <w:lang w:val="fr-FR"/>
        </w:rPr>
        <w:t>s</w:t>
      </w:r>
      <w:r w:rsidRPr="002B6E68">
        <w:rPr>
          <w:lang w:val="fr-FR"/>
        </w:rPr>
        <w:t xml:space="preserve"> n</w:t>
      </w:r>
      <w:r w:rsidR="00390237">
        <w:rPr>
          <w:lang w:val="fr-FR"/>
        </w:rPr>
        <w:t>’</w:t>
      </w:r>
      <w:r w:rsidRPr="002B6E68">
        <w:rPr>
          <w:lang w:val="fr-FR"/>
        </w:rPr>
        <w:t>a pas été efficace, en violation des normes internationales</w:t>
      </w:r>
      <w:r w:rsidRPr="00454BD4">
        <w:rPr>
          <w:rStyle w:val="Appelnotedebasdep"/>
        </w:rPr>
        <w:footnoteReference w:id="14"/>
      </w:r>
      <w:r w:rsidRPr="00BA7980">
        <w:rPr>
          <w:lang w:val="fr-FR"/>
        </w:rPr>
        <w:t>.</w:t>
      </w:r>
    </w:p>
    <w:p w14:paraId="40E44C90" w14:textId="6BD0E9B1"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3</w:t>
      </w:r>
      <w:r w:rsidRPr="002B6E68">
        <w:rPr>
          <w:lang w:val="fr-FR"/>
        </w:rPr>
        <w:tab/>
        <w:t>L</w:t>
      </w:r>
      <w:r w:rsidR="00390237">
        <w:rPr>
          <w:lang w:val="fr-FR"/>
        </w:rPr>
        <w:t>’</w:t>
      </w:r>
      <w:r w:rsidRPr="002B6E68">
        <w:rPr>
          <w:lang w:val="fr-FR"/>
        </w:rPr>
        <w:t>auteur</w:t>
      </w:r>
      <w:r>
        <w:rPr>
          <w:lang w:val="fr-FR"/>
        </w:rPr>
        <w:t xml:space="preserve"> invoque </w:t>
      </w:r>
      <w:r w:rsidRPr="002B6E68">
        <w:rPr>
          <w:lang w:val="fr-FR"/>
        </w:rPr>
        <w:t>la jurisprudence de la Cour européenne des droits de l</w:t>
      </w:r>
      <w:r w:rsidR="00390237">
        <w:rPr>
          <w:lang w:val="fr-FR"/>
        </w:rPr>
        <w:t>’</w:t>
      </w:r>
      <w:r w:rsidRPr="002B6E68">
        <w:rPr>
          <w:lang w:val="fr-FR"/>
        </w:rPr>
        <w:t>homme</w:t>
      </w:r>
      <w:r>
        <w:rPr>
          <w:lang w:val="fr-FR"/>
        </w:rPr>
        <w:t xml:space="preserve"> dans l</w:t>
      </w:r>
      <w:r w:rsidR="00390237">
        <w:rPr>
          <w:lang w:val="fr-FR"/>
        </w:rPr>
        <w:t>’</w:t>
      </w:r>
      <w:r>
        <w:rPr>
          <w:lang w:val="fr-FR"/>
        </w:rPr>
        <w:t xml:space="preserve">affaire </w:t>
      </w:r>
      <w:r w:rsidRPr="002B6E68">
        <w:rPr>
          <w:i/>
          <w:iCs/>
          <w:lang w:val="fr-FR"/>
        </w:rPr>
        <w:t>Assenov et autres c</w:t>
      </w:r>
      <w:r w:rsidRPr="00BA7980">
        <w:rPr>
          <w:i/>
          <w:iCs/>
          <w:lang w:val="fr-FR"/>
        </w:rPr>
        <w:t>.</w:t>
      </w:r>
      <w:r w:rsidRPr="002B6E68">
        <w:rPr>
          <w:i/>
          <w:iCs/>
          <w:lang w:val="fr-FR"/>
        </w:rPr>
        <w:t xml:space="preserve"> Bulgarie</w:t>
      </w:r>
      <w:r w:rsidRPr="002B6E68">
        <w:rPr>
          <w:lang w:val="fr-FR"/>
        </w:rPr>
        <w:t xml:space="preserve"> </w:t>
      </w:r>
      <w:r>
        <w:rPr>
          <w:lang w:val="fr-FR"/>
        </w:rPr>
        <w:t xml:space="preserve">pour faire valoir que, </w:t>
      </w:r>
      <w:r w:rsidRPr="002B6E68">
        <w:rPr>
          <w:lang w:val="fr-FR"/>
        </w:rPr>
        <w:t>lorsqu</w:t>
      </w:r>
      <w:r w:rsidR="00390237">
        <w:rPr>
          <w:lang w:val="fr-FR"/>
        </w:rPr>
        <w:t>’</w:t>
      </w:r>
      <w:r w:rsidRPr="002B6E68">
        <w:rPr>
          <w:lang w:val="fr-FR"/>
        </w:rPr>
        <w:t xml:space="preserve">une personne </w:t>
      </w:r>
      <w:r>
        <w:rPr>
          <w:lang w:val="fr-FR"/>
        </w:rPr>
        <w:t xml:space="preserve">allègue </w:t>
      </w:r>
      <w:r w:rsidRPr="002B6E68">
        <w:rPr>
          <w:lang w:val="fr-FR"/>
        </w:rPr>
        <w:t xml:space="preserve">avoir subi des mauvais traitements aux mains de la police, </w:t>
      </w:r>
      <w:r>
        <w:rPr>
          <w:lang w:val="fr-FR"/>
        </w:rPr>
        <w:t xml:space="preserve">les prescriptions </w:t>
      </w:r>
      <w:r w:rsidRPr="002B6E68">
        <w:rPr>
          <w:lang w:val="fr-FR"/>
        </w:rPr>
        <w:t>procédurale</w:t>
      </w:r>
      <w:r>
        <w:rPr>
          <w:lang w:val="fr-FR"/>
        </w:rPr>
        <w:t>s</w:t>
      </w:r>
      <w:r w:rsidRPr="002B6E68">
        <w:rPr>
          <w:lang w:val="fr-FR"/>
        </w:rPr>
        <w:t xml:space="preserve"> qui découle</w:t>
      </w:r>
      <w:r>
        <w:rPr>
          <w:lang w:val="fr-FR"/>
        </w:rPr>
        <w:t>nt</w:t>
      </w:r>
      <w:r w:rsidRPr="002B6E68">
        <w:rPr>
          <w:lang w:val="fr-FR"/>
        </w:rPr>
        <w:t xml:space="preserve"> de l</w:t>
      </w:r>
      <w:r w:rsidR="00390237">
        <w:rPr>
          <w:lang w:val="fr-FR"/>
        </w:rPr>
        <w:t>’</w:t>
      </w:r>
      <w:r w:rsidRPr="002B6E68">
        <w:rPr>
          <w:lang w:val="fr-FR"/>
        </w:rPr>
        <w:t>article</w:t>
      </w:r>
      <w:r>
        <w:rPr>
          <w:lang w:val="fr-FR"/>
        </w:rPr>
        <w:t> </w:t>
      </w:r>
      <w:r w:rsidRPr="002B6E68">
        <w:rPr>
          <w:lang w:val="fr-FR"/>
        </w:rPr>
        <w:t xml:space="preserve">3 de la </w:t>
      </w:r>
      <w:r w:rsidRPr="000120EC">
        <w:rPr>
          <w:lang w:val="fr-FR"/>
        </w:rPr>
        <w:t>Convention de sauvegarde des droits de l</w:t>
      </w:r>
      <w:r w:rsidR="00390237">
        <w:rPr>
          <w:lang w:val="fr-FR"/>
        </w:rPr>
        <w:t>’</w:t>
      </w:r>
      <w:r w:rsidRPr="000120EC">
        <w:rPr>
          <w:lang w:val="fr-FR"/>
        </w:rPr>
        <w:t>homme et des libertés fondamentales</w:t>
      </w:r>
      <w:r w:rsidRPr="000120EC" w:rsidDel="000120EC">
        <w:rPr>
          <w:lang w:val="fr-FR"/>
        </w:rPr>
        <w:t xml:space="preserve"> </w:t>
      </w:r>
      <w:r>
        <w:rPr>
          <w:lang w:val="fr-FR"/>
        </w:rPr>
        <w:t xml:space="preserve">impliquent </w:t>
      </w:r>
      <w:r w:rsidRPr="002B6E68">
        <w:rPr>
          <w:lang w:val="fr-FR"/>
        </w:rPr>
        <w:t>l</w:t>
      </w:r>
      <w:r w:rsidR="00390237">
        <w:rPr>
          <w:lang w:val="fr-FR"/>
        </w:rPr>
        <w:t>’</w:t>
      </w:r>
      <w:r w:rsidRPr="002B6E68">
        <w:rPr>
          <w:lang w:val="fr-FR"/>
        </w:rPr>
        <w:t>obligation de mener une enquête officielle effective</w:t>
      </w:r>
      <w:r w:rsidRPr="00454BD4">
        <w:rPr>
          <w:rStyle w:val="Appelnotedebasdep"/>
        </w:rPr>
        <w:footnoteReference w:id="15"/>
      </w:r>
      <w:r>
        <w:rPr>
          <w:lang w:val="fr-FR"/>
        </w:rPr>
        <w:t>.</w:t>
      </w:r>
      <w:r w:rsidRPr="002B6E68">
        <w:rPr>
          <w:lang w:val="fr-FR"/>
        </w:rPr>
        <w:t xml:space="preserve"> </w:t>
      </w:r>
      <w:r>
        <w:rPr>
          <w:lang w:val="fr-FR"/>
        </w:rPr>
        <w:t>La Cour a indiqué que cette enquête, à l</w:t>
      </w:r>
      <w:r w:rsidR="00390237">
        <w:rPr>
          <w:lang w:val="fr-FR"/>
        </w:rPr>
        <w:t>’</w:t>
      </w:r>
      <w:r>
        <w:rPr>
          <w:lang w:val="fr-FR"/>
        </w:rPr>
        <w:t xml:space="preserve">instar de celle résultant de </w:t>
      </w:r>
      <w:r w:rsidRPr="002B6E68">
        <w:rPr>
          <w:lang w:val="fr-FR"/>
        </w:rPr>
        <w:t>l</w:t>
      </w:r>
      <w:r w:rsidR="00390237">
        <w:rPr>
          <w:lang w:val="fr-FR"/>
        </w:rPr>
        <w:t>’</w:t>
      </w:r>
      <w:r w:rsidRPr="002B6E68">
        <w:rPr>
          <w:lang w:val="fr-FR"/>
        </w:rPr>
        <w:t>article 2, doit pouvoir mener à l</w:t>
      </w:r>
      <w:r w:rsidR="00390237">
        <w:rPr>
          <w:lang w:val="fr-FR"/>
        </w:rPr>
        <w:t>’</w:t>
      </w:r>
      <w:r w:rsidRPr="002B6E68">
        <w:rPr>
          <w:lang w:val="fr-FR"/>
        </w:rPr>
        <w:t>identification et à la punition des responsables</w:t>
      </w:r>
      <w:r w:rsidRPr="00BA7980">
        <w:rPr>
          <w:lang w:val="fr-FR"/>
        </w:rPr>
        <w:t>.</w:t>
      </w:r>
      <w:r w:rsidRPr="002B6E68">
        <w:rPr>
          <w:lang w:val="fr-FR"/>
        </w:rPr>
        <w:t xml:space="preserve"> </w:t>
      </w:r>
      <w:r>
        <w:rPr>
          <w:lang w:val="fr-FR"/>
        </w:rPr>
        <w:t>L</w:t>
      </w:r>
      <w:r w:rsidR="00390237">
        <w:rPr>
          <w:lang w:val="fr-FR"/>
        </w:rPr>
        <w:t>’</w:t>
      </w:r>
      <w:r>
        <w:rPr>
          <w:lang w:val="fr-FR"/>
        </w:rPr>
        <w:t xml:space="preserve">auteur renvoie </w:t>
      </w:r>
      <w:r w:rsidRPr="002B6E68">
        <w:rPr>
          <w:lang w:val="fr-FR"/>
        </w:rPr>
        <w:t>également au paragraphe</w:t>
      </w:r>
      <w:r w:rsidR="00C94921">
        <w:rPr>
          <w:lang w:val="fr-FR"/>
        </w:rPr>
        <w:t> </w:t>
      </w:r>
      <w:r w:rsidRPr="002B6E68">
        <w:rPr>
          <w:lang w:val="fr-FR"/>
        </w:rPr>
        <w:t xml:space="preserve">117 du même arrêt, </w:t>
      </w:r>
      <w:r>
        <w:rPr>
          <w:lang w:val="fr-FR"/>
        </w:rPr>
        <w:t xml:space="preserve">dans lequel </w:t>
      </w:r>
      <w:r w:rsidRPr="002B6E68">
        <w:rPr>
          <w:lang w:val="fr-FR"/>
        </w:rPr>
        <w:t>la Cour rappelle que l</w:t>
      </w:r>
      <w:r w:rsidR="00390237">
        <w:rPr>
          <w:lang w:val="fr-FR"/>
        </w:rPr>
        <w:t>’</w:t>
      </w:r>
      <w:r w:rsidRPr="002B6E68">
        <w:rPr>
          <w:lang w:val="fr-FR"/>
        </w:rPr>
        <w:t>article</w:t>
      </w:r>
      <w:r w:rsidR="00C94921">
        <w:rPr>
          <w:lang w:val="fr-FR"/>
        </w:rPr>
        <w:t> </w:t>
      </w:r>
      <w:r w:rsidRPr="002B6E68">
        <w:rPr>
          <w:lang w:val="fr-FR"/>
        </w:rPr>
        <w:t>13 garantit l</w:t>
      </w:r>
      <w:r w:rsidR="00390237">
        <w:rPr>
          <w:lang w:val="fr-FR"/>
        </w:rPr>
        <w:t>’</w:t>
      </w:r>
      <w:r w:rsidRPr="002B6E68">
        <w:rPr>
          <w:lang w:val="fr-FR"/>
        </w:rPr>
        <w:t>existence en droit interne d</w:t>
      </w:r>
      <w:r w:rsidR="00390237">
        <w:rPr>
          <w:lang w:val="fr-FR"/>
        </w:rPr>
        <w:t>’</w:t>
      </w:r>
      <w:r w:rsidRPr="002B6E68">
        <w:rPr>
          <w:lang w:val="fr-FR"/>
        </w:rPr>
        <w:t>un recours permettant de s</w:t>
      </w:r>
      <w:r w:rsidR="00390237">
        <w:rPr>
          <w:lang w:val="fr-FR"/>
        </w:rPr>
        <w:t>’</w:t>
      </w:r>
      <w:r w:rsidRPr="002B6E68">
        <w:rPr>
          <w:lang w:val="fr-FR"/>
        </w:rPr>
        <w:t>y prévaloir des droits et libertés de la Convention, tels qu</w:t>
      </w:r>
      <w:r w:rsidR="00390237">
        <w:rPr>
          <w:lang w:val="fr-FR"/>
        </w:rPr>
        <w:t>’</w:t>
      </w:r>
      <w:r w:rsidRPr="002B6E68">
        <w:rPr>
          <w:lang w:val="fr-FR"/>
        </w:rPr>
        <w:t>ils peuvent s</w:t>
      </w:r>
      <w:r w:rsidR="00390237">
        <w:rPr>
          <w:lang w:val="fr-FR"/>
        </w:rPr>
        <w:t>’</w:t>
      </w:r>
      <w:r w:rsidRPr="002B6E68">
        <w:rPr>
          <w:lang w:val="fr-FR"/>
        </w:rPr>
        <w:t>y trouver consacrés</w:t>
      </w:r>
      <w:r w:rsidRPr="00BA7980">
        <w:rPr>
          <w:lang w:val="fr-FR"/>
        </w:rPr>
        <w:t>.</w:t>
      </w:r>
      <w:r w:rsidRPr="002B6E68">
        <w:rPr>
          <w:lang w:val="fr-FR"/>
        </w:rPr>
        <w:t xml:space="preserve"> Cette disposition a donc pour effet d</w:t>
      </w:r>
      <w:r w:rsidR="00390237">
        <w:rPr>
          <w:lang w:val="fr-FR"/>
        </w:rPr>
        <w:t>’</w:t>
      </w:r>
      <w:r w:rsidRPr="002B6E68">
        <w:rPr>
          <w:lang w:val="fr-FR"/>
        </w:rPr>
        <w:t>exiger un recours interne habilitant l</w:t>
      </w:r>
      <w:r w:rsidR="00390237">
        <w:rPr>
          <w:lang w:val="fr-FR"/>
        </w:rPr>
        <w:t>’</w:t>
      </w:r>
      <w:r w:rsidRPr="002B6E68">
        <w:rPr>
          <w:lang w:val="fr-FR"/>
        </w:rPr>
        <w:t>instance nationale compétente à connaître du contenu du grief fondé sur la Convention et à offrir le redressement approprié, même si les États contractants jouissent d</w:t>
      </w:r>
      <w:r w:rsidR="00390237">
        <w:rPr>
          <w:lang w:val="fr-FR"/>
        </w:rPr>
        <w:t>’</w:t>
      </w:r>
      <w:r w:rsidRPr="002B6E68">
        <w:rPr>
          <w:lang w:val="fr-FR"/>
        </w:rPr>
        <w:t>une certaine marge d</w:t>
      </w:r>
      <w:r w:rsidR="00390237">
        <w:rPr>
          <w:lang w:val="fr-FR"/>
        </w:rPr>
        <w:t>’</w:t>
      </w:r>
      <w:r w:rsidRPr="002B6E68">
        <w:rPr>
          <w:lang w:val="fr-FR"/>
        </w:rPr>
        <w:t>appréciation quant à la manière de se conformer aux obligations que leur fait cette disposition</w:t>
      </w:r>
      <w:r w:rsidRPr="00BA7980">
        <w:rPr>
          <w:lang w:val="fr-FR"/>
        </w:rPr>
        <w:t>.</w:t>
      </w:r>
      <w:r w:rsidRPr="002B6E68">
        <w:rPr>
          <w:lang w:val="fr-FR"/>
        </w:rPr>
        <w:t xml:space="preserve"> La portée de l</w:t>
      </w:r>
      <w:r w:rsidR="00390237">
        <w:rPr>
          <w:lang w:val="fr-FR"/>
        </w:rPr>
        <w:t>’</w:t>
      </w:r>
      <w:r w:rsidRPr="002B6E68">
        <w:rPr>
          <w:lang w:val="fr-FR"/>
        </w:rPr>
        <w:t>obligation découlant de l</w:t>
      </w:r>
      <w:r w:rsidR="00390237">
        <w:rPr>
          <w:lang w:val="fr-FR"/>
        </w:rPr>
        <w:t>’</w:t>
      </w:r>
      <w:r w:rsidRPr="002B6E68">
        <w:rPr>
          <w:lang w:val="fr-FR"/>
        </w:rPr>
        <w:t>article</w:t>
      </w:r>
      <w:r w:rsidR="00C94921">
        <w:rPr>
          <w:lang w:val="fr-FR"/>
        </w:rPr>
        <w:t> </w:t>
      </w:r>
      <w:r w:rsidRPr="002B6E68">
        <w:rPr>
          <w:lang w:val="fr-FR"/>
        </w:rPr>
        <w:t>13 varie en fonction de la nature du grief que le requérant fonde sur la Convention</w:t>
      </w:r>
      <w:r w:rsidRPr="00BA7980">
        <w:rPr>
          <w:lang w:val="fr-FR"/>
        </w:rPr>
        <w:t>.</w:t>
      </w:r>
      <w:r w:rsidRPr="002B6E68">
        <w:rPr>
          <w:lang w:val="fr-FR"/>
        </w:rPr>
        <w:t xml:space="preserve"> Lorsqu</w:t>
      </w:r>
      <w:r w:rsidR="00390237">
        <w:rPr>
          <w:lang w:val="fr-FR"/>
        </w:rPr>
        <w:t>’</w:t>
      </w:r>
      <w:r w:rsidRPr="002B6E68">
        <w:rPr>
          <w:lang w:val="fr-FR"/>
        </w:rPr>
        <w:t>un individu formule une allégation défendable de sévices contraires à l</w:t>
      </w:r>
      <w:r w:rsidR="00390237">
        <w:rPr>
          <w:lang w:val="fr-FR"/>
        </w:rPr>
        <w:t>’</w:t>
      </w:r>
      <w:r w:rsidRPr="002B6E68">
        <w:rPr>
          <w:lang w:val="fr-FR"/>
        </w:rPr>
        <w:t>article</w:t>
      </w:r>
      <w:r w:rsidR="00C94921">
        <w:rPr>
          <w:lang w:val="fr-FR"/>
        </w:rPr>
        <w:t> </w:t>
      </w:r>
      <w:r w:rsidRPr="002B6E68">
        <w:rPr>
          <w:lang w:val="fr-FR"/>
        </w:rPr>
        <w:t>3, la notion de recours effectif implique, outre une enquête approfondie et effective du type de celle qu</w:t>
      </w:r>
      <w:r w:rsidR="00390237">
        <w:rPr>
          <w:lang w:val="fr-FR"/>
        </w:rPr>
        <w:t>’</w:t>
      </w:r>
      <w:r w:rsidRPr="002B6E68">
        <w:rPr>
          <w:lang w:val="fr-FR"/>
        </w:rPr>
        <w:t>exige l</w:t>
      </w:r>
      <w:r w:rsidR="00390237">
        <w:rPr>
          <w:lang w:val="fr-FR"/>
        </w:rPr>
        <w:t>’</w:t>
      </w:r>
      <w:r w:rsidRPr="002B6E68">
        <w:rPr>
          <w:lang w:val="fr-FR"/>
        </w:rPr>
        <w:t>article</w:t>
      </w:r>
      <w:r w:rsidR="00C94921">
        <w:rPr>
          <w:lang w:val="fr-FR"/>
        </w:rPr>
        <w:t> </w:t>
      </w:r>
      <w:r w:rsidRPr="002B6E68">
        <w:rPr>
          <w:lang w:val="fr-FR"/>
        </w:rPr>
        <w:t>3, un accès effectif du plaignant à la procédure d</w:t>
      </w:r>
      <w:r w:rsidR="00390237">
        <w:rPr>
          <w:lang w:val="fr-FR"/>
        </w:rPr>
        <w:t>’</w:t>
      </w:r>
      <w:r w:rsidRPr="002B6E68">
        <w:rPr>
          <w:lang w:val="fr-FR"/>
        </w:rPr>
        <w:t>enquête et le versement d</w:t>
      </w:r>
      <w:r w:rsidR="00390237">
        <w:rPr>
          <w:lang w:val="fr-FR"/>
        </w:rPr>
        <w:t>’</w:t>
      </w:r>
      <w:r w:rsidRPr="002B6E68">
        <w:rPr>
          <w:lang w:val="fr-FR"/>
        </w:rPr>
        <w:t xml:space="preserve">une indemnité là où il </w:t>
      </w:r>
      <w:r w:rsidRPr="004E6A3E">
        <w:rPr>
          <w:lang w:val="fr-FR"/>
        </w:rPr>
        <w:t>échet</w:t>
      </w:r>
      <w:r w:rsidRPr="00BA7980">
        <w:rPr>
          <w:lang w:val="fr-FR"/>
        </w:rPr>
        <w:t>.</w:t>
      </w:r>
    </w:p>
    <w:p w14:paraId="115A16BE" w14:textId="5FABD5BD"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4</w:t>
      </w:r>
      <w:r w:rsidRPr="002B6E68">
        <w:rPr>
          <w:lang w:val="fr-FR"/>
        </w:rPr>
        <w:tab/>
        <w:t>L</w:t>
      </w:r>
      <w:r w:rsidR="00390237">
        <w:rPr>
          <w:lang w:val="fr-FR"/>
        </w:rPr>
        <w:t>’</w:t>
      </w:r>
      <w:r w:rsidRPr="002B6E68">
        <w:rPr>
          <w:lang w:val="fr-FR"/>
        </w:rPr>
        <w:t xml:space="preserve">auteur </w:t>
      </w:r>
      <w:r>
        <w:rPr>
          <w:lang w:val="fr-FR"/>
        </w:rPr>
        <w:t xml:space="preserve">renvoie </w:t>
      </w:r>
      <w:r w:rsidRPr="002B6E68">
        <w:rPr>
          <w:lang w:val="fr-FR"/>
        </w:rPr>
        <w:t>également au paragraphe 140 de l</w:t>
      </w:r>
      <w:r w:rsidR="00390237">
        <w:rPr>
          <w:lang w:val="fr-FR"/>
        </w:rPr>
        <w:t>’</w:t>
      </w:r>
      <w:r w:rsidRPr="002B6E68">
        <w:rPr>
          <w:lang w:val="fr-FR"/>
        </w:rPr>
        <w:t>arrêt rendu par la Cour européenne des droits de l</w:t>
      </w:r>
      <w:r w:rsidR="00390237">
        <w:rPr>
          <w:lang w:val="fr-FR"/>
        </w:rPr>
        <w:t>’</w:t>
      </w:r>
      <w:r w:rsidRPr="002B6E68">
        <w:rPr>
          <w:lang w:val="fr-FR"/>
        </w:rPr>
        <w:t>homme dans l</w:t>
      </w:r>
      <w:r w:rsidR="00390237">
        <w:rPr>
          <w:lang w:val="fr-FR"/>
        </w:rPr>
        <w:t>’</w:t>
      </w:r>
      <w:r w:rsidRPr="002B6E68">
        <w:rPr>
          <w:lang w:val="fr-FR"/>
        </w:rPr>
        <w:t xml:space="preserve">affaire </w:t>
      </w:r>
      <w:r w:rsidRPr="002B6E68">
        <w:rPr>
          <w:i/>
          <w:iCs/>
          <w:lang w:val="fr-FR"/>
        </w:rPr>
        <w:t>Anguelova c</w:t>
      </w:r>
      <w:r w:rsidRPr="00BA7980">
        <w:rPr>
          <w:i/>
          <w:iCs/>
          <w:lang w:val="fr-FR"/>
        </w:rPr>
        <w:t>.</w:t>
      </w:r>
      <w:r w:rsidRPr="002B6E68">
        <w:rPr>
          <w:i/>
          <w:iCs/>
          <w:lang w:val="fr-FR"/>
        </w:rPr>
        <w:t xml:space="preserve"> Bulgarie</w:t>
      </w:r>
      <w:r w:rsidRPr="002B6E68">
        <w:rPr>
          <w:lang w:val="fr-FR"/>
        </w:rPr>
        <w:t xml:space="preserve">, dans lequel la Cour a déclaré </w:t>
      </w:r>
      <w:r>
        <w:rPr>
          <w:lang w:val="fr-FR"/>
        </w:rPr>
        <w:t>que l</w:t>
      </w:r>
      <w:r w:rsidRPr="002B6E68">
        <w:rPr>
          <w:lang w:val="fr-FR"/>
        </w:rPr>
        <w:t xml:space="preserve">e public </w:t>
      </w:r>
      <w:r>
        <w:rPr>
          <w:lang w:val="fr-FR"/>
        </w:rPr>
        <w:t xml:space="preserve">devait </w:t>
      </w:r>
      <w:r w:rsidRPr="002B6E68">
        <w:rPr>
          <w:lang w:val="fr-FR"/>
        </w:rPr>
        <w:t>avoir un droit de regard suffisant sur l</w:t>
      </w:r>
      <w:r w:rsidR="00390237">
        <w:rPr>
          <w:lang w:val="fr-FR"/>
        </w:rPr>
        <w:t>’</w:t>
      </w:r>
      <w:r w:rsidRPr="002B6E68">
        <w:rPr>
          <w:lang w:val="fr-FR"/>
        </w:rPr>
        <w:t>enquête ou sur ses conclusions de sorte qu</w:t>
      </w:r>
      <w:r w:rsidR="00390237">
        <w:rPr>
          <w:lang w:val="fr-FR"/>
        </w:rPr>
        <w:t>’</w:t>
      </w:r>
      <w:r w:rsidRPr="002B6E68">
        <w:rPr>
          <w:lang w:val="fr-FR"/>
        </w:rPr>
        <w:t>il puisse y avoir mise en cause de la responsabilité tant en pratique qu</w:t>
      </w:r>
      <w:r w:rsidR="00390237">
        <w:rPr>
          <w:lang w:val="fr-FR"/>
        </w:rPr>
        <w:t>’</w:t>
      </w:r>
      <w:r w:rsidRPr="002B6E68">
        <w:rPr>
          <w:lang w:val="fr-FR"/>
        </w:rPr>
        <w:t>en théorie, préservation de la confiance du public dans le respect par les autorités de la prééminence du droit, et prévention de toute apparence de complicité ou de tolérance relativement à des actes illégaux</w:t>
      </w:r>
      <w:r w:rsidRPr="00BA7980">
        <w:rPr>
          <w:lang w:val="fr-FR"/>
        </w:rPr>
        <w:t>.</w:t>
      </w:r>
      <w:r w:rsidRPr="002B6E68">
        <w:rPr>
          <w:lang w:val="fr-FR"/>
        </w:rPr>
        <w:t xml:space="preserve"> Le degré requis de contrôle du public </w:t>
      </w:r>
      <w:r>
        <w:rPr>
          <w:lang w:val="fr-FR"/>
        </w:rPr>
        <w:t xml:space="preserve">pouvait </w:t>
      </w:r>
      <w:r w:rsidRPr="002B6E68">
        <w:rPr>
          <w:lang w:val="fr-FR"/>
        </w:rPr>
        <w:t>varier d</w:t>
      </w:r>
      <w:r w:rsidR="00390237">
        <w:rPr>
          <w:lang w:val="fr-FR"/>
        </w:rPr>
        <w:t>’</w:t>
      </w:r>
      <w:r w:rsidRPr="002B6E68">
        <w:rPr>
          <w:lang w:val="fr-FR"/>
        </w:rPr>
        <w:t>une situation à l</w:t>
      </w:r>
      <w:r w:rsidR="00390237">
        <w:rPr>
          <w:lang w:val="fr-FR"/>
        </w:rPr>
        <w:t>’</w:t>
      </w:r>
      <w:r w:rsidRPr="002B6E68">
        <w:rPr>
          <w:lang w:val="fr-FR"/>
        </w:rPr>
        <w:t>autre</w:t>
      </w:r>
      <w:r w:rsidRPr="00454BD4">
        <w:rPr>
          <w:rStyle w:val="Appelnotedebasdep"/>
        </w:rPr>
        <w:footnoteReference w:id="16"/>
      </w:r>
      <w:r w:rsidRPr="00BA7980">
        <w:rPr>
          <w:lang w:val="fr-FR"/>
        </w:rPr>
        <w:t>.</w:t>
      </w:r>
    </w:p>
    <w:p w14:paraId="4827361D" w14:textId="02FB38A1"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5</w:t>
      </w:r>
      <w:r w:rsidRPr="002B6E68">
        <w:rPr>
          <w:lang w:val="fr-FR"/>
        </w:rPr>
        <w:tab/>
        <w:t>L</w:t>
      </w:r>
      <w:r w:rsidR="00390237">
        <w:rPr>
          <w:lang w:val="fr-FR"/>
        </w:rPr>
        <w:t>’</w:t>
      </w:r>
      <w:r w:rsidRPr="002B6E68">
        <w:rPr>
          <w:lang w:val="fr-FR"/>
        </w:rPr>
        <w:t>auteur affirme, par analogie, que l</w:t>
      </w:r>
      <w:r w:rsidR="00390237">
        <w:rPr>
          <w:lang w:val="fr-FR"/>
        </w:rPr>
        <w:t>’</w:t>
      </w:r>
      <w:r w:rsidRPr="002B6E68">
        <w:rPr>
          <w:lang w:val="fr-FR"/>
        </w:rPr>
        <w:t xml:space="preserve">enquête sur </w:t>
      </w:r>
      <w:r>
        <w:rPr>
          <w:lang w:val="fr-FR"/>
        </w:rPr>
        <w:t>s</w:t>
      </w:r>
      <w:r w:rsidRPr="002B6E68">
        <w:rPr>
          <w:lang w:val="fr-FR"/>
        </w:rPr>
        <w:t>es allégations de violences aux mains des policiers n</w:t>
      </w:r>
      <w:r w:rsidR="00390237">
        <w:rPr>
          <w:lang w:val="fr-FR"/>
        </w:rPr>
        <w:t>’</w:t>
      </w:r>
      <w:r w:rsidRPr="002B6E68">
        <w:rPr>
          <w:lang w:val="fr-FR"/>
        </w:rPr>
        <w:t xml:space="preserve">a pas été effective et ne visait pas à identifier </w:t>
      </w:r>
      <w:r>
        <w:rPr>
          <w:lang w:val="fr-FR"/>
        </w:rPr>
        <w:t xml:space="preserve">ceux-ci </w:t>
      </w:r>
      <w:r w:rsidRPr="002B6E68">
        <w:rPr>
          <w:lang w:val="fr-FR"/>
        </w:rPr>
        <w:t>afin d</w:t>
      </w:r>
      <w:r w:rsidR="00390237">
        <w:rPr>
          <w:lang w:val="fr-FR"/>
        </w:rPr>
        <w:t>’</w:t>
      </w:r>
      <w:r w:rsidRPr="002B6E68">
        <w:rPr>
          <w:lang w:val="fr-FR"/>
        </w:rPr>
        <w:t>engager leur responsabilité pénale</w:t>
      </w:r>
      <w:r w:rsidRPr="00BA7980">
        <w:rPr>
          <w:lang w:val="fr-FR"/>
        </w:rPr>
        <w:t>.</w:t>
      </w:r>
      <w:r w:rsidRPr="002B6E68">
        <w:rPr>
          <w:lang w:val="fr-FR"/>
        </w:rPr>
        <w:t xml:space="preserve"> </w:t>
      </w:r>
      <w:r>
        <w:rPr>
          <w:lang w:val="fr-FR"/>
        </w:rPr>
        <w:t>D</w:t>
      </w:r>
      <w:r w:rsidR="00390237">
        <w:rPr>
          <w:lang w:val="fr-FR"/>
        </w:rPr>
        <w:t>’</w:t>
      </w:r>
      <w:r>
        <w:rPr>
          <w:lang w:val="fr-FR"/>
        </w:rPr>
        <w:t>une part, l</w:t>
      </w:r>
      <w:r w:rsidR="00390237">
        <w:rPr>
          <w:lang w:val="fr-FR"/>
        </w:rPr>
        <w:t>’</w:t>
      </w:r>
      <w:r>
        <w:rPr>
          <w:lang w:val="fr-FR"/>
        </w:rPr>
        <w:t xml:space="preserve">auteur </w:t>
      </w:r>
      <w:r w:rsidRPr="002B6E68">
        <w:rPr>
          <w:lang w:val="fr-FR"/>
        </w:rPr>
        <w:t>n</w:t>
      </w:r>
      <w:r w:rsidR="00390237">
        <w:rPr>
          <w:lang w:val="fr-FR"/>
        </w:rPr>
        <w:t>’</w:t>
      </w:r>
      <w:r w:rsidRPr="002B6E68">
        <w:rPr>
          <w:lang w:val="fr-FR"/>
        </w:rPr>
        <w:t>a pas eu un accès effectif à l</w:t>
      </w:r>
      <w:r w:rsidR="00390237">
        <w:rPr>
          <w:lang w:val="fr-FR"/>
        </w:rPr>
        <w:t>’</w:t>
      </w:r>
      <w:r w:rsidRPr="002B6E68">
        <w:rPr>
          <w:lang w:val="fr-FR"/>
        </w:rPr>
        <w:t xml:space="preserve">enquête pendant </w:t>
      </w:r>
      <w:r>
        <w:rPr>
          <w:lang w:val="fr-FR"/>
        </w:rPr>
        <w:t>l</w:t>
      </w:r>
      <w:r w:rsidR="00390237">
        <w:rPr>
          <w:lang w:val="fr-FR"/>
        </w:rPr>
        <w:t>’</w:t>
      </w:r>
      <w:r>
        <w:rPr>
          <w:lang w:val="fr-FR"/>
        </w:rPr>
        <w:t>instruction</w:t>
      </w:r>
      <w:r w:rsidRPr="00BA7980">
        <w:rPr>
          <w:lang w:val="fr-FR"/>
        </w:rPr>
        <w:t>.</w:t>
      </w:r>
      <w:r w:rsidRPr="002B6E68">
        <w:rPr>
          <w:lang w:val="fr-FR"/>
        </w:rPr>
        <w:t xml:space="preserve"> Il n</w:t>
      </w:r>
      <w:r w:rsidR="00390237">
        <w:rPr>
          <w:lang w:val="fr-FR"/>
        </w:rPr>
        <w:t>’</w:t>
      </w:r>
      <w:r w:rsidRPr="002B6E68">
        <w:rPr>
          <w:lang w:val="fr-FR"/>
        </w:rPr>
        <w:t xml:space="preserve">a pas pu participer aux interrogatoires des deux policiers accusés ni des témoins </w:t>
      </w:r>
      <w:r>
        <w:rPr>
          <w:lang w:val="fr-FR"/>
        </w:rPr>
        <w:t xml:space="preserve">cités </w:t>
      </w:r>
      <w:r w:rsidRPr="002B6E68">
        <w:rPr>
          <w:lang w:val="fr-FR"/>
        </w:rPr>
        <w:t>par ceux-ci</w:t>
      </w:r>
      <w:r w:rsidRPr="00BA7980">
        <w:rPr>
          <w:lang w:val="fr-FR"/>
        </w:rPr>
        <w:t>.</w:t>
      </w:r>
      <w:r w:rsidRPr="002B6E68">
        <w:rPr>
          <w:lang w:val="fr-FR"/>
        </w:rPr>
        <w:t xml:space="preserve"> Le Code de procédure pénale ne prévoit même pas</w:t>
      </w:r>
      <w:r>
        <w:rPr>
          <w:lang w:val="fr-FR"/>
        </w:rPr>
        <w:t>,</w:t>
      </w:r>
      <w:r w:rsidRPr="002B6E68">
        <w:rPr>
          <w:lang w:val="fr-FR"/>
        </w:rPr>
        <w:t xml:space="preserve"> </w:t>
      </w:r>
      <w:r>
        <w:rPr>
          <w:lang w:val="fr-FR"/>
        </w:rPr>
        <w:t xml:space="preserve">au bénéfice de </w:t>
      </w:r>
      <w:r w:rsidRPr="002B6E68">
        <w:rPr>
          <w:lang w:val="fr-FR"/>
        </w:rPr>
        <w:t>la victime</w:t>
      </w:r>
      <w:r>
        <w:rPr>
          <w:lang w:val="fr-FR"/>
        </w:rPr>
        <w:t>,</w:t>
      </w:r>
      <w:r w:rsidRPr="002B6E68">
        <w:rPr>
          <w:lang w:val="fr-FR"/>
        </w:rPr>
        <w:t xml:space="preserve"> </w:t>
      </w:r>
      <w:r>
        <w:rPr>
          <w:lang w:val="fr-FR"/>
        </w:rPr>
        <w:t>d</w:t>
      </w:r>
      <w:r w:rsidR="00390237">
        <w:rPr>
          <w:lang w:val="fr-FR"/>
        </w:rPr>
        <w:t>’</w:t>
      </w:r>
      <w:r>
        <w:rPr>
          <w:lang w:val="fr-FR"/>
        </w:rPr>
        <w:t>initiatives ou d</w:t>
      </w:r>
      <w:r w:rsidR="00390237">
        <w:rPr>
          <w:lang w:val="fr-FR"/>
        </w:rPr>
        <w:t>’</w:t>
      </w:r>
      <w:r>
        <w:rPr>
          <w:lang w:val="fr-FR"/>
        </w:rPr>
        <w:t xml:space="preserve">actes de procédure formels </w:t>
      </w:r>
      <w:r w:rsidRPr="002B6E68">
        <w:rPr>
          <w:lang w:val="fr-FR"/>
        </w:rPr>
        <w:t>sous forme de « demandes, notes et contestations »</w:t>
      </w:r>
      <w:r w:rsidRPr="00BA7980">
        <w:rPr>
          <w:lang w:val="fr-FR"/>
        </w:rPr>
        <w:t>.</w:t>
      </w:r>
      <w:r w:rsidRPr="002B6E68">
        <w:rPr>
          <w:lang w:val="fr-FR"/>
        </w:rPr>
        <w:t xml:space="preserve"> L</w:t>
      </w:r>
      <w:r w:rsidR="00390237">
        <w:rPr>
          <w:lang w:val="fr-FR"/>
        </w:rPr>
        <w:t>’</w:t>
      </w:r>
      <w:r w:rsidRPr="002B6E68">
        <w:rPr>
          <w:lang w:val="fr-FR"/>
        </w:rPr>
        <w:t>auteur renvoie au paragraphe 86 de l</w:t>
      </w:r>
      <w:r w:rsidR="00390237">
        <w:rPr>
          <w:lang w:val="fr-FR"/>
        </w:rPr>
        <w:t>’</w:t>
      </w:r>
      <w:r w:rsidRPr="002B6E68">
        <w:rPr>
          <w:lang w:val="fr-FR"/>
        </w:rPr>
        <w:t>arrêt rendu par la Cour européenne des droits de l</w:t>
      </w:r>
      <w:r w:rsidR="00390237">
        <w:rPr>
          <w:lang w:val="fr-FR"/>
        </w:rPr>
        <w:t>’</w:t>
      </w:r>
      <w:r w:rsidRPr="002B6E68">
        <w:rPr>
          <w:lang w:val="fr-FR"/>
        </w:rPr>
        <w:t>homme dans l</w:t>
      </w:r>
      <w:r w:rsidR="00390237">
        <w:rPr>
          <w:lang w:val="fr-FR"/>
        </w:rPr>
        <w:t>’</w:t>
      </w:r>
      <w:r w:rsidRPr="002B6E68">
        <w:rPr>
          <w:lang w:val="fr-FR"/>
        </w:rPr>
        <w:t xml:space="preserve">affaire </w:t>
      </w:r>
      <w:r w:rsidRPr="002B6E68">
        <w:rPr>
          <w:i/>
          <w:iCs/>
          <w:lang w:val="fr-FR"/>
        </w:rPr>
        <w:t>Assenov et autres c</w:t>
      </w:r>
      <w:r w:rsidRPr="00BA7980">
        <w:rPr>
          <w:i/>
          <w:iCs/>
          <w:lang w:val="fr-FR"/>
        </w:rPr>
        <w:t>.</w:t>
      </w:r>
      <w:r w:rsidRPr="002B6E68">
        <w:rPr>
          <w:i/>
          <w:iCs/>
          <w:lang w:val="fr-FR"/>
        </w:rPr>
        <w:t xml:space="preserve"> Bulgarie</w:t>
      </w:r>
      <w:r w:rsidRPr="002B6E68">
        <w:rPr>
          <w:lang w:val="fr-FR"/>
        </w:rPr>
        <w:t>, dans lequel la Cour rappelle qu</w:t>
      </w:r>
      <w:r w:rsidR="00390237">
        <w:rPr>
          <w:lang w:val="fr-FR"/>
        </w:rPr>
        <w:t>’</w:t>
      </w:r>
      <w:r w:rsidRPr="002B6E68">
        <w:rPr>
          <w:lang w:val="fr-FR"/>
        </w:rPr>
        <w:t>en droit bulgare il n</w:t>
      </w:r>
      <w:r w:rsidR="00390237">
        <w:rPr>
          <w:lang w:val="fr-FR"/>
        </w:rPr>
        <w:t>’</w:t>
      </w:r>
      <w:r w:rsidRPr="002B6E68">
        <w:rPr>
          <w:lang w:val="fr-FR"/>
        </w:rPr>
        <w:t>est pas possible à un plaignant d</w:t>
      </w:r>
      <w:r w:rsidR="00390237">
        <w:rPr>
          <w:lang w:val="fr-FR"/>
        </w:rPr>
        <w:t>’</w:t>
      </w:r>
      <w:r w:rsidRPr="002B6E68">
        <w:rPr>
          <w:lang w:val="fr-FR"/>
        </w:rPr>
        <w:t>engager lui</w:t>
      </w:r>
      <w:r w:rsidR="00822A54">
        <w:rPr>
          <w:lang w:val="fr-FR"/>
        </w:rPr>
        <w:noBreakHyphen/>
      </w:r>
      <w:r w:rsidRPr="002B6E68">
        <w:rPr>
          <w:lang w:val="fr-FR"/>
        </w:rPr>
        <w:t>même des poursuites pénales pour des infractions qu</w:t>
      </w:r>
      <w:r w:rsidR="00390237">
        <w:rPr>
          <w:lang w:val="fr-FR"/>
        </w:rPr>
        <w:t>’</w:t>
      </w:r>
      <w:r w:rsidRPr="002B6E68">
        <w:rPr>
          <w:lang w:val="fr-FR"/>
        </w:rPr>
        <w:t>il juge avoir été commises par des agents de l</w:t>
      </w:r>
      <w:r w:rsidR="00390237">
        <w:rPr>
          <w:lang w:val="fr-FR"/>
        </w:rPr>
        <w:t>’</w:t>
      </w:r>
      <w:r w:rsidRPr="002B6E68">
        <w:rPr>
          <w:lang w:val="fr-FR"/>
        </w:rPr>
        <w:t>État dans l</w:t>
      </w:r>
      <w:r w:rsidR="00390237">
        <w:rPr>
          <w:lang w:val="fr-FR"/>
        </w:rPr>
        <w:t>’</w:t>
      </w:r>
      <w:r w:rsidRPr="002B6E68">
        <w:rPr>
          <w:lang w:val="fr-FR"/>
        </w:rPr>
        <w:t>exercice de leurs fonctions</w:t>
      </w:r>
      <w:r w:rsidRPr="00BA7980">
        <w:rPr>
          <w:lang w:val="fr-FR"/>
        </w:rPr>
        <w:t>.</w:t>
      </w:r>
      <w:r w:rsidRPr="002B6E68">
        <w:rPr>
          <w:lang w:val="fr-FR"/>
        </w:rPr>
        <w:t xml:space="preserve"> Selon l</w:t>
      </w:r>
      <w:r w:rsidR="00390237">
        <w:rPr>
          <w:lang w:val="fr-FR"/>
        </w:rPr>
        <w:t>’</w:t>
      </w:r>
      <w:r w:rsidRPr="002B6E68">
        <w:rPr>
          <w:lang w:val="fr-FR"/>
        </w:rPr>
        <w:t>auteur, cela signifie que tou</w:t>
      </w:r>
      <w:r>
        <w:rPr>
          <w:lang w:val="fr-FR"/>
        </w:rPr>
        <w:t xml:space="preserve">s </w:t>
      </w:r>
      <w:r w:rsidRPr="002B6E68">
        <w:rPr>
          <w:lang w:val="fr-FR"/>
        </w:rPr>
        <w:t>les act</w:t>
      </w:r>
      <w:r>
        <w:rPr>
          <w:lang w:val="fr-FR"/>
        </w:rPr>
        <w:t>es d</w:t>
      </w:r>
      <w:r w:rsidR="00390237">
        <w:rPr>
          <w:lang w:val="fr-FR"/>
        </w:rPr>
        <w:t>’</w:t>
      </w:r>
      <w:r w:rsidRPr="002B6E68">
        <w:rPr>
          <w:lang w:val="fr-FR"/>
        </w:rPr>
        <w:t xml:space="preserve">enquête </w:t>
      </w:r>
      <w:r>
        <w:rPr>
          <w:lang w:val="fr-FR"/>
        </w:rPr>
        <w:t xml:space="preserve">sont accomplis </w:t>
      </w:r>
      <w:r w:rsidRPr="002B6E68">
        <w:rPr>
          <w:lang w:val="fr-FR"/>
        </w:rPr>
        <w:t>à l</w:t>
      </w:r>
      <w:r w:rsidR="00390237">
        <w:rPr>
          <w:lang w:val="fr-FR"/>
        </w:rPr>
        <w:t>’</w:t>
      </w:r>
      <w:r w:rsidRPr="002B6E68">
        <w:rPr>
          <w:lang w:val="fr-FR"/>
        </w:rPr>
        <w:t xml:space="preserve">initiative et sous le contrôle des </w:t>
      </w:r>
      <w:r>
        <w:rPr>
          <w:lang w:val="fr-FR"/>
        </w:rPr>
        <w:t xml:space="preserve">organes officiels compétents </w:t>
      </w:r>
      <w:r w:rsidRPr="002B6E68">
        <w:rPr>
          <w:lang w:val="fr-FR"/>
        </w:rPr>
        <w:t>et que les victimes n</w:t>
      </w:r>
      <w:r w:rsidR="00390237">
        <w:rPr>
          <w:lang w:val="fr-FR"/>
        </w:rPr>
        <w:t>’</w:t>
      </w:r>
      <w:r w:rsidRPr="002B6E68">
        <w:rPr>
          <w:lang w:val="fr-FR"/>
        </w:rPr>
        <w:t xml:space="preserve">exercent aucune influence sur le déroulement de </w:t>
      </w:r>
      <w:r>
        <w:rPr>
          <w:lang w:val="fr-FR"/>
        </w:rPr>
        <w:t>l</w:t>
      </w:r>
      <w:r w:rsidR="00390237">
        <w:rPr>
          <w:lang w:val="fr-FR"/>
        </w:rPr>
        <w:t>’</w:t>
      </w:r>
      <w:r>
        <w:rPr>
          <w:lang w:val="fr-FR"/>
        </w:rPr>
        <w:t>enquête</w:t>
      </w:r>
      <w:r w:rsidRPr="00BA7980">
        <w:rPr>
          <w:lang w:val="fr-FR"/>
        </w:rPr>
        <w:t>.</w:t>
      </w:r>
    </w:p>
    <w:p w14:paraId="2353CE21" w14:textId="0DDCEE01"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6</w:t>
      </w:r>
      <w:r w:rsidRPr="002B6E68">
        <w:rPr>
          <w:lang w:val="fr-FR"/>
        </w:rPr>
        <w:tab/>
        <w:t>L</w:t>
      </w:r>
      <w:r w:rsidR="00390237">
        <w:rPr>
          <w:lang w:val="fr-FR"/>
        </w:rPr>
        <w:t>’</w:t>
      </w:r>
      <w:r w:rsidRPr="002B6E68">
        <w:rPr>
          <w:lang w:val="fr-FR"/>
        </w:rPr>
        <w:t xml:space="preserve">auteur affirme également que son accès à la Cour </w:t>
      </w:r>
      <w:r>
        <w:rPr>
          <w:lang w:val="fr-FR"/>
        </w:rPr>
        <w:t>s</w:t>
      </w:r>
      <w:r w:rsidRPr="002B6E68">
        <w:rPr>
          <w:lang w:val="fr-FR"/>
        </w:rPr>
        <w:t xml:space="preserve">uprême de </w:t>
      </w:r>
      <w:r>
        <w:rPr>
          <w:lang w:val="fr-FR"/>
        </w:rPr>
        <w:t>c</w:t>
      </w:r>
      <w:r w:rsidRPr="002B6E68">
        <w:rPr>
          <w:lang w:val="fr-FR"/>
        </w:rPr>
        <w:t xml:space="preserve">assation a été restreint de manière </w:t>
      </w:r>
      <w:r>
        <w:rPr>
          <w:lang w:val="fr-FR"/>
        </w:rPr>
        <w:t>injustifiable</w:t>
      </w:r>
      <w:r w:rsidRPr="00BA7980">
        <w:rPr>
          <w:lang w:val="fr-FR"/>
        </w:rPr>
        <w:t>.</w:t>
      </w:r>
      <w:r w:rsidRPr="002B6E68">
        <w:rPr>
          <w:lang w:val="fr-FR"/>
        </w:rPr>
        <w:t xml:space="preserve"> Il n</w:t>
      </w:r>
      <w:r w:rsidR="00390237">
        <w:rPr>
          <w:lang w:val="fr-FR"/>
        </w:rPr>
        <w:t>’</w:t>
      </w:r>
      <w:r w:rsidRPr="002B6E68">
        <w:rPr>
          <w:lang w:val="fr-FR"/>
        </w:rPr>
        <w:t xml:space="preserve">a pas reçu copie de la demande que le Procureur général a déposée devant la Cour </w:t>
      </w:r>
      <w:r>
        <w:rPr>
          <w:lang w:val="fr-FR"/>
        </w:rPr>
        <w:t>s</w:t>
      </w:r>
      <w:r w:rsidRPr="002B6E68">
        <w:rPr>
          <w:lang w:val="fr-FR"/>
        </w:rPr>
        <w:t xml:space="preserve">uprême de </w:t>
      </w:r>
      <w:r>
        <w:rPr>
          <w:lang w:val="fr-FR"/>
        </w:rPr>
        <w:t>c</w:t>
      </w:r>
      <w:r w:rsidRPr="002B6E68">
        <w:rPr>
          <w:lang w:val="fr-FR"/>
        </w:rPr>
        <w:t xml:space="preserve">assation </w:t>
      </w:r>
      <w:r>
        <w:rPr>
          <w:lang w:val="fr-FR"/>
        </w:rPr>
        <w:t xml:space="preserve">pour </w:t>
      </w:r>
      <w:r w:rsidRPr="002B6E68">
        <w:rPr>
          <w:lang w:val="fr-FR"/>
        </w:rPr>
        <w:t>faire annuler la décision de la Cour militaire d</w:t>
      </w:r>
      <w:r w:rsidR="00390237">
        <w:rPr>
          <w:lang w:val="fr-FR"/>
        </w:rPr>
        <w:t>’</w:t>
      </w:r>
      <w:r w:rsidRPr="002B6E68">
        <w:rPr>
          <w:lang w:val="fr-FR"/>
        </w:rPr>
        <w:t>appel</w:t>
      </w:r>
      <w:r>
        <w:rPr>
          <w:lang w:val="fr-FR"/>
        </w:rPr>
        <w:t>,</w:t>
      </w:r>
      <w:r w:rsidRPr="002B6E68">
        <w:rPr>
          <w:lang w:val="fr-FR"/>
        </w:rPr>
        <w:t xml:space="preserve"> ni de </w:t>
      </w:r>
      <w:r>
        <w:rPr>
          <w:lang w:val="fr-FR"/>
        </w:rPr>
        <w:t xml:space="preserve">convocation </w:t>
      </w:r>
      <w:r w:rsidRPr="002B6E68">
        <w:rPr>
          <w:lang w:val="fr-FR"/>
        </w:rPr>
        <w:t>pour participer à la procédure</w:t>
      </w:r>
      <w:r w:rsidRPr="00BA7980">
        <w:rPr>
          <w:lang w:val="fr-FR"/>
        </w:rPr>
        <w:t>.</w:t>
      </w:r>
      <w:r w:rsidRPr="002B6E68">
        <w:rPr>
          <w:lang w:val="fr-FR"/>
        </w:rPr>
        <w:t xml:space="preserve"> Il soutient que c</w:t>
      </w:r>
      <w:r w:rsidR="00390237">
        <w:rPr>
          <w:lang w:val="fr-FR"/>
        </w:rPr>
        <w:t>’</w:t>
      </w:r>
      <w:r w:rsidRPr="002B6E68">
        <w:rPr>
          <w:lang w:val="fr-FR"/>
        </w:rPr>
        <w:t xml:space="preserve">est la Cour </w:t>
      </w:r>
      <w:r>
        <w:rPr>
          <w:lang w:val="fr-FR"/>
        </w:rPr>
        <w:t>s</w:t>
      </w:r>
      <w:r w:rsidRPr="002B6E68">
        <w:rPr>
          <w:lang w:val="fr-FR"/>
        </w:rPr>
        <w:t xml:space="preserve">uprême de </w:t>
      </w:r>
      <w:r>
        <w:rPr>
          <w:lang w:val="fr-FR"/>
        </w:rPr>
        <w:t>c</w:t>
      </w:r>
      <w:r w:rsidRPr="002B6E68">
        <w:rPr>
          <w:lang w:val="fr-FR"/>
        </w:rPr>
        <w:t>assation, devant laquelle il n</w:t>
      </w:r>
      <w:r w:rsidR="00390237">
        <w:rPr>
          <w:lang w:val="fr-FR"/>
        </w:rPr>
        <w:t>’</w:t>
      </w:r>
      <w:r w:rsidRPr="002B6E68">
        <w:rPr>
          <w:lang w:val="fr-FR"/>
        </w:rPr>
        <w:t xml:space="preserve">a pu </w:t>
      </w:r>
      <w:r>
        <w:rPr>
          <w:lang w:val="fr-FR"/>
        </w:rPr>
        <w:t>intervenir</w:t>
      </w:r>
      <w:r w:rsidRPr="002B6E68">
        <w:rPr>
          <w:lang w:val="fr-FR"/>
        </w:rPr>
        <w:t xml:space="preserve">, qui a annulé </w:t>
      </w:r>
      <w:r>
        <w:rPr>
          <w:lang w:val="fr-FR"/>
        </w:rPr>
        <w:t>l</w:t>
      </w:r>
      <w:r w:rsidR="00390237">
        <w:rPr>
          <w:lang w:val="fr-FR"/>
        </w:rPr>
        <w:t>’</w:t>
      </w:r>
      <w:r>
        <w:rPr>
          <w:lang w:val="fr-FR"/>
        </w:rPr>
        <w:t xml:space="preserve">arrêt </w:t>
      </w:r>
      <w:r w:rsidRPr="002B6E68">
        <w:rPr>
          <w:lang w:val="fr-FR"/>
        </w:rPr>
        <w:t>rendu en sa faveur par la Cour militaire d</w:t>
      </w:r>
      <w:r w:rsidR="00390237">
        <w:rPr>
          <w:lang w:val="fr-FR"/>
        </w:rPr>
        <w:t>’</w:t>
      </w:r>
      <w:r w:rsidRPr="002B6E68">
        <w:rPr>
          <w:lang w:val="fr-FR"/>
        </w:rPr>
        <w:t>appel</w:t>
      </w:r>
      <w:r>
        <w:rPr>
          <w:lang w:val="fr-FR"/>
        </w:rPr>
        <w:t xml:space="preserve"> et qui, en </w:t>
      </w:r>
      <w:r w:rsidRPr="002B6E68">
        <w:rPr>
          <w:lang w:val="fr-FR"/>
        </w:rPr>
        <w:t>pratique, l</w:t>
      </w:r>
      <w:r w:rsidR="00390237">
        <w:rPr>
          <w:lang w:val="fr-FR"/>
        </w:rPr>
        <w:t>’</w:t>
      </w:r>
      <w:r w:rsidRPr="002B6E68">
        <w:rPr>
          <w:lang w:val="fr-FR"/>
        </w:rPr>
        <w:t>a privé de l</w:t>
      </w:r>
      <w:r w:rsidR="00390237">
        <w:rPr>
          <w:lang w:val="fr-FR"/>
        </w:rPr>
        <w:t>’</w:t>
      </w:r>
      <w:r w:rsidRPr="002B6E68">
        <w:rPr>
          <w:lang w:val="fr-FR"/>
        </w:rPr>
        <w:t>indemnisation pour préjudice moral que la Cour militaire d</w:t>
      </w:r>
      <w:r w:rsidR="00390237">
        <w:rPr>
          <w:lang w:val="fr-FR"/>
        </w:rPr>
        <w:t>’</w:t>
      </w:r>
      <w:r w:rsidRPr="002B6E68">
        <w:rPr>
          <w:lang w:val="fr-FR"/>
        </w:rPr>
        <w:t xml:space="preserve">appel </w:t>
      </w:r>
      <w:r>
        <w:rPr>
          <w:lang w:val="fr-FR"/>
        </w:rPr>
        <w:t xml:space="preserve">lui </w:t>
      </w:r>
      <w:r w:rsidRPr="002B6E68">
        <w:rPr>
          <w:lang w:val="fr-FR"/>
        </w:rPr>
        <w:t xml:space="preserve">avait </w:t>
      </w:r>
      <w:r>
        <w:rPr>
          <w:lang w:val="fr-FR"/>
        </w:rPr>
        <w:t>accordée dans son arrêt</w:t>
      </w:r>
      <w:r w:rsidRPr="00BA7980">
        <w:rPr>
          <w:lang w:val="fr-FR"/>
        </w:rPr>
        <w:t>.</w:t>
      </w:r>
    </w:p>
    <w:p w14:paraId="6117886D" w14:textId="66D5EEA2"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7</w:t>
      </w:r>
      <w:r w:rsidRPr="002B6E68">
        <w:rPr>
          <w:lang w:val="fr-FR"/>
        </w:rPr>
        <w:tab/>
        <w:t>L</w:t>
      </w:r>
      <w:r w:rsidR="00390237">
        <w:rPr>
          <w:lang w:val="fr-FR"/>
        </w:rPr>
        <w:t>’</w:t>
      </w:r>
      <w:r w:rsidRPr="002B6E68">
        <w:rPr>
          <w:lang w:val="fr-FR"/>
        </w:rPr>
        <w:t xml:space="preserve">auteur </w:t>
      </w:r>
      <w:r>
        <w:rPr>
          <w:lang w:val="fr-FR"/>
        </w:rPr>
        <w:t xml:space="preserve">allègue </w:t>
      </w:r>
      <w:r w:rsidRPr="002B6E68">
        <w:rPr>
          <w:lang w:val="fr-FR"/>
        </w:rPr>
        <w:t>également une violation de l</w:t>
      </w:r>
      <w:r w:rsidR="00390237">
        <w:rPr>
          <w:lang w:val="fr-FR"/>
        </w:rPr>
        <w:t>’</w:t>
      </w:r>
      <w:r w:rsidRPr="002B6E68">
        <w:rPr>
          <w:lang w:val="fr-FR"/>
        </w:rPr>
        <w:t>article</w:t>
      </w:r>
      <w:r w:rsidR="00822A54">
        <w:rPr>
          <w:lang w:val="fr-FR"/>
        </w:rPr>
        <w:t> </w:t>
      </w:r>
      <w:r w:rsidRPr="002B6E68">
        <w:rPr>
          <w:lang w:val="fr-FR"/>
        </w:rPr>
        <w:t>14 (par</w:t>
      </w:r>
      <w:r w:rsidRPr="00BA7980">
        <w:rPr>
          <w:lang w:val="fr-FR"/>
        </w:rPr>
        <w:t>.</w:t>
      </w:r>
      <w:r w:rsidR="00822A54">
        <w:rPr>
          <w:lang w:val="fr-FR"/>
        </w:rPr>
        <w:t> </w:t>
      </w:r>
      <w:r w:rsidRPr="002B6E68">
        <w:rPr>
          <w:lang w:val="fr-FR"/>
        </w:rPr>
        <w:t>1) du Pacte</w:t>
      </w:r>
      <w:r>
        <w:rPr>
          <w:lang w:val="fr-FR"/>
        </w:rPr>
        <w:t xml:space="preserve">. Il fait valoir que </w:t>
      </w:r>
      <w:r w:rsidRPr="002B6E68">
        <w:rPr>
          <w:lang w:val="fr-FR"/>
        </w:rPr>
        <w:t>les autorités de l</w:t>
      </w:r>
      <w:r w:rsidR="00390237">
        <w:rPr>
          <w:lang w:val="fr-FR"/>
        </w:rPr>
        <w:t>’</w:t>
      </w:r>
      <w:r w:rsidRPr="002B6E68">
        <w:rPr>
          <w:lang w:val="fr-FR"/>
        </w:rPr>
        <w:t>État partie n</w:t>
      </w:r>
      <w:r w:rsidR="00390237">
        <w:rPr>
          <w:lang w:val="fr-FR"/>
        </w:rPr>
        <w:t>’</w:t>
      </w:r>
      <w:r w:rsidRPr="002B6E68">
        <w:rPr>
          <w:lang w:val="fr-FR"/>
        </w:rPr>
        <w:t xml:space="preserve">ont pas </w:t>
      </w:r>
      <w:r>
        <w:rPr>
          <w:lang w:val="fr-FR"/>
        </w:rPr>
        <w:t xml:space="preserve">pleinement </w:t>
      </w:r>
      <w:r w:rsidRPr="002B6E68">
        <w:rPr>
          <w:lang w:val="fr-FR"/>
        </w:rPr>
        <w:t xml:space="preserve">respecté son </w:t>
      </w:r>
      <w:r>
        <w:rPr>
          <w:lang w:val="fr-FR"/>
        </w:rPr>
        <w:t>droit d</w:t>
      </w:r>
      <w:r w:rsidR="00390237">
        <w:rPr>
          <w:lang w:val="fr-FR"/>
        </w:rPr>
        <w:t>’</w:t>
      </w:r>
      <w:r w:rsidRPr="002B6E68">
        <w:rPr>
          <w:lang w:val="fr-FR"/>
        </w:rPr>
        <w:t xml:space="preserve">accès à </w:t>
      </w:r>
      <w:r>
        <w:rPr>
          <w:lang w:val="fr-FR"/>
        </w:rPr>
        <w:t xml:space="preserve">la justice </w:t>
      </w:r>
      <w:r w:rsidRPr="002B6E68">
        <w:rPr>
          <w:lang w:val="fr-FR"/>
        </w:rPr>
        <w:t>ni le principe de l</w:t>
      </w:r>
      <w:r w:rsidR="00390237">
        <w:rPr>
          <w:lang w:val="fr-FR"/>
        </w:rPr>
        <w:t>’</w:t>
      </w:r>
      <w:r w:rsidRPr="002B6E68">
        <w:rPr>
          <w:lang w:val="fr-FR"/>
        </w:rPr>
        <w:t xml:space="preserve">égalité des </w:t>
      </w:r>
      <w:r>
        <w:rPr>
          <w:lang w:val="fr-FR"/>
        </w:rPr>
        <w:t>armes, puisqu</w:t>
      </w:r>
      <w:r w:rsidR="00390237">
        <w:rPr>
          <w:lang w:val="fr-FR"/>
        </w:rPr>
        <w:t>’</w:t>
      </w:r>
      <w:r>
        <w:rPr>
          <w:lang w:val="fr-FR"/>
        </w:rPr>
        <w:t xml:space="preserve">il </w:t>
      </w:r>
      <w:r w:rsidRPr="002B6E68">
        <w:rPr>
          <w:lang w:val="fr-FR"/>
        </w:rPr>
        <w:t>n</w:t>
      </w:r>
      <w:r w:rsidR="00390237">
        <w:rPr>
          <w:lang w:val="fr-FR"/>
        </w:rPr>
        <w:t>’</w:t>
      </w:r>
      <w:r w:rsidRPr="002B6E68">
        <w:rPr>
          <w:lang w:val="fr-FR"/>
        </w:rPr>
        <w:t>a pas été informé de la demande d</w:t>
      </w:r>
      <w:r w:rsidR="00390237">
        <w:rPr>
          <w:lang w:val="fr-FR"/>
        </w:rPr>
        <w:t>’</w:t>
      </w:r>
      <w:r w:rsidRPr="002B6E68">
        <w:rPr>
          <w:lang w:val="fr-FR"/>
        </w:rPr>
        <w:t xml:space="preserve">annulation de la décision </w:t>
      </w:r>
      <w:r>
        <w:rPr>
          <w:lang w:val="fr-FR"/>
        </w:rPr>
        <w:t xml:space="preserve">de </w:t>
      </w:r>
      <w:r w:rsidRPr="002B6E68">
        <w:rPr>
          <w:lang w:val="fr-FR"/>
        </w:rPr>
        <w:t>la Cour militaire d</w:t>
      </w:r>
      <w:r w:rsidR="00390237">
        <w:rPr>
          <w:lang w:val="fr-FR"/>
        </w:rPr>
        <w:t>’</w:t>
      </w:r>
      <w:r w:rsidRPr="002B6E68">
        <w:rPr>
          <w:lang w:val="fr-FR"/>
        </w:rPr>
        <w:t xml:space="preserve">appel </w:t>
      </w:r>
      <w:r>
        <w:rPr>
          <w:lang w:val="fr-FR"/>
        </w:rPr>
        <w:t xml:space="preserve">introduite </w:t>
      </w:r>
      <w:r w:rsidRPr="002B6E68">
        <w:rPr>
          <w:lang w:val="fr-FR"/>
        </w:rPr>
        <w:t xml:space="preserve">devant la Cour </w:t>
      </w:r>
      <w:r>
        <w:rPr>
          <w:lang w:val="fr-FR"/>
        </w:rPr>
        <w:t>s</w:t>
      </w:r>
      <w:r w:rsidRPr="002B6E68">
        <w:rPr>
          <w:lang w:val="fr-FR"/>
        </w:rPr>
        <w:t xml:space="preserve">uprême </w:t>
      </w:r>
      <w:r>
        <w:rPr>
          <w:lang w:val="fr-FR"/>
        </w:rPr>
        <w:t xml:space="preserve">de cassation </w:t>
      </w:r>
      <w:r w:rsidRPr="002B6E68">
        <w:rPr>
          <w:lang w:val="fr-FR"/>
        </w:rPr>
        <w:t>par le Procureur général et n</w:t>
      </w:r>
      <w:r w:rsidR="00390237">
        <w:rPr>
          <w:lang w:val="fr-FR"/>
        </w:rPr>
        <w:t>’</w:t>
      </w:r>
      <w:r w:rsidRPr="002B6E68">
        <w:rPr>
          <w:lang w:val="fr-FR"/>
        </w:rPr>
        <w:t xml:space="preserve">a pas été convoqué </w:t>
      </w:r>
      <w:r>
        <w:rPr>
          <w:lang w:val="fr-FR"/>
        </w:rPr>
        <w:t xml:space="preserve">pour participer </w:t>
      </w:r>
      <w:r w:rsidRPr="002B6E68">
        <w:rPr>
          <w:lang w:val="fr-FR"/>
        </w:rPr>
        <w:t>à cette procédure</w:t>
      </w:r>
      <w:r w:rsidRPr="00BA7980">
        <w:rPr>
          <w:lang w:val="fr-FR"/>
        </w:rPr>
        <w:t>.</w:t>
      </w:r>
      <w:r w:rsidRPr="002B6E68">
        <w:rPr>
          <w:lang w:val="fr-FR"/>
        </w:rPr>
        <w:t xml:space="preserve"> </w:t>
      </w:r>
    </w:p>
    <w:p w14:paraId="5ED99F87" w14:textId="3FAA9242"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8</w:t>
      </w:r>
      <w:r w:rsidRPr="002B6E68">
        <w:rPr>
          <w:lang w:val="fr-FR"/>
        </w:rPr>
        <w:tab/>
        <w:t>L</w:t>
      </w:r>
      <w:r w:rsidR="00390237">
        <w:rPr>
          <w:lang w:val="fr-FR"/>
        </w:rPr>
        <w:t>’</w:t>
      </w:r>
      <w:r w:rsidRPr="002B6E68">
        <w:rPr>
          <w:lang w:val="fr-FR"/>
        </w:rPr>
        <w:t xml:space="preserve">auteur </w:t>
      </w:r>
      <w:r>
        <w:rPr>
          <w:lang w:val="fr-FR"/>
        </w:rPr>
        <w:t>renvoie à l</w:t>
      </w:r>
      <w:r w:rsidR="00390237">
        <w:rPr>
          <w:lang w:val="fr-FR"/>
        </w:rPr>
        <w:t>’</w:t>
      </w:r>
      <w:r>
        <w:rPr>
          <w:lang w:val="fr-FR"/>
        </w:rPr>
        <w:t xml:space="preserve">arrêt rendu par </w:t>
      </w:r>
      <w:r w:rsidRPr="002B6E68">
        <w:rPr>
          <w:lang w:val="fr-FR"/>
        </w:rPr>
        <w:t>la Cour européenne des droits de l</w:t>
      </w:r>
      <w:r w:rsidR="00390237">
        <w:rPr>
          <w:lang w:val="fr-FR"/>
        </w:rPr>
        <w:t>’</w:t>
      </w:r>
      <w:r w:rsidRPr="002B6E68">
        <w:rPr>
          <w:lang w:val="fr-FR"/>
        </w:rPr>
        <w:t>homme dans l</w:t>
      </w:r>
      <w:r w:rsidR="00390237">
        <w:rPr>
          <w:lang w:val="fr-FR"/>
        </w:rPr>
        <w:t>’</w:t>
      </w:r>
      <w:r w:rsidRPr="002B6E68">
        <w:rPr>
          <w:lang w:val="fr-FR"/>
        </w:rPr>
        <w:t xml:space="preserve">affaire </w:t>
      </w:r>
      <w:r w:rsidRPr="002B6E68">
        <w:rPr>
          <w:i/>
          <w:iCs/>
          <w:lang w:val="fr-FR"/>
        </w:rPr>
        <w:t xml:space="preserve">Kehaya </w:t>
      </w:r>
      <w:r>
        <w:rPr>
          <w:i/>
          <w:iCs/>
          <w:lang w:val="fr-FR"/>
        </w:rPr>
        <w:t xml:space="preserve">et autres c. </w:t>
      </w:r>
      <w:r w:rsidRPr="002B6E68">
        <w:rPr>
          <w:i/>
          <w:iCs/>
          <w:lang w:val="fr-FR"/>
        </w:rPr>
        <w:t>Bulgari</w:t>
      </w:r>
      <w:r>
        <w:rPr>
          <w:i/>
          <w:iCs/>
          <w:lang w:val="fr-FR"/>
        </w:rPr>
        <w:t>e</w:t>
      </w:r>
      <w:r w:rsidRPr="00454BD4">
        <w:rPr>
          <w:rStyle w:val="Appelnotedebasdep"/>
        </w:rPr>
        <w:footnoteReference w:id="17"/>
      </w:r>
      <w:r w:rsidRPr="002B6E68">
        <w:rPr>
          <w:lang w:val="fr-FR"/>
        </w:rPr>
        <w:t>, dans lequel la Cour a déclaré que l</w:t>
      </w:r>
      <w:r w:rsidR="00390237">
        <w:rPr>
          <w:lang w:val="fr-FR"/>
        </w:rPr>
        <w:t>’</w:t>
      </w:r>
      <w:r w:rsidRPr="002B6E68">
        <w:rPr>
          <w:lang w:val="fr-FR"/>
        </w:rPr>
        <w:t xml:space="preserve">approche suivie par la Cour </w:t>
      </w:r>
      <w:r>
        <w:rPr>
          <w:lang w:val="fr-FR"/>
        </w:rPr>
        <w:t>s</w:t>
      </w:r>
      <w:r w:rsidRPr="002B6E68">
        <w:rPr>
          <w:lang w:val="fr-FR"/>
        </w:rPr>
        <w:t xml:space="preserve">uprême de </w:t>
      </w:r>
      <w:r>
        <w:rPr>
          <w:lang w:val="fr-FR"/>
        </w:rPr>
        <w:t>c</w:t>
      </w:r>
      <w:r w:rsidRPr="002B6E68">
        <w:rPr>
          <w:lang w:val="fr-FR"/>
        </w:rPr>
        <w:t>assation dans son arrêt du 10 octobre 2000 avait</w:t>
      </w:r>
      <w:r>
        <w:rPr>
          <w:lang w:val="fr-FR"/>
        </w:rPr>
        <w:t xml:space="preserve"> eu</w:t>
      </w:r>
      <w:r w:rsidRPr="002B6E68">
        <w:rPr>
          <w:lang w:val="fr-FR"/>
        </w:rPr>
        <w:t xml:space="preserve"> en outre pour effet d</w:t>
      </w:r>
      <w:r w:rsidR="00390237">
        <w:rPr>
          <w:lang w:val="fr-FR"/>
        </w:rPr>
        <w:t>’</w:t>
      </w:r>
      <w:r w:rsidRPr="002B6E68">
        <w:rPr>
          <w:lang w:val="fr-FR"/>
        </w:rPr>
        <w:t xml:space="preserve">offrir une </w:t>
      </w:r>
      <w:r>
        <w:rPr>
          <w:lang w:val="fr-FR"/>
        </w:rPr>
        <w:t>« </w:t>
      </w:r>
      <w:r w:rsidRPr="002B6E68">
        <w:rPr>
          <w:lang w:val="fr-FR"/>
        </w:rPr>
        <w:t>seconde chance</w:t>
      </w:r>
      <w:r>
        <w:rPr>
          <w:lang w:val="fr-FR"/>
        </w:rPr>
        <w:t> »</w:t>
      </w:r>
      <w:r w:rsidRPr="002B6E68">
        <w:rPr>
          <w:lang w:val="fr-FR"/>
        </w:rPr>
        <w:t xml:space="preserve"> à l</w:t>
      </w:r>
      <w:r w:rsidR="00390237">
        <w:rPr>
          <w:lang w:val="fr-FR"/>
        </w:rPr>
        <w:t>’</w:t>
      </w:r>
      <w:r w:rsidRPr="002B6E68">
        <w:rPr>
          <w:lang w:val="fr-FR"/>
        </w:rPr>
        <w:t>État pour obtenir le réexamen d</w:t>
      </w:r>
      <w:r w:rsidR="00390237">
        <w:rPr>
          <w:lang w:val="fr-FR"/>
        </w:rPr>
        <w:t>’</w:t>
      </w:r>
      <w:r w:rsidRPr="002B6E68">
        <w:rPr>
          <w:lang w:val="fr-FR"/>
        </w:rPr>
        <w:t xml:space="preserve">un litige déjà tranché par </w:t>
      </w:r>
      <w:r>
        <w:rPr>
          <w:lang w:val="fr-FR"/>
        </w:rPr>
        <w:t xml:space="preserve">des </w:t>
      </w:r>
      <w:r w:rsidRPr="002B6E68">
        <w:rPr>
          <w:lang w:val="fr-FR"/>
        </w:rPr>
        <w:t xml:space="preserve">jugements définitifs </w:t>
      </w:r>
      <w:r>
        <w:rPr>
          <w:lang w:val="fr-FR"/>
        </w:rPr>
        <w:t xml:space="preserve">rendus </w:t>
      </w:r>
      <w:r w:rsidRPr="002B6E68">
        <w:rPr>
          <w:lang w:val="fr-FR"/>
        </w:rPr>
        <w:t xml:space="preserve">dans une procédure </w:t>
      </w:r>
      <w:r>
        <w:rPr>
          <w:lang w:val="fr-FR"/>
        </w:rPr>
        <w:t>contentieuse,</w:t>
      </w:r>
      <w:r w:rsidRPr="002B6E68">
        <w:rPr>
          <w:lang w:val="fr-FR"/>
        </w:rPr>
        <w:t xml:space="preserve"> à laquelle une autre émanation de l</w:t>
      </w:r>
      <w:r w:rsidR="00390237">
        <w:rPr>
          <w:lang w:val="fr-FR"/>
        </w:rPr>
        <w:t>’</w:t>
      </w:r>
      <w:r w:rsidRPr="002B6E68">
        <w:rPr>
          <w:lang w:val="fr-FR"/>
        </w:rPr>
        <w:t xml:space="preserve">État, une autorité administrative </w:t>
      </w:r>
      <w:r>
        <w:rPr>
          <w:lang w:val="fr-FR"/>
        </w:rPr>
        <w:t xml:space="preserve">expressément chargée des </w:t>
      </w:r>
      <w:r w:rsidRPr="002B6E68">
        <w:rPr>
          <w:lang w:val="fr-FR"/>
        </w:rPr>
        <w:t>restitution</w:t>
      </w:r>
      <w:r>
        <w:rPr>
          <w:lang w:val="fr-FR"/>
        </w:rPr>
        <w:t>s</w:t>
      </w:r>
      <w:r w:rsidRPr="002B6E68">
        <w:rPr>
          <w:lang w:val="fr-FR"/>
        </w:rPr>
        <w:t xml:space="preserve"> </w:t>
      </w:r>
      <w:r>
        <w:rPr>
          <w:lang w:val="fr-FR"/>
        </w:rPr>
        <w:t>− </w:t>
      </w:r>
      <w:r w:rsidRPr="002B6E68">
        <w:rPr>
          <w:lang w:val="fr-FR"/>
        </w:rPr>
        <w:t>la</w:t>
      </w:r>
      <w:r w:rsidR="00822A54">
        <w:rPr>
          <w:lang w:val="fr-FR"/>
        </w:rPr>
        <w:t> </w:t>
      </w:r>
      <w:r w:rsidRPr="002B6E68">
        <w:rPr>
          <w:lang w:val="fr-FR"/>
        </w:rPr>
        <w:t>commission foncière</w:t>
      </w:r>
      <w:r>
        <w:rPr>
          <w:lang w:val="fr-FR"/>
        </w:rPr>
        <w:t> −</w:t>
      </w:r>
      <w:r w:rsidRPr="002B6E68">
        <w:rPr>
          <w:lang w:val="fr-FR"/>
        </w:rPr>
        <w:t xml:space="preserve"> avait été partie et avait bénéficié de tous les moyens procéduraux pour défendre l</w:t>
      </w:r>
      <w:r>
        <w:rPr>
          <w:lang w:val="fr-FR"/>
        </w:rPr>
        <w:t xml:space="preserve">es </w:t>
      </w:r>
      <w:r w:rsidRPr="002B6E68">
        <w:rPr>
          <w:lang w:val="fr-FR"/>
        </w:rPr>
        <w:t>intérêt</w:t>
      </w:r>
      <w:r>
        <w:rPr>
          <w:lang w:val="fr-FR"/>
        </w:rPr>
        <w:t>s</w:t>
      </w:r>
      <w:r w:rsidRPr="002B6E68">
        <w:rPr>
          <w:lang w:val="fr-FR"/>
        </w:rPr>
        <w:t xml:space="preserve"> de </w:t>
      </w:r>
      <w:r w:rsidRPr="00912B33">
        <w:rPr>
          <w:lang w:val="fr-FR"/>
        </w:rPr>
        <w:t>l</w:t>
      </w:r>
      <w:r w:rsidR="00390237">
        <w:rPr>
          <w:lang w:val="fr-FR"/>
        </w:rPr>
        <w:t>’</w:t>
      </w:r>
      <w:r w:rsidRPr="00912B33">
        <w:rPr>
          <w:lang w:val="fr-FR"/>
        </w:rPr>
        <w:t>État</w:t>
      </w:r>
      <w:r w:rsidRPr="00BA7980">
        <w:rPr>
          <w:lang w:val="fr-FR"/>
        </w:rPr>
        <w:t>.</w:t>
      </w:r>
      <w:r w:rsidRPr="002B6E68">
        <w:rPr>
          <w:lang w:val="fr-FR"/>
        </w:rPr>
        <w:t xml:space="preserve"> Ce réexamen </w:t>
      </w:r>
      <w:r>
        <w:rPr>
          <w:lang w:val="fr-FR"/>
        </w:rPr>
        <w:t xml:space="preserve">avait </w:t>
      </w:r>
      <w:r w:rsidRPr="002B6E68">
        <w:rPr>
          <w:lang w:val="fr-FR"/>
        </w:rPr>
        <w:t xml:space="preserve">apparemment </w:t>
      </w:r>
      <w:r>
        <w:rPr>
          <w:lang w:val="fr-FR"/>
        </w:rPr>
        <w:t xml:space="preserve">été </w:t>
      </w:r>
      <w:r w:rsidRPr="002B6E68">
        <w:rPr>
          <w:lang w:val="fr-FR"/>
        </w:rPr>
        <w:t xml:space="preserve">possible sans limitation de temps et </w:t>
      </w:r>
      <w:r>
        <w:rPr>
          <w:lang w:val="fr-FR"/>
        </w:rPr>
        <w:t xml:space="preserve">seule </w:t>
      </w:r>
      <w:r w:rsidRPr="002B6E68">
        <w:rPr>
          <w:lang w:val="fr-FR"/>
        </w:rPr>
        <w:t>l</w:t>
      </w:r>
      <w:r w:rsidR="00390237">
        <w:rPr>
          <w:lang w:val="fr-FR"/>
        </w:rPr>
        <w:t>’</w:t>
      </w:r>
      <w:r w:rsidRPr="002B6E68">
        <w:rPr>
          <w:lang w:val="fr-FR"/>
        </w:rPr>
        <w:t xml:space="preserve">expiration </w:t>
      </w:r>
      <w:r>
        <w:rPr>
          <w:lang w:val="fr-FR"/>
        </w:rPr>
        <w:t xml:space="preserve">du délai </w:t>
      </w:r>
      <w:r w:rsidRPr="002B6E68">
        <w:rPr>
          <w:lang w:val="fr-FR"/>
        </w:rPr>
        <w:t xml:space="preserve">de prescription acquisitive </w:t>
      </w:r>
      <w:r>
        <w:rPr>
          <w:lang w:val="fr-FR"/>
        </w:rPr>
        <w:t>requis y faisait obstacle</w:t>
      </w:r>
      <w:r w:rsidRPr="00BA7980">
        <w:rPr>
          <w:lang w:val="fr-FR"/>
        </w:rPr>
        <w:t>.</w:t>
      </w:r>
      <w:r w:rsidRPr="002B6E68">
        <w:rPr>
          <w:lang w:val="fr-FR"/>
        </w:rPr>
        <w:t xml:space="preserve"> </w:t>
      </w:r>
      <w:r>
        <w:rPr>
          <w:lang w:val="fr-FR"/>
        </w:rPr>
        <w:t>Pour la Cour, c</w:t>
      </w:r>
      <w:r w:rsidRPr="002B6E68">
        <w:rPr>
          <w:lang w:val="fr-FR"/>
        </w:rPr>
        <w:t>ette approche était déséquilibrée et créait une incertitude juridique</w:t>
      </w:r>
      <w:r w:rsidRPr="00BA7980">
        <w:rPr>
          <w:lang w:val="fr-FR"/>
        </w:rPr>
        <w:t>.</w:t>
      </w:r>
      <w:r w:rsidRPr="002B6E68">
        <w:rPr>
          <w:lang w:val="fr-FR"/>
        </w:rPr>
        <w:t xml:space="preserve"> </w:t>
      </w:r>
    </w:p>
    <w:p w14:paraId="5DC9E764" w14:textId="618D52A1"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9</w:t>
      </w:r>
      <w:r w:rsidRPr="002B6E68">
        <w:rPr>
          <w:lang w:val="fr-FR"/>
        </w:rPr>
        <w:tab/>
        <w:t>En l</w:t>
      </w:r>
      <w:r w:rsidR="00390237">
        <w:rPr>
          <w:lang w:val="fr-FR"/>
        </w:rPr>
        <w:t>’</w:t>
      </w:r>
      <w:r w:rsidRPr="002B6E68">
        <w:rPr>
          <w:lang w:val="fr-FR"/>
        </w:rPr>
        <w:t>espèce, l</w:t>
      </w:r>
      <w:r w:rsidR="00390237">
        <w:rPr>
          <w:lang w:val="fr-FR"/>
        </w:rPr>
        <w:t>’</w:t>
      </w:r>
      <w:r w:rsidRPr="002B6E68">
        <w:rPr>
          <w:lang w:val="fr-FR"/>
        </w:rPr>
        <w:t xml:space="preserve">auteur considère que </w:t>
      </w:r>
      <w:r>
        <w:rPr>
          <w:lang w:val="fr-FR"/>
        </w:rPr>
        <w:t>l</w:t>
      </w:r>
      <w:r w:rsidR="00390237">
        <w:rPr>
          <w:lang w:val="fr-FR"/>
        </w:rPr>
        <w:t>’</w:t>
      </w:r>
      <w:r>
        <w:rPr>
          <w:lang w:val="fr-FR"/>
        </w:rPr>
        <w:t xml:space="preserve">atteinte au </w:t>
      </w:r>
      <w:r w:rsidRPr="002B6E68">
        <w:rPr>
          <w:lang w:val="fr-FR"/>
        </w:rPr>
        <w:t xml:space="preserve">principe de </w:t>
      </w:r>
      <w:r>
        <w:rPr>
          <w:lang w:val="fr-FR"/>
        </w:rPr>
        <w:t xml:space="preserve">la </w:t>
      </w:r>
      <w:r w:rsidRPr="002B6E68">
        <w:rPr>
          <w:lang w:val="fr-FR"/>
        </w:rPr>
        <w:t>stabilité juridique découle de la possibilité prévue, dans des hypothèses formulées de manière peu claire à l</w:t>
      </w:r>
      <w:r w:rsidR="00390237">
        <w:rPr>
          <w:lang w:val="fr-FR"/>
        </w:rPr>
        <w:t>’</w:t>
      </w:r>
      <w:r w:rsidRPr="002B6E68">
        <w:rPr>
          <w:lang w:val="fr-FR"/>
        </w:rPr>
        <w:t>article</w:t>
      </w:r>
      <w:r>
        <w:rPr>
          <w:lang w:val="fr-FR"/>
        </w:rPr>
        <w:t> </w:t>
      </w:r>
      <w:r w:rsidRPr="002B6E68">
        <w:rPr>
          <w:lang w:val="fr-FR"/>
        </w:rPr>
        <w:t>422 (par</w:t>
      </w:r>
      <w:r w:rsidRPr="00BA7980">
        <w:rPr>
          <w:lang w:val="fr-FR"/>
        </w:rPr>
        <w:t>.</w:t>
      </w:r>
      <w:r w:rsidRPr="002B6E68">
        <w:rPr>
          <w:lang w:val="fr-FR"/>
        </w:rPr>
        <w:t> 1</w:t>
      </w:r>
      <w:r>
        <w:rPr>
          <w:lang w:val="fr-FR"/>
        </w:rPr>
        <w:t> </w:t>
      </w:r>
      <w:r w:rsidRPr="002B6E68">
        <w:rPr>
          <w:lang w:val="fr-FR"/>
        </w:rPr>
        <w:t>5)) du Code de procédure pénale, de rouvrir des affaires pénales terminées et d</w:t>
      </w:r>
      <w:r w:rsidR="00390237">
        <w:rPr>
          <w:lang w:val="fr-FR"/>
        </w:rPr>
        <w:t>’</w:t>
      </w:r>
      <w:r w:rsidRPr="002B6E68">
        <w:rPr>
          <w:lang w:val="fr-FR"/>
        </w:rPr>
        <w:t xml:space="preserve">annuler des décisions </w:t>
      </w:r>
      <w:r>
        <w:rPr>
          <w:lang w:val="fr-FR"/>
        </w:rPr>
        <w:t>exécutoires</w:t>
      </w:r>
      <w:r w:rsidRPr="00BA7980">
        <w:rPr>
          <w:lang w:val="fr-FR"/>
        </w:rPr>
        <w:t>.</w:t>
      </w:r>
      <w:r w:rsidRPr="002B6E68">
        <w:rPr>
          <w:lang w:val="fr-FR"/>
        </w:rPr>
        <w:t xml:space="preserve"> Cette disposition </w:t>
      </w:r>
      <w:r>
        <w:rPr>
          <w:lang w:val="fr-FR"/>
        </w:rPr>
        <w:t xml:space="preserve">renvoie expressément </w:t>
      </w:r>
      <w:r w:rsidRPr="002B6E68">
        <w:rPr>
          <w:lang w:val="fr-FR"/>
        </w:rPr>
        <w:t xml:space="preserve">aux trois motifs </w:t>
      </w:r>
      <w:r>
        <w:rPr>
          <w:lang w:val="fr-FR"/>
        </w:rPr>
        <w:t xml:space="preserve">de </w:t>
      </w:r>
      <w:r w:rsidRPr="002B6E68">
        <w:rPr>
          <w:lang w:val="fr-FR"/>
        </w:rPr>
        <w:t>cassation énoncés à l</w:t>
      </w:r>
      <w:r w:rsidR="00390237">
        <w:rPr>
          <w:lang w:val="fr-FR"/>
        </w:rPr>
        <w:t>’</w:t>
      </w:r>
      <w:r w:rsidRPr="002B6E68">
        <w:rPr>
          <w:lang w:val="fr-FR"/>
        </w:rPr>
        <w:t xml:space="preserve">article 348 </w:t>
      </w:r>
      <w:r w:rsidRPr="00D1453F">
        <w:rPr>
          <w:lang w:val="fr-FR"/>
        </w:rPr>
        <w:t>(par. 1) du</w:t>
      </w:r>
      <w:r w:rsidRPr="002B6E68">
        <w:rPr>
          <w:lang w:val="fr-FR"/>
        </w:rPr>
        <w:t xml:space="preserve"> Code, </w:t>
      </w:r>
      <w:r>
        <w:rPr>
          <w:lang w:val="fr-FR"/>
        </w:rPr>
        <w:t>à savoir </w:t>
      </w:r>
      <w:r w:rsidRPr="002B6E68">
        <w:rPr>
          <w:lang w:val="fr-FR"/>
        </w:rPr>
        <w:t xml:space="preserve">: </w:t>
      </w:r>
      <w:r>
        <w:rPr>
          <w:lang w:val="fr-FR"/>
        </w:rPr>
        <w:t>a) une v</w:t>
      </w:r>
      <w:r w:rsidRPr="002B6E68">
        <w:rPr>
          <w:lang w:val="fr-FR"/>
        </w:rPr>
        <w:t xml:space="preserve">iolation de la loi ; </w:t>
      </w:r>
      <w:r>
        <w:rPr>
          <w:lang w:val="fr-FR"/>
        </w:rPr>
        <w:t>b) une v</w:t>
      </w:r>
      <w:r w:rsidRPr="002B6E68">
        <w:rPr>
          <w:lang w:val="fr-FR"/>
        </w:rPr>
        <w:t>iolation grave des règles de procédure</w:t>
      </w:r>
      <w:r>
        <w:rPr>
          <w:lang w:val="fr-FR"/>
        </w:rPr>
        <w:t> </w:t>
      </w:r>
      <w:r w:rsidRPr="002B6E68">
        <w:rPr>
          <w:lang w:val="fr-FR"/>
        </w:rPr>
        <w:t xml:space="preserve">; </w:t>
      </w:r>
      <w:r>
        <w:rPr>
          <w:lang w:val="fr-FR"/>
        </w:rPr>
        <w:t xml:space="preserve">et c) une peine </w:t>
      </w:r>
      <w:r w:rsidRPr="002B6E68">
        <w:rPr>
          <w:lang w:val="fr-FR"/>
        </w:rPr>
        <w:t>manifestement injuste</w:t>
      </w:r>
      <w:r w:rsidRPr="00BA7980">
        <w:rPr>
          <w:lang w:val="fr-FR"/>
        </w:rPr>
        <w:t>.</w:t>
      </w:r>
      <w:r w:rsidRPr="002B6E68">
        <w:rPr>
          <w:lang w:val="fr-FR"/>
        </w:rPr>
        <w:t xml:space="preserve"> Selon l</w:t>
      </w:r>
      <w:r w:rsidR="00390237">
        <w:rPr>
          <w:lang w:val="fr-FR"/>
        </w:rPr>
        <w:t>’</w:t>
      </w:r>
      <w:r w:rsidRPr="002B6E68">
        <w:rPr>
          <w:lang w:val="fr-FR"/>
        </w:rPr>
        <w:t xml:space="preserve">auteur, le flou </w:t>
      </w:r>
      <w:r>
        <w:rPr>
          <w:lang w:val="fr-FR"/>
        </w:rPr>
        <w:t xml:space="preserve">dans la distinction entre les motifs de </w:t>
      </w:r>
      <w:r w:rsidRPr="002B6E68">
        <w:rPr>
          <w:lang w:val="fr-FR"/>
        </w:rPr>
        <w:t>cassation énoncés à l</w:t>
      </w:r>
      <w:r w:rsidR="00390237">
        <w:rPr>
          <w:lang w:val="fr-FR"/>
        </w:rPr>
        <w:t>’</w:t>
      </w:r>
      <w:r w:rsidRPr="002B6E68">
        <w:rPr>
          <w:lang w:val="fr-FR"/>
        </w:rPr>
        <w:t xml:space="preserve">article 348 du Code de procédure pénale et les </w:t>
      </w:r>
      <w:r>
        <w:rPr>
          <w:lang w:val="fr-FR"/>
        </w:rPr>
        <w:t xml:space="preserve">motifs </w:t>
      </w:r>
      <w:r w:rsidRPr="002B6E68">
        <w:rPr>
          <w:lang w:val="fr-FR"/>
        </w:rPr>
        <w:t>d</w:t>
      </w:r>
      <w:r w:rsidR="00390237">
        <w:rPr>
          <w:lang w:val="fr-FR"/>
        </w:rPr>
        <w:t>’</w:t>
      </w:r>
      <w:r w:rsidRPr="002B6E68">
        <w:rPr>
          <w:lang w:val="fr-FR"/>
        </w:rPr>
        <w:t>annulation énoncés à l</w:t>
      </w:r>
      <w:r w:rsidR="00390237">
        <w:rPr>
          <w:lang w:val="fr-FR"/>
        </w:rPr>
        <w:t>’</w:t>
      </w:r>
      <w:r w:rsidRPr="002B6E68">
        <w:rPr>
          <w:lang w:val="fr-FR"/>
        </w:rPr>
        <w:t>article</w:t>
      </w:r>
      <w:r>
        <w:rPr>
          <w:lang w:val="fr-FR"/>
        </w:rPr>
        <w:t> </w:t>
      </w:r>
      <w:r w:rsidRPr="002B6E68">
        <w:rPr>
          <w:lang w:val="fr-FR"/>
        </w:rPr>
        <w:t xml:space="preserve">422 </w:t>
      </w:r>
      <w:r>
        <w:rPr>
          <w:lang w:val="fr-FR"/>
        </w:rPr>
        <w:t>du même c</w:t>
      </w:r>
      <w:r w:rsidRPr="002B6E68">
        <w:rPr>
          <w:lang w:val="fr-FR"/>
        </w:rPr>
        <w:t xml:space="preserve">ode permet une interprétation contradictoire et une application arbitraire des </w:t>
      </w:r>
      <w:r>
        <w:rPr>
          <w:lang w:val="fr-FR"/>
        </w:rPr>
        <w:t xml:space="preserve">motifs </w:t>
      </w:r>
      <w:r w:rsidRPr="002B6E68">
        <w:rPr>
          <w:lang w:val="fr-FR"/>
        </w:rPr>
        <w:t>d</w:t>
      </w:r>
      <w:r w:rsidR="00390237">
        <w:rPr>
          <w:lang w:val="fr-FR"/>
        </w:rPr>
        <w:t>’</w:t>
      </w:r>
      <w:r w:rsidRPr="002B6E68">
        <w:rPr>
          <w:lang w:val="fr-FR"/>
        </w:rPr>
        <w:t>annulation</w:t>
      </w:r>
      <w:r w:rsidRPr="00BA7980">
        <w:rPr>
          <w:lang w:val="fr-FR"/>
        </w:rPr>
        <w:t>.</w:t>
      </w:r>
      <w:r w:rsidRPr="002B6E68">
        <w:rPr>
          <w:lang w:val="fr-FR"/>
        </w:rPr>
        <w:t xml:space="preserve"> Cette situation indéterminée et imprévisible </w:t>
      </w:r>
      <w:r>
        <w:rPr>
          <w:lang w:val="fr-FR"/>
        </w:rPr>
        <w:t xml:space="preserve">porte atteinte au </w:t>
      </w:r>
      <w:r w:rsidRPr="002B6E68">
        <w:rPr>
          <w:lang w:val="fr-FR"/>
        </w:rPr>
        <w:t xml:space="preserve">principe de la </w:t>
      </w:r>
      <w:r>
        <w:rPr>
          <w:lang w:val="fr-FR"/>
        </w:rPr>
        <w:t>sécurité</w:t>
      </w:r>
      <w:r w:rsidRPr="002B6E68">
        <w:rPr>
          <w:lang w:val="fr-FR"/>
        </w:rPr>
        <w:t xml:space="preserve"> juridique</w:t>
      </w:r>
      <w:r w:rsidRPr="00BA7980">
        <w:rPr>
          <w:lang w:val="fr-FR"/>
        </w:rPr>
        <w:t>.</w:t>
      </w:r>
      <w:r w:rsidRPr="002B6E68">
        <w:rPr>
          <w:lang w:val="fr-FR"/>
        </w:rPr>
        <w:t xml:space="preserve"> Le terme « procès équitable » suppose implicitement que le droit applicable soit clair et les conséquences juridiques d</w:t>
      </w:r>
      <w:r w:rsidR="00390237">
        <w:rPr>
          <w:lang w:val="fr-FR"/>
        </w:rPr>
        <w:t>’</w:t>
      </w:r>
      <w:r w:rsidRPr="002B6E68">
        <w:rPr>
          <w:lang w:val="fr-FR"/>
        </w:rPr>
        <w:t>une loi donnée prévisibles</w:t>
      </w:r>
      <w:r w:rsidRPr="00BA7980">
        <w:rPr>
          <w:lang w:val="fr-FR"/>
        </w:rPr>
        <w:t>.</w:t>
      </w:r>
    </w:p>
    <w:p w14:paraId="25BED001" w14:textId="0A4F0590"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10</w:t>
      </w:r>
      <w:r w:rsidRPr="002B6E68">
        <w:rPr>
          <w:lang w:val="fr-FR"/>
        </w:rPr>
        <w:tab/>
      </w:r>
      <w:r>
        <w:rPr>
          <w:lang w:val="fr-FR"/>
        </w:rPr>
        <w:t>L</w:t>
      </w:r>
      <w:r w:rsidR="00390237">
        <w:rPr>
          <w:lang w:val="fr-FR"/>
        </w:rPr>
        <w:t>’</w:t>
      </w:r>
      <w:r w:rsidRPr="002B6E68">
        <w:rPr>
          <w:lang w:val="fr-FR"/>
        </w:rPr>
        <w:t xml:space="preserve">auteur </w:t>
      </w:r>
      <w:r>
        <w:rPr>
          <w:lang w:val="fr-FR"/>
        </w:rPr>
        <w:t xml:space="preserve">affirme que </w:t>
      </w:r>
      <w:r w:rsidRPr="002B6E68">
        <w:rPr>
          <w:lang w:val="fr-FR"/>
        </w:rPr>
        <w:t>l</w:t>
      </w:r>
      <w:r w:rsidR="00390237">
        <w:rPr>
          <w:lang w:val="fr-FR"/>
        </w:rPr>
        <w:t>’</w:t>
      </w:r>
      <w:r w:rsidRPr="002B6E68">
        <w:rPr>
          <w:lang w:val="fr-FR"/>
        </w:rPr>
        <w:t>État partie a violé les droits qu</w:t>
      </w:r>
      <w:r w:rsidR="00390237">
        <w:rPr>
          <w:lang w:val="fr-FR"/>
        </w:rPr>
        <w:t>’</w:t>
      </w:r>
      <w:r w:rsidRPr="002B6E68">
        <w:rPr>
          <w:lang w:val="fr-FR"/>
        </w:rPr>
        <w:t>il tient de l</w:t>
      </w:r>
      <w:r w:rsidR="00390237">
        <w:rPr>
          <w:lang w:val="fr-FR"/>
        </w:rPr>
        <w:t>’</w:t>
      </w:r>
      <w:r w:rsidRPr="002B6E68">
        <w:rPr>
          <w:lang w:val="fr-FR"/>
        </w:rPr>
        <w:t>article 2 (par</w:t>
      </w:r>
      <w:r w:rsidRPr="00BA7980">
        <w:rPr>
          <w:lang w:val="fr-FR"/>
        </w:rPr>
        <w:t>.</w:t>
      </w:r>
      <w:r w:rsidRPr="002B6E68">
        <w:rPr>
          <w:lang w:val="fr-FR"/>
        </w:rPr>
        <w:t> 3 a))</w:t>
      </w:r>
      <w:r>
        <w:rPr>
          <w:lang w:val="fr-FR"/>
        </w:rPr>
        <w:t xml:space="preserve"> du Pacte</w:t>
      </w:r>
      <w:r w:rsidRPr="002B6E68">
        <w:rPr>
          <w:lang w:val="fr-FR"/>
        </w:rPr>
        <w:t xml:space="preserve"> en ce qu</w:t>
      </w:r>
      <w:r w:rsidR="00390237">
        <w:rPr>
          <w:lang w:val="fr-FR"/>
        </w:rPr>
        <w:t>’</w:t>
      </w:r>
      <w:r w:rsidRPr="002B6E68">
        <w:rPr>
          <w:lang w:val="fr-FR"/>
        </w:rPr>
        <w:t>il n</w:t>
      </w:r>
      <w:r w:rsidR="00390237">
        <w:rPr>
          <w:lang w:val="fr-FR"/>
        </w:rPr>
        <w:t>’</w:t>
      </w:r>
      <w:r w:rsidRPr="002B6E68">
        <w:rPr>
          <w:lang w:val="fr-FR"/>
        </w:rPr>
        <w:t>a pas mené une enquête équitable, efficace et complète sur ses allégations de violence</w:t>
      </w:r>
      <w:r>
        <w:rPr>
          <w:lang w:val="fr-FR"/>
        </w:rPr>
        <w:t>s</w:t>
      </w:r>
      <w:r w:rsidRPr="002B6E68">
        <w:rPr>
          <w:lang w:val="fr-FR"/>
        </w:rPr>
        <w:t xml:space="preserve"> policière</w:t>
      </w:r>
      <w:r>
        <w:rPr>
          <w:lang w:val="fr-FR"/>
        </w:rPr>
        <w:t>s</w:t>
      </w:r>
      <w:r w:rsidRPr="00BA7980">
        <w:rPr>
          <w:lang w:val="fr-FR"/>
        </w:rPr>
        <w:t>.</w:t>
      </w:r>
      <w:r w:rsidRPr="002B6E68">
        <w:rPr>
          <w:lang w:val="fr-FR"/>
        </w:rPr>
        <w:t xml:space="preserve"> Il n</w:t>
      </w:r>
      <w:r>
        <w:rPr>
          <w:lang w:val="fr-FR"/>
        </w:rPr>
        <w:t>e l</w:t>
      </w:r>
      <w:r w:rsidR="00390237">
        <w:rPr>
          <w:lang w:val="fr-FR"/>
        </w:rPr>
        <w:t>’</w:t>
      </w:r>
      <w:r w:rsidRPr="002B6E68">
        <w:rPr>
          <w:lang w:val="fr-FR"/>
        </w:rPr>
        <w:t xml:space="preserve">a pas non plus indemnisé pour le préjudice </w:t>
      </w:r>
      <w:r>
        <w:rPr>
          <w:lang w:val="fr-FR"/>
        </w:rPr>
        <w:t xml:space="preserve">que lui a causé </w:t>
      </w:r>
      <w:r w:rsidRPr="002B6E68">
        <w:rPr>
          <w:lang w:val="fr-FR"/>
        </w:rPr>
        <w:t>la violation des droits qu</w:t>
      </w:r>
      <w:r w:rsidR="00390237">
        <w:rPr>
          <w:lang w:val="fr-FR"/>
        </w:rPr>
        <w:t>’</w:t>
      </w:r>
      <w:r w:rsidRPr="002B6E68">
        <w:rPr>
          <w:lang w:val="fr-FR"/>
        </w:rPr>
        <w:t xml:space="preserve">il </w:t>
      </w:r>
      <w:r>
        <w:rPr>
          <w:lang w:val="fr-FR"/>
        </w:rPr>
        <w:t xml:space="preserve">tenait </w:t>
      </w:r>
      <w:r w:rsidRPr="002B6E68">
        <w:rPr>
          <w:lang w:val="fr-FR"/>
        </w:rPr>
        <w:t>des articles</w:t>
      </w:r>
      <w:r w:rsidR="00A25EBD">
        <w:rPr>
          <w:lang w:val="fr-FR"/>
        </w:rPr>
        <w:t> </w:t>
      </w:r>
      <w:r w:rsidRPr="002B6E68">
        <w:rPr>
          <w:lang w:val="fr-FR"/>
        </w:rPr>
        <w:t>7 et 14 du Pacte</w:t>
      </w:r>
      <w:r w:rsidRPr="00BA7980">
        <w:rPr>
          <w:lang w:val="fr-FR"/>
        </w:rPr>
        <w:t>.</w:t>
      </w:r>
    </w:p>
    <w:p w14:paraId="243E86B0" w14:textId="63501077" w:rsidR="00F85A35" w:rsidRPr="002B6E68" w:rsidRDefault="00F85A35" w:rsidP="00F85A35">
      <w:pPr>
        <w:pStyle w:val="SingleTxtG"/>
        <w:rPr>
          <w:lang w:val="fr-FR"/>
        </w:rPr>
      </w:pPr>
      <w:r w:rsidRPr="002B6E68">
        <w:rPr>
          <w:lang w:val="fr-FR"/>
        </w:rPr>
        <w:t>3</w:t>
      </w:r>
      <w:r w:rsidRPr="00BA7980">
        <w:rPr>
          <w:lang w:val="fr-FR"/>
        </w:rPr>
        <w:t>.</w:t>
      </w:r>
      <w:r w:rsidRPr="002B6E68">
        <w:rPr>
          <w:lang w:val="fr-FR"/>
        </w:rPr>
        <w:t>11</w:t>
      </w:r>
      <w:r w:rsidRPr="002B6E68">
        <w:rPr>
          <w:lang w:val="fr-FR"/>
        </w:rPr>
        <w:tab/>
        <w:t>L</w:t>
      </w:r>
      <w:r w:rsidR="00390237">
        <w:rPr>
          <w:lang w:val="fr-FR"/>
        </w:rPr>
        <w:t>’</w:t>
      </w:r>
      <w:r w:rsidRPr="002B6E68">
        <w:rPr>
          <w:lang w:val="fr-FR"/>
        </w:rPr>
        <w:t>auteur demande au Comité d</w:t>
      </w:r>
      <w:r w:rsidR="00390237">
        <w:rPr>
          <w:lang w:val="fr-FR"/>
        </w:rPr>
        <w:t>’</w:t>
      </w:r>
      <w:r w:rsidRPr="002B6E68">
        <w:rPr>
          <w:lang w:val="fr-FR"/>
        </w:rPr>
        <w:t>ordonner à l</w:t>
      </w:r>
      <w:r w:rsidR="00390237">
        <w:rPr>
          <w:lang w:val="fr-FR"/>
        </w:rPr>
        <w:t>’</w:t>
      </w:r>
      <w:r w:rsidRPr="002B6E68">
        <w:rPr>
          <w:lang w:val="fr-FR"/>
        </w:rPr>
        <w:t>État partie de rouvrir la procédure pénale contre les policiers qui l</w:t>
      </w:r>
      <w:r w:rsidR="00390237">
        <w:rPr>
          <w:lang w:val="fr-FR"/>
        </w:rPr>
        <w:t>’</w:t>
      </w:r>
      <w:r w:rsidRPr="002B6E68">
        <w:rPr>
          <w:lang w:val="fr-FR"/>
        </w:rPr>
        <w:t>ont maltraité physiquement et de lui accorder une indemnisation appropriée</w:t>
      </w:r>
      <w:r w:rsidRPr="00BA7980">
        <w:rPr>
          <w:lang w:val="fr-FR"/>
        </w:rPr>
        <w:t>.</w:t>
      </w:r>
    </w:p>
    <w:p w14:paraId="0DC1DCFE" w14:textId="0A457B85" w:rsidR="00F85A35" w:rsidRPr="002B6E68" w:rsidRDefault="00F85A35" w:rsidP="00A25EBD">
      <w:pPr>
        <w:pStyle w:val="H23G"/>
        <w:tabs>
          <w:tab w:val="left" w:pos="1134"/>
          <w:tab w:val="left" w:pos="1701"/>
          <w:tab w:val="left" w:pos="2268"/>
          <w:tab w:val="left" w:pos="2835"/>
          <w:tab w:val="left" w:pos="3402"/>
          <w:tab w:val="left" w:pos="3969"/>
          <w:tab w:val="left" w:pos="4536"/>
          <w:tab w:val="left" w:pos="5103"/>
          <w:tab w:val="left" w:pos="5670"/>
          <w:tab w:val="left" w:pos="6237"/>
          <w:tab w:val="right" w:pos="8504"/>
        </w:tabs>
        <w:rPr>
          <w:lang w:val="fr-FR"/>
        </w:rPr>
      </w:pPr>
      <w:r w:rsidRPr="002B6E68">
        <w:rPr>
          <w:lang w:val="fr-FR"/>
        </w:rPr>
        <w:tab/>
      </w:r>
      <w:r w:rsidRPr="002B6E68">
        <w:rPr>
          <w:lang w:val="fr-FR"/>
        </w:rPr>
        <w:tab/>
        <w:t>Observations de l</w:t>
      </w:r>
      <w:r w:rsidR="00390237">
        <w:rPr>
          <w:lang w:val="fr-FR"/>
        </w:rPr>
        <w:t>’</w:t>
      </w:r>
      <w:r w:rsidRPr="002B6E68">
        <w:rPr>
          <w:lang w:val="fr-FR"/>
        </w:rPr>
        <w:t>État partie sur la recevabilité et sur le fond</w:t>
      </w:r>
    </w:p>
    <w:p w14:paraId="6147A196" w14:textId="5802FEEF"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1</w:t>
      </w:r>
      <w:r w:rsidRPr="002B6E68">
        <w:rPr>
          <w:lang w:val="fr-FR"/>
        </w:rPr>
        <w:tab/>
        <w:t>Dans une note verbale datée du 12 avril 2017, l</w:t>
      </w:r>
      <w:r w:rsidR="00390237">
        <w:rPr>
          <w:lang w:val="fr-FR"/>
        </w:rPr>
        <w:t>’</w:t>
      </w:r>
      <w:r w:rsidRPr="002B6E68">
        <w:rPr>
          <w:lang w:val="fr-FR"/>
        </w:rPr>
        <w:t xml:space="preserve">État partie a </w:t>
      </w:r>
      <w:r>
        <w:rPr>
          <w:lang w:val="fr-FR"/>
        </w:rPr>
        <w:t xml:space="preserve">présenté </w:t>
      </w:r>
      <w:r w:rsidRPr="002B6E68">
        <w:rPr>
          <w:lang w:val="fr-FR"/>
        </w:rPr>
        <w:t>ses observations sur la recevabilité et sur le fond de la communication</w:t>
      </w:r>
      <w:r w:rsidRPr="00BA7980">
        <w:rPr>
          <w:lang w:val="fr-FR"/>
        </w:rPr>
        <w:t>.</w:t>
      </w:r>
    </w:p>
    <w:p w14:paraId="140EE2DE" w14:textId="1E9909CC"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2</w:t>
      </w:r>
      <w:r w:rsidRPr="002B6E68">
        <w:rPr>
          <w:lang w:val="fr-FR"/>
        </w:rPr>
        <w:tab/>
        <w:t>L</w:t>
      </w:r>
      <w:r w:rsidR="00390237">
        <w:rPr>
          <w:lang w:val="fr-FR"/>
        </w:rPr>
        <w:t>’</w:t>
      </w:r>
      <w:r w:rsidRPr="002B6E68">
        <w:rPr>
          <w:lang w:val="fr-FR"/>
        </w:rPr>
        <w:t xml:space="preserve">État partie affirme </w:t>
      </w:r>
      <w:r>
        <w:rPr>
          <w:lang w:val="fr-FR"/>
        </w:rPr>
        <w:t>qu</w:t>
      </w:r>
      <w:r w:rsidR="00390237">
        <w:rPr>
          <w:lang w:val="fr-FR"/>
        </w:rPr>
        <w:t>’</w:t>
      </w:r>
      <w:r>
        <w:rPr>
          <w:lang w:val="fr-FR"/>
        </w:rPr>
        <w:t>à la suite de l</w:t>
      </w:r>
      <w:r w:rsidR="00390237">
        <w:rPr>
          <w:lang w:val="fr-FR"/>
        </w:rPr>
        <w:t>’</w:t>
      </w:r>
      <w:r w:rsidRPr="002B6E68">
        <w:rPr>
          <w:lang w:val="fr-FR"/>
        </w:rPr>
        <w:t xml:space="preserve">intervention policière visant à arrêter un trafiquant </w:t>
      </w:r>
      <w:r>
        <w:rPr>
          <w:lang w:val="fr-FR"/>
        </w:rPr>
        <w:t>de drogues durant laquelle l</w:t>
      </w:r>
      <w:r w:rsidR="00390237">
        <w:rPr>
          <w:lang w:val="fr-FR"/>
        </w:rPr>
        <w:t>’</w:t>
      </w:r>
      <w:r>
        <w:rPr>
          <w:lang w:val="fr-FR"/>
        </w:rPr>
        <w:t xml:space="preserve">auteur a subi un préjudice corporel mineur, </w:t>
      </w:r>
      <w:r w:rsidRPr="002B6E68">
        <w:rPr>
          <w:lang w:val="fr-FR"/>
        </w:rPr>
        <w:t>une commission de discipline a été mise en place le 16 septembre 2005 sur ordre du Directeur du Département du Ministère de l</w:t>
      </w:r>
      <w:r w:rsidR="00390237">
        <w:rPr>
          <w:lang w:val="fr-FR"/>
        </w:rPr>
        <w:t>’</w:t>
      </w:r>
      <w:r w:rsidRPr="002B6E68">
        <w:rPr>
          <w:lang w:val="fr-FR"/>
        </w:rPr>
        <w:t xml:space="preserve">intérieur dans le district de </w:t>
      </w:r>
      <w:r w:rsidRPr="008B667D">
        <w:t>Kardzhali</w:t>
      </w:r>
      <w:r w:rsidRPr="00BA7980">
        <w:rPr>
          <w:lang w:val="fr-FR"/>
        </w:rPr>
        <w:t>.</w:t>
      </w:r>
      <w:r w:rsidRPr="002B6E68">
        <w:rPr>
          <w:lang w:val="fr-FR"/>
        </w:rPr>
        <w:t xml:space="preserve"> Au cours de l</w:t>
      </w:r>
      <w:r w:rsidR="00390237">
        <w:rPr>
          <w:lang w:val="fr-FR"/>
        </w:rPr>
        <w:t>’</w:t>
      </w:r>
      <w:r w:rsidRPr="002B6E68">
        <w:rPr>
          <w:lang w:val="fr-FR"/>
        </w:rPr>
        <w:t>enquête, l</w:t>
      </w:r>
      <w:r w:rsidR="00390237">
        <w:rPr>
          <w:lang w:val="fr-FR"/>
        </w:rPr>
        <w:t>’</w:t>
      </w:r>
      <w:r w:rsidRPr="002B6E68">
        <w:rPr>
          <w:lang w:val="fr-FR"/>
        </w:rPr>
        <w:t>auteur et les témoins ont fait des dépositions et des rapports ont été demandés aux policiers concernés</w:t>
      </w:r>
      <w:r w:rsidRPr="00BA7980">
        <w:rPr>
          <w:lang w:val="fr-FR"/>
        </w:rPr>
        <w:t>.</w:t>
      </w:r>
      <w:r w:rsidRPr="002B6E68">
        <w:rPr>
          <w:lang w:val="fr-FR"/>
        </w:rPr>
        <w:t xml:space="preserve"> </w:t>
      </w:r>
      <w:r>
        <w:rPr>
          <w:lang w:val="fr-FR"/>
        </w:rPr>
        <w:t>L</w:t>
      </w:r>
      <w:r w:rsidR="00390237">
        <w:rPr>
          <w:lang w:val="fr-FR"/>
        </w:rPr>
        <w:t>’</w:t>
      </w:r>
      <w:r>
        <w:rPr>
          <w:lang w:val="fr-FR"/>
        </w:rPr>
        <w:t xml:space="preserve">État partie a joint à sa réponse </w:t>
      </w:r>
      <w:r w:rsidR="00D1453F">
        <w:rPr>
          <w:lang w:val="fr-FR"/>
        </w:rPr>
        <w:t>le</w:t>
      </w:r>
      <w:r>
        <w:rPr>
          <w:lang w:val="fr-FR"/>
        </w:rPr>
        <w:t xml:space="preserve"> </w:t>
      </w:r>
      <w:r w:rsidRPr="002B6E68">
        <w:rPr>
          <w:lang w:val="fr-FR"/>
        </w:rPr>
        <w:t>certificat médico-</w:t>
      </w:r>
      <w:r w:rsidRPr="00D1453F">
        <w:rPr>
          <w:lang w:val="fr-FR"/>
        </w:rPr>
        <w:t>légal n</w:t>
      </w:r>
      <w:r w:rsidRPr="00D1453F">
        <w:rPr>
          <w:vertAlign w:val="superscript"/>
          <w:lang w:val="fr-FR"/>
        </w:rPr>
        <w:t>o</w:t>
      </w:r>
      <w:r w:rsidRPr="00D1453F">
        <w:rPr>
          <w:lang w:val="fr-FR"/>
        </w:rPr>
        <w:t> 264/05, daté</w:t>
      </w:r>
      <w:r w:rsidRPr="002B6E68">
        <w:rPr>
          <w:lang w:val="fr-FR"/>
        </w:rPr>
        <w:t xml:space="preserve"> du 17</w:t>
      </w:r>
      <w:r>
        <w:rPr>
          <w:lang w:val="fr-FR"/>
        </w:rPr>
        <w:t> </w:t>
      </w:r>
      <w:r w:rsidRPr="002B6E68">
        <w:rPr>
          <w:lang w:val="fr-FR"/>
        </w:rPr>
        <w:t>septembre 2005</w:t>
      </w:r>
      <w:r w:rsidRPr="00BA7980">
        <w:rPr>
          <w:lang w:val="fr-FR"/>
        </w:rPr>
        <w:t>.</w:t>
      </w:r>
      <w:r w:rsidRPr="002B6E68">
        <w:rPr>
          <w:lang w:val="fr-FR"/>
        </w:rPr>
        <w:t xml:space="preserve"> La commission de discipline a établi que, même si l</w:t>
      </w:r>
      <w:r w:rsidR="00390237">
        <w:rPr>
          <w:lang w:val="fr-FR"/>
        </w:rPr>
        <w:t>’</w:t>
      </w:r>
      <w:r w:rsidRPr="002B6E68">
        <w:rPr>
          <w:lang w:val="fr-FR"/>
        </w:rPr>
        <w:t xml:space="preserve">auteur ressemblait à la personne recherchée pour achat de stupéfiants, les deux agents avaient agi de manière impétueuse, présomptueuse et </w:t>
      </w:r>
      <w:r>
        <w:rPr>
          <w:lang w:val="fr-FR"/>
        </w:rPr>
        <w:t xml:space="preserve">tactiquement inadéquate </w:t>
      </w:r>
      <w:r w:rsidRPr="002B6E68">
        <w:rPr>
          <w:lang w:val="fr-FR"/>
        </w:rPr>
        <w:t>et n</w:t>
      </w:r>
      <w:r w:rsidR="00390237">
        <w:rPr>
          <w:lang w:val="fr-FR"/>
        </w:rPr>
        <w:t>’</w:t>
      </w:r>
      <w:r w:rsidRPr="002B6E68">
        <w:rPr>
          <w:lang w:val="fr-FR"/>
        </w:rPr>
        <w:t>étaient pas préparés à réagir à une éventuelle résistance</w:t>
      </w:r>
      <w:r w:rsidRPr="00BA7980">
        <w:rPr>
          <w:lang w:val="fr-FR"/>
        </w:rPr>
        <w:t>.</w:t>
      </w:r>
      <w:r w:rsidRPr="002B6E68">
        <w:rPr>
          <w:lang w:val="fr-FR"/>
        </w:rPr>
        <w:t xml:space="preserve"> Ils </w:t>
      </w:r>
      <w:r>
        <w:rPr>
          <w:lang w:val="fr-FR"/>
        </w:rPr>
        <w:t>ne s</w:t>
      </w:r>
      <w:r w:rsidR="00390237">
        <w:rPr>
          <w:lang w:val="fr-FR"/>
        </w:rPr>
        <w:t>’</w:t>
      </w:r>
      <w:r>
        <w:rPr>
          <w:lang w:val="fr-FR"/>
        </w:rPr>
        <w:t xml:space="preserve">étaient pas assurés </w:t>
      </w:r>
      <w:r w:rsidRPr="002B6E68">
        <w:rPr>
          <w:lang w:val="fr-FR"/>
        </w:rPr>
        <w:t>que l</w:t>
      </w:r>
      <w:r w:rsidR="00390237">
        <w:rPr>
          <w:lang w:val="fr-FR"/>
        </w:rPr>
        <w:t>’</w:t>
      </w:r>
      <w:r w:rsidRPr="002B6E68">
        <w:rPr>
          <w:lang w:val="fr-FR"/>
        </w:rPr>
        <w:t>auteur avait compris qu</w:t>
      </w:r>
      <w:r w:rsidR="00390237">
        <w:rPr>
          <w:lang w:val="fr-FR"/>
        </w:rPr>
        <w:t>’</w:t>
      </w:r>
      <w:r w:rsidRPr="002B6E68">
        <w:rPr>
          <w:lang w:val="fr-FR"/>
        </w:rPr>
        <w:t xml:space="preserve">ils étaient des </w:t>
      </w:r>
      <w:r>
        <w:rPr>
          <w:lang w:val="fr-FR"/>
        </w:rPr>
        <w:t xml:space="preserve">policiers </w:t>
      </w:r>
      <w:r w:rsidRPr="002B6E68">
        <w:rPr>
          <w:lang w:val="fr-FR"/>
        </w:rPr>
        <w:t>et avaient employé une force qui n</w:t>
      </w:r>
      <w:r w:rsidR="00390237">
        <w:rPr>
          <w:lang w:val="fr-FR"/>
        </w:rPr>
        <w:t>’</w:t>
      </w:r>
      <w:r w:rsidRPr="002B6E68">
        <w:rPr>
          <w:lang w:val="fr-FR"/>
        </w:rPr>
        <w:t xml:space="preserve">était ni proportionnée ni </w:t>
      </w:r>
      <w:r>
        <w:rPr>
          <w:lang w:val="fr-FR"/>
        </w:rPr>
        <w:t xml:space="preserve">adaptée </w:t>
      </w:r>
      <w:r w:rsidRPr="002B6E68">
        <w:rPr>
          <w:lang w:val="fr-FR"/>
        </w:rPr>
        <w:t>à la situation</w:t>
      </w:r>
      <w:r>
        <w:rPr>
          <w:lang w:val="fr-FR"/>
        </w:rPr>
        <w:t>,</w:t>
      </w:r>
      <w:r w:rsidRPr="002B6E68">
        <w:rPr>
          <w:lang w:val="fr-FR"/>
        </w:rPr>
        <w:t xml:space="preserve"> même si l</w:t>
      </w:r>
      <w:r w:rsidR="00390237">
        <w:rPr>
          <w:lang w:val="fr-FR"/>
        </w:rPr>
        <w:t>’</w:t>
      </w:r>
      <w:r w:rsidRPr="002B6E68">
        <w:rPr>
          <w:lang w:val="fr-FR"/>
        </w:rPr>
        <w:t xml:space="preserve">auteur </w:t>
      </w:r>
      <w:r>
        <w:rPr>
          <w:lang w:val="fr-FR"/>
        </w:rPr>
        <w:t xml:space="preserve">les </w:t>
      </w:r>
      <w:r w:rsidRPr="002B6E68">
        <w:rPr>
          <w:lang w:val="fr-FR"/>
        </w:rPr>
        <w:t>avait attaqué</w:t>
      </w:r>
      <w:r>
        <w:rPr>
          <w:lang w:val="fr-FR"/>
        </w:rPr>
        <w:t>s</w:t>
      </w:r>
      <w:r w:rsidRPr="002B6E68">
        <w:rPr>
          <w:lang w:val="fr-FR"/>
        </w:rPr>
        <w:t xml:space="preserve"> </w:t>
      </w:r>
      <w:r>
        <w:rPr>
          <w:lang w:val="fr-FR"/>
        </w:rPr>
        <w:t>parce qu</w:t>
      </w:r>
      <w:r w:rsidR="00390237">
        <w:rPr>
          <w:lang w:val="fr-FR"/>
        </w:rPr>
        <w:t>’</w:t>
      </w:r>
      <w:r>
        <w:rPr>
          <w:lang w:val="fr-FR"/>
        </w:rPr>
        <w:t xml:space="preserve">il </w:t>
      </w:r>
      <w:r w:rsidRPr="002B6E68">
        <w:rPr>
          <w:lang w:val="fr-FR"/>
        </w:rPr>
        <w:t xml:space="preserve">pensait </w:t>
      </w:r>
      <w:r>
        <w:rPr>
          <w:lang w:val="fr-FR"/>
        </w:rPr>
        <w:t xml:space="preserve">être </w:t>
      </w:r>
      <w:r w:rsidRPr="002B6E68">
        <w:rPr>
          <w:lang w:val="fr-FR"/>
        </w:rPr>
        <w:t>agressé pour être volé</w:t>
      </w:r>
      <w:r w:rsidRPr="00BA7980">
        <w:rPr>
          <w:lang w:val="fr-FR"/>
        </w:rPr>
        <w:t>.</w:t>
      </w:r>
      <w:r w:rsidRPr="002B6E68">
        <w:rPr>
          <w:lang w:val="fr-FR"/>
        </w:rPr>
        <w:t xml:space="preserve"> L</w:t>
      </w:r>
      <w:r w:rsidR="00390237">
        <w:rPr>
          <w:lang w:val="fr-FR"/>
        </w:rPr>
        <w:t>’</w:t>
      </w:r>
      <w:r w:rsidRPr="002B6E68">
        <w:rPr>
          <w:lang w:val="fr-FR"/>
        </w:rPr>
        <w:t>emploi de la force n</w:t>
      </w:r>
      <w:r w:rsidR="00390237">
        <w:rPr>
          <w:lang w:val="fr-FR"/>
        </w:rPr>
        <w:t>’</w:t>
      </w:r>
      <w:r w:rsidRPr="002B6E68">
        <w:rPr>
          <w:lang w:val="fr-FR"/>
        </w:rPr>
        <w:t xml:space="preserve">avait pas cessé </w:t>
      </w:r>
      <w:r>
        <w:rPr>
          <w:lang w:val="fr-FR"/>
        </w:rPr>
        <w:t>même après</w:t>
      </w:r>
      <w:r w:rsidRPr="002B6E68">
        <w:rPr>
          <w:lang w:val="fr-FR"/>
        </w:rPr>
        <w:t xml:space="preserve"> que l</w:t>
      </w:r>
      <w:r w:rsidR="00390237">
        <w:rPr>
          <w:lang w:val="fr-FR"/>
        </w:rPr>
        <w:t>’</w:t>
      </w:r>
      <w:r w:rsidRPr="002B6E68">
        <w:rPr>
          <w:lang w:val="fr-FR"/>
        </w:rPr>
        <w:t xml:space="preserve">auteur </w:t>
      </w:r>
      <w:r>
        <w:rPr>
          <w:lang w:val="fr-FR"/>
        </w:rPr>
        <w:t>eut</w:t>
      </w:r>
      <w:r w:rsidRPr="002B6E68">
        <w:rPr>
          <w:lang w:val="fr-FR"/>
        </w:rPr>
        <w:t xml:space="preserve"> été </w:t>
      </w:r>
      <w:r>
        <w:rPr>
          <w:lang w:val="fr-FR"/>
        </w:rPr>
        <w:t>neutralisé</w:t>
      </w:r>
      <w:r w:rsidRPr="002B6E68">
        <w:rPr>
          <w:lang w:val="fr-FR"/>
        </w:rPr>
        <w:t>, en violation des dispositions de l</w:t>
      </w:r>
      <w:r w:rsidR="00390237">
        <w:rPr>
          <w:lang w:val="fr-FR"/>
        </w:rPr>
        <w:t>’</w:t>
      </w:r>
      <w:r w:rsidRPr="002B6E68">
        <w:rPr>
          <w:lang w:val="fr-FR"/>
        </w:rPr>
        <w:t>article</w:t>
      </w:r>
      <w:r w:rsidR="005767AD">
        <w:rPr>
          <w:lang w:val="fr-FR"/>
        </w:rPr>
        <w:t> </w:t>
      </w:r>
      <w:r w:rsidRPr="002B6E68">
        <w:rPr>
          <w:lang w:val="fr-FR"/>
        </w:rPr>
        <w:t>84 du Code de déontologie des agents du Ministère de l</w:t>
      </w:r>
      <w:r w:rsidR="00390237">
        <w:rPr>
          <w:lang w:val="fr-FR"/>
        </w:rPr>
        <w:t>’</w:t>
      </w:r>
      <w:r w:rsidRPr="002B6E68">
        <w:rPr>
          <w:lang w:val="fr-FR"/>
        </w:rPr>
        <w:t>intérieur</w:t>
      </w:r>
      <w:r w:rsidRPr="00BA7980">
        <w:rPr>
          <w:lang w:val="fr-FR"/>
        </w:rPr>
        <w:t>.</w:t>
      </w:r>
      <w:r w:rsidRPr="002B6E68">
        <w:rPr>
          <w:lang w:val="fr-FR"/>
        </w:rPr>
        <w:t xml:space="preserve"> La commission </w:t>
      </w:r>
      <w:r>
        <w:rPr>
          <w:lang w:val="fr-FR"/>
        </w:rPr>
        <w:t xml:space="preserve">de discipline </w:t>
      </w:r>
      <w:r w:rsidRPr="002B6E68">
        <w:rPr>
          <w:lang w:val="fr-FR"/>
        </w:rPr>
        <w:t>a considéré que leurs actions avaient terni la réputation des agents du Ministère de l</w:t>
      </w:r>
      <w:r w:rsidR="00390237">
        <w:rPr>
          <w:lang w:val="fr-FR"/>
        </w:rPr>
        <w:t>’</w:t>
      </w:r>
      <w:r w:rsidRPr="002B6E68">
        <w:rPr>
          <w:lang w:val="fr-FR"/>
        </w:rPr>
        <w:t>intérieur</w:t>
      </w:r>
      <w:r w:rsidRPr="00BA7980">
        <w:rPr>
          <w:lang w:val="fr-FR"/>
        </w:rPr>
        <w:t>.</w:t>
      </w:r>
      <w:r w:rsidRPr="002B6E68">
        <w:rPr>
          <w:lang w:val="fr-FR"/>
        </w:rPr>
        <w:t xml:space="preserve"> Elle a ordonné les sanctions suivantes</w:t>
      </w:r>
      <w:r w:rsidR="00BF2428">
        <w:rPr>
          <w:lang w:val="fr-FR"/>
        </w:rPr>
        <w:t> </w:t>
      </w:r>
      <w:r w:rsidRPr="002B6E68">
        <w:rPr>
          <w:lang w:val="fr-FR"/>
        </w:rPr>
        <w:t>: l</w:t>
      </w:r>
      <w:r w:rsidR="00390237">
        <w:rPr>
          <w:lang w:val="fr-FR"/>
        </w:rPr>
        <w:t>’</w:t>
      </w:r>
      <w:r w:rsidRPr="002B6E68">
        <w:rPr>
          <w:lang w:val="fr-FR"/>
        </w:rPr>
        <w:t xml:space="preserve">un des policiers a reçu un blâme qui resterait inscrit un an dans son dossier et a été </w:t>
      </w:r>
      <w:r>
        <w:rPr>
          <w:lang w:val="fr-FR"/>
        </w:rPr>
        <w:t>muté</w:t>
      </w:r>
      <w:r w:rsidRPr="00454BD4">
        <w:rPr>
          <w:rStyle w:val="Appelnotedebasdep"/>
        </w:rPr>
        <w:footnoteReference w:id="18"/>
      </w:r>
      <w:r w:rsidRPr="002B6E68">
        <w:rPr>
          <w:lang w:val="fr-FR"/>
        </w:rPr>
        <w:t>, l</w:t>
      </w:r>
      <w:r w:rsidR="00390237">
        <w:rPr>
          <w:lang w:val="fr-FR"/>
        </w:rPr>
        <w:t>’</w:t>
      </w:r>
      <w:r w:rsidRPr="002B6E68">
        <w:rPr>
          <w:lang w:val="fr-FR"/>
        </w:rPr>
        <w:t>autre a reçu un blâme qui resterait inscrit six mois dans son dossier</w:t>
      </w:r>
      <w:r w:rsidRPr="00454BD4">
        <w:rPr>
          <w:rStyle w:val="Appelnotedebasdep"/>
        </w:rPr>
        <w:footnoteReference w:id="19"/>
      </w:r>
      <w:r w:rsidRPr="00BA7980">
        <w:rPr>
          <w:lang w:val="fr-FR"/>
        </w:rPr>
        <w:t>.</w:t>
      </w:r>
    </w:p>
    <w:p w14:paraId="1A221D4B" w14:textId="23FFE884"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3</w:t>
      </w:r>
      <w:r w:rsidRPr="002B6E68">
        <w:rPr>
          <w:lang w:val="fr-FR"/>
        </w:rPr>
        <w:tab/>
        <w:t>L</w:t>
      </w:r>
      <w:r w:rsidR="00390237">
        <w:rPr>
          <w:lang w:val="fr-FR"/>
        </w:rPr>
        <w:t>’</w:t>
      </w:r>
      <w:r w:rsidRPr="002B6E68">
        <w:rPr>
          <w:lang w:val="fr-FR"/>
        </w:rPr>
        <w:t>État partie déclare que, le 10 octobre 2005, l</w:t>
      </w:r>
      <w:r w:rsidR="00390237">
        <w:rPr>
          <w:lang w:val="fr-FR"/>
        </w:rPr>
        <w:t>’</w:t>
      </w:r>
      <w:r w:rsidRPr="002B6E68">
        <w:rPr>
          <w:lang w:val="fr-FR"/>
        </w:rPr>
        <w:t>auteur a engagé une action en justice (n</w:t>
      </w:r>
      <w:r w:rsidRPr="002B6E68">
        <w:rPr>
          <w:vertAlign w:val="superscript"/>
          <w:lang w:val="fr-FR"/>
        </w:rPr>
        <w:t>o</w:t>
      </w:r>
      <w:r w:rsidRPr="002B6E68">
        <w:rPr>
          <w:lang w:val="fr-FR"/>
        </w:rPr>
        <w:t> 1674/05) devant le parquet militaire du district de Plovdiv</w:t>
      </w:r>
      <w:r>
        <w:rPr>
          <w:lang w:val="fr-FR"/>
        </w:rPr>
        <w:t xml:space="preserve">, lequel </w:t>
      </w:r>
      <w:r w:rsidRPr="002B6E68">
        <w:rPr>
          <w:lang w:val="fr-FR"/>
        </w:rPr>
        <w:t xml:space="preserve">a </w:t>
      </w:r>
      <w:r>
        <w:rPr>
          <w:lang w:val="fr-FR"/>
        </w:rPr>
        <w:t>refusé d</w:t>
      </w:r>
      <w:r w:rsidR="00390237">
        <w:rPr>
          <w:lang w:val="fr-FR"/>
        </w:rPr>
        <w:t>’</w:t>
      </w:r>
      <w:r>
        <w:rPr>
          <w:lang w:val="fr-FR"/>
        </w:rPr>
        <w:t xml:space="preserve">ouvrir une information et a classé </w:t>
      </w:r>
      <w:r w:rsidRPr="002B6E68">
        <w:rPr>
          <w:lang w:val="fr-FR"/>
        </w:rPr>
        <w:t>l</w:t>
      </w:r>
      <w:r w:rsidR="00390237">
        <w:rPr>
          <w:lang w:val="fr-FR"/>
        </w:rPr>
        <w:t>’</w:t>
      </w:r>
      <w:r w:rsidRPr="002B6E68">
        <w:rPr>
          <w:lang w:val="fr-FR"/>
        </w:rPr>
        <w:t>affaire</w:t>
      </w:r>
      <w:r w:rsidRPr="00BA7980">
        <w:rPr>
          <w:lang w:val="fr-FR"/>
        </w:rPr>
        <w:t>.</w:t>
      </w:r>
      <w:r w:rsidRPr="002B6E68">
        <w:rPr>
          <w:lang w:val="fr-FR"/>
        </w:rPr>
        <w:t xml:space="preserve"> Le 9 décembre 2005, </w:t>
      </w:r>
      <w:r>
        <w:rPr>
          <w:lang w:val="fr-FR"/>
        </w:rPr>
        <w:t>l</w:t>
      </w:r>
      <w:r w:rsidR="00390237">
        <w:rPr>
          <w:lang w:val="fr-FR"/>
        </w:rPr>
        <w:t>’</w:t>
      </w:r>
      <w:r>
        <w:rPr>
          <w:lang w:val="fr-FR"/>
        </w:rPr>
        <w:t>auteur</w:t>
      </w:r>
      <w:r w:rsidRPr="002B6E68">
        <w:rPr>
          <w:lang w:val="fr-FR"/>
        </w:rPr>
        <w:t xml:space="preserve"> ayant interjeté appel, l</w:t>
      </w:r>
      <w:r w:rsidR="00390237">
        <w:rPr>
          <w:lang w:val="fr-FR"/>
        </w:rPr>
        <w:t>’</w:t>
      </w:r>
      <w:r w:rsidRPr="002B6E68">
        <w:rPr>
          <w:lang w:val="fr-FR"/>
        </w:rPr>
        <w:t>instance d</w:t>
      </w:r>
      <w:r w:rsidR="00390237">
        <w:rPr>
          <w:lang w:val="fr-FR"/>
        </w:rPr>
        <w:t>’</w:t>
      </w:r>
      <w:r w:rsidRPr="002B6E68">
        <w:rPr>
          <w:lang w:val="fr-FR"/>
        </w:rPr>
        <w:t>appel du parquet militaire a annulé cette décision</w:t>
      </w:r>
      <w:r w:rsidRPr="00BA7980">
        <w:rPr>
          <w:lang w:val="fr-FR"/>
        </w:rPr>
        <w:t>.</w:t>
      </w:r>
      <w:r w:rsidRPr="002B6E68">
        <w:rPr>
          <w:lang w:val="fr-FR"/>
        </w:rPr>
        <w:t xml:space="preserve"> Le 17 janvier 2006, après une nouvelle enquête, le parquet militaire a rendu une nouvelle ordonnance par laquelle il refusait </w:t>
      </w:r>
      <w:r>
        <w:rPr>
          <w:lang w:val="fr-FR"/>
        </w:rPr>
        <w:t>d</w:t>
      </w:r>
      <w:r w:rsidR="00390237">
        <w:rPr>
          <w:lang w:val="fr-FR"/>
        </w:rPr>
        <w:t>’</w:t>
      </w:r>
      <w:r>
        <w:rPr>
          <w:lang w:val="fr-FR"/>
        </w:rPr>
        <w:t>ouvrir une information</w:t>
      </w:r>
      <w:r w:rsidRPr="00BA7980">
        <w:rPr>
          <w:lang w:val="fr-FR"/>
        </w:rPr>
        <w:t>.</w:t>
      </w:r>
      <w:r w:rsidRPr="002B6E68">
        <w:rPr>
          <w:lang w:val="fr-FR"/>
        </w:rPr>
        <w:t xml:space="preserve"> Le 6 février 2006, l</w:t>
      </w:r>
      <w:r w:rsidR="00390237">
        <w:rPr>
          <w:lang w:val="fr-FR"/>
        </w:rPr>
        <w:t>’</w:t>
      </w:r>
      <w:r w:rsidRPr="002B6E68">
        <w:rPr>
          <w:lang w:val="fr-FR"/>
        </w:rPr>
        <w:t>auteur ayant interjeté appel, l</w:t>
      </w:r>
      <w:r w:rsidR="00390237">
        <w:rPr>
          <w:lang w:val="fr-FR"/>
        </w:rPr>
        <w:t>’</w:t>
      </w:r>
      <w:r w:rsidRPr="002B6E68">
        <w:rPr>
          <w:lang w:val="fr-FR"/>
        </w:rPr>
        <w:t>instance d</w:t>
      </w:r>
      <w:r w:rsidR="00390237">
        <w:rPr>
          <w:lang w:val="fr-FR"/>
        </w:rPr>
        <w:t>’</w:t>
      </w:r>
      <w:r w:rsidRPr="002B6E68">
        <w:rPr>
          <w:lang w:val="fr-FR"/>
        </w:rPr>
        <w:t>appel du parquet militaire a une nouvelle fois annulé l</w:t>
      </w:r>
      <w:r w:rsidR="00390237">
        <w:rPr>
          <w:lang w:val="fr-FR"/>
        </w:rPr>
        <w:t>’</w:t>
      </w:r>
      <w:r w:rsidRPr="002B6E68">
        <w:rPr>
          <w:lang w:val="fr-FR"/>
        </w:rPr>
        <w:t>ordonnance et ordonné l</w:t>
      </w:r>
      <w:r w:rsidR="00390237">
        <w:rPr>
          <w:lang w:val="fr-FR"/>
        </w:rPr>
        <w:t>’</w:t>
      </w:r>
      <w:r w:rsidRPr="002B6E68">
        <w:rPr>
          <w:lang w:val="fr-FR"/>
        </w:rPr>
        <w:t>ouverture d</w:t>
      </w:r>
      <w:r w:rsidR="00390237">
        <w:rPr>
          <w:lang w:val="fr-FR"/>
        </w:rPr>
        <w:t>’</w:t>
      </w:r>
      <w:r w:rsidRPr="002B6E68">
        <w:rPr>
          <w:lang w:val="fr-FR"/>
        </w:rPr>
        <w:t xml:space="preserve">une </w:t>
      </w:r>
      <w:r>
        <w:rPr>
          <w:lang w:val="fr-FR"/>
        </w:rPr>
        <w:t xml:space="preserve">enquête </w:t>
      </w:r>
      <w:r w:rsidRPr="002B6E68">
        <w:rPr>
          <w:lang w:val="fr-FR"/>
        </w:rPr>
        <w:t>pénale</w:t>
      </w:r>
      <w:r w:rsidRPr="00BA7980">
        <w:rPr>
          <w:lang w:val="fr-FR"/>
        </w:rPr>
        <w:t>.</w:t>
      </w:r>
    </w:p>
    <w:p w14:paraId="29CA7407" w14:textId="2967D87A"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4</w:t>
      </w:r>
      <w:r w:rsidRPr="002B6E68">
        <w:rPr>
          <w:lang w:val="fr-FR"/>
        </w:rPr>
        <w:tab/>
        <w:t>L</w:t>
      </w:r>
      <w:r w:rsidR="00390237">
        <w:rPr>
          <w:lang w:val="fr-FR"/>
        </w:rPr>
        <w:t>’</w:t>
      </w:r>
      <w:r w:rsidRPr="002B6E68">
        <w:rPr>
          <w:lang w:val="fr-FR"/>
        </w:rPr>
        <w:t xml:space="preserve">État partie indique que, le 16 février 2006, </w:t>
      </w:r>
      <w:r>
        <w:rPr>
          <w:lang w:val="fr-FR"/>
        </w:rPr>
        <w:t>une information a été ouverte du chef d</w:t>
      </w:r>
      <w:r w:rsidR="00390237">
        <w:rPr>
          <w:lang w:val="fr-FR"/>
        </w:rPr>
        <w:t>’</w:t>
      </w:r>
      <w:r>
        <w:rPr>
          <w:lang w:val="fr-FR"/>
        </w:rPr>
        <w:t xml:space="preserve">une </w:t>
      </w:r>
      <w:r w:rsidRPr="002B6E68">
        <w:rPr>
          <w:lang w:val="fr-FR"/>
        </w:rPr>
        <w:t xml:space="preserve">infraction </w:t>
      </w:r>
      <w:r>
        <w:rPr>
          <w:lang w:val="fr-FR"/>
        </w:rPr>
        <w:t xml:space="preserve">visée à </w:t>
      </w:r>
      <w:r w:rsidRPr="002B6E68">
        <w:rPr>
          <w:lang w:val="fr-FR"/>
        </w:rPr>
        <w:t>l</w:t>
      </w:r>
      <w:r w:rsidR="00390237">
        <w:rPr>
          <w:lang w:val="fr-FR"/>
        </w:rPr>
        <w:t>’</w:t>
      </w:r>
      <w:r w:rsidRPr="002B6E68">
        <w:rPr>
          <w:lang w:val="fr-FR"/>
        </w:rPr>
        <w:t>article 131 (par</w:t>
      </w:r>
      <w:r w:rsidRPr="00BA7980">
        <w:rPr>
          <w:lang w:val="fr-FR"/>
        </w:rPr>
        <w:t>.</w:t>
      </w:r>
      <w:r w:rsidRPr="002B6E68">
        <w:rPr>
          <w:lang w:val="fr-FR"/>
        </w:rPr>
        <w:t xml:space="preserve"> 1) du Code pénal, lu conjointement avec les articles 130 (par</w:t>
      </w:r>
      <w:r w:rsidRPr="00BA7980">
        <w:rPr>
          <w:lang w:val="fr-FR"/>
        </w:rPr>
        <w:t>.</w:t>
      </w:r>
      <w:r>
        <w:rPr>
          <w:lang w:val="fr-FR"/>
        </w:rPr>
        <w:t> </w:t>
      </w:r>
      <w:r w:rsidRPr="002B6E68">
        <w:rPr>
          <w:lang w:val="fr-FR"/>
        </w:rPr>
        <w:t>1) et 20 (par</w:t>
      </w:r>
      <w:r w:rsidRPr="00BA7980">
        <w:rPr>
          <w:lang w:val="fr-FR"/>
        </w:rPr>
        <w:t>.</w:t>
      </w:r>
      <w:r>
        <w:rPr>
          <w:lang w:val="fr-FR"/>
        </w:rPr>
        <w:t> </w:t>
      </w:r>
      <w:r w:rsidRPr="002B6E68">
        <w:rPr>
          <w:lang w:val="fr-FR"/>
        </w:rPr>
        <w:t>2)</w:t>
      </w:r>
      <w:r w:rsidRPr="00BA7980">
        <w:rPr>
          <w:lang w:val="fr-FR"/>
        </w:rPr>
        <w:t>.</w:t>
      </w:r>
      <w:r w:rsidRPr="002B6E68">
        <w:rPr>
          <w:lang w:val="fr-FR"/>
        </w:rPr>
        <w:t xml:space="preserve"> Un délai de </w:t>
      </w:r>
      <w:r w:rsidR="00B74B23">
        <w:rPr>
          <w:lang w:val="fr-FR"/>
        </w:rPr>
        <w:t xml:space="preserve">soixante </w:t>
      </w:r>
      <w:r w:rsidRPr="002B6E68">
        <w:rPr>
          <w:lang w:val="fr-FR"/>
        </w:rPr>
        <w:t>jours a été fixé pour l</w:t>
      </w:r>
      <w:r w:rsidR="00390237">
        <w:rPr>
          <w:lang w:val="fr-FR"/>
        </w:rPr>
        <w:t>’</w:t>
      </w:r>
      <w:r w:rsidRPr="002B6E68">
        <w:rPr>
          <w:lang w:val="fr-FR"/>
        </w:rPr>
        <w:t>achèvement de l</w:t>
      </w:r>
      <w:r w:rsidR="00390237">
        <w:rPr>
          <w:lang w:val="fr-FR"/>
        </w:rPr>
        <w:t>’</w:t>
      </w:r>
      <w:r w:rsidRPr="002B6E68">
        <w:rPr>
          <w:lang w:val="fr-FR"/>
        </w:rPr>
        <w:t>enquête, délai qui a ensuite été prolongé à deux reprises</w:t>
      </w:r>
      <w:r w:rsidRPr="00BA7980">
        <w:rPr>
          <w:lang w:val="fr-FR"/>
        </w:rPr>
        <w:t>.</w:t>
      </w:r>
      <w:r w:rsidRPr="002B6E68">
        <w:rPr>
          <w:lang w:val="fr-FR"/>
        </w:rPr>
        <w:t xml:space="preserve"> Entre le 27</w:t>
      </w:r>
      <w:r>
        <w:rPr>
          <w:lang w:val="fr-FR"/>
        </w:rPr>
        <w:t> </w:t>
      </w:r>
      <w:r w:rsidRPr="002B6E68">
        <w:rPr>
          <w:lang w:val="fr-FR"/>
        </w:rPr>
        <w:t xml:space="preserve">et le 29 mars 2006, des inspections ont été </w:t>
      </w:r>
      <w:r>
        <w:rPr>
          <w:lang w:val="fr-FR"/>
        </w:rPr>
        <w:t xml:space="preserve">menées </w:t>
      </w:r>
      <w:r w:rsidRPr="002B6E68">
        <w:rPr>
          <w:lang w:val="fr-FR"/>
        </w:rPr>
        <w:t>sur les lieux de l</w:t>
      </w:r>
      <w:r w:rsidR="00390237">
        <w:rPr>
          <w:lang w:val="fr-FR"/>
        </w:rPr>
        <w:t>’</w:t>
      </w:r>
      <w:r w:rsidRPr="002B6E68">
        <w:rPr>
          <w:lang w:val="fr-FR"/>
        </w:rPr>
        <w:t>incident et au domicile d</w:t>
      </w:r>
      <w:r w:rsidR="00390237">
        <w:rPr>
          <w:lang w:val="fr-FR"/>
        </w:rPr>
        <w:t>’</w:t>
      </w:r>
      <w:r w:rsidRPr="002B6E68">
        <w:rPr>
          <w:lang w:val="fr-FR"/>
        </w:rPr>
        <w:t>un témoin, et d</w:t>
      </w:r>
      <w:r w:rsidR="00390237">
        <w:rPr>
          <w:lang w:val="fr-FR"/>
        </w:rPr>
        <w:t>’</w:t>
      </w:r>
      <w:r w:rsidRPr="002B6E68">
        <w:rPr>
          <w:lang w:val="fr-FR"/>
        </w:rPr>
        <w:t xml:space="preserve">autres </w:t>
      </w:r>
      <w:r>
        <w:rPr>
          <w:lang w:val="fr-FR"/>
        </w:rPr>
        <w:t xml:space="preserve">actes </w:t>
      </w:r>
      <w:r w:rsidRPr="002B6E68">
        <w:rPr>
          <w:lang w:val="fr-FR"/>
        </w:rPr>
        <w:t>d</w:t>
      </w:r>
      <w:r w:rsidR="00390237">
        <w:rPr>
          <w:lang w:val="fr-FR"/>
        </w:rPr>
        <w:t>’</w:t>
      </w:r>
      <w:r w:rsidRPr="002B6E68">
        <w:rPr>
          <w:lang w:val="fr-FR"/>
        </w:rPr>
        <w:t xml:space="preserve">enquête ont été </w:t>
      </w:r>
      <w:r>
        <w:rPr>
          <w:lang w:val="fr-FR"/>
        </w:rPr>
        <w:t>effectués</w:t>
      </w:r>
      <w:r w:rsidRPr="00BA7980">
        <w:rPr>
          <w:lang w:val="fr-FR"/>
        </w:rPr>
        <w:t>.</w:t>
      </w:r>
      <w:r w:rsidRPr="002B6E68">
        <w:rPr>
          <w:lang w:val="fr-FR"/>
        </w:rPr>
        <w:t xml:space="preserve"> Le 26 avril 2006, un rapport médico-légal sur les </w:t>
      </w:r>
      <w:r>
        <w:rPr>
          <w:lang w:val="fr-FR"/>
        </w:rPr>
        <w:t xml:space="preserve">lésions </w:t>
      </w:r>
      <w:r w:rsidRPr="002B6E68">
        <w:rPr>
          <w:lang w:val="fr-FR"/>
        </w:rPr>
        <w:t>subies par l</w:t>
      </w:r>
      <w:r w:rsidR="00390237">
        <w:rPr>
          <w:lang w:val="fr-FR"/>
        </w:rPr>
        <w:t>’</w:t>
      </w:r>
      <w:r w:rsidRPr="002B6E68">
        <w:rPr>
          <w:lang w:val="fr-FR"/>
        </w:rPr>
        <w:t xml:space="preserve">auteur a été </w:t>
      </w:r>
      <w:r>
        <w:rPr>
          <w:lang w:val="fr-FR"/>
        </w:rPr>
        <w:t>établi</w:t>
      </w:r>
      <w:r w:rsidRPr="00BA7980">
        <w:rPr>
          <w:lang w:val="fr-FR"/>
        </w:rPr>
        <w:t>.</w:t>
      </w:r>
      <w:r w:rsidRPr="002B6E68">
        <w:rPr>
          <w:lang w:val="fr-FR"/>
        </w:rPr>
        <w:t xml:space="preserve"> Au cours de l</w:t>
      </w:r>
      <w:r w:rsidR="00390237">
        <w:rPr>
          <w:lang w:val="fr-FR"/>
        </w:rPr>
        <w:t>’</w:t>
      </w:r>
      <w:r w:rsidRPr="002B6E68">
        <w:rPr>
          <w:lang w:val="fr-FR"/>
        </w:rPr>
        <w:t>enquête, des témoins oculaires de l</w:t>
      </w:r>
      <w:r w:rsidR="00390237">
        <w:rPr>
          <w:lang w:val="fr-FR"/>
        </w:rPr>
        <w:t>’</w:t>
      </w:r>
      <w:r w:rsidRPr="002B6E68">
        <w:rPr>
          <w:lang w:val="fr-FR"/>
        </w:rPr>
        <w:t>incident ont été entendus</w:t>
      </w:r>
      <w:r w:rsidRPr="00BA7980">
        <w:rPr>
          <w:lang w:val="fr-FR"/>
        </w:rPr>
        <w:t>.</w:t>
      </w:r>
    </w:p>
    <w:p w14:paraId="56D209B5" w14:textId="3621BC83"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5</w:t>
      </w:r>
      <w:r w:rsidRPr="002B6E68">
        <w:rPr>
          <w:lang w:val="fr-FR"/>
        </w:rPr>
        <w:tab/>
        <w:t>L</w:t>
      </w:r>
      <w:r w:rsidR="00390237">
        <w:rPr>
          <w:lang w:val="fr-FR"/>
        </w:rPr>
        <w:t>’</w:t>
      </w:r>
      <w:r w:rsidRPr="002B6E68">
        <w:rPr>
          <w:lang w:val="fr-FR"/>
        </w:rPr>
        <w:t xml:space="preserve">État partie explique que, le 30 mai et le 20 juin 2006, des poursuites pénales ont été engagées contre les deux accusés </w:t>
      </w:r>
      <w:r>
        <w:rPr>
          <w:lang w:val="fr-FR"/>
        </w:rPr>
        <w:t>du chef d</w:t>
      </w:r>
      <w:r w:rsidR="00390237">
        <w:rPr>
          <w:lang w:val="fr-FR"/>
        </w:rPr>
        <w:t>’</w:t>
      </w:r>
      <w:r>
        <w:rPr>
          <w:lang w:val="fr-FR"/>
        </w:rPr>
        <w:t xml:space="preserve">une </w:t>
      </w:r>
      <w:r w:rsidRPr="002B6E68">
        <w:rPr>
          <w:lang w:val="fr-FR"/>
        </w:rPr>
        <w:t xml:space="preserve">infraction visée aux </w:t>
      </w:r>
      <w:r>
        <w:rPr>
          <w:lang w:val="fr-FR"/>
        </w:rPr>
        <w:t xml:space="preserve">articles </w:t>
      </w:r>
      <w:r w:rsidRPr="002B6E68">
        <w:rPr>
          <w:lang w:val="fr-FR"/>
        </w:rPr>
        <w:t>susmentionnés du Code pénal</w:t>
      </w:r>
      <w:r w:rsidRPr="00BA7980">
        <w:rPr>
          <w:lang w:val="fr-FR"/>
        </w:rPr>
        <w:t>.</w:t>
      </w:r>
      <w:r w:rsidRPr="002B6E68">
        <w:rPr>
          <w:lang w:val="fr-FR"/>
        </w:rPr>
        <w:t xml:space="preserve"> La procédure pénale s</w:t>
      </w:r>
      <w:r w:rsidR="00390237">
        <w:rPr>
          <w:lang w:val="fr-FR"/>
        </w:rPr>
        <w:t>’</w:t>
      </w:r>
      <w:r w:rsidRPr="002B6E68">
        <w:rPr>
          <w:lang w:val="fr-FR"/>
        </w:rPr>
        <w:t>est terminée le 17 janvier 2008, lorsque la Cour militaire d</w:t>
      </w:r>
      <w:r w:rsidR="00390237">
        <w:rPr>
          <w:lang w:val="fr-FR"/>
        </w:rPr>
        <w:t>’</w:t>
      </w:r>
      <w:r w:rsidRPr="002B6E68">
        <w:rPr>
          <w:lang w:val="fr-FR"/>
        </w:rPr>
        <w:t>appel, dans l</w:t>
      </w:r>
      <w:r w:rsidR="00390237">
        <w:rPr>
          <w:lang w:val="fr-FR"/>
        </w:rPr>
        <w:t>’</w:t>
      </w:r>
      <w:r w:rsidRPr="002B6E68">
        <w:rPr>
          <w:lang w:val="fr-FR"/>
        </w:rPr>
        <w:t>arrêt n</w:t>
      </w:r>
      <w:r w:rsidRPr="002B6E68">
        <w:rPr>
          <w:vertAlign w:val="superscript"/>
          <w:lang w:val="fr-FR"/>
        </w:rPr>
        <w:t>o</w:t>
      </w:r>
      <w:r w:rsidRPr="002B6E68">
        <w:rPr>
          <w:lang w:val="fr-FR"/>
        </w:rPr>
        <w:t xml:space="preserve"> 3, a confirmé </w:t>
      </w:r>
      <w:r>
        <w:rPr>
          <w:lang w:val="fr-FR"/>
        </w:rPr>
        <w:t xml:space="preserve">la relaxe prononcée </w:t>
      </w:r>
      <w:r w:rsidRPr="002B6E68">
        <w:rPr>
          <w:lang w:val="fr-FR"/>
        </w:rPr>
        <w:t>par le tribunal militaire de Plovdiv</w:t>
      </w:r>
      <w:r w:rsidRPr="00454BD4">
        <w:rPr>
          <w:rStyle w:val="Appelnotedebasdep"/>
        </w:rPr>
        <w:footnoteReference w:id="20"/>
      </w:r>
      <w:r w:rsidRPr="00BA7980">
        <w:rPr>
          <w:lang w:val="fr-FR"/>
        </w:rPr>
        <w:t>.</w:t>
      </w:r>
    </w:p>
    <w:p w14:paraId="52CB4470" w14:textId="3813B36F"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6</w:t>
      </w:r>
      <w:r w:rsidRPr="002B6E68">
        <w:rPr>
          <w:lang w:val="fr-FR"/>
        </w:rPr>
        <w:tab/>
        <w:t>L</w:t>
      </w:r>
      <w:r w:rsidR="00390237">
        <w:rPr>
          <w:lang w:val="fr-FR"/>
        </w:rPr>
        <w:t>’</w:t>
      </w:r>
      <w:r w:rsidRPr="002B6E68">
        <w:rPr>
          <w:lang w:val="fr-FR"/>
        </w:rPr>
        <w:t>État partie considère que la communication doit être déclarée irrecevable au motif que les recours internes n</w:t>
      </w:r>
      <w:r w:rsidR="00390237">
        <w:rPr>
          <w:lang w:val="fr-FR"/>
        </w:rPr>
        <w:t>’</w:t>
      </w:r>
      <w:r w:rsidRPr="002B6E68">
        <w:rPr>
          <w:lang w:val="fr-FR"/>
        </w:rPr>
        <w:t>ont pas été épuisés</w:t>
      </w:r>
      <w:r w:rsidRPr="00BA7980">
        <w:rPr>
          <w:lang w:val="fr-FR"/>
        </w:rPr>
        <w:t>.</w:t>
      </w:r>
      <w:r w:rsidRPr="002B6E68">
        <w:rPr>
          <w:lang w:val="fr-FR"/>
        </w:rPr>
        <w:t xml:space="preserve"> Il affirme </w:t>
      </w:r>
      <w:r>
        <w:rPr>
          <w:lang w:val="fr-FR"/>
        </w:rPr>
        <w:t>qu</w:t>
      </w:r>
      <w:r w:rsidR="00390237">
        <w:rPr>
          <w:lang w:val="fr-FR"/>
        </w:rPr>
        <w:t>’</w:t>
      </w:r>
      <w:r>
        <w:rPr>
          <w:lang w:val="fr-FR"/>
        </w:rPr>
        <w:t xml:space="preserve">en vertu de </w:t>
      </w:r>
      <w:r w:rsidRPr="002B6E68">
        <w:rPr>
          <w:lang w:val="fr-FR"/>
        </w:rPr>
        <w:t>l</w:t>
      </w:r>
      <w:r w:rsidR="00390237">
        <w:rPr>
          <w:lang w:val="fr-FR"/>
        </w:rPr>
        <w:t>’</w:t>
      </w:r>
      <w:r w:rsidRPr="002B6E68">
        <w:rPr>
          <w:lang w:val="fr-FR"/>
        </w:rPr>
        <w:t xml:space="preserve">article 349 du Code de procédure pénale, </w:t>
      </w:r>
      <w:r>
        <w:rPr>
          <w:lang w:val="fr-FR"/>
        </w:rPr>
        <w:t>l</w:t>
      </w:r>
      <w:r w:rsidR="00390237">
        <w:rPr>
          <w:lang w:val="fr-FR"/>
        </w:rPr>
        <w:t>’</w:t>
      </w:r>
      <w:r>
        <w:rPr>
          <w:lang w:val="fr-FR"/>
        </w:rPr>
        <w:t xml:space="preserve">auteur </w:t>
      </w:r>
      <w:r w:rsidRPr="002B6E68">
        <w:rPr>
          <w:lang w:val="fr-FR"/>
        </w:rPr>
        <w:t xml:space="preserve">aurait pu </w:t>
      </w:r>
      <w:r>
        <w:rPr>
          <w:lang w:val="fr-FR"/>
        </w:rPr>
        <w:t xml:space="preserve">saisir </w:t>
      </w:r>
      <w:r w:rsidRPr="002B6E68">
        <w:rPr>
          <w:lang w:val="fr-FR"/>
        </w:rPr>
        <w:t xml:space="preserve">la Cour </w:t>
      </w:r>
      <w:r>
        <w:rPr>
          <w:lang w:val="fr-FR"/>
        </w:rPr>
        <w:t>s</w:t>
      </w:r>
      <w:r w:rsidRPr="002B6E68">
        <w:rPr>
          <w:lang w:val="fr-FR"/>
        </w:rPr>
        <w:t xml:space="preserve">uprême de </w:t>
      </w:r>
      <w:r>
        <w:rPr>
          <w:lang w:val="fr-FR"/>
        </w:rPr>
        <w:t>c</w:t>
      </w:r>
      <w:r w:rsidRPr="002B6E68">
        <w:rPr>
          <w:lang w:val="fr-FR"/>
        </w:rPr>
        <w:t>assation</w:t>
      </w:r>
      <w:r>
        <w:rPr>
          <w:lang w:val="fr-FR"/>
        </w:rPr>
        <w:t xml:space="preserve"> d</w:t>
      </w:r>
      <w:r w:rsidR="00390237">
        <w:rPr>
          <w:lang w:val="fr-FR"/>
        </w:rPr>
        <w:t>’</w:t>
      </w:r>
      <w:r>
        <w:rPr>
          <w:lang w:val="fr-FR"/>
        </w:rPr>
        <w:t>un pourvoi en cassation</w:t>
      </w:r>
      <w:r w:rsidRPr="00BA7980">
        <w:rPr>
          <w:lang w:val="fr-FR"/>
        </w:rPr>
        <w:t>.</w:t>
      </w:r>
    </w:p>
    <w:p w14:paraId="5B0D54CD" w14:textId="506962CB"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7</w:t>
      </w:r>
      <w:r w:rsidRPr="002B6E68">
        <w:rPr>
          <w:lang w:val="fr-FR"/>
        </w:rPr>
        <w:tab/>
        <w:t>En ce qui concerne l</w:t>
      </w:r>
      <w:r w:rsidR="00390237">
        <w:rPr>
          <w:lang w:val="fr-FR"/>
        </w:rPr>
        <w:t>’</w:t>
      </w:r>
      <w:r w:rsidRPr="002B6E68">
        <w:rPr>
          <w:lang w:val="fr-FR"/>
        </w:rPr>
        <w:t>efficacité de l</w:t>
      </w:r>
      <w:r w:rsidR="00390237">
        <w:rPr>
          <w:lang w:val="fr-FR"/>
        </w:rPr>
        <w:t>’</w:t>
      </w:r>
      <w:r w:rsidRPr="002B6E68">
        <w:rPr>
          <w:lang w:val="fr-FR"/>
        </w:rPr>
        <w:t>enquête, l</w:t>
      </w:r>
      <w:r w:rsidR="00390237">
        <w:rPr>
          <w:lang w:val="fr-FR"/>
        </w:rPr>
        <w:t>’</w:t>
      </w:r>
      <w:r w:rsidRPr="002B6E68">
        <w:rPr>
          <w:lang w:val="fr-FR"/>
        </w:rPr>
        <w:t xml:space="preserve">État partie déclare que le </w:t>
      </w:r>
      <w:r>
        <w:rPr>
          <w:lang w:val="fr-FR"/>
        </w:rPr>
        <w:t xml:space="preserve">laps de </w:t>
      </w:r>
      <w:r w:rsidRPr="002B6E68">
        <w:rPr>
          <w:lang w:val="fr-FR"/>
        </w:rPr>
        <w:t>temps qui s</w:t>
      </w:r>
      <w:r w:rsidR="00390237">
        <w:rPr>
          <w:lang w:val="fr-FR"/>
        </w:rPr>
        <w:t>’</w:t>
      </w:r>
      <w:r w:rsidRPr="002B6E68">
        <w:rPr>
          <w:lang w:val="fr-FR"/>
        </w:rPr>
        <w:t>est écoulé entre l</w:t>
      </w:r>
      <w:r w:rsidR="00390237">
        <w:rPr>
          <w:lang w:val="fr-FR"/>
        </w:rPr>
        <w:t>’</w:t>
      </w:r>
      <w:r w:rsidRPr="002B6E68">
        <w:rPr>
          <w:lang w:val="fr-FR"/>
        </w:rPr>
        <w:t>incident (15</w:t>
      </w:r>
      <w:r w:rsidR="00B74B23">
        <w:rPr>
          <w:lang w:val="fr-FR"/>
        </w:rPr>
        <w:t> </w:t>
      </w:r>
      <w:r w:rsidRPr="002B6E68">
        <w:rPr>
          <w:lang w:val="fr-FR"/>
        </w:rPr>
        <w:t xml:space="preserve">septembre 2005) et </w:t>
      </w:r>
      <w:r>
        <w:rPr>
          <w:lang w:val="fr-FR"/>
        </w:rPr>
        <w:t xml:space="preserve">la relaxe </w:t>
      </w:r>
      <w:r w:rsidRPr="002B6E68">
        <w:rPr>
          <w:lang w:val="fr-FR"/>
        </w:rPr>
        <w:t>des accusés (17</w:t>
      </w:r>
      <w:r w:rsidR="00B74B23">
        <w:rPr>
          <w:lang w:val="fr-FR"/>
        </w:rPr>
        <w:t> </w:t>
      </w:r>
      <w:r w:rsidRPr="002B6E68">
        <w:rPr>
          <w:lang w:val="fr-FR"/>
        </w:rPr>
        <w:t xml:space="preserve">janvier 2008), soit </w:t>
      </w:r>
      <w:r>
        <w:rPr>
          <w:lang w:val="fr-FR"/>
        </w:rPr>
        <w:t>deux</w:t>
      </w:r>
      <w:r w:rsidRPr="002B6E68">
        <w:rPr>
          <w:lang w:val="fr-FR"/>
        </w:rPr>
        <w:t xml:space="preserve"> ans et </w:t>
      </w:r>
      <w:r>
        <w:rPr>
          <w:lang w:val="fr-FR"/>
        </w:rPr>
        <w:t xml:space="preserve">quatre </w:t>
      </w:r>
      <w:r w:rsidRPr="002B6E68">
        <w:rPr>
          <w:lang w:val="fr-FR"/>
        </w:rPr>
        <w:t>mois, constitue un délai raisonnable</w:t>
      </w:r>
      <w:r w:rsidRPr="00BA7980">
        <w:rPr>
          <w:lang w:val="fr-FR"/>
        </w:rPr>
        <w:t>.</w:t>
      </w:r>
      <w:r w:rsidRPr="002B6E68">
        <w:rPr>
          <w:lang w:val="fr-FR"/>
        </w:rPr>
        <w:t xml:space="preserve"> Il ajoute que l</w:t>
      </w:r>
      <w:r w:rsidR="00390237">
        <w:rPr>
          <w:lang w:val="fr-FR"/>
        </w:rPr>
        <w:t>’</w:t>
      </w:r>
      <w:r w:rsidRPr="002B6E68">
        <w:rPr>
          <w:lang w:val="fr-FR"/>
        </w:rPr>
        <w:t>auteur n</w:t>
      </w:r>
      <w:r w:rsidR="00390237">
        <w:rPr>
          <w:lang w:val="fr-FR"/>
        </w:rPr>
        <w:t>’</w:t>
      </w:r>
      <w:r w:rsidRPr="002B6E68">
        <w:rPr>
          <w:lang w:val="fr-FR"/>
        </w:rPr>
        <w:t xml:space="preserve">a pas déposé de plainte au cours de </w:t>
      </w:r>
      <w:r>
        <w:rPr>
          <w:lang w:val="fr-FR"/>
        </w:rPr>
        <w:t>l</w:t>
      </w:r>
      <w:r w:rsidR="00390237">
        <w:rPr>
          <w:lang w:val="fr-FR"/>
        </w:rPr>
        <w:t>’</w:t>
      </w:r>
      <w:r>
        <w:rPr>
          <w:lang w:val="fr-FR"/>
        </w:rPr>
        <w:t xml:space="preserve">instruction </w:t>
      </w:r>
      <w:r w:rsidRPr="002B6E68">
        <w:rPr>
          <w:lang w:val="fr-FR"/>
        </w:rPr>
        <w:t xml:space="preserve">et que les erreurs constatées dans le processus de </w:t>
      </w:r>
      <w:r>
        <w:rPr>
          <w:lang w:val="fr-FR"/>
        </w:rPr>
        <w:t xml:space="preserve">réunion </w:t>
      </w:r>
      <w:r w:rsidRPr="002B6E68">
        <w:rPr>
          <w:lang w:val="fr-FR"/>
        </w:rPr>
        <w:t>des preuves au cours de l</w:t>
      </w:r>
      <w:r w:rsidR="00390237">
        <w:rPr>
          <w:lang w:val="fr-FR"/>
        </w:rPr>
        <w:t>’</w:t>
      </w:r>
      <w:r w:rsidRPr="002B6E68">
        <w:rPr>
          <w:lang w:val="fr-FR"/>
        </w:rPr>
        <w:t>enquête n</w:t>
      </w:r>
      <w:r w:rsidR="00390237">
        <w:rPr>
          <w:lang w:val="fr-FR"/>
        </w:rPr>
        <w:t>’</w:t>
      </w:r>
      <w:r w:rsidRPr="002B6E68">
        <w:rPr>
          <w:lang w:val="fr-FR"/>
        </w:rPr>
        <w:t>ont pas eu d</w:t>
      </w:r>
      <w:r w:rsidR="00390237">
        <w:rPr>
          <w:lang w:val="fr-FR"/>
        </w:rPr>
        <w:t>’</w:t>
      </w:r>
      <w:r w:rsidRPr="002B6E68">
        <w:rPr>
          <w:lang w:val="fr-FR"/>
        </w:rPr>
        <w:t xml:space="preserve">effet significatif sur les </w:t>
      </w:r>
      <w:r>
        <w:rPr>
          <w:lang w:val="fr-FR"/>
        </w:rPr>
        <w:t xml:space="preserve">décisions du </w:t>
      </w:r>
      <w:r w:rsidRPr="002B6E68">
        <w:rPr>
          <w:lang w:val="fr-FR"/>
        </w:rPr>
        <w:t xml:space="preserve">parquet </w:t>
      </w:r>
      <w:r>
        <w:rPr>
          <w:lang w:val="fr-FR"/>
        </w:rPr>
        <w:t xml:space="preserve">ni sur les </w:t>
      </w:r>
      <w:r w:rsidRPr="005525F5">
        <w:rPr>
          <w:lang w:val="fr-FR"/>
        </w:rPr>
        <w:t xml:space="preserve">jugements établissant la </w:t>
      </w:r>
      <w:r w:rsidRPr="00454BD4">
        <w:rPr>
          <w:lang w:val="fr-FR"/>
        </w:rPr>
        <w:t>qualification</w:t>
      </w:r>
      <w:r w:rsidRPr="005525F5">
        <w:rPr>
          <w:lang w:val="fr-FR"/>
        </w:rPr>
        <w:t xml:space="preserve"> juridique de l</w:t>
      </w:r>
      <w:r w:rsidR="00390237">
        <w:rPr>
          <w:lang w:val="fr-FR"/>
        </w:rPr>
        <w:t>’</w:t>
      </w:r>
      <w:r w:rsidRPr="005525F5">
        <w:rPr>
          <w:lang w:val="fr-FR"/>
        </w:rPr>
        <w:t>infraction</w:t>
      </w:r>
      <w:r w:rsidRPr="00454BD4">
        <w:rPr>
          <w:rStyle w:val="Appelnotedebasdep"/>
        </w:rPr>
        <w:footnoteReference w:id="21"/>
      </w:r>
      <w:r w:rsidR="00B74B23">
        <w:rPr>
          <w:lang w:val="fr-FR"/>
        </w:rPr>
        <w:t>.</w:t>
      </w:r>
      <w:r w:rsidRPr="002B6E68">
        <w:rPr>
          <w:lang w:val="fr-FR"/>
        </w:rPr>
        <w:t xml:space="preserve"> L</w:t>
      </w:r>
      <w:r w:rsidR="00390237">
        <w:rPr>
          <w:lang w:val="fr-FR"/>
        </w:rPr>
        <w:t>’</w:t>
      </w:r>
      <w:r w:rsidRPr="002B6E68">
        <w:rPr>
          <w:lang w:val="fr-FR"/>
        </w:rPr>
        <w:t xml:space="preserve">État partie conclut que </w:t>
      </w:r>
      <w:r>
        <w:rPr>
          <w:lang w:val="fr-FR"/>
        </w:rPr>
        <w:t>l</w:t>
      </w:r>
      <w:r w:rsidR="00390237">
        <w:rPr>
          <w:lang w:val="fr-FR"/>
        </w:rPr>
        <w:t>’</w:t>
      </w:r>
      <w:r>
        <w:rPr>
          <w:lang w:val="fr-FR"/>
        </w:rPr>
        <w:t xml:space="preserve">enquête pénale </w:t>
      </w:r>
      <w:r w:rsidRPr="002B6E68">
        <w:rPr>
          <w:lang w:val="fr-FR"/>
        </w:rPr>
        <w:t xml:space="preserve">menée </w:t>
      </w:r>
      <w:r>
        <w:rPr>
          <w:lang w:val="fr-FR"/>
        </w:rPr>
        <w:t xml:space="preserve">a été conforme </w:t>
      </w:r>
      <w:r w:rsidRPr="002B6E68">
        <w:rPr>
          <w:lang w:val="fr-FR"/>
        </w:rPr>
        <w:t>aux normes européennes en matière d</w:t>
      </w:r>
      <w:r w:rsidR="00390237">
        <w:rPr>
          <w:lang w:val="fr-FR"/>
        </w:rPr>
        <w:t>’</w:t>
      </w:r>
      <w:r w:rsidRPr="002B6E68">
        <w:rPr>
          <w:lang w:val="fr-FR"/>
        </w:rPr>
        <w:t>enquête effective</w:t>
      </w:r>
      <w:r>
        <w:rPr>
          <w:lang w:val="fr-FR"/>
        </w:rPr>
        <w:t xml:space="preserve"> et a satisfait aux </w:t>
      </w:r>
      <w:r w:rsidRPr="002B6E68">
        <w:rPr>
          <w:lang w:val="fr-FR"/>
        </w:rPr>
        <w:t xml:space="preserve">exigences de </w:t>
      </w:r>
      <w:r>
        <w:rPr>
          <w:lang w:val="fr-FR"/>
        </w:rPr>
        <w:t xml:space="preserve">célérité </w:t>
      </w:r>
      <w:r w:rsidRPr="002B6E68">
        <w:rPr>
          <w:lang w:val="fr-FR"/>
        </w:rPr>
        <w:t>et d</w:t>
      </w:r>
      <w:r w:rsidR="00390237">
        <w:rPr>
          <w:lang w:val="fr-FR"/>
        </w:rPr>
        <w:t>’</w:t>
      </w:r>
      <w:r w:rsidRPr="002B6E68">
        <w:rPr>
          <w:lang w:val="fr-FR"/>
        </w:rPr>
        <w:t>opportunité, d</w:t>
      </w:r>
      <w:r w:rsidR="00390237">
        <w:rPr>
          <w:lang w:val="fr-FR"/>
        </w:rPr>
        <w:t>’</w:t>
      </w:r>
      <w:r w:rsidRPr="002B6E68">
        <w:rPr>
          <w:lang w:val="fr-FR"/>
        </w:rPr>
        <w:t>exhaustivité et d</w:t>
      </w:r>
      <w:r w:rsidR="00390237">
        <w:rPr>
          <w:lang w:val="fr-FR"/>
        </w:rPr>
        <w:t>’</w:t>
      </w:r>
      <w:r w:rsidRPr="002B6E68">
        <w:rPr>
          <w:lang w:val="fr-FR"/>
        </w:rPr>
        <w:t>intégralité, d</w:t>
      </w:r>
      <w:r w:rsidR="00390237">
        <w:rPr>
          <w:lang w:val="fr-FR"/>
        </w:rPr>
        <w:t>’</w:t>
      </w:r>
      <w:r w:rsidRPr="002B6E68">
        <w:rPr>
          <w:lang w:val="fr-FR"/>
        </w:rPr>
        <w:t>impartialité et d</w:t>
      </w:r>
      <w:r w:rsidR="00390237">
        <w:rPr>
          <w:lang w:val="fr-FR"/>
        </w:rPr>
        <w:t>’</w:t>
      </w:r>
      <w:r w:rsidRPr="002B6E68">
        <w:rPr>
          <w:lang w:val="fr-FR"/>
        </w:rPr>
        <w:t xml:space="preserve">indépendance, et de possibilité de contrôle </w:t>
      </w:r>
      <w:r>
        <w:rPr>
          <w:lang w:val="fr-FR"/>
        </w:rPr>
        <w:t xml:space="preserve">du </w:t>
      </w:r>
      <w:r w:rsidRPr="002B6E68">
        <w:rPr>
          <w:lang w:val="fr-FR"/>
        </w:rPr>
        <w:t>public</w:t>
      </w:r>
      <w:r w:rsidRPr="00BA7980">
        <w:rPr>
          <w:lang w:val="fr-FR"/>
        </w:rPr>
        <w:t>.</w:t>
      </w:r>
    </w:p>
    <w:p w14:paraId="297B2DB1" w14:textId="72A780E1"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8</w:t>
      </w:r>
      <w:r w:rsidRPr="002B6E68">
        <w:rPr>
          <w:lang w:val="fr-FR"/>
        </w:rPr>
        <w:tab/>
        <w:t>L</w:t>
      </w:r>
      <w:r w:rsidR="00390237">
        <w:rPr>
          <w:lang w:val="fr-FR"/>
        </w:rPr>
        <w:t>’</w:t>
      </w:r>
      <w:r w:rsidRPr="002B6E68">
        <w:rPr>
          <w:lang w:val="fr-FR"/>
        </w:rPr>
        <w:t>État partie fait valoir que l</w:t>
      </w:r>
      <w:r w:rsidR="00390237">
        <w:rPr>
          <w:lang w:val="fr-FR"/>
        </w:rPr>
        <w:t>’</w:t>
      </w:r>
      <w:r w:rsidRPr="002B6E68">
        <w:rPr>
          <w:lang w:val="fr-FR"/>
        </w:rPr>
        <w:t>auteur a été autorisé à exercer ses droits en tant que victime d</w:t>
      </w:r>
      <w:r w:rsidR="00390237">
        <w:rPr>
          <w:lang w:val="fr-FR"/>
        </w:rPr>
        <w:t>’</w:t>
      </w:r>
      <w:r w:rsidRPr="002B6E68">
        <w:rPr>
          <w:lang w:val="fr-FR"/>
        </w:rPr>
        <w:t>une infraction</w:t>
      </w:r>
      <w:r w:rsidRPr="00BA7980">
        <w:rPr>
          <w:lang w:val="fr-FR"/>
        </w:rPr>
        <w:t>.</w:t>
      </w:r>
      <w:r w:rsidRPr="002B6E68">
        <w:rPr>
          <w:lang w:val="fr-FR"/>
        </w:rPr>
        <w:t xml:space="preserve"> Toutes les conditions préalables ont été remplies, y compris la possibilité d</w:t>
      </w:r>
      <w:r w:rsidR="00390237">
        <w:rPr>
          <w:lang w:val="fr-FR"/>
        </w:rPr>
        <w:t>’</w:t>
      </w:r>
      <w:r w:rsidRPr="002B6E68">
        <w:rPr>
          <w:lang w:val="fr-FR"/>
        </w:rPr>
        <w:t>intenter une action civile en dommages et intérêts</w:t>
      </w:r>
      <w:r w:rsidRPr="00BA7980">
        <w:rPr>
          <w:lang w:val="fr-FR"/>
        </w:rPr>
        <w:t>.</w:t>
      </w:r>
      <w:r w:rsidRPr="002B6E68">
        <w:rPr>
          <w:lang w:val="fr-FR"/>
        </w:rPr>
        <w:t xml:space="preserve"> L</w:t>
      </w:r>
      <w:r w:rsidR="00390237">
        <w:rPr>
          <w:lang w:val="fr-FR"/>
        </w:rPr>
        <w:t>’</w:t>
      </w:r>
      <w:r w:rsidRPr="002B6E68">
        <w:rPr>
          <w:lang w:val="fr-FR"/>
        </w:rPr>
        <w:t xml:space="preserve">auteur a participé au procès en première instance et en appel, personnellement </w:t>
      </w:r>
      <w:r>
        <w:rPr>
          <w:lang w:val="fr-FR"/>
        </w:rPr>
        <w:t xml:space="preserve">et </w:t>
      </w:r>
      <w:r w:rsidRPr="002B6E68">
        <w:rPr>
          <w:lang w:val="fr-FR"/>
        </w:rPr>
        <w:t>par l</w:t>
      </w:r>
      <w:r w:rsidR="00390237">
        <w:rPr>
          <w:lang w:val="fr-FR"/>
        </w:rPr>
        <w:t>’</w:t>
      </w:r>
      <w:r w:rsidRPr="002B6E68">
        <w:rPr>
          <w:lang w:val="fr-FR"/>
        </w:rPr>
        <w:t>intermédiaire d</w:t>
      </w:r>
      <w:r w:rsidR="00390237">
        <w:rPr>
          <w:lang w:val="fr-FR"/>
        </w:rPr>
        <w:t>’</w:t>
      </w:r>
      <w:r w:rsidRPr="002B6E68">
        <w:rPr>
          <w:lang w:val="fr-FR"/>
        </w:rPr>
        <w:t>un avocat mandaté par lui, y compris à l</w:t>
      </w:r>
      <w:r w:rsidR="00390237">
        <w:rPr>
          <w:lang w:val="fr-FR"/>
        </w:rPr>
        <w:t>’</w:t>
      </w:r>
      <w:r w:rsidRPr="002B6E68">
        <w:rPr>
          <w:lang w:val="fr-FR"/>
        </w:rPr>
        <w:t>audience suivant la reprise de l</w:t>
      </w:r>
      <w:r w:rsidR="00390237">
        <w:rPr>
          <w:lang w:val="fr-FR"/>
        </w:rPr>
        <w:t>’</w:t>
      </w:r>
      <w:r w:rsidRPr="002B6E68">
        <w:rPr>
          <w:lang w:val="fr-FR"/>
        </w:rPr>
        <w:t>affaire</w:t>
      </w:r>
      <w:r w:rsidRPr="00BA7980">
        <w:rPr>
          <w:lang w:val="fr-FR"/>
        </w:rPr>
        <w:t>.</w:t>
      </w:r>
      <w:r w:rsidRPr="002B6E68">
        <w:rPr>
          <w:lang w:val="fr-FR"/>
        </w:rPr>
        <w:t xml:space="preserve"> Par conséquent, selon l</w:t>
      </w:r>
      <w:r w:rsidR="00390237">
        <w:rPr>
          <w:lang w:val="fr-FR"/>
        </w:rPr>
        <w:t>’</w:t>
      </w:r>
      <w:r w:rsidRPr="002B6E68">
        <w:rPr>
          <w:lang w:val="fr-FR"/>
        </w:rPr>
        <w:t>État partie, l</w:t>
      </w:r>
      <w:r w:rsidR="00390237">
        <w:rPr>
          <w:lang w:val="fr-FR"/>
        </w:rPr>
        <w:t>’</w:t>
      </w:r>
      <w:r w:rsidRPr="002B6E68">
        <w:rPr>
          <w:lang w:val="fr-FR"/>
        </w:rPr>
        <w:t xml:space="preserve">auteur a </w:t>
      </w:r>
      <w:r>
        <w:rPr>
          <w:lang w:val="fr-FR"/>
        </w:rPr>
        <w:t xml:space="preserve">disposé </w:t>
      </w:r>
      <w:r w:rsidRPr="002B6E68">
        <w:rPr>
          <w:lang w:val="fr-FR"/>
        </w:rPr>
        <w:t>de tous les recours utiles requis au titre de l</w:t>
      </w:r>
      <w:r w:rsidR="00390237">
        <w:rPr>
          <w:lang w:val="fr-FR"/>
        </w:rPr>
        <w:t>’</w:t>
      </w:r>
      <w:r w:rsidRPr="002B6E68">
        <w:rPr>
          <w:lang w:val="fr-FR"/>
        </w:rPr>
        <w:t>article</w:t>
      </w:r>
      <w:r w:rsidR="00B74B23">
        <w:rPr>
          <w:lang w:val="fr-FR"/>
        </w:rPr>
        <w:t> </w:t>
      </w:r>
      <w:r w:rsidRPr="002B6E68">
        <w:rPr>
          <w:lang w:val="fr-FR"/>
        </w:rPr>
        <w:t>2 (par</w:t>
      </w:r>
      <w:r w:rsidRPr="00BA7980">
        <w:rPr>
          <w:lang w:val="fr-FR"/>
        </w:rPr>
        <w:t>.</w:t>
      </w:r>
      <w:r w:rsidRPr="002B6E68">
        <w:rPr>
          <w:lang w:val="fr-FR"/>
        </w:rPr>
        <w:t> 3) du Pacte, et rien dans cet article n</w:t>
      </w:r>
      <w:r w:rsidR="00390237">
        <w:rPr>
          <w:lang w:val="fr-FR"/>
        </w:rPr>
        <w:t>’</w:t>
      </w:r>
      <w:r w:rsidRPr="002B6E68">
        <w:rPr>
          <w:lang w:val="fr-FR"/>
        </w:rPr>
        <w:t>oblige l</w:t>
      </w:r>
      <w:r w:rsidR="00390237">
        <w:rPr>
          <w:lang w:val="fr-FR"/>
        </w:rPr>
        <w:t>’</w:t>
      </w:r>
      <w:r w:rsidRPr="002B6E68">
        <w:rPr>
          <w:lang w:val="fr-FR"/>
        </w:rPr>
        <w:t>État partie à accorder une indemnisation</w:t>
      </w:r>
      <w:r w:rsidRPr="00BA7980">
        <w:rPr>
          <w:lang w:val="fr-FR"/>
        </w:rPr>
        <w:t>.</w:t>
      </w:r>
    </w:p>
    <w:p w14:paraId="7594A462" w14:textId="5B476736"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9</w:t>
      </w:r>
      <w:r w:rsidRPr="002B6E68">
        <w:rPr>
          <w:lang w:val="fr-FR"/>
        </w:rPr>
        <w:tab/>
        <w:t>L</w:t>
      </w:r>
      <w:r w:rsidR="00390237">
        <w:rPr>
          <w:lang w:val="fr-FR"/>
        </w:rPr>
        <w:t>’</w:t>
      </w:r>
      <w:r w:rsidRPr="002B6E68">
        <w:rPr>
          <w:lang w:val="fr-FR"/>
        </w:rPr>
        <w:t>État partie affirme que l</w:t>
      </w:r>
      <w:r w:rsidR="00390237">
        <w:rPr>
          <w:lang w:val="fr-FR"/>
        </w:rPr>
        <w:t>’</w:t>
      </w:r>
      <w:r w:rsidRPr="002B6E68">
        <w:rPr>
          <w:lang w:val="fr-FR"/>
        </w:rPr>
        <w:t>allégation de violation de l</w:t>
      </w:r>
      <w:r w:rsidR="00390237">
        <w:rPr>
          <w:lang w:val="fr-FR"/>
        </w:rPr>
        <w:t>’</w:t>
      </w:r>
      <w:r w:rsidRPr="002B6E68">
        <w:rPr>
          <w:lang w:val="fr-FR"/>
        </w:rPr>
        <w:t>article</w:t>
      </w:r>
      <w:r w:rsidR="00B74B23">
        <w:rPr>
          <w:lang w:val="fr-FR"/>
        </w:rPr>
        <w:t> </w:t>
      </w:r>
      <w:r w:rsidRPr="00B74B23">
        <w:rPr>
          <w:lang w:val="fr-FR"/>
        </w:rPr>
        <w:t>7 du Pacte,</w:t>
      </w:r>
      <w:r w:rsidRPr="002B6E68">
        <w:rPr>
          <w:lang w:val="fr-FR"/>
        </w:rPr>
        <w:t xml:space="preserve"> lu conjointement avec l</w:t>
      </w:r>
      <w:r w:rsidR="00390237">
        <w:rPr>
          <w:lang w:val="fr-FR"/>
        </w:rPr>
        <w:t>’</w:t>
      </w:r>
      <w:r w:rsidRPr="002B6E68">
        <w:rPr>
          <w:lang w:val="fr-FR"/>
        </w:rPr>
        <w:t>article</w:t>
      </w:r>
      <w:r w:rsidR="00B74B23">
        <w:rPr>
          <w:lang w:val="fr-FR"/>
        </w:rPr>
        <w:t> </w:t>
      </w:r>
      <w:r w:rsidRPr="002B6E68">
        <w:rPr>
          <w:lang w:val="fr-FR"/>
        </w:rPr>
        <w:t>2 (par</w:t>
      </w:r>
      <w:r w:rsidRPr="00BA7980">
        <w:rPr>
          <w:lang w:val="fr-FR"/>
        </w:rPr>
        <w:t>.</w:t>
      </w:r>
      <w:r w:rsidRPr="002B6E68">
        <w:rPr>
          <w:lang w:val="fr-FR"/>
        </w:rPr>
        <w:t> 3)</w:t>
      </w:r>
      <w:r>
        <w:rPr>
          <w:lang w:val="fr-FR"/>
        </w:rPr>
        <w:t>,</w:t>
      </w:r>
      <w:r w:rsidRPr="002B6E68">
        <w:rPr>
          <w:lang w:val="fr-FR"/>
        </w:rPr>
        <w:t xml:space="preserve"> est également infondée, car l</w:t>
      </w:r>
      <w:r w:rsidR="00390237">
        <w:rPr>
          <w:lang w:val="fr-FR"/>
        </w:rPr>
        <w:t>’</w:t>
      </w:r>
      <w:r w:rsidRPr="002B6E68">
        <w:rPr>
          <w:lang w:val="fr-FR"/>
        </w:rPr>
        <w:t>auteur a été autorisé à exercer ses droits dans le cadre de la procédure pénale</w:t>
      </w:r>
      <w:r w:rsidRPr="00BA7980">
        <w:rPr>
          <w:lang w:val="fr-FR"/>
        </w:rPr>
        <w:t>.</w:t>
      </w:r>
      <w:r w:rsidRPr="002B6E68">
        <w:rPr>
          <w:lang w:val="fr-FR"/>
        </w:rPr>
        <w:t xml:space="preserve"> Il indique que l</w:t>
      </w:r>
      <w:r w:rsidR="00390237">
        <w:rPr>
          <w:lang w:val="fr-FR"/>
        </w:rPr>
        <w:t>’</w:t>
      </w:r>
      <w:r w:rsidRPr="002B6E68">
        <w:rPr>
          <w:lang w:val="fr-FR"/>
        </w:rPr>
        <w:t>affaire concernant l</w:t>
      </w:r>
      <w:r w:rsidR="00390237">
        <w:rPr>
          <w:lang w:val="fr-FR"/>
        </w:rPr>
        <w:t>’</w:t>
      </w:r>
      <w:r w:rsidRPr="002B6E68">
        <w:rPr>
          <w:lang w:val="fr-FR"/>
        </w:rPr>
        <w:t>auteur a été examinée selon la procédure générale, alors même que les conditions étaient réunies pour qu</w:t>
      </w:r>
      <w:r w:rsidR="00390237">
        <w:rPr>
          <w:lang w:val="fr-FR"/>
        </w:rPr>
        <w:t>’</w:t>
      </w:r>
      <w:r w:rsidRPr="002B6E68">
        <w:rPr>
          <w:lang w:val="fr-FR"/>
        </w:rPr>
        <w:t>elle soit examiné</w:t>
      </w:r>
      <w:r>
        <w:rPr>
          <w:lang w:val="fr-FR"/>
        </w:rPr>
        <w:t>e</w:t>
      </w:r>
      <w:r w:rsidRPr="002B6E68">
        <w:rPr>
          <w:lang w:val="fr-FR"/>
        </w:rPr>
        <w:t xml:space="preserve"> selon la procédure prévue au chapitre</w:t>
      </w:r>
      <w:r w:rsidR="00B74B23">
        <w:rPr>
          <w:lang w:val="fr-FR"/>
        </w:rPr>
        <w:t> </w:t>
      </w:r>
      <w:r w:rsidRPr="002B6E68">
        <w:rPr>
          <w:lang w:val="fr-FR"/>
        </w:rPr>
        <w:t>28 du Code de procédure pénale intitulé « Exonération de la responsabilité pénale par l</w:t>
      </w:r>
      <w:r w:rsidR="00390237">
        <w:rPr>
          <w:lang w:val="fr-FR"/>
        </w:rPr>
        <w:t>’</w:t>
      </w:r>
      <w:r w:rsidRPr="002B6E68">
        <w:rPr>
          <w:lang w:val="fr-FR"/>
        </w:rPr>
        <w:t>imposition d</w:t>
      </w:r>
      <w:r w:rsidR="00390237">
        <w:rPr>
          <w:lang w:val="fr-FR"/>
        </w:rPr>
        <w:t>’</w:t>
      </w:r>
      <w:r w:rsidRPr="002B6E68">
        <w:rPr>
          <w:lang w:val="fr-FR"/>
        </w:rPr>
        <w:t>une sanction administrative », dans laquelle il n</w:t>
      </w:r>
      <w:r w:rsidR="00390237">
        <w:rPr>
          <w:lang w:val="fr-FR"/>
        </w:rPr>
        <w:t>’</w:t>
      </w:r>
      <w:r w:rsidRPr="002B6E68">
        <w:rPr>
          <w:lang w:val="fr-FR"/>
        </w:rPr>
        <w:t xml:space="preserve">y a ni </w:t>
      </w:r>
      <w:r>
        <w:rPr>
          <w:lang w:val="fr-FR"/>
        </w:rPr>
        <w:t xml:space="preserve">partie civile ni </w:t>
      </w:r>
      <w:r w:rsidRPr="002B6E68">
        <w:rPr>
          <w:lang w:val="fr-FR"/>
        </w:rPr>
        <w:t>demandeur civil</w:t>
      </w:r>
      <w:r w:rsidRPr="00BA7980">
        <w:rPr>
          <w:lang w:val="fr-FR"/>
        </w:rPr>
        <w:t>.</w:t>
      </w:r>
      <w:r w:rsidRPr="002B6E68">
        <w:rPr>
          <w:lang w:val="fr-FR"/>
        </w:rPr>
        <w:t xml:space="preserve"> Il affirme qu</w:t>
      </w:r>
      <w:r w:rsidR="00390237">
        <w:rPr>
          <w:lang w:val="fr-FR"/>
        </w:rPr>
        <w:t>’</w:t>
      </w:r>
      <w:r w:rsidRPr="002B6E68">
        <w:rPr>
          <w:lang w:val="fr-FR"/>
        </w:rPr>
        <w:t>incontestablement, dans le cadre de l</w:t>
      </w:r>
      <w:r w:rsidR="00390237">
        <w:rPr>
          <w:lang w:val="fr-FR"/>
        </w:rPr>
        <w:t>’</w:t>
      </w:r>
      <w:r w:rsidRPr="002B6E68">
        <w:rPr>
          <w:lang w:val="fr-FR"/>
        </w:rPr>
        <w:t xml:space="preserve">action civile </w:t>
      </w:r>
      <w:r>
        <w:rPr>
          <w:lang w:val="fr-FR"/>
        </w:rPr>
        <w:t xml:space="preserve">exercée </w:t>
      </w:r>
      <w:r w:rsidRPr="002B6E68">
        <w:rPr>
          <w:lang w:val="fr-FR"/>
        </w:rPr>
        <w:t>par l</w:t>
      </w:r>
      <w:r w:rsidR="00390237">
        <w:rPr>
          <w:lang w:val="fr-FR"/>
        </w:rPr>
        <w:t>’</w:t>
      </w:r>
      <w:r w:rsidRPr="002B6E68">
        <w:rPr>
          <w:lang w:val="fr-FR"/>
        </w:rPr>
        <w:t xml:space="preserve">auteur, </w:t>
      </w:r>
      <w:r>
        <w:rPr>
          <w:lang w:val="fr-FR"/>
        </w:rPr>
        <w:t xml:space="preserve">la </w:t>
      </w:r>
      <w:r w:rsidRPr="002B6E68">
        <w:rPr>
          <w:lang w:val="fr-FR"/>
        </w:rPr>
        <w:t xml:space="preserve">cause </w:t>
      </w:r>
      <w:r>
        <w:rPr>
          <w:lang w:val="fr-FR"/>
        </w:rPr>
        <w:t>de celui</w:t>
      </w:r>
      <w:r w:rsidR="00B74B23">
        <w:rPr>
          <w:lang w:val="fr-FR"/>
        </w:rPr>
        <w:noBreakHyphen/>
      </w:r>
      <w:r>
        <w:rPr>
          <w:lang w:val="fr-FR"/>
        </w:rPr>
        <w:t xml:space="preserve">ci a été </w:t>
      </w:r>
      <w:r w:rsidRPr="002B6E68">
        <w:rPr>
          <w:lang w:val="fr-FR"/>
        </w:rPr>
        <w:t>entendue équitablement et publiquement par un tribunal compétent, indépendant et impartial établi par la loi, comme l</w:t>
      </w:r>
      <w:r w:rsidR="00390237">
        <w:rPr>
          <w:lang w:val="fr-FR"/>
        </w:rPr>
        <w:t>’</w:t>
      </w:r>
      <w:r w:rsidRPr="002B6E68">
        <w:rPr>
          <w:lang w:val="fr-FR"/>
        </w:rPr>
        <w:t>exige l</w:t>
      </w:r>
      <w:r w:rsidR="00390237">
        <w:rPr>
          <w:lang w:val="fr-FR"/>
        </w:rPr>
        <w:t>’</w:t>
      </w:r>
      <w:r w:rsidRPr="002B6E68">
        <w:rPr>
          <w:lang w:val="fr-FR"/>
        </w:rPr>
        <w:t>article</w:t>
      </w:r>
      <w:r>
        <w:rPr>
          <w:lang w:val="fr-FR"/>
        </w:rPr>
        <w:t> </w:t>
      </w:r>
      <w:r w:rsidRPr="002B6E68">
        <w:rPr>
          <w:lang w:val="fr-FR"/>
        </w:rPr>
        <w:t>14 (par</w:t>
      </w:r>
      <w:r w:rsidRPr="00BA7980">
        <w:rPr>
          <w:lang w:val="fr-FR"/>
        </w:rPr>
        <w:t>.</w:t>
      </w:r>
      <w:r w:rsidRPr="002B6E68">
        <w:rPr>
          <w:lang w:val="fr-FR"/>
        </w:rPr>
        <w:t> 1) du Pacte</w:t>
      </w:r>
      <w:r w:rsidRPr="00BA7980">
        <w:rPr>
          <w:lang w:val="fr-FR"/>
        </w:rPr>
        <w:t>.</w:t>
      </w:r>
      <w:r w:rsidRPr="002B6E68">
        <w:rPr>
          <w:lang w:val="fr-FR"/>
        </w:rPr>
        <w:t xml:space="preserve"> Selon l</w:t>
      </w:r>
      <w:r w:rsidR="00390237">
        <w:rPr>
          <w:lang w:val="fr-FR"/>
        </w:rPr>
        <w:t>’</w:t>
      </w:r>
      <w:r w:rsidRPr="002B6E68">
        <w:rPr>
          <w:lang w:val="fr-FR"/>
        </w:rPr>
        <w:t xml:space="preserve">État partie, il est inadmissible de </w:t>
      </w:r>
      <w:r w:rsidRPr="005525F5">
        <w:rPr>
          <w:lang w:val="fr-FR"/>
        </w:rPr>
        <w:t>subordonner la satisfaction de l</w:t>
      </w:r>
      <w:r w:rsidR="00390237">
        <w:rPr>
          <w:lang w:val="fr-FR"/>
        </w:rPr>
        <w:t>’</w:t>
      </w:r>
      <w:r w:rsidRPr="005525F5">
        <w:rPr>
          <w:lang w:val="fr-FR"/>
        </w:rPr>
        <w:t>exigence</w:t>
      </w:r>
      <w:r w:rsidRPr="002B6E68">
        <w:rPr>
          <w:lang w:val="fr-FR"/>
        </w:rPr>
        <w:t xml:space="preserve"> </w:t>
      </w:r>
      <w:r>
        <w:rPr>
          <w:lang w:val="fr-FR"/>
        </w:rPr>
        <w:t>d</w:t>
      </w:r>
      <w:r w:rsidR="00390237">
        <w:rPr>
          <w:lang w:val="fr-FR"/>
        </w:rPr>
        <w:t>’</w:t>
      </w:r>
      <w:r>
        <w:rPr>
          <w:lang w:val="fr-FR"/>
        </w:rPr>
        <w:t>un</w:t>
      </w:r>
      <w:r w:rsidRPr="002B6E68">
        <w:rPr>
          <w:lang w:val="fr-FR"/>
        </w:rPr>
        <w:t xml:space="preserve"> recours </w:t>
      </w:r>
      <w:r>
        <w:rPr>
          <w:lang w:val="fr-FR"/>
        </w:rPr>
        <w:t xml:space="preserve">utile </w:t>
      </w:r>
      <w:r w:rsidRPr="002B6E68">
        <w:rPr>
          <w:lang w:val="fr-FR"/>
        </w:rPr>
        <w:t>à l</w:t>
      </w:r>
      <w:r w:rsidR="00390237">
        <w:rPr>
          <w:lang w:val="fr-FR"/>
        </w:rPr>
        <w:t>’</w:t>
      </w:r>
      <w:r w:rsidRPr="002B6E68">
        <w:rPr>
          <w:lang w:val="fr-FR"/>
        </w:rPr>
        <w:t>obtention d</w:t>
      </w:r>
      <w:r w:rsidR="00390237">
        <w:rPr>
          <w:lang w:val="fr-FR"/>
        </w:rPr>
        <w:t>’</w:t>
      </w:r>
      <w:r w:rsidRPr="002B6E68">
        <w:rPr>
          <w:lang w:val="fr-FR"/>
        </w:rPr>
        <w:t xml:space="preserve">un résultat </w:t>
      </w:r>
      <w:r>
        <w:rPr>
          <w:lang w:val="fr-FR"/>
        </w:rPr>
        <w:t>spécifique</w:t>
      </w:r>
      <w:r w:rsidRPr="002B6E68">
        <w:rPr>
          <w:lang w:val="fr-FR"/>
        </w:rPr>
        <w:t xml:space="preserve">, car une telle interprétation </w:t>
      </w:r>
      <w:r>
        <w:rPr>
          <w:lang w:val="fr-FR"/>
        </w:rPr>
        <w:t>irait à l</w:t>
      </w:r>
      <w:r w:rsidR="00390237">
        <w:rPr>
          <w:lang w:val="fr-FR"/>
        </w:rPr>
        <w:t>’</w:t>
      </w:r>
      <w:r>
        <w:rPr>
          <w:lang w:val="fr-FR"/>
        </w:rPr>
        <w:t xml:space="preserve">encontre des </w:t>
      </w:r>
      <w:r w:rsidRPr="002B6E68">
        <w:rPr>
          <w:lang w:val="fr-FR"/>
        </w:rPr>
        <w:t>principes fondamentaux d</w:t>
      </w:r>
      <w:r w:rsidR="00390237">
        <w:rPr>
          <w:lang w:val="fr-FR"/>
        </w:rPr>
        <w:t>’</w:t>
      </w:r>
      <w:r w:rsidRPr="002B6E68">
        <w:rPr>
          <w:lang w:val="fr-FR"/>
        </w:rPr>
        <w:t>égalité des citoyens, d</w:t>
      </w:r>
      <w:r w:rsidR="00390237">
        <w:rPr>
          <w:lang w:val="fr-FR"/>
        </w:rPr>
        <w:t>’</w:t>
      </w:r>
      <w:r w:rsidRPr="002B6E68">
        <w:rPr>
          <w:lang w:val="fr-FR"/>
        </w:rPr>
        <w:t>égalité des droits des parties et de « découverte de la vérité objective par la procédure pénale »</w:t>
      </w:r>
      <w:r w:rsidRPr="00BA7980">
        <w:rPr>
          <w:lang w:val="fr-FR"/>
        </w:rPr>
        <w:t>.</w:t>
      </w:r>
    </w:p>
    <w:p w14:paraId="62732F92" w14:textId="22AD04E7" w:rsidR="00F85A35" w:rsidRPr="002B6E68" w:rsidRDefault="00F85A35" w:rsidP="00F85A35">
      <w:pPr>
        <w:pStyle w:val="SingleTxtG"/>
        <w:rPr>
          <w:lang w:val="fr-FR"/>
        </w:rPr>
      </w:pPr>
      <w:r w:rsidRPr="002B6E68">
        <w:rPr>
          <w:lang w:val="fr-FR"/>
        </w:rPr>
        <w:t>4</w:t>
      </w:r>
      <w:r w:rsidRPr="00BA7980">
        <w:rPr>
          <w:lang w:val="fr-FR"/>
        </w:rPr>
        <w:t>.</w:t>
      </w:r>
      <w:r w:rsidRPr="002B6E68">
        <w:rPr>
          <w:lang w:val="fr-FR"/>
        </w:rPr>
        <w:t>10</w:t>
      </w:r>
      <w:r w:rsidRPr="002B6E68">
        <w:rPr>
          <w:lang w:val="fr-FR"/>
        </w:rPr>
        <w:tab/>
        <w:t>L</w:t>
      </w:r>
      <w:r w:rsidR="00390237">
        <w:rPr>
          <w:lang w:val="fr-FR"/>
        </w:rPr>
        <w:t>’</w:t>
      </w:r>
      <w:r w:rsidRPr="002B6E68">
        <w:rPr>
          <w:lang w:val="fr-FR"/>
        </w:rPr>
        <w:t>État partie conclut que les allégations de l</w:t>
      </w:r>
      <w:r w:rsidR="00390237">
        <w:rPr>
          <w:lang w:val="fr-FR"/>
        </w:rPr>
        <w:t>’</w:t>
      </w:r>
      <w:r w:rsidRPr="002B6E68">
        <w:rPr>
          <w:lang w:val="fr-FR"/>
        </w:rPr>
        <w:t>auteur relatives à la violation de l</w:t>
      </w:r>
      <w:r w:rsidR="00390237">
        <w:rPr>
          <w:lang w:val="fr-FR"/>
        </w:rPr>
        <w:t>’</w:t>
      </w:r>
      <w:r w:rsidRPr="002B6E68">
        <w:rPr>
          <w:lang w:val="fr-FR"/>
        </w:rPr>
        <w:t>article 7 du Pacte, lu conjointement avec les articles</w:t>
      </w:r>
      <w:r w:rsidR="00B74B23">
        <w:rPr>
          <w:lang w:val="fr-FR"/>
        </w:rPr>
        <w:t> </w:t>
      </w:r>
      <w:r w:rsidRPr="002B6E68">
        <w:rPr>
          <w:lang w:val="fr-FR"/>
        </w:rPr>
        <w:t>2 (par</w:t>
      </w:r>
      <w:r w:rsidRPr="00BA7980">
        <w:rPr>
          <w:lang w:val="fr-FR"/>
        </w:rPr>
        <w:t>.</w:t>
      </w:r>
      <w:r w:rsidR="00B74B23">
        <w:rPr>
          <w:lang w:val="fr-FR"/>
        </w:rPr>
        <w:t> </w:t>
      </w:r>
      <w:r w:rsidRPr="002B6E68">
        <w:rPr>
          <w:lang w:val="fr-FR"/>
        </w:rPr>
        <w:t>3) et 14 (par</w:t>
      </w:r>
      <w:r w:rsidRPr="00BA7980">
        <w:rPr>
          <w:lang w:val="fr-FR"/>
        </w:rPr>
        <w:t>.</w:t>
      </w:r>
      <w:r w:rsidR="00B74B23">
        <w:rPr>
          <w:lang w:val="fr-FR"/>
        </w:rPr>
        <w:t> </w:t>
      </w:r>
      <w:r w:rsidRPr="002B6E68">
        <w:rPr>
          <w:lang w:val="fr-FR"/>
        </w:rPr>
        <w:t>1), sont sans fondement</w:t>
      </w:r>
      <w:r w:rsidRPr="00BA7980">
        <w:rPr>
          <w:lang w:val="fr-FR"/>
        </w:rPr>
        <w:t>.</w:t>
      </w:r>
    </w:p>
    <w:p w14:paraId="77F4EA7F" w14:textId="3944A01B" w:rsidR="00F85A35" w:rsidRPr="002B6E68" w:rsidRDefault="00F85A35" w:rsidP="00F85A35">
      <w:pPr>
        <w:pStyle w:val="H23G"/>
        <w:rPr>
          <w:lang w:val="fr-FR"/>
        </w:rPr>
      </w:pPr>
      <w:r w:rsidRPr="002B6E68">
        <w:rPr>
          <w:lang w:val="fr-FR"/>
        </w:rPr>
        <w:tab/>
      </w:r>
      <w:r w:rsidRPr="002B6E68">
        <w:rPr>
          <w:lang w:val="fr-FR"/>
        </w:rPr>
        <w:tab/>
        <w:t>Commentaires de l</w:t>
      </w:r>
      <w:r w:rsidR="00390237">
        <w:rPr>
          <w:lang w:val="fr-FR"/>
        </w:rPr>
        <w:t>’</w:t>
      </w:r>
      <w:r w:rsidRPr="002B6E68">
        <w:rPr>
          <w:lang w:val="fr-FR"/>
        </w:rPr>
        <w:t xml:space="preserve">auteur sur les observations </w:t>
      </w:r>
      <w:r w:rsidRPr="00D1453F">
        <w:rPr>
          <w:lang w:val="fr-FR"/>
        </w:rPr>
        <w:t>de l</w:t>
      </w:r>
      <w:r w:rsidR="00390237" w:rsidRPr="00D1453F">
        <w:rPr>
          <w:lang w:val="fr-FR"/>
        </w:rPr>
        <w:t>’</w:t>
      </w:r>
      <w:r w:rsidRPr="00D1453F">
        <w:rPr>
          <w:lang w:val="fr-FR"/>
        </w:rPr>
        <w:t>État partie</w:t>
      </w:r>
      <w:r w:rsidR="00D1453F">
        <w:rPr>
          <w:lang w:val="fr-FR"/>
        </w:rPr>
        <w:t xml:space="preserve"> </w:t>
      </w:r>
      <w:r w:rsidR="007C7920">
        <w:rPr>
          <w:lang w:val="fr-FR"/>
        </w:rPr>
        <w:br/>
        <w:t>concernant la recevabilité et le fond</w:t>
      </w:r>
    </w:p>
    <w:p w14:paraId="09D51103" w14:textId="07B5F63E" w:rsidR="00F85A35" w:rsidRPr="002B6E68" w:rsidRDefault="00F85A35" w:rsidP="00F85A35">
      <w:pPr>
        <w:pStyle w:val="SingleTxtG"/>
        <w:rPr>
          <w:lang w:val="fr-FR"/>
        </w:rPr>
      </w:pPr>
      <w:r w:rsidRPr="002B6E68">
        <w:rPr>
          <w:lang w:val="fr-FR"/>
        </w:rPr>
        <w:t>5</w:t>
      </w:r>
      <w:r w:rsidRPr="00BA7980">
        <w:rPr>
          <w:lang w:val="fr-FR"/>
        </w:rPr>
        <w:t>.</w:t>
      </w:r>
      <w:r w:rsidRPr="002B6E68">
        <w:rPr>
          <w:lang w:val="fr-FR"/>
        </w:rPr>
        <w:t>1</w:t>
      </w:r>
      <w:r w:rsidRPr="002B6E68">
        <w:rPr>
          <w:lang w:val="fr-FR"/>
        </w:rPr>
        <w:tab/>
        <w:t>Dans des commentaires datés du 5 juin 2017, l</w:t>
      </w:r>
      <w:r w:rsidR="00390237">
        <w:rPr>
          <w:lang w:val="fr-FR"/>
        </w:rPr>
        <w:t>’</w:t>
      </w:r>
      <w:r w:rsidRPr="002B6E68">
        <w:rPr>
          <w:lang w:val="fr-FR"/>
        </w:rPr>
        <w:t>auteur soutient que, contrairement à ce qu</w:t>
      </w:r>
      <w:r w:rsidR="00390237">
        <w:rPr>
          <w:lang w:val="fr-FR"/>
        </w:rPr>
        <w:t>’</w:t>
      </w:r>
      <w:r w:rsidRPr="002B6E68">
        <w:rPr>
          <w:lang w:val="fr-FR"/>
        </w:rPr>
        <w:t>affirme l</w:t>
      </w:r>
      <w:r w:rsidR="00390237">
        <w:rPr>
          <w:lang w:val="fr-FR"/>
        </w:rPr>
        <w:t>’</w:t>
      </w:r>
      <w:r w:rsidRPr="002B6E68">
        <w:rPr>
          <w:lang w:val="fr-FR"/>
        </w:rPr>
        <w:t xml:space="preserve">État partie, la communication devrait être déclarée recevable car il a épuisé </w:t>
      </w:r>
      <w:r>
        <w:rPr>
          <w:lang w:val="fr-FR"/>
        </w:rPr>
        <w:t xml:space="preserve">tous </w:t>
      </w:r>
      <w:r w:rsidRPr="002B6E68">
        <w:rPr>
          <w:lang w:val="fr-FR"/>
        </w:rPr>
        <w:t>les recours internes disponibles</w:t>
      </w:r>
      <w:r w:rsidRPr="00BA7980">
        <w:rPr>
          <w:lang w:val="fr-FR"/>
        </w:rPr>
        <w:t>.</w:t>
      </w:r>
      <w:r w:rsidRPr="002B6E68">
        <w:rPr>
          <w:lang w:val="fr-FR"/>
        </w:rPr>
        <w:t xml:space="preserve"> Il explique que la décision de l</w:t>
      </w:r>
      <w:r w:rsidR="00390237">
        <w:rPr>
          <w:lang w:val="fr-FR"/>
        </w:rPr>
        <w:t>’</w:t>
      </w:r>
      <w:r w:rsidRPr="002B6E68">
        <w:rPr>
          <w:lang w:val="fr-FR"/>
        </w:rPr>
        <w:t>instance d</w:t>
      </w:r>
      <w:r w:rsidR="00390237">
        <w:rPr>
          <w:lang w:val="fr-FR"/>
        </w:rPr>
        <w:t>’</w:t>
      </w:r>
      <w:r w:rsidRPr="002B6E68">
        <w:rPr>
          <w:lang w:val="fr-FR"/>
        </w:rPr>
        <w:t xml:space="preserve">appel </w:t>
      </w:r>
      <w:r>
        <w:rPr>
          <w:lang w:val="fr-FR"/>
        </w:rPr>
        <w:t xml:space="preserve">était </w:t>
      </w:r>
      <w:r w:rsidRPr="002B6E68">
        <w:rPr>
          <w:lang w:val="fr-FR"/>
        </w:rPr>
        <w:t>définitive, comme cela est indiqué dans la décision</w:t>
      </w:r>
      <w:r>
        <w:rPr>
          <w:lang w:val="fr-FR"/>
        </w:rPr>
        <w:t xml:space="preserve"> elle-même</w:t>
      </w:r>
      <w:r w:rsidRPr="00BA7980">
        <w:rPr>
          <w:lang w:val="fr-FR"/>
        </w:rPr>
        <w:t>.</w:t>
      </w:r>
      <w:r w:rsidRPr="002B6E68">
        <w:rPr>
          <w:lang w:val="fr-FR"/>
        </w:rPr>
        <w:t xml:space="preserve"> Il ajoute que l</w:t>
      </w:r>
      <w:r w:rsidR="00390237">
        <w:rPr>
          <w:lang w:val="fr-FR"/>
        </w:rPr>
        <w:t>’</w:t>
      </w:r>
      <w:r w:rsidRPr="002B6E68">
        <w:rPr>
          <w:lang w:val="fr-FR"/>
        </w:rPr>
        <w:t>article</w:t>
      </w:r>
      <w:r w:rsidR="00B74B23">
        <w:rPr>
          <w:lang w:val="fr-FR"/>
        </w:rPr>
        <w:t> </w:t>
      </w:r>
      <w:r w:rsidRPr="002B6E68">
        <w:rPr>
          <w:lang w:val="fr-FR"/>
        </w:rPr>
        <w:t>346 du Code de procédure pénale limite le champ d</w:t>
      </w:r>
      <w:r w:rsidR="00390237">
        <w:rPr>
          <w:lang w:val="fr-FR"/>
        </w:rPr>
        <w:t>’</w:t>
      </w:r>
      <w:r w:rsidRPr="002B6E68">
        <w:rPr>
          <w:lang w:val="fr-FR"/>
        </w:rPr>
        <w:t xml:space="preserve">application du </w:t>
      </w:r>
      <w:r>
        <w:rPr>
          <w:lang w:val="fr-FR"/>
        </w:rPr>
        <w:t xml:space="preserve">pourvoi </w:t>
      </w:r>
      <w:r w:rsidRPr="002B6E68">
        <w:rPr>
          <w:lang w:val="fr-FR"/>
        </w:rPr>
        <w:t>en cassation</w:t>
      </w:r>
      <w:r w:rsidRPr="00BA7980">
        <w:rPr>
          <w:lang w:val="fr-FR"/>
        </w:rPr>
        <w:t>.</w:t>
      </w:r>
      <w:r w:rsidRPr="002B6E68">
        <w:rPr>
          <w:lang w:val="fr-FR"/>
        </w:rPr>
        <w:t xml:space="preserve"> Cet article dispose que les jugements de </w:t>
      </w:r>
      <w:r>
        <w:rPr>
          <w:lang w:val="fr-FR"/>
        </w:rPr>
        <w:t xml:space="preserve">seconde </w:t>
      </w:r>
      <w:r w:rsidRPr="002B6E68">
        <w:rPr>
          <w:lang w:val="fr-FR"/>
        </w:rPr>
        <w:t>instance confirm</w:t>
      </w:r>
      <w:r>
        <w:rPr>
          <w:lang w:val="fr-FR"/>
        </w:rPr>
        <w:t>a</w:t>
      </w:r>
      <w:r w:rsidRPr="002B6E68">
        <w:rPr>
          <w:lang w:val="fr-FR"/>
        </w:rPr>
        <w:t xml:space="preserve">nt des décisions de première instance ne sont pas susceptibles de recours devant la Cour </w:t>
      </w:r>
      <w:r>
        <w:rPr>
          <w:lang w:val="fr-FR"/>
        </w:rPr>
        <w:t>s</w:t>
      </w:r>
      <w:r w:rsidRPr="002B6E68">
        <w:rPr>
          <w:lang w:val="fr-FR"/>
        </w:rPr>
        <w:t xml:space="preserve">uprême de </w:t>
      </w:r>
      <w:r>
        <w:rPr>
          <w:lang w:val="fr-FR"/>
        </w:rPr>
        <w:t>c</w:t>
      </w:r>
      <w:r w:rsidRPr="002B6E68">
        <w:rPr>
          <w:lang w:val="fr-FR"/>
        </w:rPr>
        <w:t>assation</w:t>
      </w:r>
      <w:r w:rsidR="00B74B23">
        <w:rPr>
          <w:lang w:val="fr-FR"/>
        </w:rPr>
        <w:t>.</w:t>
      </w:r>
    </w:p>
    <w:p w14:paraId="4DFA51C4" w14:textId="11BB69AF" w:rsidR="00F85A35" w:rsidRPr="002B6E68" w:rsidRDefault="00F85A35" w:rsidP="00F85A35">
      <w:pPr>
        <w:pStyle w:val="SingleTxtG"/>
        <w:rPr>
          <w:lang w:val="fr-FR"/>
        </w:rPr>
      </w:pPr>
      <w:r w:rsidRPr="002B6E68">
        <w:rPr>
          <w:lang w:val="fr-FR"/>
        </w:rPr>
        <w:t>5</w:t>
      </w:r>
      <w:r w:rsidRPr="00BA7980">
        <w:rPr>
          <w:lang w:val="fr-FR"/>
        </w:rPr>
        <w:t>.</w:t>
      </w:r>
      <w:r w:rsidRPr="002B6E68">
        <w:rPr>
          <w:lang w:val="fr-FR"/>
        </w:rPr>
        <w:t>2</w:t>
      </w:r>
      <w:r w:rsidRPr="002B6E68">
        <w:rPr>
          <w:lang w:val="fr-FR"/>
        </w:rPr>
        <w:tab/>
        <w:t>L</w:t>
      </w:r>
      <w:r w:rsidR="00390237">
        <w:rPr>
          <w:lang w:val="fr-FR"/>
        </w:rPr>
        <w:t>’</w:t>
      </w:r>
      <w:r w:rsidRPr="002B6E68">
        <w:rPr>
          <w:lang w:val="fr-FR"/>
        </w:rPr>
        <w:t>auteur fait observer que l</w:t>
      </w:r>
      <w:r w:rsidR="00390237">
        <w:rPr>
          <w:lang w:val="fr-FR"/>
        </w:rPr>
        <w:t>’</w:t>
      </w:r>
      <w:r w:rsidRPr="002B6E68">
        <w:rPr>
          <w:lang w:val="fr-FR"/>
        </w:rPr>
        <w:t>État partie ne conteste pas que</w:t>
      </w:r>
      <w:r>
        <w:rPr>
          <w:lang w:val="fr-FR"/>
        </w:rPr>
        <w:t>, par leur intensité et leur nature,</w:t>
      </w:r>
      <w:r w:rsidRPr="002B6E68">
        <w:rPr>
          <w:lang w:val="fr-FR"/>
        </w:rPr>
        <w:t xml:space="preserve"> </w:t>
      </w:r>
      <w:r>
        <w:rPr>
          <w:lang w:val="fr-FR"/>
        </w:rPr>
        <w:t>les</w:t>
      </w:r>
      <w:r w:rsidRPr="002B6E68">
        <w:rPr>
          <w:lang w:val="fr-FR"/>
        </w:rPr>
        <w:t xml:space="preserve"> violence</w:t>
      </w:r>
      <w:r>
        <w:rPr>
          <w:lang w:val="fr-FR"/>
        </w:rPr>
        <w:t>s</w:t>
      </w:r>
      <w:r w:rsidRPr="002B6E68">
        <w:rPr>
          <w:lang w:val="fr-FR"/>
        </w:rPr>
        <w:t xml:space="preserve"> exercée</w:t>
      </w:r>
      <w:r>
        <w:rPr>
          <w:lang w:val="fr-FR"/>
        </w:rPr>
        <w:t>s</w:t>
      </w:r>
      <w:r w:rsidRPr="002B6E68">
        <w:rPr>
          <w:lang w:val="fr-FR"/>
        </w:rPr>
        <w:t xml:space="preserve"> </w:t>
      </w:r>
      <w:r>
        <w:rPr>
          <w:lang w:val="fr-FR"/>
        </w:rPr>
        <w:t xml:space="preserve">contre </w:t>
      </w:r>
      <w:r w:rsidRPr="002B6E68">
        <w:rPr>
          <w:lang w:val="fr-FR"/>
        </w:rPr>
        <w:t xml:space="preserve">lui </w:t>
      </w:r>
      <w:r>
        <w:rPr>
          <w:lang w:val="fr-FR"/>
        </w:rPr>
        <w:t xml:space="preserve">relevaient </w:t>
      </w:r>
      <w:r w:rsidRPr="002B6E68">
        <w:rPr>
          <w:lang w:val="fr-FR"/>
        </w:rPr>
        <w:t>de l</w:t>
      </w:r>
      <w:r w:rsidR="00390237">
        <w:rPr>
          <w:lang w:val="fr-FR"/>
        </w:rPr>
        <w:t>’</w:t>
      </w:r>
      <w:r w:rsidRPr="002B6E68">
        <w:rPr>
          <w:lang w:val="fr-FR"/>
        </w:rPr>
        <w:t>article 7 du Pacte ni qu</w:t>
      </w:r>
      <w:r w:rsidR="00390237">
        <w:rPr>
          <w:lang w:val="fr-FR"/>
        </w:rPr>
        <w:t>’</w:t>
      </w:r>
      <w:r w:rsidRPr="002B6E68">
        <w:rPr>
          <w:lang w:val="fr-FR"/>
        </w:rPr>
        <w:t>elle</w:t>
      </w:r>
      <w:r>
        <w:rPr>
          <w:lang w:val="fr-FR"/>
        </w:rPr>
        <w:t>s</w:t>
      </w:r>
      <w:r w:rsidRPr="002B6E68">
        <w:rPr>
          <w:lang w:val="fr-FR"/>
        </w:rPr>
        <w:t xml:space="preserve"> </w:t>
      </w:r>
      <w:r>
        <w:rPr>
          <w:lang w:val="fr-FR"/>
        </w:rPr>
        <w:t xml:space="preserve">ont </w:t>
      </w:r>
      <w:r w:rsidRPr="002B6E68">
        <w:rPr>
          <w:lang w:val="fr-FR"/>
        </w:rPr>
        <w:t xml:space="preserve">été </w:t>
      </w:r>
      <w:r>
        <w:rPr>
          <w:lang w:val="fr-FR"/>
        </w:rPr>
        <w:t xml:space="preserve">le fait de </w:t>
      </w:r>
      <w:r w:rsidRPr="002B6E68">
        <w:rPr>
          <w:lang w:val="fr-FR"/>
        </w:rPr>
        <w:t>représentants de l</w:t>
      </w:r>
      <w:r w:rsidR="00390237">
        <w:rPr>
          <w:lang w:val="fr-FR"/>
        </w:rPr>
        <w:t>’</w:t>
      </w:r>
      <w:r w:rsidRPr="002B6E68">
        <w:rPr>
          <w:lang w:val="fr-FR"/>
        </w:rPr>
        <w:t xml:space="preserve">État partie, des policiers, qui en employant la force physique et du matériel, lui ont </w:t>
      </w:r>
      <w:r>
        <w:rPr>
          <w:lang w:val="fr-FR"/>
        </w:rPr>
        <w:t>causé des lésions</w:t>
      </w:r>
      <w:r w:rsidRPr="002B6E68">
        <w:rPr>
          <w:lang w:val="fr-FR"/>
        </w:rPr>
        <w:t xml:space="preserve"> en violation de l</w:t>
      </w:r>
      <w:r w:rsidR="00390237">
        <w:rPr>
          <w:lang w:val="fr-FR"/>
        </w:rPr>
        <w:t>’</w:t>
      </w:r>
      <w:r w:rsidRPr="002B6E68">
        <w:rPr>
          <w:lang w:val="fr-FR"/>
        </w:rPr>
        <w:t>article 7 du Pacte</w:t>
      </w:r>
      <w:r w:rsidRPr="00BA7980">
        <w:rPr>
          <w:lang w:val="fr-FR"/>
        </w:rPr>
        <w:t>.</w:t>
      </w:r>
    </w:p>
    <w:p w14:paraId="171FB674" w14:textId="0C2C31DD" w:rsidR="00F85A35" w:rsidRPr="002B6E68" w:rsidRDefault="00F85A35" w:rsidP="00F85A35">
      <w:pPr>
        <w:pStyle w:val="SingleTxtG"/>
        <w:rPr>
          <w:lang w:val="fr-FR"/>
        </w:rPr>
      </w:pPr>
      <w:r w:rsidRPr="002B6E68">
        <w:rPr>
          <w:lang w:val="fr-FR"/>
        </w:rPr>
        <w:t>5</w:t>
      </w:r>
      <w:r w:rsidRPr="00BA7980">
        <w:rPr>
          <w:lang w:val="fr-FR"/>
        </w:rPr>
        <w:t>.</w:t>
      </w:r>
      <w:r w:rsidRPr="002B6E68">
        <w:rPr>
          <w:lang w:val="fr-FR"/>
        </w:rPr>
        <w:t>3</w:t>
      </w:r>
      <w:r w:rsidRPr="002B6E68">
        <w:rPr>
          <w:lang w:val="fr-FR"/>
        </w:rPr>
        <w:tab/>
        <w:t>En ce qui concerne la conduite de l</w:t>
      </w:r>
      <w:r w:rsidR="00390237">
        <w:rPr>
          <w:lang w:val="fr-FR"/>
        </w:rPr>
        <w:t>’</w:t>
      </w:r>
      <w:r w:rsidRPr="002B6E68">
        <w:rPr>
          <w:lang w:val="fr-FR"/>
        </w:rPr>
        <w:t>enquête et l</w:t>
      </w:r>
      <w:r w:rsidR="00390237">
        <w:rPr>
          <w:lang w:val="fr-FR"/>
        </w:rPr>
        <w:t>’</w:t>
      </w:r>
      <w:r w:rsidRPr="002B6E68">
        <w:rPr>
          <w:lang w:val="fr-FR"/>
        </w:rPr>
        <w:t>affirmation de l</w:t>
      </w:r>
      <w:r w:rsidR="00390237">
        <w:rPr>
          <w:lang w:val="fr-FR"/>
        </w:rPr>
        <w:t>’</w:t>
      </w:r>
      <w:r w:rsidRPr="002B6E68">
        <w:rPr>
          <w:lang w:val="fr-FR"/>
        </w:rPr>
        <w:t>État partie selon laquelle il n</w:t>
      </w:r>
      <w:r w:rsidR="00390237">
        <w:rPr>
          <w:lang w:val="fr-FR"/>
        </w:rPr>
        <w:t>’</w:t>
      </w:r>
      <w:r w:rsidRPr="002B6E68">
        <w:rPr>
          <w:lang w:val="fr-FR"/>
        </w:rPr>
        <w:t xml:space="preserve">a présenté aucune demande au cours de </w:t>
      </w:r>
      <w:r>
        <w:rPr>
          <w:lang w:val="fr-FR"/>
        </w:rPr>
        <w:t>l</w:t>
      </w:r>
      <w:r w:rsidR="00390237">
        <w:rPr>
          <w:lang w:val="fr-FR"/>
        </w:rPr>
        <w:t>’</w:t>
      </w:r>
      <w:r>
        <w:rPr>
          <w:lang w:val="fr-FR"/>
        </w:rPr>
        <w:t>enquête pénale</w:t>
      </w:r>
      <w:r w:rsidRPr="002B6E68">
        <w:rPr>
          <w:lang w:val="fr-FR"/>
        </w:rPr>
        <w:t>, l</w:t>
      </w:r>
      <w:r w:rsidR="00390237">
        <w:rPr>
          <w:lang w:val="fr-FR"/>
        </w:rPr>
        <w:t>’</w:t>
      </w:r>
      <w:r w:rsidRPr="002B6E68">
        <w:rPr>
          <w:lang w:val="fr-FR"/>
        </w:rPr>
        <w:t xml:space="preserve">auteur affirme que </w:t>
      </w:r>
      <w:r>
        <w:rPr>
          <w:lang w:val="fr-FR"/>
        </w:rPr>
        <w:t xml:space="preserve">celle-ci </w:t>
      </w:r>
      <w:r w:rsidRPr="002B6E68">
        <w:rPr>
          <w:lang w:val="fr-FR"/>
        </w:rPr>
        <w:t>a été ouverte à la suite des demandes qu</w:t>
      </w:r>
      <w:r w:rsidR="00390237">
        <w:rPr>
          <w:lang w:val="fr-FR"/>
        </w:rPr>
        <w:t>’</w:t>
      </w:r>
      <w:r w:rsidRPr="002B6E68">
        <w:rPr>
          <w:lang w:val="fr-FR"/>
        </w:rPr>
        <w:t>il a adressées au Directeur du Département du Ministère de l</w:t>
      </w:r>
      <w:r w:rsidR="00390237">
        <w:rPr>
          <w:lang w:val="fr-FR"/>
        </w:rPr>
        <w:t>’</w:t>
      </w:r>
      <w:r w:rsidRPr="002B6E68">
        <w:rPr>
          <w:lang w:val="fr-FR"/>
        </w:rPr>
        <w:t xml:space="preserve">intérieur dans le district de </w:t>
      </w:r>
      <w:r w:rsidRPr="00AF4935">
        <w:t>Kardzhali</w:t>
      </w:r>
      <w:r>
        <w:rPr>
          <w:lang w:val="fr-FR"/>
        </w:rPr>
        <w:t xml:space="preserve"> </w:t>
      </w:r>
      <w:r w:rsidRPr="002B6E68">
        <w:rPr>
          <w:lang w:val="fr-FR"/>
        </w:rPr>
        <w:t>et au parquet militaire régional à Plovdiv</w:t>
      </w:r>
      <w:r w:rsidRPr="00BA7980">
        <w:rPr>
          <w:lang w:val="fr-FR"/>
        </w:rPr>
        <w:t>.</w:t>
      </w:r>
      <w:r w:rsidRPr="002B6E68">
        <w:rPr>
          <w:lang w:val="fr-FR"/>
        </w:rPr>
        <w:t xml:space="preserve"> Il rappelle que, selon le Code de procédure pénale, </w:t>
      </w:r>
      <w:r>
        <w:rPr>
          <w:lang w:val="fr-FR"/>
        </w:rPr>
        <w:t>l</w:t>
      </w:r>
      <w:r w:rsidR="00390237">
        <w:rPr>
          <w:lang w:val="fr-FR"/>
        </w:rPr>
        <w:t>’</w:t>
      </w:r>
      <w:r>
        <w:rPr>
          <w:lang w:val="fr-FR"/>
        </w:rPr>
        <w:t>ouverture d</w:t>
      </w:r>
      <w:r w:rsidR="00390237">
        <w:rPr>
          <w:lang w:val="fr-FR"/>
        </w:rPr>
        <w:t>’</w:t>
      </w:r>
      <w:r>
        <w:rPr>
          <w:lang w:val="fr-FR"/>
        </w:rPr>
        <w:t xml:space="preserve">une information </w:t>
      </w:r>
      <w:r w:rsidRPr="002B6E68">
        <w:rPr>
          <w:lang w:val="fr-FR"/>
        </w:rPr>
        <w:t>est à l</w:t>
      </w:r>
      <w:r w:rsidR="00390237">
        <w:rPr>
          <w:lang w:val="fr-FR"/>
        </w:rPr>
        <w:t>’</w:t>
      </w:r>
      <w:r w:rsidRPr="002B6E68">
        <w:rPr>
          <w:lang w:val="fr-FR"/>
        </w:rPr>
        <w:t>initiative exclusive des organes d</w:t>
      </w:r>
      <w:r w:rsidR="00390237">
        <w:rPr>
          <w:lang w:val="fr-FR"/>
        </w:rPr>
        <w:t>’</w:t>
      </w:r>
      <w:r w:rsidRPr="002B6E68">
        <w:rPr>
          <w:lang w:val="fr-FR"/>
        </w:rPr>
        <w:t>enquête et que, dans cette phase de la procédure pénale, la victime a seulement qualité de témoin</w:t>
      </w:r>
      <w:r w:rsidRPr="00BA7980">
        <w:rPr>
          <w:lang w:val="fr-FR"/>
        </w:rPr>
        <w:t>.</w:t>
      </w:r>
      <w:r w:rsidRPr="002B6E68">
        <w:rPr>
          <w:lang w:val="fr-FR"/>
        </w:rPr>
        <w:t xml:space="preserve"> Selon l</w:t>
      </w:r>
      <w:r w:rsidR="00390237">
        <w:rPr>
          <w:lang w:val="fr-FR"/>
        </w:rPr>
        <w:t>’</w:t>
      </w:r>
      <w:r w:rsidRPr="002B6E68">
        <w:rPr>
          <w:lang w:val="fr-FR"/>
        </w:rPr>
        <w:t>article</w:t>
      </w:r>
      <w:r>
        <w:rPr>
          <w:lang w:val="fr-FR"/>
        </w:rPr>
        <w:t> </w:t>
      </w:r>
      <w:r w:rsidRPr="002B6E68">
        <w:rPr>
          <w:lang w:val="fr-FR"/>
        </w:rPr>
        <w:t>75 (par</w:t>
      </w:r>
      <w:r w:rsidRPr="00BA7980">
        <w:rPr>
          <w:lang w:val="fr-FR"/>
        </w:rPr>
        <w:t>.</w:t>
      </w:r>
      <w:r w:rsidR="008510F1">
        <w:rPr>
          <w:lang w:val="fr-FR"/>
        </w:rPr>
        <w:t> </w:t>
      </w:r>
      <w:r w:rsidRPr="002B6E68">
        <w:rPr>
          <w:lang w:val="fr-FR"/>
        </w:rPr>
        <w:t>1) du Code de procédure pénale, la victime a le droit d</w:t>
      </w:r>
      <w:r w:rsidR="00390237">
        <w:rPr>
          <w:lang w:val="fr-FR"/>
        </w:rPr>
        <w:t>’</w:t>
      </w:r>
      <w:r w:rsidRPr="002B6E68">
        <w:rPr>
          <w:lang w:val="fr-FR"/>
        </w:rPr>
        <w:t>être informée du déroulement de l</w:t>
      </w:r>
      <w:r w:rsidR="00390237">
        <w:rPr>
          <w:lang w:val="fr-FR"/>
        </w:rPr>
        <w:t>’</w:t>
      </w:r>
      <w:r w:rsidRPr="002B6E68">
        <w:rPr>
          <w:lang w:val="fr-FR"/>
        </w:rPr>
        <w:t>enquête et de bénéficier d</w:t>
      </w:r>
      <w:r w:rsidR="00390237">
        <w:rPr>
          <w:lang w:val="fr-FR"/>
        </w:rPr>
        <w:t>’</w:t>
      </w:r>
      <w:r w:rsidRPr="002B6E68">
        <w:rPr>
          <w:lang w:val="fr-FR"/>
        </w:rPr>
        <w:t>une protection pour sa sécurité</w:t>
      </w:r>
      <w:r w:rsidRPr="00BA7980">
        <w:rPr>
          <w:lang w:val="fr-FR"/>
        </w:rPr>
        <w:t>.</w:t>
      </w:r>
      <w:r w:rsidRPr="002B6E68">
        <w:rPr>
          <w:lang w:val="fr-FR"/>
        </w:rPr>
        <w:t xml:space="preserve"> Elle </w:t>
      </w:r>
      <w:r>
        <w:rPr>
          <w:lang w:val="fr-FR"/>
        </w:rPr>
        <w:t xml:space="preserve">ne peut relever </w:t>
      </w:r>
      <w:r w:rsidRPr="002B6E68">
        <w:rPr>
          <w:lang w:val="fr-FR"/>
        </w:rPr>
        <w:t xml:space="preserve">appel </w:t>
      </w:r>
      <w:r>
        <w:rPr>
          <w:lang w:val="fr-FR"/>
        </w:rPr>
        <w:t xml:space="preserve">que des </w:t>
      </w:r>
      <w:r w:rsidRPr="002B6E68">
        <w:rPr>
          <w:lang w:val="fr-FR"/>
        </w:rPr>
        <w:t xml:space="preserve">actes </w:t>
      </w:r>
      <w:r>
        <w:rPr>
          <w:lang w:val="fr-FR"/>
        </w:rPr>
        <w:t>suspendant l</w:t>
      </w:r>
      <w:r w:rsidR="00390237">
        <w:rPr>
          <w:lang w:val="fr-FR"/>
        </w:rPr>
        <w:t>’</w:t>
      </w:r>
      <w:r>
        <w:rPr>
          <w:lang w:val="fr-FR"/>
        </w:rPr>
        <w:t xml:space="preserve">action pénale ou y mettant </w:t>
      </w:r>
      <w:r w:rsidRPr="002B6E68">
        <w:rPr>
          <w:lang w:val="fr-FR"/>
        </w:rPr>
        <w:t>fin</w:t>
      </w:r>
      <w:r w:rsidRPr="00BA7980">
        <w:rPr>
          <w:lang w:val="fr-FR"/>
        </w:rPr>
        <w:t>.</w:t>
      </w:r>
      <w:r w:rsidRPr="002B6E68">
        <w:rPr>
          <w:lang w:val="fr-FR"/>
        </w:rPr>
        <w:t xml:space="preserve"> L</w:t>
      </w:r>
      <w:r w:rsidR="00390237">
        <w:rPr>
          <w:lang w:val="fr-FR"/>
        </w:rPr>
        <w:t>’</w:t>
      </w:r>
      <w:r w:rsidRPr="002B6E68">
        <w:rPr>
          <w:lang w:val="fr-FR"/>
        </w:rPr>
        <w:t xml:space="preserve">auteur note que le parquet a jugé véridiques </w:t>
      </w:r>
      <w:r>
        <w:rPr>
          <w:lang w:val="fr-FR"/>
        </w:rPr>
        <w:t>s</w:t>
      </w:r>
      <w:r w:rsidRPr="002B6E68">
        <w:rPr>
          <w:lang w:val="fr-FR"/>
        </w:rPr>
        <w:t xml:space="preserve">es allégations selon lesquelles </w:t>
      </w:r>
      <w:r>
        <w:rPr>
          <w:lang w:val="fr-FR"/>
        </w:rPr>
        <w:t>il avait fait l</w:t>
      </w:r>
      <w:r w:rsidR="00390237">
        <w:rPr>
          <w:lang w:val="fr-FR"/>
        </w:rPr>
        <w:t>’</w:t>
      </w:r>
      <w:r>
        <w:rPr>
          <w:lang w:val="fr-FR"/>
        </w:rPr>
        <w:t>objet de violences</w:t>
      </w:r>
      <w:r w:rsidRPr="002B6E68">
        <w:rPr>
          <w:lang w:val="fr-FR"/>
        </w:rPr>
        <w:t>, puisqu</w:t>
      </w:r>
      <w:r w:rsidR="00390237">
        <w:rPr>
          <w:lang w:val="fr-FR"/>
        </w:rPr>
        <w:t>’</w:t>
      </w:r>
      <w:r w:rsidRPr="002B6E68">
        <w:rPr>
          <w:lang w:val="fr-FR"/>
        </w:rPr>
        <w:t xml:space="preserve">à </w:t>
      </w:r>
      <w:r>
        <w:rPr>
          <w:lang w:val="fr-FR"/>
        </w:rPr>
        <w:t>l</w:t>
      </w:r>
      <w:r w:rsidR="00390237">
        <w:rPr>
          <w:lang w:val="fr-FR"/>
        </w:rPr>
        <w:t>’</w:t>
      </w:r>
      <w:r>
        <w:rPr>
          <w:lang w:val="fr-FR"/>
        </w:rPr>
        <w:t>issue</w:t>
      </w:r>
      <w:r w:rsidRPr="002B6E68">
        <w:rPr>
          <w:lang w:val="fr-FR"/>
        </w:rPr>
        <w:t xml:space="preserve"> de l</w:t>
      </w:r>
      <w:r w:rsidR="00390237">
        <w:rPr>
          <w:lang w:val="fr-FR"/>
        </w:rPr>
        <w:t>’</w:t>
      </w:r>
      <w:r w:rsidRPr="002B6E68">
        <w:rPr>
          <w:lang w:val="fr-FR"/>
        </w:rPr>
        <w:t xml:space="preserve">enquête il a </w:t>
      </w:r>
      <w:r>
        <w:rPr>
          <w:lang w:val="fr-FR"/>
        </w:rPr>
        <w:t>adressé au</w:t>
      </w:r>
      <w:r w:rsidRPr="002B6E68">
        <w:rPr>
          <w:lang w:val="fr-FR"/>
        </w:rPr>
        <w:t xml:space="preserve"> tribunal un acte d</w:t>
      </w:r>
      <w:r w:rsidR="00390237">
        <w:rPr>
          <w:lang w:val="fr-FR"/>
        </w:rPr>
        <w:t>’</w:t>
      </w:r>
      <w:r w:rsidRPr="002B6E68">
        <w:rPr>
          <w:lang w:val="fr-FR"/>
        </w:rPr>
        <w:t>accusation visant les deux policiers et a maintenu les accusations dans toutes les procédures judiciaires</w:t>
      </w:r>
      <w:r w:rsidRPr="00BA7980">
        <w:rPr>
          <w:lang w:val="fr-FR"/>
        </w:rPr>
        <w:t>.</w:t>
      </w:r>
      <w:r w:rsidRPr="002B6E68">
        <w:rPr>
          <w:lang w:val="fr-FR"/>
        </w:rPr>
        <w:t xml:space="preserve"> L</w:t>
      </w:r>
      <w:r w:rsidR="00390237">
        <w:rPr>
          <w:lang w:val="fr-FR"/>
        </w:rPr>
        <w:t>’</w:t>
      </w:r>
      <w:r w:rsidRPr="002B6E68">
        <w:rPr>
          <w:lang w:val="fr-FR"/>
        </w:rPr>
        <w:t>on ne saurait dès lors affirmer que l</w:t>
      </w:r>
      <w:r w:rsidR="00390237">
        <w:rPr>
          <w:lang w:val="fr-FR"/>
        </w:rPr>
        <w:t>’</w:t>
      </w:r>
      <w:r w:rsidRPr="002B6E68">
        <w:rPr>
          <w:lang w:val="fr-FR"/>
        </w:rPr>
        <w:t>auteur n</w:t>
      </w:r>
      <w:r w:rsidR="00390237">
        <w:rPr>
          <w:lang w:val="fr-FR"/>
        </w:rPr>
        <w:t>’</w:t>
      </w:r>
      <w:r w:rsidRPr="002B6E68">
        <w:rPr>
          <w:lang w:val="fr-FR"/>
        </w:rPr>
        <w:t>a pas agi dans l</w:t>
      </w:r>
      <w:r w:rsidR="00390237">
        <w:rPr>
          <w:lang w:val="fr-FR"/>
        </w:rPr>
        <w:t>’</w:t>
      </w:r>
      <w:r w:rsidRPr="002B6E68">
        <w:rPr>
          <w:lang w:val="fr-FR"/>
        </w:rPr>
        <w:t>exercice des droits que lui reconnaît la loi et donc contribué à l</w:t>
      </w:r>
      <w:r w:rsidR="00390237">
        <w:rPr>
          <w:lang w:val="fr-FR"/>
        </w:rPr>
        <w:t>’</w:t>
      </w:r>
      <w:r w:rsidRPr="002B6E68">
        <w:rPr>
          <w:lang w:val="fr-FR"/>
        </w:rPr>
        <w:t>inefficacité de l</w:t>
      </w:r>
      <w:r w:rsidR="00390237">
        <w:rPr>
          <w:lang w:val="fr-FR"/>
        </w:rPr>
        <w:t>’</w:t>
      </w:r>
      <w:r w:rsidRPr="002B6E68">
        <w:rPr>
          <w:lang w:val="fr-FR"/>
        </w:rPr>
        <w:t>enquête</w:t>
      </w:r>
      <w:r w:rsidRPr="00BA7980">
        <w:rPr>
          <w:lang w:val="fr-FR"/>
        </w:rPr>
        <w:t>.</w:t>
      </w:r>
    </w:p>
    <w:p w14:paraId="36A74959" w14:textId="7F95BD86" w:rsidR="00F85A35" w:rsidRPr="002B6E68" w:rsidRDefault="00F85A35" w:rsidP="00F85A35">
      <w:pPr>
        <w:pStyle w:val="SingleTxtG"/>
        <w:rPr>
          <w:lang w:val="fr-FR"/>
        </w:rPr>
      </w:pPr>
      <w:r w:rsidRPr="002B6E68">
        <w:rPr>
          <w:lang w:val="fr-FR"/>
        </w:rPr>
        <w:t>5</w:t>
      </w:r>
      <w:r w:rsidRPr="00BA7980">
        <w:rPr>
          <w:lang w:val="fr-FR"/>
        </w:rPr>
        <w:t>.</w:t>
      </w:r>
      <w:r w:rsidRPr="002B6E68">
        <w:rPr>
          <w:lang w:val="fr-FR"/>
        </w:rPr>
        <w:t>4</w:t>
      </w:r>
      <w:r w:rsidRPr="002B6E68">
        <w:rPr>
          <w:lang w:val="fr-FR"/>
        </w:rPr>
        <w:tab/>
      </w:r>
      <w:r>
        <w:rPr>
          <w:lang w:val="fr-FR"/>
        </w:rPr>
        <w:t>Selon l</w:t>
      </w:r>
      <w:r w:rsidR="00390237">
        <w:rPr>
          <w:lang w:val="fr-FR"/>
        </w:rPr>
        <w:t>’</w:t>
      </w:r>
      <w:r w:rsidRPr="002B6E68">
        <w:rPr>
          <w:lang w:val="fr-FR"/>
        </w:rPr>
        <w:t>auteur</w:t>
      </w:r>
      <w:r>
        <w:rPr>
          <w:lang w:val="fr-FR"/>
        </w:rPr>
        <w:t>, il est inexact d</w:t>
      </w:r>
      <w:r w:rsidR="00390237">
        <w:rPr>
          <w:lang w:val="fr-FR"/>
        </w:rPr>
        <w:t>’</w:t>
      </w:r>
      <w:r>
        <w:rPr>
          <w:lang w:val="fr-FR"/>
        </w:rPr>
        <w:t xml:space="preserve">affirmer, comme le fait </w:t>
      </w:r>
      <w:r w:rsidRPr="002B6E68">
        <w:rPr>
          <w:lang w:val="fr-FR"/>
        </w:rPr>
        <w:t>l</w:t>
      </w:r>
      <w:r w:rsidR="00390237">
        <w:rPr>
          <w:lang w:val="fr-FR"/>
        </w:rPr>
        <w:t>’</w:t>
      </w:r>
      <w:r w:rsidRPr="002B6E68">
        <w:rPr>
          <w:lang w:val="fr-FR"/>
        </w:rPr>
        <w:t xml:space="preserve">État partie, </w:t>
      </w:r>
      <w:r>
        <w:rPr>
          <w:lang w:val="fr-FR"/>
        </w:rPr>
        <w:t xml:space="preserve">que </w:t>
      </w:r>
      <w:r w:rsidRPr="002B6E68">
        <w:rPr>
          <w:lang w:val="fr-FR"/>
        </w:rPr>
        <w:t xml:space="preserve">puisque la procédure disciplinaire engagée contre les deux policiers a abouti à </w:t>
      </w:r>
      <w:r>
        <w:rPr>
          <w:lang w:val="fr-FR"/>
        </w:rPr>
        <w:t xml:space="preserve">des </w:t>
      </w:r>
      <w:r w:rsidRPr="002B6E68">
        <w:rPr>
          <w:lang w:val="fr-FR"/>
        </w:rPr>
        <w:t xml:space="preserve">sanctions disciplinaires, </w:t>
      </w:r>
      <w:r>
        <w:rPr>
          <w:lang w:val="fr-FR"/>
        </w:rPr>
        <w:t xml:space="preserve">son </w:t>
      </w:r>
      <w:r w:rsidRPr="002B6E68">
        <w:rPr>
          <w:lang w:val="fr-FR"/>
        </w:rPr>
        <w:t xml:space="preserve">argument selon </w:t>
      </w:r>
      <w:r>
        <w:rPr>
          <w:lang w:val="fr-FR"/>
        </w:rPr>
        <w:t xml:space="preserve">lequel </w:t>
      </w:r>
      <w:r w:rsidRPr="002B6E68">
        <w:rPr>
          <w:lang w:val="fr-FR"/>
        </w:rPr>
        <w:t>l</w:t>
      </w:r>
      <w:r w:rsidR="00390237">
        <w:rPr>
          <w:lang w:val="fr-FR"/>
        </w:rPr>
        <w:t>’</w:t>
      </w:r>
      <w:r w:rsidRPr="002B6E68">
        <w:rPr>
          <w:lang w:val="fr-FR"/>
        </w:rPr>
        <w:t xml:space="preserve">enquête a été inefficace </w:t>
      </w:r>
      <w:r>
        <w:rPr>
          <w:lang w:val="fr-FR"/>
        </w:rPr>
        <w:t>serait sans fondement</w:t>
      </w:r>
      <w:r w:rsidRPr="00BA7980">
        <w:rPr>
          <w:lang w:val="fr-FR"/>
        </w:rPr>
        <w:t>.</w:t>
      </w:r>
      <w:r w:rsidRPr="002B6E68">
        <w:rPr>
          <w:lang w:val="fr-FR"/>
        </w:rPr>
        <w:t xml:space="preserve"> L</w:t>
      </w:r>
      <w:r w:rsidR="00390237">
        <w:rPr>
          <w:lang w:val="fr-FR"/>
        </w:rPr>
        <w:t>’</w:t>
      </w:r>
      <w:r w:rsidRPr="002B6E68">
        <w:rPr>
          <w:lang w:val="fr-FR"/>
        </w:rPr>
        <w:t>auteur réaffirme que l</w:t>
      </w:r>
      <w:r w:rsidR="00390237">
        <w:rPr>
          <w:lang w:val="fr-FR"/>
        </w:rPr>
        <w:t>’</w:t>
      </w:r>
      <w:r w:rsidRPr="002B6E68">
        <w:rPr>
          <w:lang w:val="fr-FR"/>
        </w:rPr>
        <w:t xml:space="preserve">enquête sur ses allégations de violences subies aux mains des policiers a été </w:t>
      </w:r>
      <w:r w:rsidRPr="007C7920">
        <w:rPr>
          <w:lang w:val="fr-FR"/>
        </w:rPr>
        <w:t>inefficace, car il n</w:t>
      </w:r>
      <w:r w:rsidR="007C7920" w:rsidRPr="007C7920">
        <w:rPr>
          <w:lang w:val="fr-FR"/>
        </w:rPr>
        <w:t>’</w:t>
      </w:r>
      <w:r w:rsidRPr="007C7920">
        <w:rPr>
          <w:lang w:val="fr-FR"/>
        </w:rPr>
        <w:t>a pas eu un accès effectif</w:t>
      </w:r>
      <w:r w:rsidRPr="002B6E68">
        <w:rPr>
          <w:lang w:val="fr-FR"/>
        </w:rPr>
        <w:t xml:space="preserve"> </w:t>
      </w:r>
      <w:r>
        <w:rPr>
          <w:lang w:val="fr-FR"/>
        </w:rPr>
        <w:t>à la</w:t>
      </w:r>
      <w:r w:rsidRPr="002B6E68">
        <w:rPr>
          <w:lang w:val="fr-FR"/>
        </w:rPr>
        <w:t xml:space="preserve"> procédure </w:t>
      </w:r>
      <w:r>
        <w:rPr>
          <w:lang w:val="fr-FR"/>
        </w:rPr>
        <w:t>d</w:t>
      </w:r>
      <w:r w:rsidR="00390237">
        <w:rPr>
          <w:lang w:val="fr-FR"/>
        </w:rPr>
        <w:t>’</w:t>
      </w:r>
      <w:r>
        <w:rPr>
          <w:lang w:val="fr-FR"/>
        </w:rPr>
        <w:t>instruction</w:t>
      </w:r>
      <w:r w:rsidRPr="002B6E68">
        <w:rPr>
          <w:lang w:val="fr-FR"/>
        </w:rPr>
        <w:t xml:space="preserve"> et n</w:t>
      </w:r>
      <w:r w:rsidR="00390237">
        <w:rPr>
          <w:lang w:val="fr-FR"/>
        </w:rPr>
        <w:t>’</w:t>
      </w:r>
      <w:r w:rsidRPr="002B6E68">
        <w:rPr>
          <w:lang w:val="fr-FR"/>
        </w:rPr>
        <w:t xml:space="preserve">a pu </w:t>
      </w:r>
      <w:r>
        <w:rPr>
          <w:lang w:val="fr-FR"/>
        </w:rPr>
        <w:t>intervenir</w:t>
      </w:r>
      <w:r w:rsidRPr="002B6E68">
        <w:rPr>
          <w:lang w:val="fr-FR"/>
        </w:rPr>
        <w:t xml:space="preserve"> devant la Cour </w:t>
      </w:r>
      <w:r>
        <w:rPr>
          <w:lang w:val="fr-FR"/>
        </w:rPr>
        <w:t>s</w:t>
      </w:r>
      <w:r w:rsidRPr="002B6E68">
        <w:rPr>
          <w:lang w:val="fr-FR"/>
        </w:rPr>
        <w:t xml:space="preserve">uprême de </w:t>
      </w:r>
      <w:r>
        <w:rPr>
          <w:lang w:val="fr-FR"/>
        </w:rPr>
        <w:t>c</w:t>
      </w:r>
      <w:r w:rsidRPr="002B6E68">
        <w:rPr>
          <w:lang w:val="fr-FR"/>
        </w:rPr>
        <w:t>assation qui a annulé la décision de la Cour militaire d</w:t>
      </w:r>
      <w:r w:rsidR="00390237">
        <w:rPr>
          <w:lang w:val="fr-FR"/>
        </w:rPr>
        <w:t>’</w:t>
      </w:r>
      <w:r w:rsidRPr="002B6E68">
        <w:rPr>
          <w:lang w:val="fr-FR"/>
        </w:rPr>
        <w:t>appel</w:t>
      </w:r>
      <w:r w:rsidRPr="00BA7980">
        <w:rPr>
          <w:lang w:val="fr-FR"/>
        </w:rPr>
        <w:t>.</w:t>
      </w:r>
      <w:r w:rsidRPr="002B6E68">
        <w:rPr>
          <w:lang w:val="fr-FR"/>
        </w:rPr>
        <w:t xml:space="preserve"> Il note que l</w:t>
      </w:r>
      <w:r w:rsidR="00390237">
        <w:rPr>
          <w:lang w:val="fr-FR"/>
        </w:rPr>
        <w:t>’</w:t>
      </w:r>
      <w:r w:rsidRPr="002B6E68">
        <w:rPr>
          <w:lang w:val="fr-FR"/>
        </w:rPr>
        <w:t>État partie n</w:t>
      </w:r>
      <w:r w:rsidR="00390237">
        <w:rPr>
          <w:lang w:val="fr-FR"/>
        </w:rPr>
        <w:t>’</w:t>
      </w:r>
      <w:r w:rsidRPr="002B6E68">
        <w:rPr>
          <w:lang w:val="fr-FR"/>
        </w:rPr>
        <w:t>a pas contesté ce point et que, en pratique, cela l</w:t>
      </w:r>
      <w:r w:rsidR="00390237">
        <w:rPr>
          <w:lang w:val="fr-FR"/>
        </w:rPr>
        <w:t>’</w:t>
      </w:r>
      <w:r w:rsidRPr="002B6E68">
        <w:rPr>
          <w:lang w:val="fr-FR"/>
        </w:rPr>
        <w:t>a privé de l</w:t>
      </w:r>
      <w:r w:rsidR="00390237">
        <w:rPr>
          <w:lang w:val="fr-FR"/>
        </w:rPr>
        <w:t>’</w:t>
      </w:r>
      <w:r w:rsidRPr="002B6E68">
        <w:rPr>
          <w:lang w:val="fr-FR"/>
        </w:rPr>
        <w:t>indemnisation pour préjudice moral que la Cour militaire d</w:t>
      </w:r>
      <w:r w:rsidR="00390237">
        <w:rPr>
          <w:lang w:val="fr-FR"/>
        </w:rPr>
        <w:t>’</w:t>
      </w:r>
      <w:r w:rsidRPr="002B6E68">
        <w:rPr>
          <w:lang w:val="fr-FR"/>
        </w:rPr>
        <w:t xml:space="preserve">appel </w:t>
      </w:r>
      <w:r>
        <w:rPr>
          <w:lang w:val="fr-FR"/>
        </w:rPr>
        <w:t xml:space="preserve">lui </w:t>
      </w:r>
      <w:r w:rsidRPr="002B6E68">
        <w:rPr>
          <w:lang w:val="fr-FR"/>
        </w:rPr>
        <w:t xml:space="preserve">avait </w:t>
      </w:r>
      <w:r>
        <w:rPr>
          <w:lang w:val="fr-FR"/>
        </w:rPr>
        <w:t xml:space="preserve">accordée </w:t>
      </w:r>
      <w:r w:rsidRPr="002B6E68">
        <w:rPr>
          <w:lang w:val="fr-FR"/>
        </w:rPr>
        <w:t>dans sa décision finale</w:t>
      </w:r>
      <w:r w:rsidRPr="00BA7980">
        <w:rPr>
          <w:lang w:val="fr-FR"/>
        </w:rPr>
        <w:t>.</w:t>
      </w:r>
    </w:p>
    <w:p w14:paraId="4AB5A091" w14:textId="77777777" w:rsidR="00F85A35" w:rsidRPr="002B6E68" w:rsidRDefault="00F85A35" w:rsidP="00F85A35">
      <w:pPr>
        <w:pStyle w:val="H23G"/>
        <w:rPr>
          <w:lang w:val="fr-FR"/>
        </w:rPr>
      </w:pPr>
      <w:r w:rsidRPr="002B6E68">
        <w:rPr>
          <w:lang w:val="fr-FR"/>
        </w:rPr>
        <w:tab/>
      </w:r>
      <w:r w:rsidRPr="002B6E68">
        <w:rPr>
          <w:lang w:val="fr-FR"/>
        </w:rPr>
        <w:tab/>
        <w:t>Délibérations du Comité</w:t>
      </w:r>
    </w:p>
    <w:p w14:paraId="34DDAE39" w14:textId="77777777" w:rsidR="00F85A35" w:rsidRPr="002B6E68" w:rsidRDefault="00F85A35" w:rsidP="00F85A35">
      <w:pPr>
        <w:pStyle w:val="H4G"/>
        <w:rPr>
          <w:lang w:val="fr-FR"/>
        </w:rPr>
      </w:pPr>
      <w:r w:rsidRPr="002B6E68">
        <w:rPr>
          <w:lang w:val="fr-FR"/>
        </w:rPr>
        <w:tab/>
      </w:r>
      <w:r w:rsidRPr="002B6E68">
        <w:rPr>
          <w:lang w:val="fr-FR"/>
        </w:rPr>
        <w:tab/>
        <w:t>Examen de la recevabilité</w:t>
      </w:r>
    </w:p>
    <w:p w14:paraId="3771887D" w14:textId="67338130" w:rsidR="00F85A35" w:rsidRPr="002B6E68" w:rsidRDefault="00F85A35" w:rsidP="00F85A35">
      <w:pPr>
        <w:pStyle w:val="SingleTxtG"/>
        <w:rPr>
          <w:lang w:val="fr-FR"/>
        </w:rPr>
      </w:pPr>
      <w:r w:rsidRPr="002B6E68">
        <w:rPr>
          <w:lang w:val="fr-FR"/>
        </w:rPr>
        <w:t>6</w:t>
      </w:r>
      <w:r w:rsidRPr="00BA7980">
        <w:rPr>
          <w:lang w:val="fr-FR"/>
        </w:rPr>
        <w:t>.</w:t>
      </w:r>
      <w:r w:rsidRPr="002B6E68">
        <w:rPr>
          <w:lang w:val="fr-FR"/>
        </w:rPr>
        <w:t>1</w:t>
      </w:r>
      <w:r w:rsidRPr="002B6E68">
        <w:rPr>
          <w:lang w:val="fr-FR"/>
        </w:rPr>
        <w:tab/>
        <w:t>Avant d</w:t>
      </w:r>
      <w:r w:rsidR="00390237">
        <w:rPr>
          <w:lang w:val="fr-FR"/>
        </w:rPr>
        <w:t>’</w:t>
      </w:r>
      <w:r w:rsidRPr="002B6E68">
        <w:rPr>
          <w:lang w:val="fr-FR"/>
        </w:rPr>
        <w:t>examiner tout grief formulé dans une communication, le Comité doit, conformément à l</w:t>
      </w:r>
      <w:r w:rsidR="00390237">
        <w:rPr>
          <w:lang w:val="fr-FR"/>
        </w:rPr>
        <w:t>’</w:t>
      </w:r>
      <w:r w:rsidRPr="002B6E68">
        <w:rPr>
          <w:lang w:val="fr-FR"/>
        </w:rPr>
        <w:t>article 97 de son règlement intérieur, déterminer si la communication est recevable au regard du Protocole facultatif</w:t>
      </w:r>
      <w:r w:rsidRPr="00BA7980">
        <w:rPr>
          <w:lang w:val="fr-FR"/>
        </w:rPr>
        <w:t>.</w:t>
      </w:r>
    </w:p>
    <w:p w14:paraId="198DFDB4" w14:textId="7C3A6920" w:rsidR="00F85A35" w:rsidRPr="002B6E68" w:rsidRDefault="00F85A35" w:rsidP="00F85A35">
      <w:pPr>
        <w:pStyle w:val="SingleTxtG"/>
        <w:rPr>
          <w:lang w:val="fr-FR"/>
        </w:rPr>
      </w:pPr>
      <w:r w:rsidRPr="002B6E68">
        <w:rPr>
          <w:lang w:val="fr-FR"/>
        </w:rPr>
        <w:t>6</w:t>
      </w:r>
      <w:r w:rsidRPr="00BA7980">
        <w:rPr>
          <w:lang w:val="fr-FR"/>
        </w:rPr>
        <w:t>.</w:t>
      </w:r>
      <w:r w:rsidRPr="002B6E68">
        <w:rPr>
          <w:lang w:val="fr-FR"/>
        </w:rPr>
        <w:t>2</w:t>
      </w:r>
      <w:r w:rsidRPr="002B6E68">
        <w:rPr>
          <w:lang w:val="fr-FR"/>
        </w:rPr>
        <w:tab/>
        <w:t>Le Comité doit s</w:t>
      </w:r>
      <w:r w:rsidR="00390237">
        <w:rPr>
          <w:lang w:val="fr-FR"/>
        </w:rPr>
        <w:t>’</w:t>
      </w:r>
      <w:r w:rsidRPr="002B6E68">
        <w:rPr>
          <w:lang w:val="fr-FR"/>
        </w:rPr>
        <w:t xml:space="preserve">assurer, conformément </w:t>
      </w:r>
      <w:r>
        <w:rPr>
          <w:lang w:val="fr-FR"/>
        </w:rPr>
        <w:t>à</w:t>
      </w:r>
      <w:r w:rsidRPr="002B6E68">
        <w:rPr>
          <w:lang w:val="fr-FR"/>
        </w:rPr>
        <w:t xml:space="preserve"> l</w:t>
      </w:r>
      <w:r w:rsidR="00390237">
        <w:rPr>
          <w:lang w:val="fr-FR"/>
        </w:rPr>
        <w:t>’</w:t>
      </w:r>
      <w:r w:rsidRPr="002B6E68">
        <w:rPr>
          <w:lang w:val="fr-FR"/>
        </w:rPr>
        <w:t>article 5</w:t>
      </w:r>
      <w:r>
        <w:rPr>
          <w:lang w:val="fr-FR"/>
        </w:rPr>
        <w:t xml:space="preserve"> (par. 2 a))</w:t>
      </w:r>
      <w:r w:rsidRPr="002B6E68">
        <w:rPr>
          <w:lang w:val="fr-FR"/>
        </w:rPr>
        <w:t xml:space="preserve"> du Protocole facultatif, que la même question n</w:t>
      </w:r>
      <w:r w:rsidR="00390237">
        <w:rPr>
          <w:lang w:val="fr-FR"/>
        </w:rPr>
        <w:t>’</w:t>
      </w:r>
      <w:r w:rsidRPr="002B6E68">
        <w:rPr>
          <w:lang w:val="fr-FR"/>
        </w:rPr>
        <w:t>est pas déjà en cours d</w:t>
      </w:r>
      <w:r w:rsidR="00390237">
        <w:rPr>
          <w:lang w:val="fr-FR"/>
        </w:rPr>
        <w:t>’</w:t>
      </w:r>
      <w:r w:rsidRPr="002B6E68">
        <w:rPr>
          <w:lang w:val="fr-FR"/>
        </w:rPr>
        <w:t>examen devant une autre instance internationale d</w:t>
      </w:r>
      <w:r w:rsidR="00390237">
        <w:rPr>
          <w:lang w:val="fr-FR"/>
        </w:rPr>
        <w:t>’</w:t>
      </w:r>
      <w:r w:rsidRPr="002B6E68">
        <w:rPr>
          <w:lang w:val="fr-FR"/>
        </w:rPr>
        <w:t>enquête ou de règlement</w:t>
      </w:r>
      <w:r w:rsidRPr="00BA7980">
        <w:rPr>
          <w:lang w:val="fr-FR"/>
        </w:rPr>
        <w:t>.</w:t>
      </w:r>
      <w:r w:rsidRPr="002B6E68">
        <w:rPr>
          <w:lang w:val="fr-FR"/>
        </w:rPr>
        <w:t xml:space="preserve"> Le Comité constate que le 10</w:t>
      </w:r>
      <w:r>
        <w:rPr>
          <w:lang w:val="fr-FR"/>
        </w:rPr>
        <w:t> </w:t>
      </w:r>
      <w:r w:rsidRPr="002B6E68">
        <w:rPr>
          <w:lang w:val="fr-FR"/>
        </w:rPr>
        <w:t>juillet 2014, la Cour européenne des droits de l</w:t>
      </w:r>
      <w:r w:rsidR="00390237">
        <w:rPr>
          <w:lang w:val="fr-FR"/>
        </w:rPr>
        <w:t>’</w:t>
      </w:r>
      <w:r w:rsidRPr="002B6E68">
        <w:rPr>
          <w:lang w:val="fr-FR"/>
        </w:rPr>
        <w:t>homme, siégeant en formation de juge unique, a déclaré irrecevable la requête que l</w:t>
      </w:r>
      <w:r w:rsidR="00390237">
        <w:rPr>
          <w:lang w:val="fr-FR"/>
        </w:rPr>
        <w:t>’</w:t>
      </w:r>
      <w:r w:rsidRPr="002B6E68">
        <w:rPr>
          <w:lang w:val="fr-FR"/>
        </w:rPr>
        <w:t xml:space="preserve">auteur avait </w:t>
      </w:r>
      <w:r>
        <w:rPr>
          <w:lang w:val="fr-FR"/>
        </w:rPr>
        <w:t xml:space="preserve">introduite </w:t>
      </w:r>
      <w:r w:rsidRPr="002B6E68">
        <w:rPr>
          <w:lang w:val="fr-FR"/>
        </w:rPr>
        <w:t>contre l</w:t>
      </w:r>
      <w:r w:rsidR="00390237">
        <w:rPr>
          <w:lang w:val="fr-FR"/>
        </w:rPr>
        <w:t>’</w:t>
      </w:r>
      <w:r w:rsidRPr="002B6E68">
        <w:rPr>
          <w:lang w:val="fr-FR"/>
        </w:rPr>
        <w:t>État partie et qui portait sur les mêmes faits que la présente communication</w:t>
      </w:r>
      <w:r w:rsidRPr="00BA7980">
        <w:rPr>
          <w:lang w:val="fr-FR"/>
        </w:rPr>
        <w:t>.</w:t>
      </w:r>
      <w:r w:rsidRPr="002B6E68">
        <w:rPr>
          <w:lang w:val="fr-FR"/>
        </w:rPr>
        <w:t xml:space="preserve"> Étant donné que </w:t>
      </w:r>
      <w:r>
        <w:rPr>
          <w:lang w:val="fr-FR"/>
        </w:rPr>
        <w:t xml:space="preserve">cette </w:t>
      </w:r>
      <w:r w:rsidRPr="002B6E68">
        <w:rPr>
          <w:lang w:val="fr-FR"/>
        </w:rPr>
        <w:t>requête n</w:t>
      </w:r>
      <w:r w:rsidR="00390237">
        <w:rPr>
          <w:lang w:val="fr-FR"/>
        </w:rPr>
        <w:t>’</w:t>
      </w:r>
      <w:r w:rsidRPr="002B6E68">
        <w:rPr>
          <w:lang w:val="fr-FR"/>
        </w:rPr>
        <w:t>est plus en cours d</w:t>
      </w:r>
      <w:r w:rsidR="00390237">
        <w:rPr>
          <w:lang w:val="fr-FR"/>
        </w:rPr>
        <w:t>’</w:t>
      </w:r>
      <w:r w:rsidRPr="002B6E68">
        <w:rPr>
          <w:lang w:val="fr-FR"/>
        </w:rPr>
        <w:t>examen devant la Cour européenne, le Comité considère que rien ne s</w:t>
      </w:r>
      <w:r w:rsidR="00390237">
        <w:rPr>
          <w:lang w:val="fr-FR"/>
        </w:rPr>
        <w:t>’</w:t>
      </w:r>
      <w:r w:rsidRPr="002B6E68">
        <w:rPr>
          <w:lang w:val="fr-FR"/>
        </w:rPr>
        <w:t xml:space="preserve">oppose à </w:t>
      </w:r>
      <w:r>
        <w:rPr>
          <w:lang w:val="fr-FR"/>
        </w:rPr>
        <w:t>ce qu</w:t>
      </w:r>
      <w:r w:rsidR="00390237">
        <w:rPr>
          <w:lang w:val="fr-FR"/>
        </w:rPr>
        <w:t>’</w:t>
      </w:r>
      <w:r>
        <w:rPr>
          <w:lang w:val="fr-FR"/>
        </w:rPr>
        <w:t xml:space="preserve">il examine </w:t>
      </w:r>
      <w:r w:rsidRPr="002B6E68">
        <w:rPr>
          <w:lang w:val="fr-FR"/>
        </w:rPr>
        <w:t>la communication au titre du paragraphe</w:t>
      </w:r>
      <w:r w:rsidR="008510F1">
        <w:rPr>
          <w:lang w:val="fr-FR"/>
        </w:rPr>
        <w:t> </w:t>
      </w:r>
      <w:r w:rsidRPr="002B6E68">
        <w:rPr>
          <w:lang w:val="fr-FR"/>
        </w:rPr>
        <w:t>2</w:t>
      </w:r>
      <w:r w:rsidR="008510F1">
        <w:rPr>
          <w:lang w:val="fr-FR"/>
        </w:rPr>
        <w:t> </w:t>
      </w:r>
      <w:r w:rsidRPr="002B6E68">
        <w:rPr>
          <w:lang w:val="fr-FR"/>
        </w:rPr>
        <w:t>a) de l</w:t>
      </w:r>
      <w:r w:rsidR="00390237">
        <w:rPr>
          <w:lang w:val="fr-FR"/>
        </w:rPr>
        <w:t>’</w:t>
      </w:r>
      <w:r w:rsidRPr="002B6E68">
        <w:rPr>
          <w:lang w:val="fr-FR"/>
        </w:rPr>
        <w:t>article</w:t>
      </w:r>
      <w:r w:rsidR="008510F1">
        <w:rPr>
          <w:lang w:val="fr-FR"/>
        </w:rPr>
        <w:t> </w:t>
      </w:r>
      <w:r w:rsidRPr="002B6E68">
        <w:rPr>
          <w:lang w:val="fr-FR"/>
        </w:rPr>
        <w:t>5 du Protocole facultatif</w:t>
      </w:r>
      <w:r w:rsidRPr="00454BD4">
        <w:rPr>
          <w:rStyle w:val="Appelnotedebasdep"/>
        </w:rPr>
        <w:footnoteReference w:id="22"/>
      </w:r>
      <w:r w:rsidRPr="00BA7980">
        <w:rPr>
          <w:lang w:val="fr-FR"/>
        </w:rPr>
        <w:t>.</w:t>
      </w:r>
    </w:p>
    <w:p w14:paraId="774A9125" w14:textId="6040025B" w:rsidR="00F85A35" w:rsidRPr="002B6E68" w:rsidRDefault="00F85A35" w:rsidP="00F85A35">
      <w:pPr>
        <w:pStyle w:val="SingleTxtG"/>
        <w:rPr>
          <w:lang w:val="fr-FR"/>
        </w:rPr>
      </w:pPr>
      <w:r w:rsidRPr="002B6E68">
        <w:rPr>
          <w:lang w:val="fr-FR"/>
        </w:rPr>
        <w:t>6</w:t>
      </w:r>
      <w:r w:rsidRPr="00BA7980">
        <w:rPr>
          <w:lang w:val="fr-FR"/>
        </w:rPr>
        <w:t>.</w:t>
      </w:r>
      <w:r w:rsidRPr="002B6E68">
        <w:rPr>
          <w:lang w:val="fr-FR"/>
        </w:rPr>
        <w:t>3</w:t>
      </w:r>
      <w:r w:rsidRPr="002B6E68">
        <w:rPr>
          <w:lang w:val="fr-FR"/>
        </w:rPr>
        <w:tab/>
        <w:t>Le Comité prend note de l</w:t>
      </w:r>
      <w:r w:rsidR="00390237">
        <w:rPr>
          <w:lang w:val="fr-FR"/>
        </w:rPr>
        <w:t>’</w:t>
      </w:r>
      <w:r w:rsidRPr="002B6E68">
        <w:rPr>
          <w:lang w:val="fr-FR"/>
        </w:rPr>
        <w:t>argument de l</w:t>
      </w:r>
      <w:r w:rsidR="00390237">
        <w:rPr>
          <w:lang w:val="fr-FR"/>
        </w:rPr>
        <w:t>’</w:t>
      </w:r>
      <w:r w:rsidRPr="002B6E68">
        <w:rPr>
          <w:lang w:val="fr-FR"/>
        </w:rPr>
        <w:t>État partie selon lequel la communication devrait être déclarée irrecevable au motif que l</w:t>
      </w:r>
      <w:r w:rsidR="00390237">
        <w:rPr>
          <w:lang w:val="fr-FR"/>
        </w:rPr>
        <w:t>’</w:t>
      </w:r>
      <w:r w:rsidRPr="002B6E68">
        <w:rPr>
          <w:lang w:val="fr-FR"/>
        </w:rPr>
        <w:t>auteur n</w:t>
      </w:r>
      <w:r w:rsidR="00390237">
        <w:rPr>
          <w:lang w:val="fr-FR"/>
        </w:rPr>
        <w:t>’</w:t>
      </w:r>
      <w:r w:rsidRPr="002B6E68">
        <w:rPr>
          <w:lang w:val="fr-FR"/>
        </w:rPr>
        <w:t>a pas épuisé tous les recours internes disponibles, puisqu</w:t>
      </w:r>
      <w:r w:rsidR="00390237">
        <w:rPr>
          <w:lang w:val="fr-FR"/>
        </w:rPr>
        <w:t>’</w:t>
      </w:r>
      <w:r w:rsidRPr="002B6E68">
        <w:rPr>
          <w:lang w:val="fr-FR"/>
        </w:rPr>
        <w:t xml:space="preserve">il aurait pu demander </w:t>
      </w:r>
      <w:r>
        <w:rPr>
          <w:lang w:val="fr-FR"/>
        </w:rPr>
        <w:t xml:space="preserve">la cassation de </w:t>
      </w:r>
      <w:r w:rsidRPr="002B6E68">
        <w:rPr>
          <w:lang w:val="fr-FR"/>
        </w:rPr>
        <w:t>l</w:t>
      </w:r>
      <w:r w:rsidR="00390237">
        <w:rPr>
          <w:lang w:val="fr-FR"/>
        </w:rPr>
        <w:t>’</w:t>
      </w:r>
      <w:r w:rsidRPr="002B6E68">
        <w:rPr>
          <w:lang w:val="fr-FR"/>
        </w:rPr>
        <w:t>arrêt n</w:t>
      </w:r>
      <w:r w:rsidRPr="002B6E68">
        <w:rPr>
          <w:vertAlign w:val="superscript"/>
          <w:lang w:val="fr-FR"/>
        </w:rPr>
        <w:t>o</w:t>
      </w:r>
      <w:r w:rsidRPr="002B6E68">
        <w:rPr>
          <w:lang w:val="fr-FR"/>
        </w:rPr>
        <w:t> 3 rendu le 17 janvier 2008 par la Cour militaire d</w:t>
      </w:r>
      <w:r w:rsidR="00390237">
        <w:rPr>
          <w:lang w:val="fr-FR"/>
        </w:rPr>
        <w:t>’</w:t>
      </w:r>
      <w:r w:rsidRPr="002B6E68">
        <w:rPr>
          <w:lang w:val="fr-FR"/>
        </w:rPr>
        <w:t>appel</w:t>
      </w:r>
      <w:r>
        <w:rPr>
          <w:lang w:val="fr-FR"/>
        </w:rPr>
        <w:t xml:space="preserve"> devant la Cour suprême de cassation</w:t>
      </w:r>
      <w:r w:rsidRPr="00BA7980">
        <w:rPr>
          <w:lang w:val="fr-FR"/>
        </w:rPr>
        <w:t>.</w:t>
      </w:r>
      <w:r w:rsidRPr="002B6E68">
        <w:rPr>
          <w:lang w:val="fr-FR"/>
        </w:rPr>
        <w:t xml:space="preserve"> Le Comité prend également note </w:t>
      </w:r>
      <w:r>
        <w:rPr>
          <w:lang w:val="fr-FR"/>
        </w:rPr>
        <w:t>de l</w:t>
      </w:r>
      <w:r w:rsidR="00390237">
        <w:rPr>
          <w:lang w:val="fr-FR"/>
        </w:rPr>
        <w:t>’</w:t>
      </w:r>
      <w:r>
        <w:rPr>
          <w:lang w:val="fr-FR"/>
        </w:rPr>
        <w:t xml:space="preserve">affirmation </w:t>
      </w:r>
      <w:r w:rsidRPr="002B6E68">
        <w:rPr>
          <w:lang w:val="fr-FR"/>
        </w:rPr>
        <w:t>de l</w:t>
      </w:r>
      <w:r w:rsidR="00390237">
        <w:rPr>
          <w:lang w:val="fr-FR"/>
        </w:rPr>
        <w:t>’</w:t>
      </w:r>
      <w:r w:rsidRPr="002B6E68">
        <w:rPr>
          <w:lang w:val="fr-FR"/>
        </w:rPr>
        <w:t xml:space="preserve">auteur selon </w:t>
      </w:r>
      <w:r>
        <w:rPr>
          <w:lang w:val="fr-FR"/>
        </w:rPr>
        <w:t xml:space="preserve">laquelle </w:t>
      </w:r>
      <w:r w:rsidRPr="002B6E68">
        <w:rPr>
          <w:lang w:val="fr-FR"/>
        </w:rPr>
        <w:t>cet arrêt de la Cour militaire d</w:t>
      </w:r>
      <w:r w:rsidR="00390237">
        <w:rPr>
          <w:lang w:val="fr-FR"/>
        </w:rPr>
        <w:t>’</w:t>
      </w:r>
      <w:r w:rsidRPr="002B6E68">
        <w:rPr>
          <w:lang w:val="fr-FR"/>
        </w:rPr>
        <w:t>appel n</w:t>
      </w:r>
      <w:r w:rsidR="00390237">
        <w:rPr>
          <w:lang w:val="fr-FR"/>
        </w:rPr>
        <w:t>’</w:t>
      </w:r>
      <w:r w:rsidRPr="002B6E68">
        <w:rPr>
          <w:lang w:val="fr-FR"/>
        </w:rPr>
        <w:t xml:space="preserve">était pas susceptible </w:t>
      </w:r>
      <w:r>
        <w:rPr>
          <w:lang w:val="fr-FR"/>
        </w:rPr>
        <w:t>de recours</w:t>
      </w:r>
      <w:r w:rsidRPr="002B6E68">
        <w:rPr>
          <w:lang w:val="fr-FR"/>
        </w:rPr>
        <w:t>, comme indiqué dans l</w:t>
      </w:r>
      <w:r w:rsidR="00390237">
        <w:rPr>
          <w:lang w:val="fr-FR"/>
        </w:rPr>
        <w:t>’</w:t>
      </w:r>
      <w:r w:rsidRPr="002B6E68">
        <w:rPr>
          <w:lang w:val="fr-FR"/>
        </w:rPr>
        <w:t>arrêt lui-même</w:t>
      </w:r>
      <w:r w:rsidRPr="00BA7980">
        <w:rPr>
          <w:lang w:val="fr-FR"/>
        </w:rPr>
        <w:t>.</w:t>
      </w:r>
      <w:r w:rsidRPr="002B6E68">
        <w:rPr>
          <w:lang w:val="fr-FR"/>
        </w:rPr>
        <w:t xml:space="preserve"> Le Comité </w:t>
      </w:r>
      <w:r>
        <w:rPr>
          <w:lang w:val="fr-FR"/>
        </w:rPr>
        <w:t xml:space="preserve">prend également </w:t>
      </w:r>
      <w:r w:rsidRPr="002B6E68">
        <w:rPr>
          <w:lang w:val="fr-FR"/>
        </w:rPr>
        <w:t xml:space="preserve">note </w:t>
      </w:r>
      <w:r>
        <w:rPr>
          <w:lang w:val="fr-FR"/>
        </w:rPr>
        <w:t>de l</w:t>
      </w:r>
      <w:r w:rsidR="00390237">
        <w:rPr>
          <w:lang w:val="fr-FR"/>
        </w:rPr>
        <w:t>’</w:t>
      </w:r>
      <w:r>
        <w:rPr>
          <w:lang w:val="fr-FR"/>
        </w:rPr>
        <w:t xml:space="preserve">argument de </w:t>
      </w:r>
      <w:r w:rsidRPr="002B6E68">
        <w:rPr>
          <w:lang w:val="fr-FR"/>
        </w:rPr>
        <w:t>l</w:t>
      </w:r>
      <w:r w:rsidR="00390237">
        <w:rPr>
          <w:lang w:val="fr-FR"/>
        </w:rPr>
        <w:t>’</w:t>
      </w:r>
      <w:r w:rsidRPr="002B6E68">
        <w:rPr>
          <w:lang w:val="fr-FR"/>
        </w:rPr>
        <w:t>auteur</w:t>
      </w:r>
      <w:r>
        <w:rPr>
          <w:lang w:val="fr-FR"/>
        </w:rPr>
        <w:t xml:space="preserve"> selon lequel</w:t>
      </w:r>
      <w:r w:rsidRPr="002B6E68">
        <w:rPr>
          <w:lang w:val="fr-FR"/>
        </w:rPr>
        <w:t xml:space="preserve"> l</w:t>
      </w:r>
      <w:r w:rsidR="00390237">
        <w:rPr>
          <w:lang w:val="fr-FR"/>
        </w:rPr>
        <w:t>’</w:t>
      </w:r>
      <w:r w:rsidRPr="002B6E68">
        <w:rPr>
          <w:lang w:val="fr-FR"/>
        </w:rPr>
        <w:t>article 346 du Code bulgare de procédure pénale limite le champ d</w:t>
      </w:r>
      <w:r w:rsidR="00390237">
        <w:rPr>
          <w:lang w:val="fr-FR"/>
        </w:rPr>
        <w:t>’</w:t>
      </w:r>
      <w:r w:rsidRPr="002B6E68">
        <w:rPr>
          <w:lang w:val="fr-FR"/>
        </w:rPr>
        <w:t xml:space="preserve">application du </w:t>
      </w:r>
      <w:r>
        <w:rPr>
          <w:lang w:val="fr-FR"/>
        </w:rPr>
        <w:t xml:space="preserve">pourvoi </w:t>
      </w:r>
      <w:r w:rsidRPr="002B6E68">
        <w:rPr>
          <w:lang w:val="fr-FR"/>
        </w:rPr>
        <w:t xml:space="preserve">en cassation, et les jugements de </w:t>
      </w:r>
      <w:r>
        <w:rPr>
          <w:lang w:val="fr-FR"/>
        </w:rPr>
        <w:t xml:space="preserve">seconde </w:t>
      </w:r>
      <w:r w:rsidRPr="002B6E68">
        <w:rPr>
          <w:lang w:val="fr-FR"/>
        </w:rPr>
        <w:t>instance confirm</w:t>
      </w:r>
      <w:r>
        <w:rPr>
          <w:lang w:val="fr-FR"/>
        </w:rPr>
        <w:t xml:space="preserve">ant </w:t>
      </w:r>
      <w:r w:rsidRPr="002B6E68">
        <w:rPr>
          <w:lang w:val="fr-FR"/>
        </w:rPr>
        <w:t>des décisions de première instance ne sont pas susceptibles d</w:t>
      </w:r>
      <w:r w:rsidR="00390237">
        <w:rPr>
          <w:lang w:val="fr-FR"/>
        </w:rPr>
        <w:t>’</w:t>
      </w:r>
      <w:r w:rsidRPr="002B6E68">
        <w:rPr>
          <w:lang w:val="fr-FR"/>
        </w:rPr>
        <w:t xml:space="preserve">un </w:t>
      </w:r>
      <w:r>
        <w:rPr>
          <w:lang w:val="fr-FR"/>
        </w:rPr>
        <w:t xml:space="preserve">nouveau recours </w:t>
      </w:r>
      <w:r w:rsidRPr="002B6E68">
        <w:rPr>
          <w:lang w:val="fr-FR"/>
        </w:rPr>
        <w:t xml:space="preserve">devant la Cour </w:t>
      </w:r>
      <w:r>
        <w:rPr>
          <w:lang w:val="fr-FR"/>
        </w:rPr>
        <w:t>s</w:t>
      </w:r>
      <w:r w:rsidRPr="002B6E68">
        <w:rPr>
          <w:lang w:val="fr-FR"/>
        </w:rPr>
        <w:t xml:space="preserve">uprême de </w:t>
      </w:r>
      <w:r>
        <w:rPr>
          <w:lang w:val="fr-FR"/>
        </w:rPr>
        <w:t>c</w:t>
      </w:r>
      <w:r w:rsidRPr="002B6E68">
        <w:rPr>
          <w:lang w:val="fr-FR"/>
        </w:rPr>
        <w:t>assation</w:t>
      </w:r>
      <w:r w:rsidRPr="00BA7980">
        <w:rPr>
          <w:lang w:val="fr-FR"/>
        </w:rPr>
        <w:t>.</w:t>
      </w:r>
      <w:r w:rsidRPr="002B6E68">
        <w:rPr>
          <w:lang w:val="fr-FR"/>
        </w:rPr>
        <w:t xml:space="preserve"> Le Comité note que l</w:t>
      </w:r>
      <w:r w:rsidR="00390237">
        <w:rPr>
          <w:lang w:val="fr-FR"/>
        </w:rPr>
        <w:t>’</w:t>
      </w:r>
      <w:r w:rsidRPr="002B6E68">
        <w:rPr>
          <w:lang w:val="fr-FR"/>
        </w:rPr>
        <w:t>État partie n</w:t>
      </w:r>
      <w:r w:rsidR="00390237">
        <w:rPr>
          <w:lang w:val="fr-FR"/>
        </w:rPr>
        <w:t>’</w:t>
      </w:r>
      <w:r w:rsidRPr="002B6E68">
        <w:rPr>
          <w:lang w:val="fr-FR"/>
        </w:rPr>
        <w:t xml:space="preserve">a pas expliqué en quoi </w:t>
      </w:r>
      <w:r>
        <w:rPr>
          <w:lang w:val="fr-FR"/>
        </w:rPr>
        <w:t xml:space="preserve">un pourvoi </w:t>
      </w:r>
      <w:r w:rsidRPr="002B6E68">
        <w:rPr>
          <w:lang w:val="fr-FR"/>
        </w:rPr>
        <w:t>en cassation aurait constitué un recours utile pour ce qui est des allégations soulevées devant le Comité</w:t>
      </w:r>
      <w:r w:rsidRPr="00BA7980">
        <w:rPr>
          <w:lang w:val="fr-FR"/>
        </w:rPr>
        <w:t>.</w:t>
      </w:r>
      <w:r w:rsidRPr="002B6E68">
        <w:rPr>
          <w:lang w:val="fr-FR"/>
        </w:rPr>
        <w:t xml:space="preserve"> En conséquence, le Comité considère que les conditions énoncées </w:t>
      </w:r>
      <w:r>
        <w:rPr>
          <w:lang w:val="fr-FR"/>
        </w:rPr>
        <w:t>à</w:t>
      </w:r>
      <w:r w:rsidRPr="002B6E68">
        <w:rPr>
          <w:lang w:val="fr-FR"/>
        </w:rPr>
        <w:t xml:space="preserve"> l</w:t>
      </w:r>
      <w:r w:rsidR="00390237">
        <w:rPr>
          <w:lang w:val="fr-FR"/>
        </w:rPr>
        <w:t>’</w:t>
      </w:r>
      <w:r w:rsidRPr="002B6E68">
        <w:rPr>
          <w:lang w:val="fr-FR"/>
        </w:rPr>
        <w:t>article 5</w:t>
      </w:r>
      <w:r>
        <w:rPr>
          <w:lang w:val="fr-FR"/>
        </w:rPr>
        <w:t xml:space="preserve"> (par. 2 b))</w:t>
      </w:r>
      <w:r w:rsidRPr="002B6E68">
        <w:rPr>
          <w:lang w:val="fr-FR"/>
        </w:rPr>
        <w:t xml:space="preserve"> du Protocole facultatif sont réunies</w:t>
      </w:r>
      <w:r w:rsidRPr="00BA7980">
        <w:rPr>
          <w:lang w:val="fr-FR"/>
        </w:rPr>
        <w:t>.</w:t>
      </w:r>
    </w:p>
    <w:p w14:paraId="02AF1F79" w14:textId="446CF779" w:rsidR="00F85A35" w:rsidRPr="002B6E68" w:rsidRDefault="00F85A35" w:rsidP="00F85A35">
      <w:pPr>
        <w:pStyle w:val="SingleTxtG"/>
        <w:rPr>
          <w:lang w:val="fr-FR"/>
        </w:rPr>
      </w:pPr>
      <w:r w:rsidRPr="002B6E68">
        <w:rPr>
          <w:lang w:val="fr-FR"/>
        </w:rPr>
        <w:t>6</w:t>
      </w:r>
      <w:r w:rsidRPr="00BA7980">
        <w:rPr>
          <w:lang w:val="fr-FR"/>
        </w:rPr>
        <w:t>.</w:t>
      </w:r>
      <w:r w:rsidRPr="002B6E68">
        <w:rPr>
          <w:lang w:val="fr-FR"/>
        </w:rPr>
        <w:t>4</w:t>
      </w:r>
      <w:r w:rsidRPr="002B6E68">
        <w:rPr>
          <w:lang w:val="fr-FR"/>
        </w:rPr>
        <w:tab/>
        <w:t xml:space="preserve">Le Comité </w:t>
      </w:r>
      <w:r>
        <w:rPr>
          <w:lang w:val="fr-FR"/>
        </w:rPr>
        <w:t>prend note</w:t>
      </w:r>
      <w:r w:rsidRPr="002B6E68">
        <w:rPr>
          <w:lang w:val="fr-FR"/>
        </w:rPr>
        <w:t xml:space="preserve"> </w:t>
      </w:r>
      <w:r>
        <w:rPr>
          <w:lang w:val="fr-FR"/>
        </w:rPr>
        <w:t xml:space="preserve">des griefs </w:t>
      </w:r>
      <w:r w:rsidRPr="002B6E68">
        <w:rPr>
          <w:lang w:val="fr-FR"/>
        </w:rPr>
        <w:t>que l</w:t>
      </w:r>
      <w:r w:rsidR="00390237">
        <w:rPr>
          <w:lang w:val="fr-FR"/>
        </w:rPr>
        <w:t>’</w:t>
      </w:r>
      <w:r w:rsidRPr="002B6E68">
        <w:rPr>
          <w:lang w:val="fr-FR"/>
        </w:rPr>
        <w:t>auteur tire de l</w:t>
      </w:r>
      <w:r w:rsidR="00390237">
        <w:rPr>
          <w:lang w:val="fr-FR"/>
        </w:rPr>
        <w:t>’</w:t>
      </w:r>
      <w:r w:rsidRPr="002B6E68">
        <w:rPr>
          <w:lang w:val="fr-FR"/>
        </w:rPr>
        <w:t>article 14 (par</w:t>
      </w:r>
      <w:r w:rsidRPr="00BA7980">
        <w:rPr>
          <w:lang w:val="fr-FR"/>
        </w:rPr>
        <w:t>.</w:t>
      </w:r>
      <w:r w:rsidRPr="002B6E68">
        <w:rPr>
          <w:lang w:val="fr-FR"/>
        </w:rPr>
        <w:t> 1) du Pacte</w:t>
      </w:r>
      <w:r>
        <w:rPr>
          <w:lang w:val="fr-FR"/>
        </w:rPr>
        <w:t>, à savoir que l</w:t>
      </w:r>
      <w:r w:rsidR="00390237">
        <w:rPr>
          <w:lang w:val="fr-FR"/>
        </w:rPr>
        <w:t>’</w:t>
      </w:r>
      <w:r>
        <w:rPr>
          <w:lang w:val="fr-FR"/>
        </w:rPr>
        <w:t>État partie n</w:t>
      </w:r>
      <w:r w:rsidR="00390237">
        <w:rPr>
          <w:lang w:val="fr-FR"/>
        </w:rPr>
        <w:t>’</w:t>
      </w:r>
      <w:r>
        <w:rPr>
          <w:lang w:val="fr-FR"/>
        </w:rPr>
        <w:t>a pas pleinement respecté son droit d</w:t>
      </w:r>
      <w:r w:rsidR="00390237">
        <w:rPr>
          <w:lang w:val="fr-FR"/>
        </w:rPr>
        <w:t>’</w:t>
      </w:r>
      <w:r>
        <w:rPr>
          <w:lang w:val="fr-FR"/>
        </w:rPr>
        <w:t>accès à la justice ni le principe de l</w:t>
      </w:r>
      <w:r w:rsidR="00390237">
        <w:rPr>
          <w:lang w:val="fr-FR"/>
        </w:rPr>
        <w:t>’</w:t>
      </w:r>
      <w:r>
        <w:rPr>
          <w:lang w:val="fr-FR"/>
        </w:rPr>
        <w:t>égalité des armes, puisqu</w:t>
      </w:r>
      <w:r w:rsidR="00390237">
        <w:rPr>
          <w:lang w:val="fr-FR"/>
        </w:rPr>
        <w:t>’</w:t>
      </w:r>
      <w:r>
        <w:rPr>
          <w:lang w:val="fr-FR"/>
        </w:rPr>
        <w:t>il n</w:t>
      </w:r>
      <w:r w:rsidR="00390237">
        <w:rPr>
          <w:lang w:val="fr-FR"/>
        </w:rPr>
        <w:t>’</w:t>
      </w:r>
      <w:r>
        <w:rPr>
          <w:lang w:val="fr-FR"/>
        </w:rPr>
        <w:t>a pas été convoqué par la Cour suprême pour participer à la procédure à l</w:t>
      </w:r>
      <w:r w:rsidR="00390237">
        <w:rPr>
          <w:lang w:val="fr-FR"/>
        </w:rPr>
        <w:t>’</w:t>
      </w:r>
      <w:r>
        <w:rPr>
          <w:lang w:val="fr-FR"/>
        </w:rPr>
        <w:t>issue de laquelle celle-ci a annulé la décision d</w:t>
      </w:r>
      <w:r w:rsidR="00390237">
        <w:rPr>
          <w:lang w:val="fr-FR"/>
        </w:rPr>
        <w:t>’</w:t>
      </w:r>
      <w:r>
        <w:rPr>
          <w:lang w:val="fr-FR"/>
        </w:rPr>
        <w:t>indemnisation rendue par la Cour militaire d</w:t>
      </w:r>
      <w:r w:rsidR="00390237">
        <w:rPr>
          <w:lang w:val="fr-FR"/>
        </w:rPr>
        <w:t>’</w:t>
      </w:r>
      <w:r>
        <w:rPr>
          <w:lang w:val="fr-FR"/>
        </w:rPr>
        <w:t>appel</w:t>
      </w:r>
      <w:r w:rsidRPr="00BA7980">
        <w:rPr>
          <w:lang w:val="fr-FR"/>
        </w:rPr>
        <w:t>.</w:t>
      </w:r>
      <w:r w:rsidRPr="002B6E68">
        <w:rPr>
          <w:lang w:val="fr-FR"/>
        </w:rPr>
        <w:t xml:space="preserve"> </w:t>
      </w:r>
      <w:r>
        <w:rPr>
          <w:lang w:val="fr-FR"/>
        </w:rPr>
        <w:t>Il prend toutefois également note de l</w:t>
      </w:r>
      <w:r w:rsidR="00390237">
        <w:rPr>
          <w:lang w:val="fr-FR"/>
        </w:rPr>
        <w:t>’</w:t>
      </w:r>
      <w:r>
        <w:rPr>
          <w:lang w:val="fr-FR"/>
        </w:rPr>
        <w:t>argument de l</w:t>
      </w:r>
      <w:r w:rsidR="00390237">
        <w:rPr>
          <w:lang w:val="fr-FR"/>
        </w:rPr>
        <w:t>’</w:t>
      </w:r>
      <w:r>
        <w:rPr>
          <w:lang w:val="fr-FR"/>
        </w:rPr>
        <w:t>État partie selon lequel l</w:t>
      </w:r>
      <w:r w:rsidR="00390237">
        <w:rPr>
          <w:lang w:val="fr-FR"/>
        </w:rPr>
        <w:t>’</w:t>
      </w:r>
      <w:r>
        <w:rPr>
          <w:lang w:val="fr-FR"/>
        </w:rPr>
        <w:t>auteur a pu exercer les droits reconnus aux victimes d</w:t>
      </w:r>
      <w:r w:rsidR="00390237">
        <w:rPr>
          <w:lang w:val="fr-FR"/>
        </w:rPr>
        <w:t>’</w:t>
      </w:r>
      <w:r>
        <w:rPr>
          <w:lang w:val="fr-FR"/>
        </w:rPr>
        <w:t>une infraction et a participé aux procès en première instance et en appel, tant personnellement que par l</w:t>
      </w:r>
      <w:r w:rsidR="00390237">
        <w:rPr>
          <w:lang w:val="fr-FR"/>
        </w:rPr>
        <w:t>’</w:t>
      </w:r>
      <w:r>
        <w:rPr>
          <w:lang w:val="fr-FR"/>
        </w:rPr>
        <w:t>intermédiaire d</w:t>
      </w:r>
      <w:r w:rsidR="00390237">
        <w:rPr>
          <w:lang w:val="fr-FR"/>
        </w:rPr>
        <w:t>’</w:t>
      </w:r>
      <w:r>
        <w:rPr>
          <w:lang w:val="fr-FR"/>
        </w:rPr>
        <w:t>un conseil mandaté par lui, y compris après la reprise de la procédure</w:t>
      </w:r>
      <w:r w:rsidRPr="00BA7980">
        <w:rPr>
          <w:lang w:val="fr-FR"/>
        </w:rPr>
        <w:t>.</w:t>
      </w:r>
      <w:r>
        <w:rPr>
          <w:lang w:val="fr-FR"/>
        </w:rPr>
        <w:t xml:space="preserve"> De surcroît, dans le cadre de l</w:t>
      </w:r>
      <w:r w:rsidR="00390237">
        <w:rPr>
          <w:lang w:val="fr-FR"/>
        </w:rPr>
        <w:t>’</w:t>
      </w:r>
      <w:r>
        <w:rPr>
          <w:lang w:val="fr-FR"/>
        </w:rPr>
        <w:t>action civile qu</w:t>
      </w:r>
      <w:r w:rsidR="00390237">
        <w:rPr>
          <w:lang w:val="fr-FR"/>
        </w:rPr>
        <w:t>’</w:t>
      </w:r>
      <w:r>
        <w:rPr>
          <w:lang w:val="fr-FR"/>
        </w:rPr>
        <w:t>il a intentée, l</w:t>
      </w:r>
      <w:r w:rsidR="00390237">
        <w:rPr>
          <w:lang w:val="fr-FR"/>
        </w:rPr>
        <w:t>’</w:t>
      </w:r>
      <w:r>
        <w:rPr>
          <w:lang w:val="fr-FR"/>
        </w:rPr>
        <w:t xml:space="preserve">auteur a bénéficié du </w:t>
      </w:r>
      <w:r w:rsidRPr="002B6E68">
        <w:rPr>
          <w:lang w:val="fr-FR"/>
        </w:rPr>
        <w:t>droit à ce que sa cause soit entendue équitablement et publiquement par un tribunal compétent, indépendant et impartial</w:t>
      </w:r>
      <w:r w:rsidRPr="00BA7980">
        <w:rPr>
          <w:lang w:val="fr-FR"/>
        </w:rPr>
        <w:t>.</w:t>
      </w:r>
      <w:r>
        <w:rPr>
          <w:lang w:val="fr-FR"/>
        </w:rPr>
        <w:t xml:space="preserve"> En l</w:t>
      </w:r>
      <w:r w:rsidR="00390237">
        <w:rPr>
          <w:lang w:val="fr-FR"/>
        </w:rPr>
        <w:t>’</w:t>
      </w:r>
      <w:r>
        <w:rPr>
          <w:lang w:val="fr-FR"/>
        </w:rPr>
        <w:t>absence de toute autre information pertinente dans le dossier, et compte tenu des explications fournies par l</w:t>
      </w:r>
      <w:r w:rsidR="00390237">
        <w:rPr>
          <w:lang w:val="fr-FR"/>
        </w:rPr>
        <w:t>’</w:t>
      </w:r>
      <w:r>
        <w:rPr>
          <w:lang w:val="fr-FR"/>
        </w:rPr>
        <w:t>État partie, le Comité estime que l</w:t>
      </w:r>
      <w:r w:rsidR="00390237">
        <w:rPr>
          <w:lang w:val="fr-FR"/>
        </w:rPr>
        <w:t>’</w:t>
      </w:r>
      <w:r>
        <w:rPr>
          <w:lang w:val="fr-FR"/>
        </w:rPr>
        <w:t>auteur n</w:t>
      </w:r>
      <w:r w:rsidR="00390237">
        <w:rPr>
          <w:lang w:val="fr-FR"/>
        </w:rPr>
        <w:t>’</w:t>
      </w:r>
      <w:r>
        <w:rPr>
          <w:lang w:val="fr-FR"/>
        </w:rPr>
        <w:t>a pas suffisamment étayé ses allégations aux fins de la recevabilité, et déclare donc cette partie de la communication irrecevable au regard de l</w:t>
      </w:r>
      <w:r w:rsidR="00390237">
        <w:rPr>
          <w:lang w:val="fr-FR"/>
        </w:rPr>
        <w:t>’</w:t>
      </w:r>
      <w:r>
        <w:rPr>
          <w:lang w:val="fr-FR"/>
        </w:rPr>
        <w:t>article 2 du Protocole facultatif.</w:t>
      </w:r>
      <w:r w:rsidRPr="002B6E68">
        <w:rPr>
          <w:lang w:val="fr-FR"/>
        </w:rPr>
        <w:t xml:space="preserve"> </w:t>
      </w:r>
    </w:p>
    <w:p w14:paraId="13570F25" w14:textId="4B85E9F3" w:rsidR="00F85A35" w:rsidRPr="002B6E68" w:rsidRDefault="00F85A35" w:rsidP="00F85A35">
      <w:pPr>
        <w:pStyle w:val="SingleTxtG"/>
        <w:rPr>
          <w:lang w:val="fr-FR"/>
        </w:rPr>
      </w:pPr>
      <w:r w:rsidRPr="002B6E68">
        <w:rPr>
          <w:lang w:val="fr-FR"/>
        </w:rPr>
        <w:t>6</w:t>
      </w:r>
      <w:r w:rsidRPr="00BA7980">
        <w:rPr>
          <w:lang w:val="fr-FR"/>
        </w:rPr>
        <w:t>.</w:t>
      </w:r>
      <w:r w:rsidRPr="002B6E68">
        <w:rPr>
          <w:lang w:val="fr-FR"/>
        </w:rPr>
        <w:t>5</w:t>
      </w:r>
      <w:r w:rsidRPr="002B6E68">
        <w:rPr>
          <w:lang w:val="fr-FR"/>
        </w:rPr>
        <w:tab/>
        <w:t>Le Comité considère que l</w:t>
      </w:r>
      <w:r w:rsidR="00390237">
        <w:rPr>
          <w:lang w:val="fr-FR"/>
        </w:rPr>
        <w:t>’</w:t>
      </w:r>
      <w:r w:rsidRPr="002B6E68">
        <w:rPr>
          <w:lang w:val="fr-FR"/>
        </w:rPr>
        <w:t xml:space="preserve">auteur a suffisamment étayé, aux fins de la recevabilité, </w:t>
      </w:r>
      <w:r>
        <w:rPr>
          <w:lang w:val="fr-FR"/>
        </w:rPr>
        <w:t>s</w:t>
      </w:r>
      <w:r w:rsidRPr="002B6E68">
        <w:rPr>
          <w:lang w:val="fr-FR"/>
        </w:rPr>
        <w:t xml:space="preserve">es griefs </w:t>
      </w:r>
      <w:r>
        <w:rPr>
          <w:lang w:val="fr-FR"/>
        </w:rPr>
        <w:t xml:space="preserve">de </w:t>
      </w:r>
      <w:r w:rsidRPr="002B6E68">
        <w:rPr>
          <w:lang w:val="fr-FR"/>
        </w:rPr>
        <w:t xml:space="preserve">violation des droits </w:t>
      </w:r>
      <w:r>
        <w:rPr>
          <w:lang w:val="fr-FR"/>
        </w:rPr>
        <w:t>qu</w:t>
      </w:r>
      <w:r w:rsidR="00390237">
        <w:rPr>
          <w:lang w:val="fr-FR"/>
        </w:rPr>
        <w:t>’</w:t>
      </w:r>
      <w:r>
        <w:rPr>
          <w:lang w:val="fr-FR"/>
        </w:rPr>
        <w:t xml:space="preserve">il </w:t>
      </w:r>
      <w:r w:rsidRPr="007C7920">
        <w:rPr>
          <w:lang w:val="fr-FR"/>
        </w:rPr>
        <w:t>tient de l</w:t>
      </w:r>
      <w:r w:rsidR="00390237" w:rsidRPr="007C7920">
        <w:rPr>
          <w:lang w:val="fr-FR"/>
        </w:rPr>
        <w:t>’</w:t>
      </w:r>
      <w:r w:rsidRPr="007C7920">
        <w:rPr>
          <w:lang w:val="fr-FR"/>
        </w:rPr>
        <w:t>article</w:t>
      </w:r>
      <w:r w:rsidR="004404A4" w:rsidRPr="007C7920">
        <w:rPr>
          <w:lang w:val="fr-FR"/>
        </w:rPr>
        <w:t> </w:t>
      </w:r>
      <w:r w:rsidRPr="007C7920">
        <w:rPr>
          <w:lang w:val="fr-FR"/>
        </w:rPr>
        <w:t>7</w:t>
      </w:r>
      <w:r w:rsidR="007C7920" w:rsidRPr="007C7920">
        <w:rPr>
          <w:lang w:val="fr-FR"/>
        </w:rPr>
        <w:t xml:space="preserve"> du Pacte</w:t>
      </w:r>
      <w:r w:rsidRPr="007C7920">
        <w:rPr>
          <w:lang w:val="fr-FR"/>
        </w:rPr>
        <w:t>, lu seul et conjointement avec l</w:t>
      </w:r>
      <w:r w:rsidR="00390237" w:rsidRPr="007C7920">
        <w:rPr>
          <w:lang w:val="fr-FR"/>
        </w:rPr>
        <w:t>’</w:t>
      </w:r>
      <w:r w:rsidRPr="007C7920">
        <w:rPr>
          <w:lang w:val="fr-FR"/>
        </w:rPr>
        <w:t>article</w:t>
      </w:r>
      <w:r w:rsidR="004404A4" w:rsidRPr="007C7920">
        <w:rPr>
          <w:lang w:val="fr-FR"/>
        </w:rPr>
        <w:t> </w:t>
      </w:r>
      <w:r w:rsidRPr="007C7920">
        <w:rPr>
          <w:lang w:val="fr-FR"/>
        </w:rPr>
        <w:t>2 (par.</w:t>
      </w:r>
      <w:r w:rsidR="004404A4" w:rsidRPr="007C7920">
        <w:rPr>
          <w:lang w:val="fr-FR"/>
        </w:rPr>
        <w:t> </w:t>
      </w:r>
      <w:r w:rsidRPr="007C7920">
        <w:rPr>
          <w:lang w:val="fr-FR"/>
        </w:rPr>
        <w:t>3), lorsqu</w:t>
      </w:r>
      <w:r w:rsidR="00390237" w:rsidRPr="007C7920">
        <w:rPr>
          <w:lang w:val="fr-FR"/>
        </w:rPr>
        <w:t>’</w:t>
      </w:r>
      <w:r w:rsidRPr="007C7920">
        <w:rPr>
          <w:lang w:val="fr-FR"/>
        </w:rPr>
        <w:t>il allègue qu</w:t>
      </w:r>
      <w:r w:rsidR="00390237" w:rsidRPr="007C7920">
        <w:rPr>
          <w:lang w:val="fr-FR"/>
        </w:rPr>
        <w:t>’</w:t>
      </w:r>
      <w:r w:rsidRPr="007C7920">
        <w:rPr>
          <w:lang w:val="fr-FR"/>
        </w:rPr>
        <w:t>il</w:t>
      </w:r>
      <w:r>
        <w:rPr>
          <w:lang w:val="fr-FR"/>
        </w:rPr>
        <w:t xml:space="preserve"> a subi des violences </w:t>
      </w:r>
      <w:r w:rsidRPr="002B6E68">
        <w:rPr>
          <w:lang w:val="fr-FR"/>
        </w:rPr>
        <w:t>aux mains de</w:t>
      </w:r>
      <w:r>
        <w:rPr>
          <w:lang w:val="fr-FR"/>
        </w:rPr>
        <w:t>s</w:t>
      </w:r>
      <w:r w:rsidRPr="002B6E68">
        <w:rPr>
          <w:lang w:val="fr-FR"/>
        </w:rPr>
        <w:t xml:space="preserve"> policiers</w:t>
      </w:r>
      <w:r>
        <w:rPr>
          <w:lang w:val="fr-FR"/>
        </w:rPr>
        <w:t xml:space="preserve"> et que </w:t>
      </w:r>
      <w:r w:rsidRPr="002B6E68">
        <w:rPr>
          <w:lang w:val="fr-FR"/>
        </w:rPr>
        <w:t>l</w:t>
      </w:r>
      <w:r w:rsidR="00390237">
        <w:rPr>
          <w:lang w:val="fr-FR"/>
        </w:rPr>
        <w:t>’</w:t>
      </w:r>
      <w:r w:rsidRPr="002B6E68">
        <w:rPr>
          <w:lang w:val="fr-FR"/>
        </w:rPr>
        <w:t>État partie n</w:t>
      </w:r>
      <w:r w:rsidR="00390237">
        <w:rPr>
          <w:lang w:val="fr-FR"/>
        </w:rPr>
        <w:t>’</w:t>
      </w:r>
      <w:r w:rsidRPr="002B6E68">
        <w:rPr>
          <w:lang w:val="fr-FR"/>
        </w:rPr>
        <w:t xml:space="preserve">a </w:t>
      </w:r>
      <w:r>
        <w:rPr>
          <w:lang w:val="fr-FR"/>
        </w:rPr>
        <w:t xml:space="preserve">pas </w:t>
      </w:r>
      <w:r w:rsidRPr="002B6E68">
        <w:rPr>
          <w:lang w:val="fr-FR"/>
        </w:rPr>
        <w:t>mené d</w:t>
      </w:r>
      <w:r w:rsidR="00390237">
        <w:rPr>
          <w:lang w:val="fr-FR"/>
        </w:rPr>
        <w:t>’</w:t>
      </w:r>
      <w:r w:rsidRPr="002B6E68">
        <w:rPr>
          <w:lang w:val="fr-FR"/>
        </w:rPr>
        <w:t xml:space="preserve">enquête effective sur </w:t>
      </w:r>
      <w:r>
        <w:rPr>
          <w:lang w:val="fr-FR"/>
        </w:rPr>
        <w:t>s</w:t>
      </w:r>
      <w:r w:rsidRPr="002B6E68">
        <w:rPr>
          <w:lang w:val="fr-FR"/>
        </w:rPr>
        <w:t>es allégations</w:t>
      </w:r>
      <w:r>
        <w:rPr>
          <w:lang w:val="fr-FR"/>
        </w:rPr>
        <w:t xml:space="preserve"> et ne l</w:t>
      </w:r>
      <w:r w:rsidR="00390237">
        <w:rPr>
          <w:lang w:val="fr-FR"/>
        </w:rPr>
        <w:t>’</w:t>
      </w:r>
      <w:r>
        <w:rPr>
          <w:lang w:val="fr-FR"/>
        </w:rPr>
        <w:t xml:space="preserve">a pas </w:t>
      </w:r>
      <w:r w:rsidRPr="002B6E68">
        <w:rPr>
          <w:lang w:val="fr-FR"/>
        </w:rPr>
        <w:t>indemnisé pour le préjudice subi</w:t>
      </w:r>
      <w:r w:rsidRPr="00BA7980">
        <w:rPr>
          <w:lang w:val="fr-FR"/>
        </w:rPr>
        <w:t>.</w:t>
      </w:r>
      <w:r w:rsidRPr="002B6E68">
        <w:rPr>
          <w:lang w:val="fr-FR"/>
        </w:rPr>
        <w:t xml:space="preserve"> Il les déclare recevables et </w:t>
      </w:r>
      <w:r>
        <w:rPr>
          <w:lang w:val="fr-FR"/>
        </w:rPr>
        <w:t>va les</w:t>
      </w:r>
      <w:r w:rsidRPr="002B6E68">
        <w:rPr>
          <w:lang w:val="fr-FR"/>
        </w:rPr>
        <w:t xml:space="preserve"> exam</w:t>
      </w:r>
      <w:r>
        <w:rPr>
          <w:lang w:val="fr-FR"/>
        </w:rPr>
        <w:t>iner</w:t>
      </w:r>
      <w:r w:rsidRPr="002B6E68">
        <w:rPr>
          <w:lang w:val="fr-FR"/>
        </w:rPr>
        <w:t xml:space="preserve"> au fond</w:t>
      </w:r>
      <w:r w:rsidRPr="00BA7980">
        <w:rPr>
          <w:lang w:val="fr-FR"/>
        </w:rPr>
        <w:t>.</w:t>
      </w:r>
    </w:p>
    <w:p w14:paraId="0DECBC0A" w14:textId="77777777" w:rsidR="00F85A35" w:rsidRPr="002B6E68" w:rsidRDefault="00F85A35" w:rsidP="00F85A35">
      <w:pPr>
        <w:pStyle w:val="H4G"/>
        <w:rPr>
          <w:lang w:val="fr-FR"/>
        </w:rPr>
      </w:pPr>
      <w:r w:rsidRPr="002B6E68">
        <w:rPr>
          <w:lang w:val="fr-FR"/>
        </w:rPr>
        <w:tab/>
      </w:r>
      <w:r w:rsidRPr="002B6E68">
        <w:rPr>
          <w:lang w:val="fr-FR"/>
        </w:rPr>
        <w:tab/>
        <w:t>Examen au fond</w:t>
      </w:r>
    </w:p>
    <w:p w14:paraId="4DF67B96" w14:textId="6E40CC16" w:rsidR="00F85A35" w:rsidRPr="002B6E68" w:rsidRDefault="00F85A35" w:rsidP="00F85A35">
      <w:pPr>
        <w:pStyle w:val="SingleTxtG"/>
        <w:rPr>
          <w:rFonts w:eastAsia="Times New Roman"/>
          <w:lang w:val="fr-FR"/>
        </w:rPr>
      </w:pPr>
      <w:r w:rsidRPr="002B6E68">
        <w:rPr>
          <w:lang w:val="fr-FR"/>
        </w:rPr>
        <w:t>7</w:t>
      </w:r>
      <w:r w:rsidRPr="00BA7980">
        <w:rPr>
          <w:lang w:val="fr-FR"/>
        </w:rPr>
        <w:t>.</w:t>
      </w:r>
      <w:r w:rsidRPr="002B6E68">
        <w:rPr>
          <w:lang w:val="fr-FR"/>
        </w:rPr>
        <w:t>1</w:t>
      </w:r>
      <w:r w:rsidRPr="002B6E68">
        <w:rPr>
          <w:lang w:val="fr-FR"/>
        </w:rPr>
        <w:tab/>
        <w:t xml:space="preserve">Conformément </w:t>
      </w:r>
      <w:r>
        <w:rPr>
          <w:lang w:val="fr-FR"/>
        </w:rPr>
        <w:t xml:space="preserve">à </w:t>
      </w:r>
      <w:r w:rsidRPr="002B6E68">
        <w:rPr>
          <w:lang w:val="fr-FR"/>
        </w:rPr>
        <w:t>l</w:t>
      </w:r>
      <w:r w:rsidR="00390237">
        <w:rPr>
          <w:lang w:val="fr-FR"/>
        </w:rPr>
        <w:t>’</w:t>
      </w:r>
      <w:r w:rsidRPr="002B6E68">
        <w:rPr>
          <w:lang w:val="fr-FR"/>
        </w:rPr>
        <w:t xml:space="preserve">article 5 </w:t>
      </w:r>
      <w:r>
        <w:rPr>
          <w:lang w:val="fr-FR"/>
        </w:rPr>
        <w:t>(</w:t>
      </w:r>
      <w:r w:rsidRPr="002B6E68">
        <w:rPr>
          <w:lang w:val="fr-FR"/>
        </w:rPr>
        <w:t>par</w:t>
      </w:r>
      <w:r>
        <w:rPr>
          <w:lang w:val="fr-FR"/>
        </w:rPr>
        <w:t>. </w:t>
      </w:r>
      <w:r w:rsidRPr="002B6E68">
        <w:rPr>
          <w:lang w:val="fr-FR"/>
        </w:rPr>
        <w:t>1</w:t>
      </w:r>
      <w:r>
        <w:rPr>
          <w:lang w:val="fr-FR"/>
        </w:rPr>
        <w:t>)</w:t>
      </w:r>
      <w:r w:rsidRPr="002B6E68">
        <w:rPr>
          <w:lang w:val="fr-FR"/>
        </w:rPr>
        <w:t xml:space="preserve"> du Protocole facultatif, le Comité a examiné la présente communication en tenant compte de toutes les informations que lui ont communiquées les parties</w:t>
      </w:r>
      <w:r w:rsidRPr="00BA7980">
        <w:rPr>
          <w:lang w:val="fr-FR"/>
        </w:rPr>
        <w:t>.</w:t>
      </w:r>
    </w:p>
    <w:p w14:paraId="03F00CED" w14:textId="6DF99D5A" w:rsidR="00F85A35" w:rsidRPr="002B6E68" w:rsidRDefault="00F85A35" w:rsidP="00F85A35">
      <w:pPr>
        <w:pStyle w:val="SingleTxtG"/>
        <w:rPr>
          <w:rFonts w:eastAsia="Times New Roman"/>
          <w:lang w:val="fr-FR"/>
        </w:rPr>
      </w:pPr>
      <w:r w:rsidRPr="002B6E68">
        <w:rPr>
          <w:lang w:val="fr-FR"/>
        </w:rPr>
        <w:t>7</w:t>
      </w:r>
      <w:r w:rsidRPr="00BA7980">
        <w:rPr>
          <w:lang w:val="fr-FR"/>
        </w:rPr>
        <w:t>.</w:t>
      </w:r>
      <w:r w:rsidRPr="002B6E68">
        <w:rPr>
          <w:lang w:val="fr-FR"/>
        </w:rPr>
        <w:t>2</w:t>
      </w:r>
      <w:r w:rsidRPr="002B6E68">
        <w:rPr>
          <w:lang w:val="fr-FR"/>
        </w:rPr>
        <w:tab/>
        <w:t>Le Comité prend note des arguments ci-après de l</w:t>
      </w:r>
      <w:r w:rsidR="00390237">
        <w:rPr>
          <w:lang w:val="fr-FR"/>
        </w:rPr>
        <w:t>’</w:t>
      </w:r>
      <w:r w:rsidRPr="002B6E68">
        <w:rPr>
          <w:lang w:val="fr-FR"/>
        </w:rPr>
        <w:t>auteur : le 15 septembre 2005, il a été agressé par deux policiers qui l</w:t>
      </w:r>
      <w:r w:rsidR="00390237">
        <w:rPr>
          <w:lang w:val="fr-FR"/>
        </w:rPr>
        <w:t>’</w:t>
      </w:r>
      <w:r w:rsidRPr="002B6E68">
        <w:rPr>
          <w:lang w:val="fr-FR"/>
        </w:rPr>
        <w:t>avaient pris, à tort, pour un dealer</w:t>
      </w:r>
      <w:r>
        <w:rPr>
          <w:lang w:val="fr-FR"/>
        </w:rPr>
        <w:t> </w:t>
      </w:r>
      <w:r w:rsidRPr="002B6E68">
        <w:rPr>
          <w:lang w:val="fr-FR"/>
        </w:rPr>
        <w:t>; les policiers n</w:t>
      </w:r>
      <w:r w:rsidR="00390237">
        <w:rPr>
          <w:lang w:val="fr-FR"/>
        </w:rPr>
        <w:t>’</w:t>
      </w:r>
      <w:r w:rsidRPr="002B6E68">
        <w:rPr>
          <w:lang w:val="fr-FR"/>
        </w:rPr>
        <w:t>ont révélé leur identité que plus tard, une fois qu</w:t>
      </w:r>
      <w:r w:rsidR="00390237">
        <w:rPr>
          <w:lang w:val="fr-FR"/>
        </w:rPr>
        <w:t>’</w:t>
      </w:r>
      <w:r w:rsidRPr="002B6E68">
        <w:rPr>
          <w:lang w:val="fr-FR"/>
        </w:rPr>
        <w:t>il avait été menotté et placé dans leur voiture</w:t>
      </w:r>
      <w:r>
        <w:rPr>
          <w:lang w:val="fr-FR"/>
        </w:rPr>
        <w:t> </w:t>
      </w:r>
      <w:r w:rsidRPr="002B6E68">
        <w:rPr>
          <w:lang w:val="fr-FR"/>
        </w:rPr>
        <w:t>; un certificat médico-légal a indiqué qu</w:t>
      </w:r>
      <w:r w:rsidR="00390237">
        <w:rPr>
          <w:lang w:val="fr-FR"/>
        </w:rPr>
        <w:t>’</w:t>
      </w:r>
      <w:r w:rsidRPr="002B6E68">
        <w:rPr>
          <w:lang w:val="fr-FR"/>
        </w:rPr>
        <w:t xml:space="preserve">il présentait deux contusions avec lacérations à la tête ainsi que des ecchymoses et des lésions </w:t>
      </w:r>
      <w:r>
        <w:rPr>
          <w:lang w:val="fr-FR"/>
        </w:rPr>
        <w:t>cutanées</w:t>
      </w:r>
      <w:r w:rsidRPr="002B6E68">
        <w:rPr>
          <w:lang w:val="fr-FR"/>
        </w:rPr>
        <w:t xml:space="preserve"> sur le côté droit de l</w:t>
      </w:r>
      <w:r w:rsidR="00390237">
        <w:rPr>
          <w:lang w:val="fr-FR"/>
        </w:rPr>
        <w:t>’</w:t>
      </w:r>
      <w:r w:rsidRPr="002B6E68">
        <w:rPr>
          <w:lang w:val="fr-FR"/>
        </w:rPr>
        <w:t>abdomen</w:t>
      </w:r>
      <w:r>
        <w:rPr>
          <w:lang w:val="fr-FR"/>
        </w:rPr>
        <w:t> </w:t>
      </w:r>
      <w:r w:rsidRPr="002B6E68">
        <w:rPr>
          <w:lang w:val="fr-FR"/>
        </w:rPr>
        <w:t xml:space="preserve">; </w:t>
      </w:r>
      <w:r>
        <w:rPr>
          <w:lang w:val="fr-FR"/>
        </w:rPr>
        <w:t xml:space="preserve">et </w:t>
      </w:r>
      <w:r w:rsidRPr="002B6E68">
        <w:rPr>
          <w:lang w:val="fr-FR"/>
        </w:rPr>
        <w:t>il a passé quatre jours à l</w:t>
      </w:r>
      <w:r w:rsidR="00390237">
        <w:rPr>
          <w:lang w:val="fr-FR"/>
        </w:rPr>
        <w:t>’</w:t>
      </w:r>
      <w:r w:rsidRPr="002B6E68">
        <w:rPr>
          <w:lang w:val="fr-FR"/>
        </w:rPr>
        <w:t>hôpital pour le traitement des blessures</w:t>
      </w:r>
      <w:r>
        <w:rPr>
          <w:lang w:val="fr-FR"/>
        </w:rPr>
        <w:t xml:space="preserve"> causées par les coups qu</w:t>
      </w:r>
      <w:r w:rsidR="00390237">
        <w:rPr>
          <w:lang w:val="fr-FR"/>
        </w:rPr>
        <w:t>’</w:t>
      </w:r>
      <w:r>
        <w:rPr>
          <w:lang w:val="fr-FR"/>
        </w:rPr>
        <w:t>il avait reçus</w:t>
      </w:r>
      <w:r w:rsidRPr="00BA7980">
        <w:rPr>
          <w:lang w:val="fr-FR"/>
        </w:rPr>
        <w:t>.</w:t>
      </w:r>
    </w:p>
    <w:p w14:paraId="2B2C9500" w14:textId="6F03CCE4" w:rsidR="00F85A35" w:rsidRPr="002B6E68" w:rsidRDefault="00F85A35" w:rsidP="00F85A35">
      <w:pPr>
        <w:pStyle w:val="SingleTxtG"/>
        <w:rPr>
          <w:lang w:val="fr-FR"/>
        </w:rPr>
      </w:pPr>
      <w:r w:rsidRPr="002B6E68">
        <w:rPr>
          <w:lang w:val="fr-FR"/>
        </w:rPr>
        <w:t>7</w:t>
      </w:r>
      <w:r w:rsidRPr="00BA7980">
        <w:rPr>
          <w:lang w:val="fr-FR"/>
        </w:rPr>
        <w:t>.</w:t>
      </w:r>
      <w:r w:rsidRPr="002B6E68">
        <w:rPr>
          <w:lang w:val="fr-FR"/>
        </w:rPr>
        <w:t>3</w:t>
      </w:r>
      <w:r w:rsidRPr="002B6E68">
        <w:rPr>
          <w:lang w:val="fr-FR"/>
        </w:rPr>
        <w:tab/>
        <w:t>Le Comité prend note de l</w:t>
      </w:r>
      <w:r w:rsidR="00390237">
        <w:rPr>
          <w:lang w:val="fr-FR"/>
        </w:rPr>
        <w:t>’</w:t>
      </w:r>
      <w:r w:rsidRPr="002B6E68">
        <w:rPr>
          <w:lang w:val="fr-FR"/>
        </w:rPr>
        <w:t>explication de l</w:t>
      </w:r>
      <w:r w:rsidR="00390237">
        <w:rPr>
          <w:lang w:val="fr-FR"/>
        </w:rPr>
        <w:t>’</w:t>
      </w:r>
      <w:r w:rsidRPr="002B6E68">
        <w:rPr>
          <w:lang w:val="fr-FR"/>
        </w:rPr>
        <w:t>État partie selon laquelle l</w:t>
      </w:r>
      <w:r w:rsidR="00390237">
        <w:rPr>
          <w:lang w:val="fr-FR"/>
        </w:rPr>
        <w:t>’</w:t>
      </w:r>
      <w:r w:rsidRPr="002B6E68">
        <w:rPr>
          <w:lang w:val="fr-FR"/>
        </w:rPr>
        <w:t xml:space="preserve">auteur a subi </w:t>
      </w:r>
      <w:r>
        <w:rPr>
          <w:lang w:val="fr-FR"/>
        </w:rPr>
        <w:t xml:space="preserve">un préjudice </w:t>
      </w:r>
      <w:r w:rsidRPr="002B6E68">
        <w:rPr>
          <w:lang w:val="fr-FR"/>
        </w:rPr>
        <w:t>corporel mineur dans le cadre d</w:t>
      </w:r>
      <w:r w:rsidR="00390237">
        <w:rPr>
          <w:lang w:val="fr-FR"/>
        </w:rPr>
        <w:t>’</w:t>
      </w:r>
      <w:r w:rsidRPr="002B6E68">
        <w:rPr>
          <w:lang w:val="fr-FR"/>
        </w:rPr>
        <w:t>une intervention policière visant à arrêter un trafiquant de drogue</w:t>
      </w:r>
      <w:r w:rsidRPr="00BA7980">
        <w:rPr>
          <w:lang w:val="fr-FR"/>
        </w:rPr>
        <w:t>.</w:t>
      </w:r>
      <w:r w:rsidRPr="002B6E68">
        <w:rPr>
          <w:lang w:val="fr-FR"/>
        </w:rPr>
        <w:t xml:space="preserve"> Il </w:t>
      </w:r>
      <w:r>
        <w:rPr>
          <w:lang w:val="fr-FR"/>
        </w:rPr>
        <w:t xml:space="preserve">prend également </w:t>
      </w:r>
      <w:r w:rsidRPr="002B6E68">
        <w:rPr>
          <w:lang w:val="fr-FR"/>
        </w:rPr>
        <w:t xml:space="preserve">note </w:t>
      </w:r>
      <w:r>
        <w:rPr>
          <w:lang w:val="fr-FR"/>
        </w:rPr>
        <w:t xml:space="preserve">des informations communiquées par </w:t>
      </w:r>
      <w:r w:rsidRPr="002B6E68">
        <w:rPr>
          <w:lang w:val="fr-FR"/>
        </w:rPr>
        <w:t>l</w:t>
      </w:r>
      <w:r w:rsidR="00390237">
        <w:rPr>
          <w:lang w:val="fr-FR"/>
        </w:rPr>
        <w:t>’</w:t>
      </w:r>
      <w:r w:rsidRPr="002B6E68">
        <w:rPr>
          <w:lang w:val="fr-FR"/>
        </w:rPr>
        <w:t>État partie</w:t>
      </w:r>
      <w:r>
        <w:rPr>
          <w:lang w:val="fr-FR"/>
        </w:rPr>
        <w:t xml:space="preserve"> indiquant qu</w:t>
      </w:r>
      <w:r w:rsidR="00390237">
        <w:rPr>
          <w:lang w:val="fr-FR"/>
        </w:rPr>
        <w:t>’</w:t>
      </w:r>
      <w:r>
        <w:rPr>
          <w:lang w:val="fr-FR"/>
        </w:rPr>
        <w:t xml:space="preserve">une </w:t>
      </w:r>
      <w:r w:rsidRPr="002B6E68">
        <w:rPr>
          <w:lang w:val="fr-FR"/>
        </w:rPr>
        <w:t xml:space="preserve">commission de discipline </w:t>
      </w:r>
      <w:r>
        <w:rPr>
          <w:lang w:val="fr-FR"/>
        </w:rPr>
        <w:t>a été constituée</w:t>
      </w:r>
      <w:r w:rsidRPr="002B6E68">
        <w:rPr>
          <w:lang w:val="fr-FR"/>
        </w:rPr>
        <w:t xml:space="preserve"> le 16 septembre 2005</w:t>
      </w:r>
      <w:r>
        <w:rPr>
          <w:lang w:val="fr-FR"/>
        </w:rPr>
        <w:t xml:space="preserve"> </w:t>
      </w:r>
      <w:r w:rsidRPr="002B6E68">
        <w:rPr>
          <w:lang w:val="fr-FR"/>
        </w:rPr>
        <w:t>sur ordre du Directeur du Département du Ministère de l</w:t>
      </w:r>
      <w:r w:rsidR="00390237">
        <w:rPr>
          <w:lang w:val="fr-FR"/>
        </w:rPr>
        <w:t>’</w:t>
      </w:r>
      <w:r w:rsidRPr="002B6E68">
        <w:rPr>
          <w:lang w:val="fr-FR"/>
        </w:rPr>
        <w:t xml:space="preserve">intérieur dans le district de </w:t>
      </w:r>
      <w:r w:rsidRPr="008B667D">
        <w:t>Kardzhali</w:t>
      </w:r>
      <w:r>
        <w:t>. Cette commission a conclu que</w:t>
      </w:r>
      <w:r w:rsidRPr="002B6E68">
        <w:rPr>
          <w:lang w:val="fr-FR"/>
        </w:rPr>
        <w:t xml:space="preserve"> les policiers </w:t>
      </w:r>
      <w:r>
        <w:rPr>
          <w:lang w:val="fr-FR"/>
        </w:rPr>
        <w:t>avaient</w:t>
      </w:r>
      <w:r w:rsidRPr="002B6E68">
        <w:rPr>
          <w:lang w:val="fr-FR"/>
        </w:rPr>
        <w:t xml:space="preserve"> </w:t>
      </w:r>
      <w:r>
        <w:rPr>
          <w:lang w:val="fr-FR"/>
        </w:rPr>
        <w:t>employé</w:t>
      </w:r>
      <w:r w:rsidRPr="002B6E68">
        <w:rPr>
          <w:lang w:val="fr-FR"/>
        </w:rPr>
        <w:t xml:space="preserve"> contre l</w:t>
      </w:r>
      <w:r w:rsidR="00390237">
        <w:rPr>
          <w:lang w:val="fr-FR"/>
        </w:rPr>
        <w:t>’</w:t>
      </w:r>
      <w:r w:rsidRPr="002B6E68">
        <w:rPr>
          <w:lang w:val="fr-FR"/>
        </w:rPr>
        <w:t>auteur</w:t>
      </w:r>
      <w:r>
        <w:rPr>
          <w:lang w:val="fr-FR"/>
        </w:rPr>
        <w:t xml:space="preserve"> une force physique disproportionnée et inutile</w:t>
      </w:r>
      <w:r w:rsidRPr="00BA7980">
        <w:rPr>
          <w:lang w:val="fr-FR"/>
        </w:rPr>
        <w:t>.</w:t>
      </w:r>
      <w:r>
        <w:rPr>
          <w:lang w:val="fr-FR"/>
        </w:rPr>
        <w:t xml:space="preserve"> Il prend de plus note des informations communiquées selon lesquelles, </w:t>
      </w:r>
      <w:r w:rsidRPr="002B6E68">
        <w:rPr>
          <w:lang w:val="fr-FR"/>
        </w:rPr>
        <w:t>au cours de l</w:t>
      </w:r>
      <w:r w:rsidR="00390237">
        <w:rPr>
          <w:lang w:val="fr-FR"/>
        </w:rPr>
        <w:t>’</w:t>
      </w:r>
      <w:r w:rsidRPr="002B6E68">
        <w:rPr>
          <w:lang w:val="fr-FR"/>
        </w:rPr>
        <w:t>enquête, l</w:t>
      </w:r>
      <w:r w:rsidR="00390237">
        <w:rPr>
          <w:lang w:val="fr-FR"/>
        </w:rPr>
        <w:t>’</w:t>
      </w:r>
      <w:r w:rsidRPr="002B6E68">
        <w:rPr>
          <w:lang w:val="fr-FR"/>
        </w:rPr>
        <w:t xml:space="preserve">auteur et </w:t>
      </w:r>
      <w:r>
        <w:rPr>
          <w:lang w:val="fr-FR"/>
        </w:rPr>
        <w:t xml:space="preserve">des témoins ont été entendus, </w:t>
      </w:r>
      <w:r w:rsidRPr="002B6E68">
        <w:rPr>
          <w:lang w:val="fr-FR"/>
        </w:rPr>
        <w:t>des rapports ont été demandés aux policiers concernés et le certificat médico-légal a été examiné</w:t>
      </w:r>
      <w:r>
        <w:rPr>
          <w:lang w:val="fr-FR"/>
        </w:rPr>
        <w:t>. La</w:t>
      </w:r>
      <w:r w:rsidR="00884F45">
        <w:rPr>
          <w:lang w:val="fr-FR"/>
        </w:rPr>
        <w:t> </w:t>
      </w:r>
      <w:r w:rsidRPr="002B6E68">
        <w:rPr>
          <w:lang w:val="fr-FR"/>
        </w:rPr>
        <w:t xml:space="preserve">commission de discipline a établi que les deux policiers </w:t>
      </w:r>
      <w:r>
        <w:rPr>
          <w:lang w:val="fr-FR"/>
        </w:rPr>
        <w:t>ne s</w:t>
      </w:r>
      <w:r w:rsidR="00390237">
        <w:rPr>
          <w:lang w:val="fr-FR"/>
        </w:rPr>
        <w:t>’</w:t>
      </w:r>
      <w:r>
        <w:rPr>
          <w:lang w:val="fr-FR"/>
        </w:rPr>
        <w:t xml:space="preserve">étaient pas assuré </w:t>
      </w:r>
      <w:r w:rsidRPr="002B6E68">
        <w:rPr>
          <w:lang w:val="fr-FR"/>
        </w:rPr>
        <w:t>que l</w:t>
      </w:r>
      <w:r w:rsidR="00390237">
        <w:rPr>
          <w:lang w:val="fr-FR"/>
        </w:rPr>
        <w:t>’</w:t>
      </w:r>
      <w:r w:rsidRPr="002B6E68">
        <w:rPr>
          <w:lang w:val="fr-FR"/>
        </w:rPr>
        <w:t>auteur avait compris qu</w:t>
      </w:r>
      <w:r w:rsidR="00390237">
        <w:rPr>
          <w:lang w:val="fr-FR"/>
        </w:rPr>
        <w:t>’</w:t>
      </w:r>
      <w:r w:rsidRPr="002B6E68">
        <w:rPr>
          <w:lang w:val="fr-FR"/>
        </w:rPr>
        <w:t xml:space="preserve">ils étaient des </w:t>
      </w:r>
      <w:r>
        <w:rPr>
          <w:lang w:val="fr-FR"/>
        </w:rPr>
        <w:t xml:space="preserve">policiers </w:t>
      </w:r>
      <w:r w:rsidRPr="002B6E68">
        <w:rPr>
          <w:lang w:val="fr-FR"/>
        </w:rPr>
        <w:t>et avaient employé une force qui n</w:t>
      </w:r>
      <w:r w:rsidR="00390237">
        <w:rPr>
          <w:lang w:val="fr-FR"/>
        </w:rPr>
        <w:t>’</w:t>
      </w:r>
      <w:r w:rsidRPr="002B6E68">
        <w:rPr>
          <w:lang w:val="fr-FR"/>
        </w:rPr>
        <w:t xml:space="preserve">était </w:t>
      </w:r>
      <w:r>
        <w:rPr>
          <w:lang w:val="fr-FR"/>
        </w:rPr>
        <w:t xml:space="preserve">pas </w:t>
      </w:r>
      <w:r w:rsidRPr="002B6E68">
        <w:rPr>
          <w:lang w:val="fr-FR"/>
        </w:rPr>
        <w:t xml:space="preserve">proportionnée </w:t>
      </w:r>
      <w:r>
        <w:rPr>
          <w:lang w:val="fr-FR"/>
        </w:rPr>
        <w:t xml:space="preserve">par rapport </w:t>
      </w:r>
      <w:r w:rsidRPr="002B6E68">
        <w:rPr>
          <w:lang w:val="fr-FR"/>
        </w:rPr>
        <w:t>à la situation</w:t>
      </w:r>
      <w:r>
        <w:rPr>
          <w:lang w:val="fr-FR"/>
        </w:rPr>
        <w:t> ;</w:t>
      </w:r>
      <w:r w:rsidRPr="002B6E68">
        <w:rPr>
          <w:lang w:val="fr-FR"/>
        </w:rPr>
        <w:t xml:space="preserve"> des sanctions disciplinaires ont en conséquence été </w:t>
      </w:r>
      <w:r>
        <w:rPr>
          <w:lang w:val="fr-FR"/>
        </w:rPr>
        <w:t>prises à leur encontre</w:t>
      </w:r>
      <w:r w:rsidRPr="00BA7980">
        <w:rPr>
          <w:lang w:val="fr-FR"/>
        </w:rPr>
        <w:t>.</w:t>
      </w:r>
    </w:p>
    <w:p w14:paraId="685CDD9D" w14:textId="3C0AA5D6" w:rsidR="00F85A35" w:rsidRPr="002B6E68" w:rsidRDefault="00F85A35" w:rsidP="00F85A35">
      <w:pPr>
        <w:pStyle w:val="SingleTxtG"/>
        <w:rPr>
          <w:lang w:val="fr-FR"/>
        </w:rPr>
      </w:pPr>
      <w:r w:rsidRPr="002B6E68">
        <w:rPr>
          <w:lang w:val="fr-FR"/>
        </w:rPr>
        <w:t>7</w:t>
      </w:r>
      <w:r w:rsidRPr="00BA7980">
        <w:rPr>
          <w:lang w:val="fr-FR"/>
        </w:rPr>
        <w:t>.</w:t>
      </w:r>
      <w:r w:rsidRPr="002B6E68">
        <w:rPr>
          <w:lang w:val="fr-FR"/>
        </w:rPr>
        <w:t>4</w:t>
      </w:r>
      <w:r w:rsidRPr="002B6E68">
        <w:rPr>
          <w:lang w:val="fr-FR"/>
        </w:rPr>
        <w:tab/>
        <w:t>Le Comité note qu</w:t>
      </w:r>
      <w:r w:rsidR="00390237">
        <w:rPr>
          <w:lang w:val="fr-FR"/>
        </w:rPr>
        <w:t>’</w:t>
      </w:r>
      <w:r w:rsidRPr="002B6E68">
        <w:rPr>
          <w:lang w:val="fr-FR"/>
        </w:rPr>
        <w:t xml:space="preserve">une procédure pénale a ensuite été engagée contre les deux policiers concernés, </w:t>
      </w:r>
      <w:r>
        <w:rPr>
          <w:lang w:val="fr-FR"/>
        </w:rPr>
        <w:t>à l</w:t>
      </w:r>
      <w:r w:rsidR="00390237">
        <w:rPr>
          <w:lang w:val="fr-FR"/>
        </w:rPr>
        <w:t>’</w:t>
      </w:r>
      <w:r>
        <w:rPr>
          <w:lang w:val="fr-FR"/>
        </w:rPr>
        <w:t>issue de laquelle</w:t>
      </w:r>
      <w:r w:rsidRPr="002B6E68">
        <w:rPr>
          <w:lang w:val="fr-FR"/>
        </w:rPr>
        <w:t xml:space="preserve"> la Cour militaire d</w:t>
      </w:r>
      <w:r w:rsidR="00390237">
        <w:rPr>
          <w:lang w:val="fr-FR"/>
        </w:rPr>
        <w:t>’</w:t>
      </w:r>
      <w:r w:rsidRPr="002B6E68">
        <w:rPr>
          <w:lang w:val="fr-FR"/>
        </w:rPr>
        <w:t xml:space="preserve">appel </w:t>
      </w:r>
      <w:r>
        <w:rPr>
          <w:lang w:val="fr-FR"/>
        </w:rPr>
        <w:t xml:space="preserve">a confirmé </w:t>
      </w:r>
      <w:r w:rsidRPr="002B6E68">
        <w:rPr>
          <w:lang w:val="fr-FR"/>
        </w:rPr>
        <w:t xml:space="preserve">le jugement par lequel le tribunal militaire de Plovdiv </w:t>
      </w:r>
      <w:r>
        <w:rPr>
          <w:lang w:val="fr-FR"/>
        </w:rPr>
        <w:t xml:space="preserve">les </w:t>
      </w:r>
      <w:r w:rsidRPr="002B6E68">
        <w:rPr>
          <w:lang w:val="fr-FR"/>
        </w:rPr>
        <w:t xml:space="preserve">avait </w:t>
      </w:r>
      <w:r>
        <w:rPr>
          <w:lang w:val="fr-FR"/>
        </w:rPr>
        <w:t>relaxés</w:t>
      </w:r>
      <w:r w:rsidRPr="00BA7980">
        <w:rPr>
          <w:lang w:val="fr-FR"/>
        </w:rPr>
        <w:t>.</w:t>
      </w:r>
      <w:r w:rsidRPr="002B6E68">
        <w:rPr>
          <w:lang w:val="fr-FR"/>
        </w:rPr>
        <w:t xml:space="preserve"> Il </w:t>
      </w:r>
      <w:r>
        <w:rPr>
          <w:lang w:val="fr-FR"/>
        </w:rPr>
        <w:t xml:space="preserve">prend également </w:t>
      </w:r>
      <w:r w:rsidRPr="002B6E68">
        <w:rPr>
          <w:lang w:val="fr-FR"/>
        </w:rPr>
        <w:t xml:space="preserve">note </w:t>
      </w:r>
      <w:r>
        <w:rPr>
          <w:lang w:val="fr-FR"/>
        </w:rPr>
        <w:t xml:space="preserve">de </w:t>
      </w:r>
      <w:r w:rsidRPr="002B6E68">
        <w:rPr>
          <w:lang w:val="fr-FR"/>
        </w:rPr>
        <w:t>l</w:t>
      </w:r>
      <w:r w:rsidR="00390237">
        <w:rPr>
          <w:lang w:val="fr-FR"/>
        </w:rPr>
        <w:t>’</w:t>
      </w:r>
      <w:r w:rsidRPr="002B6E68">
        <w:rPr>
          <w:lang w:val="fr-FR"/>
        </w:rPr>
        <w:t>argument de l</w:t>
      </w:r>
      <w:r w:rsidR="00390237">
        <w:rPr>
          <w:lang w:val="fr-FR"/>
        </w:rPr>
        <w:t>’</w:t>
      </w:r>
      <w:r w:rsidRPr="002B6E68">
        <w:rPr>
          <w:lang w:val="fr-FR"/>
        </w:rPr>
        <w:t xml:space="preserve">État partie selon lequel </w:t>
      </w:r>
      <w:r>
        <w:rPr>
          <w:lang w:val="fr-FR"/>
        </w:rPr>
        <w:t xml:space="preserve">on ne saurait subordonner </w:t>
      </w:r>
      <w:r w:rsidRPr="002B6E68">
        <w:rPr>
          <w:lang w:val="fr-FR"/>
        </w:rPr>
        <w:t>la satisfaction</w:t>
      </w:r>
      <w:r>
        <w:rPr>
          <w:lang w:val="fr-FR"/>
        </w:rPr>
        <w:t xml:space="preserve"> à</w:t>
      </w:r>
      <w:r w:rsidRPr="002B6E68">
        <w:rPr>
          <w:lang w:val="fr-FR"/>
        </w:rPr>
        <w:t xml:space="preserve"> l</w:t>
      </w:r>
      <w:r w:rsidR="00390237">
        <w:rPr>
          <w:lang w:val="fr-FR"/>
        </w:rPr>
        <w:t>’</w:t>
      </w:r>
      <w:r w:rsidRPr="002B6E68">
        <w:rPr>
          <w:lang w:val="fr-FR"/>
        </w:rPr>
        <w:t xml:space="preserve">exigence </w:t>
      </w:r>
      <w:r>
        <w:rPr>
          <w:lang w:val="fr-FR"/>
        </w:rPr>
        <w:t>d</w:t>
      </w:r>
      <w:r w:rsidR="00390237">
        <w:rPr>
          <w:lang w:val="fr-FR"/>
        </w:rPr>
        <w:t>’</w:t>
      </w:r>
      <w:r>
        <w:rPr>
          <w:lang w:val="fr-FR"/>
        </w:rPr>
        <w:t xml:space="preserve">un </w:t>
      </w:r>
      <w:r w:rsidRPr="002B6E68">
        <w:rPr>
          <w:lang w:val="fr-FR"/>
        </w:rPr>
        <w:t xml:space="preserve">recours </w:t>
      </w:r>
      <w:r>
        <w:rPr>
          <w:lang w:val="fr-FR"/>
        </w:rPr>
        <w:t xml:space="preserve">utile au regard du Pacte </w:t>
      </w:r>
      <w:r w:rsidRPr="002B6E68">
        <w:rPr>
          <w:lang w:val="fr-FR"/>
        </w:rPr>
        <w:t>à l</w:t>
      </w:r>
      <w:r w:rsidR="00390237">
        <w:rPr>
          <w:lang w:val="fr-FR"/>
        </w:rPr>
        <w:t>’</w:t>
      </w:r>
      <w:r w:rsidRPr="002B6E68">
        <w:rPr>
          <w:lang w:val="fr-FR"/>
        </w:rPr>
        <w:t>obtention d</w:t>
      </w:r>
      <w:r w:rsidR="00390237">
        <w:rPr>
          <w:lang w:val="fr-FR"/>
        </w:rPr>
        <w:t>’</w:t>
      </w:r>
      <w:r w:rsidRPr="002B6E68">
        <w:rPr>
          <w:lang w:val="fr-FR"/>
        </w:rPr>
        <w:t xml:space="preserve">un résultat </w:t>
      </w:r>
      <w:r>
        <w:rPr>
          <w:lang w:val="fr-FR"/>
        </w:rPr>
        <w:t>spécifique</w:t>
      </w:r>
      <w:r w:rsidRPr="00BA7980">
        <w:rPr>
          <w:lang w:val="fr-FR"/>
        </w:rPr>
        <w:t>.</w:t>
      </w:r>
      <w:r w:rsidRPr="002B6E68">
        <w:rPr>
          <w:lang w:val="fr-FR"/>
        </w:rPr>
        <w:t xml:space="preserve"> </w:t>
      </w:r>
      <w:r>
        <w:rPr>
          <w:lang w:val="fr-FR"/>
        </w:rPr>
        <w:t>Le Comité estime toutefois que la relaxe des policiers en cause n</w:t>
      </w:r>
      <w:r w:rsidR="00390237">
        <w:rPr>
          <w:lang w:val="fr-FR"/>
        </w:rPr>
        <w:t>’</w:t>
      </w:r>
      <w:r>
        <w:rPr>
          <w:lang w:val="fr-FR"/>
        </w:rPr>
        <w:t>implique pas nécessairement que les mauvais traitements effectivement subis par l</w:t>
      </w:r>
      <w:r w:rsidR="00390237">
        <w:rPr>
          <w:lang w:val="fr-FR"/>
        </w:rPr>
        <w:t>’</w:t>
      </w:r>
      <w:r>
        <w:rPr>
          <w:lang w:val="fr-FR"/>
        </w:rPr>
        <w:t>auteur aux mains de la police − que l</w:t>
      </w:r>
      <w:r w:rsidR="00390237">
        <w:rPr>
          <w:lang w:val="fr-FR"/>
        </w:rPr>
        <w:t>’</w:t>
      </w:r>
      <w:r>
        <w:rPr>
          <w:lang w:val="fr-FR"/>
        </w:rPr>
        <w:t xml:space="preserve">État partie ne conteste pas et dont la réalité a été dûment confirmée par la commission de discipline constituée sur ordre du Directeur du Département du </w:t>
      </w:r>
      <w:r w:rsidRPr="002B6E68">
        <w:rPr>
          <w:lang w:val="fr-FR"/>
        </w:rPr>
        <w:t>Ministère de l</w:t>
      </w:r>
      <w:r w:rsidR="00390237">
        <w:rPr>
          <w:lang w:val="fr-FR"/>
        </w:rPr>
        <w:t>’</w:t>
      </w:r>
      <w:r w:rsidRPr="002B6E68">
        <w:rPr>
          <w:lang w:val="fr-FR"/>
        </w:rPr>
        <w:t xml:space="preserve">intérieur dans le district de </w:t>
      </w:r>
      <w:r w:rsidRPr="008B667D">
        <w:t>Kardzhali</w:t>
      </w:r>
      <w:r>
        <w:rPr>
          <w:lang w:val="fr-FR"/>
        </w:rPr>
        <w:t> − ne sont pas contraires à l</w:t>
      </w:r>
      <w:r w:rsidR="00390237">
        <w:rPr>
          <w:lang w:val="fr-FR"/>
        </w:rPr>
        <w:t>’</w:t>
      </w:r>
      <w:r>
        <w:rPr>
          <w:lang w:val="fr-FR"/>
        </w:rPr>
        <w:t>article</w:t>
      </w:r>
      <w:r w:rsidR="00884F45">
        <w:rPr>
          <w:lang w:val="fr-FR"/>
        </w:rPr>
        <w:t> </w:t>
      </w:r>
      <w:r>
        <w:rPr>
          <w:lang w:val="fr-FR"/>
        </w:rPr>
        <w:t>7 du Pacte</w:t>
      </w:r>
      <w:r w:rsidRPr="00BA7980">
        <w:rPr>
          <w:lang w:val="fr-FR"/>
        </w:rPr>
        <w:t>.</w:t>
      </w:r>
    </w:p>
    <w:p w14:paraId="4DAECE37" w14:textId="40E8E7D7" w:rsidR="00F85A35" w:rsidRPr="002B6E68" w:rsidRDefault="00F85A35" w:rsidP="00F85A35">
      <w:pPr>
        <w:pStyle w:val="SingleTxtG"/>
        <w:rPr>
          <w:lang w:val="fr-FR"/>
        </w:rPr>
      </w:pPr>
      <w:r w:rsidRPr="002B6E68">
        <w:rPr>
          <w:lang w:val="fr-FR"/>
        </w:rPr>
        <w:t>7</w:t>
      </w:r>
      <w:r w:rsidRPr="00BA7980">
        <w:rPr>
          <w:lang w:val="fr-FR"/>
        </w:rPr>
        <w:t>.</w:t>
      </w:r>
      <w:r w:rsidRPr="002B6E68">
        <w:rPr>
          <w:lang w:val="fr-FR"/>
        </w:rPr>
        <w:t>5</w:t>
      </w:r>
      <w:r w:rsidRPr="002B6E68">
        <w:rPr>
          <w:lang w:val="fr-FR"/>
        </w:rPr>
        <w:tab/>
        <w:t>Le Comité rappelle que l</w:t>
      </w:r>
      <w:r w:rsidR="00390237">
        <w:rPr>
          <w:lang w:val="fr-FR"/>
        </w:rPr>
        <w:t>’</w:t>
      </w:r>
      <w:r w:rsidRPr="002B6E68">
        <w:rPr>
          <w:lang w:val="fr-FR"/>
        </w:rPr>
        <w:t>emploi de la force par la police, qui peut se justifier dans certaines circonstances, peut être considéré comme contraire à l</w:t>
      </w:r>
      <w:r w:rsidR="00390237">
        <w:rPr>
          <w:lang w:val="fr-FR"/>
        </w:rPr>
        <w:t>’</w:t>
      </w:r>
      <w:r w:rsidRPr="002B6E68">
        <w:rPr>
          <w:lang w:val="fr-FR"/>
        </w:rPr>
        <w:t>article</w:t>
      </w:r>
      <w:r w:rsidR="0053276D">
        <w:rPr>
          <w:lang w:val="fr-FR"/>
        </w:rPr>
        <w:t> </w:t>
      </w:r>
      <w:r w:rsidRPr="002B6E68">
        <w:rPr>
          <w:lang w:val="fr-FR"/>
        </w:rPr>
        <w:t>7 dans des circonstances où la force dont il est fait usage est jugée excessive</w:t>
      </w:r>
      <w:r w:rsidRPr="00454BD4">
        <w:rPr>
          <w:rStyle w:val="Appelnotedebasdep"/>
        </w:rPr>
        <w:footnoteReference w:id="23"/>
      </w:r>
      <w:r w:rsidRPr="00BA7980">
        <w:rPr>
          <w:lang w:val="fr-FR"/>
        </w:rPr>
        <w:t>.</w:t>
      </w:r>
      <w:r w:rsidRPr="002B6E68">
        <w:rPr>
          <w:lang w:val="fr-FR"/>
        </w:rPr>
        <w:t xml:space="preserve"> Il renvoie au paragraphe</w:t>
      </w:r>
      <w:r w:rsidR="0053276D">
        <w:rPr>
          <w:lang w:val="fr-FR"/>
        </w:rPr>
        <w:t> </w:t>
      </w:r>
      <w:r w:rsidRPr="002B6E68">
        <w:rPr>
          <w:lang w:val="fr-FR"/>
        </w:rPr>
        <w:t>4 des Principes de base sur le recours à la force et l</w:t>
      </w:r>
      <w:r w:rsidR="00390237">
        <w:rPr>
          <w:lang w:val="fr-FR"/>
        </w:rPr>
        <w:t>’</w:t>
      </w:r>
      <w:r w:rsidRPr="002B6E68">
        <w:rPr>
          <w:lang w:val="fr-FR"/>
        </w:rPr>
        <w:t>utilisation des armes à feu par les responsables de l</w:t>
      </w:r>
      <w:r w:rsidR="00390237">
        <w:rPr>
          <w:lang w:val="fr-FR"/>
        </w:rPr>
        <w:t>’</w:t>
      </w:r>
      <w:r w:rsidRPr="002B6E68">
        <w:rPr>
          <w:lang w:val="fr-FR"/>
        </w:rPr>
        <w:t>application des lois, qui dispose que les responsables de l</w:t>
      </w:r>
      <w:r w:rsidR="00390237">
        <w:rPr>
          <w:lang w:val="fr-FR"/>
        </w:rPr>
        <w:t>’</w:t>
      </w:r>
      <w:r w:rsidRPr="002B6E68">
        <w:rPr>
          <w:lang w:val="fr-FR"/>
        </w:rPr>
        <w:t>application des lois, dans l</w:t>
      </w:r>
      <w:r w:rsidR="00390237">
        <w:rPr>
          <w:lang w:val="fr-FR"/>
        </w:rPr>
        <w:t>’</w:t>
      </w:r>
      <w:r w:rsidRPr="002B6E68">
        <w:rPr>
          <w:lang w:val="fr-FR"/>
        </w:rPr>
        <w:t>accomplissement de leurs fonctions, auront recours autant que possible à des moyens non violents avant de faire usage de la force</w:t>
      </w:r>
      <w:r w:rsidRPr="00BA7980">
        <w:rPr>
          <w:lang w:val="fr-FR"/>
        </w:rPr>
        <w:t>.</w:t>
      </w:r>
    </w:p>
    <w:p w14:paraId="4629E953" w14:textId="210711E8" w:rsidR="00F85A35" w:rsidRDefault="00F85A35" w:rsidP="00F85A35">
      <w:pPr>
        <w:pStyle w:val="SingleTxtG"/>
        <w:rPr>
          <w:lang w:val="fr-FR"/>
        </w:rPr>
      </w:pPr>
      <w:r w:rsidRPr="002B6E68">
        <w:rPr>
          <w:lang w:val="fr-FR"/>
        </w:rPr>
        <w:t>7</w:t>
      </w:r>
      <w:r w:rsidRPr="00BA7980">
        <w:rPr>
          <w:lang w:val="fr-FR"/>
        </w:rPr>
        <w:t>.</w:t>
      </w:r>
      <w:r w:rsidRPr="002B6E68">
        <w:rPr>
          <w:lang w:val="fr-FR"/>
        </w:rPr>
        <w:t>6</w:t>
      </w:r>
      <w:r w:rsidRPr="002B6E68">
        <w:rPr>
          <w:lang w:val="fr-FR"/>
        </w:rPr>
        <w:tab/>
        <w:t xml:space="preserve">Le Comité rappelle </w:t>
      </w:r>
      <w:r>
        <w:rPr>
          <w:lang w:val="fr-FR"/>
        </w:rPr>
        <w:t>également</w:t>
      </w:r>
      <w:r w:rsidRPr="002B6E68">
        <w:rPr>
          <w:lang w:val="fr-FR"/>
        </w:rPr>
        <w:t xml:space="preserve"> que l</w:t>
      </w:r>
      <w:r w:rsidR="00390237">
        <w:rPr>
          <w:lang w:val="fr-FR"/>
        </w:rPr>
        <w:t>’</w:t>
      </w:r>
      <w:r w:rsidRPr="002B6E68">
        <w:rPr>
          <w:lang w:val="fr-FR"/>
        </w:rPr>
        <w:t>article 7 du Pacte a pour but de protéger la dignité et l</w:t>
      </w:r>
      <w:r w:rsidR="00390237">
        <w:rPr>
          <w:lang w:val="fr-FR"/>
        </w:rPr>
        <w:t>’</w:t>
      </w:r>
      <w:r w:rsidRPr="002B6E68">
        <w:rPr>
          <w:lang w:val="fr-FR"/>
        </w:rPr>
        <w:t>intégrité physique et mentale de l</w:t>
      </w:r>
      <w:r w:rsidR="00390237">
        <w:rPr>
          <w:lang w:val="fr-FR"/>
        </w:rPr>
        <w:t>’</w:t>
      </w:r>
      <w:r w:rsidRPr="002B6E68">
        <w:rPr>
          <w:lang w:val="fr-FR"/>
        </w:rPr>
        <w:t>individu</w:t>
      </w:r>
      <w:r>
        <w:rPr>
          <w:lang w:val="fr-FR"/>
        </w:rPr>
        <w:t xml:space="preserve"> contre les atteintes tant intentionnelles que non intentionnelles</w:t>
      </w:r>
      <w:r w:rsidRPr="00454BD4">
        <w:rPr>
          <w:rStyle w:val="Appelnotedebasdep"/>
        </w:rPr>
        <w:footnoteReference w:id="24"/>
      </w:r>
      <w:r w:rsidRPr="00BA7980">
        <w:rPr>
          <w:lang w:val="fr-FR"/>
        </w:rPr>
        <w:t>.</w:t>
      </w:r>
      <w:r w:rsidRPr="002B6E68">
        <w:rPr>
          <w:lang w:val="fr-FR"/>
        </w:rPr>
        <w:t xml:space="preserve"> À cet égard, le Comité note que les allégations de l</w:t>
      </w:r>
      <w:r w:rsidR="00390237">
        <w:rPr>
          <w:lang w:val="fr-FR"/>
        </w:rPr>
        <w:t>’</w:t>
      </w:r>
      <w:r w:rsidRPr="002B6E68">
        <w:rPr>
          <w:lang w:val="fr-FR"/>
        </w:rPr>
        <w:t>auteur concernant les violences subies aux mains de la police sont très détaillées et étayées par un rapport médical</w:t>
      </w:r>
      <w:r w:rsidRPr="00454BD4">
        <w:rPr>
          <w:rStyle w:val="Appelnotedebasdep"/>
        </w:rPr>
        <w:footnoteReference w:id="25"/>
      </w:r>
      <w:r>
        <w:rPr>
          <w:lang w:val="fr-FR"/>
        </w:rPr>
        <w:t> </w:t>
      </w:r>
      <w:r w:rsidRPr="002B6E68">
        <w:rPr>
          <w:lang w:val="fr-FR"/>
        </w:rPr>
        <w:t xml:space="preserve">; que les faits ont été </w:t>
      </w:r>
      <w:r>
        <w:rPr>
          <w:lang w:val="fr-FR"/>
        </w:rPr>
        <w:t xml:space="preserve">reconnus </w:t>
      </w:r>
      <w:r w:rsidRPr="002B6E68">
        <w:rPr>
          <w:lang w:val="fr-FR"/>
        </w:rPr>
        <w:t>par l</w:t>
      </w:r>
      <w:r w:rsidR="00390237">
        <w:rPr>
          <w:lang w:val="fr-FR"/>
        </w:rPr>
        <w:t>’</w:t>
      </w:r>
      <w:r w:rsidRPr="002B6E68">
        <w:rPr>
          <w:lang w:val="fr-FR"/>
        </w:rPr>
        <w:t>État partie</w:t>
      </w:r>
      <w:r>
        <w:rPr>
          <w:lang w:val="fr-FR"/>
        </w:rPr>
        <w:t> </w:t>
      </w:r>
      <w:r w:rsidRPr="002B6E68">
        <w:rPr>
          <w:lang w:val="fr-FR"/>
        </w:rPr>
        <w:t xml:space="preserve">; </w:t>
      </w:r>
      <w:r>
        <w:rPr>
          <w:lang w:val="fr-FR"/>
        </w:rPr>
        <w:t>qu</w:t>
      </w:r>
      <w:r w:rsidR="00390237">
        <w:rPr>
          <w:lang w:val="fr-FR"/>
        </w:rPr>
        <w:t>’</w:t>
      </w:r>
      <w:r>
        <w:rPr>
          <w:lang w:val="fr-FR"/>
        </w:rPr>
        <w:t xml:space="preserve">en raison de </w:t>
      </w:r>
      <w:r w:rsidRPr="002B6E68">
        <w:rPr>
          <w:lang w:val="fr-FR"/>
        </w:rPr>
        <w:t xml:space="preserve">la gravité des blessures </w:t>
      </w:r>
      <w:r>
        <w:rPr>
          <w:lang w:val="fr-FR"/>
        </w:rPr>
        <w:t>qui lui ont été causées</w:t>
      </w:r>
      <w:r w:rsidRPr="002B6E68">
        <w:rPr>
          <w:lang w:val="fr-FR"/>
        </w:rPr>
        <w:t xml:space="preserve">, en particulier à la tête, </w:t>
      </w:r>
      <w:r>
        <w:rPr>
          <w:lang w:val="fr-FR"/>
        </w:rPr>
        <w:t>l</w:t>
      </w:r>
      <w:r w:rsidR="00390237">
        <w:rPr>
          <w:lang w:val="fr-FR"/>
        </w:rPr>
        <w:t>’</w:t>
      </w:r>
      <w:r>
        <w:rPr>
          <w:lang w:val="fr-FR"/>
        </w:rPr>
        <w:t xml:space="preserve">auteur a dû être hospitalisé pendant </w:t>
      </w:r>
      <w:r w:rsidRPr="002B6E68">
        <w:rPr>
          <w:lang w:val="fr-FR"/>
        </w:rPr>
        <w:t>quatre jours</w:t>
      </w:r>
      <w:r>
        <w:rPr>
          <w:lang w:val="fr-FR"/>
        </w:rPr>
        <w:t> </w:t>
      </w:r>
      <w:r w:rsidRPr="002B6E68">
        <w:rPr>
          <w:lang w:val="fr-FR"/>
        </w:rPr>
        <w:t>; qu</w:t>
      </w:r>
      <w:r w:rsidR="00390237">
        <w:rPr>
          <w:lang w:val="fr-FR"/>
        </w:rPr>
        <w:t>’</w:t>
      </w:r>
      <w:r w:rsidRPr="002B6E68">
        <w:rPr>
          <w:lang w:val="fr-FR"/>
        </w:rPr>
        <w:t xml:space="preserve">une commission </w:t>
      </w:r>
      <w:r>
        <w:rPr>
          <w:lang w:val="fr-FR"/>
        </w:rPr>
        <w:t>de discipline</w:t>
      </w:r>
      <w:r w:rsidRPr="002B6E68">
        <w:rPr>
          <w:lang w:val="fr-FR"/>
        </w:rPr>
        <w:t xml:space="preserve"> a jugé que les policiers </w:t>
      </w:r>
      <w:r>
        <w:rPr>
          <w:lang w:val="fr-FR"/>
        </w:rPr>
        <w:t>ne s</w:t>
      </w:r>
      <w:r w:rsidR="00390237">
        <w:rPr>
          <w:lang w:val="fr-FR"/>
        </w:rPr>
        <w:t>’</w:t>
      </w:r>
      <w:r>
        <w:rPr>
          <w:lang w:val="fr-FR"/>
        </w:rPr>
        <w:t>étaient pas présentés comme tels à l</w:t>
      </w:r>
      <w:r w:rsidR="00390237">
        <w:rPr>
          <w:lang w:val="fr-FR"/>
        </w:rPr>
        <w:t>’</w:t>
      </w:r>
      <w:r>
        <w:rPr>
          <w:lang w:val="fr-FR"/>
        </w:rPr>
        <w:t xml:space="preserve">auteur et </w:t>
      </w:r>
      <w:r w:rsidRPr="002B6E68">
        <w:rPr>
          <w:lang w:val="fr-FR"/>
        </w:rPr>
        <w:t xml:space="preserve">avaient </w:t>
      </w:r>
      <w:r>
        <w:rPr>
          <w:lang w:val="fr-FR"/>
        </w:rPr>
        <w:t>fait usage à son encontre d</w:t>
      </w:r>
      <w:r w:rsidR="00390237">
        <w:rPr>
          <w:lang w:val="fr-FR"/>
        </w:rPr>
        <w:t>’</w:t>
      </w:r>
      <w:r w:rsidRPr="002B6E68">
        <w:rPr>
          <w:lang w:val="fr-FR"/>
        </w:rPr>
        <w:t xml:space="preserve">une force disproportionnée </w:t>
      </w:r>
      <w:r>
        <w:rPr>
          <w:lang w:val="fr-FR"/>
        </w:rPr>
        <w:t>et inutile</w:t>
      </w:r>
      <w:r w:rsidRPr="00BA7980">
        <w:rPr>
          <w:lang w:val="fr-FR"/>
        </w:rPr>
        <w:t>.</w:t>
      </w:r>
      <w:r w:rsidRPr="002B6E68">
        <w:rPr>
          <w:lang w:val="fr-FR"/>
        </w:rPr>
        <w:t xml:space="preserve"> </w:t>
      </w:r>
      <w:r>
        <w:rPr>
          <w:lang w:val="fr-FR"/>
        </w:rPr>
        <w:t>Constatant que la commission de discipline constituée par le Ministère de l</w:t>
      </w:r>
      <w:r w:rsidR="00390237">
        <w:rPr>
          <w:lang w:val="fr-FR"/>
        </w:rPr>
        <w:t>’</w:t>
      </w:r>
      <w:r>
        <w:rPr>
          <w:lang w:val="fr-FR"/>
        </w:rPr>
        <w:t>intérieur de l</w:t>
      </w:r>
      <w:r w:rsidR="00390237">
        <w:rPr>
          <w:lang w:val="fr-FR"/>
        </w:rPr>
        <w:t>’</w:t>
      </w:r>
      <w:r>
        <w:rPr>
          <w:lang w:val="fr-FR"/>
        </w:rPr>
        <w:t>État partie n</w:t>
      </w:r>
      <w:r w:rsidR="00390237">
        <w:rPr>
          <w:lang w:val="fr-FR"/>
        </w:rPr>
        <w:t>’</w:t>
      </w:r>
      <w:r>
        <w:rPr>
          <w:lang w:val="fr-FR"/>
        </w:rPr>
        <w:t>a pas contesté que les violences dont l</w:t>
      </w:r>
      <w:r w:rsidR="00390237">
        <w:rPr>
          <w:lang w:val="fr-FR"/>
        </w:rPr>
        <w:t>’</w:t>
      </w:r>
      <w:r>
        <w:rPr>
          <w:lang w:val="fr-FR"/>
        </w:rPr>
        <w:t>auteur avait fait l</w:t>
      </w:r>
      <w:r w:rsidR="00390237">
        <w:rPr>
          <w:lang w:val="fr-FR"/>
        </w:rPr>
        <w:t>’</w:t>
      </w:r>
      <w:r>
        <w:rPr>
          <w:lang w:val="fr-FR"/>
        </w:rPr>
        <w:t>objet aux mains de la police constituaient un traitement contraire à l</w:t>
      </w:r>
      <w:r w:rsidR="00390237">
        <w:rPr>
          <w:lang w:val="fr-FR"/>
        </w:rPr>
        <w:t>’</w:t>
      </w:r>
      <w:r>
        <w:rPr>
          <w:lang w:val="fr-FR"/>
        </w:rPr>
        <w:t>article</w:t>
      </w:r>
      <w:r w:rsidR="0053276D">
        <w:rPr>
          <w:lang w:val="fr-FR"/>
        </w:rPr>
        <w:t> </w:t>
      </w:r>
      <w:r>
        <w:rPr>
          <w:lang w:val="fr-FR"/>
        </w:rPr>
        <w:t>7 du Pacte,</w:t>
      </w:r>
      <w:r w:rsidRPr="002B6E68">
        <w:rPr>
          <w:lang w:val="fr-FR"/>
        </w:rPr>
        <w:t xml:space="preserve"> le Comité </w:t>
      </w:r>
      <w:r>
        <w:rPr>
          <w:lang w:val="fr-FR"/>
        </w:rPr>
        <w:t>estime</w:t>
      </w:r>
      <w:r w:rsidRPr="002B6E68">
        <w:rPr>
          <w:lang w:val="fr-FR"/>
        </w:rPr>
        <w:t xml:space="preserve"> qu</w:t>
      </w:r>
      <w:r w:rsidR="00390237">
        <w:rPr>
          <w:lang w:val="fr-FR"/>
        </w:rPr>
        <w:t>’</w:t>
      </w:r>
      <w:r w:rsidRPr="002B6E68">
        <w:rPr>
          <w:lang w:val="fr-FR"/>
        </w:rPr>
        <w:t>il convient d</w:t>
      </w:r>
      <w:r w:rsidR="00390237">
        <w:rPr>
          <w:lang w:val="fr-FR"/>
        </w:rPr>
        <w:t>’</w:t>
      </w:r>
      <w:r>
        <w:rPr>
          <w:lang w:val="fr-FR"/>
        </w:rPr>
        <w:t xml:space="preserve">ajouter foi </w:t>
      </w:r>
      <w:r w:rsidRPr="002B6E68">
        <w:rPr>
          <w:lang w:val="fr-FR"/>
        </w:rPr>
        <w:t>aux allégations de l</w:t>
      </w:r>
      <w:r w:rsidR="00390237">
        <w:rPr>
          <w:lang w:val="fr-FR"/>
        </w:rPr>
        <w:t>’</w:t>
      </w:r>
      <w:r w:rsidRPr="002B6E68">
        <w:rPr>
          <w:lang w:val="fr-FR"/>
        </w:rPr>
        <w:t>auteur</w:t>
      </w:r>
      <w:r w:rsidRPr="00BA7980">
        <w:rPr>
          <w:lang w:val="fr-FR"/>
        </w:rPr>
        <w:t>.</w:t>
      </w:r>
      <w:r w:rsidRPr="002B6E68">
        <w:rPr>
          <w:lang w:val="fr-FR"/>
        </w:rPr>
        <w:t xml:space="preserve"> </w:t>
      </w:r>
      <w:r>
        <w:rPr>
          <w:lang w:val="fr-FR"/>
        </w:rPr>
        <w:t xml:space="preserve">Il conclut en </w:t>
      </w:r>
      <w:r w:rsidRPr="002B6E68">
        <w:rPr>
          <w:lang w:val="fr-FR"/>
        </w:rPr>
        <w:t>conséquence</w:t>
      </w:r>
      <w:r>
        <w:rPr>
          <w:lang w:val="fr-FR"/>
        </w:rPr>
        <w:t xml:space="preserve"> </w:t>
      </w:r>
      <w:r w:rsidRPr="002B6E68">
        <w:rPr>
          <w:lang w:val="fr-FR"/>
        </w:rPr>
        <w:t>que les faits qui lui ont été présentés font apparaître une violation des droits que l</w:t>
      </w:r>
      <w:r w:rsidR="00390237">
        <w:rPr>
          <w:lang w:val="fr-FR"/>
        </w:rPr>
        <w:t>’</w:t>
      </w:r>
      <w:r w:rsidRPr="002B6E68">
        <w:rPr>
          <w:lang w:val="fr-FR"/>
        </w:rPr>
        <w:t xml:space="preserve">auteur </w:t>
      </w:r>
      <w:r>
        <w:rPr>
          <w:lang w:val="fr-FR"/>
        </w:rPr>
        <w:t xml:space="preserve">tenait </w:t>
      </w:r>
      <w:r w:rsidRPr="002B6E68">
        <w:rPr>
          <w:lang w:val="fr-FR"/>
        </w:rPr>
        <w:t>de l</w:t>
      </w:r>
      <w:r w:rsidR="00390237">
        <w:rPr>
          <w:lang w:val="fr-FR"/>
        </w:rPr>
        <w:t>’</w:t>
      </w:r>
      <w:r w:rsidRPr="002B6E68">
        <w:rPr>
          <w:lang w:val="fr-FR"/>
        </w:rPr>
        <w:t>article</w:t>
      </w:r>
      <w:r w:rsidR="0053276D">
        <w:rPr>
          <w:lang w:val="fr-FR"/>
        </w:rPr>
        <w:t> </w:t>
      </w:r>
      <w:r w:rsidRPr="002B6E68">
        <w:rPr>
          <w:lang w:val="fr-FR"/>
        </w:rPr>
        <w:t>7 du Pacte</w:t>
      </w:r>
      <w:r w:rsidRPr="00BA7980">
        <w:rPr>
          <w:lang w:val="fr-FR"/>
        </w:rPr>
        <w:t>.</w:t>
      </w:r>
    </w:p>
    <w:p w14:paraId="50E8EAB8" w14:textId="6F5067C7" w:rsidR="00F85A35" w:rsidRPr="002B6E68" w:rsidRDefault="00F85A35" w:rsidP="00F85A35">
      <w:pPr>
        <w:pStyle w:val="SingleTxtG"/>
        <w:rPr>
          <w:lang w:val="fr-FR"/>
        </w:rPr>
      </w:pPr>
      <w:r>
        <w:rPr>
          <w:lang w:val="fr-FR"/>
        </w:rPr>
        <w:t>7</w:t>
      </w:r>
      <w:r w:rsidRPr="00BA7980">
        <w:rPr>
          <w:lang w:val="fr-FR"/>
        </w:rPr>
        <w:t>.</w:t>
      </w:r>
      <w:r>
        <w:rPr>
          <w:lang w:val="fr-FR"/>
        </w:rPr>
        <w:t>7</w:t>
      </w:r>
      <w:r>
        <w:rPr>
          <w:lang w:val="fr-FR"/>
        </w:rPr>
        <w:tab/>
        <w:t>Le Comité prend note des allégations de l</w:t>
      </w:r>
      <w:r w:rsidR="00390237">
        <w:rPr>
          <w:lang w:val="fr-FR"/>
        </w:rPr>
        <w:t>’</w:t>
      </w:r>
      <w:r>
        <w:rPr>
          <w:lang w:val="fr-FR"/>
        </w:rPr>
        <w:t>auteur selon lesquelles il n</w:t>
      </w:r>
      <w:r w:rsidR="00390237">
        <w:rPr>
          <w:lang w:val="fr-FR"/>
        </w:rPr>
        <w:t>’</w:t>
      </w:r>
      <w:r>
        <w:rPr>
          <w:lang w:val="fr-FR"/>
        </w:rPr>
        <w:t>a pas disposé d</w:t>
      </w:r>
      <w:r w:rsidR="00390237">
        <w:rPr>
          <w:lang w:val="fr-FR"/>
        </w:rPr>
        <w:t>’</w:t>
      </w:r>
      <w:r>
        <w:rPr>
          <w:lang w:val="fr-FR"/>
        </w:rPr>
        <w:t xml:space="preserve">un recours utile contre </w:t>
      </w:r>
      <w:r w:rsidRPr="008E25B6">
        <w:rPr>
          <w:lang w:val="fr-FR"/>
        </w:rPr>
        <w:t>les mauvais</w:t>
      </w:r>
      <w:r>
        <w:rPr>
          <w:lang w:val="fr-FR"/>
        </w:rPr>
        <w:t xml:space="preserve"> traitements subis aux mains de la police, en violation </w:t>
      </w:r>
      <w:r w:rsidRPr="007C7920">
        <w:rPr>
          <w:lang w:val="fr-FR"/>
        </w:rPr>
        <w:t>de l</w:t>
      </w:r>
      <w:r w:rsidR="00390237" w:rsidRPr="007C7920">
        <w:rPr>
          <w:lang w:val="fr-FR"/>
        </w:rPr>
        <w:t>’</w:t>
      </w:r>
      <w:r w:rsidRPr="007C7920">
        <w:rPr>
          <w:lang w:val="fr-FR"/>
        </w:rPr>
        <w:t>article 7 du Pacte, lu conjointement avec l</w:t>
      </w:r>
      <w:r w:rsidR="00390237" w:rsidRPr="007C7920">
        <w:rPr>
          <w:lang w:val="fr-FR"/>
        </w:rPr>
        <w:t>’</w:t>
      </w:r>
      <w:r w:rsidRPr="007C7920">
        <w:rPr>
          <w:lang w:val="fr-FR"/>
        </w:rPr>
        <w:t>article</w:t>
      </w:r>
      <w:r w:rsidR="0053276D" w:rsidRPr="007C7920">
        <w:rPr>
          <w:lang w:val="fr-FR"/>
        </w:rPr>
        <w:t> </w:t>
      </w:r>
      <w:r w:rsidRPr="007C7920">
        <w:rPr>
          <w:lang w:val="fr-FR"/>
        </w:rPr>
        <w:t>2 (par.</w:t>
      </w:r>
      <w:r w:rsidR="0053276D" w:rsidRPr="007C7920">
        <w:rPr>
          <w:lang w:val="fr-FR"/>
        </w:rPr>
        <w:t> </w:t>
      </w:r>
      <w:r w:rsidRPr="007C7920">
        <w:rPr>
          <w:lang w:val="fr-FR"/>
        </w:rPr>
        <w:t>3), car il n</w:t>
      </w:r>
      <w:r w:rsidR="00390237" w:rsidRPr="007C7920">
        <w:rPr>
          <w:lang w:val="fr-FR"/>
        </w:rPr>
        <w:t>’</w:t>
      </w:r>
      <w:r w:rsidRPr="007C7920">
        <w:rPr>
          <w:lang w:val="fr-FR"/>
        </w:rPr>
        <w:t>a pas été indemnisé pour le préjudice subi. Le</w:t>
      </w:r>
      <w:r>
        <w:rPr>
          <w:lang w:val="fr-FR"/>
        </w:rPr>
        <w:t xml:space="preserve"> Comité note également que l</w:t>
      </w:r>
      <w:r w:rsidR="00390237">
        <w:rPr>
          <w:lang w:val="fr-FR"/>
        </w:rPr>
        <w:t>’</w:t>
      </w:r>
      <w:r>
        <w:rPr>
          <w:lang w:val="fr-FR"/>
        </w:rPr>
        <w:t>auteur a été débouté de l</w:t>
      </w:r>
      <w:r w:rsidR="00390237">
        <w:rPr>
          <w:lang w:val="fr-FR"/>
        </w:rPr>
        <w:t>’</w:t>
      </w:r>
      <w:r>
        <w:rPr>
          <w:lang w:val="fr-FR"/>
        </w:rPr>
        <w:t>action civile en dommages-intérêts pour préjudice moral qu</w:t>
      </w:r>
      <w:r w:rsidR="00390237">
        <w:rPr>
          <w:lang w:val="fr-FR"/>
        </w:rPr>
        <w:t>’</w:t>
      </w:r>
      <w:r>
        <w:rPr>
          <w:lang w:val="fr-FR"/>
        </w:rPr>
        <w:t>il avait intentée contre les policiers dans le cadre du procès pénal lorsque la Cour militaire d</w:t>
      </w:r>
      <w:r w:rsidR="00390237">
        <w:rPr>
          <w:lang w:val="fr-FR"/>
        </w:rPr>
        <w:t>’</w:t>
      </w:r>
      <w:r>
        <w:rPr>
          <w:lang w:val="fr-FR"/>
        </w:rPr>
        <w:t>appel a relaxé les accusés</w:t>
      </w:r>
      <w:r w:rsidRPr="00BA7980">
        <w:rPr>
          <w:lang w:val="fr-FR"/>
        </w:rPr>
        <w:t>.</w:t>
      </w:r>
      <w:r>
        <w:rPr>
          <w:lang w:val="fr-FR"/>
        </w:rPr>
        <w:t xml:space="preserve"> En outre, le</w:t>
      </w:r>
      <w:r w:rsidR="0053276D">
        <w:rPr>
          <w:lang w:val="fr-FR"/>
        </w:rPr>
        <w:t> </w:t>
      </w:r>
      <w:r>
        <w:rPr>
          <w:lang w:val="fr-FR"/>
        </w:rPr>
        <w:t>Comité constate que l</w:t>
      </w:r>
      <w:r w:rsidR="00390237">
        <w:rPr>
          <w:lang w:val="fr-FR"/>
        </w:rPr>
        <w:t>’</w:t>
      </w:r>
      <w:r>
        <w:rPr>
          <w:lang w:val="fr-FR"/>
        </w:rPr>
        <w:t>État partie n</w:t>
      </w:r>
      <w:r w:rsidR="00390237">
        <w:rPr>
          <w:lang w:val="fr-FR"/>
        </w:rPr>
        <w:t>’</w:t>
      </w:r>
      <w:r>
        <w:rPr>
          <w:lang w:val="fr-FR"/>
        </w:rPr>
        <w:t>a pas démontré que l</w:t>
      </w:r>
      <w:r w:rsidR="00390237">
        <w:rPr>
          <w:lang w:val="fr-FR"/>
        </w:rPr>
        <w:t>’</w:t>
      </w:r>
      <w:r>
        <w:rPr>
          <w:lang w:val="fr-FR"/>
        </w:rPr>
        <w:t>auteur disposait d</w:t>
      </w:r>
      <w:r w:rsidR="00390237">
        <w:rPr>
          <w:lang w:val="fr-FR"/>
        </w:rPr>
        <w:t>’</w:t>
      </w:r>
      <w:r>
        <w:rPr>
          <w:lang w:val="fr-FR"/>
        </w:rPr>
        <w:t>autres recours juridiques pouvant lui permettre d</w:t>
      </w:r>
      <w:r w:rsidR="00390237">
        <w:rPr>
          <w:lang w:val="fr-FR"/>
        </w:rPr>
        <w:t>’</w:t>
      </w:r>
      <w:r>
        <w:rPr>
          <w:lang w:val="fr-FR"/>
        </w:rPr>
        <w:t>obtenir une réparation effective après que les déclarations de culpabilité eurent été infirmées et qu</w:t>
      </w:r>
      <w:r w:rsidR="00390237">
        <w:rPr>
          <w:lang w:val="fr-FR"/>
        </w:rPr>
        <w:t>’</w:t>
      </w:r>
      <w:r>
        <w:rPr>
          <w:lang w:val="fr-FR"/>
        </w:rPr>
        <w:t>il eut été privé de l</w:t>
      </w:r>
      <w:r w:rsidR="00390237">
        <w:rPr>
          <w:lang w:val="fr-FR"/>
        </w:rPr>
        <w:t>’</w:t>
      </w:r>
      <w:r>
        <w:rPr>
          <w:lang w:val="fr-FR"/>
        </w:rPr>
        <w:t>indemnisation pour préjudice moral que la Cour militaire d</w:t>
      </w:r>
      <w:r w:rsidR="00390237">
        <w:rPr>
          <w:lang w:val="fr-FR"/>
        </w:rPr>
        <w:t>’</w:t>
      </w:r>
      <w:r>
        <w:rPr>
          <w:lang w:val="fr-FR"/>
        </w:rPr>
        <w:t>appel lui avait accordée</w:t>
      </w:r>
      <w:r w:rsidRPr="00454BD4">
        <w:rPr>
          <w:rStyle w:val="Appelnotedebasdep"/>
        </w:rPr>
        <w:footnoteReference w:id="26"/>
      </w:r>
      <w:r w:rsidRPr="00BA7980">
        <w:rPr>
          <w:lang w:val="fr-FR"/>
        </w:rPr>
        <w:t>.</w:t>
      </w:r>
      <w:r>
        <w:rPr>
          <w:lang w:val="fr-FR"/>
        </w:rPr>
        <w:t xml:space="preserve"> Le Comité considère en conséquence que les</w:t>
      </w:r>
      <w:r w:rsidRPr="002B6E68">
        <w:rPr>
          <w:lang w:val="fr-FR"/>
        </w:rPr>
        <w:t xml:space="preserve"> droits que l</w:t>
      </w:r>
      <w:r w:rsidR="00390237">
        <w:rPr>
          <w:lang w:val="fr-FR"/>
        </w:rPr>
        <w:t>’</w:t>
      </w:r>
      <w:r w:rsidRPr="002B6E68">
        <w:rPr>
          <w:lang w:val="fr-FR"/>
        </w:rPr>
        <w:t xml:space="preserve">auteur </w:t>
      </w:r>
      <w:r w:rsidRPr="007C7920">
        <w:rPr>
          <w:lang w:val="fr-FR"/>
        </w:rPr>
        <w:t>tenait de l</w:t>
      </w:r>
      <w:r w:rsidR="00390237" w:rsidRPr="007C7920">
        <w:rPr>
          <w:lang w:val="fr-FR"/>
        </w:rPr>
        <w:t>’</w:t>
      </w:r>
      <w:r w:rsidRPr="007C7920">
        <w:rPr>
          <w:lang w:val="fr-FR"/>
        </w:rPr>
        <w:t>article</w:t>
      </w:r>
      <w:r w:rsidR="0053276D" w:rsidRPr="007C7920">
        <w:rPr>
          <w:lang w:val="fr-FR"/>
        </w:rPr>
        <w:t> </w:t>
      </w:r>
      <w:r w:rsidRPr="007C7920">
        <w:rPr>
          <w:lang w:val="fr-FR"/>
        </w:rPr>
        <w:t>7 du Pacte, lu conjointement</w:t>
      </w:r>
      <w:r w:rsidRPr="002B6E68">
        <w:rPr>
          <w:lang w:val="fr-FR"/>
        </w:rPr>
        <w:t xml:space="preserve"> avec l</w:t>
      </w:r>
      <w:r w:rsidR="00390237">
        <w:rPr>
          <w:lang w:val="fr-FR"/>
        </w:rPr>
        <w:t>’</w:t>
      </w:r>
      <w:r w:rsidRPr="002B6E68">
        <w:rPr>
          <w:lang w:val="fr-FR"/>
        </w:rPr>
        <w:t>article</w:t>
      </w:r>
      <w:r w:rsidR="0053276D">
        <w:rPr>
          <w:lang w:val="fr-FR"/>
        </w:rPr>
        <w:t> </w:t>
      </w:r>
      <w:r w:rsidRPr="002B6E68">
        <w:rPr>
          <w:lang w:val="fr-FR"/>
        </w:rPr>
        <w:t>2 (par</w:t>
      </w:r>
      <w:r w:rsidRPr="00BA7980">
        <w:rPr>
          <w:lang w:val="fr-FR"/>
        </w:rPr>
        <w:t>.</w:t>
      </w:r>
      <w:r w:rsidRPr="002B6E68">
        <w:rPr>
          <w:lang w:val="fr-FR"/>
        </w:rPr>
        <w:t> 3)</w:t>
      </w:r>
      <w:r>
        <w:rPr>
          <w:lang w:val="fr-FR"/>
        </w:rPr>
        <w:t>, ont été violés</w:t>
      </w:r>
      <w:r w:rsidRPr="00BA7980">
        <w:rPr>
          <w:lang w:val="fr-FR"/>
        </w:rPr>
        <w:t>.</w:t>
      </w:r>
      <w:r>
        <w:rPr>
          <w:lang w:val="fr-FR"/>
        </w:rPr>
        <w:t xml:space="preserve"> </w:t>
      </w:r>
    </w:p>
    <w:p w14:paraId="12817F52" w14:textId="1D437ADD" w:rsidR="00F85A35" w:rsidRPr="002B6E68" w:rsidRDefault="00F85A35" w:rsidP="00F85A35">
      <w:pPr>
        <w:pStyle w:val="SingleTxtG"/>
        <w:rPr>
          <w:lang w:val="fr-FR"/>
        </w:rPr>
      </w:pPr>
      <w:r w:rsidRPr="002B6E68">
        <w:rPr>
          <w:lang w:val="fr-FR"/>
        </w:rPr>
        <w:t>8</w:t>
      </w:r>
      <w:r w:rsidRPr="00BA7980">
        <w:rPr>
          <w:lang w:val="fr-FR"/>
        </w:rPr>
        <w:t>.</w:t>
      </w:r>
      <w:r w:rsidRPr="002B6E68">
        <w:rPr>
          <w:lang w:val="fr-FR"/>
        </w:rPr>
        <w:tab/>
        <w:t>Le Comité, agissant en vertu de l</w:t>
      </w:r>
      <w:r w:rsidR="00390237">
        <w:rPr>
          <w:lang w:val="fr-FR"/>
        </w:rPr>
        <w:t>’</w:t>
      </w:r>
      <w:r w:rsidRPr="002B6E68">
        <w:rPr>
          <w:lang w:val="fr-FR"/>
        </w:rPr>
        <w:t>article</w:t>
      </w:r>
      <w:r w:rsidR="0053276D">
        <w:rPr>
          <w:lang w:val="fr-FR"/>
        </w:rPr>
        <w:t> </w:t>
      </w:r>
      <w:r w:rsidRPr="002B6E68">
        <w:rPr>
          <w:lang w:val="fr-FR"/>
        </w:rPr>
        <w:t>5</w:t>
      </w:r>
      <w:r>
        <w:rPr>
          <w:lang w:val="fr-FR"/>
        </w:rPr>
        <w:t xml:space="preserve"> (par. 4)</w:t>
      </w:r>
      <w:r w:rsidRPr="002B6E68">
        <w:rPr>
          <w:lang w:val="fr-FR"/>
        </w:rPr>
        <w:t xml:space="preserve"> du Protocole facultatif, constate que les faits dont il est saisi font apparaître une violation par l</w:t>
      </w:r>
      <w:r w:rsidR="00390237">
        <w:rPr>
          <w:lang w:val="fr-FR"/>
        </w:rPr>
        <w:t>’</w:t>
      </w:r>
      <w:r w:rsidRPr="002B6E68">
        <w:rPr>
          <w:lang w:val="fr-FR"/>
        </w:rPr>
        <w:t>État partie de l</w:t>
      </w:r>
      <w:r w:rsidR="00390237">
        <w:rPr>
          <w:lang w:val="fr-FR"/>
        </w:rPr>
        <w:t>’</w:t>
      </w:r>
      <w:r w:rsidRPr="002B6E68">
        <w:rPr>
          <w:lang w:val="fr-FR"/>
        </w:rPr>
        <w:t>article</w:t>
      </w:r>
      <w:r w:rsidR="0053276D">
        <w:rPr>
          <w:lang w:val="fr-FR"/>
        </w:rPr>
        <w:t> </w:t>
      </w:r>
      <w:r w:rsidRPr="002B6E68">
        <w:rPr>
          <w:lang w:val="fr-FR"/>
        </w:rPr>
        <w:t>7 du Pacte</w:t>
      </w:r>
      <w:r>
        <w:rPr>
          <w:lang w:val="fr-FR"/>
        </w:rPr>
        <w:t>, lu seul et conjointement avec l</w:t>
      </w:r>
      <w:r w:rsidR="00390237">
        <w:rPr>
          <w:lang w:val="fr-FR"/>
        </w:rPr>
        <w:t>’</w:t>
      </w:r>
      <w:r>
        <w:rPr>
          <w:lang w:val="fr-FR"/>
        </w:rPr>
        <w:t>article</w:t>
      </w:r>
      <w:r w:rsidR="0053276D">
        <w:rPr>
          <w:lang w:val="fr-FR"/>
        </w:rPr>
        <w:t> </w:t>
      </w:r>
      <w:r>
        <w:rPr>
          <w:lang w:val="fr-FR"/>
        </w:rPr>
        <w:t>2 (par</w:t>
      </w:r>
      <w:r w:rsidRPr="00BA7980">
        <w:rPr>
          <w:lang w:val="fr-FR"/>
        </w:rPr>
        <w:t>.</w:t>
      </w:r>
      <w:r w:rsidR="0053276D">
        <w:rPr>
          <w:lang w:val="fr-FR"/>
        </w:rPr>
        <w:t> </w:t>
      </w:r>
      <w:r>
        <w:rPr>
          <w:lang w:val="fr-FR"/>
        </w:rPr>
        <w:t>3)</w:t>
      </w:r>
      <w:r w:rsidRPr="00BA7980">
        <w:rPr>
          <w:lang w:val="fr-FR"/>
        </w:rPr>
        <w:t>.</w:t>
      </w:r>
      <w:r w:rsidRPr="002B6E68">
        <w:rPr>
          <w:lang w:val="fr-FR"/>
        </w:rPr>
        <w:t xml:space="preserve"> </w:t>
      </w:r>
    </w:p>
    <w:p w14:paraId="0CFE248A" w14:textId="1268F836" w:rsidR="00F85A35" w:rsidRPr="002B6E68" w:rsidRDefault="00F85A35" w:rsidP="00F85A35">
      <w:pPr>
        <w:pStyle w:val="SingleTxtG"/>
        <w:rPr>
          <w:lang w:val="fr-FR"/>
        </w:rPr>
      </w:pPr>
      <w:r w:rsidRPr="002B6E68">
        <w:rPr>
          <w:lang w:val="fr-FR"/>
        </w:rPr>
        <w:t>9</w:t>
      </w:r>
      <w:r w:rsidRPr="00BA7980">
        <w:rPr>
          <w:lang w:val="fr-FR"/>
        </w:rPr>
        <w:t>.</w:t>
      </w:r>
      <w:r w:rsidRPr="002B6E68">
        <w:rPr>
          <w:lang w:val="fr-FR"/>
        </w:rPr>
        <w:tab/>
        <w:t>Conformément au paragraphe</w:t>
      </w:r>
      <w:r>
        <w:rPr>
          <w:lang w:val="fr-FR"/>
        </w:rPr>
        <w:t> </w:t>
      </w:r>
      <w:r w:rsidRPr="002B6E68">
        <w:rPr>
          <w:lang w:val="fr-FR"/>
        </w:rPr>
        <w:t>3</w:t>
      </w:r>
      <w:r>
        <w:rPr>
          <w:lang w:val="fr-FR"/>
        </w:rPr>
        <w:t> </w:t>
      </w:r>
      <w:r w:rsidRPr="002B6E68">
        <w:rPr>
          <w:lang w:val="fr-FR"/>
        </w:rPr>
        <w:t>a) de l</w:t>
      </w:r>
      <w:r w:rsidR="00390237">
        <w:rPr>
          <w:lang w:val="fr-FR"/>
        </w:rPr>
        <w:t>’</w:t>
      </w:r>
      <w:r w:rsidRPr="002B6E68">
        <w:rPr>
          <w:lang w:val="fr-FR"/>
        </w:rPr>
        <w:t>article</w:t>
      </w:r>
      <w:r>
        <w:rPr>
          <w:lang w:val="fr-FR"/>
        </w:rPr>
        <w:t> </w:t>
      </w:r>
      <w:r w:rsidRPr="002B6E68">
        <w:rPr>
          <w:lang w:val="fr-FR"/>
        </w:rPr>
        <w:t>2 du Pacte, l</w:t>
      </w:r>
      <w:r w:rsidR="00390237">
        <w:rPr>
          <w:lang w:val="fr-FR"/>
        </w:rPr>
        <w:t>’</w:t>
      </w:r>
      <w:r w:rsidRPr="002B6E68">
        <w:rPr>
          <w:lang w:val="fr-FR"/>
        </w:rPr>
        <w:t>État partie est tenu d</w:t>
      </w:r>
      <w:r w:rsidR="00390237">
        <w:rPr>
          <w:lang w:val="fr-FR"/>
        </w:rPr>
        <w:t>’</w:t>
      </w:r>
      <w:r w:rsidRPr="002B6E68">
        <w:rPr>
          <w:lang w:val="fr-FR"/>
        </w:rPr>
        <w:t>assurer à l</w:t>
      </w:r>
      <w:r w:rsidR="00390237">
        <w:rPr>
          <w:lang w:val="fr-FR"/>
        </w:rPr>
        <w:t>’</w:t>
      </w:r>
      <w:r w:rsidRPr="002B6E68">
        <w:rPr>
          <w:lang w:val="fr-FR"/>
        </w:rPr>
        <w:t>auteur un recours utile</w:t>
      </w:r>
      <w:r w:rsidRPr="00BA7980">
        <w:rPr>
          <w:lang w:val="fr-FR"/>
        </w:rPr>
        <w:t>.</w:t>
      </w:r>
      <w:r w:rsidRPr="002B6E68">
        <w:rPr>
          <w:lang w:val="fr-FR"/>
        </w:rPr>
        <w:t xml:space="preserve"> Il a l</w:t>
      </w:r>
      <w:r w:rsidR="00390237">
        <w:rPr>
          <w:lang w:val="fr-FR"/>
        </w:rPr>
        <w:t>’</w:t>
      </w:r>
      <w:r w:rsidRPr="002B6E68">
        <w:rPr>
          <w:lang w:val="fr-FR"/>
        </w:rPr>
        <w:t>obligation d</w:t>
      </w:r>
      <w:r w:rsidR="00390237">
        <w:rPr>
          <w:lang w:val="fr-FR"/>
        </w:rPr>
        <w:t>’</w:t>
      </w:r>
      <w:r w:rsidRPr="002B6E68">
        <w:rPr>
          <w:lang w:val="fr-FR"/>
        </w:rPr>
        <w:t xml:space="preserve">accorder réparation </w:t>
      </w:r>
      <w:r>
        <w:rPr>
          <w:lang w:val="fr-FR"/>
        </w:rPr>
        <w:t xml:space="preserve">intégrale </w:t>
      </w:r>
      <w:r w:rsidRPr="002B6E68">
        <w:rPr>
          <w:lang w:val="fr-FR"/>
        </w:rPr>
        <w:t>aux individus dont les droits garantis par le Pacte ont été violés</w:t>
      </w:r>
      <w:r w:rsidRPr="00BA7980">
        <w:rPr>
          <w:lang w:val="fr-FR"/>
        </w:rPr>
        <w:t>.</w:t>
      </w:r>
      <w:r w:rsidRPr="002B6E68">
        <w:rPr>
          <w:lang w:val="fr-FR"/>
        </w:rPr>
        <w:t xml:space="preserve"> En l</w:t>
      </w:r>
      <w:r w:rsidR="00390237">
        <w:rPr>
          <w:lang w:val="fr-FR"/>
        </w:rPr>
        <w:t>’</w:t>
      </w:r>
      <w:r w:rsidRPr="002B6E68">
        <w:rPr>
          <w:lang w:val="fr-FR"/>
        </w:rPr>
        <w:t>espèce, l</w:t>
      </w:r>
      <w:r w:rsidR="00390237">
        <w:rPr>
          <w:lang w:val="fr-FR"/>
        </w:rPr>
        <w:t>’</w:t>
      </w:r>
      <w:r w:rsidRPr="002B6E68">
        <w:rPr>
          <w:lang w:val="fr-FR"/>
        </w:rPr>
        <w:t>État partie est tenu, notamment</w:t>
      </w:r>
      <w:r>
        <w:rPr>
          <w:lang w:val="fr-FR"/>
        </w:rPr>
        <w:t>,</w:t>
      </w:r>
      <w:r w:rsidRPr="002B6E68">
        <w:rPr>
          <w:lang w:val="fr-FR"/>
        </w:rPr>
        <w:t xml:space="preserve"> d</w:t>
      </w:r>
      <w:r w:rsidR="00390237">
        <w:rPr>
          <w:lang w:val="fr-FR"/>
        </w:rPr>
        <w:t>’</w:t>
      </w:r>
      <w:r w:rsidRPr="002B6E68">
        <w:rPr>
          <w:lang w:val="fr-FR"/>
        </w:rPr>
        <w:t xml:space="preserve">offrir une indemnisation adéquate et des mesures de satisfaction appropriées, y compris le remboursement de tous frais de justice et </w:t>
      </w:r>
      <w:r>
        <w:rPr>
          <w:lang w:val="fr-FR"/>
        </w:rPr>
        <w:t xml:space="preserve">frais médicaux </w:t>
      </w:r>
      <w:r w:rsidRPr="002B6E68">
        <w:rPr>
          <w:lang w:val="fr-FR"/>
        </w:rPr>
        <w:t>engagés par l</w:t>
      </w:r>
      <w:r w:rsidR="00390237">
        <w:rPr>
          <w:lang w:val="fr-FR"/>
        </w:rPr>
        <w:t>’</w:t>
      </w:r>
      <w:r w:rsidRPr="002B6E68">
        <w:rPr>
          <w:lang w:val="fr-FR"/>
        </w:rPr>
        <w:t xml:space="preserve">auteur ainsi </w:t>
      </w:r>
      <w:r>
        <w:rPr>
          <w:lang w:val="fr-FR"/>
        </w:rPr>
        <w:t>qu</w:t>
      </w:r>
      <w:r w:rsidR="00390237">
        <w:rPr>
          <w:lang w:val="fr-FR"/>
        </w:rPr>
        <w:t>’</w:t>
      </w:r>
      <w:r>
        <w:rPr>
          <w:lang w:val="fr-FR"/>
        </w:rPr>
        <w:t xml:space="preserve">une indemnisation pour les </w:t>
      </w:r>
      <w:r w:rsidRPr="002B6E68">
        <w:rPr>
          <w:lang w:val="fr-FR"/>
        </w:rPr>
        <w:t>pertes non pécuniaires subies</w:t>
      </w:r>
      <w:r>
        <w:rPr>
          <w:lang w:val="fr-FR"/>
        </w:rPr>
        <w:t xml:space="preserve"> par celui-ci</w:t>
      </w:r>
      <w:r w:rsidRPr="00BA7980">
        <w:rPr>
          <w:lang w:val="fr-FR"/>
        </w:rPr>
        <w:t>.</w:t>
      </w:r>
      <w:r w:rsidRPr="002B6E68">
        <w:rPr>
          <w:lang w:val="fr-FR"/>
        </w:rPr>
        <w:t xml:space="preserve"> Il est également tenu de prendre toutes les mesures nécessaires pour que des violations analogues ne se reproduisent pas</w:t>
      </w:r>
      <w:r w:rsidRPr="00BA7980">
        <w:rPr>
          <w:lang w:val="fr-FR"/>
        </w:rPr>
        <w:t>.</w:t>
      </w:r>
      <w:r w:rsidRPr="002B6E68">
        <w:rPr>
          <w:lang w:val="fr-FR"/>
        </w:rPr>
        <w:t xml:space="preserve"> </w:t>
      </w:r>
    </w:p>
    <w:p w14:paraId="2B3DF9EF" w14:textId="1B280DD2" w:rsidR="00F85A35" w:rsidRDefault="00F85A35" w:rsidP="00F85A35">
      <w:pPr>
        <w:pStyle w:val="SingleTxtG"/>
        <w:rPr>
          <w:lang w:val="fr-FR"/>
        </w:rPr>
      </w:pPr>
      <w:r w:rsidRPr="002B6E68">
        <w:rPr>
          <w:lang w:val="fr-FR"/>
        </w:rPr>
        <w:t>10</w:t>
      </w:r>
      <w:r w:rsidRPr="00BA7980">
        <w:rPr>
          <w:lang w:val="fr-FR"/>
        </w:rPr>
        <w:t>.</w:t>
      </w:r>
      <w:r w:rsidRPr="002B6E68">
        <w:rPr>
          <w:lang w:val="fr-FR"/>
        </w:rPr>
        <w:tab/>
        <w:t>Étant donné qu</w:t>
      </w:r>
      <w:r w:rsidR="00390237">
        <w:rPr>
          <w:lang w:val="fr-FR"/>
        </w:rPr>
        <w:t>’</w:t>
      </w:r>
      <w:r w:rsidRPr="002B6E68">
        <w:rPr>
          <w:lang w:val="fr-FR"/>
        </w:rPr>
        <w:t>en adhérant au Protocole facultatif, l</w:t>
      </w:r>
      <w:r w:rsidR="00390237">
        <w:rPr>
          <w:lang w:val="fr-FR"/>
        </w:rPr>
        <w:t>’</w:t>
      </w:r>
      <w:r w:rsidRPr="002B6E68">
        <w:rPr>
          <w:lang w:val="fr-FR"/>
        </w:rPr>
        <w:t>État partie a reconnu que le Comité a compétence pour déterminer s</w:t>
      </w:r>
      <w:r w:rsidR="00390237">
        <w:rPr>
          <w:lang w:val="fr-FR"/>
        </w:rPr>
        <w:t>’</w:t>
      </w:r>
      <w:r w:rsidRPr="002B6E68">
        <w:rPr>
          <w:lang w:val="fr-FR"/>
        </w:rPr>
        <w:t>il y a ou non violation du Pacte et que, conformément à l</w:t>
      </w:r>
      <w:r w:rsidR="00390237">
        <w:rPr>
          <w:lang w:val="fr-FR"/>
        </w:rPr>
        <w:t>’</w:t>
      </w:r>
      <w:r w:rsidRPr="002B6E68">
        <w:rPr>
          <w:lang w:val="fr-FR"/>
        </w:rPr>
        <w:t>article 2 du Pacte, il s</w:t>
      </w:r>
      <w:r w:rsidR="00390237">
        <w:rPr>
          <w:lang w:val="fr-FR"/>
        </w:rPr>
        <w:t>’</w:t>
      </w:r>
      <w:r w:rsidRPr="002B6E68">
        <w:rPr>
          <w:lang w:val="fr-FR"/>
        </w:rPr>
        <w:t>est engagé à garantir à tous les individus se trouvant sur son territoire et relevant de sa juridiction les droits reconnus dans le Pacte et à assurer un recours utile et une réparation exécutoire lorsqu</w:t>
      </w:r>
      <w:r w:rsidR="00390237">
        <w:rPr>
          <w:lang w:val="fr-FR"/>
        </w:rPr>
        <w:t>’</w:t>
      </w:r>
      <w:r w:rsidRPr="002B6E68">
        <w:rPr>
          <w:lang w:val="fr-FR"/>
        </w:rPr>
        <w:t>une violation a été établie, le Comité souhaite recevoir de l</w:t>
      </w:r>
      <w:r w:rsidR="00390237">
        <w:rPr>
          <w:lang w:val="fr-FR"/>
        </w:rPr>
        <w:t>’</w:t>
      </w:r>
      <w:r w:rsidRPr="002B6E68">
        <w:rPr>
          <w:lang w:val="fr-FR"/>
        </w:rPr>
        <w:t>État partie, dans un délai de cent quatre-vingts jours, des renseignements sur les mesures prises pour donner effet aux présentes constatations</w:t>
      </w:r>
      <w:r w:rsidRPr="00BA7980">
        <w:rPr>
          <w:lang w:val="fr-FR"/>
        </w:rPr>
        <w:t>.</w:t>
      </w:r>
      <w:r w:rsidRPr="002B6E68">
        <w:rPr>
          <w:lang w:val="fr-FR"/>
        </w:rPr>
        <w:t xml:space="preserve"> L</w:t>
      </w:r>
      <w:r w:rsidR="00390237">
        <w:rPr>
          <w:lang w:val="fr-FR"/>
        </w:rPr>
        <w:t>’</w:t>
      </w:r>
      <w:r w:rsidRPr="002B6E68">
        <w:rPr>
          <w:lang w:val="fr-FR"/>
        </w:rPr>
        <w:t>État partie est en outre invité à rendre celles-ci publiques et à les diffuser largement dans s</w:t>
      </w:r>
      <w:r>
        <w:rPr>
          <w:lang w:val="fr-FR"/>
        </w:rPr>
        <w:t>a</w:t>
      </w:r>
      <w:r w:rsidRPr="002B6E68">
        <w:rPr>
          <w:lang w:val="fr-FR"/>
        </w:rPr>
        <w:t xml:space="preserve"> langue officielle</w:t>
      </w:r>
      <w:r>
        <w:rPr>
          <w:lang w:val="fr-FR"/>
        </w:rPr>
        <w:t xml:space="preserve"> et les autres langues d</w:t>
      </w:r>
      <w:r w:rsidR="00390237">
        <w:rPr>
          <w:lang w:val="fr-FR"/>
        </w:rPr>
        <w:t>’</w:t>
      </w:r>
      <w:r>
        <w:rPr>
          <w:lang w:val="fr-FR"/>
        </w:rPr>
        <w:t>usage courant sur son territoire</w:t>
      </w:r>
      <w:r w:rsidRPr="00BA7980">
        <w:rPr>
          <w:lang w:val="fr-FR"/>
        </w:rPr>
        <w:t>.</w:t>
      </w:r>
    </w:p>
    <w:p w14:paraId="0283FD48" w14:textId="1C985626" w:rsidR="00F85A35" w:rsidRPr="00F85A35" w:rsidRDefault="00F85A35" w:rsidP="00F85A35">
      <w:pPr>
        <w:pStyle w:val="SingleTxtG"/>
        <w:spacing w:before="240" w:after="0"/>
        <w:jc w:val="center"/>
        <w:rPr>
          <w:u w:val="single"/>
        </w:rPr>
      </w:pPr>
      <w:r>
        <w:rPr>
          <w:u w:val="single"/>
        </w:rPr>
        <w:tab/>
      </w:r>
      <w:r>
        <w:rPr>
          <w:u w:val="single"/>
        </w:rPr>
        <w:tab/>
      </w:r>
      <w:r>
        <w:rPr>
          <w:u w:val="single"/>
        </w:rPr>
        <w:tab/>
      </w:r>
    </w:p>
    <w:sectPr w:rsidR="00F85A35" w:rsidRPr="00F85A35" w:rsidSect="00F85A3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5D63" w14:textId="77777777" w:rsidR="00513132" w:rsidRDefault="00513132" w:rsidP="00F95C08">
      <w:pPr>
        <w:spacing w:line="240" w:lineRule="auto"/>
      </w:pPr>
    </w:p>
  </w:endnote>
  <w:endnote w:type="continuationSeparator" w:id="0">
    <w:p w14:paraId="206E879F" w14:textId="77777777" w:rsidR="00513132" w:rsidRPr="00AC3823" w:rsidRDefault="00513132" w:rsidP="00AC3823">
      <w:pPr>
        <w:pStyle w:val="Pieddepage"/>
      </w:pPr>
    </w:p>
  </w:endnote>
  <w:endnote w:type="continuationNotice" w:id="1">
    <w:p w14:paraId="2F33A4AD" w14:textId="77777777" w:rsidR="00513132" w:rsidRDefault="005131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281D" w14:textId="3E739AF8" w:rsidR="00F85A35" w:rsidRPr="00F85A35" w:rsidRDefault="00F85A35" w:rsidP="00F85A35">
    <w:pPr>
      <w:pStyle w:val="Pieddepage"/>
      <w:tabs>
        <w:tab w:val="right" w:pos="9638"/>
      </w:tabs>
    </w:pPr>
    <w:r w:rsidRPr="00F85A35">
      <w:rPr>
        <w:b/>
        <w:sz w:val="18"/>
      </w:rPr>
      <w:fldChar w:fldCharType="begin"/>
    </w:r>
    <w:r w:rsidRPr="00F85A35">
      <w:rPr>
        <w:b/>
        <w:sz w:val="18"/>
      </w:rPr>
      <w:instrText xml:space="preserve"> PAGE  \* MERGEFORMAT </w:instrText>
    </w:r>
    <w:r w:rsidRPr="00F85A35">
      <w:rPr>
        <w:b/>
        <w:sz w:val="18"/>
      </w:rPr>
      <w:fldChar w:fldCharType="separate"/>
    </w:r>
    <w:r w:rsidRPr="00F85A35">
      <w:rPr>
        <w:b/>
        <w:noProof/>
        <w:sz w:val="18"/>
      </w:rPr>
      <w:t>2</w:t>
    </w:r>
    <w:r w:rsidRPr="00F85A35">
      <w:rPr>
        <w:b/>
        <w:sz w:val="18"/>
      </w:rPr>
      <w:fldChar w:fldCharType="end"/>
    </w:r>
    <w:r>
      <w:rPr>
        <w:b/>
        <w:sz w:val="18"/>
      </w:rPr>
      <w:tab/>
    </w:r>
    <w:r>
      <w:t>GE.21-07465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8540" w14:textId="007C333E" w:rsidR="00F85A35" w:rsidRPr="00F85A35" w:rsidRDefault="00F85A35" w:rsidP="00F85A35">
    <w:pPr>
      <w:pStyle w:val="Pieddepage"/>
      <w:tabs>
        <w:tab w:val="right" w:pos="9638"/>
      </w:tabs>
      <w:rPr>
        <w:b/>
        <w:sz w:val="18"/>
      </w:rPr>
    </w:pPr>
    <w:r>
      <w:t>GE.21-07465</w:t>
    </w:r>
    <w:r>
      <w:tab/>
    </w:r>
    <w:r w:rsidRPr="00F85A35">
      <w:rPr>
        <w:b/>
        <w:sz w:val="18"/>
      </w:rPr>
      <w:fldChar w:fldCharType="begin"/>
    </w:r>
    <w:r w:rsidRPr="00F85A35">
      <w:rPr>
        <w:b/>
        <w:sz w:val="18"/>
      </w:rPr>
      <w:instrText xml:space="preserve"> PAGE  \* MERGEFORMAT </w:instrText>
    </w:r>
    <w:r w:rsidRPr="00F85A35">
      <w:rPr>
        <w:b/>
        <w:sz w:val="18"/>
      </w:rPr>
      <w:fldChar w:fldCharType="separate"/>
    </w:r>
    <w:r w:rsidRPr="00F85A35">
      <w:rPr>
        <w:b/>
        <w:noProof/>
        <w:sz w:val="18"/>
      </w:rPr>
      <w:t>3</w:t>
    </w:r>
    <w:r w:rsidRPr="00F85A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95F" w14:textId="1470688F" w:rsidR="001B379B" w:rsidRPr="00F85A35" w:rsidRDefault="00F85A35" w:rsidP="00F85A3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743546B" wp14:editId="4C182C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21-07465  (F)</w:t>
    </w:r>
    <w:r>
      <w:rPr>
        <w:noProof/>
        <w:sz w:val="20"/>
      </w:rPr>
      <w:drawing>
        <wp:anchor distT="0" distB="0" distL="114300" distR="114300" simplePos="0" relativeHeight="251660288" behindDoc="0" locked="0" layoutInCell="1" allowOverlap="1" wp14:anchorId="4398D8C7" wp14:editId="17C3D976">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B82">
      <w:rPr>
        <w:sz w:val="20"/>
      </w:rPr>
      <w:t xml:space="preserve">    090622    100622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EE9D" w14:textId="77777777" w:rsidR="00513132" w:rsidRPr="00AC3823" w:rsidRDefault="00513132" w:rsidP="00AC3823">
      <w:pPr>
        <w:pStyle w:val="Pieddepage"/>
        <w:tabs>
          <w:tab w:val="right" w:pos="2155"/>
        </w:tabs>
        <w:spacing w:after="80" w:line="240" w:lineRule="atLeast"/>
        <w:ind w:left="680"/>
        <w:rPr>
          <w:u w:val="single"/>
        </w:rPr>
      </w:pPr>
      <w:r>
        <w:rPr>
          <w:u w:val="single"/>
        </w:rPr>
        <w:tab/>
      </w:r>
    </w:p>
  </w:footnote>
  <w:footnote w:type="continuationSeparator" w:id="0">
    <w:p w14:paraId="68C60923" w14:textId="77777777" w:rsidR="00513132" w:rsidRPr="00AC3823" w:rsidRDefault="00513132" w:rsidP="00AC3823">
      <w:pPr>
        <w:pStyle w:val="Pieddepage"/>
        <w:tabs>
          <w:tab w:val="right" w:pos="2155"/>
        </w:tabs>
        <w:spacing w:after="80" w:line="240" w:lineRule="atLeast"/>
        <w:ind w:left="680"/>
        <w:rPr>
          <w:u w:val="single"/>
        </w:rPr>
      </w:pPr>
      <w:r>
        <w:rPr>
          <w:u w:val="single"/>
        </w:rPr>
        <w:tab/>
      </w:r>
    </w:p>
  </w:footnote>
  <w:footnote w:type="continuationNotice" w:id="1">
    <w:p w14:paraId="51104F1E" w14:textId="77777777" w:rsidR="00513132" w:rsidRPr="00AC3823" w:rsidRDefault="00513132">
      <w:pPr>
        <w:spacing w:line="240" w:lineRule="auto"/>
        <w:rPr>
          <w:sz w:val="2"/>
          <w:szCs w:val="2"/>
        </w:rPr>
      </w:pPr>
    </w:p>
  </w:footnote>
  <w:footnote w:id="2">
    <w:p w14:paraId="48D74894" w14:textId="028189F1" w:rsidR="00B82B82" w:rsidRPr="00B82B82" w:rsidRDefault="00B82B82">
      <w:pPr>
        <w:pStyle w:val="Notedebasdepage"/>
      </w:pPr>
      <w:r>
        <w:rPr>
          <w:rStyle w:val="Appelnotedebasdep"/>
        </w:rPr>
        <w:tab/>
      </w:r>
      <w:r w:rsidRPr="00B82B82">
        <w:rPr>
          <w:rStyle w:val="Appelnotedebasdep"/>
          <w:sz w:val="20"/>
          <w:vertAlign w:val="baseline"/>
        </w:rPr>
        <w:t>*</w:t>
      </w:r>
      <w:r>
        <w:rPr>
          <w:rStyle w:val="Appelnotedebasdep"/>
          <w:sz w:val="20"/>
          <w:vertAlign w:val="baseline"/>
        </w:rPr>
        <w:tab/>
      </w:r>
      <w:r w:rsidRPr="00454BD4">
        <w:rPr>
          <w:lang w:val="fr-FR"/>
        </w:rPr>
        <w:t>Adoptées par le Comité à sa 130</w:t>
      </w:r>
      <w:r w:rsidRPr="00454BD4">
        <w:rPr>
          <w:vertAlign w:val="superscript"/>
          <w:lang w:val="fr-FR"/>
        </w:rPr>
        <w:t>e</w:t>
      </w:r>
      <w:r>
        <w:rPr>
          <w:lang w:val="fr-FR"/>
        </w:rPr>
        <w:t> </w:t>
      </w:r>
      <w:r w:rsidRPr="00454BD4">
        <w:rPr>
          <w:lang w:val="fr-FR"/>
        </w:rPr>
        <w:t>session (12</w:t>
      </w:r>
      <w:r>
        <w:rPr>
          <w:lang w:val="fr-FR"/>
        </w:rPr>
        <w:t> octobre</w:t>
      </w:r>
      <w:r>
        <w:rPr>
          <w:lang w:val="fr-FR"/>
        </w:rPr>
        <w:t>-</w:t>
      </w:r>
      <w:r w:rsidRPr="00454BD4">
        <w:rPr>
          <w:lang w:val="fr-FR"/>
        </w:rPr>
        <w:t>6</w:t>
      </w:r>
      <w:r>
        <w:rPr>
          <w:lang w:val="fr-FR"/>
        </w:rPr>
        <w:t> novembre </w:t>
      </w:r>
      <w:r w:rsidRPr="00454BD4">
        <w:rPr>
          <w:lang w:val="fr-FR"/>
        </w:rPr>
        <w:t>2020).</w:t>
      </w:r>
    </w:p>
  </w:footnote>
  <w:footnote w:id="3">
    <w:p w14:paraId="6A807166" w14:textId="2B02B6FA" w:rsidR="00B82B82" w:rsidRPr="00B82B82" w:rsidRDefault="00B82B82">
      <w:pPr>
        <w:pStyle w:val="Notedebasdepage"/>
      </w:pPr>
      <w:r>
        <w:rPr>
          <w:rStyle w:val="Appelnotedebasdep"/>
        </w:rPr>
        <w:tab/>
      </w:r>
      <w:r w:rsidRPr="00B82B82">
        <w:rPr>
          <w:rStyle w:val="Appelnotedebasdep"/>
          <w:sz w:val="20"/>
          <w:vertAlign w:val="baseline"/>
        </w:rPr>
        <w:t>**</w:t>
      </w:r>
      <w:r>
        <w:rPr>
          <w:rStyle w:val="Appelnotedebasdep"/>
          <w:sz w:val="20"/>
          <w:vertAlign w:val="baseline"/>
        </w:rPr>
        <w:tab/>
      </w:r>
      <w:r w:rsidRPr="00793F60">
        <w:t xml:space="preserve">Les membres du </w:t>
      </w:r>
      <w:r>
        <w:t xml:space="preserve">Comité </w:t>
      </w:r>
      <w:r w:rsidRPr="00793F60">
        <w:t>dont le nom suit ont participé à l’examen de la communication :</w:t>
      </w:r>
      <w:r w:rsidRPr="008069E5">
        <w:rPr>
          <w:lang w:val="fr-FR"/>
        </w:rPr>
        <w:t xml:space="preserve"> </w:t>
      </w:r>
      <w:r w:rsidRPr="00454BD4">
        <w:rPr>
          <w:lang w:val="fr-FR"/>
        </w:rPr>
        <w:t xml:space="preserve">Tania María Abdo Rocholl, Yadh Ben Achour, Arif Bulkan, Ahmed Amin Fathalla, Furuya Shuichi, Christoph Heyns, Bamariam Koita, David H. Moore, Photini Pazartzis, Hernán Quezada Cabrera, Vasilka Sancin, José Manuel Santos Pais, Yuval Shany, Hélène Tigroudja, Andreas Zimmermann </w:t>
      </w:r>
      <w:r>
        <w:rPr>
          <w:lang w:val="fr-FR"/>
        </w:rPr>
        <w:t>et</w:t>
      </w:r>
      <w:r w:rsidRPr="00454BD4">
        <w:rPr>
          <w:lang w:val="fr-FR"/>
        </w:rPr>
        <w:t xml:space="preserve"> Gentian</w:t>
      </w:r>
      <w:r>
        <w:rPr>
          <w:lang w:val="fr-FR"/>
        </w:rPr>
        <w:t> </w:t>
      </w:r>
      <w:r w:rsidRPr="00454BD4">
        <w:rPr>
          <w:lang w:val="fr-FR"/>
        </w:rPr>
        <w:t>Zyberi.</w:t>
      </w:r>
    </w:p>
  </w:footnote>
  <w:footnote w:id="4">
    <w:p w14:paraId="1B97AA09" w14:textId="77777777" w:rsidR="00F85A35" w:rsidRPr="008B667D" w:rsidRDefault="00F85A35" w:rsidP="00F85A35">
      <w:pPr>
        <w:pStyle w:val="Notedebasdepage"/>
      </w:pPr>
      <w:r>
        <w:rPr>
          <w:lang w:val="fr-FR"/>
        </w:rPr>
        <w:tab/>
      </w:r>
      <w:r w:rsidRPr="00454BD4">
        <w:rPr>
          <w:rStyle w:val="Appelnotedebasdep"/>
        </w:rPr>
        <w:footnoteRef/>
      </w:r>
      <w:r>
        <w:rPr>
          <w:lang w:val="fr-FR"/>
        </w:rPr>
        <w:tab/>
        <w:t>Au cours de la procédure judiciaire, il a été établi que l’auteur avait été frappé avec les menottes des policiers</w:t>
      </w:r>
      <w:r w:rsidRPr="00BA7980">
        <w:rPr>
          <w:lang w:val="fr-FR"/>
        </w:rPr>
        <w:t>.</w:t>
      </w:r>
    </w:p>
  </w:footnote>
  <w:footnote w:id="5">
    <w:p w14:paraId="2462D87D" w14:textId="77777777" w:rsidR="00F85A35" w:rsidRPr="008B667D" w:rsidRDefault="00F85A35" w:rsidP="00F85A35">
      <w:pPr>
        <w:pStyle w:val="Notedebasdepage"/>
      </w:pPr>
      <w:r>
        <w:rPr>
          <w:lang w:val="fr-FR"/>
        </w:rPr>
        <w:tab/>
      </w:r>
      <w:r w:rsidRPr="00454BD4">
        <w:rPr>
          <w:rStyle w:val="Appelnotedebasdep"/>
        </w:rPr>
        <w:footnoteRef/>
      </w:r>
      <w:r>
        <w:rPr>
          <w:lang w:val="fr-FR"/>
        </w:rPr>
        <w:tab/>
        <w:t>Des photos des lésions de l’auteur, ainsi qu’un résumé en français d’un certificat médico-légal (</w:t>
      </w:r>
      <w:r w:rsidRPr="00D07551">
        <w:rPr>
          <w:lang w:val="fr-FR"/>
        </w:rPr>
        <w:t>n</w:t>
      </w:r>
      <w:r w:rsidRPr="00D07551">
        <w:rPr>
          <w:vertAlign w:val="superscript"/>
          <w:lang w:val="fr-FR"/>
        </w:rPr>
        <w:t>o</w:t>
      </w:r>
      <w:r>
        <w:rPr>
          <w:lang w:val="fr-FR"/>
        </w:rPr>
        <w:t> 264/05) daté du 17 septembre 2005 étaient joints à la communication</w:t>
      </w:r>
      <w:r w:rsidRPr="00BA7980">
        <w:rPr>
          <w:lang w:val="fr-FR"/>
        </w:rPr>
        <w:t>.</w:t>
      </w:r>
    </w:p>
  </w:footnote>
  <w:footnote w:id="6">
    <w:p w14:paraId="7F17F63E" w14:textId="77777777" w:rsidR="00F85A35" w:rsidRPr="008B667D" w:rsidRDefault="00F85A35" w:rsidP="00F85A35">
      <w:pPr>
        <w:pStyle w:val="Notedebasdepage"/>
      </w:pPr>
      <w:r>
        <w:rPr>
          <w:lang w:val="fr-FR"/>
        </w:rPr>
        <w:tab/>
      </w:r>
      <w:r w:rsidRPr="00454BD4">
        <w:rPr>
          <w:rStyle w:val="Appelnotedebasdep"/>
        </w:rPr>
        <w:footnoteRef/>
      </w:r>
      <w:r>
        <w:rPr>
          <w:lang w:val="fr-FR"/>
        </w:rPr>
        <w:tab/>
        <w:t xml:space="preserve">Voir </w:t>
      </w:r>
      <w:r w:rsidRPr="002B6E68">
        <w:rPr>
          <w:lang w:val="fr-FR"/>
        </w:rPr>
        <w:t>par</w:t>
      </w:r>
      <w:r w:rsidRPr="00BA7980">
        <w:rPr>
          <w:lang w:val="fr-FR"/>
        </w:rPr>
        <w:t>.</w:t>
      </w:r>
      <w:r>
        <w:rPr>
          <w:lang w:val="fr-FR"/>
        </w:rPr>
        <w:t> </w:t>
      </w:r>
      <w:r w:rsidRPr="002B6E68">
        <w:rPr>
          <w:lang w:val="fr-FR"/>
        </w:rPr>
        <w:t>4</w:t>
      </w:r>
      <w:r w:rsidRPr="00BA7980">
        <w:rPr>
          <w:lang w:val="fr-FR"/>
        </w:rPr>
        <w:t>.</w:t>
      </w:r>
      <w:r w:rsidRPr="002B6E68">
        <w:rPr>
          <w:lang w:val="fr-FR"/>
        </w:rPr>
        <w:t xml:space="preserve">2, </w:t>
      </w:r>
      <w:r>
        <w:rPr>
          <w:lang w:val="fr-FR"/>
        </w:rPr>
        <w:t xml:space="preserve">dans lequel </w:t>
      </w:r>
      <w:r w:rsidRPr="002B6E68">
        <w:rPr>
          <w:lang w:val="fr-FR"/>
        </w:rPr>
        <w:t>l</w:t>
      </w:r>
      <w:r>
        <w:rPr>
          <w:lang w:val="fr-FR"/>
        </w:rPr>
        <w:t>’</w:t>
      </w:r>
      <w:r w:rsidRPr="002B6E68">
        <w:rPr>
          <w:lang w:val="fr-FR"/>
        </w:rPr>
        <w:t>État partie fournit des informations complémentaires</w:t>
      </w:r>
      <w:r w:rsidRPr="00BA7980">
        <w:rPr>
          <w:lang w:val="fr-FR"/>
        </w:rPr>
        <w:t>.</w:t>
      </w:r>
      <w:r w:rsidRPr="002B6E68">
        <w:rPr>
          <w:lang w:val="fr-FR"/>
        </w:rPr>
        <w:t xml:space="preserve"> </w:t>
      </w:r>
      <w:r>
        <w:rPr>
          <w:lang w:val="fr-FR"/>
        </w:rPr>
        <w:t xml:space="preserve">Un résumé </w:t>
      </w:r>
      <w:r w:rsidRPr="002B6E68">
        <w:rPr>
          <w:lang w:val="fr-FR"/>
        </w:rPr>
        <w:t>en français de la lettre datée</w:t>
      </w:r>
      <w:r>
        <w:rPr>
          <w:lang w:val="fr-FR"/>
        </w:rPr>
        <w:t xml:space="preserve"> du 13 octobre 2005 </w:t>
      </w:r>
      <w:r w:rsidRPr="002B6E68">
        <w:rPr>
          <w:lang w:val="fr-FR"/>
        </w:rPr>
        <w:t>du Directeur du Département du Ministère de l</w:t>
      </w:r>
      <w:r>
        <w:rPr>
          <w:lang w:val="fr-FR"/>
        </w:rPr>
        <w:t>’</w:t>
      </w:r>
      <w:r w:rsidRPr="002B6E68">
        <w:rPr>
          <w:lang w:val="fr-FR"/>
        </w:rPr>
        <w:t xml:space="preserve">intérieur dans le district de </w:t>
      </w:r>
      <w:r w:rsidRPr="008B667D">
        <w:t>Kardzhali</w:t>
      </w:r>
      <w:r>
        <w:t xml:space="preserve"> était joint à la communication</w:t>
      </w:r>
      <w:r w:rsidRPr="00BA7980">
        <w:rPr>
          <w:lang w:val="fr-FR"/>
        </w:rPr>
        <w:t>.</w:t>
      </w:r>
    </w:p>
  </w:footnote>
  <w:footnote w:id="7">
    <w:p w14:paraId="554EA9A0" w14:textId="77777777" w:rsidR="00F85A35" w:rsidRPr="008B667D" w:rsidRDefault="00F85A35" w:rsidP="00F85A35">
      <w:pPr>
        <w:pStyle w:val="Notedebasdepage"/>
      </w:pPr>
      <w:r>
        <w:rPr>
          <w:lang w:val="fr-FR"/>
        </w:rPr>
        <w:tab/>
      </w:r>
      <w:r w:rsidRPr="00454BD4">
        <w:rPr>
          <w:rStyle w:val="Appelnotedebasdep"/>
        </w:rPr>
        <w:footnoteRef/>
      </w:r>
      <w:r>
        <w:rPr>
          <w:lang w:val="fr-FR"/>
        </w:rPr>
        <w:tab/>
        <w:t>Selon l’État partie, l’instruction a été ouverte le 16 février 2006</w:t>
      </w:r>
      <w:r w:rsidRPr="00BA7980">
        <w:rPr>
          <w:lang w:val="fr-FR"/>
        </w:rPr>
        <w:t>.</w:t>
      </w:r>
      <w:r>
        <w:rPr>
          <w:lang w:val="fr-FR"/>
        </w:rPr>
        <w:t xml:space="preserve"> Une traduction en français de l’acte d’accusation, qui n’est pas daté, était jointe à la communication</w:t>
      </w:r>
      <w:r w:rsidRPr="00BA7980">
        <w:rPr>
          <w:lang w:val="fr-FR"/>
        </w:rPr>
        <w:t>.</w:t>
      </w:r>
    </w:p>
  </w:footnote>
  <w:footnote w:id="8">
    <w:p w14:paraId="45CE37C4" w14:textId="77777777" w:rsidR="00F85A35" w:rsidRPr="008B667D" w:rsidRDefault="00F85A35" w:rsidP="00F85A35">
      <w:pPr>
        <w:pStyle w:val="Notedebasdepage"/>
      </w:pPr>
      <w:r>
        <w:rPr>
          <w:lang w:val="fr-FR"/>
        </w:rPr>
        <w:tab/>
      </w:r>
      <w:r w:rsidRPr="00454BD4">
        <w:rPr>
          <w:rStyle w:val="Appelnotedebasdep"/>
        </w:rPr>
        <w:footnoteRef/>
      </w:r>
      <w:r>
        <w:rPr>
          <w:lang w:val="fr-FR"/>
        </w:rPr>
        <w:tab/>
        <w:t>Un résumé en français de la décision rendue le 16 septembre 2006 par le tribunal militaire de Plovdiv était joint à la communication</w:t>
      </w:r>
      <w:r w:rsidRPr="00BA7980">
        <w:rPr>
          <w:lang w:val="fr-FR"/>
        </w:rPr>
        <w:t>.</w:t>
      </w:r>
    </w:p>
  </w:footnote>
  <w:footnote w:id="9">
    <w:p w14:paraId="133E2F79" w14:textId="77777777" w:rsidR="00F85A35" w:rsidRPr="008B667D" w:rsidRDefault="00F85A35" w:rsidP="00F85A35">
      <w:pPr>
        <w:pStyle w:val="Notedebasdepage"/>
      </w:pPr>
      <w:r>
        <w:rPr>
          <w:lang w:val="fr-FR"/>
        </w:rPr>
        <w:tab/>
      </w:r>
      <w:r w:rsidRPr="00454BD4">
        <w:rPr>
          <w:rStyle w:val="Appelnotedebasdep"/>
        </w:rPr>
        <w:footnoteRef/>
      </w:r>
      <w:r>
        <w:rPr>
          <w:lang w:val="fr-FR"/>
        </w:rPr>
        <w:tab/>
        <w:t>Un résumé en français de la décision rendue le 10 janvier 2007 par la Cour militaire d’appel était joint à la communication</w:t>
      </w:r>
      <w:r w:rsidRPr="00BA7980">
        <w:rPr>
          <w:lang w:val="fr-FR"/>
        </w:rPr>
        <w:t>.</w:t>
      </w:r>
    </w:p>
  </w:footnote>
  <w:footnote w:id="10">
    <w:p w14:paraId="53B0038E" w14:textId="77777777" w:rsidR="00F85A35" w:rsidRPr="008B667D" w:rsidRDefault="00F85A35" w:rsidP="00F85A35">
      <w:pPr>
        <w:pStyle w:val="Notedebasdepage"/>
      </w:pPr>
      <w:r>
        <w:rPr>
          <w:lang w:val="fr-FR"/>
        </w:rPr>
        <w:tab/>
      </w:r>
      <w:r w:rsidRPr="00454BD4">
        <w:rPr>
          <w:rStyle w:val="Appelnotedebasdep"/>
        </w:rPr>
        <w:footnoteRef/>
      </w:r>
      <w:r>
        <w:rPr>
          <w:lang w:val="fr-FR"/>
        </w:rPr>
        <w:tab/>
        <w:t>L’auteur déclare que sa participation à la procédure devant la Cour suprême n’est pas mentionnée dans l’introduction de la décision</w:t>
      </w:r>
      <w:r w:rsidRPr="00BA7980">
        <w:rPr>
          <w:lang w:val="fr-FR"/>
        </w:rPr>
        <w:t>.</w:t>
      </w:r>
      <w:r>
        <w:rPr>
          <w:lang w:val="fr-FR"/>
        </w:rPr>
        <w:t xml:space="preserve"> Un résumé en français de la décision rendue le 18 décembre 2007 par la Cour suprême de cassation était joint à la communication</w:t>
      </w:r>
      <w:r w:rsidRPr="00BA7980">
        <w:rPr>
          <w:lang w:val="fr-FR"/>
        </w:rPr>
        <w:t>.</w:t>
      </w:r>
    </w:p>
  </w:footnote>
  <w:footnote w:id="11">
    <w:p w14:paraId="22854D2F" w14:textId="77777777" w:rsidR="00F85A35" w:rsidRPr="008B667D" w:rsidRDefault="00F85A35" w:rsidP="00F85A35">
      <w:pPr>
        <w:pStyle w:val="Notedebasdepage"/>
      </w:pPr>
      <w:r>
        <w:rPr>
          <w:lang w:val="fr-FR"/>
        </w:rPr>
        <w:tab/>
      </w:r>
      <w:r w:rsidRPr="00454BD4">
        <w:rPr>
          <w:rStyle w:val="Appelnotedebasdep"/>
        </w:rPr>
        <w:footnoteRef/>
      </w:r>
      <w:r>
        <w:rPr>
          <w:lang w:val="fr-FR"/>
        </w:rPr>
        <w:tab/>
        <w:t>Un résumé en français de l’arrêt rendu le 17 janvier 2008 par la Cour militaire d’appel était joint à la communication</w:t>
      </w:r>
      <w:r w:rsidRPr="00BA7980">
        <w:rPr>
          <w:lang w:val="fr-FR"/>
        </w:rPr>
        <w:t>.</w:t>
      </w:r>
      <w:r>
        <w:rPr>
          <w:lang w:val="fr-FR"/>
        </w:rPr>
        <w:t xml:space="preserve"> </w:t>
      </w:r>
    </w:p>
  </w:footnote>
  <w:footnote w:id="12">
    <w:p w14:paraId="6EEEBB72" w14:textId="77777777" w:rsidR="00F85A35" w:rsidRPr="008B667D" w:rsidRDefault="00F85A35" w:rsidP="00F85A35">
      <w:pPr>
        <w:pStyle w:val="Notedebasdepage"/>
      </w:pPr>
      <w:r>
        <w:rPr>
          <w:lang w:val="fr-FR"/>
        </w:rPr>
        <w:tab/>
      </w:r>
      <w:r w:rsidRPr="00454BD4">
        <w:rPr>
          <w:rStyle w:val="Appelnotedebasdep"/>
        </w:rPr>
        <w:footnoteRef/>
      </w:r>
      <w:r>
        <w:rPr>
          <w:lang w:val="fr-FR"/>
        </w:rPr>
        <w:tab/>
        <w:t xml:space="preserve">Une </w:t>
      </w:r>
      <w:r w:rsidRPr="00A755ED">
        <w:rPr>
          <w:lang w:val="fr-FR"/>
        </w:rPr>
        <w:t>transcription</w:t>
      </w:r>
      <w:r>
        <w:rPr>
          <w:lang w:val="fr-FR"/>
        </w:rPr>
        <w:t xml:space="preserve"> de la lettre de la Cour européenne des droits de l’homme, datée du 10 juillet 2014 était jointe à la communication</w:t>
      </w:r>
      <w:r w:rsidRPr="00BA7980">
        <w:rPr>
          <w:lang w:val="fr-FR"/>
        </w:rPr>
        <w:t>.</w:t>
      </w:r>
    </w:p>
  </w:footnote>
  <w:footnote w:id="13">
    <w:p w14:paraId="5799E72B" w14:textId="77777777" w:rsidR="00F85A35" w:rsidRPr="0092444D" w:rsidRDefault="00F85A35" w:rsidP="00F85A35">
      <w:pPr>
        <w:pStyle w:val="Notedebasdepage"/>
      </w:pPr>
      <w:r>
        <w:rPr>
          <w:lang w:val="fr-FR"/>
        </w:rPr>
        <w:tab/>
      </w:r>
      <w:r w:rsidRPr="00454BD4">
        <w:rPr>
          <w:rStyle w:val="Appelnotedebasdep"/>
        </w:rPr>
        <w:footnoteRef/>
      </w:r>
      <w:r>
        <w:rPr>
          <w:lang w:val="fr-FR"/>
        </w:rPr>
        <w:tab/>
        <w:t xml:space="preserve">Comité des droits de l’homme, </w:t>
      </w:r>
      <w:r>
        <w:rPr>
          <w:i/>
          <w:iCs/>
          <w:lang w:val="fr-FR"/>
        </w:rPr>
        <w:t>Achabal Puertas c</w:t>
      </w:r>
      <w:r w:rsidRPr="00BA7980">
        <w:rPr>
          <w:i/>
          <w:iCs/>
          <w:lang w:val="fr-FR"/>
        </w:rPr>
        <w:t>.</w:t>
      </w:r>
      <w:r>
        <w:rPr>
          <w:i/>
          <w:iCs/>
          <w:lang w:val="fr-FR"/>
        </w:rPr>
        <w:t xml:space="preserve"> Espagne </w:t>
      </w:r>
      <w:r w:rsidRPr="001F6D73">
        <w:rPr>
          <w:iCs/>
        </w:rPr>
        <w:t>(</w:t>
      </w:r>
      <w:r w:rsidRPr="001F6D73">
        <w:t>CCPR/C/107/D/1945/2010</w:t>
      </w:r>
      <w:r w:rsidRPr="001F6D73">
        <w:rPr>
          <w:iCs/>
        </w:rPr>
        <w:t>)</w:t>
      </w:r>
      <w:r w:rsidRPr="00BA7980">
        <w:rPr>
          <w:lang w:val="fr-FR"/>
        </w:rPr>
        <w:t>.</w:t>
      </w:r>
    </w:p>
  </w:footnote>
  <w:footnote w:id="14">
    <w:p w14:paraId="4646460C" w14:textId="77777777" w:rsidR="00F85A35" w:rsidRPr="008B667D" w:rsidRDefault="00F85A35" w:rsidP="00F85A35">
      <w:pPr>
        <w:pStyle w:val="Notedebasdepage"/>
      </w:pPr>
      <w:r>
        <w:rPr>
          <w:lang w:val="fr-FR"/>
        </w:rPr>
        <w:tab/>
      </w:r>
      <w:r w:rsidRPr="00454BD4">
        <w:rPr>
          <w:rStyle w:val="Appelnotedebasdep"/>
        </w:rPr>
        <w:footnoteRef/>
      </w:r>
      <w:r>
        <w:rPr>
          <w:lang w:val="fr-FR"/>
        </w:rPr>
        <w:tab/>
        <w:t xml:space="preserve">L’auteur renvoie à l’observation générale </w:t>
      </w:r>
      <w:r w:rsidRPr="00912B33">
        <w:rPr>
          <w:rFonts w:eastAsia="MS Mincho"/>
          <w:lang w:val="fr-FR"/>
        </w:rPr>
        <w:t>n</w:t>
      </w:r>
      <w:r w:rsidRPr="00912B33">
        <w:rPr>
          <w:rFonts w:eastAsia="MS Mincho"/>
          <w:vertAlign w:val="superscript"/>
          <w:lang w:val="fr-FR"/>
        </w:rPr>
        <w:t>o</w:t>
      </w:r>
      <w:r>
        <w:rPr>
          <w:lang w:val="fr-FR"/>
        </w:rPr>
        <w:t> 20 (1992) du Comité sur l’interdiction de la torture et autres peines ou traitements cruels, inhumains ou dégradants</w:t>
      </w:r>
      <w:r w:rsidRPr="00BA7980">
        <w:rPr>
          <w:lang w:val="fr-FR"/>
        </w:rPr>
        <w:t>.</w:t>
      </w:r>
    </w:p>
  </w:footnote>
  <w:footnote w:id="15">
    <w:p w14:paraId="10FA03A4" w14:textId="37544587" w:rsidR="00F85A35" w:rsidRPr="008B667D" w:rsidRDefault="00F85A35" w:rsidP="00F85A35">
      <w:pPr>
        <w:pStyle w:val="Notedebasdepage"/>
      </w:pPr>
      <w:r>
        <w:rPr>
          <w:lang w:val="fr-FR"/>
        </w:rPr>
        <w:tab/>
      </w:r>
      <w:r w:rsidRPr="00454BD4">
        <w:rPr>
          <w:rStyle w:val="Appelnotedebasdep"/>
        </w:rPr>
        <w:footnoteRef/>
      </w:r>
      <w:r>
        <w:rPr>
          <w:lang w:val="fr-FR"/>
        </w:rPr>
        <w:tab/>
        <w:t xml:space="preserve">Cour européenne des droits de l’homme, </w:t>
      </w:r>
      <w:r>
        <w:rPr>
          <w:i/>
          <w:iCs/>
          <w:lang w:val="fr-FR"/>
        </w:rPr>
        <w:t>Assenov et autres c</w:t>
      </w:r>
      <w:r w:rsidRPr="00BA7980">
        <w:rPr>
          <w:i/>
          <w:iCs/>
          <w:lang w:val="fr-FR"/>
        </w:rPr>
        <w:t>.</w:t>
      </w:r>
      <w:r>
        <w:rPr>
          <w:i/>
          <w:iCs/>
          <w:lang w:val="fr-FR"/>
        </w:rPr>
        <w:t xml:space="preserve"> Bulgarie</w:t>
      </w:r>
      <w:r>
        <w:rPr>
          <w:lang w:val="fr-FR"/>
        </w:rPr>
        <w:t xml:space="preserve"> </w:t>
      </w:r>
      <w:r>
        <w:rPr>
          <w:iCs/>
        </w:rPr>
        <w:t>(requête n</w:t>
      </w:r>
      <w:r w:rsidRPr="00454BD4">
        <w:rPr>
          <w:iCs/>
          <w:vertAlign w:val="superscript"/>
        </w:rPr>
        <w:t>o</w:t>
      </w:r>
      <w:r>
        <w:rPr>
          <w:iCs/>
        </w:rPr>
        <w:t> </w:t>
      </w:r>
      <w:r w:rsidRPr="001F6D73">
        <w:rPr>
          <w:iCs/>
        </w:rPr>
        <w:t>24760/94</w:t>
      </w:r>
      <w:r>
        <w:rPr>
          <w:iCs/>
        </w:rPr>
        <w:t>)</w:t>
      </w:r>
      <w:r>
        <w:t xml:space="preserve">, </w:t>
      </w:r>
      <w:r>
        <w:rPr>
          <w:lang w:val="fr-FR"/>
        </w:rPr>
        <w:t>arrêt du 28</w:t>
      </w:r>
      <w:r w:rsidR="00822A54">
        <w:rPr>
          <w:lang w:val="fr-FR"/>
        </w:rPr>
        <w:t> </w:t>
      </w:r>
      <w:r>
        <w:rPr>
          <w:lang w:val="fr-FR"/>
        </w:rPr>
        <w:t>octobre 1998</w:t>
      </w:r>
      <w:r w:rsidRPr="00BA7980">
        <w:rPr>
          <w:lang w:val="fr-FR"/>
        </w:rPr>
        <w:t>.</w:t>
      </w:r>
      <w:r>
        <w:rPr>
          <w:lang w:val="fr-FR"/>
        </w:rPr>
        <w:t xml:space="preserve"> </w:t>
      </w:r>
    </w:p>
  </w:footnote>
  <w:footnote w:id="16">
    <w:p w14:paraId="626A76C7" w14:textId="3CAFC35A" w:rsidR="00F85A35" w:rsidRPr="008B667D" w:rsidRDefault="00F85A35" w:rsidP="00F85A35">
      <w:pPr>
        <w:pStyle w:val="Notedebasdepage"/>
      </w:pPr>
      <w:r>
        <w:rPr>
          <w:lang w:val="fr-FR"/>
        </w:rPr>
        <w:tab/>
      </w:r>
      <w:r w:rsidRPr="00454BD4">
        <w:rPr>
          <w:rStyle w:val="Appelnotedebasdep"/>
        </w:rPr>
        <w:footnoteRef/>
      </w:r>
      <w:r>
        <w:rPr>
          <w:lang w:val="fr-FR"/>
        </w:rPr>
        <w:tab/>
        <w:t xml:space="preserve">Cour européenne des droits de l’homme, </w:t>
      </w:r>
      <w:r>
        <w:rPr>
          <w:i/>
          <w:iCs/>
          <w:lang w:val="fr-FR"/>
        </w:rPr>
        <w:t>Anguelova c</w:t>
      </w:r>
      <w:r w:rsidRPr="00BA7980">
        <w:rPr>
          <w:i/>
          <w:iCs/>
          <w:lang w:val="fr-FR"/>
        </w:rPr>
        <w:t>.</w:t>
      </w:r>
      <w:r>
        <w:rPr>
          <w:i/>
          <w:iCs/>
          <w:lang w:val="fr-FR"/>
        </w:rPr>
        <w:t xml:space="preserve"> Bulgarie</w:t>
      </w:r>
      <w:r>
        <w:rPr>
          <w:lang w:val="fr-FR"/>
        </w:rPr>
        <w:t xml:space="preserve"> (requête </w:t>
      </w:r>
      <w:r w:rsidRPr="00A755ED">
        <w:rPr>
          <w:lang w:val="fr-FR"/>
        </w:rPr>
        <w:t>n</w:t>
      </w:r>
      <w:r w:rsidRPr="00A755ED">
        <w:rPr>
          <w:vertAlign w:val="superscript"/>
          <w:lang w:val="fr-FR"/>
        </w:rPr>
        <w:t>o</w:t>
      </w:r>
      <w:r>
        <w:rPr>
          <w:lang w:val="fr-FR"/>
        </w:rPr>
        <w:t> 38361/97), arrêt du 13</w:t>
      </w:r>
      <w:r w:rsidR="00822A54">
        <w:rPr>
          <w:lang w:val="fr-FR"/>
        </w:rPr>
        <w:t> </w:t>
      </w:r>
      <w:r>
        <w:rPr>
          <w:lang w:val="fr-FR"/>
        </w:rPr>
        <w:t>juin 2002</w:t>
      </w:r>
      <w:r w:rsidRPr="00BA7980">
        <w:rPr>
          <w:lang w:val="fr-FR"/>
        </w:rPr>
        <w:t>.</w:t>
      </w:r>
    </w:p>
  </w:footnote>
  <w:footnote w:id="17">
    <w:p w14:paraId="295BA615" w14:textId="77777777" w:rsidR="00F85A35" w:rsidRPr="008B667D" w:rsidRDefault="00F85A35" w:rsidP="00F85A35">
      <w:pPr>
        <w:pStyle w:val="Notedebasdepage"/>
      </w:pPr>
      <w:r>
        <w:rPr>
          <w:lang w:val="fr-FR"/>
        </w:rPr>
        <w:tab/>
      </w:r>
      <w:r w:rsidRPr="00454BD4">
        <w:rPr>
          <w:rStyle w:val="Appelnotedebasdep"/>
        </w:rPr>
        <w:footnoteRef/>
      </w:r>
      <w:r>
        <w:rPr>
          <w:lang w:val="fr-FR"/>
        </w:rPr>
        <w:tab/>
        <w:t xml:space="preserve">Cour européenne des droits de l’homme, </w:t>
      </w:r>
      <w:r>
        <w:rPr>
          <w:i/>
          <w:iCs/>
          <w:lang w:val="fr-FR"/>
        </w:rPr>
        <w:t>Kehaya et autres c. Bulgarie</w:t>
      </w:r>
      <w:r>
        <w:rPr>
          <w:lang w:val="fr-FR"/>
        </w:rPr>
        <w:t xml:space="preserve">, (requêtes </w:t>
      </w:r>
      <w:r w:rsidRPr="00A755ED">
        <w:rPr>
          <w:lang w:val="fr-FR"/>
        </w:rPr>
        <w:t>n</w:t>
      </w:r>
      <w:r w:rsidRPr="00A755ED">
        <w:rPr>
          <w:vertAlign w:val="superscript"/>
          <w:lang w:val="fr-FR"/>
        </w:rPr>
        <w:t>o</w:t>
      </w:r>
      <w:r>
        <w:rPr>
          <w:vertAlign w:val="superscript"/>
          <w:lang w:val="fr-FR"/>
        </w:rPr>
        <w:t>s</w:t>
      </w:r>
      <w:r>
        <w:rPr>
          <w:lang w:val="fr-FR"/>
        </w:rPr>
        <w:t> </w:t>
      </w:r>
      <w:r w:rsidRPr="008B667D">
        <w:t xml:space="preserve">47797/99 et </w:t>
      </w:r>
      <w:r w:rsidRPr="00A755ED">
        <w:rPr>
          <w:lang w:val="fr-FR"/>
        </w:rPr>
        <w:t>68698/01</w:t>
      </w:r>
      <w:r>
        <w:rPr>
          <w:lang w:val="fr-FR"/>
        </w:rPr>
        <w:t>)</w:t>
      </w:r>
      <w:r w:rsidRPr="00A755ED">
        <w:rPr>
          <w:lang w:val="fr-FR"/>
        </w:rPr>
        <w:t xml:space="preserve">, </w:t>
      </w:r>
      <w:r>
        <w:rPr>
          <w:lang w:val="fr-FR"/>
        </w:rPr>
        <w:t xml:space="preserve">arrêt du </w:t>
      </w:r>
      <w:r w:rsidRPr="00A755ED">
        <w:rPr>
          <w:lang w:val="fr-FR"/>
        </w:rPr>
        <w:t>12 janvier 2006, par</w:t>
      </w:r>
      <w:r w:rsidRPr="00BA7980">
        <w:rPr>
          <w:lang w:val="fr-FR"/>
        </w:rPr>
        <w:t>.</w:t>
      </w:r>
      <w:r w:rsidRPr="008B667D">
        <w:t xml:space="preserve"> 69</w:t>
      </w:r>
      <w:r w:rsidRPr="00BA7980">
        <w:rPr>
          <w:lang w:val="fr-FR"/>
        </w:rPr>
        <w:t>.</w:t>
      </w:r>
    </w:p>
  </w:footnote>
  <w:footnote w:id="18">
    <w:p w14:paraId="3BFF3BC9" w14:textId="6737775E" w:rsidR="00F85A35" w:rsidRPr="008B667D" w:rsidRDefault="00F85A35" w:rsidP="00F85A35">
      <w:pPr>
        <w:pStyle w:val="Notedebasdepage"/>
      </w:pPr>
      <w:r>
        <w:rPr>
          <w:lang w:val="fr-FR"/>
        </w:rPr>
        <w:tab/>
      </w:r>
      <w:r w:rsidRPr="00454BD4">
        <w:rPr>
          <w:rStyle w:val="Appelnotedebasdep"/>
        </w:rPr>
        <w:footnoteRef/>
      </w:r>
      <w:r>
        <w:rPr>
          <w:lang w:val="fr-FR"/>
        </w:rPr>
        <w:tab/>
        <w:t>Selon l’État partie, le service de l’intéressé au Ministère de l’intérieur a pris fin</w:t>
      </w:r>
      <w:r w:rsidRPr="00A90E1A">
        <w:rPr>
          <w:lang w:val="fr-FR"/>
        </w:rPr>
        <w:t xml:space="preserve"> </w:t>
      </w:r>
      <w:r>
        <w:rPr>
          <w:lang w:val="fr-FR"/>
        </w:rPr>
        <w:t>à sa demande le 3</w:t>
      </w:r>
      <w:r w:rsidR="005767AD">
        <w:rPr>
          <w:lang w:val="fr-FR"/>
        </w:rPr>
        <w:t> </w:t>
      </w:r>
      <w:r>
        <w:rPr>
          <w:lang w:val="fr-FR"/>
        </w:rPr>
        <w:t>janvier 2012,</w:t>
      </w:r>
      <w:r w:rsidRPr="00BA7980">
        <w:rPr>
          <w:lang w:val="fr-FR"/>
        </w:rPr>
        <w:t>.</w:t>
      </w:r>
    </w:p>
  </w:footnote>
  <w:footnote w:id="19">
    <w:p w14:paraId="49A564C9" w14:textId="3F54DE9A" w:rsidR="00F85A35" w:rsidRPr="008B667D" w:rsidRDefault="00F85A35" w:rsidP="00F85A35">
      <w:pPr>
        <w:pStyle w:val="Notedebasdepage"/>
      </w:pPr>
      <w:r>
        <w:rPr>
          <w:lang w:val="fr-FR"/>
        </w:rPr>
        <w:tab/>
      </w:r>
      <w:r w:rsidRPr="00454BD4">
        <w:rPr>
          <w:rStyle w:val="Appelnotedebasdep"/>
        </w:rPr>
        <w:footnoteRef/>
      </w:r>
      <w:r>
        <w:rPr>
          <w:lang w:val="fr-FR"/>
        </w:rPr>
        <w:tab/>
        <w:t>Selon l’État partie, le service de l’intéressé au Ministère de l’intérieur a pris fin</w:t>
      </w:r>
      <w:r w:rsidRPr="00766DA6">
        <w:rPr>
          <w:lang w:val="fr-FR"/>
        </w:rPr>
        <w:t xml:space="preserve"> </w:t>
      </w:r>
      <w:r>
        <w:rPr>
          <w:lang w:val="fr-FR"/>
        </w:rPr>
        <w:t>à sa demande le 21</w:t>
      </w:r>
      <w:r w:rsidR="005767AD">
        <w:rPr>
          <w:lang w:val="fr-FR"/>
        </w:rPr>
        <w:t> </w:t>
      </w:r>
      <w:r>
        <w:rPr>
          <w:lang w:val="fr-FR"/>
        </w:rPr>
        <w:t>novembre 2005</w:t>
      </w:r>
      <w:r w:rsidRPr="00BA7980">
        <w:rPr>
          <w:lang w:val="fr-FR"/>
        </w:rPr>
        <w:t>.</w:t>
      </w:r>
    </w:p>
  </w:footnote>
  <w:footnote w:id="20">
    <w:p w14:paraId="691859E5" w14:textId="77777777" w:rsidR="00F85A35" w:rsidRPr="008B667D" w:rsidRDefault="00F85A35" w:rsidP="00F85A35">
      <w:pPr>
        <w:pStyle w:val="Notedebasdepage"/>
      </w:pPr>
      <w:r>
        <w:rPr>
          <w:lang w:val="fr-FR"/>
        </w:rPr>
        <w:tab/>
      </w:r>
      <w:r w:rsidRPr="00454BD4">
        <w:rPr>
          <w:rStyle w:val="Appelnotedebasdep"/>
        </w:rPr>
        <w:footnoteRef/>
      </w:r>
      <w:r>
        <w:rPr>
          <w:lang w:val="fr-FR"/>
        </w:rPr>
        <w:tab/>
        <w:t>Pour plus de détails concernant la procédure pénale, voir les paragraphes 2</w:t>
      </w:r>
      <w:r w:rsidRPr="00BA7980">
        <w:rPr>
          <w:lang w:val="fr-FR"/>
        </w:rPr>
        <w:t>.</w:t>
      </w:r>
      <w:r>
        <w:rPr>
          <w:lang w:val="fr-FR"/>
        </w:rPr>
        <w:t>5 à 2</w:t>
      </w:r>
      <w:r w:rsidRPr="00BA7980">
        <w:rPr>
          <w:lang w:val="fr-FR"/>
        </w:rPr>
        <w:t>.</w:t>
      </w:r>
      <w:r>
        <w:rPr>
          <w:lang w:val="fr-FR"/>
        </w:rPr>
        <w:t>9 ci-dessus</w:t>
      </w:r>
      <w:r w:rsidRPr="00BA7980">
        <w:rPr>
          <w:lang w:val="fr-FR"/>
        </w:rPr>
        <w:t>.</w:t>
      </w:r>
    </w:p>
  </w:footnote>
  <w:footnote w:id="21">
    <w:p w14:paraId="663D8F17" w14:textId="77777777" w:rsidR="00F85A35" w:rsidRPr="008B667D" w:rsidRDefault="00F85A35" w:rsidP="00F85A35">
      <w:pPr>
        <w:pStyle w:val="Notedebasdepage"/>
      </w:pPr>
      <w:r>
        <w:rPr>
          <w:lang w:val="fr-FR"/>
        </w:rPr>
        <w:tab/>
      </w:r>
      <w:r w:rsidRPr="00454BD4">
        <w:rPr>
          <w:rStyle w:val="Appelnotedebasdep"/>
        </w:rPr>
        <w:footnoteRef/>
      </w:r>
      <w:r>
        <w:rPr>
          <w:lang w:val="fr-FR"/>
        </w:rPr>
        <w:tab/>
        <w:t>L’État partie n’explicite pas davantage cet argument</w:t>
      </w:r>
      <w:r w:rsidRPr="00BA7980">
        <w:rPr>
          <w:lang w:val="fr-FR"/>
        </w:rPr>
        <w:t>.</w:t>
      </w:r>
    </w:p>
  </w:footnote>
  <w:footnote w:id="22">
    <w:p w14:paraId="62A74A95" w14:textId="77777777" w:rsidR="00F85A35" w:rsidRPr="003107DD" w:rsidRDefault="00F85A35" w:rsidP="00F85A35">
      <w:pPr>
        <w:pStyle w:val="Notedebasdepage"/>
        <w:rPr>
          <w:lang w:val="fr-CA"/>
        </w:rPr>
      </w:pPr>
      <w:r>
        <w:tab/>
      </w:r>
      <w:r w:rsidRPr="00454BD4">
        <w:rPr>
          <w:rStyle w:val="Appelnotedebasdep"/>
        </w:rPr>
        <w:footnoteRef/>
      </w:r>
      <w:r>
        <w:tab/>
      </w:r>
      <w:r>
        <w:rPr>
          <w:lang w:val="fr-CA"/>
        </w:rPr>
        <w:t>L’État partie n’a pas formulé de réserve excluant la compétence du Comité pour connaître d’une communication lorsque la même affaire a déjà été examinée par une autre instance internationale d’enquête ou de règlement</w:t>
      </w:r>
      <w:r w:rsidRPr="00BA7980">
        <w:rPr>
          <w:lang w:val="fr-CA"/>
        </w:rPr>
        <w:t>.</w:t>
      </w:r>
    </w:p>
  </w:footnote>
  <w:footnote w:id="23">
    <w:p w14:paraId="46E51F2E" w14:textId="32254267" w:rsidR="00F85A35" w:rsidRPr="008B667D" w:rsidRDefault="00F85A35" w:rsidP="00F85A35">
      <w:pPr>
        <w:pStyle w:val="Notedebasdepage"/>
      </w:pPr>
      <w:r w:rsidRPr="00D446C8">
        <w:rPr>
          <w:lang w:val="fr-FR"/>
        </w:rPr>
        <w:tab/>
      </w:r>
      <w:r w:rsidRPr="00454BD4">
        <w:rPr>
          <w:rStyle w:val="Appelnotedebasdep"/>
        </w:rPr>
        <w:footnoteRef/>
      </w:r>
      <w:r>
        <w:rPr>
          <w:lang w:val="fr-FR"/>
        </w:rPr>
        <w:tab/>
      </w:r>
      <w:r>
        <w:rPr>
          <w:i/>
          <w:iCs/>
          <w:lang w:val="fr-FR"/>
        </w:rPr>
        <w:t>Chernev c</w:t>
      </w:r>
      <w:r w:rsidRPr="00BA7980">
        <w:rPr>
          <w:i/>
          <w:iCs/>
          <w:lang w:val="fr-FR"/>
        </w:rPr>
        <w:t>.</w:t>
      </w:r>
      <w:r>
        <w:rPr>
          <w:i/>
          <w:iCs/>
          <w:lang w:val="fr-FR"/>
        </w:rPr>
        <w:t xml:space="preserve"> Fédération de Russie</w:t>
      </w:r>
      <w:r>
        <w:rPr>
          <w:lang w:val="fr-FR"/>
        </w:rPr>
        <w:t xml:space="preserve"> (CCPR/C/125/D/2322/2013), par</w:t>
      </w:r>
      <w:r w:rsidRPr="00BA7980">
        <w:rPr>
          <w:lang w:val="fr-FR"/>
        </w:rPr>
        <w:t>.</w:t>
      </w:r>
      <w:r w:rsidR="00550566">
        <w:rPr>
          <w:lang w:val="fr-FR"/>
        </w:rPr>
        <w:t> </w:t>
      </w:r>
      <w:r>
        <w:rPr>
          <w:lang w:val="fr-FR"/>
        </w:rPr>
        <w:t>12</w:t>
      </w:r>
      <w:r w:rsidRPr="00BA7980">
        <w:rPr>
          <w:lang w:val="fr-FR"/>
        </w:rPr>
        <w:t>.</w:t>
      </w:r>
      <w:r>
        <w:rPr>
          <w:lang w:val="fr-FR"/>
        </w:rPr>
        <w:t>2</w:t>
      </w:r>
      <w:r w:rsidRPr="00BA7980">
        <w:rPr>
          <w:lang w:val="fr-FR"/>
        </w:rPr>
        <w:t>.</w:t>
      </w:r>
    </w:p>
  </w:footnote>
  <w:footnote w:id="24">
    <w:p w14:paraId="5EE9F483" w14:textId="469867DD" w:rsidR="00F85A35" w:rsidRPr="008B667D" w:rsidRDefault="00F85A35" w:rsidP="00F85A35">
      <w:pPr>
        <w:pStyle w:val="Notedebasdepage"/>
      </w:pPr>
      <w:r>
        <w:rPr>
          <w:lang w:val="fr-FR"/>
        </w:rPr>
        <w:tab/>
      </w:r>
      <w:r w:rsidRPr="00454BD4">
        <w:rPr>
          <w:rStyle w:val="Appelnotedebasdep"/>
        </w:rPr>
        <w:footnoteRef/>
      </w:r>
      <w:r>
        <w:rPr>
          <w:lang w:val="fr-FR"/>
        </w:rPr>
        <w:tab/>
        <w:t xml:space="preserve">Comité des droits de l’homme, observation générale </w:t>
      </w:r>
      <w:r w:rsidRPr="003A0B85">
        <w:rPr>
          <w:lang w:val="fr-FR"/>
        </w:rPr>
        <w:t>n</w:t>
      </w:r>
      <w:r w:rsidRPr="003A0B85">
        <w:rPr>
          <w:vertAlign w:val="superscript"/>
          <w:lang w:val="fr-FR"/>
        </w:rPr>
        <w:t>o</w:t>
      </w:r>
      <w:r>
        <w:rPr>
          <w:lang w:val="fr-FR"/>
        </w:rPr>
        <w:t> 20</w:t>
      </w:r>
      <w:r w:rsidR="00550566">
        <w:rPr>
          <w:lang w:val="fr-FR"/>
        </w:rPr>
        <w:t>,</w:t>
      </w:r>
      <w:r>
        <w:rPr>
          <w:lang w:val="fr-FR"/>
        </w:rPr>
        <w:t xml:space="preserve"> par</w:t>
      </w:r>
      <w:r w:rsidRPr="00BA7980">
        <w:rPr>
          <w:lang w:val="fr-FR"/>
        </w:rPr>
        <w:t>.</w:t>
      </w:r>
      <w:r>
        <w:rPr>
          <w:lang w:val="fr-FR"/>
        </w:rPr>
        <w:t xml:space="preserve"> 2 ; et </w:t>
      </w:r>
      <w:r>
        <w:rPr>
          <w:i/>
          <w:iCs/>
          <w:lang w:val="fr-FR"/>
        </w:rPr>
        <w:t>A</w:t>
      </w:r>
      <w:r w:rsidRPr="00BA7980">
        <w:rPr>
          <w:i/>
          <w:iCs/>
          <w:lang w:val="fr-FR"/>
        </w:rPr>
        <w:t>.</w:t>
      </w:r>
      <w:r>
        <w:rPr>
          <w:i/>
          <w:iCs/>
          <w:lang w:val="fr-FR"/>
        </w:rPr>
        <w:t> H</w:t>
      </w:r>
      <w:r w:rsidRPr="00BA7980">
        <w:rPr>
          <w:i/>
          <w:iCs/>
          <w:lang w:val="fr-FR"/>
        </w:rPr>
        <w:t>.</w:t>
      </w:r>
      <w:r>
        <w:rPr>
          <w:i/>
          <w:iCs/>
          <w:lang w:val="fr-FR"/>
        </w:rPr>
        <w:t> G</w:t>
      </w:r>
      <w:r w:rsidRPr="00BA7980">
        <w:rPr>
          <w:i/>
          <w:iCs/>
          <w:lang w:val="fr-FR"/>
        </w:rPr>
        <w:t>.</w:t>
      </w:r>
      <w:r>
        <w:rPr>
          <w:i/>
          <w:iCs/>
          <w:lang w:val="fr-FR"/>
        </w:rPr>
        <w:t xml:space="preserve"> c</w:t>
      </w:r>
      <w:r w:rsidRPr="00BA7980">
        <w:rPr>
          <w:i/>
          <w:iCs/>
          <w:lang w:val="fr-FR"/>
        </w:rPr>
        <w:t>.</w:t>
      </w:r>
      <w:r>
        <w:rPr>
          <w:i/>
          <w:iCs/>
          <w:lang w:val="fr-FR"/>
        </w:rPr>
        <w:t xml:space="preserve"> Canada</w:t>
      </w:r>
      <w:r>
        <w:rPr>
          <w:lang w:val="fr-FR"/>
        </w:rPr>
        <w:t xml:space="preserve"> (CCPR/C/113/D/2091/2011), par</w:t>
      </w:r>
      <w:r w:rsidRPr="00BA7980">
        <w:rPr>
          <w:lang w:val="fr-FR"/>
        </w:rPr>
        <w:t>.</w:t>
      </w:r>
      <w:r w:rsidR="00550566">
        <w:rPr>
          <w:lang w:val="fr-FR"/>
        </w:rPr>
        <w:t> </w:t>
      </w:r>
      <w:r>
        <w:rPr>
          <w:lang w:val="fr-FR"/>
        </w:rPr>
        <w:t>10</w:t>
      </w:r>
      <w:r w:rsidRPr="00BA7980">
        <w:rPr>
          <w:lang w:val="fr-FR"/>
        </w:rPr>
        <w:t>.</w:t>
      </w:r>
      <w:r>
        <w:rPr>
          <w:lang w:val="fr-FR"/>
        </w:rPr>
        <w:t>4</w:t>
      </w:r>
      <w:r w:rsidRPr="00BA7980">
        <w:rPr>
          <w:lang w:val="fr-FR"/>
        </w:rPr>
        <w:t>.</w:t>
      </w:r>
    </w:p>
  </w:footnote>
  <w:footnote w:id="25">
    <w:p w14:paraId="50562666" w14:textId="2CA709A8" w:rsidR="00F85A35" w:rsidRPr="008B667D" w:rsidRDefault="00F85A35" w:rsidP="00F85A35">
      <w:pPr>
        <w:pStyle w:val="Notedebasdepage"/>
      </w:pPr>
      <w:r>
        <w:rPr>
          <w:lang w:val="fr-FR"/>
        </w:rPr>
        <w:tab/>
      </w:r>
      <w:r w:rsidRPr="00454BD4">
        <w:rPr>
          <w:rStyle w:val="Appelnotedebasdep"/>
        </w:rPr>
        <w:footnoteRef/>
      </w:r>
      <w:r>
        <w:rPr>
          <w:lang w:val="fr-FR"/>
        </w:rPr>
        <w:tab/>
      </w:r>
      <w:r>
        <w:rPr>
          <w:i/>
          <w:iCs/>
          <w:lang w:val="fr-FR"/>
        </w:rPr>
        <w:t>Abromchik c</w:t>
      </w:r>
      <w:r w:rsidRPr="00BA7980">
        <w:rPr>
          <w:i/>
          <w:iCs/>
          <w:lang w:val="fr-FR"/>
        </w:rPr>
        <w:t>.</w:t>
      </w:r>
      <w:r>
        <w:rPr>
          <w:i/>
          <w:iCs/>
          <w:lang w:val="fr-FR"/>
        </w:rPr>
        <w:t xml:space="preserve"> Bélarus</w:t>
      </w:r>
      <w:r>
        <w:rPr>
          <w:lang w:val="fr-FR"/>
        </w:rPr>
        <w:t xml:space="preserve"> (CCPR/C/122/D/2228/2012), par</w:t>
      </w:r>
      <w:r w:rsidRPr="00BA7980">
        <w:rPr>
          <w:lang w:val="fr-FR"/>
        </w:rPr>
        <w:t>.</w:t>
      </w:r>
      <w:r w:rsidR="00550566">
        <w:rPr>
          <w:lang w:val="fr-FR"/>
        </w:rPr>
        <w:t> </w:t>
      </w:r>
      <w:r>
        <w:rPr>
          <w:lang w:val="fr-FR"/>
        </w:rPr>
        <w:t>10</w:t>
      </w:r>
      <w:r w:rsidRPr="00BA7980">
        <w:rPr>
          <w:lang w:val="fr-FR"/>
        </w:rPr>
        <w:t>.</w:t>
      </w:r>
      <w:r>
        <w:rPr>
          <w:lang w:val="fr-FR"/>
        </w:rPr>
        <w:t>2</w:t>
      </w:r>
      <w:r w:rsidRPr="00BA7980">
        <w:rPr>
          <w:lang w:val="fr-FR"/>
        </w:rPr>
        <w:t>.</w:t>
      </w:r>
    </w:p>
  </w:footnote>
  <w:footnote w:id="26">
    <w:p w14:paraId="140BE49C" w14:textId="34DE597C" w:rsidR="00F85A35" w:rsidRPr="003107DD" w:rsidRDefault="00F85A35" w:rsidP="00F85A35">
      <w:pPr>
        <w:pStyle w:val="Notedebasdepage"/>
        <w:rPr>
          <w:lang w:val="fr-CA"/>
        </w:rPr>
      </w:pPr>
      <w:r>
        <w:tab/>
      </w:r>
      <w:r w:rsidRPr="00454BD4">
        <w:rPr>
          <w:rStyle w:val="Appelnotedebasdep"/>
        </w:rPr>
        <w:footnoteRef/>
      </w:r>
      <w:r>
        <w:tab/>
      </w:r>
      <w:r w:rsidRPr="003107DD">
        <w:rPr>
          <w:i/>
          <w:iCs/>
          <w:lang w:val="fr-CA"/>
        </w:rPr>
        <w:t>Ho</w:t>
      </w:r>
      <w:r>
        <w:rPr>
          <w:i/>
          <w:iCs/>
          <w:lang w:val="fr-CA"/>
        </w:rPr>
        <w:t>r</w:t>
      </w:r>
      <w:r w:rsidRPr="003107DD">
        <w:rPr>
          <w:i/>
          <w:iCs/>
          <w:lang w:val="fr-CA"/>
        </w:rPr>
        <w:t>varth c</w:t>
      </w:r>
      <w:r w:rsidRPr="00BA7980">
        <w:rPr>
          <w:i/>
          <w:iCs/>
          <w:lang w:val="fr-CA"/>
        </w:rPr>
        <w:t>.</w:t>
      </w:r>
      <w:r w:rsidRPr="003107DD">
        <w:rPr>
          <w:i/>
          <w:iCs/>
          <w:lang w:val="fr-CA"/>
        </w:rPr>
        <w:t xml:space="preserve"> Australie</w:t>
      </w:r>
      <w:r>
        <w:rPr>
          <w:lang w:val="fr-CA"/>
        </w:rPr>
        <w:t xml:space="preserve"> (CCPR/C/110/D/1885/2009), par</w:t>
      </w:r>
      <w:r w:rsidRPr="00BA7980">
        <w:rPr>
          <w:lang w:val="fr-CA"/>
        </w:rPr>
        <w:t>.</w:t>
      </w:r>
      <w:r w:rsidR="00550566">
        <w:rPr>
          <w:lang w:val="fr-CA"/>
        </w:rPr>
        <w:t> </w:t>
      </w:r>
      <w:r>
        <w:rPr>
          <w:lang w:val="fr-CA"/>
        </w:rPr>
        <w:t>8</w:t>
      </w:r>
      <w:r w:rsidRPr="00BA7980">
        <w:rPr>
          <w:lang w:val="fr-CA"/>
        </w:rPr>
        <w:t>.</w:t>
      </w:r>
      <w:r>
        <w:rPr>
          <w:lang w:val="fr-CA"/>
        </w:rPr>
        <w:t xml:space="preserve">7 ; et Comité des droits de l’homme, observation générale </w:t>
      </w:r>
      <w:r w:rsidRPr="00874AA6">
        <w:rPr>
          <w:rFonts w:eastAsia="MS Mincho"/>
          <w:lang w:val="fr-CA"/>
        </w:rPr>
        <w:t>n</w:t>
      </w:r>
      <w:r w:rsidRPr="00874AA6">
        <w:rPr>
          <w:rFonts w:eastAsia="MS Mincho"/>
          <w:vertAlign w:val="superscript"/>
          <w:lang w:val="fr-CA"/>
        </w:rPr>
        <w:t>o</w:t>
      </w:r>
      <w:r>
        <w:rPr>
          <w:lang w:val="fr-CA"/>
        </w:rPr>
        <w:t xml:space="preserve"> 31 </w:t>
      </w:r>
      <w:r w:rsidRPr="00B550EE">
        <w:t>(2004)</w:t>
      </w:r>
      <w:r>
        <w:t>, sur la nature de l’obligation juridique générale imposée aux États parties au Pacte</w:t>
      </w:r>
      <w:r>
        <w:rPr>
          <w:lang w:val="fr-CA"/>
        </w:rPr>
        <w:t>, par</w:t>
      </w:r>
      <w:r w:rsidRPr="00BA7980">
        <w:rPr>
          <w:lang w:val="fr-CA"/>
        </w:rPr>
        <w:t>.</w:t>
      </w:r>
      <w:r w:rsidR="00550566">
        <w:rPr>
          <w:lang w:val="fr-CA"/>
        </w:rPr>
        <w:t> </w:t>
      </w:r>
      <w:r>
        <w:rPr>
          <w:lang w:val="fr-CA"/>
        </w:rPr>
        <w:t>15 et 16</w:t>
      </w:r>
      <w:r w:rsidRPr="00BA7980">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B5A0" w14:textId="2406F74A" w:rsidR="00F85A35" w:rsidRPr="00F85A35" w:rsidRDefault="00F85A35">
    <w:pPr>
      <w:pStyle w:val="En-tte"/>
    </w:pPr>
    <w:fldSimple w:instr=" TITLE  \* MERGEFORMAT ">
      <w:r w:rsidR="00674CC0">
        <w:t>CCPR/C/130/D/2820/2016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7974" w14:textId="31DE6879" w:rsidR="00F85A35" w:rsidRPr="00F85A35" w:rsidRDefault="00F85A35" w:rsidP="00F85A35">
    <w:pPr>
      <w:pStyle w:val="En-tte"/>
      <w:jc w:val="right"/>
    </w:pPr>
    <w:fldSimple w:instr=" TITLE  \* MERGEFORMAT ">
      <w:r w:rsidR="00674CC0">
        <w:t>CCPR/C/130/D/2820/2016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21"/>
  </w:num>
  <w:num w:numId="18">
    <w:abstractNumId w:val="16"/>
  </w:num>
  <w:num w:numId="19">
    <w:abstractNumId w:val="11"/>
  </w:num>
  <w:num w:numId="20">
    <w:abstractNumId w:val="14"/>
  </w:num>
  <w:num w:numId="21">
    <w:abstractNumId w:val="13"/>
  </w:num>
  <w:num w:numId="22">
    <w:abstractNumId w:val="10"/>
  </w:num>
  <w:num w:numId="23">
    <w:abstractNumId w:val="17"/>
  </w:num>
  <w:num w:numId="24">
    <w:abstractNumId w:val="19"/>
  </w:num>
  <w:num w:numId="25">
    <w:abstractNumId w:val="23"/>
  </w:num>
  <w:num w:numId="26">
    <w:abstractNumId w:val="12"/>
  </w:num>
  <w:num w:numId="27">
    <w:abstractNumId w:val="22"/>
  </w:num>
  <w:num w:numId="28">
    <w:abstractNumId w:val="15"/>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2"/>
    <w:rsid w:val="00017F94"/>
    <w:rsid w:val="00023842"/>
    <w:rsid w:val="000334F9"/>
    <w:rsid w:val="0007796D"/>
    <w:rsid w:val="000919AD"/>
    <w:rsid w:val="000B7790"/>
    <w:rsid w:val="000C2225"/>
    <w:rsid w:val="00111F2F"/>
    <w:rsid w:val="0014365E"/>
    <w:rsid w:val="00176178"/>
    <w:rsid w:val="00183D12"/>
    <w:rsid w:val="001B379B"/>
    <w:rsid w:val="001F525A"/>
    <w:rsid w:val="00223272"/>
    <w:rsid w:val="002276C6"/>
    <w:rsid w:val="0024779E"/>
    <w:rsid w:val="002B7BC7"/>
    <w:rsid w:val="002E2D46"/>
    <w:rsid w:val="0032225A"/>
    <w:rsid w:val="003265B7"/>
    <w:rsid w:val="003402F1"/>
    <w:rsid w:val="00351332"/>
    <w:rsid w:val="00390237"/>
    <w:rsid w:val="003A6E96"/>
    <w:rsid w:val="004404A4"/>
    <w:rsid w:val="00446FE5"/>
    <w:rsid w:val="00452396"/>
    <w:rsid w:val="00495042"/>
    <w:rsid w:val="00513132"/>
    <w:rsid w:val="0053276D"/>
    <w:rsid w:val="00550566"/>
    <w:rsid w:val="005505B7"/>
    <w:rsid w:val="00573BE5"/>
    <w:rsid w:val="005767AD"/>
    <w:rsid w:val="00586ED3"/>
    <w:rsid w:val="00596AA9"/>
    <w:rsid w:val="005A353E"/>
    <w:rsid w:val="00674CC0"/>
    <w:rsid w:val="006D1448"/>
    <w:rsid w:val="006F7144"/>
    <w:rsid w:val="006F71EA"/>
    <w:rsid w:val="0071601D"/>
    <w:rsid w:val="00793E85"/>
    <w:rsid w:val="007A611C"/>
    <w:rsid w:val="007A62E6"/>
    <w:rsid w:val="007C7920"/>
    <w:rsid w:val="007E2032"/>
    <w:rsid w:val="0080684C"/>
    <w:rsid w:val="00822A54"/>
    <w:rsid w:val="008510F1"/>
    <w:rsid w:val="008560DB"/>
    <w:rsid w:val="00871C75"/>
    <w:rsid w:val="008776DC"/>
    <w:rsid w:val="00884F45"/>
    <w:rsid w:val="009705C8"/>
    <w:rsid w:val="009B1E6C"/>
    <w:rsid w:val="009E2C6A"/>
    <w:rsid w:val="00A25EBD"/>
    <w:rsid w:val="00A57411"/>
    <w:rsid w:val="00A9151D"/>
    <w:rsid w:val="00A92823"/>
    <w:rsid w:val="00AA6A35"/>
    <w:rsid w:val="00AC3823"/>
    <w:rsid w:val="00AE323C"/>
    <w:rsid w:val="00B00181"/>
    <w:rsid w:val="00B74B23"/>
    <w:rsid w:val="00B765F7"/>
    <w:rsid w:val="00B82B82"/>
    <w:rsid w:val="00BA0CA9"/>
    <w:rsid w:val="00BF2428"/>
    <w:rsid w:val="00C01ACF"/>
    <w:rsid w:val="00C02897"/>
    <w:rsid w:val="00C94921"/>
    <w:rsid w:val="00CA7BC4"/>
    <w:rsid w:val="00D05667"/>
    <w:rsid w:val="00D1453F"/>
    <w:rsid w:val="00D22C9C"/>
    <w:rsid w:val="00D3439C"/>
    <w:rsid w:val="00D744E5"/>
    <w:rsid w:val="00D82CA4"/>
    <w:rsid w:val="00D83177"/>
    <w:rsid w:val="00DB1831"/>
    <w:rsid w:val="00DD3BFD"/>
    <w:rsid w:val="00DF6678"/>
    <w:rsid w:val="00E85C42"/>
    <w:rsid w:val="00EC30D5"/>
    <w:rsid w:val="00EE1BD4"/>
    <w:rsid w:val="00EF4A35"/>
    <w:rsid w:val="00F12152"/>
    <w:rsid w:val="00F660DF"/>
    <w:rsid w:val="00F85A35"/>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4362F"/>
  <w15:docId w15:val="{5D00205B-2853-4384-97A9-631961E9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A9151D"/>
    <w:pPr>
      <w:numPr>
        <w:ilvl w:val="1"/>
        <w:numId w:val="22"/>
      </w:numPr>
      <w:outlineLvl w:val="1"/>
    </w:pPr>
  </w:style>
  <w:style w:type="paragraph" w:styleId="Titre3">
    <w:name w:val="heading 3"/>
    <w:basedOn w:val="Normal"/>
    <w:next w:val="Normal"/>
    <w:link w:val="Titre3Car"/>
    <w:semiHidden/>
    <w:qFormat/>
    <w:rsid w:val="00793E85"/>
    <w:pPr>
      <w:numPr>
        <w:ilvl w:val="2"/>
        <w:numId w:val="22"/>
      </w:numPr>
      <w:outlineLvl w:val="2"/>
    </w:pPr>
  </w:style>
  <w:style w:type="paragraph" w:styleId="Titre4">
    <w:name w:val="heading 4"/>
    <w:basedOn w:val="Normal"/>
    <w:next w:val="Normal"/>
    <w:link w:val="Titre4Car"/>
    <w:semiHidden/>
    <w:qFormat/>
    <w:rsid w:val="00793E85"/>
    <w:pPr>
      <w:numPr>
        <w:ilvl w:val="3"/>
        <w:numId w:val="22"/>
      </w:numPr>
      <w:outlineLvl w:val="3"/>
    </w:pPr>
  </w:style>
  <w:style w:type="paragraph" w:styleId="Titre5">
    <w:name w:val="heading 5"/>
    <w:basedOn w:val="Normal"/>
    <w:next w:val="Normal"/>
    <w:link w:val="Titre5Car"/>
    <w:semiHidden/>
    <w:qFormat/>
    <w:rsid w:val="00793E85"/>
    <w:pPr>
      <w:numPr>
        <w:ilvl w:val="4"/>
        <w:numId w:val="22"/>
      </w:numPr>
      <w:outlineLvl w:val="4"/>
    </w:pPr>
  </w:style>
  <w:style w:type="paragraph" w:styleId="Titre6">
    <w:name w:val="heading 6"/>
    <w:basedOn w:val="Normal"/>
    <w:next w:val="Normal"/>
    <w:link w:val="Titre6Car"/>
    <w:semiHidden/>
    <w:qFormat/>
    <w:rsid w:val="00793E85"/>
    <w:pPr>
      <w:numPr>
        <w:ilvl w:val="5"/>
        <w:numId w:val="22"/>
      </w:numPr>
      <w:outlineLvl w:val="5"/>
    </w:pPr>
  </w:style>
  <w:style w:type="paragraph" w:styleId="Titre7">
    <w:name w:val="heading 7"/>
    <w:basedOn w:val="Normal"/>
    <w:next w:val="Normal"/>
    <w:link w:val="Titre7Car"/>
    <w:semiHidden/>
    <w:qFormat/>
    <w:rsid w:val="00793E85"/>
    <w:pPr>
      <w:numPr>
        <w:ilvl w:val="6"/>
        <w:numId w:val="22"/>
      </w:numPr>
      <w:outlineLvl w:val="6"/>
    </w:pPr>
  </w:style>
  <w:style w:type="paragraph" w:styleId="Titre8">
    <w:name w:val="heading 8"/>
    <w:basedOn w:val="Normal"/>
    <w:next w:val="Normal"/>
    <w:link w:val="Titre8Car"/>
    <w:semiHidden/>
    <w:qFormat/>
    <w:rsid w:val="00793E85"/>
    <w:pPr>
      <w:numPr>
        <w:ilvl w:val="7"/>
        <w:numId w:val="22"/>
      </w:numPr>
      <w:outlineLvl w:val="7"/>
    </w:pPr>
  </w:style>
  <w:style w:type="paragraph" w:styleId="Titre9">
    <w:name w:val="heading 9"/>
    <w:basedOn w:val="Normal"/>
    <w:next w:val="Normal"/>
    <w:link w:val="Titre9Car"/>
    <w:semiHidden/>
    <w:qFormat/>
    <w:rsid w:val="00793E85"/>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85A35"/>
    <w:rPr>
      <w:rFonts w:ascii="Times New Roman" w:eastAsiaTheme="minorHAnsi" w:hAnsi="Times New Roman" w:cs="Times New Roman"/>
      <w:sz w:val="20"/>
      <w:szCs w:val="20"/>
      <w:lang w:eastAsia="en-US"/>
    </w:rPr>
  </w:style>
  <w:style w:type="paragraph" w:customStyle="1" w:styleId="ParaNoG">
    <w:name w:val="_ParaNo._G"/>
    <w:basedOn w:val="SingleTxtG"/>
    <w:rsid w:val="00F85A35"/>
    <w:pPr>
      <w:tabs>
        <w:tab w:val="clear" w:pos="1701"/>
        <w:tab w:val="clear" w:pos="2268"/>
        <w:tab w:val="clear" w:pos="2835"/>
        <w:tab w:val="num" w:pos="360"/>
      </w:tabs>
      <w:suppressAutoHyphens w:val="0"/>
      <w:kinsoku/>
      <w:overflowPunct/>
      <w:autoSpaceDE/>
      <w:autoSpaceDN/>
      <w:adjustRightInd/>
      <w:snapToGrid/>
      <w:spacing w:line="240" w:lineRule="auto"/>
    </w:pPr>
    <w:rPr>
      <w:rFonts w:eastAsia="SimSun"/>
      <w:lang w:val="en-GB" w:eastAsia="zh-CN"/>
    </w:rPr>
  </w:style>
  <w:style w:type="numbering" w:styleId="111111">
    <w:name w:val="Outline List 2"/>
    <w:basedOn w:val="Aucuneliste"/>
    <w:semiHidden/>
    <w:rsid w:val="00F85A35"/>
    <w:pPr>
      <w:numPr>
        <w:numId w:val="30"/>
      </w:numPr>
    </w:pPr>
  </w:style>
  <w:style w:type="numbering" w:styleId="1ai">
    <w:name w:val="Outline List 1"/>
    <w:basedOn w:val="Aucuneliste"/>
    <w:semiHidden/>
    <w:rsid w:val="00F85A35"/>
    <w:pPr>
      <w:numPr>
        <w:numId w:val="25"/>
      </w:numPr>
    </w:pPr>
  </w:style>
  <w:style w:type="numbering" w:styleId="ArticleSection">
    <w:name w:val="Outline List 3"/>
    <w:basedOn w:val="Aucuneliste"/>
    <w:semiHidden/>
    <w:rsid w:val="00F85A35"/>
    <w:pPr>
      <w:numPr>
        <w:numId w:val="29"/>
      </w:numPr>
    </w:pPr>
  </w:style>
  <w:style w:type="character" w:styleId="Marquedecommentaire">
    <w:name w:val="annotation reference"/>
    <w:basedOn w:val="Policepardfaut"/>
    <w:semiHidden/>
    <w:unhideWhenUsed/>
    <w:rsid w:val="00F85A35"/>
    <w:rPr>
      <w:sz w:val="16"/>
      <w:szCs w:val="16"/>
    </w:rPr>
  </w:style>
  <w:style w:type="paragraph" w:styleId="Commentaire">
    <w:name w:val="annotation text"/>
    <w:basedOn w:val="Normal"/>
    <w:link w:val="CommentaireCar"/>
    <w:semiHidden/>
    <w:unhideWhenUsed/>
    <w:rsid w:val="00F85A35"/>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semiHidden/>
    <w:rsid w:val="00F85A35"/>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semiHidden/>
    <w:unhideWhenUsed/>
    <w:rsid w:val="00F85A35"/>
    <w:rPr>
      <w:b/>
      <w:bCs/>
    </w:rPr>
  </w:style>
  <w:style w:type="character" w:customStyle="1" w:styleId="ObjetducommentaireCar">
    <w:name w:val="Objet du commentaire Car"/>
    <w:basedOn w:val="CommentaireCar"/>
    <w:link w:val="Objetducommentaire"/>
    <w:semiHidden/>
    <w:rsid w:val="00F85A35"/>
    <w:rPr>
      <w:rFonts w:ascii="Times New Roman" w:eastAsia="SimSun" w:hAnsi="Times New Roman" w:cs="Times New Roman"/>
      <w:b/>
      <w:bCs/>
      <w:sz w:val="20"/>
      <w:szCs w:val="20"/>
      <w:lang w:val="en-GB"/>
    </w:rPr>
  </w:style>
  <w:style w:type="paragraph" w:customStyle="1" w:styleId="Default">
    <w:name w:val="Default"/>
    <w:rsid w:val="00F85A35"/>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Rvision">
    <w:name w:val="Revision"/>
    <w:hidden/>
    <w:uiPriority w:val="99"/>
    <w:semiHidden/>
    <w:rsid w:val="00F85A3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E781-D462-4385-9EBA-B3F1D27E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10</Pages>
  <Words>5940</Words>
  <Characters>30755</Characters>
  <Application>Microsoft Office Word</Application>
  <DocSecurity>0</DocSecurity>
  <Lines>456</Lines>
  <Paragraphs>89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CCPR/C/130/D/2820/2016</vt:lpstr>
      <vt:lpstr>    Constatations adoptées par le Comité au titre de l’article 5 (par. 4) du Proto</vt:lpstr>
    </vt:vector>
  </TitlesOfParts>
  <Company>DCM</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CCPR/C/130/D/2820/2016</dc:title>
  <dc:subject/>
  <dc:creator>Julien OKRZESIK</dc:creator>
  <cp:keywords/>
  <cp:lastModifiedBy>Julien Okrzesik</cp:lastModifiedBy>
  <cp:revision>4</cp:revision>
  <cp:lastPrinted>2022-06-10T15:05:00Z</cp:lastPrinted>
  <dcterms:created xsi:type="dcterms:W3CDTF">2022-06-10T15:05:00Z</dcterms:created>
  <dcterms:modified xsi:type="dcterms:W3CDTF">2022-06-10T15:08:00Z</dcterms:modified>
</cp:coreProperties>
</file>