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5661DB51" w14:textId="77777777" w:rsidTr="005B51C4">
        <w:trPr>
          <w:trHeight w:hRule="exact" w:val="851"/>
        </w:trPr>
        <w:tc>
          <w:tcPr>
            <w:tcW w:w="1274" w:type="dxa"/>
            <w:tcBorders>
              <w:bottom w:val="single" w:sz="4" w:space="0" w:color="auto"/>
            </w:tcBorders>
            <w:shd w:val="clear" w:color="auto" w:fill="auto"/>
          </w:tcPr>
          <w:p w14:paraId="5B41277C" w14:textId="77777777" w:rsidR="006B3E27" w:rsidRPr="007A557C" w:rsidRDefault="006B3E27" w:rsidP="00157620">
            <w:pPr>
              <w:kinsoku w:val="0"/>
              <w:overflowPunct w:val="0"/>
              <w:autoSpaceDE w:val="0"/>
              <w:autoSpaceDN w:val="0"/>
              <w:adjustRightInd w:val="0"/>
              <w:snapToGrid w:val="0"/>
              <w:jc w:val="center"/>
              <w:rPr>
                <w:sz w:val="56"/>
                <w:szCs w:val="56"/>
                <w:lang w:val="fr-CH"/>
              </w:rPr>
            </w:pPr>
          </w:p>
        </w:tc>
        <w:tc>
          <w:tcPr>
            <w:tcW w:w="4537" w:type="dxa"/>
            <w:tcBorders>
              <w:bottom w:val="single" w:sz="4" w:space="0" w:color="auto"/>
            </w:tcBorders>
            <w:shd w:val="clear" w:color="auto" w:fill="auto"/>
            <w:vAlign w:val="bottom"/>
          </w:tcPr>
          <w:p w14:paraId="6D949C95"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947E67A" w14:textId="6430B10A" w:rsidR="006B3E27" w:rsidRPr="00701762" w:rsidRDefault="00701762" w:rsidP="00701762">
            <w:pPr>
              <w:bidi w:val="0"/>
              <w:rPr>
                <w:szCs w:val="20"/>
              </w:rPr>
            </w:pPr>
            <w:r w:rsidRPr="00701762">
              <w:rPr>
                <w:sz w:val="40"/>
                <w:szCs w:val="20"/>
              </w:rPr>
              <w:t>CCPR</w:t>
            </w:r>
            <w:r>
              <w:rPr>
                <w:szCs w:val="20"/>
              </w:rPr>
              <w:t>/C/</w:t>
            </w:r>
            <w:r w:rsidRPr="00827326">
              <w:rPr>
                <w:szCs w:val="20"/>
              </w:rPr>
              <w:t>132</w:t>
            </w:r>
            <w:r>
              <w:rPr>
                <w:szCs w:val="20"/>
              </w:rPr>
              <w:t>/D/</w:t>
            </w:r>
            <w:r w:rsidRPr="00827326">
              <w:rPr>
                <w:szCs w:val="20"/>
              </w:rPr>
              <w:t>2833</w:t>
            </w:r>
            <w:r>
              <w:rPr>
                <w:szCs w:val="20"/>
              </w:rPr>
              <w:t>/</w:t>
            </w:r>
            <w:r w:rsidRPr="00827326">
              <w:rPr>
                <w:szCs w:val="20"/>
              </w:rPr>
              <w:t>2016</w:t>
            </w:r>
          </w:p>
        </w:tc>
      </w:tr>
      <w:tr w:rsidR="006B3E27" w:rsidRPr="00C175A6" w14:paraId="52C69AEB" w14:textId="77777777" w:rsidTr="005B51C4">
        <w:trPr>
          <w:trHeight w:hRule="exact" w:val="2835"/>
        </w:trPr>
        <w:tc>
          <w:tcPr>
            <w:tcW w:w="1274" w:type="dxa"/>
            <w:tcBorders>
              <w:top w:val="single" w:sz="4" w:space="0" w:color="auto"/>
              <w:bottom w:val="single" w:sz="12" w:space="0" w:color="auto"/>
            </w:tcBorders>
            <w:shd w:val="clear" w:color="auto" w:fill="auto"/>
          </w:tcPr>
          <w:p w14:paraId="03279C27"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2153248F" wp14:editId="0DAE49E2">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19E42F6" w14:textId="77777777" w:rsidR="006B3E27" w:rsidRPr="00827326" w:rsidRDefault="00ED7442" w:rsidP="00730446">
            <w:pPr>
              <w:spacing w:before="120" w:after="40" w:line="640" w:lineRule="exact"/>
              <w:ind w:left="57"/>
              <w:rPr>
                <w:b/>
                <w:bCs/>
                <w:sz w:val="46"/>
                <w:szCs w:val="46"/>
              </w:rPr>
            </w:pPr>
            <w:r w:rsidRPr="0082732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4CBADDD5" w14:textId="77777777" w:rsidR="00D20AC6" w:rsidRPr="00D20AC6" w:rsidRDefault="00D20AC6" w:rsidP="00D20AC6">
            <w:pPr>
              <w:bidi w:val="0"/>
              <w:spacing w:before="240"/>
              <w:jc w:val="left"/>
              <w:rPr>
                <w:rFonts w:eastAsia="Times New Roman" w:cs="Times New Roman"/>
                <w:szCs w:val="20"/>
                <w:lang w:val="en-GB"/>
              </w:rPr>
            </w:pPr>
            <w:r w:rsidRPr="00D20AC6">
              <w:rPr>
                <w:rFonts w:eastAsia="Times New Roman" w:cs="Times New Roman"/>
                <w:szCs w:val="20"/>
                <w:lang w:val="en-GB"/>
              </w:rPr>
              <w:t>Distr.: General</w:t>
            </w:r>
          </w:p>
          <w:p w14:paraId="37DD0C58" w14:textId="77777777" w:rsidR="00D20AC6" w:rsidRPr="00D20AC6" w:rsidRDefault="00D20AC6" w:rsidP="00D20AC6">
            <w:pPr>
              <w:bidi w:val="0"/>
              <w:jc w:val="left"/>
              <w:rPr>
                <w:rFonts w:eastAsia="Times New Roman" w:cs="Times New Roman"/>
                <w:szCs w:val="20"/>
                <w:lang w:val="en-GB"/>
              </w:rPr>
            </w:pPr>
            <w:r w:rsidRPr="00D20AC6">
              <w:rPr>
                <w:rFonts w:eastAsia="Times New Roman" w:cs="Times New Roman"/>
                <w:szCs w:val="20"/>
                <w:lang w:val="en-GB"/>
              </w:rPr>
              <w:t>10 September 2021</w:t>
            </w:r>
          </w:p>
          <w:p w14:paraId="362F6F40" w14:textId="5DA7BBF5" w:rsidR="00D20AC6" w:rsidRPr="00D20AC6" w:rsidRDefault="00D20AC6" w:rsidP="00D20AC6">
            <w:pPr>
              <w:bidi w:val="0"/>
              <w:jc w:val="left"/>
              <w:rPr>
                <w:rFonts w:eastAsia="Times New Roman" w:cs="Times New Roman"/>
                <w:szCs w:val="20"/>
                <w:lang w:val="en-GB"/>
              </w:rPr>
            </w:pPr>
            <w:r>
              <w:rPr>
                <w:rFonts w:eastAsia="Times New Roman" w:cs="Times New Roman"/>
                <w:szCs w:val="20"/>
                <w:lang w:val="en-GB"/>
              </w:rPr>
              <w:t>Arabic</w:t>
            </w:r>
          </w:p>
          <w:p w14:paraId="4F7B9316" w14:textId="54CBB793" w:rsidR="00701762" w:rsidRPr="00D20AC6" w:rsidRDefault="00D20AC6" w:rsidP="00D20AC6">
            <w:pPr>
              <w:bidi w:val="0"/>
              <w:spacing w:line="240" w:lineRule="exact"/>
              <w:jc w:val="left"/>
              <w:rPr>
                <w:szCs w:val="20"/>
                <w:lang w:val="en-GB"/>
              </w:rPr>
            </w:pPr>
            <w:r w:rsidRPr="00D20AC6">
              <w:rPr>
                <w:rFonts w:eastAsia="Times New Roman" w:cs="Times New Roman"/>
                <w:szCs w:val="20"/>
                <w:lang w:val="en-GB"/>
              </w:rPr>
              <w:t>Original: Spanish</w:t>
            </w:r>
          </w:p>
        </w:tc>
      </w:tr>
    </w:tbl>
    <w:p w14:paraId="55448B07" w14:textId="77777777" w:rsidR="00E34EE7" w:rsidRPr="00827326" w:rsidRDefault="00E34EE7" w:rsidP="00621B71">
      <w:pPr>
        <w:spacing w:before="120" w:line="360" w:lineRule="exact"/>
        <w:rPr>
          <w:rFonts w:ascii="Simplified Arabic" w:eastAsiaTheme="minorEastAsia" w:hAnsi="Simplified Arabic"/>
          <w:b/>
          <w:bCs/>
          <w:sz w:val="26"/>
          <w:szCs w:val="26"/>
          <w:rtl/>
          <w:lang w:eastAsia="zh-TW"/>
        </w:rPr>
      </w:pPr>
      <w:r w:rsidRPr="00827326">
        <w:rPr>
          <w:rFonts w:ascii="Simplified Arabic" w:eastAsiaTheme="minorEastAsia" w:hAnsi="Simplified Arabic"/>
          <w:b/>
          <w:bCs/>
          <w:sz w:val="26"/>
          <w:szCs w:val="26"/>
          <w:rtl/>
          <w:lang w:eastAsia="zh-TW"/>
        </w:rPr>
        <w:t>اللجنة المعنية بحقوق الإنسان</w:t>
      </w:r>
    </w:p>
    <w:p w14:paraId="419675DE" w14:textId="47A4D3B9" w:rsidR="00E34EE7" w:rsidRPr="00827326" w:rsidRDefault="00E34EE7" w:rsidP="00917A3D">
      <w:pPr>
        <w:pStyle w:val="HChGA"/>
        <w:spacing w:before="300" w:after="200"/>
        <w:rPr>
          <w:rtl/>
        </w:rPr>
      </w:pPr>
      <w:r w:rsidRPr="00827326">
        <w:rPr>
          <w:rtl/>
        </w:rPr>
        <w:tab/>
      </w:r>
      <w:r w:rsidRPr="00827326">
        <w:rPr>
          <w:rtl/>
        </w:rPr>
        <w:tab/>
        <w:t>آراء اعتمدتها اللجنة بموجب المادة 5(4) من البروتوكول الاختياري، بشأن البلاغ رقم 2833/2016</w:t>
      </w:r>
      <w:r w:rsidR="00621B71" w:rsidRPr="00827326">
        <w:rPr>
          <w:rStyle w:val="FootnoteReference"/>
          <w:sz w:val="22"/>
          <w:szCs w:val="22"/>
          <w:vertAlign w:val="baseline"/>
          <w:rtl/>
        </w:rPr>
        <w:footnoteReference w:customMarkFollows="1" w:id="1"/>
        <w:t>*</w:t>
      </w:r>
      <w:r w:rsidR="00621B71" w:rsidRPr="00827326">
        <w:rPr>
          <w:rFonts w:hint="cs"/>
          <w:rtl/>
        </w:rPr>
        <w:t xml:space="preserve"> </w:t>
      </w:r>
      <w:r w:rsidR="00621B71" w:rsidRPr="00827326">
        <w:rPr>
          <w:rStyle w:val="FootnoteReference"/>
          <w:sz w:val="22"/>
          <w:szCs w:val="22"/>
          <w:vertAlign w:val="baseline"/>
          <w:rtl/>
        </w:rPr>
        <w:footnoteReference w:customMarkFollows="1" w:id="2"/>
        <w:t>**</w:t>
      </w:r>
    </w:p>
    <w:p w14:paraId="443495D2" w14:textId="28C0396F" w:rsidR="00E34EE7" w:rsidRPr="00E34EE7" w:rsidRDefault="00E34EE7" w:rsidP="00917A3D">
      <w:pPr>
        <w:pStyle w:val="SingleTxtGA"/>
        <w:tabs>
          <w:tab w:val="clear" w:pos="1928"/>
          <w:tab w:val="clear" w:pos="2608"/>
          <w:tab w:val="clear" w:pos="3289"/>
          <w:tab w:val="clear" w:pos="3969"/>
          <w:tab w:val="clear" w:pos="4649"/>
          <w:tab w:val="clear" w:pos="5330"/>
        </w:tabs>
        <w:spacing w:after="100" w:line="340" w:lineRule="exact"/>
        <w:ind w:left="4649" w:hanging="2721"/>
        <w:rPr>
          <w:rtl/>
        </w:rPr>
      </w:pPr>
      <w:r w:rsidRPr="00827326">
        <w:rPr>
          <w:i/>
          <w:iCs/>
          <w:rtl/>
        </w:rPr>
        <w:t>بلاغ مقدم من:</w:t>
      </w:r>
      <w:r>
        <w:rPr>
          <w:rtl/>
        </w:rPr>
        <w:tab/>
      </w:r>
      <w:r w:rsidRPr="00D20AC6">
        <w:rPr>
          <w:spacing w:val="-4"/>
          <w:rtl/>
        </w:rPr>
        <w:t xml:space="preserve">خوسيه لويس </w:t>
      </w:r>
      <w:proofErr w:type="spellStart"/>
      <w:r w:rsidRPr="00D20AC6">
        <w:rPr>
          <w:spacing w:val="-4"/>
          <w:rtl/>
        </w:rPr>
        <w:t>بيتشاردو</w:t>
      </w:r>
      <w:proofErr w:type="spellEnd"/>
      <w:r w:rsidRPr="00D20AC6">
        <w:rPr>
          <w:spacing w:val="-4"/>
          <w:rtl/>
        </w:rPr>
        <w:t xml:space="preserve"> </w:t>
      </w:r>
      <w:proofErr w:type="spellStart"/>
      <w:r w:rsidRPr="00D20AC6">
        <w:rPr>
          <w:spacing w:val="-4"/>
          <w:rtl/>
        </w:rPr>
        <w:t>سالاثار</w:t>
      </w:r>
      <w:proofErr w:type="spellEnd"/>
      <w:r w:rsidRPr="00D20AC6">
        <w:rPr>
          <w:spacing w:val="-4"/>
          <w:rtl/>
        </w:rPr>
        <w:t xml:space="preserve"> (يمثله المحامي </w:t>
      </w:r>
      <w:proofErr w:type="spellStart"/>
      <w:r w:rsidRPr="00D20AC6">
        <w:rPr>
          <w:spacing w:val="-4"/>
          <w:rtl/>
        </w:rPr>
        <w:t>أوسوالدو</w:t>
      </w:r>
      <w:proofErr w:type="spellEnd"/>
      <w:r w:rsidRPr="00E34EE7">
        <w:rPr>
          <w:rtl/>
        </w:rPr>
        <w:t xml:space="preserve"> خوسيه </w:t>
      </w:r>
      <w:proofErr w:type="spellStart"/>
      <w:r w:rsidRPr="00E34EE7">
        <w:rPr>
          <w:rtl/>
        </w:rPr>
        <w:t>دومينغيث</w:t>
      </w:r>
      <w:proofErr w:type="spellEnd"/>
      <w:r w:rsidRPr="00E34EE7">
        <w:rPr>
          <w:rtl/>
        </w:rPr>
        <w:t xml:space="preserve"> </w:t>
      </w:r>
      <w:proofErr w:type="spellStart"/>
      <w:r w:rsidRPr="00E34EE7">
        <w:rPr>
          <w:rtl/>
        </w:rPr>
        <w:t>فلوريدو</w:t>
      </w:r>
      <w:proofErr w:type="spellEnd"/>
      <w:r w:rsidRPr="00E34EE7">
        <w:rPr>
          <w:rtl/>
        </w:rPr>
        <w:t>)</w:t>
      </w:r>
    </w:p>
    <w:p w14:paraId="306480C4" w14:textId="04A67B1B" w:rsidR="00E34EE7" w:rsidRPr="00E34EE7" w:rsidRDefault="00E34EE7" w:rsidP="00917A3D">
      <w:pPr>
        <w:pStyle w:val="SingleTxtGA"/>
        <w:tabs>
          <w:tab w:val="clear" w:pos="1928"/>
          <w:tab w:val="clear" w:pos="2608"/>
          <w:tab w:val="clear" w:pos="3289"/>
          <w:tab w:val="clear" w:pos="3969"/>
          <w:tab w:val="clear" w:pos="4649"/>
          <w:tab w:val="clear" w:pos="5330"/>
        </w:tabs>
        <w:spacing w:after="100" w:line="340" w:lineRule="exact"/>
        <w:ind w:left="4649" w:hanging="2721"/>
        <w:rPr>
          <w:rFonts w:hint="cs"/>
          <w:rtl/>
        </w:rPr>
      </w:pPr>
      <w:r w:rsidRPr="00827326">
        <w:rPr>
          <w:i/>
          <w:iCs/>
          <w:rtl/>
        </w:rPr>
        <w:t>الشخص المدعى أنه ضحية:</w:t>
      </w:r>
      <w:r>
        <w:rPr>
          <w:rtl/>
        </w:rPr>
        <w:tab/>
      </w:r>
      <w:r w:rsidRPr="00E34EE7">
        <w:rPr>
          <w:rtl/>
        </w:rPr>
        <w:t xml:space="preserve">صاحب البلاغ </w:t>
      </w:r>
    </w:p>
    <w:p w14:paraId="1AACB320" w14:textId="693A91B3" w:rsidR="00E34EE7" w:rsidRPr="00E34EE7" w:rsidRDefault="00E34EE7" w:rsidP="00917A3D">
      <w:pPr>
        <w:pStyle w:val="SingleTxtGA"/>
        <w:tabs>
          <w:tab w:val="clear" w:pos="1928"/>
          <w:tab w:val="clear" w:pos="2608"/>
          <w:tab w:val="clear" w:pos="3289"/>
          <w:tab w:val="clear" w:pos="3969"/>
          <w:tab w:val="clear" w:pos="4649"/>
          <w:tab w:val="clear" w:pos="5330"/>
        </w:tabs>
        <w:spacing w:after="100" w:line="340" w:lineRule="exact"/>
        <w:ind w:left="4649" w:hanging="2721"/>
        <w:rPr>
          <w:rtl/>
        </w:rPr>
      </w:pPr>
      <w:r w:rsidRPr="00827326">
        <w:rPr>
          <w:i/>
          <w:iCs/>
          <w:rtl/>
        </w:rPr>
        <w:t>الدولة الطرف:</w:t>
      </w:r>
      <w:r>
        <w:rPr>
          <w:rtl/>
        </w:rPr>
        <w:tab/>
      </w:r>
      <w:r w:rsidRPr="00E34EE7">
        <w:rPr>
          <w:rtl/>
        </w:rPr>
        <w:t>جمهورية فنزويلا البوليفارية</w:t>
      </w:r>
    </w:p>
    <w:p w14:paraId="6E6096E2" w14:textId="71736198" w:rsidR="00E34EE7" w:rsidRPr="00E34EE7" w:rsidRDefault="00E34EE7" w:rsidP="00917A3D">
      <w:pPr>
        <w:pStyle w:val="SingleTxtGA"/>
        <w:tabs>
          <w:tab w:val="clear" w:pos="1928"/>
          <w:tab w:val="clear" w:pos="2608"/>
          <w:tab w:val="clear" w:pos="3289"/>
          <w:tab w:val="clear" w:pos="3969"/>
          <w:tab w:val="clear" w:pos="4649"/>
          <w:tab w:val="clear" w:pos="5330"/>
        </w:tabs>
        <w:spacing w:after="100" w:line="340" w:lineRule="exact"/>
        <w:ind w:left="4649" w:hanging="2721"/>
        <w:rPr>
          <w:rtl/>
        </w:rPr>
      </w:pPr>
      <w:r w:rsidRPr="00827326">
        <w:rPr>
          <w:i/>
          <w:iCs/>
          <w:rtl/>
        </w:rPr>
        <w:t>تاريخ تقديم البلاغ:</w:t>
      </w:r>
      <w:r>
        <w:rPr>
          <w:rtl/>
        </w:rPr>
        <w:tab/>
      </w:r>
      <w:r w:rsidRPr="00827326">
        <w:rPr>
          <w:rtl/>
        </w:rPr>
        <w:t>30</w:t>
      </w:r>
      <w:r w:rsidRPr="00E34EE7">
        <w:rPr>
          <w:rtl/>
        </w:rPr>
        <w:t xml:space="preserve"> آذار/مارس </w:t>
      </w:r>
      <w:r w:rsidRPr="00827326">
        <w:rPr>
          <w:rtl/>
        </w:rPr>
        <w:t>2016</w:t>
      </w:r>
      <w:r w:rsidRPr="00E34EE7">
        <w:rPr>
          <w:rtl/>
        </w:rPr>
        <w:t xml:space="preserve"> (تاريخ الرسالة الأولى)</w:t>
      </w:r>
    </w:p>
    <w:p w14:paraId="0A894827" w14:textId="66931531" w:rsidR="00E34EE7" w:rsidRPr="00E34EE7" w:rsidRDefault="00E34EE7" w:rsidP="00917A3D">
      <w:pPr>
        <w:pStyle w:val="SingleTxtGA"/>
        <w:tabs>
          <w:tab w:val="clear" w:pos="1928"/>
          <w:tab w:val="clear" w:pos="2608"/>
          <w:tab w:val="clear" w:pos="3289"/>
          <w:tab w:val="clear" w:pos="3969"/>
          <w:tab w:val="clear" w:pos="4649"/>
          <w:tab w:val="clear" w:pos="5330"/>
        </w:tabs>
        <w:spacing w:after="100" w:line="340" w:lineRule="exact"/>
        <w:ind w:left="4649" w:hanging="2721"/>
        <w:rPr>
          <w:rtl/>
        </w:rPr>
      </w:pPr>
      <w:r w:rsidRPr="00827326">
        <w:rPr>
          <w:i/>
          <w:iCs/>
          <w:rtl/>
        </w:rPr>
        <w:t>الوثائق المرجعية:</w:t>
      </w:r>
      <w:r>
        <w:rPr>
          <w:rtl/>
        </w:rPr>
        <w:tab/>
      </w:r>
      <w:r w:rsidRPr="00E34EE7">
        <w:rPr>
          <w:rtl/>
        </w:rPr>
        <w:t xml:space="preserve">القرار المتخذ عملاً بالمادة </w:t>
      </w:r>
      <w:r w:rsidRPr="00827326">
        <w:rPr>
          <w:rtl/>
        </w:rPr>
        <w:t>92</w:t>
      </w:r>
      <w:r w:rsidRPr="00E34EE7">
        <w:rPr>
          <w:rtl/>
        </w:rPr>
        <w:t xml:space="preserve"> من النظام الداخلي </w:t>
      </w:r>
      <w:r w:rsidRPr="00621B71">
        <w:rPr>
          <w:spacing w:val="-2"/>
          <w:rtl/>
        </w:rPr>
        <w:t xml:space="preserve">للجنة، والمحال إلى الدولة الطرف في </w:t>
      </w:r>
      <w:r w:rsidRPr="00827326">
        <w:rPr>
          <w:spacing w:val="-2"/>
          <w:rtl/>
        </w:rPr>
        <w:t>19</w:t>
      </w:r>
      <w:r w:rsidRPr="00621B71">
        <w:rPr>
          <w:spacing w:val="-2"/>
          <w:rtl/>
        </w:rPr>
        <w:t xml:space="preserve"> تشرين الأول/</w:t>
      </w:r>
      <w:r w:rsidR="00621B71">
        <w:rPr>
          <w:rFonts w:hint="cs"/>
          <w:rtl/>
        </w:rPr>
        <w:t xml:space="preserve"> </w:t>
      </w:r>
      <w:r w:rsidRPr="00E34EE7">
        <w:rPr>
          <w:rtl/>
        </w:rPr>
        <w:t xml:space="preserve">أكتوبر </w:t>
      </w:r>
      <w:r w:rsidRPr="00827326">
        <w:rPr>
          <w:rtl/>
        </w:rPr>
        <w:t>2016</w:t>
      </w:r>
      <w:r w:rsidRPr="00E34EE7">
        <w:rPr>
          <w:rtl/>
        </w:rPr>
        <w:t xml:space="preserve"> (لم يصدر في شكل وثيقة)</w:t>
      </w:r>
    </w:p>
    <w:p w14:paraId="4FA1B0F2" w14:textId="65EA9305" w:rsidR="00E34EE7" w:rsidRPr="00E34EE7" w:rsidRDefault="00E34EE7" w:rsidP="00917A3D">
      <w:pPr>
        <w:pStyle w:val="SingleTxtGA"/>
        <w:tabs>
          <w:tab w:val="clear" w:pos="1928"/>
          <w:tab w:val="clear" w:pos="2608"/>
          <w:tab w:val="clear" w:pos="3289"/>
          <w:tab w:val="clear" w:pos="3969"/>
          <w:tab w:val="clear" w:pos="4649"/>
          <w:tab w:val="clear" w:pos="5330"/>
        </w:tabs>
        <w:spacing w:after="100" w:line="340" w:lineRule="exact"/>
        <w:ind w:left="4649" w:hanging="2721"/>
        <w:rPr>
          <w:rtl/>
        </w:rPr>
      </w:pPr>
      <w:r w:rsidRPr="00827326">
        <w:rPr>
          <w:i/>
          <w:iCs/>
          <w:rtl/>
        </w:rPr>
        <w:t>تاريخ اعتماد الآراء:</w:t>
      </w:r>
      <w:r>
        <w:rPr>
          <w:rtl/>
        </w:rPr>
        <w:tab/>
      </w:r>
      <w:r w:rsidRPr="00827326">
        <w:rPr>
          <w:rtl/>
        </w:rPr>
        <w:t>14</w:t>
      </w:r>
      <w:r w:rsidRPr="00E34EE7">
        <w:rPr>
          <w:rtl/>
        </w:rPr>
        <w:t xml:space="preserve"> تموز/يوليه </w:t>
      </w:r>
      <w:r w:rsidRPr="00827326">
        <w:rPr>
          <w:rtl/>
        </w:rPr>
        <w:t>2021</w:t>
      </w:r>
    </w:p>
    <w:p w14:paraId="090E1746" w14:textId="7CCB9B83" w:rsidR="00E34EE7" w:rsidRPr="00E34EE7" w:rsidRDefault="00E34EE7" w:rsidP="00917A3D">
      <w:pPr>
        <w:pStyle w:val="SingleTxtGA"/>
        <w:tabs>
          <w:tab w:val="clear" w:pos="1928"/>
          <w:tab w:val="clear" w:pos="2608"/>
          <w:tab w:val="clear" w:pos="3289"/>
          <w:tab w:val="clear" w:pos="3969"/>
          <w:tab w:val="clear" w:pos="4649"/>
          <w:tab w:val="clear" w:pos="5330"/>
        </w:tabs>
        <w:spacing w:after="100" w:line="340" w:lineRule="exact"/>
        <w:ind w:left="4649" w:hanging="2721"/>
        <w:rPr>
          <w:rtl/>
        </w:rPr>
      </w:pPr>
      <w:r w:rsidRPr="00827326">
        <w:rPr>
          <w:i/>
          <w:iCs/>
          <w:rtl/>
        </w:rPr>
        <w:t>الموضوع:</w:t>
      </w:r>
      <w:r>
        <w:rPr>
          <w:rtl/>
        </w:rPr>
        <w:tab/>
      </w:r>
      <w:r w:rsidRPr="00E34EE7">
        <w:rPr>
          <w:rtl/>
        </w:rPr>
        <w:t>إجراءات جنائية ضد رجل أعمال مع صدور أمر بإلقاء القبض عليه</w:t>
      </w:r>
    </w:p>
    <w:p w14:paraId="7C9F865B" w14:textId="2B9722D7" w:rsidR="00E34EE7" w:rsidRPr="00E34EE7" w:rsidRDefault="00E34EE7" w:rsidP="00917A3D">
      <w:pPr>
        <w:pStyle w:val="SingleTxtGA"/>
        <w:tabs>
          <w:tab w:val="clear" w:pos="1928"/>
          <w:tab w:val="clear" w:pos="2608"/>
          <w:tab w:val="clear" w:pos="3289"/>
          <w:tab w:val="clear" w:pos="3969"/>
          <w:tab w:val="clear" w:pos="4649"/>
          <w:tab w:val="clear" w:pos="5330"/>
        </w:tabs>
        <w:spacing w:after="100" w:line="340" w:lineRule="exact"/>
        <w:ind w:left="4649" w:hanging="2721"/>
        <w:rPr>
          <w:rtl/>
        </w:rPr>
      </w:pPr>
      <w:r w:rsidRPr="00827326">
        <w:rPr>
          <w:i/>
          <w:iCs/>
          <w:rtl/>
        </w:rPr>
        <w:t>المسائل الإجرائية:</w:t>
      </w:r>
      <w:r>
        <w:rPr>
          <w:rtl/>
        </w:rPr>
        <w:tab/>
      </w:r>
      <w:r w:rsidRPr="00E34EE7">
        <w:rPr>
          <w:rtl/>
        </w:rPr>
        <w:t>استنفاد سبل الانتصاف المحلية</w:t>
      </w:r>
    </w:p>
    <w:p w14:paraId="0EF25E87" w14:textId="067D9B42" w:rsidR="00E34EE7" w:rsidRPr="00E34EE7" w:rsidRDefault="00E34EE7" w:rsidP="00917A3D">
      <w:pPr>
        <w:pStyle w:val="SingleTxtGA"/>
        <w:tabs>
          <w:tab w:val="clear" w:pos="1928"/>
          <w:tab w:val="clear" w:pos="2608"/>
          <w:tab w:val="clear" w:pos="3289"/>
          <w:tab w:val="clear" w:pos="3969"/>
          <w:tab w:val="clear" w:pos="4649"/>
          <w:tab w:val="clear" w:pos="5330"/>
        </w:tabs>
        <w:spacing w:after="100" w:line="340" w:lineRule="exact"/>
        <w:ind w:left="4649" w:hanging="2721"/>
        <w:rPr>
          <w:rtl/>
        </w:rPr>
      </w:pPr>
      <w:r w:rsidRPr="00827326">
        <w:rPr>
          <w:i/>
          <w:iCs/>
          <w:rtl/>
        </w:rPr>
        <w:t>المسائل الموضوعية:</w:t>
      </w:r>
      <w:r>
        <w:rPr>
          <w:rtl/>
        </w:rPr>
        <w:tab/>
      </w:r>
      <w:r w:rsidRPr="00E34EE7">
        <w:rPr>
          <w:rtl/>
        </w:rPr>
        <w:t>الحق في محاكمة عادلة؛ والحق في المساعدة القانونية؛ والحق في الدفاع؛ وحق الشخص في الاستماع إليه</w:t>
      </w:r>
    </w:p>
    <w:p w14:paraId="03211220" w14:textId="2BE80EF4" w:rsidR="00E34EE7" w:rsidRPr="00E34EE7" w:rsidRDefault="00E34EE7" w:rsidP="00917A3D">
      <w:pPr>
        <w:pStyle w:val="SingleTxtGA"/>
        <w:tabs>
          <w:tab w:val="clear" w:pos="1928"/>
          <w:tab w:val="clear" w:pos="2608"/>
          <w:tab w:val="clear" w:pos="3289"/>
          <w:tab w:val="clear" w:pos="3969"/>
          <w:tab w:val="clear" w:pos="4649"/>
          <w:tab w:val="clear" w:pos="5330"/>
        </w:tabs>
        <w:spacing w:after="100" w:line="340" w:lineRule="exact"/>
        <w:ind w:left="4649" w:hanging="2721"/>
        <w:rPr>
          <w:rtl/>
        </w:rPr>
      </w:pPr>
      <w:r w:rsidRPr="00827326">
        <w:rPr>
          <w:i/>
          <w:iCs/>
          <w:rtl/>
        </w:rPr>
        <w:t>مواد العهد:</w:t>
      </w:r>
      <w:r>
        <w:rPr>
          <w:rtl/>
        </w:rPr>
        <w:tab/>
      </w:r>
      <w:r w:rsidRPr="00827326">
        <w:rPr>
          <w:rtl/>
        </w:rPr>
        <w:t>2</w:t>
      </w:r>
      <w:r w:rsidRPr="00E34EE7">
        <w:rPr>
          <w:rtl/>
        </w:rPr>
        <w:t>؛ و</w:t>
      </w:r>
      <w:r w:rsidRPr="00827326">
        <w:rPr>
          <w:rtl/>
        </w:rPr>
        <w:t>9</w:t>
      </w:r>
      <w:r w:rsidRPr="00E34EE7">
        <w:rPr>
          <w:rtl/>
        </w:rPr>
        <w:t>؛ و</w:t>
      </w:r>
      <w:r w:rsidRPr="00827326">
        <w:rPr>
          <w:rtl/>
        </w:rPr>
        <w:t>14</w:t>
      </w:r>
      <w:r w:rsidRPr="00E34EE7">
        <w:rPr>
          <w:rtl/>
        </w:rPr>
        <w:t>(</w:t>
      </w:r>
      <w:r w:rsidRPr="00827326">
        <w:rPr>
          <w:rtl/>
        </w:rPr>
        <w:t>1</w:t>
      </w:r>
      <w:r w:rsidRPr="00E34EE7">
        <w:rPr>
          <w:rtl/>
        </w:rPr>
        <w:t>)، و(</w:t>
      </w:r>
      <w:r w:rsidRPr="00827326">
        <w:rPr>
          <w:rtl/>
        </w:rPr>
        <w:t>2</w:t>
      </w:r>
      <w:r w:rsidRPr="00E34EE7">
        <w:rPr>
          <w:rtl/>
        </w:rPr>
        <w:t>)، و(</w:t>
      </w:r>
      <w:r w:rsidRPr="00827326">
        <w:rPr>
          <w:rtl/>
        </w:rPr>
        <w:t>3</w:t>
      </w:r>
      <w:r w:rsidRPr="00E34EE7">
        <w:rPr>
          <w:rtl/>
        </w:rPr>
        <w:t>)(أ) و(ب) و(ج) و(د)</w:t>
      </w:r>
    </w:p>
    <w:p w14:paraId="26C10821" w14:textId="26C7E1B9" w:rsidR="00E34EE7" w:rsidRPr="00E34EE7" w:rsidRDefault="00E34EE7" w:rsidP="00917A3D">
      <w:pPr>
        <w:pStyle w:val="SingleTxtGA"/>
        <w:tabs>
          <w:tab w:val="clear" w:pos="1928"/>
          <w:tab w:val="clear" w:pos="2608"/>
          <w:tab w:val="clear" w:pos="3289"/>
          <w:tab w:val="clear" w:pos="3969"/>
          <w:tab w:val="clear" w:pos="4649"/>
          <w:tab w:val="clear" w:pos="5330"/>
        </w:tabs>
        <w:spacing w:after="100" w:line="340" w:lineRule="exact"/>
        <w:ind w:left="4649" w:hanging="2721"/>
        <w:rPr>
          <w:rtl/>
        </w:rPr>
      </w:pPr>
      <w:r w:rsidRPr="00827326">
        <w:rPr>
          <w:i/>
          <w:iCs/>
          <w:rtl/>
        </w:rPr>
        <w:t>مواد البروتوكول الاختياري:</w:t>
      </w:r>
      <w:r>
        <w:rPr>
          <w:rtl/>
        </w:rPr>
        <w:tab/>
      </w:r>
      <w:r w:rsidRPr="00827326">
        <w:rPr>
          <w:rtl/>
        </w:rPr>
        <w:t>5</w:t>
      </w:r>
      <w:r w:rsidRPr="00E34EE7">
        <w:rPr>
          <w:rtl/>
        </w:rPr>
        <w:t>(</w:t>
      </w:r>
      <w:r w:rsidRPr="00827326">
        <w:rPr>
          <w:rtl/>
        </w:rPr>
        <w:t>2</w:t>
      </w:r>
      <w:r w:rsidRPr="00E34EE7">
        <w:rPr>
          <w:rtl/>
        </w:rPr>
        <w:t>)(ب)</w:t>
      </w:r>
    </w:p>
    <w:p w14:paraId="56619DCD" w14:textId="37A83A7B" w:rsidR="00E34EE7" w:rsidRPr="00E34EE7" w:rsidRDefault="00E34EE7" w:rsidP="00917A3D">
      <w:pPr>
        <w:pStyle w:val="SingleTxtGA"/>
        <w:spacing w:after="100" w:line="340" w:lineRule="exact"/>
        <w:rPr>
          <w:rtl/>
          <w:lang w:val="es-PY"/>
        </w:rPr>
      </w:pPr>
      <w:r w:rsidRPr="00827326">
        <w:rPr>
          <w:rtl/>
          <w:lang w:val="es-PY"/>
        </w:rPr>
        <w:t>1</w:t>
      </w:r>
      <w:r w:rsidRPr="00E34EE7">
        <w:rPr>
          <w:rtl/>
          <w:lang w:val="es-PY"/>
        </w:rPr>
        <w:t>-</w:t>
      </w:r>
      <w:r w:rsidRPr="00E34EE7">
        <w:rPr>
          <w:rtl/>
          <w:lang w:val="es-PY"/>
        </w:rPr>
        <w:tab/>
        <w:t xml:space="preserve">صاحب البلاغ هو خوسيه لويس </w:t>
      </w:r>
      <w:proofErr w:type="spellStart"/>
      <w:r w:rsidRPr="00E34EE7">
        <w:rPr>
          <w:rtl/>
          <w:lang w:val="es-PY"/>
        </w:rPr>
        <w:t>بيتشاردو</w:t>
      </w:r>
      <w:proofErr w:type="spellEnd"/>
      <w:r w:rsidRPr="00E34EE7">
        <w:rPr>
          <w:rtl/>
          <w:lang w:val="es-PY"/>
        </w:rPr>
        <w:t xml:space="preserve"> </w:t>
      </w:r>
      <w:proofErr w:type="spellStart"/>
      <w:r w:rsidRPr="00E34EE7">
        <w:rPr>
          <w:rtl/>
          <w:lang w:val="es-PY"/>
        </w:rPr>
        <w:t>سالاثار</w:t>
      </w:r>
      <w:proofErr w:type="spellEnd"/>
      <w:r w:rsidRPr="00E34EE7">
        <w:rPr>
          <w:rtl/>
          <w:lang w:val="es-PY"/>
        </w:rPr>
        <w:t xml:space="preserve">، وهو مواطن فنزويلي، وُلد في </w:t>
      </w:r>
      <w:r w:rsidRPr="00827326">
        <w:rPr>
          <w:rtl/>
          <w:lang w:val="es-PY"/>
        </w:rPr>
        <w:t>25</w:t>
      </w:r>
      <w:r w:rsidRPr="00E34EE7">
        <w:rPr>
          <w:rtl/>
          <w:lang w:val="es-PY"/>
        </w:rPr>
        <w:t xml:space="preserve"> آب/</w:t>
      </w:r>
      <w:r w:rsidR="00621B71">
        <w:rPr>
          <w:rFonts w:hint="cs"/>
          <w:rtl/>
          <w:lang w:val="es-PY"/>
        </w:rPr>
        <w:t xml:space="preserve"> </w:t>
      </w:r>
      <w:r w:rsidRPr="00E34EE7">
        <w:rPr>
          <w:rtl/>
          <w:lang w:val="es-PY"/>
        </w:rPr>
        <w:t xml:space="preserve">أغسطس </w:t>
      </w:r>
      <w:r w:rsidRPr="00827326">
        <w:rPr>
          <w:rtl/>
          <w:lang w:val="es-PY"/>
        </w:rPr>
        <w:t>1958</w:t>
      </w:r>
      <w:r w:rsidRPr="00E34EE7">
        <w:rPr>
          <w:rtl/>
          <w:lang w:val="es-PY"/>
        </w:rPr>
        <w:t xml:space="preserve">. ويدّعي أن الدولة الطرف انتهكت حقوقه المكفولة بموجب المواد </w:t>
      </w:r>
      <w:r w:rsidRPr="00827326">
        <w:rPr>
          <w:rtl/>
          <w:lang w:val="es-PY"/>
        </w:rPr>
        <w:t>2</w:t>
      </w:r>
      <w:r w:rsidRPr="00E34EE7">
        <w:rPr>
          <w:rtl/>
          <w:lang w:val="es-PY"/>
        </w:rPr>
        <w:t>؛ و</w:t>
      </w:r>
      <w:r w:rsidRPr="00827326">
        <w:rPr>
          <w:rtl/>
          <w:lang w:val="es-PY"/>
        </w:rPr>
        <w:t>9</w:t>
      </w:r>
      <w:r w:rsidRPr="00E34EE7">
        <w:rPr>
          <w:rtl/>
          <w:lang w:val="es-PY"/>
        </w:rPr>
        <w:t>؛ و</w:t>
      </w:r>
      <w:r w:rsidRPr="00827326">
        <w:rPr>
          <w:rtl/>
          <w:lang w:val="es-PY"/>
        </w:rPr>
        <w:t>14</w:t>
      </w:r>
      <w:r w:rsidRPr="00E34EE7">
        <w:rPr>
          <w:rtl/>
          <w:lang w:val="es-PY"/>
        </w:rPr>
        <w:t>(</w:t>
      </w:r>
      <w:r w:rsidRPr="00827326">
        <w:rPr>
          <w:rtl/>
          <w:lang w:val="es-PY"/>
        </w:rPr>
        <w:t>1</w:t>
      </w:r>
      <w:r w:rsidRPr="00E34EE7">
        <w:rPr>
          <w:rtl/>
          <w:lang w:val="es-PY"/>
        </w:rPr>
        <w:t>)، و(</w:t>
      </w:r>
      <w:r w:rsidRPr="00827326">
        <w:rPr>
          <w:rtl/>
          <w:lang w:val="es-PY"/>
        </w:rPr>
        <w:t>2</w:t>
      </w:r>
      <w:r w:rsidRPr="00E34EE7">
        <w:rPr>
          <w:rtl/>
          <w:lang w:val="es-PY"/>
        </w:rPr>
        <w:t>)، و(</w:t>
      </w:r>
      <w:r w:rsidRPr="00827326">
        <w:rPr>
          <w:rtl/>
          <w:lang w:val="es-PY"/>
        </w:rPr>
        <w:t>3</w:t>
      </w:r>
      <w:r w:rsidRPr="00E34EE7">
        <w:rPr>
          <w:rtl/>
          <w:lang w:val="es-PY"/>
        </w:rPr>
        <w:t xml:space="preserve">)(أ) و(ب) و(ج) و(د) من العهد. وقد دخل البروتوكول الاختياري حيز النفاذ بالنسبة للدولة الطرف في </w:t>
      </w:r>
      <w:r w:rsidRPr="00827326">
        <w:rPr>
          <w:rtl/>
          <w:lang w:val="es-PY"/>
        </w:rPr>
        <w:t>10</w:t>
      </w:r>
      <w:r w:rsidRPr="00E34EE7">
        <w:rPr>
          <w:rtl/>
          <w:lang w:val="es-PY"/>
        </w:rPr>
        <w:t xml:space="preserve"> آب/أغسطس </w:t>
      </w:r>
      <w:r w:rsidRPr="00827326">
        <w:rPr>
          <w:rtl/>
          <w:lang w:val="es-PY"/>
        </w:rPr>
        <w:t>1978</w:t>
      </w:r>
      <w:r w:rsidRPr="00E34EE7">
        <w:rPr>
          <w:rtl/>
          <w:lang w:val="es-PY"/>
        </w:rPr>
        <w:t>. ويمثّل صاحبَ البلاغ محام.</w:t>
      </w:r>
    </w:p>
    <w:p w14:paraId="79EF9AB6" w14:textId="77777777" w:rsidR="00E34EE7" w:rsidRPr="00827326" w:rsidRDefault="00E34EE7" w:rsidP="00E34EE7">
      <w:pPr>
        <w:pStyle w:val="H23GA"/>
        <w:rPr>
          <w:rtl/>
        </w:rPr>
      </w:pPr>
      <w:r w:rsidRPr="00827326">
        <w:rPr>
          <w:rtl/>
        </w:rPr>
        <w:lastRenderedPageBreak/>
        <w:tab/>
      </w:r>
      <w:r w:rsidRPr="00827326">
        <w:rPr>
          <w:rtl/>
        </w:rPr>
        <w:tab/>
        <w:t>الوقائع كما عرضها صاحب البلاغ</w:t>
      </w:r>
    </w:p>
    <w:p w14:paraId="780F1EC4" w14:textId="77777777" w:rsidR="00E34EE7" w:rsidRPr="00E34EE7" w:rsidRDefault="00E34EE7" w:rsidP="00E34EE7">
      <w:pPr>
        <w:pStyle w:val="SingleTxtGA"/>
        <w:rPr>
          <w:rtl/>
          <w:lang w:val="es-PY"/>
        </w:rPr>
      </w:pPr>
      <w:r w:rsidRPr="00827326">
        <w:rPr>
          <w:rtl/>
          <w:lang w:val="es-PY"/>
        </w:rPr>
        <w:t>2</w:t>
      </w:r>
      <w:r w:rsidRPr="00E34EE7">
        <w:rPr>
          <w:rtl/>
          <w:lang w:val="es-PY"/>
        </w:rPr>
        <w:t>-</w:t>
      </w:r>
      <w:r w:rsidRPr="00827326">
        <w:rPr>
          <w:rtl/>
          <w:lang w:val="es-PY"/>
        </w:rPr>
        <w:t>1</w:t>
      </w:r>
      <w:r w:rsidRPr="00E34EE7">
        <w:rPr>
          <w:rtl/>
          <w:lang w:val="es-PY"/>
        </w:rPr>
        <w:tab/>
        <w:t xml:space="preserve">كان صاحب البلاغ مساهماً بنسبة </w:t>
      </w:r>
      <w:r w:rsidRPr="00827326">
        <w:rPr>
          <w:rtl/>
          <w:lang w:val="es-PY"/>
        </w:rPr>
        <w:t>45</w:t>
      </w:r>
      <w:r w:rsidRPr="00E34EE7">
        <w:rPr>
          <w:rtl/>
          <w:lang w:val="es-PY"/>
        </w:rPr>
        <w:t xml:space="preserve"> في المائة في شركة الوساطة المالية "</w:t>
      </w:r>
      <w:proofErr w:type="spellStart"/>
      <w:r w:rsidRPr="00E34EE7">
        <w:rPr>
          <w:rtl/>
          <w:lang w:val="es-PY"/>
        </w:rPr>
        <w:t>أونو</w:t>
      </w:r>
      <w:proofErr w:type="spellEnd"/>
      <w:r w:rsidRPr="00E34EE7">
        <w:rPr>
          <w:rtl/>
          <w:lang w:val="es-PY"/>
        </w:rPr>
        <w:t xml:space="preserve"> </w:t>
      </w:r>
      <w:proofErr w:type="spellStart"/>
      <w:r w:rsidRPr="00E34EE7">
        <w:rPr>
          <w:rtl/>
          <w:lang w:val="es-PY"/>
        </w:rPr>
        <w:t>بالوريس</w:t>
      </w:r>
      <w:proofErr w:type="spellEnd"/>
      <w:r w:rsidRPr="00E34EE7">
        <w:rPr>
          <w:rtl/>
          <w:lang w:val="es-PY"/>
        </w:rPr>
        <w:t>" (</w:t>
      </w:r>
      <w:r w:rsidRPr="00E34EE7">
        <w:rPr>
          <w:lang w:val="es-PY"/>
        </w:rPr>
        <w:t>Uno Valores Casa de Bolsa</w:t>
      </w:r>
      <w:r w:rsidRPr="00E34EE7">
        <w:rPr>
          <w:rtl/>
          <w:lang w:val="es-PY"/>
        </w:rPr>
        <w:t>)، ومالكاً لمصرف "سول" (</w:t>
      </w:r>
      <w:r w:rsidRPr="00E34EE7">
        <w:rPr>
          <w:lang w:val="es-PY"/>
        </w:rPr>
        <w:t>Banco del Sol</w:t>
      </w:r>
      <w:r w:rsidRPr="00E34EE7">
        <w:rPr>
          <w:rtl/>
          <w:lang w:val="es-PY"/>
        </w:rPr>
        <w:t xml:space="preserve">)، عن طريق الشراء. ويدعي أن الأحداث وقعت في سياق اضطهاد حكومة الدولة الطرف للمصارف وشركات الوساطة خلال عامي </w:t>
      </w:r>
      <w:r w:rsidRPr="00827326">
        <w:rPr>
          <w:rtl/>
          <w:lang w:val="es-PY"/>
        </w:rPr>
        <w:t>2009</w:t>
      </w:r>
      <w:r w:rsidRPr="00E34EE7">
        <w:rPr>
          <w:rtl/>
          <w:lang w:val="es-PY"/>
        </w:rPr>
        <w:t xml:space="preserve"> و</w:t>
      </w:r>
      <w:r w:rsidRPr="00827326">
        <w:rPr>
          <w:rtl/>
          <w:lang w:val="es-PY"/>
        </w:rPr>
        <w:t>2010</w:t>
      </w:r>
      <w:r w:rsidRPr="00E34EE7">
        <w:rPr>
          <w:rtl/>
          <w:lang w:val="es-PY"/>
        </w:rPr>
        <w:t>.</w:t>
      </w:r>
    </w:p>
    <w:p w14:paraId="771C3FB5" w14:textId="77777777" w:rsidR="00E34EE7" w:rsidRPr="00E34EE7" w:rsidRDefault="00E34EE7" w:rsidP="00E34EE7">
      <w:pPr>
        <w:pStyle w:val="SingleTxtGA"/>
        <w:rPr>
          <w:rtl/>
          <w:lang w:val="es-PY"/>
        </w:rPr>
      </w:pPr>
      <w:r w:rsidRPr="00827326">
        <w:rPr>
          <w:rtl/>
          <w:lang w:val="es-PY"/>
        </w:rPr>
        <w:t>2</w:t>
      </w:r>
      <w:r w:rsidRPr="00E34EE7">
        <w:rPr>
          <w:rtl/>
          <w:lang w:val="es-PY"/>
        </w:rPr>
        <w:t>-</w:t>
      </w:r>
      <w:r w:rsidRPr="00827326">
        <w:rPr>
          <w:rtl/>
          <w:lang w:val="es-PY"/>
        </w:rPr>
        <w:t>2</w:t>
      </w:r>
      <w:r w:rsidRPr="00E34EE7">
        <w:rPr>
          <w:rtl/>
          <w:lang w:val="es-PY"/>
        </w:rPr>
        <w:tab/>
        <w:t xml:space="preserve">وفي </w:t>
      </w:r>
      <w:r w:rsidRPr="00827326">
        <w:rPr>
          <w:rtl/>
          <w:lang w:val="es-PY"/>
        </w:rPr>
        <w:t>5</w:t>
      </w:r>
      <w:r w:rsidRPr="00E34EE7">
        <w:rPr>
          <w:rtl/>
          <w:lang w:val="es-PY"/>
        </w:rPr>
        <w:t xml:space="preserve"> كانون الثاني/يناير </w:t>
      </w:r>
      <w:r w:rsidRPr="00827326">
        <w:rPr>
          <w:rtl/>
          <w:lang w:val="es-PY"/>
        </w:rPr>
        <w:t>2010</w:t>
      </w:r>
      <w:r w:rsidRPr="00E34EE7">
        <w:rPr>
          <w:rtl/>
          <w:lang w:val="es-PY"/>
        </w:rPr>
        <w:t xml:space="preserve">، قدم صاحب البلاغ إلى مكتب المدعي العام شكوى ضد </w:t>
      </w:r>
      <w:proofErr w:type="spellStart"/>
      <w:r w:rsidRPr="00E34EE7">
        <w:rPr>
          <w:rtl/>
          <w:lang w:val="es-PY"/>
        </w:rPr>
        <w:t>ليونور</w:t>
      </w:r>
      <w:proofErr w:type="spellEnd"/>
      <w:r w:rsidRPr="00E34EE7">
        <w:rPr>
          <w:rtl/>
          <w:lang w:val="es-PY"/>
        </w:rPr>
        <w:t xml:space="preserve"> </w:t>
      </w:r>
      <w:proofErr w:type="spellStart"/>
      <w:r w:rsidRPr="00E34EE7">
        <w:rPr>
          <w:rtl/>
          <w:lang w:val="es-PY"/>
        </w:rPr>
        <w:t>سارميينتو</w:t>
      </w:r>
      <w:proofErr w:type="spellEnd"/>
      <w:r w:rsidRPr="00E34EE7">
        <w:rPr>
          <w:rtl/>
          <w:lang w:val="es-PY"/>
        </w:rPr>
        <w:t>، التي كانت نائبة رئيس شركة "</w:t>
      </w:r>
      <w:proofErr w:type="spellStart"/>
      <w:r w:rsidRPr="00E34EE7">
        <w:rPr>
          <w:rtl/>
          <w:lang w:val="es-PY"/>
        </w:rPr>
        <w:t>أونو</w:t>
      </w:r>
      <w:proofErr w:type="spellEnd"/>
      <w:r w:rsidRPr="00E34EE7">
        <w:rPr>
          <w:rtl/>
          <w:lang w:val="es-PY"/>
        </w:rPr>
        <w:t xml:space="preserve"> </w:t>
      </w:r>
      <w:proofErr w:type="spellStart"/>
      <w:r w:rsidRPr="00E34EE7">
        <w:rPr>
          <w:rtl/>
          <w:lang w:val="es-PY"/>
        </w:rPr>
        <w:t>بالوريس</w:t>
      </w:r>
      <w:proofErr w:type="spellEnd"/>
      <w:r w:rsidRPr="00E34EE7">
        <w:rPr>
          <w:rtl/>
          <w:lang w:val="es-PY"/>
        </w:rPr>
        <w:t xml:space="preserve">"، بشأن تحويل الأموال بطريقة غير شرعية. غير أن إفادة السيدة </w:t>
      </w:r>
      <w:proofErr w:type="spellStart"/>
      <w:r w:rsidRPr="00E34EE7">
        <w:rPr>
          <w:rtl/>
          <w:lang w:val="es-PY"/>
        </w:rPr>
        <w:t>سارميينتو</w:t>
      </w:r>
      <w:proofErr w:type="spellEnd"/>
      <w:r w:rsidRPr="00E34EE7">
        <w:rPr>
          <w:rtl/>
          <w:lang w:val="es-PY"/>
        </w:rPr>
        <w:t xml:space="preserve"> أمام السلطات الفنزويلية أدت إلى مباشرة تحقيقات مع صاحب البلاغ بدعوى ارتكابه جريمتي تكوين عصابة إجرامية واختلاس أموال عامة في إطار أنشطته في الشركتيْن المذكورتيْن. وقد أدى ذلك، إلى جانب شكوى قدمتها ضد صاحب البلاغ مديرة قسم الاستشارات القانونية بالنيابة في مصرف سول، </w:t>
      </w:r>
      <w:proofErr w:type="spellStart"/>
      <w:r w:rsidRPr="00E34EE7">
        <w:rPr>
          <w:rtl/>
          <w:lang w:val="es-PY"/>
        </w:rPr>
        <w:t>ماريانيلا</w:t>
      </w:r>
      <w:proofErr w:type="spellEnd"/>
      <w:r w:rsidRPr="00E34EE7">
        <w:rPr>
          <w:rtl/>
          <w:lang w:val="es-PY"/>
        </w:rPr>
        <w:t xml:space="preserve"> </w:t>
      </w:r>
      <w:proofErr w:type="spellStart"/>
      <w:r w:rsidRPr="00E34EE7">
        <w:rPr>
          <w:rtl/>
          <w:lang w:val="es-PY"/>
        </w:rPr>
        <w:t>أراوخو</w:t>
      </w:r>
      <w:proofErr w:type="spellEnd"/>
      <w:r w:rsidRPr="00E34EE7">
        <w:rPr>
          <w:rtl/>
          <w:lang w:val="es-PY"/>
        </w:rPr>
        <w:t xml:space="preserve"> </w:t>
      </w:r>
      <w:proofErr w:type="spellStart"/>
      <w:r w:rsidRPr="00E34EE7">
        <w:rPr>
          <w:rtl/>
          <w:lang w:val="es-PY"/>
        </w:rPr>
        <w:t>أورتادو</w:t>
      </w:r>
      <w:proofErr w:type="spellEnd"/>
      <w:r w:rsidRPr="00E34EE7">
        <w:rPr>
          <w:rtl/>
          <w:lang w:val="es-PY"/>
        </w:rPr>
        <w:t xml:space="preserve">، إلى تدخل الدولة في إدارة المصرف وشركة الوساطة المالية، وإلى طلب النيابة العامة اتخاذ تدابير وقائية لتجميد الحسابات المصرفية لصاحب البلاغ، اعتمدتها المحكمة الابتدائية رقم </w:t>
      </w:r>
      <w:r w:rsidRPr="00827326">
        <w:rPr>
          <w:rtl/>
          <w:lang w:val="es-PY"/>
        </w:rPr>
        <w:t>19</w:t>
      </w:r>
      <w:r w:rsidRPr="00E34EE7">
        <w:rPr>
          <w:rtl/>
          <w:lang w:val="es-PY"/>
        </w:rPr>
        <w:t xml:space="preserve"> المكلفة بمهام المراقبة في كاراكاس، في </w:t>
      </w:r>
      <w:r w:rsidRPr="00827326">
        <w:rPr>
          <w:rtl/>
          <w:lang w:val="es-PY"/>
        </w:rPr>
        <w:t>18</w:t>
      </w:r>
      <w:r w:rsidRPr="00E34EE7">
        <w:rPr>
          <w:rtl/>
          <w:lang w:val="es-PY"/>
        </w:rPr>
        <w:t xml:space="preserve"> كانون الثاني/يناير </w:t>
      </w:r>
      <w:r w:rsidRPr="00827326">
        <w:rPr>
          <w:rtl/>
          <w:lang w:val="es-PY"/>
        </w:rPr>
        <w:t>2010</w:t>
      </w:r>
      <w:r w:rsidRPr="00E34EE7">
        <w:rPr>
          <w:rtl/>
          <w:lang w:val="es-PY"/>
        </w:rPr>
        <w:t>.</w:t>
      </w:r>
    </w:p>
    <w:p w14:paraId="11C5025C" w14:textId="6C03885A" w:rsidR="00621B71" w:rsidRPr="00E34EE7" w:rsidRDefault="00E34EE7" w:rsidP="00E34EE7">
      <w:pPr>
        <w:pStyle w:val="SingleTxtGA"/>
        <w:rPr>
          <w:rtl/>
          <w:lang w:val="es-PY"/>
        </w:rPr>
      </w:pPr>
      <w:r w:rsidRPr="00827326">
        <w:rPr>
          <w:rtl/>
          <w:lang w:val="es-PY"/>
        </w:rPr>
        <w:t>2</w:t>
      </w:r>
      <w:r w:rsidRPr="00E34EE7">
        <w:rPr>
          <w:rtl/>
          <w:lang w:val="es-PY"/>
        </w:rPr>
        <w:t>-</w:t>
      </w:r>
      <w:r w:rsidRPr="00827326">
        <w:rPr>
          <w:rtl/>
          <w:lang w:val="es-PY"/>
        </w:rPr>
        <w:t>3</w:t>
      </w:r>
      <w:r w:rsidRPr="00E34EE7">
        <w:rPr>
          <w:rtl/>
          <w:lang w:val="es-PY"/>
        </w:rPr>
        <w:tab/>
      </w:r>
      <w:r w:rsidRPr="00D20AC6">
        <w:rPr>
          <w:spacing w:val="-2"/>
          <w:rtl/>
          <w:lang w:val="es-PY"/>
        </w:rPr>
        <w:t xml:space="preserve">وفي </w:t>
      </w:r>
      <w:r w:rsidRPr="00827326">
        <w:rPr>
          <w:spacing w:val="-2"/>
          <w:rtl/>
          <w:lang w:val="es-PY"/>
        </w:rPr>
        <w:t>12</w:t>
      </w:r>
      <w:r w:rsidRPr="00D20AC6">
        <w:rPr>
          <w:spacing w:val="-2"/>
          <w:rtl/>
          <w:lang w:val="es-PY"/>
        </w:rPr>
        <w:t xml:space="preserve"> كانون الثاني/يناير </w:t>
      </w:r>
      <w:r w:rsidRPr="00827326">
        <w:rPr>
          <w:spacing w:val="-2"/>
          <w:rtl/>
          <w:lang w:val="es-PY"/>
        </w:rPr>
        <w:t>2010</w:t>
      </w:r>
      <w:r w:rsidRPr="00D20AC6">
        <w:rPr>
          <w:spacing w:val="-2"/>
          <w:rtl/>
          <w:lang w:val="es-PY"/>
        </w:rPr>
        <w:t>، غادر صاحب البلاغ إقليم الدولة الطرف، وانتقل إلى ميامي</w:t>
      </w:r>
      <w:r w:rsidRPr="00E34EE7">
        <w:rPr>
          <w:rtl/>
          <w:lang w:val="es-PY"/>
        </w:rPr>
        <w:t xml:space="preserve"> (الولايات المتحدة الأمريكية)، خشية حبسه احتياطياً من دون التحقيق معه، باعتبار ذلك ممارسة شائعة </w:t>
      </w:r>
      <w:r w:rsidRPr="00D20AC6">
        <w:rPr>
          <w:spacing w:val="-2"/>
          <w:rtl/>
          <w:lang w:val="es-PY"/>
        </w:rPr>
        <w:t xml:space="preserve">ضد المصرفيين وأصحاب شركات الوساطة المالية في </w:t>
      </w:r>
      <w:proofErr w:type="gramStart"/>
      <w:r w:rsidRPr="00D20AC6">
        <w:rPr>
          <w:spacing w:val="-2"/>
          <w:rtl/>
          <w:lang w:val="es-PY"/>
        </w:rPr>
        <w:t>البلد</w:t>
      </w:r>
      <w:r w:rsidRPr="00621B71">
        <w:rPr>
          <w:vertAlign w:val="superscript"/>
          <w:rtl/>
          <w:lang w:val="es-PY"/>
        </w:rPr>
        <w:t>(</w:t>
      </w:r>
      <w:proofErr w:type="gramEnd"/>
      <w:r w:rsidR="00621B71" w:rsidRPr="00827326">
        <w:rPr>
          <w:rStyle w:val="FootnoteReference"/>
          <w:szCs w:val="22"/>
          <w:lang w:val="en-US"/>
        </w:rPr>
        <w:footnoteReference w:id="3"/>
      </w:r>
      <w:r w:rsidR="00621B71" w:rsidRPr="00621B71">
        <w:rPr>
          <w:vertAlign w:val="superscript"/>
          <w:rtl/>
          <w:lang w:val="es-PY"/>
        </w:rPr>
        <w:t>)</w:t>
      </w:r>
      <w:r w:rsidR="00621B71" w:rsidRPr="00E34EE7">
        <w:rPr>
          <w:rtl/>
          <w:lang w:val="es-PY"/>
        </w:rPr>
        <w:t xml:space="preserve">. وفي </w:t>
      </w:r>
      <w:r w:rsidR="00621B71" w:rsidRPr="00827326">
        <w:rPr>
          <w:rtl/>
          <w:lang w:val="es-PY"/>
        </w:rPr>
        <w:t>25</w:t>
      </w:r>
      <w:r w:rsidR="00621B71" w:rsidRPr="00E34EE7">
        <w:rPr>
          <w:rtl/>
          <w:lang w:val="es-PY"/>
        </w:rPr>
        <w:t xml:space="preserve"> آذار/مارس </w:t>
      </w:r>
      <w:r w:rsidR="00621B71" w:rsidRPr="00827326">
        <w:rPr>
          <w:rtl/>
          <w:lang w:val="es-PY"/>
        </w:rPr>
        <w:t>2010</w:t>
      </w:r>
      <w:r w:rsidR="00621B71" w:rsidRPr="00E34EE7">
        <w:rPr>
          <w:rtl/>
          <w:lang w:val="es-PY"/>
        </w:rPr>
        <w:t xml:space="preserve">، باشر صاحب البلاغ، أمام قنصلية جمهورية فنزويلا البوليفارية في ميامي، إجراءات تعيين محاميين للدفاع </w:t>
      </w:r>
      <w:proofErr w:type="gramStart"/>
      <w:r w:rsidR="00621B71" w:rsidRPr="00E34EE7">
        <w:rPr>
          <w:rtl/>
          <w:lang w:val="es-PY"/>
        </w:rPr>
        <w:t>عنه</w:t>
      </w:r>
      <w:r w:rsidR="00621B71" w:rsidRPr="00621B71">
        <w:rPr>
          <w:vertAlign w:val="superscript"/>
          <w:rtl/>
          <w:lang w:val="es-PY"/>
        </w:rPr>
        <w:t>(</w:t>
      </w:r>
      <w:proofErr w:type="gramEnd"/>
      <w:r w:rsidR="00621B71" w:rsidRPr="00827326">
        <w:rPr>
          <w:rStyle w:val="FootnoteReference"/>
          <w:szCs w:val="22"/>
          <w:lang w:val="en-US"/>
        </w:rPr>
        <w:footnoteReference w:id="4"/>
      </w:r>
      <w:r w:rsidR="00621B71" w:rsidRPr="00621B71">
        <w:rPr>
          <w:vertAlign w:val="superscript"/>
          <w:rtl/>
          <w:lang w:val="es-PY"/>
        </w:rPr>
        <w:t>)</w:t>
      </w:r>
      <w:r w:rsidR="00621B71" w:rsidRPr="00E34EE7">
        <w:rPr>
          <w:rtl/>
          <w:lang w:val="es-PY"/>
        </w:rPr>
        <w:t>، وفقاً</w:t>
      </w:r>
      <w:r w:rsidR="00D20AC6">
        <w:rPr>
          <w:rFonts w:hint="cs"/>
          <w:rtl/>
          <w:lang w:val="es-PY"/>
        </w:rPr>
        <w:t> </w:t>
      </w:r>
      <w:r w:rsidR="00621B71" w:rsidRPr="00E34EE7">
        <w:rPr>
          <w:rtl/>
          <w:lang w:val="es-PY"/>
        </w:rPr>
        <w:t>لأحكام القانون الفنزويلي.</w:t>
      </w:r>
    </w:p>
    <w:p w14:paraId="4DF843C9" w14:textId="77777777" w:rsidR="00621B71" w:rsidRPr="00E34EE7" w:rsidRDefault="00621B71" w:rsidP="00E34EE7">
      <w:pPr>
        <w:pStyle w:val="SingleTxtGA"/>
        <w:rPr>
          <w:rtl/>
          <w:lang w:val="es-PY"/>
        </w:rPr>
      </w:pPr>
      <w:r w:rsidRPr="00827326">
        <w:rPr>
          <w:rtl/>
          <w:lang w:val="es-PY"/>
        </w:rPr>
        <w:t>2</w:t>
      </w:r>
      <w:r w:rsidRPr="00E34EE7">
        <w:rPr>
          <w:rtl/>
          <w:lang w:val="es-PY"/>
        </w:rPr>
        <w:t>-</w:t>
      </w:r>
      <w:r w:rsidRPr="00827326">
        <w:rPr>
          <w:rtl/>
          <w:lang w:val="es-PY"/>
        </w:rPr>
        <w:t>4</w:t>
      </w:r>
      <w:r w:rsidRPr="00E34EE7">
        <w:rPr>
          <w:rtl/>
          <w:lang w:val="es-PY"/>
        </w:rPr>
        <w:tab/>
        <w:t xml:space="preserve">وفي </w:t>
      </w:r>
      <w:r w:rsidRPr="00827326">
        <w:rPr>
          <w:rtl/>
          <w:lang w:val="es-PY"/>
        </w:rPr>
        <w:t>7</w:t>
      </w:r>
      <w:r w:rsidRPr="00E34EE7">
        <w:rPr>
          <w:rtl/>
          <w:lang w:val="es-PY"/>
        </w:rPr>
        <w:t xml:space="preserve"> نيسان/أبريل </w:t>
      </w:r>
      <w:r w:rsidRPr="00827326">
        <w:rPr>
          <w:rtl/>
          <w:lang w:val="es-PY"/>
        </w:rPr>
        <w:t>2010</w:t>
      </w:r>
      <w:r w:rsidRPr="00E34EE7">
        <w:rPr>
          <w:rtl/>
          <w:lang w:val="es-PY"/>
        </w:rPr>
        <w:t xml:space="preserve">، قدم السيد </w:t>
      </w:r>
      <w:proofErr w:type="spellStart"/>
      <w:r w:rsidRPr="00E34EE7">
        <w:rPr>
          <w:rtl/>
          <w:lang w:val="es-PY"/>
        </w:rPr>
        <w:t>دومينغيث</w:t>
      </w:r>
      <w:proofErr w:type="spellEnd"/>
      <w:r w:rsidRPr="00E34EE7">
        <w:rPr>
          <w:rtl/>
          <w:lang w:val="es-PY"/>
        </w:rPr>
        <w:t xml:space="preserve"> </w:t>
      </w:r>
      <w:proofErr w:type="spellStart"/>
      <w:r w:rsidRPr="00E34EE7">
        <w:rPr>
          <w:rtl/>
          <w:lang w:val="es-PY"/>
        </w:rPr>
        <w:t>فلوريدو</w:t>
      </w:r>
      <w:proofErr w:type="spellEnd"/>
      <w:r w:rsidRPr="00E34EE7">
        <w:rPr>
          <w:rtl/>
          <w:lang w:val="es-PY"/>
        </w:rPr>
        <w:t xml:space="preserve">، من خلال وحدة تسجيل وتوزيع </w:t>
      </w:r>
      <w:r w:rsidRPr="00D20AC6">
        <w:rPr>
          <w:spacing w:val="-4"/>
          <w:rtl/>
          <w:lang w:val="es-PY"/>
        </w:rPr>
        <w:t>المستندات، طلباً إلى المحكمة المختصة المكلفة بمهام المراقبة لمباشرة إجراءات أدائه اليمين القانونية بصفته</w:t>
      </w:r>
      <w:r w:rsidRPr="00E34EE7">
        <w:rPr>
          <w:rtl/>
          <w:lang w:val="es-PY"/>
        </w:rPr>
        <w:t xml:space="preserve"> </w:t>
      </w:r>
      <w:r w:rsidRPr="00D20AC6">
        <w:rPr>
          <w:spacing w:val="-2"/>
          <w:rtl/>
          <w:lang w:val="es-PY"/>
        </w:rPr>
        <w:t xml:space="preserve">محامي صاحب البلاغ. وأُحيل هذا الطلب في اليوم ذاته إلى المحكمة الابتدائية رقم </w:t>
      </w:r>
      <w:r w:rsidRPr="00827326">
        <w:rPr>
          <w:spacing w:val="-2"/>
          <w:rtl/>
          <w:lang w:val="es-PY"/>
        </w:rPr>
        <w:t>5</w:t>
      </w:r>
      <w:r w:rsidRPr="00D20AC6">
        <w:rPr>
          <w:spacing w:val="-2"/>
          <w:rtl/>
          <w:lang w:val="es-PY"/>
        </w:rPr>
        <w:t xml:space="preserve"> المكلفة بمهام المراقبة</w:t>
      </w:r>
      <w:r w:rsidRPr="00E34EE7">
        <w:rPr>
          <w:rtl/>
          <w:lang w:val="es-PY"/>
        </w:rPr>
        <w:t xml:space="preserve"> في كاراكاس، التي أسندت الاختصاص، بعد شهرين من ذلك، إلى المحكمة رقم </w:t>
      </w:r>
      <w:r w:rsidRPr="00827326">
        <w:rPr>
          <w:rtl/>
          <w:lang w:val="es-PY"/>
        </w:rPr>
        <w:t>19</w:t>
      </w:r>
      <w:r w:rsidRPr="00E34EE7">
        <w:rPr>
          <w:rtl/>
          <w:lang w:val="es-PY"/>
        </w:rPr>
        <w:t xml:space="preserve"> المذكورة أعلاه.</w:t>
      </w:r>
    </w:p>
    <w:p w14:paraId="484D50FB" w14:textId="2424E558" w:rsidR="00621B71" w:rsidRPr="00E34EE7" w:rsidRDefault="00621B71" w:rsidP="00E34EE7">
      <w:pPr>
        <w:pStyle w:val="SingleTxtGA"/>
        <w:rPr>
          <w:rtl/>
          <w:lang w:val="es-PY"/>
        </w:rPr>
      </w:pPr>
      <w:r w:rsidRPr="00827326">
        <w:rPr>
          <w:rtl/>
          <w:lang w:val="es-PY"/>
        </w:rPr>
        <w:t>2</w:t>
      </w:r>
      <w:r w:rsidRPr="00E34EE7">
        <w:rPr>
          <w:rtl/>
          <w:lang w:val="es-PY"/>
        </w:rPr>
        <w:t>-</w:t>
      </w:r>
      <w:r w:rsidRPr="00827326">
        <w:rPr>
          <w:rtl/>
          <w:lang w:val="es-PY"/>
        </w:rPr>
        <w:t>5</w:t>
      </w:r>
      <w:r w:rsidRPr="00E34EE7">
        <w:rPr>
          <w:rtl/>
          <w:lang w:val="es-PY"/>
        </w:rPr>
        <w:tab/>
      </w:r>
      <w:r w:rsidRPr="00D20AC6">
        <w:rPr>
          <w:spacing w:val="-6"/>
          <w:rtl/>
          <w:lang w:val="es-PY"/>
        </w:rPr>
        <w:t xml:space="preserve">وفي </w:t>
      </w:r>
      <w:r w:rsidRPr="00827326">
        <w:rPr>
          <w:spacing w:val="-6"/>
          <w:rtl/>
          <w:lang w:val="es-PY"/>
        </w:rPr>
        <w:t>12</w:t>
      </w:r>
      <w:r w:rsidRPr="00D20AC6">
        <w:rPr>
          <w:spacing w:val="-6"/>
          <w:rtl/>
          <w:lang w:val="es-PY"/>
        </w:rPr>
        <w:t xml:space="preserve"> أيار/مايو </w:t>
      </w:r>
      <w:r w:rsidRPr="00827326">
        <w:rPr>
          <w:spacing w:val="-6"/>
          <w:rtl/>
          <w:lang w:val="es-PY"/>
        </w:rPr>
        <w:t>2010</w:t>
      </w:r>
      <w:r w:rsidRPr="00D20AC6">
        <w:rPr>
          <w:spacing w:val="-6"/>
          <w:rtl/>
          <w:lang w:val="es-PY"/>
        </w:rPr>
        <w:t xml:space="preserve">، التمست النيابة العامة إلى المحكمة الابتدائية رقم </w:t>
      </w:r>
      <w:r w:rsidRPr="00827326">
        <w:rPr>
          <w:spacing w:val="-6"/>
          <w:rtl/>
          <w:lang w:val="es-PY"/>
        </w:rPr>
        <w:t>19</w:t>
      </w:r>
      <w:r w:rsidRPr="00D20AC6">
        <w:rPr>
          <w:spacing w:val="-6"/>
          <w:rtl/>
          <w:lang w:val="es-PY"/>
        </w:rPr>
        <w:t xml:space="preserve"> المكلفة بمهام المراقبة </w:t>
      </w:r>
      <w:r w:rsidRPr="00D20AC6">
        <w:rPr>
          <w:spacing w:val="-4"/>
          <w:rtl/>
          <w:lang w:val="es-PY"/>
        </w:rPr>
        <w:t>في كاراكاس إصدار أمر بتوقيف</w:t>
      </w:r>
      <w:r w:rsidRPr="00D20AC6">
        <w:rPr>
          <w:spacing w:val="-6"/>
          <w:rtl/>
          <w:lang w:val="es-PY"/>
        </w:rPr>
        <w:t xml:space="preserve"> صاحب البلاغ. وأصدرت المحكمة هذا الأمر في </w:t>
      </w:r>
      <w:r w:rsidRPr="00827326">
        <w:rPr>
          <w:spacing w:val="-6"/>
          <w:rtl/>
          <w:lang w:val="es-PY"/>
        </w:rPr>
        <w:t>14</w:t>
      </w:r>
      <w:r w:rsidRPr="00D20AC6">
        <w:rPr>
          <w:spacing w:val="-6"/>
          <w:rtl/>
          <w:lang w:val="es-PY"/>
        </w:rPr>
        <w:t xml:space="preserve"> أيار/مايو</w:t>
      </w:r>
      <w:r w:rsidRPr="00E34EE7">
        <w:rPr>
          <w:rtl/>
          <w:lang w:val="es-PY"/>
        </w:rPr>
        <w:t xml:space="preserve"> </w:t>
      </w:r>
      <w:r w:rsidRPr="00827326">
        <w:rPr>
          <w:rtl/>
          <w:lang w:val="es-PY"/>
        </w:rPr>
        <w:t>2010</w:t>
      </w:r>
      <w:r w:rsidRPr="00621B71">
        <w:rPr>
          <w:vertAlign w:val="superscript"/>
          <w:rtl/>
          <w:lang w:val="es-PY"/>
        </w:rPr>
        <w:t>(</w:t>
      </w:r>
      <w:r w:rsidRPr="00827326">
        <w:rPr>
          <w:rStyle w:val="FootnoteReference"/>
          <w:szCs w:val="22"/>
          <w:lang w:val="en-US"/>
        </w:rPr>
        <w:footnoteReference w:id="5"/>
      </w:r>
      <w:r w:rsidRPr="00621B71">
        <w:rPr>
          <w:vertAlign w:val="superscript"/>
          <w:rtl/>
          <w:lang w:val="es-PY"/>
        </w:rPr>
        <w:t>)</w:t>
      </w:r>
      <w:r w:rsidRPr="00E34EE7">
        <w:rPr>
          <w:rtl/>
          <w:lang w:val="es-PY"/>
        </w:rPr>
        <w:t xml:space="preserve">. </w:t>
      </w:r>
      <w:r w:rsidRPr="00BF23D0">
        <w:rPr>
          <w:spacing w:val="-2"/>
          <w:rtl/>
          <w:lang w:val="es-PY"/>
        </w:rPr>
        <w:t xml:space="preserve">وفي </w:t>
      </w:r>
      <w:r w:rsidRPr="00827326">
        <w:rPr>
          <w:spacing w:val="-2"/>
          <w:rtl/>
          <w:lang w:val="es-PY"/>
        </w:rPr>
        <w:t>3</w:t>
      </w:r>
      <w:r w:rsidRPr="00BF23D0">
        <w:rPr>
          <w:spacing w:val="-2"/>
          <w:rtl/>
          <w:lang w:val="es-PY"/>
        </w:rPr>
        <w:t xml:space="preserve"> حزيران/</w:t>
      </w:r>
      <w:proofErr w:type="gramStart"/>
      <w:r w:rsidRPr="00BF23D0">
        <w:rPr>
          <w:spacing w:val="-2"/>
          <w:rtl/>
          <w:lang w:val="es-PY"/>
        </w:rPr>
        <w:t>يونيه</w:t>
      </w:r>
      <w:proofErr w:type="gramEnd"/>
      <w:r w:rsidRPr="00BF23D0">
        <w:rPr>
          <w:spacing w:val="-2"/>
          <w:rtl/>
          <w:lang w:val="es-PY"/>
        </w:rPr>
        <w:t xml:space="preserve"> </w:t>
      </w:r>
      <w:r w:rsidRPr="00827326">
        <w:rPr>
          <w:spacing w:val="-2"/>
          <w:rtl/>
          <w:lang w:val="es-PY"/>
        </w:rPr>
        <w:t>2010</w:t>
      </w:r>
      <w:r w:rsidRPr="00BF23D0">
        <w:rPr>
          <w:spacing w:val="-2"/>
          <w:rtl/>
          <w:lang w:val="es-PY"/>
        </w:rPr>
        <w:t xml:space="preserve">، قدم محامي صاحب البلاغ مذكرة تكميلية لتلك المؤرخة </w:t>
      </w:r>
      <w:r w:rsidRPr="00827326">
        <w:rPr>
          <w:spacing w:val="-2"/>
          <w:rtl/>
          <w:lang w:val="es-PY"/>
        </w:rPr>
        <w:t>7</w:t>
      </w:r>
      <w:r w:rsidRPr="00BF23D0">
        <w:rPr>
          <w:spacing w:val="-2"/>
          <w:rtl/>
          <w:lang w:val="es-PY"/>
        </w:rPr>
        <w:t xml:space="preserve"> نيسان/أبريل </w:t>
      </w:r>
      <w:r w:rsidRPr="00827326">
        <w:rPr>
          <w:spacing w:val="-2"/>
          <w:rtl/>
          <w:lang w:val="es-PY"/>
        </w:rPr>
        <w:t>2010</w:t>
      </w:r>
      <w:r w:rsidRPr="00E34EE7">
        <w:rPr>
          <w:rtl/>
          <w:lang w:val="es-PY"/>
        </w:rPr>
        <w:t xml:space="preserve">، شدد فيها على حق صاحب البلاغ في الاستعانة بمحام وفي المشاركة في الإجراءات والاستماع إليه في التحقيقات. غير أن المحكمة الابتدائية رقم </w:t>
      </w:r>
      <w:r w:rsidRPr="00827326">
        <w:rPr>
          <w:rtl/>
          <w:lang w:val="es-PY"/>
        </w:rPr>
        <w:t>19</w:t>
      </w:r>
      <w:r w:rsidRPr="00E34EE7">
        <w:rPr>
          <w:rtl/>
          <w:lang w:val="es-PY"/>
        </w:rPr>
        <w:t xml:space="preserve"> أصدرت، في </w:t>
      </w:r>
      <w:r w:rsidRPr="00827326">
        <w:rPr>
          <w:rtl/>
          <w:lang w:val="es-PY"/>
        </w:rPr>
        <w:t>16</w:t>
      </w:r>
      <w:r w:rsidRPr="00E34EE7">
        <w:rPr>
          <w:rtl/>
          <w:lang w:val="es-PY"/>
        </w:rPr>
        <w:t xml:space="preserve"> حزيران/</w:t>
      </w:r>
      <w:proofErr w:type="gramStart"/>
      <w:r w:rsidRPr="00E34EE7">
        <w:rPr>
          <w:rtl/>
          <w:lang w:val="es-PY"/>
        </w:rPr>
        <w:t>يونيه</w:t>
      </w:r>
      <w:proofErr w:type="gramEnd"/>
      <w:r w:rsidRPr="00E34EE7">
        <w:rPr>
          <w:rtl/>
          <w:lang w:val="es-PY"/>
        </w:rPr>
        <w:t xml:space="preserve"> </w:t>
      </w:r>
      <w:r w:rsidRPr="00827326">
        <w:rPr>
          <w:rtl/>
          <w:lang w:val="es-PY"/>
        </w:rPr>
        <w:t>2010</w:t>
      </w:r>
      <w:r w:rsidRPr="00E34EE7">
        <w:rPr>
          <w:rtl/>
          <w:lang w:val="es-PY"/>
        </w:rPr>
        <w:t xml:space="preserve">، </w:t>
      </w:r>
      <w:r w:rsidRPr="00F15D99">
        <w:rPr>
          <w:spacing w:val="-4"/>
          <w:rtl/>
          <w:lang w:val="es-PY"/>
        </w:rPr>
        <w:t xml:space="preserve">قراراً برفض أداء السيد </w:t>
      </w:r>
      <w:proofErr w:type="spellStart"/>
      <w:r w:rsidRPr="00F15D99">
        <w:rPr>
          <w:spacing w:val="-4"/>
          <w:rtl/>
          <w:lang w:val="es-PY"/>
        </w:rPr>
        <w:t>دومينغيث</w:t>
      </w:r>
      <w:proofErr w:type="spellEnd"/>
      <w:r w:rsidRPr="00F15D99">
        <w:rPr>
          <w:spacing w:val="-4"/>
          <w:rtl/>
          <w:lang w:val="es-PY"/>
        </w:rPr>
        <w:t xml:space="preserve"> </w:t>
      </w:r>
      <w:proofErr w:type="spellStart"/>
      <w:r w:rsidRPr="00F15D99">
        <w:rPr>
          <w:spacing w:val="-4"/>
          <w:rtl/>
          <w:lang w:val="es-PY"/>
        </w:rPr>
        <w:t>فلوريدو</w:t>
      </w:r>
      <w:proofErr w:type="spellEnd"/>
      <w:r w:rsidRPr="00F15D99">
        <w:rPr>
          <w:spacing w:val="-4"/>
          <w:rtl/>
          <w:lang w:val="es-PY"/>
        </w:rPr>
        <w:t xml:space="preserve"> اليمين القانونية محامياً لصاحب البلاغ، بسبب عدم وجود صاحب</w:t>
      </w:r>
      <w:r w:rsidRPr="00E34EE7">
        <w:rPr>
          <w:rtl/>
          <w:lang w:val="es-PY"/>
        </w:rPr>
        <w:t xml:space="preserve"> البلاغ في البلد، وبحجة ضرورة حضوره لإضفاء الطابع الرسمي على تعيين محاميه. وفي </w:t>
      </w:r>
      <w:r w:rsidRPr="00827326">
        <w:rPr>
          <w:rtl/>
          <w:lang w:val="es-PY"/>
        </w:rPr>
        <w:t>22</w:t>
      </w:r>
      <w:r w:rsidRPr="00E34EE7">
        <w:rPr>
          <w:rtl/>
          <w:lang w:val="es-PY"/>
        </w:rPr>
        <w:t xml:space="preserve"> حزيران/</w:t>
      </w:r>
      <w:r w:rsidR="00F15D99">
        <w:rPr>
          <w:rFonts w:hint="cs"/>
          <w:rtl/>
          <w:lang w:val="es-PY"/>
        </w:rPr>
        <w:t xml:space="preserve"> </w:t>
      </w:r>
      <w:proofErr w:type="gramStart"/>
      <w:r w:rsidRPr="00E34EE7">
        <w:rPr>
          <w:rtl/>
          <w:lang w:val="es-PY"/>
        </w:rPr>
        <w:t>يونيه</w:t>
      </w:r>
      <w:proofErr w:type="gramEnd"/>
      <w:r w:rsidRPr="00E34EE7">
        <w:rPr>
          <w:rtl/>
          <w:lang w:val="es-PY"/>
        </w:rPr>
        <w:t xml:space="preserve"> </w:t>
      </w:r>
      <w:r w:rsidRPr="00827326">
        <w:rPr>
          <w:rtl/>
          <w:lang w:val="es-PY"/>
        </w:rPr>
        <w:t>2010</w:t>
      </w:r>
      <w:r w:rsidRPr="00E34EE7">
        <w:rPr>
          <w:rtl/>
          <w:lang w:val="es-PY"/>
        </w:rPr>
        <w:t xml:space="preserve">، قدم السيد </w:t>
      </w:r>
      <w:proofErr w:type="spellStart"/>
      <w:r w:rsidRPr="00E34EE7">
        <w:rPr>
          <w:rtl/>
          <w:lang w:val="es-PY"/>
        </w:rPr>
        <w:t>دومينغيث</w:t>
      </w:r>
      <w:proofErr w:type="spellEnd"/>
      <w:r w:rsidRPr="00E34EE7">
        <w:rPr>
          <w:rtl/>
          <w:lang w:val="es-PY"/>
        </w:rPr>
        <w:t xml:space="preserve"> </w:t>
      </w:r>
      <w:proofErr w:type="spellStart"/>
      <w:r w:rsidRPr="00E34EE7">
        <w:rPr>
          <w:rtl/>
          <w:lang w:val="es-PY"/>
        </w:rPr>
        <w:t>فلوريدو</w:t>
      </w:r>
      <w:proofErr w:type="spellEnd"/>
      <w:r w:rsidRPr="00E34EE7">
        <w:rPr>
          <w:rtl/>
          <w:lang w:val="es-PY"/>
        </w:rPr>
        <w:t xml:space="preserve"> طلباً لاستئناف هذا القرار، رُفض في </w:t>
      </w:r>
      <w:r w:rsidRPr="00827326">
        <w:rPr>
          <w:rtl/>
          <w:lang w:val="es-PY"/>
        </w:rPr>
        <w:t>6</w:t>
      </w:r>
      <w:r w:rsidRPr="00E34EE7">
        <w:rPr>
          <w:rtl/>
          <w:lang w:val="es-PY"/>
        </w:rPr>
        <w:t xml:space="preserve"> أيلول/سبتمبر </w:t>
      </w:r>
      <w:r w:rsidRPr="00827326">
        <w:rPr>
          <w:rtl/>
          <w:lang w:val="es-PY"/>
        </w:rPr>
        <w:t>2010</w:t>
      </w:r>
      <w:r w:rsidRPr="00E34EE7">
        <w:rPr>
          <w:rtl/>
          <w:lang w:val="es-PY"/>
        </w:rPr>
        <w:t xml:space="preserve"> بموجب حكم صادر</w:t>
      </w:r>
      <w:r w:rsidR="00BF23D0">
        <w:rPr>
          <w:rFonts w:hint="cs"/>
          <w:rtl/>
          <w:lang w:val="es-PY"/>
        </w:rPr>
        <w:t> </w:t>
      </w:r>
      <w:r w:rsidRPr="00E34EE7">
        <w:rPr>
          <w:rtl/>
          <w:lang w:val="es-PY"/>
        </w:rPr>
        <w:t xml:space="preserve">عن الدائرة </w:t>
      </w:r>
      <w:r w:rsidRPr="00827326">
        <w:rPr>
          <w:rtl/>
          <w:lang w:val="es-PY"/>
        </w:rPr>
        <w:t>8</w:t>
      </w:r>
      <w:r w:rsidRPr="00E34EE7">
        <w:rPr>
          <w:rtl/>
          <w:lang w:val="es-PY"/>
        </w:rPr>
        <w:t xml:space="preserve"> في محكمة الاستئناف التابعة للدائرة القضائية الجنائية في منطقة كاراكاس الحضرية. </w:t>
      </w:r>
      <w:r w:rsidRPr="00E34EE7">
        <w:rPr>
          <w:rtl/>
          <w:lang w:val="es-PY"/>
        </w:rPr>
        <w:lastRenderedPageBreak/>
        <w:t xml:space="preserve">وإزاء هذا الحكم، قدم صاحب البلاغ، في </w:t>
      </w:r>
      <w:r w:rsidRPr="00827326">
        <w:rPr>
          <w:rtl/>
          <w:lang w:val="es-PY"/>
        </w:rPr>
        <w:t>7</w:t>
      </w:r>
      <w:r w:rsidRPr="00E34EE7">
        <w:rPr>
          <w:rtl/>
          <w:lang w:val="es-PY"/>
        </w:rPr>
        <w:t xml:space="preserve"> تشرين الأول/أكتوبر </w:t>
      </w:r>
      <w:r w:rsidRPr="00827326">
        <w:rPr>
          <w:rtl/>
          <w:lang w:val="es-PY"/>
        </w:rPr>
        <w:t>2010</w:t>
      </w:r>
      <w:r w:rsidRPr="00E34EE7">
        <w:rPr>
          <w:rtl/>
          <w:lang w:val="es-PY"/>
        </w:rPr>
        <w:t xml:space="preserve">، طلباً للحماية القضائية الدستورية </w:t>
      </w:r>
      <w:r w:rsidRPr="00BF23D0">
        <w:rPr>
          <w:spacing w:val="-2"/>
          <w:rtl/>
          <w:lang w:val="es-PY"/>
        </w:rPr>
        <w:t xml:space="preserve">إلى الدائرة الدستورية في محكمة العدل العليا، التي أصدرت حكماً قضى برفضه في </w:t>
      </w:r>
      <w:r w:rsidRPr="00827326">
        <w:rPr>
          <w:spacing w:val="-2"/>
          <w:rtl/>
          <w:lang w:val="es-PY"/>
        </w:rPr>
        <w:t>6</w:t>
      </w:r>
      <w:r w:rsidRPr="00BF23D0">
        <w:rPr>
          <w:spacing w:val="-2"/>
          <w:rtl/>
          <w:lang w:val="es-PY"/>
        </w:rPr>
        <w:t xml:space="preserve"> حزيران/</w:t>
      </w:r>
      <w:proofErr w:type="gramStart"/>
      <w:r w:rsidRPr="00BF23D0">
        <w:rPr>
          <w:spacing w:val="-2"/>
          <w:rtl/>
          <w:lang w:val="es-PY"/>
        </w:rPr>
        <w:t>يونيه</w:t>
      </w:r>
      <w:proofErr w:type="gramEnd"/>
      <w:r w:rsidRPr="00BF23D0">
        <w:rPr>
          <w:spacing w:val="-2"/>
          <w:rtl/>
          <w:lang w:val="es-PY"/>
        </w:rPr>
        <w:t xml:space="preserve"> </w:t>
      </w:r>
      <w:r w:rsidRPr="00827326">
        <w:rPr>
          <w:spacing w:val="-2"/>
          <w:rtl/>
          <w:lang w:val="es-PY"/>
        </w:rPr>
        <w:t>2011</w:t>
      </w:r>
      <w:r w:rsidRPr="00BF23D0">
        <w:rPr>
          <w:spacing w:val="-2"/>
          <w:rtl/>
          <w:lang w:val="es-PY"/>
        </w:rPr>
        <w:t xml:space="preserve">. </w:t>
      </w:r>
      <w:r w:rsidRPr="00E34EE7">
        <w:rPr>
          <w:rtl/>
          <w:lang w:val="es-PY"/>
        </w:rPr>
        <w:t xml:space="preserve">وشددت جميع المحاكم المعنية في قراراتها أو أحكامها على ضرورة حضور صاحب </w:t>
      </w:r>
      <w:r w:rsidRPr="00F15D99">
        <w:rPr>
          <w:spacing w:val="-4"/>
          <w:rtl/>
          <w:lang w:val="es-PY"/>
        </w:rPr>
        <w:t xml:space="preserve">البلاغ شخصياً ليمثل أمام القضاء ويتسنى له بالتالي مباشرة إجراءات تعيين محاميه وأدائه اليمين </w:t>
      </w:r>
      <w:proofErr w:type="gramStart"/>
      <w:r w:rsidRPr="00F15D99">
        <w:rPr>
          <w:spacing w:val="-4"/>
          <w:rtl/>
          <w:lang w:val="es-PY"/>
        </w:rPr>
        <w:t>القانونية</w:t>
      </w:r>
      <w:r w:rsidRPr="00621B71">
        <w:rPr>
          <w:vertAlign w:val="superscript"/>
          <w:rtl/>
          <w:lang w:val="es-PY"/>
        </w:rPr>
        <w:t>(</w:t>
      </w:r>
      <w:proofErr w:type="gramEnd"/>
      <w:r w:rsidRPr="00827326">
        <w:rPr>
          <w:rStyle w:val="FootnoteReference"/>
          <w:szCs w:val="22"/>
          <w:lang w:val="en-US"/>
        </w:rPr>
        <w:footnoteReference w:id="6"/>
      </w:r>
      <w:r w:rsidRPr="00621B71">
        <w:rPr>
          <w:vertAlign w:val="superscript"/>
          <w:rtl/>
          <w:lang w:val="es-PY"/>
        </w:rPr>
        <w:t>)</w:t>
      </w:r>
      <w:r w:rsidRPr="00E34EE7">
        <w:rPr>
          <w:rtl/>
          <w:lang w:val="es-PY"/>
        </w:rPr>
        <w:t>.</w:t>
      </w:r>
    </w:p>
    <w:p w14:paraId="59289AA7" w14:textId="460376C8" w:rsidR="00621B71" w:rsidRPr="00E34EE7" w:rsidRDefault="00621B71" w:rsidP="00E34EE7">
      <w:pPr>
        <w:pStyle w:val="SingleTxtGA"/>
        <w:rPr>
          <w:rtl/>
          <w:lang w:val="es-PY"/>
        </w:rPr>
      </w:pPr>
      <w:r w:rsidRPr="00827326">
        <w:rPr>
          <w:rtl/>
          <w:lang w:val="es-PY"/>
        </w:rPr>
        <w:t>2</w:t>
      </w:r>
      <w:r w:rsidRPr="00E34EE7">
        <w:rPr>
          <w:rtl/>
          <w:lang w:val="es-PY"/>
        </w:rPr>
        <w:t>-</w:t>
      </w:r>
      <w:r w:rsidRPr="00827326">
        <w:rPr>
          <w:rtl/>
          <w:lang w:val="es-PY"/>
        </w:rPr>
        <w:t>6</w:t>
      </w:r>
      <w:r w:rsidRPr="00E34EE7">
        <w:rPr>
          <w:rtl/>
          <w:lang w:val="es-PY"/>
        </w:rPr>
        <w:tab/>
        <w:t xml:space="preserve">وفي </w:t>
      </w:r>
      <w:r w:rsidRPr="00827326">
        <w:rPr>
          <w:rtl/>
          <w:lang w:val="es-PY"/>
        </w:rPr>
        <w:t>16</w:t>
      </w:r>
      <w:r w:rsidRPr="00E34EE7">
        <w:rPr>
          <w:rtl/>
          <w:lang w:val="es-PY"/>
        </w:rPr>
        <w:t xml:space="preserve"> أيلول/سبتمبر </w:t>
      </w:r>
      <w:r w:rsidRPr="00827326">
        <w:rPr>
          <w:rtl/>
          <w:lang w:val="es-PY"/>
        </w:rPr>
        <w:t>2010</w:t>
      </w:r>
      <w:r w:rsidRPr="00E34EE7">
        <w:rPr>
          <w:rtl/>
          <w:lang w:val="es-PY"/>
        </w:rPr>
        <w:t xml:space="preserve">، قررت المحكمة الابتدائية المكلفة بالنظر في القضية مباشرة </w:t>
      </w:r>
      <w:r w:rsidRPr="00F15D99">
        <w:rPr>
          <w:spacing w:val="-2"/>
          <w:rtl/>
          <w:lang w:val="es-PY"/>
        </w:rPr>
        <w:t>إجراءات تسلُّم صاحب البلاغ وأشخاص آخرين بتهمة ارتكابهم جريمتي اختلاس أموال عامة وتكوين عصابة</w:t>
      </w:r>
      <w:r w:rsidRPr="00E34EE7">
        <w:rPr>
          <w:rtl/>
          <w:lang w:val="es-PY"/>
        </w:rPr>
        <w:t xml:space="preserve"> إجرامية. وفي </w:t>
      </w:r>
      <w:r w:rsidRPr="00827326">
        <w:rPr>
          <w:rtl/>
          <w:lang w:val="es-PY"/>
        </w:rPr>
        <w:t>18</w:t>
      </w:r>
      <w:r w:rsidRPr="00E34EE7">
        <w:rPr>
          <w:rtl/>
          <w:lang w:val="es-PY"/>
        </w:rPr>
        <w:t xml:space="preserve"> تشرين الأول/أكتوبر </w:t>
      </w:r>
      <w:r w:rsidRPr="00827326">
        <w:rPr>
          <w:rtl/>
          <w:lang w:val="es-PY"/>
        </w:rPr>
        <w:t>2010</w:t>
      </w:r>
      <w:r w:rsidRPr="00E34EE7">
        <w:rPr>
          <w:rtl/>
          <w:lang w:val="es-PY"/>
        </w:rPr>
        <w:t xml:space="preserve">، قدم محامي صاحب البلاغ إلى محكمة العدل العليا مذكرة طلب فيها مرة أخرى السماح له بممارسة الحق في الدفاع عن صاحب البلاغ. وأعلنت محكمة </w:t>
      </w:r>
      <w:r w:rsidRPr="00F15D99">
        <w:rPr>
          <w:spacing w:val="-4"/>
          <w:rtl/>
          <w:lang w:val="es-PY"/>
        </w:rPr>
        <w:t xml:space="preserve">العدل العليا، في حكمها الصادر في </w:t>
      </w:r>
      <w:r w:rsidRPr="00827326">
        <w:rPr>
          <w:spacing w:val="-4"/>
          <w:rtl/>
          <w:lang w:val="es-PY"/>
        </w:rPr>
        <w:t>8</w:t>
      </w:r>
      <w:r w:rsidRPr="00F15D99">
        <w:rPr>
          <w:spacing w:val="-4"/>
          <w:rtl/>
          <w:lang w:val="es-PY"/>
        </w:rPr>
        <w:t xml:space="preserve"> تشرين الثاني/نوفمبر </w:t>
      </w:r>
      <w:r w:rsidRPr="00827326">
        <w:rPr>
          <w:spacing w:val="-4"/>
          <w:rtl/>
          <w:lang w:val="es-PY"/>
        </w:rPr>
        <w:t>2010</w:t>
      </w:r>
      <w:r w:rsidRPr="00F15D99">
        <w:rPr>
          <w:spacing w:val="-4"/>
          <w:rtl/>
          <w:lang w:val="es-PY"/>
        </w:rPr>
        <w:t>، قبول توجيه طلب إلى الولايات المتحدة</w:t>
      </w:r>
      <w:r w:rsidRPr="00E34EE7">
        <w:rPr>
          <w:rtl/>
          <w:lang w:val="es-PY"/>
        </w:rPr>
        <w:t xml:space="preserve"> لتسليم صاحب البلاغ. وأكدت محكمة العدل العليا في ذلك الحكم ضرورة حضور صاحب البلاغ لتعيين محام، وأوضحت </w:t>
      </w:r>
      <w:r w:rsidRPr="00BF23D0">
        <w:rPr>
          <w:spacing w:val="-4"/>
          <w:rtl/>
          <w:lang w:val="es-PY"/>
        </w:rPr>
        <w:t>أن إجراءات التحقيق توجد في المرحلة التحضيرية، وأنه ستُعرض على صاحب البلاغ، بمجرد مثوله شخصياً،</w:t>
      </w:r>
      <w:r w:rsidRPr="00E34EE7">
        <w:rPr>
          <w:rtl/>
          <w:lang w:val="es-PY"/>
        </w:rPr>
        <w:t xml:space="preserve"> الوقائع والأسس وأدلة الإثبات التي تبرر ملاحقته قضائياً، وسيتقرر استناداً إليها، وإلى إجراءات أخرى، ما</w:t>
      </w:r>
      <w:r w:rsidR="00BF23D0">
        <w:rPr>
          <w:rFonts w:hint="cs"/>
          <w:rtl/>
          <w:lang w:val="es-PY"/>
        </w:rPr>
        <w:t> </w:t>
      </w:r>
      <w:r w:rsidRPr="00E34EE7">
        <w:rPr>
          <w:rtl/>
          <w:lang w:val="es-PY"/>
        </w:rPr>
        <w:t xml:space="preserve">إذا كانت ستجري محاكمته أم لا، وأن ذلك يجعل حضوره مسألة </w:t>
      </w:r>
      <w:proofErr w:type="gramStart"/>
      <w:r w:rsidRPr="00E34EE7">
        <w:rPr>
          <w:rtl/>
          <w:lang w:val="es-PY"/>
        </w:rPr>
        <w:t>ضرورية</w:t>
      </w:r>
      <w:r w:rsidRPr="00621B71">
        <w:rPr>
          <w:vertAlign w:val="superscript"/>
          <w:rtl/>
          <w:lang w:val="es-PY"/>
        </w:rPr>
        <w:t>(</w:t>
      </w:r>
      <w:proofErr w:type="gramEnd"/>
      <w:r w:rsidRPr="00827326">
        <w:rPr>
          <w:rStyle w:val="FootnoteReference"/>
          <w:szCs w:val="22"/>
          <w:lang w:val="en-US"/>
        </w:rPr>
        <w:footnoteReference w:id="7"/>
      </w:r>
      <w:r w:rsidRPr="00621B71">
        <w:rPr>
          <w:vertAlign w:val="superscript"/>
          <w:rtl/>
          <w:lang w:val="es-PY"/>
        </w:rPr>
        <w:t>)</w:t>
      </w:r>
      <w:r w:rsidRPr="00E34EE7">
        <w:rPr>
          <w:rtl/>
          <w:lang w:val="es-PY"/>
        </w:rPr>
        <w:t>.</w:t>
      </w:r>
    </w:p>
    <w:p w14:paraId="05C1E0F9" w14:textId="704ECDBB" w:rsidR="00621B71" w:rsidRPr="00E34EE7" w:rsidRDefault="00621B71" w:rsidP="00BF23D0">
      <w:pPr>
        <w:pStyle w:val="SingleTxtGA"/>
        <w:spacing w:line="350" w:lineRule="exact"/>
        <w:rPr>
          <w:rtl/>
          <w:lang w:val="es-PY"/>
        </w:rPr>
      </w:pPr>
      <w:r w:rsidRPr="00827326">
        <w:rPr>
          <w:rtl/>
          <w:lang w:val="es-PY"/>
        </w:rPr>
        <w:t>2</w:t>
      </w:r>
      <w:r w:rsidRPr="00E34EE7">
        <w:rPr>
          <w:rtl/>
          <w:lang w:val="es-PY"/>
        </w:rPr>
        <w:t>-</w:t>
      </w:r>
      <w:r w:rsidRPr="00827326">
        <w:rPr>
          <w:rtl/>
          <w:lang w:val="es-PY"/>
        </w:rPr>
        <w:t>7</w:t>
      </w:r>
      <w:r w:rsidRPr="00E34EE7">
        <w:rPr>
          <w:rtl/>
          <w:lang w:val="es-PY"/>
        </w:rPr>
        <w:tab/>
      </w:r>
      <w:r w:rsidRPr="00F15D99">
        <w:rPr>
          <w:spacing w:val="-4"/>
          <w:rtl/>
          <w:lang w:val="es-PY"/>
        </w:rPr>
        <w:t xml:space="preserve">ويضيف صاحب البلاغ أن موظفين في دائرة الاستخبارات الوطنية البوليفارية حضروا، في </w:t>
      </w:r>
      <w:r w:rsidRPr="00827326">
        <w:rPr>
          <w:spacing w:val="-4"/>
          <w:rtl/>
          <w:lang w:val="es-PY"/>
        </w:rPr>
        <w:t>5</w:t>
      </w:r>
      <w:r w:rsidRPr="00F15D99">
        <w:rPr>
          <w:spacing w:val="-4"/>
          <w:rtl/>
          <w:lang w:val="es-PY"/>
        </w:rPr>
        <w:t xml:space="preserve"> تشرين الأول/أكتوبر </w:t>
      </w:r>
      <w:r w:rsidRPr="00827326">
        <w:rPr>
          <w:spacing w:val="-4"/>
          <w:rtl/>
          <w:lang w:val="es-PY"/>
        </w:rPr>
        <w:t>2010</w:t>
      </w:r>
      <w:r w:rsidRPr="00F15D99">
        <w:rPr>
          <w:spacing w:val="-4"/>
          <w:rtl/>
          <w:lang w:val="es-PY"/>
        </w:rPr>
        <w:t>، إلى مسكنه، وقاموا بتفتيش أغراضه من دون أمر قضائي. وترك هؤلاء الموظفون</w:t>
      </w:r>
      <w:r w:rsidRPr="00E34EE7">
        <w:rPr>
          <w:rtl/>
          <w:lang w:val="es-PY"/>
        </w:rPr>
        <w:t xml:space="preserve"> </w:t>
      </w:r>
      <w:r w:rsidRPr="00F15D99">
        <w:rPr>
          <w:spacing w:val="-4"/>
          <w:rtl/>
          <w:lang w:val="es-PY"/>
        </w:rPr>
        <w:t>استدعاء لصاحب البلاغ لحضور التحقيق كشاهد، كُتب بخط اليد على ورقة عادية، ووقع عليه كبير المفتشين</w:t>
      </w:r>
      <w:r w:rsidRPr="00E34EE7">
        <w:rPr>
          <w:rtl/>
          <w:lang w:val="es-PY"/>
        </w:rPr>
        <w:t xml:space="preserve"> </w:t>
      </w:r>
      <w:proofErr w:type="spellStart"/>
      <w:r w:rsidRPr="00F15D99">
        <w:rPr>
          <w:spacing w:val="-4"/>
          <w:rtl/>
          <w:lang w:val="es-PY"/>
        </w:rPr>
        <w:t>تشارليس</w:t>
      </w:r>
      <w:proofErr w:type="spellEnd"/>
      <w:r w:rsidRPr="00F15D99">
        <w:rPr>
          <w:spacing w:val="-4"/>
          <w:rtl/>
          <w:lang w:val="es-PY"/>
        </w:rPr>
        <w:t xml:space="preserve"> </w:t>
      </w:r>
      <w:proofErr w:type="gramStart"/>
      <w:r w:rsidRPr="00F15D99">
        <w:rPr>
          <w:spacing w:val="-4"/>
          <w:rtl/>
          <w:lang w:val="es-PY"/>
        </w:rPr>
        <w:t>كارمونا</w:t>
      </w:r>
      <w:r w:rsidRPr="00621B71">
        <w:rPr>
          <w:vertAlign w:val="superscript"/>
          <w:rtl/>
          <w:lang w:val="es-PY"/>
        </w:rPr>
        <w:t>(</w:t>
      </w:r>
      <w:proofErr w:type="gramEnd"/>
      <w:r w:rsidRPr="00827326">
        <w:rPr>
          <w:rStyle w:val="FootnoteReference"/>
          <w:szCs w:val="22"/>
          <w:lang w:val="en-US"/>
        </w:rPr>
        <w:footnoteReference w:id="8"/>
      </w:r>
      <w:r w:rsidRPr="00621B71">
        <w:rPr>
          <w:vertAlign w:val="superscript"/>
          <w:rtl/>
          <w:lang w:val="es-PY"/>
        </w:rPr>
        <w:t>)</w:t>
      </w:r>
      <w:r w:rsidRPr="00E34EE7">
        <w:rPr>
          <w:rtl/>
          <w:lang w:val="es-PY"/>
        </w:rPr>
        <w:t xml:space="preserve">. </w:t>
      </w:r>
      <w:r w:rsidRPr="00F15D99">
        <w:rPr>
          <w:spacing w:val="-4"/>
          <w:rtl/>
          <w:lang w:val="es-PY"/>
        </w:rPr>
        <w:t>وفي اليوم التالي، أُرسل إلى صاحب البلاغ استدعاء رسمي، وقَّع عليه مدير دائرة</w:t>
      </w:r>
      <w:r w:rsidRPr="00E34EE7">
        <w:rPr>
          <w:rtl/>
          <w:lang w:val="es-PY"/>
        </w:rPr>
        <w:t xml:space="preserve"> الاستخبارات الوطنية البوليفارية، المفوض </w:t>
      </w:r>
      <w:proofErr w:type="spellStart"/>
      <w:r w:rsidRPr="00E34EE7">
        <w:rPr>
          <w:rtl/>
          <w:lang w:val="es-PY"/>
        </w:rPr>
        <w:t>خيسوس</w:t>
      </w:r>
      <w:proofErr w:type="spellEnd"/>
      <w:r w:rsidRPr="00E34EE7">
        <w:rPr>
          <w:rtl/>
          <w:lang w:val="es-PY"/>
        </w:rPr>
        <w:t xml:space="preserve"> </w:t>
      </w:r>
      <w:proofErr w:type="spellStart"/>
      <w:r w:rsidRPr="00E34EE7">
        <w:rPr>
          <w:rtl/>
          <w:lang w:val="es-PY"/>
        </w:rPr>
        <w:t>أريَّانو</w:t>
      </w:r>
      <w:proofErr w:type="spellEnd"/>
      <w:r w:rsidRPr="00E34EE7">
        <w:rPr>
          <w:rtl/>
          <w:lang w:val="es-PY"/>
        </w:rPr>
        <w:t xml:space="preserve">، ليمثل أيضاً </w:t>
      </w:r>
      <w:proofErr w:type="gramStart"/>
      <w:r w:rsidRPr="00E34EE7">
        <w:rPr>
          <w:rtl/>
          <w:lang w:val="es-PY"/>
        </w:rPr>
        <w:t>كشاهد</w:t>
      </w:r>
      <w:r w:rsidRPr="00621B71">
        <w:rPr>
          <w:vertAlign w:val="superscript"/>
          <w:rtl/>
          <w:lang w:val="es-PY"/>
        </w:rPr>
        <w:t>(</w:t>
      </w:r>
      <w:proofErr w:type="gramEnd"/>
      <w:r w:rsidRPr="00827326">
        <w:rPr>
          <w:rStyle w:val="FootnoteReference"/>
          <w:szCs w:val="22"/>
          <w:lang w:val="en-US"/>
        </w:rPr>
        <w:footnoteReference w:id="9"/>
      </w:r>
      <w:r w:rsidRPr="00621B71">
        <w:rPr>
          <w:vertAlign w:val="superscript"/>
          <w:rtl/>
          <w:lang w:val="es-PY"/>
        </w:rPr>
        <w:t>)</w:t>
      </w:r>
      <w:r w:rsidRPr="00E34EE7">
        <w:rPr>
          <w:rtl/>
          <w:lang w:val="es-PY"/>
        </w:rPr>
        <w:t>، رغم صدور أمر بإلقاء القبض عليه.</w:t>
      </w:r>
    </w:p>
    <w:p w14:paraId="79E05DEF" w14:textId="77777777" w:rsidR="00621B71" w:rsidRPr="00827326" w:rsidRDefault="00621B71" w:rsidP="00F15D99">
      <w:pPr>
        <w:pStyle w:val="H23GA"/>
        <w:rPr>
          <w:rtl/>
        </w:rPr>
      </w:pPr>
      <w:r w:rsidRPr="00827326">
        <w:rPr>
          <w:rtl/>
        </w:rPr>
        <w:tab/>
      </w:r>
      <w:r w:rsidRPr="00827326">
        <w:rPr>
          <w:rtl/>
        </w:rPr>
        <w:tab/>
        <w:t>الشكوى</w:t>
      </w:r>
    </w:p>
    <w:p w14:paraId="2F80A3D8" w14:textId="77777777" w:rsidR="00621B71" w:rsidRPr="00E34EE7" w:rsidRDefault="00621B71" w:rsidP="00E34EE7">
      <w:pPr>
        <w:pStyle w:val="SingleTxtGA"/>
        <w:rPr>
          <w:rtl/>
          <w:lang w:val="es-PY"/>
        </w:rPr>
      </w:pPr>
      <w:r w:rsidRPr="00827326">
        <w:rPr>
          <w:rtl/>
          <w:lang w:val="es-PY"/>
        </w:rPr>
        <w:t>3</w:t>
      </w:r>
      <w:r w:rsidRPr="00E34EE7">
        <w:rPr>
          <w:rtl/>
          <w:lang w:val="es-PY"/>
        </w:rPr>
        <w:t>-</w:t>
      </w:r>
      <w:r w:rsidRPr="00827326">
        <w:rPr>
          <w:rtl/>
          <w:lang w:val="es-PY"/>
        </w:rPr>
        <w:t>1</w:t>
      </w:r>
      <w:r w:rsidRPr="00E34EE7">
        <w:rPr>
          <w:rtl/>
          <w:lang w:val="es-PY"/>
        </w:rPr>
        <w:tab/>
      </w:r>
      <w:r w:rsidRPr="00F15D99">
        <w:rPr>
          <w:spacing w:val="-2"/>
          <w:rtl/>
          <w:lang w:val="es-PY"/>
        </w:rPr>
        <w:t xml:space="preserve">يدعي صاحب البلاغ أنه ضحية انتهاك حقوقه المكفولة بموجب المواد </w:t>
      </w:r>
      <w:r w:rsidRPr="00827326">
        <w:rPr>
          <w:spacing w:val="-2"/>
          <w:rtl/>
          <w:lang w:val="es-PY"/>
        </w:rPr>
        <w:t>2</w:t>
      </w:r>
      <w:r w:rsidRPr="00F15D99">
        <w:rPr>
          <w:spacing w:val="-2"/>
          <w:rtl/>
          <w:lang w:val="es-PY"/>
        </w:rPr>
        <w:t>؛ و</w:t>
      </w:r>
      <w:r w:rsidRPr="00827326">
        <w:rPr>
          <w:spacing w:val="-2"/>
          <w:rtl/>
          <w:lang w:val="es-PY"/>
        </w:rPr>
        <w:t>9</w:t>
      </w:r>
      <w:r w:rsidRPr="00F15D99">
        <w:rPr>
          <w:spacing w:val="-2"/>
          <w:rtl/>
          <w:lang w:val="es-PY"/>
        </w:rPr>
        <w:t>؛ و</w:t>
      </w:r>
      <w:r w:rsidRPr="00827326">
        <w:rPr>
          <w:spacing w:val="-2"/>
          <w:rtl/>
          <w:lang w:val="es-PY"/>
        </w:rPr>
        <w:t>14</w:t>
      </w:r>
      <w:r w:rsidRPr="00F15D99">
        <w:rPr>
          <w:spacing w:val="-2"/>
          <w:rtl/>
          <w:lang w:val="es-PY"/>
        </w:rPr>
        <w:t>(</w:t>
      </w:r>
      <w:r w:rsidRPr="00827326">
        <w:rPr>
          <w:spacing w:val="-2"/>
          <w:rtl/>
          <w:lang w:val="es-PY"/>
        </w:rPr>
        <w:t>1</w:t>
      </w:r>
      <w:r w:rsidRPr="00F15D99">
        <w:rPr>
          <w:spacing w:val="-2"/>
          <w:rtl/>
          <w:lang w:val="es-PY"/>
        </w:rPr>
        <w:t>)، و(</w:t>
      </w:r>
      <w:r w:rsidRPr="00827326">
        <w:rPr>
          <w:spacing w:val="-2"/>
          <w:rtl/>
          <w:lang w:val="es-PY"/>
        </w:rPr>
        <w:t>2</w:t>
      </w:r>
      <w:r w:rsidRPr="00F15D99">
        <w:rPr>
          <w:spacing w:val="-2"/>
          <w:rtl/>
          <w:lang w:val="es-PY"/>
        </w:rPr>
        <w:t>)،</w:t>
      </w:r>
      <w:r w:rsidRPr="00E34EE7">
        <w:rPr>
          <w:rtl/>
          <w:lang w:val="es-PY"/>
        </w:rPr>
        <w:t xml:space="preserve"> و(</w:t>
      </w:r>
      <w:r w:rsidRPr="00827326">
        <w:rPr>
          <w:rtl/>
          <w:lang w:val="es-PY"/>
        </w:rPr>
        <w:t>3</w:t>
      </w:r>
      <w:r w:rsidRPr="00E34EE7">
        <w:rPr>
          <w:rtl/>
          <w:lang w:val="es-PY"/>
        </w:rPr>
        <w:t xml:space="preserve">)(أ) و(ب) و(ج) و(د) من العهد. </w:t>
      </w:r>
    </w:p>
    <w:p w14:paraId="751A5F6C" w14:textId="77777777" w:rsidR="00621B71" w:rsidRPr="00E34EE7" w:rsidRDefault="00621B71" w:rsidP="00BF23D0">
      <w:pPr>
        <w:pStyle w:val="SingleTxtGA"/>
        <w:spacing w:line="350" w:lineRule="exact"/>
        <w:rPr>
          <w:rtl/>
          <w:lang w:val="es-PY"/>
        </w:rPr>
      </w:pPr>
      <w:r w:rsidRPr="00827326">
        <w:rPr>
          <w:rtl/>
          <w:lang w:val="es-PY"/>
        </w:rPr>
        <w:t>3</w:t>
      </w:r>
      <w:r w:rsidRPr="00E34EE7">
        <w:rPr>
          <w:rtl/>
          <w:lang w:val="es-PY"/>
        </w:rPr>
        <w:t>-</w:t>
      </w:r>
      <w:r w:rsidRPr="00827326">
        <w:rPr>
          <w:rtl/>
          <w:lang w:val="es-PY"/>
        </w:rPr>
        <w:t>2</w:t>
      </w:r>
      <w:r w:rsidRPr="00E34EE7">
        <w:rPr>
          <w:rtl/>
          <w:lang w:val="es-PY"/>
        </w:rPr>
        <w:tab/>
        <w:t xml:space="preserve">ويدعي صاحب البلاغ وقوع عدة انتهاكات للحق في المحاكمة وفق الأصول القانونية، المنصوص عليه في المادة </w:t>
      </w:r>
      <w:r w:rsidRPr="00827326">
        <w:rPr>
          <w:rtl/>
          <w:lang w:val="es-PY"/>
        </w:rPr>
        <w:t>14</w:t>
      </w:r>
      <w:r w:rsidRPr="00E34EE7">
        <w:rPr>
          <w:rtl/>
          <w:lang w:val="es-PY"/>
        </w:rPr>
        <w:t xml:space="preserve">. ففي المقام الأول، يدعي صاحب البلاغ أن عدم السماح لمحاميه المعيَّن على نحو سليم بأداء اليمين القانونية أمام السلطات القضائية المعنية يشكل انتهاكاً لحقه في الدفاع. وفي المقام الثاني، يدعي صاحب البلاغ أن طلب المدعي العام وقرار المحكمة الابتدائية رقم </w:t>
      </w:r>
      <w:r w:rsidRPr="00827326">
        <w:rPr>
          <w:rtl/>
          <w:lang w:val="es-PY"/>
        </w:rPr>
        <w:t>19</w:t>
      </w:r>
      <w:r w:rsidRPr="00E34EE7">
        <w:rPr>
          <w:rtl/>
          <w:lang w:val="es-PY"/>
        </w:rPr>
        <w:t xml:space="preserve"> بشأن التدابير </w:t>
      </w:r>
      <w:r w:rsidRPr="00F15D99">
        <w:rPr>
          <w:spacing w:val="-2"/>
          <w:rtl/>
          <w:lang w:val="es-PY"/>
        </w:rPr>
        <w:t>الوقائية لتجميد أصوله المالية وإلقاء القبض عليه، قبل الاستماع إليه أو إلى محامييه أو إبلاغهم على نحو</w:t>
      </w:r>
      <w:r w:rsidRPr="00E34EE7">
        <w:rPr>
          <w:rtl/>
          <w:lang w:val="es-PY"/>
        </w:rPr>
        <w:t xml:space="preserve"> واضح ودقيق ومفصل بالوقائع موضوع التحقيق الجنائي، يشكلان انتهاكاً لحقه في الدفاع وفي </w:t>
      </w:r>
      <w:r w:rsidRPr="00F15D99">
        <w:rPr>
          <w:spacing w:val="-2"/>
          <w:rtl/>
          <w:lang w:val="es-PY"/>
        </w:rPr>
        <w:t>الاستماع إليه. وفي المقام الثالث، يدعي صاحب البلاغ أن عدم السماح لمحاميه بتقديم مذكرات أو الاطلاع</w:t>
      </w:r>
      <w:r w:rsidRPr="00E34EE7">
        <w:rPr>
          <w:rtl/>
          <w:lang w:val="es-PY"/>
        </w:rPr>
        <w:t xml:space="preserve"> </w:t>
      </w:r>
      <w:r w:rsidRPr="00F15D99">
        <w:rPr>
          <w:spacing w:val="-2"/>
          <w:rtl/>
          <w:lang w:val="es-PY"/>
        </w:rPr>
        <w:t>على المعلومات المتعلقة بقضيته يعوق أيضاً ممارسة صاحب البلاغ حقه في الدفاع، إذ يمنعه ذلك من معرفة أدلة إدانته الموجودة بحوزة النيابة العامة. وفي المقام الرابع، يدعي صاحب البلاغ عدم استقلال السلطات</w:t>
      </w:r>
      <w:r w:rsidRPr="00E34EE7">
        <w:rPr>
          <w:rtl/>
          <w:lang w:val="es-PY"/>
        </w:rPr>
        <w:t xml:space="preserve"> العامة الفنزويلية، ولا سيما في سياق الملاحقة الجنائية لأصحاب المصارف وشركات الوساطة المالية، ويدعي عدم تعليل مختلف الهيئات القضائية قراراتها بالقدر الكافي، حيث تقتصر على استنساخ السوابق القضائية لمحكمة العدل العليا.</w:t>
      </w:r>
    </w:p>
    <w:p w14:paraId="0FCB96CB" w14:textId="77777777" w:rsidR="00621B71" w:rsidRPr="00E34EE7" w:rsidRDefault="00621B71" w:rsidP="00BF23D0">
      <w:pPr>
        <w:pStyle w:val="SingleTxtGA"/>
        <w:spacing w:line="342" w:lineRule="exact"/>
        <w:rPr>
          <w:rtl/>
          <w:lang w:val="es-PY"/>
        </w:rPr>
      </w:pPr>
      <w:r w:rsidRPr="00827326">
        <w:rPr>
          <w:rtl/>
          <w:lang w:val="es-PY"/>
        </w:rPr>
        <w:lastRenderedPageBreak/>
        <w:t>3</w:t>
      </w:r>
      <w:r w:rsidRPr="00E34EE7">
        <w:rPr>
          <w:rtl/>
          <w:lang w:val="es-PY"/>
        </w:rPr>
        <w:t>-</w:t>
      </w:r>
      <w:r w:rsidRPr="00827326">
        <w:rPr>
          <w:rtl/>
          <w:lang w:val="es-PY"/>
        </w:rPr>
        <w:t>3</w:t>
      </w:r>
      <w:r w:rsidRPr="00E34EE7">
        <w:rPr>
          <w:rtl/>
          <w:lang w:val="es-PY"/>
        </w:rPr>
        <w:tab/>
        <w:t xml:space="preserve">ويطلب صاحب البلاغ إلى اللجنة أن تدين انتهاك الدولة الطرف الحقوق المذكورة أعلاه، وتطالبها بإعادة إقرار جميع الحقوق المنتهكة، وتأمرها بإلغاء أمر توقيفه وإبطال الإجراءات الجنائية المعيبة المباشَرة ضده. وعلاوةً على ذلك، يطلب صاحب البلاغ، استناداً إلى المادة </w:t>
      </w:r>
      <w:r w:rsidRPr="00827326">
        <w:rPr>
          <w:rtl/>
          <w:lang w:val="es-PY"/>
        </w:rPr>
        <w:t>2</w:t>
      </w:r>
      <w:r w:rsidRPr="00E34EE7">
        <w:rPr>
          <w:rtl/>
          <w:lang w:val="es-PY"/>
        </w:rPr>
        <w:t>(</w:t>
      </w:r>
      <w:r w:rsidRPr="00827326">
        <w:rPr>
          <w:rtl/>
          <w:lang w:val="es-PY"/>
        </w:rPr>
        <w:t>3</w:t>
      </w:r>
      <w:r w:rsidRPr="00E34EE7">
        <w:rPr>
          <w:rtl/>
          <w:lang w:val="es-PY"/>
        </w:rPr>
        <w:t>) من العهد، أن توفر له الدولة الطرف سبيل انتصاف فعالاً من الأضرار المعنوية والمادية التي لحقت به جراء الإجراءات التعسفية التي دفعت به إلى المنفى.</w:t>
      </w:r>
    </w:p>
    <w:p w14:paraId="1064943C" w14:textId="77777777" w:rsidR="00621B71" w:rsidRPr="00827326" w:rsidRDefault="00621B71" w:rsidP="00BF23D0">
      <w:pPr>
        <w:pStyle w:val="H23GA"/>
        <w:rPr>
          <w:rtl/>
        </w:rPr>
      </w:pPr>
      <w:r w:rsidRPr="00827326">
        <w:rPr>
          <w:rtl/>
        </w:rPr>
        <w:tab/>
      </w:r>
      <w:r w:rsidRPr="00827326">
        <w:rPr>
          <w:rtl/>
        </w:rPr>
        <w:tab/>
        <w:t>ملاحظات الدولة الطرف بشأن مقبولية البلاغ وأسسه الموضوعية</w:t>
      </w:r>
    </w:p>
    <w:p w14:paraId="7D9774E5" w14:textId="77777777" w:rsidR="00621B71" w:rsidRPr="00E34EE7" w:rsidRDefault="00621B71" w:rsidP="00BF23D0">
      <w:pPr>
        <w:pStyle w:val="SingleTxtGA"/>
        <w:spacing w:line="342" w:lineRule="exact"/>
        <w:rPr>
          <w:rtl/>
          <w:lang w:val="es-PY"/>
        </w:rPr>
      </w:pPr>
      <w:r w:rsidRPr="00827326">
        <w:rPr>
          <w:rtl/>
          <w:lang w:val="es-PY"/>
        </w:rPr>
        <w:t>4</w:t>
      </w:r>
      <w:r w:rsidRPr="00E34EE7">
        <w:rPr>
          <w:rtl/>
          <w:lang w:val="es-PY"/>
        </w:rPr>
        <w:t>-</w:t>
      </w:r>
      <w:r w:rsidRPr="00827326">
        <w:rPr>
          <w:rtl/>
          <w:lang w:val="es-PY"/>
        </w:rPr>
        <w:t>1</w:t>
      </w:r>
      <w:r w:rsidRPr="00E34EE7">
        <w:rPr>
          <w:rtl/>
          <w:lang w:val="es-PY"/>
        </w:rPr>
        <w:tab/>
      </w:r>
      <w:r w:rsidRPr="00BF23D0">
        <w:rPr>
          <w:spacing w:val="-4"/>
          <w:rtl/>
          <w:lang w:val="es-PY"/>
        </w:rPr>
        <w:t xml:space="preserve">في </w:t>
      </w:r>
      <w:r w:rsidRPr="00827326">
        <w:rPr>
          <w:spacing w:val="-4"/>
          <w:rtl/>
          <w:lang w:val="es-PY"/>
        </w:rPr>
        <w:t>10</w:t>
      </w:r>
      <w:r w:rsidRPr="00BF23D0">
        <w:rPr>
          <w:spacing w:val="-4"/>
          <w:rtl/>
          <w:lang w:val="es-PY"/>
        </w:rPr>
        <w:t xml:space="preserve"> تموز/يوليه </w:t>
      </w:r>
      <w:r w:rsidRPr="00827326">
        <w:rPr>
          <w:spacing w:val="-4"/>
          <w:rtl/>
          <w:lang w:val="es-PY"/>
        </w:rPr>
        <w:t>2017</w:t>
      </w:r>
      <w:r w:rsidRPr="00BF23D0">
        <w:rPr>
          <w:spacing w:val="-4"/>
          <w:rtl/>
          <w:lang w:val="es-PY"/>
        </w:rPr>
        <w:t xml:space="preserve">، قدمت الدولة الطرف ملاحظات بشأن مقبولية البلاغ وأسسه الموضوعية، أكدت فيها أنه ينبغي إعلان عدم قبوله لعدم استنفاد صاحبه سبل الانتصاف المحلية بموجب المادة </w:t>
      </w:r>
      <w:r w:rsidRPr="00827326">
        <w:rPr>
          <w:spacing w:val="-4"/>
          <w:rtl/>
          <w:lang w:val="es-PY"/>
        </w:rPr>
        <w:t>5</w:t>
      </w:r>
      <w:r w:rsidRPr="00BF23D0">
        <w:rPr>
          <w:spacing w:val="-4"/>
          <w:rtl/>
          <w:lang w:val="es-PY"/>
        </w:rPr>
        <w:t>(</w:t>
      </w:r>
      <w:r w:rsidRPr="00827326">
        <w:rPr>
          <w:spacing w:val="-4"/>
          <w:rtl/>
          <w:lang w:val="es-PY"/>
        </w:rPr>
        <w:t>2</w:t>
      </w:r>
      <w:r w:rsidRPr="00BF23D0">
        <w:rPr>
          <w:spacing w:val="-4"/>
          <w:rtl/>
          <w:lang w:val="es-PY"/>
        </w:rPr>
        <w:t>)(ب)</w:t>
      </w:r>
      <w:r w:rsidRPr="00E34EE7">
        <w:rPr>
          <w:rtl/>
          <w:lang w:val="es-PY"/>
        </w:rPr>
        <w:t xml:space="preserve"> من البروتوكول الاختياري.</w:t>
      </w:r>
    </w:p>
    <w:p w14:paraId="366C70C0" w14:textId="31CC7FA1" w:rsidR="00621B71" w:rsidRPr="00E34EE7" w:rsidRDefault="00621B71" w:rsidP="00BF23D0">
      <w:pPr>
        <w:pStyle w:val="SingleTxtGA"/>
        <w:spacing w:line="342" w:lineRule="exact"/>
        <w:rPr>
          <w:rtl/>
          <w:lang w:val="es-PY"/>
        </w:rPr>
      </w:pPr>
      <w:r w:rsidRPr="00827326">
        <w:rPr>
          <w:rtl/>
          <w:lang w:val="es-PY"/>
        </w:rPr>
        <w:t>4</w:t>
      </w:r>
      <w:r w:rsidRPr="00E34EE7">
        <w:rPr>
          <w:rtl/>
          <w:lang w:val="es-PY"/>
        </w:rPr>
        <w:t>-</w:t>
      </w:r>
      <w:r w:rsidRPr="00827326">
        <w:rPr>
          <w:rtl/>
          <w:lang w:val="es-PY"/>
        </w:rPr>
        <w:t>2</w:t>
      </w:r>
      <w:r w:rsidRPr="00E34EE7">
        <w:rPr>
          <w:rtl/>
          <w:lang w:val="es-PY"/>
        </w:rPr>
        <w:tab/>
        <w:t xml:space="preserve">وتوضح الدولة الطرف أن اللجنة الوطنية للأوراق المالية - وهي الهيئة المسؤولة عن تعزيز سوق رأس المال وتنظيمها ورصدها ومراقبتها - أمرت، استنادا إلى مذكرتين مؤرختين </w:t>
      </w:r>
      <w:r w:rsidRPr="00827326">
        <w:rPr>
          <w:rtl/>
          <w:lang w:val="es-PY"/>
        </w:rPr>
        <w:t>17</w:t>
      </w:r>
      <w:r w:rsidRPr="00E34EE7">
        <w:rPr>
          <w:rtl/>
          <w:lang w:val="es-PY"/>
        </w:rPr>
        <w:t xml:space="preserve"> كانون الأول/</w:t>
      </w:r>
      <w:r w:rsidR="00BF23D0">
        <w:rPr>
          <w:rFonts w:hint="cs"/>
          <w:rtl/>
          <w:lang w:val="es-PY"/>
        </w:rPr>
        <w:t xml:space="preserve"> </w:t>
      </w:r>
      <w:r w:rsidRPr="00E34EE7">
        <w:rPr>
          <w:rtl/>
          <w:lang w:val="es-PY"/>
        </w:rPr>
        <w:t xml:space="preserve">ديسمبر </w:t>
      </w:r>
      <w:r w:rsidRPr="00827326">
        <w:rPr>
          <w:rtl/>
          <w:lang w:val="es-PY"/>
        </w:rPr>
        <w:t>2009</w:t>
      </w:r>
      <w:r w:rsidRPr="00621B71">
        <w:rPr>
          <w:vertAlign w:val="superscript"/>
          <w:rtl/>
          <w:lang w:val="es-PY"/>
        </w:rPr>
        <w:t>(</w:t>
      </w:r>
      <w:r w:rsidRPr="00827326">
        <w:rPr>
          <w:rStyle w:val="FootnoteReference"/>
          <w:szCs w:val="22"/>
          <w:lang w:val="en-US"/>
        </w:rPr>
        <w:footnoteReference w:id="10"/>
      </w:r>
      <w:r w:rsidRPr="00621B71">
        <w:rPr>
          <w:vertAlign w:val="superscript"/>
          <w:rtl/>
          <w:lang w:val="es-PY"/>
        </w:rPr>
        <w:t>)</w:t>
      </w:r>
      <w:r w:rsidRPr="00E34EE7">
        <w:rPr>
          <w:rtl/>
          <w:lang w:val="es-PY"/>
        </w:rPr>
        <w:t>، بإجراء زيارات تفتيش لشركة الوساطة المالية "</w:t>
      </w:r>
      <w:proofErr w:type="spellStart"/>
      <w:r w:rsidRPr="00E34EE7">
        <w:rPr>
          <w:rtl/>
          <w:lang w:val="es-PY"/>
        </w:rPr>
        <w:t>أونو</w:t>
      </w:r>
      <w:proofErr w:type="spellEnd"/>
      <w:r w:rsidRPr="00E34EE7">
        <w:rPr>
          <w:rtl/>
          <w:lang w:val="es-PY"/>
        </w:rPr>
        <w:t xml:space="preserve"> </w:t>
      </w:r>
      <w:proofErr w:type="spellStart"/>
      <w:r w:rsidRPr="00E34EE7">
        <w:rPr>
          <w:rtl/>
          <w:lang w:val="es-PY"/>
        </w:rPr>
        <w:t>بالوريس</w:t>
      </w:r>
      <w:proofErr w:type="spellEnd"/>
      <w:r w:rsidRPr="00E34EE7">
        <w:rPr>
          <w:rtl/>
          <w:lang w:val="es-PY"/>
        </w:rPr>
        <w:t xml:space="preserve">"، بغرض مراجعة حساباتها المالية ونظام إدارتها. وفي سياق هذه التحقيقات، اكتُشفت مخالفات أُبلغت بها النيابة </w:t>
      </w:r>
      <w:proofErr w:type="gramStart"/>
      <w:r w:rsidRPr="00E34EE7">
        <w:rPr>
          <w:rtl/>
          <w:lang w:val="es-PY"/>
        </w:rPr>
        <w:t>العامة</w:t>
      </w:r>
      <w:r w:rsidRPr="00621B71">
        <w:rPr>
          <w:vertAlign w:val="superscript"/>
          <w:rtl/>
          <w:lang w:val="es-PY"/>
        </w:rPr>
        <w:t>(</w:t>
      </w:r>
      <w:proofErr w:type="gramEnd"/>
      <w:r w:rsidRPr="00827326">
        <w:rPr>
          <w:rStyle w:val="FootnoteReference"/>
          <w:szCs w:val="22"/>
          <w:lang w:val="en-US"/>
        </w:rPr>
        <w:footnoteReference w:id="11"/>
      </w:r>
      <w:r w:rsidRPr="00621B71">
        <w:rPr>
          <w:vertAlign w:val="superscript"/>
          <w:rtl/>
          <w:lang w:val="es-PY"/>
        </w:rPr>
        <w:t>)</w:t>
      </w:r>
      <w:r w:rsidRPr="00E34EE7">
        <w:rPr>
          <w:rtl/>
          <w:lang w:val="es-PY"/>
        </w:rPr>
        <w:t xml:space="preserve">. وإزاء هذه المخالفات، قررت اللجنة الوطنية للأوراق المالية أيضاً، في </w:t>
      </w:r>
      <w:r w:rsidRPr="00827326">
        <w:rPr>
          <w:rtl/>
          <w:lang w:val="es-PY"/>
        </w:rPr>
        <w:t>26</w:t>
      </w:r>
      <w:r w:rsidRPr="00E34EE7">
        <w:rPr>
          <w:rtl/>
          <w:lang w:val="es-PY"/>
        </w:rPr>
        <w:t xml:space="preserve"> شباط/فبراير </w:t>
      </w:r>
      <w:r w:rsidRPr="00827326">
        <w:rPr>
          <w:rtl/>
          <w:lang w:val="es-PY"/>
        </w:rPr>
        <w:t>2010</w:t>
      </w:r>
      <w:r w:rsidRPr="00621B71">
        <w:rPr>
          <w:vertAlign w:val="superscript"/>
          <w:rtl/>
          <w:lang w:val="es-PY"/>
        </w:rPr>
        <w:t>(</w:t>
      </w:r>
      <w:r w:rsidRPr="00827326">
        <w:rPr>
          <w:rStyle w:val="FootnoteReference"/>
          <w:szCs w:val="22"/>
          <w:lang w:val="en-US"/>
        </w:rPr>
        <w:footnoteReference w:id="12"/>
      </w:r>
      <w:r w:rsidRPr="00621B71">
        <w:rPr>
          <w:vertAlign w:val="superscript"/>
          <w:rtl/>
          <w:lang w:val="es-PY"/>
        </w:rPr>
        <w:t>)</w:t>
      </w:r>
      <w:r w:rsidRPr="00E34EE7">
        <w:rPr>
          <w:rtl/>
          <w:lang w:val="es-PY"/>
        </w:rPr>
        <w:t xml:space="preserve">، التدخل في إدارة </w:t>
      </w:r>
      <w:r w:rsidRPr="00BF23D0">
        <w:rPr>
          <w:spacing w:val="-4"/>
          <w:rtl/>
          <w:lang w:val="es-PY"/>
        </w:rPr>
        <w:t>الشركة ووقف عملياتها التجارية، وأبلغت النيابة العامة على النحو الواجب بهذا القرار. أما بخصوص مصرف</w:t>
      </w:r>
      <w:r w:rsidRPr="00E34EE7">
        <w:rPr>
          <w:rtl/>
          <w:lang w:val="es-PY"/>
        </w:rPr>
        <w:t xml:space="preserve"> "سول"، فقد قررت هيئة مراقبة المصارف والمؤسسات المالية الأخرى، في </w:t>
      </w:r>
      <w:r w:rsidRPr="00827326">
        <w:rPr>
          <w:rtl/>
          <w:lang w:val="es-PY"/>
        </w:rPr>
        <w:t>18</w:t>
      </w:r>
      <w:r w:rsidRPr="00E34EE7">
        <w:rPr>
          <w:rtl/>
          <w:lang w:val="es-PY"/>
        </w:rPr>
        <w:t xml:space="preserve"> كانون الثاني/يناير </w:t>
      </w:r>
      <w:r w:rsidRPr="00827326">
        <w:rPr>
          <w:rtl/>
          <w:lang w:val="es-PY"/>
        </w:rPr>
        <w:t>2010</w:t>
      </w:r>
      <w:r w:rsidRPr="00E34EE7">
        <w:rPr>
          <w:rtl/>
          <w:lang w:val="es-PY"/>
        </w:rPr>
        <w:t>، التدخل في إدارته بعد اكتشاف مخالفات وانتهاكات للقانون المنطبق. وكان صاحب البلاغ حينها يشغل منصب المدير الرئيسي لتلك المؤسسة المصرفية.</w:t>
      </w:r>
    </w:p>
    <w:p w14:paraId="792E3D74" w14:textId="77777777" w:rsidR="00621B71" w:rsidRPr="00E34EE7" w:rsidRDefault="00621B71" w:rsidP="00BF23D0">
      <w:pPr>
        <w:pStyle w:val="SingleTxtGA"/>
        <w:spacing w:line="342" w:lineRule="exact"/>
        <w:rPr>
          <w:rtl/>
          <w:lang w:val="es-PY"/>
        </w:rPr>
      </w:pPr>
      <w:r w:rsidRPr="00827326">
        <w:rPr>
          <w:rtl/>
          <w:lang w:val="es-PY"/>
        </w:rPr>
        <w:t>4</w:t>
      </w:r>
      <w:r w:rsidRPr="00E34EE7">
        <w:rPr>
          <w:rtl/>
          <w:lang w:val="es-PY"/>
        </w:rPr>
        <w:t>-</w:t>
      </w:r>
      <w:r w:rsidRPr="00827326">
        <w:rPr>
          <w:rtl/>
          <w:lang w:val="es-PY"/>
        </w:rPr>
        <w:t>3</w:t>
      </w:r>
      <w:r w:rsidRPr="00E34EE7">
        <w:rPr>
          <w:rtl/>
          <w:lang w:val="es-PY"/>
        </w:rPr>
        <w:tab/>
        <w:t xml:space="preserve">واستناداً إلى المعلومات التي قدمتها مؤسسات المراقبة المالية المذكورة، بادرت النيابة العامة إلى </w:t>
      </w:r>
      <w:r w:rsidRPr="00BF23D0">
        <w:rPr>
          <w:spacing w:val="-4"/>
          <w:rtl/>
          <w:lang w:val="es-PY"/>
        </w:rPr>
        <w:t>إجراء التحقيقات اللازمة لتحديد المسؤولية الجنائية، وأفضت هذه التحقيقات إلى إصدار أمر توقيف صاحب</w:t>
      </w:r>
      <w:r w:rsidRPr="00E34EE7">
        <w:rPr>
          <w:rtl/>
          <w:lang w:val="es-PY"/>
        </w:rPr>
        <w:t xml:space="preserve"> البلاغ في </w:t>
      </w:r>
      <w:r w:rsidRPr="00827326">
        <w:rPr>
          <w:rtl/>
          <w:lang w:val="es-PY"/>
        </w:rPr>
        <w:t>14</w:t>
      </w:r>
      <w:r w:rsidRPr="00E34EE7">
        <w:rPr>
          <w:rtl/>
          <w:lang w:val="es-PY"/>
        </w:rPr>
        <w:t xml:space="preserve"> أيار/مايو </w:t>
      </w:r>
      <w:r w:rsidRPr="00827326">
        <w:rPr>
          <w:rtl/>
          <w:lang w:val="es-PY"/>
        </w:rPr>
        <w:t>2010</w:t>
      </w:r>
      <w:r w:rsidRPr="00E34EE7">
        <w:rPr>
          <w:rtl/>
          <w:lang w:val="es-PY"/>
        </w:rPr>
        <w:t>. ولم يتسن تنفيذ هذا الأمر، لأن صاحب البلاغ لم يكن موجوداً في البلد. وتوضح الدولة الطرف أن العائق القانوني الرئيسي لدفاع صاحب البلاغ عن مصالح يُعزى إليه هو نفسه، لعدم حضوره الإجراءات الجنائية المباشرة ضده. وتضيف الدولة الطرف أن غياب صاحب البلاغ خلال مرحلة التحقيق يدفع إلى افتراض مسؤوليته المزعومة عن المخالفات المذكورة.</w:t>
      </w:r>
    </w:p>
    <w:p w14:paraId="7DF884D2" w14:textId="3ED995FA" w:rsidR="00621B71" w:rsidRPr="00E34EE7" w:rsidRDefault="00621B71" w:rsidP="00BF23D0">
      <w:pPr>
        <w:pStyle w:val="SingleTxtGA"/>
        <w:spacing w:after="100" w:line="340" w:lineRule="exact"/>
        <w:rPr>
          <w:rtl/>
          <w:lang w:val="es-PY"/>
        </w:rPr>
      </w:pPr>
      <w:r w:rsidRPr="00827326">
        <w:rPr>
          <w:rtl/>
          <w:lang w:val="es-PY"/>
        </w:rPr>
        <w:t>4</w:t>
      </w:r>
      <w:r w:rsidRPr="00E34EE7">
        <w:rPr>
          <w:rtl/>
          <w:lang w:val="es-PY"/>
        </w:rPr>
        <w:t>-</w:t>
      </w:r>
      <w:r w:rsidRPr="00827326">
        <w:rPr>
          <w:rtl/>
          <w:lang w:val="es-PY"/>
        </w:rPr>
        <w:t>4</w:t>
      </w:r>
      <w:r w:rsidRPr="00E34EE7">
        <w:rPr>
          <w:rtl/>
          <w:lang w:val="es-PY"/>
        </w:rPr>
        <w:tab/>
        <w:t xml:space="preserve">وتدعي الدولة الطرف أن صاحب البلاغ رفض الحضور إلى إقليم فنزويلا للخضوع لمحاكمة تكفل ضمانات المحاكمة وفق الأصول القانونية وفقاً للنظام الدستوري والقانوني الساري. وتضيف أنه لا يجوز لصاحب البلاغ أن يطلب محاكمته غيابياً، لأن ذلك يخالف مبادئ المحاكمة وفق الأصول القانونية </w:t>
      </w:r>
      <w:r w:rsidRPr="00BF23D0">
        <w:rPr>
          <w:spacing w:val="-4"/>
          <w:rtl/>
          <w:lang w:val="es-PY"/>
        </w:rPr>
        <w:t xml:space="preserve">المنصوص عليها في المادة </w:t>
      </w:r>
      <w:r w:rsidRPr="00827326">
        <w:rPr>
          <w:spacing w:val="-4"/>
          <w:rtl/>
          <w:lang w:val="es-PY"/>
        </w:rPr>
        <w:t>49</w:t>
      </w:r>
      <w:r w:rsidRPr="00BF23D0">
        <w:rPr>
          <w:spacing w:val="-4"/>
          <w:rtl/>
          <w:lang w:val="es-PY"/>
        </w:rPr>
        <w:t xml:space="preserve"> من دستور الدولة الطرف، الساري منذ عام </w:t>
      </w:r>
      <w:r w:rsidRPr="00827326">
        <w:rPr>
          <w:spacing w:val="-4"/>
          <w:rtl/>
          <w:lang w:val="es-PY"/>
        </w:rPr>
        <w:t>1999</w:t>
      </w:r>
      <w:r w:rsidRPr="00BF23D0">
        <w:rPr>
          <w:spacing w:val="-4"/>
          <w:rtl/>
          <w:lang w:val="es-PY"/>
        </w:rPr>
        <w:t>. وتوضح الدولة الطرف</w:t>
      </w:r>
      <w:r w:rsidRPr="00E34EE7">
        <w:rPr>
          <w:rtl/>
          <w:lang w:val="es-PY"/>
        </w:rPr>
        <w:t xml:space="preserve"> أن نص الدستور السابق لإصلاح عام </w:t>
      </w:r>
      <w:r w:rsidRPr="00827326">
        <w:rPr>
          <w:rtl/>
          <w:lang w:val="es-PY"/>
        </w:rPr>
        <w:t>1999</w:t>
      </w:r>
      <w:r w:rsidRPr="00E34EE7">
        <w:rPr>
          <w:rtl/>
          <w:lang w:val="es-PY"/>
        </w:rPr>
        <w:t xml:space="preserve"> لم يكن يجيز المحاكمة غيابياً إلا في حالات الجرائم </w:t>
      </w:r>
      <w:r w:rsidRPr="00BF23D0">
        <w:rPr>
          <w:spacing w:val="-4"/>
          <w:rtl/>
          <w:lang w:val="es-PY"/>
        </w:rPr>
        <w:t>المرتكبة "ضد المصلحة العامة</w:t>
      </w:r>
      <w:r w:rsidRPr="00E34EE7">
        <w:rPr>
          <w:rtl/>
          <w:lang w:val="es-PY"/>
        </w:rPr>
        <w:t>"</w:t>
      </w:r>
      <w:r w:rsidRPr="00621B71">
        <w:rPr>
          <w:vertAlign w:val="superscript"/>
          <w:rtl/>
          <w:lang w:val="es-PY"/>
        </w:rPr>
        <w:t>(</w:t>
      </w:r>
      <w:r w:rsidRPr="00827326">
        <w:rPr>
          <w:rStyle w:val="FootnoteReference"/>
          <w:szCs w:val="22"/>
          <w:lang w:val="en-US"/>
        </w:rPr>
        <w:footnoteReference w:id="13"/>
      </w:r>
      <w:r w:rsidRPr="00621B71">
        <w:rPr>
          <w:vertAlign w:val="superscript"/>
          <w:rtl/>
          <w:lang w:val="es-PY"/>
        </w:rPr>
        <w:t>)</w:t>
      </w:r>
      <w:r w:rsidRPr="00E34EE7">
        <w:rPr>
          <w:rtl/>
          <w:lang w:val="es-PY"/>
        </w:rPr>
        <w:t xml:space="preserve">، </w:t>
      </w:r>
      <w:r w:rsidRPr="00BF23D0">
        <w:rPr>
          <w:spacing w:val="-4"/>
          <w:rtl/>
          <w:lang w:val="es-PY"/>
        </w:rPr>
        <w:t xml:space="preserve">ولكن نصه الحالي لا يجيز محاكمة الشخص جنائياً إن لم يكن موجوداً في الإقليم </w:t>
      </w:r>
      <w:proofErr w:type="gramStart"/>
      <w:r w:rsidRPr="00BF23D0">
        <w:rPr>
          <w:spacing w:val="-4"/>
          <w:rtl/>
          <w:lang w:val="es-PY"/>
        </w:rPr>
        <w:t>الوطني</w:t>
      </w:r>
      <w:r w:rsidRPr="00621B71">
        <w:rPr>
          <w:vertAlign w:val="superscript"/>
          <w:rtl/>
          <w:lang w:val="es-PY"/>
        </w:rPr>
        <w:t>(</w:t>
      </w:r>
      <w:proofErr w:type="gramEnd"/>
      <w:r w:rsidRPr="00827326">
        <w:rPr>
          <w:rStyle w:val="FootnoteReference"/>
          <w:szCs w:val="22"/>
          <w:lang w:val="en-US"/>
        </w:rPr>
        <w:footnoteReference w:id="14"/>
      </w:r>
      <w:r w:rsidRPr="00621B71">
        <w:rPr>
          <w:vertAlign w:val="superscript"/>
          <w:rtl/>
          <w:lang w:val="es-PY"/>
        </w:rPr>
        <w:t>)</w:t>
      </w:r>
      <w:r w:rsidRPr="00E34EE7">
        <w:rPr>
          <w:rtl/>
          <w:lang w:val="es-PY"/>
        </w:rPr>
        <w:t xml:space="preserve">. </w:t>
      </w:r>
      <w:r w:rsidRPr="00BF23D0">
        <w:rPr>
          <w:spacing w:val="-4"/>
          <w:rtl/>
          <w:lang w:val="es-PY"/>
        </w:rPr>
        <w:t>ولذلك، تُعلَّق جميع الإجراءات الجنائية في حالة عدم مثول المدعى عليه أو المتهم أمام القضاء،</w:t>
      </w:r>
      <w:r w:rsidRPr="00E34EE7">
        <w:rPr>
          <w:rtl/>
          <w:lang w:val="es-PY"/>
        </w:rPr>
        <w:t xml:space="preserve"> </w:t>
      </w:r>
      <w:r w:rsidRPr="00E34EE7">
        <w:rPr>
          <w:rtl/>
          <w:lang w:val="es-PY"/>
        </w:rPr>
        <w:lastRenderedPageBreak/>
        <w:t xml:space="preserve">وبخاصة عندما يكون قد صدر أمر بتوقيفه وتعذر تنفيذه. وحتى يتمتع المتهم بجميع الحقوق والضمانات التي يوفرها نظام الإجراءات الجنائية الفنزويلي، فمن اللازم أن يحضر الإجراءات الجنائية، كي يتمكن خلالها من ممارسة حقه في </w:t>
      </w:r>
      <w:proofErr w:type="gramStart"/>
      <w:r w:rsidRPr="00E34EE7">
        <w:rPr>
          <w:rtl/>
          <w:lang w:val="es-PY"/>
        </w:rPr>
        <w:t>الدفاع</w:t>
      </w:r>
      <w:r w:rsidRPr="00621B71">
        <w:rPr>
          <w:vertAlign w:val="superscript"/>
          <w:rtl/>
          <w:lang w:val="es-PY"/>
        </w:rPr>
        <w:t>(</w:t>
      </w:r>
      <w:proofErr w:type="gramEnd"/>
      <w:r w:rsidRPr="00827326">
        <w:rPr>
          <w:rStyle w:val="FootnoteReference"/>
          <w:szCs w:val="22"/>
          <w:lang w:val="en-US"/>
        </w:rPr>
        <w:footnoteReference w:id="15"/>
      </w:r>
      <w:r w:rsidRPr="00621B71">
        <w:rPr>
          <w:vertAlign w:val="superscript"/>
          <w:rtl/>
          <w:lang w:val="es-PY"/>
        </w:rPr>
        <w:t>)</w:t>
      </w:r>
      <w:r w:rsidRPr="00E34EE7">
        <w:rPr>
          <w:rtl/>
          <w:lang w:val="es-PY"/>
        </w:rPr>
        <w:t>. وتدعي الدولة الطرف أن عدم جواز المحاكمة غيابياً معيار لا</w:t>
      </w:r>
      <w:r w:rsidR="00BF23D0">
        <w:rPr>
          <w:rFonts w:hint="cs"/>
          <w:rtl/>
          <w:lang w:val="es-PY"/>
        </w:rPr>
        <w:t> </w:t>
      </w:r>
      <w:r w:rsidRPr="00E34EE7">
        <w:rPr>
          <w:rtl/>
          <w:lang w:val="es-PY"/>
        </w:rPr>
        <w:t xml:space="preserve">جدال فيه ومبدأ وضَّحته محكمة العدل العليا باستمرار وبشكل كاف في اجتهاداتها </w:t>
      </w:r>
      <w:proofErr w:type="gramStart"/>
      <w:r w:rsidRPr="00E34EE7">
        <w:rPr>
          <w:rtl/>
          <w:lang w:val="es-PY"/>
        </w:rPr>
        <w:t>القضائية</w:t>
      </w:r>
      <w:r w:rsidRPr="00621B71">
        <w:rPr>
          <w:vertAlign w:val="superscript"/>
          <w:rtl/>
          <w:lang w:val="es-PY"/>
        </w:rPr>
        <w:t>(</w:t>
      </w:r>
      <w:proofErr w:type="gramEnd"/>
      <w:r w:rsidRPr="00827326">
        <w:rPr>
          <w:rStyle w:val="FootnoteReference"/>
          <w:szCs w:val="22"/>
          <w:lang w:val="en-US"/>
        </w:rPr>
        <w:footnoteReference w:id="16"/>
      </w:r>
      <w:r w:rsidRPr="00621B71">
        <w:rPr>
          <w:vertAlign w:val="superscript"/>
          <w:rtl/>
          <w:lang w:val="es-PY"/>
        </w:rPr>
        <w:t>)</w:t>
      </w:r>
      <w:r w:rsidRPr="00E34EE7">
        <w:rPr>
          <w:rtl/>
          <w:lang w:val="es-PY"/>
        </w:rPr>
        <w:t>.</w:t>
      </w:r>
    </w:p>
    <w:p w14:paraId="420C6BE4" w14:textId="77777777" w:rsidR="00621B71" w:rsidRPr="00E34EE7" w:rsidRDefault="00621B71" w:rsidP="00BF23D0">
      <w:pPr>
        <w:pStyle w:val="SingleTxtGA"/>
        <w:spacing w:after="100" w:line="340" w:lineRule="exact"/>
        <w:rPr>
          <w:rtl/>
          <w:lang w:val="es-PY"/>
        </w:rPr>
      </w:pPr>
      <w:r w:rsidRPr="00827326">
        <w:rPr>
          <w:rtl/>
          <w:lang w:val="es-PY"/>
        </w:rPr>
        <w:t>4</w:t>
      </w:r>
      <w:r w:rsidRPr="00E34EE7">
        <w:rPr>
          <w:rtl/>
          <w:lang w:val="es-PY"/>
        </w:rPr>
        <w:t>-</w:t>
      </w:r>
      <w:r w:rsidRPr="00827326">
        <w:rPr>
          <w:rtl/>
          <w:lang w:val="es-PY"/>
        </w:rPr>
        <w:t>5</w:t>
      </w:r>
      <w:r w:rsidRPr="00E34EE7">
        <w:rPr>
          <w:rtl/>
          <w:lang w:val="es-PY"/>
        </w:rPr>
        <w:tab/>
        <w:t>وتضيف الدولة الطرف أنه لا يجوز لصاحب البلاغ أن يقدم إلى اللجنة بلاغاً بدعوى أنه ضحية عدم المساواة في المعاملة، ناهيك عن ادعائه التعرض لاضطهاد سياسي مزعوم من دون الاستناد إلى أي أسس أو أدلة في هذا الصدد. وتشير إلى أن صاحب البلاغ لم يثبت في أي حال من الأحوال أنه يوجد في المنفى خارج البلد لأسباب سياسية.</w:t>
      </w:r>
    </w:p>
    <w:p w14:paraId="7193F08D" w14:textId="77777777" w:rsidR="00621B71" w:rsidRPr="00E34EE7" w:rsidRDefault="00621B71" w:rsidP="00BF23D0">
      <w:pPr>
        <w:pStyle w:val="SingleTxtGA"/>
        <w:spacing w:after="100" w:line="340" w:lineRule="exact"/>
        <w:rPr>
          <w:rtl/>
          <w:lang w:val="es-PY"/>
        </w:rPr>
      </w:pPr>
      <w:r w:rsidRPr="00827326">
        <w:rPr>
          <w:rtl/>
          <w:lang w:val="es-PY"/>
        </w:rPr>
        <w:t>4</w:t>
      </w:r>
      <w:r w:rsidRPr="00E34EE7">
        <w:rPr>
          <w:rtl/>
          <w:lang w:val="es-PY"/>
        </w:rPr>
        <w:t>-</w:t>
      </w:r>
      <w:r w:rsidRPr="00827326">
        <w:rPr>
          <w:rtl/>
          <w:lang w:val="es-PY"/>
        </w:rPr>
        <w:t>6</w:t>
      </w:r>
      <w:r w:rsidRPr="00E34EE7">
        <w:rPr>
          <w:rtl/>
          <w:lang w:val="es-PY"/>
        </w:rPr>
        <w:tab/>
        <w:t xml:space="preserve">وتدعي الدولة الطرف أنه ينبغي لصاحب البلاغ أن يمثل أمام القضاء كي يعيِّن محاميه ويتمكن من تقديم جميع الدفوع الشكلية والموضوعية التي يراها ملائمة، وإلا جُمِّدت الإجراءات الجنائية. ويترتب حتماً على وجود صاحب البلاغ في حالة فرار أو تهرب من الإجراءات الجنائية المباشَرة ضده عدم تمكنه من تعيين محاميه الخاص، ويعني ذلك أيضاً أنه لا يجوز لأي شخص أن يتحقق، نيابة عنه، من وثائق ملف هذه الإجراءات الجنائية. وتوضح الدولة الطرف أنه لا يجوز الإفصاح عن المعلومات، خلال مرحلة التحقيق من الإجراءات الجنائية، إلا للأطراف المعنية، استناداً إلى المادة </w:t>
      </w:r>
      <w:r w:rsidRPr="00827326">
        <w:rPr>
          <w:rtl/>
          <w:lang w:val="es-PY"/>
        </w:rPr>
        <w:t>286</w:t>
      </w:r>
      <w:r w:rsidRPr="00E34EE7">
        <w:rPr>
          <w:rtl/>
          <w:lang w:val="es-PY"/>
        </w:rPr>
        <w:t xml:space="preserve"> من قانون الإجراءات الجنائية. وتضيف أن محكمة العدل العليا ذاتها أكدت ما يلي: </w:t>
      </w:r>
    </w:p>
    <w:p w14:paraId="5380528C" w14:textId="5862BF67" w:rsidR="00621B71" w:rsidRPr="00BF23D0" w:rsidRDefault="00621B71" w:rsidP="00BF23D0">
      <w:pPr>
        <w:pStyle w:val="SingleTxtGA"/>
        <w:spacing w:after="100" w:line="340" w:lineRule="exact"/>
        <w:ind w:left="1928"/>
        <w:rPr>
          <w:spacing w:val="-7"/>
          <w:rtl/>
          <w:lang w:val="es-PY"/>
        </w:rPr>
      </w:pPr>
      <w:r w:rsidRPr="00BF23D0">
        <w:rPr>
          <w:spacing w:val="-7"/>
          <w:rtl/>
          <w:lang w:val="es-PY"/>
        </w:rPr>
        <w:tab/>
        <w:t xml:space="preserve">تشمل الإجراءات الجنائية مجموعة من الإجراءات التي تقتضي بالضرورة حضور المدعى عليه، إذ لا يجوز أن يوكل شخصاً آخر لتمثيله، باعتبار حضوره الضمانة الفعلية لحقه في الاستماع إليه والدفاع عن نفسه. ومن بين هذه الإجراءات تعيين محام أو محامين يثق بهم، لأن هذا الإجراء يقتضي إقراراً شخصياً خطياً من المدعى عليه نفسه، بالنظر إلى أن الاستعانة بمحام تسري منذ الإجراءات الأولية للتحقيق، أو، قطعاً، قبل إدلاء الشخص بإفادته كمدعى عليه، مما يجعل حضوره </w:t>
      </w:r>
      <w:proofErr w:type="gramStart"/>
      <w:r w:rsidRPr="00BF23D0">
        <w:rPr>
          <w:spacing w:val="-7"/>
          <w:rtl/>
          <w:lang w:val="es-PY"/>
        </w:rPr>
        <w:t>ضرورياً</w:t>
      </w:r>
      <w:r w:rsidRPr="00BF23D0">
        <w:rPr>
          <w:spacing w:val="-7"/>
          <w:vertAlign w:val="superscript"/>
          <w:rtl/>
          <w:lang w:val="es-PY"/>
        </w:rPr>
        <w:t>(</w:t>
      </w:r>
      <w:proofErr w:type="gramEnd"/>
      <w:r w:rsidRPr="00827326">
        <w:rPr>
          <w:rStyle w:val="FootnoteReference"/>
          <w:spacing w:val="-7"/>
          <w:szCs w:val="22"/>
          <w:lang w:val="en-US"/>
        </w:rPr>
        <w:footnoteReference w:id="17"/>
      </w:r>
      <w:r w:rsidRPr="00BF23D0">
        <w:rPr>
          <w:spacing w:val="-7"/>
          <w:vertAlign w:val="superscript"/>
          <w:rtl/>
          <w:lang w:val="es-PY"/>
        </w:rPr>
        <w:t>)</w:t>
      </w:r>
      <w:r w:rsidRPr="00BF23D0">
        <w:rPr>
          <w:spacing w:val="-7"/>
          <w:rtl/>
          <w:lang w:val="es-PY"/>
        </w:rPr>
        <w:t xml:space="preserve">. </w:t>
      </w:r>
    </w:p>
    <w:p w14:paraId="7CEBB27A" w14:textId="77777777" w:rsidR="00621B71" w:rsidRPr="00E34EE7" w:rsidRDefault="00621B71" w:rsidP="00BF23D0">
      <w:pPr>
        <w:pStyle w:val="SingleTxtGA"/>
        <w:spacing w:after="100" w:line="340" w:lineRule="exact"/>
        <w:rPr>
          <w:rtl/>
          <w:lang w:val="es-PY"/>
        </w:rPr>
      </w:pPr>
      <w:r w:rsidRPr="00827326">
        <w:rPr>
          <w:rtl/>
          <w:lang w:val="es-PY"/>
        </w:rPr>
        <w:t>4</w:t>
      </w:r>
      <w:r w:rsidRPr="00E34EE7">
        <w:rPr>
          <w:rtl/>
          <w:lang w:val="es-PY"/>
        </w:rPr>
        <w:t>-</w:t>
      </w:r>
      <w:r w:rsidRPr="00827326">
        <w:rPr>
          <w:rtl/>
          <w:lang w:val="es-PY"/>
        </w:rPr>
        <w:t>7</w:t>
      </w:r>
      <w:r w:rsidRPr="00E34EE7">
        <w:rPr>
          <w:rtl/>
          <w:lang w:val="es-PY"/>
        </w:rPr>
        <w:tab/>
        <w:t xml:space="preserve">وتضيف الدولة الطرف أن محكمة البلدان الأمريكية لحقوق الإنسان أكدت ضرورة حضور المدعى عليه أمام القضاء خلال الإجراءات الجنائية. فوفقاً لهذه المحكمة: </w:t>
      </w:r>
    </w:p>
    <w:p w14:paraId="792AE88E" w14:textId="571DDE60" w:rsidR="00621B71" w:rsidRPr="00E34EE7" w:rsidRDefault="00621B71" w:rsidP="00BF23D0">
      <w:pPr>
        <w:pStyle w:val="SingleTxtGA"/>
        <w:spacing w:after="100" w:line="340" w:lineRule="exact"/>
        <w:ind w:left="1928"/>
        <w:rPr>
          <w:rtl/>
          <w:lang w:val="es-PY"/>
        </w:rPr>
      </w:pPr>
      <w:r w:rsidRPr="00E34EE7">
        <w:rPr>
          <w:rtl/>
          <w:lang w:val="es-PY"/>
        </w:rPr>
        <w:tab/>
        <w:t xml:space="preserve">يَعتبر العديد من نظم الإجراءات الجنائية حضور المتهم شرطاً أساسياً للسير القانوني </w:t>
      </w:r>
      <w:r w:rsidRPr="00F15D99">
        <w:rPr>
          <w:spacing w:val="-4"/>
          <w:rtl/>
          <w:lang w:val="es-PY"/>
        </w:rPr>
        <w:t>والعادي للقضية. وتتضمن الاتفاقية الأمريكية لحقوق الإنسان نفسها هذا الشرط. وفي هذا الصدد،</w:t>
      </w:r>
      <w:r w:rsidRPr="00E34EE7">
        <w:rPr>
          <w:rtl/>
          <w:lang w:val="es-PY"/>
        </w:rPr>
        <w:t xml:space="preserve"> تنص المادة </w:t>
      </w:r>
      <w:r w:rsidRPr="00827326">
        <w:rPr>
          <w:rtl/>
          <w:lang w:val="es-PY"/>
        </w:rPr>
        <w:t>7</w:t>
      </w:r>
      <w:r w:rsidRPr="00E34EE7">
        <w:rPr>
          <w:rtl/>
          <w:lang w:val="es-PY"/>
        </w:rPr>
        <w:t>-</w:t>
      </w:r>
      <w:r w:rsidRPr="00827326">
        <w:rPr>
          <w:rtl/>
          <w:lang w:val="es-PY"/>
        </w:rPr>
        <w:t>5</w:t>
      </w:r>
      <w:r w:rsidRPr="00E34EE7">
        <w:rPr>
          <w:rtl/>
          <w:lang w:val="es-PY"/>
        </w:rPr>
        <w:t xml:space="preserve"> من هذه الاتفاقية على أنه "يجوز الإفراج عن المتهم شريطة وجود ضمانات تكفل مثوله أمام المحكمة"، بحيث تتمتع الدول بصلاحية وضع قوانين محلية لكفالة مثول المتهم أمام القضاء. وكما يلاحَظ، يتمثل أحد أهم أغراض الحبس الاحتياطي، الذي لا يجوز اللجوء إليه إلا في حالات استثنائية، في ضمان مثول المدعى عليه أمام القضاء، وذلك لضمان إعمال الإجراءات القضائية الجنائية والمساهمة في مكافحة الإفلات من العقاب. ويشكل كذلك ضمانة لتنفيذ الإجراءات. وبالإضافة إلى ذلك، ينص قانون فنزويلا على حظر المحاكمة </w:t>
      </w:r>
      <w:proofErr w:type="gramStart"/>
      <w:r w:rsidRPr="00E34EE7">
        <w:rPr>
          <w:rtl/>
          <w:lang w:val="es-PY"/>
        </w:rPr>
        <w:t>غيابياً</w:t>
      </w:r>
      <w:r w:rsidRPr="00621B71">
        <w:rPr>
          <w:vertAlign w:val="superscript"/>
          <w:rtl/>
          <w:lang w:val="es-PY"/>
        </w:rPr>
        <w:t>(</w:t>
      </w:r>
      <w:proofErr w:type="gramEnd"/>
      <w:r w:rsidRPr="00827326">
        <w:rPr>
          <w:rStyle w:val="FootnoteReference"/>
          <w:szCs w:val="22"/>
          <w:lang w:val="en-US"/>
        </w:rPr>
        <w:footnoteReference w:id="18"/>
      </w:r>
      <w:r w:rsidRPr="00621B71">
        <w:rPr>
          <w:vertAlign w:val="superscript"/>
          <w:rtl/>
          <w:lang w:val="es-PY"/>
        </w:rPr>
        <w:t>)</w:t>
      </w:r>
      <w:r w:rsidRPr="00E34EE7">
        <w:rPr>
          <w:rtl/>
          <w:lang w:val="es-PY"/>
        </w:rPr>
        <w:t xml:space="preserve">. </w:t>
      </w:r>
    </w:p>
    <w:p w14:paraId="7E2881B3" w14:textId="77777777" w:rsidR="00621B71" w:rsidRPr="00E34EE7" w:rsidRDefault="00621B71" w:rsidP="00E34EE7">
      <w:pPr>
        <w:pStyle w:val="SingleTxtGA"/>
        <w:rPr>
          <w:rtl/>
          <w:lang w:val="es-PY"/>
        </w:rPr>
      </w:pPr>
      <w:r w:rsidRPr="00827326">
        <w:rPr>
          <w:rtl/>
          <w:lang w:val="es-PY"/>
        </w:rPr>
        <w:lastRenderedPageBreak/>
        <w:t>4</w:t>
      </w:r>
      <w:r w:rsidRPr="00E34EE7">
        <w:rPr>
          <w:rtl/>
          <w:lang w:val="es-PY"/>
        </w:rPr>
        <w:t>-</w:t>
      </w:r>
      <w:r w:rsidRPr="00827326">
        <w:rPr>
          <w:rtl/>
          <w:lang w:val="es-PY"/>
        </w:rPr>
        <w:t>8</w:t>
      </w:r>
      <w:r w:rsidRPr="00E34EE7">
        <w:rPr>
          <w:rtl/>
          <w:lang w:val="es-PY"/>
        </w:rPr>
        <w:tab/>
        <w:t>وتدعي الدولة الطرف أنه لا يجوز، بموجب النظام القانوني المحلي، أن يحاكَم غيابياً صاحب البلاغ، الهارب من العدالة، الذي لم يستنفد بالتالي فعلياً جميع سبل الانتصاف المحلية لممارسة حقه في الدفاع. وبالتالي، تُعلَّق جميع الإجراءات الجنائية في حالة تهرُّب المدعى عليه أو المتهم من المثول أمام القضاء، وبخاصة عندما يكون قد صدر أمر بتوقيفه وتعذر تنفيذه.</w:t>
      </w:r>
    </w:p>
    <w:p w14:paraId="7304A271" w14:textId="77777777" w:rsidR="00621B71" w:rsidRPr="00BF23D0" w:rsidRDefault="00621B71" w:rsidP="00E34EE7">
      <w:pPr>
        <w:pStyle w:val="SingleTxtGA"/>
        <w:rPr>
          <w:spacing w:val="-3"/>
          <w:rtl/>
          <w:lang w:val="es-PY"/>
        </w:rPr>
      </w:pPr>
      <w:r w:rsidRPr="00827326">
        <w:rPr>
          <w:spacing w:val="-3"/>
          <w:rtl/>
          <w:lang w:val="es-PY"/>
        </w:rPr>
        <w:t>4</w:t>
      </w:r>
      <w:r w:rsidRPr="00BF23D0">
        <w:rPr>
          <w:spacing w:val="-3"/>
          <w:rtl/>
          <w:lang w:val="es-PY"/>
        </w:rPr>
        <w:t>-</w:t>
      </w:r>
      <w:r w:rsidRPr="00827326">
        <w:rPr>
          <w:spacing w:val="-3"/>
          <w:rtl/>
          <w:lang w:val="es-PY"/>
        </w:rPr>
        <w:t>9</w:t>
      </w:r>
      <w:r w:rsidRPr="00BF23D0">
        <w:rPr>
          <w:spacing w:val="-3"/>
          <w:rtl/>
          <w:lang w:val="es-PY"/>
        </w:rPr>
        <w:tab/>
        <w:t>وتضيف الدولة الطرف، في الختام، أنه لم يقع أي انتهاك لحقوق صاحب البلاغ الأساسية، لأنه هارب من العدالة، وهذا سبب يمنعه من تقديم الدفوع الشكلية والموضوعية في الإجراءات الجنائية المباشَرة ضده. وليس صحيحاً أيضاً ادعاؤه أنه ضحية عدم المساواة في المعاملة لأسباب سياسية، لأنه لم يثبت أنه لاجئ سياسي، ولأن القوانين والأحكام المطبقة كانت سارية المفعول قبل ادعائه أنه حُرم من الدفاع عن نفسه. وتلفت الدولة الطرف الانتباه إلى أن صاحب البلاغ يعرض قضية تكتسي فيها مصلحته المالية الأولوية، ويسعى إلى الالتفاف على إجراءات العدالة الفنزويلية بغية مواصلة التمتع بالمزايا المالية التي كان يستفيد منها بحكم مناصبه الإدارية في الشركتيْن اللتين كان يُديرهما. وتضيف الدولة الطرف أن البلاغ يهدف إلى ضمان إفلات مصرفي من العقاب، من خلال حجج ليست لها أي قيمة إثباتية، وادعاءات خادعة بشأن اضطهاد الدولة الطرف للقطاع الخاص من دون تقديم أي دليل في هذا الصدد. وأخيراً، تدعو الدولة الطرف الهيئات الدولية إلى مراجعة ممارساتها المتعلقة بالنظر في الشكاوى التي لا تقوم سوى على تخمينات بشأن وقائع محتملة افتراضية وغير مؤكدة، أساسها الوحيد ما يرد في الصحافة والتلفزيون ووسائط وشبكات التواصل الاجتماعي من أخبار غير موضوعية وغير صحيحة ومتحيزة فيما يتعلق بحكومة الدولة الطرف، ولا تمثل سوى آراء متحيزة تخدم مصلحة جماعات صغيرة معارضة للإرادة الديمقراطية والسيادية لأغلبية الشعب.</w:t>
      </w:r>
    </w:p>
    <w:p w14:paraId="13D8B0FB" w14:textId="77777777" w:rsidR="00621B71" w:rsidRPr="00827326" w:rsidRDefault="00621B71" w:rsidP="00F15D99">
      <w:pPr>
        <w:pStyle w:val="H23GA"/>
        <w:rPr>
          <w:rtl/>
        </w:rPr>
      </w:pPr>
      <w:r w:rsidRPr="00827326">
        <w:rPr>
          <w:rtl/>
        </w:rPr>
        <w:tab/>
      </w:r>
      <w:r w:rsidRPr="00827326">
        <w:rPr>
          <w:rtl/>
        </w:rPr>
        <w:tab/>
        <w:t>تعليقات صاحب البلاغ على ملاحظات الدولة الطرف بشأن المقبولية والأسس الموضوعية</w:t>
      </w:r>
    </w:p>
    <w:p w14:paraId="7B0A3E42" w14:textId="77777777" w:rsidR="00621B71" w:rsidRPr="00E34EE7" w:rsidRDefault="00621B71" w:rsidP="00E34EE7">
      <w:pPr>
        <w:pStyle w:val="SingleTxtGA"/>
        <w:rPr>
          <w:rtl/>
          <w:lang w:val="es-PY"/>
        </w:rPr>
      </w:pPr>
      <w:r w:rsidRPr="00827326">
        <w:rPr>
          <w:rtl/>
          <w:lang w:val="es-PY"/>
        </w:rPr>
        <w:t>5</w:t>
      </w:r>
      <w:r w:rsidRPr="00E34EE7">
        <w:rPr>
          <w:rtl/>
          <w:lang w:val="es-PY"/>
        </w:rPr>
        <w:t>-</w:t>
      </w:r>
      <w:r w:rsidRPr="00827326">
        <w:rPr>
          <w:rtl/>
          <w:lang w:val="es-PY"/>
        </w:rPr>
        <w:t>1</w:t>
      </w:r>
      <w:r w:rsidRPr="00E34EE7">
        <w:rPr>
          <w:rtl/>
          <w:lang w:val="es-PY"/>
        </w:rPr>
        <w:tab/>
        <w:t xml:space="preserve">يدعي صاحب البلاغ، في ملاحظاته المؤرخة </w:t>
      </w:r>
      <w:r w:rsidRPr="00827326">
        <w:rPr>
          <w:rtl/>
          <w:lang w:val="es-PY"/>
        </w:rPr>
        <w:t>2</w:t>
      </w:r>
      <w:r w:rsidRPr="00E34EE7">
        <w:rPr>
          <w:rtl/>
          <w:lang w:val="es-PY"/>
        </w:rPr>
        <w:t xml:space="preserve"> نيسان/أبريل </w:t>
      </w:r>
      <w:r w:rsidRPr="00827326">
        <w:rPr>
          <w:rtl/>
          <w:lang w:val="es-PY"/>
        </w:rPr>
        <w:t>2018</w:t>
      </w:r>
      <w:r w:rsidRPr="00E34EE7">
        <w:rPr>
          <w:rtl/>
          <w:lang w:val="es-PY"/>
        </w:rPr>
        <w:t xml:space="preserve">، أن فراره من العدالة ليس صحيحاً، ناهيك عن تهربه من الملاحقة الجنائية. ويدعي أنه لم يجر أبداً، قبل إصدار أمر إلقاء القبض عليه في </w:t>
      </w:r>
      <w:r w:rsidRPr="00827326">
        <w:rPr>
          <w:rtl/>
          <w:lang w:val="es-PY"/>
        </w:rPr>
        <w:t>14</w:t>
      </w:r>
      <w:r w:rsidRPr="00E34EE7">
        <w:rPr>
          <w:rtl/>
          <w:lang w:val="es-PY"/>
        </w:rPr>
        <w:t xml:space="preserve"> أيار/مايو </w:t>
      </w:r>
      <w:r w:rsidRPr="00827326">
        <w:rPr>
          <w:rtl/>
          <w:lang w:val="es-PY"/>
        </w:rPr>
        <w:t>2010</w:t>
      </w:r>
      <w:r w:rsidRPr="00E34EE7">
        <w:rPr>
          <w:rtl/>
          <w:lang w:val="es-PY"/>
        </w:rPr>
        <w:t xml:space="preserve">، استدعاؤه ولا إخطاره بفتح تحقيقات ضده. ويدعي أن النيابة العامة طلبت، في اليوم ذاته الذي تلقت فيه شكوى السيدة </w:t>
      </w:r>
      <w:proofErr w:type="spellStart"/>
      <w:r w:rsidRPr="00E34EE7">
        <w:rPr>
          <w:rtl/>
          <w:lang w:val="es-PY"/>
        </w:rPr>
        <w:t>أراوخو</w:t>
      </w:r>
      <w:proofErr w:type="spellEnd"/>
      <w:r w:rsidRPr="00E34EE7">
        <w:rPr>
          <w:rtl/>
          <w:lang w:val="es-PY"/>
        </w:rPr>
        <w:t xml:space="preserve">، اتخاذ تدابير وقائية لمنعه من التصرف في ممتلكاته. ويشدد صاحب البلاغ على أنه لم يكن ثمة، إلى حدود يوم سفره إلى الولايات المتحدة، وهو </w:t>
      </w:r>
      <w:r w:rsidRPr="00827326">
        <w:rPr>
          <w:rtl/>
          <w:lang w:val="es-PY"/>
        </w:rPr>
        <w:t>12</w:t>
      </w:r>
      <w:r w:rsidRPr="00E34EE7">
        <w:rPr>
          <w:rtl/>
          <w:lang w:val="es-PY"/>
        </w:rPr>
        <w:t xml:space="preserve"> كانون الثاني/يناير </w:t>
      </w:r>
      <w:r w:rsidRPr="00827326">
        <w:rPr>
          <w:rtl/>
          <w:lang w:val="es-PY"/>
        </w:rPr>
        <w:t>2010</w:t>
      </w:r>
      <w:r w:rsidRPr="00E34EE7">
        <w:rPr>
          <w:rtl/>
          <w:lang w:val="es-PY"/>
        </w:rPr>
        <w:t xml:space="preserve">، أي تدبير وقائي لمنعه من مغادرة البلد ولا أي أمر بإلقاء القبض عليه. ويوضح أنه غادر إقليم الدولة الطرف عبر مطار </w:t>
      </w:r>
      <w:proofErr w:type="spellStart"/>
      <w:r w:rsidRPr="00E34EE7">
        <w:rPr>
          <w:rtl/>
          <w:lang w:val="es-PY"/>
        </w:rPr>
        <w:t>مايكيتيا</w:t>
      </w:r>
      <w:proofErr w:type="spellEnd"/>
      <w:r w:rsidRPr="00E34EE7">
        <w:rPr>
          <w:rtl/>
          <w:lang w:val="es-PY"/>
        </w:rPr>
        <w:t xml:space="preserve"> الدولي، واجتاز إجراءات مراقبة الهجرة من دون أي مشكلة، ولا يمكن بالتالي للدولة الطرف أن تتحدث بأي حال من الأحوال عن فراره أو تهربه من العدالة.</w:t>
      </w:r>
    </w:p>
    <w:p w14:paraId="53036934" w14:textId="1C8ED773" w:rsidR="00621B71" w:rsidRPr="00BF23D0" w:rsidRDefault="00621B71" w:rsidP="00E34EE7">
      <w:pPr>
        <w:pStyle w:val="SingleTxtGA"/>
        <w:rPr>
          <w:spacing w:val="-4"/>
          <w:rtl/>
          <w:lang w:val="es-PY"/>
        </w:rPr>
      </w:pPr>
      <w:r w:rsidRPr="00827326">
        <w:rPr>
          <w:spacing w:val="-4"/>
          <w:rtl/>
          <w:lang w:val="es-PY"/>
        </w:rPr>
        <w:t>5</w:t>
      </w:r>
      <w:r w:rsidRPr="00BF23D0">
        <w:rPr>
          <w:spacing w:val="-4"/>
          <w:rtl/>
          <w:lang w:val="es-PY"/>
        </w:rPr>
        <w:t>-</w:t>
      </w:r>
      <w:r w:rsidRPr="00827326">
        <w:rPr>
          <w:spacing w:val="-4"/>
          <w:rtl/>
          <w:lang w:val="es-PY"/>
        </w:rPr>
        <w:t>2</w:t>
      </w:r>
      <w:r w:rsidRPr="00BF23D0">
        <w:rPr>
          <w:spacing w:val="-4"/>
          <w:rtl/>
          <w:lang w:val="es-PY"/>
        </w:rPr>
        <w:tab/>
        <w:t xml:space="preserve">ويكرر صاحب البلاغ أن أمر إلقاء القبض عليه لم يصدر بشكل قانوني، إذ لم يجر استدعاؤه من قبل، ولم توجَّه إليه أي تهمة ولم يُسمح له بتعيين محام للدفاع عنه لتمكينه لاحقاً من الاطلاع على الأدلة المقدمة </w:t>
      </w:r>
      <w:proofErr w:type="gramStart"/>
      <w:r w:rsidRPr="00BF23D0">
        <w:rPr>
          <w:spacing w:val="-4"/>
          <w:rtl/>
          <w:lang w:val="es-PY"/>
        </w:rPr>
        <w:t>ضده</w:t>
      </w:r>
      <w:r w:rsidRPr="00BF23D0">
        <w:rPr>
          <w:spacing w:val="-4"/>
          <w:vertAlign w:val="superscript"/>
          <w:rtl/>
          <w:lang w:val="es-PY"/>
        </w:rPr>
        <w:t>(</w:t>
      </w:r>
      <w:proofErr w:type="gramEnd"/>
      <w:r w:rsidRPr="00827326">
        <w:rPr>
          <w:rStyle w:val="FootnoteReference"/>
          <w:spacing w:val="-4"/>
          <w:szCs w:val="22"/>
          <w:lang w:val="en-US"/>
        </w:rPr>
        <w:footnoteReference w:id="19"/>
      </w:r>
      <w:r w:rsidRPr="00BF23D0">
        <w:rPr>
          <w:spacing w:val="-4"/>
          <w:vertAlign w:val="superscript"/>
          <w:rtl/>
          <w:lang w:val="es-PY"/>
        </w:rPr>
        <w:t>)</w:t>
      </w:r>
      <w:r w:rsidRPr="00BF23D0">
        <w:rPr>
          <w:spacing w:val="-4"/>
          <w:rtl/>
          <w:lang w:val="es-PY"/>
        </w:rPr>
        <w:t xml:space="preserve">. ويدعي أن الاستدعاءيْن اللذيْن تلقاهما للحضور كشاهد، بعد صدور أمر إلقاء القبض عليه، </w:t>
      </w:r>
      <w:r w:rsidRPr="00BF23D0">
        <w:rPr>
          <w:spacing w:val="-4"/>
          <w:rtl/>
          <w:lang w:val="es-PY"/>
        </w:rPr>
        <w:lastRenderedPageBreak/>
        <w:t>يشكلان نوعاً من التحايل في الإجراءات، إذ كان هدفهما استدراجه للمثول أمام القضاء كشاهد ومن ثَمَّ احتجازه بشكل غير قانوني. ويدعي صاحب البلاغ أنه لا يوجد أي دليل يثبت تورطه في ارتكاب أي جريمة.</w:t>
      </w:r>
    </w:p>
    <w:p w14:paraId="44E7DA37" w14:textId="68827F45" w:rsidR="00621B71" w:rsidRPr="00E34EE7" w:rsidRDefault="00621B71" w:rsidP="00E34EE7">
      <w:pPr>
        <w:pStyle w:val="SingleTxtGA"/>
        <w:rPr>
          <w:rtl/>
          <w:lang w:val="es-PY"/>
        </w:rPr>
      </w:pPr>
      <w:r w:rsidRPr="00827326">
        <w:rPr>
          <w:rtl/>
          <w:lang w:val="es-PY"/>
        </w:rPr>
        <w:t>5</w:t>
      </w:r>
      <w:r w:rsidRPr="00E34EE7">
        <w:rPr>
          <w:rtl/>
          <w:lang w:val="es-PY"/>
        </w:rPr>
        <w:t>-</w:t>
      </w:r>
      <w:r w:rsidRPr="00827326">
        <w:rPr>
          <w:rtl/>
          <w:lang w:val="es-PY"/>
        </w:rPr>
        <w:t>3</w:t>
      </w:r>
      <w:r w:rsidRPr="00E34EE7">
        <w:rPr>
          <w:rtl/>
          <w:lang w:val="es-PY"/>
        </w:rPr>
        <w:tab/>
        <w:t xml:space="preserve">ويضيف صاحب البلاغ أنه قدَّم رسمياً إلى الإنتربول طلباً لإعادة النظر في أمر التوقيف الدولي غير القانوني الذي أصدرته ضده في شباط/فبراير </w:t>
      </w:r>
      <w:r w:rsidRPr="00827326">
        <w:rPr>
          <w:rtl/>
          <w:lang w:val="es-PY"/>
        </w:rPr>
        <w:t>2011</w:t>
      </w:r>
      <w:r w:rsidRPr="00E34EE7">
        <w:rPr>
          <w:rtl/>
          <w:lang w:val="es-PY"/>
        </w:rPr>
        <w:t xml:space="preserve">. ويضيف أنه ضمَّن طلبَه مذكرة خطية وأدلةً وتسجيلات شفوية لإثبات أن الدولة الطرف نفذَّت مجموعة من الملاحقات القضائية التعسفية وغير القانونية لمختلف رجال الأعمال بغرض السيطرة على الجهاز الاقتصادي والمالي برمته عن طريق نزع الملكية. ويوضح صاحب البلاغ أن لجنة الرقابة على محفوظات الإنتربول خلصت بالإجماع، بعدما قدَّم طلبه وزار المنظمة، إلى أنه تعرض للاضطهاد السياسي من جانب الدولة الطرف. وألغت هذه اللجنة، في جلستها الثالثة والثمانين المعقودة في أيار/مايو </w:t>
      </w:r>
      <w:r w:rsidRPr="00827326">
        <w:rPr>
          <w:rtl/>
          <w:lang w:val="es-PY"/>
        </w:rPr>
        <w:t>2012</w:t>
      </w:r>
      <w:r w:rsidRPr="00E34EE7">
        <w:rPr>
          <w:rtl/>
          <w:lang w:val="es-PY"/>
        </w:rPr>
        <w:t xml:space="preserve">، أمر إلقاء القبض عليه على الصعيد العالمي، </w:t>
      </w:r>
      <w:r w:rsidRPr="00594860">
        <w:rPr>
          <w:spacing w:val="-4"/>
          <w:rtl/>
          <w:lang w:val="es-PY"/>
        </w:rPr>
        <w:t xml:space="preserve">وأبلغته في </w:t>
      </w:r>
      <w:r w:rsidRPr="00827326">
        <w:rPr>
          <w:spacing w:val="-4"/>
          <w:rtl/>
          <w:lang w:val="es-PY"/>
        </w:rPr>
        <w:t>8</w:t>
      </w:r>
      <w:r w:rsidRPr="00594860">
        <w:rPr>
          <w:spacing w:val="-4"/>
          <w:rtl/>
          <w:lang w:val="es-PY"/>
        </w:rPr>
        <w:t xml:space="preserve"> آب/أغسطس </w:t>
      </w:r>
      <w:r w:rsidRPr="00827326">
        <w:rPr>
          <w:spacing w:val="-4"/>
          <w:rtl/>
          <w:lang w:val="es-PY"/>
        </w:rPr>
        <w:t>2012</w:t>
      </w:r>
      <w:r w:rsidRPr="00594860">
        <w:rPr>
          <w:spacing w:val="-4"/>
          <w:rtl/>
          <w:lang w:val="es-PY"/>
        </w:rPr>
        <w:t xml:space="preserve"> بقرارها، الذي أرفق به رسالته الأولى إلى اللجنة المعنية بحقوق </w:t>
      </w:r>
      <w:proofErr w:type="gramStart"/>
      <w:r w:rsidRPr="00594860">
        <w:rPr>
          <w:spacing w:val="-4"/>
          <w:rtl/>
          <w:lang w:val="es-PY"/>
        </w:rPr>
        <w:t>الإنسان</w:t>
      </w:r>
      <w:r w:rsidRPr="00621B71">
        <w:rPr>
          <w:vertAlign w:val="superscript"/>
          <w:rtl/>
          <w:lang w:val="es-PY"/>
        </w:rPr>
        <w:t>(</w:t>
      </w:r>
      <w:proofErr w:type="gramEnd"/>
      <w:r w:rsidRPr="00827326">
        <w:rPr>
          <w:rStyle w:val="FootnoteReference"/>
          <w:szCs w:val="22"/>
          <w:lang w:val="en-US"/>
        </w:rPr>
        <w:footnoteReference w:id="20"/>
      </w:r>
      <w:r w:rsidRPr="00621B71">
        <w:rPr>
          <w:vertAlign w:val="superscript"/>
          <w:rtl/>
          <w:lang w:val="es-PY"/>
        </w:rPr>
        <w:t>)</w:t>
      </w:r>
      <w:r w:rsidRPr="00E34EE7">
        <w:rPr>
          <w:rtl/>
          <w:lang w:val="es-PY"/>
        </w:rPr>
        <w:t>.</w:t>
      </w:r>
    </w:p>
    <w:p w14:paraId="0DAB4028" w14:textId="77777777" w:rsidR="00621B71" w:rsidRPr="00827326" w:rsidRDefault="00621B71" w:rsidP="00F15D99">
      <w:pPr>
        <w:pStyle w:val="H23GA"/>
        <w:rPr>
          <w:rtl/>
        </w:rPr>
      </w:pPr>
      <w:r w:rsidRPr="00827326">
        <w:rPr>
          <w:rtl/>
        </w:rPr>
        <w:tab/>
      </w:r>
      <w:r w:rsidRPr="00827326">
        <w:rPr>
          <w:rtl/>
        </w:rPr>
        <w:tab/>
        <w:t>المسائل والإجراءات المعروضة على اللجنة</w:t>
      </w:r>
    </w:p>
    <w:p w14:paraId="7DC8FFA4" w14:textId="77777777" w:rsidR="00621B71" w:rsidRPr="00827326" w:rsidRDefault="00621B71" w:rsidP="00F15D99">
      <w:pPr>
        <w:pStyle w:val="H4GA"/>
        <w:rPr>
          <w:rtl/>
        </w:rPr>
      </w:pPr>
      <w:r w:rsidRPr="00827326">
        <w:rPr>
          <w:rtl/>
        </w:rPr>
        <w:tab/>
      </w:r>
      <w:r w:rsidRPr="00827326">
        <w:rPr>
          <w:rtl/>
        </w:rPr>
        <w:tab/>
        <w:t>النظر في المقبولية</w:t>
      </w:r>
    </w:p>
    <w:p w14:paraId="230430DD" w14:textId="77777777" w:rsidR="00621B71" w:rsidRPr="00E34EE7" w:rsidRDefault="00621B71" w:rsidP="00E34EE7">
      <w:pPr>
        <w:pStyle w:val="SingleTxtGA"/>
        <w:rPr>
          <w:rtl/>
          <w:lang w:val="es-PY"/>
        </w:rPr>
      </w:pPr>
      <w:r w:rsidRPr="00827326">
        <w:rPr>
          <w:rtl/>
          <w:lang w:val="es-PY"/>
        </w:rPr>
        <w:t>6</w:t>
      </w:r>
      <w:r w:rsidRPr="00E34EE7">
        <w:rPr>
          <w:rtl/>
          <w:lang w:val="es-PY"/>
        </w:rPr>
        <w:t>-</w:t>
      </w:r>
      <w:r w:rsidRPr="00827326">
        <w:rPr>
          <w:rtl/>
          <w:lang w:val="es-PY"/>
        </w:rPr>
        <w:t>1</w:t>
      </w:r>
      <w:r w:rsidRPr="00E34EE7">
        <w:rPr>
          <w:rtl/>
          <w:lang w:val="es-PY"/>
        </w:rPr>
        <w:tab/>
        <w:t xml:space="preserve">قبل النظر في أي ادعاء يرد في بلاغ ما، يجب على اللجنة أن تقرر، وفقاً للمادة </w:t>
      </w:r>
      <w:r w:rsidRPr="00827326">
        <w:rPr>
          <w:rtl/>
          <w:lang w:val="es-PY"/>
        </w:rPr>
        <w:t>97</w:t>
      </w:r>
      <w:r w:rsidRPr="00E34EE7">
        <w:rPr>
          <w:rtl/>
          <w:lang w:val="es-PY"/>
        </w:rPr>
        <w:t xml:space="preserve"> من نظامها الداخلي، ما إذا كان البلاغ مقبولاً أم لا بموجب البروتوكول الاختياري.</w:t>
      </w:r>
    </w:p>
    <w:p w14:paraId="72D3528B" w14:textId="77777777" w:rsidR="00621B71" w:rsidRPr="00E34EE7" w:rsidRDefault="00621B71" w:rsidP="00E34EE7">
      <w:pPr>
        <w:pStyle w:val="SingleTxtGA"/>
        <w:rPr>
          <w:rtl/>
          <w:lang w:val="es-PY"/>
        </w:rPr>
      </w:pPr>
      <w:r w:rsidRPr="00827326">
        <w:rPr>
          <w:rtl/>
          <w:lang w:val="es-PY"/>
        </w:rPr>
        <w:t>6</w:t>
      </w:r>
      <w:r w:rsidRPr="00E34EE7">
        <w:rPr>
          <w:rtl/>
          <w:lang w:val="es-PY"/>
        </w:rPr>
        <w:t>-</w:t>
      </w:r>
      <w:r w:rsidRPr="00827326">
        <w:rPr>
          <w:rtl/>
          <w:lang w:val="es-PY"/>
        </w:rPr>
        <w:t>2</w:t>
      </w:r>
      <w:r w:rsidRPr="00E34EE7">
        <w:rPr>
          <w:rtl/>
          <w:lang w:val="es-PY"/>
        </w:rPr>
        <w:tab/>
        <w:t xml:space="preserve">وقد تأكدت اللجنة، وفقاً لما تقتضيه المادة </w:t>
      </w:r>
      <w:r w:rsidRPr="00827326">
        <w:rPr>
          <w:rtl/>
          <w:lang w:val="es-PY"/>
        </w:rPr>
        <w:t>5</w:t>
      </w:r>
      <w:r w:rsidRPr="00E34EE7">
        <w:rPr>
          <w:rtl/>
          <w:lang w:val="es-PY"/>
        </w:rPr>
        <w:t>(</w:t>
      </w:r>
      <w:r w:rsidRPr="00827326">
        <w:rPr>
          <w:rtl/>
          <w:lang w:val="es-PY"/>
        </w:rPr>
        <w:t>2</w:t>
      </w:r>
      <w:r w:rsidRPr="00E34EE7">
        <w:rPr>
          <w:rtl/>
          <w:lang w:val="es-PY"/>
        </w:rPr>
        <w:t>)(أ) من البروتوكول الاختياري، من أن المسألة نفسها ليست قيد النظر في إطار إجراء آخر من إجراءات التحقيق الدولي أو التسوية الدولية.</w:t>
      </w:r>
    </w:p>
    <w:p w14:paraId="30128A8B" w14:textId="1C25BBF3" w:rsidR="00E34EE7" w:rsidRPr="00BF23D0" w:rsidRDefault="00621B71" w:rsidP="00E34EE7">
      <w:pPr>
        <w:pStyle w:val="SingleTxtGA"/>
        <w:rPr>
          <w:spacing w:val="-4"/>
          <w:rtl/>
          <w:lang w:val="es-PY"/>
        </w:rPr>
      </w:pPr>
      <w:r w:rsidRPr="00827326">
        <w:rPr>
          <w:spacing w:val="-4"/>
          <w:rtl/>
          <w:lang w:val="es-PY"/>
        </w:rPr>
        <w:t>6</w:t>
      </w:r>
      <w:r w:rsidRPr="00BF23D0">
        <w:rPr>
          <w:spacing w:val="-4"/>
          <w:rtl/>
          <w:lang w:val="es-PY"/>
        </w:rPr>
        <w:t>-</w:t>
      </w:r>
      <w:r w:rsidRPr="00827326">
        <w:rPr>
          <w:spacing w:val="-4"/>
          <w:rtl/>
          <w:lang w:val="es-PY"/>
        </w:rPr>
        <w:t>3</w:t>
      </w:r>
      <w:r w:rsidRPr="00BF23D0">
        <w:rPr>
          <w:spacing w:val="-4"/>
          <w:rtl/>
          <w:lang w:val="es-PY"/>
        </w:rPr>
        <w:tab/>
      </w:r>
      <w:r w:rsidRPr="00827326">
        <w:rPr>
          <w:spacing w:val="-2"/>
          <w:rtl/>
          <w:lang w:val="es-PY"/>
        </w:rPr>
        <w:t xml:space="preserve">وتحيط اللجنة علماً بادعاءات الدولة الطرف أنه لا يمكن لصاحب البلاغ، باعتباره هارباً من العدالة، ممارسة حقه في الدفاع ولا تعيين محام وفقاً لأحكام النظام القانوني المحلي، وأنه لم يستنفد بالتالي سبل الانتصاف المحلية المتاحة. وتلاحظ اللجنة أن صاحب البلاغ استنفد سبل الانتصاف المحلية المتاحة فيما يتعلق بتعيين محام للدفاع عنه، لأن محكمة العدل العليا أتيحت لها الفرصة للبت في المسألة، في سياق </w:t>
      </w:r>
      <w:r w:rsidRPr="00827326">
        <w:rPr>
          <w:rtl/>
          <w:lang w:val="es-PY"/>
        </w:rPr>
        <w:t xml:space="preserve">إجراءات التسليم التي أفضت إلى صدور الحكم المؤرخ 8 تشرين الثاني/نوفمبر 2010، وطلب الحماية </w:t>
      </w:r>
      <w:r w:rsidRPr="00827326">
        <w:rPr>
          <w:spacing w:val="-2"/>
          <w:rtl/>
          <w:lang w:val="es-PY"/>
        </w:rPr>
        <w:t>القضائية الدستورية الذي رفضته هذه المحكمة في 6 حزيران/</w:t>
      </w:r>
      <w:proofErr w:type="gramStart"/>
      <w:r w:rsidRPr="00827326">
        <w:rPr>
          <w:spacing w:val="-2"/>
          <w:rtl/>
          <w:lang w:val="es-PY"/>
        </w:rPr>
        <w:t>يونيه</w:t>
      </w:r>
      <w:proofErr w:type="gramEnd"/>
      <w:r w:rsidRPr="00827326">
        <w:rPr>
          <w:spacing w:val="-2"/>
          <w:rtl/>
          <w:lang w:val="es-PY"/>
        </w:rPr>
        <w:t xml:space="preserve"> 2011. وبالإضافة إلى ذلك، تلاحظ اللجنة، في هذه القضية، أن مسألة استنفاد سبل الانتصاف المحلية فيما يتعلق بادعاءات صاحب البلاغ </w:t>
      </w:r>
      <w:r w:rsidRPr="00827326">
        <w:rPr>
          <w:spacing w:val="-4"/>
          <w:rtl/>
          <w:lang w:val="es-PY"/>
        </w:rPr>
        <w:t>الأخرى بشأن انتهاكات حقه في المحاكمة وفق الأصول القانونية ترتبط ارتباطاً وثيقاً بادعاءاته المتعلقة بالأسس</w:t>
      </w:r>
      <w:r w:rsidRPr="00827326">
        <w:rPr>
          <w:spacing w:val="-2"/>
          <w:rtl/>
          <w:lang w:val="es-PY"/>
        </w:rPr>
        <w:t xml:space="preserve"> </w:t>
      </w:r>
      <w:proofErr w:type="gramStart"/>
      <w:r w:rsidRPr="00827326">
        <w:rPr>
          <w:spacing w:val="-2"/>
          <w:rtl/>
          <w:lang w:val="es-PY"/>
        </w:rPr>
        <w:t>الموضوعية</w:t>
      </w:r>
      <w:r w:rsidRPr="00827326">
        <w:rPr>
          <w:spacing w:val="-2"/>
          <w:vertAlign w:val="superscript"/>
          <w:rtl/>
          <w:lang w:val="es-PY"/>
        </w:rPr>
        <w:t>(</w:t>
      </w:r>
      <w:proofErr w:type="gramEnd"/>
      <w:r w:rsidRPr="00827326">
        <w:rPr>
          <w:rStyle w:val="FootnoteReference"/>
          <w:spacing w:val="-2"/>
          <w:szCs w:val="22"/>
          <w:lang w:val="en-US"/>
        </w:rPr>
        <w:footnoteReference w:id="21"/>
      </w:r>
      <w:r w:rsidRPr="00827326">
        <w:rPr>
          <w:spacing w:val="-2"/>
          <w:vertAlign w:val="superscript"/>
          <w:rtl/>
          <w:lang w:val="es-PY"/>
        </w:rPr>
        <w:t>)</w:t>
      </w:r>
      <w:r w:rsidR="00E34EE7" w:rsidRPr="00827326">
        <w:rPr>
          <w:spacing w:val="-2"/>
          <w:rtl/>
          <w:lang w:val="es-PY"/>
        </w:rPr>
        <w:t>. ولذلك،</w:t>
      </w:r>
      <w:r w:rsidR="00E34EE7" w:rsidRPr="00BF23D0">
        <w:rPr>
          <w:spacing w:val="-4"/>
          <w:rtl/>
          <w:lang w:val="es-PY"/>
        </w:rPr>
        <w:t xml:space="preserve"> ترى اللجنة أن المادة </w:t>
      </w:r>
      <w:r w:rsidR="00E34EE7" w:rsidRPr="00827326">
        <w:rPr>
          <w:spacing w:val="-4"/>
          <w:rtl/>
          <w:lang w:val="es-PY"/>
        </w:rPr>
        <w:t>5</w:t>
      </w:r>
      <w:r w:rsidR="00E34EE7" w:rsidRPr="00BF23D0">
        <w:rPr>
          <w:spacing w:val="-4"/>
          <w:rtl/>
          <w:lang w:val="es-PY"/>
        </w:rPr>
        <w:t>(</w:t>
      </w:r>
      <w:r w:rsidR="00E34EE7" w:rsidRPr="00827326">
        <w:rPr>
          <w:spacing w:val="-4"/>
          <w:rtl/>
          <w:lang w:val="es-PY"/>
        </w:rPr>
        <w:t>2</w:t>
      </w:r>
      <w:r w:rsidR="00E34EE7" w:rsidRPr="00BF23D0">
        <w:rPr>
          <w:spacing w:val="-4"/>
          <w:rtl/>
          <w:lang w:val="es-PY"/>
        </w:rPr>
        <w:t>)(ب) من البروتوكول الاختياري لا تمنع قبول هذا البلاغ.</w:t>
      </w:r>
    </w:p>
    <w:p w14:paraId="5259CDA3" w14:textId="77777777" w:rsidR="00E34EE7" w:rsidRPr="00E34EE7" w:rsidRDefault="00E34EE7" w:rsidP="00E34EE7">
      <w:pPr>
        <w:pStyle w:val="SingleTxtGA"/>
        <w:rPr>
          <w:rtl/>
          <w:lang w:val="es-PY"/>
        </w:rPr>
      </w:pPr>
      <w:r w:rsidRPr="00827326">
        <w:rPr>
          <w:rtl/>
          <w:lang w:val="es-PY"/>
        </w:rPr>
        <w:t>6</w:t>
      </w:r>
      <w:r w:rsidRPr="00E34EE7">
        <w:rPr>
          <w:rtl/>
          <w:lang w:val="es-PY"/>
        </w:rPr>
        <w:t>-</w:t>
      </w:r>
      <w:r w:rsidRPr="00827326">
        <w:rPr>
          <w:rtl/>
          <w:lang w:val="es-PY"/>
        </w:rPr>
        <w:t>4</w:t>
      </w:r>
      <w:r w:rsidRPr="00E34EE7">
        <w:rPr>
          <w:rtl/>
          <w:lang w:val="es-PY"/>
        </w:rPr>
        <w:tab/>
        <w:t xml:space="preserve">وفيما يتعلق بادعاءات صاحب البلاغ بشأن عدم استقلال المحاكم المعنية بملاحقته الجنائية، التي تندرج في إطار المادة </w:t>
      </w:r>
      <w:r w:rsidRPr="00827326">
        <w:rPr>
          <w:rtl/>
          <w:lang w:val="es-PY"/>
        </w:rPr>
        <w:t>14</w:t>
      </w:r>
      <w:r w:rsidRPr="00E34EE7">
        <w:rPr>
          <w:rtl/>
          <w:lang w:val="es-PY"/>
        </w:rPr>
        <w:t>(</w:t>
      </w:r>
      <w:r w:rsidRPr="00827326">
        <w:rPr>
          <w:rtl/>
          <w:lang w:val="es-PY"/>
        </w:rPr>
        <w:t>1</w:t>
      </w:r>
      <w:r w:rsidRPr="00E34EE7">
        <w:rPr>
          <w:rtl/>
          <w:lang w:val="es-PY"/>
        </w:rPr>
        <w:t xml:space="preserve">)، وباحتجاجه العام بالمواد </w:t>
      </w:r>
      <w:r w:rsidRPr="00827326">
        <w:rPr>
          <w:rtl/>
          <w:lang w:val="es-PY"/>
        </w:rPr>
        <w:t>2</w:t>
      </w:r>
      <w:r w:rsidRPr="00E34EE7">
        <w:rPr>
          <w:rtl/>
          <w:lang w:val="es-PY"/>
        </w:rPr>
        <w:t>؛ و</w:t>
      </w:r>
      <w:r w:rsidRPr="00827326">
        <w:rPr>
          <w:rtl/>
          <w:lang w:val="es-PY"/>
        </w:rPr>
        <w:t>9</w:t>
      </w:r>
      <w:r w:rsidRPr="00E34EE7">
        <w:rPr>
          <w:rtl/>
          <w:lang w:val="es-PY"/>
        </w:rPr>
        <w:t>؛ و</w:t>
      </w:r>
      <w:r w:rsidRPr="00827326">
        <w:rPr>
          <w:rtl/>
          <w:lang w:val="es-PY"/>
        </w:rPr>
        <w:t>14</w:t>
      </w:r>
      <w:r w:rsidRPr="00E34EE7">
        <w:rPr>
          <w:rtl/>
          <w:lang w:val="es-PY"/>
        </w:rPr>
        <w:t>(</w:t>
      </w:r>
      <w:r w:rsidRPr="00827326">
        <w:rPr>
          <w:rtl/>
          <w:lang w:val="es-PY"/>
        </w:rPr>
        <w:t>2</w:t>
      </w:r>
      <w:r w:rsidRPr="00E34EE7">
        <w:rPr>
          <w:rtl/>
          <w:lang w:val="es-PY"/>
        </w:rPr>
        <w:t>)، و(</w:t>
      </w:r>
      <w:r w:rsidRPr="00827326">
        <w:rPr>
          <w:rtl/>
          <w:lang w:val="es-PY"/>
        </w:rPr>
        <w:t>3</w:t>
      </w:r>
      <w:r w:rsidRPr="00E34EE7">
        <w:rPr>
          <w:rtl/>
          <w:lang w:val="es-PY"/>
        </w:rPr>
        <w:t xml:space="preserve">)(ب) و(ج) من العهد، ترى اللجنة أن هذه الادعاءات لم تُدعم بما يكفي من الأدلة وتعلن عدم قبولها بموجب المادة </w:t>
      </w:r>
      <w:r w:rsidRPr="00827326">
        <w:rPr>
          <w:rtl/>
          <w:lang w:val="es-PY"/>
        </w:rPr>
        <w:t>2</w:t>
      </w:r>
      <w:r w:rsidRPr="00E34EE7">
        <w:rPr>
          <w:rtl/>
          <w:lang w:val="es-PY"/>
        </w:rPr>
        <w:t xml:space="preserve"> من البروتوكول الاختياري. </w:t>
      </w:r>
    </w:p>
    <w:p w14:paraId="5A32C992" w14:textId="77777777" w:rsidR="00E34EE7" w:rsidRPr="00E34EE7" w:rsidRDefault="00E34EE7" w:rsidP="003D566D">
      <w:pPr>
        <w:pStyle w:val="SingleTxtGA"/>
        <w:spacing w:line="350" w:lineRule="exact"/>
        <w:rPr>
          <w:rtl/>
          <w:lang w:val="es-PY"/>
        </w:rPr>
      </w:pPr>
      <w:r w:rsidRPr="00827326">
        <w:rPr>
          <w:rtl/>
          <w:lang w:val="es-PY"/>
        </w:rPr>
        <w:lastRenderedPageBreak/>
        <w:t>6</w:t>
      </w:r>
      <w:r w:rsidRPr="00E34EE7">
        <w:rPr>
          <w:rtl/>
          <w:lang w:val="es-PY"/>
        </w:rPr>
        <w:t>-</w:t>
      </w:r>
      <w:r w:rsidRPr="00827326">
        <w:rPr>
          <w:rtl/>
          <w:lang w:val="es-PY"/>
        </w:rPr>
        <w:t>5</w:t>
      </w:r>
      <w:r w:rsidRPr="00E34EE7">
        <w:rPr>
          <w:rtl/>
          <w:lang w:val="es-PY"/>
        </w:rPr>
        <w:tab/>
        <w:t xml:space="preserve">غير أن اللجنة ترى أن صاحب البلاغ دعم بالفعل بما يكفي من الأدلة، لأغراض المقبولية، الشكاوى التي قدمها بشأن حقه في المحاكمة وفق الأصول القانونية بموجب المادة </w:t>
      </w:r>
      <w:r w:rsidRPr="00827326">
        <w:rPr>
          <w:rtl/>
          <w:lang w:val="es-PY"/>
        </w:rPr>
        <w:t>14</w:t>
      </w:r>
      <w:r w:rsidRPr="00E34EE7">
        <w:rPr>
          <w:rtl/>
          <w:lang w:val="es-PY"/>
        </w:rPr>
        <w:t>(</w:t>
      </w:r>
      <w:r w:rsidRPr="00827326">
        <w:rPr>
          <w:rtl/>
          <w:lang w:val="es-PY"/>
        </w:rPr>
        <w:t>3</w:t>
      </w:r>
      <w:r w:rsidRPr="00E34EE7">
        <w:rPr>
          <w:rtl/>
          <w:lang w:val="es-PY"/>
        </w:rPr>
        <w:t>)(أ) و(د) من العهد، إذ لم يُبلغ على نحو واضح ودقيق ومفصل بالتهم الموجهة إليه، ولم يُستدع قبل صدور أمر إلقاء القبض عليه ولم يُسمح له بتعيين محاميه. وبالتالي، تعلن اللجنة قبول هذه الادعاءات وتنتقل إلى النظر فيها من حيث الأسس الموضوعية.</w:t>
      </w:r>
    </w:p>
    <w:p w14:paraId="696BBA55" w14:textId="77777777" w:rsidR="00E34EE7" w:rsidRPr="00827326" w:rsidRDefault="00E34EE7" w:rsidP="003D566D">
      <w:pPr>
        <w:pStyle w:val="H4GA"/>
        <w:spacing w:line="350" w:lineRule="exact"/>
        <w:rPr>
          <w:rtl/>
        </w:rPr>
      </w:pPr>
      <w:r w:rsidRPr="00827326">
        <w:rPr>
          <w:rtl/>
        </w:rPr>
        <w:tab/>
      </w:r>
      <w:r w:rsidRPr="00827326">
        <w:rPr>
          <w:rtl/>
        </w:rPr>
        <w:tab/>
        <w:t>النظر في الأسس الموضوعية</w:t>
      </w:r>
    </w:p>
    <w:p w14:paraId="64D835FA" w14:textId="77777777" w:rsidR="00E34EE7" w:rsidRPr="00E34EE7" w:rsidRDefault="00E34EE7" w:rsidP="003D566D">
      <w:pPr>
        <w:pStyle w:val="SingleTxtGA"/>
        <w:spacing w:line="350" w:lineRule="exact"/>
        <w:rPr>
          <w:rtl/>
          <w:lang w:val="es-PY"/>
        </w:rPr>
      </w:pPr>
      <w:r w:rsidRPr="00827326">
        <w:rPr>
          <w:rtl/>
          <w:lang w:val="es-PY"/>
        </w:rPr>
        <w:t>7</w:t>
      </w:r>
      <w:r w:rsidRPr="00E34EE7">
        <w:rPr>
          <w:rtl/>
          <w:lang w:val="es-PY"/>
        </w:rPr>
        <w:t>-</w:t>
      </w:r>
      <w:r w:rsidRPr="00827326">
        <w:rPr>
          <w:rtl/>
          <w:lang w:val="es-PY"/>
        </w:rPr>
        <w:t>1</w:t>
      </w:r>
      <w:r w:rsidRPr="00E34EE7">
        <w:rPr>
          <w:rtl/>
          <w:lang w:val="es-PY"/>
        </w:rPr>
        <w:tab/>
        <w:t xml:space="preserve">نظرت اللجنة في هذا البلاغ في ضوء جميع المعلومات التي أتاحها لها الطرفان، وفقاً لأحكام المادة </w:t>
      </w:r>
      <w:r w:rsidRPr="00827326">
        <w:rPr>
          <w:rtl/>
          <w:lang w:val="es-PY"/>
        </w:rPr>
        <w:t>5</w:t>
      </w:r>
      <w:r w:rsidRPr="00E34EE7">
        <w:rPr>
          <w:rtl/>
          <w:lang w:val="es-PY"/>
        </w:rPr>
        <w:t>(</w:t>
      </w:r>
      <w:r w:rsidRPr="00827326">
        <w:rPr>
          <w:rtl/>
          <w:lang w:val="es-PY"/>
        </w:rPr>
        <w:t>1</w:t>
      </w:r>
      <w:r w:rsidRPr="00E34EE7">
        <w:rPr>
          <w:rtl/>
          <w:lang w:val="es-PY"/>
        </w:rPr>
        <w:t>) من البروتوكول الاختياري.</w:t>
      </w:r>
    </w:p>
    <w:p w14:paraId="559BB5A0" w14:textId="77777777" w:rsidR="00E34EE7" w:rsidRPr="00E34EE7" w:rsidRDefault="00E34EE7" w:rsidP="003D566D">
      <w:pPr>
        <w:pStyle w:val="SingleTxtGA"/>
        <w:spacing w:line="350" w:lineRule="exact"/>
        <w:rPr>
          <w:rtl/>
          <w:lang w:val="es-PY"/>
        </w:rPr>
      </w:pPr>
      <w:r w:rsidRPr="00827326">
        <w:rPr>
          <w:rtl/>
          <w:lang w:val="es-PY"/>
        </w:rPr>
        <w:t>7</w:t>
      </w:r>
      <w:r w:rsidRPr="00E34EE7">
        <w:rPr>
          <w:rtl/>
          <w:lang w:val="es-PY"/>
        </w:rPr>
        <w:t>-</w:t>
      </w:r>
      <w:r w:rsidRPr="00827326">
        <w:rPr>
          <w:rtl/>
          <w:lang w:val="es-PY"/>
        </w:rPr>
        <w:t>2</w:t>
      </w:r>
      <w:r w:rsidRPr="00E34EE7">
        <w:rPr>
          <w:rtl/>
          <w:lang w:val="es-PY"/>
        </w:rPr>
        <w:tab/>
        <w:t xml:space="preserve">وتحيط اللجنة علماً بحجة صاحب البلاغ أن عدم السماح لمحاميه المعيَّن على نحو سليم بأداء اليمين القانونية أمام السلطات القضائية المختصة يشكل انتهاكاً لحقه في الدفاع بموجب المادة </w:t>
      </w:r>
      <w:r w:rsidRPr="00827326">
        <w:rPr>
          <w:rtl/>
          <w:lang w:val="es-PY"/>
        </w:rPr>
        <w:t>14</w:t>
      </w:r>
      <w:r w:rsidRPr="00E34EE7">
        <w:rPr>
          <w:rtl/>
          <w:lang w:val="es-PY"/>
        </w:rPr>
        <w:t>(</w:t>
      </w:r>
      <w:r w:rsidRPr="00827326">
        <w:rPr>
          <w:rtl/>
          <w:lang w:val="es-PY"/>
        </w:rPr>
        <w:t>3</w:t>
      </w:r>
      <w:r w:rsidRPr="00E34EE7">
        <w:rPr>
          <w:rtl/>
          <w:lang w:val="es-PY"/>
        </w:rPr>
        <w:t xml:space="preserve">)(د) من العهد. كما تحيط اللجنة علماً بحجة الدولة الطرف أن هروب صاحب البلاغ من العدالة هو الذي يمنعه من تقديم الدفوع الشكلية والموضوعية في الإجراءات الجنائية المباشَرة ضده. غير أن اللجنة تلاحظ أن صاحب البلاغ كان قد قضى أربعة أشهر خارج إقليم الدولة الطرف عندما صدر أمر حبسه احتياطياً في </w:t>
      </w:r>
      <w:r w:rsidRPr="00827326">
        <w:rPr>
          <w:rtl/>
          <w:lang w:val="es-PY"/>
        </w:rPr>
        <w:t>14</w:t>
      </w:r>
      <w:r w:rsidRPr="00E34EE7">
        <w:rPr>
          <w:rtl/>
          <w:lang w:val="es-PY"/>
        </w:rPr>
        <w:t xml:space="preserve"> أيار/مايو </w:t>
      </w:r>
      <w:r w:rsidRPr="00827326">
        <w:rPr>
          <w:rtl/>
          <w:lang w:val="es-PY"/>
        </w:rPr>
        <w:t>2010</w:t>
      </w:r>
      <w:r w:rsidRPr="00E34EE7">
        <w:rPr>
          <w:rtl/>
          <w:lang w:val="es-PY"/>
        </w:rPr>
        <w:t xml:space="preserve">، وأنه غادر بالتالي الإقليم بصفة قانونية. كما تلاحظ اللجنة أن صاحب البلاغ، بالنظر إلى اعتماد تدابير وقائية لتجميد حساباته المصرفية وإلى التحقيقات المتعلقة بتدخل الدولة الطرف في إدارة الشركات التي كان مساهماً فيها، حاول تعيين محاميه في </w:t>
      </w:r>
      <w:r w:rsidRPr="00827326">
        <w:rPr>
          <w:rtl/>
          <w:lang w:val="es-PY"/>
        </w:rPr>
        <w:t>7</w:t>
      </w:r>
      <w:r w:rsidRPr="00E34EE7">
        <w:rPr>
          <w:rtl/>
          <w:lang w:val="es-PY"/>
        </w:rPr>
        <w:t xml:space="preserve"> نيسان/أبريل </w:t>
      </w:r>
      <w:r w:rsidRPr="00827326">
        <w:rPr>
          <w:rtl/>
          <w:lang w:val="es-PY"/>
        </w:rPr>
        <w:t>2010</w:t>
      </w:r>
      <w:r w:rsidRPr="00E34EE7">
        <w:rPr>
          <w:rtl/>
          <w:lang w:val="es-PY"/>
        </w:rPr>
        <w:t>، أي قبل شهر من صدور أمر حبسه احتياطياً.</w:t>
      </w:r>
    </w:p>
    <w:p w14:paraId="519393FD" w14:textId="77777777" w:rsidR="00E34EE7" w:rsidRPr="00E34EE7" w:rsidRDefault="00E34EE7" w:rsidP="003D566D">
      <w:pPr>
        <w:pStyle w:val="SingleTxtGA"/>
        <w:spacing w:line="350" w:lineRule="exact"/>
        <w:rPr>
          <w:rtl/>
          <w:lang w:val="es-PY"/>
        </w:rPr>
      </w:pPr>
      <w:r w:rsidRPr="00827326">
        <w:rPr>
          <w:rtl/>
          <w:lang w:val="es-PY"/>
        </w:rPr>
        <w:t>7</w:t>
      </w:r>
      <w:r w:rsidRPr="00E34EE7">
        <w:rPr>
          <w:rtl/>
          <w:lang w:val="es-PY"/>
        </w:rPr>
        <w:t>-</w:t>
      </w:r>
      <w:r w:rsidRPr="00827326">
        <w:rPr>
          <w:rtl/>
          <w:lang w:val="es-PY"/>
        </w:rPr>
        <w:t>3</w:t>
      </w:r>
      <w:r w:rsidRPr="00E34EE7">
        <w:rPr>
          <w:rtl/>
          <w:lang w:val="es-PY"/>
        </w:rPr>
        <w:tab/>
        <w:t xml:space="preserve">وتحيط اللجنة علماً أيضاً بحجة الدولة الطرف أنه لا يجوز لصاحب البلاغ أن يطلب محاكمته غيابياً، لأن النظام القانوني المحلي لا يجيز محاكمته جنائياً من دون أن يكون موجوداً في إقليمها الوطني، وأن جميع الإجراءات الجنائية تُعلَّق في حالة عدم مثول المدعى عليه أو المتهم أمام القضاء، وبخاصة عندما يكون قد صدر أمر بتوقيفه وتعذر تنفيذه. غير أن اللجنة تلاحظ أن صاحب البلاغ لم يطلب محاكمته غيابياً، بل قبول تعيين محاميه كي يتمكن من الاطلاع على ملف القضية الذي يتضمن الأدلة التي قُدمت ضده والتي تَقرَّر على أساسها إصدار أمر إلقاء القبض عليه وكذلك طلب تسليمه من الولايات المتحدة. ولا ترى اللجنة كيف يمكن أن يشكل تعيين محام وتقديم الدفوع المحتملة قبل جلسة الاستماع الأولية، مثل الالتماسات أو الطعون ضد التدابير الوقائية أو طلب التسليم، انتهاكاً للحظر الدستوري للمحاكمة غيابياً. وفي ضوء هذه الوقائع، تخلص اللجنة إلى أن الدولة الطرف انتهكت، في هذه القضية، حق صاحب البلاغ في الدفاع المكفول بموجب المادة </w:t>
      </w:r>
      <w:r w:rsidRPr="00827326">
        <w:rPr>
          <w:rtl/>
          <w:lang w:val="es-PY"/>
        </w:rPr>
        <w:t>14</w:t>
      </w:r>
      <w:r w:rsidRPr="00E34EE7">
        <w:rPr>
          <w:rtl/>
          <w:lang w:val="es-PY"/>
        </w:rPr>
        <w:t>(</w:t>
      </w:r>
      <w:r w:rsidRPr="00827326">
        <w:rPr>
          <w:rtl/>
          <w:lang w:val="es-PY"/>
        </w:rPr>
        <w:t>3</w:t>
      </w:r>
      <w:r w:rsidRPr="00E34EE7">
        <w:rPr>
          <w:rtl/>
          <w:lang w:val="es-PY"/>
        </w:rPr>
        <w:t>)(د) من العهد.</w:t>
      </w:r>
    </w:p>
    <w:p w14:paraId="25A13B16" w14:textId="77777777" w:rsidR="00E34EE7" w:rsidRPr="00E34EE7" w:rsidRDefault="00E34EE7" w:rsidP="003D566D">
      <w:pPr>
        <w:pStyle w:val="SingleTxtGA"/>
        <w:spacing w:line="350" w:lineRule="exact"/>
        <w:rPr>
          <w:rtl/>
          <w:lang w:val="es-PY"/>
        </w:rPr>
      </w:pPr>
      <w:r w:rsidRPr="00827326">
        <w:rPr>
          <w:rtl/>
          <w:lang w:val="es-PY"/>
        </w:rPr>
        <w:t>7</w:t>
      </w:r>
      <w:r w:rsidRPr="00E34EE7">
        <w:rPr>
          <w:rtl/>
          <w:lang w:val="es-PY"/>
        </w:rPr>
        <w:t>-</w:t>
      </w:r>
      <w:r w:rsidRPr="00827326">
        <w:rPr>
          <w:rtl/>
          <w:lang w:val="es-PY"/>
        </w:rPr>
        <w:t>4</w:t>
      </w:r>
      <w:r w:rsidRPr="00E34EE7">
        <w:rPr>
          <w:rtl/>
          <w:lang w:val="es-PY"/>
        </w:rPr>
        <w:tab/>
        <w:t xml:space="preserve">وفي ضوء هذا الاستنتاج، تقرر اللجنة ألا تنظر بشكل منفصل في ادعاءات صاحب البلاغ الأخرى بموجب المادة </w:t>
      </w:r>
      <w:r w:rsidRPr="00827326">
        <w:rPr>
          <w:rtl/>
          <w:lang w:val="es-PY"/>
        </w:rPr>
        <w:t>14</w:t>
      </w:r>
      <w:r w:rsidRPr="00E34EE7">
        <w:rPr>
          <w:rtl/>
          <w:lang w:val="es-PY"/>
        </w:rPr>
        <w:t>(</w:t>
      </w:r>
      <w:r w:rsidRPr="00827326">
        <w:rPr>
          <w:rtl/>
          <w:lang w:val="es-PY"/>
        </w:rPr>
        <w:t>3</w:t>
      </w:r>
      <w:r w:rsidRPr="00E34EE7">
        <w:rPr>
          <w:rtl/>
          <w:lang w:val="es-PY"/>
        </w:rPr>
        <w:t>)(أ) من العهد، فيما يتعلق بحقه في إبلاغه على نحو واضح ودقيق ومفصل بالتهم الموجهة إليه، وفي استدعائه قبل اعتماد تدابير وقائية ضده.</w:t>
      </w:r>
    </w:p>
    <w:p w14:paraId="35647D3B" w14:textId="77777777" w:rsidR="00E34EE7" w:rsidRPr="00E34EE7" w:rsidRDefault="00E34EE7" w:rsidP="003D566D">
      <w:pPr>
        <w:pStyle w:val="SingleTxtGA"/>
        <w:spacing w:line="350" w:lineRule="exact"/>
        <w:rPr>
          <w:rtl/>
          <w:lang w:val="es-PY"/>
        </w:rPr>
      </w:pPr>
      <w:r w:rsidRPr="00827326">
        <w:rPr>
          <w:rtl/>
          <w:lang w:val="es-PY"/>
        </w:rPr>
        <w:t>8</w:t>
      </w:r>
      <w:r w:rsidRPr="00E34EE7">
        <w:rPr>
          <w:rtl/>
          <w:lang w:val="es-PY"/>
        </w:rPr>
        <w:t>-</w:t>
      </w:r>
      <w:r w:rsidRPr="00E34EE7">
        <w:rPr>
          <w:rtl/>
          <w:lang w:val="es-PY"/>
        </w:rPr>
        <w:tab/>
      </w:r>
      <w:r w:rsidRPr="00F60478">
        <w:rPr>
          <w:spacing w:val="-4"/>
          <w:rtl/>
          <w:lang w:val="es-PY"/>
        </w:rPr>
        <w:t xml:space="preserve">وإذ تتصرف اللجنة وفقاً للمادة </w:t>
      </w:r>
      <w:r w:rsidRPr="00827326">
        <w:rPr>
          <w:spacing w:val="-4"/>
          <w:rtl/>
          <w:lang w:val="es-PY"/>
        </w:rPr>
        <w:t>5</w:t>
      </w:r>
      <w:r w:rsidRPr="00F60478">
        <w:rPr>
          <w:spacing w:val="-4"/>
          <w:rtl/>
          <w:lang w:val="es-PY"/>
        </w:rPr>
        <w:t>(</w:t>
      </w:r>
      <w:r w:rsidRPr="00827326">
        <w:rPr>
          <w:spacing w:val="-4"/>
          <w:rtl/>
          <w:lang w:val="es-PY"/>
        </w:rPr>
        <w:t>4</w:t>
      </w:r>
      <w:r w:rsidRPr="00F60478">
        <w:rPr>
          <w:spacing w:val="-4"/>
          <w:rtl/>
          <w:lang w:val="es-PY"/>
        </w:rPr>
        <w:t>) من البروتوكول الاختياري، فهي ترى أن المعلومات المعروضة</w:t>
      </w:r>
      <w:r w:rsidRPr="00E34EE7">
        <w:rPr>
          <w:rtl/>
          <w:lang w:val="es-PY"/>
        </w:rPr>
        <w:t xml:space="preserve"> عليها تبين بالفعل وقوع انتهاك للمادة </w:t>
      </w:r>
      <w:r w:rsidRPr="00827326">
        <w:rPr>
          <w:rtl/>
          <w:lang w:val="es-PY"/>
        </w:rPr>
        <w:t>14</w:t>
      </w:r>
      <w:r w:rsidRPr="00E34EE7">
        <w:rPr>
          <w:rtl/>
          <w:lang w:val="es-PY"/>
        </w:rPr>
        <w:t>(</w:t>
      </w:r>
      <w:r w:rsidRPr="00827326">
        <w:rPr>
          <w:rtl/>
          <w:lang w:val="es-PY"/>
        </w:rPr>
        <w:t>3</w:t>
      </w:r>
      <w:r w:rsidRPr="00E34EE7">
        <w:rPr>
          <w:rtl/>
          <w:lang w:val="es-PY"/>
        </w:rPr>
        <w:t>)(د) من العهد.</w:t>
      </w:r>
    </w:p>
    <w:p w14:paraId="6B2509C9" w14:textId="77777777" w:rsidR="00E34EE7" w:rsidRPr="00E34EE7" w:rsidRDefault="00E34EE7" w:rsidP="003D566D">
      <w:pPr>
        <w:pStyle w:val="SingleTxtGA"/>
        <w:spacing w:line="350" w:lineRule="exact"/>
        <w:rPr>
          <w:rtl/>
          <w:lang w:val="es-PY"/>
        </w:rPr>
      </w:pPr>
      <w:r w:rsidRPr="00827326">
        <w:rPr>
          <w:rtl/>
          <w:lang w:val="es-PY"/>
        </w:rPr>
        <w:t>9</w:t>
      </w:r>
      <w:r w:rsidRPr="00E34EE7">
        <w:rPr>
          <w:rtl/>
          <w:lang w:val="es-PY"/>
        </w:rPr>
        <w:t>-</w:t>
      </w:r>
      <w:r w:rsidRPr="00E34EE7">
        <w:rPr>
          <w:rtl/>
          <w:lang w:val="es-PY"/>
        </w:rPr>
        <w:tab/>
        <w:t xml:space="preserve">ووفقاً لأحكام المادة </w:t>
      </w:r>
      <w:r w:rsidRPr="00827326">
        <w:rPr>
          <w:rtl/>
          <w:lang w:val="es-PY"/>
        </w:rPr>
        <w:t>2</w:t>
      </w:r>
      <w:r w:rsidRPr="00E34EE7">
        <w:rPr>
          <w:rtl/>
          <w:lang w:val="es-PY"/>
        </w:rPr>
        <w:t>(</w:t>
      </w:r>
      <w:r w:rsidRPr="00827326">
        <w:rPr>
          <w:rtl/>
          <w:lang w:val="es-PY"/>
        </w:rPr>
        <w:t>3</w:t>
      </w:r>
      <w:r w:rsidRPr="00E34EE7">
        <w:rPr>
          <w:rtl/>
          <w:lang w:val="es-PY"/>
        </w:rPr>
        <w:t>)(أ) من العهد، يقع على الدولة الطرف التزام بمنح صاحب البلاغ سبيل انتصاف فعالاً. ويقتضي منها ذلك منح سبيل انتصاف شامل لصاحب البلاغ الذي انتُهِكت حقوقه، ويشمل ذلك تمكينه مما يلي: (أ) تعيين محام والاطلاع بالتالي على ملف الإجراءات المباشَرة ضده؛ و(ب) تقديم الدفوع المتاحة، عن طريق محاميه، خلال التحقيق الأولي السابق لجلسة الاستماع التمهيدية. والدولة الطرف ملزمة أيضاً بتفادي وقوع انتهاكات مماثلة في المستقبل.</w:t>
      </w:r>
    </w:p>
    <w:p w14:paraId="06F55D8F" w14:textId="77777777" w:rsidR="00E34EE7" w:rsidRPr="00E34EE7" w:rsidRDefault="00E34EE7" w:rsidP="00E34EE7">
      <w:pPr>
        <w:pStyle w:val="SingleTxtGA"/>
        <w:rPr>
          <w:rtl/>
          <w:lang w:val="es-PY"/>
        </w:rPr>
      </w:pPr>
      <w:r w:rsidRPr="00827326">
        <w:rPr>
          <w:rtl/>
          <w:lang w:val="es-PY"/>
        </w:rPr>
        <w:lastRenderedPageBreak/>
        <w:t>10</w:t>
      </w:r>
      <w:r w:rsidRPr="00E34EE7">
        <w:rPr>
          <w:rtl/>
          <w:lang w:val="es-PY"/>
        </w:rPr>
        <w:t>-</w:t>
      </w:r>
      <w:r w:rsidRPr="00E34EE7">
        <w:rPr>
          <w:rtl/>
          <w:lang w:val="es-PY"/>
        </w:rPr>
        <w:tab/>
        <w:t xml:space="preserve">وإذ تضع اللجنة في اعتبارها أن الدولة الطرف اعترفت، بانضمامها إلى البروتوكول الاختياري، </w:t>
      </w:r>
      <w:r w:rsidRPr="00F15D99">
        <w:rPr>
          <w:spacing w:val="-4"/>
          <w:rtl/>
          <w:lang w:val="es-PY"/>
        </w:rPr>
        <w:t xml:space="preserve">باختصاص اللجنة في تحديد ما إذا كان قد حدث انتهاك للعهد أم لا، وأنها تعهّدت، عملاً بالمادة </w:t>
      </w:r>
      <w:r w:rsidRPr="00827326">
        <w:rPr>
          <w:spacing w:val="-4"/>
          <w:rtl/>
          <w:lang w:val="es-PY"/>
        </w:rPr>
        <w:t>2</w:t>
      </w:r>
      <w:r w:rsidRPr="00F15D99">
        <w:rPr>
          <w:spacing w:val="-4"/>
          <w:rtl/>
          <w:lang w:val="es-PY"/>
        </w:rPr>
        <w:t xml:space="preserve"> من العهد</w:t>
      </w:r>
      <w:r w:rsidRPr="00E34EE7">
        <w:rPr>
          <w:rtl/>
          <w:lang w:val="es-PY"/>
        </w:rPr>
        <w:t xml:space="preserve">، بأن تكفل تمتع جميع الأفراد الموجودين في إقليمها أو الخاضعين لولايتها القضائية بالحقوق المعترف بها </w:t>
      </w:r>
      <w:r w:rsidRPr="00F60478">
        <w:rPr>
          <w:spacing w:val="-2"/>
          <w:rtl/>
          <w:lang w:val="es-PY"/>
        </w:rPr>
        <w:t>في العهد وبأن تتيح لهم سبيل انتصاف فعالاً وقابلاً للإنفاذ متى ثبت حدوث انتهاك، فهي تودّ أن تتلقى من</w:t>
      </w:r>
      <w:r w:rsidRPr="00E34EE7">
        <w:rPr>
          <w:rtl/>
          <w:lang w:val="es-PY"/>
        </w:rPr>
        <w:t xml:space="preserve"> </w:t>
      </w:r>
      <w:r w:rsidRPr="00F60478">
        <w:rPr>
          <w:spacing w:val="-2"/>
          <w:rtl/>
          <w:lang w:val="es-PY"/>
        </w:rPr>
        <w:t xml:space="preserve">الدولة الطرف، في غضون </w:t>
      </w:r>
      <w:r w:rsidRPr="00827326">
        <w:rPr>
          <w:spacing w:val="-2"/>
          <w:rtl/>
          <w:lang w:val="es-PY"/>
        </w:rPr>
        <w:t>180</w:t>
      </w:r>
      <w:r w:rsidRPr="00F60478">
        <w:rPr>
          <w:spacing w:val="-2"/>
          <w:rtl/>
          <w:lang w:val="es-PY"/>
        </w:rPr>
        <w:t xml:space="preserve"> يوماً، معلومات عن التدابير التي اتخذتها لتنفيذ هذه الآراء. وتطلب اللجنة</w:t>
      </w:r>
      <w:r w:rsidRPr="00E34EE7">
        <w:rPr>
          <w:rtl/>
          <w:lang w:val="es-PY"/>
        </w:rPr>
        <w:t xml:space="preserve"> إلى الدولة الطرف أيضاً أن تنشر هذه الآراء وتعممها على نطاق واسع.</w:t>
      </w:r>
    </w:p>
    <w:p w14:paraId="2D4598CA" w14:textId="7324BE1A" w:rsidR="00B54045" w:rsidRPr="00F15D99" w:rsidRDefault="00F15D99" w:rsidP="00F15D99">
      <w:pPr>
        <w:pStyle w:val="SingleTxtGA"/>
        <w:jc w:val="center"/>
        <w:rPr>
          <w:u w:val="single"/>
          <w:rtl/>
        </w:rPr>
      </w:pPr>
      <w:r>
        <w:rPr>
          <w:u w:val="single"/>
          <w:rtl/>
        </w:rPr>
        <w:tab/>
      </w:r>
      <w:r>
        <w:rPr>
          <w:u w:val="single"/>
          <w:rtl/>
        </w:rPr>
        <w:tab/>
      </w:r>
      <w:r>
        <w:rPr>
          <w:u w:val="single"/>
          <w:rtl/>
        </w:rPr>
        <w:tab/>
      </w:r>
    </w:p>
    <w:sectPr w:rsidR="00B54045" w:rsidRPr="00F15D99" w:rsidSect="0070176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FA429" w14:textId="77777777" w:rsidR="00621B71" w:rsidRPr="002901D9" w:rsidRDefault="00621B71" w:rsidP="00DC4D4B">
      <w:pPr>
        <w:spacing w:after="60" w:line="240" w:lineRule="auto"/>
        <w:ind w:left="57"/>
        <w:rPr>
          <w:i/>
          <w:iCs/>
        </w:rPr>
      </w:pPr>
      <w:r>
        <w:rPr>
          <w:rFonts w:hint="cs"/>
          <w:i/>
          <w:iCs/>
          <w:rtl/>
        </w:rPr>
        <w:t>الحواشي</w:t>
      </w:r>
    </w:p>
  </w:endnote>
  <w:endnote w:type="continuationSeparator" w:id="0">
    <w:p w14:paraId="00304919" w14:textId="77777777" w:rsidR="00621B71" w:rsidRDefault="00621B7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2F82D" w14:textId="252F1937" w:rsidR="00621B71" w:rsidRPr="00157620" w:rsidRDefault="00621B71" w:rsidP="00157620">
    <w:pPr>
      <w:pStyle w:val="Footer"/>
      <w:tabs>
        <w:tab w:val="right" w:pos="9638"/>
      </w:tabs>
      <w:rPr>
        <w:b/>
        <w:sz w:val="18"/>
        <w:lang w:val="en-US"/>
      </w:rPr>
    </w:pPr>
    <w:r>
      <w:rPr>
        <w:lang w:val="en-US"/>
      </w:rPr>
      <w:t>GE.21-12667</w:t>
    </w:r>
    <w:r>
      <w:rPr>
        <w:lang w:val="en-US"/>
      </w:rPr>
      <w:tab/>
    </w:r>
    <w:r w:rsidRPr="00157620">
      <w:rPr>
        <w:b/>
        <w:sz w:val="18"/>
        <w:lang w:val="en-US"/>
      </w:rPr>
      <w:fldChar w:fldCharType="begin"/>
    </w:r>
    <w:r w:rsidRPr="00157620">
      <w:rPr>
        <w:b/>
        <w:sz w:val="18"/>
        <w:lang w:val="en-US"/>
      </w:rPr>
      <w:instrText xml:space="preserve"> PAGE  \* MERGEFORMAT </w:instrText>
    </w:r>
    <w:r w:rsidRPr="00157620">
      <w:rPr>
        <w:b/>
        <w:sz w:val="18"/>
        <w:lang w:val="en-US"/>
      </w:rPr>
      <w:fldChar w:fldCharType="separate"/>
    </w:r>
    <w:r w:rsidRPr="00157620">
      <w:rPr>
        <w:b/>
        <w:noProof/>
        <w:sz w:val="18"/>
        <w:lang w:val="en-US"/>
      </w:rPr>
      <w:t>2</w:t>
    </w:r>
    <w:r w:rsidRPr="00157620">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90DE" w14:textId="1370CC45" w:rsidR="00621B71" w:rsidRPr="00157620" w:rsidRDefault="00621B71" w:rsidP="00157620">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GE.21-12667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8CDB0" w14:textId="07D6D9BF" w:rsidR="00621B71" w:rsidRPr="00157620" w:rsidRDefault="00621B71" w:rsidP="00157620">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56FAD17D" wp14:editId="0CA3AFC0">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21-12667 (A)</w:t>
    </w:r>
    <w:r>
      <w:rPr>
        <w:noProof/>
        <w:sz w:val="20"/>
        <w:lang w:val="en-US"/>
      </w:rPr>
      <w:drawing>
        <wp:anchor distT="0" distB="0" distL="114300" distR="114300" simplePos="0" relativeHeight="251659264" behindDoc="0" locked="0" layoutInCell="1" allowOverlap="1" wp14:anchorId="5BA1C2AA" wp14:editId="24796BDD">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524F6" w14:textId="77777777" w:rsidR="00621B71" w:rsidRPr="008A49D2" w:rsidRDefault="00621B71"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D89F63C" w14:textId="77777777" w:rsidR="00621B71" w:rsidRDefault="00621B71" w:rsidP="00656392">
      <w:pPr>
        <w:spacing w:line="240" w:lineRule="auto"/>
      </w:pPr>
      <w:r>
        <w:continuationSeparator/>
      </w:r>
    </w:p>
  </w:footnote>
  <w:footnote w:id="1">
    <w:p w14:paraId="3939BF90" w14:textId="06647668" w:rsidR="00621B71" w:rsidRPr="00621B71" w:rsidRDefault="00621B71" w:rsidP="00917A3D">
      <w:pPr>
        <w:pStyle w:val="FootnoteText1"/>
        <w:rPr>
          <w:rFonts w:hint="cs"/>
          <w:rtl/>
        </w:rPr>
      </w:pPr>
      <w:r>
        <w:rPr>
          <w:rtl/>
        </w:rPr>
        <w:t>*</w:t>
      </w:r>
      <w:r>
        <w:rPr>
          <w:rtl/>
        </w:rPr>
        <w:tab/>
      </w:r>
      <w:r w:rsidRPr="00621B71">
        <w:rPr>
          <w:rtl/>
        </w:rPr>
        <w:t xml:space="preserve">اعتمدتها اللجنة في دورتها </w:t>
      </w:r>
      <w:r w:rsidRPr="00827326">
        <w:rPr>
          <w:rtl/>
        </w:rPr>
        <w:t>132</w:t>
      </w:r>
      <w:r w:rsidRPr="00621B71">
        <w:rPr>
          <w:rtl/>
        </w:rPr>
        <w:t xml:space="preserve"> (</w:t>
      </w:r>
      <w:r w:rsidRPr="00827326">
        <w:rPr>
          <w:rtl/>
        </w:rPr>
        <w:t>28</w:t>
      </w:r>
      <w:r w:rsidRPr="00621B71">
        <w:rPr>
          <w:rtl/>
        </w:rPr>
        <w:t xml:space="preserve"> حزيران/</w:t>
      </w:r>
      <w:proofErr w:type="gramStart"/>
      <w:r w:rsidRPr="00621B71">
        <w:rPr>
          <w:rtl/>
        </w:rPr>
        <w:t>يونيه</w:t>
      </w:r>
      <w:proofErr w:type="gramEnd"/>
      <w:r w:rsidRPr="00621B71">
        <w:rPr>
          <w:rtl/>
        </w:rPr>
        <w:t xml:space="preserve"> - </w:t>
      </w:r>
      <w:r w:rsidRPr="00827326">
        <w:rPr>
          <w:rtl/>
        </w:rPr>
        <w:t>23</w:t>
      </w:r>
      <w:r w:rsidRPr="00621B71">
        <w:rPr>
          <w:rtl/>
        </w:rPr>
        <w:t xml:space="preserve"> تموز/يوليه </w:t>
      </w:r>
      <w:r w:rsidRPr="00827326">
        <w:rPr>
          <w:rtl/>
        </w:rPr>
        <w:t>2021</w:t>
      </w:r>
      <w:r w:rsidRPr="00621B71">
        <w:rPr>
          <w:rtl/>
        </w:rPr>
        <w:t>).</w:t>
      </w:r>
    </w:p>
  </w:footnote>
  <w:footnote w:id="2">
    <w:p w14:paraId="195B3D0C" w14:textId="3C551D5B" w:rsidR="00621B71" w:rsidRPr="00621B71" w:rsidRDefault="00621B71" w:rsidP="00917A3D">
      <w:pPr>
        <w:pStyle w:val="FootnoteText1"/>
        <w:rPr>
          <w:rFonts w:hint="cs"/>
          <w:rtl/>
        </w:rPr>
      </w:pPr>
      <w:r>
        <w:rPr>
          <w:rtl/>
        </w:rPr>
        <w:t>**</w:t>
      </w:r>
      <w:r>
        <w:rPr>
          <w:rtl/>
        </w:rPr>
        <w:tab/>
      </w:r>
      <w:r w:rsidRPr="00621B71">
        <w:rPr>
          <w:rtl/>
        </w:rPr>
        <w:t xml:space="preserve">شارك في دراسة هذا البلاغ أعضاء اللجنة التالية أسماؤهم: وفاء أشرف محرم بسيم، وعياض بن عاشور، وكريستوفر عارف بلقان، والمحجوب الهيبة، وكارلوس </w:t>
      </w:r>
      <w:proofErr w:type="spellStart"/>
      <w:r w:rsidRPr="00621B71">
        <w:rPr>
          <w:rtl/>
        </w:rPr>
        <w:t>غوميث</w:t>
      </w:r>
      <w:proofErr w:type="spellEnd"/>
      <w:r w:rsidRPr="00621B71">
        <w:rPr>
          <w:rtl/>
        </w:rPr>
        <w:t xml:space="preserve"> </w:t>
      </w:r>
      <w:proofErr w:type="spellStart"/>
      <w:r w:rsidRPr="00621B71">
        <w:rPr>
          <w:rtl/>
        </w:rPr>
        <w:t>مارتينيث</w:t>
      </w:r>
      <w:proofErr w:type="spellEnd"/>
      <w:r w:rsidRPr="00621B71">
        <w:rPr>
          <w:rtl/>
        </w:rPr>
        <w:t xml:space="preserve">، </w:t>
      </w:r>
      <w:proofErr w:type="spellStart"/>
      <w:r w:rsidRPr="00621B71">
        <w:rPr>
          <w:rtl/>
        </w:rPr>
        <w:t>ودنكان</w:t>
      </w:r>
      <w:proofErr w:type="spellEnd"/>
      <w:r w:rsidRPr="00621B71">
        <w:rPr>
          <w:rtl/>
        </w:rPr>
        <w:t xml:space="preserve"> </w:t>
      </w:r>
      <w:proofErr w:type="spellStart"/>
      <w:r w:rsidRPr="00621B71">
        <w:rPr>
          <w:rtl/>
        </w:rPr>
        <w:t>موهوموزا</w:t>
      </w:r>
      <w:proofErr w:type="spellEnd"/>
      <w:r w:rsidRPr="00621B71">
        <w:rPr>
          <w:rtl/>
        </w:rPr>
        <w:t xml:space="preserve"> </w:t>
      </w:r>
      <w:proofErr w:type="spellStart"/>
      <w:r w:rsidRPr="00621B71">
        <w:rPr>
          <w:rtl/>
        </w:rPr>
        <w:t>لاكي</w:t>
      </w:r>
      <w:proofErr w:type="spellEnd"/>
      <w:r w:rsidRPr="00621B71">
        <w:rPr>
          <w:rtl/>
        </w:rPr>
        <w:t xml:space="preserve">، وفوتيني </w:t>
      </w:r>
      <w:proofErr w:type="spellStart"/>
      <w:r w:rsidRPr="00621B71">
        <w:rPr>
          <w:rtl/>
        </w:rPr>
        <w:t>بازارتزيس</w:t>
      </w:r>
      <w:proofErr w:type="spellEnd"/>
      <w:r w:rsidRPr="00621B71">
        <w:rPr>
          <w:rtl/>
        </w:rPr>
        <w:t xml:space="preserve">، </w:t>
      </w:r>
      <w:proofErr w:type="spellStart"/>
      <w:r w:rsidRPr="00621B71">
        <w:rPr>
          <w:rtl/>
        </w:rPr>
        <w:t>وفاسيلكا</w:t>
      </w:r>
      <w:proofErr w:type="spellEnd"/>
      <w:r w:rsidRPr="00621B71">
        <w:rPr>
          <w:rtl/>
        </w:rPr>
        <w:t xml:space="preserve"> </w:t>
      </w:r>
      <w:proofErr w:type="spellStart"/>
      <w:r w:rsidRPr="00621B71">
        <w:rPr>
          <w:rtl/>
        </w:rPr>
        <w:t>سانسين</w:t>
      </w:r>
      <w:proofErr w:type="spellEnd"/>
      <w:r w:rsidRPr="00621B71">
        <w:rPr>
          <w:rtl/>
        </w:rPr>
        <w:t xml:space="preserve">، وخوسيه مانويل سانتوس </w:t>
      </w:r>
      <w:proofErr w:type="spellStart"/>
      <w:r w:rsidRPr="00621B71">
        <w:rPr>
          <w:rtl/>
        </w:rPr>
        <w:t>باييس</w:t>
      </w:r>
      <w:proofErr w:type="spellEnd"/>
      <w:r w:rsidRPr="00621B71">
        <w:rPr>
          <w:rtl/>
        </w:rPr>
        <w:t xml:space="preserve">، </w:t>
      </w:r>
      <w:proofErr w:type="spellStart"/>
      <w:r w:rsidRPr="00621B71">
        <w:rPr>
          <w:rtl/>
        </w:rPr>
        <w:t>وشانغروك</w:t>
      </w:r>
      <w:proofErr w:type="spellEnd"/>
      <w:r w:rsidRPr="00621B71">
        <w:rPr>
          <w:rtl/>
        </w:rPr>
        <w:t xml:space="preserve"> </w:t>
      </w:r>
      <w:proofErr w:type="spellStart"/>
      <w:r w:rsidRPr="00621B71">
        <w:rPr>
          <w:rtl/>
        </w:rPr>
        <w:t>سوه</w:t>
      </w:r>
      <w:proofErr w:type="spellEnd"/>
      <w:r w:rsidRPr="00621B71">
        <w:rPr>
          <w:rtl/>
        </w:rPr>
        <w:t xml:space="preserve">، </w:t>
      </w:r>
      <w:proofErr w:type="spellStart"/>
      <w:r w:rsidRPr="00621B71">
        <w:rPr>
          <w:rtl/>
        </w:rPr>
        <w:t>وكوباوياه</w:t>
      </w:r>
      <w:proofErr w:type="spellEnd"/>
      <w:r w:rsidRPr="00621B71">
        <w:rPr>
          <w:rtl/>
        </w:rPr>
        <w:t xml:space="preserve"> </w:t>
      </w:r>
      <w:proofErr w:type="spellStart"/>
      <w:r w:rsidRPr="00621B71">
        <w:rPr>
          <w:rtl/>
        </w:rPr>
        <w:t>تشامدجا</w:t>
      </w:r>
      <w:proofErr w:type="spellEnd"/>
      <w:r w:rsidRPr="00621B71">
        <w:rPr>
          <w:rtl/>
        </w:rPr>
        <w:t xml:space="preserve"> </w:t>
      </w:r>
      <w:proofErr w:type="spellStart"/>
      <w:r w:rsidRPr="00621B71">
        <w:rPr>
          <w:rtl/>
        </w:rPr>
        <w:t>كباتشا</w:t>
      </w:r>
      <w:proofErr w:type="spellEnd"/>
      <w:r w:rsidRPr="00621B71">
        <w:rPr>
          <w:rtl/>
        </w:rPr>
        <w:t xml:space="preserve">، وإيلين </w:t>
      </w:r>
      <w:proofErr w:type="spellStart"/>
      <w:r w:rsidRPr="00621B71">
        <w:rPr>
          <w:rtl/>
        </w:rPr>
        <w:t>تيغرودجا</w:t>
      </w:r>
      <w:proofErr w:type="spellEnd"/>
      <w:r w:rsidRPr="00621B71">
        <w:rPr>
          <w:rtl/>
        </w:rPr>
        <w:t xml:space="preserve">، </w:t>
      </w:r>
      <w:proofErr w:type="spellStart"/>
      <w:r w:rsidRPr="00621B71">
        <w:rPr>
          <w:rtl/>
        </w:rPr>
        <w:t>وإيميرو</w:t>
      </w:r>
      <w:proofErr w:type="spellEnd"/>
      <w:r w:rsidRPr="00621B71">
        <w:rPr>
          <w:rtl/>
        </w:rPr>
        <w:t xml:space="preserve"> </w:t>
      </w:r>
      <w:proofErr w:type="spellStart"/>
      <w:r w:rsidRPr="00621B71">
        <w:rPr>
          <w:rtl/>
        </w:rPr>
        <w:t>تامرات</w:t>
      </w:r>
      <w:proofErr w:type="spellEnd"/>
      <w:r w:rsidRPr="00621B71">
        <w:rPr>
          <w:rtl/>
        </w:rPr>
        <w:t xml:space="preserve"> </w:t>
      </w:r>
      <w:proofErr w:type="spellStart"/>
      <w:r w:rsidRPr="00621B71">
        <w:rPr>
          <w:rtl/>
        </w:rPr>
        <w:t>إجيزو</w:t>
      </w:r>
      <w:proofErr w:type="spellEnd"/>
      <w:r w:rsidRPr="00621B71">
        <w:rPr>
          <w:rtl/>
        </w:rPr>
        <w:t xml:space="preserve">، </w:t>
      </w:r>
      <w:proofErr w:type="spellStart"/>
      <w:r w:rsidRPr="00621B71">
        <w:rPr>
          <w:rtl/>
        </w:rPr>
        <w:t>وجينتيان</w:t>
      </w:r>
      <w:proofErr w:type="spellEnd"/>
      <w:r w:rsidRPr="00621B71">
        <w:rPr>
          <w:rtl/>
        </w:rPr>
        <w:t xml:space="preserve"> زبيري.</w:t>
      </w:r>
    </w:p>
  </w:footnote>
  <w:footnote w:id="3">
    <w:p w14:paraId="73782304" w14:textId="016C370D" w:rsidR="00621B71" w:rsidRPr="00621B71" w:rsidRDefault="00621B71" w:rsidP="00621B71">
      <w:pPr>
        <w:pStyle w:val="FootnoteText1"/>
        <w:textDirection w:val="tbRlV"/>
      </w:pPr>
      <w:r w:rsidRPr="00621B71">
        <w:rPr>
          <w:rtl/>
        </w:rPr>
        <w:t>(</w:t>
      </w:r>
      <w:r w:rsidRPr="00827326">
        <w:rPr>
          <w:rStyle w:val="FootnoteReference"/>
          <w:vertAlign w:val="baseline"/>
        </w:rPr>
        <w:footnoteRef/>
      </w:r>
      <w:r w:rsidRPr="00621B71">
        <w:rPr>
          <w:rtl/>
        </w:rPr>
        <w:t>)</w:t>
      </w:r>
      <w:r>
        <w:rPr>
          <w:rtl/>
        </w:rPr>
        <w:tab/>
      </w:r>
      <w:r w:rsidRPr="00F15D99">
        <w:rPr>
          <w:spacing w:val="-4"/>
          <w:rtl/>
        </w:rPr>
        <w:t xml:space="preserve">ادعى صاحب البلاغ، في ملاحظاته المؤرخة </w:t>
      </w:r>
      <w:r w:rsidRPr="00827326">
        <w:rPr>
          <w:spacing w:val="-4"/>
          <w:rtl/>
        </w:rPr>
        <w:t>2</w:t>
      </w:r>
      <w:r w:rsidRPr="00F15D99">
        <w:rPr>
          <w:spacing w:val="-4"/>
          <w:rtl/>
        </w:rPr>
        <w:t xml:space="preserve"> نيسان/أبريل </w:t>
      </w:r>
      <w:r w:rsidRPr="00827326">
        <w:rPr>
          <w:spacing w:val="-4"/>
          <w:rtl/>
        </w:rPr>
        <w:t>2018</w:t>
      </w:r>
      <w:r w:rsidRPr="00F15D99">
        <w:rPr>
          <w:spacing w:val="-4"/>
          <w:rtl/>
        </w:rPr>
        <w:t>، أنه غادر جمهورية فنزويلا البوليفارية للوفاء بالتزاماته الأسرية،</w:t>
      </w:r>
      <w:r w:rsidRPr="00663762">
        <w:rPr>
          <w:rtl/>
        </w:rPr>
        <w:t xml:space="preserve"> حيث كان عدد من أبنائه يتابعون الدراسة آنذاك في ميامي. </w:t>
      </w:r>
    </w:p>
  </w:footnote>
  <w:footnote w:id="4">
    <w:p w14:paraId="03FAC7FE" w14:textId="26947F1A" w:rsidR="00621B71" w:rsidRPr="00621B71" w:rsidRDefault="00621B71" w:rsidP="00621B71">
      <w:pPr>
        <w:pStyle w:val="FootnoteText1"/>
        <w:textDirection w:val="tbRlV"/>
      </w:pPr>
      <w:r w:rsidRPr="00621B71">
        <w:rPr>
          <w:rtl/>
        </w:rPr>
        <w:t>(</w:t>
      </w:r>
      <w:r w:rsidRPr="00827326">
        <w:rPr>
          <w:rStyle w:val="FootnoteReference"/>
          <w:vertAlign w:val="baseline"/>
        </w:rPr>
        <w:footnoteRef/>
      </w:r>
      <w:r w:rsidRPr="00621B71">
        <w:rPr>
          <w:rtl/>
        </w:rPr>
        <w:t>)</w:t>
      </w:r>
      <w:r>
        <w:rPr>
          <w:rtl/>
        </w:rPr>
        <w:tab/>
      </w:r>
      <w:proofErr w:type="spellStart"/>
      <w:r w:rsidRPr="00663762">
        <w:rPr>
          <w:rtl/>
        </w:rPr>
        <w:t>أوسوالدو</w:t>
      </w:r>
      <w:proofErr w:type="spellEnd"/>
      <w:r w:rsidRPr="00663762">
        <w:rPr>
          <w:rtl/>
        </w:rPr>
        <w:t xml:space="preserve"> خوسيه </w:t>
      </w:r>
      <w:proofErr w:type="spellStart"/>
      <w:r w:rsidRPr="00663762">
        <w:rPr>
          <w:rtl/>
        </w:rPr>
        <w:t>دومينغيث</w:t>
      </w:r>
      <w:proofErr w:type="spellEnd"/>
      <w:r w:rsidRPr="00663762">
        <w:rPr>
          <w:rtl/>
        </w:rPr>
        <w:t xml:space="preserve"> </w:t>
      </w:r>
      <w:proofErr w:type="spellStart"/>
      <w:r w:rsidRPr="00663762">
        <w:rPr>
          <w:rtl/>
        </w:rPr>
        <w:t>فلوريدو</w:t>
      </w:r>
      <w:proofErr w:type="spellEnd"/>
      <w:r w:rsidRPr="00663762">
        <w:rPr>
          <w:rtl/>
        </w:rPr>
        <w:t xml:space="preserve">، </w:t>
      </w:r>
      <w:proofErr w:type="spellStart"/>
      <w:r w:rsidRPr="00663762">
        <w:rPr>
          <w:rtl/>
        </w:rPr>
        <w:t>وأوسوالدو</w:t>
      </w:r>
      <w:proofErr w:type="spellEnd"/>
      <w:r w:rsidRPr="00663762">
        <w:rPr>
          <w:rtl/>
        </w:rPr>
        <w:t xml:space="preserve"> </w:t>
      </w:r>
      <w:proofErr w:type="spellStart"/>
      <w:r w:rsidRPr="00663762">
        <w:rPr>
          <w:rtl/>
        </w:rPr>
        <w:t>دومينغيث</w:t>
      </w:r>
      <w:proofErr w:type="spellEnd"/>
      <w:r w:rsidRPr="00663762">
        <w:rPr>
          <w:rtl/>
        </w:rPr>
        <w:t xml:space="preserve"> </w:t>
      </w:r>
      <w:proofErr w:type="spellStart"/>
      <w:r w:rsidRPr="00663762">
        <w:rPr>
          <w:rtl/>
        </w:rPr>
        <w:t>إيرنانديث</w:t>
      </w:r>
      <w:proofErr w:type="spellEnd"/>
      <w:r w:rsidRPr="00663762">
        <w:rPr>
          <w:rtl/>
        </w:rPr>
        <w:t xml:space="preserve">، </w:t>
      </w:r>
      <w:proofErr w:type="spellStart"/>
      <w:r w:rsidRPr="00663762">
        <w:rPr>
          <w:rtl/>
        </w:rPr>
        <w:t>وغوستابو</w:t>
      </w:r>
      <w:proofErr w:type="spellEnd"/>
      <w:r w:rsidRPr="00663762">
        <w:rPr>
          <w:rtl/>
        </w:rPr>
        <w:t xml:space="preserve"> </w:t>
      </w:r>
      <w:proofErr w:type="spellStart"/>
      <w:r w:rsidRPr="00663762">
        <w:rPr>
          <w:rtl/>
        </w:rPr>
        <w:t>خيمون</w:t>
      </w:r>
      <w:proofErr w:type="spellEnd"/>
      <w:r w:rsidRPr="00663762">
        <w:rPr>
          <w:rtl/>
        </w:rPr>
        <w:t xml:space="preserve"> </w:t>
      </w:r>
      <w:proofErr w:type="spellStart"/>
      <w:r w:rsidRPr="00663762">
        <w:rPr>
          <w:rtl/>
        </w:rPr>
        <w:t>لورينثو</w:t>
      </w:r>
      <w:proofErr w:type="spellEnd"/>
      <w:r w:rsidRPr="00663762">
        <w:rPr>
          <w:rtl/>
        </w:rPr>
        <w:t>.</w:t>
      </w:r>
    </w:p>
  </w:footnote>
  <w:footnote w:id="5">
    <w:p w14:paraId="59DEEE92" w14:textId="151DA318" w:rsidR="00621B71" w:rsidRPr="00621B71" w:rsidRDefault="00621B71" w:rsidP="00621B71">
      <w:pPr>
        <w:pStyle w:val="FootnoteText1"/>
        <w:textDirection w:val="tbRlV"/>
      </w:pPr>
      <w:r w:rsidRPr="00621B71">
        <w:rPr>
          <w:rtl/>
        </w:rPr>
        <w:t>(</w:t>
      </w:r>
      <w:r w:rsidRPr="00827326">
        <w:rPr>
          <w:rStyle w:val="FootnoteReference"/>
          <w:vertAlign w:val="baseline"/>
        </w:rPr>
        <w:footnoteRef/>
      </w:r>
      <w:r w:rsidRPr="00621B71">
        <w:rPr>
          <w:rtl/>
        </w:rPr>
        <w:t>)</w:t>
      </w:r>
      <w:r>
        <w:rPr>
          <w:rtl/>
        </w:rPr>
        <w:tab/>
      </w:r>
      <w:r w:rsidRPr="00663762">
        <w:rPr>
          <w:rtl/>
        </w:rPr>
        <w:t xml:space="preserve">صدر الأمر في البداية مقترناً بنشرة حمراء للمنظمة الدولية للشرطة الجنائية (الإنتربول). غير أن هذه النشرة الحمراء سُحبت بقرار من الإنتربول، أُبلغ به صاحب البلاغ في </w:t>
      </w:r>
      <w:r w:rsidRPr="00827326">
        <w:rPr>
          <w:rtl/>
        </w:rPr>
        <w:t>8</w:t>
      </w:r>
      <w:r w:rsidRPr="00663762">
        <w:rPr>
          <w:rtl/>
        </w:rPr>
        <w:t xml:space="preserve"> آب/أغسطس </w:t>
      </w:r>
      <w:r w:rsidRPr="00827326">
        <w:rPr>
          <w:rtl/>
        </w:rPr>
        <w:t>2012</w:t>
      </w:r>
      <w:r w:rsidRPr="00663762">
        <w:rPr>
          <w:rtl/>
        </w:rPr>
        <w:t>، حيث رأت أن القضية المباشرة ضد صاحب البلاغ ذات طابع سياسي بالأساس.</w:t>
      </w:r>
    </w:p>
  </w:footnote>
  <w:footnote w:id="6">
    <w:p w14:paraId="43AE8173" w14:textId="6E66B0F3" w:rsidR="00621B71" w:rsidRPr="00621B71" w:rsidRDefault="00621B71" w:rsidP="00621B71">
      <w:pPr>
        <w:pStyle w:val="FootnoteText1"/>
        <w:textDirection w:val="tbRlV"/>
      </w:pPr>
      <w:r w:rsidRPr="00621B71">
        <w:rPr>
          <w:rtl/>
        </w:rPr>
        <w:t>(</w:t>
      </w:r>
      <w:r w:rsidRPr="00827326">
        <w:rPr>
          <w:rStyle w:val="FootnoteReference"/>
          <w:vertAlign w:val="baseline"/>
        </w:rPr>
        <w:footnoteRef/>
      </w:r>
      <w:r w:rsidRPr="00621B71">
        <w:rPr>
          <w:rtl/>
        </w:rPr>
        <w:t>)</w:t>
      </w:r>
      <w:r>
        <w:rPr>
          <w:rtl/>
        </w:rPr>
        <w:tab/>
      </w:r>
      <w:r w:rsidRPr="00663762">
        <w:rPr>
          <w:rtl/>
        </w:rPr>
        <w:t xml:space="preserve">انظر الحكم رقم </w:t>
      </w:r>
      <w:r w:rsidRPr="00827326">
        <w:rPr>
          <w:rtl/>
        </w:rPr>
        <w:t>812</w:t>
      </w:r>
      <w:r w:rsidRPr="00663762">
        <w:rPr>
          <w:rtl/>
        </w:rPr>
        <w:t xml:space="preserve">، الصادر عن الدائرة الدستورية </w:t>
      </w:r>
      <w:r>
        <w:rPr>
          <w:rFonts w:hint="cs"/>
          <w:rtl/>
        </w:rPr>
        <w:t xml:space="preserve">في </w:t>
      </w:r>
      <w:r w:rsidRPr="00663762">
        <w:rPr>
          <w:rtl/>
        </w:rPr>
        <w:t xml:space="preserve">محكمة العدل العليا، في </w:t>
      </w:r>
      <w:r w:rsidRPr="00827326">
        <w:rPr>
          <w:rtl/>
        </w:rPr>
        <w:t>6</w:t>
      </w:r>
      <w:r w:rsidRPr="00663762">
        <w:rPr>
          <w:rtl/>
        </w:rPr>
        <w:t xml:space="preserve"> حزيران/</w:t>
      </w:r>
      <w:proofErr w:type="gramStart"/>
      <w:r w:rsidRPr="00663762">
        <w:rPr>
          <w:rtl/>
        </w:rPr>
        <w:t>يونيه</w:t>
      </w:r>
      <w:proofErr w:type="gramEnd"/>
      <w:r w:rsidRPr="00663762">
        <w:rPr>
          <w:rtl/>
        </w:rPr>
        <w:t xml:space="preserve"> </w:t>
      </w:r>
      <w:r w:rsidRPr="00827326">
        <w:rPr>
          <w:rtl/>
        </w:rPr>
        <w:t>2011</w:t>
      </w:r>
      <w:r w:rsidRPr="00663762">
        <w:rPr>
          <w:rtl/>
        </w:rPr>
        <w:t>.</w:t>
      </w:r>
    </w:p>
  </w:footnote>
  <w:footnote w:id="7">
    <w:p w14:paraId="79DE174D" w14:textId="1E131CEB" w:rsidR="00621B71" w:rsidRPr="00621B71" w:rsidRDefault="00621B71" w:rsidP="00621B71">
      <w:pPr>
        <w:pStyle w:val="FootnoteText1"/>
        <w:textDirection w:val="tbRlV"/>
      </w:pPr>
      <w:r w:rsidRPr="00621B71">
        <w:rPr>
          <w:rtl/>
        </w:rPr>
        <w:t>(</w:t>
      </w:r>
      <w:r w:rsidRPr="00827326">
        <w:rPr>
          <w:rStyle w:val="FootnoteReference"/>
          <w:vertAlign w:val="baseline"/>
        </w:rPr>
        <w:footnoteRef/>
      </w:r>
      <w:r w:rsidRPr="00621B71">
        <w:rPr>
          <w:rtl/>
        </w:rPr>
        <w:t>)</w:t>
      </w:r>
      <w:r>
        <w:rPr>
          <w:rtl/>
        </w:rPr>
        <w:tab/>
      </w:r>
      <w:r w:rsidRPr="00663762">
        <w:rPr>
          <w:rtl/>
        </w:rPr>
        <w:t xml:space="preserve">الحكم رقم </w:t>
      </w:r>
      <w:r w:rsidRPr="00827326">
        <w:rPr>
          <w:rtl/>
        </w:rPr>
        <w:t>477</w:t>
      </w:r>
      <w:r w:rsidRPr="00663762">
        <w:rPr>
          <w:rtl/>
        </w:rPr>
        <w:t xml:space="preserve"> الصادر عن دائرة النقض الجنائية بمحكمة العدل العليا، في </w:t>
      </w:r>
      <w:r w:rsidRPr="00827326">
        <w:rPr>
          <w:rtl/>
        </w:rPr>
        <w:t>8</w:t>
      </w:r>
      <w:r w:rsidRPr="00663762">
        <w:rPr>
          <w:rtl/>
        </w:rPr>
        <w:t xml:space="preserve"> تشرين الثاني/نوفمبر </w:t>
      </w:r>
      <w:r w:rsidRPr="00827326">
        <w:rPr>
          <w:rtl/>
        </w:rPr>
        <w:t>2010</w:t>
      </w:r>
      <w:r w:rsidRPr="00663762">
        <w:rPr>
          <w:rtl/>
        </w:rPr>
        <w:t>.</w:t>
      </w:r>
    </w:p>
  </w:footnote>
  <w:footnote w:id="8">
    <w:p w14:paraId="0BE4431F" w14:textId="3651853F" w:rsidR="00621B71" w:rsidRPr="00621B71" w:rsidRDefault="00621B71" w:rsidP="00621B71">
      <w:pPr>
        <w:pStyle w:val="FootnoteText1"/>
        <w:textDirection w:val="tbRlV"/>
      </w:pPr>
      <w:r w:rsidRPr="00621B71">
        <w:rPr>
          <w:rtl/>
        </w:rPr>
        <w:t>(</w:t>
      </w:r>
      <w:r w:rsidRPr="00827326">
        <w:rPr>
          <w:rStyle w:val="FootnoteReference"/>
          <w:vertAlign w:val="baseline"/>
        </w:rPr>
        <w:footnoteRef/>
      </w:r>
      <w:r w:rsidRPr="00621B71">
        <w:rPr>
          <w:rtl/>
        </w:rPr>
        <w:t>)</w:t>
      </w:r>
      <w:r>
        <w:rPr>
          <w:rtl/>
        </w:rPr>
        <w:tab/>
      </w:r>
      <w:r w:rsidRPr="00663762">
        <w:rPr>
          <w:rtl/>
        </w:rPr>
        <w:t>يرفق صاحب البلاغ نسخة عادية من هذه الوثيقة.</w:t>
      </w:r>
    </w:p>
  </w:footnote>
  <w:footnote w:id="9">
    <w:p w14:paraId="1A377F4A" w14:textId="4D7C2DC4" w:rsidR="00621B71" w:rsidRPr="00621B71" w:rsidRDefault="00621B71" w:rsidP="00621B71">
      <w:pPr>
        <w:pStyle w:val="FootnoteText1"/>
        <w:textDirection w:val="tbRlV"/>
      </w:pPr>
      <w:r w:rsidRPr="00621B71">
        <w:rPr>
          <w:rtl/>
        </w:rPr>
        <w:t>(</w:t>
      </w:r>
      <w:r w:rsidRPr="00827326">
        <w:rPr>
          <w:rStyle w:val="FootnoteReference"/>
          <w:vertAlign w:val="baseline"/>
        </w:rPr>
        <w:footnoteRef/>
      </w:r>
      <w:r w:rsidRPr="00621B71">
        <w:rPr>
          <w:rtl/>
        </w:rPr>
        <w:t>)</w:t>
      </w:r>
      <w:r>
        <w:rPr>
          <w:rtl/>
        </w:rPr>
        <w:tab/>
      </w:r>
      <w:r w:rsidRPr="00663762">
        <w:rPr>
          <w:rtl/>
        </w:rPr>
        <w:t>المرجع نفسه.</w:t>
      </w:r>
    </w:p>
  </w:footnote>
  <w:footnote w:id="10">
    <w:p w14:paraId="74A61E1F" w14:textId="373BD21E" w:rsidR="00621B71" w:rsidRPr="00621B71" w:rsidRDefault="00621B71" w:rsidP="00621B71">
      <w:pPr>
        <w:pStyle w:val="FootnoteText1"/>
        <w:textDirection w:val="tbRlV"/>
      </w:pPr>
      <w:r w:rsidRPr="00621B71">
        <w:rPr>
          <w:rtl/>
        </w:rPr>
        <w:t>(</w:t>
      </w:r>
      <w:r w:rsidRPr="00827326">
        <w:rPr>
          <w:rStyle w:val="FootnoteReference"/>
          <w:vertAlign w:val="baseline"/>
        </w:rPr>
        <w:footnoteRef/>
      </w:r>
      <w:r w:rsidRPr="00621B71">
        <w:rPr>
          <w:rtl/>
        </w:rPr>
        <w:t>)</w:t>
      </w:r>
      <w:r>
        <w:rPr>
          <w:rtl/>
        </w:rPr>
        <w:tab/>
      </w:r>
      <w:r w:rsidRPr="00663762">
        <w:rPr>
          <w:rtl/>
        </w:rPr>
        <w:t xml:space="preserve">رقم </w:t>
      </w:r>
      <w:r w:rsidR="00BF23D0">
        <w:t>PRE-</w:t>
      </w:r>
      <w:r w:rsidR="00BF23D0" w:rsidRPr="00827326">
        <w:t>2088</w:t>
      </w:r>
      <w:r w:rsidRPr="00663762">
        <w:rPr>
          <w:rtl/>
        </w:rPr>
        <w:t xml:space="preserve">، ورقم </w:t>
      </w:r>
      <w:r w:rsidR="00BF23D0">
        <w:t>PRE-</w:t>
      </w:r>
      <w:r w:rsidR="00BF23D0" w:rsidRPr="00827326">
        <w:t>20</w:t>
      </w:r>
      <w:r w:rsidR="00BF23D0" w:rsidRPr="00827326">
        <w:t>99</w:t>
      </w:r>
      <w:r w:rsidRPr="00663762">
        <w:rPr>
          <w:rtl/>
        </w:rPr>
        <w:t>.</w:t>
      </w:r>
    </w:p>
  </w:footnote>
  <w:footnote w:id="11">
    <w:p w14:paraId="1AB7E8FB" w14:textId="714E5989" w:rsidR="00621B71" w:rsidRPr="00621B71" w:rsidRDefault="00621B71" w:rsidP="00621B71">
      <w:pPr>
        <w:pStyle w:val="FootnoteText1"/>
        <w:textDirection w:val="tbRlV"/>
      </w:pPr>
      <w:r w:rsidRPr="00621B71">
        <w:rPr>
          <w:rtl/>
        </w:rPr>
        <w:t>(</w:t>
      </w:r>
      <w:r w:rsidRPr="00827326">
        <w:rPr>
          <w:rStyle w:val="FootnoteReference"/>
          <w:vertAlign w:val="baseline"/>
        </w:rPr>
        <w:footnoteRef/>
      </w:r>
      <w:r w:rsidRPr="00621B71">
        <w:rPr>
          <w:rtl/>
        </w:rPr>
        <w:t>)</w:t>
      </w:r>
      <w:r>
        <w:rPr>
          <w:rtl/>
        </w:rPr>
        <w:tab/>
      </w:r>
      <w:r w:rsidRPr="00663762">
        <w:rPr>
          <w:rtl/>
        </w:rPr>
        <w:t xml:space="preserve">المؤسسة المسؤولة عن تقديم الدعاوى الجنائية باسم الدولة، بموجب المادة </w:t>
      </w:r>
      <w:r w:rsidRPr="00827326">
        <w:rPr>
          <w:rtl/>
        </w:rPr>
        <w:t>285</w:t>
      </w:r>
      <w:r w:rsidRPr="00663762">
        <w:rPr>
          <w:rtl/>
        </w:rPr>
        <w:t xml:space="preserve"> من دستور الدولة الطرف.</w:t>
      </w:r>
    </w:p>
  </w:footnote>
  <w:footnote w:id="12">
    <w:p w14:paraId="34C960B0" w14:textId="248F1A9F" w:rsidR="00621B71" w:rsidRPr="00621B71" w:rsidRDefault="00621B71" w:rsidP="00621B71">
      <w:pPr>
        <w:pStyle w:val="FootnoteText1"/>
        <w:textDirection w:val="tbRlV"/>
      </w:pPr>
      <w:r w:rsidRPr="00621B71">
        <w:rPr>
          <w:rtl/>
        </w:rPr>
        <w:t>(</w:t>
      </w:r>
      <w:r w:rsidRPr="00827326">
        <w:rPr>
          <w:rStyle w:val="FootnoteReference"/>
          <w:vertAlign w:val="baseline"/>
        </w:rPr>
        <w:footnoteRef/>
      </w:r>
      <w:r w:rsidRPr="00621B71">
        <w:rPr>
          <w:rtl/>
        </w:rPr>
        <w:t>)</w:t>
      </w:r>
      <w:r>
        <w:rPr>
          <w:rtl/>
        </w:rPr>
        <w:tab/>
      </w:r>
      <w:r w:rsidRPr="00663762">
        <w:rPr>
          <w:rtl/>
        </w:rPr>
        <w:t xml:space="preserve">وفقاً لما يرد في </w:t>
      </w:r>
      <w:r w:rsidRPr="00827326">
        <w:rPr>
          <w:i/>
          <w:iCs/>
          <w:rtl/>
        </w:rPr>
        <w:t>الجريدة الرسمية</w:t>
      </w:r>
      <w:r w:rsidRPr="00663762">
        <w:rPr>
          <w:rtl/>
        </w:rPr>
        <w:t xml:space="preserve"> رقم </w:t>
      </w:r>
      <w:r w:rsidRPr="00827326">
        <w:rPr>
          <w:rtl/>
        </w:rPr>
        <w:t>39</w:t>
      </w:r>
      <w:r w:rsidRPr="00621B71">
        <w:rPr>
          <w:rtl/>
        </w:rPr>
        <w:t>.</w:t>
      </w:r>
      <w:r w:rsidRPr="00827326">
        <w:rPr>
          <w:rtl/>
        </w:rPr>
        <w:t>375</w:t>
      </w:r>
      <w:r w:rsidRPr="00663762">
        <w:rPr>
          <w:rtl/>
        </w:rPr>
        <w:t>.</w:t>
      </w:r>
    </w:p>
  </w:footnote>
  <w:footnote w:id="13">
    <w:p w14:paraId="7DB54591" w14:textId="26B86AE4" w:rsidR="00621B71" w:rsidRPr="00621B71" w:rsidRDefault="00621B71" w:rsidP="00621B71">
      <w:pPr>
        <w:pStyle w:val="FootnoteText1"/>
        <w:textDirection w:val="tbRlV"/>
      </w:pPr>
      <w:r w:rsidRPr="00621B71">
        <w:rPr>
          <w:rtl/>
        </w:rPr>
        <w:t>(</w:t>
      </w:r>
      <w:r w:rsidRPr="00827326">
        <w:rPr>
          <w:rStyle w:val="FootnoteReference"/>
          <w:vertAlign w:val="baseline"/>
        </w:rPr>
        <w:footnoteRef/>
      </w:r>
      <w:r w:rsidRPr="00621B71">
        <w:rPr>
          <w:rtl/>
        </w:rPr>
        <w:t>)</w:t>
      </w:r>
      <w:r>
        <w:rPr>
          <w:rtl/>
        </w:rPr>
        <w:tab/>
      </w:r>
      <w:r w:rsidRPr="00663762">
        <w:rPr>
          <w:rtl/>
        </w:rPr>
        <w:t xml:space="preserve">وفقاً للمادة </w:t>
      </w:r>
      <w:r w:rsidRPr="00827326">
        <w:rPr>
          <w:rtl/>
        </w:rPr>
        <w:t>60</w:t>
      </w:r>
      <w:r w:rsidRPr="00621B71">
        <w:rPr>
          <w:rtl/>
        </w:rPr>
        <w:t>(</w:t>
      </w:r>
      <w:r w:rsidRPr="00827326">
        <w:rPr>
          <w:rtl/>
        </w:rPr>
        <w:t>5</w:t>
      </w:r>
      <w:r w:rsidRPr="00621B71">
        <w:rPr>
          <w:rtl/>
        </w:rPr>
        <w:t>)</w:t>
      </w:r>
      <w:r w:rsidRPr="00663762">
        <w:rPr>
          <w:rtl/>
        </w:rPr>
        <w:t xml:space="preserve"> من دستور جمهورية فنزويلا، المؤرخ </w:t>
      </w:r>
      <w:r w:rsidRPr="00827326">
        <w:rPr>
          <w:rtl/>
        </w:rPr>
        <w:t>16</w:t>
      </w:r>
      <w:r w:rsidRPr="00663762">
        <w:rPr>
          <w:rtl/>
        </w:rPr>
        <w:t xml:space="preserve"> كانون الثاني/يناير </w:t>
      </w:r>
      <w:r w:rsidRPr="00827326">
        <w:rPr>
          <w:rtl/>
        </w:rPr>
        <w:t>1961</w:t>
      </w:r>
      <w:r w:rsidRPr="00663762">
        <w:rPr>
          <w:rtl/>
        </w:rPr>
        <w:t>.</w:t>
      </w:r>
    </w:p>
  </w:footnote>
  <w:footnote w:id="14">
    <w:p w14:paraId="1DCFD433" w14:textId="393781F4" w:rsidR="00621B71" w:rsidRPr="00621B71" w:rsidRDefault="00621B71" w:rsidP="00621B71">
      <w:pPr>
        <w:pStyle w:val="FootnoteText1"/>
        <w:textDirection w:val="tbRlV"/>
      </w:pPr>
      <w:r w:rsidRPr="00621B71">
        <w:rPr>
          <w:rtl/>
        </w:rPr>
        <w:t>(</w:t>
      </w:r>
      <w:r w:rsidRPr="00827326">
        <w:rPr>
          <w:rStyle w:val="FootnoteReference"/>
          <w:vertAlign w:val="baseline"/>
        </w:rPr>
        <w:footnoteRef/>
      </w:r>
      <w:r w:rsidRPr="00621B71">
        <w:rPr>
          <w:rtl/>
        </w:rPr>
        <w:t>)</w:t>
      </w:r>
      <w:r>
        <w:rPr>
          <w:rtl/>
        </w:rPr>
        <w:tab/>
      </w:r>
      <w:r w:rsidRPr="00663762">
        <w:rPr>
          <w:rtl/>
        </w:rPr>
        <w:t xml:space="preserve">تستشهد الدولة الطرف بالسوابق القضائية للدائرة الدستورية في محكمة العدل العليا، التي يرد فيها ما يلي: "في الإجراءات الجنائية </w:t>
      </w:r>
      <w:r w:rsidRPr="00BF23D0">
        <w:rPr>
          <w:spacing w:val="-2"/>
          <w:rtl/>
        </w:rPr>
        <w:t>الحالية [...]، يتعين على المدعى عليه أو المتهم أن يمثل أمام القضاء، وذلك لأن دستور جمهورية فنزويلا البوليفارية لعام</w:t>
      </w:r>
      <w:r w:rsidRPr="00663762">
        <w:rPr>
          <w:rtl/>
        </w:rPr>
        <w:t xml:space="preserve"> </w:t>
      </w:r>
      <w:r w:rsidRPr="00827326">
        <w:rPr>
          <w:rtl/>
        </w:rPr>
        <w:t>1999</w:t>
      </w:r>
      <w:r w:rsidRPr="00663762">
        <w:rPr>
          <w:rtl/>
        </w:rPr>
        <w:t xml:space="preserve"> لا</w:t>
      </w:r>
      <w:r w:rsidR="00BF23D0">
        <w:t> </w:t>
      </w:r>
      <w:r w:rsidRPr="00663762">
        <w:rPr>
          <w:rtl/>
        </w:rPr>
        <w:t xml:space="preserve">يجيز المحاكمة غيابياً، </w:t>
      </w:r>
      <w:r>
        <w:rPr>
          <w:rFonts w:hint="cs"/>
          <w:rtl/>
        </w:rPr>
        <w:t xml:space="preserve">على عكس </w:t>
      </w:r>
      <w:r w:rsidRPr="00663762">
        <w:rPr>
          <w:rtl/>
        </w:rPr>
        <w:t xml:space="preserve">دستور عام </w:t>
      </w:r>
      <w:r w:rsidRPr="00827326">
        <w:rPr>
          <w:rtl/>
        </w:rPr>
        <w:t>1961</w:t>
      </w:r>
      <w:r w:rsidRPr="00663762">
        <w:rPr>
          <w:rtl/>
        </w:rPr>
        <w:t xml:space="preserve"> الملغى </w:t>
      </w:r>
      <w:r>
        <w:rPr>
          <w:rFonts w:hint="cs"/>
          <w:rtl/>
        </w:rPr>
        <w:t xml:space="preserve">الذي </w:t>
      </w:r>
      <w:r w:rsidRPr="00663762">
        <w:rPr>
          <w:rtl/>
        </w:rPr>
        <w:t>كان يجيزها بالفعل" (</w:t>
      </w:r>
      <w:proofErr w:type="spellStart"/>
      <w:r w:rsidRPr="00621B71">
        <w:rPr>
          <w:rtl/>
        </w:rPr>
        <w:t>إدواردو</w:t>
      </w:r>
      <w:proofErr w:type="spellEnd"/>
      <w:r w:rsidRPr="00621B71">
        <w:rPr>
          <w:rtl/>
        </w:rPr>
        <w:t xml:space="preserve"> </w:t>
      </w:r>
      <w:proofErr w:type="spellStart"/>
      <w:r w:rsidRPr="00621B71">
        <w:rPr>
          <w:rtl/>
        </w:rPr>
        <w:t>مانويت</w:t>
      </w:r>
      <w:proofErr w:type="spellEnd"/>
      <w:r w:rsidRPr="00663762">
        <w:rPr>
          <w:rtl/>
        </w:rPr>
        <w:t xml:space="preserve">، الحكم رقم </w:t>
      </w:r>
      <w:r w:rsidRPr="00827326">
        <w:rPr>
          <w:rtl/>
        </w:rPr>
        <w:t>710</w:t>
      </w:r>
      <w:r w:rsidRPr="00663762">
        <w:rPr>
          <w:rtl/>
        </w:rPr>
        <w:t xml:space="preserve">، الصادر في </w:t>
      </w:r>
      <w:r w:rsidRPr="00827326">
        <w:rPr>
          <w:rtl/>
        </w:rPr>
        <w:t>9</w:t>
      </w:r>
      <w:r w:rsidRPr="00663762">
        <w:rPr>
          <w:rtl/>
        </w:rPr>
        <w:t xml:space="preserve"> تموز/يوليه </w:t>
      </w:r>
      <w:r w:rsidRPr="00827326">
        <w:rPr>
          <w:rtl/>
        </w:rPr>
        <w:t>2010</w:t>
      </w:r>
      <w:r w:rsidRPr="00621B71">
        <w:rPr>
          <w:rtl/>
        </w:rPr>
        <w:t>)</w:t>
      </w:r>
      <w:r w:rsidRPr="00663762">
        <w:rPr>
          <w:rtl/>
        </w:rPr>
        <w:t>.</w:t>
      </w:r>
    </w:p>
  </w:footnote>
  <w:footnote w:id="15">
    <w:p w14:paraId="246B7E48" w14:textId="6DB80C5E" w:rsidR="00621B71" w:rsidRPr="00BF23D0" w:rsidRDefault="00621B71" w:rsidP="00BF23D0">
      <w:pPr>
        <w:pStyle w:val="FootnoteText1"/>
        <w:textDirection w:val="tbRlV"/>
        <w:rPr>
          <w:spacing w:val="-4"/>
        </w:rPr>
      </w:pPr>
      <w:r w:rsidRPr="00BF23D0">
        <w:rPr>
          <w:spacing w:val="-4"/>
          <w:rtl/>
        </w:rPr>
        <w:t>(</w:t>
      </w:r>
      <w:r w:rsidRPr="00827326">
        <w:rPr>
          <w:rStyle w:val="FootnoteReference"/>
          <w:spacing w:val="-4"/>
          <w:vertAlign w:val="baseline"/>
        </w:rPr>
        <w:footnoteRef/>
      </w:r>
      <w:r w:rsidRPr="00BF23D0">
        <w:rPr>
          <w:spacing w:val="-4"/>
          <w:rtl/>
        </w:rPr>
        <w:t>)</w:t>
      </w:r>
      <w:r w:rsidRPr="00BF23D0">
        <w:rPr>
          <w:spacing w:val="-4"/>
          <w:rtl/>
        </w:rPr>
        <w:tab/>
        <w:t xml:space="preserve">تشير الدولة الطرف إلى ما يلي: "من الضروري، في الإجراءات الجنائية الحالية، أن يمثل المدعى عليه أمام </w:t>
      </w:r>
      <w:r w:rsidRPr="00BF23D0">
        <w:rPr>
          <w:rFonts w:hint="cs"/>
          <w:spacing w:val="-4"/>
          <w:rtl/>
        </w:rPr>
        <w:t xml:space="preserve">المحكمة </w:t>
      </w:r>
      <w:r w:rsidRPr="00BF23D0">
        <w:rPr>
          <w:spacing w:val="-4"/>
          <w:rtl/>
        </w:rPr>
        <w:t xml:space="preserve">كي </w:t>
      </w:r>
      <w:r w:rsidRPr="00BF23D0">
        <w:rPr>
          <w:rFonts w:hint="cs"/>
          <w:spacing w:val="-4"/>
          <w:rtl/>
        </w:rPr>
        <w:t>ت</w:t>
      </w:r>
      <w:r w:rsidRPr="00BF23D0">
        <w:rPr>
          <w:spacing w:val="-4"/>
          <w:rtl/>
        </w:rPr>
        <w:t>بت في جلسة علنية وبحضور جميع الأطراف في أي طلب يقدمه المدعى عليه ويسعى من خلاله إلى تعزيز وضعه بالاحتجاج بحقوقه؛ ويعني قبول خلاف ذلك تجاهل أحكام الدستور [...]، والموافقة بالتالي على سلوك المدعى عليه في هذه القضية المتسم بالمراوغة والعصيان [...]، حيث رفض الخضوع للعدالة الفنزويلية ويسعى، رغم ذلك، إلى الاستفادة من الحقوق والضمانات المترتبة - حسبما يدعي - على أحكام البراءة" (</w:t>
      </w:r>
      <w:r w:rsidRPr="00827326">
        <w:rPr>
          <w:i/>
          <w:iCs/>
          <w:spacing w:val="-4"/>
          <w:rtl/>
        </w:rPr>
        <w:t xml:space="preserve">فرناندو </w:t>
      </w:r>
      <w:proofErr w:type="spellStart"/>
      <w:r w:rsidRPr="00827326">
        <w:rPr>
          <w:i/>
          <w:iCs/>
          <w:spacing w:val="-4"/>
          <w:rtl/>
        </w:rPr>
        <w:t>بيريث</w:t>
      </w:r>
      <w:proofErr w:type="spellEnd"/>
      <w:r w:rsidRPr="00827326">
        <w:rPr>
          <w:i/>
          <w:iCs/>
          <w:spacing w:val="-4"/>
          <w:rtl/>
        </w:rPr>
        <w:t xml:space="preserve"> أمادو</w:t>
      </w:r>
      <w:r w:rsidRPr="00BF23D0">
        <w:rPr>
          <w:spacing w:val="-4"/>
          <w:rtl/>
        </w:rPr>
        <w:t xml:space="preserve">، الحكم رقم </w:t>
      </w:r>
      <w:r w:rsidRPr="00827326">
        <w:rPr>
          <w:spacing w:val="-4"/>
          <w:rtl/>
        </w:rPr>
        <w:t>365</w:t>
      </w:r>
      <w:r w:rsidRPr="00BF23D0">
        <w:rPr>
          <w:spacing w:val="-4"/>
          <w:rtl/>
        </w:rPr>
        <w:t xml:space="preserve">، الصادر عن الدائرة الدستورية في محكمة العدل العليا، في </w:t>
      </w:r>
      <w:r w:rsidRPr="00827326">
        <w:rPr>
          <w:spacing w:val="-4"/>
          <w:rtl/>
        </w:rPr>
        <w:t>10</w:t>
      </w:r>
      <w:r w:rsidRPr="00BF23D0">
        <w:rPr>
          <w:spacing w:val="-4"/>
          <w:rtl/>
        </w:rPr>
        <w:t xml:space="preserve"> أيار/مايو </w:t>
      </w:r>
      <w:r w:rsidRPr="00827326">
        <w:rPr>
          <w:spacing w:val="-4"/>
          <w:rtl/>
        </w:rPr>
        <w:t>2010</w:t>
      </w:r>
      <w:r w:rsidRPr="00BF23D0">
        <w:rPr>
          <w:spacing w:val="-4"/>
          <w:rtl/>
        </w:rPr>
        <w:t xml:space="preserve">). </w:t>
      </w:r>
    </w:p>
  </w:footnote>
  <w:footnote w:id="16">
    <w:p w14:paraId="38DB7D5E" w14:textId="5B5A5097" w:rsidR="00621B71" w:rsidRPr="00621B71" w:rsidRDefault="00621B71" w:rsidP="00BF23D0">
      <w:pPr>
        <w:pStyle w:val="FootnoteText1"/>
        <w:textDirection w:val="tbRlV"/>
      </w:pPr>
      <w:r w:rsidRPr="00621B71">
        <w:rPr>
          <w:rtl/>
        </w:rPr>
        <w:t>(</w:t>
      </w:r>
      <w:r w:rsidRPr="00827326">
        <w:rPr>
          <w:rStyle w:val="FootnoteReference"/>
          <w:vertAlign w:val="baseline"/>
        </w:rPr>
        <w:footnoteRef/>
      </w:r>
      <w:r w:rsidRPr="00621B71">
        <w:rPr>
          <w:rtl/>
        </w:rPr>
        <w:t>)</w:t>
      </w:r>
      <w:r>
        <w:rPr>
          <w:rtl/>
        </w:rPr>
        <w:tab/>
      </w:r>
      <w:r w:rsidRPr="00663762">
        <w:rPr>
          <w:rtl/>
        </w:rPr>
        <w:t xml:space="preserve">تشير الدولة الطرف إلى ستة أحكام أخرى صادرة عن محكمة العدل العليا، منها حكمها المطعون فيه، الصادر في </w:t>
      </w:r>
      <w:r w:rsidRPr="00827326">
        <w:rPr>
          <w:rtl/>
        </w:rPr>
        <w:t>6</w:t>
      </w:r>
      <w:r w:rsidRPr="00663762">
        <w:rPr>
          <w:rtl/>
        </w:rPr>
        <w:t xml:space="preserve"> حزيران/</w:t>
      </w:r>
      <w:r w:rsidR="00827326">
        <w:rPr>
          <w:rFonts w:hint="cs"/>
          <w:rtl/>
        </w:rPr>
        <w:t xml:space="preserve"> </w:t>
      </w:r>
      <w:proofErr w:type="gramStart"/>
      <w:r w:rsidRPr="00663762">
        <w:rPr>
          <w:rtl/>
        </w:rPr>
        <w:t>يونيه</w:t>
      </w:r>
      <w:proofErr w:type="gramEnd"/>
      <w:r w:rsidRPr="00663762">
        <w:rPr>
          <w:rtl/>
        </w:rPr>
        <w:t xml:space="preserve"> </w:t>
      </w:r>
      <w:r w:rsidRPr="00827326">
        <w:rPr>
          <w:rtl/>
        </w:rPr>
        <w:t>2011</w:t>
      </w:r>
      <w:r w:rsidRPr="00663762">
        <w:rPr>
          <w:rtl/>
        </w:rPr>
        <w:t>، الذي قضى برفض تعيين محامي صاحب البلاغ.</w:t>
      </w:r>
    </w:p>
  </w:footnote>
  <w:footnote w:id="17">
    <w:p w14:paraId="5F55C369" w14:textId="4F118909" w:rsidR="00621B71" w:rsidRPr="00621B71" w:rsidRDefault="00621B71" w:rsidP="00BF23D0">
      <w:pPr>
        <w:pStyle w:val="FootnoteText1"/>
        <w:textDirection w:val="tbRlV"/>
      </w:pPr>
      <w:r w:rsidRPr="00621B71">
        <w:rPr>
          <w:rtl/>
        </w:rPr>
        <w:t>(</w:t>
      </w:r>
      <w:r w:rsidRPr="00827326">
        <w:rPr>
          <w:rStyle w:val="FootnoteReference"/>
          <w:vertAlign w:val="baseline"/>
        </w:rPr>
        <w:footnoteRef/>
      </w:r>
      <w:r w:rsidRPr="00621B71">
        <w:rPr>
          <w:rtl/>
        </w:rPr>
        <w:t>)</w:t>
      </w:r>
      <w:r>
        <w:rPr>
          <w:rtl/>
        </w:rPr>
        <w:tab/>
      </w:r>
      <w:r w:rsidRPr="00827326">
        <w:rPr>
          <w:i/>
          <w:iCs/>
          <w:rtl/>
        </w:rPr>
        <w:t xml:space="preserve">إنريكي أنطونيو مدينا </w:t>
      </w:r>
      <w:proofErr w:type="spellStart"/>
      <w:r w:rsidRPr="00827326">
        <w:rPr>
          <w:i/>
          <w:iCs/>
          <w:rtl/>
        </w:rPr>
        <w:t>غوميث</w:t>
      </w:r>
      <w:proofErr w:type="spellEnd"/>
      <w:r w:rsidRPr="00663762">
        <w:rPr>
          <w:rtl/>
        </w:rPr>
        <w:t xml:space="preserve">، الحكم رقم </w:t>
      </w:r>
      <w:r w:rsidRPr="00827326">
        <w:rPr>
          <w:rtl/>
        </w:rPr>
        <w:t>3654</w:t>
      </w:r>
      <w:r w:rsidRPr="00663762">
        <w:rPr>
          <w:rtl/>
        </w:rPr>
        <w:t xml:space="preserve">، الصادر في </w:t>
      </w:r>
      <w:r w:rsidRPr="00827326">
        <w:rPr>
          <w:rtl/>
        </w:rPr>
        <w:t>6</w:t>
      </w:r>
      <w:r w:rsidRPr="00663762">
        <w:rPr>
          <w:rtl/>
        </w:rPr>
        <w:t xml:space="preserve"> كانون الأول/ديسمبر </w:t>
      </w:r>
      <w:r w:rsidRPr="00827326">
        <w:rPr>
          <w:rtl/>
        </w:rPr>
        <w:t>2005</w:t>
      </w:r>
      <w:r w:rsidRPr="00621B71">
        <w:rPr>
          <w:rtl/>
        </w:rPr>
        <w:t>.</w:t>
      </w:r>
      <w:r w:rsidRPr="00663762">
        <w:rPr>
          <w:rtl/>
        </w:rPr>
        <w:t xml:space="preserve"> وتستشهد الدولة الطرف بحُكمين آخرين لمحكمة العدل العليا يؤيدان هذ</w:t>
      </w:r>
      <w:r>
        <w:rPr>
          <w:rFonts w:hint="cs"/>
          <w:rtl/>
        </w:rPr>
        <w:t>ا المبدأ</w:t>
      </w:r>
      <w:r w:rsidRPr="00663762">
        <w:rPr>
          <w:rtl/>
        </w:rPr>
        <w:t>.</w:t>
      </w:r>
    </w:p>
  </w:footnote>
  <w:footnote w:id="18">
    <w:p w14:paraId="2FE8F659" w14:textId="4BB49950" w:rsidR="00621B71" w:rsidRPr="00621B71" w:rsidRDefault="00621B71" w:rsidP="00BF23D0">
      <w:pPr>
        <w:pStyle w:val="FootnoteText1"/>
        <w:textDirection w:val="tbRlV"/>
      </w:pPr>
      <w:r w:rsidRPr="00621B71">
        <w:rPr>
          <w:rtl/>
        </w:rPr>
        <w:t>(</w:t>
      </w:r>
      <w:r w:rsidRPr="00827326">
        <w:rPr>
          <w:rStyle w:val="FootnoteReference"/>
          <w:vertAlign w:val="baseline"/>
        </w:rPr>
        <w:footnoteRef/>
      </w:r>
      <w:r w:rsidRPr="00621B71">
        <w:rPr>
          <w:rtl/>
        </w:rPr>
        <w:t>)</w:t>
      </w:r>
      <w:r>
        <w:rPr>
          <w:rtl/>
        </w:rPr>
        <w:tab/>
      </w:r>
      <w:proofErr w:type="spellStart"/>
      <w:r w:rsidRPr="00827326">
        <w:rPr>
          <w:i/>
          <w:iCs/>
          <w:rtl/>
        </w:rPr>
        <w:t>بريوير</w:t>
      </w:r>
      <w:proofErr w:type="spellEnd"/>
      <w:r w:rsidRPr="00827326">
        <w:rPr>
          <w:i/>
          <w:iCs/>
          <w:rtl/>
        </w:rPr>
        <w:t xml:space="preserve"> </w:t>
      </w:r>
      <w:proofErr w:type="spellStart"/>
      <w:r w:rsidRPr="00827326">
        <w:rPr>
          <w:i/>
          <w:iCs/>
          <w:rtl/>
        </w:rPr>
        <w:t>كارياس</w:t>
      </w:r>
      <w:proofErr w:type="spellEnd"/>
      <w:r w:rsidRPr="00827326">
        <w:rPr>
          <w:i/>
          <w:iCs/>
          <w:rtl/>
        </w:rPr>
        <w:t xml:space="preserve"> ضد فنزويلا</w:t>
      </w:r>
      <w:r w:rsidRPr="00663762">
        <w:rPr>
          <w:rtl/>
        </w:rPr>
        <w:t xml:space="preserve">، الحكم الصادر في </w:t>
      </w:r>
      <w:r w:rsidRPr="00827326">
        <w:rPr>
          <w:rtl/>
        </w:rPr>
        <w:t>26</w:t>
      </w:r>
      <w:r w:rsidRPr="00663762">
        <w:rPr>
          <w:rtl/>
        </w:rPr>
        <w:t xml:space="preserve"> أيار/مايو </w:t>
      </w:r>
      <w:r w:rsidRPr="00827326">
        <w:rPr>
          <w:rtl/>
        </w:rPr>
        <w:t>2014</w:t>
      </w:r>
      <w:r w:rsidRPr="00621B71">
        <w:rPr>
          <w:rtl/>
        </w:rPr>
        <w:t xml:space="preserve"> (</w:t>
      </w:r>
      <w:r w:rsidRPr="00663762">
        <w:rPr>
          <w:rtl/>
        </w:rPr>
        <w:t>اعتراضات أولية</w:t>
      </w:r>
      <w:r w:rsidRPr="00621B71">
        <w:rPr>
          <w:rtl/>
        </w:rPr>
        <w:t>)</w:t>
      </w:r>
      <w:r w:rsidRPr="00663762">
        <w:rPr>
          <w:rtl/>
        </w:rPr>
        <w:t xml:space="preserve">، السلسلة جيم، رقم </w:t>
      </w:r>
      <w:r w:rsidRPr="00827326">
        <w:rPr>
          <w:rtl/>
        </w:rPr>
        <w:t>278</w:t>
      </w:r>
      <w:r w:rsidRPr="00663762">
        <w:rPr>
          <w:rtl/>
        </w:rPr>
        <w:t xml:space="preserve">، الفقرة </w:t>
      </w:r>
      <w:r w:rsidRPr="00827326">
        <w:rPr>
          <w:rtl/>
        </w:rPr>
        <w:t>134</w:t>
      </w:r>
      <w:r w:rsidRPr="00663762">
        <w:rPr>
          <w:rtl/>
        </w:rPr>
        <w:t>.</w:t>
      </w:r>
    </w:p>
  </w:footnote>
  <w:footnote w:id="19">
    <w:p w14:paraId="2EEC1292" w14:textId="11807A29" w:rsidR="00621B71" w:rsidRPr="00BF23D0" w:rsidRDefault="00621B71" w:rsidP="00621B71">
      <w:pPr>
        <w:pStyle w:val="FootnoteText1"/>
        <w:textDirection w:val="tbRlV"/>
        <w:rPr>
          <w:spacing w:val="-4"/>
        </w:rPr>
      </w:pPr>
      <w:r w:rsidRPr="00BF23D0">
        <w:rPr>
          <w:spacing w:val="-4"/>
          <w:rtl/>
        </w:rPr>
        <w:t>(</w:t>
      </w:r>
      <w:r w:rsidRPr="00827326">
        <w:rPr>
          <w:rStyle w:val="FootnoteReference"/>
          <w:spacing w:val="-4"/>
          <w:vertAlign w:val="baseline"/>
        </w:rPr>
        <w:footnoteRef/>
      </w:r>
      <w:r w:rsidRPr="00BF23D0">
        <w:rPr>
          <w:spacing w:val="-4"/>
          <w:rtl/>
        </w:rPr>
        <w:t>)</w:t>
      </w:r>
      <w:r w:rsidRPr="00BF23D0">
        <w:rPr>
          <w:spacing w:val="-4"/>
          <w:rtl/>
        </w:rPr>
        <w:tab/>
        <w:t xml:space="preserve">يستشهد صاحب البلاغ، في جملة قضايا أخرى، بقضية </w:t>
      </w:r>
      <w:proofErr w:type="spellStart"/>
      <w:r w:rsidRPr="00827326">
        <w:rPr>
          <w:i/>
          <w:iCs/>
          <w:spacing w:val="-4"/>
          <w:rtl/>
        </w:rPr>
        <w:t>أهولياب</w:t>
      </w:r>
      <w:proofErr w:type="spellEnd"/>
      <w:r w:rsidRPr="00827326">
        <w:rPr>
          <w:i/>
          <w:iCs/>
          <w:spacing w:val="-4"/>
          <w:rtl/>
        </w:rPr>
        <w:t xml:space="preserve"> </w:t>
      </w:r>
      <w:proofErr w:type="spellStart"/>
      <w:r w:rsidRPr="00827326">
        <w:rPr>
          <w:i/>
          <w:iCs/>
          <w:spacing w:val="-4"/>
          <w:rtl/>
        </w:rPr>
        <w:t>إدواردو</w:t>
      </w:r>
      <w:proofErr w:type="spellEnd"/>
      <w:r w:rsidRPr="00827326">
        <w:rPr>
          <w:i/>
          <w:iCs/>
          <w:spacing w:val="-4"/>
          <w:rtl/>
        </w:rPr>
        <w:t xml:space="preserve"> </w:t>
      </w:r>
      <w:proofErr w:type="spellStart"/>
      <w:r w:rsidRPr="00827326">
        <w:rPr>
          <w:i/>
          <w:iCs/>
          <w:spacing w:val="-4"/>
          <w:rtl/>
        </w:rPr>
        <w:t>توليدانو</w:t>
      </w:r>
      <w:proofErr w:type="spellEnd"/>
      <w:r w:rsidRPr="00827326">
        <w:rPr>
          <w:i/>
          <w:iCs/>
          <w:spacing w:val="-4"/>
          <w:rtl/>
        </w:rPr>
        <w:t xml:space="preserve"> أبادي</w:t>
      </w:r>
      <w:r w:rsidRPr="00BF23D0">
        <w:rPr>
          <w:spacing w:val="-4"/>
          <w:rtl/>
        </w:rPr>
        <w:t xml:space="preserve">، الحكم رقم </w:t>
      </w:r>
      <w:r w:rsidRPr="00827326">
        <w:rPr>
          <w:spacing w:val="-4"/>
          <w:rtl/>
        </w:rPr>
        <w:t>186</w:t>
      </w:r>
      <w:r w:rsidRPr="00BF23D0">
        <w:rPr>
          <w:spacing w:val="-4"/>
          <w:rtl/>
        </w:rPr>
        <w:t xml:space="preserve"> الصادر عن دائرة النقض الجنائية في محكمة العدل العليا، في </w:t>
      </w:r>
      <w:r w:rsidRPr="00827326">
        <w:rPr>
          <w:spacing w:val="-4"/>
          <w:rtl/>
        </w:rPr>
        <w:t>8</w:t>
      </w:r>
      <w:r w:rsidRPr="00BF23D0">
        <w:rPr>
          <w:spacing w:val="-4"/>
          <w:rtl/>
        </w:rPr>
        <w:t xml:space="preserve"> نيسان/أبريل </w:t>
      </w:r>
      <w:r w:rsidRPr="00827326">
        <w:rPr>
          <w:spacing w:val="-4"/>
          <w:rtl/>
        </w:rPr>
        <w:t>2008</w:t>
      </w:r>
      <w:r w:rsidRPr="00BF23D0">
        <w:rPr>
          <w:rFonts w:hint="cs"/>
          <w:spacing w:val="-4"/>
          <w:rtl/>
        </w:rPr>
        <w:t>، الذي يرد فيه ما يلي</w:t>
      </w:r>
      <w:r w:rsidRPr="00BF23D0">
        <w:rPr>
          <w:spacing w:val="-4"/>
          <w:rtl/>
        </w:rPr>
        <w:t xml:space="preserve">: "تجدر الإشارة إلى أن لائحة الاتهام الرسمية </w:t>
      </w:r>
      <w:r w:rsidRPr="00BF23D0">
        <w:rPr>
          <w:rFonts w:hint="cs"/>
          <w:spacing w:val="-4"/>
          <w:rtl/>
        </w:rPr>
        <w:t xml:space="preserve">تكتسي </w:t>
      </w:r>
      <w:r w:rsidRPr="00BF23D0">
        <w:rPr>
          <w:spacing w:val="-4"/>
          <w:rtl/>
        </w:rPr>
        <w:t xml:space="preserve">أهمية أساسية في الإجراءات، ولا سيما بالنسبة للمتهم، وتتضمن تفاصيل لا يمكن تجاهلها. ويعني ذلك: "... أن إعداد لائحة الاتهام الرسمية إجراء من اختصاص النيابة العامة، التي تستدعي الشخص المعني </w:t>
      </w:r>
      <w:r w:rsidRPr="00BF23D0">
        <w:rPr>
          <w:rFonts w:hint="cs"/>
          <w:spacing w:val="-4"/>
          <w:rtl/>
        </w:rPr>
        <w:t>ب</w:t>
      </w:r>
      <w:r w:rsidRPr="00BF23D0">
        <w:rPr>
          <w:spacing w:val="-4"/>
          <w:rtl/>
        </w:rPr>
        <w:t xml:space="preserve">التحقيق ثم تبلغه رسمياً، في حضور محاميه، بالمبدأ الدستوري الذي يعفيه من الإدلاء بأي إفادة، ومن أداء اليمين في حالة الإدلاء بها؛ </w:t>
      </w:r>
      <w:r w:rsidRPr="00827326">
        <w:rPr>
          <w:i/>
          <w:iCs/>
          <w:spacing w:val="-4"/>
          <w:rtl/>
        </w:rPr>
        <w:t xml:space="preserve">وتبلغه أيضاً بالأفعال موضوع التحقيق وبوقت ومكان وكيفية ارتكابها، وتصنيفها الجنائي، وأدلة الإثبات التي تربطه بالتحقيق، وإمكانية الاطلاع على ملف القضية، وفقاً للمواد 8، و125، و126، و130، و131 من قانون الإجراءات الجنائية ...". </w:t>
      </w:r>
      <w:r w:rsidRPr="00BF23D0">
        <w:rPr>
          <w:spacing w:val="-4"/>
          <w:rtl/>
        </w:rPr>
        <w:t xml:space="preserve">[...] وبالتالي، تلاحظ هذه الدائرة أن عدم وضع لائحة الاتهام الرسمية [...]، أدى إلى وقوع انتهاك للمادة </w:t>
      </w:r>
      <w:r w:rsidRPr="00827326">
        <w:rPr>
          <w:spacing w:val="-4"/>
          <w:rtl/>
        </w:rPr>
        <w:t>49</w:t>
      </w:r>
      <w:r w:rsidRPr="00BF23D0">
        <w:rPr>
          <w:spacing w:val="-4"/>
          <w:rtl/>
        </w:rPr>
        <w:t>(</w:t>
      </w:r>
      <w:r w:rsidRPr="00827326">
        <w:rPr>
          <w:spacing w:val="-4"/>
          <w:rtl/>
        </w:rPr>
        <w:t>1</w:t>
      </w:r>
      <w:r w:rsidRPr="00BF23D0">
        <w:rPr>
          <w:spacing w:val="-4"/>
          <w:rtl/>
        </w:rPr>
        <w:t xml:space="preserve">) من دستور جمهورية فنزويلا البوليفارية والمادة </w:t>
      </w:r>
      <w:r w:rsidRPr="00827326">
        <w:rPr>
          <w:spacing w:val="-4"/>
          <w:rtl/>
        </w:rPr>
        <w:t>125</w:t>
      </w:r>
      <w:r w:rsidRPr="00BF23D0">
        <w:rPr>
          <w:spacing w:val="-4"/>
          <w:rtl/>
        </w:rPr>
        <w:t>(</w:t>
      </w:r>
      <w:r w:rsidRPr="00827326">
        <w:rPr>
          <w:spacing w:val="-4"/>
          <w:rtl/>
        </w:rPr>
        <w:t>1</w:t>
      </w:r>
      <w:r w:rsidRPr="00BF23D0">
        <w:rPr>
          <w:spacing w:val="-4"/>
          <w:rtl/>
        </w:rPr>
        <w:t>) من قانون الإجراءات الجنائية، فيما يتعلق بحق المتهم في الدفاع".</w:t>
      </w:r>
    </w:p>
  </w:footnote>
  <w:footnote w:id="20">
    <w:p w14:paraId="715973D2" w14:textId="1B35A94B" w:rsidR="00621B71" w:rsidRPr="00827326" w:rsidRDefault="00621B71" w:rsidP="00621B71">
      <w:pPr>
        <w:pStyle w:val="FootnoteText1"/>
        <w:textDirection w:val="tbRlV"/>
        <w:rPr>
          <w:spacing w:val="-4"/>
        </w:rPr>
      </w:pPr>
      <w:r w:rsidRPr="00827326">
        <w:rPr>
          <w:rtl/>
        </w:rPr>
        <w:t>(</w:t>
      </w:r>
      <w:r w:rsidRPr="00827326">
        <w:rPr>
          <w:rStyle w:val="FootnoteReference"/>
          <w:vertAlign w:val="baseline"/>
        </w:rPr>
        <w:footnoteRef/>
      </w:r>
      <w:r w:rsidRPr="00827326">
        <w:rPr>
          <w:rtl/>
        </w:rPr>
        <w:t>)</w:t>
      </w:r>
      <w:r w:rsidRPr="00827326">
        <w:rPr>
          <w:rtl/>
        </w:rPr>
        <w:tab/>
        <w:t>قدمت أمانة لجنة الرقابة على محفوظات الإنتربول في رسالتها إلى صاحب البلاغ التوضيح التالي</w:t>
      </w:r>
      <w:r w:rsidR="00F15D99" w:rsidRPr="00827326">
        <w:rPr>
          <w:rFonts w:hint="cs"/>
          <w:rtl/>
        </w:rPr>
        <w:t xml:space="preserve">: </w:t>
      </w:r>
      <w:r w:rsidRPr="00827326">
        <w:rPr>
          <w:rtl/>
        </w:rPr>
        <w:t xml:space="preserve">"رأت اللجنة، في ضوء المعلومات المتاحة لها، أن المعلومات المتعلقة بك في ملفات الإنتربول تثير شكوكاً بشأن الامتثال للقواعد المنطبقة. وبناء على توصية اللجنة، حذفت الإنتربول في البداية من موقعها الشبكي مقطع النشرة الحمراء المنشور بخصوصك ومنعت وصول البلدان الأعضاء في الإنتربول إلى المعلومات المعنية. ورأت اللجنة في الختام، بعد إعادة النظر في جميع المعلومات المتاحة لها خلال دورتها الثالثة والثمانين (أيار/مايو 2012)، أن القضية المباشرةَ ضدك يغلب عليها الطابع السياسي، وتندرج بالتالي في نطاق </w:t>
      </w:r>
      <w:r w:rsidRPr="00827326">
        <w:rPr>
          <w:spacing w:val="-4"/>
          <w:rtl/>
        </w:rPr>
        <w:t>المادة 3 من القانون الأساسي للإنتربول. وبناء على توصية اللجنة، حُذفت المعلومات المتعلقة بك المطعون فيها من ملفات الإنتربول".</w:t>
      </w:r>
    </w:p>
  </w:footnote>
  <w:footnote w:id="21">
    <w:p w14:paraId="6EA82780" w14:textId="363EC914" w:rsidR="00621B71" w:rsidRPr="00621B71" w:rsidRDefault="00621B71" w:rsidP="00621B71">
      <w:pPr>
        <w:pStyle w:val="FootnoteText1"/>
        <w:textDirection w:val="tbRlV"/>
      </w:pPr>
      <w:r w:rsidRPr="00621B71">
        <w:rPr>
          <w:rtl/>
        </w:rPr>
        <w:t>(</w:t>
      </w:r>
      <w:r w:rsidRPr="00827326">
        <w:rPr>
          <w:rStyle w:val="FootnoteReference"/>
          <w:vertAlign w:val="baseline"/>
        </w:rPr>
        <w:footnoteRef/>
      </w:r>
      <w:r w:rsidRPr="00621B71">
        <w:rPr>
          <w:rtl/>
        </w:rPr>
        <w:t>)</w:t>
      </w:r>
      <w:r>
        <w:rPr>
          <w:rtl/>
        </w:rPr>
        <w:tab/>
      </w:r>
      <w:proofErr w:type="spellStart"/>
      <w:r w:rsidRPr="00827326">
        <w:rPr>
          <w:i/>
          <w:iCs/>
          <w:rtl/>
        </w:rPr>
        <w:t>سيدينيو</w:t>
      </w:r>
      <w:proofErr w:type="spellEnd"/>
      <w:r w:rsidRPr="00827326">
        <w:rPr>
          <w:i/>
          <w:iCs/>
          <w:rtl/>
        </w:rPr>
        <w:t xml:space="preserve"> ضد فنزويلا</w:t>
      </w:r>
      <w:r w:rsidRPr="00663762">
        <w:rPr>
          <w:rtl/>
        </w:rPr>
        <w:t xml:space="preserve">، </w:t>
      </w:r>
      <w:r w:rsidRPr="00621B71">
        <w:rPr>
          <w:rtl/>
        </w:rPr>
        <w:t>(</w:t>
      </w:r>
      <w:r w:rsidRPr="00621B71">
        <w:t>CCPR/C/</w:t>
      </w:r>
      <w:r w:rsidRPr="00827326">
        <w:t>106</w:t>
      </w:r>
      <w:r w:rsidRPr="00621B71">
        <w:t>/D/</w:t>
      </w:r>
      <w:r w:rsidRPr="00827326">
        <w:t>1940</w:t>
      </w:r>
      <w:r w:rsidRPr="00621B71">
        <w:t>/</w:t>
      </w:r>
      <w:r w:rsidRPr="00827326">
        <w:t>2010</w:t>
      </w:r>
      <w:r w:rsidRPr="00621B71">
        <w:rPr>
          <w:rtl/>
        </w:rPr>
        <w:t>)</w:t>
      </w:r>
      <w:r w:rsidRPr="00663762">
        <w:rPr>
          <w:rtl/>
        </w:rPr>
        <w:t xml:space="preserve">، الفقرة </w:t>
      </w:r>
      <w:r w:rsidRPr="00827326">
        <w:rPr>
          <w:rtl/>
        </w:rPr>
        <w:t>6</w:t>
      </w:r>
      <w:r w:rsidRPr="00621B71">
        <w:rPr>
          <w:rtl/>
        </w:rPr>
        <w:t>-</w:t>
      </w:r>
      <w:r w:rsidRPr="00827326">
        <w:rPr>
          <w:rtl/>
        </w:rPr>
        <w:t>3</w:t>
      </w:r>
      <w:r w:rsidRPr="00663762">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4754" w14:textId="2FF55613" w:rsidR="00621B71" w:rsidRPr="00157620" w:rsidRDefault="00621B71" w:rsidP="00157620">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A557C">
      <w:t>CCPR/C/132/D/2833/2016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C04" w14:textId="358A24A8" w:rsidR="00621B71" w:rsidRPr="00157620" w:rsidRDefault="00621B71" w:rsidP="00157620">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7A557C">
      <w:t>CCPR/C/132/D/2833/2016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DB"/>
    <w:rsid w:val="000076D5"/>
    <w:rsid w:val="00043663"/>
    <w:rsid w:val="000437B8"/>
    <w:rsid w:val="000505CF"/>
    <w:rsid w:val="000D701C"/>
    <w:rsid w:val="000E2A71"/>
    <w:rsid w:val="00145577"/>
    <w:rsid w:val="00157620"/>
    <w:rsid w:val="00160263"/>
    <w:rsid w:val="00181F96"/>
    <w:rsid w:val="001872B1"/>
    <w:rsid w:val="001A1371"/>
    <w:rsid w:val="001B043F"/>
    <w:rsid w:val="001B346A"/>
    <w:rsid w:val="001E1CAD"/>
    <w:rsid w:val="001E290D"/>
    <w:rsid w:val="002144FA"/>
    <w:rsid w:val="0023469A"/>
    <w:rsid w:val="00243C8A"/>
    <w:rsid w:val="00267A0E"/>
    <w:rsid w:val="002901D9"/>
    <w:rsid w:val="002976C2"/>
    <w:rsid w:val="003068BC"/>
    <w:rsid w:val="003260FF"/>
    <w:rsid w:val="00343D95"/>
    <w:rsid w:val="00363A18"/>
    <w:rsid w:val="00374341"/>
    <w:rsid w:val="003D1062"/>
    <w:rsid w:val="003D566D"/>
    <w:rsid w:val="003D7015"/>
    <w:rsid w:val="00402051"/>
    <w:rsid w:val="00420D7B"/>
    <w:rsid w:val="00450B21"/>
    <w:rsid w:val="00453B63"/>
    <w:rsid w:val="00455780"/>
    <w:rsid w:val="0046323F"/>
    <w:rsid w:val="004B0A1C"/>
    <w:rsid w:val="004B27E0"/>
    <w:rsid w:val="004D298E"/>
    <w:rsid w:val="005044B3"/>
    <w:rsid w:val="00517BC9"/>
    <w:rsid w:val="0054472E"/>
    <w:rsid w:val="005662A9"/>
    <w:rsid w:val="005827D4"/>
    <w:rsid w:val="0058508B"/>
    <w:rsid w:val="00594860"/>
    <w:rsid w:val="0059622A"/>
    <w:rsid w:val="005B51C4"/>
    <w:rsid w:val="005C0061"/>
    <w:rsid w:val="005C5878"/>
    <w:rsid w:val="005C7CEA"/>
    <w:rsid w:val="005D3C0B"/>
    <w:rsid w:val="005E5217"/>
    <w:rsid w:val="005F0FA4"/>
    <w:rsid w:val="005F30EE"/>
    <w:rsid w:val="005F5271"/>
    <w:rsid w:val="0060473A"/>
    <w:rsid w:val="00617024"/>
    <w:rsid w:val="00621120"/>
    <w:rsid w:val="00621B71"/>
    <w:rsid w:val="00652221"/>
    <w:rsid w:val="00656392"/>
    <w:rsid w:val="006645EC"/>
    <w:rsid w:val="0068781D"/>
    <w:rsid w:val="006959B0"/>
    <w:rsid w:val="006B3E27"/>
    <w:rsid w:val="006B6507"/>
    <w:rsid w:val="006C104C"/>
    <w:rsid w:val="006C632E"/>
    <w:rsid w:val="00701762"/>
    <w:rsid w:val="00717FB3"/>
    <w:rsid w:val="00730446"/>
    <w:rsid w:val="00733704"/>
    <w:rsid w:val="0078071A"/>
    <w:rsid w:val="00787022"/>
    <w:rsid w:val="00787E1E"/>
    <w:rsid w:val="007A557C"/>
    <w:rsid w:val="00827326"/>
    <w:rsid w:val="00852A9A"/>
    <w:rsid w:val="008A49D2"/>
    <w:rsid w:val="008F49E1"/>
    <w:rsid w:val="0090370F"/>
    <w:rsid w:val="00917A3D"/>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97E1F"/>
    <w:rsid w:val="00AB512E"/>
    <w:rsid w:val="00AB6758"/>
    <w:rsid w:val="00AB727F"/>
    <w:rsid w:val="00B13763"/>
    <w:rsid w:val="00B477A4"/>
    <w:rsid w:val="00B54045"/>
    <w:rsid w:val="00B63ADD"/>
    <w:rsid w:val="00BB09A0"/>
    <w:rsid w:val="00BF23D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20AC6"/>
    <w:rsid w:val="00D42810"/>
    <w:rsid w:val="00D60DD5"/>
    <w:rsid w:val="00D914A7"/>
    <w:rsid w:val="00DC4D4B"/>
    <w:rsid w:val="00DD13C3"/>
    <w:rsid w:val="00DD596E"/>
    <w:rsid w:val="00DD621E"/>
    <w:rsid w:val="00DE50B1"/>
    <w:rsid w:val="00DF0138"/>
    <w:rsid w:val="00DF0575"/>
    <w:rsid w:val="00E2228E"/>
    <w:rsid w:val="00E34EE7"/>
    <w:rsid w:val="00E70E04"/>
    <w:rsid w:val="00E77E6C"/>
    <w:rsid w:val="00E83ED5"/>
    <w:rsid w:val="00EC05A7"/>
    <w:rsid w:val="00EC4B6B"/>
    <w:rsid w:val="00EC68A5"/>
    <w:rsid w:val="00ED7442"/>
    <w:rsid w:val="00EF1EE5"/>
    <w:rsid w:val="00EF5C43"/>
    <w:rsid w:val="00F10DAB"/>
    <w:rsid w:val="00F15D99"/>
    <w:rsid w:val="00F46D42"/>
    <w:rsid w:val="00F60478"/>
    <w:rsid w:val="00F763B4"/>
    <w:rsid w:val="00F900C3"/>
    <w:rsid w:val="00FA40DB"/>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BD6D0A"/>
  <w15:docId w15:val="{4D56E84E-EEEF-4BA5-B9DD-3BC25B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9</Pages>
  <Words>2344</Words>
  <Characters>18545</Characters>
  <Application>Microsoft Office Word</Application>
  <DocSecurity>0</DocSecurity>
  <Lines>2060</Lines>
  <Paragraphs>1305</Paragraphs>
  <ScaleCrop>false</ScaleCrop>
  <HeadingPairs>
    <vt:vector size="2" baseType="variant">
      <vt:variant>
        <vt:lpstr>Title</vt:lpstr>
      </vt:variant>
      <vt:variant>
        <vt:i4>1</vt:i4>
      </vt:variant>
    </vt:vector>
  </HeadingPairs>
  <TitlesOfParts>
    <vt:vector size="1" baseType="lpstr">
      <vt:lpstr>CCPR/C/132/D/2833/2016</vt:lpstr>
    </vt:vector>
  </TitlesOfParts>
  <Company>DCM</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CCPR/C/132/D/2833/2016</dc:title>
  <dc:subject>GE.2112667(A)</dc:subject>
  <dc:creator>Gamal MAHMOUD - AGHA</dc:creator>
  <cp:keywords>GE.2124891(A)</cp:keywords>
  <dc:description>_x000d_
_x000d_
Arabic_x000d_
</dc:description>
  <cp:lastModifiedBy>Gamal MAHMOUD</cp:lastModifiedBy>
  <cp:revision>3</cp:revision>
  <cp:lastPrinted>2021-11-02T13:24:00Z</cp:lastPrinted>
  <dcterms:created xsi:type="dcterms:W3CDTF">2021-11-02T13:24:00Z</dcterms:created>
  <dcterms:modified xsi:type="dcterms:W3CDTF">2021-11-02T13:27:00Z</dcterms:modified>
  <cp:category>Finale</cp:category>
</cp:coreProperties>
</file>