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A79BE40" w14:textId="77777777" w:rsidTr="002B7BC7">
        <w:trPr>
          <w:trHeight w:hRule="exact" w:val="851"/>
        </w:trPr>
        <w:tc>
          <w:tcPr>
            <w:tcW w:w="1276" w:type="dxa"/>
            <w:tcBorders>
              <w:bottom w:val="single" w:sz="4" w:space="0" w:color="auto"/>
            </w:tcBorders>
          </w:tcPr>
          <w:p w14:paraId="514C9F80" w14:textId="77777777" w:rsidR="006F71EA" w:rsidRPr="00DB58B5" w:rsidRDefault="006F71EA" w:rsidP="007D2392"/>
        </w:tc>
        <w:tc>
          <w:tcPr>
            <w:tcW w:w="2268" w:type="dxa"/>
            <w:tcBorders>
              <w:bottom w:val="single" w:sz="4" w:space="0" w:color="auto"/>
            </w:tcBorders>
            <w:vAlign w:val="bottom"/>
          </w:tcPr>
          <w:p w14:paraId="038FDC6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07FCCB" w14:textId="5734CF4E" w:rsidR="006F71EA" w:rsidRPr="00DB58B5" w:rsidRDefault="007D2392" w:rsidP="007D2392">
            <w:pPr>
              <w:jc w:val="right"/>
            </w:pPr>
            <w:r w:rsidRPr="007D2392">
              <w:rPr>
                <w:sz w:val="40"/>
              </w:rPr>
              <w:t>CCPR</w:t>
            </w:r>
            <w:r>
              <w:t>/C/133/D/2899/2016</w:t>
            </w:r>
          </w:p>
        </w:tc>
      </w:tr>
      <w:tr w:rsidR="006F71EA" w:rsidRPr="00DB58B5" w14:paraId="70C2B6F5" w14:textId="77777777" w:rsidTr="002B7BC7">
        <w:trPr>
          <w:trHeight w:hRule="exact" w:val="2835"/>
        </w:trPr>
        <w:tc>
          <w:tcPr>
            <w:tcW w:w="1276" w:type="dxa"/>
            <w:tcBorders>
              <w:top w:val="single" w:sz="4" w:space="0" w:color="auto"/>
              <w:bottom w:val="single" w:sz="12" w:space="0" w:color="auto"/>
            </w:tcBorders>
          </w:tcPr>
          <w:p w14:paraId="5B849A87" w14:textId="77777777" w:rsidR="006F71EA" w:rsidRPr="00DB58B5" w:rsidRDefault="006F71EA" w:rsidP="002B7BC7">
            <w:pPr>
              <w:spacing w:before="120"/>
              <w:jc w:val="center"/>
            </w:pPr>
            <w:r>
              <w:rPr>
                <w:noProof/>
                <w:lang w:eastAsia="fr-CH"/>
              </w:rPr>
              <w:drawing>
                <wp:inline distT="0" distB="0" distL="0" distR="0" wp14:anchorId="58CF62A0" wp14:editId="27076B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2921D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CC42DD9" w14:textId="3EF6384D" w:rsidR="006F71EA" w:rsidRDefault="007D2392" w:rsidP="002B7BC7">
            <w:pPr>
              <w:spacing w:before="240"/>
            </w:pPr>
            <w:proofErr w:type="spellStart"/>
            <w:r>
              <w:t>Distr</w:t>
            </w:r>
            <w:proofErr w:type="spellEnd"/>
            <w:r w:rsidR="00F92E4A" w:rsidRPr="00F92E4A">
              <w:t>.</w:t>
            </w:r>
            <w:r>
              <w:t xml:space="preserve"> générale</w:t>
            </w:r>
          </w:p>
          <w:p w14:paraId="184BDC0D" w14:textId="77777777" w:rsidR="007D2392" w:rsidRDefault="007D2392" w:rsidP="007D2392">
            <w:pPr>
              <w:spacing w:line="240" w:lineRule="exact"/>
            </w:pPr>
            <w:r>
              <w:t>13 janvier 2022</w:t>
            </w:r>
          </w:p>
          <w:p w14:paraId="79008BD4" w14:textId="77777777" w:rsidR="007D2392" w:rsidRDefault="007D2392" w:rsidP="007D2392">
            <w:pPr>
              <w:spacing w:line="240" w:lineRule="exact"/>
            </w:pPr>
            <w:r>
              <w:t>Français</w:t>
            </w:r>
          </w:p>
          <w:p w14:paraId="0A04AF38" w14:textId="3ABD2006" w:rsidR="007D2392" w:rsidRPr="00DB58B5" w:rsidRDefault="007D2392" w:rsidP="007D2392">
            <w:pPr>
              <w:spacing w:line="240" w:lineRule="exact"/>
            </w:pPr>
            <w:r>
              <w:t>Original : anglais</w:t>
            </w:r>
          </w:p>
        </w:tc>
      </w:tr>
    </w:tbl>
    <w:p w14:paraId="78F1B702" w14:textId="77777777" w:rsidR="006F71EA" w:rsidRDefault="006F71EA" w:rsidP="006F71EA">
      <w:pPr>
        <w:spacing w:before="120"/>
        <w:rPr>
          <w:b/>
          <w:sz w:val="24"/>
          <w:szCs w:val="24"/>
        </w:rPr>
      </w:pPr>
      <w:r w:rsidRPr="00DF3BF1">
        <w:rPr>
          <w:b/>
          <w:sz w:val="24"/>
          <w:szCs w:val="24"/>
        </w:rPr>
        <w:t>Comité des droits de l’homme</w:t>
      </w:r>
    </w:p>
    <w:p w14:paraId="095029F3" w14:textId="0FF99F69" w:rsidR="007D2392" w:rsidRPr="007D2392" w:rsidRDefault="007D2392" w:rsidP="007D2392">
      <w:pPr>
        <w:pStyle w:val="HChG"/>
      </w:pPr>
      <w:r w:rsidRPr="006D452F">
        <w:tab/>
      </w:r>
      <w:r w:rsidRPr="006D452F">
        <w:tab/>
      </w:r>
      <w:r w:rsidRPr="00DF4264">
        <w:t>Constatations adoptées par le Comité au titre de l</w:t>
      </w:r>
      <w:r>
        <w:t>’</w:t>
      </w:r>
      <w:r w:rsidRPr="00DF4264">
        <w:t>article 5 (par</w:t>
      </w:r>
      <w:r w:rsidR="00F92E4A" w:rsidRPr="00F92E4A">
        <w:t>.</w:t>
      </w:r>
      <w:r w:rsidRPr="00DF4264">
        <w:t xml:space="preserve"> 4) du Protocole facultatif, concernant </w:t>
      </w:r>
      <w:r w:rsidR="00FF234C">
        <w:br/>
      </w:r>
      <w:r w:rsidRPr="00DF4264">
        <w:t xml:space="preserve">la </w:t>
      </w:r>
      <w:r>
        <w:t>c</w:t>
      </w:r>
      <w:r w:rsidRPr="006D452F">
        <w:t>ommunication n</w:t>
      </w:r>
      <w:r w:rsidRPr="006D452F">
        <w:rPr>
          <w:vertAlign w:val="superscript"/>
        </w:rPr>
        <w:t>o</w:t>
      </w:r>
      <w:r w:rsidRPr="006D452F">
        <w:t> </w:t>
      </w:r>
      <w:r w:rsidRPr="00C70720">
        <w:rPr>
          <w:bCs/>
          <w:lang w:val="fr-FR"/>
        </w:rPr>
        <w:t>2899/2016</w:t>
      </w:r>
      <w:r w:rsidRPr="007D2392">
        <w:rPr>
          <w:rStyle w:val="Appelnotedebasdep"/>
          <w:b w:val="0"/>
          <w:sz w:val="20"/>
          <w:vertAlign w:val="baseline"/>
        </w:rPr>
        <w:footnoteReference w:customMarkFollows="1" w:id="2"/>
        <w:t>*</w:t>
      </w:r>
      <w:r w:rsidRPr="007D2392">
        <w:rPr>
          <w:b w:val="0"/>
          <w:sz w:val="20"/>
          <w:vertAlign w:val="superscript"/>
        </w:rPr>
        <w:t>,</w:t>
      </w:r>
      <w:r>
        <w:rPr>
          <w:b w:val="0"/>
          <w:sz w:val="20"/>
          <w:vertAlign w:val="superscript"/>
        </w:rPr>
        <w:t xml:space="preserve"> </w:t>
      </w:r>
      <w:r w:rsidRPr="007D2392">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7D2392" w:rsidRPr="00D839AB" w14:paraId="2EC4B5AC" w14:textId="77777777" w:rsidTr="00B15993">
        <w:tc>
          <w:tcPr>
            <w:tcW w:w="2835" w:type="dxa"/>
          </w:tcPr>
          <w:p w14:paraId="63661722" w14:textId="77777777" w:rsidR="007D2392" w:rsidRPr="00D839AB" w:rsidRDefault="007D2392" w:rsidP="00B15993">
            <w:pPr>
              <w:spacing w:after="120"/>
              <w:rPr>
                <w:i/>
              </w:rPr>
            </w:pPr>
            <w:r w:rsidRPr="00C70720">
              <w:rPr>
                <w:i/>
                <w:iCs/>
                <w:lang w:val="fr-FR"/>
              </w:rPr>
              <w:t>Communication présentée par</w:t>
            </w:r>
            <w:r>
              <w:rPr>
                <w:i/>
                <w:iCs/>
                <w:lang w:val="fr-FR"/>
              </w:rPr>
              <w:t> </w:t>
            </w:r>
            <w:r w:rsidRPr="00C70720">
              <w:rPr>
                <w:iCs/>
                <w:lang w:val="fr-FR"/>
              </w:rPr>
              <w:t>:</w:t>
            </w:r>
          </w:p>
        </w:tc>
        <w:tc>
          <w:tcPr>
            <w:tcW w:w="3969" w:type="dxa"/>
          </w:tcPr>
          <w:p w14:paraId="5E92549B" w14:textId="77777777" w:rsidR="007D2392" w:rsidRPr="00D839AB" w:rsidRDefault="007D2392" w:rsidP="00B15993">
            <w:pPr>
              <w:spacing w:after="120"/>
            </w:pPr>
            <w:r w:rsidRPr="00C70720">
              <w:rPr>
                <w:lang w:val="fr-FR"/>
              </w:rPr>
              <w:t xml:space="preserve">Elena </w:t>
            </w:r>
            <w:proofErr w:type="spellStart"/>
            <w:r w:rsidRPr="00C70720">
              <w:rPr>
                <w:lang w:val="fr-FR"/>
              </w:rPr>
              <w:t>Lutskovich</w:t>
            </w:r>
            <w:proofErr w:type="spellEnd"/>
            <w:r w:rsidRPr="00C70720">
              <w:rPr>
                <w:lang w:val="fr-FR"/>
              </w:rPr>
              <w:t xml:space="preserve"> (représentée par un conseil, Leonid </w:t>
            </w:r>
            <w:proofErr w:type="spellStart"/>
            <w:r w:rsidRPr="00C70720">
              <w:rPr>
                <w:lang w:val="fr-FR"/>
              </w:rPr>
              <w:t>Sudalenko</w:t>
            </w:r>
            <w:proofErr w:type="spellEnd"/>
            <w:r w:rsidRPr="00C70720">
              <w:rPr>
                <w:lang w:val="fr-FR"/>
              </w:rPr>
              <w:t>)</w:t>
            </w:r>
          </w:p>
        </w:tc>
      </w:tr>
      <w:tr w:rsidR="007D2392" w:rsidRPr="00D839AB" w14:paraId="19A7543C" w14:textId="77777777" w:rsidTr="00B15993">
        <w:tc>
          <w:tcPr>
            <w:tcW w:w="2835" w:type="dxa"/>
          </w:tcPr>
          <w:p w14:paraId="4B7A4886" w14:textId="77777777" w:rsidR="007D2392" w:rsidRPr="00D839AB" w:rsidRDefault="007D2392" w:rsidP="00B15993">
            <w:pPr>
              <w:spacing w:after="120"/>
              <w:rPr>
                <w:i/>
              </w:rPr>
            </w:pPr>
            <w:r w:rsidRPr="00C70720">
              <w:rPr>
                <w:i/>
                <w:iCs/>
                <w:lang w:val="fr-FR"/>
              </w:rPr>
              <w:t>Victime(s) présumée(s)</w:t>
            </w:r>
            <w:r>
              <w:rPr>
                <w:i/>
                <w:iCs/>
                <w:lang w:val="fr-FR"/>
              </w:rPr>
              <w:t> </w:t>
            </w:r>
            <w:r w:rsidRPr="00C70720">
              <w:rPr>
                <w:iCs/>
                <w:lang w:val="fr-FR"/>
              </w:rPr>
              <w:t>:</w:t>
            </w:r>
          </w:p>
        </w:tc>
        <w:tc>
          <w:tcPr>
            <w:tcW w:w="3969" w:type="dxa"/>
          </w:tcPr>
          <w:p w14:paraId="2D3D09A2" w14:textId="77777777" w:rsidR="007D2392" w:rsidRPr="00D839AB" w:rsidRDefault="007D2392" w:rsidP="00B15993">
            <w:pPr>
              <w:spacing w:after="120"/>
            </w:pPr>
            <w:r w:rsidRPr="00C70720">
              <w:rPr>
                <w:lang w:val="fr-FR"/>
              </w:rPr>
              <w:t>L</w:t>
            </w:r>
            <w:r>
              <w:rPr>
                <w:lang w:val="fr-FR"/>
              </w:rPr>
              <w:t>’</w:t>
            </w:r>
            <w:r w:rsidRPr="00C70720">
              <w:rPr>
                <w:lang w:val="fr-FR"/>
              </w:rPr>
              <w:t>auteure</w:t>
            </w:r>
          </w:p>
        </w:tc>
      </w:tr>
      <w:tr w:rsidR="007D2392" w:rsidRPr="00D839AB" w14:paraId="3A5280D0" w14:textId="77777777" w:rsidTr="00B15993">
        <w:tc>
          <w:tcPr>
            <w:tcW w:w="2835" w:type="dxa"/>
          </w:tcPr>
          <w:p w14:paraId="4357471B" w14:textId="77777777" w:rsidR="007D2392" w:rsidRPr="00D839AB" w:rsidRDefault="007D2392" w:rsidP="00B15993">
            <w:pPr>
              <w:spacing w:after="120"/>
              <w:rPr>
                <w:i/>
              </w:rPr>
            </w:pPr>
            <w:r w:rsidRPr="00C70720">
              <w:rPr>
                <w:i/>
                <w:iCs/>
                <w:lang w:val="fr-FR"/>
              </w:rPr>
              <w:t>État partie</w:t>
            </w:r>
            <w:r>
              <w:rPr>
                <w:i/>
                <w:iCs/>
                <w:lang w:val="fr-FR"/>
              </w:rPr>
              <w:t> </w:t>
            </w:r>
            <w:r w:rsidRPr="00C70720">
              <w:rPr>
                <w:iCs/>
                <w:lang w:val="fr-FR"/>
              </w:rPr>
              <w:t>:</w:t>
            </w:r>
          </w:p>
        </w:tc>
        <w:tc>
          <w:tcPr>
            <w:tcW w:w="3969" w:type="dxa"/>
          </w:tcPr>
          <w:p w14:paraId="064FB153" w14:textId="77777777" w:rsidR="007D2392" w:rsidRPr="00D839AB" w:rsidRDefault="007D2392" w:rsidP="00B15993">
            <w:pPr>
              <w:spacing w:after="120"/>
            </w:pPr>
            <w:r w:rsidRPr="00C70720">
              <w:rPr>
                <w:lang w:val="fr-FR"/>
              </w:rPr>
              <w:t>Bélarus</w:t>
            </w:r>
          </w:p>
        </w:tc>
      </w:tr>
      <w:tr w:rsidR="007D2392" w:rsidRPr="00D839AB" w14:paraId="0ADDE28C" w14:textId="77777777" w:rsidTr="00B15993">
        <w:tc>
          <w:tcPr>
            <w:tcW w:w="2835" w:type="dxa"/>
          </w:tcPr>
          <w:p w14:paraId="0A24863B" w14:textId="77777777" w:rsidR="007D2392" w:rsidRPr="00D839AB" w:rsidRDefault="007D2392" w:rsidP="00B15993">
            <w:pPr>
              <w:spacing w:after="120"/>
              <w:rPr>
                <w:i/>
              </w:rPr>
            </w:pPr>
            <w:r w:rsidRPr="00C70720">
              <w:rPr>
                <w:i/>
                <w:iCs/>
                <w:lang w:val="fr-FR"/>
              </w:rPr>
              <w:t>Date de la communication</w:t>
            </w:r>
            <w:r>
              <w:rPr>
                <w:i/>
                <w:iCs/>
                <w:lang w:val="fr-FR"/>
              </w:rPr>
              <w:t> </w:t>
            </w:r>
            <w:r w:rsidRPr="00C70720">
              <w:rPr>
                <w:iCs/>
                <w:lang w:val="fr-FR"/>
              </w:rPr>
              <w:t>:</w:t>
            </w:r>
          </w:p>
        </w:tc>
        <w:tc>
          <w:tcPr>
            <w:tcW w:w="3969" w:type="dxa"/>
          </w:tcPr>
          <w:p w14:paraId="363E30AB" w14:textId="77777777" w:rsidR="007D2392" w:rsidRPr="00D839AB" w:rsidRDefault="007D2392" w:rsidP="00B15993">
            <w:pPr>
              <w:spacing w:after="120"/>
            </w:pPr>
            <w:r w:rsidRPr="00C70720">
              <w:rPr>
                <w:lang w:val="fr-FR"/>
              </w:rPr>
              <w:t>1</w:t>
            </w:r>
            <w:r w:rsidRPr="00C70720">
              <w:rPr>
                <w:vertAlign w:val="superscript"/>
                <w:lang w:val="fr-FR"/>
              </w:rPr>
              <w:t>er</w:t>
            </w:r>
            <w:r w:rsidRPr="00C70720">
              <w:rPr>
                <w:lang w:val="fr-FR"/>
              </w:rPr>
              <w:t> juin 2016 (date de la lettre initiale)</w:t>
            </w:r>
          </w:p>
        </w:tc>
      </w:tr>
      <w:tr w:rsidR="007D2392" w:rsidRPr="00D839AB" w14:paraId="0289F97C" w14:textId="77777777" w:rsidTr="00B15993">
        <w:tc>
          <w:tcPr>
            <w:tcW w:w="2835" w:type="dxa"/>
          </w:tcPr>
          <w:p w14:paraId="7D48C0D7" w14:textId="77777777" w:rsidR="007D2392" w:rsidRPr="00D839AB" w:rsidRDefault="007D2392" w:rsidP="00B15993">
            <w:pPr>
              <w:spacing w:after="120"/>
              <w:rPr>
                <w:i/>
              </w:rPr>
            </w:pPr>
            <w:r w:rsidRPr="00C70720">
              <w:rPr>
                <w:i/>
                <w:iCs/>
                <w:lang w:val="fr-FR"/>
              </w:rPr>
              <w:t>Références</w:t>
            </w:r>
            <w:r>
              <w:rPr>
                <w:i/>
                <w:lang w:val="fr-FR"/>
              </w:rPr>
              <w:t> </w:t>
            </w:r>
            <w:r w:rsidRPr="00C70720">
              <w:rPr>
                <w:iCs/>
                <w:lang w:val="fr-FR"/>
              </w:rPr>
              <w:t>:</w:t>
            </w:r>
          </w:p>
        </w:tc>
        <w:tc>
          <w:tcPr>
            <w:tcW w:w="3969" w:type="dxa"/>
          </w:tcPr>
          <w:p w14:paraId="6B1AE9D8" w14:textId="77777777" w:rsidR="007D2392" w:rsidRPr="00D839AB" w:rsidRDefault="007D2392" w:rsidP="00B15993">
            <w:pPr>
              <w:spacing w:after="120"/>
            </w:pPr>
            <w:r w:rsidRPr="00C70720">
              <w:rPr>
                <w:lang w:val="fr-FR"/>
              </w:rPr>
              <w:t>Décision prise en application de l</w:t>
            </w:r>
            <w:r>
              <w:rPr>
                <w:lang w:val="fr-FR"/>
              </w:rPr>
              <w:t>’</w:t>
            </w:r>
            <w:r w:rsidRPr="00C70720">
              <w:rPr>
                <w:lang w:val="fr-FR"/>
              </w:rPr>
              <w:t>article 92 du règlement intérieur du Comité, communiquée à l</w:t>
            </w:r>
            <w:r>
              <w:rPr>
                <w:lang w:val="fr-FR"/>
              </w:rPr>
              <w:t>’</w:t>
            </w:r>
            <w:r w:rsidRPr="00C70720">
              <w:rPr>
                <w:lang w:val="fr-FR"/>
              </w:rPr>
              <w:t>État partie le 15 décembre 2016 (non publiée sous forme de document)</w:t>
            </w:r>
          </w:p>
        </w:tc>
      </w:tr>
      <w:tr w:rsidR="007D2392" w:rsidRPr="00D839AB" w14:paraId="7A3D9345" w14:textId="77777777" w:rsidTr="00B15993">
        <w:tc>
          <w:tcPr>
            <w:tcW w:w="2835" w:type="dxa"/>
          </w:tcPr>
          <w:p w14:paraId="0234C0D3" w14:textId="77777777" w:rsidR="007D2392" w:rsidRPr="00D839AB" w:rsidRDefault="007D2392" w:rsidP="00B15993">
            <w:pPr>
              <w:spacing w:after="120"/>
              <w:rPr>
                <w:i/>
              </w:rPr>
            </w:pPr>
            <w:r w:rsidRPr="00C70720">
              <w:rPr>
                <w:i/>
                <w:iCs/>
                <w:lang w:val="fr-FR"/>
              </w:rPr>
              <w:t>Date des constatations</w:t>
            </w:r>
            <w:r>
              <w:rPr>
                <w:i/>
                <w:iCs/>
                <w:lang w:val="fr-FR"/>
              </w:rPr>
              <w:t> </w:t>
            </w:r>
            <w:r w:rsidRPr="00C70720">
              <w:rPr>
                <w:iCs/>
                <w:lang w:val="fr-FR"/>
              </w:rPr>
              <w:t>:</w:t>
            </w:r>
          </w:p>
        </w:tc>
        <w:tc>
          <w:tcPr>
            <w:tcW w:w="3969" w:type="dxa"/>
          </w:tcPr>
          <w:p w14:paraId="3CD609AA" w14:textId="77777777" w:rsidR="007D2392" w:rsidRPr="00D839AB" w:rsidRDefault="007D2392" w:rsidP="00B15993">
            <w:pPr>
              <w:spacing w:after="120"/>
            </w:pPr>
            <w:r>
              <w:rPr>
                <w:lang w:val="fr-FR"/>
              </w:rPr>
              <w:t>19 octobre</w:t>
            </w:r>
            <w:r w:rsidRPr="00C70720">
              <w:rPr>
                <w:lang w:val="fr-FR"/>
              </w:rPr>
              <w:t xml:space="preserve"> 2021</w:t>
            </w:r>
          </w:p>
        </w:tc>
      </w:tr>
      <w:tr w:rsidR="007D2392" w:rsidRPr="00D839AB" w14:paraId="63AA6732" w14:textId="77777777" w:rsidTr="00B15993">
        <w:tc>
          <w:tcPr>
            <w:tcW w:w="2835" w:type="dxa"/>
          </w:tcPr>
          <w:p w14:paraId="2747B26F" w14:textId="77777777" w:rsidR="007D2392" w:rsidRPr="00D839AB" w:rsidRDefault="007D2392" w:rsidP="00B15993">
            <w:pPr>
              <w:spacing w:after="120"/>
            </w:pPr>
            <w:r w:rsidRPr="00C70720">
              <w:rPr>
                <w:i/>
                <w:iCs/>
                <w:lang w:val="fr-FR"/>
              </w:rPr>
              <w:t>Objet</w:t>
            </w:r>
            <w:r>
              <w:rPr>
                <w:i/>
                <w:iCs/>
                <w:lang w:val="fr-FR"/>
              </w:rPr>
              <w:t> </w:t>
            </w:r>
            <w:r w:rsidRPr="00C70720">
              <w:rPr>
                <w:i/>
                <w:iCs/>
                <w:lang w:val="fr-FR"/>
              </w:rPr>
              <w:t>:</w:t>
            </w:r>
          </w:p>
        </w:tc>
        <w:tc>
          <w:tcPr>
            <w:tcW w:w="3969" w:type="dxa"/>
          </w:tcPr>
          <w:p w14:paraId="04950340" w14:textId="77777777" w:rsidR="007D2392" w:rsidRPr="00D839AB" w:rsidRDefault="007D2392" w:rsidP="00B15993">
            <w:pPr>
              <w:spacing w:after="120"/>
            </w:pPr>
            <w:r w:rsidRPr="00C70720">
              <w:rPr>
                <w:lang w:val="fr-FR"/>
              </w:rPr>
              <w:t>Imposition d</w:t>
            </w:r>
            <w:r>
              <w:rPr>
                <w:lang w:val="fr-FR"/>
              </w:rPr>
              <w:t>’</w:t>
            </w:r>
            <w:r w:rsidRPr="00C70720">
              <w:rPr>
                <w:lang w:val="fr-FR"/>
              </w:rPr>
              <w:t>une amende administrative à l</w:t>
            </w:r>
            <w:r>
              <w:rPr>
                <w:lang w:val="fr-FR"/>
              </w:rPr>
              <w:t>’</w:t>
            </w:r>
            <w:r w:rsidRPr="00C70720">
              <w:rPr>
                <w:lang w:val="fr-FR"/>
              </w:rPr>
              <w:t>auteure au motif qu</w:t>
            </w:r>
            <w:r>
              <w:rPr>
                <w:lang w:val="fr-FR"/>
              </w:rPr>
              <w:t>’</w:t>
            </w:r>
            <w:r w:rsidRPr="00C70720">
              <w:rPr>
                <w:lang w:val="fr-FR"/>
              </w:rPr>
              <w:t>elle tenait une pancarte</w:t>
            </w:r>
          </w:p>
        </w:tc>
      </w:tr>
      <w:tr w:rsidR="007D2392" w:rsidRPr="00D839AB" w14:paraId="19EB530A" w14:textId="77777777" w:rsidTr="00B15993">
        <w:tc>
          <w:tcPr>
            <w:tcW w:w="2835" w:type="dxa"/>
          </w:tcPr>
          <w:p w14:paraId="1B45C4CE" w14:textId="77777777" w:rsidR="007D2392" w:rsidRPr="00D839AB" w:rsidRDefault="007D2392" w:rsidP="00B15993">
            <w:pPr>
              <w:spacing w:after="120"/>
            </w:pPr>
            <w:r w:rsidRPr="00C70720">
              <w:rPr>
                <w:i/>
                <w:iCs/>
                <w:lang w:val="fr-FR"/>
              </w:rPr>
              <w:t>Question(s) de procédure</w:t>
            </w:r>
            <w:r>
              <w:rPr>
                <w:i/>
                <w:iCs/>
                <w:lang w:val="fr-FR"/>
              </w:rPr>
              <w:t> </w:t>
            </w:r>
            <w:r w:rsidRPr="00C70720">
              <w:rPr>
                <w:lang w:val="fr-FR"/>
              </w:rPr>
              <w:t>:</w:t>
            </w:r>
          </w:p>
        </w:tc>
        <w:tc>
          <w:tcPr>
            <w:tcW w:w="3969" w:type="dxa"/>
          </w:tcPr>
          <w:p w14:paraId="5E9BCBEE" w14:textId="77777777" w:rsidR="007D2392" w:rsidRPr="00D839AB" w:rsidRDefault="007D2392" w:rsidP="00B15993">
            <w:pPr>
              <w:spacing w:after="120"/>
            </w:pPr>
            <w:r w:rsidRPr="00C70720">
              <w:rPr>
                <w:lang w:val="fr-FR"/>
              </w:rPr>
              <w:t>Épuisement des recours internes</w:t>
            </w:r>
          </w:p>
        </w:tc>
      </w:tr>
      <w:tr w:rsidR="007D2392" w:rsidRPr="00D839AB" w14:paraId="6D6A7EC2" w14:textId="77777777" w:rsidTr="00B15993">
        <w:tc>
          <w:tcPr>
            <w:tcW w:w="2835" w:type="dxa"/>
          </w:tcPr>
          <w:p w14:paraId="73DD577C" w14:textId="77777777" w:rsidR="007D2392" w:rsidRPr="00D839AB" w:rsidRDefault="007D2392" w:rsidP="00B15993">
            <w:pPr>
              <w:spacing w:after="120"/>
            </w:pPr>
            <w:r w:rsidRPr="00C70720">
              <w:rPr>
                <w:i/>
                <w:iCs/>
                <w:lang w:val="fr-FR"/>
              </w:rPr>
              <w:t>Question(s) de fond</w:t>
            </w:r>
            <w:r>
              <w:rPr>
                <w:i/>
                <w:iCs/>
                <w:lang w:val="fr-FR"/>
              </w:rPr>
              <w:t> </w:t>
            </w:r>
            <w:r w:rsidRPr="00C70720">
              <w:rPr>
                <w:lang w:val="fr-FR"/>
              </w:rPr>
              <w:t>:</w:t>
            </w:r>
          </w:p>
        </w:tc>
        <w:tc>
          <w:tcPr>
            <w:tcW w:w="3969" w:type="dxa"/>
          </w:tcPr>
          <w:p w14:paraId="0D721A60" w14:textId="77777777" w:rsidR="007D2392" w:rsidRPr="00D839AB" w:rsidRDefault="007D2392" w:rsidP="00B15993">
            <w:pPr>
              <w:spacing w:after="120"/>
            </w:pPr>
            <w:r w:rsidRPr="00C70720">
              <w:rPr>
                <w:lang w:val="fr-FR"/>
              </w:rPr>
              <w:t>Liberté d</w:t>
            </w:r>
            <w:r>
              <w:rPr>
                <w:lang w:val="fr-FR"/>
              </w:rPr>
              <w:t>’</w:t>
            </w:r>
            <w:r w:rsidRPr="00C70720">
              <w:rPr>
                <w:lang w:val="fr-FR"/>
              </w:rPr>
              <w:t>expression</w:t>
            </w:r>
          </w:p>
        </w:tc>
      </w:tr>
      <w:tr w:rsidR="007D2392" w:rsidRPr="00D839AB" w14:paraId="27D3DB26" w14:textId="77777777" w:rsidTr="00B15993">
        <w:tc>
          <w:tcPr>
            <w:tcW w:w="2835" w:type="dxa"/>
          </w:tcPr>
          <w:p w14:paraId="298DC6EC" w14:textId="77777777" w:rsidR="007D2392" w:rsidRPr="00D839AB" w:rsidRDefault="007D2392" w:rsidP="00B15993">
            <w:pPr>
              <w:spacing w:after="120"/>
            </w:pPr>
            <w:r w:rsidRPr="00C70720">
              <w:rPr>
                <w:i/>
                <w:iCs/>
                <w:lang w:val="fr-FR"/>
              </w:rPr>
              <w:t>Article(s) du Pacte</w:t>
            </w:r>
            <w:r>
              <w:rPr>
                <w:i/>
                <w:iCs/>
                <w:lang w:val="fr-FR"/>
              </w:rPr>
              <w:t> </w:t>
            </w:r>
            <w:r w:rsidRPr="00C70720">
              <w:rPr>
                <w:lang w:val="fr-FR"/>
              </w:rPr>
              <w:t>:</w:t>
            </w:r>
          </w:p>
        </w:tc>
        <w:tc>
          <w:tcPr>
            <w:tcW w:w="3969" w:type="dxa"/>
          </w:tcPr>
          <w:p w14:paraId="3F151BAF" w14:textId="22653A2B" w:rsidR="007D2392" w:rsidRPr="00D839AB" w:rsidRDefault="007D2392" w:rsidP="00B15993">
            <w:pPr>
              <w:spacing w:after="120"/>
            </w:pPr>
            <w:r w:rsidRPr="00C70720">
              <w:rPr>
                <w:lang w:val="fr-FR"/>
              </w:rPr>
              <w:t>2 (par</w:t>
            </w:r>
            <w:r w:rsidR="00F92E4A" w:rsidRPr="00F92E4A">
              <w:rPr>
                <w:lang w:val="fr-FR"/>
              </w:rPr>
              <w:t>.</w:t>
            </w:r>
            <w:r w:rsidRPr="00C70720">
              <w:rPr>
                <w:lang w:val="fr-FR"/>
              </w:rPr>
              <w:t xml:space="preserve"> 2 et 3) et 19</w:t>
            </w:r>
          </w:p>
        </w:tc>
      </w:tr>
      <w:tr w:rsidR="007D2392" w:rsidRPr="00D839AB" w14:paraId="7BA71400" w14:textId="77777777" w:rsidTr="00B15993">
        <w:tc>
          <w:tcPr>
            <w:tcW w:w="2835" w:type="dxa"/>
          </w:tcPr>
          <w:p w14:paraId="058AFABA" w14:textId="77777777" w:rsidR="007D2392" w:rsidRPr="00D839AB" w:rsidRDefault="007D2392" w:rsidP="00B15993">
            <w:pPr>
              <w:spacing w:after="120"/>
            </w:pPr>
            <w:r w:rsidRPr="00C70720">
              <w:rPr>
                <w:i/>
                <w:iCs/>
                <w:lang w:val="fr-FR"/>
              </w:rPr>
              <w:t>Article(s) du Protocole facultatif</w:t>
            </w:r>
            <w:r>
              <w:rPr>
                <w:i/>
                <w:iCs/>
                <w:lang w:val="fr-FR"/>
              </w:rPr>
              <w:t> </w:t>
            </w:r>
            <w:r w:rsidRPr="00C70720">
              <w:rPr>
                <w:lang w:val="fr-FR"/>
              </w:rPr>
              <w:t>:</w:t>
            </w:r>
          </w:p>
        </w:tc>
        <w:tc>
          <w:tcPr>
            <w:tcW w:w="3969" w:type="dxa"/>
          </w:tcPr>
          <w:p w14:paraId="3FC174B5" w14:textId="51054FBF" w:rsidR="007D2392" w:rsidRPr="00D839AB" w:rsidRDefault="007D2392" w:rsidP="00B15993">
            <w:pPr>
              <w:spacing w:after="120"/>
            </w:pPr>
            <w:r w:rsidRPr="00C70720">
              <w:rPr>
                <w:lang w:val="fr-FR"/>
              </w:rPr>
              <w:t>2 et 5 (par</w:t>
            </w:r>
            <w:r w:rsidR="00F92E4A" w:rsidRPr="00F92E4A">
              <w:rPr>
                <w:lang w:val="fr-FR"/>
              </w:rPr>
              <w:t>.</w:t>
            </w:r>
            <w:r w:rsidRPr="00C70720">
              <w:rPr>
                <w:lang w:val="fr-FR"/>
              </w:rPr>
              <w:t xml:space="preserve"> 2 b))</w:t>
            </w:r>
          </w:p>
        </w:tc>
      </w:tr>
    </w:tbl>
    <w:p w14:paraId="36170F5D" w14:textId="449AE736" w:rsidR="007D2392" w:rsidRPr="00A41BE0" w:rsidRDefault="007D2392" w:rsidP="007D2392">
      <w:pPr>
        <w:pStyle w:val="SingleTxtG"/>
        <w:spacing w:before="240"/>
        <w:rPr>
          <w:lang w:val="fr-FR"/>
        </w:rPr>
      </w:pPr>
      <w:r w:rsidRPr="00A41BE0">
        <w:rPr>
          <w:lang w:val="fr-FR"/>
        </w:rPr>
        <w:t>1</w:t>
      </w:r>
      <w:r w:rsidR="00F92E4A" w:rsidRPr="00F92E4A">
        <w:rPr>
          <w:lang w:val="fr-FR"/>
        </w:rPr>
        <w:t>.</w:t>
      </w:r>
      <w:r w:rsidRPr="00A41BE0">
        <w:rPr>
          <w:lang w:val="fr-FR"/>
        </w:rPr>
        <w:tab/>
        <w:t>L</w:t>
      </w:r>
      <w:r>
        <w:rPr>
          <w:lang w:val="fr-FR"/>
        </w:rPr>
        <w:t>’</w:t>
      </w:r>
      <w:r w:rsidRPr="00A41BE0">
        <w:rPr>
          <w:lang w:val="fr-FR"/>
        </w:rPr>
        <w:t xml:space="preserve">auteure de la communication est Elena </w:t>
      </w:r>
      <w:proofErr w:type="spellStart"/>
      <w:r w:rsidRPr="00A41BE0">
        <w:rPr>
          <w:lang w:val="fr-FR"/>
        </w:rPr>
        <w:t>Lutskovich</w:t>
      </w:r>
      <w:proofErr w:type="spellEnd"/>
      <w:r w:rsidRPr="00A41BE0">
        <w:rPr>
          <w:lang w:val="fr-FR"/>
        </w:rPr>
        <w:t>, de nationalité bélarussienne, née en 1981</w:t>
      </w:r>
      <w:r w:rsidR="00F92E4A" w:rsidRPr="00F92E4A">
        <w:rPr>
          <w:lang w:val="fr-FR"/>
        </w:rPr>
        <w:t>.</w:t>
      </w:r>
      <w:r w:rsidRPr="00A41BE0">
        <w:rPr>
          <w:lang w:val="fr-FR"/>
        </w:rPr>
        <w:t xml:space="preserve"> Elle affirme que l</w:t>
      </w:r>
      <w:r>
        <w:rPr>
          <w:lang w:val="fr-FR"/>
        </w:rPr>
        <w:t>’</w:t>
      </w:r>
      <w:r w:rsidRPr="00A41BE0">
        <w:rPr>
          <w:lang w:val="fr-FR"/>
        </w:rPr>
        <w:t>État partie a violé les droits qu</w:t>
      </w:r>
      <w:r>
        <w:rPr>
          <w:lang w:val="fr-FR"/>
        </w:rPr>
        <w:t>’</w:t>
      </w:r>
      <w:r w:rsidRPr="00A41BE0">
        <w:rPr>
          <w:lang w:val="fr-FR"/>
        </w:rPr>
        <w:t>elle tient des articles 2 (par</w:t>
      </w:r>
      <w:r w:rsidR="00F92E4A" w:rsidRPr="00F92E4A">
        <w:rPr>
          <w:lang w:val="fr-FR"/>
        </w:rPr>
        <w:t>.</w:t>
      </w:r>
      <w:r w:rsidRPr="00A41BE0">
        <w:rPr>
          <w:lang w:val="fr-FR"/>
        </w:rPr>
        <w:t> 2 et 3) et 19 du Pacte</w:t>
      </w:r>
      <w:r w:rsidR="00F92E4A" w:rsidRPr="00F92E4A">
        <w:rPr>
          <w:lang w:val="fr-FR"/>
        </w:rPr>
        <w:t>.</w:t>
      </w:r>
      <w:r w:rsidRPr="00A41BE0">
        <w:rPr>
          <w:lang w:val="fr-FR"/>
        </w:rPr>
        <w:t xml:space="preserve"> Le Protocole facultatif est entré en vigueur pour le Bélarus le 30 décembre 1992</w:t>
      </w:r>
      <w:r w:rsidR="00F92E4A" w:rsidRPr="00F92E4A">
        <w:rPr>
          <w:lang w:val="fr-FR"/>
        </w:rPr>
        <w:t>.</w:t>
      </w:r>
      <w:r w:rsidRPr="00A41BE0">
        <w:rPr>
          <w:lang w:val="fr-FR"/>
        </w:rPr>
        <w:t xml:space="preserve"> L</w:t>
      </w:r>
      <w:r>
        <w:rPr>
          <w:lang w:val="fr-FR"/>
        </w:rPr>
        <w:t>’</w:t>
      </w:r>
      <w:r w:rsidRPr="00A41BE0">
        <w:rPr>
          <w:lang w:val="fr-FR"/>
        </w:rPr>
        <w:t>auteure est représentée par un conseil</w:t>
      </w:r>
      <w:r w:rsidR="00F92E4A" w:rsidRPr="00F92E4A">
        <w:rPr>
          <w:lang w:val="fr-FR"/>
        </w:rPr>
        <w:t>.</w:t>
      </w:r>
    </w:p>
    <w:p w14:paraId="2DB5355C" w14:textId="77777777" w:rsidR="007D2392" w:rsidRPr="00A41BE0" w:rsidRDefault="007D2392" w:rsidP="007D2392">
      <w:pPr>
        <w:pStyle w:val="H23G"/>
        <w:rPr>
          <w:lang w:val="fr-FR"/>
        </w:rPr>
      </w:pPr>
      <w:r>
        <w:rPr>
          <w:lang w:val="fr-FR"/>
        </w:rPr>
        <w:tab/>
      </w:r>
      <w:r>
        <w:rPr>
          <w:lang w:val="fr-FR"/>
        </w:rPr>
        <w:tab/>
      </w:r>
      <w:r w:rsidRPr="00A41BE0">
        <w:rPr>
          <w:lang w:val="fr-FR"/>
        </w:rPr>
        <w:t>Rappel des faits présentés par l</w:t>
      </w:r>
      <w:r>
        <w:rPr>
          <w:lang w:val="fr-FR"/>
        </w:rPr>
        <w:t>’</w:t>
      </w:r>
      <w:r w:rsidRPr="00A41BE0">
        <w:rPr>
          <w:lang w:val="fr-FR"/>
        </w:rPr>
        <w:t>auteure</w:t>
      </w:r>
    </w:p>
    <w:p w14:paraId="1BCCC458" w14:textId="6421B46B" w:rsidR="007D2392" w:rsidRPr="00A41BE0" w:rsidRDefault="007D2392" w:rsidP="007D2392">
      <w:pPr>
        <w:pStyle w:val="SingleTxtG"/>
        <w:rPr>
          <w:lang w:val="fr-FR"/>
        </w:rPr>
      </w:pPr>
      <w:r w:rsidRPr="00A41BE0">
        <w:rPr>
          <w:lang w:val="fr-FR"/>
        </w:rPr>
        <w:t>2</w:t>
      </w:r>
      <w:r w:rsidR="00F92E4A" w:rsidRPr="00F92E4A">
        <w:rPr>
          <w:lang w:val="fr-FR"/>
        </w:rPr>
        <w:t>.</w:t>
      </w:r>
      <w:r w:rsidRPr="00A41BE0">
        <w:rPr>
          <w:lang w:val="fr-FR"/>
        </w:rPr>
        <w:t>1</w:t>
      </w:r>
      <w:r w:rsidRPr="00A41BE0">
        <w:rPr>
          <w:lang w:val="fr-FR"/>
        </w:rPr>
        <w:tab/>
        <w:t>Le 30 octobre 2015, l</w:t>
      </w:r>
      <w:r>
        <w:rPr>
          <w:lang w:val="fr-FR"/>
        </w:rPr>
        <w:t>’</w:t>
      </w:r>
      <w:r w:rsidRPr="00A41BE0">
        <w:rPr>
          <w:lang w:val="fr-FR"/>
        </w:rPr>
        <w:t>auteure a tenu seule un piquet dans la rue des socialistes de la ville d</w:t>
      </w:r>
      <w:r>
        <w:rPr>
          <w:lang w:val="fr-FR"/>
        </w:rPr>
        <w:t>’</w:t>
      </w:r>
      <w:proofErr w:type="spellStart"/>
      <w:r w:rsidRPr="00A41BE0">
        <w:rPr>
          <w:lang w:val="fr-FR"/>
        </w:rPr>
        <w:t>Oktyabrsky</w:t>
      </w:r>
      <w:proofErr w:type="spellEnd"/>
      <w:r>
        <w:rPr>
          <w:lang w:val="fr-FR"/>
        </w:rPr>
        <w:t xml:space="preserve">, dans la </w:t>
      </w:r>
      <w:r w:rsidRPr="00A41BE0">
        <w:rPr>
          <w:lang w:val="fr-FR"/>
        </w:rPr>
        <w:t>région de Gomel</w:t>
      </w:r>
      <w:r>
        <w:rPr>
          <w:lang w:val="fr-FR"/>
        </w:rPr>
        <w:t xml:space="preserve"> (Bélarus</w:t>
      </w:r>
      <w:r w:rsidRPr="00A41BE0">
        <w:rPr>
          <w:lang w:val="fr-FR"/>
        </w:rPr>
        <w:t>)</w:t>
      </w:r>
      <w:r w:rsidR="00F92E4A" w:rsidRPr="00F92E4A">
        <w:rPr>
          <w:lang w:val="fr-FR"/>
        </w:rPr>
        <w:t>.</w:t>
      </w:r>
      <w:r>
        <w:rPr>
          <w:lang w:val="fr-FR"/>
        </w:rPr>
        <w:t xml:space="preserve"> Elle tenait</w:t>
      </w:r>
      <w:r w:rsidRPr="00A41BE0">
        <w:rPr>
          <w:lang w:val="fr-FR"/>
        </w:rPr>
        <w:t xml:space="preserve"> une banderole portant l</w:t>
      </w:r>
      <w:r>
        <w:rPr>
          <w:lang w:val="fr-FR"/>
        </w:rPr>
        <w:t>’</w:t>
      </w:r>
      <w:r w:rsidRPr="00A41BE0">
        <w:rPr>
          <w:lang w:val="fr-FR"/>
        </w:rPr>
        <w:t xml:space="preserve">inscription suivante : </w:t>
      </w:r>
      <w:r>
        <w:rPr>
          <w:lang w:val="fr-FR"/>
        </w:rPr>
        <w:t>« </w:t>
      </w:r>
      <w:r w:rsidRPr="00A41BE0">
        <w:rPr>
          <w:lang w:val="fr-FR"/>
        </w:rPr>
        <w:t>J</w:t>
      </w:r>
      <w:r>
        <w:rPr>
          <w:lang w:val="fr-FR"/>
        </w:rPr>
        <w:t>’</w:t>
      </w:r>
      <w:r w:rsidRPr="00A41BE0">
        <w:rPr>
          <w:lang w:val="fr-FR"/>
        </w:rPr>
        <w:t>ai la preuve que les résultats des élections ont été falsifiés</w:t>
      </w:r>
      <w:r>
        <w:rPr>
          <w:lang w:val="fr-FR"/>
        </w:rPr>
        <w:t> »</w:t>
      </w:r>
      <w:r w:rsidRPr="00A41BE0">
        <w:rPr>
          <w:lang w:val="fr-FR"/>
        </w:rPr>
        <w:t xml:space="preserve">, </w:t>
      </w:r>
      <w:r>
        <w:rPr>
          <w:lang w:val="fr-FR"/>
        </w:rPr>
        <w:t>en</w:t>
      </w:r>
      <w:r w:rsidRPr="00A41BE0">
        <w:rPr>
          <w:lang w:val="fr-FR"/>
        </w:rPr>
        <w:t xml:space="preserve"> référence à l</w:t>
      </w:r>
      <w:r>
        <w:rPr>
          <w:lang w:val="fr-FR"/>
        </w:rPr>
        <w:t>’</w:t>
      </w:r>
      <w:r w:rsidRPr="00A41BE0">
        <w:rPr>
          <w:lang w:val="fr-FR"/>
        </w:rPr>
        <w:t xml:space="preserve">élection présidentielle tenue </w:t>
      </w:r>
      <w:r>
        <w:rPr>
          <w:lang w:val="fr-FR"/>
        </w:rPr>
        <w:t>le 11 octobre</w:t>
      </w:r>
      <w:r w:rsidRPr="00A41BE0">
        <w:rPr>
          <w:lang w:val="fr-FR"/>
        </w:rPr>
        <w:t xml:space="preserve"> 2015</w:t>
      </w:r>
      <w:r w:rsidR="00F92E4A" w:rsidRPr="00F92E4A">
        <w:rPr>
          <w:lang w:val="fr-FR"/>
        </w:rPr>
        <w:t>.</w:t>
      </w:r>
      <w:r w:rsidRPr="00A41BE0">
        <w:rPr>
          <w:lang w:val="fr-FR"/>
        </w:rPr>
        <w:t xml:space="preserve"> Des policiers l</w:t>
      </w:r>
      <w:r>
        <w:rPr>
          <w:lang w:val="fr-FR"/>
        </w:rPr>
        <w:t>’</w:t>
      </w:r>
      <w:r w:rsidRPr="00A41BE0">
        <w:rPr>
          <w:lang w:val="fr-FR"/>
        </w:rPr>
        <w:t>ont arrêtée et ont dressé un procès-verbal d</w:t>
      </w:r>
      <w:r>
        <w:rPr>
          <w:lang w:val="fr-FR"/>
        </w:rPr>
        <w:t>’</w:t>
      </w:r>
      <w:r w:rsidRPr="00A41BE0">
        <w:rPr>
          <w:lang w:val="fr-FR"/>
        </w:rPr>
        <w:t>infraction administrative sur le fondement de l</w:t>
      </w:r>
      <w:r>
        <w:rPr>
          <w:lang w:val="fr-FR"/>
        </w:rPr>
        <w:t>’</w:t>
      </w:r>
      <w:r w:rsidRPr="00A41BE0">
        <w:rPr>
          <w:lang w:val="fr-FR"/>
        </w:rPr>
        <w:t>article 23</w:t>
      </w:r>
      <w:r w:rsidR="00F92E4A" w:rsidRPr="00F92E4A">
        <w:rPr>
          <w:lang w:val="fr-FR"/>
        </w:rPr>
        <w:t>.</w:t>
      </w:r>
      <w:r w:rsidRPr="00A41BE0">
        <w:rPr>
          <w:lang w:val="fr-FR"/>
        </w:rPr>
        <w:t xml:space="preserve">34 (1) </w:t>
      </w:r>
      <w:r w:rsidRPr="00A41BE0">
        <w:rPr>
          <w:lang w:val="fr-FR"/>
        </w:rPr>
        <w:lastRenderedPageBreak/>
        <w:t>du Code des infractions administratives pour non-respect de la procédure régissant l</w:t>
      </w:r>
      <w:r>
        <w:rPr>
          <w:lang w:val="fr-FR"/>
        </w:rPr>
        <w:t>’</w:t>
      </w:r>
      <w:r w:rsidRPr="00A41BE0">
        <w:rPr>
          <w:lang w:val="fr-FR"/>
        </w:rPr>
        <w:t>organisation et la tenue de manifestations de masse</w:t>
      </w:r>
      <w:r w:rsidR="00F92E4A" w:rsidRPr="00F92E4A">
        <w:rPr>
          <w:lang w:val="fr-FR"/>
        </w:rPr>
        <w:t>.</w:t>
      </w:r>
      <w:r w:rsidRPr="00A41BE0">
        <w:rPr>
          <w:lang w:val="fr-FR"/>
        </w:rPr>
        <w:t xml:space="preserve"> Ils ont noté que l</w:t>
      </w:r>
      <w:r>
        <w:rPr>
          <w:lang w:val="fr-FR"/>
        </w:rPr>
        <w:t>’</w:t>
      </w:r>
      <w:r w:rsidRPr="00A41BE0">
        <w:rPr>
          <w:lang w:val="fr-FR"/>
        </w:rPr>
        <w:t>auteure n</w:t>
      </w:r>
      <w:r>
        <w:rPr>
          <w:lang w:val="fr-FR"/>
        </w:rPr>
        <w:t>’</w:t>
      </w:r>
      <w:r w:rsidRPr="00A41BE0">
        <w:rPr>
          <w:lang w:val="fr-FR"/>
        </w:rPr>
        <w:t>avait pas demandé d</w:t>
      </w:r>
      <w:r>
        <w:rPr>
          <w:lang w:val="fr-FR"/>
        </w:rPr>
        <w:t>’</w:t>
      </w:r>
      <w:r w:rsidRPr="00A41BE0">
        <w:rPr>
          <w:lang w:val="fr-FR"/>
        </w:rPr>
        <w:t>autorisation aux autorités exécutives de la ville pour la tenue de son piquet, elle-même affirmant qu</w:t>
      </w:r>
      <w:r>
        <w:rPr>
          <w:lang w:val="fr-FR"/>
        </w:rPr>
        <w:t>’</w:t>
      </w:r>
      <w:r w:rsidRPr="00A41BE0">
        <w:rPr>
          <w:lang w:val="fr-FR"/>
        </w:rPr>
        <w:t xml:space="preserve">elle exprimait </w:t>
      </w:r>
      <w:r>
        <w:rPr>
          <w:lang w:val="fr-FR"/>
        </w:rPr>
        <w:t>sa propre</w:t>
      </w:r>
      <w:r w:rsidRPr="00A41BE0">
        <w:rPr>
          <w:lang w:val="fr-FR"/>
        </w:rPr>
        <w:t xml:space="preserve"> opinion et n</w:t>
      </w:r>
      <w:r>
        <w:rPr>
          <w:lang w:val="fr-FR"/>
        </w:rPr>
        <w:t>’</w:t>
      </w:r>
      <w:r w:rsidRPr="00A41BE0">
        <w:rPr>
          <w:lang w:val="fr-FR"/>
        </w:rPr>
        <w:t>organisait pas une manifestation de masse</w:t>
      </w:r>
      <w:r w:rsidR="00F92E4A" w:rsidRPr="00F92E4A">
        <w:rPr>
          <w:lang w:val="fr-FR"/>
        </w:rPr>
        <w:t>.</w:t>
      </w:r>
      <w:r w:rsidRPr="00A41BE0">
        <w:rPr>
          <w:lang w:val="fr-FR"/>
        </w:rPr>
        <w:t xml:space="preserve"> </w:t>
      </w:r>
    </w:p>
    <w:p w14:paraId="1995271B" w14:textId="6F0DF62B" w:rsidR="007D2392" w:rsidRPr="00A41BE0" w:rsidRDefault="007D2392" w:rsidP="007D2392">
      <w:pPr>
        <w:pStyle w:val="SingleTxtG"/>
        <w:rPr>
          <w:lang w:val="fr-FR"/>
        </w:rPr>
      </w:pPr>
      <w:r w:rsidRPr="00A41BE0">
        <w:rPr>
          <w:lang w:val="fr-FR"/>
        </w:rPr>
        <w:t>2</w:t>
      </w:r>
      <w:r w:rsidR="00F92E4A" w:rsidRPr="00F92E4A">
        <w:rPr>
          <w:lang w:val="fr-FR"/>
        </w:rPr>
        <w:t>.</w:t>
      </w:r>
      <w:r w:rsidRPr="00A41BE0">
        <w:rPr>
          <w:lang w:val="fr-FR"/>
        </w:rPr>
        <w:t>2</w:t>
      </w:r>
      <w:r w:rsidRPr="00A41BE0">
        <w:rPr>
          <w:lang w:val="fr-FR"/>
        </w:rPr>
        <w:tab/>
        <w:t>Le 4</w:t>
      </w:r>
      <w:r>
        <w:rPr>
          <w:lang w:val="fr-FR"/>
        </w:rPr>
        <w:t> </w:t>
      </w:r>
      <w:r w:rsidRPr="00A41BE0">
        <w:rPr>
          <w:lang w:val="fr-FR"/>
        </w:rPr>
        <w:t>novembre 2015, le tribunal du district d</w:t>
      </w:r>
      <w:r>
        <w:rPr>
          <w:lang w:val="fr-FR"/>
        </w:rPr>
        <w:t>’</w:t>
      </w:r>
      <w:proofErr w:type="spellStart"/>
      <w:r w:rsidRPr="00A41BE0">
        <w:rPr>
          <w:lang w:val="fr-FR"/>
        </w:rPr>
        <w:t>Oktyabrsky</w:t>
      </w:r>
      <w:proofErr w:type="spellEnd"/>
      <w:r w:rsidRPr="00A41BE0">
        <w:rPr>
          <w:lang w:val="fr-FR"/>
        </w:rPr>
        <w:t xml:space="preserve"> de la région de Gomel a déclaré l</w:t>
      </w:r>
      <w:r>
        <w:rPr>
          <w:lang w:val="fr-FR"/>
        </w:rPr>
        <w:t>’</w:t>
      </w:r>
      <w:r w:rsidRPr="00A41BE0">
        <w:rPr>
          <w:lang w:val="fr-FR"/>
        </w:rPr>
        <w:t>auteure coupable d</w:t>
      </w:r>
      <w:r>
        <w:rPr>
          <w:lang w:val="fr-FR"/>
        </w:rPr>
        <w:t>’</w:t>
      </w:r>
      <w:r w:rsidRPr="00A41BE0">
        <w:rPr>
          <w:lang w:val="fr-FR"/>
        </w:rPr>
        <w:t>infraction à l</w:t>
      </w:r>
      <w:r>
        <w:rPr>
          <w:lang w:val="fr-FR"/>
        </w:rPr>
        <w:t>’</w:t>
      </w:r>
      <w:r w:rsidRPr="00A41BE0">
        <w:rPr>
          <w:lang w:val="fr-FR"/>
        </w:rPr>
        <w:t>article 23</w:t>
      </w:r>
      <w:r w:rsidR="00F92E4A" w:rsidRPr="00F92E4A">
        <w:rPr>
          <w:lang w:val="fr-FR"/>
        </w:rPr>
        <w:t>.</w:t>
      </w:r>
      <w:r w:rsidRPr="00A41BE0">
        <w:rPr>
          <w:lang w:val="fr-FR"/>
        </w:rPr>
        <w:t>34 (1) du Code des infractions administratives et l</w:t>
      </w:r>
      <w:r>
        <w:rPr>
          <w:lang w:val="fr-FR"/>
        </w:rPr>
        <w:t>’</w:t>
      </w:r>
      <w:r w:rsidRPr="00A41BE0">
        <w:rPr>
          <w:lang w:val="fr-FR"/>
        </w:rPr>
        <w:t xml:space="preserve">a condamnée </w:t>
      </w:r>
      <w:r>
        <w:rPr>
          <w:lang w:val="fr-FR"/>
        </w:rPr>
        <w:t>au paiement d’</w:t>
      </w:r>
      <w:r w:rsidRPr="00A41BE0">
        <w:rPr>
          <w:lang w:val="fr-FR"/>
        </w:rPr>
        <w:t>une amende de 2 700 000 roubles bélarussiens</w:t>
      </w:r>
      <w:r w:rsidRPr="007D2392">
        <w:rPr>
          <w:rStyle w:val="Appelnotedebasdep"/>
        </w:rPr>
        <w:footnoteReference w:id="4"/>
      </w:r>
      <w:r w:rsidR="00F92E4A" w:rsidRPr="00F92E4A">
        <w:rPr>
          <w:lang w:val="fr-FR"/>
        </w:rPr>
        <w:t>.</w:t>
      </w:r>
      <w:r w:rsidRPr="00A41BE0">
        <w:rPr>
          <w:lang w:val="fr-FR"/>
        </w:rPr>
        <w:t xml:space="preserve"> À une date non précisée, l</w:t>
      </w:r>
      <w:r>
        <w:rPr>
          <w:lang w:val="fr-FR"/>
        </w:rPr>
        <w:t>’</w:t>
      </w:r>
      <w:r w:rsidRPr="00A41BE0">
        <w:rPr>
          <w:lang w:val="fr-FR"/>
        </w:rPr>
        <w:t>auteur</w:t>
      </w:r>
      <w:r>
        <w:rPr>
          <w:lang w:val="fr-FR"/>
        </w:rPr>
        <w:t>e</w:t>
      </w:r>
      <w:r w:rsidRPr="00A41BE0">
        <w:rPr>
          <w:lang w:val="fr-FR"/>
        </w:rPr>
        <w:t xml:space="preserve"> a fait appel devant le tribunal régional de Gomel</w:t>
      </w:r>
      <w:r w:rsidR="00F92E4A" w:rsidRPr="00F92E4A">
        <w:rPr>
          <w:lang w:val="fr-FR"/>
        </w:rPr>
        <w:t>.</w:t>
      </w:r>
      <w:r w:rsidRPr="00A41BE0">
        <w:rPr>
          <w:lang w:val="fr-FR"/>
        </w:rPr>
        <w:t xml:space="preserve"> Dans son acte d</w:t>
      </w:r>
      <w:r>
        <w:rPr>
          <w:lang w:val="fr-FR"/>
        </w:rPr>
        <w:t>’</w:t>
      </w:r>
      <w:r w:rsidRPr="00A41BE0">
        <w:rPr>
          <w:lang w:val="fr-FR"/>
        </w:rPr>
        <w:t xml:space="preserve">appel, elle a </w:t>
      </w:r>
      <w:r>
        <w:rPr>
          <w:lang w:val="fr-FR"/>
        </w:rPr>
        <w:t>contesté</w:t>
      </w:r>
      <w:r w:rsidRPr="00A41BE0">
        <w:rPr>
          <w:lang w:val="fr-FR"/>
        </w:rPr>
        <w:t xml:space="preserve"> les conclusions de la juridiction inférieure</w:t>
      </w:r>
      <w:r w:rsidR="00F92E4A" w:rsidRPr="00F92E4A">
        <w:rPr>
          <w:lang w:val="fr-FR"/>
        </w:rPr>
        <w:t>.</w:t>
      </w:r>
      <w:r w:rsidRPr="00A41BE0">
        <w:rPr>
          <w:lang w:val="fr-FR"/>
        </w:rPr>
        <w:t xml:space="preserve"> Elle </w:t>
      </w:r>
      <w:r>
        <w:rPr>
          <w:lang w:val="fr-FR"/>
        </w:rPr>
        <w:t>a dit</w:t>
      </w:r>
      <w:r w:rsidRPr="00A41BE0">
        <w:rPr>
          <w:lang w:val="fr-FR"/>
        </w:rPr>
        <w:t xml:space="preserve"> avoir agi dans le cadre des dispositions de la Constitution bélarussienne et n</w:t>
      </w:r>
      <w:r>
        <w:rPr>
          <w:lang w:val="fr-FR"/>
        </w:rPr>
        <w:t>’</w:t>
      </w:r>
      <w:r w:rsidRPr="00A41BE0">
        <w:rPr>
          <w:lang w:val="fr-FR"/>
        </w:rPr>
        <w:t xml:space="preserve">avoir jamais participé à une </w:t>
      </w:r>
      <w:r>
        <w:rPr>
          <w:lang w:val="fr-FR"/>
        </w:rPr>
        <w:t>« </w:t>
      </w:r>
      <w:r w:rsidRPr="00A41BE0">
        <w:rPr>
          <w:lang w:val="fr-FR"/>
        </w:rPr>
        <w:t>manifestation de masse</w:t>
      </w:r>
      <w:r>
        <w:rPr>
          <w:lang w:val="fr-FR"/>
        </w:rPr>
        <w:t> »</w:t>
      </w:r>
      <w:r w:rsidRPr="00A41BE0">
        <w:rPr>
          <w:lang w:val="fr-FR"/>
        </w:rPr>
        <w:t>, comme l</w:t>
      </w:r>
      <w:r>
        <w:rPr>
          <w:lang w:val="fr-FR"/>
        </w:rPr>
        <w:t>’</w:t>
      </w:r>
      <w:r w:rsidRPr="00A41BE0">
        <w:rPr>
          <w:lang w:val="fr-FR"/>
        </w:rPr>
        <w:t>a</w:t>
      </w:r>
      <w:r>
        <w:rPr>
          <w:lang w:val="fr-FR"/>
        </w:rPr>
        <w:t>vait</w:t>
      </w:r>
      <w:r w:rsidRPr="00A41BE0">
        <w:rPr>
          <w:lang w:val="fr-FR"/>
        </w:rPr>
        <w:t xml:space="preserve"> prétendu la juridiction inférieure</w:t>
      </w:r>
      <w:r w:rsidR="00F92E4A" w:rsidRPr="00F92E4A">
        <w:rPr>
          <w:lang w:val="fr-FR"/>
        </w:rPr>
        <w:t>.</w:t>
      </w:r>
    </w:p>
    <w:p w14:paraId="0A0A070F" w14:textId="234BA37F" w:rsidR="007D2392" w:rsidRPr="00A41BE0" w:rsidRDefault="007D2392" w:rsidP="007D2392">
      <w:pPr>
        <w:pStyle w:val="SingleTxtG"/>
        <w:rPr>
          <w:lang w:val="fr-FR"/>
        </w:rPr>
      </w:pPr>
      <w:r w:rsidRPr="00A41BE0">
        <w:rPr>
          <w:lang w:val="fr-FR"/>
        </w:rPr>
        <w:t>2</w:t>
      </w:r>
      <w:r w:rsidR="00F92E4A" w:rsidRPr="00F92E4A">
        <w:rPr>
          <w:lang w:val="fr-FR"/>
        </w:rPr>
        <w:t>.</w:t>
      </w:r>
      <w:r w:rsidRPr="00A41BE0">
        <w:rPr>
          <w:lang w:val="fr-FR"/>
        </w:rPr>
        <w:t>3</w:t>
      </w:r>
      <w:r w:rsidRPr="00A41BE0">
        <w:rPr>
          <w:lang w:val="fr-FR"/>
        </w:rPr>
        <w:tab/>
        <w:t>Le tribunal régional a rejeté le recours le 27 novembre 2015</w:t>
      </w:r>
      <w:r w:rsidR="00F92E4A" w:rsidRPr="00F92E4A">
        <w:rPr>
          <w:lang w:val="fr-FR"/>
        </w:rPr>
        <w:t>.</w:t>
      </w:r>
      <w:r w:rsidRPr="00A41BE0">
        <w:rPr>
          <w:lang w:val="fr-FR"/>
        </w:rPr>
        <w:t xml:space="preserve"> Il s</w:t>
      </w:r>
      <w:r>
        <w:rPr>
          <w:lang w:val="fr-FR"/>
        </w:rPr>
        <w:t>’</w:t>
      </w:r>
      <w:r w:rsidRPr="00A41BE0">
        <w:rPr>
          <w:lang w:val="fr-FR"/>
        </w:rPr>
        <w:t>est rangé à l</w:t>
      </w:r>
      <w:r>
        <w:rPr>
          <w:lang w:val="fr-FR"/>
        </w:rPr>
        <w:t>’</w:t>
      </w:r>
      <w:r w:rsidRPr="00A41BE0">
        <w:rPr>
          <w:lang w:val="fr-FR"/>
        </w:rPr>
        <w:t>avis de la juridiction inférieure et s</w:t>
      </w:r>
      <w:r>
        <w:rPr>
          <w:lang w:val="fr-FR"/>
        </w:rPr>
        <w:t>’</w:t>
      </w:r>
      <w:r w:rsidRPr="00A41BE0">
        <w:rPr>
          <w:lang w:val="fr-FR"/>
        </w:rPr>
        <w:t>est appuyé sur les rapports établis par les policiers</w:t>
      </w:r>
      <w:r w:rsidR="00F92E4A" w:rsidRPr="00F92E4A">
        <w:rPr>
          <w:lang w:val="fr-FR"/>
        </w:rPr>
        <w:t>.</w:t>
      </w:r>
      <w:r w:rsidRPr="00A41BE0">
        <w:rPr>
          <w:lang w:val="fr-FR"/>
        </w:rPr>
        <w:t xml:space="preserve"> Il n</w:t>
      </w:r>
      <w:r>
        <w:rPr>
          <w:lang w:val="fr-FR"/>
        </w:rPr>
        <w:t>’</w:t>
      </w:r>
      <w:r w:rsidRPr="00A41BE0">
        <w:rPr>
          <w:lang w:val="fr-FR"/>
        </w:rPr>
        <w:t>a pas tenu compte des arguments de l</w:t>
      </w:r>
      <w:r>
        <w:rPr>
          <w:lang w:val="fr-FR"/>
        </w:rPr>
        <w:t>’</w:t>
      </w:r>
      <w:r w:rsidRPr="00A41BE0">
        <w:rPr>
          <w:lang w:val="fr-FR"/>
        </w:rPr>
        <w:t>auteure concernant la Constitution bé</w:t>
      </w:r>
      <w:r>
        <w:rPr>
          <w:lang w:val="fr-FR"/>
        </w:rPr>
        <w:t>l</w:t>
      </w:r>
      <w:r w:rsidRPr="00A41BE0">
        <w:rPr>
          <w:lang w:val="fr-FR"/>
        </w:rPr>
        <w:t xml:space="preserve">arussienne et </w:t>
      </w:r>
      <w:r>
        <w:rPr>
          <w:lang w:val="fr-FR"/>
        </w:rPr>
        <w:t>d</w:t>
      </w:r>
      <w:r w:rsidRPr="00A41BE0">
        <w:rPr>
          <w:lang w:val="fr-FR"/>
        </w:rPr>
        <w:t xml:space="preserve">es dispositions du Pacte </w:t>
      </w:r>
      <w:r>
        <w:rPr>
          <w:lang w:val="fr-FR"/>
        </w:rPr>
        <w:t>qu’elle avait</w:t>
      </w:r>
      <w:r w:rsidRPr="00A41BE0">
        <w:rPr>
          <w:lang w:val="fr-FR"/>
        </w:rPr>
        <w:t xml:space="preserve"> mentionnées dans son acte d</w:t>
      </w:r>
      <w:r>
        <w:rPr>
          <w:lang w:val="fr-FR"/>
        </w:rPr>
        <w:t>’</w:t>
      </w:r>
      <w:r w:rsidRPr="00A41BE0">
        <w:rPr>
          <w:lang w:val="fr-FR"/>
        </w:rPr>
        <w:t>appel</w:t>
      </w:r>
      <w:r w:rsidR="00F92E4A" w:rsidRPr="00F92E4A">
        <w:rPr>
          <w:lang w:val="fr-FR"/>
        </w:rPr>
        <w:t>.</w:t>
      </w:r>
      <w:r w:rsidRPr="00A41BE0">
        <w:rPr>
          <w:lang w:val="fr-FR"/>
        </w:rPr>
        <w:t xml:space="preserve"> Le</w:t>
      </w:r>
      <w:r>
        <w:rPr>
          <w:lang w:val="fr-FR"/>
        </w:rPr>
        <w:t>s</w:t>
      </w:r>
      <w:r w:rsidRPr="00A41BE0">
        <w:rPr>
          <w:lang w:val="fr-FR"/>
        </w:rPr>
        <w:t xml:space="preserve"> 23</w:t>
      </w:r>
      <w:r>
        <w:rPr>
          <w:lang w:val="fr-FR"/>
        </w:rPr>
        <w:t> </w:t>
      </w:r>
      <w:r w:rsidRPr="00A41BE0">
        <w:rPr>
          <w:lang w:val="fr-FR"/>
        </w:rPr>
        <w:t>décembre 2015 et 24</w:t>
      </w:r>
      <w:r>
        <w:rPr>
          <w:lang w:val="fr-FR"/>
        </w:rPr>
        <w:t> </w:t>
      </w:r>
      <w:r w:rsidRPr="00A41BE0">
        <w:rPr>
          <w:lang w:val="fr-FR"/>
        </w:rPr>
        <w:t>février 2016, l</w:t>
      </w:r>
      <w:r>
        <w:rPr>
          <w:lang w:val="fr-FR"/>
        </w:rPr>
        <w:t>’</w:t>
      </w:r>
      <w:r w:rsidRPr="00A41BE0">
        <w:rPr>
          <w:lang w:val="fr-FR"/>
        </w:rPr>
        <w:t>auteure a demandé un réexamen au titre de la procédure de contrôle, respectivement au Président du tribunal régional de Gomel et au Président de la Cour suprême</w:t>
      </w:r>
      <w:r w:rsidR="00F92E4A" w:rsidRPr="00F92E4A">
        <w:rPr>
          <w:lang w:val="fr-FR"/>
        </w:rPr>
        <w:t>.</w:t>
      </w:r>
      <w:r w:rsidRPr="00A41BE0">
        <w:rPr>
          <w:lang w:val="fr-FR"/>
        </w:rPr>
        <w:t xml:space="preserve"> Ses recours ont été rejetés</w:t>
      </w:r>
      <w:r>
        <w:rPr>
          <w:lang w:val="fr-FR"/>
        </w:rPr>
        <w:t xml:space="preserve"> </w:t>
      </w:r>
      <w:r w:rsidRPr="00A41BE0">
        <w:rPr>
          <w:lang w:val="fr-FR"/>
        </w:rPr>
        <w:t>le</w:t>
      </w:r>
      <w:r>
        <w:rPr>
          <w:lang w:val="fr-FR"/>
        </w:rPr>
        <w:t>s</w:t>
      </w:r>
      <w:r w:rsidRPr="00A41BE0">
        <w:rPr>
          <w:lang w:val="fr-FR"/>
        </w:rPr>
        <w:t xml:space="preserve"> 4 février et 11 avril 2016, les présidents des</w:t>
      </w:r>
      <w:r>
        <w:rPr>
          <w:lang w:val="fr-FR"/>
        </w:rPr>
        <w:t xml:space="preserve"> deux</w:t>
      </w:r>
      <w:r w:rsidRPr="00A41BE0">
        <w:rPr>
          <w:lang w:val="fr-FR"/>
        </w:rPr>
        <w:t xml:space="preserve"> juridictions saisies confirmant intégralement les conclusions des juridictions inférieures</w:t>
      </w:r>
      <w:r w:rsidR="00F92E4A" w:rsidRPr="00F92E4A">
        <w:rPr>
          <w:lang w:val="fr-FR"/>
        </w:rPr>
        <w:t>.</w:t>
      </w:r>
    </w:p>
    <w:p w14:paraId="3DBD9288" w14:textId="067A7C60" w:rsidR="007D2392" w:rsidRPr="00A41BE0" w:rsidRDefault="007D2392" w:rsidP="007D2392">
      <w:pPr>
        <w:pStyle w:val="H23G"/>
        <w:rPr>
          <w:lang w:val="fr-FR"/>
        </w:rPr>
      </w:pPr>
      <w:r w:rsidRPr="00A41BE0">
        <w:rPr>
          <w:lang w:val="fr-FR"/>
        </w:rPr>
        <w:tab/>
      </w:r>
      <w:r w:rsidRPr="00A41BE0">
        <w:rPr>
          <w:lang w:val="fr-FR"/>
        </w:rPr>
        <w:tab/>
        <w:t>Teneur de la plainte</w:t>
      </w:r>
    </w:p>
    <w:p w14:paraId="2CAB3B35" w14:textId="21515B6A" w:rsidR="007D2392" w:rsidRPr="00A41BE0" w:rsidRDefault="007D2392" w:rsidP="007D2392">
      <w:pPr>
        <w:pStyle w:val="SingleTxtG"/>
        <w:rPr>
          <w:lang w:val="fr-FR"/>
        </w:rPr>
      </w:pPr>
      <w:r w:rsidRPr="00A41BE0">
        <w:rPr>
          <w:lang w:val="fr-FR"/>
        </w:rPr>
        <w:t>3</w:t>
      </w:r>
      <w:r w:rsidR="00F92E4A" w:rsidRPr="00F92E4A">
        <w:rPr>
          <w:lang w:val="fr-FR"/>
        </w:rPr>
        <w:t>.</w:t>
      </w:r>
      <w:r w:rsidRPr="00A41BE0">
        <w:rPr>
          <w:lang w:val="fr-FR"/>
        </w:rPr>
        <w:t>1</w:t>
      </w:r>
      <w:r w:rsidRPr="00A41BE0">
        <w:rPr>
          <w:lang w:val="fr-FR"/>
        </w:rPr>
        <w:tab/>
        <w:t>L</w:t>
      </w:r>
      <w:r>
        <w:rPr>
          <w:lang w:val="fr-FR"/>
        </w:rPr>
        <w:t>’</w:t>
      </w:r>
      <w:r w:rsidRPr="00A41BE0">
        <w:rPr>
          <w:lang w:val="fr-FR"/>
        </w:rPr>
        <w:t>auteure affirme que les droits qu</w:t>
      </w:r>
      <w:r>
        <w:rPr>
          <w:lang w:val="fr-FR"/>
        </w:rPr>
        <w:t>’</w:t>
      </w:r>
      <w:r w:rsidRPr="00A41BE0">
        <w:rPr>
          <w:lang w:val="fr-FR"/>
        </w:rPr>
        <w:t>elle tient de l</w:t>
      </w:r>
      <w:r>
        <w:rPr>
          <w:lang w:val="fr-FR"/>
        </w:rPr>
        <w:t>’</w:t>
      </w:r>
      <w:r w:rsidRPr="00A41BE0">
        <w:rPr>
          <w:lang w:val="fr-FR"/>
        </w:rPr>
        <w:t>article 19 du Pacte, lu conjointement avec l</w:t>
      </w:r>
      <w:r>
        <w:rPr>
          <w:lang w:val="fr-FR"/>
        </w:rPr>
        <w:t>’</w:t>
      </w:r>
      <w:r w:rsidRPr="00A41BE0">
        <w:rPr>
          <w:lang w:val="fr-FR"/>
        </w:rPr>
        <w:t>article 2 (par</w:t>
      </w:r>
      <w:r w:rsidR="00F92E4A" w:rsidRPr="00F92E4A">
        <w:rPr>
          <w:lang w:val="fr-FR"/>
        </w:rPr>
        <w:t>.</w:t>
      </w:r>
      <w:r w:rsidRPr="00A41BE0">
        <w:rPr>
          <w:lang w:val="fr-FR"/>
        </w:rPr>
        <w:t xml:space="preserve"> 2 et 3), ont été violés par les restrictions inutiles </w:t>
      </w:r>
      <w:r>
        <w:rPr>
          <w:lang w:val="fr-FR"/>
        </w:rPr>
        <w:t>que</w:t>
      </w:r>
      <w:r w:rsidRPr="00A41BE0">
        <w:rPr>
          <w:lang w:val="fr-FR"/>
        </w:rPr>
        <w:t xml:space="preserve"> les autorités </w:t>
      </w:r>
      <w:r>
        <w:rPr>
          <w:lang w:val="fr-FR"/>
        </w:rPr>
        <w:t xml:space="preserve">ont imposées </w:t>
      </w:r>
      <w:r w:rsidRPr="00A41BE0">
        <w:rPr>
          <w:lang w:val="fr-FR"/>
        </w:rPr>
        <w:t>à son droit à la liberté d</w:t>
      </w:r>
      <w:r>
        <w:rPr>
          <w:lang w:val="fr-FR"/>
        </w:rPr>
        <w:t>’</w:t>
      </w:r>
      <w:r w:rsidRPr="00A41BE0">
        <w:rPr>
          <w:lang w:val="fr-FR"/>
        </w:rPr>
        <w:t>expression</w:t>
      </w:r>
      <w:r w:rsidR="00F92E4A" w:rsidRPr="00F92E4A">
        <w:rPr>
          <w:lang w:val="fr-FR"/>
        </w:rPr>
        <w:t>.</w:t>
      </w:r>
    </w:p>
    <w:p w14:paraId="400B24E3" w14:textId="7C1970AF" w:rsidR="007D2392" w:rsidRPr="00A41BE0" w:rsidRDefault="007D2392" w:rsidP="007D2392">
      <w:pPr>
        <w:pStyle w:val="SingleTxtG"/>
        <w:keepNext/>
        <w:keepLines/>
        <w:rPr>
          <w:lang w:val="fr-FR"/>
        </w:rPr>
      </w:pPr>
      <w:r w:rsidRPr="00A41BE0">
        <w:rPr>
          <w:lang w:val="fr-FR"/>
        </w:rPr>
        <w:t>3</w:t>
      </w:r>
      <w:r w:rsidR="00F92E4A" w:rsidRPr="00F92E4A">
        <w:rPr>
          <w:lang w:val="fr-FR"/>
        </w:rPr>
        <w:t>.</w:t>
      </w:r>
      <w:r w:rsidRPr="00A41BE0">
        <w:rPr>
          <w:lang w:val="fr-FR"/>
        </w:rPr>
        <w:t>2</w:t>
      </w:r>
      <w:r w:rsidRPr="00A41BE0">
        <w:rPr>
          <w:lang w:val="fr-FR"/>
        </w:rPr>
        <w:tab/>
        <w:t>L</w:t>
      </w:r>
      <w:r>
        <w:rPr>
          <w:lang w:val="fr-FR"/>
        </w:rPr>
        <w:t>’</w:t>
      </w:r>
      <w:r w:rsidRPr="00A41BE0">
        <w:rPr>
          <w:lang w:val="fr-FR"/>
        </w:rPr>
        <w:t>auteure demande au Comité de constater une violation, par le Bélarus, de l</w:t>
      </w:r>
      <w:r>
        <w:rPr>
          <w:lang w:val="fr-FR"/>
        </w:rPr>
        <w:t>’</w:t>
      </w:r>
      <w:r w:rsidRPr="00A41BE0">
        <w:rPr>
          <w:lang w:val="fr-FR"/>
        </w:rPr>
        <w:t>article</w:t>
      </w:r>
      <w:r>
        <w:rPr>
          <w:lang w:val="fr-FR"/>
        </w:rPr>
        <w:t> </w:t>
      </w:r>
      <w:r w:rsidRPr="00A41BE0">
        <w:rPr>
          <w:lang w:val="fr-FR"/>
        </w:rPr>
        <w:t>19 du Pacte, lu conjointement avec l</w:t>
      </w:r>
      <w:r>
        <w:rPr>
          <w:lang w:val="fr-FR"/>
        </w:rPr>
        <w:t>’</w:t>
      </w:r>
      <w:r w:rsidRPr="00A41BE0">
        <w:rPr>
          <w:lang w:val="fr-FR"/>
        </w:rPr>
        <w:t>article 2 (par</w:t>
      </w:r>
      <w:r w:rsidR="00F92E4A" w:rsidRPr="00F92E4A">
        <w:rPr>
          <w:lang w:val="fr-FR"/>
        </w:rPr>
        <w:t>.</w:t>
      </w:r>
      <w:r w:rsidRPr="00A41BE0">
        <w:rPr>
          <w:lang w:val="fr-FR"/>
        </w:rPr>
        <w:t xml:space="preserve"> 2 et 3)</w:t>
      </w:r>
      <w:r>
        <w:rPr>
          <w:lang w:val="fr-FR"/>
        </w:rPr>
        <w:t>,</w:t>
      </w:r>
      <w:r w:rsidRPr="00A41BE0">
        <w:rPr>
          <w:lang w:val="fr-FR"/>
        </w:rPr>
        <w:t xml:space="preserve"> et </w:t>
      </w:r>
      <w:r>
        <w:rPr>
          <w:lang w:val="fr-FR"/>
        </w:rPr>
        <w:t>d’exhorter</w:t>
      </w:r>
      <w:r w:rsidRPr="00A41BE0">
        <w:rPr>
          <w:lang w:val="fr-FR"/>
        </w:rPr>
        <w:t xml:space="preserve"> l</w:t>
      </w:r>
      <w:r>
        <w:rPr>
          <w:lang w:val="fr-FR"/>
        </w:rPr>
        <w:t>’</w:t>
      </w:r>
      <w:r w:rsidRPr="00A41BE0">
        <w:rPr>
          <w:lang w:val="fr-FR"/>
        </w:rPr>
        <w:t xml:space="preserve">État partie </w:t>
      </w:r>
      <w:r>
        <w:rPr>
          <w:lang w:val="fr-FR"/>
        </w:rPr>
        <w:t>à</w:t>
      </w:r>
      <w:r w:rsidRPr="00A41BE0">
        <w:rPr>
          <w:lang w:val="fr-FR"/>
        </w:rPr>
        <w:t xml:space="preserve"> mettre sa législation sur le droit de réunion pacifique en conformité avec les exigences des articles</w:t>
      </w:r>
      <w:r>
        <w:rPr>
          <w:lang w:val="fr-FR"/>
        </w:rPr>
        <w:t> </w:t>
      </w:r>
      <w:r w:rsidRPr="00A41BE0">
        <w:rPr>
          <w:lang w:val="fr-FR"/>
        </w:rPr>
        <w:t>19 et 21 du Pacte</w:t>
      </w:r>
      <w:r w:rsidR="00F92E4A" w:rsidRPr="00F92E4A">
        <w:rPr>
          <w:lang w:val="fr-FR"/>
        </w:rPr>
        <w:t>.</w:t>
      </w:r>
    </w:p>
    <w:p w14:paraId="069300FE" w14:textId="77777777" w:rsidR="007D2392" w:rsidRPr="00A41BE0" w:rsidRDefault="007D2392" w:rsidP="007D2392">
      <w:pPr>
        <w:pStyle w:val="H23G"/>
        <w:rPr>
          <w:lang w:val="fr-FR"/>
        </w:rPr>
      </w:pPr>
      <w:r w:rsidRPr="00A41BE0">
        <w:rPr>
          <w:lang w:val="fr-FR"/>
        </w:rPr>
        <w:tab/>
      </w:r>
      <w:r w:rsidRPr="00A41BE0">
        <w:rPr>
          <w:lang w:val="fr-FR"/>
        </w:rPr>
        <w:tab/>
        <w:t>Observations de l</w:t>
      </w:r>
      <w:r>
        <w:rPr>
          <w:lang w:val="fr-FR"/>
        </w:rPr>
        <w:t>’</w:t>
      </w:r>
      <w:r w:rsidRPr="00A41BE0">
        <w:rPr>
          <w:lang w:val="fr-FR"/>
        </w:rPr>
        <w:t>État partie sur la recevabilité et sur le fond</w:t>
      </w:r>
    </w:p>
    <w:p w14:paraId="5099D2A9" w14:textId="7E5A89E1" w:rsidR="007D2392" w:rsidRPr="00A41BE0" w:rsidRDefault="007D2392" w:rsidP="007D2392">
      <w:pPr>
        <w:pStyle w:val="SingleTxtG"/>
        <w:rPr>
          <w:lang w:val="fr-FR"/>
        </w:rPr>
      </w:pPr>
      <w:r w:rsidRPr="00A41BE0">
        <w:rPr>
          <w:lang w:val="fr-FR"/>
        </w:rPr>
        <w:t>4</w:t>
      </w:r>
      <w:r w:rsidR="00F92E4A" w:rsidRPr="00F92E4A">
        <w:rPr>
          <w:lang w:val="fr-FR"/>
        </w:rPr>
        <w:t>.</w:t>
      </w:r>
      <w:r w:rsidRPr="00A41BE0">
        <w:rPr>
          <w:lang w:val="fr-FR"/>
        </w:rPr>
        <w:t>1</w:t>
      </w:r>
      <w:r w:rsidRPr="00A41BE0">
        <w:rPr>
          <w:lang w:val="fr-FR"/>
        </w:rPr>
        <w:tab/>
        <w:t>Par une note verbale du 10</w:t>
      </w:r>
      <w:r>
        <w:rPr>
          <w:lang w:val="fr-FR"/>
        </w:rPr>
        <w:t> </w:t>
      </w:r>
      <w:r w:rsidRPr="00A41BE0">
        <w:rPr>
          <w:lang w:val="fr-FR"/>
        </w:rPr>
        <w:t>février 2017, l</w:t>
      </w:r>
      <w:r>
        <w:rPr>
          <w:lang w:val="fr-FR"/>
        </w:rPr>
        <w:t>’</w:t>
      </w:r>
      <w:r w:rsidRPr="00A41BE0">
        <w:rPr>
          <w:lang w:val="fr-FR"/>
        </w:rPr>
        <w:t>État partie fait part de ses observations sur la recevabilité et sur le fond de la communication</w:t>
      </w:r>
      <w:r w:rsidR="00F92E4A" w:rsidRPr="00F92E4A">
        <w:rPr>
          <w:lang w:val="fr-FR"/>
        </w:rPr>
        <w:t>.</w:t>
      </w:r>
      <w:r w:rsidRPr="00A41BE0">
        <w:rPr>
          <w:lang w:val="fr-FR"/>
        </w:rPr>
        <w:t xml:space="preserve"> Il soutient que</w:t>
      </w:r>
      <w:r>
        <w:rPr>
          <w:lang w:val="fr-FR"/>
        </w:rPr>
        <w:t>,</w:t>
      </w:r>
      <w:r w:rsidRPr="00A41BE0">
        <w:rPr>
          <w:lang w:val="fr-FR"/>
        </w:rPr>
        <w:t xml:space="preserve"> si l</w:t>
      </w:r>
      <w:r>
        <w:rPr>
          <w:lang w:val="fr-FR"/>
        </w:rPr>
        <w:t>’</w:t>
      </w:r>
      <w:r w:rsidRPr="00A41BE0">
        <w:rPr>
          <w:lang w:val="fr-FR"/>
        </w:rPr>
        <w:t xml:space="preserve">auteure a </w:t>
      </w:r>
      <w:r>
        <w:rPr>
          <w:lang w:val="fr-FR"/>
        </w:rPr>
        <w:t>fait appel</w:t>
      </w:r>
      <w:r w:rsidRPr="00A41BE0">
        <w:rPr>
          <w:lang w:val="fr-FR"/>
        </w:rPr>
        <w:t xml:space="preserve"> devant le tribunal régional et la Cour suprême du Bélarus dans le cadre de la procédure de contrôle, elle n</w:t>
      </w:r>
      <w:r>
        <w:rPr>
          <w:lang w:val="fr-FR"/>
        </w:rPr>
        <w:t>’</w:t>
      </w:r>
      <w:r w:rsidRPr="00A41BE0">
        <w:rPr>
          <w:lang w:val="fr-FR"/>
        </w:rPr>
        <w:t>a pas</w:t>
      </w:r>
      <w:r>
        <w:rPr>
          <w:lang w:val="fr-FR"/>
        </w:rPr>
        <w:t>, dans le cadre de cette même procédure,</w:t>
      </w:r>
      <w:r w:rsidRPr="00A41BE0">
        <w:rPr>
          <w:lang w:val="fr-FR"/>
        </w:rPr>
        <w:t xml:space="preserve"> saisi le bureau du Procureur, comme </w:t>
      </w:r>
      <w:r>
        <w:rPr>
          <w:lang w:val="fr-FR"/>
        </w:rPr>
        <w:t>l’exige</w:t>
      </w:r>
      <w:r w:rsidRPr="00A41BE0">
        <w:rPr>
          <w:lang w:val="fr-FR"/>
        </w:rPr>
        <w:t xml:space="preserve"> l</w:t>
      </w:r>
      <w:r>
        <w:rPr>
          <w:lang w:val="fr-FR"/>
        </w:rPr>
        <w:t>’</w:t>
      </w:r>
      <w:r w:rsidRPr="00A41BE0">
        <w:rPr>
          <w:lang w:val="fr-FR"/>
        </w:rPr>
        <w:t>article 12</w:t>
      </w:r>
      <w:r w:rsidR="00F92E4A" w:rsidRPr="00F92E4A">
        <w:rPr>
          <w:lang w:val="fr-FR"/>
        </w:rPr>
        <w:t>.</w:t>
      </w:r>
      <w:r w:rsidRPr="00A41BE0">
        <w:rPr>
          <w:lang w:val="fr-FR"/>
        </w:rPr>
        <w:t>11</w:t>
      </w:r>
      <w:r>
        <w:rPr>
          <w:lang w:val="fr-FR"/>
        </w:rPr>
        <w:t> </w:t>
      </w:r>
      <w:r w:rsidRPr="00A41BE0">
        <w:rPr>
          <w:lang w:val="fr-FR"/>
        </w:rPr>
        <w:t>(1) du Code des infractions administratives</w:t>
      </w:r>
      <w:r w:rsidR="00F92E4A" w:rsidRPr="00F92E4A">
        <w:rPr>
          <w:lang w:val="fr-FR"/>
        </w:rPr>
        <w:t>.</w:t>
      </w:r>
      <w:r w:rsidRPr="00A41BE0">
        <w:rPr>
          <w:lang w:val="fr-FR"/>
        </w:rPr>
        <w:t xml:space="preserve"> Cette omission signifie que l</w:t>
      </w:r>
      <w:r>
        <w:rPr>
          <w:lang w:val="fr-FR"/>
        </w:rPr>
        <w:t>’</w:t>
      </w:r>
      <w:r w:rsidRPr="00A41BE0">
        <w:rPr>
          <w:lang w:val="fr-FR"/>
        </w:rPr>
        <w:t>auteure n</w:t>
      </w:r>
      <w:r>
        <w:rPr>
          <w:lang w:val="fr-FR"/>
        </w:rPr>
        <w:t>’</w:t>
      </w:r>
      <w:r w:rsidRPr="00A41BE0">
        <w:rPr>
          <w:lang w:val="fr-FR"/>
        </w:rPr>
        <w:t>a pas épuisé les recours internes disponibles</w:t>
      </w:r>
      <w:r w:rsidR="00F92E4A" w:rsidRPr="00F92E4A">
        <w:rPr>
          <w:lang w:val="fr-FR"/>
        </w:rPr>
        <w:t>.</w:t>
      </w:r>
      <w:r w:rsidRPr="00A41BE0">
        <w:rPr>
          <w:lang w:val="fr-FR"/>
        </w:rPr>
        <w:t xml:space="preserve"> Sa communication peut donc être considérée comme un abus du droit de présenter des communications, en vertu de l</w:t>
      </w:r>
      <w:r>
        <w:rPr>
          <w:lang w:val="fr-FR"/>
        </w:rPr>
        <w:t>’</w:t>
      </w:r>
      <w:r w:rsidRPr="00A41BE0">
        <w:rPr>
          <w:lang w:val="fr-FR"/>
        </w:rPr>
        <w:t>article</w:t>
      </w:r>
      <w:r>
        <w:rPr>
          <w:lang w:val="fr-FR"/>
        </w:rPr>
        <w:t> </w:t>
      </w:r>
      <w:r w:rsidRPr="00A41BE0">
        <w:rPr>
          <w:lang w:val="fr-FR"/>
        </w:rPr>
        <w:t>3 du Protocole facultatif se rapportant au Pacte</w:t>
      </w:r>
      <w:r w:rsidR="00F92E4A" w:rsidRPr="00F92E4A">
        <w:rPr>
          <w:lang w:val="fr-FR"/>
        </w:rPr>
        <w:t>.</w:t>
      </w:r>
    </w:p>
    <w:p w14:paraId="383374B0" w14:textId="2C7F58FB" w:rsidR="007D2392" w:rsidRPr="00A41BE0" w:rsidRDefault="007D2392" w:rsidP="007D2392">
      <w:pPr>
        <w:pStyle w:val="SingleTxtG"/>
        <w:rPr>
          <w:lang w:val="fr-FR"/>
        </w:rPr>
      </w:pPr>
      <w:r w:rsidRPr="00A41BE0">
        <w:rPr>
          <w:lang w:val="fr-FR"/>
        </w:rPr>
        <w:t>4</w:t>
      </w:r>
      <w:r w:rsidR="00F92E4A" w:rsidRPr="00F92E4A">
        <w:rPr>
          <w:lang w:val="fr-FR"/>
        </w:rPr>
        <w:t>.</w:t>
      </w:r>
      <w:r w:rsidRPr="00A41BE0">
        <w:rPr>
          <w:lang w:val="fr-FR"/>
        </w:rPr>
        <w:t>2</w:t>
      </w:r>
      <w:r w:rsidRPr="00A41BE0">
        <w:rPr>
          <w:lang w:val="fr-FR"/>
        </w:rPr>
        <w:tab/>
        <w:t>L</w:t>
      </w:r>
      <w:r>
        <w:rPr>
          <w:lang w:val="fr-FR"/>
        </w:rPr>
        <w:t>’</w:t>
      </w:r>
      <w:r w:rsidRPr="00A41BE0">
        <w:rPr>
          <w:lang w:val="fr-FR"/>
        </w:rPr>
        <w:t>État partie ajoute qu</w:t>
      </w:r>
      <w:r>
        <w:rPr>
          <w:lang w:val="fr-FR"/>
        </w:rPr>
        <w:t>’</w:t>
      </w:r>
      <w:r w:rsidRPr="00A41BE0">
        <w:rPr>
          <w:lang w:val="fr-FR"/>
        </w:rPr>
        <w:t>e</w:t>
      </w:r>
      <w:r>
        <w:rPr>
          <w:lang w:val="fr-FR"/>
        </w:rPr>
        <w:t>n outre,</w:t>
      </w:r>
      <w:r w:rsidRPr="00A41BE0">
        <w:rPr>
          <w:lang w:val="fr-FR"/>
        </w:rPr>
        <w:t xml:space="preserve"> les </w:t>
      </w:r>
      <w:r>
        <w:rPr>
          <w:lang w:val="fr-FR"/>
        </w:rPr>
        <w:t>allégations</w:t>
      </w:r>
      <w:r w:rsidRPr="00A41BE0">
        <w:rPr>
          <w:lang w:val="fr-FR"/>
        </w:rPr>
        <w:t xml:space="preserve"> de l</w:t>
      </w:r>
      <w:r>
        <w:rPr>
          <w:lang w:val="fr-FR"/>
        </w:rPr>
        <w:t>’</w:t>
      </w:r>
      <w:r w:rsidRPr="00A41BE0">
        <w:rPr>
          <w:lang w:val="fr-FR"/>
        </w:rPr>
        <w:t xml:space="preserve">auteure </w:t>
      </w:r>
      <w:r>
        <w:rPr>
          <w:lang w:val="fr-FR"/>
        </w:rPr>
        <w:t>concernant la</w:t>
      </w:r>
      <w:r w:rsidRPr="00A41BE0">
        <w:rPr>
          <w:lang w:val="fr-FR"/>
        </w:rPr>
        <w:t xml:space="preserve"> violation des droits qu</w:t>
      </w:r>
      <w:r>
        <w:rPr>
          <w:lang w:val="fr-FR"/>
        </w:rPr>
        <w:t>’</w:t>
      </w:r>
      <w:r w:rsidRPr="00A41BE0">
        <w:rPr>
          <w:lang w:val="fr-FR"/>
        </w:rPr>
        <w:t>elle tient des articles 19 et 21 du Pacte, ainsi que de l</w:t>
      </w:r>
      <w:r>
        <w:rPr>
          <w:lang w:val="fr-FR"/>
        </w:rPr>
        <w:t>’</w:t>
      </w:r>
      <w:r w:rsidRPr="00A41BE0">
        <w:rPr>
          <w:lang w:val="fr-FR"/>
        </w:rPr>
        <w:t>article 2 (par</w:t>
      </w:r>
      <w:r w:rsidR="00F92E4A" w:rsidRPr="00F92E4A">
        <w:rPr>
          <w:lang w:val="fr-FR"/>
        </w:rPr>
        <w:t>.</w:t>
      </w:r>
      <w:r w:rsidRPr="00A41BE0">
        <w:rPr>
          <w:lang w:val="fr-FR"/>
        </w:rPr>
        <w:t> 2 et 3), sont sans fondement</w:t>
      </w:r>
      <w:r w:rsidR="00F92E4A" w:rsidRPr="00F92E4A">
        <w:rPr>
          <w:lang w:val="fr-FR"/>
        </w:rPr>
        <w:t>.</w:t>
      </w:r>
      <w:r w:rsidRPr="00A41BE0">
        <w:rPr>
          <w:lang w:val="fr-FR"/>
        </w:rPr>
        <w:t xml:space="preserve"> Les articles 33 et 35 de la Constitution </w:t>
      </w:r>
      <w:r>
        <w:rPr>
          <w:lang w:val="fr-FR"/>
        </w:rPr>
        <w:t>b</w:t>
      </w:r>
      <w:r w:rsidRPr="00A41BE0">
        <w:rPr>
          <w:lang w:val="fr-FR"/>
        </w:rPr>
        <w:t>élarus</w:t>
      </w:r>
      <w:r>
        <w:rPr>
          <w:lang w:val="fr-FR"/>
        </w:rPr>
        <w:t>sienne</w:t>
      </w:r>
      <w:r w:rsidRPr="00A41BE0">
        <w:rPr>
          <w:lang w:val="fr-FR"/>
        </w:rPr>
        <w:t xml:space="preserve"> garantissent ces droits aux citoyens</w:t>
      </w:r>
      <w:r w:rsidR="00F92E4A" w:rsidRPr="00F92E4A">
        <w:rPr>
          <w:lang w:val="fr-FR"/>
        </w:rPr>
        <w:t>.</w:t>
      </w:r>
      <w:r w:rsidRPr="00A41BE0">
        <w:rPr>
          <w:lang w:val="fr-FR"/>
        </w:rPr>
        <w:t xml:space="preserve"> La loi du 30</w:t>
      </w:r>
      <w:r>
        <w:rPr>
          <w:lang w:val="fr-FR"/>
        </w:rPr>
        <w:t> </w:t>
      </w:r>
      <w:r w:rsidRPr="00A41BE0">
        <w:rPr>
          <w:lang w:val="fr-FR"/>
        </w:rPr>
        <w:t>décembre 1997 sur les manifestations</w:t>
      </w:r>
      <w:r>
        <w:rPr>
          <w:lang w:val="fr-FR"/>
        </w:rPr>
        <w:t xml:space="preserve"> publiques</w:t>
      </w:r>
      <w:r w:rsidRPr="00A41BE0">
        <w:rPr>
          <w:lang w:val="fr-FR"/>
        </w:rPr>
        <w:t xml:space="preserve"> prévoit également des garanties complètes pour protéger les droits constitutionnels des citoyens</w:t>
      </w:r>
      <w:r>
        <w:rPr>
          <w:lang w:val="fr-FR"/>
        </w:rPr>
        <w:t xml:space="preserve"> du Bélarus,</w:t>
      </w:r>
      <w:r w:rsidRPr="00A41BE0">
        <w:rPr>
          <w:lang w:val="fr-FR"/>
        </w:rPr>
        <w:t xml:space="preserve"> et </w:t>
      </w:r>
      <w:r>
        <w:rPr>
          <w:lang w:val="fr-FR"/>
        </w:rPr>
        <w:t xml:space="preserve">l’on </w:t>
      </w:r>
      <w:r w:rsidRPr="00A41BE0">
        <w:rPr>
          <w:lang w:val="fr-FR"/>
        </w:rPr>
        <w:t>ne saurait considér</w:t>
      </w:r>
      <w:r>
        <w:rPr>
          <w:lang w:val="fr-FR"/>
        </w:rPr>
        <w:t xml:space="preserve">er qu’elle </w:t>
      </w:r>
      <w:r w:rsidRPr="00A41BE0">
        <w:rPr>
          <w:lang w:val="fr-FR"/>
        </w:rPr>
        <w:t>limit</w:t>
      </w:r>
      <w:r>
        <w:rPr>
          <w:lang w:val="fr-FR"/>
        </w:rPr>
        <w:t>e</w:t>
      </w:r>
      <w:r w:rsidRPr="00A41BE0">
        <w:rPr>
          <w:lang w:val="fr-FR"/>
        </w:rPr>
        <w:t xml:space="preserve"> les droits que ces derniers tiennent de l</w:t>
      </w:r>
      <w:r>
        <w:rPr>
          <w:lang w:val="fr-FR"/>
        </w:rPr>
        <w:t>’</w:t>
      </w:r>
      <w:r w:rsidRPr="00A41BE0">
        <w:rPr>
          <w:lang w:val="fr-FR"/>
        </w:rPr>
        <w:t>article</w:t>
      </w:r>
      <w:r>
        <w:rPr>
          <w:lang w:val="fr-FR"/>
        </w:rPr>
        <w:t> </w:t>
      </w:r>
      <w:r w:rsidRPr="00A41BE0">
        <w:rPr>
          <w:lang w:val="fr-FR"/>
        </w:rPr>
        <w:t>19 (par</w:t>
      </w:r>
      <w:r w:rsidR="00F92E4A" w:rsidRPr="00F92E4A">
        <w:rPr>
          <w:lang w:val="fr-FR"/>
        </w:rPr>
        <w:t>.</w:t>
      </w:r>
      <w:r w:rsidRPr="00A41BE0">
        <w:rPr>
          <w:lang w:val="fr-FR"/>
        </w:rPr>
        <w:t xml:space="preserve"> 3) du Pacte</w:t>
      </w:r>
      <w:r w:rsidR="00F92E4A" w:rsidRPr="00F92E4A">
        <w:rPr>
          <w:lang w:val="fr-FR"/>
        </w:rPr>
        <w:t>.</w:t>
      </w:r>
    </w:p>
    <w:p w14:paraId="29104EDE" w14:textId="77777777" w:rsidR="007D2392" w:rsidRPr="00A41BE0" w:rsidRDefault="007D2392" w:rsidP="007D2392">
      <w:pPr>
        <w:pStyle w:val="H23G"/>
        <w:rPr>
          <w:lang w:val="fr-FR"/>
        </w:rPr>
      </w:pPr>
      <w:r w:rsidRPr="00A41BE0">
        <w:rPr>
          <w:lang w:val="fr-FR"/>
        </w:rPr>
        <w:tab/>
      </w:r>
      <w:r w:rsidRPr="00A41BE0">
        <w:rPr>
          <w:lang w:val="fr-FR"/>
        </w:rPr>
        <w:tab/>
        <w:t>Commentaires de l</w:t>
      </w:r>
      <w:r>
        <w:rPr>
          <w:lang w:val="fr-FR"/>
        </w:rPr>
        <w:t>’</w:t>
      </w:r>
      <w:r w:rsidRPr="00A41BE0">
        <w:rPr>
          <w:lang w:val="fr-FR"/>
        </w:rPr>
        <w:t>auteure sur les observations de l</w:t>
      </w:r>
      <w:r>
        <w:rPr>
          <w:lang w:val="fr-FR"/>
        </w:rPr>
        <w:t>’</w:t>
      </w:r>
      <w:r w:rsidRPr="00A41BE0">
        <w:rPr>
          <w:lang w:val="fr-FR"/>
        </w:rPr>
        <w:t>État partie</w:t>
      </w:r>
    </w:p>
    <w:p w14:paraId="71AE66B3" w14:textId="3B0E1B1A" w:rsidR="007D2392" w:rsidRPr="00A41BE0" w:rsidRDefault="007D2392" w:rsidP="007D2392">
      <w:pPr>
        <w:pStyle w:val="SingleTxtG"/>
        <w:rPr>
          <w:lang w:val="fr-FR"/>
        </w:rPr>
      </w:pPr>
      <w:r w:rsidRPr="00A41BE0">
        <w:rPr>
          <w:lang w:val="fr-FR"/>
        </w:rPr>
        <w:t>5</w:t>
      </w:r>
      <w:r w:rsidR="00F92E4A" w:rsidRPr="00F92E4A">
        <w:rPr>
          <w:lang w:val="fr-FR"/>
        </w:rPr>
        <w:t>.</w:t>
      </w:r>
      <w:r w:rsidRPr="00A41BE0">
        <w:rPr>
          <w:lang w:val="fr-FR"/>
        </w:rPr>
        <w:t>1</w:t>
      </w:r>
      <w:r w:rsidRPr="00A41BE0">
        <w:rPr>
          <w:lang w:val="fr-FR"/>
        </w:rPr>
        <w:tab/>
        <w:t>Le 17 mars 2017, en réponse aux observations de l</w:t>
      </w:r>
      <w:r>
        <w:rPr>
          <w:lang w:val="fr-FR"/>
        </w:rPr>
        <w:t>’</w:t>
      </w:r>
      <w:r w:rsidRPr="00A41BE0">
        <w:rPr>
          <w:lang w:val="fr-FR"/>
        </w:rPr>
        <w:t>État partie, l</w:t>
      </w:r>
      <w:r>
        <w:rPr>
          <w:lang w:val="fr-FR"/>
        </w:rPr>
        <w:t>’</w:t>
      </w:r>
      <w:r w:rsidRPr="00A41BE0">
        <w:rPr>
          <w:lang w:val="fr-FR"/>
        </w:rPr>
        <w:t>auteure avance que la procédure de contrôle n</w:t>
      </w:r>
      <w:r>
        <w:rPr>
          <w:lang w:val="fr-FR"/>
        </w:rPr>
        <w:t>’</w:t>
      </w:r>
      <w:r w:rsidRPr="00A41BE0">
        <w:rPr>
          <w:lang w:val="fr-FR"/>
        </w:rPr>
        <w:t xml:space="preserve">est pas un recours </w:t>
      </w:r>
      <w:r>
        <w:rPr>
          <w:lang w:val="fr-FR"/>
        </w:rPr>
        <w:t>utile</w:t>
      </w:r>
      <w:r w:rsidRPr="00A41BE0">
        <w:rPr>
          <w:lang w:val="fr-FR"/>
        </w:rPr>
        <w:t xml:space="preserve"> à épuiser</w:t>
      </w:r>
      <w:r w:rsidR="00F92E4A" w:rsidRPr="00F92E4A">
        <w:rPr>
          <w:lang w:val="fr-FR"/>
        </w:rPr>
        <w:t>.</w:t>
      </w:r>
      <w:r w:rsidRPr="00A41BE0">
        <w:rPr>
          <w:lang w:val="fr-FR"/>
        </w:rPr>
        <w:t xml:space="preserve"> En effet, l</w:t>
      </w:r>
      <w:r>
        <w:rPr>
          <w:lang w:val="fr-FR"/>
        </w:rPr>
        <w:t>’</w:t>
      </w:r>
      <w:r w:rsidRPr="00A41BE0">
        <w:rPr>
          <w:lang w:val="fr-FR"/>
        </w:rPr>
        <w:t xml:space="preserve">issue de cette procédure relève du pouvoir discrétionnaire des juges et des procureurs, et le Comité considère depuis longtemps que les demandes de réexamen </w:t>
      </w:r>
      <w:r>
        <w:rPr>
          <w:lang w:val="fr-FR"/>
        </w:rPr>
        <w:t>au titre de la procédure</w:t>
      </w:r>
      <w:r w:rsidRPr="00A41BE0">
        <w:rPr>
          <w:lang w:val="fr-FR"/>
        </w:rPr>
        <w:t xml:space="preserve"> de </w:t>
      </w:r>
      <w:r w:rsidRPr="00A41BE0">
        <w:rPr>
          <w:lang w:val="fr-FR"/>
        </w:rPr>
        <w:lastRenderedPageBreak/>
        <w:t>contrôle participent d</w:t>
      </w:r>
      <w:r>
        <w:rPr>
          <w:lang w:val="fr-FR"/>
        </w:rPr>
        <w:t>’</w:t>
      </w:r>
      <w:r w:rsidRPr="00A41BE0">
        <w:rPr>
          <w:lang w:val="fr-FR"/>
        </w:rPr>
        <w:t>une voie de recours inefficace et inutile</w:t>
      </w:r>
      <w:r w:rsidRPr="007D2392">
        <w:rPr>
          <w:rStyle w:val="Appelnotedebasdep"/>
        </w:rPr>
        <w:footnoteReference w:id="5"/>
      </w:r>
      <w:r w:rsidR="00F92E4A" w:rsidRPr="00F92E4A">
        <w:rPr>
          <w:lang w:val="fr-FR"/>
        </w:rPr>
        <w:t>.</w:t>
      </w:r>
      <w:r w:rsidRPr="00A41BE0">
        <w:rPr>
          <w:lang w:val="fr-FR"/>
        </w:rPr>
        <w:t xml:space="preserve"> L</w:t>
      </w:r>
      <w:r>
        <w:rPr>
          <w:lang w:val="fr-FR"/>
        </w:rPr>
        <w:t>’</w:t>
      </w:r>
      <w:r w:rsidRPr="00A41BE0">
        <w:rPr>
          <w:lang w:val="fr-FR"/>
        </w:rPr>
        <w:t>auteure n</w:t>
      </w:r>
      <w:r>
        <w:rPr>
          <w:lang w:val="fr-FR"/>
        </w:rPr>
        <w:t>’</w:t>
      </w:r>
      <w:r w:rsidRPr="00A41BE0">
        <w:rPr>
          <w:lang w:val="fr-FR"/>
        </w:rPr>
        <w:t>a pas utilisé son droit d</w:t>
      </w:r>
      <w:r>
        <w:rPr>
          <w:lang w:val="fr-FR"/>
        </w:rPr>
        <w:t>’</w:t>
      </w:r>
      <w:r w:rsidRPr="00A41BE0">
        <w:rPr>
          <w:lang w:val="fr-FR"/>
        </w:rPr>
        <w:t xml:space="preserve">interjeter appel auprès du bureau du Procureur car </w:t>
      </w:r>
      <w:r>
        <w:rPr>
          <w:lang w:val="fr-FR"/>
        </w:rPr>
        <w:t>ce recours</w:t>
      </w:r>
      <w:r w:rsidRPr="00A41BE0">
        <w:rPr>
          <w:lang w:val="fr-FR"/>
        </w:rPr>
        <w:t xml:space="preserve"> n</w:t>
      </w:r>
      <w:r>
        <w:rPr>
          <w:lang w:val="fr-FR"/>
        </w:rPr>
        <w:t>’</w:t>
      </w:r>
      <w:r w:rsidRPr="00A41BE0">
        <w:rPr>
          <w:lang w:val="fr-FR"/>
        </w:rPr>
        <w:t>entraîne pas un examen complet des faits et éléments de preuve, dépend uniquement du pouvoir discrétionnaire du procureur chargé de l</w:t>
      </w:r>
      <w:r>
        <w:rPr>
          <w:lang w:val="fr-FR"/>
        </w:rPr>
        <w:t>’</w:t>
      </w:r>
      <w:r w:rsidRPr="00A41BE0">
        <w:rPr>
          <w:lang w:val="fr-FR"/>
        </w:rPr>
        <w:t>examen, et ne saurait donc être considéré comme un recours utile</w:t>
      </w:r>
      <w:r w:rsidR="00F92E4A" w:rsidRPr="00F92E4A">
        <w:rPr>
          <w:lang w:val="fr-FR"/>
        </w:rPr>
        <w:t>.</w:t>
      </w:r>
    </w:p>
    <w:p w14:paraId="4AA6C8E1" w14:textId="3E843D1A" w:rsidR="007D2392" w:rsidRPr="00A41BE0" w:rsidRDefault="007D2392" w:rsidP="007D2392">
      <w:pPr>
        <w:pStyle w:val="SingleTxtG"/>
        <w:rPr>
          <w:lang w:val="fr-FR"/>
        </w:rPr>
      </w:pPr>
      <w:r w:rsidRPr="00A41BE0">
        <w:rPr>
          <w:lang w:val="fr-FR"/>
        </w:rPr>
        <w:t>5</w:t>
      </w:r>
      <w:r w:rsidR="00F92E4A" w:rsidRPr="00F92E4A">
        <w:rPr>
          <w:lang w:val="fr-FR"/>
        </w:rPr>
        <w:t>.</w:t>
      </w:r>
      <w:r w:rsidRPr="00A41BE0">
        <w:rPr>
          <w:lang w:val="fr-FR"/>
        </w:rPr>
        <w:t>2</w:t>
      </w:r>
      <w:r w:rsidRPr="00A41BE0">
        <w:rPr>
          <w:lang w:val="fr-FR"/>
        </w:rPr>
        <w:tab/>
        <w:t>L</w:t>
      </w:r>
      <w:r>
        <w:rPr>
          <w:lang w:val="fr-FR"/>
        </w:rPr>
        <w:t>’</w:t>
      </w:r>
      <w:r w:rsidRPr="00A41BE0">
        <w:rPr>
          <w:lang w:val="fr-FR"/>
        </w:rPr>
        <w:t>auteure souligne que</w:t>
      </w:r>
      <w:r>
        <w:rPr>
          <w:lang w:val="fr-FR"/>
        </w:rPr>
        <w:t xml:space="preserve"> </w:t>
      </w:r>
      <w:r w:rsidRPr="00A41BE0">
        <w:rPr>
          <w:lang w:val="fr-FR"/>
        </w:rPr>
        <w:t>l</w:t>
      </w:r>
      <w:r>
        <w:rPr>
          <w:lang w:val="fr-FR"/>
        </w:rPr>
        <w:t>’</w:t>
      </w:r>
      <w:r w:rsidRPr="00A41BE0">
        <w:rPr>
          <w:lang w:val="fr-FR"/>
        </w:rPr>
        <w:t xml:space="preserve">État partie ne </w:t>
      </w:r>
      <w:r>
        <w:rPr>
          <w:lang w:val="fr-FR"/>
        </w:rPr>
        <w:t>dit pas dans ses observations</w:t>
      </w:r>
      <w:r w:rsidRPr="00A41BE0">
        <w:rPr>
          <w:lang w:val="fr-FR"/>
        </w:rPr>
        <w:t xml:space="preserve"> qu</w:t>
      </w:r>
      <w:r>
        <w:rPr>
          <w:lang w:val="fr-FR"/>
        </w:rPr>
        <w:t>’</w:t>
      </w:r>
      <w:r w:rsidRPr="00A41BE0">
        <w:rPr>
          <w:lang w:val="fr-FR"/>
        </w:rPr>
        <w:t xml:space="preserve">il </w:t>
      </w:r>
      <w:r>
        <w:rPr>
          <w:lang w:val="fr-FR"/>
        </w:rPr>
        <w:t>n’a toujours pas donné suite</w:t>
      </w:r>
      <w:r w:rsidRPr="00A41BE0">
        <w:rPr>
          <w:lang w:val="fr-FR"/>
        </w:rPr>
        <w:t xml:space="preserve"> aux conclusions du rapport </w:t>
      </w:r>
      <w:r>
        <w:rPr>
          <w:lang w:val="fr-FR"/>
        </w:rPr>
        <w:t xml:space="preserve">de </w:t>
      </w:r>
      <w:r w:rsidRPr="00A41BE0">
        <w:rPr>
          <w:lang w:val="fr-FR"/>
        </w:rPr>
        <w:t>la Commission européenne des 16 et 17 mars 2012</w:t>
      </w:r>
      <w:r>
        <w:rPr>
          <w:lang w:val="fr-FR"/>
        </w:rPr>
        <w:t xml:space="preserve">, </w:t>
      </w:r>
      <w:r w:rsidRPr="00A41BE0">
        <w:rPr>
          <w:lang w:val="fr-FR"/>
        </w:rPr>
        <w:t>d</w:t>
      </w:r>
      <w:r>
        <w:rPr>
          <w:lang w:val="fr-FR"/>
        </w:rPr>
        <w:t>ans lequel</w:t>
      </w:r>
      <w:r w:rsidRPr="00A41BE0">
        <w:rPr>
          <w:lang w:val="fr-FR"/>
        </w:rPr>
        <w:t xml:space="preserve"> </w:t>
      </w:r>
      <w:r>
        <w:rPr>
          <w:lang w:val="fr-FR"/>
        </w:rPr>
        <w:t>il lui est recommandé d’apporter un</w:t>
      </w:r>
      <w:r w:rsidRPr="00A41BE0">
        <w:rPr>
          <w:lang w:val="fr-FR"/>
        </w:rPr>
        <w:t xml:space="preserve"> certain nombre de modifications à la loi sur les</w:t>
      </w:r>
      <w:r w:rsidR="00FF234C">
        <w:rPr>
          <w:lang w:val="fr-FR"/>
        </w:rPr>
        <w:t xml:space="preserve"> </w:t>
      </w:r>
      <w:r w:rsidRPr="00A41BE0">
        <w:rPr>
          <w:lang w:val="fr-FR"/>
        </w:rPr>
        <w:t xml:space="preserve">manifestations </w:t>
      </w:r>
      <w:r>
        <w:rPr>
          <w:lang w:val="fr-FR"/>
        </w:rPr>
        <w:t>publiques</w:t>
      </w:r>
      <w:r w:rsidR="00F92E4A" w:rsidRPr="00F92E4A">
        <w:rPr>
          <w:lang w:val="fr-FR"/>
        </w:rPr>
        <w:t>.</w:t>
      </w:r>
      <w:r w:rsidRPr="00A41BE0">
        <w:rPr>
          <w:lang w:val="fr-FR"/>
        </w:rPr>
        <w:t xml:space="preserve"> Elle ajoute que l</w:t>
      </w:r>
      <w:r>
        <w:rPr>
          <w:lang w:val="fr-FR"/>
        </w:rPr>
        <w:t>’</w:t>
      </w:r>
      <w:r w:rsidRPr="00A41BE0">
        <w:rPr>
          <w:lang w:val="fr-FR"/>
        </w:rPr>
        <w:t>État partie n</w:t>
      </w:r>
      <w:r>
        <w:rPr>
          <w:lang w:val="fr-FR"/>
        </w:rPr>
        <w:t>’</w:t>
      </w:r>
      <w:r w:rsidRPr="00A41BE0">
        <w:rPr>
          <w:lang w:val="fr-FR"/>
        </w:rPr>
        <w:t xml:space="preserve">a pas donné suite à de nombreuses constatations </w:t>
      </w:r>
      <w:r>
        <w:rPr>
          <w:lang w:val="fr-FR"/>
        </w:rPr>
        <w:t>du</w:t>
      </w:r>
      <w:r w:rsidRPr="00A41BE0">
        <w:rPr>
          <w:lang w:val="fr-FR"/>
        </w:rPr>
        <w:t xml:space="preserve"> Comité</w:t>
      </w:r>
      <w:r>
        <w:rPr>
          <w:lang w:val="fr-FR"/>
        </w:rPr>
        <w:t xml:space="preserve"> dans lesquelles il lui était demandé</w:t>
      </w:r>
      <w:r w:rsidRPr="00A41BE0">
        <w:rPr>
          <w:lang w:val="fr-FR"/>
        </w:rPr>
        <w:t xml:space="preserve"> d</w:t>
      </w:r>
      <w:r>
        <w:rPr>
          <w:lang w:val="fr-FR"/>
        </w:rPr>
        <w:t>’</w:t>
      </w:r>
      <w:r w:rsidRPr="00A41BE0">
        <w:rPr>
          <w:lang w:val="fr-FR"/>
        </w:rPr>
        <w:t>aligner sa législation sur les normes internationales en matière de droits de l</w:t>
      </w:r>
      <w:r>
        <w:rPr>
          <w:lang w:val="fr-FR"/>
        </w:rPr>
        <w:t>’</w:t>
      </w:r>
      <w:r w:rsidRPr="00A41BE0">
        <w:rPr>
          <w:lang w:val="fr-FR"/>
        </w:rPr>
        <w:t>homme</w:t>
      </w:r>
      <w:r w:rsidR="00F92E4A" w:rsidRPr="00F92E4A">
        <w:rPr>
          <w:lang w:val="fr-FR"/>
        </w:rPr>
        <w:t>.</w:t>
      </w:r>
      <w:r w:rsidRPr="00A41BE0">
        <w:rPr>
          <w:lang w:val="fr-FR"/>
        </w:rPr>
        <w:t xml:space="preserve"> Elle soutient que la loi, telle qu</w:t>
      </w:r>
      <w:r>
        <w:rPr>
          <w:lang w:val="fr-FR"/>
        </w:rPr>
        <w:t>’</w:t>
      </w:r>
      <w:r w:rsidRPr="00A41BE0">
        <w:rPr>
          <w:lang w:val="fr-FR"/>
        </w:rPr>
        <w:t>elle est actuellement appliquée, conduit à la violation de ses droits</w:t>
      </w:r>
      <w:r w:rsidR="00F92E4A" w:rsidRPr="00F92E4A">
        <w:rPr>
          <w:lang w:val="fr-FR"/>
        </w:rPr>
        <w:t>.</w:t>
      </w:r>
    </w:p>
    <w:p w14:paraId="7B753048" w14:textId="77777777" w:rsidR="007D2392" w:rsidRPr="00A41BE0" w:rsidRDefault="007D2392" w:rsidP="007D2392">
      <w:pPr>
        <w:pStyle w:val="H23G"/>
        <w:rPr>
          <w:lang w:val="fr-FR"/>
        </w:rPr>
      </w:pPr>
      <w:r w:rsidRPr="00A41BE0">
        <w:rPr>
          <w:lang w:val="fr-FR"/>
        </w:rPr>
        <w:tab/>
      </w:r>
      <w:r w:rsidRPr="00A41BE0">
        <w:rPr>
          <w:lang w:val="fr-FR"/>
        </w:rPr>
        <w:tab/>
      </w:r>
      <w:r w:rsidRPr="00A41BE0">
        <w:rPr>
          <w:lang w:val="fr-FR"/>
        </w:rPr>
        <w:tab/>
        <w:t>Délibérations du Comité</w:t>
      </w:r>
    </w:p>
    <w:p w14:paraId="59CA4479" w14:textId="77777777" w:rsidR="007D2392" w:rsidRPr="00A41BE0" w:rsidRDefault="007D2392" w:rsidP="007D2392">
      <w:pPr>
        <w:pStyle w:val="H4G"/>
        <w:rPr>
          <w:lang w:val="fr-FR"/>
        </w:rPr>
      </w:pPr>
      <w:r w:rsidRPr="00A41BE0">
        <w:rPr>
          <w:lang w:val="fr-FR"/>
        </w:rPr>
        <w:tab/>
      </w:r>
      <w:r w:rsidRPr="00A41BE0">
        <w:rPr>
          <w:lang w:val="fr-FR"/>
        </w:rPr>
        <w:tab/>
        <w:t>Examen de la recevabilité</w:t>
      </w:r>
    </w:p>
    <w:p w14:paraId="3FB1BBC9" w14:textId="065E3EFC" w:rsidR="007D2392" w:rsidRPr="00A41BE0" w:rsidRDefault="007D2392" w:rsidP="007D2392">
      <w:pPr>
        <w:pStyle w:val="SingleTxtG"/>
        <w:rPr>
          <w:lang w:val="fr-FR"/>
        </w:rPr>
      </w:pPr>
      <w:r w:rsidRPr="00A41BE0">
        <w:rPr>
          <w:lang w:val="fr-FR"/>
        </w:rPr>
        <w:t>6</w:t>
      </w:r>
      <w:r w:rsidR="00F92E4A" w:rsidRPr="00F92E4A">
        <w:rPr>
          <w:lang w:val="fr-FR"/>
        </w:rPr>
        <w:t>.</w:t>
      </w:r>
      <w:r w:rsidRPr="00A41BE0">
        <w:rPr>
          <w:lang w:val="fr-FR"/>
        </w:rPr>
        <w:t>1</w:t>
      </w:r>
      <w:r w:rsidRPr="00A41BE0">
        <w:rPr>
          <w:lang w:val="fr-FR"/>
        </w:rPr>
        <w:tab/>
        <w:t>Avant d</w:t>
      </w:r>
      <w:r>
        <w:rPr>
          <w:lang w:val="fr-FR"/>
        </w:rPr>
        <w:t>’</w:t>
      </w:r>
      <w:r w:rsidRPr="00A41BE0">
        <w:rPr>
          <w:lang w:val="fr-FR"/>
        </w:rPr>
        <w:t>examiner tout grief formulé dans une communication, le Comité doit, conformément à l</w:t>
      </w:r>
      <w:r>
        <w:rPr>
          <w:lang w:val="fr-FR"/>
        </w:rPr>
        <w:t>’</w:t>
      </w:r>
      <w:r w:rsidRPr="00A41BE0">
        <w:rPr>
          <w:lang w:val="fr-FR"/>
        </w:rPr>
        <w:t>article 97 de son règlement intérieur, déterminer si la communication est recevable au regard du Protocole facultatif</w:t>
      </w:r>
      <w:r w:rsidR="00F92E4A" w:rsidRPr="00F92E4A">
        <w:rPr>
          <w:lang w:val="fr-FR"/>
        </w:rPr>
        <w:t>.</w:t>
      </w:r>
    </w:p>
    <w:p w14:paraId="207DE217" w14:textId="38A321D7" w:rsidR="007D2392" w:rsidRPr="00A41BE0" w:rsidRDefault="007D2392" w:rsidP="007D2392">
      <w:pPr>
        <w:pStyle w:val="SingleTxtG"/>
        <w:rPr>
          <w:lang w:val="fr-FR"/>
        </w:rPr>
      </w:pPr>
      <w:r w:rsidRPr="00A41BE0">
        <w:rPr>
          <w:lang w:val="fr-FR"/>
        </w:rPr>
        <w:t>6</w:t>
      </w:r>
      <w:r w:rsidR="00F92E4A" w:rsidRPr="00F92E4A">
        <w:rPr>
          <w:lang w:val="fr-FR"/>
        </w:rPr>
        <w:t>.</w:t>
      </w:r>
      <w:r w:rsidRPr="00A41BE0">
        <w:rPr>
          <w:lang w:val="fr-FR"/>
        </w:rPr>
        <w:t>2</w:t>
      </w:r>
      <w:r w:rsidRPr="00A41BE0">
        <w:rPr>
          <w:lang w:val="fr-FR"/>
        </w:rPr>
        <w:tab/>
        <w:t>Le Comité s</w:t>
      </w:r>
      <w:r>
        <w:rPr>
          <w:lang w:val="fr-FR"/>
        </w:rPr>
        <w:t>’</w:t>
      </w:r>
      <w:r w:rsidRPr="00A41BE0">
        <w:rPr>
          <w:lang w:val="fr-FR"/>
        </w:rPr>
        <w:t>est assuré, comme il est tenu de le faire conformément à l</w:t>
      </w:r>
      <w:r>
        <w:rPr>
          <w:lang w:val="fr-FR"/>
        </w:rPr>
        <w:t>’</w:t>
      </w:r>
      <w:r w:rsidRPr="00A41BE0">
        <w:rPr>
          <w:lang w:val="fr-FR"/>
        </w:rPr>
        <w:t>article</w:t>
      </w:r>
      <w:r>
        <w:rPr>
          <w:lang w:val="fr-FR"/>
        </w:rPr>
        <w:t> </w:t>
      </w:r>
      <w:r w:rsidRPr="00A41BE0">
        <w:rPr>
          <w:lang w:val="fr-FR"/>
        </w:rPr>
        <w:t>5 (par</w:t>
      </w:r>
      <w:r w:rsidR="00F92E4A" w:rsidRPr="00F92E4A">
        <w:rPr>
          <w:lang w:val="fr-FR"/>
        </w:rPr>
        <w:t>.</w:t>
      </w:r>
      <w:r>
        <w:rPr>
          <w:lang w:val="fr-FR"/>
        </w:rPr>
        <w:t> </w:t>
      </w:r>
      <w:r w:rsidRPr="00A41BE0">
        <w:rPr>
          <w:lang w:val="fr-FR"/>
        </w:rPr>
        <w:t>2</w:t>
      </w:r>
      <w:r>
        <w:rPr>
          <w:lang w:val="fr-FR"/>
        </w:rPr>
        <w:t> </w:t>
      </w:r>
      <w:r w:rsidRPr="00A41BE0">
        <w:rPr>
          <w:lang w:val="fr-FR"/>
        </w:rPr>
        <w:t>a)) du Protocole facultatif, que la même question n</w:t>
      </w:r>
      <w:r>
        <w:rPr>
          <w:lang w:val="fr-FR"/>
        </w:rPr>
        <w:t>’</w:t>
      </w:r>
      <w:r w:rsidRPr="00A41BE0">
        <w:rPr>
          <w:lang w:val="fr-FR"/>
        </w:rPr>
        <w:t>était pas déjà en cours d</w:t>
      </w:r>
      <w:r>
        <w:rPr>
          <w:lang w:val="fr-FR"/>
        </w:rPr>
        <w:t>’</w:t>
      </w:r>
      <w:r w:rsidRPr="00A41BE0">
        <w:rPr>
          <w:lang w:val="fr-FR"/>
        </w:rPr>
        <w:t>examen devant une autre instance internationale d</w:t>
      </w:r>
      <w:r>
        <w:rPr>
          <w:lang w:val="fr-FR"/>
        </w:rPr>
        <w:t>’</w:t>
      </w:r>
      <w:r w:rsidRPr="00A41BE0">
        <w:rPr>
          <w:lang w:val="fr-FR"/>
        </w:rPr>
        <w:t>enquête ou de règlement</w:t>
      </w:r>
      <w:r w:rsidR="00F92E4A" w:rsidRPr="00F92E4A">
        <w:rPr>
          <w:lang w:val="fr-FR"/>
        </w:rPr>
        <w:t>.</w:t>
      </w:r>
    </w:p>
    <w:p w14:paraId="18575E8E" w14:textId="183ED32F" w:rsidR="007D2392" w:rsidRPr="00A41BE0" w:rsidRDefault="007D2392" w:rsidP="007D2392">
      <w:pPr>
        <w:pStyle w:val="SingleTxtG"/>
        <w:rPr>
          <w:lang w:val="fr-FR"/>
        </w:rPr>
      </w:pPr>
      <w:r w:rsidRPr="00A41BE0">
        <w:rPr>
          <w:lang w:val="fr-FR"/>
        </w:rPr>
        <w:t>6</w:t>
      </w:r>
      <w:r w:rsidR="00F92E4A" w:rsidRPr="00F92E4A">
        <w:rPr>
          <w:lang w:val="fr-FR"/>
        </w:rPr>
        <w:t>.</w:t>
      </w:r>
      <w:r w:rsidRPr="00A41BE0">
        <w:rPr>
          <w:lang w:val="fr-FR"/>
        </w:rPr>
        <w:t>3</w:t>
      </w:r>
      <w:r w:rsidRPr="00A41BE0">
        <w:rPr>
          <w:lang w:val="fr-FR"/>
        </w:rPr>
        <w:tab/>
        <w:t>Le Comité prend note de l</w:t>
      </w:r>
      <w:r>
        <w:rPr>
          <w:lang w:val="fr-FR"/>
        </w:rPr>
        <w:t>’</w:t>
      </w:r>
      <w:r w:rsidRPr="00A41BE0">
        <w:rPr>
          <w:lang w:val="fr-FR"/>
        </w:rPr>
        <w:t>affirmation de l</w:t>
      </w:r>
      <w:r>
        <w:rPr>
          <w:lang w:val="fr-FR"/>
        </w:rPr>
        <w:t>’</w:t>
      </w:r>
      <w:r w:rsidRPr="00A41BE0">
        <w:rPr>
          <w:lang w:val="fr-FR"/>
        </w:rPr>
        <w:t>État partie selon laquelle l</w:t>
      </w:r>
      <w:r>
        <w:rPr>
          <w:lang w:val="fr-FR"/>
        </w:rPr>
        <w:t>’</w:t>
      </w:r>
      <w:r w:rsidRPr="00A41BE0">
        <w:rPr>
          <w:lang w:val="fr-FR"/>
        </w:rPr>
        <w:t>auteure n</w:t>
      </w:r>
      <w:r>
        <w:rPr>
          <w:lang w:val="fr-FR"/>
        </w:rPr>
        <w:t>’</w:t>
      </w:r>
      <w:r w:rsidRPr="00A41BE0">
        <w:rPr>
          <w:lang w:val="fr-FR"/>
        </w:rPr>
        <w:t>a pas épuisé les recours internes, en particulier en ce qu</w:t>
      </w:r>
      <w:r>
        <w:rPr>
          <w:lang w:val="fr-FR"/>
        </w:rPr>
        <w:t>’</w:t>
      </w:r>
      <w:r w:rsidRPr="00A41BE0">
        <w:rPr>
          <w:lang w:val="fr-FR"/>
        </w:rPr>
        <w:t>elle n</w:t>
      </w:r>
      <w:r>
        <w:rPr>
          <w:lang w:val="fr-FR"/>
        </w:rPr>
        <w:t>’</w:t>
      </w:r>
      <w:r w:rsidRPr="00A41BE0">
        <w:rPr>
          <w:lang w:val="fr-FR"/>
        </w:rPr>
        <w:t>a pas saisi le bureau du Procureur général d</w:t>
      </w:r>
      <w:r>
        <w:rPr>
          <w:lang w:val="fr-FR"/>
        </w:rPr>
        <w:t>’</w:t>
      </w:r>
      <w:r w:rsidRPr="00A41BE0">
        <w:rPr>
          <w:lang w:val="fr-FR"/>
        </w:rPr>
        <w:t>une demande de réexamen au titre de la procédure de contrôle</w:t>
      </w:r>
      <w:r w:rsidR="00F92E4A" w:rsidRPr="00F92E4A">
        <w:rPr>
          <w:lang w:val="fr-FR"/>
        </w:rPr>
        <w:t>.</w:t>
      </w:r>
      <w:r w:rsidRPr="00A41BE0">
        <w:rPr>
          <w:lang w:val="fr-FR"/>
        </w:rPr>
        <w:t xml:space="preserve"> Il prend également note de l</w:t>
      </w:r>
      <w:r>
        <w:rPr>
          <w:lang w:val="fr-FR"/>
        </w:rPr>
        <w:t>’</w:t>
      </w:r>
      <w:r w:rsidRPr="00A41BE0">
        <w:rPr>
          <w:lang w:val="fr-FR"/>
        </w:rPr>
        <w:t>argument de l</w:t>
      </w:r>
      <w:r>
        <w:rPr>
          <w:lang w:val="fr-FR"/>
        </w:rPr>
        <w:t>’</w:t>
      </w:r>
      <w:r w:rsidRPr="00A41BE0">
        <w:rPr>
          <w:lang w:val="fr-FR"/>
        </w:rPr>
        <w:t>auteure, qui affirme que lui-même ne considère pas le réexamen aux titre de la procédure de contrôle comme un recours utile</w:t>
      </w:r>
      <w:r w:rsidRPr="007D2392">
        <w:rPr>
          <w:rStyle w:val="Appelnotedebasdep"/>
        </w:rPr>
        <w:footnoteReference w:id="6"/>
      </w:r>
      <w:r w:rsidR="00F92E4A" w:rsidRPr="00F92E4A">
        <w:rPr>
          <w:lang w:val="fr-FR"/>
        </w:rPr>
        <w:t>.</w:t>
      </w:r>
      <w:r w:rsidRPr="00A41BE0">
        <w:rPr>
          <w:lang w:val="fr-FR"/>
        </w:rPr>
        <w:t xml:space="preserve"> </w:t>
      </w:r>
      <w:r>
        <w:rPr>
          <w:lang w:val="fr-FR"/>
        </w:rPr>
        <w:t>Il</w:t>
      </w:r>
      <w:r w:rsidRPr="00A41BE0">
        <w:rPr>
          <w:lang w:val="fr-FR"/>
        </w:rPr>
        <w:t xml:space="preserve"> note que l</w:t>
      </w:r>
      <w:r>
        <w:rPr>
          <w:lang w:val="fr-FR"/>
        </w:rPr>
        <w:t>’</w:t>
      </w:r>
      <w:r w:rsidRPr="00A41BE0">
        <w:rPr>
          <w:lang w:val="fr-FR"/>
        </w:rPr>
        <w:t xml:space="preserve">auteure a déposé deux demandes de réexamen au titre de la procédure de contrôle, le 23 décembre 2015 et </w:t>
      </w:r>
      <w:r>
        <w:rPr>
          <w:lang w:val="fr-FR"/>
        </w:rPr>
        <w:t xml:space="preserve">le </w:t>
      </w:r>
      <w:r w:rsidRPr="00A41BE0">
        <w:rPr>
          <w:lang w:val="fr-FR"/>
        </w:rPr>
        <w:t>24</w:t>
      </w:r>
      <w:r>
        <w:rPr>
          <w:lang w:val="fr-FR"/>
        </w:rPr>
        <w:t> </w:t>
      </w:r>
      <w:r w:rsidRPr="00A41BE0">
        <w:rPr>
          <w:lang w:val="fr-FR"/>
        </w:rPr>
        <w:t>février 2016, et qu</w:t>
      </w:r>
      <w:r>
        <w:rPr>
          <w:lang w:val="fr-FR"/>
        </w:rPr>
        <w:t>’</w:t>
      </w:r>
      <w:r w:rsidRPr="00A41BE0">
        <w:rPr>
          <w:lang w:val="fr-FR"/>
        </w:rPr>
        <w:t>elles ont toutes deux été rejetées (voir</w:t>
      </w:r>
      <w:r>
        <w:rPr>
          <w:lang w:val="fr-FR"/>
        </w:rPr>
        <w:t xml:space="preserve"> </w:t>
      </w:r>
      <w:r w:rsidRPr="006F0ACC">
        <w:rPr>
          <w:i/>
          <w:iCs/>
          <w:lang w:val="fr-FR"/>
        </w:rPr>
        <w:t>supra</w:t>
      </w:r>
      <w:r>
        <w:rPr>
          <w:lang w:val="fr-FR"/>
        </w:rPr>
        <w:t>,</w:t>
      </w:r>
      <w:r w:rsidRPr="00A41BE0">
        <w:rPr>
          <w:lang w:val="fr-FR"/>
        </w:rPr>
        <w:t xml:space="preserve"> par</w:t>
      </w:r>
      <w:r w:rsidR="00F92E4A" w:rsidRPr="00F92E4A">
        <w:rPr>
          <w:lang w:val="fr-FR"/>
        </w:rPr>
        <w:t>.</w:t>
      </w:r>
      <w:r>
        <w:rPr>
          <w:lang w:val="fr-FR"/>
        </w:rPr>
        <w:t> </w:t>
      </w:r>
      <w:r w:rsidRPr="00A41BE0">
        <w:rPr>
          <w:lang w:val="fr-FR"/>
        </w:rPr>
        <w:t>2</w:t>
      </w:r>
      <w:r w:rsidR="00F92E4A" w:rsidRPr="00F92E4A">
        <w:rPr>
          <w:lang w:val="fr-FR"/>
        </w:rPr>
        <w:t>.</w:t>
      </w:r>
      <w:r w:rsidRPr="00A41BE0">
        <w:rPr>
          <w:lang w:val="fr-FR"/>
        </w:rPr>
        <w:t>3)</w:t>
      </w:r>
      <w:r>
        <w:rPr>
          <w:lang w:val="fr-FR"/>
        </w:rPr>
        <w:t xml:space="preserve">, </w:t>
      </w:r>
      <w:r w:rsidRPr="00A41BE0">
        <w:rPr>
          <w:lang w:val="fr-FR"/>
        </w:rPr>
        <w:t>par les présidents du tribunal régional et de la Cour suprême</w:t>
      </w:r>
      <w:r w:rsidR="00F92E4A" w:rsidRPr="00F92E4A">
        <w:rPr>
          <w:lang w:val="fr-FR"/>
        </w:rPr>
        <w:t>.</w:t>
      </w:r>
      <w:r w:rsidRPr="00A41BE0">
        <w:rPr>
          <w:lang w:val="fr-FR"/>
        </w:rPr>
        <w:t xml:space="preserve"> Renvoyant à sa jurisprudence, le Comité rappelle que les demandes de réexamen, au titre de la procédure de contrôle, de décisions judiciaires devenues exécutoires,</w:t>
      </w:r>
      <w:r>
        <w:rPr>
          <w:lang w:val="fr-FR"/>
        </w:rPr>
        <w:t xml:space="preserve"> qui sont</w:t>
      </w:r>
      <w:r w:rsidRPr="00A41BE0">
        <w:rPr>
          <w:lang w:val="fr-FR"/>
        </w:rPr>
        <w:t xml:space="preserve"> subordonnées au pouvoir discrétionnaire d</w:t>
      </w:r>
      <w:r>
        <w:rPr>
          <w:lang w:val="fr-FR"/>
        </w:rPr>
        <w:t>’</w:t>
      </w:r>
      <w:r w:rsidRPr="00A41BE0">
        <w:rPr>
          <w:lang w:val="fr-FR"/>
        </w:rPr>
        <w:t>un procureur</w:t>
      </w:r>
      <w:r>
        <w:rPr>
          <w:lang w:val="fr-FR"/>
        </w:rPr>
        <w:t>,</w:t>
      </w:r>
      <w:r w:rsidRPr="00A41BE0">
        <w:rPr>
          <w:lang w:val="fr-FR"/>
        </w:rPr>
        <w:t xml:space="preserve"> constituent un recours qui n</w:t>
      </w:r>
      <w:r>
        <w:rPr>
          <w:lang w:val="fr-FR"/>
        </w:rPr>
        <w:t>’</w:t>
      </w:r>
      <w:r w:rsidRPr="00A41BE0">
        <w:rPr>
          <w:lang w:val="fr-FR"/>
        </w:rPr>
        <w:t>a pas à être épuisé aux fins de la recevabilité</w:t>
      </w:r>
      <w:r w:rsidRPr="007D2392">
        <w:rPr>
          <w:rStyle w:val="Appelnotedebasdep"/>
        </w:rPr>
        <w:footnoteReference w:id="7"/>
      </w:r>
      <w:r w:rsidR="00F92E4A" w:rsidRPr="00F92E4A">
        <w:rPr>
          <w:lang w:val="fr-FR"/>
        </w:rPr>
        <w:t>.</w:t>
      </w:r>
      <w:r w:rsidRPr="00A41BE0">
        <w:rPr>
          <w:lang w:val="fr-FR"/>
        </w:rPr>
        <w:t xml:space="preserve"> </w:t>
      </w:r>
      <w:r>
        <w:rPr>
          <w:lang w:val="fr-FR"/>
        </w:rPr>
        <w:t>En conséquence</w:t>
      </w:r>
      <w:r w:rsidRPr="00A41BE0">
        <w:rPr>
          <w:lang w:val="fr-FR"/>
        </w:rPr>
        <w:t>, le Comité considère que les dispositions de l</w:t>
      </w:r>
      <w:r>
        <w:rPr>
          <w:lang w:val="fr-FR"/>
        </w:rPr>
        <w:t>’</w:t>
      </w:r>
      <w:r w:rsidRPr="00A41BE0">
        <w:rPr>
          <w:lang w:val="fr-FR"/>
        </w:rPr>
        <w:t>article 5 (par</w:t>
      </w:r>
      <w:r w:rsidR="00F92E4A" w:rsidRPr="00F92E4A">
        <w:rPr>
          <w:lang w:val="fr-FR"/>
        </w:rPr>
        <w:t>.</w:t>
      </w:r>
      <w:r w:rsidRPr="00A41BE0">
        <w:rPr>
          <w:lang w:val="fr-FR"/>
        </w:rPr>
        <w:t> 2 b)) ne l</w:t>
      </w:r>
      <w:r>
        <w:rPr>
          <w:lang w:val="fr-FR"/>
        </w:rPr>
        <w:t>’</w:t>
      </w:r>
      <w:r w:rsidRPr="00A41BE0">
        <w:rPr>
          <w:lang w:val="fr-FR"/>
        </w:rPr>
        <w:t>empêchent pas d</w:t>
      </w:r>
      <w:r>
        <w:rPr>
          <w:lang w:val="fr-FR"/>
        </w:rPr>
        <w:t>’</w:t>
      </w:r>
      <w:r w:rsidRPr="00A41BE0">
        <w:rPr>
          <w:lang w:val="fr-FR"/>
        </w:rPr>
        <w:t>examiner la communication</w:t>
      </w:r>
      <w:r w:rsidR="00F92E4A" w:rsidRPr="00F92E4A">
        <w:rPr>
          <w:lang w:val="fr-FR"/>
        </w:rPr>
        <w:t>.</w:t>
      </w:r>
    </w:p>
    <w:p w14:paraId="6AD32B06" w14:textId="00E370B4" w:rsidR="007D2392" w:rsidRPr="00A41BE0" w:rsidRDefault="007D2392" w:rsidP="007D2392">
      <w:pPr>
        <w:pStyle w:val="SingleTxtG"/>
        <w:rPr>
          <w:lang w:val="fr-FR"/>
        </w:rPr>
      </w:pPr>
      <w:r w:rsidRPr="00A41BE0">
        <w:rPr>
          <w:lang w:val="fr-FR"/>
        </w:rPr>
        <w:t>6</w:t>
      </w:r>
      <w:r w:rsidR="00F92E4A" w:rsidRPr="00F92E4A">
        <w:rPr>
          <w:lang w:val="fr-FR"/>
        </w:rPr>
        <w:t>.</w:t>
      </w:r>
      <w:r w:rsidRPr="00A41BE0">
        <w:rPr>
          <w:lang w:val="fr-FR"/>
        </w:rPr>
        <w:t>4</w:t>
      </w:r>
      <w:r w:rsidRPr="00A41BE0">
        <w:rPr>
          <w:lang w:val="fr-FR"/>
        </w:rPr>
        <w:tab/>
        <w:t>Le Comité note que l</w:t>
      </w:r>
      <w:r>
        <w:rPr>
          <w:lang w:val="fr-FR"/>
        </w:rPr>
        <w:t>’</w:t>
      </w:r>
      <w:r w:rsidRPr="00A41BE0">
        <w:rPr>
          <w:lang w:val="fr-FR"/>
        </w:rPr>
        <w:t>auteure soutient que l</w:t>
      </w:r>
      <w:r>
        <w:rPr>
          <w:lang w:val="fr-FR"/>
        </w:rPr>
        <w:t>’</w:t>
      </w:r>
      <w:r w:rsidRPr="00A41BE0">
        <w:rPr>
          <w:lang w:val="fr-FR"/>
        </w:rPr>
        <w:t>État partie a violé les droits qu</w:t>
      </w:r>
      <w:r>
        <w:rPr>
          <w:lang w:val="fr-FR"/>
        </w:rPr>
        <w:t>’</w:t>
      </w:r>
      <w:r w:rsidRPr="00A41BE0">
        <w:rPr>
          <w:lang w:val="fr-FR"/>
        </w:rPr>
        <w:t>elle tient de l</w:t>
      </w:r>
      <w:r>
        <w:rPr>
          <w:lang w:val="fr-FR"/>
        </w:rPr>
        <w:t>’</w:t>
      </w:r>
      <w:r w:rsidRPr="00A41BE0">
        <w:rPr>
          <w:lang w:val="fr-FR"/>
        </w:rPr>
        <w:t>article 2 (par</w:t>
      </w:r>
      <w:r w:rsidR="00F92E4A" w:rsidRPr="00F92E4A">
        <w:rPr>
          <w:lang w:val="fr-FR"/>
        </w:rPr>
        <w:t>.</w:t>
      </w:r>
      <w:r>
        <w:rPr>
          <w:lang w:val="fr-FR"/>
        </w:rPr>
        <w:t> </w:t>
      </w:r>
      <w:r w:rsidRPr="00A41BE0">
        <w:rPr>
          <w:lang w:val="fr-FR"/>
        </w:rPr>
        <w:t>2) du Pacte, lu conjointement avec l</w:t>
      </w:r>
      <w:r>
        <w:rPr>
          <w:lang w:val="fr-FR"/>
        </w:rPr>
        <w:t>’</w:t>
      </w:r>
      <w:r w:rsidRPr="00A41BE0">
        <w:rPr>
          <w:lang w:val="fr-FR"/>
        </w:rPr>
        <w:t>article 19</w:t>
      </w:r>
      <w:r w:rsidR="00F92E4A" w:rsidRPr="00F92E4A">
        <w:rPr>
          <w:lang w:val="fr-FR"/>
        </w:rPr>
        <w:t>.</w:t>
      </w:r>
      <w:r w:rsidRPr="00A41BE0">
        <w:rPr>
          <w:lang w:val="fr-FR"/>
        </w:rPr>
        <w:t xml:space="preserve"> Il rappelle que les dispositions de l</w:t>
      </w:r>
      <w:r>
        <w:rPr>
          <w:lang w:val="fr-FR"/>
        </w:rPr>
        <w:t>’</w:t>
      </w:r>
      <w:r w:rsidRPr="00A41BE0">
        <w:rPr>
          <w:lang w:val="fr-FR"/>
        </w:rPr>
        <w:t>article 2 ne peuvent pas être invoquées en conjonction avec d</w:t>
      </w:r>
      <w:r>
        <w:rPr>
          <w:lang w:val="fr-FR"/>
        </w:rPr>
        <w:t>’</w:t>
      </w:r>
      <w:r w:rsidRPr="00A41BE0">
        <w:rPr>
          <w:lang w:val="fr-FR"/>
        </w:rPr>
        <w:t>autres dispositions du Pacte pour fonder une communication soumise en vertu du Protocole facultatif, sauf lorsque le non-respect par l</w:t>
      </w:r>
      <w:r>
        <w:rPr>
          <w:lang w:val="fr-FR"/>
        </w:rPr>
        <w:t>’</w:t>
      </w:r>
      <w:r w:rsidRPr="00A41BE0">
        <w:rPr>
          <w:lang w:val="fr-FR"/>
        </w:rPr>
        <w:t>État partie des obligations énoncées à l</w:t>
      </w:r>
      <w:r>
        <w:rPr>
          <w:lang w:val="fr-FR"/>
        </w:rPr>
        <w:t>’</w:t>
      </w:r>
      <w:r w:rsidRPr="00A41BE0">
        <w:rPr>
          <w:lang w:val="fr-FR"/>
        </w:rPr>
        <w:t>article 2 est la cause immédiate d</w:t>
      </w:r>
      <w:r>
        <w:rPr>
          <w:lang w:val="fr-FR"/>
        </w:rPr>
        <w:t>’</w:t>
      </w:r>
      <w:r w:rsidRPr="00A41BE0">
        <w:rPr>
          <w:lang w:val="fr-FR"/>
        </w:rPr>
        <w:t>une violation distincte du Pacte portant directement atteinte à la personne qui se dit victime</w:t>
      </w:r>
      <w:r w:rsidRPr="007D2392">
        <w:rPr>
          <w:rStyle w:val="Appelnotedebasdep"/>
        </w:rPr>
        <w:footnoteReference w:id="8"/>
      </w:r>
      <w:r w:rsidR="00F92E4A" w:rsidRPr="00F92E4A">
        <w:rPr>
          <w:lang w:val="fr-FR"/>
        </w:rPr>
        <w:t>.</w:t>
      </w:r>
      <w:r w:rsidRPr="00A41BE0">
        <w:rPr>
          <w:lang w:val="fr-FR"/>
        </w:rPr>
        <w:t xml:space="preserve"> </w:t>
      </w:r>
      <w:r>
        <w:rPr>
          <w:lang w:val="fr-FR"/>
        </w:rPr>
        <w:t>Il</w:t>
      </w:r>
      <w:r w:rsidRPr="00A41BE0">
        <w:rPr>
          <w:lang w:val="fr-FR"/>
        </w:rPr>
        <w:t xml:space="preserve"> note toutefois que l</w:t>
      </w:r>
      <w:r>
        <w:rPr>
          <w:lang w:val="fr-FR"/>
        </w:rPr>
        <w:t>’</w:t>
      </w:r>
      <w:r w:rsidRPr="00A41BE0">
        <w:rPr>
          <w:lang w:val="fr-FR"/>
        </w:rPr>
        <w:t>auteure a déjà allégué une violation des droits qu</w:t>
      </w:r>
      <w:r>
        <w:rPr>
          <w:lang w:val="fr-FR"/>
        </w:rPr>
        <w:t>’</w:t>
      </w:r>
      <w:r w:rsidRPr="00A41BE0">
        <w:rPr>
          <w:lang w:val="fr-FR"/>
        </w:rPr>
        <w:t>elle tient de l</w:t>
      </w:r>
      <w:r>
        <w:rPr>
          <w:lang w:val="fr-FR"/>
        </w:rPr>
        <w:t>’</w:t>
      </w:r>
      <w:r w:rsidRPr="00A41BE0">
        <w:rPr>
          <w:lang w:val="fr-FR"/>
        </w:rPr>
        <w:t>article</w:t>
      </w:r>
      <w:r>
        <w:rPr>
          <w:lang w:val="fr-FR"/>
        </w:rPr>
        <w:t> </w:t>
      </w:r>
      <w:r w:rsidRPr="00A41BE0">
        <w:rPr>
          <w:lang w:val="fr-FR"/>
        </w:rPr>
        <w:t>19, qui résulterait de l</w:t>
      </w:r>
      <w:r>
        <w:rPr>
          <w:lang w:val="fr-FR"/>
        </w:rPr>
        <w:t>’</w:t>
      </w:r>
      <w:r w:rsidRPr="00A41BE0">
        <w:rPr>
          <w:lang w:val="fr-FR"/>
        </w:rPr>
        <w:t>interprétation et de l</w:t>
      </w:r>
      <w:r>
        <w:rPr>
          <w:lang w:val="fr-FR"/>
        </w:rPr>
        <w:t>’</w:t>
      </w:r>
      <w:r w:rsidRPr="00A41BE0">
        <w:rPr>
          <w:lang w:val="fr-FR"/>
        </w:rPr>
        <w:t>application des lois en vigueur dans l</w:t>
      </w:r>
      <w:r>
        <w:rPr>
          <w:lang w:val="fr-FR"/>
        </w:rPr>
        <w:t>’</w:t>
      </w:r>
      <w:r w:rsidRPr="00A41BE0">
        <w:rPr>
          <w:lang w:val="fr-FR"/>
        </w:rPr>
        <w:t xml:space="preserve">État partie, et </w:t>
      </w:r>
      <w:r>
        <w:rPr>
          <w:lang w:val="fr-FR"/>
        </w:rPr>
        <w:t>il considère</w:t>
      </w:r>
      <w:r w:rsidRPr="00A41BE0">
        <w:rPr>
          <w:lang w:val="fr-FR"/>
        </w:rPr>
        <w:t xml:space="preserve"> que l</w:t>
      </w:r>
      <w:r>
        <w:rPr>
          <w:lang w:val="fr-FR"/>
        </w:rPr>
        <w:t>’</w:t>
      </w:r>
      <w:r w:rsidRPr="00A41BE0">
        <w:rPr>
          <w:lang w:val="fr-FR"/>
        </w:rPr>
        <w:t>examen de la question de savoir si l</w:t>
      </w:r>
      <w:r>
        <w:rPr>
          <w:lang w:val="fr-FR"/>
        </w:rPr>
        <w:t>’</w:t>
      </w:r>
      <w:r w:rsidRPr="00A41BE0">
        <w:rPr>
          <w:lang w:val="fr-FR"/>
        </w:rPr>
        <w:t>État partie a également violé les obligations générales qu</w:t>
      </w:r>
      <w:r>
        <w:rPr>
          <w:lang w:val="fr-FR"/>
        </w:rPr>
        <w:t>e</w:t>
      </w:r>
      <w:r w:rsidRPr="00A41BE0">
        <w:rPr>
          <w:lang w:val="fr-FR"/>
        </w:rPr>
        <w:t xml:space="preserve"> lui </w:t>
      </w:r>
      <w:r>
        <w:rPr>
          <w:lang w:val="fr-FR"/>
        </w:rPr>
        <w:t>impose</w:t>
      </w:r>
      <w:r w:rsidRPr="00A41BE0">
        <w:rPr>
          <w:lang w:val="fr-FR"/>
        </w:rPr>
        <w:t xml:space="preserve"> l</w:t>
      </w:r>
      <w:r>
        <w:rPr>
          <w:lang w:val="fr-FR"/>
        </w:rPr>
        <w:t>’</w:t>
      </w:r>
      <w:r w:rsidRPr="00A41BE0">
        <w:rPr>
          <w:lang w:val="fr-FR"/>
        </w:rPr>
        <w:t>article</w:t>
      </w:r>
      <w:r>
        <w:rPr>
          <w:lang w:val="fr-FR"/>
        </w:rPr>
        <w:t> </w:t>
      </w:r>
      <w:r w:rsidRPr="00A41BE0">
        <w:rPr>
          <w:lang w:val="fr-FR"/>
        </w:rPr>
        <w:t>2 (par</w:t>
      </w:r>
      <w:r w:rsidR="00F92E4A" w:rsidRPr="00F92E4A">
        <w:rPr>
          <w:lang w:val="fr-FR"/>
        </w:rPr>
        <w:t>.</w:t>
      </w:r>
      <w:r w:rsidRPr="00A41BE0">
        <w:rPr>
          <w:lang w:val="fr-FR"/>
        </w:rPr>
        <w:t> 2)</w:t>
      </w:r>
      <w:r>
        <w:rPr>
          <w:lang w:val="fr-FR"/>
        </w:rPr>
        <w:t xml:space="preserve"> du Pacte</w:t>
      </w:r>
      <w:r w:rsidRPr="00A41BE0">
        <w:rPr>
          <w:lang w:val="fr-FR"/>
        </w:rPr>
        <w:t>, lu conjointement avec l</w:t>
      </w:r>
      <w:r>
        <w:rPr>
          <w:lang w:val="fr-FR"/>
        </w:rPr>
        <w:t>’</w:t>
      </w:r>
      <w:r w:rsidRPr="00A41BE0">
        <w:rPr>
          <w:lang w:val="fr-FR"/>
        </w:rPr>
        <w:t>article 19, n</w:t>
      </w:r>
      <w:r>
        <w:rPr>
          <w:lang w:val="fr-FR"/>
        </w:rPr>
        <w:t>’</w:t>
      </w:r>
      <w:r w:rsidRPr="00A41BE0">
        <w:rPr>
          <w:lang w:val="fr-FR"/>
        </w:rPr>
        <w:t>est pas distinct de l</w:t>
      </w:r>
      <w:r>
        <w:rPr>
          <w:lang w:val="fr-FR"/>
        </w:rPr>
        <w:t>’</w:t>
      </w:r>
      <w:r w:rsidRPr="00A41BE0">
        <w:rPr>
          <w:lang w:val="fr-FR"/>
        </w:rPr>
        <w:t>examen de la violation des droits que l</w:t>
      </w:r>
      <w:r>
        <w:rPr>
          <w:lang w:val="fr-FR"/>
        </w:rPr>
        <w:t>’</w:t>
      </w:r>
      <w:r w:rsidRPr="00A41BE0">
        <w:rPr>
          <w:lang w:val="fr-FR"/>
        </w:rPr>
        <w:t>auteure tient de l</w:t>
      </w:r>
      <w:r>
        <w:rPr>
          <w:lang w:val="fr-FR"/>
        </w:rPr>
        <w:t>’</w:t>
      </w:r>
      <w:r w:rsidRPr="00A41BE0">
        <w:rPr>
          <w:lang w:val="fr-FR"/>
        </w:rPr>
        <w:t>article 19 du Pacte</w:t>
      </w:r>
      <w:r w:rsidR="00F92E4A" w:rsidRPr="00F92E4A">
        <w:rPr>
          <w:lang w:val="fr-FR"/>
        </w:rPr>
        <w:t>.</w:t>
      </w:r>
      <w:r w:rsidRPr="00A41BE0">
        <w:rPr>
          <w:lang w:val="fr-FR"/>
        </w:rPr>
        <w:t xml:space="preserve"> Il considère donc que cette partie de la communication est incompatible avec l</w:t>
      </w:r>
      <w:r>
        <w:rPr>
          <w:lang w:val="fr-FR"/>
        </w:rPr>
        <w:t>’</w:t>
      </w:r>
      <w:r w:rsidRPr="00A41BE0">
        <w:rPr>
          <w:lang w:val="fr-FR"/>
        </w:rPr>
        <w:t>article 2 du Pacte et</w:t>
      </w:r>
      <w:r>
        <w:rPr>
          <w:lang w:val="fr-FR"/>
        </w:rPr>
        <w:t>,</w:t>
      </w:r>
      <w:r w:rsidRPr="00A41BE0">
        <w:rPr>
          <w:lang w:val="fr-FR"/>
        </w:rPr>
        <w:t xml:space="preserve"> </w:t>
      </w:r>
      <w:r>
        <w:rPr>
          <w:lang w:val="fr-FR"/>
        </w:rPr>
        <w:t>dès lors,</w:t>
      </w:r>
      <w:r w:rsidRPr="00A41BE0">
        <w:rPr>
          <w:lang w:val="fr-FR"/>
        </w:rPr>
        <w:t xml:space="preserve"> irrecevable au regard de l</w:t>
      </w:r>
      <w:r>
        <w:rPr>
          <w:lang w:val="fr-FR"/>
        </w:rPr>
        <w:t>’</w:t>
      </w:r>
      <w:r w:rsidRPr="00A41BE0">
        <w:rPr>
          <w:lang w:val="fr-FR"/>
        </w:rPr>
        <w:t>article 3 du Protocole facultatif</w:t>
      </w:r>
      <w:r w:rsidR="00F92E4A" w:rsidRPr="00F92E4A">
        <w:rPr>
          <w:lang w:val="fr-FR"/>
        </w:rPr>
        <w:t>.</w:t>
      </w:r>
    </w:p>
    <w:p w14:paraId="42268349" w14:textId="4E095AA3" w:rsidR="007D2392" w:rsidRPr="00A41BE0" w:rsidRDefault="007D2392" w:rsidP="007D2392">
      <w:pPr>
        <w:pStyle w:val="SingleTxtG"/>
        <w:rPr>
          <w:lang w:val="fr-FR"/>
        </w:rPr>
      </w:pPr>
      <w:r w:rsidRPr="00A41BE0">
        <w:rPr>
          <w:lang w:val="fr-FR"/>
        </w:rPr>
        <w:lastRenderedPageBreak/>
        <w:t>6</w:t>
      </w:r>
      <w:r w:rsidR="00F92E4A" w:rsidRPr="00F92E4A">
        <w:rPr>
          <w:lang w:val="fr-FR"/>
        </w:rPr>
        <w:t>.</w:t>
      </w:r>
      <w:r w:rsidRPr="00A41BE0">
        <w:rPr>
          <w:lang w:val="fr-FR"/>
        </w:rPr>
        <w:t>5</w:t>
      </w:r>
      <w:r w:rsidRPr="00A41BE0">
        <w:rPr>
          <w:lang w:val="fr-FR"/>
        </w:rPr>
        <w:tab/>
        <w:t>Le Comité prend également note des griefs que l</w:t>
      </w:r>
      <w:r>
        <w:rPr>
          <w:lang w:val="fr-FR"/>
        </w:rPr>
        <w:t>’</w:t>
      </w:r>
      <w:r w:rsidRPr="00A41BE0">
        <w:rPr>
          <w:lang w:val="fr-FR"/>
        </w:rPr>
        <w:t>auteure tire de l</w:t>
      </w:r>
      <w:r>
        <w:rPr>
          <w:lang w:val="fr-FR"/>
        </w:rPr>
        <w:t>’</w:t>
      </w:r>
      <w:r w:rsidRPr="00A41BE0">
        <w:rPr>
          <w:lang w:val="fr-FR"/>
        </w:rPr>
        <w:t>article 2 (par</w:t>
      </w:r>
      <w:r w:rsidR="00F92E4A" w:rsidRPr="00F92E4A">
        <w:rPr>
          <w:lang w:val="fr-FR"/>
        </w:rPr>
        <w:t>.</w:t>
      </w:r>
      <w:r w:rsidRPr="00A41BE0">
        <w:rPr>
          <w:lang w:val="fr-FR"/>
        </w:rPr>
        <w:t xml:space="preserve"> 3) du Pacte, lu conjointement avec l</w:t>
      </w:r>
      <w:r>
        <w:rPr>
          <w:lang w:val="fr-FR"/>
        </w:rPr>
        <w:t>’</w:t>
      </w:r>
      <w:r w:rsidRPr="00A41BE0">
        <w:rPr>
          <w:lang w:val="fr-FR"/>
        </w:rPr>
        <w:t>article 19</w:t>
      </w:r>
      <w:r w:rsidR="00F92E4A" w:rsidRPr="00F92E4A">
        <w:rPr>
          <w:lang w:val="fr-FR"/>
        </w:rPr>
        <w:t>.</w:t>
      </w:r>
      <w:r w:rsidRPr="00A41BE0">
        <w:rPr>
          <w:lang w:val="fr-FR"/>
        </w:rPr>
        <w:t xml:space="preserve"> Cependant, en l</w:t>
      </w:r>
      <w:r>
        <w:rPr>
          <w:lang w:val="fr-FR"/>
        </w:rPr>
        <w:t>’</w:t>
      </w:r>
      <w:r w:rsidRPr="00A41BE0">
        <w:rPr>
          <w:lang w:val="fr-FR"/>
        </w:rPr>
        <w:t xml:space="preserve">absence de toute autre information pertinente dans le dossier, il </w:t>
      </w:r>
      <w:r>
        <w:rPr>
          <w:lang w:val="fr-FR"/>
        </w:rPr>
        <w:t>considère</w:t>
      </w:r>
      <w:r w:rsidRPr="00A41BE0">
        <w:rPr>
          <w:lang w:val="fr-FR"/>
        </w:rPr>
        <w:t xml:space="preserve"> que l</w:t>
      </w:r>
      <w:r>
        <w:rPr>
          <w:lang w:val="fr-FR"/>
        </w:rPr>
        <w:t>’</w:t>
      </w:r>
      <w:r w:rsidRPr="00A41BE0">
        <w:rPr>
          <w:lang w:val="fr-FR"/>
        </w:rPr>
        <w:t>auteure n</w:t>
      </w:r>
      <w:r>
        <w:rPr>
          <w:lang w:val="fr-FR"/>
        </w:rPr>
        <w:t>’</w:t>
      </w:r>
      <w:r w:rsidRPr="00A41BE0">
        <w:rPr>
          <w:lang w:val="fr-FR"/>
        </w:rPr>
        <w:t>a pas suffisamment étayé ces griefs aux fins de la recevabilité</w:t>
      </w:r>
      <w:r w:rsidR="00F92E4A" w:rsidRPr="00F92E4A">
        <w:rPr>
          <w:lang w:val="fr-FR"/>
        </w:rPr>
        <w:t>.</w:t>
      </w:r>
      <w:r w:rsidRPr="00A41BE0">
        <w:rPr>
          <w:lang w:val="fr-FR"/>
        </w:rPr>
        <w:t xml:space="preserve"> Par conséquent, il déclare cette partie de la communication irrecevable au regard de l</w:t>
      </w:r>
      <w:r>
        <w:rPr>
          <w:lang w:val="fr-FR"/>
        </w:rPr>
        <w:t>’</w:t>
      </w:r>
      <w:r w:rsidRPr="00A41BE0">
        <w:rPr>
          <w:lang w:val="fr-FR"/>
        </w:rPr>
        <w:t>article 2 du Protocole facultatif</w:t>
      </w:r>
      <w:r w:rsidR="00F92E4A" w:rsidRPr="00F92E4A">
        <w:rPr>
          <w:lang w:val="fr-FR"/>
        </w:rPr>
        <w:t>.</w:t>
      </w:r>
    </w:p>
    <w:p w14:paraId="5A8755F8" w14:textId="59A1E6F1" w:rsidR="007D2392" w:rsidRPr="00A41BE0" w:rsidRDefault="007D2392" w:rsidP="007D2392">
      <w:pPr>
        <w:pStyle w:val="SingleTxtG"/>
        <w:rPr>
          <w:lang w:val="fr-FR"/>
        </w:rPr>
      </w:pPr>
      <w:r w:rsidRPr="00A41BE0">
        <w:rPr>
          <w:lang w:val="fr-FR"/>
        </w:rPr>
        <w:t>6</w:t>
      </w:r>
      <w:r w:rsidR="00F92E4A" w:rsidRPr="00F92E4A">
        <w:rPr>
          <w:lang w:val="fr-FR"/>
        </w:rPr>
        <w:t>.</w:t>
      </w:r>
      <w:r w:rsidRPr="00A41BE0">
        <w:rPr>
          <w:lang w:val="fr-FR"/>
        </w:rPr>
        <w:t>6</w:t>
      </w:r>
      <w:r w:rsidRPr="00A41BE0">
        <w:rPr>
          <w:lang w:val="fr-FR"/>
        </w:rPr>
        <w:tab/>
        <w:t>Le Comité considère que les autres griefs de l</w:t>
      </w:r>
      <w:r>
        <w:rPr>
          <w:lang w:val="fr-FR"/>
        </w:rPr>
        <w:t>’</w:t>
      </w:r>
      <w:r w:rsidRPr="00A41BE0">
        <w:rPr>
          <w:lang w:val="fr-FR"/>
        </w:rPr>
        <w:t>auteure, qui soulèvent des questions au regard de l</w:t>
      </w:r>
      <w:r>
        <w:rPr>
          <w:lang w:val="fr-FR"/>
        </w:rPr>
        <w:t>’</w:t>
      </w:r>
      <w:r w:rsidRPr="00A41BE0">
        <w:rPr>
          <w:lang w:val="fr-FR"/>
        </w:rPr>
        <w:t xml:space="preserve">article 19 du Pacte, ont été suffisamment étayés aux fins de la recevabilité, et passe </w:t>
      </w:r>
      <w:r>
        <w:rPr>
          <w:lang w:val="fr-FR"/>
        </w:rPr>
        <w:t xml:space="preserve">donc </w:t>
      </w:r>
      <w:r w:rsidRPr="00A41BE0">
        <w:rPr>
          <w:lang w:val="fr-FR"/>
        </w:rPr>
        <w:t>à leur examen au fond</w:t>
      </w:r>
      <w:r w:rsidR="00F92E4A" w:rsidRPr="00F92E4A">
        <w:rPr>
          <w:lang w:val="fr-FR"/>
        </w:rPr>
        <w:t>.</w:t>
      </w:r>
    </w:p>
    <w:p w14:paraId="14F9EBC1" w14:textId="77777777" w:rsidR="007D2392" w:rsidRPr="00A41BE0" w:rsidRDefault="007D2392" w:rsidP="007D2392">
      <w:pPr>
        <w:pStyle w:val="H4G"/>
        <w:rPr>
          <w:lang w:val="fr-FR"/>
        </w:rPr>
      </w:pPr>
      <w:r w:rsidRPr="00A41BE0">
        <w:rPr>
          <w:lang w:val="fr-FR"/>
        </w:rPr>
        <w:tab/>
      </w:r>
      <w:r w:rsidRPr="00A41BE0">
        <w:rPr>
          <w:lang w:val="fr-FR"/>
        </w:rPr>
        <w:tab/>
        <w:t>Examen au fond</w:t>
      </w:r>
    </w:p>
    <w:p w14:paraId="52D60ABA" w14:textId="5B0E3432" w:rsidR="007D2392" w:rsidRPr="00A41BE0" w:rsidRDefault="007D2392" w:rsidP="007D2392">
      <w:pPr>
        <w:pStyle w:val="SingleTxtG"/>
        <w:rPr>
          <w:lang w:val="fr-FR"/>
        </w:rPr>
      </w:pPr>
      <w:r w:rsidRPr="00A41BE0">
        <w:rPr>
          <w:lang w:val="fr-FR"/>
        </w:rPr>
        <w:t>7</w:t>
      </w:r>
      <w:r w:rsidR="00F92E4A" w:rsidRPr="00F92E4A">
        <w:rPr>
          <w:lang w:val="fr-FR"/>
        </w:rPr>
        <w:t>.</w:t>
      </w:r>
      <w:r w:rsidRPr="00A41BE0">
        <w:rPr>
          <w:lang w:val="fr-FR"/>
        </w:rPr>
        <w:t>1</w:t>
      </w:r>
      <w:r w:rsidRPr="00A41BE0">
        <w:rPr>
          <w:lang w:val="fr-FR"/>
        </w:rPr>
        <w:tab/>
        <w:t>Conformément à l</w:t>
      </w:r>
      <w:r>
        <w:rPr>
          <w:lang w:val="fr-FR"/>
        </w:rPr>
        <w:t>’</w:t>
      </w:r>
      <w:r w:rsidRPr="00A41BE0">
        <w:rPr>
          <w:lang w:val="fr-FR"/>
        </w:rPr>
        <w:t>article</w:t>
      </w:r>
      <w:r>
        <w:rPr>
          <w:lang w:val="fr-FR"/>
        </w:rPr>
        <w:t> </w:t>
      </w:r>
      <w:r w:rsidRPr="00A41BE0">
        <w:rPr>
          <w:lang w:val="fr-FR"/>
        </w:rPr>
        <w:t>5 (par</w:t>
      </w:r>
      <w:r w:rsidR="00F92E4A" w:rsidRPr="00F92E4A">
        <w:rPr>
          <w:lang w:val="fr-FR"/>
        </w:rPr>
        <w:t>.</w:t>
      </w:r>
      <w:r w:rsidRPr="00A41BE0">
        <w:rPr>
          <w:lang w:val="fr-FR"/>
        </w:rPr>
        <w:t xml:space="preserve"> 1) du Protocole facultatif, le Comité a examiné la présente communication en tenant compte de toutes les informations que lui ont communiquées les parties</w:t>
      </w:r>
      <w:r w:rsidR="00F92E4A" w:rsidRPr="00F92E4A">
        <w:rPr>
          <w:lang w:val="fr-FR"/>
        </w:rPr>
        <w:t>.</w:t>
      </w:r>
    </w:p>
    <w:p w14:paraId="78666393" w14:textId="14B2C199" w:rsidR="007D2392" w:rsidRPr="00A41BE0" w:rsidRDefault="007D2392" w:rsidP="007D2392">
      <w:pPr>
        <w:pStyle w:val="SingleTxtG"/>
        <w:rPr>
          <w:lang w:val="fr-FR"/>
        </w:rPr>
      </w:pPr>
      <w:r w:rsidRPr="00A41BE0">
        <w:rPr>
          <w:lang w:val="fr-FR"/>
        </w:rPr>
        <w:t>7</w:t>
      </w:r>
      <w:r w:rsidR="00F92E4A" w:rsidRPr="00F92E4A">
        <w:rPr>
          <w:lang w:val="fr-FR"/>
        </w:rPr>
        <w:t>.</w:t>
      </w:r>
      <w:r w:rsidRPr="00A41BE0">
        <w:rPr>
          <w:lang w:val="fr-FR"/>
        </w:rPr>
        <w:t>2</w:t>
      </w:r>
      <w:r w:rsidRPr="00A41BE0">
        <w:rPr>
          <w:lang w:val="fr-FR"/>
        </w:rPr>
        <w:tab/>
        <w:t>Le Comité prend note du grief de l</w:t>
      </w:r>
      <w:r>
        <w:rPr>
          <w:lang w:val="fr-FR"/>
        </w:rPr>
        <w:t>’</w:t>
      </w:r>
      <w:r w:rsidRPr="00A41BE0">
        <w:rPr>
          <w:lang w:val="fr-FR"/>
        </w:rPr>
        <w:t>auteure selon lequel son droit à la liberté d</w:t>
      </w:r>
      <w:r>
        <w:rPr>
          <w:lang w:val="fr-FR"/>
        </w:rPr>
        <w:t>’</w:t>
      </w:r>
      <w:r w:rsidRPr="00A41BE0">
        <w:rPr>
          <w:lang w:val="fr-FR"/>
        </w:rPr>
        <w:t>expression a été illégalement restreint en ce qu</w:t>
      </w:r>
      <w:r>
        <w:rPr>
          <w:lang w:val="fr-FR"/>
        </w:rPr>
        <w:t>’</w:t>
      </w:r>
      <w:r w:rsidRPr="00A41BE0">
        <w:rPr>
          <w:lang w:val="fr-FR"/>
        </w:rPr>
        <w:t>elle a été reconnue coupable d</w:t>
      </w:r>
      <w:r>
        <w:rPr>
          <w:lang w:val="fr-FR"/>
        </w:rPr>
        <w:t>’</w:t>
      </w:r>
      <w:r w:rsidRPr="00A41BE0">
        <w:rPr>
          <w:lang w:val="fr-FR"/>
        </w:rPr>
        <w:t>une infraction administrative et sanctionnée par une amende de 2</w:t>
      </w:r>
      <w:r>
        <w:rPr>
          <w:lang w:val="fr-FR"/>
        </w:rPr>
        <w:t> </w:t>
      </w:r>
      <w:r w:rsidRPr="00A41BE0">
        <w:rPr>
          <w:lang w:val="fr-FR"/>
        </w:rPr>
        <w:t>700</w:t>
      </w:r>
      <w:r>
        <w:rPr>
          <w:lang w:val="fr-FR"/>
        </w:rPr>
        <w:t> </w:t>
      </w:r>
      <w:r w:rsidRPr="00A41BE0">
        <w:rPr>
          <w:lang w:val="fr-FR"/>
        </w:rPr>
        <w:t>000 roubles pour avoir participé à une prétendue manifestation publique, alors que selon elle, elle exprimait simplement son opinion au sujet des élections présidentielles de 2015</w:t>
      </w:r>
      <w:r w:rsidR="00F92E4A" w:rsidRPr="00F92E4A">
        <w:rPr>
          <w:lang w:val="fr-FR"/>
        </w:rPr>
        <w:t>.</w:t>
      </w:r>
      <w:r w:rsidRPr="00A41BE0">
        <w:rPr>
          <w:lang w:val="fr-FR"/>
        </w:rPr>
        <w:t xml:space="preserve"> Le Comité doit donc déterminer si la sanction que les autorités locales ont imposée à l</w:t>
      </w:r>
      <w:r>
        <w:rPr>
          <w:lang w:val="fr-FR"/>
        </w:rPr>
        <w:t>’</w:t>
      </w:r>
      <w:r w:rsidRPr="00A41BE0">
        <w:rPr>
          <w:lang w:val="fr-FR"/>
        </w:rPr>
        <w:t xml:space="preserve">auteure constitue une violation </w:t>
      </w:r>
      <w:r>
        <w:rPr>
          <w:lang w:val="fr-FR"/>
        </w:rPr>
        <w:t>des droits qui lui sont reconnus à</w:t>
      </w:r>
      <w:r w:rsidRPr="00A41BE0">
        <w:rPr>
          <w:lang w:val="fr-FR"/>
        </w:rPr>
        <w:t xml:space="preserve"> l</w:t>
      </w:r>
      <w:r>
        <w:rPr>
          <w:lang w:val="fr-FR"/>
        </w:rPr>
        <w:t>’</w:t>
      </w:r>
      <w:r w:rsidRPr="00A41BE0">
        <w:rPr>
          <w:lang w:val="fr-FR"/>
        </w:rPr>
        <w:t>article 19 du Pacte</w:t>
      </w:r>
      <w:r w:rsidR="00F92E4A" w:rsidRPr="00F92E4A">
        <w:rPr>
          <w:lang w:val="fr-FR"/>
        </w:rPr>
        <w:t>.</w:t>
      </w:r>
    </w:p>
    <w:p w14:paraId="0B06EEB9" w14:textId="78DEDF37" w:rsidR="007D2392" w:rsidRPr="00A41BE0" w:rsidRDefault="007D2392" w:rsidP="007D2392">
      <w:pPr>
        <w:pStyle w:val="SingleTxtG"/>
        <w:keepNext/>
        <w:keepLines/>
        <w:rPr>
          <w:lang w:val="fr-FR"/>
        </w:rPr>
      </w:pPr>
      <w:r w:rsidRPr="00A41BE0">
        <w:rPr>
          <w:lang w:val="fr-FR"/>
        </w:rPr>
        <w:t>7</w:t>
      </w:r>
      <w:r w:rsidR="00F92E4A" w:rsidRPr="00F92E4A">
        <w:rPr>
          <w:lang w:val="fr-FR"/>
        </w:rPr>
        <w:t>.</w:t>
      </w:r>
      <w:r w:rsidRPr="00A41BE0">
        <w:rPr>
          <w:lang w:val="fr-FR"/>
        </w:rPr>
        <w:t>3</w:t>
      </w:r>
      <w:r w:rsidRPr="00A41BE0">
        <w:rPr>
          <w:lang w:val="fr-FR"/>
        </w:rPr>
        <w:tab/>
        <w:t xml:space="preserve">Le Comité renvoie à ce sujet à son observation générale </w:t>
      </w:r>
      <w:r w:rsidRPr="00573A2C">
        <w:rPr>
          <w:lang w:val="fr-FR"/>
        </w:rPr>
        <w:t>n</w:t>
      </w:r>
      <w:r w:rsidRPr="00573A2C">
        <w:rPr>
          <w:vertAlign w:val="superscript"/>
          <w:lang w:val="fr-FR"/>
        </w:rPr>
        <w:t>o</w:t>
      </w:r>
      <w:r>
        <w:rPr>
          <w:lang w:val="fr-FR"/>
        </w:rPr>
        <w:t> </w:t>
      </w:r>
      <w:r w:rsidRPr="00A41BE0">
        <w:rPr>
          <w:lang w:val="fr-FR"/>
        </w:rPr>
        <w:t>34 (2011) sur la liberté d</w:t>
      </w:r>
      <w:r>
        <w:rPr>
          <w:lang w:val="fr-FR"/>
        </w:rPr>
        <w:t>’</w:t>
      </w:r>
      <w:r w:rsidRPr="00A41BE0">
        <w:rPr>
          <w:lang w:val="fr-FR"/>
        </w:rPr>
        <w:t>opinion et la liberté d</w:t>
      </w:r>
      <w:r>
        <w:rPr>
          <w:lang w:val="fr-FR"/>
        </w:rPr>
        <w:t>’</w:t>
      </w:r>
      <w:r w:rsidRPr="00A41BE0">
        <w:rPr>
          <w:lang w:val="fr-FR"/>
        </w:rPr>
        <w:t>expression, dans laquelle il affirme notamment que la liberté d</w:t>
      </w:r>
      <w:r>
        <w:rPr>
          <w:lang w:val="fr-FR"/>
        </w:rPr>
        <w:t>’</w:t>
      </w:r>
      <w:r w:rsidRPr="00A41BE0">
        <w:rPr>
          <w:lang w:val="fr-FR"/>
        </w:rPr>
        <w:t>expression est essentielle pour toute société et constitue le fondement de toute société libre et démocratique</w:t>
      </w:r>
      <w:r w:rsidRPr="007D2392">
        <w:rPr>
          <w:rStyle w:val="Appelnotedebasdep"/>
        </w:rPr>
        <w:footnoteReference w:id="9"/>
      </w:r>
      <w:r w:rsidR="00F92E4A" w:rsidRPr="00F92E4A">
        <w:rPr>
          <w:lang w:val="fr-FR"/>
        </w:rPr>
        <w:t>.</w:t>
      </w:r>
      <w:r w:rsidRPr="00A41BE0">
        <w:rPr>
          <w:lang w:val="fr-FR"/>
        </w:rPr>
        <w:t xml:space="preserve"> Il fait observer que l</w:t>
      </w:r>
      <w:r>
        <w:rPr>
          <w:lang w:val="fr-FR"/>
        </w:rPr>
        <w:t>’</w:t>
      </w:r>
      <w:r w:rsidRPr="00A41BE0">
        <w:rPr>
          <w:lang w:val="fr-FR"/>
        </w:rPr>
        <w:t>article 19 (par</w:t>
      </w:r>
      <w:r w:rsidR="00F92E4A" w:rsidRPr="00F92E4A">
        <w:rPr>
          <w:lang w:val="fr-FR"/>
        </w:rPr>
        <w:t>.</w:t>
      </w:r>
      <w:r w:rsidRPr="00A41BE0">
        <w:rPr>
          <w:lang w:val="fr-FR"/>
        </w:rPr>
        <w:t xml:space="preserve"> 3) </w:t>
      </w:r>
      <w:r w:rsidRPr="008C4F51">
        <w:rPr>
          <w:lang w:val="fr-FR"/>
        </w:rPr>
        <w:t>du Pacte autorise</w:t>
      </w:r>
      <w:r w:rsidRPr="00A41BE0">
        <w:rPr>
          <w:lang w:val="fr-FR"/>
        </w:rPr>
        <w:t xml:space="preserve"> l</w:t>
      </w:r>
      <w:r>
        <w:rPr>
          <w:lang w:val="fr-FR"/>
        </w:rPr>
        <w:t>’</w:t>
      </w:r>
      <w:r w:rsidRPr="00A41BE0">
        <w:rPr>
          <w:lang w:val="fr-FR"/>
        </w:rPr>
        <w:t>application de certaines restrictions à la liberté d</w:t>
      </w:r>
      <w:r>
        <w:rPr>
          <w:lang w:val="fr-FR"/>
        </w:rPr>
        <w:t>’</w:t>
      </w:r>
      <w:r w:rsidRPr="00A41BE0">
        <w:rPr>
          <w:lang w:val="fr-FR"/>
        </w:rPr>
        <w:t>expression, y compris à la liberté de diffuser des informations et des idées, dans la seule mesure où ces restrictions sont fixées par la loi et sont nécessaires</w:t>
      </w:r>
      <w:r>
        <w:rPr>
          <w:lang w:val="fr-FR"/>
        </w:rPr>
        <w:t> </w:t>
      </w:r>
      <w:r w:rsidRPr="00A41BE0">
        <w:rPr>
          <w:lang w:val="fr-FR"/>
        </w:rPr>
        <w:t>: a)</w:t>
      </w:r>
      <w:r>
        <w:rPr>
          <w:lang w:val="fr-FR"/>
        </w:rPr>
        <w:t> </w:t>
      </w:r>
      <w:r w:rsidRPr="00A41BE0">
        <w:rPr>
          <w:lang w:val="fr-FR"/>
        </w:rPr>
        <w:t>au respect des droits ou de la réputation d</w:t>
      </w:r>
      <w:r>
        <w:rPr>
          <w:lang w:val="fr-FR"/>
        </w:rPr>
        <w:t>’</w:t>
      </w:r>
      <w:r w:rsidRPr="00A41BE0">
        <w:rPr>
          <w:lang w:val="fr-FR"/>
        </w:rPr>
        <w:t>autrui</w:t>
      </w:r>
      <w:r>
        <w:rPr>
          <w:lang w:val="fr-FR"/>
        </w:rPr>
        <w:t> </w:t>
      </w:r>
      <w:r w:rsidRPr="00A41BE0">
        <w:rPr>
          <w:lang w:val="fr-FR"/>
        </w:rPr>
        <w:t xml:space="preserve">; </w:t>
      </w:r>
      <w:r>
        <w:rPr>
          <w:lang w:val="fr-FR"/>
        </w:rPr>
        <w:t xml:space="preserve">b) </w:t>
      </w:r>
      <w:r w:rsidRPr="00A41BE0">
        <w:rPr>
          <w:lang w:val="fr-FR"/>
        </w:rPr>
        <w:t>à la sauvegarde de la sécurité nationale, de l</w:t>
      </w:r>
      <w:r>
        <w:rPr>
          <w:lang w:val="fr-FR"/>
        </w:rPr>
        <w:t>’</w:t>
      </w:r>
      <w:r w:rsidRPr="00A41BE0">
        <w:rPr>
          <w:lang w:val="fr-FR"/>
        </w:rPr>
        <w:t>ordre public, de la santé ou de la moralité publiques</w:t>
      </w:r>
      <w:r w:rsidR="00F92E4A" w:rsidRPr="00F92E4A">
        <w:rPr>
          <w:lang w:val="fr-FR"/>
        </w:rPr>
        <w:t>.</w:t>
      </w:r>
      <w:r w:rsidRPr="00A41BE0">
        <w:rPr>
          <w:lang w:val="fr-FR"/>
        </w:rPr>
        <w:t xml:space="preserve"> Enfin, les restrictions imposées à la liberté d</w:t>
      </w:r>
      <w:r>
        <w:rPr>
          <w:lang w:val="fr-FR"/>
        </w:rPr>
        <w:t>’</w:t>
      </w:r>
      <w:r w:rsidRPr="00A41BE0">
        <w:rPr>
          <w:lang w:val="fr-FR"/>
        </w:rPr>
        <w:t>expression ne doivent pas avoir une portée trop large</w:t>
      </w:r>
      <w:r>
        <w:rPr>
          <w:lang w:val="fr-FR"/>
        </w:rPr>
        <w:t> </w:t>
      </w:r>
      <w:r w:rsidRPr="00A41BE0">
        <w:rPr>
          <w:lang w:val="fr-FR"/>
        </w:rPr>
        <w:t>; elles doivent constituer le moyen le moins perturbateur parmi ceux qui pourraient permettre d</w:t>
      </w:r>
      <w:r>
        <w:rPr>
          <w:lang w:val="fr-FR"/>
        </w:rPr>
        <w:t>’</w:t>
      </w:r>
      <w:r w:rsidRPr="00A41BE0">
        <w:rPr>
          <w:lang w:val="fr-FR"/>
        </w:rPr>
        <w:t>assurer la fonction de protection recherchée et doivent être proportionnées à l</w:t>
      </w:r>
      <w:r>
        <w:rPr>
          <w:lang w:val="fr-FR"/>
        </w:rPr>
        <w:t>’</w:t>
      </w:r>
      <w:r w:rsidRPr="00A41BE0">
        <w:rPr>
          <w:lang w:val="fr-FR"/>
        </w:rPr>
        <w:t>intérêt à protéger</w:t>
      </w:r>
      <w:r w:rsidRPr="007D2392">
        <w:rPr>
          <w:rStyle w:val="Appelnotedebasdep"/>
        </w:rPr>
        <w:footnoteReference w:id="10"/>
      </w:r>
      <w:r w:rsidR="00F92E4A" w:rsidRPr="00F92E4A">
        <w:rPr>
          <w:lang w:val="fr-FR"/>
        </w:rPr>
        <w:t>.</w:t>
      </w:r>
      <w:r w:rsidRPr="00A41BE0">
        <w:rPr>
          <w:lang w:val="fr-FR"/>
        </w:rPr>
        <w:t xml:space="preserve"> Le principe de la proportionnalité doit être respecté non seulement dans la loi qui institue les restrictions, mais également par les autorités administratives et judiciaires chargées de l</w:t>
      </w:r>
      <w:r>
        <w:rPr>
          <w:lang w:val="fr-FR"/>
        </w:rPr>
        <w:t>’</w:t>
      </w:r>
      <w:r w:rsidRPr="00A41BE0">
        <w:rPr>
          <w:lang w:val="fr-FR"/>
        </w:rPr>
        <w:t>application de la loi</w:t>
      </w:r>
      <w:r w:rsidRPr="007D2392">
        <w:rPr>
          <w:rStyle w:val="Appelnotedebasdep"/>
        </w:rPr>
        <w:footnoteReference w:id="11"/>
      </w:r>
      <w:r w:rsidR="00F92E4A" w:rsidRPr="00F92E4A">
        <w:rPr>
          <w:lang w:val="fr-FR"/>
        </w:rPr>
        <w:t>.</w:t>
      </w:r>
      <w:r w:rsidRPr="00A41BE0">
        <w:rPr>
          <w:lang w:val="fr-FR"/>
        </w:rPr>
        <w:t xml:space="preserve"> Quand un État partie invoque un motif légitime pour justifier une restriction à la liberté d</w:t>
      </w:r>
      <w:r>
        <w:rPr>
          <w:lang w:val="fr-FR"/>
        </w:rPr>
        <w:t>’</w:t>
      </w:r>
      <w:r w:rsidRPr="00A41BE0">
        <w:rPr>
          <w:lang w:val="fr-FR"/>
        </w:rPr>
        <w:t xml:space="preserve">expression, il doit démontrer de manière spécifique et individualisée la nature précise de la menace qui pèse sur </w:t>
      </w:r>
      <w:r>
        <w:rPr>
          <w:lang w:val="fr-FR"/>
        </w:rPr>
        <w:t>les</w:t>
      </w:r>
      <w:r w:rsidRPr="00A41BE0">
        <w:rPr>
          <w:lang w:val="fr-FR"/>
        </w:rPr>
        <w:t xml:space="preserve"> éléments </w:t>
      </w:r>
      <w:r>
        <w:rPr>
          <w:lang w:val="fr-FR"/>
        </w:rPr>
        <w:t xml:space="preserve">particuliers </w:t>
      </w:r>
      <w:r w:rsidRPr="00A41BE0">
        <w:rPr>
          <w:lang w:val="fr-FR"/>
        </w:rPr>
        <w:t>énoncés à l</w:t>
      </w:r>
      <w:r>
        <w:rPr>
          <w:lang w:val="fr-FR"/>
        </w:rPr>
        <w:t>’</w:t>
      </w:r>
      <w:r w:rsidRPr="00A41BE0">
        <w:rPr>
          <w:lang w:val="fr-FR"/>
        </w:rPr>
        <w:t>article</w:t>
      </w:r>
      <w:r w:rsidR="00FF234C">
        <w:rPr>
          <w:lang w:val="fr-FR"/>
        </w:rPr>
        <w:t> </w:t>
      </w:r>
      <w:r w:rsidRPr="00A41BE0">
        <w:rPr>
          <w:lang w:val="fr-FR"/>
        </w:rPr>
        <w:t>19 (par</w:t>
      </w:r>
      <w:r w:rsidR="00F92E4A" w:rsidRPr="00F92E4A">
        <w:rPr>
          <w:lang w:val="fr-FR"/>
        </w:rPr>
        <w:t>.</w:t>
      </w:r>
      <w:r w:rsidRPr="00A41BE0">
        <w:rPr>
          <w:lang w:val="fr-FR"/>
        </w:rPr>
        <w:t> 3) et qui l</w:t>
      </w:r>
      <w:r>
        <w:rPr>
          <w:lang w:val="fr-FR"/>
        </w:rPr>
        <w:t>’</w:t>
      </w:r>
      <w:r w:rsidRPr="00A41BE0">
        <w:rPr>
          <w:lang w:val="fr-FR"/>
        </w:rPr>
        <w:t>a conduit à restreindre la liberté d</w:t>
      </w:r>
      <w:r>
        <w:rPr>
          <w:lang w:val="fr-FR"/>
        </w:rPr>
        <w:t>’</w:t>
      </w:r>
      <w:r w:rsidRPr="00A41BE0">
        <w:rPr>
          <w:lang w:val="fr-FR"/>
        </w:rPr>
        <w:t>expression, ainsi que la nécessité et la proportionnalité de la mesure particulière prise, en particulier en établissant un lien direct et immédiat entre l</w:t>
      </w:r>
      <w:r>
        <w:rPr>
          <w:lang w:val="fr-FR"/>
        </w:rPr>
        <w:t>’</w:t>
      </w:r>
      <w:r w:rsidRPr="00A41BE0">
        <w:rPr>
          <w:lang w:val="fr-FR"/>
        </w:rPr>
        <w:t>expression et la menace</w:t>
      </w:r>
      <w:r w:rsidRPr="007D2392">
        <w:rPr>
          <w:rStyle w:val="Appelnotedebasdep"/>
        </w:rPr>
        <w:footnoteReference w:id="12"/>
      </w:r>
      <w:r w:rsidR="00F92E4A" w:rsidRPr="00F92E4A">
        <w:rPr>
          <w:lang w:val="fr-FR"/>
        </w:rPr>
        <w:t>.</w:t>
      </w:r>
      <w:r w:rsidRPr="00A41BE0">
        <w:rPr>
          <w:lang w:val="fr-FR"/>
        </w:rPr>
        <w:t xml:space="preserve"> Le Comité rappelle que c</w:t>
      </w:r>
      <w:r>
        <w:rPr>
          <w:lang w:val="fr-FR"/>
        </w:rPr>
        <w:t>’</w:t>
      </w:r>
      <w:r w:rsidRPr="00A41BE0">
        <w:rPr>
          <w:lang w:val="fr-FR"/>
        </w:rPr>
        <w:t>est donc à l</w:t>
      </w:r>
      <w:r>
        <w:rPr>
          <w:lang w:val="fr-FR"/>
        </w:rPr>
        <w:t>’</w:t>
      </w:r>
      <w:r w:rsidRPr="00A41BE0">
        <w:rPr>
          <w:lang w:val="fr-FR"/>
        </w:rPr>
        <w:t>État partie qu</w:t>
      </w:r>
      <w:r>
        <w:rPr>
          <w:lang w:val="fr-FR"/>
        </w:rPr>
        <w:t>’</w:t>
      </w:r>
      <w:r w:rsidRPr="00A41BE0">
        <w:rPr>
          <w:lang w:val="fr-FR"/>
        </w:rPr>
        <w:t>il incombe de démontrer que les restrictions apportées aux droits que l</w:t>
      </w:r>
      <w:r>
        <w:rPr>
          <w:lang w:val="fr-FR"/>
        </w:rPr>
        <w:t>’</w:t>
      </w:r>
      <w:r w:rsidRPr="00A41BE0">
        <w:rPr>
          <w:lang w:val="fr-FR"/>
        </w:rPr>
        <w:t>auteure tient de l</w:t>
      </w:r>
      <w:r>
        <w:rPr>
          <w:lang w:val="fr-FR"/>
        </w:rPr>
        <w:t>’</w:t>
      </w:r>
      <w:r w:rsidRPr="00A41BE0">
        <w:rPr>
          <w:lang w:val="fr-FR"/>
        </w:rPr>
        <w:t>article 19 du Pacte étaient nécessaires et proportionnées</w:t>
      </w:r>
      <w:r w:rsidRPr="007D2392">
        <w:rPr>
          <w:rStyle w:val="Appelnotedebasdep"/>
        </w:rPr>
        <w:footnoteReference w:id="13"/>
      </w:r>
      <w:r w:rsidR="00F92E4A" w:rsidRPr="00F92E4A">
        <w:rPr>
          <w:lang w:val="fr-FR"/>
        </w:rPr>
        <w:t>.</w:t>
      </w:r>
    </w:p>
    <w:p w14:paraId="2400ED79" w14:textId="71C5BF7E" w:rsidR="007D2392" w:rsidRPr="00A41BE0" w:rsidRDefault="007D2392" w:rsidP="007D2392">
      <w:pPr>
        <w:pStyle w:val="SingleTxtG"/>
        <w:rPr>
          <w:lang w:val="fr-FR"/>
        </w:rPr>
      </w:pPr>
      <w:r w:rsidRPr="00A41BE0">
        <w:rPr>
          <w:lang w:val="fr-FR"/>
        </w:rPr>
        <w:t>7</w:t>
      </w:r>
      <w:r w:rsidR="00F92E4A" w:rsidRPr="00F92E4A">
        <w:rPr>
          <w:lang w:val="fr-FR"/>
        </w:rPr>
        <w:t>.</w:t>
      </w:r>
      <w:r w:rsidRPr="00A41BE0">
        <w:rPr>
          <w:lang w:val="fr-FR"/>
        </w:rPr>
        <w:t>4</w:t>
      </w:r>
      <w:r w:rsidRPr="00A41BE0">
        <w:rPr>
          <w:lang w:val="fr-FR"/>
        </w:rPr>
        <w:tab/>
        <w:t>Le Comité fait observer que le fait d</w:t>
      </w:r>
      <w:r>
        <w:rPr>
          <w:lang w:val="fr-FR"/>
        </w:rPr>
        <w:t>’</w:t>
      </w:r>
      <w:r w:rsidRPr="00A41BE0">
        <w:rPr>
          <w:lang w:val="fr-FR"/>
        </w:rPr>
        <w:t>imposer une amende élevée à l</w:t>
      </w:r>
      <w:r>
        <w:rPr>
          <w:lang w:val="fr-FR"/>
        </w:rPr>
        <w:t>’</w:t>
      </w:r>
      <w:r w:rsidRPr="00A41BE0">
        <w:rPr>
          <w:lang w:val="fr-FR"/>
        </w:rPr>
        <w:t>auteure pour avoir simplement affirmé que les résultats de l</w:t>
      </w:r>
      <w:r>
        <w:rPr>
          <w:lang w:val="fr-FR"/>
        </w:rPr>
        <w:t>’</w:t>
      </w:r>
      <w:r w:rsidRPr="00A41BE0">
        <w:rPr>
          <w:lang w:val="fr-FR"/>
        </w:rPr>
        <w:t>élection présidentielle tenue en 2015 avaient été falsifiés, soulève de sérieux doutes quant à la nécessité et à la proportionnalité des restrictions apportées aux droits que l</w:t>
      </w:r>
      <w:r>
        <w:rPr>
          <w:lang w:val="fr-FR"/>
        </w:rPr>
        <w:t>’</w:t>
      </w:r>
      <w:r w:rsidRPr="00A41BE0">
        <w:rPr>
          <w:lang w:val="fr-FR"/>
        </w:rPr>
        <w:t>auteure tient de l</w:t>
      </w:r>
      <w:r>
        <w:rPr>
          <w:lang w:val="fr-FR"/>
        </w:rPr>
        <w:t>’</w:t>
      </w:r>
      <w:r w:rsidRPr="00A41BE0">
        <w:rPr>
          <w:lang w:val="fr-FR"/>
        </w:rPr>
        <w:t>article 19 du Pacte</w:t>
      </w:r>
      <w:r w:rsidR="00F92E4A" w:rsidRPr="00F92E4A">
        <w:rPr>
          <w:lang w:val="fr-FR"/>
        </w:rPr>
        <w:t>.</w:t>
      </w:r>
      <w:r w:rsidRPr="00A41BE0">
        <w:rPr>
          <w:lang w:val="fr-FR"/>
        </w:rPr>
        <w:t xml:space="preserve"> Il note, sur ce point, que l</w:t>
      </w:r>
      <w:r>
        <w:rPr>
          <w:lang w:val="fr-FR"/>
        </w:rPr>
        <w:t>’</w:t>
      </w:r>
      <w:r w:rsidRPr="00A41BE0">
        <w:rPr>
          <w:lang w:val="fr-FR"/>
        </w:rPr>
        <w:t>État partie n</w:t>
      </w:r>
      <w:r>
        <w:rPr>
          <w:lang w:val="fr-FR"/>
        </w:rPr>
        <w:t>’</w:t>
      </w:r>
      <w:r w:rsidRPr="00A41BE0">
        <w:rPr>
          <w:lang w:val="fr-FR"/>
        </w:rPr>
        <w:t>a pas donné de motif précis pour justifier la nécessité des restrictions imposées à l</w:t>
      </w:r>
      <w:r>
        <w:rPr>
          <w:lang w:val="fr-FR"/>
        </w:rPr>
        <w:t>’</w:t>
      </w:r>
      <w:r w:rsidRPr="00A41BE0">
        <w:rPr>
          <w:lang w:val="fr-FR"/>
        </w:rPr>
        <w:t>auteure, alors que l</w:t>
      </w:r>
      <w:r>
        <w:rPr>
          <w:lang w:val="fr-FR"/>
        </w:rPr>
        <w:t>’</w:t>
      </w:r>
      <w:r w:rsidRPr="00A41BE0">
        <w:rPr>
          <w:lang w:val="fr-FR"/>
        </w:rPr>
        <w:t>article</w:t>
      </w:r>
      <w:r>
        <w:rPr>
          <w:lang w:val="fr-FR"/>
        </w:rPr>
        <w:t> </w:t>
      </w:r>
      <w:r w:rsidRPr="00A41BE0">
        <w:rPr>
          <w:lang w:val="fr-FR"/>
        </w:rPr>
        <w:t>19 (par</w:t>
      </w:r>
      <w:r w:rsidR="00F92E4A" w:rsidRPr="00F92E4A">
        <w:rPr>
          <w:lang w:val="fr-FR"/>
        </w:rPr>
        <w:t>.</w:t>
      </w:r>
      <w:r>
        <w:rPr>
          <w:lang w:val="fr-FR"/>
        </w:rPr>
        <w:t> </w:t>
      </w:r>
      <w:r w:rsidRPr="00A41BE0">
        <w:rPr>
          <w:lang w:val="fr-FR"/>
        </w:rPr>
        <w:t>3) du Pacte l</w:t>
      </w:r>
      <w:r>
        <w:rPr>
          <w:lang w:val="fr-FR"/>
        </w:rPr>
        <w:t>’</w:t>
      </w:r>
      <w:r w:rsidRPr="00A41BE0">
        <w:rPr>
          <w:lang w:val="fr-FR"/>
        </w:rPr>
        <w:t>exige</w:t>
      </w:r>
      <w:r w:rsidRPr="007D2392">
        <w:rPr>
          <w:rStyle w:val="Appelnotedebasdep"/>
        </w:rPr>
        <w:footnoteReference w:id="14"/>
      </w:r>
      <w:r w:rsidR="00F92E4A" w:rsidRPr="00F92E4A">
        <w:rPr>
          <w:lang w:val="fr-FR"/>
        </w:rPr>
        <w:t>.</w:t>
      </w:r>
      <w:r w:rsidRPr="00A41BE0">
        <w:rPr>
          <w:lang w:val="fr-FR"/>
        </w:rPr>
        <w:t xml:space="preserve"> L</w:t>
      </w:r>
      <w:r>
        <w:rPr>
          <w:lang w:val="fr-FR"/>
        </w:rPr>
        <w:t>’</w:t>
      </w:r>
      <w:r w:rsidRPr="00A41BE0">
        <w:rPr>
          <w:lang w:val="fr-FR"/>
        </w:rPr>
        <w:t>État partie n</w:t>
      </w:r>
      <w:r>
        <w:rPr>
          <w:lang w:val="fr-FR"/>
        </w:rPr>
        <w:t>’</w:t>
      </w:r>
      <w:r w:rsidRPr="00A41BE0">
        <w:rPr>
          <w:lang w:val="fr-FR"/>
        </w:rPr>
        <w:t>a pas non plus montré que les mesures choisies constituaient le moyen le moins perturbateur d</w:t>
      </w:r>
      <w:r>
        <w:rPr>
          <w:lang w:val="fr-FR"/>
        </w:rPr>
        <w:t>’</w:t>
      </w:r>
      <w:r w:rsidRPr="00A41BE0">
        <w:rPr>
          <w:lang w:val="fr-FR"/>
        </w:rPr>
        <w:t>obtenir le résultat recherché ou qu</w:t>
      </w:r>
      <w:r>
        <w:rPr>
          <w:lang w:val="fr-FR"/>
        </w:rPr>
        <w:t>’</w:t>
      </w:r>
      <w:r w:rsidRPr="00A41BE0">
        <w:rPr>
          <w:lang w:val="fr-FR"/>
        </w:rPr>
        <w:t>elles étaient proportionnées à l</w:t>
      </w:r>
      <w:r>
        <w:rPr>
          <w:lang w:val="fr-FR"/>
        </w:rPr>
        <w:t>’</w:t>
      </w:r>
      <w:r w:rsidRPr="00A41BE0">
        <w:rPr>
          <w:lang w:val="fr-FR"/>
        </w:rPr>
        <w:t>intérêt à protéger</w:t>
      </w:r>
      <w:r w:rsidR="00F92E4A" w:rsidRPr="00F92E4A">
        <w:rPr>
          <w:lang w:val="fr-FR"/>
        </w:rPr>
        <w:t>.</w:t>
      </w:r>
      <w:r w:rsidRPr="00A41BE0">
        <w:rPr>
          <w:lang w:val="fr-FR"/>
        </w:rPr>
        <w:t xml:space="preserve"> Dans ces circonstances, le Comité considère que, bien qu</w:t>
      </w:r>
      <w:r>
        <w:rPr>
          <w:lang w:val="fr-FR"/>
        </w:rPr>
        <w:t>’</w:t>
      </w:r>
      <w:r w:rsidRPr="00A41BE0">
        <w:rPr>
          <w:lang w:val="fr-FR"/>
        </w:rPr>
        <w:t xml:space="preserve">elles soient fondées en droit interne, les </w:t>
      </w:r>
      <w:r w:rsidRPr="00A41BE0">
        <w:rPr>
          <w:lang w:val="fr-FR"/>
        </w:rPr>
        <w:lastRenderedPageBreak/>
        <w:t>restrictions imposées à l</w:t>
      </w:r>
      <w:r>
        <w:rPr>
          <w:lang w:val="fr-FR"/>
        </w:rPr>
        <w:t>’</w:t>
      </w:r>
      <w:r w:rsidRPr="00A41BE0">
        <w:rPr>
          <w:lang w:val="fr-FR"/>
        </w:rPr>
        <w:t>auteure n</w:t>
      </w:r>
      <w:r>
        <w:rPr>
          <w:lang w:val="fr-FR"/>
        </w:rPr>
        <w:t>’</w:t>
      </w:r>
      <w:r w:rsidRPr="00A41BE0">
        <w:rPr>
          <w:lang w:val="fr-FR"/>
        </w:rPr>
        <w:t>étaient pas justifiées au regard des dispositions de l</w:t>
      </w:r>
      <w:r>
        <w:rPr>
          <w:lang w:val="fr-FR"/>
        </w:rPr>
        <w:t>’</w:t>
      </w:r>
      <w:r w:rsidRPr="00A41BE0">
        <w:rPr>
          <w:lang w:val="fr-FR"/>
        </w:rPr>
        <w:t>article</w:t>
      </w:r>
      <w:r>
        <w:rPr>
          <w:lang w:val="fr-FR"/>
        </w:rPr>
        <w:t> </w:t>
      </w:r>
      <w:r w:rsidRPr="00A41BE0">
        <w:rPr>
          <w:lang w:val="fr-FR"/>
        </w:rPr>
        <w:t>19 (par</w:t>
      </w:r>
      <w:r w:rsidR="00F92E4A" w:rsidRPr="00F92E4A">
        <w:rPr>
          <w:lang w:val="fr-FR"/>
        </w:rPr>
        <w:t>.</w:t>
      </w:r>
      <w:r w:rsidRPr="00A41BE0">
        <w:rPr>
          <w:lang w:val="fr-FR"/>
        </w:rPr>
        <w:t xml:space="preserve"> 3) du Pacte</w:t>
      </w:r>
      <w:r w:rsidR="00F92E4A" w:rsidRPr="00F92E4A">
        <w:rPr>
          <w:lang w:val="fr-FR"/>
        </w:rPr>
        <w:t>.</w:t>
      </w:r>
      <w:r w:rsidRPr="00A41BE0">
        <w:rPr>
          <w:lang w:val="fr-FR"/>
        </w:rPr>
        <w:t xml:space="preserve"> Il conclut par conséquent </w:t>
      </w:r>
      <w:r>
        <w:rPr>
          <w:lang w:val="fr-FR"/>
        </w:rPr>
        <w:t>que les</w:t>
      </w:r>
      <w:r w:rsidRPr="00A41BE0">
        <w:rPr>
          <w:lang w:val="fr-FR"/>
        </w:rPr>
        <w:t xml:space="preserve"> droits que l</w:t>
      </w:r>
      <w:r>
        <w:rPr>
          <w:lang w:val="fr-FR"/>
        </w:rPr>
        <w:t>’</w:t>
      </w:r>
      <w:r w:rsidRPr="00A41BE0">
        <w:rPr>
          <w:lang w:val="fr-FR"/>
        </w:rPr>
        <w:t>auteure tient de l</w:t>
      </w:r>
      <w:r>
        <w:rPr>
          <w:lang w:val="fr-FR"/>
        </w:rPr>
        <w:t>’</w:t>
      </w:r>
      <w:r w:rsidRPr="00A41BE0">
        <w:rPr>
          <w:lang w:val="fr-FR"/>
        </w:rPr>
        <w:t>article 19 (par</w:t>
      </w:r>
      <w:r w:rsidR="00F92E4A" w:rsidRPr="00F92E4A">
        <w:rPr>
          <w:lang w:val="fr-FR"/>
        </w:rPr>
        <w:t>.</w:t>
      </w:r>
      <w:r w:rsidRPr="00A41BE0">
        <w:rPr>
          <w:lang w:val="fr-FR"/>
        </w:rPr>
        <w:t> 2) du Pacte</w:t>
      </w:r>
      <w:r>
        <w:rPr>
          <w:lang w:val="fr-FR"/>
        </w:rPr>
        <w:t xml:space="preserve"> ont été violés</w:t>
      </w:r>
      <w:r w:rsidRPr="007D2392">
        <w:rPr>
          <w:rStyle w:val="Appelnotedebasdep"/>
        </w:rPr>
        <w:footnoteReference w:id="15"/>
      </w:r>
      <w:r w:rsidR="00F92E4A" w:rsidRPr="00F92E4A">
        <w:rPr>
          <w:lang w:val="fr-FR"/>
        </w:rPr>
        <w:t>.</w:t>
      </w:r>
    </w:p>
    <w:p w14:paraId="52A3129F" w14:textId="4F314417" w:rsidR="007D2392" w:rsidRPr="00A41BE0" w:rsidRDefault="007D2392" w:rsidP="007D2392">
      <w:pPr>
        <w:pStyle w:val="SingleTxtG"/>
        <w:rPr>
          <w:lang w:val="fr-FR"/>
        </w:rPr>
      </w:pPr>
      <w:r>
        <w:rPr>
          <w:lang w:val="fr-FR"/>
        </w:rPr>
        <w:t>8</w:t>
      </w:r>
      <w:r w:rsidR="00F92E4A" w:rsidRPr="00F92E4A">
        <w:rPr>
          <w:lang w:val="fr-FR"/>
        </w:rPr>
        <w:t>.</w:t>
      </w:r>
      <w:r w:rsidRPr="00A41BE0">
        <w:rPr>
          <w:lang w:val="fr-FR"/>
        </w:rPr>
        <w:tab/>
        <w:t>Le Comité, agissant en vertu de l</w:t>
      </w:r>
      <w:r>
        <w:rPr>
          <w:lang w:val="fr-FR"/>
        </w:rPr>
        <w:t>’</w:t>
      </w:r>
      <w:r w:rsidRPr="00A41BE0">
        <w:rPr>
          <w:lang w:val="fr-FR"/>
        </w:rPr>
        <w:t>article 5 (par</w:t>
      </w:r>
      <w:r w:rsidR="00F92E4A" w:rsidRPr="00F92E4A">
        <w:rPr>
          <w:lang w:val="fr-FR"/>
        </w:rPr>
        <w:t>.</w:t>
      </w:r>
      <w:r w:rsidRPr="00A41BE0">
        <w:rPr>
          <w:lang w:val="fr-FR"/>
        </w:rPr>
        <w:t> 4) du Protocole facultatif, constate que les faits dont il est saisi font apparaître une violation par l</w:t>
      </w:r>
      <w:r>
        <w:rPr>
          <w:lang w:val="fr-FR"/>
        </w:rPr>
        <w:t>’</w:t>
      </w:r>
      <w:r w:rsidRPr="00A41BE0">
        <w:rPr>
          <w:lang w:val="fr-FR"/>
        </w:rPr>
        <w:t>État partie des droits que l</w:t>
      </w:r>
      <w:r>
        <w:rPr>
          <w:lang w:val="fr-FR"/>
        </w:rPr>
        <w:t>’</w:t>
      </w:r>
      <w:r w:rsidRPr="00A41BE0">
        <w:rPr>
          <w:lang w:val="fr-FR"/>
        </w:rPr>
        <w:t>auteure tient de l</w:t>
      </w:r>
      <w:r>
        <w:rPr>
          <w:lang w:val="fr-FR"/>
        </w:rPr>
        <w:t>’</w:t>
      </w:r>
      <w:r w:rsidRPr="00A41BE0">
        <w:rPr>
          <w:lang w:val="fr-FR"/>
        </w:rPr>
        <w:t>article</w:t>
      </w:r>
      <w:r>
        <w:rPr>
          <w:lang w:val="fr-FR"/>
        </w:rPr>
        <w:t> </w:t>
      </w:r>
      <w:r w:rsidRPr="00A41BE0">
        <w:rPr>
          <w:lang w:val="fr-FR"/>
        </w:rPr>
        <w:t>19 du Pacte</w:t>
      </w:r>
      <w:r w:rsidR="00F92E4A" w:rsidRPr="00F92E4A">
        <w:rPr>
          <w:lang w:val="fr-FR"/>
        </w:rPr>
        <w:t>.</w:t>
      </w:r>
    </w:p>
    <w:p w14:paraId="550E4B88" w14:textId="3F15E232" w:rsidR="007D2392" w:rsidRPr="00A41BE0" w:rsidRDefault="007D2392" w:rsidP="007D2392">
      <w:pPr>
        <w:pStyle w:val="SingleTxtG"/>
        <w:rPr>
          <w:lang w:val="fr-FR"/>
        </w:rPr>
      </w:pPr>
      <w:r>
        <w:rPr>
          <w:lang w:val="fr-FR"/>
        </w:rPr>
        <w:t>9</w:t>
      </w:r>
      <w:r w:rsidR="00F92E4A" w:rsidRPr="00F92E4A">
        <w:rPr>
          <w:lang w:val="fr-FR"/>
        </w:rPr>
        <w:t>.</w:t>
      </w:r>
      <w:r w:rsidRPr="00A41BE0">
        <w:rPr>
          <w:lang w:val="fr-FR"/>
        </w:rPr>
        <w:tab/>
        <w:t>Conformément à l</w:t>
      </w:r>
      <w:r>
        <w:rPr>
          <w:lang w:val="fr-FR"/>
        </w:rPr>
        <w:t>’</w:t>
      </w:r>
      <w:r w:rsidRPr="00A41BE0">
        <w:rPr>
          <w:lang w:val="fr-FR"/>
        </w:rPr>
        <w:t>article</w:t>
      </w:r>
      <w:r>
        <w:rPr>
          <w:lang w:val="fr-FR"/>
        </w:rPr>
        <w:t> </w:t>
      </w:r>
      <w:r w:rsidRPr="00A41BE0">
        <w:rPr>
          <w:lang w:val="fr-FR"/>
        </w:rPr>
        <w:t>2 (par</w:t>
      </w:r>
      <w:r w:rsidR="00F92E4A" w:rsidRPr="00F92E4A">
        <w:rPr>
          <w:lang w:val="fr-FR"/>
        </w:rPr>
        <w:t>.</w:t>
      </w:r>
      <w:r>
        <w:rPr>
          <w:lang w:val="fr-FR"/>
        </w:rPr>
        <w:t> </w:t>
      </w:r>
      <w:r w:rsidRPr="00A41BE0">
        <w:rPr>
          <w:lang w:val="fr-FR"/>
        </w:rPr>
        <w:t>3</w:t>
      </w:r>
      <w:r>
        <w:rPr>
          <w:lang w:val="fr-FR"/>
        </w:rPr>
        <w:t> </w:t>
      </w:r>
      <w:r w:rsidRPr="00A41BE0">
        <w:rPr>
          <w:lang w:val="fr-FR"/>
        </w:rPr>
        <w:t>a)) du Pacte, l</w:t>
      </w:r>
      <w:r>
        <w:rPr>
          <w:lang w:val="fr-FR"/>
        </w:rPr>
        <w:t>’</w:t>
      </w:r>
      <w:r w:rsidRPr="00A41BE0">
        <w:rPr>
          <w:lang w:val="fr-FR"/>
        </w:rPr>
        <w:t>État partie est tenu d</w:t>
      </w:r>
      <w:r>
        <w:rPr>
          <w:lang w:val="fr-FR"/>
        </w:rPr>
        <w:t>’</w:t>
      </w:r>
      <w:r w:rsidRPr="00A41BE0">
        <w:rPr>
          <w:lang w:val="fr-FR"/>
        </w:rPr>
        <w:t>assurer à l</w:t>
      </w:r>
      <w:r>
        <w:rPr>
          <w:lang w:val="fr-FR"/>
        </w:rPr>
        <w:t>’</w:t>
      </w:r>
      <w:r w:rsidRPr="00A41BE0">
        <w:rPr>
          <w:lang w:val="fr-FR"/>
        </w:rPr>
        <w:t>auteure un recours utile et une réparation effective</w:t>
      </w:r>
      <w:r w:rsidR="00F92E4A" w:rsidRPr="00F92E4A">
        <w:rPr>
          <w:lang w:val="fr-FR"/>
        </w:rPr>
        <w:t>.</w:t>
      </w:r>
      <w:r w:rsidRPr="00A41BE0">
        <w:rPr>
          <w:lang w:val="fr-FR"/>
        </w:rPr>
        <w:t xml:space="preserve"> Il a l</w:t>
      </w:r>
      <w:r>
        <w:rPr>
          <w:lang w:val="fr-FR"/>
        </w:rPr>
        <w:t>’</w:t>
      </w:r>
      <w:r w:rsidRPr="00A41BE0">
        <w:rPr>
          <w:lang w:val="fr-FR"/>
        </w:rPr>
        <w:t>obligation d</w:t>
      </w:r>
      <w:r>
        <w:rPr>
          <w:lang w:val="fr-FR"/>
        </w:rPr>
        <w:t>’</w:t>
      </w:r>
      <w:r w:rsidRPr="00A41BE0">
        <w:rPr>
          <w:lang w:val="fr-FR"/>
        </w:rPr>
        <w:t>accorder une réparation intégrale aux individus dont les droits garantis par le Pacte ont été violés</w:t>
      </w:r>
      <w:r w:rsidR="00F92E4A" w:rsidRPr="00F92E4A">
        <w:rPr>
          <w:lang w:val="fr-FR"/>
        </w:rPr>
        <w:t>.</w:t>
      </w:r>
      <w:r w:rsidRPr="00A41BE0">
        <w:rPr>
          <w:lang w:val="fr-FR"/>
        </w:rPr>
        <w:t xml:space="preserve"> En</w:t>
      </w:r>
      <w:r>
        <w:rPr>
          <w:lang w:val="fr-FR"/>
        </w:rPr>
        <w:t> </w:t>
      </w:r>
      <w:r w:rsidRPr="00A41BE0">
        <w:rPr>
          <w:lang w:val="fr-FR"/>
        </w:rPr>
        <w:t>conséquence, l</w:t>
      </w:r>
      <w:r>
        <w:rPr>
          <w:lang w:val="fr-FR"/>
        </w:rPr>
        <w:t>’</w:t>
      </w:r>
      <w:r w:rsidRPr="00A41BE0">
        <w:rPr>
          <w:lang w:val="fr-FR"/>
        </w:rPr>
        <w:t>État partie est tenu, entre autres, d</w:t>
      </w:r>
      <w:r>
        <w:rPr>
          <w:lang w:val="fr-FR"/>
        </w:rPr>
        <w:t>’</w:t>
      </w:r>
      <w:r w:rsidRPr="00A41BE0">
        <w:rPr>
          <w:lang w:val="fr-FR"/>
        </w:rPr>
        <w:t>accorder à l</w:t>
      </w:r>
      <w:r>
        <w:rPr>
          <w:lang w:val="fr-FR"/>
        </w:rPr>
        <w:t>’</w:t>
      </w:r>
      <w:r w:rsidRPr="00A41BE0">
        <w:rPr>
          <w:lang w:val="fr-FR"/>
        </w:rPr>
        <w:t xml:space="preserve">auteure une indemnisation appropriée, notamment en lui remboursant </w:t>
      </w:r>
      <w:r>
        <w:rPr>
          <w:lang w:val="fr-FR"/>
        </w:rPr>
        <w:t xml:space="preserve">le montant de </w:t>
      </w:r>
      <w:r w:rsidRPr="00A41BE0">
        <w:rPr>
          <w:lang w:val="fr-FR"/>
        </w:rPr>
        <w:t>l</w:t>
      </w:r>
      <w:r>
        <w:rPr>
          <w:lang w:val="fr-FR"/>
        </w:rPr>
        <w:t>’</w:t>
      </w:r>
      <w:r w:rsidRPr="00A41BE0">
        <w:rPr>
          <w:lang w:val="fr-FR"/>
        </w:rPr>
        <w:t xml:space="preserve">amende et </w:t>
      </w:r>
      <w:r>
        <w:rPr>
          <w:lang w:val="fr-FR"/>
        </w:rPr>
        <w:t>l</w:t>
      </w:r>
      <w:r w:rsidRPr="00A41BE0">
        <w:rPr>
          <w:lang w:val="fr-FR"/>
        </w:rPr>
        <w:t>es frais de justice engagés</w:t>
      </w:r>
      <w:r w:rsidR="00F92E4A" w:rsidRPr="00F92E4A">
        <w:rPr>
          <w:lang w:val="fr-FR"/>
        </w:rPr>
        <w:t>.</w:t>
      </w:r>
      <w:r w:rsidRPr="00A41BE0">
        <w:rPr>
          <w:lang w:val="fr-FR"/>
        </w:rPr>
        <w:t xml:space="preserve"> L</w:t>
      </w:r>
      <w:r>
        <w:rPr>
          <w:lang w:val="fr-FR"/>
        </w:rPr>
        <w:t>’</w:t>
      </w:r>
      <w:r w:rsidRPr="00A41BE0">
        <w:rPr>
          <w:lang w:val="fr-FR"/>
        </w:rPr>
        <w:t>État partie est également tenu de prendre toutes les mesures nécessaires pour que des violations analogues ne se reproduisent pas, et notamment de réviser les dispositions et les modalités d</w:t>
      </w:r>
      <w:r>
        <w:rPr>
          <w:lang w:val="fr-FR"/>
        </w:rPr>
        <w:t>’</w:t>
      </w:r>
      <w:r w:rsidRPr="00A41BE0">
        <w:rPr>
          <w:lang w:val="fr-FR"/>
        </w:rPr>
        <w:t>application de la législation sur les manifestations publiques afin de les rendre compatibles avec l</w:t>
      </w:r>
      <w:r>
        <w:rPr>
          <w:lang w:val="fr-FR"/>
        </w:rPr>
        <w:t xml:space="preserve">es </w:t>
      </w:r>
      <w:r w:rsidRPr="00A41BE0">
        <w:rPr>
          <w:lang w:val="fr-FR"/>
        </w:rPr>
        <w:t>obligation</w:t>
      </w:r>
      <w:r>
        <w:rPr>
          <w:lang w:val="fr-FR"/>
        </w:rPr>
        <w:t>s</w:t>
      </w:r>
      <w:r w:rsidRPr="00456283">
        <w:rPr>
          <w:lang w:val="fr-FR"/>
        </w:rPr>
        <w:t xml:space="preserve"> </w:t>
      </w:r>
      <w:r w:rsidRPr="00A41BE0">
        <w:rPr>
          <w:lang w:val="fr-FR"/>
        </w:rPr>
        <w:t>mise</w:t>
      </w:r>
      <w:r>
        <w:rPr>
          <w:lang w:val="fr-FR"/>
        </w:rPr>
        <w:t>s</w:t>
      </w:r>
      <w:r w:rsidRPr="00A41BE0">
        <w:rPr>
          <w:lang w:val="fr-FR"/>
        </w:rPr>
        <w:t xml:space="preserve"> à sa charge par l</w:t>
      </w:r>
      <w:r>
        <w:rPr>
          <w:lang w:val="fr-FR"/>
        </w:rPr>
        <w:t>’</w:t>
      </w:r>
      <w:r w:rsidRPr="00A41BE0">
        <w:rPr>
          <w:lang w:val="fr-FR"/>
        </w:rPr>
        <w:t>article</w:t>
      </w:r>
      <w:r>
        <w:rPr>
          <w:lang w:val="fr-FR"/>
        </w:rPr>
        <w:t> </w:t>
      </w:r>
      <w:r w:rsidRPr="00A41BE0">
        <w:rPr>
          <w:lang w:val="fr-FR"/>
        </w:rPr>
        <w:t>2 (par</w:t>
      </w:r>
      <w:r w:rsidR="00F92E4A" w:rsidRPr="00F92E4A">
        <w:rPr>
          <w:lang w:val="fr-FR"/>
        </w:rPr>
        <w:t>.</w:t>
      </w:r>
      <w:r>
        <w:rPr>
          <w:lang w:val="fr-FR"/>
        </w:rPr>
        <w:t> </w:t>
      </w:r>
      <w:r w:rsidRPr="00A41BE0">
        <w:rPr>
          <w:lang w:val="fr-FR"/>
        </w:rPr>
        <w:t>2)</w:t>
      </w:r>
      <w:r>
        <w:rPr>
          <w:lang w:val="fr-FR"/>
        </w:rPr>
        <w:t>, et</w:t>
      </w:r>
      <w:r w:rsidRPr="00A41BE0">
        <w:rPr>
          <w:lang w:val="fr-FR"/>
        </w:rPr>
        <w:t xml:space="preserve"> d</w:t>
      </w:r>
      <w:r>
        <w:rPr>
          <w:lang w:val="fr-FR"/>
        </w:rPr>
        <w:t>’</w:t>
      </w:r>
      <w:r w:rsidRPr="00A41BE0">
        <w:rPr>
          <w:lang w:val="fr-FR"/>
        </w:rPr>
        <w:t>adopter des mesures propres à donner effet aux droits reconnus par l</w:t>
      </w:r>
      <w:r>
        <w:rPr>
          <w:lang w:val="fr-FR"/>
        </w:rPr>
        <w:t>’</w:t>
      </w:r>
      <w:r w:rsidRPr="00A41BE0">
        <w:rPr>
          <w:lang w:val="fr-FR"/>
        </w:rPr>
        <w:t>article 19 du Pacte</w:t>
      </w:r>
      <w:r w:rsidR="00F92E4A" w:rsidRPr="00F92E4A">
        <w:rPr>
          <w:lang w:val="fr-FR"/>
        </w:rPr>
        <w:t>.</w:t>
      </w:r>
    </w:p>
    <w:p w14:paraId="6DBBC120" w14:textId="79BDC615" w:rsidR="00E85C42" w:rsidRDefault="007D2392" w:rsidP="007D2392">
      <w:pPr>
        <w:pStyle w:val="SingleTxtG"/>
        <w:rPr>
          <w:lang w:val="fr-FR"/>
        </w:rPr>
      </w:pPr>
      <w:r>
        <w:rPr>
          <w:lang w:val="fr-FR"/>
        </w:rPr>
        <w:t>10</w:t>
      </w:r>
      <w:r w:rsidR="00F92E4A" w:rsidRPr="00F92E4A">
        <w:rPr>
          <w:lang w:val="fr-FR"/>
        </w:rPr>
        <w:t>.</w:t>
      </w:r>
      <w:r w:rsidRPr="00A41BE0">
        <w:rPr>
          <w:lang w:val="fr-FR"/>
        </w:rPr>
        <w:tab/>
        <w:t>Étant donné qu</w:t>
      </w:r>
      <w:r>
        <w:rPr>
          <w:lang w:val="fr-FR"/>
        </w:rPr>
        <w:t>’</w:t>
      </w:r>
      <w:r w:rsidRPr="00A41BE0">
        <w:rPr>
          <w:lang w:val="fr-FR"/>
        </w:rPr>
        <w:t>en adhérant au Protocole facultatif l</w:t>
      </w:r>
      <w:r>
        <w:rPr>
          <w:lang w:val="fr-FR"/>
        </w:rPr>
        <w:t>’</w:t>
      </w:r>
      <w:r w:rsidRPr="00A41BE0">
        <w:rPr>
          <w:lang w:val="fr-FR"/>
        </w:rPr>
        <w:t>État partie a reconnu que le Comité avait compétence pour déterminer s</w:t>
      </w:r>
      <w:r>
        <w:rPr>
          <w:lang w:val="fr-FR"/>
        </w:rPr>
        <w:t>’</w:t>
      </w:r>
      <w:r w:rsidRPr="00A41BE0">
        <w:rPr>
          <w:lang w:val="fr-FR"/>
        </w:rPr>
        <w:t>il y avait eu ou non violation du Pacte et que, conformément à l</w:t>
      </w:r>
      <w:r>
        <w:rPr>
          <w:lang w:val="fr-FR"/>
        </w:rPr>
        <w:t>’</w:t>
      </w:r>
      <w:r w:rsidRPr="00A41BE0">
        <w:rPr>
          <w:lang w:val="fr-FR"/>
        </w:rPr>
        <w:t>article 2 du Pacte, il s</w:t>
      </w:r>
      <w:r>
        <w:rPr>
          <w:lang w:val="fr-FR"/>
        </w:rPr>
        <w:t>’</w:t>
      </w:r>
      <w:r w:rsidRPr="00A41BE0">
        <w:rPr>
          <w:lang w:val="fr-FR"/>
        </w:rPr>
        <w:t xml:space="preserve">est engagé à garantir à tous les individus se trouvant sur son territoire </w:t>
      </w:r>
      <w:r>
        <w:rPr>
          <w:lang w:val="fr-FR"/>
        </w:rPr>
        <w:t>ou</w:t>
      </w:r>
      <w:r w:rsidRPr="00A41BE0">
        <w:rPr>
          <w:lang w:val="fr-FR"/>
        </w:rPr>
        <w:t xml:space="preserve"> relevant de sa juridiction les droits reconnus dans le Pacte et à assurer un recours utile et exécutoire lorsqu</w:t>
      </w:r>
      <w:r>
        <w:rPr>
          <w:lang w:val="fr-FR"/>
        </w:rPr>
        <w:t>’</w:t>
      </w:r>
      <w:r w:rsidRPr="00A41BE0">
        <w:rPr>
          <w:lang w:val="fr-FR"/>
        </w:rPr>
        <w:t>une violation a été établie, le Comité souhaite recevoir de l</w:t>
      </w:r>
      <w:r>
        <w:rPr>
          <w:lang w:val="fr-FR"/>
        </w:rPr>
        <w:t>’</w:t>
      </w:r>
      <w:r w:rsidRPr="00A41BE0">
        <w:rPr>
          <w:lang w:val="fr-FR"/>
        </w:rPr>
        <w:t>État partie, dans un délai de cent quatre-vingts jours, des renseignements sur les mesures prises pour donner effet à ses constatations</w:t>
      </w:r>
      <w:r w:rsidR="00F92E4A" w:rsidRPr="00F92E4A">
        <w:rPr>
          <w:lang w:val="fr-FR"/>
        </w:rPr>
        <w:t>.</w:t>
      </w:r>
      <w:r w:rsidRPr="00A41BE0">
        <w:rPr>
          <w:lang w:val="fr-FR"/>
        </w:rPr>
        <w:t xml:space="preserve"> L</w:t>
      </w:r>
      <w:r>
        <w:rPr>
          <w:lang w:val="fr-FR"/>
        </w:rPr>
        <w:t>’</w:t>
      </w:r>
      <w:r w:rsidRPr="00A41BE0">
        <w:rPr>
          <w:lang w:val="fr-FR"/>
        </w:rPr>
        <w:t>État partie est invité en outre à rendre celles</w:t>
      </w:r>
      <w:r>
        <w:rPr>
          <w:lang w:val="fr-FR"/>
        </w:rPr>
        <w:noBreakHyphen/>
      </w:r>
      <w:r w:rsidRPr="00A41BE0">
        <w:rPr>
          <w:lang w:val="fr-FR"/>
        </w:rPr>
        <w:t>ci publiques et à les diffuser largement dans ses langues officielles</w:t>
      </w:r>
      <w:r w:rsidR="00F92E4A" w:rsidRPr="00F92E4A">
        <w:rPr>
          <w:lang w:val="fr-FR"/>
        </w:rPr>
        <w:t>.</w:t>
      </w:r>
    </w:p>
    <w:p w14:paraId="20BC62CE" w14:textId="3BD6749C" w:rsidR="007D2392" w:rsidRPr="007D2392" w:rsidRDefault="007D2392" w:rsidP="007D2392">
      <w:pPr>
        <w:pStyle w:val="SingleTxtG"/>
        <w:spacing w:before="240" w:after="0"/>
        <w:jc w:val="center"/>
        <w:rPr>
          <w:u w:val="single"/>
        </w:rPr>
      </w:pPr>
      <w:r>
        <w:rPr>
          <w:u w:val="single"/>
        </w:rPr>
        <w:tab/>
      </w:r>
      <w:r>
        <w:rPr>
          <w:u w:val="single"/>
        </w:rPr>
        <w:tab/>
      </w:r>
      <w:r>
        <w:rPr>
          <w:u w:val="single"/>
        </w:rPr>
        <w:tab/>
      </w:r>
    </w:p>
    <w:sectPr w:rsidR="007D2392" w:rsidRPr="007D2392" w:rsidSect="007D23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81E6" w14:textId="77777777" w:rsidR="00EF165D" w:rsidRDefault="00EF165D" w:rsidP="00F95C08">
      <w:pPr>
        <w:spacing w:line="240" w:lineRule="auto"/>
      </w:pPr>
    </w:p>
  </w:endnote>
  <w:endnote w:type="continuationSeparator" w:id="0">
    <w:p w14:paraId="5A22BADC" w14:textId="77777777" w:rsidR="00EF165D" w:rsidRPr="00AC3823" w:rsidRDefault="00EF165D" w:rsidP="00AC3823">
      <w:pPr>
        <w:pStyle w:val="Pieddepage"/>
      </w:pPr>
    </w:p>
  </w:endnote>
  <w:endnote w:type="continuationNotice" w:id="1">
    <w:p w14:paraId="77FA8F88" w14:textId="77777777" w:rsidR="00EF165D" w:rsidRDefault="00EF16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4D6C" w14:textId="32966EDA" w:rsidR="007D2392" w:rsidRPr="007D2392" w:rsidRDefault="007D2392" w:rsidP="007D2392">
    <w:pPr>
      <w:pStyle w:val="Pieddepage"/>
      <w:tabs>
        <w:tab w:val="right" w:pos="9638"/>
      </w:tabs>
    </w:pPr>
    <w:r w:rsidRPr="007D2392">
      <w:rPr>
        <w:b/>
        <w:sz w:val="18"/>
      </w:rPr>
      <w:fldChar w:fldCharType="begin"/>
    </w:r>
    <w:r w:rsidRPr="007D2392">
      <w:rPr>
        <w:b/>
        <w:sz w:val="18"/>
      </w:rPr>
      <w:instrText xml:space="preserve"> PAGE  \* MERGEFORMAT </w:instrText>
    </w:r>
    <w:r w:rsidRPr="007D2392">
      <w:rPr>
        <w:b/>
        <w:sz w:val="18"/>
      </w:rPr>
      <w:fldChar w:fldCharType="separate"/>
    </w:r>
    <w:r w:rsidRPr="007D2392">
      <w:rPr>
        <w:b/>
        <w:noProof/>
        <w:sz w:val="18"/>
      </w:rPr>
      <w:t>2</w:t>
    </w:r>
    <w:r w:rsidRPr="007D2392">
      <w:rPr>
        <w:b/>
        <w:sz w:val="18"/>
      </w:rPr>
      <w:fldChar w:fldCharType="end"/>
    </w:r>
    <w:r>
      <w:rPr>
        <w:b/>
        <w:sz w:val="18"/>
      </w:rPr>
      <w:tab/>
    </w:r>
    <w:r>
      <w:t>GE</w:t>
    </w:r>
    <w:r w:rsidR="00F92E4A" w:rsidRPr="00F92E4A">
      <w:t>.</w:t>
    </w:r>
    <w:r>
      <w:t>22-00395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89B" w14:textId="13D34F06" w:rsidR="007D2392" w:rsidRPr="007D2392" w:rsidRDefault="007D2392" w:rsidP="007D2392">
    <w:pPr>
      <w:pStyle w:val="Pieddepage"/>
      <w:tabs>
        <w:tab w:val="right" w:pos="9638"/>
      </w:tabs>
      <w:rPr>
        <w:b/>
        <w:sz w:val="18"/>
      </w:rPr>
    </w:pPr>
    <w:r>
      <w:t>GE</w:t>
    </w:r>
    <w:r w:rsidR="00F92E4A" w:rsidRPr="00F92E4A">
      <w:t>.</w:t>
    </w:r>
    <w:r>
      <w:t>22-00395</w:t>
    </w:r>
    <w:r>
      <w:tab/>
    </w:r>
    <w:r w:rsidRPr="007D2392">
      <w:rPr>
        <w:b/>
        <w:sz w:val="18"/>
      </w:rPr>
      <w:fldChar w:fldCharType="begin"/>
    </w:r>
    <w:r w:rsidRPr="007D2392">
      <w:rPr>
        <w:b/>
        <w:sz w:val="18"/>
      </w:rPr>
      <w:instrText xml:space="preserve"> PAGE  \* MERGEFORMAT </w:instrText>
    </w:r>
    <w:r w:rsidRPr="007D2392">
      <w:rPr>
        <w:b/>
        <w:sz w:val="18"/>
      </w:rPr>
      <w:fldChar w:fldCharType="separate"/>
    </w:r>
    <w:r w:rsidRPr="007D2392">
      <w:rPr>
        <w:b/>
        <w:noProof/>
        <w:sz w:val="18"/>
      </w:rPr>
      <w:t>3</w:t>
    </w:r>
    <w:r w:rsidRPr="007D23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E22" w14:textId="79E599B9" w:rsidR="001B379B" w:rsidRPr="007D2392" w:rsidRDefault="007D2392" w:rsidP="007D2392">
    <w:pPr>
      <w:pStyle w:val="Pieddepage"/>
      <w:spacing w:before="120"/>
      <w:rPr>
        <w:sz w:val="20"/>
      </w:rPr>
    </w:pPr>
    <w:r>
      <w:rPr>
        <w:sz w:val="20"/>
      </w:rPr>
      <w:t>GE</w:t>
    </w:r>
    <w:r w:rsidR="00F92E4A" w:rsidRPr="00F92E4A">
      <w:rPr>
        <w:sz w:val="20"/>
      </w:rPr>
      <w:t>.</w:t>
    </w:r>
    <w:r w:rsidR="001B379B">
      <w:rPr>
        <w:noProof/>
        <w:lang w:eastAsia="fr-CH"/>
      </w:rPr>
      <w:drawing>
        <wp:anchor distT="0" distB="0" distL="114300" distR="114300" simplePos="0" relativeHeight="251659264" behindDoc="0" locked="0" layoutInCell="1" allowOverlap="0" wp14:anchorId="5875CAFC" wp14:editId="2E05A6C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22-00395  (F)</w:t>
    </w:r>
    <w:r>
      <w:rPr>
        <w:noProof/>
        <w:sz w:val="20"/>
      </w:rPr>
      <w:drawing>
        <wp:anchor distT="0" distB="0" distL="114300" distR="114300" simplePos="0" relativeHeight="251660288" behindDoc="0" locked="0" layoutInCell="1" allowOverlap="1" wp14:anchorId="242DDC80" wp14:editId="796A1E5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170822    170822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F206" w14:textId="77777777" w:rsidR="00EF165D" w:rsidRPr="00AC3823" w:rsidRDefault="00EF165D" w:rsidP="00AC3823">
      <w:pPr>
        <w:pStyle w:val="Pieddepage"/>
        <w:tabs>
          <w:tab w:val="right" w:pos="2155"/>
        </w:tabs>
        <w:spacing w:after="80" w:line="240" w:lineRule="atLeast"/>
        <w:ind w:left="680"/>
        <w:rPr>
          <w:u w:val="single"/>
        </w:rPr>
      </w:pPr>
      <w:r>
        <w:rPr>
          <w:u w:val="single"/>
        </w:rPr>
        <w:tab/>
      </w:r>
    </w:p>
  </w:footnote>
  <w:footnote w:type="continuationSeparator" w:id="0">
    <w:p w14:paraId="417793BF" w14:textId="77777777" w:rsidR="00EF165D" w:rsidRPr="00AC3823" w:rsidRDefault="00EF165D" w:rsidP="00AC3823">
      <w:pPr>
        <w:pStyle w:val="Pieddepage"/>
        <w:tabs>
          <w:tab w:val="right" w:pos="2155"/>
        </w:tabs>
        <w:spacing w:after="80" w:line="240" w:lineRule="atLeast"/>
        <w:ind w:left="680"/>
        <w:rPr>
          <w:u w:val="single"/>
        </w:rPr>
      </w:pPr>
      <w:r>
        <w:rPr>
          <w:u w:val="single"/>
        </w:rPr>
        <w:tab/>
      </w:r>
    </w:p>
  </w:footnote>
  <w:footnote w:type="continuationNotice" w:id="1">
    <w:p w14:paraId="7DB0D54A" w14:textId="77777777" w:rsidR="00EF165D" w:rsidRPr="00AC3823" w:rsidRDefault="00EF165D">
      <w:pPr>
        <w:spacing w:line="240" w:lineRule="auto"/>
        <w:rPr>
          <w:sz w:val="2"/>
          <w:szCs w:val="2"/>
        </w:rPr>
      </w:pPr>
    </w:p>
  </w:footnote>
  <w:footnote w:id="2">
    <w:p w14:paraId="301AEDB5" w14:textId="46948A7F" w:rsidR="007D2392" w:rsidRPr="006F0ACC" w:rsidRDefault="007D2392" w:rsidP="007D2392">
      <w:pPr>
        <w:pStyle w:val="Notedebasdepage"/>
        <w:rPr>
          <w:lang w:val="fr-FR"/>
        </w:rPr>
      </w:pPr>
      <w:r>
        <w:rPr>
          <w:rStyle w:val="Appelnotedebasdep"/>
        </w:rPr>
        <w:tab/>
      </w:r>
      <w:r w:rsidRPr="006F0ACC">
        <w:rPr>
          <w:rStyle w:val="Appelnotedebasdep"/>
          <w:sz w:val="20"/>
          <w:vertAlign w:val="baseline"/>
        </w:rPr>
        <w:t>*</w:t>
      </w:r>
      <w:r>
        <w:rPr>
          <w:rStyle w:val="Appelnotedebasdep"/>
          <w:sz w:val="20"/>
          <w:vertAlign w:val="baseline"/>
        </w:rPr>
        <w:tab/>
      </w:r>
      <w:r>
        <w:t>Adoptées par le Comité à sa 133</w:t>
      </w:r>
      <w:r w:rsidRPr="006F0ACC">
        <w:rPr>
          <w:vertAlign w:val="superscript"/>
        </w:rPr>
        <w:t>e</w:t>
      </w:r>
      <w:r>
        <w:t xml:space="preserve"> session (11 octobre-5 novembre 2021)</w:t>
      </w:r>
      <w:r w:rsidR="00F92E4A" w:rsidRPr="00F92E4A">
        <w:t>.</w:t>
      </w:r>
    </w:p>
  </w:footnote>
  <w:footnote w:id="3">
    <w:p w14:paraId="141DF78C" w14:textId="15DBC67F" w:rsidR="007D2392" w:rsidRPr="006F0ACC" w:rsidRDefault="007D2392" w:rsidP="007D2392">
      <w:pPr>
        <w:pStyle w:val="Notedebasdepage"/>
        <w:rPr>
          <w:lang w:val="fr-FR"/>
        </w:rPr>
      </w:pPr>
      <w:r>
        <w:rPr>
          <w:rStyle w:val="Appelnotedebasdep"/>
        </w:rPr>
        <w:tab/>
      </w:r>
      <w:r w:rsidRPr="006F0ACC">
        <w:rPr>
          <w:rStyle w:val="Appelnotedebasdep"/>
          <w:sz w:val="20"/>
          <w:vertAlign w:val="baseline"/>
        </w:rPr>
        <w:t>**</w:t>
      </w:r>
      <w:r>
        <w:rPr>
          <w:rStyle w:val="Appelnotedebasdep"/>
          <w:sz w:val="20"/>
          <w:vertAlign w:val="baseline"/>
        </w:rPr>
        <w:tab/>
      </w:r>
      <w:r>
        <w:t>Les membres du Groupe de travail dont le nom suit ont participé à l’examen de la communication :</w:t>
      </w:r>
      <w:r w:rsidRPr="00FF234C">
        <w:rPr>
          <w:rFonts w:eastAsia="SimSun"/>
          <w:bCs/>
          <w:lang w:val="fr-FR" w:eastAsia="zh-CN"/>
        </w:rPr>
        <w:t xml:space="preserve"> </w:t>
      </w:r>
      <w:proofErr w:type="spellStart"/>
      <w:r w:rsidRPr="006F0ACC">
        <w:rPr>
          <w:rFonts w:eastAsia="SimSun"/>
          <w:lang w:val="fr-FR" w:eastAsia="zh-CN"/>
        </w:rPr>
        <w:t>Wafaa</w:t>
      </w:r>
      <w:proofErr w:type="spellEnd"/>
      <w:r w:rsidRPr="006F0ACC">
        <w:rPr>
          <w:rFonts w:eastAsia="SimSun"/>
          <w:lang w:val="fr-FR" w:eastAsia="zh-CN"/>
        </w:rPr>
        <w:t xml:space="preserve"> Ashraf </w:t>
      </w:r>
      <w:proofErr w:type="spellStart"/>
      <w:r w:rsidRPr="006F0ACC">
        <w:rPr>
          <w:rFonts w:eastAsia="SimSun"/>
          <w:lang w:val="fr-FR" w:eastAsia="zh-CN"/>
        </w:rPr>
        <w:t>Moharram</w:t>
      </w:r>
      <w:proofErr w:type="spellEnd"/>
      <w:r w:rsidRPr="006F0ACC">
        <w:rPr>
          <w:rFonts w:eastAsia="SimSun"/>
          <w:lang w:val="fr-FR" w:eastAsia="zh-CN"/>
        </w:rPr>
        <w:t xml:space="preserve"> </w:t>
      </w:r>
      <w:proofErr w:type="spellStart"/>
      <w:r w:rsidRPr="006F0ACC">
        <w:rPr>
          <w:rFonts w:eastAsia="SimSun"/>
          <w:lang w:val="fr-FR" w:eastAsia="zh-CN"/>
        </w:rPr>
        <w:t>Bassim</w:t>
      </w:r>
      <w:proofErr w:type="spellEnd"/>
      <w:r w:rsidRPr="006F0ACC">
        <w:rPr>
          <w:rFonts w:eastAsia="SimSun"/>
          <w:lang w:val="fr-FR" w:eastAsia="zh-CN"/>
        </w:rPr>
        <w:t xml:space="preserve">, </w:t>
      </w:r>
      <w:proofErr w:type="spellStart"/>
      <w:r w:rsidRPr="006F0ACC">
        <w:rPr>
          <w:rFonts w:eastAsia="SimSun"/>
          <w:lang w:val="fr-FR" w:eastAsia="zh-CN"/>
        </w:rPr>
        <w:t>Yadh</w:t>
      </w:r>
      <w:proofErr w:type="spellEnd"/>
      <w:r w:rsidRPr="006F0ACC">
        <w:rPr>
          <w:rFonts w:eastAsia="SimSun"/>
          <w:lang w:val="fr-FR" w:eastAsia="zh-CN"/>
        </w:rPr>
        <w:t xml:space="preserve"> Ben Achour, </w:t>
      </w:r>
      <w:r w:rsidRPr="006F0ACC">
        <w:rPr>
          <w:rFonts w:eastAsia="SimSun"/>
          <w:spacing w:val="-1"/>
          <w:szCs w:val="18"/>
          <w:lang w:val="fr-FR" w:eastAsia="zh-CN"/>
        </w:rPr>
        <w:t xml:space="preserve">Christopher </w:t>
      </w:r>
      <w:r w:rsidRPr="006F0ACC">
        <w:rPr>
          <w:rFonts w:eastAsia="SimSun"/>
          <w:lang w:val="fr-FR" w:eastAsia="zh-CN"/>
        </w:rPr>
        <w:t xml:space="preserve">Arif </w:t>
      </w:r>
      <w:proofErr w:type="spellStart"/>
      <w:r w:rsidRPr="006F0ACC">
        <w:rPr>
          <w:rFonts w:eastAsia="SimSun"/>
          <w:lang w:val="fr-FR" w:eastAsia="zh-CN"/>
        </w:rPr>
        <w:t>Bulkan</w:t>
      </w:r>
      <w:proofErr w:type="spellEnd"/>
      <w:r w:rsidRPr="006F0ACC">
        <w:rPr>
          <w:rFonts w:eastAsia="SimSun"/>
          <w:lang w:val="fr-FR" w:eastAsia="zh-CN"/>
        </w:rPr>
        <w:t xml:space="preserve">, Mahjoub El </w:t>
      </w:r>
      <w:proofErr w:type="spellStart"/>
      <w:r w:rsidRPr="006F0ACC">
        <w:rPr>
          <w:rFonts w:eastAsia="SimSun"/>
          <w:lang w:val="fr-FR" w:eastAsia="zh-CN"/>
        </w:rPr>
        <w:t>Haiba</w:t>
      </w:r>
      <w:proofErr w:type="spellEnd"/>
      <w:r w:rsidRPr="006F0ACC">
        <w:rPr>
          <w:rFonts w:eastAsia="SimSun"/>
          <w:lang w:val="fr-FR" w:eastAsia="zh-CN"/>
        </w:rPr>
        <w:t xml:space="preserve">, </w:t>
      </w:r>
      <w:proofErr w:type="spellStart"/>
      <w:r w:rsidRPr="006F0ACC">
        <w:rPr>
          <w:rFonts w:eastAsia="SimSun"/>
          <w:lang w:val="fr-FR" w:eastAsia="zh-CN"/>
        </w:rPr>
        <w:t>Furuya</w:t>
      </w:r>
      <w:proofErr w:type="spellEnd"/>
      <w:r w:rsidRPr="006F0ACC">
        <w:rPr>
          <w:rFonts w:eastAsia="SimSun"/>
          <w:lang w:val="fr-FR" w:eastAsia="zh-CN"/>
        </w:rPr>
        <w:t xml:space="preserve"> </w:t>
      </w:r>
      <w:proofErr w:type="spellStart"/>
      <w:r w:rsidRPr="006F0ACC">
        <w:rPr>
          <w:rFonts w:eastAsia="SimSun"/>
          <w:lang w:val="fr-FR" w:eastAsia="zh-CN"/>
        </w:rPr>
        <w:t>Shuichi</w:t>
      </w:r>
      <w:proofErr w:type="spellEnd"/>
      <w:r w:rsidRPr="006F0ACC">
        <w:rPr>
          <w:rFonts w:eastAsia="SimSun"/>
          <w:lang w:val="fr-FR" w:eastAsia="zh-CN"/>
        </w:rPr>
        <w:t xml:space="preserve">, Carlos Gómez </w:t>
      </w:r>
      <w:proofErr w:type="spellStart"/>
      <w:r w:rsidRPr="006F0ACC">
        <w:rPr>
          <w:rFonts w:eastAsia="SimSun"/>
          <w:lang w:val="fr-FR" w:eastAsia="zh-CN"/>
        </w:rPr>
        <w:t>Martínez</w:t>
      </w:r>
      <w:proofErr w:type="spellEnd"/>
      <w:r w:rsidRPr="006F0ACC">
        <w:rPr>
          <w:rFonts w:eastAsia="SimSun"/>
          <w:lang w:val="fr-FR" w:eastAsia="zh-CN"/>
        </w:rPr>
        <w:t>,</w:t>
      </w:r>
      <w:r w:rsidRPr="006F0ACC">
        <w:rPr>
          <w:rFonts w:eastAsia="SimSun"/>
          <w:spacing w:val="-1"/>
          <w:szCs w:val="18"/>
          <w:lang w:val="fr-FR" w:eastAsia="zh-CN"/>
        </w:rPr>
        <w:t xml:space="preserve"> Marcia V</w:t>
      </w:r>
      <w:r w:rsidR="00F92E4A" w:rsidRPr="00F92E4A">
        <w:rPr>
          <w:rFonts w:eastAsia="SimSun"/>
          <w:spacing w:val="-1"/>
          <w:szCs w:val="18"/>
          <w:lang w:val="fr-FR" w:eastAsia="zh-CN"/>
        </w:rPr>
        <w:t>.</w:t>
      </w:r>
      <w:r>
        <w:rPr>
          <w:rFonts w:eastAsia="SimSun"/>
          <w:spacing w:val="-1"/>
          <w:szCs w:val="18"/>
          <w:lang w:val="fr-FR" w:eastAsia="zh-CN"/>
        </w:rPr>
        <w:t> </w:t>
      </w:r>
      <w:r w:rsidRPr="006F0ACC">
        <w:rPr>
          <w:rFonts w:eastAsia="SimSun"/>
          <w:spacing w:val="-1"/>
          <w:szCs w:val="18"/>
          <w:lang w:val="fr-FR" w:eastAsia="zh-CN"/>
        </w:rPr>
        <w:t>J</w:t>
      </w:r>
      <w:r w:rsidR="00F92E4A" w:rsidRPr="00F92E4A">
        <w:rPr>
          <w:rFonts w:eastAsia="SimSun"/>
          <w:spacing w:val="-1"/>
          <w:szCs w:val="18"/>
          <w:lang w:val="fr-FR" w:eastAsia="zh-CN"/>
        </w:rPr>
        <w:t>.</w:t>
      </w:r>
      <w:r w:rsidRPr="006F0ACC">
        <w:rPr>
          <w:rFonts w:eastAsia="SimSun"/>
          <w:spacing w:val="-1"/>
          <w:szCs w:val="18"/>
          <w:lang w:val="fr-FR" w:eastAsia="zh-CN"/>
        </w:rPr>
        <w:t xml:space="preserve"> </w:t>
      </w:r>
      <w:proofErr w:type="spellStart"/>
      <w:r w:rsidRPr="006F0ACC">
        <w:rPr>
          <w:rFonts w:eastAsia="SimSun"/>
          <w:spacing w:val="-1"/>
          <w:szCs w:val="18"/>
          <w:lang w:val="fr-FR" w:eastAsia="zh-CN"/>
        </w:rPr>
        <w:t>Kran</w:t>
      </w:r>
      <w:proofErr w:type="spellEnd"/>
      <w:r w:rsidRPr="006F0ACC">
        <w:rPr>
          <w:rFonts w:eastAsia="SimSun"/>
          <w:lang w:val="fr-FR" w:eastAsia="zh-CN"/>
        </w:rPr>
        <w:t xml:space="preserve">, Duncan Laki </w:t>
      </w:r>
      <w:proofErr w:type="spellStart"/>
      <w:r w:rsidRPr="006F0ACC">
        <w:rPr>
          <w:rFonts w:eastAsia="SimSun"/>
          <w:lang w:val="fr-FR" w:eastAsia="zh-CN"/>
        </w:rPr>
        <w:t>Muhumuza</w:t>
      </w:r>
      <w:proofErr w:type="spellEnd"/>
      <w:r w:rsidRPr="006F0ACC">
        <w:rPr>
          <w:rFonts w:eastAsia="SimSun"/>
          <w:lang w:val="fr-FR" w:eastAsia="zh-CN"/>
        </w:rPr>
        <w:t xml:space="preserve">, </w:t>
      </w:r>
      <w:proofErr w:type="spellStart"/>
      <w:r w:rsidRPr="006F0ACC">
        <w:rPr>
          <w:rFonts w:eastAsia="SimSun"/>
          <w:lang w:val="fr-FR" w:eastAsia="zh-CN"/>
        </w:rPr>
        <w:t>Photini</w:t>
      </w:r>
      <w:proofErr w:type="spellEnd"/>
      <w:r w:rsidRPr="006F0ACC">
        <w:rPr>
          <w:rFonts w:eastAsia="SimSun"/>
          <w:lang w:val="fr-FR" w:eastAsia="zh-CN"/>
        </w:rPr>
        <w:t xml:space="preserve"> </w:t>
      </w:r>
      <w:proofErr w:type="spellStart"/>
      <w:r w:rsidRPr="006F0ACC">
        <w:rPr>
          <w:rFonts w:eastAsia="SimSun"/>
          <w:lang w:val="fr-FR" w:eastAsia="zh-CN"/>
        </w:rPr>
        <w:t>Pazartzis</w:t>
      </w:r>
      <w:proofErr w:type="spellEnd"/>
      <w:r w:rsidRPr="006F0ACC">
        <w:rPr>
          <w:rFonts w:eastAsia="SimSun"/>
          <w:lang w:val="fr-FR" w:eastAsia="zh-CN"/>
        </w:rPr>
        <w:t xml:space="preserve">, </w:t>
      </w:r>
      <w:proofErr w:type="spellStart"/>
      <w:r w:rsidRPr="006F0ACC">
        <w:rPr>
          <w:rFonts w:eastAsia="SimSun"/>
          <w:lang w:val="fr-FR" w:eastAsia="zh-CN"/>
        </w:rPr>
        <w:t>Vasilka</w:t>
      </w:r>
      <w:proofErr w:type="spellEnd"/>
      <w:r w:rsidRPr="006F0ACC">
        <w:rPr>
          <w:rFonts w:eastAsia="SimSun"/>
          <w:lang w:val="fr-FR" w:eastAsia="zh-CN"/>
        </w:rPr>
        <w:t xml:space="preserve"> </w:t>
      </w:r>
      <w:proofErr w:type="spellStart"/>
      <w:r w:rsidRPr="006F0ACC">
        <w:rPr>
          <w:rFonts w:eastAsia="SimSun"/>
          <w:lang w:val="fr-FR" w:eastAsia="zh-CN"/>
        </w:rPr>
        <w:t>Sancin</w:t>
      </w:r>
      <w:proofErr w:type="spellEnd"/>
      <w:r w:rsidRPr="006F0ACC">
        <w:rPr>
          <w:rFonts w:eastAsia="SimSun"/>
          <w:lang w:val="fr-FR" w:eastAsia="zh-CN"/>
        </w:rPr>
        <w:t xml:space="preserve">, José Manuel Santos Pais, </w:t>
      </w:r>
      <w:proofErr w:type="spellStart"/>
      <w:r w:rsidRPr="006F0ACC">
        <w:rPr>
          <w:rFonts w:eastAsia="SimSun"/>
          <w:lang w:val="fr-FR" w:eastAsia="zh-CN"/>
        </w:rPr>
        <w:t>Soh</w:t>
      </w:r>
      <w:proofErr w:type="spellEnd"/>
      <w:r w:rsidRPr="006F0ACC">
        <w:rPr>
          <w:rFonts w:eastAsia="SimSun"/>
          <w:lang w:val="fr-FR" w:eastAsia="zh-CN"/>
        </w:rPr>
        <w:t xml:space="preserve"> </w:t>
      </w:r>
      <w:proofErr w:type="spellStart"/>
      <w:r w:rsidRPr="006F0ACC">
        <w:rPr>
          <w:rFonts w:eastAsia="SimSun"/>
          <w:lang w:val="fr-FR" w:eastAsia="zh-CN"/>
        </w:rPr>
        <w:t>Changrok</w:t>
      </w:r>
      <w:proofErr w:type="spellEnd"/>
      <w:r w:rsidRPr="006F0ACC">
        <w:rPr>
          <w:rFonts w:eastAsia="SimSun"/>
          <w:lang w:val="fr-FR" w:eastAsia="zh-CN"/>
        </w:rPr>
        <w:t xml:space="preserve">, </w:t>
      </w:r>
      <w:proofErr w:type="spellStart"/>
      <w:r w:rsidRPr="006F0ACC">
        <w:rPr>
          <w:rFonts w:eastAsia="SimSun"/>
          <w:lang w:val="fr-FR" w:eastAsia="zh-CN"/>
        </w:rPr>
        <w:t>Kobauyah</w:t>
      </w:r>
      <w:proofErr w:type="spellEnd"/>
      <w:r w:rsidRPr="006F0ACC">
        <w:rPr>
          <w:rFonts w:eastAsia="SimSun"/>
          <w:lang w:val="fr-FR" w:eastAsia="zh-CN"/>
        </w:rPr>
        <w:t xml:space="preserve"> </w:t>
      </w:r>
      <w:proofErr w:type="spellStart"/>
      <w:r w:rsidRPr="006F0ACC">
        <w:rPr>
          <w:rFonts w:eastAsia="SimSun"/>
          <w:lang w:val="fr-FR" w:eastAsia="zh-CN"/>
        </w:rPr>
        <w:t>Tchamdja</w:t>
      </w:r>
      <w:proofErr w:type="spellEnd"/>
      <w:r w:rsidRPr="006F0ACC">
        <w:rPr>
          <w:rFonts w:eastAsia="SimSun"/>
          <w:lang w:val="fr-FR" w:eastAsia="zh-CN"/>
        </w:rPr>
        <w:t xml:space="preserve"> </w:t>
      </w:r>
      <w:proofErr w:type="spellStart"/>
      <w:r w:rsidRPr="006F0ACC">
        <w:rPr>
          <w:rFonts w:eastAsia="SimSun"/>
          <w:lang w:val="fr-FR" w:eastAsia="zh-CN"/>
        </w:rPr>
        <w:t>Kpatcha</w:t>
      </w:r>
      <w:proofErr w:type="spellEnd"/>
      <w:r w:rsidRPr="006F0ACC">
        <w:rPr>
          <w:rFonts w:eastAsia="SimSun"/>
          <w:lang w:val="fr-FR" w:eastAsia="zh-CN"/>
        </w:rPr>
        <w:t xml:space="preserve">, Hélène </w:t>
      </w:r>
      <w:proofErr w:type="spellStart"/>
      <w:r w:rsidRPr="006F0ACC">
        <w:rPr>
          <w:rFonts w:eastAsia="SimSun"/>
          <w:lang w:val="fr-FR" w:eastAsia="zh-CN"/>
        </w:rPr>
        <w:t>Tigroudja</w:t>
      </w:r>
      <w:proofErr w:type="spellEnd"/>
      <w:r w:rsidRPr="006F0ACC">
        <w:rPr>
          <w:rFonts w:eastAsia="SimSun"/>
          <w:lang w:val="fr-FR" w:eastAsia="zh-CN"/>
        </w:rPr>
        <w:t xml:space="preserve">, </w:t>
      </w:r>
      <w:proofErr w:type="spellStart"/>
      <w:r w:rsidRPr="006F0ACC">
        <w:rPr>
          <w:rFonts w:eastAsia="SimSun"/>
          <w:lang w:val="fr-FR" w:eastAsia="zh-CN"/>
        </w:rPr>
        <w:t>Imeru</w:t>
      </w:r>
      <w:proofErr w:type="spellEnd"/>
      <w:r w:rsidRPr="006F0ACC">
        <w:rPr>
          <w:rFonts w:eastAsia="SimSun"/>
          <w:lang w:val="fr-FR" w:eastAsia="zh-CN"/>
        </w:rPr>
        <w:t xml:space="preserve"> </w:t>
      </w:r>
      <w:proofErr w:type="spellStart"/>
      <w:r w:rsidRPr="006F0ACC">
        <w:rPr>
          <w:rFonts w:eastAsia="SimSun"/>
          <w:lang w:val="fr-FR" w:eastAsia="zh-CN"/>
        </w:rPr>
        <w:t>Tamerat</w:t>
      </w:r>
      <w:proofErr w:type="spellEnd"/>
      <w:r w:rsidRPr="006F0ACC">
        <w:rPr>
          <w:rFonts w:eastAsia="SimSun"/>
          <w:lang w:val="fr-FR" w:eastAsia="zh-CN"/>
        </w:rPr>
        <w:t xml:space="preserve"> </w:t>
      </w:r>
      <w:proofErr w:type="spellStart"/>
      <w:r w:rsidRPr="006F0ACC">
        <w:rPr>
          <w:rFonts w:eastAsia="SimSun"/>
          <w:lang w:val="fr-FR" w:eastAsia="zh-CN"/>
        </w:rPr>
        <w:t>Yigezu</w:t>
      </w:r>
      <w:proofErr w:type="spellEnd"/>
      <w:r w:rsidRPr="006F0ACC">
        <w:rPr>
          <w:rFonts w:eastAsia="SimSun"/>
          <w:lang w:val="fr-FR" w:eastAsia="zh-CN"/>
        </w:rPr>
        <w:t xml:space="preserve"> </w:t>
      </w:r>
      <w:r>
        <w:rPr>
          <w:rFonts w:eastAsia="SimSun"/>
          <w:lang w:val="fr-FR" w:eastAsia="zh-CN"/>
        </w:rPr>
        <w:t>et</w:t>
      </w:r>
      <w:r w:rsidRPr="006F0ACC">
        <w:rPr>
          <w:rFonts w:eastAsia="SimSun"/>
          <w:lang w:val="fr-FR" w:eastAsia="zh-CN"/>
        </w:rPr>
        <w:t xml:space="preserve"> </w:t>
      </w:r>
      <w:proofErr w:type="spellStart"/>
      <w:r w:rsidRPr="006F0ACC">
        <w:rPr>
          <w:rFonts w:eastAsia="SimSun"/>
          <w:lang w:val="fr-FR" w:eastAsia="zh-CN"/>
        </w:rPr>
        <w:t>Gentian</w:t>
      </w:r>
      <w:proofErr w:type="spellEnd"/>
      <w:r w:rsidRPr="006F0ACC">
        <w:rPr>
          <w:rFonts w:eastAsia="SimSun"/>
          <w:lang w:val="fr-FR" w:eastAsia="zh-CN"/>
        </w:rPr>
        <w:t xml:space="preserve"> </w:t>
      </w:r>
      <w:proofErr w:type="spellStart"/>
      <w:r w:rsidRPr="006F0ACC">
        <w:rPr>
          <w:rFonts w:eastAsia="SimSun"/>
          <w:lang w:val="fr-FR" w:eastAsia="zh-CN"/>
        </w:rPr>
        <w:t>Zyberi</w:t>
      </w:r>
      <w:proofErr w:type="spellEnd"/>
      <w:r w:rsidR="00F92E4A" w:rsidRPr="00F92E4A">
        <w:rPr>
          <w:rFonts w:eastAsia="SimSun"/>
          <w:lang w:val="fr-FR" w:eastAsia="zh-CN"/>
        </w:rPr>
        <w:t>.</w:t>
      </w:r>
    </w:p>
  </w:footnote>
  <w:footnote w:id="4">
    <w:p w14:paraId="5CAE7193" w14:textId="2606F3A7" w:rsidR="007D2392" w:rsidRPr="00670CC3" w:rsidRDefault="007D2392" w:rsidP="007D2392">
      <w:pPr>
        <w:pStyle w:val="Notedebasdepage"/>
        <w:rPr>
          <w:lang w:val="fr-FR"/>
        </w:rPr>
      </w:pPr>
      <w:r w:rsidRPr="00670CC3">
        <w:rPr>
          <w:lang w:val="fr-FR"/>
        </w:rPr>
        <w:tab/>
      </w:r>
      <w:r w:rsidRPr="007D2392">
        <w:rPr>
          <w:rStyle w:val="Appelnotedebasdep"/>
        </w:rPr>
        <w:footnoteRef/>
      </w:r>
      <w:r w:rsidRPr="00670CC3">
        <w:rPr>
          <w:lang w:val="fr-FR"/>
        </w:rPr>
        <w:tab/>
      </w:r>
      <w:r w:rsidRPr="00670CC3">
        <w:rPr>
          <w:lang w:val="fr-FR"/>
        </w:rPr>
        <w:tab/>
        <w:t xml:space="preserve">Environ 140 </w:t>
      </w:r>
      <w:r>
        <w:rPr>
          <w:lang w:val="fr-FR"/>
        </w:rPr>
        <w:t>euros</w:t>
      </w:r>
      <w:r w:rsidRPr="00670CC3">
        <w:rPr>
          <w:lang w:val="fr-FR"/>
        </w:rPr>
        <w:t xml:space="preserve"> </w:t>
      </w:r>
      <w:r>
        <w:rPr>
          <w:lang w:val="fr-FR"/>
        </w:rPr>
        <w:t>en</w:t>
      </w:r>
      <w:r w:rsidRPr="00670CC3">
        <w:rPr>
          <w:lang w:val="fr-FR"/>
        </w:rPr>
        <w:t xml:space="preserve"> novembre 2014 </w:t>
      </w:r>
      <w:r>
        <w:rPr>
          <w:lang w:val="fr-FR"/>
        </w:rPr>
        <w:t>(</w:t>
      </w:r>
      <w:r w:rsidRPr="00350D9C">
        <w:rPr>
          <w:i/>
          <w:iCs/>
          <w:lang w:val="fr-FR"/>
        </w:rPr>
        <w:t>source</w:t>
      </w:r>
      <w:r w:rsidRPr="00670CC3">
        <w:rPr>
          <w:lang w:val="fr-FR"/>
        </w:rPr>
        <w:t xml:space="preserve"> : Banque nationale du Bélarus, </w:t>
      </w:r>
      <w:hyperlink r:id="rId1" w:history="1">
        <w:r w:rsidRPr="007D2392">
          <w:rPr>
            <w:rStyle w:val="Lienhypertexte"/>
            <w:lang w:val="fr-FR"/>
          </w:rPr>
          <w:t>http://www</w:t>
        </w:r>
        <w:r w:rsidR="00F92E4A" w:rsidRPr="00F92E4A">
          <w:rPr>
            <w:rStyle w:val="Lienhypertexte"/>
            <w:lang w:val="fr-FR"/>
          </w:rPr>
          <w:t>.</w:t>
        </w:r>
        <w:r w:rsidRPr="007D2392">
          <w:rPr>
            <w:rStyle w:val="Lienhypertexte"/>
            <w:lang w:val="fr-FR"/>
          </w:rPr>
          <w:t>nbrb</w:t>
        </w:r>
        <w:r w:rsidR="00F92E4A" w:rsidRPr="00F92E4A">
          <w:rPr>
            <w:rStyle w:val="Lienhypertexte"/>
            <w:lang w:val="fr-FR"/>
          </w:rPr>
          <w:t>.</w:t>
        </w:r>
        <w:r w:rsidRPr="007D2392">
          <w:rPr>
            <w:rStyle w:val="Lienhypertexte"/>
            <w:lang w:val="fr-FR"/>
          </w:rPr>
          <w:t>by/</w:t>
        </w:r>
        <w:r>
          <w:rPr>
            <w:rStyle w:val="Lienhypertexte"/>
            <w:lang w:val="fr-FR"/>
          </w:rPr>
          <w:t xml:space="preserve"> </w:t>
        </w:r>
        <w:proofErr w:type="spellStart"/>
        <w:r w:rsidRPr="007D2392">
          <w:rPr>
            <w:rStyle w:val="Lienhypertexte"/>
            <w:lang w:val="fr-FR"/>
          </w:rPr>
          <w:t>statistics</w:t>
        </w:r>
        <w:proofErr w:type="spellEnd"/>
        <w:r w:rsidRPr="007D2392">
          <w:rPr>
            <w:rStyle w:val="Lienhypertexte"/>
            <w:lang w:val="fr-FR"/>
          </w:rPr>
          <w:t>/rates/</w:t>
        </w:r>
        <w:proofErr w:type="spellStart"/>
        <w:r w:rsidRPr="007D2392">
          <w:rPr>
            <w:rStyle w:val="Lienhypertexte"/>
            <w:lang w:val="fr-FR"/>
          </w:rPr>
          <w:t>ratesDaily</w:t>
        </w:r>
        <w:r w:rsidR="00F92E4A" w:rsidRPr="00F92E4A">
          <w:rPr>
            <w:rStyle w:val="Lienhypertexte"/>
            <w:lang w:val="fr-FR"/>
          </w:rPr>
          <w:t>.</w:t>
        </w:r>
        <w:r w:rsidRPr="007D2392">
          <w:rPr>
            <w:rStyle w:val="Lienhypertexte"/>
            <w:lang w:val="fr-FR"/>
          </w:rPr>
          <w:t>asp?date</w:t>
        </w:r>
        <w:proofErr w:type="spellEnd"/>
        <w:r w:rsidRPr="007D2392">
          <w:rPr>
            <w:rStyle w:val="Lienhypertexte"/>
            <w:lang w:val="fr-FR"/>
          </w:rPr>
          <w:t>=2015-11-04</w:t>
        </w:r>
      </w:hyperlink>
      <w:r>
        <w:rPr>
          <w:rStyle w:val="Lienhypertexte"/>
          <w:color w:val="auto"/>
          <w:lang w:val="fr-FR"/>
        </w:rPr>
        <w:t>)</w:t>
      </w:r>
      <w:r w:rsidR="00F92E4A" w:rsidRPr="00F92E4A">
        <w:rPr>
          <w:lang w:val="fr-FR"/>
        </w:rPr>
        <w:t>.</w:t>
      </w:r>
    </w:p>
  </w:footnote>
  <w:footnote w:id="5">
    <w:p w14:paraId="2B480BB1" w14:textId="58424B59" w:rsidR="007D2392" w:rsidRPr="004C17F4" w:rsidRDefault="007D2392" w:rsidP="007D2392">
      <w:pPr>
        <w:pStyle w:val="Notedebasdepage"/>
        <w:rPr>
          <w:lang w:val="fr-FR"/>
        </w:rPr>
      </w:pPr>
      <w:r>
        <w:rPr>
          <w:lang w:val="fr-FR"/>
        </w:rPr>
        <w:tab/>
      </w:r>
      <w:r w:rsidRPr="007D2392">
        <w:rPr>
          <w:rStyle w:val="Appelnotedebasdep"/>
        </w:rPr>
        <w:footnoteRef/>
      </w:r>
      <w:r>
        <w:rPr>
          <w:lang w:val="fr-FR"/>
        </w:rPr>
        <w:tab/>
      </w:r>
      <w:r>
        <w:rPr>
          <w:lang w:val="fr-FR"/>
        </w:rPr>
        <w:tab/>
        <w:t xml:space="preserve">L’auteure renvoie, entre autres, à </w:t>
      </w:r>
      <w:proofErr w:type="spellStart"/>
      <w:r w:rsidRPr="00971ACB">
        <w:rPr>
          <w:i/>
          <w:iCs/>
          <w:lang w:val="fr-FR"/>
        </w:rPr>
        <w:t>Gelazauskas</w:t>
      </w:r>
      <w:proofErr w:type="spellEnd"/>
      <w:r w:rsidRPr="00971ACB">
        <w:rPr>
          <w:i/>
          <w:iCs/>
          <w:lang w:val="fr-FR"/>
        </w:rPr>
        <w:t xml:space="preserve"> c</w:t>
      </w:r>
      <w:r w:rsidR="00F92E4A" w:rsidRPr="00F92E4A">
        <w:rPr>
          <w:i/>
          <w:iCs/>
          <w:lang w:val="fr-FR"/>
        </w:rPr>
        <w:t>.</w:t>
      </w:r>
      <w:r w:rsidRPr="00971ACB">
        <w:rPr>
          <w:i/>
          <w:iCs/>
          <w:lang w:val="fr-FR"/>
        </w:rPr>
        <w:t xml:space="preserve"> Lituanie</w:t>
      </w:r>
      <w:r>
        <w:rPr>
          <w:i/>
          <w:iCs/>
          <w:lang w:val="fr-FR"/>
        </w:rPr>
        <w:t xml:space="preserve"> </w:t>
      </w:r>
      <w:r w:rsidRPr="006F0ACC">
        <w:rPr>
          <w:lang w:val="fr-FR"/>
        </w:rPr>
        <w:t>(</w:t>
      </w:r>
      <w:hyperlink r:id="rId2" w:history="1">
        <w:r w:rsidRPr="007D2392">
          <w:rPr>
            <w:rStyle w:val="Lienhypertexte"/>
            <w:lang w:val="fr-FR"/>
          </w:rPr>
          <w:t>CCPR/C/77/D/836/1998</w:t>
        </w:r>
      </w:hyperlink>
      <w:r w:rsidRPr="006F0ACC">
        <w:rPr>
          <w:lang w:val="fr-FR"/>
        </w:rPr>
        <w:t>)</w:t>
      </w:r>
      <w:r w:rsidR="00F92E4A" w:rsidRPr="00F92E4A">
        <w:rPr>
          <w:lang w:val="fr-FR"/>
        </w:rPr>
        <w:t>.</w:t>
      </w:r>
    </w:p>
  </w:footnote>
  <w:footnote w:id="6">
    <w:p w14:paraId="05F53F60" w14:textId="3F27A728" w:rsidR="007D2392" w:rsidRPr="004C17F4" w:rsidRDefault="007D2392" w:rsidP="007D2392">
      <w:pPr>
        <w:pStyle w:val="Notedebasdepage"/>
        <w:rPr>
          <w:lang w:val="fr-FR"/>
        </w:rPr>
      </w:pPr>
      <w:r w:rsidRPr="00E30C14">
        <w:rPr>
          <w:lang w:val="fr-FR"/>
        </w:rPr>
        <w:tab/>
      </w:r>
      <w:r w:rsidRPr="007D2392">
        <w:rPr>
          <w:rStyle w:val="Appelnotedebasdep"/>
        </w:rPr>
        <w:footnoteRef/>
      </w:r>
      <w:r>
        <w:rPr>
          <w:lang w:val="fr-FR"/>
        </w:rPr>
        <w:tab/>
        <w:t xml:space="preserve">Par exemple, </w:t>
      </w:r>
      <w:proofErr w:type="spellStart"/>
      <w:r>
        <w:rPr>
          <w:i/>
          <w:iCs/>
          <w:lang w:val="fr-FR"/>
        </w:rPr>
        <w:t>Gerashchenko</w:t>
      </w:r>
      <w:proofErr w:type="spellEnd"/>
      <w:r>
        <w:rPr>
          <w:i/>
          <w:iCs/>
          <w:lang w:val="fr-FR"/>
        </w:rPr>
        <w:t xml:space="preserve"> c</w:t>
      </w:r>
      <w:r w:rsidR="00F92E4A" w:rsidRPr="00F92E4A">
        <w:rPr>
          <w:i/>
          <w:iCs/>
          <w:lang w:val="fr-FR"/>
        </w:rPr>
        <w:t>.</w:t>
      </w:r>
      <w:r>
        <w:rPr>
          <w:i/>
          <w:iCs/>
          <w:lang w:val="fr-FR"/>
        </w:rPr>
        <w:t xml:space="preserve"> Bélarus</w:t>
      </w:r>
      <w:r>
        <w:rPr>
          <w:lang w:val="fr-FR"/>
        </w:rPr>
        <w:t xml:space="preserve"> (</w:t>
      </w:r>
      <w:hyperlink r:id="rId3" w:history="1">
        <w:r w:rsidRPr="007D2392">
          <w:rPr>
            <w:rStyle w:val="Lienhypertexte"/>
            <w:lang w:val="fr-FR"/>
          </w:rPr>
          <w:t>CCPR/C/97/D/1537/2006</w:t>
        </w:r>
      </w:hyperlink>
      <w:r>
        <w:rPr>
          <w:lang w:val="fr-FR"/>
        </w:rPr>
        <w:t>), par</w:t>
      </w:r>
      <w:r w:rsidR="00F92E4A" w:rsidRPr="00F92E4A">
        <w:rPr>
          <w:lang w:val="fr-FR"/>
        </w:rPr>
        <w:t>.</w:t>
      </w:r>
      <w:r>
        <w:rPr>
          <w:lang w:val="fr-FR"/>
        </w:rPr>
        <w:t> 6</w:t>
      </w:r>
      <w:r w:rsidR="00F92E4A" w:rsidRPr="00F92E4A">
        <w:rPr>
          <w:lang w:val="fr-FR"/>
        </w:rPr>
        <w:t>.</w:t>
      </w:r>
      <w:r>
        <w:rPr>
          <w:lang w:val="fr-FR"/>
        </w:rPr>
        <w:t>3</w:t>
      </w:r>
      <w:r w:rsidR="00F92E4A" w:rsidRPr="00F92E4A">
        <w:rPr>
          <w:lang w:val="fr-FR"/>
        </w:rPr>
        <w:t>.</w:t>
      </w:r>
    </w:p>
  </w:footnote>
  <w:footnote w:id="7">
    <w:p w14:paraId="2C8CF096" w14:textId="0DE27E1E" w:rsidR="007D2392" w:rsidRPr="004C17F4" w:rsidRDefault="007D2392" w:rsidP="007D2392">
      <w:pPr>
        <w:pStyle w:val="Notedebasdepage"/>
        <w:rPr>
          <w:lang w:val="fr-FR"/>
        </w:rPr>
      </w:pPr>
      <w:r w:rsidRPr="00C94053">
        <w:rPr>
          <w:lang w:val="fr-FR"/>
        </w:rPr>
        <w:tab/>
      </w:r>
      <w:r w:rsidRPr="007D2392">
        <w:rPr>
          <w:rStyle w:val="Appelnotedebasdep"/>
        </w:rPr>
        <w:footnoteRef/>
      </w:r>
      <w:r>
        <w:rPr>
          <w:lang w:val="fr-FR"/>
        </w:rPr>
        <w:tab/>
        <w:t xml:space="preserve">Voir </w:t>
      </w:r>
      <w:proofErr w:type="spellStart"/>
      <w:r w:rsidRPr="00971ACB">
        <w:rPr>
          <w:i/>
          <w:iCs/>
          <w:lang w:val="fr-FR"/>
        </w:rPr>
        <w:t>Gelazauskas</w:t>
      </w:r>
      <w:proofErr w:type="spellEnd"/>
      <w:r w:rsidRPr="00971ACB">
        <w:rPr>
          <w:i/>
          <w:iCs/>
          <w:lang w:val="fr-FR"/>
        </w:rPr>
        <w:t xml:space="preserve"> c</w:t>
      </w:r>
      <w:r w:rsidR="00F92E4A" w:rsidRPr="00F92E4A">
        <w:rPr>
          <w:i/>
          <w:iCs/>
          <w:lang w:val="fr-FR"/>
        </w:rPr>
        <w:t>.</w:t>
      </w:r>
      <w:r w:rsidRPr="00971ACB">
        <w:rPr>
          <w:i/>
          <w:iCs/>
          <w:lang w:val="fr-FR"/>
        </w:rPr>
        <w:t xml:space="preserve"> Lituanie</w:t>
      </w:r>
      <w:r>
        <w:rPr>
          <w:lang w:val="fr-FR"/>
        </w:rPr>
        <w:t>, par</w:t>
      </w:r>
      <w:r w:rsidR="00F92E4A" w:rsidRPr="00F92E4A">
        <w:rPr>
          <w:lang w:val="fr-FR"/>
        </w:rPr>
        <w:t>.</w:t>
      </w:r>
      <w:r>
        <w:rPr>
          <w:lang w:val="fr-FR"/>
        </w:rPr>
        <w:t> 7</w:t>
      </w:r>
      <w:r w:rsidR="00F92E4A" w:rsidRPr="00F92E4A">
        <w:rPr>
          <w:lang w:val="fr-FR"/>
        </w:rPr>
        <w:t>.</w:t>
      </w:r>
      <w:r>
        <w:rPr>
          <w:lang w:val="fr-FR"/>
        </w:rPr>
        <w:t xml:space="preserve">4 ; </w:t>
      </w:r>
      <w:proofErr w:type="spellStart"/>
      <w:r w:rsidRPr="00971ACB">
        <w:rPr>
          <w:i/>
          <w:iCs/>
          <w:lang w:val="fr-FR"/>
        </w:rPr>
        <w:t>Sekerko</w:t>
      </w:r>
      <w:proofErr w:type="spellEnd"/>
      <w:r w:rsidRPr="00971ACB">
        <w:rPr>
          <w:i/>
          <w:iCs/>
          <w:lang w:val="fr-FR"/>
        </w:rPr>
        <w:t xml:space="preserve"> c</w:t>
      </w:r>
      <w:r w:rsidR="00F92E4A" w:rsidRPr="00F92E4A">
        <w:rPr>
          <w:i/>
          <w:iCs/>
          <w:lang w:val="fr-FR"/>
        </w:rPr>
        <w:t>.</w:t>
      </w:r>
      <w:r w:rsidRPr="00971ACB">
        <w:rPr>
          <w:i/>
          <w:iCs/>
          <w:lang w:val="fr-FR"/>
        </w:rPr>
        <w:t xml:space="preserve"> Bélarus</w:t>
      </w:r>
      <w:r>
        <w:rPr>
          <w:lang w:val="fr-FR"/>
        </w:rPr>
        <w:t xml:space="preserve"> (</w:t>
      </w:r>
      <w:hyperlink r:id="rId4" w:history="1">
        <w:r w:rsidRPr="007D2392">
          <w:rPr>
            <w:rStyle w:val="Lienhypertexte"/>
            <w:lang w:val="fr-FR"/>
          </w:rPr>
          <w:t>CCPR/C/109/D/1851/2008</w:t>
        </w:r>
      </w:hyperlink>
      <w:r>
        <w:rPr>
          <w:lang w:val="fr-FR"/>
        </w:rPr>
        <w:t>), par</w:t>
      </w:r>
      <w:r w:rsidR="00F92E4A" w:rsidRPr="00F92E4A">
        <w:rPr>
          <w:lang w:val="fr-FR"/>
        </w:rPr>
        <w:t>.</w:t>
      </w:r>
      <w:r>
        <w:rPr>
          <w:lang w:val="fr-FR"/>
        </w:rPr>
        <w:t> 8</w:t>
      </w:r>
      <w:r w:rsidR="00F92E4A" w:rsidRPr="00F92E4A">
        <w:rPr>
          <w:lang w:val="fr-FR"/>
        </w:rPr>
        <w:t>.</w:t>
      </w:r>
      <w:r>
        <w:rPr>
          <w:lang w:val="fr-FR"/>
        </w:rPr>
        <w:t xml:space="preserve">3 ; </w:t>
      </w:r>
      <w:proofErr w:type="spellStart"/>
      <w:r w:rsidRPr="00654014">
        <w:rPr>
          <w:i/>
          <w:iCs/>
          <w:lang w:val="fr-FR"/>
        </w:rPr>
        <w:t>Schumilin</w:t>
      </w:r>
      <w:proofErr w:type="spellEnd"/>
      <w:r w:rsidRPr="00654014">
        <w:rPr>
          <w:i/>
          <w:iCs/>
          <w:lang w:val="fr-FR"/>
        </w:rPr>
        <w:t xml:space="preserve"> c</w:t>
      </w:r>
      <w:r w:rsidR="00F92E4A" w:rsidRPr="00F92E4A">
        <w:rPr>
          <w:i/>
          <w:iCs/>
          <w:lang w:val="fr-FR"/>
        </w:rPr>
        <w:t>.</w:t>
      </w:r>
      <w:r w:rsidRPr="00654014">
        <w:rPr>
          <w:i/>
          <w:iCs/>
          <w:lang w:val="fr-FR"/>
        </w:rPr>
        <w:t xml:space="preserve"> Bélarus</w:t>
      </w:r>
      <w:r>
        <w:rPr>
          <w:lang w:val="fr-FR"/>
        </w:rPr>
        <w:t xml:space="preserve"> (</w:t>
      </w:r>
      <w:hyperlink r:id="rId5" w:history="1">
        <w:r w:rsidRPr="007D2392">
          <w:rPr>
            <w:rStyle w:val="Lienhypertexte"/>
            <w:lang w:val="fr-FR"/>
          </w:rPr>
          <w:t>CCPR/C/105/D/1784/2008</w:t>
        </w:r>
      </w:hyperlink>
      <w:r>
        <w:rPr>
          <w:lang w:val="fr-FR"/>
        </w:rPr>
        <w:t>), par</w:t>
      </w:r>
      <w:r w:rsidR="00F92E4A" w:rsidRPr="00F92E4A">
        <w:rPr>
          <w:lang w:val="fr-FR"/>
        </w:rPr>
        <w:t>.</w:t>
      </w:r>
      <w:r>
        <w:rPr>
          <w:lang w:val="fr-FR"/>
        </w:rPr>
        <w:t> 8</w:t>
      </w:r>
      <w:r w:rsidR="00F92E4A" w:rsidRPr="00F92E4A">
        <w:rPr>
          <w:lang w:val="fr-FR"/>
        </w:rPr>
        <w:t>.</w:t>
      </w:r>
      <w:r>
        <w:rPr>
          <w:lang w:val="fr-FR"/>
        </w:rPr>
        <w:t>3</w:t>
      </w:r>
      <w:r w:rsidR="00F92E4A" w:rsidRPr="00F92E4A">
        <w:rPr>
          <w:lang w:val="fr-FR"/>
        </w:rPr>
        <w:t>.</w:t>
      </w:r>
    </w:p>
  </w:footnote>
  <w:footnote w:id="8">
    <w:p w14:paraId="35F67280" w14:textId="4FEED098" w:rsidR="007D2392" w:rsidRPr="004C17F4" w:rsidRDefault="007D2392" w:rsidP="007D2392">
      <w:pPr>
        <w:pStyle w:val="Notedebasdepage"/>
        <w:rPr>
          <w:lang w:val="fr-FR"/>
        </w:rPr>
      </w:pPr>
      <w:r>
        <w:rPr>
          <w:lang w:val="fr-FR"/>
        </w:rPr>
        <w:tab/>
      </w:r>
      <w:r w:rsidRPr="007D2392">
        <w:rPr>
          <w:rStyle w:val="Appelnotedebasdep"/>
        </w:rPr>
        <w:footnoteRef/>
      </w:r>
      <w:r>
        <w:rPr>
          <w:lang w:val="fr-FR"/>
        </w:rPr>
        <w:tab/>
      </w:r>
      <w:proofErr w:type="spellStart"/>
      <w:r>
        <w:rPr>
          <w:i/>
          <w:iCs/>
          <w:lang w:val="fr-FR"/>
        </w:rPr>
        <w:t>Zhukovsky</w:t>
      </w:r>
      <w:proofErr w:type="spellEnd"/>
      <w:r>
        <w:rPr>
          <w:i/>
          <w:iCs/>
          <w:lang w:val="fr-FR"/>
        </w:rPr>
        <w:t xml:space="preserve"> c</w:t>
      </w:r>
      <w:r w:rsidR="00F92E4A" w:rsidRPr="00F92E4A">
        <w:rPr>
          <w:i/>
          <w:iCs/>
          <w:lang w:val="fr-FR"/>
        </w:rPr>
        <w:t>.</w:t>
      </w:r>
      <w:r>
        <w:rPr>
          <w:i/>
          <w:iCs/>
          <w:lang w:val="fr-FR"/>
        </w:rPr>
        <w:t xml:space="preserve"> Bélarus</w:t>
      </w:r>
      <w:r>
        <w:rPr>
          <w:lang w:val="fr-FR"/>
        </w:rPr>
        <w:t xml:space="preserve"> (</w:t>
      </w:r>
      <w:hyperlink r:id="rId6" w:history="1">
        <w:r w:rsidRPr="007D2392">
          <w:rPr>
            <w:rStyle w:val="Lienhypertexte"/>
            <w:lang w:val="fr-FR"/>
          </w:rPr>
          <w:t>CCPR/C/127/D/2724/2016</w:t>
        </w:r>
      </w:hyperlink>
      <w:r>
        <w:rPr>
          <w:lang w:val="fr-FR"/>
        </w:rPr>
        <w:t>), par</w:t>
      </w:r>
      <w:r w:rsidR="00F92E4A" w:rsidRPr="00F92E4A">
        <w:rPr>
          <w:lang w:val="fr-FR"/>
        </w:rPr>
        <w:t>.</w:t>
      </w:r>
      <w:r>
        <w:rPr>
          <w:lang w:val="fr-FR"/>
        </w:rPr>
        <w:t> 6</w:t>
      </w:r>
      <w:r w:rsidR="00F92E4A" w:rsidRPr="00F92E4A">
        <w:rPr>
          <w:lang w:val="fr-FR"/>
        </w:rPr>
        <w:t>.</w:t>
      </w:r>
      <w:r>
        <w:rPr>
          <w:lang w:val="fr-FR"/>
        </w:rPr>
        <w:t xml:space="preserve">4 ; </w:t>
      </w:r>
      <w:proofErr w:type="spellStart"/>
      <w:r w:rsidRPr="000E60AF">
        <w:rPr>
          <w:i/>
          <w:iCs/>
          <w:lang w:val="fr-FR"/>
        </w:rPr>
        <w:t>Zhukovsky</w:t>
      </w:r>
      <w:proofErr w:type="spellEnd"/>
      <w:r w:rsidRPr="000E60AF">
        <w:rPr>
          <w:i/>
          <w:iCs/>
          <w:lang w:val="fr-FR"/>
        </w:rPr>
        <w:t xml:space="preserve"> c</w:t>
      </w:r>
      <w:r w:rsidR="00F92E4A" w:rsidRPr="00F92E4A">
        <w:rPr>
          <w:i/>
          <w:iCs/>
          <w:lang w:val="fr-FR"/>
        </w:rPr>
        <w:t>.</w:t>
      </w:r>
      <w:r w:rsidRPr="000E60AF">
        <w:rPr>
          <w:i/>
          <w:iCs/>
          <w:lang w:val="fr-FR"/>
        </w:rPr>
        <w:t xml:space="preserve"> Bélarus</w:t>
      </w:r>
      <w:r>
        <w:rPr>
          <w:lang w:val="fr-FR"/>
        </w:rPr>
        <w:t xml:space="preserve"> (</w:t>
      </w:r>
      <w:hyperlink r:id="rId7" w:history="1">
        <w:r w:rsidRPr="007D2392">
          <w:rPr>
            <w:rStyle w:val="Lienhypertexte"/>
            <w:lang w:val="fr-FR"/>
          </w:rPr>
          <w:t>CCPR/C/127/D/2955/2017</w:t>
        </w:r>
      </w:hyperlink>
      <w:r>
        <w:rPr>
          <w:lang w:val="fr-FR"/>
        </w:rPr>
        <w:t>), par</w:t>
      </w:r>
      <w:r w:rsidR="00F92E4A" w:rsidRPr="00F92E4A">
        <w:rPr>
          <w:lang w:val="fr-FR"/>
        </w:rPr>
        <w:t>.</w:t>
      </w:r>
      <w:r>
        <w:rPr>
          <w:lang w:val="fr-FR"/>
        </w:rPr>
        <w:t> 6</w:t>
      </w:r>
      <w:r w:rsidR="00F92E4A" w:rsidRPr="00F92E4A">
        <w:rPr>
          <w:lang w:val="fr-FR"/>
        </w:rPr>
        <w:t>.</w:t>
      </w:r>
      <w:r>
        <w:rPr>
          <w:lang w:val="fr-FR"/>
        </w:rPr>
        <w:t xml:space="preserve">4 ; </w:t>
      </w:r>
      <w:proofErr w:type="spellStart"/>
      <w:r w:rsidRPr="000E60AF">
        <w:rPr>
          <w:i/>
          <w:iCs/>
          <w:lang w:val="fr-FR"/>
        </w:rPr>
        <w:t>Zhukovsky</w:t>
      </w:r>
      <w:proofErr w:type="spellEnd"/>
      <w:r w:rsidRPr="000E60AF">
        <w:rPr>
          <w:i/>
          <w:iCs/>
          <w:lang w:val="fr-FR"/>
        </w:rPr>
        <w:t xml:space="preserve"> c</w:t>
      </w:r>
      <w:r w:rsidR="00F92E4A" w:rsidRPr="00F92E4A">
        <w:rPr>
          <w:i/>
          <w:iCs/>
          <w:lang w:val="fr-FR"/>
        </w:rPr>
        <w:t>.</w:t>
      </w:r>
      <w:r w:rsidRPr="000E60AF">
        <w:rPr>
          <w:i/>
          <w:iCs/>
          <w:lang w:val="fr-FR"/>
        </w:rPr>
        <w:t xml:space="preserve"> Bélarus</w:t>
      </w:r>
      <w:r>
        <w:rPr>
          <w:lang w:val="fr-FR"/>
        </w:rPr>
        <w:t xml:space="preserve"> (</w:t>
      </w:r>
      <w:hyperlink r:id="rId8" w:history="1">
        <w:r w:rsidRPr="007D2392">
          <w:rPr>
            <w:rStyle w:val="Lienhypertexte"/>
            <w:lang w:val="fr-FR"/>
          </w:rPr>
          <w:t>CCPR/C/127/D/3067/2017</w:t>
        </w:r>
      </w:hyperlink>
      <w:r>
        <w:rPr>
          <w:lang w:val="fr-FR"/>
        </w:rPr>
        <w:t>), par</w:t>
      </w:r>
      <w:r w:rsidR="00F92E4A" w:rsidRPr="00F92E4A">
        <w:rPr>
          <w:lang w:val="fr-FR"/>
        </w:rPr>
        <w:t>.</w:t>
      </w:r>
      <w:r>
        <w:rPr>
          <w:lang w:val="fr-FR"/>
        </w:rPr>
        <w:t> 6</w:t>
      </w:r>
      <w:r w:rsidR="00F92E4A" w:rsidRPr="00F92E4A">
        <w:rPr>
          <w:lang w:val="fr-FR"/>
        </w:rPr>
        <w:t>.</w:t>
      </w:r>
      <w:r>
        <w:rPr>
          <w:lang w:val="fr-FR"/>
        </w:rPr>
        <w:t>6</w:t>
      </w:r>
      <w:r w:rsidR="00F92E4A" w:rsidRPr="00F92E4A">
        <w:rPr>
          <w:lang w:val="fr-FR"/>
        </w:rPr>
        <w:t>.</w:t>
      </w:r>
    </w:p>
  </w:footnote>
  <w:footnote w:id="9">
    <w:p w14:paraId="4A936154" w14:textId="13C239EE" w:rsidR="007D2392" w:rsidRPr="004C17F4" w:rsidRDefault="007D2392" w:rsidP="007D2392">
      <w:pPr>
        <w:pStyle w:val="Notedebasdepage"/>
        <w:rPr>
          <w:lang w:val="fr-FR"/>
        </w:rPr>
      </w:pPr>
      <w:r w:rsidRPr="00E044C7">
        <w:rPr>
          <w:lang w:val="fr-FR"/>
        </w:rPr>
        <w:tab/>
      </w:r>
      <w:r w:rsidRPr="007D2392">
        <w:rPr>
          <w:rStyle w:val="Appelnotedebasdep"/>
        </w:rPr>
        <w:footnoteRef/>
      </w:r>
      <w:r>
        <w:rPr>
          <w:lang w:val="fr-FR"/>
        </w:rPr>
        <w:tab/>
        <w:t xml:space="preserve">Comité des droits de l’homme, observation générale </w:t>
      </w:r>
      <w:r w:rsidRPr="000E60AF">
        <w:rPr>
          <w:lang w:val="fr-FR"/>
        </w:rPr>
        <w:t>n</w:t>
      </w:r>
      <w:r w:rsidRPr="000E60AF">
        <w:rPr>
          <w:vertAlign w:val="superscript"/>
          <w:lang w:val="fr-FR"/>
        </w:rPr>
        <w:t>o</w:t>
      </w:r>
      <w:r>
        <w:rPr>
          <w:lang w:val="fr-FR"/>
        </w:rPr>
        <w:t> 34 (2011), par</w:t>
      </w:r>
      <w:r w:rsidR="00F92E4A" w:rsidRPr="00F92E4A">
        <w:rPr>
          <w:lang w:val="fr-FR"/>
        </w:rPr>
        <w:t>.</w:t>
      </w:r>
      <w:r>
        <w:rPr>
          <w:lang w:val="fr-FR"/>
        </w:rPr>
        <w:t> 2</w:t>
      </w:r>
      <w:r w:rsidR="00F92E4A" w:rsidRPr="00F92E4A">
        <w:rPr>
          <w:lang w:val="fr-FR"/>
        </w:rPr>
        <w:t>.</w:t>
      </w:r>
    </w:p>
  </w:footnote>
  <w:footnote w:id="10">
    <w:p w14:paraId="1309C2A3" w14:textId="608C48EF" w:rsidR="007D2392" w:rsidRPr="004C17F4" w:rsidRDefault="007D2392" w:rsidP="007D2392">
      <w:pPr>
        <w:pStyle w:val="Notedebasdepage"/>
        <w:rPr>
          <w:lang w:val="fr-FR"/>
        </w:rPr>
      </w:pPr>
      <w:r w:rsidRPr="00864F26">
        <w:rPr>
          <w:lang w:val="fr-FR"/>
        </w:rPr>
        <w:tab/>
      </w:r>
      <w:r w:rsidRPr="007D2392">
        <w:rPr>
          <w:rStyle w:val="Appelnotedebasdep"/>
        </w:rPr>
        <w:footnoteRef/>
      </w:r>
      <w:r>
        <w:rPr>
          <w:lang w:val="fr-FR"/>
        </w:rPr>
        <w:tab/>
        <w:t>Ibid</w:t>
      </w:r>
      <w:r w:rsidR="00F92E4A" w:rsidRPr="00F92E4A">
        <w:rPr>
          <w:lang w:val="fr-FR"/>
        </w:rPr>
        <w:t>.</w:t>
      </w:r>
      <w:r>
        <w:rPr>
          <w:lang w:val="fr-FR"/>
        </w:rPr>
        <w:t>, par</w:t>
      </w:r>
      <w:r w:rsidR="00F92E4A" w:rsidRPr="00F92E4A">
        <w:rPr>
          <w:lang w:val="fr-FR"/>
        </w:rPr>
        <w:t>.</w:t>
      </w:r>
      <w:r>
        <w:rPr>
          <w:lang w:val="fr-FR"/>
        </w:rPr>
        <w:t> 34</w:t>
      </w:r>
      <w:r w:rsidR="00F92E4A" w:rsidRPr="00F92E4A">
        <w:rPr>
          <w:lang w:val="fr-FR"/>
        </w:rPr>
        <w:t>.</w:t>
      </w:r>
    </w:p>
  </w:footnote>
  <w:footnote w:id="11">
    <w:p w14:paraId="787CA900" w14:textId="4DAFC62B" w:rsidR="007D2392" w:rsidRPr="004C17F4" w:rsidRDefault="007D2392" w:rsidP="007D2392">
      <w:pPr>
        <w:pStyle w:val="Notedebasdepage"/>
        <w:rPr>
          <w:lang w:val="fr-FR"/>
        </w:rPr>
      </w:pPr>
      <w:r w:rsidRPr="00F82858">
        <w:rPr>
          <w:lang w:val="fr-FR"/>
        </w:rPr>
        <w:tab/>
      </w:r>
      <w:r w:rsidRPr="007D2392">
        <w:rPr>
          <w:rStyle w:val="Appelnotedebasdep"/>
        </w:rPr>
        <w:footnoteRef/>
      </w:r>
      <w:r>
        <w:rPr>
          <w:lang w:val="fr-FR"/>
        </w:rPr>
        <w:tab/>
        <w:t>Ibid</w:t>
      </w:r>
      <w:r w:rsidR="00F92E4A" w:rsidRPr="00F92E4A">
        <w:rPr>
          <w:lang w:val="fr-FR"/>
        </w:rPr>
        <w:t>.</w:t>
      </w:r>
    </w:p>
  </w:footnote>
  <w:footnote w:id="12">
    <w:p w14:paraId="616C5145" w14:textId="5838A7EF" w:rsidR="007D2392" w:rsidRPr="004C17F4" w:rsidRDefault="007D2392" w:rsidP="007D2392">
      <w:pPr>
        <w:pStyle w:val="Notedebasdepage"/>
        <w:rPr>
          <w:lang w:val="fr-FR"/>
        </w:rPr>
      </w:pPr>
      <w:r w:rsidRPr="00F82858">
        <w:rPr>
          <w:lang w:val="fr-FR"/>
        </w:rPr>
        <w:tab/>
      </w:r>
      <w:r w:rsidRPr="007D2392">
        <w:rPr>
          <w:rStyle w:val="Appelnotedebasdep"/>
        </w:rPr>
        <w:footnoteRef/>
      </w:r>
      <w:r>
        <w:rPr>
          <w:lang w:val="fr-FR"/>
        </w:rPr>
        <w:tab/>
        <w:t>Ibid</w:t>
      </w:r>
      <w:r w:rsidR="00F92E4A" w:rsidRPr="00F92E4A">
        <w:rPr>
          <w:lang w:val="fr-FR"/>
        </w:rPr>
        <w:t>.</w:t>
      </w:r>
      <w:r>
        <w:rPr>
          <w:lang w:val="fr-FR"/>
        </w:rPr>
        <w:t>, par</w:t>
      </w:r>
      <w:r w:rsidR="00F92E4A" w:rsidRPr="00F92E4A">
        <w:rPr>
          <w:lang w:val="fr-FR"/>
        </w:rPr>
        <w:t>.</w:t>
      </w:r>
      <w:r>
        <w:rPr>
          <w:lang w:val="fr-FR"/>
        </w:rPr>
        <w:t> 35 et 36</w:t>
      </w:r>
      <w:r w:rsidR="00F92E4A" w:rsidRPr="00F92E4A">
        <w:rPr>
          <w:lang w:val="fr-FR"/>
        </w:rPr>
        <w:t>.</w:t>
      </w:r>
    </w:p>
  </w:footnote>
  <w:footnote w:id="13">
    <w:p w14:paraId="1376B00B" w14:textId="165E49EB" w:rsidR="007D2392" w:rsidRPr="004C17F4" w:rsidRDefault="007D2392" w:rsidP="007D2392">
      <w:pPr>
        <w:pStyle w:val="Notedebasdepage"/>
        <w:rPr>
          <w:lang w:val="fr-FR"/>
        </w:rPr>
      </w:pPr>
      <w:r w:rsidRPr="00864F26">
        <w:rPr>
          <w:lang w:val="fr-FR"/>
        </w:rPr>
        <w:tab/>
      </w:r>
      <w:r w:rsidRPr="007D2392">
        <w:rPr>
          <w:rStyle w:val="Appelnotedebasdep"/>
        </w:rPr>
        <w:footnoteRef/>
      </w:r>
      <w:r>
        <w:rPr>
          <w:lang w:val="fr-FR"/>
        </w:rPr>
        <w:tab/>
      </w:r>
      <w:proofErr w:type="spellStart"/>
      <w:r>
        <w:rPr>
          <w:i/>
          <w:iCs/>
          <w:lang w:val="fr-FR"/>
        </w:rPr>
        <w:t>Androsenko</w:t>
      </w:r>
      <w:proofErr w:type="spellEnd"/>
      <w:r>
        <w:rPr>
          <w:i/>
          <w:iCs/>
          <w:lang w:val="fr-FR"/>
        </w:rPr>
        <w:t xml:space="preserve"> c</w:t>
      </w:r>
      <w:r w:rsidR="00F92E4A" w:rsidRPr="00F92E4A">
        <w:rPr>
          <w:i/>
          <w:iCs/>
          <w:lang w:val="fr-FR"/>
        </w:rPr>
        <w:t>.</w:t>
      </w:r>
      <w:r>
        <w:rPr>
          <w:i/>
          <w:iCs/>
          <w:lang w:val="fr-FR"/>
        </w:rPr>
        <w:t xml:space="preserve"> Bélarus</w:t>
      </w:r>
      <w:r>
        <w:rPr>
          <w:lang w:val="fr-FR"/>
        </w:rPr>
        <w:t xml:space="preserve"> (</w:t>
      </w:r>
      <w:hyperlink r:id="rId9" w:history="1">
        <w:r w:rsidRPr="007D2392">
          <w:rPr>
            <w:rStyle w:val="Lienhypertexte"/>
            <w:lang w:val="fr-FR"/>
          </w:rPr>
          <w:t>CCPR/C/116/D/2092/2011</w:t>
        </w:r>
      </w:hyperlink>
      <w:r>
        <w:rPr>
          <w:lang w:val="fr-FR"/>
        </w:rPr>
        <w:t>), par</w:t>
      </w:r>
      <w:r w:rsidR="00F92E4A" w:rsidRPr="00F92E4A">
        <w:rPr>
          <w:lang w:val="fr-FR"/>
        </w:rPr>
        <w:t>.</w:t>
      </w:r>
      <w:r>
        <w:rPr>
          <w:lang w:val="fr-FR"/>
        </w:rPr>
        <w:t> 7</w:t>
      </w:r>
      <w:r w:rsidR="00F92E4A" w:rsidRPr="00F92E4A">
        <w:rPr>
          <w:lang w:val="fr-FR"/>
        </w:rPr>
        <w:t>.</w:t>
      </w:r>
      <w:r>
        <w:rPr>
          <w:lang w:val="fr-FR"/>
        </w:rPr>
        <w:t>3</w:t>
      </w:r>
      <w:r w:rsidR="00F92E4A" w:rsidRPr="00F92E4A">
        <w:rPr>
          <w:lang w:val="fr-FR"/>
        </w:rPr>
        <w:t>.</w:t>
      </w:r>
    </w:p>
  </w:footnote>
  <w:footnote w:id="14">
    <w:p w14:paraId="4B4C3FA8" w14:textId="232613DD" w:rsidR="007D2392" w:rsidRPr="004C17F4" w:rsidRDefault="007D2392" w:rsidP="007D2392">
      <w:pPr>
        <w:pStyle w:val="Notedebasdepage"/>
        <w:rPr>
          <w:lang w:val="fr-FR"/>
        </w:rPr>
      </w:pPr>
      <w:r w:rsidRPr="00864F26">
        <w:rPr>
          <w:lang w:val="fr-FR"/>
        </w:rPr>
        <w:tab/>
      </w:r>
      <w:r w:rsidRPr="007D2392">
        <w:rPr>
          <w:rStyle w:val="Appelnotedebasdep"/>
        </w:rPr>
        <w:footnoteRef/>
      </w:r>
      <w:r>
        <w:rPr>
          <w:lang w:val="fr-FR"/>
        </w:rPr>
        <w:tab/>
        <w:t xml:space="preserve">Voir, par exemple, </w:t>
      </w:r>
      <w:proofErr w:type="spellStart"/>
      <w:r>
        <w:rPr>
          <w:i/>
          <w:iCs/>
          <w:lang w:val="fr-FR"/>
        </w:rPr>
        <w:t>Zalesskaya</w:t>
      </w:r>
      <w:proofErr w:type="spellEnd"/>
      <w:r>
        <w:rPr>
          <w:i/>
          <w:iCs/>
          <w:lang w:val="fr-FR"/>
        </w:rPr>
        <w:t xml:space="preserve"> c</w:t>
      </w:r>
      <w:r w:rsidR="00F92E4A" w:rsidRPr="00F92E4A">
        <w:rPr>
          <w:i/>
          <w:iCs/>
          <w:lang w:val="fr-FR"/>
        </w:rPr>
        <w:t>.</w:t>
      </w:r>
      <w:r>
        <w:rPr>
          <w:i/>
          <w:iCs/>
          <w:lang w:val="fr-FR"/>
        </w:rPr>
        <w:t xml:space="preserve"> Bélarus</w:t>
      </w:r>
      <w:r>
        <w:rPr>
          <w:lang w:val="fr-FR"/>
        </w:rPr>
        <w:t xml:space="preserve"> (</w:t>
      </w:r>
      <w:hyperlink r:id="rId10" w:history="1">
        <w:r w:rsidRPr="007D2392">
          <w:rPr>
            <w:rStyle w:val="Lienhypertexte"/>
            <w:lang w:val="fr-FR"/>
          </w:rPr>
          <w:t>CCPR/C/101/D/1604/2007</w:t>
        </w:r>
      </w:hyperlink>
      <w:r>
        <w:rPr>
          <w:lang w:val="fr-FR"/>
        </w:rPr>
        <w:t>), par</w:t>
      </w:r>
      <w:r w:rsidR="00F92E4A" w:rsidRPr="00F92E4A">
        <w:rPr>
          <w:lang w:val="fr-FR"/>
        </w:rPr>
        <w:t>.</w:t>
      </w:r>
      <w:r>
        <w:rPr>
          <w:lang w:val="fr-FR"/>
        </w:rPr>
        <w:t> 10</w:t>
      </w:r>
      <w:r w:rsidR="00F92E4A" w:rsidRPr="00F92E4A">
        <w:rPr>
          <w:lang w:val="fr-FR"/>
        </w:rPr>
        <w:t>.</w:t>
      </w:r>
      <w:r>
        <w:rPr>
          <w:lang w:val="fr-FR"/>
        </w:rPr>
        <w:t>5</w:t>
      </w:r>
      <w:r w:rsidR="00F92E4A" w:rsidRPr="00F92E4A">
        <w:rPr>
          <w:lang w:val="fr-FR"/>
        </w:rPr>
        <w:t>.</w:t>
      </w:r>
    </w:p>
  </w:footnote>
  <w:footnote w:id="15">
    <w:p w14:paraId="4732E992" w14:textId="1A3DDB79" w:rsidR="007D2392" w:rsidRPr="004C17F4" w:rsidRDefault="007D2392" w:rsidP="007D2392">
      <w:pPr>
        <w:pStyle w:val="Notedebasdepage"/>
        <w:rPr>
          <w:lang w:val="fr-FR"/>
        </w:rPr>
      </w:pPr>
      <w:r w:rsidRPr="00864F26">
        <w:rPr>
          <w:lang w:val="fr-FR"/>
        </w:rPr>
        <w:tab/>
      </w:r>
      <w:r w:rsidRPr="007D2392">
        <w:rPr>
          <w:rStyle w:val="Appelnotedebasdep"/>
        </w:rPr>
        <w:footnoteRef/>
      </w:r>
      <w:r>
        <w:rPr>
          <w:lang w:val="fr-FR"/>
        </w:rPr>
        <w:tab/>
        <w:t xml:space="preserve">Voir, par exemple, </w:t>
      </w:r>
      <w:proofErr w:type="spellStart"/>
      <w:r w:rsidRPr="00677969">
        <w:rPr>
          <w:i/>
          <w:iCs/>
          <w:lang w:val="fr-FR"/>
        </w:rPr>
        <w:t>Svetik</w:t>
      </w:r>
      <w:proofErr w:type="spellEnd"/>
      <w:r w:rsidRPr="00677969">
        <w:rPr>
          <w:i/>
          <w:iCs/>
          <w:lang w:val="fr-FR"/>
        </w:rPr>
        <w:t xml:space="preserve"> c</w:t>
      </w:r>
      <w:r w:rsidR="00F92E4A" w:rsidRPr="00F92E4A">
        <w:rPr>
          <w:i/>
          <w:iCs/>
          <w:lang w:val="fr-FR"/>
        </w:rPr>
        <w:t>.</w:t>
      </w:r>
      <w:r w:rsidRPr="00677969">
        <w:rPr>
          <w:i/>
          <w:iCs/>
          <w:lang w:val="fr-FR"/>
        </w:rPr>
        <w:t xml:space="preserve"> Bélarus</w:t>
      </w:r>
      <w:r>
        <w:rPr>
          <w:lang w:val="fr-FR"/>
        </w:rPr>
        <w:t xml:space="preserve"> (</w:t>
      </w:r>
      <w:hyperlink r:id="rId11" w:history="1">
        <w:r w:rsidRPr="007D2392">
          <w:rPr>
            <w:rStyle w:val="Lienhypertexte"/>
            <w:lang w:val="fr-FR"/>
          </w:rPr>
          <w:t>CCPR/C/81/D/927/2000</w:t>
        </w:r>
      </w:hyperlink>
      <w:r>
        <w:rPr>
          <w:lang w:val="fr-FR"/>
        </w:rPr>
        <w:t>), par</w:t>
      </w:r>
      <w:r w:rsidR="00F92E4A" w:rsidRPr="00F92E4A">
        <w:rPr>
          <w:lang w:val="fr-FR"/>
        </w:rPr>
        <w:t>.</w:t>
      </w:r>
      <w:r>
        <w:rPr>
          <w:lang w:val="fr-FR"/>
        </w:rPr>
        <w:t> 7</w:t>
      </w:r>
      <w:r w:rsidR="00F92E4A" w:rsidRPr="00F92E4A">
        <w:rPr>
          <w:lang w:val="fr-FR"/>
        </w:rPr>
        <w:t>.</w:t>
      </w:r>
      <w:r>
        <w:rPr>
          <w:lang w:val="fr-FR"/>
        </w:rPr>
        <w:t xml:space="preserve">3 ; </w:t>
      </w:r>
      <w:proofErr w:type="spellStart"/>
      <w:r w:rsidRPr="00677969">
        <w:rPr>
          <w:i/>
          <w:iCs/>
          <w:lang w:val="fr-FR"/>
        </w:rPr>
        <w:t>Shchetko</w:t>
      </w:r>
      <w:proofErr w:type="spellEnd"/>
      <w:r w:rsidRPr="00677969">
        <w:rPr>
          <w:i/>
          <w:iCs/>
          <w:lang w:val="fr-FR"/>
        </w:rPr>
        <w:t xml:space="preserve"> et </w:t>
      </w:r>
      <w:proofErr w:type="spellStart"/>
      <w:r w:rsidRPr="00677969">
        <w:rPr>
          <w:i/>
          <w:iCs/>
          <w:lang w:val="fr-FR"/>
        </w:rPr>
        <w:t>Shchetko</w:t>
      </w:r>
      <w:proofErr w:type="spellEnd"/>
      <w:r w:rsidRPr="00677969">
        <w:rPr>
          <w:i/>
          <w:iCs/>
          <w:lang w:val="fr-FR"/>
        </w:rPr>
        <w:t xml:space="preserve"> c</w:t>
      </w:r>
      <w:r w:rsidR="00F92E4A" w:rsidRPr="00F92E4A">
        <w:rPr>
          <w:i/>
          <w:iCs/>
          <w:lang w:val="fr-FR"/>
        </w:rPr>
        <w:t>.</w:t>
      </w:r>
      <w:r>
        <w:rPr>
          <w:i/>
          <w:iCs/>
          <w:lang w:val="fr-FR"/>
        </w:rPr>
        <w:t> </w:t>
      </w:r>
      <w:r w:rsidRPr="00677969">
        <w:rPr>
          <w:i/>
          <w:iCs/>
          <w:lang w:val="fr-FR"/>
        </w:rPr>
        <w:t>Bélarus</w:t>
      </w:r>
      <w:r>
        <w:rPr>
          <w:lang w:val="fr-FR"/>
        </w:rPr>
        <w:t xml:space="preserve"> (</w:t>
      </w:r>
      <w:hyperlink r:id="rId12" w:history="1">
        <w:r w:rsidRPr="007D2392">
          <w:rPr>
            <w:rStyle w:val="Lienhypertexte"/>
            <w:lang w:val="fr-FR"/>
          </w:rPr>
          <w:t>CCPR/C/87/D/1009/2001</w:t>
        </w:r>
      </w:hyperlink>
      <w:r>
        <w:rPr>
          <w:lang w:val="fr-FR"/>
        </w:rPr>
        <w:t>), par</w:t>
      </w:r>
      <w:r w:rsidR="00F92E4A" w:rsidRPr="00F92E4A">
        <w:rPr>
          <w:lang w:val="fr-FR"/>
        </w:rPr>
        <w:t>.</w:t>
      </w:r>
      <w:r>
        <w:rPr>
          <w:lang w:val="fr-FR"/>
        </w:rPr>
        <w:t> 7</w:t>
      </w:r>
      <w:r w:rsidR="00F92E4A" w:rsidRPr="00F92E4A">
        <w:rPr>
          <w:lang w:val="fr-FR"/>
        </w:rPr>
        <w:t>.</w:t>
      </w:r>
      <w:r>
        <w:rPr>
          <w:lang w:val="fr-FR"/>
        </w:rPr>
        <w:t>5</w:t>
      </w:r>
      <w:r w:rsidR="00F92E4A" w:rsidRPr="00F92E4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9879" w14:textId="1D88C4C2" w:rsidR="007D2392" w:rsidRPr="007D2392" w:rsidRDefault="007D2392">
    <w:pPr>
      <w:pStyle w:val="En-tte"/>
    </w:pPr>
    <w:fldSimple w:instr=" TITLE  \* MERGEFORMAT ">
      <w:r w:rsidR="00E45534">
        <w:t>CCPR/C/133/D/2899/2016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69A0" w14:textId="13F0BD73" w:rsidR="007D2392" w:rsidRPr="007D2392" w:rsidRDefault="007D2392" w:rsidP="007D2392">
    <w:pPr>
      <w:pStyle w:val="En-tte"/>
      <w:jc w:val="right"/>
    </w:pPr>
    <w:fldSimple w:instr=" TITLE  \* MERGEFORMAT ">
      <w:r w:rsidR="00E45534">
        <w:t>CCPR/C/133/D/2899/2016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D"/>
    <w:rsid w:val="00017F94"/>
    <w:rsid w:val="00023842"/>
    <w:rsid w:val="000334F9"/>
    <w:rsid w:val="0007796D"/>
    <w:rsid w:val="000919AD"/>
    <w:rsid w:val="000B7790"/>
    <w:rsid w:val="000C2225"/>
    <w:rsid w:val="00111F2F"/>
    <w:rsid w:val="0014365E"/>
    <w:rsid w:val="00176178"/>
    <w:rsid w:val="001B379B"/>
    <w:rsid w:val="001B46AC"/>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D2392"/>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45534"/>
    <w:rsid w:val="00E85C42"/>
    <w:rsid w:val="00EC30D5"/>
    <w:rsid w:val="00EE1BD4"/>
    <w:rsid w:val="00EF165D"/>
    <w:rsid w:val="00F12152"/>
    <w:rsid w:val="00F660DF"/>
    <w:rsid w:val="00F92E4A"/>
    <w:rsid w:val="00F95C08"/>
    <w:rsid w:val="00FD57A3"/>
    <w:rsid w:val="00FF23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A70C2"/>
  <w15:docId w15:val="{0B1E7514-27A4-4A32-BB2C-9869025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link w:val="Appelnotedebasde"/>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rsid w:val="007D2392"/>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 w:type="character" w:customStyle="1" w:styleId="SingleTxtGChar">
    <w:name w:val="_ Single Txt_G Char"/>
    <w:basedOn w:val="Policepardfaut"/>
    <w:link w:val="SingleTxtG"/>
    <w:locked/>
    <w:rsid w:val="007D239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D2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7/D/3067/2017" TargetMode="External"/><Relationship Id="rId3" Type="http://schemas.openxmlformats.org/officeDocument/2006/relationships/hyperlink" Target="http://undocs.org/fr/CCPR/C/97/D/1537/2006" TargetMode="External"/><Relationship Id="rId7" Type="http://schemas.openxmlformats.org/officeDocument/2006/relationships/hyperlink" Target="http://undocs.org/fr/CCPR/C/127/D/2955/2017" TargetMode="External"/><Relationship Id="rId12" Type="http://schemas.openxmlformats.org/officeDocument/2006/relationships/hyperlink" Target="http://undocs.org/fr/CCPR/C/87/D/1009/2001" TargetMode="External"/><Relationship Id="rId2" Type="http://schemas.openxmlformats.org/officeDocument/2006/relationships/hyperlink" Target="http://undocs.org/fr/CCPR/C/77/D/836/1998" TargetMode="External"/><Relationship Id="rId1" Type="http://schemas.openxmlformats.org/officeDocument/2006/relationships/hyperlink" Target="http://www.nbrb.by/statistics/rates/ratesDaily.asp?date=2015-11-04" TargetMode="External"/><Relationship Id="rId6" Type="http://schemas.openxmlformats.org/officeDocument/2006/relationships/hyperlink" Target="http://undocs.org/fr/CCPR/C/127/D/2724/2016" TargetMode="External"/><Relationship Id="rId11" Type="http://schemas.openxmlformats.org/officeDocument/2006/relationships/hyperlink" Target="http://undocs.org/fr/CCPR/C/81/D/927/2000" TargetMode="External"/><Relationship Id="rId5" Type="http://schemas.openxmlformats.org/officeDocument/2006/relationships/hyperlink" Target="http://undocs.org/fr/CCPR/C/105/D/1784/2008" TargetMode="External"/><Relationship Id="rId10" Type="http://schemas.openxmlformats.org/officeDocument/2006/relationships/hyperlink" Target="http://undocs.org/fr/CCPR/C/101/D/1604/2007" TargetMode="External"/><Relationship Id="rId4" Type="http://schemas.openxmlformats.org/officeDocument/2006/relationships/hyperlink" Target="http://undocs.org/fr/CCPR/C/109/D/1851/2008" TargetMode="External"/><Relationship Id="rId9" Type="http://schemas.openxmlformats.org/officeDocument/2006/relationships/hyperlink" Target="http://undocs.org/fr/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2604</Words>
  <Characters>13619</Characters>
  <Application>Microsoft Office Word</Application>
  <DocSecurity>0</DocSecurity>
  <Lines>223</Lines>
  <Paragraphs>72</Paragraphs>
  <ScaleCrop>false</ScaleCrop>
  <HeadingPairs>
    <vt:vector size="2" baseType="variant">
      <vt:variant>
        <vt:lpstr>Titre</vt:lpstr>
      </vt:variant>
      <vt:variant>
        <vt:i4>1</vt:i4>
      </vt:variant>
    </vt:vector>
  </HeadingPairs>
  <TitlesOfParts>
    <vt:vector size="1" baseType="lpstr">
      <vt:lpstr>CCPR/C/133/D/2899/2016</vt:lpstr>
    </vt:vector>
  </TitlesOfParts>
  <Company>DCM</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CCPR/C/133/D/2899/2016</dc:title>
  <dc:subject/>
  <dc:creator>Maud DARICHE</dc:creator>
  <cp:keywords/>
  <cp:lastModifiedBy>Maud Dariche</cp:lastModifiedBy>
  <cp:revision>3</cp:revision>
  <cp:lastPrinted>2022-08-17T09:13:00Z</cp:lastPrinted>
  <dcterms:created xsi:type="dcterms:W3CDTF">2022-08-17T09:13:00Z</dcterms:created>
  <dcterms:modified xsi:type="dcterms:W3CDTF">2022-08-17T09:14:00Z</dcterms:modified>
</cp:coreProperties>
</file>