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6773D9EC" w14:textId="77777777" w:rsidTr="005B51C4">
        <w:trPr>
          <w:trHeight w:hRule="exact" w:val="851"/>
        </w:trPr>
        <w:tc>
          <w:tcPr>
            <w:tcW w:w="1274" w:type="dxa"/>
            <w:tcBorders>
              <w:bottom w:val="single" w:sz="4" w:space="0" w:color="auto"/>
            </w:tcBorders>
            <w:shd w:val="clear" w:color="auto" w:fill="auto"/>
          </w:tcPr>
          <w:p w14:paraId="2A5082BF" w14:textId="77777777" w:rsidR="006B3E27" w:rsidRPr="00DE7260" w:rsidRDefault="006B3E27" w:rsidP="00C74505">
            <w:pPr>
              <w:kinsoku w:val="0"/>
              <w:overflowPunct w:val="0"/>
              <w:autoSpaceDE w:val="0"/>
              <w:autoSpaceDN w:val="0"/>
              <w:adjustRightInd w:val="0"/>
              <w:snapToGrid w:val="0"/>
              <w:jc w:val="center"/>
              <w:rPr>
                <w:rFonts w:hint="cs"/>
                <w:sz w:val="56"/>
                <w:szCs w:val="56"/>
                <w:rtl/>
                <w:lang w:val="ru-RU"/>
              </w:rPr>
            </w:pPr>
          </w:p>
        </w:tc>
        <w:tc>
          <w:tcPr>
            <w:tcW w:w="4537" w:type="dxa"/>
            <w:tcBorders>
              <w:bottom w:val="single" w:sz="4" w:space="0" w:color="auto"/>
            </w:tcBorders>
            <w:shd w:val="clear" w:color="auto" w:fill="auto"/>
            <w:vAlign w:val="bottom"/>
          </w:tcPr>
          <w:p w14:paraId="6DB49208"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43532309" w14:textId="77777777" w:rsidR="006B3E27" w:rsidRPr="00933B20" w:rsidRDefault="00933B20" w:rsidP="00933B20">
            <w:pPr>
              <w:bidi w:val="0"/>
              <w:rPr>
                <w:szCs w:val="20"/>
              </w:rPr>
            </w:pPr>
            <w:r w:rsidRPr="00933B20">
              <w:rPr>
                <w:sz w:val="40"/>
                <w:szCs w:val="20"/>
              </w:rPr>
              <w:t>CCPR</w:t>
            </w:r>
            <w:r>
              <w:rPr>
                <w:szCs w:val="20"/>
              </w:rPr>
              <w:t>/C/</w:t>
            </w:r>
            <w:r w:rsidRPr="00DE7260">
              <w:rPr>
                <w:szCs w:val="20"/>
              </w:rPr>
              <w:t>130</w:t>
            </w:r>
            <w:r>
              <w:rPr>
                <w:szCs w:val="20"/>
              </w:rPr>
              <w:t>/D/</w:t>
            </w:r>
            <w:r w:rsidRPr="00DE7260">
              <w:rPr>
                <w:szCs w:val="20"/>
              </w:rPr>
              <w:t>2664</w:t>
            </w:r>
            <w:r>
              <w:rPr>
                <w:szCs w:val="20"/>
              </w:rPr>
              <w:t>/</w:t>
            </w:r>
            <w:r w:rsidRPr="00DE7260">
              <w:rPr>
                <w:szCs w:val="20"/>
              </w:rPr>
              <w:t>2015</w:t>
            </w:r>
          </w:p>
        </w:tc>
      </w:tr>
      <w:tr w:rsidR="006B3E27" w:rsidRPr="00C175A6" w14:paraId="50771E50" w14:textId="77777777" w:rsidTr="005B51C4">
        <w:trPr>
          <w:trHeight w:hRule="exact" w:val="2835"/>
        </w:trPr>
        <w:tc>
          <w:tcPr>
            <w:tcW w:w="1274" w:type="dxa"/>
            <w:tcBorders>
              <w:top w:val="single" w:sz="4" w:space="0" w:color="auto"/>
              <w:bottom w:val="single" w:sz="12" w:space="0" w:color="auto"/>
            </w:tcBorders>
            <w:shd w:val="clear" w:color="auto" w:fill="auto"/>
          </w:tcPr>
          <w:p w14:paraId="627C21C7"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43B3CAFF" wp14:editId="637F60DE">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4F28B079" w14:textId="77777777" w:rsidR="006B3E27" w:rsidRPr="00DE7260" w:rsidRDefault="00ED7442" w:rsidP="00730446">
            <w:pPr>
              <w:spacing w:before="120" w:after="40" w:line="640" w:lineRule="exact"/>
              <w:ind w:left="57"/>
              <w:rPr>
                <w:b/>
                <w:bCs/>
                <w:sz w:val="46"/>
                <w:szCs w:val="46"/>
              </w:rPr>
            </w:pPr>
            <w:r w:rsidRPr="00DE7260">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67070259" w14:textId="77777777" w:rsidR="006B3E27" w:rsidRDefault="00933B20" w:rsidP="004B27E0">
            <w:pPr>
              <w:bidi w:val="0"/>
              <w:spacing w:before="240"/>
              <w:rPr>
                <w:szCs w:val="20"/>
              </w:rPr>
            </w:pPr>
            <w:r>
              <w:rPr>
                <w:szCs w:val="20"/>
              </w:rPr>
              <w:t>Distr.: General</w:t>
            </w:r>
          </w:p>
          <w:p w14:paraId="12F1FBDB" w14:textId="1B14AB73" w:rsidR="00933B20" w:rsidRDefault="00EB6BD6" w:rsidP="00933B20">
            <w:pPr>
              <w:bidi w:val="0"/>
              <w:spacing w:line="240" w:lineRule="exact"/>
              <w:jc w:val="left"/>
              <w:rPr>
                <w:szCs w:val="20"/>
              </w:rPr>
            </w:pPr>
            <w:r w:rsidRPr="00DE7260">
              <w:rPr>
                <w:szCs w:val="20"/>
              </w:rPr>
              <w:t>23</w:t>
            </w:r>
            <w:r>
              <w:rPr>
                <w:szCs w:val="20"/>
              </w:rPr>
              <w:t xml:space="preserve"> April </w:t>
            </w:r>
            <w:r w:rsidR="00933B20" w:rsidRPr="00DE7260">
              <w:rPr>
                <w:szCs w:val="20"/>
              </w:rPr>
              <w:t>2021</w:t>
            </w:r>
          </w:p>
          <w:p w14:paraId="6857CD22" w14:textId="77777777" w:rsidR="00933B20" w:rsidRDefault="00933B20" w:rsidP="00933B20">
            <w:pPr>
              <w:bidi w:val="0"/>
              <w:spacing w:line="240" w:lineRule="exact"/>
              <w:jc w:val="left"/>
              <w:rPr>
                <w:szCs w:val="20"/>
              </w:rPr>
            </w:pPr>
            <w:r>
              <w:rPr>
                <w:szCs w:val="20"/>
              </w:rPr>
              <w:t>Arabic</w:t>
            </w:r>
          </w:p>
          <w:p w14:paraId="0B65839F" w14:textId="77777777" w:rsidR="00933B20" w:rsidRPr="00933B20" w:rsidRDefault="00933B20" w:rsidP="00933B20">
            <w:pPr>
              <w:bidi w:val="0"/>
              <w:spacing w:line="240" w:lineRule="exact"/>
              <w:jc w:val="left"/>
              <w:rPr>
                <w:szCs w:val="20"/>
              </w:rPr>
            </w:pPr>
            <w:r>
              <w:rPr>
                <w:szCs w:val="20"/>
              </w:rPr>
              <w:t>Original: English</w:t>
            </w:r>
          </w:p>
        </w:tc>
      </w:tr>
    </w:tbl>
    <w:p w14:paraId="56C133C7" w14:textId="77777777" w:rsidR="00E74FBF" w:rsidRPr="00DE7260" w:rsidRDefault="00E74FBF" w:rsidP="00E74FBF">
      <w:pPr>
        <w:spacing w:before="120" w:line="360" w:lineRule="exact"/>
        <w:textDirection w:val="tbRlV"/>
        <w:rPr>
          <w:b/>
          <w:sz w:val="26"/>
          <w:szCs w:val="26"/>
          <w:lang w:val="ar-SA" w:eastAsia="zh-TW" w:bidi="en-GB"/>
        </w:rPr>
      </w:pPr>
      <w:bookmarkStart w:id="0" w:name="_Hlk71130791"/>
      <w:r w:rsidRPr="00DE7260">
        <w:rPr>
          <w:b/>
          <w:bCs/>
          <w:sz w:val="26"/>
          <w:szCs w:val="26"/>
          <w:rtl/>
        </w:rPr>
        <w:t>اللجنة المعنية بحقوق الإنسان</w:t>
      </w:r>
    </w:p>
    <w:p w14:paraId="4CEC3BAC" w14:textId="000006F8" w:rsidR="00E74FBF" w:rsidRPr="00DE7260" w:rsidRDefault="00E74FBF" w:rsidP="00E74FBF">
      <w:pPr>
        <w:pStyle w:val="HChGA"/>
        <w:rPr>
          <w:lang w:val="en-US" w:eastAsia="zh-TW" w:bidi="en-GB"/>
        </w:rPr>
      </w:pPr>
      <w:r w:rsidRPr="00DE7260">
        <w:rPr>
          <w:rtl/>
        </w:rPr>
        <w:tab/>
      </w:r>
      <w:r w:rsidRPr="00DE7260">
        <w:rPr>
          <w:rtl/>
        </w:rPr>
        <w:tab/>
        <w:t>آراء اعتمدتها اللجنة بموجب المادة 5(4) من البروتوكول الاختياري، بشأن البلاغ رقم 2664/</w:t>
      </w:r>
      <w:r w:rsidR="006531D2" w:rsidRPr="00DE7260">
        <w:rPr>
          <w:rFonts w:hint="cs"/>
          <w:rtl/>
        </w:rPr>
        <w:t>2015</w:t>
      </w:r>
      <w:r w:rsidRPr="00DE7260">
        <w:rPr>
          <w:rStyle w:val="FootnoteReference"/>
          <w:sz w:val="26"/>
          <w:szCs w:val="26"/>
          <w:vertAlign w:val="baseline"/>
          <w:rtl/>
          <w:lang w:val="en-US" w:eastAsia="zh-TW"/>
        </w:rPr>
        <w:footnoteReference w:customMarkFollows="1" w:id="1"/>
        <w:t>*</w:t>
      </w:r>
      <w:r w:rsidRPr="00DE7260">
        <w:rPr>
          <w:sz w:val="34"/>
          <w:szCs w:val="34"/>
          <w:rtl/>
          <w:lang w:val="en-US" w:eastAsia="zh-TW"/>
        </w:rPr>
        <w:t xml:space="preserve"> </w:t>
      </w:r>
      <w:r w:rsidRPr="00DE7260">
        <w:rPr>
          <w:rStyle w:val="FootnoteReference"/>
          <w:sz w:val="26"/>
          <w:szCs w:val="26"/>
          <w:vertAlign w:val="baseline"/>
          <w:rtl/>
          <w:lang w:val="en-US" w:eastAsia="zh-TW"/>
        </w:rPr>
        <w:footnoteReference w:customMarkFollows="1" w:id="2"/>
        <w:t>**</w:t>
      </w:r>
    </w:p>
    <w:p w14:paraId="1DBA2248" w14:textId="5DD983EE" w:rsidR="00E74FBF" w:rsidRPr="00E74FBF" w:rsidRDefault="00E74FBF" w:rsidP="00E74FBF">
      <w:pPr>
        <w:pStyle w:val="SingleTxtGA"/>
        <w:tabs>
          <w:tab w:val="clear" w:pos="1928"/>
          <w:tab w:val="clear" w:pos="2608"/>
          <w:tab w:val="clear" w:pos="3289"/>
          <w:tab w:val="clear" w:pos="3969"/>
          <w:tab w:val="clear" w:pos="4649"/>
          <w:tab w:val="clear" w:pos="5330"/>
        </w:tabs>
        <w:ind w:left="4649" w:hanging="2721"/>
      </w:pPr>
      <w:r w:rsidRPr="00DE7260">
        <w:rPr>
          <w:i/>
          <w:iCs/>
          <w:rtl/>
        </w:rPr>
        <w:t>بلاغ مقدم من:</w:t>
      </w:r>
      <w:r>
        <w:rPr>
          <w:rtl/>
        </w:rPr>
        <w:tab/>
      </w:r>
      <w:r w:rsidRPr="00E74FBF">
        <w:rPr>
          <w:rtl/>
        </w:rPr>
        <w:t xml:space="preserve">علياء </w:t>
      </w:r>
      <w:proofErr w:type="spellStart"/>
      <w:r w:rsidRPr="00E74FBF">
        <w:rPr>
          <w:rtl/>
        </w:rPr>
        <w:t>إسماعيلوفا</w:t>
      </w:r>
      <w:proofErr w:type="spellEnd"/>
      <w:r w:rsidRPr="00E74FBF">
        <w:rPr>
          <w:rtl/>
        </w:rPr>
        <w:t xml:space="preserve"> </w:t>
      </w:r>
      <w:proofErr w:type="spellStart"/>
      <w:r w:rsidRPr="00E74FBF">
        <w:rPr>
          <w:rtl/>
        </w:rPr>
        <w:t>وروزلانا</w:t>
      </w:r>
      <w:proofErr w:type="spellEnd"/>
      <w:r w:rsidRPr="00E74FBF">
        <w:rPr>
          <w:rtl/>
        </w:rPr>
        <w:t xml:space="preserve"> توكينا (تمثلهما المحامية </w:t>
      </w:r>
      <w:proofErr w:type="spellStart"/>
      <w:r w:rsidRPr="00E74FBF">
        <w:rPr>
          <w:rtl/>
        </w:rPr>
        <w:t>غولميرا</w:t>
      </w:r>
      <w:proofErr w:type="spellEnd"/>
      <w:r w:rsidRPr="00E74FBF">
        <w:rPr>
          <w:rtl/>
        </w:rPr>
        <w:t xml:space="preserve"> </w:t>
      </w:r>
      <w:proofErr w:type="spellStart"/>
      <w:r w:rsidRPr="00E74FBF">
        <w:rPr>
          <w:rtl/>
        </w:rPr>
        <w:t>بيرزانوفا</w:t>
      </w:r>
      <w:proofErr w:type="spellEnd"/>
      <w:r w:rsidRPr="00E74FBF">
        <w:rPr>
          <w:rtl/>
        </w:rPr>
        <w:t>)</w:t>
      </w:r>
    </w:p>
    <w:p w14:paraId="08C1F41C" w14:textId="3915586B" w:rsidR="00E74FBF" w:rsidRPr="00E74FBF" w:rsidRDefault="00E74FBF" w:rsidP="00E74FBF">
      <w:pPr>
        <w:pStyle w:val="SingleTxtGA"/>
        <w:tabs>
          <w:tab w:val="clear" w:pos="1928"/>
          <w:tab w:val="clear" w:pos="2608"/>
          <w:tab w:val="clear" w:pos="3289"/>
          <w:tab w:val="clear" w:pos="3969"/>
          <w:tab w:val="clear" w:pos="4649"/>
          <w:tab w:val="clear" w:pos="5330"/>
        </w:tabs>
        <w:ind w:left="4649" w:hanging="2721"/>
      </w:pPr>
      <w:r w:rsidRPr="00DE7260">
        <w:rPr>
          <w:i/>
          <w:iCs/>
          <w:rtl/>
        </w:rPr>
        <w:t>الشخصان المدعى أنهما ضحيتان:</w:t>
      </w:r>
      <w:r>
        <w:rPr>
          <w:rtl/>
        </w:rPr>
        <w:tab/>
      </w:r>
      <w:r w:rsidRPr="00E74FBF">
        <w:rPr>
          <w:rtl/>
        </w:rPr>
        <w:t>صاحبتا البلاغ</w:t>
      </w:r>
    </w:p>
    <w:p w14:paraId="13BE8262" w14:textId="08CBB115" w:rsidR="00E74FBF" w:rsidRPr="00E74FBF" w:rsidRDefault="00E74FBF" w:rsidP="00E74FBF">
      <w:pPr>
        <w:pStyle w:val="SingleTxtGA"/>
        <w:tabs>
          <w:tab w:val="clear" w:pos="1928"/>
          <w:tab w:val="clear" w:pos="2608"/>
          <w:tab w:val="clear" w:pos="3289"/>
          <w:tab w:val="clear" w:pos="3969"/>
          <w:tab w:val="clear" w:pos="4649"/>
          <w:tab w:val="clear" w:pos="5330"/>
        </w:tabs>
        <w:ind w:left="4649" w:hanging="2721"/>
      </w:pPr>
      <w:r w:rsidRPr="00DE7260">
        <w:rPr>
          <w:i/>
          <w:iCs/>
          <w:rtl/>
        </w:rPr>
        <w:t>الدولة الطرف:</w:t>
      </w:r>
      <w:r>
        <w:rPr>
          <w:rtl/>
        </w:rPr>
        <w:tab/>
      </w:r>
      <w:r w:rsidRPr="00E74FBF">
        <w:rPr>
          <w:rtl/>
        </w:rPr>
        <w:t>كازاخستان</w:t>
      </w:r>
    </w:p>
    <w:p w14:paraId="0E9CA386" w14:textId="586E0F27" w:rsidR="00E74FBF" w:rsidRPr="00E74FBF" w:rsidRDefault="00E74FBF" w:rsidP="00E74FBF">
      <w:pPr>
        <w:pStyle w:val="SingleTxtGA"/>
        <w:tabs>
          <w:tab w:val="clear" w:pos="1928"/>
          <w:tab w:val="clear" w:pos="2608"/>
          <w:tab w:val="clear" w:pos="3289"/>
          <w:tab w:val="clear" w:pos="3969"/>
          <w:tab w:val="clear" w:pos="4649"/>
          <w:tab w:val="clear" w:pos="5330"/>
        </w:tabs>
        <w:ind w:left="4649" w:hanging="2721"/>
      </w:pPr>
      <w:r w:rsidRPr="00DE7260">
        <w:rPr>
          <w:i/>
          <w:iCs/>
          <w:rtl/>
        </w:rPr>
        <w:t>تاريخ تقديم البلاغ:</w:t>
      </w:r>
      <w:r>
        <w:rPr>
          <w:rtl/>
        </w:rPr>
        <w:tab/>
      </w:r>
      <w:r w:rsidRPr="00DE7260">
        <w:rPr>
          <w:rtl/>
        </w:rPr>
        <w:t>25</w:t>
      </w:r>
      <w:r w:rsidRPr="00E74FBF">
        <w:rPr>
          <w:rtl/>
        </w:rPr>
        <w:t xml:space="preserve"> أيار/مايو </w:t>
      </w:r>
      <w:r w:rsidRPr="00DE7260">
        <w:rPr>
          <w:rtl/>
        </w:rPr>
        <w:t>2015</w:t>
      </w:r>
      <w:r w:rsidRPr="00E74FBF">
        <w:rPr>
          <w:rtl/>
        </w:rPr>
        <w:t xml:space="preserve"> (الرسالة الأولى)</w:t>
      </w:r>
    </w:p>
    <w:p w14:paraId="2A3A0ED1" w14:textId="6106D649" w:rsidR="00E74FBF" w:rsidRPr="00E74FBF" w:rsidRDefault="00E74FBF" w:rsidP="00E74FBF">
      <w:pPr>
        <w:pStyle w:val="SingleTxtGA"/>
        <w:tabs>
          <w:tab w:val="clear" w:pos="1928"/>
          <w:tab w:val="clear" w:pos="2608"/>
          <w:tab w:val="clear" w:pos="3289"/>
          <w:tab w:val="clear" w:pos="3969"/>
          <w:tab w:val="clear" w:pos="4649"/>
          <w:tab w:val="clear" w:pos="5330"/>
        </w:tabs>
        <w:ind w:left="4649" w:hanging="2721"/>
      </w:pPr>
      <w:r w:rsidRPr="00DE7260">
        <w:rPr>
          <w:i/>
          <w:iCs/>
          <w:rtl/>
        </w:rPr>
        <w:t>الوثائق المرجعية:</w:t>
      </w:r>
      <w:r>
        <w:rPr>
          <w:rtl/>
        </w:rPr>
        <w:tab/>
      </w:r>
      <w:r w:rsidRPr="00E74FBF">
        <w:rPr>
          <w:rtl/>
        </w:rPr>
        <w:t>القرارات المتخذة عمل</w:t>
      </w:r>
      <w:r w:rsidR="006531D2">
        <w:rPr>
          <w:rtl/>
        </w:rPr>
        <w:t xml:space="preserve">اً </w:t>
      </w:r>
      <w:r w:rsidRPr="00E74FBF">
        <w:rPr>
          <w:rtl/>
        </w:rPr>
        <w:t xml:space="preserve">بالمادة </w:t>
      </w:r>
      <w:r w:rsidRPr="00DE7260">
        <w:rPr>
          <w:rtl/>
        </w:rPr>
        <w:t>92</w:t>
      </w:r>
      <w:r w:rsidRPr="00E74FBF">
        <w:rPr>
          <w:rtl/>
        </w:rPr>
        <w:t xml:space="preserve"> من النظام الداخلي للجنة، التي أحيلت إلى الدولة الطرف في </w:t>
      </w:r>
      <w:r w:rsidRPr="00DE7260">
        <w:rPr>
          <w:rtl/>
        </w:rPr>
        <w:t>2</w:t>
      </w:r>
      <w:r w:rsidRPr="00E74FBF">
        <w:rPr>
          <w:rtl/>
        </w:rPr>
        <w:t xml:space="preserve"> تشرين الثاني/نوفمبر </w:t>
      </w:r>
      <w:r w:rsidRPr="00DE7260">
        <w:rPr>
          <w:rtl/>
        </w:rPr>
        <w:t>2015</w:t>
      </w:r>
      <w:r w:rsidRPr="00E74FBF">
        <w:rPr>
          <w:rtl/>
        </w:rPr>
        <w:t xml:space="preserve"> وفي </w:t>
      </w:r>
      <w:r w:rsidRPr="00DE7260">
        <w:rPr>
          <w:rtl/>
        </w:rPr>
        <w:t>16</w:t>
      </w:r>
      <w:r w:rsidRPr="00E74FBF">
        <w:rPr>
          <w:rtl/>
        </w:rPr>
        <w:t xml:space="preserve"> آذار/مارس </w:t>
      </w:r>
      <w:r w:rsidRPr="00DE7260">
        <w:rPr>
          <w:rtl/>
        </w:rPr>
        <w:t>2016</w:t>
      </w:r>
      <w:r w:rsidRPr="00E74FBF">
        <w:rPr>
          <w:rtl/>
        </w:rPr>
        <w:t xml:space="preserve"> (لم</w:t>
      </w:r>
      <w:r w:rsidR="00EB6BD6">
        <w:rPr>
          <w:rFonts w:hint="cs"/>
          <w:rtl/>
        </w:rPr>
        <w:t> </w:t>
      </w:r>
      <w:r w:rsidRPr="00E74FBF">
        <w:rPr>
          <w:rtl/>
        </w:rPr>
        <w:t>تصدر في شكل وثيقة)</w:t>
      </w:r>
    </w:p>
    <w:p w14:paraId="1057382D" w14:textId="712B727B" w:rsidR="00E74FBF" w:rsidRPr="00E74FBF" w:rsidRDefault="00E74FBF" w:rsidP="00E74FBF">
      <w:pPr>
        <w:pStyle w:val="SingleTxtGA"/>
        <w:tabs>
          <w:tab w:val="clear" w:pos="1928"/>
          <w:tab w:val="clear" w:pos="2608"/>
          <w:tab w:val="clear" w:pos="3289"/>
          <w:tab w:val="clear" w:pos="3969"/>
          <w:tab w:val="clear" w:pos="4649"/>
          <w:tab w:val="clear" w:pos="5330"/>
        </w:tabs>
        <w:ind w:left="4649" w:hanging="2721"/>
      </w:pPr>
      <w:r w:rsidRPr="00DE7260">
        <w:rPr>
          <w:i/>
          <w:iCs/>
          <w:rtl/>
        </w:rPr>
        <w:t>تاريخ اعتماد الآراء:</w:t>
      </w:r>
      <w:r>
        <w:rPr>
          <w:rtl/>
        </w:rPr>
        <w:tab/>
      </w:r>
      <w:r w:rsidRPr="00DE7260">
        <w:rPr>
          <w:rtl/>
        </w:rPr>
        <w:t>22</w:t>
      </w:r>
      <w:r w:rsidRPr="00E74FBF">
        <w:rPr>
          <w:rtl/>
        </w:rPr>
        <w:t xml:space="preserve"> تشرين الأول/أكتوبر </w:t>
      </w:r>
      <w:r w:rsidRPr="00DE7260">
        <w:rPr>
          <w:rtl/>
        </w:rPr>
        <w:t>2020</w:t>
      </w:r>
    </w:p>
    <w:p w14:paraId="7D12DE6D" w14:textId="574AB736" w:rsidR="00E74FBF" w:rsidRPr="00E74FBF" w:rsidRDefault="00E74FBF" w:rsidP="00E74FBF">
      <w:pPr>
        <w:pStyle w:val="SingleTxtGA"/>
        <w:tabs>
          <w:tab w:val="clear" w:pos="1928"/>
          <w:tab w:val="clear" w:pos="2608"/>
          <w:tab w:val="clear" w:pos="3289"/>
          <w:tab w:val="clear" w:pos="3969"/>
          <w:tab w:val="clear" w:pos="4649"/>
          <w:tab w:val="clear" w:pos="5330"/>
        </w:tabs>
        <w:ind w:left="4649" w:hanging="2721"/>
      </w:pPr>
      <w:r w:rsidRPr="00DE7260">
        <w:rPr>
          <w:i/>
          <w:iCs/>
          <w:rtl/>
        </w:rPr>
        <w:t>الموضوع:</w:t>
      </w:r>
      <w:r>
        <w:rPr>
          <w:rtl/>
        </w:rPr>
        <w:tab/>
      </w:r>
      <w:r w:rsidRPr="00E74FBF">
        <w:rPr>
          <w:rtl/>
        </w:rPr>
        <w:t>عقوبات متعددة مفروضة على مالكة وسيلة إعلامية مطبوعة لأسباب زُعم أنها سياسية</w:t>
      </w:r>
    </w:p>
    <w:p w14:paraId="57EBF1C2" w14:textId="24D55F62" w:rsidR="00E74FBF" w:rsidRPr="00E74FBF" w:rsidRDefault="00E74FBF" w:rsidP="00E74FBF">
      <w:pPr>
        <w:pStyle w:val="SingleTxtGA"/>
        <w:tabs>
          <w:tab w:val="clear" w:pos="1928"/>
          <w:tab w:val="clear" w:pos="2608"/>
          <w:tab w:val="clear" w:pos="3289"/>
          <w:tab w:val="clear" w:pos="3969"/>
          <w:tab w:val="clear" w:pos="4649"/>
          <w:tab w:val="clear" w:pos="5330"/>
        </w:tabs>
        <w:ind w:left="4649" w:hanging="2721"/>
      </w:pPr>
      <w:r w:rsidRPr="00DE7260">
        <w:rPr>
          <w:i/>
          <w:iCs/>
          <w:rtl/>
        </w:rPr>
        <w:t>المسائل الإجرائية:</w:t>
      </w:r>
      <w:r>
        <w:rPr>
          <w:rtl/>
        </w:rPr>
        <w:tab/>
      </w:r>
      <w:r w:rsidRPr="00E74FBF">
        <w:rPr>
          <w:rtl/>
        </w:rPr>
        <w:t>استنفاد سبل الانتصاف الداخلية؛ وعدم كفاية الأدلة؛ ووضع الضحية</w:t>
      </w:r>
    </w:p>
    <w:p w14:paraId="11A68A8D" w14:textId="76FB0864" w:rsidR="00E74FBF" w:rsidRPr="00E74FBF" w:rsidRDefault="00E74FBF" w:rsidP="00E74FBF">
      <w:pPr>
        <w:pStyle w:val="SingleTxtGA"/>
        <w:tabs>
          <w:tab w:val="clear" w:pos="1928"/>
          <w:tab w:val="clear" w:pos="2608"/>
          <w:tab w:val="clear" w:pos="3289"/>
          <w:tab w:val="clear" w:pos="3969"/>
          <w:tab w:val="clear" w:pos="4649"/>
          <w:tab w:val="clear" w:pos="5330"/>
        </w:tabs>
        <w:ind w:left="4649" w:hanging="2721"/>
      </w:pPr>
      <w:r w:rsidRPr="00DE7260">
        <w:rPr>
          <w:i/>
          <w:iCs/>
          <w:rtl/>
        </w:rPr>
        <w:t>المسألة الموضوعية:</w:t>
      </w:r>
      <w:r>
        <w:rPr>
          <w:rtl/>
        </w:rPr>
        <w:tab/>
      </w:r>
      <w:r w:rsidRPr="00E74FBF">
        <w:rPr>
          <w:rtl/>
        </w:rPr>
        <w:t>الحق في محاكمة عادلة؛ الحق في حرية التعبير</w:t>
      </w:r>
    </w:p>
    <w:p w14:paraId="3D1E0C5A" w14:textId="3DB04AE1" w:rsidR="00E74FBF" w:rsidRPr="00E74FBF" w:rsidRDefault="00E74FBF" w:rsidP="00E74FBF">
      <w:pPr>
        <w:pStyle w:val="SingleTxtGA"/>
        <w:tabs>
          <w:tab w:val="clear" w:pos="1928"/>
          <w:tab w:val="clear" w:pos="2608"/>
          <w:tab w:val="clear" w:pos="3289"/>
          <w:tab w:val="clear" w:pos="3969"/>
          <w:tab w:val="clear" w:pos="4649"/>
          <w:tab w:val="clear" w:pos="5330"/>
        </w:tabs>
        <w:ind w:left="4649" w:hanging="2721"/>
        <w:rPr>
          <w:rtl/>
        </w:rPr>
      </w:pPr>
      <w:r w:rsidRPr="00DE7260">
        <w:rPr>
          <w:i/>
          <w:iCs/>
          <w:rtl/>
        </w:rPr>
        <w:t>مواد العهد:</w:t>
      </w:r>
      <w:r>
        <w:rPr>
          <w:rtl/>
        </w:rPr>
        <w:tab/>
      </w:r>
      <w:r w:rsidRPr="00DE7260">
        <w:rPr>
          <w:rtl/>
        </w:rPr>
        <w:t>14</w:t>
      </w:r>
      <w:r w:rsidRPr="00E74FBF">
        <w:rPr>
          <w:rtl/>
        </w:rPr>
        <w:t>(</w:t>
      </w:r>
      <w:r w:rsidRPr="00DE7260">
        <w:rPr>
          <w:rtl/>
        </w:rPr>
        <w:t>3</w:t>
      </w:r>
      <w:r w:rsidRPr="00E74FBF">
        <w:rPr>
          <w:rtl/>
        </w:rPr>
        <w:t>)</w:t>
      </w:r>
      <w:r>
        <w:rPr>
          <w:rtl/>
        </w:rPr>
        <w:t>(</w:t>
      </w:r>
      <w:r w:rsidRPr="00E74FBF">
        <w:rPr>
          <w:rtl/>
        </w:rPr>
        <w:t>ب) و(د) و(ه)، و</w:t>
      </w:r>
      <w:r w:rsidRPr="00DE7260">
        <w:rPr>
          <w:rtl/>
        </w:rPr>
        <w:t>19</w:t>
      </w:r>
    </w:p>
    <w:p w14:paraId="077FDD8E" w14:textId="4E8EC7AA" w:rsidR="00E74FBF" w:rsidRPr="006531D2" w:rsidRDefault="00E74FBF" w:rsidP="006531D2">
      <w:pPr>
        <w:pStyle w:val="SingleTxtGA"/>
        <w:tabs>
          <w:tab w:val="clear" w:pos="1928"/>
          <w:tab w:val="clear" w:pos="2608"/>
          <w:tab w:val="clear" w:pos="3289"/>
          <w:tab w:val="clear" w:pos="3969"/>
          <w:tab w:val="clear" w:pos="4649"/>
          <w:tab w:val="clear" w:pos="5330"/>
        </w:tabs>
        <w:ind w:left="4649" w:hanging="2721"/>
        <w:rPr>
          <w:rtl/>
        </w:rPr>
      </w:pPr>
      <w:r w:rsidRPr="00DE7260">
        <w:rPr>
          <w:i/>
          <w:iCs/>
          <w:rtl/>
        </w:rPr>
        <w:t>مواد البروتوكول الاختياري:</w:t>
      </w:r>
      <w:r>
        <w:rPr>
          <w:rtl/>
        </w:rPr>
        <w:tab/>
      </w:r>
      <w:r w:rsidRPr="00DE7260">
        <w:rPr>
          <w:rtl/>
        </w:rPr>
        <w:t>2</w:t>
      </w:r>
      <w:r w:rsidRPr="00E74FBF">
        <w:rPr>
          <w:rtl/>
        </w:rPr>
        <w:t>، و</w:t>
      </w:r>
      <w:r w:rsidRPr="00DE7260">
        <w:rPr>
          <w:rtl/>
        </w:rPr>
        <w:t>3</w:t>
      </w:r>
      <w:r w:rsidRPr="00E74FBF">
        <w:rPr>
          <w:rtl/>
        </w:rPr>
        <w:t>، و</w:t>
      </w:r>
      <w:r w:rsidRPr="00DE7260">
        <w:rPr>
          <w:rtl/>
        </w:rPr>
        <w:t>5</w:t>
      </w:r>
    </w:p>
    <w:p w14:paraId="4F63348D" w14:textId="2D780AC8" w:rsidR="00E74FBF" w:rsidRPr="00547F64" w:rsidRDefault="00E74FBF" w:rsidP="00E74FBF">
      <w:pPr>
        <w:pStyle w:val="SingleTxtGA"/>
      </w:pPr>
      <w:r w:rsidRPr="00DE7260">
        <w:rPr>
          <w:lang w:bidi="ar"/>
        </w:rPr>
        <w:lastRenderedPageBreak/>
        <w:t>1</w:t>
      </w:r>
      <w:r w:rsidRPr="00547F64">
        <w:rPr>
          <w:rtl/>
          <w:lang w:bidi="ar"/>
        </w:rPr>
        <w:t>-</w:t>
      </w:r>
      <w:r w:rsidRPr="00DE7260">
        <w:rPr>
          <w:rtl/>
          <w:lang w:bidi="ar"/>
        </w:rPr>
        <w:t>1</w:t>
      </w:r>
      <w:r>
        <w:rPr>
          <w:rtl/>
          <w:lang w:bidi="ar"/>
        </w:rPr>
        <w:tab/>
      </w:r>
      <w:r w:rsidRPr="00547F64">
        <w:rPr>
          <w:rtl/>
          <w:lang w:bidi="ar"/>
        </w:rPr>
        <w:t xml:space="preserve">صاحبتا البلاغ هم علياء </w:t>
      </w:r>
      <w:proofErr w:type="spellStart"/>
      <w:r w:rsidRPr="00547F64">
        <w:rPr>
          <w:rtl/>
          <w:lang w:bidi="ar"/>
        </w:rPr>
        <w:t>إسماعيلوفا</w:t>
      </w:r>
      <w:proofErr w:type="spellEnd"/>
      <w:r w:rsidRPr="00547F64">
        <w:rPr>
          <w:rtl/>
          <w:lang w:bidi="ar"/>
        </w:rPr>
        <w:t xml:space="preserve"> (</w:t>
      </w:r>
      <w:r w:rsidRPr="00547F64">
        <w:rPr>
          <w:rtl/>
          <w:lang w:val="fr-FR"/>
        </w:rPr>
        <w:t>صاحبة البلاغ</w:t>
      </w:r>
      <w:r w:rsidRPr="00547F64">
        <w:rPr>
          <w:rtl/>
          <w:lang w:bidi="ar"/>
        </w:rPr>
        <w:t xml:space="preserve"> الأولى)، وهي مواطنة كازاخستانية ولدت </w:t>
      </w:r>
      <w:r w:rsidRPr="00EB6BD6">
        <w:rPr>
          <w:spacing w:val="-4"/>
          <w:rtl/>
          <w:lang w:bidi="ar"/>
        </w:rPr>
        <w:t xml:space="preserve">في عام </w:t>
      </w:r>
      <w:r w:rsidRPr="00DE7260">
        <w:rPr>
          <w:spacing w:val="-4"/>
          <w:rtl/>
          <w:lang w:bidi="ar"/>
        </w:rPr>
        <w:t>1991</w:t>
      </w:r>
      <w:r w:rsidRPr="00EB6BD6">
        <w:rPr>
          <w:spacing w:val="-4"/>
          <w:rtl/>
          <w:lang w:bidi="ar"/>
        </w:rPr>
        <w:t xml:space="preserve">، وعمتها </w:t>
      </w:r>
      <w:proofErr w:type="spellStart"/>
      <w:r w:rsidRPr="00EB6BD6">
        <w:rPr>
          <w:spacing w:val="-4"/>
          <w:rtl/>
          <w:lang w:bidi="ar"/>
        </w:rPr>
        <w:t>روزلانا</w:t>
      </w:r>
      <w:proofErr w:type="spellEnd"/>
      <w:r w:rsidRPr="00EB6BD6">
        <w:rPr>
          <w:spacing w:val="-4"/>
          <w:rtl/>
          <w:lang w:bidi="ar"/>
        </w:rPr>
        <w:t xml:space="preserve"> توكينا (صاحبة البلاغ الثانية)، وهي مواطنة كازاخستانية ولدت في عام </w:t>
      </w:r>
      <w:r w:rsidRPr="00DE7260">
        <w:rPr>
          <w:spacing w:val="-4"/>
          <w:rtl/>
          <w:lang w:bidi="ar"/>
        </w:rPr>
        <w:t>1955</w:t>
      </w:r>
      <w:r w:rsidRPr="00EB6BD6">
        <w:rPr>
          <w:spacing w:val="-4"/>
          <w:rtl/>
          <w:lang w:bidi="ar"/>
        </w:rPr>
        <w:t xml:space="preserve">. وتدعي صاحبة البلاغ الأولى أن الدولة الطرف انتهكت حقوقها بموجب المادتين </w:t>
      </w:r>
      <w:r w:rsidRPr="00DE7260">
        <w:rPr>
          <w:spacing w:val="-4"/>
          <w:rtl/>
          <w:lang w:bidi="ar"/>
        </w:rPr>
        <w:t>14</w:t>
      </w:r>
      <w:r w:rsidRPr="00EB6BD6">
        <w:rPr>
          <w:spacing w:val="-4"/>
          <w:rtl/>
          <w:lang w:bidi="ar"/>
        </w:rPr>
        <w:t>(</w:t>
      </w:r>
      <w:r w:rsidRPr="00DE7260">
        <w:rPr>
          <w:spacing w:val="-4"/>
          <w:rtl/>
          <w:lang w:bidi="ar"/>
        </w:rPr>
        <w:t>3</w:t>
      </w:r>
      <w:r w:rsidRPr="00EB6BD6">
        <w:rPr>
          <w:spacing w:val="-4"/>
          <w:rtl/>
          <w:lang w:bidi="ar"/>
        </w:rPr>
        <w:t>)(ب) و(د) و</w:t>
      </w:r>
      <w:r w:rsidRPr="00547F64">
        <w:rPr>
          <w:rtl/>
          <w:lang w:bidi="ar"/>
        </w:rPr>
        <w:t>(ه)، و</w:t>
      </w:r>
      <w:r w:rsidRPr="00DE7260">
        <w:rPr>
          <w:rtl/>
          <w:lang w:bidi="ar"/>
        </w:rPr>
        <w:t>19</w:t>
      </w:r>
      <w:r w:rsidRPr="00547F64">
        <w:rPr>
          <w:rtl/>
          <w:lang w:bidi="ar"/>
        </w:rPr>
        <w:t xml:space="preserve"> من العهد. وتدعي صاحبة البلاغ الثانية أنها ضحية لانتهاك الدولة الطرف المادة </w:t>
      </w:r>
      <w:r w:rsidRPr="00DE7260">
        <w:rPr>
          <w:rtl/>
          <w:lang w:bidi="ar"/>
        </w:rPr>
        <w:t>19</w:t>
      </w:r>
      <w:r w:rsidRPr="00547F64">
        <w:rPr>
          <w:rtl/>
          <w:lang w:bidi="ar"/>
        </w:rPr>
        <w:t xml:space="preserve"> من العهد. ودخل البروتوكول الاختياري حيز النفاذ بالنسبة للدولة الطرف في </w:t>
      </w:r>
      <w:r w:rsidRPr="00DE7260">
        <w:rPr>
          <w:rtl/>
          <w:lang w:bidi="ar"/>
        </w:rPr>
        <w:t>30</w:t>
      </w:r>
      <w:r w:rsidRPr="00547F64">
        <w:rPr>
          <w:rtl/>
          <w:lang w:bidi="ar"/>
        </w:rPr>
        <w:t xml:space="preserve"> أيلول/سبتمبر </w:t>
      </w:r>
      <w:r w:rsidRPr="00DE7260">
        <w:rPr>
          <w:rtl/>
          <w:lang w:bidi="ar"/>
        </w:rPr>
        <w:t>2009</w:t>
      </w:r>
      <w:r w:rsidRPr="00547F64">
        <w:rPr>
          <w:rtl/>
          <w:lang w:bidi="ar"/>
        </w:rPr>
        <w:t>. ويمثل صاحبتي البلاغ محام.</w:t>
      </w:r>
    </w:p>
    <w:p w14:paraId="2BE3E642" w14:textId="62E29761" w:rsidR="00E74FBF" w:rsidRPr="00547F64" w:rsidRDefault="00E74FBF" w:rsidP="00E74FBF">
      <w:pPr>
        <w:pStyle w:val="SingleTxtGA"/>
      </w:pPr>
      <w:r w:rsidRPr="00DE7260">
        <w:rPr>
          <w:rtl/>
          <w:lang w:bidi="ar"/>
        </w:rPr>
        <w:t>1</w:t>
      </w:r>
      <w:r w:rsidRPr="00547F64">
        <w:rPr>
          <w:rtl/>
          <w:lang w:bidi="ar"/>
        </w:rPr>
        <w:t>-</w:t>
      </w:r>
      <w:r w:rsidRPr="00DE7260">
        <w:rPr>
          <w:rtl/>
          <w:lang w:bidi="ar"/>
        </w:rPr>
        <w:t>2</w:t>
      </w:r>
      <w:r>
        <w:rPr>
          <w:rtl/>
          <w:lang w:bidi="ar"/>
        </w:rPr>
        <w:tab/>
      </w:r>
      <w:r w:rsidRPr="00547F64">
        <w:rPr>
          <w:rtl/>
          <w:lang w:bidi="ar"/>
        </w:rPr>
        <w:t xml:space="preserve">وفي </w:t>
      </w:r>
      <w:r w:rsidRPr="00DE7260">
        <w:rPr>
          <w:rtl/>
          <w:lang w:bidi="ar"/>
        </w:rPr>
        <w:t>16</w:t>
      </w:r>
      <w:r w:rsidRPr="00547F64">
        <w:rPr>
          <w:rtl/>
          <w:lang w:bidi="ar"/>
        </w:rPr>
        <w:t xml:space="preserve"> آذار/مارس </w:t>
      </w:r>
      <w:r w:rsidRPr="00DE7260">
        <w:rPr>
          <w:rtl/>
          <w:lang w:bidi="ar"/>
        </w:rPr>
        <w:t>2016</w:t>
      </w:r>
      <w:r w:rsidRPr="00547F64">
        <w:rPr>
          <w:rtl/>
          <w:lang w:bidi="ar"/>
        </w:rPr>
        <w:t>، قررت اللجنة، عمل</w:t>
      </w:r>
      <w:r w:rsidR="006531D2">
        <w:rPr>
          <w:rtl/>
          <w:lang w:bidi="ar"/>
        </w:rPr>
        <w:t xml:space="preserve">اً </w:t>
      </w:r>
      <w:r w:rsidRPr="00547F64">
        <w:rPr>
          <w:rtl/>
          <w:lang w:bidi="ar"/>
        </w:rPr>
        <w:t xml:space="preserve">بالمادة </w:t>
      </w:r>
      <w:r w:rsidRPr="00DE7260">
        <w:rPr>
          <w:rtl/>
          <w:lang w:bidi="ar"/>
        </w:rPr>
        <w:t>93</w:t>
      </w:r>
      <w:r>
        <w:rPr>
          <w:rtl/>
          <w:lang w:bidi="ar"/>
        </w:rPr>
        <w:t>(</w:t>
      </w:r>
      <w:r w:rsidRPr="00DE7260">
        <w:rPr>
          <w:rtl/>
          <w:lang w:bidi="ar"/>
        </w:rPr>
        <w:t>1</w:t>
      </w:r>
      <w:r w:rsidRPr="00547F64">
        <w:rPr>
          <w:rtl/>
          <w:lang w:bidi="ar"/>
        </w:rPr>
        <w:t>) من نظامها الداخلي، متصرفة عن طريق مقررها الخاص المعني بالبلاغات الجديدة والتدابير المؤقتة، دراسة مقبولية البلاغ إلى جانب أسسه الموضوعية.</w:t>
      </w:r>
    </w:p>
    <w:p w14:paraId="61052E11" w14:textId="59E04CD8" w:rsidR="00E74FBF" w:rsidRPr="00DE7260" w:rsidRDefault="00E74FBF" w:rsidP="00E74FBF">
      <w:pPr>
        <w:pStyle w:val="H23GA"/>
      </w:pPr>
      <w:r w:rsidRPr="00DE7260">
        <w:rPr>
          <w:rtl/>
          <w:lang w:bidi="ar"/>
        </w:rPr>
        <w:tab/>
      </w:r>
      <w:r w:rsidRPr="00DE7260">
        <w:rPr>
          <w:rtl/>
          <w:lang w:bidi="ar"/>
        </w:rPr>
        <w:tab/>
        <w:t>الوقائع كما قدمتها صاحبتا البلاغ</w:t>
      </w:r>
    </w:p>
    <w:p w14:paraId="1EC535F1" w14:textId="7888686E" w:rsidR="00E74FBF" w:rsidRPr="00547F64" w:rsidRDefault="00E74FBF" w:rsidP="00E74FBF">
      <w:pPr>
        <w:pStyle w:val="SingleTxtGA"/>
      </w:pPr>
      <w:r w:rsidRPr="00DE7260">
        <w:rPr>
          <w:rtl/>
          <w:lang w:bidi="ar"/>
        </w:rPr>
        <w:t>2</w:t>
      </w:r>
      <w:r w:rsidRPr="00547F64">
        <w:rPr>
          <w:rtl/>
          <w:lang w:bidi="ar"/>
        </w:rPr>
        <w:t>-</w:t>
      </w:r>
      <w:r w:rsidRPr="00DE7260">
        <w:rPr>
          <w:rtl/>
          <w:lang w:bidi="ar"/>
        </w:rPr>
        <w:t>1</w:t>
      </w:r>
      <w:r>
        <w:rPr>
          <w:rtl/>
          <w:lang w:bidi="ar"/>
        </w:rPr>
        <w:tab/>
      </w:r>
      <w:r w:rsidRPr="00547F64">
        <w:rPr>
          <w:rtl/>
          <w:lang w:bidi="ar"/>
        </w:rPr>
        <w:t>صاحبة البلاغ الثانية صحفية معروفة تنشر مقالات تنتقد فيها السلطات الكازاخستانية منذ عدة سنوات. وبسبب أنشطتها الصحفية ودفاعها عن حرية التعبير والصحافة، تعرضت مرار</w:t>
      </w:r>
      <w:r w:rsidR="006531D2">
        <w:rPr>
          <w:rtl/>
          <w:lang w:bidi="ar"/>
        </w:rPr>
        <w:t xml:space="preserve">اً </w:t>
      </w:r>
      <w:r w:rsidRPr="00547F64">
        <w:rPr>
          <w:rtl/>
          <w:lang w:bidi="ar"/>
        </w:rPr>
        <w:t>وتكرار</w:t>
      </w:r>
      <w:r w:rsidR="006531D2">
        <w:rPr>
          <w:rtl/>
          <w:lang w:bidi="ar"/>
        </w:rPr>
        <w:t xml:space="preserve">اً </w:t>
      </w:r>
      <w:r w:rsidRPr="00547F64">
        <w:rPr>
          <w:rtl/>
          <w:lang w:bidi="ar"/>
        </w:rPr>
        <w:t xml:space="preserve">لغرامات إدارية. وفي عامي </w:t>
      </w:r>
      <w:r w:rsidRPr="00DE7260">
        <w:rPr>
          <w:rtl/>
          <w:lang w:bidi="ar"/>
        </w:rPr>
        <w:t>2009</w:t>
      </w:r>
      <w:r w:rsidRPr="00547F64">
        <w:rPr>
          <w:rtl/>
          <w:lang w:bidi="ar"/>
        </w:rPr>
        <w:t xml:space="preserve"> و</w:t>
      </w:r>
      <w:r w:rsidRPr="00DE7260">
        <w:rPr>
          <w:rtl/>
          <w:lang w:bidi="ar"/>
        </w:rPr>
        <w:t>2011</w:t>
      </w:r>
      <w:r w:rsidRPr="00547F64">
        <w:rPr>
          <w:rtl/>
          <w:lang w:bidi="ar"/>
        </w:rPr>
        <w:t xml:space="preserve">، طلبت من وزارة الثقافة والإعلام تسجيل منشور بعنوان </w:t>
      </w:r>
      <w:proofErr w:type="spellStart"/>
      <w:r w:rsidRPr="00DE7260">
        <w:rPr>
          <w:i/>
          <w:iCs/>
          <w:rtl/>
          <w:lang w:bidi="ar"/>
        </w:rPr>
        <w:t>برافديفايا</w:t>
      </w:r>
      <w:proofErr w:type="spellEnd"/>
      <w:r w:rsidR="004655DD" w:rsidRPr="00DE7260">
        <w:rPr>
          <w:rFonts w:hint="cs"/>
          <w:i/>
          <w:iCs/>
          <w:rtl/>
          <w:lang w:bidi="ar"/>
        </w:rPr>
        <w:t> </w:t>
      </w:r>
      <w:r w:rsidRPr="00DE7260">
        <w:rPr>
          <w:i/>
          <w:iCs/>
          <w:rtl/>
          <w:lang w:bidi="ar"/>
        </w:rPr>
        <w:t>غازيتا</w:t>
      </w:r>
      <w:r w:rsidRPr="00547F64">
        <w:rPr>
          <w:rtl/>
          <w:lang w:bidi="ar"/>
        </w:rPr>
        <w:t>("الصحيفة الصادقة"). وفي كلتا المناسبتين، رُفض التسجيل لأسباب شكلية، بما في ذلك وجود كيان مزعوم يحمل اسما مماثل</w:t>
      </w:r>
      <w:r w:rsidR="006531D2">
        <w:rPr>
          <w:rtl/>
          <w:lang w:bidi="ar"/>
        </w:rPr>
        <w:t xml:space="preserve">اً. </w:t>
      </w:r>
      <w:r w:rsidRPr="00547F64">
        <w:rPr>
          <w:rtl/>
          <w:lang w:bidi="ar"/>
        </w:rPr>
        <w:t xml:space="preserve">وحاولت صاحبة البلاغ تسجيل منشورات إعلامية أخرى، لكن تسجيلها رفض لأسباب إجرائية. وفي </w:t>
      </w:r>
      <w:r w:rsidRPr="00DE7260">
        <w:rPr>
          <w:rtl/>
          <w:lang w:bidi="ar"/>
        </w:rPr>
        <w:t>27</w:t>
      </w:r>
      <w:r w:rsidRPr="00547F64">
        <w:rPr>
          <w:rtl/>
          <w:lang w:bidi="ar"/>
        </w:rPr>
        <w:t xml:space="preserve"> آذار/مارس </w:t>
      </w:r>
      <w:r w:rsidRPr="00DE7260">
        <w:rPr>
          <w:rtl/>
          <w:lang w:bidi="ar"/>
        </w:rPr>
        <w:t>2013</w:t>
      </w:r>
      <w:r w:rsidRPr="00547F64">
        <w:rPr>
          <w:rtl/>
          <w:lang w:bidi="ar"/>
        </w:rPr>
        <w:t xml:space="preserve">، سُجلت </w:t>
      </w:r>
      <w:proofErr w:type="spellStart"/>
      <w:r w:rsidRPr="00DE7260">
        <w:rPr>
          <w:i/>
          <w:iCs/>
          <w:rtl/>
          <w:lang w:bidi="ar"/>
        </w:rPr>
        <w:t>برافديفايا</w:t>
      </w:r>
      <w:proofErr w:type="spellEnd"/>
      <w:r w:rsidRPr="00DE7260">
        <w:rPr>
          <w:i/>
          <w:iCs/>
          <w:rtl/>
          <w:lang w:bidi="ar"/>
        </w:rPr>
        <w:t xml:space="preserve"> غازيتا</w:t>
      </w:r>
      <w:r w:rsidRPr="00547F64">
        <w:rPr>
          <w:rtl/>
          <w:lang w:bidi="ar"/>
        </w:rPr>
        <w:t xml:space="preserve"> باسم صاحب البلاغ الأولى. ونقلت صاحبةُ البلاغ الأولى بالتراضي إلى صاحبة البلاغ الثانية سلطة التدبير والإدارة الكاملين للصحيفة. وعملت صاحبة البلاغ الثاني بحكم الواقع رئيسة تحرير للمنشور. وصدر العدد الأول من الصحيفة في</w:t>
      </w:r>
      <w:r>
        <w:rPr>
          <w:rFonts w:hint="cs"/>
          <w:rtl/>
          <w:lang w:bidi="ar"/>
        </w:rPr>
        <w:t> </w:t>
      </w:r>
      <w:r w:rsidRPr="00DE7260">
        <w:rPr>
          <w:rtl/>
          <w:lang w:bidi="ar"/>
        </w:rPr>
        <w:t>23</w:t>
      </w:r>
      <w:r w:rsidRPr="00547F64">
        <w:rPr>
          <w:rtl/>
          <w:lang w:bidi="ar"/>
        </w:rPr>
        <w:t xml:space="preserve"> نيسان/أبريل </w:t>
      </w:r>
      <w:r w:rsidRPr="00DE7260">
        <w:rPr>
          <w:rtl/>
          <w:lang w:bidi="ar"/>
        </w:rPr>
        <w:t>2013</w:t>
      </w:r>
      <w:r w:rsidRPr="00547F64">
        <w:rPr>
          <w:rtl/>
          <w:lang w:bidi="ar"/>
        </w:rPr>
        <w:t>.</w:t>
      </w:r>
    </w:p>
    <w:p w14:paraId="0EB32A62" w14:textId="1EE510F7" w:rsidR="00E74FBF" w:rsidRPr="00547F64" w:rsidRDefault="00E74FBF" w:rsidP="00E74FBF">
      <w:pPr>
        <w:pStyle w:val="SingleTxtGA"/>
      </w:pPr>
      <w:r w:rsidRPr="00DE7260">
        <w:rPr>
          <w:rtl/>
          <w:lang w:bidi="ar"/>
        </w:rPr>
        <w:t>2</w:t>
      </w:r>
      <w:r w:rsidRPr="00547F64">
        <w:rPr>
          <w:rtl/>
          <w:lang w:bidi="ar"/>
        </w:rPr>
        <w:t>-</w:t>
      </w:r>
      <w:r w:rsidRPr="00DE7260">
        <w:rPr>
          <w:rtl/>
          <w:lang w:bidi="ar"/>
        </w:rPr>
        <w:t>2</w:t>
      </w:r>
      <w:r>
        <w:rPr>
          <w:rtl/>
          <w:lang w:bidi="ar"/>
        </w:rPr>
        <w:tab/>
      </w:r>
      <w:r w:rsidRPr="00547F64">
        <w:rPr>
          <w:rtl/>
          <w:lang w:val="fr-FR"/>
        </w:rPr>
        <w:t>و</w:t>
      </w:r>
      <w:r w:rsidRPr="00547F64">
        <w:rPr>
          <w:rtl/>
          <w:lang w:bidi="ar"/>
        </w:rPr>
        <w:t xml:space="preserve">في </w:t>
      </w:r>
      <w:r w:rsidRPr="00DE7260">
        <w:rPr>
          <w:rtl/>
          <w:lang w:bidi="ar"/>
        </w:rPr>
        <w:t>24</w:t>
      </w:r>
      <w:r w:rsidRPr="00547F64">
        <w:rPr>
          <w:rtl/>
          <w:lang w:bidi="ar"/>
        </w:rPr>
        <w:t xml:space="preserve"> نيسان/أبريل </w:t>
      </w:r>
      <w:r w:rsidRPr="00DE7260">
        <w:rPr>
          <w:rtl/>
          <w:lang w:bidi="ar"/>
        </w:rPr>
        <w:t>2013</w:t>
      </w:r>
      <w:r w:rsidRPr="00547F64">
        <w:rPr>
          <w:rtl/>
          <w:lang w:bidi="ar"/>
        </w:rPr>
        <w:t xml:space="preserve">، أقامت إدارة السياسات الداخلية في مكتب رئيس بلدية </w:t>
      </w:r>
      <w:proofErr w:type="spellStart"/>
      <w:r w:rsidRPr="00547F64">
        <w:rPr>
          <w:rtl/>
          <w:lang w:bidi="ar"/>
        </w:rPr>
        <w:t>ألماتي</w:t>
      </w:r>
      <w:proofErr w:type="spellEnd"/>
      <w:r w:rsidRPr="00547F64">
        <w:rPr>
          <w:rtl/>
          <w:lang w:bidi="ar"/>
        </w:rPr>
        <w:t xml:space="preserve"> دعوى إدارية ضد صاحبة البلاغ الأولى بموجب المادة </w:t>
      </w:r>
      <w:r w:rsidRPr="00DE7260">
        <w:rPr>
          <w:rtl/>
          <w:lang w:bidi="ar"/>
        </w:rPr>
        <w:t>350</w:t>
      </w:r>
      <w:r>
        <w:rPr>
          <w:rtl/>
          <w:lang w:bidi="ar"/>
        </w:rPr>
        <w:t>(</w:t>
      </w:r>
      <w:r w:rsidRPr="00DE7260">
        <w:rPr>
          <w:rtl/>
          <w:lang w:bidi="ar"/>
        </w:rPr>
        <w:t>1</w:t>
      </w:r>
      <w:r w:rsidRPr="00547F64">
        <w:rPr>
          <w:rtl/>
          <w:lang w:bidi="ar"/>
        </w:rPr>
        <w:t xml:space="preserve">) من قانون الجرائم الإدارية، تطرح فيها مسألة عدم إدراج معلومات ضمن ترويسة صحيفة </w:t>
      </w:r>
      <w:proofErr w:type="spellStart"/>
      <w:r w:rsidRPr="00DE7260">
        <w:rPr>
          <w:i/>
          <w:iCs/>
          <w:rtl/>
          <w:lang w:bidi="ar"/>
        </w:rPr>
        <w:t>برافديفايا</w:t>
      </w:r>
      <w:proofErr w:type="spellEnd"/>
      <w:r w:rsidRPr="00DE7260">
        <w:rPr>
          <w:i/>
          <w:iCs/>
          <w:rtl/>
          <w:lang w:bidi="ar"/>
        </w:rPr>
        <w:t xml:space="preserve"> غازيتا</w:t>
      </w:r>
      <w:r w:rsidRPr="00547F64">
        <w:rPr>
          <w:rtl/>
          <w:lang w:bidi="ar"/>
        </w:rPr>
        <w:t xml:space="preserve"> تبيّن التواتر الزمني لصدورها. وفي اليوم نفسه، أدانت المحكمة الإدارية المتخصصة المشتركة بين المقاطعات في </w:t>
      </w:r>
      <w:proofErr w:type="spellStart"/>
      <w:r w:rsidRPr="00547F64">
        <w:rPr>
          <w:rtl/>
          <w:lang w:bidi="ar"/>
        </w:rPr>
        <w:t>ألماتي</w:t>
      </w:r>
      <w:proofErr w:type="spellEnd"/>
      <w:r w:rsidRPr="00547F64">
        <w:rPr>
          <w:rtl/>
          <w:lang w:bidi="ar"/>
        </w:rPr>
        <w:t xml:space="preserve"> صاحبة البلاغ الأولى بموجب المادة </w:t>
      </w:r>
      <w:r w:rsidRPr="00DE7260">
        <w:rPr>
          <w:rtl/>
          <w:lang w:bidi="ar"/>
        </w:rPr>
        <w:t>350</w:t>
      </w:r>
      <w:r w:rsidRPr="00547F64">
        <w:rPr>
          <w:rtl/>
          <w:lang w:bidi="ar"/>
        </w:rPr>
        <w:t>(</w:t>
      </w:r>
      <w:r w:rsidRPr="00DE7260">
        <w:rPr>
          <w:rtl/>
          <w:lang w:bidi="ar"/>
        </w:rPr>
        <w:t>1</w:t>
      </w:r>
      <w:r w:rsidRPr="00547F64">
        <w:rPr>
          <w:rtl/>
          <w:lang w:bidi="ar"/>
        </w:rPr>
        <w:t xml:space="preserve">) من قانون الجرائم الإدارية، وفرضت عليها غرامة تعادل </w:t>
      </w:r>
      <w:r w:rsidRPr="00DE7260">
        <w:rPr>
          <w:rtl/>
          <w:lang w:bidi="ar"/>
        </w:rPr>
        <w:t>20</w:t>
      </w:r>
      <w:r w:rsidRPr="00547F64">
        <w:rPr>
          <w:rtl/>
          <w:lang w:bidi="ar"/>
        </w:rPr>
        <w:t xml:space="preserve"> مثل</w:t>
      </w:r>
      <w:r w:rsidR="006531D2">
        <w:rPr>
          <w:rtl/>
          <w:lang w:bidi="ar"/>
        </w:rPr>
        <w:t xml:space="preserve">اً </w:t>
      </w:r>
      <w:r w:rsidRPr="00547F64">
        <w:rPr>
          <w:rtl/>
          <w:lang w:bidi="ar"/>
        </w:rPr>
        <w:t xml:space="preserve">لقيمة مؤشر الحساب الشهري، أي </w:t>
      </w:r>
      <w:r w:rsidRPr="00DE7260">
        <w:rPr>
          <w:rtl/>
          <w:lang w:bidi="ar"/>
        </w:rPr>
        <w:t>620</w:t>
      </w:r>
      <w:r w:rsidRPr="00547F64">
        <w:rPr>
          <w:rtl/>
          <w:lang w:bidi="ar"/>
        </w:rPr>
        <w:t xml:space="preserve"> </w:t>
      </w:r>
      <w:r w:rsidRPr="00DE7260">
        <w:rPr>
          <w:rtl/>
          <w:lang w:bidi="ar"/>
        </w:rPr>
        <w:t>34</w:t>
      </w:r>
      <w:r w:rsidRPr="00547F64">
        <w:rPr>
          <w:rtl/>
          <w:lang w:bidi="ar"/>
        </w:rPr>
        <w:t xml:space="preserve"> تنغي</w:t>
      </w:r>
      <w:r>
        <w:rPr>
          <w:vertAlign w:val="superscript"/>
          <w:rtl/>
          <w:lang w:bidi="ar"/>
        </w:rPr>
        <w:t>(</w:t>
      </w:r>
      <w:r w:rsidRPr="00DE7260">
        <w:rPr>
          <w:vertAlign w:val="superscript"/>
          <w:lang w:val="en-US" w:bidi="ar"/>
        </w:rPr>
        <w:footnoteReference w:id="3"/>
      </w:r>
      <w:r>
        <w:rPr>
          <w:vertAlign w:val="superscript"/>
          <w:rtl/>
          <w:lang w:bidi="ar"/>
        </w:rPr>
        <w:t>)</w:t>
      </w:r>
      <w:r w:rsidRPr="00547F64">
        <w:rPr>
          <w:rtl/>
          <w:lang w:bidi="ar"/>
        </w:rPr>
        <w:t>، وأمرت بمصادرة العدد الأول من الصحيفة بأكمله.</w:t>
      </w:r>
    </w:p>
    <w:p w14:paraId="0A6D9E30" w14:textId="690CA56F" w:rsidR="00E74FBF" w:rsidRPr="00547F64" w:rsidRDefault="00E74FBF" w:rsidP="00E74FBF">
      <w:pPr>
        <w:pStyle w:val="SingleTxtGA"/>
      </w:pPr>
      <w:r w:rsidRPr="00DE7260">
        <w:rPr>
          <w:rtl/>
          <w:lang w:bidi="ar"/>
        </w:rPr>
        <w:t>2</w:t>
      </w:r>
      <w:r w:rsidRPr="00547F64">
        <w:rPr>
          <w:rtl/>
          <w:lang w:bidi="ar"/>
        </w:rPr>
        <w:t>-</w:t>
      </w:r>
      <w:r w:rsidRPr="00DE7260">
        <w:rPr>
          <w:rtl/>
          <w:lang w:bidi="ar"/>
        </w:rPr>
        <w:t>3</w:t>
      </w:r>
      <w:r>
        <w:rPr>
          <w:rtl/>
          <w:lang w:bidi="ar"/>
        </w:rPr>
        <w:tab/>
      </w:r>
      <w:r w:rsidRPr="00547F64">
        <w:rPr>
          <w:rtl/>
          <w:lang w:bidi="ar"/>
        </w:rPr>
        <w:t xml:space="preserve">وفي </w:t>
      </w:r>
      <w:r w:rsidRPr="00DE7260">
        <w:rPr>
          <w:rtl/>
          <w:lang w:bidi="ar"/>
        </w:rPr>
        <w:t>6</w:t>
      </w:r>
      <w:r w:rsidRPr="00547F64">
        <w:rPr>
          <w:rtl/>
          <w:lang w:bidi="ar"/>
        </w:rPr>
        <w:t xml:space="preserve"> آب/أغسطس </w:t>
      </w:r>
      <w:r w:rsidRPr="00DE7260">
        <w:rPr>
          <w:rtl/>
          <w:lang w:bidi="ar"/>
        </w:rPr>
        <w:t>2013</w:t>
      </w:r>
      <w:r w:rsidRPr="00547F64">
        <w:rPr>
          <w:rtl/>
          <w:lang w:bidi="ar"/>
        </w:rPr>
        <w:t xml:space="preserve">، أقامت إدارة السياسات الداخلية التابعة لبلدية </w:t>
      </w:r>
      <w:proofErr w:type="spellStart"/>
      <w:r w:rsidRPr="00547F64">
        <w:rPr>
          <w:rtl/>
          <w:lang w:bidi="ar"/>
        </w:rPr>
        <w:t>ألماتي</w:t>
      </w:r>
      <w:proofErr w:type="spellEnd"/>
      <w:r w:rsidRPr="00547F64">
        <w:rPr>
          <w:rtl/>
          <w:lang w:bidi="ar"/>
        </w:rPr>
        <w:t xml:space="preserve"> دعوى إدارية ضد صاحبة البلاغ الأولى بموجب المادة </w:t>
      </w:r>
      <w:r w:rsidRPr="00DE7260">
        <w:rPr>
          <w:rtl/>
          <w:lang w:bidi="ar"/>
        </w:rPr>
        <w:t>350</w:t>
      </w:r>
      <w:r>
        <w:rPr>
          <w:rtl/>
          <w:lang w:bidi="ar"/>
        </w:rPr>
        <w:t>(</w:t>
      </w:r>
      <w:r w:rsidRPr="00DE7260">
        <w:rPr>
          <w:rtl/>
          <w:lang w:bidi="ar"/>
        </w:rPr>
        <w:t>2</w:t>
      </w:r>
      <w:r w:rsidRPr="00547F64">
        <w:rPr>
          <w:rtl/>
          <w:lang w:bidi="ar"/>
        </w:rPr>
        <w:t xml:space="preserve">) من قانون الجرائم الإدارية لأن عددين من صحيفة </w:t>
      </w:r>
      <w:proofErr w:type="spellStart"/>
      <w:r w:rsidRPr="00DE7260">
        <w:rPr>
          <w:i/>
          <w:iCs/>
          <w:rtl/>
          <w:lang w:bidi="ar"/>
        </w:rPr>
        <w:t>برافديفايا</w:t>
      </w:r>
      <w:proofErr w:type="spellEnd"/>
      <w:r w:rsidRPr="00DE7260">
        <w:rPr>
          <w:i/>
          <w:iCs/>
          <w:rtl/>
          <w:lang w:bidi="ar"/>
        </w:rPr>
        <w:t xml:space="preserve"> غازيتا</w:t>
      </w:r>
      <w:r w:rsidRPr="00547F64">
        <w:rPr>
          <w:rtl/>
          <w:lang w:bidi="ar"/>
        </w:rPr>
        <w:t xml:space="preserve"> أشارا إلى توزيع </w:t>
      </w:r>
      <w:r w:rsidRPr="00DE7260">
        <w:rPr>
          <w:rtl/>
          <w:lang w:bidi="ar"/>
        </w:rPr>
        <w:t>000</w:t>
      </w:r>
      <w:r w:rsidRPr="00547F64">
        <w:rPr>
          <w:rtl/>
          <w:lang w:bidi="ar"/>
        </w:rPr>
        <w:t xml:space="preserve"> </w:t>
      </w:r>
      <w:r w:rsidRPr="00DE7260">
        <w:rPr>
          <w:rtl/>
          <w:lang w:bidi="ar"/>
        </w:rPr>
        <w:t>8</w:t>
      </w:r>
      <w:r w:rsidRPr="00547F64">
        <w:rPr>
          <w:rtl/>
          <w:lang w:bidi="ar"/>
        </w:rPr>
        <w:t xml:space="preserve"> نسخة، في حين أن </w:t>
      </w:r>
      <w:r w:rsidRPr="00DE7260">
        <w:rPr>
          <w:rtl/>
          <w:lang w:bidi="ar"/>
        </w:rPr>
        <w:t>000</w:t>
      </w:r>
      <w:r w:rsidRPr="00547F64">
        <w:rPr>
          <w:rtl/>
          <w:lang w:bidi="ar"/>
        </w:rPr>
        <w:t xml:space="preserve"> </w:t>
      </w:r>
      <w:r w:rsidRPr="00DE7260">
        <w:rPr>
          <w:rtl/>
          <w:lang w:bidi="ar"/>
        </w:rPr>
        <w:t>7</w:t>
      </w:r>
      <w:r w:rsidRPr="00547F64">
        <w:rPr>
          <w:rtl/>
          <w:lang w:bidi="ar"/>
        </w:rPr>
        <w:t xml:space="preserve"> نسخة فقط قد طبعت بالفعل</w:t>
      </w:r>
      <w:r>
        <w:rPr>
          <w:vertAlign w:val="superscript"/>
          <w:rtl/>
          <w:lang w:bidi="ar"/>
        </w:rPr>
        <w:t>(</w:t>
      </w:r>
      <w:r w:rsidRPr="00DE7260">
        <w:rPr>
          <w:vertAlign w:val="superscript"/>
          <w:lang w:val="en-US" w:bidi="ar"/>
        </w:rPr>
        <w:footnoteReference w:id="4"/>
      </w:r>
      <w:r>
        <w:rPr>
          <w:vertAlign w:val="superscript"/>
          <w:rtl/>
          <w:lang w:bidi="ar"/>
        </w:rPr>
        <w:t>)</w:t>
      </w:r>
      <w:r w:rsidRPr="00547F64">
        <w:rPr>
          <w:rtl/>
          <w:lang w:bidi="ar"/>
        </w:rPr>
        <w:t>. ووفق</w:t>
      </w:r>
      <w:r w:rsidR="006531D2">
        <w:rPr>
          <w:rtl/>
          <w:lang w:bidi="ar"/>
        </w:rPr>
        <w:t xml:space="preserve">اً </w:t>
      </w:r>
      <w:r w:rsidRPr="00547F64">
        <w:rPr>
          <w:rtl/>
          <w:lang w:bidi="ar"/>
        </w:rPr>
        <w:t>للتقرير الذ</w:t>
      </w:r>
      <w:r w:rsidR="00D36EB0">
        <w:rPr>
          <w:rFonts w:hint="cs"/>
          <w:rtl/>
          <w:lang w:bidi="ar"/>
        </w:rPr>
        <w:t>ي</w:t>
      </w:r>
      <w:r w:rsidRPr="00547F64">
        <w:rPr>
          <w:rtl/>
          <w:lang w:bidi="ar"/>
        </w:rPr>
        <w:t xml:space="preserve"> أعدته إدارة السياسات الداخلية، أُقيمت الدعوى استجابة لرسالة من "المواطن السيد</w:t>
      </w:r>
      <w:r w:rsidR="00EB6BD6">
        <w:rPr>
          <w:rFonts w:hint="cs"/>
          <w:rtl/>
          <w:lang w:bidi="ar"/>
        </w:rPr>
        <w:t> </w:t>
      </w:r>
      <w:r w:rsidRPr="00547F64">
        <w:rPr>
          <w:rtl/>
          <w:lang w:bidi="ar"/>
        </w:rPr>
        <w:t>ب</w:t>
      </w:r>
      <w:r w:rsidR="004655DD">
        <w:rPr>
          <w:rFonts w:hint="cs"/>
          <w:rtl/>
          <w:lang w:bidi="ar"/>
        </w:rPr>
        <w:t>اء</w:t>
      </w:r>
      <w:r w:rsidRPr="00547F64">
        <w:rPr>
          <w:rtl/>
          <w:lang w:bidi="ar"/>
        </w:rPr>
        <w:t>"</w:t>
      </w:r>
      <w:r w:rsidRPr="00EB6BD6">
        <w:rPr>
          <w:vertAlign w:val="superscript"/>
          <w:rtl/>
          <w:lang w:bidi="ar"/>
        </w:rPr>
        <w:t>(</w:t>
      </w:r>
      <w:r w:rsidRPr="00DE7260">
        <w:rPr>
          <w:vertAlign w:val="superscript"/>
          <w:lang w:val="en-US" w:bidi="ar"/>
        </w:rPr>
        <w:footnoteReference w:id="5"/>
      </w:r>
      <w:r>
        <w:rPr>
          <w:vertAlign w:val="superscript"/>
          <w:rtl/>
          <w:lang w:bidi="ar"/>
        </w:rPr>
        <w:t>)</w:t>
      </w:r>
      <w:r w:rsidRPr="00547F64">
        <w:rPr>
          <w:rtl/>
          <w:lang w:bidi="ar"/>
        </w:rPr>
        <w:t xml:space="preserve">، الذي طلب التحقق من الأرقام المذكورة. وفي </w:t>
      </w:r>
      <w:r w:rsidRPr="00DE7260">
        <w:rPr>
          <w:rtl/>
          <w:lang w:bidi="ar"/>
        </w:rPr>
        <w:t>7</w:t>
      </w:r>
      <w:r w:rsidRPr="00547F64">
        <w:rPr>
          <w:rtl/>
          <w:lang w:bidi="ar"/>
        </w:rPr>
        <w:t xml:space="preserve"> آب/أغسطس </w:t>
      </w:r>
      <w:r w:rsidRPr="00DE7260">
        <w:rPr>
          <w:rtl/>
          <w:lang w:bidi="ar"/>
        </w:rPr>
        <w:t>2013</w:t>
      </w:r>
      <w:r w:rsidRPr="00547F64">
        <w:rPr>
          <w:rtl/>
          <w:lang w:bidi="ar"/>
        </w:rPr>
        <w:t xml:space="preserve">، أدانت المحكمة المتخصصة المشتركة بين المقاطعات في </w:t>
      </w:r>
      <w:proofErr w:type="spellStart"/>
      <w:r w:rsidRPr="00547F64">
        <w:rPr>
          <w:rtl/>
          <w:lang w:bidi="ar"/>
        </w:rPr>
        <w:t>ألماتي</w:t>
      </w:r>
      <w:proofErr w:type="spellEnd"/>
      <w:r w:rsidRPr="00547F64">
        <w:rPr>
          <w:rtl/>
          <w:lang w:bidi="ar"/>
        </w:rPr>
        <w:t xml:space="preserve"> صاحبة البلاغ الأولى بموجب المادة </w:t>
      </w:r>
      <w:r w:rsidRPr="00DE7260">
        <w:rPr>
          <w:rtl/>
          <w:lang w:bidi="ar"/>
        </w:rPr>
        <w:t>350</w:t>
      </w:r>
      <w:r>
        <w:rPr>
          <w:rtl/>
          <w:lang w:bidi="ar"/>
        </w:rPr>
        <w:t>(</w:t>
      </w:r>
      <w:r w:rsidRPr="00DE7260">
        <w:rPr>
          <w:rtl/>
          <w:lang w:bidi="ar"/>
        </w:rPr>
        <w:t>2</w:t>
      </w:r>
      <w:r w:rsidRPr="00547F64">
        <w:rPr>
          <w:rtl/>
          <w:lang w:bidi="ar"/>
        </w:rPr>
        <w:t>) من قانون الجرائم الإدارية وأمرت بوقف أنشطة</w:t>
      </w:r>
      <w:r w:rsidR="00EB6BD6">
        <w:rPr>
          <w:rtl/>
          <w:lang w:bidi="ar"/>
        </w:rPr>
        <w:t xml:space="preserve"> </w:t>
      </w:r>
      <w:proofErr w:type="spellStart"/>
      <w:r w:rsidRPr="00DE7260">
        <w:rPr>
          <w:i/>
          <w:iCs/>
          <w:rtl/>
          <w:lang w:bidi="ar"/>
        </w:rPr>
        <w:t>برافديفايا</w:t>
      </w:r>
      <w:proofErr w:type="spellEnd"/>
      <w:r w:rsidRPr="00DE7260">
        <w:rPr>
          <w:i/>
          <w:iCs/>
          <w:rtl/>
          <w:lang w:bidi="ar"/>
        </w:rPr>
        <w:t xml:space="preserve"> غازيتا</w:t>
      </w:r>
      <w:r w:rsidR="00EB6BD6">
        <w:rPr>
          <w:rtl/>
          <w:lang w:bidi="ar"/>
        </w:rPr>
        <w:t xml:space="preserve"> </w:t>
      </w:r>
      <w:r w:rsidRPr="00547F64">
        <w:rPr>
          <w:rtl/>
          <w:lang w:bidi="ar"/>
        </w:rPr>
        <w:t xml:space="preserve">لمدة ثلاثة أشهر. وأوضحت صاحبة البلاغ الثانية للقاضي أن عدد النسخ التي طُبعت يعادل العدد الذي طلبه الموزعون، وأن فرق </w:t>
      </w:r>
      <w:r w:rsidRPr="00DE7260">
        <w:rPr>
          <w:rtl/>
          <w:lang w:bidi="ar"/>
        </w:rPr>
        <w:t>000</w:t>
      </w:r>
      <w:r w:rsidRPr="00547F64">
        <w:rPr>
          <w:rtl/>
          <w:lang w:bidi="ar"/>
        </w:rPr>
        <w:t xml:space="preserve"> </w:t>
      </w:r>
      <w:r w:rsidRPr="00DE7260">
        <w:rPr>
          <w:rtl/>
          <w:lang w:bidi="ar"/>
        </w:rPr>
        <w:t>1</w:t>
      </w:r>
      <w:r w:rsidRPr="00547F64">
        <w:rPr>
          <w:rtl/>
          <w:lang w:bidi="ar"/>
        </w:rPr>
        <w:t xml:space="preserve"> نسخة لم يتسبب </w:t>
      </w:r>
      <w:r w:rsidRPr="00547F64">
        <w:rPr>
          <w:rtl/>
          <w:lang w:bidi="ar"/>
        </w:rPr>
        <w:lastRenderedPageBreak/>
        <w:t>في ضرر للقراء أو للحكومة، وأن الصحيفة لا تتضمن إعلانات أو تسعى إلى تحقيق أي مصلحة تجارية. وادعت صاحبة البلاغ الثانية أن السيد ب. لم يكن في وضع يسمح له بمعرفة العدد الحقيقي للنسخ المنتجة. وطلبت صاحبتا البلاغ إلى المحكمة استدعاء السيد ب. كشاهد، لكن هذا الطلب رُفض. ولم</w:t>
      </w:r>
      <w:r w:rsidR="006531D2">
        <w:rPr>
          <w:rFonts w:hint="cs"/>
          <w:rtl/>
          <w:lang w:bidi="ar"/>
        </w:rPr>
        <w:t> </w:t>
      </w:r>
      <w:r w:rsidRPr="00547F64">
        <w:rPr>
          <w:rtl/>
          <w:lang w:bidi="ar"/>
        </w:rPr>
        <w:t>يتسن تحديد هوية السيد ب. لأن شكواه لم تتضمن تفاصيل الاتصال به.</w:t>
      </w:r>
    </w:p>
    <w:p w14:paraId="2A5A4DD6" w14:textId="4B99C609" w:rsidR="00E74FBF" w:rsidRPr="00812073" w:rsidRDefault="00E74FBF" w:rsidP="00E74FBF">
      <w:pPr>
        <w:pStyle w:val="SingleTxtGA"/>
        <w:rPr>
          <w:spacing w:val="-2"/>
        </w:rPr>
      </w:pPr>
      <w:r w:rsidRPr="00DE7260">
        <w:rPr>
          <w:rtl/>
          <w:lang w:bidi="ar"/>
        </w:rPr>
        <w:t>2</w:t>
      </w:r>
      <w:r w:rsidRPr="00547F64">
        <w:rPr>
          <w:rtl/>
          <w:lang w:bidi="ar"/>
        </w:rPr>
        <w:t>-</w:t>
      </w:r>
      <w:r w:rsidRPr="00DE7260">
        <w:rPr>
          <w:rtl/>
          <w:lang w:bidi="ar"/>
        </w:rPr>
        <w:t>4</w:t>
      </w:r>
      <w:r w:rsidR="00EB6BD6">
        <w:rPr>
          <w:rtl/>
          <w:lang w:bidi="ar"/>
        </w:rPr>
        <w:tab/>
      </w:r>
      <w:r w:rsidRPr="00812073">
        <w:rPr>
          <w:spacing w:val="-2"/>
          <w:rtl/>
          <w:lang w:bidi="ar"/>
        </w:rPr>
        <w:t xml:space="preserve">وفي </w:t>
      </w:r>
      <w:r w:rsidRPr="00DE7260">
        <w:rPr>
          <w:spacing w:val="-2"/>
          <w:rtl/>
          <w:lang w:bidi="ar"/>
        </w:rPr>
        <w:t>14</w:t>
      </w:r>
      <w:r w:rsidRPr="00812073">
        <w:rPr>
          <w:spacing w:val="-2"/>
          <w:rtl/>
          <w:lang w:bidi="ar"/>
        </w:rPr>
        <w:t xml:space="preserve"> آب/أغسطس </w:t>
      </w:r>
      <w:r w:rsidRPr="00DE7260">
        <w:rPr>
          <w:spacing w:val="-2"/>
          <w:rtl/>
          <w:lang w:bidi="ar"/>
        </w:rPr>
        <w:t>2013</w:t>
      </w:r>
      <w:r w:rsidRPr="00812073">
        <w:rPr>
          <w:spacing w:val="-2"/>
          <w:rtl/>
          <w:lang w:bidi="ar"/>
        </w:rPr>
        <w:t>، استأنفت صاحبة البلاغ الأولى القرار. وادعت أن المحكمة قدمت تفسير</w:t>
      </w:r>
      <w:r w:rsidR="006531D2" w:rsidRPr="00812073">
        <w:rPr>
          <w:spacing w:val="-2"/>
          <w:rtl/>
          <w:lang w:bidi="ar"/>
        </w:rPr>
        <w:t xml:space="preserve">اً </w:t>
      </w:r>
      <w:r w:rsidRPr="00812073">
        <w:rPr>
          <w:spacing w:val="-2"/>
          <w:rtl/>
          <w:lang w:bidi="ar"/>
        </w:rPr>
        <w:t>فضفاض</w:t>
      </w:r>
      <w:r w:rsidR="006531D2" w:rsidRPr="00812073">
        <w:rPr>
          <w:spacing w:val="-2"/>
          <w:rtl/>
          <w:lang w:bidi="ar"/>
        </w:rPr>
        <w:t xml:space="preserve">اً </w:t>
      </w:r>
      <w:r w:rsidRPr="00812073">
        <w:rPr>
          <w:spacing w:val="-2"/>
          <w:rtl/>
          <w:lang w:bidi="ar"/>
        </w:rPr>
        <w:t xml:space="preserve">للمادة </w:t>
      </w:r>
      <w:r w:rsidRPr="00DE7260">
        <w:rPr>
          <w:spacing w:val="-2"/>
          <w:rtl/>
          <w:lang w:bidi="ar"/>
        </w:rPr>
        <w:t>350</w:t>
      </w:r>
      <w:r w:rsidRPr="00812073">
        <w:rPr>
          <w:spacing w:val="-2"/>
          <w:rtl/>
          <w:lang w:bidi="ar"/>
        </w:rPr>
        <w:t xml:space="preserve"> من قانون الجرائم الإدارية، وهو ما لا ينطبق، حسب قولها، على وسائط الإعلام المطبوعة. وادعت أن تفتيش الصحيفة الذي أنجزه مكتب رئيس بلدية </w:t>
      </w:r>
      <w:proofErr w:type="spellStart"/>
      <w:r w:rsidRPr="00812073">
        <w:rPr>
          <w:spacing w:val="-2"/>
          <w:rtl/>
          <w:lang w:bidi="ar"/>
        </w:rPr>
        <w:t>ألماتي</w:t>
      </w:r>
      <w:proofErr w:type="spellEnd"/>
      <w:r w:rsidRPr="00812073">
        <w:rPr>
          <w:spacing w:val="-2"/>
          <w:rtl/>
          <w:lang w:bidi="ar"/>
        </w:rPr>
        <w:t xml:space="preserve"> كان غير قانوني لأنه استند إلى شكوى مغفلة. وفي </w:t>
      </w:r>
      <w:r w:rsidRPr="00DE7260">
        <w:rPr>
          <w:spacing w:val="-2"/>
          <w:rtl/>
          <w:lang w:bidi="ar"/>
        </w:rPr>
        <w:t>22</w:t>
      </w:r>
      <w:r w:rsidRPr="00812073">
        <w:rPr>
          <w:spacing w:val="-2"/>
          <w:rtl/>
          <w:lang w:bidi="ar"/>
        </w:rPr>
        <w:t xml:space="preserve"> آب/أغسطس </w:t>
      </w:r>
      <w:r w:rsidRPr="00DE7260">
        <w:rPr>
          <w:spacing w:val="-2"/>
          <w:rtl/>
          <w:lang w:bidi="ar"/>
        </w:rPr>
        <w:t>2013</w:t>
      </w:r>
      <w:r w:rsidRPr="00812073">
        <w:rPr>
          <w:spacing w:val="-2"/>
          <w:rtl/>
          <w:lang w:bidi="ar"/>
        </w:rPr>
        <w:t xml:space="preserve">، أيدت هيئة الاستئناف القضائية التابعة لمحكمة مدينة </w:t>
      </w:r>
      <w:proofErr w:type="spellStart"/>
      <w:r w:rsidRPr="00812073">
        <w:rPr>
          <w:spacing w:val="-2"/>
          <w:rtl/>
          <w:lang w:bidi="ar"/>
        </w:rPr>
        <w:t>ألماتي</w:t>
      </w:r>
      <w:proofErr w:type="spellEnd"/>
      <w:r w:rsidRPr="00812073">
        <w:rPr>
          <w:spacing w:val="-2"/>
          <w:rtl/>
          <w:lang w:bidi="ar"/>
        </w:rPr>
        <w:t xml:space="preserve"> قرار المحكمة الابتدائية. وبدل</w:t>
      </w:r>
      <w:r w:rsidR="006531D2" w:rsidRPr="00812073">
        <w:rPr>
          <w:spacing w:val="-2"/>
          <w:rtl/>
          <w:lang w:bidi="ar"/>
        </w:rPr>
        <w:t xml:space="preserve">اً </w:t>
      </w:r>
      <w:r w:rsidRPr="00812073">
        <w:rPr>
          <w:spacing w:val="-2"/>
          <w:rtl/>
          <w:lang w:bidi="ar"/>
        </w:rPr>
        <w:t>من تقييم الانتهاكات المزعومة التي اشتكت منها صاحبة البلاغ الأولى، ذكرت المحكمة أن النتائج التي توصلت إليها محكمة الدرجة الأولى تتوافق مع الظروف الفعلية للقضية وتستند إلى أدلة بُحثت في جلسة المحاكمة. وتدعي صاحبة البلاغ الأولى أن جلسة محكمة الاستئناف عُقدت في غيابها لأن الاستدعاء تضمن عنوان</w:t>
      </w:r>
      <w:r w:rsidR="006531D2" w:rsidRPr="00812073">
        <w:rPr>
          <w:spacing w:val="-2"/>
          <w:rtl/>
          <w:lang w:bidi="ar"/>
        </w:rPr>
        <w:t xml:space="preserve">اً </w:t>
      </w:r>
      <w:r w:rsidRPr="00812073">
        <w:rPr>
          <w:spacing w:val="-2"/>
          <w:rtl/>
          <w:lang w:bidi="ar"/>
        </w:rPr>
        <w:t xml:space="preserve">لا علم لها به. وفي شباط/فبراير </w:t>
      </w:r>
      <w:r w:rsidRPr="00DE7260">
        <w:rPr>
          <w:spacing w:val="-2"/>
          <w:rtl/>
          <w:lang w:bidi="ar"/>
        </w:rPr>
        <w:t>2014</w:t>
      </w:r>
      <w:r w:rsidRPr="00812073">
        <w:rPr>
          <w:spacing w:val="-2"/>
          <w:rtl/>
          <w:lang w:bidi="ar"/>
        </w:rPr>
        <w:t>، قدمت صاحبة البلاغ الثانية طلب</w:t>
      </w:r>
      <w:r w:rsidR="006531D2" w:rsidRPr="00812073">
        <w:rPr>
          <w:spacing w:val="-2"/>
          <w:rtl/>
          <w:lang w:bidi="ar"/>
        </w:rPr>
        <w:t xml:space="preserve">اً </w:t>
      </w:r>
      <w:r w:rsidRPr="00812073">
        <w:rPr>
          <w:spacing w:val="-2"/>
          <w:rtl/>
          <w:lang w:bidi="ar"/>
        </w:rPr>
        <w:t xml:space="preserve">إلى مكتب النيابة العامة في </w:t>
      </w:r>
      <w:proofErr w:type="spellStart"/>
      <w:r w:rsidRPr="00812073">
        <w:rPr>
          <w:spacing w:val="-2"/>
          <w:rtl/>
          <w:lang w:bidi="ar"/>
        </w:rPr>
        <w:t>ألماتي</w:t>
      </w:r>
      <w:proofErr w:type="spellEnd"/>
      <w:r w:rsidRPr="00812073">
        <w:rPr>
          <w:spacing w:val="-2"/>
          <w:rtl/>
          <w:lang w:bidi="ar"/>
        </w:rPr>
        <w:t xml:space="preserve"> لإجراء مراجعة قضائية رقابية. وقالت إن تفتيش الصحيفة قد انتهك للقانون المحلي وأن مكتب رئيس البلدية</w:t>
      </w:r>
      <w:r w:rsidRPr="00DE7260">
        <w:rPr>
          <w:i/>
          <w:iCs/>
          <w:spacing w:val="-2"/>
          <w:rtl/>
          <w:lang w:bidi="ar"/>
        </w:rPr>
        <w:t xml:space="preserve"> </w:t>
      </w:r>
      <w:r w:rsidRPr="00812073">
        <w:rPr>
          <w:spacing w:val="-2"/>
          <w:rtl/>
          <w:lang w:bidi="ar"/>
        </w:rPr>
        <w:t>أخل بمبدأ التحذير السابق للعقوبة عندما طبق العقوبة القصوى (تعليق الصحيفة) بدل</w:t>
      </w:r>
      <w:r w:rsidR="006531D2" w:rsidRPr="00812073">
        <w:rPr>
          <w:spacing w:val="-2"/>
          <w:rtl/>
          <w:lang w:bidi="ar"/>
        </w:rPr>
        <w:t xml:space="preserve">اً </w:t>
      </w:r>
      <w:r w:rsidRPr="00812073">
        <w:rPr>
          <w:spacing w:val="-2"/>
          <w:rtl/>
          <w:lang w:bidi="ar"/>
        </w:rPr>
        <w:t>من إصدار تحذير. وادعت أيض</w:t>
      </w:r>
      <w:r w:rsidR="006531D2" w:rsidRPr="00812073">
        <w:rPr>
          <w:spacing w:val="-2"/>
          <w:rtl/>
          <w:lang w:bidi="ar"/>
        </w:rPr>
        <w:t xml:space="preserve">اً </w:t>
      </w:r>
      <w:r w:rsidRPr="00812073">
        <w:rPr>
          <w:spacing w:val="-2"/>
          <w:rtl/>
          <w:lang w:bidi="ar"/>
        </w:rPr>
        <w:t xml:space="preserve">انتهاك حقها في حرية التعبير بموجب المادة </w:t>
      </w:r>
      <w:r w:rsidRPr="00DE7260">
        <w:rPr>
          <w:spacing w:val="-2"/>
          <w:rtl/>
          <w:lang w:bidi="ar"/>
        </w:rPr>
        <w:t>19</w:t>
      </w:r>
      <w:r w:rsidRPr="00812073">
        <w:rPr>
          <w:spacing w:val="-2"/>
          <w:rtl/>
          <w:lang w:bidi="ar"/>
        </w:rPr>
        <w:t xml:space="preserve"> من العهد. وفي </w:t>
      </w:r>
      <w:r w:rsidRPr="00DE7260">
        <w:rPr>
          <w:spacing w:val="-2"/>
          <w:rtl/>
          <w:lang w:bidi="ar"/>
        </w:rPr>
        <w:t>26</w:t>
      </w:r>
      <w:r w:rsidRPr="00812073">
        <w:rPr>
          <w:spacing w:val="-2"/>
          <w:rtl/>
          <w:lang w:bidi="ar"/>
        </w:rPr>
        <w:t xml:space="preserve"> أيار/مايو </w:t>
      </w:r>
      <w:r w:rsidRPr="00DE7260">
        <w:rPr>
          <w:spacing w:val="-2"/>
          <w:rtl/>
          <w:lang w:bidi="ar"/>
        </w:rPr>
        <w:t>2014</w:t>
      </w:r>
      <w:r w:rsidRPr="00812073">
        <w:rPr>
          <w:spacing w:val="-2"/>
          <w:rtl/>
          <w:lang w:bidi="ar"/>
        </w:rPr>
        <w:t xml:space="preserve">، رفض مكتب النيابة العامة في </w:t>
      </w:r>
      <w:proofErr w:type="spellStart"/>
      <w:r w:rsidRPr="00812073">
        <w:rPr>
          <w:spacing w:val="-2"/>
          <w:rtl/>
          <w:lang w:bidi="ar"/>
        </w:rPr>
        <w:t>ألماتي</w:t>
      </w:r>
      <w:proofErr w:type="spellEnd"/>
      <w:r w:rsidRPr="00812073">
        <w:rPr>
          <w:spacing w:val="-2"/>
          <w:rtl/>
          <w:lang w:bidi="ar"/>
        </w:rPr>
        <w:t xml:space="preserve"> هذا الادعاء. وفي </w:t>
      </w:r>
      <w:r w:rsidRPr="00DE7260">
        <w:rPr>
          <w:spacing w:val="-2"/>
          <w:rtl/>
          <w:lang w:bidi="ar"/>
        </w:rPr>
        <w:t>28</w:t>
      </w:r>
      <w:r w:rsidRPr="00812073">
        <w:rPr>
          <w:spacing w:val="-2"/>
          <w:rtl/>
          <w:lang w:bidi="ar"/>
        </w:rPr>
        <w:t xml:space="preserve"> أيار/مايو </w:t>
      </w:r>
      <w:r w:rsidRPr="00DE7260">
        <w:rPr>
          <w:spacing w:val="-2"/>
          <w:rtl/>
          <w:lang w:bidi="ar"/>
        </w:rPr>
        <w:t>2014</w:t>
      </w:r>
      <w:r w:rsidRPr="00812073">
        <w:rPr>
          <w:spacing w:val="-2"/>
          <w:rtl/>
          <w:lang w:bidi="ar"/>
        </w:rPr>
        <w:t>، قدمت صاحبة البلاغ الأولى التماس</w:t>
      </w:r>
      <w:r w:rsidR="006531D2" w:rsidRPr="00812073">
        <w:rPr>
          <w:spacing w:val="-2"/>
          <w:rtl/>
          <w:lang w:bidi="ar"/>
        </w:rPr>
        <w:t xml:space="preserve">اً </w:t>
      </w:r>
      <w:r w:rsidRPr="00812073">
        <w:rPr>
          <w:spacing w:val="-2"/>
          <w:rtl/>
          <w:lang w:bidi="ar"/>
        </w:rPr>
        <w:t>إلى مكتب المدعي العام ادعت فيه انتهاك حقها في محاكمة عادلة وفي حرية التعبير بموجب المادتين</w:t>
      </w:r>
      <w:r w:rsidR="00EB6BD6" w:rsidRPr="00812073">
        <w:rPr>
          <w:rFonts w:hint="cs"/>
          <w:spacing w:val="-2"/>
          <w:rtl/>
          <w:lang w:bidi="ar"/>
        </w:rPr>
        <w:t> </w:t>
      </w:r>
      <w:r w:rsidRPr="00DE7260">
        <w:rPr>
          <w:spacing w:val="-2"/>
          <w:rtl/>
          <w:lang w:bidi="ar"/>
        </w:rPr>
        <w:t>14</w:t>
      </w:r>
      <w:r w:rsidRPr="00812073">
        <w:rPr>
          <w:spacing w:val="-2"/>
          <w:rtl/>
          <w:lang w:bidi="ar"/>
        </w:rPr>
        <w:t xml:space="preserve"> و</w:t>
      </w:r>
      <w:r w:rsidRPr="00DE7260">
        <w:rPr>
          <w:spacing w:val="-2"/>
          <w:rtl/>
          <w:lang w:bidi="ar"/>
        </w:rPr>
        <w:t>19</w:t>
      </w:r>
      <w:r w:rsidRPr="00812073">
        <w:rPr>
          <w:spacing w:val="-2"/>
          <w:rtl/>
          <w:lang w:bidi="ar"/>
        </w:rPr>
        <w:t xml:space="preserve"> من العهد، وقالت إن تعليق نشاط </w:t>
      </w:r>
      <w:proofErr w:type="spellStart"/>
      <w:r w:rsidRPr="00DE7260">
        <w:rPr>
          <w:i/>
          <w:iCs/>
          <w:spacing w:val="-2"/>
          <w:rtl/>
          <w:lang w:bidi="ar"/>
        </w:rPr>
        <w:t>برافديفايا</w:t>
      </w:r>
      <w:proofErr w:type="spellEnd"/>
      <w:r w:rsidRPr="00DE7260">
        <w:rPr>
          <w:i/>
          <w:iCs/>
          <w:spacing w:val="-2"/>
          <w:rtl/>
          <w:lang w:bidi="ar"/>
        </w:rPr>
        <w:t xml:space="preserve"> غازيتا</w:t>
      </w:r>
      <w:r w:rsidR="00EB6BD6" w:rsidRPr="00812073">
        <w:rPr>
          <w:spacing w:val="-2"/>
          <w:rtl/>
          <w:lang w:bidi="ar"/>
        </w:rPr>
        <w:t xml:space="preserve"> </w:t>
      </w:r>
      <w:r w:rsidRPr="00812073">
        <w:rPr>
          <w:spacing w:val="-2"/>
          <w:rtl/>
          <w:lang w:bidi="ar"/>
        </w:rPr>
        <w:t xml:space="preserve">شكل من أشكال الضغط السياسي على وسائط الإعلام المستقلة. وفي رسالة مؤرخة </w:t>
      </w:r>
      <w:r w:rsidRPr="00DE7260">
        <w:rPr>
          <w:spacing w:val="-2"/>
          <w:rtl/>
          <w:lang w:bidi="ar"/>
        </w:rPr>
        <w:t>14</w:t>
      </w:r>
      <w:r w:rsidRPr="00812073">
        <w:rPr>
          <w:spacing w:val="-2"/>
          <w:rtl/>
          <w:lang w:bidi="ar"/>
        </w:rPr>
        <w:t xml:space="preserve"> </w:t>
      </w:r>
      <w:r w:rsidR="00EB6BD6" w:rsidRPr="00812073">
        <w:rPr>
          <w:rFonts w:hint="cs"/>
          <w:spacing w:val="-2"/>
          <w:rtl/>
          <w:lang w:bidi="ar"/>
        </w:rPr>
        <w:t>تموز/يوليه</w:t>
      </w:r>
      <w:r w:rsidRPr="00812073">
        <w:rPr>
          <w:spacing w:val="-2"/>
          <w:rtl/>
          <w:lang w:bidi="ar"/>
        </w:rPr>
        <w:t xml:space="preserve"> </w:t>
      </w:r>
      <w:r w:rsidRPr="00DE7260">
        <w:rPr>
          <w:spacing w:val="-2"/>
          <w:rtl/>
          <w:lang w:bidi="ar"/>
        </w:rPr>
        <w:t>2014</w:t>
      </w:r>
      <w:r w:rsidRPr="00812073">
        <w:rPr>
          <w:spacing w:val="-2"/>
          <w:rtl/>
          <w:lang w:bidi="ar"/>
        </w:rPr>
        <w:t>، رفض مكتب المدعي العام التماسها. وتطرقت الرسالة إلى</w:t>
      </w:r>
      <w:r w:rsidR="004655DD" w:rsidRPr="00812073">
        <w:rPr>
          <w:rFonts w:hint="cs"/>
          <w:spacing w:val="-2"/>
          <w:rtl/>
          <w:lang w:bidi="ar"/>
        </w:rPr>
        <w:t> </w:t>
      </w:r>
      <w:r w:rsidRPr="00812073">
        <w:rPr>
          <w:spacing w:val="-2"/>
          <w:rtl/>
          <w:lang w:bidi="ar"/>
        </w:rPr>
        <w:t xml:space="preserve">إمكانية تقييد الحق في حرية التعبير بموجب المادة </w:t>
      </w:r>
      <w:r w:rsidRPr="00DE7260">
        <w:rPr>
          <w:spacing w:val="-2"/>
          <w:rtl/>
          <w:lang w:bidi="ar"/>
        </w:rPr>
        <w:t>19</w:t>
      </w:r>
      <w:r w:rsidRPr="00812073">
        <w:rPr>
          <w:spacing w:val="-2"/>
          <w:rtl/>
          <w:lang w:bidi="ar"/>
        </w:rPr>
        <w:t>(</w:t>
      </w:r>
      <w:r w:rsidRPr="00DE7260">
        <w:rPr>
          <w:spacing w:val="-2"/>
          <w:rtl/>
          <w:lang w:bidi="ar"/>
        </w:rPr>
        <w:t>3</w:t>
      </w:r>
      <w:r w:rsidRPr="00812073">
        <w:rPr>
          <w:spacing w:val="-2"/>
          <w:rtl/>
          <w:lang w:bidi="ar"/>
        </w:rPr>
        <w:t>) من العهد، لكنها لم تقيم ضرورة القيود أو</w:t>
      </w:r>
      <w:r w:rsidR="004655DD" w:rsidRPr="00812073">
        <w:rPr>
          <w:rFonts w:hint="cs"/>
          <w:spacing w:val="-2"/>
          <w:rtl/>
          <w:lang w:bidi="ar"/>
        </w:rPr>
        <w:t> </w:t>
      </w:r>
      <w:r w:rsidRPr="00812073">
        <w:rPr>
          <w:spacing w:val="-2"/>
          <w:rtl/>
          <w:lang w:bidi="ar"/>
        </w:rPr>
        <w:t>تناسبها.</w:t>
      </w:r>
    </w:p>
    <w:p w14:paraId="6568DFA2" w14:textId="491DFE52" w:rsidR="00E74FBF" w:rsidRPr="00547F64" w:rsidRDefault="00E74FBF" w:rsidP="00E74FBF">
      <w:pPr>
        <w:pStyle w:val="SingleTxtGA"/>
      </w:pPr>
      <w:r w:rsidRPr="00DE7260">
        <w:rPr>
          <w:rtl/>
          <w:lang w:bidi="ar"/>
        </w:rPr>
        <w:t>2</w:t>
      </w:r>
      <w:r w:rsidRPr="00547F64">
        <w:rPr>
          <w:rtl/>
          <w:lang w:bidi="ar"/>
        </w:rPr>
        <w:t>-</w:t>
      </w:r>
      <w:r w:rsidRPr="00DE7260">
        <w:rPr>
          <w:rtl/>
          <w:lang w:bidi="ar"/>
        </w:rPr>
        <w:t>5</w:t>
      </w:r>
      <w:r w:rsidR="00EB6BD6">
        <w:rPr>
          <w:rtl/>
          <w:lang w:bidi="ar"/>
        </w:rPr>
        <w:tab/>
      </w:r>
      <w:r w:rsidRPr="00547F64">
        <w:rPr>
          <w:rtl/>
          <w:lang w:bidi="ar"/>
        </w:rPr>
        <w:t xml:space="preserve">وفي </w:t>
      </w:r>
      <w:r w:rsidRPr="00DE7260">
        <w:rPr>
          <w:rtl/>
          <w:lang w:bidi="ar"/>
        </w:rPr>
        <w:t>20</w:t>
      </w:r>
      <w:r w:rsidRPr="00547F64">
        <w:rPr>
          <w:rtl/>
          <w:lang w:bidi="ar"/>
        </w:rPr>
        <w:t xml:space="preserve"> تشرين الثاني/نوفمبر </w:t>
      </w:r>
      <w:r w:rsidRPr="00DE7260">
        <w:rPr>
          <w:rtl/>
          <w:lang w:bidi="ar"/>
        </w:rPr>
        <w:t>2013</w:t>
      </w:r>
      <w:r w:rsidRPr="00547F64">
        <w:rPr>
          <w:rtl/>
          <w:lang w:bidi="ar"/>
        </w:rPr>
        <w:t xml:space="preserve">، أقامت إدارة السياسات الداخلية في </w:t>
      </w:r>
      <w:proofErr w:type="spellStart"/>
      <w:r w:rsidRPr="00547F64">
        <w:rPr>
          <w:rtl/>
          <w:lang w:bidi="ar"/>
        </w:rPr>
        <w:t>ألماتي</w:t>
      </w:r>
      <w:proofErr w:type="spellEnd"/>
      <w:r w:rsidRPr="00547F64">
        <w:rPr>
          <w:rtl/>
          <w:lang w:bidi="ar"/>
        </w:rPr>
        <w:t xml:space="preserve"> دعويين إداريتين ضد صاحبة البلاغ الأولى. ففي الدعوى الأولى، اتُّهمت هذه الأخيرة، بموجب المادة </w:t>
      </w:r>
      <w:r w:rsidRPr="00DE7260">
        <w:rPr>
          <w:rtl/>
          <w:lang w:bidi="ar"/>
        </w:rPr>
        <w:t>342</w:t>
      </w:r>
      <w:r>
        <w:rPr>
          <w:rtl/>
          <w:lang w:bidi="ar"/>
        </w:rPr>
        <w:t>(</w:t>
      </w:r>
      <w:r w:rsidRPr="00DE7260">
        <w:rPr>
          <w:rtl/>
          <w:lang w:bidi="ar"/>
        </w:rPr>
        <w:t>1</w:t>
      </w:r>
      <w:r w:rsidRPr="00547F64">
        <w:rPr>
          <w:rtl/>
          <w:lang w:bidi="ar"/>
        </w:rPr>
        <w:t xml:space="preserve">) من قانون الجرائم الإدارية، بنشرها العدد رقم </w:t>
      </w:r>
      <w:r w:rsidRPr="00DE7260">
        <w:rPr>
          <w:rtl/>
          <w:lang w:bidi="ar"/>
        </w:rPr>
        <w:t>17</w:t>
      </w:r>
      <w:r w:rsidRPr="00547F64">
        <w:rPr>
          <w:rtl/>
          <w:lang w:bidi="ar"/>
        </w:rPr>
        <w:t xml:space="preserve"> من صحيفة </w:t>
      </w:r>
      <w:proofErr w:type="spellStart"/>
      <w:r w:rsidRPr="00DE7260">
        <w:rPr>
          <w:i/>
          <w:iCs/>
          <w:rtl/>
          <w:lang w:bidi="ar"/>
        </w:rPr>
        <w:t>برافديفايا</w:t>
      </w:r>
      <w:proofErr w:type="spellEnd"/>
      <w:r w:rsidRPr="00DE7260">
        <w:rPr>
          <w:i/>
          <w:iCs/>
          <w:rtl/>
          <w:lang w:bidi="ar"/>
        </w:rPr>
        <w:t xml:space="preserve"> غازيتا</w:t>
      </w:r>
      <w:r w:rsidRPr="00DE7260">
        <w:rPr>
          <w:rtl/>
          <w:lang w:bidi="ar"/>
        </w:rPr>
        <w:t xml:space="preserve"> في</w:t>
      </w:r>
      <w:r w:rsidRPr="00547F64">
        <w:rPr>
          <w:rtl/>
          <w:lang w:bidi="ar"/>
        </w:rPr>
        <w:t xml:space="preserve"> </w:t>
      </w:r>
      <w:r w:rsidRPr="00DE7260">
        <w:rPr>
          <w:rtl/>
          <w:lang w:bidi="ar"/>
        </w:rPr>
        <w:t>22</w:t>
      </w:r>
      <w:r w:rsidRPr="00547F64">
        <w:rPr>
          <w:rtl/>
          <w:lang w:bidi="ar"/>
        </w:rPr>
        <w:t xml:space="preserve"> تشرين الثاني/نوفمبر، </w:t>
      </w:r>
      <w:r w:rsidR="004655DD">
        <w:rPr>
          <w:rFonts w:hint="cs"/>
          <w:rtl/>
          <w:lang w:bidi="ar"/>
        </w:rPr>
        <w:t xml:space="preserve">في </w:t>
      </w:r>
      <w:r w:rsidR="004655DD" w:rsidRPr="00DE7260">
        <w:rPr>
          <w:rFonts w:hint="cs"/>
          <w:rtl/>
          <w:lang w:bidi="ar"/>
        </w:rPr>
        <w:t>20</w:t>
      </w:r>
      <w:r w:rsidR="004655DD">
        <w:rPr>
          <w:rFonts w:hint="cs"/>
          <w:rtl/>
          <w:lang w:bidi="ar"/>
        </w:rPr>
        <w:t xml:space="preserve"> تشرين الثاني/نوفمبر، </w:t>
      </w:r>
      <w:r w:rsidRPr="00547F64">
        <w:rPr>
          <w:rtl/>
          <w:lang w:bidi="ar"/>
        </w:rPr>
        <w:t xml:space="preserve">أي قبل يومين من انتهاء فترة تعليق الصحيفة لمدة الثلاثة أشهر التي أمرت بها المحكمة في الإجراءات السابقة. أما الدعوى الثانية فأُقيمت بموجب المادة </w:t>
      </w:r>
      <w:r w:rsidRPr="00DE7260">
        <w:rPr>
          <w:rtl/>
          <w:lang w:bidi="ar"/>
        </w:rPr>
        <w:t>350</w:t>
      </w:r>
      <w:r>
        <w:rPr>
          <w:rtl/>
          <w:lang w:bidi="ar"/>
        </w:rPr>
        <w:t>(</w:t>
      </w:r>
      <w:r w:rsidRPr="00DE7260">
        <w:rPr>
          <w:rtl/>
          <w:lang w:bidi="ar"/>
        </w:rPr>
        <w:t>1</w:t>
      </w:r>
      <w:r w:rsidRPr="00547F64">
        <w:rPr>
          <w:rtl/>
          <w:lang w:bidi="ar"/>
        </w:rPr>
        <w:t xml:space="preserve">) من قانون الجرائم الإدارية واستندت إلى عدم وجود إشارة واضحة </w:t>
      </w:r>
      <w:r w:rsidR="007308F6">
        <w:rPr>
          <w:rFonts w:hint="cs"/>
          <w:rtl/>
          <w:lang w:bidi="ar"/>
        </w:rPr>
        <w:t xml:space="preserve">للإصدار رقم </w:t>
      </w:r>
      <w:r w:rsidR="007308F6" w:rsidRPr="00DE7260">
        <w:rPr>
          <w:rFonts w:hint="cs"/>
          <w:rtl/>
          <w:lang w:bidi="ar"/>
        </w:rPr>
        <w:t>17</w:t>
      </w:r>
      <w:r w:rsidR="007308F6">
        <w:rPr>
          <w:rFonts w:hint="cs"/>
          <w:rtl/>
          <w:lang w:bidi="ar"/>
        </w:rPr>
        <w:t xml:space="preserve"> </w:t>
      </w:r>
      <w:r w:rsidRPr="00547F64">
        <w:rPr>
          <w:rtl/>
          <w:lang w:bidi="ar"/>
        </w:rPr>
        <w:t xml:space="preserve">في الصحيفة إلى عنوانها ورقم شهادة تسجيلها، حسبما تقضي به المادة </w:t>
      </w:r>
      <w:r w:rsidRPr="00DE7260">
        <w:rPr>
          <w:rtl/>
          <w:lang w:bidi="ar"/>
        </w:rPr>
        <w:t>15</w:t>
      </w:r>
      <w:r>
        <w:rPr>
          <w:rtl/>
          <w:lang w:bidi="ar"/>
        </w:rPr>
        <w:t>(</w:t>
      </w:r>
      <w:r w:rsidRPr="00DE7260">
        <w:rPr>
          <w:rtl/>
          <w:lang w:bidi="ar"/>
        </w:rPr>
        <w:t>1</w:t>
      </w:r>
      <w:r w:rsidRPr="00547F64">
        <w:rPr>
          <w:rtl/>
          <w:lang w:bidi="ar"/>
        </w:rPr>
        <w:t>) من قانون الإعلام.</w:t>
      </w:r>
    </w:p>
    <w:p w14:paraId="03584257" w14:textId="3B325231" w:rsidR="00E74FBF" w:rsidRPr="00547F64" w:rsidRDefault="00E74FBF" w:rsidP="00E74FBF">
      <w:pPr>
        <w:pStyle w:val="SingleTxtGA"/>
        <w:rPr>
          <w:lang w:bidi="ar"/>
        </w:rPr>
      </w:pPr>
      <w:r w:rsidRPr="00DE7260">
        <w:rPr>
          <w:rtl/>
          <w:lang w:bidi="ar"/>
        </w:rPr>
        <w:t>2</w:t>
      </w:r>
      <w:r w:rsidRPr="00547F64">
        <w:rPr>
          <w:rtl/>
          <w:lang w:bidi="ar"/>
        </w:rPr>
        <w:t>-</w:t>
      </w:r>
      <w:r w:rsidRPr="00DE7260">
        <w:rPr>
          <w:rtl/>
          <w:lang w:bidi="ar"/>
        </w:rPr>
        <w:t>6</w:t>
      </w:r>
      <w:r w:rsidR="00EB6BD6">
        <w:rPr>
          <w:rtl/>
          <w:lang w:bidi="ar"/>
        </w:rPr>
        <w:tab/>
      </w:r>
      <w:r w:rsidRPr="00547F64">
        <w:rPr>
          <w:rtl/>
          <w:lang w:bidi="ar"/>
        </w:rPr>
        <w:t xml:space="preserve">وفي </w:t>
      </w:r>
      <w:r w:rsidRPr="00DE7260">
        <w:rPr>
          <w:rtl/>
          <w:lang w:bidi="ar"/>
        </w:rPr>
        <w:t>5</w:t>
      </w:r>
      <w:r w:rsidRPr="00547F64">
        <w:rPr>
          <w:rtl/>
          <w:lang w:bidi="ar"/>
        </w:rPr>
        <w:t xml:space="preserve"> كانون الأول/ديسمبر </w:t>
      </w:r>
      <w:r w:rsidRPr="00DE7260">
        <w:rPr>
          <w:rtl/>
          <w:lang w:bidi="ar"/>
        </w:rPr>
        <w:t>2013</w:t>
      </w:r>
      <w:r w:rsidRPr="00547F64">
        <w:rPr>
          <w:rtl/>
          <w:lang w:bidi="ar"/>
        </w:rPr>
        <w:t xml:space="preserve">، اعتمدت المحكمة الإدارية المتخصصة المشتركة بين المقاطعات في </w:t>
      </w:r>
      <w:proofErr w:type="spellStart"/>
      <w:r w:rsidRPr="00547F64">
        <w:rPr>
          <w:rtl/>
          <w:lang w:bidi="ar"/>
        </w:rPr>
        <w:t>ألماتي</w:t>
      </w:r>
      <w:proofErr w:type="spellEnd"/>
      <w:r w:rsidRPr="00547F64">
        <w:rPr>
          <w:rtl/>
          <w:lang w:bidi="ar"/>
        </w:rPr>
        <w:t xml:space="preserve"> قرارين. ففي القضية الأولى، أدينت صاحبة البلاغ الأولى بموجب المادة </w:t>
      </w:r>
      <w:r w:rsidRPr="00DE7260">
        <w:rPr>
          <w:rtl/>
          <w:lang w:bidi="ar"/>
        </w:rPr>
        <w:t>342</w:t>
      </w:r>
      <w:r>
        <w:rPr>
          <w:rtl/>
          <w:lang w:bidi="ar"/>
        </w:rPr>
        <w:t>(</w:t>
      </w:r>
      <w:r w:rsidRPr="00DE7260">
        <w:rPr>
          <w:rtl/>
          <w:lang w:bidi="ar"/>
        </w:rPr>
        <w:t>1</w:t>
      </w:r>
      <w:r w:rsidRPr="00547F64">
        <w:rPr>
          <w:rtl/>
          <w:lang w:bidi="ar"/>
        </w:rPr>
        <w:t xml:space="preserve">) من قانون الجرائم الإدارية بتوزيع منتج إعلامي بعد تعليق نشره. وفرضت المحكمة على صاحبة البلاغ الأولى غرامة تعادل </w:t>
      </w:r>
      <w:r w:rsidRPr="00DE7260">
        <w:rPr>
          <w:rtl/>
          <w:lang w:bidi="ar"/>
        </w:rPr>
        <w:t>50</w:t>
      </w:r>
      <w:r w:rsidRPr="00547F64">
        <w:rPr>
          <w:rtl/>
          <w:lang w:bidi="ar"/>
        </w:rPr>
        <w:t xml:space="preserve"> مثل</w:t>
      </w:r>
      <w:r w:rsidR="006531D2">
        <w:rPr>
          <w:rtl/>
          <w:lang w:bidi="ar"/>
        </w:rPr>
        <w:t xml:space="preserve">اً </w:t>
      </w:r>
      <w:r w:rsidRPr="00547F64">
        <w:rPr>
          <w:rtl/>
          <w:lang w:bidi="ar"/>
        </w:rPr>
        <w:t xml:space="preserve">لقيمة مؤشر الحساب الشهري، أو </w:t>
      </w:r>
      <w:r w:rsidRPr="00DE7260">
        <w:rPr>
          <w:rtl/>
          <w:lang w:bidi="ar"/>
        </w:rPr>
        <w:t>550</w:t>
      </w:r>
      <w:r w:rsidRPr="00547F64">
        <w:rPr>
          <w:rtl/>
          <w:lang w:bidi="ar"/>
        </w:rPr>
        <w:t xml:space="preserve"> </w:t>
      </w:r>
      <w:r w:rsidRPr="00DE7260">
        <w:rPr>
          <w:rtl/>
          <w:lang w:bidi="ar"/>
        </w:rPr>
        <w:t>86</w:t>
      </w:r>
      <w:r w:rsidRPr="00547F64">
        <w:rPr>
          <w:rtl/>
          <w:lang w:bidi="ar"/>
        </w:rPr>
        <w:t xml:space="preserve"> تنغي</w:t>
      </w:r>
      <w:r>
        <w:rPr>
          <w:vertAlign w:val="superscript"/>
          <w:rtl/>
          <w:lang w:bidi="ar"/>
        </w:rPr>
        <w:t>(</w:t>
      </w:r>
      <w:r w:rsidRPr="00DE7260">
        <w:rPr>
          <w:vertAlign w:val="superscript"/>
          <w:lang w:val="en-US" w:bidi="ar"/>
        </w:rPr>
        <w:footnoteReference w:id="6"/>
      </w:r>
      <w:r>
        <w:rPr>
          <w:vertAlign w:val="superscript"/>
          <w:rtl/>
          <w:lang w:bidi="ar"/>
        </w:rPr>
        <w:t>)</w:t>
      </w:r>
      <w:r w:rsidRPr="00547F64">
        <w:rPr>
          <w:rtl/>
          <w:lang w:bidi="ar"/>
        </w:rPr>
        <w:t xml:space="preserve">، وأمرت بمصادرة العدد </w:t>
      </w:r>
      <w:r w:rsidRPr="007308F6">
        <w:rPr>
          <w:spacing w:val="-4"/>
          <w:rtl/>
          <w:lang w:bidi="ar"/>
        </w:rPr>
        <w:t xml:space="preserve">رقم </w:t>
      </w:r>
      <w:r w:rsidRPr="00DE7260">
        <w:rPr>
          <w:spacing w:val="-4"/>
          <w:rtl/>
          <w:lang w:bidi="ar"/>
        </w:rPr>
        <w:t>17</w:t>
      </w:r>
      <w:r w:rsidRPr="007308F6">
        <w:rPr>
          <w:spacing w:val="-4"/>
          <w:rtl/>
          <w:lang w:bidi="ar"/>
        </w:rPr>
        <w:t xml:space="preserve"> من صحيفة </w:t>
      </w:r>
      <w:proofErr w:type="spellStart"/>
      <w:r w:rsidRPr="00DE7260">
        <w:rPr>
          <w:i/>
          <w:iCs/>
          <w:spacing w:val="-4"/>
          <w:rtl/>
          <w:lang w:bidi="ar"/>
        </w:rPr>
        <w:t>برافديفايا</w:t>
      </w:r>
      <w:proofErr w:type="spellEnd"/>
      <w:r w:rsidRPr="00DE7260">
        <w:rPr>
          <w:i/>
          <w:iCs/>
          <w:spacing w:val="-4"/>
          <w:rtl/>
          <w:lang w:bidi="ar"/>
        </w:rPr>
        <w:t xml:space="preserve"> </w:t>
      </w:r>
      <w:proofErr w:type="spellStart"/>
      <w:r w:rsidRPr="00DE7260">
        <w:rPr>
          <w:i/>
          <w:iCs/>
          <w:spacing w:val="-4"/>
          <w:rtl/>
          <w:lang w:bidi="ar"/>
        </w:rPr>
        <w:t>غازيت</w:t>
      </w:r>
      <w:proofErr w:type="spellEnd"/>
      <w:r w:rsidRPr="007308F6">
        <w:rPr>
          <w:spacing w:val="-4"/>
          <w:rtl/>
          <w:lang w:bidi="ar"/>
        </w:rPr>
        <w:t>. وأشار الحكم إلى رسالة من المطبعة تفيد بطباعة الصحيفة ليلة</w:t>
      </w:r>
      <w:r w:rsidR="00EB6BD6" w:rsidRPr="007308F6">
        <w:rPr>
          <w:rFonts w:hint="cs"/>
          <w:spacing w:val="-4"/>
          <w:rtl/>
          <w:lang w:bidi="ar"/>
        </w:rPr>
        <w:t> </w:t>
      </w:r>
      <w:r w:rsidRPr="00DE7260">
        <w:rPr>
          <w:spacing w:val="-4"/>
          <w:rtl/>
          <w:lang w:bidi="ar"/>
        </w:rPr>
        <w:t>19</w:t>
      </w:r>
      <w:r w:rsidRPr="007308F6">
        <w:rPr>
          <w:spacing w:val="-4"/>
          <w:rtl/>
          <w:lang w:bidi="ar"/>
        </w:rPr>
        <w:t>-</w:t>
      </w:r>
      <w:r w:rsidRPr="00DE7260">
        <w:rPr>
          <w:spacing w:val="-4"/>
          <w:rtl/>
          <w:lang w:bidi="ar"/>
        </w:rPr>
        <w:t>20</w:t>
      </w:r>
      <w:r w:rsidRPr="007308F6">
        <w:rPr>
          <w:spacing w:val="-4"/>
          <w:rtl/>
          <w:lang w:bidi="ar"/>
        </w:rPr>
        <w:t xml:space="preserve"> تشرين الثاني/نوفمبر </w:t>
      </w:r>
      <w:r w:rsidRPr="00DE7260">
        <w:rPr>
          <w:spacing w:val="-4"/>
          <w:rtl/>
          <w:lang w:bidi="ar"/>
        </w:rPr>
        <w:t>2013</w:t>
      </w:r>
      <w:r w:rsidRPr="007308F6">
        <w:rPr>
          <w:spacing w:val="-4"/>
          <w:rtl/>
          <w:lang w:bidi="ar"/>
        </w:rPr>
        <w:t>، وإلى ملاحظات توضيحية من</w:t>
      </w:r>
      <w:r w:rsidR="00EB6BD6" w:rsidRPr="007308F6">
        <w:rPr>
          <w:spacing w:val="-4"/>
          <w:rtl/>
          <w:lang w:bidi="ar"/>
        </w:rPr>
        <w:t xml:space="preserve"> </w:t>
      </w:r>
      <w:r w:rsidRPr="007308F6">
        <w:rPr>
          <w:spacing w:val="-4"/>
          <w:rtl/>
          <w:lang w:bidi="ar"/>
        </w:rPr>
        <w:t>"القارئ المتابع السيد ب."</w:t>
      </w:r>
      <w:r w:rsidR="00EB6BD6" w:rsidRPr="007308F6">
        <w:rPr>
          <w:spacing w:val="-4"/>
          <w:rtl/>
          <w:lang w:bidi="ar"/>
        </w:rPr>
        <w:t xml:space="preserve"> </w:t>
      </w:r>
      <w:r w:rsidRPr="007308F6">
        <w:rPr>
          <w:spacing w:val="-4"/>
          <w:rtl/>
          <w:lang w:bidi="ar"/>
        </w:rPr>
        <w:t xml:space="preserve">وبائع الصحف السيد إ.، اللذين ذكرا أن العدد رقم </w:t>
      </w:r>
      <w:r w:rsidRPr="00DE7260">
        <w:rPr>
          <w:spacing w:val="-4"/>
          <w:rtl/>
          <w:lang w:bidi="ar"/>
        </w:rPr>
        <w:t>17</w:t>
      </w:r>
      <w:r w:rsidRPr="007308F6">
        <w:rPr>
          <w:spacing w:val="-4"/>
          <w:rtl/>
          <w:lang w:bidi="ar"/>
        </w:rPr>
        <w:t xml:space="preserve"> من </w:t>
      </w:r>
      <w:proofErr w:type="spellStart"/>
      <w:r w:rsidRPr="00DE7260">
        <w:rPr>
          <w:i/>
          <w:iCs/>
          <w:spacing w:val="-4"/>
          <w:rtl/>
          <w:lang w:bidi="ar"/>
        </w:rPr>
        <w:t>برافديفايا</w:t>
      </w:r>
      <w:proofErr w:type="spellEnd"/>
      <w:r w:rsidRPr="00DE7260">
        <w:rPr>
          <w:i/>
          <w:iCs/>
          <w:spacing w:val="-4"/>
          <w:rtl/>
          <w:lang w:bidi="ar"/>
        </w:rPr>
        <w:t xml:space="preserve"> غازيتا</w:t>
      </w:r>
      <w:r w:rsidRPr="007308F6">
        <w:rPr>
          <w:spacing w:val="-4"/>
          <w:rtl/>
          <w:lang w:bidi="ar"/>
        </w:rPr>
        <w:t xml:space="preserve"> كان معروض</w:t>
      </w:r>
      <w:r w:rsidR="006531D2" w:rsidRPr="007308F6">
        <w:rPr>
          <w:spacing w:val="-4"/>
          <w:rtl/>
          <w:lang w:bidi="ar"/>
        </w:rPr>
        <w:t xml:space="preserve">اً </w:t>
      </w:r>
      <w:r w:rsidRPr="007308F6">
        <w:rPr>
          <w:spacing w:val="-4"/>
          <w:rtl/>
          <w:lang w:bidi="ar"/>
        </w:rPr>
        <w:t xml:space="preserve">للبيع في </w:t>
      </w:r>
      <w:r w:rsidRPr="00DE7260">
        <w:rPr>
          <w:spacing w:val="-4"/>
          <w:rtl/>
          <w:lang w:bidi="ar"/>
        </w:rPr>
        <w:t>20</w:t>
      </w:r>
      <w:r w:rsidRPr="007308F6">
        <w:rPr>
          <w:spacing w:val="-4"/>
          <w:rtl/>
          <w:lang w:bidi="ar"/>
        </w:rPr>
        <w:t xml:space="preserve"> تشرين</w:t>
      </w:r>
      <w:r w:rsidRPr="00547F64">
        <w:rPr>
          <w:rtl/>
          <w:lang w:bidi="ar"/>
        </w:rPr>
        <w:t xml:space="preserve"> الثاني/نوفمبر. وتدعي</w:t>
      </w:r>
      <w:r w:rsidR="007308F6">
        <w:rPr>
          <w:rFonts w:hint="cs"/>
          <w:rtl/>
          <w:lang w:bidi="ar"/>
        </w:rPr>
        <w:t> </w:t>
      </w:r>
      <w:r w:rsidRPr="00547F64">
        <w:rPr>
          <w:rtl/>
          <w:lang w:bidi="ar"/>
        </w:rPr>
        <w:t xml:space="preserve">صاحبتا البلاغ أن بائع الصحف غير موجود. وخلص القرار الثاني إلى أن صاحبة البلاغ الأولى </w:t>
      </w:r>
      <w:r w:rsidRPr="00547F64">
        <w:rPr>
          <w:rtl/>
          <w:lang w:bidi="ar"/>
        </w:rPr>
        <w:lastRenderedPageBreak/>
        <w:t xml:space="preserve">مذنبة بارتكاب جريمة بموجب المادة </w:t>
      </w:r>
      <w:r w:rsidRPr="00DE7260">
        <w:rPr>
          <w:rtl/>
          <w:lang w:bidi="ar"/>
        </w:rPr>
        <w:t>350</w:t>
      </w:r>
      <w:r>
        <w:rPr>
          <w:rtl/>
          <w:lang w:bidi="ar"/>
        </w:rPr>
        <w:t>(</w:t>
      </w:r>
      <w:r w:rsidRPr="00DE7260">
        <w:rPr>
          <w:rtl/>
          <w:lang w:bidi="ar"/>
        </w:rPr>
        <w:t>2</w:t>
      </w:r>
      <w:r w:rsidRPr="00547F64">
        <w:rPr>
          <w:rtl/>
          <w:lang w:bidi="ar"/>
        </w:rPr>
        <w:t>) من قانون الجرائم الإدارية (الإصدار المتعمد لمنشور دوري ذي ترويسة غير واضحة أو زائفة). وأمرت المحكمة بتعليق الصحيفة لمدة ثلاثة أشهر. واعتُمد القراران في غياب صاحبة البلاغ الأولى، لأن الاستدعاء أرسل مرة أخرى إلى عنوان غير صحيح.</w:t>
      </w:r>
    </w:p>
    <w:p w14:paraId="6BF5BA13" w14:textId="19C8CE35" w:rsidR="00E74FBF" w:rsidRPr="007308F6" w:rsidRDefault="00E74FBF" w:rsidP="00E74FBF">
      <w:pPr>
        <w:pStyle w:val="SingleTxtGA"/>
        <w:rPr>
          <w:spacing w:val="-4"/>
        </w:rPr>
      </w:pPr>
      <w:r w:rsidRPr="00DE7260">
        <w:rPr>
          <w:rtl/>
          <w:lang w:bidi="ar"/>
        </w:rPr>
        <w:t>2</w:t>
      </w:r>
      <w:r w:rsidRPr="00547F64">
        <w:rPr>
          <w:rtl/>
          <w:lang w:bidi="ar"/>
        </w:rPr>
        <w:t>-</w:t>
      </w:r>
      <w:r w:rsidRPr="00DE7260">
        <w:rPr>
          <w:rtl/>
          <w:lang w:bidi="ar"/>
        </w:rPr>
        <w:t>7</w:t>
      </w:r>
      <w:r w:rsidR="00EB6BD6">
        <w:rPr>
          <w:rtl/>
          <w:lang w:bidi="ar"/>
        </w:rPr>
        <w:tab/>
      </w:r>
      <w:r w:rsidRPr="00547F64">
        <w:rPr>
          <w:rtl/>
          <w:lang w:bidi="ar"/>
        </w:rPr>
        <w:t xml:space="preserve">وفي </w:t>
      </w:r>
      <w:r w:rsidRPr="00DE7260">
        <w:rPr>
          <w:rtl/>
          <w:lang w:bidi="ar"/>
        </w:rPr>
        <w:t>19</w:t>
      </w:r>
      <w:r w:rsidRPr="00547F64">
        <w:rPr>
          <w:rtl/>
          <w:lang w:bidi="ar"/>
        </w:rPr>
        <w:t xml:space="preserve"> كانون الأول/ديسمبر </w:t>
      </w:r>
      <w:r w:rsidRPr="00DE7260">
        <w:rPr>
          <w:rtl/>
          <w:lang w:bidi="ar"/>
        </w:rPr>
        <w:t>2013</w:t>
      </w:r>
      <w:r w:rsidRPr="00547F64">
        <w:rPr>
          <w:rtl/>
          <w:lang w:bidi="ar"/>
        </w:rPr>
        <w:t xml:space="preserve">، استأنفت صاحبة البلاغ الأولى القرارين الصادرين في </w:t>
      </w:r>
      <w:r w:rsidRPr="00DE7260">
        <w:rPr>
          <w:rtl/>
          <w:lang w:bidi="ar"/>
        </w:rPr>
        <w:t>5</w:t>
      </w:r>
      <w:r w:rsidRPr="00547F64">
        <w:rPr>
          <w:rtl/>
          <w:lang w:bidi="ar"/>
        </w:rPr>
        <w:t xml:space="preserve"> كانون الأول/ديسمبر </w:t>
      </w:r>
      <w:r w:rsidRPr="00DE7260">
        <w:rPr>
          <w:rtl/>
          <w:lang w:bidi="ar"/>
        </w:rPr>
        <w:t>2013</w:t>
      </w:r>
      <w:r w:rsidRPr="00547F64">
        <w:rPr>
          <w:rtl/>
          <w:lang w:bidi="ar"/>
        </w:rPr>
        <w:t xml:space="preserve"> أمام محكمة مدينة </w:t>
      </w:r>
      <w:proofErr w:type="spellStart"/>
      <w:r w:rsidRPr="00547F64">
        <w:rPr>
          <w:rtl/>
          <w:lang w:bidi="ar"/>
        </w:rPr>
        <w:t>ألماتي</w:t>
      </w:r>
      <w:proofErr w:type="spellEnd"/>
      <w:r w:rsidRPr="00547F64">
        <w:rPr>
          <w:rtl/>
          <w:lang w:bidi="ar"/>
        </w:rPr>
        <w:t xml:space="preserve">. وادعت أنهما ينتهكان حقها في محاكمة عادلة بموجب المادة </w:t>
      </w:r>
      <w:r w:rsidRPr="00DE7260">
        <w:rPr>
          <w:rtl/>
          <w:lang w:bidi="ar"/>
        </w:rPr>
        <w:t>587</w:t>
      </w:r>
      <w:r>
        <w:rPr>
          <w:rtl/>
          <w:lang w:bidi="ar"/>
        </w:rPr>
        <w:t>(</w:t>
      </w:r>
      <w:r w:rsidRPr="00DE7260">
        <w:rPr>
          <w:rtl/>
          <w:lang w:bidi="ar"/>
        </w:rPr>
        <w:t>4</w:t>
      </w:r>
      <w:r w:rsidRPr="00547F64">
        <w:rPr>
          <w:rtl/>
          <w:lang w:bidi="ar"/>
        </w:rPr>
        <w:t xml:space="preserve">) من قانون الجرائم الإدارية بسبب عدم توصلها بالإخطار الواجب بعقد جلسات المحاكمة، ولعدم تلقيها حتى وقت الاستئناف قرارات المحكمة الابتدائية المطعون فيها. وقدمت أدلة على أن العدد رقم </w:t>
      </w:r>
      <w:r w:rsidRPr="00DE7260">
        <w:rPr>
          <w:rtl/>
          <w:lang w:bidi="ar"/>
        </w:rPr>
        <w:t>17</w:t>
      </w:r>
      <w:r w:rsidRPr="00547F64">
        <w:rPr>
          <w:rtl/>
          <w:lang w:bidi="ar"/>
        </w:rPr>
        <w:t xml:space="preserve"> من </w:t>
      </w:r>
      <w:proofErr w:type="spellStart"/>
      <w:r w:rsidRPr="00DE7260">
        <w:rPr>
          <w:i/>
          <w:iCs/>
          <w:rtl/>
          <w:lang w:bidi="ar"/>
        </w:rPr>
        <w:t>برافديفايا</w:t>
      </w:r>
      <w:proofErr w:type="spellEnd"/>
      <w:r w:rsidRPr="00DE7260">
        <w:rPr>
          <w:i/>
          <w:iCs/>
          <w:rtl/>
          <w:lang w:bidi="ar"/>
        </w:rPr>
        <w:t xml:space="preserve"> غازيتا</w:t>
      </w:r>
      <w:r w:rsidRPr="00547F64">
        <w:rPr>
          <w:rtl/>
          <w:lang w:bidi="ar"/>
        </w:rPr>
        <w:t xml:space="preserve"> لم يُبع إلا في </w:t>
      </w:r>
      <w:r w:rsidRPr="00DE7260">
        <w:rPr>
          <w:rtl/>
          <w:lang w:bidi="ar"/>
        </w:rPr>
        <w:t>22</w:t>
      </w:r>
      <w:r w:rsidRPr="00547F64">
        <w:rPr>
          <w:rtl/>
          <w:lang w:bidi="ar"/>
        </w:rPr>
        <w:t xml:space="preserve"> تشرين الثاني/نوفمبر </w:t>
      </w:r>
      <w:r w:rsidRPr="00DE7260">
        <w:rPr>
          <w:rtl/>
          <w:lang w:bidi="ar"/>
        </w:rPr>
        <w:t>2013</w:t>
      </w:r>
      <w:r w:rsidRPr="00547F64">
        <w:rPr>
          <w:rtl/>
          <w:lang w:bidi="ar"/>
        </w:rPr>
        <w:t xml:space="preserve">، وأن عدم وضوح ترويسة النسخ المطبوعة في </w:t>
      </w:r>
      <w:r w:rsidRPr="00DE7260">
        <w:rPr>
          <w:rtl/>
          <w:lang w:bidi="ar"/>
        </w:rPr>
        <w:t>20</w:t>
      </w:r>
      <w:r w:rsidRPr="00547F64">
        <w:rPr>
          <w:rtl/>
          <w:lang w:bidi="ar"/>
        </w:rPr>
        <w:t xml:space="preserve"> تشرين الثاني/نوفمبر </w:t>
      </w:r>
      <w:r w:rsidRPr="00DE7260">
        <w:rPr>
          <w:rtl/>
          <w:lang w:bidi="ar"/>
        </w:rPr>
        <w:t>2013</w:t>
      </w:r>
      <w:r w:rsidRPr="00547F64">
        <w:rPr>
          <w:rtl/>
          <w:lang w:bidi="ar"/>
        </w:rPr>
        <w:t xml:space="preserve"> كان ناتج</w:t>
      </w:r>
      <w:r w:rsidR="006531D2">
        <w:rPr>
          <w:rtl/>
          <w:lang w:bidi="ar"/>
        </w:rPr>
        <w:t xml:space="preserve">اً </w:t>
      </w:r>
      <w:r w:rsidRPr="00547F64">
        <w:rPr>
          <w:rtl/>
          <w:lang w:bidi="ar"/>
        </w:rPr>
        <w:t xml:space="preserve">عن عيب فني في تفريغ لوحة الطباعة وأن المطبعة صححت العيب بإعادة طبع العدد رقم </w:t>
      </w:r>
      <w:r w:rsidRPr="00DE7260">
        <w:rPr>
          <w:rtl/>
          <w:lang w:bidi="ar"/>
        </w:rPr>
        <w:t>17</w:t>
      </w:r>
      <w:r w:rsidRPr="00547F64">
        <w:rPr>
          <w:rtl/>
          <w:lang w:bidi="ar"/>
        </w:rPr>
        <w:t xml:space="preserve"> ليلة </w:t>
      </w:r>
      <w:r w:rsidRPr="00DE7260">
        <w:rPr>
          <w:rtl/>
          <w:lang w:bidi="ar"/>
        </w:rPr>
        <w:t>21</w:t>
      </w:r>
      <w:r w:rsidRPr="00547F64">
        <w:rPr>
          <w:rtl/>
          <w:lang w:bidi="ar"/>
        </w:rPr>
        <w:t xml:space="preserve"> تشرين الثاني/نوفمبر </w:t>
      </w:r>
      <w:r w:rsidRPr="00DE7260">
        <w:rPr>
          <w:rtl/>
          <w:lang w:bidi="ar"/>
        </w:rPr>
        <w:t>2013</w:t>
      </w:r>
      <w:r>
        <w:rPr>
          <w:vertAlign w:val="superscript"/>
          <w:rtl/>
          <w:lang w:bidi="ar"/>
        </w:rPr>
        <w:t>(</w:t>
      </w:r>
      <w:r w:rsidRPr="00DE7260">
        <w:rPr>
          <w:vertAlign w:val="superscript"/>
          <w:lang w:val="en-US" w:bidi="ar"/>
        </w:rPr>
        <w:footnoteReference w:id="7"/>
      </w:r>
      <w:r>
        <w:rPr>
          <w:vertAlign w:val="superscript"/>
          <w:rtl/>
          <w:lang w:bidi="ar"/>
        </w:rPr>
        <w:t>)</w:t>
      </w:r>
      <w:r w:rsidRPr="00547F64">
        <w:rPr>
          <w:rtl/>
          <w:lang w:bidi="ar"/>
        </w:rPr>
        <w:t xml:space="preserve">. وفي </w:t>
      </w:r>
      <w:r w:rsidRPr="00DE7260">
        <w:rPr>
          <w:rtl/>
          <w:lang w:bidi="ar"/>
        </w:rPr>
        <w:t>28</w:t>
      </w:r>
      <w:r w:rsidRPr="00547F64">
        <w:rPr>
          <w:rtl/>
          <w:lang w:bidi="ar"/>
        </w:rPr>
        <w:t xml:space="preserve"> كانون الأول/ديسمبر </w:t>
      </w:r>
      <w:r w:rsidRPr="00DE7260">
        <w:rPr>
          <w:rtl/>
          <w:lang w:bidi="ar"/>
        </w:rPr>
        <w:t>2013</w:t>
      </w:r>
      <w:r w:rsidRPr="00547F64">
        <w:rPr>
          <w:rtl/>
          <w:lang w:bidi="ar"/>
        </w:rPr>
        <w:t xml:space="preserve">، أيدت الدائرة القضائية الاستئنافية المعنية بالقضايا المدنية والإدارية في محكمة مدينة </w:t>
      </w:r>
      <w:proofErr w:type="spellStart"/>
      <w:r w:rsidRPr="00547F64">
        <w:rPr>
          <w:rtl/>
          <w:lang w:bidi="ar"/>
        </w:rPr>
        <w:t>ألماتي</w:t>
      </w:r>
      <w:proofErr w:type="spellEnd"/>
      <w:r w:rsidRPr="00547F64">
        <w:rPr>
          <w:rtl/>
          <w:lang w:bidi="ar"/>
        </w:rPr>
        <w:t xml:space="preserve"> القرارين المؤرخين </w:t>
      </w:r>
      <w:r w:rsidRPr="00DE7260">
        <w:rPr>
          <w:rtl/>
          <w:lang w:bidi="ar"/>
        </w:rPr>
        <w:t>5</w:t>
      </w:r>
      <w:r w:rsidRPr="00547F64">
        <w:rPr>
          <w:rtl/>
          <w:lang w:bidi="ar"/>
        </w:rPr>
        <w:t xml:space="preserve"> كانون الأول/ديسمبر </w:t>
      </w:r>
      <w:r w:rsidRPr="00DE7260">
        <w:rPr>
          <w:rtl/>
          <w:lang w:bidi="ar"/>
        </w:rPr>
        <w:t>2013</w:t>
      </w:r>
      <w:r w:rsidRPr="00547F64">
        <w:rPr>
          <w:rtl/>
          <w:lang w:bidi="ar"/>
        </w:rPr>
        <w:t xml:space="preserve"> دون النظر في ادعاءات صاحبة البلاغ الأولى. وعُقدت الجلسة بحضور كل من صاحبتي البلاغ ومحاميهما والعديد من المراقبين. وشهد السيد إ.، موزع الصحف، بأن الصحيفة عُرضت للبيع في </w:t>
      </w:r>
      <w:r w:rsidRPr="00DE7260">
        <w:rPr>
          <w:rtl/>
          <w:lang w:bidi="ar"/>
        </w:rPr>
        <w:t>22</w:t>
      </w:r>
      <w:r w:rsidRPr="00547F64">
        <w:rPr>
          <w:rtl/>
          <w:lang w:bidi="ar"/>
        </w:rPr>
        <w:t xml:space="preserve"> تشرين الثاني/نوفمبر. ولم يكن لدى المطبعة توقيعات تثبت تسلم العدد في </w:t>
      </w:r>
      <w:r w:rsidRPr="00DE7260">
        <w:rPr>
          <w:rtl/>
          <w:lang w:bidi="ar"/>
        </w:rPr>
        <w:t>20</w:t>
      </w:r>
      <w:r w:rsidRPr="00547F64">
        <w:rPr>
          <w:rtl/>
          <w:lang w:bidi="ar"/>
        </w:rPr>
        <w:t xml:space="preserve"> تشرين الثاني/نوفمبر. وفي </w:t>
      </w:r>
      <w:r w:rsidRPr="00DE7260">
        <w:rPr>
          <w:rtl/>
          <w:lang w:bidi="ar"/>
        </w:rPr>
        <w:t>13</w:t>
      </w:r>
      <w:r w:rsidRPr="00547F64">
        <w:rPr>
          <w:rtl/>
          <w:lang w:bidi="ar"/>
        </w:rPr>
        <w:t xml:space="preserve"> آذار/مارس </w:t>
      </w:r>
      <w:r w:rsidRPr="00DE7260">
        <w:rPr>
          <w:rtl/>
          <w:lang w:bidi="ar"/>
        </w:rPr>
        <w:t>2014</w:t>
      </w:r>
      <w:r w:rsidRPr="00547F64">
        <w:rPr>
          <w:rtl/>
          <w:lang w:bidi="ar"/>
        </w:rPr>
        <w:t xml:space="preserve">، قدمت صاحبة البلاغ الأولى التماسات إلى مكتب النيابة العامة في </w:t>
      </w:r>
      <w:proofErr w:type="spellStart"/>
      <w:r w:rsidRPr="00547F64">
        <w:rPr>
          <w:rtl/>
          <w:lang w:bidi="ar"/>
        </w:rPr>
        <w:t>ألماتي</w:t>
      </w:r>
      <w:proofErr w:type="spellEnd"/>
      <w:r w:rsidRPr="00547F64">
        <w:rPr>
          <w:rtl/>
          <w:lang w:bidi="ar"/>
        </w:rPr>
        <w:t xml:space="preserve"> تطلب فيها تقديم اعتراض على القرارات القضائية الصادرة عن هيئتي الدرجة الأولى والثانية، وتدعى فيها ممارسة ضغط سياسي ورقابة على الصحيفة في انتهاك للمادتين </w:t>
      </w:r>
      <w:r w:rsidRPr="00DE7260">
        <w:rPr>
          <w:rtl/>
          <w:lang w:bidi="ar"/>
        </w:rPr>
        <w:t>14</w:t>
      </w:r>
      <w:r w:rsidRPr="00547F64">
        <w:rPr>
          <w:rtl/>
          <w:lang w:bidi="ar"/>
        </w:rPr>
        <w:t xml:space="preserve"> و</w:t>
      </w:r>
      <w:r w:rsidRPr="00DE7260">
        <w:rPr>
          <w:rtl/>
          <w:lang w:bidi="ar"/>
        </w:rPr>
        <w:t>19</w:t>
      </w:r>
      <w:r w:rsidRPr="00547F64">
        <w:rPr>
          <w:rtl/>
          <w:lang w:bidi="ar"/>
        </w:rPr>
        <w:t xml:space="preserve"> من العهد. وفي </w:t>
      </w:r>
      <w:r w:rsidRPr="00DE7260">
        <w:rPr>
          <w:rtl/>
          <w:lang w:bidi="ar"/>
        </w:rPr>
        <w:t>5</w:t>
      </w:r>
      <w:r w:rsidRPr="00547F64">
        <w:rPr>
          <w:rtl/>
          <w:lang w:bidi="ar"/>
        </w:rPr>
        <w:t xml:space="preserve"> نيسان/أبريل </w:t>
      </w:r>
      <w:r w:rsidRPr="00DE7260">
        <w:rPr>
          <w:rtl/>
          <w:lang w:bidi="ar"/>
        </w:rPr>
        <w:t>2014</w:t>
      </w:r>
      <w:r w:rsidRPr="00547F64">
        <w:rPr>
          <w:rtl/>
          <w:lang w:bidi="ar"/>
        </w:rPr>
        <w:t xml:space="preserve">، رُفضت التماساتها. وفي </w:t>
      </w:r>
      <w:r w:rsidRPr="00DE7260">
        <w:rPr>
          <w:rtl/>
          <w:lang w:bidi="ar"/>
        </w:rPr>
        <w:t>11</w:t>
      </w:r>
      <w:r w:rsidRPr="00547F64">
        <w:rPr>
          <w:rtl/>
          <w:lang w:bidi="ar"/>
        </w:rPr>
        <w:t xml:space="preserve"> أيار/مايو </w:t>
      </w:r>
      <w:r w:rsidRPr="00DE7260">
        <w:rPr>
          <w:rtl/>
          <w:lang w:bidi="ar"/>
        </w:rPr>
        <w:t>2014</w:t>
      </w:r>
      <w:r w:rsidRPr="00547F64">
        <w:rPr>
          <w:rtl/>
          <w:lang w:bidi="ar"/>
        </w:rPr>
        <w:t xml:space="preserve">، قدمت صاحبة البلاغ الأولى التماسات إلى مكتب المدعي العام لجمهورية كازاخستان تدعى فيها حدوث انتهاكات للمادتين </w:t>
      </w:r>
      <w:r w:rsidRPr="00DE7260">
        <w:rPr>
          <w:rtl/>
          <w:lang w:bidi="ar"/>
        </w:rPr>
        <w:t>14</w:t>
      </w:r>
      <w:r w:rsidRPr="00547F64">
        <w:rPr>
          <w:rtl/>
          <w:lang w:bidi="ar"/>
        </w:rPr>
        <w:t xml:space="preserve"> و</w:t>
      </w:r>
      <w:r w:rsidRPr="00DE7260">
        <w:rPr>
          <w:rtl/>
          <w:lang w:bidi="ar"/>
        </w:rPr>
        <w:t>19</w:t>
      </w:r>
      <w:r w:rsidRPr="00547F64">
        <w:rPr>
          <w:rtl/>
          <w:lang w:bidi="ar"/>
        </w:rPr>
        <w:t xml:space="preserve"> من العهد. وفي </w:t>
      </w:r>
      <w:r w:rsidRPr="00DE7260">
        <w:rPr>
          <w:rtl/>
          <w:lang w:bidi="ar"/>
        </w:rPr>
        <w:t>14</w:t>
      </w:r>
      <w:r w:rsidRPr="00547F64">
        <w:rPr>
          <w:rtl/>
          <w:lang w:bidi="ar"/>
        </w:rPr>
        <w:t xml:space="preserve"> تموز/يوليه </w:t>
      </w:r>
      <w:r w:rsidRPr="00DE7260">
        <w:rPr>
          <w:rtl/>
          <w:lang w:bidi="ar"/>
        </w:rPr>
        <w:t>2014</w:t>
      </w:r>
      <w:r w:rsidRPr="00547F64">
        <w:rPr>
          <w:rtl/>
          <w:lang w:bidi="ar"/>
        </w:rPr>
        <w:t xml:space="preserve">، رفض </w:t>
      </w:r>
      <w:r w:rsidRPr="007308F6">
        <w:rPr>
          <w:spacing w:val="-4"/>
          <w:rtl/>
          <w:lang w:bidi="ar"/>
        </w:rPr>
        <w:t>مكتب المدعي العام كلا الالتماسين، مشير</w:t>
      </w:r>
      <w:r w:rsidR="006531D2" w:rsidRPr="007308F6">
        <w:rPr>
          <w:spacing w:val="-4"/>
          <w:rtl/>
          <w:lang w:bidi="ar"/>
        </w:rPr>
        <w:t xml:space="preserve">اً </w:t>
      </w:r>
      <w:r w:rsidRPr="007308F6">
        <w:rPr>
          <w:spacing w:val="-4"/>
          <w:rtl/>
          <w:lang w:bidi="ar"/>
        </w:rPr>
        <w:t xml:space="preserve">بصورة مستفيضة إلى القيود المسموح بها بموجب المادة </w:t>
      </w:r>
      <w:r w:rsidRPr="00DE7260">
        <w:rPr>
          <w:spacing w:val="-4"/>
          <w:rtl/>
          <w:lang w:bidi="ar"/>
        </w:rPr>
        <w:t>19</w:t>
      </w:r>
      <w:r w:rsidR="00B855D2" w:rsidRPr="007308F6">
        <w:rPr>
          <w:spacing w:val="-4"/>
          <w:rtl/>
          <w:lang w:bidi="ar"/>
        </w:rPr>
        <w:t>(</w:t>
      </w:r>
      <w:r w:rsidRPr="00DE7260">
        <w:rPr>
          <w:spacing w:val="-4"/>
          <w:rtl/>
          <w:lang w:bidi="ar"/>
        </w:rPr>
        <w:t>3</w:t>
      </w:r>
      <w:r w:rsidRPr="007308F6">
        <w:rPr>
          <w:spacing w:val="-4"/>
          <w:rtl/>
          <w:lang w:bidi="ar"/>
        </w:rPr>
        <w:t>) من العهد، وذكر أن جلسات الاستماع الغيابية التي عقدتها الهيئة الابتدائية لا يمكن أن تكون أساس</w:t>
      </w:r>
      <w:r w:rsidR="006531D2" w:rsidRPr="007308F6">
        <w:rPr>
          <w:spacing w:val="-4"/>
          <w:rtl/>
          <w:lang w:bidi="ar"/>
        </w:rPr>
        <w:t xml:space="preserve">اً </w:t>
      </w:r>
      <w:r w:rsidRPr="007308F6">
        <w:rPr>
          <w:spacing w:val="-4"/>
          <w:rtl/>
          <w:lang w:bidi="ar"/>
        </w:rPr>
        <w:t>لرقابة النيابة العامة لأن صاحبة البلاغ الأولى ومحاميها كانا حاضرين في جلسات الاستئنا</w:t>
      </w:r>
      <w:r w:rsidR="00935AF9">
        <w:rPr>
          <w:rFonts w:hint="cs"/>
          <w:spacing w:val="-4"/>
          <w:rtl/>
          <w:lang w:bidi="ar"/>
        </w:rPr>
        <w:t>ف</w:t>
      </w:r>
      <w:r w:rsidRPr="007308F6">
        <w:rPr>
          <w:spacing w:val="-4"/>
          <w:rtl/>
          <w:lang w:bidi="ar"/>
        </w:rPr>
        <w:t>.</w:t>
      </w:r>
    </w:p>
    <w:p w14:paraId="4CF06D21" w14:textId="35AE67DA" w:rsidR="00E74FBF" w:rsidRPr="00547F64" w:rsidRDefault="00E74FBF" w:rsidP="00E74FBF">
      <w:pPr>
        <w:pStyle w:val="SingleTxtGA"/>
      </w:pPr>
      <w:r w:rsidRPr="00DE7260">
        <w:rPr>
          <w:rtl/>
          <w:lang w:bidi="ar"/>
        </w:rPr>
        <w:t>2</w:t>
      </w:r>
      <w:r w:rsidRPr="00547F64">
        <w:rPr>
          <w:rtl/>
          <w:lang w:bidi="ar"/>
        </w:rPr>
        <w:t>-</w:t>
      </w:r>
      <w:r w:rsidRPr="00DE7260">
        <w:rPr>
          <w:rtl/>
          <w:lang w:bidi="ar"/>
        </w:rPr>
        <w:t>8</w:t>
      </w:r>
      <w:r w:rsidR="00EB6BD6">
        <w:rPr>
          <w:rtl/>
          <w:lang w:bidi="ar"/>
        </w:rPr>
        <w:tab/>
      </w:r>
      <w:r w:rsidRPr="00547F64">
        <w:rPr>
          <w:rtl/>
          <w:lang w:bidi="ar"/>
        </w:rPr>
        <w:t xml:space="preserve">وفي </w:t>
      </w:r>
      <w:r w:rsidRPr="00DE7260">
        <w:rPr>
          <w:rtl/>
          <w:lang w:bidi="ar"/>
        </w:rPr>
        <w:t>10</w:t>
      </w:r>
      <w:r w:rsidRPr="00547F64">
        <w:rPr>
          <w:rtl/>
          <w:lang w:bidi="ar"/>
        </w:rPr>
        <w:t xml:space="preserve"> كانون الثاني/يناير </w:t>
      </w:r>
      <w:r w:rsidRPr="00DE7260">
        <w:rPr>
          <w:rtl/>
          <w:lang w:bidi="ar"/>
        </w:rPr>
        <w:t>2014</w:t>
      </w:r>
      <w:r w:rsidRPr="00547F64">
        <w:rPr>
          <w:rtl/>
          <w:lang w:bidi="ar"/>
        </w:rPr>
        <w:t xml:space="preserve">، رفع وكيل النيابة العامة لمقاطعة </w:t>
      </w:r>
      <w:proofErr w:type="spellStart"/>
      <w:r w:rsidRPr="00547F64">
        <w:rPr>
          <w:rtl/>
          <w:lang w:bidi="ar"/>
        </w:rPr>
        <w:t>بوستانديق</w:t>
      </w:r>
      <w:proofErr w:type="spellEnd"/>
      <w:r w:rsidRPr="00547F64">
        <w:rPr>
          <w:rtl/>
          <w:lang w:bidi="ar"/>
        </w:rPr>
        <w:t xml:space="preserve"> في </w:t>
      </w:r>
      <w:proofErr w:type="spellStart"/>
      <w:r w:rsidRPr="00547F64">
        <w:rPr>
          <w:rtl/>
          <w:lang w:bidi="ar"/>
        </w:rPr>
        <w:t>ألماتي</w:t>
      </w:r>
      <w:proofErr w:type="spellEnd"/>
      <w:r w:rsidRPr="00547F64">
        <w:rPr>
          <w:rtl/>
          <w:lang w:bidi="ar"/>
        </w:rPr>
        <w:t xml:space="preserve"> دعوى ملاحقة قضائية ضد </w:t>
      </w:r>
      <w:bookmarkStart w:id="1" w:name="_Hlk69223494"/>
      <w:bookmarkEnd w:id="1"/>
      <w:proofErr w:type="spellStart"/>
      <w:r w:rsidRPr="00DE7260">
        <w:rPr>
          <w:i/>
          <w:iCs/>
          <w:rtl/>
          <w:lang w:bidi="ar"/>
        </w:rPr>
        <w:t>برافديفايا</w:t>
      </w:r>
      <w:proofErr w:type="spellEnd"/>
      <w:r w:rsidRPr="00DE7260">
        <w:rPr>
          <w:i/>
          <w:iCs/>
          <w:rtl/>
          <w:lang w:bidi="ar"/>
        </w:rPr>
        <w:t xml:space="preserve"> غازيتا</w:t>
      </w:r>
      <w:r w:rsidRPr="00547F64">
        <w:rPr>
          <w:rtl/>
          <w:lang w:bidi="ar"/>
        </w:rPr>
        <w:t xml:space="preserve"> يطلب فيها إصدار أمر بإغلاق الصحيفة بسبب عدم وضع حد للانتهاكات التي أدت إلى تعليقها. وفي </w:t>
      </w:r>
      <w:r w:rsidRPr="00DE7260">
        <w:rPr>
          <w:rtl/>
          <w:lang w:bidi="ar"/>
        </w:rPr>
        <w:t>12</w:t>
      </w:r>
      <w:r w:rsidRPr="00547F64">
        <w:rPr>
          <w:rtl/>
          <w:lang w:bidi="ar"/>
        </w:rPr>
        <w:t xml:space="preserve"> شباط/فبراير </w:t>
      </w:r>
      <w:r w:rsidRPr="00DE7260">
        <w:rPr>
          <w:rtl/>
          <w:lang w:bidi="ar"/>
        </w:rPr>
        <w:t>2014</w:t>
      </w:r>
      <w:r w:rsidRPr="00547F64">
        <w:rPr>
          <w:rtl/>
          <w:lang w:bidi="ar"/>
        </w:rPr>
        <w:t>، قدم</w:t>
      </w:r>
      <w:r w:rsidRPr="00547F64">
        <w:rPr>
          <w:rtl/>
          <w:lang w:val="fr-FR"/>
        </w:rPr>
        <w:t>ت</w:t>
      </w:r>
      <w:r w:rsidRPr="00547F64">
        <w:rPr>
          <w:rtl/>
          <w:lang w:bidi="ar"/>
        </w:rPr>
        <w:t xml:space="preserve"> صاحبة البلاغ الأولى التماس</w:t>
      </w:r>
      <w:r w:rsidR="006531D2">
        <w:rPr>
          <w:rtl/>
          <w:lang w:bidi="ar"/>
        </w:rPr>
        <w:t xml:space="preserve">اً </w:t>
      </w:r>
      <w:r w:rsidRPr="00547F64">
        <w:rPr>
          <w:rtl/>
          <w:lang w:bidi="ar"/>
        </w:rPr>
        <w:t xml:space="preserve">تطلب فيه من وزارة الثقافة والإعلام التدخل في الموضوع كطرف ثالث. وفي </w:t>
      </w:r>
      <w:r w:rsidRPr="00DE7260">
        <w:rPr>
          <w:rtl/>
          <w:lang w:bidi="ar"/>
        </w:rPr>
        <w:t>21</w:t>
      </w:r>
      <w:r w:rsidRPr="00547F64">
        <w:rPr>
          <w:rtl/>
          <w:lang w:bidi="ar"/>
        </w:rPr>
        <w:t xml:space="preserve"> شباط/فبراير </w:t>
      </w:r>
      <w:r w:rsidRPr="00DE7260">
        <w:rPr>
          <w:rtl/>
          <w:lang w:bidi="ar"/>
        </w:rPr>
        <w:t>2014</w:t>
      </w:r>
      <w:r w:rsidRPr="00547F64">
        <w:rPr>
          <w:rtl/>
          <w:lang w:bidi="ar"/>
        </w:rPr>
        <w:t xml:space="preserve">، قدمت صاحبة البلاغ الأولى التماسين تطلب فيهما من المحكمة أن تطلب من المجلس الدستوري </w:t>
      </w:r>
      <w:r w:rsidR="00935AF9">
        <w:rPr>
          <w:rFonts w:hint="cs"/>
          <w:rtl/>
          <w:lang w:bidi="ar"/>
        </w:rPr>
        <w:t>إ</w:t>
      </w:r>
      <w:r w:rsidRPr="00547F64">
        <w:rPr>
          <w:rtl/>
          <w:lang w:bidi="ar"/>
        </w:rPr>
        <w:t xml:space="preserve">عادة النظر في دستورية وتفسير المادة </w:t>
      </w:r>
      <w:r w:rsidRPr="00DE7260">
        <w:rPr>
          <w:rtl/>
          <w:lang w:bidi="ar"/>
        </w:rPr>
        <w:t>13</w:t>
      </w:r>
      <w:r>
        <w:rPr>
          <w:rtl/>
          <w:lang w:bidi="ar"/>
        </w:rPr>
        <w:t>(</w:t>
      </w:r>
      <w:r w:rsidRPr="00DE7260">
        <w:rPr>
          <w:rtl/>
          <w:lang w:bidi="ar"/>
        </w:rPr>
        <w:t>4</w:t>
      </w:r>
      <w:r w:rsidRPr="00547F64">
        <w:rPr>
          <w:rtl/>
          <w:lang w:bidi="ar"/>
        </w:rPr>
        <w:t xml:space="preserve">) من قانون وسائط الإعلام، وأن تأمر بتقييم </w:t>
      </w:r>
      <w:r w:rsidRPr="00547F64">
        <w:rPr>
          <w:rtl/>
          <w:lang w:val="fr-FR"/>
        </w:rPr>
        <w:t>تأصيلي</w:t>
      </w:r>
      <w:r w:rsidRPr="00547F64">
        <w:rPr>
          <w:rtl/>
          <w:lang w:bidi="ar"/>
        </w:rPr>
        <w:t xml:space="preserve"> لهذا الحكم. وفي </w:t>
      </w:r>
      <w:r w:rsidRPr="00DE7260">
        <w:rPr>
          <w:rtl/>
          <w:lang w:bidi="ar"/>
        </w:rPr>
        <w:t>21</w:t>
      </w:r>
      <w:r w:rsidRPr="00547F64">
        <w:rPr>
          <w:rtl/>
          <w:lang w:bidi="ar"/>
        </w:rPr>
        <w:t xml:space="preserve"> شباط/فبراير </w:t>
      </w:r>
      <w:r w:rsidRPr="00DE7260">
        <w:rPr>
          <w:rtl/>
          <w:lang w:bidi="ar"/>
        </w:rPr>
        <w:t>2014</w:t>
      </w:r>
      <w:r w:rsidRPr="00547F64">
        <w:rPr>
          <w:rtl/>
          <w:lang w:bidi="ar"/>
        </w:rPr>
        <w:t xml:space="preserve">، قدمت صاحبة البلاغ الأولى دعوى مضادة أشارت فيها إلى عدم وجود أساس لطلب وكيل النيابة العامة. وفي </w:t>
      </w:r>
      <w:r w:rsidRPr="00DE7260">
        <w:rPr>
          <w:rtl/>
          <w:lang w:bidi="ar"/>
        </w:rPr>
        <w:t>24</w:t>
      </w:r>
      <w:r w:rsidRPr="00547F64">
        <w:rPr>
          <w:rtl/>
          <w:lang w:bidi="ar"/>
        </w:rPr>
        <w:t xml:space="preserve"> شباط/فبراير </w:t>
      </w:r>
      <w:r w:rsidRPr="00DE7260">
        <w:rPr>
          <w:rtl/>
          <w:lang w:bidi="ar"/>
        </w:rPr>
        <w:t>2014</w:t>
      </w:r>
      <w:r w:rsidRPr="00547F64">
        <w:rPr>
          <w:rtl/>
          <w:lang w:bidi="ar"/>
        </w:rPr>
        <w:t xml:space="preserve">، أمرت محكمة مقاطعة </w:t>
      </w:r>
      <w:proofErr w:type="spellStart"/>
      <w:r w:rsidRPr="00547F64">
        <w:rPr>
          <w:rtl/>
          <w:lang w:bidi="ar"/>
        </w:rPr>
        <w:t>بوستانديق</w:t>
      </w:r>
      <w:proofErr w:type="spellEnd"/>
      <w:r w:rsidRPr="00547F64">
        <w:rPr>
          <w:rtl/>
          <w:lang w:bidi="ar"/>
        </w:rPr>
        <w:t xml:space="preserve"> بوقف أنشطة </w:t>
      </w:r>
      <w:proofErr w:type="spellStart"/>
      <w:r w:rsidRPr="00DE7260">
        <w:rPr>
          <w:i/>
          <w:iCs/>
          <w:rtl/>
          <w:lang w:bidi="ar"/>
        </w:rPr>
        <w:t>برافديفايا</w:t>
      </w:r>
      <w:proofErr w:type="spellEnd"/>
      <w:r w:rsidRPr="00DE7260">
        <w:rPr>
          <w:i/>
          <w:iCs/>
          <w:rtl/>
          <w:lang w:bidi="ar"/>
        </w:rPr>
        <w:t xml:space="preserve"> غازيتا</w:t>
      </w:r>
      <w:r w:rsidRPr="00547F64">
        <w:rPr>
          <w:rtl/>
          <w:lang w:bidi="ar"/>
        </w:rPr>
        <w:t xml:space="preserve"> على أساس المادة </w:t>
      </w:r>
      <w:r w:rsidRPr="00DE7260">
        <w:rPr>
          <w:rtl/>
          <w:lang w:bidi="ar"/>
        </w:rPr>
        <w:t>13</w:t>
      </w:r>
      <w:r>
        <w:rPr>
          <w:rtl/>
          <w:lang w:bidi="ar"/>
        </w:rPr>
        <w:t>(</w:t>
      </w:r>
      <w:r w:rsidRPr="00DE7260">
        <w:rPr>
          <w:rtl/>
          <w:lang w:bidi="ar"/>
        </w:rPr>
        <w:t>4</w:t>
      </w:r>
      <w:r w:rsidRPr="00547F64">
        <w:rPr>
          <w:rtl/>
          <w:lang w:bidi="ar"/>
        </w:rPr>
        <w:t>) من قانون وسائط الإعلام بسبب الأخطاء المتكررة في ترويسة الصحيفة</w:t>
      </w:r>
      <w:r w:rsidRPr="00547F64">
        <w:rPr>
          <w:lang w:bidi="ar"/>
        </w:rPr>
        <w:t xml:space="preserve"> </w:t>
      </w:r>
      <w:r w:rsidRPr="00547F64">
        <w:rPr>
          <w:rtl/>
          <w:lang w:bidi="ar"/>
        </w:rPr>
        <w:t xml:space="preserve">وإنتاجها وتوزيعها خلال فترة تعليقها. وفي </w:t>
      </w:r>
      <w:r w:rsidRPr="00DE7260">
        <w:rPr>
          <w:rtl/>
          <w:lang w:bidi="ar"/>
        </w:rPr>
        <w:t>26</w:t>
      </w:r>
      <w:r w:rsidRPr="00547F64">
        <w:rPr>
          <w:rtl/>
          <w:lang w:bidi="ar"/>
        </w:rPr>
        <w:t xml:space="preserve"> شباط/فبراير </w:t>
      </w:r>
      <w:r w:rsidRPr="00DE7260">
        <w:rPr>
          <w:rtl/>
          <w:lang w:bidi="ar"/>
        </w:rPr>
        <w:t>2014</w:t>
      </w:r>
      <w:r w:rsidRPr="00547F64">
        <w:rPr>
          <w:rtl/>
          <w:lang w:bidi="ar"/>
        </w:rPr>
        <w:t xml:space="preserve">، أرجعت محكمة </w:t>
      </w:r>
      <w:r w:rsidRPr="00547F64">
        <w:rPr>
          <w:rtl/>
          <w:lang w:bidi="ar"/>
        </w:rPr>
        <w:lastRenderedPageBreak/>
        <w:t xml:space="preserve">مقاطعة </w:t>
      </w:r>
      <w:proofErr w:type="spellStart"/>
      <w:r w:rsidRPr="00547F64">
        <w:rPr>
          <w:rtl/>
          <w:lang w:bidi="ar"/>
        </w:rPr>
        <w:t>بوستانديق</w:t>
      </w:r>
      <w:proofErr w:type="spellEnd"/>
      <w:r w:rsidRPr="00547F64">
        <w:rPr>
          <w:rtl/>
          <w:lang w:bidi="ar"/>
        </w:rPr>
        <w:t xml:space="preserve"> الدعوى المضادة إلى صاحبة البلاغ الأولى لأن القرار المتعلق بطلب وكيل النيابة العامة كان قد اعتمد بالفعل.</w:t>
      </w:r>
    </w:p>
    <w:p w14:paraId="3E975924" w14:textId="06D4FA5A" w:rsidR="00E74FBF" w:rsidRPr="00547F64" w:rsidRDefault="00E74FBF" w:rsidP="00E74FBF">
      <w:pPr>
        <w:pStyle w:val="SingleTxtGA"/>
      </w:pPr>
      <w:r w:rsidRPr="00DE7260">
        <w:rPr>
          <w:rtl/>
          <w:lang w:bidi="ar"/>
        </w:rPr>
        <w:t>2</w:t>
      </w:r>
      <w:r w:rsidRPr="00547F64">
        <w:rPr>
          <w:rtl/>
          <w:lang w:bidi="ar"/>
        </w:rPr>
        <w:t>-</w:t>
      </w:r>
      <w:r w:rsidRPr="00DE7260">
        <w:rPr>
          <w:rtl/>
          <w:lang w:bidi="ar"/>
        </w:rPr>
        <w:t>9</w:t>
      </w:r>
      <w:r w:rsidR="00EB6BD6">
        <w:rPr>
          <w:rtl/>
          <w:lang w:bidi="ar"/>
        </w:rPr>
        <w:tab/>
      </w:r>
      <w:r w:rsidRPr="00547F64">
        <w:rPr>
          <w:rtl/>
          <w:lang w:bidi="ar"/>
        </w:rPr>
        <w:t xml:space="preserve">وفي </w:t>
      </w:r>
      <w:r w:rsidRPr="00DE7260">
        <w:rPr>
          <w:rtl/>
          <w:lang w:bidi="ar"/>
        </w:rPr>
        <w:t>7</w:t>
      </w:r>
      <w:r w:rsidRPr="00547F64">
        <w:rPr>
          <w:rtl/>
          <w:lang w:bidi="ar"/>
        </w:rPr>
        <w:t xml:space="preserve"> آذار/مارس </w:t>
      </w:r>
      <w:r w:rsidRPr="00DE7260">
        <w:rPr>
          <w:rtl/>
          <w:lang w:bidi="ar"/>
        </w:rPr>
        <w:t>2014</w:t>
      </w:r>
      <w:r w:rsidRPr="00547F64">
        <w:rPr>
          <w:rtl/>
          <w:lang w:bidi="ar"/>
        </w:rPr>
        <w:t xml:space="preserve">، طعنت صاحبة البلاغ الأولى في هذا القرار، مدعية، في جملة أمور، أن جلسة الاستماع في الهيئة الابتدائية عقدت في غياب ممثليها، وأن وزارة الثقافة والإعلام لم تُبلَّغ على النحو الواجب بجلسة الاستماع، وأن المحكمة رفضت بصورة غير قانونية النظر في دعواها المضادة، وأن المحكمة لم تنظر في ملتمس اعتراضها على القاضي. وفي </w:t>
      </w:r>
      <w:r w:rsidRPr="00DE7260">
        <w:rPr>
          <w:rtl/>
          <w:lang w:bidi="ar"/>
        </w:rPr>
        <w:t>10</w:t>
      </w:r>
      <w:r w:rsidRPr="00547F64">
        <w:rPr>
          <w:rtl/>
          <w:lang w:bidi="ar"/>
        </w:rPr>
        <w:t xml:space="preserve"> نيسان/أبريل </w:t>
      </w:r>
      <w:r w:rsidRPr="00DE7260">
        <w:rPr>
          <w:rtl/>
          <w:lang w:bidi="ar"/>
        </w:rPr>
        <w:t>2014</w:t>
      </w:r>
      <w:r w:rsidRPr="00547F64">
        <w:rPr>
          <w:rtl/>
          <w:lang w:bidi="ar"/>
        </w:rPr>
        <w:t xml:space="preserve">، قدمت صاحبة البلاغ الأولى التماسين تطلب فيهما من المحكمة أن تأمر بخبرة تأصيلية للأحكام ذات الصلة من </w:t>
      </w:r>
      <w:r w:rsidRPr="006531D2">
        <w:rPr>
          <w:spacing w:val="-4"/>
          <w:rtl/>
          <w:lang w:bidi="ar"/>
        </w:rPr>
        <w:t xml:space="preserve">قانون وسائط الإعلام وأن تطلب من المجلس الدستوري مراجعة دستوريتهما. وفي </w:t>
      </w:r>
      <w:r w:rsidRPr="00DE7260">
        <w:rPr>
          <w:spacing w:val="-4"/>
          <w:rtl/>
          <w:lang w:bidi="ar"/>
        </w:rPr>
        <w:t>11</w:t>
      </w:r>
      <w:r w:rsidRPr="006531D2">
        <w:rPr>
          <w:spacing w:val="-4"/>
          <w:rtl/>
          <w:lang w:bidi="ar"/>
        </w:rPr>
        <w:t xml:space="preserve"> نيسان/أبريل </w:t>
      </w:r>
      <w:r w:rsidRPr="00DE7260">
        <w:rPr>
          <w:spacing w:val="-4"/>
          <w:rtl/>
          <w:lang w:bidi="ar"/>
        </w:rPr>
        <w:t>2014</w:t>
      </w:r>
      <w:r w:rsidRPr="006531D2">
        <w:rPr>
          <w:spacing w:val="-4"/>
          <w:rtl/>
          <w:lang w:bidi="ar"/>
        </w:rPr>
        <w:t>، قدمت</w:t>
      </w:r>
      <w:r w:rsidRPr="00547F64">
        <w:rPr>
          <w:rtl/>
          <w:lang w:bidi="ar"/>
        </w:rPr>
        <w:t xml:space="preserve"> طلب</w:t>
      </w:r>
      <w:r w:rsidR="006531D2">
        <w:rPr>
          <w:rtl/>
          <w:lang w:bidi="ar"/>
        </w:rPr>
        <w:t xml:space="preserve">اً </w:t>
      </w:r>
      <w:r w:rsidRPr="00547F64">
        <w:rPr>
          <w:rtl/>
          <w:lang w:bidi="ar"/>
        </w:rPr>
        <w:t>إضافي</w:t>
      </w:r>
      <w:r w:rsidR="006531D2">
        <w:rPr>
          <w:rtl/>
          <w:lang w:bidi="ar"/>
        </w:rPr>
        <w:t xml:space="preserve">اً </w:t>
      </w:r>
      <w:r w:rsidRPr="00547F64">
        <w:rPr>
          <w:rtl/>
          <w:lang w:bidi="ar"/>
        </w:rPr>
        <w:t xml:space="preserve">لتنحية القاضي بسبب شكوك بشأن حياده. وفي </w:t>
      </w:r>
      <w:r w:rsidRPr="00DE7260">
        <w:rPr>
          <w:rtl/>
          <w:lang w:bidi="ar"/>
        </w:rPr>
        <w:t>18</w:t>
      </w:r>
      <w:r w:rsidRPr="00547F64">
        <w:rPr>
          <w:rtl/>
          <w:lang w:bidi="ar"/>
        </w:rPr>
        <w:t xml:space="preserve"> نيسان/أبريل </w:t>
      </w:r>
      <w:r w:rsidRPr="00DE7260">
        <w:rPr>
          <w:rtl/>
          <w:lang w:bidi="ar"/>
        </w:rPr>
        <w:t>2014</w:t>
      </w:r>
      <w:r w:rsidRPr="00547F64">
        <w:rPr>
          <w:rtl/>
          <w:lang w:bidi="ar"/>
        </w:rPr>
        <w:t xml:space="preserve">، أيدت هيئة الاستئناف القضائية المعنية بالشؤون المدنية والإدارية في محكمة مدينة </w:t>
      </w:r>
      <w:proofErr w:type="spellStart"/>
      <w:r w:rsidRPr="00547F64">
        <w:rPr>
          <w:rtl/>
          <w:lang w:bidi="ar"/>
        </w:rPr>
        <w:t>ألماتي</w:t>
      </w:r>
      <w:proofErr w:type="spellEnd"/>
      <w:r w:rsidRPr="00547F64">
        <w:rPr>
          <w:rtl/>
          <w:lang w:bidi="ar"/>
        </w:rPr>
        <w:t xml:space="preserve"> قرار محكمة مقاطعة </w:t>
      </w:r>
      <w:proofErr w:type="spellStart"/>
      <w:r w:rsidRPr="00547F64">
        <w:rPr>
          <w:rtl/>
          <w:lang w:bidi="ar"/>
        </w:rPr>
        <w:t>بوستانديق</w:t>
      </w:r>
      <w:proofErr w:type="spellEnd"/>
      <w:r w:rsidRPr="00547F64">
        <w:rPr>
          <w:rtl/>
          <w:lang w:bidi="ar"/>
        </w:rPr>
        <w:t xml:space="preserve"> الصادر في </w:t>
      </w:r>
      <w:r w:rsidRPr="00DE7260">
        <w:rPr>
          <w:rtl/>
          <w:lang w:bidi="ar"/>
        </w:rPr>
        <w:t>24</w:t>
      </w:r>
      <w:r w:rsidRPr="00547F64">
        <w:rPr>
          <w:rtl/>
          <w:lang w:bidi="ar"/>
        </w:rPr>
        <w:t xml:space="preserve"> شباط/فبراير </w:t>
      </w:r>
      <w:r w:rsidRPr="00DE7260">
        <w:rPr>
          <w:rtl/>
          <w:lang w:bidi="ar"/>
        </w:rPr>
        <w:t>2014</w:t>
      </w:r>
      <w:r w:rsidRPr="00547F64">
        <w:rPr>
          <w:rtl/>
          <w:lang w:bidi="ar"/>
        </w:rPr>
        <w:t xml:space="preserve">. وفي </w:t>
      </w:r>
      <w:r w:rsidRPr="00DE7260">
        <w:rPr>
          <w:rtl/>
          <w:lang w:bidi="ar"/>
        </w:rPr>
        <w:t>18</w:t>
      </w:r>
      <w:r w:rsidRPr="00547F64">
        <w:rPr>
          <w:rtl/>
          <w:lang w:bidi="ar"/>
        </w:rPr>
        <w:t xml:space="preserve"> حزيران/يونيه </w:t>
      </w:r>
      <w:r w:rsidRPr="00DE7260">
        <w:rPr>
          <w:rtl/>
          <w:lang w:bidi="ar"/>
        </w:rPr>
        <w:t>2014</w:t>
      </w:r>
      <w:r w:rsidRPr="00547F64">
        <w:rPr>
          <w:rtl/>
          <w:lang w:bidi="ar"/>
        </w:rPr>
        <w:t xml:space="preserve">، أيدت القرارَ هيئةُ النقض القضائية التابعة لمحكمة مدينة </w:t>
      </w:r>
      <w:proofErr w:type="spellStart"/>
      <w:r w:rsidRPr="00547F64">
        <w:rPr>
          <w:rtl/>
          <w:lang w:bidi="ar"/>
        </w:rPr>
        <w:t>ألماتي</w:t>
      </w:r>
      <w:proofErr w:type="spellEnd"/>
      <w:r w:rsidRPr="00547F64">
        <w:rPr>
          <w:rtl/>
          <w:lang w:bidi="ar"/>
        </w:rPr>
        <w:t xml:space="preserve">. وفي </w:t>
      </w:r>
      <w:r w:rsidRPr="00DE7260">
        <w:rPr>
          <w:rtl/>
          <w:lang w:bidi="ar"/>
        </w:rPr>
        <w:t>21</w:t>
      </w:r>
      <w:r w:rsidRPr="00547F64">
        <w:rPr>
          <w:rtl/>
          <w:lang w:bidi="ar"/>
        </w:rPr>
        <w:t xml:space="preserve"> آب/أغسطس </w:t>
      </w:r>
      <w:r w:rsidRPr="00DE7260">
        <w:rPr>
          <w:rtl/>
          <w:lang w:bidi="ar"/>
        </w:rPr>
        <w:t>2014</w:t>
      </w:r>
      <w:r w:rsidRPr="00547F64">
        <w:rPr>
          <w:rtl/>
          <w:lang w:bidi="ar"/>
        </w:rPr>
        <w:t xml:space="preserve">، رفضت المحكمة العليا الشروع في إجراءات مراجعة. وفي </w:t>
      </w:r>
      <w:r w:rsidRPr="00DE7260">
        <w:rPr>
          <w:rtl/>
          <w:lang w:bidi="ar"/>
        </w:rPr>
        <w:t>3</w:t>
      </w:r>
      <w:r w:rsidRPr="00547F64">
        <w:rPr>
          <w:rtl/>
          <w:lang w:bidi="ar"/>
        </w:rPr>
        <w:t xml:space="preserve"> أيلول/سبتمبر </w:t>
      </w:r>
      <w:r w:rsidRPr="00DE7260">
        <w:rPr>
          <w:rtl/>
          <w:lang w:bidi="ar"/>
        </w:rPr>
        <w:t>2014</w:t>
      </w:r>
      <w:r w:rsidRPr="00547F64">
        <w:rPr>
          <w:rtl/>
          <w:lang w:bidi="ar"/>
        </w:rPr>
        <w:t>، قدمت صاحبة البلاغ الأولى التماس</w:t>
      </w:r>
      <w:r w:rsidR="006531D2">
        <w:rPr>
          <w:rtl/>
          <w:lang w:bidi="ar"/>
        </w:rPr>
        <w:t xml:space="preserve">اً </w:t>
      </w:r>
      <w:r w:rsidRPr="00547F64">
        <w:rPr>
          <w:rtl/>
          <w:lang w:bidi="ar"/>
        </w:rPr>
        <w:t xml:space="preserve">إلى المدعي العام تطلب منه فيه تقديم اعتراض إلى المحكمة العليا ضد القرارات المذكورة أعلاه. ورُفض الالتماس في </w:t>
      </w:r>
      <w:r w:rsidRPr="00DE7260">
        <w:rPr>
          <w:rtl/>
          <w:lang w:bidi="ar"/>
        </w:rPr>
        <w:t>24</w:t>
      </w:r>
      <w:r w:rsidRPr="00547F64">
        <w:rPr>
          <w:rtl/>
          <w:lang w:bidi="ar"/>
        </w:rPr>
        <w:t xml:space="preserve"> أيلول/سبتمبر </w:t>
      </w:r>
      <w:r w:rsidRPr="00DE7260">
        <w:rPr>
          <w:rtl/>
          <w:lang w:bidi="ar"/>
        </w:rPr>
        <w:t>2014</w:t>
      </w:r>
      <w:r w:rsidRPr="00547F64">
        <w:rPr>
          <w:rtl/>
          <w:lang w:bidi="ar"/>
        </w:rPr>
        <w:t xml:space="preserve">. وأدلت صاحبتا البلاغ بعدة بيانات صادرة عن منظمات غير حكومية وأعضاء في المجتمع المدني وممثل منظمة الأمن والتعاون في أوروبا المعني بحرية وسائط الإعلام يدينون فيها تعليق ووقف أنشطة </w:t>
      </w:r>
      <w:proofErr w:type="spellStart"/>
      <w:r w:rsidRPr="00DE7260">
        <w:rPr>
          <w:i/>
          <w:iCs/>
          <w:rtl/>
          <w:lang w:bidi="ar"/>
        </w:rPr>
        <w:t>برافديفايا</w:t>
      </w:r>
      <w:proofErr w:type="spellEnd"/>
      <w:r w:rsidRPr="00DE7260">
        <w:rPr>
          <w:i/>
          <w:iCs/>
          <w:rtl/>
          <w:lang w:bidi="ar"/>
        </w:rPr>
        <w:t xml:space="preserve"> غازيتا.</w:t>
      </w:r>
    </w:p>
    <w:p w14:paraId="4F437EDD" w14:textId="0F57BC03" w:rsidR="00E74FBF" w:rsidRPr="00DE7260" w:rsidRDefault="00EB6BD6" w:rsidP="00EB6BD6">
      <w:pPr>
        <w:pStyle w:val="H23GA"/>
      </w:pPr>
      <w:r w:rsidRPr="00DE7260">
        <w:rPr>
          <w:rtl/>
          <w:lang w:bidi="ar"/>
        </w:rPr>
        <w:tab/>
      </w:r>
      <w:r w:rsidRPr="00DE7260">
        <w:rPr>
          <w:rtl/>
          <w:lang w:bidi="ar"/>
        </w:rPr>
        <w:tab/>
      </w:r>
      <w:r w:rsidR="00E74FBF" w:rsidRPr="00DE7260">
        <w:rPr>
          <w:rtl/>
          <w:lang w:bidi="ar"/>
        </w:rPr>
        <w:t>الشكوى</w:t>
      </w:r>
    </w:p>
    <w:p w14:paraId="6B66B462" w14:textId="78025253" w:rsidR="00E74FBF" w:rsidRPr="00547F64" w:rsidRDefault="00E74FBF" w:rsidP="00E74FBF">
      <w:pPr>
        <w:pStyle w:val="SingleTxtGA"/>
      </w:pPr>
      <w:r w:rsidRPr="00DE7260">
        <w:rPr>
          <w:rtl/>
          <w:lang w:bidi="ar"/>
        </w:rPr>
        <w:t>3</w:t>
      </w:r>
      <w:r w:rsidRPr="00547F64">
        <w:rPr>
          <w:rtl/>
          <w:lang w:bidi="ar"/>
        </w:rPr>
        <w:t>-</w:t>
      </w:r>
      <w:r w:rsidRPr="00DE7260">
        <w:rPr>
          <w:rtl/>
          <w:lang w:bidi="ar"/>
        </w:rPr>
        <w:t>1</w:t>
      </w:r>
      <w:r w:rsidR="00EB6BD6">
        <w:rPr>
          <w:rtl/>
          <w:lang w:val="fr-FR"/>
        </w:rPr>
        <w:tab/>
      </w:r>
      <w:r w:rsidRPr="00547F64">
        <w:rPr>
          <w:rtl/>
          <w:lang w:val="fr-FR"/>
        </w:rPr>
        <w:t>ت</w:t>
      </w:r>
      <w:r w:rsidRPr="00547F64">
        <w:rPr>
          <w:rtl/>
          <w:lang w:bidi="ar"/>
        </w:rPr>
        <w:t>دعي صاحبتا البلاغ أن الدولة الطرف انتهكت حقهما في حرية التعبير، لا سيما حقهما في نقل المعلومات والأفكار من خلال الوسائل المطبوعة، وفق</w:t>
      </w:r>
      <w:r w:rsidR="006531D2">
        <w:rPr>
          <w:rtl/>
          <w:lang w:bidi="ar"/>
        </w:rPr>
        <w:t xml:space="preserve">اً </w:t>
      </w:r>
      <w:r w:rsidRPr="00547F64">
        <w:rPr>
          <w:rtl/>
          <w:lang w:bidi="ar"/>
        </w:rPr>
        <w:t xml:space="preserve">لما تنص عليه المادة </w:t>
      </w:r>
      <w:r w:rsidRPr="00DE7260">
        <w:rPr>
          <w:rtl/>
          <w:lang w:bidi="ar"/>
        </w:rPr>
        <w:t>19</w:t>
      </w:r>
      <w:r w:rsidRPr="00547F64">
        <w:rPr>
          <w:rtl/>
          <w:lang w:bidi="ar"/>
        </w:rPr>
        <w:t xml:space="preserve"> من العهد. وتؤكد صاحبتا البلاغ أن صاحبة البلاغ الثانية هي رئيسة تحرير الصحيفة ومديرتها ومالكتها بحكم الواقع على الرغم من أن الإجراءات القضائية اتُّخذت ضد صاحبة البلاغ الأولى. ودفعت صاحبة البلاغ الثانية جميع أتعاب المحامين والغرامات المحكوم بها. ولذلك، فالقيود المفروضة على الصحيفة كانت مفروضة عليها هي في المقام الأول.</w:t>
      </w:r>
    </w:p>
    <w:p w14:paraId="5E22F41C" w14:textId="0F156458" w:rsidR="00E74FBF" w:rsidRPr="00FD1934" w:rsidRDefault="00E74FBF" w:rsidP="00E74FBF">
      <w:pPr>
        <w:pStyle w:val="SingleTxtGA"/>
        <w:rPr>
          <w:rtl/>
          <w:lang w:val="en-US"/>
        </w:rPr>
      </w:pPr>
      <w:r w:rsidRPr="00DE7260">
        <w:rPr>
          <w:rtl/>
          <w:lang w:bidi="ar"/>
        </w:rPr>
        <w:t>3</w:t>
      </w:r>
      <w:r w:rsidRPr="00547F64">
        <w:rPr>
          <w:rtl/>
          <w:lang w:bidi="ar"/>
        </w:rPr>
        <w:t>-</w:t>
      </w:r>
      <w:r w:rsidRPr="00DE7260">
        <w:rPr>
          <w:rtl/>
          <w:lang w:bidi="ar"/>
        </w:rPr>
        <w:t>2</w:t>
      </w:r>
      <w:r w:rsidR="00EB6BD6">
        <w:rPr>
          <w:rtl/>
          <w:lang w:bidi="ar"/>
        </w:rPr>
        <w:tab/>
      </w:r>
      <w:r w:rsidRPr="00547F64">
        <w:rPr>
          <w:rtl/>
          <w:lang w:bidi="ar"/>
        </w:rPr>
        <w:t>وتدعي صاحبتا البلاغ أن الإجراءات المتمثلة في فرض غرامات إدارية، ومصادرة صحيفة مطبوعة، وتعليق نشرها، ووقف أنشطتها بأمر من المحكمة، كانت بمنزلة تقييد كبير لحقهما في حرية التعبير</w:t>
      </w:r>
      <w:r>
        <w:rPr>
          <w:vertAlign w:val="superscript"/>
          <w:rtl/>
          <w:lang w:bidi="ar"/>
        </w:rPr>
        <w:t>(</w:t>
      </w:r>
      <w:r w:rsidRPr="00DE7260">
        <w:rPr>
          <w:vertAlign w:val="superscript"/>
          <w:lang w:val="en-US" w:bidi="ar"/>
        </w:rPr>
        <w:footnoteReference w:id="8"/>
      </w:r>
      <w:r>
        <w:rPr>
          <w:vertAlign w:val="superscript"/>
          <w:rtl/>
          <w:lang w:bidi="ar"/>
        </w:rPr>
        <w:t>)</w:t>
      </w:r>
      <w:r w:rsidRPr="00547F64">
        <w:rPr>
          <w:rtl/>
          <w:lang w:bidi="ar"/>
        </w:rPr>
        <w:t xml:space="preserve">، وهو ما يتعارض مع المادة </w:t>
      </w:r>
      <w:r w:rsidRPr="00DE7260">
        <w:rPr>
          <w:rtl/>
          <w:lang w:bidi="ar"/>
        </w:rPr>
        <w:t>19</w:t>
      </w:r>
      <w:r w:rsidRPr="00547F64">
        <w:rPr>
          <w:rtl/>
          <w:lang w:bidi="ar"/>
        </w:rPr>
        <w:t>(</w:t>
      </w:r>
      <w:r w:rsidRPr="00DE7260">
        <w:rPr>
          <w:rtl/>
          <w:lang w:bidi="ar"/>
        </w:rPr>
        <w:t>3</w:t>
      </w:r>
      <w:r w:rsidRPr="00547F64">
        <w:rPr>
          <w:rtl/>
          <w:lang w:bidi="ar"/>
        </w:rPr>
        <w:t>) من العهد. وبالإشارة إلى التعليق العام للجنة رقم</w:t>
      </w:r>
      <w:r w:rsidR="007308F6">
        <w:rPr>
          <w:rFonts w:hint="cs"/>
          <w:rtl/>
          <w:lang w:bidi="ar"/>
        </w:rPr>
        <w:t> </w:t>
      </w:r>
      <w:r w:rsidRPr="00DE7260">
        <w:rPr>
          <w:rtl/>
          <w:lang w:bidi="ar"/>
        </w:rPr>
        <w:t>34</w:t>
      </w:r>
      <w:r>
        <w:rPr>
          <w:rtl/>
          <w:lang w:bidi="ar"/>
        </w:rPr>
        <w:t>(</w:t>
      </w:r>
      <w:r w:rsidRPr="00DE7260">
        <w:rPr>
          <w:rtl/>
          <w:lang w:bidi="ar"/>
        </w:rPr>
        <w:t>2011</w:t>
      </w:r>
      <w:r w:rsidRPr="00547F64">
        <w:rPr>
          <w:rtl/>
          <w:lang w:bidi="ar"/>
        </w:rPr>
        <w:t xml:space="preserve">)، تقول المشتكيتان إن القانون لا ينص على التقييد لأن وصف معيار بأنه "قانون" يقتضي، لأغراض المادة </w:t>
      </w:r>
      <w:r w:rsidRPr="00DE7260">
        <w:rPr>
          <w:rtl/>
          <w:lang w:bidi="ar"/>
        </w:rPr>
        <w:t>19</w:t>
      </w:r>
      <w:r>
        <w:rPr>
          <w:rtl/>
          <w:lang w:bidi="ar"/>
        </w:rPr>
        <w:t>(</w:t>
      </w:r>
      <w:r w:rsidRPr="00DE7260">
        <w:rPr>
          <w:rtl/>
          <w:lang w:bidi="ar"/>
        </w:rPr>
        <w:t>3</w:t>
      </w:r>
      <w:r w:rsidRPr="00547F64">
        <w:rPr>
          <w:rtl/>
          <w:lang w:bidi="ar"/>
        </w:rPr>
        <w:t>)، أن يكون نصه قد صيغ بدقة كافية لتمكين الفرد من تنظيم سلوكه وفق</w:t>
      </w:r>
      <w:r w:rsidR="006531D2">
        <w:rPr>
          <w:rtl/>
          <w:lang w:bidi="ar"/>
        </w:rPr>
        <w:t xml:space="preserve">اً </w:t>
      </w:r>
      <w:r w:rsidRPr="00547F64">
        <w:rPr>
          <w:rtl/>
          <w:lang w:bidi="ar"/>
        </w:rPr>
        <w:t>له، وأضافتا أن الاطّلاع على المعيار يجب أن يكون متاح</w:t>
      </w:r>
      <w:r w:rsidR="006531D2">
        <w:rPr>
          <w:rtl/>
          <w:lang w:bidi="ar"/>
        </w:rPr>
        <w:t xml:space="preserve">اً </w:t>
      </w:r>
      <w:r w:rsidRPr="00547F64">
        <w:rPr>
          <w:rtl/>
          <w:lang w:bidi="ar"/>
        </w:rPr>
        <w:t xml:space="preserve">للجمهور. ويجب أن يوفر القانون التوجيه الكافي للمكلفين بتنفيذه لتمكينهم من التأكد من أنواع التعبير المقيّدة بشكل صحيح (الفقرة </w:t>
      </w:r>
      <w:r w:rsidRPr="00DE7260">
        <w:rPr>
          <w:rtl/>
          <w:lang w:bidi="ar"/>
        </w:rPr>
        <w:t>25</w:t>
      </w:r>
      <w:r w:rsidRPr="00547F64">
        <w:rPr>
          <w:rtl/>
          <w:lang w:bidi="ar"/>
        </w:rPr>
        <w:t xml:space="preserve">). وتدعي صاحبتا البلاغ أن المادة </w:t>
      </w:r>
      <w:r w:rsidRPr="00DE7260">
        <w:rPr>
          <w:rtl/>
          <w:lang w:bidi="ar"/>
        </w:rPr>
        <w:t>13</w:t>
      </w:r>
      <w:r>
        <w:rPr>
          <w:rtl/>
          <w:lang w:bidi="ar"/>
        </w:rPr>
        <w:t>(</w:t>
      </w:r>
      <w:r w:rsidRPr="00DE7260">
        <w:rPr>
          <w:rtl/>
          <w:lang w:bidi="ar"/>
        </w:rPr>
        <w:t>4</w:t>
      </w:r>
      <w:r w:rsidRPr="00547F64">
        <w:rPr>
          <w:rtl/>
          <w:lang w:bidi="ar"/>
        </w:rPr>
        <w:t xml:space="preserve">) من قانون وسائط الإعلام الجماهيري، التي استخدمت كأساس للأمر بوقف نشر </w:t>
      </w:r>
      <w:proofErr w:type="spellStart"/>
      <w:r w:rsidRPr="00DE7260">
        <w:rPr>
          <w:i/>
          <w:iCs/>
          <w:rtl/>
          <w:lang w:bidi="ar"/>
        </w:rPr>
        <w:t>برافديفايا</w:t>
      </w:r>
      <w:proofErr w:type="spellEnd"/>
      <w:r w:rsidRPr="00DE7260">
        <w:rPr>
          <w:i/>
          <w:iCs/>
          <w:rtl/>
          <w:lang w:bidi="ar"/>
        </w:rPr>
        <w:t xml:space="preserve"> غازيتا،</w:t>
      </w:r>
      <w:r w:rsidR="006531D2" w:rsidRPr="00DE7260">
        <w:rPr>
          <w:rFonts w:hint="cs"/>
          <w:i/>
          <w:iCs/>
          <w:rtl/>
          <w:lang w:bidi="ar"/>
        </w:rPr>
        <w:t xml:space="preserve"> </w:t>
      </w:r>
      <w:r w:rsidRPr="00547F64">
        <w:rPr>
          <w:rtl/>
          <w:lang w:bidi="ar"/>
        </w:rPr>
        <w:t>لا تفي بتلك الشروط لأنها غامضة وفضفاضة للغاية، وتسمح بالتفسير الذاتي ويمكن استخدامها لتعليق وسائل الإعلام</w:t>
      </w:r>
      <w:r w:rsidR="00EB6BD6">
        <w:rPr>
          <w:rtl/>
          <w:lang w:bidi="ar"/>
        </w:rPr>
        <w:t xml:space="preserve"> </w:t>
      </w:r>
      <w:r w:rsidRPr="00547F64">
        <w:rPr>
          <w:rtl/>
          <w:lang w:bidi="ar"/>
        </w:rPr>
        <w:t xml:space="preserve">"بسبب أخطاء مطبعية بسيطة". وتدعي صاحبتا البلاغ كذلك أن السلطات الوطنية لم تحتجّ بأي أهداف مشروعة للتقييد المستند إلى المادة </w:t>
      </w:r>
      <w:r w:rsidRPr="00DE7260">
        <w:rPr>
          <w:rtl/>
          <w:lang w:bidi="ar"/>
        </w:rPr>
        <w:t>19</w:t>
      </w:r>
      <w:r>
        <w:rPr>
          <w:rtl/>
          <w:lang w:bidi="ar"/>
        </w:rPr>
        <w:t>(</w:t>
      </w:r>
      <w:r w:rsidRPr="00DE7260">
        <w:rPr>
          <w:rtl/>
          <w:lang w:bidi="ar"/>
        </w:rPr>
        <w:t>3</w:t>
      </w:r>
      <w:r w:rsidRPr="00547F64">
        <w:rPr>
          <w:rtl/>
          <w:lang w:bidi="ar"/>
        </w:rPr>
        <w:t xml:space="preserve">) من العهد. وكان الغرض </w:t>
      </w:r>
      <w:r w:rsidRPr="00D36EB0">
        <w:rPr>
          <w:rtl/>
          <w:lang w:bidi="ar"/>
        </w:rPr>
        <w:lastRenderedPageBreak/>
        <w:t xml:space="preserve">الوحيد من تقييد حريتهما في التعبير بدوافع سياسية هو رغبة السلطات في منع توزيع </w:t>
      </w:r>
      <w:proofErr w:type="spellStart"/>
      <w:r w:rsidRPr="00DE7260">
        <w:rPr>
          <w:i/>
          <w:iCs/>
          <w:rtl/>
          <w:lang w:bidi="ar"/>
        </w:rPr>
        <w:t>برافديفايا</w:t>
      </w:r>
      <w:proofErr w:type="spellEnd"/>
      <w:r w:rsidRPr="00DE7260">
        <w:rPr>
          <w:i/>
          <w:iCs/>
          <w:rtl/>
          <w:lang w:bidi="ar"/>
        </w:rPr>
        <w:t xml:space="preserve"> غازيتا</w:t>
      </w:r>
      <w:r w:rsidRPr="00D36EB0">
        <w:rPr>
          <w:rtl/>
          <w:lang w:bidi="ar"/>
        </w:rPr>
        <w:t xml:space="preserve"> بسبب المقالات المنتقدة التي تنشرها. وتؤكد صاحبتا البلاغ أنه حتى لو قبلت اللجنة أن القيود كانت تهدف إلى تحقيق هدف مشروع، فينبغي اعتبارها غير متناسبة. وتقول صاحبتا البلاغ إن التعسف الذي تعرضت له الصحيفة بدأ في اليوم التالي لنشر عددها الأول. وتدعي المشتكيتان أن انتهاكات القانون المحلي التي يزعم أن الصحيفة ارتكبتها كان يمكن تصحيحها بتدابير أقل تقييد</w:t>
      </w:r>
      <w:r w:rsidR="006531D2" w:rsidRPr="00D36EB0">
        <w:rPr>
          <w:rtl/>
          <w:lang w:bidi="ar"/>
        </w:rPr>
        <w:t xml:space="preserve">اً، </w:t>
      </w:r>
      <w:r w:rsidRPr="00D36EB0">
        <w:rPr>
          <w:rtl/>
          <w:lang w:bidi="ar"/>
        </w:rPr>
        <w:t>مثل طلب التصحيح أو</w:t>
      </w:r>
      <w:r w:rsidR="006531D2" w:rsidRPr="00D36EB0">
        <w:rPr>
          <w:rFonts w:hint="cs"/>
          <w:rtl/>
          <w:lang w:bidi="ar"/>
        </w:rPr>
        <w:t> </w:t>
      </w:r>
      <w:r w:rsidRPr="00D36EB0">
        <w:rPr>
          <w:rtl/>
          <w:lang w:bidi="ar"/>
        </w:rPr>
        <w:t>تحذير بسيط. ولم تكن الغرامات الباهظة وتعليق الصحيفة ضروريين ولا متناسبين مع أي غاية معقولة.</w:t>
      </w:r>
    </w:p>
    <w:p w14:paraId="7DFBAE36" w14:textId="4F8D738A" w:rsidR="00E74FBF" w:rsidRPr="00EB6BD6" w:rsidRDefault="00E74FBF" w:rsidP="00E74FBF">
      <w:pPr>
        <w:pStyle w:val="SingleTxtGA"/>
      </w:pPr>
      <w:r w:rsidRPr="00DE7260">
        <w:rPr>
          <w:rtl/>
          <w:lang w:bidi="ar"/>
        </w:rPr>
        <w:t>3</w:t>
      </w:r>
      <w:r w:rsidRPr="00547F64">
        <w:rPr>
          <w:rtl/>
          <w:lang w:bidi="ar"/>
        </w:rPr>
        <w:t>-</w:t>
      </w:r>
      <w:r w:rsidR="00EB6BD6" w:rsidRPr="00DE7260">
        <w:rPr>
          <w:rFonts w:hint="cs"/>
          <w:rtl/>
          <w:lang w:bidi="ar"/>
        </w:rPr>
        <w:t>3</w:t>
      </w:r>
      <w:r w:rsidR="00EB6BD6">
        <w:rPr>
          <w:rtl/>
          <w:lang w:bidi="ar"/>
        </w:rPr>
        <w:tab/>
      </w:r>
      <w:r w:rsidRPr="00547F64">
        <w:rPr>
          <w:rtl/>
          <w:lang w:bidi="ar"/>
        </w:rPr>
        <w:t xml:space="preserve">وتدفع صاحبتا البلاغ بأن حرية التعبير في كازاخستان تتعرض لانتهاكات منهجية على الرغم من أن دستور الدولة الطرف يضمن حرية التعبير ولا يسمح بالقيود المفروضة على هذا الحق "إلا بالقدر اللازم لحماية النظام الدستوري والدفاع عن النظام العام وحقوق الإنسان والحريات وصحة السكان وأخلاقهم" (المادتان </w:t>
      </w:r>
      <w:r w:rsidRPr="00DE7260">
        <w:rPr>
          <w:rtl/>
          <w:lang w:bidi="ar"/>
        </w:rPr>
        <w:t>20</w:t>
      </w:r>
      <w:r w:rsidRPr="00547F64">
        <w:rPr>
          <w:rtl/>
          <w:lang w:bidi="ar"/>
        </w:rPr>
        <w:t xml:space="preserve"> و</w:t>
      </w:r>
      <w:r w:rsidRPr="00DE7260">
        <w:rPr>
          <w:rtl/>
          <w:lang w:bidi="ar"/>
        </w:rPr>
        <w:t>39</w:t>
      </w:r>
      <w:r w:rsidRPr="00547F64">
        <w:rPr>
          <w:rtl/>
          <w:lang w:bidi="ar"/>
        </w:rPr>
        <w:t>). وأدى التخويف والضغط إلى فرض الرقابة الذاتية على الصحفيين، كما أن أنشطة وسائط الإعلام المستقلة والمؤيدة للمعارضة أصبحت مستحيلة عملي</w:t>
      </w:r>
      <w:r w:rsidR="006531D2">
        <w:rPr>
          <w:rtl/>
          <w:lang w:bidi="ar"/>
        </w:rPr>
        <w:t xml:space="preserve">اً. </w:t>
      </w:r>
      <w:r w:rsidRPr="00547F64">
        <w:rPr>
          <w:rtl/>
          <w:lang w:bidi="ar"/>
        </w:rPr>
        <w:t xml:space="preserve">وتشير صاحبتا البلاغ إلى تقرير المقرر الخاص المعني باستقلال القضاة والمحامين عقب زيارته لكازاخستان في عام </w:t>
      </w:r>
      <w:r w:rsidRPr="00DE7260">
        <w:rPr>
          <w:rtl/>
          <w:lang w:bidi="ar"/>
        </w:rPr>
        <w:t>2004</w:t>
      </w:r>
      <w:r w:rsidRPr="00547F64">
        <w:rPr>
          <w:rtl/>
          <w:lang w:bidi="ar"/>
        </w:rPr>
        <w:t>، الذي أشار فيه إلى أن "الحكومة تراقب عن كثب حرية التعبير"</w:t>
      </w:r>
      <w:r w:rsidR="00EB6BD6">
        <w:rPr>
          <w:rtl/>
          <w:lang w:bidi="ar"/>
        </w:rPr>
        <w:t xml:space="preserve"> </w:t>
      </w:r>
      <w:proofErr w:type="spellStart"/>
      <w:r w:rsidR="00EB6BD6">
        <w:rPr>
          <w:rtl/>
          <w:lang w:bidi="ar"/>
        </w:rPr>
        <w:t>و</w:t>
      </w:r>
      <w:r w:rsidRPr="00547F64">
        <w:rPr>
          <w:rtl/>
          <w:lang w:bidi="ar"/>
        </w:rPr>
        <w:t>"أن</w:t>
      </w:r>
      <w:proofErr w:type="spellEnd"/>
      <w:r w:rsidRPr="00547F64">
        <w:rPr>
          <w:rtl/>
          <w:lang w:bidi="ar"/>
        </w:rPr>
        <w:t xml:space="preserve"> عدد</w:t>
      </w:r>
      <w:r w:rsidR="006531D2">
        <w:rPr>
          <w:rtl/>
          <w:lang w:bidi="ar"/>
        </w:rPr>
        <w:t xml:space="preserve">اً </w:t>
      </w:r>
      <w:r w:rsidRPr="00547F64">
        <w:rPr>
          <w:rtl/>
          <w:lang w:bidi="ar"/>
        </w:rPr>
        <w:t>من القضايا التي أُقيمت أمام المحاكم ضد أعضاء المعارضة السياسية أو الصحفيين أو غيرهم من الناشطين ... تدل على وجود إساءة استخدام محتملة للسلطة القضائية للسيطرة على المعارضة السياسية أو مخالفي الرأي وتقويض سيادة القانون"</w:t>
      </w:r>
      <w:r>
        <w:rPr>
          <w:vertAlign w:val="superscript"/>
          <w:rtl/>
          <w:lang w:bidi="ar"/>
        </w:rPr>
        <w:t>(</w:t>
      </w:r>
      <w:r w:rsidRPr="00DE7260">
        <w:rPr>
          <w:vertAlign w:val="superscript"/>
          <w:lang w:val="en-US" w:bidi="ar"/>
        </w:rPr>
        <w:footnoteReference w:id="9"/>
      </w:r>
      <w:r>
        <w:rPr>
          <w:vertAlign w:val="superscript"/>
          <w:rtl/>
          <w:lang w:bidi="ar"/>
        </w:rPr>
        <w:t>)</w:t>
      </w:r>
      <w:r w:rsidRPr="00547F64">
        <w:rPr>
          <w:rtl/>
          <w:lang w:bidi="ar"/>
        </w:rPr>
        <w:t>. وتشير صاحبتا البلاغ إلى تقارير قدمتها منظمات مختلفة توضح كيف تُقيَّد الأنشطة الإعلامية المستقلة بانتظام عن طريق الإجراءات القضائية</w:t>
      </w:r>
      <w:r>
        <w:rPr>
          <w:vertAlign w:val="superscript"/>
          <w:rtl/>
          <w:lang w:bidi="ar"/>
        </w:rPr>
        <w:t>(</w:t>
      </w:r>
      <w:r w:rsidRPr="00DE7260">
        <w:rPr>
          <w:vertAlign w:val="superscript"/>
          <w:lang w:val="en-US" w:bidi="ar"/>
        </w:rPr>
        <w:footnoteReference w:id="10"/>
      </w:r>
      <w:r>
        <w:rPr>
          <w:vertAlign w:val="superscript"/>
          <w:rtl/>
          <w:lang w:bidi="ar"/>
        </w:rPr>
        <w:t>)</w:t>
      </w:r>
      <w:r w:rsidR="00EB6BD6">
        <w:rPr>
          <w:rFonts w:hint="cs"/>
          <w:rtl/>
          <w:lang w:bidi="ar"/>
        </w:rPr>
        <w:t>.</w:t>
      </w:r>
    </w:p>
    <w:p w14:paraId="3B5737DE" w14:textId="5A2BAE5C" w:rsidR="00E74FBF" w:rsidRPr="00547F64" w:rsidRDefault="00E74FBF" w:rsidP="00E74FBF">
      <w:pPr>
        <w:pStyle w:val="SingleTxtGA"/>
      </w:pPr>
      <w:r w:rsidRPr="00DE7260">
        <w:rPr>
          <w:rtl/>
          <w:lang w:bidi="ar"/>
        </w:rPr>
        <w:t>3</w:t>
      </w:r>
      <w:r w:rsidRPr="00547F64">
        <w:rPr>
          <w:rtl/>
          <w:lang w:bidi="ar"/>
        </w:rPr>
        <w:t>-</w:t>
      </w:r>
      <w:r w:rsidR="00EB6BD6" w:rsidRPr="00DE7260">
        <w:rPr>
          <w:rFonts w:hint="cs"/>
          <w:rtl/>
          <w:lang w:bidi="ar"/>
        </w:rPr>
        <w:t>4</w:t>
      </w:r>
      <w:r w:rsidR="00EB6BD6">
        <w:rPr>
          <w:rtl/>
          <w:lang w:bidi="ar"/>
        </w:rPr>
        <w:tab/>
      </w:r>
      <w:r w:rsidRPr="00547F64">
        <w:rPr>
          <w:rtl/>
          <w:lang w:bidi="ar"/>
        </w:rPr>
        <w:t xml:space="preserve">وتدعي صاحبة البلاغ الأولى انتهاك حقها في محاكمة عادلة بموجب المادة </w:t>
      </w:r>
      <w:r w:rsidRPr="00DE7260">
        <w:rPr>
          <w:rtl/>
          <w:lang w:bidi="ar"/>
        </w:rPr>
        <w:t>14</w:t>
      </w:r>
      <w:r w:rsidRPr="00547F64">
        <w:rPr>
          <w:rtl/>
          <w:lang w:bidi="ar"/>
        </w:rPr>
        <w:t>(</w:t>
      </w:r>
      <w:r w:rsidRPr="00DE7260">
        <w:rPr>
          <w:rtl/>
          <w:lang w:bidi="ar"/>
        </w:rPr>
        <w:t>3</w:t>
      </w:r>
      <w:r w:rsidRPr="00547F64">
        <w:rPr>
          <w:rtl/>
          <w:lang w:bidi="ar"/>
        </w:rPr>
        <w:t>)</w:t>
      </w:r>
      <w:r>
        <w:rPr>
          <w:rtl/>
          <w:lang w:bidi="ar"/>
        </w:rPr>
        <w:t>(</w:t>
      </w:r>
      <w:r w:rsidRPr="00547F64">
        <w:rPr>
          <w:rtl/>
          <w:lang w:bidi="ar"/>
        </w:rPr>
        <w:t xml:space="preserve">ب) و(د) و(ه) من العهد. وتقول إن المداولات القضائية المؤرخة </w:t>
      </w:r>
      <w:r w:rsidRPr="00DE7260">
        <w:rPr>
          <w:rtl/>
          <w:lang w:bidi="ar"/>
        </w:rPr>
        <w:t>5</w:t>
      </w:r>
      <w:r w:rsidRPr="00547F64">
        <w:rPr>
          <w:rtl/>
          <w:lang w:bidi="ar"/>
        </w:rPr>
        <w:t xml:space="preserve"> كانون الأول/ديسمبر </w:t>
      </w:r>
      <w:r w:rsidRPr="00DE7260">
        <w:rPr>
          <w:rtl/>
          <w:lang w:bidi="ar"/>
        </w:rPr>
        <w:t>2013</w:t>
      </w:r>
      <w:r w:rsidRPr="00547F64">
        <w:rPr>
          <w:rtl/>
          <w:lang w:bidi="ar"/>
        </w:rPr>
        <w:t xml:space="preserve"> كانت غير عادلة </w:t>
      </w:r>
      <w:r w:rsidRPr="00547F64">
        <w:rPr>
          <w:rtl/>
          <w:lang w:val="fr-FR"/>
        </w:rPr>
        <w:t>بصورة</w:t>
      </w:r>
      <w:r w:rsidRPr="00547F64">
        <w:rPr>
          <w:rtl/>
          <w:lang w:bidi="ar"/>
        </w:rPr>
        <w:t xml:space="preserve"> واضحة. ولم تُخطَر هي أو ممثلها القانوني بوقت ومكان جلسات الاستماع لأن الاستدعاء أرسل إلى عنوان غير صحيح. ولم يُرسل أي استدعاء إلى العنوان الذي تقيم فيه أو العنوان المسجل لنشاطها كسيدة أعمال، أو إلى عنوان محاميها أو عنوان </w:t>
      </w:r>
      <w:proofErr w:type="spellStart"/>
      <w:r w:rsidRPr="00DE7260">
        <w:rPr>
          <w:i/>
          <w:iCs/>
          <w:rtl/>
          <w:lang w:bidi="ar"/>
        </w:rPr>
        <w:t>برافديفايا</w:t>
      </w:r>
      <w:proofErr w:type="spellEnd"/>
      <w:r w:rsidRPr="00DE7260">
        <w:rPr>
          <w:i/>
          <w:iCs/>
          <w:rtl/>
          <w:lang w:bidi="ar"/>
        </w:rPr>
        <w:t xml:space="preserve"> غازيتا.</w:t>
      </w:r>
      <w:r w:rsidRPr="00547F64">
        <w:rPr>
          <w:rtl/>
          <w:lang w:bidi="ar"/>
        </w:rPr>
        <w:t xml:space="preserve"> وقد قدمت إدارة السياسات الداخلية في </w:t>
      </w:r>
      <w:proofErr w:type="spellStart"/>
      <w:r w:rsidRPr="00547F64">
        <w:rPr>
          <w:rtl/>
          <w:lang w:bidi="ar"/>
        </w:rPr>
        <w:t>ألماتي</w:t>
      </w:r>
      <w:proofErr w:type="spellEnd"/>
      <w:r w:rsidRPr="00547F64">
        <w:rPr>
          <w:rtl/>
          <w:lang w:bidi="ar"/>
        </w:rPr>
        <w:t xml:space="preserve"> العنوان غير الصحيح إلى سجل المحكمة. وتدعي صاحبة البلاغ الأولى أن السجل كان على علم بعنوانها الفعلي لأن المحكمة استخدمته في قضايا أخرى لا تزال جارية.</w:t>
      </w:r>
    </w:p>
    <w:p w14:paraId="1C070901" w14:textId="38C42D7F" w:rsidR="00E74FBF" w:rsidRPr="00547F64" w:rsidRDefault="00EB6BD6" w:rsidP="00E74FBF">
      <w:pPr>
        <w:pStyle w:val="SingleTxtGA"/>
      </w:pPr>
      <w:r w:rsidRPr="00DE7260">
        <w:rPr>
          <w:rFonts w:hint="cs"/>
          <w:rtl/>
          <w:lang w:bidi="ar"/>
        </w:rPr>
        <w:t>3</w:t>
      </w:r>
      <w:r>
        <w:rPr>
          <w:rFonts w:hint="cs"/>
          <w:rtl/>
          <w:lang w:bidi="ar"/>
        </w:rPr>
        <w:t>-</w:t>
      </w:r>
      <w:r w:rsidRPr="00DE7260">
        <w:rPr>
          <w:rFonts w:hint="cs"/>
          <w:rtl/>
          <w:lang w:bidi="ar"/>
        </w:rPr>
        <w:t>5</w:t>
      </w:r>
      <w:r>
        <w:rPr>
          <w:rtl/>
          <w:lang w:bidi="ar"/>
        </w:rPr>
        <w:tab/>
      </w:r>
      <w:r w:rsidR="00E74FBF" w:rsidRPr="00547F64">
        <w:rPr>
          <w:rtl/>
          <w:lang w:bidi="ar"/>
        </w:rPr>
        <w:t>وإذ أشارت صاحبة البلاغ الأولى إلى سوابق اللجنة المتمثلة في أنها لا تقيّم الوقائع والأدلة إلا</w:t>
      </w:r>
      <w:r>
        <w:rPr>
          <w:rFonts w:hint="cs"/>
          <w:rtl/>
          <w:lang w:bidi="ar"/>
        </w:rPr>
        <w:t> </w:t>
      </w:r>
      <w:r w:rsidR="00E74FBF" w:rsidRPr="00547F64">
        <w:rPr>
          <w:rtl/>
          <w:lang w:bidi="ar"/>
        </w:rPr>
        <w:t>إذا كان تقييمها من جانب السلطات القضائية الوطنية تعسفي</w:t>
      </w:r>
      <w:r w:rsidR="006531D2">
        <w:rPr>
          <w:rtl/>
          <w:lang w:bidi="ar"/>
        </w:rPr>
        <w:t xml:space="preserve">اً </w:t>
      </w:r>
      <w:r w:rsidR="00E74FBF" w:rsidRPr="00547F64">
        <w:rPr>
          <w:rtl/>
          <w:lang w:bidi="ar"/>
        </w:rPr>
        <w:t>بصورة واضحة أو كان بمنزلة إنكار للعدالة</w:t>
      </w:r>
      <w:r w:rsidR="00E74FBF">
        <w:rPr>
          <w:vertAlign w:val="superscript"/>
          <w:rtl/>
          <w:lang w:bidi="ar"/>
        </w:rPr>
        <w:t>(</w:t>
      </w:r>
      <w:r w:rsidR="00E74FBF" w:rsidRPr="00DE7260">
        <w:rPr>
          <w:vertAlign w:val="superscript"/>
          <w:lang w:val="en-US" w:bidi="ar"/>
        </w:rPr>
        <w:footnoteReference w:id="11"/>
      </w:r>
      <w:r w:rsidR="00E74FBF">
        <w:rPr>
          <w:vertAlign w:val="superscript"/>
          <w:rtl/>
          <w:lang w:bidi="ar"/>
        </w:rPr>
        <w:t>)</w:t>
      </w:r>
      <w:r w:rsidR="00E74FBF" w:rsidRPr="00547F64">
        <w:rPr>
          <w:rtl/>
          <w:lang w:bidi="ar"/>
        </w:rPr>
        <w:t>، أوضحت أن الانتهاكات الموضوعية المذكورة أعلاه وصلت إلى حد إنكار العدالة بالنظر إلى</w:t>
      </w:r>
      <w:r w:rsidR="00FD1934">
        <w:rPr>
          <w:rFonts w:hint="cs"/>
          <w:rtl/>
          <w:lang w:bidi="ar"/>
        </w:rPr>
        <w:t> </w:t>
      </w:r>
      <w:r w:rsidR="00E74FBF" w:rsidRPr="00547F64">
        <w:rPr>
          <w:rtl/>
          <w:lang w:bidi="ar"/>
        </w:rPr>
        <w:t>أن جلسات الاستماع جرت في غيابها نتيجة لإشعار غير سليم وإلى رفض المحاكم المحلية التحقيق على النحو الواجب في ملابسات القضية وفحص الأدلة، مما أدى إلى تقييمها غير المعقول.</w:t>
      </w:r>
    </w:p>
    <w:p w14:paraId="54F13E88" w14:textId="4A683D31" w:rsidR="00E74FBF" w:rsidRPr="00EB6BD6" w:rsidRDefault="00E74FBF" w:rsidP="00E74FBF">
      <w:pPr>
        <w:pStyle w:val="SingleTxtGA"/>
      </w:pPr>
      <w:r w:rsidRPr="00DE7260">
        <w:rPr>
          <w:rtl/>
          <w:lang w:bidi="ar"/>
        </w:rPr>
        <w:lastRenderedPageBreak/>
        <w:t>3</w:t>
      </w:r>
      <w:r w:rsidRPr="00547F64">
        <w:rPr>
          <w:rtl/>
          <w:lang w:bidi="ar"/>
        </w:rPr>
        <w:t>-</w:t>
      </w:r>
      <w:r w:rsidRPr="00DE7260">
        <w:rPr>
          <w:rtl/>
          <w:lang w:bidi="ar"/>
        </w:rPr>
        <w:t>6</w:t>
      </w:r>
      <w:r w:rsidR="006531D2">
        <w:rPr>
          <w:rtl/>
          <w:lang w:bidi="ar"/>
        </w:rPr>
        <w:tab/>
      </w:r>
      <w:r w:rsidRPr="00547F64">
        <w:rPr>
          <w:rtl/>
          <w:lang w:bidi="ar"/>
        </w:rPr>
        <w:t xml:space="preserve">وتؤكد صاحبة البلاغ الأولى أنه على الرغم من أن المادة </w:t>
      </w:r>
      <w:r w:rsidRPr="00DE7260">
        <w:rPr>
          <w:rtl/>
          <w:lang w:bidi="ar"/>
        </w:rPr>
        <w:t>14</w:t>
      </w:r>
      <w:r>
        <w:rPr>
          <w:rtl/>
          <w:lang w:bidi="ar"/>
        </w:rPr>
        <w:t>(</w:t>
      </w:r>
      <w:r w:rsidRPr="00DE7260">
        <w:rPr>
          <w:rtl/>
          <w:lang w:bidi="ar"/>
        </w:rPr>
        <w:t>3</w:t>
      </w:r>
      <w:r w:rsidRPr="00547F64">
        <w:rPr>
          <w:rtl/>
          <w:lang w:bidi="ar"/>
        </w:rPr>
        <w:t>) من العهد تشير إلى البت في "تهمة جزائية"، فإن الضمانات الإجرائية التي تنص عليها تنطبق في قضيتها. وتشير إلى اجتهاد المحكمة الأوروبية لحقوق الإنسان الذي ينص على أن وصف جرائم، استناد</w:t>
      </w:r>
      <w:r w:rsidR="006531D2">
        <w:rPr>
          <w:rtl/>
          <w:lang w:bidi="ar"/>
        </w:rPr>
        <w:t xml:space="preserve">اً </w:t>
      </w:r>
      <w:r w:rsidRPr="00547F64">
        <w:rPr>
          <w:rtl/>
          <w:lang w:bidi="ar"/>
        </w:rPr>
        <w:t>إلى تصنيف القانون المحلي، بأنها جرائم إدارية أو جنائية أمر "لا يكتسي سوى قيمة نسبية"</w:t>
      </w:r>
      <w:r>
        <w:rPr>
          <w:vertAlign w:val="superscript"/>
          <w:rtl/>
          <w:lang w:bidi="ar"/>
        </w:rPr>
        <w:t>(</w:t>
      </w:r>
      <w:r w:rsidRPr="00DE7260">
        <w:rPr>
          <w:vertAlign w:val="superscript"/>
          <w:lang w:val="en-US" w:bidi="ar"/>
        </w:rPr>
        <w:footnoteReference w:id="12"/>
      </w:r>
      <w:r>
        <w:rPr>
          <w:vertAlign w:val="superscript"/>
          <w:rtl/>
          <w:lang w:bidi="ar"/>
        </w:rPr>
        <w:t>)</w:t>
      </w:r>
      <w:r w:rsidRPr="00547F64">
        <w:rPr>
          <w:rtl/>
          <w:lang w:bidi="ar"/>
        </w:rPr>
        <w:t>. ولتحديد ما إذا كان يتعين النظر إلى عملية معينة على أنها جنائية أو إدارية، يجب النظر بدل</w:t>
      </w:r>
      <w:r w:rsidR="006531D2">
        <w:rPr>
          <w:rtl/>
          <w:lang w:bidi="ar"/>
        </w:rPr>
        <w:t xml:space="preserve">اً </w:t>
      </w:r>
      <w:r w:rsidRPr="00547F64">
        <w:rPr>
          <w:rtl/>
          <w:lang w:bidi="ar"/>
        </w:rPr>
        <w:t>من ذلك في طبيعة العقوبة ودرجتها</w:t>
      </w:r>
      <w:r>
        <w:rPr>
          <w:vertAlign w:val="superscript"/>
          <w:rtl/>
          <w:lang w:bidi="ar"/>
        </w:rPr>
        <w:t>(</w:t>
      </w:r>
      <w:r w:rsidRPr="00DE7260">
        <w:rPr>
          <w:vertAlign w:val="superscript"/>
          <w:lang w:val="en-US" w:bidi="ar"/>
        </w:rPr>
        <w:footnoteReference w:id="13"/>
      </w:r>
      <w:r>
        <w:rPr>
          <w:vertAlign w:val="superscript"/>
          <w:rtl/>
          <w:lang w:bidi="ar"/>
        </w:rPr>
        <w:t>)</w:t>
      </w:r>
      <w:r w:rsidRPr="00547F64">
        <w:rPr>
          <w:rtl/>
          <w:lang w:bidi="ar"/>
        </w:rPr>
        <w:t xml:space="preserve">. وقد حُكم على صاحبة البلاغ الأولى بغرامة إدارية تعادل </w:t>
      </w:r>
      <w:r w:rsidRPr="00DE7260">
        <w:rPr>
          <w:rtl/>
          <w:lang w:bidi="ar"/>
        </w:rPr>
        <w:t>50</w:t>
      </w:r>
      <w:r w:rsidRPr="00547F64">
        <w:rPr>
          <w:rtl/>
          <w:lang w:bidi="ar"/>
        </w:rPr>
        <w:t xml:space="preserve"> مثل</w:t>
      </w:r>
      <w:r w:rsidR="006531D2">
        <w:rPr>
          <w:rtl/>
          <w:lang w:bidi="ar"/>
        </w:rPr>
        <w:t xml:space="preserve">اً </w:t>
      </w:r>
      <w:r w:rsidRPr="00547F64">
        <w:rPr>
          <w:rtl/>
          <w:lang w:bidi="ar"/>
        </w:rPr>
        <w:t>لقيمة مؤشر الحساب الشهري، وهو ضعف الحد الأدنى للغرامة المنصوص عليها في القانون الجنائي</w:t>
      </w:r>
      <w:r>
        <w:rPr>
          <w:vertAlign w:val="superscript"/>
          <w:rtl/>
          <w:lang w:bidi="ar"/>
        </w:rPr>
        <w:t>(</w:t>
      </w:r>
      <w:r w:rsidRPr="00DE7260">
        <w:rPr>
          <w:vertAlign w:val="superscript"/>
          <w:lang w:val="en-US" w:bidi="ar"/>
        </w:rPr>
        <w:footnoteReference w:id="14"/>
      </w:r>
      <w:r>
        <w:rPr>
          <w:vertAlign w:val="superscript"/>
          <w:rtl/>
          <w:lang w:bidi="ar"/>
        </w:rPr>
        <w:t>)</w:t>
      </w:r>
      <w:r w:rsidRPr="00547F64">
        <w:rPr>
          <w:rtl/>
          <w:lang w:bidi="ar"/>
        </w:rPr>
        <w:t xml:space="preserve">. وقد صودرت النسخة المطبوعة الكاملة من العدد رقم </w:t>
      </w:r>
      <w:r w:rsidRPr="00DE7260">
        <w:rPr>
          <w:rtl/>
          <w:lang w:bidi="ar"/>
        </w:rPr>
        <w:t>17</w:t>
      </w:r>
      <w:r w:rsidRPr="00547F64">
        <w:rPr>
          <w:rtl/>
          <w:lang w:bidi="ar"/>
        </w:rPr>
        <w:t xml:space="preserve"> من</w:t>
      </w:r>
      <w:r w:rsidR="00EB6BD6">
        <w:rPr>
          <w:rtl/>
          <w:lang w:bidi="ar"/>
        </w:rPr>
        <w:t xml:space="preserve"> </w:t>
      </w:r>
      <w:proofErr w:type="spellStart"/>
      <w:r w:rsidRPr="00DE7260">
        <w:rPr>
          <w:i/>
          <w:iCs/>
          <w:rtl/>
          <w:lang w:bidi="ar"/>
        </w:rPr>
        <w:t>برافديفايا</w:t>
      </w:r>
      <w:proofErr w:type="spellEnd"/>
      <w:r w:rsidRPr="00DE7260">
        <w:rPr>
          <w:i/>
          <w:iCs/>
          <w:rtl/>
          <w:lang w:bidi="ar"/>
        </w:rPr>
        <w:t xml:space="preserve"> غازيتا</w:t>
      </w:r>
      <w:r w:rsidR="00EB6BD6">
        <w:rPr>
          <w:rtl/>
          <w:lang w:bidi="ar"/>
        </w:rPr>
        <w:t xml:space="preserve"> </w:t>
      </w:r>
      <w:r w:rsidRPr="00547F64">
        <w:rPr>
          <w:rtl/>
          <w:lang w:bidi="ar"/>
        </w:rPr>
        <w:t>وحُظر نشر الصحيفة لمدة ثلاثة أشهر، مما أدى، وفق</w:t>
      </w:r>
      <w:r w:rsidR="006531D2">
        <w:rPr>
          <w:rtl/>
          <w:lang w:bidi="ar"/>
        </w:rPr>
        <w:t xml:space="preserve">اً </w:t>
      </w:r>
      <w:r w:rsidRPr="00547F64">
        <w:rPr>
          <w:rtl/>
          <w:lang w:bidi="ar"/>
        </w:rPr>
        <w:t>لصاحبتي البلاغ، إلى "شلها بالكامل".</w:t>
      </w:r>
      <w:r w:rsidR="00EB6BD6">
        <w:rPr>
          <w:rtl/>
          <w:lang w:bidi="ar"/>
        </w:rPr>
        <w:t xml:space="preserve"> </w:t>
      </w:r>
      <w:r w:rsidRPr="00547F64">
        <w:rPr>
          <w:rtl/>
          <w:lang w:bidi="ar"/>
        </w:rPr>
        <w:t>ولم تسمح هذه العقوبة للصحيفة بجني أي دخل من المبيعات، التي تشكل مصدر ميزانيتها، بما يشمل رواتب موظفيها. وبالنظر إلى ما سبق، تدفع صاحبة البلاغ بأن العقوبة لها قيمة عقابية بلغت درجة من الشدة تعادل ما هو متوخى في القانون الجنائي، وأنها تصل أيض</w:t>
      </w:r>
      <w:r w:rsidR="006531D2">
        <w:rPr>
          <w:rtl/>
          <w:lang w:bidi="ar"/>
        </w:rPr>
        <w:t xml:space="preserve">اً </w:t>
      </w:r>
      <w:r w:rsidRPr="00547F64">
        <w:rPr>
          <w:rtl/>
          <w:lang w:bidi="ar"/>
        </w:rPr>
        <w:t xml:space="preserve">إلى مستوى العقوبة الجنائية إذا ما وُضع في الاعتبار أن القرار اتخذ فيما بعد كأساس لحظر الصحيفة. وتلفت صاحبة البلاغ الانتباه إلى أن اللجنة سبق أن خلصت إلى انتهاك للمادة </w:t>
      </w:r>
      <w:r w:rsidRPr="00DE7260">
        <w:rPr>
          <w:rtl/>
          <w:lang w:bidi="ar"/>
        </w:rPr>
        <w:t>14</w:t>
      </w:r>
      <w:r w:rsidRPr="00547F64">
        <w:rPr>
          <w:rtl/>
          <w:lang w:bidi="ar"/>
        </w:rPr>
        <w:t>(</w:t>
      </w:r>
      <w:r w:rsidRPr="00DE7260">
        <w:rPr>
          <w:rtl/>
          <w:lang w:bidi="ar"/>
        </w:rPr>
        <w:t>3</w:t>
      </w:r>
      <w:r w:rsidRPr="00547F64">
        <w:rPr>
          <w:rtl/>
          <w:lang w:bidi="ar"/>
        </w:rPr>
        <w:t>)</w:t>
      </w:r>
      <w:r>
        <w:rPr>
          <w:rtl/>
          <w:lang w:bidi="ar"/>
        </w:rPr>
        <w:t>(</w:t>
      </w:r>
      <w:r w:rsidRPr="00547F64">
        <w:rPr>
          <w:rtl/>
          <w:lang w:bidi="ar"/>
        </w:rPr>
        <w:t>ب) و(د) و(ه) من العهد في قضية لم يُبلّغ فيها صاحب البلاغ على النحو الواجب بالإجراءات القضائية، الأمر الذي نتج عنه حكم عليه من المحكمة بأداء غرامة إدارية</w:t>
      </w:r>
      <w:r>
        <w:rPr>
          <w:vertAlign w:val="superscript"/>
          <w:rtl/>
          <w:lang w:bidi="ar"/>
        </w:rPr>
        <w:t>(</w:t>
      </w:r>
      <w:r w:rsidRPr="00DE7260">
        <w:rPr>
          <w:vertAlign w:val="superscript"/>
          <w:lang w:val="en-US" w:bidi="ar"/>
        </w:rPr>
        <w:footnoteReference w:id="15"/>
      </w:r>
      <w:r>
        <w:rPr>
          <w:vertAlign w:val="superscript"/>
          <w:rtl/>
          <w:lang w:bidi="ar"/>
        </w:rPr>
        <w:t>)</w:t>
      </w:r>
      <w:r w:rsidR="00EB6BD6">
        <w:rPr>
          <w:rFonts w:hint="cs"/>
          <w:rtl/>
          <w:lang w:bidi="ar"/>
        </w:rPr>
        <w:t>.</w:t>
      </w:r>
    </w:p>
    <w:p w14:paraId="45F8D913" w14:textId="6B3CBB27" w:rsidR="00E74FBF" w:rsidRPr="00547F64" w:rsidRDefault="00E74FBF" w:rsidP="00E74FBF">
      <w:pPr>
        <w:pStyle w:val="SingleTxtGA"/>
      </w:pPr>
      <w:r w:rsidRPr="00DE7260">
        <w:rPr>
          <w:rtl/>
          <w:lang w:bidi="ar"/>
        </w:rPr>
        <w:t>3</w:t>
      </w:r>
      <w:r w:rsidRPr="00547F64">
        <w:rPr>
          <w:rtl/>
          <w:lang w:bidi="ar"/>
        </w:rPr>
        <w:t>-</w:t>
      </w:r>
      <w:r w:rsidRPr="00DE7260">
        <w:rPr>
          <w:rtl/>
          <w:lang w:bidi="ar"/>
        </w:rPr>
        <w:t>7</w:t>
      </w:r>
      <w:r w:rsidR="006531D2">
        <w:rPr>
          <w:rtl/>
          <w:lang w:bidi="ar"/>
        </w:rPr>
        <w:tab/>
      </w:r>
      <w:r w:rsidRPr="00547F64">
        <w:rPr>
          <w:rtl/>
          <w:lang w:bidi="ar"/>
        </w:rPr>
        <w:t xml:space="preserve">وتطلب صاحبتا البلاغ إلى اللجنة أن </w:t>
      </w:r>
      <w:r w:rsidRPr="00547F64">
        <w:rPr>
          <w:rtl/>
          <w:lang w:val="fr-FR"/>
        </w:rPr>
        <w:t>تستنتج وجود</w:t>
      </w:r>
      <w:r w:rsidRPr="00547F64">
        <w:rPr>
          <w:rtl/>
          <w:lang w:bidi="ar"/>
        </w:rPr>
        <w:t xml:space="preserve"> الانتهاكات المزعومة للعهد، وأن تلزم الدولة الطرف بأن تتيح لهما سبل انتصاف فعالة، بما في ذلك سداد الغرامات وتكاليف المحكمة، وأن تعيد النظر في القرار المتعلق بوقف أنشطة </w:t>
      </w:r>
      <w:proofErr w:type="spellStart"/>
      <w:r w:rsidRPr="00DE7260">
        <w:rPr>
          <w:i/>
          <w:iCs/>
          <w:rtl/>
          <w:lang w:bidi="ar"/>
        </w:rPr>
        <w:t>برافديفايا</w:t>
      </w:r>
      <w:proofErr w:type="spellEnd"/>
      <w:r w:rsidRPr="00DE7260">
        <w:rPr>
          <w:i/>
          <w:iCs/>
          <w:rtl/>
          <w:lang w:bidi="ar"/>
        </w:rPr>
        <w:t xml:space="preserve"> غازيتا</w:t>
      </w:r>
      <w:r w:rsidRPr="00547F64">
        <w:rPr>
          <w:rtl/>
          <w:lang w:bidi="ar"/>
        </w:rPr>
        <w:t xml:space="preserve"> وإلغاء تسجيلها، وأن تتخذ تدابير لمنع حدوث انتهاكات مماثلة في المستقبل عن طريق تعديل قانون وسائط الإعلام وقانون الجرائم الإدارية وفق</w:t>
      </w:r>
      <w:r w:rsidR="006531D2">
        <w:rPr>
          <w:rtl/>
          <w:lang w:bidi="ar"/>
        </w:rPr>
        <w:t xml:space="preserve">اً </w:t>
      </w:r>
      <w:r w:rsidRPr="00547F64">
        <w:rPr>
          <w:rtl/>
          <w:lang w:bidi="ar"/>
        </w:rPr>
        <w:t>للقانون الدولي لحقوق الإنسان.</w:t>
      </w:r>
    </w:p>
    <w:p w14:paraId="76AC766E" w14:textId="50528F69" w:rsidR="00E74FBF" w:rsidRPr="00DE7260" w:rsidRDefault="00EB6BD6" w:rsidP="00EB6BD6">
      <w:pPr>
        <w:pStyle w:val="H23GA"/>
      </w:pPr>
      <w:r w:rsidRPr="00DE7260">
        <w:rPr>
          <w:rtl/>
          <w:lang w:bidi="ar"/>
        </w:rPr>
        <w:tab/>
      </w:r>
      <w:r w:rsidRPr="00DE7260">
        <w:rPr>
          <w:rtl/>
          <w:lang w:bidi="ar"/>
        </w:rPr>
        <w:tab/>
      </w:r>
      <w:r w:rsidR="00E74FBF" w:rsidRPr="00DE7260">
        <w:rPr>
          <w:rtl/>
          <w:lang w:bidi="ar"/>
        </w:rPr>
        <w:t>ملاحظات الدولة الطرف بشأن المقبولية</w:t>
      </w:r>
    </w:p>
    <w:p w14:paraId="51485392" w14:textId="2470C54E" w:rsidR="00E74FBF" w:rsidRPr="00547F64" w:rsidRDefault="00E74FBF" w:rsidP="00E74FBF">
      <w:pPr>
        <w:pStyle w:val="SingleTxtGA"/>
      </w:pPr>
      <w:r w:rsidRPr="00DE7260">
        <w:rPr>
          <w:rtl/>
          <w:lang w:bidi="ar"/>
        </w:rPr>
        <w:t>4</w:t>
      </w:r>
      <w:r w:rsidRPr="00547F64">
        <w:rPr>
          <w:rtl/>
          <w:lang w:bidi="ar"/>
        </w:rPr>
        <w:t>-</w:t>
      </w:r>
      <w:r w:rsidR="006531D2">
        <w:rPr>
          <w:rtl/>
          <w:lang w:bidi="ar"/>
        </w:rPr>
        <w:tab/>
      </w:r>
      <w:r w:rsidRPr="00547F64">
        <w:rPr>
          <w:rtl/>
          <w:lang w:bidi="ar"/>
        </w:rPr>
        <w:t xml:space="preserve">في </w:t>
      </w:r>
      <w:r w:rsidRPr="00DE7260">
        <w:rPr>
          <w:rtl/>
          <w:lang w:bidi="ar"/>
        </w:rPr>
        <w:t>28</w:t>
      </w:r>
      <w:r w:rsidRPr="00547F64">
        <w:rPr>
          <w:rtl/>
          <w:lang w:bidi="ar"/>
        </w:rPr>
        <w:t xml:space="preserve"> كانون الأول/ديسمبر </w:t>
      </w:r>
      <w:r w:rsidRPr="00DE7260">
        <w:rPr>
          <w:rtl/>
          <w:lang w:bidi="ar"/>
        </w:rPr>
        <w:t>2015</w:t>
      </w:r>
      <w:r w:rsidRPr="00547F64">
        <w:rPr>
          <w:rtl/>
          <w:lang w:bidi="ar"/>
        </w:rPr>
        <w:t>، طعنت الدولة الطرف في مقبولية البلاغ. وأشارت إلى أن تشريعاتها تنص على إمكانية إعمال المراجعة الرقابية للأحكام في القضايا الإدارية عقب تقديم المدعي العام أو نوابه اعتراض</w:t>
      </w:r>
      <w:r w:rsidR="006531D2">
        <w:rPr>
          <w:rtl/>
          <w:lang w:bidi="ar"/>
        </w:rPr>
        <w:t xml:space="preserve">اً </w:t>
      </w:r>
      <w:r w:rsidRPr="00547F64">
        <w:rPr>
          <w:rtl/>
          <w:lang w:bidi="ar"/>
        </w:rPr>
        <w:t>إلى المحكمة العليا. وتؤكد الدولة الطرف أن الإجراءات القضائية المذكورة في البلاغ لم يُطعن فيها أمام المحكمة العليا. وقد طلب مكتب المدعي العام مواد تتعلق بهذه القضايا وسيقدم تحليل</w:t>
      </w:r>
      <w:r w:rsidR="006531D2">
        <w:rPr>
          <w:rtl/>
          <w:lang w:bidi="ar"/>
        </w:rPr>
        <w:t xml:space="preserve">اً </w:t>
      </w:r>
      <w:r w:rsidRPr="00547F64">
        <w:rPr>
          <w:rtl/>
          <w:lang w:bidi="ar"/>
        </w:rPr>
        <w:t>قانوني</w:t>
      </w:r>
      <w:r w:rsidR="006531D2">
        <w:rPr>
          <w:rtl/>
          <w:lang w:bidi="ar"/>
        </w:rPr>
        <w:t xml:space="preserve">اً </w:t>
      </w:r>
      <w:r w:rsidRPr="00547F64">
        <w:rPr>
          <w:rtl/>
          <w:lang w:bidi="ar"/>
        </w:rPr>
        <w:t xml:space="preserve">لها في سياق ملاحظات الدولة الطرف بشأن الأسس الموضوعية. ونظرا إلى عدم استنفاد سبل الانتصاف المحلية المتاحة، ترى الدولة الطرف أن البلاغ غير مقبول بموجب المادة </w:t>
      </w:r>
      <w:r w:rsidRPr="00DE7260">
        <w:rPr>
          <w:rtl/>
          <w:lang w:bidi="ar"/>
        </w:rPr>
        <w:t>5</w:t>
      </w:r>
      <w:r>
        <w:rPr>
          <w:rtl/>
          <w:lang w:bidi="ar"/>
        </w:rPr>
        <w:t>(</w:t>
      </w:r>
      <w:r w:rsidRPr="00DE7260">
        <w:rPr>
          <w:rtl/>
          <w:lang w:bidi="ar"/>
        </w:rPr>
        <w:t>2</w:t>
      </w:r>
      <w:r w:rsidRPr="00547F64">
        <w:rPr>
          <w:rtl/>
          <w:lang w:bidi="ar"/>
        </w:rPr>
        <w:t>)</w:t>
      </w:r>
      <w:r>
        <w:rPr>
          <w:rtl/>
          <w:lang w:bidi="ar"/>
        </w:rPr>
        <w:t>(</w:t>
      </w:r>
      <w:r w:rsidRPr="00547F64">
        <w:rPr>
          <w:rtl/>
          <w:lang w:bidi="ar"/>
        </w:rPr>
        <w:t>ب) من البروتوكول الاختياري.</w:t>
      </w:r>
    </w:p>
    <w:p w14:paraId="5EBADA62" w14:textId="5FA8F016" w:rsidR="00E74FBF" w:rsidRPr="00DE7260" w:rsidRDefault="00EB6BD6" w:rsidP="00EB6BD6">
      <w:pPr>
        <w:pStyle w:val="H23GA"/>
      </w:pPr>
      <w:r w:rsidRPr="00DE7260">
        <w:rPr>
          <w:rtl/>
          <w:lang w:bidi="ar"/>
        </w:rPr>
        <w:lastRenderedPageBreak/>
        <w:tab/>
      </w:r>
      <w:r w:rsidRPr="00DE7260">
        <w:rPr>
          <w:rtl/>
          <w:lang w:bidi="ar"/>
        </w:rPr>
        <w:tab/>
      </w:r>
      <w:r w:rsidR="00E74FBF" w:rsidRPr="00DE7260">
        <w:rPr>
          <w:rtl/>
          <w:lang w:bidi="ar"/>
        </w:rPr>
        <w:t>تعليقات صاحبتي البلاغ على ملاحظات الدولة الطرف بشأن المقبولية</w:t>
      </w:r>
    </w:p>
    <w:p w14:paraId="4158D358" w14:textId="27C231DB" w:rsidR="00E74FBF" w:rsidRPr="00547F64" w:rsidRDefault="00E74FBF" w:rsidP="00E74FBF">
      <w:pPr>
        <w:pStyle w:val="SingleTxtGA"/>
      </w:pPr>
      <w:r w:rsidRPr="00DE7260">
        <w:rPr>
          <w:rtl/>
          <w:lang w:bidi="ar"/>
        </w:rPr>
        <w:t>5</w:t>
      </w:r>
      <w:r w:rsidRPr="00547F64">
        <w:rPr>
          <w:rtl/>
          <w:lang w:bidi="ar"/>
        </w:rPr>
        <w:t>-</w:t>
      </w:r>
      <w:r w:rsidRPr="00DE7260">
        <w:rPr>
          <w:rtl/>
          <w:lang w:bidi="ar"/>
        </w:rPr>
        <w:t>1</w:t>
      </w:r>
      <w:r w:rsidR="00EB6BD6">
        <w:rPr>
          <w:rtl/>
          <w:lang w:bidi="ar"/>
        </w:rPr>
        <w:tab/>
      </w:r>
      <w:r w:rsidRPr="00547F64">
        <w:rPr>
          <w:rtl/>
          <w:lang w:bidi="ar"/>
        </w:rPr>
        <w:t xml:space="preserve">قالت صاحبتا البلاغ في تعليقاتهما المؤرخة </w:t>
      </w:r>
      <w:r w:rsidRPr="00DE7260">
        <w:rPr>
          <w:rtl/>
          <w:lang w:bidi="ar"/>
        </w:rPr>
        <w:t>28</w:t>
      </w:r>
      <w:r w:rsidRPr="00547F64">
        <w:rPr>
          <w:rtl/>
          <w:lang w:bidi="ar"/>
        </w:rPr>
        <w:t xml:space="preserve"> كانون الأول/ديسمبر </w:t>
      </w:r>
      <w:r w:rsidRPr="00DE7260">
        <w:rPr>
          <w:rtl/>
          <w:lang w:bidi="ar"/>
        </w:rPr>
        <w:t>2015</w:t>
      </w:r>
      <w:r w:rsidRPr="00547F64">
        <w:rPr>
          <w:rtl/>
          <w:lang w:bidi="ar"/>
        </w:rPr>
        <w:t xml:space="preserve"> إنهما استنفدتا جميع سبل الانتصاف المحلية المتاحة. وطُعِن في قراري </w:t>
      </w:r>
      <w:r w:rsidRPr="00DE7260">
        <w:rPr>
          <w:rtl/>
          <w:lang w:bidi="ar"/>
        </w:rPr>
        <w:t>7</w:t>
      </w:r>
      <w:r w:rsidRPr="00547F64">
        <w:rPr>
          <w:rtl/>
          <w:lang w:bidi="ar"/>
        </w:rPr>
        <w:t xml:space="preserve"> آب/أغسطس </w:t>
      </w:r>
      <w:r w:rsidRPr="00DE7260">
        <w:rPr>
          <w:rtl/>
          <w:lang w:bidi="ar"/>
        </w:rPr>
        <w:t>2013</w:t>
      </w:r>
      <w:r w:rsidRPr="00547F64">
        <w:rPr>
          <w:rtl/>
          <w:lang w:bidi="ar"/>
        </w:rPr>
        <w:t xml:space="preserve"> و</w:t>
      </w:r>
      <w:r w:rsidRPr="00DE7260">
        <w:rPr>
          <w:rtl/>
          <w:lang w:bidi="ar"/>
        </w:rPr>
        <w:t>5</w:t>
      </w:r>
      <w:r w:rsidRPr="00547F64">
        <w:rPr>
          <w:rtl/>
          <w:lang w:bidi="ar"/>
        </w:rPr>
        <w:t xml:space="preserve"> كانون الأول/</w:t>
      </w:r>
      <w:r w:rsidR="00EB6BD6">
        <w:rPr>
          <w:rFonts w:hint="cs"/>
          <w:rtl/>
          <w:lang w:bidi="ar"/>
        </w:rPr>
        <w:t xml:space="preserve">  </w:t>
      </w:r>
      <w:r w:rsidRPr="00547F64">
        <w:rPr>
          <w:rtl/>
          <w:lang w:bidi="ar"/>
        </w:rPr>
        <w:t xml:space="preserve">ديسمبر </w:t>
      </w:r>
      <w:r w:rsidRPr="00DE7260">
        <w:rPr>
          <w:rtl/>
          <w:lang w:bidi="ar"/>
        </w:rPr>
        <w:t>2013</w:t>
      </w:r>
      <w:r w:rsidRPr="00547F64">
        <w:rPr>
          <w:rtl/>
          <w:lang w:bidi="ar"/>
        </w:rPr>
        <w:t xml:space="preserve"> الصادرين عن هيئة ابتدائية أمام محكمة استئناف. ووفق</w:t>
      </w:r>
      <w:r w:rsidR="006531D2">
        <w:rPr>
          <w:rtl/>
          <w:lang w:bidi="ar"/>
        </w:rPr>
        <w:t xml:space="preserve">اً </w:t>
      </w:r>
      <w:r w:rsidRPr="00547F64">
        <w:rPr>
          <w:rtl/>
          <w:lang w:bidi="ar"/>
        </w:rPr>
        <w:t xml:space="preserve">للقانون الساري وقت الوقائع، كانت محكمة الاستئناف آخر محكمة قضائية يُلجأ إليها في القضايا المتصلة بالجرائم الإدارية. وعلى الرغم من أن إجراء المراجعة الرقابية ليس وسيلة انتصاف فعالة، فقد قدمت صاحبتا البلاغ التماسات إلى مكتب النيابة العامة في </w:t>
      </w:r>
      <w:proofErr w:type="spellStart"/>
      <w:r w:rsidRPr="00547F64">
        <w:rPr>
          <w:rtl/>
          <w:lang w:bidi="ar"/>
        </w:rPr>
        <w:t>ألماتي</w:t>
      </w:r>
      <w:proofErr w:type="spellEnd"/>
      <w:r w:rsidRPr="00547F64">
        <w:rPr>
          <w:rtl/>
          <w:lang w:bidi="ar"/>
        </w:rPr>
        <w:t xml:space="preserve"> ومكتب المدعي العام لجمهورية كازاخستان، لكن الالتماسات رُفضت. وطعن صاحبا البلاغ أيض</w:t>
      </w:r>
      <w:r w:rsidR="006531D2">
        <w:rPr>
          <w:rtl/>
          <w:lang w:bidi="ar"/>
        </w:rPr>
        <w:t xml:space="preserve">اً </w:t>
      </w:r>
      <w:r w:rsidRPr="00547F64">
        <w:rPr>
          <w:rtl/>
          <w:lang w:bidi="ar"/>
        </w:rPr>
        <w:t xml:space="preserve">في قرار محكمة مقاطعة </w:t>
      </w:r>
      <w:proofErr w:type="spellStart"/>
      <w:r w:rsidRPr="00547F64">
        <w:rPr>
          <w:rtl/>
          <w:lang w:bidi="ar"/>
        </w:rPr>
        <w:t>بوستانديق</w:t>
      </w:r>
      <w:proofErr w:type="spellEnd"/>
      <w:r w:rsidRPr="00547F64">
        <w:rPr>
          <w:rtl/>
          <w:lang w:bidi="ar"/>
        </w:rPr>
        <w:t xml:space="preserve"> في </w:t>
      </w:r>
      <w:proofErr w:type="spellStart"/>
      <w:r w:rsidRPr="00547F64">
        <w:rPr>
          <w:rtl/>
          <w:lang w:bidi="ar"/>
        </w:rPr>
        <w:t>ألماتي</w:t>
      </w:r>
      <w:proofErr w:type="spellEnd"/>
      <w:r w:rsidRPr="00547F64">
        <w:rPr>
          <w:rtl/>
          <w:lang w:bidi="ar"/>
        </w:rPr>
        <w:t xml:space="preserve"> الصادر في </w:t>
      </w:r>
      <w:r w:rsidRPr="00DE7260">
        <w:rPr>
          <w:rtl/>
          <w:lang w:bidi="ar"/>
        </w:rPr>
        <w:t>24</w:t>
      </w:r>
      <w:r w:rsidRPr="00547F64">
        <w:rPr>
          <w:rtl/>
          <w:lang w:bidi="ar"/>
        </w:rPr>
        <w:t xml:space="preserve"> شباط/</w:t>
      </w:r>
      <w:r w:rsidR="00EB6BD6">
        <w:rPr>
          <w:rFonts w:hint="cs"/>
          <w:rtl/>
          <w:lang w:bidi="ar"/>
        </w:rPr>
        <w:t xml:space="preserve">     </w:t>
      </w:r>
      <w:r w:rsidRPr="00547F64">
        <w:rPr>
          <w:rtl/>
          <w:lang w:bidi="ar"/>
        </w:rPr>
        <w:t xml:space="preserve">فبراير </w:t>
      </w:r>
      <w:r w:rsidRPr="00DE7260">
        <w:rPr>
          <w:rtl/>
          <w:lang w:bidi="ar"/>
        </w:rPr>
        <w:t>2014</w:t>
      </w:r>
      <w:r w:rsidRPr="00547F64">
        <w:rPr>
          <w:rtl/>
          <w:lang w:bidi="ar"/>
        </w:rPr>
        <w:t xml:space="preserve"> بشأن دعوى مدنية أمام جميع الدوائر العليا.</w:t>
      </w:r>
    </w:p>
    <w:p w14:paraId="07B0A679" w14:textId="3837CD02" w:rsidR="00E74FBF" w:rsidRPr="00547F64" w:rsidRDefault="00E74FBF" w:rsidP="00E74FBF">
      <w:pPr>
        <w:pStyle w:val="SingleTxtGA"/>
      </w:pPr>
      <w:r w:rsidRPr="00DE7260">
        <w:rPr>
          <w:rtl/>
          <w:lang w:bidi="ar"/>
        </w:rPr>
        <w:t>5</w:t>
      </w:r>
      <w:r w:rsidRPr="00547F64">
        <w:rPr>
          <w:rtl/>
          <w:lang w:bidi="ar"/>
        </w:rPr>
        <w:t>-</w:t>
      </w:r>
      <w:r w:rsidRPr="00DE7260">
        <w:rPr>
          <w:rtl/>
          <w:lang w:bidi="ar"/>
        </w:rPr>
        <w:t>2</w:t>
      </w:r>
      <w:r w:rsidR="00EB6BD6">
        <w:rPr>
          <w:rtl/>
          <w:lang w:bidi="ar"/>
        </w:rPr>
        <w:tab/>
      </w:r>
      <w:r w:rsidRPr="00547F64">
        <w:rPr>
          <w:rtl/>
          <w:lang w:bidi="ar"/>
        </w:rPr>
        <w:t>وتدعي صاحبتا البلاغ أن الدولة الطرف لم تكفل لهما حقهما في حرية التعبير، لا سيما حقهما في نقل المعلومات والأفكار من خلال الوسائل المطبوعة وحقهما في محاكمة عادلة، وعلى وجه التحديد الحق في الحصول على الوقت الكافي والتسهيلات اللازمة لإعداد الدفاع عن النفس، وفي حضور جلسة الاستماع إلى قضيتهما، وفي استجواب الشهود، وفي الحصول على حضور الشهود واستجوابهم نيابة عنهما. وتكرر صاحبتا البلاغ مطالباتهما بشأن سبل الانتصاف التي تريان أنها ضرورية في قضيتهما.</w:t>
      </w:r>
    </w:p>
    <w:p w14:paraId="1EEF18B8" w14:textId="37E3734D" w:rsidR="00E74FBF" w:rsidRPr="00DE7260" w:rsidRDefault="00EB6BD6" w:rsidP="00EB6BD6">
      <w:pPr>
        <w:pStyle w:val="H23GA"/>
      </w:pPr>
      <w:r w:rsidRPr="00DE7260">
        <w:rPr>
          <w:rtl/>
          <w:lang w:bidi="ar"/>
        </w:rPr>
        <w:tab/>
      </w:r>
      <w:r w:rsidRPr="00DE7260">
        <w:rPr>
          <w:rtl/>
          <w:lang w:bidi="ar"/>
        </w:rPr>
        <w:tab/>
      </w:r>
      <w:r w:rsidR="00E74FBF" w:rsidRPr="00DE7260">
        <w:rPr>
          <w:rtl/>
          <w:lang w:bidi="ar"/>
        </w:rPr>
        <w:t>ملاحظات الدولة الطرف الإضافية بشأن المقبولية والملاحظات المتعلقة بالأسس الموضوعية</w:t>
      </w:r>
    </w:p>
    <w:p w14:paraId="55941D7D" w14:textId="27BE84EA" w:rsidR="00E74FBF" w:rsidRPr="00547F64" w:rsidRDefault="00E74FBF" w:rsidP="00E74FBF">
      <w:pPr>
        <w:pStyle w:val="SingleTxtGA"/>
      </w:pPr>
      <w:r w:rsidRPr="00DE7260">
        <w:rPr>
          <w:rtl/>
          <w:lang w:bidi="ar"/>
        </w:rPr>
        <w:t>6</w:t>
      </w:r>
      <w:r w:rsidRPr="00547F64">
        <w:rPr>
          <w:rtl/>
          <w:lang w:bidi="ar"/>
        </w:rPr>
        <w:t>-</w:t>
      </w:r>
      <w:r w:rsidRPr="00DE7260">
        <w:rPr>
          <w:rtl/>
          <w:lang w:bidi="ar"/>
        </w:rPr>
        <w:t>1</w:t>
      </w:r>
      <w:r w:rsidR="00EB6BD6">
        <w:rPr>
          <w:rtl/>
          <w:lang w:bidi="ar"/>
        </w:rPr>
        <w:tab/>
      </w:r>
      <w:r w:rsidRPr="00547F64">
        <w:rPr>
          <w:rtl/>
          <w:lang w:bidi="ar"/>
        </w:rPr>
        <w:t xml:space="preserve">في ملاحظاتها </w:t>
      </w:r>
      <w:r w:rsidRPr="00547F64">
        <w:rPr>
          <w:rtl/>
          <w:lang w:val="fr-FR"/>
        </w:rPr>
        <w:t>المؤرخة</w:t>
      </w:r>
      <w:r w:rsidRPr="00547F64">
        <w:rPr>
          <w:rtl/>
          <w:lang w:bidi="ar"/>
        </w:rPr>
        <w:t xml:space="preserve"> </w:t>
      </w:r>
      <w:r w:rsidRPr="00DE7260">
        <w:rPr>
          <w:rtl/>
          <w:lang w:bidi="ar"/>
        </w:rPr>
        <w:t>19</w:t>
      </w:r>
      <w:r w:rsidRPr="00547F64">
        <w:rPr>
          <w:rtl/>
          <w:lang w:bidi="ar"/>
        </w:rPr>
        <w:t xml:space="preserve"> تموز/يوليه </w:t>
      </w:r>
      <w:r w:rsidRPr="00DE7260">
        <w:rPr>
          <w:rtl/>
          <w:lang w:bidi="ar"/>
        </w:rPr>
        <w:t>2016</w:t>
      </w:r>
      <w:r w:rsidRPr="00547F64">
        <w:rPr>
          <w:rtl/>
          <w:lang w:bidi="ar"/>
        </w:rPr>
        <w:t xml:space="preserve">، تفيد الدولة الطرف بأنه بموجب المادتين </w:t>
      </w:r>
      <w:r w:rsidRPr="00DE7260">
        <w:rPr>
          <w:rtl/>
          <w:lang w:bidi="ar"/>
        </w:rPr>
        <w:t>385</w:t>
      </w:r>
      <w:r w:rsidRPr="00547F64">
        <w:rPr>
          <w:rtl/>
          <w:lang w:bidi="ar"/>
        </w:rPr>
        <w:t xml:space="preserve"> و</w:t>
      </w:r>
      <w:r w:rsidRPr="00DE7260">
        <w:rPr>
          <w:rtl/>
          <w:lang w:bidi="ar"/>
        </w:rPr>
        <w:t>388</w:t>
      </w:r>
      <w:r w:rsidRPr="00547F64">
        <w:rPr>
          <w:rtl/>
          <w:lang w:bidi="ar"/>
        </w:rPr>
        <w:t xml:space="preserve"> من قانون الإجراءات المدنية، كان بإمكان صاحبة البلاغ الأولى أن تطلب إلى المدعي العام تقديم اعتراض ضد الإجراءات القضائية النهائية أمام المحكمة العليا. ويُمدَّدُ الموعد النهائي لاعتراض النيابة العامة إذا قُدِّم الالتماس إلى المدعي العام في غضون المهلة القانونية ولم يُعتمد القرار بشأن الالتماس في الوقت المناسب. وعلاوة على ذلك، وعمل</w:t>
      </w:r>
      <w:r w:rsidR="006531D2">
        <w:rPr>
          <w:rtl/>
          <w:lang w:bidi="ar"/>
        </w:rPr>
        <w:t xml:space="preserve">اً </w:t>
      </w:r>
      <w:r w:rsidRPr="00547F64">
        <w:rPr>
          <w:rtl/>
          <w:lang w:bidi="ar"/>
        </w:rPr>
        <w:t xml:space="preserve">بالمادتين </w:t>
      </w:r>
      <w:r w:rsidRPr="00DE7260">
        <w:rPr>
          <w:rtl/>
          <w:lang w:bidi="ar"/>
        </w:rPr>
        <w:t>404</w:t>
      </w:r>
      <w:r w:rsidRPr="00547F64">
        <w:rPr>
          <w:rtl/>
          <w:lang w:bidi="ar"/>
        </w:rPr>
        <w:t xml:space="preserve"> و</w:t>
      </w:r>
      <w:r w:rsidRPr="00DE7260">
        <w:rPr>
          <w:rtl/>
          <w:lang w:bidi="ar"/>
        </w:rPr>
        <w:t>409</w:t>
      </w:r>
      <w:r w:rsidRPr="00547F64">
        <w:rPr>
          <w:rtl/>
          <w:lang w:bidi="ar"/>
        </w:rPr>
        <w:t xml:space="preserve"> من قانون الإجراءات المدنية، كان بإمكان صاحبتي البلاغ أن تطلبا من محكمة </w:t>
      </w:r>
      <w:proofErr w:type="spellStart"/>
      <w:r w:rsidRPr="00547F64">
        <w:rPr>
          <w:rtl/>
          <w:lang w:bidi="ar"/>
        </w:rPr>
        <w:t>بوستانديق</w:t>
      </w:r>
      <w:proofErr w:type="spellEnd"/>
      <w:r w:rsidRPr="00547F64">
        <w:rPr>
          <w:rtl/>
          <w:lang w:bidi="ar"/>
        </w:rPr>
        <w:t xml:space="preserve"> في </w:t>
      </w:r>
      <w:proofErr w:type="spellStart"/>
      <w:r w:rsidRPr="00547F64">
        <w:rPr>
          <w:rtl/>
          <w:lang w:bidi="ar"/>
        </w:rPr>
        <w:t>ألماتي</w:t>
      </w:r>
      <w:proofErr w:type="spellEnd"/>
      <w:r w:rsidRPr="00547F64">
        <w:rPr>
          <w:rtl/>
          <w:lang w:bidi="ar"/>
        </w:rPr>
        <w:t xml:space="preserve"> إعادة النظر في قرارها المؤرخ </w:t>
      </w:r>
      <w:r w:rsidRPr="00DE7260">
        <w:rPr>
          <w:rtl/>
          <w:lang w:bidi="ar"/>
        </w:rPr>
        <w:t>24</w:t>
      </w:r>
      <w:r w:rsidRPr="00547F64">
        <w:rPr>
          <w:rtl/>
          <w:lang w:bidi="ar"/>
        </w:rPr>
        <w:t xml:space="preserve"> شباط/فبراير </w:t>
      </w:r>
      <w:r w:rsidRPr="00DE7260">
        <w:rPr>
          <w:rtl/>
          <w:lang w:bidi="ar"/>
        </w:rPr>
        <w:t>2014</w:t>
      </w:r>
      <w:r w:rsidRPr="00547F64">
        <w:rPr>
          <w:rtl/>
          <w:lang w:bidi="ar"/>
        </w:rPr>
        <w:t xml:space="preserve"> بسبب ظروف مستجدة. وتدفع الدولة الطرف بأن صاحبتي البلاغ لم توضحا بما فيه الكفاية السبب الذي يجعل أن تقديم التماس إلى المدعي العام لم يكن ليكون سبيل انتصاف فعال</w:t>
      </w:r>
      <w:r w:rsidR="006531D2">
        <w:rPr>
          <w:rtl/>
          <w:lang w:bidi="ar"/>
        </w:rPr>
        <w:t xml:space="preserve">اً </w:t>
      </w:r>
      <w:r w:rsidRPr="00547F64">
        <w:rPr>
          <w:rtl/>
          <w:lang w:bidi="ar"/>
        </w:rPr>
        <w:t xml:space="preserve">في قضيتهما. وبالإشارة إلى قرار اللجنة في قضية </w:t>
      </w:r>
      <w:r w:rsidRPr="00DE7260">
        <w:rPr>
          <w:i/>
          <w:iCs/>
          <w:rtl/>
          <w:lang w:bidi="ar"/>
        </w:rPr>
        <w:t>ت. ك. ضد فرنسا</w:t>
      </w:r>
      <w:r w:rsidRPr="00547F64">
        <w:rPr>
          <w:rtl/>
          <w:lang w:bidi="ar"/>
        </w:rPr>
        <w:t xml:space="preserve"> (البلاغ رقم </w:t>
      </w:r>
      <w:r w:rsidRPr="00DE7260">
        <w:rPr>
          <w:rtl/>
          <w:lang w:bidi="ar"/>
        </w:rPr>
        <w:t>220</w:t>
      </w:r>
      <w:r w:rsidRPr="00547F64">
        <w:rPr>
          <w:rtl/>
          <w:lang w:bidi="ar"/>
        </w:rPr>
        <w:t>/</w:t>
      </w:r>
      <w:r w:rsidRPr="00DE7260">
        <w:rPr>
          <w:rtl/>
          <w:lang w:bidi="ar"/>
        </w:rPr>
        <w:t>1987</w:t>
      </w:r>
      <w:r w:rsidRPr="00547F64">
        <w:rPr>
          <w:rtl/>
          <w:lang w:bidi="ar"/>
        </w:rPr>
        <w:t xml:space="preserve">) تدعي الدولة الطرف أن صاحبتي البلاغ غير معفيتين من الالتزام باستنفاد سبل الانتصاف المحلية بسبب شكهما في فعاليتها. وفيما يتعلق بالإجراءات القضائية المتصلة بالمسؤولية الإدارية لصاحبة البلاغ الأولى، تفيد الدولة الطرف بأن المادة </w:t>
      </w:r>
      <w:r w:rsidRPr="00DE7260">
        <w:rPr>
          <w:rtl/>
          <w:lang w:bidi="ar"/>
        </w:rPr>
        <w:t>849</w:t>
      </w:r>
      <w:r>
        <w:rPr>
          <w:rtl/>
          <w:lang w:bidi="ar"/>
        </w:rPr>
        <w:t>(</w:t>
      </w:r>
      <w:r w:rsidRPr="00DE7260">
        <w:rPr>
          <w:rtl/>
          <w:lang w:bidi="ar"/>
        </w:rPr>
        <w:t>1</w:t>
      </w:r>
      <w:r w:rsidRPr="00547F64">
        <w:rPr>
          <w:rtl/>
          <w:lang w:bidi="ar"/>
        </w:rPr>
        <w:t>) من قانون الجرائم الإدارية تنص على إمكانية أن يقدم المدعي العام ونوابه ووكلاء النيابة الإقليميون اعتراض</w:t>
      </w:r>
      <w:r w:rsidR="006531D2">
        <w:rPr>
          <w:rtl/>
          <w:lang w:bidi="ar"/>
        </w:rPr>
        <w:t xml:space="preserve">اً </w:t>
      </w:r>
      <w:r w:rsidRPr="00547F64">
        <w:rPr>
          <w:rtl/>
          <w:lang w:bidi="ar"/>
        </w:rPr>
        <w:t xml:space="preserve">على القرارات القضائية النهائية المشار إليها في المادة </w:t>
      </w:r>
      <w:r w:rsidRPr="00DE7260">
        <w:rPr>
          <w:rtl/>
          <w:lang w:bidi="ar"/>
        </w:rPr>
        <w:t>847</w:t>
      </w:r>
      <w:r w:rsidRPr="00547F64">
        <w:rPr>
          <w:rtl/>
          <w:lang w:bidi="ar"/>
        </w:rPr>
        <w:t xml:space="preserve"> من القانون. ولذلك، فإن صاحبتي البلاغ لم تستنفدا سبل الانتصاف المحلية الفعالة المتاحة. وتُقدّم الدولة الطرف مثال</w:t>
      </w:r>
      <w:r w:rsidR="006531D2">
        <w:rPr>
          <w:rtl/>
          <w:lang w:bidi="ar"/>
        </w:rPr>
        <w:t xml:space="preserve">اً </w:t>
      </w:r>
      <w:r w:rsidRPr="00547F64">
        <w:rPr>
          <w:rtl/>
          <w:lang w:bidi="ar"/>
        </w:rPr>
        <w:t xml:space="preserve">على اعتراض كُلِّل بالنجاح قدمه المدعي العام وأدى إلى إلغاء المحكمة العليا في عام </w:t>
      </w:r>
      <w:r w:rsidRPr="00DE7260">
        <w:rPr>
          <w:rtl/>
          <w:lang w:bidi="ar"/>
        </w:rPr>
        <w:t>2014</w:t>
      </w:r>
      <w:r w:rsidRPr="00547F64">
        <w:rPr>
          <w:rtl/>
          <w:lang w:bidi="ar"/>
        </w:rPr>
        <w:t xml:space="preserve"> قرارات صادرة عن محاكم أدنى درجة وإقرارها بأن مكتب رئيس بلدية </w:t>
      </w:r>
      <w:proofErr w:type="spellStart"/>
      <w:r w:rsidRPr="00547F64">
        <w:rPr>
          <w:rtl/>
          <w:lang w:bidi="ar"/>
        </w:rPr>
        <w:t>ألماتي</w:t>
      </w:r>
      <w:proofErr w:type="spellEnd"/>
      <w:r w:rsidRPr="00547F64">
        <w:rPr>
          <w:rtl/>
          <w:lang w:bidi="ar"/>
        </w:rPr>
        <w:t xml:space="preserve"> حرم شخصين بصورة غير قانونية من حقهما في الإضراب عن الطعام في شقتهما.</w:t>
      </w:r>
    </w:p>
    <w:p w14:paraId="2E3C2BAA" w14:textId="3457B781" w:rsidR="00E74FBF" w:rsidRPr="00547F64" w:rsidRDefault="00E74FBF" w:rsidP="00E74FBF">
      <w:pPr>
        <w:pStyle w:val="SingleTxtGA"/>
      </w:pPr>
      <w:r w:rsidRPr="00DE7260">
        <w:rPr>
          <w:rtl/>
          <w:lang w:bidi="ar"/>
        </w:rPr>
        <w:t>6</w:t>
      </w:r>
      <w:r w:rsidRPr="00547F64">
        <w:rPr>
          <w:rtl/>
          <w:lang w:bidi="ar"/>
        </w:rPr>
        <w:t>-</w:t>
      </w:r>
      <w:r w:rsidRPr="00DE7260">
        <w:rPr>
          <w:rtl/>
          <w:lang w:bidi="ar"/>
        </w:rPr>
        <w:t>2</w:t>
      </w:r>
      <w:r w:rsidR="00EB6BD6">
        <w:rPr>
          <w:rtl/>
          <w:lang w:bidi="ar"/>
        </w:rPr>
        <w:tab/>
      </w:r>
      <w:r w:rsidRPr="00547F64">
        <w:rPr>
          <w:rtl/>
          <w:lang w:bidi="ar"/>
        </w:rPr>
        <w:t xml:space="preserve">وفيما يتعلق بالأسس الموضوعية، تفيد الدولة الطرف بأن المادة </w:t>
      </w:r>
      <w:r w:rsidRPr="00DE7260">
        <w:rPr>
          <w:rtl/>
          <w:lang w:bidi="ar"/>
        </w:rPr>
        <w:t>20</w:t>
      </w:r>
      <w:r w:rsidRPr="00547F64">
        <w:rPr>
          <w:rtl/>
          <w:lang w:bidi="ar"/>
        </w:rPr>
        <w:t xml:space="preserve"> من دستورها تكفل حرية التعبير وحرية تلقي المعلومات ونقلها، وتحظر الرقابة. وهذه الحقوق الدستورية تكفلها الأحكام القانونية المتعلقة بالمسؤولية الإدارية والجنائية عن إعاقة الأنشطة المهنية القانونية للصحفيين وغيرهم من ممثلي وسائط الإعلام. وتدفع الدولة الطرف بأنه عمل</w:t>
      </w:r>
      <w:r w:rsidR="006531D2">
        <w:rPr>
          <w:rtl/>
          <w:lang w:bidi="ar"/>
        </w:rPr>
        <w:t xml:space="preserve">اً </w:t>
      </w:r>
      <w:r w:rsidRPr="00547F64">
        <w:rPr>
          <w:rtl/>
          <w:lang w:bidi="ar"/>
        </w:rPr>
        <w:t xml:space="preserve">بالمادة </w:t>
      </w:r>
      <w:r w:rsidRPr="00DE7260">
        <w:rPr>
          <w:rtl/>
          <w:lang w:bidi="ar"/>
        </w:rPr>
        <w:t>12</w:t>
      </w:r>
      <w:r w:rsidRPr="00547F64">
        <w:rPr>
          <w:rtl/>
          <w:lang w:bidi="ar"/>
        </w:rPr>
        <w:t xml:space="preserve"> من الدستور، لا يجوز أن يؤدي التمتع بحقوق الإنسان وحرياته إلى انتهاك حقوق وحريات أشخاص آخرين أو انتهاك النظام الدستوري والآداب العامة. </w:t>
      </w:r>
      <w:r w:rsidRPr="00547F64">
        <w:rPr>
          <w:rtl/>
          <w:lang w:bidi="ar"/>
        </w:rPr>
        <w:lastRenderedPageBreak/>
        <w:t>ووفق</w:t>
      </w:r>
      <w:r w:rsidR="006531D2">
        <w:rPr>
          <w:rtl/>
          <w:lang w:bidi="ar"/>
        </w:rPr>
        <w:t xml:space="preserve">اً </w:t>
      </w:r>
      <w:r w:rsidRPr="00547F64">
        <w:rPr>
          <w:rtl/>
          <w:lang w:bidi="ar"/>
        </w:rPr>
        <w:t xml:space="preserve">للمادة </w:t>
      </w:r>
      <w:r w:rsidRPr="00DE7260">
        <w:rPr>
          <w:rtl/>
          <w:lang w:bidi="ar"/>
        </w:rPr>
        <w:t>39</w:t>
      </w:r>
      <w:r w:rsidRPr="00547F64">
        <w:rPr>
          <w:rtl/>
          <w:lang w:bidi="ar"/>
        </w:rPr>
        <w:t xml:space="preserve"> من الدستور، لا يمكن تقييد حقوق الإنسان وحرياته إلا بموجب القانون وبقدر ما يلزم لحماية النظام الدستوري والنظام العام وحقوق الإنسان والحريات وصحة السكان وأخلاقهم. وتتسق هذه الأحكام مع القيود المسموح بها بموجب المادة </w:t>
      </w:r>
      <w:r w:rsidRPr="00DE7260">
        <w:rPr>
          <w:rtl/>
          <w:lang w:bidi="ar"/>
        </w:rPr>
        <w:t>19</w:t>
      </w:r>
      <w:r w:rsidRPr="00547F64">
        <w:rPr>
          <w:rtl/>
          <w:lang w:bidi="ar"/>
        </w:rPr>
        <w:t xml:space="preserve"> من العهد. ووفق</w:t>
      </w:r>
      <w:r w:rsidR="006531D2">
        <w:rPr>
          <w:rtl/>
          <w:lang w:bidi="ar"/>
        </w:rPr>
        <w:t xml:space="preserve">اً </w:t>
      </w:r>
      <w:r w:rsidRPr="00547F64">
        <w:rPr>
          <w:rtl/>
          <w:lang w:bidi="ar"/>
        </w:rPr>
        <w:t xml:space="preserve">للمادة </w:t>
      </w:r>
      <w:r w:rsidRPr="00DE7260">
        <w:rPr>
          <w:rtl/>
          <w:lang w:bidi="ar"/>
        </w:rPr>
        <w:t>15</w:t>
      </w:r>
      <w:r w:rsidRPr="00547F64">
        <w:rPr>
          <w:rtl/>
          <w:lang w:bidi="ar"/>
        </w:rPr>
        <w:t>(</w:t>
      </w:r>
      <w:r w:rsidRPr="00DE7260">
        <w:rPr>
          <w:rtl/>
          <w:lang w:bidi="ar"/>
        </w:rPr>
        <w:t>1</w:t>
      </w:r>
      <w:r w:rsidRPr="00547F64">
        <w:rPr>
          <w:rtl/>
          <w:lang w:bidi="ar"/>
        </w:rPr>
        <w:t xml:space="preserve">) من قانون وسائط الإعلام، يجب أن يتضمن كل عدد من منشور دوري معلومات تبين التواتر الزمني للصدور وحجم التوزيع. وبموجب المادة </w:t>
      </w:r>
      <w:r w:rsidRPr="00DE7260">
        <w:rPr>
          <w:rtl/>
          <w:lang w:bidi="ar"/>
        </w:rPr>
        <w:t>25</w:t>
      </w:r>
      <w:r w:rsidRPr="00547F64">
        <w:rPr>
          <w:rtl/>
          <w:lang w:bidi="ar"/>
        </w:rPr>
        <w:t>(</w:t>
      </w:r>
      <w:r w:rsidRPr="00DE7260">
        <w:rPr>
          <w:rtl/>
          <w:lang w:bidi="ar"/>
        </w:rPr>
        <w:t>2</w:t>
      </w:r>
      <w:r w:rsidRPr="00547F64">
        <w:rPr>
          <w:rtl/>
          <w:lang w:bidi="ar"/>
        </w:rPr>
        <w:t xml:space="preserve">)، يتحمل المالك والموزع ورئيس التحرير المسؤولية عن أي انتهاك للقانون. وتنص المادة </w:t>
      </w:r>
      <w:r w:rsidRPr="00DE7260">
        <w:rPr>
          <w:rtl/>
          <w:lang w:bidi="ar"/>
        </w:rPr>
        <w:t>13</w:t>
      </w:r>
      <w:r w:rsidRPr="00547F64">
        <w:rPr>
          <w:rtl/>
          <w:lang w:bidi="ar"/>
        </w:rPr>
        <w:t>(</w:t>
      </w:r>
      <w:r w:rsidRPr="00DE7260">
        <w:rPr>
          <w:rtl/>
          <w:lang w:bidi="ar"/>
        </w:rPr>
        <w:t>4</w:t>
      </w:r>
      <w:r w:rsidRPr="00547F64">
        <w:rPr>
          <w:rtl/>
          <w:lang w:bidi="ar"/>
        </w:rPr>
        <w:t>) على أن عدم تصحيح الأسباب التي أدت إلى تعليق منشور إعلامي في الوقت المناسب يشكل سبب</w:t>
      </w:r>
      <w:r w:rsidR="006531D2">
        <w:rPr>
          <w:rtl/>
          <w:lang w:bidi="ar"/>
        </w:rPr>
        <w:t xml:space="preserve">اً </w:t>
      </w:r>
      <w:r w:rsidRPr="00547F64">
        <w:rPr>
          <w:rtl/>
          <w:lang w:bidi="ar"/>
        </w:rPr>
        <w:t>لإصدار أمر بوقف أنشطته. وينص قانون الجرائم الإدارية على مسؤولية وسائط الإعلام الجماهيري عن انتهاك الضوابط التي تحكم المعلومات الواردة في الترويسة.</w:t>
      </w:r>
    </w:p>
    <w:p w14:paraId="5563D7C6" w14:textId="55BB180E" w:rsidR="00E74FBF" w:rsidRPr="006531D2" w:rsidRDefault="00E74FBF" w:rsidP="00E74FBF">
      <w:pPr>
        <w:pStyle w:val="SingleTxtGA"/>
        <w:rPr>
          <w:spacing w:val="-4"/>
        </w:rPr>
      </w:pPr>
      <w:r w:rsidRPr="00DE7260">
        <w:rPr>
          <w:rtl/>
          <w:lang w:bidi="ar"/>
        </w:rPr>
        <w:t>6</w:t>
      </w:r>
      <w:r w:rsidRPr="00547F64">
        <w:rPr>
          <w:rtl/>
          <w:lang w:bidi="ar"/>
        </w:rPr>
        <w:t>-</w:t>
      </w:r>
      <w:r w:rsidRPr="00DE7260">
        <w:rPr>
          <w:rtl/>
          <w:lang w:bidi="ar"/>
        </w:rPr>
        <w:t>3</w:t>
      </w:r>
      <w:r w:rsidR="00EB6BD6">
        <w:rPr>
          <w:rtl/>
          <w:lang w:bidi="ar"/>
        </w:rPr>
        <w:tab/>
      </w:r>
      <w:r w:rsidRPr="00547F64">
        <w:rPr>
          <w:rtl/>
          <w:lang w:bidi="ar"/>
        </w:rPr>
        <w:t>وتدفع الدولة الطرف</w:t>
      </w:r>
      <w:r w:rsidRPr="00547F64">
        <w:rPr>
          <w:rtl/>
          <w:lang w:val="fr-FR"/>
        </w:rPr>
        <w:t xml:space="preserve"> بحدوث</w:t>
      </w:r>
      <w:r w:rsidRPr="00547F64">
        <w:rPr>
          <w:rtl/>
          <w:lang w:bidi="ar"/>
        </w:rPr>
        <w:t xml:space="preserve"> انتهاك للمادة </w:t>
      </w:r>
      <w:r w:rsidRPr="00DE7260">
        <w:rPr>
          <w:rtl/>
          <w:lang w:bidi="ar"/>
        </w:rPr>
        <w:t>15</w:t>
      </w:r>
      <w:r>
        <w:rPr>
          <w:rtl/>
          <w:lang w:bidi="ar"/>
        </w:rPr>
        <w:t>(</w:t>
      </w:r>
      <w:r w:rsidRPr="00DE7260">
        <w:rPr>
          <w:rtl/>
          <w:lang w:bidi="ar"/>
        </w:rPr>
        <w:t>1</w:t>
      </w:r>
      <w:r w:rsidRPr="00547F64">
        <w:rPr>
          <w:rtl/>
          <w:lang w:bidi="ar"/>
        </w:rPr>
        <w:t>)</w:t>
      </w:r>
      <w:r>
        <w:rPr>
          <w:rtl/>
          <w:lang w:bidi="ar"/>
        </w:rPr>
        <w:t>(</w:t>
      </w:r>
      <w:r w:rsidRPr="00DE7260">
        <w:rPr>
          <w:rtl/>
          <w:lang w:bidi="ar"/>
        </w:rPr>
        <w:t>5</w:t>
      </w:r>
      <w:r w:rsidRPr="00547F64">
        <w:rPr>
          <w:rtl/>
          <w:lang w:bidi="ar"/>
        </w:rPr>
        <w:t xml:space="preserve">) من قانون وسائط الإعلام، إذ لم تشر ترويسة العدد رقم </w:t>
      </w:r>
      <w:r w:rsidRPr="00DE7260">
        <w:rPr>
          <w:rtl/>
          <w:lang w:bidi="ar"/>
        </w:rPr>
        <w:t>1</w:t>
      </w:r>
      <w:r w:rsidRPr="00547F64">
        <w:rPr>
          <w:rtl/>
          <w:lang w:bidi="ar"/>
        </w:rPr>
        <w:t xml:space="preserve"> من </w:t>
      </w:r>
      <w:proofErr w:type="spellStart"/>
      <w:r w:rsidRPr="00DE7260">
        <w:rPr>
          <w:i/>
          <w:iCs/>
          <w:rtl/>
          <w:lang w:bidi="ar"/>
        </w:rPr>
        <w:t>برافديفايا</w:t>
      </w:r>
      <w:proofErr w:type="spellEnd"/>
      <w:r w:rsidRPr="00DE7260">
        <w:rPr>
          <w:i/>
          <w:iCs/>
          <w:rtl/>
          <w:lang w:bidi="ar"/>
        </w:rPr>
        <w:t xml:space="preserve"> غازيتا، </w:t>
      </w:r>
      <w:r w:rsidRPr="00547F64">
        <w:rPr>
          <w:rtl/>
          <w:lang w:bidi="ar"/>
        </w:rPr>
        <w:t xml:space="preserve">الصادر في </w:t>
      </w:r>
      <w:r w:rsidRPr="00DE7260">
        <w:rPr>
          <w:rtl/>
          <w:lang w:bidi="ar"/>
        </w:rPr>
        <w:t>23</w:t>
      </w:r>
      <w:r w:rsidRPr="00547F64">
        <w:rPr>
          <w:rtl/>
          <w:lang w:bidi="ar"/>
        </w:rPr>
        <w:t xml:space="preserve"> نيسان/أبريل </w:t>
      </w:r>
      <w:r w:rsidRPr="00DE7260">
        <w:rPr>
          <w:rtl/>
          <w:lang w:bidi="ar"/>
        </w:rPr>
        <w:t>2013</w:t>
      </w:r>
      <w:r w:rsidRPr="00547F64">
        <w:rPr>
          <w:rtl/>
          <w:lang w:bidi="ar"/>
        </w:rPr>
        <w:t>، إلى التواتر الزمني للنشر، ولهذا السبب اعتُبرت مالكة الصحيفة ورئيسة تحريرها مسؤولة إداري</w:t>
      </w:r>
      <w:r w:rsidR="006531D2">
        <w:rPr>
          <w:rtl/>
          <w:lang w:bidi="ar"/>
        </w:rPr>
        <w:t xml:space="preserve">اً </w:t>
      </w:r>
      <w:r w:rsidRPr="00547F64">
        <w:rPr>
          <w:rtl/>
          <w:lang w:bidi="ar"/>
        </w:rPr>
        <w:t>عمل</w:t>
      </w:r>
      <w:r w:rsidR="006531D2">
        <w:rPr>
          <w:rtl/>
          <w:lang w:bidi="ar"/>
        </w:rPr>
        <w:t xml:space="preserve">اً </w:t>
      </w:r>
      <w:r w:rsidRPr="00547F64">
        <w:rPr>
          <w:rtl/>
          <w:lang w:bidi="ar"/>
        </w:rPr>
        <w:t xml:space="preserve">بحكم صادر في </w:t>
      </w:r>
      <w:r w:rsidRPr="00DE7260">
        <w:rPr>
          <w:rtl/>
          <w:lang w:bidi="ar"/>
        </w:rPr>
        <w:t>24</w:t>
      </w:r>
      <w:r w:rsidRPr="00547F64">
        <w:rPr>
          <w:rtl/>
          <w:lang w:bidi="ar"/>
        </w:rPr>
        <w:t xml:space="preserve"> نيسان/</w:t>
      </w:r>
      <w:r w:rsidR="00FD1934">
        <w:rPr>
          <w:rFonts w:hint="cs"/>
          <w:rtl/>
          <w:lang w:bidi="ar"/>
        </w:rPr>
        <w:t xml:space="preserve"> </w:t>
      </w:r>
      <w:r w:rsidRPr="00FD1934">
        <w:rPr>
          <w:spacing w:val="-4"/>
          <w:rtl/>
          <w:lang w:bidi="ar"/>
        </w:rPr>
        <w:t xml:space="preserve">أبريل </w:t>
      </w:r>
      <w:r w:rsidRPr="00DE7260">
        <w:rPr>
          <w:spacing w:val="-4"/>
          <w:rtl/>
          <w:lang w:bidi="ar"/>
        </w:rPr>
        <w:t>2013</w:t>
      </w:r>
      <w:r w:rsidRPr="00FD1934">
        <w:rPr>
          <w:spacing w:val="-4"/>
          <w:rtl/>
          <w:lang w:bidi="ar"/>
        </w:rPr>
        <w:t xml:space="preserve"> عن المحكمة الإدارية المتخصصة المشتركة بين المقاطعات في </w:t>
      </w:r>
      <w:proofErr w:type="spellStart"/>
      <w:r w:rsidRPr="00FD1934">
        <w:rPr>
          <w:spacing w:val="-4"/>
          <w:rtl/>
          <w:lang w:bidi="ar"/>
        </w:rPr>
        <w:t>ألماتي</w:t>
      </w:r>
      <w:proofErr w:type="spellEnd"/>
      <w:r w:rsidRPr="00FD1934">
        <w:rPr>
          <w:spacing w:val="-4"/>
          <w:rtl/>
          <w:lang w:bidi="ar"/>
        </w:rPr>
        <w:t xml:space="preserve">. وفي الفترة بين </w:t>
      </w:r>
      <w:r w:rsidRPr="00DE7260">
        <w:rPr>
          <w:spacing w:val="-4"/>
          <w:rtl/>
          <w:lang w:bidi="ar"/>
        </w:rPr>
        <w:t>11</w:t>
      </w:r>
      <w:r w:rsidRPr="00FD1934">
        <w:rPr>
          <w:spacing w:val="-4"/>
          <w:rtl/>
          <w:lang w:bidi="ar"/>
        </w:rPr>
        <w:t xml:space="preserve"> حزيران/يونيه و</w:t>
      </w:r>
      <w:r w:rsidRPr="00DE7260">
        <w:rPr>
          <w:spacing w:val="-4"/>
          <w:rtl/>
          <w:lang w:bidi="ar"/>
        </w:rPr>
        <w:t>30</w:t>
      </w:r>
      <w:r w:rsidRPr="00FD1934">
        <w:rPr>
          <w:spacing w:val="-4"/>
          <w:rtl/>
          <w:lang w:bidi="ar"/>
        </w:rPr>
        <w:t xml:space="preserve"> تموز/يوليه </w:t>
      </w:r>
      <w:r w:rsidRPr="00DE7260">
        <w:rPr>
          <w:spacing w:val="-4"/>
          <w:rtl/>
          <w:lang w:bidi="ar"/>
        </w:rPr>
        <w:t>2013</w:t>
      </w:r>
      <w:r w:rsidRPr="00FD1934">
        <w:rPr>
          <w:spacing w:val="-4"/>
          <w:rtl/>
          <w:lang w:bidi="ar"/>
        </w:rPr>
        <w:t xml:space="preserve">، نُشرت ستة أعداد من الصحيفة (الأعداد </w:t>
      </w:r>
      <w:r w:rsidRPr="00DE7260">
        <w:rPr>
          <w:spacing w:val="-4"/>
          <w:rtl/>
          <w:lang w:bidi="ar"/>
        </w:rPr>
        <w:t>6</w:t>
      </w:r>
      <w:r w:rsidRPr="00FD1934">
        <w:rPr>
          <w:spacing w:val="-4"/>
          <w:rtl/>
          <w:lang w:bidi="ar"/>
        </w:rPr>
        <w:t>-</w:t>
      </w:r>
      <w:r w:rsidRPr="00DE7260">
        <w:rPr>
          <w:spacing w:val="-4"/>
          <w:rtl/>
          <w:lang w:bidi="ar"/>
        </w:rPr>
        <w:t>12</w:t>
      </w:r>
      <w:r w:rsidRPr="00FD1934">
        <w:rPr>
          <w:spacing w:val="-4"/>
          <w:rtl/>
          <w:lang w:bidi="ar"/>
        </w:rPr>
        <w:t xml:space="preserve">) ووزعت منها </w:t>
      </w:r>
      <w:r w:rsidRPr="00DE7260">
        <w:rPr>
          <w:spacing w:val="-4"/>
          <w:rtl/>
          <w:lang w:bidi="ar"/>
        </w:rPr>
        <w:t>000</w:t>
      </w:r>
      <w:r w:rsidRPr="00FD1934">
        <w:rPr>
          <w:spacing w:val="-4"/>
          <w:rtl/>
          <w:lang w:bidi="ar"/>
        </w:rPr>
        <w:t xml:space="preserve"> </w:t>
      </w:r>
      <w:r w:rsidRPr="00DE7260">
        <w:rPr>
          <w:spacing w:val="-4"/>
          <w:rtl/>
          <w:lang w:bidi="ar"/>
        </w:rPr>
        <w:t>6</w:t>
      </w:r>
      <w:r w:rsidRPr="00FD1934">
        <w:rPr>
          <w:spacing w:val="-4"/>
          <w:rtl/>
          <w:lang w:bidi="ar"/>
        </w:rPr>
        <w:t xml:space="preserve"> و</w:t>
      </w:r>
      <w:r w:rsidRPr="00DE7260">
        <w:rPr>
          <w:spacing w:val="-4"/>
          <w:rtl/>
          <w:lang w:bidi="ar"/>
        </w:rPr>
        <w:t>000</w:t>
      </w:r>
      <w:r w:rsidRPr="00FD1934">
        <w:rPr>
          <w:spacing w:val="-4"/>
          <w:rtl/>
          <w:lang w:bidi="ar"/>
        </w:rPr>
        <w:t xml:space="preserve"> </w:t>
      </w:r>
      <w:r w:rsidRPr="00DE7260">
        <w:rPr>
          <w:spacing w:val="-4"/>
          <w:rtl/>
          <w:lang w:bidi="ar"/>
        </w:rPr>
        <w:t>7</w:t>
      </w:r>
      <w:r w:rsidRPr="00FD1934">
        <w:rPr>
          <w:spacing w:val="-4"/>
          <w:rtl/>
          <w:lang w:bidi="ar"/>
        </w:rPr>
        <w:t xml:space="preserve"> نسخة،</w:t>
      </w:r>
      <w:r w:rsidRPr="00547F64">
        <w:rPr>
          <w:rtl/>
          <w:lang w:bidi="ar"/>
        </w:rPr>
        <w:t xml:space="preserve"> في حين أشارت المعلومات الواردة في الترويسة إلى توزيع </w:t>
      </w:r>
      <w:r w:rsidRPr="00DE7260">
        <w:rPr>
          <w:rtl/>
          <w:lang w:bidi="ar"/>
        </w:rPr>
        <w:t>000</w:t>
      </w:r>
      <w:r w:rsidRPr="00547F64">
        <w:rPr>
          <w:rtl/>
          <w:lang w:bidi="ar"/>
        </w:rPr>
        <w:t xml:space="preserve"> </w:t>
      </w:r>
      <w:r w:rsidRPr="00DE7260">
        <w:rPr>
          <w:rtl/>
          <w:lang w:bidi="ar"/>
        </w:rPr>
        <w:t>8</w:t>
      </w:r>
      <w:r w:rsidRPr="00547F64">
        <w:rPr>
          <w:rtl/>
          <w:lang w:bidi="ar"/>
        </w:rPr>
        <w:t xml:space="preserve"> نسخة. ووفق</w:t>
      </w:r>
      <w:r w:rsidR="006531D2">
        <w:rPr>
          <w:rtl/>
          <w:lang w:bidi="ar"/>
        </w:rPr>
        <w:t xml:space="preserve">اً </w:t>
      </w:r>
      <w:r w:rsidRPr="00547F64">
        <w:rPr>
          <w:rtl/>
          <w:lang w:bidi="ar"/>
        </w:rPr>
        <w:t xml:space="preserve">للتفسيرات المقدمة من صاحبة البلاغ الأولى، فإن التوزيع قد خُفِّض بسبب نقص الموارد المالية، لكن المعلومات الواردة في الصحيفة لم تُعدَّل لتجنب أن تتضرر صورة الصحيفة. ونتيجة لهذا الانتهاك الثاني للوائح التي تحكم المعلومات الواردة في الترويسة بموجب قانون وسائط الإعلام، أدينت صاحبة البلاغ الأولى في </w:t>
      </w:r>
      <w:r w:rsidRPr="00DE7260">
        <w:rPr>
          <w:rtl/>
          <w:lang w:bidi="ar"/>
        </w:rPr>
        <w:t>7</w:t>
      </w:r>
      <w:r w:rsidRPr="00547F64">
        <w:rPr>
          <w:rtl/>
          <w:lang w:bidi="ar"/>
        </w:rPr>
        <w:t xml:space="preserve"> آب/أغسطس </w:t>
      </w:r>
      <w:r w:rsidRPr="00DE7260">
        <w:rPr>
          <w:rtl/>
          <w:lang w:bidi="ar"/>
        </w:rPr>
        <w:t>2013</w:t>
      </w:r>
      <w:r w:rsidRPr="00547F64">
        <w:rPr>
          <w:rtl/>
          <w:lang w:bidi="ar"/>
        </w:rPr>
        <w:t xml:space="preserve"> بموجب المادة </w:t>
      </w:r>
      <w:r w:rsidRPr="00DE7260">
        <w:rPr>
          <w:rtl/>
          <w:lang w:bidi="ar"/>
        </w:rPr>
        <w:t>350</w:t>
      </w:r>
      <w:r>
        <w:rPr>
          <w:rtl/>
          <w:lang w:bidi="ar"/>
        </w:rPr>
        <w:t>(</w:t>
      </w:r>
      <w:r w:rsidRPr="00DE7260">
        <w:rPr>
          <w:rtl/>
          <w:lang w:bidi="ar"/>
        </w:rPr>
        <w:t>2</w:t>
      </w:r>
      <w:r w:rsidRPr="00547F64">
        <w:rPr>
          <w:rtl/>
          <w:lang w:bidi="ar"/>
        </w:rPr>
        <w:t xml:space="preserve">) من قانون الجرائم الإدارية، وتقرر وقف نشر الصحيفة حتى </w:t>
      </w:r>
      <w:r w:rsidRPr="00DE7260">
        <w:rPr>
          <w:rtl/>
          <w:lang w:bidi="ar"/>
        </w:rPr>
        <w:t>22</w:t>
      </w:r>
      <w:r w:rsidRPr="00547F64">
        <w:rPr>
          <w:rtl/>
          <w:lang w:bidi="ar"/>
        </w:rPr>
        <w:t xml:space="preserve"> تشرين الثاني/نوفمبر </w:t>
      </w:r>
      <w:r w:rsidRPr="00DE7260">
        <w:rPr>
          <w:rtl/>
          <w:lang w:bidi="ar"/>
        </w:rPr>
        <w:t>2013</w:t>
      </w:r>
      <w:r w:rsidRPr="00547F64">
        <w:rPr>
          <w:rtl/>
          <w:lang w:bidi="ar"/>
        </w:rPr>
        <w:t xml:space="preserve">. وتعترض الدولة الطرف على ادعاء صاحبتي البلاغ بأنه لا يوجد سبب وجيه لتفتيش الصحيفة. وتلاحظ أنه بموجب المادة </w:t>
      </w:r>
      <w:r w:rsidRPr="00DE7260">
        <w:rPr>
          <w:rtl/>
          <w:lang w:bidi="ar"/>
        </w:rPr>
        <w:t>16</w:t>
      </w:r>
      <w:r>
        <w:rPr>
          <w:rtl/>
          <w:lang w:bidi="ar"/>
        </w:rPr>
        <w:t>(</w:t>
      </w:r>
      <w:r w:rsidRPr="00DE7260">
        <w:rPr>
          <w:rtl/>
          <w:lang w:bidi="ar"/>
        </w:rPr>
        <w:t>1</w:t>
      </w:r>
      <w:r w:rsidRPr="00547F64">
        <w:rPr>
          <w:rtl/>
          <w:lang w:bidi="ar"/>
        </w:rPr>
        <w:t>) من القانون، يجب على أصحاب المنشورات الدورية أن يحيلوا نسخ</w:t>
      </w:r>
      <w:r w:rsidR="006531D2">
        <w:rPr>
          <w:rtl/>
          <w:lang w:bidi="ar"/>
        </w:rPr>
        <w:t xml:space="preserve">اً </w:t>
      </w:r>
      <w:r w:rsidRPr="00547F64">
        <w:rPr>
          <w:rtl/>
          <w:lang w:bidi="ar"/>
        </w:rPr>
        <w:t xml:space="preserve">مجانية من إصداراتهم إلى السلطات المختصة يوم صدورها. وقد حددت السلطات هذه الانتهاكات في سياق الرصد العادي. وفي انتهاك للمادة </w:t>
      </w:r>
      <w:r w:rsidRPr="00DE7260">
        <w:rPr>
          <w:rtl/>
          <w:lang w:bidi="ar"/>
        </w:rPr>
        <w:t>623</w:t>
      </w:r>
      <w:r>
        <w:rPr>
          <w:rtl/>
          <w:lang w:bidi="ar"/>
        </w:rPr>
        <w:t>(</w:t>
      </w:r>
      <w:r w:rsidRPr="00DE7260">
        <w:rPr>
          <w:rtl/>
          <w:lang w:bidi="ar"/>
        </w:rPr>
        <w:t>5</w:t>
      </w:r>
      <w:r w:rsidRPr="00547F64">
        <w:rPr>
          <w:rtl/>
          <w:lang w:bidi="ar"/>
        </w:rPr>
        <w:t xml:space="preserve">) من قانون الجرائم الإدارية، التي تنص على طرائق حساب مدة التعليق، وُزِّع العدد رقم </w:t>
      </w:r>
      <w:r w:rsidRPr="00DE7260">
        <w:rPr>
          <w:rtl/>
          <w:lang w:bidi="ar"/>
        </w:rPr>
        <w:t>17</w:t>
      </w:r>
      <w:r w:rsidRPr="00547F64">
        <w:rPr>
          <w:rtl/>
          <w:lang w:bidi="ar"/>
        </w:rPr>
        <w:t xml:space="preserve"> من </w:t>
      </w:r>
      <w:proofErr w:type="spellStart"/>
      <w:r w:rsidRPr="00DE7260">
        <w:rPr>
          <w:i/>
          <w:iCs/>
          <w:rtl/>
          <w:lang w:bidi="ar"/>
        </w:rPr>
        <w:t>برافديفايا</w:t>
      </w:r>
      <w:proofErr w:type="spellEnd"/>
      <w:r w:rsidRPr="00DE7260">
        <w:rPr>
          <w:i/>
          <w:iCs/>
          <w:rtl/>
          <w:lang w:bidi="ar"/>
        </w:rPr>
        <w:t xml:space="preserve"> غازيتا</w:t>
      </w:r>
      <w:r w:rsidRPr="00547F64">
        <w:rPr>
          <w:rtl/>
          <w:lang w:bidi="ar"/>
        </w:rPr>
        <w:t xml:space="preserve"> في </w:t>
      </w:r>
      <w:r w:rsidRPr="00DE7260">
        <w:rPr>
          <w:rtl/>
          <w:lang w:bidi="ar"/>
        </w:rPr>
        <w:t>20</w:t>
      </w:r>
      <w:r w:rsidRPr="00547F64">
        <w:rPr>
          <w:rtl/>
          <w:lang w:bidi="ar"/>
        </w:rPr>
        <w:t xml:space="preserve"> تشرين الثاني/</w:t>
      </w:r>
      <w:r w:rsidR="00FD1934">
        <w:rPr>
          <w:rFonts w:hint="cs"/>
          <w:rtl/>
          <w:lang w:bidi="ar"/>
        </w:rPr>
        <w:t xml:space="preserve"> </w:t>
      </w:r>
      <w:r w:rsidRPr="00547F64">
        <w:rPr>
          <w:rtl/>
          <w:lang w:bidi="ar"/>
        </w:rPr>
        <w:t xml:space="preserve">نوفمبر </w:t>
      </w:r>
      <w:r w:rsidRPr="00DE7260">
        <w:rPr>
          <w:rtl/>
          <w:lang w:bidi="ar"/>
        </w:rPr>
        <w:t>2013</w:t>
      </w:r>
      <w:r w:rsidRPr="00547F64">
        <w:rPr>
          <w:rtl/>
          <w:lang w:bidi="ar"/>
        </w:rPr>
        <w:t>، أي قبل يومين من انتهاء مدة تعليق الصحيفة. وعلاوة على ذلك، لم</w:t>
      </w:r>
      <w:r w:rsidR="006531D2">
        <w:rPr>
          <w:rFonts w:hint="cs"/>
          <w:rtl/>
          <w:lang w:bidi="ar"/>
        </w:rPr>
        <w:t> </w:t>
      </w:r>
      <w:r w:rsidRPr="00547F64">
        <w:rPr>
          <w:rtl/>
          <w:lang w:bidi="ar"/>
        </w:rPr>
        <w:t xml:space="preserve">يشر العدد بوضوح إلى رقم التصديق (كانت هناك أخطاء مطبعية في العدد وفي التاريخ)، في انتهاك للمادة </w:t>
      </w:r>
      <w:r w:rsidRPr="00DE7260">
        <w:rPr>
          <w:rtl/>
          <w:lang w:bidi="ar"/>
        </w:rPr>
        <w:t>15</w:t>
      </w:r>
      <w:r>
        <w:rPr>
          <w:rtl/>
          <w:lang w:bidi="ar"/>
        </w:rPr>
        <w:t>(</w:t>
      </w:r>
      <w:r w:rsidRPr="00DE7260">
        <w:rPr>
          <w:rtl/>
          <w:lang w:bidi="ar"/>
        </w:rPr>
        <w:t>1</w:t>
      </w:r>
      <w:r w:rsidRPr="00547F64">
        <w:rPr>
          <w:rtl/>
          <w:lang w:bidi="ar"/>
        </w:rPr>
        <w:t>)</w:t>
      </w:r>
      <w:r>
        <w:rPr>
          <w:rtl/>
          <w:lang w:bidi="ar"/>
        </w:rPr>
        <w:t>(</w:t>
      </w:r>
      <w:r w:rsidRPr="00DE7260">
        <w:rPr>
          <w:rtl/>
          <w:lang w:bidi="ar"/>
        </w:rPr>
        <w:t>4</w:t>
      </w:r>
      <w:r w:rsidRPr="00547F64">
        <w:rPr>
          <w:rtl/>
          <w:lang w:bidi="ar"/>
        </w:rPr>
        <w:t>) من قانون وسائط الإعلام. ووفق</w:t>
      </w:r>
      <w:r w:rsidR="006531D2">
        <w:rPr>
          <w:rtl/>
          <w:lang w:bidi="ar"/>
        </w:rPr>
        <w:t xml:space="preserve">اً </w:t>
      </w:r>
      <w:r w:rsidRPr="00547F64">
        <w:rPr>
          <w:rtl/>
          <w:lang w:bidi="ar"/>
        </w:rPr>
        <w:t xml:space="preserve">للمادة </w:t>
      </w:r>
      <w:r w:rsidRPr="00DE7260">
        <w:rPr>
          <w:rtl/>
          <w:lang w:bidi="ar"/>
        </w:rPr>
        <w:t>25</w:t>
      </w:r>
      <w:r>
        <w:rPr>
          <w:rtl/>
          <w:lang w:bidi="ar"/>
        </w:rPr>
        <w:t>(</w:t>
      </w:r>
      <w:r w:rsidRPr="00DE7260">
        <w:rPr>
          <w:rtl/>
          <w:lang w:bidi="ar"/>
        </w:rPr>
        <w:t>2</w:t>
      </w:r>
      <w:r w:rsidRPr="00547F64">
        <w:rPr>
          <w:rtl/>
          <w:lang w:bidi="ar"/>
        </w:rPr>
        <w:t xml:space="preserve">) من القانون، تقع المسؤولية عن انتهاكات التشريع المتعلق بوسائط الإعلام على عاتق المسؤولين في الهيئات العامة وغيرها من المنظمات والمالكين والموزعين ورؤساء التحرير، ولهذا السبب لم تقبل المحكمة ادعاء صاحبة البلاغ أن المطبعة هي التي ينبغي أن تكون مسؤولة عن خطأ الطباعة التقني. ولذلك، في </w:t>
      </w:r>
      <w:r w:rsidRPr="00DE7260">
        <w:rPr>
          <w:rtl/>
          <w:lang w:bidi="ar"/>
        </w:rPr>
        <w:t>5</w:t>
      </w:r>
      <w:r w:rsidRPr="00547F64">
        <w:rPr>
          <w:rtl/>
          <w:lang w:bidi="ar"/>
        </w:rPr>
        <w:t xml:space="preserve"> كانون الأول/ديسمبر </w:t>
      </w:r>
      <w:r w:rsidRPr="00DE7260">
        <w:rPr>
          <w:rtl/>
          <w:lang w:bidi="ar"/>
        </w:rPr>
        <w:t>2013</w:t>
      </w:r>
      <w:r w:rsidRPr="00547F64">
        <w:rPr>
          <w:rtl/>
          <w:lang w:bidi="ar"/>
        </w:rPr>
        <w:t xml:space="preserve">، أدانت المحكمة الإدارية المتخصصة المشتركة بين المقاطعات صاحبة البلاغ الأولى بموجب المادتين </w:t>
      </w:r>
      <w:r w:rsidRPr="00DE7260">
        <w:rPr>
          <w:rtl/>
          <w:lang w:bidi="ar"/>
        </w:rPr>
        <w:t>342</w:t>
      </w:r>
      <w:r>
        <w:rPr>
          <w:rtl/>
          <w:lang w:bidi="ar"/>
        </w:rPr>
        <w:t>(</w:t>
      </w:r>
      <w:r w:rsidRPr="00DE7260">
        <w:rPr>
          <w:rtl/>
          <w:lang w:bidi="ar"/>
        </w:rPr>
        <w:t>1</w:t>
      </w:r>
      <w:r w:rsidRPr="00547F64">
        <w:rPr>
          <w:rtl/>
          <w:lang w:bidi="ar"/>
        </w:rPr>
        <w:t>) و</w:t>
      </w:r>
      <w:r w:rsidRPr="00DE7260">
        <w:rPr>
          <w:rtl/>
          <w:lang w:bidi="ar"/>
        </w:rPr>
        <w:t>350</w:t>
      </w:r>
      <w:r>
        <w:rPr>
          <w:rtl/>
          <w:lang w:bidi="ar"/>
        </w:rPr>
        <w:t>(</w:t>
      </w:r>
      <w:r w:rsidRPr="00DE7260">
        <w:rPr>
          <w:rtl/>
          <w:lang w:bidi="ar"/>
        </w:rPr>
        <w:t>2</w:t>
      </w:r>
      <w:r w:rsidRPr="00547F64">
        <w:rPr>
          <w:rtl/>
          <w:lang w:bidi="ar"/>
        </w:rPr>
        <w:t xml:space="preserve">) من قانون الجرائم الإدارية، وفرضت عليها غرامة تعادل </w:t>
      </w:r>
      <w:r w:rsidRPr="00DE7260">
        <w:rPr>
          <w:rtl/>
          <w:lang w:bidi="ar"/>
        </w:rPr>
        <w:t>50</w:t>
      </w:r>
      <w:r w:rsidR="00EB6BD6">
        <w:rPr>
          <w:rtl/>
          <w:lang w:bidi="ar"/>
        </w:rPr>
        <w:t xml:space="preserve"> </w:t>
      </w:r>
      <w:r w:rsidRPr="00547F64">
        <w:rPr>
          <w:rtl/>
          <w:lang w:bidi="ar"/>
        </w:rPr>
        <w:t>مثل</w:t>
      </w:r>
      <w:r w:rsidR="006531D2">
        <w:rPr>
          <w:rtl/>
          <w:lang w:bidi="ar"/>
        </w:rPr>
        <w:t xml:space="preserve">اً </w:t>
      </w:r>
      <w:r w:rsidRPr="00547F64">
        <w:rPr>
          <w:rtl/>
          <w:lang w:bidi="ar"/>
        </w:rPr>
        <w:t xml:space="preserve">لقيمة مؤشر الحساب الشهري، وأمرت بمصادرة العدد موضع المسألة وتعليق نشر الصحيفة لمدة ثلاثة أشهر. وتؤكد الدولة الطرف أن صاحبة البلاغ الأولى ومحاميها كانا حاضرين في جلسة الاستئناف في </w:t>
      </w:r>
      <w:r w:rsidRPr="00DE7260">
        <w:rPr>
          <w:rtl/>
          <w:lang w:bidi="ar"/>
        </w:rPr>
        <w:t>28</w:t>
      </w:r>
      <w:r w:rsidRPr="00547F64">
        <w:rPr>
          <w:rtl/>
          <w:lang w:bidi="ar"/>
        </w:rPr>
        <w:t xml:space="preserve"> كانون الأول/ديسمبر </w:t>
      </w:r>
      <w:r w:rsidRPr="00DE7260">
        <w:rPr>
          <w:rtl/>
          <w:lang w:bidi="ar"/>
        </w:rPr>
        <w:t>2013</w:t>
      </w:r>
      <w:r w:rsidRPr="00547F64">
        <w:rPr>
          <w:rtl/>
          <w:lang w:bidi="ar"/>
        </w:rPr>
        <w:t xml:space="preserve">. وبما أن الصحيفة عُلقت مرتين (في </w:t>
      </w:r>
      <w:r w:rsidRPr="00DE7260">
        <w:rPr>
          <w:rtl/>
          <w:lang w:bidi="ar"/>
        </w:rPr>
        <w:t>22</w:t>
      </w:r>
      <w:r w:rsidRPr="00547F64">
        <w:rPr>
          <w:rtl/>
          <w:lang w:bidi="ar"/>
        </w:rPr>
        <w:t xml:space="preserve"> آب/أغسطس </w:t>
      </w:r>
      <w:r w:rsidRPr="00DE7260">
        <w:rPr>
          <w:rtl/>
          <w:lang w:bidi="ar"/>
        </w:rPr>
        <w:t>2013</w:t>
      </w:r>
      <w:r w:rsidRPr="00547F64">
        <w:rPr>
          <w:rtl/>
          <w:lang w:bidi="ar"/>
        </w:rPr>
        <w:t xml:space="preserve"> وفي </w:t>
      </w:r>
      <w:r w:rsidRPr="00DE7260">
        <w:rPr>
          <w:rtl/>
          <w:lang w:bidi="ar"/>
        </w:rPr>
        <w:t>28</w:t>
      </w:r>
      <w:r w:rsidRPr="00547F64">
        <w:rPr>
          <w:rtl/>
          <w:lang w:bidi="ar"/>
        </w:rPr>
        <w:t xml:space="preserve"> كانون الأول/ديسمبر </w:t>
      </w:r>
      <w:r w:rsidRPr="00DE7260">
        <w:rPr>
          <w:rtl/>
          <w:lang w:bidi="ar"/>
        </w:rPr>
        <w:t>2013</w:t>
      </w:r>
      <w:r w:rsidRPr="00547F64">
        <w:rPr>
          <w:rtl/>
          <w:lang w:bidi="ar"/>
        </w:rPr>
        <w:t>) وعمل</w:t>
      </w:r>
      <w:r w:rsidR="006531D2">
        <w:rPr>
          <w:rtl/>
          <w:lang w:bidi="ar"/>
        </w:rPr>
        <w:t xml:space="preserve">اً </w:t>
      </w:r>
      <w:r w:rsidRPr="00547F64">
        <w:rPr>
          <w:rtl/>
          <w:lang w:bidi="ar"/>
        </w:rPr>
        <w:t>بالمادة</w:t>
      </w:r>
      <w:r w:rsidR="00FD1934">
        <w:rPr>
          <w:rFonts w:hint="cs"/>
          <w:rtl/>
          <w:lang w:bidi="ar"/>
        </w:rPr>
        <w:t> </w:t>
      </w:r>
      <w:r w:rsidRPr="00DE7260">
        <w:rPr>
          <w:rtl/>
          <w:lang w:bidi="ar"/>
        </w:rPr>
        <w:t>13</w:t>
      </w:r>
      <w:r>
        <w:rPr>
          <w:rtl/>
          <w:lang w:bidi="ar"/>
        </w:rPr>
        <w:t>(</w:t>
      </w:r>
      <w:r w:rsidRPr="00DE7260">
        <w:rPr>
          <w:rtl/>
          <w:lang w:bidi="ar"/>
        </w:rPr>
        <w:t>5</w:t>
      </w:r>
      <w:r w:rsidRPr="00547F64">
        <w:rPr>
          <w:rtl/>
          <w:lang w:bidi="ar"/>
        </w:rPr>
        <w:t>)</w:t>
      </w:r>
      <w:r>
        <w:rPr>
          <w:rtl/>
          <w:lang w:bidi="ar"/>
        </w:rPr>
        <w:t>(</w:t>
      </w:r>
      <w:r w:rsidRPr="00DE7260">
        <w:rPr>
          <w:rtl/>
          <w:lang w:bidi="ar"/>
        </w:rPr>
        <w:t>4</w:t>
      </w:r>
      <w:r w:rsidRPr="00547F64">
        <w:rPr>
          <w:rtl/>
          <w:lang w:bidi="ar"/>
        </w:rPr>
        <w:t xml:space="preserve">) من قانون وسائط الإعلام، التي تنص على أن عدم تصحيح أسباب تعليق منشور </w:t>
      </w:r>
      <w:r w:rsidRPr="00FD1934">
        <w:rPr>
          <w:spacing w:val="-4"/>
          <w:rtl/>
          <w:lang w:bidi="ar"/>
        </w:rPr>
        <w:t xml:space="preserve">إعلامي يمكن أن يؤدي إلى إصدار أمر بوقف صدوره، أُمر بوقف نشر الصحيفة بقرار صادر في </w:t>
      </w:r>
      <w:r w:rsidRPr="00DE7260">
        <w:rPr>
          <w:spacing w:val="-4"/>
          <w:rtl/>
          <w:lang w:bidi="ar"/>
        </w:rPr>
        <w:t>24</w:t>
      </w:r>
      <w:r w:rsidRPr="00547F64">
        <w:rPr>
          <w:rtl/>
          <w:lang w:bidi="ar"/>
        </w:rPr>
        <w:t xml:space="preserve"> شباط/</w:t>
      </w:r>
      <w:r w:rsidR="00FD1934">
        <w:rPr>
          <w:rFonts w:hint="cs"/>
          <w:rtl/>
          <w:lang w:bidi="ar"/>
        </w:rPr>
        <w:t xml:space="preserve"> </w:t>
      </w:r>
      <w:r w:rsidRPr="00547F64">
        <w:rPr>
          <w:rtl/>
          <w:lang w:bidi="ar"/>
        </w:rPr>
        <w:t xml:space="preserve">فبراير </w:t>
      </w:r>
      <w:r w:rsidRPr="00DE7260">
        <w:rPr>
          <w:rtl/>
          <w:lang w:bidi="ar"/>
        </w:rPr>
        <w:t>2014</w:t>
      </w:r>
      <w:r w:rsidRPr="00547F64">
        <w:rPr>
          <w:rtl/>
          <w:lang w:bidi="ar"/>
        </w:rPr>
        <w:t xml:space="preserve"> عن محكمة مقاطعة </w:t>
      </w:r>
      <w:proofErr w:type="spellStart"/>
      <w:r w:rsidRPr="00547F64">
        <w:rPr>
          <w:rtl/>
          <w:lang w:bidi="ar"/>
        </w:rPr>
        <w:t>بوستانديق</w:t>
      </w:r>
      <w:proofErr w:type="spellEnd"/>
      <w:r w:rsidRPr="00547F64">
        <w:rPr>
          <w:rtl/>
          <w:lang w:bidi="ar"/>
        </w:rPr>
        <w:t xml:space="preserve"> في </w:t>
      </w:r>
      <w:proofErr w:type="spellStart"/>
      <w:r w:rsidRPr="00547F64">
        <w:rPr>
          <w:rtl/>
          <w:lang w:bidi="ar"/>
        </w:rPr>
        <w:t>ألماتي</w:t>
      </w:r>
      <w:proofErr w:type="spellEnd"/>
      <w:r w:rsidRPr="00547F64">
        <w:rPr>
          <w:rtl/>
          <w:lang w:bidi="ar"/>
        </w:rPr>
        <w:t>. وخلصت الدولة الطرف إلى أن صاحبة البلاغ الأولى كانت مسؤولة إداري</w:t>
      </w:r>
      <w:r w:rsidR="006531D2">
        <w:rPr>
          <w:rtl/>
          <w:lang w:bidi="ar"/>
        </w:rPr>
        <w:t xml:space="preserve">اً </w:t>
      </w:r>
      <w:r w:rsidRPr="00547F64">
        <w:rPr>
          <w:rtl/>
          <w:lang w:bidi="ar"/>
        </w:rPr>
        <w:t xml:space="preserve">عن انتهاك الإجراء "غير المعقد" الذي يحكم إنتاج وسائط الإعلام المطبوعة </w:t>
      </w:r>
      <w:r w:rsidRPr="00547F64">
        <w:rPr>
          <w:rtl/>
          <w:lang w:bidi="ar"/>
        </w:rPr>
        <w:lastRenderedPageBreak/>
        <w:t>وليس عن مضمون المعلومات المنشورة في الصحيفة. ولذلك،</w:t>
      </w:r>
      <w:r w:rsidR="006531D2">
        <w:rPr>
          <w:rFonts w:hint="cs"/>
          <w:rtl/>
          <w:lang w:bidi="ar"/>
        </w:rPr>
        <w:t> </w:t>
      </w:r>
      <w:r w:rsidRPr="006531D2">
        <w:rPr>
          <w:spacing w:val="-4"/>
          <w:rtl/>
          <w:lang w:bidi="ar"/>
        </w:rPr>
        <w:t>اعتبرت الدولة الطرف أن ادعاء صاحبتي البلاغ أن حقهما في حرية التعبير لم يُكفل قول لا أساس له</w:t>
      </w:r>
      <w:r w:rsidR="006531D2">
        <w:rPr>
          <w:rFonts w:hint="cs"/>
          <w:spacing w:val="-4"/>
          <w:rtl/>
          <w:lang w:bidi="ar"/>
        </w:rPr>
        <w:t> </w:t>
      </w:r>
      <w:r w:rsidRPr="006531D2">
        <w:rPr>
          <w:spacing w:val="-4"/>
          <w:rtl/>
          <w:lang w:bidi="ar"/>
        </w:rPr>
        <w:t>من الصحة.</w:t>
      </w:r>
    </w:p>
    <w:p w14:paraId="7259978D" w14:textId="0DEEA3C8" w:rsidR="00E74FBF" w:rsidRPr="00547F64" w:rsidRDefault="00E74FBF" w:rsidP="00E74FBF">
      <w:pPr>
        <w:pStyle w:val="SingleTxtGA"/>
      </w:pPr>
      <w:r w:rsidRPr="00DE7260">
        <w:rPr>
          <w:rtl/>
          <w:lang w:bidi="ar"/>
        </w:rPr>
        <w:t>6</w:t>
      </w:r>
      <w:r w:rsidRPr="00547F64">
        <w:rPr>
          <w:rtl/>
          <w:lang w:bidi="ar"/>
        </w:rPr>
        <w:t>-</w:t>
      </w:r>
      <w:r w:rsidRPr="00DE7260">
        <w:rPr>
          <w:rtl/>
          <w:lang w:bidi="ar"/>
        </w:rPr>
        <w:t>4</w:t>
      </w:r>
      <w:r w:rsidR="006531D2">
        <w:rPr>
          <w:rtl/>
          <w:lang w:bidi="ar"/>
        </w:rPr>
        <w:tab/>
      </w:r>
      <w:r w:rsidRPr="00547F64">
        <w:rPr>
          <w:rtl/>
          <w:lang w:bidi="ar"/>
        </w:rPr>
        <w:t xml:space="preserve">وتطلب الدولة الطرف إلى اللجنة أن تعتبر البلاغ غير مقبول وغير مسند بأدلة بموجب المواد </w:t>
      </w:r>
      <w:r w:rsidRPr="00DE7260">
        <w:rPr>
          <w:rtl/>
          <w:lang w:bidi="ar"/>
        </w:rPr>
        <w:t>2</w:t>
      </w:r>
      <w:r w:rsidRPr="00547F64">
        <w:rPr>
          <w:rtl/>
          <w:lang w:bidi="ar"/>
        </w:rPr>
        <w:t xml:space="preserve"> و</w:t>
      </w:r>
      <w:r w:rsidRPr="00DE7260">
        <w:rPr>
          <w:rtl/>
          <w:lang w:bidi="ar"/>
        </w:rPr>
        <w:t>3</w:t>
      </w:r>
      <w:r w:rsidRPr="00547F64">
        <w:rPr>
          <w:rtl/>
          <w:lang w:bidi="ar"/>
        </w:rPr>
        <w:t xml:space="preserve"> و</w:t>
      </w:r>
      <w:r w:rsidRPr="00DE7260">
        <w:rPr>
          <w:rtl/>
          <w:lang w:bidi="ar"/>
        </w:rPr>
        <w:t>5</w:t>
      </w:r>
      <w:r w:rsidRPr="00547F64">
        <w:rPr>
          <w:rtl/>
          <w:lang w:bidi="ar"/>
        </w:rPr>
        <w:t xml:space="preserve"> من البروتوكول الاختياري.</w:t>
      </w:r>
    </w:p>
    <w:p w14:paraId="7217E725" w14:textId="124522C2" w:rsidR="00E74FBF" w:rsidRPr="00DE7260" w:rsidRDefault="00EB6BD6" w:rsidP="00EB6BD6">
      <w:pPr>
        <w:pStyle w:val="H23GA"/>
      </w:pPr>
      <w:r w:rsidRPr="00DE7260">
        <w:rPr>
          <w:rtl/>
          <w:lang w:bidi="ar"/>
        </w:rPr>
        <w:tab/>
      </w:r>
      <w:r w:rsidRPr="00DE7260">
        <w:rPr>
          <w:rtl/>
          <w:lang w:bidi="ar"/>
        </w:rPr>
        <w:tab/>
      </w:r>
      <w:r w:rsidR="00E74FBF" w:rsidRPr="00DE7260">
        <w:rPr>
          <w:rtl/>
          <w:lang w:bidi="ar"/>
        </w:rPr>
        <w:t>تعليقات صاحبتي البلاغ على ملاحظات الدولة الطرف الإضافية بشأن المقبولية والملاحظات المتعلقة بالأسس الموضوعية</w:t>
      </w:r>
    </w:p>
    <w:p w14:paraId="1A0B5813" w14:textId="3BC66FEE" w:rsidR="00E74FBF" w:rsidRPr="00547F64" w:rsidRDefault="00E74FBF" w:rsidP="00E74FBF">
      <w:pPr>
        <w:pStyle w:val="SingleTxtGA"/>
      </w:pPr>
      <w:r w:rsidRPr="00DE7260">
        <w:rPr>
          <w:rtl/>
          <w:lang w:bidi="ar"/>
        </w:rPr>
        <w:t>7</w:t>
      </w:r>
      <w:r w:rsidRPr="00547F64">
        <w:rPr>
          <w:rtl/>
          <w:lang w:bidi="ar"/>
        </w:rPr>
        <w:t>-</w:t>
      </w:r>
      <w:r w:rsidRPr="00DE7260">
        <w:rPr>
          <w:rtl/>
          <w:lang w:bidi="ar"/>
        </w:rPr>
        <w:t>1</w:t>
      </w:r>
      <w:r w:rsidR="00EB6BD6">
        <w:rPr>
          <w:rtl/>
          <w:lang w:bidi="ar"/>
        </w:rPr>
        <w:tab/>
      </w:r>
      <w:r w:rsidRPr="00547F64">
        <w:rPr>
          <w:rtl/>
          <w:lang w:bidi="ar"/>
        </w:rPr>
        <w:t xml:space="preserve">في </w:t>
      </w:r>
      <w:r w:rsidRPr="00DE7260">
        <w:rPr>
          <w:rtl/>
          <w:lang w:bidi="ar"/>
        </w:rPr>
        <w:t>27</w:t>
      </w:r>
      <w:r w:rsidRPr="00547F64">
        <w:rPr>
          <w:rtl/>
          <w:lang w:bidi="ar"/>
        </w:rPr>
        <w:t xml:space="preserve"> كانون الأول/ديسمبر </w:t>
      </w:r>
      <w:r w:rsidRPr="00DE7260">
        <w:rPr>
          <w:rtl/>
          <w:lang w:bidi="ar"/>
        </w:rPr>
        <w:t>2016</w:t>
      </w:r>
      <w:r w:rsidRPr="00547F64">
        <w:rPr>
          <w:rtl/>
          <w:lang w:bidi="ar"/>
        </w:rPr>
        <w:t>، قالت صاحبتا البلاغ إن الغرامات الإدارية ومصادرة المطبوعات وتعليق الصحيفة وإغلاقها تشكل تقييد</w:t>
      </w:r>
      <w:r w:rsidR="006531D2">
        <w:rPr>
          <w:rtl/>
          <w:lang w:bidi="ar"/>
        </w:rPr>
        <w:t xml:space="preserve">اً </w:t>
      </w:r>
      <w:r w:rsidRPr="00547F64">
        <w:rPr>
          <w:rtl/>
          <w:lang w:bidi="ar"/>
        </w:rPr>
        <w:t>كبير</w:t>
      </w:r>
      <w:r w:rsidR="006531D2">
        <w:rPr>
          <w:rtl/>
          <w:lang w:bidi="ar"/>
        </w:rPr>
        <w:t xml:space="preserve">اً </w:t>
      </w:r>
      <w:r w:rsidRPr="00547F64">
        <w:rPr>
          <w:rtl/>
          <w:lang w:bidi="ar"/>
        </w:rPr>
        <w:t>لحقهم</w:t>
      </w:r>
      <w:r w:rsidRPr="00547F64">
        <w:rPr>
          <w:rtl/>
          <w:lang w:val="fr-FR"/>
        </w:rPr>
        <w:t>ا</w:t>
      </w:r>
      <w:r w:rsidRPr="00547F64">
        <w:rPr>
          <w:rtl/>
          <w:lang w:bidi="ar"/>
        </w:rPr>
        <w:t xml:space="preserve"> في حرية التعبير لا </w:t>
      </w:r>
      <w:r w:rsidRPr="00547F64">
        <w:rPr>
          <w:rtl/>
          <w:lang w:val="fr-FR"/>
        </w:rPr>
        <w:t>ينسجم</w:t>
      </w:r>
      <w:r w:rsidRPr="00547F64">
        <w:rPr>
          <w:rtl/>
          <w:lang w:bidi="ar"/>
        </w:rPr>
        <w:t xml:space="preserve"> مع القيود المسموح بها بموجب المادة </w:t>
      </w:r>
      <w:r w:rsidRPr="00DE7260">
        <w:rPr>
          <w:rtl/>
          <w:lang w:bidi="ar"/>
        </w:rPr>
        <w:t>19</w:t>
      </w:r>
      <w:r w:rsidRPr="00547F64">
        <w:rPr>
          <w:rtl/>
          <w:lang w:bidi="ar"/>
        </w:rPr>
        <w:t xml:space="preserve"> من العهد وبموجب المادة </w:t>
      </w:r>
      <w:r w:rsidRPr="00DE7260">
        <w:rPr>
          <w:rtl/>
          <w:lang w:bidi="ar"/>
        </w:rPr>
        <w:t>39</w:t>
      </w:r>
      <w:r w:rsidRPr="00547F64">
        <w:rPr>
          <w:rtl/>
          <w:lang w:bidi="ar"/>
        </w:rPr>
        <w:t xml:space="preserve"> من الدستور. وتؤكد صاحبتا البلاغ أن الدستور يحظر تقييد حقوق</w:t>
      </w:r>
      <w:r w:rsidRPr="00547F64">
        <w:rPr>
          <w:lang w:bidi="ar"/>
        </w:rPr>
        <w:t xml:space="preserve"> </w:t>
      </w:r>
      <w:r w:rsidRPr="00547F64">
        <w:rPr>
          <w:rtl/>
          <w:lang w:bidi="ar"/>
        </w:rPr>
        <w:t>المواطنين وحرياتهم لأسباب سياسية.</w:t>
      </w:r>
    </w:p>
    <w:p w14:paraId="403E9E74" w14:textId="5340083B" w:rsidR="00E74FBF" w:rsidRPr="00547F64" w:rsidRDefault="00E74FBF" w:rsidP="00E74FBF">
      <w:pPr>
        <w:pStyle w:val="SingleTxtGA"/>
      </w:pPr>
      <w:r w:rsidRPr="00DE7260">
        <w:rPr>
          <w:rtl/>
          <w:lang w:bidi="ar"/>
        </w:rPr>
        <w:t>7</w:t>
      </w:r>
      <w:r w:rsidRPr="00547F64">
        <w:rPr>
          <w:rtl/>
          <w:lang w:bidi="ar"/>
        </w:rPr>
        <w:t>-</w:t>
      </w:r>
      <w:r w:rsidRPr="00DE7260">
        <w:rPr>
          <w:rtl/>
          <w:lang w:bidi="ar"/>
        </w:rPr>
        <w:t>2</w:t>
      </w:r>
      <w:r w:rsidR="00EB6BD6">
        <w:rPr>
          <w:rtl/>
          <w:lang w:bidi="ar"/>
        </w:rPr>
        <w:tab/>
      </w:r>
      <w:r w:rsidRPr="00547F64">
        <w:rPr>
          <w:rtl/>
          <w:lang w:bidi="ar"/>
        </w:rPr>
        <w:t>وتؤكد صاحبتا البلاغ أنه على الرغم من أن العقوبات قد نُصّ عليها في القانون، فتقييد حرية التعبير لم يكن متناسب</w:t>
      </w:r>
      <w:r w:rsidR="006531D2">
        <w:rPr>
          <w:rtl/>
          <w:lang w:bidi="ar"/>
        </w:rPr>
        <w:t xml:space="preserve">اً </w:t>
      </w:r>
      <w:r w:rsidRPr="00547F64">
        <w:rPr>
          <w:rtl/>
          <w:lang w:bidi="ar"/>
        </w:rPr>
        <w:t xml:space="preserve">مع المخالفات المزعومة. وكانت العقوبات غير متوقعة لأن الأحكام التشريعية ذات الصلة تفتقر إلى الوضوح ويمكن تفسيرها من </w:t>
      </w:r>
      <w:r w:rsidRPr="00547F64">
        <w:rPr>
          <w:rtl/>
          <w:lang w:val="fr-FR"/>
        </w:rPr>
        <w:t>جانب</w:t>
      </w:r>
      <w:r w:rsidRPr="00547F64">
        <w:rPr>
          <w:rtl/>
          <w:lang w:bidi="ar"/>
        </w:rPr>
        <w:t xml:space="preserve"> سلطات النيابة العامة والقضاء بطريقة </w:t>
      </w:r>
      <w:r w:rsidRPr="00547F64">
        <w:rPr>
          <w:rtl/>
          <w:lang w:val="fr-FR"/>
        </w:rPr>
        <w:t>نتج عنها تعليق الصحيفة وإغلاقها لمجرد وجود</w:t>
      </w:r>
      <w:r w:rsidRPr="00547F64">
        <w:rPr>
          <w:rtl/>
          <w:lang w:bidi="ar"/>
        </w:rPr>
        <w:t xml:space="preserve"> مخالفات بسيطة ومتفرقة لضوابط المعلومات الواردة في ترويسة الصحيفة، وهي حالات صُوِّبت على الفور. وتؤكد صاحبتا البلاغ أن مبدأ التناسب لا يتعلق فقط بما</w:t>
      </w:r>
      <w:r w:rsidR="006531D2">
        <w:rPr>
          <w:rFonts w:hint="cs"/>
          <w:rtl/>
          <w:lang w:bidi="ar"/>
        </w:rPr>
        <w:t> </w:t>
      </w:r>
      <w:r w:rsidRPr="00547F64">
        <w:rPr>
          <w:rtl/>
          <w:lang w:bidi="ar"/>
        </w:rPr>
        <w:t>ينص عليه التشريع من قيود مسموح بها، بل أيضا بالطريقة التي تطبق بها السلطات الإدارية والقضائية التشريع. ولم تحتجّ السلطات في أي وقت من الأوقات خلال الإجراءات الإدارية والقضائية بأي أساس آخر لتقييد حقوقها غير المتطلبات الإجرائية المتعلقة بترويسة الصحيفة. وخلصت صاحبتا البلاغ إلى أن الأسباب المعتد بها في "</w:t>
      </w:r>
      <w:r w:rsidRPr="00547F64">
        <w:rPr>
          <w:rtl/>
          <w:lang w:val="fr-FR"/>
        </w:rPr>
        <w:t>التعسف</w:t>
      </w:r>
      <w:r w:rsidRPr="00547F64">
        <w:rPr>
          <w:rtl/>
          <w:lang w:bidi="ar"/>
        </w:rPr>
        <w:t>" الذي تعرضت له الصحيفة، والغرامات التي فُرضت على مالكتها ورئيسة تحريرها، ومصادرة عددين منها، وتعليقها لمدة نصف عام ثم إغلاقها لا تعدو أن الصحيفة لم تبيّن التواتر الزمني لصدورها، وبالغت في العدد الموزَّع من الصحيفة بمقدار</w:t>
      </w:r>
      <w:r w:rsidR="006531D2">
        <w:rPr>
          <w:rFonts w:hint="cs"/>
          <w:rtl/>
          <w:lang w:bidi="ar"/>
        </w:rPr>
        <w:t xml:space="preserve"> </w:t>
      </w:r>
      <w:r w:rsidR="006531D2" w:rsidRPr="00DE7260">
        <w:rPr>
          <w:rFonts w:hint="cs"/>
          <w:rtl/>
          <w:lang w:bidi="ar"/>
        </w:rPr>
        <w:t>000</w:t>
      </w:r>
      <w:r w:rsidR="006531D2">
        <w:rPr>
          <w:rFonts w:hint="cs"/>
          <w:rtl/>
          <w:lang w:bidi="ar"/>
        </w:rPr>
        <w:t xml:space="preserve"> </w:t>
      </w:r>
      <w:r w:rsidR="006531D2" w:rsidRPr="00DE7260">
        <w:rPr>
          <w:rFonts w:hint="cs"/>
          <w:rtl/>
          <w:lang w:bidi="ar"/>
        </w:rPr>
        <w:t>1</w:t>
      </w:r>
      <w:r w:rsidR="006531D2">
        <w:rPr>
          <w:rtl/>
          <w:lang w:bidi="ar"/>
        </w:rPr>
        <w:t>–</w:t>
      </w:r>
      <w:r w:rsidR="006531D2" w:rsidRPr="00DE7260">
        <w:rPr>
          <w:rFonts w:hint="cs"/>
          <w:rtl/>
          <w:lang w:bidi="ar"/>
        </w:rPr>
        <w:t>000</w:t>
      </w:r>
      <w:r w:rsidR="006531D2">
        <w:rPr>
          <w:rFonts w:hint="cs"/>
          <w:rtl/>
          <w:lang w:bidi="ar"/>
        </w:rPr>
        <w:t xml:space="preserve"> </w:t>
      </w:r>
      <w:r w:rsidR="006531D2" w:rsidRPr="00DE7260">
        <w:rPr>
          <w:rFonts w:hint="cs"/>
          <w:rtl/>
          <w:lang w:bidi="ar"/>
        </w:rPr>
        <w:t>2</w:t>
      </w:r>
      <w:r w:rsidRPr="00547F64">
        <w:rPr>
          <w:rtl/>
          <w:lang w:bidi="ar"/>
        </w:rPr>
        <w:t xml:space="preserve"> نسخة، وأن المطبعة ارتكبت خط</w:t>
      </w:r>
      <w:r w:rsidR="006531D2">
        <w:rPr>
          <w:rtl/>
          <w:lang w:bidi="ar"/>
        </w:rPr>
        <w:t xml:space="preserve">اً </w:t>
      </w:r>
      <w:r w:rsidRPr="00547F64">
        <w:rPr>
          <w:rtl/>
          <w:lang w:bidi="ar"/>
        </w:rPr>
        <w:t>فني</w:t>
      </w:r>
      <w:r w:rsidR="006531D2">
        <w:rPr>
          <w:rtl/>
          <w:lang w:bidi="ar"/>
        </w:rPr>
        <w:t xml:space="preserve">اً </w:t>
      </w:r>
      <w:r w:rsidRPr="00547F64">
        <w:rPr>
          <w:rtl/>
          <w:lang w:bidi="ar"/>
        </w:rPr>
        <w:t>نتج عنه عدم وضوح في الترويسة، وهو أمر صُوِّب قبل توزيع الصحيفة. ولم تنظر السلطات التنفيذية ولا المحاكم في اعتماد أي تدابير أقل تقييد</w:t>
      </w:r>
      <w:r w:rsidR="006531D2">
        <w:rPr>
          <w:rtl/>
          <w:lang w:bidi="ar"/>
        </w:rPr>
        <w:t xml:space="preserve">اً </w:t>
      </w:r>
      <w:r w:rsidRPr="00547F64">
        <w:rPr>
          <w:rtl/>
          <w:lang w:bidi="ar"/>
        </w:rPr>
        <w:t>مثل التحذير، المنصوص عليه في التشريع الوطني. وبدل</w:t>
      </w:r>
      <w:r w:rsidR="006531D2">
        <w:rPr>
          <w:rtl/>
          <w:lang w:bidi="ar"/>
        </w:rPr>
        <w:t xml:space="preserve">اً </w:t>
      </w:r>
      <w:r w:rsidRPr="00547F64">
        <w:rPr>
          <w:rtl/>
          <w:lang w:bidi="ar"/>
        </w:rPr>
        <w:t xml:space="preserve">من ذلك، كانت إجراءاتها تهدف إلى منع توزيع الصحيفة وإغلاقها. وبالنظر إلى أن </w:t>
      </w:r>
      <w:proofErr w:type="spellStart"/>
      <w:r w:rsidRPr="00DE7260">
        <w:rPr>
          <w:i/>
          <w:iCs/>
          <w:rtl/>
          <w:lang w:bidi="ar"/>
        </w:rPr>
        <w:t>برافديفايا</w:t>
      </w:r>
      <w:proofErr w:type="spellEnd"/>
      <w:r w:rsidRPr="00DE7260">
        <w:rPr>
          <w:i/>
          <w:iCs/>
          <w:rtl/>
          <w:lang w:bidi="ar"/>
        </w:rPr>
        <w:t xml:space="preserve"> غازيتا</w:t>
      </w:r>
      <w:r w:rsidRPr="00547F64">
        <w:rPr>
          <w:rtl/>
          <w:lang w:bidi="ar"/>
        </w:rPr>
        <w:t xml:space="preserve"> نشرت مقالات منتقدة للسلطات، يتبين أن تلك الإجراءات كانت ذات دوافع سياسية واضحة.</w:t>
      </w:r>
    </w:p>
    <w:p w14:paraId="3D51A1E8" w14:textId="2503CE3B" w:rsidR="00E74FBF" w:rsidRPr="00547F64" w:rsidRDefault="00E74FBF" w:rsidP="00E74FBF">
      <w:pPr>
        <w:pStyle w:val="SingleTxtGA"/>
      </w:pPr>
      <w:r w:rsidRPr="00DE7260">
        <w:rPr>
          <w:rtl/>
          <w:lang w:bidi="ar"/>
        </w:rPr>
        <w:t>7</w:t>
      </w:r>
      <w:r w:rsidRPr="00547F64">
        <w:rPr>
          <w:rtl/>
          <w:lang w:bidi="ar"/>
        </w:rPr>
        <w:t>-</w:t>
      </w:r>
      <w:r w:rsidRPr="00DE7260">
        <w:rPr>
          <w:rtl/>
          <w:lang w:bidi="ar"/>
        </w:rPr>
        <w:t>3</w:t>
      </w:r>
      <w:r w:rsidR="00EB6BD6">
        <w:rPr>
          <w:rtl/>
          <w:lang w:bidi="ar"/>
        </w:rPr>
        <w:tab/>
      </w:r>
      <w:r w:rsidRPr="00547F64">
        <w:rPr>
          <w:rtl/>
          <w:lang w:bidi="ar"/>
        </w:rPr>
        <w:t>وفيما يتعلق بادعاء الدولة الطرف أن الالتماس المقدم إلى مكتب المدعي العام هو سبيل انتصاف محلي فعال، تلاحظ صاحبتا البلاغ أن التشريع الذي كان ساري</w:t>
      </w:r>
      <w:r w:rsidR="006531D2">
        <w:rPr>
          <w:rtl/>
          <w:lang w:bidi="ar"/>
        </w:rPr>
        <w:t xml:space="preserve">اً </w:t>
      </w:r>
      <w:r w:rsidRPr="00547F64">
        <w:rPr>
          <w:rtl/>
          <w:lang w:bidi="ar"/>
        </w:rPr>
        <w:t xml:space="preserve">وقت الوقائع كان ينص على أن محكمة الاستئناف هي أعلى محكمة قضائية في القضايا المتصلة بالجرائم الإدارية. وقدمت صاحبتا البلاغ التماسات إلى مكتب النيابة العامة في </w:t>
      </w:r>
      <w:proofErr w:type="spellStart"/>
      <w:r w:rsidRPr="00547F64">
        <w:rPr>
          <w:rtl/>
          <w:lang w:bidi="ar"/>
        </w:rPr>
        <w:t>ألماتي</w:t>
      </w:r>
      <w:proofErr w:type="spellEnd"/>
      <w:r w:rsidRPr="00547F64">
        <w:rPr>
          <w:rtl/>
          <w:lang w:bidi="ar"/>
        </w:rPr>
        <w:t xml:space="preserve"> وإلى مكتب المدعي العام، لكن التماساتهما رُفضت لأن اعتراض النيابة العامة حق تقديري يعود إليها؛ وبالتالي لا يمكن اعتباره سبيل انتصاف فعال</w:t>
      </w:r>
      <w:r w:rsidR="006531D2">
        <w:rPr>
          <w:rtl/>
          <w:lang w:bidi="ar"/>
        </w:rPr>
        <w:t xml:space="preserve">اً. </w:t>
      </w:r>
      <w:r w:rsidRPr="00547F64">
        <w:rPr>
          <w:rtl/>
          <w:lang w:bidi="ar"/>
        </w:rPr>
        <w:t>وعلاوة على ذلك، تلاحظ صاحبتا البلاغ أن مكتب النيابة العامة كان بنفسه مدعي</w:t>
      </w:r>
      <w:r w:rsidR="006531D2">
        <w:rPr>
          <w:rtl/>
          <w:lang w:bidi="ar"/>
        </w:rPr>
        <w:t xml:space="preserve">اً </w:t>
      </w:r>
      <w:r w:rsidRPr="00547F64">
        <w:rPr>
          <w:rtl/>
          <w:lang w:bidi="ar"/>
        </w:rPr>
        <w:t xml:space="preserve">في القضية المتعلقة بإغلاق الصحيفة، وبالتالي لم يكن هناك أي فائدة من تقديم طعن إليه بسبب انحيازه الواضح. وتؤكد صاحبتا البلاغ كذلك أن مراجعة قرارات المحاكم نتيجة لظروف مستجدة بموجب المواد من </w:t>
      </w:r>
      <w:r w:rsidRPr="00DE7260">
        <w:rPr>
          <w:rtl/>
          <w:lang w:bidi="ar"/>
        </w:rPr>
        <w:t>404</w:t>
      </w:r>
      <w:r w:rsidRPr="00547F64">
        <w:rPr>
          <w:rtl/>
          <w:lang w:bidi="ar"/>
        </w:rPr>
        <w:t xml:space="preserve"> إلى </w:t>
      </w:r>
      <w:r w:rsidRPr="00DE7260">
        <w:rPr>
          <w:rtl/>
          <w:lang w:bidi="ar"/>
        </w:rPr>
        <w:t>409</w:t>
      </w:r>
      <w:r w:rsidRPr="00547F64">
        <w:rPr>
          <w:rtl/>
          <w:lang w:bidi="ar"/>
        </w:rPr>
        <w:t xml:space="preserve"> من قانون الإجراءات المدنية ليست وسيلة انتصاف فعالة أيض</w:t>
      </w:r>
      <w:r w:rsidR="006531D2">
        <w:rPr>
          <w:rtl/>
          <w:lang w:bidi="ar"/>
        </w:rPr>
        <w:t xml:space="preserve">اً، </w:t>
      </w:r>
      <w:r w:rsidRPr="00547F64">
        <w:rPr>
          <w:rtl/>
          <w:lang w:bidi="ar"/>
        </w:rPr>
        <w:t xml:space="preserve">لأنه لا توجد في قضيتهما ظروف مستجدة بالمعنى المقصود في المادة </w:t>
      </w:r>
      <w:r w:rsidRPr="00DE7260">
        <w:rPr>
          <w:rtl/>
          <w:lang w:bidi="ar"/>
        </w:rPr>
        <w:t>404</w:t>
      </w:r>
      <w:r w:rsidRPr="00547F64">
        <w:rPr>
          <w:rtl/>
          <w:lang w:bidi="ar"/>
        </w:rPr>
        <w:t xml:space="preserve"> من القانون، وبالتالي لم يكن بإمكانهما اللجوء إلى سبيل الانتصاف هذا. وبناء على ذلك، رفضت صاحبتا البلاغ دفع الدولة الطرف بعدم مقبولية البلاغ بموجب المواد </w:t>
      </w:r>
      <w:r w:rsidRPr="00DE7260">
        <w:rPr>
          <w:rtl/>
          <w:lang w:bidi="ar"/>
        </w:rPr>
        <w:t>2</w:t>
      </w:r>
      <w:r w:rsidRPr="00547F64">
        <w:rPr>
          <w:rtl/>
          <w:lang w:bidi="ar"/>
        </w:rPr>
        <w:t xml:space="preserve"> و</w:t>
      </w:r>
      <w:r w:rsidRPr="00DE7260">
        <w:rPr>
          <w:rtl/>
          <w:lang w:bidi="ar"/>
        </w:rPr>
        <w:t>3</w:t>
      </w:r>
      <w:r w:rsidRPr="00547F64">
        <w:rPr>
          <w:rtl/>
          <w:lang w:bidi="ar"/>
        </w:rPr>
        <w:t xml:space="preserve"> و</w:t>
      </w:r>
      <w:r w:rsidRPr="00DE7260">
        <w:rPr>
          <w:rtl/>
          <w:lang w:bidi="ar"/>
        </w:rPr>
        <w:t>5</w:t>
      </w:r>
      <w:r w:rsidRPr="00547F64">
        <w:rPr>
          <w:rtl/>
          <w:lang w:bidi="ar"/>
        </w:rPr>
        <w:t xml:space="preserve"> من البروتوكول الاختياري.</w:t>
      </w:r>
    </w:p>
    <w:p w14:paraId="7FBD0BFB" w14:textId="691D9173" w:rsidR="00E74FBF" w:rsidRPr="00547F64" w:rsidRDefault="00E74FBF" w:rsidP="00E74FBF">
      <w:pPr>
        <w:pStyle w:val="SingleTxtGA"/>
      </w:pPr>
      <w:r w:rsidRPr="00DE7260">
        <w:rPr>
          <w:rtl/>
          <w:lang w:bidi="ar"/>
        </w:rPr>
        <w:lastRenderedPageBreak/>
        <w:t>7</w:t>
      </w:r>
      <w:r w:rsidRPr="00547F64">
        <w:rPr>
          <w:rtl/>
          <w:lang w:bidi="ar"/>
        </w:rPr>
        <w:t>-</w:t>
      </w:r>
      <w:r w:rsidRPr="00DE7260">
        <w:rPr>
          <w:rtl/>
          <w:lang w:bidi="ar"/>
        </w:rPr>
        <w:t>4</w:t>
      </w:r>
      <w:r w:rsidR="00EB6BD6">
        <w:rPr>
          <w:rtl/>
          <w:lang w:bidi="ar"/>
        </w:rPr>
        <w:tab/>
      </w:r>
      <w:r w:rsidRPr="00547F64">
        <w:rPr>
          <w:rtl/>
          <w:lang w:bidi="ar"/>
        </w:rPr>
        <w:t>وكررت صاحبتا البلاغ طلبهما بأن تخلص اللجنة إلى وجود انتهاك من جانب الدولة الطرف لالتزامها بضمان حقهما في حرية التعبير فيما يتصل بنقل المعلومات والأفكار عن طريق وسائل مطبوعة والتزامها بضمان حقهما في محاكمة عادلة، لا سيما الحق في الحصول على الوقت الكافي لإعداد دفاعهما، وحضور جلسة الاستماع إلى قضيتهما، واستجواب أو طلب استجواب شهود الادعاء، وفي حضور شهود الدفاع واستجوابهم. وتكرر صاحبتا البلاغ مطالبتهما بشأن إتاحة سبل الانتصاف اللازم في</w:t>
      </w:r>
      <w:r w:rsidR="00EB6BD6">
        <w:rPr>
          <w:rFonts w:hint="cs"/>
          <w:rtl/>
          <w:lang w:bidi="ar"/>
        </w:rPr>
        <w:t> </w:t>
      </w:r>
      <w:r w:rsidRPr="00547F64">
        <w:rPr>
          <w:rtl/>
          <w:lang w:bidi="ar"/>
        </w:rPr>
        <w:t>قضيتهما.</w:t>
      </w:r>
    </w:p>
    <w:p w14:paraId="1281A00F" w14:textId="0F5BD0FC" w:rsidR="00E74FBF" w:rsidRPr="00DE7260" w:rsidRDefault="00EB6BD6" w:rsidP="00EB6BD6">
      <w:pPr>
        <w:pStyle w:val="H23GA"/>
      </w:pPr>
      <w:r w:rsidRPr="00DE7260">
        <w:rPr>
          <w:rtl/>
          <w:lang w:bidi="ar"/>
        </w:rPr>
        <w:tab/>
      </w:r>
      <w:r w:rsidRPr="00DE7260">
        <w:rPr>
          <w:rtl/>
          <w:lang w:bidi="ar"/>
        </w:rPr>
        <w:tab/>
      </w:r>
      <w:r w:rsidR="00E74FBF" w:rsidRPr="00DE7260">
        <w:rPr>
          <w:rtl/>
          <w:lang w:bidi="ar"/>
        </w:rPr>
        <w:t>ملاحظات الدولة الطرف الإضافية</w:t>
      </w:r>
    </w:p>
    <w:p w14:paraId="11E62D4E" w14:textId="116B3404" w:rsidR="00E74FBF" w:rsidRPr="00547F64" w:rsidRDefault="00E74FBF" w:rsidP="00E74FBF">
      <w:pPr>
        <w:pStyle w:val="SingleTxtGA"/>
      </w:pPr>
      <w:r w:rsidRPr="00DE7260">
        <w:rPr>
          <w:rtl/>
          <w:lang w:bidi="ar"/>
        </w:rPr>
        <w:t>8</w:t>
      </w:r>
      <w:r w:rsidRPr="00547F64">
        <w:rPr>
          <w:rtl/>
          <w:lang w:bidi="ar"/>
        </w:rPr>
        <w:t>-</w:t>
      </w:r>
      <w:r w:rsidRPr="00DE7260">
        <w:rPr>
          <w:rtl/>
          <w:lang w:bidi="ar"/>
        </w:rPr>
        <w:t>1</w:t>
      </w:r>
      <w:r w:rsidR="00EB6BD6">
        <w:rPr>
          <w:rtl/>
          <w:lang w:bidi="ar"/>
        </w:rPr>
        <w:tab/>
      </w:r>
      <w:r w:rsidRPr="00547F64">
        <w:rPr>
          <w:rtl/>
          <w:lang w:bidi="ar"/>
        </w:rPr>
        <w:t xml:space="preserve">قالت الدولة الطرف في ملاحظاتها في </w:t>
      </w:r>
      <w:r w:rsidRPr="00DE7260">
        <w:rPr>
          <w:rtl/>
          <w:lang w:bidi="ar"/>
        </w:rPr>
        <w:t>7</w:t>
      </w:r>
      <w:r w:rsidRPr="00547F64">
        <w:rPr>
          <w:rtl/>
          <w:lang w:bidi="ar"/>
        </w:rPr>
        <w:t xml:space="preserve"> آذار/مارس </w:t>
      </w:r>
      <w:r w:rsidRPr="00DE7260">
        <w:rPr>
          <w:rtl/>
          <w:lang w:bidi="ar"/>
        </w:rPr>
        <w:t>2017</w:t>
      </w:r>
      <w:r w:rsidRPr="00547F64">
        <w:rPr>
          <w:rtl/>
          <w:lang w:bidi="ar"/>
        </w:rPr>
        <w:t xml:space="preserve"> إن البلاغ لا يقدم حجج</w:t>
      </w:r>
      <w:r w:rsidR="006531D2">
        <w:rPr>
          <w:rtl/>
          <w:lang w:bidi="ar"/>
        </w:rPr>
        <w:t xml:space="preserve">اً </w:t>
      </w:r>
      <w:r w:rsidRPr="00547F64">
        <w:rPr>
          <w:rtl/>
          <w:lang w:bidi="ar"/>
        </w:rPr>
        <w:t>مستفيضة تبين كيف أدت العقوبات القانونية التي فُرضت على صاحبة البلاغ الأولى إلى انتهاك مباشر لحقوق صاحبة البلاغ الثانية.</w:t>
      </w:r>
    </w:p>
    <w:p w14:paraId="4664B23F" w14:textId="23065D92" w:rsidR="00E74FBF" w:rsidRPr="00547F64" w:rsidRDefault="00E74FBF" w:rsidP="00E74FBF">
      <w:pPr>
        <w:pStyle w:val="SingleTxtGA"/>
      </w:pPr>
      <w:r w:rsidRPr="00DE7260">
        <w:rPr>
          <w:rtl/>
          <w:lang w:bidi="ar"/>
        </w:rPr>
        <w:t>8</w:t>
      </w:r>
      <w:r w:rsidRPr="00547F64">
        <w:rPr>
          <w:rtl/>
          <w:lang w:bidi="ar"/>
        </w:rPr>
        <w:t>-</w:t>
      </w:r>
      <w:r w:rsidRPr="00DE7260">
        <w:rPr>
          <w:rtl/>
          <w:lang w:bidi="ar"/>
        </w:rPr>
        <w:t>2</w:t>
      </w:r>
      <w:r w:rsidR="00EB6BD6">
        <w:rPr>
          <w:rtl/>
          <w:lang w:bidi="ar"/>
        </w:rPr>
        <w:tab/>
      </w:r>
      <w:r w:rsidRPr="00547F64">
        <w:rPr>
          <w:rtl/>
          <w:lang w:bidi="ar"/>
        </w:rPr>
        <w:t>وأكدت الدولة الطرف من جديد موقفها بشأن البلاغ وتدفع بعدم تقديم صاحبتي البلاغ في تعليقاتهما الأخيرة حجج</w:t>
      </w:r>
      <w:r w:rsidR="006531D2">
        <w:rPr>
          <w:rtl/>
          <w:lang w:bidi="ar"/>
        </w:rPr>
        <w:t xml:space="preserve">اً </w:t>
      </w:r>
      <w:r w:rsidRPr="00547F64">
        <w:rPr>
          <w:rtl/>
          <w:lang w:bidi="ar"/>
        </w:rPr>
        <w:t>جديدة من حيث الجوهر. وذكرت بأن صاحبة البلاغ الأولى انتهكت أحكام قانون وسائط الإعلام فيما يتعلق بالتزامها بتقديم معلومات حقيقية عن توزيع الصحيفة والتواتر الزمني لصدورها. ولذلك عُلِّق نشر الصحيفة لمدة ثلاثة أشهر بأمر من المحكمة، عمل</w:t>
      </w:r>
      <w:r w:rsidR="006531D2">
        <w:rPr>
          <w:rtl/>
          <w:lang w:bidi="ar"/>
        </w:rPr>
        <w:t xml:space="preserve">اً </w:t>
      </w:r>
      <w:r w:rsidRPr="00547F64">
        <w:rPr>
          <w:rtl/>
          <w:lang w:bidi="ar"/>
        </w:rPr>
        <w:t>بالتشريعات الوطنية. ومع ذلك، تجاهلت صاحبة البلاغ الأولى أمر المحكمة وعمدت إلى توزيع عدد جديد من الصحيفة انتهكت فيه مرة أخرى، إضافة إلى ما سبق، اللوائح القانونية المتعلقة بالمعلومات المطلوبة في ترويسة الصحيفة. وينص قانون وسائط الإعلام على أن عدم تصويب أسباب تعليق المنشور يشكل أساس</w:t>
      </w:r>
      <w:r w:rsidR="006531D2">
        <w:rPr>
          <w:rtl/>
          <w:lang w:bidi="ar"/>
        </w:rPr>
        <w:t xml:space="preserve">اً </w:t>
      </w:r>
      <w:r w:rsidRPr="00547F64">
        <w:rPr>
          <w:rtl/>
          <w:lang w:bidi="ar"/>
        </w:rPr>
        <w:t xml:space="preserve">للأمر بوقف أنشطة الصحيفة، ولهذا السبب أُغلقت </w:t>
      </w:r>
      <w:proofErr w:type="spellStart"/>
      <w:r w:rsidRPr="00DE7260">
        <w:rPr>
          <w:i/>
          <w:iCs/>
          <w:rtl/>
          <w:lang w:bidi="ar"/>
        </w:rPr>
        <w:t>برافديفايا</w:t>
      </w:r>
      <w:proofErr w:type="spellEnd"/>
      <w:r w:rsidRPr="00DE7260">
        <w:rPr>
          <w:i/>
          <w:iCs/>
          <w:rtl/>
          <w:lang w:bidi="ar"/>
        </w:rPr>
        <w:t xml:space="preserve"> غازيتا</w:t>
      </w:r>
      <w:r w:rsidRPr="00547F64">
        <w:rPr>
          <w:rtl/>
          <w:lang w:bidi="ar"/>
        </w:rPr>
        <w:t xml:space="preserve"> بأمر من المحكمة. وتقول الدولة الطرف إن صاحبتي البلاغ لم تقدّما أدلة تدعم ادعاءاتهما بشأن وجود أسباب سياسية لإغلاق الصحيفة أو تعرضهما لتقييد كبير لحرية التعبير. فأسباب إغلاق الصحيفة مردها انتهاك لقواعد قانونية تنطبق على جميع وسائل الإعلام دون استثناء.</w:t>
      </w:r>
    </w:p>
    <w:p w14:paraId="2016FB79" w14:textId="3232F5E1" w:rsidR="00E74FBF" w:rsidRPr="00547F64" w:rsidRDefault="00E74FBF" w:rsidP="00E74FBF">
      <w:pPr>
        <w:pStyle w:val="SingleTxtGA"/>
      </w:pPr>
      <w:r w:rsidRPr="00DE7260">
        <w:rPr>
          <w:rtl/>
          <w:lang w:bidi="ar"/>
        </w:rPr>
        <w:t>8</w:t>
      </w:r>
      <w:r w:rsidRPr="00547F64">
        <w:rPr>
          <w:rtl/>
          <w:lang w:bidi="ar"/>
        </w:rPr>
        <w:t>-</w:t>
      </w:r>
      <w:r w:rsidRPr="00DE7260">
        <w:rPr>
          <w:rtl/>
          <w:lang w:bidi="ar"/>
        </w:rPr>
        <w:t>3</w:t>
      </w:r>
      <w:r w:rsidR="00EB6BD6">
        <w:rPr>
          <w:rtl/>
          <w:lang w:bidi="ar"/>
        </w:rPr>
        <w:tab/>
      </w:r>
      <w:r w:rsidRPr="00547F64">
        <w:rPr>
          <w:rtl/>
          <w:lang w:bidi="ar"/>
        </w:rPr>
        <w:t>واعتبرت الدولة الطرف أن ادعاء صاحبتي البلاغ بشأن القسوة المفرطة للعقوبات التي فُرضت عليهما أمر لا أساس له من الصحة لأنه عندما انتهكت صاحبة البلاغ الأولى لأول مرة اللوائح المتعلقة بترويسة الصحيفة فُرضت عليها غرامة. وبعد المخالفتين الثانية والثالثة، عُلقت الصحيفة لمدة ثلاثة أشهر. وكانت الغرامة الإدارية وتعليق الصحيفة الذي أمرت به المحكمة بمنزلة عقوبتين تحذيريتين، لكن صاحبة البلاغ الأولى تجاهلتهما. ومن ثم اتخذت المحكمة قرار</w:t>
      </w:r>
      <w:r w:rsidR="006531D2">
        <w:rPr>
          <w:rtl/>
          <w:lang w:bidi="ar"/>
        </w:rPr>
        <w:t xml:space="preserve">اً </w:t>
      </w:r>
      <w:r w:rsidRPr="00547F64">
        <w:rPr>
          <w:rtl/>
          <w:lang w:bidi="ar"/>
        </w:rPr>
        <w:t>بإغلاق المنبر الإعلامي متّبعة في ذلك بدقة أحكام قانون الجرائم الإدارية.</w:t>
      </w:r>
    </w:p>
    <w:p w14:paraId="2CBA099B" w14:textId="45C3FA55" w:rsidR="00E74FBF" w:rsidRPr="00DE7260" w:rsidRDefault="00EB6BD6" w:rsidP="00EB6BD6">
      <w:pPr>
        <w:pStyle w:val="H23GA"/>
      </w:pPr>
      <w:r w:rsidRPr="00DE7260">
        <w:rPr>
          <w:rtl/>
          <w:lang w:bidi="ar"/>
        </w:rPr>
        <w:tab/>
      </w:r>
      <w:r w:rsidRPr="00DE7260">
        <w:rPr>
          <w:rtl/>
          <w:lang w:bidi="ar"/>
        </w:rPr>
        <w:tab/>
      </w:r>
      <w:r w:rsidR="00E74FBF" w:rsidRPr="00DE7260">
        <w:rPr>
          <w:rtl/>
          <w:lang w:bidi="ar"/>
        </w:rPr>
        <w:t>تعليقات صاحبتي البلاغ على ملاحظات الدولة الطرف الإضافية</w:t>
      </w:r>
    </w:p>
    <w:p w14:paraId="780F3F12" w14:textId="39912A64" w:rsidR="00E74FBF" w:rsidRPr="00547F64" w:rsidRDefault="00E74FBF" w:rsidP="00E74FBF">
      <w:pPr>
        <w:pStyle w:val="SingleTxtGA"/>
        <w:rPr>
          <w:lang w:bidi="ar"/>
        </w:rPr>
      </w:pPr>
      <w:r w:rsidRPr="00DE7260">
        <w:rPr>
          <w:rtl/>
          <w:lang w:bidi="ar"/>
        </w:rPr>
        <w:t>9</w:t>
      </w:r>
      <w:r w:rsidRPr="00547F64">
        <w:rPr>
          <w:rtl/>
          <w:lang w:bidi="ar"/>
        </w:rPr>
        <w:t>-</w:t>
      </w:r>
      <w:r w:rsidR="00EB6BD6">
        <w:rPr>
          <w:rtl/>
          <w:lang w:bidi="ar"/>
        </w:rPr>
        <w:tab/>
      </w:r>
      <w:r w:rsidRPr="00547F64">
        <w:rPr>
          <w:rtl/>
          <w:lang w:bidi="ar"/>
        </w:rPr>
        <w:t xml:space="preserve">ردّت صاحبتا البلاغ في </w:t>
      </w:r>
      <w:r w:rsidRPr="00DE7260">
        <w:rPr>
          <w:rtl/>
          <w:lang w:bidi="ar"/>
        </w:rPr>
        <w:t>22</w:t>
      </w:r>
      <w:r w:rsidRPr="00547F64">
        <w:rPr>
          <w:rtl/>
          <w:lang w:bidi="ar"/>
        </w:rPr>
        <w:t xml:space="preserve"> أيار/مايو </w:t>
      </w:r>
      <w:r w:rsidRPr="00DE7260">
        <w:rPr>
          <w:rtl/>
          <w:lang w:bidi="ar"/>
        </w:rPr>
        <w:t>2017</w:t>
      </w:r>
      <w:r w:rsidRPr="00547F64">
        <w:rPr>
          <w:rtl/>
          <w:lang w:bidi="ar"/>
        </w:rPr>
        <w:t xml:space="preserve"> على ادعاء الدولة الطرف أن الصحيفة صدرت قبل نهاية فترة التعليق البالغة ثلاثة أشهر، وأكدتا من جديد أن المطبعة اعترفت بحدوث خطأ من جانبها في إنتاج نسخ ذات ترويسة غير واضحة. ولم يكن بوسع </w:t>
      </w:r>
      <w:r w:rsidRPr="00547F64">
        <w:rPr>
          <w:rtl/>
          <w:lang w:val="fr-FR"/>
        </w:rPr>
        <w:t>مكتب رئيس بلدية</w:t>
      </w:r>
      <w:r w:rsidRPr="00547F64">
        <w:rPr>
          <w:rtl/>
          <w:lang w:bidi="ar"/>
        </w:rPr>
        <w:t xml:space="preserve"> </w:t>
      </w:r>
      <w:proofErr w:type="spellStart"/>
      <w:r w:rsidRPr="00547F64">
        <w:rPr>
          <w:rtl/>
          <w:lang w:bidi="ar"/>
        </w:rPr>
        <w:t>ألماتي</w:t>
      </w:r>
      <w:proofErr w:type="spellEnd"/>
      <w:r w:rsidRPr="00547F64">
        <w:rPr>
          <w:rtl/>
          <w:lang w:bidi="ar"/>
        </w:rPr>
        <w:t xml:space="preserve"> الحصول على النسخة المعيبة من عدد الصحيفة إلا من المطبعة. وكما أشارت صاحبتا البلاغ في التماسهما إلى مكتب النيابة العامة في </w:t>
      </w:r>
      <w:proofErr w:type="spellStart"/>
      <w:r w:rsidRPr="00547F64">
        <w:rPr>
          <w:rtl/>
          <w:lang w:bidi="ar"/>
        </w:rPr>
        <w:t>ألماتي</w:t>
      </w:r>
      <w:proofErr w:type="spellEnd"/>
      <w:r w:rsidRPr="00547F64">
        <w:rPr>
          <w:rtl/>
          <w:lang w:bidi="ar"/>
        </w:rPr>
        <w:t xml:space="preserve">، لم يتلق الناشر العدد المطبوع إلا في </w:t>
      </w:r>
      <w:r w:rsidRPr="00DE7260">
        <w:rPr>
          <w:rtl/>
          <w:lang w:bidi="ar"/>
        </w:rPr>
        <w:t>22</w:t>
      </w:r>
      <w:r w:rsidRPr="00547F64">
        <w:rPr>
          <w:rtl/>
          <w:lang w:bidi="ar"/>
        </w:rPr>
        <w:t xml:space="preserve"> تشرين الثاني/نوفمبر ولم يوزع العدد قبل نهاية فترة التعليق. وقبل ذلك، تسنى تصويب جميع العيوب التي تضمنتها ترويسة الصحيفة. وفي جلسة الاستئناف، قدّم ممثلو الصحيفة أدلة على عدم توزيع أي نسخة من الصحيفة قبل </w:t>
      </w:r>
      <w:r w:rsidRPr="00DE7260">
        <w:rPr>
          <w:rtl/>
          <w:lang w:bidi="ar"/>
        </w:rPr>
        <w:t>22</w:t>
      </w:r>
      <w:r w:rsidRPr="00547F64">
        <w:rPr>
          <w:rtl/>
          <w:lang w:bidi="ar"/>
        </w:rPr>
        <w:t xml:space="preserve"> تشرين الثاني/نوفمبر وأن الترويسة غير الواضحة نتجت عن عيب في الإنتاج كانت المطبعة مسؤولة عنه وصوبته في الوقت </w:t>
      </w:r>
      <w:r w:rsidRPr="00547F64">
        <w:rPr>
          <w:rtl/>
          <w:lang w:bidi="ar"/>
        </w:rPr>
        <w:lastRenderedPageBreak/>
        <w:t xml:space="preserve">المناسب. أما العدد الأخير، الذي طُبع في </w:t>
      </w:r>
      <w:r w:rsidRPr="00DE7260">
        <w:rPr>
          <w:rtl/>
          <w:lang w:bidi="ar"/>
        </w:rPr>
        <w:t>21</w:t>
      </w:r>
      <w:r w:rsidRPr="00547F64">
        <w:rPr>
          <w:rtl/>
          <w:lang w:bidi="ar"/>
        </w:rPr>
        <w:t xml:space="preserve"> تشرين الثاني/نوفمبر، فقد كانت له ترويسة واضحة وصحيحة. وتجاهلت محكمة الاستئناف حجج رئيسة التحرير وأيدت قرار المحكمة الابتدائية. ولذلك تعتقد صاحبتا البلاغ أن تقييد حريتهما في التعبير إجراء غير ضروري وغير متناسب.</w:t>
      </w:r>
    </w:p>
    <w:p w14:paraId="7BF3857B" w14:textId="71C07EAD" w:rsidR="00E74FBF" w:rsidRPr="00DE7260" w:rsidRDefault="00EB6BD6" w:rsidP="00EB6BD6">
      <w:pPr>
        <w:pStyle w:val="H23GA"/>
      </w:pPr>
      <w:r w:rsidRPr="00DE7260">
        <w:rPr>
          <w:rtl/>
          <w:lang w:bidi="ar"/>
        </w:rPr>
        <w:tab/>
      </w:r>
      <w:r w:rsidRPr="00DE7260">
        <w:rPr>
          <w:rtl/>
          <w:lang w:bidi="ar"/>
        </w:rPr>
        <w:tab/>
      </w:r>
      <w:r w:rsidR="00E74FBF" w:rsidRPr="00DE7260">
        <w:rPr>
          <w:rtl/>
          <w:lang w:bidi="ar"/>
        </w:rPr>
        <w:t>المسائل والإجراءات المعروضة على اللجنة</w:t>
      </w:r>
    </w:p>
    <w:p w14:paraId="4854A7E9" w14:textId="369A6323" w:rsidR="00E74FBF" w:rsidRPr="00DE7260" w:rsidRDefault="00EB6BD6" w:rsidP="00EB6BD6">
      <w:pPr>
        <w:pStyle w:val="H4GA"/>
      </w:pPr>
      <w:r w:rsidRPr="00DE7260">
        <w:rPr>
          <w:rtl/>
          <w:lang w:bidi="ar"/>
        </w:rPr>
        <w:tab/>
      </w:r>
      <w:r w:rsidRPr="00DE7260">
        <w:rPr>
          <w:rtl/>
          <w:lang w:bidi="ar"/>
        </w:rPr>
        <w:tab/>
      </w:r>
      <w:r w:rsidR="00E74FBF" w:rsidRPr="00DE7260">
        <w:rPr>
          <w:rtl/>
          <w:lang w:bidi="ar"/>
        </w:rPr>
        <w:t>النظر في المقبولية</w:t>
      </w:r>
    </w:p>
    <w:p w14:paraId="72BA6298" w14:textId="5461C116" w:rsidR="00E74FBF" w:rsidRPr="00547F64" w:rsidRDefault="00E74FBF" w:rsidP="00E74FBF">
      <w:pPr>
        <w:pStyle w:val="SingleTxtGA"/>
      </w:pPr>
      <w:r w:rsidRPr="00DE7260">
        <w:rPr>
          <w:rtl/>
          <w:lang w:bidi="ar"/>
        </w:rPr>
        <w:t>10</w:t>
      </w:r>
      <w:r w:rsidRPr="00547F64">
        <w:rPr>
          <w:rtl/>
          <w:lang w:bidi="ar"/>
        </w:rPr>
        <w:t>-</w:t>
      </w:r>
      <w:r w:rsidRPr="00DE7260">
        <w:rPr>
          <w:rtl/>
          <w:lang w:bidi="ar"/>
        </w:rPr>
        <w:t>1</w:t>
      </w:r>
      <w:r w:rsidR="00EB6BD6">
        <w:rPr>
          <w:rtl/>
          <w:lang w:bidi="ar"/>
        </w:rPr>
        <w:tab/>
      </w:r>
      <w:r w:rsidRPr="00547F64">
        <w:rPr>
          <w:rtl/>
          <w:lang w:bidi="ar"/>
        </w:rPr>
        <w:t xml:space="preserve">قبل النظر في أي ادعاءات ترد في بلاغ ما، يتعين على اللجنة، وفقاً للمادة </w:t>
      </w:r>
      <w:r w:rsidRPr="00DE7260">
        <w:rPr>
          <w:rtl/>
          <w:lang w:bidi="ar"/>
        </w:rPr>
        <w:t>97</w:t>
      </w:r>
      <w:r w:rsidRPr="00547F64">
        <w:rPr>
          <w:rtl/>
          <w:lang w:bidi="ar"/>
        </w:rPr>
        <w:t xml:space="preserve"> من نظامها الداخلي، أن تحدد ما إذا كان البلاغ مقبولاً بموجب البروتوكول الاختياري الملحق بالعهد</w:t>
      </w:r>
    </w:p>
    <w:p w14:paraId="73654FF6" w14:textId="44748CA2" w:rsidR="00E74FBF" w:rsidRPr="00547F64" w:rsidRDefault="00E74FBF" w:rsidP="00E74FBF">
      <w:pPr>
        <w:pStyle w:val="SingleTxtGA"/>
      </w:pPr>
      <w:r w:rsidRPr="00DE7260">
        <w:rPr>
          <w:rtl/>
          <w:lang w:bidi="ar"/>
        </w:rPr>
        <w:t>10</w:t>
      </w:r>
      <w:r w:rsidRPr="00547F64">
        <w:rPr>
          <w:rtl/>
          <w:lang w:bidi="ar"/>
        </w:rPr>
        <w:t>-</w:t>
      </w:r>
      <w:r w:rsidRPr="00DE7260">
        <w:rPr>
          <w:rtl/>
          <w:lang w:bidi="ar"/>
        </w:rPr>
        <w:t>2</w:t>
      </w:r>
      <w:r w:rsidR="00EB6BD6">
        <w:rPr>
          <w:rtl/>
          <w:lang w:bidi="ar"/>
        </w:rPr>
        <w:tab/>
      </w:r>
      <w:r w:rsidRPr="00547F64">
        <w:rPr>
          <w:rtl/>
          <w:lang w:bidi="ar"/>
        </w:rPr>
        <w:t xml:space="preserve">وقد استيقنت اللجنة، وفقاً لما تنص عليه المادة </w:t>
      </w:r>
      <w:r w:rsidRPr="00DE7260">
        <w:rPr>
          <w:rtl/>
          <w:lang w:bidi="ar"/>
        </w:rPr>
        <w:t>5</w:t>
      </w:r>
      <w:r w:rsidRPr="00547F64">
        <w:rPr>
          <w:rtl/>
          <w:lang w:bidi="ar"/>
        </w:rPr>
        <w:t>(</w:t>
      </w:r>
      <w:r w:rsidRPr="00DE7260">
        <w:rPr>
          <w:rtl/>
          <w:lang w:bidi="ar"/>
        </w:rPr>
        <w:t>2</w:t>
      </w:r>
      <w:r w:rsidRPr="00547F64">
        <w:rPr>
          <w:rtl/>
          <w:lang w:bidi="ar"/>
        </w:rPr>
        <w:t>)(أ) من البروتوكول الاختياري، من أن المسألة نفسها ليست قيد البحث في إطار أي إجراء آخر من إجراءات التحقيق الدولي أو التسوية الدولية.</w:t>
      </w:r>
    </w:p>
    <w:p w14:paraId="10B97C31" w14:textId="0FB7EB9D" w:rsidR="00E74FBF" w:rsidRPr="00547F64" w:rsidRDefault="00E74FBF" w:rsidP="00E74FBF">
      <w:pPr>
        <w:pStyle w:val="SingleTxtGA"/>
      </w:pPr>
      <w:r w:rsidRPr="00DE7260">
        <w:rPr>
          <w:rtl/>
          <w:lang w:bidi="ar"/>
        </w:rPr>
        <w:t>10</w:t>
      </w:r>
      <w:r w:rsidRPr="00547F64">
        <w:rPr>
          <w:rtl/>
          <w:lang w:bidi="ar"/>
        </w:rPr>
        <w:t>-</w:t>
      </w:r>
      <w:r w:rsidRPr="00DE7260">
        <w:rPr>
          <w:rtl/>
          <w:lang w:bidi="ar"/>
        </w:rPr>
        <w:t>3</w:t>
      </w:r>
      <w:r w:rsidR="00EB6BD6">
        <w:rPr>
          <w:rtl/>
          <w:lang w:bidi="ar"/>
        </w:rPr>
        <w:tab/>
      </w:r>
      <w:r w:rsidRPr="00547F64">
        <w:rPr>
          <w:rtl/>
          <w:lang w:bidi="ar"/>
        </w:rPr>
        <w:t>وأحاطت اللجنة علم</w:t>
      </w:r>
      <w:r w:rsidR="006531D2">
        <w:rPr>
          <w:rtl/>
          <w:lang w:bidi="ar"/>
        </w:rPr>
        <w:t xml:space="preserve">اً </w:t>
      </w:r>
      <w:r w:rsidRPr="00547F64">
        <w:rPr>
          <w:rtl/>
          <w:lang w:bidi="ar"/>
        </w:rPr>
        <w:t xml:space="preserve">بادعاء صاحبة البلاغ الثانية أن الإجراءات الإدارية والقضائية المتخذة ضد </w:t>
      </w:r>
      <w:proofErr w:type="spellStart"/>
      <w:r w:rsidRPr="00DE7260">
        <w:rPr>
          <w:i/>
          <w:iCs/>
          <w:rtl/>
          <w:lang w:bidi="ar"/>
        </w:rPr>
        <w:t>برافديفايا</w:t>
      </w:r>
      <w:proofErr w:type="spellEnd"/>
      <w:r w:rsidRPr="00DE7260">
        <w:rPr>
          <w:i/>
          <w:iCs/>
          <w:rtl/>
          <w:lang w:bidi="ar"/>
        </w:rPr>
        <w:t xml:space="preserve"> غازيتا</w:t>
      </w:r>
      <w:r w:rsidRPr="00547F64">
        <w:rPr>
          <w:rtl/>
          <w:lang w:bidi="ar"/>
        </w:rPr>
        <w:t xml:space="preserve"> كانت تهدف إلى تقييد حريتها في التعبير لأنها كانت المديرة الفعلية ورئيسة التحرير ومالكة الصحيفة. وتلاحظ اللجنة أن صاحبة البلاغ الثانية تدعي أنها صحفية وناشطة بارزة في مجال حقوق الإنسان، وأنها تعرضت مرار</w:t>
      </w:r>
      <w:r w:rsidR="006531D2">
        <w:rPr>
          <w:rtl/>
          <w:lang w:bidi="ar"/>
        </w:rPr>
        <w:t xml:space="preserve">اً </w:t>
      </w:r>
      <w:r w:rsidRPr="00547F64">
        <w:rPr>
          <w:rtl/>
          <w:lang w:bidi="ar"/>
        </w:rPr>
        <w:t>لعقوبات إدارية بسبب أنشطتها. وتلاحظ أيض</w:t>
      </w:r>
      <w:r w:rsidR="006531D2">
        <w:rPr>
          <w:rtl/>
          <w:lang w:bidi="ar"/>
        </w:rPr>
        <w:t xml:space="preserve">اً </w:t>
      </w:r>
      <w:r w:rsidRPr="00547F64">
        <w:rPr>
          <w:rtl/>
          <w:lang w:bidi="ar"/>
        </w:rPr>
        <w:t>ادعاء صاحبتي البلاغ أن</w:t>
      </w:r>
      <w:r w:rsidR="00EB6BD6">
        <w:rPr>
          <w:rtl/>
          <w:lang w:bidi="ar"/>
        </w:rPr>
        <w:t xml:space="preserve"> </w:t>
      </w:r>
      <w:proofErr w:type="spellStart"/>
      <w:r w:rsidRPr="00DE7260">
        <w:rPr>
          <w:i/>
          <w:iCs/>
          <w:rtl/>
          <w:lang w:bidi="ar"/>
        </w:rPr>
        <w:t>برافديفايا</w:t>
      </w:r>
      <w:proofErr w:type="spellEnd"/>
      <w:r w:rsidRPr="00DE7260">
        <w:rPr>
          <w:i/>
          <w:iCs/>
          <w:rtl/>
          <w:lang w:bidi="ar"/>
        </w:rPr>
        <w:t xml:space="preserve"> غازيتا</w:t>
      </w:r>
      <w:r w:rsidRPr="00547F64">
        <w:rPr>
          <w:rtl/>
          <w:lang w:bidi="ar"/>
        </w:rPr>
        <w:t xml:space="preserve"> قد سجلت تحت اسم صاحبة البلاغ الأولى لأن تسجيل هذا المنشور وغيره من المنشورات باسم صاحبة البلاغ الثانية قد رُفض. وتحيط اللجنة علم</w:t>
      </w:r>
      <w:r w:rsidR="006531D2">
        <w:rPr>
          <w:rtl/>
          <w:lang w:bidi="ar"/>
        </w:rPr>
        <w:t xml:space="preserve">اً </w:t>
      </w:r>
      <w:r w:rsidRPr="00547F64">
        <w:rPr>
          <w:rtl/>
          <w:lang w:bidi="ar"/>
        </w:rPr>
        <w:t>بادعاء صاحبتي البلاغ، المسند بالمعلومات المتاحة في الملف</w:t>
      </w:r>
      <w:r>
        <w:rPr>
          <w:vertAlign w:val="superscript"/>
          <w:rtl/>
          <w:lang w:bidi="ar"/>
        </w:rPr>
        <w:t>(</w:t>
      </w:r>
      <w:r w:rsidRPr="00DE7260">
        <w:rPr>
          <w:vertAlign w:val="superscript"/>
          <w:lang w:val="en-US" w:bidi="ar"/>
        </w:rPr>
        <w:footnoteReference w:id="16"/>
      </w:r>
      <w:r>
        <w:rPr>
          <w:vertAlign w:val="superscript"/>
          <w:rtl/>
          <w:lang w:bidi="ar"/>
        </w:rPr>
        <w:t>)</w:t>
      </w:r>
      <w:r w:rsidRPr="00547F64">
        <w:rPr>
          <w:rtl/>
          <w:lang w:bidi="ar"/>
        </w:rPr>
        <w:t xml:space="preserve">، أن صاحبة البلاغ الثانية شاركت بنشاط في الإجراءات الإدارية والقضائية المتخذة ضد صاحبة البلاغ الأولى </w:t>
      </w:r>
      <w:proofErr w:type="spellStart"/>
      <w:r w:rsidRPr="00DE7260">
        <w:rPr>
          <w:i/>
          <w:iCs/>
          <w:rtl/>
          <w:lang w:bidi="ar"/>
        </w:rPr>
        <w:t>وبرافديفايا</w:t>
      </w:r>
      <w:proofErr w:type="spellEnd"/>
      <w:r w:rsidRPr="00DE7260">
        <w:rPr>
          <w:i/>
          <w:iCs/>
          <w:rtl/>
          <w:lang w:bidi="ar"/>
        </w:rPr>
        <w:t xml:space="preserve"> غازيتا.</w:t>
      </w:r>
      <w:r w:rsidRPr="00547F64">
        <w:rPr>
          <w:rtl/>
          <w:lang w:bidi="ar"/>
        </w:rPr>
        <w:t xml:space="preserve"> وتلاحظ اللجنة أن الدولة الطرف لا</w:t>
      </w:r>
      <w:r w:rsidR="00EB6BD6">
        <w:rPr>
          <w:rFonts w:hint="cs"/>
          <w:rtl/>
          <w:lang w:bidi="ar"/>
        </w:rPr>
        <w:t> </w:t>
      </w:r>
      <w:r w:rsidRPr="00547F64">
        <w:rPr>
          <w:rtl/>
          <w:lang w:bidi="ar"/>
        </w:rPr>
        <w:t>تعترض على أي من هذه الادعاءات، لكنها تدعي فقط، بصورة عامة، أن البلاغ لا يقدِّم حجج</w:t>
      </w:r>
      <w:r w:rsidR="006531D2">
        <w:rPr>
          <w:rtl/>
          <w:lang w:bidi="ar"/>
        </w:rPr>
        <w:t xml:space="preserve">اً </w:t>
      </w:r>
      <w:r w:rsidRPr="00547F64">
        <w:rPr>
          <w:rtl/>
          <w:lang w:bidi="ar"/>
        </w:rPr>
        <w:t xml:space="preserve">مستفيضة عن السبب في أن العقوبات القانونية المطبقة على صاحبة البلاغ الأولى تنتهك مباشرة حقوق صاحبة البلاغ الثانية. وبالنظر إلى كل ما سبق، ترى اللجنة أن صاحبة البلاغ الثانية قد أثبتت بما فيه الكفاية ادعاءها بأن حقوقها الفردية بموجب المادة </w:t>
      </w:r>
      <w:r w:rsidRPr="00DE7260">
        <w:rPr>
          <w:rtl/>
          <w:lang w:bidi="ar"/>
        </w:rPr>
        <w:t>19</w:t>
      </w:r>
      <w:r w:rsidRPr="00547F64">
        <w:rPr>
          <w:rtl/>
          <w:lang w:bidi="ar"/>
        </w:rPr>
        <w:t xml:space="preserve"> من العهد قد تأثرت بأفعال الدولة الطرف. ولذلك ترى اللجنة أن المادة </w:t>
      </w:r>
      <w:r w:rsidRPr="00DE7260">
        <w:rPr>
          <w:rtl/>
          <w:lang w:bidi="ar"/>
        </w:rPr>
        <w:t>1</w:t>
      </w:r>
      <w:r w:rsidRPr="00547F64">
        <w:rPr>
          <w:rtl/>
          <w:lang w:bidi="ar"/>
        </w:rPr>
        <w:t xml:space="preserve"> من البروتوكول الاختياري لا تشكل عقبة أمام مقبولية البلاغ ما دام أن كلتا صاحبتي البلاغ قد بررتا وضعهما كضحيتين.</w:t>
      </w:r>
    </w:p>
    <w:p w14:paraId="36DE25F7" w14:textId="0267D81B" w:rsidR="00E74FBF" w:rsidRPr="00812073" w:rsidRDefault="00E74FBF" w:rsidP="00E74FBF">
      <w:pPr>
        <w:pStyle w:val="SingleTxtGA"/>
        <w:rPr>
          <w:spacing w:val="-2"/>
        </w:rPr>
      </w:pPr>
      <w:r w:rsidRPr="00DE7260">
        <w:rPr>
          <w:rtl/>
          <w:lang w:bidi="ar"/>
        </w:rPr>
        <w:t>10</w:t>
      </w:r>
      <w:r w:rsidRPr="00547F64">
        <w:rPr>
          <w:rtl/>
          <w:lang w:bidi="ar"/>
        </w:rPr>
        <w:t>-</w:t>
      </w:r>
      <w:r w:rsidR="00EB6BD6" w:rsidRPr="00DE7260">
        <w:rPr>
          <w:rFonts w:hint="cs"/>
          <w:rtl/>
          <w:lang w:bidi="ar"/>
        </w:rPr>
        <w:t>4</w:t>
      </w:r>
      <w:r w:rsidR="00EB6BD6">
        <w:rPr>
          <w:rtl/>
          <w:lang w:bidi="ar"/>
        </w:rPr>
        <w:tab/>
      </w:r>
      <w:r w:rsidRPr="00812073">
        <w:rPr>
          <w:spacing w:val="-2"/>
          <w:rtl/>
          <w:lang w:bidi="ar"/>
        </w:rPr>
        <w:t>وتحيط اللجنة علم</w:t>
      </w:r>
      <w:r w:rsidR="006531D2" w:rsidRPr="00812073">
        <w:rPr>
          <w:spacing w:val="-2"/>
          <w:rtl/>
          <w:lang w:bidi="ar"/>
        </w:rPr>
        <w:t xml:space="preserve">اً </w:t>
      </w:r>
      <w:r w:rsidRPr="00812073">
        <w:rPr>
          <w:spacing w:val="-2"/>
          <w:rtl/>
          <w:lang w:bidi="ar"/>
        </w:rPr>
        <w:t>بادعاء الدولة</w:t>
      </w:r>
      <w:r w:rsidRPr="00812073">
        <w:rPr>
          <w:spacing w:val="-2"/>
          <w:lang w:bidi="ar"/>
        </w:rPr>
        <w:t xml:space="preserve"> </w:t>
      </w:r>
      <w:r w:rsidRPr="00812073">
        <w:rPr>
          <w:spacing w:val="-2"/>
          <w:rtl/>
          <w:lang w:bidi="ar"/>
        </w:rPr>
        <w:t>الطرف</w:t>
      </w:r>
      <w:r w:rsidRPr="00812073">
        <w:rPr>
          <w:spacing w:val="-2"/>
          <w:rtl/>
          <w:lang w:val="fr-FR"/>
        </w:rPr>
        <w:t xml:space="preserve"> أن</w:t>
      </w:r>
      <w:r w:rsidRPr="00812073">
        <w:rPr>
          <w:spacing w:val="-2"/>
          <w:rtl/>
          <w:lang w:bidi="ar"/>
        </w:rPr>
        <w:t xml:space="preserve"> سبل الانتصاف المحلية لم تُستنفد بسبب ما تبقى من إمكانية للجوء إلى اعتراض النيابة العامة أمام المحكمة العليا وإمكانية مراجعة القرارات القضائية بسبب ظروف مستجدة. وتُذكّر اللجنة بسوابقها القضائية التي تفيد بأن الالتماس المقدّم إلى النيابة العامة للمطالبة بإعادة النظر في قرارات المحاكم التي دخلت حيز النفاذ والمتوقف على السلطة التقديرية للنيابة العامة يشكل سبيل انتصاف استثنائي</w:t>
      </w:r>
      <w:r w:rsidR="006531D2" w:rsidRPr="00812073">
        <w:rPr>
          <w:spacing w:val="-2"/>
          <w:rtl/>
          <w:lang w:bidi="ar"/>
        </w:rPr>
        <w:t xml:space="preserve">اً، </w:t>
      </w:r>
      <w:r w:rsidRPr="00812073">
        <w:rPr>
          <w:spacing w:val="-2"/>
          <w:rtl/>
          <w:lang w:bidi="ar"/>
        </w:rPr>
        <w:t>ويجب على الدولة الطرف أن تبين وجود احتمال معقول يرجح أن يتيح هذا الطلب سبيل انتصاف فعال</w:t>
      </w:r>
      <w:r w:rsidR="006531D2" w:rsidRPr="00812073">
        <w:rPr>
          <w:spacing w:val="-2"/>
          <w:rtl/>
          <w:lang w:bidi="ar"/>
        </w:rPr>
        <w:t xml:space="preserve">اً </w:t>
      </w:r>
      <w:r w:rsidRPr="00812073">
        <w:rPr>
          <w:spacing w:val="-2"/>
          <w:rtl/>
          <w:lang w:bidi="ar"/>
        </w:rPr>
        <w:t>في ظروف القضية</w:t>
      </w:r>
      <w:r w:rsidRPr="00812073">
        <w:rPr>
          <w:spacing w:val="-2"/>
          <w:vertAlign w:val="superscript"/>
          <w:rtl/>
          <w:lang w:bidi="ar"/>
        </w:rPr>
        <w:t>(</w:t>
      </w:r>
      <w:r w:rsidRPr="00DE7260">
        <w:rPr>
          <w:spacing w:val="-2"/>
          <w:vertAlign w:val="superscript"/>
          <w:lang w:val="en-US" w:bidi="ar"/>
        </w:rPr>
        <w:footnoteReference w:id="17"/>
      </w:r>
      <w:r w:rsidRPr="00812073">
        <w:rPr>
          <w:spacing w:val="-2"/>
          <w:vertAlign w:val="superscript"/>
          <w:rtl/>
          <w:lang w:bidi="ar"/>
        </w:rPr>
        <w:t>)</w:t>
      </w:r>
      <w:r w:rsidRPr="00812073">
        <w:rPr>
          <w:spacing w:val="-2"/>
          <w:rtl/>
          <w:lang w:bidi="ar"/>
        </w:rPr>
        <w:t xml:space="preserve">. وتلاحظ اللجنة أن صاحبة البلاغ الأولى قدمت التماسات إلى مكتب النيابة العامة في </w:t>
      </w:r>
      <w:proofErr w:type="spellStart"/>
      <w:r w:rsidRPr="00812073">
        <w:rPr>
          <w:spacing w:val="-2"/>
          <w:rtl/>
          <w:lang w:bidi="ar"/>
        </w:rPr>
        <w:t>ألماتي</w:t>
      </w:r>
      <w:proofErr w:type="spellEnd"/>
      <w:r w:rsidRPr="00812073">
        <w:rPr>
          <w:spacing w:val="-2"/>
          <w:rtl/>
          <w:lang w:bidi="ar"/>
        </w:rPr>
        <w:t xml:space="preserve"> ومكتب المدعي العام من أجل المطالبة بمراجعة رقابية لجميع الإجراءات القضائية المتعلقة بمسؤوليتها الإدارية وأن جميع هذه الالتماسات رُفضت. وتلاحظ</w:t>
      </w:r>
      <w:r w:rsidR="0015472B" w:rsidRPr="00812073">
        <w:rPr>
          <w:rFonts w:hint="cs"/>
          <w:spacing w:val="-2"/>
          <w:rtl/>
          <w:lang w:bidi="ar"/>
        </w:rPr>
        <w:t> </w:t>
      </w:r>
      <w:r w:rsidRPr="00812073">
        <w:rPr>
          <w:spacing w:val="-2"/>
          <w:rtl/>
          <w:lang w:bidi="ar"/>
        </w:rPr>
        <w:t xml:space="preserve">اللجنة كذلك أن صاحبة </w:t>
      </w:r>
      <w:r w:rsidRPr="00812073">
        <w:rPr>
          <w:spacing w:val="-2"/>
          <w:rtl/>
          <w:lang w:bidi="ar"/>
        </w:rPr>
        <w:lastRenderedPageBreak/>
        <w:t>البلاغ الأولى قدمت أيض</w:t>
      </w:r>
      <w:r w:rsidR="006531D2" w:rsidRPr="00812073">
        <w:rPr>
          <w:spacing w:val="-2"/>
          <w:rtl/>
          <w:lang w:bidi="ar"/>
        </w:rPr>
        <w:t xml:space="preserve">اً </w:t>
      </w:r>
      <w:r w:rsidRPr="00812073">
        <w:rPr>
          <w:spacing w:val="-2"/>
          <w:rtl/>
          <w:lang w:bidi="ar"/>
        </w:rPr>
        <w:t>طلب</w:t>
      </w:r>
      <w:r w:rsidR="006531D2" w:rsidRPr="00812073">
        <w:rPr>
          <w:spacing w:val="-2"/>
          <w:rtl/>
          <w:lang w:bidi="ar"/>
        </w:rPr>
        <w:t xml:space="preserve">اً </w:t>
      </w:r>
      <w:r w:rsidRPr="00812073">
        <w:rPr>
          <w:spacing w:val="-2"/>
          <w:rtl/>
          <w:lang w:bidi="ar"/>
        </w:rPr>
        <w:t>إلى مكتب المدعي العام لإنجاز مراجعة رقابية للقرارات الصادرة في القضية المدنية التي أدت إلى إغلاق الصحيفة، لكن هذا الالتماس رُفض أيض</w:t>
      </w:r>
      <w:r w:rsidR="006531D2" w:rsidRPr="00812073">
        <w:rPr>
          <w:spacing w:val="-2"/>
          <w:rtl/>
          <w:lang w:bidi="ar"/>
        </w:rPr>
        <w:t xml:space="preserve">اً. </w:t>
      </w:r>
      <w:r w:rsidRPr="00812073">
        <w:rPr>
          <w:spacing w:val="-2"/>
          <w:rtl/>
          <w:lang w:bidi="ar"/>
        </w:rPr>
        <w:t>وترى اللجنة أن الدولة الطرف لم تثبت أن تقديم مزيد من الطعون المطالبة بالمراجعة الرقابية إلى سلطات النيابة العامة</w:t>
      </w:r>
      <w:r w:rsidR="0015472B" w:rsidRPr="00812073">
        <w:rPr>
          <w:rFonts w:hint="cs"/>
          <w:spacing w:val="-2"/>
          <w:rtl/>
          <w:lang w:bidi="ar"/>
        </w:rPr>
        <w:t> </w:t>
      </w:r>
      <w:r w:rsidRPr="00812073">
        <w:rPr>
          <w:spacing w:val="-2"/>
          <w:rtl/>
          <w:lang w:bidi="ar"/>
        </w:rPr>
        <w:t>كان من شأنه أن يكون سبيل انتصاف فعال</w:t>
      </w:r>
      <w:r w:rsidR="006531D2" w:rsidRPr="00812073">
        <w:rPr>
          <w:spacing w:val="-2"/>
          <w:rtl/>
          <w:lang w:bidi="ar"/>
        </w:rPr>
        <w:t xml:space="preserve">اً </w:t>
      </w:r>
      <w:r w:rsidRPr="00812073">
        <w:rPr>
          <w:spacing w:val="-2"/>
          <w:rtl/>
          <w:lang w:bidi="ar"/>
        </w:rPr>
        <w:t xml:space="preserve">في قضية صاحبة البلاغ الأولى. وتتفق اللجنة مع موقف صاحبتي البلاغ القائل إن مراجعة قرارات المحاكم النهائية بسبب الظروف المستجدة وفق ما تنص عليه المواد من </w:t>
      </w:r>
      <w:r w:rsidRPr="00DE7260">
        <w:rPr>
          <w:spacing w:val="-2"/>
          <w:rtl/>
          <w:lang w:bidi="ar"/>
        </w:rPr>
        <w:t>404</w:t>
      </w:r>
      <w:r w:rsidRPr="00812073">
        <w:rPr>
          <w:spacing w:val="-2"/>
          <w:rtl/>
          <w:lang w:bidi="ar"/>
        </w:rPr>
        <w:t xml:space="preserve"> إلى </w:t>
      </w:r>
      <w:r w:rsidRPr="00DE7260">
        <w:rPr>
          <w:spacing w:val="-2"/>
          <w:rtl/>
          <w:lang w:bidi="ar"/>
        </w:rPr>
        <w:t>409</w:t>
      </w:r>
      <w:r w:rsidRPr="00812073">
        <w:rPr>
          <w:spacing w:val="-2"/>
          <w:rtl/>
          <w:lang w:bidi="ar"/>
        </w:rPr>
        <w:t xml:space="preserve"> من قانون الإجراءات المدنية لا يمكن اعتباره سبيل انتصاف محلي</w:t>
      </w:r>
      <w:r w:rsidR="006531D2" w:rsidRPr="00812073">
        <w:rPr>
          <w:spacing w:val="-2"/>
          <w:rtl/>
          <w:lang w:bidi="ar"/>
        </w:rPr>
        <w:t xml:space="preserve">اً </w:t>
      </w:r>
      <w:r w:rsidRPr="00812073">
        <w:rPr>
          <w:spacing w:val="-2"/>
          <w:rtl/>
          <w:lang w:bidi="ar"/>
        </w:rPr>
        <w:t>فعال</w:t>
      </w:r>
      <w:r w:rsidR="006531D2" w:rsidRPr="00812073">
        <w:rPr>
          <w:spacing w:val="-2"/>
          <w:rtl/>
          <w:lang w:bidi="ar"/>
        </w:rPr>
        <w:t xml:space="preserve">اً </w:t>
      </w:r>
      <w:r w:rsidRPr="00812073">
        <w:rPr>
          <w:spacing w:val="-2"/>
          <w:rtl/>
          <w:lang w:bidi="ar"/>
        </w:rPr>
        <w:t>يتعين استنفاده في القضية قيد النظر، إذ لم تنشأ ظروف مستجدة بعد أن أصبحت القرارات القضائية نهائية.</w:t>
      </w:r>
      <w:r w:rsidR="0015472B" w:rsidRPr="00812073">
        <w:rPr>
          <w:rFonts w:hint="cs"/>
          <w:spacing w:val="-2"/>
          <w:rtl/>
          <w:lang w:bidi="ar"/>
        </w:rPr>
        <w:t> </w:t>
      </w:r>
      <w:r w:rsidRPr="00812073">
        <w:rPr>
          <w:spacing w:val="-2"/>
          <w:rtl/>
          <w:lang w:bidi="ar"/>
        </w:rPr>
        <w:t xml:space="preserve">وبناء على ذلك، ترى اللجنة أن المادة </w:t>
      </w:r>
      <w:r w:rsidRPr="00DE7260">
        <w:rPr>
          <w:spacing w:val="-2"/>
          <w:rtl/>
          <w:lang w:bidi="ar"/>
        </w:rPr>
        <w:t>5</w:t>
      </w:r>
      <w:r w:rsidRPr="00812073">
        <w:rPr>
          <w:spacing w:val="-2"/>
          <w:rtl/>
          <w:lang w:bidi="ar"/>
        </w:rPr>
        <w:t>(</w:t>
      </w:r>
      <w:r w:rsidRPr="00DE7260">
        <w:rPr>
          <w:spacing w:val="-2"/>
          <w:rtl/>
          <w:lang w:bidi="ar"/>
        </w:rPr>
        <w:t>2</w:t>
      </w:r>
      <w:r w:rsidRPr="00812073">
        <w:rPr>
          <w:spacing w:val="-2"/>
          <w:rtl/>
          <w:lang w:bidi="ar"/>
        </w:rPr>
        <w:t>)(ب) من البروتوكول الاختياري لا تمنعه من دراسة هذا البلاغ.</w:t>
      </w:r>
    </w:p>
    <w:p w14:paraId="0363371F" w14:textId="414FE022" w:rsidR="00E74FBF" w:rsidRPr="00547F64" w:rsidRDefault="00E74FBF" w:rsidP="00E74FBF">
      <w:pPr>
        <w:pStyle w:val="SingleTxtGA"/>
      </w:pPr>
      <w:r w:rsidRPr="00DE7260">
        <w:rPr>
          <w:rtl/>
          <w:lang w:bidi="ar"/>
        </w:rPr>
        <w:t>10</w:t>
      </w:r>
      <w:r w:rsidRPr="00547F64">
        <w:rPr>
          <w:rtl/>
          <w:lang w:bidi="ar"/>
        </w:rPr>
        <w:t>-</w:t>
      </w:r>
      <w:r w:rsidRPr="00DE7260">
        <w:rPr>
          <w:rtl/>
          <w:lang w:bidi="ar"/>
        </w:rPr>
        <w:t>5</w:t>
      </w:r>
      <w:r w:rsidR="006531D2">
        <w:rPr>
          <w:rtl/>
          <w:lang w:bidi="ar"/>
        </w:rPr>
        <w:tab/>
      </w:r>
      <w:r w:rsidRPr="00547F64">
        <w:rPr>
          <w:rtl/>
          <w:lang w:bidi="ar"/>
        </w:rPr>
        <w:t xml:space="preserve">وفيما يتعلق بادعاءات صاحبة البلاغ الأولى بموجب المادة </w:t>
      </w:r>
      <w:r w:rsidRPr="00DE7260">
        <w:rPr>
          <w:rtl/>
          <w:lang w:bidi="ar"/>
        </w:rPr>
        <w:t>14</w:t>
      </w:r>
      <w:r>
        <w:rPr>
          <w:rtl/>
          <w:lang w:bidi="ar"/>
        </w:rPr>
        <w:t>(</w:t>
      </w:r>
      <w:r w:rsidRPr="00DE7260">
        <w:rPr>
          <w:rtl/>
          <w:lang w:bidi="ar"/>
        </w:rPr>
        <w:t>3</w:t>
      </w:r>
      <w:r w:rsidRPr="00547F64">
        <w:rPr>
          <w:rtl/>
          <w:lang w:bidi="ar"/>
        </w:rPr>
        <w:t>) من العهد، تُذكِّر اللجنة بأن مفهوم "التهمة الجنائية"</w:t>
      </w:r>
      <w:r w:rsidR="00EB6BD6">
        <w:rPr>
          <w:rtl/>
          <w:lang w:bidi="ar"/>
        </w:rPr>
        <w:t xml:space="preserve"> </w:t>
      </w:r>
      <w:r w:rsidRPr="00547F64">
        <w:rPr>
          <w:rtl/>
          <w:lang w:bidi="ar"/>
        </w:rPr>
        <w:t xml:space="preserve">بموجب المادة </w:t>
      </w:r>
      <w:r w:rsidRPr="00DE7260">
        <w:rPr>
          <w:rtl/>
          <w:lang w:bidi="ar"/>
        </w:rPr>
        <w:t>14</w:t>
      </w:r>
      <w:r>
        <w:rPr>
          <w:rtl/>
          <w:lang w:bidi="ar"/>
        </w:rPr>
        <w:t>(</w:t>
      </w:r>
      <w:r w:rsidRPr="00DE7260">
        <w:rPr>
          <w:rtl/>
          <w:lang w:bidi="ar"/>
        </w:rPr>
        <w:t>3</w:t>
      </w:r>
      <w:r w:rsidRPr="00547F64">
        <w:rPr>
          <w:rtl/>
          <w:lang w:bidi="ar"/>
        </w:rPr>
        <w:t>) له معنى مستقل، بصرف النظر عن التصنيفات التي تستخدمها النظم القانونية الوطنية للدول الأطراف</w:t>
      </w:r>
      <w:r>
        <w:rPr>
          <w:vertAlign w:val="superscript"/>
          <w:rtl/>
          <w:lang w:bidi="ar"/>
        </w:rPr>
        <w:t>(</w:t>
      </w:r>
      <w:r w:rsidRPr="00DE7260">
        <w:rPr>
          <w:vertAlign w:val="superscript"/>
          <w:lang w:val="en-US" w:bidi="ar"/>
        </w:rPr>
        <w:footnoteReference w:id="18"/>
      </w:r>
      <w:r>
        <w:rPr>
          <w:vertAlign w:val="superscript"/>
          <w:rtl/>
          <w:lang w:bidi="ar"/>
        </w:rPr>
        <w:t>)</w:t>
      </w:r>
      <w:r w:rsidRPr="00547F64">
        <w:rPr>
          <w:rtl/>
          <w:lang w:bidi="ar"/>
        </w:rPr>
        <w:t xml:space="preserve">. وتشير اللجنة إلى الفقرة </w:t>
      </w:r>
      <w:r w:rsidRPr="00DE7260">
        <w:rPr>
          <w:rtl/>
          <w:lang w:bidi="ar"/>
        </w:rPr>
        <w:t>15</w:t>
      </w:r>
      <w:r w:rsidRPr="00547F64">
        <w:rPr>
          <w:rtl/>
          <w:lang w:bidi="ar"/>
        </w:rPr>
        <w:t xml:space="preserve"> من تعليقها العام رقم</w:t>
      </w:r>
      <w:r w:rsidR="00EB6BD6">
        <w:rPr>
          <w:rFonts w:hint="cs"/>
          <w:rtl/>
          <w:lang w:bidi="ar"/>
        </w:rPr>
        <w:t> </w:t>
      </w:r>
      <w:r w:rsidRPr="00DE7260">
        <w:rPr>
          <w:rtl/>
          <w:lang w:bidi="ar"/>
        </w:rPr>
        <w:t>32</w:t>
      </w:r>
      <w:r>
        <w:rPr>
          <w:rtl/>
          <w:lang w:bidi="ar"/>
        </w:rPr>
        <w:t>(</w:t>
      </w:r>
      <w:r w:rsidRPr="00DE7260">
        <w:rPr>
          <w:rtl/>
          <w:lang w:bidi="ar"/>
        </w:rPr>
        <w:t>2007</w:t>
      </w:r>
      <w:r w:rsidRPr="00547F64">
        <w:rPr>
          <w:rtl/>
          <w:lang w:bidi="ar"/>
        </w:rPr>
        <w:t>)، التي قضت فيها بأن الحق في المساواة أمام المحاكم والهيئات القضائية وفي المحاكمة العادلة يمتد إلى الأفعال ذات الطابع الجنائي المقترنة بفرض عقوبات لا مناص من اعتبارها جنائية بسبب الغرض منها أو طابعها أو قسوتها</w:t>
      </w:r>
      <w:r>
        <w:rPr>
          <w:vertAlign w:val="superscript"/>
          <w:rtl/>
          <w:lang w:bidi="ar"/>
        </w:rPr>
        <w:t>(</w:t>
      </w:r>
      <w:r w:rsidRPr="00DE7260">
        <w:rPr>
          <w:vertAlign w:val="superscript"/>
          <w:lang w:val="en-US" w:bidi="ar"/>
        </w:rPr>
        <w:footnoteReference w:id="19"/>
      </w:r>
      <w:r>
        <w:rPr>
          <w:vertAlign w:val="superscript"/>
          <w:rtl/>
          <w:lang w:bidi="ar"/>
        </w:rPr>
        <w:t>)</w:t>
      </w:r>
      <w:r w:rsidRPr="00547F64">
        <w:rPr>
          <w:rtl/>
          <w:lang w:bidi="ar"/>
        </w:rPr>
        <w:t>، بصرف النظر عن توصيفها في القانون المحلي. وتلاحظ اللجنة ادعاءات صاحبتي البلاغ ومؤداها أن العقوبات المفروضة على صاحبة البلاغ الأولى كانت ترمي إلى قمع مخالفات منسوبة إليها وإلى أن تكون رادع</w:t>
      </w:r>
      <w:r w:rsidR="006531D2">
        <w:rPr>
          <w:rtl/>
          <w:lang w:bidi="ar"/>
        </w:rPr>
        <w:t xml:space="preserve">اً </w:t>
      </w:r>
      <w:r w:rsidRPr="00547F64">
        <w:rPr>
          <w:rtl/>
          <w:lang w:bidi="ar"/>
        </w:rPr>
        <w:t>للآخرين، وهي غاية مشابهة للهدف العام للقانون الجنائي. وتحيط اللجنة علم</w:t>
      </w:r>
      <w:r w:rsidR="006531D2">
        <w:rPr>
          <w:rtl/>
          <w:lang w:bidi="ar"/>
        </w:rPr>
        <w:t xml:space="preserve">اً </w:t>
      </w:r>
      <w:r w:rsidRPr="00547F64">
        <w:rPr>
          <w:rtl/>
          <w:lang w:bidi="ar"/>
        </w:rPr>
        <w:t>أيض</w:t>
      </w:r>
      <w:r w:rsidR="006531D2">
        <w:rPr>
          <w:rtl/>
          <w:lang w:bidi="ar"/>
        </w:rPr>
        <w:t xml:space="preserve">اً </w:t>
      </w:r>
      <w:r w:rsidRPr="00547F64">
        <w:rPr>
          <w:rtl/>
          <w:lang w:bidi="ar"/>
        </w:rPr>
        <w:t xml:space="preserve">بقسوة العقوبات المفروضة على صاحبة البلاغ الأول، بما في ذلك الغرامة التي تجاوزت بمقدار كبير الحد الأدنى للغرامة المنصوص عليه في القانون الجنائي الوطني. وترى اللجنة أن بعض ادعاءات صاحبتي البلاغ بموجب المادة </w:t>
      </w:r>
      <w:r w:rsidRPr="00DE7260">
        <w:rPr>
          <w:rtl/>
          <w:lang w:bidi="ar"/>
        </w:rPr>
        <w:t>14</w:t>
      </w:r>
      <w:r>
        <w:rPr>
          <w:rtl/>
          <w:lang w:bidi="ar"/>
        </w:rPr>
        <w:t>(</w:t>
      </w:r>
      <w:r w:rsidRPr="00DE7260">
        <w:rPr>
          <w:rtl/>
          <w:lang w:bidi="ar"/>
        </w:rPr>
        <w:t>3</w:t>
      </w:r>
      <w:r w:rsidRPr="00547F64">
        <w:rPr>
          <w:rtl/>
          <w:lang w:bidi="ar"/>
        </w:rPr>
        <w:t xml:space="preserve">) من العهد تثير مسائل بموجب المادة </w:t>
      </w:r>
      <w:r w:rsidRPr="00DE7260">
        <w:rPr>
          <w:rtl/>
          <w:lang w:bidi="ar"/>
        </w:rPr>
        <w:t>14</w:t>
      </w:r>
      <w:r w:rsidRPr="00547F64">
        <w:rPr>
          <w:rtl/>
          <w:lang w:bidi="ar"/>
        </w:rPr>
        <w:t>(</w:t>
      </w:r>
      <w:r w:rsidRPr="00DE7260">
        <w:rPr>
          <w:rtl/>
          <w:lang w:bidi="ar"/>
        </w:rPr>
        <w:t>1</w:t>
      </w:r>
      <w:r w:rsidRPr="00547F64">
        <w:rPr>
          <w:rtl/>
          <w:lang w:bidi="ar"/>
        </w:rPr>
        <w:t>).</w:t>
      </w:r>
    </w:p>
    <w:p w14:paraId="10465131" w14:textId="444667D3" w:rsidR="00E74FBF" w:rsidRPr="00547F64" w:rsidRDefault="00E74FBF" w:rsidP="00E74FBF">
      <w:pPr>
        <w:pStyle w:val="SingleTxtGA"/>
      </w:pPr>
      <w:r w:rsidRPr="00DE7260">
        <w:rPr>
          <w:rtl/>
          <w:lang w:bidi="ar"/>
        </w:rPr>
        <w:t>10</w:t>
      </w:r>
      <w:r w:rsidRPr="00547F64">
        <w:rPr>
          <w:rtl/>
          <w:lang w:bidi="ar"/>
        </w:rPr>
        <w:t>-</w:t>
      </w:r>
      <w:r w:rsidRPr="00DE7260">
        <w:rPr>
          <w:rtl/>
          <w:lang w:bidi="ar"/>
        </w:rPr>
        <w:t>6</w:t>
      </w:r>
      <w:r w:rsidR="0015472B">
        <w:rPr>
          <w:rtl/>
          <w:lang w:bidi="ar"/>
        </w:rPr>
        <w:tab/>
      </w:r>
      <w:r w:rsidRPr="00547F64">
        <w:rPr>
          <w:rtl/>
          <w:lang w:bidi="ar"/>
        </w:rPr>
        <w:t>وأحاطت اللجنة علم</w:t>
      </w:r>
      <w:r w:rsidR="006531D2">
        <w:rPr>
          <w:rtl/>
          <w:lang w:bidi="ar"/>
        </w:rPr>
        <w:t xml:space="preserve">اً </w:t>
      </w:r>
      <w:r w:rsidRPr="00547F64">
        <w:rPr>
          <w:rtl/>
          <w:lang w:bidi="ar"/>
        </w:rPr>
        <w:t>بادعاءات صاحبة البلاغ الأولى، التي صيغت بناء على المادة</w:t>
      </w:r>
      <w:r w:rsidR="0015472B">
        <w:rPr>
          <w:rFonts w:hint="cs"/>
          <w:rtl/>
          <w:lang w:bidi="ar"/>
        </w:rPr>
        <w:t> </w:t>
      </w:r>
      <w:r w:rsidRPr="00DE7260">
        <w:rPr>
          <w:rtl/>
          <w:lang w:bidi="ar"/>
        </w:rPr>
        <w:t>14</w:t>
      </w:r>
      <w:r>
        <w:rPr>
          <w:rtl/>
          <w:lang w:bidi="ar"/>
        </w:rPr>
        <w:t>(</w:t>
      </w:r>
      <w:r w:rsidRPr="00DE7260">
        <w:rPr>
          <w:rtl/>
          <w:lang w:bidi="ar"/>
        </w:rPr>
        <w:t>3</w:t>
      </w:r>
      <w:r w:rsidRPr="00547F64">
        <w:rPr>
          <w:rtl/>
          <w:lang w:bidi="ar"/>
        </w:rPr>
        <w:t>)</w:t>
      </w:r>
      <w:r>
        <w:rPr>
          <w:rtl/>
          <w:lang w:bidi="ar"/>
        </w:rPr>
        <w:t>(</w:t>
      </w:r>
      <w:r w:rsidRPr="00547F64">
        <w:rPr>
          <w:rtl/>
          <w:lang w:bidi="ar"/>
        </w:rPr>
        <w:t>ب) و(ه) من العهد، ومؤداها أن الدولة الطرف انتهكت حقها في الحصول على الوقت الكافي والتسهيلات اللازمة لإعداد دفاعها والاتصال بمحام من اختيارها وحقها في استجواب شهود الادعاء أو طلب استجوابهم وفي حضور شهود الدفاع واستجوابهم وفق نفس الشروط التي يخضع لها شهود الادعاء. غير أن اللجنة ترى أن صاحبة البلاغ الأولى لم تقدم أدلة كافية على هذه الادعاءات لأغراض المقبولية، وأنه لا يبدو أن أي</w:t>
      </w:r>
      <w:r w:rsidR="006531D2">
        <w:rPr>
          <w:rtl/>
          <w:lang w:bidi="ar"/>
        </w:rPr>
        <w:t xml:space="preserve">اً </w:t>
      </w:r>
      <w:r w:rsidRPr="00547F64">
        <w:rPr>
          <w:rtl/>
          <w:lang w:bidi="ar"/>
        </w:rPr>
        <w:t xml:space="preserve">من هذه الادعاءات قد أثير أمام المحاكم الوطنية. ولذلك فإن هذه المطالبات غير مقبولة بموجب المادتين </w:t>
      </w:r>
      <w:r w:rsidRPr="00DE7260">
        <w:rPr>
          <w:rtl/>
          <w:lang w:bidi="ar"/>
        </w:rPr>
        <w:t>2</w:t>
      </w:r>
      <w:r w:rsidRPr="00547F64">
        <w:rPr>
          <w:rtl/>
          <w:lang w:bidi="ar"/>
        </w:rPr>
        <w:t xml:space="preserve"> و</w:t>
      </w:r>
      <w:r w:rsidRPr="00DE7260">
        <w:rPr>
          <w:rtl/>
          <w:lang w:bidi="ar"/>
        </w:rPr>
        <w:t>5</w:t>
      </w:r>
      <w:r>
        <w:rPr>
          <w:rtl/>
          <w:lang w:bidi="ar"/>
        </w:rPr>
        <w:t>(</w:t>
      </w:r>
      <w:r w:rsidRPr="00DE7260">
        <w:rPr>
          <w:rtl/>
          <w:lang w:bidi="ar"/>
        </w:rPr>
        <w:t>2</w:t>
      </w:r>
      <w:r w:rsidRPr="00547F64">
        <w:rPr>
          <w:rtl/>
          <w:lang w:bidi="ar"/>
        </w:rPr>
        <w:t>)</w:t>
      </w:r>
      <w:r>
        <w:rPr>
          <w:rtl/>
          <w:lang w:bidi="ar"/>
        </w:rPr>
        <w:t>(</w:t>
      </w:r>
      <w:r w:rsidRPr="00547F64">
        <w:rPr>
          <w:rtl/>
          <w:lang w:bidi="ar"/>
        </w:rPr>
        <w:t>ب) من البروتوكول الاختياري.</w:t>
      </w:r>
    </w:p>
    <w:p w14:paraId="74A58FBA" w14:textId="03E49961" w:rsidR="00E74FBF" w:rsidRPr="00547F64" w:rsidRDefault="00E74FBF" w:rsidP="00E74FBF">
      <w:pPr>
        <w:pStyle w:val="SingleTxtGA"/>
      </w:pPr>
      <w:r w:rsidRPr="00DE7260">
        <w:rPr>
          <w:rtl/>
          <w:lang w:bidi="ar"/>
        </w:rPr>
        <w:t>10</w:t>
      </w:r>
      <w:r w:rsidRPr="00547F64">
        <w:rPr>
          <w:rtl/>
          <w:lang w:bidi="ar"/>
        </w:rPr>
        <w:t>-</w:t>
      </w:r>
      <w:r w:rsidRPr="00DE7260">
        <w:rPr>
          <w:rtl/>
          <w:lang w:bidi="ar"/>
        </w:rPr>
        <w:t>7</w:t>
      </w:r>
      <w:r w:rsidR="0015472B">
        <w:rPr>
          <w:rtl/>
          <w:lang w:bidi="ar"/>
        </w:rPr>
        <w:tab/>
      </w:r>
      <w:r w:rsidRPr="00547F64">
        <w:rPr>
          <w:rtl/>
          <w:lang w:bidi="ar"/>
        </w:rPr>
        <w:t xml:space="preserve">ومع ذلك، ترى اللجنة أن صاحبتي البلاغ قد أثبتتا بما فيه الكفاية، لأغراض المقبولية، ادعاءهما انتهاك المادة </w:t>
      </w:r>
      <w:r w:rsidRPr="00DE7260">
        <w:rPr>
          <w:rtl/>
          <w:lang w:bidi="ar"/>
        </w:rPr>
        <w:t>14</w:t>
      </w:r>
      <w:r>
        <w:rPr>
          <w:rtl/>
          <w:lang w:bidi="ar"/>
        </w:rPr>
        <w:t>(</w:t>
      </w:r>
      <w:r w:rsidRPr="00DE7260">
        <w:rPr>
          <w:rtl/>
          <w:lang w:bidi="ar"/>
        </w:rPr>
        <w:t>1</w:t>
      </w:r>
      <w:r w:rsidRPr="00547F64">
        <w:rPr>
          <w:rtl/>
          <w:lang w:bidi="ar"/>
        </w:rPr>
        <w:t xml:space="preserve">) من العهد بسبب عدم استدعاء الدولة الطرف صاحبة البلاغ الأولى إلى جلسات الاستماع المتعلقة بمحاكمتها على جرائم إدارية وكذلك ادعاءهما انتهاك المادتين </w:t>
      </w:r>
      <w:r w:rsidRPr="00DE7260">
        <w:rPr>
          <w:rtl/>
          <w:lang w:bidi="ar"/>
        </w:rPr>
        <w:t>14</w:t>
      </w:r>
      <w:r w:rsidRPr="00547F64">
        <w:rPr>
          <w:rtl/>
          <w:lang w:bidi="ar"/>
        </w:rPr>
        <w:t>(</w:t>
      </w:r>
      <w:r w:rsidRPr="00DE7260">
        <w:rPr>
          <w:rtl/>
          <w:lang w:bidi="ar"/>
        </w:rPr>
        <w:t>1</w:t>
      </w:r>
      <w:r w:rsidRPr="00547F64">
        <w:rPr>
          <w:rtl/>
          <w:lang w:bidi="ar"/>
        </w:rPr>
        <w:t>) و</w:t>
      </w:r>
      <w:r w:rsidRPr="00DE7260">
        <w:rPr>
          <w:rtl/>
          <w:lang w:bidi="ar"/>
        </w:rPr>
        <w:t>19</w:t>
      </w:r>
      <w:r w:rsidRPr="00547F64">
        <w:rPr>
          <w:rtl/>
          <w:lang w:bidi="ar"/>
        </w:rPr>
        <w:t xml:space="preserve"> من العهد. وبناء عليه، تعلن أن هذا الجزء من البلاغ مقبول وتمضي إلى النظر في الأسس الموضوعية. </w:t>
      </w:r>
    </w:p>
    <w:p w14:paraId="0E87C4FD" w14:textId="2E4479DD" w:rsidR="00E74FBF" w:rsidRPr="00DE7260" w:rsidRDefault="00EB6BD6" w:rsidP="00EB6BD6">
      <w:pPr>
        <w:pStyle w:val="H4GA"/>
      </w:pPr>
      <w:r w:rsidRPr="00DE7260">
        <w:rPr>
          <w:rtl/>
          <w:lang w:bidi="ar"/>
        </w:rPr>
        <w:tab/>
      </w:r>
      <w:r w:rsidRPr="00DE7260">
        <w:rPr>
          <w:rtl/>
          <w:lang w:bidi="ar"/>
        </w:rPr>
        <w:tab/>
      </w:r>
      <w:r w:rsidR="00E74FBF" w:rsidRPr="00DE7260">
        <w:rPr>
          <w:rtl/>
          <w:lang w:bidi="ar"/>
        </w:rPr>
        <w:t>النظر في الأسس الموضوعية</w:t>
      </w:r>
    </w:p>
    <w:p w14:paraId="099CDF7A" w14:textId="784C77D3" w:rsidR="00E74FBF" w:rsidRPr="00547F64" w:rsidRDefault="00E74FBF" w:rsidP="00E74FBF">
      <w:pPr>
        <w:pStyle w:val="SingleTxtGA"/>
      </w:pPr>
      <w:r w:rsidRPr="00DE7260">
        <w:rPr>
          <w:rtl/>
          <w:lang w:bidi="ar"/>
        </w:rPr>
        <w:t>11</w:t>
      </w:r>
      <w:r w:rsidRPr="00547F64">
        <w:rPr>
          <w:rtl/>
          <w:lang w:bidi="ar"/>
        </w:rPr>
        <w:t>-</w:t>
      </w:r>
      <w:r w:rsidRPr="00DE7260">
        <w:rPr>
          <w:rtl/>
          <w:lang w:bidi="ar"/>
        </w:rPr>
        <w:t>1</w:t>
      </w:r>
      <w:r w:rsidR="0015472B">
        <w:rPr>
          <w:rtl/>
          <w:lang w:bidi="ar"/>
        </w:rPr>
        <w:tab/>
      </w:r>
      <w:r w:rsidRPr="00547F64">
        <w:rPr>
          <w:rtl/>
          <w:lang w:bidi="ar"/>
        </w:rPr>
        <w:t>تحيط اللجنة علم</w:t>
      </w:r>
      <w:r w:rsidR="006531D2">
        <w:rPr>
          <w:rtl/>
          <w:lang w:bidi="ar"/>
        </w:rPr>
        <w:t xml:space="preserve">اً </w:t>
      </w:r>
      <w:r w:rsidRPr="00547F64">
        <w:rPr>
          <w:rtl/>
          <w:lang w:bidi="ar"/>
        </w:rPr>
        <w:t xml:space="preserve">بادعاء صاحبتي البلاغ أن الغرامات الإدارية المفروضة على صاحبة البلاغ الأولى، ومصادرة الأعداد التي طُبعت من صحيفة </w:t>
      </w:r>
      <w:proofErr w:type="spellStart"/>
      <w:r w:rsidRPr="00DE7260">
        <w:rPr>
          <w:i/>
          <w:iCs/>
          <w:rtl/>
          <w:lang w:bidi="ar"/>
        </w:rPr>
        <w:t>برافديفايا</w:t>
      </w:r>
      <w:proofErr w:type="spellEnd"/>
      <w:r w:rsidRPr="00DE7260">
        <w:rPr>
          <w:i/>
          <w:iCs/>
          <w:rtl/>
          <w:lang w:bidi="ar"/>
        </w:rPr>
        <w:t xml:space="preserve"> غازيتا، </w:t>
      </w:r>
      <w:r w:rsidRPr="00547F64">
        <w:rPr>
          <w:rtl/>
          <w:lang w:bidi="ar"/>
        </w:rPr>
        <w:t>وتعليق توزيع الصحيفة وإغلاقها بأمر من المحكمة، كلها أمور شكّلت تقييد</w:t>
      </w:r>
      <w:r w:rsidR="006531D2">
        <w:rPr>
          <w:rtl/>
          <w:lang w:bidi="ar"/>
        </w:rPr>
        <w:t xml:space="preserve">اً </w:t>
      </w:r>
      <w:r w:rsidRPr="00547F64">
        <w:rPr>
          <w:rtl/>
          <w:lang w:bidi="ar"/>
        </w:rPr>
        <w:t xml:space="preserve">لحقهما في نقل المعلومات والأفكار من خلال الوسائل المطبوعة </w:t>
      </w:r>
      <w:r w:rsidRPr="00547F64">
        <w:rPr>
          <w:rtl/>
          <w:lang w:bidi="ar"/>
        </w:rPr>
        <w:lastRenderedPageBreak/>
        <w:t xml:space="preserve">وهو ما يتعارض مع المادة </w:t>
      </w:r>
      <w:r w:rsidRPr="00DE7260">
        <w:rPr>
          <w:rtl/>
          <w:lang w:bidi="ar"/>
        </w:rPr>
        <w:t>19</w:t>
      </w:r>
      <w:r>
        <w:rPr>
          <w:rtl/>
          <w:lang w:bidi="ar"/>
        </w:rPr>
        <w:t>(</w:t>
      </w:r>
      <w:r w:rsidRPr="00DE7260">
        <w:rPr>
          <w:rtl/>
          <w:lang w:bidi="ar"/>
        </w:rPr>
        <w:t>3</w:t>
      </w:r>
      <w:r w:rsidRPr="00547F64">
        <w:rPr>
          <w:rtl/>
          <w:lang w:bidi="ar"/>
        </w:rPr>
        <w:t>) من العهد. وتحيط اللجنة علم</w:t>
      </w:r>
      <w:r w:rsidR="006531D2">
        <w:rPr>
          <w:rtl/>
          <w:lang w:bidi="ar"/>
        </w:rPr>
        <w:t xml:space="preserve">اً </w:t>
      </w:r>
      <w:r w:rsidRPr="00547F64">
        <w:rPr>
          <w:rtl/>
          <w:lang w:bidi="ar"/>
        </w:rPr>
        <w:t>بادعاء صاحبتي البلاغ أنه لا يمكن اعتبار هذا التقييد منصوص</w:t>
      </w:r>
      <w:r w:rsidR="006531D2">
        <w:rPr>
          <w:rtl/>
          <w:lang w:bidi="ar"/>
        </w:rPr>
        <w:t xml:space="preserve">اً </w:t>
      </w:r>
      <w:r w:rsidRPr="00547F64">
        <w:rPr>
          <w:rtl/>
          <w:lang w:bidi="ar"/>
        </w:rPr>
        <w:t xml:space="preserve">عليه في القانون لأغراض العهد بسبب الصياغة الغامضة والفضفاضة التي تضمنها قانون وسائط الإعلام، وأن التقييد لا يسعى إلى تحقيق أي هدف مشروع بموجب المادة </w:t>
      </w:r>
      <w:r w:rsidRPr="00DE7260">
        <w:rPr>
          <w:rtl/>
          <w:lang w:bidi="ar"/>
        </w:rPr>
        <w:t>19</w:t>
      </w:r>
      <w:r>
        <w:rPr>
          <w:rtl/>
          <w:lang w:bidi="ar"/>
        </w:rPr>
        <w:t>(</w:t>
      </w:r>
      <w:r w:rsidRPr="00DE7260">
        <w:rPr>
          <w:rtl/>
          <w:lang w:bidi="ar"/>
        </w:rPr>
        <w:t>3</w:t>
      </w:r>
      <w:r w:rsidRPr="00547F64">
        <w:rPr>
          <w:rtl/>
          <w:lang w:bidi="ar"/>
        </w:rPr>
        <w:t>) من العهد، وأنه لا يتناسب مع المخالفات التي اتُّهمت بها صاحبة البلاغ الأولى. وتحيط اللجنة علم</w:t>
      </w:r>
      <w:r w:rsidR="006531D2">
        <w:rPr>
          <w:rtl/>
          <w:lang w:bidi="ar"/>
        </w:rPr>
        <w:t xml:space="preserve">اً </w:t>
      </w:r>
      <w:r w:rsidRPr="00547F64">
        <w:rPr>
          <w:rtl/>
          <w:lang w:bidi="ar"/>
        </w:rPr>
        <w:t>بادعاء الدولة الطرف أن العقوبات فُرضت وفق</w:t>
      </w:r>
      <w:r w:rsidR="006531D2">
        <w:rPr>
          <w:rtl/>
          <w:lang w:bidi="ar"/>
        </w:rPr>
        <w:t xml:space="preserve">اً </w:t>
      </w:r>
      <w:r w:rsidRPr="00547F64">
        <w:rPr>
          <w:rtl/>
          <w:lang w:bidi="ar"/>
        </w:rPr>
        <w:t xml:space="preserve">للقانون الوطني، وأنها لم تكن مفرطة في القسوة، وأن أحكام دستورها المتعلقة بالقيود المسموح بها على حقوق الإنسان تتفق مع المادة </w:t>
      </w:r>
      <w:r w:rsidRPr="00DE7260">
        <w:rPr>
          <w:rtl/>
          <w:lang w:bidi="ar"/>
        </w:rPr>
        <w:t>19</w:t>
      </w:r>
      <w:r w:rsidRPr="00547F64">
        <w:rPr>
          <w:rtl/>
          <w:lang w:bidi="ar"/>
        </w:rPr>
        <w:t>(</w:t>
      </w:r>
      <w:r w:rsidRPr="00DE7260">
        <w:rPr>
          <w:rtl/>
          <w:lang w:bidi="ar"/>
        </w:rPr>
        <w:t>3</w:t>
      </w:r>
      <w:r w:rsidRPr="00547F64">
        <w:rPr>
          <w:rtl/>
          <w:lang w:bidi="ar"/>
        </w:rPr>
        <w:t xml:space="preserve">) من العهد. لذا يجب على اللجنة أن تحدد ما إذا كانت العقوبات المفروضة على صاحبة البلاغ الأولى وعلى صحيفة </w:t>
      </w:r>
      <w:proofErr w:type="spellStart"/>
      <w:r w:rsidRPr="00DE7260">
        <w:rPr>
          <w:i/>
          <w:iCs/>
          <w:rtl/>
          <w:lang w:bidi="ar"/>
        </w:rPr>
        <w:t>برافديفايا</w:t>
      </w:r>
      <w:proofErr w:type="spellEnd"/>
      <w:r w:rsidRPr="00DE7260">
        <w:rPr>
          <w:i/>
          <w:iCs/>
          <w:rtl/>
          <w:lang w:bidi="ar"/>
        </w:rPr>
        <w:t xml:space="preserve"> غازيتا، </w:t>
      </w:r>
      <w:r w:rsidRPr="00547F64">
        <w:rPr>
          <w:rtl/>
          <w:lang w:bidi="ar"/>
        </w:rPr>
        <w:t>التي تشكل تقييد</w:t>
      </w:r>
      <w:r w:rsidR="006531D2">
        <w:rPr>
          <w:rtl/>
          <w:lang w:bidi="ar"/>
        </w:rPr>
        <w:t xml:space="preserve">اً </w:t>
      </w:r>
      <w:r w:rsidRPr="00547F64">
        <w:rPr>
          <w:rtl/>
          <w:lang w:bidi="ar"/>
        </w:rPr>
        <w:t>لحق صاحبتي البلاغ في حرية التعبير، قابلة للتبرير بموجب المادة</w:t>
      </w:r>
      <w:r w:rsidR="00EB6BD6">
        <w:rPr>
          <w:rFonts w:hint="cs"/>
          <w:rtl/>
          <w:lang w:bidi="ar"/>
        </w:rPr>
        <w:t> </w:t>
      </w:r>
      <w:r w:rsidRPr="00DE7260">
        <w:rPr>
          <w:rtl/>
          <w:lang w:bidi="ar"/>
        </w:rPr>
        <w:t>19</w:t>
      </w:r>
      <w:r w:rsidRPr="00547F64">
        <w:rPr>
          <w:rtl/>
          <w:lang w:bidi="ar"/>
        </w:rPr>
        <w:t>(</w:t>
      </w:r>
      <w:r w:rsidRPr="00DE7260">
        <w:rPr>
          <w:rtl/>
          <w:lang w:bidi="ar"/>
        </w:rPr>
        <w:t>3</w:t>
      </w:r>
      <w:r w:rsidRPr="00547F64">
        <w:rPr>
          <w:rtl/>
          <w:lang w:bidi="ar"/>
        </w:rPr>
        <w:t>) من العهد.</w:t>
      </w:r>
    </w:p>
    <w:p w14:paraId="6235FC52" w14:textId="47F29861" w:rsidR="00E74FBF" w:rsidRPr="00AB3D6D" w:rsidRDefault="00E74FBF" w:rsidP="00E74FBF">
      <w:pPr>
        <w:pStyle w:val="SingleTxtGA"/>
      </w:pPr>
      <w:r w:rsidRPr="00DE7260">
        <w:rPr>
          <w:rtl/>
          <w:lang w:bidi="ar"/>
        </w:rPr>
        <w:t>11</w:t>
      </w:r>
      <w:r w:rsidRPr="00547F64">
        <w:rPr>
          <w:rtl/>
          <w:lang w:bidi="ar"/>
        </w:rPr>
        <w:t>-</w:t>
      </w:r>
      <w:r w:rsidRPr="00DE7260">
        <w:rPr>
          <w:rtl/>
          <w:lang w:bidi="ar"/>
        </w:rPr>
        <w:t>2</w:t>
      </w:r>
      <w:r w:rsidR="0015472B">
        <w:rPr>
          <w:rtl/>
          <w:lang w:bidi="ar"/>
        </w:rPr>
        <w:tab/>
      </w:r>
      <w:r w:rsidRPr="00547F64">
        <w:rPr>
          <w:rtl/>
          <w:lang w:bidi="ar"/>
        </w:rPr>
        <w:t xml:space="preserve">وتشير اللجنة إلى تعليقها العام رقم </w:t>
      </w:r>
      <w:r w:rsidRPr="00DE7260">
        <w:rPr>
          <w:rtl/>
          <w:lang w:bidi="ar"/>
        </w:rPr>
        <w:t>34</w:t>
      </w:r>
      <w:r>
        <w:rPr>
          <w:rtl/>
          <w:lang w:bidi="ar"/>
        </w:rPr>
        <w:t>(</w:t>
      </w:r>
      <w:r w:rsidRPr="00DE7260">
        <w:rPr>
          <w:rtl/>
          <w:lang w:bidi="ar"/>
        </w:rPr>
        <w:t>2011</w:t>
      </w:r>
      <w:r w:rsidRPr="00547F64">
        <w:rPr>
          <w:rtl/>
          <w:lang w:bidi="ar"/>
        </w:rPr>
        <w:t xml:space="preserve">)، الذي ينص على أن حرية الرأي وحرية التعبير شرطان لا غنى عنهما لتحقيق النماء الكامل للشخص. وهما حريتان ضروريتان لأي مجتمع وتشكلان حجر </w:t>
      </w:r>
      <w:r w:rsidRPr="00547F64">
        <w:rPr>
          <w:rtl/>
          <w:lang w:val="fr-FR"/>
        </w:rPr>
        <w:t>الزاوية</w:t>
      </w:r>
      <w:r w:rsidRPr="00547F64">
        <w:rPr>
          <w:rtl/>
          <w:lang w:bidi="ar"/>
        </w:rPr>
        <w:t xml:space="preserve"> لكل مجتمع تسوده الحرية والديمقراطية</w:t>
      </w:r>
      <w:r>
        <w:rPr>
          <w:vertAlign w:val="superscript"/>
          <w:rtl/>
          <w:lang w:bidi="ar"/>
        </w:rPr>
        <w:t>(</w:t>
      </w:r>
      <w:r w:rsidRPr="00DE7260">
        <w:rPr>
          <w:vertAlign w:val="superscript"/>
          <w:lang w:val="en-US" w:bidi="ar"/>
        </w:rPr>
        <w:footnoteReference w:id="20"/>
      </w:r>
      <w:r>
        <w:rPr>
          <w:vertAlign w:val="superscript"/>
          <w:rtl/>
          <w:lang w:bidi="ar"/>
        </w:rPr>
        <w:t>)</w:t>
      </w:r>
      <w:r w:rsidRPr="00547F64">
        <w:rPr>
          <w:rtl/>
          <w:lang w:bidi="ar"/>
        </w:rPr>
        <w:t>. ووفق</w:t>
      </w:r>
      <w:r w:rsidR="006531D2">
        <w:rPr>
          <w:rtl/>
          <w:lang w:bidi="ar"/>
        </w:rPr>
        <w:t xml:space="preserve">اً </w:t>
      </w:r>
      <w:r w:rsidRPr="00547F64">
        <w:rPr>
          <w:rtl/>
          <w:lang w:bidi="ar"/>
        </w:rPr>
        <w:t xml:space="preserve">للمادة </w:t>
      </w:r>
      <w:r w:rsidRPr="00DE7260">
        <w:rPr>
          <w:rtl/>
          <w:lang w:bidi="ar"/>
        </w:rPr>
        <w:t>19</w:t>
      </w:r>
      <w:r w:rsidRPr="00547F64">
        <w:rPr>
          <w:rtl/>
          <w:lang w:bidi="ar"/>
        </w:rPr>
        <w:t>(</w:t>
      </w:r>
      <w:r w:rsidRPr="00DE7260">
        <w:rPr>
          <w:rtl/>
          <w:lang w:bidi="ar"/>
        </w:rPr>
        <w:t>3</w:t>
      </w:r>
      <w:r w:rsidRPr="00547F64">
        <w:rPr>
          <w:rtl/>
          <w:lang w:bidi="ar"/>
        </w:rPr>
        <w:t>) من العهد، يمكن أن يخضع الحق في حرية التعبير لقيود معيّنة، لكن ذلك يقتصر على ما هو منصوص عليه في القانون وما هو ضروري لما يلي: (أ) احترام حقوق الآخرين أو سمعتهم؛ (ب) حماية الأمن القومي أو النظام العام</w:t>
      </w:r>
      <w:r w:rsidRPr="00547F64">
        <w:rPr>
          <w:lang w:bidi="ar"/>
        </w:rPr>
        <w:t xml:space="preserve"> </w:t>
      </w:r>
      <w:r w:rsidRPr="00547F64">
        <w:rPr>
          <w:rtl/>
          <w:lang w:bidi="ar"/>
        </w:rPr>
        <w:t>أو</w:t>
      </w:r>
      <w:r w:rsidRPr="00547F64">
        <w:rPr>
          <w:lang w:bidi="ar"/>
        </w:rPr>
        <w:t xml:space="preserve"> </w:t>
      </w:r>
      <w:r w:rsidRPr="00D36EB0">
        <w:rPr>
          <w:spacing w:val="-4"/>
          <w:rtl/>
          <w:lang w:bidi="ar"/>
        </w:rPr>
        <w:t>الصحة العامة أو الأخلاق العامة. ويجب أن تكون جميع القيود المفروضة على حرية التعبير "منصوص</w:t>
      </w:r>
      <w:r w:rsidR="006531D2" w:rsidRPr="00D36EB0">
        <w:rPr>
          <w:spacing w:val="-4"/>
          <w:rtl/>
          <w:lang w:bidi="ar"/>
        </w:rPr>
        <w:t xml:space="preserve">اً </w:t>
      </w:r>
      <w:r w:rsidRPr="00D36EB0">
        <w:rPr>
          <w:spacing w:val="-4"/>
          <w:rtl/>
          <w:lang w:bidi="ar"/>
        </w:rPr>
        <w:t>عليها في</w:t>
      </w:r>
      <w:r w:rsidRPr="00D36EB0">
        <w:rPr>
          <w:spacing w:val="-4"/>
          <w:lang w:bidi="ar"/>
        </w:rPr>
        <w:t xml:space="preserve"> </w:t>
      </w:r>
      <w:r w:rsidRPr="00D36EB0">
        <w:rPr>
          <w:spacing w:val="-4"/>
          <w:rtl/>
          <w:lang w:bidi="ar"/>
        </w:rPr>
        <w:t xml:space="preserve">القانون"؛ ولا يجوز فرضها إلا لأحد الأسباب المبينة في الفقرتين الفرعيتين (أ) و(ب) من المادة </w:t>
      </w:r>
      <w:r w:rsidRPr="00DE7260">
        <w:rPr>
          <w:spacing w:val="-4"/>
          <w:rtl/>
          <w:lang w:bidi="ar"/>
        </w:rPr>
        <w:t>19</w:t>
      </w:r>
      <w:r w:rsidRPr="00D36EB0">
        <w:rPr>
          <w:spacing w:val="-4"/>
          <w:rtl/>
          <w:lang w:bidi="ar"/>
        </w:rPr>
        <w:t>(</w:t>
      </w:r>
      <w:r w:rsidRPr="00DE7260">
        <w:rPr>
          <w:spacing w:val="-4"/>
          <w:rtl/>
          <w:lang w:bidi="ar"/>
        </w:rPr>
        <w:t>3</w:t>
      </w:r>
      <w:r w:rsidRPr="00D36EB0">
        <w:rPr>
          <w:spacing w:val="-4"/>
          <w:rtl/>
          <w:lang w:bidi="ar"/>
        </w:rPr>
        <w:t>)؛</w:t>
      </w:r>
      <w:r w:rsidRPr="00547F64">
        <w:rPr>
          <w:rtl/>
          <w:lang w:bidi="ar"/>
        </w:rPr>
        <w:t xml:space="preserve"> ويجب أن تتوافق مع الاختبار الصارم</w:t>
      </w:r>
      <w:r w:rsidRPr="00547F64">
        <w:rPr>
          <w:rtl/>
          <w:lang w:val="fr-FR"/>
        </w:rPr>
        <w:t xml:space="preserve"> لمبدأي</w:t>
      </w:r>
      <w:r w:rsidRPr="00547F64">
        <w:rPr>
          <w:rtl/>
          <w:lang w:bidi="ar"/>
        </w:rPr>
        <w:t xml:space="preserve"> الضرورة والتناسب. ولا بد من احترام مبدأ التناسب، لا في القانون الذي يؤطر القيود فحسب، بل أيض</w:t>
      </w:r>
      <w:r w:rsidR="006531D2">
        <w:rPr>
          <w:rtl/>
          <w:lang w:bidi="ar"/>
        </w:rPr>
        <w:t xml:space="preserve">اً </w:t>
      </w:r>
      <w:r w:rsidRPr="00547F64">
        <w:rPr>
          <w:rtl/>
          <w:lang w:bidi="ar"/>
        </w:rPr>
        <w:t>في سياق تطبيق القانون من جانب السلطات الإدارية والقضائية</w:t>
      </w:r>
      <w:r>
        <w:rPr>
          <w:vertAlign w:val="superscript"/>
          <w:rtl/>
          <w:lang w:bidi="ar"/>
        </w:rPr>
        <w:t>(</w:t>
      </w:r>
      <w:r w:rsidRPr="00DE7260">
        <w:rPr>
          <w:vertAlign w:val="superscript"/>
          <w:lang w:val="en-US" w:bidi="ar"/>
        </w:rPr>
        <w:footnoteReference w:id="21"/>
      </w:r>
      <w:r>
        <w:rPr>
          <w:vertAlign w:val="superscript"/>
          <w:rtl/>
          <w:lang w:bidi="ar"/>
        </w:rPr>
        <w:t>)</w:t>
      </w:r>
      <w:r w:rsidRPr="00547F64">
        <w:rPr>
          <w:rtl/>
          <w:lang w:bidi="ar"/>
        </w:rPr>
        <w:t xml:space="preserve">. وعندما تحتج دولة طرف بأسباب مشروعة لتقييد حرية التعبير، فإن عليها أن تبيّن بطريقة محددة وخاصة بكل حالة على حدة الطابع الدقيق للتهديد الذي ينال من أي أساس من الأسس المذكورة في المادة </w:t>
      </w:r>
      <w:r w:rsidRPr="00DE7260">
        <w:rPr>
          <w:rtl/>
          <w:lang w:bidi="ar"/>
        </w:rPr>
        <w:t>19</w:t>
      </w:r>
      <w:r>
        <w:rPr>
          <w:rtl/>
          <w:lang w:bidi="ar"/>
        </w:rPr>
        <w:t>(</w:t>
      </w:r>
      <w:r w:rsidRPr="00DE7260">
        <w:rPr>
          <w:rtl/>
          <w:lang w:bidi="ar"/>
        </w:rPr>
        <w:t>3</w:t>
      </w:r>
      <w:r w:rsidRPr="00547F64">
        <w:rPr>
          <w:rtl/>
          <w:lang w:bidi="ar"/>
        </w:rPr>
        <w:t>) والذي أدى إلى تقييد حرية التعبير، وضرورة الإجراء المحدد المتخذ وتناسبه، لا سيما عن طريق إقامة صلة مباشرة وفورية بين التعبير والتهديد</w:t>
      </w:r>
      <w:r>
        <w:rPr>
          <w:vertAlign w:val="superscript"/>
          <w:rtl/>
          <w:lang w:bidi="ar"/>
        </w:rPr>
        <w:t>(</w:t>
      </w:r>
      <w:r w:rsidRPr="00DE7260">
        <w:rPr>
          <w:vertAlign w:val="superscript"/>
          <w:lang w:val="en-US" w:bidi="ar"/>
        </w:rPr>
        <w:footnoteReference w:id="22"/>
      </w:r>
      <w:r>
        <w:rPr>
          <w:vertAlign w:val="superscript"/>
          <w:rtl/>
          <w:lang w:bidi="ar"/>
        </w:rPr>
        <w:t>)</w:t>
      </w:r>
      <w:r w:rsidR="00AB3D6D">
        <w:rPr>
          <w:rFonts w:hint="cs"/>
          <w:rtl/>
          <w:lang w:bidi="ar"/>
        </w:rPr>
        <w:t>.</w:t>
      </w:r>
    </w:p>
    <w:p w14:paraId="4C1DCE0C" w14:textId="51C38407" w:rsidR="00E74FBF" w:rsidRPr="00E74FBF" w:rsidRDefault="00E74FBF" w:rsidP="00E74FBF">
      <w:pPr>
        <w:pStyle w:val="SingleTxtGA"/>
      </w:pPr>
      <w:r w:rsidRPr="00DE7260">
        <w:rPr>
          <w:rtl/>
          <w:lang w:bidi="ar"/>
        </w:rPr>
        <w:t>11</w:t>
      </w:r>
      <w:r w:rsidRPr="00547F64">
        <w:rPr>
          <w:rtl/>
          <w:lang w:bidi="ar"/>
        </w:rPr>
        <w:t>-</w:t>
      </w:r>
      <w:r w:rsidRPr="00DE7260">
        <w:rPr>
          <w:rtl/>
          <w:lang w:bidi="ar"/>
        </w:rPr>
        <w:t>3</w:t>
      </w:r>
      <w:r w:rsidR="00EB6BD6">
        <w:rPr>
          <w:rtl/>
          <w:lang w:bidi="ar"/>
        </w:rPr>
        <w:tab/>
      </w:r>
      <w:r w:rsidRPr="00547F64">
        <w:rPr>
          <w:rtl/>
          <w:lang w:bidi="ar"/>
        </w:rPr>
        <w:t>وتذكّر اللجنة بأن الصحافة أو غيرها من وسائط الإعلام الحرة وغير الخاضعة للرقابة وللعراقيل ضرورية في أي مجتمع لضمان حرية الرأي والتعبير والتمتع بحقوق العهد الأخرى، وتشكل ركن</w:t>
      </w:r>
      <w:r w:rsidR="006531D2">
        <w:rPr>
          <w:rtl/>
          <w:lang w:bidi="ar"/>
        </w:rPr>
        <w:t xml:space="preserve">اً </w:t>
      </w:r>
      <w:r w:rsidRPr="00547F64">
        <w:rPr>
          <w:rtl/>
          <w:lang w:bidi="ar"/>
        </w:rPr>
        <w:t>من الأركان الأساسية لمجتمع ديمقراطي</w:t>
      </w:r>
      <w:r>
        <w:rPr>
          <w:vertAlign w:val="superscript"/>
          <w:rtl/>
          <w:lang w:bidi="ar"/>
        </w:rPr>
        <w:t>(</w:t>
      </w:r>
      <w:r w:rsidRPr="00DE7260">
        <w:rPr>
          <w:vertAlign w:val="superscript"/>
          <w:lang w:val="en-US" w:bidi="ar"/>
        </w:rPr>
        <w:footnoteReference w:id="23"/>
      </w:r>
      <w:r>
        <w:rPr>
          <w:vertAlign w:val="superscript"/>
          <w:rtl/>
          <w:lang w:bidi="ar"/>
        </w:rPr>
        <w:t>)</w:t>
      </w:r>
      <w:r w:rsidRPr="00547F64">
        <w:rPr>
          <w:rtl/>
          <w:lang w:bidi="ar"/>
        </w:rPr>
        <w:t>. ومن الضروري إتاحة حرية نقل المعلومات والأفكار المتعلقة بالمسائل العامة والسياسية بين المواطنين والمترشحين والممثلين المنتخبين. وهذا يفترض كفالة حرية الصحافة وغيرها من وسائل الإعلام وقدرتها على التعليق على القضايا العامة دون رقابة أو تقييد وعلى إعلام الرأي العام. وللجمهور أيض</w:t>
      </w:r>
      <w:r w:rsidR="006531D2">
        <w:rPr>
          <w:rtl/>
          <w:lang w:bidi="ar"/>
        </w:rPr>
        <w:t xml:space="preserve">اً </w:t>
      </w:r>
      <w:r w:rsidRPr="00547F64">
        <w:rPr>
          <w:rtl/>
          <w:lang w:bidi="ar"/>
        </w:rPr>
        <w:t>حق مقابل لذلك في تلقي ما ينتجه الإعلام</w:t>
      </w:r>
      <w:r>
        <w:rPr>
          <w:vertAlign w:val="superscript"/>
          <w:rtl/>
          <w:lang w:bidi="ar"/>
        </w:rPr>
        <w:t>(</w:t>
      </w:r>
      <w:r w:rsidRPr="00DE7260">
        <w:rPr>
          <w:vertAlign w:val="superscript"/>
          <w:lang w:val="en-US" w:bidi="ar"/>
        </w:rPr>
        <w:footnoteReference w:id="24"/>
      </w:r>
      <w:r>
        <w:rPr>
          <w:vertAlign w:val="superscript"/>
          <w:rtl/>
          <w:lang w:bidi="ar"/>
        </w:rPr>
        <w:t>)</w:t>
      </w:r>
      <w:r w:rsidRPr="00547F64">
        <w:rPr>
          <w:rtl/>
          <w:lang w:bidi="ar"/>
        </w:rPr>
        <w:t xml:space="preserve">. وينبغي للدول الأطراف أن تكفل اتساق الأطر التشريعية والإدارية لتنظيم وسائط الإعلام مع أحكام المادة </w:t>
      </w:r>
      <w:r w:rsidRPr="00DE7260">
        <w:rPr>
          <w:rtl/>
          <w:lang w:bidi="ar"/>
        </w:rPr>
        <w:t>19</w:t>
      </w:r>
      <w:r>
        <w:rPr>
          <w:rtl/>
          <w:lang w:bidi="ar"/>
        </w:rPr>
        <w:t>(</w:t>
      </w:r>
      <w:r w:rsidRPr="00DE7260">
        <w:rPr>
          <w:rtl/>
          <w:lang w:bidi="ar"/>
        </w:rPr>
        <w:t>3</w:t>
      </w:r>
      <w:r w:rsidRPr="00547F64">
        <w:rPr>
          <w:rtl/>
          <w:lang w:bidi="ar"/>
        </w:rPr>
        <w:t>) من العهد. ولا</w:t>
      </w:r>
      <w:r w:rsidR="006531D2">
        <w:rPr>
          <w:rFonts w:hint="cs"/>
          <w:rtl/>
          <w:lang w:bidi="ar"/>
        </w:rPr>
        <w:t> </w:t>
      </w:r>
      <w:r w:rsidRPr="00547F64">
        <w:rPr>
          <w:rtl/>
          <w:lang w:bidi="ar"/>
        </w:rPr>
        <w:t xml:space="preserve">ينسجم مع المادة </w:t>
      </w:r>
      <w:r w:rsidRPr="00DE7260">
        <w:rPr>
          <w:rtl/>
          <w:lang w:bidi="ar"/>
        </w:rPr>
        <w:t>19</w:t>
      </w:r>
      <w:r w:rsidRPr="00547F64">
        <w:rPr>
          <w:rtl/>
          <w:lang w:bidi="ar"/>
        </w:rPr>
        <w:t xml:space="preserve"> رفضُ الترخيص بنشر الصحف وغيرها من وسائط الإعلام المطبوعة إلا في الظروف المحددة لتطبيق أحكام المادة </w:t>
      </w:r>
      <w:r w:rsidRPr="00DE7260">
        <w:rPr>
          <w:rtl/>
          <w:lang w:bidi="ar"/>
        </w:rPr>
        <w:t>19</w:t>
      </w:r>
      <w:r>
        <w:rPr>
          <w:rtl/>
          <w:lang w:bidi="ar"/>
        </w:rPr>
        <w:t>(</w:t>
      </w:r>
      <w:r w:rsidRPr="00DE7260">
        <w:rPr>
          <w:rtl/>
          <w:lang w:bidi="ar"/>
        </w:rPr>
        <w:t>3</w:t>
      </w:r>
      <w:r w:rsidRPr="00547F64">
        <w:rPr>
          <w:rtl/>
          <w:lang w:bidi="ar"/>
        </w:rPr>
        <w:t>). ولا يجوز أبد</w:t>
      </w:r>
      <w:r w:rsidR="006531D2">
        <w:rPr>
          <w:rtl/>
          <w:lang w:bidi="ar"/>
        </w:rPr>
        <w:t xml:space="preserve">اً </w:t>
      </w:r>
      <w:r w:rsidRPr="00547F64">
        <w:rPr>
          <w:rtl/>
          <w:lang w:bidi="ar"/>
        </w:rPr>
        <w:t>أن تشمل هذه الظروف حظر منشور معين ما لم يكن من الجائز حظر محتوى محدد غير قابل للاقتطاع حظر</w:t>
      </w:r>
      <w:r w:rsidR="006531D2">
        <w:rPr>
          <w:rtl/>
          <w:lang w:bidi="ar"/>
        </w:rPr>
        <w:t xml:space="preserve">اً </w:t>
      </w:r>
      <w:r w:rsidRPr="00547F64">
        <w:rPr>
          <w:rtl/>
          <w:lang w:bidi="ar"/>
        </w:rPr>
        <w:t>مشروع</w:t>
      </w:r>
      <w:r w:rsidR="006531D2">
        <w:rPr>
          <w:rtl/>
          <w:lang w:bidi="ar"/>
        </w:rPr>
        <w:t xml:space="preserve">اً </w:t>
      </w:r>
      <w:r w:rsidRPr="00547F64">
        <w:rPr>
          <w:rtl/>
          <w:lang w:bidi="ar"/>
        </w:rPr>
        <w:t xml:space="preserve">بموجب المادة </w:t>
      </w:r>
      <w:r w:rsidRPr="00DE7260">
        <w:rPr>
          <w:rtl/>
          <w:lang w:bidi="ar"/>
        </w:rPr>
        <w:t>19</w:t>
      </w:r>
      <w:r w:rsidRPr="00547F64">
        <w:rPr>
          <w:rtl/>
          <w:lang w:bidi="ar"/>
        </w:rPr>
        <w:t>(</w:t>
      </w:r>
      <w:r w:rsidRPr="00DE7260">
        <w:rPr>
          <w:rtl/>
          <w:lang w:bidi="ar"/>
        </w:rPr>
        <w:t>3</w:t>
      </w:r>
      <w:r w:rsidRPr="00547F64">
        <w:rPr>
          <w:rtl/>
          <w:lang w:bidi="ar"/>
        </w:rPr>
        <w:t>)</w:t>
      </w:r>
      <w:r>
        <w:rPr>
          <w:vertAlign w:val="superscript"/>
          <w:rtl/>
          <w:lang w:bidi="ar"/>
        </w:rPr>
        <w:t>(</w:t>
      </w:r>
      <w:r w:rsidRPr="00DE7260">
        <w:rPr>
          <w:vertAlign w:val="superscript"/>
          <w:lang w:val="en-US" w:bidi="ar"/>
        </w:rPr>
        <w:footnoteReference w:id="25"/>
      </w:r>
      <w:r>
        <w:rPr>
          <w:vertAlign w:val="superscript"/>
          <w:rtl/>
          <w:lang w:bidi="ar"/>
        </w:rPr>
        <w:t>)</w:t>
      </w:r>
      <w:r w:rsidRPr="00547F64">
        <w:rPr>
          <w:rtl/>
          <w:lang w:bidi="ar"/>
        </w:rPr>
        <w:t xml:space="preserve">. </w:t>
      </w:r>
      <w:r w:rsidRPr="00547F64">
        <w:rPr>
          <w:rtl/>
          <w:lang w:bidi="ar"/>
        </w:rPr>
        <w:lastRenderedPageBreak/>
        <w:t>ولا يمكن أن تندرج ضمن التقييد الضروري لحرية التعبير معاقبةُ منبر إعلامي أو ناشرين أو صحفي لمجرد توجيهم انتقادات للحكومة أو النظام الاجتماعي أو السياسي الذي تتبناه الحكومة</w:t>
      </w:r>
      <w:r>
        <w:rPr>
          <w:vertAlign w:val="superscript"/>
          <w:rtl/>
          <w:lang w:bidi="ar"/>
        </w:rPr>
        <w:t>(</w:t>
      </w:r>
      <w:r w:rsidRPr="00DE7260">
        <w:rPr>
          <w:vertAlign w:val="superscript"/>
          <w:lang w:val="en-US" w:bidi="ar"/>
        </w:rPr>
        <w:footnoteReference w:id="26"/>
      </w:r>
      <w:r>
        <w:rPr>
          <w:vertAlign w:val="superscript"/>
          <w:rtl/>
          <w:lang w:bidi="ar"/>
        </w:rPr>
        <w:t>)</w:t>
      </w:r>
      <w:r>
        <w:rPr>
          <w:rFonts w:hint="cs"/>
          <w:rtl/>
          <w:lang w:bidi="ar"/>
        </w:rPr>
        <w:t>.</w:t>
      </w:r>
    </w:p>
    <w:p w14:paraId="2E7690A8" w14:textId="5E65087C" w:rsidR="00E74FBF" w:rsidRPr="00547F64" w:rsidRDefault="00E74FBF" w:rsidP="00E74FBF">
      <w:pPr>
        <w:pStyle w:val="SingleTxtGA"/>
      </w:pPr>
      <w:r w:rsidRPr="00DE7260">
        <w:rPr>
          <w:rtl/>
          <w:lang w:bidi="ar"/>
        </w:rPr>
        <w:t>11</w:t>
      </w:r>
      <w:r w:rsidRPr="00547F64">
        <w:rPr>
          <w:rtl/>
          <w:lang w:bidi="ar"/>
        </w:rPr>
        <w:t>-</w:t>
      </w:r>
      <w:r w:rsidRPr="00DE7260">
        <w:rPr>
          <w:rtl/>
          <w:lang w:bidi="ar"/>
        </w:rPr>
        <w:t>4</w:t>
      </w:r>
      <w:r>
        <w:rPr>
          <w:rtl/>
          <w:lang w:bidi="ar"/>
        </w:rPr>
        <w:tab/>
      </w:r>
      <w:r w:rsidRPr="00547F64">
        <w:rPr>
          <w:rtl/>
          <w:lang w:bidi="ar"/>
        </w:rPr>
        <w:t xml:space="preserve">وتلاحظ اللجنة أن الدولة الطرف ادعت بصفة عامة أن القيود المفروضة على حرية التعبير التي يأذن بها دستورها تتسق مع صياغة المادة </w:t>
      </w:r>
      <w:r w:rsidRPr="00DE7260">
        <w:rPr>
          <w:rtl/>
          <w:lang w:bidi="ar"/>
        </w:rPr>
        <w:t>19</w:t>
      </w:r>
      <w:r w:rsidRPr="00547F64">
        <w:rPr>
          <w:rtl/>
          <w:lang w:bidi="ar"/>
        </w:rPr>
        <w:t>(</w:t>
      </w:r>
      <w:r w:rsidRPr="00DE7260">
        <w:rPr>
          <w:rtl/>
          <w:lang w:bidi="ar"/>
        </w:rPr>
        <w:t>3</w:t>
      </w:r>
      <w:r w:rsidRPr="00547F64">
        <w:rPr>
          <w:rtl/>
          <w:lang w:bidi="ar"/>
        </w:rPr>
        <w:t>) من العهد، وأن العقوبات المفروضة على صاحبة البلاغ الأولى قد نص عليها القانون الوطني، لكنها لم تقدم أي حجج بشأن توافق الأحكام القانونية التي كانت أساس</w:t>
      </w:r>
      <w:r w:rsidR="006531D2">
        <w:rPr>
          <w:rtl/>
          <w:lang w:bidi="ar"/>
        </w:rPr>
        <w:t xml:space="preserve">اً </w:t>
      </w:r>
      <w:r w:rsidRPr="00547F64">
        <w:rPr>
          <w:rtl/>
          <w:lang w:bidi="ar"/>
        </w:rPr>
        <w:t xml:space="preserve">لتقييد حرية صاحبتي البلاغ في التعبير مع معياري الضرورة والتناسب بموجب المادة </w:t>
      </w:r>
      <w:r w:rsidRPr="00DE7260">
        <w:rPr>
          <w:rtl/>
          <w:lang w:bidi="ar"/>
        </w:rPr>
        <w:t>19</w:t>
      </w:r>
      <w:r w:rsidRPr="00547F64">
        <w:rPr>
          <w:rtl/>
          <w:lang w:bidi="ar"/>
        </w:rPr>
        <w:t>(</w:t>
      </w:r>
      <w:r w:rsidRPr="00DE7260">
        <w:rPr>
          <w:rtl/>
          <w:lang w:bidi="ar"/>
        </w:rPr>
        <w:t>3</w:t>
      </w:r>
      <w:r w:rsidRPr="00547F64">
        <w:rPr>
          <w:rtl/>
          <w:lang w:bidi="ar"/>
        </w:rPr>
        <w:t>) من العهد</w:t>
      </w:r>
      <w:r>
        <w:rPr>
          <w:vertAlign w:val="superscript"/>
          <w:rtl/>
          <w:lang w:bidi="ar"/>
        </w:rPr>
        <w:t>(</w:t>
      </w:r>
      <w:r w:rsidRPr="00DE7260">
        <w:rPr>
          <w:vertAlign w:val="superscript"/>
          <w:lang w:val="en-US" w:bidi="ar"/>
        </w:rPr>
        <w:footnoteReference w:id="27"/>
      </w:r>
      <w:r>
        <w:rPr>
          <w:vertAlign w:val="superscript"/>
          <w:rtl/>
          <w:lang w:bidi="ar"/>
        </w:rPr>
        <w:t>)</w:t>
      </w:r>
      <w:r w:rsidRPr="00547F64">
        <w:rPr>
          <w:rtl/>
          <w:lang w:bidi="ar"/>
        </w:rPr>
        <w:t>. ولم توضِّح الدولة الطرف أيض</w:t>
      </w:r>
      <w:r w:rsidR="006531D2">
        <w:rPr>
          <w:rtl/>
          <w:lang w:bidi="ar"/>
        </w:rPr>
        <w:t xml:space="preserve">اً </w:t>
      </w:r>
      <w:r w:rsidRPr="00547F64">
        <w:rPr>
          <w:rtl/>
          <w:lang w:bidi="ar"/>
        </w:rPr>
        <w:t xml:space="preserve">كيف أخذت السلطات الإدارية والقضائية هذه المعايير في الاعتبار في القضية قيد النظر. لذا، ترى اللجنة أن الدولة الطرف لم تبرّر أن العقوبات المتعددة والصارمة المفروضة على صاحبة البلاغ الأول وعلى صحيفة </w:t>
      </w:r>
      <w:proofErr w:type="spellStart"/>
      <w:r w:rsidRPr="00DE7260">
        <w:rPr>
          <w:i/>
          <w:iCs/>
          <w:rtl/>
          <w:lang w:bidi="ar"/>
        </w:rPr>
        <w:t>برافديفايا</w:t>
      </w:r>
      <w:proofErr w:type="spellEnd"/>
      <w:r w:rsidRPr="00DE7260">
        <w:rPr>
          <w:i/>
          <w:iCs/>
          <w:rtl/>
          <w:lang w:bidi="ar"/>
        </w:rPr>
        <w:t xml:space="preserve"> غازيتا، </w:t>
      </w:r>
      <w:r w:rsidRPr="00547F64">
        <w:rPr>
          <w:rtl/>
          <w:lang w:bidi="ar"/>
        </w:rPr>
        <w:t xml:space="preserve">والتي بلغت ذروتها بإغلاق هذا المنبر وحرمانه من الترخيص، كانت ضرورية ومتناسبة مع الهدف المشروع المنشود، وفق ما تنص عليه المادة </w:t>
      </w:r>
      <w:r w:rsidRPr="00DE7260">
        <w:rPr>
          <w:rtl/>
          <w:lang w:bidi="ar"/>
        </w:rPr>
        <w:t>19</w:t>
      </w:r>
      <w:r w:rsidRPr="00547F64">
        <w:rPr>
          <w:rtl/>
          <w:lang w:bidi="ar"/>
        </w:rPr>
        <w:t>(</w:t>
      </w:r>
      <w:r w:rsidRPr="00DE7260">
        <w:rPr>
          <w:rtl/>
          <w:lang w:bidi="ar"/>
        </w:rPr>
        <w:t>3</w:t>
      </w:r>
      <w:r w:rsidRPr="00547F64">
        <w:rPr>
          <w:rtl/>
          <w:lang w:bidi="ar"/>
        </w:rPr>
        <w:t>) من العهد، لا سيما في ضوء الطابع التقني والهيّن أحيان</w:t>
      </w:r>
      <w:r w:rsidR="006531D2">
        <w:rPr>
          <w:rtl/>
          <w:lang w:bidi="ar"/>
        </w:rPr>
        <w:t xml:space="preserve">اً </w:t>
      </w:r>
      <w:r w:rsidRPr="00547F64">
        <w:rPr>
          <w:rtl/>
          <w:lang w:bidi="ar"/>
        </w:rPr>
        <w:t xml:space="preserve">للمخالفات التي عوقبت صاحبة البلاغ الأولى عليها في نهاية المطاف. وتخلص اللجنة إلى أن حقوق صاحبتي البلاغ بموجب المادة </w:t>
      </w:r>
      <w:r w:rsidRPr="00DE7260">
        <w:rPr>
          <w:rtl/>
          <w:lang w:bidi="ar"/>
        </w:rPr>
        <w:t>19</w:t>
      </w:r>
      <w:r w:rsidRPr="00547F64">
        <w:rPr>
          <w:rtl/>
          <w:lang w:bidi="ar"/>
        </w:rPr>
        <w:t xml:space="preserve"> من العهد قد انتهكت.</w:t>
      </w:r>
    </w:p>
    <w:p w14:paraId="15983EE5" w14:textId="034F4C7C" w:rsidR="00E74FBF" w:rsidRPr="00547F64" w:rsidRDefault="00E74FBF" w:rsidP="00E74FBF">
      <w:pPr>
        <w:pStyle w:val="SingleTxtGA"/>
      </w:pPr>
      <w:r w:rsidRPr="00DE7260">
        <w:rPr>
          <w:rtl/>
          <w:lang w:bidi="ar"/>
        </w:rPr>
        <w:t>11</w:t>
      </w:r>
      <w:r w:rsidRPr="00547F64">
        <w:rPr>
          <w:rtl/>
          <w:lang w:bidi="ar"/>
        </w:rPr>
        <w:t>-</w:t>
      </w:r>
      <w:r w:rsidRPr="00DE7260">
        <w:rPr>
          <w:rtl/>
          <w:lang w:bidi="ar"/>
        </w:rPr>
        <w:t>5</w:t>
      </w:r>
      <w:r>
        <w:rPr>
          <w:rtl/>
          <w:lang w:bidi="ar"/>
        </w:rPr>
        <w:tab/>
      </w:r>
      <w:r w:rsidRPr="00547F64">
        <w:rPr>
          <w:rtl/>
          <w:lang w:bidi="ar"/>
        </w:rPr>
        <w:t>وتحيط اللجنة علم</w:t>
      </w:r>
      <w:r w:rsidR="006531D2">
        <w:rPr>
          <w:rtl/>
          <w:lang w:bidi="ar"/>
        </w:rPr>
        <w:t xml:space="preserve">اً </w:t>
      </w:r>
      <w:r w:rsidRPr="00547F64">
        <w:rPr>
          <w:rtl/>
          <w:lang w:bidi="ar"/>
        </w:rPr>
        <w:t xml:space="preserve">بادعاء صاحبة البلاغ الأولى أن حقها في المحاكمة الحضورية بموجب المادة </w:t>
      </w:r>
      <w:r w:rsidRPr="00DE7260">
        <w:rPr>
          <w:rtl/>
          <w:lang w:bidi="ar"/>
        </w:rPr>
        <w:t>14</w:t>
      </w:r>
      <w:r w:rsidRPr="00547F64">
        <w:rPr>
          <w:rtl/>
          <w:lang w:bidi="ar"/>
        </w:rPr>
        <w:t xml:space="preserve"> من العهد قد انتُهك بسبب إرسال الاستدعاءين المتعلقين بجلسة هيئة الاستئناف القضائية التابعة لمحكمة </w:t>
      </w:r>
      <w:proofErr w:type="spellStart"/>
      <w:r w:rsidRPr="00547F64">
        <w:rPr>
          <w:rtl/>
          <w:lang w:bidi="ar"/>
        </w:rPr>
        <w:t>ألماتي</w:t>
      </w:r>
      <w:proofErr w:type="spellEnd"/>
      <w:r w:rsidRPr="00547F64">
        <w:rPr>
          <w:rtl/>
          <w:lang w:bidi="ar"/>
        </w:rPr>
        <w:t xml:space="preserve">، التي عُقدت في </w:t>
      </w:r>
      <w:r w:rsidRPr="00DE7260">
        <w:rPr>
          <w:rtl/>
          <w:lang w:bidi="ar"/>
        </w:rPr>
        <w:t>22</w:t>
      </w:r>
      <w:r w:rsidRPr="00547F64">
        <w:rPr>
          <w:rtl/>
          <w:lang w:bidi="ar"/>
        </w:rPr>
        <w:t xml:space="preserve"> آب/أغسطس </w:t>
      </w:r>
      <w:r w:rsidRPr="00DE7260">
        <w:rPr>
          <w:rtl/>
          <w:lang w:bidi="ar"/>
        </w:rPr>
        <w:t>2013</w:t>
      </w:r>
      <w:r w:rsidRPr="00547F64">
        <w:rPr>
          <w:rtl/>
          <w:lang w:bidi="ar"/>
        </w:rPr>
        <w:t xml:space="preserve">، وجلسة المحكمة الإدارية المتخصصة المشتركة بين المقاطعات في </w:t>
      </w:r>
      <w:proofErr w:type="spellStart"/>
      <w:r w:rsidRPr="00547F64">
        <w:rPr>
          <w:rtl/>
          <w:lang w:bidi="ar"/>
        </w:rPr>
        <w:t>ألماتي</w:t>
      </w:r>
      <w:proofErr w:type="spellEnd"/>
      <w:r w:rsidRPr="00547F64">
        <w:rPr>
          <w:rtl/>
          <w:lang w:bidi="ar"/>
        </w:rPr>
        <w:t xml:space="preserve">، التي عُقدت في </w:t>
      </w:r>
      <w:r w:rsidRPr="00DE7260">
        <w:rPr>
          <w:rtl/>
          <w:lang w:bidi="ar"/>
        </w:rPr>
        <w:t>5</w:t>
      </w:r>
      <w:r w:rsidRPr="00547F64">
        <w:rPr>
          <w:rtl/>
          <w:lang w:bidi="ar"/>
        </w:rPr>
        <w:t xml:space="preserve"> كانون الأول/ديسمبر </w:t>
      </w:r>
      <w:r w:rsidRPr="00DE7260">
        <w:rPr>
          <w:rtl/>
          <w:lang w:bidi="ar"/>
        </w:rPr>
        <w:t>2013</w:t>
      </w:r>
      <w:r w:rsidRPr="00547F64">
        <w:rPr>
          <w:rtl/>
          <w:lang w:bidi="ar"/>
        </w:rPr>
        <w:t>، إلى عنوان غير صحيح. وأحاطت اللجنة علم</w:t>
      </w:r>
      <w:r w:rsidR="006531D2">
        <w:rPr>
          <w:rtl/>
          <w:lang w:bidi="ar"/>
        </w:rPr>
        <w:t xml:space="preserve">اً </w:t>
      </w:r>
      <w:r w:rsidRPr="00547F64">
        <w:rPr>
          <w:rtl/>
          <w:lang w:bidi="ar"/>
        </w:rPr>
        <w:t xml:space="preserve">بادعاء صاحبة البلاغ الأولى أن أي استدعاء لم يُرسل إلى عنوان سكنها، أو إلى العنوان المسجل لنشاطها كسيدة أعمال، أو إلى عنوان صحيفة </w:t>
      </w:r>
      <w:proofErr w:type="spellStart"/>
      <w:r w:rsidRPr="00DE7260">
        <w:rPr>
          <w:i/>
          <w:iCs/>
          <w:rtl/>
          <w:lang w:bidi="ar"/>
        </w:rPr>
        <w:t>برافديفايا</w:t>
      </w:r>
      <w:proofErr w:type="spellEnd"/>
      <w:r w:rsidRPr="00DE7260">
        <w:rPr>
          <w:i/>
          <w:iCs/>
          <w:rtl/>
          <w:lang w:bidi="ar"/>
        </w:rPr>
        <w:t xml:space="preserve"> غازيتا،</w:t>
      </w:r>
      <w:r w:rsidRPr="00547F64">
        <w:rPr>
          <w:rtl/>
          <w:lang w:bidi="ar"/>
        </w:rPr>
        <w:t xml:space="preserve"> أو إلى محاميها. وتحيط اللجنة علم</w:t>
      </w:r>
      <w:r w:rsidR="006531D2">
        <w:rPr>
          <w:rtl/>
          <w:lang w:bidi="ar"/>
        </w:rPr>
        <w:t xml:space="preserve">اً </w:t>
      </w:r>
      <w:r w:rsidRPr="00547F64">
        <w:rPr>
          <w:rtl/>
          <w:lang w:bidi="ar"/>
        </w:rPr>
        <w:t>كذلك بادعاء صاحبة البلاغ الأولى أن عنوانها الحقيقي لا شك أنه كان معروف</w:t>
      </w:r>
      <w:r w:rsidR="006531D2">
        <w:rPr>
          <w:rtl/>
          <w:lang w:bidi="ar"/>
        </w:rPr>
        <w:t xml:space="preserve">اً </w:t>
      </w:r>
      <w:r w:rsidRPr="00547F64">
        <w:rPr>
          <w:rtl/>
          <w:lang w:bidi="ar"/>
        </w:rPr>
        <w:t>لدى سجل المحكمة لأن المحكمة استخدمته في إجراءات أخرى جارية. وتلاحظ اللجنة أن الدولة الطرف لا</w:t>
      </w:r>
      <w:r>
        <w:rPr>
          <w:rFonts w:hint="cs"/>
          <w:rtl/>
          <w:lang w:bidi="ar"/>
        </w:rPr>
        <w:t> </w:t>
      </w:r>
      <w:r w:rsidRPr="00547F64">
        <w:rPr>
          <w:rtl/>
          <w:lang w:bidi="ar"/>
        </w:rPr>
        <w:t xml:space="preserve">تعترض على هذه الادعاءات، ولكنها تلاحظ فقط أن صاحبة البلاغ الأولى ومحاميها كانا حاضرين في جلسات الاستئناف في </w:t>
      </w:r>
      <w:r w:rsidRPr="00DE7260">
        <w:rPr>
          <w:rtl/>
          <w:lang w:bidi="ar"/>
        </w:rPr>
        <w:t>28</w:t>
      </w:r>
      <w:r w:rsidRPr="00547F64">
        <w:rPr>
          <w:rtl/>
          <w:lang w:bidi="ar"/>
        </w:rPr>
        <w:t xml:space="preserve"> كانون الأول/ديسمبر </w:t>
      </w:r>
      <w:r w:rsidRPr="00DE7260">
        <w:rPr>
          <w:rtl/>
          <w:lang w:bidi="ar"/>
        </w:rPr>
        <w:t>2013</w:t>
      </w:r>
      <w:r w:rsidRPr="00547F64">
        <w:rPr>
          <w:rtl/>
          <w:lang w:bidi="ar"/>
        </w:rPr>
        <w:t xml:space="preserve">. وترى اللجنة أنه في غياب تفسيرات من الدولة الطرف، يجب إيلاء الاعتبار الواجب لمزاعم صاحبة البلاغ. وتذكر اللجنة بأنه على الرغم من أن متطلبات الإجراءات القانونية الواجبة المنصوص عليها في المادة </w:t>
      </w:r>
      <w:r w:rsidRPr="00DE7260">
        <w:rPr>
          <w:rtl/>
          <w:lang w:bidi="ar"/>
        </w:rPr>
        <w:t>14</w:t>
      </w:r>
      <w:r w:rsidRPr="00547F64">
        <w:rPr>
          <w:rtl/>
          <w:lang w:bidi="ar"/>
        </w:rPr>
        <w:t xml:space="preserve"> لا يمكن تفسيرها على أنها تجعل الإجراءات الغيابية دائم</w:t>
      </w:r>
      <w:r w:rsidR="006531D2">
        <w:rPr>
          <w:rtl/>
          <w:lang w:bidi="ar"/>
        </w:rPr>
        <w:t xml:space="preserve">اً </w:t>
      </w:r>
      <w:r w:rsidRPr="00547F64">
        <w:rPr>
          <w:rtl/>
          <w:lang w:bidi="ar"/>
        </w:rPr>
        <w:t>أمر</w:t>
      </w:r>
      <w:r w:rsidR="006531D2">
        <w:rPr>
          <w:rtl/>
          <w:lang w:bidi="ar"/>
        </w:rPr>
        <w:t xml:space="preserve">اً </w:t>
      </w:r>
      <w:r w:rsidRPr="00547F64">
        <w:rPr>
          <w:rtl/>
          <w:lang w:bidi="ar"/>
        </w:rPr>
        <w:t xml:space="preserve">غير مسموح به، بصرف النظر عن أسباب غياب المتهم، فإن هذه المحاكمات لا تتوافق مع المادة </w:t>
      </w:r>
      <w:r w:rsidRPr="00DE7260">
        <w:rPr>
          <w:rtl/>
          <w:lang w:bidi="ar"/>
        </w:rPr>
        <w:t>14</w:t>
      </w:r>
      <w:r w:rsidRPr="00547F64">
        <w:rPr>
          <w:rtl/>
          <w:lang w:bidi="ar"/>
        </w:rPr>
        <w:t>(</w:t>
      </w:r>
      <w:r w:rsidRPr="00DE7260">
        <w:rPr>
          <w:rtl/>
          <w:lang w:bidi="ar"/>
        </w:rPr>
        <w:t>3</w:t>
      </w:r>
      <w:r w:rsidRPr="00547F64">
        <w:rPr>
          <w:rtl/>
          <w:lang w:bidi="ar"/>
        </w:rPr>
        <w:t>)(د) من العهد إلا إذا اتُّخذت الخطوات اللازمة لاستدعاء المتهمين في الوقت المناسب وإبلاغهم مسبق</w:t>
      </w:r>
      <w:r w:rsidR="006531D2">
        <w:rPr>
          <w:rtl/>
          <w:lang w:bidi="ar"/>
        </w:rPr>
        <w:t xml:space="preserve">اً </w:t>
      </w:r>
      <w:r w:rsidRPr="00547F64">
        <w:rPr>
          <w:rtl/>
          <w:lang w:bidi="ar"/>
        </w:rPr>
        <w:t>بتاريخ ومكان محاكمتهم وطلب حضورهم</w:t>
      </w:r>
      <w:r>
        <w:rPr>
          <w:vertAlign w:val="superscript"/>
          <w:rtl/>
          <w:lang w:bidi="ar"/>
        </w:rPr>
        <w:t>(</w:t>
      </w:r>
      <w:r w:rsidRPr="00DE7260">
        <w:rPr>
          <w:vertAlign w:val="superscript"/>
          <w:lang w:val="en-US" w:bidi="ar"/>
        </w:rPr>
        <w:footnoteReference w:id="28"/>
      </w:r>
      <w:r>
        <w:rPr>
          <w:vertAlign w:val="superscript"/>
          <w:rtl/>
          <w:lang w:bidi="ar"/>
        </w:rPr>
        <w:t>)</w:t>
      </w:r>
      <w:r w:rsidRPr="00547F64">
        <w:rPr>
          <w:rtl/>
          <w:lang w:bidi="ar"/>
        </w:rPr>
        <w:t>. وترى اللجنة أن المادة</w:t>
      </w:r>
      <w:r w:rsidR="0015472B">
        <w:rPr>
          <w:rFonts w:hint="cs"/>
          <w:rtl/>
          <w:lang w:bidi="ar"/>
        </w:rPr>
        <w:t> </w:t>
      </w:r>
      <w:r w:rsidRPr="00DE7260">
        <w:rPr>
          <w:rtl/>
          <w:lang w:bidi="ar"/>
        </w:rPr>
        <w:t>14</w:t>
      </w:r>
      <w:r w:rsidRPr="00547F64">
        <w:rPr>
          <w:rtl/>
          <w:lang w:bidi="ar"/>
        </w:rPr>
        <w:t>(</w:t>
      </w:r>
      <w:r w:rsidRPr="00DE7260">
        <w:rPr>
          <w:rtl/>
          <w:lang w:bidi="ar"/>
        </w:rPr>
        <w:t>1</w:t>
      </w:r>
      <w:r w:rsidRPr="00547F64">
        <w:rPr>
          <w:rtl/>
          <w:lang w:bidi="ar"/>
        </w:rPr>
        <w:t>) تفرض نفس الشروط في أي محاكمة، بصرف النظر عما إذا كان يمكن اعتبارها جنائية بطبيعتها. وتعتقد اللجنة أن الدولة الطرف لم تثبت، في هذه القضية، أنها اتخذت الخطوات اللازمة لإبلاغ صاحبة البلاغ الأولى بحقها في حضور الإجراءات شخصي</w:t>
      </w:r>
      <w:r w:rsidR="006531D2">
        <w:rPr>
          <w:rtl/>
          <w:lang w:bidi="ar"/>
        </w:rPr>
        <w:t xml:space="preserve">اً. </w:t>
      </w:r>
      <w:r w:rsidRPr="00547F64">
        <w:rPr>
          <w:rtl/>
          <w:lang w:bidi="ar"/>
        </w:rPr>
        <w:t xml:space="preserve">وفي ظل هذه الظروف، ترى اللجنة أن الوقائع المعروضة تكشف عن انتهاك لحقوق صاحب البلاغ الأولى بموجب المادة </w:t>
      </w:r>
      <w:r w:rsidRPr="00DE7260">
        <w:rPr>
          <w:rtl/>
          <w:lang w:bidi="ar"/>
        </w:rPr>
        <w:t>14</w:t>
      </w:r>
      <w:r w:rsidRPr="00547F64">
        <w:rPr>
          <w:rtl/>
          <w:lang w:bidi="ar"/>
        </w:rPr>
        <w:t>(</w:t>
      </w:r>
      <w:r w:rsidRPr="00DE7260">
        <w:rPr>
          <w:rtl/>
          <w:lang w:bidi="ar"/>
        </w:rPr>
        <w:t>1</w:t>
      </w:r>
      <w:r w:rsidRPr="00547F64">
        <w:rPr>
          <w:rtl/>
          <w:lang w:bidi="ar"/>
        </w:rPr>
        <w:t>) من العهد.</w:t>
      </w:r>
    </w:p>
    <w:p w14:paraId="0CB1A412" w14:textId="5C2C269B" w:rsidR="00E74FBF" w:rsidRPr="00547F64" w:rsidRDefault="00E74FBF" w:rsidP="00E74FBF">
      <w:pPr>
        <w:pStyle w:val="SingleTxtGA"/>
      </w:pPr>
      <w:r w:rsidRPr="00DE7260">
        <w:rPr>
          <w:rtl/>
          <w:lang w:bidi="ar"/>
        </w:rPr>
        <w:lastRenderedPageBreak/>
        <w:t>12</w:t>
      </w:r>
      <w:r w:rsidRPr="00547F64">
        <w:rPr>
          <w:rtl/>
          <w:lang w:bidi="ar"/>
        </w:rPr>
        <w:t>-</w:t>
      </w:r>
      <w:r>
        <w:rPr>
          <w:rtl/>
          <w:lang w:bidi="ar"/>
        </w:rPr>
        <w:tab/>
      </w:r>
      <w:r w:rsidRPr="00547F64">
        <w:rPr>
          <w:rtl/>
          <w:lang w:bidi="ar"/>
        </w:rPr>
        <w:t xml:space="preserve">وترى اللجنة، بناء على المادة </w:t>
      </w:r>
      <w:r w:rsidRPr="00DE7260">
        <w:rPr>
          <w:rtl/>
          <w:lang w:bidi="ar"/>
        </w:rPr>
        <w:t>5</w:t>
      </w:r>
      <w:r w:rsidRPr="00547F64">
        <w:rPr>
          <w:rtl/>
          <w:lang w:bidi="ar"/>
        </w:rPr>
        <w:t>(</w:t>
      </w:r>
      <w:r w:rsidRPr="00DE7260">
        <w:rPr>
          <w:rtl/>
          <w:lang w:bidi="ar"/>
        </w:rPr>
        <w:t>4</w:t>
      </w:r>
      <w:r w:rsidRPr="00547F64">
        <w:rPr>
          <w:rtl/>
          <w:lang w:bidi="ar"/>
        </w:rPr>
        <w:t xml:space="preserve">) من البروتوكول الاختياري، أن الوقائع المعروضة عليها تكشف عن انتهاك الدولة الطرف المادة </w:t>
      </w:r>
      <w:r w:rsidRPr="00DE7260">
        <w:rPr>
          <w:rtl/>
          <w:lang w:bidi="ar"/>
        </w:rPr>
        <w:t>14</w:t>
      </w:r>
      <w:r w:rsidRPr="00547F64">
        <w:rPr>
          <w:rtl/>
          <w:lang w:bidi="ar"/>
        </w:rPr>
        <w:t>(</w:t>
      </w:r>
      <w:r w:rsidRPr="00DE7260">
        <w:rPr>
          <w:rtl/>
          <w:lang w:bidi="ar"/>
        </w:rPr>
        <w:t>1</w:t>
      </w:r>
      <w:r w:rsidRPr="00547F64">
        <w:rPr>
          <w:rtl/>
          <w:lang w:bidi="ar"/>
        </w:rPr>
        <w:t xml:space="preserve">) فيما يتعلق بصاحبة البلاغ الأولى والمادة </w:t>
      </w:r>
      <w:r w:rsidRPr="00DE7260">
        <w:rPr>
          <w:rtl/>
          <w:lang w:bidi="ar"/>
        </w:rPr>
        <w:t>19</w:t>
      </w:r>
      <w:r w:rsidRPr="00547F64">
        <w:rPr>
          <w:rtl/>
          <w:lang w:bidi="ar"/>
        </w:rPr>
        <w:t xml:space="preserve"> من العهد فيما يتعلق بكلتا صاحبتي البلاغ.</w:t>
      </w:r>
    </w:p>
    <w:p w14:paraId="15F007F4" w14:textId="0E0660BD" w:rsidR="00E74FBF" w:rsidRPr="00547F64" w:rsidRDefault="00E74FBF" w:rsidP="00E74FBF">
      <w:pPr>
        <w:pStyle w:val="SingleTxtGA"/>
      </w:pPr>
      <w:r w:rsidRPr="00DE7260">
        <w:rPr>
          <w:rtl/>
          <w:lang w:bidi="ar"/>
        </w:rPr>
        <w:t>13</w:t>
      </w:r>
      <w:r>
        <w:rPr>
          <w:rFonts w:hint="cs"/>
          <w:rtl/>
          <w:lang w:bidi="ar"/>
        </w:rPr>
        <w:t>-</w:t>
      </w:r>
      <w:r>
        <w:rPr>
          <w:rtl/>
          <w:lang w:bidi="ar"/>
        </w:rPr>
        <w:tab/>
      </w:r>
      <w:r w:rsidRPr="00547F64">
        <w:rPr>
          <w:rtl/>
          <w:lang w:bidi="ar"/>
        </w:rPr>
        <w:t>وعمل</w:t>
      </w:r>
      <w:r w:rsidR="006531D2">
        <w:rPr>
          <w:rtl/>
          <w:lang w:bidi="ar"/>
        </w:rPr>
        <w:t xml:space="preserve">اً </w:t>
      </w:r>
      <w:r w:rsidRPr="00547F64">
        <w:rPr>
          <w:rtl/>
          <w:lang w:bidi="ar"/>
        </w:rPr>
        <w:t xml:space="preserve">بالمادة </w:t>
      </w:r>
      <w:r w:rsidRPr="00DE7260">
        <w:rPr>
          <w:rtl/>
          <w:lang w:bidi="ar"/>
        </w:rPr>
        <w:t>2</w:t>
      </w:r>
      <w:r w:rsidRPr="00547F64">
        <w:rPr>
          <w:rtl/>
          <w:lang w:bidi="ar"/>
        </w:rPr>
        <w:t>(</w:t>
      </w:r>
      <w:r w:rsidRPr="00DE7260">
        <w:rPr>
          <w:rtl/>
          <w:lang w:bidi="ar"/>
        </w:rPr>
        <w:t>3</w:t>
      </w:r>
      <w:r w:rsidRPr="00547F64">
        <w:rPr>
          <w:rtl/>
          <w:lang w:bidi="ar"/>
        </w:rPr>
        <w:t>)(أ) من العهد، فإن الدولة الطرف ملزمة بإتاحة سبيل انتصاف فعال لصاحبتي البلاغ. ويتطلب ذلك منها أن تقدم تعويضات كاملة إلى الأفراد الذين انتُهكت حقوقهم بموجب العهد. وبناء على ذلك، فإن الدولة الطرف ملزمة، في جملة أمور، بما يلي: (أ) تقديم تعويضات مناسبة إلى صاحبتي البلاغ، بما يشمل سداد أي تكاليف قانونية وغرامات إدارية تكبدتاها؛ (ب) مراجعة قرار وقف أنشطة الصحيفة وإلغاء تسجيلها. وتُلزم الدولة الطرف أيض</w:t>
      </w:r>
      <w:r w:rsidR="006531D2">
        <w:rPr>
          <w:rtl/>
          <w:lang w:bidi="ar"/>
        </w:rPr>
        <w:t xml:space="preserve">اً </w:t>
      </w:r>
      <w:r w:rsidRPr="00547F64">
        <w:rPr>
          <w:rtl/>
          <w:lang w:bidi="ar"/>
        </w:rPr>
        <w:t xml:space="preserve">باتخاذ جميع الخطوات اللازمة لمنع وقوع انتهاكات مماثلة في المستقبل. </w:t>
      </w:r>
    </w:p>
    <w:p w14:paraId="346DE512" w14:textId="32348AF7" w:rsidR="00E74FBF" w:rsidRPr="00547F64" w:rsidRDefault="00E74FBF" w:rsidP="00E74FBF">
      <w:pPr>
        <w:pStyle w:val="SingleTxtGA"/>
        <w:rPr>
          <w:lang w:bidi="ar"/>
        </w:rPr>
      </w:pPr>
      <w:r w:rsidRPr="00DE7260">
        <w:rPr>
          <w:rtl/>
          <w:lang w:bidi="ar"/>
        </w:rPr>
        <w:t>14</w:t>
      </w:r>
      <w:r>
        <w:rPr>
          <w:rFonts w:hint="cs"/>
          <w:rtl/>
          <w:lang w:bidi="ar"/>
        </w:rPr>
        <w:t>-</w:t>
      </w:r>
      <w:r>
        <w:rPr>
          <w:rtl/>
          <w:lang w:bidi="ar"/>
        </w:rPr>
        <w:tab/>
      </w:r>
      <w:r w:rsidRPr="00547F64">
        <w:rPr>
          <w:rtl/>
          <w:lang w:bidi="ar"/>
        </w:rPr>
        <w:t xml:space="preserve">وإذ تضع اللجنة في اعتبارها أن الدولة الطرف قد اعترفت، بانضمامها إلى البروتوكول الاختياري، باختصاص اللجنة في تحديد ما إذا كان قد وقع انتهاك لأحكام العهد أم لا، وأنها قد تعهدت، عملاً بالمادة </w:t>
      </w:r>
      <w:r w:rsidRPr="00DE7260">
        <w:rPr>
          <w:rtl/>
          <w:lang w:bidi="ar"/>
        </w:rPr>
        <w:t>2</w:t>
      </w:r>
      <w:r w:rsidRPr="00547F64">
        <w:rPr>
          <w:rtl/>
          <w:lang w:bidi="ar"/>
        </w:rPr>
        <w:t xml:space="preserve"> من العهد، بأن تكفل تمتع جميع الأفراد الموجودين في إقليمها أو الخاضعين لولايتها بالحقوق المعترف بها في العهد وأن توفر لهم سبيل انتصاف فعالاً متى ما ثبت وقوع انتهاك، فهي تود أن تتلقى من الدولة الطرف، في غضون </w:t>
      </w:r>
      <w:r w:rsidRPr="00DE7260">
        <w:rPr>
          <w:rtl/>
          <w:lang w:bidi="ar"/>
        </w:rPr>
        <w:t>180</w:t>
      </w:r>
      <w:r w:rsidRPr="00547F64">
        <w:rPr>
          <w:rtl/>
          <w:lang w:bidi="ar"/>
        </w:rPr>
        <w:t xml:space="preserve"> يوماً، معلومات عن التدابير المتخذة لتنفيذ آرائها. ويُطلب إلى الدولة الطرف أيضاً نشر هذه الآراء وتعميمها على نطاق واسع بلغاتها الرسمية.</w:t>
      </w:r>
    </w:p>
    <w:bookmarkEnd w:id="0"/>
    <w:p w14:paraId="451D98BB" w14:textId="1B792A95" w:rsidR="00E74FBF" w:rsidRPr="00E74FBF" w:rsidRDefault="00E74FBF" w:rsidP="00E74FBF">
      <w:pPr>
        <w:pStyle w:val="SingleTxtGA"/>
        <w:jc w:val="center"/>
        <w:rPr>
          <w:u w:val="single"/>
          <w:rtl/>
        </w:rPr>
      </w:pPr>
      <w:r>
        <w:rPr>
          <w:u w:val="single"/>
          <w:rtl/>
        </w:rPr>
        <w:tab/>
      </w:r>
      <w:r>
        <w:rPr>
          <w:u w:val="single"/>
          <w:rtl/>
        </w:rPr>
        <w:tab/>
      </w:r>
      <w:r>
        <w:rPr>
          <w:u w:val="single"/>
          <w:rtl/>
        </w:rPr>
        <w:tab/>
      </w:r>
    </w:p>
    <w:sectPr w:rsidR="00E74FBF" w:rsidRPr="00E74FBF" w:rsidSect="00933B20">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FC432" w14:textId="77777777" w:rsidR="00144989" w:rsidRPr="002901D9" w:rsidRDefault="00144989" w:rsidP="00DC4D4B">
      <w:pPr>
        <w:spacing w:after="60" w:line="240" w:lineRule="auto"/>
        <w:ind w:left="57"/>
        <w:rPr>
          <w:i/>
          <w:iCs/>
        </w:rPr>
      </w:pPr>
      <w:r>
        <w:rPr>
          <w:rFonts w:hint="cs"/>
          <w:i/>
          <w:iCs/>
          <w:rtl/>
        </w:rPr>
        <w:t>الحواشي</w:t>
      </w:r>
    </w:p>
  </w:endnote>
  <w:endnote w:type="continuationSeparator" w:id="0">
    <w:p w14:paraId="133CF85D" w14:textId="77777777" w:rsidR="00144989" w:rsidRDefault="00144989"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88608" w14:textId="77777777" w:rsidR="00144989" w:rsidRPr="00C74505" w:rsidRDefault="00144989" w:rsidP="00C74505">
    <w:pPr>
      <w:pStyle w:val="Footer"/>
      <w:tabs>
        <w:tab w:val="right" w:pos="9638"/>
      </w:tabs>
      <w:rPr>
        <w:b/>
        <w:sz w:val="18"/>
        <w:lang w:val="en-US"/>
      </w:rPr>
    </w:pPr>
    <w:r>
      <w:rPr>
        <w:lang w:val="en-US"/>
      </w:rPr>
      <w:t>GE.21-05431</w:t>
    </w:r>
    <w:r>
      <w:rPr>
        <w:lang w:val="en-US"/>
      </w:rPr>
      <w:tab/>
    </w:r>
    <w:r w:rsidRPr="00C74505">
      <w:rPr>
        <w:b/>
        <w:sz w:val="18"/>
        <w:lang w:val="en-US"/>
      </w:rPr>
      <w:fldChar w:fldCharType="begin"/>
    </w:r>
    <w:r w:rsidRPr="00C74505">
      <w:rPr>
        <w:b/>
        <w:sz w:val="18"/>
        <w:lang w:val="en-US"/>
      </w:rPr>
      <w:instrText xml:space="preserve"> PAGE  \* MERGEFORMAT </w:instrText>
    </w:r>
    <w:r w:rsidRPr="00C74505">
      <w:rPr>
        <w:b/>
        <w:sz w:val="18"/>
        <w:lang w:val="en-US"/>
      </w:rPr>
      <w:fldChar w:fldCharType="separate"/>
    </w:r>
    <w:r w:rsidRPr="00C74505">
      <w:rPr>
        <w:b/>
        <w:noProof/>
        <w:sz w:val="18"/>
        <w:lang w:val="en-US"/>
      </w:rPr>
      <w:t>2</w:t>
    </w:r>
    <w:r w:rsidRPr="00C74505">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EF6A4" w14:textId="77777777" w:rsidR="00144989" w:rsidRPr="00C74505" w:rsidRDefault="00144989" w:rsidP="00C74505">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GE.21-05431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32CCC" w14:textId="77777777" w:rsidR="00144989" w:rsidRPr="00C74505" w:rsidRDefault="00144989" w:rsidP="00C74505">
    <w:pPr>
      <w:pStyle w:val="Footer"/>
      <w:spacing w:before="600"/>
      <w:ind w:left="567"/>
      <w:jc w:val="right"/>
      <w:rPr>
        <w:sz w:val="20"/>
        <w:lang w:val="en-US"/>
      </w:rPr>
    </w:pPr>
    <w:r>
      <w:rPr>
        <w:sz w:val="20"/>
        <w:lang w:val="en-US"/>
      </w:rPr>
      <w:t>GE.</w:t>
    </w:r>
    <w:r>
      <w:rPr>
        <w:noProof/>
      </w:rPr>
      <w:drawing>
        <wp:anchor distT="0" distB="0" distL="114300" distR="114300" simplePos="0" relativeHeight="251658240" behindDoc="1" locked="1" layoutInCell="0" allowOverlap="1" wp14:anchorId="41FA6E4B" wp14:editId="3F6613C1">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21-05431 (A)</w:t>
    </w:r>
    <w:r>
      <w:rPr>
        <w:noProof/>
        <w:sz w:val="20"/>
        <w:lang w:val="en-US"/>
      </w:rPr>
      <w:drawing>
        <wp:anchor distT="0" distB="0" distL="114300" distR="114300" simplePos="0" relativeHeight="251659264" behindDoc="0" locked="0" layoutInCell="1" allowOverlap="1" wp14:anchorId="4A10AB27" wp14:editId="7C82E16A">
          <wp:simplePos x="0" y="0"/>
          <wp:positionH relativeFrom="margin">
            <wp:posOffset>0</wp:posOffset>
          </wp:positionH>
          <wp:positionV relativeFrom="margin">
            <wp:posOffset>8891905</wp:posOffset>
          </wp:positionV>
          <wp:extent cx="638175" cy="6381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5C215" w14:textId="77777777" w:rsidR="00144989" w:rsidRPr="000437B8" w:rsidRDefault="00144989" w:rsidP="00F10DAB">
      <w:pPr>
        <w:pStyle w:val="Footer"/>
        <w:bidi/>
        <w:spacing w:after="80" w:line="200" w:lineRule="exact"/>
        <w:ind w:left="680"/>
      </w:pPr>
      <w:r>
        <w:rPr>
          <w:rtl/>
        </w:rPr>
        <w:t>__________</w:t>
      </w:r>
    </w:p>
  </w:footnote>
  <w:footnote w:type="continuationSeparator" w:id="0">
    <w:p w14:paraId="2B0FA52F" w14:textId="77777777" w:rsidR="00144989" w:rsidRDefault="00144989" w:rsidP="00656392">
      <w:pPr>
        <w:spacing w:line="240" w:lineRule="auto"/>
      </w:pPr>
      <w:r>
        <w:continuationSeparator/>
      </w:r>
    </w:p>
  </w:footnote>
  <w:footnote w:id="1">
    <w:p w14:paraId="3066AA17" w14:textId="2980F64A" w:rsidR="00144989" w:rsidRPr="00E74FBF" w:rsidRDefault="00144989" w:rsidP="00EB6BD6">
      <w:pPr>
        <w:pStyle w:val="FootnoteText1"/>
        <w:rPr>
          <w:rFonts w:eastAsiaTheme="minorEastAsia"/>
          <w:rtl/>
        </w:rPr>
      </w:pPr>
      <w:r w:rsidRPr="00E74FBF">
        <w:rPr>
          <w:rFonts w:eastAsiaTheme="minorEastAsia"/>
          <w:rtl/>
        </w:rPr>
        <w:t>*</w:t>
      </w:r>
      <w:r w:rsidRPr="00E74FBF">
        <w:rPr>
          <w:rFonts w:eastAsiaTheme="minorEastAsia"/>
          <w:rtl/>
        </w:rPr>
        <w:tab/>
        <w:t xml:space="preserve">اعتمدته اللجنة في دورتها </w:t>
      </w:r>
      <w:r w:rsidRPr="00DE7260">
        <w:rPr>
          <w:rFonts w:eastAsiaTheme="minorEastAsia"/>
          <w:rtl/>
        </w:rPr>
        <w:t>130</w:t>
      </w:r>
      <w:r w:rsidRPr="00E74FBF">
        <w:rPr>
          <w:rFonts w:eastAsiaTheme="minorEastAsia"/>
          <w:rtl/>
        </w:rPr>
        <w:t xml:space="preserve"> (</w:t>
      </w:r>
      <w:r w:rsidRPr="00DE7260">
        <w:rPr>
          <w:rFonts w:eastAsiaTheme="minorEastAsia"/>
          <w:rtl/>
        </w:rPr>
        <w:t>12</w:t>
      </w:r>
      <w:r w:rsidRPr="00E74FBF">
        <w:rPr>
          <w:rFonts w:eastAsiaTheme="minorEastAsia"/>
          <w:rtl/>
        </w:rPr>
        <w:t xml:space="preserve"> تشرين الأول/أكتوبر -</w:t>
      </w:r>
      <w:r>
        <w:rPr>
          <w:rFonts w:eastAsiaTheme="minorEastAsia" w:hint="cs"/>
          <w:rtl/>
        </w:rPr>
        <w:t xml:space="preserve"> </w:t>
      </w:r>
      <w:r w:rsidRPr="00DE7260">
        <w:rPr>
          <w:rFonts w:eastAsiaTheme="minorEastAsia"/>
          <w:rtl/>
        </w:rPr>
        <w:t>6</w:t>
      </w:r>
      <w:r w:rsidRPr="00E74FBF">
        <w:rPr>
          <w:rFonts w:eastAsiaTheme="minorEastAsia"/>
          <w:rtl/>
        </w:rPr>
        <w:t xml:space="preserve"> تشرين الثاني/نوفمبر </w:t>
      </w:r>
      <w:r w:rsidRPr="00DE7260">
        <w:rPr>
          <w:rFonts w:eastAsiaTheme="minorEastAsia"/>
          <w:rtl/>
        </w:rPr>
        <w:t>2020</w:t>
      </w:r>
      <w:r w:rsidRPr="00E74FBF">
        <w:rPr>
          <w:rFonts w:eastAsiaTheme="minorEastAsia"/>
          <w:rtl/>
        </w:rPr>
        <w:t>).</w:t>
      </w:r>
    </w:p>
  </w:footnote>
  <w:footnote w:id="2">
    <w:p w14:paraId="2A25D255" w14:textId="1E7FE9C1" w:rsidR="00144989" w:rsidRPr="00E74FBF" w:rsidRDefault="00144989" w:rsidP="00EB6BD6">
      <w:pPr>
        <w:pStyle w:val="FootnoteText1"/>
        <w:textDirection w:val="tbRlV"/>
        <w:rPr>
          <w:rFonts w:eastAsiaTheme="minorEastAsia"/>
          <w:rtl/>
        </w:rPr>
      </w:pPr>
      <w:r w:rsidRPr="00E74FBF">
        <w:rPr>
          <w:rFonts w:eastAsiaTheme="minorEastAsia"/>
          <w:rtl/>
        </w:rPr>
        <w:t>**</w:t>
      </w:r>
      <w:r w:rsidRPr="00E74FBF">
        <w:rPr>
          <w:rFonts w:eastAsiaTheme="minorEastAsia"/>
          <w:rtl/>
        </w:rPr>
        <w:tab/>
        <w:t>شارك أعضاء اللجنة التالية أسماؤهم في دراسة هذا البلاغ</w:t>
      </w:r>
      <w:r w:rsidRPr="00E74FBF">
        <w:rPr>
          <w:rFonts w:eastAsiaTheme="minorEastAsia"/>
        </w:rPr>
        <w:t>:</w:t>
      </w:r>
      <w:r w:rsidRPr="00E74FBF">
        <w:rPr>
          <w:rFonts w:eastAsiaTheme="minorEastAsia"/>
          <w:rtl/>
        </w:rPr>
        <w:t xml:space="preserve"> عياض بن عاشور، وعارف بلقان، وأحمد أمين فتح الله، وكريستوف </w:t>
      </w:r>
      <w:proofErr w:type="spellStart"/>
      <w:r w:rsidRPr="00E74FBF">
        <w:rPr>
          <w:rFonts w:eastAsiaTheme="minorEastAsia"/>
          <w:rtl/>
        </w:rPr>
        <w:t>هاينز</w:t>
      </w:r>
      <w:proofErr w:type="spellEnd"/>
      <w:r w:rsidRPr="00E74FBF">
        <w:rPr>
          <w:rFonts w:eastAsiaTheme="minorEastAsia"/>
          <w:rtl/>
        </w:rPr>
        <w:t xml:space="preserve">، وديفيد ه. مور، </w:t>
      </w:r>
      <w:proofErr w:type="spellStart"/>
      <w:r w:rsidRPr="00E74FBF">
        <w:rPr>
          <w:rFonts w:eastAsiaTheme="minorEastAsia"/>
          <w:rtl/>
        </w:rPr>
        <w:t>ودانكان</w:t>
      </w:r>
      <w:proofErr w:type="spellEnd"/>
      <w:r w:rsidRPr="00E74FBF">
        <w:rPr>
          <w:rFonts w:eastAsiaTheme="minorEastAsia"/>
          <w:rtl/>
        </w:rPr>
        <w:t xml:space="preserve"> </w:t>
      </w:r>
      <w:proofErr w:type="spellStart"/>
      <w:r w:rsidRPr="00E74FBF">
        <w:rPr>
          <w:rFonts w:eastAsiaTheme="minorEastAsia"/>
          <w:rtl/>
        </w:rPr>
        <w:t>لاكي</w:t>
      </w:r>
      <w:proofErr w:type="spellEnd"/>
      <w:r w:rsidRPr="00E74FBF">
        <w:rPr>
          <w:rFonts w:eastAsiaTheme="minorEastAsia"/>
          <w:rtl/>
        </w:rPr>
        <w:t xml:space="preserve"> </w:t>
      </w:r>
      <w:proofErr w:type="spellStart"/>
      <w:r w:rsidRPr="00E74FBF">
        <w:rPr>
          <w:rFonts w:eastAsiaTheme="minorEastAsia"/>
          <w:rtl/>
        </w:rPr>
        <w:t>موهوموزا</w:t>
      </w:r>
      <w:proofErr w:type="spellEnd"/>
      <w:r w:rsidRPr="00E74FBF">
        <w:rPr>
          <w:rFonts w:eastAsiaTheme="minorEastAsia"/>
          <w:rtl/>
        </w:rPr>
        <w:t xml:space="preserve">، وفوتيني </w:t>
      </w:r>
      <w:proofErr w:type="spellStart"/>
      <w:r w:rsidRPr="00E74FBF">
        <w:rPr>
          <w:rFonts w:eastAsiaTheme="minorEastAsia"/>
          <w:rtl/>
        </w:rPr>
        <w:t>براغتزيس</w:t>
      </w:r>
      <w:proofErr w:type="spellEnd"/>
      <w:r w:rsidRPr="00E74FBF">
        <w:rPr>
          <w:rFonts w:eastAsiaTheme="minorEastAsia"/>
          <w:rtl/>
        </w:rPr>
        <w:t xml:space="preserve">، </w:t>
      </w:r>
      <w:proofErr w:type="spellStart"/>
      <w:r w:rsidRPr="00E74FBF">
        <w:rPr>
          <w:rFonts w:eastAsiaTheme="minorEastAsia"/>
          <w:rtl/>
        </w:rPr>
        <w:t>وهيرنان</w:t>
      </w:r>
      <w:proofErr w:type="spellEnd"/>
      <w:r w:rsidRPr="00E74FBF">
        <w:rPr>
          <w:rFonts w:eastAsiaTheme="minorEastAsia"/>
          <w:rtl/>
        </w:rPr>
        <w:t xml:space="preserve"> </w:t>
      </w:r>
      <w:proofErr w:type="spellStart"/>
      <w:r w:rsidRPr="00E74FBF">
        <w:rPr>
          <w:rFonts w:eastAsiaTheme="minorEastAsia"/>
          <w:rtl/>
        </w:rPr>
        <w:t>كيسادا</w:t>
      </w:r>
      <w:proofErr w:type="spellEnd"/>
      <w:r w:rsidRPr="00E74FBF">
        <w:rPr>
          <w:rFonts w:eastAsiaTheme="minorEastAsia"/>
          <w:rtl/>
        </w:rPr>
        <w:t xml:space="preserve"> </w:t>
      </w:r>
      <w:proofErr w:type="spellStart"/>
      <w:r w:rsidRPr="00E74FBF">
        <w:rPr>
          <w:rFonts w:eastAsiaTheme="minorEastAsia"/>
          <w:rtl/>
        </w:rPr>
        <w:t>كابريرا</w:t>
      </w:r>
      <w:proofErr w:type="spellEnd"/>
      <w:r w:rsidRPr="00E74FBF">
        <w:rPr>
          <w:rFonts w:eastAsiaTheme="minorEastAsia"/>
          <w:rtl/>
        </w:rPr>
        <w:t xml:space="preserve">، </w:t>
      </w:r>
      <w:proofErr w:type="spellStart"/>
      <w:r w:rsidRPr="00E74FBF">
        <w:rPr>
          <w:rFonts w:eastAsiaTheme="minorEastAsia"/>
          <w:rtl/>
        </w:rPr>
        <w:t>وفاسيلكا</w:t>
      </w:r>
      <w:proofErr w:type="spellEnd"/>
      <w:r w:rsidRPr="00E74FBF">
        <w:rPr>
          <w:rFonts w:eastAsiaTheme="minorEastAsia"/>
          <w:rtl/>
        </w:rPr>
        <w:t xml:space="preserve"> </w:t>
      </w:r>
      <w:proofErr w:type="spellStart"/>
      <w:r w:rsidRPr="00E74FBF">
        <w:rPr>
          <w:rFonts w:eastAsiaTheme="minorEastAsia"/>
          <w:rtl/>
        </w:rPr>
        <w:t>سانسين</w:t>
      </w:r>
      <w:proofErr w:type="spellEnd"/>
      <w:r w:rsidRPr="00E74FBF">
        <w:rPr>
          <w:rFonts w:eastAsiaTheme="minorEastAsia"/>
          <w:rtl/>
        </w:rPr>
        <w:t xml:space="preserve">، وخوسيه مانويل سانتوس بيس، ويوفال </w:t>
      </w:r>
      <w:proofErr w:type="spellStart"/>
      <w:r w:rsidRPr="00E74FBF">
        <w:rPr>
          <w:rFonts w:eastAsiaTheme="minorEastAsia"/>
          <w:rtl/>
        </w:rPr>
        <w:t>شاني</w:t>
      </w:r>
      <w:proofErr w:type="spellEnd"/>
      <w:r w:rsidRPr="00E74FBF">
        <w:rPr>
          <w:rFonts w:eastAsiaTheme="minorEastAsia"/>
          <w:rtl/>
        </w:rPr>
        <w:t xml:space="preserve">، وإيلين </w:t>
      </w:r>
      <w:proofErr w:type="spellStart"/>
      <w:r w:rsidRPr="00E74FBF">
        <w:rPr>
          <w:rFonts w:eastAsiaTheme="minorEastAsia"/>
          <w:rtl/>
        </w:rPr>
        <w:t>تيغرودجا</w:t>
      </w:r>
      <w:proofErr w:type="spellEnd"/>
      <w:r w:rsidRPr="00E74FBF">
        <w:rPr>
          <w:rFonts w:eastAsiaTheme="minorEastAsia"/>
          <w:rtl/>
        </w:rPr>
        <w:t xml:space="preserve">، وأندرياس </w:t>
      </w:r>
      <w:proofErr w:type="spellStart"/>
      <w:r w:rsidRPr="00E74FBF">
        <w:rPr>
          <w:rFonts w:eastAsiaTheme="minorEastAsia"/>
          <w:rtl/>
        </w:rPr>
        <w:t>زيمرمان</w:t>
      </w:r>
      <w:proofErr w:type="spellEnd"/>
      <w:r w:rsidRPr="00E74FBF">
        <w:rPr>
          <w:rFonts w:eastAsiaTheme="minorEastAsia"/>
          <w:rtl/>
        </w:rPr>
        <w:t xml:space="preserve">، </w:t>
      </w:r>
      <w:proofErr w:type="spellStart"/>
      <w:r w:rsidRPr="00E74FBF">
        <w:rPr>
          <w:rFonts w:eastAsiaTheme="minorEastAsia"/>
          <w:rtl/>
        </w:rPr>
        <w:t>وجينتيان</w:t>
      </w:r>
      <w:proofErr w:type="spellEnd"/>
      <w:r w:rsidRPr="00E74FBF">
        <w:rPr>
          <w:rFonts w:eastAsiaTheme="minorEastAsia"/>
          <w:rtl/>
        </w:rPr>
        <w:t xml:space="preserve"> زبيري.</w:t>
      </w:r>
    </w:p>
  </w:footnote>
  <w:footnote w:id="3">
    <w:p w14:paraId="6F7D752F" w14:textId="4577CCA8" w:rsidR="00144989" w:rsidRPr="00E74FBF" w:rsidRDefault="00144989" w:rsidP="00EB6BD6">
      <w:pPr>
        <w:pStyle w:val="FootnoteText1"/>
        <w:rPr>
          <w:rFonts w:eastAsiaTheme="minorEastAsia"/>
        </w:rPr>
      </w:pPr>
      <w:r w:rsidRPr="00E74FBF">
        <w:rPr>
          <w:rStyle w:val="FootnoteReference"/>
          <w:rFonts w:eastAsiaTheme="minorEastAsia"/>
          <w:vertAlign w:val="baseline"/>
          <w:rtl/>
          <w:lang w:bidi="ar"/>
        </w:rPr>
        <w:t>(</w:t>
      </w:r>
      <w:r w:rsidRPr="00DE7260">
        <w:rPr>
          <w:rStyle w:val="FootnoteReference"/>
          <w:rFonts w:eastAsiaTheme="minorEastAsia"/>
          <w:vertAlign w:val="baseline"/>
          <w:lang w:bidi="ar"/>
        </w:rPr>
        <w:footnoteRef/>
      </w:r>
      <w:r w:rsidRPr="00E74FBF">
        <w:rPr>
          <w:rStyle w:val="FootnoteReference"/>
          <w:rFonts w:eastAsiaTheme="minorEastAsia"/>
          <w:vertAlign w:val="baseline"/>
          <w:rtl/>
          <w:lang w:bidi="ar"/>
        </w:rPr>
        <w:t>)</w:t>
      </w:r>
      <w:r w:rsidRPr="00E74FBF">
        <w:rPr>
          <w:rFonts w:eastAsiaTheme="minorEastAsia"/>
          <w:rtl/>
          <w:lang w:bidi="ar"/>
        </w:rPr>
        <w:tab/>
      </w:r>
      <w:r w:rsidRPr="00E74FBF">
        <w:rPr>
          <w:rFonts w:eastAsiaTheme="minorEastAsia"/>
          <w:rtl/>
        </w:rPr>
        <w:t>حوالي</w:t>
      </w:r>
      <w:r w:rsidRPr="00E74FBF">
        <w:rPr>
          <w:rFonts w:eastAsiaTheme="minorEastAsia"/>
          <w:rtl/>
          <w:lang w:bidi="ar"/>
        </w:rPr>
        <w:t xml:space="preserve"> </w:t>
      </w:r>
      <w:r w:rsidRPr="00DE7260">
        <w:rPr>
          <w:rFonts w:eastAsiaTheme="minorEastAsia"/>
          <w:rtl/>
          <w:lang w:bidi="ar"/>
        </w:rPr>
        <w:t>229</w:t>
      </w:r>
      <w:r w:rsidRPr="00E74FBF">
        <w:rPr>
          <w:rFonts w:eastAsiaTheme="minorEastAsia"/>
          <w:rtl/>
          <w:lang w:bidi="ar"/>
        </w:rPr>
        <w:t xml:space="preserve"> دولار</w:t>
      </w:r>
      <w:r>
        <w:rPr>
          <w:rFonts w:eastAsiaTheme="minorEastAsia"/>
          <w:rtl/>
          <w:lang w:bidi="ar"/>
        </w:rPr>
        <w:t xml:space="preserve">اً </w:t>
      </w:r>
      <w:r w:rsidRPr="00E74FBF">
        <w:rPr>
          <w:rFonts w:eastAsiaTheme="minorEastAsia"/>
          <w:rtl/>
          <w:lang w:bidi="ar"/>
        </w:rPr>
        <w:t>وفق</w:t>
      </w:r>
      <w:r>
        <w:rPr>
          <w:rFonts w:eastAsiaTheme="minorEastAsia"/>
          <w:rtl/>
          <w:lang w:bidi="ar"/>
        </w:rPr>
        <w:t xml:space="preserve">اً </w:t>
      </w:r>
      <w:r w:rsidRPr="00E74FBF">
        <w:rPr>
          <w:rFonts w:eastAsiaTheme="minorEastAsia"/>
          <w:rtl/>
          <w:lang w:bidi="ar"/>
        </w:rPr>
        <w:t xml:space="preserve">لسعر الصرف في </w:t>
      </w:r>
      <w:r w:rsidRPr="00DE7260">
        <w:rPr>
          <w:rFonts w:eastAsiaTheme="minorEastAsia"/>
          <w:rtl/>
          <w:lang w:bidi="ar"/>
        </w:rPr>
        <w:t>24</w:t>
      </w:r>
      <w:r w:rsidRPr="00E74FBF">
        <w:rPr>
          <w:rFonts w:eastAsiaTheme="minorEastAsia"/>
          <w:rtl/>
          <w:lang w:bidi="ar"/>
        </w:rPr>
        <w:t xml:space="preserve"> نيسان/أبريل </w:t>
      </w:r>
      <w:r w:rsidRPr="00DE7260">
        <w:rPr>
          <w:rFonts w:eastAsiaTheme="minorEastAsia"/>
          <w:rtl/>
          <w:lang w:bidi="ar"/>
        </w:rPr>
        <w:t>2013</w:t>
      </w:r>
      <w:r w:rsidRPr="00E74FBF">
        <w:rPr>
          <w:rFonts w:eastAsiaTheme="minorEastAsia"/>
          <w:rtl/>
          <w:lang w:bidi="ar"/>
        </w:rPr>
        <w:t>.</w:t>
      </w:r>
    </w:p>
  </w:footnote>
  <w:footnote w:id="4">
    <w:p w14:paraId="71921D10" w14:textId="7FEC80BD" w:rsidR="00144989" w:rsidRPr="00E74FBF" w:rsidRDefault="00144989" w:rsidP="00EB6BD6">
      <w:pPr>
        <w:pStyle w:val="FootnoteText1"/>
        <w:rPr>
          <w:rFonts w:eastAsiaTheme="minorEastAsia"/>
        </w:rPr>
      </w:pPr>
      <w:r w:rsidRPr="00E74FBF">
        <w:rPr>
          <w:rStyle w:val="FootnoteReference"/>
          <w:rFonts w:eastAsiaTheme="minorEastAsia"/>
          <w:vertAlign w:val="baseline"/>
          <w:rtl/>
          <w:lang w:bidi="ar"/>
        </w:rPr>
        <w:t>(</w:t>
      </w:r>
      <w:r w:rsidRPr="00DE7260">
        <w:rPr>
          <w:rStyle w:val="FootnoteReference"/>
          <w:rFonts w:eastAsiaTheme="minorEastAsia"/>
          <w:vertAlign w:val="baseline"/>
          <w:lang w:bidi="ar"/>
        </w:rPr>
        <w:footnoteRef/>
      </w:r>
      <w:r w:rsidRPr="00E74FBF">
        <w:rPr>
          <w:rStyle w:val="FootnoteReference"/>
          <w:rFonts w:eastAsiaTheme="minorEastAsia"/>
          <w:vertAlign w:val="baseline"/>
          <w:rtl/>
          <w:lang w:bidi="ar"/>
        </w:rPr>
        <w:t>)</w:t>
      </w:r>
      <w:r w:rsidRPr="00E74FBF">
        <w:rPr>
          <w:rFonts w:eastAsiaTheme="minorEastAsia"/>
          <w:rtl/>
          <w:lang w:bidi="ar"/>
        </w:rPr>
        <w:tab/>
      </w:r>
      <w:r w:rsidRPr="00E74FBF">
        <w:rPr>
          <w:rFonts w:eastAsiaTheme="minorEastAsia"/>
          <w:rtl/>
        </w:rPr>
        <w:t>استناد</w:t>
      </w:r>
      <w:r>
        <w:rPr>
          <w:rFonts w:eastAsiaTheme="minorEastAsia"/>
          <w:rtl/>
        </w:rPr>
        <w:t xml:space="preserve">اً </w:t>
      </w:r>
      <w:r w:rsidRPr="00E74FBF">
        <w:rPr>
          <w:rFonts w:eastAsiaTheme="minorEastAsia"/>
          <w:rtl/>
          <w:lang w:bidi="ar"/>
        </w:rPr>
        <w:t xml:space="preserve">إلى المحضر رقم </w:t>
      </w:r>
      <w:r w:rsidRPr="00DE7260">
        <w:rPr>
          <w:rFonts w:eastAsiaTheme="minorEastAsia"/>
          <w:rtl/>
          <w:lang w:bidi="ar"/>
        </w:rPr>
        <w:t>20</w:t>
      </w:r>
      <w:r w:rsidRPr="00E74FBF">
        <w:rPr>
          <w:rFonts w:eastAsiaTheme="minorEastAsia"/>
          <w:rtl/>
          <w:lang w:bidi="ar"/>
        </w:rPr>
        <w:t xml:space="preserve"> الصادر عن إدارة السياسات الداخلية، بلدية </w:t>
      </w:r>
      <w:proofErr w:type="spellStart"/>
      <w:r w:rsidRPr="00E74FBF">
        <w:rPr>
          <w:rFonts w:eastAsiaTheme="minorEastAsia"/>
          <w:rtl/>
          <w:lang w:bidi="ar"/>
        </w:rPr>
        <w:t>ألماتي</w:t>
      </w:r>
      <w:proofErr w:type="spellEnd"/>
      <w:r w:rsidRPr="00E74FBF">
        <w:rPr>
          <w:rFonts w:eastAsiaTheme="minorEastAsia"/>
          <w:rtl/>
          <w:lang w:bidi="ar"/>
        </w:rPr>
        <w:t xml:space="preserve">، والمؤرخ </w:t>
      </w:r>
      <w:r w:rsidRPr="00DE7260">
        <w:rPr>
          <w:rFonts w:eastAsiaTheme="minorEastAsia"/>
          <w:rtl/>
          <w:lang w:bidi="ar"/>
        </w:rPr>
        <w:t>6</w:t>
      </w:r>
      <w:r w:rsidRPr="00E74FBF">
        <w:rPr>
          <w:rFonts w:eastAsiaTheme="minorEastAsia"/>
          <w:rtl/>
          <w:lang w:bidi="ar"/>
        </w:rPr>
        <w:t xml:space="preserve"> آب/أغسطس </w:t>
      </w:r>
      <w:r w:rsidRPr="00DE7260">
        <w:rPr>
          <w:rFonts w:eastAsiaTheme="minorEastAsia"/>
          <w:rtl/>
          <w:lang w:bidi="ar"/>
        </w:rPr>
        <w:t>2013</w:t>
      </w:r>
      <w:r w:rsidRPr="00E74FBF">
        <w:rPr>
          <w:rFonts w:eastAsiaTheme="minorEastAsia"/>
          <w:rtl/>
          <w:lang w:bidi="ar"/>
        </w:rPr>
        <w:t xml:space="preserve">، بلغ عدد النسخ الموزعة من الأعداد </w:t>
      </w:r>
      <w:r w:rsidRPr="00DE7260">
        <w:rPr>
          <w:rFonts w:eastAsiaTheme="minorEastAsia"/>
          <w:rtl/>
          <w:lang w:bidi="ar"/>
        </w:rPr>
        <w:t>6</w:t>
      </w:r>
      <w:r w:rsidRPr="00E74FBF">
        <w:rPr>
          <w:rFonts w:eastAsiaTheme="minorEastAsia"/>
          <w:rtl/>
          <w:lang w:bidi="ar"/>
        </w:rPr>
        <w:t>-</w:t>
      </w:r>
      <w:r w:rsidRPr="00DE7260">
        <w:rPr>
          <w:rFonts w:eastAsiaTheme="minorEastAsia"/>
          <w:rtl/>
          <w:lang w:bidi="ar"/>
        </w:rPr>
        <w:t>12</w:t>
      </w:r>
      <w:r w:rsidRPr="00E74FBF">
        <w:rPr>
          <w:rFonts w:eastAsiaTheme="minorEastAsia"/>
          <w:rtl/>
          <w:lang w:bidi="ar"/>
        </w:rPr>
        <w:t xml:space="preserve"> من الصحيفة ما بين </w:t>
      </w:r>
      <w:r w:rsidRPr="00DE7260">
        <w:rPr>
          <w:rFonts w:eastAsiaTheme="minorEastAsia"/>
          <w:rtl/>
          <w:lang w:bidi="ar"/>
        </w:rPr>
        <w:t>000</w:t>
      </w:r>
      <w:r w:rsidRPr="00E74FBF">
        <w:rPr>
          <w:rFonts w:eastAsiaTheme="minorEastAsia"/>
          <w:rtl/>
          <w:lang w:bidi="ar"/>
        </w:rPr>
        <w:t xml:space="preserve"> </w:t>
      </w:r>
      <w:r w:rsidRPr="00DE7260">
        <w:rPr>
          <w:rFonts w:eastAsiaTheme="minorEastAsia"/>
          <w:rtl/>
          <w:lang w:bidi="ar"/>
        </w:rPr>
        <w:t>6</w:t>
      </w:r>
      <w:r>
        <w:rPr>
          <w:rFonts w:eastAsiaTheme="minorEastAsia" w:hint="cs"/>
          <w:rtl/>
          <w:lang w:bidi="ar"/>
        </w:rPr>
        <w:t xml:space="preserve"> </w:t>
      </w:r>
      <w:r w:rsidRPr="00E74FBF">
        <w:rPr>
          <w:rFonts w:eastAsiaTheme="minorEastAsia"/>
          <w:rtl/>
          <w:lang w:bidi="ar"/>
        </w:rPr>
        <w:t>و</w:t>
      </w:r>
      <w:r w:rsidRPr="00DE7260">
        <w:rPr>
          <w:rFonts w:eastAsiaTheme="minorEastAsia"/>
          <w:rtl/>
          <w:lang w:bidi="ar"/>
        </w:rPr>
        <w:t>000</w:t>
      </w:r>
      <w:r>
        <w:rPr>
          <w:rFonts w:eastAsiaTheme="minorEastAsia" w:hint="cs"/>
          <w:rtl/>
          <w:lang w:bidi="ar"/>
        </w:rPr>
        <w:t xml:space="preserve"> </w:t>
      </w:r>
      <w:r w:rsidRPr="00DE7260">
        <w:rPr>
          <w:rFonts w:eastAsiaTheme="minorEastAsia"/>
          <w:rtl/>
          <w:lang w:bidi="ar"/>
        </w:rPr>
        <w:t>7</w:t>
      </w:r>
      <w:r w:rsidRPr="00E74FBF">
        <w:rPr>
          <w:rFonts w:eastAsiaTheme="minorEastAsia"/>
          <w:rtl/>
          <w:lang w:bidi="ar"/>
        </w:rPr>
        <w:t xml:space="preserve"> نسخة وليس </w:t>
      </w:r>
      <w:r w:rsidRPr="00DE7260">
        <w:rPr>
          <w:rFonts w:eastAsiaTheme="minorEastAsia"/>
          <w:rtl/>
          <w:lang w:bidi="ar"/>
        </w:rPr>
        <w:t>000</w:t>
      </w:r>
      <w:r w:rsidRPr="00E74FBF">
        <w:rPr>
          <w:rFonts w:eastAsiaTheme="minorEastAsia"/>
          <w:rtl/>
          <w:lang w:bidi="ar"/>
        </w:rPr>
        <w:t xml:space="preserve"> </w:t>
      </w:r>
      <w:r w:rsidRPr="00DE7260">
        <w:rPr>
          <w:rFonts w:eastAsiaTheme="minorEastAsia"/>
          <w:rtl/>
          <w:lang w:bidi="ar"/>
        </w:rPr>
        <w:t>8</w:t>
      </w:r>
      <w:r>
        <w:rPr>
          <w:rFonts w:eastAsiaTheme="minorEastAsia" w:hint="cs"/>
          <w:rtl/>
          <w:lang w:bidi="ar"/>
        </w:rPr>
        <w:t xml:space="preserve"> </w:t>
      </w:r>
      <w:r w:rsidRPr="00E74FBF">
        <w:rPr>
          <w:rFonts w:eastAsiaTheme="minorEastAsia"/>
          <w:rtl/>
          <w:lang w:bidi="ar"/>
        </w:rPr>
        <w:t>نسخة كما ذُكر في الترويسة.</w:t>
      </w:r>
    </w:p>
  </w:footnote>
  <w:footnote w:id="5">
    <w:p w14:paraId="7ADFD9DD" w14:textId="66CEF5C6" w:rsidR="00144989" w:rsidRPr="00E74FBF" w:rsidRDefault="00144989" w:rsidP="00EB6BD6">
      <w:pPr>
        <w:pStyle w:val="FootnoteText1"/>
        <w:rPr>
          <w:rFonts w:eastAsiaTheme="minorEastAsia"/>
        </w:rPr>
      </w:pPr>
      <w:r w:rsidRPr="00E74FBF">
        <w:rPr>
          <w:rStyle w:val="FootnoteReference"/>
          <w:rFonts w:eastAsiaTheme="minorEastAsia"/>
          <w:vertAlign w:val="baseline"/>
          <w:rtl/>
          <w:lang w:bidi="ar"/>
        </w:rPr>
        <w:t>(</w:t>
      </w:r>
      <w:r w:rsidRPr="00DE7260">
        <w:rPr>
          <w:rStyle w:val="FootnoteReference"/>
          <w:rFonts w:eastAsiaTheme="minorEastAsia"/>
          <w:vertAlign w:val="baseline"/>
          <w:lang w:bidi="ar"/>
        </w:rPr>
        <w:footnoteRef/>
      </w:r>
      <w:r w:rsidRPr="00E74FBF">
        <w:rPr>
          <w:rStyle w:val="FootnoteReference"/>
          <w:rFonts w:eastAsiaTheme="minorEastAsia"/>
          <w:vertAlign w:val="baseline"/>
          <w:rtl/>
          <w:lang w:bidi="ar"/>
        </w:rPr>
        <w:t>)</w:t>
      </w:r>
      <w:r w:rsidRPr="00E74FBF">
        <w:rPr>
          <w:rFonts w:eastAsiaTheme="minorEastAsia"/>
          <w:rtl/>
          <w:lang w:bidi="ar"/>
        </w:rPr>
        <w:tab/>
      </w:r>
      <w:r w:rsidRPr="00E74FBF">
        <w:rPr>
          <w:rFonts w:eastAsiaTheme="minorEastAsia"/>
          <w:rtl/>
        </w:rPr>
        <w:t>ذُكر</w:t>
      </w:r>
      <w:r w:rsidRPr="00E74FBF">
        <w:rPr>
          <w:rFonts w:eastAsiaTheme="minorEastAsia"/>
          <w:rtl/>
          <w:lang w:bidi="ar"/>
        </w:rPr>
        <w:t xml:space="preserve"> الاسم الكامل للشخص في التقرير.</w:t>
      </w:r>
    </w:p>
  </w:footnote>
  <w:footnote w:id="6">
    <w:p w14:paraId="5F3B4951" w14:textId="1C17FE16" w:rsidR="00144989" w:rsidRPr="00E74FBF" w:rsidRDefault="00144989" w:rsidP="00EB6BD6">
      <w:pPr>
        <w:pStyle w:val="FootnoteText1"/>
        <w:rPr>
          <w:rFonts w:eastAsiaTheme="minorEastAsia"/>
        </w:rPr>
      </w:pPr>
      <w:r w:rsidRPr="00E74FBF">
        <w:rPr>
          <w:rStyle w:val="FootnoteReference"/>
          <w:rFonts w:eastAsiaTheme="minorEastAsia"/>
          <w:vertAlign w:val="baseline"/>
          <w:rtl/>
          <w:lang w:bidi="ar"/>
        </w:rPr>
        <w:t>(</w:t>
      </w:r>
      <w:r w:rsidRPr="00DE7260">
        <w:rPr>
          <w:rStyle w:val="FootnoteReference"/>
          <w:rFonts w:eastAsiaTheme="minorEastAsia"/>
          <w:vertAlign w:val="baseline"/>
          <w:lang w:bidi="ar"/>
        </w:rPr>
        <w:footnoteRef/>
      </w:r>
      <w:r w:rsidRPr="00E74FBF">
        <w:rPr>
          <w:rStyle w:val="FootnoteReference"/>
          <w:rFonts w:eastAsiaTheme="minorEastAsia"/>
          <w:vertAlign w:val="baseline"/>
          <w:rtl/>
          <w:lang w:bidi="ar"/>
        </w:rPr>
        <w:t>)</w:t>
      </w:r>
      <w:r w:rsidRPr="00E74FBF">
        <w:rPr>
          <w:rFonts w:eastAsiaTheme="minorEastAsia"/>
          <w:rtl/>
          <w:lang w:bidi="ar"/>
        </w:rPr>
        <w:tab/>
        <w:t xml:space="preserve">حوالي </w:t>
      </w:r>
      <w:r w:rsidRPr="00DE7260">
        <w:rPr>
          <w:rFonts w:eastAsiaTheme="minorEastAsia"/>
          <w:rtl/>
          <w:lang w:bidi="ar"/>
        </w:rPr>
        <w:t>562</w:t>
      </w:r>
      <w:r w:rsidRPr="00E74FBF">
        <w:rPr>
          <w:rFonts w:eastAsiaTheme="minorEastAsia"/>
          <w:rtl/>
          <w:lang w:bidi="ar"/>
        </w:rPr>
        <w:t xml:space="preserve"> دولار</w:t>
      </w:r>
      <w:r>
        <w:rPr>
          <w:rFonts w:eastAsiaTheme="minorEastAsia"/>
          <w:rtl/>
          <w:lang w:bidi="ar"/>
        </w:rPr>
        <w:t xml:space="preserve">اً </w:t>
      </w:r>
      <w:r w:rsidRPr="00E74FBF">
        <w:rPr>
          <w:rFonts w:eastAsiaTheme="minorEastAsia"/>
          <w:rtl/>
          <w:lang w:bidi="ar"/>
        </w:rPr>
        <w:t>وفق</w:t>
      </w:r>
      <w:r>
        <w:rPr>
          <w:rFonts w:eastAsiaTheme="minorEastAsia"/>
          <w:rtl/>
          <w:lang w:bidi="ar"/>
        </w:rPr>
        <w:t xml:space="preserve">اً </w:t>
      </w:r>
      <w:r w:rsidRPr="00E74FBF">
        <w:rPr>
          <w:rFonts w:eastAsiaTheme="minorEastAsia"/>
          <w:rtl/>
          <w:lang w:bidi="ar"/>
        </w:rPr>
        <w:t xml:space="preserve">لسعر الصرف في </w:t>
      </w:r>
      <w:r w:rsidRPr="00DE7260">
        <w:rPr>
          <w:rFonts w:eastAsiaTheme="minorEastAsia"/>
          <w:rtl/>
          <w:lang w:bidi="ar"/>
        </w:rPr>
        <w:t>5</w:t>
      </w:r>
      <w:r w:rsidRPr="00E74FBF">
        <w:rPr>
          <w:rFonts w:eastAsiaTheme="minorEastAsia"/>
          <w:rtl/>
          <w:lang w:bidi="ar"/>
        </w:rPr>
        <w:t xml:space="preserve"> كانون الأول/ديسمبر </w:t>
      </w:r>
      <w:r w:rsidRPr="00DE7260">
        <w:rPr>
          <w:rFonts w:eastAsiaTheme="minorEastAsia"/>
          <w:rtl/>
          <w:lang w:bidi="ar"/>
        </w:rPr>
        <w:t>2013</w:t>
      </w:r>
      <w:r w:rsidRPr="00E74FBF">
        <w:rPr>
          <w:rFonts w:eastAsiaTheme="minorEastAsia"/>
          <w:rtl/>
          <w:lang w:bidi="ar"/>
        </w:rPr>
        <w:t>.</w:t>
      </w:r>
    </w:p>
  </w:footnote>
  <w:footnote w:id="7">
    <w:p w14:paraId="1DD33FC6" w14:textId="04CBEE21" w:rsidR="00144989" w:rsidRPr="00E74FBF" w:rsidRDefault="00144989" w:rsidP="00EB6BD6">
      <w:pPr>
        <w:pStyle w:val="FootnoteText1"/>
        <w:rPr>
          <w:rFonts w:eastAsiaTheme="minorEastAsia"/>
        </w:rPr>
      </w:pPr>
      <w:r w:rsidRPr="00E74FBF">
        <w:rPr>
          <w:rStyle w:val="FootnoteReference"/>
          <w:rFonts w:eastAsiaTheme="minorEastAsia"/>
          <w:vertAlign w:val="baseline"/>
          <w:rtl/>
          <w:lang w:bidi="ar"/>
        </w:rPr>
        <w:t>(</w:t>
      </w:r>
      <w:r w:rsidRPr="00DE7260">
        <w:rPr>
          <w:rStyle w:val="FootnoteReference"/>
          <w:rFonts w:eastAsiaTheme="minorEastAsia"/>
          <w:vertAlign w:val="baseline"/>
          <w:lang w:bidi="ar"/>
        </w:rPr>
        <w:footnoteRef/>
      </w:r>
      <w:r w:rsidRPr="00E74FBF">
        <w:rPr>
          <w:rStyle w:val="FootnoteReference"/>
          <w:rFonts w:eastAsiaTheme="minorEastAsia"/>
          <w:vertAlign w:val="baseline"/>
          <w:rtl/>
          <w:lang w:bidi="ar"/>
        </w:rPr>
        <w:t>)</w:t>
      </w:r>
      <w:r w:rsidRPr="00E74FBF">
        <w:rPr>
          <w:rFonts w:eastAsiaTheme="minorEastAsia"/>
          <w:rtl/>
          <w:lang w:bidi="ar"/>
        </w:rPr>
        <w:tab/>
        <w:t xml:space="preserve">أشارت صاحبة البلاغ الأولى إلى رسائل من المطبعة أكدت فيها أن </w:t>
      </w:r>
      <w:proofErr w:type="spellStart"/>
      <w:r w:rsidRPr="00DE7260">
        <w:rPr>
          <w:rFonts w:eastAsiaTheme="minorEastAsia"/>
          <w:i/>
          <w:iCs/>
          <w:rtl/>
          <w:lang w:bidi="ar"/>
        </w:rPr>
        <w:t>برافديفايا</w:t>
      </w:r>
      <w:proofErr w:type="spellEnd"/>
      <w:r w:rsidRPr="00DE7260">
        <w:rPr>
          <w:rFonts w:eastAsiaTheme="minorEastAsia"/>
          <w:i/>
          <w:iCs/>
          <w:rtl/>
          <w:lang w:bidi="ar"/>
        </w:rPr>
        <w:t xml:space="preserve"> غازيتا</w:t>
      </w:r>
      <w:r w:rsidRPr="00E74FBF">
        <w:rPr>
          <w:rFonts w:eastAsiaTheme="minorEastAsia"/>
          <w:rtl/>
          <w:lang w:bidi="ar"/>
        </w:rPr>
        <w:t xml:space="preserve"> صدرت يوم الثلاثاء وأن لا تعديل طرأ على الحيز الزمني للطباعة، وقدمت اعتذارها إلى صاحبة البلاغ الأولى عن الأخطاء الواردة في ترويسة نسخ الصحيفة المطبوعة في</w:t>
      </w:r>
      <w:r>
        <w:rPr>
          <w:rFonts w:eastAsiaTheme="minorEastAsia" w:hint="cs"/>
          <w:rtl/>
          <w:lang w:bidi="ar"/>
        </w:rPr>
        <w:t> </w:t>
      </w:r>
      <w:r w:rsidRPr="00DE7260">
        <w:rPr>
          <w:rFonts w:eastAsiaTheme="minorEastAsia"/>
          <w:rtl/>
          <w:lang w:bidi="ar"/>
        </w:rPr>
        <w:t>20</w:t>
      </w:r>
      <w:r w:rsidRPr="00E74FBF">
        <w:rPr>
          <w:rFonts w:eastAsiaTheme="minorEastAsia"/>
          <w:rtl/>
          <w:lang w:bidi="ar"/>
        </w:rPr>
        <w:t xml:space="preserve"> تشرين الثاني/نوفمبر </w:t>
      </w:r>
      <w:r w:rsidRPr="00DE7260">
        <w:rPr>
          <w:rFonts w:eastAsiaTheme="minorEastAsia"/>
          <w:rtl/>
          <w:lang w:bidi="ar"/>
        </w:rPr>
        <w:t>2013</w:t>
      </w:r>
      <w:r w:rsidRPr="00E74FBF">
        <w:rPr>
          <w:rFonts w:eastAsiaTheme="minorEastAsia"/>
          <w:rtl/>
          <w:lang w:bidi="ar"/>
        </w:rPr>
        <w:t xml:space="preserve"> وأبلغتها بتصحيح العيب في </w:t>
      </w:r>
      <w:r w:rsidRPr="00DE7260">
        <w:rPr>
          <w:rFonts w:eastAsiaTheme="minorEastAsia"/>
          <w:rtl/>
          <w:lang w:bidi="ar"/>
        </w:rPr>
        <w:t>21</w:t>
      </w:r>
      <w:r w:rsidRPr="00E74FBF">
        <w:rPr>
          <w:rFonts w:eastAsiaTheme="minorEastAsia"/>
          <w:rtl/>
          <w:lang w:bidi="ar"/>
        </w:rPr>
        <w:t xml:space="preserve"> تشرين الثاني/نوفمبر </w:t>
      </w:r>
      <w:r w:rsidRPr="00DE7260">
        <w:rPr>
          <w:rFonts w:eastAsiaTheme="minorEastAsia"/>
          <w:rtl/>
          <w:lang w:bidi="ar"/>
        </w:rPr>
        <w:t>2013</w:t>
      </w:r>
      <w:r w:rsidRPr="00E74FBF">
        <w:rPr>
          <w:rFonts w:eastAsiaTheme="minorEastAsia"/>
          <w:rtl/>
          <w:lang w:bidi="ar"/>
        </w:rPr>
        <w:t>. وترد إحدى الرسائل ضمن مرفقات البلاغ.</w:t>
      </w:r>
    </w:p>
  </w:footnote>
  <w:footnote w:id="8">
    <w:p w14:paraId="1EC49531" w14:textId="681FBF7C" w:rsidR="00144989" w:rsidRPr="00D36EB0" w:rsidRDefault="00144989" w:rsidP="00EB6BD6">
      <w:pPr>
        <w:pStyle w:val="FootnoteText1"/>
        <w:rPr>
          <w:rFonts w:eastAsiaTheme="minorEastAsia"/>
        </w:rPr>
      </w:pPr>
      <w:r w:rsidRPr="00E74FBF">
        <w:rPr>
          <w:rStyle w:val="FootnoteReference"/>
          <w:rFonts w:eastAsiaTheme="minorEastAsia"/>
          <w:vertAlign w:val="baseline"/>
          <w:rtl/>
          <w:lang w:bidi="ar"/>
        </w:rPr>
        <w:t>(</w:t>
      </w:r>
      <w:r w:rsidRPr="00DE7260">
        <w:rPr>
          <w:rStyle w:val="FootnoteReference"/>
          <w:rFonts w:eastAsiaTheme="minorEastAsia"/>
          <w:vertAlign w:val="baseline"/>
          <w:lang w:bidi="ar"/>
        </w:rPr>
        <w:footnoteRef/>
      </w:r>
      <w:r w:rsidRPr="00E74FBF">
        <w:rPr>
          <w:rStyle w:val="FootnoteReference"/>
          <w:rFonts w:eastAsiaTheme="minorEastAsia"/>
          <w:vertAlign w:val="baseline"/>
          <w:rtl/>
          <w:lang w:bidi="ar"/>
        </w:rPr>
        <w:t>)</w:t>
      </w:r>
      <w:r w:rsidRPr="00E74FBF">
        <w:rPr>
          <w:rFonts w:eastAsiaTheme="minorEastAsia"/>
          <w:rtl/>
          <w:lang w:bidi="ar"/>
        </w:rPr>
        <w:tab/>
        <w:t>تشير صاحبتا البلاغ إلى اجتهاد للجنة مؤداه أن للناشر الحق في نقل المعلومات وأن الحد من هذا الحق يمكن اعتباره انتهاك</w:t>
      </w:r>
      <w:r>
        <w:rPr>
          <w:rFonts w:eastAsiaTheme="minorEastAsia"/>
          <w:rtl/>
          <w:lang w:bidi="ar"/>
        </w:rPr>
        <w:t xml:space="preserve">اً </w:t>
      </w:r>
      <w:r w:rsidRPr="00E74FBF">
        <w:rPr>
          <w:rFonts w:eastAsiaTheme="minorEastAsia"/>
          <w:rtl/>
          <w:lang w:bidi="ar"/>
        </w:rPr>
        <w:t xml:space="preserve">للمادة </w:t>
      </w:r>
      <w:r w:rsidRPr="00DE7260">
        <w:rPr>
          <w:rFonts w:eastAsiaTheme="minorEastAsia"/>
          <w:rtl/>
          <w:lang w:bidi="ar"/>
        </w:rPr>
        <w:t>19</w:t>
      </w:r>
      <w:r>
        <w:rPr>
          <w:rFonts w:eastAsiaTheme="minorEastAsia"/>
          <w:rtl/>
          <w:lang w:bidi="ar"/>
        </w:rPr>
        <w:t>(</w:t>
      </w:r>
      <w:r w:rsidRPr="00DE7260">
        <w:rPr>
          <w:rFonts w:eastAsiaTheme="minorEastAsia"/>
          <w:rtl/>
          <w:lang w:bidi="ar"/>
        </w:rPr>
        <w:t>2</w:t>
      </w:r>
      <w:r w:rsidRPr="00E74FBF">
        <w:rPr>
          <w:rFonts w:eastAsiaTheme="minorEastAsia"/>
          <w:rtl/>
          <w:lang w:bidi="ar"/>
        </w:rPr>
        <w:t xml:space="preserve">) من العهد (قضية </w:t>
      </w:r>
      <w:proofErr w:type="spellStart"/>
      <w:r w:rsidRPr="00DE7260">
        <w:rPr>
          <w:rFonts w:eastAsiaTheme="minorEastAsia"/>
          <w:i/>
          <w:iCs/>
          <w:rtl/>
          <w:lang w:bidi="ar"/>
        </w:rPr>
        <w:t>مافلونوف</w:t>
      </w:r>
      <w:proofErr w:type="spellEnd"/>
      <w:r w:rsidRPr="00DE7260">
        <w:rPr>
          <w:rFonts w:eastAsiaTheme="minorEastAsia"/>
          <w:i/>
          <w:iCs/>
          <w:rtl/>
          <w:lang w:bidi="ar"/>
        </w:rPr>
        <w:t xml:space="preserve"> وسعدي ضد أ</w:t>
      </w:r>
      <w:r w:rsidRPr="00DE7260">
        <w:rPr>
          <w:rFonts w:eastAsiaTheme="minorEastAsia"/>
          <w:i/>
          <w:iCs/>
          <w:rtl/>
          <w:lang w:val="fr-FR" w:bidi="ar"/>
        </w:rPr>
        <w:t>و</w:t>
      </w:r>
      <w:r w:rsidRPr="00DE7260">
        <w:rPr>
          <w:rFonts w:eastAsiaTheme="minorEastAsia"/>
          <w:i/>
          <w:iCs/>
          <w:rtl/>
          <w:lang w:bidi="ar"/>
        </w:rPr>
        <w:t>زبكستان</w:t>
      </w:r>
      <w:r w:rsidRPr="00E74FBF">
        <w:rPr>
          <w:rFonts w:eastAsiaTheme="minorEastAsia"/>
          <w:rtl/>
          <w:lang w:bidi="ar"/>
        </w:rPr>
        <w:t xml:space="preserve"> </w:t>
      </w:r>
      <w:r w:rsidRPr="00DE7260">
        <w:rPr>
          <w:rFonts w:eastAsiaTheme="minorEastAsia" w:cs="Times New Roman"/>
          <w:i/>
          <w:rtl/>
          <w:lang w:bidi="ar"/>
        </w:rPr>
        <w:t>(</w:t>
      </w:r>
      <w:r w:rsidRPr="00DE7260">
        <w:rPr>
          <w:rFonts w:eastAsiaTheme="minorEastAsia" w:cs="Times New Roman"/>
          <w:i/>
          <w:rtl/>
          <w:lang w:bidi="ar"/>
        </w:rPr>
        <w:fldChar w:fldCharType="begin"/>
      </w:r>
      <w:r w:rsidRPr="00DE7260">
        <w:rPr>
          <w:rFonts w:eastAsiaTheme="minorEastAsia" w:cs="Times New Roman"/>
          <w:i/>
          <w:rtl/>
          <w:lang w:bidi="ar"/>
        </w:rPr>
        <w:instrText xml:space="preserve"> </w:instrText>
      </w:r>
      <w:r w:rsidRPr="00DE7260">
        <w:rPr>
          <w:rFonts w:eastAsiaTheme="minorEastAsia" w:cs="Times New Roman"/>
          <w:i/>
          <w:lang w:bidi="ar"/>
        </w:rPr>
        <w:instrText xml:space="preserve">FILLIN "Symbol" \* MERGEFORMAT </w:instrText>
      </w:r>
      <w:r w:rsidRPr="00DE7260">
        <w:rPr>
          <w:rFonts w:eastAsiaTheme="minorEastAsia" w:cs="Times New Roman"/>
          <w:i/>
          <w:lang w:bidi="ar"/>
        </w:rPr>
        <w:fldChar w:fldCharType="separate"/>
      </w:r>
      <w:r w:rsidRPr="00DE7260">
        <w:rPr>
          <w:rFonts w:eastAsiaTheme="minorEastAsia" w:cs="Times New Roman"/>
          <w:i/>
          <w:lang w:bidi="ar"/>
        </w:rPr>
        <w:t>CCPR/C/95/D/1334/2004</w:t>
      </w:r>
      <w:r w:rsidRPr="00DE7260">
        <w:rPr>
          <w:rFonts w:eastAsiaTheme="minorEastAsia" w:cs="Times New Roman"/>
          <w:i/>
          <w:lang w:bidi="ar"/>
        </w:rPr>
        <w:fldChar w:fldCharType="end"/>
      </w:r>
      <w:r w:rsidRPr="00DE7260">
        <w:rPr>
          <w:rFonts w:eastAsiaTheme="minorEastAsia" w:cs="Times New Roman"/>
          <w:i/>
          <w:rtl/>
          <w:lang w:bidi="ar"/>
        </w:rPr>
        <w:t>)</w:t>
      </w:r>
      <w:r w:rsidRPr="00E74FBF">
        <w:rPr>
          <w:rFonts w:eastAsiaTheme="minorEastAsia"/>
          <w:rtl/>
          <w:lang w:bidi="ar"/>
        </w:rPr>
        <w:t xml:space="preserve">، الفقرة </w:t>
      </w:r>
      <w:r w:rsidRPr="00DE7260">
        <w:rPr>
          <w:rFonts w:eastAsiaTheme="minorEastAsia"/>
          <w:rtl/>
          <w:lang w:bidi="ar"/>
        </w:rPr>
        <w:t>8</w:t>
      </w:r>
      <w:r w:rsidRPr="00E74FBF">
        <w:rPr>
          <w:rFonts w:eastAsiaTheme="minorEastAsia"/>
          <w:rtl/>
          <w:lang w:bidi="ar"/>
        </w:rPr>
        <w:t>-</w:t>
      </w:r>
      <w:r w:rsidRPr="00DE7260">
        <w:rPr>
          <w:rFonts w:eastAsiaTheme="minorEastAsia"/>
          <w:rtl/>
          <w:lang w:bidi="ar"/>
        </w:rPr>
        <w:t>4</w:t>
      </w:r>
      <w:r w:rsidRPr="00E74FBF">
        <w:rPr>
          <w:rFonts w:eastAsiaTheme="minorEastAsia"/>
          <w:rtl/>
          <w:lang w:bidi="ar"/>
        </w:rPr>
        <w:t>).</w:t>
      </w:r>
    </w:p>
  </w:footnote>
  <w:footnote w:id="9">
    <w:p w14:paraId="46584285" w14:textId="13E3DBAF" w:rsidR="00144989" w:rsidRPr="00E74FBF" w:rsidRDefault="00144989" w:rsidP="00EB6BD6">
      <w:pPr>
        <w:pStyle w:val="FootnoteText1"/>
        <w:rPr>
          <w:rFonts w:eastAsiaTheme="minorEastAsia"/>
        </w:rPr>
      </w:pPr>
      <w:r w:rsidRPr="00E74FBF">
        <w:rPr>
          <w:rStyle w:val="FootnoteReference"/>
          <w:rFonts w:eastAsiaTheme="minorEastAsia"/>
          <w:vertAlign w:val="baseline"/>
          <w:rtl/>
          <w:lang w:bidi="ar"/>
        </w:rPr>
        <w:t>(</w:t>
      </w:r>
      <w:r w:rsidRPr="00DE7260">
        <w:rPr>
          <w:rStyle w:val="FootnoteReference"/>
          <w:rFonts w:eastAsiaTheme="minorEastAsia"/>
          <w:vertAlign w:val="baseline"/>
          <w:lang w:bidi="ar"/>
        </w:rPr>
        <w:footnoteRef/>
      </w:r>
      <w:r w:rsidRPr="00E74FBF">
        <w:rPr>
          <w:rStyle w:val="FootnoteReference"/>
          <w:rFonts w:eastAsiaTheme="minorEastAsia"/>
          <w:vertAlign w:val="baseline"/>
          <w:rtl/>
          <w:lang w:bidi="ar"/>
        </w:rPr>
        <w:t>)</w:t>
      </w:r>
      <w:r w:rsidRPr="00E74FBF">
        <w:rPr>
          <w:rFonts w:eastAsiaTheme="minorEastAsia"/>
          <w:rtl/>
          <w:lang w:bidi="ar"/>
        </w:rPr>
        <w:tab/>
      </w:r>
      <w:r w:rsidRPr="00E74FBF">
        <w:rPr>
          <w:rFonts w:eastAsiaTheme="minorEastAsia"/>
          <w:lang w:bidi="ar"/>
        </w:rPr>
        <w:t>E/CN.</w:t>
      </w:r>
      <w:r w:rsidRPr="00DE7260">
        <w:rPr>
          <w:rFonts w:eastAsiaTheme="minorEastAsia"/>
          <w:lang w:bidi="ar"/>
        </w:rPr>
        <w:t>4</w:t>
      </w:r>
      <w:r w:rsidRPr="00E74FBF">
        <w:rPr>
          <w:rFonts w:eastAsiaTheme="minorEastAsia"/>
          <w:lang w:bidi="ar"/>
        </w:rPr>
        <w:t>/</w:t>
      </w:r>
      <w:r w:rsidRPr="00DE7260">
        <w:rPr>
          <w:rFonts w:eastAsiaTheme="minorEastAsia"/>
          <w:lang w:bidi="ar"/>
        </w:rPr>
        <w:t>2005</w:t>
      </w:r>
      <w:r w:rsidRPr="00E74FBF">
        <w:rPr>
          <w:rFonts w:eastAsiaTheme="minorEastAsia"/>
          <w:lang w:bidi="ar"/>
        </w:rPr>
        <w:t>/</w:t>
      </w:r>
      <w:r w:rsidRPr="00DE7260">
        <w:rPr>
          <w:rFonts w:eastAsiaTheme="minorEastAsia"/>
          <w:lang w:bidi="ar"/>
        </w:rPr>
        <w:t>60</w:t>
      </w:r>
      <w:r w:rsidRPr="00E74FBF">
        <w:rPr>
          <w:rFonts w:eastAsiaTheme="minorEastAsia"/>
          <w:lang w:bidi="ar"/>
        </w:rPr>
        <w:t>/Add.</w:t>
      </w:r>
      <w:r w:rsidRPr="00DE7260">
        <w:rPr>
          <w:rFonts w:eastAsiaTheme="minorEastAsia"/>
          <w:lang w:bidi="ar"/>
        </w:rPr>
        <w:t>2</w:t>
      </w:r>
      <w:r w:rsidRPr="00E74FBF">
        <w:rPr>
          <w:rFonts w:eastAsiaTheme="minorEastAsia"/>
          <w:rtl/>
          <w:lang w:bidi="ar"/>
        </w:rPr>
        <w:t xml:space="preserve">، الفقرة </w:t>
      </w:r>
      <w:r w:rsidRPr="00DE7260">
        <w:rPr>
          <w:rFonts w:eastAsiaTheme="minorEastAsia"/>
          <w:rtl/>
          <w:lang w:bidi="ar"/>
        </w:rPr>
        <w:t>67</w:t>
      </w:r>
      <w:r w:rsidRPr="00E74FBF">
        <w:rPr>
          <w:rFonts w:eastAsiaTheme="minorEastAsia"/>
          <w:rtl/>
          <w:lang w:bidi="ar"/>
        </w:rPr>
        <w:t>.</w:t>
      </w:r>
    </w:p>
  </w:footnote>
  <w:footnote w:id="10">
    <w:p w14:paraId="41AFF76D" w14:textId="29BB99A1" w:rsidR="00144989" w:rsidRPr="00E74FBF" w:rsidRDefault="00144989" w:rsidP="00EB6BD6">
      <w:pPr>
        <w:pStyle w:val="FootnoteText1"/>
        <w:rPr>
          <w:rFonts w:eastAsiaTheme="minorEastAsia"/>
        </w:rPr>
      </w:pPr>
      <w:r w:rsidRPr="00E74FBF">
        <w:rPr>
          <w:rStyle w:val="FootnoteReference"/>
          <w:rFonts w:eastAsiaTheme="minorEastAsia"/>
          <w:vertAlign w:val="baseline"/>
          <w:rtl/>
          <w:lang w:bidi="ar"/>
        </w:rPr>
        <w:t>(</w:t>
      </w:r>
      <w:r w:rsidRPr="00DE7260">
        <w:rPr>
          <w:rStyle w:val="FootnoteReference"/>
          <w:rFonts w:eastAsiaTheme="minorEastAsia"/>
          <w:vertAlign w:val="baseline"/>
          <w:lang w:bidi="ar"/>
        </w:rPr>
        <w:footnoteRef/>
      </w:r>
      <w:r w:rsidRPr="00E74FBF">
        <w:rPr>
          <w:rStyle w:val="FootnoteReference"/>
          <w:rFonts w:eastAsiaTheme="minorEastAsia"/>
          <w:vertAlign w:val="baseline"/>
          <w:rtl/>
          <w:lang w:bidi="ar"/>
        </w:rPr>
        <w:t>)</w:t>
      </w:r>
      <w:r w:rsidRPr="00E74FBF">
        <w:rPr>
          <w:rFonts w:eastAsiaTheme="minorEastAsia"/>
          <w:rtl/>
          <w:lang w:bidi="ar"/>
        </w:rPr>
        <w:tab/>
      </w:r>
      <w:r w:rsidRPr="00E74FBF">
        <w:rPr>
          <w:rFonts w:eastAsiaTheme="minorEastAsia"/>
        </w:rPr>
        <w:t xml:space="preserve">Human Rights Watch, </w:t>
      </w:r>
      <w:r w:rsidRPr="00DE7260">
        <w:rPr>
          <w:rFonts w:eastAsiaTheme="minorEastAsia"/>
          <w:i/>
          <w:iCs/>
        </w:rPr>
        <w:t>An Atmosphere of Quiet Repression: Freedom of Religion, Assembly and</w:t>
      </w:r>
      <w:r w:rsidRPr="00DE7260">
        <w:rPr>
          <w:rFonts w:eastAsiaTheme="minorEastAsia"/>
          <w:i/>
          <w:iCs/>
          <w:rtl/>
        </w:rPr>
        <w:br/>
      </w:r>
      <w:r w:rsidRPr="00DE7260">
        <w:rPr>
          <w:rFonts w:eastAsiaTheme="minorEastAsia"/>
          <w:i/>
          <w:iCs/>
        </w:rPr>
        <w:t>Expression in Kazakhstan</w:t>
      </w:r>
      <w:r w:rsidRPr="00E74FBF">
        <w:rPr>
          <w:rFonts w:eastAsiaTheme="minorEastAsia"/>
        </w:rPr>
        <w:t xml:space="preserve">, (New York, </w:t>
      </w:r>
      <w:r w:rsidRPr="00DE7260">
        <w:rPr>
          <w:rFonts w:eastAsiaTheme="minorEastAsia"/>
        </w:rPr>
        <w:t>2008</w:t>
      </w:r>
      <w:r w:rsidRPr="00E74FBF">
        <w:rPr>
          <w:rFonts w:eastAsiaTheme="minorEastAsia"/>
        </w:rPr>
        <w:t xml:space="preserve">); Amnesty International, </w:t>
      </w:r>
      <w:r w:rsidRPr="00DE7260">
        <w:rPr>
          <w:rFonts w:eastAsiaTheme="minorEastAsia"/>
          <w:i/>
          <w:iCs/>
        </w:rPr>
        <w:t>Amnesty International Report 2013: the State of the World’s Human Rights</w:t>
      </w:r>
      <w:r w:rsidRPr="00E74FBF">
        <w:rPr>
          <w:rFonts w:eastAsiaTheme="minorEastAsia"/>
        </w:rPr>
        <w:t xml:space="preserve">, (London, </w:t>
      </w:r>
      <w:r w:rsidRPr="00DE7260">
        <w:rPr>
          <w:rFonts w:eastAsiaTheme="minorEastAsia"/>
        </w:rPr>
        <w:t>2013</w:t>
      </w:r>
      <w:r w:rsidRPr="00E74FBF">
        <w:rPr>
          <w:rFonts w:eastAsiaTheme="minorEastAsia"/>
        </w:rPr>
        <w:t xml:space="preserve">); report by the Adil Soz International Foundation for Protection of Freedom of Speech on the situation with regard to freedom of speech in Kazakhstan in the first half of </w:t>
      </w:r>
      <w:r w:rsidRPr="00DE7260">
        <w:rPr>
          <w:rFonts w:eastAsiaTheme="minorEastAsia"/>
        </w:rPr>
        <w:t>2014</w:t>
      </w:r>
      <w:r w:rsidRPr="00E74FBF">
        <w:rPr>
          <w:rFonts w:eastAsiaTheme="minorEastAsia"/>
        </w:rPr>
        <w:t xml:space="preserve">; and United States Department of State, </w:t>
      </w:r>
      <w:r w:rsidRPr="00DE7260">
        <w:rPr>
          <w:rFonts w:eastAsiaTheme="minorEastAsia"/>
          <w:i/>
          <w:iCs/>
        </w:rPr>
        <w:t>Country Report on Human Rights Practices for 2012</w:t>
      </w:r>
      <w:r w:rsidRPr="00E74FBF">
        <w:rPr>
          <w:rFonts w:eastAsiaTheme="minorEastAsia"/>
        </w:rPr>
        <w:t>,</w:t>
      </w:r>
      <w:r w:rsidRPr="00DE7260">
        <w:rPr>
          <w:rFonts w:eastAsiaTheme="minorEastAsia"/>
          <w:i/>
          <w:iCs/>
        </w:rPr>
        <w:t xml:space="preserve"> – Kazakhstan</w:t>
      </w:r>
      <w:r w:rsidRPr="00E74FBF">
        <w:rPr>
          <w:rFonts w:eastAsiaTheme="minorEastAsia"/>
        </w:rPr>
        <w:t xml:space="preserve"> (Washington, D.C., </w:t>
      </w:r>
      <w:r w:rsidRPr="00DE7260">
        <w:rPr>
          <w:rFonts w:eastAsiaTheme="minorEastAsia"/>
        </w:rPr>
        <w:t>2013</w:t>
      </w:r>
      <w:r w:rsidRPr="00E74FBF">
        <w:rPr>
          <w:rFonts w:eastAsiaTheme="minorEastAsia"/>
        </w:rPr>
        <w:t>)</w:t>
      </w:r>
      <w:r w:rsidRPr="00E74FBF">
        <w:rPr>
          <w:rFonts w:eastAsiaTheme="minorEastAsia"/>
          <w:rtl/>
          <w:lang w:bidi="ar"/>
        </w:rPr>
        <w:t xml:space="preserve">. </w:t>
      </w:r>
    </w:p>
  </w:footnote>
  <w:footnote w:id="11">
    <w:p w14:paraId="44FBDBE2" w14:textId="1D017807" w:rsidR="00144989" w:rsidRPr="00E74FBF" w:rsidRDefault="00144989" w:rsidP="00EB6BD6">
      <w:pPr>
        <w:pStyle w:val="FootnoteText1"/>
        <w:rPr>
          <w:rFonts w:eastAsiaTheme="minorEastAsia"/>
          <w:lang w:val="es-ES"/>
        </w:rPr>
      </w:pPr>
      <w:r w:rsidRPr="00E74FBF">
        <w:rPr>
          <w:rStyle w:val="FootnoteReference"/>
          <w:rFonts w:eastAsiaTheme="minorEastAsia"/>
          <w:vertAlign w:val="baseline"/>
          <w:rtl/>
          <w:lang w:bidi="ar"/>
        </w:rPr>
        <w:t>(</w:t>
      </w:r>
      <w:r w:rsidRPr="00DE7260">
        <w:rPr>
          <w:rStyle w:val="FootnoteReference"/>
          <w:rFonts w:eastAsiaTheme="minorEastAsia"/>
          <w:vertAlign w:val="baseline"/>
          <w:lang w:bidi="ar"/>
        </w:rPr>
        <w:footnoteRef/>
      </w:r>
      <w:r w:rsidRPr="00E74FBF">
        <w:rPr>
          <w:rStyle w:val="FootnoteReference"/>
          <w:rFonts w:eastAsiaTheme="minorEastAsia"/>
          <w:vertAlign w:val="baseline"/>
          <w:rtl/>
          <w:lang w:bidi="ar"/>
        </w:rPr>
        <w:t>)</w:t>
      </w:r>
      <w:r w:rsidRPr="00E74FBF">
        <w:rPr>
          <w:rFonts w:eastAsiaTheme="minorEastAsia"/>
          <w:rtl/>
          <w:lang w:bidi="ar"/>
        </w:rPr>
        <w:tab/>
        <w:t xml:space="preserve">قضية </w:t>
      </w:r>
      <w:r w:rsidRPr="00DE7260">
        <w:rPr>
          <w:rFonts w:eastAsiaTheme="minorEastAsia"/>
          <w:i/>
          <w:iCs/>
          <w:rtl/>
          <w:lang w:bidi="ar"/>
        </w:rPr>
        <w:t xml:space="preserve">سيمز ضد جامايكا </w:t>
      </w:r>
      <w:r w:rsidRPr="00DE7260">
        <w:rPr>
          <w:rFonts w:eastAsiaTheme="minorEastAsia"/>
          <w:i/>
          <w:rtl/>
          <w:lang w:bidi="ar"/>
        </w:rPr>
        <w:t>(</w:t>
      </w:r>
      <w:r w:rsidRPr="00DE7260">
        <w:rPr>
          <w:rFonts w:eastAsiaTheme="minorEastAsia"/>
          <w:iCs/>
          <w:lang w:bidi="ar"/>
        </w:rPr>
        <w:t>CCPR/C/53/D/541/1993</w:t>
      </w:r>
      <w:r w:rsidRPr="00DE7260">
        <w:rPr>
          <w:rFonts w:eastAsiaTheme="minorEastAsia"/>
          <w:i/>
          <w:rtl/>
          <w:lang w:bidi="ar"/>
        </w:rPr>
        <w:t>)</w:t>
      </w:r>
      <w:r w:rsidRPr="00DE7260">
        <w:rPr>
          <w:rFonts w:eastAsiaTheme="minorEastAsia" w:hint="cs"/>
          <w:i/>
          <w:rtl/>
          <w:lang w:bidi="ar"/>
        </w:rPr>
        <w:t>،</w:t>
      </w:r>
      <w:r>
        <w:rPr>
          <w:rFonts w:eastAsiaTheme="minorEastAsia" w:hint="cs"/>
          <w:rtl/>
          <w:lang w:bidi="ar"/>
        </w:rPr>
        <w:t xml:space="preserve"> </w:t>
      </w:r>
      <w:r w:rsidRPr="00E74FBF">
        <w:rPr>
          <w:rFonts w:eastAsiaTheme="minorEastAsia"/>
          <w:rtl/>
          <w:lang w:bidi="ar"/>
        </w:rPr>
        <w:t>الفقرة</w:t>
      </w:r>
      <w:r>
        <w:rPr>
          <w:rFonts w:eastAsiaTheme="minorEastAsia" w:hint="cs"/>
          <w:rtl/>
          <w:lang w:bidi="ar"/>
        </w:rPr>
        <w:t xml:space="preserve"> </w:t>
      </w:r>
      <w:r w:rsidRPr="00DE7260">
        <w:rPr>
          <w:rFonts w:eastAsiaTheme="minorEastAsia" w:hint="cs"/>
          <w:rtl/>
          <w:lang w:bidi="ar"/>
        </w:rPr>
        <w:t>6</w:t>
      </w:r>
      <w:r w:rsidRPr="00D36EB0">
        <w:rPr>
          <w:rFonts w:eastAsiaTheme="minorEastAsia" w:hint="cs"/>
          <w:rtl/>
          <w:lang w:bidi="ar"/>
        </w:rPr>
        <w:t>-</w:t>
      </w:r>
      <w:r w:rsidRPr="00DE7260">
        <w:rPr>
          <w:rFonts w:eastAsiaTheme="minorEastAsia" w:hint="cs"/>
          <w:rtl/>
          <w:lang w:bidi="ar"/>
        </w:rPr>
        <w:t>2</w:t>
      </w:r>
      <w:r w:rsidRPr="00E74FBF">
        <w:rPr>
          <w:rFonts w:eastAsiaTheme="minorEastAsia"/>
          <w:rtl/>
          <w:lang w:bidi="ar"/>
        </w:rPr>
        <w:t>.</w:t>
      </w:r>
    </w:p>
  </w:footnote>
  <w:footnote w:id="12">
    <w:p w14:paraId="2AFD3B59" w14:textId="1C685BBE" w:rsidR="00144989" w:rsidRPr="00E74FBF" w:rsidRDefault="00144989" w:rsidP="00EB6BD6">
      <w:pPr>
        <w:pStyle w:val="FootnoteText1"/>
        <w:spacing w:line="260" w:lineRule="exact"/>
        <w:rPr>
          <w:rFonts w:eastAsiaTheme="minorEastAsia"/>
        </w:rPr>
      </w:pPr>
      <w:r w:rsidRPr="00E74FBF">
        <w:rPr>
          <w:rStyle w:val="FootnoteReference"/>
          <w:rFonts w:eastAsiaTheme="minorEastAsia"/>
          <w:vertAlign w:val="baseline"/>
          <w:rtl/>
          <w:lang w:bidi="ar"/>
        </w:rPr>
        <w:t>(</w:t>
      </w:r>
      <w:r w:rsidRPr="00DE7260">
        <w:rPr>
          <w:rStyle w:val="FootnoteReference"/>
          <w:rFonts w:eastAsiaTheme="minorEastAsia"/>
          <w:vertAlign w:val="baseline"/>
          <w:lang w:bidi="ar"/>
        </w:rPr>
        <w:footnoteRef/>
      </w:r>
      <w:r w:rsidRPr="00E74FBF">
        <w:rPr>
          <w:rStyle w:val="FootnoteReference"/>
          <w:rFonts w:eastAsiaTheme="minorEastAsia"/>
          <w:vertAlign w:val="baseline"/>
          <w:rtl/>
          <w:lang w:bidi="ar"/>
        </w:rPr>
        <w:t>)</w:t>
      </w:r>
      <w:r w:rsidRPr="00E74FBF">
        <w:rPr>
          <w:rFonts w:eastAsiaTheme="minorEastAsia"/>
          <w:rtl/>
          <w:lang w:bidi="ar"/>
        </w:rPr>
        <w:tab/>
      </w:r>
      <w:r w:rsidRPr="00E74FBF">
        <w:rPr>
          <w:rFonts w:eastAsiaTheme="minorEastAsia"/>
        </w:rPr>
        <w:t xml:space="preserve">European Court of Human Rights, </w:t>
      </w:r>
      <w:proofErr w:type="spellStart"/>
      <w:r w:rsidRPr="00DE7260">
        <w:rPr>
          <w:rFonts w:eastAsiaTheme="minorEastAsia"/>
          <w:i/>
        </w:rPr>
        <w:t>Ziliberberg</w:t>
      </w:r>
      <w:proofErr w:type="spellEnd"/>
      <w:r w:rsidRPr="00DE7260">
        <w:rPr>
          <w:rFonts w:eastAsiaTheme="minorEastAsia"/>
          <w:i/>
        </w:rPr>
        <w:t xml:space="preserve"> v. Moldova</w:t>
      </w:r>
      <w:r w:rsidRPr="00E74FBF">
        <w:rPr>
          <w:rFonts w:eastAsiaTheme="minorEastAsia"/>
        </w:rPr>
        <w:t xml:space="preserve">, Application No. </w:t>
      </w:r>
      <w:r w:rsidRPr="00DE7260">
        <w:rPr>
          <w:rFonts w:eastAsiaTheme="minorEastAsia"/>
        </w:rPr>
        <w:t>61821</w:t>
      </w:r>
      <w:r w:rsidRPr="00E74FBF">
        <w:rPr>
          <w:rFonts w:eastAsiaTheme="minorEastAsia"/>
        </w:rPr>
        <w:t>/</w:t>
      </w:r>
      <w:r w:rsidRPr="00DE7260">
        <w:rPr>
          <w:rFonts w:eastAsiaTheme="minorEastAsia"/>
        </w:rPr>
        <w:t>00</w:t>
      </w:r>
      <w:r w:rsidRPr="00E74FBF">
        <w:rPr>
          <w:rFonts w:eastAsiaTheme="minorEastAsia"/>
        </w:rPr>
        <w:t>, Judgment of</w:t>
      </w:r>
      <w:r>
        <w:rPr>
          <w:rFonts w:eastAsiaTheme="minorEastAsia"/>
          <w:rtl/>
        </w:rPr>
        <w:br/>
      </w:r>
      <w:r w:rsidRPr="00DE7260">
        <w:rPr>
          <w:rFonts w:eastAsiaTheme="minorEastAsia"/>
        </w:rPr>
        <w:t>1</w:t>
      </w:r>
      <w:r w:rsidRPr="00E74FBF">
        <w:rPr>
          <w:rFonts w:eastAsiaTheme="minorEastAsia"/>
        </w:rPr>
        <w:t xml:space="preserve"> February </w:t>
      </w:r>
      <w:r w:rsidRPr="00DE7260">
        <w:rPr>
          <w:rFonts w:eastAsiaTheme="minorEastAsia"/>
        </w:rPr>
        <w:t>2005</w:t>
      </w:r>
      <w:r w:rsidRPr="00E74FBF">
        <w:rPr>
          <w:rFonts w:eastAsiaTheme="minorEastAsia"/>
        </w:rPr>
        <w:t xml:space="preserve">, para. </w:t>
      </w:r>
      <w:r w:rsidRPr="00DE7260">
        <w:rPr>
          <w:rFonts w:eastAsiaTheme="minorEastAsia"/>
        </w:rPr>
        <w:t>30</w:t>
      </w:r>
      <w:r w:rsidRPr="00E74FBF">
        <w:rPr>
          <w:rFonts w:eastAsiaTheme="minorEastAsia"/>
          <w:rtl/>
          <w:lang w:bidi="ar"/>
        </w:rPr>
        <w:t>.</w:t>
      </w:r>
    </w:p>
  </w:footnote>
  <w:footnote w:id="13">
    <w:p w14:paraId="5AEE437A" w14:textId="4BCD22BA" w:rsidR="00144989" w:rsidRPr="00E74FBF" w:rsidRDefault="00144989" w:rsidP="00EB6BD6">
      <w:pPr>
        <w:pStyle w:val="FootnoteText1"/>
        <w:spacing w:line="260" w:lineRule="exact"/>
        <w:rPr>
          <w:rFonts w:eastAsiaTheme="minorEastAsia"/>
        </w:rPr>
      </w:pPr>
      <w:r w:rsidRPr="00E74FBF">
        <w:rPr>
          <w:rStyle w:val="FootnoteReference"/>
          <w:rFonts w:eastAsiaTheme="minorEastAsia"/>
          <w:vertAlign w:val="baseline"/>
          <w:rtl/>
          <w:lang w:bidi="ar"/>
        </w:rPr>
        <w:t>(</w:t>
      </w:r>
      <w:r w:rsidRPr="00DE7260">
        <w:rPr>
          <w:rStyle w:val="FootnoteReference"/>
          <w:rFonts w:eastAsiaTheme="minorEastAsia"/>
          <w:vertAlign w:val="baseline"/>
          <w:lang w:bidi="ar"/>
        </w:rPr>
        <w:footnoteRef/>
      </w:r>
      <w:r w:rsidRPr="00E74FBF">
        <w:rPr>
          <w:rStyle w:val="FootnoteReference"/>
          <w:rFonts w:eastAsiaTheme="minorEastAsia"/>
          <w:vertAlign w:val="baseline"/>
          <w:rtl/>
          <w:lang w:bidi="ar"/>
        </w:rPr>
        <w:t>)</w:t>
      </w:r>
      <w:r w:rsidRPr="00E74FBF">
        <w:rPr>
          <w:rFonts w:eastAsiaTheme="minorEastAsia"/>
          <w:rtl/>
          <w:lang w:bidi="ar"/>
        </w:rPr>
        <w:tab/>
      </w:r>
      <w:bookmarkStart w:id="2" w:name="_Hlk69473247"/>
      <w:r w:rsidRPr="00E74FBF">
        <w:rPr>
          <w:rFonts w:eastAsiaTheme="minorEastAsia"/>
        </w:rPr>
        <w:t xml:space="preserve">European Court of Human Rights, </w:t>
      </w:r>
      <w:r w:rsidRPr="00DE7260">
        <w:rPr>
          <w:rFonts w:eastAsiaTheme="minorEastAsia"/>
          <w:i/>
        </w:rPr>
        <w:t>Engel and others v. Netherlands</w:t>
      </w:r>
      <w:r w:rsidRPr="00E74FBF">
        <w:rPr>
          <w:rFonts w:eastAsiaTheme="minorEastAsia"/>
        </w:rPr>
        <w:t xml:space="preserve">, Application Nos. </w:t>
      </w:r>
      <w:r w:rsidRPr="00DE7260">
        <w:rPr>
          <w:rFonts w:eastAsiaTheme="minorEastAsia"/>
        </w:rPr>
        <w:t>5100</w:t>
      </w:r>
      <w:r w:rsidRPr="00E74FBF">
        <w:rPr>
          <w:rFonts w:eastAsiaTheme="minorEastAsia"/>
        </w:rPr>
        <w:t>/</w:t>
      </w:r>
      <w:r w:rsidRPr="00DE7260">
        <w:rPr>
          <w:rFonts w:eastAsiaTheme="minorEastAsia"/>
        </w:rPr>
        <w:t>71</w:t>
      </w:r>
      <w:r w:rsidRPr="00E74FBF">
        <w:rPr>
          <w:rFonts w:eastAsiaTheme="minorEastAsia"/>
        </w:rPr>
        <w:t>,</w:t>
      </w:r>
      <w:r>
        <w:rPr>
          <w:rFonts w:eastAsiaTheme="minorEastAsia"/>
          <w:rtl/>
        </w:rPr>
        <w:br/>
      </w:r>
      <w:r w:rsidRPr="00DE7260">
        <w:rPr>
          <w:rFonts w:eastAsiaTheme="minorEastAsia"/>
        </w:rPr>
        <w:t>5101</w:t>
      </w:r>
      <w:r w:rsidRPr="00E74FBF">
        <w:rPr>
          <w:rFonts w:eastAsiaTheme="minorEastAsia"/>
        </w:rPr>
        <w:t>/</w:t>
      </w:r>
      <w:r w:rsidRPr="00DE7260">
        <w:rPr>
          <w:rFonts w:eastAsiaTheme="minorEastAsia"/>
        </w:rPr>
        <w:t>71</w:t>
      </w:r>
      <w:r w:rsidRPr="00E74FBF">
        <w:rPr>
          <w:rFonts w:eastAsiaTheme="minorEastAsia"/>
        </w:rPr>
        <w:t xml:space="preserve">, </w:t>
      </w:r>
      <w:r w:rsidRPr="00DE7260">
        <w:rPr>
          <w:rFonts w:eastAsiaTheme="minorEastAsia"/>
        </w:rPr>
        <w:t>5102</w:t>
      </w:r>
      <w:r w:rsidRPr="00E74FBF">
        <w:rPr>
          <w:rFonts w:eastAsiaTheme="minorEastAsia"/>
        </w:rPr>
        <w:t>/</w:t>
      </w:r>
      <w:r w:rsidRPr="00DE7260">
        <w:rPr>
          <w:rFonts w:eastAsiaTheme="minorEastAsia"/>
        </w:rPr>
        <w:t>71</w:t>
      </w:r>
      <w:r w:rsidRPr="00E74FBF">
        <w:rPr>
          <w:rFonts w:eastAsiaTheme="minorEastAsia"/>
        </w:rPr>
        <w:t xml:space="preserve">, </w:t>
      </w:r>
      <w:r w:rsidRPr="00DE7260">
        <w:rPr>
          <w:rFonts w:eastAsiaTheme="minorEastAsia"/>
        </w:rPr>
        <w:t>5354</w:t>
      </w:r>
      <w:r w:rsidRPr="00E74FBF">
        <w:rPr>
          <w:rFonts w:eastAsiaTheme="minorEastAsia"/>
        </w:rPr>
        <w:t>/</w:t>
      </w:r>
      <w:r w:rsidRPr="00DE7260">
        <w:rPr>
          <w:rFonts w:eastAsiaTheme="minorEastAsia"/>
        </w:rPr>
        <w:t>72</w:t>
      </w:r>
      <w:r w:rsidRPr="00E74FBF">
        <w:rPr>
          <w:rFonts w:eastAsiaTheme="minorEastAsia"/>
        </w:rPr>
        <w:t xml:space="preserve"> and </w:t>
      </w:r>
      <w:r w:rsidRPr="00DE7260">
        <w:rPr>
          <w:rFonts w:eastAsiaTheme="minorEastAsia"/>
        </w:rPr>
        <w:t>5370</w:t>
      </w:r>
      <w:r w:rsidRPr="00E74FBF">
        <w:rPr>
          <w:rFonts w:eastAsiaTheme="minorEastAsia"/>
        </w:rPr>
        <w:t>/</w:t>
      </w:r>
      <w:r w:rsidRPr="00DE7260">
        <w:rPr>
          <w:rFonts w:eastAsiaTheme="minorEastAsia"/>
        </w:rPr>
        <w:t>72</w:t>
      </w:r>
      <w:r w:rsidRPr="00E74FBF">
        <w:rPr>
          <w:rFonts w:eastAsiaTheme="minorEastAsia"/>
        </w:rPr>
        <w:t xml:space="preserve">, Judgment of </w:t>
      </w:r>
      <w:r w:rsidRPr="00DE7260">
        <w:rPr>
          <w:rFonts w:eastAsiaTheme="minorEastAsia"/>
        </w:rPr>
        <w:t>8</w:t>
      </w:r>
      <w:r w:rsidRPr="00E74FBF">
        <w:rPr>
          <w:rFonts w:eastAsiaTheme="minorEastAsia"/>
        </w:rPr>
        <w:t xml:space="preserve"> June </w:t>
      </w:r>
      <w:r w:rsidRPr="00DE7260">
        <w:rPr>
          <w:rFonts w:eastAsiaTheme="minorEastAsia"/>
        </w:rPr>
        <w:t>1976</w:t>
      </w:r>
      <w:r w:rsidRPr="00E74FBF">
        <w:rPr>
          <w:rFonts w:eastAsiaTheme="minorEastAsia"/>
        </w:rPr>
        <w:t xml:space="preserve">, para. </w:t>
      </w:r>
      <w:r w:rsidRPr="00DE7260">
        <w:rPr>
          <w:rFonts w:eastAsiaTheme="minorEastAsia"/>
        </w:rPr>
        <w:t>82</w:t>
      </w:r>
      <w:r w:rsidRPr="00E74FBF">
        <w:rPr>
          <w:rFonts w:eastAsiaTheme="minorEastAsia"/>
        </w:rPr>
        <w:t xml:space="preserve">; </w:t>
      </w:r>
      <w:r w:rsidRPr="00DE7260">
        <w:rPr>
          <w:rFonts w:eastAsiaTheme="minorEastAsia"/>
          <w:i/>
        </w:rPr>
        <w:t>Benham v. United Kingdom</w:t>
      </w:r>
      <w:r w:rsidRPr="00E74FBF">
        <w:rPr>
          <w:rFonts w:eastAsiaTheme="minorEastAsia"/>
        </w:rPr>
        <w:t xml:space="preserve">, Application No. </w:t>
      </w:r>
      <w:r w:rsidRPr="00DE7260">
        <w:rPr>
          <w:rFonts w:eastAsiaTheme="minorEastAsia"/>
        </w:rPr>
        <w:t>19380</w:t>
      </w:r>
      <w:r w:rsidRPr="00E74FBF">
        <w:rPr>
          <w:rFonts w:eastAsiaTheme="minorEastAsia"/>
        </w:rPr>
        <w:t>/</w:t>
      </w:r>
      <w:r w:rsidRPr="00DE7260">
        <w:rPr>
          <w:rFonts w:eastAsiaTheme="minorEastAsia"/>
        </w:rPr>
        <w:t>92</w:t>
      </w:r>
      <w:r w:rsidRPr="00E74FBF">
        <w:rPr>
          <w:rFonts w:eastAsiaTheme="minorEastAsia"/>
        </w:rPr>
        <w:t xml:space="preserve">, Judgment of </w:t>
      </w:r>
      <w:r w:rsidRPr="00DE7260">
        <w:rPr>
          <w:rFonts w:eastAsiaTheme="minorEastAsia"/>
        </w:rPr>
        <w:t>10</w:t>
      </w:r>
      <w:r w:rsidRPr="00E74FBF">
        <w:rPr>
          <w:rFonts w:eastAsiaTheme="minorEastAsia"/>
        </w:rPr>
        <w:t xml:space="preserve"> June </w:t>
      </w:r>
      <w:r w:rsidRPr="00DE7260">
        <w:rPr>
          <w:rFonts w:eastAsiaTheme="minorEastAsia"/>
        </w:rPr>
        <w:t>1996</w:t>
      </w:r>
      <w:r w:rsidRPr="00E74FBF">
        <w:rPr>
          <w:rFonts w:eastAsiaTheme="minorEastAsia"/>
        </w:rPr>
        <w:t xml:space="preserve">, para. </w:t>
      </w:r>
      <w:r w:rsidRPr="00DE7260">
        <w:rPr>
          <w:rFonts w:eastAsiaTheme="minorEastAsia"/>
        </w:rPr>
        <w:t>56</w:t>
      </w:r>
      <w:r w:rsidRPr="00E74FBF">
        <w:rPr>
          <w:rFonts w:eastAsiaTheme="minorEastAsia"/>
        </w:rPr>
        <w:t xml:space="preserve">; </w:t>
      </w:r>
      <w:proofErr w:type="spellStart"/>
      <w:r w:rsidRPr="00DE7260">
        <w:rPr>
          <w:rFonts w:eastAsiaTheme="minorEastAsia"/>
          <w:i/>
        </w:rPr>
        <w:t>Garyfallou</w:t>
      </w:r>
      <w:proofErr w:type="spellEnd"/>
      <w:r w:rsidRPr="00DE7260">
        <w:rPr>
          <w:rFonts w:eastAsiaTheme="minorEastAsia"/>
          <w:i/>
        </w:rPr>
        <w:t xml:space="preserve"> AEBE v. Greece</w:t>
      </w:r>
      <w:r w:rsidRPr="00E74FBF">
        <w:rPr>
          <w:rFonts w:eastAsiaTheme="minorEastAsia"/>
        </w:rPr>
        <w:t xml:space="preserve">, Case No. </w:t>
      </w:r>
      <w:r w:rsidRPr="00DE7260">
        <w:rPr>
          <w:rFonts w:eastAsiaTheme="minorEastAsia"/>
        </w:rPr>
        <w:t>93</w:t>
      </w:r>
      <w:r w:rsidRPr="00E74FBF">
        <w:rPr>
          <w:rFonts w:eastAsiaTheme="minorEastAsia"/>
        </w:rPr>
        <w:t>/</w:t>
      </w:r>
      <w:r w:rsidRPr="00DE7260">
        <w:rPr>
          <w:rFonts w:eastAsiaTheme="minorEastAsia"/>
        </w:rPr>
        <w:t>1996</w:t>
      </w:r>
      <w:r w:rsidRPr="00E74FBF">
        <w:rPr>
          <w:rFonts w:eastAsiaTheme="minorEastAsia"/>
        </w:rPr>
        <w:t>/</w:t>
      </w:r>
      <w:r w:rsidRPr="00DE7260">
        <w:rPr>
          <w:rFonts w:eastAsiaTheme="minorEastAsia"/>
        </w:rPr>
        <w:t>712</w:t>
      </w:r>
      <w:r w:rsidRPr="00E74FBF">
        <w:rPr>
          <w:rFonts w:eastAsiaTheme="minorEastAsia"/>
        </w:rPr>
        <w:t>/</w:t>
      </w:r>
      <w:r w:rsidRPr="00DE7260">
        <w:rPr>
          <w:rFonts w:eastAsiaTheme="minorEastAsia"/>
        </w:rPr>
        <w:t>909</w:t>
      </w:r>
      <w:r w:rsidRPr="00E74FBF">
        <w:rPr>
          <w:rFonts w:eastAsiaTheme="minorEastAsia"/>
        </w:rPr>
        <w:t xml:space="preserve">, Judgment of </w:t>
      </w:r>
      <w:r w:rsidRPr="00DE7260">
        <w:rPr>
          <w:rFonts w:eastAsiaTheme="minorEastAsia"/>
        </w:rPr>
        <w:t>24</w:t>
      </w:r>
      <w:r w:rsidRPr="00E74FBF">
        <w:rPr>
          <w:rFonts w:eastAsiaTheme="minorEastAsia"/>
        </w:rPr>
        <w:t xml:space="preserve"> September </w:t>
      </w:r>
      <w:r w:rsidRPr="00DE7260">
        <w:rPr>
          <w:rFonts w:eastAsiaTheme="minorEastAsia"/>
        </w:rPr>
        <w:t>1997</w:t>
      </w:r>
      <w:r w:rsidRPr="00E74FBF">
        <w:rPr>
          <w:rFonts w:eastAsiaTheme="minorEastAsia"/>
        </w:rPr>
        <w:t xml:space="preserve">, paras. </w:t>
      </w:r>
      <w:r w:rsidRPr="00DE7260">
        <w:rPr>
          <w:rFonts w:eastAsiaTheme="minorEastAsia"/>
        </w:rPr>
        <w:t>32</w:t>
      </w:r>
      <w:r w:rsidRPr="00E74FBF">
        <w:rPr>
          <w:rFonts w:eastAsiaTheme="minorEastAsia"/>
        </w:rPr>
        <w:t>–</w:t>
      </w:r>
      <w:r w:rsidRPr="00DE7260">
        <w:rPr>
          <w:rFonts w:eastAsiaTheme="minorEastAsia"/>
        </w:rPr>
        <w:t>33</w:t>
      </w:r>
      <w:r w:rsidRPr="00E74FBF">
        <w:rPr>
          <w:rFonts w:eastAsiaTheme="minorEastAsia"/>
        </w:rPr>
        <w:t xml:space="preserve">; </w:t>
      </w:r>
      <w:proofErr w:type="spellStart"/>
      <w:r w:rsidRPr="00DE7260">
        <w:rPr>
          <w:rFonts w:eastAsiaTheme="minorEastAsia"/>
          <w:i/>
        </w:rPr>
        <w:t>Lauko</w:t>
      </w:r>
      <w:proofErr w:type="spellEnd"/>
      <w:r w:rsidRPr="00DE7260">
        <w:rPr>
          <w:rFonts w:eastAsiaTheme="minorEastAsia"/>
          <w:i/>
        </w:rPr>
        <w:t xml:space="preserve"> v. </w:t>
      </w:r>
      <w:proofErr w:type="spellStart"/>
      <w:r w:rsidRPr="00DE7260">
        <w:rPr>
          <w:rFonts w:eastAsiaTheme="minorEastAsia"/>
          <w:i/>
        </w:rPr>
        <w:t>Slovania</w:t>
      </w:r>
      <w:proofErr w:type="spellEnd"/>
      <w:r w:rsidRPr="00E74FBF">
        <w:rPr>
          <w:rFonts w:eastAsiaTheme="minorEastAsia"/>
        </w:rPr>
        <w:t xml:space="preserve">, Case No. </w:t>
      </w:r>
      <w:r w:rsidRPr="00DE7260">
        <w:rPr>
          <w:rFonts w:eastAsiaTheme="minorEastAsia"/>
        </w:rPr>
        <w:t>4</w:t>
      </w:r>
      <w:r w:rsidRPr="00E74FBF">
        <w:rPr>
          <w:rFonts w:eastAsiaTheme="minorEastAsia"/>
        </w:rPr>
        <w:t>/</w:t>
      </w:r>
      <w:r w:rsidRPr="00DE7260">
        <w:rPr>
          <w:rFonts w:eastAsiaTheme="minorEastAsia"/>
        </w:rPr>
        <w:t>1998</w:t>
      </w:r>
      <w:r w:rsidRPr="00E74FBF">
        <w:rPr>
          <w:rFonts w:eastAsiaTheme="minorEastAsia"/>
        </w:rPr>
        <w:t>/</w:t>
      </w:r>
      <w:r w:rsidRPr="00DE7260">
        <w:rPr>
          <w:rFonts w:eastAsiaTheme="minorEastAsia"/>
        </w:rPr>
        <w:t>907</w:t>
      </w:r>
      <w:r w:rsidRPr="00E74FBF">
        <w:rPr>
          <w:rFonts w:eastAsiaTheme="minorEastAsia"/>
        </w:rPr>
        <w:t>/</w:t>
      </w:r>
      <w:r w:rsidRPr="00DE7260">
        <w:rPr>
          <w:rFonts w:eastAsiaTheme="minorEastAsia"/>
        </w:rPr>
        <w:t>1119</w:t>
      </w:r>
      <w:r w:rsidRPr="00E74FBF">
        <w:rPr>
          <w:rFonts w:eastAsiaTheme="minorEastAsia"/>
        </w:rPr>
        <w:t xml:space="preserve">, Judgment of </w:t>
      </w:r>
      <w:r w:rsidRPr="00DE7260">
        <w:rPr>
          <w:rFonts w:eastAsiaTheme="minorEastAsia"/>
        </w:rPr>
        <w:t>2</w:t>
      </w:r>
      <w:r w:rsidRPr="00E74FBF">
        <w:rPr>
          <w:rFonts w:eastAsiaTheme="minorEastAsia"/>
        </w:rPr>
        <w:t xml:space="preserve"> September </w:t>
      </w:r>
      <w:r w:rsidRPr="00DE7260">
        <w:rPr>
          <w:rFonts w:eastAsiaTheme="minorEastAsia"/>
        </w:rPr>
        <w:t>1998</w:t>
      </w:r>
      <w:r w:rsidRPr="00E74FBF">
        <w:rPr>
          <w:rFonts w:eastAsiaTheme="minorEastAsia"/>
        </w:rPr>
        <w:t xml:space="preserve">, para. </w:t>
      </w:r>
      <w:r w:rsidRPr="00DE7260">
        <w:rPr>
          <w:rFonts w:eastAsiaTheme="minorEastAsia"/>
        </w:rPr>
        <w:t>56</w:t>
      </w:r>
      <w:r w:rsidRPr="00E74FBF">
        <w:rPr>
          <w:rFonts w:eastAsiaTheme="minorEastAsia"/>
          <w:rtl/>
          <w:lang w:bidi="ar"/>
        </w:rPr>
        <w:t>.</w:t>
      </w:r>
      <w:bookmarkEnd w:id="2"/>
    </w:p>
  </w:footnote>
  <w:footnote w:id="14">
    <w:p w14:paraId="7E05DF29" w14:textId="52B55970" w:rsidR="00144989" w:rsidRPr="00E74FBF" w:rsidRDefault="00144989" w:rsidP="00EB6BD6">
      <w:pPr>
        <w:pStyle w:val="FootnoteText1"/>
        <w:rPr>
          <w:rFonts w:eastAsiaTheme="minorEastAsia"/>
        </w:rPr>
      </w:pPr>
      <w:r w:rsidRPr="00E74FBF">
        <w:rPr>
          <w:rStyle w:val="FootnoteReference"/>
          <w:rFonts w:eastAsiaTheme="minorEastAsia"/>
          <w:vertAlign w:val="baseline"/>
          <w:rtl/>
          <w:lang w:bidi="ar"/>
        </w:rPr>
        <w:t>(</w:t>
      </w:r>
      <w:r w:rsidRPr="00DE7260">
        <w:rPr>
          <w:rStyle w:val="FootnoteReference"/>
          <w:rFonts w:eastAsiaTheme="minorEastAsia"/>
          <w:vertAlign w:val="baseline"/>
          <w:lang w:bidi="ar"/>
        </w:rPr>
        <w:footnoteRef/>
      </w:r>
      <w:r w:rsidRPr="00E74FBF">
        <w:rPr>
          <w:rStyle w:val="FootnoteReference"/>
          <w:rFonts w:eastAsiaTheme="minorEastAsia"/>
          <w:vertAlign w:val="baseline"/>
          <w:rtl/>
          <w:lang w:bidi="ar"/>
        </w:rPr>
        <w:t>)</w:t>
      </w:r>
      <w:r w:rsidRPr="00E74FBF">
        <w:rPr>
          <w:rFonts w:eastAsiaTheme="minorEastAsia"/>
          <w:rtl/>
          <w:lang w:bidi="ar"/>
        </w:rPr>
        <w:tab/>
        <w:t xml:space="preserve">تشير صاحبة البلاغ الأولى إلى المادة </w:t>
      </w:r>
      <w:r w:rsidRPr="00DE7260">
        <w:rPr>
          <w:rFonts w:eastAsiaTheme="minorEastAsia"/>
          <w:rtl/>
          <w:lang w:bidi="ar"/>
        </w:rPr>
        <w:t>40</w:t>
      </w:r>
      <w:r>
        <w:rPr>
          <w:rFonts w:eastAsiaTheme="minorEastAsia"/>
          <w:rtl/>
          <w:lang w:bidi="ar"/>
        </w:rPr>
        <w:t>(</w:t>
      </w:r>
      <w:r w:rsidRPr="00DE7260">
        <w:rPr>
          <w:rFonts w:eastAsiaTheme="minorEastAsia"/>
          <w:rtl/>
          <w:lang w:bidi="ar"/>
        </w:rPr>
        <w:t>2</w:t>
      </w:r>
      <w:r w:rsidRPr="00E74FBF">
        <w:rPr>
          <w:rFonts w:eastAsiaTheme="minorEastAsia"/>
          <w:rtl/>
          <w:lang w:bidi="ar"/>
        </w:rPr>
        <w:t xml:space="preserve">) من القانون الجنائي، التي تنص على فرض غرامة تعادل ما بين </w:t>
      </w:r>
      <w:r w:rsidRPr="00DE7260">
        <w:rPr>
          <w:rFonts w:eastAsiaTheme="minorEastAsia"/>
          <w:rtl/>
          <w:lang w:bidi="ar"/>
        </w:rPr>
        <w:t>25</w:t>
      </w:r>
      <w:r w:rsidRPr="00E74FBF">
        <w:rPr>
          <w:rFonts w:eastAsiaTheme="minorEastAsia"/>
          <w:rtl/>
          <w:lang w:bidi="ar"/>
        </w:rPr>
        <w:t xml:space="preserve"> و</w:t>
      </w:r>
      <w:r w:rsidRPr="00DE7260">
        <w:rPr>
          <w:rFonts w:eastAsiaTheme="minorEastAsia"/>
          <w:rtl/>
          <w:lang w:bidi="ar"/>
        </w:rPr>
        <w:t>000</w:t>
      </w:r>
      <w:r w:rsidRPr="00E74FBF">
        <w:rPr>
          <w:rFonts w:eastAsiaTheme="minorEastAsia"/>
          <w:rtl/>
          <w:lang w:bidi="ar"/>
        </w:rPr>
        <w:t xml:space="preserve"> </w:t>
      </w:r>
      <w:r w:rsidRPr="00DE7260">
        <w:rPr>
          <w:rFonts w:eastAsiaTheme="minorEastAsia"/>
          <w:rtl/>
          <w:lang w:bidi="ar"/>
        </w:rPr>
        <w:t>20</w:t>
      </w:r>
      <w:r w:rsidRPr="00E74FBF">
        <w:rPr>
          <w:rFonts w:eastAsiaTheme="minorEastAsia"/>
          <w:rtl/>
          <w:lang w:bidi="ar"/>
        </w:rPr>
        <w:t xml:space="preserve"> مثل</w:t>
      </w:r>
      <w:r>
        <w:rPr>
          <w:rFonts w:eastAsiaTheme="minorEastAsia"/>
          <w:rtl/>
          <w:lang w:bidi="ar"/>
        </w:rPr>
        <w:t xml:space="preserve">اً </w:t>
      </w:r>
      <w:r w:rsidRPr="00E74FBF">
        <w:rPr>
          <w:rFonts w:eastAsiaTheme="minorEastAsia"/>
          <w:rtl/>
          <w:lang w:bidi="ar"/>
        </w:rPr>
        <w:t>لقيمة مؤشر الحساب الشهري.</w:t>
      </w:r>
    </w:p>
  </w:footnote>
  <w:footnote w:id="15">
    <w:p w14:paraId="425096F7" w14:textId="462BAB19" w:rsidR="00144989" w:rsidRPr="00DE7260" w:rsidRDefault="00144989" w:rsidP="00EB6BD6">
      <w:pPr>
        <w:pStyle w:val="FootnoteText1"/>
        <w:rPr>
          <w:rFonts w:eastAsiaTheme="minorEastAsia" w:cs="Times New Roman"/>
          <w:i/>
          <w:rtl/>
          <w:lang w:val="es-ES"/>
        </w:rPr>
      </w:pPr>
      <w:r w:rsidRPr="00E74FBF">
        <w:rPr>
          <w:rStyle w:val="FootnoteReference"/>
          <w:rFonts w:eastAsiaTheme="minorEastAsia"/>
          <w:vertAlign w:val="baseline"/>
          <w:rtl/>
          <w:lang w:bidi="ar"/>
        </w:rPr>
        <w:t>(</w:t>
      </w:r>
      <w:r w:rsidRPr="00DE7260">
        <w:rPr>
          <w:rStyle w:val="FootnoteReference"/>
          <w:rFonts w:eastAsiaTheme="minorEastAsia"/>
          <w:vertAlign w:val="baseline"/>
          <w:lang w:bidi="ar"/>
        </w:rPr>
        <w:footnoteRef/>
      </w:r>
      <w:r w:rsidRPr="00E74FBF">
        <w:rPr>
          <w:rStyle w:val="FootnoteReference"/>
          <w:rFonts w:eastAsiaTheme="minorEastAsia"/>
          <w:vertAlign w:val="baseline"/>
          <w:rtl/>
          <w:lang w:bidi="ar"/>
        </w:rPr>
        <w:t>)</w:t>
      </w:r>
      <w:r w:rsidRPr="00E74FBF">
        <w:rPr>
          <w:rFonts w:eastAsiaTheme="minorEastAsia"/>
          <w:rtl/>
          <w:lang w:bidi="ar"/>
        </w:rPr>
        <w:tab/>
        <w:t xml:space="preserve">قضية </w:t>
      </w:r>
      <w:proofErr w:type="spellStart"/>
      <w:r w:rsidRPr="00DE7260">
        <w:rPr>
          <w:rFonts w:eastAsiaTheme="minorEastAsia"/>
          <w:i/>
          <w:iCs/>
          <w:rtl/>
          <w:lang w:bidi="ar"/>
        </w:rPr>
        <w:t>أوسيوك</w:t>
      </w:r>
      <w:proofErr w:type="spellEnd"/>
      <w:r w:rsidRPr="00DE7260">
        <w:rPr>
          <w:rFonts w:eastAsiaTheme="minorEastAsia"/>
          <w:i/>
          <w:iCs/>
          <w:rtl/>
          <w:lang w:bidi="ar"/>
        </w:rPr>
        <w:t xml:space="preserve"> ضد بيلاروسيا</w:t>
      </w:r>
      <w:r w:rsidRPr="00DE7260">
        <w:rPr>
          <w:rFonts w:eastAsiaTheme="minorEastAsia"/>
          <w:i/>
          <w:rtl/>
          <w:lang w:bidi="ar"/>
        </w:rPr>
        <w:t xml:space="preserve"> (</w:t>
      </w:r>
      <w:r w:rsidRPr="00DE7260">
        <w:rPr>
          <w:rFonts w:eastAsiaTheme="minorEastAsia" w:cs="Times New Roman"/>
          <w:iCs/>
          <w:lang w:bidi="ar"/>
        </w:rPr>
        <w:t>CCPR/C/96/D/1311/2004</w:t>
      </w:r>
      <w:r w:rsidRPr="00DE7260">
        <w:rPr>
          <w:rFonts w:eastAsiaTheme="minorEastAsia"/>
          <w:i/>
          <w:rtl/>
          <w:lang w:bidi="ar"/>
        </w:rPr>
        <w:t>)</w:t>
      </w:r>
      <w:r w:rsidRPr="00DE7260">
        <w:rPr>
          <w:rFonts w:ascii="Traditional Arabic" w:eastAsiaTheme="minorEastAsia" w:hAnsi="Traditional Arabic"/>
          <w:i/>
          <w:rtl/>
          <w:lang w:bidi="ar"/>
        </w:rPr>
        <w:t>.</w:t>
      </w:r>
    </w:p>
  </w:footnote>
  <w:footnote w:id="16">
    <w:p w14:paraId="34885F9D" w14:textId="14A42C3F" w:rsidR="00144989" w:rsidRPr="00E74FBF" w:rsidRDefault="00144989" w:rsidP="00EB6BD6">
      <w:pPr>
        <w:pStyle w:val="FootnoteText1"/>
        <w:rPr>
          <w:rFonts w:eastAsiaTheme="minorEastAsia"/>
        </w:rPr>
      </w:pPr>
      <w:r w:rsidRPr="00E74FBF">
        <w:rPr>
          <w:rStyle w:val="FootnoteReference"/>
          <w:rFonts w:eastAsiaTheme="minorEastAsia"/>
          <w:vertAlign w:val="baseline"/>
          <w:rtl/>
          <w:lang w:bidi="ar"/>
        </w:rPr>
        <w:t>(</w:t>
      </w:r>
      <w:r w:rsidRPr="00DE7260">
        <w:rPr>
          <w:rStyle w:val="FootnoteReference"/>
          <w:rFonts w:eastAsiaTheme="minorEastAsia"/>
          <w:vertAlign w:val="baseline"/>
          <w:lang w:bidi="ar"/>
        </w:rPr>
        <w:footnoteRef/>
      </w:r>
      <w:r w:rsidRPr="00E74FBF">
        <w:rPr>
          <w:rStyle w:val="FootnoteReference"/>
          <w:rFonts w:eastAsiaTheme="minorEastAsia"/>
          <w:vertAlign w:val="baseline"/>
          <w:rtl/>
          <w:lang w:bidi="ar"/>
        </w:rPr>
        <w:t>)</w:t>
      </w:r>
      <w:r w:rsidRPr="00E74FBF">
        <w:rPr>
          <w:rFonts w:eastAsiaTheme="minorEastAsia"/>
          <w:rtl/>
          <w:lang w:bidi="ar"/>
        </w:rPr>
        <w:tab/>
        <w:t xml:space="preserve">انظر التقريرين </w:t>
      </w:r>
      <w:r w:rsidRPr="00DE7260">
        <w:rPr>
          <w:rFonts w:eastAsiaTheme="minorEastAsia"/>
          <w:rtl/>
          <w:lang w:bidi="ar"/>
        </w:rPr>
        <w:t>33</w:t>
      </w:r>
      <w:r w:rsidRPr="00E74FBF">
        <w:rPr>
          <w:rFonts w:eastAsiaTheme="minorEastAsia"/>
          <w:rtl/>
          <w:lang w:bidi="ar"/>
        </w:rPr>
        <w:t xml:space="preserve"> و</w:t>
      </w:r>
      <w:r w:rsidRPr="00DE7260">
        <w:rPr>
          <w:rFonts w:eastAsiaTheme="minorEastAsia"/>
          <w:rtl/>
          <w:lang w:bidi="ar"/>
        </w:rPr>
        <w:t>34</w:t>
      </w:r>
      <w:r w:rsidRPr="00E74FBF">
        <w:rPr>
          <w:rFonts w:eastAsiaTheme="minorEastAsia"/>
          <w:rtl/>
          <w:lang w:bidi="ar"/>
        </w:rPr>
        <w:t xml:space="preserve"> الصادرين عن إدارة السياسات الداخلية، بلدية </w:t>
      </w:r>
      <w:proofErr w:type="spellStart"/>
      <w:r w:rsidRPr="00E74FBF">
        <w:rPr>
          <w:rFonts w:eastAsiaTheme="minorEastAsia"/>
          <w:rtl/>
          <w:lang w:bidi="ar"/>
        </w:rPr>
        <w:t>ألماتي</w:t>
      </w:r>
      <w:proofErr w:type="spellEnd"/>
      <w:r w:rsidRPr="00E74FBF">
        <w:rPr>
          <w:rFonts w:eastAsiaTheme="minorEastAsia"/>
          <w:rtl/>
          <w:lang w:bidi="ar"/>
        </w:rPr>
        <w:t xml:space="preserve">، المؤرخين </w:t>
      </w:r>
      <w:r w:rsidRPr="00DE7260">
        <w:rPr>
          <w:rFonts w:eastAsiaTheme="minorEastAsia"/>
          <w:rtl/>
          <w:lang w:bidi="ar"/>
        </w:rPr>
        <w:t>20</w:t>
      </w:r>
      <w:r w:rsidRPr="00E74FBF">
        <w:rPr>
          <w:rFonts w:eastAsiaTheme="minorEastAsia"/>
          <w:rtl/>
          <w:lang w:bidi="ar"/>
        </w:rPr>
        <w:t xml:space="preserve"> تشرين الثاني/نوفمبر </w:t>
      </w:r>
      <w:r w:rsidRPr="00DE7260">
        <w:rPr>
          <w:rFonts w:eastAsiaTheme="minorEastAsia"/>
          <w:rtl/>
          <w:lang w:bidi="ar"/>
        </w:rPr>
        <w:t>2013</w:t>
      </w:r>
      <w:r w:rsidRPr="00E74FBF">
        <w:rPr>
          <w:rFonts w:eastAsiaTheme="minorEastAsia"/>
          <w:rtl/>
          <w:lang w:bidi="ar"/>
        </w:rPr>
        <w:t>، اللذين يتعلقان بالإجراءات الإدارية المتخذة ضد صاحبة البلاغ الأولى، ويتضمنان أيض</w:t>
      </w:r>
      <w:r>
        <w:rPr>
          <w:rFonts w:eastAsiaTheme="minorEastAsia"/>
          <w:rtl/>
          <w:lang w:bidi="ar"/>
        </w:rPr>
        <w:t xml:space="preserve">اً </w:t>
      </w:r>
      <w:r w:rsidRPr="00E74FBF">
        <w:rPr>
          <w:rFonts w:eastAsiaTheme="minorEastAsia"/>
          <w:rtl/>
          <w:lang w:bidi="ar"/>
        </w:rPr>
        <w:t>تفسيرات خطية من صاحبة البلاغ الثانية.</w:t>
      </w:r>
    </w:p>
  </w:footnote>
  <w:footnote w:id="17">
    <w:p w14:paraId="2FA9C358" w14:textId="7E862B32" w:rsidR="00144989" w:rsidRPr="00E74FBF" w:rsidRDefault="00144989" w:rsidP="00EB6BD6">
      <w:pPr>
        <w:pStyle w:val="FootnoteText1"/>
        <w:rPr>
          <w:rFonts w:eastAsiaTheme="minorEastAsia"/>
          <w:lang w:val="es-ES"/>
        </w:rPr>
      </w:pPr>
      <w:r w:rsidRPr="00E74FBF">
        <w:rPr>
          <w:rStyle w:val="FootnoteReference"/>
          <w:rFonts w:eastAsiaTheme="minorEastAsia"/>
          <w:vertAlign w:val="baseline"/>
          <w:rtl/>
          <w:lang w:bidi="ar"/>
        </w:rPr>
        <w:t>(</w:t>
      </w:r>
      <w:r w:rsidRPr="00DE7260">
        <w:rPr>
          <w:rStyle w:val="FootnoteReference"/>
          <w:rFonts w:eastAsiaTheme="minorEastAsia"/>
          <w:vertAlign w:val="baseline"/>
          <w:lang w:bidi="ar"/>
        </w:rPr>
        <w:footnoteRef/>
      </w:r>
      <w:r w:rsidRPr="00E74FBF">
        <w:rPr>
          <w:rStyle w:val="FootnoteReference"/>
          <w:rFonts w:eastAsiaTheme="minorEastAsia"/>
          <w:vertAlign w:val="baseline"/>
          <w:rtl/>
          <w:lang w:bidi="ar"/>
        </w:rPr>
        <w:t>)</w:t>
      </w:r>
      <w:r w:rsidRPr="00E74FBF">
        <w:rPr>
          <w:rFonts w:eastAsiaTheme="minorEastAsia"/>
          <w:rtl/>
          <w:lang w:bidi="ar"/>
        </w:rPr>
        <w:tab/>
        <w:t xml:space="preserve">قضية </w:t>
      </w:r>
      <w:proofErr w:type="spellStart"/>
      <w:r w:rsidRPr="00DE7260">
        <w:rPr>
          <w:rFonts w:eastAsiaTheme="minorEastAsia"/>
          <w:i/>
          <w:iCs/>
          <w:rtl/>
          <w:lang w:bidi="ar"/>
        </w:rPr>
        <w:t>سليمانوفا</w:t>
      </w:r>
      <w:proofErr w:type="spellEnd"/>
      <w:r w:rsidRPr="00DE7260">
        <w:rPr>
          <w:rFonts w:eastAsiaTheme="minorEastAsia"/>
          <w:i/>
          <w:iCs/>
          <w:rtl/>
          <w:lang w:bidi="ar"/>
        </w:rPr>
        <w:t xml:space="preserve"> ضد كازاخستان </w:t>
      </w:r>
      <w:r w:rsidRPr="00DE7260">
        <w:rPr>
          <w:rFonts w:asciiTheme="majorBidi" w:eastAsiaTheme="minorEastAsia" w:hAnsiTheme="majorBidi"/>
          <w:i/>
          <w:rtl/>
          <w:lang w:bidi="ar"/>
        </w:rPr>
        <w:t>(</w:t>
      </w:r>
      <w:r w:rsidRPr="00DE7260">
        <w:rPr>
          <w:rFonts w:asciiTheme="majorBidi" w:eastAsiaTheme="minorEastAsia" w:hAnsiTheme="majorBidi" w:cstheme="majorBidi"/>
          <w:iCs/>
          <w:lang w:bidi="ar"/>
        </w:rPr>
        <w:t>CCPR/C/126/D/2416/2014</w:t>
      </w:r>
      <w:r w:rsidRPr="00DE7260">
        <w:rPr>
          <w:rFonts w:asciiTheme="majorBidi" w:eastAsiaTheme="minorEastAsia" w:hAnsiTheme="majorBidi"/>
          <w:i/>
          <w:rtl/>
          <w:lang w:bidi="ar"/>
        </w:rPr>
        <w:t>)</w:t>
      </w:r>
      <w:r w:rsidRPr="00E74FBF">
        <w:rPr>
          <w:rFonts w:eastAsiaTheme="minorEastAsia"/>
          <w:rtl/>
          <w:lang w:bidi="ar"/>
        </w:rPr>
        <w:t xml:space="preserve">، الفقرة </w:t>
      </w:r>
      <w:r w:rsidRPr="00DE7260">
        <w:rPr>
          <w:rFonts w:eastAsiaTheme="minorEastAsia"/>
          <w:rtl/>
          <w:lang w:bidi="ar"/>
        </w:rPr>
        <w:t>8</w:t>
      </w:r>
      <w:r w:rsidRPr="00E74FBF">
        <w:rPr>
          <w:rFonts w:eastAsiaTheme="minorEastAsia"/>
          <w:rtl/>
          <w:lang w:bidi="ar"/>
        </w:rPr>
        <w:t>-</w:t>
      </w:r>
      <w:r w:rsidRPr="00DE7260">
        <w:rPr>
          <w:rFonts w:eastAsiaTheme="minorEastAsia"/>
          <w:rtl/>
          <w:lang w:bidi="ar"/>
        </w:rPr>
        <w:t>3</w:t>
      </w:r>
      <w:r w:rsidRPr="00E74FBF">
        <w:rPr>
          <w:rFonts w:eastAsiaTheme="minorEastAsia"/>
          <w:rtl/>
          <w:lang w:bidi="ar"/>
        </w:rPr>
        <w:t xml:space="preserve">؛ وقضية </w:t>
      </w:r>
      <w:proofErr w:type="spellStart"/>
      <w:r w:rsidRPr="00DE7260">
        <w:rPr>
          <w:rFonts w:eastAsiaTheme="minorEastAsia"/>
          <w:i/>
          <w:iCs/>
          <w:rtl/>
          <w:lang w:bidi="ar"/>
        </w:rPr>
        <w:t>تغريغوجينا</w:t>
      </w:r>
      <w:proofErr w:type="spellEnd"/>
      <w:r w:rsidRPr="00DE7260">
        <w:rPr>
          <w:rFonts w:eastAsiaTheme="minorEastAsia"/>
          <w:i/>
          <w:iCs/>
          <w:rtl/>
          <w:lang w:bidi="ar"/>
        </w:rPr>
        <w:t xml:space="preserve"> ضد كازاخستان </w:t>
      </w:r>
      <w:r w:rsidRPr="00DE7260">
        <w:rPr>
          <w:rFonts w:eastAsiaTheme="minorEastAsia"/>
          <w:i/>
          <w:rtl/>
          <w:lang w:bidi="ar"/>
        </w:rPr>
        <w:t>(</w:t>
      </w:r>
      <w:r w:rsidRPr="00DE7260">
        <w:rPr>
          <w:rFonts w:eastAsiaTheme="minorEastAsia" w:cs="Times New Roman"/>
          <w:iCs/>
          <w:lang w:bidi="ar"/>
        </w:rPr>
        <w:t>CCPR/C/126/D/2311/2013</w:t>
      </w:r>
      <w:r w:rsidRPr="00DE7260">
        <w:rPr>
          <w:rFonts w:eastAsiaTheme="minorEastAsia"/>
          <w:i/>
          <w:rtl/>
          <w:lang w:bidi="ar"/>
        </w:rPr>
        <w:t>)</w:t>
      </w:r>
      <w:r w:rsidRPr="00E74FBF">
        <w:rPr>
          <w:rFonts w:eastAsiaTheme="minorEastAsia"/>
          <w:rtl/>
          <w:lang w:bidi="ar"/>
        </w:rPr>
        <w:t xml:space="preserve">، الفقرة </w:t>
      </w:r>
      <w:r w:rsidRPr="00DE7260">
        <w:rPr>
          <w:rFonts w:eastAsiaTheme="minorEastAsia"/>
          <w:rtl/>
          <w:lang w:bidi="ar"/>
        </w:rPr>
        <w:t>7</w:t>
      </w:r>
      <w:r w:rsidRPr="00E74FBF">
        <w:rPr>
          <w:rFonts w:eastAsiaTheme="minorEastAsia"/>
          <w:rtl/>
          <w:lang w:bidi="ar"/>
        </w:rPr>
        <w:t>-</w:t>
      </w:r>
      <w:r w:rsidRPr="00DE7260">
        <w:rPr>
          <w:rFonts w:eastAsiaTheme="minorEastAsia"/>
          <w:rtl/>
          <w:lang w:bidi="ar"/>
        </w:rPr>
        <w:t>3</w:t>
      </w:r>
      <w:r w:rsidRPr="00E74FBF">
        <w:rPr>
          <w:rFonts w:eastAsiaTheme="minorEastAsia"/>
          <w:rtl/>
          <w:lang w:bidi="ar"/>
        </w:rPr>
        <w:t xml:space="preserve">؛ وقضية </w:t>
      </w:r>
      <w:proofErr w:type="spellStart"/>
      <w:r w:rsidRPr="00DE7260">
        <w:rPr>
          <w:rFonts w:eastAsiaTheme="minorEastAsia"/>
          <w:i/>
          <w:iCs/>
          <w:rtl/>
          <w:lang w:bidi="ar"/>
        </w:rPr>
        <w:t>إنسينوفا</w:t>
      </w:r>
      <w:proofErr w:type="spellEnd"/>
      <w:r w:rsidRPr="00DE7260">
        <w:rPr>
          <w:rFonts w:eastAsiaTheme="minorEastAsia"/>
          <w:i/>
          <w:iCs/>
          <w:rtl/>
          <w:lang w:bidi="ar"/>
        </w:rPr>
        <w:t xml:space="preserve"> ضد كازاخستان </w:t>
      </w:r>
      <w:r w:rsidRPr="00DE7260">
        <w:rPr>
          <w:rFonts w:asciiTheme="majorBidi" w:eastAsiaTheme="minorEastAsia" w:hAnsiTheme="majorBidi"/>
          <w:i/>
          <w:rtl/>
          <w:lang w:bidi="ar"/>
        </w:rPr>
        <w:t>(</w:t>
      </w:r>
      <w:r w:rsidRPr="00DE7260">
        <w:rPr>
          <w:rFonts w:asciiTheme="majorBidi" w:eastAsiaTheme="minorEastAsia" w:hAnsiTheme="majorBidi" w:cstheme="majorBidi"/>
          <w:iCs/>
          <w:lang w:bidi="ar"/>
        </w:rPr>
        <w:t>CCPR/C/126/D/2542/2015</w:t>
      </w:r>
      <w:r w:rsidRPr="00DE7260">
        <w:rPr>
          <w:rFonts w:eastAsiaTheme="minorEastAsia"/>
          <w:i/>
          <w:rtl/>
          <w:lang w:bidi="ar"/>
        </w:rPr>
        <w:t>؛</w:t>
      </w:r>
      <w:r w:rsidRPr="00DE7260">
        <w:rPr>
          <w:rFonts w:eastAsiaTheme="minorEastAsia"/>
          <w:iCs/>
          <w:rtl/>
          <w:lang w:bidi="ar"/>
        </w:rPr>
        <w:t xml:space="preserve"> </w:t>
      </w:r>
      <w:r w:rsidRPr="00DE7260">
        <w:rPr>
          <w:rFonts w:eastAsiaTheme="minorEastAsia" w:cs="Times New Roman"/>
          <w:iCs/>
          <w:lang w:bidi="ar"/>
        </w:rPr>
        <w:t>CCPR/C/126/D/2543/2015</w:t>
      </w:r>
      <w:r w:rsidRPr="00DE7260">
        <w:rPr>
          <w:rFonts w:eastAsiaTheme="minorEastAsia"/>
          <w:i/>
          <w:rtl/>
          <w:lang w:bidi="ar"/>
        </w:rPr>
        <w:t>)</w:t>
      </w:r>
      <w:r w:rsidRPr="00E74FBF">
        <w:rPr>
          <w:rFonts w:eastAsiaTheme="minorEastAsia"/>
          <w:rtl/>
          <w:lang w:bidi="ar"/>
        </w:rPr>
        <w:t xml:space="preserve">، الفقرة </w:t>
      </w:r>
      <w:r w:rsidRPr="00DE7260">
        <w:rPr>
          <w:rFonts w:eastAsiaTheme="minorEastAsia"/>
          <w:rtl/>
          <w:lang w:bidi="ar"/>
        </w:rPr>
        <w:t>8</w:t>
      </w:r>
      <w:r w:rsidRPr="00E74FBF">
        <w:rPr>
          <w:rFonts w:eastAsiaTheme="minorEastAsia"/>
          <w:rtl/>
          <w:lang w:bidi="ar"/>
        </w:rPr>
        <w:t>-</w:t>
      </w:r>
      <w:r w:rsidRPr="00DE7260">
        <w:rPr>
          <w:rFonts w:eastAsiaTheme="minorEastAsia"/>
          <w:rtl/>
          <w:lang w:bidi="ar"/>
        </w:rPr>
        <w:t>3</w:t>
      </w:r>
      <w:r w:rsidRPr="00E74FBF">
        <w:rPr>
          <w:rFonts w:eastAsiaTheme="minorEastAsia"/>
          <w:rtl/>
          <w:lang w:bidi="ar"/>
        </w:rPr>
        <w:t xml:space="preserve">. </w:t>
      </w:r>
    </w:p>
  </w:footnote>
  <w:footnote w:id="18">
    <w:p w14:paraId="606A5FF3" w14:textId="5A701ED4" w:rsidR="00144989" w:rsidRPr="00E74FBF" w:rsidRDefault="00144989" w:rsidP="00EB6BD6">
      <w:pPr>
        <w:pStyle w:val="FootnoteText1"/>
        <w:rPr>
          <w:rFonts w:eastAsiaTheme="minorEastAsia"/>
          <w:lang w:val="es-ES"/>
        </w:rPr>
      </w:pPr>
      <w:r w:rsidRPr="00E74FBF">
        <w:rPr>
          <w:rStyle w:val="FootnoteReference"/>
          <w:rFonts w:eastAsiaTheme="minorEastAsia"/>
          <w:vertAlign w:val="baseline"/>
          <w:rtl/>
          <w:lang w:bidi="ar"/>
        </w:rPr>
        <w:t>(</w:t>
      </w:r>
      <w:r w:rsidRPr="00DE7260">
        <w:rPr>
          <w:rStyle w:val="FootnoteReference"/>
          <w:rFonts w:eastAsiaTheme="minorEastAsia"/>
          <w:vertAlign w:val="baseline"/>
          <w:lang w:bidi="ar"/>
        </w:rPr>
        <w:footnoteRef/>
      </w:r>
      <w:r w:rsidRPr="00E74FBF">
        <w:rPr>
          <w:rStyle w:val="FootnoteReference"/>
          <w:rFonts w:eastAsiaTheme="minorEastAsia"/>
          <w:vertAlign w:val="baseline"/>
          <w:rtl/>
          <w:lang w:bidi="ar"/>
        </w:rPr>
        <w:t>)</w:t>
      </w:r>
      <w:r w:rsidRPr="00E74FBF">
        <w:rPr>
          <w:rFonts w:eastAsiaTheme="minorEastAsia"/>
          <w:rtl/>
          <w:lang w:bidi="ar"/>
        </w:rPr>
        <w:tab/>
        <w:t xml:space="preserve">قضية </w:t>
      </w:r>
      <w:proofErr w:type="spellStart"/>
      <w:r w:rsidRPr="00DE7260">
        <w:rPr>
          <w:rFonts w:eastAsiaTheme="minorEastAsia"/>
          <w:i/>
          <w:iCs/>
          <w:rtl/>
          <w:lang w:bidi="ar"/>
        </w:rPr>
        <w:t>أوسيوك</w:t>
      </w:r>
      <w:proofErr w:type="spellEnd"/>
      <w:r w:rsidRPr="00DE7260">
        <w:rPr>
          <w:rFonts w:eastAsiaTheme="minorEastAsia"/>
          <w:i/>
          <w:iCs/>
          <w:rtl/>
          <w:lang w:bidi="ar"/>
        </w:rPr>
        <w:t xml:space="preserve"> ضد بيلاروسيا</w:t>
      </w:r>
      <w:r w:rsidRPr="00E74FBF">
        <w:rPr>
          <w:rFonts w:eastAsiaTheme="minorEastAsia"/>
          <w:rtl/>
          <w:lang w:bidi="ar"/>
        </w:rPr>
        <w:t xml:space="preserve">، الفقرة </w:t>
      </w:r>
      <w:r w:rsidRPr="00DE7260">
        <w:rPr>
          <w:rFonts w:eastAsiaTheme="minorEastAsia"/>
          <w:rtl/>
          <w:lang w:bidi="ar"/>
        </w:rPr>
        <w:t>7</w:t>
      </w:r>
      <w:r w:rsidRPr="00E74FBF">
        <w:rPr>
          <w:rFonts w:eastAsiaTheme="minorEastAsia"/>
          <w:rtl/>
          <w:lang w:bidi="ar"/>
        </w:rPr>
        <w:t>-</w:t>
      </w:r>
      <w:r w:rsidRPr="00DE7260">
        <w:rPr>
          <w:rFonts w:eastAsiaTheme="minorEastAsia"/>
          <w:rtl/>
          <w:lang w:bidi="ar"/>
        </w:rPr>
        <w:t>3</w:t>
      </w:r>
      <w:r w:rsidRPr="00E74FBF">
        <w:rPr>
          <w:rFonts w:eastAsiaTheme="minorEastAsia"/>
          <w:rtl/>
          <w:lang w:bidi="ar"/>
        </w:rPr>
        <w:t>.</w:t>
      </w:r>
    </w:p>
  </w:footnote>
  <w:footnote w:id="19">
    <w:p w14:paraId="6058F9DC" w14:textId="776D9223" w:rsidR="00144989" w:rsidRPr="00E74FBF" w:rsidRDefault="00144989" w:rsidP="00EB6BD6">
      <w:pPr>
        <w:pStyle w:val="FootnoteText1"/>
        <w:rPr>
          <w:rFonts w:eastAsiaTheme="minorEastAsia"/>
          <w:lang w:val="es-ES"/>
        </w:rPr>
      </w:pPr>
      <w:r w:rsidRPr="00E74FBF">
        <w:rPr>
          <w:rStyle w:val="FootnoteReference"/>
          <w:rFonts w:eastAsiaTheme="minorEastAsia"/>
          <w:vertAlign w:val="baseline"/>
          <w:rtl/>
          <w:lang w:bidi="ar"/>
        </w:rPr>
        <w:t>(</w:t>
      </w:r>
      <w:r w:rsidRPr="00DE7260">
        <w:rPr>
          <w:rStyle w:val="FootnoteReference"/>
          <w:rFonts w:eastAsiaTheme="minorEastAsia"/>
          <w:vertAlign w:val="baseline"/>
          <w:lang w:bidi="ar"/>
        </w:rPr>
        <w:footnoteRef/>
      </w:r>
      <w:r w:rsidRPr="00E74FBF">
        <w:rPr>
          <w:rStyle w:val="FootnoteReference"/>
          <w:rFonts w:eastAsiaTheme="minorEastAsia"/>
          <w:vertAlign w:val="baseline"/>
          <w:rtl/>
          <w:lang w:bidi="ar"/>
        </w:rPr>
        <w:t>)</w:t>
      </w:r>
      <w:r w:rsidRPr="00E74FBF">
        <w:rPr>
          <w:rFonts w:eastAsiaTheme="minorEastAsia"/>
          <w:rtl/>
          <w:lang w:bidi="ar"/>
        </w:rPr>
        <w:tab/>
        <w:t xml:space="preserve">قضية </w:t>
      </w:r>
      <w:proofErr w:type="spellStart"/>
      <w:r w:rsidRPr="00DE7260">
        <w:rPr>
          <w:rFonts w:eastAsiaTheme="minorEastAsia"/>
          <w:i/>
          <w:iCs/>
          <w:rtl/>
          <w:lang w:bidi="ar"/>
        </w:rPr>
        <w:t>ريبتشينكو</w:t>
      </w:r>
      <w:proofErr w:type="spellEnd"/>
      <w:r w:rsidRPr="00DE7260">
        <w:rPr>
          <w:rFonts w:eastAsiaTheme="minorEastAsia"/>
          <w:i/>
          <w:iCs/>
          <w:rtl/>
          <w:lang w:bidi="ar"/>
        </w:rPr>
        <w:t xml:space="preserve"> ضد بيلاروسيا</w:t>
      </w:r>
      <w:r w:rsidRPr="00DE7260">
        <w:rPr>
          <w:rFonts w:eastAsiaTheme="minorEastAsia"/>
          <w:i/>
          <w:rtl/>
          <w:lang w:bidi="ar"/>
        </w:rPr>
        <w:t xml:space="preserve"> (</w:t>
      </w:r>
      <w:r w:rsidRPr="00DE7260">
        <w:rPr>
          <w:rFonts w:eastAsiaTheme="minorEastAsia" w:cs="Times New Roman"/>
          <w:iCs/>
          <w:lang w:bidi="ar"/>
        </w:rPr>
        <w:t>CCPR/C/124/D/2266/2013</w:t>
      </w:r>
      <w:r w:rsidRPr="00DE7260">
        <w:rPr>
          <w:rFonts w:eastAsiaTheme="minorEastAsia"/>
          <w:i/>
          <w:rtl/>
          <w:lang w:bidi="ar"/>
        </w:rPr>
        <w:t>)</w:t>
      </w:r>
      <w:r w:rsidRPr="00E74FBF">
        <w:rPr>
          <w:rFonts w:eastAsiaTheme="minorEastAsia"/>
          <w:rtl/>
          <w:lang w:bidi="ar"/>
        </w:rPr>
        <w:t xml:space="preserve">، الفقرة </w:t>
      </w:r>
      <w:r w:rsidRPr="00DE7260">
        <w:rPr>
          <w:rFonts w:eastAsiaTheme="minorEastAsia"/>
          <w:rtl/>
          <w:lang w:bidi="ar"/>
        </w:rPr>
        <w:t>8</w:t>
      </w:r>
      <w:r w:rsidRPr="00E74FBF">
        <w:rPr>
          <w:rFonts w:eastAsiaTheme="minorEastAsia"/>
          <w:rtl/>
          <w:lang w:bidi="ar"/>
        </w:rPr>
        <w:t>-</w:t>
      </w:r>
      <w:r w:rsidRPr="00DE7260">
        <w:rPr>
          <w:rFonts w:eastAsiaTheme="minorEastAsia"/>
          <w:rtl/>
          <w:lang w:bidi="ar"/>
        </w:rPr>
        <w:t>10</w:t>
      </w:r>
      <w:r w:rsidRPr="00E74FBF">
        <w:rPr>
          <w:rFonts w:eastAsiaTheme="minorEastAsia"/>
          <w:rtl/>
          <w:lang w:bidi="ar"/>
        </w:rPr>
        <w:t>؛</w:t>
      </w:r>
      <w:r w:rsidRPr="00DE7260">
        <w:rPr>
          <w:rFonts w:eastAsiaTheme="minorEastAsia"/>
          <w:i/>
          <w:iCs/>
          <w:rtl/>
          <w:lang w:bidi="ar"/>
        </w:rPr>
        <w:t xml:space="preserve"> </w:t>
      </w:r>
      <w:r w:rsidRPr="00E74FBF">
        <w:rPr>
          <w:rFonts w:eastAsiaTheme="minorEastAsia"/>
          <w:rtl/>
          <w:lang w:bidi="ar"/>
        </w:rPr>
        <w:t>وقضية</w:t>
      </w:r>
      <w:r w:rsidRPr="00DE7260">
        <w:rPr>
          <w:rFonts w:eastAsiaTheme="minorEastAsia"/>
          <w:i/>
          <w:iCs/>
          <w:rtl/>
          <w:lang w:bidi="ar"/>
        </w:rPr>
        <w:t xml:space="preserve"> ف. ب. ضد بيلاروسيا </w:t>
      </w:r>
      <w:r w:rsidRPr="00DE7260">
        <w:rPr>
          <w:rFonts w:eastAsiaTheme="minorEastAsia"/>
          <w:i/>
          <w:rtl/>
          <w:lang w:bidi="ar"/>
        </w:rPr>
        <w:t>(</w:t>
      </w:r>
      <w:r w:rsidRPr="00DE7260">
        <w:rPr>
          <w:rFonts w:eastAsiaTheme="minorEastAsia" w:cs="Times New Roman"/>
          <w:iCs/>
          <w:lang w:bidi="ar"/>
        </w:rPr>
        <w:t>CCPR/C/122/D/2166/2012</w:t>
      </w:r>
      <w:r w:rsidRPr="00DE7260">
        <w:rPr>
          <w:rFonts w:eastAsiaTheme="minorEastAsia"/>
          <w:i/>
          <w:rtl/>
          <w:lang w:bidi="ar"/>
        </w:rPr>
        <w:t>)</w:t>
      </w:r>
      <w:r w:rsidRPr="00E74FBF">
        <w:rPr>
          <w:rFonts w:eastAsiaTheme="minorEastAsia"/>
          <w:rtl/>
          <w:lang w:bidi="ar"/>
        </w:rPr>
        <w:t xml:space="preserve">، الفقرة </w:t>
      </w:r>
      <w:r w:rsidRPr="00DE7260">
        <w:rPr>
          <w:rFonts w:eastAsiaTheme="minorEastAsia"/>
          <w:rtl/>
          <w:lang w:bidi="ar"/>
        </w:rPr>
        <w:t>7</w:t>
      </w:r>
      <w:r w:rsidRPr="00E74FBF">
        <w:rPr>
          <w:rFonts w:eastAsiaTheme="minorEastAsia"/>
          <w:rtl/>
          <w:lang w:bidi="ar"/>
        </w:rPr>
        <w:t>-</w:t>
      </w:r>
      <w:r w:rsidRPr="00DE7260">
        <w:rPr>
          <w:rFonts w:eastAsiaTheme="minorEastAsia"/>
          <w:rtl/>
          <w:lang w:bidi="ar"/>
        </w:rPr>
        <w:t>5</w:t>
      </w:r>
      <w:r w:rsidRPr="00E74FBF">
        <w:rPr>
          <w:rFonts w:eastAsiaTheme="minorEastAsia"/>
          <w:rtl/>
          <w:lang w:bidi="ar"/>
        </w:rPr>
        <w:t xml:space="preserve">؛ وقضية </w:t>
      </w:r>
      <w:proofErr w:type="spellStart"/>
      <w:r w:rsidRPr="00DE7260">
        <w:rPr>
          <w:rFonts w:eastAsiaTheme="minorEastAsia"/>
          <w:i/>
          <w:iCs/>
          <w:rtl/>
          <w:lang w:bidi="ar"/>
        </w:rPr>
        <w:t>أوسيوك</w:t>
      </w:r>
      <w:proofErr w:type="spellEnd"/>
      <w:r w:rsidRPr="00DE7260">
        <w:rPr>
          <w:rFonts w:eastAsiaTheme="minorEastAsia"/>
          <w:i/>
          <w:iCs/>
          <w:rtl/>
          <w:lang w:bidi="ar"/>
        </w:rPr>
        <w:t xml:space="preserve"> ضد بيلاروسيا</w:t>
      </w:r>
      <w:r w:rsidRPr="00E74FBF">
        <w:rPr>
          <w:rFonts w:eastAsiaTheme="minorEastAsia"/>
          <w:rtl/>
          <w:lang w:bidi="ar"/>
        </w:rPr>
        <w:t xml:space="preserve">، الفقرة </w:t>
      </w:r>
      <w:r w:rsidRPr="00DE7260">
        <w:rPr>
          <w:rFonts w:eastAsiaTheme="minorEastAsia"/>
          <w:rtl/>
          <w:lang w:bidi="ar"/>
        </w:rPr>
        <w:t>7</w:t>
      </w:r>
      <w:r w:rsidRPr="00E74FBF">
        <w:rPr>
          <w:rFonts w:eastAsiaTheme="minorEastAsia"/>
          <w:rtl/>
          <w:lang w:bidi="ar"/>
        </w:rPr>
        <w:t>-</w:t>
      </w:r>
      <w:r w:rsidRPr="00DE7260">
        <w:rPr>
          <w:rFonts w:eastAsiaTheme="minorEastAsia"/>
          <w:rtl/>
          <w:lang w:bidi="ar"/>
        </w:rPr>
        <w:t>3</w:t>
      </w:r>
      <w:r w:rsidRPr="00E74FBF">
        <w:rPr>
          <w:rFonts w:eastAsiaTheme="minorEastAsia"/>
          <w:rtl/>
          <w:lang w:bidi="ar"/>
        </w:rPr>
        <w:t>.</w:t>
      </w:r>
    </w:p>
  </w:footnote>
  <w:footnote w:id="20">
    <w:p w14:paraId="7063802D" w14:textId="2BBF3395" w:rsidR="00144989" w:rsidRPr="00E74FBF" w:rsidRDefault="00144989" w:rsidP="00EB6BD6">
      <w:pPr>
        <w:pStyle w:val="FootnoteText1"/>
        <w:rPr>
          <w:rFonts w:eastAsiaTheme="minorEastAsia"/>
          <w:lang w:val="es-ES"/>
        </w:rPr>
      </w:pPr>
      <w:r w:rsidRPr="00E74FBF">
        <w:rPr>
          <w:rStyle w:val="FootnoteReference"/>
          <w:rFonts w:eastAsiaTheme="minorEastAsia"/>
          <w:vertAlign w:val="baseline"/>
          <w:rtl/>
          <w:lang w:bidi="ar"/>
        </w:rPr>
        <w:t>(</w:t>
      </w:r>
      <w:r w:rsidRPr="00DE7260">
        <w:rPr>
          <w:rStyle w:val="FootnoteReference"/>
          <w:rFonts w:eastAsiaTheme="minorEastAsia"/>
          <w:vertAlign w:val="baseline"/>
          <w:lang w:bidi="ar"/>
        </w:rPr>
        <w:footnoteRef/>
      </w:r>
      <w:r w:rsidRPr="00E74FBF">
        <w:rPr>
          <w:rStyle w:val="FootnoteReference"/>
          <w:rFonts w:eastAsiaTheme="minorEastAsia"/>
          <w:vertAlign w:val="baseline"/>
          <w:rtl/>
          <w:lang w:bidi="ar"/>
        </w:rPr>
        <w:t>)</w:t>
      </w:r>
      <w:r w:rsidRPr="00E74FBF">
        <w:rPr>
          <w:rFonts w:eastAsiaTheme="minorEastAsia"/>
          <w:rtl/>
          <w:lang w:bidi="ar"/>
        </w:rPr>
        <w:tab/>
        <w:t xml:space="preserve">التعليق العام رقم </w:t>
      </w:r>
      <w:r w:rsidRPr="00DE7260">
        <w:rPr>
          <w:rFonts w:eastAsiaTheme="minorEastAsia"/>
          <w:rtl/>
          <w:lang w:bidi="ar"/>
        </w:rPr>
        <w:t>34</w:t>
      </w:r>
      <w:r w:rsidRPr="00E74FBF">
        <w:rPr>
          <w:rFonts w:eastAsiaTheme="minorEastAsia"/>
          <w:rtl/>
          <w:lang w:bidi="ar"/>
        </w:rPr>
        <w:t>(</w:t>
      </w:r>
      <w:r w:rsidRPr="00DE7260">
        <w:rPr>
          <w:rFonts w:eastAsiaTheme="minorEastAsia"/>
          <w:rtl/>
          <w:lang w:bidi="ar"/>
        </w:rPr>
        <w:t>2011</w:t>
      </w:r>
      <w:r w:rsidRPr="00E74FBF">
        <w:rPr>
          <w:rFonts w:eastAsiaTheme="minorEastAsia"/>
          <w:rtl/>
          <w:lang w:bidi="ar"/>
        </w:rPr>
        <w:t xml:space="preserve">)، الفقرة </w:t>
      </w:r>
      <w:r w:rsidRPr="00DE7260">
        <w:rPr>
          <w:rFonts w:eastAsiaTheme="minorEastAsia"/>
          <w:rtl/>
          <w:lang w:bidi="ar"/>
        </w:rPr>
        <w:t>2</w:t>
      </w:r>
      <w:r w:rsidRPr="00E74FBF">
        <w:rPr>
          <w:rFonts w:eastAsiaTheme="minorEastAsia"/>
          <w:rtl/>
          <w:lang w:bidi="ar"/>
        </w:rPr>
        <w:t>.</w:t>
      </w:r>
    </w:p>
  </w:footnote>
  <w:footnote w:id="21">
    <w:p w14:paraId="012A7931" w14:textId="6C8AA302" w:rsidR="00144989" w:rsidRPr="00DE7260" w:rsidRDefault="00144989" w:rsidP="00EB6BD6">
      <w:pPr>
        <w:pStyle w:val="FootnoteText1"/>
        <w:rPr>
          <w:rFonts w:eastAsiaTheme="minorEastAsia"/>
          <w:i/>
          <w:lang w:val="es-ES"/>
        </w:rPr>
      </w:pPr>
      <w:r w:rsidRPr="00E74FBF">
        <w:rPr>
          <w:rStyle w:val="FootnoteReference"/>
          <w:rFonts w:eastAsiaTheme="minorEastAsia"/>
          <w:vertAlign w:val="baseline"/>
          <w:rtl/>
          <w:lang w:bidi="ar"/>
        </w:rPr>
        <w:t>(</w:t>
      </w:r>
      <w:r w:rsidRPr="00DE7260">
        <w:rPr>
          <w:rStyle w:val="FootnoteReference"/>
          <w:rFonts w:eastAsiaTheme="minorEastAsia"/>
          <w:vertAlign w:val="baseline"/>
          <w:lang w:bidi="ar"/>
        </w:rPr>
        <w:footnoteRef/>
      </w:r>
      <w:r w:rsidRPr="00E74FBF">
        <w:rPr>
          <w:rStyle w:val="FootnoteReference"/>
          <w:rFonts w:eastAsiaTheme="minorEastAsia"/>
          <w:vertAlign w:val="baseline"/>
          <w:rtl/>
          <w:lang w:bidi="ar"/>
        </w:rPr>
        <w:t>)</w:t>
      </w:r>
      <w:r w:rsidRPr="00E74FBF">
        <w:rPr>
          <w:rFonts w:eastAsiaTheme="minorEastAsia"/>
          <w:rtl/>
          <w:lang w:bidi="ar"/>
        </w:rPr>
        <w:tab/>
      </w:r>
      <w:r w:rsidRPr="00DE7260">
        <w:rPr>
          <w:rFonts w:eastAsiaTheme="minorEastAsia"/>
          <w:i/>
          <w:rtl/>
          <w:lang w:bidi="ar"/>
        </w:rPr>
        <w:t>المرجع نفسه، الفقرة 34.</w:t>
      </w:r>
    </w:p>
  </w:footnote>
  <w:footnote w:id="22">
    <w:p w14:paraId="3BC8FEA7" w14:textId="5AC7B4D0" w:rsidR="00144989" w:rsidRPr="00DE7260" w:rsidRDefault="00144989" w:rsidP="00EB6BD6">
      <w:pPr>
        <w:pStyle w:val="FootnoteText1"/>
        <w:rPr>
          <w:rFonts w:eastAsiaTheme="minorEastAsia"/>
          <w:i/>
          <w:lang w:val="es-ES"/>
        </w:rPr>
      </w:pPr>
      <w:r w:rsidRPr="00DE7260">
        <w:rPr>
          <w:rStyle w:val="FootnoteReference"/>
          <w:rFonts w:eastAsiaTheme="minorEastAsia"/>
          <w:i/>
          <w:vertAlign w:val="baseline"/>
          <w:rtl/>
          <w:lang w:bidi="ar"/>
        </w:rPr>
        <w:t>(</w:t>
      </w:r>
      <w:r w:rsidRPr="00DE7260">
        <w:rPr>
          <w:rStyle w:val="FootnoteReference"/>
          <w:rFonts w:eastAsiaTheme="minorEastAsia"/>
          <w:i/>
          <w:vertAlign w:val="baseline"/>
          <w:lang w:bidi="ar"/>
        </w:rPr>
        <w:footnoteRef/>
      </w:r>
      <w:r w:rsidRPr="00DE7260">
        <w:rPr>
          <w:rStyle w:val="FootnoteReference"/>
          <w:rFonts w:eastAsiaTheme="minorEastAsia"/>
          <w:i/>
          <w:vertAlign w:val="baseline"/>
          <w:rtl/>
          <w:lang w:bidi="ar"/>
        </w:rPr>
        <w:t>)</w:t>
      </w:r>
      <w:r w:rsidRPr="00DE7260">
        <w:rPr>
          <w:rFonts w:eastAsiaTheme="minorEastAsia"/>
          <w:i/>
          <w:rtl/>
          <w:lang w:bidi="ar"/>
        </w:rPr>
        <w:tab/>
        <w:t>المرجع نفسه، الفقرتان 35-36.</w:t>
      </w:r>
    </w:p>
  </w:footnote>
  <w:footnote w:id="23">
    <w:p w14:paraId="1442F467" w14:textId="27EA5884" w:rsidR="00144989" w:rsidRPr="00DE7260" w:rsidRDefault="00144989" w:rsidP="00EB6BD6">
      <w:pPr>
        <w:pStyle w:val="FootnoteText1"/>
        <w:rPr>
          <w:rFonts w:eastAsiaTheme="minorEastAsia"/>
          <w:i/>
          <w:lang w:val="es-ES"/>
        </w:rPr>
      </w:pPr>
      <w:r w:rsidRPr="00DE7260">
        <w:rPr>
          <w:rStyle w:val="FootnoteReference"/>
          <w:rFonts w:eastAsiaTheme="minorEastAsia"/>
          <w:i/>
          <w:vertAlign w:val="baseline"/>
          <w:rtl/>
          <w:lang w:bidi="ar"/>
        </w:rPr>
        <w:t>(</w:t>
      </w:r>
      <w:r w:rsidRPr="00DE7260">
        <w:rPr>
          <w:rStyle w:val="FootnoteReference"/>
          <w:rFonts w:eastAsiaTheme="minorEastAsia"/>
          <w:i/>
          <w:vertAlign w:val="baseline"/>
          <w:lang w:bidi="ar"/>
        </w:rPr>
        <w:footnoteRef/>
      </w:r>
      <w:r w:rsidRPr="00DE7260">
        <w:rPr>
          <w:rStyle w:val="FootnoteReference"/>
          <w:rFonts w:eastAsiaTheme="minorEastAsia"/>
          <w:i/>
          <w:vertAlign w:val="baseline"/>
          <w:rtl/>
          <w:lang w:bidi="ar"/>
        </w:rPr>
        <w:t>)</w:t>
      </w:r>
      <w:r w:rsidRPr="00DE7260">
        <w:rPr>
          <w:rFonts w:eastAsiaTheme="minorEastAsia"/>
          <w:i/>
          <w:rtl/>
          <w:lang w:bidi="ar"/>
        </w:rPr>
        <w:tab/>
        <w:t>المرجع نفسه، الفقرة 13.</w:t>
      </w:r>
    </w:p>
  </w:footnote>
  <w:footnote w:id="24">
    <w:p w14:paraId="2A1ABBFF" w14:textId="401AB9CE" w:rsidR="00144989" w:rsidRPr="00DE7260" w:rsidRDefault="00144989" w:rsidP="00EB6BD6">
      <w:pPr>
        <w:pStyle w:val="FootnoteText1"/>
        <w:rPr>
          <w:rFonts w:eastAsiaTheme="minorEastAsia"/>
          <w:i/>
          <w:lang w:val="es-ES"/>
        </w:rPr>
      </w:pPr>
      <w:r w:rsidRPr="00DE7260">
        <w:rPr>
          <w:rStyle w:val="FootnoteReference"/>
          <w:rFonts w:eastAsiaTheme="minorEastAsia"/>
          <w:i/>
          <w:vertAlign w:val="baseline"/>
          <w:rtl/>
          <w:lang w:bidi="ar"/>
        </w:rPr>
        <w:t>(</w:t>
      </w:r>
      <w:r w:rsidRPr="00DE7260">
        <w:rPr>
          <w:rStyle w:val="FootnoteReference"/>
          <w:rFonts w:eastAsiaTheme="minorEastAsia"/>
          <w:i/>
          <w:vertAlign w:val="baseline"/>
          <w:lang w:bidi="ar"/>
        </w:rPr>
        <w:footnoteRef/>
      </w:r>
      <w:r w:rsidRPr="00DE7260">
        <w:rPr>
          <w:rStyle w:val="FootnoteReference"/>
          <w:rFonts w:eastAsiaTheme="minorEastAsia"/>
          <w:i/>
          <w:vertAlign w:val="baseline"/>
          <w:rtl/>
          <w:lang w:bidi="ar"/>
        </w:rPr>
        <w:t>)</w:t>
      </w:r>
      <w:r w:rsidRPr="00DE7260">
        <w:rPr>
          <w:rFonts w:eastAsiaTheme="minorEastAsia"/>
          <w:i/>
          <w:rtl/>
          <w:lang w:bidi="ar"/>
        </w:rPr>
        <w:tab/>
        <w:t>المرجع نفسه، الفقرتان 13-20.</w:t>
      </w:r>
    </w:p>
  </w:footnote>
  <w:footnote w:id="25">
    <w:p w14:paraId="0B847005" w14:textId="46CC3480" w:rsidR="00144989" w:rsidRPr="00DE7260" w:rsidRDefault="00144989" w:rsidP="00EB6BD6">
      <w:pPr>
        <w:pStyle w:val="FootnoteText1"/>
        <w:rPr>
          <w:rFonts w:eastAsiaTheme="minorEastAsia"/>
          <w:i/>
          <w:lang w:val="es-ES"/>
        </w:rPr>
      </w:pPr>
      <w:r w:rsidRPr="00DE7260">
        <w:rPr>
          <w:rStyle w:val="FootnoteReference"/>
          <w:rFonts w:eastAsiaTheme="minorEastAsia"/>
          <w:i/>
          <w:vertAlign w:val="baseline"/>
          <w:rtl/>
          <w:lang w:bidi="ar"/>
        </w:rPr>
        <w:t>(</w:t>
      </w:r>
      <w:r w:rsidRPr="00DE7260">
        <w:rPr>
          <w:rStyle w:val="FootnoteReference"/>
          <w:rFonts w:eastAsiaTheme="minorEastAsia"/>
          <w:i/>
          <w:vertAlign w:val="baseline"/>
          <w:lang w:bidi="ar"/>
        </w:rPr>
        <w:footnoteRef/>
      </w:r>
      <w:r w:rsidRPr="00DE7260">
        <w:rPr>
          <w:rStyle w:val="FootnoteReference"/>
          <w:rFonts w:eastAsiaTheme="minorEastAsia"/>
          <w:i/>
          <w:vertAlign w:val="baseline"/>
          <w:rtl/>
          <w:lang w:bidi="ar"/>
        </w:rPr>
        <w:t>)</w:t>
      </w:r>
      <w:r w:rsidRPr="00DE7260">
        <w:rPr>
          <w:rFonts w:eastAsiaTheme="minorEastAsia"/>
          <w:i/>
          <w:rtl/>
          <w:lang w:bidi="ar"/>
        </w:rPr>
        <w:tab/>
        <w:t>المرجع نفسه، الفقرة 39.</w:t>
      </w:r>
    </w:p>
  </w:footnote>
  <w:footnote w:id="26">
    <w:p w14:paraId="6C2DA8B5" w14:textId="3D7C6B26" w:rsidR="00144989" w:rsidRPr="00E74FBF" w:rsidRDefault="00144989" w:rsidP="00EB6BD6">
      <w:pPr>
        <w:pStyle w:val="FootnoteText1"/>
        <w:rPr>
          <w:rFonts w:eastAsiaTheme="minorEastAsia"/>
          <w:lang w:val="es-ES"/>
        </w:rPr>
      </w:pPr>
      <w:r w:rsidRPr="00DE7260">
        <w:rPr>
          <w:rStyle w:val="FootnoteReference"/>
          <w:rFonts w:eastAsiaTheme="minorEastAsia"/>
          <w:i/>
          <w:vertAlign w:val="baseline"/>
          <w:rtl/>
          <w:lang w:bidi="ar"/>
        </w:rPr>
        <w:t>(</w:t>
      </w:r>
      <w:r w:rsidRPr="00DE7260">
        <w:rPr>
          <w:rStyle w:val="FootnoteReference"/>
          <w:rFonts w:eastAsiaTheme="minorEastAsia"/>
          <w:i/>
          <w:vertAlign w:val="baseline"/>
          <w:lang w:bidi="ar"/>
        </w:rPr>
        <w:footnoteRef/>
      </w:r>
      <w:r w:rsidRPr="00DE7260">
        <w:rPr>
          <w:rStyle w:val="FootnoteReference"/>
          <w:rFonts w:eastAsiaTheme="minorEastAsia"/>
          <w:i/>
          <w:vertAlign w:val="baseline"/>
          <w:rtl/>
          <w:lang w:bidi="ar"/>
        </w:rPr>
        <w:t>)</w:t>
      </w:r>
      <w:r w:rsidRPr="00DE7260">
        <w:rPr>
          <w:rFonts w:eastAsiaTheme="minorEastAsia"/>
          <w:i/>
          <w:rtl/>
          <w:lang w:bidi="ar"/>
        </w:rPr>
        <w:tab/>
        <w:t>المرجع نفسه. الفقرة 42.</w:t>
      </w:r>
    </w:p>
  </w:footnote>
  <w:footnote w:id="27">
    <w:p w14:paraId="64067982" w14:textId="7DF0871F" w:rsidR="00144989" w:rsidRPr="00E74FBF" w:rsidRDefault="00144989" w:rsidP="00EB6BD6">
      <w:pPr>
        <w:pStyle w:val="FootnoteText1"/>
        <w:rPr>
          <w:rFonts w:eastAsiaTheme="minorEastAsia"/>
          <w:lang w:val="es-ES"/>
        </w:rPr>
      </w:pPr>
      <w:r w:rsidRPr="00E74FBF">
        <w:rPr>
          <w:rStyle w:val="FootnoteReference"/>
          <w:rFonts w:eastAsiaTheme="minorEastAsia"/>
          <w:vertAlign w:val="baseline"/>
          <w:rtl/>
          <w:lang w:bidi="ar"/>
        </w:rPr>
        <w:t>(</w:t>
      </w:r>
      <w:r w:rsidRPr="00DE7260">
        <w:rPr>
          <w:rStyle w:val="FootnoteReference"/>
          <w:rFonts w:eastAsiaTheme="minorEastAsia"/>
          <w:vertAlign w:val="baseline"/>
          <w:lang w:bidi="ar"/>
        </w:rPr>
        <w:footnoteRef/>
      </w:r>
      <w:r w:rsidRPr="00E74FBF">
        <w:rPr>
          <w:rStyle w:val="FootnoteReference"/>
          <w:rFonts w:eastAsiaTheme="minorEastAsia"/>
          <w:vertAlign w:val="baseline"/>
          <w:rtl/>
          <w:lang w:bidi="ar"/>
        </w:rPr>
        <w:t>)</w:t>
      </w:r>
      <w:r w:rsidRPr="00E74FBF">
        <w:rPr>
          <w:rFonts w:eastAsiaTheme="minorEastAsia"/>
          <w:rtl/>
          <w:lang w:bidi="ar"/>
        </w:rPr>
        <w:tab/>
        <w:t xml:space="preserve">قضية </w:t>
      </w:r>
      <w:proofErr w:type="spellStart"/>
      <w:r w:rsidRPr="00DE7260">
        <w:rPr>
          <w:rFonts w:eastAsiaTheme="minorEastAsia"/>
          <w:i/>
          <w:iCs/>
          <w:rtl/>
          <w:lang w:bidi="ar"/>
        </w:rPr>
        <w:t>مافلونوف</w:t>
      </w:r>
      <w:proofErr w:type="spellEnd"/>
      <w:r w:rsidRPr="00DE7260">
        <w:rPr>
          <w:rFonts w:eastAsiaTheme="minorEastAsia"/>
          <w:i/>
          <w:iCs/>
          <w:rtl/>
          <w:lang w:bidi="ar"/>
        </w:rPr>
        <w:t xml:space="preserve"> وسعدي ضد أوز</w:t>
      </w:r>
      <w:r w:rsidRPr="00DE7260">
        <w:rPr>
          <w:rFonts w:eastAsiaTheme="minorEastAsia" w:hint="cs"/>
          <w:i/>
          <w:iCs/>
          <w:rtl/>
          <w:lang w:bidi="ar"/>
        </w:rPr>
        <w:t>ب</w:t>
      </w:r>
      <w:r w:rsidRPr="00DE7260">
        <w:rPr>
          <w:rFonts w:eastAsiaTheme="minorEastAsia"/>
          <w:i/>
          <w:iCs/>
          <w:rtl/>
          <w:lang w:bidi="ar"/>
        </w:rPr>
        <w:t>كستان</w:t>
      </w:r>
      <w:r w:rsidRPr="00E74FBF">
        <w:rPr>
          <w:rFonts w:eastAsiaTheme="minorEastAsia"/>
          <w:rtl/>
          <w:lang w:bidi="ar"/>
        </w:rPr>
        <w:t xml:space="preserve">، الفقرة </w:t>
      </w:r>
      <w:r w:rsidRPr="00DE7260">
        <w:rPr>
          <w:rFonts w:eastAsiaTheme="minorEastAsia"/>
          <w:rtl/>
          <w:lang w:bidi="ar"/>
        </w:rPr>
        <w:t>8</w:t>
      </w:r>
      <w:r w:rsidRPr="00E74FBF">
        <w:rPr>
          <w:rFonts w:eastAsiaTheme="minorEastAsia"/>
          <w:rtl/>
          <w:lang w:bidi="ar"/>
        </w:rPr>
        <w:t>-</w:t>
      </w:r>
      <w:r w:rsidRPr="00DE7260">
        <w:rPr>
          <w:rFonts w:eastAsiaTheme="minorEastAsia"/>
          <w:rtl/>
          <w:lang w:bidi="ar"/>
        </w:rPr>
        <w:t>4</w:t>
      </w:r>
      <w:r w:rsidRPr="00E74FBF">
        <w:rPr>
          <w:rFonts w:eastAsiaTheme="minorEastAsia"/>
          <w:rtl/>
          <w:lang w:bidi="ar"/>
        </w:rPr>
        <w:t>.</w:t>
      </w:r>
    </w:p>
  </w:footnote>
  <w:footnote w:id="28">
    <w:p w14:paraId="672DABF4" w14:textId="2A18D7C2" w:rsidR="00144989" w:rsidRPr="00E74FBF" w:rsidRDefault="00144989" w:rsidP="00EB6BD6">
      <w:pPr>
        <w:pStyle w:val="FootnoteText1"/>
        <w:rPr>
          <w:rFonts w:eastAsiaTheme="minorEastAsia"/>
        </w:rPr>
      </w:pPr>
      <w:r w:rsidRPr="00E74FBF">
        <w:rPr>
          <w:rStyle w:val="FootnoteReference"/>
          <w:rFonts w:eastAsiaTheme="minorEastAsia"/>
          <w:vertAlign w:val="baseline"/>
          <w:rtl/>
          <w:lang w:bidi="ar"/>
        </w:rPr>
        <w:t>(</w:t>
      </w:r>
      <w:r w:rsidRPr="00DE7260">
        <w:rPr>
          <w:rStyle w:val="FootnoteReference"/>
          <w:rFonts w:eastAsiaTheme="minorEastAsia"/>
          <w:vertAlign w:val="baseline"/>
          <w:lang w:bidi="ar"/>
        </w:rPr>
        <w:footnoteRef/>
      </w:r>
      <w:r w:rsidRPr="00E74FBF">
        <w:rPr>
          <w:rStyle w:val="FootnoteReference"/>
          <w:rFonts w:eastAsiaTheme="minorEastAsia"/>
          <w:vertAlign w:val="baseline"/>
          <w:rtl/>
          <w:lang w:bidi="ar"/>
        </w:rPr>
        <w:t>)</w:t>
      </w:r>
      <w:r w:rsidRPr="00E74FBF">
        <w:rPr>
          <w:rFonts w:eastAsiaTheme="minorEastAsia"/>
          <w:rtl/>
          <w:lang w:bidi="ar"/>
        </w:rPr>
        <w:tab/>
        <w:t xml:space="preserve">التعليق العام رقم </w:t>
      </w:r>
      <w:r w:rsidRPr="00DE7260">
        <w:rPr>
          <w:rFonts w:eastAsiaTheme="minorEastAsia"/>
          <w:rtl/>
          <w:lang w:bidi="ar"/>
        </w:rPr>
        <w:t>32</w:t>
      </w:r>
      <w:r>
        <w:rPr>
          <w:rFonts w:eastAsiaTheme="minorEastAsia"/>
          <w:rtl/>
          <w:lang w:bidi="ar"/>
        </w:rPr>
        <w:t>(</w:t>
      </w:r>
      <w:r w:rsidRPr="00DE7260">
        <w:rPr>
          <w:rFonts w:eastAsiaTheme="minorEastAsia"/>
          <w:rtl/>
          <w:lang w:bidi="ar"/>
        </w:rPr>
        <w:t>2007</w:t>
      </w:r>
      <w:r w:rsidRPr="00E74FBF">
        <w:rPr>
          <w:rFonts w:eastAsiaTheme="minorEastAsia"/>
          <w:rtl/>
          <w:lang w:bidi="ar"/>
        </w:rPr>
        <w:t xml:space="preserve">)، الفقرة </w:t>
      </w:r>
      <w:r w:rsidRPr="00DE7260">
        <w:rPr>
          <w:rFonts w:eastAsiaTheme="minorEastAsia"/>
          <w:rtl/>
          <w:lang w:bidi="ar"/>
        </w:rPr>
        <w:t>36</w:t>
      </w:r>
      <w:r w:rsidRPr="00E74FBF">
        <w:rPr>
          <w:rFonts w:eastAsiaTheme="minorEastAsia"/>
          <w:rtl/>
          <w:lang w:bidi="ar"/>
        </w:rPr>
        <w:t xml:space="preserve">؛ </w:t>
      </w:r>
      <w:r w:rsidRPr="00DE7260">
        <w:rPr>
          <w:rFonts w:eastAsiaTheme="minorEastAsia"/>
          <w:i/>
          <w:rtl/>
          <w:lang w:bidi="ar"/>
        </w:rPr>
        <w:t>انظر قضية</w:t>
      </w:r>
      <w:r w:rsidRPr="00DE7260">
        <w:rPr>
          <w:rFonts w:eastAsiaTheme="minorEastAsia"/>
          <w:iCs/>
          <w:rtl/>
          <w:lang w:bidi="ar"/>
        </w:rPr>
        <w:t xml:space="preserve"> </w:t>
      </w:r>
      <w:proofErr w:type="spellStart"/>
      <w:r w:rsidRPr="00DE7260">
        <w:rPr>
          <w:rFonts w:eastAsiaTheme="minorEastAsia"/>
          <w:i/>
          <w:iCs/>
          <w:rtl/>
          <w:lang w:bidi="ar"/>
        </w:rPr>
        <w:t>أوسيوك</w:t>
      </w:r>
      <w:proofErr w:type="spellEnd"/>
      <w:r w:rsidRPr="00DE7260">
        <w:rPr>
          <w:rFonts w:eastAsiaTheme="minorEastAsia"/>
          <w:i/>
          <w:iCs/>
          <w:rtl/>
          <w:lang w:bidi="ar"/>
        </w:rPr>
        <w:t xml:space="preserve"> ضد بيلاروسيا، </w:t>
      </w:r>
      <w:r w:rsidRPr="00E74FBF">
        <w:rPr>
          <w:rFonts w:eastAsiaTheme="minorEastAsia"/>
          <w:rtl/>
          <w:lang w:bidi="ar"/>
        </w:rPr>
        <w:t xml:space="preserve">الفقرة </w:t>
      </w:r>
      <w:r w:rsidRPr="00DE7260">
        <w:rPr>
          <w:rFonts w:eastAsiaTheme="minorEastAsia"/>
          <w:rtl/>
          <w:lang w:bidi="ar"/>
        </w:rPr>
        <w:t>8</w:t>
      </w:r>
      <w:r w:rsidRPr="00E74FBF">
        <w:rPr>
          <w:rFonts w:eastAsiaTheme="minorEastAsia"/>
          <w:rtl/>
          <w:lang w:bidi="ar"/>
        </w:rPr>
        <w:t>-</w:t>
      </w:r>
      <w:r w:rsidRPr="00DE7260">
        <w:rPr>
          <w:rFonts w:eastAsiaTheme="minorEastAsia"/>
          <w:rtl/>
          <w:lang w:bidi="ar"/>
        </w:rPr>
        <w:t>2</w:t>
      </w:r>
      <w:r w:rsidRPr="00E74FBF">
        <w:rPr>
          <w:rFonts w:eastAsiaTheme="minorEastAsia"/>
          <w:rtl/>
          <w:lang w:bidi="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CCB04" w14:textId="77777777" w:rsidR="00144989" w:rsidRPr="00C74505" w:rsidRDefault="00144989" w:rsidP="00C74505">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CCPR/C/130/D/2664/2015</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63BE9" w14:textId="77777777" w:rsidR="00144989" w:rsidRPr="00C74505" w:rsidRDefault="00144989" w:rsidP="00C74505">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t>CCPR/C/130/D/2664/2015</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EA"/>
    <w:rsid w:val="000076D5"/>
    <w:rsid w:val="00043663"/>
    <w:rsid w:val="000437B8"/>
    <w:rsid w:val="000505CF"/>
    <w:rsid w:val="000B7FDE"/>
    <w:rsid w:val="000D701C"/>
    <w:rsid w:val="000E2A71"/>
    <w:rsid w:val="00144989"/>
    <w:rsid w:val="00145577"/>
    <w:rsid w:val="0015472B"/>
    <w:rsid w:val="00156117"/>
    <w:rsid w:val="00160263"/>
    <w:rsid w:val="00181F96"/>
    <w:rsid w:val="001872B1"/>
    <w:rsid w:val="001A1371"/>
    <w:rsid w:val="001B043F"/>
    <w:rsid w:val="001B346A"/>
    <w:rsid w:val="001E1BEA"/>
    <w:rsid w:val="001E1CAD"/>
    <w:rsid w:val="001E290D"/>
    <w:rsid w:val="002144FA"/>
    <w:rsid w:val="0023469A"/>
    <w:rsid w:val="00243C8A"/>
    <w:rsid w:val="00267A0E"/>
    <w:rsid w:val="0027279C"/>
    <w:rsid w:val="00274F24"/>
    <w:rsid w:val="00282AC7"/>
    <w:rsid w:val="002901D9"/>
    <w:rsid w:val="002976C2"/>
    <w:rsid w:val="003068BC"/>
    <w:rsid w:val="003260FF"/>
    <w:rsid w:val="00343D95"/>
    <w:rsid w:val="00363A18"/>
    <w:rsid w:val="00374341"/>
    <w:rsid w:val="003D1062"/>
    <w:rsid w:val="004002FA"/>
    <w:rsid w:val="00402051"/>
    <w:rsid w:val="00420D7B"/>
    <w:rsid w:val="00450B21"/>
    <w:rsid w:val="00453B63"/>
    <w:rsid w:val="00455780"/>
    <w:rsid w:val="004655DD"/>
    <w:rsid w:val="004B0A1C"/>
    <w:rsid w:val="004B27E0"/>
    <w:rsid w:val="004D298E"/>
    <w:rsid w:val="005044B3"/>
    <w:rsid w:val="00517BC9"/>
    <w:rsid w:val="00522CF4"/>
    <w:rsid w:val="0054472E"/>
    <w:rsid w:val="005662A9"/>
    <w:rsid w:val="00573F23"/>
    <w:rsid w:val="005827D4"/>
    <w:rsid w:val="0058508B"/>
    <w:rsid w:val="0059622A"/>
    <w:rsid w:val="005B51C4"/>
    <w:rsid w:val="005C0061"/>
    <w:rsid w:val="005C5878"/>
    <w:rsid w:val="005C7CEA"/>
    <w:rsid w:val="005D3C0B"/>
    <w:rsid w:val="005E5217"/>
    <w:rsid w:val="005F0FA4"/>
    <w:rsid w:val="005F30EE"/>
    <w:rsid w:val="005F5271"/>
    <w:rsid w:val="0060473A"/>
    <w:rsid w:val="00617024"/>
    <w:rsid w:val="00652221"/>
    <w:rsid w:val="006531D2"/>
    <w:rsid w:val="00656392"/>
    <w:rsid w:val="006645EC"/>
    <w:rsid w:val="0068781D"/>
    <w:rsid w:val="006959B0"/>
    <w:rsid w:val="006B3E27"/>
    <w:rsid w:val="006B6507"/>
    <w:rsid w:val="006C104C"/>
    <w:rsid w:val="006C632E"/>
    <w:rsid w:val="00717FB3"/>
    <w:rsid w:val="00730446"/>
    <w:rsid w:val="007308F6"/>
    <w:rsid w:val="00733704"/>
    <w:rsid w:val="0078071A"/>
    <w:rsid w:val="00787022"/>
    <w:rsid w:val="00787E1E"/>
    <w:rsid w:val="00812073"/>
    <w:rsid w:val="00852A9A"/>
    <w:rsid w:val="008F49E1"/>
    <w:rsid w:val="0090370F"/>
    <w:rsid w:val="009269D2"/>
    <w:rsid w:val="00933B20"/>
    <w:rsid w:val="00935AF9"/>
    <w:rsid w:val="00942135"/>
    <w:rsid w:val="009521B0"/>
    <w:rsid w:val="00957437"/>
    <w:rsid w:val="00982139"/>
    <w:rsid w:val="009867A8"/>
    <w:rsid w:val="00991F44"/>
    <w:rsid w:val="009A0CFB"/>
    <w:rsid w:val="009A7E9F"/>
    <w:rsid w:val="009C17EC"/>
    <w:rsid w:val="009E5018"/>
    <w:rsid w:val="00A03700"/>
    <w:rsid w:val="00A053F2"/>
    <w:rsid w:val="00A12B37"/>
    <w:rsid w:val="00A54828"/>
    <w:rsid w:val="00A97E1F"/>
    <w:rsid w:val="00AB3D6D"/>
    <w:rsid w:val="00AB512E"/>
    <w:rsid w:val="00AB6758"/>
    <w:rsid w:val="00AB727F"/>
    <w:rsid w:val="00B13763"/>
    <w:rsid w:val="00B477A4"/>
    <w:rsid w:val="00B54045"/>
    <w:rsid w:val="00B63ADD"/>
    <w:rsid w:val="00B855D2"/>
    <w:rsid w:val="00BB09A0"/>
    <w:rsid w:val="00C175A6"/>
    <w:rsid w:val="00C41DCF"/>
    <w:rsid w:val="00C42AF7"/>
    <w:rsid w:val="00C438D7"/>
    <w:rsid w:val="00C62C20"/>
    <w:rsid w:val="00C74505"/>
    <w:rsid w:val="00C81B50"/>
    <w:rsid w:val="00C902EF"/>
    <w:rsid w:val="00CB0011"/>
    <w:rsid w:val="00CB6622"/>
    <w:rsid w:val="00CD1801"/>
    <w:rsid w:val="00CF56F9"/>
    <w:rsid w:val="00CF65C6"/>
    <w:rsid w:val="00D00A89"/>
    <w:rsid w:val="00D10EF1"/>
    <w:rsid w:val="00D132FA"/>
    <w:rsid w:val="00D36EB0"/>
    <w:rsid w:val="00D42810"/>
    <w:rsid w:val="00D60DD5"/>
    <w:rsid w:val="00D914A7"/>
    <w:rsid w:val="00DC4D4B"/>
    <w:rsid w:val="00DD13C3"/>
    <w:rsid w:val="00DD596E"/>
    <w:rsid w:val="00DD621E"/>
    <w:rsid w:val="00DE50B1"/>
    <w:rsid w:val="00DE7260"/>
    <w:rsid w:val="00DF0138"/>
    <w:rsid w:val="00DF0575"/>
    <w:rsid w:val="00E2228E"/>
    <w:rsid w:val="00E70E04"/>
    <w:rsid w:val="00E74FBF"/>
    <w:rsid w:val="00E77E6C"/>
    <w:rsid w:val="00E83ED5"/>
    <w:rsid w:val="00EB6BD6"/>
    <w:rsid w:val="00EC05A7"/>
    <w:rsid w:val="00EC4B6B"/>
    <w:rsid w:val="00EC68A5"/>
    <w:rsid w:val="00ED7442"/>
    <w:rsid w:val="00EF1EE5"/>
    <w:rsid w:val="00EF5C43"/>
    <w:rsid w:val="00F10DAB"/>
    <w:rsid w:val="00F46D42"/>
    <w:rsid w:val="00F763B4"/>
    <w:rsid w:val="00F77ABB"/>
    <w:rsid w:val="00F900C3"/>
    <w:rsid w:val="00FC6EDD"/>
    <w:rsid w:val="00FD1934"/>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0E8F13"/>
  <w15:docId w15:val="{0E4055A5-B835-40D2-B79E-4D61F791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EC"/>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9C17EC"/>
    <w:pPr>
      <w:bidi w:val="0"/>
      <w:outlineLvl w:val="0"/>
    </w:pPr>
  </w:style>
  <w:style w:type="paragraph" w:styleId="Heading2">
    <w:name w:val="heading 2"/>
    <w:basedOn w:val="Normal"/>
    <w:next w:val="Normal"/>
    <w:link w:val="Heading2Char"/>
    <w:uiPriority w:val="9"/>
    <w:unhideWhenUsed/>
    <w:rsid w:val="009C17EC"/>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9C17EC"/>
    <w:pPr>
      <w:keepNext/>
      <w:keepLines/>
      <w:spacing w:before="200"/>
      <w:outlineLvl w:val="2"/>
    </w:pPr>
    <w:rPr>
      <w:b/>
      <w:bCs/>
      <w:color w:val="4F81BD"/>
    </w:rPr>
  </w:style>
  <w:style w:type="paragraph" w:styleId="Heading4">
    <w:name w:val="heading 4"/>
    <w:basedOn w:val="Normal"/>
    <w:next w:val="Normal"/>
    <w:link w:val="Heading4Char"/>
    <w:uiPriority w:val="9"/>
    <w:unhideWhenUsed/>
    <w:rsid w:val="009C17EC"/>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9C17EC"/>
    <w:pPr>
      <w:keepNext/>
      <w:keepLines/>
      <w:spacing w:before="200"/>
      <w:outlineLvl w:val="4"/>
    </w:pPr>
    <w:rPr>
      <w:color w:val="243F60"/>
    </w:rPr>
  </w:style>
  <w:style w:type="paragraph" w:styleId="Heading6">
    <w:name w:val="heading 6"/>
    <w:basedOn w:val="Normal"/>
    <w:next w:val="Normal"/>
    <w:link w:val="Heading6Char"/>
    <w:uiPriority w:val="9"/>
    <w:unhideWhenUsed/>
    <w:rsid w:val="009C17EC"/>
    <w:pPr>
      <w:keepNext/>
      <w:keepLines/>
      <w:spacing w:before="200"/>
      <w:outlineLvl w:val="5"/>
    </w:pPr>
    <w:rPr>
      <w:i/>
      <w:iCs/>
      <w:color w:val="243F60"/>
    </w:rPr>
  </w:style>
  <w:style w:type="paragraph" w:styleId="Heading7">
    <w:name w:val="heading 7"/>
    <w:basedOn w:val="Normal"/>
    <w:next w:val="Normal"/>
    <w:link w:val="Heading7Char"/>
    <w:uiPriority w:val="9"/>
    <w:unhideWhenUsed/>
    <w:rsid w:val="009C17EC"/>
    <w:pPr>
      <w:keepNext/>
      <w:keepLines/>
      <w:spacing w:before="200"/>
      <w:outlineLvl w:val="6"/>
    </w:pPr>
    <w:rPr>
      <w:i/>
      <w:iCs/>
      <w:color w:val="404040"/>
    </w:rPr>
  </w:style>
  <w:style w:type="paragraph" w:styleId="Heading8">
    <w:name w:val="heading 8"/>
    <w:basedOn w:val="Normal"/>
    <w:next w:val="Normal"/>
    <w:link w:val="Heading8Char"/>
    <w:uiPriority w:val="9"/>
    <w:unhideWhenUsed/>
    <w:rsid w:val="009C17EC"/>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9C17EC"/>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9C17EC"/>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9C17EC"/>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qFormat/>
    <w:rsid w:val="009C17EC"/>
    <w:rPr>
      <w:szCs w:val="18"/>
      <w:vertAlign w:val="superscript"/>
    </w:rPr>
  </w:style>
  <w:style w:type="paragraph" w:customStyle="1" w:styleId="HMGA">
    <w:name w:val="_ H __M_GA"/>
    <w:basedOn w:val="Normal"/>
    <w:next w:val="SingleTxtGA"/>
    <w:qFormat/>
    <w:rsid w:val="009C17EC"/>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9C17EC"/>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9C17EC"/>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9C17EC"/>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9C17EC"/>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9C17EC"/>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C17EC"/>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9C17EC"/>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9C17EC"/>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9C17EC"/>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9C17EC"/>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9C17EC"/>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9C17EC"/>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9C17EC"/>
    <w:pPr>
      <w:numPr>
        <w:numId w:val="5"/>
      </w:numPr>
      <w:bidi w:val="0"/>
    </w:pPr>
    <w:rPr>
      <w:lang w:val="en-US"/>
    </w:rPr>
  </w:style>
  <w:style w:type="paragraph" w:customStyle="1" w:styleId="Roman1GA">
    <w:name w:val="_Roman 1_GA"/>
    <w:basedOn w:val="Bullet1GA"/>
    <w:qFormat/>
    <w:rsid w:val="009C17EC"/>
    <w:pPr>
      <w:numPr>
        <w:numId w:val="6"/>
      </w:numPr>
      <w:tabs>
        <w:tab w:val="clear" w:pos="2310"/>
        <w:tab w:val="left" w:pos="2486"/>
      </w:tabs>
      <w:ind w:left="2486" w:hanging="378"/>
    </w:pPr>
  </w:style>
  <w:style w:type="paragraph" w:customStyle="1" w:styleId="Roman2GA">
    <w:name w:val="_Roman 2_GA"/>
    <w:basedOn w:val="Bullet2GA"/>
    <w:qFormat/>
    <w:rsid w:val="009C17EC"/>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9C17EC"/>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9C17EC"/>
    <w:rPr>
      <w:rFonts w:ascii="Times New Roman" w:eastAsia="PMingLiU" w:hAnsi="Times New Roman" w:cs="Simplified Arabic"/>
      <w:sz w:val="18"/>
      <w:lang w:val="en-GB" w:eastAsia="en-US"/>
    </w:rPr>
  </w:style>
  <w:style w:type="character" w:customStyle="1" w:styleId="EndtnoteReference">
    <w:name w:val="Endtnote Reference"/>
    <w:aliases w:val="1_GA"/>
    <w:qFormat/>
    <w:rsid w:val="009C17EC"/>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9C17EC"/>
    <w:pPr>
      <w:suppressAutoHyphens/>
      <w:bidi w:val="0"/>
      <w:spacing w:line="240" w:lineRule="auto"/>
    </w:pPr>
    <w:rPr>
      <w:sz w:val="16"/>
      <w:lang w:val="en-GB"/>
    </w:rPr>
  </w:style>
  <w:style w:type="character" w:customStyle="1" w:styleId="FooterChar">
    <w:name w:val="Footer Char"/>
    <w:aliases w:val="3_GA Char,3_G Char"/>
    <w:link w:val="Footer"/>
    <w:rsid w:val="009C17EC"/>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9C17EC"/>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9C17EC"/>
    <w:pPr>
      <w:pBdr>
        <w:bottom w:val="single" w:sz="4" w:space="4" w:color="auto"/>
      </w:pBdr>
      <w:suppressAutoHyphens/>
    </w:pPr>
    <w:rPr>
      <w:b/>
      <w:bCs/>
      <w:sz w:val="18"/>
      <w:szCs w:val="18"/>
    </w:rPr>
  </w:style>
  <w:style w:type="character" w:customStyle="1" w:styleId="HeaderChar">
    <w:name w:val="Header Char"/>
    <w:aliases w:val="6_GA Char,6_G Char"/>
    <w:link w:val="Header"/>
    <w:uiPriority w:val="99"/>
    <w:rsid w:val="009C17EC"/>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9C17EC"/>
    <w:rPr>
      <w:rFonts w:ascii="Times New Roman" w:eastAsia="PMingLiU" w:hAnsi="Times New Roman" w:cs="Simplified Arabic"/>
      <w:sz w:val="22"/>
      <w:szCs w:val="22"/>
      <w:lang w:val="en-GB" w:eastAsia="en-US"/>
    </w:rPr>
  </w:style>
  <w:style w:type="character" w:styleId="PageNumber">
    <w:name w:val="page number"/>
    <w:aliases w:val="7_GA,7_G"/>
    <w:qFormat/>
    <w:rsid w:val="009C17EC"/>
    <w:rPr>
      <w:rFonts w:ascii="Times New Roman Bold" w:hAnsi="Times New Roman Bold"/>
      <w:b/>
      <w:i w:val="0"/>
      <w:sz w:val="18"/>
      <w:szCs w:val="18"/>
    </w:rPr>
  </w:style>
  <w:style w:type="paragraph" w:customStyle="1" w:styleId="XXLargeGA">
    <w:name w:val="XXLarge_GA"/>
    <w:basedOn w:val="Normal"/>
    <w:next w:val="SingleTxtGA"/>
    <w:qFormat/>
    <w:rsid w:val="009C17EC"/>
    <w:pPr>
      <w:suppressAutoHyphens/>
      <w:spacing w:line="820" w:lineRule="exact"/>
    </w:pPr>
    <w:rPr>
      <w:spacing w:val="-8"/>
      <w:w w:val="96"/>
      <w:sz w:val="57"/>
      <w:szCs w:val="86"/>
      <w:lang w:val="en-GB"/>
    </w:rPr>
  </w:style>
  <w:style w:type="character" w:customStyle="1" w:styleId="Heading2Char">
    <w:name w:val="Heading 2 Char"/>
    <w:link w:val="Heading2"/>
    <w:uiPriority w:val="9"/>
    <w:rsid w:val="009C17EC"/>
    <w:rPr>
      <w:rFonts w:ascii="Times New Roman" w:eastAsia="PMingLiU" w:hAnsi="Times New Roman" w:cs="Simplified Arabic"/>
      <w:b/>
      <w:bCs/>
      <w:color w:val="4F81BD"/>
      <w:sz w:val="26"/>
      <w:szCs w:val="26"/>
      <w:lang w:eastAsia="en-US"/>
    </w:rPr>
  </w:style>
  <w:style w:type="character" w:styleId="BookTitle">
    <w:name w:val="Book Title"/>
    <w:uiPriority w:val="33"/>
    <w:rsid w:val="009C17EC"/>
    <w:rPr>
      <w:b/>
      <w:bCs/>
      <w:smallCaps/>
      <w:spacing w:val="5"/>
    </w:rPr>
  </w:style>
  <w:style w:type="character" w:customStyle="1" w:styleId="Heading3Char">
    <w:name w:val="Heading 3 Char"/>
    <w:link w:val="Heading3"/>
    <w:uiPriority w:val="9"/>
    <w:rsid w:val="009C17EC"/>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9C17EC"/>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9C17EC"/>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9C17EC"/>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9C17EC"/>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9C17EC"/>
    <w:rPr>
      <w:rFonts w:ascii="Times New Roman" w:eastAsia="PMingLiU" w:hAnsi="Times New Roman" w:cs="Simplified Arabic"/>
      <w:color w:val="404040"/>
      <w:lang w:eastAsia="en-US"/>
    </w:rPr>
  </w:style>
  <w:style w:type="character" w:customStyle="1" w:styleId="Heading9Char">
    <w:name w:val="Heading 9 Char"/>
    <w:link w:val="Heading9"/>
    <w:uiPriority w:val="9"/>
    <w:rsid w:val="009C17EC"/>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9C17E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9C17EC"/>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9C17EC"/>
    <w:pPr>
      <w:numPr>
        <w:ilvl w:val="1"/>
      </w:numPr>
    </w:pPr>
    <w:rPr>
      <w:i/>
      <w:iCs/>
      <w:color w:val="4F81BD"/>
      <w:spacing w:val="15"/>
      <w:sz w:val="24"/>
      <w:szCs w:val="24"/>
    </w:rPr>
  </w:style>
  <w:style w:type="character" w:customStyle="1" w:styleId="SubtitleChar">
    <w:name w:val="Subtitle Char"/>
    <w:link w:val="Subtitle"/>
    <w:uiPriority w:val="11"/>
    <w:rsid w:val="009C17EC"/>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9C17EC"/>
    <w:rPr>
      <w:i/>
      <w:iCs/>
      <w:color w:val="808080"/>
    </w:rPr>
  </w:style>
  <w:style w:type="table" w:styleId="ColorfulGrid-Accent6">
    <w:name w:val="Colorful Grid Accent 6"/>
    <w:basedOn w:val="TableNormal"/>
    <w:uiPriority w:val="73"/>
    <w:rsid w:val="009C17EC"/>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9C17EC"/>
    <w:rPr>
      <w:i/>
      <w:iCs/>
    </w:rPr>
  </w:style>
  <w:style w:type="character" w:styleId="IntenseEmphasis">
    <w:name w:val="Intense Emphasis"/>
    <w:uiPriority w:val="21"/>
    <w:rsid w:val="009C17EC"/>
    <w:rPr>
      <w:b/>
      <w:bCs/>
      <w:i/>
      <w:iCs/>
      <w:color w:val="4F81BD"/>
    </w:rPr>
  </w:style>
  <w:style w:type="character" w:styleId="Strong">
    <w:name w:val="Strong"/>
    <w:uiPriority w:val="22"/>
    <w:rsid w:val="009C17EC"/>
    <w:rPr>
      <w:b/>
      <w:bCs/>
    </w:rPr>
  </w:style>
  <w:style w:type="paragraph" w:styleId="Quote">
    <w:name w:val="Quote"/>
    <w:basedOn w:val="Normal"/>
    <w:next w:val="Normal"/>
    <w:link w:val="QuoteChar"/>
    <w:uiPriority w:val="29"/>
    <w:rsid w:val="009C17EC"/>
    <w:rPr>
      <w:i/>
      <w:iCs/>
      <w:color w:val="000000"/>
    </w:rPr>
  </w:style>
  <w:style w:type="character" w:customStyle="1" w:styleId="QuoteChar">
    <w:name w:val="Quote Char"/>
    <w:link w:val="Quote"/>
    <w:uiPriority w:val="29"/>
    <w:rsid w:val="009C17EC"/>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9C17E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C17EC"/>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9C17EC"/>
    <w:rPr>
      <w:smallCaps/>
      <w:color w:val="C0504D"/>
      <w:u w:val="single"/>
    </w:rPr>
  </w:style>
  <w:style w:type="character" w:styleId="IntenseReference">
    <w:name w:val="Intense Reference"/>
    <w:uiPriority w:val="32"/>
    <w:rsid w:val="009C17EC"/>
    <w:rPr>
      <w:b/>
      <w:bCs/>
      <w:smallCaps/>
      <w:color w:val="C0504D"/>
      <w:spacing w:val="5"/>
      <w:u w:val="single"/>
    </w:rPr>
  </w:style>
  <w:style w:type="paragraph" w:styleId="ListParagraph">
    <w:name w:val="List Paragraph"/>
    <w:basedOn w:val="Normal"/>
    <w:uiPriority w:val="34"/>
    <w:rsid w:val="009C17EC"/>
    <w:pPr>
      <w:ind w:left="720"/>
      <w:contextualSpacing/>
    </w:pPr>
  </w:style>
  <w:style w:type="table" w:styleId="MediumShading1-Accent4">
    <w:name w:val="Medium Shading 1 Accent 4"/>
    <w:basedOn w:val="TableNormal"/>
    <w:uiPriority w:val="63"/>
    <w:rsid w:val="009C17EC"/>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9C17EC"/>
    <w:rPr>
      <w:rFonts w:eastAsia="MS Mincho"/>
      <w:sz w:val="18"/>
      <w:vertAlign w:val="superscript"/>
    </w:rPr>
  </w:style>
  <w:style w:type="table" w:styleId="TableGrid">
    <w:name w:val="Table Grid"/>
    <w:basedOn w:val="TableNormal"/>
    <w:rsid w:val="009C17EC"/>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7EC"/>
    <w:pPr>
      <w:spacing w:line="240" w:lineRule="auto"/>
    </w:pPr>
    <w:rPr>
      <w:sz w:val="16"/>
      <w:szCs w:val="16"/>
    </w:rPr>
  </w:style>
  <w:style w:type="character" w:customStyle="1" w:styleId="BalloonTextChar">
    <w:name w:val="Balloon Text Char"/>
    <w:link w:val="BalloonText"/>
    <w:uiPriority w:val="99"/>
    <w:semiHidden/>
    <w:rsid w:val="009C17EC"/>
    <w:rPr>
      <w:rFonts w:ascii="Times New Roman" w:eastAsia="PMingLiU" w:hAnsi="Times New Roman" w:cs="Simplified Arabic"/>
      <w:sz w:val="16"/>
      <w:szCs w:val="16"/>
      <w:lang w:eastAsia="en-US"/>
    </w:rPr>
  </w:style>
  <w:style w:type="character" w:styleId="Hyperlink">
    <w:name w:val="Hyperlink"/>
    <w:uiPriority w:val="99"/>
    <w:unhideWhenUsed/>
    <w:rsid w:val="009C17EC"/>
    <w:rPr>
      <w:color w:val="0000FF"/>
      <w:u w:val="none"/>
    </w:rPr>
  </w:style>
  <w:style w:type="paragraph" w:styleId="TOC1">
    <w:name w:val="toc 1"/>
    <w:basedOn w:val="Normal"/>
    <w:link w:val="TOC1Char"/>
    <w:autoRedefine/>
    <w:uiPriority w:val="39"/>
    <w:unhideWhenUsed/>
    <w:rsid w:val="009C17EC"/>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9C17EC"/>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9C17EC"/>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9C17EC"/>
    <w:rPr>
      <w:rFonts w:eastAsia="DengXian"/>
      <w:color w:val="auto"/>
      <w:sz w:val="20"/>
      <w:szCs w:val="20"/>
      <w:u w:val="none"/>
      <w:lang w:eastAsia="zh-CN" w:bidi="ar-EG"/>
    </w:rPr>
  </w:style>
  <w:style w:type="paragraph" w:styleId="TOC4">
    <w:name w:val="toc 4"/>
    <w:basedOn w:val="Normal"/>
    <w:link w:val="TOC4Char"/>
    <w:autoRedefine/>
    <w:uiPriority w:val="39"/>
    <w:unhideWhenUsed/>
    <w:rsid w:val="009C17EC"/>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9C17EC"/>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9C17EC"/>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9C17EC"/>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9C17EC"/>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C17EC"/>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9C17EC"/>
    <w:rPr>
      <w:color w:val="605E5C"/>
      <w:shd w:val="clear" w:color="auto" w:fill="E1DFDD"/>
    </w:rPr>
  </w:style>
  <w:style w:type="character" w:customStyle="1" w:styleId="TOC1Char">
    <w:name w:val="TOC 1 Char"/>
    <w:basedOn w:val="DefaultParagraphFont"/>
    <w:link w:val="TOC1"/>
    <w:uiPriority w:val="39"/>
    <w:rsid w:val="009C17EC"/>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9C17EC"/>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9C17EC"/>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9C17EC"/>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9C17EC"/>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9C17EC"/>
    <w:rPr>
      <w:rFonts w:ascii="Times New Roman" w:eastAsia="PMingLiU" w:hAnsi="Times New Roman" w:cs="Simplified Arabic"/>
      <w:lang w:val="en-GB" w:eastAsia="en-US"/>
    </w:rPr>
  </w:style>
  <w:style w:type="paragraph" w:customStyle="1" w:styleId="SessionDate">
    <w:name w:val="Session_Date"/>
    <w:basedOn w:val="Normal"/>
    <w:qFormat/>
    <w:rsid w:val="009C17EC"/>
    <w:pPr>
      <w:spacing w:before="240" w:after="240" w:line="460" w:lineRule="exact"/>
      <w:ind w:left="1247"/>
    </w:pPr>
    <w:rPr>
      <w:b/>
      <w:bCs/>
      <w:sz w:val="32"/>
      <w:szCs w:val="44"/>
    </w:rPr>
  </w:style>
  <w:style w:type="paragraph" w:customStyle="1" w:styleId="SessionNumber">
    <w:name w:val="Session_Number"/>
    <w:basedOn w:val="Normal"/>
    <w:qFormat/>
    <w:rsid w:val="009C17EC"/>
    <w:pPr>
      <w:spacing w:line="480" w:lineRule="exact"/>
      <w:ind w:left="1247"/>
    </w:pPr>
    <w:rPr>
      <w:b/>
      <w:bCs/>
      <w:sz w:val="28"/>
      <w:szCs w:val="38"/>
    </w:rPr>
  </w:style>
  <w:style w:type="paragraph" w:customStyle="1" w:styleId="CityandYear">
    <w:name w:val="City and Year"/>
    <w:basedOn w:val="SingleTxtGA"/>
    <w:qFormat/>
    <w:rsid w:val="009C17EC"/>
    <w:pPr>
      <w:spacing w:line="480" w:lineRule="exact"/>
    </w:pPr>
    <w:rPr>
      <w:b/>
      <w:bCs/>
      <w:sz w:val="30"/>
      <w:szCs w:val="38"/>
      <w:lang w:eastAsia="ar-SA"/>
    </w:rPr>
  </w:style>
  <w:style w:type="paragraph" w:customStyle="1" w:styleId="NormalA">
    <w:name w:val="Normal_A"/>
    <w:basedOn w:val="Normal"/>
    <w:qFormat/>
    <w:rsid w:val="009C17EC"/>
  </w:style>
  <w:style w:type="paragraph" w:customStyle="1" w:styleId="H1G">
    <w:name w:val="_ H_1_G"/>
    <w:basedOn w:val="Normal"/>
    <w:next w:val="Normal"/>
    <w:qFormat/>
    <w:rsid w:val="009C17EC"/>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9C17EC"/>
    <w:pPr>
      <w:suppressAutoHyphens/>
      <w:bidi w:val="0"/>
      <w:spacing w:after="120"/>
      <w:ind w:left="1134" w:right="1134"/>
      <w:jc w:val="both"/>
    </w:pPr>
    <w:rPr>
      <w:szCs w:val="20"/>
      <w:lang w:val="en-GB"/>
    </w:rPr>
  </w:style>
  <w:style w:type="paragraph" w:customStyle="1" w:styleId="HChG">
    <w:name w:val="_ H _Ch_G"/>
    <w:basedOn w:val="Normal"/>
    <w:next w:val="Normal"/>
    <w:qFormat/>
    <w:rsid w:val="009C17EC"/>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9C17EC"/>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9C17EC"/>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9C17EC"/>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9C17EC"/>
    <w:rPr>
      <w:sz w:val="44"/>
      <w:szCs w:val="44"/>
      <w:lang w:val="en-US" w:bidi="ar-DZ"/>
    </w:rPr>
  </w:style>
  <w:style w:type="paragraph" w:customStyle="1" w:styleId="FootnoteGA0">
    <w:name w:val="Footnote_GA"/>
    <w:basedOn w:val="Normal"/>
    <w:qFormat/>
    <w:rsid w:val="009C17EC"/>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9C17EC"/>
    <w:pPr>
      <w:keepNext/>
      <w:keepLines/>
      <w:spacing w:after="120" w:line="400" w:lineRule="exact"/>
      <w:outlineLvl w:val="0"/>
    </w:pPr>
    <w:rPr>
      <w:b/>
      <w:bCs/>
      <w:kern w:val="14"/>
      <w:sz w:val="24"/>
      <w:szCs w:val="32"/>
    </w:rPr>
  </w:style>
  <w:style w:type="paragraph" w:customStyle="1" w:styleId="HCh">
    <w:name w:val="_ H _Ch"/>
    <w:basedOn w:val="H1"/>
    <w:next w:val="SingleTxt"/>
    <w:qFormat/>
    <w:rsid w:val="009C17EC"/>
    <w:pPr>
      <w:spacing w:line="440" w:lineRule="exact"/>
    </w:pPr>
    <w:rPr>
      <w:spacing w:val="-2"/>
      <w:sz w:val="28"/>
      <w:szCs w:val="36"/>
    </w:rPr>
  </w:style>
  <w:style w:type="character" w:styleId="CommentReference">
    <w:name w:val="annotation reference"/>
    <w:uiPriority w:val="99"/>
    <w:semiHidden/>
    <w:rsid w:val="009C17EC"/>
    <w:rPr>
      <w:sz w:val="6"/>
      <w:szCs w:val="9"/>
    </w:rPr>
  </w:style>
  <w:style w:type="paragraph" w:customStyle="1" w:styleId="HM">
    <w:name w:val="_ H __M"/>
    <w:basedOn w:val="HCh"/>
    <w:next w:val="Normal"/>
    <w:qFormat/>
    <w:rsid w:val="009C17EC"/>
    <w:pPr>
      <w:suppressAutoHyphens/>
      <w:spacing w:line="520" w:lineRule="exact"/>
    </w:pPr>
    <w:rPr>
      <w:spacing w:val="-3"/>
      <w:sz w:val="34"/>
      <w:szCs w:val="48"/>
    </w:rPr>
  </w:style>
  <w:style w:type="paragraph" w:customStyle="1" w:styleId="SingleTxt">
    <w:name w:val="__Single Txt"/>
    <w:basedOn w:val="Normal"/>
    <w:qFormat/>
    <w:rsid w:val="009C17EC"/>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9C17EC"/>
    <w:pPr>
      <w:suppressAutoHyphens/>
      <w:spacing w:line="360" w:lineRule="exact"/>
      <w:outlineLvl w:val="1"/>
    </w:pPr>
    <w:rPr>
      <w:spacing w:val="2"/>
      <w:sz w:val="20"/>
      <w:szCs w:val="28"/>
    </w:rPr>
  </w:style>
  <w:style w:type="paragraph" w:customStyle="1" w:styleId="H4">
    <w:name w:val="_ H_4"/>
    <w:basedOn w:val="Normal"/>
    <w:next w:val="Normal"/>
    <w:qFormat/>
    <w:rsid w:val="009C17EC"/>
    <w:pPr>
      <w:keepNext/>
      <w:keepLines/>
      <w:spacing w:after="120" w:line="360" w:lineRule="exact"/>
      <w:outlineLvl w:val="3"/>
    </w:pPr>
    <w:rPr>
      <w:i/>
      <w:iCs/>
      <w:kern w:val="14"/>
      <w:szCs w:val="28"/>
    </w:rPr>
  </w:style>
  <w:style w:type="paragraph" w:customStyle="1" w:styleId="H56">
    <w:name w:val="_ H_5/6"/>
    <w:basedOn w:val="Normal"/>
    <w:next w:val="Normal"/>
    <w:qFormat/>
    <w:rsid w:val="009C17EC"/>
    <w:pPr>
      <w:keepNext/>
      <w:keepLines/>
      <w:spacing w:after="120" w:line="360" w:lineRule="exact"/>
      <w:outlineLvl w:val="4"/>
    </w:pPr>
    <w:rPr>
      <w:kern w:val="14"/>
      <w:szCs w:val="28"/>
    </w:rPr>
  </w:style>
  <w:style w:type="paragraph" w:customStyle="1" w:styleId="DualTxt">
    <w:name w:val="__Dual Txt"/>
    <w:basedOn w:val="Normal"/>
    <w:qFormat/>
    <w:rsid w:val="009C17EC"/>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9C17EC"/>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9C17EC"/>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9C17EC"/>
    <w:pPr>
      <w:spacing w:after="120" w:line="440" w:lineRule="exact"/>
      <w:jc w:val="center"/>
    </w:pPr>
    <w:rPr>
      <w:b/>
      <w:bCs/>
      <w:sz w:val="25"/>
      <w:szCs w:val="38"/>
    </w:rPr>
  </w:style>
  <w:style w:type="paragraph" w:customStyle="1" w:styleId="JH1">
    <w:name w:val="J_H_1"/>
    <w:basedOn w:val="JCH"/>
    <w:qFormat/>
    <w:rsid w:val="009C17EC"/>
    <w:pPr>
      <w:spacing w:line="420" w:lineRule="exact"/>
    </w:pPr>
    <w:rPr>
      <w:sz w:val="23"/>
      <w:szCs w:val="34"/>
    </w:rPr>
  </w:style>
  <w:style w:type="paragraph" w:customStyle="1" w:styleId="JH2">
    <w:name w:val="J_H_2"/>
    <w:basedOn w:val="JH1"/>
    <w:qFormat/>
    <w:rsid w:val="009C17EC"/>
    <w:pPr>
      <w:spacing w:line="400" w:lineRule="exact"/>
    </w:pPr>
    <w:rPr>
      <w:sz w:val="20"/>
      <w:szCs w:val="30"/>
    </w:rPr>
  </w:style>
  <w:style w:type="paragraph" w:customStyle="1" w:styleId="JSmall">
    <w:name w:val="J_Small"/>
    <w:basedOn w:val="JSingleTxt"/>
    <w:next w:val="JSingleTxt"/>
    <w:qFormat/>
    <w:rsid w:val="009C17EC"/>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9C17EC"/>
    <w:pPr>
      <w:tabs>
        <w:tab w:val="right" w:leader="dot" w:pos="360"/>
      </w:tabs>
      <w:spacing w:line="310" w:lineRule="exact"/>
      <w:jc w:val="right"/>
    </w:pPr>
    <w:rPr>
      <w:spacing w:val="5"/>
      <w:w w:val="104"/>
      <w:kern w:val="14"/>
      <w:sz w:val="17"/>
      <w:szCs w:val="25"/>
    </w:rPr>
  </w:style>
  <w:style w:type="character" w:styleId="LineNumber">
    <w:name w:val="line number"/>
    <w:qFormat/>
    <w:rsid w:val="009C17EC"/>
    <w:rPr>
      <w:sz w:val="14"/>
      <w:szCs w:val="16"/>
    </w:rPr>
  </w:style>
  <w:style w:type="paragraph" w:customStyle="1" w:styleId="SmallX">
    <w:name w:val="SmallX"/>
    <w:basedOn w:val="Small"/>
    <w:next w:val="Normal"/>
    <w:qFormat/>
    <w:rsid w:val="009C17EC"/>
    <w:pPr>
      <w:spacing w:line="240" w:lineRule="exact"/>
    </w:pPr>
    <w:rPr>
      <w:spacing w:val="6"/>
      <w:w w:val="106"/>
      <w:sz w:val="14"/>
      <w:szCs w:val="21"/>
    </w:rPr>
  </w:style>
  <w:style w:type="paragraph" w:customStyle="1" w:styleId="XLarge">
    <w:name w:val="XLarge"/>
    <w:basedOn w:val="HM"/>
    <w:qFormat/>
    <w:rsid w:val="009C17EC"/>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9C17EC"/>
    <w:pPr>
      <w:spacing w:line="820" w:lineRule="exact"/>
    </w:pPr>
    <w:rPr>
      <w:spacing w:val="-8"/>
      <w:w w:val="96"/>
      <w:sz w:val="57"/>
      <w:szCs w:val="86"/>
    </w:rPr>
  </w:style>
  <w:style w:type="paragraph" w:customStyle="1" w:styleId="Distribution">
    <w:name w:val="Distribu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9C17EC"/>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9C17EC"/>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9C17EC"/>
    <w:pPr>
      <w:tabs>
        <w:tab w:val="left" w:pos="662"/>
        <w:tab w:val="left" w:pos="1267"/>
        <w:tab w:val="left" w:pos="1987"/>
        <w:tab w:val="left" w:pos="2650"/>
      </w:tabs>
      <w:spacing w:after="0"/>
      <w:ind w:left="662" w:hanging="662"/>
    </w:pPr>
  </w:style>
  <w:style w:type="paragraph" w:customStyle="1" w:styleId="Committee">
    <w:name w:val="Committee"/>
    <w:basedOn w:val="H1"/>
    <w:qFormat/>
    <w:rsid w:val="009C17EC"/>
    <w:pPr>
      <w:tabs>
        <w:tab w:val="left" w:pos="662"/>
        <w:tab w:val="left" w:pos="1267"/>
        <w:tab w:val="left" w:pos="1987"/>
        <w:tab w:val="left" w:pos="2650"/>
      </w:tabs>
      <w:ind w:right="1264"/>
    </w:pPr>
  </w:style>
  <w:style w:type="paragraph" w:customStyle="1" w:styleId="AgendaItemNormal">
    <w:name w:val="Agenda_Item_Normal"/>
    <w:next w:val="Normal"/>
    <w:qFormat/>
    <w:rsid w:val="009C17EC"/>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9C17EC"/>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9C17EC"/>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9C17EC"/>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9C17EC"/>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9C17EC"/>
    <w:rPr>
      <w:i w:val="0"/>
      <w:color w:val="0000FF"/>
      <w:u w:val="none"/>
    </w:rPr>
  </w:style>
  <w:style w:type="paragraph" w:customStyle="1" w:styleId="Bullet1">
    <w:name w:val="Bullet 1"/>
    <w:basedOn w:val="Normal"/>
    <w:qFormat/>
    <w:rsid w:val="009C17EC"/>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9C17EC"/>
    <w:pPr>
      <w:numPr>
        <w:numId w:val="19"/>
      </w:numPr>
      <w:spacing w:after="120" w:line="360" w:lineRule="exact"/>
      <w:ind w:right="1264"/>
    </w:pPr>
    <w:rPr>
      <w:kern w:val="14"/>
      <w:szCs w:val="28"/>
    </w:rPr>
  </w:style>
  <w:style w:type="paragraph" w:customStyle="1" w:styleId="Bullet3">
    <w:name w:val="Bullet 3"/>
    <w:basedOn w:val="SingleTxt"/>
    <w:qFormat/>
    <w:rsid w:val="009C17EC"/>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9C17EC"/>
    <w:pPr>
      <w:ind w:right="5760"/>
      <w:outlineLvl w:val="1"/>
    </w:pPr>
    <w:rPr>
      <w:spacing w:val="2"/>
      <w:sz w:val="20"/>
      <w:szCs w:val="28"/>
    </w:rPr>
  </w:style>
  <w:style w:type="paragraph" w:customStyle="1" w:styleId="STitleM">
    <w:name w:val="S_Title_M"/>
    <w:basedOn w:val="Normal"/>
    <w:next w:val="Normal"/>
    <w:qFormat/>
    <w:rsid w:val="009C17EC"/>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9C17EC"/>
    <w:pPr>
      <w:spacing w:line="600" w:lineRule="exact"/>
      <w:ind w:left="1267" w:right="1267"/>
    </w:pPr>
    <w:rPr>
      <w:w w:val="103"/>
      <w:sz w:val="60"/>
      <w:szCs w:val="60"/>
    </w:rPr>
  </w:style>
  <w:style w:type="paragraph" w:customStyle="1" w:styleId="STitleL">
    <w:name w:val="S_Title_L"/>
    <w:basedOn w:val="XLarge"/>
    <w:next w:val="Normal"/>
    <w:qFormat/>
    <w:rsid w:val="009C17EC"/>
    <w:rPr>
      <w:spacing w:val="-8"/>
      <w:w w:val="96"/>
      <w:sz w:val="57"/>
    </w:rPr>
  </w:style>
  <w:style w:type="paragraph" w:styleId="CommentText">
    <w:name w:val="annotation text"/>
    <w:basedOn w:val="Normal"/>
    <w:link w:val="CommentTextChar"/>
    <w:uiPriority w:val="99"/>
    <w:semiHidden/>
    <w:unhideWhenUsed/>
    <w:rsid w:val="009C17EC"/>
    <w:pPr>
      <w:spacing w:line="240" w:lineRule="auto"/>
    </w:pPr>
    <w:rPr>
      <w:kern w:val="14"/>
    </w:rPr>
  </w:style>
  <w:style w:type="character" w:customStyle="1" w:styleId="CommentTextChar">
    <w:name w:val="Comment Text Char"/>
    <w:basedOn w:val="DefaultParagraphFont"/>
    <w:link w:val="CommentText"/>
    <w:uiPriority w:val="99"/>
    <w:semiHidden/>
    <w:rsid w:val="009C17EC"/>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9C17EC"/>
    <w:rPr>
      <w:b/>
      <w:bCs/>
    </w:rPr>
  </w:style>
  <w:style w:type="character" w:customStyle="1" w:styleId="CommentSubjectChar">
    <w:name w:val="Comment Subject Char"/>
    <w:basedOn w:val="CommentTextChar"/>
    <w:link w:val="CommentSubject"/>
    <w:uiPriority w:val="99"/>
    <w:semiHidden/>
    <w:rsid w:val="009C17EC"/>
    <w:rPr>
      <w:rFonts w:ascii="Times New Roman" w:eastAsia="PMingLiU" w:hAnsi="Times New Roman" w:cs="Simplified Arabic"/>
      <w:b/>
      <w:bCs/>
      <w:kern w:val="14"/>
      <w:szCs w:val="22"/>
      <w:lang w:eastAsia="en-US"/>
    </w:rPr>
  </w:style>
  <w:style w:type="paragraph" w:customStyle="1" w:styleId="Bullet1G">
    <w:name w:val="_Bullet 1_G"/>
    <w:basedOn w:val="Normal"/>
    <w:qFormat/>
    <w:rsid w:val="009C17EC"/>
    <w:pPr>
      <w:numPr>
        <w:numId w:val="21"/>
      </w:numPr>
      <w:bidi w:val="0"/>
      <w:spacing w:after="120"/>
      <w:ind w:right="1134"/>
      <w:jc w:val="both"/>
    </w:pPr>
    <w:rPr>
      <w:sz w:val="22"/>
    </w:rPr>
  </w:style>
  <w:style w:type="character" w:customStyle="1" w:styleId="SingleTxtGChar">
    <w:name w:val="_ Single Txt_G Char"/>
    <w:link w:val="SingleTxtG"/>
    <w:rsid w:val="009C17EC"/>
    <w:rPr>
      <w:rFonts w:ascii="Times New Roman" w:eastAsia="PMingLiU" w:hAnsi="Times New Roman" w:cs="Simplified Arabic"/>
      <w:lang w:val="en-GB" w:eastAsia="en-US"/>
    </w:rPr>
  </w:style>
  <w:style w:type="paragraph" w:customStyle="1" w:styleId="Preparedby">
    <w:name w:val="Prepared by:"/>
    <w:basedOn w:val="H23GA"/>
    <w:qFormat/>
    <w:rsid w:val="009C17EC"/>
    <w:rPr>
      <w:sz w:val="32"/>
      <w:szCs w:val="32"/>
    </w:rPr>
  </w:style>
  <w:style w:type="paragraph" w:customStyle="1" w:styleId="ParaNoG">
    <w:name w:val="_ParaNo._G"/>
    <w:basedOn w:val="SingleTxtG"/>
    <w:rsid w:val="009C17EC"/>
    <w:pPr>
      <w:numPr>
        <w:numId w:val="28"/>
      </w:numPr>
      <w:tabs>
        <w:tab w:val="left" w:pos="1134"/>
        <w:tab w:val="left" w:pos="1701"/>
        <w:tab w:val="left" w:pos="2268"/>
        <w:tab w:val="left" w:pos="2835"/>
      </w:tabs>
      <w:suppressAutoHyphens w:val="0"/>
    </w:pPr>
    <w:rPr>
      <w:rFonts w:hint="cs"/>
      <w:szCs w:val="30"/>
      <w:lang w:val="fr-FR" w:eastAsia="fr-FR"/>
    </w:rPr>
  </w:style>
  <w:style w:type="paragraph" w:customStyle="1" w:styleId="HMG">
    <w:name w:val="_ H __M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9C17EC"/>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9C17EC"/>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9C17EC"/>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9C17EC"/>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9C17EC"/>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9C17EC"/>
    <w:rPr>
      <w:rFonts w:asciiTheme="minorHAnsi" w:eastAsiaTheme="minorEastAsia" w:hAnsiTheme="minorHAnsi" w:cstheme="minorBidi"/>
      <w:sz w:val="24"/>
      <w:szCs w:val="24"/>
      <w:lang w:val="fr-FR" w:eastAsia="fr-FR"/>
    </w:rPr>
  </w:style>
  <w:style w:type="paragraph" w:customStyle="1" w:styleId="Default">
    <w:name w:val="Default"/>
    <w:semiHidden/>
    <w:rsid w:val="009C17EC"/>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9C17EC"/>
  </w:style>
  <w:style w:type="character" w:customStyle="1" w:styleId="preferred">
    <w:name w:val="preferred"/>
    <w:basedOn w:val="DefaultParagraphFont"/>
    <w:rsid w:val="009C17EC"/>
  </w:style>
  <w:style w:type="character" w:customStyle="1" w:styleId="admitted">
    <w:name w:val="admitted"/>
    <w:basedOn w:val="DefaultParagraphFont"/>
    <w:rsid w:val="009C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427E8-2033-4F33-B0C8-0C4DDF06B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TotalTime>
  <Pages>16</Pages>
  <Words>5960</Words>
  <Characters>37430</Characters>
  <Application>Microsoft Office Word</Application>
  <DocSecurity>4</DocSecurity>
  <Lines>4678</Lines>
  <Paragraphs>3337</Paragraphs>
  <ScaleCrop>false</ScaleCrop>
  <HeadingPairs>
    <vt:vector size="2" baseType="variant">
      <vt:variant>
        <vt:lpstr>Title</vt:lpstr>
      </vt:variant>
      <vt:variant>
        <vt:i4>1</vt:i4>
      </vt:variant>
    </vt:vector>
  </HeadingPairs>
  <TitlesOfParts>
    <vt:vector size="1" baseType="lpstr">
      <vt:lpstr>CCPR/C/130/D/2664/2015</vt:lpstr>
    </vt:vector>
  </TitlesOfParts>
  <Company>DCM</Company>
  <LinksUpToDate>false</LinksUpToDate>
  <CharactersWithSpaces>40053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CCPR/C/130/D/2664/2015</dc:title>
  <dc:subject>GE.2105431(A)</dc:subject>
  <dc:creator>Muntaha BUHNAM - MEL</dc:creator>
  <cp:keywords>GE.2109444(A)</cp:keywords>
  <dc:description>General_x000d_
2021_x000d_
Arabic_x000d_
English</dc:description>
  <cp:lastModifiedBy>Jamal Alkahlout</cp:lastModifiedBy>
  <cp:revision>2</cp:revision>
  <dcterms:created xsi:type="dcterms:W3CDTF">2021-05-05T17:43:00Z</dcterms:created>
  <dcterms:modified xsi:type="dcterms:W3CDTF">2021-05-05T17:43:00Z</dcterms:modified>
  <cp:category>Finale</cp:category>
</cp:coreProperties>
</file>