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C1BFA58" w14:textId="77777777" w:rsidTr="005B51C4">
        <w:trPr>
          <w:trHeight w:hRule="exact" w:val="851"/>
        </w:trPr>
        <w:tc>
          <w:tcPr>
            <w:tcW w:w="1274" w:type="dxa"/>
            <w:tcBorders>
              <w:bottom w:val="single" w:sz="4" w:space="0" w:color="auto"/>
            </w:tcBorders>
            <w:shd w:val="clear" w:color="auto" w:fill="auto"/>
          </w:tcPr>
          <w:p w14:paraId="7C4DDB7F" w14:textId="77777777" w:rsidR="006B3E27" w:rsidRPr="00C175A6" w:rsidRDefault="006B3E27" w:rsidP="00640077">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51EA965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F97581C" w14:textId="77777777" w:rsidR="006B3E27" w:rsidRPr="002B038E" w:rsidRDefault="002B038E" w:rsidP="002B038E">
            <w:pPr>
              <w:bidi w:val="0"/>
              <w:rPr>
                <w:szCs w:val="20"/>
              </w:rPr>
            </w:pPr>
            <w:r w:rsidRPr="002B038E">
              <w:rPr>
                <w:sz w:val="40"/>
                <w:szCs w:val="20"/>
              </w:rPr>
              <w:t>CCPR</w:t>
            </w:r>
            <w:r w:rsidRPr="00793290">
              <w:t>/</w:t>
            </w:r>
            <w:r>
              <w:rPr>
                <w:szCs w:val="20"/>
              </w:rPr>
              <w:t>C</w:t>
            </w:r>
            <w:r w:rsidRPr="00793290">
              <w:t>/130/</w:t>
            </w:r>
            <w:r>
              <w:rPr>
                <w:szCs w:val="20"/>
              </w:rPr>
              <w:t>D</w:t>
            </w:r>
            <w:r w:rsidRPr="00793290">
              <w:t>/2517/2014</w:t>
            </w:r>
          </w:p>
        </w:tc>
      </w:tr>
      <w:tr w:rsidR="006B3E27" w:rsidRPr="00C175A6" w14:paraId="37134B93" w14:textId="77777777" w:rsidTr="005B51C4">
        <w:trPr>
          <w:trHeight w:hRule="exact" w:val="2835"/>
        </w:trPr>
        <w:tc>
          <w:tcPr>
            <w:tcW w:w="1274" w:type="dxa"/>
            <w:tcBorders>
              <w:top w:val="single" w:sz="4" w:space="0" w:color="auto"/>
              <w:bottom w:val="single" w:sz="12" w:space="0" w:color="auto"/>
            </w:tcBorders>
            <w:shd w:val="clear" w:color="auto" w:fill="auto"/>
          </w:tcPr>
          <w:p w14:paraId="385FE972"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F735C18" wp14:editId="67A0F27D">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28B8E55"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EE03D80" w14:textId="77777777" w:rsidR="006B3E27" w:rsidRDefault="002B038E" w:rsidP="004B27E0">
            <w:pPr>
              <w:bidi w:val="0"/>
              <w:spacing w:before="240"/>
              <w:rPr>
                <w:szCs w:val="20"/>
              </w:rPr>
            </w:pPr>
            <w:r>
              <w:rPr>
                <w:szCs w:val="20"/>
              </w:rPr>
              <w:t>Distr.: General</w:t>
            </w:r>
          </w:p>
          <w:p w14:paraId="0BA4438D" w14:textId="77777777" w:rsidR="002B038E" w:rsidRDefault="00B131BA" w:rsidP="002B038E">
            <w:pPr>
              <w:bidi w:val="0"/>
              <w:spacing w:line="240" w:lineRule="exact"/>
              <w:jc w:val="left"/>
              <w:rPr>
                <w:szCs w:val="20"/>
              </w:rPr>
            </w:pPr>
            <w:r>
              <w:t>9 March 2021</w:t>
            </w:r>
          </w:p>
          <w:p w14:paraId="37C028DA" w14:textId="77777777" w:rsidR="002B038E" w:rsidRDefault="002B038E" w:rsidP="002B038E">
            <w:pPr>
              <w:bidi w:val="0"/>
              <w:spacing w:line="240" w:lineRule="exact"/>
              <w:jc w:val="left"/>
              <w:rPr>
                <w:szCs w:val="20"/>
              </w:rPr>
            </w:pPr>
            <w:r>
              <w:rPr>
                <w:szCs w:val="20"/>
              </w:rPr>
              <w:t>Arabic</w:t>
            </w:r>
          </w:p>
          <w:p w14:paraId="61EC089D" w14:textId="77777777" w:rsidR="002B038E" w:rsidRPr="002B038E" w:rsidRDefault="002B038E" w:rsidP="002B038E">
            <w:pPr>
              <w:bidi w:val="0"/>
              <w:spacing w:line="240" w:lineRule="exact"/>
              <w:jc w:val="left"/>
              <w:rPr>
                <w:szCs w:val="20"/>
              </w:rPr>
            </w:pPr>
            <w:r>
              <w:rPr>
                <w:szCs w:val="20"/>
              </w:rPr>
              <w:t>Original: English</w:t>
            </w:r>
          </w:p>
        </w:tc>
      </w:tr>
    </w:tbl>
    <w:p w14:paraId="7A470663" w14:textId="77777777" w:rsidR="009E339B" w:rsidRPr="009E339B" w:rsidRDefault="009E339B" w:rsidP="009E339B">
      <w:pPr>
        <w:spacing w:before="120" w:after="120" w:line="360" w:lineRule="exact"/>
        <w:textDirection w:val="tbRlV"/>
        <w:rPr>
          <w:b/>
          <w:sz w:val="26"/>
          <w:szCs w:val="26"/>
          <w:lang w:val="ar-SA" w:eastAsia="zh-TW" w:bidi="en-GB"/>
        </w:rPr>
      </w:pPr>
      <w:r w:rsidRPr="009E339B">
        <w:rPr>
          <w:b/>
          <w:bCs/>
          <w:sz w:val="26"/>
          <w:szCs w:val="26"/>
          <w:rtl/>
        </w:rPr>
        <w:t>اللجنة المعنية بحقوق الإنسان</w:t>
      </w:r>
    </w:p>
    <w:p w14:paraId="11CD08D1" w14:textId="77777777" w:rsidR="009E339B" w:rsidRPr="00B52CD5" w:rsidRDefault="009E339B" w:rsidP="009E339B">
      <w:pPr>
        <w:pStyle w:val="HChGA"/>
        <w:rPr>
          <w:szCs w:val="20"/>
          <w:lang w:val="ar-SA" w:eastAsia="zh-TW" w:bidi="en-GB"/>
        </w:rPr>
      </w:pPr>
      <w:r>
        <w:rPr>
          <w:rtl/>
        </w:rPr>
        <w:tab/>
      </w:r>
      <w:r>
        <w:rPr>
          <w:rtl/>
        </w:rPr>
        <w:tab/>
        <w:t xml:space="preserve">قرار اعتمدته اللجنة بموجب البروتوكول الاختياري بشأن البلاغ رقم </w:t>
      </w:r>
      <w:r w:rsidRPr="00793290">
        <w:rPr>
          <w:rtl/>
        </w:rPr>
        <w:t>2517/2014</w:t>
      </w:r>
      <w:r w:rsidRPr="00651FB7">
        <w:rPr>
          <w:rFonts w:ascii="Simplified Arabic" w:hAnsi="Simplified Arabic"/>
        </w:rPr>
        <w:footnoteReference w:customMarkFollows="1" w:id="1"/>
        <w:t>*</w:t>
      </w:r>
      <w:r w:rsidRPr="00651FB7">
        <w:rPr>
          <w:rFonts w:ascii="Simplified Arabic" w:hAnsi="Simplified Arabic"/>
          <w:rtl/>
        </w:rPr>
        <w:t xml:space="preserve"> </w:t>
      </w:r>
      <w:r w:rsidRPr="00651FB7">
        <w:rPr>
          <w:rFonts w:ascii="Simplified Arabic" w:hAnsi="Simplified Arabic"/>
        </w:rPr>
        <w:footnoteReference w:customMarkFollows="1" w:id="2"/>
        <w:t>**</w:t>
      </w:r>
      <w:r w:rsidRPr="00651FB7">
        <w:rPr>
          <w:rFonts w:ascii="Simplified Arabic" w:hAnsi="Simplified Arabic"/>
          <w:rtl/>
        </w:rPr>
        <w:t xml:space="preserve"> </w:t>
      </w:r>
    </w:p>
    <w:p w14:paraId="01D7EF5B"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مقدم من:</w:t>
      </w:r>
      <w:r>
        <w:rPr>
          <w:rtl/>
        </w:rPr>
        <w:tab/>
        <w:t>أ. ت. (لا يمثله محام)</w:t>
      </w:r>
    </w:p>
    <w:p w14:paraId="540616BA"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sidRPr="009E339B">
        <w:rPr>
          <w:i/>
          <w:iCs/>
          <w:rtl/>
        </w:rPr>
        <w:t>الشخص المدعى أنه ضحية:</w:t>
      </w:r>
      <w:r>
        <w:rPr>
          <w:rtl/>
        </w:rPr>
        <w:tab/>
        <w:t>صاحب البلاغ</w:t>
      </w:r>
    </w:p>
    <w:p w14:paraId="08A2BEE9"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الدولة الطرف:</w:t>
      </w:r>
      <w:r>
        <w:rPr>
          <w:rtl/>
        </w:rPr>
        <w:tab/>
        <w:t>الاتحاد الروسي</w:t>
      </w:r>
    </w:p>
    <w:p w14:paraId="668292E2"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تاريخ تقديم البلاغ:</w:t>
      </w:r>
      <w:r>
        <w:rPr>
          <w:rtl/>
        </w:rPr>
        <w:tab/>
      </w:r>
      <w:r w:rsidRPr="00793290">
        <w:rPr>
          <w:rtl/>
        </w:rPr>
        <w:t>4</w:t>
      </w:r>
      <w:r>
        <w:rPr>
          <w:rtl/>
        </w:rPr>
        <w:t xml:space="preserve"> آب</w:t>
      </w:r>
      <w:r w:rsidRPr="00793290">
        <w:rPr>
          <w:rtl/>
        </w:rPr>
        <w:t>/</w:t>
      </w:r>
      <w:r>
        <w:rPr>
          <w:rtl/>
        </w:rPr>
        <w:t xml:space="preserve">أغسطس </w:t>
      </w:r>
      <w:r w:rsidRPr="00793290">
        <w:rPr>
          <w:rtl/>
        </w:rPr>
        <w:t>2014</w:t>
      </w:r>
      <w:r>
        <w:rPr>
          <w:rFonts w:ascii="Traditional Arabic"/>
          <w:szCs w:val="20"/>
          <w:rtl/>
        </w:rPr>
        <w:t xml:space="preserve"> (</w:t>
      </w:r>
      <w:r>
        <w:rPr>
          <w:rtl/>
        </w:rPr>
        <w:t>تاريخ الرسالة الأولى</w:t>
      </w:r>
      <w:r>
        <w:rPr>
          <w:rFonts w:ascii="Traditional Arabic"/>
          <w:szCs w:val="20"/>
          <w:rtl/>
        </w:rPr>
        <w:t>)</w:t>
      </w:r>
    </w:p>
    <w:p w14:paraId="3A49E8AE"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الوثائق المرجعية:</w:t>
      </w:r>
      <w:r>
        <w:rPr>
          <w:rtl/>
        </w:rPr>
        <w:tab/>
        <w:t xml:space="preserve">القرار المتخذ عملاً بالمادة </w:t>
      </w:r>
      <w:r w:rsidRPr="00793290">
        <w:rPr>
          <w:rtl/>
        </w:rPr>
        <w:t>92</w:t>
      </w:r>
      <w:r>
        <w:rPr>
          <w:rtl/>
        </w:rPr>
        <w:t xml:space="preserve"> من النظام الداخلي للجنة، والمحال إلى الدولة الطرف في </w:t>
      </w:r>
      <w:r w:rsidRPr="00793290">
        <w:rPr>
          <w:rtl/>
        </w:rPr>
        <w:t>23</w:t>
      </w:r>
      <w:r>
        <w:rPr>
          <w:rtl/>
        </w:rPr>
        <w:t xml:space="preserve"> كانون الأول</w:t>
      </w:r>
      <w:r w:rsidRPr="00793290">
        <w:rPr>
          <w:rtl/>
        </w:rPr>
        <w:t>/</w:t>
      </w:r>
      <w:r>
        <w:rPr>
          <w:rtl/>
        </w:rPr>
        <w:t xml:space="preserve">ديسمبر </w:t>
      </w:r>
      <w:r w:rsidRPr="00793290">
        <w:rPr>
          <w:rtl/>
        </w:rPr>
        <w:t>2014</w:t>
      </w:r>
      <w:r>
        <w:rPr>
          <w:rFonts w:ascii="Traditional Arabic"/>
          <w:szCs w:val="20"/>
          <w:rtl/>
        </w:rPr>
        <w:t xml:space="preserve"> (</w:t>
      </w:r>
      <w:r>
        <w:rPr>
          <w:rtl/>
        </w:rPr>
        <w:t>لم يصدر في شكل وثيقة</w:t>
      </w:r>
      <w:r>
        <w:rPr>
          <w:rFonts w:ascii="Traditional Arabic"/>
          <w:szCs w:val="20"/>
          <w:rtl/>
        </w:rPr>
        <w:t>)</w:t>
      </w:r>
    </w:p>
    <w:p w14:paraId="4070295D"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تاريخ اعتماد القرار:</w:t>
      </w:r>
      <w:r>
        <w:rPr>
          <w:rtl/>
        </w:rPr>
        <w:tab/>
      </w:r>
      <w:r w:rsidRPr="00793290">
        <w:rPr>
          <w:rtl/>
        </w:rPr>
        <w:t>6</w:t>
      </w:r>
      <w:r>
        <w:rPr>
          <w:rtl/>
        </w:rPr>
        <w:t xml:space="preserve"> تشرين الثاني</w:t>
      </w:r>
      <w:r w:rsidRPr="00793290">
        <w:rPr>
          <w:rtl/>
        </w:rPr>
        <w:t>/</w:t>
      </w:r>
      <w:r>
        <w:rPr>
          <w:rtl/>
        </w:rPr>
        <w:t xml:space="preserve">نوفمبر </w:t>
      </w:r>
      <w:r w:rsidRPr="00793290">
        <w:rPr>
          <w:rtl/>
        </w:rPr>
        <w:t>2020</w:t>
      </w:r>
    </w:p>
    <w:p w14:paraId="29EF9992"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الموضوع:</w:t>
      </w:r>
      <w:r>
        <w:rPr>
          <w:rtl/>
        </w:rPr>
        <w:tab/>
        <w:t xml:space="preserve">حق الحصول على المشورة القانونية؛ </w:t>
      </w:r>
      <w:r>
        <w:rPr>
          <w:rtl/>
          <w:lang w:val="fr-CH"/>
        </w:rPr>
        <w:t>و</w:t>
      </w:r>
      <w:r>
        <w:rPr>
          <w:rtl/>
        </w:rPr>
        <w:t>التمييز</w:t>
      </w:r>
    </w:p>
    <w:p w14:paraId="67E34623"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المسألة الإجرائية</w:t>
      </w:r>
      <w:r w:rsidR="00AC7DF8">
        <w:rPr>
          <w:rFonts w:hint="cs"/>
          <w:i/>
          <w:iCs/>
          <w:rtl/>
        </w:rPr>
        <w:t>:</w:t>
      </w:r>
      <w:r>
        <w:rPr>
          <w:rtl/>
        </w:rPr>
        <w:t xml:space="preserve"> </w:t>
      </w:r>
      <w:r>
        <w:rPr>
          <w:rtl/>
        </w:rPr>
        <w:tab/>
        <w:t>إساءة استعمال الحق في تقديم البلاغات</w:t>
      </w:r>
    </w:p>
    <w:p w14:paraId="15068D3A"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المسائل الموضوعية</w:t>
      </w:r>
      <w:r w:rsidR="00AC7DF8" w:rsidRPr="00AC7DF8">
        <w:rPr>
          <w:rFonts w:hint="cs"/>
          <w:i/>
          <w:iCs/>
          <w:rtl/>
        </w:rPr>
        <w:t>:</w:t>
      </w:r>
      <w:r>
        <w:rPr>
          <w:rtl/>
        </w:rPr>
        <w:t xml:space="preserve"> </w:t>
      </w:r>
      <w:r>
        <w:rPr>
          <w:rtl/>
        </w:rPr>
        <w:tab/>
        <w:t xml:space="preserve">المساعدة القانونية؛ والتمييز </w:t>
      </w:r>
    </w:p>
    <w:p w14:paraId="37649BC0"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Pr>
          <w:i/>
          <w:iCs/>
          <w:rtl/>
        </w:rPr>
        <w:t>مواد العهد</w:t>
      </w:r>
      <w:r w:rsidR="00AC7DF8">
        <w:rPr>
          <w:rFonts w:hint="cs"/>
          <w:i/>
          <w:iCs/>
          <w:rtl/>
        </w:rPr>
        <w:t>:</w:t>
      </w:r>
      <w:r>
        <w:rPr>
          <w:rtl/>
        </w:rPr>
        <w:t xml:space="preserve"> </w:t>
      </w:r>
      <w:r>
        <w:rPr>
          <w:rtl/>
        </w:rPr>
        <w:tab/>
      </w:r>
      <w:r w:rsidRPr="00793290">
        <w:rPr>
          <w:rtl/>
        </w:rPr>
        <w:t>2</w:t>
      </w:r>
      <w:r>
        <w:rPr>
          <w:rtl/>
        </w:rPr>
        <w:t xml:space="preserve"> و</w:t>
      </w:r>
      <w:r w:rsidRPr="00793290">
        <w:rPr>
          <w:rtl/>
        </w:rPr>
        <w:t>3</w:t>
      </w:r>
      <w:r>
        <w:rPr>
          <w:rtl/>
        </w:rPr>
        <w:t xml:space="preserve"> و</w:t>
      </w:r>
      <w:r w:rsidRPr="00793290">
        <w:rPr>
          <w:rtl/>
        </w:rPr>
        <w:t>5</w:t>
      </w:r>
      <w:r>
        <w:rPr>
          <w:rtl/>
        </w:rPr>
        <w:t xml:space="preserve"> و</w:t>
      </w:r>
      <w:r w:rsidRPr="00793290">
        <w:rPr>
          <w:rtl/>
        </w:rPr>
        <w:t>7</w:t>
      </w:r>
      <w:r>
        <w:rPr>
          <w:rtl/>
        </w:rPr>
        <w:t xml:space="preserve"> و</w:t>
      </w:r>
      <w:r w:rsidRPr="00793290">
        <w:rPr>
          <w:rtl/>
        </w:rPr>
        <w:t>14</w:t>
      </w:r>
      <w:r>
        <w:rPr>
          <w:rFonts w:ascii="Traditional Arabic"/>
          <w:szCs w:val="20"/>
          <w:rtl/>
        </w:rPr>
        <w:t>(</w:t>
      </w:r>
      <w:r w:rsidRPr="00793290">
        <w:rPr>
          <w:rtl/>
        </w:rPr>
        <w:t>1</w:t>
      </w:r>
      <w:r>
        <w:rPr>
          <w:rFonts w:ascii="Traditional Arabic"/>
          <w:szCs w:val="20"/>
          <w:rtl/>
        </w:rPr>
        <w:t>)</w:t>
      </w:r>
      <w:r>
        <w:rPr>
          <w:rtl/>
        </w:rPr>
        <w:t xml:space="preserve"> و</w:t>
      </w:r>
      <w:r>
        <w:rPr>
          <w:rFonts w:ascii="Traditional Arabic"/>
          <w:szCs w:val="20"/>
          <w:rtl/>
        </w:rPr>
        <w:t>(</w:t>
      </w:r>
      <w:r w:rsidRPr="00793290">
        <w:rPr>
          <w:rtl/>
        </w:rPr>
        <w:t>3</w:t>
      </w:r>
      <w:r>
        <w:rPr>
          <w:rFonts w:ascii="Traditional Arabic"/>
          <w:szCs w:val="20"/>
          <w:rtl/>
        </w:rPr>
        <w:t>)(</w:t>
      </w:r>
      <w:r>
        <w:rPr>
          <w:rtl/>
        </w:rPr>
        <w:t>د</w:t>
      </w:r>
      <w:r>
        <w:rPr>
          <w:rFonts w:ascii="Traditional Arabic"/>
          <w:szCs w:val="20"/>
          <w:rtl/>
        </w:rPr>
        <w:t>)</w:t>
      </w:r>
      <w:r>
        <w:rPr>
          <w:rtl/>
        </w:rPr>
        <w:t xml:space="preserve"> و</w:t>
      </w:r>
      <w:r w:rsidRPr="00793290">
        <w:rPr>
          <w:rtl/>
        </w:rPr>
        <w:t>15</w:t>
      </w:r>
      <w:r>
        <w:rPr>
          <w:rtl/>
        </w:rPr>
        <w:t xml:space="preserve"> و</w:t>
      </w:r>
      <w:r w:rsidRPr="00793290">
        <w:rPr>
          <w:rtl/>
        </w:rPr>
        <w:t>26</w:t>
      </w:r>
    </w:p>
    <w:p w14:paraId="29B7D8A3" w14:textId="77777777" w:rsidR="009E339B" w:rsidRPr="00B52CD5" w:rsidRDefault="009E339B" w:rsidP="009E339B">
      <w:pPr>
        <w:pStyle w:val="SingleTxtGA"/>
        <w:tabs>
          <w:tab w:val="clear" w:pos="1928"/>
          <w:tab w:val="clear" w:pos="2608"/>
          <w:tab w:val="clear" w:pos="3289"/>
          <w:tab w:val="clear" w:pos="3969"/>
          <w:tab w:val="clear" w:pos="4649"/>
          <w:tab w:val="clear" w:pos="5330"/>
        </w:tabs>
        <w:ind w:left="4252" w:hanging="2324"/>
        <w:rPr>
          <w:szCs w:val="20"/>
          <w:lang w:val="ar-SA" w:eastAsia="zh-TW" w:bidi="en-GB"/>
        </w:rPr>
      </w:pPr>
      <w:r w:rsidRPr="009E339B">
        <w:rPr>
          <w:i/>
          <w:iCs/>
          <w:rtl/>
        </w:rPr>
        <w:t>مادة البروتوكول الاختياري:</w:t>
      </w:r>
      <w:r>
        <w:rPr>
          <w:rtl/>
        </w:rPr>
        <w:tab/>
      </w:r>
      <w:r w:rsidRPr="00793290">
        <w:rPr>
          <w:rtl/>
        </w:rPr>
        <w:t>3</w:t>
      </w:r>
    </w:p>
    <w:p w14:paraId="0CFEAE6C" w14:textId="77777777" w:rsidR="009E339B" w:rsidRPr="00831E26" w:rsidRDefault="009E339B" w:rsidP="009E339B">
      <w:pPr>
        <w:pStyle w:val="SingleTxtGA"/>
        <w:rPr>
          <w:szCs w:val="20"/>
          <w:lang w:val="ar-SA" w:eastAsia="zh-TW" w:bidi="en-GB"/>
        </w:rPr>
      </w:pPr>
      <w:r w:rsidRPr="00793290">
        <w:rPr>
          <w:rtl/>
        </w:rPr>
        <w:t>1-</w:t>
      </w:r>
      <w:r>
        <w:rPr>
          <w:rtl/>
        </w:rPr>
        <w:tab/>
        <w:t xml:space="preserve">صاحب البلاغ هو أ. ت.، وهو مواطن من الاتحاد الروسي، مولود في عام </w:t>
      </w:r>
      <w:r w:rsidRPr="00793290">
        <w:rPr>
          <w:rtl/>
        </w:rPr>
        <w:t>1980</w:t>
      </w:r>
      <w:r>
        <w:rPr>
          <w:rFonts w:ascii="Traditional Arabic"/>
          <w:szCs w:val="20"/>
          <w:rtl/>
        </w:rPr>
        <w:t>.</w:t>
      </w:r>
      <w:r>
        <w:rPr>
          <w:rtl/>
        </w:rPr>
        <w:t xml:space="preserve"> وهو يدعي أن الدولة الطرف انتهكت حقوقه المكفولة بالمواد </w:t>
      </w:r>
      <w:r w:rsidRPr="00793290">
        <w:rPr>
          <w:rtl/>
        </w:rPr>
        <w:t>2</w:t>
      </w:r>
      <w:r>
        <w:rPr>
          <w:rtl/>
        </w:rPr>
        <w:t xml:space="preserve"> و</w:t>
      </w:r>
      <w:r w:rsidRPr="00793290">
        <w:rPr>
          <w:rtl/>
        </w:rPr>
        <w:t>3</w:t>
      </w:r>
      <w:r>
        <w:rPr>
          <w:rtl/>
        </w:rPr>
        <w:t xml:space="preserve"> و</w:t>
      </w:r>
      <w:r w:rsidRPr="00793290">
        <w:rPr>
          <w:rtl/>
        </w:rPr>
        <w:t>5</w:t>
      </w:r>
      <w:r>
        <w:rPr>
          <w:rtl/>
        </w:rPr>
        <w:t xml:space="preserve"> و</w:t>
      </w:r>
      <w:r w:rsidRPr="00793290">
        <w:rPr>
          <w:rtl/>
        </w:rPr>
        <w:t>7</w:t>
      </w:r>
      <w:r>
        <w:rPr>
          <w:rtl/>
        </w:rPr>
        <w:t xml:space="preserve"> و</w:t>
      </w:r>
      <w:r w:rsidRPr="00793290">
        <w:rPr>
          <w:rtl/>
        </w:rPr>
        <w:t>14</w:t>
      </w:r>
      <w:r>
        <w:rPr>
          <w:rFonts w:ascii="Traditional Arabic"/>
          <w:szCs w:val="20"/>
          <w:rtl/>
        </w:rPr>
        <w:t>(</w:t>
      </w:r>
      <w:r w:rsidRPr="00793290">
        <w:rPr>
          <w:rtl/>
        </w:rPr>
        <w:t>1</w:t>
      </w:r>
      <w:r>
        <w:rPr>
          <w:rFonts w:ascii="Traditional Arabic"/>
          <w:szCs w:val="20"/>
          <w:rtl/>
        </w:rPr>
        <w:t>)</w:t>
      </w:r>
      <w:r>
        <w:rPr>
          <w:rtl/>
        </w:rPr>
        <w:t xml:space="preserve"> و</w:t>
      </w:r>
      <w:r>
        <w:rPr>
          <w:rFonts w:ascii="Traditional Arabic"/>
          <w:szCs w:val="20"/>
          <w:rtl/>
        </w:rPr>
        <w:t>(</w:t>
      </w:r>
      <w:r w:rsidRPr="00793290">
        <w:rPr>
          <w:rtl/>
        </w:rPr>
        <w:t>3</w:t>
      </w:r>
      <w:r>
        <w:rPr>
          <w:rFonts w:ascii="Traditional Arabic"/>
          <w:szCs w:val="20"/>
          <w:rtl/>
        </w:rPr>
        <w:t>)(</w:t>
      </w:r>
      <w:r>
        <w:rPr>
          <w:rtl/>
        </w:rPr>
        <w:t>د</w:t>
      </w:r>
      <w:r>
        <w:rPr>
          <w:rFonts w:ascii="Traditional Arabic"/>
          <w:szCs w:val="20"/>
          <w:rtl/>
        </w:rPr>
        <w:t>)</w:t>
      </w:r>
      <w:r>
        <w:rPr>
          <w:rtl/>
        </w:rPr>
        <w:t xml:space="preserve"> و</w:t>
      </w:r>
      <w:r w:rsidRPr="00793290">
        <w:rPr>
          <w:rtl/>
        </w:rPr>
        <w:t>15</w:t>
      </w:r>
      <w:r>
        <w:rPr>
          <w:rtl/>
        </w:rPr>
        <w:t xml:space="preserve"> و</w:t>
      </w:r>
      <w:r w:rsidRPr="00793290">
        <w:rPr>
          <w:rtl/>
        </w:rPr>
        <w:t>26</w:t>
      </w:r>
      <w:r>
        <w:rPr>
          <w:rtl/>
        </w:rPr>
        <w:t xml:space="preserve"> من العهد. وقد دخل البروتوكول الاختياري حيز النفاذ بالنسبة </w:t>
      </w:r>
      <w:r>
        <w:rPr>
          <w:rtl/>
          <w:lang w:val="fr-CH"/>
        </w:rPr>
        <w:t>إلى ا</w:t>
      </w:r>
      <w:r>
        <w:rPr>
          <w:rtl/>
        </w:rPr>
        <w:t xml:space="preserve">لدولة الطرف في </w:t>
      </w:r>
      <w:r w:rsidRPr="00793290">
        <w:rPr>
          <w:rtl/>
        </w:rPr>
        <w:t>1</w:t>
      </w:r>
      <w:r>
        <w:rPr>
          <w:rtl/>
        </w:rPr>
        <w:t xml:space="preserve"> كانون الثاني</w:t>
      </w:r>
      <w:r w:rsidRPr="00793290">
        <w:rPr>
          <w:rtl/>
        </w:rPr>
        <w:t>/</w:t>
      </w:r>
      <w:r>
        <w:rPr>
          <w:rtl/>
        </w:rPr>
        <w:t xml:space="preserve">يناير </w:t>
      </w:r>
      <w:r w:rsidRPr="00793290">
        <w:rPr>
          <w:rtl/>
        </w:rPr>
        <w:t>1992</w:t>
      </w:r>
      <w:r>
        <w:rPr>
          <w:rFonts w:ascii="Traditional Arabic"/>
          <w:szCs w:val="20"/>
          <w:rtl/>
        </w:rPr>
        <w:t>.</w:t>
      </w:r>
      <w:r>
        <w:rPr>
          <w:rtl/>
        </w:rPr>
        <w:t xml:space="preserve"> ولا</w:t>
      </w:r>
      <w:r>
        <w:rPr>
          <w:rFonts w:hint="cs"/>
          <w:rtl/>
        </w:rPr>
        <w:t> </w:t>
      </w:r>
      <w:r>
        <w:rPr>
          <w:rtl/>
        </w:rPr>
        <w:t>يمثل صاحب البلاغ محام.</w:t>
      </w:r>
      <w:bookmarkStart w:id="0" w:name="_Hlk66093416"/>
      <w:bookmarkEnd w:id="0"/>
    </w:p>
    <w:p w14:paraId="21762A78" w14:textId="77777777" w:rsidR="009E339B" w:rsidRPr="00831E26" w:rsidRDefault="009E339B" w:rsidP="009E339B">
      <w:pPr>
        <w:pStyle w:val="H23GA"/>
        <w:rPr>
          <w:szCs w:val="20"/>
          <w:lang w:val="ar-SA" w:eastAsia="zh-TW" w:bidi="en-GB"/>
        </w:rPr>
      </w:pPr>
      <w:r>
        <w:rPr>
          <w:rtl/>
        </w:rPr>
        <w:lastRenderedPageBreak/>
        <w:tab/>
      </w:r>
      <w:r>
        <w:rPr>
          <w:rtl/>
        </w:rPr>
        <w:tab/>
        <w:t>الوقائع كما عرضها صاحب البلاغ</w:t>
      </w:r>
    </w:p>
    <w:p w14:paraId="4D481123" w14:textId="77777777" w:rsidR="009E339B" w:rsidRPr="004640A1" w:rsidRDefault="009E339B" w:rsidP="009E339B">
      <w:pPr>
        <w:pStyle w:val="SingleTxtGA"/>
        <w:rPr>
          <w:rStyle w:val="FootnoteReference"/>
          <w:szCs w:val="20"/>
          <w:rtl/>
          <w:lang w:val="fr-CH" w:eastAsia="zh-TW"/>
        </w:rPr>
      </w:pPr>
      <w:r w:rsidRPr="00793290">
        <w:rPr>
          <w:rtl/>
        </w:rPr>
        <w:t>2-1</w:t>
      </w:r>
      <w:r>
        <w:rPr>
          <w:rtl/>
        </w:rPr>
        <w:tab/>
        <w:t xml:space="preserve">في </w:t>
      </w:r>
      <w:r w:rsidRPr="00793290">
        <w:rPr>
          <w:rtl/>
        </w:rPr>
        <w:t>15</w:t>
      </w:r>
      <w:r>
        <w:rPr>
          <w:rtl/>
        </w:rPr>
        <w:t xml:space="preserve"> كانون الأول</w:t>
      </w:r>
      <w:r w:rsidRPr="00793290">
        <w:rPr>
          <w:rtl/>
        </w:rPr>
        <w:t>/</w:t>
      </w:r>
      <w:r>
        <w:rPr>
          <w:rtl/>
        </w:rPr>
        <w:t xml:space="preserve">ديسمبر </w:t>
      </w:r>
      <w:r w:rsidRPr="00793290">
        <w:rPr>
          <w:rtl/>
        </w:rPr>
        <w:t>2003</w:t>
      </w:r>
      <w:r>
        <w:rPr>
          <w:rtl/>
        </w:rPr>
        <w:t>، حكمت المحكمة العليا لجمهورية أوسيتيا الشمالية</w:t>
      </w:r>
      <w:r w:rsidR="00B131BA">
        <w:rPr>
          <w:rFonts w:hint="cs"/>
          <w:rtl/>
        </w:rPr>
        <w:t xml:space="preserve"> </w:t>
      </w:r>
      <w:r w:rsidRPr="00793290">
        <w:rPr>
          <w:rtl/>
        </w:rPr>
        <w:t>-</w:t>
      </w:r>
      <w:r>
        <w:rPr>
          <w:rtl/>
        </w:rPr>
        <w:t xml:space="preserve"> ألانيا</w:t>
      </w:r>
      <w:r w:rsidR="00DE0182">
        <w:rPr>
          <w:rStyle w:val="FootnoteReference"/>
          <w:rtl/>
        </w:rPr>
        <w:t>(</w:t>
      </w:r>
      <w:r w:rsidR="00DE0182" w:rsidRPr="00B52CD5">
        <w:rPr>
          <w:rStyle w:val="FootnoteReference"/>
          <w:rtl/>
        </w:rPr>
        <w:footnoteReference w:id="3"/>
      </w:r>
      <w:r w:rsidR="00DE0182">
        <w:rPr>
          <w:rStyle w:val="FootnoteReference"/>
          <w:rtl/>
        </w:rPr>
        <w:t>)</w:t>
      </w:r>
      <w:r>
        <w:rPr>
          <w:rtl/>
        </w:rPr>
        <w:t xml:space="preserve"> على صاحب البلاغ بالسجن مدى الحياة لارتكابه أعمالاً إرهابية</w:t>
      </w:r>
      <w:r w:rsidR="00DE0182">
        <w:rPr>
          <w:rStyle w:val="FootnoteReference"/>
          <w:rtl/>
        </w:rPr>
        <w:t>(</w:t>
      </w:r>
      <w:r w:rsidR="00DE0182" w:rsidRPr="00B52CD5">
        <w:rPr>
          <w:rStyle w:val="FootnoteReference"/>
          <w:rtl/>
        </w:rPr>
        <w:footnoteReference w:id="4"/>
      </w:r>
      <w:r w:rsidR="00DE0182">
        <w:rPr>
          <w:rStyle w:val="FootnoteReference"/>
          <w:rtl/>
        </w:rPr>
        <w:t>)</w:t>
      </w:r>
      <w:r w:rsidR="004640A1">
        <w:rPr>
          <w:rFonts w:hint="cs"/>
          <w:rtl/>
        </w:rPr>
        <w:t>.</w:t>
      </w:r>
      <w:r>
        <w:rPr>
          <w:rtl/>
        </w:rPr>
        <w:t xml:space="preserve"> وفي </w:t>
      </w:r>
      <w:r w:rsidRPr="00793290">
        <w:rPr>
          <w:rtl/>
        </w:rPr>
        <w:t>15</w:t>
      </w:r>
      <w:r>
        <w:rPr>
          <w:rtl/>
        </w:rPr>
        <w:t xml:space="preserve"> كانون الأول</w:t>
      </w:r>
      <w:r w:rsidRPr="00793290">
        <w:rPr>
          <w:rtl/>
        </w:rPr>
        <w:t>/</w:t>
      </w:r>
      <w:r w:rsidR="00F837DA">
        <w:rPr>
          <w:rFonts w:hint="cs"/>
          <w:rtl/>
        </w:rPr>
        <w:t xml:space="preserve"> </w:t>
      </w:r>
      <w:r>
        <w:rPr>
          <w:rtl/>
        </w:rPr>
        <w:t>ديسمبر</w:t>
      </w:r>
      <w:r w:rsidR="00F837DA">
        <w:rPr>
          <w:rFonts w:hint="cs"/>
          <w:rtl/>
        </w:rPr>
        <w:t> </w:t>
      </w:r>
      <w:r w:rsidRPr="00793290">
        <w:rPr>
          <w:rtl/>
        </w:rPr>
        <w:t>2004</w:t>
      </w:r>
      <w:r>
        <w:rPr>
          <w:rtl/>
        </w:rPr>
        <w:t>، أيدت المحكمة العليا للاتحاد الروسي، بصفتها محكمة النقض، قرار المحكمة الابتدائية. ولم يكن صاحب البلاغ ممثلاً بمحامٍ، رغم أن القانون المحلي يشترط تعيين محامٍ له</w:t>
      </w:r>
      <w:r w:rsidR="00DE0182">
        <w:rPr>
          <w:rStyle w:val="FootnoteReference"/>
          <w:rtl/>
        </w:rPr>
        <w:t>(</w:t>
      </w:r>
      <w:r w:rsidR="00DE0182" w:rsidRPr="00B52CD5">
        <w:rPr>
          <w:rStyle w:val="FootnoteReference"/>
          <w:rtl/>
        </w:rPr>
        <w:footnoteReference w:id="5"/>
      </w:r>
      <w:r w:rsidR="00DE0182">
        <w:rPr>
          <w:rStyle w:val="FootnoteReference"/>
          <w:rtl/>
        </w:rPr>
        <w:t>)</w:t>
      </w:r>
      <w:r w:rsidR="004640A1">
        <w:rPr>
          <w:rFonts w:hint="cs"/>
          <w:szCs w:val="20"/>
          <w:rtl/>
          <w:lang w:val="fr-CH" w:eastAsia="zh-TW"/>
        </w:rPr>
        <w:t>.</w:t>
      </w:r>
    </w:p>
    <w:p w14:paraId="60C659DC" w14:textId="77777777" w:rsidR="009E339B" w:rsidRPr="004B3804" w:rsidRDefault="009E339B" w:rsidP="009E339B">
      <w:pPr>
        <w:pStyle w:val="SingleTxtGA"/>
        <w:rPr>
          <w:szCs w:val="20"/>
          <w:lang w:val="en-US" w:eastAsia="zh-TW" w:bidi="en-GB"/>
        </w:rPr>
      </w:pPr>
      <w:r w:rsidRPr="00793290">
        <w:rPr>
          <w:rtl/>
        </w:rPr>
        <w:t>2-2</w:t>
      </w:r>
      <w:r>
        <w:rPr>
          <w:rtl/>
        </w:rPr>
        <w:tab/>
        <w:t xml:space="preserve">وفي عام </w:t>
      </w:r>
      <w:r w:rsidRPr="00793290">
        <w:rPr>
          <w:rtl/>
        </w:rPr>
        <w:t>2007</w:t>
      </w:r>
      <w:r>
        <w:rPr>
          <w:rtl/>
        </w:rPr>
        <w:t xml:space="preserve">، قضت المحكمة الدستورية بوجوب أن توفر محاكم النقض للمتهمين مشورة قانونية ما لم يعربوا صراحة عن رفض المساعدة القانونية. وفي </w:t>
      </w:r>
      <w:r w:rsidRPr="00793290">
        <w:rPr>
          <w:rtl/>
        </w:rPr>
        <w:t>8</w:t>
      </w:r>
      <w:r>
        <w:rPr>
          <w:rtl/>
        </w:rPr>
        <w:t xml:space="preserve"> آب</w:t>
      </w:r>
      <w:r w:rsidRPr="00793290">
        <w:rPr>
          <w:rtl/>
        </w:rPr>
        <w:t>/</w:t>
      </w:r>
      <w:r>
        <w:rPr>
          <w:rtl/>
        </w:rPr>
        <w:t xml:space="preserve">أغسطس </w:t>
      </w:r>
      <w:r w:rsidRPr="00793290">
        <w:rPr>
          <w:rtl/>
        </w:rPr>
        <w:t>2013</w:t>
      </w:r>
      <w:r>
        <w:rPr>
          <w:rtl/>
        </w:rPr>
        <w:t xml:space="preserve">، قدم صاحب البلاغ طلباً إلى المحكمة الدستورية بشأن حقه في الدفاع أمام محكمة النقض. وفي </w:t>
      </w:r>
      <w:r w:rsidRPr="00793290">
        <w:rPr>
          <w:rtl/>
        </w:rPr>
        <w:t>21</w:t>
      </w:r>
      <w:r>
        <w:rPr>
          <w:rtl/>
        </w:rPr>
        <w:t xml:space="preserve"> تشرين الثاني</w:t>
      </w:r>
      <w:r w:rsidRPr="00793290">
        <w:rPr>
          <w:rtl/>
        </w:rPr>
        <w:t>/</w:t>
      </w:r>
      <w:r>
        <w:rPr>
          <w:rtl/>
        </w:rPr>
        <w:t xml:space="preserve">نوفمبر </w:t>
      </w:r>
      <w:r w:rsidRPr="00793290">
        <w:rPr>
          <w:rtl/>
        </w:rPr>
        <w:t>2013</w:t>
      </w:r>
      <w:r>
        <w:rPr>
          <w:rtl/>
        </w:rPr>
        <w:t xml:space="preserve">، رفضت المحكمة الدستورية شكواه، مشيرة إلى أن قرارها الصادر في عام </w:t>
      </w:r>
      <w:r w:rsidRPr="00793290">
        <w:rPr>
          <w:rtl/>
        </w:rPr>
        <w:t>2007</w:t>
      </w:r>
      <w:r>
        <w:rPr>
          <w:rtl/>
        </w:rPr>
        <w:t xml:space="preserve"> بشأن التزام المحاكم بتزويد محامٍ في إجراءات النقض ليس له أثر رجعي ولا يمكن تطبيقه في قضية صاحب البلاغ.</w:t>
      </w:r>
    </w:p>
    <w:p w14:paraId="34722736" w14:textId="77777777" w:rsidR="009E339B" w:rsidRPr="007F2B78" w:rsidRDefault="009E339B" w:rsidP="009E339B">
      <w:pPr>
        <w:pStyle w:val="SingleTxtGA"/>
        <w:rPr>
          <w:szCs w:val="20"/>
          <w:lang w:val="ar-SA" w:eastAsia="zh-TW" w:bidi="en-GB"/>
        </w:rPr>
      </w:pPr>
      <w:r w:rsidRPr="00793290">
        <w:rPr>
          <w:rtl/>
        </w:rPr>
        <w:t>2-3</w:t>
      </w:r>
      <w:r>
        <w:rPr>
          <w:rtl/>
        </w:rPr>
        <w:tab/>
        <w:t xml:space="preserve">وفي </w:t>
      </w:r>
      <w:r w:rsidRPr="00793290">
        <w:rPr>
          <w:rtl/>
        </w:rPr>
        <w:t>9</w:t>
      </w:r>
      <w:r>
        <w:rPr>
          <w:rtl/>
        </w:rPr>
        <w:t xml:space="preserve"> كانون الأول</w:t>
      </w:r>
      <w:r w:rsidRPr="00793290">
        <w:rPr>
          <w:rtl/>
        </w:rPr>
        <w:t>/</w:t>
      </w:r>
      <w:r>
        <w:rPr>
          <w:rtl/>
        </w:rPr>
        <w:t xml:space="preserve">ديسمبر </w:t>
      </w:r>
      <w:r w:rsidRPr="00793290">
        <w:rPr>
          <w:rtl/>
        </w:rPr>
        <w:t>2013</w:t>
      </w:r>
      <w:r>
        <w:rPr>
          <w:rtl/>
        </w:rPr>
        <w:t>، استأنف صاحب البلاغ أمام المحكمة العليا للاتحاد الروسي طالبا</w:t>
      </w:r>
      <w:r w:rsidR="00B131BA">
        <w:rPr>
          <w:rFonts w:hint="cs"/>
          <w:rtl/>
        </w:rPr>
        <w:t>ً</w:t>
      </w:r>
      <w:r>
        <w:rPr>
          <w:rtl/>
        </w:rPr>
        <w:t xml:space="preserve"> مراجعة رقابية للقرار الصادر في </w:t>
      </w:r>
      <w:r w:rsidRPr="00793290">
        <w:rPr>
          <w:rtl/>
        </w:rPr>
        <w:t>15</w:t>
      </w:r>
      <w:r>
        <w:rPr>
          <w:rtl/>
        </w:rPr>
        <w:t xml:space="preserve"> كانون الأول</w:t>
      </w:r>
      <w:r w:rsidRPr="00793290">
        <w:rPr>
          <w:rtl/>
        </w:rPr>
        <w:t>/</w:t>
      </w:r>
      <w:r>
        <w:rPr>
          <w:rtl/>
        </w:rPr>
        <w:t xml:space="preserve">ديسمبر </w:t>
      </w:r>
      <w:r w:rsidRPr="00793290">
        <w:rPr>
          <w:rtl/>
        </w:rPr>
        <w:t>2003</w:t>
      </w:r>
      <w:r>
        <w:rPr>
          <w:rFonts w:ascii="Traditional Arabic"/>
          <w:szCs w:val="20"/>
          <w:rtl/>
        </w:rPr>
        <w:t>.</w:t>
      </w:r>
      <w:r>
        <w:rPr>
          <w:rtl/>
        </w:rPr>
        <w:t xml:space="preserve"> وفي </w:t>
      </w:r>
      <w:r w:rsidRPr="00793290">
        <w:rPr>
          <w:rtl/>
        </w:rPr>
        <w:t>30</w:t>
      </w:r>
      <w:r>
        <w:rPr>
          <w:rtl/>
        </w:rPr>
        <w:t xml:space="preserve"> كانون الأول</w:t>
      </w:r>
      <w:r w:rsidRPr="00793290">
        <w:rPr>
          <w:rtl/>
        </w:rPr>
        <w:t>/</w:t>
      </w:r>
      <w:r>
        <w:rPr>
          <w:rtl/>
        </w:rPr>
        <w:t xml:space="preserve">ديسمبر </w:t>
      </w:r>
      <w:r w:rsidRPr="00793290">
        <w:rPr>
          <w:rtl/>
        </w:rPr>
        <w:t>2013</w:t>
      </w:r>
      <w:r>
        <w:rPr>
          <w:rtl/>
        </w:rPr>
        <w:t xml:space="preserve">، رفضت المحكمة العليا، مشكّلة من قاضٍ واحد، طلب صاحب البلاغ، وقضت بأن قرار المحكمة الدستورية الصادر في عام </w:t>
      </w:r>
      <w:r w:rsidRPr="00793290">
        <w:rPr>
          <w:rtl/>
        </w:rPr>
        <w:t>2007</w:t>
      </w:r>
      <w:r>
        <w:rPr>
          <w:rtl/>
        </w:rPr>
        <w:t xml:space="preserve"> لا ينطبق بأثر رجعي على قرار النقض الصادر في قضيته. وفي </w:t>
      </w:r>
      <w:r w:rsidRPr="00793290">
        <w:rPr>
          <w:rtl/>
        </w:rPr>
        <w:t>17</w:t>
      </w:r>
      <w:r>
        <w:rPr>
          <w:rtl/>
        </w:rPr>
        <w:t xml:space="preserve"> شباط</w:t>
      </w:r>
      <w:r w:rsidRPr="00793290">
        <w:rPr>
          <w:rtl/>
        </w:rPr>
        <w:t>/</w:t>
      </w:r>
      <w:r>
        <w:rPr>
          <w:rtl/>
        </w:rPr>
        <w:t xml:space="preserve">فبراير </w:t>
      </w:r>
      <w:r w:rsidRPr="00793290">
        <w:rPr>
          <w:rtl/>
        </w:rPr>
        <w:t>2014</w:t>
      </w:r>
      <w:r>
        <w:rPr>
          <w:rtl/>
        </w:rPr>
        <w:t xml:space="preserve">، استأنف صاحب البلاغ القرار أمام رئاسة المحكمة العليا. وفي </w:t>
      </w:r>
      <w:r w:rsidRPr="00793290">
        <w:rPr>
          <w:rtl/>
        </w:rPr>
        <w:t>11</w:t>
      </w:r>
      <w:r>
        <w:rPr>
          <w:rtl/>
        </w:rPr>
        <w:t xml:space="preserve"> آذار</w:t>
      </w:r>
      <w:r w:rsidRPr="00793290">
        <w:rPr>
          <w:rtl/>
        </w:rPr>
        <w:t>/</w:t>
      </w:r>
      <w:r>
        <w:rPr>
          <w:rtl/>
        </w:rPr>
        <w:t xml:space="preserve">مارس </w:t>
      </w:r>
      <w:r w:rsidRPr="00793290">
        <w:rPr>
          <w:rtl/>
        </w:rPr>
        <w:t>2014</w:t>
      </w:r>
      <w:r>
        <w:rPr>
          <w:rtl/>
        </w:rPr>
        <w:t xml:space="preserve">، رفضت المحكمة العليا النظر في استئناف صاحب البلاغ، لأنه قُدِّم بعد </w:t>
      </w:r>
      <w:r w:rsidRPr="00793290">
        <w:rPr>
          <w:rtl/>
        </w:rPr>
        <w:t>1</w:t>
      </w:r>
      <w:r>
        <w:rPr>
          <w:rtl/>
        </w:rPr>
        <w:t xml:space="preserve"> كانون الثاني</w:t>
      </w:r>
      <w:r w:rsidRPr="00793290">
        <w:rPr>
          <w:rtl/>
        </w:rPr>
        <w:t>/</w:t>
      </w:r>
      <w:r>
        <w:rPr>
          <w:rtl/>
        </w:rPr>
        <w:t xml:space="preserve">يناير </w:t>
      </w:r>
      <w:r w:rsidRPr="00793290">
        <w:rPr>
          <w:rtl/>
        </w:rPr>
        <w:t>2014</w:t>
      </w:r>
      <w:r>
        <w:rPr>
          <w:rtl/>
        </w:rPr>
        <w:t xml:space="preserve">، وهو الموعد النهائي الذي حدده القانون الاتحادي في حالة الجزاءات الصادرة قبل </w:t>
      </w:r>
      <w:r w:rsidRPr="00793290">
        <w:rPr>
          <w:rtl/>
        </w:rPr>
        <w:t>1</w:t>
      </w:r>
      <w:r>
        <w:rPr>
          <w:rtl/>
        </w:rPr>
        <w:t xml:space="preserve"> كانون الثاني</w:t>
      </w:r>
      <w:r w:rsidRPr="00793290">
        <w:rPr>
          <w:rtl/>
        </w:rPr>
        <w:t>/</w:t>
      </w:r>
      <w:r>
        <w:rPr>
          <w:rtl/>
        </w:rPr>
        <w:t xml:space="preserve">يناير </w:t>
      </w:r>
      <w:r w:rsidRPr="00793290">
        <w:rPr>
          <w:rtl/>
        </w:rPr>
        <w:t>2013</w:t>
      </w:r>
      <w:r>
        <w:rPr>
          <w:rFonts w:ascii="Traditional Arabic"/>
          <w:szCs w:val="20"/>
          <w:rtl/>
        </w:rPr>
        <w:t>.</w:t>
      </w:r>
      <w:r>
        <w:rPr>
          <w:rtl/>
        </w:rPr>
        <w:t xml:space="preserve"> </w:t>
      </w:r>
    </w:p>
    <w:p w14:paraId="1A5717BD" w14:textId="77777777" w:rsidR="009E339B" w:rsidRPr="006A0478" w:rsidRDefault="009E339B" w:rsidP="009E339B">
      <w:pPr>
        <w:pStyle w:val="SingleTxtGA"/>
        <w:rPr>
          <w:szCs w:val="20"/>
          <w:lang w:val="en-US" w:eastAsia="zh-TW" w:bidi="en-GB"/>
        </w:rPr>
      </w:pPr>
      <w:r w:rsidRPr="00793290">
        <w:rPr>
          <w:rtl/>
        </w:rPr>
        <w:t>2-4</w:t>
      </w:r>
      <w:r>
        <w:rPr>
          <w:rtl/>
        </w:rPr>
        <w:tab/>
        <w:t xml:space="preserve">وفي </w:t>
      </w:r>
      <w:r w:rsidRPr="00793290">
        <w:rPr>
          <w:rtl/>
        </w:rPr>
        <w:t>17</w:t>
      </w:r>
      <w:r>
        <w:rPr>
          <w:rtl/>
        </w:rPr>
        <w:t xml:space="preserve"> أيار</w:t>
      </w:r>
      <w:r w:rsidRPr="00793290">
        <w:rPr>
          <w:rtl/>
        </w:rPr>
        <w:t>/</w:t>
      </w:r>
      <w:r>
        <w:rPr>
          <w:rtl/>
        </w:rPr>
        <w:t xml:space="preserve">مايو </w:t>
      </w:r>
      <w:r w:rsidRPr="00793290">
        <w:rPr>
          <w:rtl/>
        </w:rPr>
        <w:t>2013</w:t>
      </w:r>
      <w:r>
        <w:rPr>
          <w:rtl/>
        </w:rPr>
        <w:t>، قدم صاحب البلاغ أيضاً طلبا إلى المحكمة الدستورية مدعيا</w:t>
      </w:r>
      <w:r w:rsidR="004640A1">
        <w:rPr>
          <w:rFonts w:hint="cs"/>
          <w:rtl/>
        </w:rPr>
        <w:t>ً</w:t>
      </w:r>
      <w:r>
        <w:rPr>
          <w:rtl/>
        </w:rPr>
        <w:t xml:space="preserve"> فيه أن أحكام المادة </w:t>
      </w:r>
      <w:r w:rsidRPr="00793290">
        <w:rPr>
          <w:rtl/>
        </w:rPr>
        <w:t>57</w:t>
      </w:r>
      <w:r>
        <w:rPr>
          <w:rFonts w:ascii="Traditional Arabic"/>
          <w:szCs w:val="20"/>
          <w:rtl/>
        </w:rPr>
        <w:t>(</w:t>
      </w:r>
      <w:r w:rsidRPr="00793290">
        <w:rPr>
          <w:rtl/>
        </w:rPr>
        <w:t>2</w:t>
      </w:r>
      <w:r>
        <w:rPr>
          <w:rFonts w:ascii="Traditional Arabic"/>
          <w:szCs w:val="20"/>
          <w:rtl/>
        </w:rPr>
        <w:t>)</w:t>
      </w:r>
      <w:r>
        <w:rPr>
          <w:rtl/>
        </w:rPr>
        <w:t xml:space="preserve"> من القانون الجنائي تمييزية على أساس الجنس والسن</w:t>
      </w:r>
      <w:r w:rsidR="00DE0182">
        <w:rPr>
          <w:rStyle w:val="FootnoteReference"/>
          <w:rtl/>
        </w:rPr>
        <w:t>(</w:t>
      </w:r>
      <w:r w:rsidR="00DE0182" w:rsidRPr="00B52CD5">
        <w:rPr>
          <w:rStyle w:val="FootnoteReference"/>
          <w:rtl/>
        </w:rPr>
        <w:footnoteReference w:id="6"/>
      </w:r>
      <w:r w:rsidR="00DE0182">
        <w:rPr>
          <w:rStyle w:val="FootnoteReference"/>
          <w:rtl/>
        </w:rPr>
        <w:t>)</w:t>
      </w:r>
      <w:r w:rsidR="004640A1">
        <w:rPr>
          <w:rFonts w:hint="cs"/>
          <w:rtl/>
        </w:rPr>
        <w:t>.</w:t>
      </w:r>
      <w:r>
        <w:rPr>
          <w:rtl/>
        </w:rPr>
        <w:t xml:space="preserve"> وقال إن المادة </w:t>
      </w:r>
      <w:r w:rsidRPr="00793290">
        <w:rPr>
          <w:rtl/>
        </w:rPr>
        <w:t>57</w:t>
      </w:r>
      <w:r>
        <w:rPr>
          <w:rFonts w:ascii="Traditional Arabic"/>
          <w:szCs w:val="20"/>
          <w:rtl/>
        </w:rPr>
        <w:t>(</w:t>
      </w:r>
      <w:r w:rsidRPr="00793290">
        <w:rPr>
          <w:rtl/>
        </w:rPr>
        <w:t>2</w:t>
      </w:r>
      <w:r>
        <w:rPr>
          <w:rFonts w:ascii="Traditional Arabic"/>
          <w:szCs w:val="20"/>
          <w:rtl/>
        </w:rPr>
        <w:t>)</w:t>
      </w:r>
      <w:r>
        <w:rPr>
          <w:rtl/>
        </w:rPr>
        <w:t xml:space="preserve"> من القانون الجنائي تميز ضد أمثاله من الرجال الذين تتراوح أعمارهم بين </w:t>
      </w:r>
      <w:r w:rsidRPr="00793290">
        <w:rPr>
          <w:rtl/>
        </w:rPr>
        <w:t>18</w:t>
      </w:r>
      <w:r>
        <w:rPr>
          <w:rtl/>
        </w:rPr>
        <w:t xml:space="preserve"> و</w:t>
      </w:r>
      <w:r w:rsidRPr="00793290">
        <w:rPr>
          <w:rtl/>
        </w:rPr>
        <w:t>65</w:t>
      </w:r>
      <w:r>
        <w:rPr>
          <w:rtl/>
        </w:rPr>
        <w:t xml:space="preserve"> عاماً. ورفضت المحكمة الدستورية، في قرارها المؤرخ </w:t>
      </w:r>
      <w:r w:rsidRPr="00793290">
        <w:rPr>
          <w:rtl/>
        </w:rPr>
        <w:t>24</w:t>
      </w:r>
      <w:r>
        <w:rPr>
          <w:rtl/>
        </w:rPr>
        <w:t xml:space="preserve"> أيلول</w:t>
      </w:r>
      <w:r w:rsidRPr="00793290">
        <w:rPr>
          <w:rtl/>
        </w:rPr>
        <w:t>/</w:t>
      </w:r>
      <w:r>
        <w:rPr>
          <w:rtl/>
        </w:rPr>
        <w:t xml:space="preserve">سبتمبر </w:t>
      </w:r>
      <w:r w:rsidRPr="00793290">
        <w:rPr>
          <w:rtl/>
        </w:rPr>
        <w:t>2013</w:t>
      </w:r>
      <w:r>
        <w:rPr>
          <w:rtl/>
        </w:rPr>
        <w:t>، ادعاء صاحب البلاغ. ورأت المحكمة أن المادة</w:t>
      </w:r>
      <w:r w:rsidR="004640A1">
        <w:rPr>
          <w:rFonts w:hint="cs"/>
          <w:rtl/>
        </w:rPr>
        <w:t> </w:t>
      </w:r>
      <w:r w:rsidRPr="00793290">
        <w:rPr>
          <w:rtl/>
        </w:rPr>
        <w:t>57</w:t>
      </w:r>
      <w:r>
        <w:rPr>
          <w:rFonts w:ascii="Traditional Arabic"/>
          <w:szCs w:val="20"/>
          <w:rtl/>
        </w:rPr>
        <w:t>(</w:t>
      </w:r>
      <w:r w:rsidRPr="00793290">
        <w:rPr>
          <w:rtl/>
        </w:rPr>
        <w:t>2</w:t>
      </w:r>
      <w:r>
        <w:rPr>
          <w:rFonts w:ascii="Traditional Arabic"/>
          <w:szCs w:val="20"/>
          <w:rtl/>
        </w:rPr>
        <w:t>)</w:t>
      </w:r>
      <w:r>
        <w:rPr>
          <w:rtl/>
        </w:rPr>
        <w:t xml:space="preserve"> من القانون الجنائي ليست تمييزية، لأن القيود المفروضة على الحكم بالسجن مدى الحياة تنص على تفريق على أساس مبدأ الإنسانية. واعتبرت المحكمة أن هذه القيود لا تمس العقوبات الصادرة بحق أشخاص لم يرد ذكرهم في المادة </w:t>
      </w:r>
      <w:r w:rsidRPr="00793290">
        <w:rPr>
          <w:rtl/>
        </w:rPr>
        <w:t>57</w:t>
      </w:r>
      <w:r>
        <w:rPr>
          <w:rFonts w:ascii="Traditional Arabic"/>
          <w:szCs w:val="20"/>
          <w:rtl/>
        </w:rPr>
        <w:t>(</w:t>
      </w:r>
      <w:r w:rsidRPr="00793290">
        <w:rPr>
          <w:rtl/>
        </w:rPr>
        <w:t>2</w:t>
      </w:r>
      <w:r>
        <w:rPr>
          <w:rFonts w:ascii="Traditional Arabic"/>
          <w:szCs w:val="20"/>
          <w:rtl/>
        </w:rPr>
        <w:t>)</w:t>
      </w:r>
      <w:r>
        <w:rPr>
          <w:rtl/>
        </w:rPr>
        <w:t xml:space="preserve"> من القانون الجنائي، وهي عقوبات تفرض بحسب طبيعة الجرائم المرتكبة ومدى خطرها على المجتمع وظروفها. </w:t>
      </w:r>
    </w:p>
    <w:p w14:paraId="1A366E53" w14:textId="77777777" w:rsidR="009E339B" w:rsidRPr="00831E26" w:rsidRDefault="009E339B" w:rsidP="009E339B">
      <w:pPr>
        <w:pStyle w:val="H23GA"/>
        <w:rPr>
          <w:szCs w:val="20"/>
          <w:lang w:val="ar-SA" w:eastAsia="zh-TW" w:bidi="en-GB"/>
        </w:rPr>
      </w:pPr>
      <w:r>
        <w:rPr>
          <w:rtl/>
        </w:rPr>
        <w:tab/>
      </w:r>
      <w:r>
        <w:rPr>
          <w:rtl/>
        </w:rPr>
        <w:tab/>
        <w:t>الشكوى</w:t>
      </w:r>
    </w:p>
    <w:p w14:paraId="353336A0" w14:textId="77777777" w:rsidR="009E339B" w:rsidRDefault="009E339B" w:rsidP="009E339B">
      <w:pPr>
        <w:pStyle w:val="SingleTxtGA"/>
        <w:rPr>
          <w:szCs w:val="20"/>
          <w:lang w:val="ar-SA" w:eastAsia="zh-TW" w:bidi="en-GB"/>
        </w:rPr>
      </w:pPr>
      <w:r w:rsidRPr="00793290">
        <w:rPr>
          <w:rtl/>
        </w:rPr>
        <w:t>3-1</w:t>
      </w:r>
      <w:r>
        <w:rPr>
          <w:rtl/>
        </w:rPr>
        <w:tab/>
        <w:t xml:space="preserve">يدعي صاحب البلاغ أن الدولة الطرف قد انتهكت حقوقه بموجب المادة </w:t>
      </w:r>
      <w:r w:rsidRPr="00793290">
        <w:rPr>
          <w:rtl/>
        </w:rPr>
        <w:t>14</w:t>
      </w:r>
      <w:r>
        <w:rPr>
          <w:rFonts w:ascii="Traditional Arabic"/>
          <w:szCs w:val="20"/>
          <w:rtl/>
        </w:rPr>
        <w:t>(</w:t>
      </w:r>
      <w:r w:rsidRPr="00793290">
        <w:rPr>
          <w:rtl/>
        </w:rPr>
        <w:t>3</w:t>
      </w:r>
      <w:r>
        <w:rPr>
          <w:rFonts w:ascii="Traditional Arabic"/>
          <w:szCs w:val="20"/>
          <w:rtl/>
        </w:rPr>
        <w:t>)(</w:t>
      </w:r>
      <w:r>
        <w:rPr>
          <w:rtl/>
        </w:rPr>
        <w:t>د</w:t>
      </w:r>
      <w:r>
        <w:rPr>
          <w:rFonts w:ascii="Traditional Arabic"/>
          <w:szCs w:val="20"/>
          <w:rtl/>
        </w:rPr>
        <w:t>)</w:t>
      </w:r>
      <w:r>
        <w:rPr>
          <w:rtl/>
        </w:rPr>
        <w:t xml:space="preserve"> من العهد، لأن المحكمة العليا لم توفر له المشورة القانونية أثناء جلسة النقض. </w:t>
      </w:r>
    </w:p>
    <w:p w14:paraId="08C3751D" w14:textId="77777777" w:rsidR="009E339B" w:rsidRPr="005B0786" w:rsidRDefault="009E339B" w:rsidP="009E339B">
      <w:pPr>
        <w:pStyle w:val="SingleTxtGA"/>
        <w:rPr>
          <w:szCs w:val="20"/>
          <w:lang w:val="ar-SA" w:eastAsia="zh-TW" w:bidi="en-GB"/>
        </w:rPr>
      </w:pPr>
      <w:r w:rsidRPr="00793290">
        <w:rPr>
          <w:rtl/>
        </w:rPr>
        <w:lastRenderedPageBreak/>
        <w:t>3-2</w:t>
      </w:r>
      <w:r>
        <w:rPr>
          <w:rtl/>
        </w:rPr>
        <w:tab/>
        <w:t xml:space="preserve">ويدعي صاحب البلاغ أيضاً أن الدولة الطرف، بتطبيقها المادة </w:t>
      </w:r>
      <w:r w:rsidRPr="00793290">
        <w:rPr>
          <w:rtl/>
        </w:rPr>
        <w:t>57</w:t>
      </w:r>
      <w:r>
        <w:rPr>
          <w:rFonts w:ascii="Traditional Arabic"/>
          <w:szCs w:val="20"/>
          <w:rtl/>
        </w:rPr>
        <w:t>(</w:t>
      </w:r>
      <w:r w:rsidRPr="00793290">
        <w:rPr>
          <w:rtl/>
        </w:rPr>
        <w:t>2</w:t>
      </w:r>
      <w:r>
        <w:rPr>
          <w:rFonts w:ascii="Traditional Arabic"/>
          <w:szCs w:val="20"/>
          <w:rtl/>
        </w:rPr>
        <w:t>)</w:t>
      </w:r>
      <w:r>
        <w:rPr>
          <w:rtl/>
        </w:rPr>
        <w:t xml:space="preserve"> من القانون الجنائي في قضيته، قد ميزت ضده بسبب سنه وجنسه، وانتهكت حقوقه بموجب المواد </w:t>
      </w:r>
      <w:r w:rsidRPr="00793290">
        <w:rPr>
          <w:rtl/>
        </w:rPr>
        <w:t>2</w:t>
      </w:r>
      <w:r>
        <w:rPr>
          <w:rtl/>
        </w:rPr>
        <w:t xml:space="preserve"> و</w:t>
      </w:r>
      <w:r w:rsidRPr="00793290">
        <w:rPr>
          <w:rtl/>
        </w:rPr>
        <w:t>3</w:t>
      </w:r>
      <w:r>
        <w:rPr>
          <w:rtl/>
        </w:rPr>
        <w:t xml:space="preserve"> و</w:t>
      </w:r>
      <w:r w:rsidRPr="00793290">
        <w:rPr>
          <w:rtl/>
        </w:rPr>
        <w:t>5</w:t>
      </w:r>
      <w:r>
        <w:rPr>
          <w:rtl/>
        </w:rPr>
        <w:t xml:space="preserve"> و</w:t>
      </w:r>
      <w:r w:rsidRPr="00793290">
        <w:rPr>
          <w:rtl/>
        </w:rPr>
        <w:t>7</w:t>
      </w:r>
      <w:r>
        <w:rPr>
          <w:rtl/>
        </w:rPr>
        <w:t xml:space="preserve"> و</w:t>
      </w:r>
      <w:r w:rsidRPr="00793290">
        <w:rPr>
          <w:rtl/>
        </w:rPr>
        <w:t>14</w:t>
      </w:r>
      <w:r>
        <w:rPr>
          <w:rFonts w:ascii="Traditional Arabic"/>
          <w:szCs w:val="20"/>
          <w:rtl/>
        </w:rPr>
        <w:t xml:space="preserve"> (</w:t>
      </w:r>
      <w:r w:rsidRPr="00793290">
        <w:rPr>
          <w:rtl/>
        </w:rPr>
        <w:t>1</w:t>
      </w:r>
      <w:r>
        <w:rPr>
          <w:rFonts w:ascii="Traditional Arabic"/>
          <w:szCs w:val="20"/>
          <w:rtl/>
        </w:rPr>
        <w:t>)</w:t>
      </w:r>
      <w:r>
        <w:rPr>
          <w:rtl/>
        </w:rPr>
        <w:t xml:space="preserve"> و</w:t>
      </w:r>
      <w:r w:rsidRPr="00793290">
        <w:rPr>
          <w:rtl/>
        </w:rPr>
        <w:t>15</w:t>
      </w:r>
      <w:r>
        <w:rPr>
          <w:rtl/>
        </w:rPr>
        <w:t xml:space="preserve"> و</w:t>
      </w:r>
      <w:r w:rsidRPr="00793290">
        <w:rPr>
          <w:rtl/>
        </w:rPr>
        <w:t>26</w:t>
      </w:r>
      <w:r>
        <w:rPr>
          <w:rtl/>
        </w:rPr>
        <w:t xml:space="preserve"> من العهد. وهو يدفع بأن هذا التمييز يهدف إلى الحط من كرامة الإنسان، وأن السلطة التشريعية، بإدراج هذا التمييز في القانون، قد تدخلت في إقامة العدل من جانب السلطة القضائية.</w:t>
      </w:r>
    </w:p>
    <w:p w14:paraId="4D709CF8" w14:textId="77777777" w:rsidR="009E339B" w:rsidRPr="0067154D" w:rsidRDefault="009E339B" w:rsidP="009E339B">
      <w:pPr>
        <w:pStyle w:val="H23GA"/>
        <w:rPr>
          <w:szCs w:val="20"/>
          <w:lang w:val="ar-SA" w:eastAsia="zh-TW" w:bidi="en-GB"/>
        </w:rPr>
      </w:pPr>
      <w:r>
        <w:rPr>
          <w:rtl/>
        </w:rPr>
        <w:tab/>
      </w:r>
      <w:r>
        <w:rPr>
          <w:rtl/>
        </w:rPr>
        <w:tab/>
        <w:t>ملاحظات الدولة الطرف بشأن مقبولية البلاغ وأسسه الموضوعية</w:t>
      </w:r>
    </w:p>
    <w:p w14:paraId="7442C236" w14:textId="77777777" w:rsidR="009E339B" w:rsidRPr="00D068EB" w:rsidRDefault="009E339B" w:rsidP="009E339B">
      <w:pPr>
        <w:pStyle w:val="SingleTxtGA"/>
        <w:rPr>
          <w:lang w:val="en-US" w:eastAsia="zh-TW" w:bidi="en-GB"/>
        </w:rPr>
      </w:pPr>
      <w:r w:rsidRPr="00D068EB">
        <w:rPr>
          <w:rtl/>
        </w:rPr>
        <w:t>4-1</w:t>
      </w:r>
      <w:r w:rsidRPr="00D068EB">
        <w:rPr>
          <w:rtl/>
        </w:rPr>
        <w:tab/>
        <w:t>قدمت الدولة الطرف، في مذكرة شفوية مؤرخة 10 آذار/مارس 2015، ملاحظاتها بشأن مقبولية البلاغ. وهي تلاحظ أن البلاغ المقدم من صاحب البلاغ يأتي بعد 10 سنوات تقريباً من رفض المحكمة العليا للاتحاد الروسي طعنه بالنقض في 15 كانون الأول/ديسمبر 2004</w:t>
      </w:r>
      <w:r w:rsidRPr="00D068EB">
        <w:rPr>
          <w:rFonts w:ascii="Traditional Arabic"/>
          <w:rtl/>
        </w:rPr>
        <w:t>.</w:t>
      </w:r>
      <w:r w:rsidRPr="00D068EB">
        <w:rPr>
          <w:rtl/>
        </w:rPr>
        <w:t xml:space="preserve"> وتلاحظ الدولة الطرف أن صاحب البلاغ لم يقدم شرحا</w:t>
      </w:r>
      <w:r w:rsidR="004640A1" w:rsidRPr="00D068EB">
        <w:rPr>
          <w:rFonts w:hint="cs"/>
          <w:rtl/>
        </w:rPr>
        <w:t>ً</w:t>
      </w:r>
      <w:r w:rsidRPr="00D068EB">
        <w:rPr>
          <w:rtl/>
        </w:rPr>
        <w:t xml:space="preserve"> معقولاً لهذا التأخير. وتدفع الدولة الطرف بأن تقديم البلاغ بعد انقضاء هذه الفترة الطويلة يشكل إساءة استعمال لحق تقديم البلاغات بموجب المادة 96</w:t>
      </w:r>
      <w:r w:rsidRPr="00D068EB">
        <w:rPr>
          <w:rFonts w:ascii="Traditional Arabic"/>
          <w:rtl/>
        </w:rPr>
        <w:t>(</w:t>
      </w:r>
      <w:r w:rsidRPr="00D068EB">
        <w:rPr>
          <w:rtl/>
        </w:rPr>
        <w:t>ج</w:t>
      </w:r>
      <w:r w:rsidRPr="00D068EB">
        <w:rPr>
          <w:rFonts w:ascii="Traditional Arabic"/>
          <w:rtl/>
        </w:rPr>
        <w:t>)</w:t>
      </w:r>
      <w:r w:rsidRPr="00D068EB">
        <w:rPr>
          <w:rtl/>
        </w:rPr>
        <w:t xml:space="preserve"> من نظام اللجنة الداخلي الذي كان ساريا في ذلك الوقت </w:t>
      </w:r>
      <w:r w:rsidRPr="00D068EB">
        <w:rPr>
          <w:rFonts w:ascii="Traditional Arabic"/>
          <w:rtl/>
        </w:rPr>
        <w:t>(</w:t>
      </w:r>
      <w:r w:rsidRPr="00D068EB">
        <w:rPr>
          <w:rFonts w:cs="Times New Roman"/>
        </w:rPr>
        <w:t>CCPR</w:t>
      </w:r>
      <w:r w:rsidRPr="00D068EB">
        <w:t>/</w:t>
      </w:r>
      <w:r w:rsidRPr="00D068EB">
        <w:rPr>
          <w:rFonts w:cs="Times New Roman"/>
        </w:rPr>
        <w:t>C</w:t>
      </w:r>
      <w:r w:rsidRPr="00D068EB">
        <w:t>/3/</w:t>
      </w:r>
      <w:r w:rsidRPr="00D068EB">
        <w:rPr>
          <w:rFonts w:cs="Times New Roman"/>
        </w:rPr>
        <w:t>Rev.</w:t>
      </w:r>
      <w:r w:rsidRPr="00D068EB">
        <w:t>10</w:t>
      </w:r>
      <w:r w:rsidRPr="00D068EB">
        <w:rPr>
          <w:rtl/>
        </w:rPr>
        <w:t>؛ المادة 99</w:t>
      </w:r>
      <w:r w:rsidRPr="00D068EB">
        <w:rPr>
          <w:rFonts w:ascii="Traditional Arabic"/>
          <w:rtl/>
        </w:rPr>
        <w:t>(</w:t>
      </w:r>
      <w:r w:rsidRPr="00D068EB">
        <w:rPr>
          <w:rtl/>
        </w:rPr>
        <w:t>ج</w:t>
      </w:r>
      <w:r w:rsidRPr="00D068EB">
        <w:rPr>
          <w:rFonts w:ascii="Traditional Arabic"/>
          <w:rtl/>
        </w:rPr>
        <w:t>)</w:t>
      </w:r>
      <w:r w:rsidRPr="00D068EB">
        <w:rPr>
          <w:rtl/>
        </w:rPr>
        <w:t xml:space="preserve"> حاليا</w:t>
      </w:r>
      <w:r w:rsidR="004640A1" w:rsidRPr="00D068EB">
        <w:rPr>
          <w:rFonts w:hint="cs"/>
          <w:rtl/>
        </w:rPr>
        <w:t>ً</w:t>
      </w:r>
      <w:r w:rsidRPr="00D068EB">
        <w:rPr>
          <w:rtl/>
        </w:rPr>
        <w:t>)، وتطلب إلى اللجنة أن تخلص إلى أن البلاغ غير مقبول.</w:t>
      </w:r>
    </w:p>
    <w:p w14:paraId="402195F1" w14:textId="77777777" w:rsidR="009E339B" w:rsidRPr="00D068EB" w:rsidRDefault="009E339B" w:rsidP="009E339B">
      <w:pPr>
        <w:pStyle w:val="SingleTxtGA"/>
        <w:rPr>
          <w:lang w:val="ar-SA" w:eastAsia="zh-TW" w:bidi="en-GB"/>
        </w:rPr>
      </w:pPr>
      <w:r w:rsidRPr="00D068EB">
        <w:rPr>
          <w:rtl/>
        </w:rPr>
        <w:t>4-2</w:t>
      </w:r>
      <w:r w:rsidRPr="00D068EB">
        <w:rPr>
          <w:rtl/>
        </w:rPr>
        <w:tab/>
        <w:t>وقدمت الدولة الطرف، في مذكرة شفوية مؤرخة 12 آذار/مارس 2015، ملاحظاتها بشأن أسس البلاغ الموضوعية. وهي تلاحظ أن صاحب البلاغ قد أدين بارتكاب جرائم جنائية بموجب عدة مواد من القانون الجنائي. وأدت هذه الأفعال إلى وفاة 56 شخصاً وإصابة عدد كبير من الأشخاص بجروح. وعملاً بالمادة 69</w:t>
      </w:r>
      <w:r w:rsidRPr="00D068EB">
        <w:rPr>
          <w:rFonts w:ascii="Traditional Arabic"/>
          <w:rtl/>
        </w:rPr>
        <w:t>(</w:t>
      </w:r>
      <w:r w:rsidRPr="00D068EB">
        <w:rPr>
          <w:rtl/>
        </w:rPr>
        <w:t>3</w:t>
      </w:r>
      <w:r w:rsidRPr="00D068EB">
        <w:rPr>
          <w:rFonts w:ascii="Traditional Arabic"/>
          <w:rtl/>
        </w:rPr>
        <w:t>)</w:t>
      </w:r>
      <w:r w:rsidRPr="00D068EB">
        <w:rPr>
          <w:rtl/>
        </w:rPr>
        <w:t xml:space="preserve"> من القانون الجنائي، حُكم على صاحب البلاغ بالسجن مدى الحياة مع مصادرة ممتلكاته. </w:t>
      </w:r>
    </w:p>
    <w:p w14:paraId="63820FFF" w14:textId="77777777" w:rsidR="009E339B" w:rsidRDefault="009E339B" w:rsidP="009E339B">
      <w:pPr>
        <w:pStyle w:val="SingleTxtGA"/>
        <w:rPr>
          <w:szCs w:val="20"/>
          <w:lang w:val="ar-SA" w:eastAsia="zh-TW" w:bidi="en-GB"/>
        </w:rPr>
      </w:pPr>
      <w:r w:rsidRPr="00793290">
        <w:rPr>
          <w:rtl/>
        </w:rPr>
        <w:t>4-3</w:t>
      </w:r>
      <w:r>
        <w:rPr>
          <w:rtl/>
        </w:rPr>
        <w:tab/>
        <w:t xml:space="preserve">وتلاحظ الدولة الطرف أن المحكمة العليا وافقت في </w:t>
      </w:r>
      <w:r w:rsidRPr="00793290">
        <w:rPr>
          <w:rtl/>
        </w:rPr>
        <w:t>16</w:t>
      </w:r>
      <w:r>
        <w:rPr>
          <w:rtl/>
        </w:rPr>
        <w:t xml:space="preserve"> تموز</w:t>
      </w:r>
      <w:r w:rsidRPr="00793290">
        <w:rPr>
          <w:rtl/>
        </w:rPr>
        <w:t>/</w:t>
      </w:r>
      <w:r>
        <w:rPr>
          <w:rtl/>
        </w:rPr>
        <w:t xml:space="preserve">يوليه </w:t>
      </w:r>
      <w:r w:rsidRPr="00793290">
        <w:rPr>
          <w:rtl/>
        </w:rPr>
        <w:t>2004</w:t>
      </w:r>
      <w:r>
        <w:rPr>
          <w:rtl/>
        </w:rPr>
        <w:t xml:space="preserve"> على طلب صاحب البلاغ حضور جلسة النقض شخصياً. وفي </w:t>
      </w:r>
      <w:r w:rsidRPr="00793290">
        <w:rPr>
          <w:rtl/>
        </w:rPr>
        <w:t>23</w:t>
      </w:r>
      <w:r>
        <w:rPr>
          <w:rtl/>
        </w:rPr>
        <w:t xml:space="preserve"> تشرين الثاني</w:t>
      </w:r>
      <w:r w:rsidRPr="00793290">
        <w:rPr>
          <w:rtl/>
        </w:rPr>
        <w:t>/</w:t>
      </w:r>
      <w:r>
        <w:rPr>
          <w:rtl/>
        </w:rPr>
        <w:t xml:space="preserve">نوفمبر </w:t>
      </w:r>
      <w:r w:rsidRPr="00793290">
        <w:rPr>
          <w:rtl/>
        </w:rPr>
        <w:t>2004</w:t>
      </w:r>
      <w:r>
        <w:rPr>
          <w:rtl/>
        </w:rPr>
        <w:t xml:space="preserve">، أخطرت المحكمة العليا محامي صاحب البلاغ، ك.، الذي مثله أثناء المحاكمة، بتاريخ جلسة النقض وموعدها. وفي </w:t>
      </w:r>
      <w:r w:rsidRPr="00793290">
        <w:rPr>
          <w:rtl/>
        </w:rPr>
        <w:t>15</w:t>
      </w:r>
      <w:r>
        <w:rPr>
          <w:rtl/>
        </w:rPr>
        <w:t xml:space="preserve"> كانون الأول</w:t>
      </w:r>
      <w:r w:rsidRPr="00793290">
        <w:rPr>
          <w:rtl/>
        </w:rPr>
        <w:t>/</w:t>
      </w:r>
      <w:r>
        <w:rPr>
          <w:rtl/>
        </w:rPr>
        <w:t xml:space="preserve">ديسمبر </w:t>
      </w:r>
      <w:r w:rsidRPr="00793290">
        <w:rPr>
          <w:rtl/>
        </w:rPr>
        <w:t>2004</w:t>
      </w:r>
      <w:r>
        <w:rPr>
          <w:rtl/>
        </w:rPr>
        <w:t xml:space="preserve">، أيدت المحكمة العليا الحكم بالسجن مدى الحياة على صاحب البلاغ. وتفيد الدولة الطرف بأن صاحب البلاغ شارك في جلسة النقض عن طريق التداول بالفيديو. </w:t>
      </w:r>
    </w:p>
    <w:p w14:paraId="0FAC947D" w14:textId="14E2CF84" w:rsidR="009E339B" w:rsidRPr="00FF5564" w:rsidRDefault="009E339B" w:rsidP="009E339B">
      <w:pPr>
        <w:pStyle w:val="SingleTxtGA"/>
        <w:rPr>
          <w:spacing w:val="-2"/>
          <w:szCs w:val="20"/>
          <w:lang w:val="ar-SA" w:eastAsia="zh-TW" w:bidi="en-GB"/>
        </w:rPr>
      </w:pPr>
      <w:r w:rsidRPr="00FF5564">
        <w:rPr>
          <w:spacing w:val="-2"/>
          <w:rtl/>
        </w:rPr>
        <w:t>4-4</w:t>
      </w:r>
      <w:r w:rsidRPr="00FF5564">
        <w:rPr>
          <w:spacing w:val="-2"/>
          <w:rtl/>
        </w:rPr>
        <w:tab/>
        <w:t>وتدفع الدولة الطرف بأن صاحب البلاغ قدم شهادة شفوية أثناء جلسة النقض. غير أنه لم</w:t>
      </w:r>
      <w:r w:rsidR="004640A1" w:rsidRPr="00FF5564">
        <w:rPr>
          <w:rFonts w:hint="cs"/>
          <w:spacing w:val="-2"/>
          <w:rtl/>
        </w:rPr>
        <w:t> </w:t>
      </w:r>
      <w:r w:rsidRPr="00FF5564">
        <w:rPr>
          <w:spacing w:val="-2"/>
          <w:rtl/>
        </w:rPr>
        <w:t>يطلب أن يمثله محام. وتلاحظ الدولة الطرف أن المادة 51</w:t>
      </w:r>
      <w:r w:rsidRPr="00FF5564">
        <w:rPr>
          <w:rFonts w:ascii="Traditional Arabic"/>
          <w:spacing w:val="-2"/>
          <w:szCs w:val="20"/>
          <w:rtl/>
        </w:rPr>
        <w:t>(</w:t>
      </w:r>
      <w:r w:rsidRPr="00FF5564">
        <w:rPr>
          <w:spacing w:val="-2"/>
          <w:rtl/>
        </w:rPr>
        <w:t>1</w:t>
      </w:r>
      <w:r w:rsidRPr="00FF5564">
        <w:rPr>
          <w:rFonts w:ascii="Traditional Arabic"/>
          <w:spacing w:val="-2"/>
          <w:szCs w:val="20"/>
          <w:rtl/>
        </w:rPr>
        <w:t>)(</w:t>
      </w:r>
      <w:r w:rsidRPr="00FF5564">
        <w:rPr>
          <w:spacing w:val="-2"/>
          <w:rtl/>
        </w:rPr>
        <w:t>5</w:t>
      </w:r>
      <w:r w:rsidRPr="00FF5564">
        <w:rPr>
          <w:rFonts w:ascii="Traditional Arabic"/>
          <w:spacing w:val="-2"/>
          <w:szCs w:val="20"/>
          <w:rtl/>
        </w:rPr>
        <w:t>)</w:t>
      </w:r>
      <w:r w:rsidRPr="00FF5564">
        <w:rPr>
          <w:spacing w:val="-2"/>
          <w:rtl/>
        </w:rPr>
        <w:t xml:space="preserve"> من قانون الإجراءات الجنائية تنص على وجوب حضور المحامي إذا ما وُجهت إلى المدعى عليه تهمة ارتكاب جريمة يعاقب عليها بالسجن لمدة تزيد على</w:t>
      </w:r>
      <w:r w:rsidR="00FF5564">
        <w:rPr>
          <w:rFonts w:hint="cs"/>
          <w:spacing w:val="-2"/>
          <w:rtl/>
        </w:rPr>
        <w:t> </w:t>
      </w:r>
      <w:r w:rsidRPr="00FF5564">
        <w:rPr>
          <w:spacing w:val="-2"/>
          <w:rtl/>
        </w:rPr>
        <w:t xml:space="preserve">15 سنة أو بالسجن مدى الحياة أو بالإعدام. وفي عام 2003، قضت المحكمة الدستورية بأنه ليس في هذا الحكم ما يشير إلى أنه لا ينطبق على إجراء النقض. وفي عام 2007، أوضحت كذلك أن مواد قانون الإجراءات الجنائية ذات الصلة التي تتطلب توكيل محام للمتهمين يجب أن تحترمها محاكم النقض. </w:t>
      </w:r>
    </w:p>
    <w:p w14:paraId="6AC933A2" w14:textId="77777777" w:rsidR="009E339B" w:rsidRDefault="009E339B" w:rsidP="009E339B">
      <w:pPr>
        <w:pStyle w:val="SingleTxtGA"/>
        <w:rPr>
          <w:szCs w:val="20"/>
          <w:lang w:val="ar-SA" w:eastAsia="zh-TW" w:bidi="en-GB"/>
        </w:rPr>
      </w:pPr>
      <w:r w:rsidRPr="00793290">
        <w:rPr>
          <w:rtl/>
        </w:rPr>
        <w:t>4-5</w:t>
      </w:r>
      <w:r>
        <w:rPr>
          <w:rtl/>
        </w:rPr>
        <w:tab/>
        <w:t xml:space="preserve">وتؤكد الدولة الطرف من جديد أن المحكمة العليا تعترف بانتهاك الحق في الدفاع القانوني في القضايا التي كانت فيها مشاركة محامٍ مطلوبة بموجب المادة </w:t>
      </w:r>
      <w:r w:rsidRPr="00793290">
        <w:rPr>
          <w:rtl/>
        </w:rPr>
        <w:t>51</w:t>
      </w:r>
      <w:r>
        <w:rPr>
          <w:rtl/>
        </w:rPr>
        <w:t xml:space="preserve"> من قانون الإجراءات الجنائية ولكنه لم</w:t>
      </w:r>
      <w:r w:rsidR="004640A1">
        <w:rPr>
          <w:rFonts w:hint="cs"/>
          <w:rtl/>
        </w:rPr>
        <w:t> </w:t>
      </w:r>
      <w:r>
        <w:rPr>
          <w:rtl/>
        </w:rPr>
        <w:t xml:space="preserve">يوكّل ولم يتنازل المدعى عليه عن حقه في الاستعانة بمحام. ويجوز استئناف قرارات المحكمة العليا عن طريق الطعن أمام هيئة رئاسة المحكمة العليا للحصول على مراجعة رقابية. وفي </w:t>
      </w:r>
      <w:r w:rsidRPr="00793290">
        <w:rPr>
          <w:rtl/>
        </w:rPr>
        <w:t>30</w:t>
      </w:r>
      <w:r>
        <w:rPr>
          <w:rtl/>
        </w:rPr>
        <w:t xml:space="preserve"> كانون الأول</w:t>
      </w:r>
      <w:r w:rsidRPr="00793290">
        <w:rPr>
          <w:rtl/>
        </w:rPr>
        <w:t>/</w:t>
      </w:r>
      <w:r w:rsidR="004640A1">
        <w:rPr>
          <w:rFonts w:hint="cs"/>
          <w:rtl/>
        </w:rPr>
        <w:t xml:space="preserve"> </w:t>
      </w:r>
      <w:r>
        <w:rPr>
          <w:rtl/>
        </w:rPr>
        <w:t>ديسمبر</w:t>
      </w:r>
      <w:r w:rsidR="004640A1">
        <w:rPr>
          <w:rFonts w:hint="cs"/>
          <w:rtl/>
        </w:rPr>
        <w:t> </w:t>
      </w:r>
      <w:r w:rsidRPr="00793290">
        <w:rPr>
          <w:rtl/>
        </w:rPr>
        <w:t>2013</w:t>
      </w:r>
      <w:r>
        <w:rPr>
          <w:rtl/>
        </w:rPr>
        <w:t xml:space="preserve">، رفضت المحكمة العليا، مشكلة من قاضٍ واحد، طلب صاحب البلاغ إعادة النظر في الحكم الصادر بحقه. وتلاحظ الدولة الطرف أنه في ذلك الوقت، لم يكن من الممكن تقديم طلب لإجراء مراجعة رقابية إلا في غضون سنة واحدة من بدء نفاذ الحكم. وفي </w:t>
      </w:r>
      <w:r w:rsidRPr="00793290">
        <w:rPr>
          <w:rtl/>
        </w:rPr>
        <w:t>31</w:t>
      </w:r>
      <w:r>
        <w:rPr>
          <w:rtl/>
        </w:rPr>
        <w:t xml:space="preserve"> كانون الأول</w:t>
      </w:r>
      <w:r w:rsidRPr="00793290">
        <w:rPr>
          <w:rtl/>
        </w:rPr>
        <w:t>/</w:t>
      </w:r>
      <w:r>
        <w:rPr>
          <w:rtl/>
        </w:rPr>
        <w:t xml:space="preserve">ديسمبر </w:t>
      </w:r>
      <w:r w:rsidRPr="00793290">
        <w:rPr>
          <w:rtl/>
        </w:rPr>
        <w:t>2014</w:t>
      </w:r>
      <w:r>
        <w:rPr>
          <w:rtl/>
        </w:rPr>
        <w:t xml:space="preserve">، ألغى القانون الاتحادي الجديد شرط السنة الواحدة لتقديم الطعون إلى المحكمة العليا لغرض الحصول على مراجعة رقابية. وتفيد الدولة الطرف بأنه يحق لصاحب البلاغ من ثم أن يطعن في قرار قاضي المحكمة العليا الصادر في </w:t>
      </w:r>
      <w:r w:rsidRPr="00793290">
        <w:rPr>
          <w:rtl/>
        </w:rPr>
        <w:t>30</w:t>
      </w:r>
      <w:r>
        <w:rPr>
          <w:rtl/>
        </w:rPr>
        <w:t xml:space="preserve"> كانون الأول</w:t>
      </w:r>
      <w:r w:rsidRPr="00793290">
        <w:rPr>
          <w:rtl/>
        </w:rPr>
        <w:t>/</w:t>
      </w:r>
      <w:r>
        <w:rPr>
          <w:rtl/>
        </w:rPr>
        <w:t xml:space="preserve">ديسمبر </w:t>
      </w:r>
      <w:r w:rsidRPr="00793290">
        <w:rPr>
          <w:rtl/>
        </w:rPr>
        <w:t>2013</w:t>
      </w:r>
      <w:r>
        <w:rPr>
          <w:rtl/>
        </w:rPr>
        <w:t xml:space="preserve"> أمام رئاسة المحكمة العليا أو نائبها. </w:t>
      </w:r>
    </w:p>
    <w:p w14:paraId="43CEBED8" w14:textId="77777777" w:rsidR="009E339B" w:rsidRPr="00FF5564" w:rsidRDefault="009E339B" w:rsidP="009E339B">
      <w:pPr>
        <w:pStyle w:val="SingleTxtGA"/>
        <w:rPr>
          <w:spacing w:val="-4"/>
          <w:szCs w:val="20"/>
          <w:lang w:val="en-US" w:eastAsia="zh-TW" w:bidi="en-GB"/>
        </w:rPr>
      </w:pPr>
      <w:r w:rsidRPr="00FF5564">
        <w:rPr>
          <w:spacing w:val="-4"/>
          <w:rtl/>
        </w:rPr>
        <w:lastRenderedPageBreak/>
        <w:t>4-6</w:t>
      </w:r>
      <w:r w:rsidRPr="00FF5564">
        <w:rPr>
          <w:spacing w:val="-4"/>
          <w:rtl/>
        </w:rPr>
        <w:tab/>
        <w:t>وأخيراً، تلاحظ الدولة الطرف أن صاحب البلاغ، لئن يدعي حدوث انتهاك للمادة 14</w:t>
      </w:r>
      <w:r w:rsidRPr="00FF5564">
        <w:rPr>
          <w:rFonts w:ascii="Traditional Arabic"/>
          <w:spacing w:val="-4"/>
          <w:szCs w:val="20"/>
          <w:rtl/>
        </w:rPr>
        <w:t>(</w:t>
      </w:r>
      <w:r w:rsidRPr="00FF5564">
        <w:rPr>
          <w:spacing w:val="-4"/>
          <w:rtl/>
        </w:rPr>
        <w:t>3</w:t>
      </w:r>
      <w:r w:rsidRPr="00FF5564">
        <w:rPr>
          <w:rFonts w:ascii="Traditional Arabic"/>
          <w:spacing w:val="-4"/>
          <w:szCs w:val="20"/>
          <w:rtl/>
        </w:rPr>
        <w:t>)(</w:t>
      </w:r>
      <w:r w:rsidRPr="00FF5564">
        <w:rPr>
          <w:spacing w:val="-4"/>
          <w:rtl/>
        </w:rPr>
        <w:t>د</w:t>
      </w:r>
      <w:r w:rsidRPr="00FF5564">
        <w:rPr>
          <w:rFonts w:ascii="Traditional Arabic"/>
          <w:spacing w:val="-4"/>
          <w:szCs w:val="20"/>
          <w:rtl/>
        </w:rPr>
        <w:t>)</w:t>
      </w:r>
      <w:r w:rsidRPr="00FF5564">
        <w:rPr>
          <w:spacing w:val="-4"/>
          <w:rtl/>
        </w:rPr>
        <w:t xml:space="preserve">، فهو لا يطلب إلغاء قرار المحكمة العليا المؤرخ 15 كانون الأول/ديسمبر 2004 وعقد جلسة جديدة للنقض. </w:t>
      </w:r>
    </w:p>
    <w:p w14:paraId="6D7C3B02" w14:textId="77777777" w:rsidR="009E339B" w:rsidRPr="0067154D" w:rsidRDefault="009E339B" w:rsidP="009E339B">
      <w:pPr>
        <w:pStyle w:val="H23GA"/>
        <w:rPr>
          <w:szCs w:val="20"/>
          <w:lang w:val="ar-SA" w:eastAsia="zh-TW" w:bidi="en-GB"/>
        </w:rPr>
      </w:pPr>
      <w:r>
        <w:rPr>
          <w:rtl/>
        </w:rPr>
        <w:tab/>
      </w:r>
      <w:r>
        <w:rPr>
          <w:rtl/>
        </w:rPr>
        <w:tab/>
        <w:t>تعليقات صاحب البلاغ على ملاحظات الدولة الطرف بشأن المقبولية والأسس الموضوعية</w:t>
      </w:r>
    </w:p>
    <w:p w14:paraId="51F0B410" w14:textId="77777777" w:rsidR="009E339B" w:rsidRDefault="009E339B" w:rsidP="009E339B">
      <w:pPr>
        <w:pStyle w:val="SingleTxtGA"/>
        <w:rPr>
          <w:szCs w:val="20"/>
          <w:lang w:val="ar-SA" w:eastAsia="zh-TW" w:bidi="en-GB"/>
        </w:rPr>
      </w:pPr>
      <w:r w:rsidRPr="00793290">
        <w:rPr>
          <w:rtl/>
        </w:rPr>
        <w:t>5-1</w:t>
      </w:r>
      <w:r>
        <w:rPr>
          <w:rtl/>
        </w:rPr>
        <w:tab/>
        <w:t xml:space="preserve">في </w:t>
      </w:r>
      <w:r w:rsidRPr="00793290">
        <w:rPr>
          <w:rtl/>
        </w:rPr>
        <w:t>13</w:t>
      </w:r>
      <w:r>
        <w:rPr>
          <w:rtl/>
        </w:rPr>
        <w:t xml:space="preserve"> أيار</w:t>
      </w:r>
      <w:r w:rsidRPr="00793290">
        <w:rPr>
          <w:rtl/>
        </w:rPr>
        <w:t>/</w:t>
      </w:r>
      <w:r>
        <w:rPr>
          <w:rtl/>
        </w:rPr>
        <w:t xml:space="preserve">مايو </w:t>
      </w:r>
      <w:r w:rsidRPr="00793290">
        <w:rPr>
          <w:rtl/>
        </w:rPr>
        <w:t>2014</w:t>
      </w:r>
      <w:r>
        <w:rPr>
          <w:rtl/>
        </w:rPr>
        <w:t xml:space="preserve">، قدّم صاحب البلاغ تعليقاته على ملاحظات الدولة الطرف. ويشير إلى أن البلاغ قد يشكل، بموجب المادة </w:t>
      </w:r>
      <w:r w:rsidRPr="00793290">
        <w:rPr>
          <w:rtl/>
        </w:rPr>
        <w:t>96</w:t>
      </w:r>
      <w:r>
        <w:rPr>
          <w:rFonts w:ascii="Traditional Arabic"/>
          <w:szCs w:val="20"/>
          <w:rtl/>
        </w:rPr>
        <w:t>(</w:t>
      </w:r>
      <w:r>
        <w:rPr>
          <w:rtl/>
        </w:rPr>
        <w:t>ج</w:t>
      </w:r>
      <w:r>
        <w:rPr>
          <w:rFonts w:ascii="Traditional Arabic"/>
          <w:szCs w:val="20"/>
          <w:rtl/>
        </w:rPr>
        <w:t>)</w:t>
      </w:r>
      <w:r>
        <w:rPr>
          <w:rtl/>
        </w:rPr>
        <w:t xml:space="preserve"> من نظام اللجنة الداخلي (المادة </w:t>
      </w:r>
      <w:r w:rsidRPr="00793290">
        <w:rPr>
          <w:rtl/>
        </w:rPr>
        <w:t>99</w:t>
      </w:r>
      <w:r>
        <w:rPr>
          <w:rFonts w:ascii="Traditional Arabic"/>
          <w:szCs w:val="20"/>
          <w:rtl/>
        </w:rPr>
        <w:t>(</w:t>
      </w:r>
      <w:r>
        <w:rPr>
          <w:rtl/>
        </w:rPr>
        <w:t>ج</w:t>
      </w:r>
      <w:r>
        <w:rPr>
          <w:rFonts w:ascii="Traditional Arabic"/>
          <w:szCs w:val="20"/>
          <w:rtl/>
        </w:rPr>
        <w:t>)</w:t>
      </w:r>
      <w:r>
        <w:rPr>
          <w:rtl/>
        </w:rPr>
        <w:t xml:space="preserve"> حاليا</w:t>
      </w:r>
      <w:r w:rsidR="00D068EB">
        <w:rPr>
          <w:rFonts w:hint="cs"/>
          <w:rtl/>
        </w:rPr>
        <w:t>ً</w:t>
      </w:r>
      <w:r>
        <w:rPr>
          <w:rtl/>
        </w:rPr>
        <w:t>)، إساءة استخدام لحق تقديم البلاغات إذا قُدِّم بعد مضي أكثر من خمس سنوات على استنفاد سبل الانتصاف المحلية. وإذ قُدم البلاغ بعد سبعة أشهر فقط من رفض المحكمة العليا استئنافه لأغراض المراجعة الرقابية، فلا يمكن اعتباره إخلالا بنظام اللجنة الداخلي.</w:t>
      </w:r>
    </w:p>
    <w:p w14:paraId="1A3898DD" w14:textId="77777777" w:rsidR="009E339B" w:rsidRDefault="009E339B" w:rsidP="009E339B">
      <w:pPr>
        <w:pStyle w:val="SingleTxtGA"/>
        <w:rPr>
          <w:szCs w:val="20"/>
          <w:lang w:val="ar-SA" w:eastAsia="zh-TW" w:bidi="en-GB"/>
        </w:rPr>
      </w:pPr>
      <w:r w:rsidRPr="00793290">
        <w:rPr>
          <w:rtl/>
        </w:rPr>
        <w:t>5-2</w:t>
      </w:r>
      <w:r>
        <w:rPr>
          <w:rtl/>
        </w:rPr>
        <w:tab/>
        <w:t xml:space="preserve">ويدعي صاحب البلاغ أنه ينحدر من إثنية الإنغوش ولم يتعلم اللغة الروسية حتى عام </w:t>
      </w:r>
      <w:r w:rsidRPr="00793290">
        <w:rPr>
          <w:rtl/>
        </w:rPr>
        <w:t>2005</w:t>
      </w:r>
      <w:r>
        <w:rPr>
          <w:rtl/>
        </w:rPr>
        <w:t xml:space="preserve"> عندما كان في السجن. وقد توقفت دراسته في المدرسة الثانوية بسبب الحرب الأوسيتية </w:t>
      </w:r>
      <w:r w:rsidRPr="00793290">
        <w:rPr>
          <w:rtl/>
        </w:rPr>
        <w:t>-</w:t>
      </w:r>
      <w:r>
        <w:rPr>
          <w:rtl/>
        </w:rPr>
        <w:t xml:space="preserve"> الإنغوشية ولم</w:t>
      </w:r>
      <w:r w:rsidR="004640A1">
        <w:rPr>
          <w:rFonts w:hint="cs"/>
          <w:rtl/>
        </w:rPr>
        <w:t> </w:t>
      </w:r>
      <w:r>
        <w:rPr>
          <w:rtl/>
        </w:rPr>
        <w:t>يتمكن من إكمال سوى تسع سنوات من الدراسة. وهو أيضا يجهل القانون. وقد ساعده رفاقه في السجن على دراسة اللغة الروسية وكتابة مطالباته بإجراء المراجعة الرقابية وهذا البلاغ.</w:t>
      </w:r>
    </w:p>
    <w:p w14:paraId="084D21F7" w14:textId="77777777" w:rsidR="009E339B" w:rsidRDefault="009E339B" w:rsidP="009E339B">
      <w:pPr>
        <w:pStyle w:val="SingleTxtGA"/>
        <w:rPr>
          <w:szCs w:val="20"/>
          <w:lang w:val="ar-SA" w:eastAsia="zh-TW" w:bidi="en-GB"/>
        </w:rPr>
      </w:pPr>
      <w:r w:rsidRPr="00793290">
        <w:rPr>
          <w:rtl/>
        </w:rPr>
        <w:t>5-3</w:t>
      </w:r>
      <w:r>
        <w:rPr>
          <w:rtl/>
        </w:rPr>
        <w:tab/>
        <w:t xml:space="preserve">وفيما يتعلق بمحاميه ك.، الذي مثله أثناء محاكمته، يدفع صاحب البلاغ بأن أقاربه تخلوا عنه لعجزهم عن دفع أتعابه أو تكاليف سفره من فلاديكافكاز إلى موسكو لحضور جلسة النقض. ويكرر صاحب البلاغ أن حضور المحامي واجب إذا اتُهم مدعى عليه بجريمة يعاقب عليها بالسجن لمدة تزيد على </w:t>
      </w:r>
      <w:r w:rsidRPr="00793290">
        <w:rPr>
          <w:rtl/>
        </w:rPr>
        <w:t>15</w:t>
      </w:r>
      <w:r>
        <w:rPr>
          <w:rtl/>
        </w:rPr>
        <w:t xml:space="preserve"> سنة أو بالسجن مدى الحياة أو بالإعدام. ويلاحظ أن المحكمة الدستورية دأبت منذ عام </w:t>
      </w:r>
      <w:r w:rsidRPr="00793290">
        <w:rPr>
          <w:rtl/>
        </w:rPr>
        <w:t>1996</w:t>
      </w:r>
      <w:r>
        <w:rPr>
          <w:rtl/>
        </w:rPr>
        <w:t xml:space="preserve"> على الحكم بأن الحق في الدفاع القانوني ينبغي أن يُتاح في جميع مراحل الدعوى الجنائية. ويذكر صاحب البلاغ أن المحكمة العليا أبطلت، في عدد من القضايا بين عامي </w:t>
      </w:r>
      <w:r w:rsidRPr="00793290">
        <w:rPr>
          <w:rtl/>
        </w:rPr>
        <w:t>2004</w:t>
      </w:r>
      <w:r>
        <w:rPr>
          <w:rtl/>
        </w:rPr>
        <w:t xml:space="preserve"> و</w:t>
      </w:r>
      <w:r w:rsidRPr="00793290">
        <w:rPr>
          <w:rtl/>
        </w:rPr>
        <w:t>2008</w:t>
      </w:r>
      <w:r>
        <w:rPr>
          <w:rtl/>
        </w:rPr>
        <w:t xml:space="preserve">، قرارات صادرة عن محاكم النقض وأعادت القضايا إلى جلسات استماع جديدة بسبب إخلال محاكم النقض بتوفير المساعدة القانونية للمدعى عليهم. غير أنه يرى أن القضاة خافوا من اتخاذ موقف في قضيته وإلغاء قرار محكمة النقض بسبب اتهامه بالإرهاب وبقتل </w:t>
      </w:r>
      <w:r w:rsidRPr="00793290">
        <w:rPr>
          <w:rtl/>
        </w:rPr>
        <w:t>56</w:t>
      </w:r>
      <w:r>
        <w:rPr>
          <w:rtl/>
        </w:rPr>
        <w:t xml:space="preserve"> شخصاً. </w:t>
      </w:r>
    </w:p>
    <w:p w14:paraId="121CC5BE" w14:textId="77777777" w:rsidR="009E339B" w:rsidRDefault="009E339B" w:rsidP="009E339B">
      <w:pPr>
        <w:pStyle w:val="SingleTxtGA"/>
        <w:rPr>
          <w:szCs w:val="20"/>
          <w:lang w:val="ar-SA" w:eastAsia="zh-TW" w:bidi="en-GB"/>
        </w:rPr>
      </w:pPr>
      <w:r w:rsidRPr="00793290">
        <w:rPr>
          <w:rtl/>
        </w:rPr>
        <w:t>5-4</w:t>
      </w:r>
      <w:r>
        <w:rPr>
          <w:rtl/>
        </w:rPr>
        <w:tab/>
        <w:t xml:space="preserve">ويرى صاحب البلاغ أن حضور المحامي كان سيساعده على إقناع محكمة النقض بأن اعترافاته انتزعت بالتعذيب وبعد تهديدات بإيذاء أقاربه. ويقدم نسخة من تقرير طبي مؤرخ </w:t>
      </w:r>
      <w:r w:rsidRPr="00793290">
        <w:rPr>
          <w:rtl/>
        </w:rPr>
        <w:t>10</w:t>
      </w:r>
      <w:r>
        <w:rPr>
          <w:rtl/>
        </w:rPr>
        <w:t xml:space="preserve"> أيلول</w:t>
      </w:r>
      <w:r w:rsidRPr="00793290">
        <w:rPr>
          <w:rtl/>
        </w:rPr>
        <w:t>/</w:t>
      </w:r>
      <w:r>
        <w:rPr>
          <w:rtl/>
        </w:rPr>
        <w:t xml:space="preserve">سبتمبر </w:t>
      </w:r>
      <w:r w:rsidRPr="00793290">
        <w:rPr>
          <w:rtl/>
        </w:rPr>
        <w:t>2002</w:t>
      </w:r>
      <w:r>
        <w:rPr>
          <w:rtl/>
        </w:rPr>
        <w:t xml:space="preserve"> دونه طبيب السجن الذي كان محتجزاً فيه، ويفيد فيه الطبيب بأن صاحب البلاغ اشتكى من ألم في ذراعه اليمنى. وقد لاحظ الطبيب فرط فقر الدم وتورما في الكتف ومحدودية الحركة بسبب الألم. </w:t>
      </w:r>
    </w:p>
    <w:p w14:paraId="74DAC8A9" w14:textId="77777777" w:rsidR="009E339B" w:rsidRPr="008F38EA" w:rsidRDefault="009E339B" w:rsidP="009E339B">
      <w:pPr>
        <w:pStyle w:val="SingleTxtGA"/>
        <w:rPr>
          <w:szCs w:val="20"/>
          <w:lang w:val="ar-SA" w:eastAsia="zh-TW" w:bidi="en-GB"/>
        </w:rPr>
      </w:pPr>
      <w:r w:rsidRPr="00793290">
        <w:rPr>
          <w:rtl/>
        </w:rPr>
        <w:t>5-5</w:t>
      </w:r>
      <w:r>
        <w:rPr>
          <w:rtl/>
        </w:rPr>
        <w:tab/>
        <w:t xml:space="preserve">وأخيراً، يشير صاحب البلاغ إلى أنه سيستأنف قرار المحكمة العليا الصادر في </w:t>
      </w:r>
      <w:r w:rsidRPr="00793290">
        <w:rPr>
          <w:rtl/>
        </w:rPr>
        <w:t>30</w:t>
      </w:r>
      <w:r>
        <w:rPr>
          <w:rtl/>
        </w:rPr>
        <w:t xml:space="preserve"> كانون الأول</w:t>
      </w:r>
      <w:r w:rsidRPr="00793290">
        <w:rPr>
          <w:rtl/>
        </w:rPr>
        <w:t>/</w:t>
      </w:r>
      <w:r>
        <w:rPr>
          <w:rtl/>
        </w:rPr>
        <w:t xml:space="preserve">ديسمبر </w:t>
      </w:r>
      <w:r w:rsidRPr="00793290">
        <w:rPr>
          <w:rtl/>
        </w:rPr>
        <w:t>2013</w:t>
      </w:r>
      <w:r>
        <w:rPr>
          <w:rtl/>
        </w:rPr>
        <w:t xml:space="preserve"> أمام رئاسة المحكمة العليا.</w:t>
      </w:r>
    </w:p>
    <w:p w14:paraId="0850F5E8" w14:textId="77777777" w:rsidR="009E339B" w:rsidRDefault="009E339B" w:rsidP="009E339B">
      <w:pPr>
        <w:pStyle w:val="SingleTxtGA"/>
        <w:rPr>
          <w:szCs w:val="20"/>
          <w:lang w:val="ar-SA" w:eastAsia="zh-TW" w:bidi="en-GB"/>
        </w:rPr>
      </w:pPr>
      <w:r w:rsidRPr="00793290">
        <w:rPr>
          <w:rtl/>
        </w:rPr>
        <w:t>5-6</w:t>
      </w:r>
      <w:r>
        <w:rPr>
          <w:rtl/>
        </w:rPr>
        <w:tab/>
        <w:t xml:space="preserve">وفي </w:t>
      </w:r>
      <w:r w:rsidRPr="00793290">
        <w:rPr>
          <w:rtl/>
        </w:rPr>
        <w:t>13</w:t>
      </w:r>
      <w:r>
        <w:rPr>
          <w:rtl/>
        </w:rPr>
        <w:t xml:space="preserve"> تموز</w:t>
      </w:r>
      <w:r w:rsidRPr="00793290">
        <w:rPr>
          <w:rtl/>
        </w:rPr>
        <w:t>/</w:t>
      </w:r>
      <w:r>
        <w:rPr>
          <w:rtl/>
        </w:rPr>
        <w:t xml:space="preserve">يوليه </w:t>
      </w:r>
      <w:r w:rsidRPr="00793290">
        <w:rPr>
          <w:rtl/>
        </w:rPr>
        <w:t>2017</w:t>
      </w:r>
      <w:r>
        <w:rPr>
          <w:rtl/>
        </w:rPr>
        <w:t xml:space="preserve">، أبلغ صاحب البلاغ اللجنة بأنه استأنف في </w:t>
      </w:r>
      <w:r w:rsidRPr="00793290">
        <w:rPr>
          <w:rtl/>
        </w:rPr>
        <w:t>16</w:t>
      </w:r>
      <w:r>
        <w:rPr>
          <w:rtl/>
        </w:rPr>
        <w:t xml:space="preserve"> آذار</w:t>
      </w:r>
      <w:r w:rsidRPr="00793290">
        <w:rPr>
          <w:rtl/>
        </w:rPr>
        <w:t>/</w:t>
      </w:r>
      <w:r>
        <w:rPr>
          <w:rtl/>
        </w:rPr>
        <w:t xml:space="preserve">مارس </w:t>
      </w:r>
      <w:r w:rsidRPr="00793290">
        <w:rPr>
          <w:rtl/>
        </w:rPr>
        <w:t>2015</w:t>
      </w:r>
      <w:r>
        <w:rPr>
          <w:rtl/>
        </w:rPr>
        <w:t xml:space="preserve"> قرار المحكمة العليا الصادر في </w:t>
      </w:r>
      <w:r w:rsidRPr="00793290">
        <w:rPr>
          <w:rtl/>
        </w:rPr>
        <w:t>30</w:t>
      </w:r>
      <w:r>
        <w:rPr>
          <w:rtl/>
        </w:rPr>
        <w:t xml:space="preserve"> كانون الأول</w:t>
      </w:r>
      <w:r w:rsidRPr="00793290">
        <w:rPr>
          <w:rtl/>
        </w:rPr>
        <w:t>/</w:t>
      </w:r>
      <w:r>
        <w:rPr>
          <w:rtl/>
        </w:rPr>
        <w:t xml:space="preserve">ديسمبر </w:t>
      </w:r>
      <w:r w:rsidRPr="00793290">
        <w:rPr>
          <w:rtl/>
        </w:rPr>
        <w:t>2013</w:t>
      </w:r>
      <w:r>
        <w:rPr>
          <w:rtl/>
        </w:rPr>
        <w:t xml:space="preserve"> أمام رئاسة المحكمة العليا، على نحو ما أشارت إليه الدولة الطرف. غير أن نائب رئاسة المحكمة العليا رفض استئنافه في </w:t>
      </w:r>
      <w:r w:rsidRPr="00793290">
        <w:rPr>
          <w:rtl/>
        </w:rPr>
        <w:t>7</w:t>
      </w:r>
      <w:r>
        <w:rPr>
          <w:rtl/>
        </w:rPr>
        <w:t xml:space="preserve"> نيسان</w:t>
      </w:r>
      <w:r w:rsidRPr="00793290">
        <w:rPr>
          <w:rtl/>
        </w:rPr>
        <w:t>/</w:t>
      </w:r>
      <w:r>
        <w:rPr>
          <w:rtl/>
        </w:rPr>
        <w:t xml:space="preserve">أبريل </w:t>
      </w:r>
      <w:r w:rsidRPr="00793290">
        <w:rPr>
          <w:rtl/>
        </w:rPr>
        <w:t>2015</w:t>
      </w:r>
      <w:r>
        <w:rPr>
          <w:rFonts w:ascii="Traditional Arabic"/>
          <w:szCs w:val="20"/>
          <w:rtl/>
        </w:rPr>
        <w:t>.</w:t>
      </w:r>
      <w:r>
        <w:rPr>
          <w:rtl/>
        </w:rPr>
        <w:t xml:space="preserve"> وذكر نائب الرئاسة في قراره أنه يتفق مع قرار محكمة النقض ولا يرى أسباباً لإجراء مراجعة رقابية. وينص القرار أيضاً على عدم السماح بتقديم أي طعون أخرى إلى رئاسة المحكمة العليا. </w:t>
      </w:r>
    </w:p>
    <w:p w14:paraId="24F67829" w14:textId="77777777" w:rsidR="009E339B" w:rsidRPr="0067154D" w:rsidRDefault="009E339B" w:rsidP="009E339B">
      <w:pPr>
        <w:pStyle w:val="H23GA"/>
        <w:rPr>
          <w:szCs w:val="20"/>
          <w:lang w:val="ar-SA" w:eastAsia="zh-TW" w:bidi="en-GB"/>
        </w:rPr>
      </w:pPr>
      <w:r>
        <w:rPr>
          <w:rtl/>
        </w:rPr>
        <w:tab/>
      </w:r>
      <w:r>
        <w:rPr>
          <w:rtl/>
        </w:rPr>
        <w:tab/>
        <w:t>ملاحظات إضافية من الدولة الطرف</w:t>
      </w:r>
    </w:p>
    <w:p w14:paraId="1E6C7D2F" w14:textId="77777777" w:rsidR="009E339B" w:rsidRDefault="009E339B" w:rsidP="009E339B">
      <w:pPr>
        <w:pStyle w:val="SingleTxtGA"/>
        <w:rPr>
          <w:szCs w:val="20"/>
          <w:lang w:val="ar-SA" w:eastAsia="zh-TW" w:bidi="en-GB"/>
        </w:rPr>
      </w:pPr>
      <w:r w:rsidRPr="00793290">
        <w:rPr>
          <w:rtl/>
        </w:rPr>
        <w:t>6-1</w:t>
      </w:r>
      <w:r>
        <w:rPr>
          <w:rtl/>
        </w:rPr>
        <w:tab/>
        <w:t xml:space="preserve">في مذكرة شفوية مؤرخة </w:t>
      </w:r>
      <w:r w:rsidRPr="00793290">
        <w:rPr>
          <w:rtl/>
        </w:rPr>
        <w:t>21</w:t>
      </w:r>
      <w:r>
        <w:rPr>
          <w:rtl/>
        </w:rPr>
        <w:t xml:space="preserve"> كانون الأول</w:t>
      </w:r>
      <w:r w:rsidRPr="00793290">
        <w:rPr>
          <w:rtl/>
        </w:rPr>
        <w:t>/</w:t>
      </w:r>
      <w:r>
        <w:rPr>
          <w:rtl/>
        </w:rPr>
        <w:t xml:space="preserve">ديسمبر </w:t>
      </w:r>
      <w:r w:rsidRPr="00793290">
        <w:rPr>
          <w:rtl/>
        </w:rPr>
        <w:t>2015</w:t>
      </w:r>
      <w:r>
        <w:rPr>
          <w:rtl/>
        </w:rPr>
        <w:t xml:space="preserve">، قدمت الدولة الطرف ملاحظات إضافية. وهي تشير إلى أن المادة </w:t>
      </w:r>
      <w:r w:rsidRPr="00793290">
        <w:rPr>
          <w:rtl/>
        </w:rPr>
        <w:t>412</w:t>
      </w:r>
      <w:r>
        <w:rPr>
          <w:rtl/>
        </w:rPr>
        <w:t xml:space="preserve"> من قانون الإجراءات الجنائية تنص على أن الطعون المقدمة إلى </w:t>
      </w:r>
      <w:r>
        <w:rPr>
          <w:rtl/>
        </w:rPr>
        <w:lastRenderedPageBreak/>
        <w:t xml:space="preserve">المحكمة العليا لأغراض المراجعة الرقابية يتولى نظرها قاض واحد أولاً. وفي </w:t>
      </w:r>
      <w:r w:rsidRPr="00793290">
        <w:rPr>
          <w:rtl/>
        </w:rPr>
        <w:t>28</w:t>
      </w:r>
      <w:r>
        <w:rPr>
          <w:rtl/>
        </w:rPr>
        <w:t xml:space="preserve"> آذار</w:t>
      </w:r>
      <w:r w:rsidRPr="00793290">
        <w:rPr>
          <w:rtl/>
        </w:rPr>
        <w:t>/</w:t>
      </w:r>
      <w:r>
        <w:rPr>
          <w:rtl/>
        </w:rPr>
        <w:t>مارس و</w:t>
      </w:r>
      <w:r w:rsidRPr="00793290">
        <w:rPr>
          <w:rtl/>
        </w:rPr>
        <w:t>30</w:t>
      </w:r>
      <w:r>
        <w:rPr>
          <w:rtl/>
        </w:rPr>
        <w:t xml:space="preserve"> كانون الأول</w:t>
      </w:r>
      <w:r w:rsidRPr="00793290">
        <w:rPr>
          <w:rtl/>
        </w:rPr>
        <w:t>/</w:t>
      </w:r>
      <w:r>
        <w:rPr>
          <w:rtl/>
        </w:rPr>
        <w:t xml:space="preserve">ديسمبر </w:t>
      </w:r>
      <w:r w:rsidRPr="00793290">
        <w:rPr>
          <w:rtl/>
        </w:rPr>
        <w:t>2013</w:t>
      </w:r>
      <w:r>
        <w:rPr>
          <w:rtl/>
        </w:rPr>
        <w:t>، صدر حكمان من هذا القبيل عن قاض واحد في قضية صاحب البلاغ.</w:t>
      </w:r>
    </w:p>
    <w:p w14:paraId="430B4812" w14:textId="77777777" w:rsidR="009E339B" w:rsidRDefault="009E339B" w:rsidP="009E339B">
      <w:pPr>
        <w:pStyle w:val="SingleTxtGA"/>
        <w:rPr>
          <w:szCs w:val="20"/>
          <w:lang w:val="ar-SA" w:eastAsia="zh-TW" w:bidi="en-GB"/>
        </w:rPr>
      </w:pPr>
      <w:r w:rsidRPr="00793290">
        <w:rPr>
          <w:rtl/>
        </w:rPr>
        <w:t>6-2</w:t>
      </w:r>
      <w:r>
        <w:rPr>
          <w:rtl/>
        </w:rPr>
        <w:tab/>
        <w:t>وتذكر الدولة الطرف كذلك أن رئاسة المحكمة العليا ونائبها يمكن أن ينقضا قراراً صادراً عن أحد قضاة المحكمة العليا وأن يحيلا القضية إلى هيئة رئاسة المحكمة العليا لكي تعيد النظر فيها. وفي</w:t>
      </w:r>
      <w:r w:rsidR="004640A1">
        <w:rPr>
          <w:rFonts w:hint="cs"/>
          <w:rtl/>
        </w:rPr>
        <w:t> </w:t>
      </w:r>
      <w:r w:rsidRPr="00793290">
        <w:rPr>
          <w:rtl/>
        </w:rPr>
        <w:t>16</w:t>
      </w:r>
      <w:r>
        <w:rPr>
          <w:rtl/>
        </w:rPr>
        <w:t xml:space="preserve"> آذار</w:t>
      </w:r>
      <w:r w:rsidRPr="00793290">
        <w:rPr>
          <w:rtl/>
        </w:rPr>
        <w:t>/</w:t>
      </w:r>
      <w:r>
        <w:rPr>
          <w:rtl/>
        </w:rPr>
        <w:t xml:space="preserve">مارس </w:t>
      </w:r>
      <w:r w:rsidRPr="00793290">
        <w:rPr>
          <w:rtl/>
        </w:rPr>
        <w:t>2015</w:t>
      </w:r>
      <w:r>
        <w:rPr>
          <w:rtl/>
        </w:rPr>
        <w:t xml:space="preserve">، قدم صاحب البلاغ طعنا إلى رئيس المحكمة العليا، طالباً إجراء مراجعة رقابية لقضيته. ودفع في طعنه بأن حقه في الدفاع القانوني قد انتهك لأنه لم يُخطر بالطعون المقدمة من المدعى عليهم معه. وفي </w:t>
      </w:r>
      <w:r w:rsidRPr="00793290">
        <w:rPr>
          <w:rtl/>
        </w:rPr>
        <w:t>7</w:t>
      </w:r>
      <w:r>
        <w:rPr>
          <w:rtl/>
        </w:rPr>
        <w:t xml:space="preserve"> نيسان</w:t>
      </w:r>
      <w:r w:rsidRPr="00793290">
        <w:rPr>
          <w:rtl/>
        </w:rPr>
        <w:t>/</w:t>
      </w:r>
      <w:r>
        <w:rPr>
          <w:rtl/>
        </w:rPr>
        <w:t xml:space="preserve">أبريل </w:t>
      </w:r>
      <w:r w:rsidRPr="00793290">
        <w:rPr>
          <w:rtl/>
        </w:rPr>
        <w:t>2015</w:t>
      </w:r>
      <w:r>
        <w:rPr>
          <w:rtl/>
        </w:rPr>
        <w:t xml:space="preserve">، رفض نائب رئاسة المحكمة العليا الطعن الذي قدمه صاحب البلاغ، مشيراً إلى أنه يتفق مع القرارين السابقين الصادرين عن قاض واحد في </w:t>
      </w:r>
      <w:r w:rsidRPr="00793290">
        <w:rPr>
          <w:rtl/>
        </w:rPr>
        <w:t>28</w:t>
      </w:r>
      <w:r>
        <w:rPr>
          <w:rtl/>
        </w:rPr>
        <w:t xml:space="preserve"> آذار</w:t>
      </w:r>
      <w:r w:rsidRPr="00793290">
        <w:rPr>
          <w:rtl/>
        </w:rPr>
        <w:t>/</w:t>
      </w:r>
      <w:r>
        <w:rPr>
          <w:rtl/>
        </w:rPr>
        <w:t>مارس و</w:t>
      </w:r>
      <w:r w:rsidRPr="00793290">
        <w:rPr>
          <w:rtl/>
        </w:rPr>
        <w:t>30</w:t>
      </w:r>
      <w:r>
        <w:rPr>
          <w:rtl/>
        </w:rPr>
        <w:t xml:space="preserve"> كانون الأول</w:t>
      </w:r>
      <w:r w:rsidRPr="00793290">
        <w:rPr>
          <w:rtl/>
        </w:rPr>
        <w:t>/</w:t>
      </w:r>
      <w:r>
        <w:rPr>
          <w:rtl/>
        </w:rPr>
        <w:t xml:space="preserve">ديسمبر </w:t>
      </w:r>
      <w:r w:rsidRPr="00793290">
        <w:rPr>
          <w:rtl/>
        </w:rPr>
        <w:t>2013</w:t>
      </w:r>
      <w:r>
        <w:rPr>
          <w:rtl/>
        </w:rPr>
        <w:t>.</w:t>
      </w:r>
    </w:p>
    <w:p w14:paraId="22D8A5C5" w14:textId="77777777" w:rsidR="009E339B" w:rsidRDefault="009E339B" w:rsidP="009E339B">
      <w:pPr>
        <w:pStyle w:val="SingleTxtGA"/>
        <w:rPr>
          <w:szCs w:val="20"/>
          <w:lang w:val="ar-SA" w:eastAsia="zh-TW" w:bidi="en-GB"/>
        </w:rPr>
      </w:pPr>
      <w:r w:rsidRPr="00793290">
        <w:rPr>
          <w:rtl/>
        </w:rPr>
        <w:t>6-3</w:t>
      </w:r>
      <w:r>
        <w:rPr>
          <w:rtl/>
        </w:rPr>
        <w:tab/>
        <w:t xml:space="preserve">وتدفع الدولة الطرف بأن طعون صاحب البلاغ لأغراض المراجعة الرقابية، التي قُدمت إلى المحكمة العليا منذ </w:t>
      </w:r>
      <w:r w:rsidRPr="00793290">
        <w:rPr>
          <w:rtl/>
        </w:rPr>
        <w:t>7</w:t>
      </w:r>
      <w:r>
        <w:rPr>
          <w:rtl/>
        </w:rPr>
        <w:t xml:space="preserve"> نيسان</w:t>
      </w:r>
      <w:r w:rsidRPr="00793290">
        <w:rPr>
          <w:rtl/>
        </w:rPr>
        <w:t>/</w:t>
      </w:r>
      <w:r>
        <w:rPr>
          <w:rtl/>
        </w:rPr>
        <w:t xml:space="preserve">أبريل </w:t>
      </w:r>
      <w:r w:rsidRPr="00793290">
        <w:rPr>
          <w:rtl/>
        </w:rPr>
        <w:t>2015</w:t>
      </w:r>
      <w:r>
        <w:rPr>
          <w:rtl/>
        </w:rPr>
        <w:t>، قد أعيدت جميعها إلى صاحب البلاغ دون مراجعة لأن القانون لا يسمح بتكرار تقديم طعون المراجعة الرقابية القائمة على الأسس نفسها.</w:t>
      </w:r>
    </w:p>
    <w:p w14:paraId="6C5C3820" w14:textId="77777777" w:rsidR="009E339B" w:rsidRPr="0067154D" w:rsidRDefault="009E339B" w:rsidP="009E339B">
      <w:pPr>
        <w:pStyle w:val="H23GA"/>
        <w:rPr>
          <w:szCs w:val="20"/>
          <w:lang w:val="ar-SA" w:eastAsia="zh-TW" w:bidi="en-GB"/>
        </w:rPr>
      </w:pPr>
      <w:r>
        <w:rPr>
          <w:rtl/>
        </w:rPr>
        <w:tab/>
      </w:r>
      <w:r>
        <w:rPr>
          <w:rtl/>
        </w:rPr>
        <w:tab/>
        <w:t>تعليقات إضافية من صاحب البلاغ</w:t>
      </w:r>
    </w:p>
    <w:p w14:paraId="28E2215B" w14:textId="77777777" w:rsidR="009E339B" w:rsidRDefault="009E339B" w:rsidP="009E339B">
      <w:pPr>
        <w:pStyle w:val="SingleTxtGA"/>
        <w:rPr>
          <w:szCs w:val="20"/>
          <w:lang w:val="ar-SA" w:eastAsia="zh-TW" w:bidi="en-GB"/>
        </w:rPr>
      </w:pPr>
      <w:r w:rsidRPr="00793290">
        <w:rPr>
          <w:rtl/>
        </w:rPr>
        <w:t>7-1</w:t>
      </w:r>
      <w:r>
        <w:rPr>
          <w:rtl/>
        </w:rPr>
        <w:tab/>
        <w:t xml:space="preserve">في </w:t>
      </w:r>
      <w:r w:rsidRPr="00793290">
        <w:rPr>
          <w:rtl/>
        </w:rPr>
        <w:t>2</w:t>
      </w:r>
      <w:r>
        <w:rPr>
          <w:rtl/>
        </w:rPr>
        <w:t xml:space="preserve"> آذار</w:t>
      </w:r>
      <w:r w:rsidRPr="00793290">
        <w:rPr>
          <w:rtl/>
        </w:rPr>
        <w:t>/</w:t>
      </w:r>
      <w:r>
        <w:rPr>
          <w:rtl/>
        </w:rPr>
        <w:t xml:space="preserve">مارس </w:t>
      </w:r>
      <w:r w:rsidRPr="00793290">
        <w:rPr>
          <w:rtl/>
        </w:rPr>
        <w:t>2016</w:t>
      </w:r>
      <w:r>
        <w:rPr>
          <w:rtl/>
        </w:rPr>
        <w:t xml:space="preserve">، قدم صاحب البلاغ تعليقاته الإضافية. وكرر المعلومات المتعلقة بالطعون التي قدمها إلى المحكمة العليا والمحكمة الدستورية (الفقرات من </w:t>
      </w:r>
      <w:r w:rsidRPr="00793290">
        <w:rPr>
          <w:rtl/>
        </w:rPr>
        <w:t>2-2</w:t>
      </w:r>
      <w:r>
        <w:rPr>
          <w:rtl/>
        </w:rPr>
        <w:t xml:space="preserve"> إلى </w:t>
      </w:r>
      <w:r w:rsidRPr="00793290">
        <w:rPr>
          <w:rtl/>
        </w:rPr>
        <w:t>2-4</w:t>
      </w:r>
      <w:r>
        <w:rPr>
          <w:rtl/>
        </w:rPr>
        <w:t xml:space="preserve"> أعلاه). وهو يذكر أنه أثار في طعنه المؤرخ </w:t>
      </w:r>
      <w:r w:rsidRPr="00793290">
        <w:rPr>
          <w:rtl/>
        </w:rPr>
        <w:t>16</w:t>
      </w:r>
      <w:r>
        <w:rPr>
          <w:rtl/>
        </w:rPr>
        <w:t xml:space="preserve"> آذار</w:t>
      </w:r>
      <w:r w:rsidRPr="00793290">
        <w:rPr>
          <w:rtl/>
        </w:rPr>
        <w:t>/</w:t>
      </w:r>
      <w:r>
        <w:rPr>
          <w:rtl/>
        </w:rPr>
        <w:t xml:space="preserve">مارس </w:t>
      </w:r>
      <w:r w:rsidRPr="00793290">
        <w:rPr>
          <w:rtl/>
        </w:rPr>
        <w:t>2015</w:t>
      </w:r>
      <w:r>
        <w:rPr>
          <w:rtl/>
        </w:rPr>
        <w:t xml:space="preserve"> مسائل لم تُثر في طعونه السابقة، وتحديدا أنه لم يُبلَّغ بالطعون المقدمة من المدعى عليهم معه، وهو ما يشكل انتهاكاً لحقه في الدفاع القانوني. غير أن نائب رئاسة المحكمة العليا أيد في </w:t>
      </w:r>
      <w:r w:rsidRPr="00793290">
        <w:rPr>
          <w:rtl/>
        </w:rPr>
        <w:t>7</w:t>
      </w:r>
      <w:r>
        <w:rPr>
          <w:rtl/>
        </w:rPr>
        <w:t xml:space="preserve"> نيسان</w:t>
      </w:r>
      <w:r w:rsidRPr="00793290">
        <w:rPr>
          <w:rtl/>
        </w:rPr>
        <w:t>/</w:t>
      </w:r>
      <w:r>
        <w:rPr>
          <w:rtl/>
        </w:rPr>
        <w:t xml:space="preserve">أبريل </w:t>
      </w:r>
      <w:r w:rsidRPr="00793290">
        <w:rPr>
          <w:rtl/>
        </w:rPr>
        <w:t>2015</w:t>
      </w:r>
      <w:r>
        <w:rPr>
          <w:rtl/>
        </w:rPr>
        <w:t xml:space="preserve"> القرارين السابقين الصادرين عن قاض واحد في</w:t>
      </w:r>
      <w:r w:rsidR="004640A1">
        <w:rPr>
          <w:rFonts w:hint="cs"/>
          <w:rtl/>
        </w:rPr>
        <w:t> </w:t>
      </w:r>
      <w:r w:rsidRPr="00793290">
        <w:rPr>
          <w:rtl/>
        </w:rPr>
        <w:t>28</w:t>
      </w:r>
      <w:r>
        <w:rPr>
          <w:rtl/>
        </w:rPr>
        <w:t xml:space="preserve"> آذار</w:t>
      </w:r>
      <w:r w:rsidRPr="00793290">
        <w:rPr>
          <w:rtl/>
        </w:rPr>
        <w:t>/</w:t>
      </w:r>
      <w:r>
        <w:rPr>
          <w:rtl/>
        </w:rPr>
        <w:t>مارس و</w:t>
      </w:r>
      <w:r w:rsidRPr="00793290">
        <w:rPr>
          <w:rtl/>
        </w:rPr>
        <w:t>30</w:t>
      </w:r>
      <w:r>
        <w:rPr>
          <w:rtl/>
        </w:rPr>
        <w:t xml:space="preserve"> كانون الأول</w:t>
      </w:r>
      <w:r w:rsidRPr="00793290">
        <w:rPr>
          <w:rtl/>
        </w:rPr>
        <w:t>/</w:t>
      </w:r>
      <w:r>
        <w:rPr>
          <w:rtl/>
        </w:rPr>
        <w:t xml:space="preserve">ديسمبر </w:t>
      </w:r>
      <w:r w:rsidRPr="00793290">
        <w:rPr>
          <w:rtl/>
        </w:rPr>
        <w:t>2013</w:t>
      </w:r>
      <w:r>
        <w:rPr>
          <w:rtl/>
        </w:rPr>
        <w:t>، رغم أن طعنه تضمن أسبابا</w:t>
      </w:r>
      <w:r w:rsidR="00DB141D">
        <w:rPr>
          <w:rFonts w:hint="cs"/>
          <w:rtl/>
        </w:rPr>
        <w:t>ً</w:t>
      </w:r>
      <w:r>
        <w:rPr>
          <w:rtl/>
        </w:rPr>
        <w:t xml:space="preserve"> مختلفة ولم يكن متعلقا</w:t>
      </w:r>
      <w:r w:rsidR="004640A1">
        <w:rPr>
          <w:rFonts w:hint="cs"/>
          <w:rtl/>
        </w:rPr>
        <w:t>ً</w:t>
      </w:r>
      <w:r>
        <w:rPr>
          <w:rtl/>
        </w:rPr>
        <w:t xml:space="preserve"> بالقرارين السابقين الصادرين عن قاض واحد. </w:t>
      </w:r>
    </w:p>
    <w:p w14:paraId="0626721C" w14:textId="77777777" w:rsidR="009E339B" w:rsidRDefault="009E339B" w:rsidP="009E339B">
      <w:pPr>
        <w:pStyle w:val="SingleTxtGA"/>
        <w:rPr>
          <w:szCs w:val="20"/>
          <w:lang w:val="ar-SA" w:eastAsia="zh-TW" w:bidi="en-GB"/>
        </w:rPr>
      </w:pPr>
      <w:r w:rsidRPr="00793290">
        <w:rPr>
          <w:rtl/>
        </w:rPr>
        <w:t>7-2</w:t>
      </w:r>
      <w:r>
        <w:rPr>
          <w:rtl/>
        </w:rPr>
        <w:tab/>
        <w:t xml:space="preserve">ويكرر صاحب البلاغ أن المحكمة العليا سبق أن خلصت إلى حدوث انتهاك للحق في الدفاع القانوني في قضايا مماثلة أخرى، وأن الدولة الطرف، بحرمانه من حقه في الاستعانة بمحام أثناء جلسة النقض، قد انتهكت حقوقه بموجب المادة </w:t>
      </w:r>
      <w:r w:rsidRPr="00793290">
        <w:rPr>
          <w:rtl/>
        </w:rPr>
        <w:t>14</w:t>
      </w:r>
      <w:r>
        <w:rPr>
          <w:rFonts w:ascii="Traditional Arabic"/>
          <w:szCs w:val="20"/>
          <w:rtl/>
        </w:rPr>
        <w:t>(</w:t>
      </w:r>
      <w:r w:rsidRPr="00793290">
        <w:rPr>
          <w:rtl/>
        </w:rPr>
        <w:t>3</w:t>
      </w:r>
      <w:r>
        <w:rPr>
          <w:rFonts w:ascii="Traditional Arabic"/>
          <w:szCs w:val="20"/>
          <w:rtl/>
        </w:rPr>
        <w:t>)(</w:t>
      </w:r>
      <w:r>
        <w:rPr>
          <w:rtl/>
        </w:rPr>
        <w:t>د</w:t>
      </w:r>
      <w:r>
        <w:rPr>
          <w:rFonts w:ascii="Traditional Arabic"/>
          <w:szCs w:val="20"/>
          <w:rtl/>
        </w:rPr>
        <w:t>)</w:t>
      </w:r>
      <w:r>
        <w:rPr>
          <w:rtl/>
        </w:rPr>
        <w:t xml:space="preserve"> من العهد.</w:t>
      </w:r>
    </w:p>
    <w:p w14:paraId="0BF44BAE" w14:textId="77777777" w:rsidR="009E339B" w:rsidRDefault="009E339B" w:rsidP="009E339B">
      <w:pPr>
        <w:pStyle w:val="SingleTxtGA"/>
        <w:rPr>
          <w:szCs w:val="20"/>
          <w:lang w:val="ar-SA" w:eastAsia="zh-TW" w:bidi="en-GB"/>
        </w:rPr>
      </w:pPr>
      <w:r w:rsidRPr="00793290">
        <w:rPr>
          <w:rtl/>
        </w:rPr>
        <w:t>7-3</w:t>
      </w:r>
      <w:r>
        <w:rPr>
          <w:rtl/>
        </w:rPr>
        <w:tab/>
        <w:t xml:space="preserve">وفي </w:t>
      </w:r>
      <w:r w:rsidRPr="00793290">
        <w:rPr>
          <w:rtl/>
        </w:rPr>
        <w:t>10</w:t>
      </w:r>
      <w:r>
        <w:rPr>
          <w:rtl/>
        </w:rPr>
        <w:t xml:space="preserve"> آب</w:t>
      </w:r>
      <w:r w:rsidRPr="00793290">
        <w:rPr>
          <w:rtl/>
        </w:rPr>
        <w:t>/</w:t>
      </w:r>
      <w:r>
        <w:rPr>
          <w:rtl/>
        </w:rPr>
        <w:t xml:space="preserve">أغسطس </w:t>
      </w:r>
      <w:r w:rsidRPr="00793290">
        <w:rPr>
          <w:rtl/>
        </w:rPr>
        <w:t>2017</w:t>
      </w:r>
      <w:r>
        <w:rPr>
          <w:rtl/>
        </w:rPr>
        <w:t xml:space="preserve">، قدم صاحب البلاغ ملاحظات أخرى. وهو يشير إلى أن ملف قضيته تنقصه بعض الوثائق، وأنه لم يتمكن من الحصول عليها من المحكمة العليا لجمهورية شمال أوسيتيا </w:t>
      </w:r>
      <w:r w:rsidRPr="00793290">
        <w:rPr>
          <w:rtl/>
        </w:rPr>
        <w:t>-</w:t>
      </w:r>
      <w:r>
        <w:rPr>
          <w:rtl/>
        </w:rPr>
        <w:t xml:space="preserve"> ألانيا. ويفيد صاحب البلاغ بأن الوثائق الناقصة تتضمن محضر التماسه الشفوي توكيل محامٍ له، وهو التماس قدمه إلى المحكمة العليا أثناء جلسة النقض، وطلباً خطياً سلمه إلى حارس السجن لإحالته إلى محكمة النقض بالفاكس.</w:t>
      </w:r>
    </w:p>
    <w:p w14:paraId="36080BD5" w14:textId="77777777" w:rsidR="009E339B" w:rsidRDefault="009E339B" w:rsidP="009E339B">
      <w:pPr>
        <w:pStyle w:val="SingleTxtGA"/>
        <w:rPr>
          <w:szCs w:val="20"/>
          <w:lang w:val="ar-SA" w:eastAsia="zh-TW" w:bidi="en-GB"/>
        </w:rPr>
      </w:pPr>
      <w:r w:rsidRPr="00793290">
        <w:rPr>
          <w:rtl/>
        </w:rPr>
        <w:t>7-4</w:t>
      </w:r>
      <w:r>
        <w:rPr>
          <w:rtl/>
        </w:rPr>
        <w:tab/>
        <w:t xml:space="preserve">وفي </w:t>
      </w:r>
      <w:r w:rsidRPr="00793290">
        <w:rPr>
          <w:rtl/>
        </w:rPr>
        <w:t>13</w:t>
      </w:r>
      <w:r>
        <w:rPr>
          <w:rtl/>
        </w:rPr>
        <w:t xml:space="preserve"> آب</w:t>
      </w:r>
      <w:r w:rsidRPr="00793290">
        <w:rPr>
          <w:rtl/>
        </w:rPr>
        <w:t>/</w:t>
      </w:r>
      <w:r>
        <w:rPr>
          <w:rtl/>
        </w:rPr>
        <w:t xml:space="preserve">أغسطس </w:t>
      </w:r>
      <w:r w:rsidRPr="00793290">
        <w:rPr>
          <w:rtl/>
        </w:rPr>
        <w:t>2018</w:t>
      </w:r>
      <w:r>
        <w:rPr>
          <w:rtl/>
        </w:rPr>
        <w:t>، أوضح صاحب البلاغ أن الدولة الطرف ملزمة، في رأيه، بعرض قرار إدانته على هيئة رئاسة المحكمة العليا لمراجعته، وإلغاء الحكم عليه بالسجن مدى الحياة، وضمان ألا يستند القرار الجديد إلى أي أحكام قانونية تمييزية أو مهينة، وإجراء محاكمة جديدة بمشاركة محامٍ مكلف.</w:t>
      </w:r>
    </w:p>
    <w:p w14:paraId="6DBAB801" w14:textId="77777777" w:rsidR="009E339B" w:rsidRPr="0067154D" w:rsidRDefault="009E339B" w:rsidP="009E339B">
      <w:pPr>
        <w:pStyle w:val="H23GA"/>
        <w:rPr>
          <w:szCs w:val="20"/>
          <w:lang w:val="ar-SA" w:eastAsia="zh-TW" w:bidi="en-GB"/>
        </w:rPr>
      </w:pPr>
      <w:r>
        <w:rPr>
          <w:rtl/>
        </w:rPr>
        <w:tab/>
      </w:r>
      <w:r>
        <w:rPr>
          <w:rtl/>
        </w:rPr>
        <w:tab/>
        <w:t>المسائل والإجراءات المعروضة على اللجنة</w:t>
      </w:r>
    </w:p>
    <w:p w14:paraId="2F31DF19" w14:textId="77777777" w:rsidR="009E339B" w:rsidRPr="0067154D" w:rsidRDefault="009E339B" w:rsidP="009E339B">
      <w:pPr>
        <w:pStyle w:val="H4GA"/>
        <w:rPr>
          <w:szCs w:val="20"/>
          <w:lang w:val="ar-SA" w:eastAsia="zh-TW" w:bidi="en-GB"/>
        </w:rPr>
      </w:pPr>
      <w:r>
        <w:rPr>
          <w:rtl/>
        </w:rPr>
        <w:tab/>
      </w:r>
      <w:r>
        <w:rPr>
          <w:rtl/>
        </w:rPr>
        <w:tab/>
        <w:t>النظر في المقبولية</w:t>
      </w:r>
    </w:p>
    <w:p w14:paraId="274888BE" w14:textId="77777777" w:rsidR="009E339B" w:rsidRPr="0067154D" w:rsidRDefault="009E339B" w:rsidP="009E339B">
      <w:pPr>
        <w:pStyle w:val="SingleTxtGA"/>
        <w:rPr>
          <w:szCs w:val="20"/>
          <w:lang w:val="ar-SA" w:eastAsia="zh-TW" w:bidi="en-GB"/>
        </w:rPr>
      </w:pPr>
      <w:r w:rsidRPr="00793290">
        <w:rPr>
          <w:rtl/>
        </w:rPr>
        <w:t>8-1</w:t>
      </w:r>
      <w:r>
        <w:rPr>
          <w:rtl/>
        </w:rPr>
        <w:tab/>
        <w:t xml:space="preserve">قبل النظر في أي ادعاء يرد في بلاغ ما، يجب على اللجنة أن تقرر، وفقاً للمادة </w:t>
      </w:r>
      <w:r w:rsidRPr="00793290">
        <w:rPr>
          <w:rtl/>
        </w:rPr>
        <w:t>97</w:t>
      </w:r>
      <w:r>
        <w:rPr>
          <w:rtl/>
        </w:rPr>
        <w:t xml:space="preserve"> من نظامها الداخلي، ما إذا كان البلاغ مقبولاً أم لا بموجب البروتوكول الاختياري.</w:t>
      </w:r>
    </w:p>
    <w:p w14:paraId="24B29F84" w14:textId="77777777" w:rsidR="009E339B" w:rsidRDefault="009E339B" w:rsidP="009E339B">
      <w:pPr>
        <w:pStyle w:val="SingleTxtGA"/>
        <w:rPr>
          <w:szCs w:val="20"/>
          <w:lang w:val="ar-SA" w:eastAsia="zh-TW" w:bidi="en-GB"/>
        </w:rPr>
      </w:pPr>
      <w:r w:rsidRPr="00793290">
        <w:rPr>
          <w:rtl/>
        </w:rPr>
        <w:lastRenderedPageBreak/>
        <w:t>8-2</w:t>
      </w:r>
      <w:r>
        <w:rPr>
          <w:rtl/>
        </w:rPr>
        <w:tab/>
        <w:t xml:space="preserve">وقد تأكدت اللجنة، وفقاً لما تنص عليه المادة </w:t>
      </w:r>
      <w:r w:rsidRPr="00793290">
        <w:rPr>
          <w:rtl/>
        </w:rPr>
        <w:t>5</w:t>
      </w:r>
      <w:r>
        <w:rPr>
          <w:rFonts w:ascii="Traditional Arabic"/>
          <w:szCs w:val="20"/>
          <w:rtl/>
        </w:rPr>
        <w:t>(</w:t>
      </w:r>
      <w:r w:rsidRPr="00793290">
        <w:rPr>
          <w:rtl/>
        </w:rPr>
        <w:t>2</w:t>
      </w:r>
      <w:r>
        <w:rPr>
          <w:rFonts w:ascii="Traditional Arabic"/>
          <w:szCs w:val="20"/>
          <w:rtl/>
        </w:rPr>
        <w:t>)(</w:t>
      </w:r>
      <w:r>
        <w:rPr>
          <w:rtl/>
        </w:rPr>
        <w:t>أ</w:t>
      </w:r>
      <w:r>
        <w:rPr>
          <w:rFonts w:ascii="Traditional Arabic"/>
          <w:szCs w:val="20"/>
          <w:rtl/>
        </w:rPr>
        <w:t>)</w:t>
      </w:r>
      <w:r>
        <w:rPr>
          <w:rtl/>
        </w:rPr>
        <w:t xml:space="preserve"> من البروتوكول الاختياري، من أن المسألة نفسها ليست قيد النظر في إطار إجراء آخر من إجراءات التحقيق الدولي أو التسوية الدولية.</w:t>
      </w:r>
    </w:p>
    <w:p w14:paraId="739E5128" w14:textId="77777777" w:rsidR="009E339B" w:rsidRDefault="009E339B" w:rsidP="009E339B">
      <w:pPr>
        <w:pStyle w:val="SingleTxtGA"/>
        <w:rPr>
          <w:szCs w:val="20"/>
          <w:lang w:val="ar-SA" w:eastAsia="zh-TW" w:bidi="en-GB"/>
        </w:rPr>
      </w:pPr>
      <w:r w:rsidRPr="00793290">
        <w:rPr>
          <w:rtl/>
        </w:rPr>
        <w:t>8-3</w:t>
      </w:r>
      <w:r>
        <w:rPr>
          <w:rtl/>
        </w:rPr>
        <w:tab/>
        <w:t>وتحيط اللجنة علما</w:t>
      </w:r>
      <w:r w:rsidR="005F7AE5">
        <w:rPr>
          <w:rFonts w:hint="cs"/>
          <w:rtl/>
        </w:rPr>
        <w:t>ً</w:t>
      </w:r>
      <w:r>
        <w:rPr>
          <w:rtl/>
        </w:rPr>
        <w:t xml:space="preserve"> بملاحظات الدولة الطرف التي تفيد بأن البلاغ المقدم من صاحب البلاغ قد قُدم بعد مضي </w:t>
      </w:r>
      <w:r w:rsidRPr="00793290">
        <w:rPr>
          <w:rtl/>
        </w:rPr>
        <w:t>10</w:t>
      </w:r>
      <w:r>
        <w:rPr>
          <w:rtl/>
        </w:rPr>
        <w:t xml:space="preserve"> سنوات تقريباً على رفض المحكمة العليا للاتحاد الروسي الطعن بالنقض الذي قدمه، وأن تقديم البلاغ بعد هذه الفترة الطويلة يشكل إساءة استعمال للحق في تقديم البلاغات بموجب نظام اللجنة الداخلي. وتلاحظ اللجنة أيضاً تأكيد صاحب البلاغ أنه يجهل القانون ولم يتعلم اللغة الروسية حتى عام </w:t>
      </w:r>
      <w:r w:rsidRPr="00793290">
        <w:rPr>
          <w:rtl/>
        </w:rPr>
        <w:t>2005</w:t>
      </w:r>
      <w:r>
        <w:rPr>
          <w:rtl/>
        </w:rPr>
        <w:t xml:space="preserve">، كما تحيط علماً بادعائه أن بلاغه، إذ لم يقدم إلا بعد سبعة أشهر فقط بعد رفض المحكمة العليا طلب المراجعة الرقابية، فلا يمكن اعتباره مخلا بنظام اللجنة الداخلي. </w:t>
      </w:r>
    </w:p>
    <w:p w14:paraId="1B9C734E" w14:textId="77777777" w:rsidR="009E339B" w:rsidRPr="0057024C" w:rsidRDefault="009E339B" w:rsidP="009E339B">
      <w:pPr>
        <w:pStyle w:val="SingleTxtGA"/>
        <w:rPr>
          <w:szCs w:val="20"/>
          <w:lang w:val="ar-SA" w:eastAsia="zh-TW" w:bidi="en-GB"/>
        </w:rPr>
      </w:pPr>
      <w:r w:rsidRPr="00793290">
        <w:rPr>
          <w:rtl/>
        </w:rPr>
        <w:t>8-4</w:t>
      </w:r>
      <w:r>
        <w:rPr>
          <w:rtl/>
        </w:rPr>
        <w:tab/>
        <w:t>وتلاحظ اللجنة أنه لا توجد، بموجب البروتوكول الاختياري، آجال زمنية محددة لتقديم البلاغات وأن مجرد التأخر في تقديم بلاغ ما لا يشكل في حد ذاته إساءة استخدامٍ للحق في تقديم البلاغات</w:t>
      </w:r>
      <w:r w:rsidR="00DE0182">
        <w:rPr>
          <w:rStyle w:val="FootnoteReference"/>
          <w:rtl/>
        </w:rPr>
        <w:t>(</w:t>
      </w:r>
      <w:r w:rsidR="00DE0182" w:rsidRPr="00B52CD5">
        <w:rPr>
          <w:rStyle w:val="FootnoteReference"/>
          <w:rtl/>
        </w:rPr>
        <w:footnoteReference w:id="7"/>
      </w:r>
      <w:r w:rsidR="00DE0182">
        <w:rPr>
          <w:rStyle w:val="FootnoteReference"/>
          <w:rtl/>
        </w:rPr>
        <w:t>)</w:t>
      </w:r>
      <w:r w:rsidR="00A835A5">
        <w:rPr>
          <w:rFonts w:hint="cs"/>
          <w:rtl/>
        </w:rPr>
        <w:t>.</w:t>
      </w:r>
      <w:r>
        <w:rPr>
          <w:rtl/>
        </w:rPr>
        <w:t xml:space="preserve"> بيد أن اللجنة تتوقع، في بعض الظروف، تقديم مبرر معقول للتأخير</w:t>
      </w:r>
      <w:r w:rsidR="00DE0182">
        <w:rPr>
          <w:rStyle w:val="FootnoteReference"/>
          <w:rtl/>
        </w:rPr>
        <w:t>(</w:t>
      </w:r>
      <w:r w:rsidR="00DE0182" w:rsidRPr="00B52CD5">
        <w:rPr>
          <w:rStyle w:val="FootnoteReference"/>
          <w:rtl/>
        </w:rPr>
        <w:footnoteReference w:id="8"/>
      </w:r>
      <w:r w:rsidR="00DE0182">
        <w:rPr>
          <w:rStyle w:val="FootnoteReference"/>
          <w:rtl/>
        </w:rPr>
        <w:t>)</w:t>
      </w:r>
      <w:r w:rsidR="00A835A5">
        <w:rPr>
          <w:rFonts w:hint="cs"/>
          <w:rtl/>
        </w:rPr>
        <w:t>.</w:t>
      </w:r>
      <w:r>
        <w:rPr>
          <w:rtl/>
        </w:rPr>
        <w:t xml:space="preserve"> وتلاحظ اللجنة أنه لا يوجد في المذكرات ما يشير إلى أن صاحب البلاغ حاول مواصلة الطعن في قرار إدانته الصادر في عام </w:t>
      </w:r>
      <w:r w:rsidRPr="00793290">
        <w:rPr>
          <w:rtl/>
        </w:rPr>
        <w:t>2003</w:t>
      </w:r>
      <w:r>
        <w:rPr>
          <w:rFonts w:ascii="Traditional Arabic"/>
          <w:szCs w:val="20"/>
          <w:rtl/>
        </w:rPr>
        <w:t xml:space="preserve"> </w:t>
      </w:r>
      <w:r w:rsidRPr="00793290">
        <w:rPr>
          <w:rtl/>
        </w:rPr>
        <w:t>-</w:t>
      </w:r>
      <w:r>
        <w:rPr>
          <w:rtl/>
        </w:rPr>
        <w:t xml:space="preserve"> الذي أُيد في مراجعة النقض في عام </w:t>
      </w:r>
      <w:r w:rsidRPr="00793290">
        <w:rPr>
          <w:rtl/>
        </w:rPr>
        <w:t>2004</w:t>
      </w:r>
      <w:r>
        <w:rPr>
          <w:rFonts w:ascii="Traditional Arabic"/>
          <w:szCs w:val="20"/>
          <w:rtl/>
        </w:rPr>
        <w:t xml:space="preserve"> </w:t>
      </w:r>
      <w:r w:rsidRPr="00793290">
        <w:rPr>
          <w:rtl/>
        </w:rPr>
        <w:t>-</w:t>
      </w:r>
      <w:r>
        <w:rPr>
          <w:rtl/>
        </w:rPr>
        <w:t xml:space="preserve"> أو تقديم طعن إلى المحكمة الدستورية حتى عام </w:t>
      </w:r>
      <w:r w:rsidRPr="00793290">
        <w:rPr>
          <w:rtl/>
        </w:rPr>
        <w:t>2013</w:t>
      </w:r>
      <w:r>
        <w:rPr>
          <w:rFonts w:ascii="Traditional Arabic"/>
          <w:szCs w:val="20"/>
          <w:rtl/>
        </w:rPr>
        <w:t>.</w:t>
      </w:r>
      <w:r>
        <w:rPr>
          <w:rtl/>
        </w:rPr>
        <w:t xml:space="preserve"> وفيما يتعلق بجهله المزعوم للقانون وعدم اطلاعه على حقوقه، فإن ذلك لم يمنعه من الدفاع عن نفسه شخصياً أثناء إجراءات النقض ولم يمنعه من تقديم طعون متعاقبة، إلى هيئات محلية ودولية على السواء. وعليه، ترى اللجنة أن صاحب البلاغ قد أخفق في تقديم مبرر مقنع لتأخره في تقديم بلاغه. وفي غياب هذا الشرح، ترى اللجنة أن تقديم البلاغ بعد هذه الفترة الزمنية الطويلة يشكل إساءة استعمال للحق في تقديم البلاغات. لذلك، ترى اللجنة أن هذا البلاغ غير مقبول بموجب المادة </w:t>
      </w:r>
      <w:r w:rsidRPr="00793290">
        <w:rPr>
          <w:rtl/>
        </w:rPr>
        <w:t>3</w:t>
      </w:r>
      <w:r>
        <w:rPr>
          <w:rtl/>
        </w:rPr>
        <w:t xml:space="preserve"> من البروتوكول الاختياري والمادة </w:t>
      </w:r>
      <w:r w:rsidRPr="00793290">
        <w:rPr>
          <w:rtl/>
        </w:rPr>
        <w:t>99</w:t>
      </w:r>
      <w:r>
        <w:rPr>
          <w:rFonts w:ascii="Traditional Arabic"/>
          <w:szCs w:val="20"/>
          <w:rtl/>
        </w:rPr>
        <w:t>(</w:t>
      </w:r>
      <w:r>
        <w:rPr>
          <w:rtl/>
        </w:rPr>
        <w:t>ج</w:t>
      </w:r>
      <w:r>
        <w:rPr>
          <w:rFonts w:ascii="Traditional Arabic"/>
          <w:szCs w:val="20"/>
          <w:rtl/>
        </w:rPr>
        <w:t>)</w:t>
      </w:r>
      <w:r>
        <w:rPr>
          <w:rtl/>
        </w:rPr>
        <w:t xml:space="preserve"> من نظام اللجنة الداخلي.</w:t>
      </w:r>
    </w:p>
    <w:p w14:paraId="5C002FE8" w14:textId="77777777" w:rsidR="009E339B" w:rsidRPr="0057024C" w:rsidRDefault="009E339B" w:rsidP="009E339B">
      <w:pPr>
        <w:pStyle w:val="SingleTxtGA"/>
        <w:rPr>
          <w:szCs w:val="20"/>
          <w:lang w:val="ar-SA" w:eastAsia="zh-TW" w:bidi="en-GB"/>
        </w:rPr>
      </w:pPr>
      <w:r w:rsidRPr="00793290">
        <w:rPr>
          <w:rtl/>
        </w:rPr>
        <w:t>9-</w:t>
      </w:r>
      <w:r>
        <w:rPr>
          <w:rtl/>
        </w:rPr>
        <w:tab/>
        <w:t>وبناءً عليه، تقرر اللجنة ما يلي:</w:t>
      </w:r>
    </w:p>
    <w:p w14:paraId="0E3AB672" w14:textId="77777777" w:rsidR="009E339B" w:rsidRPr="0057024C" w:rsidRDefault="009E339B" w:rsidP="009E339B">
      <w:pPr>
        <w:pStyle w:val="SingleTxtGA"/>
        <w:rPr>
          <w:szCs w:val="20"/>
          <w:lang w:val="ar-SA" w:eastAsia="zh-TW" w:bidi="en-GB"/>
        </w:rPr>
      </w:pPr>
      <w:r>
        <w:rPr>
          <w:rtl/>
        </w:rPr>
        <w:tab/>
        <w:t>(أ)</w:t>
      </w:r>
      <w:r>
        <w:rPr>
          <w:rtl/>
        </w:rPr>
        <w:tab/>
        <w:t xml:space="preserve">عدم مقبولية البلاغ بموجب المادة </w:t>
      </w:r>
      <w:r w:rsidRPr="00793290">
        <w:rPr>
          <w:rtl/>
        </w:rPr>
        <w:t>3</w:t>
      </w:r>
      <w:r>
        <w:rPr>
          <w:rtl/>
        </w:rPr>
        <w:t xml:space="preserve"> من البروتوكول الاختياري؛</w:t>
      </w:r>
    </w:p>
    <w:p w14:paraId="7D75DABF" w14:textId="77777777" w:rsidR="009E339B" w:rsidRDefault="009E339B" w:rsidP="009E339B">
      <w:pPr>
        <w:pStyle w:val="SingleTxtGA"/>
        <w:rPr>
          <w:szCs w:val="20"/>
          <w:lang w:val="ar-SA" w:eastAsia="zh-TW" w:bidi="en-GB"/>
        </w:rPr>
      </w:pPr>
      <w:r>
        <w:rPr>
          <w:rtl/>
        </w:rPr>
        <w:tab/>
        <w:t>(ب)</w:t>
      </w:r>
      <w:r>
        <w:rPr>
          <w:rtl/>
        </w:rPr>
        <w:tab/>
        <w:t>إحالة هذا القرار إلى الدولة الطرف وإلى صاحب البلاغ.</w:t>
      </w:r>
    </w:p>
    <w:p w14:paraId="2D55DF74" w14:textId="77777777" w:rsidR="009E339B" w:rsidRPr="00793290" w:rsidRDefault="009E339B" w:rsidP="009E339B">
      <w:pPr>
        <w:pStyle w:val="SingleTxtG"/>
        <w:spacing w:before="240" w:after="0"/>
        <w:jc w:val="center"/>
        <w:rPr>
          <w:rFonts w:eastAsiaTheme="minorEastAsia"/>
          <w:lang w:val="en-US"/>
        </w:rPr>
      </w:pPr>
      <w:r>
        <w:rPr>
          <w:u w:val="single"/>
        </w:rPr>
        <w:tab/>
      </w:r>
      <w:r>
        <w:rPr>
          <w:u w:val="single"/>
        </w:rPr>
        <w:tab/>
      </w:r>
      <w:r>
        <w:rPr>
          <w:u w:val="single"/>
        </w:rPr>
        <w:tab/>
      </w:r>
      <w:r>
        <w:rPr>
          <w:u w:val="single"/>
        </w:rPr>
        <w:tab/>
      </w:r>
    </w:p>
    <w:sectPr w:rsidR="009E339B" w:rsidRPr="00793290" w:rsidSect="002B038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8881" w14:textId="77777777" w:rsidR="00200706" w:rsidRPr="002901D9" w:rsidRDefault="00200706" w:rsidP="00DC4D4B">
      <w:pPr>
        <w:spacing w:after="60" w:line="240" w:lineRule="auto"/>
        <w:ind w:left="57"/>
        <w:rPr>
          <w:i/>
          <w:iCs/>
        </w:rPr>
      </w:pPr>
      <w:r>
        <w:rPr>
          <w:rFonts w:hint="cs"/>
          <w:i/>
          <w:iCs/>
          <w:rtl/>
        </w:rPr>
        <w:t>الحواشي</w:t>
      </w:r>
    </w:p>
  </w:endnote>
  <w:endnote w:type="continuationSeparator" w:id="0">
    <w:p w14:paraId="2B9A3DAF" w14:textId="77777777" w:rsidR="00200706" w:rsidRDefault="002007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0D37" w14:textId="77777777" w:rsidR="00640077" w:rsidRPr="00640077" w:rsidRDefault="00640077" w:rsidP="00640077">
    <w:pPr>
      <w:pStyle w:val="Footer"/>
      <w:tabs>
        <w:tab w:val="right" w:pos="9638"/>
      </w:tabs>
      <w:rPr>
        <w:b/>
        <w:sz w:val="18"/>
        <w:lang w:val="en-US"/>
      </w:rPr>
    </w:pPr>
    <w:r>
      <w:rPr>
        <w:lang w:val="en-US"/>
      </w:rPr>
      <w:t>GE.21-03203</w:t>
    </w:r>
    <w:r>
      <w:rPr>
        <w:lang w:val="en-US"/>
      </w:rPr>
      <w:tab/>
    </w:r>
    <w:r w:rsidRPr="00640077">
      <w:rPr>
        <w:b/>
        <w:sz w:val="18"/>
        <w:lang w:val="en-US"/>
      </w:rPr>
      <w:fldChar w:fldCharType="begin"/>
    </w:r>
    <w:r w:rsidRPr="00640077">
      <w:rPr>
        <w:b/>
        <w:sz w:val="18"/>
        <w:lang w:val="en-US"/>
      </w:rPr>
      <w:instrText xml:space="preserve"> PAGE  \* MERGEFORMAT </w:instrText>
    </w:r>
    <w:r w:rsidRPr="00640077">
      <w:rPr>
        <w:b/>
        <w:sz w:val="18"/>
        <w:lang w:val="en-US"/>
      </w:rPr>
      <w:fldChar w:fldCharType="separate"/>
    </w:r>
    <w:r w:rsidRPr="00640077">
      <w:rPr>
        <w:b/>
        <w:noProof/>
        <w:sz w:val="18"/>
        <w:lang w:val="en-US"/>
      </w:rPr>
      <w:t>2</w:t>
    </w:r>
    <w:r w:rsidRPr="0064007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6E3F" w14:textId="77777777" w:rsidR="006959B0" w:rsidRPr="00640077" w:rsidRDefault="00640077" w:rsidP="0064007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443D" w14:textId="77777777" w:rsidR="00DE50B1" w:rsidRPr="00640077" w:rsidRDefault="00640077" w:rsidP="0064007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928D209" wp14:editId="3E0E884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21-03203 (A)</w:t>
    </w:r>
    <w:r>
      <w:rPr>
        <w:noProof/>
        <w:sz w:val="20"/>
        <w:lang w:val="en-US"/>
      </w:rPr>
      <w:drawing>
        <wp:anchor distT="0" distB="0" distL="114300" distR="114300" simplePos="0" relativeHeight="251659264" behindDoc="0" locked="0" layoutInCell="1" allowOverlap="1" wp14:anchorId="4E8EB993" wp14:editId="54721591">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8339" w14:textId="77777777" w:rsidR="00200706" w:rsidRPr="000437B8" w:rsidRDefault="00200706" w:rsidP="00F10DAB">
      <w:pPr>
        <w:pStyle w:val="Footer"/>
        <w:bidi/>
        <w:spacing w:after="80" w:line="200" w:lineRule="exact"/>
        <w:ind w:left="680"/>
      </w:pPr>
      <w:r>
        <w:rPr>
          <w:rtl/>
        </w:rPr>
        <w:t>__________</w:t>
      </w:r>
    </w:p>
  </w:footnote>
  <w:footnote w:type="continuationSeparator" w:id="0">
    <w:p w14:paraId="1B59A255" w14:textId="77777777" w:rsidR="00200706" w:rsidRDefault="00200706" w:rsidP="00656392">
      <w:pPr>
        <w:spacing w:line="240" w:lineRule="auto"/>
      </w:pPr>
      <w:r>
        <w:continuationSeparator/>
      </w:r>
    </w:p>
  </w:footnote>
  <w:footnote w:id="1">
    <w:p w14:paraId="72EC1B3F" w14:textId="77777777" w:rsidR="009E339B" w:rsidRPr="00DE0182" w:rsidRDefault="009E339B" w:rsidP="00793290">
      <w:pPr>
        <w:pStyle w:val="FootnoteText"/>
        <w:tabs>
          <w:tab w:val="clear" w:pos="1021"/>
        </w:tabs>
        <w:bidi/>
        <w:spacing w:after="60" w:line="300" w:lineRule="exact"/>
        <w:ind w:left="1247" w:right="1247" w:hanging="567"/>
        <w:jc w:val="lowKashida"/>
        <w:textDirection w:val="tbRlV"/>
        <w:rPr>
          <w:szCs w:val="18"/>
          <w:lang w:val="ar-SA" w:eastAsia="zh-TW" w:bidi="en-GB"/>
        </w:rPr>
      </w:pPr>
      <w:r w:rsidRPr="00DE0182">
        <w:rPr>
          <w:rFonts w:ascii="Traditional Arabic"/>
          <w:szCs w:val="18"/>
        </w:rPr>
        <w:t>*</w:t>
      </w:r>
      <w:r w:rsidRPr="00DE0182">
        <w:rPr>
          <w:szCs w:val="18"/>
          <w:rtl/>
        </w:rPr>
        <w:tab/>
        <w:t>اعتمدته اللجنة في دورتها 130</w:t>
      </w:r>
      <w:r w:rsidRPr="00DE0182">
        <w:rPr>
          <w:rFonts w:ascii="Traditional Arabic"/>
          <w:szCs w:val="18"/>
          <w:rtl/>
        </w:rPr>
        <w:t xml:space="preserve"> (</w:t>
      </w:r>
      <w:r w:rsidRPr="00DE0182">
        <w:rPr>
          <w:szCs w:val="18"/>
          <w:rtl/>
        </w:rPr>
        <w:t>12 تشرين الأول/أكتوبر - 6 تشرين الثاني/نوفمبر 2020</w:t>
      </w:r>
      <w:r w:rsidRPr="00DE0182">
        <w:rPr>
          <w:rFonts w:ascii="Traditional Arabic"/>
          <w:szCs w:val="18"/>
          <w:rtl/>
        </w:rPr>
        <w:t>)</w:t>
      </w:r>
      <w:r w:rsidRPr="00DE0182">
        <w:rPr>
          <w:szCs w:val="18"/>
          <w:rtl/>
        </w:rPr>
        <w:t>.</w:t>
      </w:r>
    </w:p>
  </w:footnote>
  <w:footnote w:id="2">
    <w:p w14:paraId="66DE2C4E" w14:textId="77777777" w:rsidR="009E339B" w:rsidRPr="00DE0182" w:rsidRDefault="009E339B" w:rsidP="00793290">
      <w:pPr>
        <w:pStyle w:val="FootnoteText"/>
        <w:tabs>
          <w:tab w:val="clear" w:pos="1021"/>
        </w:tabs>
        <w:bidi/>
        <w:spacing w:after="60" w:line="300" w:lineRule="exact"/>
        <w:ind w:left="1247" w:right="1247" w:hanging="567"/>
        <w:jc w:val="lowKashida"/>
        <w:textDirection w:val="tbRlV"/>
        <w:rPr>
          <w:szCs w:val="18"/>
          <w:lang w:val="ar-SA" w:eastAsia="zh-TW" w:bidi="en-GB"/>
        </w:rPr>
      </w:pPr>
      <w:r w:rsidRPr="00DE0182">
        <w:rPr>
          <w:rFonts w:ascii="Traditional Arabic"/>
          <w:szCs w:val="18"/>
        </w:rPr>
        <w:t>**</w:t>
      </w:r>
      <w:r w:rsidRPr="00DE0182">
        <w:rPr>
          <w:szCs w:val="18"/>
          <w:rtl/>
        </w:rPr>
        <w:tab/>
        <w:t>شارك في دراسة هذا البلاغ أعضاء اللجنة التالية أسماؤهم: تانيا ماريا عبدو روشول، عياض بن عاشور، عارف بلقان، أحمد أمين فتح الله، فورويا شويتشي، كريستوف هاينز، بامريم كويتا، ديفيد ه. مور، دنكان لاكي موهوموزا، فوتيني بازارتزيس، هرنان كيسادا كابريرا، فازيلكا سانسين، خوسيه مانويل سانتوس بايس، يوفال شاني، هيلين تيغرودجا، أندرياس زيمرمان، جينتيان زبيري.</w:t>
      </w:r>
    </w:p>
  </w:footnote>
  <w:footnote w:id="3">
    <w:p w14:paraId="7456A63E" w14:textId="77777777" w:rsidR="00DE0182" w:rsidRPr="00DE0182" w:rsidRDefault="00DE0182" w:rsidP="00793290">
      <w:pPr>
        <w:pStyle w:val="FootnoteText"/>
        <w:tabs>
          <w:tab w:val="clear" w:pos="1021"/>
        </w:tabs>
        <w:bidi/>
        <w:spacing w:after="60" w:line="300" w:lineRule="exact"/>
        <w:ind w:left="1247" w:right="1247" w:hanging="567"/>
        <w:jc w:val="lowKashida"/>
        <w:textDirection w:val="tbRlV"/>
        <w:rPr>
          <w:szCs w:val="18"/>
          <w:lang w:val="ar-SA" w:eastAsia="zh-TW" w:bidi="en-GB"/>
        </w:rPr>
      </w:pPr>
      <w:r w:rsidRPr="00DE0182">
        <w:rPr>
          <w:rStyle w:val="FootnoteReference"/>
          <w:vertAlign w:val="baseline"/>
          <w:rtl/>
        </w:rPr>
        <w:t>(</w:t>
      </w:r>
      <w:r w:rsidRPr="00DE0182">
        <w:rPr>
          <w:rStyle w:val="FootnoteReference"/>
          <w:vertAlign w:val="baseline"/>
          <w:rtl/>
        </w:rPr>
        <w:footnoteRef/>
      </w:r>
      <w:r w:rsidRPr="00DE0182">
        <w:rPr>
          <w:rStyle w:val="FootnoteReference"/>
          <w:vertAlign w:val="baseline"/>
          <w:rtl/>
        </w:rPr>
        <w:t>)</w:t>
      </w:r>
      <w:r w:rsidRPr="00DE0182">
        <w:rPr>
          <w:szCs w:val="18"/>
          <w:rtl/>
        </w:rPr>
        <w:tab/>
        <w:t>جمهورية أوسيتيا الشمالية - ألانيا جزء من الاتحاد الروسي.</w:t>
      </w:r>
    </w:p>
  </w:footnote>
  <w:footnote w:id="4">
    <w:p w14:paraId="3B3486AB" w14:textId="77777777" w:rsidR="00DE0182" w:rsidRPr="00DE0182" w:rsidRDefault="00DE0182" w:rsidP="00793290">
      <w:pPr>
        <w:pStyle w:val="FootnoteText"/>
        <w:tabs>
          <w:tab w:val="clear" w:pos="1021"/>
        </w:tabs>
        <w:bidi/>
        <w:spacing w:after="60" w:line="300" w:lineRule="exact"/>
        <w:ind w:left="1247" w:right="1247" w:hanging="567"/>
        <w:jc w:val="lowKashida"/>
        <w:textDirection w:val="tbRlV"/>
        <w:rPr>
          <w:szCs w:val="18"/>
          <w:lang w:val="ar-SA" w:eastAsia="zh-TW" w:bidi="en-GB"/>
        </w:rPr>
      </w:pPr>
      <w:r w:rsidRPr="00DE0182">
        <w:rPr>
          <w:rStyle w:val="FootnoteReference"/>
          <w:vertAlign w:val="baseline"/>
          <w:rtl/>
        </w:rPr>
        <w:t>(</w:t>
      </w:r>
      <w:r w:rsidRPr="00DE0182">
        <w:rPr>
          <w:rStyle w:val="FootnoteReference"/>
          <w:vertAlign w:val="baseline"/>
          <w:rtl/>
        </w:rPr>
        <w:footnoteRef/>
      </w:r>
      <w:r w:rsidRPr="00DE0182">
        <w:rPr>
          <w:rStyle w:val="FootnoteReference"/>
          <w:vertAlign w:val="baseline"/>
          <w:rtl/>
        </w:rPr>
        <w:t>)</w:t>
      </w:r>
      <w:r w:rsidRPr="00DE0182">
        <w:rPr>
          <w:szCs w:val="18"/>
          <w:rtl/>
        </w:rPr>
        <w:tab/>
        <w:t>كان صاحب البلاغ ممثلاً بمحام أثناء محاكمته.</w:t>
      </w:r>
    </w:p>
  </w:footnote>
  <w:footnote w:id="5">
    <w:p w14:paraId="691F288F" w14:textId="77777777" w:rsidR="00DE0182" w:rsidRPr="00DE0182" w:rsidRDefault="00DE0182" w:rsidP="00793290">
      <w:pPr>
        <w:pStyle w:val="FootnoteText"/>
        <w:tabs>
          <w:tab w:val="clear" w:pos="1021"/>
        </w:tabs>
        <w:bidi/>
        <w:spacing w:after="60" w:line="300" w:lineRule="exact"/>
        <w:ind w:left="1247" w:right="1247" w:hanging="567"/>
        <w:jc w:val="lowKashida"/>
        <w:textDirection w:val="tbRlV"/>
        <w:rPr>
          <w:szCs w:val="18"/>
          <w:lang w:val="ar-SA" w:eastAsia="zh-TW" w:bidi="en-GB"/>
        </w:rPr>
      </w:pPr>
      <w:r w:rsidRPr="00DE0182">
        <w:rPr>
          <w:rStyle w:val="FootnoteReference"/>
          <w:vertAlign w:val="baseline"/>
          <w:rtl/>
        </w:rPr>
        <w:t>(</w:t>
      </w:r>
      <w:r w:rsidRPr="00DE0182">
        <w:rPr>
          <w:rStyle w:val="FootnoteReference"/>
          <w:vertAlign w:val="baseline"/>
          <w:rtl/>
        </w:rPr>
        <w:footnoteRef/>
      </w:r>
      <w:r w:rsidRPr="00DE0182">
        <w:rPr>
          <w:rStyle w:val="FootnoteReference"/>
          <w:vertAlign w:val="baseline"/>
          <w:rtl/>
        </w:rPr>
        <w:t>)</w:t>
      </w:r>
      <w:r w:rsidRPr="00DE0182">
        <w:rPr>
          <w:szCs w:val="18"/>
          <w:rtl/>
        </w:rPr>
        <w:tab/>
        <w:t>يشير صاحب البلاغ إلى المواد 15 و16 و47</w:t>
      </w:r>
      <w:r w:rsidRPr="00DE0182">
        <w:rPr>
          <w:rFonts w:ascii="Traditional Arabic"/>
          <w:szCs w:val="18"/>
          <w:rtl/>
        </w:rPr>
        <w:t>(</w:t>
      </w:r>
      <w:r w:rsidRPr="00DE0182">
        <w:rPr>
          <w:szCs w:val="18"/>
          <w:rtl/>
        </w:rPr>
        <w:t>4</w:t>
      </w:r>
      <w:r w:rsidRPr="00DE0182">
        <w:rPr>
          <w:rFonts w:ascii="Traditional Arabic"/>
          <w:szCs w:val="18"/>
          <w:rtl/>
        </w:rPr>
        <w:t>)(</w:t>
      </w:r>
      <w:r w:rsidRPr="00DE0182">
        <w:rPr>
          <w:szCs w:val="18"/>
          <w:rtl/>
        </w:rPr>
        <w:t>8</w:t>
      </w:r>
      <w:r w:rsidRPr="00DE0182">
        <w:rPr>
          <w:rFonts w:ascii="Traditional Arabic"/>
          <w:szCs w:val="18"/>
          <w:rtl/>
        </w:rPr>
        <w:t>)</w:t>
      </w:r>
      <w:r w:rsidRPr="00DE0182">
        <w:rPr>
          <w:szCs w:val="18"/>
          <w:rtl/>
        </w:rPr>
        <w:t xml:space="preserve"> و51</w:t>
      </w:r>
      <w:r w:rsidRPr="00DE0182">
        <w:rPr>
          <w:rFonts w:ascii="Traditional Arabic"/>
          <w:szCs w:val="18"/>
          <w:rtl/>
        </w:rPr>
        <w:t>(</w:t>
      </w:r>
      <w:r w:rsidRPr="00DE0182">
        <w:rPr>
          <w:szCs w:val="18"/>
          <w:rtl/>
        </w:rPr>
        <w:t>1</w:t>
      </w:r>
      <w:r w:rsidRPr="00DE0182">
        <w:rPr>
          <w:rFonts w:ascii="Traditional Arabic"/>
          <w:szCs w:val="18"/>
          <w:rtl/>
        </w:rPr>
        <w:t>)(</w:t>
      </w:r>
      <w:r w:rsidRPr="00DE0182">
        <w:rPr>
          <w:szCs w:val="18"/>
          <w:rtl/>
        </w:rPr>
        <w:t>5</w:t>
      </w:r>
      <w:r w:rsidRPr="00DE0182">
        <w:rPr>
          <w:rFonts w:ascii="Traditional Arabic"/>
          <w:szCs w:val="18"/>
          <w:rtl/>
        </w:rPr>
        <w:t>)</w:t>
      </w:r>
      <w:r w:rsidRPr="00DE0182">
        <w:rPr>
          <w:szCs w:val="18"/>
          <w:rtl/>
        </w:rPr>
        <w:t xml:space="preserve"> و51</w:t>
      </w:r>
      <w:r w:rsidRPr="00DE0182">
        <w:rPr>
          <w:rFonts w:ascii="Traditional Arabic"/>
          <w:szCs w:val="18"/>
          <w:rtl/>
        </w:rPr>
        <w:t>(</w:t>
      </w:r>
      <w:r w:rsidRPr="00DE0182">
        <w:rPr>
          <w:szCs w:val="18"/>
          <w:rtl/>
        </w:rPr>
        <w:t>3</w:t>
      </w:r>
      <w:r w:rsidRPr="00DE0182">
        <w:rPr>
          <w:rFonts w:ascii="Traditional Arabic"/>
          <w:szCs w:val="18"/>
          <w:rtl/>
        </w:rPr>
        <w:t>)</w:t>
      </w:r>
      <w:r w:rsidRPr="00DE0182">
        <w:rPr>
          <w:szCs w:val="18"/>
          <w:rtl/>
        </w:rPr>
        <w:t xml:space="preserve"> و248</w:t>
      </w:r>
      <w:r w:rsidRPr="00DE0182">
        <w:rPr>
          <w:rFonts w:ascii="Traditional Arabic"/>
          <w:szCs w:val="18"/>
          <w:rtl/>
        </w:rPr>
        <w:t>(</w:t>
      </w:r>
      <w:r w:rsidRPr="00DE0182">
        <w:rPr>
          <w:szCs w:val="18"/>
          <w:rtl/>
        </w:rPr>
        <w:t>2</w:t>
      </w:r>
      <w:r w:rsidRPr="00DE0182">
        <w:rPr>
          <w:rFonts w:ascii="Traditional Arabic"/>
          <w:szCs w:val="18"/>
          <w:rtl/>
        </w:rPr>
        <w:t>)</w:t>
      </w:r>
      <w:r w:rsidRPr="00DE0182">
        <w:rPr>
          <w:szCs w:val="18"/>
          <w:rtl/>
        </w:rPr>
        <w:t xml:space="preserve"> و364</w:t>
      </w:r>
      <w:r w:rsidRPr="00DE0182">
        <w:rPr>
          <w:rFonts w:ascii="Traditional Arabic"/>
          <w:szCs w:val="18"/>
          <w:rtl/>
        </w:rPr>
        <w:t>(</w:t>
      </w:r>
      <w:r w:rsidRPr="00DE0182">
        <w:rPr>
          <w:szCs w:val="18"/>
          <w:rtl/>
        </w:rPr>
        <w:t>3</w:t>
      </w:r>
      <w:r w:rsidRPr="00DE0182">
        <w:rPr>
          <w:rFonts w:ascii="Traditional Arabic"/>
          <w:szCs w:val="18"/>
          <w:rtl/>
        </w:rPr>
        <w:t>)(</w:t>
      </w:r>
      <w:r w:rsidRPr="00DE0182">
        <w:rPr>
          <w:szCs w:val="18"/>
          <w:rtl/>
        </w:rPr>
        <w:t>4</w:t>
      </w:r>
      <w:r w:rsidRPr="00DE0182">
        <w:rPr>
          <w:rFonts w:ascii="Traditional Arabic"/>
          <w:szCs w:val="18"/>
          <w:rtl/>
        </w:rPr>
        <w:t>)</w:t>
      </w:r>
      <w:r w:rsidRPr="00DE0182">
        <w:rPr>
          <w:szCs w:val="18"/>
          <w:rtl/>
        </w:rPr>
        <w:t xml:space="preserve"> و381</w:t>
      </w:r>
      <w:r w:rsidRPr="00DE0182">
        <w:rPr>
          <w:rFonts w:ascii="Traditional Arabic"/>
          <w:szCs w:val="18"/>
          <w:rtl/>
        </w:rPr>
        <w:t>(</w:t>
      </w:r>
      <w:r w:rsidRPr="00DE0182">
        <w:rPr>
          <w:szCs w:val="18"/>
          <w:rtl/>
        </w:rPr>
        <w:t>2</w:t>
      </w:r>
      <w:r w:rsidRPr="00DE0182">
        <w:rPr>
          <w:rFonts w:ascii="Traditional Arabic"/>
          <w:szCs w:val="18"/>
          <w:rtl/>
        </w:rPr>
        <w:t>)(</w:t>
      </w:r>
      <w:r w:rsidRPr="00DE0182">
        <w:rPr>
          <w:szCs w:val="18"/>
          <w:rtl/>
        </w:rPr>
        <w:t>4</w:t>
      </w:r>
      <w:r w:rsidRPr="00DE0182">
        <w:rPr>
          <w:rFonts w:ascii="Traditional Arabic"/>
          <w:szCs w:val="18"/>
          <w:rtl/>
        </w:rPr>
        <w:t>)</w:t>
      </w:r>
      <w:r w:rsidRPr="00DE0182">
        <w:rPr>
          <w:szCs w:val="18"/>
          <w:rtl/>
        </w:rPr>
        <w:t xml:space="preserve"> من قانون الإجراءات الجنائية، والمواد 2 و17</w:t>
      </w:r>
      <w:r w:rsidRPr="00DE0182">
        <w:rPr>
          <w:rFonts w:ascii="Traditional Arabic"/>
          <w:szCs w:val="18"/>
          <w:rtl/>
        </w:rPr>
        <w:t>(</w:t>
      </w:r>
      <w:r w:rsidRPr="00DE0182">
        <w:rPr>
          <w:szCs w:val="18"/>
          <w:rtl/>
        </w:rPr>
        <w:t>1</w:t>
      </w:r>
      <w:r w:rsidRPr="00DE0182">
        <w:rPr>
          <w:rFonts w:ascii="Traditional Arabic"/>
          <w:szCs w:val="18"/>
          <w:rtl/>
        </w:rPr>
        <w:t>)</w:t>
      </w:r>
      <w:r w:rsidRPr="00DE0182">
        <w:rPr>
          <w:szCs w:val="18"/>
          <w:rtl/>
        </w:rPr>
        <w:t xml:space="preserve"> و18 و19</w:t>
      </w:r>
      <w:r w:rsidRPr="00DE0182">
        <w:rPr>
          <w:rFonts w:ascii="Traditional Arabic"/>
          <w:szCs w:val="18"/>
          <w:rtl/>
        </w:rPr>
        <w:t>(</w:t>
      </w:r>
      <w:r w:rsidRPr="00DE0182">
        <w:rPr>
          <w:szCs w:val="18"/>
          <w:rtl/>
        </w:rPr>
        <w:t>1</w:t>
      </w:r>
      <w:r w:rsidRPr="00DE0182">
        <w:rPr>
          <w:rFonts w:ascii="Traditional Arabic"/>
          <w:szCs w:val="18"/>
          <w:rtl/>
        </w:rPr>
        <w:t>)</w:t>
      </w:r>
      <w:r w:rsidRPr="00DE0182">
        <w:rPr>
          <w:szCs w:val="18"/>
          <w:rtl/>
        </w:rPr>
        <w:t xml:space="preserve"> و45 و48 و55</w:t>
      </w:r>
      <w:r w:rsidRPr="00DE0182">
        <w:rPr>
          <w:rFonts w:ascii="Traditional Arabic"/>
          <w:szCs w:val="18"/>
          <w:rtl/>
        </w:rPr>
        <w:t>(</w:t>
      </w:r>
      <w:r w:rsidRPr="00DE0182">
        <w:rPr>
          <w:szCs w:val="18"/>
          <w:rtl/>
        </w:rPr>
        <w:t>3</w:t>
      </w:r>
      <w:r w:rsidRPr="00DE0182">
        <w:rPr>
          <w:rFonts w:ascii="Traditional Arabic"/>
          <w:szCs w:val="18"/>
          <w:rtl/>
        </w:rPr>
        <w:t>)</w:t>
      </w:r>
      <w:r w:rsidRPr="00DE0182">
        <w:rPr>
          <w:szCs w:val="18"/>
          <w:rtl/>
        </w:rPr>
        <w:t xml:space="preserve"> و56</w:t>
      </w:r>
      <w:r w:rsidRPr="00DE0182">
        <w:rPr>
          <w:rFonts w:ascii="Traditional Arabic"/>
          <w:szCs w:val="18"/>
          <w:rtl/>
        </w:rPr>
        <w:t>(</w:t>
      </w:r>
      <w:r w:rsidRPr="00DE0182">
        <w:rPr>
          <w:szCs w:val="18"/>
          <w:rtl/>
        </w:rPr>
        <w:t>3</w:t>
      </w:r>
      <w:r w:rsidRPr="00DE0182">
        <w:rPr>
          <w:rFonts w:ascii="Traditional Arabic"/>
          <w:szCs w:val="18"/>
          <w:rtl/>
        </w:rPr>
        <w:t>)</w:t>
      </w:r>
      <w:r w:rsidRPr="00DE0182">
        <w:rPr>
          <w:szCs w:val="18"/>
          <w:rtl/>
        </w:rPr>
        <w:t xml:space="preserve"> و123</w:t>
      </w:r>
      <w:r w:rsidRPr="00DE0182">
        <w:rPr>
          <w:rFonts w:ascii="Traditional Arabic"/>
          <w:szCs w:val="18"/>
          <w:rtl/>
        </w:rPr>
        <w:t>(</w:t>
      </w:r>
      <w:r w:rsidRPr="00DE0182">
        <w:rPr>
          <w:szCs w:val="18"/>
          <w:rtl/>
        </w:rPr>
        <w:t>3</w:t>
      </w:r>
      <w:r w:rsidRPr="00DE0182">
        <w:rPr>
          <w:rFonts w:ascii="Traditional Arabic"/>
          <w:szCs w:val="18"/>
          <w:rtl/>
        </w:rPr>
        <w:t>)</w:t>
      </w:r>
      <w:r w:rsidRPr="00DE0182">
        <w:rPr>
          <w:szCs w:val="18"/>
          <w:rtl/>
        </w:rPr>
        <w:t xml:space="preserve"> من الدستور. </w:t>
      </w:r>
    </w:p>
  </w:footnote>
  <w:footnote w:id="6">
    <w:p w14:paraId="6B63D901" w14:textId="77777777" w:rsidR="00DE0182" w:rsidRPr="00DE0182" w:rsidRDefault="00DE0182" w:rsidP="00793290">
      <w:pPr>
        <w:pStyle w:val="FootnoteText"/>
        <w:tabs>
          <w:tab w:val="clear" w:pos="1021"/>
        </w:tabs>
        <w:bidi/>
        <w:spacing w:after="60" w:line="300" w:lineRule="exact"/>
        <w:ind w:left="1247" w:right="1247" w:hanging="567"/>
        <w:jc w:val="lowKashida"/>
        <w:textDirection w:val="tbRlV"/>
        <w:rPr>
          <w:szCs w:val="18"/>
          <w:lang w:val="ar-SA" w:eastAsia="zh-TW" w:bidi="en-GB"/>
        </w:rPr>
      </w:pPr>
      <w:r w:rsidRPr="00DE0182">
        <w:rPr>
          <w:rStyle w:val="FootnoteReference"/>
          <w:vertAlign w:val="baseline"/>
          <w:rtl/>
        </w:rPr>
        <w:t>(</w:t>
      </w:r>
      <w:r w:rsidRPr="00DE0182">
        <w:rPr>
          <w:rStyle w:val="FootnoteReference"/>
          <w:vertAlign w:val="baseline"/>
          <w:rtl/>
        </w:rPr>
        <w:footnoteRef/>
      </w:r>
      <w:r w:rsidRPr="00DE0182">
        <w:rPr>
          <w:rStyle w:val="FootnoteReference"/>
          <w:vertAlign w:val="baseline"/>
          <w:rtl/>
        </w:rPr>
        <w:t>)</w:t>
      </w:r>
      <w:r w:rsidRPr="00DE0182">
        <w:rPr>
          <w:szCs w:val="18"/>
          <w:rtl/>
        </w:rPr>
        <w:tab/>
        <w:t>ولا يجوز، بموجب المادة 57</w:t>
      </w:r>
      <w:r w:rsidRPr="00DE0182">
        <w:rPr>
          <w:rFonts w:ascii="Traditional Arabic"/>
          <w:szCs w:val="18"/>
          <w:rtl/>
        </w:rPr>
        <w:t>(</w:t>
      </w:r>
      <w:r w:rsidRPr="00DE0182">
        <w:rPr>
          <w:szCs w:val="18"/>
          <w:rtl/>
        </w:rPr>
        <w:t>2</w:t>
      </w:r>
      <w:r w:rsidRPr="00DE0182">
        <w:rPr>
          <w:rFonts w:ascii="Traditional Arabic"/>
          <w:szCs w:val="18"/>
          <w:rtl/>
        </w:rPr>
        <w:t>)</w:t>
      </w:r>
      <w:r w:rsidRPr="00DE0182">
        <w:rPr>
          <w:szCs w:val="18"/>
          <w:rtl/>
        </w:rPr>
        <w:t xml:space="preserve"> من القانون الجنائي، فرض عقوبة السجن مدى الحياة على النساء أو على الأشخاص الذين يرتكبون جرائم وهم دون سن الثامنة عشرة، أو على الرجال البالغين من العمر 65 عاماً أو أكثر وقت صدور الحكم بحقهم.</w:t>
      </w:r>
    </w:p>
  </w:footnote>
  <w:footnote w:id="7">
    <w:p w14:paraId="7088DA25" w14:textId="77777777" w:rsidR="00DE0182" w:rsidRPr="00DE0182" w:rsidRDefault="00DE0182" w:rsidP="00793290">
      <w:pPr>
        <w:pStyle w:val="FootnoteText"/>
        <w:tabs>
          <w:tab w:val="clear" w:pos="1021"/>
        </w:tabs>
        <w:bidi/>
        <w:spacing w:after="60" w:line="300" w:lineRule="exact"/>
        <w:ind w:left="1247" w:right="1247" w:hanging="567"/>
        <w:jc w:val="lowKashida"/>
        <w:textDirection w:val="tbRlV"/>
        <w:rPr>
          <w:szCs w:val="18"/>
          <w:lang w:val="ar-SA" w:eastAsia="zh-TW" w:bidi="en-GB"/>
        </w:rPr>
      </w:pPr>
      <w:r w:rsidRPr="00DE0182">
        <w:rPr>
          <w:rStyle w:val="FootnoteReference"/>
          <w:vertAlign w:val="baseline"/>
          <w:rtl/>
        </w:rPr>
        <w:t>(</w:t>
      </w:r>
      <w:r w:rsidRPr="00DE0182">
        <w:rPr>
          <w:rStyle w:val="FootnoteReference"/>
          <w:vertAlign w:val="baseline"/>
          <w:rtl/>
        </w:rPr>
        <w:footnoteRef/>
      </w:r>
      <w:r w:rsidRPr="00DE0182">
        <w:rPr>
          <w:rStyle w:val="FootnoteReference"/>
          <w:vertAlign w:val="baseline"/>
          <w:rtl/>
        </w:rPr>
        <w:t>)</w:t>
      </w:r>
      <w:r w:rsidRPr="00DE0182">
        <w:rPr>
          <w:szCs w:val="18"/>
          <w:rtl/>
        </w:rPr>
        <w:tab/>
        <w:t xml:space="preserve">قضية </w:t>
      </w:r>
      <w:r w:rsidRPr="00DE0182">
        <w:rPr>
          <w:i/>
          <w:iCs/>
          <w:szCs w:val="18"/>
          <w:rtl/>
        </w:rPr>
        <w:t>بولاتشكوفا وبولاتشك ضد الجمهورية التشيكية</w:t>
      </w:r>
      <w:r w:rsidRPr="00DE0182">
        <w:rPr>
          <w:szCs w:val="18"/>
          <w:rtl/>
        </w:rPr>
        <w:t xml:space="preserve"> </w:t>
      </w:r>
      <w:r w:rsidRPr="00DE0182">
        <w:rPr>
          <w:rFonts w:ascii="Traditional Arabic"/>
          <w:szCs w:val="18"/>
          <w:rtl/>
        </w:rPr>
        <w:t>(</w:t>
      </w:r>
      <w:r w:rsidRPr="00DE0182">
        <w:rPr>
          <w:rFonts w:cs="Times New Roman"/>
          <w:szCs w:val="18"/>
        </w:rPr>
        <w:t>CCPR/C/</w:t>
      </w:r>
      <w:r w:rsidRPr="00DE0182">
        <w:rPr>
          <w:szCs w:val="18"/>
        </w:rPr>
        <w:t>90</w:t>
      </w:r>
      <w:r w:rsidRPr="00DE0182">
        <w:rPr>
          <w:rFonts w:cs="Times New Roman"/>
          <w:szCs w:val="18"/>
        </w:rPr>
        <w:t>/D/</w:t>
      </w:r>
      <w:r w:rsidRPr="00DE0182">
        <w:rPr>
          <w:szCs w:val="18"/>
        </w:rPr>
        <w:t>1445</w:t>
      </w:r>
      <w:r w:rsidRPr="00DE0182">
        <w:rPr>
          <w:rFonts w:cs="Times New Roman"/>
          <w:szCs w:val="18"/>
        </w:rPr>
        <w:t>/</w:t>
      </w:r>
      <w:r w:rsidRPr="00DE0182">
        <w:rPr>
          <w:szCs w:val="18"/>
        </w:rPr>
        <w:t>2006</w:t>
      </w:r>
      <w:r w:rsidRPr="00DE0182">
        <w:rPr>
          <w:rFonts w:ascii="Traditional Arabic"/>
          <w:szCs w:val="18"/>
          <w:rtl/>
        </w:rPr>
        <w:t>)</w:t>
      </w:r>
      <w:r w:rsidRPr="00DE0182">
        <w:rPr>
          <w:szCs w:val="18"/>
          <w:rtl/>
        </w:rPr>
        <w:t>، الفقرة 6</w:t>
      </w:r>
      <w:r w:rsidRPr="00DE0182">
        <w:rPr>
          <w:rFonts w:ascii="Traditional Arabic"/>
          <w:szCs w:val="18"/>
          <w:rtl/>
        </w:rPr>
        <w:t>-</w:t>
      </w:r>
      <w:r w:rsidRPr="00DE0182">
        <w:rPr>
          <w:szCs w:val="18"/>
          <w:rtl/>
        </w:rPr>
        <w:t xml:space="preserve">3؛ وقضية </w:t>
      </w:r>
      <w:r w:rsidRPr="00DE0182">
        <w:rPr>
          <w:i/>
          <w:iCs/>
          <w:szCs w:val="18"/>
          <w:rtl/>
        </w:rPr>
        <w:t>د. س. ضد الاتحاد الروسي</w:t>
      </w:r>
      <w:r w:rsidRPr="00DE0182">
        <w:rPr>
          <w:szCs w:val="18"/>
          <w:rtl/>
        </w:rPr>
        <w:t xml:space="preserve"> </w:t>
      </w:r>
      <w:r w:rsidRPr="00DE0182">
        <w:rPr>
          <w:rFonts w:ascii="Traditional Arabic"/>
          <w:szCs w:val="18"/>
          <w:rtl/>
        </w:rPr>
        <w:t>(</w:t>
      </w:r>
      <w:r w:rsidRPr="00DE0182">
        <w:rPr>
          <w:rFonts w:cs="Times New Roman"/>
          <w:szCs w:val="18"/>
        </w:rPr>
        <w:t>CCPR/C/</w:t>
      </w:r>
      <w:r w:rsidRPr="00DE0182">
        <w:rPr>
          <w:szCs w:val="18"/>
        </w:rPr>
        <w:t>120</w:t>
      </w:r>
      <w:r w:rsidRPr="00DE0182">
        <w:rPr>
          <w:rFonts w:cs="Times New Roman"/>
          <w:szCs w:val="18"/>
        </w:rPr>
        <w:t>/D/</w:t>
      </w:r>
      <w:r w:rsidRPr="00DE0182">
        <w:rPr>
          <w:szCs w:val="18"/>
        </w:rPr>
        <w:t>2705</w:t>
      </w:r>
      <w:r w:rsidRPr="00DE0182">
        <w:rPr>
          <w:rFonts w:cs="Times New Roman"/>
          <w:szCs w:val="18"/>
        </w:rPr>
        <w:t>/</w:t>
      </w:r>
      <w:r w:rsidRPr="00DE0182">
        <w:rPr>
          <w:szCs w:val="18"/>
        </w:rPr>
        <w:t>2015</w:t>
      </w:r>
      <w:r w:rsidRPr="00DE0182">
        <w:rPr>
          <w:rFonts w:ascii="Traditional Arabic"/>
          <w:szCs w:val="18"/>
          <w:rtl/>
        </w:rPr>
        <w:t>)</w:t>
      </w:r>
      <w:r w:rsidRPr="00DE0182">
        <w:rPr>
          <w:szCs w:val="18"/>
          <w:rtl/>
        </w:rPr>
        <w:t>، الفقرة 6</w:t>
      </w:r>
      <w:r w:rsidRPr="00DE0182">
        <w:rPr>
          <w:rFonts w:ascii="Traditional Arabic"/>
          <w:szCs w:val="18"/>
          <w:rtl/>
        </w:rPr>
        <w:t>-</w:t>
      </w:r>
      <w:r w:rsidRPr="00DE0182">
        <w:rPr>
          <w:szCs w:val="18"/>
          <w:rtl/>
        </w:rPr>
        <w:t>4.</w:t>
      </w:r>
    </w:p>
  </w:footnote>
  <w:footnote w:id="8">
    <w:p w14:paraId="4D25B51A" w14:textId="77777777" w:rsidR="00DE0182" w:rsidRPr="00DE0182" w:rsidRDefault="00DE0182" w:rsidP="00793290">
      <w:pPr>
        <w:pStyle w:val="FootnoteText"/>
        <w:tabs>
          <w:tab w:val="clear" w:pos="1021"/>
        </w:tabs>
        <w:bidi/>
        <w:spacing w:after="60" w:line="300" w:lineRule="exact"/>
        <w:ind w:left="1247" w:right="1247" w:hanging="567"/>
        <w:jc w:val="lowKashida"/>
        <w:textDirection w:val="tbRlV"/>
        <w:rPr>
          <w:szCs w:val="18"/>
          <w:lang w:eastAsia="zh-TW" w:bidi="en-GB"/>
        </w:rPr>
      </w:pPr>
      <w:r w:rsidRPr="00DE0182">
        <w:rPr>
          <w:rStyle w:val="FootnoteReference"/>
          <w:vertAlign w:val="baseline"/>
          <w:rtl/>
        </w:rPr>
        <w:t>(</w:t>
      </w:r>
      <w:r w:rsidRPr="00DE0182">
        <w:rPr>
          <w:rStyle w:val="FootnoteReference"/>
          <w:vertAlign w:val="baseline"/>
          <w:rtl/>
        </w:rPr>
        <w:footnoteRef/>
      </w:r>
      <w:r w:rsidRPr="00DE0182">
        <w:rPr>
          <w:rStyle w:val="FootnoteReference"/>
          <w:vertAlign w:val="baseline"/>
          <w:rtl/>
        </w:rPr>
        <w:t>)</w:t>
      </w:r>
      <w:r w:rsidRPr="00DE0182">
        <w:rPr>
          <w:szCs w:val="18"/>
          <w:rtl/>
        </w:rPr>
        <w:tab/>
      </w:r>
      <w:r w:rsidRPr="00DE0182">
        <w:rPr>
          <w:i/>
          <w:iCs/>
          <w:szCs w:val="18"/>
          <w:rtl/>
        </w:rPr>
        <w:t>د. س. ضد الاتحاد الروسي</w:t>
      </w:r>
      <w:r w:rsidRPr="00DE0182">
        <w:rPr>
          <w:szCs w:val="18"/>
          <w:rtl/>
        </w:rPr>
        <w:t>، الفقرة 6</w:t>
      </w:r>
      <w:r w:rsidRPr="00DE0182">
        <w:rPr>
          <w:rFonts w:ascii="Traditional Arabic"/>
          <w:szCs w:val="18"/>
          <w:rtl/>
        </w:rPr>
        <w:t>-</w:t>
      </w:r>
      <w:r w:rsidRPr="00DE0182">
        <w:rPr>
          <w:szCs w:val="18"/>
          <w:rtl/>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1EB3" w14:textId="7E15543D" w:rsidR="00640077" w:rsidRPr="00640077" w:rsidRDefault="00640077" w:rsidP="0064007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87B3A">
      <w:t>CCPR/C/130/D/2517/2014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49D2" w14:textId="26B398C7" w:rsidR="00640077" w:rsidRPr="00640077" w:rsidRDefault="00640077" w:rsidP="0064007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87B3A">
      <w:t>CCPR/C/130/D/2517/2014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06"/>
    <w:rsid w:val="000076D5"/>
    <w:rsid w:val="0003395A"/>
    <w:rsid w:val="00043663"/>
    <w:rsid w:val="000437B8"/>
    <w:rsid w:val="000505CF"/>
    <w:rsid w:val="000D701C"/>
    <w:rsid w:val="000E2A71"/>
    <w:rsid w:val="000E59B9"/>
    <w:rsid w:val="00145577"/>
    <w:rsid w:val="00160263"/>
    <w:rsid w:val="00181F96"/>
    <w:rsid w:val="001872B1"/>
    <w:rsid w:val="001A1371"/>
    <w:rsid w:val="001B043F"/>
    <w:rsid w:val="001B346A"/>
    <w:rsid w:val="001E1CAD"/>
    <w:rsid w:val="001E290D"/>
    <w:rsid w:val="00200706"/>
    <w:rsid w:val="002144FA"/>
    <w:rsid w:val="0023469A"/>
    <w:rsid w:val="00243C8A"/>
    <w:rsid w:val="00267A0E"/>
    <w:rsid w:val="002901D9"/>
    <w:rsid w:val="002976C2"/>
    <w:rsid w:val="002B038E"/>
    <w:rsid w:val="003068BC"/>
    <w:rsid w:val="003260FF"/>
    <w:rsid w:val="00343D95"/>
    <w:rsid w:val="00363A18"/>
    <w:rsid w:val="00374341"/>
    <w:rsid w:val="003D1062"/>
    <w:rsid w:val="00402051"/>
    <w:rsid w:val="00420D7B"/>
    <w:rsid w:val="00450B21"/>
    <w:rsid w:val="00451EE5"/>
    <w:rsid w:val="00453B63"/>
    <w:rsid w:val="00455780"/>
    <w:rsid w:val="004640A1"/>
    <w:rsid w:val="004B0A1C"/>
    <w:rsid w:val="004B27E0"/>
    <w:rsid w:val="004B3804"/>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5F7AE5"/>
    <w:rsid w:val="0060473A"/>
    <w:rsid w:val="00617024"/>
    <w:rsid w:val="00640077"/>
    <w:rsid w:val="00651FB7"/>
    <w:rsid w:val="00652221"/>
    <w:rsid w:val="00656392"/>
    <w:rsid w:val="006645EC"/>
    <w:rsid w:val="0068781D"/>
    <w:rsid w:val="006959B0"/>
    <w:rsid w:val="006A0478"/>
    <w:rsid w:val="006B3E27"/>
    <w:rsid w:val="006B6507"/>
    <w:rsid w:val="006C104C"/>
    <w:rsid w:val="006C632E"/>
    <w:rsid w:val="00717FB3"/>
    <w:rsid w:val="00730446"/>
    <w:rsid w:val="00733704"/>
    <w:rsid w:val="0078071A"/>
    <w:rsid w:val="00787022"/>
    <w:rsid w:val="00787E1E"/>
    <w:rsid w:val="00793290"/>
    <w:rsid w:val="007A1F70"/>
    <w:rsid w:val="00852A9A"/>
    <w:rsid w:val="008F49E1"/>
    <w:rsid w:val="0090370F"/>
    <w:rsid w:val="009269D2"/>
    <w:rsid w:val="00942135"/>
    <w:rsid w:val="009521B0"/>
    <w:rsid w:val="00957437"/>
    <w:rsid w:val="00982139"/>
    <w:rsid w:val="009867A8"/>
    <w:rsid w:val="00991F44"/>
    <w:rsid w:val="009A0CFB"/>
    <w:rsid w:val="009A7E9F"/>
    <w:rsid w:val="009C17EC"/>
    <w:rsid w:val="009E339B"/>
    <w:rsid w:val="009E5018"/>
    <w:rsid w:val="00A03700"/>
    <w:rsid w:val="00A053F2"/>
    <w:rsid w:val="00A12B37"/>
    <w:rsid w:val="00A54828"/>
    <w:rsid w:val="00A835A5"/>
    <w:rsid w:val="00A97E1F"/>
    <w:rsid w:val="00AB512E"/>
    <w:rsid w:val="00AB6758"/>
    <w:rsid w:val="00AB727F"/>
    <w:rsid w:val="00AC7DF8"/>
    <w:rsid w:val="00B131BA"/>
    <w:rsid w:val="00B13763"/>
    <w:rsid w:val="00B477A4"/>
    <w:rsid w:val="00B51416"/>
    <w:rsid w:val="00B54045"/>
    <w:rsid w:val="00B63ADD"/>
    <w:rsid w:val="00BB09A0"/>
    <w:rsid w:val="00C175A6"/>
    <w:rsid w:val="00C41DCF"/>
    <w:rsid w:val="00C42AF7"/>
    <w:rsid w:val="00C438D7"/>
    <w:rsid w:val="00C62C20"/>
    <w:rsid w:val="00C81B50"/>
    <w:rsid w:val="00C902EF"/>
    <w:rsid w:val="00CB0011"/>
    <w:rsid w:val="00CB6622"/>
    <w:rsid w:val="00CB66E3"/>
    <w:rsid w:val="00CD1801"/>
    <w:rsid w:val="00CF56F9"/>
    <w:rsid w:val="00CF65C6"/>
    <w:rsid w:val="00D00A89"/>
    <w:rsid w:val="00D068EB"/>
    <w:rsid w:val="00D10EF1"/>
    <w:rsid w:val="00D42810"/>
    <w:rsid w:val="00D60DD5"/>
    <w:rsid w:val="00D87B3A"/>
    <w:rsid w:val="00D914A7"/>
    <w:rsid w:val="00DB141D"/>
    <w:rsid w:val="00DC4D4B"/>
    <w:rsid w:val="00DD13C3"/>
    <w:rsid w:val="00DD596E"/>
    <w:rsid w:val="00DD621E"/>
    <w:rsid w:val="00DE0182"/>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837DA"/>
    <w:rsid w:val="00F900C3"/>
    <w:rsid w:val="00F94B5B"/>
    <w:rsid w:val="00FC6EDD"/>
    <w:rsid w:val="00FD46E2"/>
    <w:rsid w:val="00FE502A"/>
    <w:rsid w:val="00FF2AB2"/>
    <w:rsid w:val="00FF556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DCCF26"/>
  <w15:docId w15:val="{C8E01CF2-BD24-4ABB-9950-54980EF8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uiPriority w:val="99"/>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D1D8-6877-430A-BE0A-833FFFC4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2426</Words>
  <Characters>11743</Characters>
  <Application>Microsoft Office Word</Application>
  <DocSecurity>0</DocSecurity>
  <Lines>192</Lines>
  <Paragraphs>73</Paragraphs>
  <ScaleCrop>false</ScaleCrop>
  <HeadingPairs>
    <vt:vector size="2" baseType="variant">
      <vt:variant>
        <vt:lpstr>Title</vt:lpstr>
      </vt:variant>
      <vt:variant>
        <vt:i4>1</vt:i4>
      </vt:variant>
    </vt:vector>
  </HeadingPairs>
  <TitlesOfParts>
    <vt:vector size="1" baseType="lpstr">
      <vt:lpstr>CCPR/C/130/D/2517/2014</vt:lpstr>
    </vt:vector>
  </TitlesOfParts>
  <Company>DCM</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CCPR/C/130/D/2517/2014</dc:title>
  <dc:subject>GE.2103203(A)</dc:subject>
  <dc:creator>Ihab RIZ - </dc:creator>
  <cp:keywords>GE.2105824(A)</cp:keywords>
  <dc:description>General_x000d_
_x000d_
Arabic_x000d_
English</dc:description>
  <cp:lastModifiedBy>Ibrahim Balan</cp:lastModifiedBy>
  <cp:revision>3</cp:revision>
  <cp:lastPrinted>2021-03-31T13:58:00Z</cp:lastPrinted>
  <dcterms:created xsi:type="dcterms:W3CDTF">2021-03-31T13:58:00Z</dcterms:created>
  <dcterms:modified xsi:type="dcterms:W3CDTF">2021-03-31T13:58:00Z</dcterms:modified>
  <cp:category>Finale</cp:category>
</cp:coreProperties>
</file>