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7AE3FE5E" w14:textId="77777777" w:rsidTr="005B51C4">
        <w:trPr>
          <w:trHeight w:hRule="exact" w:val="851"/>
        </w:trPr>
        <w:tc>
          <w:tcPr>
            <w:tcW w:w="1274" w:type="dxa"/>
            <w:tcBorders>
              <w:bottom w:val="single" w:sz="4" w:space="0" w:color="auto"/>
            </w:tcBorders>
            <w:shd w:val="clear" w:color="auto" w:fill="auto"/>
          </w:tcPr>
          <w:p w14:paraId="2D6A04C0" w14:textId="77777777" w:rsidR="006B3E27" w:rsidRPr="00C175A6" w:rsidRDefault="006B3E27" w:rsidP="001B2C01">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574515B0"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105DD5E9" w14:textId="5FAE5762" w:rsidR="006B3E27" w:rsidRPr="009D4ADE" w:rsidRDefault="009D4ADE" w:rsidP="009D4ADE">
            <w:pPr>
              <w:bidi w:val="0"/>
              <w:rPr>
                <w:szCs w:val="20"/>
              </w:rPr>
            </w:pPr>
            <w:r w:rsidRPr="009D4ADE">
              <w:rPr>
                <w:sz w:val="40"/>
                <w:szCs w:val="20"/>
              </w:rPr>
              <w:t>CCPR</w:t>
            </w:r>
            <w:r>
              <w:rPr>
                <w:szCs w:val="20"/>
              </w:rPr>
              <w:t>/C/</w:t>
            </w:r>
            <w:r w:rsidRPr="0089450B">
              <w:rPr>
                <w:szCs w:val="20"/>
              </w:rPr>
              <w:t>130</w:t>
            </w:r>
            <w:r>
              <w:rPr>
                <w:szCs w:val="20"/>
              </w:rPr>
              <w:t>/D/</w:t>
            </w:r>
            <w:r w:rsidRPr="0089450B">
              <w:rPr>
                <w:szCs w:val="20"/>
              </w:rPr>
              <w:t>2713</w:t>
            </w:r>
            <w:r>
              <w:rPr>
                <w:szCs w:val="20"/>
              </w:rPr>
              <w:t>/</w:t>
            </w:r>
            <w:r w:rsidRPr="0089450B">
              <w:rPr>
                <w:szCs w:val="20"/>
              </w:rPr>
              <w:t>2015</w:t>
            </w:r>
          </w:p>
        </w:tc>
      </w:tr>
      <w:tr w:rsidR="006B3E27" w:rsidRPr="00C175A6" w14:paraId="4934A651" w14:textId="77777777" w:rsidTr="005B51C4">
        <w:trPr>
          <w:trHeight w:hRule="exact" w:val="2835"/>
        </w:trPr>
        <w:tc>
          <w:tcPr>
            <w:tcW w:w="1274" w:type="dxa"/>
            <w:tcBorders>
              <w:top w:val="single" w:sz="4" w:space="0" w:color="auto"/>
              <w:bottom w:val="single" w:sz="12" w:space="0" w:color="auto"/>
            </w:tcBorders>
            <w:shd w:val="clear" w:color="auto" w:fill="auto"/>
          </w:tcPr>
          <w:p w14:paraId="17A25B3B"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5BAE8099" wp14:editId="5088549C">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A929C4F" w14:textId="77777777" w:rsidR="006B3E27" w:rsidRPr="0089450B" w:rsidRDefault="00ED7442" w:rsidP="00730446">
            <w:pPr>
              <w:spacing w:before="120" w:after="40" w:line="640" w:lineRule="exact"/>
              <w:ind w:left="57"/>
              <w:rPr>
                <w:b/>
                <w:bCs/>
                <w:sz w:val="46"/>
                <w:szCs w:val="46"/>
              </w:rPr>
            </w:pPr>
            <w:r w:rsidRPr="0089450B">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40381877" w14:textId="77777777" w:rsidR="00D42B1B" w:rsidRPr="00D42B1B" w:rsidRDefault="00D42B1B" w:rsidP="00D42B1B">
            <w:pPr>
              <w:bidi w:val="0"/>
              <w:spacing w:before="240" w:line="240" w:lineRule="auto"/>
              <w:jc w:val="left"/>
              <w:rPr>
                <w:rFonts w:eastAsia="SimSun" w:cs="Times New Roman"/>
                <w:szCs w:val="20"/>
                <w:lang w:val="en-GB" w:eastAsia="zh-CN"/>
              </w:rPr>
            </w:pPr>
            <w:r w:rsidRPr="00D42B1B">
              <w:rPr>
                <w:rFonts w:eastAsia="SimSun" w:cs="Times New Roman"/>
                <w:szCs w:val="20"/>
                <w:lang w:val="en-GB" w:eastAsia="zh-CN"/>
              </w:rPr>
              <w:t>Distr.: General</w:t>
            </w:r>
          </w:p>
          <w:p w14:paraId="430F5862" w14:textId="77777777" w:rsidR="00D42B1B" w:rsidRPr="00D42B1B" w:rsidRDefault="00D42B1B" w:rsidP="00D42B1B">
            <w:pPr>
              <w:bidi w:val="0"/>
              <w:spacing w:line="240" w:lineRule="auto"/>
              <w:jc w:val="left"/>
              <w:rPr>
                <w:rFonts w:eastAsia="SimSun" w:cs="Times New Roman"/>
                <w:szCs w:val="20"/>
                <w:lang w:val="en-GB" w:eastAsia="zh-CN"/>
              </w:rPr>
            </w:pPr>
            <w:r w:rsidRPr="00D42B1B">
              <w:rPr>
                <w:rFonts w:eastAsia="SimSun" w:cs="Times New Roman"/>
                <w:szCs w:val="20"/>
                <w:lang w:val="en-GB" w:eastAsia="zh-CN"/>
              </w:rPr>
              <w:t>12 March 2021</w:t>
            </w:r>
          </w:p>
          <w:p w14:paraId="3EBE888F" w14:textId="592F2525" w:rsidR="00D42B1B" w:rsidRPr="00D42B1B" w:rsidRDefault="00D42B1B" w:rsidP="00D42B1B">
            <w:pPr>
              <w:bidi w:val="0"/>
              <w:spacing w:line="240" w:lineRule="auto"/>
              <w:jc w:val="left"/>
              <w:rPr>
                <w:rFonts w:eastAsia="SimSun" w:cs="Times New Roman"/>
                <w:szCs w:val="20"/>
                <w:lang w:val="en-GB" w:eastAsia="zh-CN"/>
              </w:rPr>
            </w:pPr>
            <w:r>
              <w:rPr>
                <w:rFonts w:eastAsia="SimSun" w:cs="Times New Roman"/>
                <w:szCs w:val="20"/>
                <w:lang w:val="en-GB" w:eastAsia="zh-CN"/>
              </w:rPr>
              <w:t>Arabic</w:t>
            </w:r>
          </w:p>
          <w:p w14:paraId="75834D2D" w14:textId="2E89B170" w:rsidR="009D4ADE" w:rsidRPr="00D42B1B" w:rsidRDefault="00D42B1B" w:rsidP="00D42B1B">
            <w:pPr>
              <w:bidi w:val="0"/>
              <w:spacing w:line="240" w:lineRule="exact"/>
              <w:jc w:val="left"/>
              <w:rPr>
                <w:szCs w:val="20"/>
                <w:lang w:val="en-GB"/>
              </w:rPr>
            </w:pPr>
            <w:r w:rsidRPr="00D42B1B">
              <w:rPr>
                <w:rFonts w:eastAsia="SimSun" w:cs="Times New Roman"/>
                <w:szCs w:val="20"/>
                <w:lang w:val="en-GB" w:eastAsia="zh-CN"/>
              </w:rPr>
              <w:t>Original: English</w:t>
            </w:r>
          </w:p>
        </w:tc>
      </w:tr>
    </w:tbl>
    <w:p w14:paraId="2318C7A4" w14:textId="77777777" w:rsidR="00D42B1B" w:rsidRPr="0089450B" w:rsidRDefault="00D42B1B" w:rsidP="00D42B1B">
      <w:pPr>
        <w:pStyle w:val="SingleTxtGA"/>
        <w:spacing w:before="120" w:after="0"/>
        <w:ind w:left="0"/>
        <w:rPr>
          <w:b/>
          <w:bCs/>
          <w:sz w:val="28"/>
          <w:szCs w:val="28"/>
          <w:rtl/>
        </w:rPr>
      </w:pPr>
      <w:r w:rsidRPr="0089450B">
        <w:rPr>
          <w:b/>
          <w:bCs/>
          <w:sz w:val="28"/>
          <w:szCs w:val="28"/>
          <w:rtl/>
        </w:rPr>
        <w:t>اللجنة المعنية بحقوق الإنسان</w:t>
      </w:r>
    </w:p>
    <w:p w14:paraId="08AF9188" w14:textId="2274D1F2" w:rsidR="00D42B1B" w:rsidRPr="0089450B" w:rsidRDefault="00D42B1B" w:rsidP="00D42B1B">
      <w:pPr>
        <w:pStyle w:val="HChGA"/>
        <w:rPr>
          <w:rtl/>
        </w:rPr>
      </w:pPr>
      <w:r w:rsidRPr="0089450B">
        <w:rPr>
          <w:rtl/>
        </w:rPr>
        <w:tab/>
      </w:r>
      <w:r w:rsidRPr="0089450B">
        <w:rPr>
          <w:rtl/>
        </w:rPr>
        <w:tab/>
        <w:t>آراء اعتمدتها اللجنة بموجب المادة 5(4) من البروتوكول الاختياري، بشأن البلاغ رقم 2713</w:t>
      </w:r>
      <w:r w:rsidR="009E7665" w:rsidRPr="0089450B">
        <w:rPr>
          <w:rFonts w:hint="cs"/>
          <w:rtl/>
        </w:rPr>
        <w:t>/</w:t>
      </w:r>
      <w:r w:rsidR="009E7665" w:rsidRPr="0089450B">
        <w:rPr>
          <w:rtl/>
        </w:rPr>
        <w:t>2015</w:t>
      </w:r>
      <w:r w:rsidRPr="0089450B">
        <w:rPr>
          <w:rStyle w:val="FootnoteReference"/>
          <w:sz w:val="28"/>
          <w:szCs w:val="28"/>
          <w:vertAlign w:val="baseline"/>
          <w:rtl/>
        </w:rPr>
        <w:footnoteReference w:customMarkFollows="1" w:id="1"/>
        <w:t>*</w:t>
      </w:r>
      <w:r w:rsidRPr="0089450B">
        <w:rPr>
          <w:rFonts w:hint="cs"/>
          <w:sz w:val="18"/>
          <w:szCs w:val="18"/>
          <w:rtl/>
        </w:rPr>
        <w:t xml:space="preserve"> </w:t>
      </w:r>
      <w:r w:rsidRPr="0089450B">
        <w:rPr>
          <w:rStyle w:val="FootnoteReference"/>
          <w:sz w:val="28"/>
          <w:szCs w:val="28"/>
          <w:vertAlign w:val="baseline"/>
          <w:rtl/>
        </w:rPr>
        <w:footnoteReference w:customMarkFollows="1" w:id="2"/>
        <w:t>**</w:t>
      </w:r>
    </w:p>
    <w:p w14:paraId="526ED5AA" w14:textId="107F8175" w:rsidR="00D42B1B" w:rsidRPr="00D42B1B" w:rsidRDefault="00D42B1B" w:rsidP="00D42B1B">
      <w:pPr>
        <w:pStyle w:val="SingleTxtGA"/>
        <w:tabs>
          <w:tab w:val="clear" w:pos="1928"/>
          <w:tab w:val="clear" w:pos="2608"/>
          <w:tab w:val="clear" w:pos="3289"/>
          <w:tab w:val="clear" w:pos="3969"/>
          <w:tab w:val="clear" w:pos="4649"/>
          <w:tab w:val="clear" w:pos="5330"/>
        </w:tabs>
        <w:ind w:left="4649" w:hanging="2721"/>
        <w:rPr>
          <w:rtl/>
        </w:rPr>
      </w:pPr>
      <w:r w:rsidRPr="0089450B">
        <w:rPr>
          <w:i/>
          <w:iCs/>
          <w:rtl/>
        </w:rPr>
        <w:t>بلاغ مقدم من:</w:t>
      </w:r>
      <w:r>
        <w:rPr>
          <w:rtl/>
        </w:rPr>
        <w:tab/>
      </w:r>
      <w:r w:rsidRPr="00D42B1B">
        <w:rPr>
          <w:rtl/>
        </w:rPr>
        <w:t xml:space="preserve">ليونيد </w:t>
      </w:r>
      <w:proofErr w:type="spellStart"/>
      <w:r w:rsidRPr="00D42B1B">
        <w:rPr>
          <w:rtl/>
        </w:rPr>
        <w:t>زدريستوف</w:t>
      </w:r>
      <w:proofErr w:type="spellEnd"/>
      <w:r w:rsidRPr="00D42B1B">
        <w:rPr>
          <w:rtl/>
        </w:rPr>
        <w:t xml:space="preserve"> (لا يمثله محام)</w:t>
      </w:r>
    </w:p>
    <w:p w14:paraId="0107AAA3" w14:textId="41533AF5" w:rsidR="00D42B1B" w:rsidRPr="00D42B1B" w:rsidRDefault="00D42B1B" w:rsidP="00D42B1B">
      <w:pPr>
        <w:pStyle w:val="SingleTxtGA"/>
        <w:tabs>
          <w:tab w:val="clear" w:pos="1928"/>
          <w:tab w:val="clear" w:pos="2608"/>
          <w:tab w:val="clear" w:pos="3289"/>
          <w:tab w:val="clear" w:pos="3969"/>
          <w:tab w:val="clear" w:pos="4649"/>
          <w:tab w:val="clear" w:pos="5330"/>
        </w:tabs>
        <w:ind w:left="4649" w:hanging="2721"/>
        <w:rPr>
          <w:rtl/>
        </w:rPr>
      </w:pPr>
      <w:r w:rsidRPr="0089450B">
        <w:rPr>
          <w:i/>
          <w:iCs/>
          <w:rtl/>
        </w:rPr>
        <w:t>الشخص المدعى أنه ضحية:</w:t>
      </w:r>
      <w:r>
        <w:rPr>
          <w:rtl/>
        </w:rPr>
        <w:tab/>
      </w:r>
      <w:r w:rsidRPr="00D42B1B">
        <w:rPr>
          <w:rtl/>
        </w:rPr>
        <w:t>صاحب البلاغ</w:t>
      </w:r>
    </w:p>
    <w:p w14:paraId="1E29D475" w14:textId="4BA11994" w:rsidR="00D42B1B" w:rsidRPr="00D42B1B" w:rsidRDefault="00D42B1B" w:rsidP="00D42B1B">
      <w:pPr>
        <w:pStyle w:val="SingleTxtGA"/>
        <w:tabs>
          <w:tab w:val="clear" w:pos="1928"/>
          <w:tab w:val="clear" w:pos="2608"/>
          <w:tab w:val="clear" w:pos="3289"/>
          <w:tab w:val="clear" w:pos="3969"/>
          <w:tab w:val="clear" w:pos="4649"/>
          <w:tab w:val="clear" w:pos="5330"/>
        </w:tabs>
        <w:ind w:left="4649" w:hanging="2721"/>
        <w:rPr>
          <w:rtl/>
        </w:rPr>
      </w:pPr>
      <w:r w:rsidRPr="0089450B">
        <w:rPr>
          <w:i/>
          <w:iCs/>
          <w:rtl/>
        </w:rPr>
        <w:t>الدولة الطرف:</w:t>
      </w:r>
      <w:r>
        <w:rPr>
          <w:rtl/>
        </w:rPr>
        <w:tab/>
      </w:r>
      <w:r w:rsidRPr="00D42B1B">
        <w:rPr>
          <w:rtl/>
        </w:rPr>
        <w:t>بيلاروس</w:t>
      </w:r>
    </w:p>
    <w:p w14:paraId="45C84A8C" w14:textId="4B80DA11" w:rsidR="00D42B1B" w:rsidRPr="00D42B1B" w:rsidRDefault="00D42B1B" w:rsidP="00D42B1B">
      <w:pPr>
        <w:pStyle w:val="SingleTxtGA"/>
        <w:tabs>
          <w:tab w:val="clear" w:pos="1928"/>
          <w:tab w:val="clear" w:pos="2608"/>
          <w:tab w:val="clear" w:pos="3289"/>
          <w:tab w:val="clear" w:pos="3969"/>
          <w:tab w:val="clear" w:pos="4649"/>
          <w:tab w:val="clear" w:pos="5330"/>
        </w:tabs>
        <w:ind w:left="4649" w:hanging="2721"/>
        <w:rPr>
          <w:rtl/>
        </w:rPr>
      </w:pPr>
      <w:r w:rsidRPr="0089450B">
        <w:rPr>
          <w:i/>
          <w:iCs/>
          <w:rtl/>
        </w:rPr>
        <w:t>تاريخ تقديم البلاغ:</w:t>
      </w:r>
      <w:r>
        <w:rPr>
          <w:rtl/>
        </w:rPr>
        <w:tab/>
      </w:r>
      <w:r w:rsidRPr="0089450B">
        <w:rPr>
          <w:rtl/>
        </w:rPr>
        <w:t>19</w:t>
      </w:r>
      <w:r w:rsidRPr="00D42B1B">
        <w:rPr>
          <w:rtl/>
        </w:rPr>
        <w:t xml:space="preserve"> حزيران/</w:t>
      </w:r>
      <w:proofErr w:type="gramStart"/>
      <w:r w:rsidRPr="00D42B1B">
        <w:rPr>
          <w:rtl/>
        </w:rPr>
        <w:t>يونيه</w:t>
      </w:r>
      <w:proofErr w:type="gramEnd"/>
      <w:r w:rsidRPr="00D42B1B">
        <w:rPr>
          <w:rtl/>
        </w:rPr>
        <w:t xml:space="preserve"> </w:t>
      </w:r>
      <w:r w:rsidRPr="0089450B">
        <w:rPr>
          <w:rtl/>
        </w:rPr>
        <w:t>2015</w:t>
      </w:r>
      <w:r w:rsidRPr="00D42B1B">
        <w:rPr>
          <w:rtl/>
        </w:rPr>
        <w:t xml:space="preserve"> (تاريخ الرسالة الأولى)</w:t>
      </w:r>
    </w:p>
    <w:p w14:paraId="2FE0AB20" w14:textId="7AA1F526" w:rsidR="00D42B1B" w:rsidRPr="00D42B1B" w:rsidRDefault="00D42B1B" w:rsidP="00D42B1B">
      <w:pPr>
        <w:pStyle w:val="SingleTxtGA"/>
        <w:tabs>
          <w:tab w:val="clear" w:pos="1928"/>
          <w:tab w:val="clear" w:pos="2608"/>
          <w:tab w:val="clear" w:pos="3289"/>
          <w:tab w:val="clear" w:pos="3969"/>
          <w:tab w:val="clear" w:pos="4649"/>
          <w:tab w:val="clear" w:pos="5330"/>
        </w:tabs>
        <w:ind w:left="4649" w:hanging="2721"/>
        <w:rPr>
          <w:rtl/>
        </w:rPr>
      </w:pPr>
      <w:r w:rsidRPr="0089450B">
        <w:rPr>
          <w:i/>
          <w:iCs/>
          <w:rtl/>
        </w:rPr>
        <w:t>الوثائق المرجعية:</w:t>
      </w:r>
      <w:r>
        <w:rPr>
          <w:rtl/>
        </w:rPr>
        <w:tab/>
      </w:r>
      <w:r w:rsidRPr="00D42B1B">
        <w:rPr>
          <w:rtl/>
        </w:rPr>
        <w:t xml:space="preserve">القرار المتخذ عملاً بالمادة </w:t>
      </w:r>
      <w:r w:rsidRPr="0089450B">
        <w:rPr>
          <w:rtl/>
        </w:rPr>
        <w:t>92</w:t>
      </w:r>
      <w:r w:rsidRPr="00D42B1B">
        <w:rPr>
          <w:rtl/>
        </w:rPr>
        <w:t xml:space="preserve"> من النظام الداخلي للجنة، والمحال إلى الدولة الطرف في </w:t>
      </w:r>
      <w:r w:rsidRPr="0089450B">
        <w:rPr>
          <w:rtl/>
        </w:rPr>
        <w:t>28</w:t>
      </w:r>
      <w:r w:rsidRPr="00D42B1B">
        <w:rPr>
          <w:rtl/>
        </w:rPr>
        <w:t xml:space="preserve"> كانون الأول/</w:t>
      </w:r>
      <w:r w:rsidR="00D051F5">
        <w:rPr>
          <w:rFonts w:hint="cs"/>
          <w:rtl/>
        </w:rPr>
        <w:t xml:space="preserve"> </w:t>
      </w:r>
      <w:r w:rsidRPr="00D42B1B">
        <w:rPr>
          <w:rtl/>
        </w:rPr>
        <w:t xml:space="preserve">ديسمبر </w:t>
      </w:r>
      <w:r w:rsidRPr="0089450B">
        <w:rPr>
          <w:rtl/>
        </w:rPr>
        <w:t>2015</w:t>
      </w:r>
      <w:r w:rsidRPr="00D42B1B">
        <w:rPr>
          <w:rtl/>
        </w:rPr>
        <w:t xml:space="preserve"> (لم يصدر في شكل وثيقة)</w:t>
      </w:r>
    </w:p>
    <w:p w14:paraId="5911A6B7" w14:textId="0D57A59A" w:rsidR="00D42B1B" w:rsidRPr="00D42B1B" w:rsidRDefault="00D42B1B" w:rsidP="00D42B1B">
      <w:pPr>
        <w:pStyle w:val="SingleTxtGA"/>
        <w:tabs>
          <w:tab w:val="clear" w:pos="1928"/>
          <w:tab w:val="clear" w:pos="2608"/>
          <w:tab w:val="clear" w:pos="3289"/>
          <w:tab w:val="clear" w:pos="3969"/>
          <w:tab w:val="clear" w:pos="4649"/>
          <w:tab w:val="clear" w:pos="5330"/>
        </w:tabs>
        <w:ind w:left="4649" w:hanging="2721"/>
        <w:rPr>
          <w:rtl/>
        </w:rPr>
      </w:pPr>
      <w:r w:rsidRPr="0089450B">
        <w:rPr>
          <w:i/>
          <w:iCs/>
          <w:rtl/>
        </w:rPr>
        <w:t>تاريخ اعتماد الآراء:</w:t>
      </w:r>
      <w:r>
        <w:rPr>
          <w:rtl/>
        </w:rPr>
        <w:tab/>
      </w:r>
      <w:r w:rsidRPr="0089450B">
        <w:rPr>
          <w:rtl/>
        </w:rPr>
        <w:t>6</w:t>
      </w:r>
      <w:r w:rsidRPr="00D42B1B">
        <w:rPr>
          <w:rtl/>
        </w:rPr>
        <w:t xml:space="preserve"> تشرين الثاني/نوفمبر </w:t>
      </w:r>
      <w:r w:rsidRPr="0089450B">
        <w:rPr>
          <w:rtl/>
        </w:rPr>
        <w:t>2020</w:t>
      </w:r>
    </w:p>
    <w:p w14:paraId="1535AE3F" w14:textId="5C962DC0" w:rsidR="00D42B1B" w:rsidRPr="00D42B1B" w:rsidRDefault="00D42B1B" w:rsidP="00D42B1B">
      <w:pPr>
        <w:pStyle w:val="SingleTxtGA"/>
        <w:tabs>
          <w:tab w:val="clear" w:pos="1928"/>
          <w:tab w:val="clear" w:pos="2608"/>
          <w:tab w:val="clear" w:pos="3289"/>
          <w:tab w:val="clear" w:pos="3969"/>
          <w:tab w:val="clear" w:pos="4649"/>
          <w:tab w:val="clear" w:pos="5330"/>
        </w:tabs>
        <w:ind w:left="4649" w:hanging="2721"/>
        <w:rPr>
          <w:rtl/>
        </w:rPr>
      </w:pPr>
      <w:r w:rsidRPr="0089450B">
        <w:rPr>
          <w:i/>
          <w:iCs/>
          <w:rtl/>
        </w:rPr>
        <w:t>الموضوع:</w:t>
      </w:r>
      <w:r>
        <w:rPr>
          <w:rtl/>
        </w:rPr>
        <w:tab/>
      </w:r>
      <w:r w:rsidRPr="00D42B1B">
        <w:rPr>
          <w:rtl/>
        </w:rPr>
        <w:t>رفض السلطات الإذن بتنظيم اعتصام؛ حرية التعبير</w:t>
      </w:r>
    </w:p>
    <w:p w14:paraId="476A72B7" w14:textId="63DA4689" w:rsidR="00D42B1B" w:rsidRPr="00D42B1B" w:rsidRDefault="00D42B1B" w:rsidP="00D42B1B">
      <w:pPr>
        <w:pStyle w:val="SingleTxtGA"/>
        <w:tabs>
          <w:tab w:val="clear" w:pos="1928"/>
          <w:tab w:val="clear" w:pos="2608"/>
          <w:tab w:val="clear" w:pos="3289"/>
          <w:tab w:val="clear" w:pos="3969"/>
          <w:tab w:val="clear" w:pos="4649"/>
          <w:tab w:val="clear" w:pos="5330"/>
        </w:tabs>
        <w:ind w:left="4649" w:hanging="2721"/>
        <w:rPr>
          <w:rtl/>
        </w:rPr>
      </w:pPr>
      <w:r w:rsidRPr="0089450B">
        <w:rPr>
          <w:i/>
          <w:iCs/>
          <w:rtl/>
        </w:rPr>
        <w:t>المسألة الإجرائية:</w:t>
      </w:r>
      <w:r>
        <w:rPr>
          <w:rtl/>
        </w:rPr>
        <w:tab/>
      </w:r>
      <w:r w:rsidRPr="00D42B1B">
        <w:rPr>
          <w:rtl/>
        </w:rPr>
        <w:t>استنفاد سبل الانتصاف المحلية</w:t>
      </w:r>
    </w:p>
    <w:p w14:paraId="59BFA96D" w14:textId="2FCD5711" w:rsidR="00D42B1B" w:rsidRPr="00D42B1B" w:rsidRDefault="00D42B1B" w:rsidP="00D42B1B">
      <w:pPr>
        <w:pStyle w:val="SingleTxtGA"/>
        <w:tabs>
          <w:tab w:val="clear" w:pos="1928"/>
          <w:tab w:val="clear" w:pos="2608"/>
          <w:tab w:val="clear" w:pos="3289"/>
          <w:tab w:val="clear" w:pos="3969"/>
          <w:tab w:val="clear" w:pos="4649"/>
          <w:tab w:val="clear" w:pos="5330"/>
        </w:tabs>
        <w:ind w:left="4649" w:hanging="2721"/>
        <w:rPr>
          <w:rtl/>
        </w:rPr>
      </w:pPr>
      <w:r w:rsidRPr="0089450B">
        <w:rPr>
          <w:i/>
          <w:iCs/>
          <w:rtl/>
        </w:rPr>
        <w:t>المسألة الموضوعية:</w:t>
      </w:r>
      <w:r>
        <w:rPr>
          <w:rtl/>
        </w:rPr>
        <w:tab/>
      </w:r>
      <w:r w:rsidRPr="00D42B1B">
        <w:rPr>
          <w:rtl/>
        </w:rPr>
        <w:t>حرية التجمع؛ حرية التعبير</w:t>
      </w:r>
    </w:p>
    <w:p w14:paraId="28D3975C" w14:textId="25DF67B9" w:rsidR="00D42B1B" w:rsidRPr="00D42B1B" w:rsidRDefault="00D42B1B" w:rsidP="00D42B1B">
      <w:pPr>
        <w:pStyle w:val="SingleTxtGA"/>
        <w:tabs>
          <w:tab w:val="clear" w:pos="1928"/>
          <w:tab w:val="clear" w:pos="2608"/>
          <w:tab w:val="clear" w:pos="3289"/>
          <w:tab w:val="clear" w:pos="3969"/>
          <w:tab w:val="clear" w:pos="4649"/>
          <w:tab w:val="clear" w:pos="5330"/>
        </w:tabs>
        <w:ind w:left="4649" w:hanging="2721"/>
        <w:rPr>
          <w:rtl/>
        </w:rPr>
      </w:pPr>
      <w:r w:rsidRPr="0089450B">
        <w:rPr>
          <w:i/>
          <w:iCs/>
          <w:rtl/>
        </w:rPr>
        <w:t>مواد العهد:</w:t>
      </w:r>
      <w:r>
        <w:rPr>
          <w:rtl/>
        </w:rPr>
        <w:tab/>
      </w:r>
      <w:r w:rsidRPr="0089450B">
        <w:rPr>
          <w:rtl/>
        </w:rPr>
        <w:t>19</w:t>
      </w:r>
      <w:r w:rsidRPr="00D42B1B">
        <w:rPr>
          <w:rtl/>
        </w:rPr>
        <w:t>(</w:t>
      </w:r>
      <w:r w:rsidRPr="0089450B">
        <w:rPr>
          <w:rtl/>
        </w:rPr>
        <w:t>2</w:t>
      </w:r>
      <w:r w:rsidRPr="00D42B1B">
        <w:rPr>
          <w:rtl/>
        </w:rPr>
        <w:t>) و</w:t>
      </w:r>
      <w:r w:rsidRPr="0089450B">
        <w:rPr>
          <w:rtl/>
        </w:rPr>
        <w:t>21</w:t>
      </w:r>
    </w:p>
    <w:p w14:paraId="58627951" w14:textId="051702F7" w:rsidR="00D42B1B" w:rsidRPr="00D42B1B" w:rsidRDefault="00D42B1B" w:rsidP="00D42B1B">
      <w:pPr>
        <w:pStyle w:val="SingleTxtGA"/>
        <w:tabs>
          <w:tab w:val="clear" w:pos="1928"/>
          <w:tab w:val="clear" w:pos="2608"/>
          <w:tab w:val="clear" w:pos="3289"/>
          <w:tab w:val="clear" w:pos="3969"/>
          <w:tab w:val="clear" w:pos="4649"/>
          <w:tab w:val="clear" w:pos="5330"/>
        </w:tabs>
        <w:ind w:left="4649" w:hanging="2721"/>
        <w:rPr>
          <w:rtl/>
        </w:rPr>
      </w:pPr>
      <w:r w:rsidRPr="0089450B">
        <w:rPr>
          <w:i/>
          <w:iCs/>
          <w:rtl/>
        </w:rPr>
        <w:t>مواد البروتوكول الاختياري:</w:t>
      </w:r>
      <w:r>
        <w:rPr>
          <w:rtl/>
        </w:rPr>
        <w:tab/>
      </w:r>
      <w:r w:rsidRPr="0089450B">
        <w:rPr>
          <w:rtl/>
        </w:rPr>
        <w:t>2</w:t>
      </w:r>
      <w:r w:rsidRPr="00D42B1B">
        <w:rPr>
          <w:rtl/>
        </w:rPr>
        <w:t>، و</w:t>
      </w:r>
      <w:r w:rsidRPr="0089450B">
        <w:rPr>
          <w:rtl/>
        </w:rPr>
        <w:t>5</w:t>
      </w:r>
      <w:r w:rsidRPr="00D42B1B">
        <w:rPr>
          <w:rtl/>
        </w:rPr>
        <w:t>(</w:t>
      </w:r>
      <w:r w:rsidRPr="0089450B">
        <w:rPr>
          <w:rtl/>
        </w:rPr>
        <w:t>2</w:t>
      </w:r>
      <w:r w:rsidRPr="00D42B1B">
        <w:rPr>
          <w:rtl/>
        </w:rPr>
        <w:t>)(ب)</w:t>
      </w:r>
    </w:p>
    <w:p w14:paraId="0736D9B3" w14:textId="77777777" w:rsidR="00D42B1B" w:rsidRDefault="00D42B1B" w:rsidP="00D42B1B">
      <w:pPr>
        <w:pStyle w:val="SingleTxtGA"/>
        <w:rPr>
          <w:rtl/>
        </w:rPr>
      </w:pPr>
      <w:r w:rsidRPr="0089450B">
        <w:rPr>
          <w:rtl/>
        </w:rPr>
        <w:t>1</w:t>
      </w:r>
      <w:r>
        <w:rPr>
          <w:rtl/>
        </w:rPr>
        <w:t>-</w:t>
      </w:r>
      <w:r>
        <w:rPr>
          <w:rtl/>
        </w:rPr>
        <w:tab/>
        <w:t xml:space="preserve">صاحب البلاغ هو ليونيد </w:t>
      </w:r>
      <w:proofErr w:type="spellStart"/>
      <w:r>
        <w:rPr>
          <w:rtl/>
        </w:rPr>
        <w:t>ماركوتكو</w:t>
      </w:r>
      <w:proofErr w:type="spellEnd"/>
      <w:r>
        <w:rPr>
          <w:rtl/>
        </w:rPr>
        <w:t xml:space="preserve">، وهو مواطن بيلاروسي وُلد عام </w:t>
      </w:r>
      <w:r w:rsidRPr="0089450B">
        <w:rPr>
          <w:rtl/>
        </w:rPr>
        <w:t>1954</w:t>
      </w:r>
      <w:r>
        <w:rPr>
          <w:rtl/>
        </w:rPr>
        <w:t xml:space="preserve">. ويدّعي أن الدولة الطرف قد انتهكت حقوقه بمقتضى المادتين </w:t>
      </w:r>
      <w:r w:rsidRPr="0089450B">
        <w:rPr>
          <w:rtl/>
        </w:rPr>
        <w:t>19</w:t>
      </w:r>
      <w:r>
        <w:rPr>
          <w:rtl/>
        </w:rPr>
        <w:t>(</w:t>
      </w:r>
      <w:r w:rsidRPr="0089450B">
        <w:rPr>
          <w:rtl/>
        </w:rPr>
        <w:t>2</w:t>
      </w:r>
      <w:r>
        <w:rPr>
          <w:rtl/>
        </w:rPr>
        <w:t>) و</w:t>
      </w:r>
      <w:r w:rsidRPr="0089450B">
        <w:rPr>
          <w:rtl/>
        </w:rPr>
        <w:t>21</w:t>
      </w:r>
      <w:r>
        <w:rPr>
          <w:rtl/>
        </w:rPr>
        <w:t xml:space="preserve"> من العهد. وقد دخل البروتوكول الاختياري حيز النفاذ بالنسبة إلى بيلاروس في </w:t>
      </w:r>
      <w:r w:rsidRPr="0089450B">
        <w:rPr>
          <w:rtl/>
        </w:rPr>
        <w:t>30</w:t>
      </w:r>
      <w:r>
        <w:rPr>
          <w:rtl/>
        </w:rPr>
        <w:t xml:space="preserve"> كانون الأول/ديسمبر </w:t>
      </w:r>
      <w:r w:rsidRPr="0089450B">
        <w:rPr>
          <w:rtl/>
        </w:rPr>
        <w:t>1992</w:t>
      </w:r>
      <w:r>
        <w:rPr>
          <w:rtl/>
        </w:rPr>
        <w:t>. ولا يمثل صاحب البلاغ محامٍ.</w:t>
      </w:r>
    </w:p>
    <w:p w14:paraId="5E4A5D86" w14:textId="77777777" w:rsidR="00D42B1B" w:rsidRPr="0089450B" w:rsidRDefault="00D42B1B" w:rsidP="00D42B1B">
      <w:pPr>
        <w:pStyle w:val="H23GA"/>
        <w:rPr>
          <w:rtl/>
        </w:rPr>
      </w:pPr>
      <w:r w:rsidRPr="0089450B">
        <w:rPr>
          <w:rtl/>
        </w:rPr>
        <w:lastRenderedPageBreak/>
        <w:tab/>
      </w:r>
      <w:r w:rsidRPr="0089450B">
        <w:rPr>
          <w:rtl/>
        </w:rPr>
        <w:tab/>
        <w:t>الوقائع كما عرضها صاحب البلاغ</w:t>
      </w:r>
    </w:p>
    <w:p w14:paraId="65F2D20B" w14:textId="77777777" w:rsidR="00D42B1B" w:rsidRDefault="00D42B1B" w:rsidP="00D42B1B">
      <w:pPr>
        <w:pStyle w:val="SingleTxtGA"/>
        <w:rPr>
          <w:rtl/>
        </w:rPr>
      </w:pPr>
      <w:r w:rsidRPr="0089450B">
        <w:rPr>
          <w:rtl/>
        </w:rPr>
        <w:t>2</w:t>
      </w:r>
      <w:r>
        <w:rPr>
          <w:rtl/>
        </w:rPr>
        <w:t>-</w:t>
      </w:r>
      <w:r w:rsidRPr="0089450B">
        <w:rPr>
          <w:rtl/>
        </w:rPr>
        <w:t>1</w:t>
      </w:r>
      <w:r>
        <w:rPr>
          <w:rtl/>
        </w:rPr>
        <w:tab/>
        <w:t xml:space="preserve">في </w:t>
      </w:r>
      <w:r w:rsidRPr="0089450B">
        <w:rPr>
          <w:rtl/>
        </w:rPr>
        <w:t>18</w:t>
      </w:r>
      <w:r>
        <w:rPr>
          <w:rtl/>
        </w:rPr>
        <w:t xml:space="preserve"> تشرين الثاني/نوفمبر </w:t>
      </w:r>
      <w:r w:rsidRPr="0089450B">
        <w:rPr>
          <w:rtl/>
        </w:rPr>
        <w:t>2014</w:t>
      </w:r>
      <w:r>
        <w:rPr>
          <w:rtl/>
        </w:rPr>
        <w:t xml:space="preserve">، قدم صاحب البلاغ طلباً إلى اللجنة التنفيذية لمقاطعة </w:t>
      </w:r>
      <w:proofErr w:type="spellStart"/>
      <w:r>
        <w:rPr>
          <w:rtl/>
        </w:rPr>
        <w:t>صالحورسك</w:t>
      </w:r>
      <w:proofErr w:type="spellEnd"/>
      <w:r>
        <w:rPr>
          <w:rtl/>
        </w:rPr>
        <w:t xml:space="preserve"> لتنظيم اعتصام في </w:t>
      </w:r>
      <w:r w:rsidRPr="0089450B">
        <w:rPr>
          <w:rtl/>
        </w:rPr>
        <w:t>10</w:t>
      </w:r>
      <w:r>
        <w:rPr>
          <w:rtl/>
        </w:rPr>
        <w:t xml:space="preserve"> كانون الأول/ديسمبر </w:t>
      </w:r>
      <w:r w:rsidRPr="0089450B">
        <w:rPr>
          <w:rtl/>
        </w:rPr>
        <w:t>2014</w:t>
      </w:r>
      <w:r>
        <w:rPr>
          <w:rtl/>
        </w:rPr>
        <w:t xml:space="preserve">، بين الساعة الخامسة والسابعة مساء. وكان الغرض من الاعتصام هو جذب انتباه المجتمع المدني إلى اليوم الدولي لحقوق الإنسان، والاحتجاج على انتهاكات حقوق الإنسان المرتكبة في بيلاروس. وذكر صاحب البلاغ في طلبه أن سبعة أشخاص تقريباً سيشاركون في الاعتصام الذي كان من المقرر أن يقام بالقرب من مبنى اللجنة التنفيذية في الساحة المركزية </w:t>
      </w:r>
      <w:proofErr w:type="spellStart"/>
      <w:r>
        <w:rPr>
          <w:rtl/>
        </w:rPr>
        <w:t>لصالحورسك</w:t>
      </w:r>
      <w:proofErr w:type="spellEnd"/>
      <w:r>
        <w:rPr>
          <w:rtl/>
        </w:rPr>
        <w:t>. وأشار أيضا إلى مصدر التمويل وطلب إلى السلطات المحلية ضمان الأمن والرعاية الطبية وترتيب خدمات التنظيف بعد الاعتصام.</w:t>
      </w:r>
    </w:p>
    <w:p w14:paraId="2F70CD35" w14:textId="77777777" w:rsidR="00D42B1B" w:rsidRDefault="00D42B1B" w:rsidP="00D42B1B">
      <w:pPr>
        <w:pStyle w:val="SingleTxtGA"/>
        <w:rPr>
          <w:rtl/>
        </w:rPr>
      </w:pPr>
      <w:r w:rsidRPr="0089450B">
        <w:rPr>
          <w:rtl/>
        </w:rPr>
        <w:t>2</w:t>
      </w:r>
      <w:r>
        <w:rPr>
          <w:rtl/>
        </w:rPr>
        <w:t>-</w:t>
      </w:r>
      <w:r w:rsidRPr="0089450B">
        <w:rPr>
          <w:rtl/>
        </w:rPr>
        <w:t>2</w:t>
      </w:r>
      <w:r>
        <w:rPr>
          <w:rtl/>
        </w:rPr>
        <w:tab/>
        <w:t xml:space="preserve">وفي </w:t>
      </w:r>
      <w:r w:rsidRPr="0089450B">
        <w:rPr>
          <w:rtl/>
        </w:rPr>
        <w:t>1</w:t>
      </w:r>
      <w:r>
        <w:rPr>
          <w:rtl/>
        </w:rPr>
        <w:t xml:space="preserve"> كانون الأول/ديسمبر </w:t>
      </w:r>
      <w:r w:rsidRPr="0089450B">
        <w:rPr>
          <w:rtl/>
        </w:rPr>
        <w:t>2014</w:t>
      </w:r>
      <w:r>
        <w:rPr>
          <w:rtl/>
        </w:rPr>
        <w:t xml:space="preserve">، رفضت اللجنة التنفيذية طلب صاحب البلاغ على الأسس التالية: (أ) أن مكان الاعتصام لم يكن هو المكان المحدد لهذه الأحداث في قرارها رقم </w:t>
      </w:r>
      <w:r w:rsidRPr="0089450B">
        <w:rPr>
          <w:rtl/>
        </w:rPr>
        <w:t>700</w:t>
      </w:r>
      <w:r>
        <w:rPr>
          <w:rtl/>
        </w:rPr>
        <w:t xml:space="preserve"> المؤرخ </w:t>
      </w:r>
      <w:r w:rsidRPr="0089450B">
        <w:rPr>
          <w:rtl/>
        </w:rPr>
        <w:t>7</w:t>
      </w:r>
      <w:r>
        <w:rPr>
          <w:rtl/>
        </w:rPr>
        <w:t xml:space="preserve"> تشرين الأول/أكتوبر </w:t>
      </w:r>
      <w:r w:rsidRPr="0089450B">
        <w:rPr>
          <w:rtl/>
        </w:rPr>
        <w:t>2004</w:t>
      </w:r>
      <w:r>
        <w:rPr>
          <w:rtl/>
        </w:rPr>
        <w:t xml:space="preserve"> بشأن التدابير الرامية إلى تلافي وقوع حالات طوارئ وضمان سيادة القانون أثناء الأحداث الجماهيرية؛ (ب) لم يبين صاحب البلاغ التدابير المحددة التي كان يعتزم اتخاذها، بصفته منظماً، من أجل ضمان الأمن والنظام العام أثناء الاعتصام، على النحو المطلوب بموجب قرار اللجنة التنفيذية رقم </w:t>
      </w:r>
      <w:r w:rsidRPr="0089450B">
        <w:rPr>
          <w:rtl/>
        </w:rPr>
        <w:t>700</w:t>
      </w:r>
      <w:r>
        <w:rPr>
          <w:rtl/>
        </w:rPr>
        <w:t>.</w:t>
      </w:r>
    </w:p>
    <w:p w14:paraId="157D4299" w14:textId="77777777" w:rsidR="00D42B1B" w:rsidRDefault="00D42B1B" w:rsidP="00D42B1B">
      <w:pPr>
        <w:pStyle w:val="SingleTxtGA"/>
        <w:rPr>
          <w:rtl/>
        </w:rPr>
      </w:pPr>
      <w:r w:rsidRPr="0089450B">
        <w:rPr>
          <w:rtl/>
        </w:rPr>
        <w:t>2</w:t>
      </w:r>
      <w:r>
        <w:rPr>
          <w:rtl/>
        </w:rPr>
        <w:t>-</w:t>
      </w:r>
      <w:r w:rsidRPr="0089450B">
        <w:rPr>
          <w:rtl/>
        </w:rPr>
        <w:t>3</w:t>
      </w:r>
      <w:r>
        <w:rPr>
          <w:rtl/>
        </w:rPr>
        <w:tab/>
        <w:t xml:space="preserve">وفي </w:t>
      </w:r>
      <w:r w:rsidRPr="0089450B">
        <w:rPr>
          <w:rtl/>
        </w:rPr>
        <w:t>29</w:t>
      </w:r>
      <w:r>
        <w:rPr>
          <w:rtl/>
        </w:rPr>
        <w:t xml:space="preserve"> كانون الأول/ديسمبر </w:t>
      </w:r>
      <w:r w:rsidRPr="0089450B">
        <w:rPr>
          <w:rtl/>
        </w:rPr>
        <w:t>2014</w:t>
      </w:r>
      <w:r>
        <w:rPr>
          <w:rtl/>
        </w:rPr>
        <w:t xml:space="preserve">، طعن صاحب البلاغ في قرار اللجنة التنفيذية أمام محكمة </w:t>
      </w:r>
      <w:proofErr w:type="spellStart"/>
      <w:r>
        <w:rPr>
          <w:rtl/>
        </w:rPr>
        <w:t>صالحورسك</w:t>
      </w:r>
      <w:proofErr w:type="spellEnd"/>
      <w:r>
        <w:rPr>
          <w:rtl/>
        </w:rPr>
        <w:t xml:space="preserve"> المحلية، مدعياً أن حقه في حرية التعبير والتجمع السلمي يكفله دستور بيلاروس والمادتان </w:t>
      </w:r>
      <w:r w:rsidRPr="0089450B">
        <w:rPr>
          <w:rtl/>
        </w:rPr>
        <w:t>19</w:t>
      </w:r>
      <w:r>
        <w:rPr>
          <w:rtl/>
        </w:rPr>
        <w:t xml:space="preserve"> و</w:t>
      </w:r>
      <w:r w:rsidRPr="0089450B">
        <w:rPr>
          <w:rtl/>
        </w:rPr>
        <w:t>21</w:t>
      </w:r>
      <w:r>
        <w:rPr>
          <w:rtl/>
        </w:rPr>
        <w:t xml:space="preserve"> من العهد. وفي </w:t>
      </w:r>
      <w:r w:rsidRPr="0089450B">
        <w:rPr>
          <w:rtl/>
        </w:rPr>
        <w:t>26</w:t>
      </w:r>
      <w:r>
        <w:rPr>
          <w:rtl/>
        </w:rPr>
        <w:t xml:space="preserve"> كانون الثاني/يناير </w:t>
      </w:r>
      <w:r w:rsidRPr="0089450B">
        <w:rPr>
          <w:rtl/>
        </w:rPr>
        <w:t>2015</w:t>
      </w:r>
      <w:r>
        <w:rPr>
          <w:rtl/>
        </w:rPr>
        <w:t xml:space="preserve">، خلصت المحكمة إلى أن قرار اللجنة التنفيذية ممتثل لأحكام قانون المناسبات العامة ورفضت الطعن المقدم من صاحب البلاغ. </w:t>
      </w:r>
    </w:p>
    <w:p w14:paraId="0170A0FB" w14:textId="21D842D1" w:rsidR="00D42B1B" w:rsidRDefault="00D42B1B" w:rsidP="00D42B1B">
      <w:pPr>
        <w:pStyle w:val="SingleTxtGA"/>
        <w:rPr>
          <w:rtl/>
        </w:rPr>
      </w:pPr>
      <w:r w:rsidRPr="0089450B">
        <w:rPr>
          <w:rtl/>
        </w:rPr>
        <w:t>2</w:t>
      </w:r>
      <w:r>
        <w:rPr>
          <w:rtl/>
        </w:rPr>
        <w:t>-</w:t>
      </w:r>
      <w:r w:rsidRPr="0089450B">
        <w:rPr>
          <w:rtl/>
        </w:rPr>
        <w:t>4</w:t>
      </w:r>
      <w:r>
        <w:rPr>
          <w:rtl/>
        </w:rPr>
        <w:tab/>
        <w:t xml:space="preserve">وفي </w:t>
      </w:r>
      <w:r w:rsidRPr="0089450B">
        <w:rPr>
          <w:rtl/>
        </w:rPr>
        <w:t>12</w:t>
      </w:r>
      <w:r>
        <w:rPr>
          <w:rtl/>
        </w:rPr>
        <w:t xml:space="preserve"> شباط/فبراير </w:t>
      </w:r>
      <w:r w:rsidRPr="0089450B">
        <w:rPr>
          <w:rtl/>
        </w:rPr>
        <w:t>2015</w:t>
      </w:r>
      <w:r>
        <w:rPr>
          <w:rtl/>
        </w:rPr>
        <w:t xml:space="preserve">، قدم صاحب البلاغ طعناً بالنقض في قرار المحكمة المحلية لدى محكمة مينسك الإقليمية. وفي </w:t>
      </w:r>
      <w:r w:rsidRPr="0089450B">
        <w:rPr>
          <w:rtl/>
        </w:rPr>
        <w:t>12</w:t>
      </w:r>
      <w:r>
        <w:rPr>
          <w:rtl/>
        </w:rPr>
        <w:t xml:space="preserve"> آذار/مارس </w:t>
      </w:r>
      <w:r w:rsidRPr="0089450B">
        <w:rPr>
          <w:rtl/>
        </w:rPr>
        <w:t>2015</w:t>
      </w:r>
      <w:r>
        <w:rPr>
          <w:rtl/>
        </w:rPr>
        <w:t xml:space="preserve">، رفضت محكمة مينسك الإقليمية الطعن. ولم يقدم </w:t>
      </w:r>
      <w:r w:rsidRPr="00FC172F">
        <w:rPr>
          <w:spacing w:val="-4"/>
          <w:rtl/>
        </w:rPr>
        <w:t>صاحب البلاغ أي طعون أخرى بموجب إجراء المراجعة القضائية لأنه يرى أن ذلك لا يشكل سبيل انتصاف</w:t>
      </w:r>
      <w:r>
        <w:rPr>
          <w:rtl/>
        </w:rPr>
        <w:t xml:space="preserve"> فعالا</w:t>
      </w:r>
      <w:r w:rsidR="00FC172F">
        <w:rPr>
          <w:rFonts w:hint="cs"/>
          <w:rtl/>
        </w:rPr>
        <w:t>ً</w:t>
      </w:r>
      <w:r>
        <w:rPr>
          <w:rtl/>
        </w:rPr>
        <w:t>، بالنظر إلى الممارسة المحلية المتبعة في حالات مماثلة.</w:t>
      </w:r>
    </w:p>
    <w:p w14:paraId="58DC75E7" w14:textId="77777777" w:rsidR="00D42B1B" w:rsidRPr="0089450B" w:rsidRDefault="00D42B1B" w:rsidP="00D42B1B">
      <w:pPr>
        <w:pStyle w:val="H23GA"/>
        <w:rPr>
          <w:rtl/>
        </w:rPr>
      </w:pPr>
      <w:r w:rsidRPr="0089450B">
        <w:rPr>
          <w:rtl/>
        </w:rPr>
        <w:tab/>
      </w:r>
      <w:r w:rsidRPr="0089450B">
        <w:rPr>
          <w:rtl/>
        </w:rPr>
        <w:tab/>
        <w:t>الشكوى</w:t>
      </w:r>
    </w:p>
    <w:p w14:paraId="1CA40C04" w14:textId="77777777" w:rsidR="00D42B1B" w:rsidRDefault="00D42B1B" w:rsidP="00D42B1B">
      <w:pPr>
        <w:pStyle w:val="SingleTxtGA"/>
        <w:rPr>
          <w:rtl/>
        </w:rPr>
      </w:pPr>
      <w:r w:rsidRPr="0089450B">
        <w:rPr>
          <w:rtl/>
        </w:rPr>
        <w:t>3</w:t>
      </w:r>
      <w:r>
        <w:rPr>
          <w:rtl/>
        </w:rPr>
        <w:t>-</w:t>
      </w:r>
      <w:r>
        <w:rPr>
          <w:rtl/>
        </w:rPr>
        <w:tab/>
      </w:r>
      <w:r w:rsidRPr="00FC172F">
        <w:rPr>
          <w:spacing w:val="-4"/>
          <w:rtl/>
        </w:rPr>
        <w:t xml:space="preserve">يدعي صاحب البلاغ أن سلطات الدولة الطرف قيدت حقه في حرية التعبير، في انتهاك للمادة </w:t>
      </w:r>
      <w:r w:rsidRPr="0089450B">
        <w:rPr>
          <w:spacing w:val="-4"/>
          <w:rtl/>
        </w:rPr>
        <w:t>19</w:t>
      </w:r>
      <w:r w:rsidRPr="00FC172F">
        <w:rPr>
          <w:spacing w:val="-4"/>
          <w:rtl/>
        </w:rPr>
        <w:t xml:space="preserve"> من</w:t>
      </w:r>
      <w:r>
        <w:rPr>
          <w:rtl/>
        </w:rPr>
        <w:t xml:space="preserve"> العهد، وحقه في حرية التجمع، في انتهاك للمادة </w:t>
      </w:r>
      <w:r w:rsidRPr="0089450B">
        <w:rPr>
          <w:rtl/>
        </w:rPr>
        <w:t>21</w:t>
      </w:r>
      <w:r>
        <w:rPr>
          <w:rtl/>
        </w:rPr>
        <w:t>، برفضها دون مبرر السماح بالاعتصام. ويدعي صاحب البلاغ أن القيود التي فرضتها سلطات الدولة الطرف على ممارسة حقه في حرية التعبير وحرية التجمع لم تكن ضرورية من أجل الأمن القومي أو السلامة العامة أو النظام العام أو حماية الصحة العامة أو الأخلاق العامة أو حماية حقوق الآخرين وحرياتهم.</w:t>
      </w:r>
    </w:p>
    <w:p w14:paraId="5C6DC660" w14:textId="77777777" w:rsidR="00D42B1B" w:rsidRPr="0089450B" w:rsidRDefault="00D42B1B" w:rsidP="00D42B1B">
      <w:pPr>
        <w:pStyle w:val="H23GA"/>
        <w:rPr>
          <w:rtl/>
        </w:rPr>
      </w:pPr>
      <w:r w:rsidRPr="0089450B">
        <w:rPr>
          <w:rtl/>
        </w:rPr>
        <w:tab/>
      </w:r>
      <w:r w:rsidRPr="0089450B">
        <w:rPr>
          <w:rtl/>
        </w:rPr>
        <w:tab/>
        <w:t>ملاحظات الدولة الطرف بشأن مقبولية البلاغ وأسسه الموضوعية</w:t>
      </w:r>
    </w:p>
    <w:p w14:paraId="7A60314E" w14:textId="7658FE8A" w:rsidR="00D42B1B" w:rsidRDefault="00D42B1B" w:rsidP="00D42B1B">
      <w:pPr>
        <w:pStyle w:val="SingleTxtGA"/>
        <w:rPr>
          <w:rtl/>
        </w:rPr>
      </w:pPr>
      <w:r w:rsidRPr="0089450B">
        <w:rPr>
          <w:rtl/>
        </w:rPr>
        <w:t>4</w:t>
      </w:r>
      <w:r>
        <w:rPr>
          <w:rtl/>
        </w:rPr>
        <w:t>-</w:t>
      </w:r>
      <w:r w:rsidRPr="0089450B">
        <w:rPr>
          <w:rtl/>
        </w:rPr>
        <w:t>1</w:t>
      </w:r>
      <w:r>
        <w:rPr>
          <w:rtl/>
        </w:rPr>
        <w:tab/>
        <w:t xml:space="preserve">في مذكرة شفوية مؤرخة </w:t>
      </w:r>
      <w:r w:rsidRPr="0089450B">
        <w:rPr>
          <w:rtl/>
        </w:rPr>
        <w:t>24</w:t>
      </w:r>
      <w:r>
        <w:rPr>
          <w:rtl/>
        </w:rPr>
        <w:t xml:space="preserve"> شباط/فبراير </w:t>
      </w:r>
      <w:r w:rsidRPr="0089450B">
        <w:rPr>
          <w:rtl/>
        </w:rPr>
        <w:t>2016</w:t>
      </w:r>
      <w:r>
        <w:rPr>
          <w:rtl/>
        </w:rPr>
        <w:t xml:space="preserve">، قدمت الدولة الطرف ملاحظاتها بشأن مقبولية الشكوى وأسسها الموضوعية. وتلاحظ الدولة الطرف أن صاحب البلاغ لم يستنفد جميع سبل الانتصاف المحلية المتاحة، لأنه لم يقدم طلب مراجعة قضائية لدى المحكمة العليا أو مكتب المدعي العام. ولا توافق </w:t>
      </w:r>
      <w:r w:rsidRPr="00D051F5">
        <w:rPr>
          <w:spacing w:val="-4"/>
          <w:rtl/>
        </w:rPr>
        <w:t>الدولة الطرف على حجة صاحب البلاغ بأن إجراء المراجعة القضائية لا يشكل سبيل انتصاف فعالا</w:t>
      </w:r>
      <w:r w:rsidRPr="00D051F5">
        <w:rPr>
          <w:rFonts w:hint="cs"/>
          <w:spacing w:val="-4"/>
          <w:rtl/>
        </w:rPr>
        <w:t>ً</w:t>
      </w:r>
      <w:r w:rsidRPr="00D051F5">
        <w:rPr>
          <w:spacing w:val="-4"/>
          <w:rtl/>
        </w:rPr>
        <w:t>، وتلاحظ</w:t>
      </w:r>
      <w:r>
        <w:rPr>
          <w:rtl/>
        </w:rPr>
        <w:t xml:space="preserve"> </w:t>
      </w:r>
      <w:r w:rsidRPr="00D051F5">
        <w:rPr>
          <w:spacing w:val="-2"/>
          <w:rtl/>
        </w:rPr>
        <w:t xml:space="preserve">أن المحكمة العليا وافقت، في عام </w:t>
      </w:r>
      <w:r w:rsidRPr="0089450B">
        <w:rPr>
          <w:spacing w:val="-2"/>
          <w:rtl/>
        </w:rPr>
        <w:t>2015</w:t>
      </w:r>
      <w:r w:rsidRPr="00D051F5">
        <w:rPr>
          <w:spacing w:val="-2"/>
          <w:rtl/>
        </w:rPr>
        <w:t>، على إجراء مراجعة قضائية ل</w:t>
      </w:r>
      <w:r w:rsidRPr="00D051F5">
        <w:rPr>
          <w:rFonts w:hint="cs"/>
          <w:spacing w:val="-2"/>
          <w:rtl/>
        </w:rPr>
        <w:t>‍ </w:t>
      </w:r>
      <w:r w:rsidRPr="0089450B">
        <w:rPr>
          <w:spacing w:val="-2"/>
          <w:rtl/>
        </w:rPr>
        <w:t>192</w:t>
      </w:r>
      <w:r w:rsidRPr="00D051F5">
        <w:rPr>
          <w:spacing w:val="-2"/>
          <w:rtl/>
        </w:rPr>
        <w:t xml:space="preserve"> قضية من أصل </w:t>
      </w:r>
      <w:r w:rsidRPr="0089450B">
        <w:rPr>
          <w:spacing w:val="-2"/>
          <w:rtl/>
        </w:rPr>
        <w:t>197</w:t>
      </w:r>
      <w:r w:rsidRPr="00D051F5">
        <w:rPr>
          <w:spacing w:val="-2"/>
          <w:rtl/>
        </w:rPr>
        <w:t xml:space="preserve"> قضية</w:t>
      </w:r>
      <w:r>
        <w:rPr>
          <w:rtl/>
        </w:rPr>
        <w:t xml:space="preserve"> قُدم بشأنها طلب مراجعة.</w:t>
      </w:r>
    </w:p>
    <w:p w14:paraId="575074C5" w14:textId="77777777" w:rsidR="00D42B1B" w:rsidRDefault="00D42B1B" w:rsidP="00D42B1B">
      <w:pPr>
        <w:pStyle w:val="SingleTxtGA"/>
        <w:rPr>
          <w:rtl/>
        </w:rPr>
      </w:pPr>
      <w:r w:rsidRPr="0089450B">
        <w:rPr>
          <w:rtl/>
        </w:rPr>
        <w:lastRenderedPageBreak/>
        <w:t>4</w:t>
      </w:r>
      <w:r>
        <w:rPr>
          <w:rtl/>
        </w:rPr>
        <w:t>-</w:t>
      </w:r>
      <w:r w:rsidRPr="0089450B">
        <w:rPr>
          <w:rtl/>
        </w:rPr>
        <w:t>2</w:t>
      </w:r>
      <w:r>
        <w:rPr>
          <w:rtl/>
        </w:rPr>
        <w:tab/>
        <w:t xml:space="preserve">وتلاحظ الدولة الطرف أن ادعاءات صاحب البلاغ بانتهاك المادتين </w:t>
      </w:r>
      <w:r w:rsidRPr="0089450B">
        <w:rPr>
          <w:rtl/>
        </w:rPr>
        <w:t>19</w:t>
      </w:r>
      <w:r>
        <w:rPr>
          <w:rtl/>
        </w:rPr>
        <w:t xml:space="preserve"> و</w:t>
      </w:r>
      <w:r w:rsidRPr="0089450B">
        <w:rPr>
          <w:rtl/>
        </w:rPr>
        <w:t>21</w:t>
      </w:r>
      <w:r>
        <w:rPr>
          <w:rtl/>
        </w:rPr>
        <w:t xml:space="preserve"> لا أساس لها من الصحة. وفي </w:t>
      </w:r>
      <w:r w:rsidRPr="0089450B">
        <w:rPr>
          <w:rtl/>
        </w:rPr>
        <w:t>26</w:t>
      </w:r>
      <w:r>
        <w:rPr>
          <w:rtl/>
        </w:rPr>
        <w:t xml:space="preserve"> كانون الثاني/يناير </w:t>
      </w:r>
      <w:r w:rsidRPr="0089450B">
        <w:rPr>
          <w:rtl/>
        </w:rPr>
        <w:t>2015</w:t>
      </w:r>
      <w:r>
        <w:rPr>
          <w:rtl/>
        </w:rPr>
        <w:t xml:space="preserve"> و</w:t>
      </w:r>
      <w:r w:rsidRPr="0089450B">
        <w:rPr>
          <w:rtl/>
        </w:rPr>
        <w:t>12</w:t>
      </w:r>
      <w:r>
        <w:rPr>
          <w:rtl/>
        </w:rPr>
        <w:t xml:space="preserve"> آذار/مارس </w:t>
      </w:r>
      <w:r w:rsidRPr="0089450B">
        <w:rPr>
          <w:rtl/>
        </w:rPr>
        <w:t>2015</w:t>
      </w:r>
      <w:r>
        <w:rPr>
          <w:rtl/>
        </w:rPr>
        <w:t xml:space="preserve"> على التوالي، رُفض الطعنان اللذان </w:t>
      </w:r>
      <w:r w:rsidRPr="00D051F5">
        <w:rPr>
          <w:spacing w:val="-2"/>
          <w:rtl/>
        </w:rPr>
        <w:t xml:space="preserve">قدمهما صاحب البلاغ ضد قرار اللجنة التنفيذية أمام محكمة </w:t>
      </w:r>
      <w:proofErr w:type="spellStart"/>
      <w:r w:rsidRPr="00D051F5">
        <w:rPr>
          <w:spacing w:val="-2"/>
          <w:rtl/>
        </w:rPr>
        <w:t>صالحورسك</w:t>
      </w:r>
      <w:proofErr w:type="spellEnd"/>
      <w:r w:rsidRPr="00D051F5">
        <w:rPr>
          <w:spacing w:val="-2"/>
          <w:rtl/>
        </w:rPr>
        <w:t xml:space="preserve"> المحلية ومحكمة مينسك الإقليمية</w:t>
      </w:r>
      <w:r>
        <w:rPr>
          <w:rtl/>
        </w:rPr>
        <w:t xml:space="preserve">. وتوضح الدولة الطرف أن رفض اللجنة التنفيذية السماح لصاحب البلاغ بتنظيم اعتصام استند إلى قرارها </w:t>
      </w:r>
      <w:r w:rsidRPr="00D051F5">
        <w:rPr>
          <w:spacing w:val="-2"/>
          <w:rtl/>
        </w:rPr>
        <w:t xml:space="preserve">المؤرخ </w:t>
      </w:r>
      <w:r w:rsidRPr="0089450B">
        <w:rPr>
          <w:spacing w:val="-2"/>
          <w:rtl/>
        </w:rPr>
        <w:t>7</w:t>
      </w:r>
      <w:r w:rsidRPr="00D051F5">
        <w:rPr>
          <w:spacing w:val="-2"/>
          <w:rtl/>
        </w:rPr>
        <w:t xml:space="preserve"> تشرين الأول/أكتوبر </w:t>
      </w:r>
      <w:r w:rsidRPr="0089450B">
        <w:rPr>
          <w:spacing w:val="-2"/>
          <w:rtl/>
        </w:rPr>
        <w:t>2004</w:t>
      </w:r>
      <w:r w:rsidRPr="00D051F5">
        <w:rPr>
          <w:spacing w:val="-2"/>
          <w:rtl/>
        </w:rPr>
        <w:t>، الذي يضع قواعد تنظيم المناسبات الجماهيرية ويخصص منطقة لمثل</w:t>
      </w:r>
      <w:r>
        <w:rPr>
          <w:rtl/>
        </w:rPr>
        <w:t xml:space="preserve"> </w:t>
      </w:r>
      <w:r w:rsidRPr="00D051F5">
        <w:rPr>
          <w:spacing w:val="-2"/>
          <w:rtl/>
        </w:rPr>
        <w:t xml:space="preserve">هذه الأحداث في مدينة </w:t>
      </w:r>
      <w:proofErr w:type="spellStart"/>
      <w:r w:rsidRPr="00D051F5">
        <w:rPr>
          <w:spacing w:val="-2"/>
          <w:rtl/>
        </w:rPr>
        <w:t>صالحورسك</w:t>
      </w:r>
      <w:proofErr w:type="spellEnd"/>
      <w:r w:rsidRPr="00D051F5">
        <w:rPr>
          <w:spacing w:val="-2"/>
          <w:rtl/>
        </w:rPr>
        <w:t xml:space="preserve">. ويتوافق قرار اللجنة التنفيذية مع المادة </w:t>
      </w:r>
      <w:r w:rsidRPr="0089450B">
        <w:rPr>
          <w:spacing w:val="-2"/>
          <w:rtl/>
        </w:rPr>
        <w:t>9</w:t>
      </w:r>
      <w:r w:rsidRPr="00D051F5">
        <w:rPr>
          <w:spacing w:val="-2"/>
          <w:rtl/>
        </w:rPr>
        <w:t xml:space="preserve"> من قانون المناسبات العامة،</w:t>
      </w:r>
      <w:r>
        <w:rPr>
          <w:rtl/>
        </w:rPr>
        <w:t xml:space="preserve"> التي تسند بموجبها إلى السلطات التنفيذية المحلية صلاحيات تحديد مناطق خاصة للمناسبات الجماهيرية. </w:t>
      </w:r>
    </w:p>
    <w:p w14:paraId="449C9816" w14:textId="4B40A78D" w:rsidR="00D42B1B" w:rsidRDefault="00D42B1B" w:rsidP="00D42B1B">
      <w:pPr>
        <w:pStyle w:val="SingleTxtGA"/>
        <w:rPr>
          <w:rtl/>
        </w:rPr>
      </w:pPr>
      <w:r w:rsidRPr="0089450B">
        <w:rPr>
          <w:rtl/>
        </w:rPr>
        <w:t>4</w:t>
      </w:r>
      <w:r>
        <w:rPr>
          <w:rtl/>
        </w:rPr>
        <w:t>-</w:t>
      </w:r>
      <w:r w:rsidRPr="0089450B">
        <w:rPr>
          <w:rtl/>
        </w:rPr>
        <w:t>3</w:t>
      </w:r>
      <w:r>
        <w:rPr>
          <w:rtl/>
        </w:rPr>
        <w:tab/>
        <w:t xml:space="preserve">وتهدف أحكام قانون المناسبات العامة ووضع قواعد تنظيم الاجتماعات والتجمعات والمواكب والمظاهرات في الشوارع والاعتصامات وغيرها من المناسبات الجماهيرية في بيلاروس إلى تهيئة الظروف لإعمال الحقوق الدستورية للمواطنين وحرياتهم. وتعزز هذه الأحكام أيضا السلامة العامة والنظام خلال </w:t>
      </w:r>
      <w:r w:rsidRPr="00D051F5">
        <w:rPr>
          <w:spacing w:val="-2"/>
          <w:rtl/>
        </w:rPr>
        <w:t>الفعاليات الجماهيرية في الشوارع والساحات وغيرها من الأماكن العامة، وتزيد من المسؤولية الشخصية للمواطنين</w:t>
      </w:r>
      <w:r>
        <w:rPr>
          <w:rtl/>
        </w:rPr>
        <w:t xml:space="preserve"> المنظمين للمناسبات. وتؤكد الدولة الطرف أن صاحب البلاغ لم يمتثل لقانون المناسبات العامة، وانتهك المادتين </w:t>
      </w:r>
      <w:r w:rsidRPr="0089450B">
        <w:rPr>
          <w:rtl/>
        </w:rPr>
        <w:t>5</w:t>
      </w:r>
      <w:r>
        <w:rPr>
          <w:rtl/>
        </w:rPr>
        <w:t xml:space="preserve"> و</w:t>
      </w:r>
      <w:r w:rsidRPr="0089450B">
        <w:rPr>
          <w:rtl/>
        </w:rPr>
        <w:t>10</w:t>
      </w:r>
      <w:r>
        <w:rPr>
          <w:rtl/>
        </w:rPr>
        <w:t xml:space="preserve"> منه بعدم ذكر التدابير المحددة التي كان ينوي، بصفته منظما، اتخاذها لضمان </w:t>
      </w:r>
      <w:r w:rsidRPr="00D051F5">
        <w:rPr>
          <w:spacing w:val="-2"/>
          <w:rtl/>
        </w:rPr>
        <w:t xml:space="preserve">الأمن والنظام العام أثناء </w:t>
      </w:r>
      <w:proofErr w:type="gramStart"/>
      <w:r w:rsidRPr="00D051F5">
        <w:rPr>
          <w:spacing w:val="-2"/>
          <w:rtl/>
        </w:rPr>
        <w:t>الاعتصام</w:t>
      </w:r>
      <w:r w:rsidRPr="00D051F5">
        <w:rPr>
          <w:spacing w:val="-4"/>
          <w:vertAlign w:val="superscript"/>
          <w:rtl/>
        </w:rPr>
        <w:t>(</w:t>
      </w:r>
      <w:proofErr w:type="gramEnd"/>
      <w:r w:rsidRPr="0089450B">
        <w:rPr>
          <w:rStyle w:val="FootnoteReference"/>
          <w:spacing w:val="-4"/>
          <w:szCs w:val="22"/>
          <w:lang w:val="en-US"/>
        </w:rPr>
        <w:footnoteReference w:id="3"/>
      </w:r>
      <w:r w:rsidRPr="00D051F5">
        <w:rPr>
          <w:spacing w:val="-4"/>
          <w:vertAlign w:val="superscript"/>
          <w:rtl/>
        </w:rPr>
        <w:t>)</w:t>
      </w:r>
      <w:r w:rsidRPr="00D051F5">
        <w:rPr>
          <w:spacing w:val="-4"/>
          <w:rtl/>
        </w:rPr>
        <w:t>.</w:t>
      </w:r>
      <w:r w:rsidR="00D051F5" w:rsidRPr="00D051F5">
        <w:rPr>
          <w:spacing w:val="-4"/>
          <w:rtl/>
        </w:rPr>
        <w:t xml:space="preserve"> </w:t>
      </w:r>
      <w:r w:rsidRPr="00D051F5">
        <w:rPr>
          <w:spacing w:val="-4"/>
          <w:rtl/>
        </w:rPr>
        <w:t>ولذلك، تخلص الدولة الطرف إلى أن قرار المحاكم بتأييد رفض اللجنة</w:t>
      </w:r>
      <w:r>
        <w:rPr>
          <w:rtl/>
        </w:rPr>
        <w:t xml:space="preserve"> التنفيذية السماح بعقد الحدث جماهيري كان صائبا. </w:t>
      </w:r>
    </w:p>
    <w:p w14:paraId="46835AC2" w14:textId="77777777" w:rsidR="00D42B1B" w:rsidRDefault="00D42B1B" w:rsidP="00D42B1B">
      <w:pPr>
        <w:pStyle w:val="SingleTxtGA"/>
        <w:rPr>
          <w:rtl/>
        </w:rPr>
      </w:pPr>
      <w:r w:rsidRPr="0089450B">
        <w:rPr>
          <w:rtl/>
        </w:rPr>
        <w:t>4</w:t>
      </w:r>
      <w:r>
        <w:rPr>
          <w:rtl/>
        </w:rPr>
        <w:t>-</w:t>
      </w:r>
      <w:r w:rsidRPr="0089450B">
        <w:rPr>
          <w:rtl/>
        </w:rPr>
        <w:t>4</w:t>
      </w:r>
      <w:r>
        <w:rPr>
          <w:rtl/>
        </w:rPr>
        <w:tab/>
        <w:t xml:space="preserve">وترى الدولة الطرف أيضا أن التشريع الوطني الذي ينص على الحق في التجمع السلمي ويضع </w:t>
      </w:r>
      <w:r w:rsidRPr="00D051F5">
        <w:rPr>
          <w:spacing w:val="-4"/>
          <w:rtl/>
        </w:rPr>
        <w:t>القواعد التنظيمية للمناسبات الجماهيرية وإطارها الزمني متسق مع أحكام الدستور، ولا يتعارض مع المعايير</w:t>
      </w:r>
      <w:r>
        <w:rPr>
          <w:rtl/>
        </w:rPr>
        <w:t xml:space="preserve"> </w:t>
      </w:r>
      <w:r w:rsidRPr="00D051F5">
        <w:rPr>
          <w:spacing w:val="-4"/>
          <w:rtl/>
        </w:rPr>
        <w:t>الدولية التي تسمح لكل دولة بفرض ما هو ضروري في المجتمعات الديمقراطية من قيود على ممارسة الحقوق</w:t>
      </w:r>
      <w:r>
        <w:rPr>
          <w:rtl/>
        </w:rPr>
        <w:t xml:space="preserve"> والحريات، من أجل ضمان الأمن الوطني أو السلامة العامة، او النظام العام أو من أجل حماية الصحة العامة أو الأخلاق العامة أو حماية حقوق الآخرين وحرياتهم. </w:t>
      </w:r>
    </w:p>
    <w:p w14:paraId="383DAB5B" w14:textId="77777777" w:rsidR="00D42B1B" w:rsidRPr="0089450B" w:rsidRDefault="00D42B1B" w:rsidP="00D42B1B">
      <w:pPr>
        <w:pStyle w:val="H23GA"/>
        <w:rPr>
          <w:rtl/>
        </w:rPr>
      </w:pPr>
      <w:r w:rsidRPr="0089450B">
        <w:rPr>
          <w:rtl/>
        </w:rPr>
        <w:tab/>
      </w:r>
      <w:r w:rsidRPr="0089450B">
        <w:rPr>
          <w:rtl/>
        </w:rPr>
        <w:tab/>
        <w:t>تعليقات صاحب البلاغ على ملاحظات الدولة الطرف بشأن المقبولية والأسس الموضوعية</w:t>
      </w:r>
    </w:p>
    <w:p w14:paraId="30E38499" w14:textId="375E7C09" w:rsidR="00D42B1B" w:rsidRDefault="00D42B1B" w:rsidP="00D42B1B">
      <w:pPr>
        <w:pStyle w:val="SingleTxtGA"/>
        <w:rPr>
          <w:rtl/>
        </w:rPr>
      </w:pPr>
      <w:r w:rsidRPr="0089450B">
        <w:rPr>
          <w:rtl/>
        </w:rPr>
        <w:t>5</w:t>
      </w:r>
      <w:r>
        <w:rPr>
          <w:rtl/>
        </w:rPr>
        <w:t>-</w:t>
      </w:r>
      <w:r w:rsidRPr="0089450B">
        <w:rPr>
          <w:rtl/>
        </w:rPr>
        <w:t>1</w:t>
      </w:r>
      <w:r>
        <w:rPr>
          <w:rtl/>
        </w:rPr>
        <w:tab/>
        <w:t xml:space="preserve">في </w:t>
      </w:r>
      <w:r w:rsidRPr="0089450B">
        <w:rPr>
          <w:rtl/>
        </w:rPr>
        <w:t>14</w:t>
      </w:r>
      <w:r>
        <w:rPr>
          <w:rtl/>
        </w:rPr>
        <w:t xml:space="preserve"> آذار/مارس </w:t>
      </w:r>
      <w:r w:rsidRPr="0089450B">
        <w:rPr>
          <w:rtl/>
        </w:rPr>
        <w:t>2016</w:t>
      </w:r>
      <w:r>
        <w:rPr>
          <w:rtl/>
        </w:rPr>
        <w:t xml:space="preserve">، وبالإشارة إلى ملاحظات الدولة الطرف بأن قانون المناسبات العامة يهدف إلى تهيئة الظروف لإعمال حق المواطنين في التجمع السلمي، يلفت صاحب البلاغ الانتباه إلى السوابق القضائية للجنة ويلاحظ أن القيود المفروضة على حريته في التجمع تستند إلى أحكام القانون المحلي وتشمل الشروط المرهقة المتمثلة في الحصول على ثلاثة تصاريح خطية من ثلاث جهات إدارية مختلفة، مما يجعل حقه في التظاهر </w:t>
      </w:r>
      <w:proofErr w:type="gramStart"/>
      <w:r>
        <w:rPr>
          <w:rtl/>
        </w:rPr>
        <w:t>وهميا</w:t>
      </w:r>
      <w:r w:rsidRPr="00D42B1B">
        <w:rPr>
          <w:vertAlign w:val="superscript"/>
          <w:rtl/>
        </w:rPr>
        <w:t>(</w:t>
      </w:r>
      <w:proofErr w:type="gramEnd"/>
      <w:r w:rsidRPr="0089450B">
        <w:rPr>
          <w:rStyle w:val="FootnoteReference"/>
          <w:szCs w:val="22"/>
          <w:lang w:val="en-US"/>
        </w:rPr>
        <w:footnoteReference w:id="4"/>
      </w:r>
      <w:r w:rsidRPr="00D42B1B">
        <w:rPr>
          <w:vertAlign w:val="superscript"/>
          <w:rtl/>
        </w:rPr>
        <w:t>)</w:t>
      </w:r>
      <w:r>
        <w:rPr>
          <w:rtl/>
        </w:rPr>
        <w:t xml:space="preserve">. </w:t>
      </w:r>
    </w:p>
    <w:p w14:paraId="2362A073" w14:textId="49FFA169" w:rsidR="00D42B1B" w:rsidRDefault="00D42B1B" w:rsidP="00D42B1B">
      <w:pPr>
        <w:pStyle w:val="SingleTxtGA"/>
        <w:rPr>
          <w:rtl/>
        </w:rPr>
      </w:pPr>
      <w:r w:rsidRPr="0089450B">
        <w:rPr>
          <w:rtl/>
        </w:rPr>
        <w:t>5</w:t>
      </w:r>
      <w:r>
        <w:rPr>
          <w:rtl/>
        </w:rPr>
        <w:t>-</w:t>
      </w:r>
      <w:r w:rsidRPr="0089450B">
        <w:rPr>
          <w:rtl/>
        </w:rPr>
        <w:t>2</w:t>
      </w:r>
      <w:r>
        <w:rPr>
          <w:rtl/>
        </w:rPr>
        <w:tab/>
        <w:t xml:space="preserve">ويشير صاحب البلاغ كذلك إلى السوابق القضائية للجنة التي ذكرت فيها أنه عندما تفرض دولة طرف قيودا بهدف التوفيق بين حق الفرد في التجمع والصالح العام، ينبغي أن تسترشد بهدف تيسير هذا الحق، بدلا من السعي إلى فرض قيود غير ضرورية أو غير متناسبة عليه. ويجب أن يمتثل أي قيد على ممارسة الحق في حرية التجمع امتثالا صارما لمعياري الضرورة </w:t>
      </w:r>
      <w:proofErr w:type="gramStart"/>
      <w:r>
        <w:rPr>
          <w:rtl/>
        </w:rPr>
        <w:t>والتناسب</w:t>
      </w:r>
      <w:r w:rsidRPr="00D42B1B">
        <w:rPr>
          <w:vertAlign w:val="superscript"/>
          <w:rtl/>
        </w:rPr>
        <w:t>(</w:t>
      </w:r>
      <w:proofErr w:type="gramEnd"/>
      <w:r w:rsidRPr="0089450B">
        <w:rPr>
          <w:rStyle w:val="FootnoteReference"/>
          <w:szCs w:val="22"/>
          <w:lang w:val="en-US"/>
        </w:rPr>
        <w:footnoteReference w:id="5"/>
      </w:r>
      <w:r w:rsidRPr="00D42B1B">
        <w:rPr>
          <w:vertAlign w:val="superscript"/>
          <w:rtl/>
        </w:rPr>
        <w:t>)</w:t>
      </w:r>
      <w:r>
        <w:rPr>
          <w:rtl/>
        </w:rPr>
        <w:t xml:space="preserve">. </w:t>
      </w:r>
    </w:p>
    <w:p w14:paraId="19B21E77" w14:textId="77777777" w:rsidR="00D42B1B" w:rsidRDefault="00D42B1B" w:rsidP="00D051F5">
      <w:pPr>
        <w:pStyle w:val="SingleTxtGA"/>
        <w:spacing w:line="350" w:lineRule="exact"/>
        <w:rPr>
          <w:rtl/>
        </w:rPr>
      </w:pPr>
      <w:r w:rsidRPr="0089450B">
        <w:rPr>
          <w:rtl/>
        </w:rPr>
        <w:lastRenderedPageBreak/>
        <w:t>5</w:t>
      </w:r>
      <w:r>
        <w:rPr>
          <w:rtl/>
        </w:rPr>
        <w:t>-</w:t>
      </w:r>
      <w:r w:rsidRPr="0089450B">
        <w:rPr>
          <w:rtl/>
        </w:rPr>
        <w:t>3</w:t>
      </w:r>
      <w:r>
        <w:rPr>
          <w:rtl/>
        </w:rPr>
        <w:tab/>
        <w:t xml:space="preserve">ويؤكد صاحب البلاغ أن سبل الانتصاف المحلية ينبغي ألا تكون متاحة فحسب، بل ينبغي أن تكون فعالة أيضا. وبالإشارة إلى الاجتهادات السابقة للجنة، يفيد صاحب البلاغ بأن طلب الاستئناف في إطار إجراء المراجعة القضائية الرقابية لا يشكل سبيل انتصاف فعالاً. ويضيف أن هذا الإجراء يخضع </w:t>
      </w:r>
      <w:r w:rsidRPr="00D051F5">
        <w:rPr>
          <w:spacing w:val="-2"/>
          <w:rtl/>
        </w:rPr>
        <w:t>للسلطة التقديرية للمدعي العام أو القاضي ولا يمثل نظراً في القضية من حيث أسسها الموضوعية. ويخلص</w:t>
      </w:r>
      <w:r>
        <w:rPr>
          <w:rtl/>
        </w:rPr>
        <w:t xml:space="preserve"> إلى أن جميع سبل الانتصاف المحلية المتاحة والفعالة تكون بذلك قد استُنفدت في قضيته.</w:t>
      </w:r>
    </w:p>
    <w:p w14:paraId="61478808" w14:textId="77777777" w:rsidR="00D42B1B" w:rsidRDefault="00D42B1B" w:rsidP="00D051F5">
      <w:pPr>
        <w:pStyle w:val="SingleTxtGA"/>
        <w:spacing w:line="350" w:lineRule="exact"/>
        <w:rPr>
          <w:rtl/>
        </w:rPr>
      </w:pPr>
      <w:r w:rsidRPr="0089450B">
        <w:rPr>
          <w:rtl/>
        </w:rPr>
        <w:t>5</w:t>
      </w:r>
      <w:r>
        <w:rPr>
          <w:rtl/>
        </w:rPr>
        <w:t>-</w:t>
      </w:r>
      <w:r w:rsidRPr="0089450B">
        <w:rPr>
          <w:rtl/>
        </w:rPr>
        <w:t>4</w:t>
      </w:r>
      <w:r>
        <w:rPr>
          <w:rtl/>
        </w:rPr>
        <w:tab/>
        <w:t>وفيما يتعلق بالإحصاءات التي قدمتها الدولة الطرف بشأن عدد الحالات التي استعرضت في إطار إجراء المراجعة القضائية، يعتقد صاحب البلاغ أن هذه الحجة لا أساس لها من الصحة لأن الدولة الطرف لم تحدد عدد الحالات المتصلة بحقوق المواطنين في حرية التجمع.</w:t>
      </w:r>
    </w:p>
    <w:p w14:paraId="103A7BB8" w14:textId="77777777" w:rsidR="00D42B1B" w:rsidRDefault="00D42B1B" w:rsidP="00D051F5">
      <w:pPr>
        <w:pStyle w:val="SingleTxtGA"/>
        <w:spacing w:line="350" w:lineRule="exact"/>
        <w:rPr>
          <w:rtl/>
        </w:rPr>
      </w:pPr>
      <w:r w:rsidRPr="0089450B">
        <w:rPr>
          <w:rtl/>
        </w:rPr>
        <w:t>5</w:t>
      </w:r>
      <w:r>
        <w:rPr>
          <w:rtl/>
        </w:rPr>
        <w:t>-</w:t>
      </w:r>
      <w:r w:rsidRPr="0089450B">
        <w:rPr>
          <w:rtl/>
        </w:rPr>
        <w:t>5</w:t>
      </w:r>
      <w:r>
        <w:rPr>
          <w:rtl/>
        </w:rPr>
        <w:tab/>
      </w:r>
      <w:r w:rsidRPr="00D051F5">
        <w:rPr>
          <w:spacing w:val="-2"/>
          <w:rtl/>
        </w:rPr>
        <w:t>ويؤكد صاحب البلاغ أن جميع سبل الانتصاف المحلية المتاحة والفعالة قد استنفدت وأن القضية</w:t>
      </w:r>
      <w:r>
        <w:rPr>
          <w:rtl/>
        </w:rPr>
        <w:t xml:space="preserve"> الراهنة مقبولة لكي تنظر فيها اللجنة بموجب المادة </w:t>
      </w:r>
      <w:r w:rsidRPr="0089450B">
        <w:rPr>
          <w:rtl/>
        </w:rPr>
        <w:t>5</w:t>
      </w:r>
      <w:r>
        <w:rPr>
          <w:rtl/>
        </w:rPr>
        <w:t xml:space="preserve"> (</w:t>
      </w:r>
      <w:r w:rsidRPr="0089450B">
        <w:rPr>
          <w:rtl/>
        </w:rPr>
        <w:t>2</w:t>
      </w:r>
      <w:r>
        <w:rPr>
          <w:rtl/>
        </w:rPr>
        <w:t>) (ب) من البروتوكول الاختياري.</w:t>
      </w:r>
    </w:p>
    <w:p w14:paraId="2EA8E908" w14:textId="28027FAA" w:rsidR="00D42B1B" w:rsidRPr="0089450B" w:rsidRDefault="00D42B1B" w:rsidP="00D051F5">
      <w:pPr>
        <w:pStyle w:val="H23GA"/>
        <w:rPr>
          <w:rtl/>
        </w:rPr>
      </w:pPr>
      <w:r w:rsidRPr="0089450B">
        <w:rPr>
          <w:rtl/>
        </w:rPr>
        <w:tab/>
      </w:r>
      <w:r w:rsidRPr="0089450B">
        <w:rPr>
          <w:rtl/>
        </w:rPr>
        <w:tab/>
        <w:t>القضايا والإجراءات المعروضة على اللجنة</w:t>
      </w:r>
    </w:p>
    <w:p w14:paraId="2100B1AC" w14:textId="77777777" w:rsidR="00D42B1B" w:rsidRPr="0089450B" w:rsidRDefault="00D42B1B" w:rsidP="00D051F5">
      <w:pPr>
        <w:pStyle w:val="H4GA"/>
        <w:rPr>
          <w:rtl/>
        </w:rPr>
      </w:pPr>
      <w:r w:rsidRPr="0089450B">
        <w:rPr>
          <w:rtl/>
        </w:rPr>
        <w:tab/>
      </w:r>
      <w:r w:rsidRPr="0089450B">
        <w:rPr>
          <w:rtl/>
        </w:rPr>
        <w:tab/>
        <w:t>النظر في المقبولية</w:t>
      </w:r>
    </w:p>
    <w:p w14:paraId="32ACDE30" w14:textId="77777777" w:rsidR="00D42B1B" w:rsidRDefault="00D42B1B" w:rsidP="00D051F5">
      <w:pPr>
        <w:pStyle w:val="SingleTxtGA"/>
        <w:spacing w:line="350" w:lineRule="exact"/>
        <w:rPr>
          <w:rtl/>
        </w:rPr>
      </w:pPr>
      <w:r w:rsidRPr="0089450B">
        <w:rPr>
          <w:rtl/>
        </w:rPr>
        <w:t>6</w:t>
      </w:r>
      <w:r>
        <w:rPr>
          <w:rtl/>
        </w:rPr>
        <w:t>-</w:t>
      </w:r>
      <w:r w:rsidRPr="0089450B">
        <w:rPr>
          <w:rtl/>
        </w:rPr>
        <w:t>1</w:t>
      </w:r>
      <w:r>
        <w:rPr>
          <w:rtl/>
        </w:rPr>
        <w:tab/>
        <w:t xml:space="preserve">قبل النظر في أي ادعاء يرد في بلاغ ما، يجب على اللجنة أن تقرر، وفقاً للمادة </w:t>
      </w:r>
      <w:r w:rsidRPr="0089450B">
        <w:rPr>
          <w:rtl/>
        </w:rPr>
        <w:t>97</w:t>
      </w:r>
      <w:r>
        <w:rPr>
          <w:rtl/>
        </w:rPr>
        <w:t xml:space="preserve"> من نظامها الداخلي، ما إذا كان البلاغ مقبولاً أم لا بموجب البروتوكول الاختياري.</w:t>
      </w:r>
    </w:p>
    <w:p w14:paraId="2CD4B4F3" w14:textId="77777777" w:rsidR="00D42B1B" w:rsidRDefault="00D42B1B" w:rsidP="00D051F5">
      <w:pPr>
        <w:pStyle w:val="SingleTxtGA"/>
        <w:spacing w:line="350" w:lineRule="exact"/>
        <w:rPr>
          <w:rtl/>
        </w:rPr>
      </w:pPr>
      <w:r w:rsidRPr="0089450B">
        <w:rPr>
          <w:rtl/>
        </w:rPr>
        <w:t>6</w:t>
      </w:r>
      <w:r>
        <w:rPr>
          <w:rtl/>
        </w:rPr>
        <w:t>-</w:t>
      </w:r>
      <w:r w:rsidRPr="0089450B">
        <w:rPr>
          <w:rtl/>
        </w:rPr>
        <w:t>2</w:t>
      </w:r>
      <w:r>
        <w:rPr>
          <w:rtl/>
        </w:rPr>
        <w:tab/>
        <w:t xml:space="preserve">وقد تأكدت اللجنة، وفقاً لما تنص عليه المادة </w:t>
      </w:r>
      <w:r w:rsidRPr="0089450B">
        <w:rPr>
          <w:rtl/>
        </w:rPr>
        <w:t>5</w:t>
      </w:r>
      <w:r>
        <w:rPr>
          <w:rtl/>
        </w:rPr>
        <w:t>(</w:t>
      </w:r>
      <w:r w:rsidRPr="0089450B">
        <w:rPr>
          <w:rtl/>
        </w:rPr>
        <w:t>2</w:t>
      </w:r>
      <w:r>
        <w:rPr>
          <w:rtl/>
        </w:rPr>
        <w:t>)(أ) من البروتوكول الاختياري، من أن المسألة نفسها ليست قيد النظر في إطار إجراء آخر من إجراءات التحقيق الدولي أو التسوية الدولية.</w:t>
      </w:r>
    </w:p>
    <w:p w14:paraId="772E9C20" w14:textId="6EB14336" w:rsidR="00D42B1B" w:rsidRDefault="00D42B1B" w:rsidP="00D051F5">
      <w:pPr>
        <w:pStyle w:val="SingleTxtGA"/>
        <w:spacing w:line="350" w:lineRule="exact"/>
        <w:rPr>
          <w:rtl/>
        </w:rPr>
      </w:pPr>
      <w:r w:rsidRPr="0089450B">
        <w:rPr>
          <w:rtl/>
        </w:rPr>
        <w:t>6</w:t>
      </w:r>
      <w:r>
        <w:rPr>
          <w:rtl/>
        </w:rPr>
        <w:t>-</w:t>
      </w:r>
      <w:r w:rsidRPr="0089450B">
        <w:rPr>
          <w:rtl/>
        </w:rPr>
        <w:t>3</w:t>
      </w:r>
      <w:r>
        <w:rPr>
          <w:rtl/>
        </w:rPr>
        <w:tab/>
        <w:t xml:space="preserve">وتلاحظ اللجنة حجة الدولة الطرف بأن صاحب البلاغ لم يستنفد جميع سبل الانتصاف المحلية. وتلاحظ أن سبيل الانتصاف الوحيد الذي كان متاحا لصاحب البلاغ بعد رفض محكمة مينسك الإقليمية </w:t>
      </w:r>
      <w:r w:rsidRPr="00FC172F">
        <w:rPr>
          <w:spacing w:val="-4"/>
          <w:rtl/>
        </w:rPr>
        <w:t>الاستئناف الذي قدمه هو تقديم استئناف في إطار إجراء المراجعة القضائية إلى مكتب المدعي العام أو المحكمة</w:t>
      </w:r>
      <w:r>
        <w:rPr>
          <w:rtl/>
        </w:rPr>
        <w:t xml:space="preserve"> العليا. وفي هذا السياق، تذكّر اللجنة باجتهاداتها السابقة التي تفيد بأن تقديم التماس لمكتب المدعي العام من أجل طلب مراجعة قرارات محكمة دخلت حيز النفاذ لا يشكل سبيل انتصاف يتعين استنفاده لأغراض المادة </w:t>
      </w:r>
      <w:r w:rsidRPr="0089450B">
        <w:rPr>
          <w:rtl/>
        </w:rPr>
        <w:t>5</w:t>
      </w:r>
      <w:r>
        <w:rPr>
          <w:rtl/>
        </w:rPr>
        <w:t>(</w:t>
      </w:r>
      <w:r w:rsidRPr="0089450B">
        <w:rPr>
          <w:rtl/>
        </w:rPr>
        <w:t>2</w:t>
      </w:r>
      <w:r>
        <w:rPr>
          <w:rtl/>
        </w:rPr>
        <w:t xml:space="preserve">)(ب) من البروتوكول </w:t>
      </w:r>
      <w:proofErr w:type="gramStart"/>
      <w:r>
        <w:rPr>
          <w:rtl/>
        </w:rPr>
        <w:t>الاختياري</w:t>
      </w:r>
      <w:r w:rsidRPr="00D42B1B">
        <w:rPr>
          <w:vertAlign w:val="superscript"/>
          <w:rtl/>
        </w:rPr>
        <w:t>(</w:t>
      </w:r>
      <w:proofErr w:type="gramEnd"/>
      <w:r w:rsidRPr="0089450B">
        <w:rPr>
          <w:rStyle w:val="FootnoteReference"/>
          <w:szCs w:val="22"/>
          <w:lang w:val="en-US"/>
        </w:rPr>
        <w:footnoteReference w:id="6"/>
      </w:r>
      <w:r w:rsidRPr="00D42B1B">
        <w:rPr>
          <w:vertAlign w:val="superscript"/>
          <w:rtl/>
        </w:rPr>
        <w:t>)</w:t>
      </w:r>
      <w:r>
        <w:rPr>
          <w:rtl/>
        </w:rPr>
        <w:t>.</w:t>
      </w:r>
      <w:r w:rsidR="00D051F5">
        <w:rPr>
          <w:rtl/>
        </w:rPr>
        <w:t xml:space="preserve"> </w:t>
      </w:r>
      <w:r>
        <w:rPr>
          <w:rtl/>
        </w:rPr>
        <w:t xml:space="preserve">وترى اللجنة أيضاً أن تقديم طلبات إلى رئيس إحدى المحاكم لإجراء مراجعة قضائية لقرارات المحاكم التي دخلت حيز النفاذ وتخضع للسلطة التقديرية للقاضي يشكل سبيل انتصاف استثنائيا، وأن على الدولة الطرف أن تثبت وجود احتمال معقول في أن تتيح هذه الطلبات انتصافاً فعالاً في سياق ظروف القضية. وبما أن الدولة الطرف لم تفعل ذلك، ترى اللجنة أن الفقرة </w:t>
      </w:r>
      <w:r w:rsidRPr="0089450B">
        <w:rPr>
          <w:rtl/>
        </w:rPr>
        <w:t>2</w:t>
      </w:r>
      <w:r>
        <w:rPr>
          <w:rtl/>
        </w:rPr>
        <w:t xml:space="preserve">(ب) من المادة </w:t>
      </w:r>
      <w:r w:rsidRPr="0089450B">
        <w:rPr>
          <w:rtl/>
        </w:rPr>
        <w:t>5</w:t>
      </w:r>
      <w:r>
        <w:rPr>
          <w:rtl/>
        </w:rPr>
        <w:t xml:space="preserve"> من البروتوكول الاختياري لا تمنعها من النظر في هذا البلاغ. </w:t>
      </w:r>
    </w:p>
    <w:p w14:paraId="52286D43" w14:textId="5523FFCB" w:rsidR="00D42B1B" w:rsidRDefault="00D42B1B" w:rsidP="000931CD">
      <w:pPr>
        <w:pStyle w:val="SingleTxtGA"/>
        <w:rPr>
          <w:rtl/>
        </w:rPr>
      </w:pPr>
      <w:r w:rsidRPr="0089450B">
        <w:rPr>
          <w:rtl/>
        </w:rPr>
        <w:t>6</w:t>
      </w:r>
      <w:r>
        <w:rPr>
          <w:rtl/>
        </w:rPr>
        <w:t>-</w:t>
      </w:r>
      <w:r w:rsidRPr="0089450B">
        <w:rPr>
          <w:rtl/>
        </w:rPr>
        <w:t>4</w:t>
      </w:r>
      <w:r>
        <w:rPr>
          <w:rtl/>
        </w:rPr>
        <w:tab/>
        <w:t xml:space="preserve">وترى اللجنة أن صاحب البلاغ قدم ما يكفي من الأدلة على ادعائه الذي يندرج في إطار المادتين </w:t>
      </w:r>
      <w:r w:rsidRPr="0089450B">
        <w:rPr>
          <w:rtl/>
        </w:rPr>
        <w:t>19</w:t>
      </w:r>
      <w:r>
        <w:rPr>
          <w:rtl/>
        </w:rPr>
        <w:t>(</w:t>
      </w:r>
      <w:r w:rsidRPr="0089450B">
        <w:rPr>
          <w:rtl/>
        </w:rPr>
        <w:t>2</w:t>
      </w:r>
      <w:r>
        <w:rPr>
          <w:rtl/>
        </w:rPr>
        <w:t>) و</w:t>
      </w:r>
      <w:r w:rsidRPr="0089450B">
        <w:rPr>
          <w:rtl/>
        </w:rPr>
        <w:t>21</w:t>
      </w:r>
      <w:r>
        <w:rPr>
          <w:rtl/>
        </w:rPr>
        <w:t xml:space="preserve"> من العهد لأغراض المقبولية. ومن ثَمَّ، تعلن اللجنة أن البلاغ مقبول وتشرع في النظر في أسسه الموضوعية.</w:t>
      </w:r>
      <w:r w:rsidR="00D051F5">
        <w:rPr>
          <w:rtl/>
        </w:rPr>
        <w:t xml:space="preserve"> </w:t>
      </w:r>
    </w:p>
    <w:p w14:paraId="73F48412" w14:textId="297B79B0" w:rsidR="00D42B1B" w:rsidRPr="0089450B" w:rsidRDefault="00D42B1B" w:rsidP="00D051F5">
      <w:pPr>
        <w:pStyle w:val="H4GA"/>
        <w:spacing w:line="350" w:lineRule="exact"/>
        <w:rPr>
          <w:rtl/>
        </w:rPr>
      </w:pPr>
      <w:r w:rsidRPr="0089450B">
        <w:rPr>
          <w:rtl/>
        </w:rPr>
        <w:tab/>
      </w:r>
      <w:r w:rsidRPr="0089450B">
        <w:rPr>
          <w:rtl/>
        </w:rPr>
        <w:tab/>
        <w:t>النظر في الأسس الموضوعية</w:t>
      </w:r>
    </w:p>
    <w:p w14:paraId="067B937D" w14:textId="77777777" w:rsidR="00D42B1B" w:rsidRDefault="00D42B1B" w:rsidP="000931CD">
      <w:pPr>
        <w:pStyle w:val="SingleTxtGA"/>
        <w:rPr>
          <w:rtl/>
        </w:rPr>
      </w:pPr>
      <w:r w:rsidRPr="0089450B">
        <w:rPr>
          <w:rtl/>
        </w:rPr>
        <w:t>7</w:t>
      </w:r>
      <w:r>
        <w:rPr>
          <w:rtl/>
        </w:rPr>
        <w:t>-</w:t>
      </w:r>
      <w:r w:rsidRPr="0089450B">
        <w:rPr>
          <w:rtl/>
        </w:rPr>
        <w:t>1</w:t>
      </w:r>
      <w:r>
        <w:rPr>
          <w:rtl/>
        </w:rPr>
        <w:tab/>
        <w:t xml:space="preserve">نظرت اللجنة في البلاغ في ضوء جميع المعلومات التي أتاحها لها الطرفان، وفقاً للمادة </w:t>
      </w:r>
      <w:r w:rsidRPr="0089450B">
        <w:rPr>
          <w:rtl/>
        </w:rPr>
        <w:t>5</w:t>
      </w:r>
      <w:r>
        <w:rPr>
          <w:rtl/>
        </w:rPr>
        <w:t>(</w:t>
      </w:r>
      <w:r w:rsidRPr="0089450B">
        <w:rPr>
          <w:rtl/>
        </w:rPr>
        <w:t>1</w:t>
      </w:r>
      <w:r>
        <w:rPr>
          <w:rtl/>
        </w:rPr>
        <w:t>) من البروتوكول الاختياري.</w:t>
      </w:r>
    </w:p>
    <w:p w14:paraId="4DD5DA15" w14:textId="516FC5C4" w:rsidR="00D42B1B" w:rsidRDefault="00D42B1B" w:rsidP="00D42B1B">
      <w:pPr>
        <w:pStyle w:val="SingleTxtGA"/>
        <w:rPr>
          <w:rtl/>
        </w:rPr>
      </w:pPr>
      <w:r w:rsidRPr="0089450B">
        <w:rPr>
          <w:rtl/>
        </w:rPr>
        <w:lastRenderedPageBreak/>
        <w:t>7</w:t>
      </w:r>
      <w:r>
        <w:rPr>
          <w:rtl/>
        </w:rPr>
        <w:t>-</w:t>
      </w:r>
      <w:r w:rsidRPr="0089450B">
        <w:rPr>
          <w:rtl/>
        </w:rPr>
        <w:t>2</w:t>
      </w:r>
      <w:r>
        <w:rPr>
          <w:rtl/>
        </w:rPr>
        <w:tab/>
        <w:t xml:space="preserve">وتلاحظ اللجنة ادعاءات صاحب البلاغ بأن الدولة الطرف قيدت تعسفا حقوقه في حرية التعبير وحرية التجمع، في انتهاك للمادتين </w:t>
      </w:r>
      <w:r w:rsidRPr="0089450B">
        <w:rPr>
          <w:rtl/>
        </w:rPr>
        <w:t>19</w:t>
      </w:r>
      <w:r>
        <w:rPr>
          <w:rtl/>
        </w:rPr>
        <w:t>(</w:t>
      </w:r>
      <w:r w:rsidRPr="0089450B">
        <w:rPr>
          <w:rtl/>
        </w:rPr>
        <w:t>2</w:t>
      </w:r>
      <w:r>
        <w:rPr>
          <w:rtl/>
        </w:rPr>
        <w:t>) و</w:t>
      </w:r>
      <w:r w:rsidRPr="0089450B">
        <w:rPr>
          <w:rtl/>
        </w:rPr>
        <w:t>21</w:t>
      </w:r>
      <w:r>
        <w:rPr>
          <w:rtl/>
        </w:rPr>
        <w:t xml:space="preserve"> من العهد، برفضها الإذن بعقد تجمع سلمي - اعتصام </w:t>
      </w:r>
      <w:r w:rsidR="00FC172F">
        <w:rPr>
          <w:rFonts w:hint="cs"/>
          <w:rtl/>
        </w:rPr>
        <w:t>-</w:t>
      </w:r>
      <w:r>
        <w:rPr>
          <w:rtl/>
        </w:rPr>
        <w:t xml:space="preserve"> لجذب انتباه المجتمع المدني إلى اليوم الدولي لحقوق الإنسان، والاحتجاج على انتهاكات حقوق الإنسان </w:t>
      </w:r>
      <w:r w:rsidRPr="000931CD">
        <w:rPr>
          <w:spacing w:val="-2"/>
          <w:rtl/>
        </w:rPr>
        <w:t>المرتكبة في بيلاروس، وأن القيود المفروضة على ممارسة حقوقه ليست ضرورية للأمن القومي أو السلامة</w:t>
      </w:r>
      <w:r>
        <w:rPr>
          <w:rtl/>
        </w:rPr>
        <w:t xml:space="preserve"> العامة، أو النظام العام، أو حماية الصحة العامة أو الأخلاق العامة، أو حماية حقوق الآخرين وحرياتهم. وترى اللجنة أن القضية المعروضة عليها تتمثل في البت فيما إذا كان الحظر المفروض على صاحب البلاغ من قبل اللجنة التنفيذية لمقاطعة </w:t>
      </w:r>
      <w:proofErr w:type="spellStart"/>
      <w:r>
        <w:rPr>
          <w:rtl/>
        </w:rPr>
        <w:t>صالحورسك</w:t>
      </w:r>
      <w:proofErr w:type="spellEnd"/>
      <w:r>
        <w:rPr>
          <w:rtl/>
        </w:rPr>
        <w:t xml:space="preserve"> يشكل انتهاكا للمادتين </w:t>
      </w:r>
      <w:r w:rsidRPr="0089450B">
        <w:rPr>
          <w:rtl/>
        </w:rPr>
        <w:t>19</w:t>
      </w:r>
      <w:r>
        <w:rPr>
          <w:rtl/>
        </w:rPr>
        <w:t xml:space="preserve"> و</w:t>
      </w:r>
      <w:r w:rsidRPr="0089450B">
        <w:rPr>
          <w:rtl/>
        </w:rPr>
        <w:t>21</w:t>
      </w:r>
      <w:r>
        <w:rPr>
          <w:rtl/>
        </w:rPr>
        <w:t xml:space="preserve"> من العهد.</w:t>
      </w:r>
    </w:p>
    <w:p w14:paraId="201C2FE6" w14:textId="58406C14" w:rsidR="00D42B1B" w:rsidRDefault="00D42B1B" w:rsidP="00D42B1B">
      <w:pPr>
        <w:pStyle w:val="SingleTxtGA"/>
        <w:rPr>
          <w:rtl/>
        </w:rPr>
      </w:pPr>
      <w:r w:rsidRPr="0089450B">
        <w:rPr>
          <w:rtl/>
        </w:rPr>
        <w:t>7</w:t>
      </w:r>
      <w:r>
        <w:rPr>
          <w:rtl/>
        </w:rPr>
        <w:t>-</w:t>
      </w:r>
      <w:r w:rsidRPr="0089450B">
        <w:rPr>
          <w:rtl/>
        </w:rPr>
        <w:t>3</w:t>
      </w:r>
      <w:r>
        <w:rPr>
          <w:rtl/>
        </w:rPr>
        <w:tab/>
        <w:t xml:space="preserve">وتشير اللجنة إلى تعليقها العام رقم </w:t>
      </w:r>
      <w:r w:rsidRPr="0089450B">
        <w:rPr>
          <w:rtl/>
        </w:rPr>
        <w:t>34</w:t>
      </w:r>
      <w:r>
        <w:rPr>
          <w:rtl/>
        </w:rPr>
        <w:t>(</w:t>
      </w:r>
      <w:r w:rsidRPr="0089450B">
        <w:rPr>
          <w:rtl/>
        </w:rPr>
        <w:t>2011</w:t>
      </w:r>
      <w:r>
        <w:rPr>
          <w:rtl/>
        </w:rPr>
        <w:t xml:space="preserve">) بشأن حرية الرأي وحرية التعبير، الذي ذكرت </w:t>
      </w:r>
      <w:r w:rsidRPr="000931CD">
        <w:rPr>
          <w:spacing w:val="-2"/>
          <w:rtl/>
        </w:rPr>
        <w:t>فيه أن حرية الرأي وحرية التعبير شرطان لا غنى عنهما لتحقيق نماء الشخص نماءً تاماً، وأنه لا غنى عنهما</w:t>
      </w:r>
      <w:r>
        <w:rPr>
          <w:rtl/>
        </w:rPr>
        <w:t xml:space="preserve"> لأي مجتمع، وأنهما يشكلان ركيزة كل مجتمع حر </w:t>
      </w:r>
      <w:proofErr w:type="gramStart"/>
      <w:r>
        <w:rPr>
          <w:rtl/>
        </w:rPr>
        <w:t>وديمقراطي</w:t>
      </w:r>
      <w:r w:rsidRPr="00D42B1B">
        <w:rPr>
          <w:vertAlign w:val="superscript"/>
          <w:rtl/>
        </w:rPr>
        <w:t>(</w:t>
      </w:r>
      <w:proofErr w:type="gramEnd"/>
      <w:r w:rsidRPr="0089450B">
        <w:rPr>
          <w:rStyle w:val="FootnoteReference"/>
          <w:szCs w:val="22"/>
          <w:lang w:val="en-US"/>
        </w:rPr>
        <w:footnoteReference w:id="7"/>
      </w:r>
      <w:r w:rsidRPr="00D42B1B">
        <w:rPr>
          <w:vertAlign w:val="superscript"/>
          <w:rtl/>
        </w:rPr>
        <w:t>)</w:t>
      </w:r>
      <w:r>
        <w:rPr>
          <w:rtl/>
        </w:rPr>
        <w:t>.</w:t>
      </w:r>
      <w:r w:rsidR="00D051F5">
        <w:rPr>
          <w:rtl/>
        </w:rPr>
        <w:t xml:space="preserve"> </w:t>
      </w:r>
      <w:r>
        <w:rPr>
          <w:rtl/>
        </w:rPr>
        <w:t xml:space="preserve">وتشير اللجنة إلى أن المادة </w:t>
      </w:r>
      <w:r w:rsidRPr="0089450B">
        <w:rPr>
          <w:rtl/>
        </w:rPr>
        <w:t>19</w:t>
      </w:r>
      <w:r>
        <w:rPr>
          <w:rtl/>
        </w:rPr>
        <w:t>(</w:t>
      </w:r>
      <w:r w:rsidRPr="0089450B">
        <w:rPr>
          <w:rtl/>
        </w:rPr>
        <w:t>3</w:t>
      </w:r>
      <w:r>
        <w:rPr>
          <w:rtl/>
        </w:rPr>
        <w:t xml:space="preserve">) من </w:t>
      </w:r>
      <w:r w:rsidRPr="000931CD">
        <w:rPr>
          <w:spacing w:val="-2"/>
          <w:rtl/>
        </w:rPr>
        <w:t>العهد تجيز فرض بعض القيود على ممارسة الحق في حرية التعبير شريطة أن تقتصر على ما ينص عليه</w:t>
      </w:r>
      <w:r>
        <w:rPr>
          <w:rtl/>
        </w:rPr>
        <w:t xml:space="preserve"> </w:t>
      </w:r>
      <w:r w:rsidRPr="000931CD">
        <w:rPr>
          <w:spacing w:val="-4"/>
          <w:rtl/>
        </w:rPr>
        <w:t>القانون، وتكون ضرورية لاحترام حقوق الآخرين أو سمعتهم، ولحماية الأمن القومي أو النظام العام أو الصحة</w:t>
      </w:r>
      <w:r>
        <w:rPr>
          <w:rtl/>
        </w:rPr>
        <w:t xml:space="preserve"> </w:t>
      </w:r>
      <w:r w:rsidRPr="000931CD">
        <w:rPr>
          <w:spacing w:val="-4"/>
          <w:rtl/>
        </w:rPr>
        <w:t>العامة أو الآداب العامة. ويجب أن يمتثل أي قيد على ممارسة هذه الحريات امتثالا صارما لمعياري الضرورة</w:t>
      </w:r>
      <w:r>
        <w:rPr>
          <w:rtl/>
        </w:rPr>
        <w:t xml:space="preserve"> </w:t>
      </w:r>
      <w:r w:rsidRPr="000931CD">
        <w:rPr>
          <w:spacing w:val="-4"/>
          <w:rtl/>
        </w:rPr>
        <w:t>والتناسب. ولا يجوز فرض قيود إلا للأغراض التي وُضِعت من أجلها ويجب أن تتعلق القيود مباشرة بالحاجة</w:t>
      </w:r>
      <w:r>
        <w:rPr>
          <w:rtl/>
        </w:rPr>
        <w:t xml:space="preserve"> </w:t>
      </w:r>
      <w:r w:rsidRPr="000931CD">
        <w:rPr>
          <w:rtl/>
        </w:rPr>
        <w:t xml:space="preserve">المحددة التي اقتضت </w:t>
      </w:r>
      <w:proofErr w:type="gramStart"/>
      <w:r w:rsidRPr="000931CD">
        <w:rPr>
          <w:rtl/>
        </w:rPr>
        <w:t>فرضها</w:t>
      </w:r>
      <w:r w:rsidRPr="000931CD">
        <w:rPr>
          <w:vertAlign w:val="superscript"/>
          <w:rtl/>
        </w:rPr>
        <w:t>(</w:t>
      </w:r>
      <w:proofErr w:type="gramEnd"/>
      <w:r w:rsidRPr="0089450B">
        <w:rPr>
          <w:rStyle w:val="FootnoteReference"/>
          <w:szCs w:val="22"/>
          <w:lang w:val="en-US"/>
        </w:rPr>
        <w:footnoteReference w:id="8"/>
      </w:r>
      <w:r w:rsidRPr="000931CD">
        <w:rPr>
          <w:vertAlign w:val="superscript"/>
          <w:rtl/>
        </w:rPr>
        <w:t>)</w:t>
      </w:r>
      <w:r w:rsidRPr="000931CD">
        <w:rPr>
          <w:rtl/>
        </w:rPr>
        <w:t>.</w:t>
      </w:r>
      <w:r w:rsidR="00D051F5" w:rsidRPr="000931CD">
        <w:rPr>
          <w:rtl/>
        </w:rPr>
        <w:t xml:space="preserve"> </w:t>
      </w:r>
      <w:r w:rsidRPr="000931CD">
        <w:rPr>
          <w:rtl/>
        </w:rPr>
        <w:t>وتُذكّر اللجنة بأن الدولة الطرف هي التي يجب أن تُثبت وجه الضرورة والتناسب في القيود</w:t>
      </w:r>
      <w:r>
        <w:rPr>
          <w:rtl/>
        </w:rPr>
        <w:t xml:space="preserve"> المفروضة على حق صاحب البلاغ المكفول بموجب المادة </w:t>
      </w:r>
      <w:r w:rsidRPr="0089450B">
        <w:rPr>
          <w:rtl/>
        </w:rPr>
        <w:t>19</w:t>
      </w:r>
      <w:r>
        <w:rPr>
          <w:rtl/>
        </w:rPr>
        <w:t xml:space="preserve"> من </w:t>
      </w:r>
      <w:proofErr w:type="gramStart"/>
      <w:r>
        <w:rPr>
          <w:rtl/>
        </w:rPr>
        <w:t>العهد</w:t>
      </w:r>
      <w:r w:rsidRPr="00D42B1B">
        <w:rPr>
          <w:vertAlign w:val="superscript"/>
          <w:rtl/>
        </w:rPr>
        <w:t>(</w:t>
      </w:r>
      <w:proofErr w:type="gramEnd"/>
      <w:r w:rsidRPr="0089450B">
        <w:rPr>
          <w:rStyle w:val="FootnoteReference"/>
          <w:szCs w:val="22"/>
          <w:lang w:val="en-US"/>
        </w:rPr>
        <w:footnoteReference w:id="9"/>
      </w:r>
      <w:r w:rsidRPr="00D42B1B">
        <w:rPr>
          <w:vertAlign w:val="superscript"/>
          <w:rtl/>
        </w:rPr>
        <w:t>)</w:t>
      </w:r>
      <w:r>
        <w:rPr>
          <w:rtl/>
        </w:rPr>
        <w:t xml:space="preserve">. </w:t>
      </w:r>
    </w:p>
    <w:p w14:paraId="74663CFB" w14:textId="19FE1AC8" w:rsidR="00D42B1B" w:rsidRDefault="00D42B1B" w:rsidP="00D42B1B">
      <w:pPr>
        <w:pStyle w:val="SingleTxtGA"/>
        <w:rPr>
          <w:rtl/>
        </w:rPr>
      </w:pPr>
      <w:r w:rsidRPr="0089450B">
        <w:rPr>
          <w:rtl/>
        </w:rPr>
        <w:t>7</w:t>
      </w:r>
      <w:r>
        <w:rPr>
          <w:rtl/>
        </w:rPr>
        <w:t>-</w:t>
      </w:r>
      <w:r w:rsidRPr="0089450B">
        <w:rPr>
          <w:rtl/>
        </w:rPr>
        <w:t>4</w:t>
      </w:r>
      <w:r>
        <w:rPr>
          <w:rtl/>
        </w:rPr>
        <w:tab/>
        <w:t xml:space="preserve">وتلاحظ اللجنة ادعاء صاحب البلاغ بأن حقه في حرية التجمع بموجب المادة </w:t>
      </w:r>
      <w:r w:rsidRPr="0089450B">
        <w:rPr>
          <w:rtl/>
        </w:rPr>
        <w:t>21</w:t>
      </w:r>
      <w:r>
        <w:rPr>
          <w:rtl/>
        </w:rPr>
        <w:t xml:space="preserve"> من العهد قد </w:t>
      </w:r>
      <w:r w:rsidRPr="000931CD">
        <w:rPr>
          <w:spacing w:val="-4"/>
          <w:rtl/>
        </w:rPr>
        <w:t>انتهك أيضا برفض السلطات البلدية السماح له بإقامة الاعتصام على أساس أن المكان الذي اختاره لم يكن</w:t>
      </w:r>
      <w:r>
        <w:rPr>
          <w:rtl/>
        </w:rPr>
        <w:t xml:space="preserve"> من بين المواقع التي سمحت بها السلطات. وذكرت اللجنة، في تعليقها العام رقم </w:t>
      </w:r>
      <w:r w:rsidRPr="0089450B">
        <w:rPr>
          <w:rtl/>
        </w:rPr>
        <w:t>37</w:t>
      </w:r>
      <w:r>
        <w:rPr>
          <w:rtl/>
        </w:rPr>
        <w:t>(</w:t>
      </w:r>
      <w:r w:rsidRPr="0089450B">
        <w:rPr>
          <w:rtl/>
        </w:rPr>
        <w:t>2020</w:t>
      </w:r>
      <w:r>
        <w:rPr>
          <w:rtl/>
        </w:rPr>
        <w:t xml:space="preserve">) بشأن الحق في </w:t>
      </w:r>
      <w:r w:rsidRPr="000931CD">
        <w:rPr>
          <w:spacing w:val="-4"/>
          <w:rtl/>
        </w:rPr>
        <w:t>التجمع السلمي، أن التجمعات السلمية يمكن أن تعقد من حيث المبدأ في جميع الأماكن التي يمكن للجمهور</w:t>
      </w:r>
      <w:r>
        <w:rPr>
          <w:rtl/>
        </w:rPr>
        <w:t xml:space="preserve"> الوصول إليها أو التي ينبغي أن تتاح له إمكانية الوصول إليها، مثل الساحات العامة والشوارع. ولا ينبغي إبعاد التجمعات السلمية إلى مناطق نائية يتعذر فيها جذب اهتمام الفئات المستهدفة أو عامة الجمهور. </w:t>
      </w:r>
      <w:r w:rsidRPr="000931CD">
        <w:rPr>
          <w:spacing w:val="-4"/>
          <w:rtl/>
        </w:rPr>
        <w:t>وكقاعدة عامة، لا يمكن فرض حظر شامل على جميع التجمعات في العاصمة، أو في جميع الأماكن العامة</w:t>
      </w:r>
      <w:r>
        <w:rPr>
          <w:rtl/>
        </w:rPr>
        <w:t xml:space="preserve"> باستثناء موقع واحد محدد داخل المدينة، أو خارج وسط المدينة، أو في جميع شوارع المدينة. وبوجه عام، </w:t>
      </w:r>
      <w:r w:rsidRPr="000931CD">
        <w:rPr>
          <w:spacing w:val="-4"/>
          <w:rtl/>
        </w:rPr>
        <w:t xml:space="preserve">لا تتفق مع أحكام المادة </w:t>
      </w:r>
      <w:r w:rsidRPr="0089450B">
        <w:rPr>
          <w:spacing w:val="-4"/>
          <w:rtl/>
        </w:rPr>
        <w:t>21</w:t>
      </w:r>
      <w:r w:rsidRPr="000931CD">
        <w:rPr>
          <w:spacing w:val="-4"/>
          <w:rtl/>
        </w:rPr>
        <w:t xml:space="preserve"> من العهد الشروط التي تلزم منظمي التجمع السلمي أو المشاركين فيه إما بترتيب</w:t>
      </w:r>
      <w:r>
        <w:rPr>
          <w:rtl/>
        </w:rPr>
        <w:t xml:space="preserve"> ضبط النظام أو الأمن، أو المساعدة الطبية أو التنظيف، أو أي خدمات عامة أخرى مرتبطة بالتجمعات السلمية وإما بالمساهمة في دفع تكاليف </w:t>
      </w:r>
      <w:proofErr w:type="gramStart"/>
      <w:r>
        <w:rPr>
          <w:rtl/>
        </w:rPr>
        <w:t>ذلك</w:t>
      </w:r>
      <w:r w:rsidRPr="00D42B1B">
        <w:rPr>
          <w:vertAlign w:val="superscript"/>
          <w:rtl/>
        </w:rPr>
        <w:t>(</w:t>
      </w:r>
      <w:proofErr w:type="gramEnd"/>
      <w:r w:rsidRPr="0089450B">
        <w:rPr>
          <w:rStyle w:val="FootnoteReference"/>
          <w:szCs w:val="22"/>
          <w:lang w:val="en-US"/>
        </w:rPr>
        <w:footnoteReference w:id="10"/>
      </w:r>
      <w:r w:rsidRPr="00D42B1B">
        <w:rPr>
          <w:vertAlign w:val="superscript"/>
          <w:rtl/>
        </w:rPr>
        <w:t>)</w:t>
      </w:r>
      <w:r>
        <w:rPr>
          <w:rtl/>
        </w:rPr>
        <w:t xml:space="preserve">. </w:t>
      </w:r>
    </w:p>
    <w:p w14:paraId="113E4C64" w14:textId="0CC0D9E0" w:rsidR="00D42B1B" w:rsidRDefault="00D42B1B" w:rsidP="00D42B1B">
      <w:pPr>
        <w:pStyle w:val="SingleTxtGA"/>
        <w:rPr>
          <w:rtl/>
        </w:rPr>
      </w:pPr>
      <w:r w:rsidRPr="0089450B">
        <w:rPr>
          <w:rtl/>
        </w:rPr>
        <w:t>7</w:t>
      </w:r>
      <w:r>
        <w:rPr>
          <w:rtl/>
        </w:rPr>
        <w:t>-</w:t>
      </w:r>
      <w:r w:rsidRPr="0089450B">
        <w:rPr>
          <w:rtl/>
        </w:rPr>
        <w:t>5</w:t>
      </w:r>
      <w:r>
        <w:rPr>
          <w:rtl/>
        </w:rPr>
        <w:tab/>
      </w:r>
      <w:r w:rsidRPr="000931CD">
        <w:rPr>
          <w:spacing w:val="-4"/>
          <w:rtl/>
        </w:rPr>
        <w:t xml:space="preserve">وتشير اللجنة إلى أن الحق في التجمع السلمي، الذي تكفله المادة </w:t>
      </w:r>
      <w:r w:rsidRPr="0089450B">
        <w:rPr>
          <w:spacing w:val="-4"/>
          <w:rtl/>
        </w:rPr>
        <w:t>21</w:t>
      </w:r>
      <w:r w:rsidRPr="000931CD">
        <w:rPr>
          <w:spacing w:val="-4"/>
          <w:rtl/>
        </w:rPr>
        <w:t xml:space="preserve"> من العهد، هو حق أساسي</w:t>
      </w:r>
      <w:r>
        <w:rPr>
          <w:rtl/>
        </w:rPr>
        <w:t xml:space="preserve"> من </w:t>
      </w:r>
      <w:r w:rsidRPr="000931CD">
        <w:rPr>
          <w:spacing w:val="-4"/>
          <w:rtl/>
        </w:rPr>
        <w:t>حقوق الإنسان لا غنى للفرد عنه لكي يعبر علناً عن آرائه وأفكاره، ولا غنى عنه أيضاً في أي مجتمع ديمقراطي</w:t>
      </w:r>
      <w:r>
        <w:rPr>
          <w:rtl/>
        </w:rPr>
        <w:t xml:space="preserve">. ويستتبع هذا الحق إمكانية تنظيم تجمع سلمي والمشاركة فيه، ومن ضمنه تنظيم تجمع ساكِن </w:t>
      </w:r>
      <w:r w:rsidRPr="000931CD">
        <w:rPr>
          <w:spacing w:val="-4"/>
          <w:rtl/>
        </w:rPr>
        <w:t>(كالاعتصام) في مكان عام. ولمنظمي أي تجمع عموماً الحق في اختيار مكان على مرأى ومسمع من الجمهور المستهدف، ولا يُسمح بأي تقييدات لهذا الحق ما لم تكن هذه التقييدات متوافقة مع القانون وضرورية</w:t>
      </w:r>
      <w:r>
        <w:rPr>
          <w:rtl/>
        </w:rPr>
        <w:t xml:space="preserve"> في أي مجتمع ديمقراطي، وتحقق مصالح الأمن القومي أو السلامة العامة، أو النظام العام، أو حماية الصحة العامة </w:t>
      </w:r>
      <w:r>
        <w:rPr>
          <w:rtl/>
        </w:rPr>
        <w:lastRenderedPageBreak/>
        <w:t>أو</w:t>
      </w:r>
      <w:r w:rsidR="000931CD">
        <w:rPr>
          <w:rFonts w:hint="cs"/>
          <w:rtl/>
        </w:rPr>
        <w:t> </w:t>
      </w:r>
      <w:r>
        <w:rPr>
          <w:rtl/>
        </w:rPr>
        <w:t xml:space="preserve">الآداب العامة، أو حماية حقوق الآخرين وحرياتهم. وعندما تفرض دولةٌ طرف قيوداً بهدف التوفيق بين حق الفرد في التجمع والمصالح العامة المشار إليها أعلاه، ينبغي أن تسترشد بهدف تيسير إعمال هذا </w:t>
      </w:r>
      <w:r w:rsidRPr="000931CD">
        <w:rPr>
          <w:spacing w:val="-4"/>
          <w:rtl/>
        </w:rPr>
        <w:t>الحق، عوضاً عن السعي إلى فرض قيود غير ضرورية أو غير متناسبة عليه. ولذلك، يقع على عاتق الدولة</w:t>
      </w:r>
      <w:r>
        <w:rPr>
          <w:rtl/>
        </w:rPr>
        <w:t xml:space="preserve"> الطرف التزام بتبرير تقييدها للحق المحمي بموجب أحكام المادة </w:t>
      </w:r>
      <w:r w:rsidRPr="0089450B">
        <w:rPr>
          <w:rtl/>
        </w:rPr>
        <w:t>21</w:t>
      </w:r>
      <w:r>
        <w:rPr>
          <w:rtl/>
        </w:rPr>
        <w:t xml:space="preserve"> من العهد. </w:t>
      </w:r>
    </w:p>
    <w:p w14:paraId="1E055EB0" w14:textId="77777777" w:rsidR="00D42B1B" w:rsidRDefault="00D42B1B" w:rsidP="00D42B1B">
      <w:pPr>
        <w:pStyle w:val="SingleTxtGA"/>
        <w:rPr>
          <w:rtl/>
        </w:rPr>
      </w:pPr>
      <w:r w:rsidRPr="0089450B">
        <w:rPr>
          <w:rtl/>
        </w:rPr>
        <w:t>7</w:t>
      </w:r>
      <w:r>
        <w:rPr>
          <w:rtl/>
        </w:rPr>
        <w:t>-</w:t>
      </w:r>
      <w:r w:rsidRPr="0089450B">
        <w:rPr>
          <w:rtl/>
        </w:rPr>
        <w:t>6</w:t>
      </w:r>
      <w:r>
        <w:rPr>
          <w:rtl/>
        </w:rPr>
        <w:tab/>
        <w:t xml:space="preserve">وفي هذه القضية، اختار صاحب البلاغ الساحة المركزية في </w:t>
      </w:r>
      <w:proofErr w:type="spellStart"/>
      <w:r>
        <w:rPr>
          <w:rtl/>
        </w:rPr>
        <w:t>صالحورسك</w:t>
      </w:r>
      <w:proofErr w:type="spellEnd"/>
      <w:r>
        <w:rPr>
          <w:rtl/>
        </w:rPr>
        <w:t xml:space="preserve"> للاعتصام للتعبير علنا عن رأيه عن طريق جذب الانتباه إلى الاحتفال باليوم الدولي لحقوق الإنسان والاحتجاج على انتهاكات حقوق الإنسان المرتكبة في بيلاروس. وتلاحظ اللجنة أن السلطات البلدية رفضت طلب صاحب البلاغ بتنظيم اعتصام على أساس أن المكان المقرر للحدث لم يكن المكان الذي حددته اللجنة التنفيذية لمثل هذه الأحداث في قرارها رقم </w:t>
      </w:r>
      <w:r w:rsidRPr="0089450B">
        <w:rPr>
          <w:rtl/>
        </w:rPr>
        <w:t>700</w:t>
      </w:r>
      <w:r>
        <w:rPr>
          <w:rtl/>
        </w:rPr>
        <w:t xml:space="preserve">، وأن صاحب البلاغ لم يشر إلى التدابير المحددة التي يعتزم، بصفته منظما، اتخاذها لضمان الأمن والنظام العام أثناء الاعتصام. غير أن اللجنة تلاحظ أن السلطات الوطنية لم تبين كيف أن تنظيم اعتصام في المكان الذي اقترحه صاحب البلاغ من شأنه أن يقوض الأمن </w:t>
      </w:r>
      <w:r w:rsidRPr="000931CD">
        <w:rPr>
          <w:spacing w:val="-4"/>
          <w:rtl/>
        </w:rPr>
        <w:t>الوطني أو السلامة العامة أو النظام العام أو حماية الصحة العامة أو الآداب العامة أو حماية حقوق الآخرين</w:t>
      </w:r>
      <w:r>
        <w:rPr>
          <w:rtl/>
        </w:rPr>
        <w:t xml:space="preserve"> وحرياتهم. وتلاحظ اللجنة على وجه الخصوص أن قرار اللجنة التنفيذية برفض طلب صاحب البلاغ عقد اعتصام أو قرارات المحكمة لا يقدم أي تفسير لضرورة ومبرِّر القيود التي فرضها القرار رقم </w:t>
      </w:r>
      <w:r w:rsidRPr="0089450B">
        <w:rPr>
          <w:rtl/>
        </w:rPr>
        <w:t>700</w:t>
      </w:r>
      <w:r>
        <w:rPr>
          <w:rtl/>
        </w:rPr>
        <w:t xml:space="preserve"> وطُبقت في قضية صاحب البلاغ. </w:t>
      </w:r>
    </w:p>
    <w:p w14:paraId="4F0E4EEB" w14:textId="39306E1D" w:rsidR="00D42B1B" w:rsidRDefault="00D42B1B" w:rsidP="00D42B1B">
      <w:pPr>
        <w:pStyle w:val="SingleTxtGA"/>
        <w:rPr>
          <w:rtl/>
        </w:rPr>
      </w:pPr>
      <w:r w:rsidRPr="0089450B">
        <w:rPr>
          <w:rtl/>
        </w:rPr>
        <w:t>7</w:t>
      </w:r>
      <w:r>
        <w:rPr>
          <w:rtl/>
        </w:rPr>
        <w:t>-</w:t>
      </w:r>
      <w:r w:rsidRPr="0089450B">
        <w:rPr>
          <w:rtl/>
        </w:rPr>
        <w:t>7</w:t>
      </w:r>
      <w:r>
        <w:rPr>
          <w:rtl/>
        </w:rPr>
        <w:tab/>
        <w:t xml:space="preserve">وتلاحظ اللجنة أن الحظر الفعلي الذي يفرضه القرار رقم </w:t>
      </w:r>
      <w:r w:rsidRPr="0089450B">
        <w:rPr>
          <w:rtl/>
        </w:rPr>
        <w:t>700</w:t>
      </w:r>
      <w:r>
        <w:rPr>
          <w:rtl/>
        </w:rPr>
        <w:t xml:space="preserve"> على التجمعات في أي مكان عام في مدينة </w:t>
      </w:r>
      <w:proofErr w:type="spellStart"/>
      <w:r>
        <w:rPr>
          <w:rtl/>
        </w:rPr>
        <w:t>صالحورسك</w:t>
      </w:r>
      <w:proofErr w:type="spellEnd"/>
      <w:r>
        <w:rPr>
          <w:rtl/>
        </w:rPr>
        <w:t xml:space="preserve"> بأكملها، باستثناء موقع واحد تحدده اللجنة التنفيذية، يحد دون مبرر من الحق </w:t>
      </w:r>
      <w:r w:rsidRPr="000931CD">
        <w:rPr>
          <w:spacing w:val="-4"/>
          <w:rtl/>
        </w:rPr>
        <w:t>في التجمع والحق في حرية التعبير. وتلاحظ اللجنة أيضا أن مطالبة صاحب البلاغ، بصفته منظما للاعتصام</w:t>
      </w:r>
      <w:r>
        <w:rPr>
          <w:rtl/>
        </w:rPr>
        <w:t xml:space="preserve">، </w:t>
      </w:r>
      <w:r w:rsidRPr="000931CD">
        <w:rPr>
          <w:spacing w:val="-4"/>
          <w:rtl/>
        </w:rPr>
        <w:t>باتخاذ تدابير محددة لضمان الأمن والنظام العام أثناء الاعتصام يفرض عليه عبئا غير متناسب في ممارسته</w:t>
      </w:r>
      <w:r>
        <w:rPr>
          <w:rtl/>
        </w:rPr>
        <w:t xml:space="preserve"> </w:t>
      </w:r>
      <w:r w:rsidRPr="000931CD">
        <w:rPr>
          <w:spacing w:val="-4"/>
          <w:rtl/>
        </w:rPr>
        <w:t>لحق التجمع السلمي والحق في حرية التعبير في السياق نفسه. وفي ظل هذه الظروف، ترى اللجنة أن التطبيق</w:t>
      </w:r>
      <w:r>
        <w:rPr>
          <w:rtl/>
        </w:rPr>
        <w:t xml:space="preserve"> الرسمي للقرار رقم </w:t>
      </w:r>
      <w:r w:rsidRPr="0089450B">
        <w:rPr>
          <w:rtl/>
        </w:rPr>
        <w:t>700</w:t>
      </w:r>
      <w:r>
        <w:rPr>
          <w:rtl/>
        </w:rPr>
        <w:t xml:space="preserve"> ورفض سلطات الدولة الطرف طلب صاحب البلاغ تنظيم اعتصام هو رفض غير مبرر، وتخلص إلى أن حقوق صاحب البلاغ بموجب المادتين </w:t>
      </w:r>
      <w:r w:rsidRPr="0089450B">
        <w:rPr>
          <w:rtl/>
        </w:rPr>
        <w:t>19</w:t>
      </w:r>
      <w:r>
        <w:rPr>
          <w:rtl/>
        </w:rPr>
        <w:t>(</w:t>
      </w:r>
      <w:r w:rsidRPr="0089450B">
        <w:rPr>
          <w:rtl/>
        </w:rPr>
        <w:t>2</w:t>
      </w:r>
      <w:r>
        <w:rPr>
          <w:rtl/>
        </w:rPr>
        <w:t>)</w:t>
      </w:r>
      <w:r w:rsidR="00D051F5">
        <w:rPr>
          <w:rtl/>
        </w:rPr>
        <w:t xml:space="preserve"> و</w:t>
      </w:r>
      <w:r w:rsidRPr="0089450B">
        <w:rPr>
          <w:rtl/>
        </w:rPr>
        <w:t>21</w:t>
      </w:r>
      <w:r>
        <w:rPr>
          <w:rtl/>
        </w:rPr>
        <w:t xml:space="preserve"> من العهد قد انتهكت.</w:t>
      </w:r>
    </w:p>
    <w:p w14:paraId="72F6640F" w14:textId="77777777" w:rsidR="00D42B1B" w:rsidRDefault="00D42B1B" w:rsidP="00D42B1B">
      <w:pPr>
        <w:pStyle w:val="SingleTxtGA"/>
        <w:rPr>
          <w:rtl/>
        </w:rPr>
      </w:pPr>
      <w:r w:rsidRPr="0089450B">
        <w:rPr>
          <w:rtl/>
        </w:rPr>
        <w:t>8</w:t>
      </w:r>
      <w:r>
        <w:rPr>
          <w:rtl/>
        </w:rPr>
        <w:t>-</w:t>
      </w:r>
      <w:r>
        <w:rPr>
          <w:rtl/>
        </w:rPr>
        <w:tab/>
        <w:t xml:space="preserve">وترى اللجنة، وهي تتصرف وفقاً للمادة </w:t>
      </w:r>
      <w:r w:rsidRPr="0089450B">
        <w:rPr>
          <w:rtl/>
        </w:rPr>
        <w:t>5</w:t>
      </w:r>
      <w:r>
        <w:rPr>
          <w:rtl/>
        </w:rPr>
        <w:t>(</w:t>
      </w:r>
      <w:r w:rsidRPr="0089450B">
        <w:rPr>
          <w:rtl/>
        </w:rPr>
        <w:t>4</w:t>
      </w:r>
      <w:r>
        <w:rPr>
          <w:rtl/>
        </w:rPr>
        <w:t xml:space="preserve">) من البروتوكول الاختياري، أن الوقائع المعروضة عليها تكشف عن انتهاك الدولة الطرف حقوق صاحب البلاغ بمقتضى المادتين </w:t>
      </w:r>
      <w:r w:rsidRPr="0089450B">
        <w:rPr>
          <w:rtl/>
        </w:rPr>
        <w:t>19</w:t>
      </w:r>
      <w:r>
        <w:rPr>
          <w:rtl/>
        </w:rPr>
        <w:t>(</w:t>
      </w:r>
      <w:r w:rsidRPr="0089450B">
        <w:rPr>
          <w:rtl/>
        </w:rPr>
        <w:t>2</w:t>
      </w:r>
      <w:r>
        <w:rPr>
          <w:rtl/>
        </w:rPr>
        <w:t>) و</w:t>
      </w:r>
      <w:r w:rsidRPr="0089450B">
        <w:rPr>
          <w:rtl/>
        </w:rPr>
        <w:t>21</w:t>
      </w:r>
      <w:r>
        <w:rPr>
          <w:rtl/>
        </w:rPr>
        <w:t xml:space="preserve"> من العهد.</w:t>
      </w:r>
    </w:p>
    <w:p w14:paraId="716999B8" w14:textId="77777777" w:rsidR="00D42B1B" w:rsidRDefault="00D42B1B" w:rsidP="00D42B1B">
      <w:pPr>
        <w:pStyle w:val="SingleTxtGA"/>
        <w:rPr>
          <w:rtl/>
        </w:rPr>
      </w:pPr>
      <w:r w:rsidRPr="0089450B">
        <w:rPr>
          <w:rtl/>
        </w:rPr>
        <w:t>9</w:t>
      </w:r>
      <w:r>
        <w:rPr>
          <w:rtl/>
        </w:rPr>
        <w:t>-</w:t>
      </w:r>
      <w:r>
        <w:rPr>
          <w:rtl/>
        </w:rPr>
        <w:tab/>
        <w:t xml:space="preserve">وعملاً بأحكام المادة </w:t>
      </w:r>
      <w:r w:rsidRPr="0089450B">
        <w:rPr>
          <w:rtl/>
        </w:rPr>
        <w:t>2</w:t>
      </w:r>
      <w:r>
        <w:rPr>
          <w:rtl/>
        </w:rPr>
        <w:t>(</w:t>
      </w:r>
      <w:r w:rsidRPr="0089450B">
        <w:rPr>
          <w:rtl/>
        </w:rPr>
        <w:t>3</w:t>
      </w:r>
      <w:r>
        <w:rPr>
          <w:rtl/>
        </w:rPr>
        <w:t>)(أ) من العهد، يقع على عاتق الدولة الطرف التزام بتوفير سبيل انتصاف فعال لصاحب البلاغ. ويقتضي منها ذلك جبر الضرر جبراً تاماً لمن انتُهِكت حقوقهم المعترف بها في العهد. وبناءً على ذلك، فإن الدولة الطرف ملزمة بجملة أمور، منها اتخاذ التدابير المناسبة لمنح صاحب البلاغ تعويضاً كافياً. والدولة الطرف ملزمةٌ أيضاً باتخاذ جميع الخطوات اللازمة لمنع حدوث انتهاكات مماثلة في المستقبل.</w:t>
      </w:r>
    </w:p>
    <w:p w14:paraId="03DD4BB8" w14:textId="7B3B14DC" w:rsidR="001B2C01" w:rsidRDefault="00D42B1B" w:rsidP="00D42B1B">
      <w:pPr>
        <w:pStyle w:val="SingleTxtGA"/>
        <w:rPr>
          <w:rtl/>
        </w:rPr>
      </w:pPr>
      <w:r w:rsidRPr="0089450B">
        <w:rPr>
          <w:rtl/>
        </w:rPr>
        <w:t>10</w:t>
      </w:r>
      <w:r>
        <w:rPr>
          <w:rtl/>
        </w:rPr>
        <w:t>-</w:t>
      </w:r>
      <w:r>
        <w:rPr>
          <w:rtl/>
        </w:rPr>
        <w:tab/>
      </w:r>
      <w:r w:rsidRPr="000931CD">
        <w:rPr>
          <w:spacing w:val="-4"/>
          <w:rtl/>
        </w:rPr>
        <w:t>وإذ تأخذ اللجنة في اعتبارها أن الدولة الطرف، بانضمامها إلى البروتوكول الاختياري، قد اعترفت</w:t>
      </w:r>
      <w:r>
        <w:rPr>
          <w:rtl/>
        </w:rPr>
        <w:t xml:space="preserve"> باختصاص اللجنة في تحديد ما إن كان وقع انتهاك للعهد أم لا، وأنها تعهدت، عملاً بالمادة </w:t>
      </w:r>
      <w:r w:rsidRPr="0089450B">
        <w:rPr>
          <w:rtl/>
        </w:rPr>
        <w:t>2</w:t>
      </w:r>
      <w:r>
        <w:rPr>
          <w:rtl/>
        </w:rPr>
        <w:t xml:space="preserve"> من العهد، بأن تكفل لجميع الأفراد الموجودين في إقليمها أو الخاضعين لولايتها الحقوق المعترف بها في العهد، وبأن توفر لهم سبيل انتصاف فعالاً وقابلاً للإنفاذ إن ثبت حدوث انتهاك، فإنها تود أن تتلقى من الدولة الطرف في غضون </w:t>
      </w:r>
      <w:r w:rsidRPr="0089450B">
        <w:rPr>
          <w:rtl/>
        </w:rPr>
        <w:t>180</w:t>
      </w:r>
      <w:r>
        <w:rPr>
          <w:rtl/>
        </w:rPr>
        <w:t xml:space="preserve"> يوماً معلومات عن التدابير التي اتخذتها لإنفاذ آراء اللجنة. والدولة الطرف مدعوة أيضاً إلى نشر هذه الآراء على نطاق واسع بلغاتها الرسمية.</w:t>
      </w:r>
    </w:p>
    <w:p w14:paraId="258AFCA9" w14:textId="600BA11B" w:rsidR="000931CD" w:rsidRPr="000931CD" w:rsidRDefault="000931CD" w:rsidP="000931CD">
      <w:pPr>
        <w:pStyle w:val="SingleTxtGA"/>
        <w:jc w:val="center"/>
        <w:rPr>
          <w:u w:val="single"/>
          <w:rtl/>
        </w:rPr>
      </w:pPr>
      <w:r>
        <w:rPr>
          <w:u w:val="single"/>
          <w:rtl/>
        </w:rPr>
        <w:tab/>
      </w:r>
      <w:r>
        <w:rPr>
          <w:u w:val="single"/>
          <w:rtl/>
        </w:rPr>
        <w:tab/>
      </w:r>
      <w:r>
        <w:rPr>
          <w:u w:val="single"/>
          <w:rtl/>
        </w:rPr>
        <w:tab/>
      </w:r>
    </w:p>
    <w:sectPr w:rsidR="000931CD" w:rsidRPr="000931CD" w:rsidSect="009D4AD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F6386" w14:textId="77777777" w:rsidR="00AE7145" w:rsidRPr="002901D9" w:rsidRDefault="00AE7145" w:rsidP="00DC4D4B">
      <w:pPr>
        <w:spacing w:after="60" w:line="240" w:lineRule="auto"/>
        <w:ind w:left="57"/>
        <w:rPr>
          <w:i/>
          <w:iCs/>
        </w:rPr>
      </w:pPr>
      <w:r>
        <w:rPr>
          <w:rFonts w:hint="cs"/>
          <w:i/>
          <w:iCs/>
          <w:rtl/>
        </w:rPr>
        <w:t>الحواشي</w:t>
      </w:r>
    </w:p>
  </w:endnote>
  <w:endnote w:type="continuationSeparator" w:id="0">
    <w:p w14:paraId="1FEF3FBC" w14:textId="77777777" w:rsidR="00AE7145" w:rsidRDefault="00AE714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82DE9" w14:textId="1A49ADEC" w:rsidR="001B2C01" w:rsidRPr="001B2C01" w:rsidRDefault="001B2C01" w:rsidP="001B2C01">
    <w:pPr>
      <w:pStyle w:val="Footer"/>
      <w:tabs>
        <w:tab w:val="right" w:pos="9638"/>
      </w:tabs>
      <w:rPr>
        <w:b/>
        <w:sz w:val="18"/>
        <w:lang w:val="en-US"/>
      </w:rPr>
    </w:pPr>
    <w:r>
      <w:rPr>
        <w:lang w:val="en-US"/>
      </w:rPr>
      <w:t>GE.21-03414</w:t>
    </w:r>
    <w:r>
      <w:rPr>
        <w:lang w:val="en-US"/>
      </w:rPr>
      <w:tab/>
    </w:r>
    <w:r w:rsidRPr="001B2C01">
      <w:rPr>
        <w:b/>
        <w:sz w:val="18"/>
        <w:lang w:val="en-US"/>
      </w:rPr>
      <w:fldChar w:fldCharType="begin"/>
    </w:r>
    <w:r w:rsidRPr="001B2C01">
      <w:rPr>
        <w:b/>
        <w:sz w:val="18"/>
        <w:lang w:val="en-US"/>
      </w:rPr>
      <w:instrText xml:space="preserve"> PAGE  \* MERGEFORMAT </w:instrText>
    </w:r>
    <w:r w:rsidRPr="001B2C01">
      <w:rPr>
        <w:b/>
        <w:sz w:val="18"/>
        <w:lang w:val="en-US"/>
      </w:rPr>
      <w:fldChar w:fldCharType="separate"/>
    </w:r>
    <w:r w:rsidRPr="001B2C01">
      <w:rPr>
        <w:b/>
        <w:noProof/>
        <w:sz w:val="18"/>
        <w:lang w:val="en-US"/>
      </w:rPr>
      <w:t>2</w:t>
    </w:r>
    <w:r w:rsidRPr="001B2C01">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E815" w14:textId="27988A62" w:rsidR="006959B0" w:rsidRPr="001B2C01" w:rsidRDefault="001B2C01" w:rsidP="001B2C01">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GE.21-03414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51CD" w14:textId="251627B2" w:rsidR="00DE50B1" w:rsidRPr="001B2C01" w:rsidRDefault="001B2C01" w:rsidP="001B2C01">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374B001E" wp14:editId="317B1BF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21-03414 (A)</w:t>
    </w:r>
    <w:r>
      <w:rPr>
        <w:noProof/>
        <w:sz w:val="20"/>
        <w:lang w:val="en-US"/>
      </w:rPr>
      <w:drawing>
        <wp:anchor distT="0" distB="0" distL="114300" distR="114300" simplePos="0" relativeHeight="251659264" behindDoc="0" locked="0" layoutInCell="1" allowOverlap="1" wp14:anchorId="78018CE5" wp14:editId="487C7262">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2B526" w14:textId="77777777" w:rsidR="00AE7145" w:rsidRPr="000437B8" w:rsidRDefault="00AE7145" w:rsidP="00F10DAB">
      <w:pPr>
        <w:pStyle w:val="Footer"/>
        <w:bidi/>
        <w:spacing w:after="80" w:line="200" w:lineRule="exact"/>
        <w:ind w:left="680"/>
      </w:pPr>
      <w:r>
        <w:rPr>
          <w:rtl/>
        </w:rPr>
        <w:t>__________</w:t>
      </w:r>
    </w:p>
  </w:footnote>
  <w:footnote w:type="continuationSeparator" w:id="0">
    <w:p w14:paraId="131E2466" w14:textId="77777777" w:rsidR="00AE7145" w:rsidRDefault="00AE7145" w:rsidP="00656392">
      <w:pPr>
        <w:spacing w:line="240" w:lineRule="auto"/>
      </w:pPr>
      <w:r>
        <w:continuationSeparator/>
      </w:r>
    </w:p>
  </w:footnote>
  <w:footnote w:id="1">
    <w:p w14:paraId="6A3E64B1" w14:textId="04BE4443" w:rsidR="00D42B1B" w:rsidRPr="00D42B1B" w:rsidRDefault="00D42B1B" w:rsidP="00D42B1B">
      <w:pPr>
        <w:pStyle w:val="FootnoteText1"/>
        <w:rPr>
          <w:rFonts w:hint="cs"/>
          <w:rtl/>
        </w:rPr>
      </w:pPr>
      <w:r>
        <w:rPr>
          <w:rtl/>
        </w:rPr>
        <w:t>*</w:t>
      </w:r>
      <w:r>
        <w:rPr>
          <w:rtl/>
        </w:rPr>
        <w:tab/>
      </w:r>
      <w:r w:rsidRPr="00D42B1B">
        <w:rPr>
          <w:rtl/>
        </w:rPr>
        <w:t xml:space="preserve">اعتمدتها اللجنة في دورتها </w:t>
      </w:r>
      <w:r w:rsidRPr="0089450B">
        <w:rPr>
          <w:rtl/>
        </w:rPr>
        <w:t>130</w:t>
      </w:r>
      <w:r w:rsidRPr="00D42B1B">
        <w:rPr>
          <w:rtl/>
        </w:rPr>
        <w:t xml:space="preserve"> (</w:t>
      </w:r>
      <w:r w:rsidRPr="0089450B">
        <w:rPr>
          <w:rtl/>
        </w:rPr>
        <w:t>12</w:t>
      </w:r>
      <w:r w:rsidRPr="00D42B1B">
        <w:rPr>
          <w:rtl/>
        </w:rPr>
        <w:t xml:space="preserve"> تشرين الأول/أكتوبر - </w:t>
      </w:r>
      <w:r w:rsidRPr="0089450B">
        <w:rPr>
          <w:rtl/>
        </w:rPr>
        <w:t>6</w:t>
      </w:r>
      <w:r w:rsidRPr="00D42B1B">
        <w:rPr>
          <w:rtl/>
        </w:rPr>
        <w:t xml:space="preserve"> تشرين الثاني/نوفمبر </w:t>
      </w:r>
      <w:r w:rsidRPr="0089450B">
        <w:rPr>
          <w:rtl/>
        </w:rPr>
        <w:t>2020</w:t>
      </w:r>
      <w:r w:rsidRPr="00D42B1B">
        <w:rPr>
          <w:rtl/>
        </w:rPr>
        <w:t>).</w:t>
      </w:r>
    </w:p>
  </w:footnote>
  <w:footnote w:id="2">
    <w:p w14:paraId="6CE97E19" w14:textId="61300A94" w:rsidR="00D42B1B" w:rsidRPr="00D42B1B" w:rsidRDefault="00D42B1B" w:rsidP="00D42B1B">
      <w:pPr>
        <w:pStyle w:val="FootnoteText1"/>
        <w:rPr>
          <w:rFonts w:hint="cs"/>
          <w:rtl/>
        </w:rPr>
      </w:pPr>
      <w:r>
        <w:rPr>
          <w:rtl/>
        </w:rPr>
        <w:t>**</w:t>
      </w:r>
      <w:r>
        <w:rPr>
          <w:rtl/>
        </w:rPr>
        <w:tab/>
      </w:r>
      <w:r w:rsidRPr="00D42B1B">
        <w:rPr>
          <w:rtl/>
        </w:rPr>
        <w:t>شارك في دراسة هذا البلاغ أعضاء اللجنة التالية أسماؤهم:</w:t>
      </w:r>
      <w:r>
        <w:rPr>
          <w:rFonts w:hint="cs"/>
          <w:rtl/>
        </w:rPr>
        <w:t xml:space="preserve"> </w:t>
      </w:r>
      <w:r w:rsidRPr="00D42B1B">
        <w:rPr>
          <w:rtl/>
        </w:rPr>
        <w:t xml:space="preserve">تانيا ماريا عبدو </w:t>
      </w:r>
      <w:proofErr w:type="spellStart"/>
      <w:r w:rsidRPr="00D42B1B">
        <w:rPr>
          <w:rtl/>
        </w:rPr>
        <w:t>روشول</w:t>
      </w:r>
      <w:proofErr w:type="spellEnd"/>
      <w:r w:rsidRPr="00D42B1B">
        <w:rPr>
          <w:rtl/>
        </w:rPr>
        <w:t xml:space="preserve">، عياض بن عاشور، عارف بلقان، أحمد أمين فتح الله، </w:t>
      </w:r>
      <w:proofErr w:type="spellStart"/>
      <w:r w:rsidRPr="00D42B1B">
        <w:rPr>
          <w:rtl/>
        </w:rPr>
        <w:t>فورويا</w:t>
      </w:r>
      <w:proofErr w:type="spellEnd"/>
      <w:r w:rsidRPr="00D42B1B">
        <w:rPr>
          <w:rtl/>
        </w:rPr>
        <w:t xml:space="preserve"> </w:t>
      </w:r>
      <w:proofErr w:type="spellStart"/>
      <w:r w:rsidRPr="00D42B1B">
        <w:rPr>
          <w:rtl/>
        </w:rPr>
        <w:t>شويتشي</w:t>
      </w:r>
      <w:proofErr w:type="spellEnd"/>
      <w:r w:rsidRPr="00D42B1B">
        <w:rPr>
          <w:rtl/>
        </w:rPr>
        <w:t xml:space="preserve">، كريستوف </w:t>
      </w:r>
      <w:proofErr w:type="spellStart"/>
      <w:r w:rsidRPr="00D42B1B">
        <w:rPr>
          <w:rtl/>
        </w:rPr>
        <w:t>هاينز</w:t>
      </w:r>
      <w:proofErr w:type="spellEnd"/>
      <w:r w:rsidRPr="00D42B1B">
        <w:rPr>
          <w:rtl/>
        </w:rPr>
        <w:t xml:space="preserve">، </w:t>
      </w:r>
      <w:proofErr w:type="spellStart"/>
      <w:r w:rsidRPr="00D42B1B">
        <w:rPr>
          <w:rtl/>
        </w:rPr>
        <w:t>بامريم</w:t>
      </w:r>
      <w:proofErr w:type="spellEnd"/>
      <w:r w:rsidRPr="00D42B1B">
        <w:rPr>
          <w:rtl/>
        </w:rPr>
        <w:t xml:space="preserve"> كويتا، ديفيد ه. مور، </w:t>
      </w:r>
      <w:proofErr w:type="spellStart"/>
      <w:r w:rsidRPr="00D42B1B">
        <w:rPr>
          <w:rtl/>
        </w:rPr>
        <w:t>دنكان</w:t>
      </w:r>
      <w:proofErr w:type="spellEnd"/>
      <w:r w:rsidRPr="00D42B1B">
        <w:rPr>
          <w:rtl/>
        </w:rPr>
        <w:t xml:space="preserve"> </w:t>
      </w:r>
      <w:proofErr w:type="spellStart"/>
      <w:r w:rsidRPr="00D42B1B">
        <w:rPr>
          <w:rtl/>
        </w:rPr>
        <w:t>لاكي</w:t>
      </w:r>
      <w:proofErr w:type="spellEnd"/>
      <w:r w:rsidRPr="00D42B1B">
        <w:rPr>
          <w:rtl/>
        </w:rPr>
        <w:t xml:space="preserve"> </w:t>
      </w:r>
      <w:proofErr w:type="spellStart"/>
      <w:r w:rsidRPr="00D42B1B">
        <w:rPr>
          <w:rtl/>
        </w:rPr>
        <w:t>موهوموزا</w:t>
      </w:r>
      <w:proofErr w:type="spellEnd"/>
      <w:r w:rsidRPr="00D42B1B">
        <w:rPr>
          <w:rtl/>
        </w:rPr>
        <w:t xml:space="preserve">، فوتيني </w:t>
      </w:r>
      <w:proofErr w:type="spellStart"/>
      <w:r w:rsidRPr="00D42B1B">
        <w:rPr>
          <w:rtl/>
        </w:rPr>
        <w:t>بازارتزيس</w:t>
      </w:r>
      <w:proofErr w:type="spellEnd"/>
      <w:r w:rsidRPr="00D42B1B">
        <w:rPr>
          <w:rtl/>
        </w:rPr>
        <w:t xml:space="preserve">، </w:t>
      </w:r>
      <w:proofErr w:type="spellStart"/>
      <w:r w:rsidRPr="00D42B1B">
        <w:rPr>
          <w:rtl/>
        </w:rPr>
        <w:t>هرنان</w:t>
      </w:r>
      <w:proofErr w:type="spellEnd"/>
      <w:r w:rsidRPr="00D42B1B">
        <w:rPr>
          <w:rtl/>
        </w:rPr>
        <w:t xml:space="preserve"> </w:t>
      </w:r>
      <w:proofErr w:type="spellStart"/>
      <w:r w:rsidRPr="00D42B1B">
        <w:rPr>
          <w:rtl/>
        </w:rPr>
        <w:t>كيسادا</w:t>
      </w:r>
      <w:proofErr w:type="spellEnd"/>
      <w:r w:rsidRPr="00D42B1B">
        <w:rPr>
          <w:rtl/>
        </w:rPr>
        <w:t xml:space="preserve"> </w:t>
      </w:r>
      <w:proofErr w:type="spellStart"/>
      <w:r w:rsidRPr="00D42B1B">
        <w:rPr>
          <w:rtl/>
        </w:rPr>
        <w:t>كابريرا</w:t>
      </w:r>
      <w:proofErr w:type="spellEnd"/>
      <w:r w:rsidRPr="00D42B1B">
        <w:rPr>
          <w:rtl/>
        </w:rPr>
        <w:t xml:space="preserve">، </w:t>
      </w:r>
      <w:proofErr w:type="spellStart"/>
      <w:r w:rsidRPr="00D42B1B">
        <w:rPr>
          <w:rtl/>
        </w:rPr>
        <w:t>فازيلكا</w:t>
      </w:r>
      <w:proofErr w:type="spellEnd"/>
      <w:r w:rsidRPr="00D42B1B">
        <w:rPr>
          <w:rtl/>
        </w:rPr>
        <w:t xml:space="preserve"> </w:t>
      </w:r>
      <w:proofErr w:type="spellStart"/>
      <w:r w:rsidRPr="00D42B1B">
        <w:rPr>
          <w:rtl/>
        </w:rPr>
        <w:t>سانسين</w:t>
      </w:r>
      <w:proofErr w:type="spellEnd"/>
      <w:r w:rsidRPr="00D42B1B">
        <w:rPr>
          <w:rtl/>
        </w:rPr>
        <w:t xml:space="preserve">، خوسيه مانويل سانتوس </w:t>
      </w:r>
      <w:proofErr w:type="spellStart"/>
      <w:r w:rsidRPr="00D42B1B">
        <w:rPr>
          <w:rtl/>
        </w:rPr>
        <w:t>بايس</w:t>
      </w:r>
      <w:proofErr w:type="spellEnd"/>
      <w:r w:rsidRPr="00D42B1B">
        <w:rPr>
          <w:rtl/>
        </w:rPr>
        <w:t xml:space="preserve">، يوفال </w:t>
      </w:r>
      <w:proofErr w:type="spellStart"/>
      <w:r w:rsidRPr="00D42B1B">
        <w:rPr>
          <w:rtl/>
        </w:rPr>
        <w:t>شاني</w:t>
      </w:r>
      <w:proofErr w:type="spellEnd"/>
      <w:r w:rsidRPr="00D42B1B">
        <w:rPr>
          <w:rtl/>
        </w:rPr>
        <w:t xml:space="preserve">، هيلين </w:t>
      </w:r>
      <w:proofErr w:type="spellStart"/>
      <w:r w:rsidRPr="00D42B1B">
        <w:rPr>
          <w:rtl/>
        </w:rPr>
        <w:t>تيغرودجا</w:t>
      </w:r>
      <w:proofErr w:type="spellEnd"/>
      <w:r w:rsidRPr="00D42B1B">
        <w:rPr>
          <w:rtl/>
        </w:rPr>
        <w:t xml:space="preserve">، أندرياس </w:t>
      </w:r>
      <w:proofErr w:type="spellStart"/>
      <w:r w:rsidRPr="00D42B1B">
        <w:rPr>
          <w:rtl/>
        </w:rPr>
        <w:t>زيمرمان</w:t>
      </w:r>
      <w:proofErr w:type="spellEnd"/>
      <w:r w:rsidRPr="00D42B1B">
        <w:rPr>
          <w:rtl/>
        </w:rPr>
        <w:t xml:space="preserve">، </w:t>
      </w:r>
      <w:proofErr w:type="spellStart"/>
      <w:r w:rsidRPr="00D42B1B">
        <w:rPr>
          <w:rtl/>
        </w:rPr>
        <w:t>جينتيان</w:t>
      </w:r>
      <w:proofErr w:type="spellEnd"/>
      <w:r w:rsidRPr="00D42B1B">
        <w:rPr>
          <w:rtl/>
        </w:rPr>
        <w:t xml:space="preserve"> زبيري.</w:t>
      </w:r>
    </w:p>
  </w:footnote>
  <w:footnote w:id="3">
    <w:p w14:paraId="73971DC7" w14:textId="3E07F46B" w:rsidR="00D42B1B" w:rsidRPr="00D42B1B" w:rsidRDefault="00D42B1B" w:rsidP="00D42B1B">
      <w:pPr>
        <w:pStyle w:val="FootnoteText1"/>
        <w:rPr>
          <w:rFonts w:hint="cs"/>
          <w:rtl/>
        </w:rPr>
      </w:pPr>
      <w:r w:rsidRPr="00D42B1B">
        <w:rPr>
          <w:rtl/>
        </w:rPr>
        <w:t>(</w:t>
      </w:r>
      <w:r w:rsidRPr="0089450B">
        <w:rPr>
          <w:rStyle w:val="FootnoteReference"/>
          <w:vertAlign w:val="baseline"/>
        </w:rPr>
        <w:footnoteRef/>
      </w:r>
      <w:r w:rsidRPr="00D42B1B">
        <w:rPr>
          <w:rtl/>
        </w:rPr>
        <w:t>)</w:t>
      </w:r>
      <w:r>
        <w:rPr>
          <w:rtl/>
        </w:rPr>
        <w:tab/>
      </w:r>
      <w:r w:rsidR="0018760E" w:rsidRPr="0018760E">
        <w:rPr>
          <w:rtl/>
        </w:rPr>
        <w:t xml:space="preserve">تنظم المادة </w:t>
      </w:r>
      <w:r w:rsidR="0018760E" w:rsidRPr="0089450B">
        <w:rPr>
          <w:rtl/>
        </w:rPr>
        <w:t>5</w:t>
      </w:r>
      <w:r w:rsidR="0018760E" w:rsidRPr="0018760E">
        <w:rPr>
          <w:rtl/>
        </w:rPr>
        <w:t xml:space="preserve"> من القانون عملية طلب الإذن بتنظيم حدث جماهيري وتنص على المعلومات التي ينبغي إدراجها في الطلب، بما في ذلك الغرض من الحدث المزمع ونوعه ومكانه ومساره، والعدد المتوقع للمشاركين فيه، والتدابير المتخذة لضمان النظام والسلامة العامين، وتوفير الخدمات الطبية والتنظيف بعد الحدث. وتنظم المادة </w:t>
      </w:r>
      <w:r w:rsidR="0018760E" w:rsidRPr="0089450B">
        <w:rPr>
          <w:rtl/>
        </w:rPr>
        <w:t>10</w:t>
      </w:r>
      <w:r w:rsidR="0018760E" w:rsidRPr="0018760E">
        <w:rPr>
          <w:rtl/>
        </w:rPr>
        <w:t xml:space="preserve"> إجراءات تنظيم الحدث وتنص على أنه يجب على المنظمين التأكد من أن الحدث يقام وفقا للغرض والمعلومات الأخرى المحددة في الطلب.</w:t>
      </w:r>
    </w:p>
  </w:footnote>
  <w:footnote w:id="4">
    <w:p w14:paraId="3EC94242" w14:textId="243D47FA" w:rsidR="00D42B1B" w:rsidRPr="00D42B1B" w:rsidRDefault="00D42B1B" w:rsidP="00D42B1B">
      <w:pPr>
        <w:pStyle w:val="FootnoteText1"/>
        <w:rPr>
          <w:rFonts w:hint="cs"/>
          <w:rtl/>
        </w:rPr>
      </w:pPr>
      <w:r w:rsidRPr="00D42B1B">
        <w:rPr>
          <w:rtl/>
        </w:rPr>
        <w:t>(</w:t>
      </w:r>
      <w:r w:rsidRPr="0089450B">
        <w:rPr>
          <w:rStyle w:val="FootnoteReference"/>
          <w:vertAlign w:val="baseline"/>
        </w:rPr>
        <w:footnoteRef/>
      </w:r>
      <w:r w:rsidRPr="00D42B1B">
        <w:rPr>
          <w:rtl/>
        </w:rPr>
        <w:t>)</w:t>
      </w:r>
      <w:r>
        <w:rPr>
          <w:rtl/>
        </w:rPr>
        <w:tab/>
      </w:r>
      <w:proofErr w:type="spellStart"/>
      <w:r w:rsidR="0018760E" w:rsidRPr="0089450B">
        <w:rPr>
          <w:i/>
          <w:iCs/>
          <w:rtl/>
        </w:rPr>
        <w:t>بولياكوف</w:t>
      </w:r>
      <w:proofErr w:type="spellEnd"/>
      <w:r w:rsidR="0018760E" w:rsidRPr="0089450B">
        <w:rPr>
          <w:i/>
          <w:iCs/>
          <w:rtl/>
        </w:rPr>
        <w:t xml:space="preserve"> ضد بيلاروس</w:t>
      </w:r>
      <w:r w:rsidR="0018760E" w:rsidRPr="0018760E">
        <w:rPr>
          <w:rtl/>
        </w:rPr>
        <w:t xml:space="preserve"> (</w:t>
      </w:r>
      <w:r w:rsidR="0018760E" w:rsidRPr="0018760E">
        <w:t>CCPR/C/</w:t>
      </w:r>
      <w:r w:rsidR="0018760E" w:rsidRPr="0089450B">
        <w:t>111</w:t>
      </w:r>
      <w:r w:rsidR="0018760E" w:rsidRPr="0018760E">
        <w:t>/D/</w:t>
      </w:r>
      <w:r w:rsidR="0018760E" w:rsidRPr="0089450B">
        <w:t>2030</w:t>
      </w:r>
      <w:r w:rsidR="0018760E" w:rsidRPr="0018760E">
        <w:t>/</w:t>
      </w:r>
      <w:r w:rsidR="0018760E" w:rsidRPr="0089450B">
        <w:t>2011</w:t>
      </w:r>
      <w:r w:rsidR="0018760E" w:rsidRPr="0018760E">
        <w:rPr>
          <w:rtl/>
        </w:rPr>
        <w:t xml:space="preserve">)، الفقرة </w:t>
      </w:r>
      <w:r w:rsidR="0018760E" w:rsidRPr="0089450B">
        <w:rPr>
          <w:rtl/>
        </w:rPr>
        <w:t>8</w:t>
      </w:r>
      <w:r w:rsidR="0018760E" w:rsidRPr="0018760E">
        <w:rPr>
          <w:rtl/>
        </w:rPr>
        <w:t>-</w:t>
      </w:r>
      <w:r w:rsidR="0018760E" w:rsidRPr="0089450B">
        <w:rPr>
          <w:rtl/>
        </w:rPr>
        <w:t>3</w:t>
      </w:r>
      <w:r w:rsidR="0018760E" w:rsidRPr="0018760E">
        <w:rPr>
          <w:rtl/>
        </w:rPr>
        <w:t>.</w:t>
      </w:r>
    </w:p>
  </w:footnote>
  <w:footnote w:id="5">
    <w:p w14:paraId="6EE02543" w14:textId="602B93D8" w:rsidR="00D42B1B" w:rsidRPr="00D42B1B" w:rsidRDefault="00D42B1B" w:rsidP="00D42B1B">
      <w:pPr>
        <w:pStyle w:val="FootnoteText1"/>
        <w:rPr>
          <w:rFonts w:hint="cs"/>
          <w:rtl/>
        </w:rPr>
      </w:pPr>
      <w:r w:rsidRPr="00D42B1B">
        <w:rPr>
          <w:rtl/>
        </w:rPr>
        <w:t>(</w:t>
      </w:r>
      <w:r w:rsidRPr="0089450B">
        <w:rPr>
          <w:rStyle w:val="FootnoteReference"/>
          <w:vertAlign w:val="baseline"/>
        </w:rPr>
        <w:footnoteRef/>
      </w:r>
      <w:r w:rsidRPr="00D42B1B">
        <w:rPr>
          <w:rtl/>
        </w:rPr>
        <w:t>)</w:t>
      </w:r>
      <w:r>
        <w:rPr>
          <w:rtl/>
        </w:rPr>
        <w:tab/>
      </w:r>
      <w:proofErr w:type="spellStart"/>
      <w:r w:rsidR="0018760E" w:rsidRPr="0089450B">
        <w:rPr>
          <w:i/>
          <w:iCs/>
          <w:rtl/>
        </w:rPr>
        <w:t>سيكيركو</w:t>
      </w:r>
      <w:proofErr w:type="spellEnd"/>
      <w:r w:rsidR="0018760E" w:rsidRPr="0089450B">
        <w:rPr>
          <w:i/>
          <w:iCs/>
          <w:rtl/>
        </w:rPr>
        <w:t xml:space="preserve"> ضد بيلاروس</w:t>
      </w:r>
      <w:r w:rsidR="0018760E" w:rsidRPr="0018760E">
        <w:rPr>
          <w:rtl/>
        </w:rPr>
        <w:t xml:space="preserve"> (</w:t>
      </w:r>
      <w:r w:rsidR="0018760E" w:rsidRPr="0018760E">
        <w:t>CCPR/C/</w:t>
      </w:r>
      <w:r w:rsidR="0018760E" w:rsidRPr="0089450B">
        <w:t>109</w:t>
      </w:r>
      <w:r w:rsidR="0018760E" w:rsidRPr="0018760E">
        <w:t>/D/</w:t>
      </w:r>
      <w:r w:rsidR="0018760E" w:rsidRPr="0089450B">
        <w:t>1851</w:t>
      </w:r>
      <w:r w:rsidR="0018760E" w:rsidRPr="0018760E">
        <w:t>/</w:t>
      </w:r>
      <w:r w:rsidR="0018760E" w:rsidRPr="0089450B">
        <w:t>2008</w:t>
      </w:r>
      <w:r w:rsidR="0018760E" w:rsidRPr="0018760E">
        <w:rPr>
          <w:rtl/>
        </w:rPr>
        <w:t xml:space="preserve">)، الفقرة </w:t>
      </w:r>
      <w:r w:rsidR="0018760E" w:rsidRPr="0089450B">
        <w:rPr>
          <w:rtl/>
        </w:rPr>
        <w:t>9</w:t>
      </w:r>
      <w:r w:rsidR="0018760E" w:rsidRPr="0018760E">
        <w:rPr>
          <w:rtl/>
        </w:rPr>
        <w:t>-</w:t>
      </w:r>
      <w:r w:rsidR="0018760E" w:rsidRPr="0089450B">
        <w:rPr>
          <w:rtl/>
        </w:rPr>
        <w:t>6</w:t>
      </w:r>
      <w:r w:rsidR="0018760E" w:rsidRPr="0018760E">
        <w:rPr>
          <w:rtl/>
        </w:rPr>
        <w:t>.</w:t>
      </w:r>
    </w:p>
  </w:footnote>
  <w:footnote w:id="6">
    <w:p w14:paraId="29D8ABBD" w14:textId="58D74E12" w:rsidR="00D42B1B" w:rsidRPr="00D42B1B" w:rsidRDefault="00D42B1B" w:rsidP="00D42B1B">
      <w:pPr>
        <w:pStyle w:val="FootnoteText1"/>
        <w:rPr>
          <w:rFonts w:hint="cs"/>
          <w:rtl/>
        </w:rPr>
      </w:pPr>
      <w:r w:rsidRPr="00D42B1B">
        <w:rPr>
          <w:rtl/>
        </w:rPr>
        <w:t>(</w:t>
      </w:r>
      <w:r w:rsidRPr="0089450B">
        <w:rPr>
          <w:rStyle w:val="FootnoteReference"/>
          <w:vertAlign w:val="baseline"/>
        </w:rPr>
        <w:footnoteRef/>
      </w:r>
      <w:r w:rsidRPr="00D42B1B">
        <w:rPr>
          <w:rtl/>
        </w:rPr>
        <w:t>)</w:t>
      </w:r>
      <w:r>
        <w:rPr>
          <w:rtl/>
        </w:rPr>
        <w:tab/>
      </w:r>
      <w:r w:rsidR="0018760E" w:rsidRPr="0018760E">
        <w:rPr>
          <w:rtl/>
        </w:rPr>
        <w:t xml:space="preserve">على سبيل المثال، قضية </w:t>
      </w:r>
      <w:proofErr w:type="spellStart"/>
      <w:r w:rsidR="0018760E" w:rsidRPr="0089450B">
        <w:rPr>
          <w:i/>
          <w:iCs/>
          <w:rtl/>
        </w:rPr>
        <w:t>ألكسييف</w:t>
      </w:r>
      <w:proofErr w:type="spellEnd"/>
      <w:r w:rsidR="0018760E" w:rsidRPr="0089450B">
        <w:rPr>
          <w:i/>
          <w:iCs/>
          <w:rtl/>
        </w:rPr>
        <w:t xml:space="preserve"> ضد الاتحاد الروسي</w:t>
      </w:r>
      <w:r w:rsidR="0018760E" w:rsidRPr="0018760E">
        <w:rPr>
          <w:rtl/>
        </w:rPr>
        <w:t xml:space="preserve"> (</w:t>
      </w:r>
      <w:r w:rsidR="0018760E" w:rsidRPr="0018760E">
        <w:t>CCPR/C/</w:t>
      </w:r>
      <w:r w:rsidR="0018760E" w:rsidRPr="0089450B">
        <w:t>109</w:t>
      </w:r>
      <w:r w:rsidR="0018760E" w:rsidRPr="0018760E">
        <w:t>/D/</w:t>
      </w:r>
      <w:r w:rsidR="0018760E" w:rsidRPr="0089450B">
        <w:t>1873</w:t>
      </w:r>
      <w:r w:rsidR="0018760E" w:rsidRPr="0018760E">
        <w:t>/</w:t>
      </w:r>
      <w:r w:rsidR="0018760E" w:rsidRPr="0089450B">
        <w:t>2009</w:t>
      </w:r>
      <w:r w:rsidR="0018760E" w:rsidRPr="0018760E">
        <w:rPr>
          <w:rtl/>
        </w:rPr>
        <w:t xml:space="preserve">)، الفقرة </w:t>
      </w:r>
      <w:r w:rsidR="0018760E" w:rsidRPr="0089450B">
        <w:rPr>
          <w:rtl/>
        </w:rPr>
        <w:t>8</w:t>
      </w:r>
      <w:r w:rsidR="0018760E" w:rsidRPr="0018760E">
        <w:rPr>
          <w:rtl/>
        </w:rPr>
        <w:t>-</w:t>
      </w:r>
      <w:r w:rsidR="0018760E" w:rsidRPr="0089450B">
        <w:rPr>
          <w:rtl/>
        </w:rPr>
        <w:t>4</w:t>
      </w:r>
      <w:r w:rsidR="0018760E" w:rsidRPr="0018760E">
        <w:rPr>
          <w:rtl/>
        </w:rPr>
        <w:t xml:space="preserve">؛ وقضية </w:t>
      </w:r>
      <w:proofErr w:type="spellStart"/>
      <w:r w:rsidR="0018760E" w:rsidRPr="0089450B">
        <w:rPr>
          <w:i/>
          <w:iCs/>
          <w:rtl/>
        </w:rPr>
        <w:t>لوزنكو</w:t>
      </w:r>
      <w:proofErr w:type="spellEnd"/>
      <w:r w:rsidR="0018760E" w:rsidRPr="0089450B">
        <w:rPr>
          <w:i/>
          <w:iCs/>
          <w:rtl/>
        </w:rPr>
        <w:t xml:space="preserve"> ضد </w:t>
      </w:r>
      <w:r w:rsidR="0018760E" w:rsidRPr="0089450B">
        <w:rPr>
          <w:i/>
          <w:iCs/>
          <w:spacing w:val="-4"/>
          <w:rtl/>
        </w:rPr>
        <w:t>بيلاروس</w:t>
      </w:r>
      <w:r w:rsidR="0018760E" w:rsidRPr="0018760E">
        <w:rPr>
          <w:spacing w:val="-4"/>
          <w:rtl/>
        </w:rPr>
        <w:t xml:space="preserve"> (</w:t>
      </w:r>
      <w:r w:rsidR="0018760E" w:rsidRPr="0018760E">
        <w:rPr>
          <w:spacing w:val="-4"/>
        </w:rPr>
        <w:t>CCPR/C/</w:t>
      </w:r>
      <w:r w:rsidR="0018760E" w:rsidRPr="0089450B">
        <w:rPr>
          <w:spacing w:val="-4"/>
        </w:rPr>
        <w:t>112</w:t>
      </w:r>
      <w:r w:rsidR="0018760E" w:rsidRPr="0018760E">
        <w:rPr>
          <w:spacing w:val="-4"/>
        </w:rPr>
        <w:t>/D/</w:t>
      </w:r>
      <w:r w:rsidR="0018760E" w:rsidRPr="0089450B">
        <w:rPr>
          <w:spacing w:val="-4"/>
        </w:rPr>
        <w:t>1929</w:t>
      </w:r>
      <w:r w:rsidR="0018760E" w:rsidRPr="0018760E">
        <w:rPr>
          <w:spacing w:val="-4"/>
        </w:rPr>
        <w:t>/</w:t>
      </w:r>
      <w:r w:rsidR="0018760E" w:rsidRPr="0089450B">
        <w:rPr>
          <w:spacing w:val="-4"/>
        </w:rPr>
        <w:t>2010</w:t>
      </w:r>
      <w:r w:rsidR="0018760E" w:rsidRPr="0018760E">
        <w:rPr>
          <w:spacing w:val="-4"/>
          <w:rtl/>
        </w:rPr>
        <w:t xml:space="preserve">)، الفقرة </w:t>
      </w:r>
      <w:r w:rsidR="0018760E" w:rsidRPr="0089450B">
        <w:rPr>
          <w:spacing w:val="-4"/>
          <w:rtl/>
        </w:rPr>
        <w:t>6</w:t>
      </w:r>
      <w:r w:rsidR="0018760E" w:rsidRPr="0018760E">
        <w:rPr>
          <w:spacing w:val="-4"/>
          <w:rtl/>
        </w:rPr>
        <w:t>-</w:t>
      </w:r>
      <w:r w:rsidR="0018760E" w:rsidRPr="0089450B">
        <w:rPr>
          <w:spacing w:val="-4"/>
          <w:rtl/>
        </w:rPr>
        <w:t>3</w:t>
      </w:r>
      <w:r w:rsidR="0018760E" w:rsidRPr="0018760E">
        <w:rPr>
          <w:spacing w:val="-4"/>
          <w:rtl/>
        </w:rPr>
        <w:t xml:space="preserve">؛ وقضية </w:t>
      </w:r>
      <w:proofErr w:type="spellStart"/>
      <w:r w:rsidR="0018760E" w:rsidRPr="0089450B">
        <w:rPr>
          <w:i/>
          <w:iCs/>
          <w:spacing w:val="-4"/>
          <w:rtl/>
        </w:rPr>
        <w:t>سودالينكو</w:t>
      </w:r>
      <w:proofErr w:type="spellEnd"/>
      <w:r w:rsidR="0018760E" w:rsidRPr="0089450B">
        <w:rPr>
          <w:i/>
          <w:iCs/>
          <w:spacing w:val="-4"/>
          <w:rtl/>
        </w:rPr>
        <w:t xml:space="preserve"> ضد بيلاروس</w:t>
      </w:r>
      <w:r w:rsidR="0018760E" w:rsidRPr="0018760E">
        <w:rPr>
          <w:spacing w:val="-4"/>
          <w:rtl/>
        </w:rPr>
        <w:t xml:space="preserve"> (</w:t>
      </w:r>
      <w:r w:rsidR="0018760E" w:rsidRPr="0018760E">
        <w:rPr>
          <w:spacing w:val="-4"/>
        </w:rPr>
        <w:t>CCPR/C/</w:t>
      </w:r>
      <w:r w:rsidR="0018760E" w:rsidRPr="0089450B">
        <w:rPr>
          <w:spacing w:val="-4"/>
        </w:rPr>
        <w:t>115</w:t>
      </w:r>
      <w:r w:rsidR="0018760E" w:rsidRPr="0018760E">
        <w:rPr>
          <w:spacing w:val="-4"/>
        </w:rPr>
        <w:t>/D/</w:t>
      </w:r>
      <w:r w:rsidR="0018760E" w:rsidRPr="0089450B">
        <w:rPr>
          <w:spacing w:val="-4"/>
        </w:rPr>
        <w:t>2016</w:t>
      </w:r>
      <w:r w:rsidR="0018760E" w:rsidRPr="0018760E">
        <w:rPr>
          <w:spacing w:val="-4"/>
        </w:rPr>
        <w:t>/</w:t>
      </w:r>
      <w:r w:rsidR="0018760E" w:rsidRPr="0089450B">
        <w:rPr>
          <w:spacing w:val="-4"/>
        </w:rPr>
        <w:t>2010</w:t>
      </w:r>
      <w:r w:rsidR="0018760E" w:rsidRPr="0018760E">
        <w:rPr>
          <w:spacing w:val="-4"/>
          <w:rtl/>
        </w:rPr>
        <w:t>)،</w:t>
      </w:r>
      <w:r w:rsidR="0018760E" w:rsidRPr="0018760E">
        <w:rPr>
          <w:rtl/>
        </w:rPr>
        <w:t xml:space="preserve"> الفقرة </w:t>
      </w:r>
      <w:r w:rsidR="0018760E" w:rsidRPr="0089450B">
        <w:rPr>
          <w:rtl/>
        </w:rPr>
        <w:t>7</w:t>
      </w:r>
      <w:r w:rsidR="0018760E" w:rsidRPr="0018760E">
        <w:rPr>
          <w:rtl/>
        </w:rPr>
        <w:t>-</w:t>
      </w:r>
      <w:r w:rsidR="0018760E" w:rsidRPr="0089450B">
        <w:rPr>
          <w:rtl/>
        </w:rPr>
        <w:t>3</w:t>
      </w:r>
      <w:r w:rsidR="0018760E" w:rsidRPr="0018760E">
        <w:rPr>
          <w:rtl/>
        </w:rPr>
        <w:t>.</w:t>
      </w:r>
    </w:p>
  </w:footnote>
  <w:footnote w:id="7">
    <w:p w14:paraId="7C1714E1" w14:textId="4EDC25C0" w:rsidR="00D42B1B" w:rsidRPr="00D42B1B" w:rsidRDefault="00D42B1B" w:rsidP="00D42B1B">
      <w:pPr>
        <w:pStyle w:val="FootnoteText1"/>
        <w:rPr>
          <w:rFonts w:hint="cs"/>
          <w:rtl/>
        </w:rPr>
      </w:pPr>
      <w:r w:rsidRPr="00D42B1B">
        <w:rPr>
          <w:rtl/>
        </w:rPr>
        <w:t>(</w:t>
      </w:r>
      <w:r w:rsidRPr="0089450B">
        <w:rPr>
          <w:rStyle w:val="FootnoteReference"/>
          <w:vertAlign w:val="baseline"/>
        </w:rPr>
        <w:footnoteRef/>
      </w:r>
      <w:r w:rsidRPr="00D42B1B">
        <w:rPr>
          <w:rtl/>
        </w:rPr>
        <w:t>)</w:t>
      </w:r>
      <w:r>
        <w:rPr>
          <w:rtl/>
        </w:rPr>
        <w:tab/>
      </w:r>
      <w:r w:rsidR="0018760E" w:rsidRPr="0018760E">
        <w:rPr>
          <w:rtl/>
        </w:rPr>
        <w:t xml:space="preserve">التعليق العام رقم </w:t>
      </w:r>
      <w:r w:rsidR="0018760E" w:rsidRPr="0089450B">
        <w:rPr>
          <w:rtl/>
        </w:rPr>
        <w:t>34</w:t>
      </w:r>
      <w:r w:rsidR="0018760E" w:rsidRPr="0018760E">
        <w:rPr>
          <w:rtl/>
        </w:rPr>
        <w:t xml:space="preserve"> (</w:t>
      </w:r>
      <w:r w:rsidR="0018760E" w:rsidRPr="0089450B">
        <w:rPr>
          <w:rtl/>
        </w:rPr>
        <w:t>2011</w:t>
      </w:r>
      <w:r w:rsidR="0018760E" w:rsidRPr="0018760E">
        <w:rPr>
          <w:rtl/>
        </w:rPr>
        <w:t xml:space="preserve">)، الفقرة </w:t>
      </w:r>
      <w:r w:rsidR="0018760E" w:rsidRPr="0089450B">
        <w:rPr>
          <w:rtl/>
        </w:rPr>
        <w:t>2</w:t>
      </w:r>
      <w:r w:rsidR="0018760E" w:rsidRPr="0018760E">
        <w:rPr>
          <w:rtl/>
        </w:rPr>
        <w:t>.</w:t>
      </w:r>
    </w:p>
  </w:footnote>
  <w:footnote w:id="8">
    <w:p w14:paraId="4C5EB382" w14:textId="2A9AB349" w:rsidR="00D42B1B" w:rsidRPr="00D42B1B" w:rsidRDefault="00D42B1B" w:rsidP="00D42B1B">
      <w:pPr>
        <w:pStyle w:val="FootnoteText1"/>
        <w:rPr>
          <w:rFonts w:hint="cs"/>
          <w:rtl/>
        </w:rPr>
      </w:pPr>
      <w:r w:rsidRPr="00D42B1B">
        <w:rPr>
          <w:rtl/>
        </w:rPr>
        <w:t>(</w:t>
      </w:r>
      <w:r w:rsidRPr="0089450B">
        <w:rPr>
          <w:rStyle w:val="FootnoteReference"/>
          <w:vertAlign w:val="baseline"/>
        </w:rPr>
        <w:footnoteRef/>
      </w:r>
      <w:r w:rsidRPr="00D42B1B">
        <w:rPr>
          <w:rtl/>
        </w:rPr>
        <w:t>)</w:t>
      </w:r>
      <w:r>
        <w:rPr>
          <w:rtl/>
        </w:rPr>
        <w:tab/>
      </w:r>
      <w:r w:rsidR="0018760E" w:rsidRPr="0018760E">
        <w:rPr>
          <w:rtl/>
        </w:rPr>
        <w:t xml:space="preserve">المرجع نفسه، الفقرة </w:t>
      </w:r>
      <w:r w:rsidR="0018760E" w:rsidRPr="0089450B">
        <w:rPr>
          <w:rtl/>
        </w:rPr>
        <w:t>22</w:t>
      </w:r>
      <w:r w:rsidR="0018760E" w:rsidRPr="0018760E">
        <w:rPr>
          <w:rtl/>
        </w:rPr>
        <w:t>.</w:t>
      </w:r>
    </w:p>
  </w:footnote>
  <w:footnote w:id="9">
    <w:p w14:paraId="2EB477F2" w14:textId="4EB6A510" w:rsidR="00D42B1B" w:rsidRPr="00D42B1B" w:rsidRDefault="00D42B1B" w:rsidP="00D42B1B">
      <w:pPr>
        <w:pStyle w:val="FootnoteText1"/>
        <w:rPr>
          <w:rFonts w:hint="cs"/>
          <w:rtl/>
        </w:rPr>
      </w:pPr>
      <w:r w:rsidRPr="00D42B1B">
        <w:rPr>
          <w:rtl/>
        </w:rPr>
        <w:t>(</w:t>
      </w:r>
      <w:r w:rsidRPr="0089450B">
        <w:rPr>
          <w:rStyle w:val="FootnoteReference"/>
          <w:vertAlign w:val="baseline"/>
        </w:rPr>
        <w:footnoteRef/>
      </w:r>
      <w:r w:rsidRPr="00D42B1B">
        <w:rPr>
          <w:rtl/>
        </w:rPr>
        <w:t>)</w:t>
      </w:r>
      <w:r>
        <w:rPr>
          <w:rtl/>
        </w:rPr>
        <w:tab/>
      </w:r>
      <w:r w:rsidR="0018760E" w:rsidRPr="0018760E">
        <w:rPr>
          <w:rtl/>
        </w:rPr>
        <w:t xml:space="preserve">على سبيل المثال، قضية </w:t>
      </w:r>
      <w:proofErr w:type="spellStart"/>
      <w:r w:rsidR="0018760E" w:rsidRPr="0089450B">
        <w:rPr>
          <w:i/>
          <w:iCs/>
          <w:rtl/>
        </w:rPr>
        <w:t>بيفونوس</w:t>
      </w:r>
      <w:proofErr w:type="spellEnd"/>
      <w:r w:rsidR="0018760E" w:rsidRPr="0089450B">
        <w:rPr>
          <w:i/>
          <w:iCs/>
          <w:rtl/>
        </w:rPr>
        <w:t xml:space="preserve"> ضد بيلاروس</w:t>
      </w:r>
      <w:r w:rsidR="0018760E" w:rsidRPr="0018760E">
        <w:rPr>
          <w:rtl/>
        </w:rPr>
        <w:t xml:space="preserve"> (</w:t>
      </w:r>
      <w:r w:rsidR="0018760E" w:rsidRPr="0018760E">
        <w:t>CCPR/C/</w:t>
      </w:r>
      <w:r w:rsidR="0018760E" w:rsidRPr="0089450B">
        <w:t>106</w:t>
      </w:r>
      <w:r w:rsidR="0018760E" w:rsidRPr="0018760E">
        <w:t>/D/</w:t>
      </w:r>
      <w:r w:rsidR="0018760E" w:rsidRPr="0089450B">
        <w:t>1830</w:t>
      </w:r>
      <w:r w:rsidR="0018760E" w:rsidRPr="0018760E">
        <w:t>/</w:t>
      </w:r>
      <w:r w:rsidR="0018760E" w:rsidRPr="0089450B">
        <w:t>2008</w:t>
      </w:r>
      <w:r w:rsidR="0018760E" w:rsidRPr="0018760E">
        <w:rPr>
          <w:rtl/>
        </w:rPr>
        <w:t xml:space="preserve">)، الفقرة </w:t>
      </w:r>
      <w:r w:rsidR="0018760E" w:rsidRPr="0089450B">
        <w:rPr>
          <w:rtl/>
        </w:rPr>
        <w:t>9</w:t>
      </w:r>
      <w:r w:rsidR="0018760E" w:rsidRPr="0018760E">
        <w:rPr>
          <w:rtl/>
        </w:rPr>
        <w:t>-</w:t>
      </w:r>
      <w:r w:rsidR="0018760E" w:rsidRPr="0089450B">
        <w:rPr>
          <w:rtl/>
        </w:rPr>
        <w:t>3</w:t>
      </w:r>
      <w:r w:rsidR="0018760E" w:rsidRPr="0018760E">
        <w:rPr>
          <w:rtl/>
        </w:rPr>
        <w:t xml:space="preserve">، وقضية </w:t>
      </w:r>
      <w:proofErr w:type="spellStart"/>
      <w:r w:rsidR="0018760E" w:rsidRPr="0089450B">
        <w:rPr>
          <w:i/>
          <w:iCs/>
          <w:rtl/>
        </w:rPr>
        <w:t>أوليشكيفيتش</w:t>
      </w:r>
      <w:proofErr w:type="spellEnd"/>
      <w:r w:rsidR="0018760E" w:rsidRPr="0089450B">
        <w:rPr>
          <w:i/>
          <w:iCs/>
          <w:rtl/>
        </w:rPr>
        <w:t xml:space="preserve"> ضد بيلاروس</w:t>
      </w:r>
      <w:r w:rsidR="0018760E" w:rsidRPr="0018760E">
        <w:rPr>
          <w:rtl/>
        </w:rPr>
        <w:t xml:space="preserve"> (</w:t>
      </w:r>
      <w:r w:rsidR="0018760E" w:rsidRPr="0018760E">
        <w:t>CCPR/C/</w:t>
      </w:r>
      <w:r w:rsidR="0018760E" w:rsidRPr="0089450B">
        <w:t>107</w:t>
      </w:r>
      <w:r w:rsidR="0018760E" w:rsidRPr="0018760E">
        <w:t>/D/</w:t>
      </w:r>
      <w:r w:rsidR="0018760E" w:rsidRPr="0089450B">
        <w:t>1785</w:t>
      </w:r>
      <w:r w:rsidR="0018760E" w:rsidRPr="0018760E">
        <w:t>/</w:t>
      </w:r>
      <w:r w:rsidR="0018760E" w:rsidRPr="0089450B">
        <w:t>2008</w:t>
      </w:r>
      <w:r w:rsidR="0018760E" w:rsidRPr="0018760E">
        <w:rPr>
          <w:rtl/>
        </w:rPr>
        <w:t xml:space="preserve">)، الفقرة </w:t>
      </w:r>
      <w:r w:rsidR="0018760E" w:rsidRPr="0089450B">
        <w:rPr>
          <w:rtl/>
        </w:rPr>
        <w:t>8</w:t>
      </w:r>
      <w:r w:rsidR="0018760E" w:rsidRPr="0018760E">
        <w:rPr>
          <w:rtl/>
        </w:rPr>
        <w:t>-</w:t>
      </w:r>
      <w:r w:rsidR="0018760E" w:rsidRPr="0089450B">
        <w:rPr>
          <w:rtl/>
        </w:rPr>
        <w:t>5</w:t>
      </w:r>
      <w:r w:rsidR="0018760E" w:rsidRPr="0018760E">
        <w:rPr>
          <w:rtl/>
        </w:rPr>
        <w:t>.</w:t>
      </w:r>
    </w:p>
  </w:footnote>
  <w:footnote w:id="10">
    <w:p w14:paraId="751E29D4" w14:textId="6BCBF5C8" w:rsidR="00D42B1B" w:rsidRPr="00D42B1B" w:rsidRDefault="00D42B1B" w:rsidP="00D42B1B">
      <w:pPr>
        <w:pStyle w:val="FootnoteText1"/>
        <w:rPr>
          <w:rFonts w:hint="cs"/>
          <w:rtl/>
        </w:rPr>
      </w:pPr>
      <w:r w:rsidRPr="00D42B1B">
        <w:rPr>
          <w:rtl/>
        </w:rPr>
        <w:t>(</w:t>
      </w:r>
      <w:r w:rsidRPr="0089450B">
        <w:rPr>
          <w:rStyle w:val="FootnoteReference"/>
          <w:vertAlign w:val="baseline"/>
        </w:rPr>
        <w:footnoteRef/>
      </w:r>
      <w:r w:rsidRPr="00D42B1B">
        <w:rPr>
          <w:rtl/>
        </w:rPr>
        <w:t>)</w:t>
      </w:r>
      <w:r>
        <w:rPr>
          <w:rtl/>
        </w:rPr>
        <w:tab/>
      </w:r>
      <w:r w:rsidR="0018760E" w:rsidRPr="0018760E">
        <w:rPr>
          <w:rtl/>
        </w:rPr>
        <w:t xml:space="preserve">التعليق العام رقم </w:t>
      </w:r>
      <w:r w:rsidR="0018760E" w:rsidRPr="0089450B">
        <w:rPr>
          <w:rtl/>
        </w:rPr>
        <w:t>37</w:t>
      </w:r>
      <w:r w:rsidR="0018760E" w:rsidRPr="0018760E">
        <w:rPr>
          <w:rtl/>
        </w:rPr>
        <w:t>(</w:t>
      </w:r>
      <w:r w:rsidR="0018760E" w:rsidRPr="0089450B">
        <w:rPr>
          <w:rtl/>
        </w:rPr>
        <w:t>2020</w:t>
      </w:r>
      <w:r w:rsidR="0018760E" w:rsidRPr="0018760E">
        <w:rPr>
          <w:rtl/>
        </w:rPr>
        <w:t xml:space="preserve">)، الفقرتان </w:t>
      </w:r>
      <w:r w:rsidR="0018760E" w:rsidRPr="0089450B">
        <w:rPr>
          <w:rtl/>
        </w:rPr>
        <w:t>55</w:t>
      </w:r>
      <w:r w:rsidR="0018760E" w:rsidRPr="0018760E">
        <w:rPr>
          <w:rtl/>
        </w:rPr>
        <w:t xml:space="preserve"> و</w:t>
      </w:r>
      <w:r w:rsidR="0018760E" w:rsidRPr="0089450B">
        <w:rPr>
          <w:rtl/>
        </w:rPr>
        <w:t>64</w:t>
      </w:r>
      <w:r w:rsidR="0018760E" w:rsidRPr="0018760E">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77307" w14:textId="0FDDF703" w:rsidR="001B2C01" w:rsidRPr="001B2C01" w:rsidRDefault="001B2C01" w:rsidP="001B2C01">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CCPR/C/130/D/2713/2015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DC381" w14:textId="454A6F65" w:rsidR="001B2C01" w:rsidRPr="001B2C01" w:rsidRDefault="001B2C01" w:rsidP="001B2C01">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CCPR/C/130/D/2713/2015</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45"/>
    <w:rsid w:val="000076D5"/>
    <w:rsid w:val="00043663"/>
    <w:rsid w:val="000437B8"/>
    <w:rsid w:val="000505CF"/>
    <w:rsid w:val="000931CD"/>
    <w:rsid w:val="000D701C"/>
    <w:rsid w:val="000E2A71"/>
    <w:rsid w:val="00145577"/>
    <w:rsid w:val="00160263"/>
    <w:rsid w:val="00181F96"/>
    <w:rsid w:val="001872B1"/>
    <w:rsid w:val="0018760E"/>
    <w:rsid w:val="001A1371"/>
    <w:rsid w:val="001B043F"/>
    <w:rsid w:val="001B2C01"/>
    <w:rsid w:val="001B346A"/>
    <w:rsid w:val="001E1CAD"/>
    <w:rsid w:val="001E290D"/>
    <w:rsid w:val="002144FA"/>
    <w:rsid w:val="0023469A"/>
    <w:rsid w:val="00243C8A"/>
    <w:rsid w:val="00267A0E"/>
    <w:rsid w:val="002901D9"/>
    <w:rsid w:val="002976C2"/>
    <w:rsid w:val="003068BC"/>
    <w:rsid w:val="003260FF"/>
    <w:rsid w:val="00343D95"/>
    <w:rsid w:val="00363A18"/>
    <w:rsid w:val="00374341"/>
    <w:rsid w:val="003D1062"/>
    <w:rsid w:val="00402051"/>
    <w:rsid w:val="00420D7B"/>
    <w:rsid w:val="00450B21"/>
    <w:rsid w:val="00453B63"/>
    <w:rsid w:val="00455780"/>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852A9A"/>
    <w:rsid w:val="0089450B"/>
    <w:rsid w:val="008F49E1"/>
    <w:rsid w:val="0090370F"/>
    <w:rsid w:val="009269D2"/>
    <w:rsid w:val="00942135"/>
    <w:rsid w:val="009521B0"/>
    <w:rsid w:val="00957437"/>
    <w:rsid w:val="009711B5"/>
    <w:rsid w:val="00982139"/>
    <w:rsid w:val="009867A8"/>
    <w:rsid w:val="00991F44"/>
    <w:rsid w:val="009A0CFB"/>
    <w:rsid w:val="009A7E9F"/>
    <w:rsid w:val="009C17EC"/>
    <w:rsid w:val="009D4ADE"/>
    <w:rsid w:val="009E5018"/>
    <w:rsid w:val="009E7665"/>
    <w:rsid w:val="00A03700"/>
    <w:rsid w:val="00A053F2"/>
    <w:rsid w:val="00A12B37"/>
    <w:rsid w:val="00A54828"/>
    <w:rsid w:val="00A97E1F"/>
    <w:rsid w:val="00AB512E"/>
    <w:rsid w:val="00AB6758"/>
    <w:rsid w:val="00AB727F"/>
    <w:rsid w:val="00AE7145"/>
    <w:rsid w:val="00B13763"/>
    <w:rsid w:val="00B477A4"/>
    <w:rsid w:val="00B54045"/>
    <w:rsid w:val="00B63ADD"/>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051F5"/>
    <w:rsid w:val="00D10EF1"/>
    <w:rsid w:val="00D42810"/>
    <w:rsid w:val="00D42B1B"/>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C172F"/>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E8D868"/>
  <w15:docId w15:val="{C838AF3F-3143-4D56-AE28-D6A73980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1695</Words>
  <Characters>13412</Characters>
  <Application>Microsoft Office Word</Application>
  <DocSecurity>0</DocSecurity>
  <Lines>1490</Lines>
  <Paragraphs>944</Paragraphs>
  <ScaleCrop>false</ScaleCrop>
  <HeadingPairs>
    <vt:vector size="2" baseType="variant">
      <vt:variant>
        <vt:lpstr>Title</vt:lpstr>
      </vt:variant>
      <vt:variant>
        <vt:i4>1</vt:i4>
      </vt:variant>
    </vt:vector>
  </HeadingPairs>
  <TitlesOfParts>
    <vt:vector size="1" baseType="lpstr">
      <vt:lpstr>CCPR/C/130/D/2713/2015</vt:lpstr>
    </vt:vector>
  </TitlesOfParts>
  <Company>DCM</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CCPR/C/130/D/2713/2015</dc:title>
  <dc:subject>GE.2103414(A)</dc:subject>
  <dc:creator>Gamal MAHMOUD - M. Bazounne</dc:creator>
  <cp:keywords>GE.2106130(A)</cp:keywords>
  <dc:description>Distr.: General_x000d_
12 March 2021_x000d_
Original: English</dc:description>
  <cp:lastModifiedBy>Gamal MAHMOUD</cp:lastModifiedBy>
  <cp:revision>2</cp:revision>
  <dcterms:created xsi:type="dcterms:W3CDTF">2021-04-20T09:11:00Z</dcterms:created>
  <dcterms:modified xsi:type="dcterms:W3CDTF">2021-04-20T09:11:00Z</dcterms:modified>
  <cp:category>Finale</cp:category>
</cp:coreProperties>
</file>