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2622D" w14:paraId="0B7748B9" w14:textId="77777777" w:rsidTr="00CA1AEA">
        <w:trPr>
          <w:cantSplit/>
          <w:trHeight w:hRule="exact" w:val="851"/>
        </w:trPr>
        <w:tc>
          <w:tcPr>
            <w:tcW w:w="1276" w:type="dxa"/>
            <w:tcBorders>
              <w:bottom w:val="single" w:sz="4" w:space="0" w:color="auto"/>
            </w:tcBorders>
            <w:vAlign w:val="bottom"/>
          </w:tcPr>
          <w:p w14:paraId="5F4EC687" w14:textId="77777777" w:rsidR="00165C15" w:rsidRPr="0012622D" w:rsidRDefault="00165C15" w:rsidP="00CA1AEA">
            <w:pPr>
              <w:spacing w:after="80"/>
            </w:pPr>
          </w:p>
        </w:tc>
        <w:tc>
          <w:tcPr>
            <w:tcW w:w="2268" w:type="dxa"/>
            <w:tcBorders>
              <w:bottom w:val="single" w:sz="4" w:space="0" w:color="auto"/>
            </w:tcBorders>
            <w:vAlign w:val="bottom"/>
          </w:tcPr>
          <w:p w14:paraId="6C230414" w14:textId="77777777" w:rsidR="00165C15" w:rsidRPr="0012622D" w:rsidRDefault="00165C15" w:rsidP="00CA1AEA">
            <w:pPr>
              <w:spacing w:after="80" w:line="300" w:lineRule="exact"/>
              <w:rPr>
                <w:b/>
                <w:sz w:val="24"/>
                <w:szCs w:val="24"/>
              </w:rPr>
            </w:pPr>
            <w:r w:rsidRPr="0012622D">
              <w:rPr>
                <w:sz w:val="28"/>
                <w:szCs w:val="28"/>
              </w:rPr>
              <w:t>United Nations</w:t>
            </w:r>
          </w:p>
        </w:tc>
        <w:tc>
          <w:tcPr>
            <w:tcW w:w="6095" w:type="dxa"/>
            <w:gridSpan w:val="2"/>
            <w:tcBorders>
              <w:bottom w:val="single" w:sz="4" w:space="0" w:color="auto"/>
            </w:tcBorders>
            <w:vAlign w:val="bottom"/>
          </w:tcPr>
          <w:p w14:paraId="166067B5" w14:textId="77777777" w:rsidR="00165C15" w:rsidRPr="0012622D" w:rsidRDefault="00733E3C" w:rsidP="00733E3C">
            <w:pPr>
              <w:suppressAutoHyphens w:val="0"/>
              <w:spacing w:after="20"/>
              <w:jc w:val="right"/>
            </w:pPr>
            <w:r w:rsidRPr="0012622D">
              <w:rPr>
                <w:sz w:val="40"/>
              </w:rPr>
              <w:t>CCPR</w:t>
            </w:r>
            <w:r w:rsidRPr="0012622D">
              <w:t>/C/133/D/2796/2016</w:t>
            </w:r>
          </w:p>
        </w:tc>
      </w:tr>
      <w:tr w:rsidR="00165C15" w:rsidRPr="0012622D" w14:paraId="3A9FE5DA" w14:textId="77777777" w:rsidTr="00CA1AEA">
        <w:trPr>
          <w:cantSplit/>
          <w:trHeight w:hRule="exact" w:val="2835"/>
        </w:trPr>
        <w:tc>
          <w:tcPr>
            <w:tcW w:w="1276" w:type="dxa"/>
            <w:tcBorders>
              <w:top w:val="single" w:sz="4" w:space="0" w:color="auto"/>
              <w:bottom w:val="single" w:sz="12" w:space="0" w:color="auto"/>
            </w:tcBorders>
          </w:tcPr>
          <w:p w14:paraId="7A2D9CFF" w14:textId="77777777" w:rsidR="00165C15" w:rsidRPr="0012622D" w:rsidRDefault="00165C15" w:rsidP="00CA1AEA">
            <w:pPr>
              <w:spacing w:before="120"/>
            </w:pPr>
            <w:r w:rsidRPr="0012622D">
              <w:rPr>
                <w:noProof/>
                <w:lang w:eastAsia="en-GB"/>
              </w:rPr>
              <w:drawing>
                <wp:inline distT="0" distB="0" distL="0" distR="0" wp14:anchorId="346B2C56" wp14:editId="0E90B82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ECE0E4" w14:textId="77777777" w:rsidR="00165C15" w:rsidRPr="0012622D" w:rsidRDefault="00165C15" w:rsidP="00CA1AEA">
            <w:pPr>
              <w:spacing w:before="120" w:line="380" w:lineRule="exact"/>
              <w:rPr>
                <w:sz w:val="34"/>
              </w:rPr>
            </w:pPr>
            <w:r w:rsidRPr="0012622D">
              <w:rPr>
                <w:b/>
                <w:sz w:val="34"/>
                <w:szCs w:val="40"/>
              </w:rPr>
              <w:t>International Covenant on</w:t>
            </w:r>
            <w:r w:rsidRPr="0012622D">
              <w:rPr>
                <w:b/>
                <w:sz w:val="34"/>
                <w:szCs w:val="40"/>
              </w:rPr>
              <w:br/>
              <w:t>Civil and Political Rights</w:t>
            </w:r>
          </w:p>
        </w:tc>
        <w:tc>
          <w:tcPr>
            <w:tcW w:w="2835" w:type="dxa"/>
            <w:tcBorders>
              <w:top w:val="single" w:sz="4" w:space="0" w:color="auto"/>
              <w:bottom w:val="single" w:sz="12" w:space="0" w:color="auto"/>
            </w:tcBorders>
          </w:tcPr>
          <w:p w14:paraId="147C6738" w14:textId="77777777" w:rsidR="00165C15" w:rsidRPr="0012622D" w:rsidRDefault="00733E3C" w:rsidP="00733E3C">
            <w:pPr>
              <w:suppressAutoHyphens w:val="0"/>
              <w:spacing w:before="240"/>
            </w:pPr>
            <w:r w:rsidRPr="0012622D">
              <w:t>Distr.: General</w:t>
            </w:r>
          </w:p>
          <w:p w14:paraId="03908166" w14:textId="77777777" w:rsidR="00733E3C" w:rsidRPr="0012622D" w:rsidRDefault="00733E3C" w:rsidP="00733E3C">
            <w:pPr>
              <w:suppressAutoHyphens w:val="0"/>
            </w:pPr>
            <w:r w:rsidRPr="0012622D">
              <w:t>18 February 2022</w:t>
            </w:r>
          </w:p>
          <w:p w14:paraId="59C0E66B" w14:textId="77777777" w:rsidR="00733E3C" w:rsidRPr="0012622D" w:rsidRDefault="00733E3C" w:rsidP="00733E3C">
            <w:pPr>
              <w:suppressAutoHyphens w:val="0"/>
            </w:pPr>
          </w:p>
          <w:p w14:paraId="585471D5" w14:textId="77777777" w:rsidR="00733E3C" w:rsidRPr="0012622D" w:rsidRDefault="00733E3C" w:rsidP="00733E3C">
            <w:pPr>
              <w:suppressAutoHyphens w:val="0"/>
            </w:pPr>
            <w:r w:rsidRPr="0012622D">
              <w:t>Original: English</w:t>
            </w:r>
          </w:p>
        </w:tc>
      </w:tr>
    </w:tbl>
    <w:p w14:paraId="2DEF47AB" w14:textId="77777777" w:rsidR="009C1FB8" w:rsidRPr="0012622D" w:rsidRDefault="009C1FB8" w:rsidP="009C1FB8">
      <w:pPr>
        <w:spacing w:before="120"/>
        <w:rPr>
          <w:b/>
          <w:sz w:val="24"/>
          <w:szCs w:val="24"/>
        </w:rPr>
      </w:pPr>
      <w:bookmarkStart w:id="0" w:name="_Hlk96070744"/>
      <w:r w:rsidRPr="0012622D">
        <w:rPr>
          <w:b/>
          <w:sz w:val="24"/>
          <w:szCs w:val="24"/>
        </w:rPr>
        <w:t>Human Rights Committee</w:t>
      </w:r>
    </w:p>
    <w:p w14:paraId="4F9D23B1" w14:textId="335EE9D5" w:rsidR="009C1FB8" w:rsidRPr="0012622D" w:rsidRDefault="009C1FB8" w:rsidP="009C1FB8">
      <w:pPr>
        <w:pStyle w:val="HChG"/>
      </w:pPr>
      <w:r w:rsidRPr="0012622D">
        <w:tab/>
      </w:r>
      <w:r w:rsidRPr="0012622D">
        <w:tab/>
        <w:t>Views adopted by the Committee under article 5 (4) of the Optional Protocol, concerning communication No. 2796/2016</w:t>
      </w:r>
      <w:r w:rsidRPr="0012622D">
        <w:rPr>
          <w:rStyle w:val="FootnoteReference"/>
          <w:b w:val="0"/>
          <w:bCs/>
          <w:sz w:val="20"/>
          <w:vertAlign w:val="baseline"/>
        </w:rPr>
        <w:footnoteReference w:customMarkFollows="1" w:id="2"/>
        <w:t>*</w:t>
      </w:r>
      <w:r w:rsidRPr="0012622D">
        <w:rPr>
          <w:b w:val="0"/>
          <w:bCs/>
          <w:position w:val="6"/>
          <w:sz w:val="20"/>
        </w:rPr>
        <w:t>,</w:t>
      </w:r>
      <w:r w:rsidRPr="0012622D">
        <w:rPr>
          <w:b w:val="0"/>
          <w:bCs/>
          <w:sz w:val="20"/>
          <w:vertAlign w:val="superscript"/>
        </w:rPr>
        <w:t xml:space="preserve"> </w:t>
      </w:r>
      <w:r w:rsidRPr="0012622D">
        <w:rPr>
          <w:rStyle w:val="FootnoteReference"/>
          <w:b w:val="0"/>
          <w:bCs/>
          <w:sz w:val="20"/>
          <w:vertAlign w:val="baseline"/>
        </w:rPr>
        <w:footnoteReference w:customMarkFollows="1" w:id="3"/>
        <w:t>**</w:t>
      </w:r>
      <w:r w:rsidRPr="0012622D">
        <w:rPr>
          <w:b w:val="0"/>
          <w:bCs/>
          <w:position w:val="6"/>
          <w:sz w:val="20"/>
        </w:rPr>
        <w:t>,</w:t>
      </w:r>
      <w:r w:rsidRPr="0012622D">
        <w:rPr>
          <w:b w:val="0"/>
          <w:bCs/>
          <w:sz w:val="20"/>
          <w:vertAlign w:val="superscript"/>
        </w:rPr>
        <w:t xml:space="preserve"> </w:t>
      </w:r>
      <w:r w:rsidRPr="0012622D">
        <w:rPr>
          <w:rStyle w:val="FootnoteReference"/>
          <w:b w:val="0"/>
          <w:bCs/>
          <w:sz w:val="20"/>
          <w:vertAlign w:val="baseline"/>
        </w:rPr>
        <w:footnoteReference w:customMarkFollows="1" w:id="4"/>
        <w:t>***</w:t>
      </w:r>
    </w:p>
    <w:p w14:paraId="5F200221" w14:textId="77777777" w:rsidR="0012622D" w:rsidRPr="0012622D" w:rsidRDefault="009C1FB8" w:rsidP="009C1FB8">
      <w:pPr>
        <w:pStyle w:val="SingleTxtG"/>
        <w:tabs>
          <w:tab w:val="clear" w:pos="2268"/>
        </w:tabs>
        <w:ind w:left="4536" w:hanging="3402"/>
      </w:pPr>
      <w:r w:rsidRPr="0012622D">
        <w:rPr>
          <w:i/>
        </w:rPr>
        <w:t>Communication submitted by:</w:t>
      </w:r>
      <w:r w:rsidRPr="0012622D">
        <w:tab/>
        <w:t>J.O. Zabayo (represented by counsel, Judith Pieters)</w:t>
      </w:r>
    </w:p>
    <w:p w14:paraId="73A3A891" w14:textId="293B32FE" w:rsidR="009C1FB8" w:rsidRPr="0012622D" w:rsidRDefault="009C1FB8" w:rsidP="009C1FB8">
      <w:pPr>
        <w:pStyle w:val="SingleTxtG"/>
        <w:tabs>
          <w:tab w:val="clear" w:pos="2268"/>
        </w:tabs>
        <w:ind w:left="4536" w:hanging="3402"/>
      </w:pPr>
      <w:r w:rsidRPr="0012622D">
        <w:rPr>
          <w:i/>
        </w:rPr>
        <w:t>Alleged victims:</w:t>
      </w:r>
      <w:r w:rsidRPr="0012622D">
        <w:tab/>
        <w:t>The author and E, her daughter</w:t>
      </w:r>
    </w:p>
    <w:p w14:paraId="6886AA60" w14:textId="77777777" w:rsidR="009C1FB8" w:rsidRPr="0012622D" w:rsidRDefault="009C1FB8" w:rsidP="009C1FB8">
      <w:pPr>
        <w:pStyle w:val="SingleTxtG"/>
        <w:tabs>
          <w:tab w:val="clear" w:pos="2268"/>
        </w:tabs>
        <w:ind w:left="4536" w:hanging="3402"/>
      </w:pPr>
      <w:r w:rsidRPr="0012622D">
        <w:rPr>
          <w:i/>
        </w:rPr>
        <w:t>State party:</w:t>
      </w:r>
      <w:r w:rsidRPr="0012622D">
        <w:tab/>
        <w:t>Netherlands</w:t>
      </w:r>
    </w:p>
    <w:p w14:paraId="11430DB4" w14:textId="77777777" w:rsidR="009C1FB8" w:rsidRPr="0012622D" w:rsidRDefault="009C1FB8" w:rsidP="009C1FB8">
      <w:pPr>
        <w:pStyle w:val="SingleTxtG"/>
        <w:tabs>
          <w:tab w:val="clear" w:pos="2268"/>
        </w:tabs>
        <w:ind w:left="4536" w:hanging="3402"/>
      </w:pPr>
      <w:r w:rsidRPr="0012622D">
        <w:rPr>
          <w:i/>
        </w:rPr>
        <w:t>Date of communication:</w:t>
      </w:r>
      <w:r w:rsidRPr="0012622D">
        <w:tab/>
        <w:t>16 July 2016 (initial submission)</w:t>
      </w:r>
    </w:p>
    <w:p w14:paraId="54716A49" w14:textId="76DBB2C0" w:rsidR="009C1FB8" w:rsidRPr="00E23901" w:rsidRDefault="009C1FB8" w:rsidP="009C1FB8">
      <w:pPr>
        <w:pStyle w:val="SingleTxtG"/>
        <w:tabs>
          <w:tab w:val="clear" w:pos="2268"/>
        </w:tabs>
        <w:ind w:left="4536" w:hanging="3402"/>
      </w:pPr>
      <w:r w:rsidRPr="0012622D">
        <w:rPr>
          <w:i/>
        </w:rPr>
        <w:t>Document references:</w:t>
      </w:r>
      <w:r w:rsidRPr="0012622D">
        <w:tab/>
      </w:r>
      <w:r w:rsidRPr="00E23901">
        <w:t xml:space="preserve">Decision taken pursuant to </w:t>
      </w:r>
      <w:bookmarkStart w:id="1" w:name="_Hlk14967146"/>
      <w:r w:rsidRPr="00E23901">
        <w:t>rule 92 of the Committee</w:t>
      </w:r>
      <w:r w:rsidR="0012622D" w:rsidRPr="00E23901">
        <w:t>’</w:t>
      </w:r>
      <w:r w:rsidRPr="00E23901">
        <w:t xml:space="preserve">s rules of procedure, </w:t>
      </w:r>
      <w:bookmarkEnd w:id="1"/>
      <w:r w:rsidRPr="00E23901">
        <w:t>transmitted to the State party on 10 August 2016 (not issued in document form)</w:t>
      </w:r>
    </w:p>
    <w:p w14:paraId="1E075FB1" w14:textId="77777777" w:rsidR="009C1FB8" w:rsidRPr="0012622D" w:rsidRDefault="009C1FB8" w:rsidP="009C1FB8">
      <w:pPr>
        <w:pStyle w:val="SingleTxtG"/>
        <w:tabs>
          <w:tab w:val="clear" w:pos="2268"/>
        </w:tabs>
        <w:ind w:left="4536" w:hanging="3402"/>
      </w:pPr>
      <w:r w:rsidRPr="0012622D">
        <w:rPr>
          <w:i/>
        </w:rPr>
        <w:t>Date of adoption of Views:</w:t>
      </w:r>
      <w:r w:rsidRPr="0012622D">
        <w:tab/>
        <w:t>13 October 2021</w:t>
      </w:r>
    </w:p>
    <w:p w14:paraId="657D7AE2" w14:textId="77777777" w:rsidR="0012622D" w:rsidRPr="0012622D" w:rsidRDefault="009C1FB8" w:rsidP="009C1FB8">
      <w:pPr>
        <w:pStyle w:val="SingleTxtG"/>
        <w:tabs>
          <w:tab w:val="clear" w:pos="2268"/>
        </w:tabs>
        <w:ind w:left="4536" w:hanging="3402"/>
      </w:pPr>
      <w:r w:rsidRPr="0012622D">
        <w:rPr>
          <w:i/>
          <w:iCs/>
        </w:rPr>
        <w:t>Subject matter:</w:t>
      </w:r>
      <w:r w:rsidRPr="0012622D">
        <w:tab/>
        <w:t>Deportation to Nigeria</w:t>
      </w:r>
    </w:p>
    <w:p w14:paraId="348A24E6" w14:textId="69FE8D3E" w:rsidR="009C1FB8" w:rsidRPr="0012622D" w:rsidRDefault="009C1FB8" w:rsidP="009C1FB8">
      <w:pPr>
        <w:pStyle w:val="SingleTxtG"/>
        <w:tabs>
          <w:tab w:val="clear" w:pos="2268"/>
        </w:tabs>
        <w:ind w:left="4536" w:hanging="3402"/>
      </w:pPr>
      <w:r w:rsidRPr="0012622D">
        <w:rPr>
          <w:i/>
          <w:iCs/>
        </w:rPr>
        <w:t xml:space="preserve">Procedural issue: </w:t>
      </w:r>
      <w:r w:rsidRPr="0012622D">
        <w:rPr>
          <w:i/>
          <w:iCs/>
        </w:rPr>
        <w:tab/>
      </w:r>
      <w:r w:rsidRPr="0012622D">
        <w:t>None</w:t>
      </w:r>
    </w:p>
    <w:p w14:paraId="32B66DB6" w14:textId="34DD2657" w:rsidR="009C1FB8" w:rsidRPr="0012622D" w:rsidRDefault="009C1FB8" w:rsidP="009C1FB8">
      <w:pPr>
        <w:pStyle w:val="SingleTxtG"/>
        <w:tabs>
          <w:tab w:val="clear" w:pos="2268"/>
        </w:tabs>
        <w:ind w:left="4536" w:hanging="3402"/>
      </w:pPr>
      <w:r w:rsidRPr="0012622D">
        <w:rPr>
          <w:i/>
          <w:iCs/>
        </w:rPr>
        <w:t xml:space="preserve">Substantive issue: </w:t>
      </w:r>
      <w:r w:rsidRPr="0012622D">
        <w:rPr>
          <w:i/>
          <w:iCs/>
        </w:rPr>
        <w:tab/>
      </w:r>
      <w:r w:rsidRPr="0012622D">
        <w:t>Risk of the author</w:t>
      </w:r>
      <w:r w:rsidR="0012622D" w:rsidRPr="0012622D">
        <w:t>’</w:t>
      </w:r>
      <w:r w:rsidRPr="0012622D">
        <w:t>s daughter being subjected to excision if removed to Nigeria</w:t>
      </w:r>
    </w:p>
    <w:p w14:paraId="1B9BB703" w14:textId="77777777" w:rsidR="009C1FB8" w:rsidRPr="0012622D" w:rsidRDefault="009C1FB8" w:rsidP="009C1FB8">
      <w:pPr>
        <w:pStyle w:val="SingleTxtG"/>
        <w:tabs>
          <w:tab w:val="clear" w:pos="2268"/>
        </w:tabs>
        <w:ind w:left="4536" w:hanging="3402"/>
      </w:pPr>
      <w:r w:rsidRPr="0012622D">
        <w:rPr>
          <w:i/>
          <w:iCs/>
        </w:rPr>
        <w:t>Articles of the Covenant:</w:t>
      </w:r>
      <w:r w:rsidRPr="0012622D">
        <w:t xml:space="preserve"> </w:t>
      </w:r>
      <w:r w:rsidRPr="0012622D">
        <w:tab/>
        <w:t>1, 2 (3) (a), 7, 9 (1) and 24 (1)</w:t>
      </w:r>
    </w:p>
    <w:p w14:paraId="3FC8A40A" w14:textId="77777777" w:rsidR="009C1FB8" w:rsidRPr="0012622D" w:rsidRDefault="009C1FB8" w:rsidP="009C1FB8">
      <w:pPr>
        <w:pStyle w:val="SingleTxtG"/>
        <w:tabs>
          <w:tab w:val="clear" w:pos="2268"/>
        </w:tabs>
        <w:ind w:left="4536" w:hanging="3402"/>
        <w:rPr>
          <w:iCs/>
        </w:rPr>
      </w:pPr>
      <w:r w:rsidRPr="0012622D">
        <w:rPr>
          <w:i/>
          <w:iCs/>
        </w:rPr>
        <w:t>Articles of the Optional Protocol:</w:t>
      </w:r>
      <w:r w:rsidRPr="0012622D">
        <w:rPr>
          <w:i/>
          <w:iCs/>
        </w:rPr>
        <w:tab/>
      </w:r>
      <w:r w:rsidRPr="0012622D">
        <w:rPr>
          <w:iCs/>
        </w:rPr>
        <w:t>2 and 5 (2) (b)</w:t>
      </w:r>
    </w:p>
    <w:p w14:paraId="0F49E515" w14:textId="77777777" w:rsidR="009C1FB8" w:rsidRPr="0012622D" w:rsidRDefault="009C1FB8" w:rsidP="009C1FB8">
      <w:pPr>
        <w:pStyle w:val="SingleTxtG"/>
        <w:spacing w:before="240"/>
        <w:rPr>
          <w:rFonts w:eastAsia="Calibri"/>
        </w:rPr>
      </w:pPr>
      <w:r w:rsidRPr="0012622D">
        <w:rPr>
          <w:rFonts w:eastAsia="Calibri"/>
        </w:rPr>
        <w:t>1.1</w:t>
      </w:r>
      <w:r w:rsidRPr="0012622D">
        <w:rPr>
          <w:rFonts w:eastAsia="Calibri"/>
        </w:rPr>
        <w:tab/>
        <w:t>The author of the communication is J.O. Zabayo, a Nigerian national born in 1984.</w:t>
      </w:r>
      <w:r w:rsidRPr="0012622D">
        <w:t xml:space="preserve"> </w:t>
      </w:r>
      <w:r w:rsidRPr="0012622D">
        <w:rPr>
          <w:rFonts w:eastAsia="Calibri"/>
        </w:rPr>
        <w:t xml:space="preserve">She submits the communication on her own behalf and on behalf of her minor daughter, E, a Nigerian national born in Amsterdam on 24 June 2014. The author states that her removal to Nigeria with her daughter would violate their rights under articles 1, 2 </w:t>
      </w:r>
      <w:r w:rsidRPr="0012622D">
        <w:t>(3) (a),</w:t>
      </w:r>
      <w:r w:rsidRPr="0012622D">
        <w:rPr>
          <w:rFonts w:eastAsia="Calibri"/>
        </w:rPr>
        <w:t xml:space="preserve"> 7, </w:t>
      </w:r>
      <w:r w:rsidRPr="0012622D">
        <w:t>9 (1)</w:t>
      </w:r>
      <w:r w:rsidRPr="0012622D">
        <w:rPr>
          <w:rFonts w:eastAsia="Calibri"/>
        </w:rPr>
        <w:t xml:space="preserve"> and </w:t>
      </w:r>
      <w:r w:rsidRPr="0012622D">
        <w:t>24 (1)</w:t>
      </w:r>
      <w:r w:rsidRPr="0012622D">
        <w:rPr>
          <w:rFonts w:eastAsia="Calibri"/>
        </w:rPr>
        <w:t xml:space="preserve"> of the Covenant. The Optional Protocol entered into force for the Netherlands on 11 March 1979. The author is represented by counsel.</w:t>
      </w:r>
    </w:p>
    <w:p w14:paraId="20E61B1E" w14:textId="77777777" w:rsidR="009C1FB8" w:rsidRPr="0012622D" w:rsidRDefault="009C1FB8" w:rsidP="009C1FB8">
      <w:pPr>
        <w:pStyle w:val="SingleTxtG"/>
        <w:rPr>
          <w:rFonts w:eastAsia="Calibri"/>
        </w:rPr>
      </w:pPr>
      <w:r w:rsidRPr="0012622D">
        <w:rPr>
          <w:rFonts w:eastAsia="Calibri"/>
        </w:rPr>
        <w:t>1.2</w:t>
      </w:r>
      <w:r w:rsidRPr="0012622D">
        <w:rPr>
          <w:rFonts w:eastAsia="Calibri"/>
        </w:rPr>
        <w:tab/>
        <w:t xml:space="preserve">The case was registered on 10 August 2016 and, pursuant to rule 94 of its rules of procedure, the Committee, acting through its Special Rapporteur on new communications </w:t>
      </w:r>
      <w:r w:rsidRPr="0012622D">
        <w:rPr>
          <w:rFonts w:eastAsia="Calibri"/>
        </w:rPr>
        <w:lastRenderedPageBreak/>
        <w:t>and interim measures, requested that the State party refrain from deporting the author and her daughter to Nigeria while their case was pending before the Committee.</w:t>
      </w:r>
    </w:p>
    <w:p w14:paraId="36AB0220" w14:textId="77777777" w:rsidR="009C1FB8" w:rsidRPr="0012622D" w:rsidRDefault="009C1FB8" w:rsidP="009C1FB8">
      <w:pPr>
        <w:pStyle w:val="H23G"/>
        <w:rPr>
          <w:rFonts w:eastAsia="Calibri"/>
        </w:rPr>
      </w:pPr>
      <w:r w:rsidRPr="0012622D">
        <w:rPr>
          <w:rFonts w:eastAsia="Calibri"/>
        </w:rPr>
        <w:tab/>
      </w:r>
      <w:r w:rsidRPr="0012622D">
        <w:rPr>
          <w:rFonts w:eastAsia="Calibri"/>
        </w:rPr>
        <w:tab/>
        <w:t>Facts as submitted by the author</w:t>
      </w:r>
    </w:p>
    <w:p w14:paraId="597D5041" w14:textId="77777777" w:rsidR="009C1FB8" w:rsidRPr="0012622D" w:rsidRDefault="009C1FB8" w:rsidP="009C1FB8">
      <w:pPr>
        <w:pStyle w:val="SingleTxtG"/>
        <w:rPr>
          <w:rFonts w:eastAsia="Calibri"/>
        </w:rPr>
      </w:pPr>
      <w:r w:rsidRPr="0012622D">
        <w:rPr>
          <w:rFonts w:eastAsia="Calibri"/>
        </w:rPr>
        <w:t>2.1</w:t>
      </w:r>
      <w:r w:rsidRPr="0012622D">
        <w:rPr>
          <w:rFonts w:eastAsia="Calibri"/>
        </w:rPr>
        <w:tab/>
        <w:t>The author is a Christian from Nigeria whose mother chose not to circumcise her. She was traditionally married to a Christian man from Owa East, and, after she got pregnant, her Muslim mother-in-law attempted to force her to undergo circumcision during her pregnancy. The author claims that, following the verbal and physical abuse that she sustained during her one-year marriage, she decided to flee Nigeria for fear of forced circumcision. She received help from a human trafficker, who took her to France but intended to force her into prostitution once she had given birth. The author refused and fled to the Netherlands by train.</w:t>
      </w:r>
      <w:r w:rsidRPr="0012622D">
        <w:rPr>
          <w:rStyle w:val="FootnoteReference"/>
        </w:rPr>
        <w:footnoteReference w:id="5"/>
      </w:r>
      <w:r w:rsidRPr="0012622D">
        <w:rPr>
          <w:rFonts w:eastAsia="Calibri"/>
        </w:rPr>
        <w:t xml:space="preserve"> She entered the Netherlands on 26 April 2014 and was granted a temporary residence permit as a victim of human trafficking on 6 August 2014, after filing a complaint against her traffickers. During an interview, the author informed the police of the reasons why she had fled Nigeria, however, they did not refer her to the asylum procedure.</w:t>
      </w:r>
    </w:p>
    <w:p w14:paraId="377CA428" w14:textId="5DB20918" w:rsidR="009C1FB8" w:rsidRPr="0012622D" w:rsidRDefault="009C1FB8" w:rsidP="009C1FB8">
      <w:pPr>
        <w:pStyle w:val="SingleTxtG"/>
        <w:rPr>
          <w:rFonts w:eastAsia="Calibri"/>
        </w:rPr>
      </w:pPr>
      <w:r w:rsidRPr="0012622D">
        <w:rPr>
          <w:rFonts w:eastAsia="Calibri"/>
        </w:rPr>
        <w:t>2.2</w:t>
      </w:r>
      <w:r w:rsidRPr="0012622D">
        <w:rPr>
          <w:rFonts w:eastAsia="Calibri"/>
        </w:rPr>
        <w:tab/>
        <w:t>The author</w:t>
      </w:r>
      <w:r w:rsidR="0012622D" w:rsidRPr="0012622D">
        <w:rPr>
          <w:rFonts w:eastAsia="Calibri"/>
        </w:rPr>
        <w:t>’</w:t>
      </w:r>
      <w:r w:rsidRPr="0012622D">
        <w:rPr>
          <w:rFonts w:eastAsia="Calibri"/>
        </w:rPr>
        <w:t>s residence permit was later withdrawn,</w:t>
      </w:r>
      <w:r w:rsidRPr="0012622D">
        <w:rPr>
          <w:rStyle w:val="FootnoteReference"/>
        </w:rPr>
        <w:footnoteReference w:id="6"/>
      </w:r>
      <w:r w:rsidRPr="0012622D">
        <w:rPr>
          <w:rFonts w:eastAsia="Calibri"/>
        </w:rPr>
        <w:t xml:space="preserve"> and she applied for asylum. On 24 September 2015, the Immigration and Naturalization Service of the Netherlands rejected her application, finding that her identity</w:t>
      </w:r>
      <w:r w:rsidRPr="0012622D">
        <w:rPr>
          <w:rStyle w:val="FootnoteReference"/>
        </w:rPr>
        <w:footnoteReference w:id="7"/>
      </w:r>
      <w:r w:rsidRPr="0012622D">
        <w:rPr>
          <w:rFonts w:eastAsia="Calibri"/>
        </w:rPr>
        <w:t xml:space="preserve"> could not be clearly established, that information on her marriage and related fear of forced circumcision by her husband</w:t>
      </w:r>
      <w:r w:rsidR="0012622D" w:rsidRPr="0012622D">
        <w:rPr>
          <w:rFonts w:eastAsia="Calibri"/>
        </w:rPr>
        <w:t>’</w:t>
      </w:r>
      <w:r w:rsidRPr="0012622D">
        <w:rPr>
          <w:rFonts w:eastAsia="Calibri"/>
        </w:rPr>
        <w:t>s family were not credible</w:t>
      </w:r>
      <w:r w:rsidRPr="0012622D">
        <w:rPr>
          <w:rStyle w:val="FootnoteReference"/>
        </w:rPr>
        <w:footnoteReference w:id="8"/>
      </w:r>
      <w:r w:rsidRPr="0012622D">
        <w:rPr>
          <w:rFonts w:eastAsia="Calibri"/>
        </w:rPr>
        <w:t xml:space="preserve"> and that she had the possibility of internal flight in Nigeria. On 25 September 2015, the author submitted her views in response to the decision of the Service, claiming that the authorities had not assessed her and E</w:t>
      </w:r>
      <w:r w:rsidR="0012622D" w:rsidRPr="0012622D">
        <w:rPr>
          <w:rFonts w:eastAsia="Calibri"/>
        </w:rPr>
        <w:t>’</w:t>
      </w:r>
      <w:r w:rsidRPr="0012622D">
        <w:rPr>
          <w:rFonts w:eastAsia="Calibri"/>
        </w:rPr>
        <w:t>s fear of forced circumcision upon their return to Nigeria. She explained that she could not present a marriage certificate, because she had been married in a traditional ceremony and that she had not been in contact with her husband since fleeing Nigeria. Regarding an internal flight alternative, she claimed that she was a traumatized single mother with psychiatric problems</w:t>
      </w:r>
      <w:r w:rsidRPr="0012622D">
        <w:rPr>
          <w:rStyle w:val="FootnoteReference"/>
        </w:rPr>
        <w:footnoteReference w:id="9"/>
      </w:r>
      <w:r w:rsidRPr="0012622D">
        <w:rPr>
          <w:rFonts w:eastAsia="Calibri"/>
        </w:rPr>
        <w:t xml:space="preserve"> and that her widowed mother could not offer protection from the author</w:t>
      </w:r>
      <w:r w:rsidR="0012622D" w:rsidRPr="0012622D">
        <w:rPr>
          <w:rFonts w:eastAsia="Calibri"/>
        </w:rPr>
        <w:t>’</w:t>
      </w:r>
      <w:r w:rsidRPr="0012622D">
        <w:rPr>
          <w:rFonts w:eastAsia="Calibri"/>
        </w:rPr>
        <w:t>s husband</w:t>
      </w:r>
      <w:r w:rsidR="0012622D" w:rsidRPr="0012622D">
        <w:rPr>
          <w:rFonts w:eastAsia="Calibri"/>
        </w:rPr>
        <w:t>’</w:t>
      </w:r>
      <w:r w:rsidRPr="0012622D">
        <w:rPr>
          <w:rFonts w:eastAsia="Calibri"/>
        </w:rPr>
        <w:t>s family. The author cites a report of the Office of the United Nations High Commissioner for Refugees (UNHCR) in which the Office stated that, in countries with near-universal practise of female genital mutilation, internal flight was not an option and that, even in countries where female genital mutilation was criminalized, the authorities might not be able to provide protection against an act committed by private actors in a family setting.</w:t>
      </w:r>
      <w:r w:rsidRPr="0012622D">
        <w:rPr>
          <w:rStyle w:val="FootnoteReference"/>
        </w:rPr>
        <w:footnoteReference w:id="10"/>
      </w:r>
    </w:p>
    <w:p w14:paraId="43B26481" w14:textId="660E8FC0" w:rsidR="009C1FB8" w:rsidRPr="0012622D" w:rsidRDefault="009C1FB8" w:rsidP="009C1FB8">
      <w:pPr>
        <w:pStyle w:val="SingleTxtG"/>
        <w:rPr>
          <w:rFonts w:eastAsia="Calibri"/>
        </w:rPr>
      </w:pPr>
      <w:r w:rsidRPr="0012622D">
        <w:rPr>
          <w:rFonts w:eastAsia="Calibri"/>
        </w:rPr>
        <w:t>2.3</w:t>
      </w:r>
      <w:r w:rsidRPr="0012622D">
        <w:rPr>
          <w:rFonts w:eastAsia="Calibri"/>
        </w:rPr>
        <w:tab/>
        <w:t>On 28 September 2015, the Immigration and Naturalization Service rejected the author</w:t>
      </w:r>
      <w:r w:rsidR="0012622D" w:rsidRPr="0012622D">
        <w:rPr>
          <w:rFonts w:eastAsia="Calibri"/>
        </w:rPr>
        <w:t>’</w:t>
      </w:r>
      <w:r w:rsidRPr="0012622D">
        <w:rPr>
          <w:rFonts w:eastAsia="Calibri"/>
        </w:rPr>
        <w:t>s claims.</w:t>
      </w:r>
      <w:r w:rsidRPr="0012622D">
        <w:rPr>
          <w:rStyle w:val="FootnoteReference"/>
        </w:rPr>
        <w:footnoteReference w:id="11"/>
      </w:r>
      <w:r w:rsidRPr="0012622D">
        <w:rPr>
          <w:rFonts w:eastAsia="Calibri"/>
        </w:rPr>
        <w:t xml:space="preserve"> On 2 October 2015, the author appealed the Service</w:t>
      </w:r>
      <w:r w:rsidR="0012622D" w:rsidRPr="0012622D">
        <w:rPr>
          <w:rFonts w:eastAsia="Calibri"/>
        </w:rPr>
        <w:t>’</w:t>
      </w:r>
      <w:r w:rsidRPr="0012622D">
        <w:rPr>
          <w:rFonts w:eastAsia="Calibri"/>
        </w:rPr>
        <w:t>s decision. She argued</w:t>
      </w:r>
      <w:r w:rsidR="0012622D" w:rsidRPr="0012622D">
        <w:rPr>
          <w:rFonts w:eastAsia="Calibri"/>
        </w:rPr>
        <w:t xml:space="preserve"> </w:t>
      </w:r>
      <w:r w:rsidRPr="0012622D">
        <w:rPr>
          <w:rFonts w:eastAsia="Calibri"/>
        </w:rPr>
        <w:t xml:space="preserve">that her identity was proven by her birth certificate and a letter addressed to her from the Embassy of Nigeria and that, under Nigerian law, her husband would receive custody of the </w:t>
      </w:r>
      <w:r w:rsidRPr="0012622D">
        <w:rPr>
          <w:rFonts w:eastAsia="Calibri"/>
        </w:rPr>
        <w:lastRenderedPageBreak/>
        <w:t>child upon her and E</w:t>
      </w:r>
      <w:r w:rsidR="0012622D" w:rsidRPr="0012622D">
        <w:rPr>
          <w:rFonts w:eastAsia="Calibri"/>
        </w:rPr>
        <w:t>’</w:t>
      </w:r>
      <w:r w:rsidRPr="0012622D">
        <w:rPr>
          <w:rFonts w:eastAsia="Calibri"/>
        </w:rPr>
        <w:t>s return, thereby exposing her daughter to a risk of circumcision.</w:t>
      </w:r>
      <w:r w:rsidRPr="0012622D">
        <w:rPr>
          <w:rStyle w:val="FootnoteReference"/>
        </w:rPr>
        <w:footnoteReference w:id="12"/>
      </w:r>
      <w:r w:rsidRPr="0012622D">
        <w:rPr>
          <w:rFonts w:eastAsia="Calibri"/>
        </w:rPr>
        <w:t xml:space="preserve"> On 20 October 2015, the Regional Court of Utrecht declared the appeal ill-founded, finding that previous courts had incorrectly determined the lack of credibility of the author</w:t>
      </w:r>
      <w:r w:rsidR="0012622D" w:rsidRPr="0012622D">
        <w:rPr>
          <w:rFonts w:eastAsia="Calibri"/>
        </w:rPr>
        <w:t>’</w:t>
      </w:r>
      <w:r w:rsidRPr="0012622D">
        <w:rPr>
          <w:rFonts w:eastAsia="Calibri"/>
        </w:rPr>
        <w:t>s marriage, but that there were internal flight alternatives for the author, who did not substantiate the claim that she needed a social network to survive outside her community.</w:t>
      </w:r>
      <w:r w:rsidRPr="0012622D">
        <w:rPr>
          <w:rStyle w:val="FootnoteReference"/>
        </w:rPr>
        <w:footnoteReference w:id="13"/>
      </w:r>
      <w:r w:rsidRPr="0012622D">
        <w:rPr>
          <w:rFonts w:eastAsia="Calibri"/>
        </w:rPr>
        <w:t xml:space="preserve"> On 9 March 2016, the Council of State dismissed the author</w:t>
      </w:r>
      <w:r w:rsidR="0012622D" w:rsidRPr="0012622D">
        <w:rPr>
          <w:rFonts w:eastAsia="Calibri"/>
        </w:rPr>
        <w:t>’</w:t>
      </w:r>
      <w:r w:rsidRPr="0012622D">
        <w:rPr>
          <w:rFonts w:eastAsia="Calibri"/>
        </w:rPr>
        <w:t>s appeal of the Court</w:t>
      </w:r>
      <w:r w:rsidR="0012622D" w:rsidRPr="0012622D">
        <w:rPr>
          <w:rFonts w:eastAsia="Calibri"/>
        </w:rPr>
        <w:t>’</w:t>
      </w:r>
      <w:r w:rsidRPr="0012622D">
        <w:rPr>
          <w:rFonts w:eastAsia="Calibri"/>
        </w:rPr>
        <w:t>s decision.</w:t>
      </w:r>
      <w:r w:rsidRPr="0012622D">
        <w:rPr>
          <w:rStyle w:val="FootnoteReference"/>
        </w:rPr>
        <w:footnoteReference w:id="14"/>
      </w:r>
    </w:p>
    <w:p w14:paraId="2DC677C4" w14:textId="63A1FECE" w:rsidR="009C1FB8" w:rsidRPr="0012622D" w:rsidRDefault="009C1FB8" w:rsidP="009C1FB8">
      <w:pPr>
        <w:pStyle w:val="H23G"/>
        <w:rPr>
          <w:rFonts w:eastAsia="Calibri"/>
        </w:rPr>
      </w:pPr>
      <w:r w:rsidRPr="0012622D">
        <w:rPr>
          <w:rFonts w:eastAsia="Calibri"/>
        </w:rPr>
        <w:tab/>
      </w:r>
      <w:r w:rsidRPr="0012622D">
        <w:rPr>
          <w:rFonts w:eastAsia="Calibri"/>
        </w:rPr>
        <w:tab/>
        <w:t>Complaint</w:t>
      </w:r>
    </w:p>
    <w:p w14:paraId="44F27CD1" w14:textId="77777777" w:rsidR="0012622D" w:rsidRPr="0012622D" w:rsidRDefault="009C1FB8" w:rsidP="009C1FB8">
      <w:pPr>
        <w:pStyle w:val="SingleTxtG"/>
        <w:rPr>
          <w:rFonts w:eastAsia="Calibri"/>
        </w:rPr>
      </w:pPr>
      <w:r w:rsidRPr="0012622D">
        <w:rPr>
          <w:rFonts w:eastAsia="Calibri"/>
        </w:rPr>
        <w:t>3.1</w:t>
      </w:r>
      <w:r w:rsidRPr="0012622D">
        <w:rPr>
          <w:rFonts w:eastAsia="Calibri"/>
        </w:rPr>
        <w:tab/>
        <w:t xml:space="preserve">The author asserts that articles 1, 2 </w:t>
      </w:r>
      <w:r w:rsidRPr="0012622D">
        <w:t>(3) (a)</w:t>
      </w:r>
      <w:r w:rsidRPr="0012622D">
        <w:rPr>
          <w:rFonts w:eastAsia="Calibri"/>
        </w:rPr>
        <w:t xml:space="preserve">, 7, </w:t>
      </w:r>
      <w:r w:rsidRPr="0012622D">
        <w:t>9 (1)</w:t>
      </w:r>
      <w:r w:rsidRPr="0012622D">
        <w:rPr>
          <w:rFonts w:eastAsia="Calibri"/>
        </w:rPr>
        <w:t xml:space="preserve"> and </w:t>
      </w:r>
      <w:r w:rsidRPr="0012622D">
        <w:t>24 (1)</w:t>
      </w:r>
      <w:r w:rsidRPr="0012622D">
        <w:rPr>
          <w:rFonts w:eastAsia="Calibri"/>
        </w:rPr>
        <w:t xml:space="preserve"> of the Covenant have been violated by the Netherlands.</w:t>
      </w:r>
    </w:p>
    <w:p w14:paraId="31E96A02" w14:textId="4E285822" w:rsidR="0012622D" w:rsidRPr="0012622D" w:rsidRDefault="009C1FB8" w:rsidP="009C1FB8">
      <w:pPr>
        <w:pStyle w:val="SingleTxtG"/>
        <w:rPr>
          <w:rFonts w:eastAsia="Calibri"/>
        </w:rPr>
      </w:pPr>
      <w:r w:rsidRPr="0012622D">
        <w:rPr>
          <w:rFonts w:eastAsia="Calibri"/>
        </w:rPr>
        <w:t>3.2</w:t>
      </w:r>
      <w:r w:rsidRPr="0012622D">
        <w:rPr>
          <w:rFonts w:eastAsia="Calibri"/>
        </w:rPr>
        <w:tab/>
        <w:t>She refers to the Committee</w:t>
      </w:r>
      <w:r w:rsidR="0012622D" w:rsidRPr="0012622D">
        <w:rPr>
          <w:rFonts w:eastAsia="Calibri"/>
        </w:rPr>
        <w:t>’</w:t>
      </w:r>
      <w:r w:rsidRPr="0012622D">
        <w:rPr>
          <w:rFonts w:eastAsia="Calibri"/>
        </w:rPr>
        <w:t xml:space="preserve">s jurisprudence in </w:t>
      </w:r>
      <w:r w:rsidRPr="0012622D">
        <w:rPr>
          <w:rFonts w:eastAsia="Calibri"/>
          <w:i/>
        </w:rPr>
        <w:t xml:space="preserve">Kaba </w:t>
      </w:r>
      <w:r w:rsidRPr="0012622D">
        <w:rPr>
          <w:i/>
          <w:szCs w:val="18"/>
        </w:rPr>
        <w:t xml:space="preserve">and Kaba </w:t>
      </w:r>
      <w:r w:rsidRPr="0012622D">
        <w:rPr>
          <w:rFonts w:eastAsia="Calibri"/>
          <w:i/>
        </w:rPr>
        <w:t>v. Canada</w:t>
      </w:r>
      <w:r w:rsidRPr="0012622D">
        <w:rPr>
          <w:rFonts w:eastAsia="Calibri"/>
          <w:iCs/>
        </w:rPr>
        <w:t>,</w:t>
      </w:r>
      <w:r w:rsidRPr="0012622D">
        <w:rPr>
          <w:rStyle w:val="FootnoteReference"/>
        </w:rPr>
        <w:footnoteReference w:id="15"/>
      </w:r>
      <w:r w:rsidRPr="0012622D">
        <w:rPr>
          <w:rFonts w:eastAsia="Calibri"/>
        </w:rPr>
        <w:t xml:space="preserve"> in which the Committee acknowledged that female genital mutilation constituted a violation of article 7 of the Covenant. She also claims that E</w:t>
      </w:r>
      <w:r w:rsidR="0012622D" w:rsidRPr="0012622D">
        <w:rPr>
          <w:rFonts w:eastAsia="Calibri"/>
        </w:rPr>
        <w:t>’</w:t>
      </w:r>
      <w:r w:rsidRPr="0012622D">
        <w:rPr>
          <w:rFonts w:eastAsia="Calibri"/>
        </w:rPr>
        <w:t xml:space="preserve">s very young age – she is </w:t>
      </w:r>
      <w:r w:rsidR="00452F39">
        <w:rPr>
          <w:rFonts w:eastAsia="Calibri"/>
        </w:rPr>
        <w:t>2</w:t>
      </w:r>
      <w:r w:rsidRPr="0012622D">
        <w:rPr>
          <w:rFonts w:eastAsia="Calibri"/>
        </w:rPr>
        <w:t xml:space="preserve"> years of age – puts her at a higher risk of being subjected to female genital mutilation without her consent if she were to be expelled to Nigeria, in violation of articles 7 and </w:t>
      </w:r>
      <w:r w:rsidRPr="0012622D">
        <w:t>24 (1)</w:t>
      </w:r>
      <w:r w:rsidRPr="0012622D">
        <w:rPr>
          <w:rFonts w:eastAsia="Calibri"/>
        </w:rPr>
        <w:t xml:space="preserve"> of the Covenant.</w:t>
      </w:r>
    </w:p>
    <w:p w14:paraId="7C2D732E" w14:textId="77777777" w:rsidR="0012622D" w:rsidRPr="0012622D" w:rsidRDefault="009C1FB8" w:rsidP="009C1FB8">
      <w:pPr>
        <w:pStyle w:val="SingleTxtG"/>
        <w:rPr>
          <w:rFonts w:eastAsia="Calibri"/>
        </w:rPr>
      </w:pPr>
      <w:r w:rsidRPr="0012622D">
        <w:rPr>
          <w:rFonts w:eastAsia="Calibri"/>
        </w:rPr>
        <w:t>3.3</w:t>
      </w:r>
      <w:r w:rsidRPr="0012622D">
        <w:rPr>
          <w:rFonts w:eastAsia="Calibri"/>
        </w:rPr>
        <w:tab/>
        <w:t xml:space="preserve">The author claims that, if expelled to Nigeria, she would be deprived of her right to self-determination, which constitutes a violation of article 1 (1) of the Covenant. With regard to article </w:t>
      </w:r>
      <w:r w:rsidRPr="0012622D">
        <w:t>9 (1)</w:t>
      </w:r>
      <w:r w:rsidRPr="0012622D">
        <w:rPr>
          <w:rFonts w:eastAsia="Calibri"/>
        </w:rPr>
        <w:t xml:space="preserve"> of the Covenant, she claims that, even if she tries to relocate within the country, she would not be able to survive, would face the risk of being accused of kidnapping E and would be at risk of being deprived of her liberty.</w:t>
      </w:r>
      <w:r w:rsidRPr="0012622D">
        <w:t xml:space="preserve"> The author also claims that it would be a violation of </w:t>
      </w:r>
      <w:r w:rsidRPr="0012622D">
        <w:rPr>
          <w:rFonts w:eastAsia="Calibri"/>
        </w:rPr>
        <w:t>article 2 (3) (a) of the Covenant if the State party were to deport her and E to Nigeria, where they would be at real risk of being victims of female genital mutilation.</w:t>
      </w:r>
    </w:p>
    <w:p w14:paraId="26C09BEE" w14:textId="6294A93D" w:rsidR="009C1FB8" w:rsidRPr="0012622D" w:rsidRDefault="009C1FB8" w:rsidP="009C1FB8">
      <w:pPr>
        <w:pStyle w:val="SingleTxtG"/>
        <w:rPr>
          <w:rFonts w:eastAsia="Calibri"/>
        </w:rPr>
      </w:pPr>
      <w:r w:rsidRPr="0012622D">
        <w:rPr>
          <w:rFonts w:eastAsia="Calibri"/>
        </w:rPr>
        <w:t>3.4</w:t>
      </w:r>
      <w:r w:rsidRPr="0012622D">
        <w:rPr>
          <w:rFonts w:eastAsia="Calibri"/>
        </w:rPr>
        <w:tab/>
        <w:t>The author submits that the criminalization of female genital mutilation does not necessarily prevent its widespread practice and that, in patriarchal societies, a father</w:t>
      </w:r>
      <w:r w:rsidR="0012622D" w:rsidRPr="0012622D">
        <w:rPr>
          <w:rFonts w:eastAsia="Calibri"/>
        </w:rPr>
        <w:t>’</w:t>
      </w:r>
      <w:r w:rsidRPr="0012622D">
        <w:rPr>
          <w:rFonts w:eastAsia="Calibri"/>
        </w:rPr>
        <w:t>s family can enforce the practice of female genital mutilation.</w:t>
      </w:r>
      <w:r w:rsidRPr="0012622D">
        <w:rPr>
          <w:rStyle w:val="FootnoteReference"/>
        </w:rPr>
        <w:footnoteReference w:id="16"/>
      </w:r>
      <w:r w:rsidRPr="0012622D">
        <w:rPr>
          <w:rFonts w:eastAsia="Calibri"/>
        </w:rPr>
        <w:t xml:space="preserve"> She argues that the State party</w:t>
      </w:r>
      <w:r w:rsidR="0012622D" w:rsidRPr="0012622D">
        <w:rPr>
          <w:rFonts w:eastAsia="Calibri"/>
        </w:rPr>
        <w:t>’</w:t>
      </w:r>
      <w:r w:rsidRPr="0012622D">
        <w:rPr>
          <w:rFonts w:eastAsia="Calibri"/>
        </w:rPr>
        <w:t>s authorities did not dispute that female genital mutilation is common in Edo State or that she lived in a strictly patriarchal society where her husband</w:t>
      </w:r>
      <w:r w:rsidR="0012622D" w:rsidRPr="0012622D">
        <w:rPr>
          <w:rFonts w:eastAsia="Calibri"/>
        </w:rPr>
        <w:t>’</w:t>
      </w:r>
      <w:r w:rsidRPr="0012622D">
        <w:rPr>
          <w:rFonts w:eastAsia="Calibri"/>
        </w:rPr>
        <w:t>s family exerted control over her and her daughter.</w:t>
      </w:r>
      <w:r w:rsidRPr="0012622D">
        <w:rPr>
          <w:rStyle w:val="FootnoteReference"/>
        </w:rPr>
        <w:footnoteReference w:id="17"/>
      </w:r>
    </w:p>
    <w:p w14:paraId="462ABD0C" w14:textId="6AD27A97" w:rsidR="009C1FB8" w:rsidRPr="0012622D" w:rsidRDefault="009C1FB8" w:rsidP="009C1FB8">
      <w:pPr>
        <w:pStyle w:val="H23G"/>
        <w:rPr>
          <w:rFonts w:eastAsia="Calibri"/>
        </w:rPr>
      </w:pPr>
      <w:r w:rsidRPr="0012622D">
        <w:rPr>
          <w:rFonts w:eastAsia="Calibri"/>
        </w:rPr>
        <w:tab/>
      </w:r>
      <w:r w:rsidRPr="0012622D">
        <w:rPr>
          <w:rFonts w:eastAsia="Calibri"/>
        </w:rPr>
        <w:tab/>
        <w:t>State party</w:t>
      </w:r>
      <w:r w:rsidR="0012622D" w:rsidRPr="0012622D">
        <w:rPr>
          <w:rFonts w:eastAsia="Calibri"/>
        </w:rPr>
        <w:t>’</w:t>
      </w:r>
      <w:r w:rsidRPr="0012622D">
        <w:rPr>
          <w:rFonts w:eastAsia="Calibri"/>
        </w:rPr>
        <w:t>s observations on admissibility and the merits</w:t>
      </w:r>
    </w:p>
    <w:p w14:paraId="70A3490D" w14:textId="77777777" w:rsidR="009C1FB8" w:rsidRPr="0012622D" w:rsidRDefault="009C1FB8" w:rsidP="009C1FB8">
      <w:pPr>
        <w:pStyle w:val="SingleTxtG"/>
        <w:rPr>
          <w:rFonts w:eastAsia="Calibri"/>
        </w:rPr>
      </w:pPr>
      <w:r w:rsidRPr="0012622D">
        <w:rPr>
          <w:rFonts w:eastAsia="Calibri"/>
        </w:rPr>
        <w:t>4.1</w:t>
      </w:r>
      <w:r w:rsidRPr="0012622D">
        <w:rPr>
          <w:rFonts w:eastAsia="Calibri"/>
        </w:rPr>
        <w:tab/>
        <w:t>On 3 February 2017, the State party provided its observations on the admissibility and the merits of the communication.</w:t>
      </w:r>
    </w:p>
    <w:p w14:paraId="433673CE" w14:textId="77777777" w:rsidR="009C1FB8" w:rsidRPr="0012622D" w:rsidRDefault="009C1FB8" w:rsidP="009C1FB8">
      <w:pPr>
        <w:pStyle w:val="SingleTxtG"/>
        <w:rPr>
          <w:rFonts w:eastAsia="Calibri"/>
        </w:rPr>
      </w:pPr>
      <w:r w:rsidRPr="0012622D">
        <w:rPr>
          <w:rFonts w:eastAsia="Calibri"/>
        </w:rPr>
        <w:t>4.2</w:t>
      </w:r>
      <w:r w:rsidRPr="0012622D">
        <w:rPr>
          <w:rFonts w:eastAsia="Calibri"/>
        </w:rPr>
        <w:tab/>
        <w:t xml:space="preserve">The State party submits that the communication is inadmissible. It submits that article 1 of the Covenant is not justiciable under the Optional Protocol and that the Committee has observed in numerous cases that an individual cannot claim to be the victim of a violation of the right to self-determination, enshrined in article 1 of the Covenant, given that the article </w:t>
      </w:r>
      <w:r w:rsidRPr="0012622D">
        <w:rPr>
          <w:rFonts w:eastAsia="Calibri"/>
        </w:rPr>
        <w:lastRenderedPageBreak/>
        <w:t>deals with rights conferred upon peoples.</w:t>
      </w:r>
      <w:r w:rsidRPr="0012622D">
        <w:rPr>
          <w:rStyle w:val="FootnoteReference"/>
        </w:rPr>
        <w:footnoteReference w:id="18"/>
      </w:r>
      <w:r w:rsidRPr="0012622D">
        <w:rPr>
          <w:rFonts w:eastAsia="Calibri"/>
        </w:rPr>
        <w:t xml:space="preserve"> While it accepts that article 2 (1) of the Covenant may be invoked in certain individual cases, it submits that article 2, being of a general nature and containing general obligations of States parties, should be read in conjunction with other articles, which suggests that article 2 of the Covenant is not intended to be applied by the Committee in the context of a procedure under article 2 of the Optional Protocol.</w:t>
      </w:r>
    </w:p>
    <w:p w14:paraId="1B0577E3" w14:textId="77777777" w:rsidR="009C1FB8" w:rsidRPr="0012622D" w:rsidRDefault="009C1FB8" w:rsidP="009C1FB8">
      <w:pPr>
        <w:pStyle w:val="SingleTxtG"/>
        <w:rPr>
          <w:rFonts w:eastAsia="Calibri"/>
        </w:rPr>
      </w:pPr>
      <w:r w:rsidRPr="0012622D">
        <w:rPr>
          <w:rFonts w:eastAsia="Calibri"/>
        </w:rPr>
        <w:t>4.3</w:t>
      </w:r>
      <w:r w:rsidRPr="0012622D">
        <w:rPr>
          <w:rFonts w:eastAsia="Calibri"/>
        </w:rPr>
        <w:tab/>
        <w:t xml:space="preserve">The State party asserts that the author has failed to sufficiently substantiate her claim with regard to articles </w:t>
      </w:r>
      <w:r w:rsidRPr="0012622D">
        <w:t>9 (1)</w:t>
      </w:r>
      <w:r w:rsidRPr="0012622D">
        <w:rPr>
          <w:rFonts w:eastAsia="Calibri"/>
        </w:rPr>
        <w:t xml:space="preserve"> and </w:t>
      </w:r>
      <w:r w:rsidRPr="0012622D">
        <w:t>24 (1)</w:t>
      </w:r>
      <w:r w:rsidRPr="0012622D">
        <w:rPr>
          <w:rFonts w:eastAsia="Calibri"/>
        </w:rPr>
        <w:t xml:space="preserve"> of the Covenant. She has not in any reasoned manner substantiated why she believes that a return to Nigeria would lead to a violation of the right to liberty or of the right to protection of the child.</w:t>
      </w:r>
    </w:p>
    <w:p w14:paraId="3BD4EEF8" w14:textId="77777777" w:rsidR="009C1FB8" w:rsidRPr="0012622D" w:rsidRDefault="009C1FB8" w:rsidP="009C1FB8">
      <w:pPr>
        <w:pStyle w:val="SingleTxtG"/>
        <w:rPr>
          <w:rFonts w:eastAsia="Calibri"/>
        </w:rPr>
      </w:pPr>
      <w:r w:rsidRPr="0012622D">
        <w:rPr>
          <w:rFonts w:eastAsia="Calibri"/>
        </w:rPr>
        <w:t>4.4</w:t>
      </w:r>
      <w:r w:rsidRPr="0012622D">
        <w:rPr>
          <w:rFonts w:eastAsia="Calibri"/>
        </w:rPr>
        <w:tab/>
        <w:t>For those reasons, the State party is of the view that the communication should be declared inadmissible with regard to articles 1, 2, 9 and 24 of the Covenant.</w:t>
      </w:r>
    </w:p>
    <w:p w14:paraId="3FF7A068" w14:textId="77777777" w:rsidR="0012622D" w:rsidRPr="0012622D" w:rsidRDefault="009C1FB8" w:rsidP="009C1FB8">
      <w:pPr>
        <w:pStyle w:val="SingleTxtG"/>
        <w:rPr>
          <w:rFonts w:eastAsia="Calibri"/>
        </w:rPr>
      </w:pPr>
      <w:r w:rsidRPr="0012622D">
        <w:rPr>
          <w:rFonts w:eastAsia="Calibri"/>
        </w:rPr>
        <w:t>4.5</w:t>
      </w:r>
      <w:r w:rsidRPr="0012622D">
        <w:rPr>
          <w:rFonts w:eastAsia="Calibri"/>
        </w:rPr>
        <w:tab/>
        <w:t>The State party submits that the author</w:t>
      </w:r>
      <w:r w:rsidR="0012622D" w:rsidRPr="0012622D">
        <w:rPr>
          <w:rFonts w:eastAsia="Calibri"/>
        </w:rPr>
        <w:t>’</w:t>
      </w:r>
      <w:r w:rsidRPr="0012622D">
        <w:rPr>
          <w:rFonts w:eastAsia="Calibri"/>
        </w:rPr>
        <w:t>s and E</w:t>
      </w:r>
      <w:r w:rsidR="0012622D" w:rsidRPr="0012622D">
        <w:rPr>
          <w:rFonts w:eastAsia="Calibri"/>
        </w:rPr>
        <w:t>’</w:t>
      </w:r>
      <w:r w:rsidRPr="0012622D">
        <w:rPr>
          <w:rFonts w:eastAsia="Calibri"/>
        </w:rPr>
        <w:t xml:space="preserve">s asylum application processes were conducted </w:t>
      </w:r>
      <w:bookmarkStart w:id="2" w:name="_Hlk72184685"/>
      <w:r w:rsidRPr="0012622D">
        <w:rPr>
          <w:rFonts w:eastAsia="Calibri"/>
        </w:rPr>
        <w:t xml:space="preserve">through the Dutch asylum procedure, </w:t>
      </w:r>
      <w:bookmarkEnd w:id="2"/>
      <w:r w:rsidRPr="0012622D">
        <w:rPr>
          <w:rFonts w:eastAsia="Calibri"/>
        </w:rPr>
        <w:t>with due consideration given to article 7 of the Covenant. It submits that the author was interviewed several times during the asylum application procedure on behalf of E and herself. She was questioned on the facts and circumstances of her departure from Nigeria and on the reasons why she believed that she and/or her daughter would expect treatment contrary to article 7 of the Covenant if they were to be returned to Nigeria.</w:t>
      </w:r>
    </w:p>
    <w:p w14:paraId="299E4CE5" w14:textId="76A8ACBC" w:rsidR="009C1FB8" w:rsidRPr="0012622D" w:rsidRDefault="009C1FB8" w:rsidP="009C1FB8">
      <w:pPr>
        <w:pStyle w:val="SingleTxtG"/>
        <w:rPr>
          <w:rFonts w:eastAsia="Calibri"/>
        </w:rPr>
      </w:pPr>
      <w:r w:rsidRPr="0012622D">
        <w:rPr>
          <w:rFonts w:eastAsia="Calibri"/>
        </w:rPr>
        <w:t>4.6</w:t>
      </w:r>
      <w:r w:rsidRPr="0012622D">
        <w:rPr>
          <w:rFonts w:eastAsia="Calibri"/>
        </w:rPr>
        <w:tab/>
        <w:t>Concerning the human rights situation for women and girls in Nigeria, the State party asserts that, even though the continued practice of female genital mutilation, including in Edo State, remains a cause for concern, there is no reason to assume that every woman or girl from Edo State or elsewhere who has not been subjected to female genital mutilation would be subjected to treatment contrary to article 7 of the Covenant upon her return to Nigeria.</w:t>
      </w:r>
    </w:p>
    <w:p w14:paraId="38F8A790" w14:textId="77777777" w:rsidR="009C1FB8" w:rsidRPr="0012622D" w:rsidRDefault="009C1FB8" w:rsidP="009C1FB8">
      <w:pPr>
        <w:pStyle w:val="SingleTxtG"/>
        <w:rPr>
          <w:rFonts w:eastAsia="Calibri"/>
        </w:rPr>
      </w:pPr>
      <w:r w:rsidRPr="0012622D">
        <w:rPr>
          <w:rFonts w:eastAsia="Calibri"/>
        </w:rPr>
        <w:t>4.7</w:t>
      </w:r>
      <w:r w:rsidRPr="0012622D">
        <w:rPr>
          <w:rFonts w:eastAsia="Calibri"/>
        </w:rPr>
        <w:tab/>
        <w:t>It falls to the author to make a persuasive case, on the basis of personal facts and circumstances, regarding her fear that there would be a breach of article 7 of the Covenant if she and her daughter were to be expelled to Nigeria. The risk of such a breach must be based on grounds that go beyond mere theory or suspicion. The author must demonstrate that there is a foreseeable, real and personal risk.</w:t>
      </w:r>
    </w:p>
    <w:p w14:paraId="364105E5" w14:textId="766187A4" w:rsidR="009C1FB8" w:rsidRPr="0012622D" w:rsidRDefault="009C1FB8" w:rsidP="009C1FB8">
      <w:pPr>
        <w:pStyle w:val="SingleTxtG"/>
        <w:rPr>
          <w:rFonts w:eastAsia="Calibri"/>
        </w:rPr>
      </w:pPr>
      <w:r w:rsidRPr="0012622D">
        <w:rPr>
          <w:rFonts w:eastAsia="Calibri"/>
        </w:rPr>
        <w:t>4.8</w:t>
      </w:r>
      <w:r w:rsidRPr="0012622D">
        <w:rPr>
          <w:rFonts w:eastAsia="Calibri"/>
        </w:rPr>
        <w:tab/>
        <w:t>The State party admits that subjecting a child or an adult to female genital mutilation amounts to treatment proscribed by article 7 of the Covenant.</w:t>
      </w:r>
      <w:r w:rsidRPr="0012622D">
        <w:rPr>
          <w:rStyle w:val="FootnoteReference"/>
        </w:rPr>
        <w:footnoteReference w:id="19"/>
      </w:r>
      <w:r w:rsidRPr="0012622D">
        <w:rPr>
          <w:rFonts w:eastAsia="Calibri"/>
        </w:rPr>
        <w:t xml:space="preserve"> A considerable number of girls and women in Nigeria have traditionally been, and continue to be, subjected to that harmful practice, despite its prohibition in law. However, the State party submits that it is necessary to assess whether the author and her daughter would face a real and personal risk of being subjected to female genital mutilation upon their return to Nigeria.</w:t>
      </w:r>
    </w:p>
    <w:p w14:paraId="187C8D0E" w14:textId="77777777" w:rsidR="0012622D" w:rsidRPr="0012622D" w:rsidRDefault="009C1FB8" w:rsidP="009C1FB8">
      <w:pPr>
        <w:pStyle w:val="SingleTxtG"/>
        <w:rPr>
          <w:rFonts w:eastAsia="Calibri"/>
        </w:rPr>
      </w:pPr>
      <w:r w:rsidRPr="0012622D">
        <w:rPr>
          <w:rFonts w:eastAsia="Calibri"/>
        </w:rPr>
        <w:t>4.9</w:t>
      </w:r>
      <w:r w:rsidRPr="0012622D">
        <w:rPr>
          <w:rFonts w:eastAsia="Calibri"/>
        </w:rPr>
        <w:tab/>
        <w:t>The State party submits that the Immigration and Naturalization Service did not find the author</w:t>
      </w:r>
      <w:r w:rsidR="0012622D" w:rsidRPr="0012622D">
        <w:rPr>
          <w:rFonts w:eastAsia="Calibri"/>
        </w:rPr>
        <w:t>’</w:t>
      </w:r>
      <w:r w:rsidRPr="0012622D">
        <w:rPr>
          <w:rFonts w:eastAsia="Calibri"/>
        </w:rPr>
        <w:t>s statements regarding her marriage to a man from Owa East to be credible.</w:t>
      </w:r>
      <w:r w:rsidRPr="0012622D">
        <w:rPr>
          <w:rStyle w:val="FootnoteReference"/>
        </w:rPr>
        <w:footnoteReference w:id="20"/>
      </w:r>
      <w:r w:rsidRPr="0012622D">
        <w:rPr>
          <w:rFonts w:eastAsia="Calibri"/>
        </w:rPr>
        <w:t xml:space="preserve"> Nor did it find the account of the author</w:t>
      </w:r>
      <w:r w:rsidR="0012622D" w:rsidRPr="0012622D">
        <w:rPr>
          <w:rFonts w:eastAsia="Calibri"/>
        </w:rPr>
        <w:t>’</w:t>
      </w:r>
      <w:r w:rsidRPr="0012622D">
        <w:rPr>
          <w:rFonts w:eastAsia="Calibri"/>
        </w:rPr>
        <w:t>s flight to avoid female genital mutilation to be credible, referring to the lack of credibility of her alleged marriage. Because the marriage, and therefore the threat posed by the author</w:t>
      </w:r>
      <w:r w:rsidR="0012622D" w:rsidRPr="0012622D">
        <w:rPr>
          <w:rFonts w:eastAsia="Calibri"/>
        </w:rPr>
        <w:t>’</w:t>
      </w:r>
      <w:r w:rsidRPr="0012622D">
        <w:rPr>
          <w:rFonts w:eastAsia="Calibri"/>
        </w:rPr>
        <w:t>s husband</w:t>
      </w:r>
      <w:r w:rsidR="0012622D" w:rsidRPr="0012622D">
        <w:rPr>
          <w:rFonts w:eastAsia="Calibri"/>
        </w:rPr>
        <w:t>’</w:t>
      </w:r>
      <w:r w:rsidRPr="0012622D">
        <w:rPr>
          <w:rFonts w:eastAsia="Calibri"/>
        </w:rPr>
        <w:t>s family, are not regarded as credible, the threat posed to E is not considered credible either. Even if it should be assumed that the account were credible, the Service considered that it would still not lead to residence permits being granted, because the author and her daughter have a flight alternative or alternative places of residence in Nigeria.</w:t>
      </w:r>
    </w:p>
    <w:p w14:paraId="50EBC998" w14:textId="19D19637" w:rsidR="009C1FB8" w:rsidRPr="0012622D" w:rsidRDefault="009C1FB8" w:rsidP="009C1FB8">
      <w:pPr>
        <w:pStyle w:val="SingleTxtG"/>
        <w:rPr>
          <w:rFonts w:eastAsia="Calibri"/>
        </w:rPr>
      </w:pPr>
      <w:r w:rsidRPr="0012622D">
        <w:rPr>
          <w:rFonts w:eastAsia="Calibri"/>
        </w:rPr>
        <w:t>4.10</w:t>
      </w:r>
      <w:r w:rsidRPr="0012622D">
        <w:rPr>
          <w:rFonts w:eastAsia="Calibri"/>
        </w:rPr>
        <w:tab/>
        <w:t xml:space="preserve">The State party acknowledges that the district court ruled that the Immigration and Naturalization Service had given insufficient reasons for not finding the alleged marriage to be credible. It agreed with the author that the Service had posed few questions on the subject. </w:t>
      </w:r>
      <w:r w:rsidRPr="0012622D">
        <w:rPr>
          <w:rFonts w:eastAsia="Calibri"/>
          <w:bCs/>
        </w:rPr>
        <w:t>However, the district court agreed with the Service</w:t>
      </w:r>
      <w:r w:rsidR="0012622D" w:rsidRPr="0012622D">
        <w:rPr>
          <w:rFonts w:eastAsia="Calibri"/>
          <w:bCs/>
        </w:rPr>
        <w:t>’</w:t>
      </w:r>
      <w:r w:rsidRPr="0012622D">
        <w:rPr>
          <w:rFonts w:eastAsia="Calibri"/>
          <w:bCs/>
        </w:rPr>
        <w:t xml:space="preserve">s alternative argument that, even if the </w:t>
      </w:r>
      <w:r w:rsidRPr="0012622D">
        <w:rPr>
          <w:rFonts w:eastAsia="Calibri"/>
          <w:bCs/>
        </w:rPr>
        <w:lastRenderedPageBreak/>
        <w:t>statements should be assumed to be credible</w:t>
      </w:r>
      <w:r w:rsidRPr="0012622D">
        <w:rPr>
          <w:rFonts w:eastAsia="Calibri"/>
        </w:rPr>
        <w:t>, the author and her daughter could return to, and reside elsewhere in, Nigeria.</w:t>
      </w:r>
    </w:p>
    <w:p w14:paraId="00A1AD41" w14:textId="77777777" w:rsidR="009C1FB8" w:rsidRPr="0012622D" w:rsidRDefault="009C1FB8" w:rsidP="009C1FB8">
      <w:pPr>
        <w:pStyle w:val="SingleTxtG"/>
        <w:rPr>
          <w:rFonts w:eastAsia="Calibri"/>
        </w:rPr>
      </w:pPr>
      <w:r w:rsidRPr="0012622D">
        <w:rPr>
          <w:rFonts w:eastAsia="Calibri"/>
        </w:rPr>
        <w:t>4.11</w:t>
      </w:r>
      <w:r w:rsidRPr="0012622D">
        <w:rPr>
          <w:rFonts w:eastAsia="Calibri"/>
        </w:rPr>
        <w:tab/>
        <w:t>The State party submits that the author and her daughter have not satisfactorily established that they would face a real and personal risk of being forced to submit to female genital mutilation in Nigeria and that they are therefore able to return to Nigeria. The State party recalls that female genital mutilation is now prohibited by federal Nigerian law and that any person who is convicted of an act prohibited by the law is liable to a fine or imprisonment or both. In addition, various non-governmental organizations have been active in the fight against female genital mutilation in Nigeria. However, the State party acknowledges that, despite the legislation that has been passed, the tradition of female genital mutilation has persisted as a result of social pressure. Although there are indications that female genital mutilation is more prevalent in the south, where Edo State is situated, the rate for the whole country in 2015 was 27 per cent, which is lower than it was 10 years ago.</w:t>
      </w:r>
      <w:r w:rsidRPr="0012622D">
        <w:rPr>
          <w:rStyle w:val="FootnoteReference"/>
        </w:rPr>
        <w:footnoteReference w:id="21"/>
      </w:r>
    </w:p>
    <w:p w14:paraId="558052B4" w14:textId="698F58A8" w:rsidR="009C1FB8" w:rsidRPr="0012622D" w:rsidRDefault="009C1FB8" w:rsidP="009C1FB8">
      <w:pPr>
        <w:pStyle w:val="SingleTxtG"/>
        <w:rPr>
          <w:rFonts w:eastAsia="Calibri"/>
        </w:rPr>
      </w:pPr>
      <w:r w:rsidRPr="0012622D">
        <w:rPr>
          <w:rFonts w:eastAsia="Calibri"/>
        </w:rPr>
        <w:t>4.12</w:t>
      </w:r>
      <w:r w:rsidRPr="0012622D">
        <w:rPr>
          <w:rFonts w:eastAsia="Calibri"/>
        </w:rPr>
        <w:tab/>
        <w:t>The State party is of the view that, given that the author</w:t>
      </w:r>
      <w:r w:rsidR="0012622D" w:rsidRPr="0012622D">
        <w:rPr>
          <w:rFonts w:eastAsia="Calibri"/>
        </w:rPr>
        <w:t>’</w:t>
      </w:r>
      <w:r w:rsidRPr="0012622D">
        <w:rPr>
          <w:rFonts w:eastAsia="Calibri"/>
        </w:rPr>
        <w:t>s mother opposed female genital mutilation, she is likely to do everything to protect her daughter and granddaughter. The mother of the author was able to protect her from female genital mutilation during the author</w:t>
      </w:r>
      <w:r w:rsidR="0012622D" w:rsidRPr="0012622D">
        <w:rPr>
          <w:rFonts w:eastAsia="Calibri"/>
        </w:rPr>
        <w:t>’</w:t>
      </w:r>
      <w:r w:rsidRPr="0012622D">
        <w:rPr>
          <w:rFonts w:eastAsia="Calibri"/>
        </w:rPr>
        <w:t>s youth, despite living in a state where there was a relatively high prevalence of female genital mutilation (41.6 per cent). The State party is therefore of the view that the author and her daughter could be expected to move to a different place in Nigeria. No evidence has been presented of any social exclusion of the author or her family as a result of the author</w:t>
      </w:r>
      <w:r w:rsidR="0012622D" w:rsidRPr="0012622D">
        <w:rPr>
          <w:rFonts w:eastAsia="Calibri"/>
        </w:rPr>
        <w:t>’</w:t>
      </w:r>
      <w:r w:rsidRPr="0012622D">
        <w:rPr>
          <w:rFonts w:eastAsia="Calibri"/>
        </w:rPr>
        <w:t>s not having been excised. She went to secondary school and worked as a trainee hairdresser.</w:t>
      </w:r>
      <w:r w:rsidRPr="0012622D">
        <w:t xml:space="preserve"> </w:t>
      </w:r>
      <w:r w:rsidRPr="0012622D">
        <w:rPr>
          <w:rFonts w:eastAsia="Calibri"/>
        </w:rPr>
        <w:t>Hairdressing is a trade that can be pursued anywhere and from which she can earn money. Furthermore, she was not forced to marry against her will.</w:t>
      </w:r>
    </w:p>
    <w:p w14:paraId="36F1B728" w14:textId="12F54A3C" w:rsidR="009C1FB8" w:rsidRPr="0012622D" w:rsidRDefault="009C1FB8" w:rsidP="009C1FB8">
      <w:pPr>
        <w:pStyle w:val="SingleTxtG"/>
        <w:rPr>
          <w:rFonts w:eastAsia="Calibri"/>
        </w:rPr>
      </w:pPr>
      <w:r w:rsidRPr="0012622D">
        <w:rPr>
          <w:rFonts w:eastAsia="Calibri"/>
        </w:rPr>
        <w:t>4.13</w:t>
      </w:r>
      <w:r w:rsidRPr="0012622D">
        <w:rPr>
          <w:rFonts w:eastAsia="Calibri"/>
        </w:rPr>
        <w:tab/>
        <w:t>The State party disagrees with the author</w:t>
      </w:r>
      <w:r w:rsidR="0012622D" w:rsidRPr="0012622D">
        <w:rPr>
          <w:rFonts w:eastAsia="Calibri"/>
        </w:rPr>
        <w:t>’</w:t>
      </w:r>
      <w:r w:rsidRPr="0012622D">
        <w:rPr>
          <w:rFonts w:eastAsia="Calibri"/>
        </w:rPr>
        <w:t xml:space="preserve">s argument that there is a real risk of E being subjected to female genital mutilation because, under Edo native law, the father has authority over her. It follows from the article submitted by the author, entitled </w:t>
      </w:r>
      <w:r w:rsidR="0012622D" w:rsidRPr="0012622D">
        <w:rPr>
          <w:rFonts w:eastAsia="Calibri"/>
        </w:rPr>
        <w:t>“</w:t>
      </w:r>
      <w:r w:rsidRPr="0012622D">
        <w:rPr>
          <w:rFonts w:eastAsia="Calibri"/>
        </w:rPr>
        <w:t>Women</w:t>
      </w:r>
      <w:r w:rsidR="0012622D" w:rsidRPr="0012622D">
        <w:rPr>
          <w:rFonts w:eastAsia="Calibri"/>
        </w:rPr>
        <w:t>’</w:t>
      </w:r>
      <w:r w:rsidRPr="0012622D">
        <w:rPr>
          <w:rFonts w:eastAsia="Calibri"/>
        </w:rPr>
        <w:t>s rights and status under Edo native law and custom – myths and realities</w:t>
      </w:r>
      <w:r w:rsidR="0012622D" w:rsidRPr="0012622D">
        <w:rPr>
          <w:rFonts w:eastAsia="Calibri"/>
        </w:rPr>
        <w:t>”</w:t>
      </w:r>
      <w:r w:rsidRPr="0012622D">
        <w:rPr>
          <w:rFonts w:eastAsia="Calibri"/>
        </w:rPr>
        <w:t>, that children are not by definition subject to the authority of the father. With respect to children of a very young age, such as E, the principle is that each case must be considered and determined on its own merits.</w:t>
      </w:r>
      <w:r w:rsidR="0012622D" w:rsidRPr="0012622D">
        <w:rPr>
          <w:rFonts w:eastAsia="Calibri"/>
        </w:rPr>
        <w:t xml:space="preserve"> </w:t>
      </w:r>
      <w:r w:rsidRPr="0012622D">
        <w:rPr>
          <w:rFonts w:eastAsia="Calibri"/>
        </w:rPr>
        <w:t>That also follows from national legislation.</w:t>
      </w:r>
      <w:r w:rsidRPr="0012622D">
        <w:rPr>
          <w:rStyle w:val="FootnoteReference"/>
        </w:rPr>
        <w:footnoteReference w:id="22"/>
      </w:r>
      <w:r w:rsidRPr="0012622D">
        <w:rPr>
          <w:rFonts w:eastAsia="Calibri"/>
          <w:vertAlign w:val="superscript"/>
        </w:rPr>
        <w:t xml:space="preserve"> </w:t>
      </w:r>
      <w:r w:rsidRPr="0012622D">
        <w:rPr>
          <w:rFonts w:eastAsia="Calibri"/>
        </w:rPr>
        <w:t>More importantly, however, even if E</w:t>
      </w:r>
      <w:r w:rsidR="0012622D" w:rsidRPr="0012622D">
        <w:rPr>
          <w:rFonts w:eastAsia="Calibri"/>
        </w:rPr>
        <w:t>’</w:t>
      </w:r>
      <w:r w:rsidRPr="0012622D">
        <w:rPr>
          <w:rFonts w:eastAsia="Calibri"/>
        </w:rPr>
        <w:t>s father were to obtain authority over E under Edo native law, it does not mean that she would be subjected to female genital mutilation by her father. In addition, it cannot be assumed that, in that respect, there is a real and personal risk that the author</w:t>
      </w:r>
      <w:r w:rsidR="0012622D" w:rsidRPr="0012622D">
        <w:rPr>
          <w:rFonts w:eastAsia="Calibri"/>
        </w:rPr>
        <w:t>’</w:t>
      </w:r>
      <w:r w:rsidRPr="0012622D">
        <w:rPr>
          <w:rFonts w:eastAsia="Calibri"/>
        </w:rPr>
        <w:t>s daughter would be abducted. It is also questionable whether E</w:t>
      </w:r>
      <w:r w:rsidR="0012622D" w:rsidRPr="0012622D">
        <w:rPr>
          <w:rFonts w:eastAsia="Calibri"/>
        </w:rPr>
        <w:t>’</w:t>
      </w:r>
      <w:r w:rsidRPr="0012622D">
        <w:rPr>
          <w:rFonts w:eastAsia="Calibri"/>
        </w:rPr>
        <w:t>s father would even be aware of the author</w:t>
      </w:r>
      <w:r w:rsidR="0012622D" w:rsidRPr="0012622D">
        <w:rPr>
          <w:rFonts w:eastAsia="Calibri"/>
        </w:rPr>
        <w:t>’</w:t>
      </w:r>
      <w:r w:rsidRPr="0012622D">
        <w:rPr>
          <w:rFonts w:eastAsia="Calibri"/>
        </w:rPr>
        <w:t>s return and/or of the existence of his daughter. The marriage between the author and E</w:t>
      </w:r>
      <w:r w:rsidR="0012622D" w:rsidRPr="0012622D">
        <w:rPr>
          <w:rFonts w:eastAsia="Calibri"/>
        </w:rPr>
        <w:t>’</w:t>
      </w:r>
      <w:r w:rsidRPr="0012622D">
        <w:rPr>
          <w:rFonts w:eastAsia="Calibri"/>
        </w:rPr>
        <w:t>s father was conducted in the traditional manner and is not registered with the Nigerian authorities. Furthermore, E was born in the Netherlands, and the author has declared that she is no longer in contact with E</w:t>
      </w:r>
      <w:r w:rsidR="0012622D" w:rsidRPr="0012622D">
        <w:rPr>
          <w:rFonts w:eastAsia="Calibri"/>
        </w:rPr>
        <w:t>’</w:t>
      </w:r>
      <w:r w:rsidRPr="0012622D">
        <w:rPr>
          <w:rFonts w:eastAsia="Calibri"/>
        </w:rPr>
        <w:t>s father, whose name is also not mentioned on E</w:t>
      </w:r>
      <w:r w:rsidR="0012622D" w:rsidRPr="0012622D">
        <w:rPr>
          <w:rFonts w:eastAsia="Calibri"/>
        </w:rPr>
        <w:t>’</w:t>
      </w:r>
      <w:r w:rsidRPr="0012622D">
        <w:rPr>
          <w:rFonts w:eastAsia="Calibri"/>
        </w:rPr>
        <w:t>s birth certificate.</w:t>
      </w:r>
    </w:p>
    <w:p w14:paraId="05C1D38E" w14:textId="27F55555" w:rsidR="0012622D" w:rsidRPr="0012622D" w:rsidRDefault="009C1FB8" w:rsidP="009C1FB8">
      <w:pPr>
        <w:pStyle w:val="SingleTxtG"/>
        <w:rPr>
          <w:rFonts w:eastAsia="Calibri"/>
        </w:rPr>
      </w:pPr>
      <w:r w:rsidRPr="0012622D">
        <w:rPr>
          <w:rFonts w:eastAsia="Calibri"/>
        </w:rPr>
        <w:t>4.14</w:t>
      </w:r>
      <w:r w:rsidRPr="0012622D">
        <w:rPr>
          <w:rFonts w:eastAsia="Calibri"/>
        </w:rPr>
        <w:tab/>
        <w:t xml:space="preserve">With regard to the comparison made by the author with </w:t>
      </w:r>
      <w:r w:rsidRPr="0012622D">
        <w:rPr>
          <w:rFonts w:eastAsia="Calibri"/>
          <w:i/>
        </w:rPr>
        <w:t xml:space="preserve">Kaba </w:t>
      </w:r>
      <w:r w:rsidRPr="0012622D">
        <w:rPr>
          <w:i/>
          <w:szCs w:val="18"/>
        </w:rPr>
        <w:t xml:space="preserve">and Kaba </w:t>
      </w:r>
      <w:r w:rsidRPr="0012622D">
        <w:rPr>
          <w:rFonts w:eastAsia="Calibri"/>
          <w:i/>
        </w:rPr>
        <w:t>v. Canada</w:t>
      </w:r>
      <w:r w:rsidRPr="00F92CC4">
        <w:rPr>
          <w:rFonts w:eastAsia="Calibri"/>
          <w:iCs/>
        </w:rPr>
        <w:t>,</w:t>
      </w:r>
      <w:r w:rsidR="00A90896">
        <w:rPr>
          <w:rFonts w:eastAsia="Calibri"/>
          <w:vertAlign w:val="superscript"/>
        </w:rPr>
        <w:t xml:space="preserve"> </w:t>
      </w:r>
      <w:r w:rsidRPr="0012622D">
        <w:rPr>
          <w:rFonts w:eastAsia="Calibri"/>
        </w:rPr>
        <w:t xml:space="preserve">the State party submits that, unlike </w:t>
      </w:r>
      <w:r w:rsidRPr="0012622D">
        <w:t xml:space="preserve">Diene and </w:t>
      </w:r>
      <w:r w:rsidRPr="0012622D">
        <w:rPr>
          <w:rFonts w:eastAsia="Calibri"/>
        </w:rPr>
        <w:t>Fatoumata Kaba, who were from Guinea, the author and her daughter are from Nigeria, where the prevalence of female genital mutilation is much lower than in Guinea and, in large parts of the former country, even uncommon. The author argues that she would be unable to find work, because she is uneducated, but she has provided no objective information to substantiate that claim. The fact that her situation will not be easy, as a returning single mother with a child, is insufficient to constitute a real risk of a violation of any article of the Covenant.</w:t>
      </w:r>
      <w:r w:rsidRPr="0012622D">
        <w:rPr>
          <w:rStyle w:val="FootnoteReference"/>
        </w:rPr>
        <w:footnoteReference w:id="23"/>
      </w:r>
    </w:p>
    <w:p w14:paraId="5D857994" w14:textId="7D3C1A17" w:rsidR="009C1FB8" w:rsidRPr="0012622D" w:rsidRDefault="009C1FB8" w:rsidP="009C1FB8">
      <w:pPr>
        <w:pStyle w:val="SingleTxtG"/>
        <w:rPr>
          <w:rFonts w:eastAsia="Calibri"/>
        </w:rPr>
      </w:pPr>
      <w:r w:rsidRPr="0012622D">
        <w:rPr>
          <w:rFonts w:eastAsia="Calibri"/>
        </w:rPr>
        <w:lastRenderedPageBreak/>
        <w:t>4.15</w:t>
      </w:r>
      <w:r w:rsidRPr="0012622D">
        <w:rPr>
          <w:rFonts w:eastAsia="Calibri"/>
        </w:rPr>
        <w:tab/>
        <w:t>In addition, the State party contends that the author could make thorough preparations for her return and, in doing so, obtain financial and material assistance from such organizations as the International Organization for Migration, to ensure that her return and reintegration proceeds as smoothly as possible. Other non-governmental organizations may provide assistance to the author and her daughter if they experience any problems. Therefore, the State party is of the view that there is no real, personal and foreseeable risk that the author and her daughter would be subjected to female genital mutilation upon their expulsion to Nigeria.</w:t>
      </w:r>
    </w:p>
    <w:p w14:paraId="6496152E" w14:textId="77777777" w:rsidR="009C1FB8" w:rsidRPr="0012622D" w:rsidRDefault="009C1FB8" w:rsidP="009C1FB8">
      <w:pPr>
        <w:pStyle w:val="SingleTxtG"/>
        <w:rPr>
          <w:rFonts w:eastAsia="Calibri"/>
        </w:rPr>
      </w:pPr>
      <w:r w:rsidRPr="0012622D">
        <w:rPr>
          <w:rFonts w:eastAsia="Calibri"/>
        </w:rPr>
        <w:t>4.16</w:t>
      </w:r>
      <w:r w:rsidRPr="0012622D">
        <w:rPr>
          <w:rFonts w:eastAsia="Calibri"/>
        </w:rPr>
        <w:tab/>
        <w:t>In view of the above, the State party is of the opinion that the communication should be declared inadmissible, with regard to articles 1, 2, 9 and 24 of the Covenant, and that it has not been satisfactorily established that the author and her daughter would be subjected to treatment contrary to article 7 of the Covenant upon their expulsion to Nigeria. Therefore, the communication is unfounded in its entirety.</w:t>
      </w:r>
    </w:p>
    <w:p w14:paraId="0A0FAEF9" w14:textId="77777777" w:rsidR="0012622D" w:rsidRPr="0012622D" w:rsidRDefault="009C1FB8" w:rsidP="009C1FB8">
      <w:pPr>
        <w:pStyle w:val="H23G"/>
        <w:rPr>
          <w:rFonts w:eastAsia="Calibri"/>
        </w:rPr>
      </w:pPr>
      <w:r w:rsidRPr="0012622D">
        <w:rPr>
          <w:rFonts w:eastAsia="Calibri"/>
        </w:rPr>
        <w:tab/>
      </w:r>
      <w:r w:rsidRPr="0012622D">
        <w:rPr>
          <w:rFonts w:eastAsia="Calibri"/>
        </w:rPr>
        <w:tab/>
        <w:t>Author</w:t>
      </w:r>
      <w:r w:rsidR="0012622D" w:rsidRPr="0012622D">
        <w:rPr>
          <w:rFonts w:eastAsia="Calibri"/>
        </w:rPr>
        <w:t>’</w:t>
      </w:r>
      <w:r w:rsidRPr="0012622D">
        <w:rPr>
          <w:rFonts w:eastAsia="Calibri"/>
        </w:rPr>
        <w:t>s comments on the State party</w:t>
      </w:r>
      <w:r w:rsidR="0012622D" w:rsidRPr="0012622D">
        <w:rPr>
          <w:rFonts w:eastAsia="Calibri"/>
        </w:rPr>
        <w:t>’</w:t>
      </w:r>
      <w:r w:rsidRPr="0012622D">
        <w:rPr>
          <w:rFonts w:eastAsia="Calibri"/>
        </w:rPr>
        <w:t>s observations on admissibility and the merits</w:t>
      </w:r>
    </w:p>
    <w:p w14:paraId="53F2FDB6" w14:textId="77DD90FA" w:rsidR="009C1FB8" w:rsidRPr="0012622D" w:rsidRDefault="009C1FB8" w:rsidP="009C1FB8">
      <w:pPr>
        <w:pStyle w:val="SingleTxtG"/>
        <w:rPr>
          <w:rFonts w:eastAsia="Calibri"/>
        </w:rPr>
      </w:pPr>
      <w:r w:rsidRPr="0012622D">
        <w:rPr>
          <w:rFonts w:eastAsia="Calibri"/>
        </w:rPr>
        <w:t>5.1</w:t>
      </w:r>
      <w:r w:rsidRPr="0012622D">
        <w:rPr>
          <w:rFonts w:eastAsia="Calibri"/>
        </w:rPr>
        <w:tab/>
        <w:t>On 26 May 2017, the author submitted comments on the State party</w:t>
      </w:r>
      <w:r w:rsidR="0012622D" w:rsidRPr="0012622D">
        <w:rPr>
          <w:rFonts w:eastAsia="Calibri"/>
        </w:rPr>
        <w:t>’</w:t>
      </w:r>
      <w:r w:rsidRPr="0012622D">
        <w:rPr>
          <w:rFonts w:eastAsia="Calibri"/>
        </w:rPr>
        <w:t>s observations on the admissibility and the merits of the communication.</w:t>
      </w:r>
    </w:p>
    <w:p w14:paraId="2BFC0536" w14:textId="77777777" w:rsidR="009C1FB8" w:rsidRPr="0012622D" w:rsidRDefault="009C1FB8" w:rsidP="009C1FB8">
      <w:pPr>
        <w:pStyle w:val="SingleTxtG"/>
        <w:rPr>
          <w:rFonts w:eastAsia="Calibri"/>
        </w:rPr>
      </w:pPr>
      <w:r w:rsidRPr="0012622D">
        <w:rPr>
          <w:rFonts w:eastAsia="Calibri"/>
        </w:rPr>
        <w:t>5.2</w:t>
      </w:r>
      <w:r w:rsidRPr="0012622D">
        <w:rPr>
          <w:rFonts w:eastAsia="Calibri"/>
        </w:rPr>
        <w:tab/>
        <w:t xml:space="preserve">While the author agrees with the State party that the communication is inadmissible under articles 1 and 9 of the Covenant, she </w:t>
      </w:r>
      <w:r w:rsidRPr="0012622D">
        <w:rPr>
          <w:rFonts w:eastAsia="Calibri"/>
          <w:iCs/>
        </w:rPr>
        <w:t xml:space="preserve">persists in her view that she has sufficiently substantiated her claims under article 7, read in conjunction with articles </w:t>
      </w:r>
      <w:r w:rsidRPr="0012622D">
        <w:rPr>
          <w:rFonts w:eastAsia="Calibri"/>
        </w:rPr>
        <w:t>2 (3)</w:t>
      </w:r>
      <w:r w:rsidRPr="0012622D">
        <w:rPr>
          <w:rFonts w:eastAsia="Calibri"/>
          <w:iCs/>
        </w:rPr>
        <w:t xml:space="preserve"> and 24, of the Covenant.</w:t>
      </w:r>
    </w:p>
    <w:p w14:paraId="7E60B723" w14:textId="77777777" w:rsidR="009C1FB8" w:rsidRPr="0012622D" w:rsidRDefault="009C1FB8" w:rsidP="009C1FB8">
      <w:pPr>
        <w:pStyle w:val="SingleTxtG"/>
        <w:rPr>
          <w:rFonts w:eastAsia="Calibri"/>
          <w:iCs/>
        </w:rPr>
      </w:pPr>
      <w:r w:rsidRPr="0012622D">
        <w:rPr>
          <w:rFonts w:eastAsia="Calibri"/>
          <w:iCs/>
        </w:rPr>
        <w:t>5.3</w:t>
      </w:r>
      <w:r w:rsidRPr="0012622D">
        <w:rPr>
          <w:rFonts w:eastAsia="Calibri"/>
          <w:iCs/>
        </w:rPr>
        <w:tab/>
        <w:t xml:space="preserve">With regard to article 7, the author asserts that there are substantial grounds for believing that she and E face a real and personal risk of being subjected to female genital mutilation upon their expulsion to Nigeria and that there is no flight alternative to escape that risk. She submits that female genital mutilation can be considered as a form of inhuman or degrading treatment and that the State party </w:t>
      </w:r>
      <w:r w:rsidRPr="0012622D">
        <w:rPr>
          <w:rFonts w:eastAsia="Calibri"/>
        </w:rPr>
        <w:t>must refrain from removing her to a country where she and her daughter run a real risk of being excised. With regard to article 24, read</w:t>
      </w:r>
      <w:r w:rsidRPr="0012622D">
        <w:rPr>
          <w:rFonts w:eastAsia="Calibri"/>
          <w:iCs/>
        </w:rPr>
        <w:t xml:space="preserve"> in conjunction with article 7, of the Covenant</w:t>
      </w:r>
      <w:r w:rsidRPr="0012622D">
        <w:rPr>
          <w:rFonts w:eastAsia="Calibri"/>
        </w:rPr>
        <w:t xml:space="preserve">, the author submits that </w:t>
      </w:r>
      <w:r w:rsidRPr="0012622D">
        <w:rPr>
          <w:rFonts w:eastAsia="Calibri"/>
          <w:iCs/>
        </w:rPr>
        <w:t>the communication addresses the case of a young child who is in need of special protection by the State against the risk of being circumcised upon her expulsion to Nigeria. Given the fairly high incidence of female genital mutilation in Nigeria and that E is only two years old, there is a real risk that she would be subjected to female genital mutilation without her consent if she were to be expelled to Nigeria.</w:t>
      </w:r>
    </w:p>
    <w:p w14:paraId="5F5EC7B4" w14:textId="15EFF059" w:rsidR="009C1FB8" w:rsidRPr="0012622D" w:rsidRDefault="009C1FB8" w:rsidP="009C1FB8">
      <w:pPr>
        <w:pStyle w:val="SingleTxtG"/>
        <w:rPr>
          <w:rFonts w:eastAsia="Calibri"/>
        </w:rPr>
      </w:pPr>
      <w:r w:rsidRPr="0012622D">
        <w:rPr>
          <w:rFonts w:eastAsia="Calibri"/>
          <w:iCs/>
        </w:rPr>
        <w:t>5.4</w:t>
      </w:r>
      <w:r w:rsidRPr="0012622D">
        <w:rPr>
          <w:rFonts w:eastAsia="Calibri"/>
          <w:iCs/>
        </w:rPr>
        <w:tab/>
        <w:t>The author notes that, in its observations, the State party accepts that the district court</w:t>
      </w:r>
      <w:r w:rsidR="0012622D" w:rsidRPr="0012622D">
        <w:rPr>
          <w:rFonts w:eastAsia="Calibri"/>
          <w:iCs/>
        </w:rPr>
        <w:t xml:space="preserve"> </w:t>
      </w:r>
      <w:r w:rsidRPr="0012622D">
        <w:rPr>
          <w:rFonts w:eastAsia="Calibri"/>
          <w:iCs/>
        </w:rPr>
        <w:t>ruled that the Immigration and Naturalization Service had given insufficient reasoning for not finding the alleged marriage credible. The author also notes that the State party recognizes that the continued practice of female genital mutilation, including in Edo State, remains a cause for</w:t>
      </w:r>
      <w:r w:rsidR="0012622D" w:rsidRPr="0012622D">
        <w:rPr>
          <w:rFonts w:eastAsia="Calibri"/>
          <w:iCs/>
        </w:rPr>
        <w:t xml:space="preserve"> </w:t>
      </w:r>
      <w:r w:rsidRPr="0012622D">
        <w:rPr>
          <w:rFonts w:eastAsia="Calibri"/>
          <w:iCs/>
        </w:rPr>
        <w:t>concern, despite the prohibition of the practice by the Violence Against Persons Act in Nigeria. Perpetrators are still rarely prosecuted.</w:t>
      </w:r>
    </w:p>
    <w:p w14:paraId="52202652" w14:textId="38685750" w:rsidR="009C1FB8" w:rsidRPr="0012622D" w:rsidRDefault="009C1FB8" w:rsidP="009C1FB8">
      <w:pPr>
        <w:pStyle w:val="SingleTxtG"/>
        <w:rPr>
          <w:rFonts w:eastAsia="Calibri"/>
        </w:rPr>
      </w:pPr>
      <w:r w:rsidRPr="0012622D">
        <w:rPr>
          <w:rFonts w:eastAsia="Calibri"/>
        </w:rPr>
        <w:t>5.5</w:t>
      </w:r>
      <w:r w:rsidRPr="0012622D">
        <w:rPr>
          <w:rFonts w:eastAsia="Calibri"/>
        </w:rPr>
        <w:tab/>
        <w:t>The author objects to the State party</w:t>
      </w:r>
      <w:r w:rsidR="0012622D" w:rsidRPr="0012622D">
        <w:rPr>
          <w:rFonts w:eastAsia="Calibri"/>
        </w:rPr>
        <w:t>’</w:t>
      </w:r>
      <w:r w:rsidRPr="0012622D">
        <w:rPr>
          <w:rFonts w:eastAsia="Calibri"/>
        </w:rPr>
        <w:t>s argument that she and E have a flight alternative elsewhere in Nigeria. Female genital mutilation is common in the entire southern part of Nigeria. Therefore, there is not any part of Nigeria where she could be safe and avoid that risk. She is not able to survive on her own, and she cannot rely on a social network where she would be</w:t>
      </w:r>
      <w:r w:rsidR="0012622D" w:rsidRPr="0012622D">
        <w:rPr>
          <w:rFonts w:eastAsia="Calibri"/>
        </w:rPr>
        <w:t xml:space="preserve"> </w:t>
      </w:r>
      <w:r w:rsidRPr="0012622D">
        <w:rPr>
          <w:rFonts w:eastAsia="Calibri"/>
        </w:rPr>
        <w:t>protected against circumcision. To support her claims, the author relies on the UNHCR guidance note on refugee claims relating to female genital mutilation, in which UNHCR stated that, in determining whether there was an internal flight or relocation alternative in cases involving female genital mutilation, it was necessary to determine whether such an alternative was both relevant and reasonable. The lack of effective State protection in one part of the country was an indication that the State would not be able or willing to protect the girl or woman concerned in any other part of the country. In the same report, UNHCR pointed out that internal flight in female genital mutilation-related claims had mostly been considered by decision</w:t>
      </w:r>
      <w:r w:rsidR="001F2820">
        <w:rPr>
          <w:rFonts w:eastAsia="Calibri"/>
        </w:rPr>
        <w:t xml:space="preserve"> </w:t>
      </w:r>
      <w:r w:rsidRPr="0012622D">
        <w:rPr>
          <w:rFonts w:eastAsia="Calibri"/>
        </w:rPr>
        <w:t xml:space="preserve">makers in the case of countries where it was not a general practice or was less widespread. Even in countries where female genital mutilation </w:t>
      </w:r>
      <w:r w:rsidRPr="0012622D">
        <w:rPr>
          <w:rFonts w:eastAsia="Calibri"/>
        </w:rPr>
        <w:lastRenderedPageBreak/>
        <w:t>was criminalized, it could not be assumed that the claimant would be protected by the authorities, given that the law might not be enforced or not consistently enforced in all areas.</w:t>
      </w:r>
      <w:r w:rsidRPr="0012622D">
        <w:rPr>
          <w:rStyle w:val="FootnoteReference"/>
        </w:rPr>
        <w:footnoteReference w:id="24"/>
      </w:r>
    </w:p>
    <w:p w14:paraId="366B0124" w14:textId="76CEB2D7" w:rsidR="009C1FB8" w:rsidRPr="0012622D" w:rsidRDefault="009C1FB8" w:rsidP="009C1FB8">
      <w:pPr>
        <w:pStyle w:val="SingleTxtG"/>
        <w:rPr>
          <w:rFonts w:eastAsia="Calibri"/>
        </w:rPr>
      </w:pPr>
      <w:r w:rsidRPr="0012622D">
        <w:rPr>
          <w:rFonts w:eastAsia="Calibri"/>
        </w:rPr>
        <w:t>5.6</w:t>
      </w:r>
      <w:r w:rsidRPr="0012622D">
        <w:rPr>
          <w:rFonts w:eastAsia="Calibri"/>
        </w:rPr>
        <w:tab/>
        <w:t>The author objects to the State party</w:t>
      </w:r>
      <w:r w:rsidR="0012622D" w:rsidRPr="0012622D">
        <w:rPr>
          <w:rFonts w:eastAsia="Calibri"/>
        </w:rPr>
        <w:t>’</w:t>
      </w:r>
      <w:r w:rsidRPr="0012622D">
        <w:rPr>
          <w:rFonts w:eastAsia="Calibri"/>
        </w:rPr>
        <w:t>s view that she and E could find shelter with her mother. She believes that the fact that her mother was able to protect her from the risk of being circumcised does not mean that she would be able to protect her granddaughter from the pressure of her granddaughter</w:t>
      </w:r>
      <w:r w:rsidR="0012622D" w:rsidRPr="0012622D">
        <w:rPr>
          <w:rFonts w:eastAsia="Calibri"/>
        </w:rPr>
        <w:t>’</w:t>
      </w:r>
      <w:r w:rsidRPr="0012622D">
        <w:rPr>
          <w:rFonts w:eastAsia="Calibri"/>
        </w:rPr>
        <w:t>s father and his family. It is not disputed that the relatives from the child</w:t>
      </w:r>
      <w:r w:rsidR="0012622D" w:rsidRPr="0012622D">
        <w:rPr>
          <w:rFonts w:eastAsia="Calibri"/>
        </w:rPr>
        <w:t>’</w:t>
      </w:r>
      <w:r w:rsidRPr="0012622D">
        <w:rPr>
          <w:rFonts w:eastAsia="Calibri"/>
        </w:rPr>
        <w:t>s father</w:t>
      </w:r>
      <w:r w:rsidR="0012622D" w:rsidRPr="0012622D">
        <w:rPr>
          <w:rFonts w:eastAsia="Calibri"/>
        </w:rPr>
        <w:t>’</w:t>
      </w:r>
      <w:r w:rsidRPr="0012622D">
        <w:rPr>
          <w:rFonts w:eastAsia="Calibri"/>
        </w:rPr>
        <w:t>s side want the girl to be circumcised, because all his other daughters have undergone female genital mutilation. The author states that, upon customary law in Edo State, the father has custody over the children and has the power to decide whether his children are going to be circumcised. That means that the author is not allowed to withdraw E from E</w:t>
      </w:r>
      <w:r w:rsidR="0012622D" w:rsidRPr="0012622D">
        <w:rPr>
          <w:rFonts w:eastAsia="Calibri"/>
        </w:rPr>
        <w:t>’</w:t>
      </w:r>
      <w:r w:rsidRPr="0012622D">
        <w:rPr>
          <w:rFonts w:eastAsia="Calibri"/>
        </w:rPr>
        <w:t>s father</w:t>
      </w:r>
      <w:r w:rsidR="0012622D" w:rsidRPr="0012622D">
        <w:rPr>
          <w:rFonts w:eastAsia="Calibri"/>
        </w:rPr>
        <w:t>’</w:t>
      </w:r>
      <w:r w:rsidRPr="0012622D">
        <w:rPr>
          <w:rFonts w:eastAsia="Calibri"/>
        </w:rPr>
        <w:t>s authority. Nigerian law usually grants the father full custody over his children and often denies the mother equal rights to move with the children without the father</w:t>
      </w:r>
      <w:r w:rsidR="0012622D" w:rsidRPr="0012622D">
        <w:rPr>
          <w:rFonts w:eastAsia="Calibri"/>
        </w:rPr>
        <w:t>’</w:t>
      </w:r>
      <w:r w:rsidRPr="0012622D">
        <w:rPr>
          <w:rFonts w:eastAsia="Calibri"/>
        </w:rPr>
        <w:t>s consent.</w:t>
      </w:r>
    </w:p>
    <w:p w14:paraId="42178464" w14:textId="77777777" w:rsidR="009C1FB8" w:rsidRPr="0012622D" w:rsidRDefault="009C1FB8" w:rsidP="009C1FB8">
      <w:pPr>
        <w:pStyle w:val="SingleTxtG"/>
        <w:rPr>
          <w:rFonts w:eastAsia="Calibri"/>
        </w:rPr>
      </w:pPr>
      <w:r w:rsidRPr="0012622D">
        <w:rPr>
          <w:rFonts w:eastAsia="Calibri"/>
        </w:rPr>
        <w:t>5.7</w:t>
      </w:r>
      <w:r w:rsidRPr="0012622D">
        <w:rPr>
          <w:rFonts w:eastAsia="Calibri"/>
        </w:rPr>
        <w:tab/>
        <w:t>The author submits that it is not possible to find protection from a non-governmental organization against the risk of female genital mutilation. The State party recognized that in Nigeria there are limited opportunities to find shelter for women and girls who wish to escape domestic violence, female genital mutilation or forced marriage. That is why the majority of victims of domestic violence, female genital mutilation or forced marriage will not readily turn to a shelter.</w:t>
      </w:r>
    </w:p>
    <w:p w14:paraId="1B3EC0A7" w14:textId="77777777" w:rsidR="009C1FB8" w:rsidRPr="0012622D" w:rsidRDefault="009C1FB8" w:rsidP="009C1FB8">
      <w:pPr>
        <w:pStyle w:val="SingleTxtG"/>
        <w:rPr>
          <w:rFonts w:eastAsia="Calibri"/>
          <w:b/>
          <w:iCs/>
        </w:rPr>
      </w:pPr>
      <w:r w:rsidRPr="0012622D">
        <w:rPr>
          <w:rFonts w:eastAsia="Calibri"/>
          <w:iCs/>
        </w:rPr>
        <w:t>5.8</w:t>
      </w:r>
      <w:r w:rsidRPr="0012622D">
        <w:rPr>
          <w:rFonts w:eastAsia="Calibri"/>
          <w:iCs/>
        </w:rPr>
        <w:tab/>
        <w:t>The author reiterates that she is not well-educated and cannot survive on her own. Her personal circumstances must be taken into account when considering a realistic flight alternative. Given the fact that it is extremely difficult for uneducated single women to find a job, the proposal that she would be able to economically survive in another part of Nigeria without the support of a social network is illusory. Women in Nigeria are often dependent on their spouses or other male relatives.</w:t>
      </w:r>
      <w:r w:rsidRPr="0012622D">
        <w:rPr>
          <w:rStyle w:val="FootnoteReference"/>
        </w:rPr>
        <w:footnoteReference w:id="25"/>
      </w:r>
      <w:r w:rsidRPr="0012622D">
        <w:rPr>
          <w:rFonts w:eastAsia="Calibri"/>
          <w:iCs/>
        </w:rPr>
        <w:t xml:space="preserve"> In addition, as a single mother, the author is extremely vulnerable to becoming a victim of violence or forced prostitution. Given her personal circumstances, a flight alternative is therefore not reasonable. In view of the above, the author requests the Committee to declare her communication well-founded.</w:t>
      </w:r>
    </w:p>
    <w:p w14:paraId="517195B7" w14:textId="60281DC5" w:rsidR="009C1FB8" w:rsidRPr="0012622D" w:rsidRDefault="009C1FB8" w:rsidP="009C1FB8">
      <w:pPr>
        <w:pStyle w:val="H23G"/>
        <w:rPr>
          <w:rFonts w:eastAsia="Calibri"/>
          <w:i/>
          <w:iCs/>
        </w:rPr>
      </w:pPr>
      <w:r w:rsidRPr="0012622D">
        <w:rPr>
          <w:rFonts w:eastAsia="Calibri"/>
        </w:rPr>
        <w:tab/>
      </w:r>
      <w:r w:rsidRPr="0012622D">
        <w:rPr>
          <w:rFonts w:eastAsia="Calibri"/>
        </w:rPr>
        <w:tab/>
      </w:r>
      <w:r w:rsidRPr="0012622D">
        <w:t>State party</w:t>
      </w:r>
      <w:r w:rsidR="0012622D" w:rsidRPr="0012622D">
        <w:t>’</w:t>
      </w:r>
      <w:r w:rsidRPr="0012622D">
        <w:t>s additional observations</w:t>
      </w:r>
    </w:p>
    <w:p w14:paraId="6EEDFCB0" w14:textId="77777777" w:rsidR="009C1FB8" w:rsidRPr="0012622D" w:rsidRDefault="009C1FB8" w:rsidP="009C1FB8">
      <w:pPr>
        <w:pStyle w:val="SingleTxtG"/>
        <w:rPr>
          <w:rFonts w:eastAsia="Calibri"/>
        </w:rPr>
      </w:pPr>
      <w:r w:rsidRPr="0012622D">
        <w:rPr>
          <w:rFonts w:eastAsia="Calibri"/>
        </w:rPr>
        <w:t>6.1</w:t>
      </w:r>
      <w:r w:rsidRPr="0012622D">
        <w:rPr>
          <w:rFonts w:eastAsia="Calibri"/>
        </w:rPr>
        <w:tab/>
        <w:t>On 6 February 2018, the State party provided further observations on the admissibility and the merits of the communication. In its observations, the State party maintains that it has not been satisfactorily established that the author and her daughter would be subjected to treatment contrary to article 7 of the Covenant upon their return to Nigeria.</w:t>
      </w:r>
    </w:p>
    <w:p w14:paraId="375C376D" w14:textId="77777777" w:rsidR="0012622D" w:rsidRPr="0012622D" w:rsidRDefault="009C1FB8" w:rsidP="009C1FB8">
      <w:pPr>
        <w:pStyle w:val="SingleTxtG"/>
        <w:rPr>
          <w:rFonts w:eastAsia="Calibri"/>
        </w:rPr>
      </w:pPr>
      <w:r w:rsidRPr="0012622D">
        <w:rPr>
          <w:rFonts w:eastAsia="Calibri"/>
        </w:rPr>
        <w:t>6.2</w:t>
      </w:r>
      <w:r w:rsidRPr="0012622D">
        <w:rPr>
          <w:rFonts w:eastAsia="Calibri"/>
        </w:rPr>
        <w:tab/>
        <w:t>The State party contends that there is a clear trend towards a lower prevalence of female genital mutilation among younger women in Nigeria</w:t>
      </w:r>
      <w:r w:rsidRPr="0012622D">
        <w:rPr>
          <w:rStyle w:val="FootnoteReference"/>
        </w:rPr>
        <w:footnoteReference w:id="26"/>
      </w:r>
      <w:r w:rsidRPr="0012622D">
        <w:rPr>
          <w:rFonts w:eastAsia="Calibri"/>
        </w:rPr>
        <w:t xml:space="preserve"> and that, according to the findings of a fact-finding mission conducted by the </w:t>
      </w:r>
      <w:r w:rsidRPr="0012622D">
        <w:rPr>
          <w:rFonts w:eastAsia="Calibri"/>
          <w:iCs/>
        </w:rPr>
        <w:t>French Office for the Protection of Refugees and Stateless Persons, nowadays, there are no consequences if parent</w:t>
      </w:r>
      <w:r w:rsidRPr="0012622D">
        <w:rPr>
          <w:rFonts w:eastAsia="Calibri"/>
        </w:rPr>
        <w:t>s refuse to have their daughters excised. According to persons interviewed by the Immigration and Refugee Board of Canada, women may seek assistance for protection from the police, the Lagos State Ministry of Social Welfare, the Office of the Public Defender, numerous non-governmental organizations, churches or mosques, community leaders, traditional rulers, priests and pastors.</w:t>
      </w:r>
      <w:r w:rsidRPr="0012622D">
        <w:rPr>
          <w:rStyle w:val="FootnoteReference"/>
        </w:rPr>
        <w:footnoteReference w:id="27"/>
      </w:r>
    </w:p>
    <w:p w14:paraId="5AF3C78E" w14:textId="70B5B1CE" w:rsidR="0012622D" w:rsidRPr="0012622D" w:rsidRDefault="009C1FB8" w:rsidP="009C1FB8">
      <w:pPr>
        <w:pStyle w:val="SingleTxtG"/>
        <w:rPr>
          <w:rFonts w:eastAsia="Calibri"/>
        </w:rPr>
      </w:pPr>
      <w:r w:rsidRPr="0012622D">
        <w:rPr>
          <w:rFonts w:eastAsia="Calibri"/>
        </w:rPr>
        <w:lastRenderedPageBreak/>
        <w:t>6.3</w:t>
      </w:r>
      <w:r w:rsidRPr="0012622D">
        <w:rPr>
          <w:rFonts w:eastAsia="Calibri"/>
        </w:rPr>
        <w:tab/>
        <w:t>The State party disagrees with the author</w:t>
      </w:r>
      <w:r w:rsidR="0012622D" w:rsidRPr="0012622D">
        <w:rPr>
          <w:rFonts w:eastAsia="Calibri"/>
        </w:rPr>
        <w:t>’</w:t>
      </w:r>
      <w:r w:rsidRPr="0012622D">
        <w:rPr>
          <w:rFonts w:eastAsia="Calibri"/>
        </w:rPr>
        <w:t>s statement that E</w:t>
      </w:r>
      <w:r w:rsidR="0012622D" w:rsidRPr="0012622D">
        <w:rPr>
          <w:rFonts w:eastAsia="Calibri"/>
        </w:rPr>
        <w:t>’</w:t>
      </w:r>
      <w:r w:rsidRPr="0012622D">
        <w:rPr>
          <w:rFonts w:eastAsia="Calibri"/>
        </w:rPr>
        <w:t>s father would automatically be granted custody of their daughter without the acquiescence of the author. According to Nigerian law,</w:t>
      </w:r>
      <w:r w:rsidRPr="0012622D">
        <w:rPr>
          <w:rStyle w:val="FootnoteReference"/>
        </w:rPr>
        <w:footnoteReference w:id="28"/>
      </w:r>
      <w:r w:rsidRPr="0012622D">
        <w:rPr>
          <w:rFonts w:eastAsia="Calibri"/>
        </w:rPr>
        <w:t xml:space="preserve"> and in Edo State, under the Customary Court Law of 1984 of the former Bendel State (now Edo and Delta States), in any matter relating to the guardianship of children, the interests and welfare of the child must be the first and paramount consideration.</w:t>
      </w:r>
      <w:r w:rsidRPr="0012622D">
        <w:rPr>
          <w:rFonts w:eastAsia="Calibri"/>
          <w:vertAlign w:val="superscript"/>
        </w:rPr>
        <w:t>6</w:t>
      </w:r>
      <w:r w:rsidRPr="0012622D">
        <w:rPr>
          <w:rFonts w:eastAsia="Calibri"/>
        </w:rPr>
        <w:t xml:space="preserve"> In Nigeria, the trend is that the courts consider that daughters are better protected when they remain in the custody of their mothers, if the parents</w:t>
      </w:r>
      <w:r w:rsidR="0012622D" w:rsidRPr="0012622D">
        <w:rPr>
          <w:rFonts w:eastAsia="Calibri"/>
        </w:rPr>
        <w:t>’</w:t>
      </w:r>
      <w:r w:rsidRPr="0012622D">
        <w:rPr>
          <w:rFonts w:eastAsia="Calibri"/>
        </w:rPr>
        <w:t xml:space="preserve"> marriage is dissolved.</w:t>
      </w:r>
      <w:r w:rsidRPr="0012622D">
        <w:rPr>
          <w:rStyle w:val="FootnoteReference"/>
        </w:rPr>
        <w:footnoteReference w:id="29"/>
      </w:r>
    </w:p>
    <w:p w14:paraId="62F7EC10" w14:textId="77777777" w:rsidR="0012622D" w:rsidRPr="0012622D" w:rsidRDefault="009C1FB8" w:rsidP="009C1FB8">
      <w:pPr>
        <w:pStyle w:val="SingleTxtG"/>
        <w:rPr>
          <w:rFonts w:eastAsia="Calibri"/>
        </w:rPr>
      </w:pPr>
      <w:r w:rsidRPr="0012622D">
        <w:rPr>
          <w:rFonts w:eastAsia="Calibri"/>
        </w:rPr>
        <w:t>6.4</w:t>
      </w:r>
      <w:r w:rsidRPr="0012622D">
        <w:rPr>
          <w:rFonts w:eastAsia="Calibri"/>
        </w:rPr>
        <w:tab/>
        <w:t>The State party argues that there is no universal practice of female genital mutilation in Nigeria. The author incorrectly refers to passages from the UNHCR guidance note that address countries with a universal, or near-universal, practice of female genital mutilation. That information is not applicable to the situation in Nigeria, where the vast majority of young Nigerian women have not been, and will not be, subjected to female genital mutilation. The sources cited also indicate that the prevalence of female genital mutilation is declining. That information further justifies the conclusion that the author is unlikely to be pressured by people in the wider community to undergo female genital mutilation, which is</w:t>
      </w:r>
      <w:r w:rsidR="0012622D" w:rsidRPr="0012622D">
        <w:rPr>
          <w:rFonts w:eastAsia="Calibri"/>
        </w:rPr>
        <w:t xml:space="preserve"> </w:t>
      </w:r>
      <w:r w:rsidRPr="0012622D">
        <w:rPr>
          <w:rFonts w:eastAsia="Calibri"/>
        </w:rPr>
        <w:t>regarded as a family matter. That is consistent with the statements that the author made during various interviews, indicating that, except during her pregnancy, she and her mother were not pressured to undergo circumcision.</w:t>
      </w:r>
    </w:p>
    <w:p w14:paraId="069D33F2" w14:textId="77777777" w:rsidR="0012622D" w:rsidRPr="0012622D" w:rsidRDefault="009C1FB8" w:rsidP="009C1FB8">
      <w:pPr>
        <w:pStyle w:val="SingleTxtG"/>
        <w:rPr>
          <w:rFonts w:eastAsia="Calibri"/>
          <w:iCs/>
        </w:rPr>
      </w:pPr>
      <w:r w:rsidRPr="0012622D">
        <w:rPr>
          <w:rFonts w:eastAsia="Calibri"/>
          <w:iCs/>
        </w:rPr>
        <w:t>6.5</w:t>
      </w:r>
      <w:r w:rsidRPr="0012622D">
        <w:rPr>
          <w:rFonts w:eastAsia="Calibri"/>
          <w:iCs/>
        </w:rPr>
        <w:tab/>
        <w:t>The State party maintains that the author has a social network of people who can help her to build a new life. She is an adult woman who lived, studied and worked in various places in Nigeria until the age of 30. She is able to earn an income. Moreover, she has family in Nigeria, including her mother and five siblings, who can help her.</w:t>
      </w:r>
    </w:p>
    <w:p w14:paraId="5CDF234B" w14:textId="5C2806E4" w:rsidR="009C1FB8" w:rsidRPr="0012622D" w:rsidRDefault="009C1FB8" w:rsidP="009C1FB8">
      <w:pPr>
        <w:pStyle w:val="H23G"/>
      </w:pPr>
      <w:r w:rsidRPr="0012622D">
        <w:tab/>
      </w:r>
      <w:r w:rsidRPr="0012622D">
        <w:tab/>
        <w:t>Author</w:t>
      </w:r>
      <w:r w:rsidR="0012622D" w:rsidRPr="0012622D">
        <w:t>’</w:t>
      </w:r>
      <w:r w:rsidRPr="0012622D">
        <w:t>s comments on the State party</w:t>
      </w:r>
      <w:r w:rsidR="0012622D" w:rsidRPr="0012622D">
        <w:t>’</w:t>
      </w:r>
      <w:r w:rsidRPr="0012622D">
        <w:t>s additional observations</w:t>
      </w:r>
    </w:p>
    <w:p w14:paraId="4DEA5525" w14:textId="77777777" w:rsidR="009C1FB8" w:rsidRPr="0012622D" w:rsidRDefault="009C1FB8" w:rsidP="009C1FB8">
      <w:pPr>
        <w:pStyle w:val="SingleTxtG"/>
        <w:rPr>
          <w:rFonts w:eastAsia="Calibri"/>
        </w:rPr>
      </w:pPr>
      <w:r w:rsidRPr="0012622D">
        <w:rPr>
          <w:rFonts w:eastAsia="Calibri"/>
        </w:rPr>
        <w:t>7.1</w:t>
      </w:r>
      <w:r w:rsidRPr="0012622D">
        <w:rPr>
          <w:rFonts w:eastAsia="Calibri"/>
        </w:rPr>
        <w:tab/>
        <w:t>On 19 February 2019, the author submitted further comments. She reiterates that the State party should not return a child to a country where there are substantial grounds for believing that there is a real risk of irreparable harm being done to that child. She submits that female genital mutilation may have various immediate and/or long-term health consequences.</w:t>
      </w:r>
    </w:p>
    <w:p w14:paraId="0CEB9C48" w14:textId="77777777" w:rsidR="0012622D" w:rsidRPr="0012622D" w:rsidRDefault="009C1FB8" w:rsidP="009C1FB8">
      <w:pPr>
        <w:pStyle w:val="SingleTxtG"/>
        <w:rPr>
          <w:rFonts w:eastAsia="Calibri"/>
          <w:iCs/>
        </w:rPr>
      </w:pPr>
      <w:r w:rsidRPr="0012622D">
        <w:rPr>
          <w:rFonts w:eastAsia="Calibri"/>
          <w:iCs/>
        </w:rPr>
        <w:t>7.2</w:t>
      </w:r>
      <w:r w:rsidRPr="0012622D">
        <w:rPr>
          <w:rFonts w:eastAsia="Calibri"/>
          <w:iCs/>
        </w:rPr>
        <w:tab/>
        <w:t>The author insists that, even if E</w:t>
      </w:r>
      <w:r w:rsidR="0012622D" w:rsidRPr="0012622D">
        <w:rPr>
          <w:rFonts w:eastAsia="Calibri"/>
          <w:iCs/>
        </w:rPr>
        <w:t>’</w:t>
      </w:r>
      <w:r w:rsidRPr="0012622D">
        <w:rPr>
          <w:rFonts w:eastAsia="Calibri"/>
          <w:iCs/>
        </w:rPr>
        <w:t>s father does not have official custody of E, it is still possible that he would decide that she must be circumcised. To support her claims, the author refers to a report from the European Asylum Support Office from June 2017, according to which fathers generally make the decision with regard to the circumcision of their daughters, even if the children</w:t>
      </w:r>
      <w:r w:rsidR="0012622D" w:rsidRPr="0012622D">
        <w:rPr>
          <w:rFonts w:eastAsia="Calibri"/>
          <w:iCs/>
        </w:rPr>
        <w:t>’</w:t>
      </w:r>
      <w:r w:rsidRPr="0012622D">
        <w:rPr>
          <w:rFonts w:eastAsia="Calibri"/>
          <w:iCs/>
        </w:rPr>
        <w:t>s</w:t>
      </w:r>
      <w:r w:rsidR="0012622D" w:rsidRPr="0012622D">
        <w:rPr>
          <w:rFonts w:eastAsia="Calibri"/>
          <w:iCs/>
        </w:rPr>
        <w:t>’</w:t>
      </w:r>
      <w:r w:rsidRPr="0012622D">
        <w:rPr>
          <w:rFonts w:eastAsia="Calibri"/>
          <w:iCs/>
        </w:rPr>
        <w:t xml:space="preserve"> mothers oppose.</w:t>
      </w:r>
    </w:p>
    <w:p w14:paraId="699BC693" w14:textId="77777777" w:rsidR="0012622D" w:rsidRPr="0012622D" w:rsidRDefault="009C1FB8" w:rsidP="009C1FB8">
      <w:pPr>
        <w:pStyle w:val="SingleTxtG"/>
        <w:rPr>
          <w:rFonts w:eastAsia="Calibri"/>
          <w:iCs/>
        </w:rPr>
      </w:pPr>
      <w:r w:rsidRPr="0012622D">
        <w:rPr>
          <w:rFonts w:eastAsia="Calibri"/>
          <w:iCs/>
        </w:rPr>
        <w:t>7.3</w:t>
      </w:r>
      <w:r w:rsidRPr="0012622D">
        <w:rPr>
          <w:rFonts w:eastAsia="Calibri"/>
          <w:iCs/>
        </w:rPr>
        <w:tab/>
        <w:t>The author submits that reports indicate that the State party lacks the ability and willingness to protect women and girls, in particular those of lower socioeconomic status, against violence and female circumcision</w:t>
      </w:r>
      <w:r w:rsidRPr="0012622D">
        <w:rPr>
          <w:rStyle w:val="FootnoteReference"/>
        </w:rPr>
        <w:footnoteReference w:id="30"/>
      </w:r>
      <w:r w:rsidRPr="0012622D">
        <w:rPr>
          <w:rFonts w:eastAsia="Calibri"/>
          <w:iCs/>
        </w:rPr>
        <w:t xml:space="preserve"> and that, in 12 states in Nigeria, female genital mutilation is still considered legal.</w:t>
      </w:r>
      <w:r w:rsidRPr="0012622D">
        <w:rPr>
          <w:rStyle w:val="FootnoteReference"/>
        </w:rPr>
        <w:footnoteReference w:id="31"/>
      </w:r>
      <w:r w:rsidRPr="0012622D">
        <w:rPr>
          <w:rFonts w:eastAsia="Calibri"/>
          <w:iCs/>
        </w:rPr>
        <w:t xml:space="preserve"> Her situation as a single mother is further complicated, given her lack of education and inability to find a job.</w:t>
      </w:r>
    </w:p>
    <w:p w14:paraId="4D8FAD92" w14:textId="77777777" w:rsidR="0012622D" w:rsidRPr="0012622D" w:rsidRDefault="009C1FB8" w:rsidP="009C1FB8">
      <w:pPr>
        <w:pStyle w:val="SingleTxtG"/>
        <w:rPr>
          <w:rFonts w:eastAsia="Calibri"/>
          <w:iCs/>
        </w:rPr>
      </w:pPr>
      <w:r w:rsidRPr="0012622D">
        <w:rPr>
          <w:rFonts w:eastAsia="Calibri"/>
          <w:iCs/>
        </w:rPr>
        <w:t>7.4</w:t>
      </w:r>
      <w:r w:rsidRPr="0012622D">
        <w:rPr>
          <w:rFonts w:eastAsia="Calibri"/>
          <w:iCs/>
        </w:rPr>
        <w:tab/>
        <w:t>The author submits that the well-being of her child should not be dependent on the mother</w:t>
      </w:r>
      <w:r w:rsidR="0012622D" w:rsidRPr="0012622D">
        <w:rPr>
          <w:rFonts w:eastAsia="Calibri"/>
          <w:iCs/>
        </w:rPr>
        <w:t>’</w:t>
      </w:r>
      <w:r w:rsidRPr="0012622D">
        <w:rPr>
          <w:rFonts w:eastAsia="Calibri"/>
          <w:iCs/>
        </w:rPr>
        <w:t>s ability to withstand the pressure from E</w:t>
      </w:r>
      <w:r w:rsidR="0012622D" w:rsidRPr="0012622D">
        <w:rPr>
          <w:rFonts w:eastAsia="Calibri"/>
          <w:iCs/>
        </w:rPr>
        <w:t>’</w:t>
      </w:r>
      <w:r w:rsidRPr="0012622D">
        <w:rPr>
          <w:rFonts w:eastAsia="Calibri"/>
          <w:iCs/>
        </w:rPr>
        <w:t>s father</w:t>
      </w:r>
      <w:r w:rsidR="0012622D" w:rsidRPr="0012622D">
        <w:rPr>
          <w:rFonts w:eastAsia="Calibri"/>
          <w:iCs/>
        </w:rPr>
        <w:t>’</w:t>
      </w:r>
      <w:r w:rsidRPr="0012622D">
        <w:rPr>
          <w:rFonts w:eastAsia="Calibri"/>
          <w:iCs/>
        </w:rPr>
        <w:t>s family to subject E to female genital mutilation. It is a positive duty of the State party to prevent the child from being subjected to such harmful practices. The author submits that the State party must take care of the best interests of the child when assessing the alleged risk faced by her daughter of being subjected to female genital mutilation if she is returned to Nigeria.</w:t>
      </w:r>
    </w:p>
    <w:p w14:paraId="3CAA35B3" w14:textId="181DE2BA" w:rsidR="009C1FB8" w:rsidRPr="0012622D" w:rsidRDefault="009C1FB8" w:rsidP="00272D45">
      <w:pPr>
        <w:pStyle w:val="H23G"/>
        <w:rPr>
          <w:rFonts w:eastAsia="Calibri"/>
        </w:rPr>
      </w:pPr>
      <w:r w:rsidRPr="0012622D">
        <w:rPr>
          <w:rFonts w:eastAsia="Calibri"/>
        </w:rPr>
        <w:lastRenderedPageBreak/>
        <w:tab/>
      </w:r>
      <w:r w:rsidRPr="0012622D">
        <w:rPr>
          <w:rFonts w:eastAsia="Calibri"/>
        </w:rPr>
        <w:tab/>
        <w:t>Issues and proceedings before the Committee</w:t>
      </w:r>
    </w:p>
    <w:p w14:paraId="68DADB95" w14:textId="77777777" w:rsidR="009C1FB8" w:rsidRPr="0012622D" w:rsidRDefault="009C1FB8" w:rsidP="00272D45">
      <w:pPr>
        <w:pStyle w:val="H4G"/>
        <w:rPr>
          <w:rFonts w:eastAsia="Calibri"/>
        </w:rPr>
      </w:pPr>
      <w:r w:rsidRPr="0012622D">
        <w:rPr>
          <w:rFonts w:eastAsia="Calibri"/>
        </w:rPr>
        <w:tab/>
      </w:r>
      <w:r w:rsidRPr="0012622D">
        <w:rPr>
          <w:rFonts w:eastAsia="Calibri"/>
        </w:rPr>
        <w:tab/>
        <w:t>Consideration of admissibility</w:t>
      </w:r>
    </w:p>
    <w:p w14:paraId="2F26CEE1" w14:textId="77777777" w:rsidR="009C1FB8" w:rsidRPr="0012622D" w:rsidRDefault="009C1FB8" w:rsidP="009C1FB8">
      <w:pPr>
        <w:pStyle w:val="SingleTxtG"/>
        <w:rPr>
          <w:rFonts w:eastAsia="Calibri"/>
        </w:rPr>
      </w:pPr>
      <w:r w:rsidRPr="0012622D">
        <w:rPr>
          <w:rFonts w:eastAsia="Calibri"/>
        </w:rPr>
        <w:t>8.1</w:t>
      </w:r>
      <w:r w:rsidRPr="0012622D">
        <w:rPr>
          <w:rFonts w:eastAsia="Calibri"/>
        </w:rPr>
        <w:tab/>
        <w:t>Before considering any claim contained in a communication, the Committee must decide, in accordance with article 97 of its rules of procedure, whether the communication is admissible under the Optional Protocol.</w:t>
      </w:r>
    </w:p>
    <w:p w14:paraId="7EDB48DA" w14:textId="77777777" w:rsidR="009C1FB8" w:rsidRPr="0012622D" w:rsidRDefault="009C1FB8" w:rsidP="009C1FB8">
      <w:pPr>
        <w:pStyle w:val="SingleTxtG"/>
        <w:rPr>
          <w:rFonts w:eastAsia="Calibri"/>
        </w:rPr>
      </w:pPr>
      <w:r w:rsidRPr="0012622D">
        <w:rPr>
          <w:rFonts w:eastAsia="Calibri"/>
        </w:rPr>
        <w:t>8.2</w:t>
      </w:r>
      <w:r w:rsidRPr="0012622D">
        <w:rPr>
          <w:rFonts w:eastAsia="Calibri"/>
        </w:rPr>
        <w:tab/>
        <w:t>The Committee has ascertained, as required under article 5 (2) (a) of the Optional Protocol, that the same matter is not being, and has not been, examined under another procedure of international investigation or settlement.</w:t>
      </w:r>
    </w:p>
    <w:p w14:paraId="2A462C88" w14:textId="77777777" w:rsidR="0012622D" w:rsidRPr="0012622D" w:rsidRDefault="009C1FB8" w:rsidP="009C1FB8">
      <w:pPr>
        <w:pStyle w:val="SingleTxtG"/>
        <w:rPr>
          <w:rFonts w:eastAsia="Calibri"/>
        </w:rPr>
      </w:pPr>
      <w:r w:rsidRPr="0012622D">
        <w:rPr>
          <w:rFonts w:eastAsia="Calibri"/>
        </w:rPr>
        <w:t>8.3</w:t>
      </w:r>
      <w:r w:rsidRPr="0012622D">
        <w:rPr>
          <w:rFonts w:eastAsia="Calibri"/>
        </w:rPr>
        <w:tab/>
        <w:t>The Committee observes that the State party has not objected to the admissibility of the communication under article 5 (2) (b) of the Optional Protocol. Accordingly, the Committee considers that the requirements of article 5 (2) (b) of the Optional Protocol have been met.</w:t>
      </w:r>
    </w:p>
    <w:p w14:paraId="37264D14" w14:textId="77777777" w:rsidR="0012622D" w:rsidRPr="0012622D" w:rsidRDefault="009C1FB8" w:rsidP="009C1FB8">
      <w:pPr>
        <w:pStyle w:val="SingleTxtG"/>
        <w:rPr>
          <w:rFonts w:ascii="Calibri" w:eastAsia="Calibri" w:hAnsi="Calibri"/>
          <w:sz w:val="22"/>
          <w:szCs w:val="22"/>
        </w:rPr>
      </w:pPr>
      <w:r w:rsidRPr="0012622D">
        <w:rPr>
          <w:rFonts w:eastAsia="Calibri"/>
        </w:rPr>
        <w:t>8.4</w:t>
      </w:r>
      <w:r w:rsidRPr="0012622D">
        <w:rPr>
          <w:rFonts w:eastAsia="Calibri"/>
        </w:rPr>
        <w:tab/>
        <w:t>The Committee notes that the State party argues that article 1 of the Covenant cannot be raised by the author. The article relates to the right to self-determination conferred upon peoples.</w:t>
      </w:r>
      <w:r w:rsidRPr="0012622D">
        <w:rPr>
          <w:rStyle w:val="FootnoteReference"/>
        </w:rPr>
        <w:footnoteReference w:id="32"/>
      </w:r>
      <w:r w:rsidRPr="0012622D">
        <w:rPr>
          <w:rFonts w:eastAsia="Calibri"/>
        </w:rPr>
        <w:t xml:space="preserve"> The Committee also notes that the State party argues that article 2, being of a general nature and containing general obligations for States, cannot be invoked separately, but only in conjunction with other articles. The Committee further notes that the State party argues that the author</w:t>
      </w:r>
      <w:r w:rsidR="0012622D" w:rsidRPr="0012622D">
        <w:rPr>
          <w:rFonts w:eastAsia="Calibri"/>
        </w:rPr>
        <w:t>’</w:t>
      </w:r>
      <w:r w:rsidRPr="0012622D">
        <w:rPr>
          <w:rFonts w:eastAsia="Calibri"/>
        </w:rPr>
        <w:t xml:space="preserve">s claims under articles </w:t>
      </w:r>
      <w:r w:rsidRPr="0012622D">
        <w:t>9 (1)</w:t>
      </w:r>
      <w:r w:rsidRPr="0012622D">
        <w:rPr>
          <w:rFonts w:eastAsia="Calibri"/>
        </w:rPr>
        <w:t xml:space="preserve"> and </w:t>
      </w:r>
      <w:r w:rsidRPr="0012622D">
        <w:t>24 (1)</w:t>
      </w:r>
      <w:r w:rsidRPr="0012622D">
        <w:rPr>
          <w:rFonts w:eastAsia="Calibri"/>
        </w:rPr>
        <w:t xml:space="preserve"> are not substantiated, because the author failed to demonstrate how a return to Nigeria would entail</w:t>
      </w:r>
      <w:r w:rsidR="0012622D" w:rsidRPr="0012622D">
        <w:rPr>
          <w:rFonts w:eastAsia="Calibri"/>
        </w:rPr>
        <w:t xml:space="preserve"> </w:t>
      </w:r>
      <w:r w:rsidRPr="0012622D">
        <w:rPr>
          <w:rFonts w:eastAsia="Calibri"/>
        </w:rPr>
        <w:t>a violation of the right to liberty or of the right to protection of the child.</w:t>
      </w:r>
    </w:p>
    <w:p w14:paraId="5041EF7F" w14:textId="77777777" w:rsidR="0012622D" w:rsidRPr="0012622D" w:rsidRDefault="009C1FB8" w:rsidP="009C1FB8">
      <w:pPr>
        <w:pStyle w:val="SingleTxtG"/>
        <w:rPr>
          <w:rFonts w:eastAsia="Calibri"/>
        </w:rPr>
      </w:pPr>
      <w:r w:rsidRPr="0012622D">
        <w:rPr>
          <w:rFonts w:eastAsia="Calibri"/>
        </w:rPr>
        <w:t>8.5</w:t>
      </w:r>
      <w:r w:rsidRPr="0012622D">
        <w:rPr>
          <w:rFonts w:eastAsia="Calibri"/>
        </w:rPr>
        <w:tab/>
        <w:t>The Committee notes that the author agrees with the State party that the communication is inadmissible under articles 1 and 9 of the Covenant. The Committee also notes, however, that the author argues that she has sufficiently substantiated her claims under article 7, read alone and in conjunction with article 24, of the Covenant.</w:t>
      </w:r>
    </w:p>
    <w:p w14:paraId="77077D62" w14:textId="5367CD75" w:rsidR="009C1FB8" w:rsidRPr="0012622D" w:rsidRDefault="009C1FB8" w:rsidP="009C1FB8">
      <w:pPr>
        <w:pStyle w:val="SingleTxtG"/>
        <w:rPr>
          <w:rFonts w:eastAsia="Calibri"/>
        </w:rPr>
      </w:pPr>
      <w:r w:rsidRPr="0012622D">
        <w:rPr>
          <w:rFonts w:eastAsia="Calibri"/>
        </w:rPr>
        <w:t>8.6</w:t>
      </w:r>
      <w:r w:rsidRPr="0012622D">
        <w:rPr>
          <w:rFonts w:eastAsia="Calibri"/>
        </w:rPr>
        <w:tab/>
        <w:t>The Committee observes that the State party does not challenge the admissibility of the communication under article 7 of the Covenant.</w:t>
      </w:r>
    </w:p>
    <w:p w14:paraId="371F018F" w14:textId="77777777" w:rsidR="0012622D" w:rsidRPr="0012622D" w:rsidRDefault="009C1FB8" w:rsidP="009C1FB8">
      <w:pPr>
        <w:pStyle w:val="SingleTxtG"/>
        <w:rPr>
          <w:rFonts w:eastAsia="Calibri"/>
        </w:rPr>
      </w:pPr>
      <w:r w:rsidRPr="0012622D">
        <w:rPr>
          <w:rFonts w:eastAsia="Calibri"/>
        </w:rPr>
        <w:t>8.7</w:t>
      </w:r>
      <w:r w:rsidRPr="0012622D">
        <w:rPr>
          <w:rFonts w:eastAsia="Calibri"/>
        </w:rPr>
        <w:tab/>
        <w:t>The Committee also observes that,</w:t>
      </w:r>
      <w:r w:rsidRPr="0012622D">
        <w:t xml:space="preserve"> </w:t>
      </w:r>
      <w:r w:rsidRPr="0012622D">
        <w:rPr>
          <w:rFonts w:eastAsia="Calibri"/>
        </w:rPr>
        <w:t>in the absence of further information, the author has failed to sufficiently substantiate her claim under article 2 (3), read in conjunction with article 7, of the Covenant and therefore finds that part of the communication inadmissible. The Committee notes that the author raises claims under article 7, read alone and in conjunction with article 24, of the Covenant, and the Committee is of the view that the author has sufficiently substantiated those claims for the purposes of admissibility.</w:t>
      </w:r>
    </w:p>
    <w:p w14:paraId="735B17CC" w14:textId="77777777" w:rsidR="0012622D" w:rsidRPr="0012622D" w:rsidRDefault="009C1FB8" w:rsidP="009C1FB8">
      <w:pPr>
        <w:pStyle w:val="SingleTxtG"/>
        <w:rPr>
          <w:rFonts w:eastAsia="Calibri"/>
        </w:rPr>
      </w:pPr>
      <w:r w:rsidRPr="0012622D">
        <w:rPr>
          <w:rFonts w:eastAsia="Calibri"/>
        </w:rPr>
        <w:t>8.8</w:t>
      </w:r>
      <w:r w:rsidRPr="0012622D">
        <w:rPr>
          <w:rFonts w:eastAsia="Calibri"/>
        </w:rPr>
        <w:tab/>
        <w:t>In the light of the above, the Committee declares the communication admissible insofar as the author raises issues under article 7, read alone and in conjunction with article 24, of the Covenant, and it proceeds to the consideration of the merits.</w:t>
      </w:r>
    </w:p>
    <w:p w14:paraId="4469C64C" w14:textId="3B8B8ADD" w:rsidR="009C1FB8" w:rsidRPr="0012622D" w:rsidRDefault="009C1FB8" w:rsidP="00272D45">
      <w:pPr>
        <w:pStyle w:val="H23G"/>
        <w:rPr>
          <w:rFonts w:eastAsia="Calibri"/>
        </w:rPr>
      </w:pPr>
      <w:r w:rsidRPr="0012622D">
        <w:rPr>
          <w:rFonts w:eastAsia="Calibri"/>
        </w:rPr>
        <w:tab/>
      </w:r>
      <w:r w:rsidRPr="0012622D">
        <w:rPr>
          <w:rFonts w:eastAsia="Calibri"/>
        </w:rPr>
        <w:tab/>
        <w:t>Consideration of the merits</w:t>
      </w:r>
    </w:p>
    <w:p w14:paraId="28E921C9" w14:textId="77777777" w:rsidR="009C1FB8" w:rsidRPr="0012622D" w:rsidRDefault="009C1FB8" w:rsidP="009C1FB8">
      <w:pPr>
        <w:pStyle w:val="SingleTxtG"/>
        <w:rPr>
          <w:rFonts w:eastAsia="Calibri"/>
        </w:rPr>
      </w:pPr>
      <w:r w:rsidRPr="0012622D">
        <w:rPr>
          <w:rFonts w:eastAsia="Calibri"/>
        </w:rPr>
        <w:t>9.1</w:t>
      </w:r>
      <w:r w:rsidRPr="0012622D">
        <w:rPr>
          <w:rFonts w:eastAsia="Calibri"/>
        </w:rPr>
        <w:tab/>
        <w:t>The Committee has considered the communication in the light of all the information made available to it by the parties, as required under article 5 (1) of the Optional Protocol.</w:t>
      </w:r>
    </w:p>
    <w:p w14:paraId="12C1DD23" w14:textId="3F97921D" w:rsidR="009C1FB8" w:rsidRPr="0012622D" w:rsidRDefault="009C1FB8" w:rsidP="009C1FB8">
      <w:pPr>
        <w:pStyle w:val="SingleTxtG"/>
        <w:rPr>
          <w:rFonts w:eastAsia="Calibri"/>
        </w:rPr>
      </w:pPr>
      <w:r w:rsidRPr="0012622D">
        <w:rPr>
          <w:rFonts w:eastAsia="Calibri"/>
        </w:rPr>
        <w:t>9.2</w:t>
      </w:r>
      <w:r w:rsidRPr="0012622D">
        <w:rPr>
          <w:rFonts w:eastAsia="Calibri"/>
        </w:rPr>
        <w:tab/>
        <w:t>The Committee recalls its general comment No. 31 (2004) on the nature of the general legal obligation imposed on States parties to the Covenant, in which it referred to the obligation of States parties not to extradite, deport, expel or otherwise remove a person from their territory where there were substantial grounds for believing that there was a real risk of an irreparable harm, such as those contemplated by articles 6 and 7 of the Covenant, being done to that person.</w:t>
      </w:r>
      <w:r w:rsidRPr="0012622D">
        <w:rPr>
          <w:rStyle w:val="FootnoteReference"/>
        </w:rPr>
        <w:footnoteReference w:id="33"/>
      </w:r>
      <w:r w:rsidRPr="0012622D">
        <w:rPr>
          <w:rFonts w:eastAsia="Calibri"/>
        </w:rPr>
        <w:t xml:space="preserve"> The Committee has also indicated that the risk must be personal, with a high threshold for establishing substantial grounds for the existence of a real risk of irreparable harm.</w:t>
      </w:r>
      <w:r w:rsidRPr="0012622D">
        <w:rPr>
          <w:rStyle w:val="FootnoteReference"/>
        </w:rPr>
        <w:footnoteReference w:id="34"/>
      </w:r>
      <w:r w:rsidRPr="0012622D">
        <w:rPr>
          <w:rFonts w:eastAsia="Calibri"/>
        </w:rPr>
        <w:t xml:space="preserve"> All relevant facts and circumstances must be considered, including the </w:t>
      </w:r>
      <w:r w:rsidRPr="0012622D">
        <w:rPr>
          <w:rFonts w:eastAsia="Calibri"/>
        </w:rPr>
        <w:lastRenderedPageBreak/>
        <w:t>general human rights situation in the author</w:t>
      </w:r>
      <w:r w:rsidR="0012622D" w:rsidRPr="0012622D">
        <w:rPr>
          <w:rFonts w:eastAsia="Calibri"/>
        </w:rPr>
        <w:t>’</w:t>
      </w:r>
      <w:r w:rsidRPr="0012622D">
        <w:rPr>
          <w:rFonts w:eastAsia="Calibri"/>
        </w:rPr>
        <w:t>s country of origin. The Committee recalls that, in its jurisprudence, it has found that significant weight should be given to the assessment conducted by the State party and that it is generally for the organs of States parties to examine the facts and evidence of a case in order to determine whether such a risk exists, unless it can be established that the assessment was arbitrary or amounted to a manifest error or denial of justice.</w:t>
      </w:r>
      <w:r w:rsidRPr="0012622D">
        <w:rPr>
          <w:rStyle w:val="FootnoteReference"/>
        </w:rPr>
        <w:footnoteReference w:id="35"/>
      </w:r>
    </w:p>
    <w:p w14:paraId="324D3546" w14:textId="4CCEE644" w:rsidR="009C1FB8" w:rsidRPr="0012622D" w:rsidRDefault="009C1FB8" w:rsidP="009C1FB8">
      <w:pPr>
        <w:pStyle w:val="SingleTxtG"/>
        <w:rPr>
          <w:rFonts w:eastAsia="Calibri"/>
        </w:rPr>
      </w:pPr>
      <w:r w:rsidRPr="0012622D">
        <w:t>9.3</w:t>
      </w:r>
      <w:r w:rsidRPr="0012622D">
        <w:tab/>
        <w:t>As to the author</w:t>
      </w:r>
      <w:r w:rsidR="0012622D" w:rsidRPr="0012622D">
        <w:t>’</w:t>
      </w:r>
      <w:r w:rsidRPr="0012622D">
        <w:t>s claim that expelling E would entail a risk of her being subjected to excision by her father and/or members of his family, the Committee recalls that States parties are under an obligation not to expose individuals to a real risk of being killed or subjected to torture or cruel, inhuman or degrading treatment or punishment upon entering another country by way of their extradition, expulsion or refoulement.</w:t>
      </w:r>
      <w:r w:rsidRPr="0012622D">
        <w:rPr>
          <w:rStyle w:val="FootnoteReference"/>
        </w:rPr>
        <w:footnoteReference w:id="36"/>
      </w:r>
      <w:r w:rsidRPr="0012622D">
        <w:t xml:space="preserve"> In </w:t>
      </w:r>
      <w:r w:rsidRPr="0012622D">
        <w:rPr>
          <w:rFonts w:eastAsia="Calibri"/>
        </w:rPr>
        <w:t>that</w:t>
      </w:r>
      <w:r w:rsidRPr="0012622D">
        <w:t xml:space="preserve"> connection, there is no question that subjecting a woman or girl to genital mutilation amounts to treatment prohibited under article 7 of the Covenant, nor is there any question that women in Nigeria traditionally have been subjected to female genital mutilation and, to a certain extent, are still subjected to it. At issue is whether the assessment made by the State party</w:t>
      </w:r>
      <w:r w:rsidR="0012622D" w:rsidRPr="0012622D">
        <w:t>’</w:t>
      </w:r>
      <w:r w:rsidRPr="0012622D">
        <w:t>s authorities was clearly arbitrary or amounted to a manifest error or denial of justice. T</w:t>
      </w:r>
      <w:r w:rsidRPr="0012622D">
        <w:rPr>
          <w:rFonts w:eastAsia="Calibri"/>
        </w:rPr>
        <w:t>he Committee observes that the arguments submitted in that regard are articulated on the following aspects: (a) the credibility of the alleged marriage; (b) the risk posed to the author and her</w:t>
      </w:r>
      <w:r w:rsidR="0012622D" w:rsidRPr="0012622D">
        <w:rPr>
          <w:rFonts w:eastAsia="Calibri"/>
        </w:rPr>
        <w:t xml:space="preserve"> </w:t>
      </w:r>
      <w:r w:rsidRPr="0012622D">
        <w:rPr>
          <w:rFonts w:eastAsia="Calibri"/>
        </w:rPr>
        <w:t>daughter of being subjected to female genital mutilation; (c) the general situation in Nigeria, where</w:t>
      </w:r>
      <w:r w:rsidR="0012622D" w:rsidRPr="0012622D">
        <w:rPr>
          <w:rFonts w:eastAsia="Calibri"/>
        </w:rPr>
        <w:t xml:space="preserve"> </w:t>
      </w:r>
      <w:r w:rsidRPr="0012622D">
        <w:rPr>
          <w:rFonts w:eastAsia="Calibri"/>
        </w:rPr>
        <w:t>it is still a recurrent practice; and (d) the possibility of a flight alternative or alternative place of residence, bearing in mind the psychological condition of the author.</w:t>
      </w:r>
    </w:p>
    <w:p w14:paraId="6DFEDD76" w14:textId="77777777" w:rsidR="0012622D" w:rsidRPr="0012622D" w:rsidRDefault="009C1FB8" w:rsidP="009C1FB8">
      <w:pPr>
        <w:pStyle w:val="SingleTxtG"/>
        <w:rPr>
          <w:rFonts w:eastAsia="Calibri"/>
        </w:rPr>
      </w:pPr>
      <w:r w:rsidRPr="0012622D">
        <w:rPr>
          <w:rFonts w:eastAsia="Calibri"/>
        </w:rPr>
        <w:t>9.4</w:t>
      </w:r>
      <w:r w:rsidRPr="0012622D">
        <w:rPr>
          <w:rFonts w:eastAsia="Calibri"/>
        </w:rPr>
        <w:tab/>
        <w:t>With regard to the credibility of the alleged marriage, the Committee takes note of the author</w:t>
      </w:r>
      <w:r w:rsidR="0012622D" w:rsidRPr="0012622D">
        <w:rPr>
          <w:rFonts w:eastAsia="Calibri"/>
        </w:rPr>
        <w:t>’</w:t>
      </w:r>
      <w:r w:rsidRPr="0012622D">
        <w:rPr>
          <w:rFonts w:eastAsia="Calibri"/>
        </w:rPr>
        <w:t>s claim that the Regional Court of Utrecht found that previous courts had incorrectly determined the lack of credibility of her marriage. The Committee observes that, while acknowledging that the Immigration and Naturalization Service of the Netherlands gave insufficient reasons for not finding the alleged marriage credible, the State party, however, argues that the district court agreed with the Service</w:t>
      </w:r>
      <w:r w:rsidR="0012622D" w:rsidRPr="0012622D">
        <w:rPr>
          <w:rFonts w:eastAsia="Calibri"/>
        </w:rPr>
        <w:t>’</w:t>
      </w:r>
      <w:r w:rsidRPr="0012622D">
        <w:rPr>
          <w:rFonts w:eastAsia="Calibri"/>
        </w:rPr>
        <w:t>s alternative argument that, even if the statements should be deemed credible, the author and her daughter could go and reside elsewhere in Nigeria. The Committee observes that a complete assessment of the author</w:t>
      </w:r>
      <w:r w:rsidR="0012622D" w:rsidRPr="0012622D">
        <w:rPr>
          <w:rFonts w:eastAsia="Calibri"/>
        </w:rPr>
        <w:t>’</w:t>
      </w:r>
      <w:r w:rsidRPr="0012622D">
        <w:rPr>
          <w:rFonts w:eastAsia="Calibri"/>
        </w:rPr>
        <w:t>s statements during the asylum process could have had a significant impact on a determination of the capacity of the author</w:t>
      </w:r>
      <w:r w:rsidR="0012622D" w:rsidRPr="0012622D">
        <w:rPr>
          <w:rFonts w:eastAsia="Calibri"/>
        </w:rPr>
        <w:t>’</w:t>
      </w:r>
      <w:r w:rsidRPr="0012622D">
        <w:rPr>
          <w:rFonts w:eastAsia="Calibri"/>
        </w:rPr>
        <w:t>s spouse to claim custody over the author</w:t>
      </w:r>
      <w:r w:rsidR="0012622D" w:rsidRPr="0012622D">
        <w:rPr>
          <w:rFonts w:eastAsia="Calibri"/>
        </w:rPr>
        <w:t>’</w:t>
      </w:r>
      <w:r w:rsidRPr="0012622D">
        <w:rPr>
          <w:rFonts w:eastAsia="Calibri"/>
        </w:rPr>
        <w:t>s daughter and subjecting her to female genital mutilation. It takes note of the author</w:t>
      </w:r>
      <w:r w:rsidR="0012622D" w:rsidRPr="0012622D">
        <w:rPr>
          <w:rFonts w:eastAsia="Calibri"/>
        </w:rPr>
        <w:t>’</w:t>
      </w:r>
      <w:r w:rsidRPr="0012622D">
        <w:rPr>
          <w:rFonts w:eastAsia="Calibri"/>
        </w:rPr>
        <w:t>s assertion that the State party failed in its procedural obligation to duly assess the risk to which E and herself would be exposed, dismissing her claims on the basis of a negative credibility finding, without considering the fact that the district court had ruled that the Service had given insufficient reasons for not finding the alleged marriage credible and that a more thorough assessment by the authorities could determine whether there was a real and personal risk that E would be excised upon returning to Nigeria.</w:t>
      </w:r>
    </w:p>
    <w:p w14:paraId="6FFF85FB" w14:textId="08ACF34F" w:rsidR="009C1FB8" w:rsidRPr="0012622D" w:rsidRDefault="009C1FB8" w:rsidP="009C1FB8">
      <w:pPr>
        <w:pStyle w:val="SingleTxtG"/>
        <w:rPr>
          <w:rFonts w:eastAsia="Calibri"/>
          <w:iCs/>
        </w:rPr>
      </w:pPr>
      <w:r w:rsidRPr="0012622D">
        <w:rPr>
          <w:rFonts w:eastAsia="Calibri"/>
        </w:rPr>
        <w:t>9.5</w:t>
      </w:r>
      <w:r w:rsidRPr="0012622D">
        <w:rPr>
          <w:rFonts w:eastAsia="Calibri"/>
        </w:rPr>
        <w:tab/>
        <w:t>Regarding the risk that the author and her daughter would be subjected to female genital mutilation, the Committee takes note of the author</w:t>
      </w:r>
      <w:r w:rsidR="0012622D" w:rsidRPr="0012622D">
        <w:rPr>
          <w:rFonts w:eastAsia="Calibri"/>
        </w:rPr>
        <w:t>’</w:t>
      </w:r>
      <w:r w:rsidRPr="0012622D">
        <w:rPr>
          <w:rFonts w:eastAsia="Calibri"/>
        </w:rPr>
        <w:t xml:space="preserve">s claims, based on several reports that, although </w:t>
      </w:r>
      <w:r w:rsidRPr="0012622D">
        <w:rPr>
          <w:rFonts w:eastAsia="Calibri"/>
          <w:iCs/>
        </w:rPr>
        <w:t>E</w:t>
      </w:r>
      <w:r w:rsidR="0012622D" w:rsidRPr="0012622D">
        <w:rPr>
          <w:rFonts w:eastAsia="Calibri"/>
          <w:iCs/>
        </w:rPr>
        <w:t>’</w:t>
      </w:r>
      <w:r w:rsidRPr="0012622D">
        <w:rPr>
          <w:rFonts w:eastAsia="Calibri"/>
          <w:iCs/>
        </w:rPr>
        <w:t>s father does not have official custody over the child, he can decide that she must be circumcised, even if her mother opposes, and that the protection of E should not depend on the author</w:t>
      </w:r>
      <w:r w:rsidR="0012622D" w:rsidRPr="0012622D">
        <w:rPr>
          <w:rFonts w:eastAsia="Calibri"/>
          <w:iCs/>
        </w:rPr>
        <w:t>’</w:t>
      </w:r>
      <w:r w:rsidRPr="0012622D">
        <w:rPr>
          <w:rFonts w:eastAsia="Calibri"/>
          <w:iCs/>
        </w:rPr>
        <w:t>s ability to withstand the pressure from her husband</w:t>
      </w:r>
      <w:r w:rsidR="0012622D" w:rsidRPr="0012622D">
        <w:rPr>
          <w:rFonts w:eastAsia="Calibri"/>
          <w:iCs/>
        </w:rPr>
        <w:t>’</w:t>
      </w:r>
      <w:r w:rsidRPr="0012622D">
        <w:rPr>
          <w:rFonts w:eastAsia="Calibri"/>
          <w:iCs/>
        </w:rPr>
        <w:t>s family to subject the author</w:t>
      </w:r>
      <w:r w:rsidR="0012622D" w:rsidRPr="0012622D">
        <w:rPr>
          <w:rFonts w:eastAsia="Calibri"/>
          <w:iCs/>
        </w:rPr>
        <w:t>’</w:t>
      </w:r>
      <w:r w:rsidRPr="0012622D">
        <w:rPr>
          <w:rFonts w:eastAsia="Calibri"/>
          <w:iCs/>
        </w:rPr>
        <w:t>s daughter to female genital mutilation. The Committee takes note of the State party</w:t>
      </w:r>
      <w:r w:rsidR="0012622D" w:rsidRPr="0012622D">
        <w:rPr>
          <w:rFonts w:eastAsia="Calibri"/>
          <w:iCs/>
        </w:rPr>
        <w:t>’</w:t>
      </w:r>
      <w:r w:rsidRPr="0012622D">
        <w:rPr>
          <w:rFonts w:eastAsia="Calibri"/>
          <w:iCs/>
        </w:rPr>
        <w:t>s argument that customary courts in Nigeria, including in Edo State, consider the best interests and welfare of the child as the prime guiding principle in their approach to child custody cases and that, in Nigeria, the trend is that the courts consider that daughters are better protected when they remain in the custody of their mothers, in cases where the marriage is dissolved. The personal situation of the author must also be taken into consideration.</w:t>
      </w:r>
    </w:p>
    <w:p w14:paraId="6A03D86C" w14:textId="266EC000" w:rsidR="0012622D" w:rsidRPr="0012622D" w:rsidRDefault="009C1FB8" w:rsidP="009C1FB8">
      <w:pPr>
        <w:pStyle w:val="SingleTxtG"/>
        <w:rPr>
          <w:rFonts w:eastAsia="Calibri"/>
        </w:rPr>
      </w:pPr>
      <w:r w:rsidRPr="0012622D">
        <w:rPr>
          <w:rFonts w:eastAsia="Calibri"/>
        </w:rPr>
        <w:t>9.6</w:t>
      </w:r>
      <w:r w:rsidRPr="0012622D">
        <w:rPr>
          <w:rFonts w:eastAsia="Calibri"/>
        </w:rPr>
        <w:tab/>
        <w:t>With regard to a flight alternative or alternative place of residence, the Committee takes note of the author</w:t>
      </w:r>
      <w:r w:rsidR="0012622D" w:rsidRPr="0012622D">
        <w:rPr>
          <w:rFonts w:eastAsia="Calibri"/>
        </w:rPr>
        <w:t>’</w:t>
      </w:r>
      <w:r w:rsidRPr="0012622D">
        <w:rPr>
          <w:rFonts w:eastAsia="Calibri"/>
        </w:rPr>
        <w:t xml:space="preserve">s arguments that female genital mutilation is common in the entire southern part of Nigeria, and there is not any part of Nigeria where she would be safe from that risk, that, as a single mother, she is not able to survive on her own, that she suffers from </w:t>
      </w:r>
      <w:r w:rsidRPr="0012622D">
        <w:rPr>
          <w:rFonts w:eastAsia="Calibri"/>
        </w:rPr>
        <w:lastRenderedPageBreak/>
        <w:t>severe psychiatric conditions and that she cannot rely on a social network to protect her or E against female genital mutilation. The Committee also takes note of the State party</w:t>
      </w:r>
      <w:r w:rsidR="0012622D" w:rsidRPr="0012622D">
        <w:rPr>
          <w:rFonts w:eastAsia="Calibri"/>
        </w:rPr>
        <w:t>’</w:t>
      </w:r>
      <w:r w:rsidRPr="0012622D">
        <w:rPr>
          <w:rFonts w:eastAsia="Calibri"/>
        </w:rPr>
        <w:t>s arguments that there is no universal practi</w:t>
      </w:r>
      <w:r w:rsidR="00BB432E">
        <w:rPr>
          <w:rFonts w:eastAsia="Calibri"/>
        </w:rPr>
        <w:t>c</w:t>
      </w:r>
      <w:r w:rsidRPr="0012622D">
        <w:rPr>
          <w:rFonts w:eastAsia="Calibri"/>
        </w:rPr>
        <w:t>e of female genital mutilation in Nigeria, where the vast majority of young Nigerian women have not been subjected to female genital mutilation, but recognizes that, despite State prohibition of female genital mutilation, the practice continues throughout the country with perpetrators rarely being prosecuted. The Committee further takes note of the State party</w:t>
      </w:r>
      <w:r w:rsidR="0012622D" w:rsidRPr="0012622D">
        <w:rPr>
          <w:rFonts w:eastAsia="Calibri"/>
        </w:rPr>
        <w:t>’</w:t>
      </w:r>
      <w:r w:rsidRPr="0012622D">
        <w:rPr>
          <w:rFonts w:eastAsia="Calibri"/>
        </w:rPr>
        <w:t>s argument that, except during her pregnancy, the author and her mother were not pressured to undergo female genital mutilation.</w:t>
      </w:r>
    </w:p>
    <w:p w14:paraId="033CFBBD" w14:textId="2D9A0483" w:rsidR="0012622D" w:rsidRPr="0012622D" w:rsidRDefault="009C1FB8" w:rsidP="009C1FB8">
      <w:pPr>
        <w:pStyle w:val="SingleTxtG"/>
        <w:rPr>
          <w:rFonts w:eastAsia="Calibri"/>
        </w:rPr>
      </w:pPr>
      <w:r w:rsidRPr="0012622D">
        <w:rPr>
          <w:rFonts w:eastAsia="Calibri"/>
        </w:rPr>
        <w:t>9.7</w:t>
      </w:r>
      <w:r w:rsidRPr="0012622D">
        <w:rPr>
          <w:rFonts w:eastAsia="Calibri"/>
        </w:rPr>
        <w:tab/>
        <w:t>The Committee takes note of the author</w:t>
      </w:r>
      <w:r w:rsidR="0012622D" w:rsidRPr="0012622D">
        <w:rPr>
          <w:rFonts w:eastAsia="Calibri"/>
        </w:rPr>
        <w:t>’</w:t>
      </w:r>
      <w:r w:rsidRPr="0012622D">
        <w:rPr>
          <w:rFonts w:eastAsia="Calibri"/>
        </w:rPr>
        <w:t>s argument that,</w:t>
      </w:r>
      <w:r w:rsidRPr="0012622D">
        <w:rPr>
          <w:rFonts w:eastAsia="Calibri"/>
          <w:iCs/>
        </w:rPr>
        <w:t xml:space="preserve"> owing to the fairly high incidence of female genital mutilation in Nigeria and that E was only two years old at the time of submission of the communication, E would face a real risk of being subjected to female genital mutilation if she were to be expelled to Nigeria, which would constitute a violation of </w:t>
      </w:r>
      <w:r w:rsidRPr="0012622D">
        <w:rPr>
          <w:rFonts w:eastAsia="Calibri"/>
        </w:rPr>
        <w:t>article 7, read</w:t>
      </w:r>
      <w:r w:rsidRPr="0012622D">
        <w:rPr>
          <w:rFonts w:eastAsia="Calibri"/>
          <w:iCs/>
        </w:rPr>
        <w:t xml:space="preserve"> in conjunction with article 24, of the Covenant, and that, even though circumcision is prohibited in Nigeria, </w:t>
      </w:r>
      <w:r w:rsidRPr="0012622D">
        <w:rPr>
          <w:rFonts w:eastAsia="Calibri"/>
        </w:rPr>
        <w:t>the</w:t>
      </w:r>
      <w:r w:rsidRPr="0012622D">
        <w:rPr>
          <w:rFonts w:eastAsia="Calibri"/>
          <w:iCs/>
        </w:rPr>
        <w:t xml:space="preserve"> practice continues throughout the country, including in Edo State, and the perpetrators are not prosecuted</w:t>
      </w:r>
      <w:r w:rsidRPr="0012622D">
        <w:rPr>
          <w:rFonts w:eastAsia="Calibri"/>
        </w:rPr>
        <w:t>. The Committee also takes note of the State party</w:t>
      </w:r>
      <w:r w:rsidR="0012622D" w:rsidRPr="0012622D">
        <w:rPr>
          <w:rFonts w:eastAsia="Calibri"/>
        </w:rPr>
        <w:t>’</w:t>
      </w:r>
      <w:r w:rsidRPr="0012622D">
        <w:rPr>
          <w:rFonts w:eastAsia="Calibri"/>
        </w:rPr>
        <w:t>s argument that the prevailing trends of female genital mutilation in Nigeria do not demonstrate that women and girls are generally excised upon their return to the country and that the author does not substantiate the claim that the assessment made by the authorities in that regard was clearly arbitrary or amounted to a manifest error or denial of justice. The Committee observes that both parties agree that subjecting a child or an adult to female genital mutilation amounts to treatment proscribed by article 7 of the Covenant. The Committee also observes that both parties agree on the fact that, despite State prohibition, women and children in Nigeria continue to be exposed to female genital mutilation. The Committee further observes that the State party has recognized that female genital mutilation is more prevalent in the south, where Edo State is situated, and that the female genital mutilation rate for the whole country in 2015 was 27 per cent, which is indicative that it is still practi</w:t>
      </w:r>
      <w:r w:rsidR="009C0CCD">
        <w:rPr>
          <w:rFonts w:eastAsia="Calibri"/>
        </w:rPr>
        <w:t>s</w:t>
      </w:r>
      <w:r w:rsidRPr="0012622D">
        <w:rPr>
          <w:rFonts w:eastAsia="Calibri"/>
        </w:rPr>
        <w:t>ed to a significant degree. The Committee notes that that element is an important factor in determining whether or not E is at risk of being circumcised upon her return to Nigeria.</w:t>
      </w:r>
    </w:p>
    <w:p w14:paraId="7B15F7A0" w14:textId="30929A7A" w:rsidR="009C1FB8" w:rsidRPr="0012622D" w:rsidRDefault="009C1FB8" w:rsidP="009C1FB8">
      <w:pPr>
        <w:pStyle w:val="SingleTxtG"/>
        <w:rPr>
          <w:rFonts w:eastAsia="Calibri"/>
        </w:rPr>
      </w:pPr>
      <w:r w:rsidRPr="0012622D">
        <w:rPr>
          <w:rFonts w:eastAsia="Calibri"/>
        </w:rPr>
        <w:t>9.8</w:t>
      </w:r>
      <w:r w:rsidRPr="0012622D">
        <w:rPr>
          <w:rFonts w:eastAsia="Calibri"/>
        </w:rPr>
        <w:tab/>
        <w:t>The Committee recalls that, under article 24 of the Covenant, children shall enjoy the necessary protection as required by their status as minors, on the part of their family, society and the State. The Committee also recalls that, even though the measures to be adopted are not specified in the Covenant, it is for each State to determine them in the light of the protection needs of children in its territory and within its jurisdiction. The protection measures should also prevent children from being subjected to acts of violence and cruel and inhuman treatment.</w:t>
      </w:r>
      <w:r w:rsidRPr="0012622D">
        <w:rPr>
          <w:rStyle w:val="FootnoteReference"/>
        </w:rPr>
        <w:footnoteReference w:id="37"/>
      </w:r>
      <w:r w:rsidRPr="0012622D">
        <w:rPr>
          <w:rFonts w:eastAsia="Calibri"/>
        </w:rPr>
        <w:t xml:space="preserve"> The Committee therefore finds that the State party has not properly assessed the author</w:t>
      </w:r>
      <w:r w:rsidR="0012622D" w:rsidRPr="0012622D">
        <w:rPr>
          <w:rFonts w:eastAsia="Calibri"/>
        </w:rPr>
        <w:t>’</w:t>
      </w:r>
      <w:r w:rsidRPr="0012622D">
        <w:rPr>
          <w:rFonts w:eastAsia="Calibri"/>
        </w:rPr>
        <w:t>s claims regarding the risk that E would face upon her return to Nigeria.</w:t>
      </w:r>
    </w:p>
    <w:p w14:paraId="14C9BDB9" w14:textId="4D0831E8" w:rsidR="009C1FB8" w:rsidRPr="0012622D" w:rsidRDefault="009C1FB8" w:rsidP="009C1FB8">
      <w:pPr>
        <w:pStyle w:val="SingleTxtG"/>
        <w:rPr>
          <w:rFonts w:eastAsia="Calibri"/>
        </w:rPr>
      </w:pPr>
      <w:r w:rsidRPr="0012622D">
        <w:rPr>
          <w:rFonts w:eastAsia="Calibri"/>
        </w:rPr>
        <w:t>10.</w:t>
      </w:r>
      <w:r w:rsidRPr="0012622D">
        <w:rPr>
          <w:rFonts w:eastAsia="Calibri"/>
        </w:rPr>
        <w:tab/>
        <w:t>The Committee, acting under article 5 (4) of the Optional Protocol, is of the view that the author</w:t>
      </w:r>
      <w:r w:rsidR="0012622D" w:rsidRPr="0012622D">
        <w:rPr>
          <w:rFonts w:eastAsia="Calibri"/>
        </w:rPr>
        <w:t>’</w:t>
      </w:r>
      <w:r w:rsidRPr="0012622D">
        <w:rPr>
          <w:rFonts w:eastAsia="Calibri"/>
        </w:rPr>
        <w:t>s and E</w:t>
      </w:r>
      <w:r w:rsidR="0012622D" w:rsidRPr="0012622D">
        <w:rPr>
          <w:rFonts w:eastAsia="Calibri"/>
        </w:rPr>
        <w:t>’</w:t>
      </w:r>
      <w:r w:rsidRPr="0012622D">
        <w:rPr>
          <w:rFonts w:eastAsia="Calibri"/>
        </w:rPr>
        <w:t>s removal to Nigeria, if implemented in the absence of a procedure which would guarantee a proper assessment of the real and personal risk that they might face if deported, would violate their rights under article 7,</w:t>
      </w:r>
      <w:r w:rsidRPr="0012622D">
        <w:t xml:space="preserve"> </w:t>
      </w:r>
      <w:r w:rsidRPr="0012622D">
        <w:rPr>
          <w:rFonts w:eastAsia="Calibri"/>
        </w:rPr>
        <w:t>read alone and in conjunction with article 24, of the Covenant.</w:t>
      </w:r>
    </w:p>
    <w:p w14:paraId="6297CDB6" w14:textId="77777777" w:rsidR="0012622D" w:rsidRPr="0012622D" w:rsidRDefault="009C1FB8" w:rsidP="009C1FB8">
      <w:pPr>
        <w:pStyle w:val="SingleTxtG"/>
        <w:rPr>
          <w:rFonts w:eastAsia="Calibri"/>
        </w:rPr>
      </w:pPr>
      <w:r w:rsidRPr="0012622D">
        <w:rPr>
          <w:rFonts w:eastAsia="Calibri"/>
        </w:rPr>
        <w:t>11.</w:t>
      </w:r>
      <w:r w:rsidRPr="0012622D">
        <w:rPr>
          <w:rFonts w:eastAsia="Calibri"/>
        </w:rPr>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12622D" w:rsidRPr="0012622D">
        <w:rPr>
          <w:rFonts w:eastAsia="Calibri"/>
        </w:rPr>
        <w:t>’</w:t>
      </w:r>
      <w:r w:rsidRPr="0012622D">
        <w:rPr>
          <w:rFonts w:eastAsia="Calibri"/>
        </w:rPr>
        <w:t>s case, taking into account the State party</w:t>
      </w:r>
      <w:r w:rsidR="0012622D" w:rsidRPr="0012622D">
        <w:rPr>
          <w:rFonts w:eastAsia="Calibri"/>
        </w:rPr>
        <w:t>’</w:t>
      </w:r>
      <w:r w:rsidRPr="0012622D">
        <w:rPr>
          <w:rFonts w:eastAsia="Calibri"/>
        </w:rPr>
        <w:t>s obligations under the Covenant and the Committee</w:t>
      </w:r>
      <w:r w:rsidR="0012622D" w:rsidRPr="0012622D">
        <w:rPr>
          <w:rFonts w:eastAsia="Calibri"/>
        </w:rPr>
        <w:t>’</w:t>
      </w:r>
      <w:r w:rsidRPr="0012622D">
        <w:rPr>
          <w:rFonts w:eastAsia="Calibri"/>
        </w:rPr>
        <w:t>s present Views. The State party is also requested to refrain from expelling the author and her daughter to Nigeria while their requests for asylum are under reconsideration.</w:t>
      </w:r>
    </w:p>
    <w:p w14:paraId="3F902374" w14:textId="559224BA" w:rsidR="009C1FB8" w:rsidRPr="0012622D" w:rsidRDefault="009C1FB8" w:rsidP="009C1FB8">
      <w:pPr>
        <w:pStyle w:val="SingleTxtG"/>
        <w:rPr>
          <w:rFonts w:eastAsia="Calibri"/>
        </w:rPr>
      </w:pPr>
      <w:r w:rsidRPr="0012622D">
        <w:rPr>
          <w:rFonts w:eastAsia="Calibri"/>
        </w:rPr>
        <w:t>12.</w:t>
      </w:r>
      <w:r w:rsidRPr="0012622D">
        <w:rPr>
          <w:rFonts w:eastAsia="Calibri"/>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in case </w:t>
      </w:r>
      <w:r w:rsidRPr="0012622D">
        <w:rPr>
          <w:rFonts w:eastAsia="Calibri"/>
        </w:rPr>
        <w:lastRenderedPageBreak/>
        <w:t>a violation has been established, the Committee wishes to receive from the State party, within 180 days, information about the measures taken to give effect to the Committee</w:t>
      </w:r>
      <w:r w:rsidR="0012622D" w:rsidRPr="0012622D">
        <w:rPr>
          <w:rFonts w:eastAsia="Calibri"/>
        </w:rPr>
        <w:t>’</w:t>
      </w:r>
      <w:r w:rsidRPr="0012622D">
        <w:rPr>
          <w:rFonts w:eastAsia="Calibri"/>
        </w:rPr>
        <w:t>s Views. The State party is also requested to publish the present Views and disseminate them widely in the official language of the State party.</w:t>
      </w:r>
    </w:p>
    <w:p w14:paraId="25075CA9" w14:textId="77777777" w:rsidR="00272D45" w:rsidRPr="0012622D" w:rsidRDefault="00272D45" w:rsidP="009C1FB8">
      <w:pPr>
        <w:pStyle w:val="SingleTxtG"/>
      </w:pPr>
    </w:p>
    <w:p w14:paraId="7DFD0C47" w14:textId="6FCCF607" w:rsidR="00272D45" w:rsidRPr="0012622D" w:rsidRDefault="00272D45" w:rsidP="009C1FB8">
      <w:pPr>
        <w:pStyle w:val="SingleTxtG"/>
        <w:sectPr w:rsidR="00272D45" w:rsidRPr="0012622D"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14:paraId="17ACE6D8" w14:textId="2CF3F74A" w:rsidR="009C1FB8" w:rsidRPr="0012622D" w:rsidRDefault="009C1FB8" w:rsidP="00272D45">
      <w:pPr>
        <w:pStyle w:val="HChG"/>
      </w:pPr>
      <w:r w:rsidRPr="0012622D">
        <w:lastRenderedPageBreak/>
        <w:t>Annex</w:t>
      </w:r>
    </w:p>
    <w:p w14:paraId="5F20ADCE" w14:textId="77777777" w:rsidR="009C1FB8" w:rsidRPr="0012622D" w:rsidRDefault="009C1FB8" w:rsidP="00272D45">
      <w:pPr>
        <w:pStyle w:val="HChG"/>
      </w:pPr>
      <w:r w:rsidRPr="0012622D">
        <w:tab/>
      </w:r>
      <w:r w:rsidRPr="0012622D">
        <w:tab/>
        <w:t>Joint opinion of Committee members Furuya Shuichi, Marcia V.J. Kran and Gentian Zyberi (dissenting)</w:t>
      </w:r>
    </w:p>
    <w:p w14:paraId="03B8A0AA" w14:textId="77777777" w:rsidR="009C1FB8" w:rsidRPr="0012622D" w:rsidRDefault="009C1FB8" w:rsidP="009C1FB8">
      <w:pPr>
        <w:pStyle w:val="SingleTxtG"/>
      </w:pPr>
      <w:r w:rsidRPr="0012622D">
        <w:t>1.</w:t>
      </w:r>
      <w:r w:rsidRPr="0012622D">
        <w:tab/>
        <w:t>We are unable to concur with the Views of the majority of the Committee that the removal of the author and her daughter, E, to Nigeria, if implemented, would violate their rights under article 7, read alone and in conjunction with article 24, of the Covenant.</w:t>
      </w:r>
    </w:p>
    <w:p w14:paraId="5CF851A7" w14:textId="77777777" w:rsidR="009C1FB8" w:rsidRPr="0012622D" w:rsidRDefault="009C1FB8" w:rsidP="009C1FB8">
      <w:pPr>
        <w:pStyle w:val="SingleTxtG"/>
      </w:pPr>
      <w:r w:rsidRPr="0012622D">
        <w:t>2.</w:t>
      </w:r>
      <w:r w:rsidRPr="0012622D">
        <w:tab/>
        <w:t>We fully agree with the majority findings that subjecting a child or an adult to female genital mutilation amounts to treatment proscribed by article 7 of the Covenant and that women and children in Nigeria continue to be exposed to female genital mutilation. At issue in the present case, however, is whether the author has demonstrated that the assessment by the State party of her situation was clearly arbitrary or amounted to a manifest error or denial of justice.</w:t>
      </w:r>
    </w:p>
    <w:p w14:paraId="3D6160D7" w14:textId="476A0C6F" w:rsidR="009C1FB8" w:rsidRPr="0012622D" w:rsidRDefault="009C1FB8" w:rsidP="009C1FB8">
      <w:pPr>
        <w:pStyle w:val="SingleTxtG"/>
      </w:pPr>
      <w:r w:rsidRPr="0012622D">
        <w:t>3.</w:t>
      </w:r>
      <w:r w:rsidRPr="0012622D">
        <w:tab/>
        <w:t>According to the jurisprudence of the Committee, it is generally for the organs of a State party to examine the facts and evidence of the case in question to determine, through an individualized assessment,</w:t>
      </w:r>
      <w:r w:rsidR="0012622D" w:rsidRPr="0012622D">
        <w:rPr>
          <w:rStyle w:val="FootnoteReference"/>
        </w:rPr>
        <w:footnoteReference w:id="38"/>
      </w:r>
      <w:r w:rsidRPr="0012622D">
        <w:t xml:space="preserve"> whether a real risk of irreparable harm would result should a person be removed from the State party</w:t>
      </w:r>
      <w:r w:rsidR="0012622D" w:rsidRPr="0012622D">
        <w:t>’</w:t>
      </w:r>
      <w:r w:rsidRPr="0012622D">
        <w:t>s territory,</w:t>
      </w:r>
      <w:r w:rsidRPr="0012622D">
        <w:rPr>
          <w:rStyle w:val="FootnoteReference"/>
        </w:rPr>
        <w:footnoteReference w:id="39"/>
      </w:r>
      <w:r w:rsidRPr="0012622D">
        <w:t xml:space="preserve"> unless it can be established that the assessment was clearly arbitrary or amounted to a manifest error or denial of justice.</w:t>
      </w:r>
      <w:r w:rsidRPr="0012622D">
        <w:rPr>
          <w:rStyle w:val="FootnoteReference"/>
        </w:rPr>
        <w:footnoteReference w:id="40"/>
      </w:r>
      <w:r w:rsidRPr="0012622D">
        <w:t xml:space="preserve"> </w:t>
      </w:r>
      <w:r w:rsidRPr="0012622D">
        <w:rPr>
          <w:rFonts w:eastAsia="Calibri"/>
        </w:rPr>
        <w:t>That</w:t>
      </w:r>
      <w:r w:rsidRPr="0012622D">
        <w:t xml:space="preserve"> risk must be personal, and there is a high threshold for providing substantial grounds to establish its existence.</w:t>
      </w:r>
      <w:r w:rsidRPr="0012622D">
        <w:rPr>
          <w:rStyle w:val="FootnoteReference"/>
        </w:rPr>
        <w:footnoteReference w:id="41"/>
      </w:r>
      <w:r w:rsidRPr="0012622D">
        <w:t xml:space="preserve"> Furthermore, considerable weight should be given to the assessment conducted by the State party, and it is for the author of a communication to establish that the assessment by the State party was clearly arbitrary or amounted to a manifest error or denial of justice.</w:t>
      </w:r>
      <w:r w:rsidRPr="0012622D">
        <w:rPr>
          <w:rStyle w:val="FootnoteReference"/>
        </w:rPr>
        <w:footnoteReference w:id="42"/>
      </w:r>
    </w:p>
    <w:p w14:paraId="5BCCE488" w14:textId="2910D53F" w:rsidR="009C1FB8" w:rsidRPr="0012622D" w:rsidRDefault="009C1FB8" w:rsidP="009C1FB8">
      <w:pPr>
        <w:pStyle w:val="SingleTxtG"/>
      </w:pPr>
      <w:r w:rsidRPr="0012622D">
        <w:t>4.</w:t>
      </w:r>
      <w:r w:rsidRPr="0012622D">
        <w:tab/>
        <w:t>In paragraph 9.3 of the decision, the majority set out the four aspects considered before deciding whether the assessment was clearly arbitrary or amounted to a manifest error or denial of justice: (a) the credibility of the alleged marriage; (b) the risk posed to the author and E of being subjected to female genital mutilation; (c) the general situation in Nigeria, where it is still a recurrent practice; and (d) the possibility of a flight alternative, i.e. an alternative place of residence to which the author and her daughter could reasonably flee where, in the context of the present case, they would not face a real risk of irreparable harm. The majority, in paragraphs 9.4 to 9.7, merely explain the arguments of both sides, without assessing those arguments based on the jurisprudence of the Committee, and suddenly conclude that the State party has not properly assessed the author</w:t>
      </w:r>
      <w:r w:rsidR="0012622D" w:rsidRPr="0012622D">
        <w:t>’</w:t>
      </w:r>
      <w:r w:rsidRPr="0012622D">
        <w:t>s claims regarding the risk that E would face upon her return to Nigeria (para. 9.8). Without persuasive reasons or a sound legal rationale to conclude that the assessment conducted by the State party was clearly arbitrary or amounted to a manifest error or denial of justice, the majority of the Committee appears to reach a finding without resolving the central legal issue it identified in paragraph 9.3.</w:t>
      </w:r>
    </w:p>
    <w:p w14:paraId="5C8E792C" w14:textId="77777777" w:rsidR="0012622D" w:rsidRPr="0012622D" w:rsidRDefault="009C1FB8" w:rsidP="009C1FB8">
      <w:pPr>
        <w:pStyle w:val="SingleTxtG"/>
      </w:pPr>
      <w:r w:rsidRPr="0012622D">
        <w:t>5.</w:t>
      </w:r>
      <w:r w:rsidRPr="0012622D">
        <w:tab/>
        <w:t xml:space="preserve">We are of the view that the crucial element to be taken into account in deciding the arbitrariness or manifest error or denial of justice of the assessment is whether the State party conducted an individualized assessment of the situation particular to the author and E, as </w:t>
      </w:r>
      <w:r w:rsidRPr="0012622D">
        <w:lastRenderedPageBreak/>
        <w:t>opposed to relying on reports of the general situation in Nigeria.</w:t>
      </w:r>
      <w:r w:rsidRPr="0012622D">
        <w:rPr>
          <w:rStyle w:val="FootnoteReference"/>
        </w:rPr>
        <w:footnoteReference w:id="43"/>
      </w:r>
      <w:r w:rsidRPr="0012622D">
        <w:t xml:space="preserve"> In </w:t>
      </w:r>
      <w:r w:rsidRPr="0012622D">
        <w:rPr>
          <w:rFonts w:eastAsia="Calibri"/>
        </w:rPr>
        <w:t>that</w:t>
      </w:r>
      <w:r w:rsidRPr="0012622D">
        <w:t xml:space="preserve"> respect, the author presented only a description of the general situation in Nigeria concerning female genital mutilation (paras. 3.4, 5.3 and 7.3 of the decision), the capacity of fathers to force circumcision on their daughters</w:t>
      </w:r>
      <w:r w:rsidRPr="0012622D" w:rsidDel="008975E2">
        <w:t xml:space="preserve"> </w:t>
      </w:r>
      <w:r w:rsidRPr="0012622D">
        <w:t>(paras. 5.6 and 7.2) and difficulties facing single mothers in Nigeria (paras. 5.8 and 7.3).</w:t>
      </w:r>
    </w:p>
    <w:p w14:paraId="7A8FCC24" w14:textId="77777777" w:rsidR="0012622D" w:rsidRPr="0012622D" w:rsidRDefault="009C1FB8" w:rsidP="009C1FB8">
      <w:pPr>
        <w:pStyle w:val="SingleTxtG"/>
      </w:pPr>
      <w:r w:rsidRPr="0012622D">
        <w:t>6.</w:t>
      </w:r>
      <w:r w:rsidRPr="0012622D">
        <w:tab/>
        <w:t>The State party conducted an individualized assessment of the personal risks that the author might face on her return to Nigeria. The State party</w:t>
      </w:r>
      <w:r w:rsidR="0012622D" w:rsidRPr="0012622D">
        <w:t>’</w:t>
      </w:r>
      <w:r w:rsidRPr="0012622D">
        <w:t xml:space="preserve">s assessment procedure ensured that its assessment could be individualized. In paragraph 4.5 of the decision, the State party submits that the author was interviewed several times during the asylum application procedure on behalf of herself and E, and was specifically questioned on the facts and circumstances of her departure from Nigeria and on the reasons why she believed that she and/or her daughter could expect treatment contrary to article 7 of the Covenant if she were to return to Nigeria, and that those measures were conducted through the Dutch asylum procedure, with due consideration given to article 7 of the Covenant. </w:t>
      </w:r>
      <w:r w:rsidRPr="0012622D">
        <w:rPr>
          <w:rFonts w:eastAsia="Calibri"/>
        </w:rPr>
        <w:t>The</w:t>
      </w:r>
      <w:r w:rsidRPr="0012622D">
        <w:t xml:space="preserve"> assessment included such findings as:</w:t>
      </w:r>
      <w:r w:rsidRPr="0012622D" w:rsidDel="008975E2">
        <w:t xml:space="preserve"> </w:t>
      </w:r>
      <w:r w:rsidRPr="0012622D">
        <w:t>(a) the author was unlikely to be pressured by people in the wider community to undergo female genital mutilation, which was regarded as a family matter, which was consistent with the statements that the author had made during the various interviews, indicating that, except during her pregnancy, she and her mother had not been pressured to undergo circumcision (para. 6.4); (b) it was questionable whether the father would even be aware of the author</w:t>
      </w:r>
      <w:r w:rsidR="0012622D" w:rsidRPr="0012622D">
        <w:t>’</w:t>
      </w:r>
      <w:r w:rsidRPr="0012622D">
        <w:t>s return and/or of the existence of his daughter, given that E was born in the Netherlands and the author had declared that she was no longer in contact with E</w:t>
      </w:r>
      <w:r w:rsidR="0012622D" w:rsidRPr="0012622D">
        <w:t>’</w:t>
      </w:r>
      <w:r w:rsidRPr="0012622D">
        <w:t>s father, whose name was also not listed on E</w:t>
      </w:r>
      <w:r w:rsidR="0012622D" w:rsidRPr="0012622D">
        <w:t>’</w:t>
      </w:r>
      <w:r w:rsidRPr="0012622D">
        <w:t xml:space="preserve">s birth certificate (para. 4.13); (c) the author went to secondary school and worked as a trainee hairdresser, and hairdressing was a trade that could be pursued anywhere and from which she could earn money (para. 4.12); and (d) the author was an adult woman who had lived, studied and worked in various places in Nigeria until the age of 30; she was able to earn an income, and moreover, she had family in Nigeria, including her mother and five siblings, who could help her (para. 6.5). While the author argues that the Immigration and Naturalization Service </w:t>
      </w:r>
      <w:r w:rsidRPr="0012622D">
        <w:rPr>
          <w:rFonts w:eastAsia="Calibri"/>
        </w:rPr>
        <w:t>of the Netherlands</w:t>
      </w:r>
      <w:r w:rsidRPr="0012622D">
        <w:t xml:space="preserve"> failed to give sufficient reasons for not finding her marriage credible, the author has not demonstrated that </w:t>
      </w:r>
      <w:r w:rsidRPr="0012622D">
        <w:rPr>
          <w:rFonts w:eastAsia="Calibri"/>
        </w:rPr>
        <w:t>that</w:t>
      </w:r>
      <w:r w:rsidRPr="0012622D">
        <w:t xml:space="preserve"> failure: (a) precludes the State</w:t>
      </w:r>
      <w:r w:rsidR="0012622D" w:rsidRPr="0012622D">
        <w:t>’</w:t>
      </w:r>
      <w:r w:rsidRPr="0012622D">
        <w:t>s risk assessment from being individualized; or (b) renders the State</w:t>
      </w:r>
      <w:r w:rsidR="0012622D" w:rsidRPr="0012622D">
        <w:t>’</w:t>
      </w:r>
      <w:r w:rsidRPr="0012622D">
        <w:t>s assessment clearly arbitrary or amounts to a manifest error or denial of justice.</w:t>
      </w:r>
    </w:p>
    <w:p w14:paraId="460DA478" w14:textId="77777777" w:rsidR="0012622D" w:rsidRPr="0012622D" w:rsidRDefault="009C1FB8" w:rsidP="009C1FB8">
      <w:pPr>
        <w:pStyle w:val="SingleTxtG"/>
      </w:pPr>
      <w:r w:rsidRPr="0012622D">
        <w:t>7.</w:t>
      </w:r>
      <w:r w:rsidRPr="0012622D">
        <w:tab/>
        <w:t xml:space="preserve">The author was able to appeal </w:t>
      </w:r>
      <w:r w:rsidRPr="0012622D">
        <w:rPr>
          <w:rFonts w:eastAsia="Calibri"/>
        </w:rPr>
        <w:t>the</w:t>
      </w:r>
      <w:r w:rsidRPr="0012622D">
        <w:t xml:space="preserve"> decision of the Immigration and Naturalization Service, and during the appeal, the court considered factors personal to the author, which concerned the availability of flight alternatives, namely, that the author could reside elsewhere, even if her marriage were found credible (para. 2.3 of the decision). The court therefore conducted an assessment on the author</w:t>
      </w:r>
      <w:r w:rsidR="0012622D" w:rsidRPr="0012622D">
        <w:t>’</w:t>
      </w:r>
      <w:r w:rsidRPr="0012622D">
        <w:t>s flight alternative, which was sufficiently individualized for us to find that the author has failed to demonstrate that it was clearly arbitrary or amounted to a manifest error or denial of justice.</w:t>
      </w:r>
    </w:p>
    <w:p w14:paraId="78DDCBCD" w14:textId="77777777" w:rsidR="0012622D" w:rsidRPr="0012622D" w:rsidRDefault="009C1FB8" w:rsidP="009C1FB8">
      <w:pPr>
        <w:pStyle w:val="SingleTxtG"/>
      </w:pPr>
      <w:bookmarkStart w:id="3" w:name="_Hlk88317269"/>
      <w:r w:rsidRPr="0012622D">
        <w:t>8.</w:t>
      </w:r>
      <w:r w:rsidRPr="0012622D">
        <w:tab/>
        <w:t>The author has not rebutted the substance of the State party</w:t>
      </w:r>
      <w:r w:rsidR="0012622D" w:rsidRPr="0012622D">
        <w:t>’</w:t>
      </w:r>
      <w:r w:rsidRPr="0012622D">
        <w:t>s assessment. To do so, the author must establish, to a high threshold, grounds for believing that she or E would face a real and personal risk of female genital mutilation as a result of their deportation to Nigeria.</w:t>
      </w:r>
      <w:r w:rsidRPr="0012622D">
        <w:rPr>
          <w:rStyle w:val="FootnoteReference"/>
        </w:rPr>
        <w:footnoteReference w:id="44"/>
      </w:r>
      <w:r w:rsidRPr="0012622D">
        <w:t xml:space="preserve"> The author has not sufficiently substantiated her claims, according to the legal threshold established by </w:t>
      </w:r>
      <w:r w:rsidRPr="0012622D">
        <w:rPr>
          <w:rFonts w:eastAsia="Calibri"/>
        </w:rPr>
        <w:t>the</w:t>
      </w:r>
      <w:r w:rsidRPr="0012622D">
        <w:t xml:space="preserve"> Committee. She has made a general assertion about the patriarchal nature of Nigerian society and asserted that E would be at risk of female genital mutilation under the authority of E</w:t>
      </w:r>
      <w:r w:rsidR="0012622D" w:rsidRPr="0012622D">
        <w:t>’</w:t>
      </w:r>
      <w:r w:rsidRPr="0012622D">
        <w:t>s father and his relatives, following her deportation to Nigeria.</w:t>
      </w:r>
      <w:r w:rsidRPr="0012622D">
        <w:rPr>
          <w:rStyle w:val="FootnoteReference"/>
        </w:rPr>
        <w:footnoteReference w:id="45"/>
      </w:r>
      <w:r w:rsidRPr="0012622D">
        <w:t xml:space="preserve"> The author has not shown that it would be impossible for her and E to relocate to another location in Nigeria to avoid the risk of female genital mutilation.</w:t>
      </w:r>
      <w:bookmarkEnd w:id="3"/>
    </w:p>
    <w:p w14:paraId="1189F787" w14:textId="77777777" w:rsidR="0012622D" w:rsidRPr="0012622D" w:rsidRDefault="009C1FB8" w:rsidP="009C1FB8">
      <w:pPr>
        <w:pStyle w:val="SingleTxtG"/>
      </w:pPr>
      <w:r w:rsidRPr="0012622D">
        <w:t>9.</w:t>
      </w:r>
      <w:bookmarkStart w:id="4" w:name="_Hlk88317463"/>
      <w:r w:rsidRPr="0012622D">
        <w:tab/>
        <w:t xml:space="preserve">The author relied on the case of </w:t>
      </w:r>
      <w:r w:rsidRPr="0012622D">
        <w:rPr>
          <w:i/>
          <w:iCs/>
        </w:rPr>
        <w:t xml:space="preserve">Kaba </w:t>
      </w:r>
      <w:r w:rsidRPr="0012622D">
        <w:rPr>
          <w:i/>
        </w:rPr>
        <w:t xml:space="preserve">and Kaba </w:t>
      </w:r>
      <w:r w:rsidRPr="0012622D">
        <w:rPr>
          <w:i/>
          <w:iCs/>
        </w:rPr>
        <w:t>v. Canada</w:t>
      </w:r>
      <w:r w:rsidRPr="0012622D">
        <w:t xml:space="preserve">, in which the Committee found that the author, who had fled from Guinea to Canada, had established that a real risk of female genital mutilation would result from her return to Guinea. </w:t>
      </w:r>
      <w:bookmarkEnd w:id="4"/>
      <w:r w:rsidRPr="0012622D">
        <w:t>The present case differs in at least three respects. First, in the present case, the author</w:t>
      </w:r>
      <w:r w:rsidR="0012622D" w:rsidRPr="0012622D">
        <w:t>’</w:t>
      </w:r>
      <w:r w:rsidRPr="0012622D">
        <w:t xml:space="preserve">s daughter has never met her father, whereas in </w:t>
      </w:r>
      <w:r w:rsidRPr="0012622D">
        <w:rPr>
          <w:i/>
          <w:iCs/>
        </w:rPr>
        <w:t>Kaba</w:t>
      </w:r>
      <w:r w:rsidRPr="0012622D">
        <w:t xml:space="preserve"> </w:t>
      </w:r>
      <w:r w:rsidRPr="0012622D">
        <w:rPr>
          <w:i/>
        </w:rPr>
        <w:t>and Kaba v. Canada</w:t>
      </w:r>
      <w:r w:rsidRPr="0012622D">
        <w:rPr>
          <w:iCs/>
        </w:rPr>
        <w:t>,</w:t>
      </w:r>
      <w:r w:rsidRPr="0012622D">
        <w:rPr>
          <w:i/>
        </w:rPr>
        <w:t xml:space="preserve"> </w:t>
      </w:r>
      <w:r w:rsidRPr="0012622D">
        <w:rPr>
          <w:iCs/>
        </w:rPr>
        <w:t>Fatoumata Kaba</w:t>
      </w:r>
      <w:r w:rsidRPr="0012622D">
        <w:t xml:space="preserve"> had grown up in her father</w:t>
      </w:r>
      <w:r w:rsidR="0012622D" w:rsidRPr="0012622D">
        <w:t>’</w:t>
      </w:r>
      <w:r w:rsidRPr="0012622D">
        <w:t xml:space="preserve">s </w:t>
      </w:r>
      <w:r w:rsidRPr="0012622D">
        <w:lastRenderedPageBreak/>
        <w:t>household.</w:t>
      </w:r>
      <w:r w:rsidRPr="0012622D">
        <w:rPr>
          <w:rStyle w:val="FootnoteReference"/>
        </w:rPr>
        <w:footnoteReference w:id="46"/>
      </w:r>
      <w:r w:rsidRPr="0012622D">
        <w:t xml:space="preserve"> Second, in </w:t>
      </w:r>
      <w:r w:rsidRPr="0012622D">
        <w:rPr>
          <w:i/>
          <w:iCs/>
        </w:rPr>
        <w:t xml:space="preserve">Kaba </w:t>
      </w:r>
      <w:r w:rsidRPr="0012622D">
        <w:rPr>
          <w:i/>
        </w:rPr>
        <w:t>and Kaba v. Canada</w:t>
      </w:r>
      <w:r w:rsidRPr="0012622D">
        <w:rPr>
          <w:iCs/>
        </w:rPr>
        <w:t xml:space="preserve">, </w:t>
      </w:r>
      <w:r w:rsidRPr="0012622D">
        <w:t>the author and her daughter faced deportation to Guinea, where her daughter faced certain excision by her father, who would have complete parental authority over her, given that the Civil Code of Guinea stipulated that custody of a child over 7 years of age was automatically granted to the father.</w:t>
      </w:r>
      <w:r w:rsidRPr="0012622D">
        <w:rPr>
          <w:rStyle w:val="FootnoteReference"/>
        </w:rPr>
        <w:footnoteReference w:id="47"/>
      </w:r>
      <w:r w:rsidRPr="0012622D">
        <w:t xml:space="preserve"> In the present case, the State party argued that there was no reason to believe that Nigerian courts would automatically grant custody to the father without the acquiescence of the author, and the author has not provided information in rebuttal (para. 6.3 of the decision). Third, in </w:t>
      </w:r>
      <w:r w:rsidRPr="0012622D">
        <w:rPr>
          <w:i/>
          <w:iCs/>
        </w:rPr>
        <w:t xml:space="preserve">Kaba </w:t>
      </w:r>
      <w:r w:rsidRPr="0012622D">
        <w:rPr>
          <w:i/>
        </w:rPr>
        <w:t>and Kaba v. Canada</w:t>
      </w:r>
      <w:r w:rsidRPr="0012622D">
        <w:rPr>
          <w:iCs/>
        </w:rPr>
        <w:t>,</w:t>
      </w:r>
      <w:r w:rsidRPr="0012622D">
        <w:rPr>
          <w:i/>
        </w:rPr>
        <w:t xml:space="preserve"> </w:t>
      </w:r>
      <w:r w:rsidRPr="0012622D">
        <w:t>the evidence indicated that as many as 90 per cent of girls underwent excision in Guinea, whereas in the present case, the prevalence of female genital mutilation is far lower. Specifically, the State party asserts that there is little evidence that women and girls face pressure to undergo female genital mutilation from general society and the incidence of female genital mutilation is declining (paras. 6.2 and 6.4). Furthermore, the author did not dispute the State party</w:t>
      </w:r>
      <w:r w:rsidR="0012622D" w:rsidRPr="0012622D">
        <w:t>’</w:t>
      </w:r>
      <w:r w:rsidRPr="0012622D">
        <w:t>s statement that the prevalence of female genital mutilation is declining and low relative to what it was in Guinea at the time of the Committee</w:t>
      </w:r>
      <w:r w:rsidR="0012622D" w:rsidRPr="0012622D">
        <w:t>’</w:t>
      </w:r>
      <w:r w:rsidRPr="0012622D">
        <w:t xml:space="preserve">s consideration of </w:t>
      </w:r>
      <w:r w:rsidRPr="0012622D">
        <w:rPr>
          <w:i/>
          <w:iCs/>
        </w:rPr>
        <w:t>Kaba</w:t>
      </w:r>
      <w:r w:rsidRPr="0012622D">
        <w:rPr>
          <w:i/>
        </w:rPr>
        <w:t xml:space="preserve"> and Kaba v. Canada</w:t>
      </w:r>
      <w:r w:rsidRPr="0012622D">
        <w:t xml:space="preserve">. </w:t>
      </w:r>
      <w:r w:rsidRPr="0012622D">
        <w:rPr>
          <w:rFonts w:eastAsia="Calibri"/>
        </w:rPr>
        <w:t>That</w:t>
      </w:r>
      <w:r w:rsidRPr="0012622D">
        <w:t xml:space="preserve"> distinguishing factor is significant because it shows that, in the present case, unlike in </w:t>
      </w:r>
      <w:r w:rsidRPr="0012622D">
        <w:rPr>
          <w:i/>
        </w:rPr>
        <w:t>Kaba and Kaba v. Canada</w:t>
      </w:r>
      <w:r w:rsidRPr="0012622D">
        <w:t>, there is no reason to infer a real and personal risk of female genital mutilation to the author or E based on an overwhelmingly frequent practice of female genital mutilation in the country.</w:t>
      </w:r>
    </w:p>
    <w:p w14:paraId="22A2ED3C" w14:textId="6FE078DF" w:rsidR="009C1FB8" w:rsidRPr="0012622D" w:rsidRDefault="009C1FB8" w:rsidP="009C1FB8">
      <w:pPr>
        <w:pStyle w:val="SingleTxtG"/>
      </w:pPr>
      <w:r w:rsidRPr="0012622D">
        <w:t>10.</w:t>
      </w:r>
      <w:r w:rsidRPr="0012622D">
        <w:tab/>
        <w:t>Without underestimating the concerns with respect to the practice of female genital mutilation in Nigeria, the author has failed to demonstrate that the assessment by the authorities of the State party was clearly arbitrary or amounted to a manifest error or denial of justice. Accordingly, we conclude that the removal of the author and her daughter to Nigeria, if implemented, would not constitute a violation of article 7, read alone and in conjunction with article 24, of the Covenant.</w:t>
      </w:r>
    </w:p>
    <w:p w14:paraId="5D6392A2" w14:textId="2F018A4F" w:rsidR="0012622D" w:rsidRPr="0012622D" w:rsidRDefault="0012622D" w:rsidP="0012622D">
      <w:pPr>
        <w:spacing w:before="240"/>
        <w:jc w:val="center"/>
        <w:rPr>
          <w:u w:val="single"/>
        </w:rPr>
      </w:pPr>
      <w:r w:rsidRPr="0012622D">
        <w:rPr>
          <w:u w:val="single"/>
        </w:rPr>
        <w:tab/>
      </w:r>
      <w:r w:rsidRPr="0012622D">
        <w:rPr>
          <w:u w:val="single"/>
        </w:rPr>
        <w:tab/>
      </w:r>
      <w:r w:rsidRPr="0012622D">
        <w:rPr>
          <w:u w:val="single"/>
        </w:rPr>
        <w:tab/>
      </w:r>
      <w:bookmarkEnd w:id="0"/>
    </w:p>
    <w:sectPr w:rsidR="0012622D" w:rsidRPr="0012622D" w:rsidSect="00472FED">
      <w:headerReference w:type="first" r:id="rId17"/>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8351" w14:textId="77777777" w:rsidR="00466C51" w:rsidRPr="00B903E5" w:rsidRDefault="00466C51" w:rsidP="00B903E5">
      <w:pPr>
        <w:pStyle w:val="Footer"/>
      </w:pPr>
    </w:p>
  </w:endnote>
  <w:endnote w:type="continuationSeparator" w:id="0">
    <w:p w14:paraId="21A5F615" w14:textId="77777777" w:rsidR="00466C51" w:rsidRPr="00B903E5" w:rsidRDefault="00466C51" w:rsidP="00B903E5">
      <w:pPr>
        <w:pStyle w:val="Footer"/>
      </w:pPr>
    </w:p>
  </w:endnote>
  <w:endnote w:type="continuationNotice" w:id="1">
    <w:p w14:paraId="488FBA7A" w14:textId="77777777" w:rsidR="00466C51" w:rsidRDefault="00466C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4123" w14:textId="41DA3649" w:rsidR="00EF3931" w:rsidRDefault="00733E3C" w:rsidP="009C1FB8">
    <w:pPr>
      <w:pStyle w:val="Footer"/>
      <w:tabs>
        <w:tab w:val="right" w:pos="9638"/>
      </w:tabs>
    </w:pPr>
    <w:r w:rsidRPr="00733E3C">
      <w:rPr>
        <w:b/>
        <w:bCs/>
        <w:sz w:val="18"/>
      </w:rPr>
      <w:fldChar w:fldCharType="begin"/>
    </w:r>
    <w:r w:rsidRPr="00733E3C">
      <w:rPr>
        <w:b/>
        <w:bCs/>
        <w:sz w:val="18"/>
      </w:rPr>
      <w:instrText xml:space="preserve"> PAGE  \* MERGEFORMAT </w:instrText>
    </w:r>
    <w:r w:rsidRPr="00733E3C">
      <w:rPr>
        <w:b/>
        <w:bCs/>
        <w:sz w:val="18"/>
      </w:rPr>
      <w:fldChar w:fldCharType="separate"/>
    </w:r>
    <w:r w:rsidR="00B65BAE">
      <w:rPr>
        <w:b/>
        <w:bCs/>
        <w:noProof/>
        <w:sz w:val="18"/>
      </w:rPr>
      <w:t>4</w:t>
    </w:r>
    <w:r w:rsidRPr="00733E3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F997" w14:textId="2ED86FCA" w:rsidR="00EF3931" w:rsidRDefault="00733E3C" w:rsidP="009C1FB8">
    <w:pPr>
      <w:pStyle w:val="Footer"/>
      <w:tabs>
        <w:tab w:val="right" w:pos="9638"/>
      </w:tabs>
    </w:pPr>
    <w:r>
      <w:tab/>
    </w:r>
    <w:r w:rsidRPr="00733E3C">
      <w:rPr>
        <w:b/>
        <w:bCs/>
        <w:sz w:val="18"/>
      </w:rPr>
      <w:fldChar w:fldCharType="begin"/>
    </w:r>
    <w:r w:rsidRPr="00733E3C">
      <w:rPr>
        <w:b/>
        <w:bCs/>
        <w:sz w:val="18"/>
      </w:rPr>
      <w:instrText xml:space="preserve"> PAGE  \* MERGEFORMAT </w:instrText>
    </w:r>
    <w:r w:rsidRPr="00733E3C">
      <w:rPr>
        <w:b/>
        <w:bCs/>
        <w:sz w:val="18"/>
      </w:rPr>
      <w:fldChar w:fldCharType="separate"/>
    </w:r>
    <w:r w:rsidR="00B65BAE">
      <w:rPr>
        <w:b/>
        <w:bCs/>
        <w:noProof/>
        <w:sz w:val="18"/>
      </w:rPr>
      <w:t>3</w:t>
    </w:r>
    <w:r w:rsidRPr="00733E3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C331" w14:textId="77777777" w:rsidR="00A83217" w:rsidRDefault="00A83217" w:rsidP="00A83217">
    <w:pPr>
      <w:pStyle w:val="Footer"/>
    </w:pPr>
    <w:r w:rsidRPr="0027112F">
      <w:rPr>
        <w:noProof/>
        <w:lang w:val="en-US"/>
      </w:rPr>
      <w:drawing>
        <wp:anchor distT="0" distB="0" distL="114300" distR="114300" simplePos="0" relativeHeight="251659264" behindDoc="0" locked="1" layoutInCell="1" allowOverlap="1" wp14:anchorId="2C9B7176" wp14:editId="625C98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87F3A9" w14:textId="77777777" w:rsidR="00A83217" w:rsidRPr="002D2B9E" w:rsidRDefault="00A83217" w:rsidP="00A83217">
    <w:pPr>
      <w:pStyle w:val="Footer"/>
      <w:ind w:right="1134"/>
      <w:rPr>
        <w:sz w:val="20"/>
      </w:rPr>
    </w:pPr>
    <w:r>
      <w:rPr>
        <w:sz w:val="20"/>
      </w:rPr>
      <w:t>GE.22-02335(E)</w:t>
    </w:r>
    <w:r>
      <w:rPr>
        <w:noProof/>
        <w:sz w:val="20"/>
      </w:rPr>
      <w:drawing>
        <wp:anchor distT="0" distB="0" distL="114300" distR="114300" simplePos="0" relativeHeight="251660288" behindDoc="0" locked="0" layoutInCell="1" allowOverlap="1" wp14:anchorId="1549CE08" wp14:editId="4B71C945">
          <wp:simplePos x="0" y="0"/>
          <wp:positionH relativeFrom="margin">
            <wp:posOffset>5615940</wp:posOffset>
          </wp:positionH>
          <wp:positionV relativeFrom="margin">
            <wp:posOffset>8905875</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BDD0" w14:textId="77777777" w:rsidR="00466C51" w:rsidRPr="00B903E5" w:rsidRDefault="00466C51" w:rsidP="00B903E5">
      <w:pPr>
        <w:tabs>
          <w:tab w:val="right" w:pos="2155"/>
        </w:tabs>
        <w:spacing w:after="80" w:line="240" w:lineRule="auto"/>
        <w:ind w:left="680"/>
      </w:pPr>
      <w:r>
        <w:rPr>
          <w:u w:val="single"/>
        </w:rPr>
        <w:tab/>
      </w:r>
    </w:p>
  </w:footnote>
  <w:footnote w:type="continuationSeparator" w:id="0">
    <w:p w14:paraId="65C0940F" w14:textId="77777777" w:rsidR="00466C51" w:rsidRPr="00B903E5" w:rsidRDefault="00466C51" w:rsidP="00B903E5">
      <w:pPr>
        <w:tabs>
          <w:tab w:val="right" w:pos="2155"/>
        </w:tabs>
        <w:spacing w:after="80" w:line="240" w:lineRule="auto"/>
        <w:ind w:left="680"/>
      </w:pPr>
      <w:r>
        <w:rPr>
          <w:u w:val="single"/>
        </w:rPr>
        <w:tab/>
      </w:r>
    </w:p>
  </w:footnote>
  <w:footnote w:type="continuationNotice" w:id="1">
    <w:p w14:paraId="2B0CEE32" w14:textId="77777777" w:rsidR="00466C51" w:rsidRDefault="00466C51">
      <w:pPr>
        <w:spacing w:line="240" w:lineRule="auto"/>
      </w:pPr>
    </w:p>
  </w:footnote>
  <w:footnote w:id="2">
    <w:p w14:paraId="6667522C" w14:textId="4D045A4A" w:rsidR="009C1FB8" w:rsidRPr="00B24527" w:rsidRDefault="009C1FB8">
      <w:pPr>
        <w:pStyle w:val="FootnoteText"/>
      </w:pPr>
      <w:r w:rsidRPr="00B24527">
        <w:rPr>
          <w:rStyle w:val="FootnoteReference"/>
        </w:rPr>
        <w:tab/>
      </w:r>
      <w:r w:rsidRPr="00B24527">
        <w:rPr>
          <w:rStyle w:val="FootnoteReference"/>
          <w:sz w:val="20"/>
          <w:vertAlign w:val="baseline"/>
        </w:rPr>
        <w:t>*</w:t>
      </w:r>
      <w:r w:rsidRPr="00B24527">
        <w:rPr>
          <w:rStyle w:val="FootnoteReference"/>
          <w:sz w:val="20"/>
          <w:vertAlign w:val="baseline"/>
        </w:rPr>
        <w:tab/>
      </w:r>
      <w:r w:rsidRPr="00B24527">
        <w:t>Adopted</w:t>
      </w:r>
      <w:r w:rsidR="0078502C">
        <w:t xml:space="preserve"> </w:t>
      </w:r>
      <w:r w:rsidRPr="00B24527">
        <w:t>by</w:t>
      </w:r>
      <w:r w:rsidR="0078502C">
        <w:t xml:space="preserve"> </w:t>
      </w:r>
      <w:r w:rsidRPr="00B24527">
        <w:t>the</w:t>
      </w:r>
      <w:r w:rsidR="0078502C">
        <w:t xml:space="preserve"> </w:t>
      </w:r>
      <w:r w:rsidRPr="00B24527">
        <w:t>Committee</w:t>
      </w:r>
      <w:r w:rsidR="0078502C">
        <w:t xml:space="preserve"> </w:t>
      </w:r>
      <w:r w:rsidRPr="00B24527">
        <w:t>at</w:t>
      </w:r>
      <w:r w:rsidR="0078502C">
        <w:t xml:space="preserve"> </w:t>
      </w:r>
      <w:r w:rsidRPr="00B24527">
        <w:t>its</w:t>
      </w:r>
      <w:r w:rsidR="0078502C">
        <w:t xml:space="preserve"> </w:t>
      </w:r>
      <w:r w:rsidRPr="00B24527">
        <w:t>133rd</w:t>
      </w:r>
      <w:r w:rsidR="0078502C">
        <w:t xml:space="preserve"> </w:t>
      </w:r>
      <w:r w:rsidRPr="00B24527">
        <w:t>session</w:t>
      </w:r>
      <w:r w:rsidR="0078502C">
        <w:t xml:space="preserve"> </w:t>
      </w:r>
      <w:r w:rsidRPr="00B24527">
        <w:t>(11</w:t>
      </w:r>
      <w:r w:rsidR="0078502C">
        <w:t xml:space="preserve"> </w:t>
      </w:r>
      <w:r w:rsidRPr="00B24527">
        <w:t>October–5</w:t>
      </w:r>
      <w:r w:rsidR="0078502C">
        <w:t xml:space="preserve"> </w:t>
      </w:r>
      <w:r w:rsidRPr="00B24527">
        <w:t>November</w:t>
      </w:r>
      <w:r w:rsidR="0078502C">
        <w:t xml:space="preserve"> </w:t>
      </w:r>
      <w:r w:rsidRPr="00B24527">
        <w:t>2021).</w:t>
      </w:r>
    </w:p>
  </w:footnote>
  <w:footnote w:id="3">
    <w:p w14:paraId="751E3298" w14:textId="62BA1301" w:rsidR="009C1FB8" w:rsidRPr="00B24527" w:rsidRDefault="009C1FB8">
      <w:pPr>
        <w:pStyle w:val="FootnoteText"/>
      </w:pPr>
      <w:r w:rsidRPr="00B24527">
        <w:rPr>
          <w:rStyle w:val="FootnoteReference"/>
        </w:rPr>
        <w:tab/>
      </w:r>
      <w:r w:rsidRPr="00B24527">
        <w:rPr>
          <w:rStyle w:val="FootnoteReference"/>
          <w:sz w:val="20"/>
          <w:vertAlign w:val="baseline"/>
        </w:rPr>
        <w:t>**</w:t>
      </w:r>
      <w:r w:rsidRPr="00B24527">
        <w:rPr>
          <w:rStyle w:val="FootnoteReference"/>
          <w:sz w:val="20"/>
          <w:vertAlign w:val="baseline"/>
        </w:rPr>
        <w:tab/>
      </w:r>
      <w:r w:rsidRPr="00B24527">
        <w:t>The</w:t>
      </w:r>
      <w:r w:rsidR="0078502C">
        <w:t xml:space="preserve"> </w:t>
      </w:r>
      <w:r w:rsidRPr="00B24527">
        <w:t>following</w:t>
      </w:r>
      <w:r w:rsidR="0078502C">
        <w:t xml:space="preserve"> </w:t>
      </w:r>
      <w:r w:rsidRPr="00B24527">
        <w:t>members</w:t>
      </w:r>
      <w:r w:rsidR="0078502C">
        <w:t xml:space="preserve"> </w:t>
      </w:r>
      <w:r w:rsidRPr="00B24527">
        <w:t>of</w:t>
      </w:r>
      <w:r w:rsidR="0078502C">
        <w:t xml:space="preserve"> </w:t>
      </w:r>
      <w:r w:rsidRPr="00B24527">
        <w:t>the</w:t>
      </w:r>
      <w:r w:rsidR="0078502C">
        <w:t xml:space="preserve"> </w:t>
      </w:r>
      <w:r w:rsidRPr="00B24527">
        <w:t>Committee</w:t>
      </w:r>
      <w:r w:rsidR="0078502C">
        <w:t xml:space="preserve"> </w:t>
      </w:r>
      <w:r w:rsidRPr="00B24527">
        <w:t>participated</w:t>
      </w:r>
      <w:r w:rsidR="0078502C">
        <w:t xml:space="preserve"> </w:t>
      </w:r>
      <w:r w:rsidRPr="00B24527">
        <w:t>in</w:t>
      </w:r>
      <w:r w:rsidR="0078502C">
        <w:t xml:space="preserve"> </w:t>
      </w:r>
      <w:r w:rsidRPr="00B24527">
        <w:t>the</w:t>
      </w:r>
      <w:r w:rsidR="0078502C">
        <w:t xml:space="preserve"> </w:t>
      </w:r>
      <w:r w:rsidRPr="00B24527">
        <w:t>examination</w:t>
      </w:r>
      <w:r w:rsidR="0078502C">
        <w:t xml:space="preserve"> </w:t>
      </w:r>
      <w:r w:rsidRPr="00B24527">
        <w:t>of</w:t>
      </w:r>
      <w:r w:rsidR="0078502C">
        <w:t xml:space="preserve"> </w:t>
      </w:r>
      <w:r w:rsidRPr="00B24527">
        <w:t>the</w:t>
      </w:r>
      <w:r w:rsidR="0078502C">
        <w:t xml:space="preserve"> </w:t>
      </w:r>
      <w:r w:rsidRPr="00B24527">
        <w:t>communication:</w:t>
      </w:r>
      <w:r w:rsidR="0078502C">
        <w:t xml:space="preserve"> </w:t>
      </w:r>
      <w:r w:rsidRPr="00B24527">
        <w:t>Wafaa</w:t>
      </w:r>
      <w:r w:rsidR="0078502C">
        <w:t xml:space="preserve"> </w:t>
      </w:r>
      <w:r w:rsidRPr="00B24527">
        <w:t>Ashraf</w:t>
      </w:r>
      <w:r w:rsidR="0078502C">
        <w:t xml:space="preserve"> </w:t>
      </w:r>
      <w:r w:rsidRPr="00B24527">
        <w:t>Moharram</w:t>
      </w:r>
      <w:r w:rsidR="0078502C">
        <w:t xml:space="preserve"> </w:t>
      </w:r>
      <w:r w:rsidRPr="00B24527">
        <w:t>Bassim,</w:t>
      </w:r>
      <w:r w:rsidR="0078502C">
        <w:t xml:space="preserve"> </w:t>
      </w:r>
      <w:r w:rsidRPr="00B24527">
        <w:t>Yadh</w:t>
      </w:r>
      <w:r w:rsidR="0078502C">
        <w:t xml:space="preserve"> </w:t>
      </w:r>
      <w:r w:rsidRPr="00B24527">
        <w:t>Ben</w:t>
      </w:r>
      <w:r w:rsidR="0078502C">
        <w:t xml:space="preserve"> </w:t>
      </w:r>
      <w:r w:rsidRPr="00B24527">
        <w:t>Achour,</w:t>
      </w:r>
      <w:r w:rsidR="0078502C">
        <w:t xml:space="preserve"> </w:t>
      </w:r>
      <w:r w:rsidRPr="00B24527">
        <w:t>Arif</w:t>
      </w:r>
      <w:r w:rsidR="0078502C">
        <w:t xml:space="preserve"> </w:t>
      </w:r>
      <w:r w:rsidRPr="00B24527">
        <w:t>Bulkan,</w:t>
      </w:r>
      <w:r w:rsidR="0078502C">
        <w:t xml:space="preserve"> </w:t>
      </w:r>
      <w:r w:rsidRPr="00B24527">
        <w:t>Mahjoub</w:t>
      </w:r>
      <w:r w:rsidR="0078502C">
        <w:t xml:space="preserve"> </w:t>
      </w:r>
      <w:r w:rsidRPr="00B24527">
        <w:t>El</w:t>
      </w:r>
      <w:r w:rsidR="0078502C">
        <w:t xml:space="preserve"> </w:t>
      </w:r>
      <w:r w:rsidRPr="00B24527">
        <w:t>Haiba,</w:t>
      </w:r>
      <w:r w:rsidR="0078502C">
        <w:t xml:space="preserve"> </w:t>
      </w:r>
      <w:r w:rsidRPr="00B24527">
        <w:t>Furuya</w:t>
      </w:r>
      <w:r w:rsidR="0078502C">
        <w:t xml:space="preserve"> </w:t>
      </w:r>
      <w:r w:rsidRPr="00B24527">
        <w:t>Shuichi,</w:t>
      </w:r>
      <w:r w:rsidR="0078502C">
        <w:t xml:space="preserve"> </w:t>
      </w:r>
      <w:r w:rsidRPr="00B24527">
        <w:t>Carlos</w:t>
      </w:r>
      <w:r w:rsidR="0078502C">
        <w:t xml:space="preserve"> </w:t>
      </w:r>
      <w:r w:rsidRPr="00B24527">
        <w:t>Gómez</w:t>
      </w:r>
      <w:r w:rsidR="0078502C">
        <w:t xml:space="preserve"> </w:t>
      </w:r>
      <w:r w:rsidRPr="00B24527">
        <w:t>Martínez,</w:t>
      </w:r>
      <w:r w:rsidR="0078502C">
        <w:rPr>
          <w:spacing w:val="-1"/>
          <w:szCs w:val="18"/>
        </w:rPr>
        <w:t xml:space="preserve"> </w:t>
      </w:r>
      <w:r w:rsidRPr="00B24527">
        <w:rPr>
          <w:spacing w:val="-1"/>
          <w:szCs w:val="18"/>
        </w:rPr>
        <w:t>Marcia</w:t>
      </w:r>
      <w:r w:rsidR="0078502C">
        <w:rPr>
          <w:spacing w:val="-1"/>
          <w:szCs w:val="18"/>
        </w:rPr>
        <w:t xml:space="preserve"> </w:t>
      </w:r>
      <w:r w:rsidRPr="00B24527">
        <w:rPr>
          <w:spacing w:val="-1"/>
          <w:szCs w:val="18"/>
        </w:rPr>
        <w:t>V.J.</w:t>
      </w:r>
      <w:r w:rsidR="0078502C">
        <w:rPr>
          <w:spacing w:val="-1"/>
          <w:szCs w:val="18"/>
        </w:rPr>
        <w:t xml:space="preserve"> </w:t>
      </w:r>
      <w:r w:rsidRPr="00B24527">
        <w:rPr>
          <w:spacing w:val="-1"/>
          <w:szCs w:val="18"/>
        </w:rPr>
        <w:t>Kran</w:t>
      </w:r>
      <w:r w:rsidRPr="00B24527">
        <w:t>,</w:t>
      </w:r>
      <w:r w:rsidR="0078502C">
        <w:t xml:space="preserve"> </w:t>
      </w:r>
      <w:r w:rsidRPr="00B24527">
        <w:t>Duncan</w:t>
      </w:r>
      <w:r w:rsidR="0078502C">
        <w:t xml:space="preserve"> </w:t>
      </w:r>
      <w:r w:rsidRPr="00B24527">
        <w:t>Laki</w:t>
      </w:r>
      <w:r w:rsidR="0078502C">
        <w:t xml:space="preserve"> </w:t>
      </w:r>
      <w:r w:rsidRPr="00B24527">
        <w:t>Muhumuza,</w:t>
      </w:r>
      <w:r w:rsidR="0078502C">
        <w:t xml:space="preserve"> </w:t>
      </w:r>
      <w:r w:rsidRPr="00B24527">
        <w:t>Photini</w:t>
      </w:r>
      <w:r w:rsidR="0078502C">
        <w:t xml:space="preserve"> </w:t>
      </w:r>
      <w:r w:rsidRPr="00B24527">
        <w:t>Pazartzis,</w:t>
      </w:r>
      <w:r w:rsidR="0078502C">
        <w:t xml:space="preserve"> </w:t>
      </w:r>
      <w:r w:rsidRPr="00B24527">
        <w:t>Vasilka</w:t>
      </w:r>
      <w:r w:rsidR="0078502C">
        <w:t xml:space="preserve"> </w:t>
      </w:r>
      <w:r w:rsidRPr="00B24527">
        <w:t>Sancin,</w:t>
      </w:r>
      <w:r w:rsidR="0078502C">
        <w:t xml:space="preserve"> </w:t>
      </w:r>
      <w:r w:rsidRPr="00B24527">
        <w:t>José</w:t>
      </w:r>
      <w:r w:rsidR="0078502C">
        <w:t xml:space="preserve"> </w:t>
      </w:r>
      <w:r w:rsidRPr="00B24527">
        <w:t>Manuel</w:t>
      </w:r>
      <w:r w:rsidR="0078502C">
        <w:t xml:space="preserve"> </w:t>
      </w:r>
      <w:r w:rsidRPr="00B24527">
        <w:t>Santos</w:t>
      </w:r>
      <w:r w:rsidR="0078502C">
        <w:t xml:space="preserve"> </w:t>
      </w:r>
      <w:r w:rsidRPr="00B24527">
        <w:t>Pais,</w:t>
      </w:r>
      <w:r w:rsidR="0078502C">
        <w:t xml:space="preserve"> </w:t>
      </w:r>
      <w:r w:rsidRPr="00B24527">
        <w:t>Soh</w:t>
      </w:r>
      <w:r w:rsidR="0078502C">
        <w:t xml:space="preserve"> </w:t>
      </w:r>
      <w:r w:rsidRPr="00B24527">
        <w:t>Changrok,</w:t>
      </w:r>
      <w:r w:rsidR="0078502C">
        <w:t xml:space="preserve"> </w:t>
      </w:r>
      <w:r w:rsidRPr="00B24527">
        <w:t>Kobauyah</w:t>
      </w:r>
      <w:r w:rsidR="0078502C">
        <w:t xml:space="preserve"> </w:t>
      </w:r>
      <w:r w:rsidRPr="00B24527">
        <w:t>Tchamdja</w:t>
      </w:r>
      <w:r w:rsidR="0078502C">
        <w:t xml:space="preserve"> </w:t>
      </w:r>
      <w:r w:rsidRPr="00B24527">
        <w:t>Kpatcha,</w:t>
      </w:r>
      <w:r w:rsidR="0078502C">
        <w:t xml:space="preserve"> </w:t>
      </w:r>
      <w:r w:rsidRPr="00B24527">
        <w:t>Hélène</w:t>
      </w:r>
      <w:r w:rsidR="0078502C">
        <w:t xml:space="preserve"> </w:t>
      </w:r>
      <w:r w:rsidRPr="00B24527">
        <w:t>Tigroudja,</w:t>
      </w:r>
      <w:r w:rsidR="0078502C">
        <w:t xml:space="preserve"> </w:t>
      </w:r>
      <w:r w:rsidRPr="00B24527">
        <w:t>Imeru</w:t>
      </w:r>
      <w:r w:rsidR="0078502C">
        <w:t xml:space="preserve"> </w:t>
      </w:r>
      <w:r w:rsidRPr="00B24527">
        <w:t>Tamerat</w:t>
      </w:r>
      <w:r w:rsidR="0078502C">
        <w:t xml:space="preserve"> </w:t>
      </w:r>
      <w:r w:rsidRPr="00B24527">
        <w:t>Yigezu</w:t>
      </w:r>
      <w:r w:rsidR="0078502C">
        <w:t xml:space="preserve"> </w:t>
      </w:r>
      <w:r w:rsidRPr="00B24527">
        <w:t>and</w:t>
      </w:r>
      <w:r w:rsidR="0078502C">
        <w:t xml:space="preserve"> </w:t>
      </w:r>
      <w:r w:rsidRPr="00B24527">
        <w:t>Gentian</w:t>
      </w:r>
      <w:r w:rsidR="0078502C">
        <w:t xml:space="preserve"> </w:t>
      </w:r>
      <w:r w:rsidRPr="00B24527">
        <w:t>Zyberi.</w:t>
      </w:r>
    </w:p>
  </w:footnote>
  <w:footnote w:id="4">
    <w:p w14:paraId="5B3D5FA7" w14:textId="183CB9D8" w:rsidR="009C1FB8" w:rsidRPr="00B24527" w:rsidRDefault="009C1FB8">
      <w:pPr>
        <w:pStyle w:val="FootnoteText"/>
      </w:pPr>
      <w:r w:rsidRPr="00B24527">
        <w:rPr>
          <w:rStyle w:val="FootnoteReference"/>
        </w:rPr>
        <w:tab/>
      </w:r>
      <w:r w:rsidRPr="00B24527">
        <w:rPr>
          <w:rStyle w:val="FootnoteReference"/>
          <w:sz w:val="20"/>
          <w:vertAlign w:val="baseline"/>
        </w:rPr>
        <w:t>***</w:t>
      </w:r>
      <w:r w:rsidRPr="00B24527">
        <w:rPr>
          <w:rStyle w:val="FootnoteReference"/>
          <w:sz w:val="20"/>
          <w:vertAlign w:val="baseline"/>
        </w:rPr>
        <w:tab/>
      </w:r>
      <w:r w:rsidRPr="00B24527">
        <w:rPr>
          <w:sz w:val="20"/>
        </w:rPr>
        <w:t>A</w:t>
      </w:r>
      <w:r w:rsidR="0078502C">
        <w:rPr>
          <w:sz w:val="20"/>
        </w:rPr>
        <w:t xml:space="preserve"> </w:t>
      </w:r>
      <w:r w:rsidRPr="00B24527">
        <w:rPr>
          <w:bCs/>
        </w:rPr>
        <w:t>joint</w:t>
      </w:r>
      <w:r w:rsidR="0078502C">
        <w:rPr>
          <w:bCs/>
        </w:rPr>
        <w:t xml:space="preserve"> </w:t>
      </w:r>
      <w:r w:rsidRPr="00B24527">
        <w:rPr>
          <w:bCs/>
        </w:rPr>
        <w:t>opinion</w:t>
      </w:r>
      <w:r w:rsidR="0078502C">
        <w:rPr>
          <w:bCs/>
        </w:rPr>
        <w:t xml:space="preserve"> </w:t>
      </w:r>
      <w:r w:rsidRPr="00B24527">
        <w:rPr>
          <w:bCs/>
        </w:rPr>
        <w:t>by</w:t>
      </w:r>
      <w:r w:rsidR="0078502C">
        <w:rPr>
          <w:bCs/>
        </w:rPr>
        <w:t xml:space="preserve"> </w:t>
      </w:r>
      <w:r w:rsidRPr="00B24527">
        <w:t>Committee</w:t>
      </w:r>
      <w:r w:rsidR="0078502C">
        <w:t xml:space="preserve"> </w:t>
      </w:r>
      <w:r w:rsidRPr="00B24527">
        <w:t>members</w:t>
      </w:r>
      <w:r w:rsidR="0078502C">
        <w:t xml:space="preserve"> </w:t>
      </w:r>
      <w:r w:rsidRPr="00B24527">
        <w:t>Furuya</w:t>
      </w:r>
      <w:r w:rsidR="0078502C">
        <w:t xml:space="preserve"> </w:t>
      </w:r>
      <w:r w:rsidRPr="00B24527">
        <w:t>Shuichi,</w:t>
      </w:r>
      <w:r w:rsidR="0078502C">
        <w:t xml:space="preserve"> </w:t>
      </w:r>
      <w:r w:rsidRPr="00B24527">
        <w:t>Marcia</w:t>
      </w:r>
      <w:r w:rsidR="0078502C">
        <w:t xml:space="preserve"> </w:t>
      </w:r>
      <w:r w:rsidRPr="00B24527">
        <w:t>V.J.</w:t>
      </w:r>
      <w:r w:rsidR="0078502C">
        <w:t xml:space="preserve"> </w:t>
      </w:r>
      <w:r w:rsidRPr="00B24527">
        <w:t>Kran</w:t>
      </w:r>
      <w:r w:rsidR="0078502C">
        <w:t xml:space="preserve"> </w:t>
      </w:r>
      <w:r w:rsidRPr="00B24527">
        <w:t>and</w:t>
      </w:r>
      <w:r w:rsidR="0078502C">
        <w:t xml:space="preserve"> </w:t>
      </w:r>
      <w:r w:rsidRPr="00B24527">
        <w:t>Gentian</w:t>
      </w:r>
      <w:r w:rsidR="0078502C">
        <w:t xml:space="preserve"> </w:t>
      </w:r>
      <w:r w:rsidRPr="00B24527">
        <w:t>Zyberi</w:t>
      </w:r>
      <w:r w:rsidR="0078502C">
        <w:t xml:space="preserve"> </w:t>
      </w:r>
      <w:r w:rsidRPr="00B24527">
        <w:t>(dissenting)</w:t>
      </w:r>
      <w:r w:rsidR="0078502C">
        <w:rPr>
          <w:bCs/>
        </w:rPr>
        <w:t xml:space="preserve"> </w:t>
      </w:r>
      <w:r w:rsidRPr="00B24527">
        <w:rPr>
          <w:bCs/>
        </w:rPr>
        <w:t>is</w:t>
      </w:r>
      <w:r w:rsidR="0078502C">
        <w:rPr>
          <w:bCs/>
        </w:rPr>
        <w:t xml:space="preserve"> </w:t>
      </w:r>
      <w:r w:rsidRPr="00B24527">
        <w:rPr>
          <w:bCs/>
        </w:rPr>
        <w:t>annexed</w:t>
      </w:r>
      <w:r w:rsidR="0078502C">
        <w:rPr>
          <w:bCs/>
        </w:rPr>
        <w:t xml:space="preserve"> </w:t>
      </w:r>
      <w:r w:rsidRPr="00B24527">
        <w:rPr>
          <w:bCs/>
        </w:rPr>
        <w:t>to</w:t>
      </w:r>
      <w:r w:rsidR="0078502C">
        <w:rPr>
          <w:bCs/>
        </w:rPr>
        <w:t xml:space="preserve"> </w:t>
      </w:r>
      <w:r w:rsidRPr="00B24527">
        <w:rPr>
          <w:bCs/>
        </w:rPr>
        <w:t>the</w:t>
      </w:r>
      <w:r w:rsidR="0078502C">
        <w:rPr>
          <w:bCs/>
        </w:rPr>
        <w:t xml:space="preserve"> </w:t>
      </w:r>
      <w:r w:rsidRPr="00B24527">
        <w:rPr>
          <w:bCs/>
        </w:rPr>
        <w:t>present</w:t>
      </w:r>
      <w:r w:rsidR="0078502C">
        <w:rPr>
          <w:bCs/>
        </w:rPr>
        <w:t xml:space="preserve"> </w:t>
      </w:r>
      <w:r w:rsidRPr="00B24527">
        <w:rPr>
          <w:bCs/>
        </w:rPr>
        <w:t>Views</w:t>
      </w:r>
      <w:r w:rsidRPr="00B24527">
        <w:t>.</w:t>
      </w:r>
    </w:p>
  </w:footnote>
  <w:footnote w:id="5">
    <w:p w14:paraId="6249E568" w14:textId="7E113E77"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The</w:t>
      </w:r>
      <w:r w:rsidR="0078502C">
        <w:t xml:space="preserve"> </w:t>
      </w:r>
      <w:r w:rsidRPr="00B24527">
        <w:t>author</w:t>
      </w:r>
      <w:r w:rsidR="0078502C">
        <w:t xml:space="preserve"> </w:t>
      </w:r>
      <w:r w:rsidRPr="00B24527">
        <w:t>provides</w:t>
      </w:r>
      <w:r w:rsidR="0078502C">
        <w:t xml:space="preserve"> </w:t>
      </w:r>
      <w:r w:rsidRPr="00B24527">
        <w:t>no</w:t>
      </w:r>
      <w:r w:rsidR="0078502C">
        <w:t xml:space="preserve"> </w:t>
      </w:r>
      <w:r w:rsidRPr="00B24527">
        <w:t>further</w:t>
      </w:r>
      <w:r w:rsidR="0078502C">
        <w:t xml:space="preserve"> </w:t>
      </w:r>
      <w:r w:rsidRPr="00B24527">
        <w:t>details</w:t>
      </w:r>
      <w:r w:rsidR="0078502C">
        <w:t xml:space="preserve"> </w:t>
      </w:r>
      <w:r w:rsidRPr="00B24527">
        <w:t>on</w:t>
      </w:r>
      <w:r w:rsidR="0078502C">
        <w:t xml:space="preserve"> </w:t>
      </w:r>
      <w:r w:rsidRPr="00B24527">
        <w:t>her</w:t>
      </w:r>
      <w:r w:rsidR="0078502C">
        <w:t xml:space="preserve"> </w:t>
      </w:r>
      <w:r w:rsidRPr="00B24527">
        <w:t>travel</w:t>
      </w:r>
      <w:r w:rsidR="0078502C">
        <w:t xml:space="preserve"> </w:t>
      </w:r>
      <w:r w:rsidRPr="00B24527">
        <w:t>from</w:t>
      </w:r>
      <w:r w:rsidR="0078502C">
        <w:t xml:space="preserve"> </w:t>
      </w:r>
      <w:r w:rsidRPr="00B24527">
        <w:t>Nigeria</w:t>
      </w:r>
      <w:r w:rsidR="0078502C">
        <w:t xml:space="preserve"> </w:t>
      </w:r>
      <w:r w:rsidRPr="00B24527">
        <w:t>to</w:t>
      </w:r>
      <w:r w:rsidR="0078502C">
        <w:t xml:space="preserve"> </w:t>
      </w:r>
      <w:r w:rsidRPr="00B24527">
        <w:t>France</w:t>
      </w:r>
      <w:r w:rsidR="0078502C">
        <w:t xml:space="preserve"> </w:t>
      </w:r>
      <w:r w:rsidRPr="00B24527">
        <w:t>or</w:t>
      </w:r>
      <w:r w:rsidR="0078502C">
        <w:t xml:space="preserve"> </w:t>
      </w:r>
      <w:r w:rsidRPr="00B24527">
        <w:t>from</w:t>
      </w:r>
      <w:r w:rsidR="0078502C">
        <w:t xml:space="preserve"> </w:t>
      </w:r>
      <w:r w:rsidRPr="00B24527">
        <w:t>France</w:t>
      </w:r>
      <w:r w:rsidR="0078502C">
        <w:t xml:space="preserve"> </w:t>
      </w:r>
      <w:r w:rsidRPr="00B24527">
        <w:t>to</w:t>
      </w:r>
      <w:r w:rsidR="0078502C">
        <w:t xml:space="preserve"> </w:t>
      </w:r>
      <w:r w:rsidRPr="00B24527">
        <w:t>the</w:t>
      </w:r>
      <w:r w:rsidR="0078502C">
        <w:t xml:space="preserve"> </w:t>
      </w:r>
      <w:r w:rsidRPr="00B24527">
        <w:t>Netherlands.</w:t>
      </w:r>
    </w:p>
  </w:footnote>
  <w:footnote w:id="6">
    <w:p w14:paraId="47F2A6C4" w14:textId="1AEB1A20" w:rsidR="009C1FB8" w:rsidRPr="00B24527" w:rsidRDefault="009C1FB8" w:rsidP="009C1FB8">
      <w:pPr>
        <w:pStyle w:val="FootnoteText"/>
        <w:rPr>
          <w:szCs w:val="18"/>
        </w:rPr>
      </w:pPr>
      <w:r w:rsidRPr="00B24527">
        <w:rPr>
          <w:szCs w:val="18"/>
        </w:rPr>
        <w:tab/>
      </w:r>
      <w:r w:rsidRPr="00B24527">
        <w:rPr>
          <w:rStyle w:val="FootnoteReference"/>
        </w:rPr>
        <w:footnoteRef/>
      </w:r>
      <w:r w:rsidRPr="00B24527">
        <w:rPr>
          <w:rStyle w:val="FootnoteReference"/>
        </w:rPr>
        <w:tab/>
      </w:r>
      <w:r w:rsidRPr="00B24527">
        <w:rPr>
          <w:szCs w:val="18"/>
        </w:rPr>
        <w:t>The</w:t>
      </w:r>
      <w:r w:rsidR="0078502C">
        <w:rPr>
          <w:szCs w:val="18"/>
        </w:rPr>
        <w:t xml:space="preserve"> </w:t>
      </w:r>
      <w:r w:rsidRPr="00B24527">
        <w:rPr>
          <w:szCs w:val="18"/>
        </w:rPr>
        <w:t>author</w:t>
      </w:r>
      <w:r w:rsidR="0078502C">
        <w:rPr>
          <w:szCs w:val="18"/>
        </w:rPr>
        <w:t xml:space="preserve"> </w:t>
      </w:r>
      <w:r w:rsidRPr="00B24527">
        <w:rPr>
          <w:szCs w:val="18"/>
        </w:rPr>
        <w:t>provides</w:t>
      </w:r>
      <w:r w:rsidR="0078502C">
        <w:rPr>
          <w:szCs w:val="18"/>
        </w:rPr>
        <w:t xml:space="preserve"> </w:t>
      </w:r>
      <w:r w:rsidRPr="00B24527">
        <w:rPr>
          <w:szCs w:val="18"/>
        </w:rPr>
        <w:t>no</w:t>
      </w:r>
      <w:r w:rsidR="0078502C">
        <w:rPr>
          <w:szCs w:val="18"/>
        </w:rPr>
        <w:t xml:space="preserve"> </w:t>
      </w:r>
      <w:r w:rsidRPr="00B24527">
        <w:rPr>
          <w:szCs w:val="18"/>
        </w:rPr>
        <w:t>information</w:t>
      </w:r>
      <w:r w:rsidR="0078502C">
        <w:rPr>
          <w:szCs w:val="18"/>
        </w:rPr>
        <w:t xml:space="preserve"> </w:t>
      </w:r>
      <w:r w:rsidRPr="00B24527">
        <w:rPr>
          <w:szCs w:val="18"/>
        </w:rPr>
        <w:t>on</w:t>
      </w:r>
      <w:r w:rsidR="0078502C">
        <w:rPr>
          <w:szCs w:val="18"/>
        </w:rPr>
        <w:t xml:space="preserve"> </w:t>
      </w:r>
      <w:r w:rsidRPr="00B24527">
        <w:rPr>
          <w:szCs w:val="18"/>
        </w:rPr>
        <w:t>why</w:t>
      </w:r>
      <w:r w:rsidR="0078502C">
        <w:rPr>
          <w:szCs w:val="18"/>
        </w:rPr>
        <w:t xml:space="preserve"> </w:t>
      </w:r>
      <w:r w:rsidRPr="00B24527">
        <w:rPr>
          <w:szCs w:val="18"/>
        </w:rPr>
        <w:t>the</w:t>
      </w:r>
      <w:r w:rsidR="0078502C">
        <w:rPr>
          <w:szCs w:val="18"/>
        </w:rPr>
        <w:t xml:space="preserve"> </w:t>
      </w:r>
      <w:r w:rsidRPr="00B24527">
        <w:rPr>
          <w:szCs w:val="18"/>
        </w:rPr>
        <w:t>permit</w:t>
      </w:r>
      <w:r w:rsidR="0078502C">
        <w:rPr>
          <w:szCs w:val="18"/>
        </w:rPr>
        <w:t xml:space="preserve"> </w:t>
      </w:r>
      <w:r w:rsidRPr="00B24527">
        <w:rPr>
          <w:szCs w:val="18"/>
        </w:rPr>
        <w:t>was</w:t>
      </w:r>
      <w:r w:rsidR="0078502C">
        <w:rPr>
          <w:szCs w:val="18"/>
        </w:rPr>
        <w:t xml:space="preserve"> </w:t>
      </w:r>
      <w:r w:rsidRPr="00B24527">
        <w:rPr>
          <w:szCs w:val="18"/>
        </w:rPr>
        <w:t>withdrawn</w:t>
      </w:r>
      <w:r w:rsidR="0078502C">
        <w:rPr>
          <w:szCs w:val="18"/>
        </w:rPr>
        <w:t xml:space="preserve"> </w:t>
      </w:r>
      <w:r w:rsidRPr="00B24527">
        <w:rPr>
          <w:szCs w:val="18"/>
        </w:rPr>
        <w:t>or</w:t>
      </w:r>
      <w:r w:rsidR="0078502C">
        <w:rPr>
          <w:szCs w:val="18"/>
        </w:rPr>
        <w:t xml:space="preserve"> </w:t>
      </w:r>
      <w:r w:rsidRPr="00B24527">
        <w:rPr>
          <w:szCs w:val="18"/>
        </w:rPr>
        <w:t>on</w:t>
      </w:r>
      <w:r w:rsidR="0078502C">
        <w:rPr>
          <w:szCs w:val="18"/>
        </w:rPr>
        <w:t xml:space="preserve"> </w:t>
      </w:r>
      <w:r w:rsidRPr="00B24527">
        <w:rPr>
          <w:szCs w:val="18"/>
        </w:rPr>
        <w:t>the</w:t>
      </w:r>
      <w:r w:rsidR="0078502C">
        <w:rPr>
          <w:szCs w:val="18"/>
        </w:rPr>
        <w:t xml:space="preserve"> </w:t>
      </w:r>
      <w:r w:rsidRPr="00B24527">
        <w:rPr>
          <w:szCs w:val="18"/>
        </w:rPr>
        <w:t>proceedings</w:t>
      </w:r>
      <w:r w:rsidR="0078502C">
        <w:rPr>
          <w:szCs w:val="18"/>
        </w:rPr>
        <w:t xml:space="preserve"> </w:t>
      </w:r>
      <w:r w:rsidRPr="00B24527">
        <w:rPr>
          <w:szCs w:val="18"/>
        </w:rPr>
        <w:t>granting</w:t>
      </w:r>
      <w:r w:rsidR="0078502C">
        <w:rPr>
          <w:szCs w:val="18"/>
        </w:rPr>
        <w:t xml:space="preserve"> </w:t>
      </w:r>
      <w:r w:rsidRPr="00B24527">
        <w:rPr>
          <w:szCs w:val="18"/>
        </w:rPr>
        <w:t>her</w:t>
      </w:r>
      <w:r w:rsidR="0078502C">
        <w:rPr>
          <w:szCs w:val="18"/>
        </w:rPr>
        <w:t xml:space="preserve"> </w:t>
      </w:r>
      <w:r w:rsidRPr="00B24527">
        <w:rPr>
          <w:szCs w:val="18"/>
        </w:rPr>
        <w:t>temporary</w:t>
      </w:r>
      <w:r w:rsidR="0078502C">
        <w:rPr>
          <w:szCs w:val="18"/>
        </w:rPr>
        <w:t xml:space="preserve"> </w:t>
      </w:r>
      <w:r w:rsidRPr="00B24527">
        <w:rPr>
          <w:szCs w:val="18"/>
        </w:rPr>
        <w:t>residence</w:t>
      </w:r>
      <w:r w:rsidR="0078502C">
        <w:rPr>
          <w:szCs w:val="18"/>
        </w:rPr>
        <w:t xml:space="preserve"> </w:t>
      </w:r>
      <w:r w:rsidRPr="00B24527">
        <w:rPr>
          <w:szCs w:val="18"/>
        </w:rPr>
        <w:t>permit</w:t>
      </w:r>
      <w:r w:rsidR="0078502C">
        <w:rPr>
          <w:szCs w:val="18"/>
        </w:rPr>
        <w:t xml:space="preserve"> </w:t>
      </w:r>
      <w:r w:rsidRPr="00B24527">
        <w:rPr>
          <w:szCs w:val="18"/>
        </w:rPr>
        <w:t>as</w:t>
      </w:r>
      <w:r w:rsidR="0078502C">
        <w:rPr>
          <w:szCs w:val="18"/>
        </w:rPr>
        <w:t xml:space="preserve"> </w:t>
      </w:r>
      <w:r w:rsidRPr="00B24527">
        <w:rPr>
          <w:szCs w:val="18"/>
        </w:rPr>
        <w:t>a</w:t>
      </w:r>
      <w:r w:rsidR="0078502C">
        <w:rPr>
          <w:szCs w:val="18"/>
        </w:rPr>
        <w:t xml:space="preserve"> </w:t>
      </w:r>
      <w:r w:rsidRPr="00B24527">
        <w:rPr>
          <w:szCs w:val="18"/>
        </w:rPr>
        <w:t>victim</w:t>
      </w:r>
      <w:r w:rsidR="0078502C">
        <w:rPr>
          <w:szCs w:val="18"/>
        </w:rPr>
        <w:t xml:space="preserve"> </w:t>
      </w:r>
      <w:r w:rsidRPr="00B24527">
        <w:rPr>
          <w:szCs w:val="18"/>
        </w:rPr>
        <w:t>of</w:t>
      </w:r>
      <w:r w:rsidR="0078502C">
        <w:rPr>
          <w:szCs w:val="18"/>
        </w:rPr>
        <w:t xml:space="preserve"> </w:t>
      </w:r>
      <w:r w:rsidRPr="00B24527">
        <w:rPr>
          <w:szCs w:val="18"/>
        </w:rPr>
        <w:t>trafficking.</w:t>
      </w:r>
    </w:p>
  </w:footnote>
  <w:footnote w:id="7">
    <w:p w14:paraId="42F47AD4" w14:textId="2FCABC7C" w:rsidR="009C1FB8" w:rsidRPr="00B24527" w:rsidRDefault="009C1FB8" w:rsidP="009C1FB8">
      <w:pPr>
        <w:pStyle w:val="FootnoteText"/>
        <w:rPr>
          <w:szCs w:val="18"/>
        </w:rPr>
      </w:pPr>
      <w:r w:rsidRPr="00B24527">
        <w:rPr>
          <w:szCs w:val="18"/>
        </w:rPr>
        <w:tab/>
      </w:r>
      <w:r w:rsidRPr="00B24527">
        <w:rPr>
          <w:rStyle w:val="FootnoteReference"/>
        </w:rPr>
        <w:footnoteRef/>
      </w:r>
      <w:r w:rsidRPr="00B24527">
        <w:rPr>
          <w:rStyle w:val="FootnoteReference"/>
        </w:rPr>
        <w:tab/>
      </w:r>
      <w:r w:rsidRPr="00B24527">
        <w:rPr>
          <w:szCs w:val="18"/>
        </w:rPr>
        <w:t>The</w:t>
      </w:r>
      <w:r w:rsidR="0078502C">
        <w:rPr>
          <w:szCs w:val="18"/>
        </w:rPr>
        <w:t xml:space="preserve"> </w:t>
      </w:r>
      <w:r w:rsidRPr="00B24527">
        <w:rPr>
          <w:szCs w:val="18"/>
        </w:rPr>
        <w:t>author</w:t>
      </w:r>
      <w:r w:rsidR="0078502C">
        <w:rPr>
          <w:szCs w:val="18"/>
        </w:rPr>
        <w:t xml:space="preserve"> </w:t>
      </w:r>
      <w:r w:rsidRPr="00B24527">
        <w:rPr>
          <w:szCs w:val="18"/>
        </w:rPr>
        <w:t>submitted</w:t>
      </w:r>
      <w:r w:rsidR="0078502C">
        <w:rPr>
          <w:szCs w:val="18"/>
        </w:rPr>
        <w:t xml:space="preserve"> </w:t>
      </w:r>
      <w:r w:rsidRPr="00B24527">
        <w:rPr>
          <w:szCs w:val="18"/>
        </w:rPr>
        <w:t>a</w:t>
      </w:r>
      <w:r w:rsidR="0078502C">
        <w:rPr>
          <w:szCs w:val="18"/>
        </w:rPr>
        <w:t xml:space="preserve"> </w:t>
      </w:r>
      <w:r w:rsidRPr="00B24527">
        <w:rPr>
          <w:szCs w:val="18"/>
        </w:rPr>
        <w:t>birth</w:t>
      </w:r>
      <w:r w:rsidR="0078502C">
        <w:rPr>
          <w:szCs w:val="18"/>
        </w:rPr>
        <w:t xml:space="preserve"> </w:t>
      </w:r>
      <w:r w:rsidRPr="00B24527">
        <w:rPr>
          <w:szCs w:val="18"/>
        </w:rPr>
        <w:t>certificate</w:t>
      </w:r>
      <w:r w:rsidR="0078502C">
        <w:rPr>
          <w:szCs w:val="18"/>
        </w:rPr>
        <w:t xml:space="preserve"> </w:t>
      </w:r>
      <w:r w:rsidRPr="00B24527">
        <w:rPr>
          <w:szCs w:val="18"/>
        </w:rPr>
        <w:t>attesting</w:t>
      </w:r>
      <w:r w:rsidR="0078502C">
        <w:rPr>
          <w:szCs w:val="18"/>
        </w:rPr>
        <w:t xml:space="preserve"> </w:t>
      </w:r>
      <w:r w:rsidRPr="00B24527">
        <w:rPr>
          <w:szCs w:val="18"/>
        </w:rPr>
        <w:t>to</w:t>
      </w:r>
      <w:r w:rsidR="0078502C">
        <w:rPr>
          <w:szCs w:val="18"/>
        </w:rPr>
        <w:t xml:space="preserve"> </w:t>
      </w:r>
      <w:r w:rsidRPr="00B24527">
        <w:rPr>
          <w:szCs w:val="18"/>
        </w:rPr>
        <w:t>her</w:t>
      </w:r>
      <w:r w:rsidR="0078502C">
        <w:rPr>
          <w:szCs w:val="18"/>
        </w:rPr>
        <w:t xml:space="preserve"> </w:t>
      </w:r>
      <w:r w:rsidRPr="00B24527">
        <w:rPr>
          <w:szCs w:val="18"/>
        </w:rPr>
        <w:t>identity,</w:t>
      </w:r>
      <w:r w:rsidR="0078502C">
        <w:rPr>
          <w:szCs w:val="18"/>
        </w:rPr>
        <w:t xml:space="preserve"> </w:t>
      </w:r>
      <w:r w:rsidRPr="00B24527">
        <w:rPr>
          <w:szCs w:val="18"/>
        </w:rPr>
        <w:t>but</w:t>
      </w:r>
      <w:r w:rsidR="0078502C">
        <w:rPr>
          <w:szCs w:val="18"/>
        </w:rPr>
        <w:t xml:space="preserve"> </w:t>
      </w:r>
      <w:r w:rsidRPr="00B24527">
        <w:rPr>
          <w:szCs w:val="18"/>
        </w:rPr>
        <w:t>the</w:t>
      </w:r>
      <w:r w:rsidR="0078502C">
        <w:rPr>
          <w:szCs w:val="18"/>
        </w:rPr>
        <w:t xml:space="preserve"> </w:t>
      </w:r>
      <w:r w:rsidRPr="00B24527">
        <w:rPr>
          <w:rFonts w:eastAsia="Calibri"/>
        </w:rPr>
        <w:t>Immigration</w:t>
      </w:r>
      <w:r w:rsidR="0078502C">
        <w:rPr>
          <w:rFonts w:eastAsia="Calibri"/>
        </w:rPr>
        <w:t xml:space="preserve"> </w:t>
      </w:r>
      <w:r w:rsidRPr="00B24527">
        <w:rPr>
          <w:rFonts w:eastAsia="Calibri"/>
        </w:rPr>
        <w:t>and</w:t>
      </w:r>
      <w:r w:rsidR="0078502C">
        <w:rPr>
          <w:rFonts w:eastAsia="Calibri"/>
        </w:rPr>
        <w:t xml:space="preserve"> </w:t>
      </w:r>
      <w:r w:rsidRPr="00B24527">
        <w:rPr>
          <w:rFonts w:eastAsia="Calibri"/>
        </w:rPr>
        <w:t>Naturalization</w:t>
      </w:r>
      <w:r w:rsidR="0078502C">
        <w:rPr>
          <w:rFonts w:eastAsia="Calibri"/>
        </w:rPr>
        <w:t xml:space="preserve"> </w:t>
      </w:r>
      <w:r w:rsidRPr="00B24527">
        <w:rPr>
          <w:rFonts w:eastAsia="Calibri"/>
        </w:rPr>
        <w:t>Service</w:t>
      </w:r>
      <w:r w:rsidR="0078502C">
        <w:rPr>
          <w:szCs w:val="18"/>
        </w:rPr>
        <w:t xml:space="preserve"> </w:t>
      </w:r>
      <w:r w:rsidRPr="00B24527">
        <w:rPr>
          <w:szCs w:val="18"/>
        </w:rPr>
        <w:t>of</w:t>
      </w:r>
      <w:r w:rsidR="0078502C">
        <w:rPr>
          <w:szCs w:val="18"/>
        </w:rPr>
        <w:t xml:space="preserve"> </w:t>
      </w:r>
      <w:r w:rsidRPr="00B24527">
        <w:rPr>
          <w:szCs w:val="18"/>
        </w:rPr>
        <w:t>the</w:t>
      </w:r>
      <w:r w:rsidR="0078502C">
        <w:rPr>
          <w:szCs w:val="18"/>
        </w:rPr>
        <w:t xml:space="preserve"> </w:t>
      </w:r>
      <w:r w:rsidRPr="00B24527">
        <w:rPr>
          <w:szCs w:val="18"/>
        </w:rPr>
        <w:t>Netherlands</w:t>
      </w:r>
      <w:r w:rsidR="0078502C">
        <w:rPr>
          <w:szCs w:val="18"/>
        </w:rPr>
        <w:t xml:space="preserve"> </w:t>
      </w:r>
      <w:r w:rsidRPr="00B24527">
        <w:rPr>
          <w:szCs w:val="18"/>
        </w:rPr>
        <w:t>found</w:t>
      </w:r>
      <w:r w:rsidR="0078502C">
        <w:rPr>
          <w:szCs w:val="18"/>
        </w:rPr>
        <w:t xml:space="preserve"> </w:t>
      </w:r>
      <w:r w:rsidRPr="00B24527">
        <w:rPr>
          <w:szCs w:val="18"/>
        </w:rPr>
        <w:t>that,</w:t>
      </w:r>
      <w:r w:rsidR="0078502C">
        <w:rPr>
          <w:szCs w:val="18"/>
        </w:rPr>
        <w:t xml:space="preserve"> </w:t>
      </w:r>
      <w:r w:rsidRPr="00B24527">
        <w:rPr>
          <w:szCs w:val="18"/>
        </w:rPr>
        <w:t>because</w:t>
      </w:r>
      <w:r w:rsidR="0078502C">
        <w:rPr>
          <w:szCs w:val="18"/>
        </w:rPr>
        <w:t xml:space="preserve"> </w:t>
      </w:r>
      <w:r w:rsidRPr="00B24527">
        <w:rPr>
          <w:szCs w:val="18"/>
        </w:rPr>
        <w:t>it</w:t>
      </w:r>
      <w:r w:rsidR="0078502C">
        <w:rPr>
          <w:szCs w:val="18"/>
        </w:rPr>
        <w:t xml:space="preserve"> </w:t>
      </w:r>
      <w:r w:rsidRPr="00B24527">
        <w:rPr>
          <w:szCs w:val="18"/>
        </w:rPr>
        <w:t>contained</w:t>
      </w:r>
      <w:r w:rsidR="0078502C">
        <w:rPr>
          <w:szCs w:val="18"/>
        </w:rPr>
        <w:t xml:space="preserve"> </w:t>
      </w:r>
      <w:r w:rsidRPr="00B24527">
        <w:rPr>
          <w:szCs w:val="18"/>
        </w:rPr>
        <w:t>no</w:t>
      </w:r>
      <w:r w:rsidR="0078502C">
        <w:rPr>
          <w:szCs w:val="18"/>
        </w:rPr>
        <w:t xml:space="preserve"> </w:t>
      </w:r>
      <w:r w:rsidRPr="00B24527">
        <w:rPr>
          <w:szCs w:val="18"/>
        </w:rPr>
        <w:t>picture,</w:t>
      </w:r>
      <w:r w:rsidR="0078502C">
        <w:rPr>
          <w:szCs w:val="18"/>
        </w:rPr>
        <w:t xml:space="preserve"> </w:t>
      </w:r>
      <w:r w:rsidRPr="00B24527">
        <w:rPr>
          <w:szCs w:val="18"/>
        </w:rPr>
        <w:t>it</w:t>
      </w:r>
      <w:r w:rsidR="0078502C">
        <w:rPr>
          <w:szCs w:val="18"/>
        </w:rPr>
        <w:t xml:space="preserve"> </w:t>
      </w:r>
      <w:r w:rsidRPr="00B24527">
        <w:rPr>
          <w:szCs w:val="18"/>
        </w:rPr>
        <w:t>was</w:t>
      </w:r>
      <w:r w:rsidR="0078502C">
        <w:rPr>
          <w:szCs w:val="18"/>
        </w:rPr>
        <w:t xml:space="preserve"> </w:t>
      </w:r>
      <w:r w:rsidRPr="00B24527">
        <w:rPr>
          <w:szCs w:val="18"/>
        </w:rPr>
        <w:t>not</w:t>
      </w:r>
      <w:r w:rsidR="0078502C">
        <w:rPr>
          <w:szCs w:val="18"/>
        </w:rPr>
        <w:t xml:space="preserve"> </w:t>
      </w:r>
      <w:r w:rsidRPr="00B24527">
        <w:rPr>
          <w:szCs w:val="18"/>
        </w:rPr>
        <w:t>attributable</w:t>
      </w:r>
      <w:r w:rsidR="0078502C">
        <w:rPr>
          <w:szCs w:val="18"/>
        </w:rPr>
        <w:t xml:space="preserve"> </w:t>
      </w:r>
      <w:r w:rsidRPr="00B24527">
        <w:rPr>
          <w:szCs w:val="18"/>
        </w:rPr>
        <w:t>to</w:t>
      </w:r>
      <w:r w:rsidR="0078502C">
        <w:rPr>
          <w:szCs w:val="18"/>
        </w:rPr>
        <w:t xml:space="preserve"> </w:t>
      </w:r>
      <w:r w:rsidRPr="00B24527">
        <w:rPr>
          <w:szCs w:val="18"/>
        </w:rPr>
        <w:t>the</w:t>
      </w:r>
      <w:r w:rsidR="0078502C">
        <w:rPr>
          <w:szCs w:val="18"/>
        </w:rPr>
        <w:t xml:space="preserve"> </w:t>
      </w:r>
      <w:r w:rsidRPr="00B24527">
        <w:rPr>
          <w:szCs w:val="18"/>
        </w:rPr>
        <w:t>author.</w:t>
      </w:r>
      <w:r w:rsidR="0078502C">
        <w:rPr>
          <w:szCs w:val="18"/>
        </w:rPr>
        <w:t xml:space="preserve"> </w:t>
      </w:r>
      <w:r w:rsidRPr="00B24527">
        <w:rPr>
          <w:szCs w:val="18"/>
        </w:rPr>
        <w:t>The</w:t>
      </w:r>
      <w:r w:rsidR="0078502C">
        <w:rPr>
          <w:szCs w:val="18"/>
        </w:rPr>
        <w:t xml:space="preserve"> </w:t>
      </w:r>
      <w:r w:rsidRPr="00B24527">
        <w:rPr>
          <w:szCs w:val="18"/>
        </w:rPr>
        <w:t>author</w:t>
      </w:r>
      <w:r w:rsidR="0078502C">
        <w:rPr>
          <w:szCs w:val="18"/>
        </w:rPr>
        <w:t xml:space="preserve"> </w:t>
      </w:r>
      <w:r w:rsidRPr="00B24527">
        <w:rPr>
          <w:szCs w:val="18"/>
        </w:rPr>
        <w:t>also</w:t>
      </w:r>
      <w:r w:rsidR="0078502C">
        <w:rPr>
          <w:szCs w:val="18"/>
        </w:rPr>
        <w:t xml:space="preserve"> </w:t>
      </w:r>
      <w:r w:rsidRPr="00B24527">
        <w:rPr>
          <w:szCs w:val="18"/>
        </w:rPr>
        <w:t>provides</w:t>
      </w:r>
      <w:r w:rsidR="0078502C">
        <w:rPr>
          <w:szCs w:val="18"/>
        </w:rPr>
        <w:t xml:space="preserve"> </w:t>
      </w:r>
      <w:r w:rsidRPr="00B24527">
        <w:rPr>
          <w:szCs w:val="18"/>
        </w:rPr>
        <w:t>an</w:t>
      </w:r>
      <w:r w:rsidR="0078502C">
        <w:rPr>
          <w:szCs w:val="18"/>
        </w:rPr>
        <w:t xml:space="preserve"> </w:t>
      </w:r>
      <w:r w:rsidRPr="00B24527">
        <w:rPr>
          <w:szCs w:val="18"/>
        </w:rPr>
        <w:t>affidavit</w:t>
      </w:r>
      <w:r w:rsidR="0078502C">
        <w:rPr>
          <w:szCs w:val="18"/>
        </w:rPr>
        <w:t xml:space="preserve"> </w:t>
      </w:r>
      <w:r w:rsidRPr="00B24527">
        <w:rPr>
          <w:szCs w:val="18"/>
        </w:rPr>
        <w:t>of</w:t>
      </w:r>
      <w:r w:rsidR="0078502C">
        <w:rPr>
          <w:szCs w:val="18"/>
        </w:rPr>
        <w:t xml:space="preserve"> </w:t>
      </w:r>
      <w:r w:rsidRPr="00B24527">
        <w:rPr>
          <w:szCs w:val="18"/>
        </w:rPr>
        <w:t>age</w:t>
      </w:r>
      <w:r w:rsidR="0078502C">
        <w:rPr>
          <w:szCs w:val="18"/>
        </w:rPr>
        <w:t xml:space="preserve"> </w:t>
      </w:r>
      <w:r w:rsidRPr="00B24527">
        <w:rPr>
          <w:szCs w:val="18"/>
        </w:rPr>
        <w:t>declaration</w:t>
      </w:r>
      <w:r w:rsidR="0078502C">
        <w:rPr>
          <w:szCs w:val="18"/>
        </w:rPr>
        <w:t xml:space="preserve"> </w:t>
      </w:r>
      <w:r w:rsidRPr="00B24527">
        <w:rPr>
          <w:szCs w:val="18"/>
        </w:rPr>
        <w:t>from</w:t>
      </w:r>
      <w:r w:rsidR="0078502C">
        <w:rPr>
          <w:szCs w:val="18"/>
        </w:rPr>
        <w:t xml:space="preserve"> </w:t>
      </w:r>
      <w:r w:rsidRPr="00B24527">
        <w:rPr>
          <w:szCs w:val="18"/>
        </w:rPr>
        <w:t>her</w:t>
      </w:r>
      <w:r w:rsidR="0078502C">
        <w:rPr>
          <w:szCs w:val="18"/>
        </w:rPr>
        <w:t xml:space="preserve"> </w:t>
      </w:r>
      <w:r w:rsidRPr="00B24527">
        <w:rPr>
          <w:szCs w:val="18"/>
        </w:rPr>
        <w:t>mother,</w:t>
      </w:r>
      <w:r w:rsidR="0078502C">
        <w:rPr>
          <w:szCs w:val="18"/>
        </w:rPr>
        <w:t xml:space="preserve"> </w:t>
      </w:r>
      <w:r w:rsidRPr="00B24527">
        <w:rPr>
          <w:szCs w:val="18"/>
        </w:rPr>
        <w:t>dated</w:t>
      </w:r>
      <w:r w:rsidR="0078502C">
        <w:rPr>
          <w:szCs w:val="18"/>
        </w:rPr>
        <w:t xml:space="preserve"> </w:t>
      </w:r>
      <w:r w:rsidRPr="00B24527">
        <w:rPr>
          <w:szCs w:val="18"/>
        </w:rPr>
        <w:t>August</w:t>
      </w:r>
      <w:r w:rsidR="0078502C">
        <w:rPr>
          <w:szCs w:val="18"/>
        </w:rPr>
        <w:t xml:space="preserve"> </w:t>
      </w:r>
      <w:r w:rsidRPr="00B24527">
        <w:rPr>
          <w:szCs w:val="18"/>
        </w:rPr>
        <w:t>2015</w:t>
      </w:r>
      <w:r w:rsidR="0078502C">
        <w:rPr>
          <w:szCs w:val="18"/>
        </w:rPr>
        <w:t xml:space="preserve"> </w:t>
      </w:r>
      <w:r w:rsidRPr="00B24527">
        <w:rPr>
          <w:szCs w:val="18"/>
        </w:rPr>
        <w:t>(the</w:t>
      </w:r>
      <w:r w:rsidR="0078502C">
        <w:rPr>
          <w:szCs w:val="18"/>
        </w:rPr>
        <w:t xml:space="preserve"> </w:t>
      </w:r>
      <w:r w:rsidRPr="00B24527">
        <w:rPr>
          <w:szCs w:val="18"/>
        </w:rPr>
        <w:t>day</w:t>
      </w:r>
      <w:r w:rsidR="0078502C">
        <w:rPr>
          <w:szCs w:val="18"/>
        </w:rPr>
        <w:t xml:space="preserve"> </w:t>
      </w:r>
      <w:r w:rsidRPr="00B24527">
        <w:rPr>
          <w:szCs w:val="18"/>
        </w:rPr>
        <w:t>is</w:t>
      </w:r>
      <w:r w:rsidR="0078502C">
        <w:rPr>
          <w:szCs w:val="18"/>
        </w:rPr>
        <w:t xml:space="preserve"> </w:t>
      </w:r>
      <w:r w:rsidRPr="00B24527">
        <w:rPr>
          <w:szCs w:val="18"/>
        </w:rPr>
        <w:t>illegible).</w:t>
      </w:r>
    </w:p>
  </w:footnote>
  <w:footnote w:id="8">
    <w:p w14:paraId="3818F7C0" w14:textId="2BD83F36" w:rsidR="009C1FB8" w:rsidRPr="00B24527" w:rsidRDefault="009C1FB8" w:rsidP="009C1FB8">
      <w:pPr>
        <w:pStyle w:val="FootnoteText"/>
        <w:rPr>
          <w:szCs w:val="18"/>
        </w:rPr>
      </w:pPr>
      <w:r w:rsidRPr="00B24527">
        <w:rPr>
          <w:szCs w:val="18"/>
        </w:rPr>
        <w:tab/>
      </w:r>
      <w:r w:rsidRPr="00B24527">
        <w:rPr>
          <w:rStyle w:val="FootnoteReference"/>
        </w:rPr>
        <w:footnoteRef/>
      </w:r>
      <w:r w:rsidRPr="00B24527">
        <w:rPr>
          <w:rStyle w:val="FootnoteReference"/>
        </w:rPr>
        <w:tab/>
      </w:r>
      <w:r w:rsidRPr="00B24527">
        <w:rPr>
          <w:szCs w:val="18"/>
        </w:rPr>
        <w:t>The</w:t>
      </w:r>
      <w:r w:rsidR="0078502C">
        <w:rPr>
          <w:szCs w:val="18"/>
        </w:rPr>
        <w:t xml:space="preserve"> </w:t>
      </w:r>
      <w:r w:rsidRPr="00B24527">
        <w:rPr>
          <w:szCs w:val="18"/>
        </w:rPr>
        <w:t>author</w:t>
      </w:r>
      <w:r w:rsidR="0078502C">
        <w:rPr>
          <w:szCs w:val="18"/>
        </w:rPr>
        <w:t xml:space="preserve"> </w:t>
      </w:r>
      <w:r w:rsidRPr="00B24527">
        <w:rPr>
          <w:szCs w:val="18"/>
        </w:rPr>
        <w:t>does</w:t>
      </w:r>
      <w:r w:rsidR="0078502C">
        <w:rPr>
          <w:szCs w:val="18"/>
        </w:rPr>
        <w:t xml:space="preserve"> </w:t>
      </w:r>
      <w:r w:rsidRPr="00B24527">
        <w:rPr>
          <w:szCs w:val="18"/>
        </w:rPr>
        <w:t>not</w:t>
      </w:r>
      <w:r w:rsidR="0078502C">
        <w:rPr>
          <w:szCs w:val="18"/>
        </w:rPr>
        <w:t xml:space="preserve"> </w:t>
      </w:r>
      <w:r w:rsidRPr="00B24527">
        <w:rPr>
          <w:szCs w:val="18"/>
        </w:rPr>
        <w:t>submit</w:t>
      </w:r>
      <w:r w:rsidR="0078502C">
        <w:rPr>
          <w:szCs w:val="18"/>
        </w:rPr>
        <w:t xml:space="preserve"> </w:t>
      </w:r>
      <w:r w:rsidRPr="00B24527">
        <w:rPr>
          <w:szCs w:val="18"/>
        </w:rPr>
        <w:t>a</w:t>
      </w:r>
      <w:r w:rsidR="0078502C">
        <w:rPr>
          <w:szCs w:val="18"/>
        </w:rPr>
        <w:t xml:space="preserve"> </w:t>
      </w:r>
      <w:r w:rsidRPr="00B24527">
        <w:rPr>
          <w:szCs w:val="18"/>
        </w:rPr>
        <w:t>translation</w:t>
      </w:r>
      <w:r w:rsidR="0078502C">
        <w:rPr>
          <w:szCs w:val="18"/>
        </w:rPr>
        <w:t xml:space="preserve"> </w:t>
      </w:r>
      <w:r w:rsidRPr="00B24527">
        <w:rPr>
          <w:szCs w:val="18"/>
        </w:rPr>
        <w:t>of</w:t>
      </w:r>
      <w:r w:rsidR="0078502C">
        <w:rPr>
          <w:szCs w:val="18"/>
        </w:rPr>
        <w:t xml:space="preserve"> </w:t>
      </w:r>
      <w:r w:rsidRPr="00B24527">
        <w:rPr>
          <w:szCs w:val="18"/>
        </w:rPr>
        <w:t>the</w:t>
      </w:r>
      <w:r w:rsidR="0078502C">
        <w:rPr>
          <w:szCs w:val="18"/>
        </w:rPr>
        <w:t xml:space="preserve"> </w:t>
      </w:r>
      <w:r w:rsidRPr="00B24527">
        <w:rPr>
          <w:szCs w:val="18"/>
        </w:rPr>
        <w:t>full</w:t>
      </w:r>
      <w:r w:rsidR="0078502C">
        <w:rPr>
          <w:szCs w:val="18"/>
        </w:rPr>
        <w:t xml:space="preserve"> </w:t>
      </w:r>
      <w:r w:rsidRPr="00B24527">
        <w:rPr>
          <w:szCs w:val="18"/>
        </w:rPr>
        <w:t>decision,</w:t>
      </w:r>
      <w:r w:rsidR="0078502C">
        <w:rPr>
          <w:szCs w:val="18"/>
        </w:rPr>
        <w:t xml:space="preserve"> </w:t>
      </w:r>
      <w:r w:rsidRPr="00B24527">
        <w:rPr>
          <w:szCs w:val="18"/>
        </w:rPr>
        <w:t>but</w:t>
      </w:r>
      <w:r w:rsidR="0078502C">
        <w:rPr>
          <w:szCs w:val="18"/>
        </w:rPr>
        <w:t xml:space="preserve"> </w:t>
      </w:r>
      <w:r w:rsidRPr="00B24527">
        <w:rPr>
          <w:szCs w:val="18"/>
        </w:rPr>
        <w:t>provides</w:t>
      </w:r>
      <w:r w:rsidR="0078502C">
        <w:rPr>
          <w:szCs w:val="18"/>
        </w:rPr>
        <w:t xml:space="preserve"> </w:t>
      </w:r>
      <w:r w:rsidRPr="00B24527">
        <w:rPr>
          <w:szCs w:val="18"/>
        </w:rPr>
        <w:t>a</w:t>
      </w:r>
      <w:r w:rsidR="0078502C">
        <w:rPr>
          <w:szCs w:val="18"/>
        </w:rPr>
        <w:t xml:space="preserve"> </w:t>
      </w:r>
      <w:r w:rsidRPr="00B24527">
        <w:rPr>
          <w:szCs w:val="18"/>
        </w:rPr>
        <w:t>translation</w:t>
      </w:r>
      <w:r w:rsidR="0078502C">
        <w:rPr>
          <w:szCs w:val="18"/>
        </w:rPr>
        <w:t xml:space="preserve"> </w:t>
      </w:r>
      <w:r w:rsidRPr="00B24527">
        <w:rPr>
          <w:szCs w:val="18"/>
        </w:rPr>
        <w:t>of</w:t>
      </w:r>
      <w:r w:rsidR="0078502C">
        <w:rPr>
          <w:szCs w:val="18"/>
        </w:rPr>
        <w:t xml:space="preserve"> </w:t>
      </w:r>
      <w:r w:rsidRPr="00B24527">
        <w:rPr>
          <w:szCs w:val="18"/>
        </w:rPr>
        <w:t>the</w:t>
      </w:r>
      <w:r w:rsidR="0078502C">
        <w:rPr>
          <w:szCs w:val="18"/>
        </w:rPr>
        <w:t xml:space="preserve"> </w:t>
      </w:r>
      <w:r w:rsidR="0012622D" w:rsidRPr="00B24527">
        <w:rPr>
          <w:szCs w:val="18"/>
        </w:rPr>
        <w:t>“</w:t>
      </w:r>
      <w:r w:rsidRPr="00B24527">
        <w:rPr>
          <w:szCs w:val="18"/>
        </w:rPr>
        <w:t>intention</w:t>
      </w:r>
      <w:r w:rsidR="0012622D" w:rsidRPr="00B24527">
        <w:rPr>
          <w:szCs w:val="18"/>
        </w:rPr>
        <w:t>”</w:t>
      </w:r>
      <w:r w:rsidR="0078502C">
        <w:rPr>
          <w:szCs w:val="18"/>
        </w:rPr>
        <w:t xml:space="preserve"> </w:t>
      </w:r>
      <w:r w:rsidRPr="00B24527">
        <w:rPr>
          <w:szCs w:val="18"/>
        </w:rPr>
        <w:t>of</w:t>
      </w:r>
      <w:r w:rsidR="0078502C">
        <w:rPr>
          <w:szCs w:val="18"/>
        </w:rPr>
        <w:t xml:space="preserve"> </w:t>
      </w:r>
      <w:r w:rsidRPr="00B24527">
        <w:rPr>
          <w:szCs w:val="18"/>
        </w:rPr>
        <w:t>the</w:t>
      </w:r>
      <w:r w:rsidR="0078502C">
        <w:rPr>
          <w:szCs w:val="18"/>
        </w:rPr>
        <w:t xml:space="preserve"> </w:t>
      </w:r>
      <w:r w:rsidRPr="00B24527">
        <w:rPr>
          <w:rFonts w:eastAsia="Calibri"/>
        </w:rPr>
        <w:t>Immigration</w:t>
      </w:r>
      <w:r w:rsidR="0078502C">
        <w:rPr>
          <w:rFonts w:eastAsia="Calibri"/>
        </w:rPr>
        <w:t xml:space="preserve"> </w:t>
      </w:r>
      <w:r w:rsidRPr="00B24527">
        <w:rPr>
          <w:rFonts w:eastAsia="Calibri"/>
        </w:rPr>
        <w:t>and</w:t>
      </w:r>
      <w:r w:rsidR="0078502C">
        <w:rPr>
          <w:rFonts w:eastAsia="Calibri"/>
        </w:rPr>
        <w:t xml:space="preserve"> </w:t>
      </w:r>
      <w:r w:rsidRPr="00B24527">
        <w:rPr>
          <w:rFonts w:eastAsia="Calibri"/>
        </w:rPr>
        <w:t>Naturalization</w:t>
      </w:r>
      <w:r w:rsidR="0078502C">
        <w:rPr>
          <w:rFonts w:eastAsia="Calibri"/>
        </w:rPr>
        <w:t xml:space="preserve"> </w:t>
      </w:r>
      <w:r w:rsidRPr="00B24527">
        <w:rPr>
          <w:rFonts w:eastAsia="Calibri"/>
        </w:rPr>
        <w:t>Service</w:t>
      </w:r>
      <w:r w:rsidRPr="00B24527">
        <w:rPr>
          <w:szCs w:val="18"/>
        </w:rPr>
        <w:t>,</w:t>
      </w:r>
      <w:r w:rsidR="0078502C">
        <w:rPr>
          <w:szCs w:val="18"/>
        </w:rPr>
        <w:t xml:space="preserve"> </w:t>
      </w:r>
      <w:r w:rsidRPr="00B24527">
        <w:rPr>
          <w:szCs w:val="18"/>
        </w:rPr>
        <w:t>in</w:t>
      </w:r>
      <w:r w:rsidR="0078502C">
        <w:rPr>
          <w:szCs w:val="18"/>
        </w:rPr>
        <w:t xml:space="preserve"> </w:t>
      </w:r>
      <w:r w:rsidRPr="00B24527">
        <w:rPr>
          <w:szCs w:val="18"/>
        </w:rPr>
        <w:t>which</w:t>
      </w:r>
      <w:r w:rsidR="0078502C">
        <w:rPr>
          <w:szCs w:val="18"/>
        </w:rPr>
        <w:t xml:space="preserve"> </w:t>
      </w:r>
      <w:r w:rsidRPr="00B24527">
        <w:rPr>
          <w:szCs w:val="18"/>
        </w:rPr>
        <w:t>the</w:t>
      </w:r>
      <w:r w:rsidR="0078502C">
        <w:rPr>
          <w:szCs w:val="18"/>
        </w:rPr>
        <w:t xml:space="preserve"> </w:t>
      </w:r>
      <w:r w:rsidRPr="00B24527">
        <w:rPr>
          <w:szCs w:val="18"/>
        </w:rPr>
        <w:t>Service</w:t>
      </w:r>
      <w:r w:rsidR="0078502C">
        <w:rPr>
          <w:szCs w:val="18"/>
        </w:rPr>
        <w:t xml:space="preserve"> </w:t>
      </w:r>
      <w:r w:rsidRPr="00B24527">
        <w:rPr>
          <w:szCs w:val="18"/>
        </w:rPr>
        <w:t>summarizes</w:t>
      </w:r>
      <w:r w:rsidR="0078502C">
        <w:rPr>
          <w:szCs w:val="18"/>
        </w:rPr>
        <w:t xml:space="preserve"> </w:t>
      </w:r>
      <w:r w:rsidRPr="00B24527">
        <w:rPr>
          <w:szCs w:val="18"/>
        </w:rPr>
        <w:t>its</w:t>
      </w:r>
      <w:r w:rsidR="0078502C">
        <w:rPr>
          <w:szCs w:val="18"/>
        </w:rPr>
        <w:t xml:space="preserve"> </w:t>
      </w:r>
      <w:r w:rsidRPr="00B24527">
        <w:rPr>
          <w:szCs w:val="18"/>
        </w:rPr>
        <w:t>conclusions.</w:t>
      </w:r>
    </w:p>
  </w:footnote>
  <w:footnote w:id="9">
    <w:p w14:paraId="30E54755" w14:textId="4F660C4E" w:rsidR="009C1FB8" w:rsidRPr="00B24527" w:rsidRDefault="009C1FB8" w:rsidP="009C1FB8">
      <w:pPr>
        <w:pStyle w:val="FootnoteText"/>
        <w:rPr>
          <w:szCs w:val="18"/>
        </w:rPr>
      </w:pPr>
      <w:r w:rsidRPr="00B24527">
        <w:rPr>
          <w:szCs w:val="18"/>
        </w:rPr>
        <w:tab/>
      </w:r>
      <w:r w:rsidRPr="00B24527">
        <w:rPr>
          <w:rStyle w:val="FootnoteReference"/>
        </w:rPr>
        <w:footnoteRef/>
      </w:r>
      <w:r w:rsidRPr="00B24527">
        <w:rPr>
          <w:rStyle w:val="FootnoteReference"/>
        </w:rPr>
        <w:tab/>
      </w:r>
      <w:r w:rsidRPr="00B24527">
        <w:rPr>
          <w:szCs w:val="18"/>
        </w:rPr>
        <w:t>The</w:t>
      </w:r>
      <w:r w:rsidR="0078502C">
        <w:rPr>
          <w:szCs w:val="18"/>
        </w:rPr>
        <w:t xml:space="preserve"> </w:t>
      </w:r>
      <w:r w:rsidRPr="00B24527">
        <w:rPr>
          <w:szCs w:val="18"/>
        </w:rPr>
        <w:t>author</w:t>
      </w:r>
      <w:r w:rsidR="0078502C">
        <w:rPr>
          <w:szCs w:val="18"/>
        </w:rPr>
        <w:t xml:space="preserve"> </w:t>
      </w:r>
      <w:r w:rsidRPr="00B24527">
        <w:rPr>
          <w:szCs w:val="18"/>
        </w:rPr>
        <w:t>provides</w:t>
      </w:r>
      <w:r w:rsidR="0078502C">
        <w:rPr>
          <w:szCs w:val="18"/>
        </w:rPr>
        <w:t xml:space="preserve"> </w:t>
      </w:r>
      <w:r w:rsidRPr="00B24527">
        <w:rPr>
          <w:szCs w:val="18"/>
        </w:rPr>
        <w:t>a</w:t>
      </w:r>
      <w:r w:rsidR="0078502C">
        <w:rPr>
          <w:szCs w:val="18"/>
        </w:rPr>
        <w:t xml:space="preserve"> </w:t>
      </w:r>
      <w:r w:rsidRPr="00B24527">
        <w:rPr>
          <w:szCs w:val="18"/>
        </w:rPr>
        <w:t>medical</w:t>
      </w:r>
      <w:r w:rsidR="0078502C">
        <w:rPr>
          <w:szCs w:val="18"/>
        </w:rPr>
        <w:t xml:space="preserve"> </w:t>
      </w:r>
      <w:r w:rsidRPr="00B24527">
        <w:rPr>
          <w:szCs w:val="18"/>
        </w:rPr>
        <w:t>report</w:t>
      </w:r>
      <w:r w:rsidR="0078502C">
        <w:rPr>
          <w:szCs w:val="18"/>
        </w:rPr>
        <w:t xml:space="preserve"> </w:t>
      </w:r>
      <w:r w:rsidRPr="00B24527">
        <w:rPr>
          <w:szCs w:val="18"/>
        </w:rPr>
        <w:t>(page</w:t>
      </w:r>
      <w:r w:rsidR="0078502C">
        <w:rPr>
          <w:szCs w:val="18"/>
        </w:rPr>
        <w:t xml:space="preserve"> </w:t>
      </w:r>
      <w:r w:rsidRPr="00B24527">
        <w:rPr>
          <w:szCs w:val="18"/>
        </w:rPr>
        <w:t>missing)</w:t>
      </w:r>
      <w:r w:rsidR="0078502C">
        <w:rPr>
          <w:szCs w:val="18"/>
        </w:rPr>
        <w:t xml:space="preserve"> </w:t>
      </w:r>
      <w:r w:rsidRPr="00B24527">
        <w:rPr>
          <w:szCs w:val="18"/>
        </w:rPr>
        <w:t>dated</w:t>
      </w:r>
      <w:r w:rsidR="0078502C">
        <w:rPr>
          <w:szCs w:val="18"/>
        </w:rPr>
        <w:t xml:space="preserve"> </w:t>
      </w:r>
      <w:r w:rsidRPr="00B24527">
        <w:rPr>
          <w:szCs w:val="18"/>
        </w:rPr>
        <w:t>20</w:t>
      </w:r>
      <w:r w:rsidR="0078502C">
        <w:rPr>
          <w:szCs w:val="18"/>
        </w:rPr>
        <w:t xml:space="preserve"> </w:t>
      </w:r>
      <w:r w:rsidRPr="00B24527">
        <w:rPr>
          <w:szCs w:val="18"/>
        </w:rPr>
        <w:t>August</w:t>
      </w:r>
      <w:r w:rsidR="0078502C">
        <w:rPr>
          <w:szCs w:val="18"/>
        </w:rPr>
        <w:t xml:space="preserve"> </w:t>
      </w:r>
      <w:r w:rsidRPr="00B24527">
        <w:rPr>
          <w:szCs w:val="18"/>
        </w:rPr>
        <w:t>2015,</w:t>
      </w:r>
      <w:r w:rsidR="0078502C">
        <w:rPr>
          <w:szCs w:val="18"/>
        </w:rPr>
        <w:t xml:space="preserve"> </w:t>
      </w:r>
      <w:r w:rsidRPr="00B24527">
        <w:rPr>
          <w:szCs w:val="18"/>
        </w:rPr>
        <w:t>which</w:t>
      </w:r>
      <w:r w:rsidR="0078502C">
        <w:rPr>
          <w:szCs w:val="18"/>
        </w:rPr>
        <w:t xml:space="preserve"> </w:t>
      </w:r>
      <w:r w:rsidRPr="00B24527">
        <w:rPr>
          <w:szCs w:val="18"/>
        </w:rPr>
        <w:t>attests</w:t>
      </w:r>
      <w:r w:rsidR="0078502C">
        <w:rPr>
          <w:szCs w:val="18"/>
        </w:rPr>
        <w:t xml:space="preserve"> </w:t>
      </w:r>
      <w:r w:rsidRPr="00B24527">
        <w:rPr>
          <w:szCs w:val="18"/>
        </w:rPr>
        <w:t>that</w:t>
      </w:r>
      <w:r w:rsidR="0078502C">
        <w:rPr>
          <w:szCs w:val="18"/>
        </w:rPr>
        <w:t xml:space="preserve"> </w:t>
      </w:r>
      <w:r w:rsidRPr="00B24527">
        <w:rPr>
          <w:szCs w:val="18"/>
        </w:rPr>
        <w:t>the</w:t>
      </w:r>
      <w:r w:rsidR="0078502C">
        <w:rPr>
          <w:szCs w:val="18"/>
        </w:rPr>
        <w:t xml:space="preserve"> </w:t>
      </w:r>
      <w:r w:rsidRPr="00B24527">
        <w:rPr>
          <w:szCs w:val="18"/>
        </w:rPr>
        <w:t>author</w:t>
      </w:r>
      <w:r w:rsidR="0078502C">
        <w:rPr>
          <w:szCs w:val="18"/>
        </w:rPr>
        <w:t xml:space="preserve"> </w:t>
      </w:r>
      <w:r w:rsidRPr="00B24527">
        <w:rPr>
          <w:szCs w:val="18"/>
        </w:rPr>
        <w:t>takes</w:t>
      </w:r>
      <w:r w:rsidR="0078502C">
        <w:rPr>
          <w:szCs w:val="18"/>
        </w:rPr>
        <w:t xml:space="preserve"> </w:t>
      </w:r>
      <w:r w:rsidRPr="00B24527">
        <w:rPr>
          <w:szCs w:val="18"/>
        </w:rPr>
        <w:t>antidepressants,</w:t>
      </w:r>
      <w:r w:rsidR="0078502C">
        <w:rPr>
          <w:szCs w:val="18"/>
        </w:rPr>
        <w:t xml:space="preserve"> </w:t>
      </w:r>
      <w:r w:rsidRPr="00B24527">
        <w:rPr>
          <w:szCs w:val="18"/>
        </w:rPr>
        <w:t>sleep-inducing</w:t>
      </w:r>
      <w:r w:rsidR="0078502C">
        <w:rPr>
          <w:szCs w:val="18"/>
        </w:rPr>
        <w:t xml:space="preserve"> </w:t>
      </w:r>
      <w:r w:rsidRPr="00B24527">
        <w:rPr>
          <w:szCs w:val="18"/>
        </w:rPr>
        <w:t>medication</w:t>
      </w:r>
      <w:r w:rsidR="0078502C">
        <w:rPr>
          <w:szCs w:val="18"/>
        </w:rPr>
        <w:t xml:space="preserve"> </w:t>
      </w:r>
      <w:r w:rsidRPr="00B24527">
        <w:rPr>
          <w:szCs w:val="18"/>
        </w:rPr>
        <w:t>and</w:t>
      </w:r>
      <w:r w:rsidR="0078502C">
        <w:rPr>
          <w:szCs w:val="18"/>
        </w:rPr>
        <w:t xml:space="preserve"> </w:t>
      </w:r>
      <w:r w:rsidRPr="00B24527">
        <w:rPr>
          <w:szCs w:val="18"/>
        </w:rPr>
        <w:t>a</w:t>
      </w:r>
      <w:r w:rsidR="0078502C">
        <w:rPr>
          <w:szCs w:val="18"/>
        </w:rPr>
        <w:t xml:space="preserve"> </w:t>
      </w:r>
      <w:r w:rsidRPr="00B24527">
        <w:rPr>
          <w:szCs w:val="18"/>
        </w:rPr>
        <w:t>high</w:t>
      </w:r>
      <w:r w:rsidR="0078502C">
        <w:rPr>
          <w:szCs w:val="18"/>
        </w:rPr>
        <w:t xml:space="preserve"> </w:t>
      </w:r>
      <w:r w:rsidRPr="00B24527">
        <w:rPr>
          <w:szCs w:val="18"/>
        </w:rPr>
        <w:t>dose</w:t>
      </w:r>
      <w:r w:rsidR="0078502C">
        <w:rPr>
          <w:szCs w:val="18"/>
        </w:rPr>
        <w:t xml:space="preserve"> </w:t>
      </w:r>
      <w:r w:rsidRPr="00B24527">
        <w:rPr>
          <w:szCs w:val="18"/>
        </w:rPr>
        <w:t>of</w:t>
      </w:r>
      <w:r w:rsidR="0078502C">
        <w:rPr>
          <w:szCs w:val="18"/>
        </w:rPr>
        <w:t xml:space="preserve"> </w:t>
      </w:r>
      <w:r w:rsidRPr="00B24527">
        <w:rPr>
          <w:szCs w:val="18"/>
        </w:rPr>
        <w:t>paracetamol,</w:t>
      </w:r>
      <w:r w:rsidR="0078502C">
        <w:rPr>
          <w:szCs w:val="18"/>
        </w:rPr>
        <w:t xml:space="preserve"> </w:t>
      </w:r>
      <w:r w:rsidRPr="00B24527">
        <w:rPr>
          <w:szCs w:val="18"/>
        </w:rPr>
        <w:t>that</w:t>
      </w:r>
      <w:r w:rsidR="0078502C">
        <w:rPr>
          <w:szCs w:val="18"/>
        </w:rPr>
        <w:t xml:space="preserve"> </w:t>
      </w:r>
      <w:r w:rsidRPr="00B24527">
        <w:rPr>
          <w:szCs w:val="18"/>
        </w:rPr>
        <w:t>she</w:t>
      </w:r>
      <w:r w:rsidR="0078502C">
        <w:rPr>
          <w:szCs w:val="18"/>
        </w:rPr>
        <w:t xml:space="preserve"> </w:t>
      </w:r>
      <w:r w:rsidRPr="00B24527">
        <w:rPr>
          <w:szCs w:val="18"/>
        </w:rPr>
        <w:t>suffers</w:t>
      </w:r>
      <w:r w:rsidR="0078502C">
        <w:rPr>
          <w:szCs w:val="18"/>
        </w:rPr>
        <w:t xml:space="preserve"> </w:t>
      </w:r>
      <w:r w:rsidRPr="00B24527">
        <w:rPr>
          <w:szCs w:val="18"/>
        </w:rPr>
        <w:t>from</w:t>
      </w:r>
      <w:r w:rsidR="0078502C">
        <w:rPr>
          <w:szCs w:val="18"/>
        </w:rPr>
        <w:t xml:space="preserve"> </w:t>
      </w:r>
      <w:r w:rsidRPr="00B24527">
        <w:rPr>
          <w:szCs w:val="18"/>
        </w:rPr>
        <w:t>symptoms</w:t>
      </w:r>
      <w:r w:rsidR="0078502C">
        <w:rPr>
          <w:szCs w:val="18"/>
        </w:rPr>
        <w:t xml:space="preserve"> </w:t>
      </w:r>
      <w:r w:rsidRPr="00B24527">
        <w:rPr>
          <w:szCs w:val="18"/>
        </w:rPr>
        <w:t>of</w:t>
      </w:r>
      <w:r w:rsidR="0078502C">
        <w:rPr>
          <w:szCs w:val="18"/>
        </w:rPr>
        <w:t xml:space="preserve"> </w:t>
      </w:r>
      <w:r w:rsidRPr="00B24527">
        <w:rPr>
          <w:szCs w:val="18"/>
        </w:rPr>
        <w:t>anxiety,</w:t>
      </w:r>
      <w:r w:rsidR="0078502C">
        <w:rPr>
          <w:szCs w:val="18"/>
        </w:rPr>
        <w:t xml:space="preserve"> </w:t>
      </w:r>
      <w:r w:rsidRPr="00B24527">
        <w:rPr>
          <w:szCs w:val="18"/>
        </w:rPr>
        <w:t>depression,</w:t>
      </w:r>
      <w:r w:rsidR="0078502C">
        <w:rPr>
          <w:szCs w:val="18"/>
        </w:rPr>
        <w:t xml:space="preserve"> </w:t>
      </w:r>
      <w:r w:rsidRPr="00B24527">
        <w:rPr>
          <w:szCs w:val="18"/>
        </w:rPr>
        <w:t>sleep</w:t>
      </w:r>
      <w:r w:rsidR="0078502C">
        <w:rPr>
          <w:szCs w:val="18"/>
        </w:rPr>
        <w:t xml:space="preserve"> </w:t>
      </w:r>
      <w:r w:rsidRPr="00B24527">
        <w:rPr>
          <w:szCs w:val="18"/>
        </w:rPr>
        <w:t>deprivation</w:t>
      </w:r>
      <w:r w:rsidR="0078502C">
        <w:rPr>
          <w:szCs w:val="18"/>
        </w:rPr>
        <w:t xml:space="preserve"> </w:t>
      </w:r>
      <w:r w:rsidRPr="00B24527">
        <w:rPr>
          <w:szCs w:val="18"/>
        </w:rPr>
        <w:t>and</w:t>
      </w:r>
      <w:r w:rsidR="0078502C">
        <w:rPr>
          <w:szCs w:val="18"/>
        </w:rPr>
        <w:t xml:space="preserve"> </w:t>
      </w:r>
      <w:r w:rsidRPr="00B24527">
        <w:rPr>
          <w:szCs w:val="18"/>
        </w:rPr>
        <w:t>physical</w:t>
      </w:r>
      <w:r w:rsidR="0078502C">
        <w:rPr>
          <w:szCs w:val="18"/>
        </w:rPr>
        <w:t xml:space="preserve"> </w:t>
      </w:r>
      <w:r w:rsidRPr="00B24527">
        <w:rPr>
          <w:szCs w:val="18"/>
        </w:rPr>
        <w:t>complaints</w:t>
      </w:r>
      <w:r w:rsidR="0078502C">
        <w:rPr>
          <w:szCs w:val="18"/>
        </w:rPr>
        <w:t xml:space="preserve"> </w:t>
      </w:r>
      <w:r w:rsidRPr="00B24527">
        <w:rPr>
          <w:szCs w:val="18"/>
        </w:rPr>
        <w:t>and</w:t>
      </w:r>
      <w:r w:rsidR="0078502C">
        <w:rPr>
          <w:szCs w:val="18"/>
        </w:rPr>
        <w:t xml:space="preserve"> </w:t>
      </w:r>
      <w:r w:rsidRPr="00B24527">
        <w:rPr>
          <w:szCs w:val="18"/>
        </w:rPr>
        <w:t>that</w:t>
      </w:r>
      <w:r w:rsidR="0078502C">
        <w:rPr>
          <w:szCs w:val="18"/>
        </w:rPr>
        <w:t xml:space="preserve"> </w:t>
      </w:r>
      <w:r w:rsidRPr="00B24527">
        <w:rPr>
          <w:szCs w:val="18"/>
        </w:rPr>
        <w:t>she</w:t>
      </w:r>
      <w:r w:rsidR="0078502C">
        <w:rPr>
          <w:szCs w:val="18"/>
        </w:rPr>
        <w:t xml:space="preserve"> </w:t>
      </w:r>
      <w:r w:rsidRPr="00B24527">
        <w:rPr>
          <w:szCs w:val="18"/>
        </w:rPr>
        <w:t>has</w:t>
      </w:r>
      <w:r w:rsidR="0078502C">
        <w:rPr>
          <w:szCs w:val="18"/>
        </w:rPr>
        <w:t xml:space="preserve"> </w:t>
      </w:r>
      <w:r w:rsidRPr="00B24527">
        <w:rPr>
          <w:szCs w:val="18"/>
        </w:rPr>
        <w:t>minimal</w:t>
      </w:r>
      <w:r w:rsidR="0078502C">
        <w:rPr>
          <w:szCs w:val="18"/>
        </w:rPr>
        <w:t xml:space="preserve"> </w:t>
      </w:r>
      <w:r w:rsidRPr="00B24527">
        <w:rPr>
          <w:szCs w:val="18"/>
        </w:rPr>
        <w:t>social</w:t>
      </w:r>
      <w:r w:rsidR="0078502C">
        <w:rPr>
          <w:szCs w:val="18"/>
        </w:rPr>
        <w:t xml:space="preserve"> </w:t>
      </w:r>
      <w:r w:rsidRPr="00B24527">
        <w:rPr>
          <w:szCs w:val="18"/>
        </w:rPr>
        <w:t>contact</w:t>
      </w:r>
      <w:r w:rsidR="0078502C">
        <w:rPr>
          <w:szCs w:val="18"/>
        </w:rPr>
        <w:t xml:space="preserve"> </w:t>
      </w:r>
      <w:r w:rsidRPr="00B24527">
        <w:rPr>
          <w:szCs w:val="18"/>
        </w:rPr>
        <w:t>due</w:t>
      </w:r>
      <w:r w:rsidR="0078502C">
        <w:rPr>
          <w:szCs w:val="18"/>
        </w:rPr>
        <w:t xml:space="preserve"> </w:t>
      </w:r>
      <w:r w:rsidRPr="00B24527">
        <w:rPr>
          <w:szCs w:val="18"/>
        </w:rPr>
        <w:t>to</w:t>
      </w:r>
      <w:r w:rsidR="0078502C">
        <w:rPr>
          <w:szCs w:val="18"/>
        </w:rPr>
        <w:t xml:space="preserve"> </w:t>
      </w:r>
      <w:r w:rsidRPr="00B24527">
        <w:rPr>
          <w:szCs w:val="18"/>
        </w:rPr>
        <w:t>her</w:t>
      </w:r>
      <w:r w:rsidR="0078502C">
        <w:rPr>
          <w:szCs w:val="18"/>
        </w:rPr>
        <w:t xml:space="preserve"> </w:t>
      </w:r>
      <w:r w:rsidRPr="00B24527">
        <w:rPr>
          <w:szCs w:val="18"/>
        </w:rPr>
        <w:t>depressed</w:t>
      </w:r>
      <w:r w:rsidR="0078502C">
        <w:rPr>
          <w:szCs w:val="18"/>
        </w:rPr>
        <w:t xml:space="preserve"> </w:t>
      </w:r>
      <w:r w:rsidRPr="00B24527">
        <w:rPr>
          <w:szCs w:val="18"/>
        </w:rPr>
        <w:t>state.</w:t>
      </w:r>
    </w:p>
  </w:footnote>
  <w:footnote w:id="10">
    <w:p w14:paraId="66EE65C3" w14:textId="781C1B1F" w:rsidR="009C1FB8" w:rsidRPr="00B24527" w:rsidRDefault="009C1FB8" w:rsidP="009C1FB8">
      <w:pPr>
        <w:pStyle w:val="FootnoteText"/>
        <w:rPr>
          <w:szCs w:val="18"/>
        </w:rPr>
      </w:pPr>
      <w:r w:rsidRPr="00B24527">
        <w:rPr>
          <w:szCs w:val="18"/>
        </w:rPr>
        <w:tab/>
      </w:r>
      <w:r w:rsidRPr="00B24527">
        <w:rPr>
          <w:rStyle w:val="FootnoteReference"/>
        </w:rPr>
        <w:footnoteRef/>
      </w:r>
      <w:r w:rsidRPr="00B24527">
        <w:rPr>
          <w:rStyle w:val="FootnoteReference"/>
        </w:rPr>
        <w:tab/>
      </w:r>
      <w:r w:rsidRPr="00B24527">
        <w:rPr>
          <w:szCs w:val="18"/>
        </w:rPr>
        <w:t>The</w:t>
      </w:r>
      <w:r w:rsidR="0078502C">
        <w:rPr>
          <w:szCs w:val="18"/>
        </w:rPr>
        <w:t xml:space="preserve"> </w:t>
      </w:r>
      <w:r w:rsidRPr="00B24527">
        <w:rPr>
          <w:szCs w:val="18"/>
        </w:rPr>
        <w:t>author</w:t>
      </w:r>
      <w:r w:rsidR="0078502C">
        <w:rPr>
          <w:szCs w:val="18"/>
        </w:rPr>
        <w:t xml:space="preserve"> </w:t>
      </w:r>
      <w:r w:rsidRPr="00B24527">
        <w:rPr>
          <w:szCs w:val="18"/>
        </w:rPr>
        <w:t>cites</w:t>
      </w:r>
      <w:r w:rsidR="0078502C">
        <w:rPr>
          <w:szCs w:val="18"/>
        </w:rPr>
        <w:t xml:space="preserve"> </w:t>
      </w:r>
      <w:r w:rsidRPr="00B24527">
        <w:rPr>
          <w:szCs w:val="18"/>
        </w:rPr>
        <w:t>UNHCR,</w:t>
      </w:r>
      <w:r w:rsidR="0078502C">
        <w:rPr>
          <w:szCs w:val="18"/>
        </w:rPr>
        <w:t xml:space="preserve"> </w:t>
      </w:r>
      <w:r w:rsidR="0012622D" w:rsidRPr="00B24527">
        <w:rPr>
          <w:szCs w:val="18"/>
        </w:rPr>
        <w:t>“</w:t>
      </w:r>
      <w:r w:rsidRPr="00B24527">
        <w:rPr>
          <w:szCs w:val="18"/>
        </w:rPr>
        <w:t>Guidance</w:t>
      </w:r>
      <w:r w:rsidR="0078502C">
        <w:rPr>
          <w:szCs w:val="18"/>
        </w:rPr>
        <w:t xml:space="preserve"> </w:t>
      </w:r>
      <w:r w:rsidRPr="00B24527">
        <w:rPr>
          <w:szCs w:val="18"/>
        </w:rPr>
        <w:t>note</w:t>
      </w:r>
      <w:r w:rsidR="0078502C">
        <w:rPr>
          <w:szCs w:val="18"/>
        </w:rPr>
        <w:t xml:space="preserve"> </w:t>
      </w:r>
      <w:r w:rsidRPr="00B24527">
        <w:rPr>
          <w:szCs w:val="18"/>
        </w:rPr>
        <w:t>on</w:t>
      </w:r>
      <w:r w:rsidR="0078502C">
        <w:rPr>
          <w:szCs w:val="18"/>
        </w:rPr>
        <w:t xml:space="preserve"> </w:t>
      </w:r>
      <w:r w:rsidRPr="00B24527">
        <w:rPr>
          <w:szCs w:val="18"/>
        </w:rPr>
        <w:t>refugee</w:t>
      </w:r>
      <w:r w:rsidR="0078502C">
        <w:rPr>
          <w:szCs w:val="18"/>
        </w:rPr>
        <w:t xml:space="preserve"> </w:t>
      </w:r>
      <w:r w:rsidRPr="00B24527">
        <w:rPr>
          <w:szCs w:val="18"/>
        </w:rPr>
        <w:t>claims</w:t>
      </w:r>
      <w:r w:rsidR="0078502C">
        <w:rPr>
          <w:szCs w:val="18"/>
        </w:rPr>
        <w:t xml:space="preserve"> </w:t>
      </w:r>
      <w:r w:rsidRPr="00B24527">
        <w:rPr>
          <w:szCs w:val="18"/>
        </w:rPr>
        <w:t>relating</w:t>
      </w:r>
      <w:r w:rsidR="0078502C">
        <w:rPr>
          <w:szCs w:val="18"/>
        </w:rPr>
        <w:t xml:space="preserve"> </w:t>
      </w:r>
      <w:r w:rsidRPr="00B24527">
        <w:rPr>
          <w:szCs w:val="18"/>
        </w:rPr>
        <w:t>to</w:t>
      </w:r>
      <w:r w:rsidR="0078502C">
        <w:rPr>
          <w:szCs w:val="18"/>
        </w:rPr>
        <w:t xml:space="preserve"> </w:t>
      </w:r>
      <w:r w:rsidRPr="00B24527">
        <w:rPr>
          <w:szCs w:val="18"/>
        </w:rPr>
        <w:t>female</w:t>
      </w:r>
      <w:r w:rsidR="0078502C">
        <w:rPr>
          <w:szCs w:val="18"/>
        </w:rPr>
        <w:t xml:space="preserve"> </w:t>
      </w:r>
      <w:r w:rsidRPr="00B24527">
        <w:rPr>
          <w:szCs w:val="18"/>
        </w:rPr>
        <w:t>genital</w:t>
      </w:r>
      <w:r w:rsidR="0078502C">
        <w:rPr>
          <w:szCs w:val="18"/>
        </w:rPr>
        <w:t xml:space="preserve"> </w:t>
      </w:r>
      <w:r w:rsidRPr="00B24527">
        <w:rPr>
          <w:szCs w:val="18"/>
        </w:rPr>
        <w:t>mutilation</w:t>
      </w:r>
      <w:r w:rsidR="0012622D" w:rsidRPr="00B24527">
        <w:rPr>
          <w:szCs w:val="18"/>
        </w:rPr>
        <w:t>”</w:t>
      </w:r>
      <w:r w:rsidRPr="00B24527">
        <w:rPr>
          <w:szCs w:val="18"/>
        </w:rPr>
        <w:t>,</w:t>
      </w:r>
      <w:r w:rsidR="0078502C">
        <w:rPr>
          <w:szCs w:val="18"/>
        </w:rPr>
        <w:t xml:space="preserve"> </w:t>
      </w:r>
      <w:r w:rsidRPr="00B24527">
        <w:rPr>
          <w:szCs w:val="18"/>
        </w:rPr>
        <w:t>May</w:t>
      </w:r>
      <w:r w:rsidR="0078502C">
        <w:rPr>
          <w:szCs w:val="18"/>
        </w:rPr>
        <w:t xml:space="preserve"> </w:t>
      </w:r>
      <w:r w:rsidRPr="00B24527">
        <w:rPr>
          <w:szCs w:val="18"/>
        </w:rPr>
        <w:t>2009,</w:t>
      </w:r>
      <w:r w:rsidR="0078502C">
        <w:rPr>
          <w:szCs w:val="18"/>
        </w:rPr>
        <w:t xml:space="preserve"> </w:t>
      </w:r>
      <w:r w:rsidRPr="00B24527">
        <w:rPr>
          <w:szCs w:val="18"/>
        </w:rPr>
        <w:t>paras.</w:t>
      </w:r>
      <w:r w:rsidR="0078502C">
        <w:rPr>
          <w:szCs w:val="18"/>
        </w:rPr>
        <w:t xml:space="preserve"> </w:t>
      </w:r>
      <w:r w:rsidRPr="00B24527">
        <w:rPr>
          <w:szCs w:val="18"/>
        </w:rPr>
        <w:t>28–32.</w:t>
      </w:r>
    </w:p>
  </w:footnote>
  <w:footnote w:id="11">
    <w:p w14:paraId="62C2DA88" w14:textId="417B69B7"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The</w:t>
      </w:r>
      <w:r w:rsidR="0078502C">
        <w:t xml:space="preserve"> </w:t>
      </w:r>
      <w:r w:rsidRPr="00B24527">
        <w:t>author</w:t>
      </w:r>
      <w:r w:rsidR="0078502C">
        <w:t xml:space="preserve"> </w:t>
      </w:r>
      <w:r w:rsidRPr="00B24527">
        <w:t>does</w:t>
      </w:r>
      <w:r w:rsidR="0078502C">
        <w:t xml:space="preserve"> </w:t>
      </w:r>
      <w:r w:rsidRPr="00B24527">
        <w:t>not</w:t>
      </w:r>
      <w:r w:rsidR="0078502C">
        <w:t xml:space="preserve"> </w:t>
      </w:r>
      <w:r w:rsidRPr="00B24527">
        <w:t>submit</w:t>
      </w:r>
      <w:r w:rsidR="0078502C">
        <w:t xml:space="preserve"> </w:t>
      </w:r>
      <w:r w:rsidRPr="00B24527">
        <w:t>a</w:t>
      </w:r>
      <w:r w:rsidR="0078502C">
        <w:t xml:space="preserve"> </w:t>
      </w:r>
      <w:r w:rsidRPr="00B24527">
        <w:t>translation</w:t>
      </w:r>
      <w:r w:rsidR="0078502C">
        <w:t xml:space="preserve"> </w:t>
      </w:r>
      <w:r w:rsidRPr="00B24527">
        <w:t>of</w:t>
      </w:r>
      <w:r w:rsidR="0078502C">
        <w:t xml:space="preserve"> </w:t>
      </w:r>
      <w:r w:rsidRPr="00B24527">
        <w:t>the</w:t>
      </w:r>
      <w:r w:rsidR="0078502C">
        <w:t xml:space="preserve"> </w:t>
      </w:r>
      <w:r w:rsidRPr="00B24527">
        <w:t>full</w:t>
      </w:r>
      <w:r w:rsidR="0078502C">
        <w:t xml:space="preserve"> </w:t>
      </w:r>
      <w:r w:rsidRPr="00B24527">
        <w:t>decision,</w:t>
      </w:r>
      <w:r w:rsidR="0078502C">
        <w:t xml:space="preserve"> </w:t>
      </w:r>
      <w:r w:rsidRPr="00B24527">
        <w:t>but</w:t>
      </w:r>
      <w:r w:rsidR="0078502C">
        <w:t xml:space="preserve"> </w:t>
      </w:r>
      <w:r w:rsidRPr="00B24527">
        <w:t>provides</w:t>
      </w:r>
      <w:r w:rsidR="0078502C">
        <w:t xml:space="preserve"> </w:t>
      </w:r>
      <w:r w:rsidRPr="00B24527">
        <w:t>a</w:t>
      </w:r>
      <w:r w:rsidR="0078502C">
        <w:t xml:space="preserve"> </w:t>
      </w:r>
      <w:r w:rsidRPr="00B24527">
        <w:t>translation</w:t>
      </w:r>
      <w:r w:rsidR="0078502C">
        <w:t xml:space="preserve"> </w:t>
      </w:r>
      <w:r w:rsidRPr="00B24527">
        <w:t>of</w:t>
      </w:r>
      <w:r w:rsidR="0078502C">
        <w:t xml:space="preserve"> </w:t>
      </w:r>
      <w:r w:rsidRPr="00B24527">
        <w:t>the</w:t>
      </w:r>
      <w:r w:rsidR="0078502C">
        <w:t xml:space="preserve"> </w:t>
      </w:r>
      <w:r w:rsidRPr="00B24527">
        <w:rPr>
          <w:rFonts w:eastAsia="Calibri"/>
        </w:rPr>
        <w:t>Immigration</w:t>
      </w:r>
      <w:r w:rsidR="0078502C">
        <w:rPr>
          <w:rFonts w:eastAsia="Calibri"/>
        </w:rPr>
        <w:t xml:space="preserve"> </w:t>
      </w:r>
      <w:r w:rsidRPr="00B24527">
        <w:rPr>
          <w:rFonts w:eastAsia="Calibri"/>
        </w:rPr>
        <w:t>and</w:t>
      </w:r>
      <w:r w:rsidR="0078502C">
        <w:rPr>
          <w:rFonts w:eastAsia="Calibri"/>
        </w:rPr>
        <w:t xml:space="preserve"> </w:t>
      </w:r>
      <w:r w:rsidRPr="00B24527">
        <w:rPr>
          <w:rFonts w:eastAsia="Calibri"/>
        </w:rPr>
        <w:t>Naturalization</w:t>
      </w:r>
      <w:r w:rsidR="0078502C">
        <w:rPr>
          <w:rFonts w:eastAsia="Calibri"/>
        </w:rPr>
        <w:t xml:space="preserve"> </w:t>
      </w:r>
      <w:r w:rsidRPr="00B24527">
        <w:rPr>
          <w:rFonts w:eastAsia="Calibri"/>
        </w:rPr>
        <w:t>Service</w:t>
      </w:r>
      <w:r w:rsidR="0078502C">
        <w:t xml:space="preserve"> </w:t>
      </w:r>
      <w:r w:rsidRPr="00B24527">
        <w:t>order,</w:t>
      </w:r>
      <w:r w:rsidR="0078502C">
        <w:t xml:space="preserve"> </w:t>
      </w:r>
      <w:r w:rsidRPr="00B24527">
        <w:t>in</w:t>
      </w:r>
      <w:r w:rsidR="0078502C">
        <w:t xml:space="preserve"> </w:t>
      </w:r>
      <w:r w:rsidRPr="00B24527">
        <w:t>which</w:t>
      </w:r>
      <w:r w:rsidR="0078502C">
        <w:t xml:space="preserve"> </w:t>
      </w:r>
      <w:r w:rsidRPr="00B24527">
        <w:t>the</w:t>
      </w:r>
      <w:r w:rsidR="0078502C">
        <w:t xml:space="preserve"> </w:t>
      </w:r>
      <w:r w:rsidRPr="00B24527">
        <w:t>Service</w:t>
      </w:r>
      <w:r w:rsidR="0078502C">
        <w:t xml:space="preserve"> </w:t>
      </w:r>
      <w:r w:rsidRPr="00B24527">
        <w:t>stated</w:t>
      </w:r>
      <w:r w:rsidR="0078502C">
        <w:t xml:space="preserve"> </w:t>
      </w:r>
      <w:r w:rsidRPr="00B24527">
        <w:t>that</w:t>
      </w:r>
      <w:r w:rsidR="0078502C">
        <w:t xml:space="preserve"> </w:t>
      </w:r>
      <w:r w:rsidRPr="00B24527">
        <w:t>the</w:t>
      </w:r>
      <w:r w:rsidR="0078502C">
        <w:t xml:space="preserve"> </w:t>
      </w:r>
      <w:r w:rsidRPr="00B24527">
        <w:t>birth</w:t>
      </w:r>
      <w:r w:rsidR="0078502C">
        <w:t xml:space="preserve"> </w:t>
      </w:r>
      <w:r w:rsidRPr="00B24527">
        <w:t>certificate</w:t>
      </w:r>
      <w:r w:rsidR="0078502C">
        <w:t xml:space="preserve"> </w:t>
      </w:r>
      <w:r w:rsidRPr="00B24527">
        <w:t>was</w:t>
      </w:r>
      <w:r w:rsidR="0078502C">
        <w:t xml:space="preserve"> </w:t>
      </w:r>
      <w:r w:rsidRPr="00B24527">
        <w:t>not</w:t>
      </w:r>
      <w:r w:rsidR="0078502C">
        <w:t xml:space="preserve"> </w:t>
      </w:r>
      <w:r w:rsidRPr="00B24527">
        <w:t>credible</w:t>
      </w:r>
      <w:r w:rsidR="0078502C">
        <w:t xml:space="preserve"> </w:t>
      </w:r>
      <w:r w:rsidRPr="00B24527">
        <w:t>due</w:t>
      </w:r>
      <w:r w:rsidR="0078502C">
        <w:t xml:space="preserve"> </w:t>
      </w:r>
      <w:r w:rsidRPr="00B24527">
        <w:t>to</w:t>
      </w:r>
      <w:r w:rsidR="0078502C">
        <w:t xml:space="preserve"> </w:t>
      </w:r>
      <w:r w:rsidRPr="00B24527">
        <w:t>lack</w:t>
      </w:r>
      <w:r w:rsidR="0078502C">
        <w:t xml:space="preserve"> </w:t>
      </w:r>
      <w:r w:rsidRPr="00B24527">
        <w:t>of</w:t>
      </w:r>
      <w:r w:rsidR="0078502C">
        <w:t xml:space="preserve"> </w:t>
      </w:r>
      <w:r w:rsidRPr="00B24527">
        <w:t>an</w:t>
      </w:r>
      <w:r w:rsidR="0078502C">
        <w:t xml:space="preserve"> </w:t>
      </w:r>
      <w:r w:rsidRPr="00B24527">
        <w:t>attached</w:t>
      </w:r>
      <w:r w:rsidR="0078502C">
        <w:t xml:space="preserve"> </w:t>
      </w:r>
      <w:r w:rsidRPr="00B24527">
        <w:t>passport</w:t>
      </w:r>
      <w:r w:rsidR="0078502C">
        <w:t xml:space="preserve"> </w:t>
      </w:r>
      <w:r w:rsidRPr="00B24527">
        <w:t>photo</w:t>
      </w:r>
      <w:r w:rsidR="0078502C">
        <w:t xml:space="preserve"> </w:t>
      </w:r>
      <w:r w:rsidRPr="00B24527">
        <w:t>and</w:t>
      </w:r>
      <w:r w:rsidR="0078502C">
        <w:t xml:space="preserve"> </w:t>
      </w:r>
      <w:r w:rsidRPr="00B24527">
        <w:t>that</w:t>
      </w:r>
      <w:r w:rsidR="0078502C">
        <w:t xml:space="preserve"> </w:t>
      </w:r>
      <w:r w:rsidRPr="00B24527">
        <w:t>the</w:t>
      </w:r>
      <w:r w:rsidR="0078502C">
        <w:t xml:space="preserve"> </w:t>
      </w:r>
      <w:r w:rsidRPr="00B24527">
        <w:t>author</w:t>
      </w:r>
      <w:r w:rsidR="0012622D" w:rsidRPr="00B24527">
        <w:t>’</w:t>
      </w:r>
      <w:r w:rsidRPr="00B24527">
        <w:t>s</w:t>
      </w:r>
      <w:r w:rsidR="0078502C">
        <w:t xml:space="preserve"> </w:t>
      </w:r>
      <w:r w:rsidRPr="00B24527">
        <w:t>uncertain</w:t>
      </w:r>
      <w:r w:rsidR="0078502C">
        <w:t xml:space="preserve"> </w:t>
      </w:r>
      <w:r w:rsidRPr="00B24527">
        <w:t>identity</w:t>
      </w:r>
      <w:r w:rsidR="0078502C">
        <w:t xml:space="preserve"> </w:t>
      </w:r>
      <w:r w:rsidRPr="00B24527">
        <w:t>was</w:t>
      </w:r>
      <w:r w:rsidR="0078502C">
        <w:t xml:space="preserve"> </w:t>
      </w:r>
      <w:r w:rsidRPr="00B24527">
        <w:t>gravely</w:t>
      </w:r>
      <w:r w:rsidR="0078502C">
        <w:t xml:space="preserve"> </w:t>
      </w:r>
      <w:r w:rsidRPr="00B24527">
        <w:t>detrimental</w:t>
      </w:r>
      <w:r w:rsidR="0078502C">
        <w:t xml:space="preserve"> </w:t>
      </w:r>
      <w:r w:rsidRPr="00B24527">
        <w:t>to</w:t>
      </w:r>
      <w:r w:rsidR="0078502C">
        <w:t xml:space="preserve"> </w:t>
      </w:r>
      <w:r w:rsidRPr="00B24527">
        <w:t>the</w:t>
      </w:r>
      <w:r w:rsidR="0078502C">
        <w:t xml:space="preserve"> </w:t>
      </w:r>
      <w:r w:rsidRPr="00B24527">
        <w:t>rest</w:t>
      </w:r>
      <w:r w:rsidR="0078502C">
        <w:t xml:space="preserve"> </w:t>
      </w:r>
      <w:r w:rsidRPr="00B24527">
        <w:t>of</w:t>
      </w:r>
      <w:r w:rsidR="0078502C">
        <w:t xml:space="preserve"> </w:t>
      </w:r>
      <w:r w:rsidRPr="00B24527">
        <w:t>her</w:t>
      </w:r>
      <w:r w:rsidR="0078502C">
        <w:t xml:space="preserve"> </w:t>
      </w:r>
      <w:r w:rsidRPr="00B24527">
        <w:t>statements.</w:t>
      </w:r>
    </w:p>
  </w:footnote>
  <w:footnote w:id="12">
    <w:p w14:paraId="68467470" w14:textId="0E1AAF76"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The</w:t>
      </w:r>
      <w:r w:rsidR="0078502C">
        <w:t xml:space="preserve"> </w:t>
      </w:r>
      <w:r w:rsidRPr="00B24527">
        <w:t>author</w:t>
      </w:r>
      <w:r w:rsidR="0078502C">
        <w:t xml:space="preserve"> </w:t>
      </w:r>
      <w:r w:rsidRPr="00B24527">
        <w:t>cites</w:t>
      </w:r>
      <w:r w:rsidR="0078502C">
        <w:t xml:space="preserve"> </w:t>
      </w:r>
      <w:r w:rsidRPr="00B24527">
        <w:t>an</w:t>
      </w:r>
      <w:r w:rsidR="0078502C">
        <w:t xml:space="preserve"> </w:t>
      </w:r>
      <w:r w:rsidRPr="00B24527">
        <w:t>article</w:t>
      </w:r>
      <w:r w:rsidR="0078502C">
        <w:t xml:space="preserve"> </w:t>
      </w:r>
      <w:r w:rsidRPr="00B24527">
        <w:t>written</w:t>
      </w:r>
      <w:r w:rsidR="0078502C">
        <w:t xml:space="preserve"> </w:t>
      </w:r>
      <w:r w:rsidRPr="00B24527">
        <w:t>by</w:t>
      </w:r>
      <w:r w:rsidR="0078502C">
        <w:t xml:space="preserve"> </w:t>
      </w:r>
      <w:r w:rsidRPr="00B24527">
        <w:t>a</w:t>
      </w:r>
      <w:r w:rsidR="0078502C">
        <w:t xml:space="preserve"> </w:t>
      </w:r>
      <w:r w:rsidRPr="00B24527">
        <w:t>judge</w:t>
      </w:r>
      <w:r w:rsidR="0078502C">
        <w:t xml:space="preserve"> </w:t>
      </w:r>
      <w:r w:rsidRPr="00B24527">
        <w:t>(name</w:t>
      </w:r>
      <w:r w:rsidR="0078502C">
        <w:t xml:space="preserve"> </w:t>
      </w:r>
      <w:r w:rsidRPr="00B24527">
        <w:t>unspecified)</w:t>
      </w:r>
      <w:r w:rsidR="0078502C">
        <w:t xml:space="preserve"> </w:t>
      </w:r>
      <w:r w:rsidRPr="00B24527">
        <w:t>at</w:t>
      </w:r>
      <w:r w:rsidR="0078502C">
        <w:t xml:space="preserve"> </w:t>
      </w:r>
      <w:r w:rsidRPr="00B24527">
        <w:t>the</w:t>
      </w:r>
      <w:r w:rsidR="0078502C">
        <w:t xml:space="preserve"> </w:t>
      </w:r>
      <w:r w:rsidRPr="00B24527">
        <w:t>Edo</w:t>
      </w:r>
      <w:r w:rsidR="0078502C">
        <w:t xml:space="preserve"> </w:t>
      </w:r>
      <w:r w:rsidRPr="00B24527">
        <w:t>State</w:t>
      </w:r>
      <w:r w:rsidR="0078502C">
        <w:t xml:space="preserve"> </w:t>
      </w:r>
      <w:r w:rsidRPr="00B24527">
        <w:t>Customary</w:t>
      </w:r>
      <w:r w:rsidR="0078502C">
        <w:t xml:space="preserve"> </w:t>
      </w:r>
      <w:r w:rsidRPr="00B24527">
        <w:t>Court</w:t>
      </w:r>
      <w:r w:rsidR="0078502C">
        <w:t xml:space="preserve"> </w:t>
      </w:r>
      <w:r w:rsidRPr="00B24527">
        <w:t>of</w:t>
      </w:r>
      <w:r w:rsidR="0078502C">
        <w:t xml:space="preserve"> </w:t>
      </w:r>
      <w:r w:rsidRPr="00B24527">
        <w:t>Appeal,</w:t>
      </w:r>
      <w:r w:rsidR="0078502C">
        <w:t xml:space="preserve"> </w:t>
      </w:r>
      <w:r w:rsidRPr="00B24527">
        <w:t>entitled</w:t>
      </w:r>
      <w:r w:rsidR="0078502C">
        <w:t xml:space="preserve"> </w:t>
      </w:r>
      <w:r w:rsidR="0012622D" w:rsidRPr="00B24527">
        <w:rPr>
          <w:iCs/>
        </w:rPr>
        <w:t>“</w:t>
      </w:r>
      <w:r w:rsidRPr="00B24527">
        <w:rPr>
          <w:iCs/>
        </w:rPr>
        <w:t>Women</w:t>
      </w:r>
      <w:r w:rsidR="0012622D" w:rsidRPr="00B24527">
        <w:rPr>
          <w:iCs/>
        </w:rPr>
        <w:t>’</w:t>
      </w:r>
      <w:r w:rsidRPr="00B24527">
        <w:rPr>
          <w:iCs/>
        </w:rPr>
        <w:t>s</w:t>
      </w:r>
      <w:r w:rsidR="0078502C">
        <w:rPr>
          <w:iCs/>
        </w:rPr>
        <w:t xml:space="preserve"> </w:t>
      </w:r>
      <w:r w:rsidRPr="00B24527">
        <w:rPr>
          <w:iCs/>
        </w:rPr>
        <w:t>rights</w:t>
      </w:r>
      <w:r w:rsidR="0078502C">
        <w:rPr>
          <w:iCs/>
        </w:rPr>
        <w:t xml:space="preserve"> </w:t>
      </w:r>
      <w:r w:rsidRPr="00B24527">
        <w:rPr>
          <w:iCs/>
        </w:rPr>
        <w:t>and</w:t>
      </w:r>
      <w:r w:rsidR="0078502C">
        <w:rPr>
          <w:iCs/>
        </w:rPr>
        <w:t xml:space="preserve"> </w:t>
      </w:r>
      <w:r w:rsidRPr="00B24527">
        <w:rPr>
          <w:iCs/>
        </w:rPr>
        <w:t>status</w:t>
      </w:r>
      <w:r w:rsidR="0078502C">
        <w:rPr>
          <w:iCs/>
        </w:rPr>
        <w:t xml:space="preserve"> </w:t>
      </w:r>
      <w:r w:rsidRPr="00B24527">
        <w:rPr>
          <w:iCs/>
        </w:rPr>
        <w:t>under</w:t>
      </w:r>
      <w:r w:rsidR="0078502C">
        <w:rPr>
          <w:iCs/>
        </w:rPr>
        <w:t xml:space="preserve"> </w:t>
      </w:r>
      <w:r w:rsidRPr="00B24527">
        <w:rPr>
          <w:iCs/>
        </w:rPr>
        <w:t>Edo</w:t>
      </w:r>
      <w:r w:rsidR="0078502C">
        <w:rPr>
          <w:iCs/>
        </w:rPr>
        <w:t xml:space="preserve"> </w:t>
      </w:r>
      <w:r w:rsidRPr="00B24527">
        <w:rPr>
          <w:iCs/>
        </w:rPr>
        <w:t>native</w:t>
      </w:r>
      <w:r w:rsidR="0078502C">
        <w:rPr>
          <w:iCs/>
        </w:rPr>
        <w:t xml:space="preserve"> </w:t>
      </w:r>
      <w:r w:rsidRPr="00B24527">
        <w:rPr>
          <w:iCs/>
        </w:rPr>
        <w:t>law</w:t>
      </w:r>
      <w:r w:rsidR="0078502C">
        <w:rPr>
          <w:iCs/>
        </w:rPr>
        <w:t xml:space="preserve"> </w:t>
      </w:r>
      <w:r w:rsidRPr="00B24527">
        <w:rPr>
          <w:iCs/>
        </w:rPr>
        <w:t>and</w:t>
      </w:r>
      <w:r w:rsidR="0078502C">
        <w:rPr>
          <w:iCs/>
        </w:rPr>
        <w:t xml:space="preserve"> </w:t>
      </w:r>
      <w:r w:rsidRPr="00B24527">
        <w:rPr>
          <w:iCs/>
        </w:rPr>
        <w:t>custom</w:t>
      </w:r>
      <w:r w:rsidR="0078502C">
        <w:rPr>
          <w:iCs/>
        </w:rPr>
        <w:t xml:space="preserve"> </w:t>
      </w:r>
      <w:r w:rsidRPr="00B24527">
        <w:rPr>
          <w:iCs/>
        </w:rPr>
        <w:t>–</w:t>
      </w:r>
      <w:r w:rsidR="0078502C">
        <w:rPr>
          <w:iCs/>
        </w:rPr>
        <w:t xml:space="preserve"> </w:t>
      </w:r>
      <w:r w:rsidRPr="00B24527">
        <w:rPr>
          <w:iCs/>
        </w:rPr>
        <w:t>myths</w:t>
      </w:r>
      <w:r w:rsidR="0078502C">
        <w:rPr>
          <w:iCs/>
        </w:rPr>
        <w:t xml:space="preserve"> </w:t>
      </w:r>
      <w:r w:rsidRPr="00B24527">
        <w:rPr>
          <w:iCs/>
        </w:rPr>
        <w:t>and</w:t>
      </w:r>
      <w:r w:rsidR="0078502C">
        <w:rPr>
          <w:iCs/>
        </w:rPr>
        <w:t xml:space="preserve"> </w:t>
      </w:r>
      <w:r w:rsidRPr="00B24527">
        <w:rPr>
          <w:iCs/>
        </w:rPr>
        <w:t>realities</w:t>
      </w:r>
      <w:r w:rsidR="0012622D" w:rsidRPr="00B24527">
        <w:rPr>
          <w:iCs/>
        </w:rPr>
        <w:t>”</w:t>
      </w:r>
      <w:r w:rsidRPr="00B24527">
        <w:rPr>
          <w:iCs/>
        </w:rPr>
        <w:t>,</w:t>
      </w:r>
      <w:r w:rsidR="0078502C">
        <w:rPr>
          <w:iCs/>
        </w:rPr>
        <w:t xml:space="preserve"> </w:t>
      </w:r>
      <w:r w:rsidRPr="00B24527">
        <w:rPr>
          <w:iCs/>
        </w:rPr>
        <w:t>in</w:t>
      </w:r>
      <w:r w:rsidR="0078502C">
        <w:rPr>
          <w:iCs/>
        </w:rPr>
        <w:t xml:space="preserve"> </w:t>
      </w:r>
      <w:r w:rsidRPr="00B24527">
        <w:rPr>
          <w:iCs/>
        </w:rPr>
        <w:t>which</w:t>
      </w:r>
      <w:r w:rsidR="0078502C">
        <w:rPr>
          <w:iCs/>
        </w:rPr>
        <w:t xml:space="preserve"> </w:t>
      </w:r>
      <w:r w:rsidRPr="00B24527">
        <w:rPr>
          <w:iCs/>
        </w:rPr>
        <w:t>the</w:t>
      </w:r>
      <w:r w:rsidR="0078502C">
        <w:rPr>
          <w:iCs/>
        </w:rPr>
        <w:t xml:space="preserve"> </w:t>
      </w:r>
      <w:r w:rsidRPr="00B24527">
        <w:rPr>
          <w:iCs/>
        </w:rPr>
        <w:t>author</w:t>
      </w:r>
      <w:r w:rsidR="0078502C">
        <w:rPr>
          <w:iCs/>
        </w:rPr>
        <w:t xml:space="preserve"> </w:t>
      </w:r>
      <w:r w:rsidRPr="00B24527">
        <w:rPr>
          <w:iCs/>
        </w:rPr>
        <w:t>of</w:t>
      </w:r>
      <w:r w:rsidR="0078502C">
        <w:rPr>
          <w:iCs/>
        </w:rPr>
        <w:t xml:space="preserve"> </w:t>
      </w:r>
      <w:r w:rsidRPr="00B24527">
        <w:rPr>
          <w:iCs/>
        </w:rPr>
        <w:t>the</w:t>
      </w:r>
      <w:r w:rsidR="0078502C">
        <w:rPr>
          <w:iCs/>
        </w:rPr>
        <w:t xml:space="preserve"> </w:t>
      </w:r>
      <w:r w:rsidRPr="00B24527">
        <w:rPr>
          <w:iCs/>
        </w:rPr>
        <w:t>article</w:t>
      </w:r>
      <w:r w:rsidR="0078502C">
        <w:rPr>
          <w:iCs/>
        </w:rPr>
        <w:t xml:space="preserve"> </w:t>
      </w:r>
      <w:r w:rsidRPr="00B24527">
        <w:rPr>
          <w:iCs/>
        </w:rPr>
        <w:t>states</w:t>
      </w:r>
      <w:r w:rsidR="0078502C">
        <w:rPr>
          <w:iCs/>
        </w:rPr>
        <w:t xml:space="preserve"> </w:t>
      </w:r>
      <w:r w:rsidRPr="00B24527">
        <w:rPr>
          <w:iCs/>
        </w:rPr>
        <w:t>that</w:t>
      </w:r>
      <w:r w:rsidR="0078502C">
        <w:rPr>
          <w:iCs/>
        </w:rPr>
        <w:t xml:space="preserve"> </w:t>
      </w:r>
      <w:r w:rsidRPr="00B24527">
        <w:rPr>
          <w:iCs/>
        </w:rPr>
        <w:t>the</w:t>
      </w:r>
      <w:r w:rsidR="0078502C">
        <w:rPr>
          <w:iCs/>
        </w:rPr>
        <w:t xml:space="preserve"> </w:t>
      </w:r>
      <w:r w:rsidRPr="00B24527">
        <w:rPr>
          <w:iCs/>
        </w:rPr>
        <w:t>father</w:t>
      </w:r>
      <w:r w:rsidR="0078502C">
        <w:rPr>
          <w:iCs/>
        </w:rPr>
        <w:t xml:space="preserve"> </w:t>
      </w:r>
      <w:r w:rsidRPr="00B24527">
        <w:rPr>
          <w:iCs/>
        </w:rPr>
        <w:t>of</w:t>
      </w:r>
      <w:r w:rsidR="0078502C">
        <w:rPr>
          <w:iCs/>
        </w:rPr>
        <w:t xml:space="preserve"> </w:t>
      </w:r>
      <w:r w:rsidRPr="00B24527">
        <w:rPr>
          <w:iCs/>
        </w:rPr>
        <w:t>adult</w:t>
      </w:r>
      <w:r w:rsidR="0078502C">
        <w:rPr>
          <w:iCs/>
        </w:rPr>
        <w:t xml:space="preserve"> </w:t>
      </w:r>
      <w:r w:rsidRPr="00B24527">
        <w:rPr>
          <w:iCs/>
        </w:rPr>
        <w:t>children</w:t>
      </w:r>
      <w:r w:rsidR="0078502C">
        <w:rPr>
          <w:iCs/>
        </w:rPr>
        <w:t xml:space="preserve"> </w:t>
      </w:r>
      <w:r w:rsidRPr="00B24527">
        <w:rPr>
          <w:iCs/>
        </w:rPr>
        <w:t>always</w:t>
      </w:r>
      <w:r w:rsidR="0078502C">
        <w:rPr>
          <w:iCs/>
        </w:rPr>
        <w:t xml:space="preserve"> </w:t>
      </w:r>
      <w:r w:rsidRPr="00B24527">
        <w:rPr>
          <w:iCs/>
        </w:rPr>
        <w:t>has</w:t>
      </w:r>
      <w:r w:rsidR="0078502C">
        <w:rPr>
          <w:iCs/>
        </w:rPr>
        <w:t xml:space="preserve"> </w:t>
      </w:r>
      <w:r w:rsidRPr="00B24527">
        <w:rPr>
          <w:iCs/>
        </w:rPr>
        <w:t>custody</w:t>
      </w:r>
      <w:r w:rsidR="0078502C">
        <w:rPr>
          <w:iCs/>
        </w:rPr>
        <w:t xml:space="preserve"> </w:t>
      </w:r>
      <w:r w:rsidRPr="00B24527">
        <w:rPr>
          <w:iCs/>
        </w:rPr>
        <w:t>under</w:t>
      </w:r>
      <w:r w:rsidR="0078502C">
        <w:rPr>
          <w:iCs/>
        </w:rPr>
        <w:t xml:space="preserve"> </w:t>
      </w:r>
      <w:r w:rsidRPr="00B24527">
        <w:rPr>
          <w:iCs/>
        </w:rPr>
        <w:t>our</w:t>
      </w:r>
      <w:r w:rsidR="0078502C">
        <w:rPr>
          <w:iCs/>
        </w:rPr>
        <w:t xml:space="preserve"> </w:t>
      </w:r>
      <w:r w:rsidRPr="00B24527">
        <w:rPr>
          <w:iCs/>
        </w:rPr>
        <w:t>customary</w:t>
      </w:r>
      <w:r w:rsidR="0078502C">
        <w:rPr>
          <w:iCs/>
        </w:rPr>
        <w:t xml:space="preserve"> </w:t>
      </w:r>
      <w:r w:rsidRPr="00B24527">
        <w:rPr>
          <w:iCs/>
        </w:rPr>
        <w:t>law.</w:t>
      </w:r>
      <w:r w:rsidR="0078502C">
        <w:rPr>
          <w:iCs/>
        </w:rPr>
        <w:t xml:space="preserve"> </w:t>
      </w:r>
      <w:r w:rsidRPr="00B24527">
        <w:rPr>
          <w:iCs/>
        </w:rPr>
        <w:t>Where</w:t>
      </w:r>
      <w:r w:rsidR="0078502C">
        <w:rPr>
          <w:iCs/>
        </w:rPr>
        <w:t xml:space="preserve"> </w:t>
      </w:r>
      <w:r w:rsidRPr="00B24527">
        <w:rPr>
          <w:iCs/>
        </w:rPr>
        <w:t>the</w:t>
      </w:r>
      <w:r w:rsidR="0078502C">
        <w:rPr>
          <w:iCs/>
        </w:rPr>
        <w:t xml:space="preserve"> </w:t>
      </w:r>
      <w:r w:rsidRPr="00B24527">
        <w:rPr>
          <w:iCs/>
        </w:rPr>
        <w:t>wife</w:t>
      </w:r>
      <w:r w:rsidR="0078502C">
        <w:rPr>
          <w:iCs/>
        </w:rPr>
        <w:t xml:space="preserve"> </w:t>
      </w:r>
      <w:r w:rsidRPr="00B24527">
        <w:rPr>
          <w:iCs/>
        </w:rPr>
        <w:t>is</w:t>
      </w:r>
      <w:r w:rsidR="0078502C">
        <w:rPr>
          <w:iCs/>
        </w:rPr>
        <w:t xml:space="preserve"> </w:t>
      </w:r>
      <w:r w:rsidRPr="00B24527">
        <w:rPr>
          <w:iCs/>
        </w:rPr>
        <w:t>deserted</w:t>
      </w:r>
      <w:r w:rsidR="0078502C">
        <w:rPr>
          <w:iCs/>
        </w:rPr>
        <w:t xml:space="preserve"> </w:t>
      </w:r>
      <w:r w:rsidRPr="00B24527">
        <w:rPr>
          <w:iCs/>
        </w:rPr>
        <w:t>or</w:t>
      </w:r>
      <w:r w:rsidR="0078502C">
        <w:rPr>
          <w:iCs/>
        </w:rPr>
        <w:t xml:space="preserve"> </w:t>
      </w:r>
      <w:r w:rsidRPr="00B24527">
        <w:rPr>
          <w:iCs/>
        </w:rPr>
        <w:t>divorced,</w:t>
      </w:r>
      <w:r w:rsidR="0078502C">
        <w:rPr>
          <w:iCs/>
        </w:rPr>
        <w:t xml:space="preserve"> </w:t>
      </w:r>
      <w:r w:rsidRPr="00B24527">
        <w:rPr>
          <w:iCs/>
        </w:rPr>
        <w:t>custody</w:t>
      </w:r>
      <w:r w:rsidR="0078502C">
        <w:rPr>
          <w:iCs/>
        </w:rPr>
        <w:t xml:space="preserve"> </w:t>
      </w:r>
      <w:r w:rsidRPr="00B24527">
        <w:rPr>
          <w:iCs/>
        </w:rPr>
        <w:t>of</w:t>
      </w:r>
      <w:r w:rsidR="0078502C">
        <w:rPr>
          <w:iCs/>
        </w:rPr>
        <w:t xml:space="preserve"> </w:t>
      </w:r>
      <w:r w:rsidRPr="00B24527">
        <w:rPr>
          <w:iCs/>
        </w:rPr>
        <w:t>the</w:t>
      </w:r>
      <w:r w:rsidR="0078502C">
        <w:rPr>
          <w:iCs/>
        </w:rPr>
        <w:t xml:space="preserve"> </w:t>
      </w:r>
      <w:r w:rsidRPr="00B24527">
        <w:rPr>
          <w:iCs/>
        </w:rPr>
        <w:t>children</w:t>
      </w:r>
      <w:r w:rsidR="0078502C">
        <w:rPr>
          <w:iCs/>
        </w:rPr>
        <w:t xml:space="preserve"> </w:t>
      </w:r>
      <w:r w:rsidRPr="00B24527">
        <w:rPr>
          <w:iCs/>
        </w:rPr>
        <w:t>remains</w:t>
      </w:r>
      <w:r w:rsidR="0078502C">
        <w:rPr>
          <w:iCs/>
        </w:rPr>
        <w:t xml:space="preserve"> </w:t>
      </w:r>
      <w:r w:rsidRPr="00B24527">
        <w:rPr>
          <w:iCs/>
        </w:rPr>
        <w:t>with</w:t>
      </w:r>
      <w:r w:rsidR="0078502C">
        <w:rPr>
          <w:iCs/>
        </w:rPr>
        <w:t xml:space="preserve"> </w:t>
      </w:r>
      <w:r w:rsidRPr="00B24527">
        <w:rPr>
          <w:iCs/>
        </w:rPr>
        <w:t>the</w:t>
      </w:r>
      <w:r w:rsidR="0078502C">
        <w:rPr>
          <w:iCs/>
        </w:rPr>
        <w:t xml:space="preserve"> </w:t>
      </w:r>
      <w:r w:rsidRPr="00B24527">
        <w:rPr>
          <w:iCs/>
        </w:rPr>
        <w:t>husband.</w:t>
      </w:r>
    </w:p>
  </w:footnote>
  <w:footnote w:id="13">
    <w:p w14:paraId="71EDCF24" w14:textId="76F42B95"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The</w:t>
      </w:r>
      <w:r w:rsidR="0078502C">
        <w:t xml:space="preserve"> </w:t>
      </w:r>
      <w:r w:rsidRPr="00B24527">
        <w:t>author</w:t>
      </w:r>
      <w:r w:rsidR="0078502C">
        <w:t xml:space="preserve"> </w:t>
      </w:r>
      <w:r w:rsidRPr="00B24527">
        <w:t>submits</w:t>
      </w:r>
      <w:r w:rsidR="0078502C">
        <w:t xml:space="preserve"> </w:t>
      </w:r>
      <w:r w:rsidRPr="00B24527">
        <w:t>a</w:t>
      </w:r>
      <w:r w:rsidR="0078502C">
        <w:t xml:space="preserve"> </w:t>
      </w:r>
      <w:r w:rsidRPr="00B24527">
        <w:t>judgment</w:t>
      </w:r>
      <w:r w:rsidR="0078502C">
        <w:t xml:space="preserve"> </w:t>
      </w:r>
      <w:r w:rsidRPr="00B24527">
        <w:t>from</w:t>
      </w:r>
      <w:r w:rsidR="0078502C">
        <w:t xml:space="preserve"> </w:t>
      </w:r>
      <w:r w:rsidRPr="00B24527">
        <w:t>The</w:t>
      </w:r>
      <w:r w:rsidR="0078502C">
        <w:t xml:space="preserve"> </w:t>
      </w:r>
      <w:r w:rsidRPr="00B24527">
        <w:t>Hague</w:t>
      </w:r>
      <w:r w:rsidR="0078502C">
        <w:t xml:space="preserve"> </w:t>
      </w:r>
      <w:r w:rsidRPr="00B24527">
        <w:t>District</w:t>
      </w:r>
      <w:r w:rsidR="0078502C">
        <w:t xml:space="preserve"> </w:t>
      </w:r>
      <w:r w:rsidRPr="00B24527">
        <w:t>Court</w:t>
      </w:r>
      <w:r w:rsidR="0078502C">
        <w:t xml:space="preserve"> </w:t>
      </w:r>
      <w:r w:rsidRPr="00B24527">
        <w:t>sitting</w:t>
      </w:r>
      <w:r w:rsidR="0078502C">
        <w:t xml:space="preserve"> </w:t>
      </w:r>
      <w:r w:rsidRPr="00B24527">
        <w:t>in</w:t>
      </w:r>
      <w:r w:rsidR="0078502C">
        <w:t xml:space="preserve"> </w:t>
      </w:r>
      <w:r w:rsidRPr="00B24527">
        <w:t>Utrecht,</w:t>
      </w:r>
      <w:r w:rsidR="0078502C">
        <w:t xml:space="preserve"> </w:t>
      </w:r>
      <w:r w:rsidRPr="00B24527">
        <w:t>dated</w:t>
      </w:r>
      <w:r w:rsidR="0078502C">
        <w:t xml:space="preserve"> </w:t>
      </w:r>
      <w:r w:rsidRPr="00B24527">
        <w:t>22</w:t>
      </w:r>
      <w:r w:rsidR="0078502C">
        <w:t xml:space="preserve"> </w:t>
      </w:r>
      <w:r w:rsidRPr="00B24527">
        <w:t>October</w:t>
      </w:r>
      <w:r w:rsidR="0078502C">
        <w:t xml:space="preserve"> </w:t>
      </w:r>
      <w:r w:rsidRPr="00B24527">
        <w:t>2015,</w:t>
      </w:r>
      <w:r w:rsidR="0078502C">
        <w:t xml:space="preserve"> </w:t>
      </w:r>
      <w:r w:rsidRPr="00B24527">
        <w:t>which</w:t>
      </w:r>
      <w:r w:rsidR="0078502C">
        <w:t xml:space="preserve"> </w:t>
      </w:r>
      <w:r w:rsidRPr="00B24527">
        <w:t>does</w:t>
      </w:r>
      <w:r w:rsidR="0078502C">
        <w:t xml:space="preserve"> </w:t>
      </w:r>
      <w:r w:rsidRPr="00B24527">
        <w:t>not</w:t>
      </w:r>
      <w:r w:rsidR="0078502C">
        <w:t xml:space="preserve"> </w:t>
      </w:r>
      <w:r w:rsidRPr="00B24527">
        <w:t>correspond</w:t>
      </w:r>
      <w:r w:rsidR="0078502C">
        <w:t xml:space="preserve"> </w:t>
      </w:r>
      <w:r w:rsidRPr="00B24527">
        <w:t>to</w:t>
      </w:r>
      <w:r w:rsidR="0078502C">
        <w:t xml:space="preserve"> </w:t>
      </w:r>
      <w:r w:rsidRPr="00B24527">
        <w:t>her</w:t>
      </w:r>
      <w:r w:rsidR="0078502C">
        <w:t xml:space="preserve"> </w:t>
      </w:r>
      <w:r w:rsidRPr="00B24527">
        <w:t>timeline</w:t>
      </w:r>
      <w:r w:rsidR="0078502C">
        <w:t xml:space="preserve"> </w:t>
      </w:r>
      <w:r w:rsidRPr="00B24527">
        <w:t>of</w:t>
      </w:r>
      <w:r w:rsidR="0078502C">
        <w:t xml:space="preserve"> </w:t>
      </w:r>
      <w:r w:rsidRPr="00B24527">
        <w:t>the</w:t>
      </w:r>
      <w:r w:rsidR="0078502C">
        <w:t xml:space="preserve"> </w:t>
      </w:r>
      <w:r w:rsidRPr="00B24527">
        <w:t>court</w:t>
      </w:r>
      <w:r w:rsidR="0078502C">
        <w:t xml:space="preserve"> </w:t>
      </w:r>
      <w:r w:rsidRPr="00B24527">
        <w:t>proceedings.</w:t>
      </w:r>
      <w:r w:rsidR="0078502C">
        <w:t xml:space="preserve"> </w:t>
      </w:r>
      <w:r w:rsidRPr="00B24527">
        <w:t>In</w:t>
      </w:r>
      <w:r w:rsidR="0078502C">
        <w:t xml:space="preserve"> </w:t>
      </w:r>
      <w:r w:rsidRPr="00B24527">
        <w:t>the</w:t>
      </w:r>
      <w:r w:rsidR="0078502C">
        <w:t xml:space="preserve"> </w:t>
      </w:r>
      <w:r w:rsidRPr="00B24527">
        <w:t>judgment,</w:t>
      </w:r>
      <w:r w:rsidR="0078502C">
        <w:t xml:space="preserve"> </w:t>
      </w:r>
      <w:r w:rsidRPr="00B24527">
        <w:t>the</w:t>
      </w:r>
      <w:r w:rsidR="0078502C">
        <w:t xml:space="preserve"> </w:t>
      </w:r>
      <w:r w:rsidRPr="00B24527">
        <w:t>Court</w:t>
      </w:r>
      <w:r w:rsidR="0078502C">
        <w:t xml:space="preserve"> </w:t>
      </w:r>
      <w:r w:rsidRPr="00B24527">
        <w:t>concluded</w:t>
      </w:r>
      <w:r w:rsidR="0078502C">
        <w:t xml:space="preserve"> </w:t>
      </w:r>
      <w:r w:rsidRPr="00B24527">
        <w:t>that</w:t>
      </w:r>
      <w:r w:rsidR="0078502C">
        <w:t xml:space="preserve"> </w:t>
      </w:r>
      <w:r w:rsidRPr="00B24527">
        <w:t>the</w:t>
      </w:r>
      <w:r w:rsidR="0078502C">
        <w:t xml:space="preserve"> </w:t>
      </w:r>
      <w:r w:rsidRPr="00B24527">
        <w:t>author</w:t>
      </w:r>
      <w:r w:rsidR="0078502C">
        <w:t xml:space="preserve"> </w:t>
      </w:r>
      <w:r w:rsidRPr="00B24527">
        <w:t>had</w:t>
      </w:r>
      <w:r w:rsidR="0078502C">
        <w:t xml:space="preserve"> </w:t>
      </w:r>
      <w:r w:rsidRPr="00B24527">
        <w:t>not</w:t>
      </w:r>
      <w:r w:rsidR="0078502C">
        <w:t xml:space="preserve"> </w:t>
      </w:r>
      <w:r w:rsidRPr="00B24527">
        <w:t>been</w:t>
      </w:r>
      <w:r w:rsidR="0078502C">
        <w:t xml:space="preserve"> </w:t>
      </w:r>
      <w:r w:rsidRPr="00B24527">
        <w:t>asked</w:t>
      </w:r>
      <w:r w:rsidR="0078502C">
        <w:t xml:space="preserve"> </w:t>
      </w:r>
      <w:r w:rsidRPr="00B24527">
        <w:t>sufficient</w:t>
      </w:r>
      <w:r w:rsidR="0078502C">
        <w:t xml:space="preserve"> </w:t>
      </w:r>
      <w:r w:rsidRPr="00B24527">
        <w:t>questions</w:t>
      </w:r>
      <w:r w:rsidR="0078502C">
        <w:t xml:space="preserve"> </w:t>
      </w:r>
      <w:r w:rsidRPr="00B24527">
        <w:t>in</w:t>
      </w:r>
      <w:r w:rsidR="0078502C">
        <w:t xml:space="preserve"> </w:t>
      </w:r>
      <w:r w:rsidRPr="00B24527">
        <w:t>the</w:t>
      </w:r>
      <w:r w:rsidR="0078502C">
        <w:t xml:space="preserve"> </w:t>
      </w:r>
      <w:r w:rsidRPr="00B24527">
        <w:t>initial</w:t>
      </w:r>
      <w:r w:rsidR="0078502C">
        <w:t xml:space="preserve"> </w:t>
      </w:r>
      <w:r w:rsidRPr="00B24527">
        <w:t>asylum</w:t>
      </w:r>
      <w:r w:rsidR="0078502C">
        <w:t xml:space="preserve"> </w:t>
      </w:r>
      <w:r w:rsidRPr="00B24527">
        <w:t>and</w:t>
      </w:r>
      <w:r w:rsidR="0078502C">
        <w:t xml:space="preserve"> </w:t>
      </w:r>
      <w:r w:rsidRPr="00B24527">
        <w:t>court</w:t>
      </w:r>
      <w:r w:rsidR="0078502C">
        <w:t xml:space="preserve"> </w:t>
      </w:r>
      <w:r w:rsidRPr="00B24527">
        <w:t>proceedings</w:t>
      </w:r>
      <w:r w:rsidR="0078502C">
        <w:t xml:space="preserve"> </w:t>
      </w:r>
      <w:r w:rsidRPr="00B24527">
        <w:t>to</w:t>
      </w:r>
      <w:r w:rsidR="0078502C">
        <w:t xml:space="preserve"> </w:t>
      </w:r>
      <w:r w:rsidRPr="00B24527">
        <w:t>determine</w:t>
      </w:r>
      <w:r w:rsidR="0078502C">
        <w:t xml:space="preserve"> </w:t>
      </w:r>
      <w:r w:rsidRPr="00B24527">
        <w:t>the</w:t>
      </w:r>
      <w:r w:rsidR="0078502C">
        <w:t xml:space="preserve"> </w:t>
      </w:r>
      <w:r w:rsidRPr="00B24527">
        <w:t>credibility</w:t>
      </w:r>
      <w:r w:rsidR="0078502C">
        <w:t xml:space="preserve"> </w:t>
      </w:r>
      <w:r w:rsidRPr="00B24527">
        <w:t>of</w:t>
      </w:r>
      <w:r w:rsidR="0078502C">
        <w:t xml:space="preserve"> </w:t>
      </w:r>
      <w:r w:rsidRPr="00B24527">
        <w:t>her</w:t>
      </w:r>
      <w:r w:rsidR="0078502C">
        <w:t xml:space="preserve"> </w:t>
      </w:r>
      <w:r w:rsidRPr="00B24527">
        <w:t>marriage.</w:t>
      </w:r>
      <w:r w:rsidR="0078502C">
        <w:t xml:space="preserve"> </w:t>
      </w:r>
      <w:r w:rsidRPr="00B24527">
        <w:t>However,</w:t>
      </w:r>
      <w:r w:rsidR="0078502C">
        <w:t xml:space="preserve"> </w:t>
      </w:r>
      <w:r w:rsidRPr="00B24527">
        <w:t>it</w:t>
      </w:r>
      <w:r w:rsidR="0078502C">
        <w:t xml:space="preserve"> </w:t>
      </w:r>
      <w:r w:rsidRPr="00B24527">
        <w:t>found</w:t>
      </w:r>
      <w:r w:rsidR="0078502C">
        <w:t xml:space="preserve"> </w:t>
      </w:r>
      <w:r w:rsidRPr="00B24527">
        <w:t>that</w:t>
      </w:r>
      <w:r w:rsidR="0078502C">
        <w:t xml:space="preserve"> </w:t>
      </w:r>
      <w:r w:rsidRPr="00B24527">
        <w:t>the</w:t>
      </w:r>
      <w:r w:rsidR="0078502C">
        <w:t xml:space="preserve"> </w:t>
      </w:r>
      <w:r w:rsidRPr="00B24527">
        <w:t>author</w:t>
      </w:r>
      <w:r w:rsidR="0078502C">
        <w:t xml:space="preserve"> </w:t>
      </w:r>
      <w:r w:rsidRPr="00B24527">
        <w:t>did</w:t>
      </w:r>
      <w:r w:rsidR="0078502C">
        <w:t xml:space="preserve"> </w:t>
      </w:r>
      <w:r w:rsidRPr="00B24527">
        <w:t>not</w:t>
      </w:r>
      <w:r w:rsidR="0078502C">
        <w:t xml:space="preserve"> </w:t>
      </w:r>
      <w:r w:rsidRPr="00B24527">
        <w:t>substantiate</w:t>
      </w:r>
      <w:r w:rsidR="0078502C">
        <w:t xml:space="preserve"> </w:t>
      </w:r>
      <w:r w:rsidRPr="00B24527">
        <w:t>why</w:t>
      </w:r>
      <w:r w:rsidR="0078502C">
        <w:t xml:space="preserve"> </w:t>
      </w:r>
      <w:r w:rsidRPr="00B24527">
        <w:t>she</w:t>
      </w:r>
      <w:r w:rsidR="0078502C">
        <w:t xml:space="preserve"> </w:t>
      </w:r>
      <w:r w:rsidRPr="00B24527">
        <w:t>could</w:t>
      </w:r>
      <w:r w:rsidR="0078502C">
        <w:t xml:space="preserve"> </w:t>
      </w:r>
      <w:r w:rsidRPr="00B24527">
        <w:t>not</w:t>
      </w:r>
      <w:r w:rsidR="0078502C">
        <w:t xml:space="preserve"> </w:t>
      </w:r>
      <w:r w:rsidRPr="00B24527">
        <w:t>seek</w:t>
      </w:r>
      <w:r w:rsidR="0078502C">
        <w:t xml:space="preserve"> </w:t>
      </w:r>
      <w:r w:rsidRPr="00B24527">
        <w:t>an</w:t>
      </w:r>
      <w:r w:rsidR="0078502C">
        <w:t xml:space="preserve"> </w:t>
      </w:r>
      <w:r w:rsidRPr="00B24527">
        <w:t>internal</w:t>
      </w:r>
      <w:r w:rsidR="0078502C">
        <w:t xml:space="preserve"> </w:t>
      </w:r>
      <w:r w:rsidRPr="00B24527">
        <w:t>flight</w:t>
      </w:r>
      <w:r w:rsidR="0078502C">
        <w:t xml:space="preserve"> </w:t>
      </w:r>
      <w:r w:rsidRPr="00B24527">
        <w:t>alternative.</w:t>
      </w:r>
    </w:p>
  </w:footnote>
  <w:footnote w:id="14">
    <w:p w14:paraId="4B308BD8" w14:textId="53951934"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The</w:t>
      </w:r>
      <w:r w:rsidR="0078502C">
        <w:t xml:space="preserve"> </w:t>
      </w:r>
      <w:r w:rsidRPr="00B24527">
        <w:t>author</w:t>
      </w:r>
      <w:r w:rsidR="0078502C">
        <w:t xml:space="preserve"> </w:t>
      </w:r>
      <w:r w:rsidRPr="00B24527">
        <w:t>provides</w:t>
      </w:r>
      <w:r w:rsidR="0078502C">
        <w:t xml:space="preserve"> </w:t>
      </w:r>
      <w:r w:rsidRPr="00B24527">
        <w:t>the</w:t>
      </w:r>
      <w:r w:rsidR="0078502C">
        <w:t xml:space="preserve"> </w:t>
      </w:r>
      <w:r w:rsidRPr="00B24527">
        <w:t>decision</w:t>
      </w:r>
      <w:r w:rsidR="0078502C">
        <w:t xml:space="preserve"> </w:t>
      </w:r>
      <w:r w:rsidRPr="00B24527">
        <w:t>of</w:t>
      </w:r>
      <w:r w:rsidR="0078502C">
        <w:t xml:space="preserve"> </w:t>
      </w:r>
      <w:r w:rsidRPr="00B24527">
        <w:t>the</w:t>
      </w:r>
      <w:r w:rsidR="0078502C">
        <w:t xml:space="preserve"> </w:t>
      </w:r>
      <w:r w:rsidRPr="00B24527">
        <w:t>Council</w:t>
      </w:r>
      <w:r w:rsidR="0078502C">
        <w:t xml:space="preserve"> </w:t>
      </w:r>
      <w:r w:rsidRPr="00B24527">
        <w:t>of</w:t>
      </w:r>
      <w:r w:rsidR="0078502C">
        <w:t xml:space="preserve"> </w:t>
      </w:r>
      <w:r w:rsidRPr="00B24527">
        <w:t>State,</w:t>
      </w:r>
      <w:r w:rsidR="0078502C">
        <w:t xml:space="preserve"> </w:t>
      </w:r>
      <w:r w:rsidRPr="00B24527">
        <w:t>which</w:t>
      </w:r>
      <w:r w:rsidR="0078502C">
        <w:t xml:space="preserve"> </w:t>
      </w:r>
      <w:r w:rsidRPr="00B24527">
        <w:t>does</w:t>
      </w:r>
      <w:r w:rsidR="0078502C">
        <w:t xml:space="preserve"> </w:t>
      </w:r>
      <w:r w:rsidRPr="00B24527">
        <w:t>not</w:t>
      </w:r>
      <w:r w:rsidR="0078502C">
        <w:t xml:space="preserve"> </w:t>
      </w:r>
      <w:r w:rsidRPr="00B24527">
        <w:t>contain</w:t>
      </w:r>
      <w:r w:rsidR="0078502C">
        <w:t xml:space="preserve"> </w:t>
      </w:r>
      <w:r w:rsidRPr="00B24527">
        <w:t>a</w:t>
      </w:r>
      <w:r w:rsidR="0078502C">
        <w:t xml:space="preserve"> </w:t>
      </w:r>
      <w:r w:rsidRPr="00B24527">
        <w:t>reasoning</w:t>
      </w:r>
      <w:r w:rsidR="0078502C">
        <w:t xml:space="preserve"> </w:t>
      </w:r>
      <w:r w:rsidRPr="00B24527">
        <w:t>of</w:t>
      </w:r>
      <w:r w:rsidR="0078502C">
        <w:t xml:space="preserve"> </w:t>
      </w:r>
      <w:r w:rsidRPr="00B24527">
        <w:t>its</w:t>
      </w:r>
      <w:r w:rsidR="0078502C">
        <w:t xml:space="preserve"> </w:t>
      </w:r>
      <w:r w:rsidRPr="00B24527">
        <w:t>decision.</w:t>
      </w:r>
    </w:p>
  </w:footnote>
  <w:footnote w:id="15">
    <w:p w14:paraId="2071A960" w14:textId="5AD3311A" w:rsidR="009C1FB8" w:rsidRPr="00C80194" w:rsidRDefault="009C1FB8" w:rsidP="009C1FB8">
      <w:pPr>
        <w:pStyle w:val="FootnoteText"/>
      </w:pPr>
      <w:r w:rsidRPr="00B24527">
        <w:tab/>
      </w:r>
      <w:r w:rsidRPr="00B24527">
        <w:rPr>
          <w:rStyle w:val="FootnoteReference"/>
        </w:rPr>
        <w:footnoteRef/>
      </w:r>
      <w:r w:rsidRPr="00C80194">
        <w:rPr>
          <w:rStyle w:val="FootnoteReference"/>
        </w:rPr>
        <w:tab/>
      </w:r>
      <w:r w:rsidRPr="00C80194">
        <w:t>See</w:t>
      </w:r>
      <w:r w:rsidR="0078502C" w:rsidRPr="00C80194">
        <w:t xml:space="preserve"> </w:t>
      </w:r>
      <w:r w:rsidRPr="00C80194">
        <w:rPr>
          <w:i/>
          <w:szCs w:val="18"/>
        </w:rPr>
        <w:t>Kaba</w:t>
      </w:r>
      <w:r w:rsidR="0078502C" w:rsidRPr="00C80194">
        <w:rPr>
          <w:i/>
          <w:szCs w:val="18"/>
        </w:rPr>
        <w:t xml:space="preserve"> </w:t>
      </w:r>
      <w:r w:rsidRPr="00C80194">
        <w:rPr>
          <w:i/>
          <w:szCs w:val="18"/>
        </w:rPr>
        <w:t>and</w:t>
      </w:r>
      <w:r w:rsidR="0078502C" w:rsidRPr="00C80194">
        <w:rPr>
          <w:i/>
          <w:szCs w:val="18"/>
        </w:rPr>
        <w:t xml:space="preserve"> </w:t>
      </w:r>
      <w:r w:rsidRPr="00C80194">
        <w:rPr>
          <w:i/>
          <w:szCs w:val="18"/>
        </w:rPr>
        <w:t>Kaba</w:t>
      </w:r>
      <w:r w:rsidR="0078502C" w:rsidRPr="00C80194">
        <w:rPr>
          <w:i/>
          <w:szCs w:val="18"/>
        </w:rPr>
        <w:t xml:space="preserve"> </w:t>
      </w:r>
      <w:r w:rsidRPr="00C80194">
        <w:rPr>
          <w:i/>
          <w:szCs w:val="18"/>
        </w:rPr>
        <w:t>v.</w:t>
      </w:r>
      <w:r w:rsidR="0078502C" w:rsidRPr="00C80194">
        <w:rPr>
          <w:i/>
          <w:szCs w:val="18"/>
        </w:rPr>
        <w:t xml:space="preserve"> </w:t>
      </w:r>
      <w:r w:rsidRPr="00C80194">
        <w:rPr>
          <w:i/>
          <w:szCs w:val="18"/>
        </w:rPr>
        <w:t>Canada</w:t>
      </w:r>
      <w:r w:rsidR="0078502C" w:rsidRPr="00C80194">
        <w:rPr>
          <w:i/>
          <w:szCs w:val="18"/>
        </w:rPr>
        <w:t xml:space="preserve"> </w:t>
      </w:r>
      <w:r w:rsidRPr="00C80194">
        <w:rPr>
          <w:szCs w:val="18"/>
        </w:rPr>
        <w:t>(</w:t>
      </w:r>
      <w:hyperlink r:id="rId1" w:history="1">
        <w:r w:rsidRPr="00C80194">
          <w:rPr>
            <w:rStyle w:val="Hyperlink"/>
            <w:szCs w:val="18"/>
            <w:u w:val="none"/>
          </w:rPr>
          <w:t>CCPR/C/98/D/1465/2006</w:t>
        </w:r>
      </w:hyperlink>
      <w:r w:rsidRPr="00C80194">
        <w:rPr>
          <w:szCs w:val="18"/>
        </w:rPr>
        <w:t>).</w:t>
      </w:r>
    </w:p>
  </w:footnote>
  <w:footnote w:id="16">
    <w:p w14:paraId="437B7B6D" w14:textId="77777777" w:rsidR="009C1FB8" w:rsidRPr="00C80194" w:rsidRDefault="009C1FB8" w:rsidP="009C1FB8">
      <w:pPr>
        <w:pStyle w:val="FootnoteText"/>
        <w:rPr>
          <w:szCs w:val="18"/>
        </w:rPr>
      </w:pPr>
      <w:r w:rsidRPr="00C80194">
        <w:rPr>
          <w:szCs w:val="18"/>
        </w:rPr>
        <w:tab/>
      </w:r>
      <w:r w:rsidRPr="00B24527">
        <w:rPr>
          <w:rStyle w:val="FootnoteReference"/>
        </w:rPr>
        <w:footnoteRef/>
      </w:r>
      <w:r w:rsidRPr="00C80194">
        <w:rPr>
          <w:rStyle w:val="FootnoteReference"/>
        </w:rPr>
        <w:tab/>
      </w:r>
      <w:r w:rsidRPr="00C80194">
        <w:rPr>
          <w:iCs/>
          <w:szCs w:val="18"/>
        </w:rPr>
        <w:t>Ibid.</w:t>
      </w:r>
    </w:p>
  </w:footnote>
  <w:footnote w:id="17">
    <w:p w14:paraId="733ADD3C" w14:textId="226E6D32" w:rsidR="009C1FB8" w:rsidRPr="00B24527" w:rsidRDefault="009C1FB8" w:rsidP="009C1FB8">
      <w:pPr>
        <w:pStyle w:val="FootnoteText"/>
      </w:pPr>
      <w:r w:rsidRPr="00C80194">
        <w:tab/>
      </w:r>
      <w:r w:rsidRPr="00B24527">
        <w:rPr>
          <w:rStyle w:val="FootnoteReference"/>
        </w:rPr>
        <w:footnoteRef/>
      </w:r>
      <w:r w:rsidRPr="00B24527">
        <w:rPr>
          <w:rStyle w:val="FootnoteReference"/>
        </w:rPr>
        <w:tab/>
      </w:r>
      <w:r w:rsidRPr="00B24527">
        <w:t>The</w:t>
      </w:r>
      <w:r w:rsidR="0078502C">
        <w:t xml:space="preserve"> </w:t>
      </w:r>
      <w:r w:rsidRPr="00B24527">
        <w:t>author</w:t>
      </w:r>
      <w:r w:rsidR="0078502C">
        <w:t xml:space="preserve"> </w:t>
      </w:r>
      <w:r w:rsidRPr="00B24527">
        <w:t>submits</w:t>
      </w:r>
      <w:r w:rsidR="0078502C">
        <w:t xml:space="preserve"> </w:t>
      </w:r>
      <w:r w:rsidRPr="00B24527">
        <w:t>several</w:t>
      </w:r>
      <w:r w:rsidR="0078502C">
        <w:t xml:space="preserve"> </w:t>
      </w:r>
      <w:r w:rsidRPr="00B24527">
        <w:t>reports</w:t>
      </w:r>
      <w:r w:rsidR="0078502C">
        <w:t xml:space="preserve"> </w:t>
      </w:r>
      <w:r w:rsidRPr="00B24527">
        <w:t>indicating</w:t>
      </w:r>
      <w:r w:rsidR="0078502C">
        <w:t xml:space="preserve"> </w:t>
      </w:r>
      <w:r w:rsidRPr="00B24527">
        <w:t>the</w:t>
      </w:r>
      <w:r w:rsidR="0078502C">
        <w:t xml:space="preserve"> </w:t>
      </w:r>
      <w:r w:rsidRPr="00B24527">
        <w:t>prevalence</w:t>
      </w:r>
      <w:r w:rsidR="0078502C">
        <w:t xml:space="preserve"> </w:t>
      </w:r>
      <w:r w:rsidRPr="00B24527">
        <w:t>of</w:t>
      </w:r>
      <w:r w:rsidR="0078502C">
        <w:t xml:space="preserve"> </w:t>
      </w:r>
      <w:r w:rsidRPr="00B24527">
        <w:t>female</w:t>
      </w:r>
      <w:r w:rsidR="0078502C">
        <w:t xml:space="preserve"> </w:t>
      </w:r>
      <w:r w:rsidRPr="00B24527">
        <w:t>genital</w:t>
      </w:r>
      <w:r w:rsidR="0078502C">
        <w:t xml:space="preserve"> </w:t>
      </w:r>
      <w:r w:rsidRPr="00B24527">
        <w:t>mutilation</w:t>
      </w:r>
      <w:r w:rsidR="0078502C">
        <w:t xml:space="preserve"> </w:t>
      </w:r>
      <w:r w:rsidRPr="00B24527">
        <w:t>in</w:t>
      </w:r>
      <w:r w:rsidR="0078502C">
        <w:t xml:space="preserve"> </w:t>
      </w:r>
      <w:r w:rsidRPr="00B24527">
        <w:t>Nigeria,</w:t>
      </w:r>
      <w:r w:rsidR="0078502C">
        <w:t xml:space="preserve"> </w:t>
      </w:r>
      <w:r w:rsidRPr="00B24527">
        <w:t>including</w:t>
      </w:r>
      <w:r w:rsidR="0078502C">
        <w:t xml:space="preserve"> </w:t>
      </w:r>
      <w:r w:rsidRPr="00B24527">
        <w:t>the</w:t>
      </w:r>
      <w:r w:rsidR="0078502C">
        <w:t xml:space="preserve"> </w:t>
      </w:r>
      <w:r w:rsidRPr="00B24527">
        <w:t>following:</w:t>
      </w:r>
      <w:r w:rsidR="0078502C">
        <w:t xml:space="preserve"> </w:t>
      </w:r>
      <w:r w:rsidRPr="00B24527">
        <w:t>Department</w:t>
      </w:r>
      <w:r w:rsidR="0078502C">
        <w:t xml:space="preserve"> </w:t>
      </w:r>
      <w:r w:rsidRPr="00B24527">
        <w:t>of</w:t>
      </w:r>
      <w:r w:rsidR="0078502C">
        <w:t xml:space="preserve"> </w:t>
      </w:r>
      <w:r w:rsidRPr="00B24527">
        <w:t>State</w:t>
      </w:r>
      <w:r w:rsidR="0078502C">
        <w:t xml:space="preserve"> </w:t>
      </w:r>
      <w:r w:rsidRPr="00B24527">
        <w:t>of</w:t>
      </w:r>
      <w:r w:rsidR="0078502C">
        <w:t xml:space="preserve"> </w:t>
      </w:r>
      <w:r w:rsidRPr="00B24527">
        <w:t>the</w:t>
      </w:r>
      <w:r w:rsidR="0078502C">
        <w:t xml:space="preserve"> </w:t>
      </w:r>
      <w:r w:rsidRPr="00B24527">
        <w:t>United</w:t>
      </w:r>
      <w:r w:rsidR="0078502C">
        <w:t xml:space="preserve"> </w:t>
      </w:r>
      <w:r w:rsidRPr="00B24527">
        <w:t>States</w:t>
      </w:r>
      <w:r w:rsidR="0078502C">
        <w:t xml:space="preserve"> </w:t>
      </w:r>
      <w:r w:rsidRPr="00B24527">
        <w:t>of</w:t>
      </w:r>
      <w:r w:rsidR="0078502C">
        <w:t xml:space="preserve"> </w:t>
      </w:r>
      <w:r w:rsidRPr="00B24527">
        <w:t>America,</w:t>
      </w:r>
      <w:r w:rsidR="0078502C">
        <w:t xml:space="preserve"> </w:t>
      </w:r>
      <w:r w:rsidR="0012622D" w:rsidRPr="00B24527">
        <w:t>“</w:t>
      </w:r>
      <w:r w:rsidRPr="00B24527">
        <w:t>Country</w:t>
      </w:r>
      <w:r w:rsidR="0078502C">
        <w:t xml:space="preserve"> </w:t>
      </w:r>
      <w:r w:rsidRPr="00B24527">
        <w:t>report</w:t>
      </w:r>
      <w:r w:rsidR="0078502C">
        <w:t xml:space="preserve"> </w:t>
      </w:r>
      <w:r w:rsidRPr="00B24527">
        <w:t>on</w:t>
      </w:r>
      <w:r w:rsidR="0078502C">
        <w:t xml:space="preserve"> </w:t>
      </w:r>
      <w:r w:rsidRPr="00B24527">
        <w:t>human</w:t>
      </w:r>
      <w:r w:rsidR="0078502C">
        <w:t xml:space="preserve"> </w:t>
      </w:r>
      <w:r w:rsidRPr="00B24527">
        <w:t>rights</w:t>
      </w:r>
      <w:r w:rsidR="0012622D" w:rsidRPr="00B24527">
        <w:t>”</w:t>
      </w:r>
      <w:r w:rsidRPr="00B24527">
        <w:t>,</w:t>
      </w:r>
      <w:r w:rsidR="0078502C">
        <w:t xml:space="preserve"> </w:t>
      </w:r>
      <w:r w:rsidRPr="00B24527">
        <w:t>25</w:t>
      </w:r>
      <w:r w:rsidR="0078502C">
        <w:t xml:space="preserve"> </w:t>
      </w:r>
      <w:r w:rsidRPr="00B24527">
        <w:t>June</w:t>
      </w:r>
      <w:r w:rsidR="0078502C">
        <w:t xml:space="preserve"> </w:t>
      </w:r>
      <w:r w:rsidRPr="00B24527">
        <w:t>2015;</w:t>
      </w:r>
      <w:r w:rsidR="0078502C">
        <w:t xml:space="preserve"> </w:t>
      </w:r>
      <w:r w:rsidRPr="00B24527">
        <w:t>National</w:t>
      </w:r>
      <w:r w:rsidR="0078502C">
        <w:t xml:space="preserve"> </w:t>
      </w:r>
      <w:r w:rsidRPr="00B24527">
        <w:t>Bureau</w:t>
      </w:r>
      <w:r w:rsidR="0078502C">
        <w:t xml:space="preserve"> </w:t>
      </w:r>
      <w:r w:rsidRPr="00B24527">
        <w:t>of</w:t>
      </w:r>
      <w:r w:rsidR="0078502C">
        <w:t xml:space="preserve"> </w:t>
      </w:r>
      <w:r w:rsidRPr="00B24527">
        <w:t>the</w:t>
      </w:r>
      <w:r w:rsidR="0078502C">
        <w:t xml:space="preserve"> </w:t>
      </w:r>
      <w:r w:rsidRPr="00B24527">
        <w:t>Netherlands,</w:t>
      </w:r>
      <w:r w:rsidR="0078502C">
        <w:t xml:space="preserve"> </w:t>
      </w:r>
      <w:r w:rsidR="0012622D" w:rsidRPr="00B24527">
        <w:t>“</w:t>
      </w:r>
      <w:r w:rsidRPr="00B24527">
        <w:t>Prevalence</w:t>
      </w:r>
      <w:r w:rsidR="0078502C">
        <w:t xml:space="preserve"> </w:t>
      </w:r>
      <w:r w:rsidRPr="00B24527">
        <w:t>of</w:t>
      </w:r>
      <w:r w:rsidR="0078502C">
        <w:t xml:space="preserve"> </w:t>
      </w:r>
      <w:r w:rsidRPr="00B24527">
        <w:t>female</w:t>
      </w:r>
      <w:r w:rsidR="0078502C">
        <w:t xml:space="preserve"> </w:t>
      </w:r>
      <w:r w:rsidRPr="00B24527">
        <w:t>circumcision</w:t>
      </w:r>
      <w:r w:rsidR="0012622D" w:rsidRPr="00B24527">
        <w:t>”</w:t>
      </w:r>
      <w:r w:rsidRPr="00B24527">
        <w:t>;</w:t>
      </w:r>
      <w:r w:rsidR="0078502C">
        <w:t xml:space="preserve"> </w:t>
      </w:r>
      <w:r w:rsidRPr="00B24527">
        <w:t>Home</w:t>
      </w:r>
      <w:r w:rsidR="0078502C">
        <w:t xml:space="preserve"> </w:t>
      </w:r>
      <w:r w:rsidRPr="00B24527">
        <w:t>Office</w:t>
      </w:r>
      <w:r w:rsidR="0078502C">
        <w:t xml:space="preserve"> </w:t>
      </w:r>
      <w:r w:rsidRPr="00B24527">
        <w:t>of</w:t>
      </w:r>
      <w:r w:rsidR="0078502C">
        <w:t xml:space="preserve"> </w:t>
      </w:r>
      <w:r w:rsidRPr="00B24527">
        <w:t>the</w:t>
      </w:r>
      <w:r w:rsidR="0078502C">
        <w:t xml:space="preserve"> </w:t>
      </w:r>
      <w:r w:rsidRPr="00B24527">
        <w:t>United</w:t>
      </w:r>
      <w:r w:rsidR="0078502C">
        <w:t xml:space="preserve"> </w:t>
      </w:r>
      <w:r w:rsidRPr="00B24527">
        <w:t>Kingdom</w:t>
      </w:r>
      <w:r w:rsidR="0078502C">
        <w:t xml:space="preserve"> </w:t>
      </w:r>
      <w:r w:rsidRPr="00B24527">
        <w:t>of</w:t>
      </w:r>
      <w:r w:rsidR="0078502C">
        <w:t xml:space="preserve"> </w:t>
      </w:r>
      <w:r w:rsidRPr="00B24527">
        <w:t>Great</w:t>
      </w:r>
      <w:r w:rsidR="0078502C">
        <w:t xml:space="preserve"> </w:t>
      </w:r>
      <w:r w:rsidRPr="00B24527">
        <w:t>Britain</w:t>
      </w:r>
      <w:r w:rsidR="0078502C">
        <w:t xml:space="preserve"> </w:t>
      </w:r>
      <w:r w:rsidRPr="00B24527">
        <w:t>and</w:t>
      </w:r>
      <w:r w:rsidR="0078502C">
        <w:t xml:space="preserve"> </w:t>
      </w:r>
      <w:r w:rsidRPr="00B24527">
        <w:t>Northern</w:t>
      </w:r>
      <w:r w:rsidR="0078502C">
        <w:t xml:space="preserve"> </w:t>
      </w:r>
      <w:r w:rsidRPr="00B24527">
        <w:t>Ireland,</w:t>
      </w:r>
      <w:r w:rsidR="0078502C">
        <w:t xml:space="preserve"> </w:t>
      </w:r>
      <w:r w:rsidR="0012622D" w:rsidRPr="00B24527">
        <w:t>“</w:t>
      </w:r>
      <w:r w:rsidRPr="00B24527">
        <w:t>Operational</w:t>
      </w:r>
      <w:r w:rsidR="0078502C">
        <w:t xml:space="preserve"> </w:t>
      </w:r>
      <w:r w:rsidRPr="00B24527">
        <w:t>guidance</w:t>
      </w:r>
      <w:r w:rsidR="0078502C">
        <w:t xml:space="preserve"> </w:t>
      </w:r>
      <w:r w:rsidRPr="00B24527">
        <w:t>note:</w:t>
      </w:r>
      <w:r w:rsidR="0078502C">
        <w:t xml:space="preserve"> </w:t>
      </w:r>
      <w:r w:rsidRPr="00B24527">
        <w:t>Nigeria</w:t>
      </w:r>
      <w:r w:rsidR="0012622D" w:rsidRPr="00B24527">
        <w:t>”</w:t>
      </w:r>
      <w:r w:rsidRPr="00B24527">
        <w:t>,</w:t>
      </w:r>
      <w:r w:rsidR="0078502C">
        <w:t xml:space="preserve"> </w:t>
      </w:r>
      <w:r w:rsidRPr="00B24527">
        <w:t>10</w:t>
      </w:r>
      <w:r w:rsidR="0078502C">
        <w:t xml:space="preserve"> </w:t>
      </w:r>
      <w:r w:rsidRPr="00B24527">
        <w:t>December</w:t>
      </w:r>
      <w:r w:rsidR="0078502C">
        <w:t xml:space="preserve"> </w:t>
      </w:r>
      <w:r w:rsidRPr="00B24527">
        <w:t>2013;</w:t>
      </w:r>
      <w:r w:rsidR="0078502C">
        <w:t xml:space="preserve"> </w:t>
      </w:r>
      <w:r w:rsidRPr="00B24527">
        <w:t>and</w:t>
      </w:r>
      <w:r w:rsidR="0078502C">
        <w:t xml:space="preserve"> </w:t>
      </w:r>
      <w:r w:rsidRPr="00B24527">
        <w:t>European</w:t>
      </w:r>
      <w:r w:rsidR="0078502C">
        <w:t xml:space="preserve"> </w:t>
      </w:r>
      <w:r w:rsidRPr="00B24527">
        <w:t>Asylum</w:t>
      </w:r>
      <w:r w:rsidR="0078502C">
        <w:t xml:space="preserve"> </w:t>
      </w:r>
      <w:r w:rsidRPr="00B24527">
        <w:t>Support</w:t>
      </w:r>
      <w:r w:rsidR="0078502C">
        <w:t xml:space="preserve"> </w:t>
      </w:r>
      <w:r w:rsidRPr="00B24527">
        <w:t>Office,</w:t>
      </w:r>
      <w:r w:rsidR="0078502C">
        <w:t xml:space="preserve"> </w:t>
      </w:r>
      <w:r w:rsidR="0012622D" w:rsidRPr="00B24527">
        <w:t>“</w:t>
      </w:r>
      <w:r w:rsidRPr="00B24527">
        <w:t>Country</w:t>
      </w:r>
      <w:r w:rsidR="0078502C">
        <w:t xml:space="preserve"> </w:t>
      </w:r>
      <w:r w:rsidRPr="00B24527">
        <w:t>of</w:t>
      </w:r>
      <w:r w:rsidR="0078502C">
        <w:t xml:space="preserve"> </w:t>
      </w:r>
      <w:r w:rsidRPr="00B24527">
        <w:t>origin</w:t>
      </w:r>
      <w:r w:rsidR="0078502C">
        <w:t xml:space="preserve"> </w:t>
      </w:r>
      <w:r w:rsidRPr="00B24527">
        <w:t>information</w:t>
      </w:r>
      <w:r w:rsidR="0078502C">
        <w:t xml:space="preserve"> </w:t>
      </w:r>
      <w:r w:rsidRPr="00B24527">
        <w:t>report</w:t>
      </w:r>
      <w:r w:rsidR="0078502C">
        <w:t xml:space="preserve"> </w:t>
      </w:r>
      <w:r w:rsidRPr="00B24527">
        <w:t>on</w:t>
      </w:r>
      <w:r w:rsidR="0078502C">
        <w:t xml:space="preserve"> </w:t>
      </w:r>
      <w:r w:rsidRPr="00B24527">
        <w:t>Nigeria:</w:t>
      </w:r>
      <w:r w:rsidR="0078502C">
        <w:t xml:space="preserve"> </w:t>
      </w:r>
      <w:r w:rsidRPr="00B24527">
        <w:t>sex</w:t>
      </w:r>
      <w:r w:rsidR="0078502C">
        <w:t xml:space="preserve"> </w:t>
      </w:r>
      <w:r w:rsidRPr="00B24527">
        <w:t>trafficking</w:t>
      </w:r>
      <w:r w:rsidR="0078502C">
        <w:t xml:space="preserve"> </w:t>
      </w:r>
      <w:r w:rsidRPr="00B24527">
        <w:t>of</w:t>
      </w:r>
      <w:r w:rsidR="0078502C">
        <w:t xml:space="preserve"> </w:t>
      </w:r>
      <w:r w:rsidRPr="00B24527">
        <w:t>women</w:t>
      </w:r>
      <w:r w:rsidR="0012622D" w:rsidRPr="00B24527">
        <w:t>”</w:t>
      </w:r>
      <w:r w:rsidRPr="00B24527">
        <w:t>.</w:t>
      </w:r>
    </w:p>
  </w:footnote>
  <w:footnote w:id="18">
    <w:p w14:paraId="3446426E" w14:textId="6181DAA6"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rPr>
          <w:i/>
          <w:iCs/>
        </w:rPr>
        <w:t>Kitok</w:t>
      </w:r>
      <w:r w:rsidR="0078502C">
        <w:rPr>
          <w:i/>
          <w:iCs/>
        </w:rPr>
        <w:t xml:space="preserve"> </w:t>
      </w:r>
      <w:r w:rsidRPr="00B24527">
        <w:rPr>
          <w:i/>
          <w:iCs/>
        </w:rPr>
        <w:t>v.</w:t>
      </w:r>
      <w:r w:rsidR="0078502C">
        <w:rPr>
          <w:i/>
          <w:iCs/>
        </w:rPr>
        <w:t xml:space="preserve"> </w:t>
      </w:r>
      <w:r w:rsidRPr="00B24527">
        <w:rPr>
          <w:i/>
          <w:iCs/>
        </w:rPr>
        <w:t>Sweden</w:t>
      </w:r>
      <w:r w:rsidRPr="00B24527">
        <w:t>,</w:t>
      </w:r>
      <w:r w:rsidR="0078502C">
        <w:t xml:space="preserve"> </w:t>
      </w:r>
      <w:r w:rsidRPr="00B24527">
        <w:t>communication</w:t>
      </w:r>
      <w:r w:rsidR="0078502C">
        <w:t xml:space="preserve"> </w:t>
      </w:r>
      <w:r w:rsidRPr="00B24527">
        <w:t>No.</w:t>
      </w:r>
      <w:r w:rsidR="0078502C">
        <w:t xml:space="preserve"> </w:t>
      </w:r>
      <w:r w:rsidRPr="00B24527">
        <w:t>197/1985,</w:t>
      </w:r>
      <w:r w:rsidR="0078502C">
        <w:t xml:space="preserve"> </w:t>
      </w:r>
      <w:r w:rsidRPr="00B24527">
        <w:t>Views</w:t>
      </w:r>
      <w:r w:rsidR="0078502C">
        <w:t xml:space="preserve"> </w:t>
      </w:r>
      <w:r w:rsidRPr="00B24527">
        <w:t>of</w:t>
      </w:r>
      <w:r w:rsidR="0078502C">
        <w:t xml:space="preserve"> </w:t>
      </w:r>
      <w:r w:rsidRPr="00B24527">
        <w:t>27</w:t>
      </w:r>
      <w:r w:rsidR="0078502C">
        <w:t xml:space="preserve"> </w:t>
      </w:r>
      <w:r w:rsidRPr="00B24527">
        <w:t>July</w:t>
      </w:r>
      <w:r w:rsidR="0078502C">
        <w:t xml:space="preserve"> </w:t>
      </w:r>
      <w:r w:rsidRPr="00B24527">
        <w:t>1988.</w:t>
      </w:r>
    </w:p>
  </w:footnote>
  <w:footnote w:id="19">
    <w:p w14:paraId="066F44B7" w14:textId="78889F9E"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Corresponding</w:t>
      </w:r>
      <w:r w:rsidR="0078502C">
        <w:t xml:space="preserve"> </w:t>
      </w:r>
      <w:r w:rsidRPr="00B24527">
        <w:t>to</w:t>
      </w:r>
      <w:r w:rsidR="0078502C">
        <w:t xml:space="preserve"> </w:t>
      </w:r>
      <w:r w:rsidRPr="00B24527">
        <w:t>article</w:t>
      </w:r>
      <w:r w:rsidR="0078502C">
        <w:t xml:space="preserve"> </w:t>
      </w:r>
      <w:r w:rsidRPr="00B24527">
        <w:t>3</w:t>
      </w:r>
      <w:r w:rsidR="0078502C">
        <w:t xml:space="preserve"> </w:t>
      </w:r>
      <w:r w:rsidRPr="00B24527">
        <w:t>of</w:t>
      </w:r>
      <w:r w:rsidR="0078502C">
        <w:t xml:space="preserve"> </w:t>
      </w:r>
      <w:r w:rsidRPr="00B24527">
        <w:t>the</w:t>
      </w:r>
      <w:r w:rsidR="0078502C">
        <w:t xml:space="preserve"> </w:t>
      </w:r>
      <w:r w:rsidRPr="00B24527">
        <w:t>Convention</w:t>
      </w:r>
      <w:r w:rsidR="0078502C">
        <w:t xml:space="preserve"> </w:t>
      </w:r>
      <w:r w:rsidRPr="00B24527">
        <w:t>for</w:t>
      </w:r>
      <w:r w:rsidR="0078502C">
        <w:t xml:space="preserve"> </w:t>
      </w:r>
      <w:r w:rsidRPr="00B24527">
        <w:t>the</w:t>
      </w:r>
      <w:r w:rsidR="0078502C">
        <w:t xml:space="preserve"> </w:t>
      </w:r>
      <w:r w:rsidRPr="00B24527">
        <w:t>Protection</w:t>
      </w:r>
      <w:r w:rsidR="0078502C">
        <w:t xml:space="preserve"> </w:t>
      </w:r>
      <w:r w:rsidRPr="00B24527">
        <w:t>of</w:t>
      </w:r>
      <w:r w:rsidR="0078502C">
        <w:t xml:space="preserve"> </w:t>
      </w:r>
      <w:r w:rsidRPr="00B24527">
        <w:t>Human</w:t>
      </w:r>
      <w:r w:rsidR="0078502C">
        <w:t xml:space="preserve"> </w:t>
      </w:r>
      <w:r w:rsidRPr="00B24527">
        <w:t>Rights</w:t>
      </w:r>
      <w:r w:rsidR="0078502C">
        <w:t xml:space="preserve"> </w:t>
      </w:r>
      <w:r w:rsidRPr="00B24527">
        <w:t>and</w:t>
      </w:r>
      <w:r w:rsidR="0078502C">
        <w:t xml:space="preserve"> </w:t>
      </w:r>
      <w:r w:rsidRPr="00B24527">
        <w:t>Fundamental</w:t>
      </w:r>
      <w:r w:rsidR="0078502C">
        <w:t xml:space="preserve"> </w:t>
      </w:r>
      <w:r w:rsidRPr="00B24527">
        <w:t>Freedoms.</w:t>
      </w:r>
      <w:r w:rsidR="0078502C">
        <w:t xml:space="preserve"> </w:t>
      </w:r>
      <w:r w:rsidRPr="00B24527">
        <w:t>See</w:t>
      </w:r>
      <w:r w:rsidR="0078502C">
        <w:t xml:space="preserve"> </w:t>
      </w:r>
      <w:r w:rsidRPr="00B24527">
        <w:t>in</w:t>
      </w:r>
      <w:r w:rsidR="0078502C">
        <w:t xml:space="preserve"> </w:t>
      </w:r>
      <w:r w:rsidRPr="00B24527">
        <w:t>that</w:t>
      </w:r>
      <w:r w:rsidR="0078502C">
        <w:t xml:space="preserve"> </w:t>
      </w:r>
      <w:r w:rsidRPr="00B24527">
        <w:t>context,</w:t>
      </w:r>
      <w:r w:rsidR="0078502C">
        <w:t xml:space="preserve"> </w:t>
      </w:r>
      <w:r w:rsidRPr="00B24527">
        <w:t>European</w:t>
      </w:r>
      <w:r w:rsidR="0078502C">
        <w:t xml:space="preserve"> </w:t>
      </w:r>
      <w:r w:rsidRPr="00B24527">
        <w:t>Court</w:t>
      </w:r>
      <w:r w:rsidR="0078502C">
        <w:t xml:space="preserve"> </w:t>
      </w:r>
      <w:r w:rsidRPr="00B24527">
        <w:t>of</w:t>
      </w:r>
      <w:r w:rsidR="0078502C">
        <w:t xml:space="preserve"> </w:t>
      </w:r>
      <w:r w:rsidRPr="00B24527">
        <w:t>Human</w:t>
      </w:r>
      <w:r w:rsidR="0078502C">
        <w:t xml:space="preserve"> </w:t>
      </w:r>
      <w:r w:rsidRPr="00B24527">
        <w:t>Rights,</w:t>
      </w:r>
      <w:r w:rsidR="0078502C">
        <w:t xml:space="preserve"> </w:t>
      </w:r>
      <w:r w:rsidRPr="00B24527">
        <w:rPr>
          <w:i/>
          <w:iCs/>
        </w:rPr>
        <w:t>Collins</w:t>
      </w:r>
      <w:r w:rsidR="0078502C">
        <w:rPr>
          <w:i/>
          <w:iCs/>
        </w:rPr>
        <w:t xml:space="preserve"> </w:t>
      </w:r>
      <w:r w:rsidRPr="00B24527">
        <w:rPr>
          <w:i/>
          <w:iCs/>
        </w:rPr>
        <w:t>and</w:t>
      </w:r>
      <w:r w:rsidR="0078502C">
        <w:rPr>
          <w:i/>
          <w:iCs/>
        </w:rPr>
        <w:t xml:space="preserve"> </w:t>
      </w:r>
      <w:r w:rsidRPr="00B24527">
        <w:rPr>
          <w:i/>
          <w:iCs/>
        </w:rPr>
        <w:t>Akaziebie</w:t>
      </w:r>
      <w:r w:rsidR="0078502C">
        <w:rPr>
          <w:i/>
          <w:iCs/>
        </w:rPr>
        <w:t xml:space="preserve"> </w:t>
      </w:r>
      <w:r w:rsidRPr="00B24527">
        <w:rPr>
          <w:i/>
          <w:iCs/>
        </w:rPr>
        <w:t>v.</w:t>
      </w:r>
      <w:r w:rsidR="0078502C">
        <w:rPr>
          <w:i/>
          <w:iCs/>
        </w:rPr>
        <w:t xml:space="preserve"> </w:t>
      </w:r>
      <w:r w:rsidRPr="00B24527">
        <w:rPr>
          <w:i/>
          <w:iCs/>
        </w:rPr>
        <w:t>Sweden</w:t>
      </w:r>
      <w:r w:rsidRPr="00B24527">
        <w:t>,</w:t>
      </w:r>
      <w:r w:rsidR="0078502C">
        <w:t xml:space="preserve"> </w:t>
      </w:r>
      <w:r w:rsidRPr="00B24527">
        <w:t>application</w:t>
      </w:r>
      <w:r w:rsidR="0078502C">
        <w:t xml:space="preserve"> </w:t>
      </w:r>
      <w:r w:rsidRPr="00B24527">
        <w:t>No.</w:t>
      </w:r>
      <w:r w:rsidR="0078502C">
        <w:t xml:space="preserve"> </w:t>
      </w:r>
      <w:r w:rsidRPr="00B24527">
        <w:t>23944/05,</w:t>
      </w:r>
      <w:r w:rsidR="0078502C">
        <w:t xml:space="preserve"> </w:t>
      </w:r>
      <w:r w:rsidRPr="00B24527">
        <w:t>decision</w:t>
      </w:r>
      <w:r w:rsidR="0078502C">
        <w:t xml:space="preserve"> </w:t>
      </w:r>
      <w:r w:rsidRPr="00B24527">
        <w:t>of</w:t>
      </w:r>
      <w:r w:rsidR="0078502C">
        <w:t xml:space="preserve"> </w:t>
      </w:r>
      <w:r w:rsidRPr="00B24527">
        <w:t>8</w:t>
      </w:r>
      <w:r w:rsidR="0078502C">
        <w:t xml:space="preserve"> </w:t>
      </w:r>
      <w:r w:rsidRPr="00B24527">
        <w:t>March</w:t>
      </w:r>
      <w:r w:rsidR="0078502C">
        <w:t xml:space="preserve"> </w:t>
      </w:r>
      <w:r w:rsidRPr="00B24527">
        <w:t>2007;</w:t>
      </w:r>
      <w:r w:rsidR="0078502C">
        <w:t xml:space="preserve"> </w:t>
      </w:r>
      <w:r w:rsidRPr="00B24527">
        <w:t>and</w:t>
      </w:r>
      <w:r w:rsidR="0078502C">
        <w:t xml:space="preserve"> </w:t>
      </w:r>
      <w:r w:rsidRPr="00B24527">
        <w:rPr>
          <w:i/>
          <w:iCs/>
        </w:rPr>
        <w:t>Izevbekhai</w:t>
      </w:r>
      <w:r w:rsidR="0078502C">
        <w:rPr>
          <w:i/>
          <w:iCs/>
        </w:rPr>
        <w:t xml:space="preserve"> </w:t>
      </w:r>
      <w:r w:rsidRPr="00B24527">
        <w:rPr>
          <w:i/>
          <w:iCs/>
        </w:rPr>
        <w:t>and</w:t>
      </w:r>
      <w:r w:rsidR="0078502C">
        <w:rPr>
          <w:i/>
          <w:iCs/>
        </w:rPr>
        <w:t xml:space="preserve"> </w:t>
      </w:r>
      <w:r w:rsidRPr="00B24527">
        <w:rPr>
          <w:i/>
          <w:iCs/>
        </w:rPr>
        <w:t>others</w:t>
      </w:r>
      <w:r w:rsidR="0078502C">
        <w:rPr>
          <w:i/>
          <w:iCs/>
        </w:rPr>
        <w:t xml:space="preserve"> </w:t>
      </w:r>
      <w:r w:rsidRPr="00B24527">
        <w:rPr>
          <w:i/>
          <w:iCs/>
        </w:rPr>
        <w:t>v.</w:t>
      </w:r>
      <w:r w:rsidR="0078502C">
        <w:rPr>
          <w:i/>
          <w:iCs/>
        </w:rPr>
        <w:t xml:space="preserve"> </w:t>
      </w:r>
      <w:r w:rsidRPr="00B24527">
        <w:rPr>
          <w:i/>
          <w:iCs/>
        </w:rPr>
        <w:t>Ireland</w:t>
      </w:r>
      <w:r w:rsidRPr="00B24527">
        <w:t>,</w:t>
      </w:r>
      <w:r w:rsidR="0078502C">
        <w:t xml:space="preserve"> </w:t>
      </w:r>
      <w:r w:rsidRPr="00B24527">
        <w:t>application</w:t>
      </w:r>
      <w:r w:rsidR="0078502C">
        <w:rPr>
          <w:i/>
          <w:iCs/>
        </w:rPr>
        <w:t xml:space="preserve"> </w:t>
      </w:r>
      <w:r w:rsidRPr="00B24527">
        <w:t>No.</w:t>
      </w:r>
      <w:r w:rsidR="0078502C">
        <w:t xml:space="preserve"> </w:t>
      </w:r>
      <w:r w:rsidRPr="00B24527">
        <w:t>43408/08,</w:t>
      </w:r>
      <w:r w:rsidR="0078502C">
        <w:t xml:space="preserve"> </w:t>
      </w:r>
      <w:r w:rsidRPr="00B24527">
        <w:t>decision</w:t>
      </w:r>
      <w:r w:rsidR="0078502C">
        <w:t xml:space="preserve"> </w:t>
      </w:r>
      <w:r w:rsidRPr="00B24527">
        <w:t>of</w:t>
      </w:r>
      <w:r w:rsidR="0078502C">
        <w:t xml:space="preserve"> </w:t>
      </w:r>
      <w:r w:rsidRPr="00B24527">
        <w:t>17</w:t>
      </w:r>
      <w:r w:rsidR="0078502C">
        <w:t xml:space="preserve"> </w:t>
      </w:r>
      <w:r w:rsidRPr="00B24527">
        <w:t>May</w:t>
      </w:r>
      <w:r w:rsidR="0078502C">
        <w:t xml:space="preserve"> </w:t>
      </w:r>
      <w:r w:rsidRPr="00B24527">
        <w:t>2011.</w:t>
      </w:r>
    </w:p>
  </w:footnote>
  <w:footnote w:id="20">
    <w:p w14:paraId="75ABD048" w14:textId="7D6AB468"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There</w:t>
      </w:r>
      <w:r w:rsidR="0078502C">
        <w:t xml:space="preserve"> </w:t>
      </w:r>
      <w:r w:rsidRPr="00B24527">
        <w:t>is</w:t>
      </w:r>
      <w:r w:rsidR="0078502C">
        <w:t xml:space="preserve"> </w:t>
      </w:r>
      <w:r w:rsidRPr="00B24527">
        <w:t>no</w:t>
      </w:r>
      <w:r w:rsidR="0078502C">
        <w:t xml:space="preserve"> </w:t>
      </w:r>
      <w:r w:rsidRPr="00B24527">
        <w:t>indication</w:t>
      </w:r>
      <w:r w:rsidR="0078502C">
        <w:t xml:space="preserve"> </w:t>
      </w:r>
      <w:r w:rsidRPr="00B24527">
        <w:t>in</w:t>
      </w:r>
      <w:r w:rsidR="0078502C">
        <w:t xml:space="preserve"> </w:t>
      </w:r>
      <w:r w:rsidRPr="00B24527">
        <w:t>the</w:t>
      </w:r>
      <w:r w:rsidR="0078502C">
        <w:t xml:space="preserve"> </w:t>
      </w:r>
      <w:r w:rsidRPr="00B24527">
        <w:t>submissions</w:t>
      </w:r>
      <w:r w:rsidR="0078502C">
        <w:t xml:space="preserve"> </w:t>
      </w:r>
      <w:r w:rsidRPr="00B24527">
        <w:t>of</w:t>
      </w:r>
      <w:r w:rsidR="0078502C">
        <w:t xml:space="preserve"> </w:t>
      </w:r>
      <w:r w:rsidRPr="00B24527">
        <w:t>why</w:t>
      </w:r>
      <w:r w:rsidR="0078502C">
        <w:t xml:space="preserve"> </w:t>
      </w:r>
      <w:r w:rsidRPr="00B24527">
        <w:t>the</w:t>
      </w:r>
      <w:r w:rsidR="0078502C">
        <w:t xml:space="preserve"> </w:t>
      </w:r>
      <w:r w:rsidRPr="00B24527">
        <w:rPr>
          <w:rFonts w:eastAsia="Calibri"/>
        </w:rPr>
        <w:t>Immigration</w:t>
      </w:r>
      <w:r w:rsidR="0078502C">
        <w:rPr>
          <w:rFonts w:eastAsia="Calibri"/>
        </w:rPr>
        <w:t xml:space="preserve"> </w:t>
      </w:r>
      <w:r w:rsidRPr="00B24527">
        <w:rPr>
          <w:rFonts w:eastAsia="Calibri"/>
        </w:rPr>
        <w:t>and</w:t>
      </w:r>
      <w:r w:rsidR="0078502C">
        <w:rPr>
          <w:rFonts w:eastAsia="Calibri"/>
        </w:rPr>
        <w:t xml:space="preserve"> </w:t>
      </w:r>
      <w:r w:rsidRPr="00B24527">
        <w:rPr>
          <w:rFonts w:eastAsia="Calibri"/>
        </w:rPr>
        <w:t>Naturalization</w:t>
      </w:r>
      <w:r w:rsidR="0078502C">
        <w:rPr>
          <w:rFonts w:eastAsia="Calibri"/>
        </w:rPr>
        <w:t xml:space="preserve"> </w:t>
      </w:r>
      <w:r w:rsidRPr="00B24527">
        <w:rPr>
          <w:rFonts w:eastAsia="Calibri"/>
        </w:rPr>
        <w:t>Service</w:t>
      </w:r>
      <w:r w:rsidR="0078502C">
        <w:t xml:space="preserve"> </w:t>
      </w:r>
      <w:r w:rsidRPr="00B24527">
        <w:t>authorities</w:t>
      </w:r>
      <w:r w:rsidR="0078502C">
        <w:t xml:space="preserve"> </w:t>
      </w:r>
      <w:r w:rsidRPr="00B24527">
        <w:t>did</w:t>
      </w:r>
      <w:r w:rsidR="0078502C">
        <w:t xml:space="preserve"> </w:t>
      </w:r>
      <w:r w:rsidRPr="00B24527">
        <w:t>not</w:t>
      </w:r>
      <w:r w:rsidR="0078502C">
        <w:t xml:space="preserve"> </w:t>
      </w:r>
      <w:r w:rsidRPr="00B24527">
        <w:t>find</w:t>
      </w:r>
      <w:r w:rsidR="0078502C">
        <w:t xml:space="preserve"> </w:t>
      </w:r>
      <w:r w:rsidRPr="00B24527">
        <w:t>the</w:t>
      </w:r>
      <w:r w:rsidR="0078502C">
        <w:t xml:space="preserve"> </w:t>
      </w:r>
      <w:r w:rsidRPr="00B24527">
        <w:t>author</w:t>
      </w:r>
      <w:r w:rsidR="0012622D" w:rsidRPr="00B24527">
        <w:t>’</w:t>
      </w:r>
      <w:r w:rsidRPr="00B24527">
        <w:t>s</w:t>
      </w:r>
      <w:r w:rsidR="0078502C">
        <w:t xml:space="preserve"> </w:t>
      </w:r>
      <w:r w:rsidRPr="00B24527">
        <w:t>marriage</w:t>
      </w:r>
      <w:r w:rsidR="0078502C">
        <w:t xml:space="preserve"> </w:t>
      </w:r>
      <w:r w:rsidRPr="00B24527">
        <w:t>to</w:t>
      </w:r>
      <w:r w:rsidR="0078502C">
        <w:t xml:space="preserve"> </w:t>
      </w:r>
      <w:r w:rsidRPr="00B24527">
        <w:t>be</w:t>
      </w:r>
      <w:r w:rsidR="0078502C">
        <w:t xml:space="preserve"> </w:t>
      </w:r>
      <w:r w:rsidRPr="00B24527">
        <w:t>credible.</w:t>
      </w:r>
    </w:p>
  </w:footnote>
  <w:footnote w:id="21">
    <w:p w14:paraId="5B625603" w14:textId="2B41F77E"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According</w:t>
      </w:r>
      <w:r w:rsidR="0078502C">
        <w:t xml:space="preserve"> </w:t>
      </w:r>
      <w:r w:rsidRPr="00B24527">
        <w:t>to</w:t>
      </w:r>
      <w:r w:rsidR="0078502C">
        <w:t xml:space="preserve"> </w:t>
      </w:r>
      <w:r w:rsidRPr="00B24527">
        <w:t>a</w:t>
      </w:r>
      <w:r w:rsidR="0078502C">
        <w:t xml:space="preserve"> </w:t>
      </w:r>
      <w:r w:rsidRPr="00B24527">
        <w:t>World</w:t>
      </w:r>
      <w:r w:rsidR="0078502C">
        <w:t xml:space="preserve"> </w:t>
      </w:r>
      <w:r w:rsidRPr="00B24527">
        <w:t>Health</w:t>
      </w:r>
      <w:r w:rsidR="0078502C">
        <w:t xml:space="preserve"> </w:t>
      </w:r>
      <w:r w:rsidRPr="00B24527">
        <w:t>Organization</w:t>
      </w:r>
      <w:r w:rsidR="0078502C">
        <w:t xml:space="preserve"> </w:t>
      </w:r>
      <w:r w:rsidRPr="00B24527">
        <w:t>study</w:t>
      </w:r>
      <w:r w:rsidR="0078502C">
        <w:t xml:space="preserve"> </w:t>
      </w:r>
      <w:r w:rsidRPr="00B24527">
        <w:t>conducted</w:t>
      </w:r>
      <w:r w:rsidR="0078502C">
        <w:t xml:space="preserve"> </w:t>
      </w:r>
      <w:r w:rsidRPr="00B24527">
        <w:t>in</w:t>
      </w:r>
      <w:r w:rsidR="0078502C">
        <w:t xml:space="preserve"> </w:t>
      </w:r>
      <w:r w:rsidRPr="00B24527">
        <w:t>2008,</w:t>
      </w:r>
      <w:r w:rsidR="0078502C">
        <w:t xml:space="preserve"> </w:t>
      </w:r>
      <w:r w:rsidRPr="00B24527">
        <w:t>29.6</w:t>
      </w:r>
      <w:r w:rsidR="0078502C">
        <w:t xml:space="preserve"> </w:t>
      </w:r>
      <w:r w:rsidRPr="00B24527">
        <w:t>per</w:t>
      </w:r>
      <w:r w:rsidR="0078502C">
        <w:t xml:space="preserve"> </w:t>
      </w:r>
      <w:r w:rsidRPr="00B24527">
        <w:t>cent</w:t>
      </w:r>
      <w:r w:rsidR="0078502C">
        <w:t xml:space="preserve"> </w:t>
      </w:r>
      <w:r w:rsidRPr="00B24527">
        <w:t>of</w:t>
      </w:r>
      <w:r w:rsidR="0078502C">
        <w:t xml:space="preserve"> </w:t>
      </w:r>
      <w:r w:rsidRPr="00B24527">
        <w:t>girls</w:t>
      </w:r>
      <w:r w:rsidR="0078502C">
        <w:t xml:space="preserve"> </w:t>
      </w:r>
      <w:r w:rsidRPr="00B24527">
        <w:t>and</w:t>
      </w:r>
      <w:r w:rsidR="0078502C">
        <w:t xml:space="preserve"> </w:t>
      </w:r>
      <w:r w:rsidRPr="00B24527">
        <w:t>women</w:t>
      </w:r>
      <w:r w:rsidR="0078502C">
        <w:t xml:space="preserve"> </w:t>
      </w:r>
      <w:r w:rsidRPr="00B24527">
        <w:t>between</w:t>
      </w:r>
      <w:r w:rsidR="0078502C">
        <w:t xml:space="preserve"> </w:t>
      </w:r>
      <w:r w:rsidRPr="00B24527">
        <w:t>15</w:t>
      </w:r>
      <w:r w:rsidR="0078502C">
        <w:t xml:space="preserve"> </w:t>
      </w:r>
      <w:r w:rsidRPr="00B24527">
        <w:t>and</w:t>
      </w:r>
      <w:r w:rsidR="0078502C">
        <w:t xml:space="preserve"> </w:t>
      </w:r>
      <w:r w:rsidRPr="00B24527">
        <w:t>49</w:t>
      </w:r>
      <w:r w:rsidR="0078502C">
        <w:t xml:space="preserve"> </w:t>
      </w:r>
      <w:r w:rsidRPr="00B24527">
        <w:t>years</w:t>
      </w:r>
      <w:r w:rsidR="0078502C">
        <w:t xml:space="preserve"> </w:t>
      </w:r>
      <w:r w:rsidRPr="00B24527">
        <w:t>of</w:t>
      </w:r>
      <w:r w:rsidR="0078502C">
        <w:t xml:space="preserve"> </w:t>
      </w:r>
      <w:r w:rsidRPr="00B24527">
        <w:t>age</w:t>
      </w:r>
      <w:r w:rsidR="0078502C">
        <w:t xml:space="preserve"> </w:t>
      </w:r>
      <w:r w:rsidRPr="00B24527">
        <w:t>in</w:t>
      </w:r>
      <w:r w:rsidR="0078502C">
        <w:t xml:space="preserve"> </w:t>
      </w:r>
      <w:r w:rsidRPr="00B24527">
        <w:t>Nigeria</w:t>
      </w:r>
      <w:r w:rsidR="0078502C">
        <w:t xml:space="preserve"> </w:t>
      </w:r>
      <w:r w:rsidRPr="00B24527">
        <w:t>had</w:t>
      </w:r>
      <w:r w:rsidR="0078502C">
        <w:t xml:space="preserve"> </w:t>
      </w:r>
      <w:r w:rsidRPr="00B24527">
        <w:t>undergone</w:t>
      </w:r>
      <w:r w:rsidR="0078502C">
        <w:t xml:space="preserve"> </w:t>
      </w:r>
      <w:r w:rsidRPr="00B24527">
        <w:t>female</w:t>
      </w:r>
      <w:r w:rsidR="0078502C">
        <w:t xml:space="preserve"> </w:t>
      </w:r>
      <w:r w:rsidRPr="00B24527">
        <w:t>genital</w:t>
      </w:r>
      <w:r w:rsidR="0078502C">
        <w:t xml:space="preserve"> </w:t>
      </w:r>
      <w:r w:rsidRPr="00B24527">
        <w:t>mutilation.</w:t>
      </w:r>
      <w:r w:rsidR="0078502C">
        <w:t xml:space="preserve"> </w:t>
      </w:r>
      <w:r w:rsidRPr="00B24527">
        <w:t>See</w:t>
      </w:r>
      <w:r w:rsidR="0078502C">
        <w:t xml:space="preserve"> </w:t>
      </w:r>
      <w:r w:rsidRPr="00B24527">
        <w:t>also</w:t>
      </w:r>
      <w:r w:rsidR="0078502C">
        <w:t xml:space="preserve"> </w:t>
      </w:r>
      <w:r w:rsidRPr="00B24527">
        <w:t>United</w:t>
      </w:r>
      <w:r w:rsidR="0078502C">
        <w:t xml:space="preserve"> </w:t>
      </w:r>
      <w:r w:rsidRPr="00B24527">
        <w:t>States</w:t>
      </w:r>
      <w:r w:rsidR="0078502C">
        <w:t xml:space="preserve"> </w:t>
      </w:r>
      <w:r w:rsidRPr="00B24527">
        <w:t>State</w:t>
      </w:r>
      <w:r w:rsidR="0078502C">
        <w:t xml:space="preserve"> </w:t>
      </w:r>
      <w:r w:rsidRPr="00B24527">
        <w:t>Department,</w:t>
      </w:r>
      <w:r w:rsidR="0078502C">
        <w:t xml:space="preserve"> </w:t>
      </w:r>
      <w:r w:rsidR="0012622D" w:rsidRPr="00B24527">
        <w:t>“</w:t>
      </w:r>
      <w:r w:rsidRPr="00B24527">
        <w:t>Nigeria</w:t>
      </w:r>
      <w:r w:rsidR="0078502C">
        <w:t xml:space="preserve"> </w:t>
      </w:r>
      <w:r w:rsidRPr="00B24527">
        <w:t>2015</w:t>
      </w:r>
      <w:r w:rsidR="0078502C">
        <w:t xml:space="preserve"> </w:t>
      </w:r>
      <w:r w:rsidRPr="00B24527">
        <w:t>human</w:t>
      </w:r>
      <w:r w:rsidR="0078502C">
        <w:t xml:space="preserve"> </w:t>
      </w:r>
      <w:r w:rsidRPr="00B24527">
        <w:t>rights</w:t>
      </w:r>
      <w:r w:rsidR="0078502C">
        <w:t xml:space="preserve"> </w:t>
      </w:r>
      <w:r w:rsidRPr="00B24527">
        <w:t>report</w:t>
      </w:r>
      <w:r w:rsidR="0012622D" w:rsidRPr="00B24527">
        <w:t>”</w:t>
      </w:r>
      <w:r w:rsidRPr="00B24527">
        <w:t>.</w:t>
      </w:r>
    </w:p>
  </w:footnote>
  <w:footnote w:id="22">
    <w:p w14:paraId="668A94AB" w14:textId="42304932"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Section</w:t>
      </w:r>
      <w:r w:rsidR="0078502C">
        <w:t xml:space="preserve"> </w:t>
      </w:r>
      <w:r w:rsidRPr="00B24527">
        <w:t>71</w:t>
      </w:r>
      <w:r w:rsidR="0078502C">
        <w:t xml:space="preserve"> </w:t>
      </w:r>
      <w:r w:rsidRPr="00B24527">
        <w:t>(1)</w:t>
      </w:r>
      <w:r w:rsidR="0078502C">
        <w:t xml:space="preserve"> </w:t>
      </w:r>
      <w:r w:rsidRPr="00B24527">
        <w:t>of</w:t>
      </w:r>
      <w:r w:rsidR="0078502C">
        <w:t xml:space="preserve"> </w:t>
      </w:r>
      <w:r w:rsidRPr="00B24527">
        <w:t>the</w:t>
      </w:r>
      <w:r w:rsidR="0078502C">
        <w:t xml:space="preserve"> </w:t>
      </w:r>
      <w:r w:rsidRPr="00B24527">
        <w:t>Matrimonial</w:t>
      </w:r>
      <w:r w:rsidR="0078502C">
        <w:t xml:space="preserve"> </w:t>
      </w:r>
      <w:r w:rsidRPr="00B24527">
        <w:t>Causes</w:t>
      </w:r>
      <w:r w:rsidR="0078502C">
        <w:t xml:space="preserve"> </w:t>
      </w:r>
      <w:r w:rsidRPr="00B24527">
        <w:t>Act</w:t>
      </w:r>
      <w:r w:rsidR="0078502C">
        <w:t xml:space="preserve"> </w:t>
      </w:r>
      <w:r w:rsidRPr="00B24527">
        <w:t>of</w:t>
      </w:r>
      <w:r w:rsidR="0078502C">
        <w:t xml:space="preserve"> </w:t>
      </w:r>
      <w:r w:rsidRPr="00B24527">
        <w:t>Nigeria</w:t>
      </w:r>
      <w:r w:rsidR="0078502C">
        <w:t xml:space="preserve"> </w:t>
      </w:r>
      <w:r w:rsidRPr="00B24527">
        <w:t>provides</w:t>
      </w:r>
      <w:r w:rsidR="0078502C">
        <w:t xml:space="preserve"> </w:t>
      </w:r>
      <w:r w:rsidRPr="00B24527">
        <w:t>that:</w:t>
      </w:r>
      <w:r w:rsidR="0078502C">
        <w:t xml:space="preserve"> </w:t>
      </w:r>
      <w:r w:rsidR="0012622D" w:rsidRPr="00B24527">
        <w:t>“</w:t>
      </w:r>
      <w:r w:rsidRPr="00B24527">
        <w:t>In</w:t>
      </w:r>
      <w:r w:rsidR="0078502C">
        <w:t xml:space="preserve"> </w:t>
      </w:r>
      <w:r w:rsidRPr="00B24527">
        <w:t>the</w:t>
      </w:r>
      <w:r w:rsidR="0078502C">
        <w:t xml:space="preserve"> </w:t>
      </w:r>
      <w:r w:rsidRPr="00B24527">
        <w:t>proceeding</w:t>
      </w:r>
      <w:r w:rsidR="0078502C">
        <w:t xml:space="preserve"> </w:t>
      </w:r>
      <w:r w:rsidRPr="00B24527">
        <w:t>with</w:t>
      </w:r>
      <w:r w:rsidR="0078502C">
        <w:t xml:space="preserve"> </w:t>
      </w:r>
      <w:r w:rsidRPr="00B24527">
        <w:t>respect</w:t>
      </w:r>
      <w:r w:rsidR="0078502C">
        <w:t xml:space="preserve"> </w:t>
      </w:r>
      <w:r w:rsidRPr="00B24527">
        <w:t>to</w:t>
      </w:r>
      <w:r w:rsidR="0078502C">
        <w:t xml:space="preserve"> </w:t>
      </w:r>
      <w:r w:rsidRPr="00B24527">
        <w:t>the</w:t>
      </w:r>
      <w:r w:rsidR="0078502C">
        <w:t xml:space="preserve"> </w:t>
      </w:r>
      <w:r w:rsidRPr="00B24527">
        <w:t>custody,</w:t>
      </w:r>
      <w:r w:rsidR="0078502C">
        <w:t xml:space="preserve"> </w:t>
      </w:r>
      <w:r w:rsidRPr="00B24527">
        <w:t>guardianship,</w:t>
      </w:r>
      <w:r w:rsidR="0078502C">
        <w:t xml:space="preserve"> </w:t>
      </w:r>
      <w:r w:rsidRPr="00B24527">
        <w:t>advancement</w:t>
      </w:r>
      <w:r w:rsidR="0078502C">
        <w:t xml:space="preserve"> </w:t>
      </w:r>
      <w:r w:rsidRPr="00B24527">
        <w:t>or</w:t>
      </w:r>
      <w:r w:rsidR="0078502C">
        <w:t xml:space="preserve"> </w:t>
      </w:r>
      <w:r w:rsidRPr="00B24527">
        <w:t>education</w:t>
      </w:r>
      <w:r w:rsidR="0078502C">
        <w:t xml:space="preserve"> </w:t>
      </w:r>
      <w:r w:rsidRPr="00B24527">
        <w:t>of</w:t>
      </w:r>
      <w:r w:rsidR="0078502C">
        <w:t xml:space="preserve"> </w:t>
      </w:r>
      <w:r w:rsidRPr="00B24527">
        <w:t>children</w:t>
      </w:r>
      <w:r w:rsidR="0078502C">
        <w:t xml:space="preserve"> </w:t>
      </w:r>
      <w:r w:rsidRPr="00B24527">
        <w:t>of</w:t>
      </w:r>
      <w:r w:rsidR="0078502C">
        <w:t xml:space="preserve"> </w:t>
      </w:r>
      <w:r w:rsidRPr="00B24527">
        <w:t>the</w:t>
      </w:r>
      <w:r w:rsidR="0078502C">
        <w:t xml:space="preserve"> </w:t>
      </w:r>
      <w:r w:rsidRPr="00B24527">
        <w:t>marriage,</w:t>
      </w:r>
      <w:r w:rsidR="0078502C">
        <w:t xml:space="preserve"> </w:t>
      </w:r>
      <w:r w:rsidRPr="00B24527">
        <w:t>the</w:t>
      </w:r>
      <w:r w:rsidR="0078502C">
        <w:t xml:space="preserve"> </w:t>
      </w:r>
      <w:r w:rsidRPr="00B24527">
        <w:t>court</w:t>
      </w:r>
      <w:r w:rsidR="0078502C">
        <w:t xml:space="preserve"> </w:t>
      </w:r>
      <w:r w:rsidRPr="00B24527">
        <w:t>shall</w:t>
      </w:r>
      <w:r w:rsidR="0078502C">
        <w:t xml:space="preserve"> </w:t>
      </w:r>
      <w:r w:rsidRPr="00B24527">
        <w:t>regard</w:t>
      </w:r>
      <w:r w:rsidR="0078502C">
        <w:t xml:space="preserve"> </w:t>
      </w:r>
      <w:r w:rsidRPr="00B24527">
        <w:t>the</w:t>
      </w:r>
      <w:r w:rsidR="0078502C">
        <w:t xml:space="preserve"> </w:t>
      </w:r>
      <w:r w:rsidRPr="00B24527">
        <w:t>interest</w:t>
      </w:r>
      <w:r w:rsidR="0078502C">
        <w:t xml:space="preserve"> </w:t>
      </w:r>
      <w:r w:rsidRPr="00B24527">
        <w:t>of</w:t>
      </w:r>
      <w:r w:rsidR="0078502C">
        <w:t xml:space="preserve"> </w:t>
      </w:r>
      <w:r w:rsidRPr="00B24527">
        <w:t>those</w:t>
      </w:r>
      <w:r w:rsidR="0078502C">
        <w:t xml:space="preserve"> </w:t>
      </w:r>
      <w:r w:rsidRPr="00B24527">
        <w:t>children</w:t>
      </w:r>
      <w:r w:rsidR="0078502C">
        <w:t xml:space="preserve"> </w:t>
      </w:r>
      <w:r w:rsidRPr="00B24527">
        <w:t>as</w:t>
      </w:r>
      <w:r w:rsidR="0078502C">
        <w:t xml:space="preserve"> </w:t>
      </w:r>
      <w:r w:rsidRPr="00B24527">
        <w:t>the</w:t>
      </w:r>
      <w:r w:rsidR="0078502C">
        <w:t xml:space="preserve"> </w:t>
      </w:r>
      <w:r w:rsidRPr="00B24527">
        <w:t>paramount</w:t>
      </w:r>
      <w:r w:rsidR="0078502C">
        <w:t xml:space="preserve"> </w:t>
      </w:r>
      <w:r w:rsidRPr="00B24527">
        <w:t>consideration,</w:t>
      </w:r>
      <w:r w:rsidR="0078502C">
        <w:t xml:space="preserve"> </w:t>
      </w:r>
      <w:r w:rsidRPr="00B24527">
        <w:t>and</w:t>
      </w:r>
      <w:r w:rsidR="0078502C">
        <w:t xml:space="preserve"> </w:t>
      </w:r>
      <w:r w:rsidRPr="00B24527">
        <w:t>subject</w:t>
      </w:r>
      <w:r w:rsidR="0078502C">
        <w:t xml:space="preserve"> </w:t>
      </w:r>
      <w:r w:rsidRPr="00B24527">
        <w:t>thereto</w:t>
      </w:r>
      <w:r w:rsidR="0078502C">
        <w:t xml:space="preserve"> </w:t>
      </w:r>
      <w:r w:rsidRPr="00B24527">
        <w:t>the</w:t>
      </w:r>
      <w:r w:rsidR="0078502C">
        <w:t xml:space="preserve"> </w:t>
      </w:r>
      <w:r w:rsidRPr="00B24527">
        <w:t>court</w:t>
      </w:r>
      <w:r w:rsidR="0078502C">
        <w:t xml:space="preserve"> </w:t>
      </w:r>
      <w:r w:rsidRPr="00B24527">
        <w:t>may</w:t>
      </w:r>
      <w:r w:rsidR="0078502C">
        <w:t xml:space="preserve"> </w:t>
      </w:r>
      <w:r w:rsidRPr="00B24527">
        <w:t>make</w:t>
      </w:r>
      <w:r w:rsidR="0078502C">
        <w:t xml:space="preserve"> </w:t>
      </w:r>
      <w:r w:rsidRPr="00B24527">
        <w:t>such</w:t>
      </w:r>
      <w:r w:rsidR="0078502C">
        <w:t xml:space="preserve"> </w:t>
      </w:r>
      <w:r w:rsidRPr="00B24527">
        <w:t>order</w:t>
      </w:r>
      <w:r w:rsidR="0078502C">
        <w:t xml:space="preserve"> </w:t>
      </w:r>
      <w:r w:rsidRPr="00B24527">
        <w:t>in</w:t>
      </w:r>
      <w:r w:rsidR="0078502C">
        <w:t xml:space="preserve"> </w:t>
      </w:r>
      <w:r w:rsidRPr="00B24527">
        <w:t>respect</w:t>
      </w:r>
      <w:r w:rsidR="0078502C">
        <w:t xml:space="preserve"> </w:t>
      </w:r>
      <w:r w:rsidRPr="00B24527">
        <w:t>to</w:t>
      </w:r>
      <w:r w:rsidR="0078502C">
        <w:t xml:space="preserve"> </w:t>
      </w:r>
      <w:r w:rsidRPr="00B24527">
        <w:t>these</w:t>
      </w:r>
      <w:r w:rsidR="0078502C">
        <w:t xml:space="preserve"> </w:t>
      </w:r>
      <w:r w:rsidRPr="00B24527">
        <w:t>matters</w:t>
      </w:r>
      <w:r w:rsidR="0078502C">
        <w:t xml:space="preserve"> </w:t>
      </w:r>
      <w:r w:rsidRPr="00B24527">
        <w:t>as</w:t>
      </w:r>
      <w:r w:rsidR="0078502C">
        <w:t xml:space="preserve"> </w:t>
      </w:r>
      <w:r w:rsidRPr="00B24527">
        <w:t>it</w:t>
      </w:r>
      <w:r w:rsidR="0078502C">
        <w:t xml:space="preserve"> </w:t>
      </w:r>
      <w:r w:rsidRPr="00B24527">
        <w:t>thinks</w:t>
      </w:r>
      <w:r w:rsidR="0078502C">
        <w:t xml:space="preserve"> </w:t>
      </w:r>
      <w:r w:rsidRPr="00B24527">
        <w:t>proper.</w:t>
      </w:r>
      <w:r w:rsidR="0012622D" w:rsidRPr="00B24527">
        <w:t>”</w:t>
      </w:r>
    </w:p>
  </w:footnote>
  <w:footnote w:id="23">
    <w:p w14:paraId="6D764D51" w14:textId="5B2B6D23"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European</w:t>
      </w:r>
      <w:r w:rsidR="0078502C">
        <w:t xml:space="preserve"> </w:t>
      </w:r>
      <w:r w:rsidRPr="00B24527">
        <w:t>Court</w:t>
      </w:r>
      <w:r w:rsidR="0078502C">
        <w:t xml:space="preserve"> </w:t>
      </w:r>
      <w:r w:rsidRPr="00B24527">
        <w:t>of</w:t>
      </w:r>
      <w:r w:rsidR="0078502C">
        <w:t xml:space="preserve"> </w:t>
      </w:r>
      <w:r w:rsidRPr="00B24527">
        <w:t>Human</w:t>
      </w:r>
      <w:r w:rsidR="0078502C">
        <w:t xml:space="preserve"> </w:t>
      </w:r>
      <w:r w:rsidRPr="00B24527">
        <w:t>Rights,</w:t>
      </w:r>
      <w:r w:rsidR="0078502C">
        <w:t xml:space="preserve"> </w:t>
      </w:r>
      <w:r w:rsidRPr="00B24527">
        <w:rPr>
          <w:i/>
          <w:iCs/>
        </w:rPr>
        <w:t>Collins</w:t>
      </w:r>
      <w:r w:rsidR="0078502C">
        <w:rPr>
          <w:i/>
          <w:iCs/>
        </w:rPr>
        <w:t xml:space="preserve"> </w:t>
      </w:r>
      <w:r w:rsidRPr="00B24527">
        <w:rPr>
          <w:i/>
          <w:iCs/>
        </w:rPr>
        <w:t>and</w:t>
      </w:r>
      <w:r w:rsidR="0078502C">
        <w:rPr>
          <w:i/>
          <w:iCs/>
        </w:rPr>
        <w:t xml:space="preserve"> </w:t>
      </w:r>
      <w:r w:rsidRPr="00B24527">
        <w:rPr>
          <w:i/>
          <w:iCs/>
        </w:rPr>
        <w:t>Akaziebie</w:t>
      </w:r>
      <w:r w:rsidR="0078502C">
        <w:rPr>
          <w:i/>
          <w:iCs/>
        </w:rPr>
        <w:t xml:space="preserve"> </w:t>
      </w:r>
      <w:r w:rsidRPr="00B24527">
        <w:rPr>
          <w:i/>
          <w:iCs/>
        </w:rPr>
        <w:t>v.</w:t>
      </w:r>
      <w:r w:rsidR="0078502C">
        <w:rPr>
          <w:i/>
          <w:iCs/>
        </w:rPr>
        <w:t xml:space="preserve"> </w:t>
      </w:r>
      <w:r w:rsidRPr="00B24527">
        <w:rPr>
          <w:i/>
          <w:iCs/>
        </w:rPr>
        <w:t>Sweden</w:t>
      </w:r>
      <w:r w:rsidRPr="00B24527">
        <w:t>.</w:t>
      </w:r>
      <w:r w:rsidR="0078502C">
        <w:t xml:space="preserve"> </w:t>
      </w:r>
      <w:r w:rsidRPr="00B24527">
        <w:t>See</w:t>
      </w:r>
      <w:r w:rsidR="0078502C">
        <w:t xml:space="preserve"> </w:t>
      </w:r>
      <w:r w:rsidRPr="00B24527">
        <w:t>also</w:t>
      </w:r>
      <w:r w:rsidR="0078502C">
        <w:t xml:space="preserve"> </w:t>
      </w:r>
      <w:r w:rsidRPr="00B24527">
        <w:t>European</w:t>
      </w:r>
      <w:r w:rsidR="0078502C">
        <w:t xml:space="preserve"> </w:t>
      </w:r>
      <w:r w:rsidRPr="00B24527">
        <w:t>Court</w:t>
      </w:r>
      <w:r w:rsidR="0078502C">
        <w:t xml:space="preserve"> </w:t>
      </w:r>
      <w:r w:rsidRPr="00B24527">
        <w:t>of</w:t>
      </w:r>
      <w:r w:rsidR="0078502C">
        <w:t xml:space="preserve"> </w:t>
      </w:r>
      <w:r w:rsidRPr="00B24527">
        <w:t>Human</w:t>
      </w:r>
      <w:r w:rsidR="0078502C">
        <w:t xml:space="preserve"> </w:t>
      </w:r>
      <w:r w:rsidRPr="00B24527">
        <w:t>Rights,</w:t>
      </w:r>
      <w:r w:rsidR="0078502C">
        <w:t xml:space="preserve"> </w:t>
      </w:r>
      <w:r w:rsidRPr="00B24527">
        <w:rPr>
          <w:i/>
          <w:iCs/>
        </w:rPr>
        <w:t>S.J.</w:t>
      </w:r>
      <w:r w:rsidR="0078502C">
        <w:rPr>
          <w:i/>
          <w:iCs/>
        </w:rPr>
        <w:t xml:space="preserve"> </w:t>
      </w:r>
      <w:r w:rsidRPr="00B24527">
        <w:rPr>
          <w:i/>
          <w:iCs/>
        </w:rPr>
        <w:t>v.</w:t>
      </w:r>
      <w:r w:rsidR="0078502C">
        <w:rPr>
          <w:i/>
          <w:iCs/>
        </w:rPr>
        <w:t xml:space="preserve"> </w:t>
      </w:r>
      <w:r w:rsidRPr="00B24527">
        <w:rPr>
          <w:i/>
          <w:iCs/>
        </w:rPr>
        <w:t>Belgium</w:t>
      </w:r>
      <w:r w:rsidRPr="00B24527">
        <w:t>,</w:t>
      </w:r>
      <w:r w:rsidR="0078502C">
        <w:t xml:space="preserve"> </w:t>
      </w:r>
      <w:r w:rsidRPr="00B24527">
        <w:t>application</w:t>
      </w:r>
      <w:r w:rsidR="0078502C">
        <w:t xml:space="preserve"> </w:t>
      </w:r>
      <w:r w:rsidRPr="00B24527">
        <w:t>No.</w:t>
      </w:r>
      <w:r w:rsidR="0078502C">
        <w:t xml:space="preserve"> </w:t>
      </w:r>
      <w:r w:rsidRPr="00B24527">
        <w:t>70055/10,</w:t>
      </w:r>
      <w:r w:rsidR="0078502C">
        <w:t xml:space="preserve"> </w:t>
      </w:r>
      <w:r w:rsidRPr="00B24527">
        <w:t>decision</w:t>
      </w:r>
      <w:r w:rsidR="0078502C">
        <w:t xml:space="preserve"> </w:t>
      </w:r>
      <w:r w:rsidRPr="00B24527">
        <w:t>of</w:t>
      </w:r>
      <w:r w:rsidR="0078502C">
        <w:t xml:space="preserve"> </w:t>
      </w:r>
      <w:r w:rsidRPr="00B24527">
        <w:t>27</w:t>
      </w:r>
      <w:r w:rsidR="0078502C">
        <w:t xml:space="preserve"> </w:t>
      </w:r>
      <w:r w:rsidRPr="00B24527">
        <w:t>February</w:t>
      </w:r>
      <w:r w:rsidR="0078502C">
        <w:t xml:space="preserve"> </w:t>
      </w:r>
      <w:r w:rsidRPr="00B24527">
        <w:t>2014,</w:t>
      </w:r>
      <w:r w:rsidR="0078502C">
        <w:t xml:space="preserve"> </w:t>
      </w:r>
      <w:r w:rsidRPr="00B24527">
        <w:t>para.</w:t>
      </w:r>
      <w:r w:rsidR="0078502C">
        <w:t xml:space="preserve"> </w:t>
      </w:r>
      <w:r w:rsidRPr="00B24527">
        <w:t>125.</w:t>
      </w:r>
    </w:p>
  </w:footnote>
  <w:footnote w:id="24">
    <w:p w14:paraId="6E811D86" w14:textId="70052076"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UNHCR</w:t>
      </w:r>
      <w:r w:rsidRPr="00B24527">
        <w:rPr>
          <w:rFonts w:cs="Arial"/>
          <w:shd w:val="clear" w:color="auto" w:fill="FFFFFF"/>
        </w:rPr>
        <w:t>,</w:t>
      </w:r>
      <w:r w:rsidR="0078502C">
        <w:rPr>
          <w:rFonts w:cs="Arial"/>
          <w:shd w:val="clear" w:color="auto" w:fill="FFFFFF"/>
        </w:rPr>
        <w:t xml:space="preserve"> </w:t>
      </w:r>
      <w:r w:rsidR="0012622D" w:rsidRPr="00B24527">
        <w:rPr>
          <w:rFonts w:cs="Arial"/>
          <w:shd w:val="clear" w:color="auto" w:fill="FFFFFF"/>
        </w:rPr>
        <w:t>“</w:t>
      </w:r>
      <w:r w:rsidRPr="00B24527">
        <w:rPr>
          <w:rFonts w:cs="Arial"/>
          <w:shd w:val="clear" w:color="auto" w:fill="FFFFFF"/>
        </w:rPr>
        <w:t>Guidance</w:t>
      </w:r>
      <w:r w:rsidR="0078502C">
        <w:rPr>
          <w:rFonts w:cs="Arial"/>
          <w:shd w:val="clear" w:color="auto" w:fill="FFFFFF"/>
        </w:rPr>
        <w:t xml:space="preserve"> </w:t>
      </w:r>
      <w:r w:rsidRPr="00B24527">
        <w:rPr>
          <w:rFonts w:cs="Arial"/>
          <w:shd w:val="clear" w:color="auto" w:fill="FFFFFF"/>
        </w:rPr>
        <w:t>note</w:t>
      </w:r>
      <w:r w:rsidR="0012622D" w:rsidRPr="00B24527">
        <w:rPr>
          <w:rFonts w:cs="Arial"/>
          <w:shd w:val="clear" w:color="auto" w:fill="FFFFFF"/>
        </w:rPr>
        <w:t>”</w:t>
      </w:r>
      <w:r w:rsidRPr="00B24527">
        <w:rPr>
          <w:rFonts w:cs="Arial"/>
          <w:shd w:val="clear" w:color="auto" w:fill="FFFFFF"/>
        </w:rPr>
        <w:t>,</w:t>
      </w:r>
      <w:r w:rsidR="0078502C">
        <w:rPr>
          <w:rFonts w:cs="Arial"/>
          <w:shd w:val="clear" w:color="auto" w:fill="FFFFFF"/>
        </w:rPr>
        <w:t xml:space="preserve"> </w:t>
      </w:r>
      <w:r w:rsidRPr="00B24527">
        <w:rPr>
          <w:rFonts w:cs="Arial"/>
          <w:shd w:val="clear" w:color="auto" w:fill="FFFFFF"/>
        </w:rPr>
        <w:t>paras.</w:t>
      </w:r>
      <w:r w:rsidR="0078502C">
        <w:rPr>
          <w:rFonts w:cs="Arial"/>
          <w:shd w:val="clear" w:color="auto" w:fill="FFFFFF"/>
        </w:rPr>
        <w:t xml:space="preserve"> </w:t>
      </w:r>
      <w:r w:rsidRPr="00B24527">
        <w:rPr>
          <w:rFonts w:cs="Arial"/>
          <w:shd w:val="clear" w:color="auto" w:fill="FFFFFF"/>
        </w:rPr>
        <w:t>28</w:t>
      </w:r>
      <w:r w:rsidRPr="00B24527">
        <w:rPr>
          <w:shd w:val="clear" w:color="auto" w:fill="FFFFFF"/>
        </w:rPr>
        <w:t>–</w:t>
      </w:r>
      <w:r w:rsidRPr="00B24527">
        <w:rPr>
          <w:rFonts w:cs="Arial"/>
          <w:shd w:val="clear" w:color="auto" w:fill="FFFFFF"/>
        </w:rPr>
        <w:t>29.</w:t>
      </w:r>
    </w:p>
  </w:footnote>
  <w:footnote w:id="25">
    <w:p w14:paraId="6A569CAE" w14:textId="2AB37417" w:rsidR="009C1FB8" w:rsidRPr="003419A6" w:rsidRDefault="009C1FB8" w:rsidP="003419A6">
      <w:pPr>
        <w:pStyle w:val="FootnoteText"/>
      </w:pPr>
      <w:r w:rsidRPr="00B24527">
        <w:tab/>
      </w:r>
      <w:r w:rsidRPr="00B24527">
        <w:rPr>
          <w:rStyle w:val="FootnoteReference"/>
        </w:rPr>
        <w:footnoteRef/>
      </w:r>
      <w:r w:rsidRPr="00B24527">
        <w:rPr>
          <w:rStyle w:val="FootnoteReference"/>
        </w:rPr>
        <w:tab/>
      </w:r>
      <w:r w:rsidRPr="00B24527">
        <w:t>European</w:t>
      </w:r>
      <w:r w:rsidR="0078502C">
        <w:t xml:space="preserve"> </w:t>
      </w:r>
      <w:r w:rsidRPr="00B24527">
        <w:t>Asylum</w:t>
      </w:r>
      <w:r w:rsidR="0078502C">
        <w:t xml:space="preserve"> </w:t>
      </w:r>
      <w:r w:rsidRPr="00B24527">
        <w:t>Support</w:t>
      </w:r>
      <w:r w:rsidR="0078502C">
        <w:t xml:space="preserve"> </w:t>
      </w:r>
      <w:r w:rsidRPr="00B24527">
        <w:t>Office,</w:t>
      </w:r>
      <w:r w:rsidR="0078502C">
        <w:t xml:space="preserve"> </w:t>
      </w:r>
      <w:r w:rsidR="0012622D" w:rsidRPr="00B24527">
        <w:t>“</w:t>
      </w:r>
      <w:r w:rsidRPr="003419A6">
        <w:t>Country</w:t>
      </w:r>
      <w:r w:rsidR="0078502C" w:rsidRPr="003419A6">
        <w:t xml:space="preserve"> </w:t>
      </w:r>
      <w:r w:rsidRPr="003419A6">
        <w:t>of</w:t>
      </w:r>
      <w:r w:rsidR="0078502C" w:rsidRPr="003419A6">
        <w:t xml:space="preserve"> </w:t>
      </w:r>
      <w:r w:rsidRPr="003419A6">
        <w:t>origin</w:t>
      </w:r>
      <w:r w:rsidR="0078502C" w:rsidRPr="003419A6">
        <w:t xml:space="preserve"> </w:t>
      </w:r>
      <w:r w:rsidRPr="003419A6">
        <w:t>information</w:t>
      </w:r>
      <w:r w:rsidR="0078502C" w:rsidRPr="003419A6">
        <w:t xml:space="preserve"> </w:t>
      </w:r>
      <w:r w:rsidRPr="003419A6">
        <w:t>report:</w:t>
      </w:r>
      <w:r w:rsidR="0078502C" w:rsidRPr="003419A6">
        <w:t xml:space="preserve"> </w:t>
      </w:r>
      <w:r w:rsidRPr="003419A6">
        <w:t>Nigeria</w:t>
      </w:r>
      <w:r w:rsidR="0012622D" w:rsidRPr="003419A6">
        <w:t>”</w:t>
      </w:r>
      <w:r w:rsidRPr="003419A6">
        <w:t>;</w:t>
      </w:r>
      <w:r w:rsidR="0078502C" w:rsidRPr="003419A6">
        <w:t xml:space="preserve"> </w:t>
      </w:r>
      <w:r w:rsidRPr="003419A6">
        <w:t>and</w:t>
      </w:r>
      <w:r w:rsidR="0078502C" w:rsidRPr="003419A6">
        <w:t xml:space="preserve"> </w:t>
      </w:r>
      <w:r w:rsidRPr="003419A6">
        <w:t>United</w:t>
      </w:r>
      <w:r w:rsidR="0078502C" w:rsidRPr="003419A6">
        <w:t xml:space="preserve"> </w:t>
      </w:r>
      <w:r w:rsidRPr="003419A6">
        <w:t>States</w:t>
      </w:r>
      <w:r w:rsidR="0078502C" w:rsidRPr="003419A6">
        <w:t xml:space="preserve"> </w:t>
      </w:r>
      <w:r w:rsidRPr="003419A6">
        <w:t>Department</w:t>
      </w:r>
      <w:r w:rsidR="0078502C" w:rsidRPr="003419A6">
        <w:t xml:space="preserve"> </w:t>
      </w:r>
      <w:r w:rsidRPr="003419A6">
        <w:t>of</w:t>
      </w:r>
      <w:r w:rsidR="0078502C" w:rsidRPr="003419A6">
        <w:t xml:space="preserve"> </w:t>
      </w:r>
      <w:r w:rsidRPr="003419A6">
        <w:t>State,</w:t>
      </w:r>
      <w:r w:rsidR="0078502C" w:rsidRPr="003419A6">
        <w:t xml:space="preserve"> </w:t>
      </w:r>
      <w:r w:rsidR="0012622D" w:rsidRPr="003419A6">
        <w:t>“</w:t>
      </w:r>
      <w:r w:rsidRPr="003419A6">
        <w:t>Nigeria:</w:t>
      </w:r>
      <w:r w:rsidR="0078502C" w:rsidRPr="003419A6">
        <w:t xml:space="preserve"> </w:t>
      </w:r>
      <w:r w:rsidRPr="003419A6">
        <w:t>2013</w:t>
      </w:r>
      <w:r w:rsidR="0078502C" w:rsidRPr="003419A6">
        <w:t xml:space="preserve"> </w:t>
      </w:r>
      <w:r w:rsidRPr="003419A6">
        <w:t>human</w:t>
      </w:r>
      <w:r w:rsidR="0078502C" w:rsidRPr="003419A6">
        <w:t xml:space="preserve"> </w:t>
      </w:r>
      <w:r w:rsidRPr="003419A6">
        <w:t>rights</w:t>
      </w:r>
      <w:r w:rsidR="0078502C" w:rsidRPr="003419A6">
        <w:t xml:space="preserve"> </w:t>
      </w:r>
      <w:r w:rsidRPr="003419A6">
        <w:t>report</w:t>
      </w:r>
      <w:r w:rsidR="0012622D" w:rsidRPr="003419A6">
        <w:t>”</w:t>
      </w:r>
      <w:r w:rsidRPr="003419A6">
        <w:t>.</w:t>
      </w:r>
    </w:p>
  </w:footnote>
  <w:footnote w:id="26">
    <w:p w14:paraId="17C5BAEC" w14:textId="30F0CAEB"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Between</w:t>
      </w:r>
      <w:r w:rsidR="0078502C">
        <w:t xml:space="preserve"> </w:t>
      </w:r>
      <w:r w:rsidRPr="00B24527">
        <w:t>2008</w:t>
      </w:r>
      <w:r w:rsidR="0078502C">
        <w:t xml:space="preserve"> </w:t>
      </w:r>
      <w:r w:rsidRPr="00B24527">
        <w:t>and</w:t>
      </w:r>
      <w:r w:rsidR="0078502C">
        <w:t xml:space="preserve"> </w:t>
      </w:r>
      <w:r w:rsidRPr="00B24527">
        <w:t>2013,</w:t>
      </w:r>
      <w:r w:rsidR="0078502C">
        <w:t xml:space="preserve"> </w:t>
      </w:r>
      <w:r w:rsidRPr="00B24527">
        <w:t>the</w:t>
      </w:r>
      <w:r w:rsidR="0078502C">
        <w:t xml:space="preserve"> </w:t>
      </w:r>
      <w:r w:rsidRPr="00B24527">
        <w:t>overall</w:t>
      </w:r>
      <w:r w:rsidR="0078502C">
        <w:t xml:space="preserve"> </w:t>
      </w:r>
      <w:r w:rsidRPr="00B24527">
        <w:t>prevalence</w:t>
      </w:r>
      <w:r w:rsidR="0078502C">
        <w:t xml:space="preserve"> </w:t>
      </w:r>
      <w:r w:rsidRPr="00B24527">
        <w:t>of</w:t>
      </w:r>
      <w:r w:rsidR="0078502C">
        <w:t xml:space="preserve"> </w:t>
      </w:r>
      <w:r w:rsidRPr="00B24527">
        <w:t>female</w:t>
      </w:r>
      <w:r w:rsidR="0078502C">
        <w:t xml:space="preserve"> </w:t>
      </w:r>
      <w:r w:rsidRPr="00B24527">
        <w:t>genital</w:t>
      </w:r>
      <w:r w:rsidR="0078502C">
        <w:t xml:space="preserve"> </w:t>
      </w:r>
      <w:r w:rsidRPr="00B24527">
        <w:t>mutilation</w:t>
      </w:r>
      <w:r w:rsidR="0078502C">
        <w:t xml:space="preserve"> </w:t>
      </w:r>
      <w:r w:rsidRPr="00B24527">
        <w:t>among</w:t>
      </w:r>
      <w:r w:rsidR="0078502C">
        <w:t xml:space="preserve"> </w:t>
      </w:r>
      <w:r w:rsidRPr="00B24527">
        <w:t>women</w:t>
      </w:r>
      <w:r w:rsidR="0078502C">
        <w:t xml:space="preserve"> </w:t>
      </w:r>
      <w:r w:rsidRPr="00B24527">
        <w:t>between</w:t>
      </w:r>
      <w:r w:rsidR="0078502C">
        <w:t xml:space="preserve"> </w:t>
      </w:r>
      <w:r w:rsidRPr="00B24527">
        <w:t>15</w:t>
      </w:r>
      <w:r w:rsidR="0078502C">
        <w:t xml:space="preserve"> </w:t>
      </w:r>
      <w:r w:rsidRPr="00B24527">
        <w:t>and</w:t>
      </w:r>
      <w:r w:rsidR="0078502C">
        <w:t xml:space="preserve"> </w:t>
      </w:r>
      <w:r w:rsidRPr="00B24527">
        <w:t>49</w:t>
      </w:r>
      <w:r w:rsidR="0078502C">
        <w:t xml:space="preserve"> </w:t>
      </w:r>
      <w:r w:rsidRPr="00B24527">
        <w:t>years</w:t>
      </w:r>
      <w:r w:rsidR="0078502C">
        <w:t xml:space="preserve"> </w:t>
      </w:r>
      <w:r w:rsidRPr="00B24527">
        <w:t>of</w:t>
      </w:r>
      <w:r w:rsidR="0078502C">
        <w:t xml:space="preserve"> </w:t>
      </w:r>
      <w:r w:rsidRPr="00B24527">
        <w:t>age</w:t>
      </w:r>
      <w:r w:rsidR="0078502C">
        <w:t xml:space="preserve"> </w:t>
      </w:r>
      <w:r w:rsidRPr="00B24527">
        <w:t>in</w:t>
      </w:r>
      <w:r w:rsidR="0078502C">
        <w:t xml:space="preserve"> </w:t>
      </w:r>
      <w:r w:rsidRPr="00B24527">
        <w:t>Nigeria</w:t>
      </w:r>
      <w:r w:rsidR="0078502C">
        <w:t xml:space="preserve"> </w:t>
      </w:r>
      <w:r w:rsidRPr="00B24527">
        <w:t>fell,</w:t>
      </w:r>
      <w:r w:rsidR="0078502C">
        <w:t xml:space="preserve"> </w:t>
      </w:r>
      <w:r w:rsidRPr="00B24527">
        <w:t>from</w:t>
      </w:r>
      <w:r w:rsidR="0078502C">
        <w:t xml:space="preserve"> </w:t>
      </w:r>
      <w:r w:rsidRPr="00B24527">
        <w:t>29.6</w:t>
      </w:r>
      <w:r w:rsidR="0078502C">
        <w:t xml:space="preserve"> </w:t>
      </w:r>
      <w:r w:rsidRPr="00B24527">
        <w:t>per</w:t>
      </w:r>
      <w:r w:rsidR="0078502C">
        <w:t xml:space="preserve"> </w:t>
      </w:r>
      <w:r w:rsidRPr="00B24527">
        <w:t>cent</w:t>
      </w:r>
      <w:r w:rsidR="0078502C">
        <w:t xml:space="preserve"> </w:t>
      </w:r>
      <w:r w:rsidRPr="00B24527">
        <w:t>to</w:t>
      </w:r>
      <w:r w:rsidR="0078502C">
        <w:t xml:space="preserve"> </w:t>
      </w:r>
      <w:r w:rsidRPr="00B24527">
        <w:t>24.8</w:t>
      </w:r>
      <w:r w:rsidR="0078502C">
        <w:t xml:space="preserve"> </w:t>
      </w:r>
      <w:r w:rsidRPr="00B24527">
        <w:t>per</w:t>
      </w:r>
      <w:r w:rsidR="0078502C">
        <w:t xml:space="preserve"> </w:t>
      </w:r>
      <w:r w:rsidRPr="00B24527">
        <w:t>cent.</w:t>
      </w:r>
      <w:r w:rsidR="0078502C">
        <w:t xml:space="preserve"> </w:t>
      </w:r>
      <w:r w:rsidRPr="00B24527">
        <w:t>See</w:t>
      </w:r>
      <w:r w:rsidR="0078502C">
        <w:t xml:space="preserve"> </w:t>
      </w:r>
      <w:r w:rsidRPr="00B24527">
        <w:t>https://www.28toomany.org/research-resources.</w:t>
      </w:r>
      <w:r w:rsidR="0078502C">
        <w:t xml:space="preserve"> </w:t>
      </w:r>
      <w:r w:rsidRPr="00B24527">
        <w:t>However,</w:t>
      </w:r>
      <w:r w:rsidR="0078502C">
        <w:t xml:space="preserve"> </w:t>
      </w:r>
      <w:r w:rsidRPr="00B24527">
        <w:t>because</w:t>
      </w:r>
      <w:r w:rsidR="0078502C">
        <w:t xml:space="preserve"> </w:t>
      </w:r>
      <w:r w:rsidRPr="00B24527">
        <w:t>the</w:t>
      </w:r>
      <w:r w:rsidR="0078502C">
        <w:t xml:space="preserve"> </w:t>
      </w:r>
      <w:r w:rsidRPr="00B24527">
        <w:t>age</w:t>
      </w:r>
      <w:r w:rsidR="0078502C">
        <w:t xml:space="preserve"> </w:t>
      </w:r>
      <w:r w:rsidRPr="00B24527">
        <w:t>range</w:t>
      </w:r>
      <w:r w:rsidR="0078502C">
        <w:t xml:space="preserve"> </w:t>
      </w:r>
      <w:r w:rsidRPr="00B24527">
        <w:t>is</w:t>
      </w:r>
      <w:r w:rsidR="0078502C">
        <w:t xml:space="preserve"> </w:t>
      </w:r>
      <w:r w:rsidRPr="00B24527">
        <w:t>so</w:t>
      </w:r>
      <w:r w:rsidR="0078502C">
        <w:t xml:space="preserve"> </w:t>
      </w:r>
      <w:r w:rsidRPr="00B24527">
        <w:t>broad,</w:t>
      </w:r>
      <w:r w:rsidR="0078502C">
        <w:t xml:space="preserve"> </w:t>
      </w:r>
      <w:r w:rsidRPr="00B24527">
        <w:t>overall</w:t>
      </w:r>
      <w:r w:rsidR="0078502C">
        <w:t xml:space="preserve"> </w:t>
      </w:r>
      <w:r w:rsidRPr="00B24527">
        <w:t>prevalence</w:t>
      </w:r>
      <w:r w:rsidR="0078502C">
        <w:t xml:space="preserve"> </w:t>
      </w:r>
      <w:r w:rsidRPr="00B24527">
        <w:t>alone</w:t>
      </w:r>
      <w:r w:rsidR="0078502C">
        <w:t xml:space="preserve"> </w:t>
      </w:r>
      <w:r w:rsidRPr="00B24527">
        <w:t>does</w:t>
      </w:r>
      <w:r w:rsidR="0078502C">
        <w:t xml:space="preserve"> </w:t>
      </w:r>
      <w:r w:rsidRPr="00B24527">
        <w:t>not</w:t>
      </w:r>
      <w:r w:rsidR="0078502C">
        <w:t xml:space="preserve"> </w:t>
      </w:r>
      <w:r w:rsidRPr="00B24527">
        <w:t>fully</w:t>
      </w:r>
      <w:r w:rsidR="0078502C">
        <w:t xml:space="preserve"> </w:t>
      </w:r>
      <w:r w:rsidRPr="00B24527">
        <w:t>reflect</w:t>
      </w:r>
      <w:r w:rsidR="0078502C">
        <w:t xml:space="preserve"> </w:t>
      </w:r>
      <w:r w:rsidRPr="00B24527">
        <w:t>the</w:t>
      </w:r>
      <w:r w:rsidR="0078502C">
        <w:t xml:space="preserve"> </w:t>
      </w:r>
      <w:r w:rsidRPr="00B24527">
        <w:t>extent</w:t>
      </w:r>
      <w:r w:rsidR="0078502C">
        <w:t xml:space="preserve"> </w:t>
      </w:r>
      <w:r w:rsidRPr="00B24527">
        <w:t>of</w:t>
      </w:r>
      <w:r w:rsidR="0078502C">
        <w:t xml:space="preserve"> </w:t>
      </w:r>
      <w:r w:rsidRPr="00B24527">
        <w:t>the</w:t>
      </w:r>
      <w:r w:rsidR="0078502C">
        <w:t xml:space="preserve"> </w:t>
      </w:r>
      <w:r w:rsidRPr="00B24527">
        <w:t>progress</w:t>
      </w:r>
      <w:r w:rsidR="0078502C">
        <w:t xml:space="preserve"> </w:t>
      </w:r>
      <w:r w:rsidRPr="00B24527">
        <w:t>that</w:t>
      </w:r>
      <w:r w:rsidR="0078502C">
        <w:t xml:space="preserve"> </w:t>
      </w:r>
      <w:r w:rsidRPr="00B24527">
        <w:t>has</w:t>
      </w:r>
      <w:r w:rsidR="0078502C">
        <w:t xml:space="preserve"> </w:t>
      </w:r>
      <w:r w:rsidRPr="00B24527">
        <w:t>been</w:t>
      </w:r>
      <w:r w:rsidR="0078502C">
        <w:t xml:space="preserve"> </w:t>
      </w:r>
      <w:r w:rsidRPr="00B24527">
        <w:t>made</w:t>
      </w:r>
      <w:r w:rsidR="0078502C">
        <w:t xml:space="preserve"> </w:t>
      </w:r>
      <w:r w:rsidRPr="00B24527">
        <w:t>in</w:t>
      </w:r>
      <w:r w:rsidR="0078502C">
        <w:t xml:space="preserve"> </w:t>
      </w:r>
      <w:r w:rsidRPr="00B24527">
        <w:t>recent</w:t>
      </w:r>
      <w:r w:rsidR="0078502C">
        <w:t xml:space="preserve"> </w:t>
      </w:r>
      <w:r w:rsidRPr="00B24527">
        <w:t>years.</w:t>
      </w:r>
      <w:r w:rsidR="0078502C">
        <w:t xml:space="preserve"> </w:t>
      </w:r>
      <w:r w:rsidRPr="00B24527">
        <w:t>Breaking</w:t>
      </w:r>
      <w:r w:rsidR="0078502C">
        <w:t xml:space="preserve"> </w:t>
      </w:r>
      <w:r w:rsidRPr="00B24527">
        <w:t>down</w:t>
      </w:r>
      <w:r w:rsidR="0078502C">
        <w:t xml:space="preserve"> </w:t>
      </w:r>
      <w:r w:rsidRPr="00B24527">
        <w:t>the</w:t>
      </w:r>
      <w:r w:rsidR="0078502C">
        <w:t xml:space="preserve"> </w:t>
      </w:r>
      <w:r w:rsidRPr="00B24527">
        <w:t>most</w:t>
      </w:r>
      <w:r w:rsidR="0078502C">
        <w:t xml:space="preserve"> </w:t>
      </w:r>
      <w:r w:rsidRPr="00B24527">
        <w:t>recent</w:t>
      </w:r>
      <w:r w:rsidR="0078502C">
        <w:t xml:space="preserve"> </w:t>
      </w:r>
      <w:r w:rsidRPr="00B24527">
        <w:t>data</w:t>
      </w:r>
      <w:r w:rsidR="0078502C">
        <w:t xml:space="preserve"> </w:t>
      </w:r>
      <w:r w:rsidRPr="00B24527">
        <w:t>by</w:t>
      </w:r>
      <w:r w:rsidR="0078502C">
        <w:t xml:space="preserve"> </w:t>
      </w:r>
      <w:r w:rsidRPr="00B24527">
        <w:t>age</w:t>
      </w:r>
      <w:r w:rsidR="0078502C">
        <w:t xml:space="preserve"> </w:t>
      </w:r>
      <w:r w:rsidRPr="00B24527">
        <w:t>group</w:t>
      </w:r>
      <w:r w:rsidR="0078502C">
        <w:t xml:space="preserve"> </w:t>
      </w:r>
      <w:r w:rsidRPr="00B24527">
        <w:t>shows</w:t>
      </w:r>
      <w:r w:rsidR="0078502C">
        <w:t xml:space="preserve"> </w:t>
      </w:r>
      <w:r w:rsidRPr="00B24527">
        <w:t>that</w:t>
      </w:r>
      <w:r w:rsidR="0078502C">
        <w:t xml:space="preserve"> </w:t>
      </w:r>
      <w:r w:rsidRPr="00B24527">
        <w:t>the</w:t>
      </w:r>
      <w:r w:rsidR="0078502C">
        <w:t xml:space="preserve"> </w:t>
      </w:r>
      <w:r w:rsidRPr="00B24527">
        <w:t>prevalence</w:t>
      </w:r>
      <w:r w:rsidR="0078502C">
        <w:t xml:space="preserve"> </w:t>
      </w:r>
      <w:r w:rsidRPr="00B24527">
        <w:t>of</w:t>
      </w:r>
      <w:r w:rsidR="0078502C">
        <w:t xml:space="preserve"> </w:t>
      </w:r>
      <w:r w:rsidRPr="00B24527">
        <w:t>female</w:t>
      </w:r>
      <w:r w:rsidR="0078502C">
        <w:t xml:space="preserve"> </w:t>
      </w:r>
      <w:r w:rsidRPr="00B24527">
        <w:t>genital</w:t>
      </w:r>
      <w:r w:rsidR="0078502C">
        <w:t xml:space="preserve"> </w:t>
      </w:r>
      <w:r w:rsidRPr="00B24527">
        <w:t>mutilation</w:t>
      </w:r>
      <w:r w:rsidR="0078502C">
        <w:t xml:space="preserve"> </w:t>
      </w:r>
      <w:r w:rsidRPr="00B24527">
        <w:t>among</w:t>
      </w:r>
      <w:r w:rsidR="0078502C">
        <w:t xml:space="preserve"> </w:t>
      </w:r>
      <w:r w:rsidRPr="00B24527">
        <w:t>women</w:t>
      </w:r>
      <w:r w:rsidR="0078502C">
        <w:t xml:space="preserve"> </w:t>
      </w:r>
      <w:r w:rsidRPr="00B24527">
        <w:t>between</w:t>
      </w:r>
      <w:r w:rsidR="0078502C">
        <w:t xml:space="preserve"> </w:t>
      </w:r>
      <w:r w:rsidRPr="00B24527">
        <w:t>45</w:t>
      </w:r>
      <w:r w:rsidR="0078502C">
        <w:t xml:space="preserve"> </w:t>
      </w:r>
      <w:r w:rsidRPr="00B24527">
        <w:t>and</w:t>
      </w:r>
      <w:r w:rsidR="0078502C">
        <w:t xml:space="preserve"> </w:t>
      </w:r>
      <w:r w:rsidRPr="00B24527">
        <w:t>49</w:t>
      </w:r>
      <w:r w:rsidR="0078502C">
        <w:t xml:space="preserve"> </w:t>
      </w:r>
      <w:r w:rsidRPr="00B24527">
        <w:t>years</w:t>
      </w:r>
      <w:r w:rsidR="0078502C">
        <w:t xml:space="preserve"> </w:t>
      </w:r>
      <w:r w:rsidRPr="00B24527">
        <w:t>of</w:t>
      </w:r>
      <w:r w:rsidR="0078502C">
        <w:t xml:space="preserve"> </w:t>
      </w:r>
      <w:r w:rsidRPr="00B24527">
        <w:t>age</w:t>
      </w:r>
      <w:r w:rsidR="0078502C">
        <w:t xml:space="preserve"> </w:t>
      </w:r>
      <w:r w:rsidRPr="00B24527">
        <w:t>is</w:t>
      </w:r>
      <w:r w:rsidR="0078502C">
        <w:t xml:space="preserve"> </w:t>
      </w:r>
      <w:r w:rsidRPr="00B24527">
        <w:t>35.8</w:t>
      </w:r>
      <w:r w:rsidR="0078502C">
        <w:t xml:space="preserve"> </w:t>
      </w:r>
      <w:r w:rsidRPr="00B24527">
        <w:t>per</w:t>
      </w:r>
      <w:r w:rsidR="0078502C">
        <w:t xml:space="preserve"> </w:t>
      </w:r>
      <w:r w:rsidRPr="00B24527">
        <w:t>cent,</w:t>
      </w:r>
      <w:r w:rsidR="0078502C">
        <w:t xml:space="preserve"> </w:t>
      </w:r>
      <w:r w:rsidRPr="00B24527">
        <w:t>whereas</w:t>
      </w:r>
      <w:r w:rsidR="0078502C">
        <w:t xml:space="preserve"> </w:t>
      </w:r>
      <w:r w:rsidRPr="00B24527">
        <w:t>among</w:t>
      </w:r>
      <w:r w:rsidR="0078502C">
        <w:t xml:space="preserve"> </w:t>
      </w:r>
      <w:r w:rsidRPr="00B24527">
        <w:t>the</w:t>
      </w:r>
      <w:r w:rsidR="0078502C">
        <w:t xml:space="preserve"> </w:t>
      </w:r>
      <w:r w:rsidRPr="00B24527">
        <w:t>youngest</w:t>
      </w:r>
      <w:r w:rsidR="0078502C">
        <w:t xml:space="preserve"> </w:t>
      </w:r>
      <w:r w:rsidRPr="00B24527">
        <w:t>age</w:t>
      </w:r>
      <w:r w:rsidR="0078502C">
        <w:t xml:space="preserve"> </w:t>
      </w:r>
      <w:r w:rsidRPr="00B24527">
        <w:t>group,</w:t>
      </w:r>
      <w:r w:rsidR="0078502C">
        <w:t xml:space="preserve"> </w:t>
      </w:r>
      <w:r w:rsidRPr="00B24527">
        <w:t>it</w:t>
      </w:r>
      <w:r w:rsidR="0078502C">
        <w:t xml:space="preserve"> </w:t>
      </w:r>
      <w:r w:rsidRPr="00B24527">
        <w:t>has</w:t>
      </w:r>
      <w:r w:rsidR="0078502C">
        <w:t xml:space="preserve"> </w:t>
      </w:r>
      <w:r w:rsidRPr="00B24527">
        <w:t>fallen</w:t>
      </w:r>
      <w:r w:rsidR="0078502C">
        <w:t xml:space="preserve"> </w:t>
      </w:r>
      <w:r w:rsidRPr="00B24527">
        <w:t>to</w:t>
      </w:r>
      <w:r w:rsidR="0078502C">
        <w:t xml:space="preserve"> </w:t>
      </w:r>
      <w:r w:rsidRPr="00B24527">
        <w:t>15.3</w:t>
      </w:r>
      <w:r w:rsidR="0078502C">
        <w:t xml:space="preserve"> </w:t>
      </w:r>
      <w:r w:rsidRPr="00B24527">
        <w:t>per</w:t>
      </w:r>
      <w:r w:rsidR="0078502C">
        <w:t xml:space="preserve"> </w:t>
      </w:r>
      <w:r w:rsidRPr="00B24527">
        <w:t>cent,</w:t>
      </w:r>
      <w:r w:rsidR="0078502C">
        <w:t xml:space="preserve"> </w:t>
      </w:r>
      <w:r w:rsidRPr="00B24527">
        <w:t>according</w:t>
      </w:r>
      <w:r w:rsidR="0078502C">
        <w:t xml:space="preserve"> </w:t>
      </w:r>
      <w:r w:rsidRPr="00B24527">
        <w:t>to</w:t>
      </w:r>
      <w:r w:rsidR="0078502C">
        <w:t xml:space="preserve"> </w:t>
      </w:r>
      <w:r w:rsidRPr="00B24527">
        <w:t>data</w:t>
      </w:r>
      <w:r w:rsidR="0078502C">
        <w:t xml:space="preserve"> </w:t>
      </w:r>
      <w:r w:rsidRPr="00B24527">
        <w:t>from</w:t>
      </w:r>
      <w:r w:rsidR="0078502C">
        <w:t xml:space="preserve"> </w:t>
      </w:r>
      <w:r w:rsidRPr="00B24527">
        <w:t>the</w:t>
      </w:r>
      <w:r w:rsidR="0078502C">
        <w:t xml:space="preserve"> </w:t>
      </w:r>
      <w:r w:rsidRPr="00B24527">
        <w:t>National</w:t>
      </w:r>
      <w:r w:rsidR="0078502C">
        <w:t xml:space="preserve"> </w:t>
      </w:r>
      <w:r w:rsidRPr="00B24527">
        <w:t>Population</w:t>
      </w:r>
      <w:r w:rsidR="0078502C">
        <w:t xml:space="preserve"> </w:t>
      </w:r>
      <w:r w:rsidRPr="00B24527">
        <w:t>Commission</w:t>
      </w:r>
      <w:r w:rsidR="0078502C">
        <w:t xml:space="preserve"> </w:t>
      </w:r>
      <w:r w:rsidRPr="00B24527">
        <w:t>of</w:t>
      </w:r>
      <w:r w:rsidR="0078502C">
        <w:t xml:space="preserve"> </w:t>
      </w:r>
      <w:r w:rsidRPr="00B24527">
        <w:t>Nigeria,</w:t>
      </w:r>
      <w:r w:rsidR="0078502C">
        <w:t xml:space="preserve"> </w:t>
      </w:r>
      <w:r w:rsidRPr="00B24527">
        <w:t>from</w:t>
      </w:r>
      <w:r w:rsidR="0078502C">
        <w:t xml:space="preserve"> </w:t>
      </w:r>
      <w:r w:rsidRPr="00B24527">
        <w:t>June</w:t>
      </w:r>
      <w:r w:rsidR="0078502C">
        <w:t xml:space="preserve"> </w:t>
      </w:r>
      <w:r w:rsidRPr="00B24527">
        <w:t>2014.</w:t>
      </w:r>
    </w:p>
  </w:footnote>
  <w:footnote w:id="27">
    <w:p w14:paraId="17A09EF1" w14:textId="01CA7862"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rPr>
          <w:rFonts w:eastAsia="Calibri"/>
        </w:rPr>
        <w:t>Immigration</w:t>
      </w:r>
      <w:r w:rsidR="0078502C">
        <w:rPr>
          <w:rFonts w:eastAsia="Calibri"/>
        </w:rPr>
        <w:t xml:space="preserve"> </w:t>
      </w:r>
      <w:r w:rsidRPr="00B24527">
        <w:rPr>
          <w:rFonts w:eastAsia="Calibri"/>
        </w:rPr>
        <w:t>and</w:t>
      </w:r>
      <w:r w:rsidR="0078502C">
        <w:rPr>
          <w:rFonts w:eastAsia="Calibri"/>
        </w:rPr>
        <w:t xml:space="preserve"> </w:t>
      </w:r>
      <w:r w:rsidRPr="00B24527">
        <w:rPr>
          <w:rFonts w:eastAsia="Calibri"/>
        </w:rPr>
        <w:t>Refugee</w:t>
      </w:r>
      <w:r w:rsidR="0078502C">
        <w:rPr>
          <w:rFonts w:eastAsia="Calibri"/>
        </w:rPr>
        <w:t xml:space="preserve"> </w:t>
      </w:r>
      <w:r w:rsidRPr="00B24527">
        <w:rPr>
          <w:rFonts w:eastAsia="Calibri"/>
        </w:rPr>
        <w:t>Board</w:t>
      </w:r>
      <w:r w:rsidR="0078502C">
        <w:rPr>
          <w:rFonts w:eastAsia="Calibri"/>
        </w:rPr>
        <w:t xml:space="preserve"> </w:t>
      </w:r>
      <w:r w:rsidRPr="00B24527">
        <w:rPr>
          <w:rFonts w:eastAsia="Calibri"/>
        </w:rPr>
        <w:t>of</w:t>
      </w:r>
      <w:r w:rsidR="0078502C">
        <w:rPr>
          <w:rFonts w:eastAsia="Calibri"/>
        </w:rPr>
        <w:t xml:space="preserve"> </w:t>
      </w:r>
      <w:r w:rsidRPr="00B24527">
        <w:rPr>
          <w:rFonts w:eastAsia="Calibri"/>
        </w:rPr>
        <w:t>Canada</w:t>
      </w:r>
      <w:r w:rsidRPr="00B24527">
        <w:t>,</w:t>
      </w:r>
      <w:r w:rsidR="0078502C">
        <w:t xml:space="preserve"> </w:t>
      </w:r>
      <w:r w:rsidR="0012622D" w:rsidRPr="00B24527">
        <w:t>“</w:t>
      </w:r>
      <w:r w:rsidRPr="00B24527">
        <w:t>Nigeria:</w:t>
      </w:r>
      <w:r w:rsidR="0078502C">
        <w:t xml:space="preserve"> </w:t>
      </w:r>
      <w:r w:rsidRPr="00B24527">
        <w:t>prevalence</w:t>
      </w:r>
      <w:r w:rsidR="0078502C">
        <w:t xml:space="preserve"> </w:t>
      </w:r>
      <w:r w:rsidRPr="00B24527">
        <w:t>of</w:t>
      </w:r>
      <w:r w:rsidR="0078502C">
        <w:t xml:space="preserve"> </w:t>
      </w:r>
      <w:r w:rsidRPr="00B24527">
        <w:t>female</w:t>
      </w:r>
      <w:r w:rsidR="0078502C">
        <w:t xml:space="preserve"> </w:t>
      </w:r>
      <w:r w:rsidRPr="00B24527">
        <w:t>genital</w:t>
      </w:r>
      <w:r w:rsidR="0078502C">
        <w:t xml:space="preserve"> </w:t>
      </w:r>
      <w:r w:rsidRPr="00B24527">
        <w:t>mutilation</w:t>
      </w:r>
      <w:r w:rsidR="0012622D" w:rsidRPr="00B24527">
        <w:t>”</w:t>
      </w:r>
      <w:r w:rsidRPr="00B24527">
        <w:t>,</w:t>
      </w:r>
      <w:r w:rsidR="0078502C">
        <w:t xml:space="preserve"> </w:t>
      </w:r>
      <w:r w:rsidRPr="00B24527">
        <w:t>13</w:t>
      </w:r>
      <w:r w:rsidR="0078502C">
        <w:t xml:space="preserve"> </w:t>
      </w:r>
      <w:r w:rsidRPr="00B24527">
        <w:t>September</w:t>
      </w:r>
      <w:r w:rsidR="0078502C">
        <w:t xml:space="preserve"> </w:t>
      </w:r>
      <w:r w:rsidRPr="00B24527">
        <w:t>2016.</w:t>
      </w:r>
    </w:p>
  </w:footnote>
  <w:footnote w:id="28">
    <w:p w14:paraId="07FE47AA" w14:textId="5DC28D4A"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The</w:t>
      </w:r>
      <w:r w:rsidR="0078502C">
        <w:t xml:space="preserve"> </w:t>
      </w:r>
      <w:r w:rsidRPr="00B24527">
        <w:t>author</w:t>
      </w:r>
      <w:r w:rsidR="0078502C">
        <w:t xml:space="preserve"> </w:t>
      </w:r>
      <w:r w:rsidRPr="00B24527">
        <w:t>refers</w:t>
      </w:r>
      <w:r w:rsidR="0078502C">
        <w:t xml:space="preserve"> </w:t>
      </w:r>
      <w:r w:rsidRPr="00B24527">
        <w:t>to</w:t>
      </w:r>
      <w:r w:rsidR="0078502C">
        <w:t xml:space="preserve"> </w:t>
      </w:r>
      <w:r w:rsidRPr="00B24527">
        <w:t>the</w:t>
      </w:r>
      <w:r w:rsidR="0078502C">
        <w:t xml:space="preserve"> </w:t>
      </w:r>
      <w:r w:rsidRPr="00B24527">
        <w:t>following</w:t>
      </w:r>
      <w:r w:rsidR="0078502C">
        <w:t xml:space="preserve"> </w:t>
      </w:r>
      <w:r w:rsidRPr="00B24527">
        <w:t>documents:</w:t>
      </w:r>
      <w:r w:rsidR="0078502C">
        <w:t xml:space="preserve"> </w:t>
      </w:r>
      <w:r w:rsidRPr="00B24527">
        <w:t>Bright</w:t>
      </w:r>
      <w:r w:rsidR="0078502C">
        <w:t xml:space="preserve"> </w:t>
      </w:r>
      <w:r w:rsidRPr="00B24527">
        <w:t>E.</w:t>
      </w:r>
      <w:r w:rsidR="0078502C">
        <w:t xml:space="preserve"> </w:t>
      </w:r>
      <w:r w:rsidRPr="00B24527">
        <w:t>Oniha,</w:t>
      </w:r>
      <w:r w:rsidR="0078502C">
        <w:t xml:space="preserve"> </w:t>
      </w:r>
      <w:r w:rsidR="0012622D" w:rsidRPr="00B24527">
        <w:t>“</w:t>
      </w:r>
      <w:r w:rsidRPr="00B24527">
        <w:t>Dissolution</w:t>
      </w:r>
      <w:r w:rsidR="0078502C">
        <w:t xml:space="preserve"> </w:t>
      </w:r>
      <w:r w:rsidRPr="00B24527">
        <w:t>of</w:t>
      </w:r>
      <w:r w:rsidR="0078502C">
        <w:t xml:space="preserve"> </w:t>
      </w:r>
      <w:r w:rsidRPr="00B24527">
        <w:t>marriage</w:t>
      </w:r>
      <w:r w:rsidR="0078502C">
        <w:t xml:space="preserve"> </w:t>
      </w:r>
      <w:r w:rsidRPr="00B24527">
        <w:t>and</w:t>
      </w:r>
      <w:r w:rsidR="0078502C">
        <w:t xml:space="preserve"> </w:t>
      </w:r>
      <w:r w:rsidRPr="00B24527">
        <w:t>custody</w:t>
      </w:r>
      <w:r w:rsidR="0078502C">
        <w:t xml:space="preserve"> </w:t>
      </w:r>
      <w:r w:rsidRPr="00B24527">
        <w:t>of</w:t>
      </w:r>
      <w:r w:rsidR="0078502C">
        <w:t xml:space="preserve"> </w:t>
      </w:r>
      <w:r w:rsidRPr="00B24527">
        <w:t>children</w:t>
      </w:r>
      <w:r w:rsidR="0078502C">
        <w:t xml:space="preserve"> </w:t>
      </w:r>
      <w:r w:rsidRPr="00B24527">
        <w:t>under</w:t>
      </w:r>
      <w:r w:rsidR="0078502C">
        <w:t xml:space="preserve"> </w:t>
      </w:r>
      <w:r w:rsidRPr="00B24527">
        <w:t>customary</w:t>
      </w:r>
      <w:r w:rsidR="0078502C">
        <w:t xml:space="preserve"> </w:t>
      </w:r>
      <w:r w:rsidRPr="00B24527">
        <w:t>law</w:t>
      </w:r>
      <w:r w:rsidR="0078502C">
        <w:t xml:space="preserve"> </w:t>
      </w:r>
      <w:r w:rsidRPr="00B24527">
        <w:t>in</w:t>
      </w:r>
      <w:r w:rsidR="0078502C">
        <w:t xml:space="preserve"> </w:t>
      </w:r>
      <w:r w:rsidRPr="00B24527">
        <w:t>Nigeria</w:t>
      </w:r>
      <w:r w:rsidR="0012622D" w:rsidRPr="00B24527">
        <w:t>”</w:t>
      </w:r>
      <w:r w:rsidRPr="00B24527">
        <w:t>;</w:t>
      </w:r>
      <w:r w:rsidR="0078502C">
        <w:t xml:space="preserve"> </w:t>
      </w:r>
      <w:r w:rsidRPr="00B24527">
        <w:t>and</w:t>
      </w:r>
      <w:r w:rsidR="0078502C">
        <w:t xml:space="preserve"> </w:t>
      </w:r>
      <w:r w:rsidRPr="00B24527">
        <w:t>Efe</w:t>
      </w:r>
      <w:r w:rsidR="0078502C">
        <w:t xml:space="preserve"> </w:t>
      </w:r>
      <w:r w:rsidRPr="00B24527">
        <w:t>Etomi</w:t>
      </w:r>
      <w:r w:rsidR="0078502C">
        <w:t xml:space="preserve"> </w:t>
      </w:r>
      <w:r w:rsidRPr="00B24527">
        <w:t>and</w:t>
      </w:r>
      <w:r w:rsidR="0078502C">
        <w:t xml:space="preserve"> </w:t>
      </w:r>
      <w:r w:rsidRPr="00B24527">
        <w:t>Elvis</w:t>
      </w:r>
      <w:r w:rsidR="0078502C">
        <w:t xml:space="preserve"> </w:t>
      </w:r>
      <w:r w:rsidRPr="00B24527">
        <w:t>Asia,</w:t>
      </w:r>
      <w:r w:rsidR="0078502C">
        <w:t xml:space="preserve"> </w:t>
      </w:r>
      <w:r w:rsidR="0012622D" w:rsidRPr="00B24527">
        <w:t>“</w:t>
      </w:r>
      <w:r w:rsidRPr="00B24527">
        <w:t>Family</w:t>
      </w:r>
      <w:r w:rsidR="0078502C">
        <w:t xml:space="preserve"> </w:t>
      </w:r>
      <w:r w:rsidRPr="00B24527">
        <w:t>law</w:t>
      </w:r>
      <w:r w:rsidR="0078502C">
        <w:t xml:space="preserve"> </w:t>
      </w:r>
      <w:r w:rsidRPr="00B24527">
        <w:t>in</w:t>
      </w:r>
      <w:r w:rsidR="0078502C">
        <w:t xml:space="preserve"> </w:t>
      </w:r>
      <w:r w:rsidRPr="00B24527">
        <w:t>Nigeria:</w:t>
      </w:r>
      <w:r w:rsidR="0078502C">
        <w:t xml:space="preserve"> </w:t>
      </w:r>
      <w:r w:rsidRPr="00B24527">
        <w:t>overview</w:t>
      </w:r>
      <w:r w:rsidR="0012622D" w:rsidRPr="00B24527">
        <w:t>”</w:t>
      </w:r>
      <w:r w:rsidRPr="00B24527">
        <w:t>,</w:t>
      </w:r>
      <w:r w:rsidR="0078502C">
        <w:t xml:space="preserve"> </w:t>
      </w:r>
      <w:r w:rsidRPr="00B24527">
        <w:t>Thompson</w:t>
      </w:r>
      <w:r w:rsidR="0078502C">
        <w:t xml:space="preserve"> </w:t>
      </w:r>
      <w:r w:rsidRPr="00B24527">
        <w:t>Reuters</w:t>
      </w:r>
      <w:r w:rsidR="0078502C">
        <w:t xml:space="preserve"> </w:t>
      </w:r>
      <w:r w:rsidRPr="00B24527">
        <w:t>Practical</w:t>
      </w:r>
      <w:r w:rsidR="0078502C">
        <w:t xml:space="preserve"> </w:t>
      </w:r>
      <w:r w:rsidRPr="00B24527">
        <w:t>Law.</w:t>
      </w:r>
    </w:p>
  </w:footnote>
  <w:footnote w:id="29">
    <w:p w14:paraId="410FFC81" w14:textId="338B043A"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Bright</w:t>
      </w:r>
      <w:r w:rsidR="0078502C">
        <w:t xml:space="preserve"> </w:t>
      </w:r>
      <w:r w:rsidRPr="00B24527">
        <w:t>E.</w:t>
      </w:r>
      <w:r w:rsidR="0078502C">
        <w:t xml:space="preserve"> </w:t>
      </w:r>
      <w:r w:rsidRPr="00B24527">
        <w:t>Oniha,</w:t>
      </w:r>
      <w:r w:rsidR="0078502C">
        <w:t xml:space="preserve"> </w:t>
      </w:r>
      <w:r w:rsidR="0012622D" w:rsidRPr="00B24527">
        <w:t>“</w:t>
      </w:r>
      <w:r w:rsidRPr="00B24527">
        <w:t>Dissolution</w:t>
      </w:r>
      <w:r w:rsidR="0078502C">
        <w:t xml:space="preserve"> </w:t>
      </w:r>
      <w:r w:rsidRPr="00B24527">
        <w:t>of</w:t>
      </w:r>
      <w:r w:rsidR="0078502C">
        <w:t xml:space="preserve"> </w:t>
      </w:r>
      <w:r w:rsidRPr="00B24527">
        <w:t>marriage</w:t>
      </w:r>
      <w:r w:rsidR="0012622D" w:rsidRPr="00B24527">
        <w:t>”</w:t>
      </w:r>
      <w:r w:rsidRPr="00B24527">
        <w:t>,</w:t>
      </w:r>
      <w:r w:rsidR="0078502C">
        <w:t xml:space="preserve"> </w:t>
      </w:r>
      <w:r w:rsidRPr="00B24527">
        <w:t>pp.</w:t>
      </w:r>
      <w:r w:rsidR="0078502C">
        <w:t xml:space="preserve"> </w:t>
      </w:r>
      <w:r w:rsidRPr="00B24527">
        <w:t>19–20.</w:t>
      </w:r>
    </w:p>
  </w:footnote>
  <w:footnote w:id="30">
    <w:p w14:paraId="1D56C019" w14:textId="27E35C05"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Bertelsmann</w:t>
      </w:r>
      <w:r w:rsidR="0078502C">
        <w:t xml:space="preserve"> </w:t>
      </w:r>
      <w:r w:rsidRPr="00B24527">
        <w:t>Foundation,</w:t>
      </w:r>
      <w:r w:rsidR="0078502C">
        <w:t xml:space="preserve"> </w:t>
      </w:r>
      <w:r w:rsidR="0012622D" w:rsidRPr="00B24527">
        <w:t>“</w:t>
      </w:r>
      <w:r w:rsidRPr="00B24527">
        <w:t>BTI</w:t>
      </w:r>
      <w:r w:rsidR="0078502C">
        <w:t xml:space="preserve"> </w:t>
      </w:r>
      <w:r w:rsidRPr="00B24527">
        <w:t>2018</w:t>
      </w:r>
      <w:r w:rsidR="0078502C">
        <w:t xml:space="preserve"> </w:t>
      </w:r>
      <w:r w:rsidRPr="00B24527">
        <w:t>Country</w:t>
      </w:r>
      <w:r w:rsidR="0078502C">
        <w:t xml:space="preserve"> </w:t>
      </w:r>
      <w:r w:rsidRPr="00B24527">
        <w:t>Report</w:t>
      </w:r>
      <w:r w:rsidR="0078502C">
        <w:t xml:space="preserve"> </w:t>
      </w:r>
      <w:r w:rsidRPr="00B24527">
        <w:t>—</w:t>
      </w:r>
      <w:r w:rsidR="0078502C">
        <w:t xml:space="preserve"> </w:t>
      </w:r>
      <w:r w:rsidRPr="00B24527">
        <w:t>Nigeria</w:t>
      </w:r>
      <w:r w:rsidR="0012622D" w:rsidRPr="00B24527">
        <w:t>”</w:t>
      </w:r>
      <w:r w:rsidRPr="00B24527">
        <w:t>.</w:t>
      </w:r>
      <w:r w:rsidR="0078502C">
        <w:t xml:space="preserve"> </w:t>
      </w:r>
      <w:r w:rsidRPr="00B24527">
        <w:t>Available</w:t>
      </w:r>
      <w:r w:rsidR="0078502C">
        <w:t xml:space="preserve"> </w:t>
      </w:r>
      <w:r w:rsidRPr="00B24527">
        <w:t>from</w:t>
      </w:r>
      <w:r w:rsidR="0078502C">
        <w:t xml:space="preserve"> </w:t>
      </w:r>
      <w:r w:rsidRPr="00B24527">
        <w:t>https://www.ecoi.net/en/file/local/1427393/488302_en.pdf.</w:t>
      </w:r>
    </w:p>
  </w:footnote>
  <w:footnote w:id="31">
    <w:p w14:paraId="241453C1" w14:textId="70C144F2"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United</w:t>
      </w:r>
      <w:r w:rsidR="0078502C">
        <w:t xml:space="preserve"> </w:t>
      </w:r>
      <w:r w:rsidRPr="00B24527">
        <w:t>States</w:t>
      </w:r>
      <w:r w:rsidR="0078502C">
        <w:t xml:space="preserve"> </w:t>
      </w:r>
      <w:r w:rsidRPr="00B24527">
        <w:t>Department</w:t>
      </w:r>
      <w:r w:rsidR="0078502C">
        <w:t xml:space="preserve"> </w:t>
      </w:r>
      <w:r w:rsidRPr="00B24527">
        <w:t>of</w:t>
      </w:r>
      <w:r w:rsidR="0078502C">
        <w:t xml:space="preserve"> </w:t>
      </w:r>
      <w:r w:rsidRPr="00B24527">
        <w:t>State,</w:t>
      </w:r>
      <w:r w:rsidR="0078502C">
        <w:t xml:space="preserve"> </w:t>
      </w:r>
      <w:r w:rsidR="0012622D" w:rsidRPr="00B24527">
        <w:t>“</w:t>
      </w:r>
      <w:r w:rsidRPr="00B24527">
        <w:t>Country</w:t>
      </w:r>
      <w:r w:rsidR="0078502C">
        <w:t xml:space="preserve"> </w:t>
      </w:r>
      <w:r w:rsidRPr="00B24527">
        <w:t>report</w:t>
      </w:r>
      <w:r w:rsidR="0078502C">
        <w:t xml:space="preserve"> </w:t>
      </w:r>
      <w:r w:rsidRPr="00B24527">
        <w:t>on</w:t>
      </w:r>
      <w:r w:rsidR="0078502C">
        <w:t xml:space="preserve"> </w:t>
      </w:r>
      <w:r w:rsidRPr="00B24527">
        <w:t>human</w:t>
      </w:r>
      <w:r w:rsidR="0078502C">
        <w:t xml:space="preserve"> </w:t>
      </w:r>
      <w:r w:rsidRPr="00B24527">
        <w:t>rights</w:t>
      </w:r>
      <w:r w:rsidR="0078502C">
        <w:t xml:space="preserve"> </w:t>
      </w:r>
      <w:r w:rsidRPr="00B24527">
        <w:t>practices,</w:t>
      </w:r>
      <w:r w:rsidR="0078502C">
        <w:t xml:space="preserve"> </w:t>
      </w:r>
      <w:r w:rsidRPr="00B24527">
        <w:t>2017:</w:t>
      </w:r>
      <w:r w:rsidR="0078502C">
        <w:t xml:space="preserve"> </w:t>
      </w:r>
      <w:r w:rsidRPr="00B24527">
        <w:t>Nigeria</w:t>
      </w:r>
      <w:r w:rsidR="0012622D" w:rsidRPr="00B24527">
        <w:t>”</w:t>
      </w:r>
      <w:r w:rsidRPr="00B24527">
        <w:t>,</w:t>
      </w:r>
      <w:r w:rsidR="0078502C">
        <w:t xml:space="preserve"> </w:t>
      </w:r>
      <w:r w:rsidRPr="00B24527">
        <w:t>20</w:t>
      </w:r>
      <w:r w:rsidR="0078502C">
        <w:t xml:space="preserve"> </w:t>
      </w:r>
      <w:r w:rsidRPr="00B24527">
        <w:t>April</w:t>
      </w:r>
      <w:r w:rsidR="0078502C">
        <w:t xml:space="preserve"> </w:t>
      </w:r>
      <w:r w:rsidRPr="00B24527">
        <w:t>2018.</w:t>
      </w:r>
    </w:p>
  </w:footnote>
  <w:footnote w:id="32">
    <w:p w14:paraId="3ADDD055" w14:textId="5F254E04"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See</w:t>
      </w:r>
      <w:r w:rsidR="0078502C">
        <w:t xml:space="preserve"> </w:t>
      </w:r>
      <w:r w:rsidRPr="00B24527">
        <w:rPr>
          <w:i/>
          <w:iCs/>
        </w:rPr>
        <w:t>Kitok</w:t>
      </w:r>
      <w:r w:rsidR="0078502C">
        <w:rPr>
          <w:i/>
          <w:iCs/>
        </w:rPr>
        <w:t xml:space="preserve"> </w:t>
      </w:r>
      <w:r w:rsidRPr="00B24527">
        <w:rPr>
          <w:i/>
          <w:iCs/>
        </w:rPr>
        <w:t>v.</w:t>
      </w:r>
      <w:r w:rsidR="0078502C">
        <w:rPr>
          <w:i/>
          <w:iCs/>
        </w:rPr>
        <w:t xml:space="preserve"> </w:t>
      </w:r>
      <w:r w:rsidRPr="00B24527">
        <w:rPr>
          <w:i/>
          <w:iCs/>
        </w:rPr>
        <w:t>Sweden</w:t>
      </w:r>
      <w:r w:rsidRPr="00B24527">
        <w:t>.</w:t>
      </w:r>
    </w:p>
  </w:footnote>
  <w:footnote w:id="33">
    <w:p w14:paraId="6A8E0FB6" w14:textId="34BC7DEF" w:rsidR="009C1FB8" w:rsidRPr="00B24527" w:rsidRDefault="009C1FB8" w:rsidP="009C1FB8">
      <w:pPr>
        <w:pStyle w:val="FootnoteText"/>
        <w:rPr>
          <w:lang w:val="es-ES"/>
        </w:rPr>
      </w:pPr>
      <w:r w:rsidRPr="00B24527">
        <w:tab/>
      </w:r>
      <w:r w:rsidRPr="00B24527">
        <w:rPr>
          <w:rStyle w:val="FootnoteReference"/>
        </w:rPr>
        <w:footnoteRef/>
      </w:r>
      <w:r w:rsidRPr="00B24527">
        <w:rPr>
          <w:rStyle w:val="FootnoteReference"/>
        </w:rPr>
        <w:tab/>
      </w:r>
      <w:r w:rsidRPr="00B24527">
        <w:t>General</w:t>
      </w:r>
      <w:r w:rsidR="0078502C">
        <w:t xml:space="preserve"> </w:t>
      </w:r>
      <w:r w:rsidRPr="00B24527">
        <w:t>comment</w:t>
      </w:r>
      <w:r w:rsidR="0078502C">
        <w:t xml:space="preserve"> </w:t>
      </w:r>
      <w:r w:rsidRPr="00B24527">
        <w:t>No.</w:t>
      </w:r>
      <w:r w:rsidR="0078502C">
        <w:t xml:space="preserve"> </w:t>
      </w:r>
      <w:r w:rsidRPr="00B24527">
        <w:t>31</w:t>
      </w:r>
      <w:r w:rsidR="0078502C">
        <w:t xml:space="preserve"> </w:t>
      </w:r>
      <w:r w:rsidRPr="00B24527">
        <w:t>(2004)</w:t>
      </w:r>
      <w:r w:rsidR="0078502C">
        <w:t xml:space="preserve"> </w:t>
      </w:r>
      <w:r w:rsidRPr="00B24527">
        <w:t>on</w:t>
      </w:r>
      <w:r w:rsidR="0078502C">
        <w:t xml:space="preserve"> </w:t>
      </w:r>
      <w:r w:rsidRPr="00B24527">
        <w:t>the</w:t>
      </w:r>
      <w:r w:rsidR="0078502C">
        <w:t xml:space="preserve"> </w:t>
      </w:r>
      <w:r w:rsidRPr="00B24527">
        <w:t>nature</w:t>
      </w:r>
      <w:r w:rsidR="0078502C">
        <w:t xml:space="preserve"> </w:t>
      </w:r>
      <w:r w:rsidRPr="00B24527">
        <w:t>of</w:t>
      </w:r>
      <w:r w:rsidR="0078502C">
        <w:t xml:space="preserve"> </w:t>
      </w:r>
      <w:r w:rsidRPr="00B24527">
        <w:t>the</w:t>
      </w:r>
      <w:r w:rsidR="0078502C">
        <w:t xml:space="preserve"> </w:t>
      </w:r>
      <w:r w:rsidRPr="00B24527">
        <w:t>general</w:t>
      </w:r>
      <w:r w:rsidR="0078502C">
        <w:t xml:space="preserve"> </w:t>
      </w:r>
      <w:r w:rsidRPr="00B24527">
        <w:t>legal</w:t>
      </w:r>
      <w:r w:rsidR="0078502C">
        <w:t xml:space="preserve"> </w:t>
      </w:r>
      <w:r w:rsidRPr="00B24527">
        <w:t>obligation</w:t>
      </w:r>
      <w:r w:rsidR="0078502C">
        <w:t xml:space="preserve"> </w:t>
      </w:r>
      <w:r w:rsidRPr="00B24527">
        <w:t>imposed</w:t>
      </w:r>
      <w:r w:rsidR="0078502C">
        <w:t xml:space="preserve"> </w:t>
      </w:r>
      <w:r w:rsidRPr="00B24527">
        <w:t>on</w:t>
      </w:r>
      <w:r w:rsidR="0078502C">
        <w:t xml:space="preserve"> </w:t>
      </w:r>
      <w:r w:rsidRPr="00B24527">
        <w:t>States</w:t>
      </w:r>
      <w:r w:rsidR="0078502C">
        <w:t xml:space="preserve"> </w:t>
      </w:r>
      <w:r w:rsidRPr="00B24527">
        <w:t>parties</w:t>
      </w:r>
      <w:r w:rsidR="0078502C">
        <w:t xml:space="preserve"> </w:t>
      </w:r>
      <w:r w:rsidRPr="00B24527">
        <w:t>to</w:t>
      </w:r>
      <w:r w:rsidR="0078502C">
        <w:t xml:space="preserve"> </w:t>
      </w:r>
      <w:r w:rsidRPr="00B24527">
        <w:t>the</w:t>
      </w:r>
      <w:r w:rsidR="0078502C">
        <w:t xml:space="preserve"> </w:t>
      </w:r>
      <w:r w:rsidRPr="00B24527">
        <w:t>Covenant,</w:t>
      </w:r>
      <w:r w:rsidR="0078502C">
        <w:t xml:space="preserve"> </w:t>
      </w:r>
      <w:r w:rsidRPr="00B24527">
        <w:t>para.</w:t>
      </w:r>
      <w:r w:rsidR="0078502C">
        <w:t xml:space="preserve"> </w:t>
      </w:r>
      <w:r w:rsidRPr="00B24527">
        <w:rPr>
          <w:lang w:val="es-ES"/>
        </w:rPr>
        <w:t>12.</w:t>
      </w:r>
    </w:p>
  </w:footnote>
  <w:footnote w:id="34">
    <w:p w14:paraId="66FDBA37" w14:textId="03ADE3B1" w:rsidR="009C1FB8" w:rsidRPr="00B24527" w:rsidRDefault="009C1FB8" w:rsidP="009C1FB8">
      <w:pPr>
        <w:pStyle w:val="FootnoteText"/>
        <w:rPr>
          <w:lang w:val="es-ES"/>
        </w:rPr>
      </w:pPr>
      <w:r w:rsidRPr="00B24527">
        <w:rPr>
          <w:lang w:val="es-ES"/>
        </w:rPr>
        <w:tab/>
      </w:r>
      <w:r w:rsidRPr="00B24527">
        <w:rPr>
          <w:rStyle w:val="FootnoteReference"/>
        </w:rPr>
        <w:footnoteRef/>
      </w:r>
      <w:r w:rsidRPr="00B24527">
        <w:rPr>
          <w:rStyle w:val="FootnoteReference"/>
          <w:lang w:val="es-ES"/>
        </w:rPr>
        <w:tab/>
      </w:r>
      <w:r w:rsidRPr="00B24527">
        <w:rPr>
          <w:i/>
          <w:iCs/>
          <w:lang w:val="es-ES"/>
        </w:rPr>
        <w:t>X</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Denmark</w:t>
      </w:r>
      <w:proofErr w:type="spellEnd"/>
      <w:r w:rsidR="0078502C">
        <w:rPr>
          <w:lang w:val="es-ES"/>
        </w:rPr>
        <w:t xml:space="preserve"> </w:t>
      </w:r>
      <w:r w:rsidRPr="00B24527">
        <w:rPr>
          <w:lang w:val="es-ES"/>
        </w:rPr>
        <w:t>(</w:t>
      </w:r>
      <w:hyperlink r:id="rId2" w:history="1">
        <w:r w:rsidRPr="00B24527">
          <w:rPr>
            <w:rStyle w:val="Hyperlink"/>
            <w:u w:val="none"/>
            <w:lang w:val="es-ES"/>
          </w:rPr>
          <w:t>CCPR/C/110/D/2007/2010</w:t>
        </w:r>
      </w:hyperlink>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9.2;</w:t>
      </w:r>
      <w:r w:rsidR="0078502C">
        <w:rPr>
          <w:lang w:val="es-ES"/>
        </w:rPr>
        <w:t xml:space="preserve"> </w:t>
      </w:r>
      <w:r w:rsidRPr="00B24527">
        <w:rPr>
          <w:i/>
          <w:iCs/>
          <w:lang w:val="es-ES"/>
        </w:rPr>
        <w:t>A.R.J.</w:t>
      </w:r>
      <w:r w:rsidR="0078502C">
        <w:rPr>
          <w:i/>
          <w:iCs/>
          <w:lang w:val="es-ES"/>
        </w:rPr>
        <w:t xml:space="preserve"> </w:t>
      </w:r>
      <w:r w:rsidRPr="00B24527">
        <w:rPr>
          <w:i/>
          <w:iCs/>
          <w:lang w:val="es-ES"/>
        </w:rPr>
        <w:t>v.</w:t>
      </w:r>
      <w:r w:rsidR="0078502C">
        <w:rPr>
          <w:i/>
          <w:iCs/>
          <w:lang w:val="es-ES"/>
        </w:rPr>
        <w:t xml:space="preserve"> </w:t>
      </w:r>
      <w:r w:rsidRPr="00B24527">
        <w:rPr>
          <w:i/>
          <w:iCs/>
          <w:lang w:val="es-ES"/>
        </w:rPr>
        <w:t>Australia</w:t>
      </w:r>
      <w:r w:rsidR="0078502C">
        <w:rPr>
          <w:lang w:val="es-ES"/>
        </w:rPr>
        <w:t xml:space="preserve"> </w:t>
      </w:r>
      <w:r w:rsidRPr="00B24527">
        <w:rPr>
          <w:lang w:val="es-ES"/>
        </w:rPr>
        <w:t>(</w:t>
      </w:r>
      <w:hyperlink r:id="rId3" w:history="1">
        <w:r w:rsidRPr="00B24527">
          <w:rPr>
            <w:rStyle w:val="Hyperlink"/>
            <w:u w:val="none"/>
            <w:lang w:val="es-ES"/>
          </w:rPr>
          <w:t>CCPR/C/60/D/692/1996</w:t>
        </w:r>
      </w:hyperlink>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6.6;</w:t>
      </w:r>
      <w:r w:rsidR="0078502C">
        <w:rPr>
          <w:lang w:val="es-ES"/>
        </w:rPr>
        <w:t xml:space="preserve"> </w:t>
      </w:r>
      <w:r w:rsidRPr="00B24527">
        <w:rPr>
          <w:lang w:val="es-ES"/>
        </w:rPr>
        <w:t>and</w:t>
      </w:r>
      <w:r w:rsidR="0078502C">
        <w:rPr>
          <w:lang w:val="es-ES"/>
        </w:rPr>
        <w:t xml:space="preserve"> </w:t>
      </w:r>
      <w:r w:rsidRPr="00B24527">
        <w:rPr>
          <w:i/>
          <w:iCs/>
          <w:lang w:val="es-ES"/>
        </w:rPr>
        <w:t>X</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Sweden</w:t>
      </w:r>
      <w:proofErr w:type="spellEnd"/>
      <w:r w:rsidR="0078502C">
        <w:rPr>
          <w:lang w:val="es-ES"/>
        </w:rPr>
        <w:t xml:space="preserve"> </w:t>
      </w:r>
      <w:r w:rsidRPr="00B24527">
        <w:rPr>
          <w:lang w:val="es-ES"/>
        </w:rPr>
        <w:t>(</w:t>
      </w:r>
      <w:hyperlink r:id="rId4" w:history="1">
        <w:r w:rsidRPr="00B24527">
          <w:rPr>
            <w:rStyle w:val="Hyperlink"/>
            <w:u w:val="none"/>
            <w:lang w:val="es-ES"/>
          </w:rPr>
          <w:t>CCPR/C/103/D/1833/2008</w:t>
        </w:r>
      </w:hyperlink>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5.18.</w:t>
      </w:r>
    </w:p>
  </w:footnote>
  <w:footnote w:id="35">
    <w:p w14:paraId="2EDDCEE9" w14:textId="0BF34276" w:rsidR="009C1FB8" w:rsidRPr="00B24527" w:rsidRDefault="009C1FB8" w:rsidP="009C1FB8">
      <w:pPr>
        <w:pStyle w:val="FootnoteText"/>
        <w:rPr>
          <w:lang w:val="es-ES"/>
        </w:rPr>
      </w:pPr>
      <w:r w:rsidRPr="00B24527">
        <w:rPr>
          <w:lang w:val="es-ES"/>
        </w:rPr>
        <w:tab/>
      </w:r>
      <w:r w:rsidRPr="00B24527">
        <w:rPr>
          <w:rStyle w:val="FootnoteReference"/>
        </w:rPr>
        <w:footnoteRef/>
      </w:r>
      <w:r w:rsidRPr="00B24527">
        <w:rPr>
          <w:rStyle w:val="FootnoteReference"/>
          <w:lang w:val="es-ES"/>
        </w:rPr>
        <w:tab/>
      </w:r>
      <w:r w:rsidRPr="00B24527">
        <w:rPr>
          <w:i/>
          <w:iCs/>
          <w:lang w:val="es-ES"/>
        </w:rPr>
        <w:t>X</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Denmark</w:t>
      </w:r>
      <w:proofErr w:type="spellEnd"/>
      <w:r w:rsidRPr="00B24527">
        <w:rPr>
          <w:lang w:val="es-ES"/>
        </w:rPr>
        <w:t>,</w:t>
      </w:r>
      <w:r w:rsidR="0078502C">
        <w:rPr>
          <w:lang w:val="es-ES"/>
        </w:rPr>
        <w:t xml:space="preserve"> </w:t>
      </w:r>
      <w:r w:rsidRPr="00B24527">
        <w:rPr>
          <w:lang w:val="es-ES"/>
        </w:rPr>
        <w:t>para.</w:t>
      </w:r>
      <w:r w:rsidR="0078502C">
        <w:rPr>
          <w:lang w:val="es-ES"/>
        </w:rPr>
        <w:t xml:space="preserve"> </w:t>
      </w:r>
      <w:r w:rsidRPr="00C80194">
        <w:rPr>
          <w:lang w:val="es-ES"/>
        </w:rPr>
        <w:t>9.2;</w:t>
      </w:r>
      <w:r w:rsidR="0078502C" w:rsidRPr="00C80194">
        <w:rPr>
          <w:lang w:val="es-ES"/>
        </w:rPr>
        <w:t xml:space="preserve"> </w:t>
      </w:r>
      <w:r w:rsidRPr="00C80194">
        <w:rPr>
          <w:lang w:val="es-ES"/>
        </w:rPr>
        <w:t>and</w:t>
      </w:r>
      <w:r w:rsidR="0078502C" w:rsidRPr="00C80194">
        <w:rPr>
          <w:lang w:val="es-ES"/>
        </w:rPr>
        <w:t xml:space="preserve"> </w:t>
      </w:r>
      <w:r w:rsidRPr="00C80194">
        <w:rPr>
          <w:i/>
          <w:iCs/>
          <w:lang w:val="es-ES"/>
        </w:rPr>
        <w:t>X</w:t>
      </w:r>
      <w:r w:rsidR="0078502C" w:rsidRPr="00C80194">
        <w:rPr>
          <w:i/>
          <w:iCs/>
          <w:lang w:val="es-ES"/>
        </w:rPr>
        <w:t xml:space="preserve"> </w:t>
      </w:r>
      <w:r w:rsidRPr="00C80194">
        <w:rPr>
          <w:i/>
          <w:iCs/>
          <w:lang w:val="es-ES"/>
        </w:rPr>
        <w:t>v.</w:t>
      </w:r>
      <w:r w:rsidR="0078502C" w:rsidRPr="00C80194">
        <w:rPr>
          <w:i/>
          <w:iCs/>
          <w:lang w:val="es-ES"/>
        </w:rPr>
        <w:t xml:space="preserve"> </w:t>
      </w:r>
      <w:r w:rsidRPr="00C80194">
        <w:rPr>
          <w:i/>
          <w:iCs/>
          <w:lang w:val="es-ES"/>
        </w:rPr>
        <w:t>Sweden</w:t>
      </w:r>
      <w:r w:rsidRPr="00C80194">
        <w:rPr>
          <w:lang w:val="es-ES"/>
        </w:rPr>
        <w:t>,</w:t>
      </w:r>
      <w:r w:rsidR="0078502C" w:rsidRPr="00C80194">
        <w:rPr>
          <w:lang w:val="es-ES"/>
        </w:rPr>
        <w:t xml:space="preserve"> </w:t>
      </w:r>
      <w:r w:rsidRPr="00C80194">
        <w:rPr>
          <w:lang w:val="es-ES"/>
        </w:rPr>
        <w:t>para.</w:t>
      </w:r>
      <w:r w:rsidR="0078502C" w:rsidRPr="00C80194">
        <w:rPr>
          <w:lang w:val="es-ES"/>
        </w:rPr>
        <w:t xml:space="preserve"> </w:t>
      </w:r>
      <w:r w:rsidRPr="00B24527">
        <w:rPr>
          <w:lang w:val="es-ES"/>
        </w:rPr>
        <w:t>5.18.</w:t>
      </w:r>
    </w:p>
  </w:footnote>
  <w:footnote w:id="36">
    <w:p w14:paraId="0E578EF3" w14:textId="470F6840" w:rsidR="009C1FB8" w:rsidRPr="00B24527" w:rsidRDefault="009C1FB8" w:rsidP="009C1FB8">
      <w:pPr>
        <w:pStyle w:val="FootnoteText"/>
      </w:pPr>
      <w:r w:rsidRPr="00B24527">
        <w:rPr>
          <w:lang w:val="es-ES"/>
        </w:rPr>
        <w:tab/>
      </w:r>
      <w:r w:rsidRPr="00B24527">
        <w:rPr>
          <w:rStyle w:val="FootnoteReference"/>
        </w:rPr>
        <w:footnoteRef/>
      </w:r>
      <w:r w:rsidRPr="00B24527">
        <w:rPr>
          <w:rStyle w:val="FootnoteReference"/>
          <w:lang w:val="es-ES"/>
        </w:rPr>
        <w:tab/>
      </w:r>
      <w:r w:rsidRPr="00B24527">
        <w:rPr>
          <w:i/>
          <w:szCs w:val="24"/>
          <w:lang w:val="es-ES"/>
        </w:rPr>
        <w:t>Khan</w:t>
      </w:r>
      <w:r w:rsidR="0078502C">
        <w:rPr>
          <w:i/>
          <w:szCs w:val="24"/>
          <w:lang w:val="es-ES"/>
        </w:rPr>
        <w:t xml:space="preserve"> </w:t>
      </w:r>
      <w:r w:rsidRPr="00B24527">
        <w:rPr>
          <w:i/>
          <w:szCs w:val="24"/>
          <w:lang w:val="es-ES"/>
        </w:rPr>
        <w:t>v.</w:t>
      </w:r>
      <w:r w:rsidR="0078502C">
        <w:rPr>
          <w:i/>
          <w:szCs w:val="24"/>
          <w:lang w:val="es-ES"/>
        </w:rPr>
        <w:t xml:space="preserve"> </w:t>
      </w:r>
      <w:proofErr w:type="spellStart"/>
      <w:r w:rsidRPr="00B24527">
        <w:rPr>
          <w:i/>
          <w:szCs w:val="24"/>
          <w:lang w:val="es-ES"/>
        </w:rPr>
        <w:t>Canada</w:t>
      </w:r>
      <w:proofErr w:type="spellEnd"/>
      <w:r w:rsidR="0078502C">
        <w:rPr>
          <w:szCs w:val="24"/>
          <w:lang w:val="es-ES"/>
        </w:rPr>
        <w:t xml:space="preserve"> </w:t>
      </w:r>
      <w:r w:rsidRPr="00B24527">
        <w:rPr>
          <w:szCs w:val="24"/>
          <w:lang w:val="es-ES"/>
        </w:rPr>
        <w:t>(</w:t>
      </w:r>
      <w:hyperlink r:id="rId5" w:history="1">
        <w:r w:rsidRPr="00B24527">
          <w:rPr>
            <w:rStyle w:val="Hyperlink"/>
            <w:szCs w:val="24"/>
            <w:u w:val="none"/>
            <w:lang w:val="es-ES"/>
          </w:rPr>
          <w:t>CCPR/C/87/D/1302/2004</w:t>
        </w:r>
      </w:hyperlink>
      <w:r w:rsidRPr="00B24527">
        <w:rPr>
          <w:szCs w:val="24"/>
          <w:lang w:val="es-ES"/>
        </w:rPr>
        <w:t>),</w:t>
      </w:r>
      <w:r w:rsidR="0078502C">
        <w:rPr>
          <w:szCs w:val="24"/>
          <w:lang w:val="es-ES"/>
        </w:rPr>
        <w:t xml:space="preserve"> </w:t>
      </w:r>
      <w:r w:rsidRPr="00B24527">
        <w:rPr>
          <w:szCs w:val="24"/>
          <w:lang w:val="es-ES"/>
        </w:rPr>
        <w:t>para.</w:t>
      </w:r>
      <w:r w:rsidR="0078502C">
        <w:rPr>
          <w:szCs w:val="24"/>
          <w:lang w:val="es-ES"/>
        </w:rPr>
        <w:t xml:space="preserve"> </w:t>
      </w:r>
      <w:r w:rsidRPr="00B24527">
        <w:rPr>
          <w:szCs w:val="24"/>
          <w:lang w:val="es-ES"/>
        </w:rPr>
        <w:t>5.4;</w:t>
      </w:r>
      <w:r w:rsidR="0078502C">
        <w:rPr>
          <w:szCs w:val="24"/>
          <w:lang w:val="es-ES"/>
        </w:rPr>
        <w:t xml:space="preserve"> </w:t>
      </w:r>
      <w:r w:rsidRPr="00B24527">
        <w:rPr>
          <w:szCs w:val="24"/>
          <w:lang w:val="es-ES"/>
        </w:rPr>
        <w:t>and</w:t>
      </w:r>
      <w:r w:rsidR="0078502C">
        <w:rPr>
          <w:szCs w:val="24"/>
          <w:lang w:val="es-ES"/>
        </w:rPr>
        <w:t xml:space="preserve"> </w:t>
      </w:r>
      <w:r w:rsidRPr="00B24527">
        <w:rPr>
          <w:i/>
          <w:szCs w:val="24"/>
          <w:lang w:val="es-ES"/>
        </w:rPr>
        <w:t>A</w:t>
      </w:r>
      <w:r w:rsidR="0078502C">
        <w:rPr>
          <w:i/>
          <w:szCs w:val="24"/>
          <w:lang w:val="es-ES"/>
        </w:rPr>
        <w:t xml:space="preserve"> </w:t>
      </w:r>
      <w:r w:rsidRPr="00B24527">
        <w:rPr>
          <w:i/>
          <w:szCs w:val="24"/>
          <w:lang w:val="es-ES"/>
        </w:rPr>
        <w:t>et</w:t>
      </w:r>
      <w:r w:rsidR="0078502C">
        <w:rPr>
          <w:i/>
          <w:szCs w:val="24"/>
          <w:lang w:val="es-ES"/>
        </w:rPr>
        <w:t xml:space="preserve"> </w:t>
      </w:r>
      <w:r w:rsidRPr="00B24527">
        <w:rPr>
          <w:i/>
          <w:szCs w:val="24"/>
          <w:lang w:val="es-ES"/>
        </w:rPr>
        <w:t>al</w:t>
      </w:r>
      <w:r w:rsidR="0078502C">
        <w:rPr>
          <w:i/>
          <w:szCs w:val="24"/>
          <w:lang w:val="es-ES"/>
        </w:rPr>
        <w:t xml:space="preserve"> </w:t>
      </w:r>
      <w:r w:rsidRPr="00B24527">
        <w:rPr>
          <w:i/>
          <w:szCs w:val="24"/>
          <w:lang w:val="es-ES"/>
        </w:rPr>
        <w:t>v.</w:t>
      </w:r>
      <w:r w:rsidR="0078502C">
        <w:rPr>
          <w:i/>
          <w:szCs w:val="24"/>
          <w:lang w:val="es-ES"/>
        </w:rPr>
        <w:t xml:space="preserve"> </w:t>
      </w:r>
      <w:r w:rsidRPr="00B24527">
        <w:rPr>
          <w:i/>
          <w:szCs w:val="24"/>
          <w:lang w:val="es-ES"/>
        </w:rPr>
        <w:t>Australia</w:t>
      </w:r>
      <w:r w:rsidR="0078502C">
        <w:rPr>
          <w:szCs w:val="24"/>
          <w:lang w:val="es-ES"/>
        </w:rPr>
        <w:t xml:space="preserve"> </w:t>
      </w:r>
      <w:r w:rsidRPr="00B24527">
        <w:rPr>
          <w:szCs w:val="24"/>
          <w:lang w:val="es-ES"/>
        </w:rPr>
        <w:t>(</w:t>
      </w:r>
      <w:hyperlink r:id="rId6" w:history="1">
        <w:r w:rsidRPr="00B24527">
          <w:rPr>
            <w:rStyle w:val="Hyperlink"/>
            <w:szCs w:val="24"/>
            <w:u w:val="none"/>
            <w:lang w:val="es-ES"/>
          </w:rPr>
          <w:t>CCPR/C/92/D/1429/2005</w:t>
        </w:r>
      </w:hyperlink>
      <w:r w:rsidRPr="00B24527">
        <w:rPr>
          <w:szCs w:val="24"/>
          <w:lang w:val="es-ES"/>
        </w:rPr>
        <w:t>),</w:t>
      </w:r>
      <w:r w:rsidR="0078502C">
        <w:rPr>
          <w:szCs w:val="24"/>
          <w:lang w:val="es-ES"/>
        </w:rPr>
        <w:t xml:space="preserve"> </w:t>
      </w:r>
      <w:r w:rsidRPr="00B24527">
        <w:rPr>
          <w:szCs w:val="24"/>
          <w:lang w:val="es-ES"/>
        </w:rPr>
        <w:t>para.</w:t>
      </w:r>
      <w:r w:rsidR="0078502C">
        <w:rPr>
          <w:szCs w:val="24"/>
          <w:lang w:val="es-ES"/>
        </w:rPr>
        <w:t xml:space="preserve"> </w:t>
      </w:r>
      <w:r w:rsidRPr="00B24527">
        <w:rPr>
          <w:szCs w:val="24"/>
        </w:rPr>
        <w:t>6.3.</w:t>
      </w:r>
    </w:p>
  </w:footnote>
  <w:footnote w:id="37">
    <w:p w14:paraId="5013ACA2" w14:textId="49A70202"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General</w:t>
      </w:r>
      <w:r w:rsidR="0078502C">
        <w:t xml:space="preserve"> </w:t>
      </w:r>
      <w:r w:rsidRPr="00B24527">
        <w:t>comment</w:t>
      </w:r>
      <w:r w:rsidR="0078502C">
        <w:t xml:space="preserve"> </w:t>
      </w:r>
      <w:r w:rsidRPr="00B24527">
        <w:t>No.</w:t>
      </w:r>
      <w:r w:rsidR="0078502C">
        <w:t xml:space="preserve"> </w:t>
      </w:r>
      <w:r w:rsidRPr="00B24527">
        <w:t>17</w:t>
      </w:r>
      <w:r w:rsidR="0078502C">
        <w:t xml:space="preserve"> </w:t>
      </w:r>
      <w:r w:rsidRPr="00B24527">
        <w:t>(1989)</w:t>
      </w:r>
      <w:r w:rsidR="0078502C">
        <w:t xml:space="preserve"> </w:t>
      </w:r>
      <w:r w:rsidRPr="00B24527">
        <w:t>on</w:t>
      </w:r>
      <w:r w:rsidR="0078502C">
        <w:t xml:space="preserve"> </w:t>
      </w:r>
      <w:r w:rsidRPr="00B24527">
        <w:t>the</w:t>
      </w:r>
      <w:r w:rsidR="0078502C">
        <w:t xml:space="preserve"> </w:t>
      </w:r>
      <w:r w:rsidRPr="00B24527">
        <w:t>rights</w:t>
      </w:r>
      <w:r w:rsidR="0078502C">
        <w:t xml:space="preserve"> </w:t>
      </w:r>
      <w:r w:rsidRPr="00B24527">
        <w:t>of</w:t>
      </w:r>
      <w:r w:rsidR="0078502C">
        <w:t xml:space="preserve"> </w:t>
      </w:r>
      <w:r w:rsidRPr="00B24527">
        <w:t>the</w:t>
      </w:r>
      <w:r w:rsidR="0078502C">
        <w:t xml:space="preserve"> </w:t>
      </w:r>
      <w:r w:rsidRPr="00B24527">
        <w:t>child,</w:t>
      </w:r>
      <w:r w:rsidR="0078502C">
        <w:t xml:space="preserve"> </w:t>
      </w:r>
      <w:r w:rsidRPr="00B24527">
        <w:t>para.</w:t>
      </w:r>
      <w:r w:rsidR="0078502C">
        <w:t xml:space="preserve"> </w:t>
      </w:r>
      <w:r w:rsidRPr="00B24527">
        <w:t>7.</w:t>
      </w:r>
    </w:p>
  </w:footnote>
  <w:footnote w:id="38">
    <w:p w14:paraId="4AE1209B" w14:textId="25A35254" w:rsidR="0012622D" w:rsidRPr="00B24527" w:rsidRDefault="0012622D" w:rsidP="0012622D">
      <w:pPr>
        <w:pStyle w:val="FootnoteText"/>
        <w:widowControl w:val="0"/>
        <w:tabs>
          <w:tab w:val="clear" w:pos="1021"/>
          <w:tab w:val="right" w:pos="1020"/>
        </w:tabs>
      </w:pPr>
      <w:r w:rsidRPr="00B24527">
        <w:tab/>
      </w:r>
      <w:r w:rsidRPr="00B24527">
        <w:rPr>
          <w:rStyle w:val="FootnoteReference"/>
        </w:rPr>
        <w:footnoteRef/>
      </w:r>
      <w:r w:rsidRPr="00B24527">
        <w:rPr>
          <w:rStyle w:val="FootnoteReference"/>
        </w:rPr>
        <w:tab/>
      </w:r>
      <w:r w:rsidRPr="00B24527">
        <w:rPr>
          <w:i/>
          <w:iCs/>
        </w:rPr>
        <w:t>A.G.</w:t>
      </w:r>
      <w:r w:rsidR="0078502C">
        <w:rPr>
          <w:i/>
          <w:iCs/>
        </w:rPr>
        <w:t xml:space="preserve"> </w:t>
      </w:r>
      <w:r w:rsidRPr="00B24527">
        <w:rPr>
          <w:i/>
          <w:iCs/>
        </w:rPr>
        <w:t>et</w:t>
      </w:r>
      <w:r w:rsidR="0078502C">
        <w:rPr>
          <w:i/>
          <w:iCs/>
        </w:rPr>
        <w:t xml:space="preserve"> </w:t>
      </w:r>
      <w:r w:rsidRPr="00B24527">
        <w:rPr>
          <w:i/>
          <w:iCs/>
        </w:rPr>
        <w:t>al</w:t>
      </w:r>
      <w:r w:rsidR="0078502C">
        <w:rPr>
          <w:i/>
          <w:iCs/>
        </w:rPr>
        <w:t xml:space="preserve"> </w:t>
      </w:r>
      <w:r w:rsidRPr="00B24527">
        <w:rPr>
          <w:i/>
          <w:iCs/>
        </w:rPr>
        <w:t>v.</w:t>
      </w:r>
      <w:r w:rsidR="0078502C">
        <w:rPr>
          <w:i/>
          <w:iCs/>
        </w:rPr>
        <w:t xml:space="preserve"> </w:t>
      </w:r>
      <w:r w:rsidRPr="00B24527">
        <w:rPr>
          <w:i/>
          <w:iCs/>
        </w:rPr>
        <w:t>Angola</w:t>
      </w:r>
      <w:r w:rsidR="0078502C">
        <w:t xml:space="preserve"> </w:t>
      </w:r>
      <w:r w:rsidRPr="00B24527">
        <w:t>(</w:t>
      </w:r>
      <w:hyperlink r:id="rId7" w:history="1">
        <w:r w:rsidRPr="00B24527">
          <w:rPr>
            <w:rStyle w:val="Hyperlink"/>
            <w:u w:val="none"/>
          </w:rPr>
          <w:t>CCPR/C/129/D/3106/2018-3122/2018</w:t>
        </w:r>
      </w:hyperlink>
      <w:r w:rsidRPr="00B24527">
        <w:t>),</w:t>
      </w:r>
      <w:r w:rsidR="0078502C">
        <w:t xml:space="preserve"> </w:t>
      </w:r>
      <w:r w:rsidRPr="00B24527">
        <w:t>paras.</w:t>
      </w:r>
      <w:r w:rsidR="0078502C">
        <w:t xml:space="preserve"> </w:t>
      </w:r>
      <w:r w:rsidRPr="00B24527">
        <w:t>7.5–7.6.</w:t>
      </w:r>
    </w:p>
  </w:footnote>
  <w:footnote w:id="39">
    <w:p w14:paraId="36DFE0CC" w14:textId="47AF26C3" w:rsidR="009C1FB8" w:rsidRPr="00A83217" w:rsidRDefault="009C1FB8" w:rsidP="009C1FB8">
      <w:pPr>
        <w:pStyle w:val="FootnoteText"/>
      </w:pPr>
      <w:r w:rsidRPr="00B24527">
        <w:tab/>
      </w:r>
      <w:r w:rsidRPr="00B24527">
        <w:rPr>
          <w:rStyle w:val="FootnoteReference"/>
        </w:rPr>
        <w:footnoteRef/>
      </w:r>
      <w:r w:rsidR="0078502C">
        <w:rPr>
          <w:rStyle w:val="FootnoteReference"/>
        </w:rPr>
        <w:t xml:space="preserve"> </w:t>
      </w:r>
      <w:r w:rsidRPr="00B24527">
        <w:tab/>
        <w:t>General</w:t>
      </w:r>
      <w:r w:rsidR="0078502C">
        <w:t xml:space="preserve"> </w:t>
      </w:r>
      <w:r w:rsidRPr="00B24527">
        <w:t>comment</w:t>
      </w:r>
      <w:r w:rsidR="0078502C">
        <w:t xml:space="preserve"> </w:t>
      </w:r>
      <w:r w:rsidRPr="00B24527">
        <w:t>No.</w:t>
      </w:r>
      <w:r w:rsidR="0078502C">
        <w:t xml:space="preserve"> </w:t>
      </w:r>
      <w:r w:rsidRPr="00B24527">
        <w:t>31</w:t>
      </w:r>
      <w:r w:rsidR="0078502C">
        <w:t xml:space="preserve"> </w:t>
      </w:r>
      <w:r w:rsidRPr="00B24527">
        <w:t>(2004)</w:t>
      </w:r>
      <w:r w:rsidR="0078502C">
        <w:t xml:space="preserve"> </w:t>
      </w:r>
      <w:r w:rsidRPr="00B24527">
        <w:t>on</w:t>
      </w:r>
      <w:r w:rsidR="0078502C">
        <w:t xml:space="preserve"> </w:t>
      </w:r>
      <w:r w:rsidRPr="00B24527">
        <w:t>the</w:t>
      </w:r>
      <w:r w:rsidR="0078502C">
        <w:t xml:space="preserve"> </w:t>
      </w:r>
      <w:r w:rsidRPr="00B24527">
        <w:t>nature</w:t>
      </w:r>
      <w:r w:rsidR="0078502C">
        <w:t xml:space="preserve"> </w:t>
      </w:r>
      <w:r w:rsidRPr="00B24527">
        <w:t>of</w:t>
      </w:r>
      <w:r w:rsidR="0078502C">
        <w:t xml:space="preserve"> </w:t>
      </w:r>
      <w:r w:rsidRPr="00B24527">
        <w:t>the</w:t>
      </w:r>
      <w:r w:rsidR="0078502C">
        <w:t xml:space="preserve"> </w:t>
      </w:r>
      <w:r w:rsidRPr="00B24527">
        <w:t>general</w:t>
      </w:r>
      <w:r w:rsidR="0078502C">
        <w:t xml:space="preserve"> </w:t>
      </w:r>
      <w:r w:rsidRPr="00B24527">
        <w:t>legal</w:t>
      </w:r>
      <w:r w:rsidR="0078502C">
        <w:t xml:space="preserve"> </w:t>
      </w:r>
      <w:r w:rsidRPr="00B24527">
        <w:t>obligation</w:t>
      </w:r>
      <w:r w:rsidR="0078502C">
        <w:t xml:space="preserve"> </w:t>
      </w:r>
      <w:r w:rsidRPr="00B24527">
        <w:t>imposed</w:t>
      </w:r>
      <w:r w:rsidR="0078502C">
        <w:t xml:space="preserve"> </w:t>
      </w:r>
      <w:r w:rsidRPr="00B24527">
        <w:t>on</w:t>
      </w:r>
      <w:r w:rsidR="0078502C">
        <w:t xml:space="preserve"> </w:t>
      </w:r>
      <w:r w:rsidRPr="00B24527">
        <w:t>States</w:t>
      </w:r>
      <w:r w:rsidR="0078502C">
        <w:t xml:space="preserve"> </w:t>
      </w:r>
      <w:r w:rsidRPr="00B24527">
        <w:t>parties</w:t>
      </w:r>
      <w:r w:rsidR="0078502C">
        <w:t xml:space="preserve"> </w:t>
      </w:r>
      <w:r w:rsidRPr="00B24527">
        <w:t>to</w:t>
      </w:r>
      <w:r w:rsidR="0078502C">
        <w:t xml:space="preserve"> </w:t>
      </w:r>
      <w:r w:rsidRPr="00B24527">
        <w:t>the</w:t>
      </w:r>
      <w:r w:rsidR="0078502C">
        <w:t xml:space="preserve"> </w:t>
      </w:r>
      <w:r w:rsidRPr="00B24527">
        <w:t>Covenant,</w:t>
      </w:r>
      <w:r w:rsidR="0078502C">
        <w:t xml:space="preserve"> </w:t>
      </w:r>
      <w:r w:rsidRPr="00B24527">
        <w:t>para.</w:t>
      </w:r>
      <w:r w:rsidR="0078502C">
        <w:t xml:space="preserve"> </w:t>
      </w:r>
      <w:r w:rsidRPr="00B24527">
        <w:rPr>
          <w:lang w:val="es-ES"/>
        </w:rPr>
        <w:t>12;</w:t>
      </w:r>
      <w:r w:rsidR="0078502C">
        <w:rPr>
          <w:lang w:val="es-ES"/>
        </w:rPr>
        <w:t xml:space="preserve"> </w:t>
      </w:r>
      <w:proofErr w:type="spellStart"/>
      <w:r w:rsidRPr="00B24527">
        <w:rPr>
          <w:i/>
          <w:iCs/>
          <w:lang w:val="es-ES"/>
        </w:rPr>
        <w:t>Kaba</w:t>
      </w:r>
      <w:proofErr w:type="spellEnd"/>
      <w:r w:rsidR="0078502C">
        <w:rPr>
          <w:i/>
          <w:iCs/>
          <w:lang w:val="es-ES"/>
        </w:rPr>
        <w:t xml:space="preserve"> </w:t>
      </w:r>
      <w:r w:rsidRPr="00B24527">
        <w:rPr>
          <w:i/>
          <w:szCs w:val="18"/>
          <w:lang w:val="es-ES"/>
        </w:rPr>
        <w:t>and</w:t>
      </w:r>
      <w:r w:rsidR="0078502C">
        <w:rPr>
          <w:i/>
          <w:szCs w:val="18"/>
          <w:lang w:val="es-ES"/>
        </w:rPr>
        <w:t xml:space="preserve"> </w:t>
      </w:r>
      <w:proofErr w:type="spellStart"/>
      <w:r w:rsidRPr="00B24527">
        <w:rPr>
          <w:i/>
          <w:szCs w:val="18"/>
          <w:lang w:val="es-ES"/>
        </w:rPr>
        <w:t>Kaba</w:t>
      </w:r>
      <w:proofErr w:type="spellEnd"/>
      <w:r w:rsidR="0078502C">
        <w:rPr>
          <w:i/>
          <w:szCs w:val="18"/>
          <w:lang w:val="es-ES"/>
        </w:rPr>
        <w:t xml:space="preserve"> </w:t>
      </w:r>
      <w:r w:rsidRPr="00B24527">
        <w:rPr>
          <w:i/>
          <w:szCs w:val="18"/>
          <w:lang w:val="es-ES"/>
        </w:rPr>
        <w:t>v.</w:t>
      </w:r>
      <w:r w:rsidR="0078502C">
        <w:rPr>
          <w:i/>
          <w:szCs w:val="18"/>
          <w:lang w:val="es-ES"/>
        </w:rPr>
        <w:t xml:space="preserve"> </w:t>
      </w:r>
      <w:proofErr w:type="spellStart"/>
      <w:r w:rsidRPr="00B24527">
        <w:rPr>
          <w:i/>
          <w:iCs/>
          <w:lang w:val="es-ES"/>
        </w:rPr>
        <w:t>Canada</w:t>
      </w:r>
      <w:proofErr w:type="spellEnd"/>
      <w:r w:rsidR="0078502C">
        <w:rPr>
          <w:lang w:val="es-ES"/>
        </w:rPr>
        <w:t xml:space="preserve"> </w:t>
      </w:r>
      <w:r w:rsidRPr="00B24527">
        <w:rPr>
          <w:lang w:val="es-ES"/>
        </w:rPr>
        <w:t>(</w:t>
      </w:r>
      <w:hyperlink r:id="rId8" w:history="1">
        <w:r w:rsidRPr="00B24527">
          <w:rPr>
            <w:rStyle w:val="Hyperlink"/>
            <w:u w:val="none"/>
            <w:lang w:val="es-ES"/>
          </w:rPr>
          <w:t>CCPR/C/98/D/1465/2006</w:t>
        </w:r>
      </w:hyperlink>
      <w:r w:rsidRPr="00B24527">
        <w:rPr>
          <w:lang w:val="es-ES"/>
        </w:rPr>
        <w:t>),</w:t>
      </w:r>
      <w:r w:rsidR="0078502C">
        <w:rPr>
          <w:lang w:val="es-ES"/>
        </w:rPr>
        <w:t xml:space="preserve"> </w:t>
      </w:r>
      <w:r w:rsidRPr="00B24527">
        <w:rPr>
          <w:lang w:val="es-ES"/>
        </w:rPr>
        <w:t>paras.</w:t>
      </w:r>
      <w:r w:rsidR="0078502C">
        <w:rPr>
          <w:lang w:val="es-ES"/>
        </w:rPr>
        <w:t xml:space="preserve"> </w:t>
      </w:r>
      <w:r w:rsidRPr="00B24527">
        <w:rPr>
          <w:lang w:val="es-ES"/>
        </w:rPr>
        <w:t>7.4</w:t>
      </w:r>
      <w:r w:rsidR="0078502C">
        <w:rPr>
          <w:lang w:val="es-ES"/>
        </w:rPr>
        <w:t xml:space="preserve"> </w:t>
      </w:r>
      <w:r w:rsidRPr="00B24527">
        <w:rPr>
          <w:lang w:val="es-ES"/>
        </w:rPr>
        <w:t>and</w:t>
      </w:r>
      <w:r w:rsidR="0078502C">
        <w:rPr>
          <w:lang w:val="es-ES"/>
        </w:rPr>
        <w:t xml:space="preserve"> </w:t>
      </w:r>
      <w:r w:rsidRPr="00B24527">
        <w:rPr>
          <w:lang w:val="es-ES"/>
        </w:rPr>
        <w:t>10.1;</w:t>
      </w:r>
      <w:r w:rsidR="0078502C">
        <w:rPr>
          <w:lang w:val="es-ES"/>
        </w:rPr>
        <w:t xml:space="preserve"> </w:t>
      </w:r>
      <w:proofErr w:type="spellStart"/>
      <w:r w:rsidRPr="00B24527">
        <w:rPr>
          <w:i/>
          <w:iCs/>
          <w:lang w:val="es-ES"/>
        </w:rPr>
        <w:t>Hamida</w:t>
      </w:r>
      <w:proofErr w:type="spellEnd"/>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Canada</w:t>
      </w:r>
      <w:proofErr w:type="spellEnd"/>
      <w:r w:rsidR="0078502C">
        <w:rPr>
          <w:lang w:val="es-ES"/>
        </w:rPr>
        <w:t xml:space="preserve"> </w:t>
      </w:r>
      <w:r w:rsidRPr="00B24527">
        <w:rPr>
          <w:lang w:val="es-ES"/>
        </w:rPr>
        <w:t>(</w:t>
      </w:r>
      <w:hyperlink r:id="rId9" w:history="1">
        <w:r w:rsidRPr="00B24527">
          <w:rPr>
            <w:rStyle w:val="Hyperlink"/>
            <w:u w:val="none"/>
            <w:lang w:val="es-ES"/>
          </w:rPr>
          <w:t>CCPR/C/98/D/1544/2007</w:t>
        </w:r>
      </w:hyperlink>
      <w:r w:rsidRPr="00B24527">
        <w:rPr>
          <w:lang w:val="es-ES"/>
        </w:rPr>
        <w:t>),</w:t>
      </w:r>
      <w:r w:rsidR="0078502C">
        <w:rPr>
          <w:lang w:val="es-ES"/>
        </w:rPr>
        <w:t xml:space="preserve"> </w:t>
      </w:r>
      <w:r w:rsidRPr="00B24527">
        <w:rPr>
          <w:lang w:val="es-ES"/>
        </w:rPr>
        <w:t>para.</w:t>
      </w:r>
      <w:r w:rsidR="0078502C">
        <w:rPr>
          <w:lang w:val="es-ES"/>
        </w:rPr>
        <w:t xml:space="preserve"> </w:t>
      </w:r>
      <w:r w:rsidRPr="00A83217">
        <w:t>8.7;</w:t>
      </w:r>
      <w:r w:rsidR="0078502C" w:rsidRPr="00A83217">
        <w:t xml:space="preserve"> </w:t>
      </w:r>
      <w:r w:rsidRPr="00A83217">
        <w:t>and</w:t>
      </w:r>
      <w:r w:rsidR="0078502C" w:rsidRPr="00A83217">
        <w:t xml:space="preserve"> </w:t>
      </w:r>
      <w:r w:rsidRPr="00A83217">
        <w:rPr>
          <w:i/>
          <w:iCs/>
        </w:rPr>
        <w:t>K</w:t>
      </w:r>
      <w:r w:rsidR="0078502C" w:rsidRPr="00A83217">
        <w:rPr>
          <w:i/>
          <w:iCs/>
        </w:rPr>
        <w:t xml:space="preserve"> </w:t>
      </w:r>
      <w:r w:rsidRPr="00A83217">
        <w:rPr>
          <w:i/>
          <w:iCs/>
        </w:rPr>
        <w:t>v.</w:t>
      </w:r>
      <w:r w:rsidR="0078502C" w:rsidRPr="00A83217">
        <w:rPr>
          <w:i/>
          <w:iCs/>
        </w:rPr>
        <w:t xml:space="preserve"> </w:t>
      </w:r>
      <w:r w:rsidRPr="00A83217">
        <w:rPr>
          <w:i/>
          <w:iCs/>
        </w:rPr>
        <w:t>Denmark</w:t>
      </w:r>
      <w:r w:rsidR="0078502C" w:rsidRPr="00A83217">
        <w:t xml:space="preserve"> </w:t>
      </w:r>
      <w:r w:rsidRPr="00A83217">
        <w:t>(</w:t>
      </w:r>
      <w:hyperlink r:id="rId10" w:history="1">
        <w:r w:rsidRPr="00A83217">
          <w:rPr>
            <w:rStyle w:val="Hyperlink"/>
            <w:u w:val="none"/>
          </w:rPr>
          <w:t>CCPR/C/114/D/2393/2014</w:t>
        </w:r>
      </w:hyperlink>
      <w:r w:rsidRPr="00A83217">
        <w:t>),</w:t>
      </w:r>
      <w:r w:rsidR="0078502C" w:rsidRPr="00A83217">
        <w:t xml:space="preserve"> </w:t>
      </w:r>
      <w:r w:rsidRPr="00A83217">
        <w:t>para.</w:t>
      </w:r>
      <w:r w:rsidR="0078502C" w:rsidRPr="00A83217">
        <w:t xml:space="preserve"> </w:t>
      </w:r>
      <w:r w:rsidRPr="00A83217">
        <w:t>7.4.</w:t>
      </w:r>
    </w:p>
  </w:footnote>
  <w:footnote w:id="40">
    <w:p w14:paraId="45BFC31B" w14:textId="4F5B5626" w:rsidR="009C1FB8" w:rsidRPr="00B24527" w:rsidRDefault="009C1FB8" w:rsidP="009C1FB8">
      <w:pPr>
        <w:pStyle w:val="FootnoteText"/>
        <w:rPr>
          <w:lang w:val="es-ES"/>
        </w:rPr>
      </w:pPr>
      <w:r w:rsidRPr="00A83217">
        <w:tab/>
      </w:r>
      <w:r w:rsidRPr="00B24527">
        <w:rPr>
          <w:rStyle w:val="FootnoteReference"/>
        </w:rPr>
        <w:footnoteRef/>
      </w:r>
      <w:r w:rsidR="0078502C" w:rsidRPr="00A83217">
        <w:rPr>
          <w:rStyle w:val="FootnoteReference"/>
        </w:rPr>
        <w:t xml:space="preserve"> </w:t>
      </w:r>
      <w:r w:rsidRPr="00A83217">
        <w:tab/>
      </w:r>
      <w:r w:rsidRPr="00A83217">
        <w:rPr>
          <w:i/>
          <w:iCs/>
        </w:rPr>
        <w:t>K</w:t>
      </w:r>
      <w:r w:rsidR="0078502C" w:rsidRPr="00A83217">
        <w:rPr>
          <w:i/>
          <w:iCs/>
        </w:rPr>
        <w:t xml:space="preserve"> </w:t>
      </w:r>
      <w:r w:rsidRPr="00A83217">
        <w:rPr>
          <w:i/>
          <w:iCs/>
        </w:rPr>
        <w:t>v.</w:t>
      </w:r>
      <w:r w:rsidR="0078502C" w:rsidRPr="00A83217">
        <w:rPr>
          <w:i/>
          <w:iCs/>
        </w:rPr>
        <w:t xml:space="preserve"> </w:t>
      </w:r>
      <w:r w:rsidRPr="00A83217">
        <w:rPr>
          <w:i/>
          <w:iCs/>
        </w:rPr>
        <w:t>Denmark</w:t>
      </w:r>
      <w:r w:rsidRPr="00A83217">
        <w:t>,</w:t>
      </w:r>
      <w:r w:rsidR="0078502C" w:rsidRPr="00A83217">
        <w:t xml:space="preserve"> </w:t>
      </w:r>
      <w:r w:rsidRPr="00A83217">
        <w:t>para.</w:t>
      </w:r>
      <w:r w:rsidR="0078502C" w:rsidRPr="00A83217">
        <w:t xml:space="preserve"> </w:t>
      </w:r>
      <w:r w:rsidRPr="00B24527">
        <w:rPr>
          <w:lang w:val="es-ES"/>
        </w:rPr>
        <w:t>7.4;</w:t>
      </w:r>
      <w:r w:rsidR="0078502C">
        <w:rPr>
          <w:lang w:val="es-ES"/>
        </w:rPr>
        <w:t xml:space="preserve"> </w:t>
      </w:r>
      <w:r w:rsidRPr="00B24527">
        <w:rPr>
          <w:i/>
          <w:iCs/>
          <w:lang w:val="es-ES"/>
        </w:rPr>
        <w:t>Q.A.</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Sweden</w:t>
      </w:r>
      <w:proofErr w:type="spellEnd"/>
      <w:r w:rsidR="0078502C">
        <w:rPr>
          <w:lang w:val="es-ES"/>
        </w:rPr>
        <w:t xml:space="preserve"> </w:t>
      </w:r>
      <w:r w:rsidRPr="00B24527">
        <w:rPr>
          <w:lang w:val="es-ES"/>
        </w:rPr>
        <w:t>(</w:t>
      </w:r>
      <w:hyperlink r:id="rId11" w:history="1">
        <w:r w:rsidRPr="00B24527">
          <w:rPr>
            <w:rStyle w:val="Hyperlink"/>
            <w:u w:val="none"/>
            <w:lang w:val="es-ES"/>
          </w:rPr>
          <w:t>CCPR/C/127/D/3070/2017</w:t>
        </w:r>
      </w:hyperlink>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9.3;</w:t>
      </w:r>
      <w:r w:rsidR="0078502C">
        <w:rPr>
          <w:lang w:val="es-ES"/>
        </w:rPr>
        <w:t xml:space="preserve"> </w:t>
      </w:r>
      <w:r w:rsidRPr="00B24527">
        <w:rPr>
          <w:lang w:val="es-ES"/>
        </w:rPr>
        <w:t>and</w:t>
      </w:r>
      <w:r w:rsidR="0078502C">
        <w:rPr>
          <w:lang w:val="es-ES"/>
        </w:rPr>
        <w:t xml:space="preserve"> </w:t>
      </w:r>
      <w:r w:rsidRPr="00B24527">
        <w:rPr>
          <w:i/>
          <w:iCs/>
          <w:lang w:val="es-ES"/>
        </w:rPr>
        <w:t>A.E.</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Sweden</w:t>
      </w:r>
      <w:proofErr w:type="spellEnd"/>
      <w:r w:rsidR="0078502C">
        <w:rPr>
          <w:lang w:val="es-ES"/>
        </w:rPr>
        <w:t xml:space="preserve"> </w:t>
      </w:r>
      <w:r w:rsidRPr="00B24527">
        <w:rPr>
          <w:lang w:val="es-ES"/>
        </w:rPr>
        <w:t>(</w:t>
      </w:r>
      <w:hyperlink r:id="rId12" w:history="1">
        <w:r w:rsidRPr="00B24527">
          <w:rPr>
            <w:rStyle w:val="Hyperlink"/>
            <w:u w:val="none"/>
            <w:lang w:val="es-ES"/>
          </w:rPr>
          <w:t>CCPR/C/128/D/3300/2019</w:t>
        </w:r>
      </w:hyperlink>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9.3.</w:t>
      </w:r>
    </w:p>
  </w:footnote>
  <w:footnote w:id="41">
    <w:p w14:paraId="68ACCA35" w14:textId="03269814" w:rsidR="009C1FB8" w:rsidRPr="00A83217" w:rsidRDefault="009C1FB8" w:rsidP="009C1FB8">
      <w:pPr>
        <w:pStyle w:val="FootnoteText"/>
        <w:rPr>
          <w:lang w:val="es-ES"/>
        </w:rPr>
      </w:pPr>
      <w:r w:rsidRPr="00B24527">
        <w:rPr>
          <w:lang w:val="es-ES"/>
        </w:rPr>
        <w:tab/>
      </w:r>
      <w:r w:rsidRPr="00B24527">
        <w:rPr>
          <w:rStyle w:val="FootnoteReference"/>
        </w:rPr>
        <w:footnoteRef/>
      </w:r>
      <w:r w:rsidR="0078502C">
        <w:rPr>
          <w:rStyle w:val="FootnoteReference"/>
          <w:lang w:val="es-ES"/>
        </w:rPr>
        <w:t xml:space="preserve"> </w:t>
      </w:r>
      <w:r w:rsidRPr="00B24527">
        <w:rPr>
          <w:lang w:val="es-ES"/>
        </w:rPr>
        <w:tab/>
      </w:r>
      <w:r w:rsidRPr="00B24527">
        <w:rPr>
          <w:i/>
          <w:iCs/>
          <w:lang w:val="es-ES"/>
        </w:rPr>
        <w:t>A.G.</w:t>
      </w:r>
      <w:r w:rsidR="0078502C">
        <w:rPr>
          <w:i/>
          <w:iCs/>
          <w:lang w:val="es-ES"/>
        </w:rPr>
        <w:t xml:space="preserve"> </w:t>
      </w:r>
      <w:r w:rsidRPr="00B24527">
        <w:rPr>
          <w:i/>
          <w:iCs/>
          <w:lang w:val="es-ES"/>
        </w:rPr>
        <w:t>et</w:t>
      </w:r>
      <w:r w:rsidR="0078502C">
        <w:rPr>
          <w:i/>
          <w:iCs/>
          <w:lang w:val="es-ES"/>
        </w:rPr>
        <w:t xml:space="preserve"> </w:t>
      </w:r>
      <w:r w:rsidRPr="00B24527">
        <w:rPr>
          <w:i/>
          <w:iCs/>
          <w:lang w:val="es-ES"/>
        </w:rPr>
        <w:t>al</w:t>
      </w:r>
      <w:r w:rsidR="0078502C">
        <w:rPr>
          <w:i/>
          <w:iCs/>
          <w:lang w:val="es-ES"/>
        </w:rPr>
        <w:t xml:space="preserve"> </w:t>
      </w:r>
      <w:r w:rsidRPr="00B24527">
        <w:rPr>
          <w:i/>
          <w:iCs/>
          <w:lang w:val="es-ES"/>
        </w:rPr>
        <w:t>v</w:t>
      </w:r>
      <w:r w:rsidR="0078502C">
        <w:rPr>
          <w:i/>
          <w:iCs/>
          <w:lang w:val="es-ES"/>
        </w:rPr>
        <w:t xml:space="preserve"> </w:t>
      </w:r>
      <w:r w:rsidRPr="00B24527">
        <w:rPr>
          <w:i/>
          <w:iCs/>
          <w:lang w:val="es-ES"/>
        </w:rPr>
        <w:t>Angola</w:t>
      </w:r>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7.4;</w:t>
      </w:r>
      <w:r w:rsidR="0078502C">
        <w:rPr>
          <w:lang w:val="es-ES"/>
        </w:rPr>
        <w:t xml:space="preserve"> </w:t>
      </w:r>
      <w:r w:rsidRPr="00B24527">
        <w:rPr>
          <w:i/>
          <w:iCs/>
          <w:lang w:val="es-ES"/>
        </w:rPr>
        <w:t>J.I.</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Sweden</w:t>
      </w:r>
      <w:proofErr w:type="spellEnd"/>
      <w:r w:rsidR="0078502C">
        <w:rPr>
          <w:lang w:val="es-ES"/>
        </w:rPr>
        <w:t xml:space="preserve"> </w:t>
      </w:r>
      <w:r w:rsidRPr="00B24527">
        <w:rPr>
          <w:lang w:val="es-ES"/>
        </w:rPr>
        <w:t>(</w:t>
      </w:r>
      <w:hyperlink r:id="rId13" w:history="1">
        <w:r w:rsidRPr="00B24527">
          <w:rPr>
            <w:rStyle w:val="Hyperlink"/>
            <w:u w:val="none"/>
            <w:lang w:val="es-ES"/>
          </w:rPr>
          <w:t>CCPR/C/128/D/3032/2017</w:t>
        </w:r>
      </w:hyperlink>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7.4;</w:t>
      </w:r>
      <w:r w:rsidR="0078502C">
        <w:rPr>
          <w:lang w:val="es-ES"/>
        </w:rPr>
        <w:t xml:space="preserve"> </w:t>
      </w:r>
      <w:r w:rsidRPr="00B24527">
        <w:rPr>
          <w:i/>
          <w:iCs/>
          <w:lang w:val="es-ES"/>
        </w:rPr>
        <w:t>Q.A.</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Sweden</w:t>
      </w:r>
      <w:proofErr w:type="spellEnd"/>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9.3;</w:t>
      </w:r>
      <w:r w:rsidR="0078502C">
        <w:rPr>
          <w:lang w:val="es-ES"/>
        </w:rPr>
        <w:t xml:space="preserve"> </w:t>
      </w:r>
      <w:r w:rsidRPr="00B24527">
        <w:rPr>
          <w:i/>
          <w:iCs/>
          <w:lang w:val="es-ES"/>
        </w:rPr>
        <w:t>X</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Norway</w:t>
      </w:r>
      <w:proofErr w:type="spellEnd"/>
      <w:r w:rsidR="0078502C">
        <w:rPr>
          <w:lang w:val="es-ES"/>
        </w:rPr>
        <w:t xml:space="preserve"> </w:t>
      </w:r>
      <w:r w:rsidRPr="00B24527">
        <w:rPr>
          <w:lang w:val="es-ES"/>
        </w:rPr>
        <w:t>(</w:t>
      </w:r>
      <w:hyperlink r:id="rId14" w:history="1">
        <w:r w:rsidRPr="00B24527">
          <w:rPr>
            <w:rStyle w:val="Hyperlink"/>
            <w:u w:val="none"/>
            <w:lang w:val="es-ES"/>
          </w:rPr>
          <w:t>CCPR/C/115/D/2474/2014</w:t>
        </w:r>
      </w:hyperlink>
      <w:r w:rsidRPr="00B24527">
        <w:rPr>
          <w:lang w:val="es-ES"/>
        </w:rPr>
        <w:t>),</w:t>
      </w:r>
      <w:r w:rsidR="0078502C">
        <w:rPr>
          <w:lang w:val="es-ES"/>
        </w:rPr>
        <w:t xml:space="preserve"> </w:t>
      </w:r>
      <w:r w:rsidRPr="00B24527">
        <w:rPr>
          <w:lang w:val="es-ES"/>
        </w:rPr>
        <w:t>para.</w:t>
      </w:r>
      <w:r w:rsidR="0078502C">
        <w:rPr>
          <w:lang w:val="es-ES"/>
        </w:rPr>
        <w:t xml:space="preserve"> </w:t>
      </w:r>
      <w:r w:rsidRPr="00B24527">
        <w:rPr>
          <w:lang w:val="es-ES"/>
        </w:rPr>
        <w:t>7.3;</w:t>
      </w:r>
      <w:r w:rsidR="0078502C">
        <w:rPr>
          <w:lang w:val="es-ES"/>
        </w:rPr>
        <w:t xml:space="preserve"> </w:t>
      </w:r>
      <w:r w:rsidRPr="00B24527">
        <w:rPr>
          <w:i/>
          <w:iCs/>
          <w:lang w:val="es-ES"/>
        </w:rPr>
        <w:t>A.S.M.</w:t>
      </w:r>
      <w:r w:rsidR="0078502C">
        <w:rPr>
          <w:i/>
          <w:iCs/>
          <w:lang w:val="es-ES"/>
        </w:rPr>
        <w:t xml:space="preserve"> </w:t>
      </w:r>
      <w:r w:rsidRPr="00B24527">
        <w:rPr>
          <w:i/>
          <w:iCs/>
          <w:lang w:val="es-ES"/>
        </w:rPr>
        <w:t>et</w:t>
      </w:r>
      <w:r w:rsidR="0078502C">
        <w:rPr>
          <w:i/>
          <w:iCs/>
          <w:lang w:val="es-ES"/>
        </w:rPr>
        <w:t xml:space="preserve"> </w:t>
      </w:r>
      <w:r w:rsidRPr="00B24527">
        <w:rPr>
          <w:i/>
          <w:iCs/>
          <w:lang w:val="es-ES"/>
        </w:rPr>
        <w:t>al</w:t>
      </w:r>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Denmark</w:t>
      </w:r>
      <w:proofErr w:type="spellEnd"/>
      <w:r w:rsidR="0078502C">
        <w:rPr>
          <w:lang w:val="es-ES"/>
        </w:rPr>
        <w:t xml:space="preserve"> </w:t>
      </w:r>
      <w:r w:rsidRPr="00B24527">
        <w:rPr>
          <w:lang w:val="es-ES"/>
        </w:rPr>
        <w:t>(</w:t>
      </w:r>
      <w:hyperlink r:id="rId15" w:history="1">
        <w:r w:rsidRPr="00B24527">
          <w:rPr>
            <w:rStyle w:val="Hyperlink"/>
            <w:u w:val="none"/>
            <w:lang w:val="es-ES"/>
          </w:rPr>
          <w:t>CCPR/C/117/D/2378/2014</w:t>
        </w:r>
      </w:hyperlink>
      <w:r w:rsidRPr="00B24527">
        <w:rPr>
          <w:lang w:val="es-ES"/>
        </w:rPr>
        <w:t>),</w:t>
      </w:r>
      <w:r w:rsidR="0078502C">
        <w:rPr>
          <w:lang w:val="es-ES"/>
        </w:rPr>
        <w:t xml:space="preserve"> </w:t>
      </w:r>
      <w:r w:rsidRPr="00B24527">
        <w:rPr>
          <w:lang w:val="es-ES"/>
        </w:rPr>
        <w:t>para.</w:t>
      </w:r>
      <w:r w:rsidR="0078502C">
        <w:rPr>
          <w:lang w:val="es-ES"/>
        </w:rPr>
        <w:t xml:space="preserve"> </w:t>
      </w:r>
      <w:r w:rsidRPr="003039A4">
        <w:t>8.3;</w:t>
      </w:r>
      <w:r w:rsidR="0078502C" w:rsidRPr="003039A4">
        <w:t xml:space="preserve"> </w:t>
      </w:r>
      <w:r w:rsidRPr="003039A4">
        <w:t>and</w:t>
      </w:r>
      <w:r w:rsidR="0078502C" w:rsidRPr="003039A4">
        <w:t xml:space="preserve"> </w:t>
      </w:r>
      <w:r w:rsidRPr="003039A4">
        <w:rPr>
          <w:i/>
          <w:iCs/>
        </w:rPr>
        <w:t>Y.A.A.</w:t>
      </w:r>
      <w:r w:rsidR="0078502C" w:rsidRPr="003039A4">
        <w:rPr>
          <w:i/>
          <w:iCs/>
        </w:rPr>
        <w:t xml:space="preserve"> </w:t>
      </w:r>
      <w:r w:rsidRPr="003039A4">
        <w:rPr>
          <w:i/>
          <w:iCs/>
        </w:rPr>
        <w:t>and</w:t>
      </w:r>
      <w:r w:rsidR="0078502C" w:rsidRPr="003039A4">
        <w:rPr>
          <w:i/>
          <w:iCs/>
        </w:rPr>
        <w:t xml:space="preserve"> </w:t>
      </w:r>
      <w:r w:rsidRPr="003039A4">
        <w:rPr>
          <w:i/>
          <w:iCs/>
        </w:rPr>
        <w:t>F.H.M.</w:t>
      </w:r>
      <w:r w:rsidR="0078502C" w:rsidRPr="003039A4">
        <w:rPr>
          <w:i/>
          <w:iCs/>
        </w:rPr>
        <w:t xml:space="preserve"> </w:t>
      </w:r>
      <w:r w:rsidRPr="003039A4">
        <w:rPr>
          <w:i/>
          <w:iCs/>
        </w:rPr>
        <w:t>v.</w:t>
      </w:r>
      <w:r w:rsidR="0078502C" w:rsidRPr="003039A4">
        <w:rPr>
          <w:i/>
          <w:iCs/>
        </w:rPr>
        <w:t xml:space="preserve"> </w:t>
      </w:r>
      <w:r w:rsidRPr="003039A4">
        <w:rPr>
          <w:i/>
          <w:iCs/>
        </w:rPr>
        <w:t>Denmark</w:t>
      </w:r>
      <w:r w:rsidR="0078502C" w:rsidRPr="003039A4">
        <w:t xml:space="preserve"> </w:t>
      </w:r>
      <w:r w:rsidRPr="003039A4">
        <w:t>(</w:t>
      </w:r>
      <w:hyperlink r:id="rId16" w:history="1">
        <w:r w:rsidRPr="003039A4">
          <w:rPr>
            <w:rStyle w:val="Hyperlink"/>
            <w:u w:val="none"/>
          </w:rPr>
          <w:t>CCPR/C/119/D/2681/2015</w:t>
        </w:r>
      </w:hyperlink>
      <w:r w:rsidRPr="003039A4">
        <w:t>),</w:t>
      </w:r>
      <w:r w:rsidR="0078502C" w:rsidRPr="003039A4">
        <w:t xml:space="preserve"> </w:t>
      </w:r>
      <w:r w:rsidRPr="003039A4">
        <w:t>para.</w:t>
      </w:r>
      <w:r w:rsidR="0078502C" w:rsidRPr="003039A4">
        <w:t xml:space="preserve"> </w:t>
      </w:r>
      <w:r w:rsidRPr="00A83217">
        <w:rPr>
          <w:lang w:val="es-ES"/>
        </w:rPr>
        <w:t>7.3.</w:t>
      </w:r>
    </w:p>
  </w:footnote>
  <w:footnote w:id="42">
    <w:p w14:paraId="47D64692" w14:textId="08EF84FC" w:rsidR="009C1FB8" w:rsidRPr="00A83217" w:rsidRDefault="009C1FB8" w:rsidP="009C1FB8">
      <w:pPr>
        <w:pStyle w:val="FootnoteText"/>
        <w:rPr>
          <w:lang w:val="es-ES"/>
        </w:rPr>
      </w:pPr>
      <w:r w:rsidRPr="00A83217">
        <w:rPr>
          <w:lang w:val="es-ES"/>
        </w:rPr>
        <w:tab/>
      </w:r>
      <w:r w:rsidRPr="00B24527">
        <w:rPr>
          <w:rStyle w:val="FootnoteReference"/>
        </w:rPr>
        <w:footnoteRef/>
      </w:r>
      <w:r w:rsidR="0078502C" w:rsidRPr="00A83217">
        <w:rPr>
          <w:rStyle w:val="FootnoteReference"/>
          <w:lang w:val="es-ES"/>
        </w:rPr>
        <w:t xml:space="preserve"> </w:t>
      </w:r>
      <w:r w:rsidRPr="00A83217">
        <w:rPr>
          <w:lang w:val="es-ES"/>
        </w:rPr>
        <w:tab/>
      </w:r>
      <w:r w:rsidRPr="00A83217">
        <w:rPr>
          <w:i/>
          <w:iCs/>
          <w:lang w:val="es-ES"/>
        </w:rPr>
        <w:t>A.S.M</w:t>
      </w:r>
      <w:r w:rsidR="0078502C" w:rsidRPr="00A83217">
        <w:rPr>
          <w:i/>
          <w:iCs/>
          <w:lang w:val="es-ES"/>
        </w:rPr>
        <w:t xml:space="preserve"> </w:t>
      </w:r>
      <w:r w:rsidRPr="00A83217">
        <w:rPr>
          <w:i/>
          <w:iCs/>
          <w:lang w:val="es-ES"/>
        </w:rPr>
        <w:t>et</w:t>
      </w:r>
      <w:r w:rsidR="0078502C" w:rsidRPr="00A83217">
        <w:rPr>
          <w:i/>
          <w:iCs/>
          <w:lang w:val="es-ES"/>
        </w:rPr>
        <w:t xml:space="preserve"> </w:t>
      </w:r>
      <w:r w:rsidRPr="00A83217">
        <w:rPr>
          <w:i/>
          <w:iCs/>
          <w:lang w:val="es-ES"/>
        </w:rPr>
        <w:t>al</w:t>
      </w:r>
      <w:r w:rsidR="0078502C" w:rsidRPr="00A83217">
        <w:rPr>
          <w:i/>
          <w:iCs/>
          <w:lang w:val="es-ES"/>
        </w:rPr>
        <w:t xml:space="preserve"> </w:t>
      </w:r>
      <w:r w:rsidRPr="00A83217">
        <w:rPr>
          <w:i/>
          <w:iCs/>
          <w:lang w:val="es-ES"/>
        </w:rPr>
        <w:t>v.</w:t>
      </w:r>
      <w:r w:rsidR="0078502C" w:rsidRPr="00A83217">
        <w:rPr>
          <w:i/>
          <w:iCs/>
          <w:lang w:val="es-ES"/>
        </w:rPr>
        <w:t xml:space="preserve"> </w:t>
      </w:r>
      <w:proofErr w:type="spellStart"/>
      <w:r w:rsidRPr="00A83217">
        <w:rPr>
          <w:i/>
          <w:iCs/>
          <w:lang w:val="es-ES"/>
        </w:rPr>
        <w:t>Denmark</w:t>
      </w:r>
      <w:proofErr w:type="spellEnd"/>
      <w:r w:rsidRPr="00A83217">
        <w:rPr>
          <w:lang w:val="es-ES"/>
        </w:rPr>
        <w:t>,</w:t>
      </w:r>
      <w:r w:rsidR="0078502C" w:rsidRPr="00A83217">
        <w:rPr>
          <w:lang w:val="es-ES"/>
        </w:rPr>
        <w:t xml:space="preserve"> </w:t>
      </w:r>
      <w:r w:rsidRPr="00A83217">
        <w:rPr>
          <w:lang w:val="es-ES"/>
        </w:rPr>
        <w:t>para.</w:t>
      </w:r>
      <w:r w:rsidR="0078502C" w:rsidRPr="00A83217">
        <w:rPr>
          <w:lang w:val="es-ES"/>
        </w:rPr>
        <w:t xml:space="preserve"> </w:t>
      </w:r>
      <w:r w:rsidRPr="00A83217">
        <w:rPr>
          <w:lang w:val="es-ES"/>
        </w:rPr>
        <w:t>8.3.</w:t>
      </w:r>
    </w:p>
  </w:footnote>
  <w:footnote w:id="43">
    <w:p w14:paraId="025E176D" w14:textId="5835F2B3" w:rsidR="009C1FB8" w:rsidRPr="00A83217" w:rsidRDefault="009C1FB8" w:rsidP="009C1FB8">
      <w:pPr>
        <w:pStyle w:val="FootnoteText"/>
        <w:rPr>
          <w:lang w:val="es-ES"/>
        </w:rPr>
      </w:pPr>
      <w:r w:rsidRPr="00A83217">
        <w:rPr>
          <w:lang w:val="es-ES"/>
        </w:rPr>
        <w:tab/>
      </w:r>
      <w:r w:rsidRPr="00B24527">
        <w:rPr>
          <w:rStyle w:val="FootnoteReference"/>
        </w:rPr>
        <w:footnoteRef/>
      </w:r>
      <w:r w:rsidR="0078502C" w:rsidRPr="00A83217">
        <w:rPr>
          <w:rStyle w:val="FootnoteReference"/>
          <w:lang w:val="es-ES"/>
        </w:rPr>
        <w:t xml:space="preserve"> </w:t>
      </w:r>
      <w:r w:rsidRPr="00A83217">
        <w:rPr>
          <w:lang w:val="es-ES"/>
        </w:rPr>
        <w:tab/>
      </w:r>
      <w:r w:rsidRPr="00A83217">
        <w:rPr>
          <w:i/>
          <w:iCs/>
          <w:lang w:val="es-ES"/>
        </w:rPr>
        <w:t>Y.A.A.</w:t>
      </w:r>
      <w:r w:rsidR="0078502C" w:rsidRPr="00A83217">
        <w:rPr>
          <w:i/>
          <w:iCs/>
          <w:lang w:val="es-ES"/>
        </w:rPr>
        <w:t xml:space="preserve"> </w:t>
      </w:r>
      <w:r w:rsidRPr="00A83217">
        <w:rPr>
          <w:i/>
          <w:iCs/>
          <w:lang w:val="es-ES"/>
        </w:rPr>
        <w:t>and</w:t>
      </w:r>
      <w:r w:rsidR="0078502C" w:rsidRPr="00A83217">
        <w:rPr>
          <w:i/>
          <w:iCs/>
          <w:lang w:val="es-ES"/>
        </w:rPr>
        <w:t xml:space="preserve"> </w:t>
      </w:r>
      <w:r w:rsidRPr="00A83217">
        <w:rPr>
          <w:i/>
          <w:iCs/>
          <w:lang w:val="es-ES"/>
        </w:rPr>
        <w:t>F.H.M.</w:t>
      </w:r>
      <w:r w:rsidR="0078502C" w:rsidRPr="00A83217">
        <w:rPr>
          <w:i/>
          <w:iCs/>
          <w:lang w:val="es-ES"/>
        </w:rPr>
        <w:t xml:space="preserve"> </w:t>
      </w:r>
      <w:r w:rsidRPr="00A83217">
        <w:rPr>
          <w:i/>
          <w:iCs/>
          <w:lang w:val="es-ES"/>
        </w:rPr>
        <w:t>v.</w:t>
      </w:r>
      <w:r w:rsidR="0078502C" w:rsidRPr="00A83217">
        <w:rPr>
          <w:i/>
          <w:iCs/>
          <w:lang w:val="es-ES"/>
        </w:rPr>
        <w:t xml:space="preserve"> </w:t>
      </w:r>
      <w:proofErr w:type="spellStart"/>
      <w:r w:rsidRPr="00A83217">
        <w:rPr>
          <w:i/>
          <w:iCs/>
          <w:lang w:val="es-ES"/>
        </w:rPr>
        <w:t>Denmark</w:t>
      </w:r>
      <w:proofErr w:type="spellEnd"/>
      <w:r w:rsidRPr="00A83217">
        <w:rPr>
          <w:lang w:val="es-ES"/>
        </w:rPr>
        <w:t>,</w:t>
      </w:r>
      <w:r w:rsidR="0078502C" w:rsidRPr="00A83217">
        <w:rPr>
          <w:lang w:val="es-ES"/>
        </w:rPr>
        <w:t xml:space="preserve"> </w:t>
      </w:r>
      <w:r w:rsidRPr="00A83217">
        <w:rPr>
          <w:lang w:val="es-ES"/>
        </w:rPr>
        <w:t>para.</w:t>
      </w:r>
      <w:r w:rsidR="0078502C" w:rsidRPr="00A83217">
        <w:rPr>
          <w:lang w:val="es-ES"/>
        </w:rPr>
        <w:t xml:space="preserve"> </w:t>
      </w:r>
      <w:r w:rsidRPr="00A83217">
        <w:rPr>
          <w:lang w:val="es-ES"/>
        </w:rPr>
        <w:t>7.9.</w:t>
      </w:r>
    </w:p>
  </w:footnote>
  <w:footnote w:id="44">
    <w:p w14:paraId="6EB54F8A" w14:textId="373F9046" w:rsidR="009C1FB8" w:rsidRPr="00B24527" w:rsidRDefault="009C1FB8" w:rsidP="009C1FB8">
      <w:pPr>
        <w:pStyle w:val="FootnoteText"/>
        <w:rPr>
          <w:lang w:val="es-ES"/>
        </w:rPr>
      </w:pPr>
      <w:r w:rsidRPr="00A83217">
        <w:rPr>
          <w:lang w:val="es-ES"/>
        </w:rPr>
        <w:tab/>
      </w:r>
      <w:r w:rsidRPr="00B24527">
        <w:rPr>
          <w:rStyle w:val="FootnoteReference"/>
        </w:rPr>
        <w:footnoteRef/>
      </w:r>
      <w:r w:rsidR="0078502C" w:rsidRPr="00A83217">
        <w:rPr>
          <w:rStyle w:val="FootnoteReference"/>
          <w:lang w:val="es-ES"/>
        </w:rPr>
        <w:t xml:space="preserve"> </w:t>
      </w:r>
      <w:r w:rsidRPr="00A83217">
        <w:rPr>
          <w:lang w:val="es-ES"/>
        </w:rPr>
        <w:tab/>
      </w:r>
      <w:r w:rsidRPr="00A83217">
        <w:rPr>
          <w:i/>
          <w:iCs/>
          <w:lang w:val="es-ES"/>
        </w:rPr>
        <w:t>E.U.R.</w:t>
      </w:r>
      <w:r w:rsidR="0078502C" w:rsidRPr="00A83217">
        <w:rPr>
          <w:i/>
          <w:iCs/>
          <w:lang w:val="es-ES"/>
        </w:rPr>
        <w:t xml:space="preserve"> </w:t>
      </w:r>
      <w:r w:rsidRPr="00A83217">
        <w:rPr>
          <w:i/>
          <w:iCs/>
          <w:lang w:val="es-ES"/>
        </w:rPr>
        <w:t>v.</w:t>
      </w:r>
      <w:r w:rsidR="0078502C" w:rsidRPr="00A83217">
        <w:rPr>
          <w:i/>
          <w:iCs/>
          <w:lang w:val="es-ES"/>
        </w:rPr>
        <w:t xml:space="preserve"> </w:t>
      </w:r>
      <w:proofErr w:type="spellStart"/>
      <w:r w:rsidRPr="00A83217">
        <w:rPr>
          <w:i/>
          <w:iCs/>
          <w:lang w:val="es-ES"/>
        </w:rPr>
        <w:t>Denmark</w:t>
      </w:r>
      <w:proofErr w:type="spellEnd"/>
      <w:r w:rsidR="0078502C" w:rsidRPr="00A83217">
        <w:rPr>
          <w:lang w:val="es-ES"/>
        </w:rPr>
        <w:t xml:space="preserve"> </w:t>
      </w:r>
      <w:r w:rsidRPr="00A83217">
        <w:rPr>
          <w:lang w:val="es-ES"/>
        </w:rPr>
        <w:t>(</w:t>
      </w:r>
      <w:hyperlink r:id="rId17" w:history="1">
        <w:r w:rsidRPr="00A83217">
          <w:rPr>
            <w:rStyle w:val="Hyperlink"/>
            <w:u w:val="none"/>
            <w:lang w:val="es-ES"/>
          </w:rPr>
          <w:t>CCPR/C/117/D/2469/2014</w:t>
        </w:r>
      </w:hyperlink>
      <w:r w:rsidRPr="00A83217">
        <w:rPr>
          <w:lang w:val="es-ES"/>
        </w:rPr>
        <w:t>),</w:t>
      </w:r>
      <w:r w:rsidR="0078502C" w:rsidRPr="00A83217">
        <w:rPr>
          <w:lang w:val="es-ES"/>
        </w:rPr>
        <w:t xml:space="preserve"> </w:t>
      </w:r>
      <w:r w:rsidRPr="00A83217">
        <w:rPr>
          <w:lang w:val="es-ES"/>
        </w:rPr>
        <w:t>para.</w:t>
      </w:r>
      <w:r w:rsidR="0078502C" w:rsidRPr="00A83217">
        <w:rPr>
          <w:lang w:val="es-ES"/>
        </w:rPr>
        <w:t xml:space="preserve"> </w:t>
      </w:r>
      <w:r w:rsidRPr="00B24527">
        <w:rPr>
          <w:lang w:val="es-ES"/>
        </w:rPr>
        <w:t>9.3.</w:t>
      </w:r>
    </w:p>
  </w:footnote>
  <w:footnote w:id="45">
    <w:p w14:paraId="3CB96203" w14:textId="369B7131" w:rsidR="009C1FB8" w:rsidRPr="00B24527" w:rsidRDefault="009C1FB8" w:rsidP="009C1FB8">
      <w:pPr>
        <w:pStyle w:val="FootnoteText"/>
        <w:rPr>
          <w:lang w:val="es-ES"/>
        </w:rPr>
      </w:pPr>
      <w:r w:rsidRPr="00B24527">
        <w:rPr>
          <w:lang w:val="es-ES"/>
        </w:rPr>
        <w:tab/>
      </w:r>
      <w:r w:rsidRPr="00B24527">
        <w:rPr>
          <w:rStyle w:val="FootnoteReference"/>
        </w:rPr>
        <w:footnoteRef/>
      </w:r>
      <w:r w:rsidR="0078502C">
        <w:rPr>
          <w:rStyle w:val="FootnoteReference"/>
          <w:lang w:val="es-ES"/>
        </w:rPr>
        <w:t xml:space="preserve"> </w:t>
      </w:r>
      <w:r w:rsidRPr="00B24527">
        <w:rPr>
          <w:lang w:val="es-ES"/>
        </w:rPr>
        <w:tab/>
        <w:t>General</w:t>
      </w:r>
      <w:r w:rsidR="0078502C">
        <w:rPr>
          <w:lang w:val="es-ES"/>
        </w:rPr>
        <w:t xml:space="preserve"> </w:t>
      </w:r>
      <w:r w:rsidRPr="00A90896">
        <w:rPr>
          <w:lang w:val="es-ES"/>
        </w:rPr>
        <w:t>comment</w:t>
      </w:r>
      <w:r w:rsidR="0078502C">
        <w:rPr>
          <w:lang w:val="es-ES"/>
        </w:rPr>
        <w:t xml:space="preserve"> </w:t>
      </w:r>
      <w:r w:rsidRPr="00B24527">
        <w:rPr>
          <w:lang w:val="es-ES"/>
        </w:rPr>
        <w:t>No.</w:t>
      </w:r>
      <w:r w:rsidR="0078502C">
        <w:rPr>
          <w:lang w:val="es-ES"/>
        </w:rPr>
        <w:t xml:space="preserve"> </w:t>
      </w:r>
      <w:r w:rsidRPr="00B24527">
        <w:rPr>
          <w:lang w:val="es-ES"/>
        </w:rPr>
        <w:t>31</w:t>
      </w:r>
      <w:r w:rsidR="0078502C">
        <w:rPr>
          <w:lang w:val="es-ES"/>
        </w:rPr>
        <w:t xml:space="preserve"> </w:t>
      </w:r>
      <w:r w:rsidRPr="00B24527">
        <w:rPr>
          <w:lang w:val="es-ES"/>
        </w:rPr>
        <w:t>(2004),</w:t>
      </w:r>
      <w:r w:rsidR="0078502C">
        <w:rPr>
          <w:lang w:val="es-ES"/>
        </w:rPr>
        <w:t xml:space="preserve"> </w:t>
      </w:r>
      <w:r w:rsidRPr="00B24527">
        <w:rPr>
          <w:lang w:val="es-ES"/>
        </w:rPr>
        <w:t>para.</w:t>
      </w:r>
      <w:r w:rsidR="0078502C">
        <w:rPr>
          <w:lang w:val="es-ES"/>
        </w:rPr>
        <w:t xml:space="preserve"> </w:t>
      </w:r>
      <w:r w:rsidRPr="00B24527">
        <w:rPr>
          <w:lang w:val="es-ES"/>
        </w:rPr>
        <w:t>12.</w:t>
      </w:r>
    </w:p>
  </w:footnote>
  <w:footnote w:id="46">
    <w:p w14:paraId="2EF1E7D4" w14:textId="4152A3A1" w:rsidR="009C1FB8" w:rsidRPr="00B24527" w:rsidRDefault="009C1FB8" w:rsidP="009C1FB8">
      <w:pPr>
        <w:pStyle w:val="FootnoteText"/>
      </w:pPr>
      <w:r w:rsidRPr="00B24527">
        <w:rPr>
          <w:lang w:val="es-ES"/>
        </w:rPr>
        <w:tab/>
      </w:r>
      <w:r w:rsidRPr="00B24527">
        <w:rPr>
          <w:rStyle w:val="FootnoteReference"/>
        </w:rPr>
        <w:footnoteRef/>
      </w:r>
      <w:r w:rsidRPr="00B24527">
        <w:rPr>
          <w:lang w:val="es-ES"/>
        </w:rPr>
        <w:tab/>
      </w:r>
      <w:proofErr w:type="spellStart"/>
      <w:r w:rsidRPr="00B24527">
        <w:rPr>
          <w:i/>
          <w:iCs/>
          <w:lang w:val="es-ES"/>
        </w:rPr>
        <w:t>Kaba</w:t>
      </w:r>
      <w:proofErr w:type="spellEnd"/>
      <w:r w:rsidR="0078502C">
        <w:rPr>
          <w:i/>
          <w:iCs/>
          <w:lang w:val="es-ES"/>
        </w:rPr>
        <w:t xml:space="preserve"> </w:t>
      </w:r>
      <w:r w:rsidRPr="00B24527">
        <w:rPr>
          <w:i/>
          <w:iCs/>
          <w:lang w:val="es-ES"/>
        </w:rPr>
        <w:t>and</w:t>
      </w:r>
      <w:r w:rsidR="0078502C">
        <w:rPr>
          <w:i/>
          <w:iCs/>
          <w:lang w:val="es-ES"/>
        </w:rPr>
        <w:t xml:space="preserve"> </w:t>
      </w:r>
      <w:proofErr w:type="spellStart"/>
      <w:r w:rsidRPr="00B24527">
        <w:rPr>
          <w:i/>
          <w:iCs/>
          <w:lang w:val="es-ES"/>
        </w:rPr>
        <w:t>Kaba</w:t>
      </w:r>
      <w:proofErr w:type="spellEnd"/>
      <w:r w:rsidR="0078502C">
        <w:rPr>
          <w:i/>
          <w:iCs/>
          <w:lang w:val="es-ES"/>
        </w:rPr>
        <w:t xml:space="preserve"> </w:t>
      </w:r>
      <w:r w:rsidRPr="00B24527">
        <w:rPr>
          <w:i/>
          <w:iCs/>
          <w:lang w:val="es-ES"/>
        </w:rPr>
        <w:t>v.</w:t>
      </w:r>
      <w:r w:rsidR="0078502C">
        <w:rPr>
          <w:i/>
          <w:iCs/>
          <w:lang w:val="es-ES"/>
        </w:rPr>
        <w:t xml:space="preserve"> </w:t>
      </w:r>
      <w:proofErr w:type="spellStart"/>
      <w:r w:rsidRPr="00B24527">
        <w:rPr>
          <w:i/>
          <w:iCs/>
          <w:lang w:val="es-ES"/>
        </w:rPr>
        <w:t>Canada</w:t>
      </w:r>
      <w:proofErr w:type="spellEnd"/>
      <w:r w:rsidRPr="00B24527">
        <w:rPr>
          <w:lang w:val="es-ES"/>
        </w:rPr>
        <w:t>,</w:t>
      </w:r>
      <w:r w:rsidR="0078502C">
        <w:rPr>
          <w:lang w:val="es-ES"/>
        </w:rPr>
        <w:t xml:space="preserve"> </w:t>
      </w:r>
      <w:r w:rsidRPr="00B24527">
        <w:rPr>
          <w:lang w:val="es-ES"/>
        </w:rPr>
        <w:t>para.</w:t>
      </w:r>
      <w:r w:rsidR="0078502C">
        <w:rPr>
          <w:lang w:val="es-ES"/>
        </w:rPr>
        <w:t xml:space="preserve"> </w:t>
      </w:r>
      <w:r w:rsidRPr="00B24527">
        <w:t>2.1.</w:t>
      </w:r>
    </w:p>
  </w:footnote>
  <w:footnote w:id="47">
    <w:p w14:paraId="11578896" w14:textId="6D0DBD20" w:rsidR="009C1FB8" w:rsidRPr="00B24527" w:rsidRDefault="009C1FB8" w:rsidP="009C1FB8">
      <w:pPr>
        <w:pStyle w:val="FootnoteText"/>
      </w:pPr>
      <w:r w:rsidRPr="00B24527">
        <w:tab/>
      </w:r>
      <w:r w:rsidRPr="00B24527">
        <w:rPr>
          <w:rStyle w:val="FootnoteReference"/>
        </w:rPr>
        <w:footnoteRef/>
      </w:r>
      <w:r w:rsidRPr="00B24527">
        <w:rPr>
          <w:rStyle w:val="FootnoteReference"/>
        </w:rPr>
        <w:tab/>
      </w:r>
      <w:r w:rsidRPr="00B24527">
        <w:t>Ibid.,</w:t>
      </w:r>
      <w:r w:rsidR="0078502C">
        <w:t xml:space="preserve"> </w:t>
      </w:r>
      <w:r w:rsidRPr="00B24527">
        <w:t>para.</w:t>
      </w:r>
      <w:r w:rsidR="0078502C">
        <w:t xml:space="preserve"> </w:t>
      </w:r>
      <w:r w:rsidRPr="00B24527">
        <w:t>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95E8" w14:textId="77777777" w:rsidR="00733E3C" w:rsidRDefault="00733E3C" w:rsidP="00733E3C">
    <w:pPr>
      <w:pStyle w:val="Header"/>
    </w:pPr>
    <w:r>
      <w:t>CCPR/C/133/D/2796/2016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8A1A" w14:textId="03512F26" w:rsidR="00733E3C" w:rsidRDefault="00733E3C" w:rsidP="003039A4">
    <w:pPr>
      <w:pStyle w:val="Header"/>
      <w:jc w:val="right"/>
    </w:pPr>
    <w:r>
      <w:t>CCPR/C/133/D/2796/2016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CF85" w14:textId="77777777" w:rsidR="00B65BAE" w:rsidRDefault="00B65BAE" w:rsidP="00B65BAE">
    <w:pPr>
      <w:pStyle w:val="Header"/>
      <w:jc w:val="right"/>
    </w:pPr>
    <w:r>
      <w:t>CCPR/C/133/D/2796/2016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76E3A"/>
    <w:multiLevelType w:val="hybridMultilevel"/>
    <w:tmpl w:val="CA2202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1836445"/>
    <w:multiLevelType w:val="multilevel"/>
    <w:tmpl w:val="CD886F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09477C"/>
    <w:multiLevelType w:val="hybridMultilevel"/>
    <w:tmpl w:val="515EFD30"/>
    <w:lvl w:ilvl="0" w:tplc="A47A5CC8">
      <w:start w:val="6"/>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552F6DA">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6AC3994">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8981464">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72C221E">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B4A40E8">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3CCC8E8">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28C742">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BB2C0FA">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2D748F"/>
    <w:multiLevelType w:val="multilevel"/>
    <w:tmpl w:val="D94E26D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43A30C4B"/>
    <w:multiLevelType w:val="hybridMultilevel"/>
    <w:tmpl w:val="A87656B0"/>
    <w:lvl w:ilvl="0" w:tplc="01E89D60">
      <w:start w:val="80"/>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2C8A5CE">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A4E9872">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6FEA4B4">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9B8EE98">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0C858EE">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702C79C">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99CF5DE">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2AEB4AC">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3D5144D"/>
    <w:multiLevelType w:val="hybridMultilevel"/>
    <w:tmpl w:val="F5C87CAE"/>
    <w:lvl w:ilvl="0" w:tplc="A63AB336">
      <w:start w:val="71"/>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C7A5CB6">
      <w:start w:val="1"/>
      <w:numFmt w:val="lowerLetter"/>
      <w:lvlText w:val="%2"/>
      <w:lvlJc w:val="left"/>
      <w:pPr>
        <w:ind w:left="12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22215AA">
      <w:start w:val="1"/>
      <w:numFmt w:val="lowerRoman"/>
      <w:lvlText w:val="%3"/>
      <w:lvlJc w:val="left"/>
      <w:pPr>
        <w:ind w:left="20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5A6F530">
      <w:start w:val="1"/>
      <w:numFmt w:val="decimal"/>
      <w:lvlText w:val="%4"/>
      <w:lvlJc w:val="left"/>
      <w:pPr>
        <w:ind w:left="273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7EE714">
      <w:start w:val="1"/>
      <w:numFmt w:val="lowerLetter"/>
      <w:lvlText w:val="%5"/>
      <w:lvlJc w:val="left"/>
      <w:pPr>
        <w:ind w:left="345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E105FF4">
      <w:start w:val="1"/>
      <w:numFmt w:val="lowerRoman"/>
      <w:lvlText w:val="%6"/>
      <w:lvlJc w:val="left"/>
      <w:pPr>
        <w:ind w:left="417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CF4509E">
      <w:start w:val="1"/>
      <w:numFmt w:val="decimal"/>
      <w:lvlText w:val="%7"/>
      <w:lvlJc w:val="left"/>
      <w:pPr>
        <w:ind w:left="48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41CF1EC">
      <w:start w:val="1"/>
      <w:numFmt w:val="lowerLetter"/>
      <w:lvlText w:val="%8"/>
      <w:lvlJc w:val="left"/>
      <w:pPr>
        <w:ind w:left="56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67E3DD0">
      <w:start w:val="1"/>
      <w:numFmt w:val="lowerRoman"/>
      <w:lvlText w:val="%9"/>
      <w:lvlJc w:val="left"/>
      <w:pPr>
        <w:ind w:left="633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1"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1207E88"/>
    <w:multiLevelType w:val="hybridMultilevel"/>
    <w:tmpl w:val="FA44C50E"/>
    <w:lvl w:ilvl="0" w:tplc="5F50111C">
      <w:start w:val="76"/>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266D648">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1743CFC">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2BE3F1A">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3928032">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F06D2E8">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E4849C">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88F58A">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7A4B8B4">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085BE0"/>
    <w:multiLevelType w:val="hybridMultilevel"/>
    <w:tmpl w:val="CBD44076"/>
    <w:lvl w:ilvl="0" w:tplc="803AC4B8">
      <w:start w:val="69"/>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5B6B73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2E7B8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25CD78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5C2C90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AB432C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FECA96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D806EE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260786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5C1B42"/>
    <w:multiLevelType w:val="hybridMultilevel"/>
    <w:tmpl w:val="F134F61A"/>
    <w:lvl w:ilvl="0" w:tplc="EE5E2B78">
      <w:start w:val="4"/>
      <w:numFmt w:val="decimal"/>
      <w:lvlText w:val="%1."/>
      <w:lvlJc w:val="left"/>
      <w:pPr>
        <w:ind w:left="7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8ACCAC2">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F8C2DBA8">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360094C">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ECA2FFC">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4D69C60">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A34E753E">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5B27770">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13E5DA4">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70247B"/>
    <w:multiLevelType w:val="hybridMultilevel"/>
    <w:tmpl w:val="5A92F7DA"/>
    <w:lvl w:ilvl="0" w:tplc="2C1C9FDA">
      <w:start w:val="12"/>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FC8C878">
      <w:start w:val="1"/>
      <w:numFmt w:val="lowerLetter"/>
      <w:lvlText w:val="%2"/>
      <w:lvlJc w:val="left"/>
      <w:pPr>
        <w:ind w:left="14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CB47266">
      <w:start w:val="1"/>
      <w:numFmt w:val="lowerRoman"/>
      <w:lvlText w:val="%3"/>
      <w:lvlJc w:val="left"/>
      <w:pPr>
        <w:ind w:left="21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18A9600">
      <w:start w:val="1"/>
      <w:numFmt w:val="decimal"/>
      <w:lvlText w:val="%4"/>
      <w:lvlJc w:val="left"/>
      <w:pPr>
        <w:ind w:left="28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7ADBF4">
      <w:start w:val="1"/>
      <w:numFmt w:val="lowerLetter"/>
      <w:lvlText w:val="%5"/>
      <w:lvlJc w:val="left"/>
      <w:pPr>
        <w:ind w:left="35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C0457DC">
      <w:start w:val="1"/>
      <w:numFmt w:val="lowerRoman"/>
      <w:lvlText w:val="%6"/>
      <w:lvlJc w:val="left"/>
      <w:pPr>
        <w:ind w:left="43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F844720">
      <w:start w:val="1"/>
      <w:numFmt w:val="decimal"/>
      <w:lvlText w:val="%7"/>
      <w:lvlJc w:val="left"/>
      <w:pPr>
        <w:ind w:left="50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CADC66">
      <w:start w:val="1"/>
      <w:numFmt w:val="lowerLetter"/>
      <w:lvlText w:val="%8"/>
      <w:lvlJc w:val="left"/>
      <w:pPr>
        <w:ind w:left="5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0806770">
      <w:start w:val="1"/>
      <w:numFmt w:val="lowerRoman"/>
      <w:lvlText w:val="%9"/>
      <w:lvlJc w:val="left"/>
      <w:pPr>
        <w:ind w:left="6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24C71"/>
    <w:multiLevelType w:val="hybridMultilevel"/>
    <w:tmpl w:val="9728597C"/>
    <w:lvl w:ilvl="0" w:tplc="6D0CE2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C408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78FC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40C3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2D2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9EF6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3AE0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3022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64C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5" w15:restartNumberingAfterBreak="0">
    <w:nsid w:val="700129FE"/>
    <w:multiLevelType w:val="hybridMultilevel"/>
    <w:tmpl w:val="7242B110"/>
    <w:lvl w:ilvl="0" w:tplc="2A6A7FB0">
      <w:start w:val="64"/>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52E6D38">
      <w:start w:val="1"/>
      <w:numFmt w:val="lowerLetter"/>
      <w:lvlText w:val="%2"/>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F246204">
      <w:start w:val="1"/>
      <w:numFmt w:val="lowerRoman"/>
      <w:lvlText w:val="%3"/>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732FA2E">
      <w:start w:val="1"/>
      <w:numFmt w:val="decimal"/>
      <w:lvlText w:val="%4"/>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EB217AE">
      <w:start w:val="1"/>
      <w:numFmt w:val="lowerLetter"/>
      <w:lvlText w:val="%5"/>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2FE9BF8">
      <w:start w:val="1"/>
      <w:numFmt w:val="lowerRoman"/>
      <w:lvlText w:val="%6"/>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45A2AF8">
      <w:start w:val="1"/>
      <w:numFmt w:val="decimal"/>
      <w:lvlText w:val="%7"/>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8B0AB5E">
      <w:start w:val="1"/>
      <w:numFmt w:val="lowerLetter"/>
      <w:lvlText w:val="%8"/>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5587450">
      <w:start w:val="1"/>
      <w:numFmt w:val="lowerRoman"/>
      <w:lvlText w:val="%9"/>
      <w:lvlJc w:val="left"/>
      <w:pPr>
        <w:ind w:left="62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3"/>
  </w:num>
  <w:num w:numId="2">
    <w:abstractNumId w:val="6"/>
  </w:num>
  <w:num w:numId="3">
    <w:abstractNumId w:val="1"/>
  </w:num>
  <w:num w:numId="4">
    <w:abstractNumId w:val="25"/>
  </w:num>
  <w:num w:numId="5">
    <w:abstractNumId w:val="27"/>
  </w:num>
  <w:num w:numId="6">
    <w:abstractNumId w:val="36"/>
  </w:num>
  <w:num w:numId="7">
    <w:abstractNumId w:val="3"/>
  </w:num>
  <w:num w:numId="8">
    <w:abstractNumId w:val="2"/>
  </w:num>
  <w:num w:numId="9">
    <w:abstractNumId w:val="32"/>
  </w:num>
  <w:num w:numId="10">
    <w:abstractNumId w:val="28"/>
  </w:num>
  <w:num w:numId="11">
    <w:abstractNumId w:val="12"/>
  </w:num>
  <w:num w:numId="12">
    <w:abstractNumId w:val="4"/>
  </w:num>
  <w:num w:numId="13">
    <w:abstractNumId w:val="14"/>
  </w:num>
  <w:num w:numId="14">
    <w:abstractNumId w:val="10"/>
  </w:num>
  <w:num w:numId="15">
    <w:abstractNumId w:val="20"/>
  </w:num>
  <w:num w:numId="16">
    <w:abstractNumId w:val="30"/>
  </w:num>
  <w:num w:numId="17">
    <w:abstractNumId w:val="38"/>
  </w:num>
  <w:num w:numId="18">
    <w:abstractNumId w:val="34"/>
  </w:num>
  <w:num w:numId="19">
    <w:abstractNumId w:val="5"/>
  </w:num>
  <w:num w:numId="20">
    <w:abstractNumId w:val="11"/>
  </w:num>
  <w:num w:numId="21">
    <w:abstractNumId w:val="16"/>
  </w:num>
  <w:num w:numId="22">
    <w:abstractNumId w:val="21"/>
  </w:num>
  <w:num w:numId="23">
    <w:abstractNumId w:val="15"/>
  </w:num>
  <w:num w:numId="24">
    <w:abstractNumId w:val="24"/>
  </w:num>
  <w:num w:numId="25">
    <w:abstractNumId w:val="37"/>
  </w:num>
  <w:num w:numId="26">
    <w:abstractNumId w:val="23"/>
  </w:num>
  <w:num w:numId="27">
    <w:abstractNumId w:val="0"/>
  </w:num>
  <w:num w:numId="28">
    <w:abstractNumId w:val="8"/>
  </w:num>
  <w:num w:numId="29">
    <w:abstractNumId w:val="17"/>
  </w:num>
  <w:num w:numId="30">
    <w:abstractNumId w:val="35"/>
  </w:num>
  <w:num w:numId="31">
    <w:abstractNumId w:val="26"/>
  </w:num>
  <w:num w:numId="32">
    <w:abstractNumId w:val="19"/>
  </w:num>
  <w:num w:numId="33">
    <w:abstractNumId w:val="22"/>
  </w:num>
  <w:num w:numId="34">
    <w:abstractNumId w:val="18"/>
  </w:num>
  <w:num w:numId="35">
    <w:abstractNumId w:val="7"/>
  </w:num>
  <w:num w:numId="36">
    <w:abstractNumId w:val="9"/>
  </w:num>
  <w:num w:numId="37">
    <w:abstractNumId w:val="31"/>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A2"/>
    <w:rsid w:val="00030743"/>
    <w:rsid w:val="00046E92"/>
    <w:rsid w:val="0006523D"/>
    <w:rsid w:val="00075D16"/>
    <w:rsid w:val="000820E8"/>
    <w:rsid w:val="00086976"/>
    <w:rsid w:val="00087783"/>
    <w:rsid w:val="0009285F"/>
    <w:rsid w:val="0012622D"/>
    <w:rsid w:val="00131D7A"/>
    <w:rsid w:val="00165C15"/>
    <w:rsid w:val="001F2820"/>
    <w:rsid w:val="00247E2C"/>
    <w:rsid w:val="00270BD1"/>
    <w:rsid w:val="00272D45"/>
    <w:rsid w:val="00290991"/>
    <w:rsid w:val="002C7C24"/>
    <w:rsid w:val="002D6C53"/>
    <w:rsid w:val="002F5595"/>
    <w:rsid w:val="003039A4"/>
    <w:rsid w:val="00322F8E"/>
    <w:rsid w:val="00334A17"/>
    <w:rsid w:val="00334F6A"/>
    <w:rsid w:val="003419A6"/>
    <w:rsid w:val="00342AC8"/>
    <w:rsid w:val="0036185C"/>
    <w:rsid w:val="003A6A5E"/>
    <w:rsid w:val="003B4550"/>
    <w:rsid w:val="003E3C0E"/>
    <w:rsid w:val="004200F0"/>
    <w:rsid w:val="00452F39"/>
    <w:rsid w:val="00461253"/>
    <w:rsid w:val="00466C51"/>
    <w:rsid w:val="004708F4"/>
    <w:rsid w:val="00472FED"/>
    <w:rsid w:val="00492B2B"/>
    <w:rsid w:val="004A0653"/>
    <w:rsid w:val="004F19FF"/>
    <w:rsid w:val="005042C2"/>
    <w:rsid w:val="00545B68"/>
    <w:rsid w:val="005B593F"/>
    <w:rsid w:val="005D65FD"/>
    <w:rsid w:val="00623F48"/>
    <w:rsid w:val="00671529"/>
    <w:rsid w:val="007268F9"/>
    <w:rsid w:val="007327A0"/>
    <w:rsid w:val="00733E3C"/>
    <w:rsid w:val="00743A7E"/>
    <w:rsid w:val="00782348"/>
    <w:rsid w:val="0078502C"/>
    <w:rsid w:val="007933CB"/>
    <w:rsid w:val="007B61C2"/>
    <w:rsid w:val="007B7253"/>
    <w:rsid w:val="007C52B0"/>
    <w:rsid w:val="00817E57"/>
    <w:rsid w:val="008209B2"/>
    <w:rsid w:val="00892361"/>
    <w:rsid w:val="008B2482"/>
    <w:rsid w:val="008B3BA2"/>
    <w:rsid w:val="008D3450"/>
    <w:rsid w:val="00913E47"/>
    <w:rsid w:val="00920A1E"/>
    <w:rsid w:val="009411B4"/>
    <w:rsid w:val="0095087F"/>
    <w:rsid w:val="00984FC7"/>
    <w:rsid w:val="009C0CCD"/>
    <w:rsid w:val="009C1F97"/>
    <w:rsid w:val="009C1FB8"/>
    <w:rsid w:val="009D0139"/>
    <w:rsid w:val="009F5CDC"/>
    <w:rsid w:val="00A23459"/>
    <w:rsid w:val="00A775CF"/>
    <w:rsid w:val="00A83217"/>
    <w:rsid w:val="00A872D0"/>
    <w:rsid w:val="00A90896"/>
    <w:rsid w:val="00AA5ADE"/>
    <w:rsid w:val="00AC58B6"/>
    <w:rsid w:val="00B06045"/>
    <w:rsid w:val="00B24527"/>
    <w:rsid w:val="00B46121"/>
    <w:rsid w:val="00B53AA5"/>
    <w:rsid w:val="00B65BAE"/>
    <w:rsid w:val="00B903E5"/>
    <w:rsid w:val="00B94848"/>
    <w:rsid w:val="00BB432E"/>
    <w:rsid w:val="00BD6231"/>
    <w:rsid w:val="00BD74EB"/>
    <w:rsid w:val="00C35A27"/>
    <w:rsid w:val="00C80194"/>
    <w:rsid w:val="00CA1AEA"/>
    <w:rsid w:val="00CB4D27"/>
    <w:rsid w:val="00CC782B"/>
    <w:rsid w:val="00CF034E"/>
    <w:rsid w:val="00D04203"/>
    <w:rsid w:val="00D327D6"/>
    <w:rsid w:val="00DB065A"/>
    <w:rsid w:val="00DE4BCE"/>
    <w:rsid w:val="00DF77BC"/>
    <w:rsid w:val="00E02C2B"/>
    <w:rsid w:val="00E03FF9"/>
    <w:rsid w:val="00E05879"/>
    <w:rsid w:val="00E23901"/>
    <w:rsid w:val="00E90A3E"/>
    <w:rsid w:val="00ED6C48"/>
    <w:rsid w:val="00EF3931"/>
    <w:rsid w:val="00EF3AA0"/>
    <w:rsid w:val="00F00326"/>
    <w:rsid w:val="00F41F0F"/>
    <w:rsid w:val="00F65F5D"/>
    <w:rsid w:val="00F86A3A"/>
    <w:rsid w:val="00F92CC4"/>
    <w:rsid w:val="00FA6BDA"/>
    <w:rsid w:val="00FE21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DA77A"/>
  <w15:docId w15:val="{E4CB91D6-CBFD-437E-A79D-D171F2F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9C1FB8"/>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270BD1"/>
    <w:rPr>
      <w:sz w:val="16"/>
      <w:szCs w:val="16"/>
    </w:rPr>
  </w:style>
  <w:style w:type="paragraph" w:styleId="CommentText">
    <w:name w:val="annotation text"/>
    <w:basedOn w:val="Normal"/>
    <w:link w:val="CommentTextChar"/>
    <w:uiPriority w:val="99"/>
    <w:semiHidden/>
    <w:unhideWhenUsed/>
    <w:rsid w:val="00270BD1"/>
    <w:pPr>
      <w:spacing w:line="240" w:lineRule="auto"/>
    </w:pPr>
  </w:style>
  <w:style w:type="character" w:customStyle="1" w:styleId="CommentTextChar">
    <w:name w:val="Comment Text Char"/>
    <w:basedOn w:val="DefaultParagraphFont"/>
    <w:link w:val="CommentText"/>
    <w:uiPriority w:val="99"/>
    <w:semiHidden/>
    <w:rsid w:val="00270BD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0BD1"/>
    <w:rPr>
      <w:b/>
      <w:bCs/>
    </w:rPr>
  </w:style>
  <w:style w:type="character" w:customStyle="1" w:styleId="CommentSubjectChar">
    <w:name w:val="Comment Subject Char"/>
    <w:basedOn w:val="CommentTextChar"/>
    <w:link w:val="CommentSubject"/>
    <w:uiPriority w:val="99"/>
    <w:semiHidden/>
    <w:rsid w:val="00270BD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B24527"/>
    <w:rPr>
      <w:color w:val="0000FF" w:themeColor="hyperlink"/>
      <w:u w:val="single"/>
    </w:rPr>
  </w:style>
  <w:style w:type="character" w:customStyle="1" w:styleId="UnresolvedMention1">
    <w:name w:val="Unresolved Mention1"/>
    <w:basedOn w:val="DefaultParagraphFont"/>
    <w:uiPriority w:val="99"/>
    <w:semiHidden/>
    <w:unhideWhenUsed/>
    <w:rsid w:val="00B24527"/>
    <w:rPr>
      <w:color w:val="605E5C"/>
      <w:shd w:val="clear" w:color="auto" w:fill="E1DFDD"/>
    </w:rPr>
  </w:style>
  <w:style w:type="character" w:styleId="FollowedHyperlink">
    <w:name w:val="FollowedHyperlink"/>
    <w:basedOn w:val="DefaultParagraphFont"/>
    <w:uiPriority w:val="99"/>
    <w:semiHidden/>
    <w:unhideWhenUsed/>
    <w:rsid w:val="00B24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CCPR/C/98/D/1465/2006" TargetMode="External"/><Relationship Id="rId13" Type="http://schemas.openxmlformats.org/officeDocument/2006/relationships/hyperlink" Target="http://undocs.org/en/CCPR/C/128/D/3032/2017" TargetMode="External"/><Relationship Id="rId3" Type="http://schemas.openxmlformats.org/officeDocument/2006/relationships/hyperlink" Target="http://undocs.org/en/CCPR/C/60/D/692/1996" TargetMode="External"/><Relationship Id="rId7" Type="http://schemas.openxmlformats.org/officeDocument/2006/relationships/hyperlink" Target="http://undocs.org/en/CCPR/C/129/D/3106/2018-3122/2018" TargetMode="External"/><Relationship Id="rId12" Type="http://schemas.openxmlformats.org/officeDocument/2006/relationships/hyperlink" Target="http://undocs.org/en/CCPR/C/128/D/3300/2019" TargetMode="External"/><Relationship Id="rId17" Type="http://schemas.openxmlformats.org/officeDocument/2006/relationships/hyperlink" Target="http://undocs.org/en/CCPR/C/117/D/2469/2014" TargetMode="External"/><Relationship Id="rId2" Type="http://schemas.openxmlformats.org/officeDocument/2006/relationships/hyperlink" Target="http://undocs.org/en/CCPR/C/110/D/2007/2010" TargetMode="External"/><Relationship Id="rId16" Type="http://schemas.openxmlformats.org/officeDocument/2006/relationships/hyperlink" Target="http://undocs.org/en/CCPR/C/119/D/2681/2015" TargetMode="External"/><Relationship Id="rId1" Type="http://schemas.openxmlformats.org/officeDocument/2006/relationships/hyperlink" Target="http://undocs.org/en/CCPR/C/98/D/1465/2006" TargetMode="External"/><Relationship Id="rId6" Type="http://schemas.openxmlformats.org/officeDocument/2006/relationships/hyperlink" Target="http://undocs.org/en/CCPR/C/92/D/1429/2005" TargetMode="External"/><Relationship Id="rId11" Type="http://schemas.openxmlformats.org/officeDocument/2006/relationships/hyperlink" Target="http://undocs.org/en/CCPR/C/127/D/3070/2017" TargetMode="External"/><Relationship Id="rId5" Type="http://schemas.openxmlformats.org/officeDocument/2006/relationships/hyperlink" Target="https://undocs.org/CCPR/C/87/D/1302/2004" TargetMode="External"/><Relationship Id="rId15" Type="http://schemas.openxmlformats.org/officeDocument/2006/relationships/hyperlink" Target="http://undocs.org/en/CCPR/C/117/D/2378/2014" TargetMode="External"/><Relationship Id="rId10" Type="http://schemas.openxmlformats.org/officeDocument/2006/relationships/hyperlink" Target="https://undocs.org/CCPR/C/114/D/2393/2014" TargetMode="External"/><Relationship Id="rId4" Type="http://schemas.openxmlformats.org/officeDocument/2006/relationships/hyperlink" Target="http://undocs.org/en/CCPR/C/103/D/1833/2008" TargetMode="External"/><Relationship Id="rId9" Type="http://schemas.openxmlformats.org/officeDocument/2006/relationships/hyperlink" Target="http://undocs.org/en/CCPR/C/98/D/1544/2007" TargetMode="External"/><Relationship Id="rId14" Type="http://schemas.openxmlformats.org/officeDocument/2006/relationships/hyperlink" Target="http://undocs.org/en/CCPR/C/115/D/247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5E448-AC57-431C-A5D2-6A5CACBEF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6C895-D29D-4F8B-BCC9-9F6605E29B37}">
  <ds:schemaRefs>
    <ds:schemaRef ds:uri="http://schemas.microsoft.com/sharepoint/v3/contenttype/forms"/>
  </ds:schemaRefs>
</ds:datastoreItem>
</file>

<file path=customXml/itemProps3.xml><?xml version="1.0" encoding="utf-8"?>
<ds:datastoreItem xmlns:ds="http://schemas.openxmlformats.org/officeDocument/2006/customXml" ds:itemID="{510EC161-EEF0-4949-910C-A4F3DB98760A}">
  <ds:schemaRefs>
    <ds:schemaRef ds:uri="http://schemas.openxmlformats.org/officeDocument/2006/bibliography"/>
  </ds:schemaRefs>
</ds:datastoreItem>
</file>

<file path=customXml/itemProps4.xml><?xml version="1.0" encoding="utf-8"?>
<ds:datastoreItem xmlns:ds="http://schemas.openxmlformats.org/officeDocument/2006/customXml" ds:itemID="{134B4797-1737-4053-A6E2-415C5454E8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f481a96-d34c-41f2-87ba-59c4928b42a0"/>
    <ds:schemaRef ds:uri="6c33773d-66ed-4bf1-ab60-0ae20b1c30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15</Pages>
  <Words>8400</Words>
  <Characters>42506</Characters>
  <Application>Microsoft Office Word</Application>
  <DocSecurity>0</DocSecurity>
  <Lines>625</Lines>
  <Paragraphs>120</Paragraphs>
  <ScaleCrop>false</ScaleCrop>
  <HeadingPairs>
    <vt:vector size="2" baseType="variant">
      <vt:variant>
        <vt:lpstr>Title</vt:lpstr>
      </vt:variant>
      <vt:variant>
        <vt:i4>1</vt:i4>
      </vt:variant>
    </vt:vector>
  </HeadingPairs>
  <TitlesOfParts>
    <vt:vector size="1" baseType="lpstr">
      <vt:lpstr>CCPR/C/133/D/2796/2016</vt:lpstr>
    </vt:vector>
  </TitlesOfParts>
  <Company>DCM</Company>
  <LinksUpToDate>false</LinksUpToDate>
  <CharactersWithSpaces>50786</CharactersWithSpaces>
  <SharedDoc>false</SharedDoc>
  <HLinks>
    <vt:vector size="102" baseType="variant">
      <vt:variant>
        <vt:i4>6815794</vt:i4>
      </vt:variant>
      <vt:variant>
        <vt:i4>48</vt:i4>
      </vt:variant>
      <vt:variant>
        <vt:i4>0</vt:i4>
      </vt:variant>
      <vt:variant>
        <vt:i4>5</vt:i4>
      </vt:variant>
      <vt:variant>
        <vt:lpwstr>http://undocs.org/en/CCPR/C/117/D/2469/2014</vt:lpwstr>
      </vt:variant>
      <vt:variant>
        <vt:lpwstr/>
      </vt:variant>
      <vt:variant>
        <vt:i4>6422578</vt:i4>
      </vt:variant>
      <vt:variant>
        <vt:i4>45</vt:i4>
      </vt:variant>
      <vt:variant>
        <vt:i4>0</vt:i4>
      </vt:variant>
      <vt:variant>
        <vt:i4>5</vt:i4>
      </vt:variant>
      <vt:variant>
        <vt:lpwstr>http://undocs.org/en/CCPR/C/119/D/2681/2015</vt:lpwstr>
      </vt:variant>
      <vt:variant>
        <vt:lpwstr/>
      </vt:variant>
      <vt:variant>
        <vt:i4>7209011</vt:i4>
      </vt:variant>
      <vt:variant>
        <vt:i4>42</vt:i4>
      </vt:variant>
      <vt:variant>
        <vt:i4>0</vt:i4>
      </vt:variant>
      <vt:variant>
        <vt:i4>5</vt:i4>
      </vt:variant>
      <vt:variant>
        <vt:lpwstr>http://undocs.org/en/CCPR/C/117/D/2378/2014</vt:lpwstr>
      </vt:variant>
      <vt:variant>
        <vt:lpwstr/>
      </vt:variant>
      <vt:variant>
        <vt:i4>6619185</vt:i4>
      </vt:variant>
      <vt:variant>
        <vt:i4>39</vt:i4>
      </vt:variant>
      <vt:variant>
        <vt:i4>0</vt:i4>
      </vt:variant>
      <vt:variant>
        <vt:i4>5</vt:i4>
      </vt:variant>
      <vt:variant>
        <vt:lpwstr>http://undocs.org/en/CCPR/C/115/D/2474/2014</vt:lpwstr>
      </vt:variant>
      <vt:variant>
        <vt:lpwstr/>
      </vt:variant>
      <vt:variant>
        <vt:i4>6553657</vt:i4>
      </vt:variant>
      <vt:variant>
        <vt:i4>36</vt:i4>
      </vt:variant>
      <vt:variant>
        <vt:i4>0</vt:i4>
      </vt:variant>
      <vt:variant>
        <vt:i4>5</vt:i4>
      </vt:variant>
      <vt:variant>
        <vt:lpwstr>http://undocs.org/en/CCPR/C/128/D/3032/2017</vt:lpwstr>
      </vt:variant>
      <vt:variant>
        <vt:lpwstr/>
      </vt:variant>
      <vt:variant>
        <vt:i4>6619194</vt:i4>
      </vt:variant>
      <vt:variant>
        <vt:i4>33</vt:i4>
      </vt:variant>
      <vt:variant>
        <vt:i4>0</vt:i4>
      </vt:variant>
      <vt:variant>
        <vt:i4>5</vt:i4>
      </vt:variant>
      <vt:variant>
        <vt:lpwstr>http://undocs.org/en/CCPR/C/128/D/3300/2019</vt:lpwstr>
      </vt:variant>
      <vt:variant>
        <vt:lpwstr/>
      </vt:variant>
      <vt:variant>
        <vt:i4>6684722</vt:i4>
      </vt:variant>
      <vt:variant>
        <vt:i4>30</vt:i4>
      </vt:variant>
      <vt:variant>
        <vt:i4>0</vt:i4>
      </vt:variant>
      <vt:variant>
        <vt:i4>5</vt:i4>
      </vt:variant>
      <vt:variant>
        <vt:lpwstr>http://undocs.org/en/CCPR/C/127/D/3070/2017</vt:lpwstr>
      </vt:variant>
      <vt:variant>
        <vt:lpwstr/>
      </vt:variant>
      <vt:variant>
        <vt:i4>6619198</vt:i4>
      </vt:variant>
      <vt:variant>
        <vt:i4>27</vt:i4>
      </vt:variant>
      <vt:variant>
        <vt:i4>0</vt:i4>
      </vt:variant>
      <vt:variant>
        <vt:i4>5</vt:i4>
      </vt:variant>
      <vt:variant>
        <vt:lpwstr>http://undocs.org/en/CCPR/C/114/D/2393/2014</vt:lpwstr>
      </vt:variant>
      <vt:variant>
        <vt:lpwstr/>
      </vt:variant>
      <vt:variant>
        <vt:i4>2490481</vt:i4>
      </vt:variant>
      <vt:variant>
        <vt:i4>24</vt:i4>
      </vt:variant>
      <vt:variant>
        <vt:i4>0</vt:i4>
      </vt:variant>
      <vt:variant>
        <vt:i4>5</vt:i4>
      </vt:variant>
      <vt:variant>
        <vt:lpwstr>http://undocs.org/en/CCPR/C/98/D/1544/2007</vt:lpwstr>
      </vt:variant>
      <vt:variant>
        <vt:lpwstr/>
      </vt:variant>
      <vt:variant>
        <vt:i4>2424945</vt:i4>
      </vt:variant>
      <vt:variant>
        <vt:i4>21</vt:i4>
      </vt:variant>
      <vt:variant>
        <vt:i4>0</vt:i4>
      </vt:variant>
      <vt:variant>
        <vt:i4>5</vt:i4>
      </vt:variant>
      <vt:variant>
        <vt:lpwstr>http://undocs.org/en/CCPR/C/98/D/1465/2006</vt:lpwstr>
      </vt:variant>
      <vt:variant>
        <vt:lpwstr/>
      </vt:variant>
      <vt:variant>
        <vt:i4>4980765</vt:i4>
      </vt:variant>
      <vt:variant>
        <vt:i4>18</vt:i4>
      </vt:variant>
      <vt:variant>
        <vt:i4>0</vt:i4>
      </vt:variant>
      <vt:variant>
        <vt:i4>5</vt:i4>
      </vt:variant>
      <vt:variant>
        <vt:lpwstr>http://undocs.org/en/CCPR/C/129/D/3106/2018-3122/2018</vt:lpwstr>
      </vt:variant>
      <vt:variant>
        <vt:lpwstr/>
      </vt:variant>
      <vt:variant>
        <vt:i4>2621565</vt:i4>
      </vt:variant>
      <vt:variant>
        <vt:i4>15</vt:i4>
      </vt:variant>
      <vt:variant>
        <vt:i4>0</vt:i4>
      </vt:variant>
      <vt:variant>
        <vt:i4>5</vt:i4>
      </vt:variant>
      <vt:variant>
        <vt:lpwstr>http://undocs.org/en/CCPR/C/92/D/1429/2005</vt:lpwstr>
      </vt:variant>
      <vt:variant>
        <vt:lpwstr/>
      </vt:variant>
      <vt:variant>
        <vt:i4>3014768</vt:i4>
      </vt:variant>
      <vt:variant>
        <vt:i4>12</vt:i4>
      </vt:variant>
      <vt:variant>
        <vt:i4>0</vt:i4>
      </vt:variant>
      <vt:variant>
        <vt:i4>5</vt:i4>
      </vt:variant>
      <vt:variant>
        <vt:lpwstr>http://undocs.org/en/CCPR/C/87/D/1302/2004</vt:lpwstr>
      </vt:variant>
      <vt:variant>
        <vt:lpwstr/>
      </vt:variant>
      <vt:variant>
        <vt:i4>7209008</vt:i4>
      </vt:variant>
      <vt:variant>
        <vt:i4>9</vt:i4>
      </vt:variant>
      <vt:variant>
        <vt:i4>0</vt:i4>
      </vt:variant>
      <vt:variant>
        <vt:i4>5</vt:i4>
      </vt:variant>
      <vt:variant>
        <vt:lpwstr>http://undocs.org/en/CCPR/C/103/D/1833/2008</vt:lpwstr>
      </vt:variant>
      <vt:variant>
        <vt:lpwstr/>
      </vt:variant>
      <vt:variant>
        <vt:i4>983122</vt:i4>
      </vt:variant>
      <vt:variant>
        <vt:i4>6</vt:i4>
      </vt:variant>
      <vt:variant>
        <vt:i4>0</vt:i4>
      </vt:variant>
      <vt:variant>
        <vt:i4>5</vt:i4>
      </vt:variant>
      <vt:variant>
        <vt:lpwstr>http://undocs.org/en/CCPR/C/60/D/692/1996</vt:lpwstr>
      </vt:variant>
      <vt:variant>
        <vt:lpwstr/>
      </vt:variant>
      <vt:variant>
        <vt:i4>6422579</vt:i4>
      </vt:variant>
      <vt:variant>
        <vt:i4>3</vt:i4>
      </vt:variant>
      <vt:variant>
        <vt:i4>0</vt:i4>
      </vt:variant>
      <vt:variant>
        <vt:i4>5</vt:i4>
      </vt:variant>
      <vt:variant>
        <vt:lpwstr>http://undocs.org/en/CCPR/C/110/D/2007/2010</vt:lpwstr>
      </vt:variant>
      <vt:variant>
        <vt:lpwstr/>
      </vt:variant>
      <vt:variant>
        <vt:i4>2424945</vt:i4>
      </vt:variant>
      <vt:variant>
        <vt:i4>0</vt:i4>
      </vt:variant>
      <vt:variant>
        <vt:i4>0</vt:i4>
      </vt:variant>
      <vt:variant>
        <vt:i4>5</vt:i4>
      </vt:variant>
      <vt:variant>
        <vt:lpwstr>http://undocs.org/en/CCPR/C/98/D/1465/2006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CCPR/C/133/D/2796/2016</dc:title>
  <dc:subject>2201372</dc:subject>
  <dc:creator>Brigoli</dc:creator>
  <cp:keywords/>
  <dc:description/>
  <cp:lastModifiedBy>Don Canete Martin</cp:lastModifiedBy>
  <cp:revision>3</cp:revision>
  <dcterms:created xsi:type="dcterms:W3CDTF">2022-02-18T15:17:00Z</dcterms:created>
  <dcterms:modified xsi:type="dcterms:W3CDTF">2022-02-18T15:19:00Z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