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C226C1" w14:paraId="0AC39FEB" w14:textId="77777777" w:rsidTr="00CA1AEA">
        <w:trPr>
          <w:cantSplit/>
          <w:trHeight w:hRule="exact" w:val="851"/>
        </w:trPr>
        <w:tc>
          <w:tcPr>
            <w:tcW w:w="1276" w:type="dxa"/>
            <w:tcBorders>
              <w:bottom w:val="single" w:sz="4" w:space="0" w:color="auto"/>
            </w:tcBorders>
            <w:vAlign w:val="bottom"/>
          </w:tcPr>
          <w:p w14:paraId="7307CD93" w14:textId="124F8448" w:rsidR="00165C15" w:rsidRPr="00C226C1" w:rsidRDefault="00165C15" w:rsidP="00CA1AEA">
            <w:pPr>
              <w:spacing w:after="80"/>
            </w:pPr>
          </w:p>
        </w:tc>
        <w:tc>
          <w:tcPr>
            <w:tcW w:w="2268" w:type="dxa"/>
            <w:tcBorders>
              <w:bottom w:val="single" w:sz="4" w:space="0" w:color="auto"/>
            </w:tcBorders>
            <w:vAlign w:val="bottom"/>
          </w:tcPr>
          <w:p w14:paraId="0D6681A8" w14:textId="77777777" w:rsidR="00165C15" w:rsidRPr="00C226C1" w:rsidRDefault="00165C15" w:rsidP="00CA1AEA">
            <w:pPr>
              <w:spacing w:after="80" w:line="300" w:lineRule="exact"/>
              <w:rPr>
                <w:b/>
                <w:sz w:val="24"/>
                <w:szCs w:val="24"/>
              </w:rPr>
            </w:pPr>
            <w:r w:rsidRPr="00C226C1">
              <w:rPr>
                <w:sz w:val="28"/>
                <w:szCs w:val="28"/>
              </w:rPr>
              <w:t>United Nations</w:t>
            </w:r>
          </w:p>
        </w:tc>
        <w:tc>
          <w:tcPr>
            <w:tcW w:w="6095" w:type="dxa"/>
            <w:gridSpan w:val="2"/>
            <w:tcBorders>
              <w:bottom w:val="single" w:sz="4" w:space="0" w:color="auto"/>
            </w:tcBorders>
            <w:vAlign w:val="bottom"/>
          </w:tcPr>
          <w:p w14:paraId="3088CA3F" w14:textId="77777777" w:rsidR="00165C15" w:rsidRPr="00C226C1" w:rsidRDefault="00A32A2B" w:rsidP="00A32A2B">
            <w:pPr>
              <w:suppressAutoHyphens w:val="0"/>
              <w:spacing w:after="20"/>
              <w:jc w:val="right"/>
            </w:pPr>
            <w:r w:rsidRPr="00C226C1">
              <w:rPr>
                <w:sz w:val="40"/>
              </w:rPr>
              <w:t>CCPR</w:t>
            </w:r>
            <w:r w:rsidRPr="00C226C1">
              <w:t>/C/132/D/2508/2014</w:t>
            </w:r>
          </w:p>
        </w:tc>
      </w:tr>
      <w:tr w:rsidR="00165C15" w:rsidRPr="00C226C1" w14:paraId="21D23CD1" w14:textId="77777777" w:rsidTr="00CA1AEA">
        <w:trPr>
          <w:cantSplit/>
          <w:trHeight w:hRule="exact" w:val="2835"/>
        </w:trPr>
        <w:tc>
          <w:tcPr>
            <w:tcW w:w="1276" w:type="dxa"/>
            <w:tcBorders>
              <w:top w:val="single" w:sz="4" w:space="0" w:color="auto"/>
              <w:bottom w:val="single" w:sz="12" w:space="0" w:color="auto"/>
            </w:tcBorders>
          </w:tcPr>
          <w:p w14:paraId="0DDAA35C" w14:textId="77777777" w:rsidR="00165C15" w:rsidRPr="00C226C1" w:rsidRDefault="00165C15" w:rsidP="00CA1AEA">
            <w:pPr>
              <w:spacing w:before="120"/>
            </w:pPr>
            <w:r w:rsidRPr="00C226C1">
              <w:rPr>
                <w:noProof/>
                <w:lang w:eastAsia="fr-CH"/>
              </w:rPr>
              <w:drawing>
                <wp:inline distT="0" distB="0" distL="0" distR="0" wp14:anchorId="2476DDAB" wp14:editId="7F22A98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B9C19D" w14:textId="77777777" w:rsidR="00165C15" w:rsidRPr="00C226C1" w:rsidRDefault="00165C15" w:rsidP="00CA1AEA">
            <w:pPr>
              <w:spacing w:before="120" w:line="380" w:lineRule="exact"/>
              <w:rPr>
                <w:sz w:val="34"/>
              </w:rPr>
            </w:pPr>
            <w:r w:rsidRPr="00C226C1">
              <w:rPr>
                <w:b/>
                <w:sz w:val="34"/>
                <w:szCs w:val="40"/>
              </w:rPr>
              <w:t>International Covenant on</w:t>
            </w:r>
            <w:r w:rsidRPr="00C226C1">
              <w:rPr>
                <w:b/>
                <w:sz w:val="34"/>
                <w:szCs w:val="40"/>
              </w:rPr>
              <w:br/>
              <w:t>Civil and Political Rights</w:t>
            </w:r>
          </w:p>
        </w:tc>
        <w:tc>
          <w:tcPr>
            <w:tcW w:w="2835" w:type="dxa"/>
            <w:tcBorders>
              <w:top w:val="single" w:sz="4" w:space="0" w:color="auto"/>
              <w:bottom w:val="single" w:sz="12" w:space="0" w:color="auto"/>
            </w:tcBorders>
          </w:tcPr>
          <w:p w14:paraId="4C45588F" w14:textId="77777777" w:rsidR="00165C15" w:rsidRPr="00C226C1" w:rsidRDefault="00A32A2B" w:rsidP="00A32A2B">
            <w:pPr>
              <w:suppressAutoHyphens w:val="0"/>
              <w:spacing w:before="240"/>
            </w:pPr>
            <w:r w:rsidRPr="00C226C1">
              <w:t>Distr.: General</w:t>
            </w:r>
          </w:p>
          <w:p w14:paraId="1B634C74" w14:textId="423BE955" w:rsidR="00A32A2B" w:rsidRPr="00C226C1" w:rsidRDefault="00A32A2B" w:rsidP="00A32A2B">
            <w:pPr>
              <w:suppressAutoHyphens w:val="0"/>
            </w:pPr>
            <w:r w:rsidRPr="00C226C1">
              <w:t>2</w:t>
            </w:r>
            <w:r w:rsidR="00B81E2B">
              <w:t>9</w:t>
            </w:r>
            <w:r w:rsidRPr="00C226C1">
              <w:t xml:space="preserve"> March 2022</w:t>
            </w:r>
          </w:p>
          <w:p w14:paraId="4B78C433" w14:textId="77777777" w:rsidR="00A32A2B" w:rsidRPr="00C226C1" w:rsidRDefault="00A32A2B" w:rsidP="00A32A2B">
            <w:pPr>
              <w:suppressAutoHyphens w:val="0"/>
            </w:pPr>
          </w:p>
          <w:p w14:paraId="730BABFF" w14:textId="77777777" w:rsidR="00A32A2B" w:rsidRPr="00C226C1" w:rsidRDefault="00A32A2B" w:rsidP="00A32A2B">
            <w:pPr>
              <w:suppressAutoHyphens w:val="0"/>
            </w:pPr>
            <w:r w:rsidRPr="00C226C1">
              <w:t>Original: English</w:t>
            </w:r>
          </w:p>
        </w:tc>
      </w:tr>
    </w:tbl>
    <w:p w14:paraId="6F5FC210" w14:textId="77777777" w:rsidR="00A32A2B" w:rsidRPr="00C226C1" w:rsidRDefault="00A32A2B">
      <w:pPr>
        <w:spacing w:before="120"/>
        <w:rPr>
          <w:b/>
          <w:sz w:val="24"/>
          <w:szCs w:val="24"/>
        </w:rPr>
      </w:pPr>
      <w:r w:rsidRPr="00C226C1">
        <w:rPr>
          <w:b/>
          <w:sz w:val="24"/>
          <w:szCs w:val="24"/>
        </w:rPr>
        <w:t>Human Rights Committee</w:t>
      </w:r>
    </w:p>
    <w:p w14:paraId="09693730" w14:textId="5525583A" w:rsidR="00A23459" w:rsidRPr="00C226C1" w:rsidRDefault="00A32A2B" w:rsidP="00A32A2B">
      <w:pPr>
        <w:pStyle w:val="HChG"/>
        <w:rPr>
          <w:rFonts w:eastAsiaTheme="minorEastAsia"/>
          <w:lang w:eastAsia="zh-CN"/>
        </w:rPr>
      </w:pPr>
      <w:r w:rsidRPr="00C226C1">
        <w:rPr>
          <w:rFonts w:eastAsiaTheme="minorEastAsia"/>
          <w:lang w:eastAsia="zh-CN"/>
        </w:rPr>
        <w:tab/>
      </w:r>
      <w:r w:rsidRPr="00C226C1">
        <w:rPr>
          <w:rFonts w:eastAsiaTheme="minorEastAsia"/>
          <w:lang w:eastAsia="zh-CN"/>
        </w:rPr>
        <w:tab/>
        <w:t>Views adopted by the Committee under article 5 (4) of the Optional Protocol, concerning communication No.</w:t>
      </w:r>
      <w:r w:rsidR="00B81E2B">
        <w:rPr>
          <w:rFonts w:eastAsiaTheme="minorEastAsia"/>
          <w:lang w:eastAsia="zh-CN"/>
        </w:rPr>
        <w:t> </w:t>
      </w:r>
      <w:r w:rsidRPr="00C226C1">
        <w:rPr>
          <w:rFonts w:eastAsiaTheme="minorEastAsia"/>
          <w:lang w:eastAsia="zh-CN"/>
        </w:rPr>
        <w:t>2508/2014</w:t>
      </w:r>
      <w:r w:rsidRPr="00C226C1">
        <w:rPr>
          <w:rStyle w:val="FootnoteReference"/>
          <w:rFonts w:eastAsiaTheme="minorEastAsia"/>
          <w:b w:val="0"/>
          <w:bCs/>
          <w:sz w:val="20"/>
          <w:vertAlign w:val="baseline"/>
          <w:lang w:eastAsia="zh-CN"/>
        </w:rPr>
        <w:footnoteReference w:customMarkFollows="1" w:id="1"/>
        <w:t>*</w:t>
      </w:r>
      <w:r w:rsidRPr="00C226C1">
        <w:rPr>
          <w:rStyle w:val="FootnoteReference"/>
          <w:rFonts w:eastAsiaTheme="minorEastAsia"/>
          <w:b w:val="0"/>
          <w:bCs/>
          <w:position w:val="8"/>
          <w:sz w:val="20"/>
          <w:vertAlign w:val="baseline"/>
          <w:lang w:eastAsia="zh-CN"/>
        </w:rPr>
        <w:t>,</w:t>
      </w:r>
      <w:r w:rsidRPr="00C226C1">
        <w:rPr>
          <w:rFonts w:eastAsiaTheme="minorEastAsia"/>
          <w:b w:val="0"/>
          <w:bCs/>
          <w:sz w:val="20"/>
          <w:lang w:eastAsia="zh-CN"/>
        </w:rPr>
        <w:t xml:space="preserve"> </w:t>
      </w:r>
      <w:r w:rsidRPr="00C226C1">
        <w:rPr>
          <w:rStyle w:val="FootnoteReference"/>
          <w:rFonts w:eastAsiaTheme="minorEastAsia"/>
          <w:b w:val="0"/>
          <w:bCs/>
          <w:sz w:val="20"/>
          <w:vertAlign w:val="baseline"/>
          <w:lang w:eastAsia="zh-CN"/>
        </w:rPr>
        <w:footnoteReference w:customMarkFollows="1" w:id="2"/>
        <w:t>**</w:t>
      </w:r>
    </w:p>
    <w:p w14:paraId="54177D03" w14:textId="62431CDA" w:rsidR="00A32A2B" w:rsidRPr="00C226C1" w:rsidRDefault="00A32A2B" w:rsidP="00491184">
      <w:pPr>
        <w:pStyle w:val="SingleTxtG"/>
        <w:tabs>
          <w:tab w:val="clear" w:pos="1701"/>
          <w:tab w:val="clear" w:pos="2268"/>
        </w:tabs>
        <w:ind w:left="4536" w:hanging="3402"/>
        <w:jc w:val="left"/>
      </w:pPr>
      <w:r w:rsidRPr="00390DD8">
        <w:rPr>
          <w:i/>
          <w:iCs/>
        </w:rPr>
        <w:t>Communication submitted by</w:t>
      </w:r>
      <w:r w:rsidRPr="00C226C1">
        <w:t>:</w:t>
      </w:r>
      <w:r w:rsidRPr="00C226C1">
        <w:tab/>
      </w:r>
      <w:proofErr w:type="spellStart"/>
      <w:r w:rsidRPr="00C226C1">
        <w:t>Dodanpegamage</w:t>
      </w:r>
      <w:proofErr w:type="spellEnd"/>
      <w:r w:rsidRPr="00C226C1">
        <w:t xml:space="preserve"> </w:t>
      </w:r>
      <w:proofErr w:type="spellStart"/>
      <w:r w:rsidRPr="00C226C1">
        <w:t>Asantha</w:t>
      </w:r>
      <w:proofErr w:type="spellEnd"/>
      <w:r w:rsidRPr="00C226C1">
        <w:t xml:space="preserve"> </w:t>
      </w:r>
      <w:proofErr w:type="spellStart"/>
      <w:r w:rsidRPr="00C226C1">
        <w:t>Aravinda</w:t>
      </w:r>
      <w:proofErr w:type="spellEnd"/>
      <w:r w:rsidRPr="00C226C1">
        <w:t xml:space="preserve"> (represented by counsels, Sarah Fulton</w:t>
      </w:r>
      <w:r w:rsidR="008E2DA1" w:rsidRPr="00C226C1">
        <w:rPr>
          <w:rStyle w:val="FootnoteReference"/>
        </w:rPr>
        <w:footnoteReference w:id="3"/>
      </w:r>
      <w:r w:rsidRPr="00C226C1">
        <w:t xml:space="preserve"> and Alejandra Vicente of Redress Trust)</w:t>
      </w:r>
    </w:p>
    <w:p w14:paraId="2423C6B7" w14:textId="77777777" w:rsidR="00A32A2B" w:rsidRPr="00C226C1" w:rsidRDefault="00A32A2B" w:rsidP="00491184">
      <w:pPr>
        <w:pStyle w:val="SingleTxtG"/>
        <w:tabs>
          <w:tab w:val="clear" w:pos="1701"/>
          <w:tab w:val="clear" w:pos="2268"/>
        </w:tabs>
        <w:ind w:left="4536" w:hanging="3402"/>
        <w:jc w:val="left"/>
      </w:pPr>
      <w:r w:rsidRPr="00390DD8">
        <w:rPr>
          <w:i/>
          <w:iCs/>
        </w:rPr>
        <w:t>Alleged victim</w:t>
      </w:r>
      <w:r w:rsidRPr="00C226C1">
        <w:t>:</w:t>
      </w:r>
      <w:r w:rsidRPr="00C226C1">
        <w:tab/>
        <w:t>The author</w:t>
      </w:r>
    </w:p>
    <w:p w14:paraId="0B8B202B" w14:textId="77777777" w:rsidR="00A32A2B" w:rsidRPr="00C226C1" w:rsidRDefault="00A32A2B" w:rsidP="00491184">
      <w:pPr>
        <w:pStyle w:val="SingleTxtG"/>
        <w:tabs>
          <w:tab w:val="clear" w:pos="1701"/>
          <w:tab w:val="clear" w:pos="2268"/>
        </w:tabs>
        <w:ind w:left="4536" w:hanging="3402"/>
        <w:jc w:val="left"/>
      </w:pPr>
      <w:r w:rsidRPr="00390DD8">
        <w:rPr>
          <w:i/>
          <w:iCs/>
        </w:rPr>
        <w:t>State party</w:t>
      </w:r>
      <w:r w:rsidRPr="00C226C1">
        <w:t>:</w:t>
      </w:r>
      <w:r w:rsidRPr="00C226C1">
        <w:tab/>
        <w:t>Sri Lanka</w:t>
      </w:r>
    </w:p>
    <w:p w14:paraId="735DC23F" w14:textId="77777777" w:rsidR="00A32A2B" w:rsidRPr="00C226C1" w:rsidRDefault="00A32A2B" w:rsidP="00491184">
      <w:pPr>
        <w:pStyle w:val="SingleTxtG"/>
        <w:tabs>
          <w:tab w:val="clear" w:pos="1701"/>
          <w:tab w:val="clear" w:pos="2268"/>
        </w:tabs>
        <w:ind w:left="4536" w:hanging="3402"/>
        <w:jc w:val="left"/>
      </w:pPr>
      <w:r w:rsidRPr="003610E6">
        <w:rPr>
          <w:i/>
          <w:iCs/>
        </w:rPr>
        <w:t>Date of communication</w:t>
      </w:r>
      <w:r w:rsidRPr="00C226C1">
        <w:t>:</w:t>
      </w:r>
      <w:r w:rsidRPr="00C226C1">
        <w:tab/>
        <w:t>31 October 2011 (initial submission)</w:t>
      </w:r>
    </w:p>
    <w:p w14:paraId="6EF1E6AA" w14:textId="4B8EA800" w:rsidR="00A32A2B" w:rsidRPr="00C226C1" w:rsidRDefault="00A32A2B" w:rsidP="00491184">
      <w:pPr>
        <w:pStyle w:val="SingleTxtG"/>
        <w:tabs>
          <w:tab w:val="clear" w:pos="1701"/>
          <w:tab w:val="clear" w:pos="2268"/>
        </w:tabs>
        <w:ind w:left="4536" w:hanging="3402"/>
        <w:jc w:val="left"/>
      </w:pPr>
      <w:r w:rsidRPr="003610E6">
        <w:rPr>
          <w:i/>
          <w:iCs/>
        </w:rPr>
        <w:t>Document references</w:t>
      </w:r>
      <w:r w:rsidRPr="00C226C1">
        <w:t>:</w:t>
      </w:r>
      <w:r w:rsidRPr="00C226C1">
        <w:tab/>
        <w:t>Decision taken pursuant to rule 92 of the Committee</w:t>
      </w:r>
      <w:r w:rsidR="000D7DDB">
        <w:t>’</w:t>
      </w:r>
      <w:r w:rsidRPr="00C226C1">
        <w:t>s rules of procedure, transmitted to the State party on 16 December 2014 (not issued in document form)</w:t>
      </w:r>
    </w:p>
    <w:p w14:paraId="512B0AA8" w14:textId="77777777" w:rsidR="00A32A2B" w:rsidRPr="00C226C1" w:rsidRDefault="00A32A2B" w:rsidP="00491184">
      <w:pPr>
        <w:pStyle w:val="SingleTxtG"/>
        <w:tabs>
          <w:tab w:val="clear" w:pos="1701"/>
          <w:tab w:val="clear" w:pos="2268"/>
        </w:tabs>
        <w:ind w:left="4536" w:hanging="3402"/>
        <w:jc w:val="left"/>
      </w:pPr>
      <w:r w:rsidRPr="003610E6">
        <w:rPr>
          <w:i/>
          <w:iCs/>
        </w:rPr>
        <w:t>Date of adoption of Views</w:t>
      </w:r>
      <w:r w:rsidRPr="00C226C1">
        <w:t>:</w:t>
      </w:r>
      <w:r w:rsidRPr="00C226C1">
        <w:tab/>
        <w:t>2 July 2021</w:t>
      </w:r>
    </w:p>
    <w:p w14:paraId="7B44B574" w14:textId="77777777" w:rsidR="00A32A2B" w:rsidRPr="00C226C1" w:rsidRDefault="00A32A2B" w:rsidP="00491184">
      <w:pPr>
        <w:pStyle w:val="SingleTxtG"/>
        <w:tabs>
          <w:tab w:val="clear" w:pos="1701"/>
          <w:tab w:val="clear" w:pos="2268"/>
        </w:tabs>
        <w:ind w:left="4536" w:hanging="3402"/>
        <w:jc w:val="left"/>
      </w:pPr>
      <w:r w:rsidRPr="003610E6">
        <w:rPr>
          <w:i/>
          <w:iCs/>
        </w:rPr>
        <w:t>Subject matter</w:t>
      </w:r>
      <w:r w:rsidRPr="00C226C1">
        <w:t>:</w:t>
      </w:r>
      <w:r w:rsidRPr="00C226C1">
        <w:tab/>
        <w:t>Failure to properly investigate, prosecute and ensure redress for the alleged arbitrary detention and torture of the victim by a private person and police officers</w:t>
      </w:r>
    </w:p>
    <w:p w14:paraId="15F22EF6" w14:textId="554E38CF" w:rsidR="00A32A2B" w:rsidRPr="00C226C1" w:rsidRDefault="00A32A2B" w:rsidP="00491184">
      <w:pPr>
        <w:pStyle w:val="SingleTxtG"/>
        <w:tabs>
          <w:tab w:val="clear" w:pos="1701"/>
          <w:tab w:val="clear" w:pos="2268"/>
        </w:tabs>
        <w:ind w:left="4536" w:hanging="3402"/>
        <w:jc w:val="left"/>
      </w:pPr>
      <w:r w:rsidRPr="003610E6">
        <w:rPr>
          <w:i/>
          <w:iCs/>
        </w:rPr>
        <w:t>Procedural issues</w:t>
      </w:r>
      <w:r w:rsidRPr="00C226C1">
        <w:t>:</w:t>
      </w:r>
      <w:r w:rsidRPr="00C226C1">
        <w:tab/>
        <w:t>State party</w:t>
      </w:r>
      <w:r w:rsidR="000D7DDB">
        <w:t>’</w:t>
      </w:r>
      <w:r w:rsidRPr="00C226C1">
        <w:t>s failure to cooperate; exhaustion of domestic remedies; lack of substantiation</w:t>
      </w:r>
    </w:p>
    <w:p w14:paraId="070044C0" w14:textId="77777777" w:rsidR="00A32A2B" w:rsidRPr="00C226C1" w:rsidRDefault="00A32A2B" w:rsidP="00491184">
      <w:pPr>
        <w:pStyle w:val="SingleTxtG"/>
        <w:tabs>
          <w:tab w:val="clear" w:pos="1701"/>
          <w:tab w:val="clear" w:pos="2268"/>
        </w:tabs>
        <w:ind w:left="4536" w:hanging="3402"/>
        <w:jc w:val="left"/>
      </w:pPr>
      <w:r w:rsidRPr="003610E6">
        <w:rPr>
          <w:i/>
          <w:iCs/>
        </w:rPr>
        <w:t>Substantive issues</w:t>
      </w:r>
      <w:r w:rsidRPr="00C226C1">
        <w:t>:</w:t>
      </w:r>
      <w:r w:rsidRPr="00C226C1">
        <w:tab/>
        <w:t>Cruel, inhuman or degrading treatment or punishment; arbitrary detention; discrimination on the ground of other status; effective remedy</w:t>
      </w:r>
    </w:p>
    <w:p w14:paraId="305A21C3" w14:textId="77777777" w:rsidR="00A32A2B" w:rsidRPr="00C226C1" w:rsidRDefault="00A32A2B" w:rsidP="00491184">
      <w:pPr>
        <w:pStyle w:val="SingleTxtG"/>
        <w:tabs>
          <w:tab w:val="clear" w:pos="1701"/>
          <w:tab w:val="clear" w:pos="2268"/>
        </w:tabs>
        <w:ind w:left="4536" w:hanging="3402"/>
        <w:jc w:val="left"/>
      </w:pPr>
      <w:r w:rsidRPr="003610E6">
        <w:rPr>
          <w:i/>
          <w:iCs/>
        </w:rPr>
        <w:t>Articles of the Covenant</w:t>
      </w:r>
      <w:r w:rsidRPr="00C226C1">
        <w:t>:</w:t>
      </w:r>
      <w:r w:rsidRPr="00C226C1">
        <w:tab/>
        <w:t>7, 9 and 26, read alone and in conjunction with article 2 (3)</w:t>
      </w:r>
    </w:p>
    <w:p w14:paraId="5272D6F8" w14:textId="31DA7EE8" w:rsidR="00A32A2B" w:rsidRPr="00C226C1" w:rsidRDefault="00A32A2B" w:rsidP="00491184">
      <w:pPr>
        <w:pStyle w:val="SingleTxtG"/>
        <w:tabs>
          <w:tab w:val="clear" w:pos="1701"/>
          <w:tab w:val="clear" w:pos="2268"/>
        </w:tabs>
        <w:ind w:left="4536" w:hanging="3402"/>
        <w:jc w:val="left"/>
      </w:pPr>
      <w:r w:rsidRPr="003610E6">
        <w:rPr>
          <w:i/>
          <w:iCs/>
        </w:rPr>
        <w:t>Articles of the Optional Protocol</w:t>
      </w:r>
      <w:r w:rsidRPr="00C226C1">
        <w:t>:</w:t>
      </w:r>
      <w:r w:rsidRPr="00C226C1">
        <w:tab/>
        <w:t>2 and 5 (2) (b)</w:t>
      </w:r>
    </w:p>
    <w:p w14:paraId="7EBE94F6" w14:textId="77777777" w:rsidR="008E2DA1" w:rsidRPr="00C226C1" w:rsidRDefault="008E2DA1" w:rsidP="008E2DA1">
      <w:pPr>
        <w:pStyle w:val="SingleTxtG"/>
        <w:spacing w:before="240"/>
      </w:pPr>
      <w:r w:rsidRPr="00C226C1">
        <w:t>1.</w:t>
      </w:r>
      <w:r w:rsidRPr="00C226C1">
        <w:tab/>
        <w:t xml:space="preserve">The author of the communication is </w:t>
      </w:r>
      <w:proofErr w:type="spellStart"/>
      <w:r w:rsidRPr="00C226C1">
        <w:t>Dodanpegamage</w:t>
      </w:r>
      <w:proofErr w:type="spellEnd"/>
      <w:r w:rsidRPr="00C226C1">
        <w:t xml:space="preserve"> </w:t>
      </w:r>
      <w:proofErr w:type="spellStart"/>
      <w:r w:rsidRPr="00C226C1">
        <w:t>Asantha</w:t>
      </w:r>
      <w:proofErr w:type="spellEnd"/>
      <w:r w:rsidRPr="00C226C1">
        <w:t xml:space="preserve"> </w:t>
      </w:r>
      <w:proofErr w:type="spellStart"/>
      <w:r w:rsidRPr="00C226C1">
        <w:t>Aravinda</w:t>
      </w:r>
      <w:proofErr w:type="spellEnd"/>
      <w:r w:rsidRPr="00C226C1">
        <w:t xml:space="preserve">, national of Sri Lanka born in 1985. He claims that the State party has violated his rights under articles 7, 9 and 26, read alone and in conjunction with article </w:t>
      </w:r>
      <w:proofErr w:type="gramStart"/>
      <w:r w:rsidRPr="00C226C1">
        <w:t>2 (3),</w:t>
      </w:r>
      <w:proofErr w:type="gramEnd"/>
      <w:r w:rsidRPr="00C226C1">
        <w:t xml:space="preserve"> of the Covenant. The Optional </w:t>
      </w:r>
      <w:r w:rsidRPr="00C226C1">
        <w:lastRenderedPageBreak/>
        <w:t>Protocol entered into force for Sri Lanka on 3 January 1998. The author is represented by counsels.</w:t>
      </w:r>
    </w:p>
    <w:p w14:paraId="70659DBF" w14:textId="02DFBACD" w:rsidR="008E2DA1" w:rsidRPr="00C226C1" w:rsidRDefault="008E2DA1" w:rsidP="00952FB6">
      <w:pPr>
        <w:pStyle w:val="H23G"/>
      </w:pPr>
      <w:r w:rsidRPr="00C226C1">
        <w:tab/>
      </w:r>
      <w:r w:rsidRPr="00C226C1">
        <w:tab/>
        <w:t>Facts as submitted by the author</w:t>
      </w:r>
    </w:p>
    <w:p w14:paraId="0561964F" w14:textId="011372B4" w:rsidR="008E2DA1" w:rsidRPr="00C226C1" w:rsidRDefault="008E2DA1" w:rsidP="008E2DA1">
      <w:pPr>
        <w:tabs>
          <w:tab w:val="left" w:pos="1701"/>
        </w:tabs>
        <w:spacing w:after="120"/>
        <w:ind w:left="1134" w:right="1134"/>
        <w:jc w:val="both"/>
      </w:pPr>
      <w:r w:rsidRPr="00C226C1">
        <w:t>2.1</w:t>
      </w:r>
      <w:r w:rsidRPr="00C226C1">
        <w:tab/>
        <w:t xml:space="preserve">On 28 February 2008, the motorbike of the author and his friend almost collided with a truck driven by Mr. P.V.Ch. who was crossing the road without checking for oncoming traffic. After the incident, there was an exchange of words between the parties and the </w:t>
      </w:r>
      <w:proofErr w:type="gramStart"/>
      <w:r w:rsidRPr="00C226C1">
        <w:t>author</w:t>
      </w:r>
      <w:proofErr w:type="gramEnd"/>
      <w:r w:rsidRPr="00C226C1">
        <w:t xml:space="preserve"> and his friend drove away. However,</w:t>
      </w:r>
      <w:r w:rsidR="00DF0BA9" w:rsidRPr="00C226C1">
        <w:t xml:space="preserve"> </w:t>
      </w:r>
      <w:r w:rsidRPr="00C226C1">
        <w:t xml:space="preserve">Mr. P.V.Ch. followed them in his truck and, shortly thereafter, struck the motorbike, leaving both the author and his friend severely injured. Subsequently, a vehicle approached the scene and Mr. P.V.Ch., who had previously fled the scene, got out of that car along with some officers of the </w:t>
      </w:r>
      <w:proofErr w:type="spellStart"/>
      <w:r w:rsidRPr="00C226C1">
        <w:t>Pitabaddara</w:t>
      </w:r>
      <w:proofErr w:type="spellEnd"/>
      <w:r w:rsidRPr="00C226C1">
        <w:t xml:space="preserve"> police station. The police officers tied up the hands of the author and his friend, and they were beaten up by the officers and Mr. P.V.Ch. Mr. P.V.Ch. then poured acid onto the author</w:t>
      </w:r>
      <w:r w:rsidR="000D7DDB">
        <w:t>’</w:t>
      </w:r>
      <w:r w:rsidRPr="00C226C1">
        <w:t>s face that caused him severe pain and left one of his eyes badly injured.</w:t>
      </w:r>
    </w:p>
    <w:p w14:paraId="0BD01A29" w14:textId="073E6A80" w:rsidR="008E2DA1" w:rsidRPr="00C226C1" w:rsidRDefault="008E2DA1" w:rsidP="008E2DA1">
      <w:pPr>
        <w:spacing w:after="120"/>
        <w:ind w:left="1134" w:right="1134"/>
        <w:jc w:val="both"/>
      </w:pPr>
      <w:r w:rsidRPr="00C226C1">
        <w:t>2.2</w:t>
      </w:r>
      <w:r w:rsidRPr="00C226C1">
        <w:tab/>
        <w:t xml:space="preserve">Subsequently, the author and his friend were taken to the </w:t>
      </w:r>
      <w:proofErr w:type="spellStart"/>
      <w:r w:rsidRPr="00C226C1">
        <w:t>Pitabaddara</w:t>
      </w:r>
      <w:proofErr w:type="spellEnd"/>
      <w:r w:rsidRPr="00C226C1">
        <w:t xml:space="preserve"> police station. They were physically assaulted by policemen and then locked up in a cell. Close to midnight, Mr P.V.Ch. appeared at the police station and beat up the author in his cell and poured liquor on his burns. Due to the unbearable pain, the author lost consciousness. When he came to his senses, he was threatened and forced to sign blank documents by the officers.</w:t>
      </w:r>
    </w:p>
    <w:p w14:paraId="498858FB" w14:textId="008856CB" w:rsidR="008E2DA1" w:rsidRPr="00C226C1" w:rsidRDefault="008E2DA1" w:rsidP="008E2DA1">
      <w:pPr>
        <w:spacing w:after="120"/>
        <w:ind w:left="1134" w:right="1134"/>
        <w:jc w:val="both"/>
      </w:pPr>
      <w:r w:rsidRPr="00C226C1">
        <w:t>2.3</w:t>
      </w:r>
      <w:r w:rsidRPr="00C226C1">
        <w:tab/>
        <w:t>The author</w:t>
      </w:r>
      <w:r w:rsidR="000D7DDB">
        <w:t>’</w:t>
      </w:r>
      <w:r w:rsidRPr="00C226C1">
        <w:t>s father was informed about his son</w:t>
      </w:r>
      <w:r w:rsidR="000D7DDB">
        <w:t>’</w:t>
      </w:r>
      <w:r w:rsidRPr="00C226C1">
        <w:t xml:space="preserve">s detention on the same day; however, he was not allowed to see the author </w:t>
      </w:r>
      <w:proofErr w:type="gramStart"/>
      <w:r w:rsidRPr="00C226C1">
        <w:t>in spite of</w:t>
      </w:r>
      <w:proofErr w:type="gramEnd"/>
      <w:r w:rsidRPr="00C226C1">
        <w:t xml:space="preserve"> the family</w:t>
      </w:r>
      <w:r w:rsidR="000D7DDB">
        <w:t>’</w:t>
      </w:r>
      <w:r w:rsidRPr="00C226C1">
        <w:t xml:space="preserve">s repeated requests and visits to the police station between 29 February and 1 March 2008. The officials informed them that the author and his friend had been assaulted by local people; that during the incident, the author had been burned with acid; and </w:t>
      </w:r>
      <w:proofErr w:type="gramStart"/>
      <w:r w:rsidRPr="00C226C1">
        <w:t>that policemen</w:t>
      </w:r>
      <w:proofErr w:type="gramEnd"/>
      <w:r w:rsidRPr="00C226C1">
        <w:t xml:space="preserve"> had discovered that the author</w:t>
      </w:r>
      <w:r w:rsidR="000D7DDB">
        <w:t>’</w:t>
      </w:r>
      <w:r w:rsidRPr="00C226C1">
        <w:t>s friend had a firearm.</w:t>
      </w:r>
    </w:p>
    <w:p w14:paraId="0ECA76F8" w14:textId="77777777" w:rsidR="008E2DA1" w:rsidRPr="00C226C1" w:rsidRDefault="008E2DA1" w:rsidP="008E2DA1">
      <w:pPr>
        <w:spacing w:after="120"/>
        <w:ind w:left="1134" w:right="1134"/>
        <w:jc w:val="both"/>
      </w:pPr>
      <w:r w:rsidRPr="00C226C1">
        <w:t>2.4</w:t>
      </w:r>
      <w:r w:rsidRPr="00C226C1">
        <w:tab/>
        <w:t xml:space="preserve">On 1 March 2008, the author and his friend were forced to show their injuries to a group of cameramen and journalists outside of the police station. The author was not hospitalized until around 8 p.m. on the same day, despite his repeated requests and those of his parents to that effect. While </w:t>
      </w:r>
      <w:proofErr w:type="spellStart"/>
      <w:r w:rsidRPr="00C226C1">
        <w:t>en</w:t>
      </w:r>
      <w:proofErr w:type="spellEnd"/>
      <w:r w:rsidRPr="00C226C1">
        <w:t xml:space="preserve"> route to the hospital, two policemen threated the author and his friend not to tell the medical staff about their ill-treatment.</w:t>
      </w:r>
    </w:p>
    <w:p w14:paraId="0842BD26" w14:textId="77777777" w:rsidR="008E2DA1" w:rsidRPr="00C226C1" w:rsidRDefault="008E2DA1" w:rsidP="008E2DA1">
      <w:pPr>
        <w:spacing w:after="120"/>
        <w:ind w:left="1134" w:right="1134"/>
        <w:jc w:val="both"/>
      </w:pPr>
      <w:r w:rsidRPr="00C226C1">
        <w:t>2.5</w:t>
      </w:r>
      <w:r w:rsidRPr="00C226C1">
        <w:tab/>
        <w:t xml:space="preserve">While hospitalized, the officer-in-charge of the </w:t>
      </w:r>
      <w:proofErr w:type="spellStart"/>
      <w:r w:rsidRPr="00C226C1">
        <w:t>Pitabaddara</w:t>
      </w:r>
      <w:proofErr w:type="spellEnd"/>
      <w:r w:rsidRPr="00C226C1">
        <w:t xml:space="preserve"> police station, Mr. K., falsified charges against the author and his friend in the Magistrate Court of </w:t>
      </w:r>
      <w:proofErr w:type="spellStart"/>
      <w:r w:rsidRPr="00C226C1">
        <w:t>Morawaka</w:t>
      </w:r>
      <w:proofErr w:type="spellEnd"/>
      <w:r w:rsidRPr="00C226C1">
        <w:t xml:space="preserve"> for possession of a firearm and a hand grenade. The officer-in-charge argued that the author had attempted to murder Mr. P.</w:t>
      </w:r>
      <w:proofErr w:type="gramStart"/>
      <w:r w:rsidRPr="00C226C1">
        <w:t>V.Ch</w:t>
      </w:r>
      <w:proofErr w:type="gramEnd"/>
      <w:r w:rsidRPr="00C226C1">
        <w:t xml:space="preserve"> with a gun and that, during his arrest, many people had gathered at the scene and an unidentified passer-by had thrown acid on the author. At the time of the submission of the complaint, the cases were still pending. Other fabricated charges against the author for robbery have been dismissed by the Magistrate Court.</w:t>
      </w:r>
    </w:p>
    <w:p w14:paraId="035EFF00" w14:textId="270E327D" w:rsidR="008E2DA1" w:rsidRPr="00C226C1" w:rsidRDefault="008E2DA1" w:rsidP="008E2DA1">
      <w:pPr>
        <w:spacing w:after="120"/>
        <w:ind w:left="1134" w:right="1134"/>
        <w:jc w:val="both"/>
      </w:pPr>
      <w:r w:rsidRPr="00C226C1">
        <w:t>2.6</w:t>
      </w:r>
      <w:r w:rsidRPr="00C226C1">
        <w:tab/>
        <w:t>On 5 March 2008, the author was transferred to the Prison</w:t>
      </w:r>
      <w:r w:rsidR="000D7DDB">
        <w:t>’</w:t>
      </w:r>
      <w:r w:rsidRPr="00C226C1">
        <w:t>s hospital. The author</w:t>
      </w:r>
      <w:r w:rsidR="000D7DDB">
        <w:t>’</w:t>
      </w:r>
      <w:r w:rsidRPr="00C226C1">
        <w:t xml:space="preserve">s sight deteriorated and eventually, he went blind in his damaged eye. The author notes that he was not examined by a forensic medical officer until 6 March 2008. On 2 April 2008, he was transferred to Colombo Eye Hospital where he underwent surgery six times between 15 April and 16 December 2008. He continues to be treated as an out-patient and has permanent blindness in one of his eyes as a result of the ill-treatment inflicted by Mr P.V.Ch. and the police officers. </w:t>
      </w:r>
    </w:p>
    <w:p w14:paraId="6E694C35" w14:textId="17FC3497" w:rsidR="008E2DA1" w:rsidRPr="00C226C1" w:rsidRDefault="008E2DA1" w:rsidP="008E2DA1">
      <w:pPr>
        <w:suppressAutoHyphens w:val="0"/>
        <w:autoSpaceDE w:val="0"/>
        <w:autoSpaceDN w:val="0"/>
        <w:adjustRightInd w:val="0"/>
        <w:spacing w:after="120"/>
        <w:ind w:left="1134" w:right="1134"/>
        <w:jc w:val="both"/>
      </w:pPr>
      <w:r w:rsidRPr="00C226C1">
        <w:t>2.7</w:t>
      </w:r>
      <w:r w:rsidRPr="00C226C1">
        <w:tab/>
        <w:t>Immediately after the events, the author</w:t>
      </w:r>
      <w:r w:rsidR="000D7DDB">
        <w:t>’</w:t>
      </w:r>
      <w:r w:rsidRPr="00C226C1">
        <w:t xml:space="preserve">s father submitted several complaints about the unlawful detention and torture of his son by the police officers at </w:t>
      </w:r>
      <w:proofErr w:type="spellStart"/>
      <w:r w:rsidRPr="00C226C1">
        <w:t>Pitabaddara</w:t>
      </w:r>
      <w:proofErr w:type="spellEnd"/>
      <w:r w:rsidRPr="00C226C1">
        <w:t xml:space="preserve"> police station. Notably, on 27 March 2008, he submitted a complaint to the Senior Superintendent of Police of Matara and the regional office of the Human Rights Commission of Sri Lanka in Matara. Several days later, he filed complaints with the Inspector General and the Deputy Inspector General of Police of the Southern Province, the National Police Commission and the head office of the Human Rights Commission of Sri Lanka in Colombo. Since no action was taken, he also instructed a lawyer to submit a written complaint to the Assistant Superintendent of Police requesting</w:t>
      </w:r>
      <w:r w:rsidR="00DF0BA9" w:rsidRPr="00C226C1">
        <w:t xml:space="preserve"> </w:t>
      </w:r>
      <w:r w:rsidRPr="00C226C1">
        <w:t xml:space="preserve">that inquiries into the events be conducted immediately. </w:t>
      </w:r>
    </w:p>
    <w:p w14:paraId="589D89B5" w14:textId="3CF38086" w:rsidR="008E2DA1" w:rsidRPr="00C226C1" w:rsidRDefault="008E2DA1" w:rsidP="00B81E2B">
      <w:pPr>
        <w:keepNext/>
        <w:keepLines/>
        <w:spacing w:after="120"/>
        <w:ind w:left="1134" w:right="1134"/>
        <w:jc w:val="both"/>
      </w:pPr>
      <w:r w:rsidRPr="00C226C1">
        <w:lastRenderedPageBreak/>
        <w:t>2.8</w:t>
      </w:r>
      <w:r w:rsidRPr="00C226C1">
        <w:tab/>
        <w:t xml:space="preserve">On 23 August 2008, the Deputy Inspector General of Police brought a report to the National Police Commission and recommended that disciplinary and criminal actions should be taken against policemen of the </w:t>
      </w:r>
      <w:proofErr w:type="spellStart"/>
      <w:r w:rsidRPr="00C226C1">
        <w:t>Pitabaddara</w:t>
      </w:r>
      <w:proofErr w:type="spellEnd"/>
      <w:r w:rsidRPr="00C226C1">
        <w:t xml:space="preserve"> police station for misbehaviour and violations of the author</w:t>
      </w:r>
      <w:r w:rsidR="000D7DDB">
        <w:t>’</w:t>
      </w:r>
      <w:r w:rsidRPr="00C226C1">
        <w:t>s human rights, under both the Penal Code and the Act on Torture (No. 22 of 1994). In parallel, criminal charges were brought against Mr P.V.Ch. for pouring acid onto the author</w:t>
      </w:r>
      <w:r w:rsidR="000D7DDB">
        <w:t>’</w:t>
      </w:r>
      <w:r w:rsidRPr="00C226C1">
        <w:t>s face. Although he was initially detained, he was later released on the condition that he sign two personal bonds, and he was never tried in court.</w:t>
      </w:r>
    </w:p>
    <w:p w14:paraId="2EB8D9B8" w14:textId="79995BCE" w:rsidR="008E2DA1" w:rsidRPr="00C226C1" w:rsidRDefault="008E2DA1" w:rsidP="008E2DA1">
      <w:pPr>
        <w:suppressAutoHyphens w:val="0"/>
        <w:autoSpaceDE w:val="0"/>
        <w:autoSpaceDN w:val="0"/>
        <w:adjustRightInd w:val="0"/>
        <w:spacing w:after="120"/>
        <w:ind w:left="1134" w:right="1134"/>
        <w:jc w:val="both"/>
        <w:rPr>
          <w:rFonts w:eastAsia="SimSun"/>
        </w:rPr>
      </w:pPr>
      <w:r w:rsidRPr="00C226C1">
        <w:t>2.9</w:t>
      </w:r>
      <w:r w:rsidRPr="00C226C1">
        <w:tab/>
        <w:t>On 27 February 2009, the Human Rights Commission of Sri Lanka</w:t>
      </w:r>
      <w:r w:rsidRPr="00C226C1">
        <w:rPr>
          <w:rFonts w:eastAsia="SimSun"/>
        </w:rPr>
        <w:t xml:space="preserve"> published its final recommendations on the matter. It held that the failure of the officer-in-charge and the other police officers to take legal action against Mr. P.V.Ch. amounted to a violation of article 12 (1) of the Constitution of Sri Lanka, which provides that all persons are equal before the law and are entitled to the equal protection of the law. The </w:t>
      </w:r>
      <w:r w:rsidRPr="00C226C1">
        <w:t>Human Rights Commission of Sri Lanka</w:t>
      </w:r>
      <w:r w:rsidRPr="00C226C1">
        <w:rPr>
          <w:rFonts w:eastAsia="SimSun"/>
        </w:rPr>
        <w:t xml:space="preserve"> recommended that compensation be paid in the amount of 5,000 Sri Lankan rupees (approximately $50). In order to obtain such compensation, the author is to file a claim for damages in a court of law. The decision did not address, however, the author</w:t>
      </w:r>
      <w:r w:rsidR="000D7DDB">
        <w:rPr>
          <w:rFonts w:eastAsia="SimSun"/>
        </w:rPr>
        <w:t>’</w:t>
      </w:r>
      <w:r w:rsidRPr="00C226C1">
        <w:rPr>
          <w:rFonts w:eastAsia="SimSun"/>
        </w:rPr>
        <w:t>s allegations of torture by the police officers, his arbitrary arrest and the fabricated charges brought against him.</w:t>
      </w:r>
    </w:p>
    <w:p w14:paraId="04853014" w14:textId="12AA3314" w:rsidR="008E2DA1" w:rsidRPr="00C226C1" w:rsidRDefault="008E2DA1" w:rsidP="008E2DA1">
      <w:pPr>
        <w:spacing w:after="120"/>
        <w:ind w:left="1134" w:right="1134"/>
        <w:jc w:val="both"/>
        <w:rPr>
          <w:rFonts w:eastAsia="SimSun"/>
        </w:rPr>
      </w:pPr>
      <w:r w:rsidRPr="00C226C1">
        <w:rPr>
          <w:rFonts w:eastAsia="SimSun"/>
        </w:rPr>
        <w:t>2.10</w:t>
      </w:r>
      <w:r w:rsidRPr="00C226C1">
        <w:rPr>
          <w:rFonts w:eastAsia="SimSun"/>
        </w:rPr>
        <w:tab/>
        <w:t>In addition, in February 2009, the author</w:t>
      </w:r>
      <w:r w:rsidR="000D7DDB">
        <w:rPr>
          <w:rFonts w:eastAsia="SimSun"/>
        </w:rPr>
        <w:t>’</w:t>
      </w:r>
      <w:r w:rsidRPr="00C226C1">
        <w:rPr>
          <w:rFonts w:eastAsia="SimSun"/>
        </w:rPr>
        <w:t xml:space="preserve">s father submitted, on behalf of his son, a constitutional complaint to the Supreme Court, under article 126 of the Sri Lankan Constitution, claiming violations of articles 11, 12 (1) and 13 (1) and (2) of the Sri Lankan Constitution. </w:t>
      </w:r>
    </w:p>
    <w:p w14:paraId="049226A4" w14:textId="77777777" w:rsidR="008E2DA1" w:rsidRPr="00C226C1" w:rsidRDefault="008E2DA1" w:rsidP="008E2DA1">
      <w:pPr>
        <w:spacing w:after="120"/>
        <w:ind w:left="1134" w:right="1134"/>
        <w:jc w:val="both"/>
        <w:rPr>
          <w:rFonts w:eastAsia="SimSun"/>
        </w:rPr>
      </w:pPr>
      <w:r w:rsidRPr="00C226C1">
        <w:rPr>
          <w:rFonts w:eastAsia="SimSun"/>
        </w:rPr>
        <w:t>2.11</w:t>
      </w:r>
      <w:r w:rsidRPr="00C226C1">
        <w:rPr>
          <w:rFonts w:eastAsia="SimSun"/>
        </w:rPr>
        <w:tab/>
        <w:t xml:space="preserve">On an unspecified date in 2009, the author also submitted an action for compensation in the </w:t>
      </w:r>
      <w:proofErr w:type="spellStart"/>
      <w:r w:rsidRPr="00C226C1">
        <w:rPr>
          <w:rFonts w:eastAsia="SimSun"/>
        </w:rPr>
        <w:t>Morawaka</w:t>
      </w:r>
      <w:proofErr w:type="spellEnd"/>
      <w:r w:rsidRPr="00C226C1">
        <w:rPr>
          <w:rFonts w:eastAsia="SimSun"/>
        </w:rPr>
        <w:t xml:space="preserve"> District Court.</w:t>
      </w:r>
    </w:p>
    <w:p w14:paraId="75E11DF8" w14:textId="77777777" w:rsidR="008E2DA1" w:rsidRPr="00C226C1" w:rsidRDefault="008E2DA1" w:rsidP="008E2DA1">
      <w:pPr>
        <w:pStyle w:val="SingleTxtG"/>
        <w:rPr>
          <w:lang w:eastAsia="en-US"/>
        </w:rPr>
      </w:pPr>
      <w:r w:rsidRPr="00C226C1">
        <w:rPr>
          <w:lang w:eastAsia="en-US"/>
        </w:rPr>
        <w:t>2.12</w:t>
      </w:r>
      <w:r w:rsidRPr="00C226C1">
        <w:rPr>
          <w:lang w:eastAsia="en-US"/>
        </w:rPr>
        <w:tab/>
        <w:t>On 15 July 2020, the author provided up-to-date information about the status of the domestic proceedings and informed the Committee that two criminal cases had been launched against the police officers under the Act on Torture before the Matara High Court.</w:t>
      </w:r>
      <w:r w:rsidRPr="00C226C1">
        <w:rPr>
          <w:vertAlign w:val="superscript"/>
          <w:lang w:eastAsia="en-US"/>
        </w:rPr>
        <w:t xml:space="preserve"> </w:t>
      </w:r>
      <w:r w:rsidRPr="00C226C1">
        <w:rPr>
          <w:lang w:eastAsia="en-US"/>
        </w:rPr>
        <w:t>Both cases had been referred to the Attorney General for advice on 21 May 2019; however, his instructions had not yet been received. Therefore, the cases were still pending more than 13 years after the events had taken place.</w:t>
      </w:r>
    </w:p>
    <w:p w14:paraId="58479C5E" w14:textId="6420E3C6" w:rsidR="008E2DA1" w:rsidRPr="00C226C1" w:rsidRDefault="008E2DA1" w:rsidP="008E2DA1">
      <w:pPr>
        <w:pStyle w:val="SingleTxtG"/>
        <w:rPr>
          <w:lang w:eastAsia="en-US"/>
        </w:rPr>
      </w:pPr>
      <w:r w:rsidRPr="00C226C1">
        <w:rPr>
          <w:lang w:eastAsia="en-US"/>
        </w:rPr>
        <w:t>2.13</w:t>
      </w:r>
      <w:r w:rsidRPr="00C226C1">
        <w:rPr>
          <w:lang w:eastAsia="en-US"/>
        </w:rPr>
        <w:tab/>
        <w:t xml:space="preserve">The author further informed the Committee that on 2 August 2016, the Supreme Court had delivered its judgment, finding that the </w:t>
      </w:r>
      <w:proofErr w:type="spellStart"/>
      <w:r w:rsidRPr="00C226C1">
        <w:t>Pitabaddara</w:t>
      </w:r>
      <w:proofErr w:type="spellEnd"/>
      <w:r w:rsidRPr="00C226C1">
        <w:t xml:space="preserve"> police station</w:t>
      </w:r>
      <w:r w:rsidR="000D7DDB">
        <w:t>’</w:t>
      </w:r>
      <w:r w:rsidRPr="00C226C1">
        <w:t>s</w:t>
      </w:r>
      <w:r w:rsidRPr="00C226C1">
        <w:rPr>
          <w:lang w:eastAsia="en-US"/>
        </w:rPr>
        <w:t xml:space="preserve"> failure to seek immediate medical attention for the author, who had been severely injured, constituted cruel, inhuman and degrading treatment. The Supreme Court considered that it was the sole responsibility of the then officer-in-charge of the police station, the late Mr. K., who was also found responsible for not having guaranteed the author</w:t>
      </w:r>
      <w:r w:rsidR="000D7DDB">
        <w:rPr>
          <w:lang w:eastAsia="en-US"/>
        </w:rPr>
        <w:t>’</w:t>
      </w:r>
      <w:r w:rsidRPr="00C226C1">
        <w:rPr>
          <w:lang w:eastAsia="en-US"/>
        </w:rPr>
        <w:t xml:space="preserve">s right to the equal protection of the law. The Supreme Court held that the liability of other police officers, who were only following the orders of Mr. K., could not be established. The Supreme Court awarded the author compensation in the amount of 200,000 </w:t>
      </w:r>
      <w:r w:rsidRPr="00C226C1">
        <w:t xml:space="preserve">Sri Lankan rupees </w:t>
      </w:r>
      <w:r w:rsidRPr="00C226C1">
        <w:rPr>
          <w:lang w:eastAsia="en-US"/>
        </w:rPr>
        <w:t>(approximately $1,075), which was paid to him.</w:t>
      </w:r>
    </w:p>
    <w:p w14:paraId="4E46A3EE" w14:textId="34DEA1D1" w:rsidR="008E2DA1" w:rsidRPr="00C226C1" w:rsidRDefault="008E2DA1" w:rsidP="008E2DA1">
      <w:pPr>
        <w:pStyle w:val="SingleTxtG"/>
      </w:pPr>
      <w:r w:rsidRPr="00C226C1">
        <w:t>2.14</w:t>
      </w:r>
      <w:r w:rsidRPr="00C226C1">
        <w:tab/>
        <w:t xml:space="preserve">Furthermore, the author reported that his civil compensation claim was still pending before the </w:t>
      </w:r>
      <w:proofErr w:type="spellStart"/>
      <w:r w:rsidRPr="00C226C1">
        <w:t>Morawaka</w:t>
      </w:r>
      <w:proofErr w:type="spellEnd"/>
      <w:r w:rsidRPr="00C226C1">
        <w:t xml:space="preserve"> District Court.</w:t>
      </w:r>
    </w:p>
    <w:p w14:paraId="070BBCE1" w14:textId="77777777" w:rsidR="008E2DA1" w:rsidRPr="00C226C1" w:rsidRDefault="008E2DA1" w:rsidP="008E2DA1">
      <w:pPr>
        <w:pStyle w:val="H23G"/>
      </w:pPr>
      <w:r w:rsidRPr="00C226C1">
        <w:tab/>
      </w:r>
      <w:r w:rsidRPr="00C226C1">
        <w:tab/>
        <w:t>Complaint</w:t>
      </w:r>
    </w:p>
    <w:p w14:paraId="6859A7ED" w14:textId="5BF29894" w:rsidR="008E2DA1" w:rsidRPr="00C226C1" w:rsidRDefault="008E2DA1" w:rsidP="008E2DA1">
      <w:pPr>
        <w:pStyle w:val="SingleTxtG"/>
        <w:rPr>
          <w:lang w:eastAsia="en-US"/>
        </w:rPr>
      </w:pPr>
      <w:r w:rsidRPr="00C226C1">
        <w:rPr>
          <w:lang w:eastAsia="en-US"/>
        </w:rPr>
        <w:t>3.1</w:t>
      </w:r>
      <w:r w:rsidRPr="00C226C1">
        <w:rPr>
          <w:lang w:eastAsia="en-US"/>
        </w:rPr>
        <w:tab/>
        <w:t xml:space="preserve">The author claims that his rights under articles 7, 9 and 26, read alone and in conjunction with article </w:t>
      </w:r>
      <w:proofErr w:type="gramStart"/>
      <w:r w:rsidRPr="00C226C1">
        <w:rPr>
          <w:lang w:eastAsia="en-US"/>
        </w:rPr>
        <w:t>2 (3),</w:t>
      </w:r>
      <w:proofErr w:type="gramEnd"/>
      <w:r w:rsidRPr="00C226C1">
        <w:rPr>
          <w:lang w:eastAsia="en-US"/>
        </w:rPr>
        <w:t xml:space="preserve"> of the Covenant have been violated by the State party as a result of its failure to conduct an effective investigation into his torture claim and his arbitrary detention and to bring perpetrators to justice.</w:t>
      </w:r>
    </w:p>
    <w:p w14:paraId="528C2509" w14:textId="04D454D0" w:rsidR="008E2DA1" w:rsidRPr="00C226C1" w:rsidRDefault="008E2DA1" w:rsidP="008E2DA1">
      <w:pPr>
        <w:spacing w:after="120"/>
        <w:ind w:left="1134" w:right="1134"/>
        <w:jc w:val="both"/>
      </w:pPr>
      <w:r w:rsidRPr="00C226C1">
        <w:t>3.2</w:t>
      </w:r>
      <w:r w:rsidRPr="00C226C1">
        <w:tab/>
        <w:t xml:space="preserve">The author submits that he was severely beaten and tortured in other forms during his arrest and detention, by and with the knowledge of police officers of the </w:t>
      </w:r>
      <w:proofErr w:type="spellStart"/>
      <w:r w:rsidRPr="00C226C1">
        <w:t>Pitabaddara</w:t>
      </w:r>
      <w:proofErr w:type="spellEnd"/>
      <w:r w:rsidRPr="00C226C1">
        <w:t xml:space="preserve"> police station, in breach of article 7 of the Covenant. In that respect, he argues that the State party not only violated its negative obligation under the provision, namely, not to subject the author to torture by State actors, but also failed to respect its positive obligations, including the obligation to protect detainees from violence inflicted by private actors. In addition, he was not provided with prompt and adequate medical care, despite his repeated requests, as a result of which he endured severe pain and sustained permanent bodily injuries.</w:t>
      </w:r>
    </w:p>
    <w:p w14:paraId="6575A05C" w14:textId="77777777" w:rsidR="008E2DA1" w:rsidRPr="00C226C1" w:rsidRDefault="008E2DA1" w:rsidP="008E2DA1">
      <w:pPr>
        <w:spacing w:after="120"/>
        <w:ind w:left="1134" w:right="1134"/>
        <w:jc w:val="both"/>
      </w:pPr>
      <w:r w:rsidRPr="00C226C1">
        <w:lastRenderedPageBreak/>
        <w:t>3.3</w:t>
      </w:r>
      <w:r w:rsidRPr="00C226C1">
        <w:tab/>
        <w:t xml:space="preserve">He alleges that his arrest was arbitrary under article 9 (1) and (2) of the Covenant, since there was no lawful basis for his </w:t>
      </w:r>
      <w:proofErr w:type="gramStart"/>
      <w:r w:rsidRPr="00C226C1">
        <w:t>detention</w:t>
      </w:r>
      <w:proofErr w:type="gramEnd"/>
      <w:r w:rsidRPr="00C226C1">
        <w:t xml:space="preserve"> and he was not informed immediately of the reasons for his arrest. He notes that he first learned that he had been accused of possessing a firearm and a hand grenade when he was transferred to the Matara hospital on 1 March 2008. Furthermore, he was not brought promptly before a court and his counsel was not provided with the records of his case until 1 March 2008. He argues that in practice, he was deprived of his right to have the lawfulness of his detention reviewed by a court in violation of article 9 (4) of the Covenant.</w:t>
      </w:r>
    </w:p>
    <w:p w14:paraId="6C95DE4F" w14:textId="77777777" w:rsidR="008E2DA1" w:rsidRPr="00C226C1" w:rsidRDefault="008E2DA1" w:rsidP="008E2DA1">
      <w:pPr>
        <w:spacing w:after="120"/>
        <w:ind w:left="1134" w:right="1134"/>
        <w:jc w:val="both"/>
      </w:pPr>
      <w:r w:rsidRPr="00C226C1">
        <w:t>3.4</w:t>
      </w:r>
      <w:r w:rsidRPr="00C226C1">
        <w:tab/>
        <w:t xml:space="preserve">The author claims that his ill-treatment in police custody constituted unlawful differential treatment in breach of article 26 of the Covenant. In that respect, he argues that detainees are more likely to be subjected to torture with impunity than any other group of persons and that there is no reasonable and objective justification for such inequality, which amounts to discrimination </w:t>
      </w:r>
      <w:proofErr w:type="gramStart"/>
      <w:r w:rsidRPr="00C226C1">
        <w:t>on the basis of</w:t>
      </w:r>
      <w:proofErr w:type="gramEnd"/>
      <w:r w:rsidRPr="00C226C1">
        <w:t xml:space="preserve"> his prisoner status.</w:t>
      </w:r>
    </w:p>
    <w:p w14:paraId="4C7E6453" w14:textId="77777777" w:rsidR="008E2DA1" w:rsidRPr="00C226C1" w:rsidRDefault="008E2DA1" w:rsidP="008E2DA1">
      <w:pPr>
        <w:spacing w:after="120"/>
        <w:ind w:left="1134" w:right="1134"/>
        <w:jc w:val="both"/>
      </w:pPr>
      <w:r w:rsidRPr="00C226C1">
        <w:t>3.5</w:t>
      </w:r>
      <w:r w:rsidRPr="00C226C1">
        <w:tab/>
        <w:t>Lastly, the author argues that the State party has failed to provide a prompt, independent and impartial investigation into his allegations of torture and that perpetrators were not brought to justice, which constitutes a violation of articles 2 (3), in conjunction with articles 7, 9 and 26, of the Covenant. He holds that domestic procedures are unreasonably long and ineffective. The two criminal cases launched under the Act on Torture against the police officers are awaiting the determination of the Attorney General more than 13 years after the events. He claims that the widespread practice of non-prosecution or selective prosecution of perpetrators of torture is contrary to the absolute prohibition of torture and the obligation of the State party to investigate such complaints, and it breaches the principle of equality before law. He further argues that he fears taking any other legal action against the police since the officers implicated in the events remain in their positions.</w:t>
      </w:r>
      <w:r w:rsidRPr="00C226C1">
        <w:rPr>
          <w:vertAlign w:val="superscript"/>
        </w:rPr>
        <w:footnoteReference w:id="4"/>
      </w:r>
    </w:p>
    <w:p w14:paraId="27DBA616" w14:textId="154DF3D5" w:rsidR="008E2DA1" w:rsidRPr="00C226C1" w:rsidRDefault="008E2DA1" w:rsidP="008E2DA1">
      <w:pPr>
        <w:spacing w:after="120"/>
        <w:ind w:left="1134" w:right="1134"/>
        <w:jc w:val="both"/>
      </w:pPr>
      <w:r w:rsidRPr="00C226C1">
        <w:t>3.6</w:t>
      </w:r>
      <w:r w:rsidRPr="00C226C1">
        <w:tab/>
        <w:t xml:space="preserve">In his submission dated 15 July 2020, the author maintained his position that the violation of his rights remained in impunity. He argues that despite the decisions issued by the Supreme Court and the Human Rights Commission of Sri Lanka in favour of some aspects of his case, the findings of facts were narrow, the responsibility established of those involved in the events was limited in scope and the compensation awarded did not </w:t>
      </w:r>
      <w:proofErr w:type="gramStart"/>
      <w:r w:rsidRPr="00C226C1">
        <w:t>take into account</w:t>
      </w:r>
      <w:proofErr w:type="gramEnd"/>
      <w:r w:rsidRPr="00C226C1">
        <w:t xml:space="preserve"> the seriousness of the violation of his rights. Although the Supreme Court</w:t>
      </w:r>
      <w:r w:rsidR="000D7DDB">
        <w:t>’</w:t>
      </w:r>
      <w:r w:rsidRPr="00C226C1">
        <w:t>s ruling recognized that the lack of medical assistance to the author while in police custody had constituted torture and inhuman treatment, the Court did not address the author</w:t>
      </w:r>
      <w:r w:rsidR="000D7DDB">
        <w:t>’</w:t>
      </w:r>
      <w:r w:rsidRPr="00C226C1">
        <w:t>s arbitrary arrest and other forms of violence to which he had been subjected. Furthermore, the Supreme Court failed to order the competent authorities to bring perpetrators to justice in line with article 2 (3) of the Covenant. The only person who had been found responsible for the violation of the author</w:t>
      </w:r>
      <w:r w:rsidR="000D7DDB">
        <w:t>’</w:t>
      </w:r>
      <w:r w:rsidRPr="00C226C1">
        <w:t>s rights is deceased, and no one has been convicted of any crime in criminal proceedings. The author further submits that his case is not an isolated one because the culture of impunity is directly attributable to the entire criminal justice system of the State party. The Attorney General of Sri Lanka and the judiciary are reluctant to investigate and prosecute allegations of torture, the competent authorities lack independence. Furthermore, those who pursue their claims may be subjected to acts of reprisals. The author argues that the measures taken so far to combat impunity are insufficient.</w:t>
      </w:r>
      <w:r w:rsidRPr="00C226C1">
        <w:rPr>
          <w:vertAlign w:val="superscript"/>
        </w:rPr>
        <w:footnoteReference w:id="5"/>
      </w:r>
      <w:r w:rsidRPr="00C226C1">
        <w:t xml:space="preserve"> The author further submits that according to the findings of the Committee against Torture, only 17 cases of torture have been filed under the Convention against Torture Act since 2012, and only two have resulted in convictions, suggesting that only a small number of allegations of torture have </w:t>
      </w:r>
      <w:proofErr w:type="gramStart"/>
      <w:r w:rsidRPr="00C226C1">
        <w:t>actually been</w:t>
      </w:r>
      <w:proofErr w:type="gramEnd"/>
      <w:r w:rsidRPr="00C226C1">
        <w:t xml:space="preserve"> investigated. The Committee against Torture noted with concern the considerable discrepancy between the low number of complaints of torture reportedly received by the police since 2012 (150 cases) and the high number of allegations of torture received by the Human Rights Commission of Sri Lanka during the same period (2,259 cases).</w:t>
      </w:r>
      <w:r w:rsidRPr="00C226C1">
        <w:rPr>
          <w:rStyle w:val="FootnoteReference"/>
        </w:rPr>
        <w:footnoteReference w:id="6"/>
      </w:r>
    </w:p>
    <w:p w14:paraId="307F5CFB" w14:textId="77777777" w:rsidR="008E2DA1" w:rsidRPr="00C226C1" w:rsidRDefault="008E2DA1" w:rsidP="008E2DA1">
      <w:pPr>
        <w:spacing w:after="120"/>
        <w:ind w:left="1134" w:right="1134"/>
        <w:jc w:val="both"/>
      </w:pPr>
      <w:r w:rsidRPr="00C226C1">
        <w:t>3.7</w:t>
      </w:r>
      <w:r w:rsidRPr="00C226C1">
        <w:tab/>
        <w:t xml:space="preserve">The author further claims that he had to endure significant physical and mental suffering as a result of the ill-treatment inflicted upon him by the Sri Lankan authorities, and </w:t>
      </w:r>
      <w:r w:rsidRPr="00C226C1">
        <w:lastRenderedPageBreak/>
        <w:t>that that suffering continues to the present day. He reports that his eye had to be removed and that fact had a significant impact on his employment opportunities.</w:t>
      </w:r>
    </w:p>
    <w:p w14:paraId="211ECB7F" w14:textId="77777777" w:rsidR="008E2DA1" w:rsidRPr="00C226C1" w:rsidRDefault="008E2DA1" w:rsidP="008E2DA1">
      <w:pPr>
        <w:pStyle w:val="SingleTxtG"/>
        <w:rPr>
          <w:rFonts w:eastAsia="Times New Roman"/>
          <w:lang w:eastAsia="en-US"/>
        </w:rPr>
      </w:pPr>
      <w:r w:rsidRPr="00C226C1">
        <w:t>3.8</w:t>
      </w:r>
      <w:r w:rsidRPr="00C226C1">
        <w:tab/>
        <w:t xml:space="preserve">In terms of the remedies sought, the author invites the Committee to order the State party to bring perpetrators to justice and issue a public apology, to provide him with adequate compensation for his pecuniary and non-pecuniary damages and to ensure that he has access </w:t>
      </w:r>
      <w:r w:rsidRPr="00C226C1">
        <w:rPr>
          <w:rFonts w:eastAsia="Times New Roman"/>
          <w:lang w:eastAsia="en-US"/>
        </w:rPr>
        <w:t>to full rehabilitation, including psychological counselling.</w:t>
      </w:r>
    </w:p>
    <w:p w14:paraId="35719776" w14:textId="77777777" w:rsidR="008E2DA1" w:rsidRPr="00C226C1" w:rsidRDefault="008E2DA1" w:rsidP="008E2DA1">
      <w:pPr>
        <w:pStyle w:val="H23G"/>
      </w:pPr>
      <w:r w:rsidRPr="00C226C1">
        <w:tab/>
      </w:r>
      <w:r w:rsidRPr="00C226C1">
        <w:tab/>
        <w:t>Lack of cooperation from the State party</w:t>
      </w:r>
    </w:p>
    <w:p w14:paraId="61CC58EA" w14:textId="73E9FB8C" w:rsidR="008E2DA1" w:rsidRPr="00C226C1" w:rsidRDefault="008E2DA1" w:rsidP="008E2DA1">
      <w:pPr>
        <w:pStyle w:val="SingleTxtG"/>
        <w:rPr>
          <w:rFonts w:eastAsia="Times New Roman"/>
          <w:lang w:eastAsia="en-US"/>
        </w:rPr>
      </w:pPr>
      <w:r w:rsidRPr="00C226C1">
        <w:rPr>
          <w:rFonts w:eastAsia="Times New Roman"/>
          <w:lang w:eastAsia="en-US"/>
        </w:rPr>
        <w:t>4.</w:t>
      </w:r>
      <w:r w:rsidRPr="00C226C1">
        <w:rPr>
          <w:rFonts w:eastAsia="Times New Roman"/>
          <w:lang w:eastAsia="en-US"/>
        </w:rPr>
        <w:tab/>
        <w:t xml:space="preserve">In notes </w:t>
      </w:r>
      <w:proofErr w:type="spellStart"/>
      <w:r w:rsidRPr="00C226C1">
        <w:rPr>
          <w:rFonts w:eastAsia="Times New Roman"/>
          <w:lang w:eastAsia="en-US"/>
        </w:rPr>
        <w:t>verbales</w:t>
      </w:r>
      <w:proofErr w:type="spellEnd"/>
      <w:r w:rsidRPr="00C226C1">
        <w:rPr>
          <w:rFonts w:eastAsia="Times New Roman"/>
          <w:lang w:eastAsia="en-US"/>
        </w:rPr>
        <w:t xml:space="preserve"> dated 16 December 2014, 22 December 2015, 23 May 2016, 17 July 2018 and 23 July 2020, the Committee requested the State party to provide information to it on the admissibility and merits of the communication. The Committee notes that this information has not been received. The Committee regrets the failure of the State party to provide any information </w:t>
      </w:r>
      <w:proofErr w:type="gramStart"/>
      <w:r w:rsidRPr="00C226C1">
        <w:rPr>
          <w:rFonts w:eastAsia="Times New Roman"/>
          <w:lang w:eastAsia="en-US"/>
        </w:rPr>
        <w:t>with regard to</w:t>
      </w:r>
      <w:proofErr w:type="gramEnd"/>
      <w:r w:rsidRPr="00C226C1">
        <w:rPr>
          <w:rFonts w:eastAsia="Times New Roman"/>
          <w:lang w:eastAsia="en-US"/>
        </w:rPr>
        <w:t xml:space="preserve"> admissibility or the merits of the author</w:t>
      </w:r>
      <w:r w:rsidR="000D7DDB">
        <w:rPr>
          <w:rFonts w:eastAsia="Times New Roman"/>
          <w:lang w:eastAsia="en-US"/>
        </w:rPr>
        <w:t>’</w:t>
      </w:r>
      <w:r w:rsidRPr="00C226C1">
        <w:rPr>
          <w:rFonts w:eastAsia="Times New Roman"/>
          <w:lang w:eastAsia="en-US"/>
        </w:rPr>
        <w:t>s claims. It recalls that article 4 (2) of the Optional Protocol obliges States parties to examine in good faith all allegations brought against them, and to make available to the Committee all information at their disposal. In the absence of a reply from the State party, due weight must be given to the author</w:t>
      </w:r>
      <w:r w:rsidR="000D7DDB">
        <w:rPr>
          <w:rFonts w:eastAsia="Times New Roman"/>
          <w:lang w:eastAsia="en-US"/>
        </w:rPr>
        <w:t>’</w:t>
      </w:r>
      <w:r w:rsidRPr="00C226C1">
        <w:rPr>
          <w:rFonts w:eastAsia="Times New Roman"/>
          <w:lang w:eastAsia="en-US"/>
        </w:rPr>
        <w:t>s allegations, to the extent that they are substantiated.</w:t>
      </w:r>
    </w:p>
    <w:p w14:paraId="777BFB0C" w14:textId="77777777" w:rsidR="008E2DA1" w:rsidRPr="00C226C1" w:rsidRDefault="008E2DA1" w:rsidP="008E2DA1">
      <w:pPr>
        <w:pStyle w:val="H23G"/>
      </w:pPr>
      <w:r w:rsidRPr="00C226C1">
        <w:tab/>
      </w:r>
      <w:r w:rsidRPr="00C226C1">
        <w:tab/>
      </w:r>
      <w:r w:rsidRPr="00C226C1">
        <w:tab/>
        <w:t>Issues and proceedings before the Committee</w:t>
      </w:r>
    </w:p>
    <w:p w14:paraId="6A5AE6BB" w14:textId="77777777" w:rsidR="008E2DA1" w:rsidRPr="00C226C1" w:rsidRDefault="008E2DA1" w:rsidP="008E2DA1">
      <w:pPr>
        <w:pStyle w:val="H4G"/>
        <w:spacing w:before="0" w:line="240" w:lineRule="atLeast"/>
      </w:pPr>
      <w:r w:rsidRPr="00C226C1">
        <w:tab/>
      </w:r>
      <w:r w:rsidRPr="00C226C1">
        <w:tab/>
        <w:t>Consideration of admissibility</w:t>
      </w:r>
    </w:p>
    <w:p w14:paraId="3C527903" w14:textId="77777777" w:rsidR="008E2DA1" w:rsidRPr="00C226C1" w:rsidRDefault="008E2DA1" w:rsidP="008E2DA1">
      <w:pPr>
        <w:pStyle w:val="SingleTxtG"/>
      </w:pPr>
      <w:r w:rsidRPr="00C226C1">
        <w:t>5.1</w:t>
      </w:r>
      <w:r w:rsidRPr="00C226C1">
        <w:tab/>
        <w:t>Before considering any claim contained in a communication, the Committee must decide, in accordance with rule 97 of its rules of procedure, whether the communication is admissible under the Optional Protocol.</w:t>
      </w:r>
    </w:p>
    <w:p w14:paraId="42F94334" w14:textId="77777777" w:rsidR="008E2DA1" w:rsidRPr="00C226C1" w:rsidRDefault="008E2DA1" w:rsidP="008E2DA1">
      <w:pPr>
        <w:pStyle w:val="SingleTxtG"/>
        <w:rPr>
          <w:rFonts w:eastAsia="Times New Roman"/>
          <w:lang w:eastAsia="en-US"/>
        </w:rPr>
      </w:pPr>
      <w:r w:rsidRPr="00C226C1">
        <w:t>5.2</w:t>
      </w:r>
      <w:r w:rsidRPr="00C226C1">
        <w:rPr>
          <w:rFonts w:eastAsia="Times New Roman"/>
          <w:lang w:eastAsia="en-US"/>
        </w:rPr>
        <w:tab/>
        <w:t>The Committee has ascertained, as required under article 5 (2) (a) of the Optional Protocol, that the same matter is not being examined under another procedure of international investigation or settlement.</w:t>
      </w:r>
    </w:p>
    <w:p w14:paraId="6F93F6EF" w14:textId="7F05E545" w:rsidR="008E2DA1" w:rsidRPr="00C226C1" w:rsidRDefault="008E2DA1" w:rsidP="008E2DA1">
      <w:pPr>
        <w:pStyle w:val="SingleTxtG"/>
        <w:rPr>
          <w:rFonts w:eastAsia="Times New Roman"/>
          <w:lang w:eastAsia="en-US"/>
        </w:rPr>
      </w:pPr>
      <w:r w:rsidRPr="00C226C1">
        <w:rPr>
          <w:rFonts w:eastAsia="Times New Roman"/>
          <w:lang w:eastAsia="en-US"/>
        </w:rPr>
        <w:t>5.3</w:t>
      </w:r>
      <w:r w:rsidRPr="00C226C1">
        <w:rPr>
          <w:rFonts w:eastAsia="Times New Roman"/>
          <w:lang w:eastAsia="en-US"/>
        </w:rPr>
        <w:tab/>
        <w:t xml:space="preserve">In the absence of any submission by the State party on the admissibility of the </w:t>
      </w:r>
      <w:proofErr w:type="gramStart"/>
      <w:r w:rsidRPr="00C226C1">
        <w:rPr>
          <w:rFonts w:eastAsia="Times New Roman"/>
          <w:lang w:eastAsia="en-US"/>
        </w:rPr>
        <w:t>communication, and</w:t>
      </w:r>
      <w:proofErr w:type="gramEnd"/>
      <w:r w:rsidRPr="00C226C1">
        <w:rPr>
          <w:rFonts w:eastAsia="Times New Roman"/>
          <w:lang w:eastAsia="en-US"/>
        </w:rPr>
        <w:t xml:space="preserve"> noting the author</w:t>
      </w:r>
      <w:r w:rsidR="000D7DDB">
        <w:rPr>
          <w:rFonts w:eastAsia="Times New Roman"/>
          <w:lang w:eastAsia="en-US"/>
        </w:rPr>
        <w:t>’</w:t>
      </w:r>
      <w:r w:rsidRPr="00C226C1">
        <w:rPr>
          <w:rFonts w:eastAsia="Times New Roman"/>
          <w:lang w:eastAsia="en-US"/>
        </w:rPr>
        <w:t>s statement that domestic remedies have proven to be ineffective or unduly prolonged, the Committee considers that it is not precluded from considering the communication under article 5 (2) (b) of the Optional Protocol.</w:t>
      </w:r>
    </w:p>
    <w:p w14:paraId="1A750EE3" w14:textId="59B7B630" w:rsidR="008E2DA1" w:rsidRPr="00C226C1" w:rsidRDefault="008E2DA1" w:rsidP="008E2DA1">
      <w:pPr>
        <w:pStyle w:val="SingleTxtG"/>
        <w:rPr>
          <w:rFonts w:eastAsia="Times New Roman"/>
          <w:lang w:eastAsia="en-US"/>
        </w:rPr>
      </w:pPr>
      <w:r w:rsidRPr="00C226C1">
        <w:rPr>
          <w:rFonts w:eastAsia="Times New Roman"/>
          <w:lang w:eastAsia="en-US"/>
        </w:rPr>
        <w:t>5.4</w:t>
      </w:r>
      <w:r w:rsidRPr="00C226C1">
        <w:rPr>
          <w:rFonts w:eastAsia="Times New Roman"/>
          <w:lang w:eastAsia="en-US"/>
        </w:rPr>
        <w:tab/>
        <w:t>The Committee takes note of the author</w:t>
      </w:r>
      <w:r w:rsidR="000D7DDB">
        <w:rPr>
          <w:rFonts w:eastAsia="Times New Roman"/>
          <w:lang w:eastAsia="en-US"/>
        </w:rPr>
        <w:t>’</w:t>
      </w:r>
      <w:r w:rsidRPr="00C226C1">
        <w:rPr>
          <w:rFonts w:eastAsia="Times New Roman"/>
          <w:lang w:eastAsia="en-US"/>
        </w:rPr>
        <w:t xml:space="preserve">s allegations that the State party violated his right under article 26 of the Covenant, since, </w:t>
      </w:r>
      <w:r w:rsidRPr="00C226C1">
        <w:t xml:space="preserve">as a detainee, he had been subjected to torture with impunity, which is more likely to occur in the case of prisoners than any other group of persons and that there is no reasonable and objective </w:t>
      </w:r>
      <w:r w:rsidRPr="00C226C1">
        <w:rPr>
          <w:rFonts w:eastAsia="Times New Roman"/>
          <w:lang w:eastAsia="en-US"/>
        </w:rPr>
        <w:t xml:space="preserve">justification for such differential treatment. The Committee considers, however, that the author failed to produce an actual comparator, </w:t>
      </w:r>
      <w:proofErr w:type="gramStart"/>
      <w:r w:rsidRPr="00C226C1">
        <w:rPr>
          <w:rFonts w:eastAsia="Times New Roman"/>
          <w:lang w:eastAsia="en-US"/>
        </w:rPr>
        <w:t>i.e.</w:t>
      </w:r>
      <w:proofErr w:type="gramEnd"/>
      <w:r w:rsidRPr="00C226C1">
        <w:rPr>
          <w:rFonts w:eastAsia="Times New Roman"/>
          <w:lang w:eastAsia="en-US"/>
        </w:rPr>
        <w:t xml:space="preserve"> a person in a comparable situation, for the purposes of establishing a prima facie case. In this respect, the Committee considers that it is not possible to establish a comparison of treatment between persons in detention and persons who are not in detention since they are not in similar situation. Accordingly, the Committee considers that the author has failed to sufficiently substantiate his claims under article 26 of the Covenant and declares that his allegations are inadmissible under article 2 of the Optional Protocol.</w:t>
      </w:r>
    </w:p>
    <w:p w14:paraId="17C8C8D9" w14:textId="4BF5C86A" w:rsidR="008E2DA1" w:rsidRPr="00C226C1" w:rsidRDefault="008E2DA1" w:rsidP="008E2DA1">
      <w:pPr>
        <w:pStyle w:val="SingleTxtG"/>
        <w:rPr>
          <w:lang w:eastAsia="en-US"/>
        </w:rPr>
      </w:pPr>
      <w:r w:rsidRPr="00C226C1">
        <w:rPr>
          <w:rFonts w:eastAsia="Times New Roman"/>
          <w:lang w:eastAsia="en-US"/>
        </w:rPr>
        <w:t>5.5</w:t>
      </w:r>
      <w:r w:rsidRPr="00C226C1">
        <w:rPr>
          <w:rFonts w:eastAsia="Times New Roman"/>
          <w:lang w:eastAsia="en-US"/>
        </w:rPr>
        <w:tab/>
        <w:t>The Committee considers that the author</w:t>
      </w:r>
      <w:r w:rsidR="000D7DDB">
        <w:rPr>
          <w:rFonts w:eastAsia="Times New Roman"/>
          <w:lang w:eastAsia="en-US"/>
        </w:rPr>
        <w:t>’</w:t>
      </w:r>
      <w:r w:rsidRPr="00C226C1">
        <w:rPr>
          <w:rFonts w:eastAsia="Times New Roman"/>
          <w:lang w:eastAsia="en-US"/>
        </w:rPr>
        <w:t xml:space="preserve">s allegations under articles </w:t>
      </w:r>
      <w:r w:rsidRPr="00C226C1">
        <w:rPr>
          <w:lang w:eastAsia="en-US"/>
        </w:rPr>
        <w:t xml:space="preserve">7 and 9, read alone and in conjunction with article </w:t>
      </w:r>
      <w:proofErr w:type="gramStart"/>
      <w:r w:rsidRPr="00C226C1">
        <w:rPr>
          <w:lang w:eastAsia="en-US"/>
        </w:rPr>
        <w:t>2 (3),</w:t>
      </w:r>
      <w:proofErr w:type="gramEnd"/>
      <w:r w:rsidRPr="00C226C1">
        <w:rPr>
          <w:lang w:eastAsia="en-US"/>
        </w:rPr>
        <w:t xml:space="preserve"> of the Covenant</w:t>
      </w:r>
      <w:r w:rsidRPr="00C226C1">
        <w:rPr>
          <w:rFonts w:eastAsia="Times New Roman"/>
          <w:lang w:eastAsia="en-US"/>
        </w:rPr>
        <w:t xml:space="preserve"> have been sufficiently substantiated for the</w:t>
      </w:r>
      <w:r w:rsidRPr="00C226C1">
        <w:rPr>
          <w:lang w:eastAsia="en-US"/>
        </w:rPr>
        <w:t xml:space="preserve"> purposes of admissibility and proceeds with its consideration on the merits.</w:t>
      </w:r>
    </w:p>
    <w:p w14:paraId="0CCDF105" w14:textId="77777777" w:rsidR="008E2DA1" w:rsidRPr="00C226C1" w:rsidRDefault="008E2DA1" w:rsidP="008E2DA1">
      <w:pPr>
        <w:pStyle w:val="H4G"/>
      </w:pPr>
      <w:r w:rsidRPr="00C226C1">
        <w:tab/>
      </w:r>
      <w:r w:rsidRPr="00C226C1">
        <w:tab/>
        <w:t>Consideration of the merits</w:t>
      </w:r>
    </w:p>
    <w:p w14:paraId="53A40B88" w14:textId="6F5150A2" w:rsidR="008E2DA1" w:rsidRPr="00C226C1" w:rsidRDefault="008E2DA1" w:rsidP="008E2DA1">
      <w:pPr>
        <w:pStyle w:val="SingleTxtG"/>
      </w:pPr>
      <w:r w:rsidRPr="00C226C1">
        <w:t>6.1</w:t>
      </w:r>
      <w:r w:rsidRPr="00C226C1">
        <w:tab/>
        <w:t>The Committee has considered the communication in the light of all the information submitted to it by the parties, in accordance with article 5 (1) of the Optional Protocol.</w:t>
      </w:r>
    </w:p>
    <w:p w14:paraId="575B3B85" w14:textId="54F219DF" w:rsidR="008E2DA1" w:rsidRPr="00C226C1" w:rsidRDefault="008E2DA1" w:rsidP="008E2DA1">
      <w:pPr>
        <w:pStyle w:val="SingleTxtG"/>
      </w:pPr>
      <w:r w:rsidRPr="00C226C1">
        <w:t>6.2</w:t>
      </w:r>
      <w:r w:rsidRPr="00C226C1">
        <w:tab/>
        <w:t>Regarding the author</w:t>
      </w:r>
      <w:r w:rsidR="000D7DDB">
        <w:t>’</w:t>
      </w:r>
      <w:r w:rsidRPr="00C226C1">
        <w:t>s claims under article 7 of the Covenant, the Committee takes note of the events that took place on 28 February 2008 when the author</w:t>
      </w:r>
      <w:r w:rsidR="000D7DDB">
        <w:t>’</w:t>
      </w:r>
      <w:r w:rsidRPr="00C226C1">
        <w:t>s motorbike was struck by a truck driven by Mr. P.V.Ch. In particular, the Committee notes the author</w:t>
      </w:r>
      <w:r w:rsidR="000D7DDB">
        <w:t>’</w:t>
      </w:r>
      <w:r w:rsidRPr="00C226C1">
        <w:t xml:space="preserve">s statements that in addition to the injuries he suffered as a result of the accident, he was severely beaten up at the scene by some police officers and the truck driver who even threw </w:t>
      </w:r>
      <w:r w:rsidRPr="00C226C1">
        <w:lastRenderedPageBreak/>
        <w:t>a cup of acid into the author</w:t>
      </w:r>
      <w:r w:rsidR="000D7DDB">
        <w:t>’</w:t>
      </w:r>
      <w:r w:rsidRPr="00C226C1">
        <w:t xml:space="preserve">s face. The Committee observes that instead of providing him with prompt and adequate medical treatment required by his critical medical condition, the author was placed in detention in which he remained until the evening of 1 March 2008. During this </w:t>
      </w:r>
      <w:proofErr w:type="gramStart"/>
      <w:r w:rsidRPr="00C226C1">
        <w:t>period</w:t>
      </w:r>
      <w:proofErr w:type="gramEnd"/>
      <w:r w:rsidRPr="00C226C1">
        <w:t xml:space="preserve"> he was again subjected to ill-treatment by police officers and the truck driver who reappeared at the police station. The Committee is mindful of the author</w:t>
      </w:r>
      <w:r w:rsidR="000D7DDB">
        <w:t>’</w:t>
      </w:r>
      <w:r w:rsidRPr="00C226C1">
        <w:t>s submission that as a result of his ill-treatment and late medical intervention, his eye had to be operated on multiple times and eventually had to be removed. His condition continues to cause him physical and mental suffering and further difficulties in some areas of his life, such as employment.</w:t>
      </w:r>
    </w:p>
    <w:p w14:paraId="6207325C" w14:textId="3087D5F7" w:rsidR="008E2DA1" w:rsidRPr="00C226C1" w:rsidRDefault="008E2DA1" w:rsidP="008E2DA1">
      <w:pPr>
        <w:pStyle w:val="SingleTxtG"/>
      </w:pPr>
      <w:r w:rsidRPr="00C226C1">
        <w:t>6.3</w:t>
      </w:r>
      <w:r w:rsidRPr="00C226C1">
        <w:tab/>
        <w:t>The Committee recalls its general comment No. 20 (1992), in which it established that it is the duty of the State party to afford everyone protection through legislative and other measures as may be necessary against the acts prohibited by article 7, whether inflicted by people acting in their official capacity, outside their official capacity or in a private capacity (para. 2). Furthermore, in line with its jurisprudence, the Committee reaffirms its position that the burden of proof cannot rest solely on the author of the communication, especially considering that the State party alone has access to some of the relevant information.</w:t>
      </w:r>
      <w:r w:rsidRPr="00C226C1">
        <w:rPr>
          <w:rStyle w:val="FootnoteReference"/>
        </w:rPr>
        <w:footnoteReference w:id="7"/>
      </w:r>
      <w:r w:rsidRPr="00C226C1">
        <w:t xml:space="preserve"> In the absence of any rebuttal statements or any comments from the State party on the above-mentioned facts, the Committee gives due weight to the author</w:t>
      </w:r>
      <w:r w:rsidR="000D7DDB">
        <w:t>’</w:t>
      </w:r>
      <w:r w:rsidRPr="00C226C1">
        <w:t>s contentions that have also been confirmed by findings of the national authorities.</w:t>
      </w:r>
      <w:r w:rsidRPr="00C226C1">
        <w:rPr>
          <w:rStyle w:val="FootnoteReference"/>
        </w:rPr>
        <w:footnoteReference w:id="8"/>
      </w:r>
      <w:r w:rsidRPr="00C226C1">
        <w:t xml:space="preserve"> The Committee considers that the torture and conditions described, notably the use of acid and beatings inflicted by the truck driver, the police</w:t>
      </w:r>
      <w:r w:rsidR="000D7DDB">
        <w:t>’</w:t>
      </w:r>
      <w:r w:rsidRPr="00C226C1">
        <w:t>s failure to protect the author while in their control and to seek prompt medical assistance, and the author</w:t>
      </w:r>
      <w:r w:rsidR="000D7DDB">
        <w:t>’</w:t>
      </w:r>
      <w:r w:rsidRPr="00C226C1">
        <w:t>s further physical abuse by police officers during his detention, all of which have caused him severe pain and permanent disability, are such as to violate the author</w:t>
      </w:r>
      <w:r w:rsidR="000D7DDB">
        <w:t>’</w:t>
      </w:r>
      <w:r w:rsidRPr="00C226C1">
        <w:t>s right not to be subjected to cruel, inhuman or degrading treatment under article 7 of the Covenant.</w:t>
      </w:r>
    </w:p>
    <w:p w14:paraId="4923D37B" w14:textId="702C7AC1" w:rsidR="008E2DA1" w:rsidRPr="00C226C1" w:rsidRDefault="008E2DA1" w:rsidP="008E2DA1">
      <w:pPr>
        <w:pStyle w:val="SingleTxtG"/>
      </w:pPr>
      <w:r w:rsidRPr="00C226C1">
        <w:t>6.4</w:t>
      </w:r>
      <w:r w:rsidRPr="00C226C1">
        <w:tab/>
        <w:t>The Committee also notes the author</w:t>
      </w:r>
      <w:r w:rsidR="000D7DDB">
        <w:t>’</w:t>
      </w:r>
      <w:r w:rsidRPr="00C226C1">
        <w:t xml:space="preserve">s allegations that the State party could not demonstrate that his arrest had been </w:t>
      </w:r>
      <w:r w:rsidR="000D7DDB">
        <w:t>“</w:t>
      </w:r>
      <w:r w:rsidRPr="00C226C1">
        <w:t>reasonable</w:t>
      </w:r>
      <w:r w:rsidR="000D7DDB">
        <w:t>”</w:t>
      </w:r>
      <w:r w:rsidRPr="00C226C1">
        <w:t xml:space="preserve"> or </w:t>
      </w:r>
      <w:r w:rsidR="000D7DDB">
        <w:t>“</w:t>
      </w:r>
      <w:r w:rsidRPr="00C226C1">
        <w:t>necessary</w:t>
      </w:r>
      <w:r w:rsidR="000D7DDB">
        <w:t>”</w:t>
      </w:r>
      <w:r w:rsidRPr="00C226C1">
        <w:t xml:space="preserve"> in the circumstances of his case. It also notes that according to the information at its disposal, the author was never convicted for the charges, fabricated or not, brought against him. In the absence of a clarification on the part of the State party as to the grounds of the author</w:t>
      </w:r>
      <w:r w:rsidR="000D7DDB">
        <w:t>’</w:t>
      </w:r>
      <w:r w:rsidRPr="00C226C1">
        <w:t>s detention from 28 February to 1 March 2008, the Committee finds a violation by the State party of the rights of the author under article 9 of the Covenant.</w:t>
      </w:r>
      <w:r w:rsidRPr="00C226C1">
        <w:rPr>
          <w:rStyle w:val="FootnoteReference"/>
        </w:rPr>
        <w:footnoteReference w:id="9"/>
      </w:r>
    </w:p>
    <w:p w14:paraId="7E74EA46" w14:textId="1D8F3AA9" w:rsidR="008E2DA1" w:rsidRPr="00C226C1" w:rsidRDefault="008E2DA1" w:rsidP="008E2DA1">
      <w:pPr>
        <w:pStyle w:val="SingleTxtG"/>
      </w:pPr>
      <w:r w:rsidRPr="00C226C1">
        <w:t>6.5</w:t>
      </w:r>
      <w:r w:rsidRPr="00C226C1">
        <w:tab/>
        <w:t>The author also invokes article 2 (3), in conjunction with articles 7 and 9 of the Covenant, whereby all States parties have the obligation to ensure that any person whose rights under the Covenant are violated has an effective remedy. The Committee recalls that criminal investigation and consequential prosecution are necessary remedies for violations of human rights such as those protected by articles 6 and 7 of the Covenant.</w:t>
      </w:r>
      <w:r w:rsidRPr="00C226C1">
        <w:rPr>
          <w:rStyle w:val="FootnoteReference"/>
        </w:rPr>
        <w:footnoteReference w:id="10"/>
      </w:r>
      <w:r w:rsidRPr="00C226C1">
        <w:t xml:space="preserve"> In the instant case, the Committee is concerned that more than 13 years after the incident, no one has been brought to justice for the author</w:t>
      </w:r>
      <w:r w:rsidR="000D7DDB">
        <w:t>’</w:t>
      </w:r>
      <w:r w:rsidRPr="00C226C1">
        <w:t>s ill-treatment. In this connection, the Committee observes that even though two criminal cases related to the author</w:t>
      </w:r>
      <w:r w:rsidR="000D7DDB">
        <w:t>’</w:t>
      </w:r>
      <w:r w:rsidRPr="00C226C1">
        <w:t xml:space="preserve">s torture claims have been launched against the police officers involved in the events, which have been referred to the Attorney General for advice, both cases are still </w:t>
      </w:r>
      <w:proofErr w:type="gramStart"/>
      <w:r w:rsidRPr="00C226C1">
        <w:t>pending</w:t>
      </w:r>
      <w:proofErr w:type="gramEnd"/>
      <w:r w:rsidRPr="00C226C1">
        <w:t xml:space="preserve"> and the perpetrators remain in their positions. According to the information before the Committee, Mr. P.V.Ch. had not been tried by a court of law either, </w:t>
      </w:r>
      <w:proofErr w:type="gramStart"/>
      <w:r w:rsidRPr="00C226C1">
        <w:t>and</w:t>
      </w:r>
      <w:proofErr w:type="gramEnd"/>
      <w:r w:rsidRPr="00C226C1">
        <w:t xml:space="preserve"> was now deceased. Furthermore, the Committee notes with concern that it took almost eight years for the Supreme Court to rule on the author</w:t>
      </w:r>
      <w:r w:rsidR="000D7DDB">
        <w:t>’</w:t>
      </w:r>
      <w:r w:rsidRPr="00C226C1">
        <w:t>s case. The Committee is mindful of the author</w:t>
      </w:r>
      <w:r w:rsidR="000D7DDB">
        <w:t>’</w:t>
      </w:r>
      <w:r w:rsidRPr="00C226C1">
        <w:t>s position that the Supreme Court</w:t>
      </w:r>
      <w:r w:rsidR="000D7DDB">
        <w:t>’</w:t>
      </w:r>
      <w:r w:rsidRPr="00C226C1">
        <w:t>s findings and those of the Human Rights Commission of Sri Lanka are incomplete as to the facts of his case, that they only establish a limited liability of one individual and that the compensation afforded to him does not correspond to the gravity of the violation of his rights. Lastly, the Committee observes that the author</w:t>
      </w:r>
      <w:r w:rsidR="000D7DDB">
        <w:t>’</w:t>
      </w:r>
      <w:r w:rsidRPr="00C226C1">
        <w:t xml:space="preserve">s action for damages filed with the District Court of </w:t>
      </w:r>
      <w:proofErr w:type="spellStart"/>
      <w:r w:rsidRPr="00C226C1">
        <w:t>Morawaka</w:t>
      </w:r>
      <w:proofErr w:type="spellEnd"/>
      <w:r w:rsidRPr="00C226C1">
        <w:t xml:space="preserve"> in 2009 has not yet come to an end. Having duly considered the above and in the absence of </w:t>
      </w:r>
      <w:r w:rsidRPr="00C226C1">
        <w:lastRenderedPageBreak/>
        <w:t>any explanation by the State party, the Committee concludes that the State party failed to investigate properly the author</w:t>
      </w:r>
      <w:r w:rsidR="000D7DDB">
        <w:t>’</w:t>
      </w:r>
      <w:r w:rsidRPr="00C226C1">
        <w:t>s detention and torture, to prosecute the perpetrators and ensure redress, thereby violating the author</w:t>
      </w:r>
      <w:r w:rsidR="000D7DDB">
        <w:t>’</w:t>
      </w:r>
      <w:r w:rsidRPr="00C226C1">
        <w:t>s rights under article 2 (3), read in conjunction with articles 7 and 9, of the Covenant.</w:t>
      </w:r>
    </w:p>
    <w:p w14:paraId="664C8267" w14:textId="77777777" w:rsidR="008E2DA1" w:rsidRPr="00C226C1" w:rsidRDefault="008E2DA1" w:rsidP="008E2DA1">
      <w:pPr>
        <w:pStyle w:val="SingleTxtG"/>
      </w:pPr>
      <w:r w:rsidRPr="00C226C1">
        <w:t>7.</w:t>
      </w:r>
      <w:r w:rsidRPr="00C226C1">
        <w:tab/>
        <w:t xml:space="preserve">The Committee, acting under article 5 (4) of the Optional Protocol, is of the view that the facts before it </w:t>
      </w:r>
      <w:proofErr w:type="gramStart"/>
      <w:r w:rsidRPr="00C226C1">
        <w:t>disclose</w:t>
      </w:r>
      <w:proofErr w:type="gramEnd"/>
      <w:r w:rsidRPr="00C226C1">
        <w:t xml:space="preserve"> a violation by the State party of articles 7 and 9, read alone and in conjunction with article 2 (3), of the Covenant.</w:t>
      </w:r>
    </w:p>
    <w:p w14:paraId="203396BE" w14:textId="2E5014FD" w:rsidR="008E2DA1" w:rsidRPr="00C226C1" w:rsidRDefault="008E2DA1" w:rsidP="008E2DA1">
      <w:pPr>
        <w:pStyle w:val="SingleTxtG"/>
      </w:pPr>
      <w:r w:rsidRPr="00C226C1">
        <w:t>8.</w:t>
      </w:r>
      <w:r w:rsidRPr="00C226C1">
        <w:tab/>
        <w:t>Pursuant to article 2 (3) (a) of the Covenant, the State party is under an obligation to provide the author with an effective remedy. This requires it to make full reparation to individuals whose Covenant rights have been violated. Accordingly, the State party is under the obligation, inter alia, to take steps to: (a) conduct a thorough, impartial, independent and effective investigation into the facts submitted by the author; (b) prosecute, try and punish those responsible for the author</w:t>
      </w:r>
      <w:r w:rsidR="000D7DDB">
        <w:t>’</w:t>
      </w:r>
      <w:r w:rsidRPr="00C226C1">
        <w:t>s arbitrary arrest and ill-treatment, and make the results of such measures public; and (c) provide adequate compensation and appropriate measures of satisfaction to the author for the violations suffered. The State party is also under an obligation to take steps to prevent similar violations in the future.</w:t>
      </w:r>
    </w:p>
    <w:p w14:paraId="762AAB05" w14:textId="475E7B6D" w:rsidR="008E2DA1" w:rsidRPr="00C226C1" w:rsidRDefault="008E2DA1" w:rsidP="008E2DA1">
      <w:pPr>
        <w:pStyle w:val="SingleTxtG"/>
      </w:pPr>
      <w:r w:rsidRPr="00C226C1">
        <w:t>9.</w:t>
      </w:r>
      <w:r w:rsidRPr="00C226C1">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0D7DDB">
        <w:t>’</w:t>
      </w:r>
      <w:r w:rsidRPr="00C226C1">
        <w:t>s Views. The State party is also requested to publish the present Views and to have them widely disseminated in the official language of the State party.</w:t>
      </w:r>
    </w:p>
    <w:p w14:paraId="5DEFE144" w14:textId="77777777" w:rsidR="008E2DA1" w:rsidRPr="00C226C1" w:rsidRDefault="008E2DA1" w:rsidP="008E2DA1">
      <w:pPr>
        <w:pStyle w:val="SingleTxtG"/>
        <w:spacing w:before="240" w:after="0"/>
        <w:jc w:val="center"/>
        <w:rPr>
          <w:u w:val="single"/>
          <w:lang w:eastAsia="en-US"/>
        </w:rPr>
      </w:pPr>
      <w:r w:rsidRPr="00C226C1">
        <w:rPr>
          <w:u w:val="single"/>
        </w:rPr>
        <w:tab/>
      </w:r>
      <w:r w:rsidRPr="00C226C1">
        <w:rPr>
          <w:u w:val="single"/>
        </w:rPr>
        <w:tab/>
      </w:r>
      <w:r w:rsidRPr="00C226C1">
        <w:rPr>
          <w:u w:val="single"/>
        </w:rPr>
        <w:tab/>
      </w:r>
      <w:r w:rsidRPr="00C226C1">
        <w:rPr>
          <w:u w:val="single"/>
        </w:rPr>
        <w:tab/>
      </w:r>
    </w:p>
    <w:sectPr w:rsidR="008E2DA1" w:rsidRPr="00C226C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2C51" w14:textId="77777777" w:rsidR="00F15E66" w:rsidRPr="00B903E5" w:rsidRDefault="00F15E66" w:rsidP="00B903E5">
      <w:pPr>
        <w:pStyle w:val="Footer"/>
      </w:pPr>
    </w:p>
  </w:endnote>
  <w:endnote w:type="continuationSeparator" w:id="0">
    <w:p w14:paraId="2842BADA" w14:textId="77777777" w:rsidR="00F15E66" w:rsidRPr="00B903E5" w:rsidRDefault="00F15E6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BC00" w14:textId="4F31DA58" w:rsidR="00A32A2B" w:rsidRDefault="00A32A2B" w:rsidP="00DF0BA9">
    <w:pPr>
      <w:pStyle w:val="Footer"/>
      <w:tabs>
        <w:tab w:val="right" w:pos="9638"/>
      </w:tabs>
    </w:pPr>
    <w:r w:rsidRPr="00A32A2B">
      <w:rPr>
        <w:b/>
        <w:bCs/>
        <w:sz w:val="18"/>
      </w:rPr>
      <w:fldChar w:fldCharType="begin"/>
    </w:r>
    <w:r w:rsidRPr="00A32A2B">
      <w:rPr>
        <w:b/>
        <w:bCs/>
        <w:sz w:val="18"/>
      </w:rPr>
      <w:instrText xml:space="preserve"> PAGE  \* MERGEFORMAT </w:instrText>
    </w:r>
    <w:r w:rsidRPr="00A32A2B">
      <w:rPr>
        <w:b/>
        <w:bCs/>
        <w:sz w:val="18"/>
      </w:rPr>
      <w:fldChar w:fldCharType="separate"/>
    </w:r>
    <w:r w:rsidRPr="00A32A2B">
      <w:rPr>
        <w:b/>
        <w:bCs/>
        <w:noProof/>
        <w:sz w:val="18"/>
      </w:rPr>
      <w:t>2</w:t>
    </w:r>
    <w:r w:rsidRPr="00A32A2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3960" w14:textId="46923B35" w:rsidR="00A32A2B" w:rsidRDefault="00A32A2B" w:rsidP="00A32A2B">
    <w:pPr>
      <w:pStyle w:val="Footer"/>
      <w:tabs>
        <w:tab w:val="right" w:pos="9638"/>
      </w:tabs>
    </w:pPr>
    <w:r>
      <w:tab/>
    </w:r>
    <w:r w:rsidRPr="00A32A2B">
      <w:rPr>
        <w:b/>
        <w:bCs/>
        <w:sz w:val="18"/>
      </w:rPr>
      <w:fldChar w:fldCharType="begin"/>
    </w:r>
    <w:r w:rsidRPr="00A32A2B">
      <w:rPr>
        <w:b/>
        <w:bCs/>
        <w:sz w:val="18"/>
      </w:rPr>
      <w:instrText xml:space="preserve"> PAGE  \* MERGEFORMAT </w:instrText>
    </w:r>
    <w:r w:rsidRPr="00A32A2B">
      <w:rPr>
        <w:b/>
        <w:bCs/>
        <w:sz w:val="18"/>
      </w:rPr>
      <w:fldChar w:fldCharType="separate"/>
    </w:r>
    <w:r w:rsidRPr="00A32A2B">
      <w:rPr>
        <w:b/>
        <w:bCs/>
        <w:noProof/>
        <w:sz w:val="18"/>
      </w:rPr>
      <w:t>3</w:t>
    </w:r>
    <w:r w:rsidRPr="00A32A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D0F3" w14:textId="5DB87BDF" w:rsidR="00491184" w:rsidRDefault="00491184" w:rsidP="00491184">
    <w:pPr>
      <w:pStyle w:val="Footer"/>
    </w:pPr>
    <w:r w:rsidRPr="0027112F">
      <w:rPr>
        <w:noProof/>
        <w:lang w:val="en-US"/>
      </w:rPr>
      <w:drawing>
        <wp:anchor distT="0" distB="0" distL="114300" distR="114300" simplePos="0" relativeHeight="251659264" behindDoc="0" locked="1" layoutInCell="1" allowOverlap="1" wp14:anchorId="2B57CAB1" wp14:editId="6207BBB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74FC8C" w14:textId="579C2024" w:rsidR="00491184" w:rsidRPr="00491184" w:rsidRDefault="00491184" w:rsidP="00491184">
    <w:pPr>
      <w:pStyle w:val="Footer"/>
      <w:ind w:right="1134"/>
      <w:rPr>
        <w:sz w:val="20"/>
      </w:rPr>
    </w:pPr>
    <w:r>
      <w:rPr>
        <w:sz w:val="20"/>
      </w:rPr>
      <w:t>GE.22-04575(E)</w:t>
    </w:r>
    <w:r>
      <w:rPr>
        <w:noProof/>
        <w:sz w:val="20"/>
      </w:rPr>
      <w:drawing>
        <wp:anchor distT="0" distB="0" distL="114300" distR="114300" simplePos="0" relativeHeight="251660288" behindDoc="0" locked="0" layoutInCell="1" allowOverlap="1" wp14:anchorId="64797D44" wp14:editId="68E0D77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244C" w14:textId="77777777" w:rsidR="00F15E66" w:rsidRPr="00B903E5" w:rsidRDefault="00F15E66" w:rsidP="00B903E5">
      <w:pPr>
        <w:tabs>
          <w:tab w:val="right" w:pos="2155"/>
        </w:tabs>
        <w:spacing w:after="80" w:line="240" w:lineRule="auto"/>
        <w:ind w:left="680"/>
      </w:pPr>
      <w:r>
        <w:rPr>
          <w:u w:val="single"/>
        </w:rPr>
        <w:tab/>
      </w:r>
    </w:p>
  </w:footnote>
  <w:footnote w:type="continuationSeparator" w:id="0">
    <w:p w14:paraId="67E3CB25" w14:textId="77777777" w:rsidR="00F15E66" w:rsidRPr="00B903E5" w:rsidRDefault="00F15E66" w:rsidP="00B903E5">
      <w:pPr>
        <w:tabs>
          <w:tab w:val="right" w:pos="2155"/>
        </w:tabs>
        <w:spacing w:after="80" w:line="240" w:lineRule="auto"/>
        <w:ind w:left="680"/>
      </w:pPr>
      <w:r>
        <w:rPr>
          <w:u w:val="single"/>
        </w:rPr>
        <w:tab/>
      </w:r>
    </w:p>
  </w:footnote>
  <w:footnote w:id="1">
    <w:p w14:paraId="35D5675B" w14:textId="1C0ED8B2" w:rsidR="00A32A2B" w:rsidRPr="00A32A2B" w:rsidRDefault="00A32A2B" w:rsidP="00A32A2B">
      <w:pPr>
        <w:pStyle w:val="FootnoteText"/>
        <w:rPr>
          <w:lang w:val="en-US"/>
        </w:rPr>
      </w:pPr>
      <w:r>
        <w:rPr>
          <w:rStyle w:val="FootnoteReference"/>
        </w:rPr>
        <w:tab/>
      </w:r>
      <w:r w:rsidRPr="00A32A2B">
        <w:rPr>
          <w:rStyle w:val="FootnoteReference"/>
          <w:sz w:val="20"/>
          <w:vertAlign w:val="baseline"/>
        </w:rPr>
        <w:t>*</w:t>
      </w:r>
      <w:r>
        <w:rPr>
          <w:rStyle w:val="FootnoteReference"/>
          <w:sz w:val="20"/>
          <w:vertAlign w:val="baseline"/>
        </w:rPr>
        <w:tab/>
      </w:r>
      <w:r w:rsidRPr="00B81E2B">
        <w:rPr>
          <w:rStyle w:val="FootnoteReference"/>
          <w:szCs w:val="18"/>
          <w:vertAlign w:val="baseline"/>
        </w:rPr>
        <w:t>Adopted by the Committee at its 132nd session (28 June–23 July 2021).</w:t>
      </w:r>
    </w:p>
  </w:footnote>
  <w:footnote w:id="2">
    <w:p w14:paraId="38970F6D" w14:textId="24FB0E8D" w:rsidR="00A32A2B" w:rsidRPr="00A32A2B" w:rsidRDefault="00A32A2B">
      <w:pPr>
        <w:pStyle w:val="FootnoteText"/>
        <w:rPr>
          <w:lang w:val="en-US"/>
        </w:rPr>
      </w:pPr>
      <w:r>
        <w:rPr>
          <w:rStyle w:val="FootnoteReference"/>
        </w:rPr>
        <w:tab/>
      </w:r>
      <w:r w:rsidRPr="00A32A2B">
        <w:rPr>
          <w:rStyle w:val="FootnoteReference"/>
          <w:sz w:val="20"/>
          <w:vertAlign w:val="baseline"/>
        </w:rPr>
        <w:t>**</w:t>
      </w:r>
      <w:r>
        <w:rPr>
          <w:rStyle w:val="FootnoteReference"/>
          <w:sz w:val="20"/>
          <w:vertAlign w:val="baseline"/>
        </w:rPr>
        <w:tab/>
      </w:r>
      <w:r w:rsidRPr="00B81E2B">
        <w:rPr>
          <w:rStyle w:val="FootnoteReference"/>
          <w:szCs w:val="18"/>
          <w:vertAlign w:val="baseline"/>
        </w:rPr>
        <w:t xml:space="preserve">The following members of the Committee participated in the examination of the communication: Tania María Abdo </w:t>
      </w:r>
      <w:proofErr w:type="spellStart"/>
      <w:r w:rsidRPr="00B81E2B">
        <w:rPr>
          <w:rStyle w:val="FootnoteReference"/>
          <w:szCs w:val="18"/>
          <w:vertAlign w:val="baseline"/>
        </w:rPr>
        <w:t>Rocholl</w:t>
      </w:r>
      <w:proofErr w:type="spellEnd"/>
      <w:r w:rsidRPr="00B81E2B">
        <w:rPr>
          <w:rStyle w:val="FootnoteReference"/>
          <w:szCs w:val="18"/>
          <w:vertAlign w:val="baseline"/>
        </w:rPr>
        <w:t xml:space="preserve">, Wafaa Ashraf Moharram </w:t>
      </w:r>
      <w:proofErr w:type="spellStart"/>
      <w:r w:rsidRPr="00B81E2B">
        <w:rPr>
          <w:rStyle w:val="FootnoteReference"/>
          <w:szCs w:val="18"/>
          <w:vertAlign w:val="baseline"/>
        </w:rPr>
        <w:t>Bassim</w:t>
      </w:r>
      <w:proofErr w:type="spellEnd"/>
      <w:r w:rsidRPr="00B81E2B">
        <w:rPr>
          <w:rStyle w:val="FootnoteReference"/>
          <w:szCs w:val="18"/>
          <w:vertAlign w:val="baseline"/>
        </w:rPr>
        <w:t xml:space="preserve">, </w:t>
      </w:r>
      <w:proofErr w:type="spellStart"/>
      <w:r w:rsidRPr="00B81E2B">
        <w:rPr>
          <w:rStyle w:val="FootnoteReference"/>
          <w:szCs w:val="18"/>
          <w:vertAlign w:val="baseline"/>
        </w:rPr>
        <w:t>Yadh</w:t>
      </w:r>
      <w:proofErr w:type="spellEnd"/>
      <w:r w:rsidRPr="00B81E2B">
        <w:rPr>
          <w:rStyle w:val="FootnoteReference"/>
          <w:szCs w:val="18"/>
          <w:vertAlign w:val="baseline"/>
        </w:rPr>
        <w:t xml:space="preserve"> Ben </w:t>
      </w:r>
      <w:proofErr w:type="spellStart"/>
      <w:r w:rsidRPr="00B81E2B">
        <w:rPr>
          <w:rStyle w:val="FootnoteReference"/>
          <w:szCs w:val="18"/>
          <w:vertAlign w:val="baseline"/>
        </w:rPr>
        <w:t>Achour</w:t>
      </w:r>
      <w:proofErr w:type="spellEnd"/>
      <w:r w:rsidRPr="00B81E2B">
        <w:rPr>
          <w:rStyle w:val="FootnoteReference"/>
          <w:szCs w:val="18"/>
          <w:vertAlign w:val="baseline"/>
        </w:rPr>
        <w:t xml:space="preserve">, </w:t>
      </w:r>
      <w:proofErr w:type="spellStart"/>
      <w:r w:rsidRPr="00B81E2B">
        <w:rPr>
          <w:rStyle w:val="FootnoteReference"/>
          <w:szCs w:val="18"/>
          <w:vertAlign w:val="baseline"/>
        </w:rPr>
        <w:t>Arif</w:t>
      </w:r>
      <w:proofErr w:type="spellEnd"/>
      <w:r w:rsidRPr="00B81E2B">
        <w:rPr>
          <w:rStyle w:val="FootnoteReference"/>
          <w:szCs w:val="18"/>
          <w:vertAlign w:val="baseline"/>
        </w:rPr>
        <w:t xml:space="preserve"> </w:t>
      </w:r>
      <w:proofErr w:type="spellStart"/>
      <w:r w:rsidRPr="00B81E2B">
        <w:rPr>
          <w:rStyle w:val="FootnoteReference"/>
          <w:szCs w:val="18"/>
          <w:vertAlign w:val="baseline"/>
        </w:rPr>
        <w:t>Bulkan</w:t>
      </w:r>
      <w:proofErr w:type="spellEnd"/>
      <w:r w:rsidRPr="00B81E2B">
        <w:rPr>
          <w:rStyle w:val="FootnoteReference"/>
          <w:szCs w:val="18"/>
          <w:vertAlign w:val="baseline"/>
        </w:rPr>
        <w:t xml:space="preserve">, Mahjoub El </w:t>
      </w:r>
      <w:proofErr w:type="spellStart"/>
      <w:r w:rsidRPr="00B81E2B">
        <w:rPr>
          <w:rStyle w:val="FootnoteReference"/>
          <w:szCs w:val="18"/>
          <w:vertAlign w:val="baseline"/>
        </w:rPr>
        <w:t>Haiba</w:t>
      </w:r>
      <w:proofErr w:type="spellEnd"/>
      <w:r w:rsidRPr="00B81E2B">
        <w:rPr>
          <w:rStyle w:val="FootnoteReference"/>
          <w:szCs w:val="18"/>
          <w:vertAlign w:val="baseline"/>
        </w:rPr>
        <w:t xml:space="preserve">, </w:t>
      </w:r>
      <w:proofErr w:type="spellStart"/>
      <w:r w:rsidRPr="00B81E2B">
        <w:rPr>
          <w:rStyle w:val="FootnoteReference"/>
          <w:szCs w:val="18"/>
          <w:vertAlign w:val="baseline"/>
        </w:rPr>
        <w:t>Furuya</w:t>
      </w:r>
      <w:proofErr w:type="spellEnd"/>
      <w:r w:rsidRPr="00B81E2B">
        <w:rPr>
          <w:rStyle w:val="FootnoteReference"/>
          <w:szCs w:val="18"/>
          <w:vertAlign w:val="baseline"/>
        </w:rPr>
        <w:t xml:space="preserve"> Shuichi, Carlos Gómez Martínez, Duncan </w:t>
      </w:r>
      <w:proofErr w:type="spellStart"/>
      <w:r w:rsidRPr="00B81E2B">
        <w:rPr>
          <w:rStyle w:val="FootnoteReference"/>
          <w:szCs w:val="18"/>
          <w:vertAlign w:val="baseline"/>
        </w:rPr>
        <w:t>Laki</w:t>
      </w:r>
      <w:proofErr w:type="spellEnd"/>
      <w:r w:rsidRPr="00B81E2B">
        <w:rPr>
          <w:rStyle w:val="FootnoteReference"/>
          <w:szCs w:val="18"/>
          <w:vertAlign w:val="baseline"/>
        </w:rPr>
        <w:t xml:space="preserve"> </w:t>
      </w:r>
      <w:proofErr w:type="spellStart"/>
      <w:r w:rsidRPr="00B81E2B">
        <w:rPr>
          <w:rStyle w:val="FootnoteReference"/>
          <w:szCs w:val="18"/>
          <w:vertAlign w:val="baseline"/>
        </w:rPr>
        <w:t>Muhumuza</w:t>
      </w:r>
      <w:proofErr w:type="spellEnd"/>
      <w:r w:rsidRPr="00B81E2B">
        <w:rPr>
          <w:rStyle w:val="FootnoteReference"/>
          <w:szCs w:val="18"/>
          <w:vertAlign w:val="baseline"/>
        </w:rPr>
        <w:t xml:space="preserve">, Photini </w:t>
      </w:r>
      <w:proofErr w:type="spellStart"/>
      <w:r w:rsidRPr="00B81E2B">
        <w:rPr>
          <w:rStyle w:val="FootnoteReference"/>
          <w:szCs w:val="18"/>
          <w:vertAlign w:val="baseline"/>
        </w:rPr>
        <w:t>Pazartzis</w:t>
      </w:r>
      <w:proofErr w:type="spellEnd"/>
      <w:r w:rsidRPr="00B81E2B">
        <w:rPr>
          <w:rStyle w:val="FootnoteReference"/>
          <w:szCs w:val="18"/>
          <w:vertAlign w:val="baseline"/>
        </w:rPr>
        <w:t xml:space="preserve">, </w:t>
      </w:r>
      <w:proofErr w:type="spellStart"/>
      <w:r w:rsidRPr="00B81E2B">
        <w:rPr>
          <w:rStyle w:val="FootnoteReference"/>
          <w:szCs w:val="18"/>
          <w:vertAlign w:val="baseline"/>
        </w:rPr>
        <w:t>Hernán</w:t>
      </w:r>
      <w:proofErr w:type="spellEnd"/>
      <w:r w:rsidRPr="00B81E2B">
        <w:rPr>
          <w:rStyle w:val="FootnoteReference"/>
          <w:szCs w:val="18"/>
          <w:vertAlign w:val="baseline"/>
        </w:rPr>
        <w:t xml:space="preserve"> Quezada Cabrera, </w:t>
      </w:r>
      <w:proofErr w:type="spellStart"/>
      <w:r w:rsidRPr="00B81E2B">
        <w:rPr>
          <w:rStyle w:val="FootnoteReference"/>
          <w:szCs w:val="18"/>
          <w:vertAlign w:val="baseline"/>
        </w:rPr>
        <w:t>Vasilka</w:t>
      </w:r>
      <w:proofErr w:type="spellEnd"/>
      <w:r w:rsidRPr="00B81E2B">
        <w:rPr>
          <w:rStyle w:val="FootnoteReference"/>
          <w:szCs w:val="18"/>
          <w:vertAlign w:val="baseline"/>
        </w:rPr>
        <w:t xml:space="preserve"> </w:t>
      </w:r>
      <w:proofErr w:type="spellStart"/>
      <w:r w:rsidRPr="00B81E2B">
        <w:rPr>
          <w:rStyle w:val="FootnoteReference"/>
          <w:szCs w:val="18"/>
          <w:vertAlign w:val="baseline"/>
        </w:rPr>
        <w:t>Sancin</w:t>
      </w:r>
      <w:proofErr w:type="spellEnd"/>
      <w:r w:rsidRPr="00B81E2B">
        <w:rPr>
          <w:rStyle w:val="FootnoteReference"/>
          <w:szCs w:val="18"/>
          <w:vertAlign w:val="baseline"/>
        </w:rPr>
        <w:t xml:space="preserve">, José Manuel Santos </w:t>
      </w:r>
      <w:proofErr w:type="spellStart"/>
      <w:r w:rsidRPr="00B81E2B">
        <w:rPr>
          <w:rStyle w:val="FootnoteReference"/>
          <w:szCs w:val="18"/>
          <w:vertAlign w:val="baseline"/>
        </w:rPr>
        <w:t>Pais</w:t>
      </w:r>
      <w:proofErr w:type="spellEnd"/>
      <w:r w:rsidRPr="00B81E2B">
        <w:rPr>
          <w:rStyle w:val="FootnoteReference"/>
          <w:szCs w:val="18"/>
          <w:vertAlign w:val="baseline"/>
        </w:rPr>
        <w:t xml:space="preserve">, Soh </w:t>
      </w:r>
      <w:proofErr w:type="spellStart"/>
      <w:r w:rsidRPr="00B81E2B">
        <w:rPr>
          <w:rStyle w:val="FootnoteReference"/>
          <w:szCs w:val="18"/>
          <w:vertAlign w:val="baseline"/>
        </w:rPr>
        <w:t>Changrok</w:t>
      </w:r>
      <w:proofErr w:type="spellEnd"/>
      <w:r w:rsidRPr="00B81E2B">
        <w:rPr>
          <w:rStyle w:val="FootnoteReference"/>
          <w:szCs w:val="18"/>
          <w:vertAlign w:val="baseline"/>
        </w:rPr>
        <w:t xml:space="preserve">, </w:t>
      </w:r>
      <w:proofErr w:type="spellStart"/>
      <w:r w:rsidRPr="00B81E2B">
        <w:rPr>
          <w:rStyle w:val="FootnoteReference"/>
          <w:szCs w:val="18"/>
          <w:vertAlign w:val="baseline"/>
        </w:rPr>
        <w:t>Kobauyah</w:t>
      </w:r>
      <w:proofErr w:type="spellEnd"/>
      <w:r w:rsidRPr="00B81E2B">
        <w:rPr>
          <w:rStyle w:val="FootnoteReference"/>
          <w:szCs w:val="18"/>
          <w:vertAlign w:val="baseline"/>
        </w:rPr>
        <w:t xml:space="preserve"> </w:t>
      </w:r>
      <w:proofErr w:type="spellStart"/>
      <w:r w:rsidRPr="00B81E2B">
        <w:rPr>
          <w:rStyle w:val="FootnoteReference"/>
          <w:szCs w:val="18"/>
          <w:vertAlign w:val="baseline"/>
        </w:rPr>
        <w:t>Tchamdja</w:t>
      </w:r>
      <w:proofErr w:type="spellEnd"/>
      <w:r w:rsidRPr="00B81E2B">
        <w:rPr>
          <w:rStyle w:val="FootnoteReference"/>
          <w:szCs w:val="18"/>
          <w:vertAlign w:val="baseline"/>
        </w:rPr>
        <w:t xml:space="preserve"> </w:t>
      </w:r>
      <w:proofErr w:type="spellStart"/>
      <w:r w:rsidRPr="00B81E2B">
        <w:rPr>
          <w:rStyle w:val="FootnoteReference"/>
          <w:szCs w:val="18"/>
          <w:vertAlign w:val="baseline"/>
        </w:rPr>
        <w:t>Kpatcha</w:t>
      </w:r>
      <w:proofErr w:type="spellEnd"/>
      <w:r w:rsidRPr="00B81E2B">
        <w:rPr>
          <w:rStyle w:val="FootnoteReference"/>
          <w:szCs w:val="18"/>
          <w:vertAlign w:val="baseline"/>
        </w:rPr>
        <w:t xml:space="preserve">, Hélène </w:t>
      </w:r>
      <w:proofErr w:type="spellStart"/>
      <w:r w:rsidRPr="00B81E2B">
        <w:rPr>
          <w:rStyle w:val="FootnoteReference"/>
          <w:szCs w:val="18"/>
          <w:vertAlign w:val="baseline"/>
        </w:rPr>
        <w:t>Tigroudja</w:t>
      </w:r>
      <w:proofErr w:type="spellEnd"/>
      <w:r w:rsidRPr="00B81E2B">
        <w:rPr>
          <w:rStyle w:val="FootnoteReference"/>
          <w:szCs w:val="18"/>
          <w:vertAlign w:val="baseline"/>
        </w:rPr>
        <w:t xml:space="preserve">, </w:t>
      </w:r>
      <w:proofErr w:type="spellStart"/>
      <w:r w:rsidRPr="00B81E2B">
        <w:rPr>
          <w:rStyle w:val="FootnoteReference"/>
          <w:szCs w:val="18"/>
          <w:vertAlign w:val="baseline"/>
        </w:rPr>
        <w:t>Imeru</w:t>
      </w:r>
      <w:proofErr w:type="spellEnd"/>
      <w:r w:rsidRPr="00B81E2B">
        <w:rPr>
          <w:rStyle w:val="FootnoteReference"/>
          <w:szCs w:val="18"/>
          <w:vertAlign w:val="baseline"/>
        </w:rPr>
        <w:t xml:space="preserve"> </w:t>
      </w:r>
      <w:proofErr w:type="spellStart"/>
      <w:r w:rsidRPr="00B81E2B">
        <w:rPr>
          <w:rStyle w:val="FootnoteReference"/>
          <w:szCs w:val="18"/>
          <w:vertAlign w:val="baseline"/>
        </w:rPr>
        <w:t>Tamerat</w:t>
      </w:r>
      <w:proofErr w:type="spellEnd"/>
      <w:r w:rsidRPr="00B81E2B">
        <w:rPr>
          <w:rStyle w:val="FootnoteReference"/>
          <w:szCs w:val="18"/>
          <w:vertAlign w:val="baseline"/>
        </w:rPr>
        <w:t xml:space="preserve"> </w:t>
      </w:r>
      <w:proofErr w:type="spellStart"/>
      <w:r w:rsidRPr="00B81E2B">
        <w:rPr>
          <w:rStyle w:val="FootnoteReference"/>
          <w:szCs w:val="18"/>
          <w:vertAlign w:val="baseline"/>
        </w:rPr>
        <w:t>Yigezu</w:t>
      </w:r>
      <w:proofErr w:type="spellEnd"/>
      <w:r w:rsidRPr="00B81E2B">
        <w:rPr>
          <w:rStyle w:val="FootnoteReference"/>
          <w:szCs w:val="18"/>
          <w:vertAlign w:val="baseline"/>
        </w:rPr>
        <w:t xml:space="preserve"> and Gentian </w:t>
      </w:r>
      <w:proofErr w:type="spellStart"/>
      <w:r w:rsidRPr="00B81E2B">
        <w:rPr>
          <w:rStyle w:val="FootnoteReference"/>
          <w:szCs w:val="18"/>
          <w:vertAlign w:val="baseline"/>
        </w:rPr>
        <w:t>Zyberi</w:t>
      </w:r>
      <w:proofErr w:type="spellEnd"/>
      <w:r w:rsidRPr="00B81E2B">
        <w:rPr>
          <w:rStyle w:val="FootnoteReference"/>
          <w:szCs w:val="18"/>
          <w:vertAlign w:val="baseline"/>
        </w:rPr>
        <w:t>.</w:t>
      </w:r>
    </w:p>
  </w:footnote>
  <w:footnote w:id="3">
    <w:p w14:paraId="43B6BD66" w14:textId="0EEFFD66" w:rsidR="008E2DA1" w:rsidRPr="008E2DA1" w:rsidRDefault="008E2DA1" w:rsidP="008E2DA1">
      <w:pPr>
        <w:pStyle w:val="FootnoteText"/>
        <w:widowControl w:val="0"/>
        <w:tabs>
          <w:tab w:val="clear" w:pos="1021"/>
          <w:tab w:val="right" w:pos="1020"/>
        </w:tabs>
        <w:rPr>
          <w:lang w:val="en-US"/>
        </w:rPr>
      </w:pPr>
      <w:r>
        <w:tab/>
      </w:r>
      <w:r>
        <w:rPr>
          <w:rStyle w:val="FootnoteReference"/>
        </w:rPr>
        <w:footnoteRef/>
      </w:r>
      <w:r>
        <w:tab/>
      </w:r>
      <w:r w:rsidRPr="001B5E18">
        <w:t>Former counsel</w:t>
      </w:r>
      <w:r>
        <w:t>.</w:t>
      </w:r>
    </w:p>
  </w:footnote>
  <w:footnote w:id="4">
    <w:p w14:paraId="56A1D0AF" w14:textId="60C66A61" w:rsidR="008E2DA1" w:rsidRPr="007B6F8A" w:rsidRDefault="008E2DA1" w:rsidP="008E2DA1">
      <w:pPr>
        <w:pStyle w:val="FootnoteText"/>
        <w:spacing w:line="240" w:lineRule="auto"/>
      </w:pPr>
      <w:r>
        <w:tab/>
      </w:r>
      <w:r>
        <w:rPr>
          <w:rStyle w:val="FootnoteReference"/>
        </w:rPr>
        <w:footnoteRef/>
      </w:r>
      <w:r>
        <w:t xml:space="preserve"> </w:t>
      </w:r>
      <w:r>
        <w:tab/>
      </w:r>
      <w:r>
        <w:tab/>
        <w:t>T</w:t>
      </w:r>
      <w:r w:rsidRPr="007B6F8A">
        <w:t xml:space="preserve">he </w:t>
      </w:r>
      <w:r>
        <w:t>a</w:t>
      </w:r>
      <w:r w:rsidRPr="007B6F8A">
        <w:t>uthor</w:t>
      </w:r>
      <w:r>
        <w:t xml:space="preserve"> claims that because of his previous complaints, he had been detained unlawfully and accused of false charges in 2011 and 2012. Four out of the six fabricated charges have already been dismissed by the courts. The communication does not provide further details in this regard.</w:t>
      </w:r>
    </w:p>
  </w:footnote>
  <w:footnote w:id="5">
    <w:p w14:paraId="18CFA165" w14:textId="266975E7" w:rsidR="008E2DA1" w:rsidRPr="00A7595C" w:rsidRDefault="008E2DA1" w:rsidP="008E2DA1">
      <w:pPr>
        <w:pStyle w:val="FootnoteText"/>
        <w:spacing w:line="240" w:lineRule="auto"/>
      </w:pPr>
      <w:r w:rsidRPr="00A7595C">
        <w:tab/>
      </w:r>
      <w:r w:rsidRPr="00A7595C">
        <w:rPr>
          <w:vertAlign w:val="superscript"/>
        </w:rPr>
        <w:footnoteRef/>
      </w:r>
      <w:r w:rsidRPr="00A7595C">
        <w:tab/>
        <w:t xml:space="preserve">The author refers to </w:t>
      </w:r>
      <w:hyperlink r:id="rId1" w:history="1">
        <w:r w:rsidRPr="00DF0BA9">
          <w:rPr>
            <w:rStyle w:val="Hyperlink"/>
          </w:rPr>
          <w:t>A/HRC/34/54/Add.2</w:t>
        </w:r>
      </w:hyperlink>
      <w:r>
        <w:t xml:space="preserve"> and </w:t>
      </w:r>
      <w:hyperlink r:id="rId2" w:history="1">
        <w:r w:rsidRPr="00DF0BA9">
          <w:rPr>
            <w:rStyle w:val="Hyperlink"/>
          </w:rPr>
          <w:t>A/HRC/35/31/Add.1.</w:t>
        </w:r>
      </w:hyperlink>
    </w:p>
  </w:footnote>
  <w:footnote w:id="6">
    <w:p w14:paraId="706F4EAB" w14:textId="62B34449" w:rsidR="008E2DA1" w:rsidRDefault="008E2DA1" w:rsidP="008E2DA1">
      <w:pPr>
        <w:pStyle w:val="FootnoteText"/>
      </w:pPr>
      <w:r>
        <w:tab/>
      </w:r>
      <w:r>
        <w:rPr>
          <w:rStyle w:val="FootnoteReference"/>
        </w:rPr>
        <w:footnoteRef/>
      </w:r>
      <w:r>
        <w:t xml:space="preserve"> </w:t>
      </w:r>
      <w:r>
        <w:tab/>
        <w:t xml:space="preserve">The author refers to </w:t>
      </w:r>
      <w:hyperlink r:id="rId3" w:history="1">
        <w:r w:rsidRPr="00DF0BA9">
          <w:rPr>
            <w:rStyle w:val="Hyperlink"/>
          </w:rPr>
          <w:t>CAT/C/LKA/CO/5</w:t>
        </w:r>
      </w:hyperlink>
      <w:r>
        <w:t>, para. 19.</w:t>
      </w:r>
    </w:p>
  </w:footnote>
  <w:footnote w:id="7">
    <w:p w14:paraId="7929F20D" w14:textId="0EFB6F0E" w:rsidR="008E2DA1" w:rsidRDefault="008E2DA1" w:rsidP="008E2DA1">
      <w:pPr>
        <w:pStyle w:val="FootnoteText"/>
        <w:widowControl w:val="0"/>
      </w:pPr>
      <w:r>
        <w:tab/>
      </w:r>
      <w:r>
        <w:rPr>
          <w:rStyle w:val="FootnoteReference"/>
        </w:rPr>
        <w:footnoteRef/>
      </w:r>
      <w:r>
        <w:tab/>
      </w:r>
      <w:r>
        <w:rPr>
          <w:lang w:val="en-US"/>
        </w:rPr>
        <w:t xml:space="preserve">See, for example, </w:t>
      </w:r>
      <w:proofErr w:type="spellStart"/>
      <w:r>
        <w:rPr>
          <w:i/>
          <w:lang w:val="en-US"/>
        </w:rPr>
        <w:t>Belamrania</w:t>
      </w:r>
      <w:proofErr w:type="spellEnd"/>
      <w:r>
        <w:rPr>
          <w:i/>
          <w:lang w:val="en-US"/>
        </w:rPr>
        <w:t xml:space="preserve"> v. Algeria</w:t>
      </w:r>
      <w:r>
        <w:rPr>
          <w:iCs/>
          <w:lang w:val="en-US"/>
        </w:rPr>
        <w:t xml:space="preserve"> (</w:t>
      </w:r>
      <w:hyperlink r:id="rId4" w:history="1">
        <w:r w:rsidRPr="00DF0BA9">
          <w:rPr>
            <w:rStyle w:val="Hyperlink"/>
            <w:iCs/>
            <w:lang w:val="en-US"/>
          </w:rPr>
          <w:t>CCPR/C/118/D/2157/2012</w:t>
        </w:r>
      </w:hyperlink>
      <w:r>
        <w:rPr>
          <w:iCs/>
          <w:lang w:val="en-US"/>
        </w:rPr>
        <w:t>)</w:t>
      </w:r>
      <w:r>
        <w:rPr>
          <w:lang w:val="en-US"/>
        </w:rPr>
        <w:t>, para. 6.5; and</w:t>
      </w:r>
      <w:r>
        <w:t xml:space="preserve"> </w:t>
      </w:r>
      <w:r>
        <w:rPr>
          <w:i/>
        </w:rPr>
        <w:t xml:space="preserve">Al </w:t>
      </w:r>
      <w:proofErr w:type="spellStart"/>
      <w:r>
        <w:rPr>
          <w:i/>
        </w:rPr>
        <w:t>Khazmi</w:t>
      </w:r>
      <w:proofErr w:type="spellEnd"/>
      <w:r>
        <w:rPr>
          <w:i/>
        </w:rPr>
        <w:t xml:space="preserve"> </w:t>
      </w:r>
      <w:r>
        <w:rPr>
          <w:i/>
          <w:iCs/>
        </w:rPr>
        <w:t xml:space="preserve">v. </w:t>
      </w:r>
      <w:r>
        <w:rPr>
          <w:i/>
        </w:rPr>
        <w:t>Libya</w:t>
      </w:r>
      <w:r>
        <w:rPr>
          <w:iCs/>
        </w:rPr>
        <w:t xml:space="preserve"> (</w:t>
      </w:r>
      <w:hyperlink r:id="rId5" w:history="1">
        <w:r w:rsidRPr="00DF0BA9">
          <w:rPr>
            <w:rStyle w:val="Hyperlink"/>
            <w:iCs/>
          </w:rPr>
          <w:t>CCPR/C/108/D/1832/2008</w:t>
        </w:r>
      </w:hyperlink>
      <w:r>
        <w:rPr>
          <w:iCs/>
        </w:rPr>
        <w:t>)</w:t>
      </w:r>
      <w:r>
        <w:t>, para. 8.2.</w:t>
      </w:r>
    </w:p>
  </w:footnote>
  <w:footnote w:id="8">
    <w:p w14:paraId="5937C758" w14:textId="2CF42C31" w:rsidR="008E2DA1" w:rsidRDefault="008E2DA1" w:rsidP="008E2DA1">
      <w:pPr>
        <w:pStyle w:val="FootnoteText"/>
      </w:pPr>
      <w:r>
        <w:tab/>
      </w:r>
      <w:r>
        <w:rPr>
          <w:rStyle w:val="FootnoteReference"/>
        </w:rPr>
        <w:footnoteRef/>
      </w:r>
      <w:r>
        <w:t xml:space="preserve"> </w:t>
      </w:r>
      <w:r>
        <w:tab/>
        <w:t xml:space="preserve">Recommendations of the </w:t>
      </w:r>
      <w:r w:rsidRPr="00D14E5C">
        <w:t>Human Right</w:t>
      </w:r>
      <w:r>
        <w:t xml:space="preserve">s Commission of Sri Lanka dated 27 February 2009 and the judgment of the Supreme Court of Sri Lanka dated </w:t>
      </w:r>
      <w:r w:rsidRPr="00D14E5C">
        <w:rPr>
          <w:lang w:eastAsia="en-US"/>
        </w:rPr>
        <w:t>2 August 2016</w:t>
      </w:r>
      <w:r>
        <w:rPr>
          <w:lang w:eastAsia="en-US"/>
        </w:rPr>
        <w:t>.</w:t>
      </w:r>
    </w:p>
  </w:footnote>
  <w:footnote w:id="9">
    <w:p w14:paraId="4BE76717" w14:textId="2E3A6EB0" w:rsidR="008E2DA1" w:rsidRPr="007C46D7" w:rsidRDefault="008E2DA1" w:rsidP="008E2DA1">
      <w:pPr>
        <w:pStyle w:val="FootnoteText"/>
        <w:rPr>
          <w:i/>
          <w:szCs w:val="18"/>
          <w:lang w:val="en-US"/>
        </w:rPr>
      </w:pPr>
      <w:r>
        <w:tab/>
      </w:r>
      <w:r w:rsidRPr="007C46D7">
        <w:rPr>
          <w:rStyle w:val="FootnoteReference"/>
          <w:szCs w:val="18"/>
        </w:rPr>
        <w:footnoteRef/>
      </w:r>
      <w:r w:rsidRPr="007C46D7">
        <w:rPr>
          <w:szCs w:val="18"/>
        </w:rPr>
        <w:t xml:space="preserve"> </w:t>
      </w:r>
      <w:r w:rsidRPr="007C46D7">
        <w:rPr>
          <w:szCs w:val="18"/>
        </w:rPr>
        <w:tab/>
        <w:t>See, for example</w:t>
      </w:r>
      <w:r w:rsidRPr="007C46D7">
        <w:rPr>
          <w:i/>
          <w:szCs w:val="18"/>
          <w:lang w:val="en-US"/>
        </w:rPr>
        <w:t xml:space="preserve">, </w:t>
      </w:r>
      <w:proofErr w:type="spellStart"/>
      <w:r w:rsidRPr="007C46D7">
        <w:rPr>
          <w:i/>
          <w:szCs w:val="18"/>
          <w:lang w:val="en-US"/>
        </w:rPr>
        <w:t>Amarasinghe</w:t>
      </w:r>
      <w:proofErr w:type="spellEnd"/>
      <w:r w:rsidRPr="007C46D7">
        <w:rPr>
          <w:i/>
          <w:szCs w:val="18"/>
          <w:lang w:val="en-US"/>
        </w:rPr>
        <w:t xml:space="preserve"> v. Sri Lanka </w:t>
      </w:r>
      <w:r w:rsidRPr="007C46D7">
        <w:rPr>
          <w:iCs/>
          <w:szCs w:val="18"/>
          <w:lang w:val="en-US"/>
        </w:rPr>
        <w:t>(</w:t>
      </w:r>
      <w:hyperlink r:id="rId6" w:history="1">
        <w:r w:rsidRPr="00DF0BA9">
          <w:rPr>
            <w:rStyle w:val="Hyperlink"/>
            <w:iCs/>
            <w:szCs w:val="18"/>
            <w:lang w:val="en-US"/>
          </w:rPr>
          <w:t>CCPR/C/120/D/2209/2012</w:t>
        </w:r>
      </w:hyperlink>
      <w:r w:rsidRPr="007C46D7">
        <w:rPr>
          <w:iCs/>
          <w:szCs w:val="18"/>
          <w:lang w:val="en-US"/>
        </w:rPr>
        <w:t>),</w:t>
      </w:r>
      <w:r w:rsidRPr="007C46D7">
        <w:rPr>
          <w:i/>
          <w:szCs w:val="18"/>
          <w:lang w:val="en-US"/>
        </w:rPr>
        <w:t xml:space="preserve"> </w:t>
      </w:r>
      <w:r w:rsidRPr="007C46D7">
        <w:rPr>
          <w:szCs w:val="18"/>
          <w:lang w:val="en-US"/>
        </w:rPr>
        <w:t>para. 6.7.</w:t>
      </w:r>
    </w:p>
  </w:footnote>
  <w:footnote w:id="10">
    <w:p w14:paraId="076ABB52" w14:textId="344EE87E" w:rsidR="008E2DA1" w:rsidRPr="00A2056B" w:rsidRDefault="008E2DA1" w:rsidP="008E2DA1">
      <w:pPr>
        <w:tabs>
          <w:tab w:val="right" w:pos="993"/>
        </w:tabs>
        <w:suppressAutoHyphens w:val="0"/>
        <w:spacing w:line="240" w:lineRule="auto"/>
        <w:ind w:left="1134" w:hanging="1134"/>
        <w:textAlignment w:val="baseline"/>
      </w:pPr>
      <w:r w:rsidRPr="007C46D7">
        <w:rPr>
          <w:sz w:val="18"/>
          <w:szCs w:val="18"/>
        </w:rPr>
        <w:tab/>
      </w:r>
      <w:r w:rsidRPr="007C46D7">
        <w:rPr>
          <w:rStyle w:val="FootnoteReference"/>
          <w:szCs w:val="18"/>
        </w:rPr>
        <w:footnoteRef/>
      </w:r>
      <w:r w:rsidRPr="007C46D7">
        <w:rPr>
          <w:sz w:val="18"/>
          <w:szCs w:val="18"/>
        </w:rPr>
        <w:tab/>
        <w:t xml:space="preserve">See, for example, </w:t>
      </w:r>
      <w:proofErr w:type="spellStart"/>
      <w:r w:rsidRPr="007C46D7">
        <w:rPr>
          <w:i/>
          <w:sz w:val="18"/>
          <w:szCs w:val="18"/>
          <w:lang w:val="en-US"/>
        </w:rPr>
        <w:t>Thissera</w:t>
      </w:r>
      <w:proofErr w:type="spellEnd"/>
      <w:r w:rsidRPr="007C46D7">
        <w:rPr>
          <w:i/>
          <w:sz w:val="18"/>
          <w:szCs w:val="18"/>
          <w:lang w:val="en-US"/>
        </w:rPr>
        <w:t xml:space="preserve"> Sunil </w:t>
      </w:r>
      <w:proofErr w:type="spellStart"/>
      <w:r w:rsidRPr="007C46D7">
        <w:rPr>
          <w:i/>
          <w:sz w:val="18"/>
          <w:szCs w:val="18"/>
          <w:lang w:val="en-US"/>
        </w:rPr>
        <w:t>Hemachandra</w:t>
      </w:r>
      <w:proofErr w:type="spellEnd"/>
      <w:r w:rsidRPr="007C46D7">
        <w:rPr>
          <w:i/>
          <w:sz w:val="18"/>
          <w:szCs w:val="18"/>
          <w:lang w:val="en-US"/>
        </w:rPr>
        <w:t xml:space="preserve"> v. Sri Lanka</w:t>
      </w:r>
      <w:r w:rsidRPr="007C46D7">
        <w:rPr>
          <w:rFonts w:eastAsia="SimSun"/>
          <w:sz w:val="18"/>
          <w:szCs w:val="18"/>
          <w:lang w:val="en-US" w:eastAsia="zh-CN"/>
        </w:rPr>
        <w:t xml:space="preserve"> (</w:t>
      </w:r>
      <w:hyperlink r:id="rId7" w:history="1">
        <w:r w:rsidRPr="00DF0BA9">
          <w:rPr>
            <w:rStyle w:val="Hyperlink"/>
            <w:rFonts w:eastAsia="SimSun"/>
            <w:sz w:val="18"/>
            <w:szCs w:val="18"/>
            <w:lang w:val="en-US" w:eastAsia="zh-CN"/>
          </w:rPr>
          <w:t>CCPR/C/113/D/2087/2011</w:t>
        </w:r>
      </w:hyperlink>
      <w:r w:rsidRPr="007C46D7">
        <w:rPr>
          <w:rFonts w:eastAsia="SimSun"/>
          <w:sz w:val="18"/>
          <w:szCs w:val="18"/>
          <w:lang w:val="en-US" w:eastAsia="zh-CN"/>
        </w:rPr>
        <w:t>), para</w:t>
      </w:r>
      <w:r>
        <w:rPr>
          <w:rFonts w:eastAsia="SimSun"/>
          <w:sz w:val="18"/>
          <w:szCs w:val="18"/>
          <w:lang w:val="en-US" w:eastAsia="zh-CN"/>
        </w:rPr>
        <w:t>.</w:t>
      </w:r>
      <w:r w:rsidRPr="007C46D7">
        <w:rPr>
          <w:rFonts w:eastAsia="SimSun"/>
          <w:sz w:val="18"/>
          <w:szCs w:val="18"/>
          <w:lang w:val="en-US" w:eastAsia="zh-CN"/>
        </w:rPr>
        <w:t xml:space="preserve">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D8D2" w14:textId="77777777" w:rsidR="00A32A2B" w:rsidRDefault="00A32A2B" w:rsidP="00A32A2B">
    <w:pPr>
      <w:pStyle w:val="Header"/>
    </w:pPr>
    <w:r>
      <w:t>CCPR/C/132/D/2508/2014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F92D" w14:textId="77777777" w:rsidR="00A32A2B" w:rsidRDefault="00A32A2B" w:rsidP="00A32A2B">
    <w:pPr>
      <w:pStyle w:val="Header"/>
      <w:jc w:val="right"/>
    </w:pPr>
    <w:r>
      <w:t>CCPR/C/132/D/2508/2014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66"/>
    <w:rsid w:val="00046E92"/>
    <w:rsid w:val="0006523D"/>
    <w:rsid w:val="000820E8"/>
    <w:rsid w:val="000D7DDB"/>
    <w:rsid w:val="00131D7A"/>
    <w:rsid w:val="00165C15"/>
    <w:rsid w:val="00223723"/>
    <w:rsid w:val="00247E2C"/>
    <w:rsid w:val="002D6C53"/>
    <w:rsid w:val="002F5595"/>
    <w:rsid w:val="00334F6A"/>
    <w:rsid w:val="00342AC8"/>
    <w:rsid w:val="003610E6"/>
    <w:rsid w:val="00390DD8"/>
    <w:rsid w:val="003B4550"/>
    <w:rsid w:val="00461253"/>
    <w:rsid w:val="00472FED"/>
    <w:rsid w:val="00491184"/>
    <w:rsid w:val="005042C2"/>
    <w:rsid w:val="005D65FD"/>
    <w:rsid w:val="00602B88"/>
    <w:rsid w:val="00671529"/>
    <w:rsid w:val="00692DE7"/>
    <w:rsid w:val="007268F9"/>
    <w:rsid w:val="007327A0"/>
    <w:rsid w:val="007712BD"/>
    <w:rsid w:val="0077459C"/>
    <w:rsid w:val="007C52B0"/>
    <w:rsid w:val="00817E57"/>
    <w:rsid w:val="00892361"/>
    <w:rsid w:val="008B76A9"/>
    <w:rsid w:val="008D3450"/>
    <w:rsid w:val="008E2DA1"/>
    <w:rsid w:val="009411B4"/>
    <w:rsid w:val="00952FB6"/>
    <w:rsid w:val="009D0139"/>
    <w:rsid w:val="009F5CDC"/>
    <w:rsid w:val="00A23459"/>
    <w:rsid w:val="00A32A2B"/>
    <w:rsid w:val="00A775CF"/>
    <w:rsid w:val="00B06045"/>
    <w:rsid w:val="00B53AA5"/>
    <w:rsid w:val="00B81E2B"/>
    <w:rsid w:val="00B903E5"/>
    <w:rsid w:val="00C226C1"/>
    <w:rsid w:val="00C35A27"/>
    <w:rsid w:val="00CA1AEA"/>
    <w:rsid w:val="00CB4044"/>
    <w:rsid w:val="00D26D98"/>
    <w:rsid w:val="00D327D6"/>
    <w:rsid w:val="00DB065A"/>
    <w:rsid w:val="00DF0BA9"/>
    <w:rsid w:val="00E02C2B"/>
    <w:rsid w:val="00E05879"/>
    <w:rsid w:val="00ED6C48"/>
    <w:rsid w:val="00F15E66"/>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154F6E4"/>
  <w15:docId w15:val="{D0E5B3E5-8A17-4E39-B71F-F33D73F1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8E2DA1"/>
    <w:rPr>
      <w:rFonts w:ascii="Times New Roman" w:hAnsi="Times New Roman" w:cs="Times New Roman"/>
      <w:sz w:val="20"/>
      <w:szCs w:val="20"/>
    </w:rPr>
  </w:style>
  <w:style w:type="character" w:styleId="Hyperlink">
    <w:name w:val="Hyperlink"/>
    <w:basedOn w:val="DefaultParagraphFont"/>
    <w:uiPriority w:val="99"/>
    <w:unhideWhenUsed/>
    <w:rsid w:val="00DF0BA9"/>
    <w:rPr>
      <w:color w:val="0000FF" w:themeColor="hyperlink"/>
      <w:u w:val="none"/>
    </w:rPr>
  </w:style>
  <w:style w:type="character" w:styleId="UnresolvedMention">
    <w:name w:val="Unresolved Mention"/>
    <w:basedOn w:val="DefaultParagraphFont"/>
    <w:uiPriority w:val="99"/>
    <w:semiHidden/>
    <w:unhideWhenUsed/>
    <w:rsid w:val="00DF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LKA/CO/5" TargetMode="External"/><Relationship Id="rId7" Type="http://schemas.openxmlformats.org/officeDocument/2006/relationships/hyperlink" Target="http://undocs.org/en/CCPR/C/113/D/2087/2011" TargetMode="External"/><Relationship Id="rId2" Type="http://schemas.openxmlformats.org/officeDocument/2006/relationships/hyperlink" Target="http://undocs.org/en/A/HRC/35/31/Add.1" TargetMode="External"/><Relationship Id="rId1" Type="http://schemas.openxmlformats.org/officeDocument/2006/relationships/hyperlink" Target="http://undocs.org/en/A/HRC/34/54/Add.2" TargetMode="External"/><Relationship Id="rId6" Type="http://schemas.openxmlformats.org/officeDocument/2006/relationships/hyperlink" Target="http://undocs.org/en/CCPR/C/120/D/2209/2012" TargetMode="External"/><Relationship Id="rId5" Type="http://schemas.openxmlformats.org/officeDocument/2006/relationships/hyperlink" Target="http://undocs.org/en/CCPR/C/108/D/1832/2008" TargetMode="External"/><Relationship Id="rId4" Type="http://schemas.openxmlformats.org/officeDocument/2006/relationships/hyperlink" Target="http://undocs.org/en/CCPR/C/118/D/2157/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4201</Words>
  <Characters>21413</Characters>
  <Application>Microsoft Office Word</Application>
  <DocSecurity>0</DocSecurity>
  <Lines>325</Lines>
  <Paragraphs>62</Paragraphs>
  <ScaleCrop>false</ScaleCrop>
  <HeadingPairs>
    <vt:vector size="2" baseType="variant">
      <vt:variant>
        <vt:lpstr>Title</vt:lpstr>
      </vt:variant>
      <vt:variant>
        <vt:i4>1</vt:i4>
      </vt:variant>
    </vt:vector>
  </HeadingPairs>
  <TitlesOfParts>
    <vt:vector size="1" baseType="lpstr">
      <vt:lpstr>CCPR/C/132/D/2508/2014</vt:lpstr>
    </vt:vector>
  </TitlesOfParts>
  <Company>DCM</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CCPR/C/132/D/2508/2014</dc:title>
  <dc:subject>2204575</dc:subject>
  <dc:creator>pae</dc:creator>
  <cp:keywords/>
  <dc:description>final</dc:description>
  <cp:lastModifiedBy>Cecile Pacis</cp:lastModifiedBy>
  <cp:revision>2</cp:revision>
  <dcterms:created xsi:type="dcterms:W3CDTF">2022-03-29T05:37:00Z</dcterms:created>
  <dcterms:modified xsi:type="dcterms:W3CDTF">2022-03-29T05:37:00Z</dcterms:modified>
</cp:coreProperties>
</file>