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42BFA268" w14:textId="77777777" w:rsidTr="005B51C4">
        <w:trPr>
          <w:trHeight w:hRule="exact" w:val="851"/>
        </w:trPr>
        <w:tc>
          <w:tcPr>
            <w:tcW w:w="1274" w:type="dxa"/>
            <w:tcBorders>
              <w:bottom w:val="single" w:sz="4" w:space="0" w:color="auto"/>
            </w:tcBorders>
            <w:shd w:val="clear" w:color="auto" w:fill="auto"/>
          </w:tcPr>
          <w:p w14:paraId="65CFDD23" w14:textId="77777777" w:rsidR="006B3E27" w:rsidRPr="00C175A6" w:rsidRDefault="006B3E27" w:rsidP="00B82AEE">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72636526"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6A2C5B83" w14:textId="653CD7F1" w:rsidR="006B3E27" w:rsidRPr="00FF7D66" w:rsidRDefault="00FF7D66" w:rsidP="00FF7D66">
            <w:pPr>
              <w:bidi w:val="0"/>
              <w:rPr>
                <w:szCs w:val="20"/>
              </w:rPr>
            </w:pPr>
            <w:r w:rsidRPr="00FF6AD6">
              <w:rPr>
                <w:sz w:val="40"/>
                <w:szCs w:val="20"/>
              </w:rPr>
              <w:t>CCPR</w:t>
            </w:r>
            <w:r w:rsidRPr="00FF6AD6">
              <w:rPr>
                <w:szCs w:val="20"/>
              </w:rPr>
              <w:t>/C/</w:t>
            </w:r>
            <w:r w:rsidRPr="008D799D">
              <w:t>133</w:t>
            </w:r>
            <w:r w:rsidRPr="00FF6AD6">
              <w:rPr>
                <w:szCs w:val="20"/>
              </w:rPr>
              <w:t>/D/</w:t>
            </w:r>
            <w:r w:rsidRPr="008D799D">
              <w:t>3258</w:t>
            </w:r>
            <w:r w:rsidRPr="00FF6AD6">
              <w:rPr>
                <w:szCs w:val="20"/>
              </w:rPr>
              <w:t>/</w:t>
            </w:r>
            <w:r w:rsidRPr="008D799D">
              <w:t>2018</w:t>
            </w:r>
          </w:p>
        </w:tc>
      </w:tr>
      <w:tr w:rsidR="006B3E27" w:rsidRPr="00C175A6" w14:paraId="4D33CA95" w14:textId="77777777" w:rsidTr="005B51C4">
        <w:trPr>
          <w:trHeight w:hRule="exact" w:val="2835"/>
        </w:trPr>
        <w:tc>
          <w:tcPr>
            <w:tcW w:w="1274" w:type="dxa"/>
            <w:tcBorders>
              <w:top w:val="single" w:sz="4" w:space="0" w:color="auto"/>
              <w:bottom w:val="single" w:sz="12" w:space="0" w:color="auto"/>
            </w:tcBorders>
            <w:shd w:val="clear" w:color="auto" w:fill="auto"/>
          </w:tcPr>
          <w:p w14:paraId="4CC6463F"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3E171E6A" wp14:editId="17F6A1D3">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6D81D040" w14:textId="77777777" w:rsidR="006B3E27" w:rsidRPr="008D799D" w:rsidRDefault="00ED7442" w:rsidP="00730446">
            <w:pPr>
              <w:spacing w:before="120" w:after="40" w:line="640" w:lineRule="exact"/>
              <w:ind w:left="57"/>
              <w:rPr>
                <w:b/>
                <w:bCs/>
                <w:sz w:val="46"/>
                <w:szCs w:val="46"/>
                <w:rtl/>
              </w:rPr>
            </w:pPr>
            <w:r w:rsidRPr="008D799D">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7B6A487C" w14:textId="77777777" w:rsidR="006B3E27" w:rsidRDefault="00FF7D66" w:rsidP="004B27E0">
            <w:pPr>
              <w:bidi w:val="0"/>
              <w:spacing w:before="240"/>
              <w:rPr>
                <w:szCs w:val="20"/>
              </w:rPr>
            </w:pPr>
            <w:r>
              <w:rPr>
                <w:szCs w:val="20"/>
              </w:rPr>
              <w:t>Distr.: General</w:t>
            </w:r>
          </w:p>
          <w:p w14:paraId="37823D73" w14:textId="28E06DCE" w:rsidR="00FF7D66" w:rsidRDefault="006544A8" w:rsidP="00FF7D66">
            <w:pPr>
              <w:bidi w:val="0"/>
              <w:spacing w:line="240" w:lineRule="exact"/>
              <w:jc w:val="left"/>
              <w:rPr>
                <w:szCs w:val="20"/>
              </w:rPr>
            </w:pPr>
            <w:r w:rsidRPr="008D799D">
              <w:t>28</w:t>
            </w:r>
            <w:r w:rsidRPr="00BD08CF">
              <w:t xml:space="preserve"> January </w:t>
            </w:r>
            <w:r w:rsidRPr="008D799D">
              <w:t>2022</w:t>
            </w:r>
          </w:p>
          <w:p w14:paraId="50A0342B" w14:textId="77777777" w:rsidR="00FF7D66" w:rsidRDefault="00FF7D66" w:rsidP="00FF7D66">
            <w:pPr>
              <w:bidi w:val="0"/>
              <w:spacing w:line="240" w:lineRule="exact"/>
              <w:jc w:val="left"/>
              <w:rPr>
                <w:szCs w:val="20"/>
              </w:rPr>
            </w:pPr>
            <w:r>
              <w:rPr>
                <w:szCs w:val="20"/>
              </w:rPr>
              <w:t>Arabic</w:t>
            </w:r>
          </w:p>
          <w:p w14:paraId="281F20A3" w14:textId="2E869281" w:rsidR="00FF7D66" w:rsidRPr="00FF7D66" w:rsidRDefault="00FF7D66" w:rsidP="00FF7D66">
            <w:pPr>
              <w:bidi w:val="0"/>
              <w:spacing w:line="240" w:lineRule="exact"/>
              <w:jc w:val="left"/>
              <w:rPr>
                <w:szCs w:val="20"/>
              </w:rPr>
            </w:pPr>
            <w:r>
              <w:rPr>
                <w:szCs w:val="20"/>
              </w:rPr>
              <w:t>Original: English</w:t>
            </w:r>
          </w:p>
        </w:tc>
      </w:tr>
    </w:tbl>
    <w:p w14:paraId="0543977F" w14:textId="77777777" w:rsidR="0023192C" w:rsidRPr="008D799D" w:rsidRDefault="0023192C" w:rsidP="00944B2A">
      <w:pPr>
        <w:spacing w:before="120" w:line="360" w:lineRule="exact"/>
        <w:textDirection w:val="tbRlV"/>
        <w:rPr>
          <w:b/>
          <w:bCs/>
          <w:sz w:val="26"/>
          <w:szCs w:val="26"/>
          <w:lang w:val="ar-SA" w:eastAsia="zh-TW" w:bidi="en-GB"/>
        </w:rPr>
      </w:pPr>
      <w:r w:rsidRPr="008D799D">
        <w:rPr>
          <w:b/>
          <w:bCs/>
          <w:sz w:val="26"/>
          <w:szCs w:val="26"/>
          <w:rtl/>
        </w:rPr>
        <w:t>اللجنة المعنية بحقوق الإنسان</w:t>
      </w:r>
    </w:p>
    <w:p w14:paraId="0D179DF5" w14:textId="795E96AE" w:rsidR="0023192C" w:rsidRPr="008D799D" w:rsidRDefault="0023192C" w:rsidP="0023192C">
      <w:pPr>
        <w:pStyle w:val="HChGA"/>
        <w:rPr>
          <w:lang w:val="en-US" w:eastAsia="zh-TW"/>
        </w:rPr>
      </w:pPr>
      <w:r w:rsidRPr="008D799D">
        <w:rPr>
          <w:rtl/>
        </w:rPr>
        <w:tab/>
      </w:r>
      <w:r w:rsidRPr="008D799D">
        <w:rPr>
          <w:rtl/>
        </w:rPr>
        <w:tab/>
        <w:t>الآراء</w:t>
      </w:r>
      <w:r w:rsidRPr="008D799D">
        <w:rPr>
          <w:rtl/>
          <w:lang w:val="fr-CH"/>
        </w:rPr>
        <w:t>ٌ</w:t>
      </w:r>
      <w:r w:rsidRPr="008D799D">
        <w:rPr>
          <w:rtl/>
        </w:rPr>
        <w:t xml:space="preserve"> التي اعتمدتها اللجنة بموجب المادة 5</w:t>
      </w:r>
      <w:r w:rsidRPr="008D799D">
        <w:rPr>
          <w:rFonts w:ascii="Traditional Arabic"/>
          <w:rtl/>
        </w:rPr>
        <w:t>(</w:t>
      </w:r>
      <w:r w:rsidRPr="008D799D">
        <w:rPr>
          <w:rtl/>
        </w:rPr>
        <w:t>4</w:t>
      </w:r>
      <w:r w:rsidRPr="008D799D">
        <w:rPr>
          <w:rFonts w:ascii="Traditional Arabic"/>
          <w:rtl/>
        </w:rPr>
        <w:t>)</w:t>
      </w:r>
      <w:r w:rsidRPr="008D799D">
        <w:rPr>
          <w:rtl/>
        </w:rPr>
        <w:t xml:space="preserve"> من البروتوكول الاختياري</w:t>
      </w:r>
      <w:r w:rsidR="00FF6AD6" w:rsidRPr="008D799D">
        <w:rPr>
          <w:rtl/>
        </w:rPr>
        <w:t>،</w:t>
      </w:r>
      <w:r w:rsidRPr="008D799D">
        <w:rPr>
          <w:rtl/>
        </w:rPr>
        <w:t xml:space="preserve"> بشأن البلاغ رقم 3258</w:t>
      </w:r>
      <w:r w:rsidRPr="008D799D">
        <w:rPr>
          <w:rFonts w:ascii="Traditional Arabic"/>
          <w:rtl/>
        </w:rPr>
        <w:t>/</w:t>
      </w:r>
      <w:r w:rsidRPr="008D799D">
        <w:rPr>
          <w:rtl/>
        </w:rPr>
        <w:t>2018</w:t>
      </w:r>
      <w:r w:rsidR="002029C6" w:rsidRPr="008D799D">
        <w:rPr>
          <w:rStyle w:val="FootnoteReference"/>
          <w:sz w:val="22"/>
          <w:szCs w:val="22"/>
          <w:vertAlign w:val="baseline"/>
          <w:rtl/>
          <w:lang w:val="en-US" w:eastAsia="zh-TW"/>
        </w:rPr>
        <w:footnoteReference w:customMarkFollows="1" w:id="1"/>
        <w:t>*</w:t>
      </w:r>
      <w:r w:rsidR="002029C6" w:rsidRPr="008D799D">
        <w:rPr>
          <w:rFonts w:hint="cs"/>
          <w:rtl/>
          <w:lang w:val="en-US" w:eastAsia="zh-TW"/>
        </w:rPr>
        <w:t xml:space="preserve"> </w:t>
      </w:r>
      <w:r w:rsidR="002029C6" w:rsidRPr="008D799D">
        <w:rPr>
          <w:rStyle w:val="FootnoteReference"/>
          <w:sz w:val="22"/>
          <w:szCs w:val="22"/>
          <w:vertAlign w:val="baseline"/>
          <w:rtl/>
          <w:lang w:val="en-US" w:eastAsia="zh-TW"/>
        </w:rPr>
        <w:footnoteReference w:customMarkFollows="1" w:id="2"/>
        <w:t>**</w:t>
      </w:r>
      <w:r w:rsidR="002029C6" w:rsidRPr="008D799D">
        <w:rPr>
          <w:rFonts w:hint="cs"/>
          <w:rtl/>
          <w:lang w:val="en-US" w:eastAsia="zh-TW"/>
        </w:rPr>
        <w:t xml:space="preserve"> </w:t>
      </w:r>
      <w:r w:rsidR="002029C6" w:rsidRPr="008D799D">
        <w:rPr>
          <w:rStyle w:val="FootnoteReference"/>
          <w:sz w:val="22"/>
          <w:szCs w:val="22"/>
          <w:vertAlign w:val="baseline"/>
          <w:rtl/>
          <w:lang w:val="en-US" w:eastAsia="zh-TW"/>
        </w:rPr>
        <w:footnoteReference w:customMarkFollows="1" w:id="3"/>
        <w:t>***</w:t>
      </w:r>
    </w:p>
    <w:p w14:paraId="5E138A08" w14:textId="77777777" w:rsidR="0023192C" w:rsidRPr="006544A8" w:rsidRDefault="0023192C" w:rsidP="005A6940">
      <w:pPr>
        <w:pStyle w:val="SingleTxtGA"/>
        <w:tabs>
          <w:tab w:val="clear" w:pos="1928"/>
          <w:tab w:val="clear" w:pos="2608"/>
          <w:tab w:val="clear" w:pos="3289"/>
          <w:tab w:val="clear" w:pos="3969"/>
          <w:tab w:val="clear" w:pos="4649"/>
          <w:tab w:val="clear" w:pos="5330"/>
        </w:tabs>
        <w:ind w:left="4081" w:hanging="2153"/>
        <w:rPr>
          <w:lang w:val="ar-SA" w:eastAsia="zh-TW" w:bidi="en-GB"/>
        </w:rPr>
      </w:pPr>
      <w:r w:rsidRPr="008D799D">
        <w:rPr>
          <w:i/>
          <w:iCs/>
          <w:rtl/>
        </w:rPr>
        <w:t>بلاغ مقدّم من:</w:t>
      </w:r>
      <w:r w:rsidRPr="006544A8">
        <w:rPr>
          <w:rtl/>
        </w:rPr>
        <w:tab/>
        <w:t>تييري أميدزرو (يمثّله المحاميان شين ه. برادي وهيكاز زوريان)</w:t>
      </w:r>
    </w:p>
    <w:p w14:paraId="2EA3406E" w14:textId="77777777" w:rsidR="0023192C" w:rsidRPr="006544A8" w:rsidRDefault="0023192C" w:rsidP="005A6940">
      <w:pPr>
        <w:pStyle w:val="SingleTxtGA"/>
        <w:tabs>
          <w:tab w:val="clear" w:pos="1928"/>
          <w:tab w:val="clear" w:pos="2608"/>
          <w:tab w:val="clear" w:pos="3289"/>
          <w:tab w:val="clear" w:pos="3969"/>
          <w:tab w:val="clear" w:pos="4649"/>
          <w:tab w:val="clear" w:pos="5330"/>
        </w:tabs>
        <w:ind w:left="4081" w:hanging="2153"/>
        <w:rPr>
          <w:lang w:val="ar-SA" w:eastAsia="zh-TW" w:bidi="en-GB"/>
        </w:rPr>
      </w:pPr>
      <w:r w:rsidRPr="008D799D">
        <w:rPr>
          <w:i/>
          <w:iCs/>
          <w:rtl/>
        </w:rPr>
        <w:t>الشخص المدّعى أنه ضحية:</w:t>
      </w:r>
      <w:r w:rsidRPr="006544A8">
        <w:rPr>
          <w:rtl/>
        </w:rPr>
        <w:tab/>
        <w:t>صاحب البلاغ</w:t>
      </w:r>
    </w:p>
    <w:p w14:paraId="47EB888A" w14:textId="75F44EEC" w:rsidR="0023192C" w:rsidRPr="006544A8" w:rsidRDefault="0023192C" w:rsidP="005A6940">
      <w:pPr>
        <w:pStyle w:val="SingleTxtGA"/>
        <w:tabs>
          <w:tab w:val="clear" w:pos="1928"/>
          <w:tab w:val="clear" w:pos="2608"/>
          <w:tab w:val="clear" w:pos="3289"/>
          <w:tab w:val="clear" w:pos="3969"/>
          <w:tab w:val="clear" w:pos="4649"/>
          <w:tab w:val="clear" w:pos="5330"/>
        </w:tabs>
        <w:ind w:left="4081" w:hanging="2153"/>
        <w:rPr>
          <w:lang w:val="ar-SA" w:eastAsia="zh-TW" w:bidi="en-GB"/>
        </w:rPr>
      </w:pPr>
      <w:r w:rsidRPr="008D799D">
        <w:rPr>
          <w:i/>
          <w:iCs/>
          <w:rtl/>
        </w:rPr>
        <w:t>الدولة الطرف:</w:t>
      </w:r>
      <w:r w:rsidRPr="006544A8">
        <w:rPr>
          <w:rtl/>
        </w:rPr>
        <w:tab/>
        <w:t>طاجيكستان</w:t>
      </w:r>
    </w:p>
    <w:p w14:paraId="31E1E209" w14:textId="1EC8B41F" w:rsidR="0023192C" w:rsidRPr="006544A8" w:rsidRDefault="0023192C" w:rsidP="005A6940">
      <w:pPr>
        <w:pStyle w:val="SingleTxtGA"/>
        <w:tabs>
          <w:tab w:val="clear" w:pos="1928"/>
          <w:tab w:val="clear" w:pos="2608"/>
          <w:tab w:val="clear" w:pos="3289"/>
          <w:tab w:val="clear" w:pos="3969"/>
          <w:tab w:val="clear" w:pos="4649"/>
          <w:tab w:val="clear" w:pos="5330"/>
        </w:tabs>
        <w:ind w:left="4081" w:hanging="2153"/>
        <w:rPr>
          <w:lang w:val="ar-SA" w:eastAsia="zh-TW" w:bidi="en-GB"/>
        </w:rPr>
      </w:pPr>
      <w:r w:rsidRPr="008D799D">
        <w:rPr>
          <w:i/>
          <w:iCs/>
          <w:rtl/>
        </w:rPr>
        <w:t>تاريخ تقديم البلاغ:</w:t>
      </w:r>
      <w:r w:rsidRPr="006544A8">
        <w:rPr>
          <w:rtl/>
        </w:rPr>
        <w:tab/>
      </w:r>
      <w:r w:rsidRPr="008D799D">
        <w:rPr>
          <w:rtl/>
        </w:rPr>
        <w:t>17</w:t>
      </w:r>
      <w:r w:rsidRPr="006544A8">
        <w:rPr>
          <w:rtl/>
        </w:rPr>
        <w:t xml:space="preserve"> تشرين الأول/أكتوبر </w:t>
      </w:r>
      <w:r w:rsidRPr="008D799D">
        <w:rPr>
          <w:rtl/>
        </w:rPr>
        <w:t>2018</w:t>
      </w:r>
      <w:r w:rsidRPr="006544A8">
        <w:rPr>
          <w:rFonts w:ascii="Traditional Arabic"/>
          <w:rtl/>
        </w:rPr>
        <w:t xml:space="preserve"> (</w:t>
      </w:r>
      <w:r w:rsidRPr="006544A8">
        <w:rPr>
          <w:rtl/>
        </w:rPr>
        <w:t>تاريخ الرسالة الأولى</w:t>
      </w:r>
      <w:r w:rsidRPr="006544A8">
        <w:rPr>
          <w:rFonts w:ascii="Traditional Arabic"/>
          <w:rtl/>
        </w:rPr>
        <w:t>)</w:t>
      </w:r>
    </w:p>
    <w:p w14:paraId="41A94D2F" w14:textId="5081117A" w:rsidR="0023192C" w:rsidRPr="006544A8" w:rsidRDefault="0023192C" w:rsidP="005A6940">
      <w:pPr>
        <w:pStyle w:val="SingleTxtGA"/>
        <w:tabs>
          <w:tab w:val="clear" w:pos="1928"/>
          <w:tab w:val="clear" w:pos="2608"/>
          <w:tab w:val="clear" w:pos="3289"/>
          <w:tab w:val="clear" w:pos="3969"/>
          <w:tab w:val="clear" w:pos="4649"/>
          <w:tab w:val="clear" w:pos="5330"/>
        </w:tabs>
        <w:ind w:left="4081" w:hanging="2153"/>
        <w:rPr>
          <w:lang w:val="ar-SA" w:eastAsia="zh-TW" w:bidi="en-GB"/>
        </w:rPr>
      </w:pPr>
      <w:r w:rsidRPr="008D799D">
        <w:rPr>
          <w:i/>
          <w:iCs/>
          <w:rtl/>
        </w:rPr>
        <w:lastRenderedPageBreak/>
        <w:t>الوثائق المرجعية:</w:t>
      </w:r>
      <w:r w:rsidRPr="006544A8">
        <w:rPr>
          <w:rtl/>
        </w:rPr>
        <w:tab/>
        <w:t xml:space="preserve">القرار المتخذ بموجب المادة </w:t>
      </w:r>
      <w:r w:rsidRPr="008D799D">
        <w:rPr>
          <w:rtl/>
        </w:rPr>
        <w:t>92</w:t>
      </w:r>
      <w:r w:rsidRPr="006544A8">
        <w:rPr>
          <w:rtl/>
        </w:rPr>
        <w:t xml:space="preserve"> من النظام الداخلي للجنة</w:t>
      </w:r>
      <w:r w:rsidR="00FF6AD6">
        <w:rPr>
          <w:rtl/>
        </w:rPr>
        <w:t>،</w:t>
      </w:r>
      <w:r w:rsidRPr="006544A8">
        <w:rPr>
          <w:rtl/>
        </w:rPr>
        <w:t xml:space="preserve"> والمحال إلى الدولة الطرف في </w:t>
      </w:r>
      <w:r w:rsidRPr="008D799D">
        <w:rPr>
          <w:rtl/>
        </w:rPr>
        <w:t>23</w:t>
      </w:r>
      <w:r w:rsidRPr="006544A8">
        <w:rPr>
          <w:rtl/>
        </w:rPr>
        <w:t xml:space="preserve"> تشرين الأول/أكتوبر </w:t>
      </w:r>
      <w:r w:rsidRPr="008D799D">
        <w:rPr>
          <w:rtl/>
        </w:rPr>
        <w:t>2018</w:t>
      </w:r>
      <w:r w:rsidRPr="006544A8">
        <w:rPr>
          <w:rFonts w:ascii="Traditional Arabic"/>
          <w:rtl/>
        </w:rPr>
        <w:t xml:space="preserve"> (</w:t>
      </w:r>
      <w:r w:rsidRPr="006544A8">
        <w:rPr>
          <w:rtl/>
        </w:rPr>
        <w:t>لم يصدر في شكل وثيقة</w:t>
      </w:r>
      <w:r w:rsidRPr="006544A8">
        <w:rPr>
          <w:rFonts w:ascii="Traditional Arabic"/>
          <w:rtl/>
        </w:rPr>
        <w:t>)</w:t>
      </w:r>
    </w:p>
    <w:p w14:paraId="1702DCB8" w14:textId="77777777" w:rsidR="0023192C" w:rsidRPr="008D799D" w:rsidRDefault="0023192C" w:rsidP="005A6940">
      <w:pPr>
        <w:pStyle w:val="SingleTxtGA"/>
        <w:tabs>
          <w:tab w:val="clear" w:pos="1928"/>
          <w:tab w:val="clear" w:pos="2608"/>
          <w:tab w:val="clear" w:pos="3289"/>
          <w:tab w:val="clear" w:pos="3969"/>
          <w:tab w:val="clear" w:pos="4649"/>
          <w:tab w:val="clear" w:pos="5330"/>
        </w:tabs>
        <w:ind w:left="4081" w:hanging="2153"/>
        <w:rPr>
          <w:i/>
          <w:lang w:val="ar-SA" w:eastAsia="zh-TW" w:bidi="en-GB"/>
        </w:rPr>
      </w:pPr>
      <w:r w:rsidRPr="008D799D">
        <w:rPr>
          <w:i/>
          <w:iCs/>
          <w:rtl/>
        </w:rPr>
        <w:t>تاريخ اعتماد الآراء:</w:t>
      </w:r>
      <w:r w:rsidRPr="006544A8">
        <w:rPr>
          <w:rtl/>
        </w:rPr>
        <w:tab/>
      </w:r>
      <w:r w:rsidRPr="008D799D">
        <w:rPr>
          <w:rtl/>
        </w:rPr>
        <w:t>15</w:t>
      </w:r>
      <w:r w:rsidRPr="006544A8">
        <w:rPr>
          <w:rtl/>
        </w:rPr>
        <w:t xml:space="preserve"> تشرين الأول/أكتوبر </w:t>
      </w:r>
      <w:r w:rsidRPr="008D799D">
        <w:rPr>
          <w:rtl/>
        </w:rPr>
        <w:t>2021</w:t>
      </w:r>
    </w:p>
    <w:p w14:paraId="63DA2DBF" w14:textId="3884AD58" w:rsidR="0023192C" w:rsidRPr="006544A8" w:rsidRDefault="0023192C" w:rsidP="005A6940">
      <w:pPr>
        <w:pStyle w:val="SingleTxtGA"/>
        <w:tabs>
          <w:tab w:val="clear" w:pos="1928"/>
          <w:tab w:val="clear" w:pos="2608"/>
          <w:tab w:val="clear" w:pos="3289"/>
          <w:tab w:val="clear" w:pos="3969"/>
          <w:tab w:val="clear" w:pos="4649"/>
          <w:tab w:val="clear" w:pos="5330"/>
        </w:tabs>
        <w:ind w:left="4081" w:hanging="2153"/>
        <w:rPr>
          <w:lang w:val="ar-SA" w:eastAsia="zh-TW" w:bidi="en-GB"/>
        </w:rPr>
      </w:pPr>
      <w:r w:rsidRPr="008D799D">
        <w:rPr>
          <w:i/>
          <w:iCs/>
          <w:rtl/>
        </w:rPr>
        <w:t>الموضوع:</w:t>
      </w:r>
      <w:r w:rsidRPr="006544A8">
        <w:rPr>
          <w:rtl/>
        </w:rPr>
        <w:tab/>
        <w:t>الاحتجاز غير القانوني؛ إدانة أجنبي من شهود يهوه بغرامة وطرده من الدولة الطرف لمشاركته في تجمّع ديني</w:t>
      </w:r>
    </w:p>
    <w:p w14:paraId="4419ED5A" w14:textId="6ED68199" w:rsidR="0023192C" w:rsidRPr="006544A8" w:rsidRDefault="0023192C" w:rsidP="005A6940">
      <w:pPr>
        <w:pStyle w:val="SingleTxtGA"/>
        <w:tabs>
          <w:tab w:val="clear" w:pos="1928"/>
          <w:tab w:val="clear" w:pos="2608"/>
          <w:tab w:val="clear" w:pos="3289"/>
          <w:tab w:val="clear" w:pos="3969"/>
          <w:tab w:val="clear" w:pos="4649"/>
          <w:tab w:val="clear" w:pos="5330"/>
        </w:tabs>
        <w:ind w:left="4081" w:hanging="2153"/>
        <w:rPr>
          <w:lang w:val="ar-SA" w:eastAsia="zh-TW" w:bidi="en-GB"/>
        </w:rPr>
      </w:pPr>
      <w:r w:rsidRPr="008D799D">
        <w:rPr>
          <w:i/>
          <w:iCs/>
          <w:rtl/>
        </w:rPr>
        <w:t>المسائل الإجرائية</w:t>
      </w:r>
      <w:r w:rsidR="005A6940" w:rsidRPr="008D799D">
        <w:rPr>
          <w:rFonts w:hint="cs"/>
          <w:i/>
          <w:iCs/>
          <w:rtl/>
        </w:rPr>
        <w:t>:</w:t>
      </w:r>
      <w:r w:rsidRPr="006544A8">
        <w:rPr>
          <w:rtl/>
        </w:rPr>
        <w:t xml:space="preserve"> </w:t>
      </w:r>
      <w:r w:rsidRPr="006544A8">
        <w:rPr>
          <w:rtl/>
        </w:rPr>
        <w:tab/>
        <w:t>لا</w:t>
      </w:r>
      <w:r w:rsidR="00256A6C">
        <w:rPr>
          <w:rFonts w:hint="cs"/>
          <w:rtl/>
        </w:rPr>
        <w:t xml:space="preserve"> </w:t>
      </w:r>
      <w:r w:rsidRPr="006544A8">
        <w:rPr>
          <w:rtl/>
        </w:rPr>
        <w:t xml:space="preserve">يوجد </w:t>
      </w:r>
    </w:p>
    <w:p w14:paraId="31B35DED" w14:textId="37EFD000" w:rsidR="0023192C" w:rsidRPr="006544A8" w:rsidRDefault="0023192C" w:rsidP="005A6940">
      <w:pPr>
        <w:pStyle w:val="SingleTxtGA"/>
        <w:tabs>
          <w:tab w:val="clear" w:pos="1928"/>
          <w:tab w:val="clear" w:pos="2608"/>
          <w:tab w:val="clear" w:pos="3289"/>
          <w:tab w:val="clear" w:pos="3969"/>
          <w:tab w:val="clear" w:pos="4649"/>
          <w:tab w:val="clear" w:pos="5330"/>
        </w:tabs>
        <w:ind w:left="4081" w:hanging="2153"/>
        <w:rPr>
          <w:lang w:val="ar-SA" w:eastAsia="zh-TW" w:bidi="en-GB"/>
        </w:rPr>
      </w:pPr>
      <w:r w:rsidRPr="008D799D">
        <w:rPr>
          <w:i/>
          <w:iCs/>
          <w:rtl/>
        </w:rPr>
        <w:t>المسائل الموضوعية</w:t>
      </w:r>
      <w:r w:rsidR="005A6940" w:rsidRPr="008D799D">
        <w:rPr>
          <w:rFonts w:ascii="Traditional Arabic" w:hint="cs"/>
          <w:i/>
          <w:iCs/>
          <w:rtl/>
        </w:rPr>
        <w:t>:</w:t>
      </w:r>
      <w:r w:rsidRPr="006544A8">
        <w:rPr>
          <w:rtl/>
        </w:rPr>
        <w:tab/>
        <w:t>الاعتقال والاحتجاز التعسفيان؛ عدم الإعادة القسرية؛ حرية التنقل؛ حرية الدين</w:t>
      </w:r>
      <w:r w:rsidRPr="006544A8">
        <w:rPr>
          <w:rFonts w:cs="Times New Roman" w:hint="cs"/>
          <w:rtl/>
        </w:rPr>
        <w:t>‬</w:t>
      </w:r>
      <w:r w:rsidRPr="006544A8">
        <w:rPr>
          <w:rFonts w:ascii="Simplified Arabic" w:hAnsi="Simplified Arabic" w:hint="cs"/>
          <w:rtl/>
        </w:rPr>
        <w:t>؛</w:t>
      </w:r>
      <w:r w:rsidRPr="006544A8">
        <w:rPr>
          <w:rtl/>
        </w:rPr>
        <w:t xml:space="preserve"> </w:t>
      </w:r>
      <w:r w:rsidRPr="006544A8">
        <w:rPr>
          <w:rFonts w:ascii="Simplified Arabic" w:hAnsi="Simplified Arabic" w:hint="cs"/>
          <w:rtl/>
        </w:rPr>
        <w:t>التمييز</w:t>
      </w:r>
      <w:r w:rsidRPr="006544A8">
        <w:rPr>
          <w:rtl/>
        </w:rPr>
        <w:t xml:space="preserve"> </w:t>
      </w:r>
    </w:p>
    <w:p w14:paraId="49272AD5" w14:textId="78331755" w:rsidR="0023192C" w:rsidRPr="006544A8" w:rsidRDefault="0023192C" w:rsidP="005A6940">
      <w:pPr>
        <w:pStyle w:val="SingleTxtGA"/>
        <w:tabs>
          <w:tab w:val="clear" w:pos="1928"/>
          <w:tab w:val="clear" w:pos="2608"/>
          <w:tab w:val="clear" w:pos="3289"/>
          <w:tab w:val="clear" w:pos="3969"/>
          <w:tab w:val="clear" w:pos="4649"/>
          <w:tab w:val="clear" w:pos="5330"/>
        </w:tabs>
        <w:ind w:left="4081" w:hanging="2153"/>
        <w:rPr>
          <w:lang w:val="ar-SA" w:eastAsia="zh-TW" w:bidi="en-GB"/>
        </w:rPr>
      </w:pPr>
      <w:r w:rsidRPr="008D799D">
        <w:rPr>
          <w:i/>
          <w:iCs/>
          <w:rtl/>
        </w:rPr>
        <w:t>مواد العهد</w:t>
      </w:r>
      <w:r w:rsidR="005A6940" w:rsidRPr="008D799D">
        <w:rPr>
          <w:rFonts w:ascii="Traditional Arabic" w:hint="cs"/>
          <w:i/>
          <w:iCs/>
          <w:rtl/>
        </w:rPr>
        <w:t>:</w:t>
      </w:r>
      <w:r w:rsidRPr="006544A8">
        <w:rPr>
          <w:rtl/>
        </w:rPr>
        <w:tab/>
      </w:r>
      <w:r w:rsidRPr="008D799D">
        <w:rPr>
          <w:rtl/>
        </w:rPr>
        <w:t>9</w:t>
      </w:r>
      <w:r w:rsidRPr="006544A8">
        <w:rPr>
          <w:rtl/>
        </w:rPr>
        <w:t xml:space="preserve"> و</w:t>
      </w:r>
      <w:r w:rsidRPr="008D799D">
        <w:rPr>
          <w:rtl/>
        </w:rPr>
        <w:t>12</w:t>
      </w:r>
      <w:r w:rsidRPr="006544A8">
        <w:rPr>
          <w:rtl/>
        </w:rPr>
        <w:t xml:space="preserve"> و</w:t>
      </w:r>
      <w:r w:rsidRPr="008D799D">
        <w:rPr>
          <w:rtl/>
        </w:rPr>
        <w:t>13</w:t>
      </w:r>
      <w:r w:rsidRPr="006544A8">
        <w:rPr>
          <w:rtl/>
        </w:rPr>
        <w:t xml:space="preserve"> و</w:t>
      </w:r>
      <w:r w:rsidRPr="008D799D">
        <w:rPr>
          <w:rtl/>
        </w:rPr>
        <w:t>18</w:t>
      </w:r>
      <w:r w:rsidRPr="006544A8">
        <w:rPr>
          <w:rtl/>
        </w:rPr>
        <w:t xml:space="preserve"> و</w:t>
      </w:r>
      <w:r w:rsidRPr="008D799D">
        <w:rPr>
          <w:rtl/>
        </w:rPr>
        <w:t>26</w:t>
      </w:r>
      <w:r w:rsidRPr="006544A8">
        <w:rPr>
          <w:rtl/>
        </w:rPr>
        <w:t xml:space="preserve"> و</w:t>
      </w:r>
      <w:r w:rsidRPr="008D799D">
        <w:rPr>
          <w:rtl/>
        </w:rPr>
        <w:t>27</w:t>
      </w:r>
      <w:r w:rsidRPr="006544A8">
        <w:rPr>
          <w:rtl/>
        </w:rPr>
        <w:t xml:space="preserve"> </w:t>
      </w:r>
    </w:p>
    <w:p w14:paraId="7EA31022" w14:textId="77777777" w:rsidR="0023192C" w:rsidRPr="006544A8" w:rsidRDefault="0023192C" w:rsidP="005A6940">
      <w:pPr>
        <w:pStyle w:val="SingleTxtGA"/>
        <w:tabs>
          <w:tab w:val="clear" w:pos="1928"/>
          <w:tab w:val="clear" w:pos="2608"/>
          <w:tab w:val="clear" w:pos="3289"/>
          <w:tab w:val="clear" w:pos="3969"/>
          <w:tab w:val="clear" w:pos="4649"/>
          <w:tab w:val="clear" w:pos="5330"/>
        </w:tabs>
        <w:ind w:left="4081" w:hanging="2153"/>
        <w:rPr>
          <w:lang w:val="en-US" w:eastAsia="zh-TW" w:bidi="en-GB"/>
        </w:rPr>
      </w:pPr>
      <w:r w:rsidRPr="008D799D">
        <w:rPr>
          <w:i/>
          <w:iCs/>
          <w:rtl/>
        </w:rPr>
        <w:t>مواد البروتوكول الاختياري:</w:t>
      </w:r>
      <w:r w:rsidRPr="006544A8">
        <w:rPr>
          <w:rtl/>
        </w:rPr>
        <w:tab/>
      </w:r>
      <w:r w:rsidRPr="008D799D">
        <w:rPr>
          <w:rtl/>
        </w:rPr>
        <w:t>5</w:t>
      </w:r>
      <w:r w:rsidRPr="006544A8">
        <w:rPr>
          <w:rFonts w:ascii="Traditional Arabic"/>
          <w:rtl/>
        </w:rPr>
        <w:t>(</w:t>
      </w:r>
      <w:r w:rsidRPr="008D799D">
        <w:rPr>
          <w:rtl/>
        </w:rPr>
        <w:t>2</w:t>
      </w:r>
      <w:r w:rsidRPr="006544A8">
        <w:rPr>
          <w:rFonts w:ascii="Traditional Arabic"/>
          <w:rtl/>
        </w:rPr>
        <w:t>)(</w:t>
      </w:r>
      <w:r w:rsidRPr="006544A8">
        <w:rPr>
          <w:rtl/>
        </w:rPr>
        <w:t>ب</w:t>
      </w:r>
      <w:r w:rsidRPr="006544A8">
        <w:rPr>
          <w:rFonts w:ascii="Traditional Arabic"/>
          <w:rtl/>
        </w:rPr>
        <w:t>)</w:t>
      </w:r>
      <w:r w:rsidRPr="006544A8">
        <w:rPr>
          <w:rtl/>
        </w:rPr>
        <w:t xml:space="preserve"> </w:t>
      </w:r>
    </w:p>
    <w:p w14:paraId="50AED1A0" w14:textId="3EF2735F" w:rsidR="0023192C" w:rsidRPr="008D799D" w:rsidRDefault="0023192C" w:rsidP="0023192C">
      <w:pPr>
        <w:pStyle w:val="SingleTxtGA"/>
        <w:rPr>
          <w:lang w:val="en-US" w:eastAsia="zh-TW" w:bidi="en-GB"/>
        </w:rPr>
      </w:pPr>
      <w:r w:rsidRPr="008D799D">
        <w:rPr>
          <w:rtl/>
        </w:rPr>
        <w:t>1</w:t>
      </w:r>
      <w:r w:rsidRPr="008D799D">
        <w:rPr>
          <w:rFonts w:ascii="Traditional Arabic"/>
          <w:spacing w:val="-2"/>
          <w:rtl/>
        </w:rPr>
        <w:t>-</w:t>
      </w:r>
      <w:r w:rsidRPr="008D799D">
        <w:rPr>
          <w:spacing w:val="-2"/>
          <w:rtl/>
        </w:rPr>
        <w:t>1</w:t>
      </w:r>
      <w:r w:rsidRPr="008D799D">
        <w:rPr>
          <w:spacing w:val="-2"/>
          <w:rtl/>
        </w:rPr>
        <w:tab/>
        <w:t>صاحب البلاغ هو تييري أميدزرو</w:t>
      </w:r>
      <w:r w:rsidR="00FF6AD6" w:rsidRPr="008D799D">
        <w:rPr>
          <w:spacing w:val="-2"/>
          <w:rtl/>
        </w:rPr>
        <w:t>،</w:t>
      </w:r>
      <w:r w:rsidRPr="008D799D">
        <w:rPr>
          <w:spacing w:val="-2"/>
          <w:rtl/>
        </w:rPr>
        <w:t xml:space="preserve"> مواطن من الاتحاد الروسي</w:t>
      </w:r>
      <w:r w:rsidR="00FF6AD6" w:rsidRPr="008D799D">
        <w:rPr>
          <w:spacing w:val="-2"/>
          <w:rtl/>
        </w:rPr>
        <w:t>،</w:t>
      </w:r>
      <w:r w:rsidRPr="008D799D">
        <w:rPr>
          <w:spacing w:val="-2"/>
          <w:rtl/>
        </w:rPr>
        <w:t xml:space="preserve"> من مواليد عام 1988</w:t>
      </w:r>
      <w:r w:rsidRPr="008D799D">
        <w:rPr>
          <w:rFonts w:ascii="Traditional Arabic"/>
          <w:spacing w:val="-2"/>
          <w:rtl/>
        </w:rPr>
        <w:t>.</w:t>
      </w:r>
      <w:r w:rsidRPr="008D799D">
        <w:rPr>
          <w:spacing w:val="-2"/>
          <w:rtl/>
        </w:rPr>
        <w:t xml:space="preserve"> وفي</w:t>
      </w:r>
      <w:r w:rsidR="00256A6C" w:rsidRPr="008D799D">
        <w:rPr>
          <w:rFonts w:hint="cs"/>
          <w:spacing w:val="-2"/>
          <w:rtl/>
        </w:rPr>
        <w:t> </w:t>
      </w:r>
      <w:r w:rsidRPr="008D799D">
        <w:rPr>
          <w:spacing w:val="-2"/>
          <w:rtl/>
        </w:rPr>
        <w:t>16</w:t>
      </w:r>
      <w:r w:rsidRPr="008E3E68">
        <w:rPr>
          <w:rtl/>
        </w:rPr>
        <w:t xml:space="preserve"> تشرين الأول/أكتوبر </w:t>
      </w:r>
      <w:r w:rsidRPr="008D799D">
        <w:rPr>
          <w:rtl/>
        </w:rPr>
        <w:t>2018</w:t>
      </w:r>
      <w:r w:rsidR="00FF6AD6">
        <w:rPr>
          <w:rtl/>
        </w:rPr>
        <w:t>،</w:t>
      </w:r>
      <w:r w:rsidRPr="008E3E68">
        <w:rPr>
          <w:rtl/>
        </w:rPr>
        <w:t xml:space="preserve"> أصدرت محكمة ف</w:t>
      </w:r>
      <w:r>
        <w:rPr>
          <w:rtl/>
        </w:rPr>
        <w:t>ي</w:t>
      </w:r>
      <w:r w:rsidRPr="008E3E68">
        <w:rPr>
          <w:rtl/>
        </w:rPr>
        <w:t xml:space="preserve">ردافسي المحلية في دوشانبي أمراً بترحيله من طاجيكستان إلى الاتحاد الروسي. </w:t>
      </w:r>
      <w:r>
        <w:rPr>
          <w:rtl/>
        </w:rPr>
        <w:t>و</w:t>
      </w:r>
      <w:r w:rsidRPr="008E3E68">
        <w:rPr>
          <w:rtl/>
        </w:rPr>
        <w:t xml:space="preserve">يدّعي أن طاجيكستان انتهكت حقوقه بموجب المادة </w:t>
      </w:r>
      <w:r w:rsidRPr="008D799D">
        <w:rPr>
          <w:rtl/>
        </w:rPr>
        <w:t>9</w:t>
      </w:r>
      <w:r w:rsidRPr="008E3E68">
        <w:rPr>
          <w:rFonts w:ascii="Traditional Arabic"/>
          <w:rtl/>
        </w:rPr>
        <w:t>(</w:t>
      </w:r>
      <w:r w:rsidRPr="008D799D">
        <w:rPr>
          <w:rtl/>
        </w:rPr>
        <w:t>1</w:t>
      </w:r>
      <w:r w:rsidRPr="008E3E68">
        <w:rPr>
          <w:rFonts w:ascii="Traditional Arabic"/>
          <w:rtl/>
        </w:rPr>
        <w:t>)</w:t>
      </w:r>
      <w:r w:rsidRPr="008E3E68">
        <w:rPr>
          <w:rtl/>
        </w:rPr>
        <w:t xml:space="preserve"> والمادة </w:t>
      </w:r>
      <w:r w:rsidRPr="008D799D">
        <w:rPr>
          <w:rtl/>
        </w:rPr>
        <w:t>13</w:t>
      </w:r>
      <w:r w:rsidR="00FF6AD6">
        <w:rPr>
          <w:rtl/>
        </w:rPr>
        <w:t>،</w:t>
      </w:r>
      <w:r w:rsidRPr="008E3E68">
        <w:rPr>
          <w:rtl/>
        </w:rPr>
        <w:t xml:space="preserve"> مقروءة على حدة وبال</w:t>
      </w:r>
      <w:r>
        <w:rPr>
          <w:rtl/>
        </w:rPr>
        <w:t>اقتران</w:t>
      </w:r>
      <w:r w:rsidRPr="008E3E68">
        <w:rPr>
          <w:rtl/>
        </w:rPr>
        <w:t xml:space="preserve"> مع المواد </w:t>
      </w:r>
      <w:r w:rsidRPr="008D799D">
        <w:rPr>
          <w:rtl/>
        </w:rPr>
        <w:t>12</w:t>
      </w:r>
      <w:r w:rsidRPr="008E3E68">
        <w:rPr>
          <w:rtl/>
        </w:rPr>
        <w:t xml:space="preserve"> و</w:t>
      </w:r>
      <w:r w:rsidRPr="008D799D">
        <w:rPr>
          <w:rtl/>
        </w:rPr>
        <w:t>18</w:t>
      </w:r>
      <w:r w:rsidRPr="008E3E68">
        <w:rPr>
          <w:rFonts w:ascii="Traditional Arabic"/>
          <w:rtl/>
        </w:rPr>
        <w:t>(</w:t>
      </w:r>
      <w:r w:rsidRPr="008D799D">
        <w:rPr>
          <w:rtl/>
        </w:rPr>
        <w:t>1</w:t>
      </w:r>
      <w:r w:rsidRPr="008E3E68">
        <w:rPr>
          <w:rFonts w:ascii="Traditional Arabic"/>
          <w:rtl/>
        </w:rPr>
        <w:t>)</w:t>
      </w:r>
      <w:r w:rsidRPr="008E3E68">
        <w:rPr>
          <w:rtl/>
        </w:rPr>
        <w:t xml:space="preserve"> و</w:t>
      </w:r>
      <w:r w:rsidRPr="008E3E68">
        <w:rPr>
          <w:rFonts w:ascii="Traditional Arabic"/>
          <w:rtl/>
        </w:rPr>
        <w:t>(</w:t>
      </w:r>
      <w:r w:rsidRPr="008D799D">
        <w:rPr>
          <w:rtl/>
        </w:rPr>
        <w:t>3</w:t>
      </w:r>
      <w:r w:rsidRPr="008E3E68">
        <w:rPr>
          <w:rFonts w:ascii="Traditional Arabic"/>
          <w:rtl/>
        </w:rPr>
        <w:t>)</w:t>
      </w:r>
      <w:r w:rsidRPr="008E3E68">
        <w:rPr>
          <w:rtl/>
        </w:rPr>
        <w:t xml:space="preserve"> و</w:t>
      </w:r>
      <w:r w:rsidRPr="008D799D">
        <w:rPr>
          <w:rtl/>
        </w:rPr>
        <w:t>26</w:t>
      </w:r>
      <w:r w:rsidRPr="008E3E68">
        <w:rPr>
          <w:rtl/>
        </w:rPr>
        <w:t xml:space="preserve"> و</w:t>
      </w:r>
      <w:r w:rsidRPr="008D799D">
        <w:rPr>
          <w:rtl/>
        </w:rPr>
        <w:t>27</w:t>
      </w:r>
      <w:r w:rsidRPr="008E3E68">
        <w:rPr>
          <w:rtl/>
        </w:rPr>
        <w:t xml:space="preserve"> من العهد</w:t>
      </w:r>
      <w:r w:rsidR="00FF6AD6">
        <w:rPr>
          <w:rtl/>
        </w:rPr>
        <w:t>،</w:t>
      </w:r>
      <w:r w:rsidRPr="008E3E68">
        <w:rPr>
          <w:rtl/>
        </w:rPr>
        <w:t xml:space="preserve"> بسبب احتجازه واعتقاله وإدانته إدارياً وفرض غرامة عليه وترحيله. </w:t>
      </w:r>
      <w:r>
        <w:rPr>
          <w:rtl/>
        </w:rPr>
        <w:t xml:space="preserve">وقد </w:t>
      </w:r>
      <w:r w:rsidRPr="008E3E68">
        <w:rPr>
          <w:rtl/>
        </w:rPr>
        <w:t xml:space="preserve">دخل البروتوكول الاختياري حيّز النفاذ بالنسبة للدولة الطرف في </w:t>
      </w:r>
      <w:r w:rsidRPr="008D799D">
        <w:rPr>
          <w:rtl/>
        </w:rPr>
        <w:t>4</w:t>
      </w:r>
      <w:r w:rsidRPr="008E3E68">
        <w:rPr>
          <w:rtl/>
        </w:rPr>
        <w:t xml:space="preserve"> نيسان/أبريل </w:t>
      </w:r>
      <w:r w:rsidRPr="008D799D">
        <w:rPr>
          <w:rtl/>
        </w:rPr>
        <w:t>1999</w:t>
      </w:r>
      <w:r w:rsidRPr="008E3E68">
        <w:rPr>
          <w:rFonts w:ascii="Traditional Arabic"/>
          <w:rtl/>
        </w:rPr>
        <w:t>.</w:t>
      </w:r>
      <w:r w:rsidRPr="008E3E68">
        <w:rPr>
          <w:rtl/>
        </w:rPr>
        <w:t xml:space="preserve"> ويمثل</w:t>
      </w:r>
      <w:r>
        <w:rPr>
          <w:rtl/>
        </w:rPr>
        <w:t xml:space="preserve"> صاحب البلاغ</w:t>
      </w:r>
      <w:r w:rsidR="00422D1C">
        <w:rPr>
          <w:rtl/>
        </w:rPr>
        <w:t xml:space="preserve"> </w:t>
      </w:r>
      <w:r w:rsidRPr="008E3E68">
        <w:rPr>
          <w:rtl/>
        </w:rPr>
        <w:t>محام.</w:t>
      </w:r>
    </w:p>
    <w:p w14:paraId="5DACC8E8" w14:textId="62ABAC1C" w:rsidR="0023192C" w:rsidRPr="008D799D" w:rsidRDefault="0023192C" w:rsidP="0023192C">
      <w:pPr>
        <w:pStyle w:val="SingleTxtGA"/>
        <w:rPr>
          <w:lang w:val="en-US" w:eastAsia="zh-TW" w:bidi="en-GB"/>
        </w:rPr>
      </w:pPr>
      <w:r w:rsidRPr="008D799D">
        <w:rPr>
          <w:rtl/>
        </w:rPr>
        <w:t>1</w:t>
      </w:r>
      <w:r w:rsidRPr="008E3E68">
        <w:rPr>
          <w:rFonts w:ascii="Traditional Arabic"/>
          <w:rtl/>
        </w:rPr>
        <w:t>-</w:t>
      </w:r>
      <w:r w:rsidRPr="008D799D">
        <w:rPr>
          <w:rtl/>
        </w:rPr>
        <w:t>2</w:t>
      </w:r>
      <w:r w:rsidRPr="008E3E68">
        <w:rPr>
          <w:rtl/>
        </w:rPr>
        <w:tab/>
      </w:r>
      <w:r>
        <w:rPr>
          <w:rtl/>
        </w:rPr>
        <w:t>و</w:t>
      </w:r>
      <w:r w:rsidRPr="008E3E68">
        <w:rPr>
          <w:rtl/>
        </w:rPr>
        <w:t xml:space="preserve">في </w:t>
      </w:r>
      <w:r w:rsidRPr="008D799D">
        <w:rPr>
          <w:rtl/>
        </w:rPr>
        <w:t>23</w:t>
      </w:r>
      <w:r w:rsidRPr="008E3E68">
        <w:rPr>
          <w:rtl/>
        </w:rPr>
        <w:t xml:space="preserve"> </w:t>
      </w:r>
      <w:r>
        <w:rPr>
          <w:rtl/>
        </w:rPr>
        <w:t>تشرين الأول</w:t>
      </w:r>
      <w:r w:rsidRPr="008E3E68">
        <w:rPr>
          <w:rtl/>
        </w:rPr>
        <w:t>/</w:t>
      </w:r>
      <w:r>
        <w:rPr>
          <w:rtl/>
        </w:rPr>
        <w:t>أكتوبر</w:t>
      </w:r>
      <w:r w:rsidRPr="008E3E68">
        <w:rPr>
          <w:rtl/>
        </w:rPr>
        <w:t xml:space="preserve"> </w:t>
      </w:r>
      <w:r w:rsidRPr="008D799D">
        <w:rPr>
          <w:rtl/>
        </w:rPr>
        <w:t>2018</w:t>
      </w:r>
      <w:r w:rsidR="00FF6AD6">
        <w:rPr>
          <w:rtl/>
        </w:rPr>
        <w:t>،</w:t>
      </w:r>
      <w:r w:rsidRPr="008E3E68">
        <w:rPr>
          <w:rtl/>
        </w:rPr>
        <w:t xml:space="preserve"> طلبت اللجنة إلى الدولة الطرف</w:t>
      </w:r>
      <w:r w:rsidR="00FF6AD6">
        <w:rPr>
          <w:rtl/>
        </w:rPr>
        <w:t>،</w:t>
      </w:r>
      <w:r w:rsidRPr="008E3E68">
        <w:rPr>
          <w:rtl/>
        </w:rPr>
        <w:t xml:space="preserve"> عملاً بالمادة </w:t>
      </w:r>
      <w:r w:rsidRPr="008D799D">
        <w:rPr>
          <w:rtl/>
        </w:rPr>
        <w:t>94</w:t>
      </w:r>
      <w:r w:rsidRPr="008E3E68">
        <w:rPr>
          <w:rtl/>
        </w:rPr>
        <w:t xml:space="preserve"> من نظامها الداخلي</w:t>
      </w:r>
      <w:r w:rsidR="00FF6AD6">
        <w:rPr>
          <w:rtl/>
        </w:rPr>
        <w:t>،</w:t>
      </w:r>
      <w:r w:rsidRPr="008E3E68">
        <w:rPr>
          <w:rtl/>
        </w:rPr>
        <w:t xml:space="preserve"> عن طريق مقر</w:t>
      </w:r>
      <w:r>
        <w:rPr>
          <w:rtl/>
        </w:rPr>
        <w:t>ّ</w:t>
      </w:r>
      <w:r w:rsidRPr="008E3E68">
        <w:rPr>
          <w:rtl/>
        </w:rPr>
        <w:t xml:space="preserve">رها الخاص المعني بالبلاغات الجديدة والتدابير </w:t>
      </w:r>
      <w:r w:rsidRPr="008E3E68">
        <w:rPr>
          <w:rtl/>
        </w:rPr>
        <w:lastRenderedPageBreak/>
        <w:t>المؤقتة</w:t>
      </w:r>
      <w:r w:rsidR="00FF6AD6">
        <w:rPr>
          <w:rtl/>
        </w:rPr>
        <w:t>،</w:t>
      </w:r>
      <w:r w:rsidRPr="008E3E68">
        <w:rPr>
          <w:rtl/>
        </w:rPr>
        <w:t xml:space="preserve"> </w:t>
      </w:r>
      <w:r>
        <w:rPr>
          <w:rtl/>
        </w:rPr>
        <w:t xml:space="preserve">الامتناع عن </w:t>
      </w:r>
      <w:r w:rsidRPr="008E3E68">
        <w:rPr>
          <w:rtl/>
        </w:rPr>
        <w:t>ترحيلِ صاحب البلاغ إلى الاتحاد الروسي ريثما تفرغ اللجنة من النظر في قضيته</w:t>
      </w:r>
      <w:r w:rsidR="00FF6AD6">
        <w:rPr>
          <w:vertAlign w:val="superscript"/>
          <w:rtl/>
        </w:rPr>
        <w:t>(</w:t>
      </w:r>
      <w:r w:rsidR="008D799D" w:rsidRPr="008D799D">
        <w:rPr>
          <w:rFonts w:ascii="Simplified Arabic" w:hAnsi="Simplified Arabic"/>
          <w:vertAlign w:val="superscript"/>
          <w:lang w:val="en-US"/>
        </w:rPr>
        <w:footnoteReference w:id="4"/>
      </w:r>
      <w:r w:rsidR="00FF6AD6">
        <w:rPr>
          <w:vertAlign w:val="superscript"/>
          <w:rtl/>
        </w:rPr>
        <w:t>)</w:t>
      </w:r>
      <w:r w:rsidRPr="008E3E68">
        <w:rPr>
          <w:rtl/>
        </w:rPr>
        <w:t>.</w:t>
      </w:r>
      <w:bookmarkStart w:id="0" w:name="_Hlk14967300"/>
      <w:bookmarkEnd w:id="0"/>
    </w:p>
    <w:p w14:paraId="48A447B2" w14:textId="77777777" w:rsidR="0023192C" w:rsidRPr="008D799D" w:rsidRDefault="0023192C" w:rsidP="0023192C">
      <w:pPr>
        <w:pStyle w:val="H23GA"/>
        <w:rPr>
          <w:lang w:val="ar-SA" w:eastAsia="zh-TW" w:bidi="en-GB"/>
        </w:rPr>
      </w:pPr>
      <w:r w:rsidRPr="008D799D">
        <w:rPr>
          <w:rtl/>
        </w:rPr>
        <w:tab/>
      </w:r>
      <w:r w:rsidRPr="008D799D">
        <w:rPr>
          <w:rtl/>
        </w:rPr>
        <w:tab/>
        <w:t>الوقائع كما عرضها صاحب البلاغ</w:t>
      </w:r>
    </w:p>
    <w:p w14:paraId="615F4237" w14:textId="370A52FF" w:rsidR="0023192C" w:rsidRPr="008E3E68" w:rsidRDefault="0023192C" w:rsidP="0023192C">
      <w:pPr>
        <w:pStyle w:val="SingleTxtGA"/>
        <w:rPr>
          <w:lang w:val="ar-SA" w:eastAsia="zh-TW" w:bidi="en-GB"/>
        </w:rPr>
      </w:pPr>
      <w:r w:rsidRPr="008D799D">
        <w:rPr>
          <w:rtl/>
        </w:rPr>
        <w:t>2</w:t>
      </w:r>
      <w:r w:rsidRPr="008E3E68">
        <w:rPr>
          <w:rFonts w:ascii="Traditional Arabic"/>
          <w:rtl/>
        </w:rPr>
        <w:t>-</w:t>
      </w:r>
      <w:r w:rsidRPr="008D799D">
        <w:rPr>
          <w:rtl/>
        </w:rPr>
        <w:t>1</w:t>
      </w:r>
      <w:r w:rsidRPr="008E3E68">
        <w:rPr>
          <w:rtl/>
        </w:rPr>
        <w:tab/>
        <w:t>صاحب البلاغ مواطن روسي من شهود يهوه يمارس</w:t>
      </w:r>
      <w:r>
        <w:rPr>
          <w:rtl/>
        </w:rPr>
        <w:t xml:space="preserve"> شعائر</w:t>
      </w:r>
      <w:r w:rsidRPr="008E3E68">
        <w:rPr>
          <w:rtl/>
        </w:rPr>
        <w:t xml:space="preserve"> ديانته. وهو يعيش في طاجيكستان بتصريح إقامة ساري المفعول منذ تموز/يولي</w:t>
      </w:r>
      <w:r>
        <w:rPr>
          <w:rtl/>
        </w:rPr>
        <w:t xml:space="preserve">ه </w:t>
      </w:r>
      <w:r w:rsidRPr="008D799D">
        <w:rPr>
          <w:rtl/>
        </w:rPr>
        <w:t>2017</w:t>
      </w:r>
      <w:r w:rsidR="00FF6AD6">
        <w:rPr>
          <w:rtl/>
        </w:rPr>
        <w:t>،</w:t>
      </w:r>
      <w:r w:rsidRPr="008E3E68">
        <w:rPr>
          <w:rtl/>
        </w:rPr>
        <w:t xml:space="preserve"> ويقيم في مدينة دوشانبي. </w:t>
      </w:r>
    </w:p>
    <w:p w14:paraId="1E7C2DEC" w14:textId="139698AB" w:rsidR="0023192C" w:rsidRPr="007748F2" w:rsidRDefault="0023192C" w:rsidP="0023192C">
      <w:pPr>
        <w:pStyle w:val="SingleTxtGA"/>
        <w:rPr>
          <w:spacing w:val="-4"/>
          <w:lang w:val="ar-SA" w:eastAsia="zh-TW" w:bidi="en-GB"/>
        </w:rPr>
      </w:pPr>
      <w:r w:rsidRPr="008D799D">
        <w:rPr>
          <w:rtl/>
        </w:rPr>
        <w:t>2</w:t>
      </w:r>
      <w:r w:rsidRPr="008E3E68">
        <w:rPr>
          <w:rFonts w:ascii="Traditional Arabic"/>
          <w:rtl/>
        </w:rPr>
        <w:t>-</w:t>
      </w:r>
      <w:r w:rsidRPr="008D799D">
        <w:rPr>
          <w:rtl/>
        </w:rPr>
        <w:t>2</w:t>
      </w:r>
      <w:r w:rsidRPr="008E3E68">
        <w:rPr>
          <w:rtl/>
        </w:rPr>
        <w:tab/>
      </w:r>
      <w:r>
        <w:rPr>
          <w:rtl/>
        </w:rPr>
        <w:t>و</w:t>
      </w:r>
      <w:r w:rsidRPr="008E3E68">
        <w:rPr>
          <w:rtl/>
        </w:rPr>
        <w:t xml:space="preserve">يوضح صاحب البلاغ أن وزارة الثقافة الطاجيكية (التي خلفتها لجنة الشؤون الدينية) </w:t>
      </w:r>
      <w:r>
        <w:rPr>
          <w:rtl/>
        </w:rPr>
        <w:t xml:space="preserve">أوقفت من </w:t>
      </w:r>
      <w:r w:rsidRPr="000432EF">
        <w:rPr>
          <w:spacing w:val="-2"/>
          <w:rtl/>
        </w:rPr>
        <w:t xml:space="preserve">جانب واحد أنشطة الكيان القانوني الوطني لشهود يهوه في طاجيكستان في </w:t>
      </w:r>
      <w:r w:rsidRPr="008D799D">
        <w:rPr>
          <w:spacing w:val="-2"/>
          <w:rtl/>
        </w:rPr>
        <w:t>11</w:t>
      </w:r>
      <w:r w:rsidRPr="000432EF">
        <w:rPr>
          <w:spacing w:val="-2"/>
          <w:rtl/>
        </w:rPr>
        <w:t xml:space="preserve"> تشرين الأول/أكتوبر </w:t>
      </w:r>
      <w:r w:rsidRPr="008D799D">
        <w:rPr>
          <w:spacing w:val="-2"/>
          <w:rtl/>
        </w:rPr>
        <w:t>2007</w:t>
      </w:r>
      <w:r w:rsidR="00FF6AD6">
        <w:rPr>
          <w:spacing w:val="-2"/>
          <w:rtl/>
        </w:rPr>
        <w:t>،</w:t>
      </w:r>
      <w:r w:rsidRPr="008E3E68">
        <w:rPr>
          <w:rtl/>
        </w:rPr>
        <w:t xml:space="preserve"> مدّعيةً أن شهود يهوه انتهكوا التشريعات المحلية بمشاركة الأدبيات الدينية علناً مع أشخاص مهتمين. </w:t>
      </w:r>
      <w:r w:rsidRPr="007748F2">
        <w:rPr>
          <w:spacing w:val="-4"/>
          <w:rtl/>
        </w:rPr>
        <w:t>ويُضيف صاحبُ البلاغ أن شهود يهوه اضطروا لذلك الى الاجتماع سرّاً في بيوتٍ خاصة لممارسة عقيدتهم.</w:t>
      </w:r>
    </w:p>
    <w:p w14:paraId="1CFA6677" w14:textId="798EBCF1" w:rsidR="0023192C" w:rsidRPr="008E3E68" w:rsidRDefault="0023192C" w:rsidP="0023192C">
      <w:pPr>
        <w:pStyle w:val="SingleTxtGA"/>
        <w:rPr>
          <w:lang w:val="ar-SA" w:eastAsia="zh-TW" w:bidi="en-GB"/>
        </w:rPr>
      </w:pPr>
      <w:r w:rsidRPr="008D799D">
        <w:rPr>
          <w:rtl/>
        </w:rPr>
        <w:t>2</w:t>
      </w:r>
      <w:r w:rsidRPr="008E3E68">
        <w:rPr>
          <w:rFonts w:ascii="Traditional Arabic"/>
          <w:rtl/>
        </w:rPr>
        <w:t>-</w:t>
      </w:r>
      <w:r w:rsidRPr="008D799D">
        <w:rPr>
          <w:rtl/>
        </w:rPr>
        <w:t>3</w:t>
      </w:r>
      <w:r w:rsidRPr="008E3E68">
        <w:rPr>
          <w:rtl/>
        </w:rPr>
        <w:tab/>
      </w:r>
      <w:r>
        <w:rPr>
          <w:rtl/>
        </w:rPr>
        <w:t>و</w:t>
      </w:r>
      <w:r w:rsidRPr="008E3E68">
        <w:rPr>
          <w:rtl/>
        </w:rPr>
        <w:t xml:space="preserve">في مساء يوم </w:t>
      </w:r>
      <w:r w:rsidRPr="008D799D">
        <w:rPr>
          <w:rtl/>
        </w:rPr>
        <w:t>4</w:t>
      </w:r>
      <w:r w:rsidRPr="008E3E68">
        <w:rPr>
          <w:rtl/>
        </w:rPr>
        <w:t xml:space="preserve"> </w:t>
      </w:r>
      <w:r>
        <w:rPr>
          <w:rtl/>
        </w:rPr>
        <w:t>تشرين الأول</w:t>
      </w:r>
      <w:r w:rsidRPr="008E3E68">
        <w:rPr>
          <w:rtl/>
        </w:rPr>
        <w:t>/</w:t>
      </w:r>
      <w:r>
        <w:rPr>
          <w:rtl/>
        </w:rPr>
        <w:t>أكتوبر</w:t>
      </w:r>
      <w:r w:rsidRPr="008E3E68">
        <w:rPr>
          <w:rtl/>
        </w:rPr>
        <w:t xml:space="preserve"> </w:t>
      </w:r>
      <w:r w:rsidRPr="008D799D">
        <w:rPr>
          <w:rtl/>
        </w:rPr>
        <w:t>2018</w:t>
      </w:r>
      <w:r w:rsidR="00FF6AD6">
        <w:rPr>
          <w:rtl/>
        </w:rPr>
        <w:t>،</w:t>
      </w:r>
      <w:r w:rsidRPr="008E3E68">
        <w:rPr>
          <w:rtl/>
        </w:rPr>
        <w:t xml:space="preserve"> كان صاحب البلاغ و</w:t>
      </w:r>
      <w:r w:rsidRPr="008D799D">
        <w:rPr>
          <w:rtl/>
        </w:rPr>
        <w:t>17</w:t>
      </w:r>
      <w:r w:rsidRPr="008E3E68">
        <w:rPr>
          <w:rtl/>
        </w:rPr>
        <w:t xml:space="preserve"> </w:t>
      </w:r>
      <w:r>
        <w:rPr>
          <w:rtl/>
        </w:rPr>
        <w:t xml:space="preserve">شخصاً آخر </w:t>
      </w:r>
      <w:r w:rsidRPr="008E3E68">
        <w:rPr>
          <w:rtl/>
        </w:rPr>
        <w:t>من شهود يهوه مجتمعين سلمياً لممارسة طقوس العبادة في منزل ر.</w:t>
      </w:r>
      <w:r w:rsidR="007748F2">
        <w:rPr>
          <w:rFonts w:hint="cs"/>
          <w:rtl/>
        </w:rPr>
        <w:t xml:space="preserve"> </w:t>
      </w:r>
      <w:r w:rsidRPr="008E3E68">
        <w:rPr>
          <w:rtl/>
        </w:rPr>
        <w:t>ن.</w:t>
      </w:r>
      <w:r w:rsidR="007748F2">
        <w:rPr>
          <w:rFonts w:hint="cs"/>
          <w:rtl/>
        </w:rPr>
        <w:t xml:space="preserve"> </w:t>
      </w:r>
      <w:r w:rsidRPr="008E3E68">
        <w:rPr>
          <w:rtl/>
        </w:rPr>
        <w:t xml:space="preserve">د. في دوشانبي. ويُفيد صاحب البلاغ بأن مجموعة من ضباط </w:t>
      </w:r>
      <w:r>
        <w:rPr>
          <w:rtl/>
        </w:rPr>
        <w:t xml:space="preserve">اللجنة الحكومية </w:t>
      </w:r>
      <w:r w:rsidRPr="008E3E68">
        <w:rPr>
          <w:rtl/>
        </w:rPr>
        <w:t>للأمن القومي في طاجيكستان طرق</w:t>
      </w:r>
      <w:r>
        <w:rPr>
          <w:rtl/>
        </w:rPr>
        <w:t>ت</w:t>
      </w:r>
      <w:r w:rsidRPr="008E3E68">
        <w:rPr>
          <w:rtl/>
        </w:rPr>
        <w:t xml:space="preserve"> على باب الشقة بعد فترة وجيزة من بدء شعائرهم الدينية</w:t>
      </w:r>
      <w:r w:rsidR="00FF6AD6">
        <w:rPr>
          <w:rtl/>
        </w:rPr>
        <w:t>،</w:t>
      </w:r>
      <w:r w:rsidRPr="008E3E68">
        <w:rPr>
          <w:rtl/>
        </w:rPr>
        <w:t xml:space="preserve"> مطالبةً بالدخول. فرفضت ر.</w:t>
      </w:r>
      <w:r w:rsidR="007748F2">
        <w:rPr>
          <w:rFonts w:hint="cs"/>
          <w:rtl/>
        </w:rPr>
        <w:t xml:space="preserve"> </w:t>
      </w:r>
      <w:r w:rsidRPr="008E3E68">
        <w:rPr>
          <w:rtl/>
        </w:rPr>
        <w:t>ن.</w:t>
      </w:r>
      <w:r w:rsidR="007748F2">
        <w:rPr>
          <w:rFonts w:hint="cs"/>
          <w:rtl/>
        </w:rPr>
        <w:t xml:space="preserve"> </w:t>
      </w:r>
      <w:r w:rsidRPr="008E3E68">
        <w:rPr>
          <w:rtl/>
        </w:rPr>
        <w:t>د. فتحَ الباب. ويذكر صاحب البلاغ أن الضباط استمروا في الطرق على الباب حتى صباح اليوم التالي</w:t>
      </w:r>
      <w:r w:rsidR="00FF6AD6">
        <w:rPr>
          <w:rtl/>
        </w:rPr>
        <w:t>،</w:t>
      </w:r>
      <w:r w:rsidRPr="008E3E68">
        <w:rPr>
          <w:rtl/>
        </w:rPr>
        <w:t xml:space="preserve"> حيث حاول صاحب البلاغ و</w:t>
      </w:r>
      <w:r>
        <w:rPr>
          <w:rtl/>
        </w:rPr>
        <w:t xml:space="preserve">آخرون من </w:t>
      </w:r>
      <w:r w:rsidRPr="00BC5AF2">
        <w:rPr>
          <w:spacing w:val="-6"/>
          <w:rtl/>
        </w:rPr>
        <w:t xml:space="preserve">شهود يهوه </w:t>
      </w:r>
      <w:r w:rsidR="00FF6AD6">
        <w:rPr>
          <w:spacing w:val="-6"/>
          <w:rtl/>
        </w:rPr>
        <w:t>،</w:t>
      </w:r>
      <w:r w:rsidRPr="00BC5AF2">
        <w:rPr>
          <w:spacing w:val="-6"/>
          <w:rtl/>
        </w:rPr>
        <w:t xml:space="preserve"> الذين لم يكن لديهم خيار آخر</w:t>
      </w:r>
      <w:r w:rsidR="00FF6AD6">
        <w:rPr>
          <w:spacing w:val="-6"/>
          <w:rtl/>
        </w:rPr>
        <w:t>،</w:t>
      </w:r>
      <w:r w:rsidRPr="00BC5AF2">
        <w:rPr>
          <w:spacing w:val="-6"/>
          <w:rtl/>
        </w:rPr>
        <w:t xml:space="preserve"> مغادرة الشقة بُعيد الثامنة صباحاً في </w:t>
      </w:r>
      <w:r w:rsidRPr="008D799D">
        <w:rPr>
          <w:spacing w:val="-6"/>
          <w:rtl/>
        </w:rPr>
        <w:t>5</w:t>
      </w:r>
      <w:r w:rsidRPr="00BC5AF2">
        <w:rPr>
          <w:spacing w:val="-6"/>
          <w:rtl/>
        </w:rPr>
        <w:t xml:space="preserve"> تشرين الأول/أكتوبر </w:t>
      </w:r>
      <w:r w:rsidRPr="008D799D">
        <w:rPr>
          <w:spacing w:val="-6"/>
          <w:rtl/>
        </w:rPr>
        <w:t>2018</w:t>
      </w:r>
      <w:r w:rsidRPr="008E3E68">
        <w:rPr>
          <w:rFonts w:ascii="Traditional Arabic"/>
          <w:rtl/>
        </w:rPr>
        <w:t>.</w:t>
      </w:r>
      <w:r w:rsidRPr="008E3E68">
        <w:rPr>
          <w:rtl/>
        </w:rPr>
        <w:t xml:space="preserve"> فألقى ضباط </w:t>
      </w:r>
      <w:r>
        <w:rPr>
          <w:rtl/>
        </w:rPr>
        <w:t>اللجنة الحكومية</w:t>
      </w:r>
      <w:r w:rsidR="00BC5AF2">
        <w:rPr>
          <w:rFonts w:hint="cs"/>
          <w:rtl/>
        </w:rPr>
        <w:t xml:space="preserve"> </w:t>
      </w:r>
      <w:r w:rsidRPr="008E3E68">
        <w:rPr>
          <w:rtl/>
        </w:rPr>
        <w:t>القبض على عشرة منهم</w:t>
      </w:r>
      <w:r w:rsidR="00FF6AD6">
        <w:rPr>
          <w:rtl/>
        </w:rPr>
        <w:t>،</w:t>
      </w:r>
      <w:r w:rsidRPr="008E3E68">
        <w:rPr>
          <w:rtl/>
        </w:rPr>
        <w:t xml:space="preserve"> بمن فيهم صاحب البلاغ</w:t>
      </w:r>
      <w:r w:rsidR="00FF6AD6">
        <w:rPr>
          <w:rtl/>
        </w:rPr>
        <w:t>،</w:t>
      </w:r>
      <w:r w:rsidRPr="008E3E68">
        <w:rPr>
          <w:rtl/>
        </w:rPr>
        <w:t xml:space="preserve"> واقتادوهم للاستجواب في مقرّ </w:t>
      </w:r>
      <w:r>
        <w:rPr>
          <w:rtl/>
        </w:rPr>
        <w:t xml:space="preserve">اللجنة الحكومية </w:t>
      </w:r>
      <w:r w:rsidRPr="008E3E68">
        <w:rPr>
          <w:rtl/>
        </w:rPr>
        <w:t xml:space="preserve">في اليوم نفسه. </w:t>
      </w:r>
    </w:p>
    <w:p w14:paraId="4D39B1C1" w14:textId="3463E47A" w:rsidR="0023192C" w:rsidRPr="008E3E68" w:rsidRDefault="0023192C" w:rsidP="0023192C">
      <w:pPr>
        <w:pStyle w:val="SingleTxtGA"/>
        <w:rPr>
          <w:lang w:val="ar-SA" w:eastAsia="zh-TW" w:bidi="en-GB"/>
        </w:rPr>
      </w:pPr>
      <w:r w:rsidRPr="008D799D">
        <w:rPr>
          <w:rtl/>
        </w:rPr>
        <w:lastRenderedPageBreak/>
        <w:t>2</w:t>
      </w:r>
      <w:r w:rsidRPr="008E3E68">
        <w:rPr>
          <w:rFonts w:ascii="Traditional Arabic"/>
          <w:rtl/>
        </w:rPr>
        <w:t>-</w:t>
      </w:r>
      <w:r w:rsidRPr="008D799D">
        <w:rPr>
          <w:rtl/>
        </w:rPr>
        <w:t>4</w:t>
      </w:r>
      <w:r w:rsidRPr="008E3E68">
        <w:rPr>
          <w:rtl/>
        </w:rPr>
        <w:tab/>
      </w:r>
      <w:r>
        <w:rPr>
          <w:rtl/>
        </w:rPr>
        <w:t>و</w:t>
      </w:r>
      <w:r w:rsidRPr="008E3E68">
        <w:rPr>
          <w:rtl/>
        </w:rPr>
        <w:t xml:space="preserve">يدّعي صاحبُ البلاغ أنه تعرّض أثناء الاستجواب للتهديد من جانب ضباطٍ من </w:t>
      </w:r>
      <w:r>
        <w:rPr>
          <w:rtl/>
        </w:rPr>
        <w:t>ال</w:t>
      </w:r>
      <w:r w:rsidRPr="008E3E68">
        <w:rPr>
          <w:rtl/>
        </w:rPr>
        <w:t xml:space="preserve">لجنة </w:t>
      </w:r>
      <w:r>
        <w:rPr>
          <w:rtl/>
        </w:rPr>
        <w:t>الحكومية</w:t>
      </w:r>
      <w:r w:rsidR="00422D1C">
        <w:rPr>
          <w:rtl/>
        </w:rPr>
        <w:t xml:space="preserve"> </w:t>
      </w:r>
      <w:r w:rsidRPr="008E3E68">
        <w:rPr>
          <w:rtl/>
        </w:rPr>
        <w:t xml:space="preserve">للأمن القومي. </w:t>
      </w:r>
      <w:r>
        <w:rPr>
          <w:rtl/>
        </w:rPr>
        <w:t>و</w:t>
      </w:r>
      <w:r w:rsidRPr="008E3E68">
        <w:rPr>
          <w:rtl/>
        </w:rPr>
        <w:t>يزعم أنّ الضباط قالوا</w:t>
      </w:r>
      <w:r w:rsidR="00FF6AD6">
        <w:rPr>
          <w:rtl/>
        </w:rPr>
        <w:t>،</w:t>
      </w:r>
      <w:r w:rsidRPr="008E3E68">
        <w:rPr>
          <w:rtl/>
        </w:rPr>
        <w:t xml:space="preserve"> </w:t>
      </w:r>
      <w:r>
        <w:rPr>
          <w:rtl/>
        </w:rPr>
        <w:t>ك</w:t>
      </w:r>
      <w:r w:rsidRPr="008E3E68">
        <w:rPr>
          <w:rtl/>
        </w:rPr>
        <w:t>ون نشاطه الديني محظّ</w:t>
      </w:r>
      <w:r>
        <w:rPr>
          <w:rtl/>
        </w:rPr>
        <w:t>و</w:t>
      </w:r>
      <w:r w:rsidRPr="008E3E68">
        <w:rPr>
          <w:rtl/>
        </w:rPr>
        <w:t>راً</w:t>
      </w:r>
      <w:r w:rsidR="00FF6AD6">
        <w:rPr>
          <w:rtl/>
        </w:rPr>
        <w:t>،</w:t>
      </w:r>
      <w:r w:rsidRPr="008E3E68">
        <w:rPr>
          <w:rtl/>
        </w:rPr>
        <w:t xml:space="preserve"> </w:t>
      </w:r>
      <w:r>
        <w:rPr>
          <w:rtl/>
        </w:rPr>
        <w:t xml:space="preserve">إنهم </w:t>
      </w:r>
      <w:r w:rsidRPr="008E3E68">
        <w:rPr>
          <w:rtl/>
        </w:rPr>
        <w:t>سيشرعون في إجراءات</w:t>
      </w:r>
      <w:r>
        <w:rPr>
          <w:rtl/>
        </w:rPr>
        <w:t>ٍ</w:t>
      </w:r>
      <w:r w:rsidRPr="008E3E68">
        <w:rPr>
          <w:rtl/>
        </w:rPr>
        <w:t xml:space="preserve"> قانونية ضد</w:t>
      </w:r>
      <w:r>
        <w:rPr>
          <w:rtl/>
        </w:rPr>
        <w:t>ّ</w:t>
      </w:r>
      <w:r w:rsidRPr="008E3E68">
        <w:rPr>
          <w:rtl/>
        </w:rPr>
        <w:t>ه لترحيل</w:t>
      </w:r>
      <w:r>
        <w:rPr>
          <w:rtl/>
        </w:rPr>
        <w:t>ِ</w:t>
      </w:r>
      <w:r w:rsidRPr="008E3E68">
        <w:rPr>
          <w:rtl/>
        </w:rPr>
        <w:t>ه إلى الاتحاد الروسي</w:t>
      </w:r>
      <w:r w:rsidR="00FF6AD6">
        <w:rPr>
          <w:rtl/>
        </w:rPr>
        <w:t>،</w:t>
      </w:r>
      <w:r w:rsidRPr="008E3E68">
        <w:rPr>
          <w:rtl/>
        </w:rPr>
        <w:t xml:space="preserve"> حيث سيلاحق</w:t>
      </w:r>
      <w:r>
        <w:rPr>
          <w:rtl/>
        </w:rPr>
        <w:t>ُ</w:t>
      </w:r>
      <w:r w:rsidRPr="008E3E68">
        <w:rPr>
          <w:rtl/>
        </w:rPr>
        <w:t>ه جهاز</w:t>
      </w:r>
      <w:r>
        <w:rPr>
          <w:rtl/>
        </w:rPr>
        <w:t>ُ</w:t>
      </w:r>
      <w:r w:rsidRPr="008E3E68">
        <w:rPr>
          <w:rtl/>
        </w:rPr>
        <w:t xml:space="preserve"> الأمن الاتحادي بتهمة</w:t>
      </w:r>
      <w:r>
        <w:rPr>
          <w:rtl/>
        </w:rPr>
        <w:t>ِ</w:t>
      </w:r>
      <w:r w:rsidRPr="008E3E68">
        <w:rPr>
          <w:rtl/>
        </w:rPr>
        <w:t xml:space="preserve"> التطرف الديني. ويُبلغ صاحب البلاغ اللجنة المعنية بحقوق الإنسان بأنه كان واضحاً له أن موظفي </w:t>
      </w:r>
      <w:r>
        <w:rPr>
          <w:rtl/>
        </w:rPr>
        <w:t>ال</w:t>
      </w:r>
      <w:r w:rsidRPr="008E3E68">
        <w:rPr>
          <w:rtl/>
        </w:rPr>
        <w:t xml:space="preserve">لجنة </w:t>
      </w:r>
      <w:r>
        <w:rPr>
          <w:rtl/>
        </w:rPr>
        <w:t>الحكومية</w:t>
      </w:r>
      <w:r w:rsidRPr="008E3E68">
        <w:rPr>
          <w:rtl/>
        </w:rPr>
        <w:t xml:space="preserve"> يعملون بالتعاون مع شرطة الهجرة. وبعد الاستجواب</w:t>
      </w:r>
      <w:r w:rsidR="00FF6AD6">
        <w:rPr>
          <w:rtl/>
        </w:rPr>
        <w:t>،</w:t>
      </w:r>
      <w:r w:rsidRPr="008E3E68">
        <w:rPr>
          <w:rtl/>
        </w:rPr>
        <w:t xml:space="preserve"> أصرّت </w:t>
      </w:r>
      <w:r>
        <w:rPr>
          <w:rtl/>
        </w:rPr>
        <w:t>ال</w:t>
      </w:r>
      <w:r w:rsidRPr="008E3E68">
        <w:rPr>
          <w:rtl/>
        </w:rPr>
        <w:t xml:space="preserve">لجنة </w:t>
      </w:r>
      <w:r>
        <w:rPr>
          <w:rtl/>
        </w:rPr>
        <w:t xml:space="preserve">الحكومية </w:t>
      </w:r>
      <w:r w:rsidRPr="008E3E68">
        <w:rPr>
          <w:rtl/>
        </w:rPr>
        <w:t xml:space="preserve">على تفتيش المنزل في العنوان المسجّل في بطاقة إقامة صاحب البلاغ للتأكّد من أنه يسكن هناك. وقد جرت عملية التفتيش بعد ظهر ذلك اليوم بحضور الشخص الذي يتقاسم الشقة مع صاحب البلاغ. </w:t>
      </w:r>
      <w:r>
        <w:rPr>
          <w:rtl/>
        </w:rPr>
        <w:t>و</w:t>
      </w:r>
      <w:r w:rsidRPr="008E3E68">
        <w:rPr>
          <w:rtl/>
        </w:rPr>
        <w:t>بعد عملية التفتيش</w:t>
      </w:r>
      <w:r w:rsidR="00FF6AD6">
        <w:rPr>
          <w:rtl/>
        </w:rPr>
        <w:t>،</w:t>
      </w:r>
      <w:r w:rsidRPr="008E3E68">
        <w:rPr>
          <w:rtl/>
        </w:rPr>
        <w:t xml:space="preserve"> أُطلق سراح صاحب البلاغ في وقت متأخر من ذلك اليوم</w:t>
      </w:r>
      <w:r w:rsidR="00FF6AD6">
        <w:rPr>
          <w:rtl/>
        </w:rPr>
        <w:t>،</w:t>
      </w:r>
      <w:r w:rsidRPr="008E3E68">
        <w:rPr>
          <w:rtl/>
        </w:rPr>
        <w:t xml:space="preserve"> لكن احتفظت </w:t>
      </w:r>
      <w:r>
        <w:rPr>
          <w:rtl/>
        </w:rPr>
        <w:t>اللجنة الحكومية</w:t>
      </w:r>
      <w:r w:rsidR="00E66F61">
        <w:rPr>
          <w:rFonts w:hint="cs"/>
          <w:rtl/>
        </w:rPr>
        <w:t xml:space="preserve"> </w:t>
      </w:r>
      <w:r w:rsidRPr="008E3E68">
        <w:rPr>
          <w:rtl/>
        </w:rPr>
        <w:t>بجواز سفره وأخبرت محاميه بأنه سيُستدعى لمزيد من الاستجواب في الأيام التالية.</w:t>
      </w:r>
    </w:p>
    <w:p w14:paraId="396520BD" w14:textId="12B84369" w:rsidR="0023192C" w:rsidRPr="00D80BA4" w:rsidRDefault="0023192C" w:rsidP="008D799D">
      <w:pPr>
        <w:pStyle w:val="SingleTxtGA"/>
        <w:spacing w:line="350" w:lineRule="exact"/>
        <w:rPr>
          <w:rtl/>
          <w:lang w:val="en-US" w:eastAsia="zh-TW"/>
        </w:rPr>
      </w:pPr>
      <w:r w:rsidRPr="008D799D">
        <w:rPr>
          <w:rtl/>
        </w:rPr>
        <w:t>2</w:t>
      </w:r>
      <w:r w:rsidRPr="008E3E68">
        <w:rPr>
          <w:rFonts w:ascii="Traditional Arabic"/>
          <w:rtl/>
        </w:rPr>
        <w:t>-</w:t>
      </w:r>
      <w:r w:rsidRPr="008D799D">
        <w:rPr>
          <w:rtl/>
        </w:rPr>
        <w:t>5</w:t>
      </w:r>
      <w:r w:rsidRPr="008E3E68">
        <w:rPr>
          <w:rtl/>
        </w:rPr>
        <w:tab/>
      </w:r>
      <w:r>
        <w:rPr>
          <w:rtl/>
        </w:rPr>
        <w:t>و</w:t>
      </w:r>
      <w:r w:rsidRPr="008E3E68">
        <w:rPr>
          <w:rtl/>
        </w:rPr>
        <w:t xml:space="preserve">في </w:t>
      </w:r>
      <w:r w:rsidRPr="008D799D">
        <w:rPr>
          <w:rtl/>
        </w:rPr>
        <w:t>9</w:t>
      </w:r>
      <w:r w:rsidRPr="008E3E68">
        <w:rPr>
          <w:rtl/>
        </w:rPr>
        <w:t xml:space="preserve"> تشرين الأول/أكتوبر </w:t>
      </w:r>
      <w:r w:rsidRPr="008D799D">
        <w:rPr>
          <w:rtl/>
        </w:rPr>
        <w:t>2018</w:t>
      </w:r>
      <w:r w:rsidR="00FF6AD6">
        <w:rPr>
          <w:rtl/>
        </w:rPr>
        <w:t>،</w:t>
      </w:r>
      <w:r w:rsidRPr="008E3E68">
        <w:rPr>
          <w:rtl/>
        </w:rPr>
        <w:t xml:space="preserve"> وجّه رئيس مديرية </w:t>
      </w:r>
      <w:r>
        <w:rPr>
          <w:rtl/>
        </w:rPr>
        <w:t xml:space="preserve">اللجنة الحكومية </w:t>
      </w:r>
      <w:r w:rsidRPr="008E3E68">
        <w:rPr>
          <w:rtl/>
        </w:rPr>
        <w:t>للأمن القومي لمدينة دوشانبي كتاباً إلى رئيس مديرية دائرة الهجرة التابعة لوزارة العمل والهجرة والعمالة في طاجيكستان في مدينة دوشانبي</w:t>
      </w:r>
      <w:r w:rsidR="00FF6AD6">
        <w:rPr>
          <w:rtl/>
        </w:rPr>
        <w:t>،</w:t>
      </w:r>
      <w:r w:rsidRPr="008E3E68">
        <w:rPr>
          <w:rtl/>
        </w:rPr>
        <w:t xml:space="preserve"> مطالباً دائرة الهجرة باتخاذ إجراءات</w:t>
      </w:r>
      <w:r>
        <w:rPr>
          <w:rtl/>
        </w:rPr>
        <w:t>ٍ</w:t>
      </w:r>
      <w:r w:rsidRPr="008E3E68">
        <w:rPr>
          <w:rtl/>
        </w:rPr>
        <w:t xml:space="preserve"> ضد</w:t>
      </w:r>
      <w:r>
        <w:rPr>
          <w:rtl/>
        </w:rPr>
        <w:t>ّ</w:t>
      </w:r>
      <w:r w:rsidRPr="008E3E68">
        <w:rPr>
          <w:rtl/>
        </w:rPr>
        <w:t xml:space="preserve"> صاحب</w:t>
      </w:r>
      <w:r>
        <w:rPr>
          <w:rtl/>
        </w:rPr>
        <w:t>ِ</w:t>
      </w:r>
      <w:r w:rsidRPr="008E3E68">
        <w:rPr>
          <w:rtl/>
        </w:rPr>
        <w:t xml:space="preserve"> البلاغ وتبليغ </w:t>
      </w:r>
      <w:r>
        <w:rPr>
          <w:rtl/>
        </w:rPr>
        <w:t xml:space="preserve">اللجنة الحكومية </w:t>
      </w:r>
      <w:r w:rsidRPr="008E3E68">
        <w:rPr>
          <w:rtl/>
        </w:rPr>
        <w:t>بالنتيجة.</w:t>
      </w:r>
      <w:r w:rsidR="008F576E">
        <w:rPr>
          <w:rFonts w:hint="cs"/>
          <w:rtl/>
          <w:lang w:val="en-US" w:eastAsia="zh-TW"/>
        </w:rPr>
        <w:t xml:space="preserve"> </w:t>
      </w:r>
    </w:p>
    <w:p w14:paraId="77A5D483" w14:textId="56A31C94" w:rsidR="0023192C" w:rsidRPr="008E3E68" w:rsidRDefault="0023192C" w:rsidP="008D799D">
      <w:pPr>
        <w:pStyle w:val="SingleTxtGA"/>
        <w:spacing w:line="350" w:lineRule="exact"/>
        <w:rPr>
          <w:lang w:val="ar-SA" w:eastAsia="zh-TW" w:bidi="en-GB"/>
        </w:rPr>
      </w:pPr>
      <w:r w:rsidRPr="008D799D">
        <w:rPr>
          <w:rtl/>
        </w:rPr>
        <w:t>2</w:t>
      </w:r>
      <w:r w:rsidRPr="008E3E68">
        <w:rPr>
          <w:rFonts w:ascii="Traditional Arabic"/>
          <w:rtl/>
        </w:rPr>
        <w:t>-</w:t>
      </w:r>
      <w:r w:rsidRPr="008D799D">
        <w:rPr>
          <w:rtl/>
        </w:rPr>
        <w:t>6</w:t>
      </w:r>
      <w:r w:rsidRPr="008E3E68">
        <w:rPr>
          <w:rtl/>
        </w:rPr>
        <w:tab/>
      </w:r>
      <w:r>
        <w:rPr>
          <w:rtl/>
        </w:rPr>
        <w:t>و</w:t>
      </w:r>
      <w:r w:rsidRPr="008E3E68">
        <w:rPr>
          <w:rtl/>
        </w:rPr>
        <w:t xml:space="preserve">في </w:t>
      </w:r>
      <w:r w:rsidRPr="008D799D">
        <w:rPr>
          <w:rtl/>
        </w:rPr>
        <w:t>15</w:t>
      </w:r>
      <w:r w:rsidRPr="008E3E68">
        <w:rPr>
          <w:rtl/>
        </w:rPr>
        <w:t xml:space="preserve"> تشرين الأول/أكتوبر </w:t>
      </w:r>
      <w:r w:rsidRPr="008D799D">
        <w:rPr>
          <w:rtl/>
        </w:rPr>
        <w:t>2018</w:t>
      </w:r>
      <w:r w:rsidR="00FF6AD6">
        <w:rPr>
          <w:rtl/>
        </w:rPr>
        <w:t>،</w:t>
      </w:r>
      <w:r w:rsidRPr="008E3E68">
        <w:rPr>
          <w:rtl/>
        </w:rPr>
        <w:t xml:space="preserve"> استدع</w:t>
      </w:r>
      <w:r>
        <w:rPr>
          <w:rtl/>
        </w:rPr>
        <w:t>ت</w:t>
      </w:r>
      <w:r w:rsidRPr="008E3E68">
        <w:rPr>
          <w:rtl/>
        </w:rPr>
        <w:t xml:space="preserve"> شرطة الهجرة صاحب البلاغ </w:t>
      </w:r>
      <w:r>
        <w:rPr>
          <w:rtl/>
        </w:rPr>
        <w:t>الذي</w:t>
      </w:r>
      <w:r w:rsidRPr="008E3E68">
        <w:rPr>
          <w:rtl/>
        </w:rPr>
        <w:t xml:space="preserve"> وُجهت إليه تهمة ارتكاب جريمة بموجب المادة </w:t>
      </w:r>
      <w:r w:rsidRPr="008D799D">
        <w:rPr>
          <w:rtl/>
        </w:rPr>
        <w:t>499</w:t>
      </w:r>
      <w:r w:rsidRPr="008E3E68">
        <w:rPr>
          <w:rFonts w:ascii="Traditional Arabic"/>
          <w:rtl/>
        </w:rPr>
        <w:t>(</w:t>
      </w:r>
      <w:r w:rsidRPr="008D799D">
        <w:rPr>
          <w:rtl/>
        </w:rPr>
        <w:t>1</w:t>
      </w:r>
      <w:r w:rsidRPr="008E3E68">
        <w:rPr>
          <w:rFonts w:ascii="Traditional Arabic"/>
          <w:rtl/>
        </w:rPr>
        <w:t>)</w:t>
      </w:r>
      <w:r w:rsidRPr="008E3E68">
        <w:rPr>
          <w:rtl/>
        </w:rPr>
        <w:t xml:space="preserve"> من قانون المخالفات الإدارية لانتهاكه قواعد إقامة المواطنين الأجانب. وادّعت شرطة الهجرة أنه كان "يقيم مؤقتاً" في منزل ر.</w:t>
      </w:r>
      <w:r w:rsidR="00B74720">
        <w:rPr>
          <w:rFonts w:hint="cs"/>
          <w:rtl/>
        </w:rPr>
        <w:t xml:space="preserve"> </w:t>
      </w:r>
      <w:r w:rsidRPr="008E3E68">
        <w:rPr>
          <w:rtl/>
        </w:rPr>
        <w:t>ن.</w:t>
      </w:r>
      <w:r w:rsidR="00B74720">
        <w:rPr>
          <w:rFonts w:hint="cs"/>
          <w:rtl/>
        </w:rPr>
        <w:t xml:space="preserve"> </w:t>
      </w:r>
      <w:r w:rsidRPr="008E3E68">
        <w:rPr>
          <w:rtl/>
        </w:rPr>
        <w:t>د</w:t>
      </w:r>
      <w:r w:rsidR="00B74720">
        <w:rPr>
          <w:rFonts w:hint="cs"/>
          <w:rtl/>
        </w:rPr>
        <w:t>.</w:t>
      </w:r>
      <w:r w:rsidRPr="008E3E68">
        <w:rPr>
          <w:rtl/>
        </w:rPr>
        <w:t xml:space="preserve"> عندما داهمت الشرطة مسكنها في </w:t>
      </w:r>
      <w:r w:rsidRPr="008D799D">
        <w:rPr>
          <w:rtl/>
        </w:rPr>
        <w:t>4</w:t>
      </w:r>
      <w:r w:rsidRPr="008E3E68">
        <w:rPr>
          <w:rFonts w:ascii="Traditional Arabic"/>
          <w:rtl/>
        </w:rPr>
        <w:t>-</w:t>
      </w:r>
      <w:r w:rsidRPr="008D799D">
        <w:rPr>
          <w:rtl/>
        </w:rPr>
        <w:t>5</w:t>
      </w:r>
      <w:r w:rsidRPr="008E3E68">
        <w:rPr>
          <w:rtl/>
        </w:rPr>
        <w:t xml:space="preserve"> تشرين الأول/أكتوبر </w:t>
      </w:r>
      <w:r w:rsidRPr="008D799D">
        <w:rPr>
          <w:rtl/>
        </w:rPr>
        <w:t>2018</w:t>
      </w:r>
      <w:r w:rsidR="00FF6AD6">
        <w:rPr>
          <w:rtl/>
        </w:rPr>
        <w:t>،</w:t>
      </w:r>
      <w:r w:rsidRPr="008E3E68">
        <w:rPr>
          <w:rtl/>
        </w:rPr>
        <w:t xml:space="preserve"> وأنه لم يكن موجوداً في مكان إقامته المسجل رسمياً. </w:t>
      </w:r>
      <w:r>
        <w:rPr>
          <w:rtl/>
        </w:rPr>
        <w:t>و</w:t>
      </w:r>
      <w:r w:rsidRPr="008E3E68">
        <w:rPr>
          <w:rtl/>
        </w:rPr>
        <w:t>لم يُقدّ</w:t>
      </w:r>
      <w:r>
        <w:rPr>
          <w:rtl/>
        </w:rPr>
        <w:t>َ</w:t>
      </w:r>
      <w:r w:rsidRPr="008E3E68">
        <w:rPr>
          <w:rtl/>
        </w:rPr>
        <w:t>م أي دليلٍ لدعم هذا</w:t>
      </w:r>
      <w:r w:rsidR="00B74720">
        <w:rPr>
          <w:rFonts w:hint="cs"/>
          <w:rtl/>
        </w:rPr>
        <w:t xml:space="preserve"> </w:t>
      </w:r>
      <w:r>
        <w:rPr>
          <w:rtl/>
        </w:rPr>
        <w:t>الادعاء</w:t>
      </w:r>
      <w:r w:rsidRPr="008E3E68">
        <w:rPr>
          <w:rtl/>
        </w:rPr>
        <w:t xml:space="preserve">. ويؤكد صاحب البلاغ أن هذا </w:t>
      </w:r>
      <w:r>
        <w:rPr>
          <w:rtl/>
        </w:rPr>
        <w:t>الادعاء</w:t>
      </w:r>
      <w:r w:rsidR="00B74720">
        <w:rPr>
          <w:rFonts w:hint="cs"/>
          <w:rtl/>
        </w:rPr>
        <w:t xml:space="preserve"> </w:t>
      </w:r>
      <w:r w:rsidRPr="008E3E68">
        <w:rPr>
          <w:rtl/>
        </w:rPr>
        <w:t>كان ذريعة واضحة</w:t>
      </w:r>
      <w:r w:rsidR="00FF6AD6">
        <w:rPr>
          <w:rtl/>
        </w:rPr>
        <w:t>،</w:t>
      </w:r>
      <w:r w:rsidRPr="008E3E68">
        <w:rPr>
          <w:rtl/>
        </w:rPr>
        <w:t xml:space="preserve"> حيث اتهمته </w:t>
      </w:r>
      <w:r>
        <w:rPr>
          <w:rtl/>
        </w:rPr>
        <w:t xml:space="preserve">اللجنة الحكومية </w:t>
      </w:r>
      <w:r w:rsidRPr="008E3E68">
        <w:rPr>
          <w:rtl/>
        </w:rPr>
        <w:t xml:space="preserve">للأمن القومي في كتابها </w:t>
      </w:r>
      <w:r w:rsidRPr="008E3E68">
        <w:rPr>
          <w:rtl/>
        </w:rPr>
        <w:lastRenderedPageBreak/>
        <w:t xml:space="preserve">الموجه إلى سلطات الهجرة في </w:t>
      </w:r>
      <w:r w:rsidRPr="008D799D">
        <w:rPr>
          <w:rtl/>
        </w:rPr>
        <w:t>9</w:t>
      </w:r>
      <w:r w:rsidRPr="008E3E68">
        <w:rPr>
          <w:rtl/>
        </w:rPr>
        <w:t xml:space="preserve"> تشرين الأول/أكتوبر </w:t>
      </w:r>
      <w:r w:rsidRPr="008D799D">
        <w:rPr>
          <w:rtl/>
        </w:rPr>
        <w:t>2018</w:t>
      </w:r>
      <w:r w:rsidR="00FF6AD6">
        <w:rPr>
          <w:rtl/>
        </w:rPr>
        <w:t>،</w:t>
      </w:r>
      <w:r w:rsidRPr="008E3E68">
        <w:rPr>
          <w:rtl/>
        </w:rPr>
        <w:t xml:space="preserve"> بما ي</w:t>
      </w:r>
      <w:r>
        <w:rPr>
          <w:rtl/>
        </w:rPr>
        <w:t>ُ</w:t>
      </w:r>
      <w:r w:rsidRPr="008E3E68">
        <w:rPr>
          <w:rtl/>
        </w:rPr>
        <w:t xml:space="preserve">سمى بالنشاط الديني غير القانوني </w:t>
      </w:r>
      <w:r>
        <w:rPr>
          <w:rtl/>
        </w:rPr>
        <w:t>حصراً</w:t>
      </w:r>
      <w:r w:rsidR="00FF6AD6">
        <w:rPr>
          <w:rtl/>
        </w:rPr>
        <w:t>،</w:t>
      </w:r>
      <w:r w:rsidRPr="008E3E68">
        <w:rPr>
          <w:rtl/>
        </w:rPr>
        <w:t xml:space="preserve"> وليس بانتهاك قواعد إقامة المواطنين الأجانب. </w:t>
      </w:r>
      <w:r>
        <w:rPr>
          <w:rtl/>
        </w:rPr>
        <w:t>و</w:t>
      </w:r>
      <w:r w:rsidRPr="008E3E68">
        <w:rPr>
          <w:rtl/>
        </w:rPr>
        <w:t>علاوة على ذلك</w:t>
      </w:r>
      <w:r w:rsidR="00FF6AD6">
        <w:rPr>
          <w:rtl/>
        </w:rPr>
        <w:t>،</w:t>
      </w:r>
      <w:r w:rsidRPr="008E3E68">
        <w:rPr>
          <w:rtl/>
        </w:rPr>
        <w:t xml:space="preserve"> فتشت </w:t>
      </w:r>
      <w:r>
        <w:rPr>
          <w:rtl/>
        </w:rPr>
        <w:t>اللجنة الحكومية</w:t>
      </w:r>
      <w:r w:rsidR="00141306">
        <w:rPr>
          <w:rFonts w:hint="cs"/>
          <w:rtl/>
        </w:rPr>
        <w:t xml:space="preserve"> </w:t>
      </w:r>
      <w:r w:rsidRPr="008E3E68">
        <w:rPr>
          <w:rtl/>
        </w:rPr>
        <w:t xml:space="preserve">منزله في نفسِ اليوم الذي اعتُقل فيه </w:t>
      </w:r>
      <w:r w:rsidRPr="008E3E68">
        <w:rPr>
          <w:rFonts w:ascii="Traditional Arabic"/>
          <w:rtl/>
        </w:rPr>
        <w:t>(</w:t>
      </w:r>
      <w:r w:rsidRPr="008D799D">
        <w:rPr>
          <w:rtl/>
        </w:rPr>
        <w:t>5</w:t>
      </w:r>
      <w:r w:rsidRPr="008E3E68">
        <w:rPr>
          <w:rtl/>
        </w:rPr>
        <w:t xml:space="preserve"> تشرين الأول/أكتوبر </w:t>
      </w:r>
      <w:r w:rsidRPr="008D799D">
        <w:rPr>
          <w:rtl/>
        </w:rPr>
        <w:t>2018</w:t>
      </w:r>
      <w:r w:rsidRPr="008E3E68">
        <w:rPr>
          <w:rFonts w:ascii="Traditional Arabic"/>
          <w:rtl/>
        </w:rPr>
        <w:t>)</w:t>
      </w:r>
      <w:r w:rsidRPr="008E3E68">
        <w:rPr>
          <w:rtl/>
        </w:rPr>
        <w:t xml:space="preserve"> وأعربت عن ارتياحها الواضح كونه يعيش فعلاً في العنوان المشار إليه في تصريح إقامته. </w:t>
      </w:r>
      <w:bookmarkStart w:id="1" w:name="_Hlk93423989"/>
      <w:bookmarkEnd w:id="1"/>
    </w:p>
    <w:p w14:paraId="2FD6AE56" w14:textId="182A2C79" w:rsidR="0023192C" w:rsidRPr="008D799D" w:rsidRDefault="0023192C" w:rsidP="008D799D">
      <w:pPr>
        <w:pStyle w:val="SingleTxtGA"/>
        <w:spacing w:line="350" w:lineRule="exact"/>
        <w:rPr>
          <w:spacing w:val="-2"/>
          <w:lang w:val="en-US" w:eastAsia="zh-TW" w:bidi="en-GB"/>
        </w:rPr>
      </w:pPr>
      <w:r w:rsidRPr="008D799D">
        <w:rPr>
          <w:rtl/>
        </w:rPr>
        <w:t>2</w:t>
      </w:r>
      <w:r w:rsidRPr="008D799D">
        <w:rPr>
          <w:rFonts w:ascii="Traditional Arabic"/>
          <w:rtl/>
        </w:rPr>
        <w:t>-</w:t>
      </w:r>
      <w:r w:rsidRPr="008D799D">
        <w:rPr>
          <w:rtl/>
        </w:rPr>
        <w:t>7</w:t>
      </w:r>
      <w:r w:rsidRPr="008D799D">
        <w:rPr>
          <w:rtl/>
        </w:rPr>
        <w:tab/>
        <w:t>وفي 16 تشرين الأول/أكتوبر 2018</w:t>
      </w:r>
      <w:r w:rsidR="00FF6AD6" w:rsidRPr="008D799D">
        <w:rPr>
          <w:rtl/>
        </w:rPr>
        <w:t>،</w:t>
      </w:r>
      <w:r w:rsidRPr="008D799D">
        <w:rPr>
          <w:rtl/>
        </w:rPr>
        <w:t xml:space="preserve"> اقتيد صاحب البلاغ إلى محكمة مقاطعة فيردافسي في </w:t>
      </w:r>
      <w:r w:rsidRPr="008D799D">
        <w:rPr>
          <w:spacing w:val="-2"/>
          <w:rtl/>
        </w:rPr>
        <w:t>دوشانبي لمحاكمته. وعُقدت جلسة استماع</w:t>
      </w:r>
      <w:r w:rsidR="00FF6AD6" w:rsidRPr="008D799D">
        <w:rPr>
          <w:spacing w:val="-2"/>
          <w:rtl/>
        </w:rPr>
        <w:t>،</w:t>
      </w:r>
      <w:r w:rsidRPr="008D799D">
        <w:rPr>
          <w:spacing w:val="-2"/>
          <w:rtl/>
        </w:rPr>
        <w:t xml:space="preserve"> وأدان القاضي صاحبَ البلاغ بموجب المادة 499</w:t>
      </w:r>
      <w:r w:rsidRPr="008D799D">
        <w:rPr>
          <w:rFonts w:ascii="Traditional Arabic"/>
          <w:spacing w:val="-2"/>
          <w:rtl/>
        </w:rPr>
        <w:t>(</w:t>
      </w:r>
      <w:r w:rsidRPr="008D799D">
        <w:rPr>
          <w:spacing w:val="-2"/>
          <w:rtl/>
        </w:rPr>
        <w:t>1</w:t>
      </w:r>
      <w:r w:rsidRPr="008D799D">
        <w:rPr>
          <w:rFonts w:ascii="Traditional Arabic"/>
          <w:spacing w:val="-2"/>
          <w:rtl/>
        </w:rPr>
        <w:t>)</w:t>
      </w:r>
      <w:r w:rsidRPr="008D799D">
        <w:rPr>
          <w:spacing w:val="-2"/>
          <w:rtl/>
        </w:rPr>
        <w:t xml:space="preserve"> من قانون</w:t>
      </w:r>
      <w:r w:rsidRPr="008D799D">
        <w:rPr>
          <w:rtl/>
        </w:rPr>
        <w:t xml:space="preserve"> المخالفات الإدارية</w:t>
      </w:r>
      <w:r w:rsidR="00FF6AD6" w:rsidRPr="008D799D">
        <w:rPr>
          <w:rtl/>
        </w:rPr>
        <w:t>،</w:t>
      </w:r>
      <w:r w:rsidRPr="008D799D">
        <w:rPr>
          <w:rtl/>
        </w:rPr>
        <w:t xml:space="preserve"> وحكمَ عليه بدفعِ غرامة قدرُها 80 مثلاً من قيمة مؤشر الحساب الشهري </w:t>
      </w:r>
      <w:r w:rsidRPr="008D799D">
        <w:rPr>
          <w:rFonts w:ascii="Traditional Arabic"/>
          <w:rtl/>
        </w:rPr>
        <w:t>(</w:t>
      </w:r>
      <w:r w:rsidR="00141306" w:rsidRPr="008D799D">
        <w:rPr>
          <w:rFonts w:hint="cs"/>
          <w:rtl/>
        </w:rPr>
        <w:t>000 4</w:t>
      </w:r>
      <w:r w:rsidRPr="008D799D">
        <w:rPr>
          <w:rFonts w:ascii="Traditional Arabic"/>
          <w:rtl/>
        </w:rPr>
        <w:t xml:space="preserve"> </w:t>
      </w:r>
      <w:r w:rsidRPr="008D799D">
        <w:rPr>
          <w:spacing w:val="-3"/>
          <w:rtl/>
        </w:rPr>
        <w:t>سوموني)</w:t>
      </w:r>
      <w:r w:rsidR="00FF6AD6" w:rsidRPr="008D799D">
        <w:rPr>
          <w:spacing w:val="-3"/>
          <w:vertAlign w:val="superscript"/>
          <w:rtl/>
        </w:rPr>
        <w:t>(</w:t>
      </w:r>
      <w:r w:rsidR="008D799D" w:rsidRPr="008D799D">
        <w:rPr>
          <w:rFonts w:ascii="Simplified Arabic" w:hAnsi="Simplified Arabic"/>
          <w:spacing w:val="-3"/>
          <w:vertAlign w:val="superscript"/>
          <w:lang w:val="en-US"/>
        </w:rPr>
        <w:footnoteReference w:id="5"/>
      </w:r>
      <w:r w:rsidR="00FF6AD6" w:rsidRPr="008D799D">
        <w:rPr>
          <w:spacing w:val="-3"/>
          <w:vertAlign w:val="superscript"/>
          <w:rtl/>
        </w:rPr>
        <w:t>)</w:t>
      </w:r>
      <w:r w:rsidRPr="008D799D">
        <w:rPr>
          <w:spacing w:val="-3"/>
          <w:rtl/>
        </w:rPr>
        <w:t xml:space="preserve"> وأمر بترحيله إلى الاتحاد الروسي. ويدّعي صاحب البلاغ أن المحكمة رفضت</w:t>
      </w:r>
      <w:r w:rsidR="00FF6AD6" w:rsidRPr="008D799D">
        <w:rPr>
          <w:spacing w:val="-3"/>
          <w:rtl/>
        </w:rPr>
        <w:t>،</w:t>
      </w:r>
      <w:r w:rsidRPr="008D799D">
        <w:rPr>
          <w:spacing w:val="-3"/>
          <w:rtl/>
        </w:rPr>
        <w:t xml:space="preserve"> بإجراءات موجزة</w:t>
      </w:r>
      <w:r w:rsidR="00FF6AD6" w:rsidRPr="008D799D">
        <w:rPr>
          <w:spacing w:val="-3"/>
          <w:rtl/>
        </w:rPr>
        <w:t>،</w:t>
      </w:r>
      <w:r w:rsidRPr="008D799D">
        <w:rPr>
          <w:rtl/>
        </w:rPr>
        <w:t xml:space="preserve"> </w:t>
      </w:r>
      <w:r w:rsidRPr="008D799D">
        <w:rPr>
          <w:spacing w:val="-2"/>
          <w:rtl/>
        </w:rPr>
        <w:t>شهادته وشهادة صاحبة المنزل ر. ن. د. وشهادة شاهدَين آخرَين أكّدا عنوانه الفعلي</w:t>
      </w:r>
      <w:r w:rsidR="00FF6AD6" w:rsidRPr="008D799D">
        <w:rPr>
          <w:spacing w:val="-2"/>
          <w:rtl/>
        </w:rPr>
        <w:t>،</w:t>
      </w:r>
      <w:r w:rsidRPr="008D799D">
        <w:rPr>
          <w:spacing w:val="-2"/>
          <w:rtl/>
        </w:rPr>
        <w:t xml:space="preserve"> لأنهم من شهود يهوه.</w:t>
      </w:r>
      <w:r w:rsidR="00422D1C" w:rsidRPr="008D799D">
        <w:rPr>
          <w:spacing w:val="-2"/>
          <w:rtl/>
        </w:rPr>
        <w:t xml:space="preserve"> </w:t>
      </w:r>
    </w:p>
    <w:p w14:paraId="59EADFC0" w14:textId="55B27CB6" w:rsidR="0023192C" w:rsidRPr="008E3E68" w:rsidRDefault="0023192C" w:rsidP="008D799D">
      <w:pPr>
        <w:pStyle w:val="SingleTxtGA"/>
        <w:spacing w:line="340" w:lineRule="exact"/>
        <w:rPr>
          <w:lang w:val="ar-SA" w:eastAsia="zh-TW" w:bidi="en-GB"/>
        </w:rPr>
      </w:pPr>
      <w:r w:rsidRPr="008D799D">
        <w:rPr>
          <w:rtl/>
        </w:rPr>
        <w:t>2</w:t>
      </w:r>
      <w:r w:rsidRPr="008E3E68">
        <w:rPr>
          <w:rFonts w:ascii="Traditional Arabic"/>
          <w:rtl/>
        </w:rPr>
        <w:t>-</w:t>
      </w:r>
      <w:r w:rsidRPr="008D799D">
        <w:rPr>
          <w:rtl/>
        </w:rPr>
        <w:t>8</w:t>
      </w:r>
      <w:r w:rsidRPr="008E3E68">
        <w:rPr>
          <w:rtl/>
        </w:rPr>
        <w:tab/>
      </w:r>
      <w:r>
        <w:rPr>
          <w:rtl/>
        </w:rPr>
        <w:t>و</w:t>
      </w:r>
      <w:r w:rsidRPr="008E3E68">
        <w:rPr>
          <w:rtl/>
        </w:rPr>
        <w:t xml:space="preserve">في </w:t>
      </w:r>
      <w:r w:rsidRPr="008D799D">
        <w:rPr>
          <w:rtl/>
        </w:rPr>
        <w:t>17</w:t>
      </w:r>
      <w:r w:rsidRPr="008E3E68">
        <w:rPr>
          <w:rtl/>
        </w:rPr>
        <w:t xml:space="preserve"> تشرين الأول/أكتوبر </w:t>
      </w:r>
      <w:r w:rsidRPr="008D799D">
        <w:rPr>
          <w:rtl/>
        </w:rPr>
        <w:t>2018</w:t>
      </w:r>
      <w:r w:rsidR="00FF6AD6">
        <w:rPr>
          <w:rtl/>
        </w:rPr>
        <w:t>،</w:t>
      </w:r>
      <w:r w:rsidRPr="008E3E68">
        <w:rPr>
          <w:rtl/>
        </w:rPr>
        <w:t xml:space="preserve"> استأنف صاحب البلاغ قرار محكمة في</w:t>
      </w:r>
      <w:r>
        <w:rPr>
          <w:rtl/>
        </w:rPr>
        <w:t>ر</w:t>
      </w:r>
      <w:r w:rsidRPr="008E3E68">
        <w:rPr>
          <w:rtl/>
        </w:rPr>
        <w:t>داف</w:t>
      </w:r>
      <w:r>
        <w:rPr>
          <w:rtl/>
        </w:rPr>
        <w:t>س</w:t>
      </w:r>
      <w:r w:rsidRPr="008E3E68">
        <w:rPr>
          <w:rtl/>
        </w:rPr>
        <w:t xml:space="preserve">ي </w:t>
      </w:r>
      <w:r>
        <w:rPr>
          <w:rtl/>
        </w:rPr>
        <w:t>المحلية</w:t>
      </w:r>
      <w:r w:rsidR="00141306">
        <w:rPr>
          <w:rFonts w:hint="cs"/>
          <w:rtl/>
        </w:rPr>
        <w:t xml:space="preserve"> </w:t>
      </w:r>
      <w:r w:rsidRPr="008E3E68">
        <w:rPr>
          <w:rtl/>
        </w:rPr>
        <w:t>أمام محكمة مدينة دوشانبي</w:t>
      </w:r>
      <w:r>
        <w:rPr>
          <w:rtl/>
        </w:rPr>
        <w:t>.</w:t>
      </w:r>
      <w:r w:rsidRPr="008E3E68">
        <w:rPr>
          <w:rtl/>
        </w:rPr>
        <w:t xml:space="preserve"> ورُفض طلب الاستئناف في </w:t>
      </w:r>
      <w:r w:rsidRPr="008D799D">
        <w:rPr>
          <w:rtl/>
        </w:rPr>
        <w:t>24</w:t>
      </w:r>
      <w:r w:rsidRPr="008E3E68">
        <w:rPr>
          <w:rtl/>
        </w:rPr>
        <w:t xml:space="preserve"> تشرين الأول/أكتوبر </w:t>
      </w:r>
      <w:r w:rsidRPr="008D799D">
        <w:rPr>
          <w:rtl/>
        </w:rPr>
        <w:t>2018</w:t>
      </w:r>
      <w:r w:rsidRPr="008E3E68">
        <w:rPr>
          <w:rFonts w:ascii="Traditional Arabic"/>
          <w:rtl/>
        </w:rPr>
        <w:t>.</w:t>
      </w:r>
      <w:r w:rsidRPr="008E3E68">
        <w:rPr>
          <w:rtl/>
        </w:rPr>
        <w:t xml:space="preserve"> </w:t>
      </w:r>
    </w:p>
    <w:p w14:paraId="22969FAB" w14:textId="6E6FE736" w:rsidR="0023192C" w:rsidRPr="008E3E68" w:rsidRDefault="0023192C" w:rsidP="008D799D">
      <w:pPr>
        <w:pStyle w:val="SingleTxtGA"/>
        <w:spacing w:line="340" w:lineRule="exact"/>
        <w:rPr>
          <w:lang w:val="ar-SA" w:eastAsia="zh-TW" w:bidi="en-GB"/>
        </w:rPr>
      </w:pPr>
      <w:r w:rsidRPr="008D799D">
        <w:rPr>
          <w:rtl/>
        </w:rPr>
        <w:t>2</w:t>
      </w:r>
      <w:r w:rsidRPr="008E3E68">
        <w:rPr>
          <w:rFonts w:ascii="Traditional Arabic"/>
          <w:rtl/>
        </w:rPr>
        <w:t>-</w:t>
      </w:r>
      <w:r w:rsidRPr="008D799D">
        <w:rPr>
          <w:rtl/>
        </w:rPr>
        <w:t>9</w:t>
      </w:r>
      <w:r w:rsidRPr="008E3E68">
        <w:rPr>
          <w:rtl/>
        </w:rPr>
        <w:tab/>
      </w:r>
      <w:r>
        <w:rPr>
          <w:rtl/>
        </w:rPr>
        <w:t>و</w:t>
      </w:r>
      <w:r w:rsidRPr="008E3E68">
        <w:rPr>
          <w:rtl/>
        </w:rPr>
        <w:t xml:space="preserve">في </w:t>
      </w:r>
      <w:r w:rsidRPr="008D799D">
        <w:rPr>
          <w:rtl/>
        </w:rPr>
        <w:t>30</w:t>
      </w:r>
      <w:r w:rsidRPr="008E3E68">
        <w:rPr>
          <w:rtl/>
        </w:rPr>
        <w:t xml:space="preserve"> تشرين الأول/أكتوبر </w:t>
      </w:r>
      <w:r w:rsidRPr="008D799D">
        <w:rPr>
          <w:rtl/>
        </w:rPr>
        <w:t>2018</w:t>
      </w:r>
      <w:r w:rsidR="00FF6AD6">
        <w:rPr>
          <w:rtl/>
        </w:rPr>
        <w:t>،</w:t>
      </w:r>
      <w:r w:rsidRPr="008E3E68">
        <w:rPr>
          <w:rtl/>
        </w:rPr>
        <w:t xml:space="preserve"> </w:t>
      </w:r>
      <w:r>
        <w:rPr>
          <w:rtl/>
        </w:rPr>
        <w:t>رُحّل</w:t>
      </w:r>
      <w:r w:rsidRPr="008E3E68">
        <w:rPr>
          <w:rtl/>
        </w:rPr>
        <w:t xml:space="preserve"> صاحب</w:t>
      </w:r>
      <w:r>
        <w:rPr>
          <w:rtl/>
        </w:rPr>
        <w:t>ُ</w:t>
      </w:r>
      <w:r w:rsidRPr="008E3E68">
        <w:rPr>
          <w:rtl/>
        </w:rPr>
        <w:t xml:space="preserve"> البلاغ من طاجيكستان</w:t>
      </w:r>
      <w:r w:rsidR="00FF6AD6">
        <w:rPr>
          <w:rtl/>
        </w:rPr>
        <w:t>،</w:t>
      </w:r>
      <w:r w:rsidRPr="008E3E68">
        <w:rPr>
          <w:rtl/>
        </w:rPr>
        <w:t xml:space="preserve"> لكن سُمح له باختيار ترحيله إلى كازاخستان بدلاً من ترحيله إلى الاتحاد الروسي. وفي هذا الصدد</w:t>
      </w:r>
      <w:r w:rsidR="00FF6AD6">
        <w:rPr>
          <w:rtl/>
        </w:rPr>
        <w:t>،</w:t>
      </w:r>
      <w:r w:rsidRPr="008E3E68">
        <w:rPr>
          <w:rtl/>
        </w:rPr>
        <w:t xml:space="preserve"> ي</w:t>
      </w:r>
      <w:r>
        <w:rPr>
          <w:rtl/>
        </w:rPr>
        <w:t>لا</w:t>
      </w:r>
      <w:r w:rsidRPr="008E3E68">
        <w:rPr>
          <w:rtl/>
        </w:rPr>
        <w:t>حظ صاحب</w:t>
      </w:r>
      <w:r>
        <w:rPr>
          <w:rtl/>
        </w:rPr>
        <w:t>ُ</w:t>
      </w:r>
      <w:r w:rsidRPr="008E3E68">
        <w:rPr>
          <w:rtl/>
        </w:rPr>
        <w:t xml:space="preserve"> البلاغ أن</w:t>
      </w:r>
      <w:r>
        <w:rPr>
          <w:rtl/>
        </w:rPr>
        <w:t>ّ</w:t>
      </w:r>
      <w:r w:rsidRPr="008E3E68">
        <w:rPr>
          <w:rtl/>
        </w:rPr>
        <w:t xml:space="preserve"> سلطات</w:t>
      </w:r>
      <w:r>
        <w:rPr>
          <w:rtl/>
        </w:rPr>
        <w:t>ِ</w:t>
      </w:r>
      <w:r w:rsidRPr="008E3E68">
        <w:rPr>
          <w:rtl/>
        </w:rPr>
        <w:t xml:space="preserve"> الدولة قد امتثلت جزئياً</w:t>
      </w:r>
      <w:r w:rsidR="00FF6AD6">
        <w:rPr>
          <w:rtl/>
        </w:rPr>
        <w:t>،</w:t>
      </w:r>
      <w:r w:rsidRPr="008E3E68">
        <w:rPr>
          <w:rtl/>
        </w:rPr>
        <w:t xml:space="preserve"> فيما يبدو</w:t>
      </w:r>
      <w:r w:rsidR="00FF6AD6">
        <w:rPr>
          <w:rtl/>
        </w:rPr>
        <w:t>،</w:t>
      </w:r>
      <w:r w:rsidRPr="008E3E68">
        <w:rPr>
          <w:rtl/>
        </w:rPr>
        <w:t xml:space="preserve"> لخطاب اللجنة ال</w:t>
      </w:r>
      <w:r>
        <w:rPr>
          <w:rtl/>
        </w:rPr>
        <w:t>ذي</w:t>
      </w:r>
      <w:r w:rsidR="00422D1C">
        <w:rPr>
          <w:rtl/>
        </w:rPr>
        <w:t xml:space="preserve"> </w:t>
      </w:r>
      <w:r w:rsidRPr="008E3E68">
        <w:rPr>
          <w:rtl/>
        </w:rPr>
        <w:t>طلبت فيه اتخاذ تدابير مؤقتة (عدم ترحيله "إلى الاتحاد الروسي")</w:t>
      </w:r>
      <w:r w:rsidR="00FF6AD6">
        <w:rPr>
          <w:rtl/>
        </w:rPr>
        <w:t>،</w:t>
      </w:r>
      <w:r w:rsidRPr="008E3E68">
        <w:rPr>
          <w:rtl/>
        </w:rPr>
        <w:t xml:space="preserve"> لكنها لم تمتثل لروح التدابير المؤقتة</w:t>
      </w:r>
      <w:r w:rsidR="00FF6AD6">
        <w:rPr>
          <w:rtl/>
        </w:rPr>
        <w:t>،</w:t>
      </w:r>
      <w:r w:rsidRPr="008E3E68">
        <w:rPr>
          <w:rtl/>
        </w:rPr>
        <w:t xml:space="preserve"> أي عدم ترحيله. </w:t>
      </w:r>
    </w:p>
    <w:p w14:paraId="07783193" w14:textId="4D92D747" w:rsidR="0023192C" w:rsidRPr="00DA5A14" w:rsidRDefault="0023192C" w:rsidP="008D799D">
      <w:pPr>
        <w:pStyle w:val="SingleTxtGA"/>
        <w:spacing w:line="340" w:lineRule="exact"/>
        <w:rPr>
          <w:lang w:val="en-US" w:eastAsia="zh-TW" w:bidi="en-GB"/>
        </w:rPr>
      </w:pPr>
      <w:r w:rsidRPr="008D799D">
        <w:rPr>
          <w:rtl/>
        </w:rPr>
        <w:lastRenderedPageBreak/>
        <w:t>2</w:t>
      </w:r>
      <w:r w:rsidRPr="008E3E68">
        <w:rPr>
          <w:rFonts w:ascii="Traditional Arabic"/>
          <w:rtl/>
        </w:rPr>
        <w:t>-</w:t>
      </w:r>
      <w:r w:rsidRPr="008D799D">
        <w:rPr>
          <w:rtl/>
        </w:rPr>
        <w:t>10</w:t>
      </w:r>
      <w:r w:rsidR="00DA5A14">
        <w:rPr>
          <w:rtl/>
        </w:rPr>
        <w:tab/>
      </w:r>
      <w:r>
        <w:rPr>
          <w:rtl/>
        </w:rPr>
        <w:t>و</w:t>
      </w:r>
      <w:r w:rsidRPr="008E3E68">
        <w:rPr>
          <w:rtl/>
        </w:rPr>
        <w:t xml:space="preserve">في </w:t>
      </w:r>
      <w:r w:rsidRPr="008D799D">
        <w:rPr>
          <w:rtl/>
        </w:rPr>
        <w:t>27</w:t>
      </w:r>
      <w:r w:rsidRPr="008E3E68">
        <w:rPr>
          <w:rtl/>
        </w:rPr>
        <w:t xml:space="preserve"> آذار/مارس </w:t>
      </w:r>
      <w:r w:rsidRPr="008D799D">
        <w:rPr>
          <w:rtl/>
        </w:rPr>
        <w:t>2019</w:t>
      </w:r>
      <w:r w:rsidR="00FF6AD6">
        <w:rPr>
          <w:rtl/>
        </w:rPr>
        <w:t>،</w:t>
      </w:r>
      <w:r w:rsidRPr="008E3E68">
        <w:rPr>
          <w:rtl/>
        </w:rPr>
        <w:t xml:space="preserve"> قد</w:t>
      </w:r>
      <w:r>
        <w:rPr>
          <w:rtl/>
        </w:rPr>
        <w:t>ّ</w:t>
      </w:r>
      <w:r w:rsidRPr="008E3E68">
        <w:rPr>
          <w:rtl/>
        </w:rPr>
        <w:t>م صاحب</w:t>
      </w:r>
      <w:r>
        <w:rPr>
          <w:rtl/>
        </w:rPr>
        <w:t>ُ</w:t>
      </w:r>
      <w:r w:rsidRPr="008E3E68">
        <w:rPr>
          <w:rtl/>
        </w:rPr>
        <w:t xml:space="preserve"> البلاغ طلب إجراء مراجعة قضائية رقابية إلى هيئة رئاسة محكمة مدينة دوشانبي</w:t>
      </w:r>
      <w:r w:rsidR="00FF6AD6">
        <w:rPr>
          <w:rtl/>
        </w:rPr>
        <w:t>،</w:t>
      </w:r>
      <w:r w:rsidRPr="008E3E68">
        <w:rPr>
          <w:rtl/>
        </w:rPr>
        <w:t xml:space="preserve"> وهو سبيل انتصاف تقديري بموجب القانون المحلي. </w:t>
      </w:r>
      <w:r>
        <w:rPr>
          <w:rtl/>
        </w:rPr>
        <w:t>و</w:t>
      </w:r>
      <w:r w:rsidRPr="008E3E68">
        <w:rPr>
          <w:rtl/>
        </w:rPr>
        <w:t xml:space="preserve">رُفض طلبُ الاستئناف في </w:t>
      </w:r>
      <w:r w:rsidRPr="008D799D">
        <w:rPr>
          <w:rtl/>
        </w:rPr>
        <w:t>10</w:t>
      </w:r>
      <w:r w:rsidRPr="008E3E68">
        <w:rPr>
          <w:rtl/>
        </w:rPr>
        <w:t xml:space="preserve"> نيسان/أبريل </w:t>
      </w:r>
      <w:r w:rsidRPr="008D799D">
        <w:rPr>
          <w:rtl/>
        </w:rPr>
        <w:t>2019</w:t>
      </w:r>
      <w:r w:rsidRPr="008E3E68">
        <w:rPr>
          <w:rFonts w:ascii="Traditional Arabic"/>
          <w:rtl/>
        </w:rPr>
        <w:t>.</w:t>
      </w:r>
      <w:r w:rsidRPr="008E3E68">
        <w:rPr>
          <w:rtl/>
        </w:rPr>
        <w:t xml:space="preserve"> </w:t>
      </w:r>
    </w:p>
    <w:p w14:paraId="29128EB3" w14:textId="77777777" w:rsidR="0023192C" w:rsidRPr="008D799D" w:rsidRDefault="0023192C" w:rsidP="0023192C">
      <w:pPr>
        <w:pStyle w:val="H23GA"/>
        <w:rPr>
          <w:lang w:val="ar-SA" w:eastAsia="zh-TW" w:bidi="en-GB"/>
        </w:rPr>
      </w:pPr>
      <w:r w:rsidRPr="008D799D">
        <w:rPr>
          <w:rtl/>
        </w:rPr>
        <w:tab/>
      </w:r>
      <w:r w:rsidRPr="008D799D">
        <w:rPr>
          <w:rtl/>
        </w:rPr>
        <w:tab/>
        <w:t>الشكوى</w:t>
      </w:r>
    </w:p>
    <w:p w14:paraId="47F928A4" w14:textId="567BE8D5" w:rsidR="0023192C" w:rsidRPr="008E3E68" w:rsidRDefault="0023192C" w:rsidP="008D799D">
      <w:pPr>
        <w:pStyle w:val="SingleTxtGA"/>
        <w:spacing w:line="340" w:lineRule="exact"/>
        <w:rPr>
          <w:lang w:val="ar-SA" w:eastAsia="zh-TW" w:bidi="en-GB"/>
        </w:rPr>
      </w:pPr>
      <w:r w:rsidRPr="008D799D">
        <w:rPr>
          <w:rtl/>
        </w:rPr>
        <w:t>3</w:t>
      </w:r>
      <w:r w:rsidRPr="008E3E68">
        <w:rPr>
          <w:rFonts w:ascii="Traditional Arabic"/>
          <w:rtl/>
        </w:rPr>
        <w:t>-</w:t>
      </w:r>
      <w:r w:rsidRPr="008D799D">
        <w:rPr>
          <w:rtl/>
        </w:rPr>
        <w:t>1</w:t>
      </w:r>
      <w:r w:rsidRPr="008E3E68">
        <w:rPr>
          <w:rtl/>
        </w:rPr>
        <w:tab/>
        <w:t>يدّعي صاحب البلاغ أن</w:t>
      </w:r>
      <w:r>
        <w:rPr>
          <w:rtl/>
        </w:rPr>
        <w:t>ّ</w:t>
      </w:r>
      <w:r w:rsidRPr="008E3E68">
        <w:rPr>
          <w:rtl/>
        </w:rPr>
        <w:t xml:space="preserve"> الدولة الطرف انتهكت حقوقه بموجب المادة </w:t>
      </w:r>
      <w:r w:rsidRPr="008D799D">
        <w:rPr>
          <w:rtl/>
        </w:rPr>
        <w:t>9</w:t>
      </w:r>
      <w:r w:rsidRPr="008E3E68">
        <w:rPr>
          <w:rFonts w:ascii="Traditional Arabic"/>
          <w:rtl/>
        </w:rPr>
        <w:t>(</w:t>
      </w:r>
      <w:r w:rsidRPr="008D799D">
        <w:rPr>
          <w:rtl/>
        </w:rPr>
        <w:t>1</w:t>
      </w:r>
      <w:r w:rsidRPr="008E3E68">
        <w:rPr>
          <w:rFonts w:ascii="Traditional Arabic"/>
          <w:rtl/>
        </w:rPr>
        <w:t>)</w:t>
      </w:r>
      <w:r w:rsidRPr="008E3E68">
        <w:rPr>
          <w:rtl/>
        </w:rPr>
        <w:t xml:space="preserve"> والمادة </w:t>
      </w:r>
      <w:r w:rsidRPr="008D799D">
        <w:rPr>
          <w:rtl/>
        </w:rPr>
        <w:t>13</w:t>
      </w:r>
      <w:r w:rsidR="00FF6AD6">
        <w:rPr>
          <w:rtl/>
        </w:rPr>
        <w:t>،</w:t>
      </w:r>
      <w:r w:rsidRPr="008E3E68">
        <w:rPr>
          <w:rtl/>
        </w:rPr>
        <w:t xml:space="preserve"> مقروءة على حدة وبال</w:t>
      </w:r>
      <w:r>
        <w:rPr>
          <w:rtl/>
        </w:rPr>
        <w:t>اقتران</w:t>
      </w:r>
      <w:r w:rsidRPr="008E3E68">
        <w:rPr>
          <w:rtl/>
        </w:rPr>
        <w:t xml:space="preserve"> مع المواد </w:t>
      </w:r>
      <w:r w:rsidRPr="008D799D">
        <w:rPr>
          <w:rtl/>
        </w:rPr>
        <w:t>12</w:t>
      </w:r>
      <w:r w:rsidRPr="008E3E68">
        <w:rPr>
          <w:rtl/>
        </w:rPr>
        <w:t xml:space="preserve"> و</w:t>
      </w:r>
      <w:r w:rsidRPr="008D799D">
        <w:rPr>
          <w:rtl/>
        </w:rPr>
        <w:t>18</w:t>
      </w:r>
      <w:r w:rsidRPr="008E3E68">
        <w:rPr>
          <w:rFonts w:ascii="Traditional Arabic"/>
          <w:rtl/>
        </w:rPr>
        <w:t>(</w:t>
      </w:r>
      <w:r w:rsidRPr="008D799D">
        <w:rPr>
          <w:rtl/>
        </w:rPr>
        <w:t>1</w:t>
      </w:r>
      <w:r w:rsidRPr="008E3E68">
        <w:rPr>
          <w:rFonts w:ascii="Traditional Arabic"/>
          <w:rtl/>
        </w:rPr>
        <w:t>)</w:t>
      </w:r>
      <w:r w:rsidRPr="008E3E68">
        <w:rPr>
          <w:rtl/>
        </w:rPr>
        <w:t xml:space="preserve"> و</w:t>
      </w:r>
      <w:r w:rsidRPr="008E3E68">
        <w:rPr>
          <w:rFonts w:ascii="Traditional Arabic"/>
          <w:rtl/>
        </w:rPr>
        <w:t>(</w:t>
      </w:r>
      <w:r w:rsidRPr="008D799D">
        <w:rPr>
          <w:rtl/>
        </w:rPr>
        <w:t>3</w:t>
      </w:r>
      <w:r w:rsidRPr="008E3E68">
        <w:rPr>
          <w:rFonts w:ascii="Traditional Arabic"/>
          <w:rtl/>
        </w:rPr>
        <w:t>)</w:t>
      </w:r>
      <w:r w:rsidRPr="008E3E68">
        <w:rPr>
          <w:rtl/>
        </w:rPr>
        <w:t xml:space="preserve"> و</w:t>
      </w:r>
      <w:r w:rsidRPr="008D799D">
        <w:rPr>
          <w:rtl/>
        </w:rPr>
        <w:t>26</w:t>
      </w:r>
      <w:r w:rsidRPr="008E3E68">
        <w:rPr>
          <w:rtl/>
        </w:rPr>
        <w:t xml:space="preserve"> و</w:t>
      </w:r>
      <w:r w:rsidRPr="008D799D">
        <w:rPr>
          <w:rtl/>
        </w:rPr>
        <w:t>27</w:t>
      </w:r>
      <w:r w:rsidRPr="008E3E68">
        <w:rPr>
          <w:rtl/>
        </w:rPr>
        <w:t xml:space="preserve"> من العهد</w:t>
      </w:r>
      <w:r w:rsidR="00FF6AD6">
        <w:rPr>
          <w:rtl/>
        </w:rPr>
        <w:t>،</w:t>
      </w:r>
      <w:r w:rsidRPr="008E3E68">
        <w:rPr>
          <w:rtl/>
        </w:rPr>
        <w:t xml:space="preserve"> بسبب اعتقال</w:t>
      </w:r>
      <w:r>
        <w:rPr>
          <w:rtl/>
        </w:rPr>
        <w:t>ِ</w:t>
      </w:r>
      <w:r w:rsidRPr="008E3E68">
        <w:rPr>
          <w:rtl/>
        </w:rPr>
        <w:t>ه</w:t>
      </w:r>
      <w:r>
        <w:rPr>
          <w:rtl/>
        </w:rPr>
        <w:t xml:space="preserve"> واحتجازه</w:t>
      </w:r>
      <w:r w:rsidRPr="008E3E68">
        <w:rPr>
          <w:rtl/>
        </w:rPr>
        <w:t xml:space="preserve"> وإدانت</w:t>
      </w:r>
      <w:r>
        <w:rPr>
          <w:rtl/>
        </w:rPr>
        <w:t>ِ</w:t>
      </w:r>
      <w:r w:rsidRPr="008E3E68">
        <w:rPr>
          <w:rtl/>
        </w:rPr>
        <w:t>ه وفرض</w:t>
      </w:r>
      <w:r>
        <w:rPr>
          <w:rtl/>
        </w:rPr>
        <w:t>ِ</w:t>
      </w:r>
      <w:r w:rsidRPr="008E3E68">
        <w:rPr>
          <w:rtl/>
        </w:rPr>
        <w:t xml:space="preserve"> غرامة عليه وترحيل</w:t>
      </w:r>
      <w:r>
        <w:rPr>
          <w:rtl/>
        </w:rPr>
        <w:t>ِ</w:t>
      </w:r>
      <w:r w:rsidRPr="008E3E68">
        <w:rPr>
          <w:rtl/>
        </w:rPr>
        <w:t>ه. وفي هذا الصدد</w:t>
      </w:r>
      <w:r w:rsidR="00FF6AD6">
        <w:rPr>
          <w:rtl/>
        </w:rPr>
        <w:t>،</w:t>
      </w:r>
      <w:r w:rsidRPr="008E3E68">
        <w:rPr>
          <w:rtl/>
        </w:rPr>
        <w:t xml:space="preserve"> يقول صاحب البلاغ إن الشرطة لم تقدّم أي دليلٍ يبرّرُ اعتقالَه الذي كان تعسفياَ و</w:t>
      </w:r>
      <w:r>
        <w:rPr>
          <w:rtl/>
        </w:rPr>
        <w:t xml:space="preserve">من </w:t>
      </w:r>
      <w:r w:rsidRPr="008E3E68">
        <w:rPr>
          <w:rtl/>
        </w:rPr>
        <w:t>دون ضرورة قانونية</w:t>
      </w:r>
      <w:r w:rsidR="00FF6AD6">
        <w:rPr>
          <w:rtl/>
        </w:rPr>
        <w:t>،</w:t>
      </w:r>
      <w:r w:rsidRPr="008E3E68">
        <w:rPr>
          <w:rtl/>
        </w:rPr>
        <w:t xml:space="preserve"> و</w:t>
      </w:r>
      <w:r>
        <w:rPr>
          <w:rtl/>
        </w:rPr>
        <w:t>إ</w:t>
      </w:r>
      <w:r w:rsidRPr="008E3E68">
        <w:rPr>
          <w:rtl/>
        </w:rPr>
        <w:t xml:space="preserve">ن احتجازه غير قانوني وتمييزي إذ استُهدف </w:t>
      </w:r>
      <w:r>
        <w:rPr>
          <w:rtl/>
        </w:rPr>
        <w:t>بصفتِه</w:t>
      </w:r>
      <w:r w:rsidRPr="008E3E68">
        <w:rPr>
          <w:rtl/>
        </w:rPr>
        <w:t xml:space="preserve"> مواطناً أجنبياً وينتمي الى شهود يهوه</w:t>
      </w:r>
      <w:r w:rsidR="00FF6AD6">
        <w:rPr>
          <w:rtl/>
        </w:rPr>
        <w:t>،</w:t>
      </w:r>
      <w:r w:rsidRPr="008E3E68">
        <w:rPr>
          <w:rtl/>
        </w:rPr>
        <w:t xml:space="preserve"> </w:t>
      </w:r>
      <w:r>
        <w:rPr>
          <w:rtl/>
        </w:rPr>
        <w:t>الأمر الذي ينتهك ا</w:t>
      </w:r>
      <w:r w:rsidRPr="008E3E68">
        <w:rPr>
          <w:rtl/>
        </w:rPr>
        <w:t xml:space="preserve">لمادة </w:t>
      </w:r>
      <w:r w:rsidRPr="008D799D">
        <w:rPr>
          <w:rtl/>
        </w:rPr>
        <w:t>9</w:t>
      </w:r>
      <w:r w:rsidRPr="008E3E68">
        <w:rPr>
          <w:rtl/>
        </w:rPr>
        <w:t xml:space="preserve"> من العهد</w:t>
      </w:r>
      <w:r w:rsidR="00FF6AD6">
        <w:rPr>
          <w:vertAlign w:val="superscript"/>
          <w:rtl/>
        </w:rPr>
        <w:t>(</w:t>
      </w:r>
      <w:r w:rsidR="008D799D" w:rsidRPr="008D799D">
        <w:rPr>
          <w:rFonts w:ascii="Simplified Arabic" w:hAnsi="Simplified Arabic"/>
          <w:vertAlign w:val="superscript"/>
          <w:lang w:val="en-US"/>
        </w:rPr>
        <w:footnoteReference w:id="6"/>
      </w:r>
      <w:r w:rsidR="00FF6AD6">
        <w:rPr>
          <w:vertAlign w:val="superscript"/>
          <w:rtl/>
        </w:rPr>
        <w:t>)</w:t>
      </w:r>
      <w:r w:rsidRPr="008E3E68">
        <w:rPr>
          <w:rtl/>
        </w:rPr>
        <w:t xml:space="preserve">. </w:t>
      </w:r>
    </w:p>
    <w:p w14:paraId="3C98FD96" w14:textId="4090E7C6" w:rsidR="0023192C" w:rsidRPr="008E3E68" w:rsidRDefault="0023192C" w:rsidP="0023192C">
      <w:pPr>
        <w:pStyle w:val="SingleTxtGA"/>
        <w:rPr>
          <w:lang w:val="ar-SA" w:eastAsia="zh-TW" w:bidi="en-GB"/>
        </w:rPr>
      </w:pPr>
      <w:r w:rsidRPr="008D799D">
        <w:rPr>
          <w:rtl/>
        </w:rPr>
        <w:t>3</w:t>
      </w:r>
      <w:r w:rsidRPr="008E3E68">
        <w:rPr>
          <w:rFonts w:ascii="Traditional Arabic"/>
          <w:rtl/>
        </w:rPr>
        <w:t>-</w:t>
      </w:r>
      <w:r w:rsidRPr="008D799D">
        <w:rPr>
          <w:rtl/>
        </w:rPr>
        <w:t>2</w:t>
      </w:r>
      <w:r w:rsidRPr="008E3E68">
        <w:rPr>
          <w:rtl/>
        </w:rPr>
        <w:tab/>
      </w:r>
      <w:r>
        <w:rPr>
          <w:rtl/>
        </w:rPr>
        <w:t>و</w:t>
      </w:r>
      <w:r w:rsidRPr="008E3E68">
        <w:rPr>
          <w:rtl/>
        </w:rPr>
        <w:t xml:space="preserve">يدّعي صاحب البلاغ أيضاً أن </w:t>
      </w:r>
      <w:r>
        <w:rPr>
          <w:rtl/>
        </w:rPr>
        <w:t>اللجنة الحكومية</w:t>
      </w:r>
      <w:r w:rsidR="00DA5A14">
        <w:rPr>
          <w:rFonts w:hint="cs"/>
          <w:rtl/>
        </w:rPr>
        <w:t xml:space="preserve"> </w:t>
      </w:r>
      <w:r w:rsidRPr="008E3E68">
        <w:rPr>
          <w:rtl/>
        </w:rPr>
        <w:t>للأمن القومي أمرت بمقاضاته لأنه كان "</w:t>
      </w:r>
      <w:r>
        <w:rPr>
          <w:rtl/>
        </w:rPr>
        <w:t>مبشّراً</w:t>
      </w:r>
      <w:r w:rsidRPr="008E3E68">
        <w:rPr>
          <w:rtl/>
        </w:rPr>
        <w:t xml:space="preserve"> (مروّجاً) </w:t>
      </w:r>
      <w:r>
        <w:rPr>
          <w:rtl/>
        </w:rPr>
        <w:t>في م</w:t>
      </w:r>
      <w:r w:rsidRPr="008E3E68">
        <w:rPr>
          <w:rtl/>
        </w:rPr>
        <w:t>نظمة "شهود يهوه" الدينية الدولية وجاء إلى مدينة دوشانبي لإشراك مواطني جمهورية طاجيكستان في هذه المنظمة"</w:t>
      </w:r>
      <w:r w:rsidR="00FF6AD6">
        <w:rPr>
          <w:rtl/>
        </w:rPr>
        <w:t>،</w:t>
      </w:r>
      <w:r w:rsidRPr="008E3E68">
        <w:rPr>
          <w:rtl/>
        </w:rPr>
        <w:t xml:space="preserve"> </w:t>
      </w:r>
      <w:r>
        <w:rPr>
          <w:rtl/>
        </w:rPr>
        <w:t xml:space="preserve">مما ينتهك </w:t>
      </w:r>
      <w:r w:rsidRPr="008E3E68">
        <w:rPr>
          <w:rtl/>
        </w:rPr>
        <w:t>حقّهِ في</w:t>
      </w:r>
      <w:r>
        <w:rPr>
          <w:rtl/>
        </w:rPr>
        <w:t xml:space="preserve"> ممارسة شعائره الدينية</w:t>
      </w:r>
      <w:r w:rsidR="00FF6AD6">
        <w:rPr>
          <w:rtl/>
        </w:rPr>
        <w:t>،</w:t>
      </w:r>
      <w:r w:rsidRPr="008E3E68">
        <w:rPr>
          <w:rtl/>
        </w:rPr>
        <w:t xml:space="preserve"> </w:t>
      </w:r>
      <w:r>
        <w:rPr>
          <w:rtl/>
        </w:rPr>
        <w:t>و</w:t>
      </w:r>
      <w:r w:rsidRPr="008E3E68">
        <w:rPr>
          <w:rtl/>
        </w:rPr>
        <w:t xml:space="preserve">الاجتماع بأنصار العقيدة نفسها لأغراض العبادة بموجب المادة </w:t>
      </w:r>
      <w:r w:rsidRPr="008D799D">
        <w:rPr>
          <w:rtl/>
        </w:rPr>
        <w:t>18</w:t>
      </w:r>
      <w:r w:rsidRPr="008E3E68">
        <w:rPr>
          <w:rtl/>
        </w:rPr>
        <w:t xml:space="preserve"> من العهد. </w:t>
      </w:r>
      <w:r>
        <w:rPr>
          <w:rtl/>
        </w:rPr>
        <w:t>و</w:t>
      </w:r>
      <w:r w:rsidRPr="008E3E68">
        <w:rPr>
          <w:rtl/>
        </w:rPr>
        <w:t xml:space="preserve">يدّعي صاحبُ البلاغ </w:t>
      </w:r>
      <w:r>
        <w:rPr>
          <w:rtl/>
        </w:rPr>
        <w:t xml:space="preserve">أيضاً </w:t>
      </w:r>
      <w:r w:rsidRPr="008E3E68">
        <w:rPr>
          <w:rtl/>
        </w:rPr>
        <w:t>أن</w:t>
      </w:r>
      <w:r>
        <w:rPr>
          <w:rtl/>
        </w:rPr>
        <w:t>ّ</w:t>
      </w:r>
      <w:r w:rsidRPr="008E3E68">
        <w:rPr>
          <w:rtl/>
        </w:rPr>
        <w:t xml:space="preserve"> أفعال</w:t>
      </w:r>
      <w:r>
        <w:rPr>
          <w:rtl/>
        </w:rPr>
        <w:t>َ</w:t>
      </w:r>
      <w:r w:rsidRPr="008E3E68">
        <w:rPr>
          <w:rtl/>
        </w:rPr>
        <w:t xml:space="preserve"> الدولة الطرف كانت مدفوعة </w:t>
      </w:r>
      <w:r w:rsidRPr="008E3E68">
        <w:rPr>
          <w:rtl/>
        </w:rPr>
        <w:lastRenderedPageBreak/>
        <w:t>بهدفها التمييزي</w:t>
      </w:r>
      <w:r>
        <w:rPr>
          <w:rtl/>
        </w:rPr>
        <w:t xml:space="preserve"> وحده</w:t>
      </w:r>
      <w:r w:rsidRPr="008E3E68">
        <w:rPr>
          <w:rtl/>
        </w:rPr>
        <w:t xml:space="preserve"> المتمث</w:t>
      </w:r>
      <w:r>
        <w:rPr>
          <w:rtl/>
        </w:rPr>
        <w:t>ّ</w:t>
      </w:r>
      <w:r w:rsidRPr="008E3E68">
        <w:rPr>
          <w:rtl/>
        </w:rPr>
        <w:t>ل في منع</w:t>
      </w:r>
      <w:r>
        <w:rPr>
          <w:rtl/>
        </w:rPr>
        <w:t>ِ</w:t>
      </w:r>
      <w:r w:rsidRPr="008E3E68">
        <w:rPr>
          <w:rtl/>
        </w:rPr>
        <w:t xml:space="preserve"> شهود يهوه من ممارسة</w:t>
      </w:r>
      <w:r>
        <w:rPr>
          <w:rtl/>
        </w:rPr>
        <w:t>ِ</w:t>
      </w:r>
      <w:r w:rsidRPr="008E3E68">
        <w:rPr>
          <w:rtl/>
        </w:rPr>
        <w:t xml:space="preserve"> دين</w:t>
      </w:r>
      <w:r>
        <w:rPr>
          <w:rtl/>
        </w:rPr>
        <w:t>ِ</w:t>
      </w:r>
      <w:r w:rsidRPr="008E3E68">
        <w:rPr>
          <w:rtl/>
        </w:rPr>
        <w:t>هم</w:t>
      </w:r>
      <w:r>
        <w:rPr>
          <w:rtl/>
        </w:rPr>
        <w:t xml:space="preserve"> </w:t>
      </w:r>
      <w:r w:rsidR="00FF6AD6">
        <w:rPr>
          <w:rtl/>
        </w:rPr>
        <w:t>،</w:t>
      </w:r>
      <w:r w:rsidRPr="008E3E68">
        <w:rPr>
          <w:rtl/>
        </w:rPr>
        <w:t xml:space="preserve"> </w:t>
      </w:r>
      <w:r>
        <w:rPr>
          <w:rtl/>
        </w:rPr>
        <w:t>مما ينتهك ا</w:t>
      </w:r>
      <w:r w:rsidRPr="008E3E68">
        <w:rPr>
          <w:rtl/>
        </w:rPr>
        <w:t>لمادتين</w:t>
      </w:r>
      <w:r w:rsidR="00DA5A14">
        <w:rPr>
          <w:rFonts w:hint="cs"/>
          <w:rtl/>
        </w:rPr>
        <w:t> </w:t>
      </w:r>
      <w:r w:rsidRPr="008D799D">
        <w:rPr>
          <w:rtl/>
        </w:rPr>
        <w:t>26</w:t>
      </w:r>
      <w:r w:rsidRPr="008E3E68">
        <w:rPr>
          <w:rtl/>
        </w:rPr>
        <w:t xml:space="preserve"> و</w:t>
      </w:r>
      <w:r w:rsidRPr="008D799D">
        <w:rPr>
          <w:rtl/>
        </w:rPr>
        <w:t>27</w:t>
      </w:r>
      <w:r w:rsidRPr="008E3E68">
        <w:rPr>
          <w:rtl/>
        </w:rPr>
        <w:t xml:space="preserve"> من العهد.</w:t>
      </w:r>
    </w:p>
    <w:p w14:paraId="54452D72" w14:textId="3EC9AE12" w:rsidR="0023192C" w:rsidRPr="008E3E68" w:rsidRDefault="0023192C" w:rsidP="0023192C">
      <w:pPr>
        <w:pStyle w:val="SingleTxtGA"/>
        <w:rPr>
          <w:lang w:val="ar-SA" w:eastAsia="zh-TW" w:bidi="en-GB"/>
        </w:rPr>
      </w:pPr>
      <w:r w:rsidRPr="008D799D">
        <w:rPr>
          <w:rtl/>
        </w:rPr>
        <w:t>3</w:t>
      </w:r>
      <w:r w:rsidRPr="008E3E68">
        <w:rPr>
          <w:rFonts w:ascii="Traditional Arabic"/>
          <w:rtl/>
        </w:rPr>
        <w:t>-</w:t>
      </w:r>
      <w:r w:rsidRPr="008D799D">
        <w:rPr>
          <w:rtl/>
        </w:rPr>
        <w:t>3</w:t>
      </w:r>
      <w:r w:rsidRPr="008E3E68">
        <w:rPr>
          <w:rtl/>
        </w:rPr>
        <w:tab/>
      </w:r>
      <w:r>
        <w:rPr>
          <w:rtl/>
        </w:rPr>
        <w:t>و</w:t>
      </w:r>
      <w:r w:rsidRPr="008E3E68">
        <w:rPr>
          <w:rtl/>
        </w:rPr>
        <w:t xml:space="preserve">يدّعي صاحب البلاغ </w:t>
      </w:r>
      <w:r>
        <w:rPr>
          <w:rtl/>
        </w:rPr>
        <w:t>أيضاً</w:t>
      </w:r>
      <w:r w:rsidRPr="008E3E68">
        <w:rPr>
          <w:rtl/>
        </w:rPr>
        <w:t xml:space="preserve"> أنه طُرد من الدولة الطرف بحجة أنه في إحدى المرات مكث</w:t>
      </w:r>
      <w:r>
        <w:rPr>
          <w:rtl/>
        </w:rPr>
        <w:t>َ</w:t>
      </w:r>
      <w:r w:rsidRPr="008E3E68">
        <w:rPr>
          <w:rtl/>
        </w:rPr>
        <w:t xml:space="preserve"> طوال الليل في منزل ر. ن. د</w:t>
      </w:r>
      <w:r w:rsidR="00DA5A14">
        <w:rPr>
          <w:rFonts w:hint="cs"/>
          <w:rtl/>
        </w:rPr>
        <w:t>.</w:t>
      </w:r>
      <w:r w:rsidR="00FF6AD6">
        <w:rPr>
          <w:rtl/>
        </w:rPr>
        <w:t>،</w:t>
      </w:r>
      <w:r w:rsidRPr="008E3E68">
        <w:rPr>
          <w:rtl/>
        </w:rPr>
        <w:t xml:space="preserve"> مع </w:t>
      </w:r>
      <w:r w:rsidRPr="008D799D">
        <w:rPr>
          <w:rtl/>
        </w:rPr>
        <w:t>17</w:t>
      </w:r>
      <w:r w:rsidRPr="008E3E68">
        <w:rPr>
          <w:rtl/>
        </w:rPr>
        <w:t xml:space="preserve"> </w:t>
      </w:r>
      <w:r>
        <w:rPr>
          <w:rtl/>
        </w:rPr>
        <w:t xml:space="preserve">شخصاً </w:t>
      </w:r>
      <w:r w:rsidRPr="008E3E68">
        <w:rPr>
          <w:rtl/>
        </w:rPr>
        <w:t>من أنصار العقيدة نفسها</w:t>
      </w:r>
      <w:r w:rsidR="00FF6AD6">
        <w:rPr>
          <w:rtl/>
        </w:rPr>
        <w:t>،</w:t>
      </w:r>
      <w:r w:rsidRPr="008E3E68">
        <w:rPr>
          <w:rtl/>
        </w:rPr>
        <w:t xml:space="preserve"> علماً أن القانون المحلي لا ينص</w:t>
      </w:r>
      <w:r>
        <w:rPr>
          <w:rtl/>
        </w:rPr>
        <w:t>ّ</w:t>
      </w:r>
      <w:r w:rsidRPr="008E3E68">
        <w:rPr>
          <w:rtl/>
        </w:rPr>
        <w:t xml:space="preserve"> على حظر</w:t>
      </w:r>
      <w:r>
        <w:rPr>
          <w:rtl/>
        </w:rPr>
        <w:t>ٍ</w:t>
      </w:r>
      <w:r w:rsidRPr="008E3E68">
        <w:rPr>
          <w:rtl/>
        </w:rPr>
        <w:t xml:space="preserve"> من هذا الق</w:t>
      </w:r>
      <w:r>
        <w:rPr>
          <w:rtl/>
        </w:rPr>
        <w:t>َ</w:t>
      </w:r>
      <w:r w:rsidRPr="008E3E68">
        <w:rPr>
          <w:rtl/>
        </w:rPr>
        <w:t>بيل</w:t>
      </w:r>
      <w:r w:rsidR="00FF6AD6">
        <w:rPr>
          <w:rtl/>
        </w:rPr>
        <w:t>،</w:t>
      </w:r>
      <w:r w:rsidRPr="008E3E68">
        <w:rPr>
          <w:rtl/>
        </w:rPr>
        <w:t xml:space="preserve"> وإن وُجد هذا الحظر</w:t>
      </w:r>
      <w:r w:rsidR="00FF6AD6">
        <w:rPr>
          <w:rtl/>
        </w:rPr>
        <w:t>،</w:t>
      </w:r>
      <w:r w:rsidRPr="008E3E68">
        <w:rPr>
          <w:rtl/>
        </w:rPr>
        <w:t xml:space="preserve"> فإنه سيُضعف جوهر</w:t>
      </w:r>
      <w:r>
        <w:rPr>
          <w:rtl/>
        </w:rPr>
        <w:t>َ</w:t>
      </w:r>
      <w:r w:rsidRPr="008E3E68">
        <w:rPr>
          <w:rtl/>
        </w:rPr>
        <w:t xml:space="preserve"> الحق في حرية التنقل</w:t>
      </w:r>
      <w:r w:rsidR="00FF6AD6">
        <w:rPr>
          <w:rtl/>
        </w:rPr>
        <w:t>،</w:t>
      </w:r>
      <w:r w:rsidRPr="008E3E68">
        <w:rPr>
          <w:rtl/>
        </w:rPr>
        <w:t xml:space="preserve"> </w:t>
      </w:r>
      <w:r>
        <w:rPr>
          <w:rtl/>
        </w:rPr>
        <w:t>مما ينتهك ا</w:t>
      </w:r>
      <w:r w:rsidRPr="008E3E68">
        <w:rPr>
          <w:rtl/>
        </w:rPr>
        <w:t xml:space="preserve">لمادة </w:t>
      </w:r>
      <w:r w:rsidRPr="008D799D">
        <w:rPr>
          <w:rtl/>
        </w:rPr>
        <w:t>13</w:t>
      </w:r>
      <w:r w:rsidR="00FF6AD6">
        <w:rPr>
          <w:rFonts w:ascii="Traditional Arabic"/>
          <w:rtl/>
        </w:rPr>
        <w:t>،</w:t>
      </w:r>
      <w:r w:rsidRPr="008E3E68">
        <w:rPr>
          <w:rtl/>
        </w:rPr>
        <w:t xml:space="preserve"> مقروءة </w:t>
      </w:r>
      <w:r>
        <w:rPr>
          <w:rtl/>
        </w:rPr>
        <w:t xml:space="preserve">على حدة </w:t>
      </w:r>
      <w:r w:rsidRPr="008E3E68">
        <w:rPr>
          <w:rtl/>
        </w:rPr>
        <w:t>وبال</w:t>
      </w:r>
      <w:r>
        <w:rPr>
          <w:rtl/>
        </w:rPr>
        <w:t>اقتران</w:t>
      </w:r>
      <w:r w:rsidRPr="008E3E68">
        <w:rPr>
          <w:rtl/>
        </w:rPr>
        <w:t xml:space="preserve"> مع المادة </w:t>
      </w:r>
      <w:r w:rsidRPr="008D799D">
        <w:rPr>
          <w:rtl/>
        </w:rPr>
        <w:t>12</w:t>
      </w:r>
      <w:r w:rsidRPr="008E3E68">
        <w:rPr>
          <w:rtl/>
        </w:rPr>
        <w:t xml:space="preserve"> من العهد.</w:t>
      </w:r>
      <w:r w:rsidR="00422D1C">
        <w:rPr>
          <w:rtl/>
        </w:rPr>
        <w:t xml:space="preserve"> </w:t>
      </w:r>
    </w:p>
    <w:p w14:paraId="7CED52F7" w14:textId="2BC7A010" w:rsidR="0023192C" w:rsidRPr="008E3E68" w:rsidRDefault="0023192C" w:rsidP="0023192C">
      <w:pPr>
        <w:pStyle w:val="SingleTxtGA"/>
        <w:rPr>
          <w:lang w:val="ar-SA" w:eastAsia="zh-TW" w:bidi="en-GB"/>
        </w:rPr>
      </w:pPr>
      <w:r w:rsidRPr="008D799D">
        <w:rPr>
          <w:rtl/>
        </w:rPr>
        <w:t>3</w:t>
      </w:r>
      <w:r w:rsidRPr="008E3E68">
        <w:rPr>
          <w:rFonts w:ascii="Traditional Arabic"/>
          <w:rtl/>
        </w:rPr>
        <w:t>-</w:t>
      </w:r>
      <w:r w:rsidRPr="008D799D">
        <w:rPr>
          <w:rtl/>
        </w:rPr>
        <w:t>4</w:t>
      </w:r>
      <w:r w:rsidRPr="008E3E68">
        <w:rPr>
          <w:rtl/>
        </w:rPr>
        <w:tab/>
      </w:r>
      <w:r>
        <w:rPr>
          <w:rtl/>
        </w:rPr>
        <w:t>و</w:t>
      </w:r>
      <w:r w:rsidRPr="008E3E68">
        <w:rPr>
          <w:rtl/>
        </w:rPr>
        <w:t xml:space="preserve">يطلب صاحب البلاغ إلى اللجنة توجيه الدولة الطرف إلى ما يلي: (أ) </w:t>
      </w:r>
      <w:r>
        <w:rPr>
          <w:rtl/>
        </w:rPr>
        <w:t>إلغاء</w:t>
      </w:r>
      <w:r w:rsidR="00DA5A14">
        <w:rPr>
          <w:rFonts w:hint="cs"/>
          <w:rtl/>
        </w:rPr>
        <w:t xml:space="preserve"> </w:t>
      </w:r>
      <w:r w:rsidRPr="008E3E68">
        <w:rPr>
          <w:rtl/>
        </w:rPr>
        <w:t>جميع القيود</w:t>
      </w:r>
      <w:r w:rsidR="00FF6AD6">
        <w:rPr>
          <w:rtl/>
        </w:rPr>
        <w:t>،</w:t>
      </w:r>
      <w:r w:rsidRPr="008E3E68">
        <w:rPr>
          <w:rtl/>
        </w:rPr>
        <w:t xml:space="preserve"> بما فيها تلك المنصوص عليها في </w:t>
      </w:r>
      <w:r>
        <w:rPr>
          <w:rtl/>
        </w:rPr>
        <w:t xml:space="preserve">قوانين الدولة </w:t>
      </w:r>
      <w:r w:rsidRPr="008E3E68">
        <w:rPr>
          <w:rtl/>
        </w:rPr>
        <w:t xml:space="preserve">أو </w:t>
      </w:r>
      <w:r>
        <w:rPr>
          <w:rtl/>
        </w:rPr>
        <w:t>لوائحها</w:t>
      </w:r>
      <w:r w:rsidR="00DA5A14">
        <w:rPr>
          <w:rFonts w:hint="cs"/>
          <w:rtl/>
        </w:rPr>
        <w:t xml:space="preserve"> </w:t>
      </w:r>
      <w:r w:rsidRPr="008E3E68">
        <w:rPr>
          <w:rtl/>
        </w:rPr>
        <w:t xml:space="preserve">أو </w:t>
      </w:r>
      <w:r>
        <w:rPr>
          <w:rtl/>
        </w:rPr>
        <w:t>مراسيمها</w:t>
      </w:r>
      <w:r w:rsidR="00FF6AD6">
        <w:rPr>
          <w:rtl/>
        </w:rPr>
        <w:t>،</w:t>
      </w:r>
      <w:r w:rsidRPr="008E3E68">
        <w:rPr>
          <w:rtl/>
        </w:rPr>
        <w:t xml:space="preserve"> المفروضة على </w:t>
      </w:r>
      <w:r>
        <w:rPr>
          <w:rtl/>
        </w:rPr>
        <w:t xml:space="preserve">الحق في </w:t>
      </w:r>
      <w:r w:rsidRPr="008E3E68">
        <w:rPr>
          <w:rtl/>
        </w:rPr>
        <w:t>حرية التجم</w:t>
      </w:r>
      <w:r>
        <w:rPr>
          <w:rtl/>
        </w:rPr>
        <w:t>ّ</w:t>
      </w:r>
      <w:r w:rsidRPr="008E3E68">
        <w:rPr>
          <w:rtl/>
        </w:rPr>
        <w:t>ع لأغراض</w:t>
      </w:r>
      <w:r>
        <w:rPr>
          <w:rtl/>
        </w:rPr>
        <w:t>ٍ</w:t>
      </w:r>
      <w:r w:rsidRPr="008E3E68">
        <w:rPr>
          <w:rtl/>
        </w:rPr>
        <w:t xml:space="preserve"> دينية أو أغراض</w:t>
      </w:r>
      <w:r>
        <w:rPr>
          <w:rtl/>
        </w:rPr>
        <w:t>ٍ</w:t>
      </w:r>
      <w:r w:rsidRPr="008E3E68">
        <w:rPr>
          <w:rtl/>
        </w:rPr>
        <w:t xml:space="preserve"> أخرى؛ (ب) إعادة مبلغ </w:t>
      </w:r>
      <w:r w:rsidR="00DA5A14" w:rsidRPr="008D799D">
        <w:rPr>
          <w:rFonts w:hint="cs"/>
          <w:rtl/>
        </w:rPr>
        <w:t>000</w:t>
      </w:r>
      <w:r w:rsidR="00DA5A14">
        <w:rPr>
          <w:rFonts w:hint="cs"/>
          <w:rtl/>
        </w:rPr>
        <w:t xml:space="preserve"> </w:t>
      </w:r>
      <w:r w:rsidR="00DA5A14" w:rsidRPr="008D799D">
        <w:rPr>
          <w:rFonts w:hint="cs"/>
          <w:rtl/>
        </w:rPr>
        <w:t>4</w:t>
      </w:r>
      <w:r>
        <w:rPr>
          <w:rFonts w:ascii="Traditional Arabic"/>
          <w:rtl/>
        </w:rPr>
        <w:t xml:space="preserve"> </w:t>
      </w:r>
      <w:r w:rsidRPr="008E3E68">
        <w:rPr>
          <w:rtl/>
        </w:rPr>
        <w:t>سوموني إلى صاحب البلاغ الذي أُم</w:t>
      </w:r>
      <w:r>
        <w:rPr>
          <w:rtl/>
        </w:rPr>
        <w:t>ِ</w:t>
      </w:r>
      <w:r w:rsidRPr="008E3E68">
        <w:rPr>
          <w:rtl/>
        </w:rPr>
        <w:t>ر بدفع</w:t>
      </w:r>
      <w:r>
        <w:rPr>
          <w:rtl/>
        </w:rPr>
        <w:t>ِ</w:t>
      </w:r>
      <w:r w:rsidRPr="008E3E68">
        <w:rPr>
          <w:rtl/>
        </w:rPr>
        <w:t xml:space="preserve">ه كغرامة بموجب المادة </w:t>
      </w:r>
      <w:r w:rsidRPr="008D799D">
        <w:rPr>
          <w:rtl/>
        </w:rPr>
        <w:t>499</w:t>
      </w:r>
      <w:r w:rsidRPr="008E3E68">
        <w:rPr>
          <w:rFonts w:ascii="Traditional Arabic"/>
          <w:rtl/>
        </w:rPr>
        <w:t>(</w:t>
      </w:r>
      <w:r w:rsidRPr="008D799D">
        <w:rPr>
          <w:rtl/>
        </w:rPr>
        <w:t>1</w:t>
      </w:r>
      <w:r w:rsidRPr="008E3E68">
        <w:rPr>
          <w:rFonts w:ascii="Traditional Arabic"/>
          <w:rtl/>
        </w:rPr>
        <w:t>)</w:t>
      </w:r>
      <w:r w:rsidRPr="008E3E68">
        <w:rPr>
          <w:rtl/>
        </w:rPr>
        <w:t xml:space="preserve"> من قانون المخالفات الإدارية؛ (ج) دفع</w:t>
      </w:r>
      <w:r>
        <w:rPr>
          <w:rtl/>
        </w:rPr>
        <w:t>ُ</w:t>
      </w:r>
      <w:r w:rsidRPr="008E3E68">
        <w:rPr>
          <w:rtl/>
        </w:rPr>
        <w:t xml:space="preserve"> تعويض</w:t>
      </w:r>
      <w:r>
        <w:rPr>
          <w:rtl/>
        </w:rPr>
        <w:t>ٍ</w:t>
      </w:r>
      <w:r w:rsidRPr="008E3E68">
        <w:rPr>
          <w:rtl/>
        </w:rPr>
        <w:t xml:space="preserve"> نقدي عن الأضرار المعنوية التي لحقت به نتيجة احتجاز</w:t>
      </w:r>
      <w:r>
        <w:rPr>
          <w:rtl/>
        </w:rPr>
        <w:t>ِ</w:t>
      </w:r>
      <w:r w:rsidRPr="008E3E68">
        <w:rPr>
          <w:rtl/>
        </w:rPr>
        <w:t>ه واعتقال</w:t>
      </w:r>
      <w:r>
        <w:rPr>
          <w:rtl/>
        </w:rPr>
        <w:t>ِ</w:t>
      </w:r>
      <w:r w:rsidRPr="008E3E68">
        <w:rPr>
          <w:rtl/>
        </w:rPr>
        <w:t>ه وإدانت</w:t>
      </w:r>
      <w:r>
        <w:rPr>
          <w:rtl/>
        </w:rPr>
        <w:t>ِ</w:t>
      </w:r>
      <w:r w:rsidRPr="008E3E68">
        <w:rPr>
          <w:rtl/>
        </w:rPr>
        <w:t>ه وترحيل</w:t>
      </w:r>
      <w:r>
        <w:rPr>
          <w:rtl/>
        </w:rPr>
        <w:t>ِ</w:t>
      </w:r>
      <w:r w:rsidRPr="008E3E68">
        <w:rPr>
          <w:rtl/>
        </w:rPr>
        <w:t>ه؛ (د) إلغاء</w:t>
      </w:r>
      <w:r>
        <w:rPr>
          <w:rtl/>
        </w:rPr>
        <w:t>ُ</w:t>
      </w:r>
      <w:r w:rsidRPr="008E3E68">
        <w:rPr>
          <w:rtl/>
        </w:rPr>
        <w:t xml:space="preserve"> جميع الجزاءات الإدارية أو القضائية السلبية التي من شأنها أن تحول</w:t>
      </w:r>
      <w:r>
        <w:rPr>
          <w:rtl/>
        </w:rPr>
        <w:t>َ</w:t>
      </w:r>
      <w:r w:rsidRPr="008E3E68">
        <w:rPr>
          <w:rtl/>
        </w:rPr>
        <w:t xml:space="preserve"> دون دخوله بحرية إلى طاجيكستان؛ (</w:t>
      </w:r>
      <w:r>
        <w:rPr>
          <w:rtl/>
        </w:rPr>
        <w:t>ه</w:t>
      </w:r>
      <w:r w:rsidRPr="008E3E68">
        <w:rPr>
          <w:rtl/>
        </w:rPr>
        <w:t>) دفع</w:t>
      </w:r>
      <w:r>
        <w:rPr>
          <w:rtl/>
        </w:rPr>
        <w:t>ُ</w:t>
      </w:r>
      <w:r w:rsidRPr="008E3E68">
        <w:rPr>
          <w:rtl/>
        </w:rPr>
        <w:t xml:space="preserve"> تعويض</w:t>
      </w:r>
      <w:r>
        <w:rPr>
          <w:rtl/>
        </w:rPr>
        <w:t>ٍ</w:t>
      </w:r>
      <w:r w:rsidRPr="008E3E68">
        <w:rPr>
          <w:rtl/>
        </w:rPr>
        <w:t xml:space="preserve"> نقدي مناسب</w:t>
      </w:r>
      <w:r>
        <w:rPr>
          <w:rtl/>
        </w:rPr>
        <w:t>ٍ</w:t>
      </w:r>
      <w:r w:rsidRPr="008E3E68">
        <w:rPr>
          <w:rtl/>
        </w:rPr>
        <w:t xml:space="preserve"> له عن النفقات والرسوم القانونية التي تكبّدها في المحاكم المحلية وفي إطار الإجراءات المعروضة على اللجنة. </w:t>
      </w:r>
    </w:p>
    <w:p w14:paraId="3794C4CB" w14:textId="402E0DDF" w:rsidR="0023192C" w:rsidRPr="008D799D" w:rsidRDefault="0023192C" w:rsidP="0023192C">
      <w:pPr>
        <w:pStyle w:val="H23GA"/>
        <w:rPr>
          <w:lang w:val="ar-SA" w:eastAsia="zh-TW" w:bidi="en-GB"/>
        </w:rPr>
      </w:pPr>
      <w:r w:rsidRPr="008D799D">
        <w:rPr>
          <w:rtl/>
        </w:rPr>
        <w:tab/>
      </w:r>
      <w:r w:rsidRPr="008D799D">
        <w:rPr>
          <w:rtl/>
        </w:rPr>
        <w:tab/>
        <w:t>ملاحظات الدولة الطرف بشأن المقبولية والأسسِ</w:t>
      </w:r>
      <w:r w:rsidR="00422D1C" w:rsidRPr="008D799D">
        <w:rPr>
          <w:rtl/>
        </w:rPr>
        <w:t xml:space="preserve"> </w:t>
      </w:r>
      <w:r w:rsidRPr="008D799D">
        <w:rPr>
          <w:rtl/>
        </w:rPr>
        <w:t xml:space="preserve">الموضوعية </w:t>
      </w:r>
    </w:p>
    <w:p w14:paraId="614E6B59" w14:textId="29AAFE75" w:rsidR="0023192C" w:rsidRPr="008E3E68" w:rsidRDefault="0023192C" w:rsidP="0023192C">
      <w:pPr>
        <w:pStyle w:val="SingleTxtGA"/>
        <w:rPr>
          <w:lang w:val="ar-SA" w:eastAsia="zh-TW" w:bidi="en-GB"/>
        </w:rPr>
      </w:pPr>
      <w:r w:rsidRPr="008D799D">
        <w:rPr>
          <w:rtl/>
        </w:rPr>
        <w:t>4</w:t>
      </w:r>
      <w:r w:rsidRPr="008E3E68">
        <w:rPr>
          <w:rFonts w:ascii="Traditional Arabic"/>
          <w:rtl/>
        </w:rPr>
        <w:t>-</w:t>
      </w:r>
      <w:r w:rsidRPr="008D799D">
        <w:rPr>
          <w:rtl/>
        </w:rPr>
        <w:t>1</w:t>
      </w:r>
      <w:r w:rsidRPr="008E3E68">
        <w:rPr>
          <w:rtl/>
        </w:rPr>
        <w:tab/>
        <w:t xml:space="preserve">في مذكرة شفوية مؤرخة </w:t>
      </w:r>
      <w:r w:rsidRPr="008D799D">
        <w:rPr>
          <w:rtl/>
        </w:rPr>
        <w:t>2</w:t>
      </w:r>
      <w:r w:rsidRPr="008E3E68">
        <w:rPr>
          <w:rtl/>
        </w:rPr>
        <w:t xml:space="preserve"> آب/أغسطس </w:t>
      </w:r>
      <w:r w:rsidRPr="008D799D">
        <w:rPr>
          <w:rtl/>
        </w:rPr>
        <w:t>2019</w:t>
      </w:r>
      <w:r w:rsidR="00FF6AD6">
        <w:rPr>
          <w:rtl/>
        </w:rPr>
        <w:t>،</w:t>
      </w:r>
      <w:r w:rsidRPr="008E3E68">
        <w:rPr>
          <w:rtl/>
        </w:rPr>
        <w:t xml:space="preserve"> قدمت الدولة الطرف ملاحظات</w:t>
      </w:r>
      <w:r>
        <w:rPr>
          <w:rtl/>
        </w:rPr>
        <w:t>ِ</w:t>
      </w:r>
      <w:r w:rsidRPr="008E3E68">
        <w:rPr>
          <w:rtl/>
        </w:rPr>
        <w:t xml:space="preserve">ها بشأن </w:t>
      </w:r>
      <w:r>
        <w:rPr>
          <w:rtl/>
        </w:rPr>
        <w:t>ال</w:t>
      </w:r>
      <w:r w:rsidRPr="008E3E68">
        <w:rPr>
          <w:rtl/>
        </w:rPr>
        <w:t>مقبولية و</w:t>
      </w:r>
      <w:r>
        <w:rPr>
          <w:rtl/>
        </w:rPr>
        <w:t>ال</w:t>
      </w:r>
      <w:r w:rsidRPr="008E3E68">
        <w:rPr>
          <w:rtl/>
        </w:rPr>
        <w:t>أ</w:t>
      </w:r>
      <w:r>
        <w:rPr>
          <w:rtl/>
        </w:rPr>
        <w:t>ُ</w:t>
      </w:r>
      <w:r w:rsidRPr="008E3E68">
        <w:rPr>
          <w:rtl/>
        </w:rPr>
        <w:t xml:space="preserve">سس الموضوعية. </w:t>
      </w:r>
      <w:r>
        <w:rPr>
          <w:rtl/>
        </w:rPr>
        <w:t>وتذكر</w:t>
      </w:r>
      <w:r w:rsidR="00EF23BD">
        <w:rPr>
          <w:rFonts w:hint="cs"/>
          <w:rtl/>
        </w:rPr>
        <w:t xml:space="preserve"> </w:t>
      </w:r>
      <w:r w:rsidRPr="008E3E68">
        <w:rPr>
          <w:rtl/>
        </w:rPr>
        <w:t xml:space="preserve">أنّ لجنة الشؤون الدينية التابعة لحكومة طاجيكستان قد سجّلت ميثاق جماعة شهود يهوه الدينية في </w:t>
      </w:r>
      <w:r w:rsidRPr="008D799D">
        <w:rPr>
          <w:rtl/>
        </w:rPr>
        <w:t>15</w:t>
      </w:r>
      <w:r w:rsidRPr="008E3E68">
        <w:rPr>
          <w:rtl/>
        </w:rPr>
        <w:t xml:space="preserve"> كانون الثاني/يناير </w:t>
      </w:r>
      <w:r w:rsidRPr="008D799D">
        <w:rPr>
          <w:rtl/>
        </w:rPr>
        <w:t>1997</w:t>
      </w:r>
      <w:r w:rsidRPr="008E3E68">
        <w:rPr>
          <w:rtl/>
        </w:rPr>
        <w:t xml:space="preserve"> تحت الرقم </w:t>
      </w:r>
      <w:r w:rsidRPr="008D799D">
        <w:rPr>
          <w:rtl/>
        </w:rPr>
        <w:t>13</w:t>
      </w:r>
      <w:r w:rsidRPr="008E3E68">
        <w:rPr>
          <w:rFonts w:ascii="Traditional Arabic"/>
          <w:rtl/>
        </w:rPr>
        <w:t>.</w:t>
      </w:r>
      <w:r w:rsidRPr="008E3E68">
        <w:rPr>
          <w:rtl/>
        </w:rPr>
        <w:t xml:space="preserve"> وقد انتهكت هذه الجماعة الدينية في وقت</w:t>
      </w:r>
      <w:r>
        <w:rPr>
          <w:rtl/>
        </w:rPr>
        <w:t>ٍ</w:t>
      </w:r>
      <w:r w:rsidRPr="008E3E68">
        <w:rPr>
          <w:rtl/>
        </w:rPr>
        <w:t xml:space="preserve"> لاحق</w:t>
      </w:r>
      <w:r w:rsidR="00FF6AD6">
        <w:rPr>
          <w:rtl/>
        </w:rPr>
        <w:t>،</w:t>
      </w:r>
      <w:r w:rsidRPr="008E3E68">
        <w:rPr>
          <w:rtl/>
        </w:rPr>
        <w:t xml:space="preserve"> من خلال</w:t>
      </w:r>
      <w:r>
        <w:rPr>
          <w:rtl/>
        </w:rPr>
        <w:t>ِ</w:t>
      </w:r>
      <w:r w:rsidRPr="008E3E68">
        <w:rPr>
          <w:rtl/>
        </w:rPr>
        <w:t xml:space="preserve"> أنشطت</w:t>
      </w:r>
      <w:r>
        <w:rPr>
          <w:rtl/>
        </w:rPr>
        <w:t>ِ</w:t>
      </w:r>
      <w:r w:rsidRPr="008E3E68">
        <w:rPr>
          <w:rtl/>
        </w:rPr>
        <w:t>ها</w:t>
      </w:r>
      <w:r w:rsidR="00FF6AD6">
        <w:rPr>
          <w:rtl/>
        </w:rPr>
        <w:t>،</w:t>
      </w:r>
      <w:r w:rsidRPr="008E3E68">
        <w:rPr>
          <w:rtl/>
        </w:rPr>
        <w:t xml:space="preserve"> مقتضيات </w:t>
      </w:r>
      <w:r w:rsidRPr="008E3E68">
        <w:rPr>
          <w:rtl/>
        </w:rPr>
        <w:lastRenderedPageBreak/>
        <w:t>التشريعات الحالية لدولة طاجيكستان بصورة منهجية. وفي ضوء ذلك</w:t>
      </w:r>
      <w:r w:rsidR="00FF6AD6">
        <w:rPr>
          <w:rtl/>
        </w:rPr>
        <w:t>،</w:t>
      </w:r>
      <w:r w:rsidRPr="008E3E68">
        <w:rPr>
          <w:rtl/>
        </w:rPr>
        <w:t xml:space="preserve"> أصدرت لجنة الشؤون الدينية أمراَ طلبت فيه من هذه الجماعة الدينية معالجة</w:t>
      </w:r>
      <w:r>
        <w:rPr>
          <w:rtl/>
        </w:rPr>
        <w:t>َ</w:t>
      </w:r>
      <w:r w:rsidRPr="008E3E68">
        <w:rPr>
          <w:rtl/>
        </w:rPr>
        <w:t xml:space="preserve"> انتهاكات </w:t>
      </w:r>
      <w:r>
        <w:rPr>
          <w:rtl/>
        </w:rPr>
        <w:t>ا</w:t>
      </w:r>
      <w:r w:rsidRPr="008E3E68">
        <w:rPr>
          <w:rtl/>
        </w:rPr>
        <w:t>لقانون</w:t>
      </w:r>
      <w:r>
        <w:rPr>
          <w:rtl/>
        </w:rPr>
        <w:t xml:space="preserve"> هذه</w:t>
      </w:r>
      <w:r w:rsidR="00FF6AD6">
        <w:rPr>
          <w:rtl/>
        </w:rPr>
        <w:t>،</w:t>
      </w:r>
      <w:r w:rsidRPr="008E3E68">
        <w:rPr>
          <w:rtl/>
        </w:rPr>
        <w:t xml:space="preserve"> وهو أمر لم تفعله للأسف.</w:t>
      </w:r>
    </w:p>
    <w:p w14:paraId="187919BD" w14:textId="3A6353CB" w:rsidR="0023192C" w:rsidRPr="008E3E68" w:rsidRDefault="0023192C" w:rsidP="0023192C">
      <w:pPr>
        <w:pStyle w:val="SingleTxtGA"/>
        <w:rPr>
          <w:lang w:val="ar-SA" w:eastAsia="zh-TW" w:bidi="en-GB"/>
        </w:rPr>
      </w:pPr>
      <w:r w:rsidRPr="008D799D">
        <w:rPr>
          <w:rtl/>
        </w:rPr>
        <w:t>4</w:t>
      </w:r>
      <w:r w:rsidRPr="008E3E68">
        <w:rPr>
          <w:rFonts w:ascii="Traditional Arabic"/>
          <w:rtl/>
        </w:rPr>
        <w:t>-</w:t>
      </w:r>
      <w:r w:rsidRPr="008D799D">
        <w:rPr>
          <w:rtl/>
        </w:rPr>
        <w:t>2</w:t>
      </w:r>
      <w:r w:rsidRPr="008E3E68">
        <w:rPr>
          <w:rtl/>
        </w:rPr>
        <w:tab/>
      </w:r>
      <w:r>
        <w:rPr>
          <w:rtl/>
        </w:rPr>
        <w:t>و</w:t>
      </w:r>
      <w:r w:rsidRPr="008E3E68">
        <w:rPr>
          <w:rtl/>
        </w:rPr>
        <w:t>بعثت لجنة الشؤون الدينية التابعة لحكومة طاجيكستان بخطاب رسمي</w:t>
      </w:r>
      <w:r w:rsidR="00FF6AD6">
        <w:rPr>
          <w:rtl/>
        </w:rPr>
        <w:t>،</w:t>
      </w:r>
      <w:r w:rsidRPr="008E3E68">
        <w:rPr>
          <w:rtl/>
        </w:rPr>
        <w:t xml:space="preserve"> رقم </w:t>
      </w:r>
      <w:r w:rsidRPr="008D799D">
        <w:rPr>
          <w:rtl/>
        </w:rPr>
        <w:t>271</w:t>
      </w:r>
      <w:r w:rsidR="00FF6AD6">
        <w:rPr>
          <w:rtl/>
        </w:rPr>
        <w:t>،</w:t>
      </w:r>
      <w:r w:rsidRPr="008E3E68">
        <w:rPr>
          <w:rtl/>
        </w:rPr>
        <w:t xml:space="preserve"> مؤرخ </w:t>
      </w:r>
      <w:r w:rsidRPr="008D799D">
        <w:rPr>
          <w:rtl/>
        </w:rPr>
        <w:t>17</w:t>
      </w:r>
      <w:r w:rsidRPr="008E3E68">
        <w:rPr>
          <w:rtl/>
        </w:rPr>
        <w:t xml:space="preserve"> تشرين الأول/أكتوبر </w:t>
      </w:r>
      <w:r w:rsidRPr="008D799D">
        <w:rPr>
          <w:rtl/>
        </w:rPr>
        <w:t>2000</w:t>
      </w:r>
      <w:r w:rsidR="00FF6AD6">
        <w:rPr>
          <w:rtl/>
        </w:rPr>
        <w:t>،</w:t>
      </w:r>
      <w:r w:rsidRPr="008E3E68">
        <w:rPr>
          <w:rtl/>
        </w:rPr>
        <w:t xml:space="preserve"> تأمر فيه ب</w:t>
      </w:r>
      <w:r>
        <w:rPr>
          <w:rtl/>
        </w:rPr>
        <w:t>مراجعة</w:t>
      </w:r>
      <w:r w:rsidRPr="008E3E68">
        <w:rPr>
          <w:rtl/>
        </w:rPr>
        <w:t xml:space="preserve"> البند </w:t>
      </w:r>
      <w:r w:rsidRPr="008D799D">
        <w:rPr>
          <w:rtl/>
        </w:rPr>
        <w:t>2</w:t>
      </w:r>
      <w:r w:rsidRPr="008E3E68">
        <w:rPr>
          <w:rFonts w:ascii="Traditional Arabic"/>
          <w:rtl/>
        </w:rPr>
        <w:t>-</w:t>
      </w:r>
      <w:r w:rsidRPr="008D799D">
        <w:rPr>
          <w:rtl/>
        </w:rPr>
        <w:t>2</w:t>
      </w:r>
      <w:r w:rsidRPr="008E3E68">
        <w:rPr>
          <w:rtl/>
        </w:rPr>
        <w:t xml:space="preserve"> من ميثاق الجماعة الدينية</w:t>
      </w:r>
      <w:r w:rsidR="00FF6AD6">
        <w:rPr>
          <w:rtl/>
        </w:rPr>
        <w:t>،</w:t>
      </w:r>
      <w:r w:rsidRPr="008E3E68">
        <w:rPr>
          <w:rtl/>
        </w:rPr>
        <w:t xml:space="preserve"> لأنه يتعارض مع مقتضيات التشريعات في طاجيكستان. ولم تردّ الجماعة الدينية على التحذير وواصلت نشاطها غير القانوني. ولذلك</w:t>
      </w:r>
      <w:r w:rsidR="00FF6AD6">
        <w:rPr>
          <w:rtl/>
        </w:rPr>
        <w:t>،</w:t>
      </w:r>
      <w:r w:rsidRPr="008E3E68">
        <w:rPr>
          <w:rtl/>
        </w:rPr>
        <w:t xml:space="preserve"> أصدرت لجنة الشؤون الدينية القرار رقم </w:t>
      </w:r>
      <w:r w:rsidRPr="008D799D">
        <w:rPr>
          <w:rtl/>
        </w:rPr>
        <w:t>90</w:t>
      </w:r>
      <w:r w:rsidRPr="008E3E68">
        <w:rPr>
          <w:rtl/>
        </w:rPr>
        <w:t xml:space="preserve"> المؤرخ </w:t>
      </w:r>
      <w:r w:rsidRPr="008D799D">
        <w:rPr>
          <w:rtl/>
        </w:rPr>
        <w:t>11</w:t>
      </w:r>
      <w:r w:rsidRPr="008E3E68">
        <w:rPr>
          <w:rtl/>
        </w:rPr>
        <w:t xml:space="preserve"> أيلول/سبتمبر </w:t>
      </w:r>
      <w:r w:rsidRPr="008D799D">
        <w:rPr>
          <w:rtl/>
        </w:rPr>
        <w:t>2002</w:t>
      </w:r>
      <w:r w:rsidR="00FF6AD6">
        <w:rPr>
          <w:rtl/>
        </w:rPr>
        <w:t>،</w:t>
      </w:r>
      <w:r w:rsidRPr="008E3E68">
        <w:rPr>
          <w:rtl/>
        </w:rPr>
        <w:t xml:space="preserve"> بتعليق نشاط الجماعة الدينية لمدة ثلاثة أشهر لاستخدام</w:t>
      </w:r>
      <w:r>
        <w:rPr>
          <w:rtl/>
        </w:rPr>
        <w:t>ها</w:t>
      </w:r>
      <w:r w:rsidRPr="008E3E68">
        <w:rPr>
          <w:rtl/>
        </w:rPr>
        <w:t xml:space="preserve"> الدعاية في الأماكن العامة وفي منازل المواطنين.</w:t>
      </w:r>
    </w:p>
    <w:p w14:paraId="78DD2A6B" w14:textId="3CA10CFC" w:rsidR="0023192C" w:rsidRPr="008E3E68" w:rsidRDefault="0023192C" w:rsidP="0023192C">
      <w:pPr>
        <w:pStyle w:val="SingleTxtGA"/>
        <w:rPr>
          <w:lang w:val="ar-SA" w:eastAsia="zh-TW" w:bidi="en-GB"/>
        </w:rPr>
      </w:pPr>
      <w:r w:rsidRPr="008D799D">
        <w:rPr>
          <w:rtl/>
        </w:rPr>
        <w:t>4</w:t>
      </w:r>
      <w:r w:rsidRPr="008E3E68">
        <w:rPr>
          <w:rFonts w:ascii="Traditional Arabic"/>
          <w:rtl/>
        </w:rPr>
        <w:t>-</w:t>
      </w:r>
      <w:r w:rsidRPr="008D799D">
        <w:rPr>
          <w:rtl/>
        </w:rPr>
        <w:t>3</w:t>
      </w:r>
      <w:r w:rsidRPr="008E3E68">
        <w:rPr>
          <w:rtl/>
        </w:rPr>
        <w:tab/>
      </w:r>
      <w:r>
        <w:rPr>
          <w:rtl/>
        </w:rPr>
        <w:t>و</w:t>
      </w:r>
      <w:r w:rsidRPr="008E3E68">
        <w:rPr>
          <w:rtl/>
        </w:rPr>
        <w:t>تدّعي الدولة الطرف أن أفراد الجماعة واصلوا أنشطتهم غير القانونية ووز</w:t>
      </w:r>
      <w:r>
        <w:rPr>
          <w:rtl/>
        </w:rPr>
        <w:t>ّ</w:t>
      </w:r>
      <w:r w:rsidRPr="008E3E68">
        <w:rPr>
          <w:rtl/>
        </w:rPr>
        <w:t>عوا كتيّبات وأدبيات وكرّاسات في الأماكن العامة وعلى المنازل وفي الشوارع تحرّض على التعص</w:t>
      </w:r>
      <w:r>
        <w:rPr>
          <w:rtl/>
        </w:rPr>
        <w:t>ّ</w:t>
      </w:r>
      <w:r w:rsidRPr="008E3E68">
        <w:rPr>
          <w:rtl/>
        </w:rPr>
        <w:t>ب والتطر</w:t>
      </w:r>
      <w:r>
        <w:rPr>
          <w:rtl/>
        </w:rPr>
        <w:t>ّ</w:t>
      </w:r>
      <w:r w:rsidRPr="008E3E68">
        <w:rPr>
          <w:rtl/>
        </w:rPr>
        <w:t xml:space="preserve">ف. </w:t>
      </w:r>
      <w:r>
        <w:rPr>
          <w:rtl/>
        </w:rPr>
        <w:t>و</w:t>
      </w:r>
      <w:r w:rsidRPr="008E3E68">
        <w:rPr>
          <w:rtl/>
        </w:rPr>
        <w:t>وفقاً ل</w:t>
      </w:r>
      <w:r>
        <w:rPr>
          <w:rtl/>
        </w:rPr>
        <w:t>ما ذكرته ا</w:t>
      </w:r>
      <w:r w:rsidRPr="008E3E68">
        <w:rPr>
          <w:rtl/>
        </w:rPr>
        <w:t>لدولة الطرف</w:t>
      </w:r>
      <w:r w:rsidR="00FF6AD6">
        <w:rPr>
          <w:rtl/>
        </w:rPr>
        <w:t>،</w:t>
      </w:r>
      <w:r w:rsidRPr="008E3E68">
        <w:rPr>
          <w:rtl/>
        </w:rPr>
        <w:t xml:space="preserve"> جميع الأدبيات والكتيّبات وأشرطة التسجيل السمعية والبصرية التي توزعها منظمة شهود يهوه الدينية تشجّع على التعصب والتطرف وتترك أثراً نفسياً سلبياً على الشباب. وقد </w:t>
      </w:r>
      <w:r>
        <w:rPr>
          <w:rtl/>
        </w:rPr>
        <w:t>ا</w:t>
      </w:r>
      <w:r w:rsidRPr="008E3E68">
        <w:rPr>
          <w:rtl/>
        </w:rPr>
        <w:t>نزعج الناس من النشاط غير المشروع الذي تمارسه جماعة شهود يهوه الدينية والمتمثل بنشر تعاليمها وآرائها وتوزيع أدبياتها في الأماكن العامة والمباني السكنية</w:t>
      </w:r>
      <w:r w:rsidR="00FF6AD6">
        <w:rPr>
          <w:rtl/>
        </w:rPr>
        <w:t>،</w:t>
      </w:r>
      <w:r w:rsidRPr="008E3E68">
        <w:rPr>
          <w:rtl/>
        </w:rPr>
        <w:t xml:space="preserve"> فقدّم العديد من مواطني طاجيكستان شكاوى ضد أفراد الجماعة لدى اجهزة إنفاذ القانون والهيئة الم</w:t>
      </w:r>
      <w:r>
        <w:rPr>
          <w:rtl/>
        </w:rPr>
        <w:t>فوّضة</w:t>
      </w:r>
      <w:r w:rsidRPr="008E3E68">
        <w:rPr>
          <w:rtl/>
        </w:rPr>
        <w:t xml:space="preserve"> بالشؤون الدينية.</w:t>
      </w:r>
      <w:bookmarkStart w:id="2" w:name="_Hlk93492875"/>
      <w:bookmarkEnd w:id="2"/>
    </w:p>
    <w:p w14:paraId="57B14501" w14:textId="45DC4738" w:rsidR="0023192C" w:rsidRPr="00292F0E" w:rsidRDefault="0023192C" w:rsidP="0023192C">
      <w:pPr>
        <w:pStyle w:val="SingleTxtGA"/>
        <w:rPr>
          <w:spacing w:val="-6"/>
          <w:lang w:val="ar-SA" w:eastAsia="zh-TW" w:bidi="en-GB"/>
        </w:rPr>
      </w:pPr>
      <w:r w:rsidRPr="008D799D">
        <w:rPr>
          <w:rtl/>
        </w:rPr>
        <w:t>4</w:t>
      </w:r>
      <w:r w:rsidRPr="008E3E68">
        <w:rPr>
          <w:rFonts w:ascii="Traditional Arabic"/>
          <w:rtl/>
        </w:rPr>
        <w:t>-</w:t>
      </w:r>
      <w:r w:rsidRPr="008D799D">
        <w:rPr>
          <w:rtl/>
        </w:rPr>
        <w:t>4</w:t>
      </w:r>
      <w:r w:rsidRPr="008E3E68">
        <w:rPr>
          <w:rtl/>
        </w:rPr>
        <w:tab/>
      </w:r>
      <w:r>
        <w:rPr>
          <w:rtl/>
        </w:rPr>
        <w:t>و</w:t>
      </w:r>
      <w:r w:rsidRPr="008E3E68">
        <w:rPr>
          <w:rtl/>
        </w:rPr>
        <w:t>نتيجةً لهذه الظروف</w:t>
      </w:r>
      <w:r w:rsidR="00FF6AD6">
        <w:rPr>
          <w:rtl/>
        </w:rPr>
        <w:t>،</w:t>
      </w:r>
      <w:r w:rsidRPr="008E3E68">
        <w:rPr>
          <w:rtl/>
        </w:rPr>
        <w:t xml:space="preserve"> جرى تعليق</w:t>
      </w:r>
      <w:r>
        <w:rPr>
          <w:rtl/>
        </w:rPr>
        <w:t>ُ</w:t>
      </w:r>
      <w:r w:rsidRPr="008E3E68">
        <w:rPr>
          <w:rtl/>
        </w:rPr>
        <w:t xml:space="preserve"> نشاط</w:t>
      </w:r>
      <w:r>
        <w:rPr>
          <w:rtl/>
        </w:rPr>
        <w:t>ِ</w:t>
      </w:r>
      <w:r w:rsidRPr="008E3E68">
        <w:rPr>
          <w:rtl/>
        </w:rPr>
        <w:t xml:space="preserve"> الجماعة لمدة ثلاثة أشهر ثم إنهاؤه وفقاً للرأي </w:t>
      </w:r>
      <w:r w:rsidRPr="008D799D">
        <w:rPr>
          <w:spacing w:val="-2"/>
          <w:rtl/>
        </w:rPr>
        <w:t>رقم</w:t>
      </w:r>
      <w:r w:rsidR="00292F0E" w:rsidRPr="008D799D">
        <w:rPr>
          <w:rFonts w:hint="cs"/>
          <w:spacing w:val="-2"/>
          <w:rtl/>
        </w:rPr>
        <w:t> </w:t>
      </w:r>
      <w:r w:rsidRPr="008D799D">
        <w:rPr>
          <w:spacing w:val="-2"/>
        </w:rPr>
        <w:t>913/3-05</w:t>
      </w:r>
      <w:r w:rsidRPr="008D799D">
        <w:rPr>
          <w:spacing w:val="-2"/>
          <w:rtl/>
        </w:rPr>
        <w:t xml:space="preserve"> الصادر عن المدعي العام في طاجيكستان بتاريخ 27 تموز/يوليه 2007</w:t>
      </w:r>
      <w:r w:rsidR="00FF6AD6" w:rsidRPr="008D799D">
        <w:rPr>
          <w:spacing w:val="-2"/>
          <w:rtl/>
        </w:rPr>
        <w:t>،</w:t>
      </w:r>
      <w:r w:rsidRPr="008D799D">
        <w:rPr>
          <w:spacing w:val="-2"/>
          <w:rtl/>
        </w:rPr>
        <w:t xml:space="preserve"> والقرار رقم</w:t>
      </w:r>
      <w:r w:rsidR="00292F0E" w:rsidRPr="008D799D">
        <w:rPr>
          <w:rFonts w:hint="cs"/>
          <w:spacing w:val="-2"/>
          <w:rtl/>
        </w:rPr>
        <w:t> </w:t>
      </w:r>
      <w:r w:rsidRPr="008D799D">
        <w:rPr>
          <w:spacing w:val="-2"/>
          <w:rtl/>
        </w:rPr>
        <w:t>11</w:t>
      </w:r>
      <w:r w:rsidRPr="008D799D">
        <w:rPr>
          <w:rFonts w:ascii="Traditional Arabic"/>
          <w:spacing w:val="-2"/>
          <w:rtl/>
        </w:rPr>
        <w:t>/</w:t>
      </w:r>
      <w:r w:rsidRPr="008D799D">
        <w:rPr>
          <w:spacing w:val="-2"/>
          <w:rtl/>
        </w:rPr>
        <w:t>3</w:t>
      </w:r>
      <w:r w:rsidRPr="008E3E68">
        <w:rPr>
          <w:rtl/>
        </w:rPr>
        <w:t xml:space="preserve"> الصادر عن وزارة الثقافة في طاجيكستان </w:t>
      </w:r>
      <w:r>
        <w:rPr>
          <w:rtl/>
        </w:rPr>
        <w:lastRenderedPageBreak/>
        <w:t xml:space="preserve">بتاريخ </w:t>
      </w:r>
      <w:r w:rsidRPr="008D799D">
        <w:rPr>
          <w:rtl/>
        </w:rPr>
        <w:t>11</w:t>
      </w:r>
      <w:r w:rsidRPr="008E3E68">
        <w:rPr>
          <w:rtl/>
        </w:rPr>
        <w:t xml:space="preserve"> تشرين الأول/أكتوبر </w:t>
      </w:r>
      <w:r w:rsidRPr="008D799D">
        <w:rPr>
          <w:rtl/>
        </w:rPr>
        <w:t>2007</w:t>
      </w:r>
      <w:r w:rsidR="00FF6AD6">
        <w:rPr>
          <w:rtl/>
        </w:rPr>
        <w:t>،</w:t>
      </w:r>
      <w:r w:rsidRPr="008E3E68">
        <w:rPr>
          <w:rtl/>
        </w:rPr>
        <w:t xml:space="preserve"> بموجب </w:t>
      </w:r>
      <w:r w:rsidRPr="00292F0E">
        <w:rPr>
          <w:spacing w:val="-6"/>
          <w:rtl/>
        </w:rPr>
        <w:t xml:space="preserve">المادة </w:t>
      </w:r>
      <w:r w:rsidRPr="008D799D">
        <w:rPr>
          <w:spacing w:val="-6"/>
          <w:rtl/>
        </w:rPr>
        <w:t>16</w:t>
      </w:r>
      <w:r w:rsidRPr="00292F0E">
        <w:rPr>
          <w:rFonts w:ascii="Traditional Arabic"/>
          <w:spacing w:val="-6"/>
          <w:rtl/>
        </w:rPr>
        <w:t>(</w:t>
      </w:r>
      <w:r w:rsidRPr="008D799D">
        <w:rPr>
          <w:spacing w:val="-6"/>
          <w:rtl/>
        </w:rPr>
        <w:t>2</w:t>
      </w:r>
      <w:r w:rsidRPr="00292F0E">
        <w:rPr>
          <w:rFonts w:ascii="Traditional Arabic"/>
          <w:spacing w:val="-6"/>
          <w:rtl/>
        </w:rPr>
        <w:t>)</w:t>
      </w:r>
      <w:r w:rsidRPr="00292F0E">
        <w:rPr>
          <w:spacing w:val="-6"/>
          <w:rtl/>
        </w:rPr>
        <w:t xml:space="preserve"> من قانون طاجيكستان المتعلق بالدين والمنظمات الدينية. وتمّ إلغاء ميثاق جماعة شهود يهوه الدينية الذي سجّلته لجنة الشؤون الدينية التابعة لحكومة طاجيكستان في </w:t>
      </w:r>
      <w:r w:rsidRPr="008D799D">
        <w:rPr>
          <w:spacing w:val="-6"/>
          <w:rtl/>
        </w:rPr>
        <w:t>15</w:t>
      </w:r>
      <w:r w:rsidRPr="00292F0E">
        <w:rPr>
          <w:spacing w:val="-6"/>
          <w:rtl/>
        </w:rPr>
        <w:t xml:space="preserve"> كانون الثاني/يناير </w:t>
      </w:r>
      <w:r w:rsidRPr="008D799D">
        <w:rPr>
          <w:spacing w:val="-6"/>
          <w:rtl/>
        </w:rPr>
        <w:t>1997</w:t>
      </w:r>
      <w:r w:rsidRPr="00292F0E">
        <w:rPr>
          <w:spacing w:val="-6"/>
          <w:rtl/>
        </w:rPr>
        <w:t xml:space="preserve"> تحت الرقم </w:t>
      </w:r>
      <w:r w:rsidRPr="008D799D">
        <w:rPr>
          <w:spacing w:val="-6"/>
          <w:rtl/>
        </w:rPr>
        <w:t>13</w:t>
      </w:r>
      <w:r w:rsidRPr="00292F0E">
        <w:rPr>
          <w:spacing w:val="-6"/>
          <w:rtl/>
        </w:rPr>
        <w:t>.</w:t>
      </w:r>
    </w:p>
    <w:p w14:paraId="46B11433" w14:textId="75F68E80" w:rsidR="0023192C" w:rsidRPr="003A6C79" w:rsidRDefault="0023192C" w:rsidP="0023192C">
      <w:pPr>
        <w:pStyle w:val="SingleTxtGA"/>
        <w:rPr>
          <w:spacing w:val="-4"/>
          <w:lang w:val="ar-SA" w:eastAsia="zh-TW" w:bidi="en-GB"/>
        </w:rPr>
      </w:pPr>
      <w:r w:rsidRPr="008D799D">
        <w:rPr>
          <w:rtl/>
        </w:rPr>
        <w:t>4</w:t>
      </w:r>
      <w:r w:rsidRPr="008E3E68">
        <w:rPr>
          <w:rFonts w:ascii="Traditional Arabic"/>
          <w:rtl/>
        </w:rPr>
        <w:t>-</w:t>
      </w:r>
      <w:r w:rsidRPr="008D799D">
        <w:rPr>
          <w:rtl/>
        </w:rPr>
        <w:t>5</w:t>
      </w:r>
      <w:r w:rsidRPr="008E3E68">
        <w:rPr>
          <w:rtl/>
        </w:rPr>
        <w:tab/>
        <w:t>وفي هذا الصدد</w:t>
      </w:r>
      <w:r w:rsidR="00FF6AD6">
        <w:rPr>
          <w:rtl/>
        </w:rPr>
        <w:t>،</w:t>
      </w:r>
      <w:r w:rsidRPr="008E3E68">
        <w:rPr>
          <w:rtl/>
        </w:rPr>
        <w:t xml:space="preserve"> لجأ أعضاء</w:t>
      </w:r>
      <w:r>
        <w:rPr>
          <w:rtl/>
        </w:rPr>
        <w:t>ُ</w:t>
      </w:r>
      <w:r w:rsidRPr="008E3E68">
        <w:rPr>
          <w:rtl/>
        </w:rPr>
        <w:t xml:space="preserve"> جماعة</w:t>
      </w:r>
      <w:r>
        <w:rPr>
          <w:rtl/>
        </w:rPr>
        <w:t>ِ</w:t>
      </w:r>
      <w:r w:rsidRPr="008E3E68">
        <w:rPr>
          <w:rtl/>
        </w:rPr>
        <w:t xml:space="preserve"> شهود يهوه الدينية إلى محاكم مختلفة</w:t>
      </w:r>
      <w:r w:rsidR="00FF6AD6">
        <w:rPr>
          <w:rtl/>
        </w:rPr>
        <w:t>،</w:t>
      </w:r>
      <w:r w:rsidRPr="008E3E68">
        <w:rPr>
          <w:rtl/>
        </w:rPr>
        <w:t xml:space="preserve"> لكن الهيئات القضائية المعنية رفضت الموافقة على طلباتهم. </w:t>
      </w:r>
      <w:r>
        <w:rPr>
          <w:rtl/>
        </w:rPr>
        <w:t>و</w:t>
      </w:r>
      <w:r w:rsidRPr="008E3E68">
        <w:rPr>
          <w:rtl/>
        </w:rPr>
        <w:t>عند النظر في القضايا المدنية التي رفعها أعضاء جماعة شهود يهوه الدينية</w:t>
      </w:r>
      <w:r w:rsidR="00FF6AD6">
        <w:rPr>
          <w:rtl/>
        </w:rPr>
        <w:t>،</w:t>
      </w:r>
      <w:r w:rsidRPr="008E3E68">
        <w:rPr>
          <w:rtl/>
        </w:rPr>
        <w:t xml:space="preserve"> قررت المحاكم المعنية أنه لم تقع أي انتهاكات للحقوق المدنية والسياسية لأفراد الجماعة. </w:t>
      </w:r>
      <w:r>
        <w:rPr>
          <w:rtl/>
        </w:rPr>
        <w:t>و</w:t>
      </w:r>
      <w:r w:rsidRPr="008E3E68">
        <w:rPr>
          <w:rtl/>
        </w:rPr>
        <w:t>تمّ النظر</w:t>
      </w:r>
      <w:r>
        <w:rPr>
          <w:rtl/>
        </w:rPr>
        <w:t>ُ</w:t>
      </w:r>
      <w:r w:rsidRPr="008E3E68">
        <w:rPr>
          <w:rtl/>
        </w:rPr>
        <w:t xml:space="preserve"> في هذه القضية بموجب التشريعات في طاجيكستان. وقد تمّ</w:t>
      </w:r>
      <w:r>
        <w:rPr>
          <w:rtl/>
        </w:rPr>
        <w:t xml:space="preserve"> تسيير</w:t>
      </w:r>
      <w:r w:rsidRPr="008E3E68">
        <w:rPr>
          <w:rtl/>
        </w:rPr>
        <w:t xml:space="preserve"> الإجراءات </w:t>
      </w:r>
      <w:r w:rsidRPr="003A6C79">
        <w:rPr>
          <w:spacing w:val="-4"/>
          <w:rtl/>
        </w:rPr>
        <w:t xml:space="preserve">القضائية في القضايا المدنية الخاصة بجماعة شهود يهوه الدينية في محكمة علنية على أساس مبادئ المقاضاة الحضورية وتكافؤ الفرص القانونية؛ ودخلت قرارات المحاكم على جميع المستويات حيّز النفاذ القانوني. </w:t>
      </w:r>
    </w:p>
    <w:p w14:paraId="1260C464" w14:textId="526BB27B" w:rsidR="0023192C" w:rsidRPr="008E3E68" w:rsidRDefault="0023192C" w:rsidP="0023192C">
      <w:pPr>
        <w:pStyle w:val="SingleTxtGA"/>
        <w:rPr>
          <w:lang w:val="ar-SA" w:eastAsia="zh-TW" w:bidi="en-GB"/>
        </w:rPr>
      </w:pPr>
      <w:r w:rsidRPr="008D799D">
        <w:rPr>
          <w:rtl/>
        </w:rPr>
        <w:t>4</w:t>
      </w:r>
      <w:r w:rsidRPr="008E3E68">
        <w:rPr>
          <w:rFonts w:ascii="Traditional Arabic"/>
          <w:rtl/>
        </w:rPr>
        <w:t>-</w:t>
      </w:r>
      <w:r w:rsidRPr="008D799D">
        <w:rPr>
          <w:rtl/>
        </w:rPr>
        <w:t>6</w:t>
      </w:r>
      <w:r w:rsidRPr="008E3E68">
        <w:rPr>
          <w:rtl/>
        </w:rPr>
        <w:tab/>
      </w:r>
      <w:r>
        <w:rPr>
          <w:rtl/>
        </w:rPr>
        <w:t>و</w:t>
      </w:r>
      <w:r w:rsidRPr="008E3E68">
        <w:rPr>
          <w:rtl/>
        </w:rPr>
        <w:t xml:space="preserve">بموجب المادة </w:t>
      </w:r>
      <w:r w:rsidRPr="008D799D">
        <w:rPr>
          <w:rtl/>
        </w:rPr>
        <w:t>42</w:t>
      </w:r>
      <w:r w:rsidRPr="008E3E68">
        <w:rPr>
          <w:rtl/>
        </w:rPr>
        <w:t xml:space="preserve"> من دستور طاجيكستان</w:t>
      </w:r>
      <w:r w:rsidR="00FF6AD6">
        <w:rPr>
          <w:rtl/>
        </w:rPr>
        <w:t>،</w:t>
      </w:r>
      <w:r w:rsidRPr="008E3E68">
        <w:rPr>
          <w:rtl/>
        </w:rPr>
        <w:t xml:space="preserve"> يجب على الحكومة وجميع مواطني الدولة الطرف الامتثال للدستور و</w:t>
      </w:r>
      <w:r>
        <w:rPr>
          <w:rtl/>
        </w:rPr>
        <w:t>ل</w:t>
      </w:r>
      <w:r w:rsidRPr="008E3E68">
        <w:rPr>
          <w:rtl/>
        </w:rPr>
        <w:t xml:space="preserve">لقوانين وتطبيقها والالتزام بالقرارات القضائية الصادرة بصورة قانونية. </w:t>
      </w:r>
    </w:p>
    <w:p w14:paraId="255AFE55" w14:textId="31F77B1B" w:rsidR="0023192C" w:rsidRPr="008E3E68" w:rsidRDefault="0023192C" w:rsidP="0023192C">
      <w:pPr>
        <w:pStyle w:val="SingleTxtGA"/>
        <w:rPr>
          <w:lang w:val="ar-SA" w:eastAsia="zh-TW" w:bidi="en-GB"/>
        </w:rPr>
      </w:pPr>
      <w:r w:rsidRPr="008D799D">
        <w:rPr>
          <w:rtl/>
        </w:rPr>
        <w:t>4</w:t>
      </w:r>
      <w:r w:rsidRPr="008E3E68">
        <w:rPr>
          <w:rFonts w:ascii="Traditional Arabic"/>
          <w:rtl/>
        </w:rPr>
        <w:t>-</w:t>
      </w:r>
      <w:r w:rsidRPr="008D799D">
        <w:rPr>
          <w:rtl/>
        </w:rPr>
        <w:t>7</w:t>
      </w:r>
      <w:r w:rsidRPr="008E3E68">
        <w:rPr>
          <w:rtl/>
        </w:rPr>
        <w:tab/>
      </w:r>
      <w:r>
        <w:rPr>
          <w:rtl/>
        </w:rPr>
        <w:t>وتلا</w:t>
      </w:r>
      <w:r w:rsidRPr="008E3E68">
        <w:rPr>
          <w:rtl/>
        </w:rPr>
        <w:t>حظ الدولة الطرف أن الحجج الواردة في شكوى صاحب البلاغ لا أساس لها من الصحة ولا تتوافق مع الظروف الوقائعية للقضية. وعلى وجه الخصوص</w:t>
      </w:r>
      <w:r w:rsidR="00FF6AD6">
        <w:rPr>
          <w:rtl/>
        </w:rPr>
        <w:t>،</w:t>
      </w:r>
      <w:r w:rsidRPr="008E3E68">
        <w:rPr>
          <w:rtl/>
        </w:rPr>
        <w:t xml:space="preserve"> ووفقاً ل</w:t>
      </w:r>
      <w:r>
        <w:rPr>
          <w:rtl/>
        </w:rPr>
        <w:t>ما ذكرته ال</w:t>
      </w:r>
      <w:r w:rsidRPr="008E3E68">
        <w:rPr>
          <w:rtl/>
        </w:rPr>
        <w:t xml:space="preserve">لجنة </w:t>
      </w:r>
      <w:r>
        <w:rPr>
          <w:rtl/>
        </w:rPr>
        <w:t>الحكومية</w:t>
      </w:r>
      <w:r w:rsidR="003A6C79">
        <w:rPr>
          <w:rFonts w:hint="cs"/>
          <w:rtl/>
        </w:rPr>
        <w:t xml:space="preserve"> </w:t>
      </w:r>
      <w:r w:rsidRPr="008E3E68">
        <w:rPr>
          <w:rtl/>
        </w:rPr>
        <w:t>للأمن القومي في طاجيكستان</w:t>
      </w:r>
      <w:r w:rsidR="00FF6AD6">
        <w:rPr>
          <w:rtl/>
        </w:rPr>
        <w:t>،</w:t>
      </w:r>
      <w:r w:rsidRPr="008E3E68">
        <w:rPr>
          <w:rtl/>
        </w:rPr>
        <w:t xml:space="preserve"> لم يُعتقل صاحب البلاغ ولم يُداه</w:t>
      </w:r>
      <w:r>
        <w:rPr>
          <w:rtl/>
        </w:rPr>
        <w:t>َ</w:t>
      </w:r>
      <w:r w:rsidRPr="008E3E68">
        <w:rPr>
          <w:rtl/>
        </w:rPr>
        <w:t>م منزل</w:t>
      </w:r>
      <w:r>
        <w:rPr>
          <w:rtl/>
        </w:rPr>
        <w:t>ُ</w:t>
      </w:r>
      <w:r w:rsidRPr="008E3E68">
        <w:rPr>
          <w:rtl/>
        </w:rPr>
        <w:t>ه</w:t>
      </w:r>
      <w:r w:rsidR="00FF6AD6">
        <w:rPr>
          <w:rtl/>
        </w:rPr>
        <w:t>،</w:t>
      </w:r>
      <w:r w:rsidRPr="008E3E68">
        <w:rPr>
          <w:rtl/>
        </w:rPr>
        <w:t xml:space="preserve"> كما ورد في شكواه. ففي ذلك الوقت</w:t>
      </w:r>
      <w:r w:rsidR="00FF6AD6">
        <w:rPr>
          <w:rtl/>
        </w:rPr>
        <w:t>،</w:t>
      </w:r>
      <w:r w:rsidRPr="008E3E68">
        <w:rPr>
          <w:rtl/>
        </w:rPr>
        <w:t xml:space="preserve"> كان في شقة ر. ن. د</w:t>
      </w:r>
      <w:r>
        <w:rPr>
          <w:rtl/>
        </w:rPr>
        <w:t>.</w:t>
      </w:r>
      <w:r w:rsidR="00FF6AD6">
        <w:rPr>
          <w:rtl/>
        </w:rPr>
        <w:t>،</w:t>
      </w:r>
      <w:r w:rsidRPr="008E3E68">
        <w:rPr>
          <w:rtl/>
        </w:rPr>
        <w:t xml:space="preserve"> إحدى أتباع شهود يهوه</w:t>
      </w:r>
      <w:r>
        <w:rPr>
          <w:rtl/>
        </w:rPr>
        <w:t>.</w:t>
      </w:r>
    </w:p>
    <w:p w14:paraId="2EDBB9BA" w14:textId="6E3A585C" w:rsidR="0023192C" w:rsidRPr="008E3E68" w:rsidRDefault="0023192C" w:rsidP="0023192C">
      <w:pPr>
        <w:pStyle w:val="SingleTxtGA"/>
        <w:rPr>
          <w:lang w:val="ar-SA" w:eastAsia="zh-TW" w:bidi="en-GB"/>
        </w:rPr>
      </w:pPr>
      <w:r w:rsidRPr="008D799D">
        <w:rPr>
          <w:rtl/>
        </w:rPr>
        <w:t>4</w:t>
      </w:r>
      <w:r w:rsidRPr="008E3E68">
        <w:rPr>
          <w:rFonts w:ascii="Traditional Arabic"/>
          <w:rtl/>
        </w:rPr>
        <w:t>-</w:t>
      </w:r>
      <w:r w:rsidRPr="008D799D">
        <w:rPr>
          <w:rtl/>
        </w:rPr>
        <w:t>8</w:t>
      </w:r>
      <w:r w:rsidRPr="008E3E68">
        <w:rPr>
          <w:rtl/>
        </w:rPr>
        <w:tab/>
      </w:r>
      <w:r w:rsidRPr="00661D97">
        <w:rPr>
          <w:spacing w:val="-2"/>
          <w:rtl/>
        </w:rPr>
        <w:t>وت</w:t>
      </w:r>
      <w:r w:rsidRPr="00661D97">
        <w:rPr>
          <w:spacing w:val="-2"/>
          <w:rtl/>
          <w:lang w:val="en-US"/>
        </w:rPr>
        <w:t>لاحظ</w:t>
      </w:r>
      <w:r w:rsidR="00422D1C" w:rsidRPr="00661D97">
        <w:rPr>
          <w:spacing w:val="-2"/>
          <w:rtl/>
          <w:lang w:val="en-US"/>
        </w:rPr>
        <w:t xml:space="preserve"> </w:t>
      </w:r>
      <w:r w:rsidRPr="00661D97">
        <w:rPr>
          <w:spacing w:val="-2"/>
          <w:rtl/>
        </w:rPr>
        <w:t xml:space="preserve">كذلك أن صاحب البلاغ طُرد من البلد بقرار من المحكمة لأنه انتهك شروط المادة </w:t>
      </w:r>
      <w:r w:rsidRPr="008D799D">
        <w:rPr>
          <w:spacing w:val="-2"/>
          <w:rtl/>
        </w:rPr>
        <w:t>499</w:t>
      </w:r>
      <w:r w:rsidRPr="008E3E68">
        <w:rPr>
          <w:rtl/>
        </w:rPr>
        <w:t xml:space="preserve"> من قانون </w:t>
      </w:r>
      <w:r>
        <w:rPr>
          <w:rtl/>
        </w:rPr>
        <w:t xml:space="preserve">المخالفات </w:t>
      </w:r>
      <w:r w:rsidRPr="008E3E68">
        <w:rPr>
          <w:rtl/>
        </w:rPr>
        <w:t>الإدارية في طاجيكستان وأن قرارها الإجرائي لا يرتبط إطلاقاً بموقفه</w:t>
      </w:r>
      <w:r>
        <w:rPr>
          <w:rtl/>
        </w:rPr>
        <w:t>ا</w:t>
      </w:r>
      <w:r w:rsidRPr="008E3E68">
        <w:rPr>
          <w:rtl/>
        </w:rPr>
        <w:t xml:space="preserve"> تجاه منظمة شهود يهوه الدينية الدولية. </w:t>
      </w:r>
      <w:r>
        <w:rPr>
          <w:rtl/>
        </w:rPr>
        <w:t>و</w:t>
      </w:r>
      <w:r w:rsidRPr="008E3E68">
        <w:rPr>
          <w:rtl/>
        </w:rPr>
        <w:t xml:space="preserve">بالرغم من كل </w:t>
      </w:r>
      <w:r w:rsidRPr="008E3E68">
        <w:rPr>
          <w:rtl/>
        </w:rPr>
        <w:lastRenderedPageBreak/>
        <w:t xml:space="preserve">محاولات صاحب البلاغ </w:t>
      </w:r>
      <w:r>
        <w:rPr>
          <w:rtl/>
        </w:rPr>
        <w:t>ا</w:t>
      </w:r>
      <w:r w:rsidRPr="008E3E68">
        <w:rPr>
          <w:rtl/>
        </w:rPr>
        <w:t>لطعن في مشروعية ترحيله</w:t>
      </w:r>
      <w:r w:rsidR="00FF6AD6">
        <w:rPr>
          <w:rtl/>
        </w:rPr>
        <w:t>،</w:t>
      </w:r>
      <w:r w:rsidRPr="008E3E68">
        <w:rPr>
          <w:rtl/>
        </w:rPr>
        <w:t xml:space="preserve"> تمّ تأييد قرار المحكمة.</w:t>
      </w:r>
    </w:p>
    <w:p w14:paraId="3E70ECE9" w14:textId="7C54A416" w:rsidR="0023192C" w:rsidRPr="008E3E68" w:rsidRDefault="0023192C" w:rsidP="0023192C">
      <w:pPr>
        <w:pStyle w:val="SingleTxtGA"/>
        <w:rPr>
          <w:lang w:val="ar-SA" w:eastAsia="zh-TW" w:bidi="en-GB"/>
        </w:rPr>
      </w:pPr>
      <w:r w:rsidRPr="008D799D">
        <w:rPr>
          <w:rtl/>
        </w:rPr>
        <w:t>4</w:t>
      </w:r>
      <w:r w:rsidRPr="008E3E68">
        <w:rPr>
          <w:rFonts w:ascii="Traditional Arabic"/>
          <w:rtl/>
        </w:rPr>
        <w:t>-</w:t>
      </w:r>
      <w:r w:rsidRPr="008D799D">
        <w:rPr>
          <w:rtl/>
        </w:rPr>
        <w:t>9</w:t>
      </w:r>
      <w:r w:rsidRPr="008E3E68">
        <w:rPr>
          <w:rtl/>
        </w:rPr>
        <w:tab/>
      </w:r>
      <w:r>
        <w:rPr>
          <w:rtl/>
        </w:rPr>
        <w:t>و</w:t>
      </w:r>
      <w:r w:rsidRPr="008E3E68">
        <w:rPr>
          <w:rtl/>
        </w:rPr>
        <w:t>ت</w:t>
      </w:r>
      <w:r>
        <w:rPr>
          <w:rtl/>
        </w:rPr>
        <w:t xml:space="preserve">دفع </w:t>
      </w:r>
      <w:r w:rsidRPr="008E3E68">
        <w:rPr>
          <w:rtl/>
        </w:rPr>
        <w:t xml:space="preserve">الدولة الطرف </w:t>
      </w:r>
      <w:r>
        <w:rPr>
          <w:rtl/>
        </w:rPr>
        <w:t>ب</w:t>
      </w:r>
      <w:r w:rsidRPr="008E3E68">
        <w:rPr>
          <w:rtl/>
        </w:rPr>
        <w:t xml:space="preserve">أن نشاط منظمة شهود يهوه محظور في بلدان عديدة - تحديداً </w:t>
      </w:r>
      <w:r w:rsidRPr="008D799D">
        <w:rPr>
          <w:rtl/>
        </w:rPr>
        <w:t>30</w:t>
      </w:r>
      <w:r w:rsidRPr="008E3E68">
        <w:rPr>
          <w:rtl/>
        </w:rPr>
        <w:t xml:space="preserve"> بلداً - ولا سيما الاتحاد الروسي</w:t>
      </w:r>
      <w:r w:rsidR="00FF6AD6">
        <w:rPr>
          <w:rtl/>
        </w:rPr>
        <w:t>،</w:t>
      </w:r>
      <w:r w:rsidRPr="008E3E68">
        <w:rPr>
          <w:rtl/>
        </w:rPr>
        <w:t xml:space="preserve"> وجمهورية لاو الديمقراطية الشعبية</w:t>
      </w:r>
      <w:r w:rsidR="00FF6AD6">
        <w:rPr>
          <w:rtl/>
        </w:rPr>
        <w:t>،</w:t>
      </w:r>
      <w:r w:rsidRPr="008E3E68">
        <w:rPr>
          <w:rtl/>
        </w:rPr>
        <w:t xml:space="preserve"> </w:t>
      </w:r>
      <w:r>
        <w:rPr>
          <w:rtl/>
        </w:rPr>
        <w:t>وسنغافورة</w:t>
      </w:r>
      <w:r w:rsidR="00FF6AD6">
        <w:rPr>
          <w:rtl/>
        </w:rPr>
        <w:t>،</w:t>
      </w:r>
      <w:r>
        <w:rPr>
          <w:rtl/>
        </w:rPr>
        <w:t xml:space="preserve"> والصين</w:t>
      </w:r>
      <w:r w:rsidR="00FF6AD6">
        <w:rPr>
          <w:rtl/>
        </w:rPr>
        <w:t>،</w:t>
      </w:r>
      <w:r>
        <w:rPr>
          <w:rtl/>
        </w:rPr>
        <w:t xml:space="preserve"> وفييت نام</w:t>
      </w:r>
      <w:r w:rsidR="00FF6AD6">
        <w:rPr>
          <w:rtl/>
        </w:rPr>
        <w:t>،</w:t>
      </w:r>
      <w:r>
        <w:rPr>
          <w:rtl/>
        </w:rPr>
        <w:t xml:space="preserve"> </w:t>
      </w:r>
      <w:r w:rsidRPr="008E3E68">
        <w:rPr>
          <w:rtl/>
        </w:rPr>
        <w:t>ومصر. وليست البلدان التي يُعتنق فيها الإسلام وحدها التي ي</w:t>
      </w:r>
      <w:r>
        <w:rPr>
          <w:rtl/>
        </w:rPr>
        <w:t>ُ</w:t>
      </w:r>
      <w:r w:rsidRPr="008E3E68">
        <w:rPr>
          <w:rtl/>
        </w:rPr>
        <w:t>حظّر فيها نشاط</w:t>
      </w:r>
      <w:r>
        <w:rPr>
          <w:rtl/>
        </w:rPr>
        <w:t>ُ</w:t>
      </w:r>
      <w:r w:rsidRPr="008E3E68">
        <w:rPr>
          <w:rtl/>
        </w:rPr>
        <w:t xml:space="preserve"> هذه الطائفة</w:t>
      </w:r>
      <w:r w:rsidR="00FF6AD6">
        <w:rPr>
          <w:rtl/>
        </w:rPr>
        <w:t>،</w:t>
      </w:r>
      <w:r w:rsidRPr="008E3E68">
        <w:rPr>
          <w:rtl/>
        </w:rPr>
        <w:t xml:space="preserve"> بل أيضاً البلدان التي تضمّ أنصاراً للبوذية والمسيحية وغيرها من الأديان. ويعتبر أ</w:t>
      </w:r>
      <w:r>
        <w:rPr>
          <w:rtl/>
        </w:rPr>
        <w:t>فراد</w:t>
      </w:r>
      <w:r w:rsidRPr="008E3E68">
        <w:rPr>
          <w:rtl/>
        </w:rPr>
        <w:t xml:space="preserve"> جماعة شهود يهوه الدينية أنّ المسلمين تحديداً هم خصومهم في الإيديولوجيا. وفي هذا الصدد</w:t>
      </w:r>
      <w:r w:rsidR="00FF6AD6">
        <w:rPr>
          <w:rtl/>
        </w:rPr>
        <w:t>،</w:t>
      </w:r>
      <w:r w:rsidRPr="008E3E68">
        <w:rPr>
          <w:rtl/>
        </w:rPr>
        <w:t xml:space="preserve"> يؤدي </w:t>
      </w:r>
      <w:r>
        <w:rPr>
          <w:rtl/>
        </w:rPr>
        <w:t>التبشير الذي يمارسونه</w:t>
      </w:r>
      <w:r w:rsidRPr="008E3E68">
        <w:rPr>
          <w:rtl/>
        </w:rPr>
        <w:t xml:space="preserve"> إلى التحريض </w:t>
      </w:r>
      <w:r>
        <w:rPr>
          <w:rtl/>
        </w:rPr>
        <w:t xml:space="preserve">فعلياً </w:t>
      </w:r>
      <w:r w:rsidRPr="008E3E68">
        <w:rPr>
          <w:rtl/>
        </w:rPr>
        <w:t xml:space="preserve">على الكراهية والعداوة الدينية. ويبيّن تحليل </w:t>
      </w:r>
      <w:r>
        <w:rPr>
          <w:rtl/>
        </w:rPr>
        <w:t>وضع</w:t>
      </w:r>
      <w:r w:rsidRPr="008E3E68">
        <w:rPr>
          <w:rtl/>
        </w:rPr>
        <w:t xml:space="preserve"> هذه المنظمة الدينية أن الاحتكاك بين المسلمين وشهود يهوه ليس بالأمر الجديد</w:t>
      </w:r>
      <w:r w:rsidR="00FF6AD6">
        <w:rPr>
          <w:rtl/>
        </w:rPr>
        <w:t>،</w:t>
      </w:r>
      <w:r w:rsidRPr="008E3E68">
        <w:rPr>
          <w:rtl/>
        </w:rPr>
        <w:t xml:space="preserve"> حيث يمارس شهود يهوه التبشير بصورة ناشطة</w:t>
      </w:r>
      <w:r w:rsidR="00FF6AD6">
        <w:rPr>
          <w:rtl/>
        </w:rPr>
        <w:t>،</w:t>
      </w:r>
      <w:r w:rsidRPr="008E3E68">
        <w:rPr>
          <w:rtl/>
        </w:rPr>
        <w:t xml:space="preserve"> م</w:t>
      </w:r>
      <w:r>
        <w:rPr>
          <w:rtl/>
        </w:rPr>
        <w:t>ُ</w:t>
      </w:r>
      <w:r w:rsidRPr="008E3E68">
        <w:rPr>
          <w:rtl/>
        </w:rPr>
        <w:t>تحدّين صدق</w:t>
      </w:r>
      <w:r>
        <w:rPr>
          <w:rtl/>
        </w:rPr>
        <w:t>َ</w:t>
      </w:r>
      <w:r w:rsidRPr="008E3E68">
        <w:rPr>
          <w:rtl/>
        </w:rPr>
        <w:t xml:space="preserve"> القرآن وصحت</w:t>
      </w:r>
      <w:r>
        <w:rPr>
          <w:rtl/>
        </w:rPr>
        <w:t>َ</w:t>
      </w:r>
      <w:r w:rsidRPr="008E3E68">
        <w:rPr>
          <w:rtl/>
        </w:rPr>
        <w:t>ه. ويقولون في مقالاتهم إن الإسلام سبّب الحروب</w:t>
      </w:r>
      <w:r>
        <w:rPr>
          <w:rtl/>
        </w:rPr>
        <w:t>َ</w:t>
      </w:r>
      <w:r w:rsidRPr="008E3E68">
        <w:rPr>
          <w:rtl/>
        </w:rPr>
        <w:t xml:space="preserve"> والكثير من الموت</w:t>
      </w:r>
      <w:r>
        <w:rPr>
          <w:rtl/>
        </w:rPr>
        <w:t>ِ</w:t>
      </w:r>
      <w:r w:rsidRPr="008E3E68">
        <w:rPr>
          <w:rtl/>
        </w:rPr>
        <w:t xml:space="preserve"> والدمار</w:t>
      </w:r>
      <w:r w:rsidR="00FF6AD6">
        <w:rPr>
          <w:rtl/>
        </w:rPr>
        <w:t>،</w:t>
      </w:r>
      <w:r w:rsidRPr="008E3E68">
        <w:rPr>
          <w:rtl/>
        </w:rPr>
        <w:t xml:space="preserve"> ويتحد</w:t>
      </w:r>
      <w:r>
        <w:rPr>
          <w:rtl/>
        </w:rPr>
        <w:t>ّ</w:t>
      </w:r>
      <w:r w:rsidRPr="008E3E68">
        <w:rPr>
          <w:rtl/>
        </w:rPr>
        <w:t>ثون أيضاً عن فجور الدين بسبب أمور منها تعدّد الزوجات والزواج المؤقت. وبالنظر إلى كل الحقائق المذكورة أعلاه</w:t>
      </w:r>
      <w:r w:rsidR="00FF6AD6">
        <w:rPr>
          <w:rtl/>
        </w:rPr>
        <w:t>،</w:t>
      </w:r>
      <w:r w:rsidRPr="008E3E68">
        <w:rPr>
          <w:rtl/>
        </w:rPr>
        <w:t xml:space="preserve"> من الواضح أن نشاط شهود يهوه موجّه ضد جميع أديان العالم</w:t>
      </w:r>
      <w:r w:rsidR="00FF6AD6">
        <w:rPr>
          <w:rtl/>
        </w:rPr>
        <w:t>،</w:t>
      </w:r>
      <w:r w:rsidRPr="008E3E68">
        <w:rPr>
          <w:rtl/>
        </w:rPr>
        <w:t xml:space="preserve"> وبالتالي فهو خطير للغاية.</w:t>
      </w:r>
    </w:p>
    <w:p w14:paraId="0D3D8668" w14:textId="402A2A4E" w:rsidR="0023192C" w:rsidRPr="008E3E68" w:rsidRDefault="0023192C" w:rsidP="0023192C">
      <w:pPr>
        <w:pStyle w:val="SingleTxtGA"/>
        <w:rPr>
          <w:lang w:val="ar-SA" w:eastAsia="zh-TW" w:bidi="en-GB"/>
        </w:rPr>
      </w:pPr>
      <w:r w:rsidRPr="008D799D">
        <w:rPr>
          <w:rtl/>
        </w:rPr>
        <w:t>4</w:t>
      </w:r>
      <w:r w:rsidRPr="008E3E68">
        <w:rPr>
          <w:rFonts w:ascii="Traditional Arabic"/>
          <w:rtl/>
        </w:rPr>
        <w:t>-</w:t>
      </w:r>
      <w:r w:rsidRPr="008D799D">
        <w:rPr>
          <w:rtl/>
        </w:rPr>
        <w:t>10</w:t>
      </w:r>
      <w:r w:rsidR="003A6C79">
        <w:rPr>
          <w:rtl/>
        </w:rPr>
        <w:tab/>
      </w:r>
      <w:r>
        <w:rPr>
          <w:rtl/>
        </w:rPr>
        <w:t>و</w:t>
      </w:r>
      <w:r w:rsidRPr="008E3E68">
        <w:rPr>
          <w:rtl/>
        </w:rPr>
        <w:t>بالإضافة إلى ذلك</w:t>
      </w:r>
      <w:r w:rsidR="00FF6AD6">
        <w:rPr>
          <w:rtl/>
        </w:rPr>
        <w:t>،</w:t>
      </w:r>
      <w:r w:rsidRPr="008E3E68">
        <w:rPr>
          <w:rtl/>
        </w:rPr>
        <w:t xml:space="preserve"> تؤكد الدولة الطرف أن</w:t>
      </w:r>
      <w:r>
        <w:rPr>
          <w:rtl/>
        </w:rPr>
        <w:t>ّ</w:t>
      </w:r>
      <w:r w:rsidRPr="008E3E68">
        <w:rPr>
          <w:rtl/>
        </w:rPr>
        <w:t xml:space="preserve"> الأدبيات الدعائية الخاصة بشهود يهوه خطيرة من حيث تأثيرها على الناس عن وعي ولا شعورياً</w:t>
      </w:r>
      <w:r w:rsidR="00FF6AD6">
        <w:rPr>
          <w:rtl/>
        </w:rPr>
        <w:t>،</w:t>
      </w:r>
      <w:r w:rsidRPr="008E3E68">
        <w:rPr>
          <w:rtl/>
        </w:rPr>
        <w:t xml:space="preserve"> وبالتالي تغسل أدمغتهم. ويتظاهر أ</w:t>
      </w:r>
      <w:r>
        <w:rPr>
          <w:rtl/>
        </w:rPr>
        <w:t>فراد</w:t>
      </w:r>
      <w:r w:rsidRPr="008E3E68">
        <w:rPr>
          <w:rtl/>
        </w:rPr>
        <w:t xml:space="preserve"> هذه الطائفة بأنهم مسيحيون أرثوذكس؛ وكمثال على ذلك ما حدث في عام </w:t>
      </w:r>
      <w:r w:rsidRPr="008D799D">
        <w:rPr>
          <w:rtl/>
        </w:rPr>
        <w:t>2018</w:t>
      </w:r>
      <w:r w:rsidRPr="008E3E68">
        <w:rPr>
          <w:rtl/>
        </w:rPr>
        <w:t xml:space="preserve"> في مدينة بانجاكنت</w:t>
      </w:r>
      <w:r w:rsidR="00FF6AD6">
        <w:rPr>
          <w:rtl/>
        </w:rPr>
        <w:t>،</w:t>
      </w:r>
      <w:r w:rsidRPr="008E3E68">
        <w:rPr>
          <w:rtl/>
        </w:rPr>
        <w:t xml:space="preserve"> ح</w:t>
      </w:r>
      <w:r>
        <w:rPr>
          <w:rtl/>
        </w:rPr>
        <w:t>ين</w:t>
      </w:r>
      <w:r w:rsidRPr="008E3E68">
        <w:rPr>
          <w:rtl/>
        </w:rPr>
        <w:t xml:space="preserve"> أطلق "أتباع يهوه" على أنفسهم اسم "أرثوذكس" ونظموا احتجاجات مناهضة لبناء كنيسة أرثوذكسية في مقبرة روسية. </w:t>
      </w:r>
      <w:r>
        <w:rPr>
          <w:rtl/>
        </w:rPr>
        <w:t>و</w:t>
      </w:r>
      <w:r w:rsidRPr="008E3E68">
        <w:rPr>
          <w:rtl/>
        </w:rPr>
        <w:t xml:space="preserve">إنّ طائفة شهود يهوه موجودة منذ عام </w:t>
      </w:r>
      <w:r w:rsidRPr="008D799D">
        <w:rPr>
          <w:rtl/>
        </w:rPr>
        <w:t>1870</w:t>
      </w:r>
      <w:r w:rsidR="00FF6AD6">
        <w:rPr>
          <w:rtl/>
        </w:rPr>
        <w:t>،</w:t>
      </w:r>
      <w:r w:rsidR="00FF6AD6" w:rsidRPr="008E3E68">
        <w:rPr>
          <w:rtl/>
        </w:rPr>
        <w:t xml:space="preserve"> و</w:t>
      </w:r>
      <w:r>
        <w:rPr>
          <w:rtl/>
        </w:rPr>
        <w:t>منذ البداية</w:t>
      </w:r>
      <w:r w:rsidR="00FF6AD6">
        <w:rPr>
          <w:rtl/>
        </w:rPr>
        <w:t>،</w:t>
      </w:r>
      <w:r>
        <w:rPr>
          <w:rtl/>
        </w:rPr>
        <w:t xml:space="preserve"> </w:t>
      </w:r>
      <w:r w:rsidRPr="008E3E68">
        <w:rPr>
          <w:rtl/>
        </w:rPr>
        <w:t>تصرّف أتباع يهوه بصورة متطرفة</w:t>
      </w:r>
      <w:r w:rsidR="00FF6AD6">
        <w:rPr>
          <w:rtl/>
        </w:rPr>
        <w:t>،</w:t>
      </w:r>
      <w:r w:rsidRPr="008E3E68">
        <w:rPr>
          <w:rtl/>
        </w:rPr>
        <w:t xml:space="preserve"> حيث</w:t>
      </w:r>
      <w:r>
        <w:rPr>
          <w:rtl/>
        </w:rPr>
        <w:t xml:space="preserve"> كانوا</w:t>
      </w:r>
      <w:r w:rsidRPr="008E3E68">
        <w:rPr>
          <w:rtl/>
        </w:rPr>
        <w:t xml:space="preserve"> يدمّرون العلاقات الأسرية ويعارضون سلطات الدولة.</w:t>
      </w:r>
    </w:p>
    <w:p w14:paraId="0C59FC81" w14:textId="12C73F6F" w:rsidR="0023192C" w:rsidRPr="00610CEC" w:rsidRDefault="0023192C" w:rsidP="0023192C">
      <w:pPr>
        <w:pStyle w:val="SingleTxtGA"/>
        <w:rPr>
          <w:lang w:val="en-US" w:eastAsia="zh-TW" w:bidi="en-GB"/>
        </w:rPr>
      </w:pPr>
      <w:r w:rsidRPr="008D799D">
        <w:rPr>
          <w:rtl/>
        </w:rPr>
        <w:lastRenderedPageBreak/>
        <w:t>4</w:t>
      </w:r>
      <w:r w:rsidRPr="008E3E68">
        <w:rPr>
          <w:rFonts w:ascii="Traditional Arabic"/>
          <w:rtl/>
        </w:rPr>
        <w:t>-</w:t>
      </w:r>
      <w:r w:rsidRPr="008D799D">
        <w:rPr>
          <w:rtl/>
        </w:rPr>
        <w:t>11</w:t>
      </w:r>
      <w:r w:rsidR="003A6C79">
        <w:rPr>
          <w:rFonts w:ascii="Traditional Arabic"/>
          <w:rtl/>
        </w:rPr>
        <w:tab/>
      </w:r>
      <w:r>
        <w:rPr>
          <w:rtl/>
        </w:rPr>
        <w:t>و</w:t>
      </w:r>
      <w:r w:rsidRPr="008E3E68">
        <w:rPr>
          <w:rtl/>
        </w:rPr>
        <w:t xml:space="preserve">وفقاً </w:t>
      </w:r>
      <w:r>
        <w:rPr>
          <w:rtl/>
        </w:rPr>
        <w:t>ل</w:t>
      </w:r>
      <w:r w:rsidRPr="008E3E68">
        <w:rPr>
          <w:rtl/>
        </w:rPr>
        <w:t xml:space="preserve">لمادة </w:t>
      </w:r>
      <w:r w:rsidRPr="008D799D">
        <w:rPr>
          <w:rtl/>
        </w:rPr>
        <w:t>8</w:t>
      </w:r>
      <w:r>
        <w:rPr>
          <w:rtl/>
        </w:rPr>
        <w:t>(</w:t>
      </w:r>
      <w:r w:rsidRPr="008D799D">
        <w:rPr>
          <w:rtl/>
        </w:rPr>
        <w:t>5</w:t>
      </w:r>
      <w:r>
        <w:rPr>
          <w:rtl/>
        </w:rPr>
        <w:t xml:space="preserve">) </w:t>
      </w:r>
      <w:r w:rsidRPr="008E3E68">
        <w:rPr>
          <w:rtl/>
        </w:rPr>
        <w:t>من دستور طاجيكستان</w:t>
      </w:r>
      <w:r w:rsidR="00FF6AD6">
        <w:rPr>
          <w:rtl/>
        </w:rPr>
        <w:t>،</w:t>
      </w:r>
      <w:r w:rsidRPr="008E3E68">
        <w:rPr>
          <w:rtl/>
        </w:rPr>
        <w:t xml:space="preserve"> ترى وزارة الداخلية في طاجيكستان أن </w:t>
      </w:r>
      <w:r>
        <w:rPr>
          <w:rtl/>
        </w:rPr>
        <w:t xml:space="preserve">من المستصوب </w:t>
      </w:r>
      <w:r w:rsidRPr="008E3E68">
        <w:rPr>
          <w:rtl/>
        </w:rPr>
        <w:t>الاعتراف بجماعة شهود يهوه الدينية كمنظمة متطرفة في طاجيكستان</w:t>
      </w:r>
      <w:r w:rsidR="00FF6AD6">
        <w:rPr>
          <w:rtl/>
        </w:rPr>
        <w:t>،</w:t>
      </w:r>
      <w:r>
        <w:rPr>
          <w:rtl/>
        </w:rPr>
        <w:t xml:space="preserve"> </w:t>
      </w:r>
      <w:r w:rsidRPr="008E3E68">
        <w:rPr>
          <w:rtl/>
        </w:rPr>
        <w:t>لمنع التحريض على الكراهية أو العداوة والمعاملة المهينة لشخص أو مجموعة من الأشخاص على أساس العرق والدين والعضوية في أي فئة اجتماعية</w:t>
      </w:r>
      <w:r w:rsidR="00610CEC">
        <w:rPr>
          <w:rFonts w:hint="cs"/>
          <w:rtl/>
        </w:rPr>
        <w:t>.</w:t>
      </w:r>
    </w:p>
    <w:p w14:paraId="7338A798" w14:textId="30BFB403" w:rsidR="0023192C" w:rsidRPr="008E3E68" w:rsidRDefault="0023192C" w:rsidP="0023192C">
      <w:pPr>
        <w:pStyle w:val="SingleTxtGA"/>
        <w:rPr>
          <w:lang w:val="ar-SA" w:eastAsia="zh-TW" w:bidi="en-GB"/>
        </w:rPr>
      </w:pPr>
      <w:r w:rsidRPr="008D799D">
        <w:rPr>
          <w:rtl/>
        </w:rPr>
        <w:t>4</w:t>
      </w:r>
      <w:r w:rsidRPr="008E3E68">
        <w:rPr>
          <w:rFonts w:ascii="Traditional Arabic"/>
          <w:rtl/>
        </w:rPr>
        <w:t>-</w:t>
      </w:r>
      <w:r w:rsidRPr="008D799D">
        <w:rPr>
          <w:rtl/>
        </w:rPr>
        <w:t>12</w:t>
      </w:r>
      <w:r w:rsidR="00610CEC">
        <w:rPr>
          <w:rFonts w:ascii="Traditional Arabic"/>
          <w:rtl/>
        </w:rPr>
        <w:tab/>
      </w:r>
      <w:r>
        <w:rPr>
          <w:rFonts w:ascii="Traditional Arabic"/>
          <w:rtl/>
        </w:rPr>
        <w:t>و</w:t>
      </w:r>
      <w:r w:rsidRPr="008E3E68">
        <w:rPr>
          <w:rtl/>
        </w:rPr>
        <w:t xml:space="preserve">تشير الدولة الطرف الى أنه لا يمكن للجنة القبول بشكوى والنظر فيها إلا بعد استنفاد جميع سبل الانتصاف المحلية. </w:t>
      </w:r>
      <w:r>
        <w:rPr>
          <w:rtl/>
        </w:rPr>
        <w:t>و</w:t>
      </w:r>
      <w:r w:rsidRPr="008E3E68">
        <w:rPr>
          <w:rtl/>
        </w:rPr>
        <w:t>تدّعي الدولة الطرف</w:t>
      </w:r>
      <w:r>
        <w:rPr>
          <w:rtl/>
        </w:rPr>
        <w:t xml:space="preserve"> أيضاً</w:t>
      </w:r>
      <w:r w:rsidRPr="008E3E68">
        <w:rPr>
          <w:rtl/>
        </w:rPr>
        <w:t xml:space="preserve"> أنه وفقاً للمادتين </w:t>
      </w:r>
      <w:r w:rsidRPr="008D799D">
        <w:rPr>
          <w:rtl/>
        </w:rPr>
        <w:t>183</w:t>
      </w:r>
      <w:r w:rsidRPr="008E3E68">
        <w:rPr>
          <w:rtl/>
        </w:rPr>
        <w:t xml:space="preserve"> و</w:t>
      </w:r>
      <w:r w:rsidRPr="008D799D">
        <w:rPr>
          <w:rtl/>
        </w:rPr>
        <w:t>184</w:t>
      </w:r>
      <w:r w:rsidRPr="008E3E68">
        <w:rPr>
          <w:rtl/>
        </w:rPr>
        <w:t xml:space="preserve"> من قانون الإجراءات المتعلقة بال</w:t>
      </w:r>
      <w:r>
        <w:rPr>
          <w:rtl/>
        </w:rPr>
        <w:t>مخالفات</w:t>
      </w:r>
      <w:r w:rsidR="00422D1C">
        <w:rPr>
          <w:rtl/>
        </w:rPr>
        <w:t xml:space="preserve"> </w:t>
      </w:r>
      <w:r w:rsidRPr="008E3E68">
        <w:rPr>
          <w:rtl/>
        </w:rPr>
        <w:t>الإدارية في طاجيكستان</w:t>
      </w:r>
      <w:r w:rsidR="00FF6AD6">
        <w:rPr>
          <w:rtl/>
        </w:rPr>
        <w:t>،</w:t>
      </w:r>
      <w:r w:rsidRPr="008E3E68">
        <w:rPr>
          <w:rtl/>
        </w:rPr>
        <w:t xml:space="preserve"> كان لصاحب البلاغ الحق في تقديم طلب مراجعة قضائية رقابية إلى المحكمة العليا في طاجيكستان. ولم يست</w:t>
      </w:r>
      <w:r>
        <w:rPr>
          <w:rtl/>
        </w:rPr>
        <w:t>فد</w:t>
      </w:r>
      <w:r w:rsidRPr="008E3E68">
        <w:rPr>
          <w:rtl/>
        </w:rPr>
        <w:t xml:space="preserve"> صاحب المطالبة من هذا الحق</w:t>
      </w:r>
      <w:r w:rsidR="00FF6AD6">
        <w:rPr>
          <w:rtl/>
        </w:rPr>
        <w:t>،</w:t>
      </w:r>
      <w:r w:rsidRPr="008E3E68">
        <w:rPr>
          <w:rtl/>
        </w:rPr>
        <w:t xml:space="preserve"> وبالتالي لم يستنفد جميع سبل الانتصاف المحلية اللازمة. وفي ضوء ما ورد أعلاه</w:t>
      </w:r>
      <w:r w:rsidR="00FF6AD6">
        <w:rPr>
          <w:rtl/>
        </w:rPr>
        <w:t>،</w:t>
      </w:r>
      <w:r w:rsidRPr="008E3E68">
        <w:rPr>
          <w:rtl/>
        </w:rPr>
        <w:t xml:space="preserve"> تخلص الدولة الطرف إلى أن</w:t>
      </w:r>
      <w:r>
        <w:rPr>
          <w:rtl/>
        </w:rPr>
        <w:t>ّ</w:t>
      </w:r>
      <w:r w:rsidRPr="008E3E68">
        <w:rPr>
          <w:rtl/>
        </w:rPr>
        <w:t xml:space="preserve"> الشكوى رُفعت إلى اللجنة قبل الأوان. </w:t>
      </w:r>
    </w:p>
    <w:p w14:paraId="5F825E0A" w14:textId="77777777" w:rsidR="0023192C" w:rsidRPr="008D799D" w:rsidRDefault="0023192C" w:rsidP="0023192C">
      <w:pPr>
        <w:pStyle w:val="H23GA"/>
        <w:rPr>
          <w:lang w:val="ar-SA" w:eastAsia="zh-TW" w:bidi="en-GB"/>
        </w:rPr>
      </w:pPr>
      <w:r w:rsidRPr="008D799D">
        <w:rPr>
          <w:rtl/>
        </w:rPr>
        <w:tab/>
      </w:r>
      <w:r w:rsidRPr="008D799D">
        <w:rPr>
          <w:rtl/>
        </w:rPr>
        <w:tab/>
        <w:t>تعليقات صاحب البلاغ على ملاحظات الدولة الطرف</w:t>
      </w:r>
    </w:p>
    <w:p w14:paraId="275E8E29" w14:textId="065D667C" w:rsidR="0023192C" w:rsidRPr="00661D97" w:rsidRDefault="0023192C" w:rsidP="0023192C">
      <w:pPr>
        <w:pStyle w:val="SingleTxtGA"/>
        <w:rPr>
          <w:lang w:val="en-US" w:eastAsia="zh-TW" w:bidi="en-GB"/>
        </w:rPr>
      </w:pPr>
      <w:r w:rsidRPr="008D799D">
        <w:rPr>
          <w:rtl/>
        </w:rPr>
        <w:t>5</w:t>
      </w:r>
      <w:r w:rsidRPr="008E3E68">
        <w:rPr>
          <w:rFonts w:ascii="Traditional Arabic"/>
          <w:rtl/>
        </w:rPr>
        <w:t>-</w:t>
      </w:r>
      <w:r w:rsidRPr="008D799D">
        <w:rPr>
          <w:rtl/>
        </w:rPr>
        <w:t>1</w:t>
      </w:r>
      <w:r w:rsidRPr="008E3E68">
        <w:rPr>
          <w:rtl/>
        </w:rPr>
        <w:tab/>
        <w:t xml:space="preserve">في </w:t>
      </w:r>
      <w:r w:rsidRPr="008D799D">
        <w:rPr>
          <w:rtl/>
        </w:rPr>
        <w:t>17</w:t>
      </w:r>
      <w:r w:rsidRPr="008E3E68">
        <w:rPr>
          <w:rtl/>
        </w:rPr>
        <w:t xml:space="preserve"> تشرين الأول/أكتوبر </w:t>
      </w:r>
      <w:r w:rsidRPr="008D799D">
        <w:rPr>
          <w:rtl/>
        </w:rPr>
        <w:t>2019</w:t>
      </w:r>
      <w:r w:rsidR="00FF6AD6">
        <w:rPr>
          <w:rtl/>
        </w:rPr>
        <w:t>،</w:t>
      </w:r>
      <w:r w:rsidRPr="008E3E68">
        <w:rPr>
          <w:rtl/>
        </w:rPr>
        <w:t xml:space="preserve"> قد</w:t>
      </w:r>
      <w:r>
        <w:rPr>
          <w:rtl/>
        </w:rPr>
        <w:t>ّ</w:t>
      </w:r>
      <w:r w:rsidRPr="008E3E68">
        <w:rPr>
          <w:rtl/>
        </w:rPr>
        <w:t>م صاحب</w:t>
      </w:r>
      <w:r>
        <w:rPr>
          <w:rtl/>
        </w:rPr>
        <w:t>ُ</w:t>
      </w:r>
      <w:r w:rsidRPr="008E3E68">
        <w:rPr>
          <w:rtl/>
        </w:rPr>
        <w:t xml:space="preserve"> البلاغ تعليقات</w:t>
      </w:r>
      <w:r>
        <w:rPr>
          <w:rtl/>
        </w:rPr>
        <w:t>ِ</w:t>
      </w:r>
      <w:r w:rsidRPr="008E3E68">
        <w:rPr>
          <w:rtl/>
        </w:rPr>
        <w:t>ه على ملاحظات الدولة الطرف وأعطى إيضاحات</w:t>
      </w:r>
      <w:r>
        <w:rPr>
          <w:rtl/>
        </w:rPr>
        <w:t>ٍ</w:t>
      </w:r>
      <w:r w:rsidRPr="008E3E68">
        <w:rPr>
          <w:rtl/>
        </w:rPr>
        <w:t xml:space="preserve"> وقائعية بشأن ما قدمته الدولة الطرف من أن صاحب البلاغ لم يُعتقل</w:t>
      </w:r>
      <w:r w:rsidR="00FF6AD6">
        <w:rPr>
          <w:rtl/>
        </w:rPr>
        <w:t>،</w:t>
      </w:r>
      <w:r w:rsidRPr="008E3E68">
        <w:rPr>
          <w:rtl/>
        </w:rPr>
        <w:t xml:space="preserve"> وأن منزله لم يُداهم</w:t>
      </w:r>
      <w:r w:rsidR="00FF6AD6">
        <w:rPr>
          <w:rtl/>
        </w:rPr>
        <w:t>،</w:t>
      </w:r>
      <w:r w:rsidRPr="008E3E68">
        <w:rPr>
          <w:rtl/>
        </w:rPr>
        <w:t xml:space="preserve"> كما هو م</w:t>
      </w:r>
      <w:r>
        <w:rPr>
          <w:rtl/>
        </w:rPr>
        <w:t>ُ</w:t>
      </w:r>
      <w:r w:rsidRPr="008E3E68">
        <w:rPr>
          <w:rtl/>
        </w:rPr>
        <w:t>بيّن في شكواه</w:t>
      </w:r>
      <w:r w:rsidR="00FF6AD6">
        <w:rPr>
          <w:rtl/>
        </w:rPr>
        <w:t>،</w:t>
      </w:r>
      <w:r w:rsidRPr="008E3E68">
        <w:rPr>
          <w:rtl/>
        </w:rPr>
        <w:t xml:space="preserve"> وأن</w:t>
      </w:r>
      <w:r>
        <w:rPr>
          <w:rtl/>
        </w:rPr>
        <w:t>ّ</w:t>
      </w:r>
      <w:r w:rsidRPr="008E3E68">
        <w:rPr>
          <w:rtl/>
        </w:rPr>
        <w:t xml:space="preserve"> صاحب البلاغ كان في ذلك الوقت في شقة ر. ن. د</w:t>
      </w:r>
      <w:r w:rsidR="00610CEC">
        <w:rPr>
          <w:rFonts w:hint="cs"/>
          <w:rtl/>
        </w:rPr>
        <w:t>.</w:t>
      </w:r>
      <w:r w:rsidR="00FF6AD6">
        <w:rPr>
          <w:rtl/>
        </w:rPr>
        <w:t>،</w:t>
      </w:r>
      <w:r w:rsidRPr="008E3E68">
        <w:rPr>
          <w:rtl/>
        </w:rPr>
        <w:t xml:space="preserve"> وهي من أنصار عقيدته.</w:t>
      </w:r>
    </w:p>
    <w:p w14:paraId="71807D47" w14:textId="3C4C56F3" w:rsidR="0023192C" w:rsidRPr="00A91820" w:rsidRDefault="0023192C" w:rsidP="0023192C">
      <w:pPr>
        <w:pStyle w:val="SingleTxtGA"/>
        <w:rPr>
          <w:spacing w:val="-4"/>
          <w:lang w:val="ar-SA" w:eastAsia="zh-TW" w:bidi="en-GB"/>
        </w:rPr>
      </w:pPr>
      <w:r w:rsidRPr="008D799D">
        <w:rPr>
          <w:rtl/>
        </w:rPr>
        <w:t>5</w:t>
      </w:r>
      <w:r w:rsidRPr="008E3E68">
        <w:rPr>
          <w:rFonts w:ascii="Traditional Arabic"/>
          <w:rtl/>
        </w:rPr>
        <w:t>-</w:t>
      </w:r>
      <w:r w:rsidRPr="008D799D">
        <w:rPr>
          <w:rtl/>
        </w:rPr>
        <w:t>2</w:t>
      </w:r>
      <w:r w:rsidRPr="008E3E68">
        <w:rPr>
          <w:rtl/>
        </w:rPr>
        <w:tab/>
      </w:r>
      <w:r>
        <w:rPr>
          <w:rtl/>
        </w:rPr>
        <w:t>و</w:t>
      </w:r>
      <w:r w:rsidRPr="008E3E68">
        <w:rPr>
          <w:rtl/>
        </w:rPr>
        <w:t xml:space="preserve">يؤكد صاحب البلاغ أنه في مساء يوم </w:t>
      </w:r>
      <w:r w:rsidRPr="008D799D">
        <w:rPr>
          <w:rtl/>
        </w:rPr>
        <w:t>4</w:t>
      </w:r>
      <w:r w:rsidRPr="008E3E68">
        <w:rPr>
          <w:rtl/>
        </w:rPr>
        <w:t xml:space="preserve"> تشرين الأول/أكتوبر </w:t>
      </w:r>
      <w:r w:rsidRPr="008D799D">
        <w:rPr>
          <w:rtl/>
        </w:rPr>
        <w:t>2018</w:t>
      </w:r>
      <w:r w:rsidR="00FF6AD6">
        <w:rPr>
          <w:rtl/>
        </w:rPr>
        <w:t>،</w:t>
      </w:r>
      <w:r w:rsidRPr="008E3E68">
        <w:rPr>
          <w:rtl/>
        </w:rPr>
        <w:t xml:space="preserve"> كان مجتمعاً مع </w:t>
      </w:r>
      <w:r w:rsidRPr="008D799D">
        <w:rPr>
          <w:rtl/>
        </w:rPr>
        <w:t>18</w:t>
      </w:r>
      <w:r w:rsidRPr="008E3E68">
        <w:rPr>
          <w:rtl/>
        </w:rPr>
        <w:t xml:space="preserve"> </w:t>
      </w:r>
      <w:r>
        <w:rPr>
          <w:rtl/>
        </w:rPr>
        <w:t xml:space="preserve">شخصاً </w:t>
      </w:r>
      <w:r w:rsidRPr="008E3E68">
        <w:rPr>
          <w:rtl/>
        </w:rPr>
        <w:t>من أنصار عقيدته في منزل ر.</w:t>
      </w:r>
      <w:r w:rsidR="00BA756F">
        <w:rPr>
          <w:rFonts w:hint="cs"/>
          <w:rtl/>
        </w:rPr>
        <w:t xml:space="preserve"> </w:t>
      </w:r>
      <w:r w:rsidRPr="008E3E68">
        <w:rPr>
          <w:rtl/>
        </w:rPr>
        <w:t>ن. د</w:t>
      </w:r>
      <w:r w:rsidR="00BA756F">
        <w:rPr>
          <w:rFonts w:hint="cs"/>
          <w:rtl/>
        </w:rPr>
        <w:t>.</w:t>
      </w:r>
      <w:r w:rsidR="00FF6AD6">
        <w:rPr>
          <w:rtl/>
        </w:rPr>
        <w:t>،</w:t>
      </w:r>
      <w:r w:rsidRPr="008E3E68">
        <w:rPr>
          <w:rtl/>
        </w:rPr>
        <w:t xml:space="preserve"> حين </w:t>
      </w:r>
      <w:r>
        <w:rPr>
          <w:rtl/>
        </w:rPr>
        <w:t xml:space="preserve">وصل </w:t>
      </w:r>
      <w:r w:rsidRPr="008E3E68">
        <w:rPr>
          <w:rtl/>
        </w:rPr>
        <w:t xml:space="preserve">ضباط من </w:t>
      </w:r>
      <w:r>
        <w:rPr>
          <w:rtl/>
        </w:rPr>
        <w:t>ال</w:t>
      </w:r>
      <w:r w:rsidRPr="008E3E68">
        <w:rPr>
          <w:rtl/>
        </w:rPr>
        <w:t xml:space="preserve">لجنة </w:t>
      </w:r>
      <w:r>
        <w:rPr>
          <w:rtl/>
        </w:rPr>
        <w:t>الحكومية</w:t>
      </w:r>
      <w:r w:rsidR="00BA756F">
        <w:rPr>
          <w:rFonts w:hint="cs"/>
          <w:rtl/>
        </w:rPr>
        <w:t xml:space="preserve"> </w:t>
      </w:r>
      <w:r w:rsidRPr="008E3E68">
        <w:rPr>
          <w:rtl/>
        </w:rPr>
        <w:t xml:space="preserve">للأمن القومي </w:t>
      </w:r>
      <w:r>
        <w:rPr>
          <w:rtl/>
        </w:rPr>
        <w:t xml:space="preserve">وطرقوا الباب </w:t>
      </w:r>
      <w:r w:rsidRPr="008E3E68">
        <w:rPr>
          <w:rtl/>
        </w:rPr>
        <w:t xml:space="preserve">مطالبين بالدخول. وقررت مجموعة شهود يهوه البقاء في المنزل على أمل أن يغادر </w:t>
      </w:r>
      <w:r>
        <w:rPr>
          <w:rtl/>
        </w:rPr>
        <w:t>ضباط</w:t>
      </w:r>
      <w:r w:rsidRPr="008E3E68">
        <w:rPr>
          <w:rtl/>
        </w:rPr>
        <w:t xml:space="preserve"> </w:t>
      </w:r>
      <w:r>
        <w:rPr>
          <w:rtl/>
        </w:rPr>
        <w:t>ال</w:t>
      </w:r>
      <w:r w:rsidRPr="008E3E68">
        <w:rPr>
          <w:rtl/>
        </w:rPr>
        <w:t>لجنة</w:t>
      </w:r>
      <w:r>
        <w:rPr>
          <w:rtl/>
        </w:rPr>
        <w:t>ِ</w:t>
      </w:r>
      <w:r w:rsidR="00BA756F">
        <w:rPr>
          <w:rFonts w:hint="cs"/>
          <w:rtl/>
        </w:rPr>
        <w:t xml:space="preserve"> </w:t>
      </w:r>
      <w:r>
        <w:rPr>
          <w:rtl/>
        </w:rPr>
        <w:t>الحكومية</w:t>
      </w:r>
      <w:r w:rsidRPr="008E3E68">
        <w:rPr>
          <w:rtl/>
        </w:rPr>
        <w:t xml:space="preserve">. وفي الساعة الثامنة من صباح اليوم التالي </w:t>
      </w:r>
      <w:r w:rsidRPr="008E3E68">
        <w:rPr>
          <w:rtl/>
        </w:rPr>
        <w:lastRenderedPageBreak/>
        <w:t xml:space="preserve">في </w:t>
      </w:r>
      <w:r w:rsidRPr="008D799D">
        <w:rPr>
          <w:rtl/>
        </w:rPr>
        <w:t>5</w:t>
      </w:r>
      <w:r w:rsidRPr="008E3E68">
        <w:rPr>
          <w:rtl/>
        </w:rPr>
        <w:t xml:space="preserve"> تشرين الأول/أكتوبر </w:t>
      </w:r>
      <w:r w:rsidRPr="008D799D">
        <w:rPr>
          <w:rtl/>
        </w:rPr>
        <w:t>2018</w:t>
      </w:r>
      <w:r w:rsidR="00FF6AD6">
        <w:rPr>
          <w:rtl/>
        </w:rPr>
        <w:t>،</w:t>
      </w:r>
      <w:r w:rsidRPr="008E3E68">
        <w:rPr>
          <w:rtl/>
        </w:rPr>
        <w:t xml:space="preserve"> وبينما كانوا يحاولون الخروج من المنزل</w:t>
      </w:r>
      <w:r w:rsidR="00FF6AD6">
        <w:rPr>
          <w:rtl/>
        </w:rPr>
        <w:t>،</w:t>
      </w:r>
      <w:r w:rsidRPr="008E3E68">
        <w:rPr>
          <w:rtl/>
        </w:rPr>
        <w:t xml:space="preserve"> احتجز </w:t>
      </w:r>
      <w:r>
        <w:rPr>
          <w:rtl/>
        </w:rPr>
        <w:t>ضباط</w:t>
      </w:r>
      <w:r w:rsidRPr="008E3E68">
        <w:rPr>
          <w:rtl/>
        </w:rPr>
        <w:t xml:space="preserve"> </w:t>
      </w:r>
      <w:r>
        <w:rPr>
          <w:rtl/>
        </w:rPr>
        <w:t>ال</w:t>
      </w:r>
      <w:r w:rsidRPr="008E3E68">
        <w:rPr>
          <w:rtl/>
        </w:rPr>
        <w:t xml:space="preserve">لجنة </w:t>
      </w:r>
      <w:r>
        <w:rPr>
          <w:rtl/>
        </w:rPr>
        <w:t>الحكومية</w:t>
      </w:r>
      <w:r w:rsidR="00BA756F">
        <w:rPr>
          <w:rFonts w:hint="cs"/>
          <w:rtl/>
        </w:rPr>
        <w:t xml:space="preserve"> </w:t>
      </w:r>
      <w:r w:rsidRPr="008E3E68">
        <w:rPr>
          <w:rtl/>
        </w:rPr>
        <w:t>صاحب</w:t>
      </w:r>
      <w:r>
        <w:rPr>
          <w:rtl/>
        </w:rPr>
        <w:t>َ</w:t>
      </w:r>
      <w:r w:rsidRPr="008E3E68">
        <w:rPr>
          <w:rtl/>
        </w:rPr>
        <w:t xml:space="preserve"> البلاغ وتسعة من </w:t>
      </w:r>
      <w:r>
        <w:rPr>
          <w:rtl/>
        </w:rPr>
        <w:t>أنصار عقيدته</w:t>
      </w:r>
      <w:r w:rsidRPr="008E3E68">
        <w:rPr>
          <w:rtl/>
        </w:rPr>
        <w:t xml:space="preserve"> واقتادوهم إلى مقر</w:t>
      </w:r>
      <w:r>
        <w:rPr>
          <w:rtl/>
        </w:rPr>
        <w:t>ّ</w:t>
      </w:r>
      <w:r w:rsidRPr="008E3E68">
        <w:rPr>
          <w:rtl/>
        </w:rPr>
        <w:t xml:space="preserve"> </w:t>
      </w:r>
      <w:r>
        <w:rPr>
          <w:rtl/>
        </w:rPr>
        <w:t>ال</w:t>
      </w:r>
      <w:r w:rsidRPr="008E3E68">
        <w:rPr>
          <w:rtl/>
        </w:rPr>
        <w:t xml:space="preserve">لجنة </w:t>
      </w:r>
      <w:r>
        <w:rPr>
          <w:rtl/>
        </w:rPr>
        <w:t>الحكومية</w:t>
      </w:r>
      <w:r w:rsidR="00A91820">
        <w:rPr>
          <w:rFonts w:hint="cs"/>
          <w:rtl/>
        </w:rPr>
        <w:t xml:space="preserve"> </w:t>
      </w:r>
      <w:r w:rsidRPr="008E3E68">
        <w:rPr>
          <w:rtl/>
        </w:rPr>
        <w:t>في دوشانبي لاستجوابهم</w:t>
      </w:r>
      <w:r w:rsidR="00FF6AD6">
        <w:rPr>
          <w:rtl/>
        </w:rPr>
        <w:t>،</w:t>
      </w:r>
      <w:r w:rsidRPr="008E3E68">
        <w:rPr>
          <w:rtl/>
        </w:rPr>
        <w:t xml:space="preserve"> وهو ما يرقى</w:t>
      </w:r>
      <w:r w:rsidR="00FF6AD6">
        <w:rPr>
          <w:rtl/>
        </w:rPr>
        <w:t>،</w:t>
      </w:r>
      <w:r w:rsidRPr="008E3E68">
        <w:rPr>
          <w:rtl/>
        </w:rPr>
        <w:t xml:space="preserve"> وفقاً لل</w:t>
      </w:r>
      <w:r>
        <w:rPr>
          <w:rtl/>
        </w:rPr>
        <w:t>اجتهادات</w:t>
      </w:r>
      <w:r w:rsidRPr="008E3E68">
        <w:rPr>
          <w:rtl/>
        </w:rPr>
        <w:t xml:space="preserve"> القضائية الخاصة باللجنة</w:t>
      </w:r>
      <w:r w:rsidR="00FF6AD6">
        <w:rPr>
          <w:rtl/>
        </w:rPr>
        <w:t>،</w:t>
      </w:r>
      <w:r w:rsidRPr="008E3E68">
        <w:rPr>
          <w:rtl/>
        </w:rPr>
        <w:t xml:space="preserve"> إلى اعتقال بموجب المادة </w:t>
      </w:r>
      <w:r w:rsidRPr="008D799D">
        <w:rPr>
          <w:rtl/>
        </w:rPr>
        <w:t>9</w:t>
      </w:r>
      <w:r w:rsidRPr="008E3E68">
        <w:rPr>
          <w:rFonts w:ascii="Traditional Arabic"/>
          <w:rtl/>
        </w:rPr>
        <w:t>(</w:t>
      </w:r>
      <w:r w:rsidRPr="008D799D">
        <w:rPr>
          <w:rtl/>
        </w:rPr>
        <w:t>1</w:t>
      </w:r>
      <w:r w:rsidRPr="008E3E68">
        <w:rPr>
          <w:rFonts w:ascii="Traditional Arabic"/>
          <w:rtl/>
        </w:rPr>
        <w:t>)</w:t>
      </w:r>
      <w:r w:rsidRPr="008E3E68">
        <w:rPr>
          <w:rtl/>
        </w:rPr>
        <w:t xml:space="preserve"> من العهد. </w:t>
      </w:r>
      <w:r>
        <w:rPr>
          <w:rtl/>
        </w:rPr>
        <w:t xml:space="preserve">ولذلك </w:t>
      </w:r>
      <w:r w:rsidR="00FF6AD6">
        <w:rPr>
          <w:rtl/>
        </w:rPr>
        <w:t>،</w:t>
      </w:r>
      <w:r>
        <w:rPr>
          <w:rtl/>
        </w:rPr>
        <w:t xml:space="preserve"> </w:t>
      </w:r>
      <w:r w:rsidRPr="008E3E68">
        <w:rPr>
          <w:rtl/>
        </w:rPr>
        <w:t xml:space="preserve">من الواضح أن </w:t>
      </w:r>
      <w:r>
        <w:rPr>
          <w:rtl/>
        </w:rPr>
        <w:t>ال</w:t>
      </w:r>
      <w:r w:rsidRPr="008E3E68">
        <w:rPr>
          <w:rtl/>
        </w:rPr>
        <w:t xml:space="preserve">لجنة </w:t>
      </w:r>
      <w:r>
        <w:rPr>
          <w:rtl/>
        </w:rPr>
        <w:t>الحكومية</w:t>
      </w:r>
      <w:r w:rsidR="00A91820">
        <w:rPr>
          <w:rFonts w:hint="cs"/>
          <w:rtl/>
        </w:rPr>
        <w:t xml:space="preserve"> </w:t>
      </w:r>
      <w:r w:rsidRPr="008E3E68">
        <w:rPr>
          <w:rtl/>
        </w:rPr>
        <w:t>للأمن القومي ألقت القبض على صاحب</w:t>
      </w:r>
      <w:r>
        <w:rPr>
          <w:rtl/>
        </w:rPr>
        <w:t>ِ</w:t>
      </w:r>
      <w:r w:rsidRPr="008E3E68">
        <w:rPr>
          <w:rtl/>
        </w:rPr>
        <w:t xml:space="preserve"> البلاغ صباح يوم </w:t>
      </w:r>
      <w:r w:rsidRPr="008D799D">
        <w:rPr>
          <w:rtl/>
        </w:rPr>
        <w:t>5</w:t>
      </w:r>
      <w:r w:rsidRPr="008E3E68">
        <w:rPr>
          <w:rtl/>
        </w:rPr>
        <w:t xml:space="preserve"> تشرين الأول/أكتوبر </w:t>
      </w:r>
      <w:r w:rsidRPr="008D799D">
        <w:rPr>
          <w:rtl/>
        </w:rPr>
        <w:t>2018</w:t>
      </w:r>
      <w:r w:rsidRPr="008E3E68">
        <w:rPr>
          <w:rtl/>
        </w:rPr>
        <w:t xml:space="preserve"> وظلّ رهن</w:t>
      </w:r>
      <w:r>
        <w:rPr>
          <w:rtl/>
        </w:rPr>
        <w:t>َ</w:t>
      </w:r>
      <w:r w:rsidRPr="008E3E68">
        <w:rPr>
          <w:rtl/>
        </w:rPr>
        <w:t xml:space="preserve"> الاحتجاز حتى وقت</w:t>
      </w:r>
      <w:r>
        <w:rPr>
          <w:rtl/>
        </w:rPr>
        <w:t>ٍ</w:t>
      </w:r>
      <w:r w:rsidRPr="008E3E68">
        <w:rPr>
          <w:rtl/>
        </w:rPr>
        <w:t xml:space="preserve"> متأخر من ذلك اليوم. </w:t>
      </w:r>
      <w:r>
        <w:rPr>
          <w:rtl/>
        </w:rPr>
        <w:t>وال</w:t>
      </w:r>
      <w:r w:rsidRPr="008E3E68">
        <w:rPr>
          <w:rtl/>
        </w:rPr>
        <w:t>دولة الطرف محقة في ملاحظت</w:t>
      </w:r>
      <w:r>
        <w:rPr>
          <w:rtl/>
        </w:rPr>
        <w:t>ِ</w:t>
      </w:r>
      <w:r w:rsidRPr="008E3E68">
        <w:rPr>
          <w:rtl/>
        </w:rPr>
        <w:t xml:space="preserve">ها أن </w:t>
      </w:r>
      <w:r>
        <w:rPr>
          <w:rtl/>
        </w:rPr>
        <w:t>ال</w:t>
      </w:r>
      <w:r w:rsidRPr="008E3E68">
        <w:rPr>
          <w:rtl/>
        </w:rPr>
        <w:t xml:space="preserve">لجنة </w:t>
      </w:r>
      <w:r>
        <w:rPr>
          <w:rtl/>
        </w:rPr>
        <w:t>الحكومية</w:t>
      </w:r>
      <w:r w:rsidRPr="008E3E68">
        <w:rPr>
          <w:rtl/>
        </w:rPr>
        <w:t xml:space="preserve"> </w:t>
      </w:r>
      <w:r w:rsidRPr="00A91820">
        <w:rPr>
          <w:spacing w:val="-4"/>
          <w:rtl/>
        </w:rPr>
        <w:t xml:space="preserve">للأمن القومي لم تداهم شقتَه؛ بل </w:t>
      </w:r>
      <w:r w:rsidR="00FF6AD6">
        <w:rPr>
          <w:spacing w:val="-4"/>
          <w:rtl/>
        </w:rPr>
        <w:t>،</w:t>
      </w:r>
      <w:r w:rsidRPr="00A91820">
        <w:rPr>
          <w:spacing w:val="-4"/>
          <w:rtl/>
        </w:rPr>
        <w:t xml:space="preserve"> الشرطة التي قامت بتفتيشها بعد ظهر يوم </w:t>
      </w:r>
      <w:r w:rsidRPr="008D799D">
        <w:rPr>
          <w:spacing w:val="-4"/>
          <w:rtl/>
        </w:rPr>
        <w:t>5</w:t>
      </w:r>
      <w:r w:rsidRPr="00A91820">
        <w:rPr>
          <w:spacing w:val="-4"/>
          <w:rtl/>
        </w:rPr>
        <w:t xml:space="preserve"> تشرين الأول/أكتوبر </w:t>
      </w:r>
      <w:r w:rsidRPr="008D799D">
        <w:rPr>
          <w:spacing w:val="-4"/>
          <w:rtl/>
        </w:rPr>
        <w:t>2018</w:t>
      </w:r>
      <w:r w:rsidRPr="00A91820">
        <w:rPr>
          <w:spacing w:val="-4"/>
          <w:rtl/>
        </w:rPr>
        <w:t>.</w:t>
      </w:r>
    </w:p>
    <w:p w14:paraId="69530A72" w14:textId="58B461A7" w:rsidR="0023192C" w:rsidRPr="008D799D" w:rsidRDefault="0023192C" w:rsidP="0023192C">
      <w:pPr>
        <w:pStyle w:val="SingleTxtGA"/>
        <w:rPr>
          <w:lang w:val="en-US" w:eastAsia="zh-TW" w:bidi="en-GB"/>
        </w:rPr>
      </w:pPr>
      <w:r w:rsidRPr="008D799D">
        <w:rPr>
          <w:rtl/>
        </w:rPr>
        <w:t>5</w:t>
      </w:r>
      <w:r w:rsidRPr="008E3E68">
        <w:rPr>
          <w:rFonts w:ascii="Traditional Arabic"/>
          <w:rtl/>
        </w:rPr>
        <w:t>-</w:t>
      </w:r>
      <w:r w:rsidRPr="008D799D">
        <w:rPr>
          <w:rtl/>
        </w:rPr>
        <w:t>3</w:t>
      </w:r>
      <w:r w:rsidRPr="008E3E68">
        <w:rPr>
          <w:rtl/>
        </w:rPr>
        <w:tab/>
      </w:r>
      <w:r>
        <w:rPr>
          <w:rtl/>
        </w:rPr>
        <w:t>و</w:t>
      </w:r>
      <w:r w:rsidRPr="008E3E68">
        <w:rPr>
          <w:rtl/>
        </w:rPr>
        <w:t>يعترض</w:t>
      </w:r>
      <w:r>
        <w:rPr>
          <w:rtl/>
        </w:rPr>
        <w:t>ُ</w:t>
      </w:r>
      <w:r w:rsidRPr="008E3E68">
        <w:rPr>
          <w:rtl/>
        </w:rPr>
        <w:t xml:space="preserve"> صاحب</w:t>
      </w:r>
      <w:r>
        <w:rPr>
          <w:rtl/>
        </w:rPr>
        <w:t>ُ</w:t>
      </w:r>
      <w:r w:rsidRPr="008E3E68">
        <w:rPr>
          <w:rtl/>
        </w:rPr>
        <w:t xml:space="preserve"> البلاغ كذلك على تأكيدات الدولة الطرف بأن "جميع الأدبيات والكتيّبات وأشرطة التسجيل السمعية والبصرية التي توزعها منظمة شهود يهوه الدينية تشجّع على التعصب والتطرف وتترك أثراً نفسياً سلبياً على الشباب" وأن شهود يهوه "يعتبرون المسلمين خصومهم في الإيديولوجيا" وأن شهود يهوه محظّ</w:t>
      </w:r>
      <w:r>
        <w:rPr>
          <w:rtl/>
        </w:rPr>
        <w:t>و</w:t>
      </w:r>
      <w:r w:rsidRPr="008E3E68">
        <w:rPr>
          <w:rtl/>
        </w:rPr>
        <w:t>رون في بعض البلدان</w:t>
      </w:r>
      <w:r w:rsidR="00FF6AD6">
        <w:rPr>
          <w:rtl/>
        </w:rPr>
        <w:t>،</w:t>
      </w:r>
      <w:r w:rsidRPr="008E3E68">
        <w:rPr>
          <w:rtl/>
        </w:rPr>
        <w:t xml:space="preserve"> "ولا سيما في الاتحاد الروسي</w:t>
      </w:r>
      <w:r w:rsidR="00FF6AD6">
        <w:rPr>
          <w:rtl/>
        </w:rPr>
        <w:t>،</w:t>
      </w:r>
      <w:r w:rsidRPr="008E3E68">
        <w:rPr>
          <w:rtl/>
        </w:rPr>
        <w:t xml:space="preserve"> وجمهورية لاو الديمقراطية الشعبية</w:t>
      </w:r>
      <w:r w:rsidR="00FF6AD6">
        <w:rPr>
          <w:rtl/>
        </w:rPr>
        <w:t>،</w:t>
      </w:r>
      <w:r>
        <w:rPr>
          <w:rtl/>
        </w:rPr>
        <w:t xml:space="preserve"> </w:t>
      </w:r>
      <w:r w:rsidRPr="008E3E68">
        <w:rPr>
          <w:rtl/>
        </w:rPr>
        <w:t>والصين</w:t>
      </w:r>
      <w:r w:rsidR="00FF6AD6">
        <w:rPr>
          <w:rtl/>
        </w:rPr>
        <w:t>،</w:t>
      </w:r>
      <w:r w:rsidRPr="008E3E68">
        <w:rPr>
          <w:rtl/>
        </w:rPr>
        <w:t xml:space="preserve"> وفييت نام</w:t>
      </w:r>
      <w:r w:rsidR="00FF6AD6">
        <w:rPr>
          <w:rtl/>
        </w:rPr>
        <w:t>،</w:t>
      </w:r>
      <w:r w:rsidRPr="008E3E68">
        <w:rPr>
          <w:rtl/>
        </w:rPr>
        <w:t xml:space="preserve"> ومصر". وحسب صاحب البلاغ</w:t>
      </w:r>
      <w:r w:rsidR="00FF6AD6">
        <w:rPr>
          <w:rtl/>
        </w:rPr>
        <w:t>،</w:t>
      </w:r>
      <w:r w:rsidRPr="008E3E68">
        <w:rPr>
          <w:rtl/>
        </w:rPr>
        <w:t xml:space="preserve"> فإن </w:t>
      </w:r>
      <w:r>
        <w:rPr>
          <w:rtl/>
        </w:rPr>
        <w:t xml:space="preserve">الادعاءين الأوّل والثاني </w:t>
      </w:r>
      <w:r w:rsidRPr="008E3E68">
        <w:rPr>
          <w:rtl/>
        </w:rPr>
        <w:t>كاذبان وتمييزيان</w:t>
      </w:r>
      <w:r w:rsidR="00FF6AD6">
        <w:rPr>
          <w:rtl/>
        </w:rPr>
        <w:t>،</w:t>
      </w:r>
      <w:r w:rsidRPr="008E3E68">
        <w:rPr>
          <w:rtl/>
        </w:rPr>
        <w:t xml:space="preserve"> بينما ي</w:t>
      </w:r>
      <w:r>
        <w:rPr>
          <w:rtl/>
        </w:rPr>
        <w:t>ُ</w:t>
      </w:r>
      <w:r w:rsidRPr="008E3E68">
        <w:rPr>
          <w:rtl/>
        </w:rPr>
        <w:t>عتبر الثالث</w:t>
      </w:r>
      <w:r>
        <w:rPr>
          <w:rtl/>
        </w:rPr>
        <w:t>ُ</w:t>
      </w:r>
      <w:r w:rsidRPr="008E3E68">
        <w:rPr>
          <w:rtl/>
        </w:rPr>
        <w:t xml:space="preserve"> مضل</w:t>
      </w:r>
      <w:r>
        <w:rPr>
          <w:rtl/>
        </w:rPr>
        <w:t>ّ</w:t>
      </w:r>
      <w:r w:rsidRPr="008E3E68">
        <w:rPr>
          <w:rtl/>
        </w:rPr>
        <w:t xml:space="preserve">لاً. </w:t>
      </w:r>
      <w:r>
        <w:rPr>
          <w:rtl/>
        </w:rPr>
        <w:t>و</w:t>
      </w:r>
      <w:r w:rsidRPr="008E3E68">
        <w:rPr>
          <w:rtl/>
        </w:rPr>
        <w:t>علاوة على ذلك</w:t>
      </w:r>
      <w:r w:rsidR="00FF6AD6">
        <w:rPr>
          <w:rtl/>
        </w:rPr>
        <w:t>،</w:t>
      </w:r>
      <w:r w:rsidRPr="008E3E68">
        <w:rPr>
          <w:rtl/>
        </w:rPr>
        <w:t xml:space="preserve"> الادعاءات الثلاثة جميعها لا صلة لها بقضيته على الإطلاق.</w:t>
      </w:r>
    </w:p>
    <w:p w14:paraId="31C4A8C8" w14:textId="5253D6A1" w:rsidR="0023192C" w:rsidRPr="008D799D" w:rsidRDefault="0023192C" w:rsidP="0023192C">
      <w:pPr>
        <w:pStyle w:val="SingleTxtGA"/>
        <w:rPr>
          <w:lang w:val="en-US" w:eastAsia="zh-TW" w:bidi="en-GB"/>
        </w:rPr>
      </w:pPr>
      <w:r w:rsidRPr="008D799D">
        <w:rPr>
          <w:rtl/>
        </w:rPr>
        <w:t>5</w:t>
      </w:r>
      <w:r w:rsidRPr="008E3E68">
        <w:rPr>
          <w:rFonts w:ascii="Traditional Arabic"/>
          <w:rtl/>
        </w:rPr>
        <w:t>-</w:t>
      </w:r>
      <w:r w:rsidRPr="008D799D">
        <w:rPr>
          <w:rtl/>
        </w:rPr>
        <w:t>4</w:t>
      </w:r>
      <w:r w:rsidRPr="008E3E68">
        <w:rPr>
          <w:rtl/>
        </w:rPr>
        <w:tab/>
      </w:r>
      <w:r>
        <w:rPr>
          <w:rtl/>
        </w:rPr>
        <w:t>ف</w:t>
      </w:r>
      <w:r w:rsidRPr="008E3E68">
        <w:rPr>
          <w:rtl/>
        </w:rPr>
        <w:t>أولاً</w:t>
      </w:r>
      <w:r w:rsidR="00FF6AD6">
        <w:rPr>
          <w:rtl/>
        </w:rPr>
        <w:t>،</w:t>
      </w:r>
      <w:r w:rsidRPr="008E3E68">
        <w:rPr>
          <w:rtl/>
        </w:rPr>
        <w:t xml:space="preserve"> لا يعتبر</w:t>
      </w:r>
      <w:r>
        <w:rPr>
          <w:rtl/>
        </w:rPr>
        <w:t>ُ</w:t>
      </w:r>
      <w:r w:rsidRPr="008E3E68">
        <w:rPr>
          <w:rtl/>
        </w:rPr>
        <w:t xml:space="preserve"> شهود يهوه انّ المسلمين أو أتباع أي دين آخر هم "خصومهم في الإيديولوجيا". وي</w:t>
      </w:r>
      <w:r>
        <w:rPr>
          <w:rtl/>
        </w:rPr>
        <w:t>ذكر</w:t>
      </w:r>
      <w:r w:rsidRPr="008E3E68">
        <w:rPr>
          <w:rtl/>
        </w:rPr>
        <w:t xml:space="preserve"> موقع</w:t>
      </w:r>
      <w:r>
        <w:rPr>
          <w:rtl/>
        </w:rPr>
        <w:t>ُ</w:t>
      </w:r>
      <w:r w:rsidRPr="008E3E68">
        <w:rPr>
          <w:rtl/>
        </w:rPr>
        <w:t xml:space="preserve">هم الرسمي على شبكة الإنترنت </w:t>
      </w:r>
      <w:r w:rsidRPr="008E3E68">
        <w:rPr>
          <w:rFonts w:ascii="Traditional Arabic"/>
          <w:rtl/>
        </w:rPr>
        <w:t>(</w:t>
      </w:r>
      <w:hyperlink r:id="rId9" w:history="1">
        <w:r w:rsidR="00B66420" w:rsidRPr="009D5342">
          <w:rPr>
            <w:rStyle w:val="Hyperlink"/>
            <w:rFonts w:cs="Times New Roman"/>
            <w:rtl/>
          </w:rPr>
          <w:t>www.jw.org</w:t>
        </w:r>
      </w:hyperlink>
      <w:r w:rsidRPr="008E3E68">
        <w:rPr>
          <w:rFonts w:ascii="Traditional Arabic"/>
          <w:rtl/>
        </w:rPr>
        <w:t>)</w:t>
      </w:r>
      <w:r w:rsidRPr="008E3E68">
        <w:rPr>
          <w:rFonts w:ascii="Traditional Arabic"/>
        </w:rPr>
        <w:t xml:space="preserve"> </w:t>
      </w:r>
      <w:r w:rsidR="00A903BB">
        <w:rPr>
          <w:rFonts w:hint="cs"/>
          <w:rtl/>
        </w:rPr>
        <w:t>"</w:t>
      </w:r>
      <w:r w:rsidRPr="008E3E68">
        <w:rPr>
          <w:rtl/>
        </w:rPr>
        <w:t>أن</w:t>
      </w:r>
      <w:r>
        <w:rPr>
          <w:rtl/>
        </w:rPr>
        <w:t xml:space="preserve"> شهود يهوه</w:t>
      </w:r>
      <w:r w:rsidR="00422D1C">
        <w:rPr>
          <w:rtl/>
        </w:rPr>
        <w:t xml:space="preserve"> </w:t>
      </w:r>
      <w:r>
        <w:rPr>
          <w:rtl/>
        </w:rPr>
        <w:t>يتبعون</w:t>
      </w:r>
      <w:r w:rsidR="00422D1C">
        <w:rPr>
          <w:rtl/>
        </w:rPr>
        <w:t xml:space="preserve"> </w:t>
      </w:r>
      <w:r w:rsidRPr="008E3E68">
        <w:rPr>
          <w:rtl/>
        </w:rPr>
        <w:lastRenderedPageBreak/>
        <w:t>أقوال</w:t>
      </w:r>
      <w:r>
        <w:rPr>
          <w:rtl/>
        </w:rPr>
        <w:t>َ</w:t>
      </w:r>
      <w:r w:rsidRPr="008E3E68">
        <w:rPr>
          <w:rtl/>
        </w:rPr>
        <w:t xml:space="preserve"> الكتاب المقدس "باحترام الجميع" بغضّ النظر عن معتقداتهم الدينية. </w:t>
      </w:r>
      <w:r w:rsidRPr="008E3E68">
        <w:rPr>
          <w:rFonts w:ascii="Traditional Arabic"/>
          <w:rtl/>
        </w:rPr>
        <w:t>(</w:t>
      </w:r>
      <w:r w:rsidRPr="008D799D">
        <w:rPr>
          <w:rtl/>
        </w:rPr>
        <w:t>1</w:t>
      </w:r>
      <w:r w:rsidRPr="008E3E68">
        <w:rPr>
          <w:rtl/>
        </w:rPr>
        <w:t xml:space="preserve"> بيتر </w:t>
      </w:r>
      <w:r w:rsidRPr="008D799D">
        <w:rPr>
          <w:rtl/>
        </w:rPr>
        <w:t>2</w:t>
      </w:r>
      <w:r w:rsidRPr="008E3E68">
        <w:rPr>
          <w:rFonts w:ascii="Traditional Arabic"/>
          <w:rtl/>
        </w:rPr>
        <w:t>:</w:t>
      </w:r>
      <w:r w:rsidRPr="008D799D">
        <w:rPr>
          <w:rtl/>
        </w:rPr>
        <w:t>17</w:t>
      </w:r>
      <w:r w:rsidR="00FF6AD6">
        <w:rPr>
          <w:rtl/>
        </w:rPr>
        <w:t>،</w:t>
      </w:r>
      <w:r w:rsidRPr="008E3E68">
        <w:rPr>
          <w:rtl/>
        </w:rPr>
        <w:t xml:space="preserve"> </w:t>
      </w:r>
      <w:r w:rsidRPr="00661D97">
        <w:rPr>
          <w:i/>
          <w:iCs/>
          <w:rtl/>
        </w:rPr>
        <w:t>النسخة الإنجليزية اليوم</w:t>
      </w:r>
      <w:r w:rsidRPr="008E3E68">
        <w:rPr>
          <w:rtl/>
        </w:rPr>
        <w:t>)"</w:t>
      </w:r>
      <w:r w:rsidR="00FF6AD6">
        <w:rPr>
          <w:vertAlign w:val="superscript"/>
          <w:rtl/>
        </w:rPr>
        <w:t>(</w:t>
      </w:r>
      <w:r w:rsidR="008D799D" w:rsidRPr="008D799D">
        <w:rPr>
          <w:rFonts w:ascii="Simplified Arabic" w:hAnsi="Simplified Arabic"/>
          <w:vertAlign w:val="superscript"/>
          <w:lang w:val="en-US"/>
        </w:rPr>
        <w:footnoteReference w:id="7"/>
      </w:r>
      <w:r w:rsidR="00FF6AD6">
        <w:rPr>
          <w:vertAlign w:val="superscript"/>
          <w:rtl/>
        </w:rPr>
        <w:t>)</w:t>
      </w:r>
      <w:r w:rsidRPr="008E3E68">
        <w:rPr>
          <w:rtl/>
        </w:rPr>
        <w:t>.</w:t>
      </w:r>
    </w:p>
    <w:p w14:paraId="608BD3AD" w14:textId="190CAB27" w:rsidR="0023192C" w:rsidRPr="008E3E68" w:rsidRDefault="0023192C" w:rsidP="0023192C">
      <w:pPr>
        <w:pStyle w:val="SingleTxtGA"/>
        <w:rPr>
          <w:lang w:val="ar-SA" w:eastAsia="zh-TW" w:bidi="en-GB"/>
        </w:rPr>
      </w:pPr>
      <w:r w:rsidRPr="008D799D">
        <w:rPr>
          <w:rtl/>
        </w:rPr>
        <w:t>5</w:t>
      </w:r>
      <w:r w:rsidRPr="008E3E68">
        <w:rPr>
          <w:rFonts w:ascii="Traditional Arabic"/>
          <w:rtl/>
        </w:rPr>
        <w:t>-</w:t>
      </w:r>
      <w:r w:rsidRPr="008D799D">
        <w:rPr>
          <w:rtl/>
        </w:rPr>
        <w:t>5</w:t>
      </w:r>
      <w:r w:rsidRPr="008E3E68">
        <w:rPr>
          <w:rtl/>
        </w:rPr>
        <w:tab/>
      </w:r>
      <w:r>
        <w:rPr>
          <w:rtl/>
        </w:rPr>
        <w:t>و</w:t>
      </w:r>
      <w:r w:rsidRPr="008E3E68">
        <w:rPr>
          <w:rtl/>
        </w:rPr>
        <w:t>ثانياً</w:t>
      </w:r>
      <w:r w:rsidR="00FF6AD6">
        <w:rPr>
          <w:rtl/>
        </w:rPr>
        <w:t>،</w:t>
      </w:r>
      <w:r w:rsidRPr="008E3E68">
        <w:rPr>
          <w:rtl/>
        </w:rPr>
        <w:t xml:space="preserve"> تستند</w:t>
      </w:r>
      <w:r>
        <w:rPr>
          <w:rtl/>
        </w:rPr>
        <w:t>ُ</w:t>
      </w:r>
      <w:r w:rsidRPr="008E3E68">
        <w:rPr>
          <w:rtl/>
        </w:rPr>
        <w:t xml:space="preserve"> أدبيات</w:t>
      </w:r>
      <w:r>
        <w:rPr>
          <w:rtl/>
        </w:rPr>
        <w:t>ُ</w:t>
      </w:r>
      <w:r w:rsidRPr="008E3E68">
        <w:rPr>
          <w:rtl/>
        </w:rPr>
        <w:t xml:space="preserve"> شهود يهوه الدينية الى الكتاب المقدس وت</w:t>
      </w:r>
      <w:r>
        <w:rPr>
          <w:rtl/>
        </w:rPr>
        <w:t>ُ</w:t>
      </w:r>
      <w:r w:rsidRPr="008E3E68">
        <w:rPr>
          <w:rtl/>
        </w:rPr>
        <w:t>وزّ</w:t>
      </w:r>
      <w:r>
        <w:rPr>
          <w:rtl/>
        </w:rPr>
        <w:t>َ</w:t>
      </w:r>
      <w:r w:rsidRPr="008E3E68">
        <w:rPr>
          <w:rtl/>
        </w:rPr>
        <w:t>ع بملايين النسخ وبمئات اللغات في جميع أنحاء العالم. وهي متاحة للقراءة مجاناً لأي شخص على موقعه</w:t>
      </w:r>
      <w:r>
        <w:rPr>
          <w:rtl/>
        </w:rPr>
        <w:t>م</w:t>
      </w:r>
      <w:r w:rsidR="00422D1C">
        <w:rPr>
          <w:rtl/>
        </w:rPr>
        <w:t xml:space="preserve"> </w:t>
      </w:r>
      <w:r w:rsidRPr="008E3E68">
        <w:rPr>
          <w:rtl/>
        </w:rPr>
        <w:t>الرسمي. وتشج</w:t>
      </w:r>
      <w:r>
        <w:rPr>
          <w:rtl/>
        </w:rPr>
        <w:t>ّ</w:t>
      </w:r>
      <w:r w:rsidRPr="008E3E68">
        <w:rPr>
          <w:rtl/>
        </w:rPr>
        <w:t>ع أدبيات</w:t>
      </w:r>
      <w:r>
        <w:rPr>
          <w:rtl/>
        </w:rPr>
        <w:t xml:space="preserve"> شهود يهوه</w:t>
      </w:r>
      <w:r w:rsidRPr="008E3E68">
        <w:rPr>
          <w:rtl/>
        </w:rPr>
        <w:t xml:space="preserve"> الدينية القرّاء</w:t>
      </w:r>
      <w:r>
        <w:rPr>
          <w:rtl/>
        </w:rPr>
        <w:t>َ</w:t>
      </w:r>
      <w:r w:rsidRPr="008E3E68">
        <w:rPr>
          <w:rtl/>
        </w:rPr>
        <w:t xml:space="preserve"> على أن يكونوا مواطنين نموذجيين. فالكتاب المقدس والمطبوعات الدينية والشعائر الدينية الخاصة بشهود يهوه تعكس</w:t>
      </w:r>
      <w:r>
        <w:rPr>
          <w:rtl/>
        </w:rPr>
        <w:t>ُ</w:t>
      </w:r>
      <w:r w:rsidRPr="008E3E68">
        <w:rPr>
          <w:rtl/>
        </w:rPr>
        <w:t xml:space="preserve"> ممارسات</w:t>
      </w:r>
      <w:r>
        <w:rPr>
          <w:rtl/>
        </w:rPr>
        <w:t>ٍ</w:t>
      </w:r>
      <w:r w:rsidRPr="008E3E68">
        <w:rPr>
          <w:rtl/>
        </w:rPr>
        <w:t xml:space="preserve"> سلمية تماماً ولا تتضمن أي</w:t>
      </w:r>
      <w:r>
        <w:rPr>
          <w:rtl/>
        </w:rPr>
        <w:t>ّ</w:t>
      </w:r>
      <w:r w:rsidRPr="008E3E68">
        <w:rPr>
          <w:rtl/>
        </w:rPr>
        <w:t xml:space="preserve"> دعوات إلى العنف أو التحريض على الكراهية الدينية أو أي</w:t>
      </w:r>
      <w:r>
        <w:rPr>
          <w:rtl/>
        </w:rPr>
        <w:t>ّ</w:t>
      </w:r>
      <w:r w:rsidRPr="008E3E68">
        <w:rPr>
          <w:rtl/>
        </w:rPr>
        <w:t xml:space="preserve"> بيانات "عدوانية لا مبر</w:t>
      </w:r>
      <w:r>
        <w:rPr>
          <w:rtl/>
        </w:rPr>
        <w:t>ّ</w:t>
      </w:r>
      <w:r w:rsidRPr="008E3E68">
        <w:rPr>
          <w:rtl/>
        </w:rPr>
        <w:t>ر لها"</w:t>
      </w:r>
      <w:r w:rsidR="00FF6AD6">
        <w:rPr>
          <w:vertAlign w:val="superscript"/>
          <w:rtl/>
        </w:rPr>
        <w:t>(</w:t>
      </w:r>
      <w:r w:rsidR="008D799D" w:rsidRPr="008D799D">
        <w:rPr>
          <w:rFonts w:ascii="Simplified Arabic" w:hAnsi="Simplified Arabic"/>
          <w:vertAlign w:val="superscript"/>
          <w:lang w:val="en-US"/>
        </w:rPr>
        <w:footnoteReference w:id="8"/>
      </w:r>
      <w:r w:rsidR="00FF6AD6">
        <w:rPr>
          <w:vertAlign w:val="superscript"/>
          <w:rtl/>
        </w:rPr>
        <w:t>)</w:t>
      </w:r>
      <w:r w:rsidRPr="008E3E68">
        <w:rPr>
          <w:rtl/>
        </w:rPr>
        <w:t>.</w:t>
      </w:r>
    </w:p>
    <w:p w14:paraId="6F447793" w14:textId="2344725F" w:rsidR="0023192C" w:rsidRPr="008E3E68" w:rsidRDefault="0023192C" w:rsidP="0023192C">
      <w:pPr>
        <w:pStyle w:val="SingleTxtGA"/>
        <w:rPr>
          <w:lang w:val="ar-SA" w:eastAsia="zh-TW" w:bidi="en-GB"/>
        </w:rPr>
      </w:pPr>
      <w:r w:rsidRPr="008D799D">
        <w:rPr>
          <w:rtl/>
        </w:rPr>
        <w:t>5</w:t>
      </w:r>
      <w:r w:rsidRPr="008E3E68">
        <w:rPr>
          <w:rFonts w:ascii="Traditional Arabic"/>
          <w:rtl/>
        </w:rPr>
        <w:t>-</w:t>
      </w:r>
      <w:r w:rsidRPr="008D799D">
        <w:rPr>
          <w:rtl/>
        </w:rPr>
        <w:t>6</w:t>
      </w:r>
      <w:r w:rsidRPr="008E3E68">
        <w:rPr>
          <w:rtl/>
        </w:rPr>
        <w:tab/>
      </w:r>
      <w:r>
        <w:rPr>
          <w:rtl/>
        </w:rPr>
        <w:t>و</w:t>
      </w:r>
      <w:r w:rsidRPr="008E3E68">
        <w:rPr>
          <w:rtl/>
        </w:rPr>
        <w:t>ثالثاً</w:t>
      </w:r>
      <w:r w:rsidR="00FF6AD6">
        <w:rPr>
          <w:rtl/>
        </w:rPr>
        <w:t>،</w:t>
      </w:r>
      <w:r w:rsidRPr="008E3E68">
        <w:rPr>
          <w:rtl/>
        </w:rPr>
        <w:t xml:space="preserve"> ي</w:t>
      </w:r>
      <w:r>
        <w:rPr>
          <w:rtl/>
        </w:rPr>
        <w:t>لا</w:t>
      </w:r>
      <w:r w:rsidRPr="008E3E68">
        <w:rPr>
          <w:rtl/>
        </w:rPr>
        <w:t>حظ</w:t>
      </w:r>
      <w:r>
        <w:rPr>
          <w:rtl/>
        </w:rPr>
        <w:t>ُ</w:t>
      </w:r>
      <w:r w:rsidRPr="008E3E68">
        <w:rPr>
          <w:rtl/>
        </w:rPr>
        <w:t xml:space="preserve"> صاحب</w:t>
      </w:r>
      <w:r>
        <w:rPr>
          <w:rtl/>
        </w:rPr>
        <w:t>ُ</w:t>
      </w:r>
      <w:r w:rsidRPr="008E3E68">
        <w:rPr>
          <w:rtl/>
        </w:rPr>
        <w:t xml:space="preserve"> البلاغ أن </w:t>
      </w:r>
      <w:r>
        <w:rPr>
          <w:rtl/>
        </w:rPr>
        <w:t xml:space="preserve">من الصحيح أن </w:t>
      </w:r>
      <w:r w:rsidRPr="008E3E68">
        <w:rPr>
          <w:rtl/>
        </w:rPr>
        <w:t xml:space="preserve">نشاط </w:t>
      </w:r>
      <w:r>
        <w:rPr>
          <w:rtl/>
        </w:rPr>
        <w:t xml:space="preserve">شهود يهوه </w:t>
      </w:r>
      <w:r w:rsidRPr="008E3E68">
        <w:rPr>
          <w:rtl/>
        </w:rPr>
        <w:t>الديني مقيّ</w:t>
      </w:r>
      <w:r>
        <w:rPr>
          <w:rtl/>
        </w:rPr>
        <w:t>َ</w:t>
      </w:r>
      <w:r w:rsidRPr="008E3E68">
        <w:rPr>
          <w:rtl/>
        </w:rPr>
        <w:t>د في عدة بلدان</w:t>
      </w:r>
      <w:r w:rsidR="00FF6AD6">
        <w:rPr>
          <w:rtl/>
        </w:rPr>
        <w:t>،</w:t>
      </w:r>
      <w:r w:rsidRPr="008E3E68">
        <w:rPr>
          <w:rtl/>
        </w:rPr>
        <w:t xml:space="preserve"> </w:t>
      </w:r>
      <w:r>
        <w:rPr>
          <w:rtl/>
        </w:rPr>
        <w:t xml:space="preserve">لكن </w:t>
      </w:r>
      <w:r w:rsidRPr="008E3E68">
        <w:rPr>
          <w:rtl/>
        </w:rPr>
        <w:t>ذلك يرجع</w:t>
      </w:r>
      <w:r>
        <w:rPr>
          <w:rtl/>
        </w:rPr>
        <w:t>ُ</w:t>
      </w:r>
      <w:r w:rsidRPr="008E3E68">
        <w:rPr>
          <w:rtl/>
        </w:rPr>
        <w:t xml:space="preserve"> إلى تعصّب الدولة و</w:t>
      </w:r>
      <w:r>
        <w:rPr>
          <w:rtl/>
        </w:rPr>
        <w:t>ممارستِها للا</w:t>
      </w:r>
      <w:r w:rsidRPr="008E3E68">
        <w:rPr>
          <w:rtl/>
        </w:rPr>
        <w:t>ضطهاد</w:t>
      </w:r>
      <w:r w:rsidR="00FF6AD6">
        <w:rPr>
          <w:vertAlign w:val="superscript"/>
          <w:rtl/>
        </w:rPr>
        <w:t>(</w:t>
      </w:r>
      <w:r w:rsidR="008D799D" w:rsidRPr="008D799D">
        <w:rPr>
          <w:rFonts w:ascii="Simplified Arabic" w:hAnsi="Simplified Arabic"/>
          <w:vertAlign w:val="superscript"/>
          <w:lang w:val="en-US"/>
        </w:rPr>
        <w:footnoteReference w:id="9"/>
      </w:r>
      <w:r w:rsidR="00FF6AD6">
        <w:rPr>
          <w:vertAlign w:val="superscript"/>
          <w:rtl/>
        </w:rPr>
        <w:t>)</w:t>
      </w:r>
      <w:r w:rsidRPr="008E3E68">
        <w:rPr>
          <w:rtl/>
        </w:rPr>
        <w:t xml:space="preserve">. </w:t>
      </w:r>
      <w:r>
        <w:rPr>
          <w:rtl/>
        </w:rPr>
        <w:t>و</w:t>
      </w:r>
      <w:r w:rsidRPr="008E3E68">
        <w:rPr>
          <w:rtl/>
        </w:rPr>
        <w:t>بالإضافة إلى ذلك</w:t>
      </w:r>
      <w:r w:rsidR="00FF6AD6">
        <w:rPr>
          <w:rtl/>
        </w:rPr>
        <w:t>،</w:t>
      </w:r>
      <w:r w:rsidRPr="008E3E68">
        <w:rPr>
          <w:rtl/>
        </w:rPr>
        <w:t xml:space="preserve"> فإن شهود يهوه معترف بهم قانوناً في معظم البلدان الديمقراطية في جميع أنحاء العالم</w:t>
      </w:r>
      <w:r w:rsidR="00FF6AD6">
        <w:rPr>
          <w:rtl/>
        </w:rPr>
        <w:t>،</w:t>
      </w:r>
      <w:r w:rsidRPr="008E3E68">
        <w:rPr>
          <w:rtl/>
        </w:rPr>
        <w:t xml:space="preserve"> بما في ذلك البلدان ذات الأغلبية المسلمة مثل أذربيجان</w:t>
      </w:r>
      <w:r w:rsidR="00FF6AD6">
        <w:rPr>
          <w:rtl/>
        </w:rPr>
        <w:t>،</w:t>
      </w:r>
      <w:r w:rsidRPr="008E3E68">
        <w:rPr>
          <w:rtl/>
        </w:rPr>
        <w:t xml:space="preserve"> </w:t>
      </w:r>
      <w:r>
        <w:rPr>
          <w:rtl/>
        </w:rPr>
        <w:t>وتركيا</w:t>
      </w:r>
      <w:r w:rsidR="00FF6AD6">
        <w:rPr>
          <w:rtl/>
        </w:rPr>
        <w:t>،</w:t>
      </w:r>
      <w:r>
        <w:rPr>
          <w:rtl/>
        </w:rPr>
        <w:t xml:space="preserve"> </w:t>
      </w:r>
      <w:r w:rsidRPr="008E3E68">
        <w:rPr>
          <w:rtl/>
        </w:rPr>
        <w:t>وقيرغيزستان</w:t>
      </w:r>
      <w:r w:rsidR="00FF6AD6">
        <w:rPr>
          <w:rtl/>
        </w:rPr>
        <w:t>،</w:t>
      </w:r>
      <w:r>
        <w:rPr>
          <w:rtl/>
        </w:rPr>
        <w:t xml:space="preserve"> و</w:t>
      </w:r>
      <w:r w:rsidRPr="008E3E68">
        <w:rPr>
          <w:rtl/>
        </w:rPr>
        <w:t>كازاخستان</w:t>
      </w:r>
      <w:r w:rsidR="00FF6AD6">
        <w:rPr>
          <w:rtl/>
        </w:rPr>
        <w:t>،</w:t>
      </w:r>
      <w:r w:rsidRPr="008E3E68">
        <w:rPr>
          <w:rtl/>
        </w:rPr>
        <w:t xml:space="preserve"> ويتّسق نشاطهم الديني السلمي مع حقوق الإنسان الأساسية</w:t>
      </w:r>
      <w:r w:rsidR="00FF6AD6">
        <w:rPr>
          <w:rtl/>
        </w:rPr>
        <w:t>،</w:t>
      </w:r>
      <w:r w:rsidRPr="008E3E68">
        <w:rPr>
          <w:rtl/>
        </w:rPr>
        <w:t xml:space="preserve"> كما أكدت ذلك مراراً هيئات حقوق الإنسان الإقليمية والدولية.</w:t>
      </w:r>
      <w:r w:rsidR="00422D1C">
        <w:rPr>
          <w:rtl/>
        </w:rPr>
        <w:t xml:space="preserve"> </w:t>
      </w:r>
    </w:p>
    <w:p w14:paraId="30AC398A" w14:textId="17FE178C" w:rsidR="0023192C" w:rsidRPr="00A903BB" w:rsidRDefault="0023192C" w:rsidP="0023192C">
      <w:pPr>
        <w:pStyle w:val="SingleTxtGA"/>
        <w:rPr>
          <w:lang w:val="en-US" w:eastAsia="zh-TW" w:bidi="en-GB"/>
        </w:rPr>
      </w:pPr>
      <w:r w:rsidRPr="008D799D">
        <w:rPr>
          <w:rtl/>
        </w:rPr>
        <w:lastRenderedPageBreak/>
        <w:t>5</w:t>
      </w:r>
      <w:r w:rsidRPr="008E3E68">
        <w:rPr>
          <w:rFonts w:ascii="Traditional Arabic"/>
          <w:rtl/>
        </w:rPr>
        <w:t>-</w:t>
      </w:r>
      <w:r w:rsidRPr="008D799D">
        <w:rPr>
          <w:rtl/>
        </w:rPr>
        <w:t>7</w:t>
      </w:r>
      <w:r w:rsidRPr="008E3E68">
        <w:rPr>
          <w:rtl/>
        </w:rPr>
        <w:tab/>
        <w:t>و</w:t>
      </w:r>
      <w:r>
        <w:rPr>
          <w:rtl/>
        </w:rPr>
        <w:t>لذا</w:t>
      </w:r>
      <w:r w:rsidR="00FF6AD6">
        <w:rPr>
          <w:rtl/>
        </w:rPr>
        <w:t>،</w:t>
      </w:r>
      <w:r w:rsidRPr="008E3E68">
        <w:rPr>
          <w:rtl/>
        </w:rPr>
        <w:t xml:space="preserve"> يخلص</w:t>
      </w:r>
      <w:r>
        <w:rPr>
          <w:rtl/>
        </w:rPr>
        <w:t>ُ</w:t>
      </w:r>
      <w:r w:rsidRPr="008E3E68">
        <w:rPr>
          <w:rtl/>
        </w:rPr>
        <w:t xml:space="preserve"> صاحب</w:t>
      </w:r>
      <w:r>
        <w:rPr>
          <w:rtl/>
        </w:rPr>
        <w:t>ُ</w:t>
      </w:r>
      <w:r w:rsidRPr="008E3E68">
        <w:rPr>
          <w:rtl/>
        </w:rPr>
        <w:t xml:space="preserve"> البلاغ إلى أن حالة شهود يهوه في بلدان أخرى لا يمكن بأي حال من الأحوال أن تبرّر انتهاك طاجيكستان لحقوقه بموجب العهد. بل على العكس من ذلك</w:t>
      </w:r>
      <w:r w:rsidR="00FF6AD6">
        <w:rPr>
          <w:rtl/>
        </w:rPr>
        <w:t>،</w:t>
      </w:r>
      <w:r w:rsidRPr="008E3E68">
        <w:rPr>
          <w:rtl/>
        </w:rPr>
        <w:t xml:space="preserve"> تؤكد </w:t>
      </w:r>
      <w:r>
        <w:rPr>
          <w:rtl/>
        </w:rPr>
        <w:t xml:space="preserve">الاجتهادات </w:t>
      </w:r>
      <w:r w:rsidRPr="008E3E68">
        <w:rPr>
          <w:rtl/>
        </w:rPr>
        <w:t xml:space="preserve">القضائية للهيئات الإقليمية والدولية لحقوق الإنسان أن حقوق الإنسان الأساسية </w:t>
      </w:r>
      <w:r>
        <w:rPr>
          <w:rtl/>
        </w:rPr>
        <w:t xml:space="preserve">تحمي </w:t>
      </w:r>
      <w:r w:rsidRPr="008E3E68">
        <w:rPr>
          <w:rtl/>
        </w:rPr>
        <w:t>النشاط الديني الخاص بهذه الأقلية الدينية السلمية.</w:t>
      </w:r>
    </w:p>
    <w:p w14:paraId="5A2835C7" w14:textId="70B35583" w:rsidR="0023192C" w:rsidRPr="008E3E68" w:rsidRDefault="0023192C" w:rsidP="0023192C">
      <w:pPr>
        <w:pStyle w:val="SingleTxtGA"/>
        <w:rPr>
          <w:lang w:val="ar-SA" w:eastAsia="zh-TW" w:bidi="en-GB"/>
        </w:rPr>
      </w:pPr>
      <w:r w:rsidRPr="008D799D">
        <w:rPr>
          <w:rtl/>
        </w:rPr>
        <w:t>5</w:t>
      </w:r>
      <w:r w:rsidRPr="008E3E68">
        <w:rPr>
          <w:rFonts w:ascii="Traditional Arabic"/>
          <w:rtl/>
        </w:rPr>
        <w:t>-</w:t>
      </w:r>
      <w:r w:rsidRPr="008D799D">
        <w:rPr>
          <w:rtl/>
        </w:rPr>
        <w:t>8</w:t>
      </w:r>
      <w:r w:rsidRPr="008E3E68">
        <w:rPr>
          <w:rtl/>
        </w:rPr>
        <w:tab/>
        <w:t>وفيما يتعلق بمقبولية البلاغ وأسس</w:t>
      </w:r>
      <w:r>
        <w:rPr>
          <w:rtl/>
        </w:rPr>
        <w:t>ه</w:t>
      </w:r>
      <w:r w:rsidRPr="008E3E68">
        <w:rPr>
          <w:rtl/>
        </w:rPr>
        <w:t xml:space="preserve"> الموضوعية </w:t>
      </w:r>
      <w:r w:rsidR="00FF6AD6">
        <w:rPr>
          <w:rtl/>
        </w:rPr>
        <w:t>،</w:t>
      </w:r>
      <w:r w:rsidRPr="008E3E68">
        <w:rPr>
          <w:rtl/>
        </w:rPr>
        <w:t xml:space="preserve"> </w:t>
      </w:r>
      <w:r>
        <w:rPr>
          <w:rtl/>
        </w:rPr>
        <w:t>فقد قدّمت</w:t>
      </w:r>
      <w:r w:rsidRPr="008E3E68">
        <w:rPr>
          <w:rtl/>
        </w:rPr>
        <w:t xml:space="preserve"> الدولة الطرف </w:t>
      </w:r>
      <w:r>
        <w:rPr>
          <w:rtl/>
        </w:rPr>
        <w:t>ح</w:t>
      </w:r>
      <w:r w:rsidRPr="008E3E68">
        <w:rPr>
          <w:rtl/>
        </w:rPr>
        <w:t>ج</w:t>
      </w:r>
      <w:r>
        <w:rPr>
          <w:rtl/>
        </w:rPr>
        <w:t>ّ</w:t>
      </w:r>
      <w:r w:rsidRPr="008E3E68">
        <w:rPr>
          <w:rtl/>
        </w:rPr>
        <w:t xml:space="preserve">ة وحيدة </w:t>
      </w:r>
      <w:r>
        <w:rPr>
          <w:rtl/>
        </w:rPr>
        <w:t>أكّدت</w:t>
      </w:r>
      <w:r w:rsidRPr="008E3E68">
        <w:rPr>
          <w:rtl/>
        </w:rPr>
        <w:t xml:space="preserve"> </w:t>
      </w:r>
      <w:r>
        <w:rPr>
          <w:rtl/>
        </w:rPr>
        <w:t xml:space="preserve">فيها </w:t>
      </w:r>
      <w:r w:rsidRPr="008E3E68">
        <w:rPr>
          <w:rtl/>
        </w:rPr>
        <w:t>أنه كان ينبغي لصاحب البلاغ أن يقد</w:t>
      </w:r>
      <w:r>
        <w:rPr>
          <w:rtl/>
        </w:rPr>
        <w:t>ّ</w:t>
      </w:r>
      <w:r w:rsidRPr="008E3E68">
        <w:rPr>
          <w:rtl/>
        </w:rPr>
        <w:t>م طلب</w:t>
      </w:r>
      <w:r>
        <w:rPr>
          <w:rtl/>
        </w:rPr>
        <w:t>َ</w:t>
      </w:r>
      <w:r w:rsidRPr="008E3E68">
        <w:rPr>
          <w:rtl/>
        </w:rPr>
        <w:t xml:space="preserve"> المراجعة القضائية الرقابية إلى هيئة رئاسة المحكمة العليا في طاجيكستان بموجب المادتين </w:t>
      </w:r>
      <w:r w:rsidRPr="008D799D">
        <w:rPr>
          <w:rtl/>
        </w:rPr>
        <w:t>183</w:t>
      </w:r>
      <w:r w:rsidRPr="008E3E68">
        <w:rPr>
          <w:rtl/>
        </w:rPr>
        <w:t xml:space="preserve"> و</w:t>
      </w:r>
      <w:r w:rsidRPr="008D799D">
        <w:rPr>
          <w:rtl/>
        </w:rPr>
        <w:t>184</w:t>
      </w:r>
      <w:r w:rsidRPr="008E3E68">
        <w:rPr>
          <w:rtl/>
        </w:rPr>
        <w:t xml:space="preserve"> من قانون </w:t>
      </w:r>
      <w:r>
        <w:rPr>
          <w:rtl/>
        </w:rPr>
        <w:t xml:space="preserve">المخالفات </w:t>
      </w:r>
      <w:r w:rsidRPr="008E3E68">
        <w:rPr>
          <w:rtl/>
        </w:rPr>
        <w:t>الإدارية. لكن في هذا السياق</w:t>
      </w:r>
      <w:r w:rsidR="00FF6AD6">
        <w:rPr>
          <w:rtl/>
        </w:rPr>
        <w:t>،</w:t>
      </w:r>
      <w:r w:rsidRPr="008E3E68">
        <w:rPr>
          <w:rtl/>
        </w:rPr>
        <w:t xml:space="preserve"> يشير صاحب</w:t>
      </w:r>
      <w:r>
        <w:rPr>
          <w:rtl/>
        </w:rPr>
        <w:t>ُ</w:t>
      </w:r>
      <w:r w:rsidRPr="008E3E68">
        <w:rPr>
          <w:rtl/>
        </w:rPr>
        <w:t xml:space="preserve"> البلاغ الى استنتاج اللجنة ومفاده "أن تقديم </w:t>
      </w:r>
      <w:r>
        <w:rPr>
          <w:rtl/>
        </w:rPr>
        <w:t>ال</w:t>
      </w:r>
      <w:r w:rsidRPr="008E3E68">
        <w:rPr>
          <w:rtl/>
        </w:rPr>
        <w:t>طلبات إلى إحدى المحاكم لإجراء مراجعة قضائية رقابية لقرارات المحكمة التي دخلت حيز النفاذ و</w:t>
      </w:r>
      <w:r>
        <w:rPr>
          <w:rtl/>
        </w:rPr>
        <w:t xml:space="preserve">التي </w:t>
      </w:r>
      <w:r w:rsidRPr="008E3E68">
        <w:rPr>
          <w:rtl/>
        </w:rPr>
        <w:t>تخضع للسلطة التقديرية للقاضي يشكّل سبيل</w:t>
      </w:r>
      <w:r>
        <w:rPr>
          <w:rtl/>
        </w:rPr>
        <w:t>َ</w:t>
      </w:r>
      <w:r w:rsidRPr="008E3E68">
        <w:rPr>
          <w:rtl/>
        </w:rPr>
        <w:t xml:space="preserve"> انتصاف</w:t>
      </w:r>
      <w:r>
        <w:rPr>
          <w:rtl/>
        </w:rPr>
        <w:t>ٍ</w:t>
      </w:r>
      <w:r w:rsidRPr="008E3E68">
        <w:rPr>
          <w:rtl/>
        </w:rPr>
        <w:t xml:space="preserve"> استثنائياً</w:t>
      </w:r>
      <w:r w:rsidR="00FF6AD6">
        <w:rPr>
          <w:rtl/>
        </w:rPr>
        <w:t>،</w:t>
      </w:r>
      <w:r w:rsidRPr="008E3E68">
        <w:rPr>
          <w:rtl/>
        </w:rPr>
        <w:t xml:space="preserve"> وأن على الدولة الطرف أن تثبت</w:t>
      </w:r>
      <w:r>
        <w:rPr>
          <w:rtl/>
        </w:rPr>
        <w:t>َ</w:t>
      </w:r>
      <w:r w:rsidRPr="008E3E68">
        <w:rPr>
          <w:rtl/>
        </w:rPr>
        <w:t xml:space="preserve"> وجود</w:t>
      </w:r>
      <w:r>
        <w:rPr>
          <w:rtl/>
        </w:rPr>
        <w:t>َ</w:t>
      </w:r>
      <w:r w:rsidRPr="008E3E68">
        <w:rPr>
          <w:rtl/>
        </w:rPr>
        <w:t xml:space="preserve"> احتمال معقول </w:t>
      </w:r>
      <w:r>
        <w:rPr>
          <w:rtl/>
        </w:rPr>
        <w:t>ب</w:t>
      </w:r>
      <w:r w:rsidRPr="008E3E68">
        <w:rPr>
          <w:rtl/>
        </w:rPr>
        <w:t>أن تتيح هذه الطلبات انتصافاً فعالاً في ملابسات هذه القضية</w:t>
      </w:r>
      <w:r w:rsidR="00FF6AD6">
        <w:rPr>
          <w:vertAlign w:val="superscript"/>
          <w:rtl/>
        </w:rPr>
        <w:t>(</w:t>
      </w:r>
      <w:r w:rsidR="008D799D" w:rsidRPr="008D799D">
        <w:rPr>
          <w:rFonts w:ascii="Simplified Arabic" w:hAnsi="Simplified Arabic"/>
          <w:vertAlign w:val="superscript"/>
          <w:lang w:val="en-US"/>
        </w:rPr>
        <w:footnoteReference w:id="10"/>
      </w:r>
      <w:r w:rsidR="00FF6AD6">
        <w:rPr>
          <w:vertAlign w:val="superscript"/>
          <w:rtl/>
        </w:rPr>
        <w:t>)</w:t>
      </w:r>
      <w:r w:rsidRPr="008E3E68">
        <w:rPr>
          <w:rtl/>
        </w:rPr>
        <w:t>. ويؤكد صاحب</w:t>
      </w:r>
      <w:r>
        <w:rPr>
          <w:rtl/>
        </w:rPr>
        <w:t>ُ</w:t>
      </w:r>
      <w:r w:rsidRPr="008E3E68">
        <w:rPr>
          <w:rtl/>
        </w:rPr>
        <w:t xml:space="preserve"> البلاغ أن الدولة</w:t>
      </w:r>
      <w:r>
        <w:rPr>
          <w:rtl/>
        </w:rPr>
        <w:t>َ</w:t>
      </w:r>
      <w:r w:rsidRPr="008E3E68">
        <w:rPr>
          <w:rtl/>
        </w:rPr>
        <w:t xml:space="preserve"> الطرف لم ت</w:t>
      </w:r>
      <w:r>
        <w:rPr>
          <w:rtl/>
        </w:rPr>
        <w:t>ُ</w:t>
      </w:r>
      <w:r w:rsidRPr="008E3E68">
        <w:rPr>
          <w:rtl/>
        </w:rPr>
        <w:t>ثبت أن طلب المراجعة القضائية الرقابية المقد</w:t>
      </w:r>
      <w:r>
        <w:rPr>
          <w:rtl/>
        </w:rPr>
        <w:t>ّ</w:t>
      </w:r>
      <w:r w:rsidRPr="008E3E68">
        <w:rPr>
          <w:rtl/>
        </w:rPr>
        <w:t xml:space="preserve">م إلى المحكمة العليا في طاجيكستان قد أتاح لصاحب الشكوى أي احتمال معقول </w:t>
      </w:r>
      <w:r>
        <w:rPr>
          <w:rtl/>
        </w:rPr>
        <w:t>لل</w:t>
      </w:r>
      <w:r w:rsidRPr="008E3E68">
        <w:rPr>
          <w:rtl/>
        </w:rPr>
        <w:t xml:space="preserve">نجاح. </w:t>
      </w:r>
      <w:r>
        <w:rPr>
          <w:rtl/>
        </w:rPr>
        <w:t xml:space="preserve">ولذلك </w:t>
      </w:r>
      <w:r w:rsidRPr="008E3E68">
        <w:rPr>
          <w:rtl/>
        </w:rPr>
        <w:t>ينبغي رفض</w:t>
      </w:r>
      <w:r>
        <w:rPr>
          <w:rtl/>
        </w:rPr>
        <w:t>ُ</w:t>
      </w:r>
      <w:r w:rsidRPr="008E3E68">
        <w:rPr>
          <w:rtl/>
        </w:rPr>
        <w:t xml:space="preserve"> اعتراضات الدولة الطرف على مقبولية البلاغ.</w:t>
      </w:r>
    </w:p>
    <w:p w14:paraId="53A3FA8B" w14:textId="43085901" w:rsidR="0023192C" w:rsidRPr="00217B9D" w:rsidRDefault="0023192C" w:rsidP="0023192C">
      <w:pPr>
        <w:pStyle w:val="SingleTxtGA"/>
        <w:rPr>
          <w:lang w:val="en-US" w:eastAsia="zh-TW" w:bidi="en-GB"/>
        </w:rPr>
      </w:pPr>
      <w:r w:rsidRPr="008D799D">
        <w:rPr>
          <w:rtl/>
        </w:rPr>
        <w:t>5</w:t>
      </w:r>
      <w:r w:rsidRPr="008E3E68">
        <w:rPr>
          <w:rFonts w:ascii="Traditional Arabic"/>
          <w:rtl/>
        </w:rPr>
        <w:t>-</w:t>
      </w:r>
      <w:r w:rsidRPr="008D799D">
        <w:rPr>
          <w:rtl/>
        </w:rPr>
        <w:t>9</w:t>
      </w:r>
      <w:r w:rsidRPr="008E3E68">
        <w:rPr>
          <w:rtl/>
        </w:rPr>
        <w:tab/>
      </w:r>
      <w:r>
        <w:rPr>
          <w:rtl/>
        </w:rPr>
        <w:t>و</w:t>
      </w:r>
      <w:r w:rsidRPr="008E3E68">
        <w:rPr>
          <w:rtl/>
        </w:rPr>
        <w:t>فيما يتعلق بالأسس الموضوعية ل</w:t>
      </w:r>
      <w:r>
        <w:rPr>
          <w:rtl/>
        </w:rPr>
        <w:t>ل</w:t>
      </w:r>
      <w:r w:rsidRPr="008E3E68">
        <w:rPr>
          <w:rtl/>
        </w:rPr>
        <w:t>بلاغ</w:t>
      </w:r>
      <w:r w:rsidR="00FF6AD6">
        <w:rPr>
          <w:rtl/>
        </w:rPr>
        <w:t>،</w:t>
      </w:r>
      <w:r w:rsidRPr="008E3E68">
        <w:rPr>
          <w:rtl/>
        </w:rPr>
        <w:t xml:space="preserve"> يكرّر صاحب البلاغ أيضاً الحجج الواردة في رسالته الأولية ويعتمد عليها.</w:t>
      </w:r>
    </w:p>
    <w:p w14:paraId="54CF8BE0" w14:textId="77777777" w:rsidR="0023192C" w:rsidRPr="008D799D" w:rsidRDefault="0023192C" w:rsidP="0023192C">
      <w:pPr>
        <w:pStyle w:val="H23GA"/>
        <w:rPr>
          <w:lang w:val="ar-SA" w:eastAsia="zh-TW" w:bidi="en-GB"/>
        </w:rPr>
      </w:pPr>
      <w:r w:rsidRPr="008D799D">
        <w:rPr>
          <w:rtl/>
        </w:rPr>
        <w:lastRenderedPageBreak/>
        <w:tab/>
      </w:r>
      <w:r w:rsidRPr="008D799D">
        <w:rPr>
          <w:rtl/>
        </w:rPr>
        <w:tab/>
        <w:t>القضايا والإجراءات المعروضة على اللجنة</w:t>
      </w:r>
    </w:p>
    <w:p w14:paraId="3935E100" w14:textId="77777777" w:rsidR="0023192C" w:rsidRPr="008D799D" w:rsidRDefault="0023192C" w:rsidP="0023192C">
      <w:pPr>
        <w:pStyle w:val="H4GA"/>
        <w:rPr>
          <w:lang w:val="ar-SA" w:eastAsia="zh-TW" w:bidi="en-GB"/>
        </w:rPr>
      </w:pPr>
      <w:r w:rsidRPr="008D799D">
        <w:rPr>
          <w:rtl/>
        </w:rPr>
        <w:tab/>
      </w:r>
      <w:r w:rsidRPr="008D799D">
        <w:rPr>
          <w:rtl/>
        </w:rPr>
        <w:tab/>
        <w:t>النظر في المقبولية</w:t>
      </w:r>
    </w:p>
    <w:p w14:paraId="6305818F" w14:textId="16B6069D" w:rsidR="0023192C" w:rsidRPr="008E3E68" w:rsidRDefault="0023192C" w:rsidP="0023192C">
      <w:pPr>
        <w:pStyle w:val="SingleTxtGA"/>
        <w:rPr>
          <w:lang w:val="ar-SA" w:eastAsia="zh-TW" w:bidi="en-GB"/>
        </w:rPr>
      </w:pPr>
      <w:r w:rsidRPr="008D799D">
        <w:rPr>
          <w:rtl/>
        </w:rPr>
        <w:t>6</w:t>
      </w:r>
      <w:r w:rsidRPr="008E3E68">
        <w:rPr>
          <w:rFonts w:ascii="Traditional Arabic"/>
          <w:rtl/>
        </w:rPr>
        <w:t>-</w:t>
      </w:r>
      <w:r w:rsidRPr="008D799D">
        <w:rPr>
          <w:rtl/>
        </w:rPr>
        <w:t>1</w:t>
      </w:r>
      <w:r w:rsidRPr="008E3E68">
        <w:rPr>
          <w:rtl/>
        </w:rPr>
        <w:tab/>
        <w:t>قبل النظر في أي ادّعاء يرد</w:t>
      </w:r>
      <w:r>
        <w:rPr>
          <w:rtl/>
        </w:rPr>
        <w:t>ُ</w:t>
      </w:r>
      <w:r w:rsidRPr="008E3E68">
        <w:rPr>
          <w:rtl/>
        </w:rPr>
        <w:t xml:space="preserve"> في بلاغ ما</w:t>
      </w:r>
      <w:r w:rsidR="00FF6AD6">
        <w:rPr>
          <w:rtl/>
        </w:rPr>
        <w:t>،</w:t>
      </w:r>
      <w:r w:rsidRPr="008E3E68">
        <w:rPr>
          <w:rtl/>
        </w:rPr>
        <w:t xml:space="preserve"> يجب أن تبت</w:t>
      </w:r>
      <w:r>
        <w:rPr>
          <w:rtl/>
        </w:rPr>
        <w:t>ّ</w:t>
      </w:r>
      <w:r w:rsidRPr="008E3E68">
        <w:rPr>
          <w:rtl/>
        </w:rPr>
        <w:t xml:space="preserve"> اللجنة المعنية بحقوق الإنسان</w:t>
      </w:r>
      <w:r w:rsidR="00FF6AD6">
        <w:rPr>
          <w:rtl/>
        </w:rPr>
        <w:t>،</w:t>
      </w:r>
      <w:r w:rsidRPr="008E3E68">
        <w:rPr>
          <w:rtl/>
        </w:rPr>
        <w:t xml:space="preserve"> وفقاً للمادة </w:t>
      </w:r>
      <w:r w:rsidRPr="008D799D">
        <w:rPr>
          <w:rtl/>
        </w:rPr>
        <w:t>97</w:t>
      </w:r>
      <w:r w:rsidRPr="008E3E68">
        <w:rPr>
          <w:rtl/>
        </w:rPr>
        <w:t xml:space="preserve"> من نظامها الداخلي</w:t>
      </w:r>
      <w:r w:rsidR="00FF6AD6">
        <w:rPr>
          <w:rtl/>
        </w:rPr>
        <w:t>،</w:t>
      </w:r>
      <w:r w:rsidRPr="008E3E68">
        <w:rPr>
          <w:rtl/>
        </w:rPr>
        <w:t xml:space="preserve"> فيما إذا كان البلاغ مقبولاً أم لا بموجب البروتوكول الاختياري.</w:t>
      </w:r>
    </w:p>
    <w:p w14:paraId="65482C81" w14:textId="749D3B64" w:rsidR="0023192C" w:rsidRPr="008E3E68" w:rsidRDefault="0023192C" w:rsidP="008D799D">
      <w:pPr>
        <w:pStyle w:val="SingleTxtGA"/>
        <w:spacing w:line="350" w:lineRule="exact"/>
        <w:rPr>
          <w:lang w:val="ar-SA" w:eastAsia="zh-TW" w:bidi="en-GB"/>
        </w:rPr>
      </w:pPr>
      <w:r w:rsidRPr="008D799D">
        <w:rPr>
          <w:rtl/>
        </w:rPr>
        <w:t>6</w:t>
      </w:r>
      <w:r w:rsidRPr="008E3E68">
        <w:rPr>
          <w:rFonts w:ascii="Traditional Arabic"/>
          <w:rtl/>
        </w:rPr>
        <w:t>-</w:t>
      </w:r>
      <w:r w:rsidRPr="008D799D">
        <w:rPr>
          <w:rtl/>
        </w:rPr>
        <w:t>2</w:t>
      </w:r>
      <w:r w:rsidRPr="008E3E68">
        <w:rPr>
          <w:rtl/>
        </w:rPr>
        <w:tab/>
        <w:t>وقد تأكدت اللجنة</w:t>
      </w:r>
      <w:r w:rsidR="00FF6AD6">
        <w:rPr>
          <w:rtl/>
        </w:rPr>
        <w:t>،</w:t>
      </w:r>
      <w:r w:rsidRPr="008E3E68">
        <w:rPr>
          <w:rtl/>
        </w:rPr>
        <w:t xml:space="preserve"> وفقاً لما تنص عليه المادة </w:t>
      </w:r>
      <w:r w:rsidRPr="008D799D">
        <w:rPr>
          <w:rtl/>
        </w:rPr>
        <w:t>5</w:t>
      </w:r>
      <w:r w:rsidRPr="008E3E68">
        <w:rPr>
          <w:rFonts w:ascii="Traditional Arabic"/>
          <w:rtl/>
        </w:rPr>
        <w:t>(</w:t>
      </w:r>
      <w:r w:rsidRPr="008D799D">
        <w:rPr>
          <w:rtl/>
        </w:rPr>
        <w:t>2</w:t>
      </w:r>
      <w:r w:rsidRPr="008E3E68">
        <w:rPr>
          <w:rFonts w:ascii="Traditional Arabic"/>
          <w:rtl/>
        </w:rPr>
        <w:t>)(</w:t>
      </w:r>
      <w:r w:rsidRPr="008E3E68">
        <w:rPr>
          <w:rtl/>
        </w:rPr>
        <w:t>أ</w:t>
      </w:r>
      <w:r w:rsidRPr="008E3E68">
        <w:rPr>
          <w:rFonts w:ascii="Traditional Arabic"/>
          <w:rtl/>
        </w:rPr>
        <w:t>)</w:t>
      </w:r>
      <w:r w:rsidRPr="008E3E68">
        <w:rPr>
          <w:rtl/>
        </w:rPr>
        <w:t xml:space="preserve"> من البروتوكول الاختياري</w:t>
      </w:r>
      <w:r w:rsidR="00FF6AD6">
        <w:rPr>
          <w:rtl/>
        </w:rPr>
        <w:t>،</w:t>
      </w:r>
      <w:r w:rsidRPr="008E3E68">
        <w:rPr>
          <w:rtl/>
        </w:rPr>
        <w:t xml:space="preserve"> من أن</w:t>
      </w:r>
      <w:r>
        <w:rPr>
          <w:rtl/>
        </w:rPr>
        <w:t>ّ</w:t>
      </w:r>
      <w:r w:rsidRPr="008E3E68">
        <w:rPr>
          <w:rtl/>
        </w:rPr>
        <w:t xml:space="preserve"> المسألة</w:t>
      </w:r>
      <w:r>
        <w:rPr>
          <w:rtl/>
        </w:rPr>
        <w:t>َ</w:t>
      </w:r>
      <w:r w:rsidRPr="008E3E68">
        <w:rPr>
          <w:rtl/>
        </w:rPr>
        <w:t xml:space="preserve"> نفسها ليست قيد البحث في إطار أي إجراء آخر من إجراءات التحقيق الدولي أو التسوية الدولية.</w:t>
      </w:r>
    </w:p>
    <w:p w14:paraId="1CE03DBD" w14:textId="259C23B9" w:rsidR="0023192C" w:rsidRPr="008E3E68" w:rsidRDefault="0023192C" w:rsidP="008D799D">
      <w:pPr>
        <w:pStyle w:val="SingleTxtGA"/>
        <w:spacing w:line="350" w:lineRule="exact"/>
        <w:rPr>
          <w:lang w:val="ar-SA" w:eastAsia="zh-TW" w:bidi="en-GB"/>
        </w:rPr>
      </w:pPr>
      <w:r w:rsidRPr="008D799D">
        <w:rPr>
          <w:rtl/>
        </w:rPr>
        <w:t>6</w:t>
      </w:r>
      <w:r w:rsidRPr="008E3E68">
        <w:rPr>
          <w:rFonts w:ascii="Traditional Arabic"/>
          <w:rtl/>
        </w:rPr>
        <w:t>-</w:t>
      </w:r>
      <w:r w:rsidRPr="008D799D">
        <w:rPr>
          <w:rtl/>
        </w:rPr>
        <w:t>3</w:t>
      </w:r>
      <w:r w:rsidRPr="008E3E68">
        <w:rPr>
          <w:rtl/>
        </w:rPr>
        <w:tab/>
      </w:r>
      <w:r>
        <w:rPr>
          <w:rtl/>
        </w:rPr>
        <w:t>و</w:t>
      </w:r>
      <w:r w:rsidRPr="008E3E68">
        <w:rPr>
          <w:rtl/>
        </w:rPr>
        <w:t xml:space="preserve">تلاحظ اللجنة أن الدولة الطرف طعنت في مقبولية البلاغ على أساس عدم استنفاد سبل الانتصاف المحلية بموجب المادة </w:t>
      </w:r>
      <w:r w:rsidRPr="008D799D">
        <w:rPr>
          <w:rtl/>
        </w:rPr>
        <w:t>5</w:t>
      </w:r>
      <w:r w:rsidRPr="008E3E68">
        <w:rPr>
          <w:rFonts w:ascii="Traditional Arabic"/>
          <w:rtl/>
        </w:rPr>
        <w:t>(</w:t>
      </w:r>
      <w:r w:rsidRPr="008D799D">
        <w:rPr>
          <w:rtl/>
        </w:rPr>
        <w:t>2</w:t>
      </w:r>
      <w:r w:rsidRPr="008E3E68">
        <w:rPr>
          <w:rFonts w:ascii="Traditional Arabic"/>
          <w:rtl/>
        </w:rPr>
        <w:t>)(</w:t>
      </w:r>
      <w:r w:rsidRPr="008E3E68">
        <w:rPr>
          <w:rtl/>
        </w:rPr>
        <w:t>ب</w:t>
      </w:r>
      <w:r w:rsidRPr="008E3E68">
        <w:rPr>
          <w:rFonts w:ascii="Traditional Arabic"/>
          <w:rtl/>
        </w:rPr>
        <w:t>)</w:t>
      </w:r>
      <w:r w:rsidRPr="008E3E68">
        <w:rPr>
          <w:rtl/>
        </w:rPr>
        <w:t xml:space="preserve"> من البروتوكول الاختياري</w:t>
      </w:r>
      <w:r w:rsidR="00FF6AD6">
        <w:rPr>
          <w:rtl/>
        </w:rPr>
        <w:t>،</w:t>
      </w:r>
      <w:r w:rsidRPr="008E3E68">
        <w:rPr>
          <w:rtl/>
        </w:rPr>
        <w:t xml:space="preserve"> لأن صاحب البلاغ لم يقدّم طلب مراجعة قضائية رقابية إلى هيئة رئاسة المحكمة العليا في طاجيكستان بموجب المادتين </w:t>
      </w:r>
      <w:r w:rsidRPr="008D799D">
        <w:rPr>
          <w:rtl/>
        </w:rPr>
        <w:t>183</w:t>
      </w:r>
      <w:r w:rsidRPr="008E3E68">
        <w:rPr>
          <w:rtl/>
        </w:rPr>
        <w:t xml:space="preserve"> و</w:t>
      </w:r>
      <w:r w:rsidRPr="008D799D">
        <w:rPr>
          <w:rtl/>
        </w:rPr>
        <w:t>184</w:t>
      </w:r>
      <w:r w:rsidRPr="008E3E68">
        <w:rPr>
          <w:rtl/>
        </w:rPr>
        <w:t xml:space="preserve"> من قانون </w:t>
      </w:r>
      <w:r>
        <w:rPr>
          <w:rtl/>
        </w:rPr>
        <w:t xml:space="preserve">المخالفات </w:t>
      </w:r>
      <w:r w:rsidRPr="008E3E68">
        <w:rPr>
          <w:rtl/>
        </w:rPr>
        <w:t xml:space="preserve">الإدارية. غير أنّ اللجنة تلاحظ أن صاحب البلاغ كان قد قدم في السابق طلب مراجعة </w:t>
      </w:r>
      <w:r w:rsidRPr="008D799D">
        <w:rPr>
          <w:spacing w:val="-2"/>
          <w:rtl/>
        </w:rPr>
        <w:t>قضائية رقابية في 27 آذار/مارس 2019 إلى هيئة رئاسة محكمة مدينة دوشانبي</w:t>
      </w:r>
      <w:r w:rsidR="00FF6AD6" w:rsidRPr="008D799D">
        <w:rPr>
          <w:spacing w:val="-2"/>
          <w:rtl/>
        </w:rPr>
        <w:t>،</w:t>
      </w:r>
      <w:r w:rsidRPr="008D799D">
        <w:rPr>
          <w:spacing w:val="-2"/>
          <w:rtl/>
        </w:rPr>
        <w:t xml:space="preserve"> وقد رُفض في 10 نيسان/</w:t>
      </w:r>
      <w:r w:rsidR="008D799D">
        <w:rPr>
          <w:rFonts w:hint="cs"/>
          <w:rtl/>
        </w:rPr>
        <w:t xml:space="preserve"> </w:t>
      </w:r>
      <w:r w:rsidRPr="008E3E68">
        <w:rPr>
          <w:rtl/>
        </w:rPr>
        <w:t xml:space="preserve">أبريل </w:t>
      </w:r>
      <w:r w:rsidRPr="008D799D">
        <w:rPr>
          <w:rtl/>
        </w:rPr>
        <w:t>2019</w:t>
      </w:r>
      <w:r w:rsidRPr="008E3E68">
        <w:rPr>
          <w:rFonts w:ascii="Traditional Arabic"/>
          <w:rtl/>
        </w:rPr>
        <w:t>.</w:t>
      </w:r>
      <w:r w:rsidRPr="008E3E68">
        <w:rPr>
          <w:rtl/>
        </w:rPr>
        <w:t xml:space="preserve"> وتذكّر اللجنة </w:t>
      </w:r>
      <w:r>
        <w:rPr>
          <w:rtl/>
        </w:rPr>
        <w:t xml:space="preserve">أيضاً </w:t>
      </w:r>
      <w:r w:rsidRPr="008E3E68">
        <w:rPr>
          <w:rtl/>
        </w:rPr>
        <w:t>باجتهادها القانوني الذي ي</w:t>
      </w:r>
      <w:r>
        <w:rPr>
          <w:rtl/>
        </w:rPr>
        <w:t>ُ</w:t>
      </w:r>
      <w:r w:rsidRPr="008E3E68">
        <w:rPr>
          <w:rtl/>
        </w:rPr>
        <w:t>فيد بأن</w:t>
      </w:r>
      <w:r>
        <w:rPr>
          <w:rtl/>
        </w:rPr>
        <w:t>ّ</w:t>
      </w:r>
      <w:r w:rsidRPr="008E3E68">
        <w:rPr>
          <w:rtl/>
        </w:rPr>
        <w:t xml:space="preserve"> تقديم</w:t>
      </w:r>
      <w:r>
        <w:rPr>
          <w:rtl/>
        </w:rPr>
        <w:t>َ</w:t>
      </w:r>
      <w:r w:rsidRPr="008E3E68">
        <w:rPr>
          <w:rtl/>
        </w:rPr>
        <w:t xml:space="preserve"> طلبات</w:t>
      </w:r>
      <w:r>
        <w:rPr>
          <w:rtl/>
        </w:rPr>
        <w:t>ٍ</w:t>
      </w:r>
      <w:r w:rsidRPr="008E3E68">
        <w:rPr>
          <w:rtl/>
        </w:rPr>
        <w:t xml:space="preserve"> إلى إحدى المحاكم لإجراء مراجعة قضائية رقابية لقرارات</w:t>
      </w:r>
      <w:r>
        <w:rPr>
          <w:rtl/>
        </w:rPr>
        <w:t>ِ</w:t>
      </w:r>
      <w:r w:rsidRPr="008E3E68">
        <w:rPr>
          <w:rtl/>
        </w:rPr>
        <w:t xml:space="preserve"> المحاكم التي دخلت حيز النفاذ وتخضع للسلطة التقديرية للقاضي يشك</w:t>
      </w:r>
      <w:r>
        <w:rPr>
          <w:rtl/>
        </w:rPr>
        <w:t>ّ</w:t>
      </w:r>
      <w:r w:rsidRPr="008E3E68">
        <w:rPr>
          <w:rtl/>
        </w:rPr>
        <w:t>ل سبيل</w:t>
      </w:r>
      <w:r>
        <w:rPr>
          <w:rtl/>
        </w:rPr>
        <w:t>َ</w:t>
      </w:r>
      <w:r w:rsidRPr="008E3E68">
        <w:rPr>
          <w:rtl/>
        </w:rPr>
        <w:t xml:space="preserve"> انتصاف</w:t>
      </w:r>
      <w:r>
        <w:rPr>
          <w:rtl/>
        </w:rPr>
        <w:t>ٍ</w:t>
      </w:r>
      <w:r w:rsidRPr="008E3E68">
        <w:rPr>
          <w:rtl/>
        </w:rPr>
        <w:t xml:space="preserve"> استثنائياً</w:t>
      </w:r>
      <w:r w:rsidR="00FF6AD6">
        <w:rPr>
          <w:rtl/>
        </w:rPr>
        <w:t>،</w:t>
      </w:r>
      <w:r w:rsidRPr="008E3E68">
        <w:rPr>
          <w:rtl/>
        </w:rPr>
        <w:t xml:space="preserve"> وأن</w:t>
      </w:r>
      <w:r>
        <w:rPr>
          <w:rtl/>
        </w:rPr>
        <w:t>ّ</w:t>
      </w:r>
      <w:r w:rsidRPr="008E3E68">
        <w:rPr>
          <w:rtl/>
        </w:rPr>
        <w:t xml:space="preserve"> على الدولة الطرف أن ت</w:t>
      </w:r>
      <w:r>
        <w:rPr>
          <w:rtl/>
        </w:rPr>
        <w:t>ُ</w:t>
      </w:r>
      <w:r w:rsidRPr="008E3E68">
        <w:rPr>
          <w:rtl/>
        </w:rPr>
        <w:t>ثبت وجود احتمال</w:t>
      </w:r>
      <w:r>
        <w:rPr>
          <w:rtl/>
        </w:rPr>
        <w:t>ٍ</w:t>
      </w:r>
      <w:r w:rsidRPr="008E3E68">
        <w:rPr>
          <w:rtl/>
        </w:rPr>
        <w:t xml:space="preserve"> معقول بأن تتيح هذه </w:t>
      </w:r>
      <w:r w:rsidRPr="008D799D">
        <w:rPr>
          <w:spacing w:val="-2"/>
          <w:rtl/>
        </w:rPr>
        <w:t>الطلبات انتصافاً فعالاً في ملابسات القضية</w:t>
      </w:r>
      <w:r w:rsidR="00FF6AD6" w:rsidRPr="008D799D">
        <w:rPr>
          <w:spacing w:val="-2"/>
          <w:vertAlign w:val="superscript"/>
          <w:rtl/>
        </w:rPr>
        <w:t>(</w:t>
      </w:r>
      <w:r w:rsidR="008D799D" w:rsidRPr="008D799D">
        <w:rPr>
          <w:rFonts w:ascii="Simplified Arabic" w:hAnsi="Simplified Arabic"/>
          <w:spacing w:val="-2"/>
          <w:vertAlign w:val="superscript"/>
          <w:lang w:val="en-US"/>
        </w:rPr>
        <w:footnoteReference w:id="11"/>
      </w:r>
      <w:r w:rsidR="00FF6AD6" w:rsidRPr="008D799D">
        <w:rPr>
          <w:spacing w:val="-2"/>
          <w:vertAlign w:val="superscript"/>
          <w:rtl/>
        </w:rPr>
        <w:t>)</w:t>
      </w:r>
      <w:r w:rsidRPr="008D799D">
        <w:rPr>
          <w:spacing w:val="-2"/>
          <w:rtl/>
        </w:rPr>
        <w:t>. وفي هذه القضية</w:t>
      </w:r>
      <w:r w:rsidR="00FF6AD6" w:rsidRPr="008D799D">
        <w:rPr>
          <w:spacing w:val="-2"/>
          <w:rtl/>
        </w:rPr>
        <w:t>،</w:t>
      </w:r>
      <w:r w:rsidRPr="008D799D">
        <w:rPr>
          <w:spacing w:val="-2"/>
          <w:rtl/>
        </w:rPr>
        <w:t xml:space="preserve"> تلاحظ اللجنة أن الدولة </w:t>
      </w:r>
      <w:r w:rsidRPr="008D799D">
        <w:rPr>
          <w:spacing w:val="-2"/>
          <w:rtl/>
        </w:rPr>
        <w:lastRenderedPageBreak/>
        <w:t>الطرف لم تبيّن</w:t>
      </w:r>
      <w:r w:rsidR="00FF6AD6">
        <w:rPr>
          <w:rtl/>
        </w:rPr>
        <w:t>،</w:t>
      </w:r>
      <w:r w:rsidRPr="008E3E68">
        <w:rPr>
          <w:rtl/>
        </w:rPr>
        <w:t xml:space="preserve"> على وجه الخصوص</w:t>
      </w:r>
      <w:r w:rsidR="00FF6AD6">
        <w:rPr>
          <w:rtl/>
        </w:rPr>
        <w:t>،</w:t>
      </w:r>
      <w:r w:rsidRPr="008E3E68">
        <w:rPr>
          <w:rtl/>
        </w:rPr>
        <w:t xml:space="preserve"> ما إذا كانت الالتماسات المقدمة إلى رئيس المحكمة العليا بشأن إجراءات المراجعة القضائية الرقابية قد نجحت في قضايا متعلقة بترحيل شهود يهوه أو أقليات دينية أخرى</w:t>
      </w:r>
      <w:r>
        <w:rPr>
          <w:rtl/>
        </w:rPr>
        <w:t xml:space="preserve"> وكم عدد هذه القضايا</w:t>
      </w:r>
      <w:r w:rsidRPr="008E3E68">
        <w:rPr>
          <w:rtl/>
        </w:rPr>
        <w:t>. وبناءً على ذلك</w:t>
      </w:r>
      <w:r w:rsidR="00FF6AD6">
        <w:rPr>
          <w:rtl/>
        </w:rPr>
        <w:t>،</w:t>
      </w:r>
      <w:r w:rsidRPr="008E3E68">
        <w:rPr>
          <w:rtl/>
        </w:rPr>
        <w:t xml:space="preserve"> تعتبر اللجنة انّ هذا الانتصاف غير فعّال إذ ليس له فرص في النجاح</w:t>
      </w:r>
      <w:r w:rsidR="00FF6AD6">
        <w:rPr>
          <w:rtl/>
        </w:rPr>
        <w:t>،</w:t>
      </w:r>
      <w:r w:rsidRPr="008E3E68">
        <w:rPr>
          <w:rtl/>
        </w:rPr>
        <w:t xml:space="preserve"> وأن</w:t>
      </w:r>
      <w:r>
        <w:rPr>
          <w:rtl/>
        </w:rPr>
        <w:t>ّ</w:t>
      </w:r>
      <w:r w:rsidRPr="008E3E68">
        <w:rPr>
          <w:rtl/>
        </w:rPr>
        <w:t xml:space="preserve"> أحكام الفقرة </w:t>
      </w:r>
      <w:r w:rsidRPr="008E3E68">
        <w:rPr>
          <w:rFonts w:ascii="Traditional Arabic"/>
          <w:rtl/>
        </w:rPr>
        <w:t>(</w:t>
      </w:r>
      <w:r w:rsidRPr="008D799D">
        <w:rPr>
          <w:rtl/>
        </w:rPr>
        <w:t>2</w:t>
      </w:r>
      <w:r w:rsidRPr="008E3E68">
        <w:rPr>
          <w:rFonts w:ascii="Traditional Arabic"/>
          <w:rtl/>
        </w:rPr>
        <w:t>)(</w:t>
      </w:r>
      <w:r w:rsidRPr="008E3E68">
        <w:rPr>
          <w:rtl/>
        </w:rPr>
        <w:t>ب</w:t>
      </w:r>
      <w:r w:rsidRPr="008E3E68">
        <w:rPr>
          <w:rFonts w:ascii="Traditional Arabic"/>
          <w:rtl/>
        </w:rPr>
        <w:t>)</w:t>
      </w:r>
      <w:r w:rsidRPr="008E3E68">
        <w:rPr>
          <w:rtl/>
        </w:rPr>
        <w:t xml:space="preserve"> من المادة </w:t>
      </w:r>
      <w:r w:rsidRPr="008D799D">
        <w:rPr>
          <w:rtl/>
        </w:rPr>
        <w:t>5</w:t>
      </w:r>
      <w:r w:rsidRPr="008E3E68">
        <w:rPr>
          <w:rtl/>
        </w:rPr>
        <w:t xml:space="preserve"> من البروتوكول الاختياري لا تمنعها </w:t>
      </w:r>
      <w:r>
        <w:rPr>
          <w:rtl/>
        </w:rPr>
        <w:t xml:space="preserve">بالتالي </w:t>
      </w:r>
      <w:r w:rsidRPr="008E3E68">
        <w:rPr>
          <w:rtl/>
        </w:rPr>
        <w:t>من النظر في هذا البلاغ</w:t>
      </w:r>
      <w:r w:rsidR="00FF6AD6">
        <w:rPr>
          <w:vertAlign w:val="superscript"/>
          <w:rtl/>
        </w:rPr>
        <w:t>(</w:t>
      </w:r>
      <w:r w:rsidR="008D799D" w:rsidRPr="008D799D">
        <w:rPr>
          <w:rFonts w:ascii="Simplified Arabic" w:hAnsi="Simplified Arabic"/>
          <w:vertAlign w:val="superscript"/>
          <w:lang w:val="en-US"/>
        </w:rPr>
        <w:footnoteReference w:id="12"/>
      </w:r>
      <w:r w:rsidR="00FF6AD6">
        <w:rPr>
          <w:vertAlign w:val="superscript"/>
          <w:rtl/>
        </w:rPr>
        <w:t>)</w:t>
      </w:r>
      <w:r w:rsidRPr="008E3E68">
        <w:rPr>
          <w:rtl/>
        </w:rPr>
        <w:t xml:space="preserve">. </w:t>
      </w:r>
    </w:p>
    <w:p w14:paraId="61AD2C36" w14:textId="112A647D" w:rsidR="0023192C" w:rsidRPr="00FF6AD6" w:rsidRDefault="0023192C" w:rsidP="008D799D">
      <w:pPr>
        <w:pStyle w:val="SingleTxtGA"/>
        <w:spacing w:line="350" w:lineRule="exact"/>
        <w:rPr>
          <w:lang w:val="en-US" w:eastAsia="zh-TW" w:bidi="en-GB"/>
        </w:rPr>
      </w:pPr>
      <w:r w:rsidRPr="008D799D">
        <w:rPr>
          <w:rtl/>
        </w:rPr>
        <w:t>6</w:t>
      </w:r>
      <w:r w:rsidRPr="008E3E68">
        <w:rPr>
          <w:rFonts w:ascii="Traditional Arabic"/>
          <w:rtl/>
        </w:rPr>
        <w:t>-</w:t>
      </w:r>
      <w:r w:rsidRPr="008D799D">
        <w:rPr>
          <w:rtl/>
        </w:rPr>
        <w:t>4</w:t>
      </w:r>
      <w:r w:rsidRPr="008E3E68">
        <w:rPr>
          <w:rtl/>
        </w:rPr>
        <w:tab/>
      </w:r>
      <w:r>
        <w:rPr>
          <w:rtl/>
        </w:rPr>
        <w:t>و</w:t>
      </w:r>
      <w:r w:rsidRPr="008E3E68">
        <w:rPr>
          <w:rtl/>
        </w:rPr>
        <w:t>ترى اللجنة</w:t>
      </w:r>
      <w:r>
        <w:rPr>
          <w:rtl/>
        </w:rPr>
        <w:t>ُ</w:t>
      </w:r>
      <w:r w:rsidRPr="008E3E68">
        <w:rPr>
          <w:rtl/>
        </w:rPr>
        <w:t xml:space="preserve"> أن</w:t>
      </w:r>
      <w:r>
        <w:rPr>
          <w:rtl/>
        </w:rPr>
        <w:t>ّ</w:t>
      </w:r>
      <w:r w:rsidRPr="008E3E68">
        <w:rPr>
          <w:rtl/>
        </w:rPr>
        <w:t xml:space="preserve"> صاحب البلاغ قد أثبت بما فيه الكفاية ادعاءات</w:t>
      </w:r>
      <w:r>
        <w:rPr>
          <w:rtl/>
        </w:rPr>
        <w:t>ِ</w:t>
      </w:r>
      <w:r w:rsidRPr="008E3E68">
        <w:rPr>
          <w:rtl/>
        </w:rPr>
        <w:t>ه المتعلقة باعتقال</w:t>
      </w:r>
      <w:r>
        <w:rPr>
          <w:rtl/>
        </w:rPr>
        <w:t>ِ</w:t>
      </w:r>
      <w:r w:rsidRPr="008E3E68">
        <w:rPr>
          <w:rtl/>
        </w:rPr>
        <w:t>ه واحتجاز</w:t>
      </w:r>
      <w:r>
        <w:rPr>
          <w:rtl/>
        </w:rPr>
        <w:t>ِ</w:t>
      </w:r>
      <w:r w:rsidRPr="008E3E68">
        <w:rPr>
          <w:rtl/>
        </w:rPr>
        <w:t>ه وإدانت</w:t>
      </w:r>
      <w:r>
        <w:rPr>
          <w:rtl/>
        </w:rPr>
        <w:t>ِ</w:t>
      </w:r>
      <w:r w:rsidRPr="008E3E68">
        <w:rPr>
          <w:rtl/>
        </w:rPr>
        <w:t>ه وترحيل</w:t>
      </w:r>
      <w:r>
        <w:rPr>
          <w:rtl/>
        </w:rPr>
        <w:t>ِ</w:t>
      </w:r>
      <w:r w:rsidRPr="008E3E68">
        <w:rPr>
          <w:rtl/>
        </w:rPr>
        <w:t>ه استناداً إلى معتقداته الدينية</w:t>
      </w:r>
      <w:r w:rsidR="00FF6AD6">
        <w:rPr>
          <w:rtl/>
        </w:rPr>
        <w:t>،</w:t>
      </w:r>
      <w:r w:rsidRPr="008E3E68">
        <w:rPr>
          <w:rtl/>
        </w:rPr>
        <w:t xml:space="preserve"> بموجب الم</w:t>
      </w:r>
      <w:r>
        <w:rPr>
          <w:rtl/>
        </w:rPr>
        <w:t>ادتين</w:t>
      </w:r>
      <w:r w:rsidRPr="008E3E68">
        <w:rPr>
          <w:rtl/>
        </w:rPr>
        <w:t xml:space="preserve"> </w:t>
      </w:r>
      <w:r w:rsidRPr="008D799D">
        <w:rPr>
          <w:rtl/>
        </w:rPr>
        <w:t>9</w:t>
      </w:r>
      <w:r w:rsidRPr="008E3E68">
        <w:rPr>
          <w:rFonts w:ascii="Traditional Arabic"/>
          <w:rtl/>
        </w:rPr>
        <w:t>(</w:t>
      </w:r>
      <w:r w:rsidRPr="008D799D">
        <w:rPr>
          <w:rtl/>
        </w:rPr>
        <w:t>1</w:t>
      </w:r>
      <w:r w:rsidRPr="008E3E68">
        <w:rPr>
          <w:rFonts w:ascii="Traditional Arabic"/>
          <w:rtl/>
        </w:rPr>
        <w:t>)</w:t>
      </w:r>
      <w:r w:rsidRPr="008E3E68">
        <w:rPr>
          <w:rtl/>
        </w:rPr>
        <w:t xml:space="preserve"> و</w:t>
      </w:r>
      <w:r w:rsidRPr="008D799D">
        <w:rPr>
          <w:rtl/>
        </w:rPr>
        <w:t>13</w:t>
      </w:r>
      <w:r w:rsidR="00FF6AD6">
        <w:rPr>
          <w:rtl/>
        </w:rPr>
        <w:t>،</w:t>
      </w:r>
      <w:r w:rsidRPr="008E3E68">
        <w:rPr>
          <w:rtl/>
        </w:rPr>
        <w:t xml:space="preserve"> </w:t>
      </w:r>
      <w:r>
        <w:rPr>
          <w:rtl/>
        </w:rPr>
        <w:t>م</w:t>
      </w:r>
      <w:r w:rsidRPr="008E3E68">
        <w:rPr>
          <w:rtl/>
        </w:rPr>
        <w:t xml:space="preserve">قروءة بالاقتران مع المواد </w:t>
      </w:r>
      <w:r w:rsidRPr="008D799D">
        <w:rPr>
          <w:rtl/>
        </w:rPr>
        <w:t>12</w:t>
      </w:r>
      <w:r w:rsidRPr="008E3E68">
        <w:rPr>
          <w:rtl/>
        </w:rPr>
        <w:t xml:space="preserve"> و</w:t>
      </w:r>
      <w:r w:rsidRPr="008D799D">
        <w:rPr>
          <w:rtl/>
        </w:rPr>
        <w:t>18</w:t>
      </w:r>
      <w:r w:rsidRPr="008E3E68">
        <w:rPr>
          <w:rFonts w:ascii="Traditional Arabic"/>
          <w:rtl/>
        </w:rPr>
        <w:t>(</w:t>
      </w:r>
      <w:r w:rsidRPr="008D799D">
        <w:rPr>
          <w:rtl/>
        </w:rPr>
        <w:t>1</w:t>
      </w:r>
      <w:r w:rsidRPr="008E3E68">
        <w:rPr>
          <w:rFonts w:ascii="Traditional Arabic"/>
          <w:rtl/>
        </w:rPr>
        <w:t>)</w:t>
      </w:r>
      <w:r w:rsidRPr="008E3E68">
        <w:rPr>
          <w:rtl/>
        </w:rPr>
        <w:t xml:space="preserve"> و</w:t>
      </w:r>
      <w:r w:rsidRPr="008E3E68">
        <w:rPr>
          <w:rFonts w:ascii="Traditional Arabic"/>
          <w:rtl/>
        </w:rPr>
        <w:t>(</w:t>
      </w:r>
      <w:r w:rsidRPr="008D799D">
        <w:rPr>
          <w:rtl/>
        </w:rPr>
        <w:t>3</w:t>
      </w:r>
      <w:r w:rsidRPr="008E3E68">
        <w:rPr>
          <w:rFonts w:ascii="Traditional Arabic"/>
          <w:rtl/>
        </w:rPr>
        <w:t>)</w:t>
      </w:r>
      <w:r w:rsidRPr="008E3E68">
        <w:rPr>
          <w:rtl/>
        </w:rPr>
        <w:t xml:space="preserve"> و</w:t>
      </w:r>
      <w:r w:rsidRPr="008D799D">
        <w:rPr>
          <w:rtl/>
        </w:rPr>
        <w:t>26</w:t>
      </w:r>
      <w:r w:rsidRPr="008E3E68">
        <w:rPr>
          <w:rtl/>
        </w:rPr>
        <w:t xml:space="preserve"> و</w:t>
      </w:r>
      <w:r w:rsidRPr="008D799D">
        <w:rPr>
          <w:rtl/>
        </w:rPr>
        <w:t>27</w:t>
      </w:r>
      <w:r w:rsidRPr="008E3E68">
        <w:rPr>
          <w:rtl/>
        </w:rPr>
        <w:t xml:space="preserve"> من العهد</w:t>
      </w:r>
      <w:r w:rsidR="00FF6AD6">
        <w:rPr>
          <w:rtl/>
        </w:rPr>
        <w:t>،</w:t>
      </w:r>
      <w:r w:rsidRPr="008E3E68">
        <w:rPr>
          <w:rtl/>
        </w:rPr>
        <w:t xml:space="preserve"> لأغراض المقبولية. وعليه</w:t>
      </w:r>
      <w:r w:rsidR="00FF6AD6">
        <w:rPr>
          <w:rtl/>
        </w:rPr>
        <w:t>،</w:t>
      </w:r>
      <w:r w:rsidRPr="008E3E68">
        <w:rPr>
          <w:rtl/>
        </w:rPr>
        <w:t xml:space="preserve"> تُعلن اللجنة مقبولية</w:t>
      </w:r>
      <w:r>
        <w:rPr>
          <w:rtl/>
        </w:rPr>
        <w:t>َ</w:t>
      </w:r>
      <w:r w:rsidRPr="008E3E68">
        <w:rPr>
          <w:rtl/>
        </w:rPr>
        <w:t xml:space="preserve"> البلاغ وتشر</w:t>
      </w:r>
      <w:r>
        <w:rPr>
          <w:rtl/>
        </w:rPr>
        <w:t>َ</w:t>
      </w:r>
      <w:r w:rsidRPr="008E3E68">
        <w:rPr>
          <w:rtl/>
        </w:rPr>
        <w:t>ع في النظر في أسس</w:t>
      </w:r>
      <w:r>
        <w:rPr>
          <w:rtl/>
        </w:rPr>
        <w:t>ِ</w:t>
      </w:r>
      <w:r w:rsidRPr="008E3E68">
        <w:rPr>
          <w:rtl/>
        </w:rPr>
        <w:t>ه الموضوعية.</w:t>
      </w:r>
    </w:p>
    <w:p w14:paraId="4B86086E" w14:textId="77777777" w:rsidR="0023192C" w:rsidRPr="008D799D" w:rsidRDefault="0023192C" w:rsidP="0023192C">
      <w:pPr>
        <w:pStyle w:val="H4GA"/>
        <w:rPr>
          <w:lang w:val="ar-SA" w:eastAsia="zh-TW" w:bidi="en-GB"/>
        </w:rPr>
      </w:pPr>
      <w:r w:rsidRPr="008D799D">
        <w:rPr>
          <w:rtl/>
        </w:rPr>
        <w:tab/>
      </w:r>
      <w:r w:rsidRPr="008D799D">
        <w:rPr>
          <w:rtl/>
        </w:rPr>
        <w:tab/>
        <w:t>النظر في الأسس الموضوعية</w:t>
      </w:r>
      <w:r w:rsidRPr="008D799D">
        <w:rPr>
          <w:rFonts w:cs="Times New Roman" w:hint="cs"/>
          <w:rtl/>
        </w:rPr>
        <w:t>‬</w:t>
      </w:r>
    </w:p>
    <w:p w14:paraId="6FFE449E" w14:textId="53BBCB67" w:rsidR="0023192C" w:rsidRPr="008E3E68" w:rsidRDefault="0023192C" w:rsidP="0023192C">
      <w:pPr>
        <w:pStyle w:val="SingleTxtGA"/>
        <w:rPr>
          <w:lang w:val="ar-SA" w:eastAsia="zh-TW" w:bidi="en-GB"/>
        </w:rPr>
      </w:pPr>
      <w:r w:rsidRPr="008D799D">
        <w:rPr>
          <w:rtl/>
        </w:rPr>
        <w:t>7</w:t>
      </w:r>
      <w:r w:rsidRPr="008E3E68">
        <w:rPr>
          <w:rFonts w:ascii="Traditional Arabic"/>
          <w:rtl/>
        </w:rPr>
        <w:t>-</w:t>
      </w:r>
      <w:r w:rsidRPr="008D799D">
        <w:rPr>
          <w:rtl/>
        </w:rPr>
        <w:t>1</w:t>
      </w:r>
      <w:r w:rsidRPr="008E3E68">
        <w:rPr>
          <w:rtl/>
        </w:rPr>
        <w:tab/>
        <w:t xml:space="preserve">وفقاً </w:t>
      </w:r>
      <w:r>
        <w:rPr>
          <w:rtl/>
        </w:rPr>
        <w:t>ل</w:t>
      </w:r>
      <w:r w:rsidRPr="008E3E68">
        <w:rPr>
          <w:rtl/>
        </w:rPr>
        <w:t xml:space="preserve">لمادة </w:t>
      </w:r>
      <w:r w:rsidRPr="008D799D">
        <w:rPr>
          <w:rtl/>
        </w:rPr>
        <w:t>5</w:t>
      </w:r>
      <w:r>
        <w:rPr>
          <w:rtl/>
        </w:rPr>
        <w:t>(</w:t>
      </w:r>
      <w:r w:rsidRPr="008D799D">
        <w:rPr>
          <w:rtl/>
        </w:rPr>
        <w:t>1</w:t>
      </w:r>
      <w:r>
        <w:rPr>
          <w:rtl/>
        </w:rPr>
        <w:t xml:space="preserve">) </w:t>
      </w:r>
      <w:r w:rsidRPr="008E3E68">
        <w:rPr>
          <w:rtl/>
        </w:rPr>
        <w:t>من البروتوكول الاختياري</w:t>
      </w:r>
      <w:r w:rsidR="00FF6AD6">
        <w:rPr>
          <w:rtl/>
        </w:rPr>
        <w:t>،</w:t>
      </w:r>
      <w:r w:rsidRPr="008E3E68">
        <w:rPr>
          <w:rtl/>
        </w:rPr>
        <w:t xml:space="preserve"> نظرت اللجنة في هذا البلاغ في ضوء جميع المعلومات التي أتاحها لها الطرفان.</w:t>
      </w:r>
    </w:p>
    <w:p w14:paraId="089B4761" w14:textId="71985AD6" w:rsidR="0023192C" w:rsidRPr="008E3E68" w:rsidRDefault="0023192C" w:rsidP="0023192C">
      <w:pPr>
        <w:pStyle w:val="SingleTxtGA"/>
        <w:rPr>
          <w:lang w:val="ar-SA" w:eastAsia="zh-TW" w:bidi="en-GB"/>
        </w:rPr>
      </w:pPr>
      <w:r w:rsidRPr="008D799D">
        <w:rPr>
          <w:rtl/>
        </w:rPr>
        <w:lastRenderedPageBreak/>
        <w:t>7</w:t>
      </w:r>
      <w:r w:rsidRPr="008E3E68">
        <w:rPr>
          <w:rFonts w:ascii="Traditional Arabic"/>
          <w:rtl/>
        </w:rPr>
        <w:t>-</w:t>
      </w:r>
      <w:r w:rsidRPr="008D799D">
        <w:rPr>
          <w:rtl/>
        </w:rPr>
        <w:t>2</w:t>
      </w:r>
      <w:r w:rsidRPr="008E3E68">
        <w:rPr>
          <w:rtl/>
        </w:rPr>
        <w:tab/>
      </w:r>
      <w:r>
        <w:rPr>
          <w:rtl/>
        </w:rPr>
        <w:t>و</w:t>
      </w:r>
      <w:r w:rsidRPr="008E3E68">
        <w:rPr>
          <w:rtl/>
        </w:rPr>
        <w:t>ستنظر اللجنة أولاً في اد</w:t>
      </w:r>
      <w:r>
        <w:rPr>
          <w:rtl/>
        </w:rPr>
        <w:t>ّ</w:t>
      </w:r>
      <w:r w:rsidRPr="008E3E68">
        <w:rPr>
          <w:rtl/>
        </w:rPr>
        <w:t>عاءات صاحب البلاغ</w:t>
      </w:r>
      <w:r w:rsidR="00FF6AD6">
        <w:rPr>
          <w:rtl/>
        </w:rPr>
        <w:t>،</w:t>
      </w:r>
      <w:r w:rsidRPr="008E3E68">
        <w:rPr>
          <w:rtl/>
        </w:rPr>
        <w:t xml:space="preserve"> بموجب المادة </w:t>
      </w:r>
      <w:r w:rsidRPr="008D799D">
        <w:rPr>
          <w:rtl/>
        </w:rPr>
        <w:t>9</w:t>
      </w:r>
      <w:r w:rsidRPr="008E3E68">
        <w:rPr>
          <w:rtl/>
        </w:rPr>
        <w:t xml:space="preserve"> من العهد</w:t>
      </w:r>
      <w:r w:rsidR="00FF6AD6">
        <w:rPr>
          <w:rtl/>
        </w:rPr>
        <w:t>،</w:t>
      </w:r>
      <w:r w:rsidRPr="008E3E68">
        <w:rPr>
          <w:rtl/>
        </w:rPr>
        <w:t xml:space="preserve"> بأنه في </w:t>
      </w:r>
      <w:r w:rsidRPr="008D799D">
        <w:rPr>
          <w:rtl/>
        </w:rPr>
        <w:t>5</w:t>
      </w:r>
      <w:r w:rsidRPr="008E3E68">
        <w:rPr>
          <w:rtl/>
        </w:rPr>
        <w:t xml:space="preserve"> تشرين الأول/أكتوبر </w:t>
      </w:r>
      <w:r w:rsidRPr="008D799D">
        <w:rPr>
          <w:rtl/>
        </w:rPr>
        <w:t>2018</w:t>
      </w:r>
      <w:r w:rsidR="00FF6AD6">
        <w:rPr>
          <w:rtl/>
        </w:rPr>
        <w:t>،</w:t>
      </w:r>
      <w:r w:rsidRPr="008E3E68">
        <w:rPr>
          <w:rtl/>
        </w:rPr>
        <w:t xml:space="preserve"> ابتداءً من الساعة الثامنة</w:t>
      </w:r>
      <w:r w:rsidR="00FF6AD6">
        <w:rPr>
          <w:rtl/>
        </w:rPr>
        <w:t>،</w:t>
      </w:r>
      <w:r w:rsidRPr="008E3E68">
        <w:rPr>
          <w:rtl/>
        </w:rPr>
        <w:t xml:space="preserve"> وبينما كان يحاول مغادرة منزل ر. ن. د.</w:t>
      </w:r>
      <w:r w:rsidR="00FF6AD6">
        <w:rPr>
          <w:rtl/>
        </w:rPr>
        <w:t>،</w:t>
      </w:r>
      <w:r w:rsidRPr="008E3E68">
        <w:rPr>
          <w:rtl/>
        </w:rPr>
        <w:t xml:space="preserve"> اعتقله ضباط من </w:t>
      </w:r>
      <w:r>
        <w:rPr>
          <w:rtl/>
        </w:rPr>
        <w:t>ال</w:t>
      </w:r>
      <w:r w:rsidRPr="008E3E68">
        <w:rPr>
          <w:rtl/>
        </w:rPr>
        <w:t xml:space="preserve">لجنة </w:t>
      </w:r>
      <w:r>
        <w:rPr>
          <w:rtl/>
        </w:rPr>
        <w:t>الحكومية</w:t>
      </w:r>
      <w:r w:rsidR="00044BB3">
        <w:rPr>
          <w:rFonts w:hint="cs"/>
          <w:rtl/>
        </w:rPr>
        <w:t xml:space="preserve"> </w:t>
      </w:r>
      <w:r w:rsidRPr="008E3E68">
        <w:rPr>
          <w:rtl/>
        </w:rPr>
        <w:t>للأمن القومي مع</w:t>
      </w:r>
      <w:r>
        <w:rPr>
          <w:rtl/>
        </w:rPr>
        <w:t xml:space="preserve"> رفاق آخرين من</w:t>
      </w:r>
      <w:r w:rsidRPr="008E3E68">
        <w:rPr>
          <w:rtl/>
        </w:rPr>
        <w:t xml:space="preserve"> أ</w:t>
      </w:r>
      <w:r>
        <w:rPr>
          <w:rtl/>
        </w:rPr>
        <w:t xml:space="preserve">نصار </w:t>
      </w:r>
      <w:r w:rsidRPr="008E3E68">
        <w:rPr>
          <w:rtl/>
        </w:rPr>
        <w:t>شهود يهوه</w:t>
      </w:r>
      <w:r>
        <w:rPr>
          <w:rtl/>
        </w:rPr>
        <w:t xml:space="preserve"> </w:t>
      </w:r>
      <w:r w:rsidRPr="008E3E68">
        <w:rPr>
          <w:rtl/>
        </w:rPr>
        <w:t>واقتادوه إلى مقرّهم للتحقيق معه واحتجزوه هناك حتى وقت متأخر من ذلك اليوم</w:t>
      </w:r>
      <w:r w:rsidR="00FF6AD6">
        <w:rPr>
          <w:rtl/>
        </w:rPr>
        <w:t>،</w:t>
      </w:r>
      <w:r w:rsidRPr="008E3E68">
        <w:rPr>
          <w:rtl/>
        </w:rPr>
        <w:t xml:space="preserve"> أثناء تفتيش مقر إقامته في غيابه</w:t>
      </w:r>
      <w:r w:rsidR="00FF6AD6">
        <w:rPr>
          <w:rtl/>
        </w:rPr>
        <w:t>،</w:t>
      </w:r>
      <w:r w:rsidRPr="008E3E68">
        <w:rPr>
          <w:rtl/>
        </w:rPr>
        <w:t xml:space="preserve"> و</w:t>
      </w:r>
      <w:r>
        <w:rPr>
          <w:rtl/>
        </w:rPr>
        <w:t>هددوه</w:t>
      </w:r>
      <w:r w:rsidR="00422D1C">
        <w:rPr>
          <w:rtl/>
        </w:rPr>
        <w:t xml:space="preserve"> </w:t>
      </w:r>
      <w:r w:rsidRPr="008E3E68">
        <w:rPr>
          <w:rtl/>
        </w:rPr>
        <w:t>باتخاذ إجراءات قانونية ضده وترحيله إلى الاتحاد الروسي مع تقديم طلبٍ بأن يشرع جهاز الأمن الاتحادي في الاتحاد الروسي بإجراءات جنائية ضده بتهمة "التطرف" الديني. وتلاحظ اللجنة أيضاً أنه على الرغم من أن</w:t>
      </w:r>
      <w:r>
        <w:rPr>
          <w:rtl/>
        </w:rPr>
        <w:t>ّ</w:t>
      </w:r>
      <w:r w:rsidRPr="008E3E68">
        <w:rPr>
          <w:rtl/>
        </w:rPr>
        <w:t xml:space="preserve"> الدولة الطرف تجادل بأن</w:t>
      </w:r>
      <w:r>
        <w:rPr>
          <w:rtl/>
        </w:rPr>
        <w:t>ّ</w:t>
      </w:r>
      <w:r w:rsidRPr="008E3E68">
        <w:rPr>
          <w:rtl/>
        </w:rPr>
        <w:t xml:space="preserve"> صاحب</w:t>
      </w:r>
      <w:r>
        <w:rPr>
          <w:rtl/>
        </w:rPr>
        <w:t>َ</w:t>
      </w:r>
      <w:r w:rsidRPr="008E3E68">
        <w:rPr>
          <w:rtl/>
        </w:rPr>
        <w:t xml:space="preserve"> البلاغ لم يُعتقل أو يُحتجز</w:t>
      </w:r>
      <w:r w:rsidR="00FF6AD6">
        <w:rPr>
          <w:rtl/>
        </w:rPr>
        <w:t>،</w:t>
      </w:r>
      <w:r w:rsidRPr="008E3E68">
        <w:rPr>
          <w:rtl/>
        </w:rPr>
        <w:t xml:space="preserve"> فقد أثبتت محكمة ف</w:t>
      </w:r>
      <w:r>
        <w:rPr>
          <w:rtl/>
        </w:rPr>
        <w:t>ي</w:t>
      </w:r>
      <w:r w:rsidRPr="008E3E68">
        <w:rPr>
          <w:rtl/>
        </w:rPr>
        <w:t>رد</w:t>
      </w:r>
      <w:r>
        <w:rPr>
          <w:rtl/>
        </w:rPr>
        <w:t>ا</w:t>
      </w:r>
      <w:r w:rsidRPr="008E3E68">
        <w:rPr>
          <w:rtl/>
        </w:rPr>
        <w:t xml:space="preserve">فسي المحلية أن صاحب البلاغ اعتُقل لانتهاكِه قواعد إقامة المواطنين الأجانب. </w:t>
      </w:r>
    </w:p>
    <w:p w14:paraId="480E0FF5" w14:textId="6D2CEA4B" w:rsidR="0023192C" w:rsidRPr="00044BB3" w:rsidRDefault="0023192C" w:rsidP="00217B9D">
      <w:pPr>
        <w:pStyle w:val="SingleTxtGA"/>
        <w:spacing w:line="350" w:lineRule="exact"/>
        <w:rPr>
          <w:lang w:val="ar-SA" w:eastAsia="zh-TW" w:bidi="en-GB"/>
        </w:rPr>
      </w:pPr>
      <w:r w:rsidRPr="008D799D">
        <w:rPr>
          <w:rtl/>
        </w:rPr>
        <w:t>7</w:t>
      </w:r>
      <w:r w:rsidRPr="00044BB3">
        <w:rPr>
          <w:rFonts w:ascii="Traditional Arabic"/>
          <w:rtl/>
        </w:rPr>
        <w:t>-</w:t>
      </w:r>
      <w:r w:rsidRPr="008D799D">
        <w:rPr>
          <w:rtl/>
        </w:rPr>
        <w:t>3</w:t>
      </w:r>
      <w:r w:rsidRPr="00044BB3">
        <w:rPr>
          <w:rtl/>
        </w:rPr>
        <w:tab/>
        <w:t xml:space="preserve">وتذكّر اللجنة بتعليقها العام رقم </w:t>
      </w:r>
      <w:r w:rsidRPr="008D799D">
        <w:rPr>
          <w:rtl/>
        </w:rPr>
        <w:t>35</w:t>
      </w:r>
      <w:r w:rsidRPr="00044BB3">
        <w:rPr>
          <w:rFonts w:ascii="Traditional Arabic"/>
          <w:rtl/>
        </w:rPr>
        <w:t>(</w:t>
      </w:r>
      <w:r w:rsidRPr="008D799D">
        <w:rPr>
          <w:rtl/>
        </w:rPr>
        <w:t>2014</w:t>
      </w:r>
      <w:r w:rsidRPr="00044BB3">
        <w:rPr>
          <w:rFonts w:ascii="Traditional Arabic"/>
          <w:rtl/>
        </w:rPr>
        <w:t>)</w:t>
      </w:r>
      <w:r w:rsidRPr="00044BB3">
        <w:rPr>
          <w:rtl/>
        </w:rPr>
        <w:t xml:space="preserve"> بشأن </w:t>
      </w:r>
      <w:r w:rsidRPr="00044BB3">
        <w:rPr>
          <w:rFonts w:ascii="Helvetica" w:hAnsi="Helvetica" w:cs="Helvetica"/>
          <w:color w:val="333333"/>
          <w:sz w:val="21"/>
          <w:szCs w:val="21"/>
          <w:shd w:val="clear" w:color="auto" w:fill="FFFFFF"/>
          <w:rtl/>
        </w:rPr>
        <w:t>حق الفرد في الحرية وفي الأمان على شخصه</w:t>
      </w:r>
      <w:r w:rsidR="00FF6AD6" w:rsidRPr="00044BB3">
        <w:rPr>
          <w:rtl/>
        </w:rPr>
        <w:t>،</w:t>
      </w:r>
      <w:r w:rsidRPr="00044BB3">
        <w:rPr>
          <w:rtl/>
        </w:rPr>
        <w:t xml:space="preserve"> الذي ينص على حظرِ سلبِ الحرية على نحوٍ تعسّفي وغير مشروع</w:t>
      </w:r>
      <w:r w:rsidR="00FF6AD6" w:rsidRPr="00044BB3">
        <w:rPr>
          <w:rtl/>
        </w:rPr>
        <w:t>،</w:t>
      </w:r>
      <w:r w:rsidRPr="00044BB3">
        <w:rPr>
          <w:rtl/>
        </w:rPr>
        <w:t xml:space="preserve"> أي حرمان أحدٍ من حريته من دون أسباب</w:t>
      </w:r>
      <w:r w:rsidR="00FF6AD6" w:rsidRPr="00044BB3">
        <w:rPr>
          <w:rtl/>
        </w:rPr>
        <w:t>،</w:t>
      </w:r>
      <w:r w:rsidRPr="00044BB3">
        <w:rPr>
          <w:rtl/>
        </w:rPr>
        <w:t xml:space="preserve"> إلا لأسباب ينص عليها القانون وطبقاً للإجراءات المقرّرة فيه. وتُذكّر بأن حرية الشخص تتعلق بعدم التعرّض للحبس البدني. وتشمل أمثلة سلب الحرية الاحتجازَ لدى الشرطة</w:t>
      </w:r>
      <w:r w:rsidR="00FF6AD6" w:rsidRPr="00044BB3">
        <w:rPr>
          <w:rtl/>
        </w:rPr>
        <w:t>،</w:t>
      </w:r>
      <w:r w:rsidRPr="00044BB3">
        <w:rPr>
          <w:rtl/>
        </w:rPr>
        <w:t xml:space="preserve"> والحبس الاحتياطي </w:t>
      </w:r>
      <w:r w:rsidR="00FF6AD6" w:rsidRPr="00044BB3">
        <w:rPr>
          <w:rtl/>
        </w:rPr>
        <w:t>،</w:t>
      </w:r>
      <w:r w:rsidRPr="00044BB3">
        <w:rPr>
          <w:rtl/>
        </w:rPr>
        <w:t xml:space="preserve"> والسجنَ بعد الإدانة</w:t>
      </w:r>
      <w:r w:rsidR="00FF6AD6" w:rsidRPr="00044BB3">
        <w:rPr>
          <w:rtl/>
        </w:rPr>
        <w:t>،</w:t>
      </w:r>
      <w:r w:rsidRPr="00044BB3">
        <w:rPr>
          <w:rtl/>
        </w:rPr>
        <w:t xml:space="preserve"> والإقامة الجبرية</w:t>
      </w:r>
      <w:r w:rsidR="00FF6AD6" w:rsidRPr="00044BB3">
        <w:rPr>
          <w:rtl/>
        </w:rPr>
        <w:t>،</w:t>
      </w:r>
      <w:r w:rsidRPr="00044BB3">
        <w:rPr>
          <w:rtl/>
        </w:rPr>
        <w:t xml:space="preserve"> والاحتجاز الإداري</w:t>
      </w:r>
      <w:r w:rsidR="00FF6AD6" w:rsidRPr="00044BB3">
        <w:rPr>
          <w:rtl/>
        </w:rPr>
        <w:t>،</w:t>
      </w:r>
      <w:r w:rsidRPr="00044BB3">
        <w:rPr>
          <w:rtl/>
        </w:rPr>
        <w:t xml:space="preserve"> وتقييد الحركة ضمن مساحة محدودة في المطارات</w:t>
      </w:r>
      <w:r w:rsidR="00FF6AD6" w:rsidRPr="00044BB3">
        <w:rPr>
          <w:rtl/>
        </w:rPr>
        <w:t>،</w:t>
      </w:r>
      <w:r w:rsidRPr="00044BB3">
        <w:rPr>
          <w:rtl/>
        </w:rPr>
        <w:t xml:space="preserve"> علاوة على النقل القسري</w:t>
      </w:r>
      <w:r w:rsidR="00FF6AD6" w:rsidRPr="00044BB3">
        <w:rPr>
          <w:vertAlign w:val="superscript"/>
          <w:rtl/>
        </w:rPr>
        <w:t>(</w:t>
      </w:r>
      <w:r w:rsidR="008D799D" w:rsidRPr="008D799D">
        <w:rPr>
          <w:rFonts w:ascii="Simplified Arabic" w:hAnsi="Simplified Arabic"/>
          <w:vertAlign w:val="superscript"/>
          <w:lang w:val="en-US"/>
        </w:rPr>
        <w:footnoteReference w:id="13"/>
      </w:r>
      <w:r w:rsidR="00FF6AD6" w:rsidRPr="00044BB3">
        <w:rPr>
          <w:vertAlign w:val="superscript"/>
          <w:rtl/>
        </w:rPr>
        <w:t>)</w:t>
      </w:r>
      <w:r w:rsidRPr="00044BB3">
        <w:rPr>
          <w:rtl/>
        </w:rPr>
        <w:t>. ويجب تفسير مفهوم "التعسّف" على أنه يشمل عناصر عدم الملاءمة والظلم وانعدام القدرة على التنبؤ فضلاً عن الإجراءات القانونية الواجبة. وتشكّل إجراءاتُ الاعتقال أو الاحتجاز بسبيل العقاب على ممارسة الحقوق المشروعة التي يكفلها العهد أفعالاً تعسفية</w:t>
      </w:r>
      <w:r w:rsidR="00FF6AD6" w:rsidRPr="00044BB3">
        <w:rPr>
          <w:rtl/>
        </w:rPr>
        <w:t>،</w:t>
      </w:r>
      <w:r w:rsidRPr="00044BB3">
        <w:rPr>
          <w:rtl/>
        </w:rPr>
        <w:t xml:space="preserve"> بما في ذلك ممارسة الحق في حرية </w:t>
      </w:r>
      <w:r w:rsidRPr="00044BB3">
        <w:rPr>
          <w:rtl/>
        </w:rPr>
        <w:lastRenderedPageBreak/>
        <w:t xml:space="preserve">الرأي والتعبير (المادة </w:t>
      </w:r>
      <w:r w:rsidRPr="008D799D">
        <w:rPr>
          <w:rtl/>
        </w:rPr>
        <w:t>19</w:t>
      </w:r>
      <w:r w:rsidRPr="00044BB3">
        <w:rPr>
          <w:rFonts w:ascii="Traditional Arabic"/>
          <w:rtl/>
        </w:rPr>
        <w:t>)</w:t>
      </w:r>
      <w:r w:rsidR="00FF6AD6" w:rsidRPr="00044BB3">
        <w:rPr>
          <w:rtl/>
        </w:rPr>
        <w:t>،</w:t>
      </w:r>
      <w:r w:rsidRPr="00044BB3">
        <w:rPr>
          <w:rtl/>
        </w:rPr>
        <w:t xml:space="preserve"> وحرية الدين (المادة </w:t>
      </w:r>
      <w:r w:rsidRPr="008D799D">
        <w:rPr>
          <w:rtl/>
        </w:rPr>
        <w:t>18</w:t>
      </w:r>
      <w:r w:rsidRPr="00044BB3">
        <w:rPr>
          <w:rFonts w:ascii="Traditional Arabic"/>
          <w:rtl/>
        </w:rPr>
        <w:t>)</w:t>
      </w:r>
      <w:r w:rsidR="00FF6AD6" w:rsidRPr="00044BB3">
        <w:rPr>
          <w:vertAlign w:val="superscript"/>
          <w:rtl/>
        </w:rPr>
        <w:t>(</w:t>
      </w:r>
      <w:r w:rsidR="008D799D" w:rsidRPr="008D799D">
        <w:rPr>
          <w:rFonts w:ascii="Simplified Arabic" w:hAnsi="Simplified Arabic"/>
          <w:vertAlign w:val="superscript"/>
          <w:lang w:val="en-US"/>
        </w:rPr>
        <w:footnoteReference w:id="14"/>
      </w:r>
      <w:r w:rsidR="00FF6AD6" w:rsidRPr="00044BB3">
        <w:rPr>
          <w:vertAlign w:val="superscript"/>
          <w:rtl/>
        </w:rPr>
        <w:t>)</w:t>
      </w:r>
      <w:r w:rsidRPr="00044BB3">
        <w:rPr>
          <w:rtl/>
        </w:rPr>
        <w:t>. وتذكّر اللجنة أيضاً بأنّ مصطلح "الاعتقال" يُشير إلى أي توقيف للأشخاص كبداية لسلبِ حريتهم</w:t>
      </w:r>
      <w:r w:rsidR="00FF6AD6" w:rsidRPr="00044BB3">
        <w:rPr>
          <w:rtl/>
        </w:rPr>
        <w:t>،</w:t>
      </w:r>
      <w:r w:rsidRPr="00044BB3">
        <w:rPr>
          <w:rtl/>
        </w:rPr>
        <w:t xml:space="preserve"> وأنّ مصطلح "الاحتجاز" يشير إلى سلب الحرية الذي يبدأ بالاعتقال ويستمر منذ لحظة الإيداع في الحبس حتى لحظة الإفراج. ولا يُشترط في الاعتقال بالمعنى المقصود في المادة </w:t>
      </w:r>
      <w:r w:rsidRPr="008D799D">
        <w:rPr>
          <w:rtl/>
        </w:rPr>
        <w:t>9</w:t>
      </w:r>
      <w:r w:rsidRPr="00044BB3">
        <w:rPr>
          <w:rtl/>
        </w:rPr>
        <w:t xml:space="preserve"> أن يكون الاعتقال إجراء رسمياً وفقاً للتعريف الوارد في القوانين المحلية</w:t>
      </w:r>
      <w:r w:rsidR="00FF6AD6" w:rsidRPr="00044BB3">
        <w:rPr>
          <w:vertAlign w:val="superscript"/>
          <w:rtl/>
        </w:rPr>
        <w:t>(</w:t>
      </w:r>
      <w:r w:rsidR="008D799D" w:rsidRPr="008D799D">
        <w:rPr>
          <w:rFonts w:ascii="Simplified Arabic" w:hAnsi="Simplified Arabic"/>
          <w:vertAlign w:val="superscript"/>
          <w:lang w:val="en-US"/>
        </w:rPr>
        <w:footnoteReference w:id="15"/>
      </w:r>
      <w:r w:rsidR="00FF6AD6" w:rsidRPr="00044BB3">
        <w:rPr>
          <w:vertAlign w:val="superscript"/>
          <w:rtl/>
        </w:rPr>
        <w:t>)</w:t>
      </w:r>
      <w:r w:rsidRPr="00044BB3">
        <w:rPr>
          <w:rtl/>
        </w:rPr>
        <w:t>. وتشكّل إجراءات الاعتقال أو الاحتجاز بسبيل العقاب على ممارسة الحقوق المشروعة التي يكفلها العهد أفعالاً تعسفية</w:t>
      </w:r>
      <w:r w:rsidR="00FF6AD6" w:rsidRPr="00044BB3">
        <w:rPr>
          <w:rtl/>
        </w:rPr>
        <w:t>،</w:t>
      </w:r>
      <w:r w:rsidRPr="00044BB3">
        <w:rPr>
          <w:rtl/>
        </w:rPr>
        <w:t xml:space="preserve"> بما في ذلك ممارسة الحق في حرية الرأي والتعبير (المادة </w:t>
      </w:r>
      <w:r w:rsidRPr="008D799D">
        <w:rPr>
          <w:rtl/>
        </w:rPr>
        <w:t>19</w:t>
      </w:r>
      <w:r w:rsidRPr="00044BB3">
        <w:rPr>
          <w:rFonts w:ascii="Traditional Arabic"/>
          <w:rtl/>
        </w:rPr>
        <w:t>)</w:t>
      </w:r>
      <w:r w:rsidR="00FF6AD6" w:rsidRPr="00044BB3">
        <w:rPr>
          <w:rtl/>
        </w:rPr>
        <w:t>،</w:t>
      </w:r>
      <w:r w:rsidRPr="00044BB3">
        <w:rPr>
          <w:rtl/>
        </w:rPr>
        <w:t xml:space="preserve"> وحرية التجمّع (المادة </w:t>
      </w:r>
      <w:r w:rsidRPr="008D799D">
        <w:rPr>
          <w:rtl/>
        </w:rPr>
        <w:t>21</w:t>
      </w:r>
      <w:r w:rsidRPr="00044BB3">
        <w:rPr>
          <w:rFonts w:ascii="Traditional Arabic"/>
          <w:rtl/>
        </w:rPr>
        <w:t>)</w:t>
      </w:r>
      <w:r w:rsidR="00FF6AD6" w:rsidRPr="00044BB3">
        <w:rPr>
          <w:rtl/>
        </w:rPr>
        <w:t>،</w:t>
      </w:r>
      <w:r w:rsidRPr="00044BB3">
        <w:rPr>
          <w:rtl/>
        </w:rPr>
        <w:t xml:space="preserve"> وحرية تكوين الجمعيات (المادة </w:t>
      </w:r>
      <w:r w:rsidRPr="008D799D">
        <w:rPr>
          <w:rtl/>
        </w:rPr>
        <w:t>22</w:t>
      </w:r>
      <w:r w:rsidRPr="00044BB3">
        <w:rPr>
          <w:rFonts w:ascii="Traditional Arabic"/>
          <w:rtl/>
        </w:rPr>
        <w:t>)</w:t>
      </w:r>
      <w:r w:rsidR="00FF6AD6" w:rsidRPr="00044BB3">
        <w:rPr>
          <w:rtl/>
        </w:rPr>
        <w:t>،</w:t>
      </w:r>
      <w:r w:rsidRPr="00044BB3">
        <w:rPr>
          <w:rtl/>
        </w:rPr>
        <w:t xml:space="preserve"> وحرية الدين (المادة </w:t>
      </w:r>
      <w:r w:rsidRPr="008D799D">
        <w:rPr>
          <w:rtl/>
        </w:rPr>
        <w:t>18</w:t>
      </w:r>
      <w:r w:rsidRPr="00044BB3">
        <w:rPr>
          <w:rFonts w:ascii="Traditional Arabic"/>
          <w:rtl/>
        </w:rPr>
        <w:t>)</w:t>
      </w:r>
      <w:r w:rsidR="00FF6AD6" w:rsidRPr="00044BB3">
        <w:rPr>
          <w:rtl/>
        </w:rPr>
        <w:t>،</w:t>
      </w:r>
      <w:r w:rsidRPr="00044BB3">
        <w:rPr>
          <w:rtl/>
        </w:rPr>
        <w:t xml:space="preserve"> والحق في الخصوصية (المادة </w:t>
      </w:r>
      <w:r w:rsidRPr="008D799D">
        <w:rPr>
          <w:rtl/>
        </w:rPr>
        <w:t>17</w:t>
      </w:r>
      <w:r w:rsidRPr="00044BB3">
        <w:rPr>
          <w:rFonts w:ascii="Traditional Arabic"/>
          <w:rtl/>
        </w:rPr>
        <w:t>)</w:t>
      </w:r>
      <w:r w:rsidRPr="00044BB3">
        <w:rPr>
          <w:rtl/>
        </w:rPr>
        <w:t xml:space="preserve">. ويشكّل الاعتقال أو الاحتجاز على أسس تمييزية فيها انتهاكٌ لأحكام المادة </w:t>
      </w:r>
      <w:r w:rsidRPr="008D799D">
        <w:rPr>
          <w:rtl/>
        </w:rPr>
        <w:t>2</w:t>
      </w:r>
      <w:r w:rsidRPr="00044BB3">
        <w:rPr>
          <w:rtl/>
        </w:rPr>
        <w:t>(</w:t>
      </w:r>
      <w:r w:rsidRPr="008D799D">
        <w:rPr>
          <w:rtl/>
        </w:rPr>
        <w:t>1</w:t>
      </w:r>
      <w:r w:rsidRPr="00044BB3">
        <w:rPr>
          <w:rtl/>
        </w:rPr>
        <w:t>)</w:t>
      </w:r>
      <w:r w:rsidR="00FF6AD6" w:rsidRPr="00044BB3">
        <w:rPr>
          <w:rtl/>
        </w:rPr>
        <w:t>،</w:t>
      </w:r>
      <w:r w:rsidRPr="00044BB3">
        <w:rPr>
          <w:rtl/>
        </w:rPr>
        <w:t xml:space="preserve"> ولأحكام المادة </w:t>
      </w:r>
      <w:r w:rsidRPr="008D799D">
        <w:rPr>
          <w:rtl/>
        </w:rPr>
        <w:t>3</w:t>
      </w:r>
      <w:r w:rsidRPr="00044BB3">
        <w:rPr>
          <w:rtl/>
        </w:rPr>
        <w:t xml:space="preserve"> أو المادة </w:t>
      </w:r>
      <w:r w:rsidRPr="008D799D">
        <w:rPr>
          <w:rtl/>
        </w:rPr>
        <w:t>26</w:t>
      </w:r>
      <w:r w:rsidR="00FF6AD6" w:rsidRPr="00044BB3">
        <w:rPr>
          <w:rFonts w:ascii="Traditional Arabic"/>
          <w:rtl/>
        </w:rPr>
        <w:t>،</w:t>
      </w:r>
      <w:r w:rsidRPr="00044BB3">
        <w:rPr>
          <w:rtl/>
        </w:rPr>
        <w:t xml:space="preserve"> فعلاً تعسفياً أيضاً من حيث المبدأ</w:t>
      </w:r>
      <w:r w:rsidR="00FF6AD6" w:rsidRPr="00044BB3">
        <w:rPr>
          <w:vertAlign w:val="superscript"/>
          <w:rtl/>
        </w:rPr>
        <w:t>(</w:t>
      </w:r>
      <w:r w:rsidR="008D799D" w:rsidRPr="008D799D">
        <w:rPr>
          <w:rFonts w:ascii="Simplified Arabic" w:hAnsi="Simplified Arabic"/>
          <w:vertAlign w:val="superscript"/>
          <w:lang w:val="en-US"/>
        </w:rPr>
        <w:footnoteReference w:id="16"/>
      </w:r>
      <w:r w:rsidR="00FF6AD6" w:rsidRPr="00044BB3">
        <w:rPr>
          <w:vertAlign w:val="superscript"/>
          <w:rtl/>
        </w:rPr>
        <w:t>)</w:t>
      </w:r>
      <w:r w:rsidRPr="00044BB3">
        <w:rPr>
          <w:rtl/>
        </w:rPr>
        <w:t xml:space="preserve">. </w:t>
      </w:r>
    </w:p>
    <w:p w14:paraId="5E86FAED" w14:textId="3DC1F4F0" w:rsidR="0023192C" w:rsidRPr="008E3E68" w:rsidRDefault="0023192C" w:rsidP="00217B9D">
      <w:pPr>
        <w:pStyle w:val="SingleTxtGA"/>
        <w:spacing w:line="340" w:lineRule="exact"/>
        <w:rPr>
          <w:lang w:val="ar-SA" w:eastAsia="zh-TW" w:bidi="en-GB"/>
        </w:rPr>
      </w:pPr>
      <w:r w:rsidRPr="008D799D">
        <w:rPr>
          <w:rtl/>
        </w:rPr>
        <w:t>7</w:t>
      </w:r>
      <w:r w:rsidRPr="008E3E68">
        <w:rPr>
          <w:rFonts w:ascii="Traditional Arabic"/>
          <w:rtl/>
        </w:rPr>
        <w:t>-</w:t>
      </w:r>
      <w:r w:rsidRPr="008D799D">
        <w:rPr>
          <w:rtl/>
        </w:rPr>
        <w:t>4</w:t>
      </w:r>
      <w:r w:rsidRPr="008E3E68">
        <w:rPr>
          <w:rtl/>
        </w:rPr>
        <w:tab/>
      </w:r>
      <w:r>
        <w:rPr>
          <w:rtl/>
        </w:rPr>
        <w:t>و</w:t>
      </w:r>
      <w:r w:rsidRPr="008E3E68">
        <w:rPr>
          <w:rtl/>
        </w:rPr>
        <w:t>في هذه القضية</w:t>
      </w:r>
      <w:r w:rsidR="00FF6AD6">
        <w:rPr>
          <w:rtl/>
        </w:rPr>
        <w:t>،</w:t>
      </w:r>
      <w:r w:rsidRPr="008E3E68">
        <w:rPr>
          <w:rtl/>
        </w:rPr>
        <w:t xml:space="preserve"> تلاحظ</w:t>
      </w:r>
      <w:r>
        <w:rPr>
          <w:rtl/>
        </w:rPr>
        <w:t>ُ</w:t>
      </w:r>
      <w:r w:rsidRPr="008E3E68">
        <w:rPr>
          <w:rtl/>
        </w:rPr>
        <w:t xml:space="preserve"> اللجنة أن</w:t>
      </w:r>
      <w:r>
        <w:rPr>
          <w:rtl/>
        </w:rPr>
        <w:t>ّ</w:t>
      </w:r>
      <w:r w:rsidRPr="008E3E68">
        <w:rPr>
          <w:rtl/>
        </w:rPr>
        <w:t xml:space="preserve"> احتجاز</w:t>
      </w:r>
      <w:r>
        <w:rPr>
          <w:rtl/>
        </w:rPr>
        <w:t>َ</w:t>
      </w:r>
      <w:r w:rsidRPr="008E3E68">
        <w:rPr>
          <w:rtl/>
        </w:rPr>
        <w:t xml:space="preserve"> صاحب</w:t>
      </w:r>
      <w:r>
        <w:rPr>
          <w:rtl/>
        </w:rPr>
        <w:t>ِ</w:t>
      </w:r>
      <w:r w:rsidRPr="008E3E68">
        <w:rPr>
          <w:rtl/>
        </w:rPr>
        <w:t xml:space="preserve"> البلاغ بدأ</w:t>
      </w:r>
      <w:r w:rsidR="00FF6AD6">
        <w:rPr>
          <w:rtl/>
        </w:rPr>
        <w:t>،</w:t>
      </w:r>
      <w:r w:rsidRPr="008E3E68">
        <w:rPr>
          <w:rtl/>
        </w:rPr>
        <w:t xml:space="preserve"> وفقاً لما ذكره الطرفان</w:t>
      </w:r>
      <w:r w:rsidR="00FF6AD6">
        <w:rPr>
          <w:rtl/>
        </w:rPr>
        <w:t>،</w:t>
      </w:r>
      <w:r w:rsidRPr="008E3E68">
        <w:rPr>
          <w:rtl/>
        </w:rPr>
        <w:t xml:space="preserve"> عندما كان يغادر منزل ر. ن. د. مع أشخاص آخرين</w:t>
      </w:r>
      <w:r w:rsidR="00FF6AD6">
        <w:rPr>
          <w:rtl/>
        </w:rPr>
        <w:t>،</w:t>
      </w:r>
      <w:r w:rsidRPr="008E3E68">
        <w:rPr>
          <w:rtl/>
        </w:rPr>
        <w:t xml:space="preserve"> واستمرّ </w:t>
      </w:r>
      <w:r>
        <w:rPr>
          <w:rtl/>
        </w:rPr>
        <w:t xml:space="preserve">هذا الاحتجاز </w:t>
      </w:r>
      <w:r w:rsidRPr="008E3E68">
        <w:rPr>
          <w:rtl/>
        </w:rPr>
        <w:t>في مقر</w:t>
      </w:r>
      <w:r>
        <w:rPr>
          <w:rtl/>
        </w:rPr>
        <w:t>ّ</w:t>
      </w:r>
      <w:r w:rsidRPr="008E3E68">
        <w:rPr>
          <w:rtl/>
        </w:rPr>
        <w:t xml:space="preserve"> </w:t>
      </w:r>
      <w:r>
        <w:rPr>
          <w:rtl/>
        </w:rPr>
        <w:t>ال</w:t>
      </w:r>
      <w:r w:rsidRPr="008E3E68">
        <w:rPr>
          <w:rtl/>
        </w:rPr>
        <w:t xml:space="preserve">لجنة </w:t>
      </w:r>
      <w:r>
        <w:rPr>
          <w:rtl/>
        </w:rPr>
        <w:t>الحكومية</w:t>
      </w:r>
      <w:r w:rsidR="00044BB3">
        <w:rPr>
          <w:rFonts w:hint="cs"/>
          <w:rtl/>
        </w:rPr>
        <w:t xml:space="preserve"> </w:t>
      </w:r>
      <w:r w:rsidRPr="008E3E68">
        <w:rPr>
          <w:rtl/>
        </w:rPr>
        <w:t>للأمن القومي وانتهى في وقت متأخر من اليوم نفسه</w:t>
      </w:r>
      <w:r w:rsidR="00FF6AD6">
        <w:rPr>
          <w:rtl/>
        </w:rPr>
        <w:t>،</w:t>
      </w:r>
      <w:r w:rsidRPr="008E3E68">
        <w:rPr>
          <w:rtl/>
        </w:rPr>
        <w:t xml:space="preserve"> بعد أن </w:t>
      </w:r>
      <w:r>
        <w:rPr>
          <w:rtl/>
        </w:rPr>
        <w:t>أ</w:t>
      </w:r>
      <w:r w:rsidRPr="008E3E68">
        <w:rPr>
          <w:rtl/>
        </w:rPr>
        <w:t>نهت الشرطة تفتيش</w:t>
      </w:r>
      <w:r>
        <w:rPr>
          <w:rtl/>
        </w:rPr>
        <w:t>َ</w:t>
      </w:r>
      <w:r w:rsidRPr="008E3E68">
        <w:rPr>
          <w:rtl/>
        </w:rPr>
        <w:t xml:space="preserve"> شقت</w:t>
      </w:r>
      <w:r>
        <w:rPr>
          <w:rtl/>
        </w:rPr>
        <w:t>ِ</w:t>
      </w:r>
      <w:r w:rsidRPr="008E3E68">
        <w:rPr>
          <w:rtl/>
        </w:rPr>
        <w:t xml:space="preserve">ه. وتذكّر اللجنة بأنه لكي يكون الاعتقال ممتثلاً للمادة </w:t>
      </w:r>
      <w:r w:rsidRPr="008D799D">
        <w:rPr>
          <w:rtl/>
        </w:rPr>
        <w:t>9</w:t>
      </w:r>
      <w:r w:rsidRPr="008E3E68">
        <w:rPr>
          <w:rFonts w:ascii="Traditional Arabic"/>
          <w:rtl/>
        </w:rPr>
        <w:t>(</w:t>
      </w:r>
      <w:r w:rsidRPr="008D799D">
        <w:rPr>
          <w:rtl/>
        </w:rPr>
        <w:t>1</w:t>
      </w:r>
      <w:r w:rsidRPr="008E3E68">
        <w:rPr>
          <w:rFonts w:ascii="Traditional Arabic"/>
          <w:rtl/>
        </w:rPr>
        <w:t>)</w:t>
      </w:r>
      <w:r w:rsidR="00FF6AD6">
        <w:rPr>
          <w:rtl/>
        </w:rPr>
        <w:t>،</w:t>
      </w:r>
      <w:r w:rsidRPr="008E3E68">
        <w:rPr>
          <w:rtl/>
        </w:rPr>
        <w:t xml:space="preserve"> </w:t>
      </w:r>
      <w:r>
        <w:rPr>
          <w:rtl/>
        </w:rPr>
        <w:t xml:space="preserve">يجب ألا </w:t>
      </w:r>
      <w:r w:rsidRPr="008E3E68">
        <w:rPr>
          <w:rtl/>
        </w:rPr>
        <w:t>يكون قانونياً فحسب</w:t>
      </w:r>
      <w:r w:rsidR="00FF6AD6">
        <w:rPr>
          <w:rtl/>
        </w:rPr>
        <w:t>،</w:t>
      </w:r>
      <w:r w:rsidRPr="008E3E68">
        <w:rPr>
          <w:rtl/>
        </w:rPr>
        <w:t xml:space="preserve"> بل يجب أن يكون معقولاً وضرورياً أيضاً مع مراعاة جميع الظروف</w:t>
      </w:r>
      <w:r w:rsidR="00FF6AD6" w:rsidRPr="004F39FB">
        <w:rPr>
          <w:vertAlign w:val="superscript"/>
          <w:rtl/>
        </w:rPr>
        <w:t>(</w:t>
      </w:r>
      <w:r w:rsidR="008D799D" w:rsidRPr="008D799D">
        <w:rPr>
          <w:rFonts w:ascii="Simplified Arabic" w:hAnsi="Simplified Arabic"/>
          <w:vertAlign w:val="superscript"/>
          <w:lang w:val="en-US"/>
        </w:rPr>
        <w:footnoteReference w:id="17"/>
      </w:r>
      <w:r w:rsidR="00FF6AD6" w:rsidRPr="004F39FB">
        <w:rPr>
          <w:vertAlign w:val="superscript"/>
          <w:rtl/>
        </w:rPr>
        <w:t>)</w:t>
      </w:r>
      <w:r w:rsidRPr="008E3E68">
        <w:rPr>
          <w:rtl/>
        </w:rPr>
        <w:t>. وترى اللجنة أن</w:t>
      </w:r>
      <w:r>
        <w:rPr>
          <w:rtl/>
        </w:rPr>
        <w:t>ّ</w:t>
      </w:r>
      <w:r w:rsidRPr="008E3E68">
        <w:rPr>
          <w:rtl/>
        </w:rPr>
        <w:t xml:space="preserve"> الدولة الطرف لم ت</w:t>
      </w:r>
      <w:r>
        <w:rPr>
          <w:rtl/>
        </w:rPr>
        <w:t>ُ</w:t>
      </w:r>
      <w:r w:rsidRPr="008E3E68">
        <w:rPr>
          <w:rtl/>
        </w:rPr>
        <w:t>بيّن السبب وراء</w:t>
      </w:r>
      <w:r>
        <w:rPr>
          <w:rtl/>
        </w:rPr>
        <w:t>َ</w:t>
      </w:r>
      <w:r w:rsidRPr="008E3E68">
        <w:rPr>
          <w:rtl/>
        </w:rPr>
        <w:t xml:space="preserve"> ضرورة</w:t>
      </w:r>
      <w:r>
        <w:rPr>
          <w:rtl/>
        </w:rPr>
        <w:t>ِ</w:t>
      </w:r>
      <w:r w:rsidRPr="008E3E68">
        <w:rPr>
          <w:rtl/>
        </w:rPr>
        <w:t xml:space="preserve"> احتجاز</w:t>
      </w:r>
      <w:r>
        <w:rPr>
          <w:rtl/>
        </w:rPr>
        <w:t>ِ</w:t>
      </w:r>
      <w:r w:rsidRPr="008E3E68">
        <w:rPr>
          <w:rtl/>
        </w:rPr>
        <w:t xml:space="preserve"> صاحب البلاغ. وفي ضوء هذه </w:t>
      </w:r>
      <w:r w:rsidRPr="008E3E68">
        <w:rPr>
          <w:rtl/>
        </w:rPr>
        <w:lastRenderedPageBreak/>
        <w:t>الظروف</w:t>
      </w:r>
      <w:r>
        <w:rPr>
          <w:rtl/>
        </w:rPr>
        <w:t xml:space="preserve"> كما هي موضحة</w:t>
      </w:r>
      <w:r w:rsidR="00FF6AD6">
        <w:rPr>
          <w:rtl/>
        </w:rPr>
        <w:t>،</w:t>
      </w:r>
      <w:r w:rsidRPr="008E3E68">
        <w:rPr>
          <w:rtl/>
        </w:rPr>
        <w:t xml:space="preserve"> تخلص اللجنة إلى أن</w:t>
      </w:r>
      <w:r>
        <w:rPr>
          <w:rtl/>
        </w:rPr>
        <w:t>ّ</w:t>
      </w:r>
      <w:r w:rsidRPr="008E3E68">
        <w:rPr>
          <w:rtl/>
        </w:rPr>
        <w:t xml:space="preserve"> الدولة الطرف انتهكت حقوق صاحب البلاغ بموجب المادة </w:t>
      </w:r>
      <w:r w:rsidRPr="008D799D">
        <w:rPr>
          <w:rtl/>
        </w:rPr>
        <w:t>9</w:t>
      </w:r>
      <w:r w:rsidRPr="008E3E68">
        <w:rPr>
          <w:rFonts w:ascii="Traditional Arabic"/>
          <w:rtl/>
        </w:rPr>
        <w:t>(</w:t>
      </w:r>
      <w:r w:rsidRPr="008D799D">
        <w:rPr>
          <w:rtl/>
        </w:rPr>
        <w:t>1</w:t>
      </w:r>
      <w:r w:rsidRPr="008E3E68">
        <w:rPr>
          <w:rFonts w:ascii="Traditional Arabic"/>
          <w:rtl/>
        </w:rPr>
        <w:t>)</w:t>
      </w:r>
      <w:r w:rsidRPr="008E3E68">
        <w:rPr>
          <w:rtl/>
        </w:rPr>
        <w:t xml:space="preserve"> من العهد. </w:t>
      </w:r>
    </w:p>
    <w:p w14:paraId="7B553687" w14:textId="1A5329F0" w:rsidR="0023192C" w:rsidRPr="008E3E68" w:rsidRDefault="0023192C" w:rsidP="00217B9D">
      <w:pPr>
        <w:pStyle w:val="SingleTxtGA"/>
        <w:spacing w:line="340" w:lineRule="exact"/>
        <w:rPr>
          <w:lang w:val="ar-SA" w:eastAsia="zh-TW" w:bidi="en-GB"/>
        </w:rPr>
      </w:pPr>
      <w:r w:rsidRPr="008D799D">
        <w:rPr>
          <w:rtl/>
        </w:rPr>
        <w:t>7</w:t>
      </w:r>
      <w:r w:rsidRPr="008E3E68">
        <w:rPr>
          <w:rFonts w:ascii="Traditional Arabic"/>
          <w:rtl/>
        </w:rPr>
        <w:t>-</w:t>
      </w:r>
      <w:r w:rsidRPr="008D799D">
        <w:rPr>
          <w:rtl/>
        </w:rPr>
        <w:t>5</w:t>
      </w:r>
      <w:r w:rsidRPr="008E3E68">
        <w:rPr>
          <w:rtl/>
        </w:rPr>
        <w:tab/>
        <w:t>وفيما يتعلق بادعاء صاحب البلاغ في إطار الماد</w:t>
      </w:r>
      <w:r>
        <w:rPr>
          <w:rtl/>
        </w:rPr>
        <w:t>تين</w:t>
      </w:r>
      <w:r w:rsidRPr="008E3E68">
        <w:rPr>
          <w:rtl/>
        </w:rPr>
        <w:t xml:space="preserve"> </w:t>
      </w:r>
      <w:r w:rsidRPr="008D799D">
        <w:rPr>
          <w:rtl/>
        </w:rPr>
        <w:t>18</w:t>
      </w:r>
      <w:r w:rsidRPr="008E3E68">
        <w:rPr>
          <w:rFonts w:ascii="Traditional Arabic"/>
          <w:rtl/>
        </w:rPr>
        <w:t>(</w:t>
      </w:r>
      <w:r w:rsidRPr="008D799D">
        <w:rPr>
          <w:rtl/>
        </w:rPr>
        <w:t>1</w:t>
      </w:r>
      <w:r w:rsidRPr="008E3E68">
        <w:rPr>
          <w:rFonts w:ascii="Traditional Arabic"/>
          <w:rtl/>
        </w:rPr>
        <w:t>)</w:t>
      </w:r>
      <w:r w:rsidRPr="008E3E68">
        <w:rPr>
          <w:rtl/>
        </w:rPr>
        <w:t xml:space="preserve"> و</w:t>
      </w:r>
      <w:r w:rsidRPr="008E3E68">
        <w:rPr>
          <w:rFonts w:ascii="Traditional Arabic"/>
          <w:rtl/>
        </w:rPr>
        <w:t>(</w:t>
      </w:r>
      <w:r w:rsidRPr="008D799D">
        <w:rPr>
          <w:rtl/>
        </w:rPr>
        <w:t>3</w:t>
      </w:r>
      <w:r w:rsidRPr="008E3E68">
        <w:rPr>
          <w:rFonts w:ascii="Traditional Arabic"/>
          <w:rtl/>
        </w:rPr>
        <w:t>)</w:t>
      </w:r>
      <w:r w:rsidRPr="008E3E68">
        <w:rPr>
          <w:rtl/>
        </w:rPr>
        <w:t xml:space="preserve"> من العهد</w:t>
      </w:r>
      <w:r w:rsidR="00FF6AD6">
        <w:rPr>
          <w:rtl/>
        </w:rPr>
        <w:t>،</w:t>
      </w:r>
      <w:r w:rsidRPr="008E3E68">
        <w:rPr>
          <w:rtl/>
        </w:rPr>
        <w:t xml:space="preserve"> تذكّر اللجنة بتعليقها العام رقم </w:t>
      </w:r>
      <w:r w:rsidRPr="008D799D">
        <w:rPr>
          <w:rtl/>
        </w:rPr>
        <w:t>22</w:t>
      </w:r>
      <w:r w:rsidRPr="008E3E68">
        <w:rPr>
          <w:rFonts w:ascii="Traditional Arabic"/>
          <w:rtl/>
        </w:rPr>
        <w:t>(</w:t>
      </w:r>
      <w:r w:rsidRPr="008D799D">
        <w:rPr>
          <w:rtl/>
        </w:rPr>
        <w:t>1993</w:t>
      </w:r>
      <w:r w:rsidRPr="008E3E68">
        <w:rPr>
          <w:rFonts w:ascii="Traditional Arabic"/>
          <w:rtl/>
        </w:rPr>
        <w:t>)</w:t>
      </w:r>
      <w:r w:rsidRPr="008E3E68">
        <w:rPr>
          <w:rtl/>
        </w:rPr>
        <w:t xml:space="preserve"> بشأن الحق في حرية الفكر والوجدان والدين</w:t>
      </w:r>
      <w:r w:rsidR="00FF6AD6">
        <w:rPr>
          <w:rtl/>
        </w:rPr>
        <w:t>،</w:t>
      </w:r>
      <w:r w:rsidRPr="008E3E68">
        <w:rPr>
          <w:rtl/>
        </w:rPr>
        <w:t xml:space="preserve"> الذي يذكر أن المادة </w:t>
      </w:r>
      <w:r w:rsidRPr="008D799D">
        <w:rPr>
          <w:rtl/>
        </w:rPr>
        <w:t>18</w:t>
      </w:r>
      <w:r w:rsidRPr="008E3E68">
        <w:rPr>
          <w:rtl/>
        </w:rPr>
        <w:t xml:space="preserve"> لا</w:t>
      </w:r>
      <w:r w:rsidR="00661D97">
        <w:rPr>
          <w:rFonts w:hint="cs"/>
          <w:rtl/>
        </w:rPr>
        <w:t> </w:t>
      </w:r>
      <w:r w:rsidRPr="008E3E68">
        <w:rPr>
          <w:rtl/>
        </w:rPr>
        <w:t xml:space="preserve">تسمح بأي قيود أياً كانت على حرية الفكر والوجدان أو على حرية اعتناق دين أو عقيدة من اختيار الشخص (الفقرة </w:t>
      </w:r>
      <w:r w:rsidRPr="008D799D">
        <w:rPr>
          <w:rtl/>
        </w:rPr>
        <w:t>3</w:t>
      </w:r>
      <w:r w:rsidRPr="008E3E68">
        <w:rPr>
          <w:rFonts w:ascii="Traditional Arabic"/>
          <w:rtl/>
        </w:rPr>
        <w:t>)</w:t>
      </w:r>
      <w:r w:rsidRPr="008E3E68">
        <w:rPr>
          <w:rtl/>
        </w:rPr>
        <w:t>. وفي المقابل</w:t>
      </w:r>
      <w:r w:rsidR="00FF6AD6">
        <w:rPr>
          <w:rtl/>
        </w:rPr>
        <w:t>،</w:t>
      </w:r>
      <w:r w:rsidR="00422D1C">
        <w:rPr>
          <w:rtl/>
        </w:rPr>
        <w:t xml:space="preserve"> </w:t>
      </w:r>
      <w:r>
        <w:rPr>
          <w:rtl/>
        </w:rPr>
        <w:t xml:space="preserve">قد تخضع </w:t>
      </w:r>
      <w:r w:rsidRPr="008E3E68">
        <w:rPr>
          <w:rtl/>
        </w:rPr>
        <w:t xml:space="preserve">حرية </w:t>
      </w:r>
      <w:r>
        <w:rPr>
          <w:rtl/>
        </w:rPr>
        <w:t>المرء</w:t>
      </w:r>
      <w:r w:rsidR="004F39FB">
        <w:rPr>
          <w:rFonts w:hint="cs"/>
          <w:rtl/>
        </w:rPr>
        <w:t xml:space="preserve"> </w:t>
      </w:r>
      <w:r w:rsidRPr="008E3E68">
        <w:rPr>
          <w:rtl/>
        </w:rPr>
        <w:t xml:space="preserve">في إظهار دينه أو معتقده </w:t>
      </w:r>
      <w:r>
        <w:rPr>
          <w:rtl/>
        </w:rPr>
        <w:t xml:space="preserve">لقيود معينة ولكن فقط تلك المنصوص </w:t>
      </w:r>
      <w:r w:rsidRPr="008E3E68">
        <w:rPr>
          <w:rtl/>
        </w:rPr>
        <w:t xml:space="preserve">عليها </w:t>
      </w:r>
      <w:r>
        <w:rPr>
          <w:rtl/>
        </w:rPr>
        <w:t xml:space="preserve">في </w:t>
      </w:r>
      <w:r w:rsidRPr="008E3E68">
        <w:rPr>
          <w:rtl/>
        </w:rPr>
        <w:t>القانون</w:t>
      </w:r>
      <w:r w:rsidR="00FF6AD6" w:rsidRPr="008E3E68">
        <w:rPr>
          <w:rtl/>
        </w:rPr>
        <w:t xml:space="preserve"> و</w:t>
      </w:r>
      <w:r>
        <w:rPr>
          <w:rtl/>
        </w:rPr>
        <w:t>ال</w:t>
      </w:r>
      <w:r w:rsidRPr="008E3E68">
        <w:rPr>
          <w:rtl/>
        </w:rPr>
        <w:t>ضرورية لحماية السلامة العامة</w:t>
      </w:r>
      <w:r w:rsidR="00FF6AD6">
        <w:rPr>
          <w:rtl/>
        </w:rPr>
        <w:t>،</w:t>
      </w:r>
      <w:r w:rsidRPr="008E3E68">
        <w:rPr>
          <w:rtl/>
        </w:rPr>
        <w:t xml:space="preserve"> أو النظام العام</w:t>
      </w:r>
      <w:r w:rsidR="00FF6AD6">
        <w:rPr>
          <w:rtl/>
        </w:rPr>
        <w:t>،</w:t>
      </w:r>
      <w:r w:rsidRPr="008E3E68">
        <w:rPr>
          <w:rtl/>
        </w:rPr>
        <w:t xml:space="preserve"> أو الصحة العامة</w:t>
      </w:r>
      <w:r w:rsidR="00FF6AD6">
        <w:rPr>
          <w:rtl/>
        </w:rPr>
        <w:t>،</w:t>
      </w:r>
      <w:r w:rsidRPr="008E3E68">
        <w:rPr>
          <w:rtl/>
        </w:rPr>
        <w:t xml:space="preserve"> أو الآداب العامة</w:t>
      </w:r>
      <w:r w:rsidR="00FF6AD6">
        <w:rPr>
          <w:rtl/>
        </w:rPr>
        <w:t>،</w:t>
      </w:r>
      <w:r w:rsidRPr="008E3E68">
        <w:rPr>
          <w:rtl/>
        </w:rPr>
        <w:t xml:space="preserve"> أو حقوق الآخرين وحرياتهم الأساسية. </w:t>
      </w:r>
      <w:r>
        <w:rPr>
          <w:rtl/>
        </w:rPr>
        <w:t>ويشمل حق المرء</w:t>
      </w:r>
      <w:r w:rsidR="004F39FB">
        <w:rPr>
          <w:rFonts w:hint="cs"/>
          <w:rtl/>
        </w:rPr>
        <w:t xml:space="preserve"> </w:t>
      </w:r>
      <w:r w:rsidRPr="008E3E68">
        <w:rPr>
          <w:rtl/>
        </w:rPr>
        <w:t xml:space="preserve">في </w:t>
      </w:r>
      <w:r>
        <w:rPr>
          <w:rtl/>
        </w:rPr>
        <w:t>ممارسة حريته في إظهار</w:t>
      </w:r>
      <w:r w:rsidRPr="008E3E68">
        <w:rPr>
          <w:rtl/>
        </w:rPr>
        <w:t xml:space="preserve"> معتقداته في العبادة وإقامة الشعائر والممارسة والتعليم</w:t>
      </w:r>
      <w:r>
        <w:rPr>
          <w:rtl/>
        </w:rPr>
        <w:t xml:space="preserve"> أيضاً</w:t>
      </w:r>
      <w:r w:rsidR="004F39FB">
        <w:rPr>
          <w:rFonts w:hint="cs"/>
          <w:rtl/>
        </w:rPr>
        <w:t xml:space="preserve"> </w:t>
      </w:r>
      <w:r w:rsidRPr="008E3E68">
        <w:rPr>
          <w:rtl/>
        </w:rPr>
        <w:t>مجموعة واسعة من الأفعال</w:t>
      </w:r>
      <w:r w:rsidR="00FF6AD6">
        <w:rPr>
          <w:rtl/>
        </w:rPr>
        <w:t>،</w:t>
      </w:r>
      <w:r w:rsidRPr="008E3E68">
        <w:rPr>
          <w:rtl/>
        </w:rPr>
        <w:t xml:space="preserve"> بما في ذلك تلك التي تشك</w:t>
      </w:r>
      <w:r>
        <w:rPr>
          <w:rtl/>
        </w:rPr>
        <w:t>ّ</w:t>
      </w:r>
      <w:r w:rsidRPr="008E3E68">
        <w:rPr>
          <w:rtl/>
        </w:rPr>
        <w:t>ل جزءاً لا يتجزأ من تسيير مجموعة دينية لشؤونها الأساسية</w:t>
      </w:r>
      <w:r w:rsidR="00FF6AD6">
        <w:rPr>
          <w:rtl/>
        </w:rPr>
        <w:t>،</w:t>
      </w:r>
      <w:r w:rsidRPr="008E3E68">
        <w:rPr>
          <w:rtl/>
        </w:rPr>
        <w:t xml:space="preserve"> مثل حرية اختيار الزعماء الدينيين والكهنة والمعل</w:t>
      </w:r>
      <w:r>
        <w:rPr>
          <w:rtl/>
        </w:rPr>
        <w:t>ّ</w:t>
      </w:r>
      <w:r w:rsidRPr="008E3E68">
        <w:rPr>
          <w:rtl/>
        </w:rPr>
        <w:t>مين</w:t>
      </w:r>
      <w:r w:rsidR="00FF6AD6">
        <w:rPr>
          <w:rtl/>
        </w:rPr>
        <w:t>،</w:t>
      </w:r>
      <w:r w:rsidRPr="008E3E68">
        <w:rPr>
          <w:rtl/>
        </w:rPr>
        <w:t xml:space="preserve"> وحرية إنشاء المعاهد اللاهوتية أو المدارس الدينية</w:t>
      </w:r>
      <w:r w:rsidR="00FF6AD6">
        <w:rPr>
          <w:vertAlign w:val="superscript"/>
          <w:rtl/>
        </w:rPr>
        <w:t>(</w:t>
      </w:r>
      <w:r w:rsidR="008D799D" w:rsidRPr="008D799D">
        <w:rPr>
          <w:rFonts w:ascii="Simplified Arabic" w:hAnsi="Simplified Arabic"/>
          <w:vertAlign w:val="superscript"/>
          <w:lang w:val="en-US"/>
        </w:rPr>
        <w:footnoteReference w:id="18"/>
      </w:r>
      <w:r w:rsidR="00FF6AD6">
        <w:rPr>
          <w:vertAlign w:val="superscript"/>
          <w:rtl/>
        </w:rPr>
        <w:t>)</w:t>
      </w:r>
      <w:r w:rsidRPr="008E3E68">
        <w:rPr>
          <w:rtl/>
        </w:rPr>
        <w:t xml:space="preserve">. </w:t>
      </w:r>
    </w:p>
    <w:p w14:paraId="0F19D07B" w14:textId="65EDF90B" w:rsidR="0023192C" w:rsidRPr="000C5688" w:rsidRDefault="0023192C" w:rsidP="0023192C">
      <w:pPr>
        <w:pStyle w:val="SingleTxtGA"/>
        <w:rPr>
          <w:lang w:val="en-US" w:eastAsia="zh-TW" w:bidi="en-GB"/>
        </w:rPr>
      </w:pPr>
      <w:r w:rsidRPr="008D799D">
        <w:rPr>
          <w:rtl/>
        </w:rPr>
        <w:t>7</w:t>
      </w:r>
      <w:r w:rsidRPr="008E3E68">
        <w:rPr>
          <w:rFonts w:ascii="Traditional Arabic"/>
          <w:rtl/>
        </w:rPr>
        <w:t>-</w:t>
      </w:r>
      <w:r w:rsidRPr="008D799D">
        <w:rPr>
          <w:rtl/>
        </w:rPr>
        <w:t>6</w:t>
      </w:r>
      <w:r w:rsidRPr="008E3E68">
        <w:rPr>
          <w:rtl/>
        </w:rPr>
        <w:tab/>
      </w:r>
      <w:r>
        <w:rPr>
          <w:rtl/>
        </w:rPr>
        <w:t>ويتعين على</w:t>
      </w:r>
      <w:r w:rsidR="00422D1C">
        <w:rPr>
          <w:rtl/>
        </w:rPr>
        <w:t xml:space="preserve"> </w:t>
      </w:r>
      <w:r w:rsidRPr="008E3E68">
        <w:rPr>
          <w:rtl/>
        </w:rPr>
        <w:t xml:space="preserve">اللجنة </w:t>
      </w:r>
      <w:r>
        <w:rPr>
          <w:rtl/>
        </w:rPr>
        <w:t xml:space="preserve">الآن أن تتناول مسألة </w:t>
      </w:r>
      <w:r w:rsidRPr="008E3E68">
        <w:rPr>
          <w:rtl/>
        </w:rPr>
        <w:t>ما إذا كانت القيود ذات الصلة التي فُرضت على حق صاحب البلاغ في إ</w:t>
      </w:r>
      <w:r>
        <w:rPr>
          <w:rtl/>
        </w:rPr>
        <w:t>ظهار</w:t>
      </w:r>
      <w:r w:rsidRPr="008E3E68">
        <w:rPr>
          <w:rtl/>
        </w:rPr>
        <w:t xml:space="preserve"> دينه "ضرورية لحماية السلامة العامة أو النظام العام أو الصحة العامة أو الآداب العامة أو حقوق الآخرين وحرياتهم الأساسية"</w:t>
      </w:r>
      <w:r w:rsidR="00FF6AD6">
        <w:rPr>
          <w:rtl/>
        </w:rPr>
        <w:t>،</w:t>
      </w:r>
      <w:r w:rsidRPr="008E3E68">
        <w:rPr>
          <w:rtl/>
        </w:rPr>
        <w:t xml:space="preserve"> </w:t>
      </w:r>
      <w:r>
        <w:rPr>
          <w:rtl/>
        </w:rPr>
        <w:t xml:space="preserve">بالمعنى المقصود في </w:t>
      </w:r>
      <w:r w:rsidRPr="008E3E68">
        <w:rPr>
          <w:rtl/>
        </w:rPr>
        <w:t xml:space="preserve">المادة </w:t>
      </w:r>
      <w:r w:rsidRPr="008D799D">
        <w:rPr>
          <w:rtl/>
        </w:rPr>
        <w:t>18</w:t>
      </w:r>
      <w:r w:rsidRPr="008E3E68">
        <w:rPr>
          <w:rFonts w:ascii="Traditional Arabic"/>
          <w:rtl/>
        </w:rPr>
        <w:t>(</w:t>
      </w:r>
      <w:r w:rsidRPr="008D799D">
        <w:rPr>
          <w:rtl/>
        </w:rPr>
        <w:t>3</w:t>
      </w:r>
      <w:r w:rsidRPr="008E3E68">
        <w:rPr>
          <w:rFonts w:ascii="Traditional Arabic"/>
          <w:rtl/>
        </w:rPr>
        <w:t>)</w:t>
      </w:r>
      <w:r w:rsidR="009F6575">
        <w:rPr>
          <w:rFonts w:ascii="Traditional Arabic" w:hint="cs"/>
          <w:rtl/>
        </w:rPr>
        <w:t xml:space="preserve"> </w:t>
      </w:r>
      <w:r w:rsidRPr="008E3E68">
        <w:rPr>
          <w:rtl/>
        </w:rPr>
        <w:t xml:space="preserve">من العهد. وتذكّر اللجنة بأنه ينبغي تفسير المادة </w:t>
      </w:r>
      <w:r w:rsidRPr="008D799D">
        <w:rPr>
          <w:rtl/>
        </w:rPr>
        <w:t>18</w:t>
      </w:r>
      <w:r w:rsidRPr="008E3E68">
        <w:rPr>
          <w:rFonts w:ascii="Traditional Arabic"/>
          <w:rtl/>
        </w:rPr>
        <w:t>(</w:t>
      </w:r>
      <w:r w:rsidRPr="008D799D">
        <w:rPr>
          <w:rtl/>
        </w:rPr>
        <w:t>3</w:t>
      </w:r>
      <w:r w:rsidRPr="008E3E68">
        <w:rPr>
          <w:rFonts w:ascii="Traditional Arabic"/>
          <w:rtl/>
        </w:rPr>
        <w:t>)</w:t>
      </w:r>
      <w:r w:rsidRPr="008E3E68">
        <w:rPr>
          <w:rtl/>
        </w:rPr>
        <w:t xml:space="preserve"> بدقة وأنه لا يجوز تطبيق القيود إلا للأغراض التي و</w:t>
      </w:r>
      <w:r>
        <w:rPr>
          <w:rtl/>
        </w:rPr>
        <w:t>ُ</w:t>
      </w:r>
      <w:r w:rsidRPr="008E3E68">
        <w:rPr>
          <w:rtl/>
        </w:rPr>
        <w:t>ضعت من أجلها ويجب أن تتعلق مباشرةً بالحاجة المحددة التي اقتضت فرض</w:t>
      </w:r>
      <w:r>
        <w:rPr>
          <w:rtl/>
        </w:rPr>
        <w:t>َ</w:t>
      </w:r>
      <w:r w:rsidRPr="008E3E68">
        <w:rPr>
          <w:rtl/>
        </w:rPr>
        <w:t xml:space="preserve">ها وأن </w:t>
      </w:r>
      <w:r w:rsidRPr="008E3E68">
        <w:rPr>
          <w:rtl/>
        </w:rPr>
        <w:lastRenderedPageBreak/>
        <w:t>تكون</w:t>
      </w:r>
      <w:r>
        <w:rPr>
          <w:rtl/>
        </w:rPr>
        <w:t>َ</w:t>
      </w:r>
      <w:r w:rsidRPr="008E3E68">
        <w:rPr>
          <w:rtl/>
        </w:rPr>
        <w:t xml:space="preserve"> متناسبة معها. وتذكّر اللجنة أيضاً بأنه ينبغي للدول الأطراف</w:t>
      </w:r>
      <w:r w:rsidR="00FF6AD6">
        <w:rPr>
          <w:rtl/>
        </w:rPr>
        <w:t>،</w:t>
      </w:r>
      <w:r w:rsidRPr="008E3E68">
        <w:rPr>
          <w:rtl/>
        </w:rPr>
        <w:t xml:space="preserve"> لدى تفسير نطاق أحكام القيود الجائزة</w:t>
      </w:r>
      <w:r w:rsidR="00FF6AD6">
        <w:rPr>
          <w:rtl/>
        </w:rPr>
        <w:t>،</w:t>
      </w:r>
      <w:r w:rsidRPr="008E3E68">
        <w:rPr>
          <w:rtl/>
        </w:rPr>
        <w:t xml:space="preserve"> أن تنطلق من ضرورة حماية الحقوق المكفولة بموجب العهد</w:t>
      </w:r>
      <w:r w:rsidR="00FF6AD6">
        <w:rPr>
          <w:rtl/>
        </w:rPr>
        <w:t>،</w:t>
      </w:r>
      <w:r w:rsidRPr="008E3E68">
        <w:rPr>
          <w:rtl/>
        </w:rPr>
        <w:t xml:space="preserve"> بما في ذلك الحق في المساواة وعدم التمييز لأي سبب من الأسباب المحددة في المواد </w:t>
      </w:r>
      <w:r w:rsidRPr="008D799D">
        <w:rPr>
          <w:rtl/>
        </w:rPr>
        <w:t>2</w:t>
      </w:r>
      <w:r w:rsidRPr="008E3E68">
        <w:rPr>
          <w:rtl/>
        </w:rPr>
        <w:t xml:space="preserve"> و</w:t>
      </w:r>
      <w:r w:rsidRPr="008D799D">
        <w:rPr>
          <w:rtl/>
        </w:rPr>
        <w:t>3</w:t>
      </w:r>
      <w:r w:rsidRPr="008E3E68">
        <w:rPr>
          <w:rtl/>
        </w:rPr>
        <w:t xml:space="preserve"> و</w:t>
      </w:r>
      <w:r w:rsidRPr="008D799D">
        <w:rPr>
          <w:rtl/>
        </w:rPr>
        <w:t>26</w:t>
      </w:r>
      <w:r w:rsidR="00FF6AD6">
        <w:rPr>
          <w:vertAlign w:val="superscript"/>
          <w:rtl/>
        </w:rPr>
        <w:t>(</w:t>
      </w:r>
      <w:r w:rsidR="008D799D" w:rsidRPr="008D799D">
        <w:rPr>
          <w:rFonts w:ascii="Simplified Arabic" w:hAnsi="Simplified Arabic"/>
          <w:vertAlign w:val="superscript"/>
          <w:lang w:val="en-US"/>
        </w:rPr>
        <w:footnoteReference w:id="19"/>
      </w:r>
      <w:r w:rsidR="00FF6AD6">
        <w:rPr>
          <w:vertAlign w:val="superscript"/>
          <w:rtl/>
        </w:rPr>
        <w:t>)</w:t>
      </w:r>
      <w:r w:rsidRPr="008E3E68">
        <w:rPr>
          <w:rtl/>
        </w:rPr>
        <w:t xml:space="preserve">. </w:t>
      </w:r>
    </w:p>
    <w:p w14:paraId="6C5FC6D6" w14:textId="6A7BB4BC" w:rsidR="0023192C" w:rsidRPr="008E3E68" w:rsidRDefault="0023192C" w:rsidP="0023192C">
      <w:pPr>
        <w:pStyle w:val="SingleTxtGA"/>
        <w:rPr>
          <w:lang w:val="ar-SA" w:eastAsia="zh-TW" w:bidi="en-GB"/>
        </w:rPr>
      </w:pPr>
      <w:r w:rsidRPr="008D799D">
        <w:rPr>
          <w:rtl/>
        </w:rPr>
        <w:t>7</w:t>
      </w:r>
      <w:r w:rsidRPr="008E3E68">
        <w:rPr>
          <w:rFonts w:ascii="Traditional Arabic"/>
          <w:rtl/>
        </w:rPr>
        <w:t>-</w:t>
      </w:r>
      <w:r w:rsidRPr="008D799D">
        <w:rPr>
          <w:rtl/>
        </w:rPr>
        <w:t>7</w:t>
      </w:r>
      <w:r w:rsidRPr="008E3E68">
        <w:rPr>
          <w:rtl/>
        </w:rPr>
        <w:tab/>
      </w:r>
      <w:r>
        <w:rPr>
          <w:rtl/>
        </w:rPr>
        <w:t>و</w:t>
      </w:r>
      <w:r w:rsidRPr="008E3E68">
        <w:rPr>
          <w:rtl/>
        </w:rPr>
        <w:t>في هذه القضية</w:t>
      </w:r>
      <w:r w:rsidR="00FF6AD6">
        <w:rPr>
          <w:rtl/>
        </w:rPr>
        <w:t>،</w:t>
      </w:r>
      <w:r w:rsidRPr="008E3E68">
        <w:rPr>
          <w:rtl/>
        </w:rPr>
        <w:t xml:space="preserve"> تلاحظ اللجنة أن صاحب البلاغ اتُهم وأُدين وغُرّم وطُرد </w:t>
      </w:r>
      <w:r>
        <w:rPr>
          <w:rtl/>
        </w:rPr>
        <w:t xml:space="preserve">كما زُعم </w:t>
      </w:r>
      <w:r w:rsidRPr="008E3E68">
        <w:rPr>
          <w:rtl/>
        </w:rPr>
        <w:t>لانتهاكه قواعد إقامة المواطنين الأجانب (قانون المخالفات الإدارية</w:t>
      </w:r>
      <w:r w:rsidR="00FF6AD6">
        <w:rPr>
          <w:rtl/>
        </w:rPr>
        <w:t>،</w:t>
      </w:r>
      <w:r w:rsidRPr="008E3E68">
        <w:rPr>
          <w:rtl/>
        </w:rPr>
        <w:t xml:space="preserve"> المادة </w:t>
      </w:r>
      <w:r w:rsidRPr="008D799D">
        <w:rPr>
          <w:rtl/>
        </w:rPr>
        <w:t>499</w:t>
      </w:r>
      <w:r w:rsidRPr="008E3E68">
        <w:rPr>
          <w:rFonts w:ascii="Traditional Arabic"/>
          <w:rtl/>
        </w:rPr>
        <w:t>(</w:t>
      </w:r>
      <w:r w:rsidRPr="008D799D">
        <w:rPr>
          <w:rtl/>
        </w:rPr>
        <w:t>1</w:t>
      </w:r>
      <w:r w:rsidRPr="008E3E68">
        <w:rPr>
          <w:rFonts w:ascii="Traditional Arabic"/>
          <w:rtl/>
        </w:rPr>
        <w:t>))</w:t>
      </w:r>
      <w:r w:rsidRPr="008E3E68">
        <w:rPr>
          <w:rtl/>
        </w:rPr>
        <w:t>. لكن مدير اللجنة الحكومية للأمن القومي ذكر في خطابه إلى مديرية دائرة الهجرة أن صاحب البلاغ "مبشّر (مروّج) في منظمة شهود يهوه الدينية الدولية" جاء إلى مدينة دوشانبي من أجل "إشراك مواطني جمهورية طاجيكستان في هذه المنظمة" واحتُجز وجرى تفتيش</w:t>
      </w:r>
      <w:r>
        <w:rPr>
          <w:rtl/>
        </w:rPr>
        <w:t>ُ</w:t>
      </w:r>
      <w:r w:rsidRPr="008E3E68">
        <w:rPr>
          <w:rtl/>
        </w:rPr>
        <w:t xml:space="preserve"> وثائقه أثناء قيام</w:t>
      </w:r>
      <w:r>
        <w:rPr>
          <w:rtl/>
        </w:rPr>
        <w:t>ِ</w:t>
      </w:r>
      <w:r w:rsidRPr="008E3E68">
        <w:rPr>
          <w:rtl/>
        </w:rPr>
        <w:t xml:space="preserve">ه بالتعليم الديني لمجموعة من </w:t>
      </w:r>
      <w:r w:rsidRPr="008D799D">
        <w:rPr>
          <w:rtl/>
        </w:rPr>
        <w:t>21</w:t>
      </w:r>
      <w:r w:rsidRPr="008E3E68">
        <w:rPr>
          <w:rtl/>
        </w:rPr>
        <w:t xml:space="preserve"> شخصاً</w:t>
      </w:r>
      <w:r w:rsidR="00FF6AD6">
        <w:rPr>
          <w:rtl/>
        </w:rPr>
        <w:t>،</w:t>
      </w:r>
      <w:r w:rsidRPr="008E3E68">
        <w:rPr>
          <w:rtl/>
        </w:rPr>
        <w:t xml:space="preserve"> مما يشير </w:t>
      </w:r>
      <w:r>
        <w:rPr>
          <w:rtl/>
        </w:rPr>
        <w:t xml:space="preserve">أيضاً </w:t>
      </w:r>
      <w:r w:rsidRPr="008E3E68">
        <w:rPr>
          <w:rtl/>
        </w:rPr>
        <w:t>إلى تعليق نشاط المنظمة الدينية الدولية. وترى اللجنة</w:t>
      </w:r>
      <w:r w:rsidR="00FF6AD6">
        <w:rPr>
          <w:rtl/>
        </w:rPr>
        <w:t>،</w:t>
      </w:r>
      <w:r w:rsidRPr="008E3E68">
        <w:rPr>
          <w:rtl/>
        </w:rPr>
        <w:t xml:space="preserve"> انسجاماً مع تعليقها العام رقم </w:t>
      </w:r>
      <w:r w:rsidRPr="008D799D">
        <w:rPr>
          <w:rtl/>
        </w:rPr>
        <w:t>22</w:t>
      </w:r>
      <w:r w:rsidRPr="008E3E68">
        <w:rPr>
          <w:rFonts w:ascii="Traditional Arabic"/>
          <w:rtl/>
        </w:rPr>
        <w:t>(</w:t>
      </w:r>
      <w:r w:rsidRPr="008D799D">
        <w:rPr>
          <w:rtl/>
        </w:rPr>
        <w:t>1993</w:t>
      </w:r>
      <w:r w:rsidRPr="008E3E68">
        <w:rPr>
          <w:rFonts w:ascii="Traditional Arabic"/>
          <w:rtl/>
        </w:rPr>
        <w:t>)</w:t>
      </w:r>
      <w:r w:rsidR="00FF6AD6">
        <w:rPr>
          <w:rtl/>
        </w:rPr>
        <w:t>،</w:t>
      </w:r>
      <w:r w:rsidRPr="008E3E68">
        <w:rPr>
          <w:rtl/>
        </w:rPr>
        <w:t xml:space="preserve"> أن الأنشطة المذكورة أعلاه تشكّل جزءاً من حق صاحب البلاغ في إظهار معتقداته وأن </w:t>
      </w:r>
      <w:r>
        <w:rPr>
          <w:rtl/>
        </w:rPr>
        <w:t xml:space="preserve">أفعال </w:t>
      </w:r>
      <w:r w:rsidRPr="008E3E68">
        <w:rPr>
          <w:rtl/>
        </w:rPr>
        <w:t xml:space="preserve">الإدانة والتغريم والترحيل </w:t>
      </w:r>
      <w:r>
        <w:rPr>
          <w:rtl/>
        </w:rPr>
        <w:t>تُشكل</w:t>
      </w:r>
      <w:r w:rsidR="00422D1C">
        <w:rPr>
          <w:rtl/>
        </w:rPr>
        <w:t xml:space="preserve"> </w:t>
      </w:r>
      <w:r w:rsidRPr="008E3E68">
        <w:rPr>
          <w:rtl/>
        </w:rPr>
        <w:t>تقييداً لهذا الحق.</w:t>
      </w:r>
    </w:p>
    <w:p w14:paraId="315BFCE0" w14:textId="36C9DAF0" w:rsidR="0023192C" w:rsidRPr="008E3E68" w:rsidRDefault="0023192C" w:rsidP="0023192C">
      <w:pPr>
        <w:pStyle w:val="SingleTxtGA"/>
        <w:rPr>
          <w:lang w:val="ar-SA" w:eastAsia="zh-TW" w:bidi="en-GB"/>
        </w:rPr>
      </w:pPr>
      <w:r w:rsidRPr="008D799D">
        <w:rPr>
          <w:rtl/>
        </w:rPr>
        <w:t>7</w:t>
      </w:r>
      <w:r w:rsidRPr="008E3E68">
        <w:rPr>
          <w:rFonts w:ascii="Traditional Arabic"/>
          <w:rtl/>
        </w:rPr>
        <w:t>-</w:t>
      </w:r>
      <w:r w:rsidRPr="008D799D">
        <w:rPr>
          <w:rtl/>
        </w:rPr>
        <w:t>8</w:t>
      </w:r>
      <w:r w:rsidRPr="008E3E68">
        <w:rPr>
          <w:rtl/>
        </w:rPr>
        <w:tab/>
      </w:r>
      <w:r>
        <w:rPr>
          <w:rtl/>
        </w:rPr>
        <w:t>و</w:t>
      </w:r>
      <w:r w:rsidRPr="008E3E68">
        <w:rPr>
          <w:rtl/>
        </w:rPr>
        <w:t>تلاحظ اللجنة أن</w:t>
      </w:r>
      <w:r>
        <w:rPr>
          <w:rtl/>
        </w:rPr>
        <w:t>ّ</w:t>
      </w:r>
      <w:r w:rsidRPr="008E3E68">
        <w:rPr>
          <w:rtl/>
        </w:rPr>
        <w:t xml:space="preserve"> الدولة الطرف سعت إلى تبرير</w:t>
      </w:r>
      <w:r>
        <w:rPr>
          <w:rtl/>
        </w:rPr>
        <w:t>ِ</w:t>
      </w:r>
      <w:r w:rsidRPr="008E3E68">
        <w:rPr>
          <w:rtl/>
        </w:rPr>
        <w:t xml:space="preserve"> انتهاك الحقوق بزعم</w:t>
      </w:r>
      <w:r>
        <w:rPr>
          <w:rtl/>
        </w:rPr>
        <w:t>ِ</w:t>
      </w:r>
      <w:r w:rsidRPr="008E3E68">
        <w:rPr>
          <w:rtl/>
        </w:rPr>
        <w:t>ها أن</w:t>
      </w:r>
      <w:r>
        <w:rPr>
          <w:rtl/>
        </w:rPr>
        <w:t>ّ</w:t>
      </w:r>
      <w:r w:rsidRPr="008E3E68">
        <w:rPr>
          <w:rtl/>
        </w:rPr>
        <w:t xml:space="preserve"> صاحب</w:t>
      </w:r>
      <w:r>
        <w:rPr>
          <w:rtl/>
        </w:rPr>
        <w:t>َ</w:t>
      </w:r>
      <w:r w:rsidRPr="008E3E68">
        <w:rPr>
          <w:rtl/>
        </w:rPr>
        <w:t xml:space="preserve"> البلاغ انتهك قواعد</w:t>
      </w:r>
      <w:r>
        <w:rPr>
          <w:rtl/>
        </w:rPr>
        <w:t>َ</w:t>
      </w:r>
      <w:r w:rsidRPr="008E3E68">
        <w:rPr>
          <w:rtl/>
        </w:rPr>
        <w:t xml:space="preserve"> إقامة</w:t>
      </w:r>
      <w:r>
        <w:rPr>
          <w:rtl/>
        </w:rPr>
        <w:t>ِ</w:t>
      </w:r>
      <w:r w:rsidRPr="008E3E68">
        <w:rPr>
          <w:rtl/>
        </w:rPr>
        <w:t xml:space="preserve"> المواطنين الأجانب</w:t>
      </w:r>
      <w:r w:rsidR="00FF6AD6">
        <w:rPr>
          <w:rtl/>
        </w:rPr>
        <w:t>،</w:t>
      </w:r>
      <w:r w:rsidRPr="008E3E68">
        <w:rPr>
          <w:rtl/>
        </w:rPr>
        <w:t xml:space="preserve"> وأن</w:t>
      </w:r>
      <w:r>
        <w:rPr>
          <w:rtl/>
        </w:rPr>
        <w:t>ّ</w:t>
      </w:r>
      <w:r w:rsidRPr="008E3E68">
        <w:rPr>
          <w:rtl/>
        </w:rPr>
        <w:t xml:space="preserve"> القرار</w:t>
      </w:r>
      <w:r>
        <w:rPr>
          <w:rtl/>
        </w:rPr>
        <w:t>َ</w:t>
      </w:r>
      <w:r w:rsidRPr="008E3E68">
        <w:rPr>
          <w:rtl/>
        </w:rPr>
        <w:t xml:space="preserve"> الإجرائي بطرد</w:t>
      </w:r>
      <w:r>
        <w:rPr>
          <w:rtl/>
        </w:rPr>
        <w:t>ِ</w:t>
      </w:r>
      <w:r w:rsidRPr="008E3E68">
        <w:rPr>
          <w:rtl/>
        </w:rPr>
        <w:t>ه لا يرتبط بأي حال من الأحوال بموقفه</w:t>
      </w:r>
      <w:r>
        <w:rPr>
          <w:rtl/>
        </w:rPr>
        <w:t>ا</w:t>
      </w:r>
      <w:r w:rsidRPr="008E3E68">
        <w:rPr>
          <w:rtl/>
        </w:rPr>
        <w:t xml:space="preserve"> تجاه منظمة </w:t>
      </w:r>
      <w:r>
        <w:rPr>
          <w:rtl/>
        </w:rPr>
        <w:t xml:space="preserve">شهود يهوه </w:t>
      </w:r>
      <w:r w:rsidRPr="008E3E68">
        <w:rPr>
          <w:rtl/>
        </w:rPr>
        <w:t xml:space="preserve">الدينية الدولية. والدليل الذي استندت عليه الدولة الطرف هو أنه مكث طوال الليل في </w:t>
      </w:r>
      <w:r w:rsidRPr="008D799D">
        <w:rPr>
          <w:rtl/>
        </w:rPr>
        <w:t>4</w:t>
      </w:r>
      <w:r w:rsidRPr="008E3E68">
        <w:rPr>
          <w:rtl/>
        </w:rPr>
        <w:t xml:space="preserve"> تشرين الأول/أكتوبر </w:t>
      </w:r>
      <w:r w:rsidRPr="008D799D">
        <w:rPr>
          <w:rtl/>
        </w:rPr>
        <w:t>2018</w:t>
      </w:r>
      <w:r w:rsidRPr="008E3E68">
        <w:rPr>
          <w:rtl/>
        </w:rPr>
        <w:t xml:space="preserve"> في منزل ر. ن. د. مع</w:t>
      </w:r>
      <w:r>
        <w:rPr>
          <w:rtl/>
        </w:rPr>
        <w:t xml:space="preserve"> أفراد آخرين من </w:t>
      </w:r>
      <w:r w:rsidRPr="008E3E68">
        <w:rPr>
          <w:rtl/>
        </w:rPr>
        <w:t>شهود يهوه</w:t>
      </w:r>
      <w:r w:rsidR="00FF6AD6">
        <w:rPr>
          <w:rtl/>
        </w:rPr>
        <w:t>،</w:t>
      </w:r>
      <w:r w:rsidRPr="008E3E68">
        <w:rPr>
          <w:rtl/>
        </w:rPr>
        <w:t xml:space="preserve"> وبالتالي كان يقيم هناك بصورة مؤقتة. غير أنّ اللجنة تلاحظ الحجج التي ساقها صاحب البلاغ </w:t>
      </w:r>
      <w:r w:rsidRPr="008E3E68">
        <w:rPr>
          <w:rtl/>
        </w:rPr>
        <w:lastRenderedPageBreak/>
        <w:t>ومفاد</w:t>
      </w:r>
      <w:r>
        <w:rPr>
          <w:rtl/>
        </w:rPr>
        <w:t>ُ</w:t>
      </w:r>
      <w:r w:rsidRPr="008E3E68">
        <w:rPr>
          <w:rtl/>
        </w:rPr>
        <w:t>ها أن</w:t>
      </w:r>
      <w:r>
        <w:rPr>
          <w:rtl/>
        </w:rPr>
        <w:t>ّ</w:t>
      </w:r>
      <w:r w:rsidRPr="008E3E68">
        <w:rPr>
          <w:rtl/>
        </w:rPr>
        <w:t xml:space="preserve"> المحاكم تجاهلت أن</w:t>
      </w:r>
      <w:r>
        <w:rPr>
          <w:rtl/>
        </w:rPr>
        <w:t>ّ</w:t>
      </w:r>
      <w:r w:rsidRPr="008E3E68">
        <w:rPr>
          <w:rtl/>
        </w:rPr>
        <w:t xml:space="preserve"> هذا حصل كون ضباط من </w:t>
      </w:r>
      <w:r>
        <w:rPr>
          <w:rtl/>
        </w:rPr>
        <w:t>ال</w:t>
      </w:r>
      <w:r w:rsidRPr="008E3E68">
        <w:rPr>
          <w:rtl/>
        </w:rPr>
        <w:t xml:space="preserve">لجنة </w:t>
      </w:r>
      <w:r>
        <w:rPr>
          <w:rtl/>
        </w:rPr>
        <w:t>الحكومية</w:t>
      </w:r>
      <w:r w:rsidR="009F6575">
        <w:rPr>
          <w:rFonts w:hint="cs"/>
          <w:rtl/>
        </w:rPr>
        <w:t xml:space="preserve"> </w:t>
      </w:r>
      <w:r w:rsidRPr="008E3E68">
        <w:rPr>
          <w:rtl/>
        </w:rPr>
        <w:t>للأمن القومي كانوا ينتظرون في الخارج لإلقاء القبض على الأشخاص الذين تجمّعوا في الداخل سلميا</w:t>
      </w:r>
      <w:r>
        <w:rPr>
          <w:rtl/>
        </w:rPr>
        <w:t>ً</w:t>
      </w:r>
      <w:r w:rsidRPr="008E3E68">
        <w:rPr>
          <w:rtl/>
        </w:rPr>
        <w:t xml:space="preserve"> للعبادة</w:t>
      </w:r>
      <w:r w:rsidR="00FF6AD6">
        <w:rPr>
          <w:rtl/>
        </w:rPr>
        <w:t>،</w:t>
      </w:r>
      <w:r w:rsidRPr="008E3E68">
        <w:rPr>
          <w:rtl/>
        </w:rPr>
        <w:t xml:space="preserve"> وأن التشريع المحلي لا يحظّر على الأجانب البقاء طوال الليل في منزل آخر غير مكان إقامتهم المسجل</w:t>
      </w:r>
      <w:r w:rsidR="00FF6AD6">
        <w:rPr>
          <w:rtl/>
        </w:rPr>
        <w:t>،</w:t>
      </w:r>
      <w:r w:rsidRPr="008E3E68">
        <w:rPr>
          <w:rtl/>
        </w:rPr>
        <w:t xml:space="preserve"> وبالتالي لم ينص القانون على هذا التدخل. </w:t>
      </w:r>
    </w:p>
    <w:p w14:paraId="3100DE0A" w14:textId="6DA636A9" w:rsidR="0023192C" w:rsidRPr="008E3E68" w:rsidRDefault="0023192C" w:rsidP="0023192C">
      <w:pPr>
        <w:pStyle w:val="SingleTxtGA"/>
        <w:rPr>
          <w:lang w:val="ar-SA" w:eastAsia="zh-TW" w:bidi="en-GB"/>
        </w:rPr>
      </w:pPr>
      <w:r w:rsidRPr="008D799D">
        <w:rPr>
          <w:rtl/>
        </w:rPr>
        <w:t>7</w:t>
      </w:r>
      <w:r w:rsidRPr="008E3E68">
        <w:rPr>
          <w:rFonts w:ascii="Traditional Arabic"/>
          <w:rtl/>
        </w:rPr>
        <w:t>-</w:t>
      </w:r>
      <w:r w:rsidRPr="008D799D">
        <w:rPr>
          <w:rtl/>
        </w:rPr>
        <w:t>9</w:t>
      </w:r>
      <w:r w:rsidRPr="008E3E68">
        <w:rPr>
          <w:rtl/>
        </w:rPr>
        <w:tab/>
      </w:r>
      <w:r>
        <w:rPr>
          <w:rtl/>
        </w:rPr>
        <w:t>و</w:t>
      </w:r>
      <w:r w:rsidRPr="008E3E68">
        <w:rPr>
          <w:rtl/>
        </w:rPr>
        <w:t xml:space="preserve">تكرّر اللجنة بأن المادة </w:t>
      </w:r>
      <w:r w:rsidRPr="008D799D">
        <w:rPr>
          <w:rtl/>
        </w:rPr>
        <w:t>18</w:t>
      </w:r>
      <w:r w:rsidRPr="008E3E68">
        <w:rPr>
          <w:rFonts w:ascii="Traditional Arabic"/>
          <w:rtl/>
        </w:rPr>
        <w:t>(</w:t>
      </w:r>
      <w:r w:rsidRPr="008D799D">
        <w:rPr>
          <w:rtl/>
        </w:rPr>
        <w:t>1</w:t>
      </w:r>
      <w:r w:rsidRPr="008E3E68">
        <w:rPr>
          <w:rFonts w:ascii="Traditional Arabic"/>
          <w:rtl/>
        </w:rPr>
        <w:t>)</w:t>
      </w:r>
      <w:r w:rsidRPr="008E3E68">
        <w:rPr>
          <w:rtl/>
        </w:rPr>
        <w:t xml:space="preserve"> من العهد تحمي حق جميع أ</w:t>
      </w:r>
      <w:r>
        <w:rPr>
          <w:rtl/>
        </w:rPr>
        <w:t>فراد</w:t>
      </w:r>
      <w:r w:rsidRPr="008E3E68">
        <w:rPr>
          <w:rtl/>
        </w:rPr>
        <w:t xml:space="preserve"> أي جماعة دينية</w:t>
      </w:r>
      <w:r w:rsidR="00FF6AD6">
        <w:rPr>
          <w:rtl/>
        </w:rPr>
        <w:t>،</w:t>
      </w:r>
      <w:r w:rsidRPr="008E3E68">
        <w:rPr>
          <w:rtl/>
        </w:rPr>
        <w:t xml:space="preserve"> </w:t>
      </w:r>
      <w:r>
        <w:rPr>
          <w:rtl/>
        </w:rPr>
        <w:t>ولا</w:t>
      </w:r>
      <w:r w:rsidR="009F6575">
        <w:rPr>
          <w:rFonts w:hint="cs"/>
          <w:rtl/>
        </w:rPr>
        <w:t xml:space="preserve"> </w:t>
      </w:r>
      <w:r>
        <w:rPr>
          <w:rtl/>
        </w:rPr>
        <w:t xml:space="preserve">يقتصر ذلك على المواطنين وحدهم </w:t>
      </w:r>
      <w:r w:rsidR="00FF6AD6">
        <w:rPr>
          <w:rtl/>
        </w:rPr>
        <w:t>،</w:t>
      </w:r>
      <w:r w:rsidRPr="008E3E68">
        <w:rPr>
          <w:rtl/>
        </w:rPr>
        <w:t xml:space="preserve"> في إظهار دينهم مع آخرين من جماعتهم في العبادة وإقامة الشعائر والممارسة والتعليم الديني. وتخل</w:t>
      </w:r>
      <w:r>
        <w:rPr>
          <w:rtl/>
        </w:rPr>
        <w:t>ُ</w:t>
      </w:r>
      <w:r w:rsidRPr="008E3E68">
        <w:rPr>
          <w:rtl/>
        </w:rPr>
        <w:t>ص اللجنة إلى أن</w:t>
      </w:r>
      <w:r>
        <w:rPr>
          <w:rtl/>
        </w:rPr>
        <w:t>ّ</w:t>
      </w:r>
      <w:r w:rsidRPr="008E3E68">
        <w:rPr>
          <w:rtl/>
        </w:rPr>
        <w:t xml:space="preserve"> العقوبة المفروضة على صاحب البلاغ</w:t>
      </w:r>
      <w:r w:rsidR="00FF6AD6">
        <w:rPr>
          <w:rtl/>
        </w:rPr>
        <w:t>،</w:t>
      </w:r>
      <w:r w:rsidRPr="008E3E68">
        <w:rPr>
          <w:rtl/>
        </w:rPr>
        <w:t xml:space="preserve"> ولا سيما عواقبها القاسية على صاحب البلاغ الذي رُحّل من الدولة الطرف</w:t>
      </w:r>
      <w:r w:rsidR="00FF6AD6">
        <w:rPr>
          <w:rtl/>
        </w:rPr>
        <w:t>،</w:t>
      </w:r>
      <w:r w:rsidRPr="008E3E68">
        <w:rPr>
          <w:rtl/>
        </w:rPr>
        <w:t xml:space="preserve"> تشكّل تقييداً لحقه في إظهار دينه بموجب المادة </w:t>
      </w:r>
      <w:r w:rsidRPr="008D799D">
        <w:rPr>
          <w:rtl/>
        </w:rPr>
        <w:t>18</w:t>
      </w:r>
      <w:r w:rsidRPr="008E3E68">
        <w:rPr>
          <w:rFonts w:ascii="Traditional Arabic"/>
          <w:rtl/>
        </w:rPr>
        <w:t>(</w:t>
      </w:r>
      <w:r w:rsidRPr="008D799D">
        <w:rPr>
          <w:rtl/>
        </w:rPr>
        <w:t>1</w:t>
      </w:r>
      <w:r w:rsidRPr="008E3E68">
        <w:rPr>
          <w:rFonts w:ascii="Traditional Arabic"/>
          <w:rtl/>
        </w:rPr>
        <w:t>)</w:t>
      </w:r>
      <w:r w:rsidRPr="008E3E68">
        <w:rPr>
          <w:rtl/>
        </w:rPr>
        <w:t>؛ وأن هذه القيود</w:t>
      </w:r>
      <w:r w:rsidR="00FF6AD6">
        <w:rPr>
          <w:rtl/>
        </w:rPr>
        <w:t>،</w:t>
      </w:r>
      <w:r w:rsidRPr="008E3E68">
        <w:rPr>
          <w:rtl/>
        </w:rPr>
        <w:t xml:space="preserve"> وإن كان ينص عليه</w:t>
      </w:r>
      <w:r>
        <w:rPr>
          <w:rtl/>
        </w:rPr>
        <w:t>ا</w:t>
      </w:r>
      <w:r w:rsidRPr="008E3E68">
        <w:rPr>
          <w:rtl/>
        </w:rPr>
        <w:t xml:space="preserve"> القانون</w:t>
      </w:r>
      <w:r w:rsidR="00FF6AD6">
        <w:rPr>
          <w:rtl/>
        </w:rPr>
        <w:t>،</w:t>
      </w:r>
      <w:r w:rsidRPr="008E3E68">
        <w:rPr>
          <w:rtl/>
        </w:rPr>
        <w:t xml:space="preserve"> لم تكن متناسبة أو مبرّرة. </w:t>
      </w:r>
      <w:r>
        <w:rPr>
          <w:rtl/>
        </w:rPr>
        <w:t>و</w:t>
      </w:r>
      <w:r w:rsidRPr="008E3E68">
        <w:rPr>
          <w:rtl/>
        </w:rPr>
        <w:t>بالإضافة إلى ذلك</w:t>
      </w:r>
      <w:r w:rsidR="00FF6AD6">
        <w:rPr>
          <w:rtl/>
        </w:rPr>
        <w:t>،</w:t>
      </w:r>
      <w:r w:rsidRPr="008E3E68">
        <w:rPr>
          <w:rtl/>
        </w:rPr>
        <w:t xml:space="preserve"> تلاحظ اللجنة أن الدولة الطرف لم تبرّر هذه القيود باعتبارها تخدم أي</w:t>
      </w:r>
      <w:r>
        <w:rPr>
          <w:rtl/>
        </w:rPr>
        <w:t>ّ</w:t>
      </w:r>
      <w:r w:rsidRPr="008E3E68">
        <w:rPr>
          <w:rtl/>
        </w:rPr>
        <w:t xml:space="preserve"> غرض مشروع تحدده المادة </w:t>
      </w:r>
      <w:r w:rsidRPr="008D799D">
        <w:rPr>
          <w:rtl/>
        </w:rPr>
        <w:t>18</w:t>
      </w:r>
      <w:r w:rsidRPr="008E3E68">
        <w:rPr>
          <w:rFonts w:ascii="Traditional Arabic"/>
          <w:rtl/>
        </w:rPr>
        <w:t>(</w:t>
      </w:r>
      <w:r w:rsidRPr="008D799D">
        <w:rPr>
          <w:rtl/>
        </w:rPr>
        <w:t>3</w:t>
      </w:r>
      <w:r w:rsidRPr="008E3E68">
        <w:rPr>
          <w:rFonts w:ascii="Traditional Arabic"/>
          <w:rtl/>
        </w:rPr>
        <w:t>)</w:t>
      </w:r>
      <w:r w:rsidRPr="008E3E68">
        <w:rPr>
          <w:rtl/>
        </w:rPr>
        <w:t xml:space="preserve">؛ وأن هذه القيود القصوى المفروضة على حق الشخص في إظهار دينه متناسبة مع </w:t>
      </w:r>
      <w:r w:rsidRPr="009F6575">
        <w:rPr>
          <w:spacing w:val="-4"/>
          <w:rtl/>
        </w:rPr>
        <w:t>أي هدف مشروع يمكن أن تخدمه. ولذلك</w:t>
      </w:r>
      <w:r w:rsidR="00FF6AD6" w:rsidRPr="009F6575">
        <w:rPr>
          <w:spacing w:val="-4"/>
          <w:rtl/>
        </w:rPr>
        <w:t>،</w:t>
      </w:r>
      <w:r w:rsidRPr="009F6575">
        <w:rPr>
          <w:spacing w:val="-4"/>
          <w:rtl/>
        </w:rPr>
        <w:t xml:space="preserve"> تخلص اللجنة إلى أن هذه القيود لا تفي بمتطلبات المادة </w:t>
      </w:r>
      <w:r w:rsidRPr="008D799D">
        <w:rPr>
          <w:spacing w:val="-4"/>
          <w:rtl/>
        </w:rPr>
        <w:t>18</w:t>
      </w:r>
      <w:r w:rsidRPr="009F6575">
        <w:rPr>
          <w:rFonts w:ascii="Traditional Arabic"/>
          <w:spacing w:val="-4"/>
          <w:rtl/>
        </w:rPr>
        <w:t>(</w:t>
      </w:r>
      <w:r w:rsidRPr="008D799D">
        <w:rPr>
          <w:spacing w:val="-4"/>
          <w:rtl/>
        </w:rPr>
        <w:t>3</w:t>
      </w:r>
      <w:r w:rsidRPr="009F6575">
        <w:rPr>
          <w:rFonts w:ascii="Traditional Arabic"/>
          <w:spacing w:val="-4"/>
          <w:rtl/>
        </w:rPr>
        <w:t>)</w:t>
      </w:r>
      <w:r w:rsidR="00FF6AD6" w:rsidRPr="009F6575">
        <w:rPr>
          <w:spacing w:val="-4"/>
          <w:rtl/>
        </w:rPr>
        <w:t>،</w:t>
      </w:r>
      <w:r w:rsidRPr="008E3E68">
        <w:rPr>
          <w:rtl/>
        </w:rPr>
        <w:t xml:space="preserve"> وأن حقوق صاحب البلاغ بموجب المادة </w:t>
      </w:r>
      <w:r w:rsidRPr="008D799D">
        <w:rPr>
          <w:rtl/>
        </w:rPr>
        <w:t>18</w:t>
      </w:r>
      <w:r w:rsidRPr="008E3E68">
        <w:rPr>
          <w:rFonts w:ascii="Traditional Arabic"/>
          <w:rtl/>
        </w:rPr>
        <w:t>(</w:t>
      </w:r>
      <w:r w:rsidRPr="008D799D">
        <w:rPr>
          <w:rtl/>
        </w:rPr>
        <w:t>1</w:t>
      </w:r>
      <w:r w:rsidRPr="008E3E68">
        <w:rPr>
          <w:rFonts w:ascii="Traditional Arabic"/>
          <w:rtl/>
        </w:rPr>
        <w:t>)</w:t>
      </w:r>
      <w:r w:rsidRPr="008E3E68">
        <w:rPr>
          <w:rtl/>
        </w:rPr>
        <w:t xml:space="preserve"> من العهد قد انتُهكت. </w:t>
      </w:r>
    </w:p>
    <w:p w14:paraId="0952F61C" w14:textId="0C678480" w:rsidR="0023192C" w:rsidRPr="008E3E68" w:rsidRDefault="0023192C" w:rsidP="0023192C">
      <w:pPr>
        <w:pStyle w:val="SingleTxtGA"/>
        <w:rPr>
          <w:lang w:val="ar-SA" w:eastAsia="zh-TW" w:bidi="en-GB"/>
        </w:rPr>
      </w:pPr>
      <w:r w:rsidRPr="008D799D">
        <w:rPr>
          <w:rtl/>
        </w:rPr>
        <w:t>7</w:t>
      </w:r>
      <w:r w:rsidRPr="008E3E68">
        <w:rPr>
          <w:rFonts w:ascii="Traditional Arabic"/>
          <w:rtl/>
        </w:rPr>
        <w:t>-</w:t>
      </w:r>
      <w:r w:rsidRPr="008D799D">
        <w:rPr>
          <w:rtl/>
        </w:rPr>
        <w:t>10</w:t>
      </w:r>
      <w:r w:rsidR="009F6575">
        <w:rPr>
          <w:rFonts w:ascii="Traditional Arabic"/>
          <w:rtl/>
        </w:rPr>
        <w:tab/>
      </w:r>
      <w:r>
        <w:rPr>
          <w:rFonts w:ascii="Traditional Arabic"/>
          <w:rtl/>
        </w:rPr>
        <w:t>و</w:t>
      </w:r>
      <w:r w:rsidRPr="008E3E68">
        <w:rPr>
          <w:rtl/>
        </w:rPr>
        <w:t xml:space="preserve">في ضوء ما خلصت إليه اللجنة من حدوث انتهاك للمادة </w:t>
      </w:r>
      <w:r w:rsidRPr="008D799D">
        <w:rPr>
          <w:rtl/>
        </w:rPr>
        <w:t>18</w:t>
      </w:r>
      <w:r w:rsidRPr="008E3E68">
        <w:rPr>
          <w:rtl/>
        </w:rPr>
        <w:t xml:space="preserve"> من العهد</w:t>
      </w:r>
      <w:r w:rsidR="00FF6AD6">
        <w:rPr>
          <w:rtl/>
        </w:rPr>
        <w:t>،</w:t>
      </w:r>
      <w:r w:rsidRPr="008E3E68">
        <w:rPr>
          <w:rtl/>
        </w:rPr>
        <w:t xml:space="preserve"> تقر</w:t>
      </w:r>
      <w:r>
        <w:rPr>
          <w:rtl/>
        </w:rPr>
        <w:t>ّ</w:t>
      </w:r>
      <w:r w:rsidRPr="008E3E68">
        <w:rPr>
          <w:rtl/>
        </w:rPr>
        <w:t>ر عدم النظر بشكل</w:t>
      </w:r>
      <w:r>
        <w:rPr>
          <w:rtl/>
        </w:rPr>
        <w:t>ٍ</w:t>
      </w:r>
      <w:r w:rsidRPr="008E3E68">
        <w:rPr>
          <w:rtl/>
        </w:rPr>
        <w:t xml:space="preserve"> منفصل في ادعاءات صاحب البلاغ بموجب المادة </w:t>
      </w:r>
      <w:r w:rsidRPr="008D799D">
        <w:rPr>
          <w:rtl/>
        </w:rPr>
        <w:t>13</w:t>
      </w:r>
      <w:r w:rsidR="00FF6AD6">
        <w:rPr>
          <w:rtl/>
        </w:rPr>
        <w:t>،</w:t>
      </w:r>
      <w:r w:rsidRPr="008E3E68">
        <w:rPr>
          <w:rtl/>
        </w:rPr>
        <w:t xml:space="preserve"> </w:t>
      </w:r>
      <w:r>
        <w:rPr>
          <w:rtl/>
        </w:rPr>
        <w:t>مقروءة على حدة</w:t>
      </w:r>
      <w:r w:rsidRPr="008E3E68">
        <w:rPr>
          <w:rtl/>
        </w:rPr>
        <w:t xml:space="preserve"> وبال</w:t>
      </w:r>
      <w:r>
        <w:rPr>
          <w:rtl/>
        </w:rPr>
        <w:t>اقتران</w:t>
      </w:r>
      <w:r w:rsidRPr="008E3E68">
        <w:rPr>
          <w:rtl/>
        </w:rPr>
        <w:t xml:space="preserve"> مع المادة </w:t>
      </w:r>
      <w:r w:rsidRPr="008D799D">
        <w:rPr>
          <w:rtl/>
        </w:rPr>
        <w:t>12</w:t>
      </w:r>
      <w:r w:rsidRPr="008E3E68">
        <w:rPr>
          <w:rtl/>
        </w:rPr>
        <w:t xml:space="preserve"> والمادتين </w:t>
      </w:r>
      <w:r w:rsidRPr="008D799D">
        <w:rPr>
          <w:rtl/>
        </w:rPr>
        <w:t>26</w:t>
      </w:r>
      <w:r w:rsidRPr="008E3E68">
        <w:rPr>
          <w:rtl/>
        </w:rPr>
        <w:t xml:space="preserve"> و</w:t>
      </w:r>
      <w:r w:rsidRPr="008D799D">
        <w:rPr>
          <w:rtl/>
        </w:rPr>
        <w:t>27</w:t>
      </w:r>
      <w:r w:rsidRPr="008E3E68">
        <w:rPr>
          <w:rtl/>
        </w:rPr>
        <w:t xml:space="preserve"> من العهد.</w:t>
      </w:r>
    </w:p>
    <w:p w14:paraId="4EB846CB" w14:textId="4575A610" w:rsidR="0023192C" w:rsidRPr="008E3E68" w:rsidRDefault="0023192C" w:rsidP="0023192C">
      <w:pPr>
        <w:pStyle w:val="SingleTxtGA"/>
        <w:rPr>
          <w:lang w:val="ar-SA" w:eastAsia="zh-TW" w:bidi="en-GB"/>
        </w:rPr>
      </w:pPr>
      <w:r w:rsidRPr="008D799D">
        <w:rPr>
          <w:rtl/>
        </w:rPr>
        <w:t>8</w:t>
      </w:r>
      <w:r w:rsidRPr="008E3E68">
        <w:rPr>
          <w:rFonts w:ascii="Traditional Arabic"/>
          <w:rtl/>
        </w:rPr>
        <w:t>-</w:t>
      </w:r>
      <w:r w:rsidRPr="008E3E68">
        <w:rPr>
          <w:rtl/>
        </w:rPr>
        <w:tab/>
        <w:t xml:space="preserve">وإذ تتصرف </w:t>
      </w:r>
      <w:r>
        <w:rPr>
          <w:rtl/>
        </w:rPr>
        <w:t xml:space="preserve">اللجنة </w:t>
      </w:r>
      <w:r w:rsidRPr="008E3E68">
        <w:rPr>
          <w:rtl/>
        </w:rPr>
        <w:t xml:space="preserve">بموجب المادة </w:t>
      </w:r>
      <w:r w:rsidRPr="008D799D">
        <w:rPr>
          <w:rtl/>
        </w:rPr>
        <w:t>5</w:t>
      </w:r>
      <w:r w:rsidRPr="000E6893">
        <w:rPr>
          <w:rtl/>
        </w:rPr>
        <w:t>(</w:t>
      </w:r>
      <w:r w:rsidRPr="008D799D">
        <w:rPr>
          <w:rtl/>
        </w:rPr>
        <w:t>4</w:t>
      </w:r>
      <w:r w:rsidRPr="000E6893">
        <w:rPr>
          <w:rtl/>
        </w:rPr>
        <w:t xml:space="preserve">) </w:t>
      </w:r>
      <w:r w:rsidRPr="008E3E68">
        <w:rPr>
          <w:rtl/>
        </w:rPr>
        <w:t>من البروتوكول الاختياري</w:t>
      </w:r>
      <w:r w:rsidR="00FF6AD6">
        <w:rPr>
          <w:rtl/>
        </w:rPr>
        <w:t>،</w:t>
      </w:r>
      <w:r w:rsidRPr="008E3E68">
        <w:rPr>
          <w:rtl/>
        </w:rPr>
        <w:t xml:space="preserve"> </w:t>
      </w:r>
      <w:r>
        <w:rPr>
          <w:rtl/>
        </w:rPr>
        <w:t xml:space="preserve">فهي </w:t>
      </w:r>
      <w:r w:rsidRPr="008E3E68">
        <w:rPr>
          <w:rtl/>
        </w:rPr>
        <w:t xml:space="preserve">ترى أن الوقائع المعروضة عليها تكشف عن انتهاك الدولة الطرف للمادتين </w:t>
      </w:r>
      <w:r w:rsidRPr="008D799D">
        <w:rPr>
          <w:rtl/>
        </w:rPr>
        <w:t>9</w:t>
      </w:r>
      <w:r w:rsidRPr="008E3E68">
        <w:rPr>
          <w:rFonts w:ascii="Traditional Arabic"/>
          <w:rtl/>
        </w:rPr>
        <w:t>(</w:t>
      </w:r>
      <w:r w:rsidRPr="008D799D">
        <w:rPr>
          <w:rtl/>
        </w:rPr>
        <w:t>1</w:t>
      </w:r>
      <w:r w:rsidRPr="008E3E68">
        <w:rPr>
          <w:rFonts w:ascii="Traditional Arabic"/>
          <w:rtl/>
        </w:rPr>
        <w:t>)</w:t>
      </w:r>
      <w:r w:rsidRPr="008E3E68">
        <w:rPr>
          <w:rtl/>
        </w:rPr>
        <w:t xml:space="preserve"> و</w:t>
      </w:r>
      <w:r w:rsidRPr="008D799D">
        <w:rPr>
          <w:rtl/>
        </w:rPr>
        <w:t>18</w:t>
      </w:r>
      <w:r w:rsidRPr="008E3E68">
        <w:rPr>
          <w:rtl/>
        </w:rPr>
        <w:t xml:space="preserve"> من العهد. </w:t>
      </w:r>
    </w:p>
    <w:p w14:paraId="0E80C38C" w14:textId="4EE3C437" w:rsidR="0023192C" w:rsidRPr="008E3E68" w:rsidRDefault="0023192C" w:rsidP="0023192C">
      <w:pPr>
        <w:pStyle w:val="SingleTxtGA"/>
        <w:rPr>
          <w:lang w:val="ar-SA" w:eastAsia="zh-TW" w:bidi="en-GB"/>
        </w:rPr>
      </w:pPr>
      <w:r w:rsidRPr="008D799D">
        <w:rPr>
          <w:rtl/>
        </w:rPr>
        <w:lastRenderedPageBreak/>
        <w:t>9</w:t>
      </w:r>
      <w:r w:rsidRPr="008E3E68">
        <w:rPr>
          <w:rFonts w:ascii="Traditional Arabic"/>
          <w:rtl/>
        </w:rPr>
        <w:t>-</w:t>
      </w:r>
      <w:r w:rsidRPr="008E3E68">
        <w:rPr>
          <w:rtl/>
        </w:rPr>
        <w:tab/>
      </w:r>
      <w:dir w:val="rtl">
        <w:r>
          <w:rPr>
            <w:rtl/>
          </w:rPr>
          <w:t>و</w:t>
        </w:r>
        <w:r w:rsidRPr="008E3E68">
          <w:rPr>
            <w:rtl/>
          </w:rPr>
          <w:t xml:space="preserve">وفقاً لأحكام الفقرة </w:t>
        </w:r>
        <w:r w:rsidRPr="008D799D">
          <w:rPr>
            <w:rtl/>
          </w:rPr>
          <w:t>3</w:t>
        </w:r>
        <w:r w:rsidRPr="008E3E68">
          <w:rPr>
            <w:rFonts w:ascii="Traditional Arabic"/>
            <w:rtl/>
          </w:rPr>
          <w:t>(</w:t>
        </w:r>
        <w:r w:rsidRPr="008E3E68">
          <w:rPr>
            <w:rtl/>
          </w:rPr>
          <w:t>أ</w:t>
        </w:r>
        <w:r w:rsidRPr="008E3E68">
          <w:rPr>
            <w:rFonts w:ascii="Traditional Arabic"/>
            <w:rtl/>
          </w:rPr>
          <w:t>)</w:t>
        </w:r>
        <w:r w:rsidRPr="008E3E68">
          <w:rPr>
            <w:rtl/>
          </w:rPr>
          <w:t xml:space="preserve"> من المادة </w:t>
        </w:r>
        <w:r w:rsidRPr="008D799D">
          <w:rPr>
            <w:rtl/>
          </w:rPr>
          <w:t>2</w:t>
        </w:r>
        <w:r w:rsidRPr="008E3E68">
          <w:rPr>
            <w:rtl/>
          </w:rPr>
          <w:t xml:space="preserve"> من العهد</w:t>
        </w:r>
        <w:r w:rsidR="00FF6AD6">
          <w:rPr>
            <w:rtl/>
          </w:rPr>
          <w:t>،</w:t>
        </w:r>
        <w:r w:rsidRPr="008E3E68">
          <w:rPr>
            <w:rtl/>
          </w:rPr>
          <w:t xml:space="preserve"> فإن الدولة الطرف ملزمة بتزويد صاحب البلاغ بسبيل انتصاف فع</w:t>
        </w:r>
        <w:r>
          <w:rPr>
            <w:rtl/>
          </w:rPr>
          <w:t>ّ</w:t>
        </w:r>
        <w:r w:rsidRPr="008E3E68">
          <w:rPr>
            <w:rtl/>
          </w:rPr>
          <w:t>ال. وهذا ي</w:t>
        </w:r>
        <w:r>
          <w:rPr>
            <w:rtl/>
          </w:rPr>
          <w:t>شترط</w:t>
        </w:r>
        <w:r w:rsidR="00422D1C">
          <w:rPr>
            <w:rtl/>
          </w:rPr>
          <w:t xml:space="preserve"> </w:t>
        </w:r>
        <w:r w:rsidRPr="008E3E68">
          <w:rPr>
            <w:rtl/>
          </w:rPr>
          <w:t>قيام</w:t>
        </w:r>
        <w:r>
          <w:rPr>
            <w:rtl/>
          </w:rPr>
          <w:t>َ</w:t>
        </w:r>
        <w:r w:rsidRPr="008E3E68">
          <w:rPr>
            <w:rtl/>
          </w:rPr>
          <w:t xml:space="preserve"> الدولة الطرف بتوفير سبل الجبر </w:t>
        </w:r>
        <w:r>
          <w:rPr>
            <w:rtl/>
          </w:rPr>
          <w:t xml:space="preserve">الكامل </w:t>
        </w:r>
        <w:r w:rsidRPr="008E3E68">
          <w:rPr>
            <w:rtl/>
          </w:rPr>
          <w:t>للأفراد الذين انتُهكت حقوقهم المشمولة بالعهد. وبناءً عليه</w:t>
        </w:r>
        <w:r w:rsidR="00FF6AD6">
          <w:rPr>
            <w:rtl/>
          </w:rPr>
          <w:t>،</w:t>
        </w:r>
        <w:r w:rsidRPr="008E3E68">
          <w:rPr>
            <w:rtl/>
          </w:rPr>
          <w:t xml:space="preserve"> فإن الدولة الطرف ملزمة</w:t>
        </w:r>
        <w:r w:rsidR="00FF6AD6">
          <w:rPr>
            <w:rtl/>
          </w:rPr>
          <w:t>،</w:t>
        </w:r>
        <w:r w:rsidRPr="008E3E68">
          <w:rPr>
            <w:rtl/>
          </w:rPr>
          <w:t xml:space="preserve"> في جملة أمور</w:t>
        </w:r>
        <w:r w:rsidR="00FF6AD6">
          <w:rPr>
            <w:rtl/>
          </w:rPr>
          <w:t>،</w:t>
        </w:r>
        <w:r w:rsidRPr="008E3E68">
          <w:rPr>
            <w:rtl/>
          </w:rPr>
          <w:t xml:space="preserve"> بعدم منع صاحب البلاغ من العودة إلى الدولة الطرف إذا رغب في ذلك</w:t>
        </w:r>
        <w:r w:rsidR="00FF6AD6">
          <w:rPr>
            <w:rtl/>
          </w:rPr>
          <w:t>،</w:t>
        </w:r>
        <w:r w:rsidRPr="008E3E68">
          <w:rPr>
            <w:rtl/>
          </w:rPr>
          <w:t xml:space="preserve"> وبأن تعيد إليه الغرامة التي أُمِر بدفعها بموجب المادة </w:t>
        </w:r>
        <w:r w:rsidRPr="008D799D">
          <w:rPr>
            <w:rtl/>
          </w:rPr>
          <w:t>499</w:t>
        </w:r>
        <w:r w:rsidRPr="008E3E68">
          <w:rPr>
            <w:rFonts w:ascii="Traditional Arabic"/>
            <w:rtl/>
          </w:rPr>
          <w:t>(</w:t>
        </w:r>
        <w:r w:rsidRPr="008D799D">
          <w:rPr>
            <w:rtl/>
          </w:rPr>
          <w:t>1</w:t>
        </w:r>
        <w:r w:rsidRPr="008E3E68">
          <w:rPr>
            <w:rFonts w:ascii="Traditional Arabic"/>
            <w:rtl/>
          </w:rPr>
          <w:t>)</w:t>
        </w:r>
        <w:r w:rsidRPr="008E3E68">
          <w:rPr>
            <w:rtl/>
          </w:rPr>
          <w:t xml:space="preserve"> من قانون </w:t>
        </w:r>
        <w:r>
          <w:rPr>
            <w:rtl/>
          </w:rPr>
          <w:t xml:space="preserve">المخالفات </w:t>
        </w:r>
        <w:r w:rsidRPr="008E3E68">
          <w:rPr>
            <w:rtl/>
          </w:rPr>
          <w:t>الإدارية؛ وبأن تقدّم له تعويضاً كافياً عن الأضرار المعنوية التي لحقت به نتيجة احتجاز</w:t>
        </w:r>
        <w:r>
          <w:rPr>
            <w:rtl/>
          </w:rPr>
          <w:t>ِ</w:t>
        </w:r>
        <w:r w:rsidRPr="008E3E68">
          <w:rPr>
            <w:rtl/>
          </w:rPr>
          <w:t>ه واعتقال</w:t>
        </w:r>
        <w:r>
          <w:rPr>
            <w:rtl/>
          </w:rPr>
          <w:t>ِ</w:t>
        </w:r>
        <w:r w:rsidRPr="008E3E68">
          <w:rPr>
            <w:rtl/>
          </w:rPr>
          <w:t>ه وإدانت</w:t>
        </w:r>
        <w:r>
          <w:rPr>
            <w:rtl/>
          </w:rPr>
          <w:t>ِ</w:t>
        </w:r>
        <w:r w:rsidRPr="008E3E68">
          <w:rPr>
            <w:rtl/>
          </w:rPr>
          <w:t>ه وترحيل</w:t>
        </w:r>
        <w:r>
          <w:rPr>
            <w:rtl/>
          </w:rPr>
          <w:t>ِ</w:t>
        </w:r>
        <w:r w:rsidRPr="008E3E68">
          <w:rPr>
            <w:rtl/>
          </w:rPr>
          <w:t>ه</w:t>
        </w:r>
        <w:r w:rsidR="00FF6AD6">
          <w:rPr>
            <w:rtl/>
          </w:rPr>
          <w:t>،</w:t>
        </w:r>
        <w:r w:rsidRPr="008E3E68">
          <w:rPr>
            <w:rtl/>
          </w:rPr>
          <w:t xml:space="preserve"> فضلاً عن التعويض عن النفقات والرسوم القانونية المتكبدة في المحاكم المحلية والإجراءات المعروضة على اللجنة. </w:t>
        </w:r>
        <w:r>
          <w:rPr>
            <w:rtl/>
          </w:rPr>
          <w:t>و</w:t>
        </w:r>
        <w:r w:rsidRPr="008E3E68">
          <w:rPr>
            <w:rtl/>
          </w:rPr>
          <w:t>الدولة الطرف ملزمة</w:t>
        </w:r>
        <w:r>
          <w:rPr>
            <w:rtl/>
          </w:rPr>
          <w:t xml:space="preserve"> أيضاً</w:t>
        </w:r>
        <w:r w:rsidRPr="008E3E68">
          <w:rPr>
            <w:rtl/>
          </w:rPr>
          <w:t xml:space="preserve"> باتخاذ جميع الخطوات اللازمة لمنع</w:t>
        </w:r>
        <w:r>
          <w:rPr>
            <w:rtl/>
          </w:rPr>
          <w:t>ِ</w:t>
        </w:r>
        <w:r w:rsidRPr="008E3E68">
          <w:rPr>
            <w:rtl/>
          </w:rPr>
          <w:t xml:space="preserve"> حدوث</w:t>
        </w:r>
        <w:r>
          <w:rPr>
            <w:rtl/>
          </w:rPr>
          <w:t>ِ</w:t>
        </w:r>
        <w:r w:rsidRPr="008E3E68">
          <w:rPr>
            <w:rtl/>
          </w:rPr>
          <w:t xml:space="preserve"> انتهاكات</w:t>
        </w:r>
        <w:r>
          <w:rPr>
            <w:rtl/>
          </w:rPr>
          <w:t>ٍ</w:t>
        </w:r>
        <w:r w:rsidRPr="008E3E68">
          <w:rPr>
            <w:rtl/>
          </w:rPr>
          <w:t xml:space="preserve"> مماثلة في المستقبل. </w:t>
        </w:r>
        <w:r w:rsidRPr="008E3E68">
          <w:t>‬</w:t>
        </w:r>
        <w:r>
          <w:t>‬</w:t>
        </w:r>
        <w:r>
          <w:t>‬</w:t>
        </w:r>
        <w:r>
          <w:t>‬</w:t>
        </w:r>
        <w:r>
          <w:t>‬</w:t>
        </w:r>
        <w:r>
          <w:t>‬</w:t>
        </w:r>
        <w:r>
          <w:t>‬</w:t>
        </w:r>
        <w:r>
          <w:t>‬</w:t>
        </w:r>
        <w:r>
          <w:t>‬</w:t>
        </w:r>
        <w:r>
          <w:t>‬</w:t>
        </w:r>
        <w:r w:rsidR="00A1023D">
          <w:t>‬</w:t>
        </w:r>
        <w:r w:rsidR="004552F1">
          <w:t>‬</w:t>
        </w:r>
        <w:r w:rsidR="004552F1">
          <w:t>‬</w:t>
        </w:r>
      </w:dir>
    </w:p>
    <w:p w14:paraId="7CDA979D" w14:textId="5CAA914B" w:rsidR="0023192C" w:rsidRPr="008E3E68" w:rsidRDefault="0023192C" w:rsidP="0023192C">
      <w:pPr>
        <w:pStyle w:val="SingleTxtGA"/>
        <w:rPr>
          <w:lang w:val="ar-SA" w:eastAsia="zh-TW" w:bidi="en-GB"/>
        </w:rPr>
      </w:pPr>
      <w:r w:rsidRPr="008D799D">
        <w:rPr>
          <w:rtl/>
        </w:rPr>
        <w:t>10</w:t>
      </w:r>
      <w:r w:rsidRPr="008E3E68">
        <w:rPr>
          <w:rFonts w:ascii="Traditional Arabic"/>
          <w:rtl/>
        </w:rPr>
        <w:t>-</w:t>
      </w:r>
      <w:r w:rsidRPr="008E3E68">
        <w:rPr>
          <w:rtl/>
        </w:rPr>
        <w:tab/>
        <w:t>وإذ تضع</w:t>
      </w:r>
      <w:r>
        <w:rPr>
          <w:rtl/>
        </w:rPr>
        <w:t>ُ</w:t>
      </w:r>
      <w:r w:rsidRPr="008E3E68">
        <w:rPr>
          <w:rtl/>
        </w:rPr>
        <w:t xml:space="preserve"> اللجنة في اعتبار</w:t>
      </w:r>
      <w:r>
        <w:rPr>
          <w:rtl/>
        </w:rPr>
        <w:t>ِ</w:t>
      </w:r>
      <w:r w:rsidRPr="008E3E68">
        <w:rPr>
          <w:rtl/>
        </w:rPr>
        <w:t>ها أن</w:t>
      </w:r>
      <w:r>
        <w:rPr>
          <w:rtl/>
        </w:rPr>
        <w:t>ّ</w:t>
      </w:r>
      <w:r w:rsidRPr="008E3E68">
        <w:rPr>
          <w:rtl/>
        </w:rPr>
        <w:t xml:space="preserve"> الدولة الطرف قد اعترفت</w:t>
      </w:r>
      <w:r w:rsidR="00FF6AD6">
        <w:rPr>
          <w:rtl/>
        </w:rPr>
        <w:t>،</w:t>
      </w:r>
      <w:r w:rsidRPr="008E3E68">
        <w:rPr>
          <w:rtl/>
        </w:rPr>
        <w:t xml:space="preserve"> بانضمامها إلى البروتوكول الاختياري</w:t>
      </w:r>
      <w:r w:rsidR="00FF6AD6">
        <w:rPr>
          <w:rtl/>
        </w:rPr>
        <w:t>،</w:t>
      </w:r>
      <w:r w:rsidRPr="008E3E68">
        <w:rPr>
          <w:rtl/>
        </w:rPr>
        <w:t xml:space="preserve"> باختصاص اللجنة في البتّ في مسألة حدوث انتهاك</w:t>
      </w:r>
      <w:r>
        <w:rPr>
          <w:rtl/>
        </w:rPr>
        <w:t>ٍ</w:t>
      </w:r>
      <w:r w:rsidRPr="008E3E68">
        <w:rPr>
          <w:rtl/>
        </w:rPr>
        <w:t xml:space="preserve"> لأحكام العهد من عدمه</w:t>
      </w:r>
      <w:r w:rsidR="00FF6AD6">
        <w:rPr>
          <w:rtl/>
        </w:rPr>
        <w:t>،</w:t>
      </w:r>
      <w:r w:rsidRPr="008E3E68">
        <w:rPr>
          <w:rtl/>
        </w:rPr>
        <w:t xml:space="preserve"> وأنها تعهدت</w:t>
      </w:r>
      <w:r w:rsidR="00FF6AD6">
        <w:rPr>
          <w:rtl/>
        </w:rPr>
        <w:t>،</w:t>
      </w:r>
      <w:r w:rsidRPr="008E3E68">
        <w:rPr>
          <w:rtl/>
        </w:rPr>
        <w:t xml:space="preserve"> عملاً بالمادة </w:t>
      </w:r>
      <w:r w:rsidRPr="008D799D">
        <w:rPr>
          <w:rtl/>
        </w:rPr>
        <w:t>2</w:t>
      </w:r>
      <w:r w:rsidRPr="008E3E68">
        <w:rPr>
          <w:rtl/>
        </w:rPr>
        <w:t xml:space="preserve"> منه</w:t>
      </w:r>
      <w:r w:rsidR="00FF6AD6">
        <w:rPr>
          <w:rtl/>
        </w:rPr>
        <w:t>،</w:t>
      </w:r>
      <w:r w:rsidRPr="008E3E68">
        <w:rPr>
          <w:rtl/>
        </w:rPr>
        <w:t xml:space="preserve"> بأن تكفل</w:t>
      </w:r>
      <w:r>
        <w:rPr>
          <w:rtl/>
        </w:rPr>
        <w:t>َ</w:t>
      </w:r>
      <w:r w:rsidRPr="008E3E68">
        <w:rPr>
          <w:rtl/>
        </w:rPr>
        <w:t xml:space="preserve"> تمت</w:t>
      </w:r>
      <w:r>
        <w:rPr>
          <w:rtl/>
        </w:rPr>
        <w:t>ّ</w:t>
      </w:r>
      <w:r w:rsidRPr="008E3E68">
        <w:rPr>
          <w:rtl/>
        </w:rPr>
        <w:t>ع</w:t>
      </w:r>
      <w:r>
        <w:rPr>
          <w:rtl/>
        </w:rPr>
        <w:t>َ</w:t>
      </w:r>
      <w:r w:rsidRPr="008E3E68">
        <w:rPr>
          <w:rtl/>
        </w:rPr>
        <w:t xml:space="preserve"> جميع الأفراد داخل</w:t>
      </w:r>
      <w:r>
        <w:rPr>
          <w:rtl/>
        </w:rPr>
        <w:t>َ</w:t>
      </w:r>
      <w:r w:rsidRPr="008E3E68">
        <w:rPr>
          <w:rtl/>
        </w:rPr>
        <w:t xml:space="preserve"> إقليمها والخاضعين لولايتها بالحقوق</w:t>
      </w:r>
      <w:r>
        <w:rPr>
          <w:rtl/>
        </w:rPr>
        <w:t>ِ</w:t>
      </w:r>
      <w:r w:rsidRPr="008E3E68">
        <w:rPr>
          <w:rtl/>
        </w:rPr>
        <w:t xml:space="preserve"> المعترف بها في العهد</w:t>
      </w:r>
      <w:r w:rsidR="00FF6AD6">
        <w:rPr>
          <w:rtl/>
        </w:rPr>
        <w:t>،</w:t>
      </w:r>
      <w:r w:rsidRPr="008E3E68">
        <w:rPr>
          <w:rtl/>
        </w:rPr>
        <w:t xml:space="preserve"> و</w:t>
      </w:r>
      <w:r>
        <w:rPr>
          <w:rtl/>
        </w:rPr>
        <w:t xml:space="preserve">بأن </w:t>
      </w:r>
      <w:r w:rsidRPr="008E3E68">
        <w:rPr>
          <w:rtl/>
        </w:rPr>
        <w:t>توف</w:t>
      </w:r>
      <w:r>
        <w:rPr>
          <w:rtl/>
        </w:rPr>
        <w:t>ّ</w:t>
      </w:r>
      <w:r w:rsidRPr="008E3E68">
        <w:rPr>
          <w:rtl/>
        </w:rPr>
        <w:t>ر لهم سبل انتصاف</w:t>
      </w:r>
      <w:r>
        <w:rPr>
          <w:rtl/>
        </w:rPr>
        <w:t>ٍ</w:t>
      </w:r>
      <w:r w:rsidRPr="008E3E68">
        <w:rPr>
          <w:rtl/>
        </w:rPr>
        <w:t xml:space="preserve"> فع</w:t>
      </w:r>
      <w:r>
        <w:rPr>
          <w:rtl/>
        </w:rPr>
        <w:t>ّ</w:t>
      </w:r>
      <w:r w:rsidRPr="008E3E68">
        <w:rPr>
          <w:rtl/>
        </w:rPr>
        <w:t>الة متى ثب</w:t>
      </w:r>
      <w:r>
        <w:rPr>
          <w:rtl/>
        </w:rPr>
        <w:t>ُ</w:t>
      </w:r>
      <w:r w:rsidRPr="008E3E68">
        <w:rPr>
          <w:rtl/>
        </w:rPr>
        <w:t>ت وقوع</w:t>
      </w:r>
      <w:r>
        <w:rPr>
          <w:rtl/>
        </w:rPr>
        <w:t>ُ</w:t>
      </w:r>
      <w:r w:rsidRPr="008E3E68">
        <w:rPr>
          <w:rtl/>
        </w:rPr>
        <w:t xml:space="preserve"> انتهاك</w:t>
      </w:r>
      <w:r w:rsidR="00FF6AD6">
        <w:rPr>
          <w:rtl/>
        </w:rPr>
        <w:t>،</w:t>
      </w:r>
      <w:r w:rsidRPr="008E3E68">
        <w:rPr>
          <w:rtl/>
        </w:rPr>
        <w:t xml:space="preserve"> تودّ أن تتلقى من الدولة الطرف</w:t>
      </w:r>
      <w:r w:rsidR="00FF6AD6">
        <w:rPr>
          <w:rtl/>
        </w:rPr>
        <w:t>،</w:t>
      </w:r>
      <w:r w:rsidRPr="008E3E68">
        <w:rPr>
          <w:rtl/>
        </w:rPr>
        <w:t xml:space="preserve"> في غضون </w:t>
      </w:r>
      <w:r w:rsidRPr="008D799D">
        <w:rPr>
          <w:rtl/>
        </w:rPr>
        <w:t>180</w:t>
      </w:r>
      <w:r w:rsidRPr="008E3E68">
        <w:rPr>
          <w:rtl/>
        </w:rPr>
        <w:t xml:space="preserve"> يوماً</w:t>
      </w:r>
      <w:r w:rsidR="00FF6AD6">
        <w:rPr>
          <w:rtl/>
        </w:rPr>
        <w:t>،</w:t>
      </w:r>
      <w:r w:rsidRPr="008E3E68">
        <w:rPr>
          <w:rtl/>
        </w:rPr>
        <w:t xml:space="preserve"> معلومات عن التدابير المتخذة لإنفاذ آراء اللجنة. وتطلب اللجنة إلى الدولة الطرف أيضاً أن تنشر هذه الآراء وتعمّمها على نطاق واسع بجميع اللغات الرسمية للدولة الطرف.</w:t>
      </w:r>
    </w:p>
    <w:p w14:paraId="56EC7422" w14:textId="77777777" w:rsidR="000C033F" w:rsidRPr="008D799D" w:rsidRDefault="000C033F" w:rsidP="0023192C">
      <w:pPr>
        <w:pStyle w:val="HChGA"/>
        <w:rPr>
          <w:rtl/>
        </w:rPr>
        <w:sectPr w:rsidR="000C033F" w:rsidRPr="008D799D" w:rsidSect="00FF7D66">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418" w:right="1134" w:bottom="1134" w:left="1134" w:header="851" w:footer="567" w:gutter="0"/>
          <w:cols w:space="720"/>
          <w:titlePg/>
          <w:bidi/>
          <w:docGrid w:linePitch="360"/>
        </w:sectPr>
      </w:pPr>
    </w:p>
    <w:p w14:paraId="68F7665B" w14:textId="52198AA6" w:rsidR="0023192C" w:rsidRPr="008D799D" w:rsidRDefault="0023192C" w:rsidP="00D30F1E">
      <w:pPr>
        <w:pStyle w:val="HChGA"/>
        <w:spacing w:before="0"/>
        <w:rPr>
          <w:lang w:val="en-US" w:eastAsia="zh-TW" w:bidi="en-GB"/>
        </w:rPr>
      </w:pPr>
      <w:r w:rsidRPr="008D799D">
        <w:rPr>
          <w:rtl/>
        </w:rPr>
        <w:lastRenderedPageBreak/>
        <w:t>المرفق الأول</w:t>
      </w:r>
    </w:p>
    <w:p w14:paraId="761EA8DE" w14:textId="7DDAE895" w:rsidR="0023192C" w:rsidRPr="008D799D" w:rsidRDefault="0023192C" w:rsidP="0023192C">
      <w:pPr>
        <w:pStyle w:val="HChGA"/>
        <w:rPr>
          <w:rFonts w:asciiTheme="minorHAnsi" w:hAnsiTheme="minorHAnsi"/>
          <w:spacing w:val="4"/>
          <w:lang w:val="en-US" w:eastAsia="zh-TW" w:bidi="en-GB"/>
        </w:rPr>
      </w:pPr>
      <w:r w:rsidRPr="008D799D">
        <w:rPr>
          <w:rtl/>
        </w:rPr>
        <w:tab/>
      </w:r>
      <w:r w:rsidRPr="008D799D">
        <w:rPr>
          <w:rFonts w:ascii="Times New Roman Bold" w:hAnsi="Times New Roman Bold"/>
          <w:spacing w:val="4"/>
          <w:rtl/>
        </w:rPr>
        <w:tab/>
        <w:t>رأيٌ مشترك لعضوَي اللجنة إيميرو تامرات ييغيزو وجنتيان زيبيري (مخالف</w:t>
      </w:r>
      <w:r w:rsidR="008862FE" w:rsidRPr="008D799D">
        <w:rPr>
          <w:rFonts w:ascii="Times New Roman Bold" w:hAnsi="Times New Roman Bold" w:hint="cs"/>
          <w:spacing w:val="4"/>
          <w:rtl/>
        </w:rPr>
        <w:t xml:space="preserve"> </w:t>
      </w:r>
      <w:r w:rsidRPr="008D799D">
        <w:rPr>
          <w:rFonts w:ascii="Times New Roman Bold" w:hAnsi="Times New Roman Bold"/>
          <w:spacing w:val="4"/>
          <w:rtl/>
        </w:rPr>
        <w:t>جزئياً)</w:t>
      </w:r>
    </w:p>
    <w:p w14:paraId="11413780" w14:textId="1449EC28" w:rsidR="0023192C" w:rsidRPr="008E3E68" w:rsidRDefault="0023192C" w:rsidP="0023192C">
      <w:pPr>
        <w:pStyle w:val="SingleTxtGA"/>
        <w:rPr>
          <w:lang w:val="ar-SA" w:eastAsia="zh-TW" w:bidi="en-GB"/>
        </w:rPr>
      </w:pPr>
      <w:r w:rsidRPr="008D799D">
        <w:rPr>
          <w:rtl/>
        </w:rPr>
        <w:t>1</w:t>
      </w:r>
      <w:r w:rsidRPr="008E3E68">
        <w:rPr>
          <w:rFonts w:ascii="Traditional Arabic"/>
          <w:rtl/>
        </w:rPr>
        <w:t>-</w:t>
      </w:r>
      <w:r w:rsidRPr="008E3E68">
        <w:rPr>
          <w:rtl/>
        </w:rPr>
        <w:tab/>
        <w:t>نحن متفق</w:t>
      </w:r>
      <w:r>
        <w:rPr>
          <w:rtl/>
        </w:rPr>
        <w:t>ا</w:t>
      </w:r>
      <w:r w:rsidRPr="008E3E68">
        <w:rPr>
          <w:rtl/>
        </w:rPr>
        <w:t xml:space="preserve">ن مع رأي اللجنة في هذه القضية. </w:t>
      </w:r>
      <w:r>
        <w:rPr>
          <w:rtl/>
        </w:rPr>
        <w:t>و</w:t>
      </w:r>
      <w:r w:rsidRPr="008E3E68">
        <w:rPr>
          <w:rtl/>
        </w:rPr>
        <w:t xml:space="preserve">لا </w:t>
      </w:r>
      <w:r>
        <w:rPr>
          <w:rtl/>
        </w:rPr>
        <w:t>ي</w:t>
      </w:r>
      <w:r w:rsidRPr="008E3E68">
        <w:rPr>
          <w:rtl/>
        </w:rPr>
        <w:t xml:space="preserve">تعلق </w:t>
      </w:r>
      <w:r>
        <w:rPr>
          <w:rtl/>
        </w:rPr>
        <w:t>اعتراضنا</w:t>
      </w:r>
      <w:r w:rsidR="00A1023D">
        <w:rPr>
          <w:rFonts w:hint="cs"/>
          <w:rtl/>
        </w:rPr>
        <w:t xml:space="preserve"> </w:t>
      </w:r>
      <w:r w:rsidRPr="008E3E68">
        <w:rPr>
          <w:rtl/>
        </w:rPr>
        <w:t>إلا بجزء</w:t>
      </w:r>
      <w:r>
        <w:rPr>
          <w:rtl/>
        </w:rPr>
        <w:t>ٍ</w:t>
      </w:r>
      <w:r w:rsidRPr="008E3E68">
        <w:rPr>
          <w:rtl/>
        </w:rPr>
        <w:t xml:space="preserve"> من س</w:t>
      </w:r>
      <w:r>
        <w:rPr>
          <w:rtl/>
        </w:rPr>
        <w:t>ُ</w:t>
      </w:r>
      <w:r w:rsidRPr="008E3E68">
        <w:rPr>
          <w:rtl/>
        </w:rPr>
        <w:t>بل</w:t>
      </w:r>
      <w:r>
        <w:rPr>
          <w:rtl/>
        </w:rPr>
        <w:t>ِ</w:t>
      </w:r>
      <w:r w:rsidRPr="008E3E68">
        <w:rPr>
          <w:rtl/>
        </w:rPr>
        <w:t xml:space="preserve"> الانتصاف</w:t>
      </w:r>
      <w:r w:rsidR="00FF6AD6">
        <w:rPr>
          <w:rtl/>
        </w:rPr>
        <w:t>،</w:t>
      </w:r>
      <w:r w:rsidRPr="008E3E68">
        <w:rPr>
          <w:rtl/>
        </w:rPr>
        <w:t xml:space="preserve"> حيث تجاوزت اللجنة ما يمكن أن تشير</w:t>
      </w:r>
      <w:r>
        <w:rPr>
          <w:rtl/>
        </w:rPr>
        <w:t>َ</w:t>
      </w:r>
      <w:r w:rsidRPr="008E3E68">
        <w:rPr>
          <w:rtl/>
        </w:rPr>
        <w:t xml:space="preserve"> إليه كسبيل للانتصاف</w:t>
      </w:r>
      <w:r w:rsidR="00FF6AD6">
        <w:rPr>
          <w:rtl/>
        </w:rPr>
        <w:t>،</w:t>
      </w:r>
      <w:r w:rsidRPr="008E3E68">
        <w:rPr>
          <w:rtl/>
        </w:rPr>
        <w:t xml:space="preserve"> في غياب استنتاجٍ بوقوع انتهاك بموجب العهد. و</w:t>
      </w:r>
      <w:r>
        <w:rPr>
          <w:rtl/>
        </w:rPr>
        <w:t xml:space="preserve">عليه </w:t>
      </w:r>
      <w:r w:rsidR="00FF6AD6">
        <w:rPr>
          <w:rtl/>
        </w:rPr>
        <w:t>،</w:t>
      </w:r>
      <w:r w:rsidRPr="008E3E68">
        <w:rPr>
          <w:rtl/>
        </w:rPr>
        <w:t xml:space="preserve"> أشارت اللجنة في الفقرة </w:t>
      </w:r>
      <w:r w:rsidRPr="008D799D">
        <w:rPr>
          <w:rtl/>
        </w:rPr>
        <w:t>9</w:t>
      </w:r>
      <w:r w:rsidRPr="008E3E68">
        <w:rPr>
          <w:rtl/>
        </w:rPr>
        <w:t xml:space="preserve"> إلى أن "الدولة الطرف ملزمة</w:t>
      </w:r>
      <w:r w:rsidR="00FF6AD6">
        <w:rPr>
          <w:rtl/>
        </w:rPr>
        <w:t>،</w:t>
      </w:r>
      <w:r w:rsidRPr="008E3E68">
        <w:rPr>
          <w:rtl/>
        </w:rPr>
        <w:t xml:space="preserve"> في جملة أمور</w:t>
      </w:r>
      <w:r w:rsidR="00FF6AD6">
        <w:rPr>
          <w:rtl/>
        </w:rPr>
        <w:t>،</w:t>
      </w:r>
      <w:r w:rsidRPr="008E3E68">
        <w:rPr>
          <w:rtl/>
        </w:rPr>
        <w:t xml:space="preserve"> بعدم منع عودة صاحب البلاغ إلى الدولة الطرف إذا رغب في ذلك". </w:t>
      </w:r>
      <w:r>
        <w:rPr>
          <w:rtl/>
        </w:rPr>
        <w:t>و</w:t>
      </w:r>
      <w:r w:rsidRPr="008E3E68">
        <w:rPr>
          <w:rtl/>
        </w:rPr>
        <w:t>هذا لا ينبع</w:t>
      </w:r>
      <w:r>
        <w:rPr>
          <w:rtl/>
        </w:rPr>
        <w:t>ُ</w:t>
      </w:r>
      <w:r w:rsidRPr="008E3E68">
        <w:rPr>
          <w:rtl/>
        </w:rPr>
        <w:t xml:space="preserve"> من الاستنتاج السابق الذي توصلت اليه اللجنة</w:t>
      </w:r>
      <w:r w:rsidR="00FF6AD6">
        <w:rPr>
          <w:rtl/>
        </w:rPr>
        <w:t>،</w:t>
      </w:r>
      <w:r w:rsidRPr="008E3E68">
        <w:rPr>
          <w:rtl/>
        </w:rPr>
        <w:t xml:space="preserve"> إذ تبيّن لها في الفقرة </w:t>
      </w:r>
      <w:r w:rsidRPr="008D799D">
        <w:rPr>
          <w:rtl/>
        </w:rPr>
        <w:t>8</w:t>
      </w:r>
      <w:r w:rsidRPr="008E3E68">
        <w:rPr>
          <w:rtl/>
        </w:rPr>
        <w:t xml:space="preserve"> أن</w:t>
      </w:r>
      <w:r>
        <w:rPr>
          <w:rtl/>
        </w:rPr>
        <w:t xml:space="preserve">ّ </w:t>
      </w:r>
      <w:r w:rsidRPr="008E3E68">
        <w:rPr>
          <w:rtl/>
        </w:rPr>
        <w:t>الوقائع المعروضة عليها تكشف عن انتهاك الدولة الطرف للمادتين</w:t>
      </w:r>
      <w:r w:rsidRPr="008D799D">
        <w:rPr>
          <w:rtl/>
        </w:rPr>
        <w:t>9</w:t>
      </w:r>
      <w:r w:rsidRPr="008E3E68">
        <w:rPr>
          <w:rFonts w:ascii="Traditional Arabic"/>
          <w:rtl/>
        </w:rPr>
        <w:t>(</w:t>
      </w:r>
      <w:r w:rsidRPr="008D799D">
        <w:rPr>
          <w:rtl/>
        </w:rPr>
        <w:t>1</w:t>
      </w:r>
      <w:r w:rsidRPr="008E3E68">
        <w:rPr>
          <w:rFonts w:ascii="Traditional Arabic"/>
          <w:rtl/>
        </w:rPr>
        <w:t>)</w:t>
      </w:r>
      <w:r w:rsidRPr="008E3E68">
        <w:rPr>
          <w:rtl/>
        </w:rPr>
        <w:t xml:space="preserve"> و</w:t>
      </w:r>
      <w:r w:rsidRPr="008D799D">
        <w:rPr>
          <w:rtl/>
        </w:rPr>
        <w:t>18</w:t>
      </w:r>
      <w:r w:rsidRPr="008E3E68">
        <w:rPr>
          <w:rtl/>
        </w:rPr>
        <w:t xml:space="preserve"> من العهد. ولم يُعثر في هذه القضية على أي انتهاك للمادة </w:t>
      </w:r>
      <w:r w:rsidRPr="008D799D">
        <w:rPr>
          <w:rtl/>
        </w:rPr>
        <w:t>13</w:t>
      </w:r>
      <w:r w:rsidRPr="008E3E68">
        <w:rPr>
          <w:rtl/>
        </w:rPr>
        <w:t>.</w:t>
      </w:r>
    </w:p>
    <w:p w14:paraId="0DFADDE1" w14:textId="1D828B68" w:rsidR="0023192C" w:rsidRPr="00516CDF" w:rsidRDefault="0023192C" w:rsidP="0023192C">
      <w:pPr>
        <w:pStyle w:val="SingleTxtGA"/>
        <w:rPr>
          <w:lang w:val="en-US" w:eastAsia="zh-TW" w:bidi="en-GB"/>
        </w:rPr>
      </w:pPr>
      <w:r w:rsidRPr="008D799D">
        <w:rPr>
          <w:rtl/>
        </w:rPr>
        <w:t>2</w:t>
      </w:r>
      <w:r w:rsidRPr="008E3E68">
        <w:rPr>
          <w:rFonts w:ascii="Traditional Arabic"/>
          <w:rtl/>
        </w:rPr>
        <w:t>-</w:t>
      </w:r>
      <w:r w:rsidRPr="008E3E68">
        <w:rPr>
          <w:rtl/>
        </w:rPr>
        <w:tab/>
        <w:t>في العادة</w:t>
      </w:r>
      <w:r w:rsidR="00FF6AD6">
        <w:rPr>
          <w:rtl/>
        </w:rPr>
        <w:t>،</w:t>
      </w:r>
      <w:r w:rsidRPr="008E3E68">
        <w:rPr>
          <w:rtl/>
        </w:rPr>
        <w:t xml:space="preserve"> تنصّ </w:t>
      </w:r>
      <w:r>
        <w:rPr>
          <w:rtl/>
        </w:rPr>
        <w:t>ال</w:t>
      </w:r>
      <w:r w:rsidRPr="008E3E68">
        <w:rPr>
          <w:rtl/>
        </w:rPr>
        <w:t>فقرة</w:t>
      </w:r>
      <w:r>
        <w:rPr>
          <w:rtl/>
        </w:rPr>
        <w:t xml:space="preserve"> النموذجية المتعلقة بسبيل</w:t>
      </w:r>
      <w:r w:rsidRPr="008E3E68">
        <w:rPr>
          <w:rtl/>
        </w:rPr>
        <w:t xml:space="preserve"> الانتصاف الصادرة عن اللجنة على ما يلي: </w:t>
      </w:r>
      <w:r>
        <w:rPr>
          <w:rtl/>
        </w:rPr>
        <w:t>"</w:t>
      </w:r>
      <w:r w:rsidRPr="008E3E68">
        <w:rPr>
          <w:rtl/>
        </w:rPr>
        <w:t>الدولة الطرف م</w:t>
      </w:r>
      <w:r>
        <w:rPr>
          <w:rtl/>
        </w:rPr>
        <w:t>ُ</w:t>
      </w:r>
      <w:r w:rsidRPr="008E3E68">
        <w:rPr>
          <w:rtl/>
        </w:rPr>
        <w:t>لزمة</w:t>
      </w:r>
      <w:r w:rsidR="00FF6AD6">
        <w:rPr>
          <w:rtl/>
        </w:rPr>
        <w:t>،</w:t>
      </w:r>
      <w:r w:rsidRPr="008E3E68">
        <w:rPr>
          <w:rtl/>
        </w:rPr>
        <w:t xml:space="preserve"> عملاً بالفقرة </w:t>
      </w:r>
      <w:r w:rsidRPr="008D799D">
        <w:rPr>
          <w:rtl/>
        </w:rPr>
        <w:t>3</w:t>
      </w:r>
      <w:r w:rsidRPr="008E3E68">
        <w:rPr>
          <w:rFonts w:ascii="Traditional Arabic"/>
          <w:rtl/>
        </w:rPr>
        <w:t>(</w:t>
      </w:r>
      <w:r w:rsidRPr="008E3E68">
        <w:rPr>
          <w:rtl/>
        </w:rPr>
        <w:t>أ</w:t>
      </w:r>
      <w:r w:rsidRPr="008E3E68">
        <w:rPr>
          <w:rFonts w:ascii="Traditional Arabic"/>
          <w:rtl/>
        </w:rPr>
        <w:t>)</w:t>
      </w:r>
      <w:r w:rsidRPr="008E3E68">
        <w:rPr>
          <w:rtl/>
        </w:rPr>
        <w:t xml:space="preserve"> من المادة </w:t>
      </w:r>
      <w:r w:rsidRPr="008D799D">
        <w:rPr>
          <w:rtl/>
        </w:rPr>
        <w:t>2</w:t>
      </w:r>
      <w:r w:rsidRPr="008E3E68">
        <w:rPr>
          <w:rtl/>
        </w:rPr>
        <w:t xml:space="preserve"> من العهد</w:t>
      </w:r>
      <w:r w:rsidR="00FF6AD6">
        <w:rPr>
          <w:rtl/>
        </w:rPr>
        <w:t>،</w:t>
      </w:r>
      <w:r w:rsidRPr="008E3E68">
        <w:rPr>
          <w:rtl/>
        </w:rPr>
        <w:t xml:space="preserve"> بتوفير سبيل انتصاف فعّال لأصحاب البلاغات. </w:t>
      </w:r>
      <w:r>
        <w:rPr>
          <w:rtl/>
        </w:rPr>
        <w:t xml:space="preserve">ويقتضي منها ذلك </w:t>
      </w:r>
      <w:r w:rsidRPr="008E3E68">
        <w:rPr>
          <w:rtl/>
        </w:rPr>
        <w:t>جبر الضرر جبراً كاملاً للأفراد الذين انتُهكت حقوقهم المشمولة بالعهد". وتدل</w:t>
      </w:r>
      <w:r>
        <w:rPr>
          <w:rtl/>
        </w:rPr>
        <w:t>ّ</w:t>
      </w:r>
      <w:r w:rsidRPr="008E3E68">
        <w:rPr>
          <w:rtl/>
        </w:rPr>
        <w:t xml:space="preserve"> هذه الصياغة على أنّ استنتاج حدوث انتهاك والانتصاف المشار إليه يرتبطان ارتباطاً وثيقاً</w:t>
      </w:r>
      <w:r w:rsidR="00FF6AD6">
        <w:rPr>
          <w:rtl/>
        </w:rPr>
        <w:t>،</w:t>
      </w:r>
      <w:r w:rsidRPr="008E3E68">
        <w:rPr>
          <w:rtl/>
        </w:rPr>
        <w:t xml:space="preserve"> لأن القصد من الانتصاف الذي أشارت إليه اللجنة هو معالجة الانتهاك. </w:t>
      </w:r>
    </w:p>
    <w:p w14:paraId="6C1EB2F0" w14:textId="5EF1D7FA" w:rsidR="0023192C" w:rsidRPr="008E3E68" w:rsidRDefault="0023192C" w:rsidP="0023192C">
      <w:pPr>
        <w:pStyle w:val="SingleTxtGA"/>
        <w:rPr>
          <w:lang w:val="ar-SA" w:eastAsia="zh-TW" w:bidi="en-GB"/>
        </w:rPr>
      </w:pPr>
      <w:r w:rsidRPr="008D799D">
        <w:rPr>
          <w:rtl/>
        </w:rPr>
        <w:t>3</w:t>
      </w:r>
      <w:r w:rsidRPr="008E3E68">
        <w:rPr>
          <w:rFonts w:ascii="Traditional Arabic"/>
          <w:rtl/>
        </w:rPr>
        <w:t>-</w:t>
      </w:r>
      <w:r w:rsidRPr="008E3E68">
        <w:rPr>
          <w:rtl/>
        </w:rPr>
        <w:tab/>
        <w:t>تناولت اللجنة مسألة سبل الانتصاف والجبر في مبادئها التوجيهية المتعلّقة بتدابير الجبر</w:t>
      </w:r>
      <w:r w:rsidR="00FF6AD6">
        <w:rPr>
          <w:rtl/>
        </w:rPr>
        <w:t>(</w:t>
      </w:r>
      <w:r w:rsidR="008D799D" w:rsidRPr="008D799D">
        <w:rPr>
          <w:rFonts w:ascii="Simplified Arabic" w:hAnsi="Simplified Arabic"/>
          <w:lang w:val="en-US"/>
        </w:rPr>
        <w:footnoteReference w:id="20"/>
      </w:r>
      <w:r w:rsidR="00FF6AD6">
        <w:rPr>
          <w:rtl/>
        </w:rPr>
        <w:t>)</w:t>
      </w:r>
      <w:r w:rsidRPr="008E3E68">
        <w:rPr>
          <w:rtl/>
        </w:rPr>
        <w:t xml:space="preserve">. وفي عام </w:t>
      </w:r>
      <w:r w:rsidRPr="008D799D">
        <w:rPr>
          <w:rtl/>
        </w:rPr>
        <w:t>2005</w:t>
      </w:r>
      <w:r w:rsidR="00FF6AD6">
        <w:rPr>
          <w:rtl/>
        </w:rPr>
        <w:t>،</w:t>
      </w:r>
      <w:r w:rsidRPr="008E3E68">
        <w:rPr>
          <w:rtl/>
        </w:rPr>
        <w:t xml:space="preserve"> أعطت </w:t>
      </w:r>
      <w:r w:rsidRPr="008E3E68">
        <w:rPr>
          <w:rtl/>
        </w:rPr>
        <w:lastRenderedPageBreak/>
        <w:t xml:space="preserve">الجمعية العامة توجيهاً مهمّاً من خلال المبادئ الأساسية والمبادئ التوجيهية بشأن الحق في الانتصاف والجبر لضحايا الانتهاكات الجسيمة للقانون الدولي لحقوق الإنسان والانتهاكات الخطيرة للقانون الإنساني الدولي. وفي الفقرة </w:t>
      </w:r>
      <w:r w:rsidRPr="008D799D">
        <w:rPr>
          <w:rtl/>
        </w:rPr>
        <w:t>15</w:t>
      </w:r>
      <w:r w:rsidRPr="008E3E68">
        <w:rPr>
          <w:rtl/>
        </w:rPr>
        <w:t xml:space="preserve"> من المبادئ الأساسية والمبادئ التوجيهية</w:t>
      </w:r>
      <w:r w:rsidR="00FF6AD6">
        <w:rPr>
          <w:rtl/>
        </w:rPr>
        <w:t>،</w:t>
      </w:r>
      <w:r w:rsidRPr="008E3E68">
        <w:rPr>
          <w:rtl/>
        </w:rPr>
        <w:t xml:space="preserve"> تشير الجمعية العامة </w:t>
      </w:r>
      <w:r>
        <w:rPr>
          <w:rtl/>
        </w:rPr>
        <w:t>إ</w:t>
      </w:r>
      <w:r w:rsidRPr="008E3E68">
        <w:rPr>
          <w:rtl/>
        </w:rPr>
        <w:t>لى ما يلي: "توفّر الدولة</w:t>
      </w:r>
      <w:r w:rsidR="00FF6AD6">
        <w:rPr>
          <w:rtl/>
        </w:rPr>
        <w:t>،</w:t>
      </w:r>
      <w:r w:rsidRPr="008E3E68">
        <w:rPr>
          <w:rtl/>
        </w:rPr>
        <w:t xml:space="preserve"> وفقاً لقوانينها المحلية والتزاماتها القانونية الدولية</w:t>
      </w:r>
      <w:r w:rsidR="00FF6AD6">
        <w:rPr>
          <w:rtl/>
        </w:rPr>
        <w:t>،</w:t>
      </w:r>
      <w:r w:rsidRPr="008E3E68">
        <w:rPr>
          <w:rtl/>
        </w:rPr>
        <w:t xml:space="preserve"> الجبر</w:t>
      </w:r>
      <w:r>
        <w:rPr>
          <w:rtl/>
        </w:rPr>
        <w:t>َ</w:t>
      </w:r>
      <w:r w:rsidRPr="008E3E68">
        <w:rPr>
          <w:rtl/>
        </w:rPr>
        <w:t xml:space="preserve"> لضحايا ما تقوم </w:t>
      </w:r>
      <w:r w:rsidRPr="008D799D">
        <w:rPr>
          <w:spacing w:val="-2"/>
          <w:rtl/>
        </w:rPr>
        <w:t>به أو تمتنع عنه من أفعال تشكّل انتهاكات جسيمة للقانون الدولي لحقوق الإنسان وانتهاكات خطيرة للقانون</w:t>
      </w:r>
      <w:r w:rsidRPr="008E3E68">
        <w:rPr>
          <w:rtl/>
        </w:rPr>
        <w:t xml:space="preserve"> الإنساني الدولي</w:t>
      </w:r>
      <w:r>
        <w:rPr>
          <w:rtl/>
        </w:rPr>
        <w:t>"</w:t>
      </w:r>
      <w:r w:rsidRPr="008E3E68">
        <w:rPr>
          <w:rtl/>
        </w:rPr>
        <w:t xml:space="preserve">. </w:t>
      </w:r>
      <w:r>
        <w:rPr>
          <w:rtl/>
        </w:rPr>
        <w:t>و</w:t>
      </w:r>
      <w:r w:rsidRPr="008E3E68">
        <w:rPr>
          <w:rtl/>
        </w:rPr>
        <w:t>يرتبط شكل الجبر ارتباطاً وثيقاً بانتهاك الدولة لالتزاماتها بموجب القانون الدولي</w:t>
      </w:r>
      <w:r w:rsidR="00FF6AD6">
        <w:rPr>
          <w:rtl/>
        </w:rPr>
        <w:t>،</w:t>
      </w:r>
      <w:r w:rsidRPr="008E3E68">
        <w:rPr>
          <w:rtl/>
        </w:rPr>
        <w:t xml:space="preserve"> ويهدف إلى توفير معالجة ملائمة </w:t>
      </w:r>
      <w:r>
        <w:rPr>
          <w:rtl/>
        </w:rPr>
        <w:t xml:space="preserve">لاستنتاجِ </w:t>
      </w:r>
      <w:r w:rsidRPr="008E3E68">
        <w:rPr>
          <w:rtl/>
        </w:rPr>
        <w:t>الآلية القضائية التي رُفعت اليها الشكوى</w:t>
      </w:r>
      <w:r>
        <w:rPr>
          <w:rtl/>
        </w:rPr>
        <w:t xml:space="preserve"> بحدوثِ انتهاك</w:t>
      </w:r>
      <w:r w:rsidRPr="008E3E68">
        <w:rPr>
          <w:rtl/>
        </w:rPr>
        <w:t xml:space="preserve">. </w:t>
      </w:r>
    </w:p>
    <w:p w14:paraId="70C395D9" w14:textId="54F125F0" w:rsidR="0023192C" w:rsidRPr="00422D1C" w:rsidRDefault="0023192C" w:rsidP="0023192C">
      <w:pPr>
        <w:pStyle w:val="SingleTxtGA"/>
        <w:rPr>
          <w:lang w:val="en-US" w:eastAsia="zh-TW" w:bidi="en-GB"/>
        </w:rPr>
      </w:pPr>
      <w:r w:rsidRPr="008D799D">
        <w:rPr>
          <w:rtl/>
        </w:rPr>
        <w:t>4</w:t>
      </w:r>
      <w:r w:rsidRPr="008E3E68">
        <w:rPr>
          <w:rFonts w:ascii="Traditional Arabic"/>
          <w:rtl/>
        </w:rPr>
        <w:t>-</w:t>
      </w:r>
      <w:r w:rsidRPr="008E3E68">
        <w:rPr>
          <w:rtl/>
        </w:rPr>
        <w:tab/>
      </w:r>
      <w:r>
        <w:rPr>
          <w:rtl/>
        </w:rPr>
        <w:t>و</w:t>
      </w:r>
      <w:r w:rsidRPr="008E3E68">
        <w:rPr>
          <w:rtl/>
        </w:rPr>
        <w:t>في حين أن</w:t>
      </w:r>
      <w:r>
        <w:rPr>
          <w:rtl/>
        </w:rPr>
        <w:t>ّ</w:t>
      </w:r>
      <w:r w:rsidRPr="008E3E68">
        <w:rPr>
          <w:rtl/>
        </w:rPr>
        <w:t xml:space="preserve"> صاحب البلاغ طلب من الدولة الطرف</w:t>
      </w:r>
      <w:r>
        <w:rPr>
          <w:rtl/>
        </w:rPr>
        <w:t xml:space="preserve"> كسبيل انتصاف</w:t>
      </w:r>
      <w:r w:rsidRPr="008E3E68">
        <w:rPr>
          <w:rtl/>
        </w:rPr>
        <w:t xml:space="preserve"> أن "تلغي جميع الجزاءات </w:t>
      </w:r>
      <w:r w:rsidRPr="00422D1C">
        <w:rPr>
          <w:spacing w:val="-4"/>
          <w:rtl/>
        </w:rPr>
        <w:t>الإدارية أو القضائية السلبية ضده التي من شأنها أن تمنعه من الدخول بحرّية إلى طاجيكستان" (الفقرة</w:t>
      </w:r>
      <w:r w:rsidR="00422D1C" w:rsidRPr="00422D1C">
        <w:rPr>
          <w:rFonts w:hint="cs"/>
          <w:spacing w:val="-4"/>
          <w:rtl/>
        </w:rPr>
        <w:t> </w:t>
      </w:r>
      <w:r w:rsidRPr="008D799D">
        <w:rPr>
          <w:spacing w:val="-4"/>
          <w:rtl/>
        </w:rPr>
        <w:t>3</w:t>
      </w:r>
      <w:r w:rsidRPr="00422D1C">
        <w:rPr>
          <w:rFonts w:ascii="Traditional Arabic"/>
          <w:spacing w:val="-4"/>
          <w:rtl/>
        </w:rPr>
        <w:t>-</w:t>
      </w:r>
      <w:r w:rsidRPr="008D799D">
        <w:rPr>
          <w:spacing w:val="-4"/>
          <w:rtl/>
        </w:rPr>
        <w:t>4</w:t>
      </w:r>
      <w:r w:rsidRPr="00422D1C">
        <w:rPr>
          <w:rFonts w:ascii="Traditional Arabic"/>
          <w:spacing w:val="-4"/>
          <w:rtl/>
        </w:rPr>
        <w:t>)</w:t>
      </w:r>
      <w:r w:rsidR="00FF6AD6" w:rsidRPr="00422D1C">
        <w:rPr>
          <w:spacing w:val="-4"/>
          <w:rtl/>
        </w:rPr>
        <w:t>،</w:t>
      </w:r>
      <w:r w:rsidRPr="008E3E68">
        <w:rPr>
          <w:rtl/>
        </w:rPr>
        <w:t xml:space="preserve"> قررت اللجنة ألا تنظر بشكل منفصل في ادعاءات صاحب البلاغ بموجب المادة </w:t>
      </w:r>
      <w:r w:rsidRPr="008D799D">
        <w:rPr>
          <w:rtl/>
        </w:rPr>
        <w:t>13</w:t>
      </w:r>
      <w:r w:rsidR="00FF6AD6">
        <w:rPr>
          <w:rtl/>
        </w:rPr>
        <w:t>،</w:t>
      </w:r>
      <w:r w:rsidRPr="008E3E68">
        <w:rPr>
          <w:rtl/>
        </w:rPr>
        <w:t xml:space="preserve"> مقروءة</w:t>
      </w:r>
      <w:r>
        <w:rPr>
          <w:rtl/>
        </w:rPr>
        <w:t xml:space="preserve"> على حدة</w:t>
      </w:r>
      <w:r w:rsidRPr="008E3E68">
        <w:rPr>
          <w:rtl/>
        </w:rPr>
        <w:t xml:space="preserve"> وبال</w:t>
      </w:r>
      <w:r>
        <w:rPr>
          <w:rtl/>
        </w:rPr>
        <w:t>اقتران</w:t>
      </w:r>
      <w:r w:rsidR="00422D1C">
        <w:rPr>
          <w:rtl/>
        </w:rPr>
        <w:t xml:space="preserve"> </w:t>
      </w:r>
      <w:r w:rsidRPr="008E3E68">
        <w:rPr>
          <w:rtl/>
        </w:rPr>
        <w:t xml:space="preserve">مع المادة </w:t>
      </w:r>
      <w:r w:rsidRPr="008D799D">
        <w:rPr>
          <w:rtl/>
        </w:rPr>
        <w:t>12</w:t>
      </w:r>
      <w:r w:rsidRPr="008E3E68">
        <w:rPr>
          <w:rFonts w:ascii="Traditional Arabic"/>
          <w:rtl/>
        </w:rPr>
        <w:t xml:space="preserve"> (</w:t>
      </w:r>
      <w:r w:rsidRPr="008E3E68">
        <w:rPr>
          <w:rtl/>
        </w:rPr>
        <w:t xml:space="preserve">الفقرة </w:t>
      </w:r>
      <w:r w:rsidRPr="008D799D">
        <w:rPr>
          <w:rtl/>
        </w:rPr>
        <w:t>7</w:t>
      </w:r>
      <w:r>
        <w:rPr>
          <w:rFonts w:ascii="Traditional Arabic"/>
          <w:rtl/>
        </w:rPr>
        <w:t>-</w:t>
      </w:r>
      <w:r w:rsidRPr="008D799D">
        <w:rPr>
          <w:rtl/>
        </w:rPr>
        <w:t>10</w:t>
      </w:r>
      <w:r w:rsidRPr="008E3E68">
        <w:rPr>
          <w:rFonts w:ascii="Traditional Arabic"/>
          <w:rtl/>
        </w:rPr>
        <w:t>).</w:t>
      </w:r>
      <w:r w:rsidRPr="008E3E68">
        <w:rPr>
          <w:rtl/>
        </w:rPr>
        <w:t xml:space="preserve"> </w:t>
      </w:r>
    </w:p>
    <w:p w14:paraId="2BA8E128" w14:textId="07944E00" w:rsidR="000C5688" w:rsidRDefault="0023192C" w:rsidP="00087CCD">
      <w:pPr>
        <w:pStyle w:val="SingleTxtGA"/>
        <w:rPr>
          <w:rtl/>
        </w:rPr>
        <w:sectPr w:rsidR="000C5688" w:rsidSect="000C033F">
          <w:footnotePr>
            <w:numRestart w:val="eachSect"/>
          </w:footnotePr>
          <w:endnotePr>
            <w:numFmt w:val="decimal"/>
          </w:endnotePr>
          <w:pgSz w:w="11907" w:h="16840" w:code="9"/>
          <w:pgMar w:top="1418" w:right="1134" w:bottom="1134" w:left="1134" w:header="851" w:footer="567" w:gutter="0"/>
          <w:cols w:space="720"/>
          <w:bidi/>
          <w:docGrid w:linePitch="360"/>
        </w:sectPr>
      </w:pPr>
      <w:r w:rsidRPr="008D799D">
        <w:rPr>
          <w:rtl/>
        </w:rPr>
        <w:t>5</w:t>
      </w:r>
      <w:r w:rsidRPr="008E3E68">
        <w:rPr>
          <w:rFonts w:ascii="Traditional Arabic"/>
          <w:rtl/>
        </w:rPr>
        <w:t>-</w:t>
      </w:r>
      <w:r w:rsidRPr="008E3E68">
        <w:rPr>
          <w:rtl/>
        </w:rPr>
        <w:tab/>
      </w:r>
      <w:r>
        <w:rPr>
          <w:rtl/>
        </w:rPr>
        <w:t>و</w:t>
      </w:r>
      <w:r w:rsidRPr="008E3E68">
        <w:rPr>
          <w:rtl/>
        </w:rPr>
        <w:t>لذلك</w:t>
      </w:r>
      <w:r w:rsidR="00FF6AD6">
        <w:rPr>
          <w:rtl/>
        </w:rPr>
        <w:t>،</w:t>
      </w:r>
      <w:r w:rsidRPr="008E3E68">
        <w:rPr>
          <w:rtl/>
        </w:rPr>
        <w:t xml:space="preserve"> بعد أن قررت اللجنة</w:t>
      </w:r>
      <w:r>
        <w:rPr>
          <w:rtl/>
        </w:rPr>
        <w:t>ُ</w:t>
      </w:r>
      <w:r w:rsidRPr="008E3E68">
        <w:rPr>
          <w:rtl/>
        </w:rPr>
        <w:t xml:space="preserve"> عدم</w:t>
      </w:r>
      <w:r>
        <w:rPr>
          <w:rtl/>
        </w:rPr>
        <w:t>َ</w:t>
      </w:r>
      <w:r w:rsidRPr="008E3E68">
        <w:rPr>
          <w:rtl/>
        </w:rPr>
        <w:t xml:space="preserve"> تناول</w:t>
      </w:r>
      <w:r>
        <w:rPr>
          <w:rtl/>
        </w:rPr>
        <w:t>ِ</w:t>
      </w:r>
      <w:r w:rsidRPr="008E3E68">
        <w:rPr>
          <w:rtl/>
        </w:rPr>
        <w:t xml:space="preserve"> المادة </w:t>
      </w:r>
      <w:r w:rsidRPr="008D799D">
        <w:rPr>
          <w:rtl/>
        </w:rPr>
        <w:t>13</w:t>
      </w:r>
      <w:r w:rsidRPr="008E3E68">
        <w:rPr>
          <w:rtl/>
        </w:rPr>
        <w:t xml:space="preserve"> التي تتعلق بحق الأجنبي في الإقامة</w:t>
      </w:r>
      <w:r>
        <w:rPr>
          <w:rtl/>
        </w:rPr>
        <w:t>ِ</w:t>
      </w:r>
      <w:r w:rsidRPr="008E3E68">
        <w:rPr>
          <w:rtl/>
        </w:rPr>
        <w:t xml:space="preserve"> القانونية في إقليم دولة</w:t>
      </w:r>
      <w:r>
        <w:rPr>
          <w:rtl/>
        </w:rPr>
        <w:t>ٍ</w:t>
      </w:r>
      <w:r w:rsidRPr="008E3E68">
        <w:rPr>
          <w:rtl/>
        </w:rPr>
        <w:t xml:space="preserve"> طرف في العهد</w:t>
      </w:r>
      <w:r w:rsidR="00FF6AD6">
        <w:rPr>
          <w:rtl/>
        </w:rPr>
        <w:t>،</w:t>
      </w:r>
      <w:r w:rsidRPr="008E3E68">
        <w:rPr>
          <w:rtl/>
        </w:rPr>
        <w:t xml:space="preserve"> فإنه</w:t>
      </w:r>
      <w:r>
        <w:rPr>
          <w:rtl/>
        </w:rPr>
        <w:t xml:space="preserve"> لا يمكنها</w:t>
      </w:r>
      <w:r w:rsidRPr="008E3E68">
        <w:rPr>
          <w:rtl/>
        </w:rPr>
        <w:t xml:space="preserve"> أن تشير إلى أنه لا ينبغي للدولة الطرف أن تمنع عودة صاحب البلاغ إلى أراضيها إذا رغب في العودة. ولا يمكن الاستنتاج بأن هذا الحق في العودة بحرية إلى إقليم دولة</w:t>
      </w:r>
      <w:r>
        <w:rPr>
          <w:rtl/>
        </w:rPr>
        <w:t>ٍ</w:t>
      </w:r>
      <w:r w:rsidRPr="008E3E68">
        <w:rPr>
          <w:rtl/>
        </w:rPr>
        <w:t xml:space="preserve"> طرف في العهد يندرج</w:t>
      </w:r>
      <w:r>
        <w:rPr>
          <w:rtl/>
        </w:rPr>
        <w:t>ُ</w:t>
      </w:r>
      <w:r w:rsidRPr="008E3E68">
        <w:rPr>
          <w:rtl/>
        </w:rPr>
        <w:t xml:space="preserve"> </w:t>
      </w:r>
      <w:r>
        <w:rPr>
          <w:rtl/>
        </w:rPr>
        <w:t xml:space="preserve">ضمن </w:t>
      </w:r>
      <w:r w:rsidRPr="008E3E68">
        <w:rPr>
          <w:rtl/>
        </w:rPr>
        <w:t xml:space="preserve">المادة </w:t>
      </w:r>
      <w:r w:rsidRPr="008D799D">
        <w:rPr>
          <w:rtl/>
        </w:rPr>
        <w:t>18</w:t>
      </w:r>
      <w:r w:rsidR="00FF6AD6">
        <w:rPr>
          <w:rtl/>
        </w:rPr>
        <w:t>،</w:t>
      </w:r>
      <w:r w:rsidRPr="008E3E68">
        <w:rPr>
          <w:rtl/>
        </w:rPr>
        <w:t xml:space="preserve"> </w:t>
      </w:r>
      <w:r>
        <w:rPr>
          <w:rtl/>
        </w:rPr>
        <w:t xml:space="preserve">من </w:t>
      </w:r>
      <w:r w:rsidRPr="008E3E68">
        <w:rPr>
          <w:rtl/>
        </w:rPr>
        <w:t>دون مزيد من المعلومات.</w:t>
      </w:r>
    </w:p>
    <w:p w14:paraId="54D8452C" w14:textId="59BC662E" w:rsidR="0023192C" w:rsidRPr="008D799D" w:rsidRDefault="0023192C" w:rsidP="008862FE">
      <w:pPr>
        <w:pStyle w:val="HChGA"/>
        <w:spacing w:before="0"/>
        <w:rPr>
          <w:lang w:val="en-US" w:eastAsia="zh-TW" w:bidi="en-GB"/>
        </w:rPr>
      </w:pPr>
      <w:r w:rsidRPr="008D799D">
        <w:rPr>
          <w:rtl/>
        </w:rPr>
        <w:lastRenderedPageBreak/>
        <w:t>المرفق الثاني</w:t>
      </w:r>
    </w:p>
    <w:p w14:paraId="07E28D18" w14:textId="60A2E1FE" w:rsidR="0023192C" w:rsidRPr="008D799D" w:rsidRDefault="0023192C" w:rsidP="0023192C">
      <w:pPr>
        <w:pStyle w:val="HChGA"/>
        <w:rPr>
          <w:lang w:val="ar-SA" w:eastAsia="zh-TW" w:bidi="en-GB"/>
        </w:rPr>
      </w:pPr>
      <w:r w:rsidRPr="008D799D">
        <w:rPr>
          <w:rtl/>
        </w:rPr>
        <w:tab/>
      </w:r>
      <w:r w:rsidRPr="008D799D">
        <w:rPr>
          <w:rtl/>
        </w:rPr>
        <w:tab/>
        <w:t>رأيٌ فردي لعضو اللجنة فاسيلكا سانسين (مخالِف جزئياً)</w:t>
      </w:r>
    </w:p>
    <w:p w14:paraId="194B789C" w14:textId="21E6EE3B" w:rsidR="0023192C" w:rsidRPr="008E3E68" w:rsidRDefault="0023192C" w:rsidP="0023192C">
      <w:pPr>
        <w:pStyle w:val="SingleTxtGA"/>
        <w:rPr>
          <w:lang w:val="ar-SA" w:eastAsia="zh-TW" w:bidi="en-GB"/>
        </w:rPr>
      </w:pPr>
      <w:r w:rsidRPr="008D799D">
        <w:rPr>
          <w:rtl/>
        </w:rPr>
        <w:t>1</w:t>
      </w:r>
      <w:r w:rsidRPr="008E3E68">
        <w:rPr>
          <w:rFonts w:ascii="Traditional Arabic"/>
          <w:rtl/>
        </w:rPr>
        <w:t>-</w:t>
      </w:r>
      <w:r w:rsidRPr="008E3E68">
        <w:rPr>
          <w:rtl/>
        </w:rPr>
        <w:tab/>
        <w:t>أشاطر</w:t>
      </w:r>
      <w:r>
        <w:rPr>
          <w:rtl/>
        </w:rPr>
        <w:t>ُ</w:t>
      </w:r>
      <w:r w:rsidRPr="008E3E68">
        <w:rPr>
          <w:rtl/>
        </w:rPr>
        <w:t xml:space="preserve"> اللجنة </w:t>
      </w:r>
      <w:r>
        <w:rPr>
          <w:rtl/>
        </w:rPr>
        <w:t xml:space="preserve">بالكامل </w:t>
      </w:r>
      <w:r w:rsidRPr="008E3E68">
        <w:rPr>
          <w:rtl/>
        </w:rPr>
        <w:t>استنتاج</w:t>
      </w:r>
      <w:r>
        <w:rPr>
          <w:rtl/>
        </w:rPr>
        <w:t>َ</w:t>
      </w:r>
      <w:r w:rsidRPr="008E3E68">
        <w:rPr>
          <w:rtl/>
        </w:rPr>
        <w:t xml:space="preserve">ها بأنّ </w:t>
      </w:r>
      <w:r>
        <w:rPr>
          <w:rtl/>
        </w:rPr>
        <w:t>حقوق صاحب البلاغ قد</w:t>
      </w:r>
      <w:r w:rsidR="008862FE">
        <w:rPr>
          <w:rFonts w:hint="cs"/>
          <w:rtl/>
        </w:rPr>
        <w:t xml:space="preserve"> </w:t>
      </w:r>
      <w:r w:rsidRPr="008E3E68">
        <w:rPr>
          <w:rtl/>
        </w:rPr>
        <w:t>انت</w:t>
      </w:r>
      <w:r>
        <w:rPr>
          <w:rtl/>
        </w:rPr>
        <w:t>ُ</w:t>
      </w:r>
      <w:r w:rsidRPr="008E3E68">
        <w:rPr>
          <w:rtl/>
        </w:rPr>
        <w:t xml:space="preserve">هكت بموجب المادتين </w:t>
      </w:r>
      <w:r w:rsidRPr="008D799D">
        <w:rPr>
          <w:rtl/>
        </w:rPr>
        <w:t>9</w:t>
      </w:r>
      <w:r w:rsidRPr="008E3E68">
        <w:rPr>
          <w:rFonts w:ascii="Traditional Arabic"/>
          <w:rtl/>
        </w:rPr>
        <w:t>(</w:t>
      </w:r>
      <w:r w:rsidRPr="008D799D">
        <w:rPr>
          <w:rtl/>
        </w:rPr>
        <w:t>1</w:t>
      </w:r>
      <w:r w:rsidRPr="008E3E68">
        <w:rPr>
          <w:rFonts w:ascii="Traditional Arabic"/>
          <w:rtl/>
        </w:rPr>
        <w:t>)</w:t>
      </w:r>
      <w:r w:rsidRPr="008E3E68">
        <w:rPr>
          <w:rtl/>
        </w:rPr>
        <w:t xml:space="preserve"> و</w:t>
      </w:r>
      <w:r w:rsidRPr="008D799D">
        <w:rPr>
          <w:rtl/>
        </w:rPr>
        <w:t>18</w:t>
      </w:r>
      <w:r w:rsidRPr="008E3E68">
        <w:rPr>
          <w:rtl/>
        </w:rPr>
        <w:t xml:space="preserve"> من العهد.</w:t>
      </w:r>
      <w:r w:rsidR="00FF6AD6" w:rsidRPr="008E3E68">
        <w:rPr>
          <w:rtl/>
        </w:rPr>
        <w:t xml:space="preserve"> </w:t>
      </w:r>
      <w:r w:rsidR="00FF6AD6">
        <w:rPr>
          <w:rtl/>
        </w:rPr>
        <w:t>و</w:t>
      </w:r>
      <w:r w:rsidRPr="008E3E68">
        <w:rPr>
          <w:rtl/>
        </w:rPr>
        <w:t>يتعلّق اعتراضي</w:t>
      </w:r>
      <w:r>
        <w:rPr>
          <w:rtl/>
        </w:rPr>
        <w:t xml:space="preserve"> الجزئي</w:t>
      </w:r>
      <w:r w:rsidRPr="008E3E68">
        <w:rPr>
          <w:rtl/>
        </w:rPr>
        <w:t xml:space="preserve"> </w:t>
      </w:r>
      <w:r>
        <w:rPr>
          <w:rtl/>
        </w:rPr>
        <w:t>ببيان ال</w:t>
      </w:r>
      <w:r w:rsidRPr="008E3E68">
        <w:rPr>
          <w:rtl/>
        </w:rPr>
        <w:t xml:space="preserve">جزء </w:t>
      </w:r>
      <w:r>
        <w:rPr>
          <w:rtl/>
        </w:rPr>
        <w:t>المحدد</w:t>
      </w:r>
      <w:r w:rsidRPr="008E3E68">
        <w:rPr>
          <w:rtl/>
        </w:rPr>
        <w:t xml:space="preserve"> من فقرة الانتصاف</w:t>
      </w:r>
      <w:r w:rsidR="00FF6AD6">
        <w:rPr>
          <w:rtl/>
        </w:rPr>
        <w:t>،</w:t>
      </w:r>
      <w:r w:rsidRPr="008E3E68">
        <w:rPr>
          <w:rtl/>
        </w:rPr>
        <w:t xml:space="preserve"> أي قرار الأغلبية في الفقرة </w:t>
      </w:r>
      <w:r w:rsidRPr="008D799D">
        <w:rPr>
          <w:rtl/>
        </w:rPr>
        <w:t>9</w:t>
      </w:r>
      <w:r w:rsidRPr="008E3E68">
        <w:rPr>
          <w:rtl/>
        </w:rPr>
        <w:t xml:space="preserve"> بالإشارة إلى أن "الدولة الطرف ملزمة</w:t>
      </w:r>
      <w:r w:rsidR="00FF6AD6">
        <w:rPr>
          <w:rtl/>
        </w:rPr>
        <w:t>،</w:t>
      </w:r>
      <w:r w:rsidRPr="008E3E68">
        <w:rPr>
          <w:rtl/>
        </w:rPr>
        <w:t xml:space="preserve"> في جملة أمور</w:t>
      </w:r>
      <w:r w:rsidR="00FF6AD6">
        <w:rPr>
          <w:rtl/>
        </w:rPr>
        <w:t>،</w:t>
      </w:r>
      <w:r w:rsidRPr="008E3E68">
        <w:rPr>
          <w:rtl/>
        </w:rPr>
        <w:t xml:space="preserve"> بعدم منع عودة صاحب البلاغ إلى الدولة الطرف إذا رغب في ذلك".</w:t>
      </w:r>
    </w:p>
    <w:p w14:paraId="7F5EB68F" w14:textId="52F50C47" w:rsidR="0023192C" w:rsidRPr="008E3E68" w:rsidRDefault="0023192C" w:rsidP="0023192C">
      <w:pPr>
        <w:pStyle w:val="SingleTxtGA"/>
        <w:rPr>
          <w:lang w:val="ar-SA" w:eastAsia="zh-TW" w:bidi="en-GB"/>
        </w:rPr>
      </w:pPr>
      <w:r w:rsidRPr="008D799D">
        <w:rPr>
          <w:rtl/>
        </w:rPr>
        <w:t>2</w:t>
      </w:r>
      <w:r w:rsidRPr="008E3E68">
        <w:rPr>
          <w:rFonts w:ascii="Traditional Arabic"/>
          <w:rtl/>
        </w:rPr>
        <w:t>-</w:t>
      </w:r>
      <w:r w:rsidRPr="008E3E68">
        <w:rPr>
          <w:rtl/>
        </w:rPr>
        <w:tab/>
        <w:t>أنا لا أوافق على هذا الجزء من فقرة الانتصاف لسببين. أولاً</w:t>
      </w:r>
      <w:r w:rsidR="00FF6AD6">
        <w:rPr>
          <w:rtl/>
        </w:rPr>
        <w:t>،</w:t>
      </w:r>
      <w:r w:rsidRPr="008E3E68">
        <w:rPr>
          <w:rtl/>
        </w:rPr>
        <w:t xml:space="preserve"> وكملاحظة عامة</w:t>
      </w:r>
      <w:r w:rsidR="00FF6AD6">
        <w:rPr>
          <w:rtl/>
        </w:rPr>
        <w:t>،</w:t>
      </w:r>
      <w:r w:rsidRPr="008E3E68">
        <w:rPr>
          <w:rtl/>
        </w:rPr>
        <w:t xml:space="preserve"> أشاطر السيد زبيري والسيد يي</w:t>
      </w:r>
      <w:r>
        <w:rPr>
          <w:rtl/>
        </w:rPr>
        <w:t>غ</w:t>
      </w:r>
      <w:r w:rsidRPr="008E3E68">
        <w:rPr>
          <w:rtl/>
        </w:rPr>
        <w:t>يزو (اللذين كتبا أيضاً بشكل منفصل عن هذه النقطة) رأيهما بأن استنتاج حدوث انتهاك والانتصاف المشار إليه يرتبطان ارتباطاً وثيقاً</w:t>
      </w:r>
      <w:r w:rsidR="00FF6AD6">
        <w:rPr>
          <w:rtl/>
        </w:rPr>
        <w:t>،</w:t>
      </w:r>
      <w:r w:rsidRPr="008E3E68">
        <w:rPr>
          <w:rtl/>
        </w:rPr>
        <w:t xml:space="preserve"> لأن سبيل الانتصاف الذي أشارت إليه اللجنة يهدف إلى معالجة الانتهاك المحدد. ثانياً</w:t>
      </w:r>
      <w:r w:rsidR="00FF6AD6">
        <w:rPr>
          <w:rtl/>
        </w:rPr>
        <w:t>،</w:t>
      </w:r>
      <w:r w:rsidRPr="008E3E68">
        <w:rPr>
          <w:rtl/>
        </w:rPr>
        <w:t xml:space="preserve"> وبنفس القدر من الأهمية</w:t>
      </w:r>
      <w:r w:rsidR="00FF6AD6">
        <w:rPr>
          <w:rtl/>
        </w:rPr>
        <w:t>،</w:t>
      </w:r>
      <w:r w:rsidRPr="008E3E68">
        <w:rPr>
          <w:rtl/>
        </w:rPr>
        <w:t xml:space="preserve"> أرى أنه لا يوجد حق عام للأجنبي</w:t>
      </w:r>
      <w:r w:rsidR="00FF6AD6" w:rsidRPr="008862FE">
        <w:rPr>
          <w:rStyle w:val="FootnoteReference"/>
          <w:szCs w:val="22"/>
          <w:rtl/>
        </w:rPr>
        <w:t>(</w:t>
      </w:r>
      <w:r w:rsidR="008D799D" w:rsidRPr="008D799D">
        <w:rPr>
          <w:rStyle w:val="FootnoteReference"/>
          <w:rFonts w:ascii="Simplified Arabic" w:hAnsi="Simplified Arabic"/>
          <w:szCs w:val="22"/>
          <w:lang w:val="en-US"/>
        </w:rPr>
        <w:footnoteReference w:id="21"/>
      </w:r>
      <w:r w:rsidR="00FF6AD6" w:rsidRPr="008862FE">
        <w:rPr>
          <w:rStyle w:val="FootnoteReference"/>
          <w:szCs w:val="22"/>
          <w:rtl/>
        </w:rPr>
        <w:t>)</w:t>
      </w:r>
      <w:r w:rsidRPr="008E3E68">
        <w:rPr>
          <w:rtl/>
        </w:rPr>
        <w:t xml:space="preserve"> </w:t>
      </w:r>
      <w:r>
        <w:rPr>
          <w:rtl/>
        </w:rPr>
        <w:t>با</w:t>
      </w:r>
      <w:r w:rsidRPr="008E3E68">
        <w:rPr>
          <w:rtl/>
        </w:rPr>
        <w:t xml:space="preserve">لدخول إلى بلد آخر (ليس من مواطنيه) </w:t>
      </w:r>
      <w:r>
        <w:rPr>
          <w:rtl/>
        </w:rPr>
        <w:t>–</w:t>
      </w:r>
      <w:r w:rsidRPr="008E3E68">
        <w:rPr>
          <w:rtl/>
        </w:rPr>
        <w:t xml:space="preserve"> </w:t>
      </w:r>
      <w:r>
        <w:rPr>
          <w:rtl/>
        </w:rPr>
        <w:t xml:space="preserve">من </w:t>
      </w:r>
      <w:r w:rsidRPr="008E3E68">
        <w:rPr>
          <w:rtl/>
        </w:rPr>
        <w:t>دون الدخول في خصوصيات وضعِ طالب اللجوء</w:t>
      </w:r>
      <w:r w:rsidR="00FF6AD6">
        <w:rPr>
          <w:rtl/>
        </w:rPr>
        <w:t>،</w:t>
      </w:r>
      <w:r w:rsidRPr="008E3E68">
        <w:rPr>
          <w:rtl/>
        </w:rPr>
        <w:t xml:space="preserve"> وليس هذا ما نحن بصدده - هذا بغض النظر عن أي استنتاج مسبق بوقوع انتهاك لأي من الحقوق المنصوص عليها في العهد</w:t>
      </w:r>
      <w:r w:rsidR="00FF6AD6">
        <w:rPr>
          <w:rtl/>
        </w:rPr>
        <w:t>،</w:t>
      </w:r>
      <w:r w:rsidRPr="008E3E68">
        <w:rPr>
          <w:rtl/>
        </w:rPr>
        <w:t xml:space="preserve"> وبالتالي</w:t>
      </w:r>
      <w:r w:rsidR="00FF6AD6">
        <w:rPr>
          <w:rtl/>
        </w:rPr>
        <w:t>،</w:t>
      </w:r>
      <w:r w:rsidRPr="008E3E68">
        <w:rPr>
          <w:rtl/>
        </w:rPr>
        <w:t xml:space="preserve"> ليس من التزام</w:t>
      </w:r>
      <w:r>
        <w:rPr>
          <w:rtl/>
        </w:rPr>
        <w:t>ٍ</w:t>
      </w:r>
      <w:r w:rsidRPr="008E3E68">
        <w:rPr>
          <w:rtl/>
        </w:rPr>
        <w:t xml:space="preserve"> مفروض على الدول الأطراف بعدم منع أجنبي من دخول أراضيها</w:t>
      </w:r>
      <w:r w:rsidR="00FF6AD6">
        <w:rPr>
          <w:rtl/>
        </w:rPr>
        <w:t>،</w:t>
      </w:r>
      <w:r w:rsidRPr="008E3E68">
        <w:rPr>
          <w:rtl/>
        </w:rPr>
        <w:t xml:space="preserve"> لأن القرارات المتعلقة بقبول الأجانب في إقليم دولة ما تبقى من الصلاحيات السيادية لتلك الدولة.</w:t>
      </w:r>
    </w:p>
    <w:p w14:paraId="6F8E8D7F" w14:textId="4BCA499C" w:rsidR="0023192C" w:rsidRPr="008E3E68" w:rsidRDefault="0023192C" w:rsidP="0023192C">
      <w:pPr>
        <w:pStyle w:val="SingleTxtGA"/>
        <w:rPr>
          <w:lang w:val="ar-SA" w:eastAsia="zh-TW" w:bidi="en-GB"/>
        </w:rPr>
      </w:pPr>
      <w:r w:rsidRPr="008D799D">
        <w:rPr>
          <w:rtl/>
        </w:rPr>
        <w:lastRenderedPageBreak/>
        <w:t>3</w:t>
      </w:r>
      <w:r w:rsidRPr="008E3E68">
        <w:rPr>
          <w:rFonts w:ascii="Traditional Arabic"/>
          <w:rtl/>
        </w:rPr>
        <w:t>-</w:t>
      </w:r>
      <w:r w:rsidRPr="008E3E68">
        <w:rPr>
          <w:rtl/>
        </w:rPr>
        <w:tab/>
        <w:t>و</w:t>
      </w:r>
      <w:r>
        <w:rPr>
          <w:rtl/>
        </w:rPr>
        <w:t>هكذا</w:t>
      </w:r>
      <w:r w:rsidR="00FF6AD6">
        <w:rPr>
          <w:rtl/>
        </w:rPr>
        <w:t>،</w:t>
      </w:r>
      <w:r w:rsidRPr="008E3E68">
        <w:rPr>
          <w:rtl/>
        </w:rPr>
        <w:t xml:space="preserve"> وعلى الرغم من أن اللجنة قررت عدم النظر بشكل منفصل في مطالبات صاحب البلاغ بموجب المادة </w:t>
      </w:r>
      <w:r w:rsidRPr="008D799D">
        <w:rPr>
          <w:rtl/>
        </w:rPr>
        <w:t>13</w:t>
      </w:r>
      <w:r w:rsidR="00FF6AD6">
        <w:rPr>
          <w:rFonts w:ascii="Traditional Arabic"/>
          <w:rtl/>
        </w:rPr>
        <w:t>،</w:t>
      </w:r>
      <w:r>
        <w:rPr>
          <w:rFonts w:ascii="Traditional Arabic"/>
          <w:rtl/>
        </w:rPr>
        <w:t xml:space="preserve"> مقروءة على حدة </w:t>
      </w:r>
      <w:r w:rsidRPr="008E3E68">
        <w:rPr>
          <w:rtl/>
        </w:rPr>
        <w:t>وبال</w:t>
      </w:r>
      <w:r>
        <w:rPr>
          <w:rtl/>
        </w:rPr>
        <w:t xml:space="preserve">اقتران </w:t>
      </w:r>
      <w:r w:rsidRPr="008E3E68">
        <w:rPr>
          <w:rtl/>
        </w:rPr>
        <w:t xml:space="preserve">مع المادة </w:t>
      </w:r>
      <w:r w:rsidRPr="008D799D">
        <w:rPr>
          <w:rtl/>
        </w:rPr>
        <w:t>12</w:t>
      </w:r>
      <w:r w:rsidRPr="008E3E68">
        <w:rPr>
          <w:rFonts w:ascii="Traditional Arabic"/>
          <w:rtl/>
        </w:rPr>
        <w:t xml:space="preserve"> (</w:t>
      </w:r>
      <w:r w:rsidRPr="008E3E68">
        <w:rPr>
          <w:rtl/>
        </w:rPr>
        <w:t xml:space="preserve">الفقرة </w:t>
      </w:r>
      <w:r w:rsidRPr="008D799D">
        <w:rPr>
          <w:rtl/>
        </w:rPr>
        <w:t>7</w:t>
      </w:r>
      <w:r w:rsidRPr="008E3E68">
        <w:rPr>
          <w:rFonts w:ascii="Traditional Arabic"/>
          <w:rtl/>
        </w:rPr>
        <w:t>-</w:t>
      </w:r>
      <w:r w:rsidRPr="008D799D">
        <w:rPr>
          <w:rtl/>
        </w:rPr>
        <w:t>10</w:t>
      </w:r>
      <w:r w:rsidRPr="008E3E68">
        <w:rPr>
          <w:rFonts w:ascii="Traditional Arabic"/>
          <w:rtl/>
        </w:rPr>
        <w:t>)</w:t>
      </w:r>
      <w:r w:rsidR="00FF6AD6">
        <w:rPr>
          <w:rtl/>
        </w:rPr>
        <w:t>،</w:t>
      </w:r>
      <w:r w:rsidRPr="008E3E68">
        <w:rPr>
          <w:rtl/>
        </w:rPr>
        <w:t xml:space="preserve"> فإنني مقتنعة بأنه</w:t>
      </w:r>
      <w:r w:rsidR="00FF6AD6">
        <w:rPr>
          <w:rtl/>
        </w:rPr>
        <w:t>،</w:t>
      </w:r>
      <w:r w:rsidRPr="008E3E68">
        <w:rPr>
          <w:rtl/>
        </w:rPr>
        <w:t xml:space="preserve"> حتى لو تبيّن للجنة </w:t>
      </w:r>
      <w:r>
        <w:rPr>
          <w:rtl/>
        </w:rPr>
        <w:t xml:space="preserve">أن </w:t>
      </w:r>
      <w:r w:rsidRPr="008E3E68">
        <w:rPr>
          <w:rtl/>
        </w:rPr>
        <w:t>الانتهاك</w:t>
      </w:r>
      <w:r>
        <w:rPr>
          <w:rtl/>
        </w:rPr>
        <w:t xml:space="preserve"> حصل</w:t>
      </w:r>
      <w:r w:rsidR="00FF6AD6">
        <w:rPr>
          <w:rtl/>
        </w:rPr>
        <w:t>،</w:t>
      </w:r>
      <w:r w:rsidRPr="008E3E68">
        <w:rPr>
          <w:rtl/>
        </w:rPr>
        <w:t xml:space="preserve"> فإن سبيل الانتصاف المتمثل في رد الأجنبي إلى إقليم الدولة الطرف (الناشئ عن الالتزام المشار إليه بعدم منع عودة صاحب البلاغ) سيتجاوز نطاق الالتزامات الناشئة عن مواد العهد</w:t>
      </w:r>
      <w:r w:rsidR="00FF6AD6">
        <w:rPr>
          <w:rtl/>
        </w:rPr>
        <w:t>،</w:t>
      </w:r>
      <w:r w:rsidRPr="008E3E68">
        <w:rPr>
          <w:rtl/>
        </w:rPr>
        <w:t xml:space="preserve"> وهذا الانتصاف يتناقض في الواقع مع قواعد القانون الدولي الراسخة.</w:t>
      </w:r>
    </w:p>
    <w:p w14:paraId="4AD74396" w14:textId="56751EFC" w:rsidR="0023192C" w:rsidRPr="008E3E68" w:rsidRDefault="0023192C" w:rsidP="0023192C">
      <w:pPr>
        <w:pStyle w:val="SingleTxtGA"/>
        <w:rPr>
          <w:lang w:val="ar-SA" w:eastAsia="zh-TW" w:bidi="en-GB"/>
        </w:rPr>
      </w:pPr>
      <w:r w:rsidRPr="008D799D">
        <w:rPr>
          <w:rtl/>
        </w:rPr>
        <w:t>4</w:t>
      </w:r>
      <w:r w:rsidRPr="008E3E68">
        <w:rPr>
          <w:rFonts w:ascii="Traditional Arabic"/>
          <w:rtl/>
        </w:rPr>
        <w:t>-</w:t>
      </w:r>
      <w:r w:rsidRPr="008E3E68">
        <w:rPr>
          <w:rtl/>
        </w:rPr>
        <w:tab/>
        <w:t>ولهذه الأسباب</w:t>
      </w:r>
      <w:r w:rsidR="00FF6AD6">
        <w:rPr>
          <w:rtl/>
        </w:rPr>
        <w:t>،</w:t>
      </w:r>
      <w:r w:rsidRPr="008E3E68">
        <w:rPr>
          <w:rtl/>
        </w:rPr>
        <w:t xml:space="preserve"> فإنني مقتنعة بأن</w:t>
      </w:r>
      <w:r>
        <w:rPr>
          <w:rtl/>
        </w:rPr>
        <w:t>ه كان يُستحسن أن يركّز</w:t>
      </w:r>
      <w:r w:rsidRPr="008E3E68">
        <w:rPr>
          <w:rtl/>
        </w:rPr>
        <w:t xml:space="preserve"> القرار الصحيح للجنة بشأن فقرة الانتصاف على التعويض المناسب وإعادة الغرامة والتكاليف</w:t>
      </w:r>
      <w:r w:rsidR="00FF6AD6">
        <w:rPr>
          <w:rtl/>
        </w:rPr>
        <w:t>،</w:t>
      </w:r>
      <w:r w:rsidRPr="008E3E68">
        <w:rPr>
          <w:rtl/>
        </w:rPr>
        <w:t xml:space="preserve"> لكن مع إغفال ما أعتبر</w:t>
      </w:r>
      <w:r>
        <w:rPr>
          <w:rtl/>
        </w:rPr>
        <w:t>ُ</w:t>
      </w:r>
      <w:r w:rsidRPr="008E3E68">
        <w:rPr>
          <w:rtl/>
        </w:rPr>
        <w:t>ه إشارة خاطئة إلى "الالتزام بعدم منع عودة صاحب البلاغ إلى الدولة الطرف إذا رغب في ذلك"</w:t>
      </w:r>
    </w:p>
    <w:p w14:paraId="3F48B479" w14:textId="77777777" w:rsidR="0023192C" w:rsidRPr="008862FE" w:rsidRDefault="0023192C" w:rsidP="0023192C">
      <w:pPr>
        <w:pStyle w:val="SingleTxtG"/>
        <w:spacing w:after="0"/>
        <w:jc w:val="center"/>
        <w:rPr>
          <w:sz w:val="32"/>
          <w:szCs w:val="32"/>
          <w:u w:val="single"/>
          <w:lang w:val="en-US"/>
        </w:rPr>
      </w:pPr>
      <w:r w:rsidRPr="008E3E68">
        <w:rPr>
          <w:sz w:val="32"/>
          <w:szCs w:val="32"/>
          <w:u w:val="single"/>
        </w:rPr>
        <w:tab/>
      </w:r>
      <w:r w:rsidRPr="008E3E68">
        <w:rPr>
          <w:sz w:val="32"/>
          <w:szCs w:val="32"/>
          <w:u w:val="single"/>
        </w:rPr>
        <w:tab/>
      </w:r>
      <w:r w:rsidRPr="008E3E68">
        <w:rPr>
          <w:sz w:val="32"/>
          <w:szCs w:val="32"/>
          <w:u w:val="single"/>
        </w:rPr>
        <w:tab/>
      </w:r>
      <w:r w:rsidRPr="008E3E68">
        <w:rPr>
          <w:sz w:val="32"/>
          <w:szCs w:val="32"/>
          <w:u w:val="single"/>
        </w:rPr>
        <w:tab/>
      </w:r>
    </w:p>
    <w:sectPr w:rsidR="0023192C" w:rsidRPr="008862FE" w:rsidSect="000C033F">
      <w:footnotePr>
        <w:numRestart w:val="eachSect"/>
      </w:footnotePr>
      <w:endnotePr>
        <w:numFmt w:val="decimal"/>
      </w:endnotePr>
      <w:pgSz w:w="11907" w:h="16840" w:code="9"/>
      <w:pgMar w:top="1418" w:right="1134" w:bottom="1134" w:left="1134" w:header="851"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89CD5" w14:textId="77777777" w:rsidR="008500FF" w:rsidRPr="002901D9" w:rsidRDefault="008500FF" w:rsidP="00DC4D4B">
      <w:pPr>
        <w:spacing w:after="60" w:line="240" w:lineRule="auto"/>
        <w:ind w:left="57"/>
        <w:rPr>
          <w:i/>
          <w:iCs/>
        </w:rPr>
      </w:pPr>
      <w:r>
        <w:rPr>
          <w:rFonts w:hint="cs"/>
          <w:i/>
          <w:iCs/>
          <w:rtl/>
        </w:rPr>
        <w:t>الحواشي</w:t>
      </w:r>
    </w:p>
  </w:endnote>
  <w:endnote w:type="continuationSeparator" w:id="0">
    <w:p w14:paraId="5A98E9FB" w14:textId="77777777" w:rsidR="008500FF" w:rsidRDefault="008500F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9EB3" w14:textId="6298CE3F" w:rsidR="00B82AEE" w:rsidRPr="00B82AEE" w:rsidRDefault="00B82AEE" w:rsidP="00B82AEE">
    <w:pPr>
      <w:pStyle w:val="Footer"/>
      <w:tabs>
        <w:tab w:val="right" w:pos="9638"/>
      </w:tabs>
      <w:rPr>
        <w:b/>
        <w:sz w:val="18"/>
        <w:lang w:val="en-US"/>
      </w:rPr>
    </w:pPr>
    <w:r>
      <w:rPr>
        <w:lang w:val="en-US"/>
      </w:rPr>
      <w:t>GE.22-01046</w:t>
    </w:r>
    <w:r>
      <w:rPr>
        <w:lang w:val="en-US"/>
      </w:rPr>
      <w:tab/>
    </w:r>
    <w:r w:rsidRPr="00B82AEE">
      <w:rPr>
        <w:b/>
        <w:sz w:val="18"/>
        <w:lang w:val="en-US"/>
      </w:rPr>
      <w:fldChar w:fldCharType="begin"/>
    </w:r>
    <w:r w:rsidRPr="00B82AEE">
      <w:rPr>
        <w:b/>
        <w:sz w:val="18"/>
        <w:lang w:val="en-US"/>
      </w:rPr>
      <w:instrText xml:space="preserve"> PAGE  \* MERGEFORMAT </w:instrText>
    </w:r>
    <w:r w:rsidRPr="00B82AEE">
      <w:rPr>
        <w:b/>
        <w:sz w:val="18"/>
        <w:lang w:val="en-US"/>
      </w:rPr>
      <w:fldChar w:fldCharType="separate"/>
    </w:r>
    <w:r w:rsidRPr="00B82AEE">
      <w:rPr>
        <w:b/>
        <w:noProof/>
        <w:sz w:val="18"/>
        <w:lang w:val="en-US"/>
      </w:rPr>
      <w:t>2</w:t>
    </w:r>
    <w:r w:rsidRPr="00B82AEE">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5B1D" w14:textId="55E19408" w:rsidR="006959B0" w:rsidRPr="00B82AEE" w:rsidRDefault="00B82AEE" w:rsidP="000C5688">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GE.22-01046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2796" w14:textId="735C52AE" w:rsidR="00DE50B1" w:rsidRPr="00B82AEE" w:rsidRDefault="00B82AEE" w:rsidP="00B82AEE">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038E157D" wp14:editId="42649FF9">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22-01046 (A)</w:t>
    </w:r>
    <w:r>
      <w:rPr>
        <w:noProof/>
        <w:sz w:val="20"/>
        <w:lang w:val="en-US"/>
      </w:rPr>
      <w:drawing>
        <wp:anchor distT="0" distB="0" distL="114300" distR="114300" simplePos="0" relativeHeight="251659264" behindDoc="0" locked="0" layoutInCell="1" allowOverlap="1" wp14:anchorId="0D26C1DD" wp14:editId="38785509">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AE2E8" w14:textId="77777777" w:rsidR="008500FF" w:rsidRPr="008A49D2" w:rsidRDefault="008500FF"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6118BE11" w14:textId="77777777" w:rsidR="008500FF" w:rsidRDefault="008500FF" w:rsidP="00656392">
      <w:pPr>
        <w:spacing w:line="240" w:lineRule="auto"/>
      </w:pPr>
      <w:r>
        <w:continuationSeparator/>
      </w:r>
    </w:p>
  </w:footnote>
  <w:footnote w:id="1">
    <w:p w14:paraId="43B8364E" w14:textId="3636AF83" w:rsidR="002029C6" w:rsidRPr="008D799D" w:rsidRDefault="002029C6" w:rsidP="008D799D">
      <w:pPr>
        <w:pStyle w:val="FootnoteText1"/>
        <w:rPr>
          <w:rtl/>
        </w:rPr>
      </w:pPr>
      <w:r w:rsidRPr="008D799D">
        <w:rPr>
          <w:rtl/>
        </w:rPr>
        <w:t>*</w:t>
      </w:r>
      <w:r w:rsidRPr="008D799D">
        <w:rPr>
          <w:rtl/>
        </w:rPr>
        <w:tab/>
        <w:t>اعتمدتها اللجنة في دورتها 133 (11تشرين الأول/أكتوبر</w:t>
      </w:r>
      <w:r w:rsidRPr="008D799D">
        <w:rPr>
          <w:rFonts w:hint="cs"/>
          <w:rtl/>
        </w:rPr>
        <w:t xml:space="preserve"> </w:t>
      </w:r>
      <w:r w:rsidRPr="008D799D">
        <w:rPr>
          <w:rtl/>
        </w:rPr>
        <w:t>- 5 تشرين الثاني/نوفمبر 2021).</w:t>
      </w:r>
    </w:p>
  </w:footnote>
  <w:footnote w:id="2">
    <w:p w14:paraId="0481FB64" w14:textId="7060B575" w:rsidR="002029C6" w:rsidRPr="008D799D" w:rsidRDefault="002029C6" w:rsidP="008D799D">
      <w:pPr>
        <w:pStyle w:val="FootnoteText1"/>
        <w:rPr>
          <w:rtl/>
        </w:rPr>
      </w:pPr>
      <w:r w:rsidRPr="008D799D">
        <w:rPr>
          <w:rtl/>
        </w:rPr>
        <w:t>**</w:t>
      </w:r>
      <w:r w:rsidRPr="008D799D">
        <w:rPr>
          <w:rtl/>
        </w:rPr>
        <w:tab/>
        <w:t>شارك في دراسة هذا البلاغ أعضاءُ اللجنة التالية أسماؤهم: وفاء أشرف محرم باسم</w:t>
      </w:r>
      <w:r w:rsidR="00FF6AD6" w:rsidRPr="008D799D">
        <w:rPr>
          <w:rtl/>
        </w:rPr>
        <w:t>،</w:t>
      </w:r>
      <w:r w:rsidRPr="008D799D">
        <w:rPr>
          <w:rtl/>
        </w:rPr>
        <w:t xml:space="preserve"> وعياض بن عاشور</w:t>
      </w:r>
      <w:r w:rsidR="00FF6AD6" w:rsidRPr="008D799D">
        <w:rPr>
          <w:rtl/>
        </w:rPr>
        <w:t>،</w:t>
      </w:r>
      <w:r w:rsidRPr="008D799D">
        <w:rPr>
          <w:rtl/>
        </w:rPr>
        <w:t xml:space="preserve"> وعارف بلقان</w:t>
      </w:r>
      <w:r w:rsidR="00FF6AD6" w:rsidRPr="008D799D">
        <w:rPr>
          <w:rtl/>
        </w:rPr>
        <w:t>،</w:t>
      </w:r>
      <w:r w:rsidRPr="008D799D">
        <w:rPr>
          <w:rtl/>
        </w:rPr>
        <w:t xml:space="preserve"> والمحجوب الهيبة</w:t>
      </w:r>
      <w:r w:rsidR="00FF6AD6" w:rsidRPr="008D799D">
        <w:rPr>
          <w:rtl/>
        </w:rPr>
        <w:t>،</w:t>
      </w:r>
      <w:r w:rsidRPr="008D799D">
        <w:rPr>
          <w:rtl/>
        </w:rPr>
        <w:t xml:space="preserve"> وفورويا شويتشي</w:t>
      </w:r>
      <w:r w:rsidR="00FF6AD6" w:rsidRPr="008D799D">
        <w:rPr>
          <w:rtl/>
        </w:rPr>
        <w:t>،</w:t>
      </w:r>
      <w:r w:rsidRPr="008D799D">
        <w:rPr>
          <w:rtl/>
        </w:rPr>
        <w:t xml:space="preserve"> ومارسيا ف. ج. كران</w:t>
      </w:r>
      <w:r w:rsidR="00FF6AD6" w:rsidRPr="008D799D">
        <w:rPr>
          <w:rtl/>
        </w:rPr>
        <w:t>،</w:t>
      </w:r>
      <w:r w:rsidRPr="008D799D">
        <w:rPr>
          <w:rtl/>
        </w:rPr>
        <w:t xml:space="preserve"> وكارلوس غوميز مارتينيز</w:t>
      </w:r>
      <w:r w:rsidR="00FF6AD6" w:rsidRPr="008D799D">
        <w:rPr>
          <w:rtl/>
        </w:rPr>
        <w:t>،</w:t>
      </w:r>
      <w:r w:rsidRPr="008D799D">
        <w:rPr>
          <w:rtl/>
        </w:rPr>
        <w:t xml:space="preserve"> ودانكان لاكي موهوموزا</w:t>
      </w:r>
      <w:r w:rsidR="00FF6AD6" w:rsidRPr="008D799D">
        <w:rPr>
          <w:rtl/>
        </w:rPr>
        <w:t>،</w:t>
      </w:r>
      <w:r w:rsidRPr="008D799D">
        <w:rPr>
          <w:rtl/>
        </w:rPr>
        <w:t xml:space="preserve"> وفوتيني بازارتزيس</w:t>
      </w:r>
      <w:r w:rsidR="00FF6AD6" w:rsidRPr="008D799D">
        <w:rPr>
          <w:rtl/>
        </w:rPr>
        <w:t>،</w:t>
      </w:r>
      <w:r w:rsidRPr="008D799D">
        <w:rPr>
          <w:rtl/>
        </w:rPr>
        <w:t xml:space="preserve"> وفاسيلكا سانسين</w:t>
      </w:r>
      <w:r w:rsidR="00FF6AD6" w:rsidRPr="008D799D">
        <w:rPr>
          <w:rtl/>
        </w:rPr>
        <w:t>،</w:t>
      </w:r>
      <w:r w:rsidRPr="008D799D">
        <w:rPr>
          <w:rtl/>
        </w:rPr>
        <w:t xml:space="preserve"> وخوسيه مانويل سانتوس باييس</w:t>
      </w:r>
      <w:r w:rsidR="00FF6AD6" w:rsidRPr="008D799D">
        <w:rPr>
          <w:rtl/>
        </w:rPr>
        <w:t>،</w:t>
      </w:r>
      <w:r w:rsidRPr="008D799D">
        <w:rPr>
          <w:rtl/>
        </w:rPr>
        <w:t xml:space="preserve"> وسوه تشانغروك</w:t>
      </w:r>
      <w:r w:rsidR="00FF6AD6" w:rsidRPr="008D799D">
        <w:rPr>
          <w:rtl/>
        </w:rPr>
        <w:t>،</w:t>
      </w:r>
      <w:r w:rsidRPr="008D799D">
        <w:rPr>
          <w:rtl/>
        </w:rPr>
        <w:t xml:space="preserve"> وكوباويا تشامدجا كباتشا</w:t>
      </w:r>
      <w:r w:rsidR="00FF6AD6" w:rsidRPr="008D799D">
        <w:rPr>
          <w:rtl/>
        </w:rPr>
        <w:t>،</w:t>
      </w:r>
      <w:r w:rsidRPr="008D799D">
        <w:rPr>
          <w:rtl/>
        </w:rPr>
        <w:t xml:space="preserve"> وإيلين تيغرودجا</w:t>
      </w:r>
      <w:r w:rsidR="00FF6AD6" w:rsidRPr="008D799D">
        <w:rPr>
          <w:rtl/>
        </w:rPr>
        <w:t>،</w:t>
      </w:r>
      <w:r w:rsidRPr="008D799D">
        <w:rPr>
          <w:rtl/>
        </w:rPr>
        <w:t xml:space="preserve"> وإيميرو تامرات ييغيزو وجنتيان زيبيري.</w:t>
      </w:r>
    </w:p>
  </w:footnote>
  <w:footnote w:id="3">
    <w:p w14:paraId="32AA0DD5" w14:textId="25752AC0" w:rsidR="002029C6" w:rsidRPr="008D799D" w:rsidRDefault="002029C6" w:rsidP="008D799D">
      <w:pPr>
        <w:pStyle w:val="FootnoteText1"/>
        <w:rPr>
          <w:rtl/>
        </w:rPr>
      </w:pPr>
      <w:r w:rsidRPr="008D799D">
        <w:rPr>
          <w:rtl/>
        </w:rPr>
        <w:t>***</w:t>
      </w:r>
      <w:r w:rsidRPr="008D799D">
        <w:rPr>
          <w:rtl/>
        </w:rPr>
        <w:tab/>
        <w:t>يرد في مرفق هذه الآراء رأيٌ مشتركٌ بين العضوين في اللجنة</w:t>
      </w:r>
      <w:r w:rsidR="00FF6AD6" w:rsidRPr="008D799D">
        <w:rPr>
          <w:rtl/>
        </w:rPr>
        <w:t>،</w:t>
      </w:r>
      <w:r w:rsidRPr="008D799D">
        <w:rPr>
          <w:rtl/>
        </w:rPr>
        <w:t xml:space="preserve"> إيميرو تامرات ييغيزو وجنتيان زيبيري (مخالِف جزئياً) ورأيٌ فردي للعضوفاسيلكا سانسين (مخالِف جزئياً).</w:t>
      </w:r>
    </w:p>
  </w:footnote>
  <w:footnote w:id="4">
    <w:p w14:paraId="6EF68ED4" w14:textId="77777777" w:rsidR="008D799D" w:rsidRPr="008D799D" w:rsidRDefault="008D799D" w:rsidP="008D799D">
      <w:pPr>
        <w:pStyle w:val="HChG"/>
        <w:keepNext w:val="0"/>
        <w:keepLines w:val="0"/>
        <w:tabs>
          <w:tab w:val="clear" w:pos="851"/>
        </w:tabs>
        <w:bidi/>
        <w:spacing w:before="0" w:after="60" w:line="280" w:lineRule="exact"/>
        <w:ind w:left="1247" w:right="1247" w:hanging="567"/>
        <w:jc w:val="lowKashida"/>
        <w:rPr>
          <w:sz w:val="18"/>
          <w:szCs w:val="18"/>
          <w:lang w:val="ar-SA" w:eastAsia="zh-TW" w:bidi="en-GB"/>
        </w:rPr>
      </w:pPr>
      <w:r w:rsidRPr="008D799D">
        <w:rPr>
          <w:rStyle w:val="FootnoteReference"/>
          <w:sz w:val="18"/>
          <w:vertAlign w:val="baseline"/>
          <w:rtl/>
        </w:rPr>
        <w:t>(</w:t>
      </w:r>
      <w:r w:rsidRPr="003A28ED">
        <w:rPr>
          <w:rStyle w:val="FootnoteReference"/>
          <w:rFonts w:ascii="Simplified Arabic" w:hAnsi="Simplified Arabic"/>
          <w:b w:val="0"/>
          <w:sz w:val="18"/>
          <w:vertAlign w:val="baseline"/>
          <w:lang w:val="en-US"/>
        </w:rPr>
        <w:footnoteRef/>
      </w:r>
      <w:r w:rsidRPr="008D799D">
        <w:rPr>
          <w:rStyle w:val="FootnoteReference"/>
          <w:sz w:val="18"/>
          <w:vertAlign w:val="baseline"/>
          <w:rtl/>
        </w:rPr>
        <w:t>)</w:t>
      </w:r>
      <w:r w:rsidRPr="008D799D">
        <w:rPr>
          <w:sz w:val="18"/>
          <w:szCs w:val="18"/>
          <w:rtl/>
        </w:rPr>
        <w:tab/>
        <w:t>في 30 تشرين الأول/أكتوبر 2018، رُحّل صاحب البلاغ الى كازاخستان.</w:t>
      </w:r>
    </w:p>
  </w:footnote>
  <w:footnote w:id="5">
    <w:p w14:paraId="24F8E61D" w14:textId="77777777" w:rsidR="008D799D" w:rsidRPr="008D799D" w:rsidRDefault="008D799D" w:rsidP="008D799D">
      <w:pPr>
        <w:pStyle w:val="HChG"/>
        <w:keepNext w:val="0"/>
        <w:keepLines w:val="0"/>
        <w:tabs>
          <w:tab w:val="clear" w:pos="851"/>
        </w:tabs>
        <w:bidi/>
        <w:spacing w:before="0" w:after="60" w:line="280" w:lineRule="exact"/>
        <w:ind w:left="1247" w:right="1247" w:hanging="567"/>
        <w:jc w:val="lowKashida"/>
        <w:rPr>
          <w:sz w:val="18"/>
          <w:szCs w:val="18"/>
          <w:lang w:val="ar-SA" w:eastAsia="zh-TW" w:bidi="en-GB"/>
        </w:rPr>
      </w:pPr>
      <w:r w:rsidRPr="008D799D">
        <w:rPr>
          <w:rStyle w:val="FootnoteReference"/>
          <w:sz w:val="18"/>
          <w:vertAlign w:val="baseline"/>
          <w:rtl/>
        </w:rPr>
        <w:t>(</w:t>
      </w:r>
      <w:r w:rsidRPr="003A28ED">
        <w:rPr>
          <w:rStyle w:val="FootnoteReference"/>
          <w:rFonts w:ascii="Simplified Arabic" w:hAnsi="Simplified Arabic"/>
          <w:b w:val="0"/>
          <w:sz w:val="18"/>
          <w:vertAlign w:val="baseline"/>
          <w:lang w:val="en-US"/>
        </w:rPr>
        <w:footnoteRef/>
      </w:r>
      <w:r w:rsidRPr="008D799D">
        <w:rPr>
          <w:rStyle w:val="FootnoteReference"/>
          <w:sz w:val="18"/>
          <w:vertAlign w:val="baseline"/>
          <w:rtl/>
        </w:rPr>
        <w:t>)</w:t>
      </w:r>
      <w:r w:rsidRPr="008D799D">
        <w:rPr>
          <w:sz w:val="18"/>
          <w:szCs w:val="18"/>
          <w:rtl/>
        </w:rPr>
        <w:tab/>
        <w:t>ما يعادل حوالي 300 يورو.</w:t>
      </w:r>
    </w:p>
  </w:footnote>
  <w:footnote w:id="6">
    <w:p w14:paraId="6AA026EB" w14:textId="77777777" w:rsidR="008D799D" w:rsidRPr="008D799D" w:rsidRDefault="008D799D" w:rsidP="008D799D">
      <w:pPr>
        <w:pStyle w:val="HChG"/>
        <w:keepNext w:val="0"/>
        <w:keepLines w:val="0"/>
        <w:tabs>
          <w:tab w:val="clear" w:pos="851"/>
        </w:tabs>
        <w:bidi/>
        <w:spacing w:before="0" w:after="60" w:line="280" w:lineRule="exact"/>
        <w:ind w:left="1247" w:right="1247" w:hanging="567"/>
        <w:jc w:val="lowKashida"/>
        <w:rPr>
          <w:sz w:val="18"/>
          <w:szCs w:val="18"/>
          <w:lang w:val="ar-SA" w:eastAsia="zh-TW" w:bidi="en-GB"/>
        </w:rPr>
      </w:pPr>
      <w:r w:rsidRPr="008D799D">
        <w:rPr>
          <w:rStyle w:val="FootnoteReference"/>
          <w:sz w:val="18"/>
          <w:vertAlign w:val="baseline"/>
          <w:rtl/>
        </w:rPr>
        <w:t>(</w:t>
      </w:r>
      <w:r w:rsidRPr="003A28ED">
        <w:rPr>
          <w:rStyle w:val="FootnoteReference"/>
          <w:rFonts w:ascii="Simplified Arabic" w:hAnsi="Simplified Arabic"/>
          <w:b w:val="0"/>
          <w:sz w:val="18"/>
          <w:vertAlign w:val="baseline"/>
          <w:lang w:val="en-US"/>
        </w:rPr>
        <w:footnoteRef/>
      </w:r>
      <w:r w:rsidRPr="008D799D">
        <w:rPr>
          <w:rStyle w:val="FootnoteReference"/>
          <w:sz w:val="18"/>
          <w:vertAlign w:val="baseline"/>
          <w:rtl/>
        </w:rPr>
        <w:t>)</w:t>
      </w:r>
      <w:r w:rsidRPr="008D799D">
        <w:rPr>
          <w:sz w:val="18"/>
          <w:szCs w:val="18"/>
          <w:rtl/>
        </w:rPr>
        <w:tab/>
        <w:t xml:space="preserve">يشير صاحب البلاغ إلى الاجتهاد القضائي للجنة في قضية </w:t>
      </w:r>
      <w:r w:rsidRPr="008D799D">
        <w:rPr>
          <w:i/>
          <w:iCs/>
          <w:sz w:val="18"/>
          <w:szCs w:val="18"/>
          <w:rtl/>
        </w:rPr>
        <w:t>توريغوزينا ضد كازاخستان</w:t>
      </w:r>
      <w:r w:rsidRPr="008D799D">
        <w:rPr>
          <w:sz w:val="18"/>
          <w:szCs w:val="18"/>
          <w:rtl/>
        </w:rPr>
        <w:t xml:space="preserve"> (</w:t>
      </w:r>
      <w:hyperlink r:id="rId1" w:history="1">
        <w:r w:rsidRPr="008D799D">
          <w:rPr>
            <w:rStyle w:val="Hyperlink"/>
            <w:b w:val="0"/>
            <w:bCs/>
            <w:sz w:val="18"/>
            <w:szCs w:val="18"/>
          </w:rPr>
          <w:t>CCPR/C/112/D/2137/2012</w:t>
        </w:r>
      </w:hyperlink>
      <w:r w:rsidRPr="008D799D">
        <w:rPr>
          <w:sz w:val="18"/>
          <w:szCs w:val="18"/>
          <w:rtl/>
        </w:rPr>
        <w:t xml:space="preserve">)، والاجتهاد القضائي للمحكمة الأوروبية لحقوق الإنسان في قضية </w:t>
      </w:r>
      <w:r w:rsidRPr="008D799D">
        <w:rPr>
          <w:i/>
          <w:iCs/>
          <w:sz w:val="18"/>
          <w:szCs w:val="18"/>
          <w:rtl/>
        </w:rPr>
        <w:t>كروبكو وآخرين ضد روسيا</w:t>
      </w:r>
      <w:r w:rsidRPr="008D799D">
        <w:rPr>
          <w:sz w:val="18"/>
          <w:szCs w:val="18"/>
          <w:rtl/>
        </w:rPr>
        <w:t xml:space="preserve"> (الطلب رقم 26587)، الحكم الصادر في 26 حزيران/يونيه 2014، حيث وجدت المحكمة أنّ استجواب الشرطة لمجموعة من شهود يهوه يشكّل احتجازاً غير قانوني: "في هذه الظروف، ترى المحكمة أنها أثبتت وجود عنصر إكراه، رغم قصر مدة الاحتجاز، يدل على الحرمان من الحرية بالمعنى المقصود في المادة 5(1)".</w:t>
      </w:r>
    </w:p>
  </w:footnote>
  <w:footnote w:id="7">
    <w:p w14:paraId="755DB1BB" w14:textId="77777777" w:rsidR="008D799D" w:rsidRPr="008D799D" w:rsidRDefault="008D799D" w:rsidP="008D799D">
      <w:pPr>
        <w:pStyle w:val="HChG"/>
        <w:keepNext w:val="0"/>
        <w:keepLines w:val="0"/>
        <w:tabs>
          <w:tab w:val="clear" w:pos="851"/>
        </w:tabs>
        <w:bidi/>
        <w:spacing w:before="0" w:after="60" w:line="280" w:lineRule="exact"/>
        <w:ind w:left="1247" w:right="1247" w:hanging="567"/>
        <w:jc w:val="lowKashida"/>
        <w:rPr>
          <w:sz w:val="18"/>
          <w:szCs w:val="18"/>
          <w:lang w:val="en-US" w:eastAsia="zh-TW" w:bidi="en-GB"/>
        </w:rPr>
      </w:pPr>
      <w:r w:rsidRPr="008D799D">
        <w:rPr>
          <w:rStyle w:val="FootnoteReference"/>
          <w:sz w:val="18"/>
          <w:vertAlign w:val="baseline"/>
          <w:rtl/>
        </w:rPr>
        <w:t>(</w:t>
      </w:r>
      <w:r w:rsidRPr="003A28ED">
        <w:rPr>
          <w:rStyle w:val="FootnoteReference"/>
          <w:rFonts w:ascii="Simplified Arabic" w:hAnsi="Simplified Arabic"/>
          <w:b w:val="0"/>
          <w:sz w:val="18"/>
          <w:vertAlign w:val="baseline"/>
          <w:lang w:val="en-US"/>
        </w:rPr>
        <w:footnoteRef/>
      </w:r>
      <w:r w:rsidRPr="008D799D">
        <w:rPr>
          <w:rStyle w:val="FootnoteReference"/>
          <w:sz w:val="18"/>
          <w:vertAlign w:val="baseline"/>
          <w:rtl/>
        </w:rPr>
        <w:t>)</w:t>
      </w:r>
      <w:r w:rsidRPr="008D799D">
        <w:rPr>
          <w:sz w:val="18"/>
          <w:szCs w:val="18"/>
          <w:rtl/>
        </w:rPr>
        <w:tab/>
        <w:t xml:space="preserve">انظر </w:t>
      </w:r>
      <w:hyperlink r:id="rId2" w:history="1">
        <w:r w:rsidRPr="008D799D">
          <w:rPr>
            <w:rStyle w:val="Hyperlink"/>
            <w:b w:val="0"/>
            <w:bCs/>
            <w:sz w:val="18"/>
            <w:szCs w:val="18"/>
          </w:rPr>
          <w:t>www.jw.org/en/jehovahs-witnesses/faq/tolerant-of-other-religions</w:t>
        </w:r>
      </w:hyperlink>
      <w:r w:rsidRPr="008D799D">
        <w:rPr>
          <w:sz w:val="18"/>
          <w:szCs w:val="18"/>
          <w:rtl/>
        </w:rPr>
        <w:t>.</w:t>
      </w:r>
      <w:r w:rsidRPr="008D799D">
        <w:rPr>
          <w:sz w:val="18"/>
          <w:szCs w:val="18"/>
          <w:rtl/>
          <w:lang w:val="en-US" w:eastAsia="zh-TW"/>
        </w:rPr>
        <w:t xml:space="preserve"> </w:t>
      </w:r>
    </w:p>
  </w:footnote>
  <w:footnote w:id="8">
    <w:p w14:paraId="160EBD61" w14:textId="77777777" w:rsidR="008D799D" w:rsidRPr="008D799D" w:rsidRDefault="008D799D" w:rsidP="008D799D">
      <w:pPr>
        <w:pStyle w:val="HChG"/>
        <w:keepNext w:val="0"/>
        <w:keepLines w:val="0"/>
        <w:tabs>
          <w:tab w:val="clear" w:pos="851"/>
        </w:tabs>
        <w:bidi/>
        <w:spacing w:before="0" w:after="60" w:line="280" w:lineRule="exact"/>
        <w:ind w:left="1247" w:right="1247" w:hanging="567"/>
        <w:jc w:val="lowKashida"/>
        <w:rPr>
          <w:sz w:val="18"/>
          <w:szCs w:val="18"/>
          <w:lang w:val="ar-SA" w:eastAsia="zh-TW" w:bidi="en-GB"/>
        </w:rPr>
      </w:pPr>
      <w:r w:rsidRPr="008D799D">
        <w:rPr>
          <w:rStyle w:val="FootnoteReference"/>
          <w:sz w:val="18"/>
          <w:vertAlign w:val="baseline"/>
          <w:rtl/>
        </w:rPr>
        <w:t>(</w:t>
      </w:r>
      <w:r w:rsidRPr="003A28ED">
        <w:rPr>
          <w:rStyle w:val="FootnoteReference"/>
          <w:rFonts w:ascii="Simplified Arabic" w:hAnsi="Simplified Arabic"/>
          <w:b w:val="0"/>
          <w:sz w:val="18"/>
          <w:vertAlign w:val="baseline"/>
          <w:lang w:val="en-US"/>
        </w:rPr>
        <w:footnoteRef/>
      </w:r>
      <w:r w:rsidRPr="008D799D">
        <w:rPr>
          <w:rStyle w:val="FootnoteReference"/>
          <w:sz w:val="18"/>
          <w:vertAlign w:val="baseline"/>
          <w:rtl/>
        </w:rPr>
        <w:t>)</w:t>
      </w:r>
      <w:r w:rsidRPr="008D799D">
        <w:rPr>
          <w:sz w:val="18"/>
          <w:szCs w:val="18"/>
          <w:rtl/>
        </w:rPr>
        <w:tab/>
        <w:t>المحكمة الأوروبية لحقوق الإنسان،</w:t>
      </w:r>
      <w:r w:rsidRPr="008D799D">
        <w:rPr>
          <w:b w:val="0"/>
          <w:bCs/>
          <w:i/>
          <w:iCs/>
          <w:sz w:val="18"/>
          <w:szCs w:val="18"/>
        </w:rPr>
        <w:t>S</w:t>
      </w:r>
      <w:r w:rsidRPr="008D799D">
        <w:rPr>
          <w:rFonts w:hint="eastAsia"/>
          <w:b w:val="0"/>
          <w:bCs/>
          <w:i/>
          <w:iCs/>
          <w:sz w:val="18"/>
          <w:szCs w:val="18"/>
        </w:rPr>
        <w:t>ü</w:t>
      </w:r>
      <w:r w:rsidRPr="008D799D">
        <w:rPr>
          <w:b w:val="0"/>
          <w:bCs/>
          <w:i/>
          <w:iCs/>
          <w:sz w:val="18"/>
          <w:szCs w:val="18"/>
        </w:rPr>
        <w:t xml:space="preserve">rek v. Turkey </w:t>
      </w:r>
      <w:r w:rsidRPr="008D799D">
        <w:rPr>
          <w:b w:val="0"/>
          <w:bCs/>
          <w:sz w:val="18"/>
          <w:szCs w:val="18"/>
        </w:rPr>
        <w:t>(No. 4) (application No. 24762/94), judgment of 8 July 1999, paras. 54 and 57</w:t>
      </w:r>
      <w:r w:rsidRPr="008D799D">
        <w:rPr>
          <w:rFonts w:hint="eastAsia"/>
          <w:b w:val="0"/>
          <w:bCs/>
          <w:sz w:val="18"/>
          <w:szCs w:val="18"/>
        </w:rPr>
        <w:t>–</w:t>
      </w:r>
      <w:r w:rsidRPr="008D799D">
        <w:rPr>
          <w:b w:val="0"/>
          <w:bCs/>
          <w:sz w:val="18"/>
          <w:szCs w:val="18"/>
        </w:rPr>
        <w:t>58</w:t>
      </w:r>
      <w:r w:rsidRPr="008D799D">
        <w:rPr>
          <w:sz w:val="18"/>
          <w:szCs w:val="18"/>
          <w:rtl/>
        </w:rPr>
        <w:t>.</w:t>
      </w:r>
    </w:p>
  </w:footnote>
  <w:footnote w:id="9">
    <w:p w14:paraId="13E468FA" w14:textId="77777777" w:rsidR="008D799D" w:rsidRPr="008D799D" w:rsidRDefault="008D799D" w:rsidP="008D799D">
      <w:pPr>
        <w:pStyle w:val="HChG"/>
        <w:keepNext w:val="0"/>
        <w:keepLines w:val="0"/>
        <w:tabs>
          <w:tab w:val="clear" w:pos="851"/>
        </w:tabs>
        <w:bidi/>
        <w:spacing w:before="0" w:after="60" w:line="280" w:lineRule="exact"/>
        <w:ind w:left="1247" w:right="1247" w:hanging="567"/>
        <w:jc w:val="lowKashida"/>
        <w:rPr>
          <w:sz w:val="18"/>
          <w:szCs w:val="18"/>
          <w:lang w:val="ar-SA" w:eastAsia="zh-TW" w:bidi="en-GB"/>
        </w:rPr>
      </w:pPr>
      <w:r w:rsidRPr="008D799D">
        <w:rPr>
          <w:rStyle w:val="FootnoteReference"/>
          <w:sz w:val="18"/>
          <w:vertAlign w:val="baseline"/>
          <w:rtl/>
        </w:rPr>
        <w:t>(</w:t>
      </w:r>
      <w:r w:rsidRPr="003A28ED">
        <w:rPr>
          <w:rStyle w:val="FootnoteReference"/>
          <w:rFonts w:ascii="Simplified Arabic" w:hAnsi="Simplified Arabic"/>
          <w:b w:val="0"/>
          <w:sz w:val="18"/>
          <w:vertAlign w:val="baseline"/>
          <w:lang w:val="en-US"/>
        </w:rPr>
        <w:footnoteRef/>
      </w:r>
      <w:r w:rsidRPr="008D799D">
        <w:rPr>
          <w:rStyle w:val="FootnoteReference"/>
          <w:sz w:val="18"/>
          <w:vertAlign w:val="baseline"/>
          <w:rtl/>
        </w:rPr>
        <w:t>)</w:t>
      </w:r>
      <w:r w:rsidRPr="008D799D">
        <w:rPr>
          <w:sz w:val="18"/>
          <w:szCs w:val="18"/>
          <w:rtl/>
        </w:rPr>
        <w:tab/>
        <w:t xml:space="preserve">يستشهد صاحب البلاغ بآراء الفريق العامل المعني بالاحتجاز التعسفي فيما يتعلّق بالاتحاد الروسي، حيث أعرب عن قلقه حيال وقوع شهود يهوه ضحايا "اضطهاد منهجي ومؤسسي" في الاتحاد الروسي (الرأي رقم 11/2019، الفقرة 74)؛ وحيال "نمط من الاضطهاد بحق شهود يهوه" (الرأي رقم 34/2019، الفقرة 65). ويستشهد صاحب البلاغ أيضاً بقرار لجنة وزراء مجلس أوروبا </w:t>
      </w:r>
      <w:r w:rsidRPr="008D799D">
        <w:rPr>
          <w:b w:val="0"/>
          <w:bCs/>
          <w:sz w:val="18"/>
          <w:szCs w:val="18"/>
        </w:rPr>
        <w:t>CM/Del/Dec(2019)1355/H46-19</w:t>
      </w:r>
      <w:r w:rsidRPr="008D799D">
        <w:rPr>
          <w:sz w:val="18"/>
          <w:szCs w:val="18"/>
          <w:rtl/>
        </w:rPr>
        <w:t>، 25 أيلول/سبتمبر 2019، الفقرة 8.</w:t>
      </w:r>
    </w:p>
  </w:footnote>
  <w:footnote w:id="10">
    <w:p w14:paraId="2AE480D8" w14:textId="77777777" w:rsidR="008D799D" w:rsidRPr="008D799D" w:rsidRDefault="008D799D" w:rsidP="008D799D">
      <w:pPr>
        <w:pStyle w:val="HChG"/>
        <w:keepNext w:val="0"/>
        <w:keepLines w:val="0"/>
        <w:tabs>
          <w:tab w:val="clear" w:pos="851"/>
        </w:tabs>
        <w:bidi/>
        <w:spacing w:before="0" w:after="60" w:line="280" w:lineRule="exact"/>
        <w:ind w:left="1247" w:right="1247" w:hanging="567"/>
        <w:jc w:val="lowKashida"/>
        <w:rPr>
          <w:sz w:val="18"/>
          <w:szCs w:val="18"/>
          <w:lang w:val="ar-SA" w:eastAsia="zh-TW" w:bidi="en-GB"/>
        </w:rPr>
      </w:pPr>
      <w:r w:rsidRPr="008D799D">
        <w:rPr>
          <w:rStyle w:val="FootnoteReference"/>
          <w:sz w:val="18"/>
          <w:vertAlign w:val="baseline"/>
          <w:rtl/>
        </w:rPr>
        <w:t>(</w:t>
      </w:r>
      <w:r w:rsidRPr="003A28ED">
        <w:rPr>
          <w:rStyle w:val="FootnoteReference"/>
          <w:rFonts w:ascii="Simplified Arabic" w:hAnsi="Simplified Arabic"/>
          <w:b w:val="0"/>
          <w:sz w:val="18"/>
          <w:vertAlign w:val="baseline"/>
          <w:lang w:val="en-US"/>
        </w:rPr>
        <w:footnoteRef/>
      </w:r>
      <w:r w:rsidRPr="008D799D">
        <w:rPr>
          <w:rStyle w:val="FootnoteReference"/>
          <w:sz w:val="18"/>
          <w:vertAlign w:val="baseline"/>
          <w:rtl/>
        </w:rPr>
        <w:t>)</w:t>
      </w:r>
      <w:r w:rsidRPr="008D799D">
        <w:rPr>
          <w:sz w:val="18"/>
          <w:szCs w:val="18"/>
          <w:rtl/>
        </w:rPr>
        <w:tab/>
      </w:r>
      <w:r w:rsidRPr="008D799D">
        <w:rPr>
          <w:i/>
          <w:iCs/>
          <w:sz w:val="18"/>
          <w:szCs w:val="18"/>
          <w:rtl/>
        </w:rPr>
        <w:t>س.</w:t>
      </w:r>
      <w:r w:rsidRPr="008D799D">
        <w:rPr>
          <w:rFonts w:hint="cs"/>
          <w:i/>
          <w:iCs/>
          <w:sz w:val="18"/>
          <w:szCs w:val="18"/>
          <w:rtl/>
        </w:rPr>
        <w:t xml:space="preserve"> </w:t>
      </w:r>
      <w:r w:rsidRPr="008D799D">
        <w:rPr>
          <w:i/>
          <w:iCs/>
          <w:sz w:val="18"/>
          <w:szCs w:val="18"/>
          <w:rtl/>
        </w:rPr>
        <w:t>ب. ضد الاتحاد الروسي</w:t>
      </w:r>
      <w:r w:rsidRPr="008D799D">
        <w:rPr>
          <w:sz w:val="18"/>
          <w:szCs w:val="18"/>
          <w:rtl/>
        </w:rPr>
        <w:t xml:space="preserve"> (</w:t>
      </w:r>
      <w:hyperlink r:id="rId3" w:history="1">
        <w:r w:rsidRPr="008D799D">
          <w:rPr>
            <w:rStyle w:val="Hyperlink"/>
            <w:b w:val="0"/>
            <w:bCs/>
            <w:sz w:val="18"/>
            <w:szCs w:val="18"/>
          </w:rPr>
          <w:t>CCPR/C/118/D/2152/2012</w:t>
        </w:r>
      </w:hyperlink>
      <w:r w:rsidRPr="008D799D">
        <w:rPr>
          <w:sz w:val="18"/>
          <w:szCs w:val="18"/>
          <w:rtl/>
        </w:rPr>
        <w:t>)، الفقرة 11-5.</w:t>
      </w:r>
    </w:p>
  </w:footnote>
  <w:footnote w:id="11">
    <w:p w14:paraId="062A7CF7" w14:textId="77777777" w:rsidR="008D799D" w:rsidRPr="008D799D" w:rsidRDefault="008D799D" w:rsidP="008D799D">
      <w:pPr>
        <w:pStyle w:val="HChG"/>
        <w:keepNext w:val="0"/>
        <w:keepLines w:val="0"/>
        <w:tabs>
          <w:tab w:val="clear" w:pos="851"/>
        </w:tabs>
        <w:bidi/>
        <w:spacing w:before="0" w:after="60" w:line="280" w:lineRule="exact"/>
        <w:ind w:left="1247" w:right="1247" w:hanging="567"/>
        <w:jc w:val="lowKashida"/>
        <w:rPr>
          <w:sz w:val="18"/>
          <w:szCs w:val="18"/>
          <w:lang w:val="en-US" w:eastAsia="zh-TW" w:bidi="en-GB"/>
        </w:rPr>
      </w:pPr>
      <w:r w:rsidRPr="008D799D">
        <w:rPr>
          <w:rStyle w:val="FootnoteReference"/>
          <w:sz w:val="18"/>
          <w:vertAlign w:val="baseline"/>
          <w:rtl/>
        </w:rPr>
        <w:t>(</w:t>
      </w:r>
      <w:r w:rsidRPr="003A28ED">
        <w:rPr>
          <w:rStyle w:val="FootnoteReference"/>
          <w:rFonts w:ascii="Simplified Arabic" w:hAnsi="Simplified Arabic"/>
          <w:b w:val="0"/>
          <w:sz w:val="18"/>
          <w:vertAlign w:val="baseline"/>
          <w:lang w:val="en-US"/>
        </w:rPr>
        <w:footnoteRef/>
      </w:r>
      <w:r w:rsidRPr="008D799D">
        <w:rPr>
          <w:rStyle w:val="FootnoteReference"/>
          <w:sz w:val="18"/>
          <w:vertAlign w:val="baseline"/>
          <w:rtl/>
        </w:rPr>
        <w:t>)</w:t>
      </w:r>
      <w:r w:rsidRPr="008D799D">
        <w:rPr>
          <w:sz w:val="18"/>
          <w:szCs w:val="18"/>
          <w:rtl/>
        </w:rPr>
        <w:tab/>
      </w:r>
      <w:r w:rsidRPr="008D799D">
        <w:rPr>
          <w:i/>
          <w:iCs/>
          <w:sz w:val="18"/>
          <w:szCs w:val="18"/>
          <w:rtl/>
        </w:rPr>
        <w:t>سيكيركو ضد بيلاروس</w:t>
      </w:r>
      <w:r w:rsidRPr="008D799D">
        <w:rPr>
          <w:sz w:val="18"/>
          <w:szCs w:val="18"/>
          <w:rtl/>
        </w:rPr>
        <w:t xml:space="preserve"> (</w:t>
      </w:r>
      <w:hyperlink r:id="rId4" w:history="1">
        <w:r w:rsidRPr="008D799D">
          <w:rPr>
            <w:rStyle w:val="Hyperlink"/>
            <w:b w:val="0"/>
            <w:bCs/>
            <w:sz w:val="18"/>
            <w:szCs w:val="18"/>
          </w:rPr>
          <w:t>CCPR/C/109/D/1851/2008</w:t>
        </w:r>
      </w:hyperlink>
      <w:r w:rsidRPr="008D799D">
        <w:rPr>
          <w:sz w:val="18"/>
          <w:szCs w:val="18"/>
          <w:rtl/>
        </w:rPr>
        <w:t>)، الفقرة 8-3؛ و</w:t>
      </w:r>
      <w:r w:rsidRPr="008D799D">
        <w:rPr>
          <w:i/>
          <w:iCs/>
          <w:sz w:val="18"/>
          <w:szCs w:val="18"/>
          <w:rtl/>
        </w:rPr>
        <w:t>بروتسكو وتولشين ضد بيلاروس</w:t>
      </w:r>
      <w:r w:rsidRPr="008D799D">
        <w:rPr>
          <w:sz w:val="18"/>
          <w:szCs w:val="18"/>
          <w:rtl/>
        </w:rPr>
        <w:t xml:space="preserve"> (</w:t>
      </w:r>
      <w:hyperlink r:id="rId5" w:history="1">
        <w:r w:rsidRPr="008D799D">
          <w:rPr>
            <w:rStyle w:val="Hyperlink"/>
            <w:b w:val="0"/>
            <w:bCs/>
            <w:sz w:val="18"/>
            <w:szCs w:val="18"/>
          </w:rPr>
          <w:t>CCPR/C/109/D/1919–1920/2009</w:t>
        </w:r>
      </w:hyperlink>
      <w:r w:rsidRPr="008D799D">
        <w:rPr>
          <w:sz w:val="18"/>
          <w:szCs w:val="18"/>
          <w:rtl/>
        </w:rPr>
        <w:t xml:space="preserve">)، الفقرة 6-5؛ </w:t>
      </w:r>
      <w:r w:rsidRPr="008D799D">
        <w:rPr>
          <w:i/>
          <w:iCs/>
          <w:sz w:val="18"/>
          <w:szCs w:val="18"/>
          <w:rtl/>
        </w:rPr>
        <w:t>وشوميلين ضد بيلاروس</w:t>
      </w:r>
      <w:r w:rsidRPr="008D799D">
        <w:rPr>
          <w:sz w:val="18"/>
          <w:szCs w:val="18"/>
          <w:rtl/>
        </w:rPr>
        <w:t xml:space="preserve"> (</w:t>
      </w:r>
      <w:hyperlink r:id="rId6" w:history="1">
        <w:r w:rsidRPr="008D799D">
          <w:rPr>
            <w:rStyle w:val="Hyperlink"/>
            <w:b w:val="0"/>
            <w:bCs/>
            <w:sz w:val="18"/>
            <w:szCs w:val="18"/>
          </w:rPr>
          <w:t>CCPR/C/105/D/1784/2008</w:t>
        </w:r>
      </w:hyperlink>
      <w:r w:rsidRPr="008D799D">
        <w:rPr>
          <w:sz w:val="18"/>
          <w:szCs w:val="18"/>
          <w:rtl/>
        </w:rPr>
        <w:t>)، الفقرة 8-3؛ و</w:t>
      </w:r>
      <w:r w:rsidRPr="008D799D">
        <w:rPr>
          <w:i/>
          <w:iCs/>
          <w:sz w:val="18"/>
          <w:szCs w:val="18"/>
          <w:rtl/>
        </w:rPr>
        <w:t>ب. ل. ضد بيلاروس</w:t>
      </w:r>
      <w:r w:rsidRPr="008D799D">
        <w:rPr>
          <w:sz w:val="18"/>
          <w:szCs w:val="18"/>
          <w:rtl/>
        </w:rPr>
        <w:t xml:space="preserve"> (</w:t>
      </w:r>
      <w:hyperlink r:id="rId7" w:history="1">
        <w:r w:rsidRPr="008D799D">
          <w:rPr>
            <w:rStyle w:val="Hyperlink"/>
            <w:b w:val="0"/>
            <w:bCs/>
            <w:sz w:val="18"/>
            <w:szCs w:val="18"/>
          </w:rPr>
          <w:t>CCPR/C/102/D/1814/2008</w:t>
        </w:r>
      </w:hyperlink>
      <w:r w:rsidRPr="008D799D">
        <w:rPr>
          <w:sz w:val="18"/>
          <w:szCs w:val="18"/>
          <w:rtl/>
        </w:rPr>
        <w:t>)، الفقرة 6-2؛ و</w:t>
      </w:r>
      <w:r w:rsidRPr="008D799D">
        <w:rPr>
          <w:i/>
          <w:iCs/>
          <w:sz w:val="18"/>
          <w:szCs w:val="18"/>
          <w:rtl/>
        </w:rPr>
        <w:t>إ. ز. ضد كازاخستان</w:t>
      </w:r>
      <w:r w:rsidRPr="008D799D">
        <w:rPr>
          <w:sz w:val="18"/>
          <w:szCs w:val="18"/>
          <w:rtl/>
        </w:rPr>
        <w:t xml:space="preserve"> (</w:t>
      </w:r>
      <w:hyperlink r:id="rId8" w:history="1">
        <w:r w:rsidRPr="008D799D">
          <w:rPr>
            <w:rStyle w:val="Hyperlink"/>
            <w:b w:val="0"/>
            <w:bCs/>
            <w:sz w:val="18"/>
            <w:szCs w:val="18"/>
          </w:rPr>
          <w:t>CCPR/C/113/D/2021/2010</w:t>
        </w:r>
      </w:hyperlink>
      <w:r w:rsidRPr="008D799D">
        <w:rPr>
          <w:sz w:val="18"/>
          <w:szCs w:val="18"/>
          <w:rtl/>
        </w:rPr>
        <w:t>)، الفقرة 7-3؛ و</w:t>
      </w:r>
      <w:r w:rsidRPr="008D799D">
        <w:rPr>
          <w:i/>
          <w:iCs/>
          <w:sz w:val="18"/>
          <w:szCs w:val="18"/>
          <w:rtl/>
        </w:rPr>
        <w:t>أليكسييف ضد الاتحاد الروسي</w:t>
      </w:r>
      <w:r w:rsidRPr="008D799D">
        <w:rPr>
          <w:sz w:val="18"/>
          <w:szCs w:val="18"/>
          <w:rtl/>
        </w:rPr>
        <w:t xml:space="preserve"> (</w:t>
      </w:r>
      <w:hyperlink r:id="rId9" w:history="1">
        <w:r w:rsidRPr="008D799D">
          <w:rPr>
            <w:rStyle w:val="Hyperlink"/>
            <w:b w:val="0"/>
            <w:bCs/>
            <w:sz w:val="18"/>
            <w:szCs w:val="18"/>
          </w:rPr>
          <w:t>CCPR/C/109/D/1873/2009</w:t>
        </w:r>
      </w:hyperlink>
      <w:r w:rsidRPr="008D799D">
        <w:rPr>
          <w:sz w:val="18"/>
          <w:szCs w:val="18"/>
          <w:rtl/>
        </w:rPr>
        <w:t xml:space="preserve">)، الفقرة 8-4؛ </w:t>
      </w:r>
      <w:r w:rsidRPr="008D799D">
        <w:rPr>
          <w:i/>
          <w:iCs/>
          <w:sz w:val="18"/>
          <w:szCs w:val="18"/>
          <w:rtl/>
        </w:rPr>
        <w:t>ودوروفي</w:t>
      </w:r>
      <w:r w:rsidRPr="008D799D">
        <w:rPr>
          <w:i/>
          <w:iCs/>
          <w:sz w:val="18"/>
          <w:szCs w:val="18"/>
          <w:rtl/>
          <w:lang w:val="fr-CH"/>
        </w:rPr>
        <w:t>ي</w:t>
      </w:r>
      <w:r w:rsidRPr="008D799D">
        <w:rPr>
          <w:i/>
          <w:iCs/>
          <w:sz w:val="18"/>
          <w:szCs w:val="18"/>
          <w:rtl/>
        </w:rPr>
        <w:t>ف ضد الاتحاد الروسي</w:t>
      </w:r>
      <w:r w:rsidRPr="008D799D">
        <w:rPr>
          <w:sz w:val="18"/>
          <w:szCs w:val="18"/>
          <w:rtl/>
        </w:rPr>
        <w:t xml:space="preserve"> (</w:t>
      </w:r>
      <w:hyperlink r:id="rId10" w:history="1">
        <w:r w:rsidRPr="008D799D">
          <w:rPr>
            <w:rStyle w:val="Hyperlink"/>
            <w:b w:val="0"/>
            <w:bCs/>
            <w:sz w:val="18"/>
            <w:szCs w:val="18"/>
          </w:rPr>
          <w:t>CCPR/C/111/D/2041/2011</w:t>
        </w:r>
      </w:hyperlink>
      <w:r w:rsidRPr="008D799D">
        <w:rPr>
          <w:sz w:val="18"/>
          <w:szCs w:val="18"/>
          <w:rtl/>
        </w:rPr>
        <w:t xml:space="preserve">)، الفقرة 9-6؛ </w:t>
      </w:r>
      <w:r w:rsidRPr="008D799D">
        <w:rPr>
          <w:i/>
          <w:iCs/>
          <w:sz w:val="18"/>
          <w:szCs w:val="18"/>
          <w:rtl/>
        </w:rPr>
        <w:t>وس.</w:t>
      </w:r>
      <w:r w:rsidRPr="008D799D">
        <w:rPr>
          <w:rFonts w:hint="cs"/>
          <w:i/>
          <w:iCs/>
          <w:sz w:val="18"/>
          <w:szCs w:val="18"/>
          <w:rtl/>
        </w:rPr>
        <w:t xml:space="preserve"> </w:t>
      </w:r>
      <w:r w:rsidRPr="008D799D">
        <w:rPr>
          <w:i/>
          <w:iCs/>
          <w:sz w:val="18"/>
          <w:szCs w:val="18"/>
          <w:rtl/>
        </w:rPr>
        <w:t>ب. ضد الاتحاد الروسي</w:t>
      </w:r>
      <w:r w:rsidRPr="008D799D">
        <w:rPr>
          <w:sz w:val="18"/>
          <w:szCs w:val="18"/>
          <w:rtl/>
        </w:rPr>
        <w:t xml:space="preserve"> (</w:t>
      </w:r>
      <w:hyperlink r:id="rId11" w:history="1">
        <w:r w:rsidRPr="008D799D">
          <w:rPr>
            <w:rStyle w:val="Hyperlink"/>
            <w:b w:val="0"/>
            <w:bCs/>
            <w:sz w:val="18"/>
            <w:szCs w:val="18"/>
          </w:rPr>
          <w:t>CCPR/C/118/D/2152/2012</w:t>
        </w:r>
      </w:hyperlink>
      <w:r w:rsidRPr="008D799D">
        <w:rPr>
          <w:sz w:val="18"/>
          <w:szCs w:val="18"/>
          <w:rtl/>
        </w:rPr>
        <w:t>)، الفقرة 11-5.</w:t>
      </w:r>
    </w:p>
  </w:footnote>
  <w:footnote w:id="12">
    <w:p w14:paraId="72134A0B" w14:textId="77777777" w:rsidR="008D799D" w:rsidRPr="008D799D" w:rsidRDefault="008D799D" w:rsidP="008D799D">
      <w:pPr>
        <w:pStyle w:val="HChG"/>
        <w:keepNext w:val="0"/>
        <w:keepLines w:val="0"/>
        <w:tabs>
          <w:tab w:val="clear" w:pos="851"/>
        </w:tabs>
        <w:bidi/>
        <w:spacing w:before="0" w:after="60" w:line="280" w:lineRule="exact"/>
        <w:ind w:left="1247" w:right="1247" w:hanging="567"/>
        <w:jc w:val="lowKashida"/>
        <w:rPr>
          <w:sz w:val="18"/>
          <w:szCs w:val="18"/>
          <w:lang w:val="en-US" w:eastAsia="zh-TW" w:bidi="en-GB"/>
        </w:rPr>
      </w:pPr>
      <w:r w:rsidRPr="008D799D">
        <w:rPr>
          <w:rStyle w:val="FootnoteReference"/>
          <w:sz w:val="18"/>
          <w:vertAlign w:val="baseline"/>
          <w:rtl/>
        </w:rPr>
        <w:t>(</w:t>
      </w:r>
      <w:r w:rsidRPr="003A28ED">
        <w:rPr>
          <w:rStyle w:val="FootnoteReference"/>
          <w:rFonts w:ascii="Simplified Arabic" w:hAnsi="Simplified Arabic"/>
          <w:b w:val="0"/>
          <w:sz w:val="18"/>
          <w:vertAlign w:val="baseline"/>
          <w:lang w:val="en-US"/>
        </w:rPr>
        <w:footnoteRef/>
      </w:r>
      <w:r w:rsidRPr="008D799D">
        <w:rPr>
          <w:rStyle w:val="FootnoteReference"/>
          <w:sz w:val="18"/>
          <w:vertAlign w:val="baseline"/>
          <w:rtl/>
        </w:rPr>
        <w:t>)</w:t>
      </w:r>
      <w:r w:rsidRPr="008D799D">
        <w:rPr>
          <w:sz w:val="18"/>
          <w:szCs w:val="18"/>
          <w:rtl/>
        </w:rPr>
        <w:tab/>
        <w:t xml:space="preserve">انظر أيضاً </w:t>
      </w:r>
      <w:r w:rsidRPr="008D799D">
        <w:rPr>
          <w:i/>
          <w:iCs/>
          <w:sz w:val="18"/>
          <w:szCs w:val="18"/>
          <w:rtl/>
        </w:rPr>
        <w:t>كوستينكو ضد الاتحاد الروسي</w:t>
      </w:r>
      <w:r w:rsidRPr="008D799D">
        <w:rPr>
          <w:sz w:val="18"/>
          <w:szCs w:val="18"/>
          <w:rtl/>
        </w:rPr>
        <w:t xml:space="preserve"> (</w:t>
      </w:r>
      <w:hyperlink r:id="rId12" w:history="1">
        <w:r w:rsidRPr="008D799D">
          <w:rPr>
            <w:rStyle w:val="Hyperlink"/>
            <w:b w:val="0"/>
            <w:bCs/>
            <w:sz w:val="18"/>
            <w:szCs w:val="18"/>
          </w:rPr>
          <w:t>CCPR/C/115/D/2141/2012</w:t>
        </w:r>
      </w:hyperlink>
      <w:r w:rsidRPr="008D799D">
        <w:rPr>
          <w:sz w:val="18"/>
          <w:szCs w:val="18"/>
          <w:rtl/>
        </w:rPr>
        <w:t>)، الفقرة 6-3. و</w:t>
      </w:r>
      <w:r w:rsidRPr="008D799D">
        <w:rPr>
          <w:i/>
          <w:iCs/>
          <w:sz w:val="18"/>
          <w:szCs w:val="18"/>
          <w:rtl/>
        </w:rPr>
        <w:t>س.</w:t>
      </w:r>
      <w:r w:rsidRPr="008D799D">
        <w:rPr>
          <w:rFonts w:hint="cs"/>
          <w:i/>
          <w:iCs/>
          <w:sz w:val="18"/>
          <w:szCs w:val="18"/>
          <w:rtl/>
        </w:rPr>
        <w:t xml:space="preserve"> </w:t>
      </w:r>
      <w:r w:rsidRPr="008D799D">
        <w:rPr>
          <w:i/>
          <w:iCs/>
          <w:sz w:val="18"/>
          <w:szCs w:val="18"/>
          <w:rtl/>
        </w:rPr>
        <w:t>ب. ضد الاتحاد الروسي</w:t>
      </w:r>
      <w:r w:rsidRPr="008D799D">
        <w:rPr>
          <w:sz w:val="18"/>
          <w:szCs w:val="18"/>
          <w:rtl/>
        </w:rPr>
        <w:t xml:space="preserve"> (</w:t>
      </w:r>
      <w:hyperlink r:id="rId13" w:history="1">
        <w:r w:rsidRPr="008D799D">
          <w:rPr>
            <w:rStyle w:val="Hyperlink"/>
            <w:b w:val="0"/>
            <w:bCs/>
            <w:sz w:val="18"/>
            <w:szCs w:val="18"/>
          </w:rPr>
          <w:t>CCPR/C/118/D/2152/2012</w:t>
        </w:r>
      </w:hyperlink>
      <w:r w:rsidRPr="008D799D">
        <w:rPr>
          <w:sz w:val="18"/>
          <w:szCs w:val="18"/>
          <w:rtl/>
        </w:rPr>
        <w:t>)، الفقرة 11-5.</w:t>
      </w:r>
    </w:p>
  </w:footnote>
  <w:footnote w:id="13">
    <w:p w14:paraId="115CB229" w14:textId="77777777" w:rsidR="008D799D" w:rsidRPr="008D799D" w:rsidRDefault="008D799D" w:rsidP="00217B9D">
      <w:pPr>
        <w:pStyle w:val="HChG"/>
        <w:keepNext w:val="0"/>
        <w:keepLines w:val="0"/>
        <w:tabs>
          <w:tab w:val="clear" w:pos="851"/>
        </w:tabs>
        <w:bidi/>
        <w:spacing w:before="0" w:after="60" w:line="260" w:lineRule="exact"/>
        <w:ind w:left="1247" w:right="1247" w:hanging="567"/>
        <w:jc w:val="lowKashida"/>
        <w:rPr>
          <w:sz w:val="18"/>
          <w:szCs w:val="18"/>
          <w:lang w:val="ar-SA" w:eastAsia="zh-TW" w:bidi="en-GB"/>
        </w:rPr>
      </w:pPr>
      <w:r w:rsidRPr="008D799D">
        <w:rPr>
          <w:rStyle w:val="FootnoteReference"/>
          <w:sz w:val="18"/>
          <w:vertAlign w:val="baseline"/>
          <w:rtl/>
        </w:rPr>
        <w:t>(</w:t>
      </w:r>
      <w:r w:rsidRPr="003A28ED">
        <w:rPr>
          <w:rStyle w:val="FootnoteReference"/>
          <w:rFonts w:ascii="Simplified Arabic" w:hAnsi="Simplified Arabic"/>
          <w:b w:val="0"/>
          <w:sz w:val="18"/>
          <w:vertAlign w:val="baseline"/>
          <w:lang w:val="en-US"/>
        </w:rPr>
        <w:footnoteRef/>
      </w:r>
      <w:r w:rsidRPr="008D799D">
        <w:rPr>
          <w:rStyle w:val="FootnoteReference"/>
          <w:sz w:val="18"/>
          <w:vertAlign w:val="baseline"/>
          <w:rtl/>
        </w:rPr>
        <w:t>)</w:t>
      </w:r>
      <w:r w:rsidRPr="008D799D">
        <w:rPr>
          <w:sz w:val="18"/>
          <w:szCs w:val="18"/>
          <w:rtl/>
        </w:rPr>
        <w:tab/>
        <w:t>تعليق اللجنة المعنية بحقوق الإنسان العام رقم 35(2014)، الفقرتان 3 و5.</w:t>
      </w:r>
      <w:r w:rsidRPr="008D799D">
        <w:rPr>
          <w:rFonts w:cs="Times New Roman" w:hint="cs"/>
          <w:sz w:val="18"/>
          <w:szCs w:val="18"/>
          <w:rtl/>
        </w:rPr>
        <w:t>‬</w:t>
      </w:r>
      <w:r w:rsidRPr="008D799D">
        <w:rPr>
          <w:sz w:val="18"/>
          <w:szCs w:val="18"/>
          <w:rtl/>
        </w:rPr>
        <w:t xml:space="preserve"> </w:t>
      </w:r>
    </w:p>
  </w:footnote>
  <w:footnote w:id="14">
    <w:p w14:paraId="1D68EE27" w14:textId="77777777" w:rsidR="008D799D" w:rsidRPr="008D799D" w:rsidRDefault="008D799D" w:rsidP="00217B9D">
      <w:pPr>
        <w:pStyle w:val="HChG"/>
        <w:keepNext w:val="0"/>
        <w:keepLines w:val="0"/>
        <w:tabs>
          <w:tab w:val="clear" w:pos="851"/>
        </w:tabs>
        <w:bidi/>
        <w:spacing w:before="0" w:after="60" w:line="260" w:lineRule="exact"/>
        <w:ind w:left="1247" w:right="1247" w:hanging="567"/>
        <w:jc w:val="lowKashida"/>
        <w:rPr>
          <w:sz w:val="18"/>
          <w:szCs w:val="18"/>
          <w:lang w:val="ar-SA" w:eastAsia="zh-TW" w:bidi="en-GB"/>
        </w:rPr>
      </w:pPr>
      <w:r w:rsidRPr="008D799D">
        <w:rPr>
          <w:rStyle w:val="FootnoteReference"/>
          <w:sz w:val="18"/>
          <w:vertAlign w:val="baseline"/>
          <w:rtl/>
        </w:rPr>
        <w:t>(</w:t>
      </w:r>
      <w:r w:rsidRPr="003A28ED">
        <w:rPr>
          <w:rStyle w:val="FootnoteReference"/>
          <w:rFonts w:ascii="Simplified Arabic" w:hAnsi="Simplified Arabic"/>
          <w:b w:val="0"/>
          <w:sz w:val="18"/>
          <w:vertAlign w:val="baseline"/>
          <w:lang w:val="en-US"/>
        </w:rPr>
        <w:footnoteRef/>
      </w:r>
      <w:r w:rsidRPr="008D799D">
        <w:rPr>
          <w:rStyle w:val="FootnoteReference"/>
          <w:sz w:val="18"/>
          <w:vertAlign w:val="baseline"/>
          <w:rtl/>
        </w:rPr>
        <w:t>)</w:t>
      </w:r>
      <w:r w:rsidRPr="008D799D">
        <w:rPr>
          <w:sz w:val="18"/>
          <w:szCs w:val="18"/>
          <w:rtl/>
        </w:rPr>
        <w:tab/>
        <w:t>المرجع نفسه، الفقرتان 12 و17.</w:t>
      </w:r>
    </w:p>
  </w:footnote>
  <w:footnote w:id="15">
    <w:p w14:paraId="5A02E87F" w14:textId="77777777" w:rsidR="008D799D" w:rsidRPr="008D799D" w:rsidRDefault="008D799D" w:rsidP="00217B9D">
      <w:pPr>
        <w:pStyle w:val="HChG"/>
        <w:keepNext w:val="0"/>
        <w:keepLines w:val="0"/>
        <w:tabs>
          <w:tab w:val="clear" w:pos="851"/>
        </w:tabs>
        <w:bidi/>
        <w:spacing w:before="0" w:after="60" w:line="260" w:lineRule="exact"/>
        <w:ind w:left="1247" w:right="1247" w:hanging="567"/>
        <w:jc w:val="lowKashida"/>
        <w:rPr>
          <w:sz w:val="18"/>
          <w:szCs w:val="18"/>
          <w:lang w:val="ar-SA" w:eastAsia="zh-TW" w:bidi="en-GB"/>
        </w:rPr>
      </w:pPr>
      <w:r w:rsidRPr="008D799D">
        <w:rPr>
          <w:rStyle w:val="FootnoteReference"/>
          <w:sz w:val="18"/>
          <w:vertAlign w:val="baseline"/>
          <w:rtl/>
        </w:rPr>
        <w:t>(</w:t>
      </w:r>
      <w:r w:rsidRPr="003A28ED">
        <w:rPr>
          <w:rStyle w:val="FootnoteReference"/>
          <w:rFonts w:ascii="Simplified Arabic" w:hAnsi="Simplified Arabic"/>
          <w:b w:val="0"/>
          <w:sz w:val="18"/>
          <w:vertAlign w:val="baseline"/>
          <w:lang w:val="en-US"/>
        </w:rPr>
        <w:footnoteRef/>
      </w:r>
      <w:r w:rsidRPr="008D799D">
        <w:rPr>
          <w:rStyle w:val="FootnoteReference"/>
          <w:sz w:val="18"/>
          <w:vertAlign w:val="baseline"/>
          <w:rtl/>
        </w:rPr>
        <w:t>)</w:t>
      </w:r>
      <w:r w:rsidRPr="008D799D">
        <w:rPr>
          <w:sz w:val="18"/>
          <w:szCs w:val="18"/>
          <w:rtl/>
        </w:rPr>
        <w:tab/>
        <w:t>المرجع نفسه، الفقرة 13.</w:t>
      </w:r>
    </w:p>
  </w:footnote>
  <w:footnote w:id="16">
    <w:p w14:paraId="6F2533FB" w14:textId="77777777" w:rsidR="008D799D" w:rsidRPr="008D799D" w:rsidRDefault="008D799D" w:rsidP="00217B9D">
      <w:pPr>
        <w:pStyle w:val="HChG"/>
        <w:keepNext w:val="0"/>
        <w:keepLines w:val="0"/>
        <w:tabs>
          <w:tab w:val="clear" w:pos="851"/>
        </w:tabs>
        <w:bidi/>
        <w:spacing w:before="0" w:after="60" w:line="260" w:lineRule="exact"/>
        <w:ind w:left="1247" w:right="1247" w:hanging="567"/>
        <w:jc w:val="lowKashida"/>
        <w:rPr>
          <w:sz w:val="18"/>
          <w:szCs w:val="18"/>
          <w:lang w:val="ar-SA" w:eastAsia="zh-TW" w:bidi="en-GB"/>
        </w:rPr>
      </w:pPr>
      <w:r w:rsidRPr="008D799D">
        <w:rPr>
          <w:rStyle w:val="FootnoteReference"/>
          <w:sz w:val="18"/>
          <w:vertAlign w:val="baseline"/>
          <w:rtl/>
        </w:rPr>
        <w:t>(</w:t>
      </w:r>
      <w:r w:rsidRPr="003A28ED">
        <w:rPr>
          <w:rStyle w:val="FootnoteReference"/>
          <w:rFonts w:ascii="Simplified Arabic" w:hAnsi="Simplified Arabic"/>
          <w:b w:val="0"/>
          <w:sz w:val="18"/>
          <w:vertAlign w:val="baseline"/>
          <w:lang w:val="en-US"/>
        </w:rPr>
        <w:footnoteRef/>
      </w:r>
      <w:r w:rsidRPr="008D799D">
        <w:rPr>
          <w:rStyle w:val="FootnoteReference"/>
          <w:sz w:val="18"/>
          <w:vertAlign w:val="baseline"/>
          <w:rtl/>
        </w:rPr>
        <w:t>)</w:t>
      </w:r>
      <w:r w:rsidRPr="008D799D">
        <w:rPr>
          <w:sz w:val="18"/>
          <w:szCs w:val="18"/>
          <w:rtl/>
        </w:rPr>
        <w:tab/>
        <w:t>المرجع نفسه، الفقرة 17.</w:t>
      </w:r>
    </w:p>
  </w:footnote>
  <w:footnote w:id="17">
    <w:p w14:paraId="54DE794C" w14:textId="77777777" w:rsidR="008D799D" w:rsidRPr="008D799D" w:rsidRDefault="008D799D" w:rsidP="00217B9D">
      <w:pPr>
        <w:pStyle w:val="HChG"/>
        <w:keepNext w:val="0"/>
        <w:keepLines w:val="0"/>
        <w:tabs>
          <w:tab w:val="clear" w:pos="851"/>
        </w:tabs>
        <w:bidi/>
        <w:spacing w:before="0" w:after="60" w:line="260" w:lineRule="exact"/>
        <w:ind w:left="1247" w:right="1247" w:hanging="567"/>
        <w:jc w:val="lowKashida"/>
        <w:rPr>
          <w:sz w:val="18"/>
          <w:szCs w:val="18"/>
          <w:lang w:val="ar-SA" w:eastAsia="zh-TW" w:bidi="en-GB"/>
        </w:rPr>
      </w:pPr>
      <w:r w:rsidRPr="008D799D">
        <w:rPr>
          <w:rStyle w:val="FootnoteReference"/>
          <w:sz w:val="18"/>
          <w:vertAlign w:val="baseline"/>
          <w:rtl/>
        </w:rPr>
        <w:t>(</w:t>
      </w:r>
      <w:r w:rsidRPr="003A28ED">
        <w:rPr>
          <w:rStyle w:val="FootnoteReference"/>
          <w:rFonts w:ascii="Simplified Arabic" w:hAnsi="Simplified Arabic"/>
          <w:b w:val="0"/>
          <w:sz w:val="18"/>
          <w:vertAlign w:val="baseline"/>
          <w:lang w:val="en-US"/>
        </w:rPr>
        <w:footnoteRef/>
      </w:r>
      <w:r w:rsidRPr="008D799D">
        <w:rPr>
          <w:rStyle w:val="FootnoteReference"/>
          <w:sz w:val="18"/>
          <w:vertAlign w:val="baseline"/>
          <w:rtl/>
        </w:rPr>
        <w:t>)</w:t>
      </w:r>
      <w:r w:rsidRPr="008D799D">
        <w:rPr>
          <w:sz w:val="18"/>
          <w:szCs w:val="18"/>
          <w:rtl/>
        </w:rPr>
        <w:tab/>
        <w:t xml:space="preserve">انظر </w:t>
      </w:r>
      <w:r w:rsidRPr="008D799D">
        <w:rPr>
          <w:i/>
          <w:iCs/>
          <w:sz w:val="18"/>
          <w:szCs w:val="18"/>
          <w:rtl/>
        </w:rPr>
        <w:t>توريغوزينا ضد كازاخستان</w:t>
      </w:r>
      <w:r w:rsidRPr="008D799D">
        <w:rPr>
          <w:sz w:val="18"/>
          <w:szCs w:val="18"/>
          <w:rtl/>
        </w:rPr>
        <w:t xml:space="preserve"> (</w:t>
      </w:r>
      <w:hyperlink r:id="rId14" w:history="1">
        <w:r w:rsidRPr="008D799D">
          <w:rPr>
            <w:rStyle w:val="Hyperlink"/>
            <w:b w:val="0"/>
            <w:bCs/>
            <w:sz w:val="18"/>
            <w:szCs w:val="18"/>
          </w:rPr>
          <w:t>CCPR/C/112/D/2137/2012</w:t>
        </w:r>
      </w:hyperlink>
      <w:r w:rsidRPr="008D799D">
        <w:rPr>
          <w:sz w:val="18"/>
          <w:szCs w:val="18"/>
          <w:rtl/>
        </w:rPr>
        <w:t>)، الفقرة 7-2؛</w:t>
      </w:r>
    </w:p>
  </w:footnote>
  <w:footnote w:id="18">
    <w:p w14:paraId="037C8F25" w14:textId="77777777" w:rsidR="008D799D" w:rsidRPr="008D799D" w:rsidRDefault="008D799D" w:rsidP="00217B9D">
      <w:pPr>
        <w:pStyle w:val="HChG"/>
        <w:keepNext w:val="0"/>
        <w:keepLines w:val="0"/>
        <w:tabs>
          <w:tab w:val="clear" w:pos="851"/>
        </w:tabs>
        <w:bidi/>
        <w:spacing w:before="0" w:after="60" w:line="260" w:lineRule="exact"/>
        <w:ind w:left="1247" w:right="1247" w:hanging="567"/>
        <w:jc w:val="lowKashida"/>
        <w:rPr>
          <w:sz w:val="18"/>
          <w:szCs w:val="18"/>
          <w:lang w:val="en-US" w:eastAsia="zh-TW" w:bidi="en-GB"/>
        </w:rPr>
      </w:pPr>
      <w:r w:rsidRPr="008D799D">
        <w:rPr>
          <w:rStyle w:val="FootnoteReference"/>
          <w:sz w:val="18"/>
          <w:vertAlign w:val="baseline"/>
          <w:rtl/>
        </w:rPr>
        <w:t>(</w:t>
      </w:r>
      <w:r w:rsidRPr="003A28ED">
        <w:rPr>
          <w:rStyle w:val="FootnoteReference"/>
          <w:rFonts w:ascii="Simplified Arabic" w:hAnsi="Simplified Arabic"/>
          <w:b w:val="0"/>
          <w:sz w:val="18"/>
          <w:vertAlign w:val="baseline"/>
          <w:lang w:val="en-US"/>
        </w:rPr>
        <w:footnoteRef/>
      </w:r>
      <w:r w:rsidRPr="008D799D">
        <w:rPr>
          <w:rStyle w:val="FootnoteReference"/>
          <w:sz w:val="18"/>
          <w:vertAlign w:val="baseline"/>
          <w:rtl/>
        </w:rPr>
        <w:t>)</w:t>
      </w:r>
      <w:r w:rsidRPr="008D799D">
        <w:rPr>
          <w:sz w:val="18"/>
          <w:szCs w:val="18"/>
          <w:rtl/>
        </w:rPr>
        <w:tab/>
        <w:t xml:space="preserve">التعليق العام رقم 22(1993)، الفقرة 4، ومن جملة أمور، </w:t>
      </w:r>
      <w:r w:rsidRPr="008D799D">
        <w:rPr>
          <w:i/>
          <w:iCs/>
          <w:sz w:val="18"/>
          <w:szCs w:val="18"/>
          <w:rtl/>
        </w:rPr>
        <w:t>بودو ضد ترينيداد وتوباغو</w:t>
      </w:r>
      <w:r w:rsidRPr="008D799D">
        <w:rPr>
          <w:sz w:val="18"/>
          <w:szCs w:val="18"/>
          <w:rtl/>
        </w:rPr>
        <w:t xml:space="preserve"> (</w:t>
      </w:r>
      <w:hyperlink r:id="rId15" w:history="1">
        <w:r w:rsidRPr="008D799D">
          <w:rPr>
            <w:rStyle w:val="Hyperlink"/>
            <w:b w:val="0"/>
            <w:bCs/>
            <w:sz w:val="18"/>
            <w:szCs w:val="18"/>
          </w:rPr>
          <w:t>CCPR/C/74/D/721/1996</w:t>
        </w:r>
      </w:hyperlink>
      <w:r w:rsidRPr="008D799D">
        <w:rPr>
          <w:sz w:val="18"/>
          <w:szCs w:val="18"/>
          <w:rtl/>
        </w:rPr>
        <w:t>)، الفقرة 6-6، و</w:t>
      </w:r>
      <w:r w:rsidRPr="008D799D">
        <w:rPr>
          <w:i/>
          <w:iCs/>
          <w:sz w:val="18"/>
          <w:szCs w:val="18"/>
          <w:rtl/>
        </w:rPr>
        <w:t>ليفين ضد كازاخستان</w:t>
      </w:r>
      <w:r w:rsidRPr="008D799D">
        <w:rPr>
          <w:sz w:val="18"/>
          <w:szCs w:val="18"/>
          <w:rtl/>
        </w:rPr>
        <w:t xml:space="preserve"> (</w:t>
      </w:r>
      <w:hyperlink r:id="rId16" w:history="1">
        <w:r w:rsidRPr="008D799D">
          <w:rPr>
            <w:rStyle w:val="Hyperlink"/>
            <w:b w:val="0"/>
            <w:bCs/>
            <w:sz w:val="18"/>
            <w:szCs w:val="18"/>
          </w:rPr>
          <w:t>CCPR/C/112/D/2131/2012</w:t>
        </w:r>
      </w:hyperlink>
      <w:r w:rsidRPr="008D799D">
        <w:rPr>
          <w:sz w:val="18"/>
          <w:szCs w:val="18"/>
          <w:rtl/>
        </w:rPr>
        <w:t>)، الفقرة 9-2.</w:t>
      </w:r>
    </w:p>
  </w:footnote>
  <w:footnote w:id="19">
    <w:p w14:paraId="757805C4" w14:textId="77777777" w:rsidR="008D799D" w:rsidRPr="008D799D" w:rsidRDefault="008D799D" w:rsidP="008D799D">
      <w:pPr>
        <w:pStyle w:val="HChG"/>
        <w:keepNext w:val="0"/>
        <w:keepLines w:val="0"/>
        <w:tabs>
          <w:tab w:val="clear" w:pos="851"/>
        </w:tabs>
        <w:bidi/>
        <w:spacing w:before="0" w:after="60" w:line="280" w:lineRule="exact"/>
        <w:ind w:left="1247" w:right="1247" w:hanging="567"/>
        <w:jc w:val="lowKashida"/>
        <w:rPr>
          <w:sz w:val="18"/>
          <w:szCs w:val="18"/>
          <w:lang w:val="ar-SA" w:eastAsia="zh-TW" w:bidi="en-GB"/>
        </w:rPr>
      </w:pPr>
      <w:r w:rsidRPr="008D799D">
        <w:rPr>
          <w:rStyle w:val="FootnoteReference"/>
          <w:sz w:val="18"/>
          <w:vertAlign w:val="baseline"/>
          <w:rtl/>
        </w:rPr>
        <w:t>(</w:t>
      </w:r>
      <w:r w:rsidRPr="003A28ED">
        <w:rPr>
          <w:rStyle w:val="FootnoteReference"/>
          <w:rFonts w:ascii="Simplified Arabic" w:hAnsi="Simplified Arabic"/>
          <w:b w:val="0"/>
          <w:sz w:val="18"/>
          <w:vertAlign w:val="baseline"/>
          <w:lang w:val="en-US"/>
        </w:rPr>
        <w:footnoteRef/>
      </w:r>
      <w:r w:rsidRPr="008D799D">
        <w:rPr>
          <w:rStyle w:val="FootnoteReference"/>
          <w:sz w:val="18"/>
          <w:vertAlign w:val="baseline"/>
          <w:rtl/>
        </w:rPr>
        <w:t>)</w:t>
      </w:r>
      <w:r w:rsidRPr="008D799D">
        <w:rPr>
          <w:sz w:val="18"/>
          <w:szCs w:val="18"/>
          <w:rtl/>
        </w:rPr>
        <w:tab/>
        <w:t>انظر التعليق العام رقم 22(1993)، الفقرة 8، و</w:t>
      </w:r>
      <w:r w:rsidRPr="008D799D">
        <w:rPr>
          <w:i/>
          <w:iCs/>
          <w:sz w:val="18"/>
          <w:szCs w:val="18"/>
          <w:rtl/>
        </w:rPr>
        <w:t>ليفين ضد كازاخستان</w:t>
      </w:r>
      <w:r w:rsidRPr="008D799D">
        <w:rPr>
          <w:sz w:val="18"/>
          <w:szCs w:val="18"/>
          <w:rtl/>
        </w:rPr>
        <w:t>، الفقرة 9-3.</w:t>
      </w:r>
    </w:p>
  </w:footnote>
  <w:footnote w:id="20">
    <w:p w14:paraId="7EF7740C" w14:textId="77777777" w:rsidR="008D799D" w:rsidRPr="008D799D" w:rsidRDefault="008D799D" w:rsidP="008D799D">
      <w:pPr>
        <w:pStyle w:val="HChG"/>
        <w:keepNext w:val="0"/>
        <w:keepLines w:val="0"/>
        <w:tabs>
          <w:tab w:val="clear" w:pos="851"/>
        </w:tabs>
        <w:bidi/>
        <w:spacing w:before="0" w:after="60" w:line="280" w:lineRule="exact"/>
        <w:ind w:left="1247" w:right="1247" w:hanging="567"/>
        <w:jc w:val="lowKashida"/>
        <w:rPr>
          <w:sz w:val="18"/>
          <w:szCs w:val="18"/>
          <w:lang w:val="ar-SA" w:eastAsia="zh-TW" w:bidi="en-GB"/>
        </w:rPr>
      </w:pPr>
      <w:r w:rsidRPr="008D799D">
        <w:rPr>
          <w:rStyle w:val="FootnoteReference"/>
          <w:sz w:val="18"/>
          <w:vertAlign w:val="baseline"/>
          <w:rtl/>
        </w:rPr>
        <w:t>(</w:t>
      </w:r>
      <w:r w:rsidRPr="003A28ED">
        <w:rPr>
          <w:rStyle w:val="FootnoteReference"/>
          <w:rFonts w:ascii="Simplified Arabic" w:hAnsi="Simplified Arabic"/>
          <w:b w:val="0"/>
          <w:sz w:val="18"/>
          <w:vertAlign w:val="baseline"/>
          <w:lang w:val="en-US"/>
        </w:rPr>
        <w:footnoteRef/>
      </w:r>
      <w:r w:rsidRPr="008D799D">
        <w:rPr>
          <w:rStyle w:val="FootnoteReference"/>
          <w:sz w:val="18"/>
          <w:vertAlign w:val="baseline"/>
          <w:rtl/>
        </w:rPr>
        <w:t>)</w:t>
      </w:r>
      <w:r w:rsidRPr="008D799D">
        <w:rPr>
          <w:sz w:val="18"/>
          <w:szCs w:val="18"/>
          <w:rtl/>
        </w:rPr>
        <w:tab/>
        <w:t>اللجنة المعنية بحقوق الإنسان، مبادئ توجيهية بشأن تدابير الجبر في إطار</w:t>
      </w:r>
      <w:r w:rsidRPr="008D799D">
        <w:rPr>
          <w:rFonts w:hint="cs"/>
          <w:sz w:val="18"/>
          <w:szCs w:val="18"/>
          <w:rtl/>
        </w:rPr>
        <w:t xml:space="preserve"> </w:t>
      </w:r>
      <w:r w:rsidRPr="008D799D">
        <w:rPr>
          <w:sz w:val="18"/>
          <w:szCs w:val="18"/>
          <w:rtl/>
        </w:rPr>
        <w:t>البروتوكول الاختياري الملحق بالعهد الدولي الخاص</w:t>
      </w:r>
      <w:r w:rsidRPr="008D799D">
        <w:rPr>
          <w:rFonts w:hint="cs"/>
          <w:sz w:val="18"/>
          <w:szCs w:val="18"/>
          <w:rtl/>
        </w:rPr>
        <w:t> </w:t>
      </w:r>
      <w:r w:rsidRPr="008D799D">
        <w:rPr>
          <w:sz w:val="18"/>
          <w:szCs w:val="18"/>
          <w:rtl/>
        </w:rPr>
        <w:t>بالحقوق المدنية والسياسية (</w:t>
      </w:r>
      <w:hyperlink r:id="rId17" w:history="1">
        <w:r w:rsidRPr="008D799D">
          <w:rPr>
            <w:rStyle w:val="Hyperlink"/>
            <w:b w:val="0"/>
            <w:bCs/>
            <w:sz w:val="18"/>
            <w:szCs w:val="18"/>
          </w:rPr>
          <w:t>CCPR/C/158</w:t>
        </w:r>
      </w:hyperlink>
      <w:r w:rsidRPr="008D799D">
        <w:rPr>
          <w:sz w:val="18"/>
          <w:szCs w:val="18"/>
          <w:rtl/>
        </w:rPr>
        <w:t xml:space="preserve">). وانظر، في جملة أمور، </w:t>
      </w:r>
      <w:r w:rsidRPr="008D799D">
        <w:rPr>
          <w:b w:val="0"/>
          <w:bCs/>
          <w:sz w:val="18"/>
          <w:szCs w:val="18"/>
        </w:rPr>
        <w:t xml:space="preserve">William A. Schabas, </w:t>
      </w:r>
      <w:r w:rsidRPr="008D799D">
        <w:rPr>
          <w:b w:val="0"/>
          <w:bCs/>
          <w:i/>
          <w:iCs/>
          <w:sz w:val="18"/>
          <w:szCs w:val="18"/>
        </w:rPr>
        <w:t>Nowak’s CCPR Commentary</w:t>
      </w:r>
      <w:r w:rsidRPr="008D799D">
        <w:rPr>
          <w:b w:val="0"/>
          <w:bCs/>
          <w:sz w:val="18"/>
          <w:szCs w:val="18"/>
        </w:rPr>
        <w:t>, 3rd revised ed. (Kehl, Germany, N.P. Engel, 2019)</w:t>
      </w:r>
      <w:r w:rsidRPr="008D799D">
        <w:rPr>
          <w:rFonts w:hint="cs"/>
          <w:sz w:val="18"/>
          <w:szCs w:val="18"/>
          <w:rtl/>
        </w:rPr>
        <w:t>،</w:t>
      </w:r>
      <w:r w:rsidRPr="008D799D">
        <w:rPr>
          <w:sz w:val="18"/>
          <w:szCs w:val="18"/>
          <w:rtl/>
        </w:rPr>
        <w:t xml:space="preserve"> ص. 63-75</w:t>
      </w:r>
    </w:p>
  </w:footnote>
  <w:footnote w:id="21">
    <w:p w14:paraId="1DE4EBFE" w14:textId="77777777" w:rsidR="008D799D" w:rsidRPr="008D799D" w:rsidRDefault="008D799D" w:rsidP="008D799D">
      <w:pPr>
        <w:pStyle w:val="HChG"/>
        <w:keepNext w:val="0"/>
        <w:keepLines w:val="0"/>
        <w:tabs>
          <w:tab w:val="clear" w:pos="851"/>
        </w:tabs>
        <w:bidi/>
        <w:spacing w:before="0" w:after="60" w:line="280" w:lineRule="exact"/>
        <w:ind w:left="1247" w:right="1247" w:hanging="567"/>
        <w:jc w:val="lowKashida"/>
        <w:rPr>
          <w:sz w:val="18"/>
          <w:szCs w:val="18"/>
          <w:lang w:val="ar-SA" w:eastAsia="zh-TW" w:bidi="en-GB"/>
        </w:rPr>
      </w:pPr>
      <w:r w:rsidRPr="008D799D">
        <w:rPr>
          <w:rStyle w:val="FootnoteReference"/>
          <w:sz w:val="18"/>
          <w:vertAlign w:val="baseline"/>
          <w:rtl/>
        </w:rPr>
        <w:t>(</w:t>
      </w:r>
      <w:r w:rsidRPr="003A28ED">
        <w:rPr>
          <w:rStyle w:val="FootnoteReference"/>
          <w:rFonts w:ascii="Simplified Arabic" w:hAnsi="Simplified Arabic"/>
          <w:b w:val="0"/>
          <w:sz w:val="18"/>
          <w:vertAlign w:val="baseline"/>
          <w:lang w:val="en-US"/>
        </w:rPr>
        <w:footnoteRef/>
      </w:r>
      <w:r w:rsidRPr="008D799D">
        <w:rPr>
          <w:rStyle w:val="FootnoteReference"/>
          <w:sz w:val="18"/>
          <w:vertAlign w:val="baseline"/>
          <w:rtl/>
        </w:rPr>
        <w:t>)</w:t>
      </w:r>
      <w:r w:rsidRPr="008D799D">
        <w:rPr>
          <w:sz w:val="18"/>
          <w:szCs w:val="18"/>
          <w:rtl/>
        </w:rPr>
        <w:tab/>
        <w:t>صاحبُ البلاغ من رعايا الاتحاد الروسي وقد رفع دعاوى ضد طاجيكستان. وفي 30 تشرين الأول/أكتوبر 2018، رُحّل صاحب البلاغ من طاجيكستان، لكن سُمح له باختيار ترحيله إلى كازاخستان بدلاً من ترحيله إلى الاتحاد الروسي (الفقرة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A90C" w14:textId="7DC2409F" w:rsidR="00B82AEE" w:rsidRPr="00B82AEE" w:rsidRDefault="00B82AEE" w:rsidP="00B82AEE">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552F1">
      <w:t>CCPR/C/133/D/3258/2018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CE0E" w14:textId="558BFDC5" w:rsidR="00B82AEE" w:rsidRPr="00B82AEE" w:rsidRDefault="00B82AEE" w:rsidP="00B82AEE">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552F1">
      <w:t>CCPR/C/133/D/3258/2018</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7"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7" w15:restartNumberingAfterBreak="0">
    <w:nsid w:val="483A2B3D"/>
    <w:multiLevelType w:val="hybridMultilevel"/>
    <w:tmpl w:val="D53E306E"/>
    <w:lvl w:ilvl="0" w:tplc="AD2AA97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A009AD"/>
    <w:multiLevelType w:val="multilevel"/>
    <w:tmpl w:val="CEC298B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0"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5"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9BD3809"/>
    <w:multiLevelType w:val="hybridMultilevel"/>
    <w:tmpl w:val="AC8C0378"/>
    <w:lvl w:ilvl="0" w:tplc="10FE40D6">
      <w:start w:val="1"/>
      <w:numFmt w:val="decimal"/>
      <w:lvlText w:val="%1."/>
      <w:lvlJc w:val="left"/>
      <w:pPr>
        <w:ind w:left="7097" w:hanging="576"/>
      </w:pPr>
      <w:rPr>
        <w:rFonts w:hint="default"/>
      </w:rPr>
    </w:lvl>
    <w:lvl w:ilvl="1" w:tplc="08090019" w:tentative="1">
      <w:start w:val="1"/>
      <w:numFmt w:val="lowerLetter"/>
      <w:lvlText w:val="%2."/>
      <w:lvlJc w:val="left"/>
      <w:pPr>
        <w:ind w:left="7601" w:hanging="360"/>
      </w:pPr>
    </w:lvl>
    <w:lvl w:ilvl="2" w:tplc="0809001B" w:tentative="1">
      <w:start w:val="1"/>
      <w:numFmt w:val="lowerRoman"/>
      <w:lvlText w:val="%3."/>
      <w:lvlJc w:val="right"/>
      <w:pPr>
        <w:ind w:left="8321" w:hanging="180"/>
      </w:pPr>
    </w:lvl>
    <w:lvl w:ilvl="3" w:tplc="0809000F" w:tentative="1">
      <w:start w:val="1"/>
      <w:numFmt w:val="decimal"/>
      <w:lvlText w:val="%4."/>
      <w:lvlJc w:val="left"/>
      <w:pPr>
        <w:ind w:left="9041" w:hanging="360"/>
      </w:pPr>
    </w:lvl>
    <w:lvl w:ilvl="4" w:tplc="08090019" w:tentative="1">
      <w:start w:val="1"/>
      <w:numFmt w:val="lowerLetter"/>
      <w:lvlText w:val="%5."/>
      <w:lvlJc w:val="left"/>
      <w:pPr>
        <w:ind w:left="9761" w:hanging="360"/>
      </w:pPr>
    </w:lvl>
    <w:lvl w:ilvl="5" w:tplc="0809001B" w:tentative="1">
      <w:start w:val="1"/>
      <w:numFmt w:val="lowerRoman"/>
      <w:lvlText w:val="%6."/>
      <w:lvlJc w:val="right"/>
      <w:pPr>
        <w:ind w:left="10481" w:hanging="180"/>
      </w:pPr>
    </w:lvl>
    <w:lvl w:ilvl="6" w:tplc="0809000F" w:tentative="1">
      <w:start w:val="1"/>
      <w:numFmt w:val="decimal"/>
      <w:lvlText w:val="%7."/>
      <w:lvlJc w:val="left"/>
      <w:pPr>
        <w:ind w:left="11201" w:hanging="360"/>
      </w:pPr>
    </w:lvl>
    <w:lvl w:ilvl="7" w:tplc="08090019" w:tentative="1">
      <w:start w:val="1"/>
      <w:numFmt w:val="lowerLetter"/>
      <w:lvlText w:val="%8."/>
      <w:lvlJc w:val="left"/>
      <w:pPr>
        <w:ind w:left="11921" w:hanging="360"/>
      </w:pPr>
    </w:lvl>
    <w:lvl w:ilvl="8" w:tplc="0809001B" w:tentative="1">
      <w:start w:val="1"/>
      <w:numFmt w:val="lowerRoman"/>
      <w:lvlText w:val="%9."/>
      <w:lvlJc w:val="right"/>
      <w:pPr>
        <w:ind w:left="12641" w:hanging="180"/>
      </w:pPr>
    </w:lvl>
  </w:abstractNum>
  <w:abstractNum w:abstractNumId="29"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9"/>
  </w:num>
  <w:num w:numId="2">
    <w:abstractNumId w:val="18"/>
  </w:num>
  <w:num w:numId="3">
    <w:abstractNumId w:val="2"/>
  </w:num>
  <w:num w:numId="4">
    <w:abstractNumId w:val="16"/>
  </w:num>
  <w:num w:numId="5">
    <w:abstractNumId w:val="13"/>
  </w:num>
  <w:num w:numId="6">
    <w:abstractNumId w:val="9"/>
  </w:num>
  <w:num w:numId="7">
    <w:abstractNumId w:val="33"/>
  </w:num>
  <w:num w:numId="8">
    <w:abstractNumId w:val="2"/>
  </w:num>
  <w:num w:numId="9">
    <w:abstractNumId w:val="16"/>
  </w:num>
  <w:num w:numId="10">
    <w:abstractNumId w:val="9"/>
  </w:num>
  <w:num w:numId="11">
    <w:abstractNumId w:val="33"/>
  </w:num>
  <w:num w:numId="12">
    <w:abstractNumId w:val="2"/>
  </w:num>
  <w:num w:numId="13">
    <w:abstractNumId w:val="16"/>
  </w:num>
  <w:num w:numId="14">
    <w:abstractNumId w:val="13"/>
  </w:num>
  <w:num w:numId="15">
    <w:abstractNumId w:val="9"/>
  </w:num>
  <w:num w:numId="16">
    <w:abstractNumId w:val="33"/>
  </w:num>
  <w:num w:numId="17">
    <w:abstractNumId w:val="7"/>
  </w:num>
  <w:num w:numId="18">
    <w:abstractNumId w:val="3"/>
  </w:num>
  <w:num w:numId="19">
    <w:abstractNumId w:val="30"/>
  </w:num>
  <w:num w:numId="20">
    <w:abstractNumId w:val="21"/>
  </w:num>
  <w:num w:numId="21">
    <w:abstractNumId w:val="1"/>
  </w:num>
  <w:num w:numId="22">
    <w:abstractNumId w:val="27"/>
  </w:num>
  <w:num w:numId="23">
    <w:abstractNumId w:val="0"/>
  </w:num>
  <w:num w:numId="24">
    <w:abstractNumId w:val="14"/>
  </w:num>
  <w:num w:numId="25">
    <w:abstractNumId w:val="27"/>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11"/>
  </w:num>
  <w:num w:numId="31">
    <w:abstractNumId w:val="10"/>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10"/>
  </w:num>
  <w:num w:numId="33">
    <w:abstractNumId w:val="12"/>
  </w:num>
  <w:num w:numId="34">
    <w:abstractNumId w:val="8"/>
  </w:num>
  <w:num w:numId="35">
    <w:abstractNumId w:val="22"/>
  </w:num>
  <w:num w:numId="36">
    <w:abstractNumId w:val="23"/>
  </w:num>
  <w:num w:numId="37">
    <w:abstractNumId w:val="31"/>
  </w:num>
  <w:num w:numId="38">
    <w:abstractNumId w:val="5"/>
  </w:num>
  <w:num w:numId="39">
    <w:abstractNumId w:val="26"/>
  </w:num>
  <w:num w:numId="40">
    <w:abstractNumId w:val="24"/>
  </w:num>
  <w:num w:numId="41">
    <w:abstractNumId w:val="4"/>
  </w:num>
  <w:num w:numId="42">
    <w:abstractNumId w:val="25"/>
  </w:num>
  <w:num w:numId="43">
    <w:abstractNumId w:val="32"/>
  </w:num>
  <w:num w:numId="44">
    <w:abstractNumId w:val="6"/>
  </w:num>
  <w:num w:numId="45">
    <w:abstractNumId w:val="20"/>
  </w:num>
  <w:num w:numId="46">
    <w:abstractNumId w:val="19"/>
  </w:num>
  <w:num w:numId="47">
    <w:abstractNumId w:val="1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567"/>
  <w:evenAndOddHeaders/>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FF"/>
    <w:rsid w:val="000076D5"/>
    <w:rsid w:val="000432EF"/>
    <w:rsid w:val="00043663"/>
    <w:rsid w:val="000437B8"/>
    <w:rsid w:val="00044BB3"/>
    <w:rsid w:val="000505CF"/>
    <w:rsid w:val="00087CCD"/>
    <w:rsid w:val="000A4FE8"/>
    <w:rsid w:val="000B2E3B"/>
    <w:rsid w:val="000C033F"/>
    <w:rsid w:val="000C5688"/>
    <w:rsid w:val="000D701C"/>
    <w:rsid w:val="000E2A71"/>
    <w:rsid w:val="00141306"/>
    <w:rsid w:val="00145577"/>
    <w:rsid w:val="00160263"/>
    <w:rsid w:val="00181F96"/>
    <w:rsid w:val="001872B1"/>
    <w:rsid w:val="001A1371"/>
    <w:rsid w:val="001B043F"/>
    <w:rsid w:val="001B346A"/>
    <w:rsid w:val="001E1CAD"/>
    <w:rsid w:val="001E290D"/>
    <w:rsid w:val="002029C6"/>
    <w:rsid w:val="002144FA"/>
    <w:rsid w:val="00217B9D"/>
    <w:rsid w:val="0023192C"/>
    <w:rsid w:val="0023469A"/>
    <w:rsid w:val="00243C8A"/>
    <w:rsid w:val="00256A6C"/>
    <w:rsid w:val="00267A0E"/>
    <w:rsid w:val="002901D9"/>
    <w:rsid w:val="00292F0E"/>
    <w:rsid w:val="002976C2"/>
    <w:rsid w:val="003068BC"/>
    <w:rsid w:val="003260FF"/>
    <w:rsid w:val="00343D95"/>
    <w:rsid w:val="00363A18"/>
    <w:rsid w:val="00374341"/>
    <w:rsid w:val="003A28ED"/>
    <w:rsid w:val="003A6C79"/>
    <w:rsid w:val="003D1062"/>
    <w:rsid w:val="00402051"/>
    <w:rsid w:val="00420D7B"/>
    <w:rsid w:val="00422D1C"/>
    <w:rsid w:val="00450B21"/>
    <w:rsid w:val="00453B63"/>
    <w:rsid w:val="004552F1"/>
    <w:rsid w:val="00455780"/>
    <w:rsid w:val="0046323F"/>
    <w:rsid w:val="004B0A1C"/>
    <w:rsid w:val="004B27E0"/>
    <w:rsid w:val="004D298E"/>
    <w:rsid w:val="004F39FB"/>
    <w:rsid w:val="005044B3"/>
    <w:rsid w:val="00517BC9"/>
    <w:rsid w:val="00521BC6"/>
    <w:rsid w:val="0054472E"/>
    <w:rsid w:val="005662A9"/>
    <w:rsid w:val="005827D4"/>
    <w:rsid w:val="0058508B"/>
    <w:rsid w:val="0059622A"/>
    <w:rsid w:val="005A6940"/>
    <w:rsid w:val="005B51C4"/>
    <w:rsid w:val="005C0061"/>
    <w:rsid w:val="005C1A67"/>
    <w:rsid w:val="005C5878"/>
    <w:rsid w:val="005C7CEA"/>
    <w:rsid w:val="005D3C0B"/>
    <w:rsid w:val="005E5217"/>
    <w:rsid w:val="005F0FA4"/>
    <w:rsid w:val="005F30EE"/>
    <w:rsid w:val="005F5271"/>
    <w:rsid w:val="0060473A"/>
    <w:rsid w:val="00610CEC"/>
    <w:rsid w:val="00617024"/>
    <w:rsid w:val="00621120"/>
    <w:rsid w:val="00652221"/>
    <w:rsid w:val="006544A8"/>
    <w:rsid w:val="00656392"/>
    <w:rsid w:val="00661D97"/>
    <w:rsid w:val="006645EC"/>
    <w:rsid w:val="0068781D"/>
    <w:rsid w:val="006959B0"/>
    <w:rsid w:val="006B3E27"/>
    <w:rsid w:val="006B6507"/>
    <w:rsid w:val="006C104C"/>
    <w:rsid w:val="006C632E"/>
    <w:rsid w:val="006F3D26"/>
    <w:rsid w:val="00717FB3"/>
    <w:rsid w:val="00730446"/>
    <w:rsid w:val="00733704"/>
    <w:rsid w:val="007748F2"/>
    <w:rsid w:val="0078071A"/>
    <w:rsid w:val="00787022"/>
    <w:rsid w:val="00787E1E"/>
    <w:rsid w:val="007F3C17"/>
    <w:rsid w:val="008500FF"/>
    <w:rsid w:val="00852A9A"/>
    <w:rsid w:val="008862FE"/>
    <w:rsid w:val="008A49D2"/>
    <w:rsid w:val="008D799D"/>
    <w:rsid w:val="008F49E1"/>
    <w:rsid w:val="008F576E"/>
    <w:rsid w:val="0090370F"/>
    <w:rsid w:val="009269D2"/>
    <w:rsid w:val="00942135"/>
    <w:rsid w:val="00944B2A"/>
    <w:rsid w:val="009521B0"/>
    <w:rsid w:val="00957437"/>
    <w:rsid w:val="00982139"/>
    <w:rsid w:val="009867A8"/>
    <w:rsid w:val="009877B8"/>
    <w:rsid w:val="00991F44"/>
    <w:rsid w:val="00996849"/>
    <w:rsid w:val="009A0CFB"/>
    <w:rsid w:val="009A7E9F"/>
    <w:rsid w:val="009C17EC"/>
    <w:rsid w:val="009E5018"/>
    <w:rsid w:val="009F3EA4"/>
    <w:rsid w:val="009F6575"/>
    <w:rsid w:val="00A03700"/>
    <w:rsid w:val="00A053F2"/>
    <w:rsid w:val="00A1023D"/>
    <w:rsid w:val="00A12B37"/>
    <w:rsid w:val="00A54828"/>
    <w:rsid w:val="00A903BB"/>
    <w:rsid w:val="00A91820"/>
    <w:rsid w:val="00A956E0"/>
    <w:rsid w:val="00A97E1F"/>
    <w:rsid w:val="00AB512E"/>
    <w:rsid w:val="00AB6758"/>
    <w:rsid w:val="00AB727F"/>
    <w:rsid w:val="00B13763"/>
    <w:rsid w:val="00B477A4"/>
    <w:rsid w:val="00B54045"/>
    <w:rsid w:val="00B62CC5"/>
    <w:rsid w:val="00B63ADD"/>
    <w:rsid w:val="00B66420"/>
    <w:rsid w:val="00B74720"/>
    <w:rsid w:val="00B82AEE"/>
    <w:rsid w:val="00BA756F"/>
    <w:rsid w:val="00BB09A0"/>
    <w:rsid w:val="00BC5AF2"/>
    <w:rsid w:val="00C175A6"/>
    <w:rsid w:val="00C30B90"/>
    <w:rsid w:val="00C41DCF"/>
    <w:rsid w:val="00C42AF7"/>
    <w:rsid w:val="00C438D7"/>
    <w:rsid w:val="00C62C20"/>
    <w:rsid w:val="00C81B50"/>
    <w:rsid w:val="00C902EF"/>
    <w:rsid w:val="00CB0011"/>
    <w:rsid w:val="00CB6622"/>
    <w:rsid w:val="00CD1801"/>
    <w:rsid w:val="00CF56F9"/>
    <w:rsid w:val="00CF65C6"/>
    <w:rsid w:val="00D00A89"/>
    <w:rsid w:val="00D10EF1"/>
    <w:rsid w:val="00D30F1E"/>
    <w:rsid w:val="00D42810"/>
    <w:rsid w:val="00D60DD5"/>
    <w:rsid w:val="00D80BA4"/>
    <w:rsid w:val="00D914A7"/>
    <w:rsid w:val="00D96586"/>
    <w:rsid w:val="00DA0C56"/>
    <w:rsid w:val="00DA5A14"/>
    <w:rsid w:val="00DC4D4B"/>
    <w:rsid w:val="00DD13C3"/>
    <w:rsid w:val="00DD596E"/>
    <w:rsid w:val="00DD621E"/>
    <w:rsid w:val="00DE50B1"/>
    <w:rsid w:val="00DF0138"/>
    <w:rsid w:val="00DF0575"/>
    <w:rsid w:val="00E2228E"/>
    <w:rsid w:val="00E66F61"/>
    <w:rsid w:val="00E70E04"/>
    <w:rsid w:val="00E77E6C"/>
    <w:rsid w:val="00E83ED5"/>
    <w:rsid w:val="00EA4AAE"/>
    <w:rsid w:val="00EC05A7"/>
    <w:rsid w:val="00EC4B6B"/>
    <w:rsid w:val="00EC5F7D"/>
    <w:rsid w:val="00EC68A5"/>
    <w:rsid w:val="00ED7442"/>
    <w:rsid w:val="00EF1EE5"/>
    <w:rsid w:val="00EF23BD"/>
    <w:rsid w:val="00EF583E"/>
    <w:rsid w:val="00EF5C43"/>
    <w:rsid w:val="00F10DAB"/>
    <w:rsid w:val="00F46D42"/>
    <w:rsid w:val="00F763B4"/>
    <w:rsid w:val="00F900C3"/>
    <w:rsid w:val="00FC6EDD"/>
    <w:rsid w:val="00FD46E2"/>
    <w:rsid w:val="00FE502A"/>
    <w:rsid w:val="00FF2AB2"/>
    <w:rsid w:val="00FF6AD6"/>
    <w:rsid w:val="00FF6ECD"/>
    <w:rsid w:val="00FF7D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9872D82"/>
  <w15:docId w15:val="{B198EF9D-3EFE-45E3-87B6-0C3ED90B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uiPriority w:val="99"/>
    <w:qFormat/>
    <w:rsid w:val="00621120"/>
    <w:pPr>
      <w:bidi w:val="0"/>
      <w:outlineLvl w:val="0"/>
    </w:pPr>
  </w:style>
  <w:style w:type="paragraph" w:styleId="Heading2">
    <w:name w:val="heading 2"/>
    <w:basedOn w:val="Normal"/>
    <w:next w:val="Normal"/>
    <w:link w:val="Heading2Char"/>
    <w:uiPriority w:val="99"/>
    <w:unhideWhenUsed/>
    <w:qFormat/>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9"/>
    <w:unhideWhenUsed/>
    <w:qFormat/>
    <w:rsid w:val="00621120"/>
    <w:pPr>
      <w:keepNext/>
      <w:keepLines/>
      <w:spacing w:before="200"/>
      <w:outlineLvl w:val="2"/>
    </w:pPr>
    <w:rPr>
      <w:b/>
      <w:bCs/>
      <w:color w:val="4F81BD"/>
    </w:rPr>
  </w:style>
  <w:style w:type="paragraph" w:styleId="Heading4">
    <w:name w:val="heading 4"/>
    <w:basedOn w:val="Normal"/>
    <w:next w:val="Normal"/>
    <w:link w:val="Heading4Char"/>
    <w:uiPriority w:val="99"/>
    <w:unhideWhenUsed/>
    <w:qFormat/>
    <w:rsid w:val="00621120"/>
    <w:pPr>
      <w:keepNext/>
      <w:keepLines/>
      <w:spacing w:before="200"/>
      <w:outlineLvl w:val="3"/>
    </w:pPr>
    <w:rPr>
      <w:b/>
      <w:bCs/>
      <w:i/>
      <w:iCs/>
      <w:color w:val="4F81BD"/>
    </w:rPr>
  </w:style>
  <w:style w:type="paragraph" w:styleId="Heading5">
    <w:name w:val="heading 5"/>
    <w:basedOn w:val="Normal"/>
    <w:next w:val="Normal"/>
    <w:link w:val="Heading5Char"/>
    <w:uiPriority w:val="99"/>
    <w:unhideWhenUsed/>
    <w:qFormat/>
    <w:rsid w:val="00621120"/>
    <w:pPr>
      <w:keepNext/>
      <w:keepLines/>
      <w:spacing w:before="200"/>
      <w:outlineLvl w:val="4"/>
    </w:pPr>
    <w:rPr>
      <w:color w:val="243F60"/>
    </w:rPr>
  </w:style>
  <w:style w:type="paragraph" w:styleId="Heading6">
    <w:name w:val="heading 6"/>
    <w:basedOn w:val="Normal"/>
    <w:next w:val="Normal"/>
    <w:link w:val="Heading6Char"/>
    <w:uiPriority w:val="99"/>
    <w:unhideWhenUsed/>
    <w:qFormat/>
    <w:rsid w:val="00621120"/>
    <w:pPr>
      <w:keepNext/>
      <w:keepLines/>
      <w:spacing w:before="200"/>
      <w:outlineLvl w:val="5"/>
    </w:pPr>
    <w:rPr>
      <w:i/>
      <w:iCs/>
      <w:color w:val="243F60"/>
    </w:rPr>
  </w:style>
  <w:style w:type="paragraph" w:styleId="Heading7">
    <w:name w:val="heading 7"/>
    <w:basedOn w:val="Normal"/>
    <w:next w:val="Normal"/>
    <w:link w:val="Heading7Char"/>
    <w:uiPriority w:val="99"/>
    <w:unhideWhenUsed/>
    <w:qFormat/>
    <w:rsid w:val="00621120"/>
    <w:pPr>
      <w:keepNext/>
      <w:keepLines/>
      <w:spacing w:before="200"/>
      <w:outlineLvl w:val="6"/>
    </w:pPr>
    <w:rPr>
      <w:i/>
      <w:iCs/>
      <w:color w:val="404040"/>
    </w:rPr>
  </w:style>
  <w:style w:type="paragraph" w:styleId="Heading8">
    <w:name w:val="heading 8"/>
    <w:basedOn w:val="Normal"/>
    <w:next w:val="Normal"/>
    <w:link w:val="Heading8Char"/>
    <w:uiPriority w:val="99"/>
    <w:unhideWhenUsed/>
    <w:qFormat/>
    <w:rsid w:val="00621120"/>
    <w:pPr>
      <w:keepNext/>
      <w:keepLines/>
      <w:spacing w:before="200"/>
      <w:outlineLvl w:val="7"/>
    </w:pPr>
    <w:rPr>
      <w:color w:val="404040"/>
      <w:szCs w:val="20"/>
    </w:rPr>
  </w:style>
  <w:style w:type="paragraph" w:styleId="Heading9">
    <w:name w:val="heading 9"/>
    <w:basedOn w:val="Normal"/>
    <w:next w:val="Normal"/>
    <w:link w:val="Heading9Char"/>
    <w:uiPriority w:val="99"/>
    <w:unhideWhenUsed/>
    <w:qFormat/>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uiPriority w:val="99"/>
    <w:rsid w:val="00621120"/>
    <w:rPr>
      <w:rFonts w:ascii="Times New Roman" w:eastAsia="PMingLiU" w:hAnsi="Times New Roman" w:cs="Simplified Arabic"/>
      <w:sz w:val="22"/>
      <w:szCs w:val="22"/>
      <w:lang w:val="en-GB" w:eastAsia="en-US"/>
    </w:rPr>
  </w:style>
  <w:style w:type="character" w:styleId="PageNumber">
    <w:name w:val="page number"/>
    <w:aliases w:val="7_GA,7_G"/>
    <w:uiPriority w:val="99"/>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 w:type="numbering" w:styleId="111111">
    <w:name w:val="Outline List 2"/>
    <w:basedOn w:val="NoList"/>
    <w:semiHidden/>
    <w:rsid w:val="0023192C"/>
    <w:pPr>
      <w:numPr>
        <w:numId w:val="36"/>
      </w:numPr>
    </w:pPr>
  </w:style>
  <w:style w:type="numbering" w:styleId="1ai">
    <w:name w:val="Outline List 1"/>
    <w:basedOn w:val="NoList"/>
    <w:semiHidden/>
    <w:rsid w:val="0023192C"/>
    <w:pPr>
      <w:numPr>
        <w:numId w:val="37"/>
      </w:numPr>
    </w:pPr>
  </w:style>
  <w:style w:type="character" w:customStyle="1" w:styleId="UnresolvedMention1">
    <w:name w:val="Unresolved Mention1"/>
    <w:basedOn w:val="DefaultParagraphFont"/>
    <w:uiPriority w:val="99"/>
    <w:semiHidden/>
    <w:unhideWhenUsed/>
    <w:rsid w:val="0023192C"/>
    <w:rPr>
      <w:color w:val="605E5C"/>
      <w:shd w:val="clear" w:color="auto" w:fill="E1DFDD"/>
    </w:rPr>
  </w:style>
  <w:style w:type="character" w:styleId="PlaceholderText">
    <w:name w:val="Placeholder Text"/>
    <w:basedOn w:val="DefaultParagraphFont"/>
    <w:uiPriority w:val="99"/>
    <w:semiHidden/>
    <w:rsid w:val="00DA0C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w.or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CCPR/C/113/D/2021/2010" TargetMode="External"/><Relationship Id="rId13" Type="http://schemas.openxmlformats.org/officeDocument/2006/relationships/hyperlink" Target="http://undocs.org/ar/CCPR/C/118/D/2152/2012" TargetMode="External"/><Relationship Id="rId3" Type="http://schemas.openxmlformats.org/officeDocument/2006/relationships/hyperlink" Target="http://undocs.org/ar/CCPR/C/118/D/2152/2012" TargetMode="External"/><Relationship Id="rId7" Type="http://schemas.openxmlformats.org/officeDocument/2006/relationships/hyperlink" Target="http://undocs.org/ar/CCPR/C/102/D/1814/2008" TargetMode="External"/><Relationship Id="rId12" Type="http://schemas.openxmlformats.org/officeDocument/2006/relationships/hyperlink" Target="http://undocs.org/ar/CCPR/C/115/D/2141/2012" TargetMode="External"/><Relationship Id="rId17" Type="http://schemas.openxmlformats.org/officeDocument/2006/relationships/hyperlink" Target="http://undocs.org/ar/CCPR/C/158" TargetMode="External"/><Relationship Id="rId2" Type="http://schemas.openxmlformats.org/officeDocument/2006/relationships/hyperlink" Target="http://www.jw.org/en/jehovahs-witnesses/faq/tolerant-of-other-religions" TargetMode="External"/><Relationship Id="rId16" Type="http://schemas.openxmlformats.org/officeDocument/2006/relationships/hyperlink" Target="http://undocs.org/ar/CCPR/C/112/D/2131/2012" TargetMode="External"/><Relationship Id="rId1" Type="http://schemas.openxmlformats.org/officeDocument/2006/relationships/hyperlink" Target="http://undocs.org/ar/CCPR/C/112/D/2137/2012" TargetMode="External"/><Relationship Id="rId6" Type="http://schemas.openxmlformats.org/officeDocument/2006/relationships/hyperlink" Target="http://undocs.org/ar/CCPR/C/105/D/1784/2008" TargetMode="External"/><Relationship Id="rId11" Type="http://schemas.openxmlformats.org/officeDocument/2006/relationships/hyperlink" Target="http://undocs.org/ar/CCPR/C/118/D/2152/2012" TargetMode="External"/><Relationship Id="rId5" Type="http://schemas.openxmlformats.org/officeDocument/2006/relationships/hyperlink" Target="http://undocs.org/ar/CCPR/C/109/D/1919&#8211;1920/2009" TargetMode="External"/><Relationship Id="rId15" Type="http://schemas.openxmlformats.org/officeDocument/2006/relationships/hyperlink" Target="http://undocs.org/ar/CCPR/C/74/D/721/1996" TargetMode="External"/><Relationship Id="rId10" Type="http://schemas.openxmlformats.org/officeDocument/2006/relationships/hyperlink" Target="http://undocs.org/ar/CCPR/C/111/D/2041/2011" TargetMode="External"/><Relationship Id="rId4" Type="http://schemas.openxmlformats.org/officeDocument/2006/relationships/hyperlink" Target="http://undocs.org/ar/CCPR/C/109/D/1851/2008" TargetMode="External"/><Relationship Id="rId9" Type="http://schemas.openxmlformats.org/officeDocument/2006/relationships/hyperlink" Target="http://undocs.org/ar/CCPR/C/109/D/1873/2009" TargetMode="External"/><Relationship Id="rId14" Type="http://schemas.openxmlformats.org/officeDocument/2006/relationships/hyperlink" Target="http://undocs.org/ar/CCPR/C/112/D/2137/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4895</Words>
  <Characters>27905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CCPR/C/133/D/3258/2018</vt:lpstr>
    </vt:vector>
  </TitlesOfParts>
  <Company>DCM</Company>
  <LinksUpToDate>false</LinksUpToDate>
  <CharactersWithSpaces>32735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CCPR/C/133/D/3258/2018</dc:title>
  <dc:subject>GE.2201046(A)</dc:subject>
  <dc:creator>Ihab RIZ - </dc:creator>
  <cp:keywords>GE.2223845(A)</cp:keywords>
  <dc:description>General_x000d_
_x000d_
Arabic_x000d_
English</dc:description>
  <cp:lastModifiedBy>Jamila Chedad</cp:lastModifiedBy>
  <cp:revision>3</cp:revision>
  <cp:lastPrinted>2022-03-23T14:34:00Z</cp:lastPrinted>
  <dcterms:created xsi:type="dcterms:W3CDTF">2022-03-23T14:34:00Z</dcterms:created>
  <dcterms:modified xsi:type="dcterms:W3CDTF">2022-03-23T14:35:00Z</dcterms:modified>
  <cp:category>Finale</cp:category>
</cp:coreProperties>
</file>