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FBCDB46" w14:textId="77777777" w:rsidTr="005B51C4">
        <w:trPr>
          <w:trHeight w:hRule="exact" w:val="851"/>
        </w:trPr>
        <w:tc>
          <w:tcPr>
            <w:tcW w:w="1274" w:type="dxa"/>
            <w:tcBorders>
              <w:bottom w:val="single" w:sz="4" w:space="0" w:color="auto"/>
            </w:tcBorders>
            <w:shd w:val="clear" w:color="auto" w:fill="auto"/>
          </w:tcPr>
          <w:p w14:paraId="221999FC" w14:textId="77777777" w:rsidR="006B3E27" w:rsidRPr="00C175A6" w:rsidRDefault="006B3E27" w:rsidP="008B08CD">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B3511B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DF58A06" w14:textId="509DB8F6" w:rsidR="006B3E27" w:rsidRPr="00670C05" w:rsidRDefault="00670C05" w:rsidP="00670C05">
            <w:pPr>
              <w:bidi w:val="0"/>
              <w:rPr>
                <w:szCs w:val="20"/>
              </w:rPr>
            </w:pPr>
            <w:r w:rsidRPr="004B691C">
              <w:rPr>
                <w:sz w:val="40"/>
                <w:szCs w:val="20"/>
              </w:rPr>
              <w:t>CCPR</w:t>
            </w:r>
            <w:r w:rsidRPr="004B691C">
              <w:rPr>
                <w:szCs w:val="20"/>
              </w:rPr>
              <w:t>/C/</w:t>
            </w:r>
            <w:r w:rsidRPr="00AB5A83">
              <w:rPr>
                <w:szCs w:val="20"/>
              </w:rPr>
              <w:t>132</w:t>
            </w:r>
            <w:r w:rsidRPr="004B691C">
              <w:rPr>
                <w:szCs w:val="20"/>
              </w:rPr>
              <w:t>/D/</w:t>
            </w:r>
            <w:r w:rsidRPr="00AB5A83">
              <w:rPr>
                <w:szCs w:val="20"/>
              </w:rPr>
              <w:t>2397</w:t>
            </w:r>
            <w:r w:rsidRPr="004B691C">
              <w:rPr>
                <w:szCs w:val="20"/>
              </w:rPr>
              <w:t>/</w:t>
            </w:r>
            <w:r w:rsidRPr="00AB5A83">
              <w:rPr>
                <w:szCs w:val="20"/>
              </w:rPr>
              <w:t>2014</w:t>
            </w:r>
          </w:p>
        </w:tc>
      </w:tr>
      <w:tr w:rsidR="006B3E27" w:rsidRPr="00C175A6" w14:paraId="2F100071" w14:textId="77777777" w:rsidTr="005B51C4">
        <w:trPr>
          <w:trHeight w:hRule="exact" w:val="2835"/>
        </w:trPr>
        <w:tc>
          <w:tcPr>
            <w:tcW w:w="1274" w:type="dxa"/>
            <w:tcBorders>
              <w:top w:val="single" w:sz="4" w:space="0" w:color="auto"/>
              <w:bottom w:val="single" w:sz="12" w:space="0" w:color="auto"/>
            </w:tcBorders>
            <w:shd w:val="clear" w:color="auto" w:fill="auto"/>
          </w:tcPr>
          <w:p w14:paraId="6B34F72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382ED0A" wp14:editId="70CC4F1A">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9F979A3" w14:textId="77777777" w:rsidR="006B3E27" w:rsidRPr="00AB5A83" w:rsidRDefault="00ED7442" w:rsidP="00730446">
            <w:pPr>
              <w:spacing w:before="120" w:after="40" w:line="640" w:lineRule="exact"/>
              <w:ind w:left="57"/>
              <w:rPr>
                <w:b/>
                <w:bCs/>
                <w:sz w:val="46"/>
                <w:szCs w:val="46"/>
              </w:rPr>
            </w:pPr>
            <w:r w:rsidRPr="00AB5A8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0960C58" w14:textId="77777777" w:rsidR="00FB6266" w:rsidRDefault="00FB6266" w:rsidP="00FB6266">
            <w:pPr>
              <w:bidi w:val="0"/>
              <w:spacing w:before="240"/>
            </w:pPr>
            <w:r>
              <w:t>Distr.: General</w:t>
            </w:r>
          </w:p>
          <w:p w14:paraId="47647BB0" w14:textId="77777777" w:rsidR="00FB6266" w:rsidRDefault="00FB6266" w:rsidP="00FB6266">
            <w:pPr>
              <w:bidi w:val="0"/>
            </w:pPr>
            <w:r w:rsidRPr="00AB5A83">
              <w:t>23</w:t>
            </w:r>
            <w:r>
              <w:t xml:space="preserve"> February </w:t>
            </w:r>
            <w:r w:rsidRPr="00AB5A83">
              <w:t>2022</w:t>
            </w:r>
          </w:p>
          <w:p w14:paraId="74E9E22E" w14:textId="5EB5BBAA" w:rsidR="00FB6266" w:rsidRDefault="00FB6266" w:rsidP="00FB6266">
            <w:pPr>
              <w:bidi w:val="0"/>
            </w:pPr>
            <w:r>
              <w:t>Arabic</w:t>
            </w:r>
          </w:p>
          <w:p w14:paraId="22BC5B87" w14:textId="4B96F758" w:rsidR="00670C05" w:rsidRPr="00670C05" w:rsidRDefault="00FB6266" w:rsidP="00FB6266">
            <w:pPr>
              <w:bidi w:val="0"/>
              <w:spacing w:line="240" w:lineRule="exact"/>
              <w:jc w:val="left"/>
              <w:rPr>
                <w:szCs w:val="20"/>
              </w:rPr>
            </w:pPr>
            <w:r>
              <w:t>Original: English</w:t>
            </w:r>
          </w:p>
        </w:tc>
      </w:tr>
    </w:tbl>
    <w:p w14:paraId="226F5BB8" w14:textId="77777777" w:rsidR="006E1A1F" w:rsidRPr="00AB5A83" w:rsidRDefault="006E1A1F" w:rsidP="00FB6266">
      <w:pPr>
        <w:spacing w:before="120" w:line="360" w:lineRule="exact"/>
        <w:textDirection w:val="tbRlV"/>
        <w:rPr>
          <w:rFonts w:ascii="Simplified Arabic" w:hAnsi="Simplified Arabic"/>
          <w:b/>
          <w:bCs/>
          <w:sz w:val="26"/>
          <w:szCs w:val="26"/>
          <w:lang w:val="ar-SA" w:eastAsia="zh-TW" w:bidi="en-GB"/>
        </w:rPr>
      </w:pPr>
      <w:r w:rsidRPr="00AB5A83">
        <w:rPr>
          <w:rFonts w:ascii="Simplified Arabic" w:hAnsi="Simplified Arabic"/>
          <w:b/>
          <w:bCs/>
          <w:sz w:val="26"/>
          <w:szCs w:val="26"/>
          <w:rtl/>
        </w:rPr>
        <w:t>اللجنة المعنية بحقوق الإنسان</w:t>
      </w:r>
    </w:p>
    <w:p w14:paraId="251E61E9" w14:textId="2A08C5AC" w:rsidR="006E1A1F" w:rsidRPr="00AB5A83" w:rsidRDefault="006E1A1F" w:rsidP="00FB6266">
      <w:pPr>
        <w:pStyle w:val="HChGA"/>
        <w:rPr>
          <w:lang w:val="en-US" w:eastAsia="zh-TW" w:bidi="en-GB"/>
        </w:rPr>
      </w:pPr>
      <w:r w:rsidRPr="00AB5A83">
        <w:rPr>
          <w:rtl/>
        </w:rPr>
        <w:tab/>
      </w:r>
      <w:r w:rsidRPr="00AB5A83">
        <w:rPr>
          <w:rtl/>
        </w:rPr>
        <w:tab/>
        <w:t>آراء اعتمدتها اللجنة بموجب المادة 5(4) من البروتوكول الاختياري</w:t>
      </w:r>
      <w:r w:rsidR="004B691C" w:rsidRPr="00AB5A83">
        <w:rPr>
          <w:rtl/>
        </w:rPr>
        <w:t>،</w:t>
      </w:r>
      <w:r w:rsidRPr="00AB5A83">
        <w:rPr>
          <w:rtl/>
        </w:rPr>
        <w:t xml:space="preserve"> بشأن البلاغ رقم 2397/2014</w:t>
      </w:r>
      <w:r w:rsidRPr="00AB5A83">
        <w:rPr>
          <w:rtl/>
        </w:rPr>
        <w:footnoteReference w:customMarkFollows="1" w:id="1"/>
        <w:t>*</w:t>
      </w:r>
      <w:r w:rsidR="00FB6266" w:rsidRPr="00AB5A83">
        <w:rPr>
          <w:rFonts w:hint="cs"/>
          <w:rtl/>
        </w:rPr>
        <w:t xml:space="preserve"> </w:t>
      </w:r>
      <w:r w:rsidRPr="00AB5A83">
        <w:rPr>
          <w:rtl/>
        </w:rPr>
        <w:footnoteReference w:customMarkFollows="1" w:id="2"/>
        <w:t>**</w:t>
      </w:r>
      <w:r w:rsidR="00FB6266" w:rsidRPr="00AB5A83">
        <w:rPr>
          <w:rtl/>
          <w:lang w:val="en-US" w:eastAsia="zh-TW"/>
        </w:rPr>
        <w:t xml:space="preserve"> </w:t>
      </w:r>
    </w:p>
    <w:p w14:paraId="199EE6BD" w14:textId="1B7604CF"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بلاغ مقدم من:</w:t>
      </w:r>
      <w:r w:rsidRPr="00FB6266">
        <w:rPr>
          <w:rtl/>
        </w:rPr>
        <w:tab/>
        <w:t>فيكتور سازونوف (لا يمثله محام)</w:t>
      </w:r>
    </w:p>
    <w:p w14:paraId="000691E4" w14:textId="77777777" w:rsidR="006E1A1F" w:rsidRPr="00AB5A83" w:rsidRDefault="006E1A1F" w:rsidP="00FB6266">
      <w:pPr>
        <w:pStyle w:val="SingleTxtGA"/>
        <w:tabs>
          <w:tab w:val="clear" w:pos="1928"/>
          <w:tab w:val="clear" w:pos="2608"/>
          <w:tab w:val="clear" w:pos="3289"/>
          <w:tab w:val="clear" w:pos="3969"/>
          <w:tab w:val="left" w:pos="4053"/>
        </w:tabs>
        <w:spacing w:line="340" w:lineRule="exact"/>
        <w:ind w:left="4054" w:hanging="2126"/>
        <w:rPr>
          <w:iCs/>
          <w:lang w:val="ar-SA" w:eastAsia="zh-TW" w:bidi="en-GB"/>
        </w:rPr>
      </w:pPr>
      <w:r w:rsidRPr="00AB5A83">
        <w:rPr>
          <w:i/>
          <w:iCs/>
          <w:rtl/>
        </w:rPr>
        <w:t>الشخص المدعى أنه ضحية:</w:t>
      </w:r>
      <w:r w:rsidRPr="00FB6266">
        <w:rPr>
          <w:rtl/>
        </w:rPr>
        <w:tab/>
        <w:t>صاحب البلاغ</w:t>
      </w:r>
    </w:p>
    <w:p w14:paraId="17179845"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الدولة الطرف:</w:t>
      </w:r>
      <w:r w:rsidRPr="00FB6266">
        <w:rPr>
          <w:rtl/>
        </w:rPr>
        <w:tab/>
        <w:t>بيلاروس</w:t>
      </w:r>
    </w:p>
    <w:p w14:paraId="7F394AA2"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تاريخ تقديم البلاغ:</w:t>
      </w:r>
      <w:r w:rsidRPr="00FB6266">
        <w:rPr>
          <w:rtl/>
        </w:rPr>
        <w:tab/>
      </w:r>
      <w:r w:rsidRPr="00AB5A83">
        <w:rPr>
          <w:rtl/>
        </w:rPr>
        <w:t>10</w:t>
      </w:r>
      <w:r w:rsidRPr="00FB6266">
        <w:rPr>
          <w:rtl/>
        </w:rPr>
        <w:t xml:space="preserve"> شباط/فبراير </w:t>
      </w:r>
      <w:r w:rsidRPr="00AB5A83">
        <w:rPr>
          <w:rtl/>
        </w:rPr>
        <w:t>2014</w:t>
      </w:r>
      <w:r w:rsidRPr="00FB6266">
        <w:rPr>
          <w:rtl/>
        </w:rPr>
        <w:t xml:space="preserve"> (تاريخ تقديم الرسالة الأولى)</w:t>
      </w:r>
    </w:p>
    <w:p w14:paraId="53F11FDB" w14:textId="24559DF5"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الوثائق المرجعية:</w:t>
      </w:r>
      <w:r w:rsidRPr="00FB6266">
        <w:rPr>
          <w:rtl/>
        </w:rPr>
        <w:tab/>
        <w:t xml:space="preserve">القرار المتخذ بموجب المادة </w:t>
      </w:r>
      <w:r w:rsidRPr="00AB5A83">
        <w:rPr>
          <w:rtl/>
        </w:rPr>
        <w:t>92</w:t>
      </w:r>
      <w:r w:rsidRPr="00FB6266">
        <w:rPr>
          <w:rtl/>
        </w:rPr>
        <w:t xml:space="preserve"> من النظام الداخلي للجنة</w:t>
      </w:r>
      <w:r w:rsidR="004B691C">
        <w:rPr>
          <w:rtl/>
        </w:rPr>
        <w:t>،</w:t>
      </w:r>
      <w:r w:rsidRPr="00FB6266">
        <w:rPr>
          <w:rtl/>
        </w:rPr>
        <w:t xml:space="preserve"> والمحال إلى الدولة الطرف في </w:t>
      </w:r>
      <w:r w:rsidRPr="00AB5A83">
        <w:rPr>
          <w:rtl/>
        </w:rPr>
        <w:t>27</w:t>
      </w:r>
      <w:r w:rsidRPr="00FB6266">
        <w:rPr>
          <w:rtl/>
        </w:rPr>
        <w:t xml:space="preserve"> أيار/مايو </w:t>
      </w:r>
      <w:r w:rsidRPr="00AB5A83">
        <w:rPr>
          <w:rtl/>
        </w:rPr>
        <w:t>2014</w:t>
      </w:r>
      <w:r w:rsidRPr="00FB6266">
        <w:rPr>
          <w:rtl/>
        </w:rPr>
        <w:t xml:space="preserve"> (لم يصدر في شكل وثيقة)</w:t>
      </w:r>
    </w:p>
    <w:p w14:paraId="645FF7B0"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تاريخ اعتماد الآراء:</w:t>
      </w:r>
      <w:r w:rsidRPr="00FB6266">
        <w:rPr>
          <w:rtl/>
        </w:rPr>
        <w:tab/>
      </w:r>
      <w:r w:rsidRPr="00AB5A83">
        <w:rPr>
          <w:rtl/>
        </w:rPr>
        <w:t>23</w:t>
      </w:r>
      <w:r w:rsidRPr="00FB6266">
        <w:rPr>
          <w:rtl/>
        </w:rPr>
        <w:t xml:space="preserve"> تموز/يوليه </w:t>
      </w:r>
      <w:r w:rsidRPr="00AB5A83">
        <w:rPr>
          <w:rtl/>
        </w:rPr>
        <w:t>2021</w:t>
      </w:r>
    </w:p>
    <w:p w14:paraId="50AE00B0" w14:textId="19A33213"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الموضوع:</w:t>
      </w:r>
      <w:r w:rsidRPr="00FB6266">
        <w:rPr>
          <w:rtl/>
        </w:rPr>
        <w:tab/>
        <w:t>فرض غرامة إدارية على صاحب البلاغ بسبب التقاط صور مع صورة شخصية</w:t>
      </w:r>
    </w:p>
    <w:p w14:paraId="3E5D5367"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المسائل الإجرائية:</w:t>
      </w:r>
      <w:r w:rsidRPr="00FB6266">
        <w:rPr>
          <w:rtl/>
        </w:rPr>
        <w:tab/>
        <w:t>استنفاد سبل الانتصاف الداخلية</w:t>
      </w:r>
    </w:p>
    <w:p w14:paraId="1D556CBD"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المسائل الموضوعية:</w:t>
      </w:r>
      <w:r w:rsidRPr="00FB6266">
        <w:rPr>
          <w:rtl/>
        </w:rPr>
        <w:tab/>
        <w:t>حرية التعبير؛ المحاكمة العادلة؛ التمييز</w:t>
      </w:r>
    </w:p>
    <w:p w14:paraId="71394BB9" w14:textId="20201D02"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مواد العهد:</w:t>
      </w:r>
      <w:r w:rsidRPr="00FB6266">
        <w:rPr>
          <w:rtl/>
        </w:rPr>
        <w:tab/>
      </w:r>
      <w:r w:rsidRPr="00AB5A83">
        <w:rPr>
          <w:rtl/>
        </w:rPr>
        <w:t>2</w:t>
      </w:r>
      <w:r w:rsidRPr="00FB6266">
        <w:rPr>
          <w:rtl/>
        </w:rPr>
        <w:t>(</w:t>
      </w:r>
      <w:r w:rsidRPr="00AB5A83">
        <w:rPr>
          <w:rtl/>
        </w:rPr>
        <w:t>1</w:t>
      </w:r>
      <w:r w:rsidRPr="00FB6266">
        <w:rPr>
          <w:rtl/>
        </w:rPr>
        <w:t>) و(</w:t>
      </w:r>
      <w:r w:rsidRPr="00AB5A83">
        <w:rPr>
          <w:rtl/>
        </w:rPr>
        <w:t>3</w:t>
      </w:r>
      <w:r w:rsidRPr="00FB6266">
        <w:rPr>
          <w:rtl/>
        </w:rPr>
        <w:t>)</w:t>
      </w:r>
      <w:r w:rsidR="004B691C">
        <w:rPr>
          <w:rtl/>
        </w:rPr>
        <w:t>،</w:t>
      </w:r>
      <w:r w:rsidRPr="00FB6266">
        <w:rPr>
          <w:rtl/>
        </w:rPr>
        <w:t xml:space="preserve"> و</w:t>
      </w:r>
      <w:r w:rsidRPr="00AB5A83">
        <w:rPr>
          <w:rtl/>
        </w:rPr>
        <w:t>14</w:t>
      </w:r>
      <w:r w:rsidRPr="00FB6266">
        <w:rPr>
          <w:rtl/>
        </w:rPr>
        <w:t>(</w:t>
      </w:r>
      <w:r w:rsidRPr="00AB5A83">
        <w:rPr>
          <w:rtl/>
        </w:rPr>
        <w:t>1</w:t>
      </w:r>
      <w:r w:rsidRPr="00FB6266">
        <w:rPr>
          <w:rtl/>
        </w:rPr>
        <w:t>)</w:t>
      </w:r>
      <w:r w:rsidR="004B691C">
        <w:rPr>
          <w:rtl/>
        </w:rPr>
        <w:t>،</w:t>
      </w:r>
      <w:r w:rsidRPr="00FB6266">
        <w:rPr>
          <w:rtl/>
        </w:rPr>
        <w:t xml:space="preserve"> و</w:t>
      </w:r>
      <w:r w:rsidRPr="00AB5A83">
        <w:rPr>
          <w:rtl/>
        </w:rPr>
        <w:t>19</w:t>
      </w:r>
      <w:r w:rsidR="004B691C">
        <w:rPr>
          <w:rtl/>
        </w:rPr>
        <w:t>،</w:t>
      </w:r>
      <w:r w:rsidRPr="00FB6266">
        <w:rPr>
          <w:rtl/>
        </w:rPr>
        <w:t xml:space="preserve"> و</w:t>
      </w:r>
      <w:r w:rsidRPr="00AB5A83">
        <w:rPr>
          <w:rtl/>
        </w:rPr>
        <w:t>26</w:t>
      </w:r>
    </w:p>
    <w:p w14:paraId="3E1AF9D5" w14:textId="77777777" w:rsidR="006E1A1F" w:rsidRPr="00FB6266" w:rsidRDefault="006E1A1F" w:rsidP="00FB6266">
      <w:pPr>
        <w:pStyle w:val="SingleTxtGA"/>
        <w:tabs>
          <w:tab w:val="clear" w:pos="1928"/>
          <w:tab w:val="clear" w:pos="2608"/>
          <w:tab w:val="clear" w:pos="3289"/>
          <w:tab w:val="clear" w:pos="3969"/>
          <w:tab w:val="left" w:pos="4053"/>
        </w:tabs>
        <w:spacing w:line="340" w:lineRule="exact"/>
        <w:ind w:left="4054" w:hanging="2126"/>
        <w:rPr>
          <w:lang w:val="ar-SA" w:eastAsia="zh-TW" w:bidi="en-GB"/>
        </w:rPr>
      </w:pPr>
      <w:r w:rsidRPr="00AB5A83">
        <w:rPr>
          <w:i/>
          <w:iCs/>
          <w:rtl/>
        </w:rPr>
        <w:t>مواد البروتوكول الاختياري:</w:t>
      </w:r>
      <w:r w:rsidRPr="00FB6266">
        <w:rPr>
          <w:rtl/>
        </w:rPr>
        <w:tab/>
      </w:r>
      <w:r w:rsidRPr="00AB5A83">
        <w:rPr>
          <w:rtl/>
        </w:rPr>
        <w:t>2</w:t>
      </w:r>
      <w:r w:rsidRPr="00FB6266">
        <w:rPr>
          <w:rtl/>
        </w:rPr>
        <w:t xml:space="preserve"> و</w:t>
      </w:r>
      <w:r w:rsidRPr="00AB5A83">
        <w:rPr>
          <w:rtl/>
        </w:rPr>
        <w:t>5</w:t>
      </w:r>
      <w:r w:rsidRPr="00FB6266">
        <w:rPr>
          <w:rtl/>
        </w:rPr>
        <w:t>(</w:t>
      </w:r>
      <w:r w:rsidRPr="00AB5A83">
        <w:rPr>
          <w:rtl/>
        </w:rPr>
        <w:t>2</w:t>
      </w:r>
      <w:r w:rsidRPr="00FB6266">
        <w:rPr>
          <w:rtl/>
        </w:rPr>
        <w:t>)(ب)</w:t>
      </w:r>
    </w:p>
    <w:p w14:paraId="2BEF4383" w14:textId="7BCD52A9" w:rsidR="006E1A1F" w:rsidRPr="00FB6266" w:rsidRDefault="006E1A1F" w:rsidP="00FB6266">
      <w:pPr>
        <w:pStyle w:val="SingleTxtGA"/>
        <w:rPr>
          <w:spacing w:val="-2"/>
          <w:lang w:val="ar-SA" w:eastAsia="zh-TW" w:bidi="en-GB"/>
        </w:rPr>
      </w:pPr>
      <w:r w:rsidRPr="00AB5A83">
        <w:rPr>
          <w:spacing w:val="-2"/>
          <w:rtl/>
        </w:rPr>
        <w:t>1</w:t>
      </w:r>
      <w:r w:rsidRPr="00FB6266">
        <w:rPr>
          <w:spacing w:val="-2"/>
          <w:rtl/>
        </w:rPr>
        <w:t>-</w:t>
      </w:r>
      <w:r w:rsidRPr="00AB5A83">
        <w:rPr>
          <w:spacing w:val="-2"/>
          <w:rtl/>
        </w:rPr>
        <w:t>1</w:t>
      </w:r>
      <w:r w:rsidRPr="00FB6266">
        <w:rPr>
          <w:spacing w:val="-2"/>
          <w:rtl/>
        </w:rPr>
        <w:tab/>
        <w:t>صاحب البلاغ هو فيكتور سازونو</w:t>
      </w:r>
      <w:r w:rsidR="004201AA">
        <w:rPr>
          <w:rFonts w:hint="cs"/>
          <w:spacing w:val="-2"/>
          <w:rtl/>
        </w:rPr>
        <w:t>ف</w:t>
      </w:r>
      <w:r w:rsidR="004B691C">
        <w:rPr>
          <w:spacing w:val="-2"/>
          <w:rtl/>
        </w:rPr>
        <w:t>،</w:t>
      </w:r>
      <w:r w:rsidRPr="00FB6266">
        <w:rPr>
          <w:spacing w:val="-2"/>
          <w:rtl/>
        </w:rPr>
        <w:t xml:space="preserve"> وهو مواطن من بيلاروس وُلِد في عام </w:t>
      </w:r>
      <w:r w:rsidRPr="00AB5A83">
        <w:rPr>
          <w:spacing w:val="-2"/>
          <w:rtl/>
        </w:rPr>
        <w:t>1963</w:t>
      </w:r>
      <w:r w:rsidRPr="00FB6266">
        <w:rPr>
          <w:spacing w:val="-2"/>
          <w:rtl/>
        </w:rPr>
        <w:t xml:space="preserve">. وهو يدعي أن الدولة الطرف انتهكت حقوقه المكفولة بموجب المادة </w:t>
      </w:r>
      <w:r w:rsidRPr="00AB5A83">
        <w:rPr>
          <w:spacing w:val="-2"/>
          <w:rtl/>
        </w:rPr>
        <w:t>14</w:t>
      </w:r>
      <w:r w:rsidRPr="00FB6266">
        <w:rPr>
          <w:spacing w:val="-2"/>
          <w:rtl/>
        </w:rPr>
        <w:t>(</w:t>
      </w:r>
      <w:r w:rsidRPr="00AB5A83">
        <w:rPr>
          <w:spacing w:val="-2"/>
          <w:rtl/>
        </w:rPr>
        <w:t>1</w:t>
      </w:r>
      <w:r w:rsidRPr="00FB6266">
        <w:rPr>
          <w:spacing w:val="-2"/>
          <w:rtl/>
        </w:rPr>
        <w:t>)</w:t>
      </w:r>
      <w:r w:rsidR="004B691C">
        <w:rPr>
          <w:spacing w:val="-2"/>
          <w:rtl/>
        </w:rPr>
        <w:t>،</w:t>
      </w:r>
      <w:r w:rsidRPr="00FB6266">
        <w:rPr>
          <w:spacing w:val="-2"/>
          <w:rtl/>
        </w:rPr>
        <w:t xml:space="preserve"> مقروءة بالاقتران مع الفقرتين (</w:t>
      </w:r>
      <w:r w:rsidRPr="00AB5A83">
        <w:rPr>
          <w:spacing w:val="-2"/>
        </w:rPr>
        <w:t>1</w:t>
      </w:r>
      <w:r w:rsidRPr="00FB6266">
        <w:rPr>
          <w:spacing w:val="-2"/>
          <w:rtl/>
        </w:rPr>
        <w:t>) و(</w:t>
      </w:r>
      <w:r w:rsidRPr="00AB5A83">
        <w:rPr>
          <w:spacing w:val="-2"/>
          <w:rtl/>
        </w:rPr>
        <w:t>3</w:t>
      </w:r>
      <w:r w:rsidRPr="00FB6266">
        <w:rPr>
          <w:spacing w:val="-2"/>
          <w:rtl/>
        </w:rPr>
        <w:t xml:space="preserve">) من المادة </w:t>
      </w:r>
      <w:r w:rsidRPr="00AB5A83">
        <w:rPr>
          <w:spacing w:val="-2"/>
          <w:rtl/>
        </w:rPr>
        <w:t>2</w:t>
      </w:r>
      <w:r w:rsidR="004B691C">
        <w:rPr>
          <w:spacing w:val="-2"/>
          <w:rtl/>
        </w:rPr>
        <w:t>،</w:t>
      </w:r>
      <w:r w:rsidRPr="00FB6266">
        <w:rPr>
          <w:spacing w:val="-2"/>
          <w:rtl/>
        </w:rPr>
        <w:t xml:space="preserve"> والمادتين </w:t>
      </w:r>
      <w:r w:rsidRPr="00AB5A83">
        <w:rPr>
          <w:spacing w:val="-2"/>
          <w:rtl/>
        </w:rPr>
        <w:t>19</w:t>
      </w:r>
      <w:r w:rsidRPr="00FB6266">
        <w:rPr>
          <w:spacing w:val="-2"/>
          <w:rtl/>
        </w:rPr>
        <w:t xml:space="preserve"> و</w:t>
      </w:r>
      <w:r w:rsidRPr="00AB5A83">
        <w:rPr>
          <w:spacing w:val="-2"/>
          <w:rtl/>
        </w:rPr>
        <w:t>26</w:t>
      </w:r>
      <w:r w:rsidRPr="00FB6266">
        <w:rPr>
          <w:spacing w:val="-2"/>
          <w:rtl/>
        </w:rPr>
        <w:t xml:space="preserve"> من العهد. ودخل البروتوكول الاختياري حيز النفاذ بالنسبة لبيلاروس في </w:t>
      </w:r>
      <w:r w:rsidRPr="00AB5A83">
        <w:rPr>
          <w:spacing w:val="-2"/>
          <w:rtl/>
        </w:rPr>
        <w:t>30</w:t>
      </w:r>
      <w:r w:rsidRPr="00FB6266">
        <w:rPr>
          <w:spacing w:val="-2"/>
          <w:rtl/>
        </w:rPr>
        <w:t xml:space="preserve"> كانون الأول/ديسمبر </w:t>
      </w:r>
      <w:r w:rsidRPr="00AB5A83">
        <w:rPr>
          <w:spacing w:val="-2"/>
          <w:rtl/>
        </w:rPr>
        <w:t>1992</w:t>
      </w:r>
      <w:r w:rsidRPr="00FB6266">
        <w:rPr>
          <w:spacing w:val="-2"/>
          <w:rtl/>
        </w:rPr>
        <w:t>. ولا يمثل صاحبَ البلاغ محامٍ.</w:t>
      </w:r>
    </w:p>
    <w:p w14:paraId="14FDB7FB" w14:textId="1797ABE4" w:rsidR="006E1A1F" w:rsidRPr="00FB6266" w:rsidRDefault="006E1A1F" w:rsidP="00FB6266">
      <w:pPr>
        <w:pStyle w:val="SingleTxtGA"/>
        <w:rPr>
          <w:color w:val="000000" w:themeColor="text1"/>
          <w:spacing w:val="-4"/>
          <w:lang w:val="ar-SA" w:eastAsia="zh-TW" w:bidi="en-GB"/>
        </w:rPr>
      </w:pPr>
      <w:r w:rsidRPr="00AB5A83">
        <w:rPr>
          <w:spacing w:val="-4"/>
          <w:rtl/>
        </w:rPr>
        <w:lastRenderedPageBreak/>
        <w:t>1</w:t>
      </w:r>
      <w:r w:rsidRPr="00FB6266">
        <w:rPr>
          <w:spacing w:val="-4"/>
          <w:rtl/>
        </w:rPr>
        <w:t>-</w:t>
      </w:r>
      <w:r w:rsidRPr="00AB5A83">
        <w:rPr>
          <w:spacing w:val="-4"/>
          <w:rtl/>
        </w:rPr>
        <w:t>2</w:t>
      </w:r>
      <w:r w:rsidRPr="00FB6266">
        <w:rPr>
          <w:spacing w:val="-4"/>
          <w:rtl/>
        </w:rPr>
        <w:tab/>
        <w:t xml:space="preserve">وعملاً بالفقرة </w:t>
      </w:r>
      <w:r w:rsidRPr="00AB5A83">
        <w:rPr>
          <w:spacing w:val="-4"/>
          <w:rtl/>
        </w:rPr>
        <w:t>1</w:t>
      </w:r>
      <w:r w:rsidRPr="00FB6266">
        <w:rPr>
          <w:spacing w:val="-4"/>
          <w:rtl/>
        </w:rPr>
        <w:t xml:space="preserve"> من المادة </w:t>
      </w:r>
      <w:r w:rsidRPr="00AB5A83">
        <w:rPr>
          <w:spacing w:val="-4"/>
          <w:rtl/>
        </w:rPr>
        <w:t>93</w:t>
      </w:r>
      <w:r w:rsidRPr="00FB6266">
        <w:rPr>
          <w:spacing w:val="-4"/>
          <w:rtl/>
        </w:rPr>
        <w:t xml:space="preserve"> من النظام الداخلي للجنة</w:t>
      </w:r>
      <w:r w:rsidR="004B691C">
        <w:rPr>
          <w:spacing w:val="-4"/>
          <w:rtl/>
        </w:rPr>
        <w:t>،</w:t>
      </w:r>
      <w:r w:rsidRPr="00FB6266">
        <w:rPr>
          <w:spacing w:val="-4"/>
          <w:rtl/>
        </w:rPr>
        <w:t xml:space="preserve"> طلبت الدولة الطرف إلى اللجنة</w:t>
      </w:r>
      <w:r w:rsidR="004B691C">
        <w:rPr>
          <w:spacing w:val="-4"/>
          <w:rtl/>
        </w:rPr>
        <w:t>،</w:t>
      </w:r>
      <w:r w:rsidRPr="00FB6266">
        <w:rPr>
          <w:spacing w:val="-4"/>
          <w:rtl/>
        </w:rPr>
        <w:t xml:space="preserve"> في</w:t>
      </w:r>
      <w:r w:rsidR="00FB6266" w:rsidRPr="00FB6266">
        <w:rPr>
          <w:rFonts w:hint="cs"/>
          <w:spacing w:val="-4"/>
          <w:rtl/>
        </w:rPr>
        <w:t> </w:t>
      </w:r>
      <w:r w:rsidRPr="00AB5A83">
        <w:rPr>
          <w:spacing w:val="-4"/>
          <w:rtl/>
        </w:rPr>
        <w:t>19</w:t>
      </w:r>
      <w:r w:rsidRPr="00FB6266">
        <w:rPr>
          <w:spacing w:val="-4"/>
          <w:rtl/>
        </w:rPr>
        <w:t xml:space="preserve"> شباط/فبراير </w:t>
      </w:r>
      <w:r w:rsidRPr="00AB5A83">
        <w:rPr>
          <w:spacing w:val="-4"/>
          <w:rtl/>
        </w:rPr>
        <w:t>2015</w:t>
      </w:r>
      <w:r w:rsidR="004B691C">
        <w:rPr>
          <w:spacing w:val="-4"/>
          <w:rtl/>
        </w:rPr>
        <w:t>،</w:t>
      </w:r>
      <w:r w:rsidRPr="00FB6266">
        <w:rPr>
          <w:spacing w:val="-4"/>
          <w:rtl/>
        </w:rPr>
        <w:t xml:space="preserve"> أن تدرس مقبولية البلاغ بمعزل عن أسسه الموضوعية. وفي </w:t>
      </w:r>
      <w:r w:rsidRPr="00AB5A83">
        <w:rPr>
          <w:spacing w:val="-4"/>
          <w:rtl/>
        </w:rPr>
        <w:t>12</w:t>
      </w:r>
      <w:r w:rsidRPr="00FB6266">
        <w:rPr>
          <w:spacing w:val="-4"/>
          <w:rtl/>
        </w:rPr>
        <w:t xml:space="preserve"> آذار/مارس </w:t>
      </w:r>
      <w:r w:rsidRPr="00AB5A83">
        <w:rPr>
          <w:spacing w:val="-4"/>
          <w:rtl/>
        </w:rPr>
        <w:t>2014</w:t>
      </w:r>
      <w:r w:rsidR="004B691C">
        <w:rPr>
          <w:spacing w:val="-4"/>
          <w:rtl/>
        </w:rPr>
        <w:t>،</w:t>
      </w:r>
      <w:r w:rsidRPr="00FB6266">
        <w:rPr>
          <w:spacing w:val="-4"/>
          <w:rtl/>
        </w:rPr>
        <w:t xml:space="preserve"> قررت اللجنة</w:t>
      </w:r>
      <w:r w:rsidR="004B691C">
        <w:rPr>
          <w:spacing w:val="-4"/>
          <w:rtl/>
          <w:lang w:val="fr-CH"/>
        </w:rPr>
        <w:t>،</w:t>
      </w:r>
      <w:r w:rsidRPr="00FB6266">
        <w:rPr>
          <w:spacing w:val="-4"/>
          <w:rtl/>
        </w:rPr>
        <w:t xml:space="preserve"> عملاً بالمادة </w:t>
      </w:r>
      <w:r w:rsidRPr="00AB5A83">
        <w:rPr>
          <w:spacing w:val="-4"/>
          <w:rtl/>
        </w:rPr>
        <w:t>93</w:t>
      </w:r>
      <w:r w:rsidRPr="00FB6266">
        <w:rPr>
          <w:spacing w:val="-4"/>
          <w:rtl/>
        </w:rPr>
        <w:t xml:space="preserve"> من نظامها الداخلي</w:t>
      </w:r>
      <w:r w:rsidR="004B691C">
        <w:rPr>
          <w:spacing w:val="-4"/>
          <w:rtl/>
        </w:rPr>
        <w:t>،</w:t>
      </w:r>
      <w:r w:rsidRPr="00FB6266">
        <w:rPr>
          <w:spacing w:val="-4"/>
          <w:rtl/>
        </w:rPr>
        <w:t xml:space="preserve"> وعن طريق مقررها الخاص المعني بالبلاغات الجديدة والتدابير المؤقتة</w:t>
      </w:r>
      <w:r w:rsidR="004B691C">
        <w:rPr>
          <w:spacing w:val="-4"/>
          <w:rtl/>
        </w:rPr>
        <w:t>،</w:t>
      </w:r>
      <w:r w:rsidRPr="00FB6266">
        <w:rPr>
          <w:spacing w:val="-4"/>
          <w:rtl/>
        </w:rPr>
        <w:t xml:space="preserve"> دراسة مقبولية البلاغ إلى جانب أسسه الموضوعية.</w:t>
      </w:r>
    </w:p>
    <w:p w14:paraId="6487E548" w14:textId="77777777" w:rsidR="006E1A1F" w:rsidRPr="00AB5A83" w:rsidRDefault="006E1A1F" w:rsidP="00FB6266">
      <w:pPr>
        <w:pStyle w:val="H23GA"/>
        <w:rPr>
          <w:lang w:val="ar-SA" w:eastAsia="zh-TW" w:bidi="en-GB"/>
        </w:rPr>
      </w:pPr>
      <w:r w:rsidRPr="00AB5A83">
        <w:rPr>
          <w:rtl/>
        </w:rPr>
        <w:tab/>
      </w:r>
      <w:r w:rsidRPr="00AB5A83">
        <w:rPr>
          <w:rtl/>
        </w:rPr>
        <w:tab/>
        <w:t>الوقائع كما عرضها صاحب البلاغ</w:t>
      </w:r>
    </w:p>
    <w:p w14:paraId="4C73F7D6" w14:textId="22474A71" w:rsidR="006E1A1F" w:rsidRPr="00FB6266" w:rsidRDefault="006E1A1F" w:rsidP="00FB6266">
      <w:pPr>
        <w:pStyle w:val="SingleTxtGA"/>
        <w:rPr>
          <w:lang w:val="ar-SA" w:eastAsia="zh-TW" w:bidi="en-GB"/>
        </w:rPr>
      </w:pPr>
      <w:r w:rsidRPr="00AB5A83">
        <w:rPr>
          <w:rtl/>
        </w:rPr>
        <w:t>2</w:t>
      </w:r>
      <w:r w:rsidRPr="00FB6266">
        <w:rPr>
          <w:rtl/>
        </w:rPr>
        <w:t>-</w:t>
      </w:r>
      <w:r w:rsidRPr="00AB5A83">
        <w:rPr>
          <w:rtl/>
        </w:rPr>
        <w:t>1</w:t>
      </w:r>
      <w:r w:rsidRPr="00FB6266">
        <w:rPr>
          <w:rtl/>
        </w:rPr>
        <w:tab/>
        <w:t>يؤكد صاحب البلاغ أنه</w:t>
      </w:r>
      <w:r w:rsidR="004B691C">
        <w:rPr>
          <w:rtl/>
        </w:rPr>
        <w:t>،</w:t>
      </w:r>
      <w:r w:rsidRPr="00FB6266">
        <w:rPr>
          <w:rtl/>
        </w:rPr>
        <w:t xml:space="preserve"> في </w:t>
      </w:r>
      <w:r w:rsidRPr="00AB5A83">
        <w:rPr>
          <w:rtl/>
        </w:rPr>
        <w:t>10</w:t>
      </w:r>
      <w:r w:rsidRPr="00FB6266">
        <w:rPr>
          <w:rtl/>
        </w:rPr>
        <w:t xml:space="preserve"> كانون الأول/ديسمبر </w:t>
      </w:r>
      <w:r w:rsidRPr="00AB5A83">
        <w:rPr>
          <w:rtl/>
        </w:rPr>
        <w:t>2012</w:t>
      </w:r>
      <w:r w:rsidR="004B691C">
        <w:rPr>
          <w:rtl/>
        </w:rPr>
        <w:t>،</w:t>
      </w:r>
      <w:r w:rsidRPr="00FB6266">
        <w:rPr>
          <w:rtl/>
        </w:rPr>
        <w:t xml:space="preserve"> وهو يوم الذكرى السنوية الرابعة والستين للإعلان العالمي لحقوق الإنسان</w:t>
      </w:r>
      <w:r w:rsidR="004B691C">
        <w:rPr>
          <w:rtl/>
        </w:rPr>
        <w:t>،</w:t>
      </w:r>
      <w:r w:rsidRPr="00FB6266">
        <w:rPr>
          <w:rtl/>
        </w:rPr>
        <w:t xml:space="preserve"> أخذ هو وأصدقاؤه عدة صور شخصية لأليس بيلياتسكي</w:t>
      </w:r>
      <w:r w:rsidR="00FB6266" w:rsidRPr="00FB6266">
        <w:rPr>
          <w:rStyle w:val="FootnoteReference"/>
          <w:szCs w:val="22"/>
          <w:rtl/>
        </w:rPr>
        <w:t>(</w:t>
      </w:r>
      <w:r w:rsidR="00FB6266" w:rsidRPr="00AB5A83">
        <w:rPr>
          <w:rStyle w:val="FootnoteReference"/>
          <w:szCs w:val="22"/>
          <w:lang w:val="en-US"/>
        </w:rPr>
        <w:footnoteReference w:id="3"/>
      </w:r>
      <w:r w:rsidR="00FB6266" w:rsidRPr="00FB6266">
        <w:rPr>
          <w:rStyle w:val="FootnoteReference"/>
          <w:szCs w:val="22"/>
          <w:rtl/>
        </w:rPr>
        <w:t>)</w:t>
      </w:r>
      <w:r w:rsidRPr="00FB6266">
        <w:rPr>
          <w:rtl/>
        </w:rPr>
        <w:t xml:space="preserve"> وعرضوها في مكان بعنوان </w:t>
      </w:r>
      <w:r w:rsidRPr="00AB5A83">
        <w:rPr>
          <w:rtl/>
        </w:rPr>
        <w:t>48</w:t>
      </w:r>
      <w:r w:rsidRPr="00FB6266">
        <w:rPr>
          <w:rtl/>
        </w:rPr>
        <w:t xml:space="preserve"> ألف شارع بوديني</w:t>
      </w:r>
      <w:r w:rsidR="004B691C">
        <w:rPr>
          <w:rtl/>
        </w:rPr>
        <w:t>،</w:t>
      </w:r>
      <w:r w:rsidRPr="00FB6266">
        <w:rPr>
          <w:rtl/>
        </w:rPr>
        <w:t xml:space="preserve"> غرودنو</w:t>
      </w:r>
      <w:r w:rsidR="00FB6266" w:rsidRPr="00FB6266">
        <w:rPr>
          <w:rFonts w:hint="cs"/>
          <w:rtl/>
        </w:rPr>
        <w:t xml:space="preserve"> </w:t>
      </w:r>
      <w:r w:rsidRPr="00FB6266">
        <w:t>(</w:t>
      </w:r>
      <w:r w:rsidRPr="00AB5A83">
        <w:t>48</w:t>
      </w:r>
      <w:r w:rsidRPr="00FB6266">
        <w:t>A Budenniy Street, Grodno)</w:t>
      </w:r>
      <w:r w:rsidRPr="00FB6266">
        <w:rPr>
          <w:rtl/>
        </w:rPr>
        <w:t>. وفي وقت لاحق</w:t>
      </w:r>
      <w:r w:rsidR="004B691C">
        <w:rPr>
          <w:rtl/>
        </w:rPr>
        <w:t>،</w:t>
      </w:r>
      <w:r w:rsidRPr="00FB6266">
        <w:rPr>
          <w:rtl/>
        </w:rPr>
        <w:t xml:space="preserve"> نشرت على الإنترنت صور فوتوغرافية لصاحب البلاغ وأصدقائه وهم يحملون تلك الصور الشخصية. ويدفع صاحب البلاغ بأن الشرطة المحلية اتهمته في </w:t>
      </w:r>
      <w:r w:rsidRPr="00AB5A83">
        <w:rPr>
          <w:rtl/>
        </w:rPr>
        <w:t>13</w:t>
      </w:r>
      <w:r w:rsidRPr="00FB6266">
        <w:rPr>
          <w:rtl/>
        </w:rPr>
        <w:t xml:space="preserve"> كانون الأول/ديسمبر </w:t>
      </w:r>
      <w:r w:rsidRPr="00AB5A83">
        <w:rPr>
          <w:rtl/>
        </w:rPr>
        <w:t>2012</w:t>
      </w:r>
      <w:r w:rsidRPr="00FB6266">
        <w:rPr>
          <w:rtl/>
        </w:rPr>
        <w:t xml:space="preserve"> بارتكاب جريمة إدارية بسبب مشاركته في تجمع (احتجاج) غير قانوني (غير مرخص به). واستندت التهم الموجهة إليه وإلى أصدقائه إلى كونهم حملوا الصور الشخصية في </w:t>
      </w:r>
      <w:r w:rsidRPr="00AB5A83">
        <w:rPr>
          <w:rtl/>
        </w:rPr>
        <w:t>10</w:t>
      </w:r>
      <w:r w:rsidRPr="00FB6266">
        <w:rPr>
          <w:rtl/>
        </w:rPr>
        <w:t xml:space="preserve"> كانون الأول/ديسمبر </w:t>
      </w:r>
      <w:r w:rsidRPr="00AB5A83">
        <w:rPr>
          <w:rtl/>
        </w:rPr>
        <w:t>2012</w:t>
      </w:r>
      <w:r w:rsidRPr="00FB6266">
        <w:rPr>
          <w:rtl/>
        </w:rPr>
        <w:t>.</w:t>
      </w:r>
    </w:p>
    <w:p w14:paraId="17F7B02D" w14:textId="04090E55" w:rsidR="006E1A1F" w:rsidRPr="00FB6266" w:rsidRDefault="006E1A1F" w:rsidP="00FB6266">
      <w:pPr>
        <w:pStyle w:val="SingleTxtGA"/>
        <w:rPr>
          <w:lang w:val="ar-SA" w:eastAsia="zh-TW" w:bidi="en-GB"/>
        </w:rPr>
      </w:pPr>
      <w:r w:rsidRPr="00AB5A83">
        <w:rPr>
          <w:rtl/>
        </w:rPr>
        <w:t>2</w:t>
      </w:r>
      <w:r w:rsidRPr="00FB6266">
        <w:rPr>
          <w:rtl/>
        </w:rPr>
        <w:t>-</w:t>
      </w:r>
      <w:r w:rsidRPr="00AB5A83">
        <w:rPr>
          <w:rtl/>
        </w:rPr>
        <w:t>2</w:t>
      </w:r>
      <w:r w:rsidRPr="00FB6266">
        <w:rPr>
          <w:rtl/>
        </w:rPr>
        <w:tab/>
        <w:t xml:space="preserve">وفي </w:t>
      </w:r>
      <w:r w:rsidRPr="00AB5A83">
        <w:rPr>
          <w:rtl/>
        </w:rPr>
        <w:t>5</w:t>
      </w:r>
      <w:r w:rsidRPr="00FB6266">
        <w:rPr>
          <w:rtl/>
        </w:rPr>
        <w:t xml:space="preserve"> كانون الثاني/يناير </w:t>
      </w:r>
      <w:r w:rsidRPr="00AB5A83">
        <w:rPr>
          <w:rtl/>
        </w:rPr>
        <w:t>2013</w:t>
      </w:r>
      <w:r w:rsidR="004B691C">
        <w:rPr>
          <w:rtl/>
        </w:rPr>
        <w:t>،</w:t>
      </w:r>
      <w:r w:rsidRPr="00FB6266">
        <w:rPr>
          <w:rtl/>
        </w:rPr>
        <w:t xml:space="preserve"> غرمت محكمة مقاطعة لينينسكي في غرودنو صاحب البلاغ</w:t>
      </w:r>
      <w:r w:rsidR="00FB6266">
        <w:rPr>
          <w:rFonts w:hint="cs"/>
          <w:rtl/>
        </w:rPr>
        <w:t> </w:t>
      </w:r>
      <w:r w:rsidRPr="00AB5A83">
        <w:rPr>
          <w:rtl/>
        </w:rPr>
        <w:t>000</w:t>
      </w:r>
      <w:r w:rsidRPr="00FB6266">
        <w:rPr>
          <w:rtl/>
        </w:rPr>
        <w:t xml:space="preserve"> </w:t>
      </w:r>
      <w:r w:rsidRPr="00AB5A83">
        <w:rPr>
          <w:rtl/>
        </w:rPr>
        <w:t>500</w:t>
      </w:r>
      <w:r w:rsidRPr="00FB6266">
        <w:rPr>
          <w:rtl/>
        </w:rPr>
        <w:t xml:space="preserve"> </w:t>
      </w:r>
      <w:r w:rsidRPr="00AB5A83">
        <w:rPr>
          <w:rtl/>
        </w:rPr>
        <w:t>1</w:t>
      </w:r>
      <w:r w:rsidRPr="00FB6266">
        <w:rPr>
          <w:rtl/>
        </w:rPr>
        <w:t xml:space="preserve"> روبل بيلاروسي</w:t>
      </w:r>
      <w:r w:rsidR="00FB6266" w:rsidRPr="00FB6266">
        <w:rPr>
          <w:rStyle w:val="FootnoteReference"/>
          <w:szCs w:val="22"/>
          <w:rtl/>
        </w:rPr>
        <w:t>(</w:t>
      </w:r>
      <w:r w:rsidR="00FB6266" w:rsidRPr="00AB5A83">
        <w:rPr>
          <w:rStyle w:val="FootnoteReference"/>
          <w:szCs w:val="22"/>
          <w:lang w:val="en-US"/>
        </w:rPr>
        <w:footnoteReference w:id="4"/>
      </w:r>
      <w:r w:rsidR="00FB6266" w:rsidRPr="00FB6266">
        <w:rPr>
          <w:rStyle w:val="FootnoteReference"/>
          <w:szCs w:val="22"/>
          <w:rtl/>
        </w:rPr>
        <w:t>)</w:t>
      </w:r>
      <w:r w:rsidRPr="00FB6266">
        <w:rPr>
          <w:rtl/>
        </w:rPr>
        <w:t xml:space="preserve"> لانتهاكه المادة </w:t>
      </w:r>
      <w:r w:rsidRPr="00AB5A83">
        <w:rPr>
          <w:rtl/>
        </w:rPr>
        <w:t>23</w:t>
      </w:r>
      <w:r w:rsidRPr="00FB6266">
        <w:rPr>
          <w:rtl/>
        </w:rPr>
        <w:t>-</w:t>
      </w:r>
      <w:r w:rsidRPr="00AB5A83">
        <w:rPr>
          <w:rtl/>
        </w:rPr>
        <w:t>34</w:t>
      </w:r>
      <w:r w:rsidRPr="00FB6266">
        <w:rPr>
          <w:rtl/>
        </w:rPr>
        <w:t>(</w:t>
      </w:r>
      <w:r w:rsidRPr="00AB5A83">
        <w:rPr>
          <w:rtl/>
        </w:rPr>
        <w:t>1</w:t>
      </w:r>
      <w:r w:rsidRPr="00FB6266">
        <w:rPr>
          <w:rtl/>
        </w:rPr>
        <w:t>) من قانون الجرائم الإدارية</w:t>
      </w:r>
      <w:r w:rsidR="004B691C">
        <w:rPr>
          <w:rtl/>
        </w:rPr>
        <w:t>،</w:t>
      </w:r>
      <w:r w:rsidRPr="00FB6266">
        <w:rPr>
          <w:rtl/>
        </w:rPr>
        <w:t xml:space="preserve"> التي تفرض عقوبات على انتهاك اللوائح المتعلقة بتنظيم الأحداث العامة</w:t>
      </w:r>
      <w:r w:rsidR="00FB6266" w:rsidRPr="00FB6266">
        <w:rPr>
          <w:rStyle w:val="FootnoteReference"/>
          <w:szCs w:val="22"/>
          <w:rtl/>
        </w:rPr>
        <w:t>(</w:t>
      </w:r>
      <w:r w:rsidR="00FB6266" w:rsidRPr="00AB5A83">
        <w:rPr>
          <w:rStyle w:val="FootnoteReference"/>
          <w:szCs w:val="22"/>
          <w:lang w:val="en-US"/>
        </w:rPr>
        <w:footnoteReference w:id="5"/>
      </w:r>
      <w:r w:rsidR="00FB6266" w:rsidRPr="00FB6266">
        <w:rPr>
          <w:rStyle w:val="FootnoteReference"/>
          <w:szCs w:val="22"/>
          <w:rtl/>
        </w:rPr>
        <w:t>)</w:t>
      </w:r>
      <w:r w:rsidR="00FB6266">
        <w:rPr>
          <w:rFonts w:hint="cs"/>
          <w:rtl/>
        </w:rPr>
        <w:t xml:space="preserve">. </w:t>
      </w:r>
      <w:r w:rsidRPr="00FB6266">
        <w:rPr>
          <w:rtl/>
        </w:rPr>
        <w:t xml:space="preserve">وكان الشهود الوحيدون الذين حضروا جلسات الاستماع هم ضباط الشرطة الذين قدموا شكوى ضد صاحب البلاغ على الرغم من عدم حضورهم في اليوم الذي نُظِّم فيه الاحتجاج. ولم يُستمع إلى أي شاهد على الاحتجاج المزعوم. </w:t>
      </w:r>
    </w:p>
    <w:p w14:paraId="142E6340" w14:textId="081F0F14" w:rsidR="006E1A1F" w:rsidRPr="00FB6266" w:rsidRDefault="006E1A1F" w:rsidP="00FB6266">
      <w:pPr>
        <w:pStyle w:val="SingleTxtGA"/>
        <w:rPr>
          <w:lang w:val="ar-SA" w:eastAsia="zh-TW" w:bidi="en-GB"/>
        </w:rPr>
      </w:pPr>
      <w:r w:rsidRPr="00AB5A83">
        <w:rPr>
          <w:spacing w:val="-4"/>
          <w:rtl/>
        </w:rPr>
        <w:t>2</w:t>
      </w:r>
      <w:r w:rsidRPr="00FB6266">
        <w:rPr>
          <w:spacing w:val="-4"/>
          <w:rtl/>
        </w:rPr>
        <w:t>-</w:t>
      </w:r>
      <w:r w:rsidRPr="00AB5A83">
        <w:rPr>
          <w:spacing w:val="-4"/>
          <w:rtl/>
        </w:rPr>
        <w:t>3</w:t>
      </w:r>
      <w:r w:rsidRPr="00FB6266">
        <w:rPr>
          <w:spacing w:val="-4"/>
          <w:rtl/>
        </w:rPr>
        <w:tab/>
        <w:t xml:space="preserve">ويفيد صاحب البلاغ بأنه استأنف قرار محكمة مقاطعة لينينسكي في </w:t>
      </w:r>
      <w:r w:rsidRPr="00AB5A83">
        <w:rPr>
          <w:spacing w:val="-4"/>
          <w:rtl/>
        </w:rPr>
        <w:t>29</w:t>
      </w:r>
      <w:r w:rsidRPr="00FB6266">
        <w:rPr>
          <w:spacing w:val="-4"/>
          <w:rtl/>
        </w:rPr>
        <w:t xml:space="preserve"> كانون الثاني/يناير </w:t>
      </w:r>
      <w:r w:rsidRPr="00AB5A83">
        <w:rPr>
          <w:spacing w:val="-4"/>
          <w:rtl/>
        </w:rPr>
        <w:t>2013</w:t>
      </w:r>
      <w:r w:rsidRPr="00FB6266">
        <w:rPr>
          <w:spacing w:val="-4"/>
          <w:rtl/>
        </w:rPr>
        <w:t>.</w:t>
      </w:r>
      <w:r w:rsidRPr="00FB6266">
        <w:rPr>
          <w:rtl/>
        </w:rPr>
        <w:t xml:space="preserve"> واحتج صاحب البلاغ في استئنافه بأنه لم ينتهك أي قوانين أو لوائح ولم ينظم أي حدث عام. ولم يشاهده ضباط الشرطة قط وهو يحمل أي صور شخصية. واستندت الشكوى المقدمة ضده إلى صور فوتوغرافية نشرت على الإنترنت</w:t>
      </w:r>
      <w:r w:rsidR="004B691C">
        <w:rPr>
          <w:rtl/>
        </w:rPr>
        <w:t>،</w:t>
      </w:r>
      <w:r w:rsidRPr="00FB6266">
        <w:rPr>
          <w:rtl/>
        </w:rPr>
        <w:t xml:space="preserve"> رغم أن ضباط الشرطة في جلسة الاستماع الأولى للمحكمة اعترفوا بأن تحميل الصور الفوتوغرافية على الإنترنت ليس جريمة إدارية. ورفضت محكمة غرودنو الإقليمية استئنافه وأيدت قرار المحكمة الأدنى درجة والغرامة التي فرضتها عليه. </w:t>
      </w:r>
    </w:p>
    <w:p w14:paraId="52A24ADE" w14:textId="4A02F42F" w:rsidR="006E1A1F" w:rsidRPr="00FB6266" w:rsidRDefault="006E1A1F" w:rsidP="00FB6266">
      <w:pPr>
        <w:pStyle w:val="SingleTxtGA"/>
        <w:rPr>
          <w:lang w:val="ar-SA" w:eastAsia="zh-TW" w:bidi="en-GB"/>
        </w:rPr>
      </w:pPr>
      <w:r w:rsidRPr="00AB5A83">
        <w:rPr>
          <w:rtl/>
        </w:rPr>
        <w:t>2</w:t>
      </w:r>
      <w:r w:rsidRPr="00FB6266">
        <w:rPr>
          <w:rtl/>
        </w:rPr>
        <w:t>-</w:t>
      </w:r>
      <w:r w:rsidRPr="00AB5A83">
        <w:rPr>
          <w:rtl/>
        </w:rPr>
        <w:t>4</w:t>
      </w:r>
      <w:r w:rsidRPr="00FB6266">
        <w:rPr>
          <w:rtl/>
        </w:rPr>
        <w:tab/>
        <w:t xml:space="preserve">وفي </w:t>
      </w:r>
      <w:r w:rsidRPr="00AB5A83">
        <w:rPr>
          <w:rtl/>
        </w:rPr>
        <w:t>21</w:t>
      </w:r>
      <w:r w:rsidRPr="00FB6266">
        <w:rPr>
          <w:rtl/>
        </w:rPr>
        <w:t xml:space="preserve"> آذار/آذار/مارس </w:t>
      </w:r>
      <w:r w:rsidRPr="00AB5A83">
        <w:rPr>
          <w:rtl/>
        </w:rPr>
        <w:t>2013</w:t>
      </w:r>
      <w:r w:rsidR="004B691C">
        <w:rPr>
          <w:rtl/>
        </w:rPr>
        <w:t>،</w:t>
      </w:r>
      <w:r w:rsidRPr="00FB6266">
        <w:rPr>
          <w:rtl/>
        </w:rPr>
        <w:t xml:space="preserve"> قدم صاحب البلاغ طلباً لإجراء مراجعة قضائية أمام محكمة غرودنو الإقليمية</w:t>
      </w:r>
      <w:r w:rsidR="004B691C">
        <w:rPr>
          <w:rtl/>
        </w:rPr>
        <w:t>،</w:t>
      </w:r>
      <w:r w:rsidRPr="00FB6266">
        <w:rPr>
          <w:rtl/>
        </w:rPr>
        <w:t xml:space="preserve"> وجاء بادعاءات مماثلة لتلك التي جاء بها أثناء الاستئناف الأولي؛ وهذه المرة أيضاً رُفِضت ادعاءاته. واحتج صاحب البلاغ أيضاً بأن الغرامة مرتفعة جداً. وبناءً على ذلك</w:t>
      </w:r>
      <w:r w:rsidR="004B691C">
        <w:rPr>
          <w:rtl/>
        </w:rPr>
        <w:t>،</w:t>
      </w:r>
      <w:r w:rsidRPr="00FB6266">
        <w:rPr>
          <w:rtl/>
        </w:rPr>
        <w:t xml:space="preserve"> يدعي صاحب البلاغ أنه استنفد جميع سبل الانتصاف المحلية المتاحة.</w:t>
      </w:r>
    </w:p>
    <w:p w14:paraId="371EFE77" w14:textId="77777777" w:rsidR="006E1A1F" w:rsidRPr="00AB5A83" w:rsidRDefault="006E1A1F" w:rsidP="006E1A1F">
      <w:pPr>
        <w:pStyle w:val="H23G"/>
        <w:bidi/>
        <w:textDirection w:val="tbRlV"/>
        <w:rPr>
          <w:sz w:val="22"/>
          <w:szCs w:val="22"/>
          <w:lang w:val="en-US" w:eastAsia="zh-TW" w:bidi="en-GB"/>
        </w:rPr>
      </w:pPr>
      <w:r w:rsidRPr="00AB5A83">
        <w:rPr>
          <w:sz w:val="22"/>
          <w:szCs w:val="22"/>
          <w:rtl/>
        </w:rPr>
        <w:tab/>
      </w:r>
      <w:r w:rsidRPr="00AB5A83">
        <w:rPr>
          <w:sz w:val="22"/>
          <w:szCs w:val="22"/>
          <w:rtl/>
        </w:rPr>
        <w:tab/>
      </w:r>
      <w:r w:rsidRPr="00AB5A83">
        <w:rPr>
          <w:bCs/>
          <w:sz w:val="22"/>
          <w:szCs w:val="22"/>
          <w:rtl/>
        </w:rPr>
        <w:t>الشكوى</w:t>
      </w:r>
    </w:p>
    <w:p w14:paraId="3B14F093" w14:textId="0BE56C76" w:rsidR="006E1A1F" w:rsidRPr="00FB6266" w:rsidRDefault="006E1A1F" w:rsidP="00FB6266">
      <w:pPr>
        <w:pStyle w:val="SingleTxtGA"/>
        <w:rPr>
          <w:lang w:val="ar-SA" w:eastAsia="zh-TW" w:bidi="en-GB"/>
        </w:rPr>
      </w:pPr>
      <w:r w:rsidRPr="00AB5A83">
        <w:rPr>
          <w:rtl/>
        </w:rPr>
        <w:t>3</w:t>
      </w:r>
      <w:r w:rsidRPr="00FB6266">
        <w:rPr>
          <w:rtl/>
        </w:rPr>
        <w:t>-</w:t>
      </w:r>
      <w:r w:rsidRPr="00AB5A83">
        <w:rPr>
          <w:rtl/>
        </w:rPr>
        <w:t>1</w:t>
      </w:r>
      <w:r w:rsidRPr="00FB6266">
        <w:rPr>
          <w:rtl/>
        </w:rPr>
        <w:tab/>
        <w:t xml:space="preserve">يدعي صاحب البلاغ أن الدولة الطرف انتهكت حقوقه المكفولة بموجب المادة </w:t>
      </w:r>
      <w:r w:rsidRPr="00AB5A83">
        <w:rPr>
          <w:rtl/>
        </w:rPr>
        <w:t>14</w:t>
      </w:r>
      <w:r w:rsidRPr="00FB6266">
        <w:rPr>
          <w:rtl/>
        </w:rPr>
        <w:t>(</w:t>
      </w:r>
      <w:r w:rsidRPr="00AB5A83">
        <w:rPr>
          <w:rtl/>
        </w:rPr>
        <w:t>1</w:t>
      </w:r>
      <w:r w:rsidRPr="00FB6266">
        <w:rPr>
          <w:rtl/>
        </w:rPr>
        <w:t>)</w:t>
      </w:r>
      <w:r w:rsidR="004B691C">
        <w:rPr>
          <w:rtl/>
        </w:rPr>
        <w:t>،</w:t>
      </w:r>
      <w:r w:rsidRPr="00FB6266">
        <w:rPr>
          <w:rtl/>
        </w:rPr>
        <w:t xml:space="preserve"> مقروءة بالاقتران مع الفقرتين (</w:t>
      </w:r>
      <w:r w:rsidRPr="00AB5A83">
        <w:rPr>
          <w:rtl/>
        </w:rPr>
        <w:t>1</w:t>
      </w:r>
      <w:r w:rsidRPr="00FB6266">
        <w:rPr>
          <w:rtl/>
        </w:rPr>
        <w:t>) و(</w:t>
      </w:r>
      <w:r w:rsidRPr="00AB5A83">
        <w:rPr>
          <w:rtl/>
        </w:rPr>
        <w:t>3</w:t>
      </w:r>
      <w:r w:rsidRPr="00FB6266">
        <w:rPr>
          <w:rtl/>
        </w:rPr>
        <w:t xml:space="preserve">) من المادة </w:t>
      </w:r>
      <w:r w:rsidRPr="00AB5A83">
        <w:rPr>
          <w:rtl/>
        </w:rPr>
        <w:t>2</w:t>
      </w:r>
      <w:r w:rsidR="004B691C">
        <w:rPr>
          <w:rtl/>
        </w:rPr>
        <w:t>،</w:t>
      </w:r>
      <w:r w:rsidRPr="00FB6266">
        <w:rPr>
          <w:rtl/>
        </w:rPr>
        <w:t xml:space="preserve"> من العهد. ويرى أنه لم يحظ بمحاكمة عادلة ونزيهة. واستندت جميع التهم الإدارية الموجهة إليه إلى تقارير الشرطة والصور الفوتوغرافية المأخوذة عليها من </w:t>
      </w:r>
      <w:r w:rsidRPr="00FB6266">
        <w:rPr>
          <w:rtl/>
        </w:rPr>
        <w:lastRenderedPageBreak/>
        <w:t>الإنترنت لا غير. ولم ير أي شاهد عملية التقاط الصور أو تمكن من الإدلاء بشهادته ضد صاحب البلاغ. وعلاوة على ذلك</w:t>
      </w:r>
      <w:r w:rsidR="004B691C">
        <w:rPr>
          <w:rtl/>
        </w:rPr>
        <w:t>،</w:t>
      </w:r>
      <w:r w:rsidRPr="00FB6266">
        <w:rPr>
          <w:rtl/>
        </w:rPr>
        <w:t xml:space="preserve"> لا تمتثل بيلاروس لالتزاماتها الدولية</w:t>
      </w:r>
      <w:r w:rsidR="004B691C">
        <w:rPr>
          <w:rtl/>
        </w:rPr>
        <w:t>،</w:t>
      </w:r>
      <w:r w:rsidRPr="00FB6266">
        <w:rPr>
          <w:rtl/>
        </w:rPr>
        <w:t xml:space="preserve"> ولا سيما تلك المنصوص عليها في العهد</w:t>
      </w:r>
      <w:r w:rsidR="004B691C">
        <w:rPr>
          <w:rtl/>
        </w:rPr>
        <w:t>،</w:t>
      </w:r>
      <w:r w:rsidRPr="00FB6266">
        <w:rPr>
          <w:rtl/>
        </w:rPr>
        <w:t xml:space="preserve"> كما أنها لا توفر لجميع الأفراد الموجودين في إقليمها سبيل انتصاف فعالاً للدفاع عن حقوقهم أمام السلطات القضائية أو الإدارية أو التشريعية المختصة أو إمكانية منحهم سبيل انتصاف قضائي.</w:t>
      </w:r>
      <w:bookmarkStart w:id="0" w:name="_Hlk96502175"/>
      <w:bookmarkEnd w:id="0"/>
    </w:p>
    <w:p w14:paraId="2D5E0CF9" w14:textId="4148C1C4" w:rsidR="006E1A1F" w:rsidRPr="00FB6266" w:rsidRDefault="006E1A1F" w:rsidP="00FB6266">
      <w:pPr>
        <w:pStyle w:val="SingleTxtGA"/>
        <w:rPr>
          <w:lang w:val="ar-SA" w:eastAsia="zh-TW" w:bidi="en-GB"/>
        </w:rPr>
      </w:pPr>
      <w:r w:rsidRPr="00AB5A83">
        <w:rPr>
          <w:rtl/>
        </w:rPr>
        <w:t>3</w:t>
      </w:r>
      <w:r w:rsidRPr="00FB6266">
        <w:rPr>
          <w:rtl/>
        </w:rPr>
        <w:t>-</w:t>
      </w:r>
      <w:r w:rsidRPr="00AB5A83">
        <w:rPr>
          <w:rtl/>
        </w:rPr>
        <w:t>2</w:t>
      </w:r>
      <w:r w:rsidRPr="00FB6266">
        <w:rPr>
          <w:rtl/>
        </w:rPr>
        <w:tab/>
        <w:t xml:space="preserve">ويدّعي صاحب البلاغ أيضاً أن الدولة الطرف انتهكت حقوقه المكفولة بموجب المادة </w:t>
      </w:r>
      <w:r w:rsidRPr="00AB5A83">
        <w:rPr>
          <w:rtl/>
        </w:rPr>
        <w:t>19</w:t>
      </w:r>
      <w:r w:rsidRPr="00FB6266">
        <w:rPr>
          <w:rtl/>
        </w:rPr>
        <w:t>(</w:t>
      </w:r>
      <w:r w:rsidRPr="00AB5A83">
        <w:rPr>
          <w:rtl/>
        </w:rPr>
        <w:t>2</w:t>
      </w:r>
      <w:r w:rsidRPr="00FB6266">
        <w:rPr>
          <w:rtl/>
        </w:rPr>
        <w:t>) من العهد لأنها لم تضمن حقه في حرية التعبير. وينبغي أن يكون صاحب البلاغ حراً في التقاط الصور في أي وقت وفي أي مكان</w:t>
      </w:r>
      <w:r w:rsidR="004B691C">
        <w:rPr>
          <w:rtl/>
        </w:rPr>
        <w:t>،</w:t>
      </w:r>
      <w:r w:rsidRPr="00FB6266">
        <w:rPr>
          <w:rtl/>
        </w:rPr>
        <w:t xml:space="preserve"> حتى وإن كان من الممكن تفسيرها على أنها رسالة سياسية. </w:t>
      </w:r>
    </w:p>
    <w:p w14:paraId="0C247092" w14:textId="33ABCA5C" w:rsidR="006E1A1F" w:rsidRPr="00FB6266" w:rsidRDefault="006E1A1F" w:rsidP="00FB6266">
      <w:pPr>
        <w:pStyle w:val="SingleTxtGA"/>
        <w:rPr>
          <w:lang w:val="ar-SA" w:eastAsia="zh-TW" w:bidi="en-GB"/>
        </w:rPr>
      </w:pPr>
      <w:r w:rsidRPr="00AB5A83">
        <w:rPr>
          <w:rtl/>
        </w:rPr>
        <w:t>3</w:t>
      </w:r>
      <w:r w:rsidRPr="00FB6266">
        <w:rPr>
          <w:rtl/>
        </w:rPr>
        <w:t>-</w:t>
      </w:r>
      <w:r w:rsidRPr="00AB5A83">
        <w:rPr>
          <w:rtl/>
        </w:rPr>
        <w:t>3</w:t>
      </w:r>
      <w:r w:rsidRPr="00FB6266">
        <w:rPr>
          <w:rtl/>
        </w:rPr>
        <w:tab/>
        <w:t xml:space="preserve">وبالإشارة إلى المادة </w:t>
      </w:r>
      <w:r w:rsidRPr="00AB5A83">
        <w:rPr>
          <w:rtl/>
        </w:rPr>
        <w:t>26</w:t>
      </w:r>
      <w:r w:rsidRPr="00FB6266">
        <w:rPr>
          <w:rtl/>
        </w:rPr>
        <w:t xml:space="preserve"> من العهد</w:t>
      </w:r>
      <w:r w:rsidR="004B691C">
        <w:rPr>
          <w:rtl/>
        </w:rPr>
        <w:t>،</w:t>
      </w:r>
      <w:r w:rsidRPr="00FB6266">
        <w:rPr>
          <w:rtl/>
        </w:rPr>
        <w:t xml:space="preserve"> يؤكد صاحب البلاغ أنه يواجه التمييز على أساس رأيه السياسي وأنه لا توجد في الدولة الطرف حماية قانونية من التمييز على أساس الآراء السياسية.</w:t>
      </w:r>
    </w:p>
    <w:p w14:paraId="6CFF48C9" w14:textId="77777777" w:rsidR="006E1A1F" w:rsidRPr="00AB5A83" w:rsidRDefault="006E1A1F" w:rsidP="006E1A1F">
      <w:pPr>
        <w:pStyle w:val="H23G"/>
        <w:bidi/>
        <w:textDirection w:val="tbRlV"/>
        <w:rPr>
          <w:sz w:val="22"/>
          <w:szCs w:val="22"/>
          <w:lang w:val="ar-SA" w:eastAsia="zh-TW" w:bidi="en-GB"/>
        </w:rPr>
      </w:pPr>
      <w:r w:rsidRPr="00AB5A83">
        <w:rPr>
          <w:sz w:val="22"/>
          <w:szCs w:val="22"/>
          <w:rtl/>
        </w:rPr>
        <w:tab/>
      </w:r>
      <w:r w:rsidRPr="00AB5A83">
        <w:rPr>
          <w:sz w:val="22"/>
          <w:szCs w:val="22"/>
          <w:rtl/>
        </w:rPr>
        <w:tab/>
      </w:r>
      <w:r w:rsidRPr="00AB5A83">
        <w:rPr>
          <w:bCs/>
          <w:sz w:val="22"/>
          <w:szCs w:val="22"/>
          <w:rtl/>
        </w:rPr>
        <w:t>ملاحظات الدولة الطرف بشأن المقبولية والأسس الموضوعية</w:t>
      </w:r>
    </w:p>
    <w:p w14:paraId="18982642" w14:textId="6F617596" w:rsidR="006E1A1F" w:rsidRPr="00FB6266" w:rsidRDefault="006E1A1F" w:rsidP="00FB6266">
      <w:pPr>
        <w:pStyle w:val="SingleTxtGA"/>
        <w:rPr>
          <w:lang w:val="ar-SA" w:eastAsia="zh-TW" w:bidi="en-GB"/>
        </w:rPr>
      </w:pPr>
      <w:r w:rsidRPr="00AB5A83">
        <w:rPr>
          <w:rtl/>
        </w:rPr>
        <w:t>4</w:t>
      </w:r>
      <w:r w:rsidRPr="00FB6266">
        <w:rPr>
          <w:rtl/>
        </w:rPr>
        <w:t>-</w:t>
      </w:r>
      <w:r w:rsidRPr="00FB6266">
        <w:rPr>
          <w:rtl/>
        </w:rPr>
        <w:tab/>
        <w:t xml:space="preserve">في </w:t>
      </w:r>
      <w:r w:rsidRPr="00AB5A83">
        <w:rPr>
          <w:rtl/>
        </w:rPr>
        <w:t>23</w:t>
      </w:r>
      <w:r w:rsidRPr="00FB6266">
        <w:rPr>
          <w:rtl/>
        </w:rPr>
        <w:t xml:space="preserve"> تموز/يوليه </w:t>
      </w:r>
      <w:r w:rsidRPr="00AB5A83">
        <w:rPr>
          <w:rtl/>
        </w:rPr>
        <w:t>2014</w:t>
      </w:r>
      <w:r w:rsidR="004B691C">
        <w:rPr>
          <w:rtl/>
        </w:rPr>
        <w:t>،</w:t>
      </w:r>
      <w:r w:rsidRPr="00FB6266">
        <w:rPr>
          <w:rtl/>
        </w:rPr>
        <w:t xml:space="preserve"> قدمت الدولة الطرف ملاحظاتها بشأن مقبولية شكوى صاحب البلاغ. وهي تذكر أن صاحب البلاغ لم يكن قد استنفد جميع سبل الانتصاف المحلية المتاحة وقت تقديم البلاغ. وتؤكد الدولة الطرف أنه ينبغي اعتبار شكوى السيد سازونوف غير مقبولة بموجب المادة </w:t>
      </w:r>
      <w:r w:rsidRPr="00AB5A83">
        <w:rPr>
          <w:rtl/>
        </w:rPr>
        <w:t>2</w:t>
      </w:r>
      <w:r w:rsidRPr="00FB6266">
        <w:rPr>
          <w:rtl/>
        </w:rPr>
        <w:t xml:space="preserve"> من البروتوكول الاختياري</w:t>
      </w:r>
      <w:r w:rsidR="00FB6266" w:rsidRPr="00FB6266">
        <w:rPr>
          <w:rStyle w:val="FootnoteReference"/>
          <w:szCs w:val="22"/>
          <w:rtl/>
        </w:rPr>
        <w:t>(</w:t>
      </w:r>
      <w:r w:rsidR="00FB6266" w:rsidRPr="00AB5A83">
        <w:rPr>
          <w:rStyle w:val="FootnoteReference"/>
          <w:szCs w:val="22"/>
          <w:lang w:val="en-US"/>
        </w:rPr>
        <w:footnoteReference w:id="6"/>
      </w:r>
      <w:r w:rsidR="00FB6266" w:rsidRPr="00FB6266">
        <w:rPr>
          <w:rStyle w:val="FootnoteReference"/>
          <w:szCs w:val="22"/>
          <w:rtl/>
        </w:rPr>
        <w:t>)</w:t>
      </w:r>
      <w:r w:rsidRPr="00FB6266">
        <w:rPr>
          <w:rtl/>
        </w:rPr>
        <w:t>. ورداً على طلب للتعليق على الأسس الموضوعية للبلاغ</w:t>
      </w:r>
      <w:r w:rsidR="004B691C">
        <w:rPr>
          <w:rtl/>
        </w:rPr>
        <w:t>،</w:t>
      </w:r>
      <w:r w:rsidRPr="00FB6266">
        <w:rPr>
          <w:rtl/>
        </w:rPr>
        <w:t xml:space="preserve"> أوضحت الدولة الطرف</w:t>
      </w:r>
      <w:r w:rsidR="004B691C">
        <w:rPr>
          <w:rtl/>
        </w:rPr>
        <w:t>،</w:t>
      </w:r>
      <w:r w:rsidRPr="00FB6266">
        <w:rPr>
          <w:rtl/>
        </w:rPr>
        <w:t xml:space="preserve"> في </w:t>
      </w:r>
      <w:r w:rsidRPr="00AB5A83">
        <w:rPr>
          <w:rtl/>
        </w:rPr>
        <w:t>7</w:t>
      </w:r>
      <w:r w:rsidRPr="00FB6266">
        <w:rPr>
          <w:rtl/>
        </w:rPr>
        <w:t xml:space="preserve"> تشرين الأول/أكتوبر </w:t>
      </w:r>
      <w:r w:rsidRPr="00AB5A83">
        <w:rPr>
          <w:rtl/>
        </w:rPr>
        <w:t>2014</w:t>
      </w:r>
      <w:r w:rsidR="004B691C">
        <w:rPr>
          <w:rtl/>
        </w:rPr>
        <w:t>،</w:t>
      </w:r>
      <w:r w:rsidRPr="00FB6266">
        <w:rPr>
          <w:rtl/>
        </w:rPr>
        <w:t xml:space="preserve"> أن المادة </w:t>
      </w:r>
      <w:r w:rsidRPr="00AB5A83">
        <w:rPr>
          <w:rtl/>
        </w:rPr>
        <w:t>2</w:t>
      </w:r>
      <w:r w:rsidRPr="00FB6266">
        <w:rPr>
          <w:rtl/>
        </w:rPr>
        <w:t xml:space="preserve"> من البروتوكول الاختياري تنص على أنه ينبغي استنفاد جميع سبل الانتصاف المحلية المتاحة</w:t>
      </w:r>
      <w:r w:rsidR="004B691C">
        <w:rPr>
          <w:rtl/>
        </w:rPr>
        <w:t>،</w:t>
      </w:r>
      <w:r w:rsidRPr="00FB6266">
        <w:rPr>
          <w:rtl/>
        </w:rPr>
        <w:t xml:space="preserve"> وليس جميع سبل الانتصاف المحلية الفعالة</w:t>
      </w:r>
      <w:r w:rsidR="004B691C">
        <w:rPr>
          <w:rtl/>
        </w:rPr>
        <w:t>،</w:t>
      </w:r>
      <w:r w:rsidRPr="00FB6266">
        <w:rPr>
          <w:rtl/>
        </w:rPr>
        <w:t xml:space="preserve"> وطلبت تزويد صاحب البلاغ بذلك التفسير</w:t>
      </w:r>
      <w:r w:rsidR="00FB6266" w:rsidRPr="00FB6266">
        <w:rPr>
          <w:rStyle w:val="FootnoteReference"/>
          <w:szCs w:val="22"/>
          <w:rtl/>
        </w:rPr>
        <w:t>(</w:t>
      </w:r>
      <w:r w:rsidR="00FB6266" w:rsidRPr="00AB5A83">
        <w:rPr>
          <w:rStyle w:val="FootnoteReference"/>
          <w:szCs w:val="22"/>
          <w:lang w:val="en-US"/>
        </w:rPr>
        <w:footnoteReference w:id="7"/>
      </w:r>
      <w:r w:rsidR="00FB6266" w:rsidRPr="00FB6266">
        <w:rPr>
          <w:rStyle w:val="FootnoteReference"/>
          <w:szCs w:val="22"/>
          <w:rtl/>
        </w:rPr>
        <w:t>)</w:t>
      </w:r>
      <w:r w:rsidRPr="00FB6266">
        <w:rPr>
          <w:rtl/>
        </w:rPr>
        <w:t xml:space="preserve">. </w:t>
      </w:r>
    </w:p>
    <w:p w14:paraId="2000605C" w14:textId="77777777" w:rsidR="006E1A1F" w:rsidRPr="00AB5A83" w:rsidRDefault="006E1A1F" w:rsidP="00FB6266">
      <w:pPr>
        <w:pStyle w:val="H23GA"/>
        <w:rPr>
          <w:lang w:val="ar-SA" w:eastAsia="zh-TW" w:bidi="en-GB"/>
        </w:rPr>
      </w:pPr>
      <w:r w:rsidRPr="00AB5A83">
        <w:rPr>
          <w:rtl/>
        </w:rPr>
        <w:tab/>
      </w:r>
      <w:r w:rsidRPr="00AB5A83">
        <w:rPr>
          <w:rtl/>
        </w:rPr>
        <w:tab/>
        <w:t>تعليقات صاحب البلاغ على ملاحظات الدولة الطرف</w:t>
      </w:r>
    </w:p>
    <w:p w14:paraId="497D6D9B" w14:textId="4AB62DAB" w:rsidR="006E1A1F" w:rsidRPr="00FB6266" w:rsidRDefault="006E1A1F" w:rsidP="00FB6266">
      <w:pPr>
        <w:pStyle w:val="SingleTxtGA"/>
        <w:rPr>
          <w:lang w:val="ar-SA" w:eastAsia="zh-TW" w:bidi="en-GB"/>
        </w:rPr>
      </w:pPr>
      <w:r w:rsidRPr="00AB5A83">
        <w:rPr>
          <w:rtl/>
        </w:rPr>
        <w:t>5</w:t>
      </w:r>
      <w:r w:rsidRPr="00FB6266">
        <w:rPr>
          <w:rtl/>
        </w:rPr>
        <w:t>-</w:t>
      </w:r>
      <w:r w:rsidRPr="00FB6266">
        <w:rPr>
          <w:rtl/>
        </w:rPr>
        <w:tab/>
        <w:t>يدفع صاحب البلاغ</w:t>
      </w:r>
      <w:r w:rsidR="004B691C">
        <w:rPr>
          <w:rtl/>
        </w:rPr>
        <w:t>،</w:t>
      </w:r>
      <w:r w:rsidRPr="00FB6266">
        <w:rPr>
          <w:rtl/>
        </w:rPr>
        <w:t xml:space="preserve"> في رده على ملاحظات الدولة الطرف في </w:t>
      </w:r>
      <w:r w:rsidRPr="00AB5A83">
        <w:rPr>
          <w:rtl/>
        </w:rPr>
        <w:t>25</w:t>
      </w:r>
      <w:r w:rsidRPr="00FB6266">
        <w:rPr>
          <w:rtl/>
        </w:rPr>
        <w:t xml:space="preserve"> آب/أغسطس </w:t>
      </w:r>
      <w:r w:rsidRPr="00AB5A83">
        <w:rPr>
          <w:rtl/>
        </w:rPr>
        <w:t>2014</w:t>
      </w:r>
      <w:r w:rsidR="004B691C">
        <w:rPr>
          <w:rtl/>
        </w:rPr>
        <w:t>،</w:t>
      </w:r>
      <w:r w:rsidRPr="00FB6266">
        <w:rPr>
          <w:rtl/>
        </w:rPr>
        <w:t xml:space="preserve"> بأن نظام المراجعة القضائية ليس سبيل انتصاف فعالاً ينبغي استنفاده. ففي تلك المراجعات</w:t>
      </w:r>
      <w:r w:rsidR="004B691C">
        <w:rPr>
          <w:rtl/>
        </w:rPr>
        <w:t>،</w:t>
      </w:r>
      <w:r w:rsidRPr="00FB6266">
        <w:rPr>
          <w:rtl/>
        </w:rPr>
        <w:t xml:space="preserve"> تكون النتيجة وفقاً لتقدير القضاة والمدعين العامين. وعلاوة على ذلك</w:t>
      </w:r>
      <w:r w:rsidR="004B691C">
        <w:rPr>
          <w:rtl/>
        </w:rPr>
        <w:t>،</w:t>
      </w:r>
      <w:r w:rsidRPr="00FB6266">
        <w:rPr>
          <w:rtl/>
        </w:rPr>
        <w:t xml:space="preserve"> اعترفت اللجنة منذ وقت طويل بأن المراجعات القضائية غير فعالة وغير ضرورية</w:t>
      </w:r>
      <w:r w:rsidR="00FB6266" w:rsidRPr="00FB6266">
        <w:rPr>
          <w:rStyle w:val="FootnoteReference"/>
          <w:szCs w:val="22"/>
          <w:rtl/>
        </w:rPr>
        <w:t>(</w:t>
      </w:r>
      <w:r w:rsidR="00FB6266" w:rsidRPr="00AB5A83">
        <w:rPr>
          <w:rStyle w:val="FootnoteReference"/>
          <w:szCs w:val="22"/>
          <w:lang w:val="en-US"/>
        </w:rPr>
        <w:footnoteReference w:id="8"/>
      </w:r>
      <w:r w:rsidR="00FB6266" w:rsidRPr="00FB6266">
        <w:rPr>
          <w:rStyle w:val="FootnoteReference"/>
          <w:szCs w:val="22"/>
          <w:rtl/>
        </w:rPr>
        <w:t>)</w:t>
      </w:r>
      <w:r w:rsidRPr="00FB6266">
        <w:rPr>
          <w:rtl/>
        </w:rPr>
        <w:t xml:space="preserve">. </w:t>
      </w:r>
    </w:p>
    <w:p w14:paraId="6BE2B862" w14:textId="77777777" w:rsidR="006E1A1F" w:rsidRPr="00AB5A83" w:rsidRDefault="006E1A1F" w:rsidP="00FB6266">
      <w:pPr>
        <w:pStyle w:val="H23GA"/>
        <w:rPr>
          <w:lang w:val="ar-SA" w:eastAsia="zh-TW" w:bidi="en-GB"/>
        </w:rPr>
      </w:pPr>
      <w:r w:rsidRPr="00AB5A83">
        <w:rPr>
          <w:rtl/>
        </w:rPr>
        <w:tab/>
      </w:r>
      <w:r w:rsidRPr="00AB5A83">
        <w:rPr>
          <w:rtl/>
        </w:rPr>
        <w:tab/>
        <w:t>المسائل والإجراءات المعروضة على اللجنة</w:t>
      </w:r>
    </w:p>
    <w:p w14:paraId="73C88913" w14:textId="77777777" w:rsidR="006E1A1F" w:rsidRPr="00AB5A83" w:rsidRDefault="006E1A1F" w:rsidP="00FB6266">
      <w:pPr>
        <w:pStyle w:val="H4GA"/>
        <w:rPr>
          <w:lang w:val="ar-SA" w:eastAsia="zh-TW" w:bidi="en-GB"/>
        </w:rPr>
      </w:pPr>
      <w:r w:rsidRPr="00AB5A83">
        <w:rPr>
          <w:rtl/>
        </w:rPr>
        <w:tab/>
      </w:r>
      <w:r w:rsidRPr="00AB5A83">
        <w:rPr>
          <w:rtl/>
        </w:rPr>
        <w:tab/>
        <w:t>النظر في المقبولية</w:t>
      </w:r>
    </w:p>
    <w:p w14:paraId="6F3F994F" w14:textId="4FBE0DEE" w:rsidR="006E1A1F" w:rsidRPr="00FB6266" w:rsidRDefault="006E1A1F" w:rsidP="00FB6266">
      <w:pPr>
        <w:pStyle w:val="SingleTxtGA"/>
        <w:rPr>
          <w:lang w:val="ar-SA" w:eastAsia="zh-TW" w:bidi="en-GB"/>
        </w:rPr>
      </w:pPr>
      <w:r w:rsidRPr="00AB5A83">
        <w:rPr>
          <w:rtl/>
        </w:rPr>
        <w:t>6</w:t>
      </w:r>
      <w:r w:rsidRPr="00FB6266">
        <w:rPr>
          <w:rtl/>
        </w:rPr>
        <w:t>-</w:t>
      </w:r>
      <w:r w:rsidRPr="00AB5A83">
        <w:rPr>
          <w:rtl/>
        </w:rPr>
        <w:t>1</w:t>
      </w:r>
      <w:r w:rsidRPr="00FB6266">
        <w:rPr>
          <w:rtl/>
        </w:rPr>
        <w:tab/>
        <w:t>قبل النظر في أي ادعاء يرد في بلاغ ما</w:t>
      </w:r>
      <w:r w:rsidR="004B691C">
        <w:rPr>
          <w:rtl/>
        </w:rPr>
        <w:t>،</w:t>
      </w:r>
      <w:r w:rsidRPr="00FB6266">
        <w:rPr>
          <w:rtl/>
        </w:rPr>
        <w:t xml:space="preserve"> يجب على اللجنة</w:t>
      </w:r>
      <w:r w:rsidR="004B691C">
        <w:rPr>
          <w:rtl/>
        </w:rPr>
        <w:t>،</w:t>
      </w:r>
      <w:r w:rsidRPr="00FB6266">
        <w:rPr>
          <w:rtl/>
        </w:rPr>
        <w:t xml:space="preserve"> وفقاً للمادة </w:t>
      </w:r>
      <w:r w:rsidRPr="00AB5A83">
        <w:rPr>
          <w:rtl/>
        </w:rPr>
        <w:t>97</w:t>
      </w:r>
      <w:r w:rsidRPr="00FB6266">
        <w:rPr>
          <w:rtl/>
        </w:rPr>
        <w:t xml:space="preserve"> من نظامها الداخلي</w:t>
      </w:r>
      <w:r w:rsidR="004B691C">
        <w:rPr>
          <w:rtl/>
        </w:rPr>
        <w:t>،</w:t>
      </w:r>
      <w:r w:rsidRPr="00FB6266">
        <w:rPr>
          <w:rtl/>
        </w:rPr>
        <w:t xml:space="preserve"> أن تقرر ما إذا كان البلاغ مقبولاً أم لا بموجب البروتوكول الاختياري.</w:t>
      </w:r>
    </w:p>
    <w:p w14:paraId="75E94BD4" w14:textId="6F338A07" w:rsidR="006E1A1F" w:rsidRPr="00FB6266" w:rsidRDefault="006E1A1F" w:rsidP="00FB6266">
      <w:pPr>
        <w:pStyle w:val="SingleTxtGA"/>
        <w:rPr>
          <w:lang w:val="ar-SA" w:eastAsia="zh-TW" w:bidi="en-GB"/>
        </w:rPr>
      </w:pPr>
      <w:r w:rsidRPr="00AB5A83">
        <w:rPr>
          <w:rtl/>
        </w:rPr>
        <w:t>6</w:t>
      </w:r>
      <w:r w:rsidRPr="00FB6266">
        <w:rPr>
          <w:rtl/>
        </w:rPr>
        <w:t>-</w:t>
      </w:r>
      <w:r w:rsidRPr="00AB5A83">
        <w:rPr>
          <w:rtl/>
        </w:rPr>
        <w:t>2</w:t>
      </w:r>
      <w:r w:rsidRPr="00FB6266">
        <w:rPr>
          <w:rtl/>
        </w:rPr>
        <w:tab/>
        <w:t>وقد تأكدت اللجنة</w:t>
      </w:r>
      <w:r w:rsidR="004B691C">
        <w:rPr>
          <w:rtl/>
        </w:rPr>
        <w:t>،</w:t>
      </w:r>
      <w:r w:rsidRPr="00FB6266">
        <w:rPr>
          <w:rtl/>
        </w:rPr>
        <w:t xml:space="preserve"> وفقاً لما تقتضيه المادة </w:t>
      </w:r>
      <w:r w:rsidRPr="00AB5A83">
        <w:rPr>
          <w:rtl/>
        </w:rPr>
        <w:t>5</w:t>
      </w:r>
      <w:r w:rsidRPr="00FB6266">
        <w:rPr>
          <w:rtl/>
        </w:rPr>
        <w:t>(</w:t>
      </w:r>
      <w:r w:rsidRPr="00AB5A83">
        <w:rPr>
          <w:rtl/>
        </w:rPr>
        <w:t>2</w:t>
      </w:r>
      <w:r w:rsidRPr="00FB6266">
        <w:rPr>
          <w:rtl/>
        </w:rPr>
        <w:t>)(أ) من البروتوكول الاختياري</w:t>
      </w:r>
      <w:r w:rsidR="004B691C">
        <w:rPr>
          <w:rtl/>
        </w:rPr>
        <w:t>،</w:t>
      </w:r>
      <w:r w:rsidRPr="00FB6266">
        <w:rPr>
          <w:rtl/>
        </w:rPr>
        <w:t xml:space="preserve"> من أن المسألة نفسها ليست قيد البحث في إطار أي إجراء آخر من إجراءات التحقيق الدولي أو التسوية الدولية. </w:t>
      </w:r>
    </w:p>
    <w:p w14:paraId="120F0605" w14:textId="25CD14BF" w:rsidR="006E1A1F" w:rsidRPr="00FB6266" w:rsidRDefault="006E1A1F" w:rsidP="00FB6266">
      <w:pPr>
        <w:pStyle w:val="SingleTxtGA"/>
        <w:rPr>
          <w:spacing w:val="-4"/>
          <w:lang w:val="ar-SA" w:eastAsia="zh-TW" w:bidi="en-GB"/>
        </w:rPr>
      </w:pPr>
      <w:r w:rsidRPr="00AB5A83">
        <w:rPr>
          <w:spacing w:val="-4"/>
          <w:rtl/>
        </w:rPr>
        <w:lastRenderedPageBreak/>
        <w:t>6</w:t>
      </w:r>
      <w:r w:rsidRPr="00FB6266">
        <w:rPr>
          <w:spacing w:val="-4"/>
          <w:rtl/>
        </w:rPr>
        <w:t>-</w:t>
      </w:r>
      <w:r w:rsidRPr="00AB5A83">
        <w:rPr>
          <w:spacing w:val="-4"/>
          <w:rtl/>
        </w:rPr>
        <w:t>3</w:t>
      </w:r>
      <w:r w:rsidRPr="00FB6266">
        <w:rPr>
          <w:spacing w:val="-4"/>
          <w:rtl/>
        </w:rPr>
        <w:tab/>
        <w:t>وتحيط اللجنة علماً بادعاء الدولة الطرف بأن صاحب البلاغ لم يستنفد جميع سبل الانتصاف المحلية المتاحة</w:t>
      </w:r>
      <w:r w:rsidR="004B691C">
        <w:rPr>
          <w:spacing w:val="-4"/>
          <w:rtl/>
        </w:rPr>
        <w:t>،</w:t>
      </w:r>
      <w:r w:rsidRPr="00FB6266">
        <w:rPr>
          <w:spacing w:val="-4"/>
          <w:rtl/>
        </w:rPr>
        <w:t xml:space="preserve"> ولكنها تلاحظ أيضاً أن الدولة الطرف لا تقدم أي تفاصيل محددة عن سبل الانتصاف المحتملة التي كان ينبغي لصاحب البلاغ أن يستنفدها</w:t>
      </w:r>
      <w:r w:rsidR="00FB6266" w:rsidRPr="00FB6266">
        <w:rPr>
          <w:rStyle w:val="FootnoteReference"/>
          <w:spacing w:val="-4"/>
          <w:szCs w:val="22"/>
          <w:rtl/>
        </w:rPr>
        <w:t>(</w:t>
      </w:r>
      <w:r w:rsidR="00FB6266" w:rsidRPr="00AB5A83">
        <w:rPr>
          <w:rStyle w:val="FootnoteReference"/>
          <w:spacing w:val="-4"/>
          <w:szCs w:val="22"/>
          <w:lang w:val="en-US"/>
        </w:rPr>
        <w:footnoteReference w:id="9"/>
      </w:r>
      <w:r w:rsidR="00FB6266" w:rsidRPr="00FB6266">
        <w:rPr>
          <w:rStyle w:val="FootnoteReference"/>
          <w:spacing w:val="-4"/>
          <w:szCs w:val="22"/>
          <w:rtl/>
        </w:rPr>
        <w:t>)</w:t>
      </w:r>
      <w:r w:rsidRPr="00FB6266">
        <w:rPr>
          <w:spacing w:val="-4"/>
          <w:rtl/>
        </w:rPr>
        <w:t>. وفي ظل هذه الظروف</w:t>
      </w:r>
      <w:r w:rsidR="004B691C">
        <w:rPr>
          <w:spacing w:val="-4"/>
          <w:rtl/>
        </w:rPr>
        <w:t>،</w:t>
      </w:r>
      <w:r w:rsidRPr="00FB6266">
        <w:rPr>
          <w:spacing w:val="-4"/>
          <w:rtl/>
        </w:rPr>
        <w:t xml:space="preserve"> ترى اللجنة أن المادة </w:t>
      </w:r>
      <w:r w:rsidRPr="00AB5A83">
        <w:rPr>
          <w:spacing w:val="-4"/>
          <w:rtl/>
        </w:rPr>
        <w:t>5</w:t>
      </w:r>
      <w:r w:rsidRPr="00FB6266">
        <w:rPr>
          <w:spacing w:val="-4"/>
          <w:rtl/>
        </w:rPr>
        <w:t>(</w:t>
      </w:r>
      <w:r w:rsidRPr="00AB5A83">
        <w:rPr>
          <w:spacing w:val="-4"/>
          <w:rtl/>
        </w:rPr>
        <w:t>2</w:t>
      </w:r>
      <w:r w:rsidRPr="00FB6266">
        <w:rPr>
          <w:spacing w:val="-4"/>
          <w:rtl/>
        </w:rPr>
        <w:t>)(ب) من البروتوكول الاختياري لا تمنعها من النظر في البلاغ.</w:t>
      </w:r>
    </w:p>
    <w:p w14:paraId="6566A6FC" w14:textId="3E28C390" w:rsidR="006E1A1F" w:rsidRPr="00FB6266" w:rsidRDefault="006E1A1F" w:rsidP="00FB6266">
      <w:pPr>
        <w:pStyle w:val="SingleTxtGA"/>
        <w:rPr>
          <w:spacing w:val="-4"/>
          <w:lang w:val="ar-SA" w:eastAsia="zh-TW" w:bidi="en-GB"/>
        </w:rPr>
      </w:pPr>
      <w:r w:rsidRPr="00AB5A83">
        <w:rPr>
          <w:spacing w:val="-4"/>
          <w:rtl/>
        </w:rPr>
        <w:t>6</w:t>
      </w:r>
      <w:r w:rsidRPr="00FB6266">
        <w:rPr>
          <w:spacing w:val="-4"/>
          <w:rtl/>
        </w:rPr>
        <w:t>-</w:t>
      </w:r>
      <w:r w:rsidRPr="00AB5A83">
        <w:rPr>
          <w:spacing w:val="-4"/>
          <w:rtl/>
        </w:rPr>
        <w:t>4</w:t>
      </w:r>
      <w:r w:rsidRPr="00FB6266">
        <w:rPr>
          <w:spacing w:val="-4"/>
          <w:rtl/>
        </w:rPr>
        <w:tab/>
        <w:t xml:space="preserve">وتحيط اللجنة علماً بادعاءات صاحب البلاغ بموجب المادة </w:t>
      </w:r>
      <w:r w:rsidRPr="00AB5A83">
        <w:rPr>
          <w:spacing w:val="-4"/>
          <w:rtl/>
        </w:rPr>
        <w:t>14</w:t>
      </w:r>
      <w:r w:rsidRPr="00FB6266">
        <w:rPr>
          <w:spacing w:val="-4"/>
          <w:rtl/>
        </w:rPr>
        <w:t>(</w:t>
      </w:r>
      <w:r w:rsidRPr="00AB5A83">
        <w:rPr>
          <w:spacing w:val="-4"/>
          <w:rtl/>
        </w:rPr>
        <w:t>1</w:t>
      </w:r>
      <w:r w:rsidRPr="00FB6266">
        <w:rPr>
          <w:spacing w:val="-4"/>
          <w:rtl/>
        </w:rPr>
        <w:t>)</w:t>
      </w:r>
      <w:r w:rsidR="004B691C">
        <w:rPr>
          <w:spacing w:val="-4"/>
          <w:rtl/>
        </w:rPr>
        <w:t>،</w:t>
      </w:r>
      <w:r w:rsidRPr="00FB6266">
        <w:rPr>
          <w:spacing w:val="-4"/>
          <w:rtl/>
        </w:rPr>
        <w:t xml:space="preserve"> مقروءة بالاقتران مع الفقرتين</w:t>
      </w:r>
      <w:r w:rsidR="00FB6266">
        <w:rPr>
          <w:rFonts w:hint="cs"/>
          <w:spacing w:val="-4"/>
          <w:rtl/>
        </w:rPr>
        <w:t> </w:t>
      </w:r>
      <w:r w:rsidRPr="00FB6266">
        <w:rPr>
          <w:spacing w:val="-4"/>
          <w:rtl/>
        </w:rPr>
        <w:t>(</w:t>
      </w:r>
      <w:r w:rsidRPr="00AB5A83">
        <w:rPr>
          <w:spacing w:val="-4"/>
          <w:rtl/>
        </w:rPr>
        <w:t>1</w:t>
      </w:r>
      <w:r w:rsidRPr="00FB6266">
        <w:rPr>
          <w:spacing w:val="-4"/>
          <w:rtl/>
        </w:rPr>
        <w:t>) و(</w:t>
      </w:r>
      <w:r w:rsidRPr="00AB5A83">
        <w:rPr>
          <w:spacing w:val="-4"/>
          <w:rtl/>
        </w:rPr>
        <w:t>3</w:t>
      </w:r>
      <w:r w:rsidRPr="00FB6266">
        <w:rPr>
          <w:spacing w:val="-4"/>
          <w:rtl/>
        </w:rPr>
        <w:t xml:space="preserve">) من المادة </w:t>
      </w:r>
      <w:r w:rsidRPr="00AB5A83">
        <w:rPr>
          <w:spacing w:val="-4"/>
          <w:rtl/>
        </w:rPr>
        <w:t>2</w:t>
      </w:r>
      <w:r w:rsidR="004B691C">
        <w:rPr>
          <w:spacing w:val="-4"/>
          <w:rtl/>
        </w:rPr>
        <w:t>،</w:t>
      </w:r>
      <w:r w:rsidRPr="00FB6266">
        <w:rPr>
          <w:spacing w:val="-4"/>
          <w:rtl/>
        </w:rPr>
        <w:t xml:space="preserve"> والمادة </w:t>
      </w:r>
      <w:r w:rsidRPr="00AB5A83">
        <w:rPr>
          <w:spacing w:val="-4"/>
          <w:rtl/>
        </w:rPr>
        <w:t>26</w:t>
      </w:r>
      <w:r w:rsidRPr="00FB6266">
        <w:rPr>
          <w:spacing w:val="-4"/>
          <w:rtl/>
        </w:rPr>
        <w:t xml:space="preserve"> من العهد. ونظراً لخلو الملف من أي معلومات إضافية ذات صلة</w:t>
      </w:r>
      <w:r w:rsidR="004B691C">
        <w:rPr>
          <w:spacing w:val="-4"/>
          <w:rtl/>
        </w:rPr>
        <w:t>،</w:t>
      </w:r>
      <w:r w:rsidRPr="00FB6266">
        <w:rPr>
          <w:spacing w:val="-4"/>
          <w:rtl/>
        </w:rPr>
        <w:t xml:space="preserve"> ترى اللجنة أن صاحب البلاغ لم يثبت هذه الادعاءات بما يكفي من الأدلة لأغراض المقبولية. وبناءً على ذلك</w:t>
      </w:r>
      <w:r w:rsidR="004B691C">
        <w:rPr>
          <w:spacing w:val="-4"/>
          <w:rtl/>
        </w:rPr>
        <w:t>،</w:t>
      </w:r>
      <w:r w:rsidRPr="00FB6266">
        <w:rPr>
          <w:spacing w:val="-4"/>
          <w:rtl/>
        </w:rPr>
        <w:t xml:space="preserve"> تعلن اللجنة أن هذا الجزء من البلاغ غير مقبول بموجب المادة </w:t>
      </w:r>
      <w:r w:rsidRPr="00AB5A83">
        <w:rPr>
          <w:spacing w:val="-4"/>
          <w:rtl/>
        </w:rPr>
        <w:t>2</w:t>
      </w:r>
      <w:r w:rsidRPr="00FB6266">
        <w:rPr>
          <w:spacing w:val="-4"/>
          <w:rtl/>
        </w:rPr>
        <w:t xml:space="preserve"> من البروتوكول الاختياري.</w:t>
      </w:r>
    </w:p>
    <w:p w14:paraId="2E210217" w14:textId="18754E75" w:rsidR="006E1A1F" w:rsidRPr="00FB6266" w:rsidRDefault="006E1A1F" w:rsidP="00FB6266">
      <w:pPr>
        <w:pStyle w:val="SingleTxtGA"/>
        <w:rPr>
          <w:spacing w:val="-4"/>
          <w:lang w:val="ar-SA" w:eastAsia="zh-TW" w:bidi="en-GB"/>
        </w:rPr>
      </w:pPr>
      <w:r w:rsidRPr="00AB5A83">
        <w:rPr>
          <w:spacing w:val="-4"/>
          <w:rtl/>
        </w:rPr>
        <w:t>6</w:t>
      </w:r>
      <w:r w:rsidRPr="00FB6266">
        <w:rPr>
          <w:spacing w:val="-4"/>
          <w:rtl/>
        </w:rPr>
        <w:t>-</w:t>
      </w:r>
      <w:r w:rsidRPr="00AB5A83">
        <w:rPr>
          <w:spacing w:val="-4"/>
          <w:rtl/>
        </w:rPr>
        <w:t>5</w:t>
      </w:r>
      <w:r w:rsidRPr="00FB6266">
        <w:rPr>
          <w:spacing w:val="-4"/>
          <w:rtl/>
        </w:rPr>
        <w:tab/>
        <w:t>وترى اللجنة أن ما تبقى من ادعاءات صاحب البلاغ</w:t>
      </w:r>
      <w:r w:rsidR="004B691C">
        <w:rPr>
          <w:spacing w:val="-4"/>
          <w:rtl/>
        </w:rPr>
        <w:t>،</w:t>
      </w:r>
      <w:r w:rsidRPr="00FB6266">
        <w:rPr>
          <w:spacing w:val="-4"/>
          <w:rtl/>
        </w:rPr>
        <w:t xml:space="preserve"> التي تثير قضايا تندرج في إطار المادة </w:t>
      </w:r>
      <w:r w:rsidRPr="00AB5A83">
        <w:rPr>
          <w:spacing w:val="-4"/>
          <w:rtl/>
        </w:rPr>
        <w:t>19</w:t>
      </w:r>
      <w:r w:rsidRPr="00FB6266">
        <w:rPr>
          <w:spacing w:val="-4"/>
          <w:rtl/>
        </w:rPr>
        <w:t xml:space="preserve"> من العهد</w:t>
      </w:r>
      <w:r w:rsidR="004B691C">
        <w:rPr>
          <w:spacing w:val="-4"/>
          <w:rtl/>
        </w:rPr>
        <w:t>،</w:t>
      </w:r>
      <w:r w:rsidRPr="00FB6266">
        <w:rPr>
          <w:spacing w:val="-4"/>
          <w:rtl/>
        </w:rPr>
        <w:t xml:space="preserve"> قد دُعمت بما يكفي من الأدلة لأغراض المقبولية</w:t>
      </w:r>
      <w:r w:rsidR="004B691C">
        <w:rPr>
          <w:spacing w:val="-4"/>
          <w:rtl/>
        </w:rPr>
        <w:t>،</w:t>
      </w:r>
      <w:r w:rsidRPr="00FB6266">
        <w:rPr>
          <w:spacing w:val="-4"/>
          <w:rtl/>
        </w:rPr>
        <w:t xml:space="preserve"> وتشرع في النظر في أسسها الموضوعية. </w:t>
      </w:r>
    </w:p>
    <w:p w14:paraId="4359FF73" w14:textId="77777777" w:rsidR="006E1A1F" w:rsidRPr="00AB5A83" w:rsidRDefault="006E1A1F" w:rsidP="00FB6266">
      <w:pPr>
        <w:pStyle w:val="H4GA"/>
        <w:rPr>
          <w:lang w:val="ar-SA" w:eastAsia="zh-TW" w:bidi="en-GB"/>
        </w:rPr>
      </w:pPr>
      <w:r w:rsidRPr="00AB5A83">
        <w:rPr>
          <w:rtl/>
        </w:rPr>
        <w:tab/>
      </w:r>
      <w:r w:rsidRPr="00AB5A83">
        <w:rPr>
          <w:rtl/>
        </w:rPr>
        <w:tab/>
        <w:t>النظر في الأسس الموضوعية</w:t>
      </w:r>
    </w:p>
    <w:p w14:paraId="6EA9C979" w14:textId="755D7C4C" w:rsidR="006E1A1F" w:rsidRPr="00FB6266" w:rsidRDefault="006E1A1F" w:rsidP="00FB6266">
      <w:pPr>
        <w:pStyle w:val="SingleTxtGA"/>
        <w:rPr>
          <w:spacing w:val="-4"/>
          <w:lang w:val="ar-SA" w:eastAsia="zh-TW" w:bidi="en-GB"/>
        </w:rPr>
      </w:pPr>
      <w:r w:rsidRPr="00AB5A83">
        <w:rPr>
          <w:spacing w:val="-4"/>
          <w:rtl/>
        </w:rPr>
        <w:t>7</w:t>
      </w:r>
      <w:r w:rsidRPr="00FB6266">
        <w:rPr>
          <w:spacing w:val="-4"/>
          <w:rtl/>
        </w:rPr>
        <w:t>-</w:t>
      </w:r>
      <w:r w:rsidRPr="00AB5A83">
        <w:rPr>
          <w:spacing w:val="-4"/>
          <w:rtl/>
        </w:rPr>
        <w:t>1</w:t>
      </w:r>
      <w:r w:rsidRPr="00FB6266">
        <w:rPr>
          <w:spacing w:val="-4"/>
          <w:rtl/>
        </w:rPr>
        <w:tab/>
        <w:t>نظرت اللجنة في القضية في ضوء جميع المعلومات المقدمة إليها من الطرفين</w:t>
      </w:r>
      <w:r w:rsidR="004B691C">
        <w:rPr>
          <w:spacing w:val="-4"/>
          <w:rtl/>
        </w:rPr>
        <w:t>،</w:t>
      </w:r>
      <w:r w:rsidRPr="00FB6266">
        <w:rPr>
          <w:spacing w:val="-4"/>
          <w:rtl/>
        </w:rPr>
        <w:t xml:space="preserve"> وفقاً للمادة </w:t>
      </w:r>
      <w:r w:rsidRPr="00AB5A83">
        <w:rPr>
          <w:spacing w:val="-4"/>
          <w:rtl/>
        </w:rPr>
        <w:t>5</w:t>
      </w:r>
      <w:r w:rsidRPr="00FB6266">
        <w:rPr>
          <w:spacing w:val="-4"/>
          <w:rtl/>
        </w:rPr>
        <w:t>(</w:t>
      </w:r>
      <w:r w:rsidRPr="00AB5A83">
        <w:rPr>
          <w:spacing w:val="-4"/>
          <w:rtl/>
        </w:rPr>
        <w:t>1</w:t>
      </w:r>
      <w:r w:rsidRPr="00FB6266">
        <w:rPr>
          <w:spacing w:val="-4"/>
          <w:rtl/>
        </w:rPr>
        <w:t>) من البروتوكول الاختياري.</w:t>
      </w:r>
    </w:p>
    <w:p w14:paraId="02A319FA" w14:textId="3F649F0E" w:rsidR="006E1A1F" w:rsidRPr="00FB6266" w:rsidRDefault="006E1A1F" w:rsidP="00FB6266">
      <w:pPr>
        <w:pStyle w:val="SingleTxtGA"/>
        <w:rPr>
          <w:lang w:val="ar-SA" w:eastAsia="zh-TW" w:bidi="en-GB"/>
        </w:rPr>
      </w:pPr>
      <w:r w:rsidRPr="00AB5A83">
        <w:rPr>
          <w:rtl/>
        </w:rPr>
        <w:t>7</w:t>
      </w:r>
      <w:r w:rsidRPr="00FB6266">
        <w:rPr>
          <w:rtl/>
        </w:rPr>
        <w:t>-</w:t>
      </w:r>
      <w:r w:rsidRPr="00AB5A83">
        <w:rPr>
          <w:rtl/>
        </w:rPr>
        <w:t>2</w:t>
      </w:r>
      <w:r w:rsidRPr="00FB6266">
        <w:rPr>
          <w:rtl/>
        </w:rPr>
        <w:tab/>
        <w:t>وتحيط اللجنة علماً بادعاء صاحب البلاغ أن حقه في حرية التعبير قُيِّد بصورة غير قانونية</w:t>
      </w:r>
      <w:r w:rsidR="004B691C">
        <w:rPr>
          <w:rtl/>
        </w:rPr>
        <w:t>،</w:t>
      </w:r>
      <w:r w:rsidRPr="00FB6266">
        <w:rPr>
          <w:rtl/>
        </w:rPr>
        <w:t xml:space="preserve"> كما يتضح من إدانته بارتكاب جريمة إدارية وتغريمه </w:t>
      </w:r>
      <w:r w:rsidRPr="00AB5A83">
        <w:rPr>
          <w:rtl/>
        </w:rPr>
        <w:t>000</w:t>
      </w:r>
      <w:r w:rsidRPr="00FB6266">
        <w:rPr>
          <w:rtl/>
        </w:rPr>
        <w:t xml:space="preserve"> </w:t>
      </w:r>
      <w:r w:rsidRPr="00AB5A83">
        <w:rPr>
          <w:rtl/>
        </w:rPr>
        <w:t>500</w:t>
      </w:r>
      <w:r w:rsidRPr="00FB6266">
        <w:rPr>
          <w:rtl/>
        </w:rPr>
        <w:t xml:space="preserve"> </w:t>
      </w:r>
      <w:r w:rsidRPr="00AB5A83">
        <w:rPr>
          <w:rtl/>
        </w:rPr>
        <w:t>1</w:t>
      </w:r>
      <w:r w:rsidRPr="00FB6266">
        <w:rPr>
          <w:rtl/>
        </w:rPr>
        <w:t xml:space="preserve"> روبل بيلاروسي لمشاركته في حدث عام مزعوم. ولذلك فإن المسألة المعروضة على اللجنة هي تحديد ما إذا كانت العقوبة التي فرضتها السلطات المحلية على صاحب البلاغ لالتقاطه صورة فوتوغرافية في الشارع العام مع صورة شخصية تشكل انتهاكاً للمادة </w:t>
      </w:r>
      <w:r w:rsidRPr="00AB5A83">
        <w:rPr>
          <w:rtl/>
        </w:rPr>
        <w:t>19</w:t>
      </w:r>
      <w:r w:rsidRPr="00FB6266">
        <w:rPr>
          <w:rtl/>
        </w:rPr>
        <w:t xml:space="preserve"> من العهد.</w:t>
      </w:r>
    </w:p>
    <w:p w14:paraId="46283867" w14:textId="549ED68F" w:rsidR="006E1A1F" w:rsidRPr="00FB6266" w:rsidRDefault="006E1A1F" w:rsidP="00FB6266">
      <w:pPr>
        <w:pStyle w:val="SingleTxtGA"/>
        <w:rPr>
          <w:spacing w:val="-2"/>
          <w:lang w:val="ar-SA" w:eastAsia="zh-TW" w:bidi="en-GB"/>
        </w:rPr>
      </w:pPr>
      <w:r w:rsidRPr="00AB5A83">
        <w:rPr>
          <w:spacing w:val="-2"/>
          <w:rtl/>
        </w:rPr>
        <w:t>7</w:t>
      </w:r>
      <w:r w:rsidRPr="00FB6266">
        <w:rPr>
          <w:spacing w:val="-2"/>
          <w:rtl/>
        </w:rPr>
        <w:t>-</w:t>
      </w:r>
      <w:r w:rsidRPr="00AB5A83">
        <w:rPr>
          <w:spacing w:val="-2"/>
          <w:rtl/>
        </w:rPr>
        <w:t>3</w:t>
      </w:r>
      <w:r w:rsidRPr="00FB6266">
        <w:rPr>
          <w:spacing w:val="-2"/>
          <w:rtl/>
        </w:rPr>
        <w:tab/>
        <w:t xml:space="preserve">وتذكّر اللجنة في هذا الصدد بتعليقها العام رقم </w:t>
      </w:r>
      <w:r w:rsidRPr="00AB5A83">
        <w:rPr>
          <w:spacing w:val="-2"/>
          <w:rtl/>
        </w:rPr>
        <w:t>34</w:t>
      </w:r>
      <w:r w:rsidRPr="00FB6266">
        <w:rPr>
          <w:spacing w:val="-2"/>
          <w:rtl/>
        </w:rPr>
        <w:t>(</w:t>
      </w:r>
      <w:r w:rsidRPr="00AB5A83">
        <w:rPr>
          <w:spacing w:val="-2"/>
          <w:rtl/>
        </w:rPr>
        <w:t>2011</w:t>
      </w:r>
      <w:r w:rsidRPr="00FB6266">
        <w:rPr>
          <w:spacing w:val="-2"/>
          <w:rtl/>
        </w:rPr>
        <w:t>) حيث أشارت</w:t>
      </w:r>
      <w:r w:rsidR="004B691C">
        <w:rPr>
          <w:spacing w:val="-2"/>
          <w:rtl/>
        </w:rPr>
        <w:t>،</w:t>
      </w:r>
      <w:r w:rsidRPr="00FB6266">
        <w:rPr>
          <w:spacing w:val="-2"/>
          <w:rtl/>
        </w:rPr>
        <w:t xml:space="preserve"> في جملة أمور</w:t>
      </w:r>
      <w:r w:rsidR="004B691C">
        <w:rPr>
          <w:spacing w:val="-2"/>
          <w:rtl/>
        </w:rPr>
        <w:t>،</w:t>
      </w:r>
      <w:r w:rsidRPr="00FB6266">
        <w:rPr>
          <w:spacing w:val="-2"/>
          <w:rtl/>
        </w:rPr>
        <w:t xml:space="preserve"> إلى أن حرية التعبير عنصر لا غنى عنه من عناصر أي مجتمع</w:t>
      </w:r>
      <w:r w:rsidR="004B691C">
        <w:rPr>
          <w:spacing w:val="-2"/>
          <w:rtl/>
        </w:rPr>
        <w:t>،</w:t>
      </w:r>
      <w:r w:rsidRPr="00FB6266">
        <w:rPr>
          <w:spacing w:val="-2"/>
          <w:rtl/>
        </w:rPr>
        <w:t xml:space="preserve"> ويشكل حجر الزاوية لكل مجتمع تسوده الحرية والديمقراطية. وتلاحظ أن المادة </w:t>
      </w:r>
      <w:r w:rsidRPr="00AB5A83">
        <w:rPr>
          <w:spacing w:val="-2"/>
          <w:rtl/>
        </w:rPr>
        <w:t>19</w:t>
      </w:r>
      <w:r w:rsidRPr="00FB6266">
        <w:rPr>
          <w:spacing w:val="-2"/>
          <w:rtl/>
        </w:rPr>
        <w:t>(</w:t>
      </w:r>
      <w:r w:rsidRPr="00AB5A83">
        <w:rPr>
          <w:spacing w:val="-2"/>
          <w:rtl/>
        </w:rPr>
        <w:t>3</w:t>
      </w:r>
      <w:r w:rsidRPr="00FB6266">
        <w:rPr>
          <w:spacing w:val="-2"/>
          <w:rtl/>
        </w:rPr>
        <w:t>) من الاتفاقية لا تسمح بفرض قيود معينة على حرية التعبير</w:t>
      </w:r>
      <w:r w:rsidR="004B691C">
        <w:rPr>
          <w:spacing w:val="-2"/>
          <w:rtl/>
        </w:rPr>
        <w:t>،</w:t>
      </w:r>
      <w:r w:rsidRPr="00FB6266">
        <w:rPr>
          <w:spacing w:val="-2"/>
          <w:rtl/>
        </w:rPr>
        <w:t xml:space="preserve"> بما يشمل حرية نقل المعلومات والأفكار</w:t>
      </w:r>
      <w:r w:rsidR="004B691C">
        <w:rPr>
          <w:spacing w:val="-2"/>
          <w:rtl/>
        </w:rPr>
        <w:t>،</w:t>
      </w:r>
      <w:r w:rsidRPr="00FB6266">
        <w:rPr>
          <w:spacing w:val="-2"/>
          <w:rtl/>
        </w:rPr>
        <w:t xml:space="preserve"> إلا بقدر ما ينص القانون على هذه القيود</w:t>
      </w:r>
      <w:r w:rsidR="004B691C">
        <w:rPr>
          <w:spacing w:val="-2"/>
          <w:rtl/>
        </w:rPr>
        <w:t>،</w:t>
      </w:r>
      <w:r w:rsidRPr="00FB6266">
        <w:rPr>
          <w:spacing w:val="-2"/>
          <w:rtl/>
        </w:rPr>
        <w:t xml:space="preserve"> وبقدر ما تكون ضرورية: (أ) لاحترام حقوق الآخرين أو سمعتهم؛ أو (ب) لحماية الأمن القومي أو النظام العام أو الصحة العامة أو الآداب العامة. وأخيراً</w:t>
      </w:r>
      <w:r w:rsidR="004B691C">
        <w:rPr>
          <w:spacing w:val="-2"/>
          <w:rtl/>
        </w:rPr>
        <w:t>،</w:t>
      </w:r>
      <w:r w:rsidRPr="00FB6266">
        <w:rPr>
          <w:spacing w:val="-2"/>
          <w:rtl/>
        </w:rPr>
        <w:t xml:space="preserve"> تكرر اللجنة التأكيد على أن أي قيد على حرية التعبير يجب ألا يكون مفرطاً</w:t>
      </w:r>
      <w:r w:rsidR="004B691C">
        <w:rPr>
          <w:spacing w:val="-2"/>
          <w:rtl/>
        </w:rPr>
        <w:t>،</w:t>
      </w:r>
      <w:r w:rsidRPr="00FB6266">
        <w:rPr>
          <w:spacing w:val="-2"/>
          <w:rtl/>
        </w:rPr>
        <w:t xml:space="preserve"> أي أنه يجب أن يكون أقل التدابير اقتحاماً من بين التدابير التي قد تحقِّق وظيفة الحماية ذات الصلة ومتناسباً مع المصلحة المراد حمايتها</w:t>
      </w:r>
      <w:r w:rsidR="00FB6266" w:rsidRPr="00FB6266">
        <w:rPr>
          <w:rStyle w:val="FootnoteReference"/>
          <w:spacing w:val="-2"/>
          <w:szCs w:val="22"/>
          <w:rtl/>
        </w:rPr>
        <w:t>(</w:t>
      </w:r>
      <w:r w:rsidR="00FB6266" w:rsidRPr="00AB5A83">
        <w:rPr>
          <w:rStyle w:val="FootnoteReference"/>
          <w:spacing w:val="-2"/>
          <w:szCs w:val="22"/>
          <w:lang w:val="en-US"/>
        </w:rPr>
        <w:footnoteReference w:id="10"/>
      </w:r>
      <w:r w:rsidR="00FB6266" w:rsidRPr="00FB6266">
        <w:rPr>
          <w:rStyle w:val="FootnoteReference"/>
          <w:spacing w:val="-2"/>
          <w:szCs w:val="22"/>
          <w:rtl/>
        </w:rPr>
        <w:t>)</w:t>
      </w:r>
      <w:r w:rsidRPr="00FB6266">
        <w:rPr>
          <w:spacing w:val="-2"/>
          <w:rtl/>
        </w:rPr>
        <w:t xml:space="preserve">. وتذكر اللجنة بأن على عاتق الدولة الطرف مسؤولية أن تثبت وجه الضرورة والتناسب في القيود المفروضة على حقوق صاحب البلاغ التي تكفلها المادة </w:t>
      </w:r>
      <w:r w:rsidRPr="00AB5A83">
        <w:rPr>
          <w:spacing w:val="-2"/>
          <w:rtl/>
        </w:rPr>
        <w:t>19</w:t>
      </w:r>
      <w:r w:rsidRPr="00FB6266">
        <w:rPr>
          <w:spacing w:val="-2"/>
          <w:rtl/>
        </w:rPr>
        <w:t xml:space="preserve"> من العهد</w:t>
      </w:r>
      <w:r w:rsidR="00FB6266" w:rsidRPr="00FB6266">
        <w:rPr>
          <w:rStyle w:val="FootnoteReference"/>
          <w:spacing w:val="-2"/>
          <w:szCs w:val="22"/>
          <w:rtl/>
        </w:rPr>
        <w:t>(</w:t>
      </w:r>
      <w:r w:rsidR="00FB6266" w:rsidRPr="00AB5A83">
        <w:rPr>
          <w:rStyle w:val="FootnoteReference"/>
          <w:spacing w:val="-2"/>
          <w:szCs w:val="22"/>
          <w:lang w:val="en-US"/>
        </w:rPr>
        <w:footnoteReference w:id="11"/>
      </w:r>
      <w:r w:rsidR="00FB6266" w:rsidRPr="00FB6266">
        <w:rPr>
          <w:rStyle w:val="FootnoteReference"/>
          <w:spacing w:val="-2"/>
          <w:szCs w:val="22"/>
          <w:rtl/>
        </w:rPr>
        <w:t>)</w:t>
      </w:r>
      <w:r w:rsidRPr="00FB6266">
        <w:rPr>
          <w:spacing w:val="-2"/>
          <w:rtl/>
        </w:rPr>
        <w:t xml:space="preserve">. </w:t>
      </w:r>
    </w:p>
    <w:p w14:paraId="1008A42F" w14:textId="05F822DC" w:rsidR="006E1A1F" w:rsidRPr="004201AA" w:rsidRDefault="006E1A1F" w:rsidP="00FB6266">
      <w:pPr>
        <w:pStyle w:val="SingleTxtGA"/>
        <w:rPr>
          <w:spacing w:val="-2"/>
          <w:lang w:val="ar-SA" w:eastAsia="zh-TW" w:bidi="en-GB"/>
        </w:rPr>
      </w:pPr>
      <w:r w:rsidRPr="00AB5A83">
        <w:rPr>
          <w:spacing w:val="-4"/>
          <w:rtl/>
        </w:rPr>
        <w:t>7</w:t>
      </w:r>
      <w:r w:rsidRPr="004201AA">
        <w:rPr>
          <w:rtl/>
        </w:rPr>
        <w:t>-</w:t>
      </w:r>
      <w:r w:rsidRPr="00AB5A83">
        <w:rPr>
          <w:rtl/>
        </w:rPr>
        <w:t>4</w:t>
      </w:r>
      <w:r w:rsidRPr="004201AA">
        <w:rPr>
          <w:rtl/>
        </w:rPr>
        <w:tab/>
        <w:t xml:space="preserve">وتلاحظ اللجنة أن فرض غرامة كبيرة على صاحب البلاغ لمجرد أنه التقط صورة فوتوغرافية مع صورة شخصية يثير شكوكاً شديدة في مدى ضرورة وتناسب القيود المفروضة على حقوق صاحب البلاغ المكفولة في المادة </w:t>
      </w:r>
      <w:r w:rsidRPr="00AB5A83">
        <w:rPr>
          <w:rtl/>
        </w:rPr>
        <w:t>19</w:t>
      </w:r>
      <w:r w:rsidRPr="004201AA">
        <w:rPr>
          <w:rtl/>
        </w:rPr>
        <w:t xml:space="preserve"> من العهد. وتلاحظ اللجنة في هذا الصدد أن الدولة الطرف لم تحتج بأي أسباب </w:t>
      </w:r>
      <w:r w:rsidRPr="004201AA">
        <w:rPr>
          <w:spacing w:val="-2"/>
          <w:rtl/>
        </w:rPr>
        <w:t>م</w:t>
      </w:r>
      <w:r w:rsidR="00FB6266" w:rsidRPr="004201AA">
        <w:rPr>
          <w:rFonts w:hint="cs"/>
          <w:spacing w:val="-2"/>
          <w:rtl/>
        </w:rPr>
        <w:t>ح</w:t>
      </w:r>
      <w:r w:rsidRPr="004201AA">
        <w:rPr>
          <w:spacing w:val="-2"/>
          <w:rtl/>
        </w:rPr>
        <w:t>ددة لدعم ضرورة فرض هذه القيود</w:t>
      </w:r>
      <w:r w:rsidR="004B691C" w:rsidRPr="004201AA">
        <w:rPr>
          <w:spacing w:val="-2"/>
          <w:rtl/>
        </w:rPr>
        <w:t>،</w:t>
      </w:r>
      <w:r w:rsidRPr="004201AA">
        <w:rPr>
          <w:spacing w:val="-2"/>
          <w:rtl/>
        </w:rPr>
        <w:t xml:space="preserve"> وفقاً لما تقتضيه المادة </w:t>
      </w:r>
      <w:r w:rsidRPr="00AB5A83">
        <w:rPr>
          <w:spacing w:val="-2"/>
          <w:rtl/>
        </w:rPr>
        <w:t>19</w:t>
      </w:r>
      <w:r w:rsidRPr="004201AA">
        <w:rPr>
          <w:spacing w:val="-2"/>
          <w:rtl/>
        </w:rPr>
        <w:t>(</w:t>
      </w:r>
      <w:r w:rsidRPr="00AB5A83">
        <w:rPr>
          <w:spacing w:val="-2"/>
          <w:rtl/>
        </w:rPr>
        <w:t>3</w:t>
      </w:r>
      <w:r w:rsidRPr="004201AA">
        <w:rPr>
          <w:spacing w:val="-2"/>
          <w:rtl/>
        </w:rPr>
        <w:t>) من العهد</w:t>
      </w:r>
      <w:r w:rsidR="00FB6266" w:rsidRPr="004201AA">
        <w:rPr>
          <w:rStyle w:val="FootnoteReference"/>
          <w:spacing w:val="-2"/>
          <w:szCs w:val="22"/>
          <w:rtl/>
        </w:rPr>
        <w:t>(</w:t>
      </w:r>
      <w:r w:rsidR="00FB6266" w:rsidRPr="00AB5A83">
        <w:rPr>
          <w:rStyle w:val="FootnoteReference"/>
          <w:spacing w:val="-2"/>
          <w:szCs w:val="22"/>
          <w:lang w:val="en-US"/>
        </w:rPr>
        <w:footnoteReference w:id="12"/>
      </w:r>
      <w:r w:rsidR="00FB6266" w:rsidRPr="004201AA">
        <w:rPr>
          <w:rStyle w:val="FootnoteReference"/>
          <w:spacing w:val="-2"/>
          <w:szCs w:val="22"/>
          <w:rtl/>
        </w:rPr>
        <w:t>)</w:t>
      </w:r>
      <w:r w:rsidRPr="004201AA">
        <w:rPr>
          <w:spacing w:val="-2"/>
          <w:rtl/>
        </w:rPr>
        <w:t xml:space="preserve">. ولم تثبت الدولة الطرف كذلك أن التدابير المختارة هي الأقل اقتحاماً من حيث طابعها أو أنها متناسبة مع المصلحة التي استهدفت </w:t>
      </w:r>
      <w:r w:rsidRPr="004201AA">
        <w:rPr>
          <w:spacing w:val="-2"/>
          <w:rtl/>
        </w:rPr>
        <w:lastRenderedPageBreak/>
        <w:t>هذه التدابير حمايتها. وبالنظر إلى ملابسات هذه القضية</w:t>
      </w:r>
      <w:r w:rsidR="004B691C" w:rsidRPr="004201AA">
        <w:rPr>
          <w:spacing w:val="-2"/>
          <w:rtl/>
        </w:rPr>
        <w:t>،</w:t>
      </w:r>
      <w:r w:rsidRPr="004201AA">
        <w:rPr>
          <w:spacing w:val="-2"/>
          <w:rtl/>
        </w:rPr>
        <w:t xml:space="preserve"> ترى اللجنة أن القيود المفروضة على</w:t>
      </w:r>
      <w:r w:rsidRPr="004201AA">
        <w:rPr>
          <w:rtl/>
        </w:rPr>
        <w:t xml:space="preserve"> صاحب </w:t>
      </w:r>
      <w:r w:rsidRPr="004201AA">
        <w:rPr>
          <w:spacing w:val="-4"/>
          <w:rtl/>
        </w:rPr>
        <w:t>البلاغ</w:t>
      </w:r>
      <w:r w:rsidR="004B691C" w:rsidRPr="004201AA">
        <w:rPr>
          <w:spacing w:val="-4"/>
          <w:rtl/>
        </w:rPr>
        <w:t>،</w:t>
      </w:r>
      <w:r w:rsidRPr="004201AA">
        <w:rPr>
          <w:spacing w:val="-4"/>
          <w:rtl/>
        </w:rPr>
        <w:t xml:space="preserve"> وإن كانت تستند إلى القانون المحلي</w:t>
      </w:r>
      <w:r w:rsidR="004B691C" w:rsidRPr="004201AA">
        <w:rPr>
          <w:spacing w:val="-4"/>
          <w:rtl/>
        </w:rPr>
        <w:t>،</w:t>
      </w:r>
      <w:r w:rsidRPr="004201AA">
        <w:rPr>
          <w:spacing w:val="-4"/>
          <w:rtl/>
        </w:rPr>
        <w:t xml:space="preserve"> غير مبرَّرة في ضوء الشروط المنصوص عليها في المادة </w:t>
      </w:r>
      <w:r w:rsidRPr="00AB5A83">
        <w:rPr>
          <w:spacing w:val="-4"/>
          <w:rtl/>
        </w:rPr>
        <w:t>19</w:t>
      </w:r>
      <w:r w:rsidRPr="004201AA">
        <w:rPr>
          <w:spacing w:val="-4"/>
          <w:rtl/>
        </w:rPr>
        <w:t>(</w:t>
      </w:r>
      <w:r w:rsidRPr="00AB5A83">
        <w:rPr>
          <w:spacing w:val="-4"/>
          <w:rtl/>
        </w:rPr>
        <w:t>3</w:t>
      </w:r>
      <w:r w:rsidRPr="004201AA">
        <w:rPr>
          <w:spacing w:val="-4"/>
          <w:rtl/>
        </w:rPr>
        <w:t>)</w:t>
      </w:r>
      <w:r w:rsidRPr="004201AA">
        <w:rPr>
          <w:rtl/>
        </w:rPr>
        <w:t xml:space="preserve"> </w:t>
      </w:r>
      <w:r w:rsidRPr="004201AA">
        <w:rPr>
          <w:spacing w:val="-2"/>
          <w:rtl/>
        </w:rPr>
        <w:t>من العهد. ولذلك</w:t>
      </w:r>
      <w:r w:rsidR="004B691C" w:rsidRPr="004201AA">
        <w:rPr>
          <w:spacing w:val="-2"/>
          <w:rtl/>
        </w:rPr>
        <w:t>،</w:t>
      </w:r>
      <w:r w:rsidRPr="004201AA">
        <w:rPr>
          <w:spacing w:val="-2"/>
          <w:rtl/>
        </w:rPr>
        <w:t xml:space="preserve"> تخلص اللجنة إلى أن حقوق صاحب البلاغ بموجب المادة </w:t>
      </w:r>
      <w:r w:rsidRPr="00AB5A83">
        <w:rPr>
          <w:spacing w:val="-2"/>
          <w:rtl/>
        </w:rPr>
        <w:t>19</w:t>
      </w:r>
      <w:r w:rsidRPr="004201AA">
        <w:rPr>
          <w:spacing w:val="-2"/>
          <w:rtl/>
        </w:rPr>
        <w:t xml:space="preserve"> من العهد قد انتُهِكت</w:t>
      </w:r>
      <w:r w:rsidR="00FB6266" w:rsidRPr="004201AA">
        <w:rPr>
          <w:rStyle w:val="FootnoteReference"/>
          <w:spacing w:val="-2"/>
          <w:szCs w:val="22"/>
          <w:rtl/>
        </w:rPr>
        <w:t>(</w:t>
      </w:r>
      <w:r w:rsidR="00FB6266" w:rsidRPr="00AB5A83">
        <w:rPr>
          <w:rStyle w:val="FootnoteReference"/>
          <w:spacing w:val="-2"/>
          <w:szCs w:val="22"/>
          <w:lang w:val="en-US"/>
        </w:rPr>
        <w:footnoteReference w:id="13"/>
      </w:r>
      <w:r w:rsidR="00FB6266" w:rsidRPr="004201AA">
        <w:rPr>
          <w:rStyle w:val="FootnoteReference"/>
          <w:spacing w:val="-2"/>
          <w:szCs w:val="22"/>
          <w:rtl/>
        </w:rPr>
        <w:t>)</w:t>
      </w:r>
      <w:r w:rsidRPr="004201AA">
        <w:rPr>
          <w:spacing w:val="-2"/>
          <w:rtl/>
        </w:rPr>
        <w:t xml:space="preserve">. </w:t>
      </w:r>
    </w:p>
    <w:p w14:paraId="368F649C" w14:textId="76969D43" w:rsidR="006E1A1F" w:rsidRPr="00FB6266" w:rsidRDefault="006E1A1F" w:rsidP="00FB6266">
      <w:pPr>
        <w:pStyle w:val="SingleTxtGA"/>
        <w:rPr>
          <w:lang w:val="ar-SA" w:eastAsia="zh-TW" w:bidi="en-GB"/>
        </w:rPr>
      </w:pPr>
      <w:r w:rsidRPr="00AB5A83">
        <w:rPr>
          <w:rtl/>
        </w:rPr>
        <w:t>8</w:t>
      </w:r>
      <w:r w:rsidRPr="00FB6266">
        <w:rPr>
          <w:rtl/>
        </w:rPr>
        <w:t>-</w:t>
      </w:r>
      <w:r w:rsidRPr="00FB6266">
        <w:rPr>
          <w:rtl/>
        </w:rPr>
        <w:tab/>
        <w:t>واللجنة</w:t>
      </w:r>
      <w:r w:rsidR="004B691C">
        <w:rPr>
          <w:rtl/>
        </w:rPr>
        <w:t>،</w:t>
      </w:r>
      <w:r w:rsidRPr="00FB6266">
        <w:rPr>
          <w:rtl/>
        </w:rPr>
        <w:t xml:space="preserve"> إذ تتصرف بموجب المادة </w:t>
      </w:r>
      <w:r w:rsidRPr="00AB5A83">
        <w:rPr>
          <w:rtl/>
        </w:rPr>
        <w:t>5</w:t>
      </w:r>
      <w:r w:rsidRPr="00FB6266">
        <w:rPr>
          <w:rtl/>
        </w:rPr>
        <w:t>(</w:t>
      </w:r>
      <w:r w:rsidRPr="00AB5A83">
        <w:rPr>
          <w:rtl/>
        </w:rPr>
        <w:t>4</w:t>
      </w:r>
      <w:r w:rsidRPr="00FB6266">
        <w:rPr>
          <w:rtl/>
        </w:rPr>
        <w:t>) من البروتوكول الاختياري</w:t>
      </w:r>
      <w:r w:rsidR="004B691C">
        <w:rPr>
          <w:rtl/>
        </w:rPr>
        <w:t>،</w:t>
      </w:r>
      <w:r w:rsidRPr="00FB6266">
        <w:rPr>
          <w:rtl/>
        </w:rPr>
        <w:t xml:space="preserve"> ترى أن الوقائع المعروضة عليها تكشف عن انتهاك الدولة الطرف لحقوق صاحب البلاغ المكفولة في المادة </w:t>
      </w:r>
      <w:r w:rsidRPr="00AB5A83">
        <w:rPr>
          <w:rtl/>
        </w:rPr>
        <w:t>19</w:t>
      </w:r>
      <w:r w:rsidRPr="00FB6266">
        <w:rPr>
          <w:rtl/>
        </w:rPr>
        <w:t xml:space="preserve"> من العهد. </w:t>
      </w:r>
    </w:p>
    <w:p w14:paraId="36137DBA" w14:textId="13A55A49" w:rsidR="006E1A1F" w:rsidRPr="00FB6266" w:rsidRDefault="006E1A1F" w:rsidP="00FB6266">
      <w:pPr>
        <w:pStyle w:val="SingleTxtGA"/>
        <w:rPr>
          <w:lang w:val="ar-SA" w:eastAsia="zh-TW" w:bidi="en-GB"/>
        </w:rPr>
      </w:pPr>
      <w:r w:rsidRPr="00AB5A83">
        <w:rPr>
          <w:rtl/>
        </w:rPr>
        <w:t>9</w:t>
      </w:r>
      <w:r w:rsidRPr="00FB6266">
        <w:rPr>
          <w:rtl/>
        </w:rPr>
        <w:t>-</w:t>
      </w:r>
      <w:r w:rsidRPr="00FB6266">
        <w:rPr>
          <w:rtl/>
        </w:rPr>
        <w:tab/>
        <w:t xml:space="preserve">ووفقاً لأحكام الفقرة </w:t>
      </w:r>
      <w:r w:rsidRPr="00AB5A83">
        <w:rPr>
          <w:rtl/>
        </w:rPr>
        <w:t>3</w:t>
      </w:r>
      <w:r w:rsidRPr="00FB6266">
        <w:rPr>
          <w:rtl/>
        </w:rPr>
        <w:t xml:space="preserve">(أ) من المادة </w:t>
      </w:r>
      <w:r w:rsidRPr="00AB5A83">
        <w:rPr>
          <w:rtl/>
        </w:rPr>
        <w:t>2</w:t>
      </w:r>
      <w:r w:rsidRPr="00FB6266">
        <w:rPr>
          <w:rtl/>
        </w:rPr>
        <w:t xml:space="preserve"> من العهد</w:t>
      </w:r>
      <w:r w:rsidR="004B691C">
        <w:rPr>
          <w:rtl/>
        </w:rPr>
        <w:t>،</w:t>
      </w:r>
      <w:r w:rsidRPr="00FB6266">
        <w:rPr>
          <w:rtl/>
        </w:rPr>
        <w:t xml:space="preserve"> فإن الدولة الطرف ملزمة بتوفير سبيل انتصاف فعال لصاحب البلاغ. ويقتضي هذا الأمر منها أن تتيح جبراً تاماً للضرر الذي لحق الأفراد الذين انتُهكت حقوقهم المكفولة في العهد. وبناءً على ذلك</w:t>
      </w:r>
      <w:r w:rsidR="004B691C">
        <w:rPr>
          <w:rtl/>
        </w:rPr>
        <w:t>،</w:t>
      </w:r>
      <w:r w:rsidRPr="00FB6266">
        <w:rPr>
          <w:rtl/>
        </w:rPr>
        <w:t xml:space="preserve"> فإن الدولة الطرف مُلزمة</w:t>
      </w:r>
      <w:r w:rsidR="004B691C">
        <w:rPr>
          <w:rtl/>
        </w:rPr>
        <w:t>،</w:t>
      </w:r>
      <w:r w:rsidRPr="00FB6266">
        <w:rPr>
          <w:rtl/>
        </w:rPr>
        <w:t xml:space="preserve"> في جملة أمور</w:t>
      </w:r>
      <w:r w:rsidR="004B691C">
        <w:rPr>
          <w:rtl/>
        </w:rPr>
        <w:t>،</w:t>
      </w:r>
      <w:r w:rsidRPr="00FB6266">
        <w:rPr>
          <w:rtl/>
        </w:rPr>
        <w:t xml:space="preserve"> بتقديم تعويض مناسب لصاحب البلاغ</w:t>
      </w:r>
      <w:r w:rsidR="004B691C">
        <w:rPr>
          <w:rtl/>
        </w:rPr>
        <w:t>،</w:t>
      </w:r>
      <w:r w:rsidRPr="00FB6266">
        <w:rPr>
          <w:rtl/>
        </w:rPr>
        <w:t xml:space="preserve"> بسبل منها سداد قيمة الغرامة التي فرضت عليه وأي تكاليف قانونية تكبدها فيما</w:t>
      </w:r>
      <w:r w:rsidR="00FB6266">
        <w:rPr>
          <w:rFonts w:hint="cs"/>
          <w:rtl/>
        </w:rPr>
        <w:t> </w:t>
      </w:r>
      <w:r w:rsidRPr="00FB6266">
        <w:rPr>
          <w:rtl/>
        </w:rPr>
        <w:t>يتعلق بالإجراءات المحلية. والدولة الطرف ملزمة أيضاً باتخاذ جميع الخطوات اللازمة لمنع وقوع انتهاكات مماثلة في المستقبل</w:t>
      </w:r>
      <w:r w:rsidR="004B691C">
        <w:rPr>
          <w:rtl/>
        </w:rPr>
        <w:t>،</w:t>
      </w:r>
      <w:r w:rsidRPr="00FB6266">
        <w:rPr>
          <w:rtl/>
        </w:rPr>
        <w:t xml:space="preserve"> لا سيما عن طريق استعراض تشريعاتها الوطنية المتعلقة بالأحداث العامة وتنفيذها لمواءمتها مع الالتزامات الواقعة عليها بموجب المادة </w:t>
      </w:r>
      <w:r w:rsidRPr="00AB5A83">
        <w:rPr>
          <w:rtl/>
        </w:rPr>
        <w:t>2</w:t>
      </w:r>
      <w:r w:rsidRPr="00FB6266">
        <w:rPr>
          <w:rtl/>
        </w:rPr>
        <w:t>(</w:t>
      </w:r>
      <w:r w:rsidRPr="00AB5A83">
        <w:rPr>
          <w:rtl/>
        </w:rPr>
        <w:t>2</w:t>
      </w:r>
      <w:r w:rsidRPr="00FB6266">
        <w:rPr>
          <w:rtl/>
        </w:rPr>
        <w:t>) من العهد</w:t>
      </w:r>
      <w:r w:rsidR="004B691C">
        <w:rPr>
          <w:rtl/>
        </w:rPr>
        <w:t>،</w:t>
      </w:r>
      <w:r w:rsidRPr="00FB6266">
        <w:rPr>
          <w:rtl/>
        </w:rPr>
        <w:t xml:space="preserve"> وباعتماد تدابير تمكّن من إنفاذ الحقوق المعترف بها في المادة </w:t>
      </w:r>
      <w:r w:rsidRPr="00AB5A83">
        <w:rPr>
          <w:rtl/>
        </w:rPr>
        <w:t>19</w:t>
      </w:r>
      <w:r w:rsidRPr="00FB6266">
        <w:rPr>
          <w:rtl/>
        </w:rPr>
        <w:t xml:space="preserve">. </w:t>
      </w:r>
    </w:p>
    <w:p w14:paraId="24CB263C" w14:textId="64530766" w:rsidR="006E1A1F" w:rsidRPr="00FB6266" w:rsidRDefault="006E1A1F" w:rsidP="00FB6266">
      <w:pPr>
        <w:pStyle w:val="SingleTxtGA"/>
        <w:rPr>
          <w:lang w:val="ar-SA" w:eastAsia="zh-TW" w:bidi="en-GB"/>
        </w:rPr>
      </w:pPr>
      <w:r w:rsidRPr="00AB5A83">
        <w:rPr>
          <w:rtl/>
        </w:rPr>
        <w:t>10</w:t>
      </w:r>
      <w:r w:rsidRPr="00FB6266">
        <w:rPr>
          <w:rtl/>
        </w:rPr>
        <w:t>-</w:t>
      </w:r>
      <w:r w:rsidRPr="00FB6266">
        <w:rPr>
          <w:rtl/>
        </w:rPr>
        <w:tab/>
        <w:t>وإذ تأخذ اللجنة في اعتبارها أن الدولة الطرف</w:t>
      </w:r>
      <w:r w:rsidR="004B691C">
        <w:rPr>
          <w:rtl/>
        </w:rPr>
        <w:t>،</w:t>
      </w:r>
      <w:r w:rsidRPr="00FB6266">
        <w:rPr>
          <w:rtl/>
        </w:rPr>
        <w:t xml:space="preserve"> بانضمامها إلى البروتوكول الاختياري</w:t>
      </w:r>
      <w:r w:rsidR="004B691C">
        <w:rPr>
          <w:rtl/>
        </w:rPr>
        <w:t>،</w:t>
      </w:r>
      <w:r w:rsidRPr="00FB6266">
        <w:rPr>
          <w:rtl/>
        </w:rPr>
        <w:t xml:space="preserve"> قد اعترفت باختصاص اللجنة في تحديد ما إذا كان قد وقع انتهاك للعهد أم لا</w:t>
      </w:r>
      <w:r w:rsidR="004B691C">
        <w:rPr>
          <w:rtl/>
        </w:rPr>
        <w:t>،</w:t>
      </w:r>
      <w:r w:rsidRPr="00FB6266">
        <w:rPr>
          <w:rtl/>
        </w:rPr>
        <w:t xml:space="preserve"> وأنها تعهدت</w:t>
      </w:r>
      <w:r w:rsidR="004B691C">
        <w:rPr>
          <w:rtl/>
        </w:rPr>
        <w:t>،</w:t>
      </w:r>
      <w:r w:rsidRPr="00FB6266">
        <w:rPr>
          <w:rtl/>
        </w:rPr>
        <w:t xml:space="preserve"> عملاً بالمادة </w:t>
      </w:r>
      <w:r w:rsidRPr="00AB5A83">
        <w:rPr>
          <w:rtl/>
        </w:rPr>
        <w:t>2</w:t>
      </w:r>
      <w:r w:rsidRPr="00FB6266">
        <w:rPr>
          <w:rtl/>
        </w:rPr>
        <w:t xml:space="preserve"> من العهد</w:t>
      </w:r>
      <w:r w:rsidR="004B691C">
        <w:rPr>
          <w:rtl/>
        </w:rPr>
        <w:t>،</w:t>
      </w:r>
      <w:r w:rsidRPr="00FB6266">
        <w:rPr>
          <w:rtl/>
        </w:rPr>
        <w:t xml:space="preserve"> بأن تكفل لجميع الأفراد الموجودين في إقليمها أو الخاضعين لولايتها الحقوق المعترف بها في العهد</w:t>
      </w:r>
      <w:r w:rsidR="004B691C">
        <w:rPr>
          <w:rtl/>
        </w:rPr>
        <w:t>،</w:t>
      </w:r>
      <w:r w:rsidRPr="00FB6266">
        <w:rPr>
          <w:rtl/>
        </w:rPr>
        <w:t xml:space="preserve"> وبأن توفر لهم سبيل انتصاف فعالاً وقابلاً للإنفاذ إن ثبت حدوث انتهاك</w:t>
      </w:r>
      <w:r w:rsidR="004B691C">
        <w:rPr>
          <w:rtl/>
        </w:rPr>
        <w:t>،</w:t>
      </w:r>
      <w:r w:rsidRPr="00FB6266">
        <w:rPr>
          <w:rtl/>
        </w:rPr>
        <w:t xml:space="preserve"> فإنها تود أن تتلقى من الدولة الطرف في غضون </w:t>
      </w:r>
      <w:r w:rsidRPr="00AB5A83">
        <w:rPr>
          <w:rtl/>
        </w:rPr>
        <w:t>180</w:t>
      </w:r>
      <w:r w:rsidRPr="00FB6266">
        <w:rPr>
          <w:rtl/>
        </w:rPr>
        <w:t xml:space="preserve"> يوماً معلومات عن التدابير التي اتخذتها لإنفاذ آراء اللجنة. ويُطلب إلى الدولة الطرف أيضاً نشر هذه الآراء وتعميمها على نطاق واسع بلغاتها الرسمية.</w:t>
      </w:r>
    </w:p>
    <w:p w14:paraId="39148BBB" w14:textId="644165AA" w:rsidR="00FB6266" w:rsidRPr="00FB6266" w:rsidRDefault="00FB6266" w:rsidP="00FB6266">
      <w:pPr>
        <w:pStyle w:val="SingleTxtGA"/>
        <w:jc w:val="center"/>
        <w:rPr>
          <w:u w:val="single"/>
          <w:rtl/>
        </w:rPr>
      </w:pPr>
      <w:r>
        <w:rPr>
          <w:u w:val="single"/>
          <w:rtl/>
        </w:rPr>
        <w:tab/>
      </w:r>
      <w:r>
        <w:rPr>
          <w:u w:val="single"/>
          <w:rtl/>
        </w:rPr>
        <w:tab/>
      </w:r>
      <w:r>
        <w:rPr>
          <w:u w:val="single"/>
          <w:rtl/>
        </w:rPr>
        <w:tab/>
      </w:r>
    </w:p>
    <w:sectPr w:rsidR="00FB6266" w:rsidRPr="00FB6266" w:rsidSect="00670C0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0F96" w14:textId="77777777" w:rsidR="00BC66AC" w:rsidRPr="002901D9" w:rsidRDefault="00BC66AC" w:rsidP="00DC4D4B">
      <w:pPr>
        <w:spacing w:after="60" w:line="240" w:lineRule="auto"/>
        <w:ind w:left="57"/>
        <w:rPr>
          <w:i/>
          <w:iCs/>
        </w:rPr>
      </w:pPr>
      <w:r>
        <w:rPr>
          <w:rFonts w:hint="cs"/>
          <w:i/>
          <w:iCs/>
          <w:rtl/>
        </w:rPr>
        <w:t>الحواشي</w:t>
      </w:r>
    </w:p>
  </w:endnote>
  <w:endnote w:type="continuationSeparator" w:id="0">
    <w:p w14:paraId="7B6EA60D" w14:textId="77777777" w:rsidR="00BC66AC" w:rsidRDefault="00BC66A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119" w14:textId="22EA8514" w:rsidR="008B08CD" w:rsidRPr="008B08CD" w:rsidRDefault="008B08CD" w:rsidP="008B08CD">
    <w:pPr>
      <w:pStyle w:val="Footer"/>
      <w:tabs>
        <w:tab w:val="right" w:pos="9638"/>
      </w:tabs>
      <w:rPr>
        <w:b/>
        <w:sz w:val="18"/>
        <w:lang w:val="en-US"/>
      </w:rPr>
    </w:pPr>
    <w:r>
      <w:rPr>
        <w:lang w:val="en-US"/>
      </w:rPr>
      <w:t>GE.22-02606</w:t>
    </w:r>
    <w:r>
      <w:rPr>
        <w:lang w:val="en-US"/>
      </w:rPr>
      <w:tab/>
    </w:r>
    <w:r w:rsidRPr="008B08CD">
      <w:rPr>
        <w:b/>
        <w:sz w:val="18"/>
        <w:lang w:val="en-US"/>
      </w:rPr>
      <w:fldChar w:fldCharType="begin"/>
    </w:r>
    <w:r w:rsidRPr="008B08CD">
      <w:rPr>
        <w:b/>
        <w:sz w:val="18"/>
        <w:lang w:val="en-US"/>
      </w:rPr>
      <w:instrText xml:space="preserve"> PAGE  \* MERGEFORMAT </w:instrText>
    </w:r>
    <w:r w:rsidRPr="008B08CD">
      <w:rPr>
        <w:b/>
        <w:sz w:val="18"/>
        <w:lang w:val="en-US"/>
      </w:rPr>
      <w:fldChar w:fldCharType="separate"/>
    </w:r>
    <w:r w:rsidRPr="008B08CD">
      <w:rPr>
        <w:b/>
        <w:noProof/>
        <w:sz w:val="18"/>
        <w:lang w:val="en-US"/>
      </w:rPr>
      <w:t>2</w:t>
    </w:r>
    <w:r w:rsidRPr="008B08C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8844" w14:textId="532B4495" w:rsidR="006959B0" w:rsidRPr="008B08CD" w:rsidRDefault="008B08CD" w:rsidP="008B08C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GE.22-02606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DB3D" w14:textId="2289E24F" w:rsidR="00DE50B1" w:rsidRPr="008B08CD" w:rsidRDefault="008B08CD" w:rsidP="008B08C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B809962" wp14:editId="0B7C595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22-02606 (A)</w:t>
    </w:r>
    <w:r>
      <w:rPr>
        <w:noProof/>
        <w:sz w:val="20"/>
        <w:lang w:val="en-US"/>
      </w:rPr>
      <w:drawing>
        <wp:anchor distT="0" distB="0" distL="114300" distR="114300" simplePos="0" relativeHeight="251659264" behindDoc="0" locked="0" layoutInCell="1" allowOverlap="1" wp14:anchorId="397D4E3B" wp14:editId="6D45058E">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9AAB" w14:textId="77777777" w:rsidR="00BC66AC" w:rsidRPr="008A49D2" w:rsidRDefault="00BC66AC"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4A6E000" w14:textId="77777777" w:rsidR="00BC66AC" w:rsidRDefault="00BC66AC" w:rsidP="00656392">
      <w:pPr>
        <w:spacing w:line="240" w:lineRule="auto"/>
      </w:pPr>
      <w:r>
        <w:continuationSeparator/>
      </w:r>
    </w:p>
  </w:footnote>
  <w:footnote w:id="1">
    <w:p w14:paraId="20868139" w14:textId="20E0A87A" w:rsidR="006E1A1F" w:rsidRPr="00FB6266" w:rsidRDefault="006E1A1F" w:rsidP="00FB6266">
      <w:pPr>
        <w:pStyle w:val="FootnoteText1"/>
        <w:textDirection w:val="tbRlV"/>
        <w:rPr>
          <w:lang w:val="ar-SA" w:eastAsia="zh-TW" w:bidi="en-GB"/>
        </w:rPr>
      </w:pPr>
      <w:r w:rsidRPr="00FB6266">
        <w:t>*</w:t>
      </w:r>
      <w:r w:rsidRPr="00FB6266">
        <w:rPr>
          <w:rtl/>
        </w:rPr>
        <w:tab/>
        <w:t xml:space="preserve">اعتمدتها اللجنة في دورتها </w:t>
      </w:r>
      <w:r w:rsidRPr="00AB5A83">
        <w:rPr>
          <w:rtl/>
        </w:rPr>
        <w:t>132</w:t>
      </w:r>
      <w:r w:rsidRPr="00FB6266">
        <w:rPr>
          <w:rtl/>
        </w:rPr>
        <w:t xml:space="preserve"> (</w:t>
      </w:r>
      <w:r w:rsidRPr="00AB5A83">
        <w:rPr>
          <w:rtl/>
        </w:rPr>
        <w:t>28</w:t>
      </w:r>
      <w:r w:rsidRPr="00FB6266">
        <w:rPr>
          <w:rtl/>
        </w:rPr>
        <w:t xml:space="preserve"> حزيران/يونيه - </w:t>
      </w:r>
      <w:r w:rsidRPr="00AB5A83">
        <w:rPr>
          <w:rtl/>
        </w:rPr>
        <w:t>23</w:t>
      </w:r>
      <w:r w:rsidRPr="00FB6266">
        <w:rPr>
          <w:rtl/>
        </w:rPr>
        <w:t xml:space="preserve"> تموز/يوليه </w:t>
      </w:r>
      <w:r w:rsidRPr="00AB5A83">
        <w:rPr>
          <w:rtl/>
        </w:rPr>
        <w:t>2021</w:t>
      </w:r>
      <w:r w:rsidRPr="00FB6266">
        <w:rPr>
          <w:rtl/>
        </w:rPr>
        <w:t>).</w:t>
      </w:r>
    </w:p>
  </w:footnote>
  <w:footnote w:id="2">
    <w:p w14:paraId="63182EBD" w14:textId="4B69C6F0" w:rsidR="006E1A1F" w:rsidRPr="00FB6266" w:rsidRDefault="006E1A1F" w:rsidP="00FB6266">
      <w:pPr>
        <w:pStyle w:val="FootnoteText1"/>
        <w:textDirection w:val="tbRlV"/>
        <w:rPr>
          <w:lang w:val="ar-SA" w:eastAsia="zh-TW" w:bidi="en-GB"/>
        </w:rPr>
      </w:pPr>
      <w:r w:rsidRPr="00FB6266">
        <w:t>**</w:t>
      </w:r>
      <w:r w:rsidRPr="00FB6266">
        <w:rPr>
          <w:rtl/>
        </w:rPr>
        <w:tab/>
        <w:t>شارك في دراسة هذا البلاغ أعضاء اللجنة التالية أسماؤهم: وفاء أشرف محرم بسيم</w:t>
      </w:r>
      <w:r w:rsidR="004B691C">
        <w:rPr>
          <w:rtl/>
        </w:rPr>
        <w:t>،</w:t>
      </w:r>
      <w:r w:rsidRPr="00FB6266">
        <w:rPr>
          <w:rtl/>
        </w:rPr>
        <w:t xml:space="preserve"> وعياض بن عاشور</w:t>
      </w:r>
      <w:r w:rsidR="004B691C">
        <w:rPr>
          <w:rtl/>
        </w:rPr>
        <w:t>،</w:t>
      </w:r>
      <w:r w:rsidRPr="00FB6266">
        <w:rPr>
          <w:rtl/>
        </w:rPr>
        <w:t xml:space="preserve"> وعارف بلقان</w:t>
      </w:r>
      <w:r w:rsidR="004B691C">
        <w:rPr>
          <w:rtl/>
        </w:rPr>
        <w:t>،</w:t>
      </w:r>
      <w:r w:rsidRPr="00FB6266">
        <w:rPr>
          <w:rtl/>
        </w:rPr>
        <w:t xml:space="preserve"> والمحجوب الهيبة</w:t>
      </w:r>
      <w:r w:rsidR="004B691C">
        <w:rPr>
          <w:rtl/>
        </w:rPr>
        <w:t>،</w:t>
      </w:r>
      <w:r w:rsidRPr="00FB6266">
        <w:rPr>
          <w:rtl/>
        </w:rPr>
        <w:t xml:space="preserve"> وكارلوس غوميس مارتينيس</w:t>
      </w:r>
      <w:r w:rsidR="004B691C">
        <w:rPr>
          <w:rtl/>
        </w:rPr>
        <w:t>،</w:t>
      </w:r>
      <w:r w:rsidRPr="00FB6266">
        <w:rPr>
          <w:rtl/>
        </w:rPr>
        <w:t xml:space="preserve"> ودنكان لاكي موهوموزا</w:t>
      </w:r>
      <w:r w:rsidR="004B691C">
        <w:rPr>
          <w:rtl/>
        </w:rPr>
        <w:t>،</w:t>
      </w:r>
      <w:r w:rsidRPr="00FB6266">
        <w:rPr>
          <w:rtl/>
        </w:rPr>
        <w:t xml:space="preserve"> وفوتيني بازارتزيس</w:t>
      </w:r>
      <w:r w:rsidR="004B691C">
        <w:rPr>
          <w:rtl/>
        </w:rPr>
        <w:t>،</w:t>
      </w:r>
      <w:r w:rsidRPr="00FB6266">
        <w:rPr>
          <w:rtl/>
        </w:rPr>
        <w:t xml:space="preserve"> وهيرنان كيسادا كابريرا</w:t>
      </w:r>
      <w:r w:rsidR="004B691C">
        <w:rPr>
          <w:rtl/>
        </w:rPr>
        <w:t>،</w:t>
      </w:r>
      <w:r w:rsidRPr="00FB6266">
        <w:rPr>
          <w:rtl/>
        </w:rPr>
        <w:t xml:space="preserve"> وفاسيلكا سانسين</w:t>
      </w:r>
      <w:r w:rsidR="004B691C">
        <w:rPr>
          <w:rtl/>
        </w:rPr>
        <w:t>،</w:t>
      </w:r>
      <w:r w:rsidRPr="00FB6266">
        <w:rPr>
          <w:rtl/>
        </w:rPr>
        <w:t xml:space="preserve"> وخوسيه مانويل سانتوس بايس</w:t>
      </w:r>
      <w:r w:rsidR="004B691C">
        <w:rPr>
          <w:rtl/>
        </w:rPr>
        <w:t>،</w:t>
      </w:r>
      <w:r w:rsidRPr="00FB6266">
        <w:rPr>
          <w:rtl/>
        </w:rPr>
        <w:t xml:space="preserve"> وسوه شانغروك</w:t>
      </w:r>
      <w:r w:rsidR="004B691C">
        <w:rPr>
          <w:rtl/>
        </w:rPr>
        <w:t>،</w:t>
      </w:r>
      <w:r w:rsidRPr="00FB6266">
        <w:rPr>
          <w:rtl/>
        </w:rPr>
        <w:t xml:space="preserve"> وكوباوياه كباتشا تشامدجا</w:t>
      </w:r>
      <w:r w:rsidR="004B691C">
        <w:rPr>
          <w:rtl/>
        </w:rPr>
        <w:t>،</w:t>
      </w:r>
      <w:r w:rsidRPr="00FB6266">
        <w:rPr>
          <w:rtl/>
        </w:rPr>
        <w:t xml:space="preserve"> وإيلين تيغرودجا</w:t>
      </w:r>
      <w:r w:rsidR="004B691C">
        <w:rPr>
          <w:rtl/>
        </w:rPr>
        <w:t>،</w:t>
      </w:r>
      <w:r w:rsidRPr="00FB6266">
        <w:rPr>
          <w:rtl/>
        </w:rPr>
        <w:t xml:space="preserve"> وإيميرو تاميرات إغيزو</w:t>
      </w:r>
      <w:r w:rsidR="004B691C">
        <w:rPr>
          <w:rtl/>
        </w:rPr>
        <w:t>،</w:t>
      </w:r>
      <w:r w:rsidRPr="00FB6266">
        <w:rPr>
          <w:rtl/>
        </w:rPr>
        <w:t xml:space="preserve"> وجينتيان زيبيري.</w:t>
      </w:r>
    </w:p>
  </w:footnote>
  <w:footnote w:id="3">
    <w:p w14:paraId="0E64244A" w14:textId="3F4A6540"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السيد بيلياتسكي ناشط بيلاروسي بارز في مجال حقوق الإنسان.</w:t>
      </w:r>
    </w:p>
  </w:footnote>
  <w:footnote w:id="4">
    <w:p w14:paraId="1F443402" w14:textId="4437E820"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حوالي </w:t>
      </w:r>
      <w:r w:rsidRPr="00AB5A83">
        <w:rPr>
          <w:rtl/>
        </w:rPr>
        <w:t>133</w:t>
      </w:r>
      <w:r w:rsidRPr="00FB6266">
        <w:rPr>
          <w:rtl/>
        </w:rPr>
        <w:t xml:space="preserve"> يورو وقت فرض الغرامة</w:t>
      </w:r>
      <w:r w:rsidR="004B691C">
        <w:rPr>
          <w:rtl/>
        </w:rPr>
        <w:t>،</w:t>
      </w:r>
      <w:r w:rsidRPr="00FB6266">
        <w:rPr>
          <w:rtl/>
        </w:rPr>
        <w:t xml:space="preserve"> وفقاً للبنك الوطني في بيلاروس.</w:t>
      </w:r>
    </w:p>
  </w:footnote>
  <w:footnote w:id="5">
    <w:p w14:paraId="54326062" w14:textId="34644BE7"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أدين صاحب البلاغ بانتهاك المادة </w:t>
      </w:r>
      <w:r w:rsidRPr="00AB5A83">
        <w:rPr>
          <w:rtl/>
        </w:rPr>
        <w:t>23</w:t>
      </w:r>
      <w:r w:rsidRPr="00FB6266">
        <w:rPr>
          <w:rtl/>
        </w:rPr>
        <w:t>-</w:t>
      </w:r>
      <w:r w:rsidRPr="00AB5A83">
        <w:rPr>
          <w:rtl/>
        </w:rPr>
        <w:t>34</w:t>
      </w:r>
      <w:r w:rsidRPr="00FB6266">
        <w:rPr>
          <w:rtl/>
        </w:rPr>
        <w:t>(</w:t>
      </w:r>
      <w:r w:rsidRPr="00AB5A83">
        <w:rPr>
          <w:rtl/>
        </w:rPr>
        <w:t>1</w:t>
      </w:r>
      <w:r w:rsidRPr="00FB6266">
        <w:rPr>
          <w:rtl/>
        </w:rPr>
        <w:t>) من قانون الجرائم الإدارية</w:t>
      </w:r>
      <w:r w:rsidR="004B691C">
        <w:rPr>
          <w:rtl/>
        </w:rPr>
        <w:t>،</w:t>
      </w:r>
      <w:r w:rsidRPr="00FB6266">
        <w:rPr>
          <w:rtl/>
        </w:rPr>
        <w:t xml:space="preserve"> المتعلق بتنظيم أو تسيير الاجتماعات أو المواكب أو</w:t>
      </w:r>
      <w:r w:rsidR="004201AA">
        <w:rPr>
          <w:rFonts w:hint="cs"/>
          <w:rtl/>
        </w:rPr>
        <w:t> </w:t>
      </w:r>
      <w:r w:rsidRPr="00FB6266">
        <w:rPr>
          <w:rtl/>
        </w:rPr>
        <w:t>الاعتصامات أو التجمعات أو غيرها من الإجراءات العامة</w:t>
      </w:r>
      <w:r w:rsidR="004B691C">
        <w:rPr>
          <w:rtl/>
        </w:rPr>
        <w:t>،</w:t>
      </w:r>
      <w:r w:rsidRPr="00FB6266">
        <w:rPr>
          <w:rtl/>
        </w:rPr>
        <w:t xml:space="preserve"> أو التدخل في تنظيمها أو تسييرها</w:t>
      </w:r>
      <w:r w:rsidR="004B691C">
        <w:rPr>
          <w:rtl/>
        </w:rPr>
        <w:t>،</w:t>
      </w:r>
      <w:r w:rsidRPr="00FB6266">
        <w:rPr>
          <w:rtl/>
        </w:rPr>
        <w:t xml:space="preserve"> أو المشاركة في الاجتماعات أو التجمعات أو المواكب أو غير ذلك من الإجراءات العامة إذا كانت تلك الإجراءات لا تشكل أعمالاً إجرامية.</w:t>
      </w:r>
    </w:p>
  </w:footnote>
  <w:footnote w:id="6">
    <w:p w14:paraId="6098EA4A" w14:textId="7D78FF5D"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لم تقدم الدولة الطرف أي معلومات إضافية. </w:t>
      </w:r>
    </w:p>
  </w:footnote>
  <w:footnote w:id="7">
    <w:p w14:paraId="40361141" w14:textId="25E9893D"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طُلِب إلى الدولة الطرف في </w:t>
      </w:r>
      <w:r w:rsidRPr="00AB5A83">
        <w:rPr>
          <w:rtl/>
        </w:rPr>
        <w:t>12</w:t>
      </w:r>
      <w:r w:rsidRPr="00FB6266">
        <w:rPr>
          <w:rtl/>
        </w:rPr>
        <w:t xml:space="preserve"> أيلول/سبتمبر </w:t>
      </w:r>
      <w:r w:rsidRPr="00AB5A83">
        <w:rPr>
          <w:rtl/>
        </w:rPr>
        <w:t>2014</w:t>
      </w:r>
      <w:r w:rsidRPr="00FB6266">
        <w:rPr>
          <w:rtl/>
        </w:rPr>
        <w:t xml:space="preserve"> أن تقدم ملاحظاتها بشأن الأسس الموضوعية للبلاغ (بالإضافة إلى الطلب الذي أرسل أثناء التسجيل الأولي)</w:t>
      </w:r>
      <w:r w:rsidRPr="004B691C">
        <w:rPr>
          <w:color w:val="000000"/>
          <w:rtl/>
        </w:rPr>
        <w:t>. و</w:t>
      </w:r>
      <w:r w:rsidRPr="00FB6266">
        <w:rPr>
          <w:rtl/>
        </w:rPr>
        <w:t xml:space="preserve">بُعِثت رسالتان تذكيريتان إضافيتان في </w:t>
      </w:r>
      <w:r w:rsidRPr="00AB5A83">
        <w:rPr>
          <w:rtl/>
        </w:rPr>
        <w:t>26</w:t>
      </w:r>
      <w:r w:rsidRPr="00FB6266">
        <w:rPr>
          <w:rtl/>
        </w:rPr>
        <w:t xml:space="preserve"> آب/أغسطس </w:t>
      </w:r>
      <w:r w:rsidRPr="00AB5A83">
        <w:rPr>
          <w:rtl/>
        </w:rPr>
        <w:t>2020</w:t>
      </w:r>
      <w:r w:rsidRPr="00FB6266">
        <w:rPr>
          <w:rtl/>
        </w:rPr>
        <w:t xml:space="preserve"> و</w:t>
      </w:r>
      <w:r w:rsidRPr="00AB5A83">
        <w:rPr>
          <w:rtl/>
        </w:rPr>
        <w:t>8</w:t>
      </w:r>
      <w:r w:rsidRPr="00FB6266">
        <w:rPr>
          <w:rtl/>
        </w:rPr>
        <w:t xml:space="preserve"> نيسان/أبريل </w:t>
      </w:r>
      <w:r w:rsidRPr="00AB5A83">
        <w:rPr>
          <w:rtl/>
        </w:rPr>
        <w:t>2021</w:t>
      </w:r>
      <w:r w:rsidRPr="004B691C">
        <w:rPr>
          <w:color w:val="000000"/>
          <w:rtl/>
        </w:rPr>
        <w:t>. و</w:t>
      </w:r>
      <w:r w:rsidRPr="00FB6266">
        <w:rPr>
          <w:rtl/>
        </w:rPr>
        <w:t xml:space="preserve">لم يرد أي رد حتى الآن. </w:t>
      </w:r>
    </w:p>
  </w:footnote>
  <w:footnote w:id="8">
    <w:p w14:paraId="0FE01CB1" w14:textId="00D36412"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يشير صاحب البلاغ</w:t>
      </w:r>
      <w:r w:rsidR="004B691C">
        <w:rPr>
          <w:rtl/>
        </w:rPr>
        <w:t>،</w:t>
      </w:r>
      <w:r w:rsidRPr="00FB6266">
        <w:rPr>
          <w:rtl/>
        </w:rPr>
        <w:t xml:space="preserve"> في جملة أمور</w:t>
      </w:r>
      <w:r w:rsidR="004B691C">
        <w:rPr>
          <w:rtl/>
        </w:rPr>
        <w:t>،</w:t>
      </w:r>
      <w:r w:rsidRPr="00FB6266">
        <w:rPr>
          <w:rtl/>
        </w:rPr>
        <w:t xml:space="preserve"> إلى </w:t>
      </w:r>
      <w:r w:rsidRPr="004201AA">
        <w:rPr>
          <w:rtl/>
        </w:rPr>
        <w:t>قضية</w:t>
      </w:r>
      <w:r w:rsidRPr="00AB5A83">
        <w:rPr>
          <w:i/>
          <w:iCs/>
          <w:rtl/>
        </w:rPr>
        <w:t xml:space="preserve"> غيلازاوسكاس ضد ليتوانيا</w:t>
      </w:r>
      <w:r w:rsidRPr="00FB6266">
        <w:rPr>
          <w:rtl/>
        </w:rPr>
        <w:t xml:space="preserve"> (</w:t>
      </w:r>
      <w:hyperlink r:id="rId1" w:history="1">
        <w:r w:rsidRPr="004B691C">
          <w:rPr>
            <w:rStyle w:val="Hyperlink"/>
          </w:rPr>
          <w:t>CCPR/C/</w:t>
        </w:r>
        <w:r w:rsidRPr="00AB5A83">
          <w:rPr>
            <w:rStyle w:val="Hyperlink"/>
          </w:rPr>
          <w:t>77</w:t>
        </w:r>
        <w:r w:rsidRPr="004B691C">
          <w:rPr>
            <w:rStyle w:val="Hyperlink"/>
          </w:rPr>
          <w:t>/D/</w:t>
        </w:r>
        <w:r w:rsidRPr="00AB5A83">
          <w:rPr>
            <w:rStyle w:val="Hyperlink"/>
          </w:rPr>
          <w:t>836</w:t>
        </w:r>
        <w:r w:rsidRPr="004B691C">
          <w:rPr>
            <w:rStyle w:val="Hyperlink"/>
          </w:rPr>
          <w:t>/</w:t>
        </w:r>
        <w:r w:rsidRPr="00AB5A83">
          <w:rPr>
            <w:rStyle w:val="Hyperlink"/>
          </w:rPr>
          <w:t>1998</w:t>
        </w:r>
      </w:hyperlink>
      <w:r w:rsidRPr="00FB6266">
        <w:rPr>
          <w:rtl/>
        </w:rPr>
        <w:t xml:space="preserve">). </w:t>
      </w:r>
    </w:p>
  </w:footnote>
  <w:footnote w:id="9">
    <w:p w14:paraId="14B50E4A" w14:textId="7B6E4E81"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انظر الفقرة </w:t>
      </w:r>
      <w:r w:rsidRPr="00AB5A83">
        <w:rPr>
          <w:rtl/>
        </w:rPr>
        <w:t>4</w:t>
      </w:r>
      <w:r w:rsidRPr="00FB6266">
        <w:rPr>
          <w:rtl/>
        </w:rPr>
        <w:t xml:space="preserve"> أعلاه</w:t>
      </w:r>
      <w:r w:rsidRPr="004B691C">
        <w:rPr>
          <w:color w:val="000000"/>
          <w:rtl/>
        </w:rPr>
        <w:t>. و</w:t>
      </w:r>
      <w:r w:rsidRPr="00FB6266">
        <w:rPr>
          <w:rtl/>
        </w:rPr>
        <w:t xml:space="preserve">لا تقدم الدولة الطرف أي معلومات عن سبل الانتصاف المتاحة. </w:t>
      </w:r>
    </w:p>
  </w:footnote>
  <w:footnote w:id="10">
    <w:p w14:paraId="1E4F6871" w14:textId="0C579477"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التعليق العام رقم </w:t>
      </w:r>
      <w:r w:rsidRPr="00AB5A83">
        <w:rPr>
          <w:rtl/>
        </w:rPr>
        <w:t>27</w:t>
      </w:r>
      <w:r w:rsidRPr="00FB6266">
        <w:rPr>
          <w:rtl/>
        </w:rPr>
        <w:t>(</w:t>
      </w:r>
      <w:r w:rsidRPr="00AB5A83">
        <w:rPr>
          <w:rtl/>
        </w:rPr>
        <w:t>1999</w:t>
      </w:r>
      <w:r w:rsidRPr="00FB6266">
        <w:rPr>
          <w:rtl/>
        </w:rPr>
        <w:t>)</w:t>
      </w:r>
      <w:r w:rsidR="004B691C">
        <w:rPr>
          <w:rtl/>
        </w:rPr>
        <w:t>،</w:t>
      </w:r>
      <w:r w:rsidRPr="00FB6266">
        <w:rPr>
          <w:rtl/>
        </w:rPr>
        <w:t xml:space="preserve"> الفقرة </w:t>
      </w:r>
      <w:r w:rsidRPr="00AB5A83">
        <w:rPr>
          <w:rtl/>
        </w:rPr>
        <w:t>14</w:t>
      </w:r>
      <w:r w:rsidRPr="00FB6266">
        <w:rPr>
          <w:rtl/>
        </w:rPr>
        <w:t>.</w:t>
      </w:r>
    </w:p>
  </w:footnote>
  <w:footnote w:id="11">
    <w:p w14:paraId="3FF5F881" w14:textId="42FAC77A"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 xml:space="preserve">قضية </w:t>
      </w:r>
      <w:r w:rsidRPr="00AB5A83">
        <w:rPr>
          <w:i/>
          <w:iCs/>
          <w:rtl/>
        </w:rPr>
        <w:t>أندروسينكو ضد بيلاروس</w:t>
      </w:r>
      <w:r w:rsidRPr="00FB6266">
        <w:rPr>
          <w:rtl/>
        </w:rPr>
        <w:t xml:space="preserve"> (</w:t>
      </w:r>
      <w:hyperlink r:id="rId2" w:history="1">
        <w:r w:rsidRPr="004B691C">
          <w:rPr>
            <w:rStyle w:val="Hyperlink"/>
          </w:rPr>
          <w:t>CCPR/C/</w:t>
        </w:r>
        <w:r w:rsidRPr="00AB5A83">
          <w:rPr>
            <w:rStyle w:val="Hyperlink"/>
          </w:rPr>
          <w:t>116</w:t>
        </w:r>
        <w:r w:rsidRPr="004B691C">
          <w:rPr>
            <w:rStyle w:val="Hyperlink"/>
          </w:rPr>
          <w:t>/D/</w:t>
        </w:r>
        <w:r w:rsidRPr="00AB5A83">
          <w:rPr>
            <w:rStyle w:val="Hyperlink"/>
          </w:rPr>
          <w:t>2092</w:t>
        </w:r>
        <w:r w:rsidRPr="004B691C">
          <w:rPr>
            <w:rStyle w:val="Hyperlink"/>
          </w:rPr>
          <w:t>/</w:t>
        </w:r>
        <w:r w:rsidRPr="00AB5A83">
          <w:rPr>
            <w:rStyle w:val="Hyperlink"/>
          </w:rPr>
          <w:t>2011</w:t>
        </w:r>
      </w:hyperlink>
      <w:r w:rsidRPr="00FB6266">
        <w:rPr>
          <w:rtl/>
        </w:rPr>
        <w:t>)</w:t>
      </w:r>
      <w:r w:rsidR="004B691C">
        <w:rPr>
          <w:rtl/>
        </w:rPr>
        <w:t>،</w:t>
      </w:r>
      <w:r w:rsidRPr="00FB6266">
        <w:rPr>
          <w:rtl/>
        </w:rPr>
        <w:t xml:space="preserve"> الفقرة </w:t>
      </w:r>
      <w:r w:rsidRPr="00AB5A83">
        <w:rPr>
          <w:rtl/>
        </w:rPr>
        <w:t>7</w:t>
      </w:r>
      <w:r w:rsidRPr="00FB6266">
        <w:rPr>
          <w:rtl/>
        </w:rPr>
        <w:t>-</w:t>
      </w:r>
      <w:r w:rsidRPr="00AB5A83">
        <w:rPr>
          <w:rtl/>
        </w:rPr>
        <w:t>3</w:t>
      </w:r>
      <w:r w:rsidRPr="00FB6266">
        <w:rPr>
          <w:rtl/>
        </w:rPr>
        <w:t>.</w:t>
      </w:r>
    </w:p>
  </w:footnote>
  <w:footnote w:id="12">
    <w:p w14:paraId="5207ABCF" w14:textId="6FE665B7"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انظر</w:t>
      </w:r>
      <w:r w:rsidR="004B691C">
        <w:rPr>
          <w:rtl/>
        </w:rPr>
        <w:t>،</w:t>
      </w:r>
      <w:r w:rsidRPr="00FB6266">
        <w:rPr>
          <w:rtl/>
        </w:rPr>
        <w:t xml:space="preserve"> على سبيل المثال</w:t>
      </w:r>
      <w:r w:rsidR="004B691C">
        <w:rPr>
          <w:rtl/>
        </w:rPr>
        <w:t>،</w:t>
      </w:r>
      <w:r w:rsidRPr="00FB6266">
        <w:rPr>
          <w:rtl/>
        </w:rPr>
        <w:t xml:space="preserve"> </w:t>
      </w:r>
      <w:r w:rsidRPr="00AB5A83">
        <w:rPr>
          <w:i/>
          <w:iCs/>
          <w:rtl/>
        </w:rPr>
        <w:t>زاليسكايا ضد بيلاروس</w:t>
      </w:r>
      <w:r w:rsidRPr="00FB6266">
        <w:rPr>
          <w:rtl/>
        </w:rPr>
        <w:t xml:space="preserve"> (</w:t>
      </w:r>
      <w:hyperlink r:id="rId3" w:history="1">
        <w:r w:rsidRPr="004B691C">
          <w:rPr>
            <w:rStyle w:val="Hyperlink"/>
          </w:rPr>
          <w:t>CCPR/C/</w:t>
        </w:r>
        <w:r w:rsidRPr="00AB5A83">
          <w:rPr>
            <w:rStyle w:val="Hyperlink"/>
          </w:rPr>
          <w:t>101</w:t>
        </w:r>
        <w:r w:rsidRPr="004B691C">
          <w:rPr>
            <w:rStyle w:val="Hyperlink"/>
          </w:rPr>
          <w:t>/D/</w:t>
        </w:r>
        <w:r w:rsidRPr="00AB5A83">
          <w:rPr>
            <w:rStyle w:val="Hyperlink"/>
          </w:rPr>
          <w:t>1604</w:t>
        </w:r>
        <w:r w:rsidRPr="004B691C">
          <w:rPr>
            <w:rStyle w:val="Hyperlink"/>
          </w:rPr>
          <w:t>/</w:t>
        </w:r>
        <w:r w:rsidRPr="00AB5A83">
          <w:rPr>
            <w:rStyle w:val="Hyperlink"/>
          </w:rPr>
          <w:t>2007</w:t>
        </w:r>
      </w:hyperlink>
      <w:r w:rsidRPr="00FB6266">
        <w:rPr>
          <w:rtl/>
        </w:rPr>
        <w:t>)</w:t>
      </w:r>
      <w:r w:rsidR="004B691C">
        <w:rPr>
          <w:rtl/>
        </w:rPr>
        <w:t>،</w:t>
      </w:r>
      <w:r w:rsidRPr="00FB6266">
        <w:rPr>
          <w:rtl/>
        </w:rPr>
        <w:t xml:space="preserve"> الفقرة </w:t>
      </w:r>
      <w:r w:rsidRPr="00AB5A83">
        <w:rPr>
          <w:rtl/>
        </w:rPr>
        <w:t>10</w:t>
      </w:r>
      <w:r w:rsidRPr="00FB6266">
        <w:rPr>
          <w:rtl/>
        </w:rPr>
        <w:t>-</w:t>
      </w:r>
      <w:r w:rsidRPr="00AB5A83">
        <w:rPr>
          <w:rtl/>
        </w:rPr>
        <w:t>5</w:t>
      </w:r>
      <w:r w:rsidRPr="00FB6266">
        <w:rPr>
          <w:rtl/>
        </w:rPr>
        <w:t xml:space="preserve">. </w:t>
      </w:r>
    </w:p>
  </w:footnote>
  <w:footnote w:id="13">
    <w:p w14:paraId="5BAF90E5" w14:textId="4FAEB833" w:rsidR="00FB6266" w:rsidRPr="00FB6266" w:rsidRDefault="00FB6266" w:rsidP="00FB6266">
      <w:pPr>
        <w:pStyle w:val="FootnoteText1"/>
        <w:textDirection w:val="tbRlV"/>
        <w:rPr>
          <w:lang w:val="ar-SA" w:eastAsia="zh-TW" w:bidi="en-GB"/>
        </w:rPr>
      </w:pPr>
      <w:r w:rsidRPr="00FB6266">
        <w:rPr>
          <w:rStyle w:val="FootnoteReference"/>
          <w:vertAlign w:val="baseline"/>
          <w:rtl/>
        </w:rPr>
        <w:t>(</w:t>
      </w:r>
      <w:r w:rsidRPr="00AB5A83">
        <w:rPr>
          <w:rStyle w:val="FootnoteReference"/>
          <w:vertAlign w:val="baseline"/>
        </w:rPr>
        <w:footnoteRef/>
      </w:r>
      <w:r w:rsidRPr="00FB6266">
        <w:rPr>
          <w:rStyle w:val="FootnoteReference"/>
          <w:vertAlign w:val="baseline"/>
          <w:rtl/>
        </w:rPr>
        <w:t>)</w:t>
      </w:r>
      <w:r w:rsidRPr="00FB6266">
        <w:rPr>
          <w:rtl/>
        </w:rPr>
        <w:tab/>
        <w:t>انظر</w:t>
      </w:r>
      <w:r w:rsidR="004B691C">
        <w:rPr>
          <w:rtl/>
        </w:rPr>
        <w:t>،</w:t>
      </w:r>
      <w:r w:rsidRPr="00FB6266">
        <w:rPr>
          <w:rtl/>
        </w:rPr>
        <w:t xml:space="preserve"> على سبيل المثال</w:t>
      </w:r>
      <w:r w:rsidR="004B691C" w:rsidRPr="00AB5A83">
        <w:rPr>
          <w:i/>
          <w:iCs/>
          <w:rtl/>
        </w:rPr>
        <w:t>،</w:t>
      </w:r>
      <w:r w:rsidRPr="00AB5A83">
        <w:rPr>
          <w:i/>
          <w:iCs/>
          <w:rtl/>
        </w:rPr>
        <w:t xml:space="preserve"> سفيتيك ضد بيلاروس</w:t>
      </w:r>
      <w:r w:rsidRPr="00FB6266">
        <w:rPr>
          <w:rtl/>
        </w:rPr>
        <w:t xml:space="preserve"> (</w:t>
      </w:r>
      <w:hyperlink r:id="rId4" w:history="1">
        <w:r w:rsidRPr="004B691C">
          <w:rPr>
            <w:rStyle w:val="Hyperlink"/>
          </w:rPr>
          <w:t>CCPR/C/</w:t>
        </w:r>
        <w:r w:rsidRPr="00AB5A83">
          <w:rPr>
            <w:rStyle w:val="Hyperlink"/>
          </w:rPr>
          <w:t>81</w:t>
        </w:r>
        <w:r w:rsidRPr="004B691C">
          <w:rPr>
            <w:rStyle w:val="Hyperlink"/>
          </w:rPr>
          <w:t>/D/</w:t>
        </w:r>
        <w:r w:rsidRPr="00AB5A83">
          <w:rPr>
            <w:rStyle w:val="Hyperlink"/>
          </w:rPr>
          <w:t>927</w:t>
        </w:r>
        <w:r w:rsidRPr="004B691C">
          <w:rPr>
            <w:rStyle w:val="Hyperlink"/>
          </w:rPr>
          <w:t>/</w:t>
        </w:r>
        <w:r w:rsidRPr="00AB5A83">
          <w:rPr>
            <w:rStyle w:val="Hyperlink"/>
          </w:rPr>
          <w:t>2000</w:t>
        </w:r>
      </w:hyperlink>
      <w:r w:rsidRPr="00FB6266">
        <w:rPr>
          <w:rtl/>
        </w:rPr>
        <w:t>)</w:t>
      </w:r>
      <w:r w:rsidR="004B691C">
        <w:rPr>
          <w:rtl/>
        </w:rPr>
        <w:t>،</w:t>
      </w:r>
      <w:r w:rsidRPr="00FB6266">
        <w:rPr>
          <w:rtl/>
        </w:rPr>
        <w:t xml:space="preserve"> الفقرة </w:t>
      </w:r>
      <w:r w:rsidRPr="00AB5A83">
        <w:rPr>
          <w:rtl/>
        </w:rPr>
        <w:t>7</w:t>
      </w:r>
      <w:r w:rsidRPr="00FB6266">
        <w:rPr>
          <w:rtl/>
        </w:rPr>
        <w:t>-</w:t>
      </w:r>
      <w:r w:rsidRPr="00AB5A83">
        <w:rPr>
          <w:rtl/>
        </w:rPr>
        <w:t>3</w:t>
      </w:r>
      <w:r w:rsidRPr="00FB6266">
        <w:rPr>
          <w:rtl/>
        </w:rPr>
        <w:t xml:space="preserve">؛ </w:t>
      </w:r>
      <w:r w:rsidRPr="00AB5A83">
        <w:rPr>
          <w:i/>
          <w:iCs/>
          <w:rtl/>
        </w:rPr>
        <w:t xml:space="preserve">وشيتكو </w:t>
      </w:r>
      <w:proofErr w:type="spellStart"/>
      <w:r w:rsidRPr="00AB5A83">
        <w:rPr>
          <w:i/>
          <w:iCs/>
          <w:rtl/>
        </w:rPr>
        <w:t>وشيتكو</w:t>
      </w:r>
      <w:proofErr w:type="spellEnd"/>
      <w:r w:rsidRPr="00AB5A83">
        <w:rPr>
          <w:i/>
          <w:iCs/>
          <w:rtl/>
        </w:rPr>
        <w:t xml:space="preserve"> ضد بيلاروس</w:t>
      </w:r>
      <w:r w:rsidRPr="00FB6266">
        <w:rPr>
          <w:rtl/>
        </w:rPr>
        <w:t xml:space="preserve"> (</w:t>
      </w:r>
      <w:hyperlink r:id="rId5" w:history="1">
        <w:r w:rsidRPr="004B691C">
          <w:rPr>
            <w:rStyle w:val="Hyperlink"/>
          </w:rPr>
          <w:t>CCPR/C/</w:t>
        </w:r>
        <w:r w:rsidRPr="00AB5A83">
          <w:rPr>
            <w:rStyle w:val="Hyperlink"/>
          </w:rPr>
          <w:t>87</w:t>
        </w:r>
        <w:r w:rsidRPr="004B691C">
          <w:rPr>
            <w:rStyle w:val="Hyperlink"/>
          </w:rPr>
          <w:t>/D/</w:t>
        </w:r>
        <w:r w:rsidRPr="00AB5A83">
          <w:rPr>
            <w:rStyle w:val="Hyperlink"/>
          </w:rPr>
          <w:t>1009</w:t>
        </w:r>
        <w:r w:rsidRPr="004B691C">
          <w:rPr>
            <w:rStyle w:val="Hyperlink"/>
          </w:rPr>
          <w:t>/</w:t>
        </w:r>
        <w:r w:rsidRPr="00AB5A83">
          <w:rPr>
            <w:rStyle w:val="Hyperlink"/>
          </w:rPr>
          <w:t>2001</w:t>
        </w:r>
      </w:hyperlink>
      <w:r w:rsidRPr="00FB6266">
        <w:rPr>
          <w:rtl/>
        </w:rPr>
        <w:t>)</w:t>
      </w:r>
      <w:r w:rsidR="004B691C">
        <w:rPr>
          <w:rtl/>
        </w:rPr>
        <w:t>،</w:t>
      </w:r>
      <w:r w:rsidRPr="00FB6266">
        <w:rPr>
          <w:rtl/>
        </w:rPr>
        <w:t xml:space="preserve"> الفقرة </w:t>
      </w:r>
      <w:r w:rsidRPr="00AB5A83">
        <w:rPr>
          <w:rtl/>
        </w:rPr>
        <w:t>7</w:t>
      </w:r>
      <w:r w:rsidRPr="00FB6266">
        <w:rPr>
          <w:rtl/>
        </w:rPr>
        <w:t>-</w:t>
      </w:r>
      <w:r w:rsidRPr="00AB5A83">
        <w:rPr>
          <w:rtl/>
        </w:rPr>
        <w:t>5</w:t>
      </w:r>
      <w:r w:rsidRPr="00FB626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0F99" w14:textId="2A7309E6" w:rsidR="008B08CD" w:rsidRPr="008B08CD" w:rsidRDefault="008B08CD" w:rsidP="008B08C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327F">
      <w:t>CCPR/C/132/D/2397/2014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478" w14:textId="76D41A31" w:rsidR="008B08CD" w:rsidRPr="008B08CD" w:rsidRDefault="008B08CD" w:rsidP="008B08C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327F">
      <w:t>CCPR/C/132/D/2397/2014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AC"/>
    <w:rsid w:val="000076D5"/>
    <w:rsid w:val="00043663"/>
    <w:rsid w:val="000437B8"/>
    <w:rsid w:val="000505CF"/>
    <w:rsid w:val="000D701C"/>
    <w:rsid w:val="000E2A71"/>
    <w:rsid w:val="00145577"/>
    <w:rsid w:val="00160263"/>
    <w:rsid w:val="00181F96"/>
    <w:rsid w:val="001872B1"/>
    <w:rsid w:val="001A1371"/>
    <w:rsid w:val="001B043F"/>
    <w:rsid w:val="001B346A"/>
    <w:rsid w:val="001B6A04"/>
    <w:rsid w:val="001E1CAD"/>
    <w:rsid w:val="001E290D"/>
    <w:rsid w:val="002144FA"/>
    <w:rsid w:val="0023469A"/>
    <w:rsid w:val="00243C8A"/>
    <w:rsid w:val="00267A0E"/>
    <w:rsid w:val="002901D9"/>
    <w:rsid w:val="002976C2"/>
    <w:rsid w:val="003068BC"/>
    <w:rsid w:val="003260FF"/>
    <w:rsid w:val="00343D95"/>
    <w:rsid w:val="00363A18"/>
    <w:rsid w:val="00374341"/>
    <w:rsid w:val="003D1062"/>
    <w:rsid w:val="003F27FB"/>
    <w:rsid w:val="00402051"/>
    <w:rsid w:val="004201AA"/>
    <w:rsid w:val="00420D7B"/>
    <w:rsid w:val="00450B21"/>
    <w:rsid w:val="00453B63"/>
    <w:rsid w:val="00455780"/>
    <w:rsid w:val="0046323F"/>
    <w:rsid w:val="004B0A1C"/>
    <w:rsid w:val="004B27E0"/>
    <w:rsid w:val="004B691C"/>
    <w:rsid w:val="004D298E"/>
    <w:rsid w:val="005044B3"/>
    <w:rsid w:val="00517BC9"/>
    <w:rsid w:val="0054472E"/>
    <w:rsid w:val="005662A9"/>
    <w:rsid w:val="005827D4"/>
    <w:rsid w:val="0058508B"/>
    <w:rsid w:val="0059622A"/>
    <w:rsid w:val="005A043F"/>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70C05"/>
    <w:rsid w:val="0068781D"/>
    <w:rsid w:val="006959B0"/>
    <w:rsid w:val="006B3E27"/>
    <w:rsid w:val="006B6507"/>
    <w:rsid w:val="006C104C"/>
    <w:rsid w:val="006C632E"/>
    <w:rsid w:val="006E1A1F"/>
    <w:rsid w:val="00717FB3"/>
    <w:rsid w:val="00730446"/>
    <w:rsid w:val="00733704"/>
    <w:rsid w:val="0078071A"/>
    <w:rsid w:val="00787022"/>
    <w:rsid w:val="00787E1E"/>
    <w:rsid w:val="00852A9A"/>
    <w:rsid w:val="008A49D2"/>
    <w:rsid w:val="008B08CD"/>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8327F"/>
    <w:rsid w:val="00A97E1F"/>
    <w:rsid w:val="00AB512E"/>
    <w:rsid w:val="00AB5A83"/>
    <w:rsid w:val="00AB6758"/>
    <w:rsid w:val="00AB727F"/>
    <w:rsid w:val="00B13763"/>
    <w:rsid w:val="00B477A4"/>
    <w:rsid w:val="00B54045"/>
    <w:rsid w:val="00B63ADD"/>
    <w:rsid w:val="00BB09A0"/>
    <w:rsid w:val="00BC66AC"/>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B6266"/>
    <w:rsid w:val="00FC013D"/>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564282"/>
  <w15:docId w15:val="{4D9323F6-F86F-4EF5-984B-B6CD1534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101/D/1604/2007" TargetMode="External"/><Relationship Id="rId2" Type="http://schemas.openxmlformats.org/officeDocument/2006/relationships/hyperlink" Target="http://undocs.org/ar/CCPR/C/116/D/2092/2011" TargetMode="External"/><Relationship Id="rId1" Type="http://schemas.openxmlformats.org/officeDocument/2006/relationships/hyperlink" Target="http://undocs.org/ar/CCPR/C/77/D/836/1998" TargetMode="External"/><Relationship Id="rId5" Type="http://schemas.openxmlformats.org/officeDocument/2006/relationships/hyperlink" Target="http://undocs.org/ar/CCPR/C/87/D/1009/2001" TargetMode="External"/><Relationship Id="rId4" Type="http://schemas.openxmlformats.org/officeDocument/2006/relationships/hyperlink" Target="http://undocs.org/ar/CCPR/C/81/D/927/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8721</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CCPR/C/132/D/2397/2014</vt:lpstr>
    </vt:vector>
  </TitlesOfParts>
  <Company>DCM</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CCPR/C/132/D/2397/2014</dc:title>
  <dc:subject>GE.2202606(A)</dc:subject>
  <dc:creator>xxxxxx - </dc:creator>
  <cp:keywords>GE.(A)</cp:keywords>
  <dc:description>_x000d_
_x000d_
Arabic_x000d_
</dc:description>
  <cp:lastModifiedBy>Jamila Chedad</cp:lastModifiedBy>
  <cp:revision>3</cp:revision>
  <cp:lastPrinted>2022-04-26T14:45:00Z</cp:lastPrinted>
  <dcterms:created xsi:type="dcterms:W3CDTF">2022-04-26T14:45:00Z</dcterms:created>
  <dcterms:modified xsi:type="dcterms:W3CDTF">2022-04-26T14:45:00Z</dcterms:modified>
  <cp:category>Finale</cp:category>
</cp:coreProperties>
</file>