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65C15" w14:paraId="79948211" w14:textId="77777777" w:rsidTr="00CA1AEA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74B69DA0" w14:textId="7753740B" w:rsidR="00165C15" w:rsidRDefault="00165C15" w:rsidP="00CA1AEA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CCA0055" w14:textId="10E72A2A" w:rsidR="00165C15" w:rsidRPr="00B97172" w:rsidRDefault="00165C15" w:rsidP="00CA1AEA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</w:t>
            </w:r>
            <w:r w:rsidR="001F7E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C7B8470" w14:textId="77777777" w:rsidR="00165C15" w:rsidRPr="00D47EEA" w:rsidRDefault="005D5882" w:rsidP="005D5882">
            <w:pPr>
              <w:suppressAutoHyphens w:val="0"/>
              <w:spacing w:after="20"/>
              <w:jc w:val="right"/>
            </w:pPr>
            <w:r w:rsidRPr="005D5882">
              <w:rPr>
                <w:sz w:val="40"/>
              </w:rPr>
              <w:t>CCPR</w:t>
            </w:r>
            <w:r>
              <w:t>/C/133/D/3124/2018</w:t>
            </w:r>
          </w:p>
        </w:tc>
      </w:tr>
      <w:tr w:rsidR="00165C15" w14:paraId="4CC30A74" w14:textId="77777777" w:rsidTr="00CA1AE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14ECE05" w14:textId="77777777" w:rsidR="00165C15" w:rsidRDefault="00165C15" w:rsidP="00CA1AEA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 wp14:anchorId="1FCA8EB0" wp14:editId="38D0B421">
                  <wp:extent cx="714375" cy="590550"/>
                  <wp:effectExtent l="0" t="0" r="9525" b="0"/>
                  <wp:docPr id="1" name="Picture 1" descr="United Na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7427BCB" w14:textId="71A79BC6" w:rsidR="00165C15" w:rsidRPr="00267F5F" w:rsidRDefault="00165C15" w:rsidP="00CA1AEA">
            <w:pPr>
              <w:spacing w:before="120" w:line="380" w:lineRule="exact"/>
              <w:rPr>
                <w:sz w:val="34"/>
              </w:rPr>
            </w:pPr>
            <w:r w:rsidRPr="00267F5F">
              <w:rPr>
                <w:b/>
                <w:sz w:val="34"/>
                <w:szCs w:val="40"/>
              </w:rPr>
              <w:t>International</w:t>
            </w:r>
            <w:r w:rsidR="001F7ED5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Covenant</w:t>
            </w:r>
            <w:r w:rsidR="001F7ED5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on</w:t>
            </w:r>
            <w:r>
              <w:rPr>
                <w:b/>
                <w:sz w:val="34"/>
                <w:szCs w:val="40"/>
              </w:rPr>
              <w:br/>
              <w:t>Civil</w:t>
            </w:r>
            <w:r w:rsidR="001F7ED5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and</w:t>
            </w:r>
            <w:r w:rsidR="001F7ED5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Political</w:t>
            </w:r>
            <w:r w:rsidR="001F7ED5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R</w:t>
            </w:r>
            <w:r w:rsidRPr="00267F5F">
              <w:rPr>
                <w:b/>
                <w:sz w:val="34"/>
                <w:szCs w:val="40"/>
              </w:rPr>
              <w:t>ights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C93FCC1" w14:textId="2ED938B7" w:rsidR="00165C15" w:rsidRDefault="005D5882" w:rsidP="005D5882">
            <w:pPr>
              <w:suppressAutoHyphens w:val="0"/>
              <w:spacing w:before="240"/>
            </w:pPr>
            <w:r>
              <w:t>Distr.:</w:t>
            </w:r>
            <w:r w:rsidR="001F7ED5">
              <w:t xml:space="preserve"> </w:t>
            </w:r>
            <w:r>
              <w:t>General</w:t>
            </w:r>
          </w:p>
          <w:p w14:paraId="44544211" w14:textId="10158054" w:rsidR="005D5882" w:rsidRDefault="005D5882" w:rsidP="005D5882">
            <w:pPr>
              <w:suppressAutoHyphens w:val="0"/>
            </w:pPr>
            <w:r>
              <w:t>27</w:t>
            </w:r>
            <w:r w:rsidR="001F7ED5">
              <w:t xml:space="preserve"> </w:t>
            </w:r>
            <w:r>
              <w:t>January</w:t>
            </w:r>
            <w:r w:rsidR="001F7ED5">
              <w:t xml:space="preserve"> </w:t>
            </w:r>
            <w:r>
              <w:t>2022</w:t>
            </w:r>
          </w:p>
          <w:p w14:paraId="6F776ABA" w14:textId="77777777" w:rsidR="005D5882" w:rsidRDefault="005D5882" w:rsidP="005D5882">
            <w:pPr>
              <w:suppressAutoHyphens w:val="0"/>
            </w:pPr>
          </w:p>
          <w:p w14:paraId="534658A1" w14:textId="3706CB03" w:rsidR="005D5882" w:rsidRDefault="005D5882" w:rsidP="005D5882">
            <w:pPr>
              <w:suppressAutoHyphens w:val="0"/>
            </w:pPr>
            <w:r>
              <w:t>Original:</w:t>
            </w:r>
            <w:r w:rsidR="001F7ED5">
              <w:t xml:space="preserve"> </w:t>
            </w:r>
            <w:r>
              <w:t>English</w:t>
            </w:r>
          </w:p>
        </w:tc>
      </w:tr>
    </w:tbl>
    <w:p w14:paraId="3278F0DC" w14:textId="6F21F0F1" w:rsidR="005D5882" w:rsidRPr="00FB3674" w:rsidRDefault="005D5882" w:rsidP="005D5882">
      <w:pPr>
        <w:spacing w:before="120"/>
        <w:rPr>
          <w:b/>
          <w:sz w:val="24"/>
          <w:szCs w:val="24"/>
        </w:rPr>
      </w:pPr>
      <w:r w:rsidRPr="00FB3674">
        <w:rPr>
          <w:b/>
          <w:sz w:val="24"/>
          <w:szCs w:val="24"/>
        </w:rPr>
        <w:t>Human</w:t>
      </w:r>
      <w:r w:rsidR="001F7ED5" w:rsidRPr="00FB3674">
        <w:rPr>
          <w:b/>
          <w:sz w:val="24"/>
          <w:szCs w:val="24"/>
        </w:rPr>
        <w:t xml:space="preserve"> </w:t>
      </w:r>
      <w:r w:rsidRPr="00FB3674">
        <w:rPr>
          <w:b/>
          <w:sz w:val="24"/>
          <w:szCs w:val="24"/>
        </w:rPr>
        <w:t>Rights</w:t>
      </w:r>
      <w:r w:rsidR="001F7ED5" w:rsidRPr="00FB3674">
        <w:rPr>
          <w:b/>
          <w:sz w:val="24"/>
          <w:szCs w:val="24"/>
        </w:rPr>
        <w:t xml:space="preserve"> </w:t>
      </w:r>
      <w:r w:rsidRPr="00FB3674">
        <w:rPr>
          <w:b/>
          <w:sz w:val="24"/>
          <w:szCs w:val="24"/>
        </w:rPr>
        <w:t>Committee</w:t>
      </w:r>
    </w:p>
    <w:p w14:paraId="64BD03C8" w14:textId="7F617BAA" w:rsidR="005D5882" w:rsidRPr="00FB3674" w:rsidRDefault="005D5882" w:rsidP="005D5882">
      <w:pPr>
        <w:pStyle w:val="HChG"/>
      </w:pPr>
      <w:r w:rsidRPr="00FB3674">
        <w:tab/>
      </w:r>
      <w:r w:rsidRPr="00FB3674">
        <w:tab/>
        <w:t>Decision</w:t>
      </w:r>
      <w:r w:rsidR="001F7ED5" w:rsidRPr="00FB3674">
        <w:t xml:space="preserve"> </w:t>
      </w:r>
      <w:r w:rsidRPr="00FB3674">
        <w:t>adopted</w:t>
      </w:r>
      <w:r w:rsidR="001F7ED5" w:rsidRPr="00FB3674">
        <w:t xml:space="preserve"> </w:t>
      </w:r>
      <w:r w:rsidRPr="00FB3674">
        <w:t>by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Committee</w:t>
      </w:r>
      <w:r w:rsidR="001F7ED5" w:rsidRPr="00FB3674">
        <w:t xml:space="preserve"> </w:t>
      </w:r>
      <w:r w:rsidRPr="00FB3674">
        <w:t>under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Optional</w:t>
      </w:r>
      <w:r w:rsidR="001F7ED5" w:rsidRPr="00FB3674">
        <w:t xml:space="preserve"> </w:t>
      </w:r>
      <w:r w:rsidRPr="00FB3674">
        <w:t>Protocol,</w:t>
      </w:r>
      <w:r w:rsidR="001F7ED5" w:rsidRPr="00FB3674">
        <w:t xml:space="preserve"> </w:t>
      </w:r>
      <w:r w:rsidRPr="00FB3674">
        <w:t>concerning</w:t>
      </w:r>
      <w:r w:rsidR="001F7ED5" w:rsidRPr="00FB3674">
        <w:t xml:space="preserve"> </w:t>
      </w:r>
      <w:r w:rsidRPr="00FB3674">
        <w:t>communication</w:t>
      </w:r>
      <w:r w:rsidR="001F7ED5" w:rsidRPr="00FB3674">
        <w:t xml:space="preserve"> </w:t>
      </w:r>
      <w:r w:rsidRPr="00FB3674">
        <w:t>No.</w:t>
      </w:r>
      <w:r w:rsidR="001F7ED5" w:rsidRPr="00FB3674">
        <w:t xml:space="preserve"> </w:t>
      </w:r>
      <w:r w:rsidRPr="00FB3674">
        <w:t>3124/2018</w:t>
      </w:r>
      <w:r w:rsidR="00FC5ABB" w:rsidRPr="00FB3674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  <w:r w:rsidRPr="00FB3674">
        <w:rPr>
          <w:b w:val="0"/>
          <w:bCs/>
          <w:position w:val="6"/>
          <w:sz w:val="18"/>
        </w:rPr>
        <w:t>,</w:t>
      </w:r>
      <w:r w:rsidR="001F7ED5" w:rsidRPr="00FB3674">
        <w:rPr>
          <w:b w:val="0"/>
          <w:bCs/>
          <w:sz w:val="20"/>
          <w:vertAlign w:val="superscript"/>
        </w:rPr>
        <w:t xml:space="preserve"> </w:t>
      </w:r>
      <w:r w:rsidR="00FC5ABB" w:rsidRPr="00FB3674">
        <w:rPr>
          <w:rStyle w:val="FootnoteReference"/>
          <w:b w:val="0"/>
          <w:bCs/>
          <w:sz w:val="20"/>
          <w:vertAlign w:val="baseline"/>
        </w:rPr>
        <w:footnoteReference w:customMarkFollows="1" w:id="2"/>
        <w:t>**</w:t>
      </w:r>
    </w:p>
    <w:p w14:paraId="42470405" w14:textId="39963E37" w:rsidR="005D5882" w:rsidRPr="00FB3674" w:rsidRDefault="005D5882" w:rsidP="008E3D64">
      <w:pPr>
        <w:pStyle w:val="SingleTxtG"/>
        <w:tabs>
          <w:tab w:val="clear" w:pos="1701"/>
          <w:tab w:val="clear" w:pos="2268"/>
        </w:tabs>
        <w:ind w:left="4536" w:hanging="3402"/>
        <w:jc w:val="left"/>
      </w:pPr>
      <w:r w:rsidRPr="00FB3674">
        <w:rPr>
          <w:i/>
        </w:rPr>
        <w:t>Communication</w:t>
      </w:r>
      <w:r w:rsidR="001F7ED5" w:rsidRPr="00FB3674">
        <w:rPr>
          <w:i/>
        </w:rPr>
        <w:t xml:space="preserve"> </w:t>
      </w:r>
      <w:r w:rsidRPr="00FB3674">
        <w:rPr>
          <w:i/>
        </w:rPr>
        <w:t>submitted</w:t>
      </w:r>
      <w:r w:rsidR="001F7ED5" w:rsidRPr="00FB3674">
        <w:rPr>
          <w:i/>
        </w:rPr>
        <w:t xml:space="preserve"> </w:t>
      </w:r>
      <w:r w:rsidRPr="00FB3674">
        <w:rPr>
          <w:i/>
        </w:rPr>
        <w:t>by:</w:t>
      </w:r>
      <w:r w:rsidRPr="00FB3674">
        <w:tab/>
        <w:t>G.B.</w:t>
      </w:r>
      <w:r w:rsidR="001F7ED5" w:rsidRPr="00FB3674">
        <w:t xml:space="preserve"> </w:t>
      </w:r>
      <w:r w:rsidRPr="00FB3674">
        <w:t>(not</w:t>
      </w:r>
      <w:r w:rsidR="001F7ED5" w:rsidRPr="00FB3674">
        <w:t xml:space="preserve"> </w:t>
      </w:r>
      <w:r w:rsidRPr="00FB3674">
        <w:t>represented</w:t>
      </w:r>
      <w:r w:rsidR="001F7ED5" w:rsidRPr="00FB3674">
        <w:t xml:space="preserve"> </w:t>
      </w:r>
      <w:r w:rsidRPr="00FB3674">
        <w:t>by</w:t>
      </w:r>
      <w:r w:rsidR="001F7ED5" w:rsidRPr="00FB3674">
        <w:t xml:space="preserve"> </w:t>
      </w:r>
      <w:r w:rsidRPr="00FB3674">
        <w:t>counsel)</w:t>
      </w:r>
    </w:p>
    <w:p w14:paraId="39721107" w14:textId="038B3031" w:rsidR="005D5882" w:rsidRPr="00FB3674" w:rsidRDefault="005D5882" w:rsidP="008E3D64">
      <w:pPr>
        <w:pStyle w:val="SingleTxtG"/>
        <w:tabs>
          <w:tab w:val="clear" w:pos="1701"/>
          <w:tab w:val="clear" w:pos="2268"/>
        </w:tabs>
        <w:ind w:left="4536" w:hanging="3402"/>
        <w:jc w:val="left"/>
      </w:pPr>
      <w:r w:rsidRPr="00FB3674">
        <w:rPr>
          <w:i/>
        </w:rPr>
        <w:t>Alleged</w:t>
      </w:r>
      <w:r w:rsidR="001F7ED5" w:rsidRPr="00FB3674">
        <w:rPr>
          <w:i/>
        </w:rPr>
        <w:t xml:space="preserve"> </w:t>
      </w:r>
      <w:r w:rsidRPr="00FB3674">
        <w:rPr>
          <w:i/>
        </w:rPr>
        <w:t>victim:</w:t>
      </w:r>
      <w:r w:rsidRPr="00FB3674">
        <w:tab/>
        <w:t>The</w:t>
      </w:r>
      <w:r w:rsidR="001F7ED5" w:rsidRPr="00FB3674">
        <w:t xml:space="preserve"> </w:t>
      </w:r>
      <w:r w:rsidRPr="00FB3674">
        <w:t>author</w:t>
      </w:r>
    </w:p>
    <w:p w14:paraId="680411E2" w14:textId="44CB8F33" w:rsidR="005D5882" w:rsidRPr="00FB3674" w:rsidRDefault="005D5882" w:rsidP="008E3D64">
      <w:pPr>
        <w:pStyle w:val="SingleTxtG"/>
        <w:tabs>
          <w:tab w:val="clear" w:pos="1701"/>
          <w:tab w:val="clear" w:pos="2268"/>
        </w:tabs>
        <w:ind w:left="4536" w:hanging="3402"/>
        <w:jc w:val="left"/>
      </w:pPr>
      <w:r w:rsidRPr="00FB3674">
        <w:rPr>
          <w:i/>
        </w:rPr>
        <w:t>State</w:t>
      </w:r>
      <w:r w:rsidR="001F7ED5" w:rsidRPr="00FB3674">
        <w:rPr>
          <w:i/>
        </w:rPr>
        <w:t xml:space="preserve"> </w:t>
      </w:r>
      <w:r w:rsidRPr="00FB3674">
        <w:rPr>
          <w:i/>
        </w:rPr>
        <w:t>party:</w:t>
      </w:r>
      <w:r w:rsidRPr="00FB3674">
        <w:tab/>
        <w:t>Latvia</w:t>
      </w:r>
    </w:p>
    <w:p w14:paraId="7F2EEADB" w14:textId="29472C64" w:rsidR="005D5882" w:rsidRPr="00FB3674" w:rsidRDefault="005D5882" w:rsidP="005D5882">
      <w:pPr>
        <w:pStyle w:val="SingleTxtG"/>
        <w:tabs>
          <w:tab w:val="clear" w:pos="1701"/>
          <w:tab w:val="clear" w:pos="2268"/>
        </w:tabs>
        <w:ind w:left="4536" w:hanging="3402"/>
      </w:pPr>
      <w:r w:rsidRPr="00FB3674">
        <w:rPr>
          <w:i/>
        </w:rPr>
        <w:t>Date</w:t>
      </w:r>
      <w:r w:rsidR="001F7ED5" w:rsidRPr="00FB3674">
        <w:rPr>
          <w:i/>
        </w:rPr>
        <w:t xml:space="preserve"> </w:t>
      </w:r>
      <w:r w:rsidRPr="00FB3674">
        <w:rPr>
          <w:i/>
        </w:rPr>
        <w:t>of</w:t>
      </w:r>
      <w:r w:rsidR="001F7ED5" w:rsidRPr="00FB3674">
        <w:rPr>
          <w:i/>
        </w:rPr>
        <w:t xml:space="preserve"> </w:t>
      </w:r>
      <w:r w:rsidRPr="00FB3674">
        <w:rPr>
          <w:i/>
        </w:rPr>
        <w:t>communication:</w:t>
      </w:r>
      <w:r w:rsidRPr="00FB3674">
        <w:tab/>
        <w:t>12</w:t>
      </w:r>
      <w:r w:rsidR="001F7ED5" w:rsidRPr="00FB3674">
        <w:t xml:space="preserve"> </w:t>
      </w:r>
      <w:r w:rsidRPr="00FB3674">
        <w:t>October</w:t>
      </w:r>
      <w:r w:rsidR="001F7ED5" w:rsidRPr="00FB3674">
        <w:t xml:space="preserve"> </w:t>
      </w:r>
      <w:r w:rsidRPr="00FB3674">
        <w:t>2017</w:t>
      </w:r>
      <w:r w:rsidR="001F7ED5" w:rsidRPr="00FB3674">
        <w:t xml:space="preserve"> </w:t>
      </w:r>
      <w:r w:rsidRPr="00FB3674">
        <w:t>(initial</w:t>
      </w:r>
      <w:r w:rsidR="001F7ED5" w:rsidRPr="00FB3674">
        <w:t xml:space="preserve"> </w:t>
      </w:r>
      <w:r w:rsidRPr="00FB3674">
        <w:t>submission)</w:t>
      </w:r>
    </w:p>
    <w:p w14:paraId="45F4D901" w14:textId="63AED839" w:rsidR="005D5882" w:rsidRPr="00FB3674" w:rsidRDefault="005D5882" w:rsidP="008E3D64">
      <w:pPr>
        <w:pStyle w:val="SingleTxtG"/>
        <w:tabs>
          <w:tab w:val="clear" w:pos="1701"/>
          <w:tab w:val="clear" w:pos="2268"/>
        </w:tabs>
        <w:ind w:left="4536" w:hanging="3402"/>
        <w:jc w:val="left"/>
      </w:pPr>
      <w:r w:rsidRPr="00FB3674">
        <w:rPr>
          <w:i/>
        </w:rPr>
        <w:t>Document</w:t>
      </w:r>
      <w:r w:rsidR="001F7ED5" w:rsidRPr="00FB3674">
        <w:rPr>
          <w:i/>
        </w:rPr>
        <w:t xml:space="preserve"> </w:t>
      </w:r>
      <w:r w:rsidRPr="00FB3674">
        <w:rPr>
          <w:i/>
        </w:rPr>
        <w:t>references:</w:t>
      </w:r>
      <w:r w:rsidRPr="00FB3674">
        <w:tab/>
        <w:t>Decision</w:t>
      </w:r>
      <w:r w:rsidR="001F7ED5" w:rsidRPr="00FB3674">
        <w:t xml:space="preserve"> </w:t>
      </w:r>
      <w:r w:rsidRPr="00FB3674">
        <w:t>taken</w:t>
      </w:r>
      <w:r w:rsidR="001F7ED5" w:rsidRPr="00FB3674">
        <w:t xml:space="preserve"> </w:t>
      </w:r>
      <w:r w:rsidRPr="00FB3674">
        <w:t>pursuant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rule</w:t>
      </w:r>
      <w:r w:rsidR="001F7ED5" w:rsidRPr="00FB3674">
        <w:t xml:space="preserve"> </w:t>
      </w:r>
      <w:r w:rsidRPr="00FB3674">
        <w:t>92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Committee</w:t>
      </w:r>
      <w:r w:rsidR="00FB3674">
        <w:t>’</w:t>
      </w:r>
      <w:r w:rsidRPr="00FB3674">
        <w:t>s</w:t>
      </w:r>
      <w:r w:rsidR="001F7ED5" w:rsidRPr="00FB3674">
        <w:t xml:space="preserve"> </w:t>
      </w:r>
      <w:r w:rsidRPr="00FB3674">
        <w:t>rules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procedure,</w:t>
      </w:r>
      <w:r w:rsidR="001F7ED5" w:rsidRPr="00FB3674">
        <w:t xml:space="preserve"> </w:t>
      </w:r>
      <w:r w:rsidRPr="00FB3674">
        <w:t>transmitted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State</w:t>
      </w:r>
      <w:r w:rsidR="001F7ED5" w:rsidRPr="00FB3674">
        <w:t xml:space="preserve"> </w:t>
      </w:r>
      <w:r w:rsidRPr="00FB3674">
        <w:t>party</w:t>
      </w:r>
      <w:r w:rsidR="001F7ED5" w:rsidRPr="00FB3674">
        <w:t xml:space="preserve"> </w:t>
      </w:r>
      <w:r w:rsidRPr="00FB3674">
        <w:t>on</w:t>
      </w:r>
      <w:r w:rsidR="001F7ED5" w:rsidRPr="00FB3674">
        <w:t xml:space="preserve"> </w:t>
      </w:r>
      <w:r w:rsidRPr="00FB3674">
        <w:t>14</w:t>
      </w:r>
      <w:r w:rsidR="001F7ED5" w:rsidRPr="00FB3674">
        <w:t xml:space="preserve"> </w:t>
      </w:r>
      <w:r w:rsidRPr="00FB3674">
        <w:t>February</w:t>
      </w:r>
      <w:r w:rsidR="001F7ED5" w:rsidRPr="00FB3674">
        <w:t xml:space="preserve"> </w:t>
      </w:r>
      <w:r w:rsidRPr="00FB3674">
        <w:t>2018</w:t>
      </w:r>
      <w:r w:rsidR="001F7ED5" w:rsidRPr="00FB3674">
        <w:rPr>
          <w:color w:val="FF0000"/>
        </w:rPr>
        <w:t xml:space="preserve"> </w:t>
      </w:r>
      <w:r w:rsidRPr="00FB3674">
        <w:t>(not</w:t>
      </w:r>
      <w:r w:rsidR="001F7ED5" w:rsidRPr="00FB3674">
        <w:t xml:space="preserve"> </w:t>
      </w:r>
      <w:r w:rsidRPr="00FB3674">
        <w:t>issued</w:t>
      </w:r>
      <w:r w:rsidR="001F7ED5" w:rsidRPr="00FB3674">
        <w:t xml:space="preserve"> </w:t>
      </w:r>
      <w:r w:rsidRPr="00FB3674">
        <w:t>in</w:t>
      </w:r>
      <w:r w:rsidR="001F7ED5" w:rsidRPr="00FB3674">
        <w:t xml:space="preserve"> </w:t>
      </w:r>
      <w:r w:rsidRPr="00FB3674">
        <w:t>document</w:t>
      </w:r>
      <w:r w:rsidR="001F7ED5" w:rsidRPr="00FB3674">
        <w:t xml:space="preserve"> </w:t>
      </w:r>
      <w:r w:rsidRPr="00FB3674">
        <w:t>form)</w:t>
      </w:r>
    </w:p>
    <w:p w14:paraId="5D35E888" w14:textId="74046535" w:rsidR="005D5882" w:rsidRPr="00FB3674" w:rsidRDefault="005D5882" w:rsidP="005D5882">
      <w:pPr>
        <w:pStyle w:val="SingleTxtG"/>
        <w:tabs>
          <w:tab w:val="clear" w:pos="1701"/>
          <w:tab w:val="clear" w:pos="2268"/>
        </w:tabs>
        <w:ind w:left="4536" w:hanging="3402"/>
        <w:rPr>
          <w:i/>
        </w:rPr>
      </w:pPr>
      <w:r w:rsidRPr="00FB3674">
        <w:rPr>
          <w:i/>
        </w:rPr>
        <w:t>Date</w:t>
      </w:r>
      <w:r w:rsidR="001F7ED5" w:rsidRPr="00FB3674">
        <w:rPr>
          <w:i/>
        </w:rPr>
        <w:t xml:space="preserve"> </w:t>
      </w:r>
      <w:r w:rsidRPr="00FB3674">
        <w:rPr>
          <w:i/>
        </w:rPr>
        <w:t>of</w:t>
      </w:r>
      <w:r w:rsidR="001F7ED5" w:rsidRPr="00FB3674">
        <w:rPr>
          <w:i/>
        </w:rPr>
        <w:t xml:space="preserve"> </w:t>
      </w:r>
      <w:r w:rsidRPr="00FB3674">
        <w:rPr>
          <w:i/>
        </w:rPr>
        <w:t>adoption</w:t>
      </w:r>
      <w:r w:rsidR="001F7ED5" w:rsidRPr="00FB3674">
        <w:rPr>
          <w:i/>
        </w:rPr>
        <w:t xml:space="preserve"> </w:t>
      </w:r>
      <w:r w:rsidRPr="00FB3674">
        <w:rPr>
          <w:i/>
        </w:rPr>
        <w:t>of</w:t>
      </w:r>
      <w:r w:rsidR="001F7ED5" w:rsidRPr="00FB3674">
        <w:rPr>
          <w:i/>
        </w:rPr>
        <w:t xml:space="preserve"> </w:t>
      </w:r>
      <w:r w:rsidRPr="00FB3674">
        <w:rPr>
          <w:i/>
        </w:rPr>
        <w:t>decision:</w:t>
      </w:r>
      <w:r w:rsidRPr="00FB3674">
        <w:tab/>
        <w:t>5</w:t>
      </w:r>
      <w:r w:rsidR="001F7ED5" w:rsidRPr="00FB3674">
        <w:t xml:space="preserve"> </w:t>
      </w:r>
      <w:r w:rsidRPr="00FB3674">
        <w:t>November</w:t>
      </w:r>
      <w:r w:rsidR="001F7ED5" w:rsidRPr="00FB3674">
        <w:t xml:space="preserve"> </w:t>
      </w:r>
      <w:r w:rsidRPr="00FB3674">
        <w:t>2021</w:t>
      </w:r>
    </w:p>
    <w:p w14:paraId="74D4ED88" w14:textId="77777777" w:rsidR="001F7ED5" w:rsidRPr="00FB3674" w:rsidRDefault="005D5882" w:rsidP="005D5882">
      <w:pPr>
        <w:pStyle w:val="SingleTxtG"/>
        <w:tabs>
          <w:tab w:val="clear" w:pos="1701"/>
          <w:tab w:val="clear" w:pos="2268"/>
        </w:tabs>
        <w:ind w:left="4536" w:hanging="3402"/>
      </w:pPr>
      <w:r w:rsidRPr="00FB3674">
        <w:rPr>
          <w:i/>
          <w:iCs/>
        </w:rPr>
        <w:t>Subject</w:t>
      </w:r>
      <w:r w:rsidR="001F7ED5" w:rsidRPr="00FB3674">
        <w:rPr>
          <w:i/>
          <w:iCs/>
        </w:rPr>
        <w:t xml:space="preserve"> </w:t>
      </w:r>
      <w:r w:rsidRPr="00FB3674">
        <w:rPr>
          <w:i/>
          <w:iCs/>
        </w:rPr>
        <w:t>matter:</w:t>
      </w:r>
      <w:r w:rsidRPr="00FB3674">
        <w:tab/>
        <w:t>Disclosure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classified</w:t>
      </w:r>
      <w:r w:rsidR="001F7ED5" w:rsidRPr="00FB3674">
        <w:t xml:space="preserve"> </w:t>
      </w:r>
      <w:r w:rsidRPr="00FB3674">
        <w:t>files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defence</w:t>
      </w:r>
    </w:p>
    <w:p w14:paraId="28874A63" w14:textId="77777777" w:rsidR="001F7ED5" w:rsidRPr="00FB3674" w:rsidRDefault="005D5882" w:rsidP="005D5882">
      <w:pPr>
        <w:pStyle w:val="SingleTxtG"/>
        <w:tabs>
          <w:tab w:val="clear" w:pos="1701"/>
          <w:tab w:val="clear" w:pos="2268"/>
        </w:tabs>
        <w:ind w:left="4536" w:hanging="3402"/>
        <w:rPr>
          <w:iCs/>
        </w:rPr>
      </w:pPr>
      <w:r w:rsidRPr="00FB3674">
        <w:rPr>
          <w:i/>
          <w:iCs/>
        </w:rPr>
        <w:t>Procedural</w:t>
      </w:r>
      <w:r w:rsidR="001F7ED5" w:rsidRPr="00FB3674">
        <w:rPr>
          <w:i/>
          <w:iCs/>
        </w:rPr>
        <w:t xml:space="preserve"> </w:t>
      </w:r>
      <w:r w:rsidRPr="00FB3674">
        <w:rPr>
          <w:i/>
          <w:iCs/>
        </w:rPr>
        <w:t>issue:</w:t>
      </w:r>
      <w:r w:rsidR="001F7ED5" w:rsidRPr="00FB3674">
        <w:rPr>
          <w:i/>
          <w:iCs/>
        </w:rPr>
        <w:t xml:space="preserve"> </w:t>
      </w:r>
      <w:r w:rsidRPr="00FB3674">
        <w:rPr>
          <w:i/>
          <w:iCs/>
        </w:rPr>
        <w:tab/>
      </w:r>
      <w:r w:rsidRPr="00FB3674">
        <w:rPr>
          <w:iCs/>
        </w:rPr>
        <w:t>Admissibility</w:t>
      </w:r>
    </w:p>
    <w:p w14:paraId="790F8904" w14:textId="77777777" w:rsidR="001F7ED5" w:rsidRPr="00FB3674" w:rsidRDefault="005D5882" w:rsidP="005D5882">
      <w:pPr>
        <w:pStyle w:val="SingleTxtG"/>
        <w:tabs>
          <w:tab w:val="clear" w:pos="1701"/>
          <w:tab w:val="clear" w:pos="2268"/>
        </w:tabs>
        <w:ind w:left="4536" w:hanging="3402"/>
      </w:pPr>
      <w:r w:rsidRPr="00FB3674">
        <w:rPr>
          <w:i/>
          <w:iCs/>
        </w:rPr>
        <w:t>Substantive</w:t>
      </w:r>
      <w:r w:rsidR="001F7ED5" w:rsidRPr="00FB3674">
        <w:rPr>
          <w:i/>
          <w:iCs/>
        </w:rPr>
        <w:t xml:space="preserve"> </w:t>
      </w:r>
      <w:r w:rsidRPr="00FB3674">
        <w:rPr>
          <w:i/>
          <w:iCs/>
        </w:rPr>
        <w:t>issues:</w:t>
      </w:r>
      <w:r w:rsidR="001F7ED5" w:rsidRPr="00FB3674">
        <w:rPr>
          <w:i/>
          <w:iCs/>
        </w:rPr>
        <w:t xml:space="preserve"> </w:t>
      </w:r>
      <w:r w:rsidRPr="00FB3674">
        <w:rPr>
          <w:i/>
          <w:iCs/>
        </w:rPr>
        <w:tab/>
      </w:r>
      <w:r w:rsidRPr="00FB3674">
        <w:t>Fair</w:t>
      </w:r>
      <w:r w:rsidR="001F7ED5" w:rsidRPr="00FB3674">
        <w:t xml:space="preserve"> </w:t>
      </w:r>
      <w:r w:rsidRPr="00FB3674">
        <w:t>trial;</w:t>
      </w:r>
      <w:r w:rsidR="001F7ED5" w:rsidRPr="00FB3674">
        <w:t xml:space="preserve"> </w:t>
      </w:r>
      <w:r w:rsidRPr="00FB3674">
        <w:t>presumption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innocence</w:t>
      </w:r>
    </w:p>
    <w:p w14:paraId="2D8C2294" w14:textId="77777777" w:rsidR="001F7ED5" w:rsidRPr="00FB3674" w:rsidRDefault="005D5882" w:rsidP="005D5882">
      <w:pPr>
        <w:pStyle w:val="SingleTxtG"/>
        <w:tabs>
          <w:tab w:val="clear" w:pos="1701"/>
          <w:tab w:val="clear" w:pos="2268"/>
        </w:tabs>
        <w:ind w:left="4536" w:hanging="3402"/>
      </w:pPr>
      <w:r w:rsidRPr="00FB3674">
        <w:rPr>
          <w:i/>
          <w:iCs/>
        </w:rPr>
        <w:t>Articles</w:t>
      </w:r>
      <w:r w:rsidR="001F7ED5" w:rsidRPr="00FB3674">
        <w:rPr>
          <w:i/>
          <w:iCs/>
        </w:rPr>
        <w:t xml:space="preserve"> </w:t>
      </w:r>
      <w:r w:rsidRPr="00FB3674">
        <w:rPr>
          <w:i/>
          <w:iCs/>
        </w:rPr>
        <w:t>of</w:t>
      </w:r>
      <w:r w:rsidR="001F7ED5" w:rsidRPr="00FB3674">
        <w:rPr>
          <w:i/>
          <w:iCs/>
        </w:rPr>
        <w:t xml:space="preserve"> </w:t>
      </w:r>
      <w:r w:rsidRPr="00FB3674">
        <w:rPr>
          <w:i/>
          <w:iCs/>
        </w:rPr>
        <w:t>the</w:t>
      </w:r>
      <w:r w:rsidR="001F7ED5" w:rsidRPr="00FB3674">
        <w:rPr>
          <w:i/>
          <w:iCs/>
        </w:rPr>
        <w:t xml:space="preserve"> </w:t>
      </w:r>
      <w:r w:rsidRPr="00FB3674">
        <w:rPr>
          <w:i/>
          <w:iCs/>
        </w:rPr>
        <w:t>Covenant:</w:t>
      </w:r>
      <w:r w:rsidR="001F7ED5" w:rsidRPr="00FB3674">
        <w:t xml:space="preserve"> </w:t>
      </w:r>
      <w:r w:rsidRPr="00FB3674">
        <w:tab/>
        <w:t>14</w:t>
      </w:r>
      <w:r w:rsidR="001F7ED5" w:rsidRPr="00FB3674">
        <w:t xml:space="preserve"> </w:t>
      </w:r>
      <w:r w:rsidRPr="00FB3674">
        <w:t>(1)–(2)</w:t>
      </w:r>
      <w:r w:rsidR="001F7ED5" w:rsidRPr="00FB3674">
        <w:t xml:space="preserve"> </w:t>
      </w:r>
      <w:r w:rsidRPr="00FB3674">
        <w:t>and</w:t>
      </w:r>
      <w:r w:rsidR="001F7ED5" w:rsidRPr="00FB3674">
        <w:t xml:space="preserve"> </w:t>
      </w:r>
      <w:r w:rsidRPr="00FB3674">
        <w:t>(6)</w:t>
      </w:r>
    </w:p>
    <w:p w14:paraId="33753DC5" w14:textId="64084D58" w:rsidR="005D5882" w:rsidRPr="00FB3674" w:rsidRDefault="005D5882" w:rsidP="005D5882">
      <w:pPr>
        <w:pStyle w:val="SingleTxtG"/>
        <w:tabs>
          <w:tab w:val="clear" w:pos="1701"/>
          <w:tab w:val="clear" w:pos="2268"/>
        </w:tabs>
        <w:ind w:left="4536" w:hanging="3402"/>
        <w:rPr>
          <w:iCs/>
        </w:rPr>
      </w:pPr>
      <w:r w:rsidRPr="00FB3674">
        <w:rPr>
          <w:i/>
          <w:iCs/>
        </w:rPr>
        <w:t>Articles</w:t>
      </w:r>
      <w:r w:rsidR="001F7ED5" w:rsidRPr="00FB3674">
        <w:rPr>
          <w:i/>
          <w:iCs/>
        </w:rPr>
        <w:t xml:space="preserve"> </w:t>
      </w:r>
      <w:r w:rsidRPr="00FB3674">
        <w:rPr>
          <w:i/>
          <w:iCs/>
        </w:rPr>
        <w:t>of</w:t>
      </w:r>
      <w:r w:rsidR="001F7ED5" w:rsidRPr="00FB3674">
        <w:rPr>
          <w:i/>
          <w:iCs/>
        </w:rPr>
        <w:t xml:space="preserve"> </w:t>
      </w:r>
      <w:r w:rsidRPr="00FB3674">
        <w:rPr>
          <w:i/>
          <w:iCs/>
        </w:rPr>
        <w:t>the</w:t>
      </w:r>
      <w:r w:rsidR="001F7ED5" w:rsidRPr="00FB3674">
        <w:rPr>
          <w:i/>
          <w:iCs/>
        </w:rPr>
        <w:t xml:space="preserve"> </w:t>
      </w:r>
      <w:r w:rsidRPr="00FB3674">
        <w:rPr>
          <w:i/>
          <w:iCs/>
        </w:rPr>
        <w:t>Optional</w:t>
      </w:r>
      <w:r w:rsidR="001F7ED5" w:rsidRPr="00FB3674">
        <w:rPr>
          <w:i/>
          <w:iCs/>
        </w:rPr>
        <w:t xml:space="preserve"> </w:t>
      </w:r>
      <w:r w:rsidRPr="00FB3674">
        <w:rPr>
          <w:i/>
          <w:iCs/>
        </w:rPr>
        <w:t>Protocol:</w:t>
      </w:r>
      <w:r w:rsidRPr="00FB3674">
        <w:rPr>
          <w:i/>
          <w:iCs/>
        </w:rPr>
        <w:tab/>
      </w:r>
      <w:r w:rsidRPr="00FB3674">
        <w:rPr>
          <w:iCs/>
        </w:rPr>
        <w:t>2–3</w:t>
      </w:r>
      <w:r w:rsidR="001F7ED5" w:rsidRPr="00FB3674">
        <w:rPr>
          <w:iCs/>
        </w:rPr>
        <w:t xml:space="preserve"> </w:t>
      </w:r>
      <w:r w:rsidRPr="00FB3674">
        <w:rPr>
          <w:iCs/>
        </w:rPr>
        <w:t>and</w:t>
      </w:r>
      <w:r w:rsidR="001F7ED5" w:rsidRPr="00FB3674">
        <w:rPr>
          <w:iCs/>
        </w:rPr>
        <w:t xml:space="preserve"> </w:t>
      </w:r>
      <w:r w:rsidRPr="00FB3674">
        <w:rPr>
          <w:iCs/>
        </w:rPr>
        <w:t>5</w:t>
      </w:r>
      <w:r w:rsidR="001F7ED5" w:rsidRPr="00FB3674">
        <w:rPr>
          <w:iCs/>
        </w:rPr>
        <w:t xml:space="preserve"> </w:t>
      </w:r>
      <w:r w:rsidRPr="00FB3674">
        <w:rPr>
          <w:iCs/>
        </w:rPr>
        <w:t>(2)</w:t>
      </w:r>
      <w:r w:rsidR="001F7ED5" w:rsidRPr="00FB3674">
        <w:rPr>
          <w:iCs/>
        </w:rPr>
        <w:t xml:space="preserve"> </w:t>
      </w:r>
      <w:r w:rsidRPr="00FB3674">
        <w:rPr>
          <w:iCs/>
        </w:rPr>
        <w:t>(b)</w:t>
      </w:r>
    </w:p>
    <w:p w14:paraId="33CF7C45" w14:textId="77777777" w:rsidR="005D5882" w:rsidRPr="00FB3674" w:rsidRDefault="005D5882" w:rsidP="005D5882">
      <w:pPr>
        <w:pStyle w:val="SingleTxtG"/>
        <w:tabs>
          <w:tab w:val="clear" w:pos="1701"/>
          <w:tab w:val="clear" w:pos="2268"/>
        </w:tabs>
        <w:ind w:left="4536" w:hanging="3402"/>
      </w:pPr>
      <w:r w:rsidRPr="00FB3674">
        <w:br w:type="page"/>
      </w:r>
    </w:p>
    <w:p w14:paraId="39DF2468" w14:textId="793ED0DD" w:rsidR="005D5882" w:rsidRPr="00FB3674" w:rsidRDefault="005D5882" w:rsidP="005D5882">
      <w:pPr>
        <w:pStyle w:val="SingleTxtG"/>
      </w:pPr>
      <w:r w:rsidRPr="00FB3674">
        <w:lastRenderedPageBreak/>
        <w:t>1.</w:t>
      </w:r>
      <w:r w:rsidRPr="00FB3674">
        <w:tab/>
        <w:t>The</w:t>
      </w:r>
      <w:r w:rsidR="001F7ED5" w:rsidRPr="00FB3674">
        <w:t xml:space="preserve"> </w:t>
      </w:r>
      <w:r w:rsidRPr="00FB3674">
        <w:t>author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communication</w:t>
      </w:r>
      <w:r w:rsidR="001F7ED5" w:rsidRPr="00FB3674">
        <w:t xml:space="preserve"> </w:t>
      </w:r>
      <w:r w:rsidRPr="00FB3674">
        <w:t>is</w:t>
      </w:r>
      <w:r w:rsidR="001F7ED5" w:rsidRPr="00FB3674">
        <w:t xml:space="preserve"> </w:t>
      </w:r>
      <w:r w:rsidRPr="00FB3674">
        <w:t>G.B.,</w:t>
      </w:r>
      <w:r w:rsidR="001F7ED5" w:rsidRPr="00FB3674">
        <w:t xml:space="preserve"> </w:t>
      </w:r>
      <w:r w:rsidRPr="00FB3674">
        <w:t>a</w:t>
      </w:r>
      <w:r w:rsidR="001F7ED5" w:rsidRPr="00FB3674">
        <w:t xml:space="preserve"> </w:t>
      </w:r>
      <w:r w:rsidRPr="00FB3674">
        <w:t>national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Latvia.</w:t>
      </w:r>
      <w:r w:rsidR="001F7ED5" w:rsidRPr="00FB3674">
        <w:t xml:space="preserve"> </w:t>
      </w:r>
      <w:r w:rsidRPr="00FB3674">
        <w:t>He</w:t>
      </w:r>
      <w:r w:rsidR="001F7ED5" w:rsidRPr="00FB3674">
        <w:t xml:space="preserve"> </w:t>
      </w:r>
      <w:r w:rsidRPr="00FB3674">
        <w:t>claims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State</w:t>
      </w:r>
      <w:r w:rsidR="001F7ED5" w:rsidRPr="00FB3674">
        <w:t xml:space="preserve"> </w:t>
      </w:r>
      <w:r w:rsidRPr="00FB3674">
        <w:t>party</w:t>
      </w:r>
      <w:r w:rsidR="001F7ED5" w:rsidRPr="00FB3674">
        <w:t xml:space="preserve"> </w:t>
      </w:r>
      <w:r w:rsidRPr="00FB3674">
        <w:t>has</w:t>
      </w:r>
      <w:r w:rsidR="001F7ED5" w:rsidRPr="00FB3674">
        <w:t xml:space="preserve"> </w:t>
      </w:r>
      <w:r w:rsidRPr="00FB3674">
        <w:t>violated</w:t>
      </w:r>
      <w:r w:rsidR="001F7ED5" w:rsidRPr="00FB3674">
        <w:t xml:space="preserve"> </w:t>
      </w:r>
      <w:r w:rsidRPr="00FB3674">
        <w:t>his</w:t>
      </w:r>
      <w:r w:rsidR="001F7ED5" w:rsidRPr="00FB3674">
        <w:t xml:space="preserve"> </w:t>
      </w:r>
      <w:r w:rsidRPr="00FB3674">
        <w:t>rights</w:t>
      </w:r>
      <w:r w:rsidR="001F7ED5" w:rsidRPr="00FB3674">
        <w:t xml:space="preserve"> </w:t>
      </w:r>
      <w:r w:rsidRPr="00FB3674">
        <w:t>under</w:t>
      </w:r>
      <w:r w:rsidR="001F7ED5" w:rsidRPr="00FB3674">
        <w:t xml:space="preserve"> </w:t>
      </w:r>
      <w:r w:rsidRPr="00FB3674">
        <w:t>articles</w:t>
      </w:r>
      <w:r w:rsidR="001F7ED5" w:rsidRPr="00FB3674">
        <w:t xml:space="preserve"> </w:t>
      </w:r>
      <w:r w:rsidRPr="00FB3674">
        <w:t>14</w:t>
      </w:r>
      <w:r w:rsidR="001F7ED5" w:rsidRPr="00FB3674">
        <w:t xml:space="preserve"> </w:t>
      </w:r>
      <w:r w:rsidRPr="00FB3674">
        <w:t>(1)–(2)</w:t>
      </w:r>
      <w:r w:rsidR="001F7ED5" w:rsidRPr="00FB3674">
        <w:t xml:space="preserve"> </w:t>
      </w:r>
      <w:r w:rsidRPr="00FB3674">
        <w:t>and</w:t>
      </w:r>
      <w:r w:rsidR="001F7ED5" w:rsidRPr="00FB3674">
        <w:t xml:space="preserve"> </w:t>
      </w:r>
      <w:r w:rsidRPr="00FB3674">
        <w:t>(6)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Covenant.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Optional</w:t>
      </w:r>
      <w:r w:rsidR="001F7ED5" w:rsidRPr="00FB3674">
        <w:t xml:space="preserve"> </w:t>
      </w:r>
      <w:r w:rsidRPr="00FB3674">
        <w:t>Protocol</w:t>
      </w:r>
      <w:r w:rsidR="001F7ED5" w:rsidRPr="00FB3674">
        <w:t xml:space="preserve"> </w:t>
      </w:r>
      <w:r w:rsidRPr="00FB3674">
        <w:t>entered</w:t>
      </w:r>
      <w:r w:rsidR="001F7ED5" w:rsidRPr="00FB3674">
        <w:t xml:space="preserve"> </w:t>
      </w:r>
      <w:r w:rsidRPr="00FB3674">
        <w:t>into</w:t>
      </w:r>
      <w:r w:rsidR="001F7ED5" w:rsidRPr="00FB3674">
        <w:t xml:space="preserve"> </w:t>
      </w:r>
      <w:r w:rsidRPr="00FB3674">
        <w:t>force</w:t>
      </w:r>
      <w:r w:rsidR="001F7ED5" w:rsidRPr="00FB3674">
        <w:t xml:space="preserve"> </w:t>
      </w:r>
      <w:r w:rsidRPr="00FB3674">
        <w:t>for</w:t>
      </w:r>
      <w:r w:rsidR="001F7ED5" w:rsidRPr="00FB3674">
        <w:t xml:space="preserve"> </w:t>
      </w:r>
      <w:r w:rsidRPr="00FB3674">
        <w:t>Latvia</w:t>
      </w:r>
      <w:r w:rsidR="001F7ED5" w:rsidRPr="00FB3674">
        <w:t xml:space="preserve"> </w:t>
      </w:r>
      <w:r w:rsidRPr="00FB3674">
        <w:t>on</w:t>
      </w:r>
      <w:r w:rsidR="001F7ED5" w:rsidRPr="00FB3674">
        <w:t xml:space="preserve"> </w:t>
      </w:r>
      <w:r w:rsidRPr="00FB3674">
        <w:t>22</w:t>
      </w:r>
      <w:r w:rsidR="001F7ED5" w:rsidRPr="00FB3674">
        <w:t xml:space="preserve"> </w:t>
      </w:r>
      <w:r w:rsidRPr="00FB3674">
        <w:t>September</w:t>
      </w:r>
      <w:r w:rsidR="001F7ED5" w:rsidRPr="00FB3674">
        <w:t xml:space="preserve"> </w:t>
      </w:r>
      <w:r w:rsidRPr="00FB3674">
        <w:t>1994.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author</w:t>
      </w:r>
      <w:r w:rsidR="001F7ED5" w:rsidRPr="00FB3674">
        <w:t xml:space="preserve"> </w:t>
      </w:r>
      <w:r w:rsidRPr="00FB3674">
        <w:t>is</w:t>
      </w:r>
      <w:r w:rsidR="001F7ED5" w:rsidRPr="00FB3674">
        <w:t xml:space="preserve"> </w:t>
      </w:r>
      <w:r w:rsidRPr="00FB3674">
        <w:t>not</w:t>
      </w:r>
      <w:r w:rsidR="001F7ED5" w:rsidRPr="00FB3674">
        <w:t xml:space="preserve"> </w:t>
      </w:r>
      <w:r w:rsidRPr="00FB3674">
        <w:t>represented</w:t>
      </w:r>
      <w:r w:rsidR="001F7ED5" w:rsidRPr="00FB3674">
        <w:t xml:space="preserve"> </w:t>
      </w:r>
      <w:r w:rsidRPr="00FB3674">
        <w:t>by</w:t>
      </w:r>
      <w:r w:rsidR="001F7ED5" w:rsidRPr="00FB3674">
        <w:t xml:space="preserve"> </w:t>
      </w:r>
      <w:r w:rsidRPr="00FB3674">
        <w:t>counsel.</w:t>
      </w:r>
    </w:p>
    <w:p w14:paraId="40846C3E" w14:textId="7FE35C58" w:rsidR="005D5882" w:rsidRPr="00FB3674" w:rsidRDefault="005D5882" w:rsidP="00FC5ABB">
      <w:pPr>
        <w:pStyle w:val="H23G"/>
      </w:pPr>
      <w:r w:rsidRPr="00FB3674">
        <w:tab/>
      </w:r>
      <w:r w:rsidRPr="00FB3674">
        <w:tab/>
        <w:t>Facts</w:t>
      </w:r>
      <w:r w:rsidR="001F7ED5" w:rsidRPr="00FB3674">
        <w:t xml:space="preserve"> </w:t>
      </w:r>
      <w:r w:rsidRPr="00FB3674">
        <w:t>as</w:t>
      </w:r>
      <w:r w:rsidR="001F7ED5" w:rsidRPr="00FB3674">
        <w:t xml:space="preserve"> </w:t>
      </w:r>
      <w:r w:rsidRPr="00FB3674">
        <w:t>submitted</w:t>
      </w:r>
      <w:r w:rsidR="001F7ED5" w:rsidRPr="00FB3674">
        <w:t xml:space="preserve"> </w:t>
      </w:r>
      <w:r w:rsidRPr="00FB3674">
        <w:t>by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author</w:t>
      </w:r>
    </w:p>
    <w:p w14:paraId="3EE5F60B" w14:textId="77777777" w:rsidR="001F7ED5" w:rsidRPr="00FB3674" w:rsidRDefault="005D5882" w:rsidP="005D5882">
      <w:pPr>
        <w:pStyle w:val="SingleTxtG"/>
      </w:pPr>
      <w:r w:rsidRPr="00FB3674">
        <w:t>2.1</w:t>
      </w:r>
      <w:r w:rsidRPr="00FB3674">
        <w:tab/>
        <w:t>In</w:t>
      </w:r>
      <w:r w:rsidR="001F7ED5" w:rsidRPr="00FB3674">
        <w:t xml:space="preserve"> </w:t>
      </w:r>
      <w:r w:rsidRPr="00FB3674">
        <w:t>October</w:t>
      </w:r>
      <w:r w:rsidR="001F7ED5" w:rsidRPr="00FB3674">
        <w:t xml:space="preserve"> </w:t>
      </w:r>
      <w:r w:rsidRPr="00FB3674">
        <w:t>and</w:t>
      </w:r>
      <w:r w:rsidR="001F7ED5" w:rsidRPr="00FB3674">
        <w:t xml:space="preserve"> </w:t>
      </w:r>
      <w:r w:rsidRPr="00FB3674">
        <w:t>November</w:t>
      </w:r>
      <w:r w:rsidR="001F7ED5" w:rsidRPr="00FB3674">
        <w:t xml:space="preserve"> </w:t>
      </w:r>
      <w:r w:rsidRPr="00FB3674">
        <w:t>2004,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police</w:t>
      </w:r>
      <w:r w:rsidR="001F7ED5" w:rsidRPr="00FB3674">
        <w:t xml:space="preserve"> </w:t>
      </w:r>
      <w:r w:rsidRPr="00FB3674">
        <w:t>carried</w:t>
      </w:r>
      <w:r w:rsidR="001F7ED5" w:rsidRPr="00FB3674">
        <w:t xml:space="preserve"> </w:t>
      </w:r>
      <w:r w:rsidRPr="00FB3674">
        <w:t>out</w:t>
      </w:r>
      <w:r w:rsidR="001F7ED5" w:rsidRPr="00FB3674">
        <w:t xml:space="preserve"> </w:t>
      </w:r>
      <w:r w:rsidRPr="00FB3674">
        <w:t>a</w:t>
      </w:r>
      <w:r w:rsidR="001F7ED5" w:rsidRPr="00FB3674">
        <w:t xml:space="preserve"> </w:t>
      </w:r>
      <w:r w:rsidRPr="00FB3674">
        <w:t>special</w:t>
      </w:r>
      <w:r w:rsidR="001F7ED5" w:rsidRPr="00FB3674">
        <w:t xml:space="preserve"> </w:t>
      </w:r>
      <w:r w:rsidRPr="00FB3674">
        <w:t>investigative</w:t>
      </w:r>
      <w:r w:rsidR="001F7ED5" w:rsidRPr="00FB3674">
        <w:t xml:space="preserve"> </w:t>
      </w:r>
      <w:r w:rsidRPr="00FB3674">
        <w:t>experiment</w:t>
      </w:r>
      <w:r w:rsidR="001F7ED5" w:rsidRPr="00FB3674">
        <w:t xml:space="preserve"> </w:t>
      </w:r>
      <w:r w:rsidRPr="00FB3674">
        <w:t>against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author.</w:t>
      </w:r>
      <w:r w:rsidRPr="00FB3674">
        <w:rPr>
          <w:rStyle w:val="FootnoteReference"/>
        </w:rPr>
        <w:footnoteReference w:id="3"/>
      </w:r>
      <w:r w:rsidR="001F7ED5" w:rsidRPr="00FB3674">
        <w:t xml:space="preserve"> </w:t>
      </w:r>
      <w:r w:rsidRPr="00FB3674">
        <w:t>As</w:t>
      </w:r>
      <w:r w:rsidR="001F7ED5" w:rsidRPr="00FB3674">
        <w:t xml:space="preserve"> </w:t>
      </w:r>
      <w:r w:rsidRPr="00FB3674">
        <w:t>part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experiment,</w:t>
      </w:r>
      <w:r w:rsidR="001F7ED5" w:rsidRPr="00FB3674">
        <w:t xml:space="preserve"> </w:t>
      </w:r>
      <w:r w:rsidRPr="00FB3674">
        <w:t>an</w:t>
      </w:r>
      <w:r w:rsidR="001F7ED5" w:rsidRPr="00FB3674">
        <w:t xml:space="preserve"> </w:t>
      </w:r>
      <w:r w:rsidRPr="00FB3674">
        <w:t>undercover</w:t>
      </w:r>
      <w:r w:rsidR="001F7ED5" w:rsidRPr="00FB3674">
        <w:t xml:space="preserve"> </w:t>
      </w:r>
      <w:r w:rsidRPr="00FB3674">
        <w:t>police</w:t>
      </w:r>
      <w:r w:rsidR="001F7ED5" w:rsidRPr="00FB3674">
        <w:t xml:space="preserve"> </w:t>
      </w:r>
      <w:r w:rsidRPr="00FB3674">
        <w:t>officer,</w:t>
      </w:r>
      <w:r w:rsidR="001F7ED5" w:rsidRPr="00FB3674">
        <w:t xml:space="preserve"> </w:t>
      </w:r>
      <w:r w:rsidRPr="00FB3674">
        <w:t>I.,</w:t>
      </w:r>
      <w:r w:rsidR="001F7ED5" w:rsidRPr="00FB3674">
        <w:t xml:space="preserve"> </w:t>
      </w:r>
      <w:r w:rsidRPr="00FB3674">
        <w:t>pretending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be</w:t>
      </w:r>
      <w:r w:rsidR="001F7ED5" w:rsidRPr="00FB3674">
        <w:t xml:space="preserve"> </w:t>
      </w:r>
      <w:r w:rsidRPr="00FB3674">
        <w:t>a</w:t>
      </w:r>
      <w:r w:rsidR="001F7ED5" w:rsidRPr="00FB3674">
        <w:t xml:space="preserve"> </w:t>
      </w:r>
      <w:r w:rsidRPr="00FB3674">
        <w:t>drug</w:t>
      </w:r>
      <w:r w:rsidR="001F7ED5" w:rsidRPr="00FB3674">
        <w:t xml:space="preserve"> </w:t>
      </w:r>
      <w:r w:rsidRPr="00FB3674">
        <w:t>dealer,</w:t>
      </w:r>
      <w:r w:rsidR="001F7ED5" w:rsidRPr="00FB3674">
        <w:t xml:space="preserve"> </w:t>
      </w:r>
      <w:r w:rsidRPr="00FB3674">
        <w:t>contacted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author</w:t>
      </w:r>
      <w:r w:rsidR="001F7ED5" w:rsidRPr="00FB3674">
        <w:t xml:space="preserve"> </w:t>
      </w:r>
      <w:r w:rsidRPr="00FB3674">
        <w:t>and</w:t>
      </w:r>
      <w:r w:rsidR="001F7ED5" w:rsidRPr="00FB3674">
        <w:t xml:space="preserve"> </w:t>
      </w:r>
      <w:r w:rsidRPr="00FB3674">
        <w:t>persuaded</w:t>
      </w:r>
      <w:r w:rsidR="001F7ED5" w:rsidRPr="00FB3674">
        <w:t xml:space="preserve"> </w:t>
      </w:r>
      <w:r w:rsidRPr="00FB3674">
        <w:t>him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become</w:t>
      </w:r>
      <w:r w:rsidR="001F7ED5" w:rsidRPr="00FB3674">
        <w:t xml:space="preserve"> </w:t>
      </w:r>
      <w:r w:rsidRPr="00FB3674">
        <w:t>an</w:t>
      </w:r>
      <w:r w:rsidR="001F7ED5" w:rsidRPr="00FB3674">
        <w:t xml:space="preserve"> </w:t>
      </w:r>
      <w:r w:rsidRPr="00FB3674">
        <w:t>intermediary</w:t>
      </w:r>
      <w:r w:rsidR="001F7ED5" w:rsidRPr="00FB3674">
        <w:t xml:space="preserve"> </w:t>
      </w:r>
      <w:r w:rsidRPr="00FB3674">
        <w:t>in</w:t>
      </w:r>
      <w:r w:rsidR="001F7ED5" w:rsidRPr="00FB3674">
        <w:t xml:space="preserve"> </w:t>
      </w:r>
      <w:r w:rsidRPr="00FB3674">
        <w:t>drug</w:t>
      </w:r>
      <w:r w:rsidR="001F7ED5" w:rsidRPr="00FB3674">
        <w:t xml:space="preserve"> </w:t>
      </w:r>
      <w:r w:rsidRPr="00FB3674">
        <w:t>trafficking.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author</w:t>
      </w:r>
      <w:r w:rsidR="001F7ED5" w:rsidRPr="00FB3674">
        <w:t xml:space="preserve"> </w:t>
      </w:r>
      <w:r w:rsidRPr="00FB3674">
        <w:t>submits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I.,</w:t>
      </w:r>
      <w:r w:rsidR="001F7ED5" w:rsidRPr="00FB3674">
        <w:t xml:space="preserve"> </w:t>
      </w:r>
      <w:r w:rsidRPr="00FB3674">
        <w:t>who</w:t>
      </w:r>
      <w:r w:rsidR="001F7ED5" w:rsidRPr="00FB3674">
        <w:t xml:space="preserve"> </w:t>
      </w:r>
      <w:r w:rsidRPr="00FB3674">
        <w:t>was</w:t>
      </w:r>
      <w:r w:rsidR="001F7ED5" w:rsidRPr="00FB3674">
        <w:t xml:space="preserve"> </w:t>
      </w:r>
      <w:r w:rsidRPr="00FB3674">
        <w:t>always</w:t>
      </w:r>
      <w:r w:rsidR="001F7ED5" w:rsidRPr="00FB3674">
        <w:t xml:space="preserve"> </w:t>
      </w:r>
      <w:r w:rsidRPr="00FB3674">
        <w:t>dressed</w:t>
      </w:r>
      <w:r w:rsidR="001F7ED5" w:rsidRPr="00FB3674">
        <w:t xml:space="preserve"> </w:t>
      </w:r>
      <w:r w:rsidRPr="00FB3674">
        <w:t>in</w:t>
      </w:r>
      <w:r w:rsidR="001F7ED5" w:rsidRPr="00FB3674">
        <w:t xml:space="preserve"> </w:t>
      </w:r>
      <w:r w:rsidRPr="00FB3674">
        <w:t>civilian</w:t>
      </w:r>
      <w:r w:rsidR="001F7ED5" w:rsidRPr="00FB3674">
        <w:t xml:space="preserve"> </w:t>
      </w:r>
      <w:r w:rsidRPr="00FB3674">
        <w:t>clothes</w:t>
      </w:r>
      <w:r w:rsidR="001F7ED5" w:rsidRPr="00FB3674">
        <w:t xml:space="preserve"> </w:t>
      </w:r>
      <w:r w:rsidRPr="00FB3674">
        <w:t>during</w:t>
      </w:r>
      <w:r w:rsidR="001F7ED5" w:rsidRPr="00FB3674">
        <w:t xml:space="preserve"> </w:t>
      </w:r>
      <w:r w:rsidRPr="00FB3674">
        <w:t>their</w:t>
      </w:r>
      <w:r w:rsidR="001F7ED5" w:rsidRPr="00FB3674">
        <w:t xml:space="preserve"> </w:t>
      </w:r>
      <w:r w:rsidRPr="00FB3674">
        <w:t>meetings,</w:t>
      </w:r>
      <w:r w:rsidR="001F7ED5" w:rsidRPr="00FB3674">
        <w:t xml:space="preserve"> </w:t>
      </w:r>
      <w:r w:rsidRPr="00FB3674">
        <w:t>did</w:t>
      </w:r>
      <w:r w:rsidR="001F7ED5" w:rsidRPr="00FB3674">
        <w:t xml:space="preserve"> </w:t>
      </w:r>
      <w:r w:rsidRPr="00FB3674">
        <w:t>not</w:t>
      </w:r>
      <w:r w:rsidR="001F7ED5" w:rsidRPr="00FB3674">
        <w:t xml:space="preserve"> </w:t>
      </w:r>
      <w:r w:rsidRPr="00FB3674">
        <w:t>interfere</w:t>
      </w:r>
      <w:r w:rsidR="001F7ED5" w:rsidRPr="00FB3674">
        <w:t xml:space="preserve"> </w:t>
      </w:r>
      <w:r w:rsidRPr="00FB3674">
        <w:t>in</w:t>
      </w:r>
      <w:r w:rsidR="001F7ED5" w:rsidRPr="00FB3674">
        <w:t xml:space="preserve"> </w:t>
      </w:r>
      <w:r w:rsidRPr="00FB3674">
        <w:t>already</w:t>
      </w:r>
      <w:r w:rsidR="001F7ED5" w:rsidRPr="00FB3674">
        <w:t xml:space="preserve"> </w:t>
      </w:r>
      <w:r w:rsidRPr="00FB3674">
        <w:t>ongoing</w:t>
      </w:r>
      <w:r w:rsidR="001F7ED5" w:rsidRPr="00FB3674">
        <w:t xml:space="preserve"> </w:t>
      </w:r>
      <w:r w:rsidRPr="00FB3674">
        <w:t>criminal</w:t>
      </w:r>
      <w:r w:rsidR="001F7ED5" w:rsidRPr="00FB3674">
        <w:t xml:space="preserve"> </w:t>
      </w:r>
      <w:r w:rsidRPr="00FB3674">
        <w:t>activities</w:t>
      </w:r>
      <w:r w:rsidR="001F7ED5" w:rsidRPr="00FB3674">
        <w:t xml:space="preserve"> </w:t>
      </w:r>
      <w:r w:rsidRPr="00FB3674">
        <w:t>but</w:t>
      </w:r>
      <w:r w:rsidR="001F7ED5" w:rsidRPr="00FB3674">
        <w:t xml:space="preserve"> </w:t>
      </w:r>
      <w:r w:rsidRPr="00FB3674">
        <w:t>actually</w:t>
      </w:r>
      <w:r w:rsidR="001F7ED5" w:rsidRPr="00FB3674">
        <w:t xml:space="preserve"> </w:t>
      </w:r>
      <w:r w:rsidRPr="00FB3674">
        <w:t>initiated</w:t>
      </w:r>
      <w:r w:rsidR="001F7ED5" w:rsidRPr="00FB3674">
        <w:t xml:space="preserve"> </w:t>
      </w:r>
      <w:r w:rsidRPr="00FB3674">
        <w:t>them</w:t>
      </w:r>
      <w:r w:rsidR="001F7ED5" w:rsidRPr="00FB3674">
        <w:t xml:space="preserve"> </w:t>
      </w:r>
      <w:r w:rsidRPr="00FB3674">
        <w:t>himself</w:t>
      </w:r>
      <w:r w:rsidR="001F7ED5" w:rsidRPr="00FB3674">
        <w:t xml:space="preserve"> </w:t>
      </w:r>
      <w:r w:rsidRPr="00FB3674">
        <w:t>by</w:t>
      </w:r>
      <w:r w:rsidR="001F7ED5" w:rsidRPr="00FB3674">
        <w:t xml:space="preserve"> </w:t>
      </w:r>
      <w:r w:rsidRPr="00FB3674">
        <w:t>sending</w:t>
      </w:r>
      <w:r w:rsidR="001F7ED5" w:rsidRPr="00FB3674">
        <w:t xml:space="preserve"> </w:t>
      </w:r>
      <w:r w:rsidRPr="00FB3674">
        <w:t>text</w:t>
      </w:r>
      <w:r w:rsidR="001F7ED5" w:rsidRPr="00FB3674">
        <w:t xml:space="preserve"> </w:t>
      </w:r>
      <w:r w:rsidRPr="00FB3674">
        <w:t>messages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the</w:t>
      </w:r>
      <w:r w:rsidR="001F7ED5" w:rsidRPr="00FB3674">
        <w:rPr>
          <w:i/>
        </w:rPr>
        <w:t xml:space="preserve"> </w:t>
      </w:r>
      <w:r w:rsidRPr="00FB3674">
        <w:t>author,</w:t>
      </w:r>
      <w:r w:rsidR="001F7ED5" w:rsidRPr="00FB3674">
        <w:t xml:space="preserve"> </w:t>
      </w:r>
      <w:r w:rsidRPr="00FB3674">
        <w:t>by</w:t>
      </w:r>
      <w:r w:rsidR="001F7ED5" w:rsidRPr="00FB3674">
        <w:t xml:space="preserve"> </w:t>
      </w:r>
      <w:r w:rsidRPr="00FB3674">
        <w:t>prompting</w:t>
      </w:r>
      <w:r w:rsidR="001F7ED5" w:rsidRPr="00FB3674">
        <w:t xml:space="preserve"> </w:t>
      </w:r>
      <w:r w:rsidRPr="00FB3674">
        <w:t>a</w:t>
      </w:r>
      <w:r w:rsidR="001F7ED5" w:rsidRPr="00FB3674">
        <w:t xml:space="preserve"> </w:t>
      </w:r>
      <w:r w:rsidRPr="00FB3674">
        <w:t>supposedly</w:t>
      </w:r>
      <w:r w:rsidR="001F7ED5" w:rsidRPr="00FB3674">
        <w:t xml:space="preserve"> </w:t>
      </w:r>
      <w:r w:rsidRPr="00FB3674">
        <w:t>accidental</w:t>
      </w:r>
      <w:r w:rsidR="001F7ED5" w:rsidRPr="00FB3674">
        <w:t xml:space="preserve"> </w:t>
      </w:r>
      <w:r w:rsidRPr="00FB3674">
        <w:t>meeting</w:t>
      </w:r>
      <w:r w:rsidR="001F7ED5" w:rsidRPr="00FB3674">
        <w:t xml:space="preserve"> </w:t>
      </w:r>
      <w:r w:rsidRPr="00FB3674">
        <w:t>and</w:t>
      </w:r>
      <w:r w:rsidR="001F7ED5" w:rsidRPr="00FB3674">
        <w:t xml:space="preserve"> </w:t>
      </w:r>
      <w:r w:rsidRPr="00FB3674">
        <w:t>by</w:t>
      </w:r>
      <w:r w:rsidR="001F7ED5" w:rsidRPr="00FB3674">
        <w:t xml:space="preserve"> </w:t>
      </w:r>
      <w:r w:rsidRPr="00FB3674">
        <w:t>repeatedly</w:t>
      </w:r>
      <w:r w:rsidR="001F7ED5" w:rsidRPr="00FB3674">
        <w:t xml:space="preserve"> </w:t>
      </w:r>
      <w:r w:rsidRPr="00FB3674">
        <w:t>encouraging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author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supply</w:t>
      </w:r>
      <w:r w:rsidR="001F7ED5" w:rsidRPr="00FB3674">
        <w:t xml:space="preserve"> </w:t>
      </w:r>
      <w:r w:rsidRPr="00FB3674">
        <w:t>him</w:t>
      </w:r>
      <w:r w:rsidR="001F7ED5" w:rsidRPr="00FB3674">
        <w:t xml:space="preserve"> </w:t>
      </w:r>
      <w:r w:rsidRPr="00FB3674">
        <w:t>with</w:t>
      </w:r>
      <w:r w:rsidR="001F7ED5" w:rsidRPr="00FB3674">
        <w:t xml:space="preserve"> </w:t>
      </w:r>
      <w:r w:rsidRPr="00FB3674">
        <w:t>drugs.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author</w:t>
      </w:r>
      <w:r w:rsidR="001F7ED5" w:rsidRPr="00FB3674">
        <w:t xml:space="preserve"> </w:t>
      </w:r>
      <w:r w:rsidRPr="00FB3674">
        <w:t>notes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undercover</w:t>
      </w:r>
      <w:r w:rsidR="001F7ED5" w:rsidRPr="00FB3674">
        <w:t xml:space="preserve"> </w:t>
      </w:r>
      <w:r w:rsidRPr="00FB3674">
        <w:t>police</w:t>
      </w:r>
      <w:r w:rsidR="001F7ED5" w:rsidRPr="00FB3674">
        <w:t xml:space="preserve"> </w:t>
      </w:r>
      <w:r w:rsidRPr="00FB3674">
        <w:t>agent</w:t>
      </w:r>
      <w:r w:rsidR="001F7ED5" w:rsidRPr="00FB3674">
        <w:t xml:space="preserve"> </w:t>
      </w:r>
      <w:r w:rsidRPr="00FB3674">
        <w:t>did</w:t>
      </w:r>
      <w:r w:rsidR="001F7ED5" w:rsidRPr="00FB3674">
        <w:t xml:space="preserve"> </w:t>
      </w:r>
      <w:r w:rsidRPr="00FB3674">
        <w:t>not</w:t>
      </w:r>
      <w:r w:rsidR="001F7ED5" w:rsidRPr="00FB3674">
        <w:t xml:space="preserve"> </w:t>
      </w:r>
      <w:r w:rsidRPr="00FB3674">
        <w:t>act</w:t>
      </w:r>
      <w:r w:rsidR="001F7ED5" w:rsidRPr="00FB3674">
        <w:t xml:space="preserve"> </w:t>
      </w:r>
      <w:r w:rsidRPr="00FB3674">
        <w:t>in</w:t>
      </w:r>
      <w:r w:rsidR="001F7ED5" w:rsidRPr="00FB3674">
        <w:t xml:space="preserve"> </w:t>
      </w:r>
      <w:r w:rsidRPr="00FB3674">
        <w:t>a</w:t>
      </w:r>
      <w:r w:rsidR="001F7ED5" w:rsidRPr="00FB3674">
        <w:t xml:space="preserve"> </w:t>
      </w:r>
      <w:r w:rsidRPr="00FB3674">
        <w:t>passive</w:t>
      </w:r>
      <w:r w:rsidR="001F7ED5" w:rsidRPr="00FB3674">
        <w:t xml:space="preserve"> </w:t>
      </w:r>
      <w:r w:rsidRPr="00FB3674">
        <w:t>manner</w:t>
      </w:r>
      <w:r w:rsidR="001F7ED5" w:rsidRPr="00FB3674">
        <w:t xml:space="preserve"> </w:t>
      </w:r>
      <w:r w:rsidRPr="00FB3674">
        <w:t>but</w:t>
      </w:r>
      <w:r w:rsidR="001F7ED5" w:rsidRPr="00FB3674">
        <w:t xml:space="preserve"> </w:t>
      </w:r>
      <w:r w:rsidRPr="00FB3674">
        <w:t>rather</w:t>
      </w:r>
      <w:r w:rsidR="001F7ED5" w:rsidRPr="00FB3674">
        <w:t xml:space="preserve"> </w:t>
      </w:r>
      <w:r w:rsidRPr="00FB3674">
        <w:t>incited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author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commit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offence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took</w:t>
      </w:r>
      <w:r w:rsidR="001F7ED5" w:rsidRPr="00FB3674">
        <w:t xml:space="preserve"> </w:t>
      </w:r>
      <w:r w:rsidRPr="00FB3674">
        <w:t>place</w:t>
      </w:r>
      <w:r w:rsidR="001F7ED5" w:rsidRPr="00FB3674">
        <w:t xml:space="preserve"> </w:t>
      </w:r>
      <w:r w:rsidRPr="00FB3674">
        <w:t>on</w:t>
      </w:r>
      <w:r w:rsidR="001F7ED5" w:rsidRPr="00FB3674">
        <w:t xml:space="preserve"> </w:t>
      </w:r>
      <w:r w:rsidRPr="00FB3674">
        <w:t>3</w:t>
      </w:r>
      <w:r w:rsidR="001F7ED5" w:rsidRPr="00FB3674">
        <w:t xml:space="preserve"> </w:t>
      </w:r>
      <w:r w:rsidRPr="00FB3674">
        <w:t>November</w:t>
      </w:r>
      <w:r w:rsidR="001F7ED5" w:rsidRPr="00FB3674">
        <w:t xml:space="preserve"> </w:t>
      </w:r>
      <w:r w:rsidRPr="00FB3674">
        <w:t>2004,</w:t>
      </w:r>
      <w:r w:rsidR="001F7ED5" w:rsidRPr="00FB3674">
        <w:t xml:space="preserve"> </w:t>
      </w:r>
      <w:r w:rsidRPr="00FB3674">
        <w:t>when</w:t>
      </w:r>
      <w:r w:rsidR="001F7ED5" w:rsidRPr="00FB3674">
        <w:t xml:space="preserve"> </w:t>
      </w:r>
      <w:r w:rsidRPr="00FB3674">
        <w:t>I.</w:t>
      </w:r>
      <w:r w:rsidR="001F7ED5" w:rsidRPr="00FB3674">
        <w:t xml:space="preserve"> </w:t>
      </w:r>
      <w:r w:rsidRPr="00FB3674">
        <w:t>purchased</w:t>
      </w:r>
      <w:r w:rsidR="001F7ED5" w:rsidRPr="00FB3674">
        <w:t xml:space="preserve"> </w:t>
      </w:r>
      <w:r w:rsidRPr="00FB3674">
        <w:t>drugs</w:t>
      </w:r>
      <w:r w:rsidR="001F7ED5" w:rsidRPr="00FB3674">
        <w:t xml:space="preserve"> </w:t>
      </w:r>
      <w:r w:rsidRPr="00FB3674">
        <w:t>from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author.</w:t>
      </w:r>
    </w:p>
    <w:p w14:paraId="488B7705" w14:textId="50471C93" w:rsidR="001F7ED5" w:rsidRPr="00FB3674" w:rsidRDefault="005D5882" w:rsidP="005D5882">
      <w:pPr>
        <w:pStyle w:val="SingleTxtG"/>
      </w:pPr>
      <w:r w:rsidRPr="00FB3674">
        <w:t>2.2</w:t>
      </w:r>
      <w:r w:rsidRPr="00FB3674">
        <w:tab/>
        <w:t>On</w:t>
      </w:r>
      <w:r w:rsidR="001F7ED5" w:rsidRPr="00FB3674">
        <w:t xml:space="preserve"> </w:t>
      </w:r>
      <w:r w:rsidRPr="00FB3674">
        <w:t>21</w:t>
      </w:r>
      <w:r w:rsidR="001F7ED5" w:rsidRPr="00FB3674">
        <w:t xml:space="preserve"> </w:t>
      </w:r>
      <w:r w:rsidRPr="00FB3674">
        <w:t>October</w:t>
      </w:r>
      <w:r w:rsidR="001F7ED5" w:rsidRPr="00FB3674">
        <w:t xml:space="preserve"> </w:t>
      </w:r>
      <w:r w:rsidRPr="00FB3674">
        <w:t>2005,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Riga</w:t>
      </w:r>
      <w:r w:rsidR="001F7ED5" w:rsidRPr="00FB3674">
        <w:t xml:space="preserve"> </w:t>
      </w:r>
      <w:r w:rsidRPr="00FB3674">
        <w:t>Regional</w:t>
      </w:r>
      <w:r w:rsidR="001F7ED5" w:rsidRPr="00FB3674">
        <w:t xml:space="preserve"> </w:t>
      </w:r>
      <w:r w:rsidRPr="00FB3674">
        <w:t>Court</w:t>
      </w:r>
      <w:r w:rsidR="001F7ED5" w:rsidRPr="00FB3674">
        <w:t xml:space="preserve"> </w:t>
      </w:r>
      <w:r w:rsidRPr="00FB3674">
        <w:t>convicted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author</w:t>
      </w:r>
      <w:r w:rsidR="001F7ED5" w:rsidRPr="00FB3674">
        <w:t xml:space="preserve"> </w:t>
      </w:r>
      <w:r w:rsidRPr="00FB3674">
        <w:t>for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aggravated,</w:t>
      </w:r>
      <w:r w:rsidR="001F7ED5" w:rsidRPr="00FB3674">
        <w:t xml:space="preserve"> </w:t>
      </w:r>
      <w:r w:rsidRPr="00FB3674">
        <w:t>unauthorized</w:t>
      </w:r>
      <w:r w:rsidR="001F7ED5" w:rsidRPr="00FB3674">
        <w:t xml:space="preserve"> </w:t>
      </w:r>
      <w:r w:rsidRPr="00FB3674">
        <w:t>acquisition</w:t>
      </w:r>
      <w:r w:rsidR="001F7ED5" w:rsidRPr="00FB3674">
        <w:t xml:space="preserve"> </w:t>
      </w:r>
      <w:r w:rsidRPr="00FB3674">
        <w:t>and</w:t>
      </w:r>
      <w:r w:rsidR="001F7ED5" w:rsidRPr="00FB3674">
        <w:t xml:space="preserve"> </w:t>
      </w:r>
      <w:r w:rsidRPr="00FB3674">
        <w:t>possession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narcotic</w:t>
      </w:r>
      <w:r w:rsidR="001F7ED5" w:rsidRPr="00FB3674">
        <w:t xml:space="preserve"> </w:t>
      </w:r>
      <w:r w:rsidRPr="00FB3674">
        <w:t>substances</w:t>
      </w:r>
      <w:r w:rsidR="001F7ED5" w:rsidRPr="00FB3674">
        <w:t xml:space="preserve"> </w:t>
      </w:r>
      <w:r w:rsidRPr="00FB3674">
        <w:t>with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intent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sell</w:t>
      </w:r>
      <w:r w:rsidR="001F7ED5" w:rsidRPr="00FB3674">
        <w:t xml:space="preserve"> </w:t>
      </w:r>
      <w:r w:rsidRPr="00FB3674">
        <w:t>and</w:t>
      </w:r>
      <w:r w:rsidR="001F7ED5" w:rsidRPr="00FB3674">
        <w:t xml:space="preserve"> </w:t>
      </w:r>
      <w:r w:rsidRPr="00FB3674">
        <w:t>sentenced</w:t>
      </w:r>
      <w:r w:rsidR="001F7ED5" w:rsidRPr="00FB3674">
        <w:t xml:space="preserve"> </w:t>
      </w:r>
      <w:r w:rsidRPr="00FB3674">
        <w:t>him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10</w:t>
      </w:r>
      <w:r w:rsidR="001F7ED5" w:rsidRPr="00FB3674">
        <w:t xml:space="preserve"> </w:t>
      </w:r>
      <w:r w:rsidRPr="00FB3674">
        <w:t>years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imprisonment</w:t>
      </w:r>
      <w:r w:rsidR="001F7ED5" w:rsidRPr="00FB3674">
        <w:t xml:space="preserve"> </w:t>
      </w:r>
      <w:r w:rsidRPr="00FB3674">
        <w:t>and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confiscation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funds.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Chamber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Criminal</w:t>
      </w:r>
      <w:r w:rsidR="001F7ED5" w:rsidRPr="00FB3674">
        <w:t xml:space="preserve"> </w:t>
      </w:r>
      <w:r w:rsidRPr="00FB3674">
        <w:t>Cases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Supreme</w:t>
      </w:r>
      <w:r w:rsidR="001F7ED5" w:rsidRPr="00FB3674">
        <w:t xml:space="preserve"> </w:t>
      </w:r>
      <w:r w:rsidRPr="00FB3674">
        <w:t>Court</w:t>
      </w:r>
      <w:r w:rsidR="001F7ED5" w:rsidRPr="00FB3674">
        <w:t xml:space="preserve"> </w:t>
      </w:r>
      <w:r w:rsidRPr="00FB3674">
        <w:t>and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Senate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Supreme</w:t>
      </w:r>
      <w:r w:rsidR="001F7ED5" w:rsidRPr="00FB3674">
        <w:t xml:space="preserve"> </w:t>
      </w:r>
      <w:r w:rsidRPr="00FB3674">
        <w:t>Court</w:t>
      </w:r>
      <w:r w:rsidR="001F7ED5" w:rsidRPr="00FB3674">
        <w:t xml:space="preserve"> </w:t>
      </w:r>
      <w:r w:rsidRPr="00FB3674">
        <w:t>dismissed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author</w:t>
      </w:r>
      <w:r w:rsidR="00FB3674">
        <w:t>’</w:t>
      </w:r>
      <w:r w:rsidRPr="00FB3674">
        <w:t>s</w:t>
      </w:r>
      <w:r w:rsidR="001F7ED5" w:rsidRPr="00FB3674">
        <w:t xml:space="preserve"> </w:t>
      </w:r>
      <w:r w:rsidRPr="00FB3674">
        <w:t>appeal</w:t>
      </w:r>
      <w:r w:rsidR="001F7ED5" w:rsidRPr="00FB3674">
        <w:t xml:space="preserve"> </w:t>
      </w:r>
      <w:r w:rsidRPr="00FB3674">
        <w:t>and</w:t>
      </w:r>
      <w:r w:rsidR="001F7ED5" w:rsidRPr="00FB3674">
        <w:t xml:space="preserve"> </w:t>
      </w:r>
      <w:r w:rsidRPr="00FB3674">
        <w:t>cassation</w:t>
      </w:r>
      <w:r w:rsidR="001F7ED5" w:rsidRPr="00FB3674">
        <w:t xml:space="preserve"> </w:t>
      </w:r>
      <w:r w:rsidRPr="00FB3674">
        <w:t>complaint</w:t>
      </w:r>
      <w:r w:rsidR="001F7ED5" w:rsidRPr="00FB3674">
        <w:t xml:space="preserve"> </w:t>
      </w:r>
      <w:r w:rsidRPr="00FB3674">
        <w:t>on</w:t>
      </w:r>
      <w:r w:rsidR="001F7ED5" w:rsidRPr="00FB3674">
        <w:t xml:space="preserve"> </w:t>
      </w:r>
      <w:r w:rsidRPr="00FB3674">
        <w:t>15</w:t>
      </w:r>
      <w:r w:rsidR="001F7ED5" w:rsidRPr="00FB3674">
        <w:t xml:space="preserve"> </w:t>
      </w:r>
      <w:r w:rsidRPr="00FB3674">
        <w:t>September</w:t>
      </w:r>
      <w:r w:rsidR="001F7ED5" w:rsidRPr="00FB3674">
        <w:t xml:space="preserve"> </w:t>
      </w:r>
      <w:r w:rsidRPr="00FB3674">
        <w:t>2006</w:t>
      </w:r>
      <w:r w:rsidR="001F7ED5" w:rsidRPr="00FB3674">
        <w:t xml:space="preserve"> </w:t>
      </w:r>
      <w:r w:rsidRPr="00FB3674">
        <w:t>and</w:t>
      </w:r>
      <w:r w:rsidR="001F7ED5" w:rsidRPr="00FB3674">
        <w:t xml:space="preserve"> </w:t>
      </w:r>
      <w:r w:rsidRPr="00FB3674">
        <w:t>19</w:t>
      </w:r>
      <w:r w:rsidR="001F7ED5" w:rsidRPr="00FB3674">
        <w:t xml:space="preserve"> </w:t>
      </w:r>
      <w:r w:rsidRPr="00FB3674">
        <w:t>March</w:t>
      </w:r>
      <w:r w:rsidR="001F7ED5" w:rsidRPr="00FB3674">
        <w:t xml:space="preserve"> </w:t>
      </w:r>
      <w:r w:rsidRPr="00FB3674">
        <w:t>2007,</w:t>
      </w:r>
      <w:r w:rsidR="001F7ED5" w:rsidRPr="00FB3674">
        <w:t xml:space="preserve"> </w:t>
      </w:r>
      <w:r w:rsidRPr="00FB3674">
        <w:t>respectively.</w:t>
      </w:r>
    </w:p>
    <w:p w14:paraId="27FD1028" w14:textId="136AC14C" w:rsidR="001F7ED5" w:rsidRPr="00FB3674" w:rsidRDefault="005D5882" w:rsidP="005D5882">
      <w:pPr>
        <w:pStyle w:val="SingleTxtG"/>
      </w:pPr>
      <w:r w:rsidRPr="00FB3674">
        <w:t>2.3</w:t>
      </w:r>
      <w:r w:rsidRPr="00FB3674">
        <w:tab/>
        <w:t>On</w:t>
      </w:r>
      <w:r w:rsidR="001F7ED5" w:rsidRPr="00FB3674">
        <w:t xml:space="preserve"> </w:t>
      </w:r>
      <w:r w:rsidRPr="00FB3674">
        <w:t>12</w:t>
      </w:r>
      <w:r w:rsidR="001F7ED5" w:rsidRPr="00FB3674">
        <w:t xml:space="preserve"> </w:t>
      </w:r>
      <w:r w:rsidRPr="00FB3674">
        <w:t>June</w:t>
      </w:r>
      <w:r w:rsidR="001F7ED5" w:rsidRPr="00FB3674">
        <w:t xml:space="preserve"> </w:t>
      </w:r>
      <w:r w:rsidRPr="00FB3674">
        <w:t>2007,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author</w:t>
      </w:r>
      <w:r w:rsidR="001F7ED5" w:rsidRPr="00FB3674">
        <w:t xml:space="preserve"> </w:t>
      </w:r>
      <w:r w:rsidRPr="00FB3674">
        <w:t>submitted</w:t>
      </w:r>
      <w:r w:rsidR="001F7ED5" w:rsidRPr="00FB3674">
        <w:t xml:space="preserve"> </w:t>
      </w:r>
      <w:r w:rsidRPr="00FB3674">
        <w:t>an</w:t>
      </w:r>
      <w:r w:rsidR="001F7ED5" w:rsidRPr="00FB3674">
        <w:t xml:space="preserve"> </w:t>
      </w:r>
      <w:r w:rsidRPr="00FB3674">
        <w:t>application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European</w:t>
      </w:r>
      <w:r w:rsidR="001F7ED5" w:rsidRPr="00FB3674">
        <w:t xml:space="preserve"> </w:t>
      </w:r>
      <w:r w:rsidRPr="00FB3674">
        <w:t>Court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Human</w:t>
      </w:r>
      <w:r w:rsidR="001F7ED5" w:rsidRPr="00FB3674">
        <w:t xml:space="preserve"> </w:t>
      </w:r>
      <w:r w:rsidRPr="00FB3674">
        <w:t>Rights.</w:t>
      </w:r>
      <w:r w:rsidR="001F7ED5" w:rsidRPr="00FB3674">
        <w:t xml:space="preserve"> </w:t>
      </w:r>
      <w:r w:rsidRPr="00FB3674">
        <w:t>On</w:t>
      </w:r>
      <w:r w:rsidR="001F7ED5" w:rsidRPr="00FB3674">
        <w:t xml:space="preserve"> </w:t>
      </w:r>
      <w:r w:rsidRPr="00FB3674">
        <w:t>8</w:t>
      </w:r>
      <w:r w:rsidR="001F7ED5" w:rsidRPr="00FB3674">
        <w:t xml:space="preserve"> </w:t>
      </w:r>
      <w:r w:rsidRPr="00FB3674">
        <w:t>January</w:t>
      </w:r>
      <w:r w:rsidR="001F7ED5" w:rsidRPr="00FB3674">
        <w:t xml:space="preserve"> </w:t>
      </w:r>
      <w:r w:rsidRPr="00FB3674">
        <w:t>2013,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Court</w:t>
      </w:r>
      <w:r w:rsidR="001F7ED5" w:rsidRPr="00FB3674">
        <w:t xml:space="preserve"> </w:t>
      </w:r>
      <w:r w:rsidRPr="00FB3674">
        <w:t>stated,</w:t>
      </w:r>
      <w:r w:rsidR="001F7ED5" w:rsidRPr="00FB3674">
        <w:t xml:space="preserve"> </w:t>
      </w:r>
      <w:r w:rsidRPr="00FB3674">
        <w:t>inter</w:t>
      </w:r>
      <w:r w:rsidR="001F7ED5" w:rsidRPr="00FB3674">
        <w:t xml:space="preserve"> </w:t>
      </w:r>
      <w:r w:rsidRPr="00FB3674">
        <w:t>alia,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where</w:t>
      </w:r>
      <w:r w:rsidR="001F7ED5" w:rsidRPr="00FB3674">
        <w:t xml:space="preserve"> </w:t>
      </w:r>
      <w:r w:rsidRPr="00FB3674">
        <w:t>it</w:t>
      </w:r>
      <w:r w:rsidR="001F7ED5" w:rsidRPr="00FB3674">
        <w:t xml:space="preserve"> </w:t>
      </w:r>
      <w:r w:rsidRPr="00FB3674">
        <w:t>fell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prosecution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prove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there</w:t>
      </w:r>
      <w:r w:rsidR="001F7ED5" w:rsidRPr="00FB3674">
        <w:t xml:space="preserve"> </w:t>
      </w:r>
      <w:r w:rsidRPr="00FB3674">
        <w:t>was</w:t>
      </w:r>
      <w:r w:rsidR="001F7ED5" w:rsidRPr="00FB3674">
        <w:t xml:space="preserve"> </w:t>
      </w:r>
      <w:r w:rsidRPr="00FB3674">
        <w:t>no</w:t>
      </w:r>
      <w:r w:rsidR="001F7ED5" w:rsidRPr="00FB3674">
        <w:t xml:space="preserve"> </w:t>
      </w:r>
      <w:r w:rsidRPr="00FB3674">
        <w:t>incitement,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domestic</w:t>
      </w:r>
      <w:r w:rsidR="001F7ED5" w:rsidRPr="00FB3674">
        <w:t xml:space="preserve"> </w:t>
      </w:r>
      <w:r w:rsidRPr="00FB3674">
        <w:t>courts</w:t>
      </w:r>
      <w:r w:rsidR="00FB3674">
        <w:t>’</w:t>
      </w:r>
      <w:r w:rsidR="001F7ED5" w:rsidRPr="00FB3674">
        <w:t xml:space="preserve"> </w:t>
      </w:r>
      <w:r w:rsidRPr="00FB3674">
        <w:t>powers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guarantee</w:t>
      </w:r>
      <w:r w:rsidR="001F7ED5" w:rsidRPr="00FB3674">
        <w:t xml:space="preserve"> </w:t>
      </w:r>
      <w:r w:rsidRPr="00FB3674">
        <w:t>a</w:t>
      </w:r>
      <w:r w:rsidR="001F7ED5" w:rsidRPr="00FB3674">
        <w:t xml:space="preserve"> </w:t>
      </w:r>
      <w:r w:rsidRPr="00FB3674">
        <w:t>fair</w:t>
      </w:r>
      <w:r w:rsidR="001F7ED5" w:rsidRPr="00FB3674">
        <w:t xml:space="preserve"> </w:t>
      </w:r>
      <w:r w:rsidRPr="00FB3674">
        <w:t>trial</w:t>
      </w:r>
      <w:r w:rsidR="001F7ED5" w:rsidRPr="00FB3674">
        <w:t xml:space="preserve"> </w:t>
      </w:r>
      <w:r w:rsidRPr="00FB3674">
        <w:t>would</w:t>
      </w:r>
      <w:r w:rsidR="001F7ED5" w:rsidRPr="00FB3674">
        <w:t xml:space="preserve"> </w:t>
      </w:r>
      <w:r w:rsidRPr="00FB3674">
        <w:t>be</w:t>
      </w:r>
      <w:r w:rsidR="001F7ED5" w:rsidRPr="00FB3674">
        <w:t xml:space="preserve"> </w:t>
      </w:r>
      <w:r w:rsidRPr="00FB3674">
        <w:t>undermined</w:t>
      </w:r>
      <w:r w:rsidR="001F7ED5" w:rsidRPr="00FB3674">
        <w:t xml:space="preserve"> </w:t>
      </w:r>
      <w:r w:rsidRPr="00FB3674">
        <w:t>if,</w:t>
      </w:r>
      <w:r w:rsidR="001F7ED5" w:rsidRPr="00FB3674">
        <w:t xml:space="preserve"> </w:t>
      </w:r>
      <w:r w:rsidRPr="00FB3674">
        <w:t>in</w:t>
      </w:r>
      <w:r w:rsidR="001F7ED5" w:rsidRPr="00FB3674">
        <w:t xml:space="preserve"> </w:t>
      </w:r>
      <w:r w:rsidRPr="00FB3674">
        <w:t>assessing</w:t>
      </w:r>
      <w:r w:rsidR="001F7ED5" w:rsidRPr="00FB3674">
        <w:t xml:space="preserve"> </w:t>
      </w:r>
      <w:r w:rsidRPr="00FB3674">
        <w:t>an</w:t>
      </w:r>
      <w:r w:rsidR="001F7ED5" w:rsidRPr="00FB3674">
        <w:t xml:space="preserve"> </w:t>
      </w:r>
      <w:r w:rsidRPr="00FB3674">
        <w:t>incitement</w:t>
      </w:r>
      <w:r w:rsidR="001F7ED5" w:rsidRPr="00FB3674">
        <w:t xml:space="preserve"> </w:t>
      </w:r>
      <w:r w:rsidRPr="00FB3674">
        <w:t>plea,</w:t>
      </w:r>
      <w:r w:rsidR="001F7ED5" w:rsidRPr="00FB3674">
        <w:t xml:space="preserve"> </w:t>
      </w:r>
      <w:r w:rsidRPr="00FB3674">
        <w:t>they</w:t>
      </w:r>
      <w:r w:rsidR="001F7ED5" w:rsidRPr="00FB3674">
        <w:t xml:space="preserve"> </w:t>
      </w:r>
      <w:r w:rsidRPr="00FB3674">
        <w:t>reached</w:t>
      </w:r>
      <w:r w:rsidR="001F7ED5" w:rsidRPr="00FB3674">
        <w:t xml:space="preserve"> </w:t>
      </w:r>
      <w:r w:rsidRPr="00FB3674">
        <w:t>their</w:t>
      </w:r>
      <w:r w:rsidR="001F7ED5" w:rsidRPr="00FB3674">
        <w:t xml:space="preserve"> </w:t>
      </w:r>
      <w:r w:rsidRPr="00FB3674">
        <w:t>conclusions</w:t>
      </w:r>
      <w:r w:rsidR="001F7ED5" w:rsidRPr="00FB3674">
        <w:t xml:space="preserve"> </w:t>
      </w:r>
      <w:r w:rsidRPr="00FB3674">
        <w:t>by</w:t>
      </w:r>
      <w:r w:rsidR="001F7ED5" w:rsidRPr="00FB3674">
        <w:t xml:space="preserve"> </w:t>
      </w:r>
      <w:r w:rsidRPr="00FB3674">
        <w:t>relying</w:t>
      </w:r>
      <w:r w:rsidR="001F7ED5" w:rsidRPr="00FB3674">
        <w:t xml:space="preserve"> </w:t>
      </w:r>
      <w:r w:rsidRPr="00FB3674">
        <w:t>on</w:t>
      </w:r>
      <w:r w:rsidR="001F7ED5" w:rsidRPr="00FB3674">
        <w:t xml:space="preserve"> </w:t>
      </w:r>
      <w:r w:rsidRPr="00FB3674">
        <w:t>unverified</w:t>
      </w:r>
      <w:r w:rsidR="001F7ED5" w:rsidRPr="00FB3674">
        <w:t xml:space="preserve"> </w:t>
      </w:r>
      <w:r w:rsidRPr="00FB3674">
        <w:t>information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was</w:t>
      </w:r>
      <w:r w:rsidR="001F7ED5" w:rsidRPr="00FB3674">
        <w:t xml:space="preserve"> </w:t>
      </w:r>
      <w:r w:rsidRPr="00FB3674">
        <w:t>in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exclusive</w:t>
      </w:r>
      <w:r w:rsidR="001F7ED5" w:rsidRPr="00FB3674">
        <w:t xml:space="preserve"> </w:t>
      </w:r>
      <w:r w:rsidRPr="00FB3674">
        <w:t>possession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prosecution.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Court</w:t>
      </w:r>
      <w:r w:rsidR="001F7ED5" w:rsidRPr="00FB3674">
        <w:t xml:space="preserve"> </w:t>
      </w:r>
      <w:r w:rsidRPr="00FB3674">
        <w:t>found</w:t>
      </w:r>
      <w:r w:rsidR="001F7ED5" w:rsidRPr="00FB3674">
        <w:t xml:space="preserve"> </w:t>
      </w:r>
      <w:r w:rsidRPr="00FB3674">
        <w:t>a</w:t>
      </w:r>
      <w:r w:rsidR="001F7ED5" w:rsidRPr="00FB3674">
        <w:t xml:space="preserve"> </w:t>
      </w:r>
      <w:r w:rsidRPr="00FB3674">
        <w:t>violation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article</w:t>
      </w:r>
      <w:r w:rsidR="001F7ED5" w:rsidRPr="00FB3674">
        <w:t xml:space="preserve"> </w:t>
      </w:r>
      <w:r w:rsidRPr="00FB3674">
        <w:t>6</w:t>
      </w:r>
      <w:r w:rsidR="001F7ED5" w:rsidRPr="00FB3674">
        <w:t xml:space="preserve"> </w:t>
      </w:r>
      <w:r w:rsidRPr="00FB3674">
        <w:t>(1)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Convention</w:t>
      </w:r>
      <w:r w:rsidR="001F7ED5" w:rsidRPr="00FB3674">
        <w:t xml:space="preserve"> </w:t>
      </w:r>
      <w:r w:rsidRPr="00FB3674">
        <w:t>for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Protection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Human</w:t>
      </w:r>
      <w:r w:rsidR="001F7ED5" w:rsidRPr="00FB3674">
        <w:t xml:space="preserve"> </w:t>
      </w:r>
      <w:r w:rsidRPr="00FB3674">
        <w:t>Rights</w:t>
      </w:r>
      <w:r w:rsidR="001F7ED5" w:rsidRPr="00FB3674">
        <w:t xml:space="preserve"> </w:t>
      </w:r>
      <w:r w:rsidRPr="00FB3674">
        <w:t>and</w:t>
      </w:r>
      <w:r w:rsidR="001F7ED5" w:rsidRPr="00FB3674">
        <w:t xml:space="preserve"> </w:t>
      </w:r>
      <w:r w:rsidRPr="00FB3674">
        <w:t>Fundamental</w:t>
      </w:r>
      <w:r w:rsidR="001F7ED5" w:rsidRPr="00FB3674">
        <w:t xml:space="preserve"> </w:t>
      </w:r>
      <w:r w:rsidRPr="00FB3674">
        <w:t>Freedoms</w:t>
      </w:r>
      <w:r w:rsidR="001F7ED5" w:rsidRPr="00FB3674">
        <w:t xml:space="preserve"> </w:t>
      </w:r>
      <w:r w:rsidRPr="00FB3674">
        <w:t>(European</w:t>
      </w:r>
      <w:r w:rsidR="001F7ED5" w:rsidRPr="00FB3674">
        <w:t xml:space="preserve"> </w:t>
      </w:r>
      <w:r w:rsidRPr="00FB3674">
        <w:t>Convention</w:t>
      </w:r>
      <w:r w:rsidR="001F7ED5" w:rsidRPr="00FB3674">
        <w:t xml:space="preserve"> </w:t>
      </w:r>
      <w:r w:rsidRPr="00FB3674">
        <w:t>on</w:t>
      </w:r>
      <w:r w:rsidR="001F7ED5" w:rsidRPr="00FB3674">
        <w:t xml:space="preserve"> </w:t>
      </w:r>
      <w:r w:rsidRPr="00FB3674">
        <w:t>Human</w:t>
      </w:r>
      <w:r w:rsidR="001F7ED5" w:rsidRPr="00FB3674">
        <w:t xml:space="preserve"> </w:t>
      </w:r>
      <w:r w:rsidRPr="00FB3674">
        <w:t>Rights),</w:t>
      </w:r>
      <w:r w:rsidR="001F7ED5" w:rsidRPr="00FB3674">
        <w:t xml:space="preserve"> </w:t>
      </w:r>
      <w:r w:rsidRPr="00FB3674">
        <w:t>noting</w:t>
      </w:r>
      <w:r w:rsidR="001F7ED5" w:rsidRPr="00FB3674">
        <w:t xml:space="preserve"> </w:t>
      </w:r>
      <w:r w:rsidRPr="00FB3674">
        <w:t>that,</w:t>
      </w:r>
      <w:r w:rsidR="001F7ED5" w:rsidRPr="00FB3674">
        <w:t xml:space="preserve"> </w:t>
      </w:r>
      <w:r w:rsidRPr="00FB3674">
        <w:t>in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criminal</w:t>
      </w:r>
      <w:r w:rsidR="001F7ED5" w:rsidRPr="00FB3674">
        <w:t xml:space="preserve"> </w:t>
      </w:r>
      <w:r w:rsidRPr="00FB3674">
        <w:t>proceedings</w:t>
      </w:r>
      <w:r w:rsidR="001F7ED5" w:rsidRPr="00FB3674">
        <w:t xml:space="preserve"> </w:t>
      </w:r>
      <w:r w:rsidRPr="00FB3674">
        <w:t>against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author,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domestic</w:t>
      </w:r>
      <w:r w:rsidR="001F7ED5" w:rsidRPr="00FB3674">
        <w:t xml:space="preserve"> </w:t>
      </w:r>
      <w:r w:rsidRPr="00FB3674">
        <w:t>courts</w:t>
      </w:r>
      <w:r w:rsidR="001F7ED5" w:rsidRPr="00FB3674">
        <w:t xml:space="preserve"> </w:t>
      </w:r>
      <w:r w:rsidRPr="00FB3674">
        <w:t>had</w:t>
      </w:r>
      <w:r w:rsidR="001F7ED5" w:rsidRPr="00FB3674">
        <w:t xml:space="preserve"> </w:t>
      </w:r>
      <w:r w:rsidRPr="00FB3674">
        <w:t>not</w:t>
      </w:r>
      <w:r w:rsidR="001F7ED5" w:rsidRPr="00FB3674">
        <w:t xml:space="preserve"> </w:t>
      </w:r>
      <w:r w:rsidRPr="00FB3674">
        <w:t>properly</w:t>
      </w:r>
      <w:r w:rsidR="001F7ED5" w:rsidRPr="00FB3674">
        <w:t xml:space="preserve"> </w:t>
      </w:r>
      <w:r w:rsidRPr="00FB3674">
        <w:t>addressed</w:t>
      </w:r>
      <w:r w:rsidR="001F7ED5" w:rsidRPr="00FB3674">
        <w:t xml:space="preserve"> </w:t>
      </w:r>
      <w:r w:rsidRPr="00FB3674">
        <w:t>his</w:t>
      </w:r>
      <w:r w:rsidR="001F7ED5" w:rsidRPr="00FB3674">
        <w:t xml:space="preserve"> </w:t>
      </w:r>
      <w:r w:rsidRPr="00FB3674">
        <w:t>allegation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incitement</w:t>
      </w:r>
      <w:r w:rsidR="001F7ED5" w:rsidRPr="00FB3674">
        <w:t xml:space="preserve"> </w:t>
      </w:r>
      <w:r w:rsidRPr="00FB3674">
        <w:t>and</w:t>
      </w:r>
      <w:r w:rsidR="001F7ED5" w:rsidRPr="00FB3674">
        <w:t xml:space="preserve"> </w:t>
      </w:r>
      <w:r w:rsidRPr="00FB3674">
        <w:t>had</w:t>
      </w:r>
      <w:r w:rsidR="001F7ED5" w:rsidRPr="00FB3674">
        <w:t xml:space="preserve"> </w:t>
      </w:r>
      <w:r w:rsidRPr="00FB3674">
        <w:t>failed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examine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relevant</w:t>
      </w:r>
      <w:r w:rsidR="001F7ED5" w:rsidRPr="00FB3674">
        <w:t xml:space="preserve"> </w:t>
      </w:r>
      <w:r w:rsidRPr="00FB3674">
        <w:t>decisions</w:t>
      </w:r>
      <w:r w:rsidR="001F7ED5" w:rsidRPr="00FB3674">
        <w:t xml:space="preserve"> </w:t>
      </w:r>
      <w:r w:rsidRPr="00FB3674">
        <w:t>authorizing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special</w:t>
      </w:r>
      <w:r w:rsidR="001F7ED5" w:rsidRPr="00FB3674">
        <w:t xml:space="preserve"> </w:t>
      </w:r>
      <w:r w:rsidRPr="00FB3674">
        <w:t>investigative</w:t>
      </w:r>
      <w:r w:rsidR="001F7ED5" w:rsidRPr="00FB3674">
        <w:t xml:space="preserve"> </w:t>
      </w:r>
      <w:r w:rsidRPr="00FB3674">
        <w:t>measures.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Court</w:t>
      </w:r>
      <w:r w:rsidR="001F7ED5" w:rsidRPr="00FB3674">
        <w:t xml:space="preserve"> </w:t>
      </w:r>
      <w:r w:rsidRPr="00FB3674">
        <w:t>considered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most</w:t>
      </w:r>
      <w:r w:rsidR="001F7ED5" w:rsidRPr="00FB3674">
        <w:t xml:space="preserve"> </w:t>
      </w:r>
      <w:r w:rsidRPr="00FB3674">
        <w:t>appropriate</w:t>
      </w:r>
      <w:r w:rsidR="001F7ED5" w:rsidRPr="00FB3674">
        <w:t xml:space="preserve"> </w:t>
      </w:r>
      <w:r w:rsidRPr="00FB3674">
        <w:t>form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redress</w:t>
      </w:r>
      <w:r w:rsidR="001F7ED5" w:rsidRPr="00FB3674">
        <w:t xml:space="preserve"> </w:t>
      </w:r>
      <w:r w:rsidRPr="00FB3674">
        <w:t>would</w:t>
      </w:r>
      <w:r w:rsidR="001F7ED5" w:rsidRPr="00FB3674">
        <w:t xml:space="preserve"> </w:t>
      </w:r>
      <w:r w:rsidRPr="00FB3674">
        <w:t>be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retrial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author</w:t>
      </w:r>
      <w:r w:rsidR="00FB3674">
        <w:t>’</w:t>
      </w:r>
      <w:r w:rsidRPr="00FB3674">
        <w:t>s</w:t>
      </w:r>
      <w:r w:rsidR="001F7ED5" w:rsidRPr="00FB3674">
        <w:t xml:space="preserve"> </w:t>
      </w:r>
      <w:r w:rsidRPr="00FB3674">
        <w:t>case.</w:t>
      </w:r>
      <w:r w:rsidR="001F7ED5" w:rsidRPr="00FB3674">
        <w:t xml:space="preserve"> </w:t>
      </w:r>
      <w:r w:rsidRPr="00FB3674">
        <w:t>It</w:t>
      </w:r>
      <w:r w:rsidR="001F7ED5" w:rsidRPr="00FB3674">
        <w:t xml:space="preserve"> </w:t>
      </w:r>
      <w:r w:rsidRPr="00FB3674">
        <w:t>also</w:t>
      </w:r>
      <w:r w:rsidR="001F7ED5" w:rsidRPr="00FB3674">
        <w:t xml:space="preserve"> </w:t>
      </w:r>
      <w:r w:rsidRPr="00FB3674">
        <w:t>awarded</w:t>
      </w:r>
      <w:r w:rsidR="001F7ED5" w:rsidRPr="00FB3674">
        <w:t xml:space="preserve"> </w:t>
      </w:r>
      <w:r w:rsidRPr="00FB3674">
        <w:t>€5,000</w:t>
      </w:r>
      <w:r w:rsidR="001F7ED5" w:rsidRPr="00FB3674">
        <w:t xml:space="preserve"> </w:t>
      </w:r>
      <w:r w:rsidRPr="00FB3674">
        <w:t>in</w:t>
      </w:r>
      <w:r w:rsidR="001F7ED5" w:rsidRPr="00FB3674">
        <w:t xml:space="preserve"> </w:t>
      </w:r>
      <w:r w:rsidRPr="00FB3674">
        <w:t>compensation</w:t>
      </w:r>
      <w:r w:rsidR="001F7ED5" w:rsidRPr="00FB3674">
        <w:t xml:space="preserve"> </w:t>
      </w:r>
      <w:r w:rsidRPr="00FB3674">
        <w:t>for</w:t>
      </w:r>
      <w:r w:rsidR="001F7ED5" w:rsidRPr="00FB3674">
        <w:t xml:space="preserve"> </w:t>
      </w:r>
      <w:r w:rsidRPr="00FB3674">
        <w:t>non-pecuniary</w:t>
      </w:r>
      <w:r w:rsidR="001F7ED5" w:rsidRPr="00FB3674">
        <w:t xml:space="preserve"> </w:t>
      </w:r>
      <w:r w:rsidRPr="00FB3674">
        <w:t>damages.</w:t>
      </w:r>
    </w:p>
    <w:p w14:paraId="34D24161" w14:textId="2961CCDD" w:rsidR="005D5882" w:rsidRPr="00FB3674" w:rsidRDefault="005D5882" w:rsidP="005D5882">
      <w:pPr>
        <w:pStyle w:val="SingleTxtG"/>
      </w:pPr>
      <w:r w:rsidRPr="00FB3674">
        <w:t>2.4</w:t>
      </w:r>
      <w:r w:rsidRPr="00FB3674">
        <w:tab/>
        <w:t>On</w:t>
      </w:r>
      <w:r w:rsidR="001F7ED5" w:rsidRPr="00FB3674">
        <w:t xml:space="preserve"> </w:t>
      </w:r>
      <w:r w:rsidRPr="00FB3674">
        <w:t>20</w:t>
      </w:r>
      <w:r w:rsidR="001F7ED5" w:rsidRPr="00FB3674">
        <w:t xml:space="preserve"> </w:t>
      </w:r>
      <w:r w:rsidRPr="00FB3674">
        <w:t>June</w:t>
      </w:r>
      <w:r w:rsidR="001F7ED5" w:rsidRPr="00FB3674">
        <w:t xml:space="preserve"> </w:t>
      </w:r>
      <w:r w:rsidRPr="00FB3674">
        <w:t>2013,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Head</w:t>
      </w:r>
      <w:r w:rsidR="001F7ED5" w:rsidRPr="00FB3674">
        <w:t xml:space="preserve"> </w:t>
      </w:r>
      <w:r w:rsidRPr="00FB3674">
        <w:t>Prosecutor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Specialized</w:t>
      </w:r>
      <w:r w:rsidR="001F7ED5" w:rsidRPr="00FB3674">
        <w:t xml:space="preserve"> </w:t>
      </w:r>
      <w:r w:rsidRPr="00FB3674">
        <w:t>Prosecution</w:t>
      </w:r>
      <w:r w:rsidR="001F7ED5" w:rsidRPr="00FB3674">
        <w:t xml:space="preserve"> </w:t>
      </w:r>
      <w:r w:rsidRPr="00FB3674">
        <w:t>Office</w:t>
      </w:r>
      <w:r w:rsidR="001F7ED5" w:rsidRPr="00FB3674">
        <w:t xml:space="preserve"> </w:t>
      </w:r>
      <w:r w:rsidRPr="00FB3674">
        <w:t>for</w:t>
      </w:r>
      <w:r w:rsidR="001F7ED5" w:rsidRPr="00FB3674">
        <w:t xml:space="preserve"> </w:t>
      </w:r>
      <w:r w:rsidRPr="00FB3674">
        <w:t>Organized</w:t>
      </w:r>
      <w:r w:rsidR="001F7ED5" w:rsidRPr="00FB3674">
        <w:t xml:space="preserve"> </w:t>
      </w:r>
      <w:r w:rsidRPr="00FB3674">
        <w:t>Crime</w:t>
      </w:r>
      <w:r w:rsidR="001F7ED5" w:rsidRPr="00FB3674">
        <w:t xml:space="preserve"> </w:t>
      </w:r>
      <w:r w:rsidRPr="00FB3674">
        <w:t>and</w:t>
      </w:r>
      <w:r w:rsidR="001F7ED5" w:rsidRPr="00FB3674">
        <w:t xml:space="preserve"> </w:t>
      </w:r>
      <w:r w:rsidRPr="00FB3674">
        <w:t>Other</w:t>
      </w:r>
      <w:r w:rsidR="001F7ED5" w:rsidRPr="00FB3674">
        <w:t xml:space="preserve"> </w:t>
      </w:r>
      <w:r w:rsidRPr="00FB3674">
        <w:t>Branches</w:t>
      </w:r>
      <w:r w:rsidR="001F7ED5" w:rsidRPr="00FB3674">
        <w:t xml:space="preserve"> </w:t>
      </w:r>
      <w:r w:rsidRPr="00FB3674">
        <w:t>reopened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criminal</w:t>
      </w:r>
      <w:r w:rsidR="001F7ED5" w:rsidRPr="00FB3674">
        <w:t xml:space="preserve"> </w:t>
      </w:r>
      <w:r w:rsidRPr="00FB3674">
        <w:t>proceedings</w:t>
      </w:r>
      <w:r w:rsidR="001F7ED5" w:rsidRPr="00FB3674">
        <w:t xml:space="preserve"> </w:t>
      </w:r>
      <w:r w:rsidRPr="00FB3674">
        <w:t>on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basis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newly</w:t>
      </w:r>
      <w:r w:rsidR="001F7ED5" w:rsidRPr="00FB3674">
        <w:t xml:space="preserve"> </w:t>
      </w:r>
      <w:r w:rsidRPr="00FB3674">
        <w:t>discovered</w:t>
      </w:r>
      <w:r w:rsidR="001F7ED5" w:rsidRPr="00FB3674">
        <w:t xml:space="preserve"> </w:t>
      </w:r>
      <w:r w:rsidRPr="00FB3674">
        <w:t>facts.</w:t>
      </w:r>
    </w:p>
    <w:p w14:paraId="62B10DCB" w14:textId="17CD7C08" w:rsidR="001F7ED5" w:rsidRPr="00FB3674" w:rsidRDefault="005D5882" w:rsidP="005D5882">
      <w:pPr>
        <w:pStyle w:val="SingleTxtG"/>
      </w:pPr>
      <w:r w:rsidRPr="00FB3674">
        <w:t>2.5</w:t>
      </w:r>
      <w:r w:rsidRPr="00FB3674">
        <w:tab/>
        <w:t>On</w:t>
      </w:r>
      <w:r w:rsidR="001F7ED5" w:rsidRPr="00FB3674">
        <w:t xml:space="preserve"> </w:t>
      </w:r>
      <w:r w:rsidRPr="00FB3674">
        <w:t>1</w:t>
      </w:r>
      <w:r w:rsidR="001F7ED5" w:rsidRPr="00FB3674">
        <w:t xml:space="preserve"> </w:t>
      </w:r>
      <w:r w:rsidRPr="00FB3674">
        <w:t>October</w:t>
      </w:r>
      <w:r w:rsidR="001F7ED5" w:rsidRPr="00FB3674">
        <w:t xml:space="preserve"> </w:t>
      </w:r>
      <w:r w:rsidRPr="00FB3674">
        <w:t>2013,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Senate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Supreme</w:t>
      </w:r>
      <w:r w:rsidR="001F7ED5" w:rsidRPr="00FB3674">
        <w:t xml:space="preserve"> </w:t>
      </w:r>
      <w:r w:rsidRPr="00FB3674">
        <w:t>Court</w:t>
      </w:r>
      <w:r w:rsidR="001F7ED5" w:rsidRPr="00FB3674">
        <w:t xml:space="preserve"> </w:t>
      </w:r>
      <w:r w:rsidRPr="00FB3674">
        <w:t>overturned</w:t>
      </w:r>
      <w:r w:rsidR="001F7ED5" w:rsidRPr="00FB3674">
        <w:t xml:space="preserve"> </w:t>
      </w:r>
      <w:r w:rsidRPr="00FB3674">
        <w:t>its</w:t>
      </w:r>
      <w:r w:rsidR="001F7ED5" w:rsidRPr="00FB3674">
        <w:t xml:space="preserve"> </w:t>
      </w:r>
      <w:r w:rsidRPr="00FB3674">
        <w:t>decision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19</w:t>
      </w:r>
      <w:r w:rsidR="001F7ED5" w:rsidRPr="00FB3674">
        <w:t xml:space="preserve"> </w:t>
      </w:r>
      <w:r w:rsidRPr="00FB3674">
        <w:t>March</w:t>
      </w:r>
      <w:r w:rsidR="001F7ED5" w:rsidRPr="00FB3674">
        <w:t xml:space="preserve"> </w:t>
      </w:r>
      <w:r w:rsidRPr="00FB3674">
        <w:t>2007</w:t>
      </w:r>
      <w:r w:rsidR="001F7ED5" w:rsidRPr="00FB3674">
        <w:t xml:space="preserve"> </w:t>
      </w:r>
      <w:r w:rsidRPr="00FB3674">
        <w:t>and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decision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Chamber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Criminal</w:t>
      </w:r>
      <w:r w:rsidR="001F7ED5" w:rsidRPr="00FB3674">
        <w:t xml:space="preserve"> </w:t>
      </w:r>
      <w:r w:rsidRPr="00FB3674">
        <w:t>Cases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15</w:t>
      </w:r>
      <w:r w:rsidR="001F7ED5" w:rsidRPr="00FB3674">
        <w:t xml:space="preserve"> </w:t>
      </w:r>
      <w:r w:rsidRPr="00FB3674">
        <w:t>September</w:t>
      </w:r>
      <w:r w:rsidR="001F7ED5" w:rsidRPr="00FB3674">
        <w:t xml:space="preserve"> </w:t>
      </w:r>
      <w:r w:rsidRPr="00FB3674">
        <w:t>2006</w:t>
      </w:r>
      <w:r w:rsidR="001F7ED5" w:rsidRPr="00FB3674">
        <w:t xml:space="preserve"> </w:t>
      </w:r>
      <w:r w:rsidRPr="00FB3674">
        <w:t>and</w:t>
      </w:r>
      <w:r w:rsidR="001F7ED5" w:rsidRPr="00FB3674">
        <w:t xml:space="preserve"> </w:t>
      </w:r>
      <w:r w:rsidRPr="00FB3674">
        <w:t>reopened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criminal</w:t>
      </w:r>
      <w:r w:rsidR="001F7ED5" w:rsidRPr="00FB3674">
        <w:t xml:space="preserve"> </w:t>
      </w:r>
      <w:r w:rsidRPr="00FB3674">
        <w:t>proceedings.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case</w:t>
      </w:r>
      <w:r w:rsidR="001F7ED5" w:rsidRPr="00FB3674">
        <w:t xml:space="preserve"> </w:t>
      </w:r>
      <w:r w:rsidRPr="00FB3674">
        <w:t>was</w:t>
      </w:r>
      <w:r w:rsidR="001F7ED5" w:rsidRPr="00FB3674">
        <w:t xml:space="preserve"> </w:t>
      </w:r>
      <w:r w:rsidRPr="00FB3674">
        <w:t>transferred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Chamber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Criminal</w:t>
      </w:r>
      <w:r w:rsidR="001F7ED5" w:rsidRPr="00FB3674">
        <w:t xml:space="preserve"> </w:t>
      </w:r>
      <w:r w:rsidRPr="00FB3674">
        <w:t>Cases</w:t>
      </w:r>
      <w:r w:rsidR="001F7ED5" w:rsidRPr="00FB3674">
        <w:t xml:space="preserve"> </w:t>
      </w:r>
      <w:r w:rsidRPr="00FB3674">
        <w:t>for</w:t>
      </w:r>
      <w:r w:rsidR="001F7ED5" w:rsidRPr="00FB3674">
        <w:t xml:space="preserve"> </w:t>
      </w:r>
      <w:r w:rsidRPr="00FB3674">
        <w:rPr>
          <w:iCs/>
        </w:rPr>
        <w:t>de</w:t>
      </w:r>
      <w:r w:rsidR="001F7ED5" w:rsidRPr="00FB3674">
        <w:rPr>
          <w:iCs/>
        </w:rPr>
        <w:t xml:space="preserve"> </w:t>
      </w:r>
      <w:r w:rsidRPr="00FB3674">
        <w:rPr>
          <w:iCs/>
        </w:rPr>
        <w:t>novo</w:t>
      </w:r>
      <w:r w:rsidR="001F7ED5" w:rsidRPr="00FB3674">
        <w:t xml:space="preserve"> </w:t>
      </w:r>
      <w:r w:rsidRPr="00FB3674">
        <w:t>adjudication</w:t>
      </w:r>
      <w:r w:rsidR="001F7ED5" w:rsidRPr="00FB3674">
        <w:t xml:space="preserve"> </w:t>
      </w:r>
      <w:r w:rsidRPr="00FB3674">
        <w:t>in</w:t>
      </w:r>
      <w:r w:rsidR="001F7ED5" w:rsidRPr="00FB3674">
        <w:t xml:space="preserve"> </w:t>
      </w:r>
      <w:r w:rsidRPr="00FB3674">
        <w:t>order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examine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finding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European</w:t>
      </w:r>
      <w:r w:rsidR="001F7ED5" w:rsidRPr="00FB3674">
        <w:t xml:space="preserve"> </w:t>
      </w:r>
      <w:r w:rsidRPr="00FB3674">
        <w:t>Court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Human</w:t>
      </w:r>
      <w:r w:rsidR="001F7ED5" w:rsidRPr="00FB3674">
        <w:t xml:space="preserve"> </w:t>
      </w:r>
      <w:r w:rsidRPr="00FB3674">
        <w:t>Rights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author</w:t>
      </w:r>
      <w:r w:rsidR="00FB3674">
        <w:t>’</w:t>
      </w:r>
      <w:r w:rsidRPr="00FB3674">
        <w:t>s</w:t>
      </w:r>
      <w:r w:rsidR="001F7ED5" w:rsidRPr="00FB3674">
        <w:t xml:space="preserve"> </w:t>
      </w:r>
      <w:r w:rsidRPr="00FB3674">
        <w:t>human</w:t>
      </w:r>
      <w:r w:rsidR="001F7ED5" w:rsidRPr="00FB3674">
        <w:t xml:space="preserve"> </w:t>
      </w:r>
      <w:r w:rsidRPr="00FB3674">
        <w:t>rights</w:t>
      </w:r>
      <w:r w:rsidR="001F7ED5" w:rsidRPr="00FB3674">
        <w:t xml:space="preserve"> </w:t>
      </w:r>
      <w:r w:rsidRPr="00FB3674">
        <w:t>had</w:t>
      </w:r>
      <w:r w:rsidR="001F7ED5" w:rsidRPr="00FB3674">
        <w:t xml:space="preserve"> </w:t>
      </w:r>
      <w:r w:rsidRPr="00FB3674">
        <w:t>been</w:t>
      </w:r>
      <w:r w:rsidR="001F7ED5" w:rsidRPr="00FB3674">
        <w:t xml:space="preserve"> </w:t>
      </w:r>
      <w:r w:rsidRPr="00FB3674">
        <w:t>violated.</w:t>
      </w:r>
    </w:p>
    <w:p w14:paraId="4DBE0644" w14:textId="59EECB08" w:rsidR="001F7ED5" w:rsidRPr="00FB3674" w:rsidRDefault="005D5882" w:rsidP="005D5882">
      <w:pPr>
        <w:pStyle w:val="SingleTxtG"/>
      </w:pPr>
      <w:r w:rsidRPr="00FB3674">
        <w:t>2.6</w:t>
      </w:r>
      <w:r w:rsidRPr="00FB3674">
        <w:tab/>
        <w:t>On</w:t>
      </w:r>
      <w:r w:rsidR="001F7ED5" w:rsidRPr="00FB3674">
        <w:t xml:space="preserve"> </w:t>
      </w:r>
      <w:r w:rsidRPr="00FB3674">
        <w:t>26</w:t>
      </w:r>
      <w:r w:rsidR="001F7ED5" w:rsidRPr="00FB3674">
        <w:t xml:space="preserve"> </w:t>
      </w:r>
      <w:r w:rsidRPr="00FB3674">
        <w:t>September</w:t>
      </w:r>
      <w:r w:rsidR="001F7ED5" w:rsidRPr="00FB3674">
        <w:t xml:space="preserve"> </w:t>
      </w:r>
      <w:r w:rsidRPr="00FB3674">
        <w:t>2014,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Chamber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Criminal</w:t>
      </w:r>
      <w:r w:rsidR="001F7ED5" w:rsidRPr="00FB3674">
        <w:t xml:space="preserve"> </w:t>
      </w:r>
      <w:r w:rsidRPr="00FB3674">
        <w:t>Cases</w:t>
      </w:r>
      <w:r w:rsidR="001F7ED5" w:rsidRPr="00FB3674">
        <w:t xml:space="preserve"> </w:t>
      </w:r>
      <w:r w:rsidRPr="00FB3674">
        <w:t>adjudicated</w:t>
      </w:r>
      <w:r w:rsidR="001F7ED5" w:rsidRPr="00FB3674">
        <w:t xml:space="preserve"> </w:t>
      </w:r>
      <w:r w:rsidRPr="00FB3674">
        <w:t>de</w:t>
      </w:r>
      <w:r w:rsidR="001F7ED5" w:rsidRPr="00FB3674">
        <w:t xml:space="preserve"> </w:t>
      </w:r>
      <w:r w:rsidRPr="00FB3674">
        <w:t>novo</w:t>
      </w:r>
      <w:r w:rsidR="001F7ED5" w:rsidRPr="00FB3674">
        <w:rPr>
          <w:i/>
          <w:iCs/>
        </w:rPr>
        <w:t xml:space="preserve"> </w:t>
      </w:r>
      <w:r w:rsidRPr="00FB3674">
        <w:t>the</w:t>
      </w:r>
      <w:r w:rsidR="001F7ED5" w:rsidRPr="00FB3674">
        <w:t xml:space="preserve"> </w:t>
      </w:r>
      <w:r w:rsidRPr="00FB3674">
        <w:t>merits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criminal</w:t>
      </w:r>
      <w:r w:rsidR="001F7ED5" w:rsidRPr="00FB3674">
        <w:t xml:space="preserve"> </w:t>
      </w:r>
      <w:r w:rsidRPr="00FB3674">
        <w:t>proceedings,</w:t>
      </w:r>
      <w:r w:rsidR="001F7ED5" w:rsidRPr="00FB3674">
        <w:t xml:space="preserve"> </w:t>
      </w:r>
      <w:r w:rsidRPr="00FB3674">
        <w:t>addressed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author</w:t>
      </w:r>
      <w:r w:rsidR="00FB3674">
        <w:t>’</w:t>
      </w:r>
      <w:r w:rsidRPr="00FB3674">
        <w:t>s</w:t>
      </w:r>
      <w:r w:rsidR="001F7ED5" w:rsidRPr="00FB3674">
        <w:t xml:space="preserve"> </w:t>
      </w:r>
      <w:r w:rsidRPr="00FB3674">
        <w:t>allegation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he</w:t>
      </w:r>
      <w:r w:rsidR="001F7ED5" w:rsidRPr="00FB3674">
        <w:t xml:space="preserve"> </w:t>
      </w:r>
      <w:r w:rsidRPr="00FB3674">
        <w:t>was</w:t>
      </w:r>
      <w:r w:rsidR="001F7ED5" w:rsidRPr="00FB3674">
        <w:t xml:space="preserve"> </w:t>
      </w:r>
      <w:r w:rsidRPr="00FB3674">
        <w:t>incited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commit</w:t>
      </w:r>
      <w:r w:rsidR="001F7ED5" w:rsidRPr="00FB3674">
        <w:t xml:space="preserve"> </w:t>
      </w:r>
      <w:r w:rsidRPr="00FB3674">
        <w:t>a</w:t>
      </w:r>
      <w:r w:rsidR="001F7ED5" w:rsidRPr="00FB3674">
        <w:t xml:space="preserve"> </w:t>
      </w:r>
      <w:r w:rsidRPr="00FB3674">
        <w:t>crime</w:t>
      </w:r>
      <w:r w:rsidR="001F7ED5" w:rsidRPr="00FB3674">
        <w:t xml:space="preserve"> </w:t>
      </w:r>
      <w:r w:rsidRPr="00FB3674">
        <w:t>and</w:t>
      </w:r>
      <w:r w:rsidR="001F7ED5" w:rsidRPr="00FB3674">
        <w:t xml:space="preserve"> </w:t>
      </w:r>
      <w:r w:rsidRPr="00FB3674">
        <w:t>examined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classified</w:t>
      </w:r>
      <w:r w:rsidR="001F7ED5" w:rsidRPr="00FB3674">
        <w:t xml:space="preserve"> </w:t>
      </w:r>
      <w:r w:rsidRPr="00FB3674">
        <w:t>information.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Chamber</w:t>
      </w:r>
      <w:r w:rsidR="001F7ED5" w:rsidRPr="00FB3674">
        <w:t xml:space="preserve"> </w:t>
      </w:r>
      <w:r w:rsidRPr="00FB3674">
        <w:t>dismissed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author</w:t>
      </w:r>
      <w:r w:rsidR="00FB3674">
        <w:t>’</w:t>
      </w:r>
      <w:r w:rsidRPr="00FB3674">
        <w:t>s</w:t>
      </w:r>
      <w:r w:rsidR="001F7ED5" w:rsidRPr="00FB3674">
        <w:t xml:space="preserve"> </w:t>
      </w:r>
      <w:r w:rsidRPr="00FB3674">
        <w:t>allegations</w:t>
      </w:r>
      <w:r w:rsidR="001F7ED5" w:rsidRPr="00FB3674">
        <w:t xml:space="preserve"> </w:t>
      </w:r>
      <w:r w:rsidRPr="00FB3674">
        <w:t>concerning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lawfulness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special</w:t>
      </w:r>
      <w:r w:rsidR="001F7ED5" w:rsidRPr="00FB3674">
        <w:t xml:space="preserve"> </w:t>
      </w:r>
      <w:r w:rsidRPr="00FB3674">
        <w:t>investigative</w:t>
      </w:r>
      <w:r w:rsidR="001F7ED5" w:rsidRPr="00FB3674">
        <w:t xml:space="preserve"> </w:t>
      </w:r>
      <w:r w:rsidRPr="00FB3674">
        <w:t>measures</w:t>
      </w:r>
      <w:r w:rsidR="001F7ED5" w:rsidRPr="00FB3674">
        <w:t xml:space="preserve"> </w:t>
      </w:r>
      <w:r w:rsidRPr="00FB3674">
        <w:t>against</w:t>
      </w:r>
      <w:r w:rsidR="001F7ED5" w:rsidRPr="00FB3674">
        <w:t xml:space="preserve"> </w:t>
      </w:r>
      <w:r w:rsidRPr="00FB3674">
        <w:t>him</w:t>
      </w:r>
      <w:r w:rsidR="001F7ED5" w:rsidRPr="00FB3674">
        <w:t xml:space="preserve"> </w:t>
      </w:r>
      <w:r w:rsidRPr="00FB3674">
        <w:t>and</w:t>
      </w:r>
      <w:r w:rsidR="001F7ED5" w:rsidRPr="00FB3674">
        <w:t xml:space="preserve"> </w:t>
      </w:r>
      <w:r w:rsidRPr="00FB3674">
        <w:t>established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actions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law</w:t>
      </w:r>
      <w:r w:rsidR="001F7ED5" w:rsidRPr="00FB3674">
        <w:t xml:space="preserve"> </w:t>
      </w:r>
      <w:r w:rsidRPr="00FB3674">
        <w:t>enforcement</w:t>
      </w:r>
      <w:r w:rsidR="001F7ED5" w:rsidRPr="00FB3674">
        <w:t xml:space="preserve"> </w:t>
      </w:r>
      <w:r w:rsidRPr="00FB3674">
        <w:t>authorities</w:t>
      </w:r>
      <w:r w:rsidR="001F7ED5" w:rsidRPr="00FB3674">
        <w:t xml:space="preserve"> </w:t>
      </w:r>
      <w:r w:rsidRPr="00FB3674">
        <w:t>did</w:t>
      </w:r>
      <w:r w:rsidR="001F7ED5" w:rsidRPr="00FB3674">
        <w:t xml:space="preserve"> </w:t>
      </w:r>
      <w:r w:rsidRPr="00FB3674">
        <w:t>not</w:t>
      </w:r>
      <w:r w:rsidR="001F7ED5" w:rsidRPr="00FB3674">
        <w:t xml:space="preserve"> </w:t>
      </w:r>
      <w:r w:rsidRPr="00FB3674">
        <w:t>amount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incitement</w:t>
      </w:r>
      <w:r w:rsidR="001F7ED5" w:rsidRPr="00FB3674">
        <w:t xml:space="preserve"> </w:t>
      </w:r>
      <w:r w:rsidRPr="00FB3674">
        <w:t>by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police.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author</w:t>
      </w:r>
      <w:r w:rsidR="001F7ED5" w:rsidRPr="00FB3674">
        <w:t xml:space="preserve"> </w:t>
      </w:r>
      <w:r w:rsidRPr="00FB3674">
        <w:t>submits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Chamber,</w:t>
      </w:r>
      <w:r w:rsidR="001F7ED5" w:rsidRPr="00FB3674">
        <w:t xml:space="preserve"> </w:t>
      </w:r>
      <w:r w:rsidRPr="00FB3674">
        <w:t>acting</w:t>
      </w:r>
      <w:r w:rsidR="001F7ED5" w:rsidRPr="00FB3674">
        <w:t xml:space="preserve"> </w:t>
      </w:r>
      <w:r w:rsidRPr="00FB3674">
        <w:t>as</w:t>
      </w:r>
      <w:r w:rsidR="001F7ED5" w:rsidRPr="00FB3674">
        <w:t xml:space="preserve"> </w:t>
      </w:r>
      <w:r w:rsidRPr="00FB3674">
        <w:t>a</w:t>
      </w:r>
      <w:r w:rsidR="001F7ED5" w:rsidRPr="00FB3674">
        <w:t xml:space="preserve"> </w:t>
      </w:r>
      <w:r w:rsidRPr="00FB3674">
        <w:t>court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appeal,</w:t>
      </w:r>
      <w:r w:rsidR="001F7ED5" w:rsidRPr="00FB3674">
        <w:t xml:space="preserve"> </w:t>
      </w:r>
      <w:r w:rsidRPr="00FB3674">
        <w:t>examined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two</w:t>
      </w:r>
      <w:r w:rsidR="001F7ED5" w:rsidRPr="00FB3674">
        <w:t xml:space="preserve"> </w:t>
      </w:r>
      <w:r w:rsidRPr="00FB3674">
        <w:t>special</w:t>
      </w:r>
      <w:r w:rsidR="001F7ED5" w:rsidRPr="00FB3674">
        <w:t xml:space="preserve"> </w:t>
      </w:r>
      <w:r w:rsidRPr="00FB3674">
        <w:t>investigative</w:t>
      </w:r>
      <w:r w:rsidR="001F7ED5" w:rsidRPr="00FB3674">
        <w:t xml:space="preserve"> </w:t>
      </w:r>
      <w:r w:rsidRPr="00FB3674">
        <w:t>files</w:t>
      </w:r>
      <w:r w:rsidR="001F7ED5" w:rsidRPr="00FB3674">
        <w:t xml:space="preserve"> </w:t>
      </w:r>
      <w:r w:rsidRPr="00FB3674">
        <w:t>pertaining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police</w:t>
      </w:r>
      <w:r w:rsidR="001F7ED5" w:rsidRPr="00FB3674">
        <w:t xml:space="preserve"> </w:t>
      </w:r>
      <w:r w:rsidRPr="00FB3674">
        <w:t>operation</w:t>
      </w:r>
      <w:r w:rsidR="001F7ED5" w:rsidRPr="00FB3674">
        <w:t xml:space="preserve"> </w:t>
      </w:r>
      <w:r w:rsidR="002E7C71">
        <w:t>“</w:t>
      </w:r>
      <w:r w:rsidRPr="00FB3674">
        <w:t>Rebus</w:t>
      </w:r>
      <w:r w:rsidR="002E7C71">
        <w:t>”</w:t>
      </w:r>
      <w:r w:rsidR="001F7ED5" w:rsidRPr="00FB3674">
        <w:t xml:space="preserve"> </w:t>
      </w:r>
      <w:r w:rsidRPr="00FB3674">
        <w:t>but</w:t>
      </w:r>
      <w:r w:rsidR="001F7ED5" w:rsidRPr="00FB3674">
        <w:t xml:space="preserve"> </w:t>
      </w:r>
      <w:r w:rsidRPr="00FB3674">
        <w:t>failed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include</w:t>
      </w:r>
      <w:r w:rsidR="001F7ED5" w:rsidRPr="00FB3674">
        <w:t xml:space="preserve"> </w:t>
      </w:r>
      <w:r w:rsidRPr="00FB3674">
        <w:t>them</w:t>
      </w:r>
      <w:r w:rsidR="001F7ED5" w:rsidRPr="00FB3674">
        <w:t xml:space="preserve"> </w:t>
      </w:r>
      <w:r w:rsidRPr="00FB3674">
        <w:t>with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other</w:t>
      </w:r>
      <w:r w:rsidR="001F7ED5" w:rsidRPr="00FB3674">
        <w:t xml:space="preserve"> </w:t>
      </w:r>
      <w:r w:rsidRPr="00FB3674">
        <w:t>information</w:t>
      </w:r>
      <w:r w:rsidR="001F7ED5" w:rsidRPr="00FB3674">
        <w:t xml:space="preserve"> </w:t>
      </w:r>
      <w:r w:rsidRPr="00FB3674">
        <w:t>on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case.</w:t>
      </w:r>
      <w:r w:rsidR="001F7ED5" w:rsidRPr="00FB3674">
        <w:t xml:space="preserve"> </w:t>
      </w:r>
      <w:r w:rsidRPr="00FB3674">
        <w:t>He</w:t>
      </w:r>
      <w:r w:rsidR="001F7ED5" w:rsidRPr="00FB3674">
        <w:t xml:space="preserve"> </w:t>
      </w:r>
      <w:r w:rsidRPr="00FB3674">
        <w:t>also</w:t>
      </w:r>
      <w:r w:rsidR="001F7ED5" w:rsidRPr="00FB3674">
        <w:t xml:space="preserve"> </w:t>
      </w:r>
      <w:r w:rsidRPr="00FB3674">
        <w:t>submits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court</w:t>
      </w:r>
      <w:r w:rsidR="001F7ED5" w:rsidRPr="00FB3674">
        <w:t xml:space="preserve"> </w:t>
      </w:r>
      <w:r w:rsidRPr="00FB3674">
        <w:t>failed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quote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police</w:t>
      </w:r>
      <w:r w:rsidR="001F7ED5" w:rsidRPr="00FB3674">
        <w:t xml:space="preserve"> </w:t>
      </w:r>
      <w:r w:rsidRPr="00FB3674">
        <w:t>operation</w:t>
      </w:r>
      <w:r w:rsidR="001F7ED5" w:rsidRPr="00FB3674">
        <w:t xml:space="preserve"> </w:t>
      </w:r>
      <w:r w:rsidR="002E7C71">
        <w:t>“</w:t>
      </w:r>
      <w:r w:rsidRPr="00FB3674">
        <w:t>Rebus</w:t>
      </w:r>
      <w:r w:rsidR="002E7C71">
        <w:t>”</w:t>
      </w:r>
      <w:r w:rsidR="001F7ED5" w:rsidRPr="00FB3674">
        <w:t xml:space="preserve"> </w:t>
      </w:r>
      <w:r w:rsidRPr="00FB3674">
        <w:t>directly</w:t>
      </w:r>
      <w:r w:rsidR="001F7ED5" w:rsidRPr="00FB3674">
        <w:t xml:space="preserve"> </w:t>
      </w:r>
      <w:r w:rsidRPr="00FB3674">
        <w:t>in</w:t>
      </w:r>
      <w:r w:rsidR="001F7ED5" w:rsidRPr="00FB3674">
        <w:t xml:space="preserve"> </w:t>
      </w:r>
      <w:r w:rsidRPr="00FB3674">
        <w:t>its</w:t>
      </w:r>
      <w:r w:rsidR="001F7ED5" w:rsidRPr="00FB3674">
        <w:t xml:space="preserve"> </w:t>
      </w:r>
      <w:r w:rsidRPr="00FB3674">
        <w:t>decision</w:t>
      </w:r>
      <w:r w:rsidR="001F7ED5" w:rsidRPr="00FB3674">
        <w:t xml:space="preserve"> </w:t>
      </w:r>
      <w:r w:rsidRPr="00FB3674">
        <w:t>on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principle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information</w:t>
      </w:r>
      <w:r w:rsidR="001F7ED5" w:rsidRPr="00FB3674">
        <w:t xml:space="preserve"> </w:t>
      </w:r>
      <w:r w:rsidRPr="00FB3674">
        <w:t>obtained</w:t>
      </w:r>
      <w:r w:rsidR="001F7ED5" w:rsidRPr="00FB3674">
        <w:t xml:space="preserve"> </w:t>
      </w:r>
      <w:r w:rsidRPr="00FB3674">
        <w:t>through</w:t>
      </w:r>
      <w:r w:rsidR="001F7ED5" w:rsidRPr="00FB3674">
        <w:t xml:space="preserve"> </w:t>
      </w:r>
      <w:r w:rsidRPr="00FB3674">
        <w:t>special</w:t>
      </w:r>
      <w:r w:rsidR="001F7ED5" w:rsidRPr="00FB3674">
        <w:t xml:space="preserve"> </w:t>
      </w:r>
      <w:r w:rsidRPr="00FB3674">
        <w:t>investigation</w:t>
      </w:r>
      <w:r w:rsidR="001F7ED5" w:rsidRPr="00FB3674">
        <w:t xml:space="preserve"> </w:t>
      </w:r>
      <w:r w:rsidRPr="00FB3674">
        <w:t>measures</w:t>
      </w:r>
      <w:r w:rsidR="001F7ED5" w:rsidRPr="00FB3674">
        <w:t xml:space="preserve"> </w:t>
      </w:r>
      <w:r w:rsidRPr="00FB3674">
        <w:t>should</w:t>
      </w:r>
      <w:r w:rsidR="001F7ED5" w:rsidRPr="00FB3674">
        <w:t xml:space="preserve"> </w:t>
      </w:r>
      <w:r w:rsidRPr="00FB3674">
        <w:t>remain</w:t>
      </w:r>
      <w:r w:rsidR="001F7ED5" w:rsidRPr="00FB3674">
        <w:t xml:space="preserve"> </w:t>
      </w:r>
      <w:r w:rsidRPr="00FB3674">
        <w:t>classified.</w:t>
      </w:r>
      <w:r w:rsidR="001F7ED5" w:rsidRPr="00FB3674">
        <w:t xml:space="preserve"> </w:t>
      </w:r>
      <w:r w:rsidRPr="00FB3674">
        <w:t>While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author</w:t>
      </w:r>
      <w:r w:rsidR="001F7ED5" w:rsidRPr="00FB3674">
        <w:t xml:space="preserve"> </w:t>
      </w:r>
      <w:r w:rsidRPr="00FB3674">
        <w:t>believes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court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appeal</w:t>
      </w:r>
      <w:r w:rsidR="001F7ED5" w:rsidRPr="00FB3674">
        <w:t xml:space="preserve"> </w:t>
      </w:r>
      <w:r w:rsidRPr="00FB3674">
        <w:t>examined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two</w:t>
      </w:r>
      <w:r w:rsidR="001F7ED5" w:rsidRPr="00FB3674">
        <w:t xml:space="preserve"> </w:t>
      </w:r>
      <w:r w:rsidRPr="00FB3674">
        <w:t>files,</w:t>
      </w:r>
      <w:r w:rsidR="001F7ED5" w:rsidRPr="00FB3674">
        <w:t xml:space="preserve"> </w:t>
      </w:r>
      <w:r w:rsidRPr="00FB3674">
        <w:t>he</w:t>
      </w:r>
      <w:r w:rsidR="001F7ED5" w:rsidRPr="00FB3674">
        <w:t xml:space="preserve"> </w:t>
      </w:r>
      <w:r w:rsidRPr="00FB3674">
        <w:t>expresses</w:t>
      </w:r>
      <w:r w:rsidR="001F7ED5" w:rsidRPr="00FB3674">
        <w:t xml:space="preserve"> </w:t>
      </w:r>
      <w:r w:rsidRPr="00FB3674">
        <w:t>concern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information</w:t>
      </w:r>
      <w:r w:rsidR="001F7ED5" w:rsidRPr="00FB3674">
        <w:t xml:space="preserve"> </w:t>
      </w:r>
      <w:r w:rsidRPr="00FB3674">
        <w:t>contained</w:t>
      </w:r>
      <w:r w:rsidR="001F7ED5" w:rsidRPr="00FB3674">
        <w:t xml:space="preserve"> </w:t>
      </w:r>
      <w:r w:rsidRPr="00FB3674">
        <w:t>in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files</w:t>
      </w:r>
      <w:r w:rsidR="001F7ED5" w:rsidRPr="00FB3674">
        <w:t xml:space="preserve"> </w:t>
      </w:r>
      <w:r w:rsidRPr="00FB3674">
        <w:t>was</w:t>
      </w:r>
      <w:r w:rsidR="001F7ED5" w:rsidRPr="00FB3674">
        <w:t xml:space="preserve"> </w:t>
      </w:r>
      <w:r w:rsidRPr="00FB3674">
        <w:t>not</w:t>
      </w:r>
      <w:r w:rsidR="001F7ED5" w:rsidRPr="00FB3674">
        <w:t xml:space="preserve"> </w:t>
      </w:r>
      <w:r w:rsidRPr="00FB3674">
        <w:t>verified</w:t>
      </w:r>
      <w:r w:rsidR="001F7ED5" w:rsidRPr="00FB3674">
        <w:t xml:space="preserve"> </w:t>
      </w:r>
      <w:r w:rsidRPr="00FB3674">
        <w:t>during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court</w:t>
      </w:r>
      <w:r w:rsidR="001F7ED5" w:rsidRPr="00FB3674">
        <w:t xml:space="preserve"> </w:t>
      </w:r>
      <w:r w:rsidRPr="00FB3674">
        <w:t>hearing.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author</w:t>
      </w:r>
      <w:r w:rsidR="001F7ED5" w:rsidRPr="00FB3674">
        <w:t xml:space="preserve"> </w:t>
      </w:r>
      <w:r w:rsidRPr="00FB3674">
        <w:t>casts</w:t>
      </w:r>
      <w:r w:rsidR="001F7ED5" w:rsidRPr="00FB3674">
        <w:t xml:space="preserve"> </w:t>
      </w:r>
      <w:r w:rsidRPr="00FB3674">
        <w:lastRenderedPageBreak/>
        <w:t>doubt</w:t>
      </w:r>
      <w:r w:rsidR="001F7ED5" w:rsidRPr="00FB3674">
        <w:t xml:space="preserve"> </w:t>
      </w:r>
      <w:r w:rsidRPr="00FB3674">
        <w:t>over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reliability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information</w:t>
      </w:r>
      <w:r w:rsidR="001F7ED5" w:rsidRPr="00FB3674">
        <w:t xml:space="preserve"> </w:t>
      </w:r>
      <w:r w:rsidRPr="00FB3674">
        <w:t>contained</w:t>
      </w:r>
      <w:r w:rsidR="001F7ED5" w:rsidRPr="00FB3674">
        <w:t xml:space="preserve"> </w:t>
      </w:r>
      <w:r w:rsidRPr="00FB3674">
        <w:t>in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files,</w:t>
      </w:r>
      <w:r w:rsidR="001F7ED5" w:rsidRPr="00FB3674">
        <w:t xml:space="preserve"> </w:t>
      </w:r>
      <w:r w:rsidRPr="00FB3674">
        <w:t>stating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quite</w:t>
      </w:r>
      <w:r w:rsidR="001F7ED5" w:rsidRPr="00FB3674">
        <w:t xml:space="preserve"> </w:t>
      </w:r>
      <w:r w:rsidRPr="00FB3674">
        <w:t>often</w:t>
      </w:r>
      <w:r w:rsidR="001F7ED5" w:rsidRPr="00FB3674">
        <w:t xml:space="preserve"> </w:t>
      </w:r>
      <w:r w:rsidRPr="00FB3674">
        <w:t>special</w:t>
      </w:r>
      <w:r w:rsidR="001F7ED5" w:rsidRPr="00FB3674">
        <w:t xml:space="preserve"> </w:t>
      </w:r>
      <w:r w:rsidRPr="00FB3674">
        <w:t>investigative</w:t>
      </w:r>
      <w:r w:rsidR="001F7ED5" w:rsidRPr="00FB3674">
        <w:t xml:space="preserve"> </w:t>
      </w:r>
      <w:r w:rsidRPr="00FB3674">
        <w:t>information</w:t>
      </w:r>
      <w:r w:rsidR="001F7ED5" w:rsidRPr="00FB3674">
        <w:t xml:space="preserve"> </w:t>
      </w:r>
      <w:r w:rsidRPr="00FB3674">
        <w:t>consists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pure</w:t>
      </w:r>
      <w:r w:rsidR="001F7ED5" w:rsidRPr="00FB3674">
        <w:t xml:space="preserve"> </w:t>
      </w:r>
      <w:r w:rsidRPr="00FB3674">
        <w:t>speculation,</w:t>
      </w:r>
      <w:r w:rsidR="001F7ED5" w:rsidRPr="00FB3674">
        <w:t xml:space="preserve"> </w:t>
      </w:r>
      <w:r w:rsidRPr="00FB3674">
        <w:t>assumptions</w:t>
      </w:r>
      <w:r w:rsidR="001F7ED5" w:rsidRPr="00FB3674">
        <w:t xml:space="preserve"> </w:t>
      </w:r>
      <w:r w:rsidRPr="00FB3674">
        <w:t>and</w:t>
      </w:r>
      <w:r w:rsidR="001F7ED5" w:rsidRPr="00FB3674">
        <w:t xml:space="preserve"> </w:t>
      </w:r>
      <w:r w:rsidRPr="00FB3674">
        <w:t>guesses.</w:t>
      </w:r>
    </w:p>
    <w:p w14:paraId="2D383730" w14:textId="5F7AECDB" w:rsidR="001F7ED5" w:rsidRPr="00FB3674" w:rsidRDefault="005D5882" w:rsidP="005D5882">
      <w:pPr>
        <w:pStyle w:val="SingleTxtG"/>
      </w:pPr>
      <w:r w:rsidRPr="00FB3674">
        <w:t>2.7</w:t>
      </w:r>
      <w:r w:rsidRPr="00FB3674">
        <w:tab/>
        <w:t>On</w:t>
      </w:r>
      <w:r w:rsidR="001F7ED5" w:rsidRPr="00FB3674">
        <w:t xml:space="preserve"> </w:t>
      </w:r>
      <w:r w:rsidRPr="00FB3674">
        <w:t>20</w:t>
      </w:r>
      <w:r w:rsidR="001F7ED5" w:rsidRPr="00FB3674">
        <w:t xml:space="preserve"> </w:t>
      </w:r>
      <w:r w:rsidRPr="00FB3674">
        <w:t>February</w:t>
      </w:r>
      <w:r w:rsidR="001F7ED5" w:rsidRPr="00FB3674">
        <w:t xml:space="preserve"> </w:t>
      </w:r>
      <w:r w:rsidRPr="00FB3674">
        <w:t>2015,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Supreme</w:t>
      </w:r>
      <w:r w:rsidR="001F7ED5" w:rsidRPr="00FB3674">
        <w:t xml:space="preserve"> </w:t>
      </w:r>
      <w:r w:rsidRPr="00FB3674">
        <w:t>Court,</w:t>
      </w:r>
      <w:r w:rsidR="001F7ED5" w:rsidRPr="00FB3674">
        <w:t xml:space="preserve"> </w:t>
      </w:r>
      <w:r w:rsidRPr="00FB3674">
        <w:t>acting</w:t>
      </w:r>
      <w:r w:rsidR="001F7ED5" w:rsidRPr="00FB3674">
        <w:t xml:space="preserve"> </w:t>
      </w:r>
      <w:r w:rsidRPr="00FB3674">
        <w:t>as</w:t>
      </w:r>
      <w:r w:rsidR="001F7ED5" w:rsidRPr="00FB3674">
        <w:t xml:space="preserve"> </w:t>
      </w:r>
      <w:r w:rsidRPr="00FB3674">
        <w:t>a</w:t>
      </w:r>
      <w:r w:rsidR="001F7ED5" w:rsidRPr="00FB3674">
        <w:t xml:space="preserve"> </w:t>
      </w:r>
      <w:r w:rsidRPr="00FB3674">
        <w:t>cassation</w:t>
      </w:r>
      <w:r w:rsidR="001F7ED5" w:rsidRPr="00FB3674">
        <w:t xml:space="preserve"> </w:t>
      </w:r>
      <w:r w:rsidRPr="00FB3674">
        <w:t>instance,</w:t>
      </w:r>
      <w:r w:rsidR="001F7ED5" w:rsidRPr="00FB3674">
        <w:t xml:space="preserve"> </w:t>
      </w:r>
      <w:r w:rsidRPr="00FB3674">
        <w:t>dismissed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author</w:t>
      </w:r>
      <w:r w:rsidR="00FB3674">
        <w:t>’</w:t>
      </w:r>
      <w:r w:rsidRPr="00FB3674">
        <w:t>s</w:t>
      </w:r>
      <w:r w:rsidR="001F7ED5" w:rsidRPr="00FB3674">
        <w:t xml:space="preserve"> </w:t>
      </w:r>
      <w:r w:rsidRPr="00FB3674">
        <w:t>appeals.</w:t>
      </w:r>
      <w:r w:rsidR="001F7ED5" w:rsidRPr="00FB3674">
        <w:t xml:space="preserve"> </w:t>
      </w:r>
      <w:r w:rsidRPr="00FB3674">
        <w:t>It</w:t>
      </w:r>
      <w:r w:rsidR="001F7ED5" w:rsidRPr="00FB3674">
        <w:t xml:space="preserve"> </w:t>
      </w:r>
      <w:r w:rsidRPr="00FB3674">
        <w:t>considered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necessary</w:t>
      </w:r>
      <w:r w:rsidR="001F7ED5" w:rsidRPr="00FB3674">
        <w:t xml:space="preserve"> </w:t>
      </w:r>
      <w:r w:rsidRPr="00FB3674">
        <w:t>safeguards</w:t>
      </w:r>
      <w:r w:rsidR="001F7ED5" w:rsidRPr="00FB3674">
        <w:t xml:space="preserve"> </w:t>
      </w:r>
      <w:r w:rsidRPr="00FB3674">
        <w:t>had</w:t>
      </w:r>
      <w:r w:rsidR="001F7ED5" w:rsidRPr="00FB3674">
        <w:t xml:space="preserve"> </w:t>
      </w:r>
      <w:r w:rsidRPr="00FB3674">
        <w:t>been</w:t>
      </w:r>
      <w:r w:rsidR="001F7ED5" w:rsidRPr="00FB3674">
        <w:t xml:space="preserve"> </w:t>
      </w:r>
      <w:r w:rsidRPr="00FB3674">
        <w:t>provided,</w:t>
      </w:r>
      <w:r w:rsidR="001F7ED5" w:rsidRPr="00FB3674">
        <w:t xml:space="preserve"> </w:t>
      </w:r>
      <w:r w:rsidRPr="00FB3674">
        <w:t>as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court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appeal</w:t>
      </w:r>
      <w:r w:rsidR="001F7ED5" w:rsidRPr="00FB3674">
        <w:t xml:space="preserve"> </w:t>
      </w:r>
      <w:r w:rsidRPr="00FB3674">
        <w:t>had</w:t>
      </w:r>
      <w:r w:rsidR="001F7ED5" w:rsidRPr="00FB3674">
        <w:t xml:space="preserve"> </w:t>
      </w:r>
      <w:r w:rsidRPr="00FB3674">
        <w:t>duly</w:t>
      </w:r>
      <w:r w:rsidR="001F7ED5" w:rsidRPr="00FB3674">
        <w:t xml:space="preserve"> </w:t>
      </w:r>
      <w:r w:rsidRPr="00FB3674">
        <w:t>acquainted</w:t>
      </w:r>
      <w:r w:rsidR="001F7ED5" w:rsidRPr="00FB3674">
        <w:t xml:space="preserve"> </w:t>
      </w:r>
      <w:r w:rsidRPr="00FB3674">
        <w:t>itself</w:t>
      </w:r>
      <w:r w:rsidR="001F7ED5" w:rsidRPr="00FB3674">
        <w:t xml:space="preserve"> </w:t>
      </w:r>
      <w:r w:rsidRPr="00FB3674">
        <w:t>with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contents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disputed</w:t>
      </w:r>
      <w:r w:rsidR="001F7ED5" w:rsidRPr="00FB3674">
        <w:t xml:space="preserve"> </w:t>
      </w:r>
      <w:r w:rsidRPr="00FB3674">
        <w:t>case</w:t>
      </w:r>
      <w:r w:rsidR="001F7ED5" w:rsidRPr="00FB3674">
        <w:t xml:space="preserve"> </w:t>
      </w:r>
      <w:r w:rsidRPr="00FB3674">
        <w:t>files</w:t>
      </w:r>
      <w:r w:rsidR="001F7ED5" w:rsidRPr="00FB3674">
        <w:t xml:space="preserve"> </w:t>
      </w:r>
      <w:r w:rsidRPr="00FB3674">
        <w:t>before</w:t>
      </w:r>
      <w:r w:rsidR="001F7ED5" w:rsidRPr="00FB3674">
        <w:t xml:space="preserve"> </w:t>
      </w:r>
      <w:r w:rsidRPr="00FB3674">
        <w:t>ruling</w:t>
      </w:r>
      <w:r w:rsidR="001F7ED5" w:rsidRPr="00FB3674">
        <w:t xml:space="preserve"> </w:t>
      </w:r>
      <w:r w:rsidRPr="00FB3674">
        <w:t>out</w:t>
      </w:r>
      <w:r w:rsidR="001F7ED5" w:rsidRPr="00FB3674">
        <w:t xml:space="preserve"> </w:t>
      </w:r>
      <w:r w:rsidRPr="00FB3674">
        <w:t>their</w:t>
      </w:r>
      <w:r w:rsidR="001F7ED5" w:rsidRPr="00FB3674">
        <w:t xml:space="preserve"> </w:t>
      </w:r>
      <w:r w:rsidRPr="00FB3674">
        <w:t>disclosure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defence</w:t>
      </w:r>
      <w:r w:rsidR="001F7ED5" w:rsidRPr="00FB3674">
        <w:t xml:space="preserve"> </w:t>
      </w:r>
      <w:r w:rsidRPr="00FB3674">
        <w:t>and</w:t>
      </w:r>
      <w:r w:rsidR="001F7ED5" w:rsidRPr="00FB3674">
        <w:t xml:space="preserve"> </w:t>
      </w:r>
      <w:r w:rsidRPr="00FB3674">
        <w:t>thus</w:t>
      </w:r>
      <w:r w:rsidR="001F7ED5" w:rsidRPr="00FB3674">
        <w:t xml:space="preserve"> </w:t>
      </w:r>
      <w:r w:rsidRPr="00FB3674">
        <w:t>was</w:t>
      </w:r>
      <w:r w:rsidR="001F7ED5" w:rsidRPr="00FB3674">
        <w:t xml:space="preserve"> </w:t>
      </w:r>
      <w:r w:rsidRPr="00FB3674">
        <w:t>in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position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adopt</w:t>
      </w:r>
      <w:r w:rsidR="001F7ED5" w:rsidRPr="00FB3674">
        <w:t xml:space="preserve"> </w:t>
      </w:r>
      <w:r w:rsidRPr="00FB3674">
        <w:t>a</w:t>
      </w:r>
      <w:r w:rsidR="001F7ED5" w:rsidRPr="00FB3674">
        <w:t xml:space="preserve"> </w:t>
      </w:r>
      <w:r w:rsidRPr="00FB3674">
        <w:t>well-informed</w:t>
      </w:r>
      <w:r w:rsidR="001F7ED5" w:rsidRPr="00FB3674">
        <w:t xml:space="preserve"> </w:t>
      </w:r>
      <w:r w:rsidRPr="00FB3674">
        <w:t>decision.</w:t>
      </w:r>
    </w:p>
    <w:p w14:paraId="7113D943" w14:textId="4C826CF2" w:rsidR="001F7ED5" w:rsidRPr="00FB3674" w:rsidRDefault="005D5882" w:rsidP="005D5882">
      <w:pPr>
        <w:pStyle w:val="SingleTxtG"/>
      </w:pPr>
      <w:r w:rsidRPr="00FB3674">
        <w:rPr>
          <w:color w:val="000000" w:themeColor="text1"/>
        </w:rPr>
        <w:t>2.8</w:t>
      </w:r>
      <w:r w:rsidRPr="00FB3674">
        <w:rPr>
          <w:color w:val="000000" w:themeColor="text1"/>
        </w:rPr>
        <w:tab/>
        <w:t>The</w:t>
      </w:r>
      <w:r w:rsidR="001F7ED5" w:rsidRPr="00FB3674">
        <w:rPr>
          <w:color w:val="000000" w:themeColor="text1"/>
        </w:rPr>
        <w:t xml:space="preserve"> </w:t>
      </w:r>
      <w:r w:rsidRPr="00FB3674">
        <w:t>author</w:t>
      </w:r>
      <w:r w:rsidR="001F7ED5" w:rsidRPr="00FB3674">
        <w:t xml:space="preserve"> </w:t>
      </w:r>
      <w:r w:rsidRPr="00FB3674">
        <w:t>submits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Supreme</w:t>
      </w:r>
      <w:r w:rsidR="001F7ED5" w:rsidRPr="00FB3674">
        <w:t xml:space="preserve"> </w:t>
      </w:r>
      <w:r w:rsidRPr="00FB3674">
        <w:t>Court</w:t>
      </w:r>
      <w:r w:rsidR="001F7ED5" w:rsidRPr="00FB3674">
        <w:t xml:space="preserve"> </w:t>
      </w:r>
      <w:r w:rsidRPr="00FB3674">
        <w:t>addressed</w:t>
      </w:r>
      <w:r w:rsidR="001F7ED5" w:rsidRPr="00FB3674">
        <w:t xml:space="preserve"> </w:t>
      </w:r>
      <w:r w:rsidRPr="00FB3674">
        <w:t>his</w:t>
      </w:r>
      <w:r w:rsidR="001F7ED5" w:rsidRPr="00FB3674">
        <w:t xml:space="preserve"> </w:t>
      </w:r>
      <w:r w:rsidRPr="00FB3674">
        <w:t>claims</w:t>
      </w:r>
      <w:r w:rsidR="001F7ED5" w:rsidRPr="00FB3674">
        <w:t xml:space="preserve"> </w:t>
      </w:r>
      <w:r w:rsidRPr="00FB3674">
        <w:t>regarding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denial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access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special</w:t>
      </w:r>
      <w:r w:rsidR="001F7ED5" w:rsidRPr="00FB3674">
        <w:t xml:space="preserve"> </w:t>
      </w:r>
      <w:r w:rsidRPr="00FB3674">
        <w:t>investigative</w:t>
      </w:r>
      <w:r w:rsidR="001F7ED5" w:rsidRPr="00FB3674">
        <w:t xml:space="preserve"> </w:t>
      </w:r>
      <w:r w:rsidRPr="00FB3674">
        <w:t>files</w:t>
      </w:r>
      <w:r w:rsidR="001F7ED5" w:rsidRPr="00FB3674">
        <w:t xml:space="preserve"> </w:t>
      </w:r>
      <w:r w:rsidRPr="00FB3674">
        <w:t>and</w:t>
      </w:r>
      <w:r w:rsidR="001F7ED5" w:rsidRPr="00FB3674">
        <w:t xml:space="preserve"> </w:t>
      </w:r>
      <w:r w:rsidRPr="00FB3674">
        <w:t>quoted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case</w:t>
      </w:r>
      <w:r w:rsidR="001F7ED5" w:rsidRPr="00FB3674">
        <w:t xml:space="preserve"> </w:t>
      </w:r>
      <w:r w:rsidRPr="00FB3674">
        <w:t>law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European</w:t>
      </w:r>
      <w:r w:rsidR="001F7ED5" w:rsidRPr="00FB3674">
        <w:t xml:space="preserve"> </w:t>
      </w:r>
      <w:r w:rsidRPr="00FB3674">
        <w:t>Court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Human</w:t>
      </w:r>
      <w:r w:rsidR="001F7ED5" w:rsidRPr="00FB3674">
        <w:t xml:space="preserve"> </w:t>
      </w:r>
      <w:r w:rsidRPr="00FB3674">
        <w:t>Rights,</w:t>
      </w:r>
      <w:r w:rsidRPr="00FB3674">
        <w:rPr>
          <w:rStyle w:val="FootnoteReference"/>
        </w:rPr>
        <w:footnoteReference w:id="4"/>
      </w:r>
      <w:r w:rsidR="001F7ED5" w:rsidRPr="00FB3674">
        <w:t xml:space="preserve"> </w:t>
      </w:r>
      <w:r w:rsidRPr="00FB3674">
        <w:t>which</w:t>
      </w:r>
      <w:r w:rsidR="001F7ED5" w:rsidRPr="00FB3674">
        <w:t xml:space="preserve"> </w:t>
      </w:r>
      <w:r w:rsidRPr="00FB3674">
        <w:t>confirmed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right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disclosure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defence</w:t>
      </w:r>
      <w:r w:rsidR="001F7ED5" w:rsidRPr="00FB3674">
        <w:t xml:space="preserve"> </w:t>
      </w:r>
      <w:r w:rsidRPr="00FB3674">
        <w:t>was</w:t>
      </w:r>
      <w:r w:rsidR="001F7ED5" w:rsidRPr="00FB3674">
        <w:t xml:space="preserve"> </w:t>
      </w:r>
      <w:r w:rsidRPr="00FB3674">
        <w:t>not</w:t>
      </w:r>
      <w:r w:rsidR="001F7ED5" w:rsidRPr="00FB3674">
        <w:t xml:space="preserve"> </w:t>
      </w:r>
      <w:r w:rsidRPr="00FB3674">
        <w:t>absolute</w:t>
      </w:r>
      <w:r w:rsidR="001F7ED5" w:rsidRPr="00FB3674">
        <w:t xml:space="preserve"> </w:t>
      </w:r>
      <w:r w:rsidRPr="00FB3674">
        <w:t>and</w:t>
      </w:r>
      <w:r w:rsidR="001F7ED5" w:rsidRPr="00FB3674">
        <w:t xml:space="preserve"> </w:t>
      </w:r>
      <w:r w:rsidRPr="00FB3674">
        <w:t>in</w:t>
      </w:r>
      <w:r w:rsidR="001F7ED5" w:rsidRPr="00FB3674">
        <w:t xml:space="preserve"> </w:t>
      </w:r>
      <w:r w:rsidRPr="00FB3674">
        <w:t>certain</w:t>
      </w:r>
      <w:r w:rsidR="001F7ED5" w:rsidRPr="00FB3674">
        <w:t xml:space="preserve"> </w:t>
      </w:r>
      <w:r w:rsidRPr="00FB3674">
        <w:t>circumstances</w:t>
      </w:r>
      <w:r w:rsidR="001F7ED5" w:rsidRPr="00FB3674">
        <w:t xml:space="preserve"> </w:t>
      </w:r>
      <w:r w:rsidRPr="00FB3674">
        <w:t>must</w:t>
      </w:r>
      <w:r w:rsidR="001F7ED5" w:rsidRPr="00FB3674">
        <w:t xml:space="preserve"> </w:t>
      </w:r>
      <w:r w:rsidRPr="00FB3674">
        <w:t>be</w:t>
      </w:r>
      <w:r w:rsidR="001F7ED5" w:rsidRPr="00FB3674">
        <w:t xml:space="preserve"> </w:t>
      </w:r>
      <w:r w:rsidRPr="00FB3674">
        <w:t>balanced</w:t>
      </w:r>
      <w:r w:rsidR="001F7ED5" w:rsidRPr="00FB3674">
        <w:t xml:space="preserve"> </w:t>
      </w:r>
      <w:r w:rsidRPr="00FB3674">
        <w:t>against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public</w:t>
      </w:r>
      <w:r w:rsidR="001F7ED5" w:rsidRPr="00FB3674">
        <w:t xml:space="preserve"> </w:t>
      </w:r>
      <w:r w:rsidRPr="00FB3674">
        <w:t>interest</w:t>
      </w:r>
      <w:r w:rsidR="001F7ED5" w:rsidRPr="00FB3674">
        <w:t xml:space="preserve"> </w:t>
      </w:r>
      <w:r w:rsidRPr="00FB3674">
        <w:t>and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need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protect</w:t>
      </w:r>
      <w:r w:rsidR="001F7ED5" w:rsidRPr="00FB3674">
        <w:t xml:space="preserve"> </w:t>
      </w:r>
      <w:r w:rsidRPr="00FB3674">
        <w:t>third</w:t>
      </w:r>
      <w:r w:rsidR="001F7ED5" w:rsidRPr="00FB3674">
        <w:t xml:space="preserve"> </w:t>
      </w:r>
      <w:r w:rsidRPr="00FB3674">
        <w:t>parties.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author</w:t>
      </w:r>
      <w:r w:rsidR="001F7ED5" w:rsidRPr="00FB3674">
        <w:t xml:space="preserve"> </w:t>
      </w:r>
      <w:r w:rsidRPr="00FB3674">
        <w:t>submits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court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appeal</w:t>
      </w:r>
      <w:r w:rsidR="001F7ED5" w:rsidRPr="00FB3674">
        <w:t xml:space="preserve"> </w:t>
      </w:r>
      <w:r w:rsidRPr="00FB3674">
        <w:t>and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Supreme</w:t>
      </w:r>
      <w:r w:rsidR="001F7ED5" w:rsidRPr="00FB3674">
        <w:t xml:space="preserve"> </w:t>
      </w:r>
      <w:r w:rsidRPr="00FB3674">
        <w:t>Court</w:t>
      </w:r>
      <w:r w:rsidR="001F7ED5" w:rsidRPr="00FB3674">
        <w:t xml:space="preserve"> </w:t>
      </w:r>
      <w:r w:rsidRPr="00FB3674">
        <w:t>have</w:t>
      </w:r>
      <w:r w:rsidR="001F7ED5" w:rsidRPr="00FB3674">
        <w:t xml:space="preserve"> </w:t>
      </w:r>
      <w:r w:rsidRPr="00FB3674">
        <w:t>argued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restriction</w:t>
      </w:r>
      <w:r w:rsidR="001F7ED5" w:rsidRPr="00FB3674">
        <w:t xml:space="preserve"> </w:t>
      </w:r>
      <w:r w:rsidRPr="00FB3674">
        <w:t>on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right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disclosure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defence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two</w:t>
      </w:r>
      <w:r w:rsidR="001F7ED5" w:rsidRPr="00FB3674">
        <w:t xml:space="preserve"> </w:t>
      </w:r>
      <w:r w:rsidRPr="00FB3674">
        <w:t>special</w:t>
      </w:r>
      <w:r w:rsidR="001F7ED5" w:rsidRPr="00FB3674">
        <w:t xml:space="preserve"> </w:t>
      </w:r>
      <w:r w:rsidRPr="00FB3674">
        <w:t>investigative</w:t>
      </w:r>
      <w:r w:rsidR="001F7ED5" w:rsidRPr="00FB3674">
        <w:t xml:space="preserve"> </w:t>
      </w:r>
      <w:r w:rsidRPr="00FB3674">
        <w:t>files</w:t>
      </w:r>
      <w:r w:rsidR="001F7ED5" w:rsidRPr="00FB3674">
        <w:t xml:space="preserve"> </w:t>
      </w:r>
      <w:r w:rsidRPr="00FB3674">
        <w:t>pertaining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police</w:t>
      </w:r>
      <w:r w:rsidR="001F7ED5" w:rsidRPr="00FB3674">
        <w:t xml:space="preserve"> </w:t>
      </w:r>
      <w:r w:rsidRPr="00FB3674">
        <w:t>operation</w:t>
      </w:r>
      <w:r w:rsidR="001F7ED5" w:rsidRPr="00FB3674">
        <w:t xml:space="preserve"> </w:t>
      </w:r>
      <w:r w:rsidR="002E7C71">
        <w:t>“</w:t>
      </w:r>
      <w:r w:rsidRPr="00FB3674">
        <w:t>Rebus</w:t>
      </w:r>
      <w:r w:rsidR="002E7C71">
        <w:t>”</w:t>
      </w:r>
      <w:r w:rsidR="001F7ED5" w:rsidRPr="00FB3674">
        <w:t xml:space="preserve"> </w:t>
      </w:r>
      <w:r w:rsidRPr="00FB3674">
        <w:t>was</w:t>
      </w:r>
      <w:r w:rsidR="001F7ED5" w:rsidRPr="00FB3674">
        <w:t xml:space="preserve"> </w:t>
      </w:r>
      <w:r w:rsidRPr="00FB3674">
        <w:t>based</w:t>
      </w:r>
      <w:r w:rsidR="001F7ED5" w:rsidRPr="00FB3674">
        <w:t xml:space="preserve"> </w:t>
      </w:r>
      <w:r w:rsidRPr="00FB3674">
        <w:t>on</w:t>
      </w:r>
      <w:r w:rsidR="001F7ED5" w:rsidRPr="00FB3674">
        <w:t xml:space="preserve"> </w:t>
      </w:r>
      <w:r w:rsidRPr="00FB3674">
        <w:t>articles</w:t>
      </w:r>
      <w:r w:rsidR="001F7ED5" w:rsidRPr="00FB3674">
        <w:t xml:space="preserve"> </w:t>
      </w:r>
      <w:r w:rsidRPr="00FB3674">
        <w:t>8</w:t>
      </w:r>
      <w:r w:rsidR="001F7ED5" w:rsidRPr="00FB3674">
        <w:t xml:space="preserve"> </w:t>
      </w:r>
      <w:r w:rsidRPr="00FB3674">
        <w:t>(3)</w:t>
      </w:r>
      <w:r w:rsidR="001F7ED5" w:rsidRPr="00FB3674">
        <w:t xml:space="preserve"> </w:t>
      </w:r>
      <w:r w:rsidRPr="00FB3674">
        <w:t>and</w:t>
      </w:r>
      <w:r w:rsidR="001F7ED5" w:rsidRPr="00FB3674">
        <w:t xml:space="preserve"> </w:t>
      </w:r>
      <w:r w:rsidRPr="00FB3674">
        <w:t>24</w:t>
      </w:r>
      <w:r w:rsidR="001F7ED5" w:rsidRPr="00FB3674">
        <w:t xml:space="preserve"> </w:t>
      </w:r>
      <w:r w:rsidRPr="00FB3674">
        <w:t>(1)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Law</w:t>
      </w:r>
      <w:r w:rsidR="001F7ED5" w:rsidRPr="00FB3674">
        <w:t xml:space="preserve"> </w:t>
      </w:r>
      <w:r w:rsidRPr="00FB3674">
        <w:t>on</w:t>
      </w:r>
      <w:r w:rsidR="001F7ED5" w:rsidRPr="00FB3674">
        <w:t xml:space="preserve"> </w:t>
      </w:r>
      <w:r w:rsidRPr="00FB3674">
        <w:t>Special</w:t>
      </w:r>
      <w:r w:rsidR="001F7ED5" w:rsidRPr="00FB3674">
        <w:t xml:space="preserve"> </w:t>
      </w:r>
      <w:r w:rsidRPr="00FB3674">
        <w:t>Investigative</w:t>
      </w:r>
      <w:r w:rsidR="001F7ED5" w:rsidRPr="00FB3674">
        <w:t xml:space="preserve"> </w:t>
      </w:r>
      <w:r w:rsidRPr="00FB3674">
        <w:t>Measures,</w:t>
      </w:r>
      <w:r w:rsidR="001F7ED5" w:rsidRPr="00FB3674">
        <w:t xml:space="preserve"> </w:t>
      </w:r>
      <w:r w:rsidRPr="00FB3674">
        <w:t>according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which</w:t>
      </w:r>
      <w:r w:rsidR="001F7ED5" w:rsidRPr="00FB3674">
        <w:t xml:space="preserve"> </w:t>
      </w:r>
      <w:r w:rsidRPr="00FB3674">
        <w:t>information</w:t>
      </w:r>
      <w:r w:rsidR="001F7ED5" w:rsidRPr="00FB3674">
        <w:t xml:space="preserve"> </w:t>
      </w:r>
      <w:r w:rsidRPr="00FB3674">
        <w:t>contained</w:t>
      </w:r>
      <w:r w:rsidR="001F7ED5" w:rsidRPr="00FB3674">
        <w:t xml:space="preserve"> </w:t>
      </w:r>
      <w:r w:rsidRPr="00FB3674">
        <w:t>in</w:t>
      </w:r>
      <w:r w:rsidR="001F7ED5" w:rsidRPr="00FB3674">
        <w:t xml:space="preserve"> </w:t>
      </w:r>
      <w:r w:rsidRPr="00FB3674">
        <w:t>special</w:t>
      </w:r>
      <w:r w:rsidR="001F7ED5" w:rsidRPr="00FB3674">
        <w:t xml:space="preserve"> </w:t>
      </w:r>
      <w:r w:rsidRPr="00FB3674">
        <w:t>investigative</w:t>
      </w:r>
      <w:r w:rsidR="001F7ED5" w:rsidRPr="00FB3674">
        <w:t xml:space="preserve"> </w:t>
      </w:r>
      <w:r w:rsidRPr="00FB3674">
        <w:t>files</w:t>
      </w:r>
      <w:r w:rsidR="001F7ED5" w:rsidRPr="00FB3674">
        <w:t xml:space="preserve"> </w:t>
      </w:r>
      <w:r w:rsidRPr="00FB3674">
        <w:t>is</w:t>
      </w:r>
      <w:r w:rsidR="001F7ED5" w:rsidRPr="00FB3674">
        <w:t xml:space="preserve"> </w:t>
      </w:r>
      <w:r w:rsidRPr="00FB3674">
        <w:t>a</w:t>
      </w:r>
      <w:r w:rsidR="001F7ED5" w:rsidRPr="00FB3674">
        <w:t xml:space="preserve"> </w:t>
      </w:r>
      <w:r w:rsidRPr="00FB3674">
        <w:t>State</w:t>
      </w:r>
      <w:r w:rsidR="001F7ED5" w:rsidRPr="00FB3674">
        <w:t xml:space="preserve"> </w:t>
      </w:r>
      <w:r w:rsidRPr="00FB3674">
        <w:t>secret.</w:t>
      </w:r>
      <w:r w:rsidR="001F7ED5" w:rsidRPr="00FB3674">
        <w:t xml:space="preserve"> </w:t>
      </w:r>
      <w:r w:rsidRPr="00FB3674">
        <w:t>Furthermore,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Supreme</w:t>
      </w:r>
      <w:r w:rsidR="001F7ED5" w:rsidRPr="00FB3674">
        <w:t xml:space="preserve"> </w:t>
      </w:r>
      <w:r w:rsidRPr="00FB3674">
        <w:t>Court</w:t>
      </w:r>
      <w:r w:rsidR="001F7ED5" w:rsidRPr="00FB3674">
        <w:t xml:space="preserve"> </w:t>
      </w:r>
      <w:r w:rsidRPr="00FB3674">
        <w:t>has</w:t>
      </w:r>
      <w:r w:rsidR="001F7ED5" w:rsidRPr="00FB3674">
        <w:t xml:space="preserve"> </w:t>
      </w:r>
      <w:r w:rsidRPr="00FB3674">
        <w:t>declared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such</w:t>
      </w:r>
      <w:r w:rsidR="001F7ED5" w:rsidRPr="00FB3674">
        <w:t xml:space="preserve"> </w:t>
      </w:r>
      <w:r w:rsidRPr="00FB3674">
        <w:t>a</w:t>
      </w:r>
      <w:r w:rsidR="001F7ED5" w:rsidRPr="00FB3674">
        <w:t xml:space="preserve"> </w:t>
      </w:r>
      <w:r w:rsidRPr="00FB3674">
        <w:t>restriction</w:t>
      </w:r>
      <w:r w:rsidR="001F7ED5" w:rsidRPr="00FB3674">
        <w:t xml:space="preserve"> </w:t>
      </w:r>
      <w:r w:rsidRPr="00FB3674">
        <w:t>was</w:t>
      </w:r>
      <w:r w:rsidR="001F7ED5" w:rsidRPr="00FB3674">
        <w:t xml:space="preserve"> </w:t>
      </w:r>
      <w:r w:rsidRPr="00FB3674">
        <w:t>particularly</w:t>
      </w:r>
      <w:r w:rsidR="001F7ED5" w:rsidRPr="00FB3674">
        <w:t xml:space="preserve"> </w:t>
      </w:r>
      <w:r w:rsidRPr="00FB3674">
        <w:t>necessary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protect</w:t>
      </w:r>
      <w:r w:rsidR="001F7ED5" w:rsidRPr="00FB3674">
        <w:t xml:space="preserve"> </w:t>
      </w:r>
      <w:r w:rsidRPr="00FB3674">
        <w:t>both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fundamental</w:t>
      </w:r>
      <w:r w:rsidR="001F7ED5" w:rsidRPr="00FB3674">
        <w:t xml:space="preserve"> </w:t>
      </w:r>
      <w:r w:rsidRPr="00FB3674">
        <w:t>rights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third</w:t>
      </w:r>
      <w:r w:rsidR="001F7ED5" w:rsidRPr="00FB3674">
        <w:t xml:space="preserve"> </w:t>
      </w:r>
      <w:r w:rsidRPr="00FB3674">
        <w:t>parties</w:t>
      </w:r>
      <w:r w:rsidR="001F7ED5" w:rsidRPr="00FB3674">
        <w:t xml:space="preserve"> </w:t>
      </w:r>
      <w:r w:rsidRPr="00FB3674">
        <w:t>and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public</w:t>
      </w:r>
      <w:r w:rsidR="001F7ED5" w:rsidRPr="00FB3674">
        <w:t xml:space="preserve"> </w:t>
      </w:r>
      <w:r w:rsidRPr="00FB3674">
        <w:t>interest</w:t>
      </w:r>
      <w:r w:rsidR="001F7ED5" w:rsidRPr="00FB3674">
        <w:t xml:space="preserve"> </w:t>
      </w:r>
      <w:r w:rsidRPr="00FB3674">
        <w:t>and</w:t>
      </w:r>
      <w:r w:rsidR="001F7ED5" w:rsidRPr="00FB3674">
        <w:t xml:space="preserve"> </w:t>
      </w:r>
      <w:r w:rsidRPr="00FB3674">
        <w:t>that,</w:t>
      </w:r>
      <w:r w:rsidR="001F7ED5" w:rsidRPr="00FB3674">
        <w:t xml:space="preserve"> </w:t>
      </w:r>
      <w:r w:rsidRPr="00FB3674">
        <w:t>by</w:t>
      </w:r>
      <w:r w:rsidR="001F7ED5" w:rsidRPr="00FB3674">
        <w:t xml:space="preserve"> </w:t>
      </w:r>
      <w:r w:rsidRPr="00FB3674">
        <w:t>imposing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restriction,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court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appeal</w:t>
      </w:r>
      <w:r w:rsidR="001F7ED5" w:rsidRPr="00FB3674">
        <w:t xml:space="preserve"> </w:t>
      </w:r>
      <w:r w:rsidRPr="00FB3674">
        <w:t>has</w:t>
      </w:r>
      <w:r w:rsidR="001F7ED5" w:rsidRPr="00FB3674">
        <w:t xml:space="preserve"> </w:t>
      </w:r>
      <w:r w:rsidRPr="00FB3674">
        <w:t>ensured</w:t>
      </w:r>
      <w:r w:rsidR="001F7ED5" w:rsidRPr="00FB3674">
        <w:t xml:space="preserve"> </w:t>
      </w:r>
      <w:r w:rsidRPr="00FB3674">
        <w:t>a</w:t>
      </w:r>
      <w:r w:rsidR="001F7ED5" w:rsidRPr="00FB3674">
        <w:t xml:space="preserve"> </w:t>
      </w:r>
      <w:r w:rsidRPr="00FB3674">
        <w:t>reasonable</w:t>
      </w:r>
      <w:r w:rsidR="001F7ED5" w:rsidRPr="00FB3674">
        <w:t xml:space="preserve"> </w:t>
      </w:r>
      <w:r w:rsidRPr="00FB3674">
        <w:t>balance</w:t>
      </w:r>
      <w:r w:rsidR="001F7ED5" w:rsidRPr="00FB3674">
        <w:t xml:space="preserve"> </w:t>
      </w:r>
      <w:r w:rsidRPr="00FB3674">
        <w:t>between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public</w:t>
      </w:r>
      <w:r w:rsidR="001F7ED5" w:rsidRPr="00FB3674">
        <w:t xml:space="preserve"> </w:t>
      </w:r>
      <w:r w:rsidRPr="00FB3674">
        <w:t>interest</w:t>
      </w:r>
      <w:r w:rsidR="001F7ED5" w:rsidRPr="00FB3674">
        <w:t xml:space="preserve"> </w:t>
      </w:r>
      <w:r w:rsidRPr="00FB3674">
        <w:t>and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interest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accused.</w:t>
      </w:r>
    </w:p>
    <w:p w14:paraId="70E49932" w14:textId="4D09EC98" w:rsidR="005D5882" w:rsidRPr="00FB3674" w:rsidRDefault="005D5882" w:rsidP="005D5882">
      <w:pPr>
        <w:pStyle w:val="SingleTxtG"/>
      </w:pPr>
      <w:r w:rsidRPr="00FB3674">
        <w:t>2.9</w:t>
      </w:r>
      <w:r w:rsidRPr="00FB3674">
        <w:tab/>
        <w:t>The</w:t>
      </w:r>
      <w:r w:rsidR="001F7ED5" w:rsidRPr="00FB3674">
        <w:t xml:space="preserve"> </w:t>
      </w:r>
      <w:r w:rsidRPr="00FB3674">
        <w:t>author</w:t>
      </w:r>
      <w:r w:rsidR="001F7ED5" w:rsidRPr="00FB3674">
        <w:t xml:space="preserve"> </w:t>
      </w:r>
      <w:r w:rsidRPr="00FB3674">
        <w:t>challenges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Supreme</w:t>
      </w:r>
      <w:r w:rsidR="001F7ED5" w:rsidRPr="00FB3674">
        <w:t xml:space="preserve"> </w:t>
      </w:r>
      <w:r w:rsidRPr="00FB3674">
        <w:t>Court</w:t>
      </w:r>
      <w:r w:rsidR="00FB3674">
        <w:t>’</w:t>
      </w:r>
      <w:r w:rsidRPr="00FB3674">
        <w:t>s</w:t>
      </w:r>
      <w:r w:rsidR="001F7ED5" w:rsidRPr="00FB3674">
        <w:t xml:space="preserve"> </w:t>
      </w:r>
      <w:r w:rsidRPr="00FB3674">
        <w:t>argument</w:t>
      </w:r>
      <w:r w:rsidR="001F7ED5" w:rsidRPr="00FB3674">
        <w:t xml:space="preserve"> </w:t>
      </w:r>
      <w:r w:rsidRPr="00FB3674">
        <w:t>by</w:t>
      </w:r>
      <w:r w:rsidR="001F7ED5" w:rsidRPr="00FB3674">
        <w:t xml:space="preserve"> </w:t>
      </w:r>
      <w:r w:rsidRPr="00FB3674">
        <w:t>noting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legal</w:t>
      </w:r>
      <w:r w:rsidR="001F7ED5" w:rsidRPr="00FB3674">
        <w:t xml:space="preserve"> </w:t>
      </w:r>
      <w:r w:rsidRPr="00FB3674">
        <w:t>basis</w:t>
      </w:r>
      <w:r w:rsidR="001F7ED5" w:rsidRPr="00FB3674">
        <w:t xml:space="preserve"> </w:t>
      </w:r>
      <w:r w:rsidRPr="00FB3674">
        <w:t>for</w:t>
      </w:r>
      <w:r w:rsidR="001F7ED5" w:rsidRPr="00FB3674">
        <w:t xml:space="preserve"> </w:t>
      </w:r>
      <w:r w:rsidRPr="00FB3674">
        <w:t>imposing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restriction</w:t>
      </w:r>
      <w:r w:rsidR="001F7ED5" w:rsidRPr="00FB3674">
        <w:t xml:space="preserve"> </w:t>
      </w:r>
      <w:r w:rsidRPr="00FB3674">
        <w:t>should</w:t>
      </w:r>
      <w:r w:rsidR="001F7ED5" w:rsidRPr="00FB3674">
        <w:t xml:space="preserve"> </w:t>
      </w:r>
      <w:r w:rsidRPr="00FB3674">
        <w:t>not</w:t>
      </w:r>
      <w:r w:rsidR="001F7ED5" w:rsidRPr="00FB3674">
        <w:t xml:space="preserve"> </w:t>
      </w:r>
      <w:r w:rsidRPr="00FB3674">
        <w:t>be</w:t>
      </w:r>
      <w:r w:rsidR="001F7ED5" w:rsidRPr="00FB3674">
        <w:t xml:space="preserve"> </w:t>
      </w:r>
      <w:r w:rsidRPr="00FB3674">
        <w:t>based</w:t>
      </w:r>
      <w:r w:rsidR="001F7ED5" w:rsidRPr="00FB3674">
        <w:t xml:space="preserve"> </w:t>
      </w:r>
      <w:r w:rsidRPr="00FB3674">
        <w:t>on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Law</w:t>
      </w:r>
      <w:r w:rsidR="001F7ED5" w:rsidRPr="00FB3674">
        <w:t xml:space="preserve"> </w:t>
      </w:r>
      <w:r w:rsidRPr="00FB3674">
        <w:t>on</w:t>
      </w:r>
      <w:r w:rsidR="001F7ED5" w:rsidRPr="00FB3674">
        <w:t xml:space="preserve"> </w:t>
      </w:r>
      <w:r w:rsidRPr="00FB3674">
        <w:t>Special</w:t>
      </w:r>
      <w:r w:rsidR="001F7ED5" w:rsidRPr="00FB3674">
        <w:t xml:space="preserve"> </w:t>
      </w:r>
      <w:r w:rsidRPr="00FB3674">
        <w:t>Investigative</w:t>
      </w:r>
      <w:r w:rsidR="001F7ED5" w:rsidRPr="00FB3674">
        <w:t xml:space="preserve"> </w:t>
      </w:r>
      <w:r w:rsidRPr="00FB3674">
        <w:t>Measures</w:t>
      </w:r>
      <w:r w:rsidR="001F7ED5" w:rsidRPr="00FB3674">
        <w:t xml:space="preserve"> </w:t>
      </w:r>
      <w:r w:rsidRPr="00FB3674">
        <w:t>but</w:t>
      </w:r>
      <w:r w:rsidR="001F7ED5" w:rsidRPr="00FB3674">
        <w:t xml:space="preserve"> </w:t>
      </w:r>
      <w:r w:rsidRPr="00FB3674">
        <w:t>on</w:t>
      </w:r>
      <w:r w:rsidR="001F7ED5" w:rsidRPr="00FB3674">
        <w:t xml:space="preserve"> </w:t>
      </w:r>
      <w:r w:rsidRPr="00FB3674">
        <w:t>article</w:t>
      </w:r>
      <w:r w:rsidR="001F7ED5" w:rsidRPr="00FB3674">
        <w:t xml:space="preserve"> </w:t>
      </w:r>
      <w:r w:rsidRPr="00FB3674">
        <w:t>6</w:t>
      </w:r>
      <w:r w:rsidR="001F7ED5" w:rsidRPr="00FB3674">
        <w:t xml:space="preserve"> </w:t>
      </w:r>
      <w:r w:rsidRPr="00FB3674">
        <w:t>(1)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European</w:t>
      </w:r>
      <w:r w:rsidR="001F7ED5" w:rsidRPr="00FB3674">
        <w:t xml:space="preserve"> </w:t>
      </w:r>
      <w:r w:rsidRPr="00FB3674">
        <w:t>Convention</w:t>
      </w:r>
      <w:r w:rsidR="001F7ED5" w:rsidRPr="00FB3674">
        <w:t xml:space="preserve"> </w:t>
      </w:r>
      <w:r w:rsidRPr="00FB3674">
        <w:t>on</w:t>
      </w:r>
      <w:r w:rsidR="001F7ED5" w:rsidRPr="00FB3674">
        <w:t xml:space="preserve"> </w:t>
      </w:r>
      <w:r w:rsidRPr="00FB3674">
        <w:t>Human</w:t>
      </w:r>
      <w:r w:rsidR="001F7ED5" w:rsidRPr="00FB3674">
        <w:t xml:space="preserve"> </w:t>
      </w:r>
      <w:r w:rsidRPr="00FB3674">
        <w:t>Rights</w:t>
      </w:r>
      <w:r w:rsidR="001F7ED5" w:rsidRPr="00FB3674">
        <w:t xml:space="preserve"> </w:t>
      </w:r>
      <w:r w:rsidRPr="00FB3674">
        <w:t>and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Court</w:t>
      </w:r>
      <w:r w:rsidR="001F7ED5" w:rsidRPr="00FB3674">
        <w:t xml:space="preserve"> </w:t>
      </w:r>
      <w:r w:rsidRPr="00FB3674">
        <w:t>failed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explain</w:t>
      </w:r>
      <w:r w:rsidR="001F7ED5" w:rsidRPr="00FB3674">
        <w:t xml:space="preserve"> </w:t>
      </w:r>
      <w:r w:rsidRPr="00FB3674">
        <w:t>why</w:t>
      </w:r>
      <w:r w:rsidR="001F7ED5" w:rsidRPr="00FB3674">
        <w:t xml:space="preserve"> </w:t>
      </w:r>
      <w:r w:rsidRPr="00FB3674">
        <w:t>such</w:t>
      </w:r>
      <w:r w:rsidR="001F7ED5" w:rsidRPr="00FB3674">
        <w:t xml:space="preserve"> </w:t>
      </w:r>
      <w:r w:rsidRPr="00FB3674">
        <w:t>a</w:t>
      </w:r>
      <w:r w:rsidR="001F7ED5" w:rsidRPr="00FB3674">
        <w:t xml:space="preserve"> </w:t>
      </w:r>
      <w:r w:rsidRPr="00FB3674">
        <w:t>restriction</w:t>
      </w:r>
      <w:r w:rsidR="001F7ED5" w:rsidRPr="00FB3674">
        <w:t xml:space="preserve"> </w:t>
      </w:r>
      <w:r w:rsidRPr="00FB3674">
        <w:t>was</w:t>
      </w:r>
      <w:r w:rsidR="001F7ED5" w:rsidRPr="00FB3674">
        <w:t xml:space="preserve"> </w:t>
      </w:r>
      <w:r w:rsidRPr="00FB3674">
        <w:t>strictly</w:t>
      </w:r>
      <w:r w:rsidR="001F7ED5" w:rsidRPr="00FB3674">
        <w:t xml:space="preserve"> </w:t>
      </w:r>
      <w:r w:rsidRPr="00FB3674">
        <w:t>necessary.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author</w:t>
      </w:r>
      <w:r w:rsidR="001F7ED5" w:rsidRPr="00FB3674">
        <w:t xml:space="preserve"> </w:t>
      </w:r>
      <w:r w:rsidRPr="00FB3674">
        <w:t>also</w:t>
      </w:r>
      <w:r w:rsidR="001F7ED5" w:rsidRPr="00FB3674">
        <w:t xml:space="preserve"> </w:t>
      </w:r>
      <w:r w:rsidRPr="00FB3674">
        <w:t>believes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jurisprudence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European</w:t>
      </w:r>
      <w:r w:rsidR="001F7ED5" w:rsidRPr="00FB3674">
        <w:t xml:space="preserve"> </w:t>
      </w:r>
      <w:r w:rsidRPr="00FB3674">
        <w:t>Court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Human</w:t>
      </w:r>
      <w:r w:rsidR="001F7ED5" w:rsidRPr="00FB3674">
        <w:t xml:space="preserve"> </w:t>
      </w:r>
      <w:r w:rsidRPr="00FB3674">
        <w:t>Rights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was</w:t>
      </w:r>
      <w:r w:rsidR="001F7ED5" w:rsidRPr="00FB3674">
        <w:t xml:space="preserve"> </w:t>
      </w:r>
      <w:r w:rsidRPr="00FB3674">
        <w:t>quoted</w:t>
      </w:r>
      <w:r w:rsidR="001F7ED5" w:rsidRPr="00FB3674">
        <w:t xml:space="preserve"> </w:t>
      </w:r>
      <w:r w:rsidRPr="00FB3674">
        <w:t>by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Supreme</w:t>
      </w:r>
      <w:r w:rsidR="001F7ED5" w:rsidRPr="00FB3674">
        <w:t xml:space="preserve"> </w:t>
      </w:r>
      <w:r w:rsidRPr="00FB3674">
        <w:t>Court</w:t>
      </w:r>
      <w:r w:rsidR="001F7ED5" w:rsidRPr="00FB3674">
        <w:t xml:space="preserve"> </w:t>
      </w:r>
      <w:r w:rsidRPr="00FB3674">
        <w:t>was</w:t>
      </w:r>
      <w:r w:rsidR="001F7ED5" w:rsidRPr="00FB3674">
        <w:t xml:space="preserve"> </w:t>
      </w:r>
      <w:r w:rsidRPr="00FB3674">
        <w:t>irrelevant.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author</w:t>
      </w:r>
      <w:r w:rsidR="001F7ED5" w:rsidRPr="00FB3674">
        <w:t xml:space="preserve"> </w:t>
      </w:r>
      <w:r w:rsidRPr="00FB3674">
        <w:t>argues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court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appeal</w:t>
      </w:r>
      <w:r w:rsidR="001F7ED5" w:rsidRPr="00FB3674">
        <w:t xml:space="preserve"> </w:t>
      </w:r>
      <w:r w:rsidRPr="00FB3674">
        <w:t>did</w:t>
      </w:r>
      <w:r w:rsidR="001F7ED5" w:rsidRPr="00FB3674">
        <w:t xml:space="preserve"> </w:t>
      </w:r>
      <w:r w:rsidRPr="00FB3674">
        <w:t>not</w:t>
      </w:r>
      <w:r w:rsidR="001F7ED5" w:rsidRPr="00FB3674">
        <w:t xml:space="preserve"> </w:t>
      </w:r>
      <w:r w:rsidRPr="00FB3674">
        <w:t>use</w:t>
      </w:r>
      <w:r w:rsidR="001F7ED5" w:rsidRPr="00FB3674">
        <w:t xml:space="preserve"> </w:t>
      </w:r>
      <w:r w:rsidRPr="00FB3674">
        <w:t>all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legal</w:t>
      </w:r>
      <w:r w:rsidR="001F7ED5" w:rsidRPr="00FB3674">
        <w:t xml:space="preserve"> </w:t>
      </w:r>
      <w:r w:rsidRPr="00FB3674">
        <w:t>options</w:t>
      </w:r>
      <w:r w:rsidR="001F7ED5" w:rsidRPr="00FB3674">
        <w:t xml:space="preserve"> </w:t>
      </w:r>
      <w:r w:rsidRPr="00FB3674">
        <w:t>laid</w:t>
      </w:r>
      <w:r w:rsidR="001F7ED5" w:rsidRPr="00FB3674">
        <w:t xml:space="preserve"> </w:t>
      </w:r>
      <w:r w:rsidRPr="00FB3674">
        <w:t>down</w:t>
      </w:r>
      <w:r w:rsidR="001F7ED5" w:rsidRPr="00FB3674">
        <w:t xml:space="preserve"> </w:t>
      </w:r>
      <w:r w:rsidRPr="00FB3674">
        <w:t>in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Code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Criminal</w:t>
      </w:r>
      <w:r w:rsidR="001F7ED5" w:rsidRPr="00FB3674">
        <w:t xml:space="preserve"> </w:t>
      </w:r>
      <w:r w:rsidRPr="00FB3674">
        <w:t>Procedure,</w:t>
      </w:r>
      <w:r w:rsidR="001F7ED5" w:rsidRPr="00FB3674">
        <w:t xml:space="preserve"> </w:t>
      </w:r>
      <w:r w:rsidRPr="00FB3674">
        <w:t>which</w:t>
      </w:r>
      <w:r w:rsidR="001F7ED5" w:rsidRPr="00FB3674">
        <w:t xml:space="preserve"> </w:t>
      </w:r>
      <w:r w:rsidRPr="00FB3674">
        <w:t>would</w:t>
      </w:r>
      <w:r w:rsidR="001F7ED5" w:rsidRPr="00FB3674">
        <w:t xml:space="preserve"> </w:t>
      </w:r>
      <w:r w:rsidRPr="00FB3674">
        <w:t>have</w:t>
      </w:r>
      <w:r w:rsidR="001F7ED5" w:rsidRPr="00FB3674">
        <w:t xml:space="preserve"> </w:t>
      </w:r>
      <w:r w:rsidRPr="00FB3674">
        <w:t>allowed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defence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exercise</w:t>
      </w:r>
      <w:r w:rsidR="001F7ED5" w:rsidRPr="00FB3674">
        <w:t xml:space="preserve"> </w:t>
      </w:r>
      <w:r w:rsidRPr="00FB3674">
        <w:t>its</w:t>
      </w:r>
      <w:r w:rsidR="001F7ED5" w:rsidRPr="00FB3674">
        <w:t xml:space="preserve"> </w:t>
      </w:r>
      <w:r w:rsidRPr="00FB3674">
        <w:t>right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fully</w:t>
      </w:r>
      <w:r w:rsidR="001F7ED5" w:rsidRPr="00FB3674">
        <w:t xml:space="preserve"> </w:t>
      </w:r>
      <w:r w:rsidRPr="00FB3674">
        <w:t>examine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files.</w:t>
      </w:r>
      <w:r w:rsidR="001F7ED5" w:rsidRPr="00FB3674">
        <w:t xml:space="preserve"> </w:t>
      </w:r>
      <w:r w:rsidRPr="00FB3674">
        <w:t>As</w:t>
      </w:r>
      <w:r w:rsidR="001F7ED5" w:rsidRPr="00FB3674">
        <w:t xml:space="preserve"> </w:t>
      </w:r>
      <w:r w:rsidRPr="00FB3674">
        <w:t>for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Supreme</w:t>
      </w:r>
      <w:r w:rsidR="001F7ED5" w:rsidRPr="00FB3674">
        <w:t xml:space="preserve"> </w:t>
      </w:r>
      <w:r w:rsidRPr="00FB3674">
        <w:t>Court</w:t>
      </w:r>
      <w:r w:rsidR="00FB3674">
        <w:t>’</w:t>
      </w:r>
      <w:r w:rsidRPr="00FB3674">
        <w:t>s</w:t>
      </w:r>
      <w:r w:rsidR="001F7ED5" w:rsidRPr="00FB3674">
        <w:t xml:space="preserve"> </w:t>
      </w:r>
      <w:r w:rsidRPr="00FB3674">
        <w:t>position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restriction</w:t>
      </w:r>
      <w:r w:rsidR="001F7ED5" w:rsidRPr="00FB3674">
        <w:t xml:space="preserve"> imposed </w:t>
      </w:r>
      <w:r w:rsidRPr="00FB3674">
        <w:t>was</w:t>
      </w:r>
      <w:r w:rsidR="001F7ED5" w:rsidRPr="00FB3674">
        <w:t xml:space="preserve"> </w:t>
      </w:r>
      <w:r w:rsidRPr="00FB3674">
        <w:t>aimed</w:t>
      </w:r>
      <w:r w:rsidR="001F7ED5" w:rsidRPr="00FB3674">
        <w:t xml:space="preserve"> </w:t>
      </w:r>
      <w:r w:rsidRPr="00FB3674">
        <w:t>at</w:t>
      </w:r>
      <w:r w:rsidR="001F7ED5" w:rsidRPr="00FB3674">
        <w:t xml:space="preserve"> </w:t>
      </w:r>
      <w:r w:rsidRPr="00FB3674">
        <w:t>protecting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public</w:t>
      </w:r>
      <w:r w:rsidR="001F7ED5" w:rsidRPr="00FB3674">
        <w:t xml:space="preserve"> </w:t>
      </w:r>
      <w:r w:rsidRPr="00FB3674">
        <w:t>interest,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author</w:t>
      </w:r>
      <w:r w:rsidR="001F7ED5" w:rsidRPr="00FB3674">
        <w:t xml:space="preserve"> </w:t>
      </w:r>
      <w:r w:rsidRPr="00FB3674">
        <w:t>notes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it</w:t>
      </w:r>
      <w:r w:rsidR="001F7ED5" w:rsidRPr="00FB3674">
        <w:t xml:space="preserve"> </w:t>
      </w:r>
      <w:r w:rsidRPr="00FB3674">
        <w:t>is</w:t>
      </w:r>
      <w:r w:rsidR="001F7ED5" w:rsidRPr="00FB3674">
        <w:t xml:space="preserve"> </w:t>
      </w:r>
      <w:r w:rsidRPr="00FB3674">
        <w:t>unclear</w:t>
      </w:r>
      <w:r w:rsidR="001F7ED5" w:rsidRPr="00FB3674">
        <w:t xml:space="preserve"> </w:t>
      </w:r>
      <w:r w:rsidRPr="00FB3674">
        <w:t>what</w:t>
      </w:r>
      <w:r w:rsidR="001F7ED5" w:rsidRPr="00FB3674">
        <w:t xml:space="preserve"> </w:t>
      </w:r>
      <w:r w:rsidRPr="00FB3674">
        <w:t>public</w:t>
      </w:r>
      <w:r w:rsidR="001F7ED5" w:rsidRPr="00FB3674">
        <w:t xml:space="preserve"> </w:t>
      </w:r>
      <w:r w:rsidRPr="00FB3674">
        <w:t>interest</w:t>
      </w:r>
      <w:r w:rsidR="001F7ED5" w:rsidRPr="00FB3674">
        <w:t xml:space="preserve"> </w:t>
      </w:r>
      <w:r w:rsidRPr="00FB3674">
        <w:t>would</w:t>
      </w:r>
      <w:r w:rsidR="001F7ED5" w:rsidRPr="00FB3674">
        <w:t xml:space="preserve"> </w:t>
      </w:r>
      <w:r w:rsidRPr="00FB3674">
        <w:t>have</w:t>
      </w:r>
      <w:r w:rsidR="001F7ED5" w:rsidRPr="00FB3674">
        <w:t xml:space="preserve"> </w:t>
      </w:r>
      <w:r w:rsidRPr="00FB3674">
        <w:t>been</w:t>
      </w:r>
      <w:r w:rsidR="001F7ED5" w:rsidRPr="00FB3674">
        <w:t xml:space="preserve"> </w:t>
      </w:r>
      <w:r w:rsidRPr="00FB3674">
        <w:t>offended</w:t>
      </w:r>
      <w:r w:rsidR="001F7ED5" w:rsidRPr="00FB3674">
        <w:t xml:space="preserve"> </w:t>
      </w:r>
      <w:r w:rsidRPr="00FB3674">
        <w:t>had</w:t>
      </w:r>
      <w:r w:rsidR="001F7ED5" w:rsidRPr="00FB3674">
        <w:t xml:space="preserve"> </w:t>
      </w:r>
      <w:r w:rsidRPr="00FB3674">
        <w:t>he</w:t>
      </w:r>
      <w:r w:rsidR="001F7ED5" w:rsidRPr="00FB3674">
        <w:t xml:space="preserve"> </w:t>
      </w:r>
      <w:r w:rsidRPr="00FB3674">
        <w:t>been</w:t>
      </w:r>
      <w:r w:rsidR="001F7ED5" w:rsidRPr="00FB3674">
        <w:t xml:space="preserve"> </w:t>
      </w:r>
      <w:r w:rsidRPr="00FB3674">
        <w:t>allowed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see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information,</w:t>
      </w:r>
      <w:r w:rsidR="001F7ED5" w:rsidRPr="00FB3674">
        <w:t xml:space="preserve"> </w:t>
      </w:r>
      <w:r w:rsidRPr="00FB3674">
        <w:t>which</w:t>
      </w:r>
      <w:r w:rsidR="001F7ED5" w:rsidRPr="00FB3674">
        <w:t xml:space="preserve"> </w:t>
      </w:r>
      <w:r w:rsidRPr="00FB3674">
        <w:t>was,</w:t>
      </w:r>
      <w:r w:rsidR="001F7ED5" w:rsidRPr="00FB3674">
        <w:t xml:space="preserve"> </w:t>
      </w:r>
      <w:r w:rsidRPr="00FB3674">
        <w:t>after</w:t>
      </w:r>
      <w:r w:rsidR="001F7ED5" w:rsidRPr="00FB3674">
        <w:t xml:space="preserve"> </w:t>
      </w:r>
      <w:r w:rsidRPr="00FB3674">
        <w:t>all,</w:t>
      </w:r>
      <w:r w:rsidR="001F7ED5" w:rsidRPr="00FB3674">
        <w:t xml:space="preserve"> </w:t>
      </w:r>
      <w:r w:rsidRPr="00FB3674">
        <w:t>considered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be</w:t>
      </w:r>
      <w:r w:rsidR="001F7ED5" w:rsidRPr="00FB3674">
        <w:t xml:space="preserve"> </w:t>
      </w:r>
      <w:r w:rsidRPr="00FB3674">
        <w:t>a</w:t>
      </w:r>
      <w:r w:rsidR="001F7ED5" w:rsidRPr="00FB3674">
        <w:t xml:space="preserve"> </w:t>
      </w:r>
      <w:r w:rsidRPr="00FB3674">
        <w:t>very</w:t>
      </w:r>
      <w:r w:rsidR="001F7ED5" w:rsidRPr="00FB3674">
        <w:t xml:space="preserve"> </w:t>
      </w:r>
      <w:r w:rsidRPr="00FB3674">
        <w:t>important</w:t>
      </w:r>
      <w:r w:rsidR="001F7ED5" w:rsidRPr="00FB3674">
        <w:t xml:space="preserve"> </w:t>
      </w:r>
      <w:r w:rsidRPr="00FB3674">
        <w:t>piece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evidence.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author</w:t>
      </w:r>
      <w:r w:rsidR="001F7ED5" w:rsidRPr="00FB3674">
        <w:t xml:space="preserve"> </w:t>
      </w:r>
      <w:r w:rsidRPr="00FB3674">
        <w:t>was</w:t>
      </w:r>
      <w:r w:rsidR="001F7ED5" w:rsidRPr="00FB3674">
        <w:t xml:space="preserve"> </w:t>
      </w:r>
      <w:r w:rsidRPr="00FB3674">
        <w:t>accused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committing</w:t>
      </w:r>
      <w:r w:rsidR="001F7ED5" w:rsidRPr="00FB3674">
        <w:t xml:space="preserve"> </w:t>
      </w:r>
      <w:r w:rsidRPr="00FB3674">
        <w:t>a</w:t>
      </w:r>
      <w:r w:rsidR="001F7ED5" w:rsidRPr="00FB3674">
        <w:t xml:space="preserve"> </w:t>
      </w:r>
      <w:r w:rsidRPr="00FB3674">
        <w:t>crime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did</w:t>
      </w:r>
      <w:r w:rsidR="001F7ED5" w:rsidRPr="00FB3674">
        <w:t xml:space="preserve"> </w:t>
      </w:r>
      <w:r w:rsidRPr="00FB3674">
        <w:t>not</w:t>
      </w:r>
      <w:r w:rsidR="001F7ED5" w:rsidRPr="00FB3674">
        <w:t xml:space="preserve"> </w:t>
      </w:r>
      <w:r w:rsidRPr="00FB3674">
        <w:t>endanger</w:t>
      </w:r>
      <w:r w:rsidR="001F7ED5" w:rsidRPr="00FB3674">
        <w:t xml:space="preserve"> </w:t>
      </w:r>
      <w:r w:rsidRPr="00FB3674">
        <w:t>State</w:t>
      </w:r>
      <w:r w:rsidR="001F7ED5" w:rsidRPr="00FB3674">
        <w:t xml:space="preserve"> security </w:t>
      </w:r>
      <w:r w:rsidRPr="00FB3674">
        <w:t>and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was</w:t>
      </w:r>
      <w:r w:rsidR="001F7ED5" w:rsidRPr="00FB3674">
        <w:t xml:space="preserve"> </w:t>
      </w:r>
      <w:r w:rsidRPr="00FB3674">
        <w:t>not</w:t>
      </w:r>
      <w:r w:rsidR="001F7ED5" w:rsidRPr="00FB3674">
        <w:t xml:space="preserve"> </w:t>
      </w:r>
      <w:r w:rsidRPr="00FB3674">
        <w:t>violent.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crime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he</w:t>
      </w:r>
      <w:r w:rsidR="001F7ED5" w:rsidRPr="00FB3674">
        <w:t xml:space="preserve"> </w:t>
      </w:r>
      <w:r w:rsidRPr="00FB3674">
        <w:t>was</w:t>
      </w:r>
      <w:r w:rsidR="001F7ED5" w:rsidRPr="00FB3674">
        <w:t xml:space="preserve"> </w:t>
      </w:r>
      <w:r w:rsidRPr="00FB3674">
        <w:t>accused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committing</w:t>
      </w:r>
      <w:r w:rsidR="001F7ED5" w:rsidRPr="00FB3674">
        <w:t xml:space="preserve"> </w:t>
      </w:r>
      <w:r w:rsidRPr="00FB3674">
        <w:t>did</w:t>
      </w:r>
      <w:r w:rsidR="001F7ED5" w:rsidRPr="00FB3674">
        <w:t xml:space="preserve"> </w:t>
      </w:r>
      <w:r w:rsidRPr="00FB3674">
        <w:t>not</w:t>
      </w:r>
      <w:r w:rsidR="001F7ED5" w:rsidRPr="00FB3674">
        <w:t xml:space="preserve"> </w:t>
      </w:r>
      <w:r w:rsidRPr="00FB3674">
        <w:t>offend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public</w:t>
      </w:r>
      <w:r w:rsidR="001F7ED5" w:rsidRPr="00FB3674">
        <w:t xml:space="preserve"> </w:t>
      </w:r>
      <w:r w:rsidRPr="00FB3674">
        <w:t>interest</w:t>
      </w:r>
      <w:r w:rsidR="001F7ED5" w:rsidRPr="00FB3674">
        <w:t xml:space="preserve"> </w:t>
      </w:r>
      <w:r w:rsidRPr="00FB3674">
        <w:t>in</w:t>
      </w:r>
      <w:r w:rsidR="001F7ED5" w:rsidRPr="00FB3674">
        <w:t xml:space="preserve"> </w:t>
      </w:r>
      <w:r w:rsidRPr="00FB3674">
        <w:t>such</w:t>
      </w:r>
      <w:r w:rsidR="001F7ED5" w:rsidRPr="00FB3674">
        <w:t xml:space="preserve"> </w:t>
      </w:r>
      <w:r w:rsidRPr="00FB3674">
        <w:t>a</w:t>
      </w:r>
      <w:r w:rsidR="001F7ED5" w:rsidRPr="00FB3674">
        <w:t xml:space="preserve"> </w:t>
      </w:r>
      <w:r w:rsidRPr="00FB3674">
        <w:t>grave</w:t>
      </w:r>
      <w:r w:rsidR="001F7ED5" w:rsidRPr="00FB3674">
        <w:t xml:space="preserve"> </w:t>
      </w:r>
      <w:r w:rsidRPr="00FB3674">
        <w:t>manner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it</w:t>
      </w:r>
      <w:r w:rsidR="001F7ED5" w:rsidRPr="00FB3674">
        <w:t xml:space="preserve"> </w:t>
      </w:r>
      <w:r w:rsidRPr="00FB3674">
        <w:t>was</w:t>
      </w:r>
      <w:r w:rsidR="001F7ED5" w:rsidRPr="00FB3674">
        <w:t xml:space="preserve"> </w:t>
      </w:r>
      <w:r w:rsidRPr="00FB3674">
        <w:t>necessary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restrict</w:t>
      </w:r>
      <w:r w:rsidR="001F7ED5" w:rsidRPr="00FB3674">
        <w:t xml:space="preserve"> </w:t>
      </w:r>
      <w:r w:rsidRPr="00FB3674">
        <w:t>his</w:t>
      </w:r>
      <w:r w:rsidR="001F7ED5" w:rsidRPr="00FB3674">
        <w:t xml:space="preserve"> </w:t>
      </w:r>
      <w:r w:rsidRPr="00FB3674">
        <w:t>fundamental</w:t>
      </w:r>
      <w:r w:rsidR="001F7ED5" w:rsidRPr="00FB3674">
        <w:t xml:space="preserve"> </w:t>
      </w:r>
      <w:r w:rsidRPr="00FB3674">
        <w:t>right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defend</w:t>
      </w:r>
      <w:r w:rsidR="001F7ED5" w:rsidRPr="00FB3674">
        <w:t xml:space="preserve"> </w:t>
      </w:r>
      <w:r w:rsidRPr="00FB3674">
        <w:t>himself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such</w:t>
      </w:r>
      <w:r w:rsidR="001F7ED5" w:rsidRPr="00FB3674">
        <w:t xml:space="preserve"> </w:t>
      </w:r>
      <w:r w:rsidRPr="00FB3674">
        <w:t>a</w:t>
      </w:r>
      <w:r w:rsidR="001F7ED5" w:rsidRPr="00FB3674">
        <w:t xml:space="preserve"> </w:t>
      </w:r>
      <w:r w:rsidRPr="00FB3674">
        <w:t>significant</w:t>
      </w:r>
      <w:r w:rsidR="001F7ED5" w:rsidRPr="00FB3674">
        <w:t xml:space="preserve"> </w:t>
      </w:r>
      <w:r w:rsidRPr="00FB3674">
        <w:t>extent.</w:t>
      </w:r>
      <w:r w:rsidR="001F7ED5" w:rsidRPr="00FB3674">
        <w:t xml:space="preserve"> </w:t>
      </w:r>
      <w:r w:rsidRPr="00FB3674">
        <w:t>Therefore,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author</w:t>
      </w:r>
      <w:r w:rsidR="001F7ED5" w:rsidRPr="00FB3674">
        <w:t xml:space="preserve"> </w:t>
      </w:r>
      <w:r w:rsidRPr="00FB3674">
        <w:t>concludes,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Supreme</w:t>
      </w:r>
      <w:r w:rsidR="001F7ED5" w:rsidRPr="00FB3674">
        <w:t xml:space="preserve"> </w:t>
      </w:r>
      <w:r w:rsidRPr="00FB3674">
        <w:t>Court</w:t>
      </w:r>
      <w:r w:rsidR="001F7ED5" w:rsidRPr="00FB3674">
        <w:t xml:space="preserve"> </w:t>
      </w:r>
      <w:r w:rsidRPr="00FB3674">
        <w:t>did</w:t>
      </w:r>
      <w:r w:rsidR="001F7ED5" w:rsidRPr="00FB3674">
        <w:t xml:space="preserve"> </w:t>
      </w:r>
      <w:r w:rsidRPr="00FB3674">
        <w:t>not</w:t>
      </w:r>
      <w:r w:rsidR="001F7ED5" w:rsidRPr="00FB3674">
        <w:t xml:space="preserve"> </w:t>
      </w:r>
      <w:r w:rsidRPr="00FB3674">
        <w:t>ensure</w:t>
      </w:r>
      <w:r w:rsidR="001F7ED5" w:rsidRPr="00FB3674">
        <w:t xml:space="preserve"> </w:t>
      </w:r>
      <w:r w:rsidRPr="00FB3674">
        <w:t>a</w:t>
      </w:r>
      <w:r w:rsidR="001F7ED5" w:rsidRPr="00FB3674">
        <w:t xml:space="preserve"> </w:t>
      </w:r>
      <w:r w:rsidRPr="00FB3674">
        <w:t>reasonable</w:t>
      </w:r>
      <w:r w:rsidR="001F7ED5" w:rsidRPr="00FB3674">
        <w:t xml:space="preserve"> </w:t>
      </w:r>
      <w:r w:rsidRPr="00FB3674">
        <w:t>balance</w:t>
      </w:r>
      <w:r w:rsidR="001F7ED5" w:rsidRPr="00FB3674">
        <w:t xml:space="preserve"> </w:t>
      </w:r>
      <w:r w:rsidRPr="00FB3674">
        <w:t>between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public</w:t>
      </w:r>
      <w:r w:rsidR="001F7ED5" w:rsidRPr="00FB3674">
        <w:t xml:space="preserve"> </w:t>
      </w:r>
      <w:r w:rsidRPr="00FB3674">
        <w:t>interest</w:t>
      </w:r>
      <w:r w:rsidR="001F7ED5" w:rsidRPr="00FB3674">
        <w:t xml:space="preserve"> </w:t>
      </w:r>
      <w:r w:rsidRPr="00FB3674">
        <w:t>and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interest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accused.</w:t>
      </w:r>
    </w:p>
    <w:p w14:paraId="0CD60369" w14:textId="23464D22" w:rsidR="005D5882" w:rsidRPr="00FB3674" w:rsidRDefault="005D5882" w:rsidP="005D5882">
      <w:pPr>
        <w:pStyle w:val="SingleTxtG"/>
      </w:pPr>
      <w:r w:rsidRPr="00FB3674">
        <w:t>2.10</w:t>
      </w:r>
      <w:r w:rsidRPr="00FB3674">
        <w:tab/>
        <w:t>On</w:t>
      </w:r>
      <w:r w:rsidR="001F7ED5" w:rsidRPr="00FB3674">
        <w:t xml:space="preserve"> </w:t>
      </w:r>
      <w:r w:rsidRPr="00FB3674">
        <w:t>1</w:t>
      </w:r>
      <w:r w:rsidR="001F7ED5" w:rsidRPr="00FB3674">
        <w:t xml:space="preserve"> </w:t>
      </w:r>
      <w:r w:rsidRPr="00FB3674">
        <w:t>December</w:t>
      </w:r>
      <w:r w:rsidR="001F7ED5" w:rsidRPr="00FB3674">
        <w:t xml:space="preserve"> </w:t>
      </w:r>
      <w:r w:rsidRPr="00FB3674">
        <w:t>2016,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author</w:t>
      </w:r>
      <w:r w:rsidR="00FB3674">
        <w:t>’</w:t>
      </w:r>
      <w:r w:rsidRPr="00FB3674">
        <w:t>s</w:t>
      </w:r>
      <w:r w:rsidR="001F7ED5" w:rsidRPr="00FB3674">
        <w:t xml:space="preserve"> </w:t>
      </w:r>
      <w:r w:rsidRPr="00FB3674">
        <w:t>complaint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European</w:t>
      </w:r>
      <w:r w:rsidR="001F7ED5" w:rsidRPr="00FB3674">
        <w:t xml:space="preserve"> </w:t>
      </w:r>
      <w:r w:rsidRPr="00FB3674">
        <w:t>Court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Human</w:t>
      </w:r>
      <w:r w:rsidR="001F7ED5" w:rsidRPr="00FB3674">
        <w:t xml:space="preserve"> </w:t>
      </w:r>
      <w:r w:rsidRPr="00FB3674">
        <w:t>Rights</w:t>
      </w:r>
      <w:r w:rsidR="001F7ED5" w:rsidRPr="00FB3674">
        <w:t xml:space="preserve"> </w:t>
      </w:r>
      <w:r w:rsidRPr="00FB3674">
        <w:t>regarding</w:t>
      </w:r>
      <w:r w:rsidR="001F7ED5" w:rsidRPr="00FB3674">
        <w:t xml:space="preserve"> </w:t>
      </w:r>
      <w:r w:rsidRPr="00FB3674">
        <w:t>its</w:t>
      </w:r>
      <w:r w:rsidR="001F7ED5" w:rsidRPr="00FB3674">
        <w:t xml:space="preserve"> </w:t>
      </w:r>
      <w:r w:rsidRPr="00FB3674">
        <w:t>judgment</w:t>
      </w:r>
      <w:r w:rsidR="001F7ED5" w:rsidRPr="00FB3674">
        <w:t xml:space="preserve"> </w:t>
      </w:r>
      <w:r w:rsidRPr="00FB3674">
        <w:t>in</w:t>
      </w:r>
      <w:r w:rsidR="001F7ED5" w:rsidRPr="00FB3674">
        <w:t xml:space="preserve"> </w:t>
      </w:r>
      <w:r w:rsidRPr="00FB3674">
        <w:rPr>
          <w:i/>
          <w:iCs/>
        </w:rPr>
        <w:t>Baltiņš</w:t>
      </w:r>
      <w:r w:rsidR="001F7ED5" w:rsidRPr="00FB3674">
        <w:rPr>
          <w:i/>
        </w:rPr>
        <w:t xml:space="preserve"> </w:t>
      </w:r>
      <w:r w:rsidRPr="00FB3674">
        <w:rPr>
          <w:i/>
        </w:rPr>
        <w:t>v.</w:t>
      </w:r>
      <w:r w:rsidR="001F7ED5" w:rsidRPr="00FB3674">
        <w:rPr>
          <w:i/>
        </w:rPr>
        <w:t xml:space="preserve"> </w:t>
      </w:r>
      <w:r w:rsidRPr="00FB3674">
        <w:rPr>
          <w:i/>
        </w:rPr>
        <w:t>Latvia</w:t>
      </w:r>
      <w:r w:rsidR="001F7ED5" w:rsidRPr="00FB3674">
        <w:t xml:space="preserve"> </w:t>
      </w:r>
      <w:r w:rsidRPr="00FB3674">
        <w:t>was</w:t>
      </w:r>
      <w:r w:rsidR="001F7ED5" w:rsidRPr="00FB3674">
        <w:t xml:space="preserve"> </w:t>
      </w:r>
      <w:r w:rsidRPr="00FB3674">
        <w:t>dismissed</w:t>
      </w:r>
      <w:r w:rsidR="001F7ED5" w:rsidRPr="00FB3674">
        <w:t xml:space="preserve"> </w:t>
      </w:r>
      <w:r w:rsidRPr="00FB3674">
        <w:t>by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Court</w:t>
      </w:r>
      <w:r w:rsidR="001F7ED5" w:rsidRPr="00FB3674">
        <w:t xml:space="preserve"> </w:t>
      </w:r>
      <w:r w:rsidRPr="00FB3674">
        <w:t>sitting</w:t>
      </w:r>
      <w:r w:rsidR="001F7ED5" w:rsidRPr="00FB3674">
        <w:t xml:space="preserve"> </w:t>
      </w:r>
      <w:r w:rsidRPr="00FB3674">
        <w:t>in</w:t>
      </w:r>
      <w:r w:rsidR="001F7ED5" w:rsidRPr="00FB3674">
        <w:t xml:space="preserve"> </w:t>
      </w:r>
      <w:r w:rsidRPr="00FB3674">
        <w:t>a</w:t>
      </w:r>
      <w:r w:rsidR="001F7ED5" w:rsidRPr="00FB3674">
        <w:t xml:space="preserve"> </w:t>
      </w:r>
      <w:r w:rsidRPr="00FB3674">
        <w:t>single</w:t>
      </w:r>
      <w:r w:rsidR="001F7ED5" w:rsidRPr="00FB3674">
        <w:t xml:space="preserve"> </w:t>
      </w:r>
      <w:r w:rsidRPr="00FB3674">
        <w:t>judge</w:t>
      </w:r>
      <w:r w:rsidR="001F7ED5" w:rsidRPr="00FB3674">
        <w:t xml:space="preserve"> </w:t>
      </w:r>
      <w:r w:rsidRPr="00FB3674">
        <w:t>formation</w:t>
      </w:r>
      <w:r w:rsidR="001F7ED5" w:rsidRPr="00FB3674">
        <w:t xml:space="preserve"> </w:t>
      </w:r>
      <w:r w:rsidRPr="00FB3674">
        <w:t>and</w:t>
      </w:r>
      <w:r w:rsidR="001F7ED5" w:rsidRPr="00FB3674">
        <w:t xml:space="preserve"> </w:t>
      </w:r>
      <w:r w:rsidRPr="00FB3674">
        <w:t>declared</w:t>
      </w:r>
      <w:r w:rsidR="001F7ED5" w:rsidRPr="00FB3674">
        <w:t xml:space="preserve"> </w:t>
      </w:r>
      <w:r w:rsidRPr="00FB3674">
        <w:t>inadmissible</w:t>
      </w:r>
      <w:r w:rsidR="001F7ED5" w:rsidRPr="00FB3674">
        <w:t xml:space="preserve"> </w:t>
      </w:r>
      <w:r w:rsidRPr="00FB3674">
        <w:t>on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basis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admissibility</w:t>
      </w:r>
      <w:r w:rsidR="001F7ED5" w:rsidRPr="00FB3674">
        <w:t xml:space="preserve"> </w:t>
      </w:r>
      <w:r w:rsidRPr="00FB3674">
        <w:t>criteria</w:t>
      </w:r>
      <w:r w:rsidR="001F7ED5" w:rsidRPr="00FB3674">
        <w:t xml:space="preserve"> </w:t>
      </w:r>
      <w:r w:rsidRPr="00FB3674">
        <w:t>set</w:t>
      </w:r>
      <w:r w:rsidR="001F7ED5" w:rsidRPr="00FB3674">
        <w:t xml:space="preserve"> </w:t>
      </w:r>
      <w:r w:rsidRPr="00FB3674">
        <w:t>out</w:t>
      </w:r>
      <w:r w:rsidR="001F7ED5" w:rsidRPr="00FB3674">
        <w:t xml:space="preserve"> </w:t>
      </w:r>
      <w:r w:rsidRPr="00FB3674">
        <w:t>in</w:t>
      </w:r>
      <w:r w:rsidR="001F7ED5" w:rsidRPr="00FB3674">
        <w:t xml:space="preserve"> </w:t>
      </w:r>
      <w:r w:rsidRPr="00FB3674">
        <w:t>articles</w:t>
      </w:r>
      <w:r w:rsidR="001F7ED5" w:rsidRPr="00FB3674">
        <w:t xml:space="preserve"> </w:t>
      </w:r>
      <w:r w:rsidRPr="00FB3674">
        <w:t>34</w:t>
      </w:r>
      <w:r w:rsidR="001F7ED5" w:rsidRPr="00FB3674">
        <w:t xml:space="preserve"> </w:t>
      </w:r>
      <w:r w:rsidRPr="00FB3674">
        <w:t>and</w:t>
      </w:r>
      <w:r w:rsidR="001F7ED5" w:rsidRPr="00FB3674">
        <w:t xml:space="preserve"> </w:t>
      </w:r>
      <w:r w:rsidRPr="00FB3674">
        <w:t>35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European</w:t>
      </w:r>
      <w:r w:rsidR="001F7ED5" w:rsidRPr="00FB3674">
        <w:t xml:space="preserve"> </w:t>
      </w:r>
      <w:r w:rsidRPr="00FB3674">
        <w:t>Convention</w:t>
      </w:r>
      <w:r w:rsidR="001F7ED5" w:rsidRPr="00FB3674">
        <w:t xml:space="preserve"> </w:t>
      </w:r>
      <w:r w:rsidRPr="00FB3674">
        <w:t>on</w:t>
      </w:r>
      <w:r w:rsidR="001F7ED5" w:rsidRPr="00FB3674">
        <w:t xml:space="preserve"> Human </w:t>
      </w:r>
      <w:r w:rsidRPr="00FB3674">
        <w:t>Rights</w:t>
      </w:r>
      <w:r w:rsidR="001F7ED5" w:rsidRPr="00FB3674">
        <w:t xml:space="preserve"> </w:t>
      </w:r>
      <w:r w:rsidRPr="00FB3674">
        <w:t>had</w:t>
      </w:r>
      <w:r w:rsidR="001F7ED5" w:rsidRPr="00FB3674">
        <w:t xml:space="preserve"> </w:t>
      </w:r>
      <w:r w:rsidRPr="00FB3674">
        <w:t>not</w:t>
      </w:r>
      <w:r w:rsidR="001F7ED5" w:rsidRPr="00FB3674">
        <w:t xml:space="preserve"> </w:t>
      </w:r>
      <w:r w:rsidRPr="00FB3674">
        <w:t>been</w:t>
      </w:r>
      <w:r w:rsidR="001F7ED5" w:rsidRPr="00FB3674">
        <w:t xml:space="preserve"> </w:t>
      </w:r>
      <w:r w:rsidRPr="00FB3674">
        <w:t>met.</w:t>
      </w:r>
    </w:p>
    <w:p w14:paraId="094D8A85" w14:textId="77777777" w:rsidR="005D5882" w:rsidRPr="00FB3674" w:rsidRDefault="005D5882" w:rsidP="004A5C52">
      <w:pPr>
        <w:pStyle w:val="H23G"/>
      </w:pPr>
      <w:r w:rsidRPr="00FB3674">
        <w:tab/>
      </w:r>
      <w:r w:rsidRPr="00FB3674">
        <w:tab/>
        <w:t>Complaint</w:t>
      </w:r>
    </w:p>
    <w:p w14:paraId="32E97EB6" w14:textId="38B1BE29" w:rsidR="001F7ED5" w:rsidRPr="00FB3674" w:rsidRDefault="005D5882" w:rsidP="005D5882">
      <w:pPr>
        <w:pStyle w:val="SingleTxtG"/>
      </w:pPr>
      <w:r w:rsidRPr="00FB3674">
        <w:t>3.1</w:t>
      </w:r>
      <w:r w:rsidRPr="00FB3674">
        <w:tab/>
        <w:t>The</w:t>
      </w:r>
      <w:r w:rsidR="001F7ED5" w:rsidRPr="00FB3674">
        <w:t xml:space="preserve"> </w:t>
      </w:r>
      <w:r w:rsidRPr="00FB3674">
        <w:t>author</w:t>
      </w:r>
      <w:r w:rsidR="001F7ED5" w:rsidRPr="00FB3674">
        <w:t xml:space="preserve"> </w:t>
      </w:r>
      <w:r w:rsidRPr="00FB3674">
        <w:t>claims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State</w:t>
      </w:r>
      <w:r w:rsidR="001F7ED5" w:rsidRPr="00FB3674">
        <w:t xml:space="preserve"> </w:t>
      </w:r>
      <w:r w:rsidRPr="00FB3674">
        <w:t>party</w:t>
      </w:r>
      <w:r w:rsidR="001F7ED5" w:rsidRPr="00FB3674">
        <w:t xml:space="preserve"> </w:t>
      </w:r>
      <w:r w:rsidRPr="00FB3674">
        <w:t>has</w:t>
      </w:r>
      <w:r w:rsidR="001F7ED5" w:rsidRPr="00FB3674">
        <w:t xml:space="preserve"> </w:t>
      </w:r>
      <w:r w:rsidRPr="00FB3674">
        <w:t>violated</w:t>
      </w:r>
      <w:r w:rsidR="001F7ED5" w:rsidRPr="00FB3674">
        <w:t xml:space="preserve"> </w:t>
      </w:r>
      <w:r w:rsidRPr="00FB3674">
        <w:t>his</w:t>
      </w:r>
      <w:r w:rsidR="001F7ED5" w:rsidRPr="00FB3674">
        <w:t xml:space="preserve"> </w:t>
      </w:r>
      <w:r w:rsidRPr="00FB3674">
        <w:t>rights</w:t>
      </w:r>
      <w:r w:rsidR="001F7ED5" w:rsidRPr="00FB3674">
        <w:t xml:space="preserve"> </w:t>
      </w:r>
      <w:r w:rsidRPr="00FB3674">
        <w:t>under</w:t>
      </w:r>
      <w:r w:rsidR="001F7ED5" w:rsidRPr="00FB3674">
        <w:t xml:space="preserve"> </w:t>
      </w:r>
      <w:r w:rsidRPr="00FB3674">
        <w:t>article</w:t>
      </w:r>
      <w:r w:rsidR="001F7ED5" w:rsidRPr="00FB3674">
        <w:t xml:space="preserve"> </w:t>
      </w:r>
      <w:r w:rsidRPr="00FB3674">
        <w:t>14</w:t>
      </w:r>
      <w:r w:rsidR="001F7ED5" w:rsidRPr="00FB3674">
        <w:t xml:space="preserve"> </w:t>
      </w:r>
      <w:r w:rsidRPr="00FB3674">
        <w:t>(1)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Covenant</w:t>
      </w:r>
      <w:r w:rsidR="001F7ED5" w:rsidRPr="00FB3674">
        <w:t xml:space="preserve"> </w:t>
      </w:r>
      <w:r w:rsidRPr="00FB3674">
        <w:t>because</w:t>
      </w:r>
      <w:r w:rsidR="001F7ED5" w:rsidRPr="00FB3674">
        <w:t xml:space="preserve"> </w:t>
      </w:r>
      <w:r w:rsidRPr="00FB3674">
        <w:t>neither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court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appeal</w:t>
      </w:r>
      <w:r w:rsidR="001F7ED5" w:rsidRPr="00FB3674">
        <w:t xml:space="preserve"> </w:t>
      </w:r>
      <w:r w:rsidRPr="00FB3674">
        <w:t>nor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Supreme</w:t>
      </w:r>
      <w:r w:rsidR="001F7ED5" w:rsidRPr="00FB3674">
        <w:t xml:space="preserve"> </w:t>
      </w:r>
      <w:r w:rsidRPr="00FB3674">
        <w:t>Court,</w:t>
      </w:r>
      <w:r w:rsidR="001F7ED5" w:rsidRPr="00FB3674">
        <w:t xml:space="preserve"> </w:t>
      </w:r>
      <w:r w:rsidRPr="00FB3674">
        <w:t>acting</w:t>
      </w:r>
      <w:r w:rsidR="001F7ED5" w:rsidRPr="00FB3674">
        <w:t xml:space="preserve"> </w:t>
      </w:r>
      <w:r w:rsidRPr="00FB3674">
        <w:t>as</w:t>
      </w:r>
      <w:r w:rsidR="001F7ED5" w:rsidRPr="00FB3674">
        <w:t xml:space="preserve"> </w:t>
      </w:r>
      <w:r w:rsidRPr="00FB3674">
        <w:t>a</w:t>
      </w:r>
      <w:r w:rsidR="001F7ED5" w:rsidRPr="00FB3674">
        <w:t xml:space="preserve"> </w:t>
      </w:r>
      <w:r w:rsidRPr="00FB3674">
        <w:t>cassation</w:t>
      </w:r>
      <w:r w:rsidR="001F7ED5" w:rsidRPr="00FB3674">
        <w:t xml:space="preserve"> </w:t>
      </w:r>
      <w:r w:rsidRPr="00FB3674">
        <w:t>instance,</w:t>
      </w:r>
      <w:r w:rsidR="001F7ED5" w:rsidRPr="00FB3674">
        <w:t xml:space="preserve"> </w:t>
      </w:r>
      <w:r w:rsidRPr="00FB3674">
        <w:t>had</w:t>
      </w:r>
      <w:r w:rsidR="001F7ED5" w:rsidRPr="00FB3674">
        <w:t xml:space="preserve"> </w:t>
      </w:r>
      <w:r w:rsidRPr="00FB3674">
        <w:t>verified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information</w:t>
      </w:r>
      <w:r w:rsidR="001F7ED5" w:rsidRPr="00FB3674">
        <w:t xml:space="preserve"> </w:t>
      </w:r>
      <w:r w:rsidRPr="00FB3674">
        <w:t>contained</w:t>
      </w:r>
      <w:r w:rsidR="001F7ED5" w:rsidRPr="00FB3674">
        <w:t xml:space="preserve"> </w:t>
      </w:r>
      <w:r w:rsidRPr="00FB3674">
        <w:t>in</w:t>
      </w:r>
      <w:r w:rsidR="001F7ED5" w:rsidRPr="00FB3674">
        <w:t xml:space="preserve"> </w:t>
      </w:r>
      <w:r w:rsidRPr="00FB3674">
        <w:t>two</w:t>
      </w:r>
      <w:r w:rsidR="001F7ED5" w:rsidRPr="00FB3674">
        <w:t xml:space="preserve"> </w:t>
      </w:r>
      <w:r w:rsidRPr="00FB3674">
        <w:t>special</w:t>
      </w:r>
      <w:r w:rsidR="001F7ED5" w:rsidRPr="00FB3674">
        <w:t xml:space="preserve"> </w:t>
      </w:r>
      <w:r w:rsidRPr="00FB3674">
        <w:t>investigative</w:t>
      </w:r>
      <w:r w:rsidR="001F7ED5" w:rsidRPr="00FB3674">
        <w:t xml:space="preserve"> </w:t>
      </w:r>
      <w:r w:rsidRPr="00FB3674">
        <w:t>files</w:t>
      </w:r>
      <w:r w:rsidR="001F7ED5" w:rsidRPr="00FB3674">
        <w:t xml:space="preserve"> </w:t>
      </w:r>
      <w:r w:rsidRPr="00FB3674">
        <w:t>pertaining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police</w:t>
      </w:r>
      <w:r w:rsidR="001F7ED5" w:rsidRPr="00FB3674">
        <w:t xml:space="preserve"> </w:t>
      </w:r>
      <w:r w:rsidRPr="00FB3674">
        <w:t>operation</w:t>
      </w:r>
      <w:r w:rsidR="001F7ED5" w:rsidRPr="00FB3674">
        <w:t xml:space="preserve"> </w:t>
      </w:r>
      <w:r w:rsidR="002E7C71">
        <w:t>“</w:t>
      </w:r>
      <w:r w:rsidRPr="00FB3674">
        <w:t>Rebus</w:t>
      </w:r>
      <w:r w:rsidR="002E7C71">
        <w:t>”</w:t>
      </w:r>
      <w:r w:rsidR="001F7ED5" w:rsidRPr="00FB3674">
        <w:t xml:space="preserve"> </w:t>
      </w:r>
      <w:r w:rsidRPr="00FB3674">
        <w:t>during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court</w:t>
      </w:r>
      <w:r w:rsidR="001F7ED5" w:rsidRPr="00FB3674">
        <w:t xml:space="preserve"> </w:t>
      </w:r>
      <w:r w:rsidRPr="00FB3674">
        <w:t>hearings,</w:t>
      </w:r>
      <w:r w:rsidR="001F7ED5" w:rsidRPr="00FB3674">
        <w:t xml:space="preserve"> </w:t>
      </w:r>
      <w:r w:rsidRPr="00FB3674">
        <w:t>which</w:t>
      </w:r>
      <w:r w:rsidR="001F7ED5" w:rsidRPr="00FB3674">
        <w:t xml:space="preserve"> </w:t>
      </w:r>
      <w:r w:rsidRPr="00FB3674">
        <w:t>should</w:t>
      </w:r>
      <w:r w:rsidR="001F7ED5" w:rsidRPr="00FB3674">
        <w:t xml:space="preserve"> </w:t>
      </w:r>
      <w:r w:rsidRPr="00FB3674">
        <w:t>not</w:t>
      </w:r>
      <w:r w:rsidR="001F7ED5" w:rsidRPr="00FB3674">
        <w:t xml:space="preserve"> </w:t>
      </w:r>
      <w:r w:rsidRPr="00FB3674">
        <w:t>have</w:t>
      </w:r>
      <w:r w:rsidR="001F7ED5" w:rsidRPr="00FB3674">
        <w:t xml:space="preserve"> </w:t>
      </w:r>
      <w:r w:rsidRPr="00FB3674">
        <w:t>been</w:t>
      </w:r>
      <w:r w:rsidR="001F7ED5" w:rsidRPr="00FB3674">
        <w:t xml:space="preserve"> </w:t>
      </w:r>
      <w:r w:rsidRPr="00FB3674">
        <w:t>considered</w:t>
      </w:r>
      <w:r w:rsidR="001F7ED5" w:rsidRPr="00FB3674">
        <w:t xml:space="preserve"> </w:t>
      </w:r>
      <w:r w:rsidRPr="00FB3674">
        <w:t>as</w:t>
      </w:r>
      <w:r w:rsidR="001F7ED5" w:rsidRPr="00FB3674">
        <w:t xml:space="preserve"> </w:t>
      </w:r>
      <w:r w:rsidRPr="00FB3674">
        <w:t>evidence</w:t>
      </w:r>
      <w:r w:rsidR="001F7ED5" w:rsidRPr="00FB3674">
        <w:t xml:space="preserve"> </w:t>
      </w:r>
      <w:r w:rsidRPr="00FB3674">
        <w:t>but</w:t>
      </w:r>
      <w:r w:rsidR="001F7ED5" w:rsidRPr="00FB3674">
        <w:t xml:space="preserve"> </w:t>
      </w:r>
      <w:r w:rsidRPr="00FB3674">
        <w:t>should</w:t>
      </w:r>
      <w:r w:rsidR="001F7ED5" w:rsidRPr="00FB3674">
        <w:t xml:space="preserve"> </w:t>
      </w:r>
      <w:r w:rsidRPr="00FB3674">
        <w:t>instead</w:t>
      </w:r>
      <w:r w:rsidR="001F7ED5" w:rsidRPr="00FB3674">
        <w:t xml:space="preserve"> </w:t>
      </w:r>
      <w:r w:rsidRPr="00FB3674">
        <w:t>have</w:t>
      </w:r>
      <w:r w:rsidR="001F7ED5" w:rsidRPr="00FB3674">
        <w:t xml:space="preserve"> </w:t>
      </w:r>
      <w:r w:rsidRPr="00FB3674">
        <w:t>been</w:t>
      </w:r>
      <w:r w:rsidR="001F7ED5" w:rsidRPr="00FB3674">
        <w:t xml:space="preserve"> </w:t>
      </w:r>
      <w:r w:rsidRPr="00FB3674">
        <w:t>subjected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an</w:t>
      </w:r>
      <w:r w:rsidR="001F7ED5" w:rsidRPr="00FB3674">
        <w:t xml:space="preserve"> </w:t>
      </w:r>
      <w:r w:rsidRPr="00FB3674">
        <w:t>exclusionary</w:t>
      </w:r>
      <w:r w:rsidR="001F7ED5" w:rsidRPr="00FB3674">
        <w:t xml:space="preserve"> </w:t>
      </w:r>
      <w:r w:rsidRPr="00FB3674">
        <w:t>rule.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restriction</w:t>
      </w:r>
      <w:r w:rsidR="001F7ED5" w:rsidRPr="00FB3674">
        <w:t xml:space="preserve"> </w:t>
      </w:r>
      <w:r w:rsidRPr="00FB3674">
        <w:t>imposed</w:t>
      </w:r>
      <w:r w:rsidR="001F7ED5" w:rsidRPr="00FB3674">
        <w:t xml:space="preserve"> </w:t>
      </w:r>
      <w:r w:rsidRPr="00FB3674">
        <w:t>on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right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defence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have</w:t>
      </w:r>
      <w:r w:rsidR="001F7ED5" w:rsidRPr="00FB3674">
        <w:t xml:space="preserve"> </w:t>
      </w:r>
      <w:r w:rsidRPr="00FB3674">
        <w:t>information</w:t>
      </w:r>
      <w:r w:rsidR="001F7ED5" w:rsidRPr="00FB3674">
        <w:t xml:space="preserve"> </w:t>
      </w:r>
      <w:r w:rsidRPr="00FB3674">
        <w:t>relating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police</w:t>
      </w:r>
      <w:r w:rsidR="001F7ED5" w:rsidRPr="00FB3674">
        <w:t xml:space="preserve"> </w:t>
      </w:r>
      <w:r w:rsidRPr="00FB3674">
        <w:t>operation</w:t>
      </w:r>
      <w:r w:rsidR="001F7ED5" w:rsidRPr="00FB3674">
        <w:t xml:space="preserve"> </w:t>
      </w:r>
      <w:r w:rsidR="002E7C71">
        <w:t>“</w:t>
      </w:r>
      <w:r w:rsidRPr="00FB3674">
        <w:t>Rebus</w:t>
      </w:r>
      <w:r w:rsidR="002E7C71">
        <w:t>”</w:t>
      </w:r>
      <w:r w:rsidR="001F7ED5" w:rsidRPr="00FB3674">
        <w:t xml:space="preserve"> </w:t>
      </w:r>
      <w:r w:rsidRPr="00FB3674">
        <w:t>disclosed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it</w:t>
      </w:r>
      <w:r w:rsidR="001F7ED5" w:rsidRPr="00FB3674">
        <w:t xml:space="preserve"> </w:t>
      </w:r>
      <w:r w:rsidRPr="00FB3674">
        <w:t>in</w:t>
      </w:r>
      <w:r w:rsidR="001F7ED5" w:rsidRPr="00FB3674">
        <w:t xml:space="preserve"> </w:t>
      </w:r>
      <w:r w:rsidRPr="00FB3674">
        <w:t>a</w:t>
      </w:r>
      <w:r w:rsidR="001F7ED5" w:rsidRPr="00FB3674">
        <w:t xml:space="preserve"> </w:t>
      </w:r>
      <w:r w:rsidRPr="00FB3674">
        <w:t>trial</w:t>
      </w:r>
      <w:r w:rsidR="001F7ED5" w:rsidRPr="00FB3674">
        <w:t xml:space="preserve"> </w:t>
      </w:r>
      <w:r w:rsidRPr="00FB3674">
        <w:t>was</w:t>
      </w:r>
      <w:r w:rsidR="001F7ED5" w:rsidRPr="00FB3674">
        <w:t xml:space="preserve"> </w:t>
      </w:r>
      <w:r w:rsidRPr="00FB3674">
        <w:t>neither</w:t>
      </w:r>
      <w:r w:rsidR="001F7ED5" w:rsidRPr="00FB3674">
        <w:t xml:space="preserve"> </w:t>
      </w:r>
      <w:r w:rsidRPr="00FB3674">
        <w:t>transparent</w:t>
      </w:r>
      <w:r w:rsidR="001F7ED5" w:rsidRPr="00FB3674">
        <w:t xml:space="preserve"> </w:t>
      </w:r>
      <w:r w:rsidRPr="00FB3674">
        <w:t>nor</w:t>
      </w:r>
      <w:r w:rsidR="001F7ED5" w:rsidRPr="00FB3674">
        <w:t xml:space="preserve"> </w:t>
      </w:r>
      <w:r w:rsidRPr="00FB3674">
        <w:t>impartial.</w:t>
      </w:r>
    </w:p>
    <w:p w14:paraId="52052507" w14:textId="2182D31B" w:rsidR="005D5882" w:rsidRPr="00FB3674" w:rsidRDefault="005D5882" w:rsidP="005D5882">
      <w:pPr>
        <w:pStyle w:val="SingleTxtG"/>
      </w:pPr>
      <w:r w:rsidRPr="00FB3674">
        <w:t>3.2</w:t>
      </w:r>
      <w:r w:rsidRPr="00FB3674">
        <w:tab/>
        <w:t>Furthermore,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author</w:t>
      </w:r>
      <w:r w:rsidR="001F7ED5" w:rsidRPr="00FB3674">
        <w:t xml:space="preserve"> </w:t>
      </w:r>
      <w:r w:rsidRPr="00FB3674">
        <w:t>alleges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his</w:t>
      </w:r>
      <w:r w:rsidR="001F7ED5" w:rsidRPr="00FB3674">
        <w:t xml:space="preserve"> </w:t>
      </w:r>
      <w:r w:rsidRPr="00FB3674">
        <w:t>right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be</w:t>
      </w:r>
      <w:r w:rsidR="001F7ED5" w:rsidRPr="00FB3674">
        <w:t xml:space="preserve"> </w:t>
      </w:r>
      <w:r w:rsidRPr="00FB3674">
        <w:t>presumed</w:t>
      </w:r>
      <w:r w:rsidR="001F7ED5" w:rsidRPr="00FB3674">
        <w:t xml:space="preserve"> </w:t>
      </w:r>
      <w:r w:rsidRPr="00FB3674">
        <w:t>innocent</w:t>
      </w:r>
      <w:r w:rsidR="001F7ED5" w:rsidRPr="00FB3674">
        <w:t xml:space="preserve"> </w:t>
      </w:r>
      <w:r w:rsidRPr="00FB3674">
        <w:t>until</w:t>
      </w:r>
      <w:r w:rsidR="001F7ED5" w:rsidRPr="00FB3674">
        <w:t xml:space="preserve"> </w:t>
      </w:r>
      <w:r w:rsidRPr="00FB3674">
        <w:t>proven</w:t>
      </w:r>
      <w:r w:rsidR="001F7ED5" w:rsidRPr="00FB3674">
        <w:t xml:space="preserve"> </w:t>
      </w:r>
      <w:r w:rsidRPr="00FB3674">
        <w:t>guilty,</w:t>
      </w:r>
      <w:r w:rsidR="001F7ED5" w:rsidRPr="00FB3674">
        <w:t xml:space="preserve"> </w:t>
      </w:r>
      <w:r w:rsidRPr="00FB3674">
        <w:t>set</w:t>
      </w:r>
      <w:r w:rsidR="001F7ED5" w:rsidRPr="00FB3674">
        <w:t xml:space="preserve"> </w:t>
      </w:r>
      <w:r w:rsidRPr="00FB3674">
        <w:t>out</w:t>
      </w:r>
      <w:r w:rsidR="001F7ED5" w:rsidRPr="00FB3674">
        <w:t xml:space="preserve"> </w:t>
      </w:r>
      <w:r w:rsidRPr="00FB3674">
        <w:t>in</w:t>
      </w:r>
      <w:r w:rsidR="001F7ED5" w:rsidRPr="00FB3674">
        <w:t xml:space="preserve"> </w:t>
      </w:r>
      <w:r w:rsidRPr="00FB3674">
        <w:t>article</w:t>
      </w:r>
      <w:r w:rsidR="001F7ED5" w:rsidRPr="00FB3674">
        <w:t xml:space="preserve"> </w:t>
      </w:r>
      <w:r w:rsidRPr="00FB3674">
        <w:t>14</w:t>
      </w:r>
      <w:r w:rsidR="001F7ED5" w:rsidRPr="00FB3674">
        <w:t xml:space="preserve"> </w:t>
      </w:r>
      <w:r w:rsidRPr="00FB3674">
        <w:t>(2)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Covenant,</w:t>
      </w:r>
      <w:r w:rsidR="001F7ED5" w:rsidRPr="00FB3674">
        <w:t xml:space="preserve"> </w:t>
      </w:r>
      <w:r w:rsidRPr="00FB3674">
        <w:t>was</w:t>
      </w:r>
      <w:r w:rsidR="001F7ED5" w:rsidRPr="00FB3674">
        <w:t xml:space="preserve"> </w:t>
      </w:r>
      <w:r w:rsidRPr="00FB3674">
        <w:t>violated</w:t>
      </w:r>
      <w:r w:rsidR="001F7ED5" w:rsidRPr="00FB3674">
        <w:t xml:space="preserve"> </w:t>
      </w:r>
      <w:r w:rsidRPr="00FB3674">
        <w:t>because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domestic</w:t>
      </w:r>
      <w:r w:rsidR="001F7ED5" w:rsidRPr="00FB3674">
        <w:t xml:space="preserve"> </w:t>
      </w:r>
      <w:r w:rsidRPr="00FB3674">
        <w:t>courts</w:t>
      </w:r>
      <w:r w:rsidR="001F7ED5" w:rsidRPr="00FB3674">
        <w:t xml:space="preserve"> </w:t>
      </w:r>
      <w:r w:rsidRPr="00FB3674">
        <w:t>were</w:t>
      </w:r>
      <w:r w:rsidR="001F7ED5" w:rsidRPr="00FB3674">
        <w:t xml:space="preserve"> </w:t>
      </w:r>
      <w:r w:rsidRPr="00FB3674">
        <w:t>not</w:t>
      </w:r>
      <w:r w:rsidR="001F7ED5" w:rsidRPr="00FB3674">
        <w:t xml:space="preserve"> </w:t>
      </w:r>
      <w:r w:rsidRPr="00FB3674">
        <w:t>able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prove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he</w:t>
      </w:r>
      <w:r w:rsidR="001F7ED5" w:rsidRPr="00FB3674">
        <w:t xml:space="preserve"> </w:t>
      </w:r>
      <w:r w:rsidRPr="00FB3674">
        <w:t>would</w:t>
      </w:r>
      <w:r w:rsidR="001F7ED5" w:rsidRPr="00FB3674">
        <w:t xml:space="preserve"> </w:t>
      </w:r>
      <w:r w:rsidRPr="00FB3674">
        <w:t>not</w:t>
      </w:r>
      <w:r w:rsidR="001F7ED5" w:rsidRPr="00FB3674">
        <w:t xml:space="preserve"> </w:t>
      </w:r>
      <w:r w:rsidRPr="00FB3674">
        <w:t>have</w:t>
      </w:r>
      <w:r w:rsidR="001F7ED5" w:rsidRPr="00FB3674">
        <w:t xml:space="preserve"> </w:t>
      </w:r>
      <w:r w:rsidRPr="00FB3674">
        <w:t>committed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crime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which</w:t>
      </w:r>
      <w:r w:rsidR="001F7ED5" w:rsidRPr="00FB3674">
        <w:t xml:space="preserve"> </w:t>
      </w:r>
      <w:r w:rsidRPr="00FB3674">
        <w:t>he</w:t>
      </w:r>
      <w:r w:rsidR="001F7ED5" w:rsidRPr="00FB3674">
        <w:t xml:space="preserve"> </w:t>
      </w:r>
      <w:r w:rsidRPr="00FB3674">
        <w:t>was</w:t>
      </w:r>
      <w:r w:rsidR="001F7ED5" w:rsidRPr="00FB3674">
        <w:t xml:space="preserve"> </w:t>
      </w:r>
      <w:r w:rsidRPr="00FB3674">
        <w:t>accused</w:t>
      </w:r>
      <w:r w:rsidR="001F7ED5" w:rsidRPr="00FB3674">
        <w:t xml:space="preserve"> </w:t>
      </w:r>
      <w:r w:rsidRPr="00FB3674">
        <w:t>had</w:t>
      </w:r>
      <w:r w:rsidR="001F7ED5" w:rsidRPr="00FB3674">
        <w:t xml:space="preserve"> </w:t>
      </w:r>
      <w:r w:rsidRPr="00FB3674">
        <w:t>he</w:t>
      </w:r>
      <w:r w:rsidR="001F7ED5" w:rsidRPr="00FB3674">
        <w:t xml:space="preserve"> </w:t>
      </w:r>
      <w:r w:rsidRPr="00FB3674">
        <w:t>not</w:t>
      </w:r>
      <w:r w:rsidR="001F7ED5" w:rsidRPr="00FB3674">
        <w:t xml:space="preserve"> </w:t>
      </w:r>
      <w:r w:rsidRPr="00FB3674">
        <w:t>been</w:t>
      </w:r>
      <w:r w:rsidR="001F7ED5" w:rsidRPr="00FB3674">
        <w:t xml:space="preserve"> </w:t>
      </w:r>
      <w:r w:rsidRPr="00FB3674">
        <w:t>incited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do</w:t>
      </w:r>
      <w:r w:rsidR="001F7ED5" w:rsidRPr="00FB3674">
        <w:t xml:space="preserve"> </w:t>
      </w:r>
      <w:r w:rsidRPr="00FB3674">
        <w:t>so.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courts</w:t>
      </w:r>
      <w:r w:rsidR="001F7ED5" w:rsidRPr="00FB3674">
        <w:t xml:space="preserve"> </w:t>
      </w:r>
      <w:r w:rsidRPr="00FB3674">
        <w:t>found</w:t>
      </w:r>
      <w:r w:rsidR="001F7ED5" w:rsidRPr="00FB3674">
        <w:t xml:space="preserve"> </w:t>
      </w:r>
      <w:r w:rsidRPr="00FB3674">
        <w:t>him</w:t>
      </w:r>
      <w:r w:rsidR="001F7ED5" w:rsidRPr="00FB3674">
        <w:t xml:space="preserve"> </w:t>
      </w:r>
      <w:r w:rsidRPr="00FB3674">
        <w:t>guilty</w:t>
      </w:r>
      <w:r w:rsidR="001F7ED5" w:rsidRPr="00FB3674">
        <w:t xml:space="preserve"> </w:t>
      </w:r>
      <w:r w:rsidRPr="00FB3674">
        <w:t>because</w:t>
      </w:r>
      <w:r w:rsidR="001F7ED5" w:rsidRPr="00FB3674">
        <w:t xml:space="preserve"> </w:t>
      </w:r>
      <w:r w:rsidRPr="00FB3674">
        <w:t>they</w:t>
      </w:r>
      <w:r w:rsidR="001F7ED5" w:rsidRPr="00FB3674">
        <w:t xml:space="preserve"> </w:t>
      </w:r>
      <w:r w:rsidRPr="00FB3674">
        <w:t>failed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interpret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existing</w:t>
      </w:r>
      <w:r w:rsidR="001F7ED5" w:rsidRPr="00FB3674">
        <w:t xml:space="preserve"> </w:t>
      </w:r>
      <w:r w:rsidRPr="00FB3674">
        <w:t>doubts</w:t>
      </w:r>
      <w:r w:rsidR="001F7ED5" w:rsidRPr="00FB3674">
        <w:t xml:space="preserve"> </w:t>
      </w:r>
      <w:r w:rsidRPr="00FB3674">
        <w:t>in</w:t>
      </w:r>
      <w:r w:rsidR="001F7ED5" w:rsidRPr="00FB3674">
        <w:t xml:space="preserve"> </w:t>
      </w:r>
      <w:r w:rsidRPr="00FB3674">
        <w:t>his</w:t>
      </w:r>
      <w:r w:rsidR="001F7ED5" w:rsidRPr="00FB3674">
        <w:t xml:space="preserve"> </w:t>
      </w:r>
      <w:r w:rsidRPr="00FB3674">
        <w:t>favour.</w:t>
      </w:r>
    </w:p>
    <w:p w14:paraId="2A6A5F53" w14:textId="2CEB65FA" w:rsidR="005D5882" w:rsidRPr="00FB3674" w:rsidRDefault="005D5882" w:rsidP="005D5882">
      <w:pPr>
        <w:pStyle w:val="SingleTxtG"/>
      </w:pPr>
      <w:r w:rsidRPr="00FB3674">
        <w:lastRenderedPageBreak/>
        <w:t>3.3</w:t>
      </w:r>
      <w:r w:rsidRPr="00FB3674">
        <w:tab/>
        <w:t>The</w:t>
      </w:r>
      <w:r w:rsidR="001F7ED5" w:rsidRPr="00FB3674">
        <w:t xml:space="preserve"> </w:t>
      </w:r>
      <w:r w:rsidRPr="00FB3674">
        <w:t>author</w:t>
      </w:r>
      <w:r w:rsidR="001F7ED5" w:rsidRPr="00FB3674">
        <w:t xml:space="preserve"> </w:t>
      </w:r>
      <w:r w:rsidRPr="00FB3674">
        <w:t>requests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Committee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recommend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Latvia</w:t>
      </w:r>
      <w:r w:rsidR="001F7ED5" w:rsidRPr="00FB3674">
        <w:t xml:space="preserve"> </w:t>
      </w:r>
      <w:r w:rsidRPr="00FB3674">
        <w:t>reverse</w:t>
      </w:r>
      <w:r w:rsidR="001F7ED5" w:rsidRPr="00FB3674">
        <w:t xml:space="preserve"> </w:t>
      </w:r>
      <w:r w:rsidRPr="00FB3674">
        <w:t>his</w:t>
      </w:r>
      <w:r w:rsidR="001F7ED5" w:rsidRPr="00FB3674">
        <w:t xml:space="preserve"> </w:t>
      </w:r>
      <w:r w:rsidRPr="00FB3674">
        <w:t>conviction</w:t>
      </w:r>
      <w:r w:rsidR="001F7ED5" w:rsidRPr="00FB3674">
        <w:t xml:space="preserve"> </w:t>
      </w:r>
      <w:r w:rsidRPr="00FB3674">
        <w:t>and</w:t>
      </w:r>
      <w:r w:rsidR="001F7ED5" w:rsidRPr="00FB3674">
        <w:t xml:space="preserve"> </w:t>
      </w:r>
      <w:r w:rsidRPr="00FB3674">
        <w:t>pay</w:t>
      </w:r>
      <w:r w:rsidR="001F7ED5" w:rsidRPr="00FB3674">
        <w:t xml:space="preserve"> </w:t>
      </w:r>
      <w:r w:rsidRPr="00FB3674">
        <w:t>him</w:t>
      </w:r>
      <w:r w:rsidR="001F7ED5" w:rsidRPr="00FB3674">
        <w:t xml:space="preserve"> </w:t>
      </w:r>
      <w:r w:rsidRPr="00FB3674">
        <w:t>compensation</w:t>
      </w:r>
      <w:r w:rsidR="001F7ED5" w:rsidRPr="00FB3674">
        <w:t xml:space="preserve"> </w:t>
      </w:r>
      <w:r w:rsidRPr="00FB3674">
        <w:t>in</w:t>
      </w:r>
      <w:r w:rsidR="001F7ED5" w:rsidRPr="00FB3674">
        <w:t xml:space="preserve"> </w:t>
      </w:r>
      <w:r w:rsidRPr="00FB3674">
        <w:t>accordance</w:t>
      </w:r>
      <w:r w:rsidR="001F7ED5" w:rsidRPr="00FB3674">
        <w:t xml:space="preserve"> </w:t>
      </w:r>
      <w:r w:rsidRPr="00FB3674">
        <w:t>with</w:t>
      </w:r>
      <w:r w:rsidR="001F7ED5" w:rsidRPr="00FB3674">
        <w:t xml:space="preserve"> </w:t>
      </w:r>
      <w:r w:rsidRPr="00FB3674">
        <w:t>article</w:t>
      </w:r>
      <w:r w:rsidR="001F7ED5" w:rsidRPr="00FB3674">
        <w:t xml:space="preserve"> </w:t>
      </w:r>
      <w:r w:rsidRPr="00FB3674">
        <w:t>14</w:t>
      </w:r>
      <w:r w:rsidR="001F7ED5" w:rsidRPr="00FB3674">
        <w:t xml:space="preserve"> </w:t>
      </w:r>
      <w:r w:rsidRPr="00FB3674">
        <w:t>(6)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Covenant.</w:t>
      </w:r>
    </w:p>
    <w:p w14:paraId="4ABB998C" w14:textId="254BB717" w:rsidR="001F7ED5" w:rsidRPr="00FB3674" w:rsidRDefault="005D5882" w:rsidP="004A5C52">
      <w:pPr>
        <w:pStyle w:val="H23G"/>
      </w:pPr>
      <w:r w:rsidRPr="00FB3674">
        <w:tab/>
      </w:r>
      <w:r w:rsidRPr="00FB3674">
        <w:tab/>
        <w:t>State</w:t>
      </w:r>
      <w:r w:rsidR="001F7ED5" w:rsidRPr="00FB3674">
        <w:t xml:space="preserve"> </w:t>
      </w:r>
      <w:r w:rsidRPr="00FB3674">
        <w:t>party</w:t>
      </w:r>
      <w:r w:rsidR="00FB3674">
        <w:t>’</w:t>
      </w:r>
      <w:r w:rsidRPr="00FB3674">
        <w:t>s</w:t>
      </w:r>
      <w:r w:rsidR="001F7ED5" w:rsidRPr="00FB3674">
        <w:t xml:space="preserve"> </w:t>
      </w:r>
      <w:r w:rsidRPr="00FB3674">
        <w:t>observations</w:t>
      </w:r>
      <w:r w:rsidR="001F7ED5" w:rsidRPr="00FB3674">
        <w:t xml:space="preserve"> </w:t>
      </w:r>
      <w:r w:rsidRPr="00FB3674">
        <w:t>on</w:t>
      </w:r>
      <w:r w:rsidR="001F7ED5" w:rsidRPr="00FB3674">
        <w:t xml:space="preserve"> </w:t>
      </w:r>
      <w:r w:rsidRPr="00FB3674">
        <w:t>admissibility</w:t>
      </w:r>
    </w:p>
    <w:p w14:paraId="4F7A7196" w14:textId="77777777" w:rsidR="001F7ED5" w:rsidRPr="00FB3674" w:rsidRDefault="005D5882" w:rsidP="005D5882">
      <w:pPr>
        <w:pStyle w:val="SingleTxtG"/>
      </w:pPr>
      <w:r w:rsidRPr="00FB3674">
        <w:t>4.1</w:t>
      </w:r>
      <w:r w:rsidRPr="00FB3674">
        <w:tab/>
        <w:t>By</w:t>
      </w:r>
      <w:r w:rsidR="001F7ED5" w:rsidRPr="00FB3674">
        <w:t xml:space="preserve"> </w:t>
      </w:r>
      <w:r w:rsidRPr="00FB3674">
        <w:t>a</w:t>
      </w:r>
      <w:r w:rsidR="001F7ED5" w:rsidRPr="00FB3674">
        <w:t xml:space="preserve"> </w:t>
      </w:r>
      <w:r w:rsidRPr="00FB3674">
        <w:t>note</w:t>
      </w:r>
      <w:r w:rsidR="001F7ED5" w:rsidRPr="00FB3674">
        <w:t xml:space="preserve"> </w:t>
      </w:r>
      <w:r w:rsidRPr="00FB3674">
        <w:t>verbale</w:t>
      </w:r>
      <w:r w:rsidR="001F7ED5" w:rsidRPr="00FB3674">
        <w:t xml:space="preserve"> </w:t>
      </w:r>
      <w:r w:rsidRPr="00FB3674">
        <w:t>dated</w:t>
      </w:r>
      <w:r w:rsidR="001F7ED5" w:rsidRPr="00FB3674">
        <w:t xml:space="preserve"> </w:t>
      </w:r>
      <w:r w:rsidRPr="00FB3674">
        <w:t>12</w:t>
      </w:r>
      <w:r w:rsidR="001F7ED5" w:rsidRPr="00FB3674">
        <w:t xml:space="preserve"> </w:t>
      </w:r>
      <w:r w:rsidRPr="00FB3674">
        <w:t>April</w:t>
      </w:r>
      <w:r w:rsidR="001F7ED5" w:rsidRPr="00FB3674">
        <w:t xml:space="preserve"> </w:t>
      </w:r>
      <w:r w:rsidRPr="00FB3674">
        <w:t>2018,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State</w:t>
      </w:r>
      <w:r w:rsidR="001F7ED5" w:rsidRPr="00FB3674">
        <w:t xml:space="preserve"> </w:t>
      </w:r>
      <w:r w:rsidRPr="00FB3674">
        <w:t>party</w:t>
      </w:r>
      <w:r w:rsidR="001F7ED5" w:rsidRPr="00FB3674">
        <w:t xml:space="preserve"> </w:t>
      </w:r>
      <w:r w:rsidRPr="00FB3674">
        <w:t>submitted</w:t>
      </w:r>
      <w:r w:rsidR="001F7ED5" w:rsidRPr="00FB3674">
        <w:t xml:space="preserve"> </w:t>
      </w:r>
      <w:r w:rsidRPr="00FB3674">
        <w:t>its</w:t>
      </w:r>
      <w:r w:rsidR="001F7ED5" w:rsidRPr="00FB3674">
        <w:t xml:space="preserve"> </w:t>
      </w:r>
      <w:r w:rsidRPr="00FB3674">
        <w:t>observations.</w:t>
      </w:r>
      <w:r w:rsidR="001F7ED5" w:rsidRPr="00FB3674">
        <w:t xml:space="preserve"> </w:t>
      </w:r>
      <w:r w:rsidRPr="00FB3674">
        <w:t>It</w:t>
      </w:r>
      <w:r w:rsidR="001F7ED5" w:rsidRPr="00FB3674">
        <w:t xml:space="preserve"> </w:t>
      </w:r>
      <w:r w:rsidRPr="00FB3674">
        <w:t>reports</w:t>
      </w:r>
      <w:r w:rsidR="001F7ED5" w:rsidRPr="00FB3674">
        <w:t xml:space="preserve"> </w:t>
      </w:r>
      <w:r w:rsidRPr="00FB3674">
        <w:t>that,</w:t>
      </w:r>
      <w:r w:rsidR="001F7ED5" w:rsidRPr="00FB3674">
        <w:t xml:space="preserve"> </w:t>
      </w:r>
      <w:r w:rsidRPr="00FB3674">
        <w:t>in</w:t>
      </w:r>
      <w:r w:rsidR="001F7ED5" w:rsidRPr="00FB3674">
        <w:t xml:space="preserve"> </w:t>
      </w:r>
      <w:r w:rsidRPr="00FB3674">
        <w:t>February</w:t>
      </w:r>
      <w:r w:rsidR="001F7ED5" w:rsidRPr="00FB3674">
        <w:t xml:space="preserve"> </w:t>
      </w:r>
      <w:r w:rsidRPr="00FB3674">
        <w:t>2004,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State</w:t>
      </w:r>
      <w:r w:rsidR="001F7ED5" w:rsidRPr="00FB3674">
        <w:t xml:space="preserve"> </w:t>
      </w:r>
      <w:r w:rsidRPr="00FB3674">
        <w:t>Police</w:t>
      </w:r>
      <w:r w:rsidR="001F7ED5" w:rsidRPr="00FB3674">
        <w:t xml:space="preserve"> </w:t>
      </w:r>
      <w:r w:rsidRPr="00FB3674">
        <w:t>division</w:t>
      </w:r>
      <w:r w:rsidR="001F7ED5" w:rsidRPr="00FB3674">
        <w:t xml:space="preserve"> </w:t>
      </w:r>
      <w:r w:rsidRPr="00FB3674">
        <w:t>charged</w:t>
      </w:r>
      <w:r w:rsidR="001F7ED5" w:rsidRPr="00FB3674">
        <w:t xml:space="preserve"> </w:t>
      </w:r>
      <w:r w:rsidRPr="00FB3674">
        <w:t>with</w:t>
      </w:r>
      <w:r w:rsidR="001F7ED5" w:rsidRPr="00FB3674">
        <w:t xml:space="preserve"> </w:t>
      </w:r>
      <w:r w:rsidRPr="00FB3674">
        <w:t>combating</w:t>
      </w:r>
      <w:r w:rsidR="001F7ED5" w:rsidRPr="00FB3674">
        <w:t xml:space="preserve"> </w:t>
      </w:r>
      <w:r w:rsidRPr="00FB3674">
        <w:t>drugs</w:t>
      </w:r>
      <w:r w:rsidR="001F7ED5" w:rsidRPr="00FB3674">
        <w:t xml:space="preserve"> </w:t>
      </w:r>
      <w:r w:rsidRPr="00FB3674">
        <w:t>received</w:t>
      </w:r>
      <w:r w:rsidR="001F7ED5" w:rsidRPr="00FB3674">
        <w:t xml:space="preserve"> </w:t>
      </w:r>
      <w:r w:rsidRPr="00FB3674">
        <w:t>information</w:t>
      </w:r>
      <w:r w:rsidR="001F7ED5" w:rsidRPr="00FB3674">
        <w:t xml:space="preserve"> </w:t>
      </w:r>
      <w:r w:rsidRPr="00FB3674">
        <w:t>from</w:t>
      </w:r>
      <w:r w:rsidR="001F7ED5" w:rsidRPr="00FB3674">
        <w:t xml:space="preserve"> </w:t>
      </w:r>
      <w:r w:rsidRPr="00FB3674">
        <w:t>police</w:t>
      </w:r>
      <w:r w:rsidR="001F7ED5" w:rsidRPr="00FB3674">
        <w:t xml:space="preserve"> </w:t>
      </w:r>
      <w:r w:rsidRPr="00FB3674">
        <w:t>informants</w:t>
      </w:r>
      <w:r w:rsidR="001F7ED5" w:rsidRPr="00FB3674">
        <w:t xml:space="preserve"> </w:t>
      </w:r>
      <w:r w:rsidRPr="00FB3674">
        <w:t>alleging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author</w:t>
      </w:r>
      <w:r w:rsidR="001F7ED5" w:rsidRPr="00FB3674">
        <w:t xml:space="preserve"> </w:t>
      </w:r>
      <w:r w:rsidRPr="00FB3674">
        <w:t>was</w:t>
      </w:r>
      <w:r w:rsidR="001F7ED5" w:rsidRPr="00FB3674">
        <w:t xml:space="preserve"> </w:t>
      </w:r>
      <w:r w:rsidRPr="00FB3674">
        <w:t>involved</w:t>
      </w:r>
      <w:r w:rsidR="001F7ED5" w:rsidRPr="00FB3674">
        <w:t xml:space="preserve"> </w:t>
      </w:r>
      <w:r w:rsidRPr="00FB3674">
        <w:t>in</w:t>
      </w:r>
      <w:r w:rsidR="001F7ED5" w:rsidRPr="00FB3674">
        <w:t xml:space="preserve"> </w:t>
      </w:r>
      <w:r w:rsidRPr="00FB3674">
        <w:t>drug-related</w:t>
      </w:r>
      <w:r w:rsidR="001F7ED5" w:rsidRPr="00FB3674">
        <w:t xml:space="preserve"> </w:t>
      </w:r>
      <w:r w:rsidRPr="00FB3674">
        <w:t>offences.</w:t>
      </w:r>
      <w:r w:rsidR="001F7ED5" w:rsidRPr="00FB3674">
        <w:t xml:space="preserve"> </w:t>
      </w:r>
      <w:r w:rsidRPr="00FB3674">
        <w:t>Accordingly,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officials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division</w:t>
      </w:r>
      <w:r w:rsidR="001F7ED5" w:rsidRPr="00FB3674">
        <w:t xml:space="preserve"> </w:t>
      </w:r>
      <w:r w:rsidRPr="00FB3674">
        <w:t>initiated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special</w:t>
      </w:r>
      <w:r w:rsidR="001F7ED5" w:rsidRPr="00FB3674">
        <w:t xml:space="preserve"> </w:t>
      </w:r>
      <w:r w:rsidRPr="00FB3674">
        <w:t>investigative</w:t>
      </w:r>
      <w:r w:rsidR="001F7ED5" w:rsidRPr="00FB3674">
        <w:t xml:space="preserve"> </w:t>
      </w:r>
      <w:r w:rsidRPr="00FB3674">
        <w:t>proceedings</w:t>
      </w:r>
      <w:r w:rsidR="001F7ED5" w:rsidRPr="00FB3674">
        <w:t xml:space="preserve"> </w:t>
      </w:r>
      <w:r w:rsidRPr="00FB3674">
        <w:t>(case</w:t>
      </w:r>
      <w:r w:rsidR="001F7ED5" w:rsidRPr="00FB3674">
        <w:t xml:space="preserve"> </w:t>
      </w:r>
      <w:r w:rsidRPr="00FB3674">
        <w:t>file</w:t>
      </w:r>
      <w:r w:rsidR="001F7ED5" w:rsidRPr="00FB3674">
        <w:t xml:space="preserve"> </w:t>
      </w:r>
      <w:r w:rsidRPr="00FB3674">
        <w:t>No.7004204).</w:t>
      </w:r>
    </w:p>
    <w:p w14:paraId="541307BA" w14:textId="77777777" w:rsidR="001F7ED5" w:rsidRPr="00FB3674" w:rsidRDefault="005D5882" w:rsidP="005D5882">
      <w:pPr>
        <w:pStyle w:val="SingleTxtG"/>
      </w:pPr>
      <w:r w:rsidRPr="00FB3674">
        <w:t>4.2</w:t>
      </w:r>
      <w:r w:rsidRPr="00FB3674">
        <w:tab/>
        <w:t>On</w:t>
      </w:r>
      <w:r w:rsidR="001F7ED5" w:rsidRPr="00FB3674">
        <w:t xml:space="preserve"> </w:t>
      </w:r>
      <w:r w:rsidRPr="00FB3674">
        <w:t>27</w:t>
      </w:r>
      <w:r w:rsidR="001F7ED5" w:rsidRPr="00FB3674">
        <w:t xml:space="preserve"> </w:t>
      </w:r>
      <w:r w:rsidRPr="00FB3674">
        <w:t>October</w:t>
      </w:r>
      <w:r w:rsidR="001F7ED5" w:rsidRPr="00FB3674">
        <w:t xml:space="preserve"> </w:t>
      </w:r>
      <w:r w:rsidRPr="00FB3674">
        <w:t>2004,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division</w:t>
      </w:r>
      <w:r w:rsidR="001F7ED5" w:rsidRPr="00FB3674">
        <w:t xml:space="preserve"> </w:t>
      </w:r>
      <w:r w:rsidRPr="00FB3674">
        <w:t>commenced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next</w:t>
      </w:r>
      <w:r w:rsidR="001F7ED5" w:rsidRPr="00FB3674">
        <w:t xml:space="preserve"> </w:t>
      </w:r>
      <w:r w:rsidRPr="00FB3674">
        <w:t>stage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special</w:t>
      </w:r>
      <w:r w:rsidR="001F7ED5" w:rsidRPr="00FB3674">
        <w:t xml:space="preserve"> </w:t>
      </w:r>
      <w:r w:rsidRPr="00FB3674">
        <w:t>investigative</w:t>
      </w:r>
      <w:r w:rsidR="001F7ED5" w:rsidRPr="00FB3674">
        <w:t xml:space="preserve"> </w:t>
      </w:r>
      <w:r w:rsidRPr="00FB3674">
        <w:t>activities,</w:t>
      </w:r>
      <w:r w:rsidR="001F7ED5" w:rsidRPr="00FB3674">
        <w:t xml:space="preserve"> </w:t>
      </w:r>
      <w:r w:rsidRPr="00FB3674">
        <w:t>opening</w:t>
      </w:r>
      <w:r w:rsidR="001F7ED5" w:rsidRPr="00FB3674">
        <w:t xml:space="preserve"> </w:t>
      </w:r>
      <w:r w:rsidRPr="00FB3674">
        <w:t>case</w:t>
      </w:r>
      <w:r w:rsidR="001F7ED5" w:rsidRPr="00FB3674">
        <w:t xml:space="preserve"> </w:t>
      </w:r>
      <w:r w:rsidRPr="00FB3674">
        <w:t>file</w:t>
      </w:r>
      <w:r w:rsidR="001F7ED5" w:rsidRPr="00FB3674">
        <w:t xml:space="preserve"> </w:t>
      </w:r>
      <w:r w:rsidRPr="00FB3674">
        <w:t>No.</w:t>
      </w:r>
      <w:r w:rsidR="001F7ED5" w:rsidRPr="00FB3674">
        <w:t xml:space="preserve"> </w:t>
      </w:r>
      <w:r w:rsidRPr="00FB3674">
        <w:t>7019304,</w:t>
      </w:r>
      <w:r w:rsidR="001F7ED5" w:rsidRPr="00FB3674">
        <w:t xml:space="preserve"> </w:t>
      </w:r>
      <w:r w:rsidRPr="00FB3674">
        <w:t>and</w:t>
      </w:r>
      <w:r w:rsidR="001F7ED5" w:rsidRPr="00FB3674">
        <w:t xml:space="preserve"> </w:t>
      </w:r>
      <w:r w:rsidRPr="00FB3674">
        <w:t>informed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Office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Prosecutor</w:t>
      </w:r>
      <w:r w:rsidR="001F7ED5" w:rsidRPr="00FB3674">
        <w:t xml:space="preserve"> </w:t>
      </w:r>
      <w:r w:rsidRPr="00FB3674">
        <w:t>General</w:t>
      </w:r>
      <w:r w:rsidR="001F7ED5" w:rsidRPr="00FB3674">
        <w:t xml:space="preserve"> </w:t>
      </w:r>
      <w:r w:rsidRPr="00FB3674">
        <w:t>about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content</w:t>
      </w:r>
      <w:r w:rsidR="001F7ED5" w:rsidRPr="00FB3674">
        <w:t xml:space="preserve"> </w:t>
      </w:r>
      <w:r w:rsidRPr="00FB3674">
        <w:t>and</w:t>
      </w:r>
      <w:r w:rsidR="001F7ED5" w:rsidRPr="00FB3674">
        <w:t xml:space="preserve"> </w:t>
      </w:r>
      <w:r w:rsidRPr="00FB3674">
        <w:t>scope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those</w:t>
      </w:r>
      <w:r w:rsidR="001F7ED5" w:rsidRPr="00FB3674">
        <w:t xml:space="preserve"> </w:t>
      </w:r>
      <w:r w:rsidRPr="00FB3674">
        <w:t>activities.</w:t>
      </w:r>
    </w:p>
    <w:p w14:paraId="4DCF526D" w14:textId="77777777" w:rsidR="001F7ED5" w:rsidRPr="00FB3674" w:rsidRDefault="005D5882" w:rsidP="005D5882">
      <w:pPr>
        <w:pStyle w:val="SingleTxtG"/>
      </w:pPr>
      <w:r w:rsidRPr="00FB3674">
        <w:t>4.3</w:t>
      </w:r>
      <w:r w:rsidRPr="00FB3674">
        <w:tab/>
        <w:t>From</w:t>
      </w:r>
      <w:r w:rsidR="001F7ED5" w:rsidRPr="00FB3674">
        <w:t xml:space="preserve"> </w:t>
      </w:r>
      <w:r w:rsidRPr="00FB3674">
        <w:t>2</w:t>
      </w:r>
      <w:r w:rsidR="001F7ED5" w:rsidRPr="00FB3674">
        <w:t xml:space="preserve"> </w:t>
      </w:r>
      <w:r w:rsidRPr="00FB3674">
        <w:t>November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1</w:t>
      </w:r>
      <w:r w:rsidR="001F7ED5" w:rsidRPr="00FB3674">
        <w:t xml:space="preserve"> </w:t>
      </w:r>
      <w:r w:rsidRPr="00FB3674">
        <w:t>December</w:t>
      </w:r>
      <w:r w:rsidR="001F7ED5" w:rsidRPr="00FB3674">
        <w:t xml:space="preserve"> </w:t>
      </w:r>
      <w:r w:rsidRPr="00FB3674">
        <w:t>2004,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Office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Prosecutor</w:t>
      </w:r>
      <w:r w:rsidR="001F7ED5" w:rsidRPr="00FB3674">
        <w:t xml:space="preserve"> </w:t>
      </w:r>
      <w:r w:rsidRPr="00FB3674">
        <w:t>General</w:t>
      </w:r>
      <w:r w:rsidR="001F7ED5" w:rsidRPr="00FB3674">
        <w:t xml:space="preserve"> </w:t>
      </w:r>
      <w:r w:rsidRPr="00FB3674">
        <w:t>authorized</w:t>
      </w:r>
      <w:r w:rsidR="001F7ED5" w:rsidRPr="00FB3674">
        <w:t xml:space="preserve"> </w:t>
      </w:r>
      <w:r w:rsidRPr="00FB3674">
        <w:t>several</w:t>
      </w:r>
      <w:r w:rsidR="001F7ED5" w:rsidRPr="00FB3674">
        <w:t xml:space="preserve"> </w:t>
      </w:r>
      <w:r w:rsidRPr="00FB3674">
        <w:t>special</w:t>
      </w:r>
      <w:r w:rsidR="001F7ED5" w:rsidRPr="00FB3674">
        <w:t xml:space="preserve"> </w:t>
      </w:r>
      <w:r w:rsidRPr="00FB3674">
        <w:t>investigative</w:t>
      </w:r>
      <w:r w:rsidR="001F7ED5" w:rsidRPr="00FB3674">
        <w:t xml:space="preserve"> </w:t>
      </w:r>
      <w:r w:rsidRPr="00FB3674">
        <w:t>experiments</w:t>
      </w:r>
      <w:r w:rsidR="001F7ED5" w:rsidRPr="00FB3674">
        <w:t xml:space="preserve"> </w:t>
      </w:r>
      <w:r w:rsidRPr="00FB3674">
        <w:t>against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author,</w:t>
      </w:r>
      <w:r w:rsidR="001F7ED5" w:rsidRPr="00FB3674">
        <w:t xml:space="preserve"> </w:t>
      </w:r>
      <w:r w:rsidRPr="00FB3674">
        <w:t>during</w:t>
      </w:r>
      <w:r w:rsidR="001F7ED5" w:rsidRPr="00FB3674">
        <w:t xml:space="preserve"> </w:t>
      </w:r>
      <w:r w:rsidRPr="00FB3674">
        <w:t>which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author</w:t>
      </w:r>
      <w:r w:rsidR="001F7ED5" w:rsidRPr="00FB3674">
        <w:t xml:space="preserve"> </w:t>
      </w:r>
      <w:r w:rsidRPr="00FB3674">
        <w:t>met</w:t>
      </w:r>
      <w:r w:rsidR="001F7ED5" w:rsidRPr="00FB3674">
        <w:t xml:space="preserve"> </w:t>
      </w:r>
      <w:r w:rsidRPr="00FB3674">
        <w:t>with</w:t>
      </w:r>
      <w:r w:rsidR="001F7ED5" w:rsidRPr="00FB3674">
        <w:t xml:space="preserve"> </w:t>
      </w:r>
      <w:r w:rsidRPr="00FB3674">
        <w:t>an</w:t>
      </w:r>
      <w:r w:rsidR="001F7ED5" w:rsidRPr="00FB3674">
        <w:t xml:space="preserve"> </w:t>
      </w:r>
      <w:r w:rsidRPr="00FB3674">
        <w:t>undercover</w:t>
      </w:r>
      <w:r w:rsidR="001F7ED5" w:rsidRPr="00FB3674">
        <w:t xml:space="preserve"> </w:t>
      </w:r>
      <w:r w:rsidRPr="00FB3674">
        <w:t>police</w:t>
      </w:r>
      <w:r w:rsidR="001F7ED5" w:rsidRPr="00FB3674">
        <w:t xml:space="preserve"> </w:t>
      </w:r>
      <w:r w:rsidRPr="00FB3674">
        <w:t>officer,</w:t>
      </w:r>
      <w:r w:rsidR="001F7ED5" w:rsidRPr="00FB3674">
        <w:t xml:space="preserve"> </w:t>
      </w:r>
      <w:r w:rsidRPr="00FB3674">
        <w:t>I.,</w:t>
      </w:r>
      <w:r w:rsidR="001F7ED5" w:rsidRPr="00FB3674">
        <w:t xml:space="preserve"> </w:t>
      </w:r>
      <w:r w:rsidRPr="00FB3674">
        <w:t>supplied</w:t>
      </w:r>
      <w:r w:rsidR="001F7ED5" w:rsidRPr="00FB3674">
        <w:t xml:space="preserve"> </w:t>
      </w:r>
      <w:r w:rsidRPr="00FB3674">
        <w:t>him</w:t>
      </w:r>
      <w:r w:rsidR="001F7ED5" w:rsidRPr="00FB3674">
        <w:t xml:space="preserve"> </w:t>
      </w:r>
      <w:r w:rsidRPr="00FB3674">
        <w:t>with</w:t>
      </w:r>
      <w:r w:rsidR="001F7ED5" w:rsidRPr="00FB3674">
        <w:t xml:space="preserve"> </w:t>
      </w:r>
      <w:r w:rsidRPr="00FB3674">
        <w:t>methamphetamines</w:t>
      </w:r>
      <w:r w:rsidR="001F7ED5" w:rsidRPr="00FB3674">
        <w:t xml:space="preserve"> </w:t>
      </w:r>
      <w:r w:rsidRPr="00FB3674">
        <w:t>and</w:t>
      </w:r>
      <w:r w:rsidR="001F7ED5" w:rsidRPr="00FB3674">
        <w:t xml:space="preserve"> </w:t>
      </w:r>
      <w:r w:rsidRPr="00FB3674">
        <w:t>discussed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possibility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regularly</w:t>
      </w:r>
      <w:r w:rsidR="001F7ED5" w:rsidRPr="00FB3674">
        <w:t xml:space="preserve"> </w:t>
      </w:r>
      <w:r w:rsidRPr="00FB3674">
        <w:t>supplying</w:t>
      </w:r>
      <w:r w:rsidR="001F7ED5" w:rsidRPr="00FB3674">
        <w:t xml:space="preserve"> </w:t>
      </w:r>
      <w:r w:rsidRPr="00FB3674">
        <w:t>drugs.</w:t>
      </w:r>
      <w:r w:rsidR="001F7ED5" w:rsidRPr="00FB3674">
        <w:t xml:space="preserve"> </w:t>
      </w:r>
      <w:r w:rsidRPr="00FB3674">
        <w:t>All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conversations</w:t>
      </w:r>
      <w:r w:rsidR="001F7ED5" w:rsidRPr="00FB3674">
        <w:t xml:space="preserve"> </w:t>
      </w:r>
      <w:r w:rsidRPr="00FB3674">
        <w:t>between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author</w:t>
      </w:r>
      <w:r w:rsidR="001F7ED5" w:rsidRPr="00FB3674">
        <w:t xml:space="preserve"> </w:t>
      </w:r>
      <w:r w:rsidRPr="00FB3674">
        <w:t>and</w:t>
      </w:r>
      <w:r w:rsidR="001F7ED5" w:rsidRPr="00FB3674">
        <w:t xml:space="preserve"> </w:t>
      </w:r>
      <w:r w:rsidRPr="00FB3674">
        <w:t>I.,</w:t>
      </w:r>
      <w:r w:rsidR="001F7ED5" w:rsidRPr="00FB3674">
        <w:t xml:space="preserve"> </w:t>
      </w:r>
      <w:r w:rsidRPr="00FB3674">
        <w:t>including</w:t>
      </w:r>
      <w:r w:rsidR="001F7ED5" w:rsidRPr="00FB3674">
        <w:t xml:space="preserve"> </w:t>
      </w:r>
      <w:r w:rsidRPr="00FB3674">
        <w:t>telephone</w:t>
      </w:r>
      <w:r w:rsidR="001F7ED5" w:rsidRPr="00FB3674">
        <w:t xml:space="preserve"> </w:t>
      </w:r>
      <w:r w:rsidRPr="00FB3674">
        <w:t>conversations,</w:t>
      </w:r>
      <w:r w:rsidR="001F7ED5" w:rsidRPr="00FB3674">
        <w:t xml:space="preserve"> </w:t>
      </w:r>
      <w:r w:rsidRPr="00FB3674">
        <w:t>were</w:t>
      </w:r>
      <w:r w:rsidR="001F7ED5" w:rsidRPr="00FB3674">
        <w:t xml:space="preserve"> </w:t>
      </w:r>
      <w:r w:rsidRPr="00FB3674">
        <w:t>recorded.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meetings</w:t>
      </w:r>
      <w:r w:rsidR="001F7ED5" w:rsidRPr="00FB3674">
        <w:t xml:space="preserve"> </w:t>
      </w:r>
      <w:r w:rsidRPr="00FB3674">
        <w:t>between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author</w:t>
      </w:r>
      <w:r w:rsidR="001F7ED5" w:rsidRPr="00FB3674">
        <w:t xml:space="preserve"> </w:t>
      </w:r>
      <w:r w:rsidRPr="00FB3674">
        <w:t>and</w:t>
      </w:r>
      <w:r w:rsidR="001F7ED5" w:rsidRPr="00FB3674">
        <w:t xml:space="preserve"> </w:t>
      </w:r>
      <w:r w:rsidRPr="00FB3674">
        <w:t>I.</w:t>
      </w:r>
      <w:r w:rsidR="001F7ED5" w:rsidRPr="00FB3674">
        <w:t xml:space="preserve"> </w:t>
      </w:r>
      <w:r w:rsidRPr="00FB3674">
        <w:t>ceased</w:t>
      </w:r>
      <w:r w:rsidR="001F7ED5" w:rsidRPr="00FB3674">
        <w:t xml:space="preserve"> </w:t>
      </w:r>
      <w:r w:rsidRPr="00FB3674">
        <w:t>on</w:t>
      </w:r>
      <w:r w:rsidR="001F7ED5" w:rsidRPr="00FB3674">
        <w:t xml:space="preserve"> </w:t>
      </w:r>
      <w:r w:rsidRPr="00FB3674">
        <w:t>1</w:t>
      </w:r>
      <w:r w:rsidR="001F7ED5" w:rsidRPr="00FB3674">
        <w:t xml:space="preserve"> </w:t>
      </w:r>
      <w:r w:rsidRPr="00FB3674">
        <w:t>December</w:t>
      </w:r>
      <w:r w:rsidR="001F7ED5" w:rsidRPr="00FB3674">
        <w:t xml:space="preserve"> </w:t>
      </w:r>
      <w:r w:rsidRPr="00FB3674">
        <w:t>2004,</w:t>
      </w:r>
      <w:r w:rsidR="001F7ED5" w:rsidRPr="00FB3674">
        <w:t xml:space="preserve"> </w:t>
      </w:r>
      <w:r w:rsidRPr="00FB3674">
        <w:t>when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author</w:t>
      </w:r>
      <w:r w:rsidR="001F7ED5" w:rsidRPr="00FB3674">
        <w:t xml:space="preserve"> </w:t>
      </w:r>
      <w:r w:rsidRPr="00FB3674">
        <w:t>called</w:t>
      </w:r>
      <w:r w:rsidR="001F7ED5" w:rsidRPr="00FB3674">
        <w:t xml:space="preserve"> </w:t>
      </w:r>
      <w:r w:rsidRPr="00FB3674">
        <w:t>him</w:t>
      </w:r>
      <w:r w:rsidR="001F7ED5" w:rsidRPr="00FB3674">
        <w:t xml:space="preserve"> </w:t>
      </w:r>
      <w:r w:rsidRPr="00FB3674">
        <w:t>and</w:t>
      </w:r>
      <w:r w:rsidR="001F7ED5" w:rsidRPr="00FB3674">
        <w:t xml:space="preserve"> </w:t>
      </w:r>
      <w:r w:rsidRPr="00FB3674">
        <w:t>complained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money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he</w:t>
      </w:r>
      <w:r w:rsidR="001F7ED5" w:rsidRPr="00FB3674">
        <w:t xml:space="preserve"> </w:t>
      </w:r>
      <w:r w:rsidRPr="00FB3674">
        <w:t>had</w:t>
      </w:r>
      <w:r w:rsidR="001F7ED5" w:rsidRPr="00FB3674">
        <w:t xml:space="preserve"> </w:t>
      </w:r>
      <w:r w:rsidRPr="00FB3674">
        <w:t>received</w:t>
      </w:r>
      <w:r w:rsidR="001F7ED5" w:rsidRPr="00FB3674">
        <w:t xml:space="preserve"> </w:t>
      </w:r>
      <w:r w:rsidRPr="00FB3674">
        <w:t>from</w:t>
      </w:r>
      <w:r w:rsidR="001F7ED5" w:rsidRPr="00FB3674">
        <w:t xml:space="preserve"> </w:t>
      </w:r>
      <w:r w:rsidRPr="00FB3674">
        <w:t>I.</w:t>
      </w:r>
      <w:r w:rsidR="001F7ED5" w:rsidRPr="00FB3674">
        <w:t xml:space="preserve"> </w:t>
      </w:r>
      <w:r w:rsidRPr="00FB3674">
        <w:t>as</w:t>
      </w:r>
      <w:r w:rsidR="001F7ED5" w:rsidRPr="00FB3674">
        <w:t xml:space="preserve"> </w:t>
      </w:r>
      <w:r w:rsidRPr="00FB3674">
        <w:t>a</w:t>
      </w:r>
      <w:r w:rsidR="001F7ED5" w:rsidRPr="00FB3674">
        <w:t xml:space="preserve"> </w:t>
      </w:r>
      <w:r w:rsidRPr="00FB3674">
        <w:t>payment</w:t>
      </w:r>
      <w:r w:rsidR="001F7ED5" w:rsidRPr="00FB3674">
        <w:t xml:space="preserve"> </w:t>
      </w:r>
      <w:r w:rsidRPr="00FB3674">
        <w:t>for</w:t>
      </w:r>
      <w:r w:rsidR="001F7ED5" w:rsidRPr="00FB3674">
        <w:t xml:space="preserve"> </w:t>
      </w:r>
      <w:r w:rsidRPr="00FB3674">
        <w:t>drugs</w:t>
      </w:r>
      <w:r w:rsidR="001F7ED5" w:rsidRPr="00FB3674">
        <w:t xml:space="preserve"> </w:t>
      </w:r>
      <w:r w:rsidRPr="00FB3674">
        <w:t>had</w:t>
      </w:r>
      <w:r w:rsidR="001F7ED5" w:rsidRPr="00FB3674">
        <w:t xml:space="preserve"> </w:t>
      </w:r>
      <w:r w:rsidRPr="00FB3674">
        <w:t>been</w:t>
      </w:r>
      <w:r w:rsidR="001F7ED5" w:rsidRPr="00FB3674">
        <w:t xml:space="preserve"> </w:t>
      </w:r>
      <w:r w:rsidRPr="00FB3674">
        <w:t>chemically</w:t>
      </w:r>
      <w:r w:rsidR="001F7ED5" w:rsidRPr="00FB3674">
        <w:t xml:space="preserve"> </w:t>
      </w:r>
      <w:r w:rsidRPr="00FB3674">
        <w:t>marked.</w:t>
      </w:r>
    </w:p>
    <w:p w14:paraId="2033C1A7" w14:textId="77777777" w:rsidR="001F7ED5" w:rsidRPr="00FB3674" w:rsidRDefault="005D5882" w:rsidP="005D5882">
      <w:pPr>
        <w:pStyle w:val="SingleTxtG"/>
      </w:pPr>
      <w:r w:rsidRPr="00FB3674">
        <w:t>4.4</w:t>
      </w:r>
      <w:r w:rsidRPr="00FB3674">
        <w:tab/>
        <w:t>On</w:t>
      </w:r>
      <w:r w:rsidR="001F7ED5" w:rsidRPr="00FB3674">
        <w:t xml:space="preserve"> </w:t>
      </w:r>
      <w:r w:rsidRPr="00FB3674">
        <w:t>1</w:t>
      </w:r>
      <w:r w:rsidR="001F7ED5" w:rsidRPr="00FB3674">
        <w:t xml:space="preserve"> </w:t>
      </w:r>
      <w:r w:rsidRPr="00FB3674">
        <w:t>December</w:t>
      </w:r>
      <w:r w:rsidR="001F7ED5" w:rsidRPr="00FB3674">
        <w:t xml:space="preserve"> </w:t>
      </w:r>
      <w:r w:rsidRPr="00FB3674">
        <w:t>2004,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division</w:t>
      </w:r>
      <w:r w:rsidR="001F7ED5" w:rsidRPr="00FB3674">
        <w:t xml:space="preserve"> </w:t>
      </w:r>
      <w:r w:rsidRPr="00FB3674">
        <w:t>charged</w:t>
      </w:r>
      <w:r w:rsidR="001F7ED5" w:rsidRPr="00FB3674">
        <w:t xml:space="preserve"> </w:t>
      </w:r>
      <w:r w:rsidRPr="00FB3674">
        <w:t>with</w:t>
      </w:r>
      <w:r w:rsidR="001F7ED5" w:rsidRPr="00FB3674">
        <w:t xml:space="preserve"> </w:t>
      </w:r>
      <w:r w:rsidRPr="00FB3674">
        <w:t>combating</w:t>
      </w:r>
      <w:r w:rsidR="001F7ED5" w:rsidRPr="00FB3674">
        <w:t xml:space="preserve"> </w:t>
      </w:r>
      <w:r w:rsidRPr="00FB3674">
        <w:t>drugs</w:t>
      </w:r>
      <w:r w:rsidR="001F7ED5" w:rsidRPr="00FB3674">
        <w:t xml:space="preserve"> </w:t>
      </w:r>
      <w:r w:rsidRPr="00FB3674">
        <w:t>initiated</w:t>
      </w:r>
      <w:r w:rsidR="001F7ED5" w:rsidRPr="00FB3674">
        <w:t xml:space="preserve"> </w:t>
      </w:r>
      <w:r w:rsidRPr="00FB3674">
        <w:t>criminal</w:t>
      </w:r>
      <w:r w:rsidR="001F7ED5" w:rsidRPr="00FB3674">
        <w:t xml:space="preserve"> </w:t>
      </w:r>
      <w:r w:rsidRPr="00FB3674">
        <w:t>proceedings</w:t>
      </w:r>
      <w:r w:rsidR="001F7ED5" w:rsidRPr="00FB3674">
        <w:t xml:space="preserve"> </w:t>
      </w:r>
      <w:r w:rsidRPr="00FB3674">
        <w:t>against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author</w:t>
      </w:r>
      <w:r w:rsidR="001F7ED5" w:rsidRPr="00FB3674">
        <w:t xml:space="preserve"> </w:t>
      </w:r>
      <w:r w:rsidRPr="00FB3674">
        <w:t>for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aggravated,</w:t>
      </w:r>
      <w:r w:rsidR="001F7ED5" w:rsidRPr="00FB3674">
        <w:t xml:space="preserve"> </w:t>
      </w:r>
      <w:r w:rsidRPr="00FB3674">
        <w:t>unauthorized</w:t>
      </w:r>
      <w:r w:rsidR="001F7ED5" w:rsidRPr="00FB3674">
        <w:t xml:space="preserve"> </w:t>
      </w:r>
      <w:r w:rsidRPr="00FB3674">
        <w:t>acquisition</w:t>
      </w:r>
      <w:r w:rsidR="001F7ED5" w:rsidRPr="00FB3674">
        <w:t xml:space="preserve"> </w:t>
      </w:r>
      <w:r w:rsidRPr="00FB3674">
        <w:t>and</w:t>
      </w:r>
      <w:r w:rsidR="001F7ED5" w:rsidRPr="00FB3674">
        <w:t xml:space="preserve"> </w:t>
      </w:r>
      <w:r w:rsidRPr="00FB3674">
        <w:t>possession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narcotic</w:t>
      </w:r>
      <w:r w:rsidR="001F7ED5" w:rsidRPr="00FB3674">
        <w:t xml:space="preserve"> </w:t>
      </w:r>
      <w:r w:rsidRPr="00FB3674">
        <w:t>substances</w:t>
      </w:r>
      <w:r w:rsidR="001F7ED5" w:rsidRPr="00FB3674">
        <w:t xml:space="preserve"> </w:t>
      </w:r>
      <w:r w:rsidRPr="00FB3674">
        <w:t>with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intent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sell.</w:t>
      </w:r>
    </w:p>
    <w:p w14:paraId="11F7D049" w14:textId="0DD0B4A6" w:rsidR="001F7ED5" w:rsidRPr="00FB3674" w:rsidRDefault="005D5882" w:rsidP="005D5882">
      <w:pPr>
        <w:pStyle w:val="SingleTxtG"/>
      </w:pPr>
      <w:r w:rsidRPr="00FB3674">
        <w:t>4.5</w:t>
      </w:r>
      <w:r w:rsidRPr="00FB3674">
        <w:tab/>
        <w:t>On</w:t>
      </w:r>
      <w:r w:rsidR="001F7ED5" w:rsidRPr="00FB3674">
        <w:t xml:space="preserve"> </w:t>
      </w:r>
      <w:r w:rsidRPr="00FB3674">
        <w:t>6</w:t>
      </w:r>
      <w:r w:rsidR="001F7ED5" w:rsidRPr="00FB3674">
        <w:t xml:space="preserve"> </w:t>
      </w:r>
      <w:r w:rsidRPr="00FB3674">
        <w:t>December</w:t>
      </w:r>
      <w:r w:rsidR="001F7ED5" w:rsidRPr="00FB3674">
        <w:t xml:space="preserve"> </w:t>
      </w:r>
      <w:r w:rsidRPr="00FB3674">
        <w:t>2004,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author</w:t>
      </w:r>
      <w:r w:rsidR="001F7ED5" w:rsidRPr="00FB3674">
        <w:t xml:space="preserve"> </w:t>
      </w:r>
      <w:r w:rsidRPr="00FB3674">
        <w:t>was</w:t>
      </w:r>
      <w:r w:rsidR="001F7ED5" w:rsidRPr="00FB3674">
        <w:t xml:space="preserve"> </w:t>
      </w:r>
      <w:r w:rsidRPr="00FB3674">
        <w:t>apprehended</w:t>
      </w:r>
      <w:r w:rsidR="001F7ED5" w:rsidRPr="00FB3674">
        <w:t xml:space="preserve"> </w:t>
      </w:r>
      <w:r w:rsidRPr="00FB3674">
        <w:t>by</w:t>
      </w:r>
      <w:r w:rsidR="001F7ED5" w:rsidRPr="00FB3674">
        <w:t xml:space="preserve"> </w:t>
      </w:r>
      <w:r w:rsidRPr="00FB3674">
        <w:t>police</w:t>
      </w:r>
      <w:r w:rsidR="001F7ED5" w:rsidRPr="00FB3674">
        <w:t xml:space="preserve"> </w:t>
      </w:r>
      <w:r w:rsidRPr="00FB3674">
        <w:t>officers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division.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officers</w:t>
      </w:r>
      <w:r w:rsidR="001F7ED5" w:rsidRPr="00FB3674">
        <w:t xml:space="preserve"> </w:t>
      </w:r>
      <w:r w:rsidRPr="00FB3674">
        <w:t>searched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author</w:t>
      </w:r>
      <w:r w:rsidR="00FB3674">
        <w:t>’</w:t>
      </w:r>
      <w:r w:rsidRPr="00FB3674">
        <w:t>s</w:t>
      </w:r>
      <w:r w:rsidR="001F7ED5" w:rsidRPr="00FB3674">
        <w:t xml:space="preserve"> </w:t>
      </w:r>
      <w:r w:rsidRPr="00FB3674">
        <w:t>residence</w:t>
      </w:r>
      <w:r w:rsidR="001F7ED5" w:rsidRPr="00FB3674">
        <w:t xml:space="preserve"> </w:t>
      </w:r>
      <w:r w:rsidRPr="00FB3674">
        <w:t>and</w:t>
      </w:r>
      <w:r w:rsidR="001F7ED5" w:rsidRPr="00FB3674">
        <w:t xml:space="preserve"> </w:t>
      </w:r>
      <w:r w:rsidRPr="00FB3674">
        <w:t>seized</w:t>
      </w:r>
      <w:r w:rsidR="001F7ED5" w:rsidRPr="00FB3674">
        <w:t xml:space="preserve"> </w:t>
      </w:r>
      <w:r w:rsidRPr="00FB3674">
        <w:t>several</w:t>
      </w:r>
      <w:r w:rsidR="001F7ED5" w:rsidRPr="00FB3674">
        <w:t xml:space="preserve"> </w:t>
      </w:r>
      <w:r w:rsidRPr="00FB3674">
        <w:t>items</w:t>
      </w:r>
      <w:r w:rsidR="001F7ED5" w:rsidRPr="00FB3674">
        <w:t xml:space="preserve"> </w:t>
      </w:r>
      <w:r w:rsidRPr="00FB3674">
        <w:t>as</w:t>
      </w:r>
      <w:r w:rsidR="001F7ED5" w:rsidRPr="00FB3674">
        <w:t xml:space="preserve"> </w:t>
      </w:r>
      <w:r w:rsidRPr="00FB3674">
        <w:t>evidence.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forensic</w:t>
      </w:r>
      <w:r w:rsidR="001F7ED5" w:rsidRPr="00FB3674">
        <w:t xml:space="preserve"> </w:t>
      </w:r>
      <w:r w:rsidRPr="00FB3674">
        <w:t>examination</w:t>
      </w:r>
      <w:r w:rsidR="001F7ED5" w:rsidRPr="00FB3674">
        <w:t xml:space="preserve"> </w:t>
      </w:r>
      <w:r w:rsidRPr="00FB3674">
        <w:t>confirmed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seized</w:t>
      </w:r>
      <w:r w:rsidR="001F7ED5" w:rsidRPr="00FB3674">
        <w:t xml:space="preserve"> </w:t>
      </w:r>
      <w:r w:rsidRPr="00FB3674">
        <w:t>items</w:t>
      </w:r>
      <w:r w:rsidR="001F7ED5" w:rsidRPr="00FB3674">
        <w:t xml:space="preserve"> </w:t>
      </w:r>
      <w:r w:rsidRPr="00FB3674">
        <w:t>contained</w:t>
      </w:r>
      <w:r w:rsidR="001F7ED5" w:rsidRPr="00FB3674">
        <w:t xml:space="preserve"> </w:t>
      </w:r>
      <w:r w:rsidRPr="00FB3674">
        <w:t>chemical</w:t>
      </w:r>
      <w:r w:rsidR="001F7ED5" w:rsidRPr="00FB3674">
        <w:t xml:space="preserve"> </w:t>
      </w:r>
      <w:r w:rsidRPr="00FB3674">
        <w:t>traces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methamphetamine</w:t>
      </w:r>
      <w:r w:rsidR="001F7ED5" w:rsidRPr="00FB3674">
        <w:t xml:space="preserve"> </w:t>
      </w:r>
      <w:r w:rsidRPr="00FB3674">
        <w:t>and</w:t>
      </w:r>
      <w:r w:rsidR="001F7ED5" w:rsidRPr="00FB3674">
        <w:t xml:space="preserve"> </w:t>
      </w:r>
      <w:r w:rsidRPr="00FB3674">
        <w:t>cocaine.</w:t>
      </w:r>
    </w:p>
    <w:p w14:paraId="34939584" w14:textId="77777777" w:rsidR="001F7ED5" w:rsidRPr="00FB3674" w:rsidRDefault="005D5882" w:rsidP="005D5882">
      <w:pPr>
        <w:pStyle w:val="SingleTxtG"/>
      </w:pPr>
      <w:r w:rsidRPr="00FB3674">
        <w:t>4.6</w:t>
      </w:r>
      <w:r w:rsidRPr="00FB3674">
        <w:tab/>
        <w:t>On</w:t>
      </w:r>
      <w:r w:rsidR="001F7ED5" w:rsidRPr="00FB3674">
        <w:t xml:space="preserve"> </w:t>
      </w:r>
      <w:r w:rsidRPr="00FB3674">
        <w:t>4</w:t>
      </w:r>
      <w:r w:rsidR="001F7ED5" w:rsidRPr="00FB3674">
        <w:t xml:space="preserve"> </w:t>
      </w:r>
      <w:r w:rsidRPr="00FB3674">
        <w:t>January</w:t>
      </w:r>
      <w:r w:rsidR="001F7ED5" w:rsidRPr="00FB3674">
        <w:t xml:space="preserve"> </w:t>
      </w:r>
      <w:r w:rsidRPr="00FB3674">
        <w:t>2005,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author</w:t>
      </w:r>
      <w:r w:rsidR="001F7ED5" w:rsidRPr="00FB3674">
        <w:t xml:space="preserve"> </w:t>
      </w:r>
      <w:r w:rsidRPr="00FB3674">
        <w:t>was</w:t>
      </w:r>
      <w:r w:rsidR="001F7ED5" w:rsidRPr="00FB3674">
        <w:t xml:space="preserve"> </w:t>
      </w:r>
      <w:r w:rsidRPr="00FB3674">
        <w:t>charged</w:t>
      </w:r>
      <w:r w:rsidR="001F7ED5" w:rsidRPr="00FB3674">
        <w:t xml:space="preserve"> </w:t>
      </w:r>
      <w:r w:rsidRPr="00FB3674">
        <w:t>for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unauthorized</w:t>
      </w:r>
      <w:r w:rsidR="001F7ED5" w:rsidRPr="00FB3674">
        <w:t xml:space="preserve"> </w:t>
      </w:r>
      <w:r w:rsidRPr="00FB3674">
        <w:t>acquisition</w:t>
      </w:r>
      <w:r w:rsidR="001F7ED5" w:rsidRPr="00FB3674">
        <w:t xml:space="preserve"> </w:t>
      </w:r>
      <w:r w:rsidRPr="00FB3674">
        <w:t>and</w:t>
      </w:r>
      <w:r w:rsidR="001F7ED5" w:rsidRPr="00FB3674">
        <w:t xml:space="preserve"> </w:t>
      </w:r>
      <w:r w:rsidRPr="00FB3674">
        <w:t>possession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narcotic</w:t>
      </w:r>
      <w:r w:rsidR="001F7ED5" w:rsidRPr="00FB3674">
        <w:t xml:space="preserve"> </w:t>
      </w:r>
      <w:r w:rsidRPr="00FB3674">
        <w:t>substances</w:t>
      </w:r>
      <w:r w:rsidR="001F7ED5" w:rsidRPr="00FB3674">
        <w:t xml:space="preserve"> </w:t>
      </w:r>
      <w:r w:rsidRPr="00FB3674">
        <w:t>with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intent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sell.</w:t>
      </w:r>
      <w:r w:rsidR="001F7ED5" w:rsidRPr="00FB3674">
        <w:t xml:space="preserve"> </w:t>
      </w:r>
      <w:r w:rsidRPr="00FB3674">
        <w:t>On</w:t>
      </w:r>
      <w:r w:rsidR="001F7ED5" w:rsidRPr="00FB3674">
        <w:t xml:space="preserve"> </w:t>
      </w:r>
      <w:r w:rsidRPr="00FB3674">
        <w:t>21</w:t>
      </w:r>
      <w:r w:rsidR="001F7ED5" w:rsidRPr="00FB3674">
        <w:t xml:space="preserve"> </w:t>
      </w:r>
      <w:r w:rsidRPr="00FB3674">
        <w:t>October</w:t>
      </w:r>
      <w:r w:rsidR="001F7ED5" w:rsidRPr="00FB3674">
        <w:t xml:space="preserve"> </w:t>
      </w:r>
      <w:r w:rsidRPr="00FB3674">
        <w:t>2005,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Riga</w:t>
      </w:r>
      <w:r w:rsidR="001F7ED5" w:rsidRPr="00FB3674">
        <w:t xml:space="preserve"> </w:t>
      </w:r>
      <w:r w:rsidRPr="00FB3674">
        <w:t>Regional</w:t>
      </w:r>
      <w:r w:rsidR="001F7ED5" w:rsidRPr="00FB3674">
        <w:t xml:space="preserve"> </w:t>
      </w:r>
      <w:r w:rsidRPr="00FB3674">
        <w:t>Court</w:t>
      </w:r>
      <w:r w:rsidR="001F7ED5" w:rsidRPr="00FB3674">
        <w:t xml:space="preserve"> </w:t>
      </w:r>
      <w:r w:rsidRPr="00FB3674">
        <w:t>found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author</w:t>
      </w:r>
      <w:r w:rsidR="001F7ED5" w:rsidRPr="00FB3674">
        <w:t xml:space="preserve"> </w:t>
      </w:r>
      <w:r w:rsidRPr="00FB3674">
        <w:t>guilty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aggravated,</w:t>
      </w:r>
      <w:r w:rsidR="001F7ED5" w:rsidRPr="00FB3674">
        <w:t xml:space="preserve"> </w:t>
      </w:r>
      <w:r w:rsidRPr="00FB3674">
        <w:t>unauthorized</w:t>
      </w:r>
      <w:r w:rsidR="001F7ED5" w:rsidRPr="00FB3674">
        <w:t xml:space="preserve"> </w:t>
      </w:r>
      <w:r w:rsidRPr="00FB3674">
        <w:t>acquisition</w:t>
      </w:r>
      <w:r w:rsidR="001F7ED5" w:rsidRPr="00FB3674">
        <w:t xml:space="preserve"> </w:t>
      </w:r>
      <w:r w:rsidRPr="00FB3674">
        <w:t>and</w:t>
      </w:r>
      <w:r w:rsidR="001F7ED5" w:rsidRPr="00FB3674">
        <w:t xml:space="preserve"> </w:t>
      </w:r>
      <w:r w:rsidRPr="00FB3674">
        <w:t>possession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narcotic</w:t>
      </w:r>
      <w:r w:rsidR="001F7ED5" w:rsidRPr="00FB3674">
        <w:t xml:space="preserve"> </w:t>
      </w:r>
      <w:r w:rsidRPr="00FB3674">
        <w:t>substances</w:t>
      </w:r>
      <w:r w:rsidR="001F7ED5" w:rsidRPr="00FB3674">
        <w:t xml:space="preserve"> </w:t>
      </w:r>
      <w:r w:rsidRPr="00FB3674">
        <w:t>with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intent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sell</w:t>
      </w:r>
      <w:r w:rsidR="001F7ED5" w:rsidRPr="00FB3674">
        <w:t xml:space="preserve"> </w:t>
      </w:r>
      <w:r w:rsidRPr="00FB3674">
        <w:t>and</w:t>
      </w:r>
      <w:r w:rsidR="001F7ED5" w:rsidRPr="00FB3674">
        <w:t xml:space="preserve"> </w:t>
      </w:r>
      <w:r w:rsidRPr="00FB3674">
        <w:t>sentenced</w:t>
      </w:r>
      <w:r w:rsidR="001F7ED5" w:rsidRPr="00FB3674">
        <w:t xml:space="preserve"> </w:t>
      </w:r>
      <w:r w:rsidRPr="00FB3674">
        <w:t>him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10</w:t>
      </w:r>
      <w:r w:rsidR="001F7ED5" w:rsidRPr="00FB3674">
        <w:t xml:space="preserve"> </w:t>
      </w:r>
      <w:r w:rsidRPr="00FB3674">
        <w:t>years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deprivation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liberty,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confiscation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property</w:t>
      </w:r>
      <w:r w:rsidR="001F7ED5" w:rsidRPr="00FB3674">
        <w:t xml:space="preserve"> </w:t>
      </w:r>
      <w:r w:rsidRPr="00FB3674">
        <w:t>and</w:t>
      </w:r>
      <w:r w:rsidR="001F7ED5" w:rsidRPr="00FB3674">
        <w:t xml:space="preserve"> </w:t>
      </w:r>
      <w:r w:rsidRPr="00FB3674">
        <w:t>three</w:t>
      </w:r>
      <w:r w:rsidR="001F7ED5" w:rsidRPr="00FB3674">
        <w:t xml:space="preserve"> </w:t>
      </w:r>
      <w:r w:rsidRPr="00FB3674">
        <w:t>years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police</w:t>
      </w:r>
      <w:r w:rsidR="001F7ED5" w:rsidRPr="00FB3674">
        <w:t xml:space="preserve"> </w:t>
      </w:r>
      <w:r w:rsidRPr="00FB3674">
        <w:t>oversight.</w:t>
      </w:r>
    </w:p>
    <w:p w14:paraId="36A72D97" w14:textId="77777777" w:rsidR="001F7ED5" w:rsidRPr="00FB3674" w:rsidRDefault="005D5882" w:rsidP="005D5882">
      <w:pPr>
        <w:pStyle w:val="SingleTxtG"/>
        <w:rPr>
          <w:i/>
          <w:iCs/>
        </w:rPr>
      </w:pPr>
      <w:r w:rsidRPr="00FB3674">
        <w:t>4.7</w:t>
      </w:r>
      <w:r w:rsidRPr="00FB3674">
        <w:tab/>
        <w:t>On</w:t>
      </w:r>
      <w:r w:rsidR="001F7ED5" w:rsidRPr="00FB3674">
        <w:t xml:space="preserve"> </w:t>
      </w:r>
      <w:r w:rsidRPr="00FB3674">
        <w:t>15</w:t>
      </w:r>
      <w:r w:rsidR="001F7ED5" w:rsidRPr="00FB3674">
        <w:t xml:space="preserve"> </w:t>
      </w:r>
      <w:r w:rsidRPr="00FB3674">
        <w:t>September</w:t>
      </w:r>
      <w:r w:rsidR="001F7ED5" w:rsidRPr="00FB3674">
        <w:t xml:space="preserve"> </w:t>
      </w:r>
      <w:r w:rsidRPr="00FB3674">
        <w:t>2006,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Chamber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Criminal</w:t>
      </w:r>
      <w:r w:rsidR="001F7ED5" w:rsidRPr="00FB3674">
        <w:t xml:space="preserve"> </w:t>
      </w:r>
      <w:r w:rsidRPr="00FB3674">
        <w:t>Cases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Supreme</w:t>
      </w:r>
      <w:r w:rsidR="001F7ED5" w:rsidRPr="00FB3674">
        <w:t xml:space="preserve"> </w:t>
      </w:r>
      <w:r w:rsidRPr="00FB3674">
        <w:t>Court,</w:t>
      </w:r>
      <w:r w:rsidR="001F7ED5" w:rsidRPr="00FB3674">
        <w:t xml:space="preserve"> </w:t>
      </w:r>
      <w:r w:rsidRPr="00FB3674">
        <w:t>acting</w:t>
      </w:r>
      <w:r w:rsidR="001F7ED5" w:rsidRPr="00FB3674">
        <w:t xml:space="preserve"> </w:t>
      </w:r>
      <w:r w:rsidRPr="00FB3674">
        <w:t>as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appellate</w:t>
      </w:r>
      <w:r w:rsidR="001F7ED5" w:rsidRPr="00FB3674">
        <w:t xml:space="preserve"> </w:t>
      </w:r>
      <w:r w:rsidRPr="00FB3674">
        <w:t>instance,</w:t>
      </w:r>
      <w:r w:rsidR="001F7ED5" w:rsidRPr="00FB3674">
        <w:t xml:space="preserve"> </w:t>
      </w:r>
      <w:r w:rsidRPr="00FB3674">
        <w:t>upheld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judgment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Riga</w:t>
      </w:r>
      <w:r w:rsidR="001F7ED5" w:rsidRPr="00FB3674">
        <w:t xml:space="preserve"> </w:t>
      </w:r>
      <w:r w:rsidRPr="00FB3674">
        <w:t>Regional</w:t>
      </w:r>
      <w:r w:rsidR="001F7ED5" w:rsidRPr="00FB3674">
        <w:t xml:space="preserve"> </w:t>
      </w:r>
      <w:r w:rsidRPr="00FB3674">
        <w:t>Court.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author</w:t>
      </w:r>
      <w:r w:rsidR="001F7ED5" w:rsidRPr="00FB3674">
        <w:t xml:space="preserve"> </w:t>
      </w:r>
      <w:r w:rsidRPr="00FB3674">
        <w:t>lodged</w:t>
      </w:r>
      <w:r w:rsidR="001F7ED5" w:rsidRPr="00FB3674">
        <w:t xml:space="preserve"> </w:t>
      </w:r>
      <w:r w:rsidRPr="00FB3674">
        <w:t>a</w:t>
      </w:r>
      <w:r w:rsidR="001F7ED5" w:rsidRPr="00FB3674">
        <w:t xml:space="preserve"> </w:t>
      </w:r>
      <w:r w:rsidRPr="00FB3674">
        <w:t>cassation</w:t>
      </w:r>
      <w:r w:rsidR="001F7ED5" w:rsidRPr="00FB3674">
        <w:t xml:space="preserve"> </w:t>
      </w:r>
      <w:r w:rsidRPr="00FB3674">
        <w:t>complaint</w:t>
      </w:r>
      <w:r w:rsidR="001F7ED5" w:rsidRPr="00FB3674">
        <w:t xml:space="preserve"> </w:t>
      </w:r>
      <w:r w:rsidRPr="00FB3674">
        <w:t>with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Senate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Supreme</w:t>
      </w:r>
      <w:r w:rsidR="001F7ED5" w:rsidRPr="00FB3674">
        <w:t xml:space="preserve"> </w:t>
      </w:r>
      <w:r w:rsidRPr="00FB3674">
        <w:t>Court,</w:t>
      </w:r>
      <w:r w:rsidR="001F7ED5" w:rsidRPr="00FB3674">
        <w:t xml:space="preserve"> </w:t>
      </w:r>
      <w:r w:rsidRPr="00FB3674">
        <w:t>alleging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he</w:t>
      </w:r>
      <w:r w:rsidR="001F7ED5" w:rsidRPr="00FB3674">
        <w:t xml:space="preserve"> </w:t>
      </w:r>
      <w:r w:rsidRPr="00FB3674">
        <w:t>had</w:t>
      </w:r>
      <w:r w:rsidR="001F7ED5" w:rsidRPr="00FB3674">
        <w:t xml:space="preserve"> </w:t>
      </w:r>
      <w:r w:rsidRPr="00FB3674">
        <w:t>been</w:t>
      </w:r>
      <w:r w:rsidR="001F7ED5" w:rsidRPr="00FB3674">
        <w:t xml:space="preserve"> </w:t>
      </w:r>
      <w:r w:rsidRPr="00FB3674">
        <w:t>incited</w:t>
      </w:r>
      <w:r w:rsidR="001F7ED5" w:rsidRPr="00FB3674">
        <w:t xml:space="preserve"> </w:t>
      </w:r>
      <w:r w:rsidRPr="00FB3674">
        <w:t>by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police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commit</w:t>
      </w:r>
      <w:r w:rsidR="001F7ED5" w:rsidRPr="00FB3674">
        <w:t xml:space="preserve"> </w:t>
      </w:r>
      <w:r w:rsidRPr="00FB3674">
        <w:t>a</w:t>
      </w:r>
      <w:r w:rsidR="001F7ED5" w:rsidRPr="00FB3674">
        <w:t xml:space="preserve"> </w:t>
      </w:r>
      <w:r w:rsidRPr="00FB3674">
        <w:t>crime,</w:t>
      </w:r>
      <w:r w:rsidR="001F7ED5" w:rsidRPr="00FB3674">
        <w:t xml:space="preserve"> </w:t>
      </w:r>
      <w:r w:rsidRPr="00FB3674">
        <w:t>in</w:t>
      </w:r>
      <w:r w:rsidR="001F7ED5" w:rsidRPr="00FB3674">
        <w:t xml:space="preserve"> </w:t>
      </w:r>
      <w:r w:rsidRPr="00FB3674">
        <w:t>breach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Law</w:t>
      </w:r>
      <w:r w:rsidR="001F7ED5" w:rsidRPr="00FB3674">
        <w:t xml:space="preserve"> </w:t>
      </w:r>
      <w:r w:rsidRPr="00FB3674">
        <w:t>on</w:t>
      </w:r>
      <w:r w:rsidR="001F7ED5" w:rsidRPr="00FB3674">
        <w:t xml:space="preserve"> </w:t>
      </w:r>
      <w:r w:rsidRPr="00FB3674">
        <w:t>Special</w:t>
      </w:r>
      <w:r w:rsidR="001F7ED5" w:rsidRPr="00FB3674">
        <w:t xml:space="preserve"> </w:t>
      </w:r>
      <w:r w:rsidRPr="00FB3674">
        <w:t>Investigative</w:t>
      </w:r>
      <w:r w:rsidR="001F7ED5" w:rsidRPr="00FB3674">
        <w:t xml:space="preserve"> </w:t>
      </w:r>
      <w:r w:rsidRPr="00FB3674">
        <w:t>Measures</w:t>
      </w:r>
      <w:r w:rsidRPr="00FB3674">
        <w:rPr>
          <w:i/>
          <w:iCs/>
        </w:rPr>
        <w:t>.</w:t>
      </w:r>
    </w:p>
    <w:p w14:paraId="229F70FA" w14:textId="456D24F1" w:rsidR="001F7ED5" w:rsidRPr="00FB3674" w:rsidRDefault="005D5882" w:rsidP="005D5882">
      <w:pPr>
        <w:pStyle w:val="SingleTxtG"/>
      </w:pPr>
      <w:r w:rsidRPr="00FB3674">
        <w:t>4.8</w:t>
      </w:r>
      <w:r w:rsidRPr="00FB3674">
        <w:tab/>
        <w:t>On</w:t>
      </w:r>
      <w:r w:rsidR="001F7ED5" w:rsidRPr="00FB3674">
        <w:t xml:space="preserve"> </w:t>
      </w:r>
      <w:r w:rsidRPr="00FB3674">
        <w:t>1</w:t>
      </w:r>
      <w:r w:rsidR="001F7ED5" w:rsidRPr="00FB3674">
        <w:t xml:space="preserve"> </w:t>
      </w:r>
      <w:r w:rsidRPr="00FB3674">
        <w:t>March</w:t>
      </w:r>
      <w:r w:rsidR="001F7ED5" w:rsidRPr="00FB3674">
        <w:t xml:space="preserve"> </w:t>
      </w:r>
      <w:r w:rsidRPr="00FB3674">
        <w:t>2007,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Senate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Supreme</w:t>
      </w:r>
      <w:r w:rsidR="001F7ED5" w:rsidRPr="00FB3674">
        <w:t xml:space="preserve"> </w:t>
      </w:r>
      <w:r w:rsidRPr="00FB3674">
        <w:t>Court</w:t>
      </w:r>
      <w:r w:rsidR="001F7ED5" w:rsidRPr="00FB3674">
        <w:t xml:space="preserve"> </w:t>
      </w:r>
      <w:r w:rsidRPr="00FB3674">
        <w:t>requested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Office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Prosecutor</w:t>
      </w:r>
      <w:r w:rsidR="001F7ED5" w:rsidRPr="00FB3674">
        <w:t xml:space="preserve"> </w:t>
      </w:r>
      <w:r w:rsidRPr="00FB3674">
        <w:t>General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provide</w:t>
      </w:r>
      <w:r w:rsidR="001F7ED5" w:rsidRPr="00FB3674">
        <w:t xml:space="preserve"> </w:t>
      </w:r>
      <w:r w:rsidRPr="00FB3674">
        <w:t>information</w:t>
      </w:r>
      <w:r w:rsidR="001F7ED5" w:rsidRPr="00FB3674">
        <w:t xml:space="preserve"> </w:t>
      </w:r>
      <w:r w:rsidRPr="00FB3674">
        <w:t>concerning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allegations</w:t>
      </w:r>
      <w:r w:rsidR="001F7ED5" w:rsidRPr="00FB3674">
        <w:t xml:space="preserve"> </w:t>
      </w:r>
      <w:r w:rsidRPr="00FB3674">
        <w:t>made</w:t>
      </w:r>
      <w:r w:rsidR="001F7ED5" w:rsidRPr="00FB3674">
        <w:t xml:space="preserve"> </w:t>
      </w:r>
      <w:r w:rsidRPr="00FB3674">
        <w:t>in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author</w:t>
      </w:r>
      <w:r w:rsidR="00FB3674">
        <w:t>’</w:t>
      </w:r>
      <w:r w:rsidRPr="00FB3674">
        <w:t>s</w:t>
      </w:r>
      <w:r w:rsidR="001F7ED5" w:rsidRPr="00FB3674">
        <w:t xml:space="preserve"> </w:t>
      </w:r>
      <w:r w:rsidRPr="00FB3674">
        <w:t>cassation</w:t>
      </w:r>
      <w:r w:rsidR="001F7ED5" w:rsidRPr="00FB3674">
        <w:t xml:space="preserve"> </w:t>
      </w:r>
      <w:r w:rsidRPr="00FB3674">
        <w:t>complaint.</w:t>
      </w:r>
    </w:p>
    <w:p w14:paraId="581BD332" w14:textId="468CCCF3" w:rsidR="005D5882" w:rsidRPr="00FB3674" w:rsidRDefault="005D5882" w:rsidP="005D5882">
      <w:pPr>
        <w:pStyle w:val="SingleTxtG"/>
      </w:pPr>
      <w:r w:rsidRPr="00FB3674">
        <w:t>4.9</w:t>
      </w:r>
      <w:r w:rsidRPr="00FB3674">
        <w:tab/>
        <w:t>On</w:t>
      </w:r>
      <w:r w:rsidR="001F7ED5" w:rsidRPr="00FB3674">
        <w:t xml:space="preserve"> </w:t>
      </w:r>
      <w:r w:rsidRPr="00FB3674">
        <w:t>13</w:t>
      </w:r>
      <w:r w:rsidR="001F7ED5" w:rsidRPr="00FB3674">
        <w:t xml:space="preserve"> </w:t>
      </w:r>
      <w:r w:rsidRPr="00FB3674">
        <w:t>March</w:t>
      </w:r>
      <w:r w:rsidR="001F7ED5" w:rsidRPr="00FB3674">
        <w:t xml:space="preserve"> </w:t>
      </w:r>
      <w:r w:rsidRPr="00FB3674">
        <w:t>2007,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Office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Prosecutor</w:t>
      </w:r>
      <w:r w:rsidR="001F7ED5" w:rsidRPr="00FB3674">
        <w:t xml:space="preserve"> </w:t>
      </w:r>
      <w:r w:rsidRPr="00FB3674">
        <w:t>General</w:t>
      </w:r>
      <w:r w:rsidR="001F7ED5" w:rsidRPr="00FB3674">
        <w:t xml:space="preserve"> </w:t>
      </w:r>
      <w:r w:rsidRPr="00FB3674">
        <w:t>informed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Senate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Supreme</w:t>
      </w:r>
      <w:r w:rsidR="001F7ED5" w:rsidRPr="00FB3674">
        <w:t xml:space="preserve"> </w:t>
      </w:r>
      <w:r w:rsidRPr="00FB3674">
        <w:t>Court</w:t>
      </w:r>
      <w:r w:rsidR="001F7ED5" w:rsidRPr="00FB3674">
        <w:t xml:space="preserve"> </w:t>
      </w:r>
      <w:r w:rsidRPr="00FB3674">
        <w:t>about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special</w:t>
      </w:r>
      <w:r w:rsidR="001F7ED5" w:rsidRPr="00FB3674">
        <w:t xml:space="preserve"> </w:t>
      </w:r>
      <w:r w:rsidRPr="00FB3674">
        <w:t>investigative</w:t>
      </w:r>
      <w:r w:rsidR="001F7ED5" w:rsidRPr="00FB3674">
        <w:t xml:space="preserve"> </w:t>
      </w:r>
      <w:r w:rsidRPr="00FB3674">
        <w:t>activities</w:t>
      </w:r>
      <w:r w:rsidR="001F7ED5" w:rsidRPr="00FB3674">
        <w:t xml:space="preserve"> </w:t>
      </w:r>
      <w:r w:rsidRPr="00FB3674">
        <w:t>against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author</w:t>
      </w:r>
      <w:r w:rsidR="001F7ED5" w:rsidRPr="00FB3674">
        <w:t xml:space="preserve"> </w:t>
      </w:r>
      <w:r w:rsidRPr="00FB3674">
        <w:t>and</w:t>
      </w:r>
      <w:r w:rsidR="001F7ED5" w:rsidRPr="00FB3674">
        <w:t xml:space="preserve"> </w:t>
      </w:r>
      <w:r w:rsidRPr="00FB3674">
        <w:t>maintained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actions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undercover</w:t>
      </w:r>
      <w:r w:rsidR="001F7ED5" w:rsidRPr="00FB3674">
        <w:t xml:space="preserve"> </w:t>
      </w:r>
      <w:r w:rsidRPr="00FB3674">
        <w:t>police</w:t>
      </w:r>
      <w:r w:rsidR="001F7ED5" w:rsidRPr="00FB3674">
        <w:t xml:space="preserve"> </w:t>
      </w:r>
      <w:r w:rsidRPr="00FB3674">
        <w:t>officer,</w:t>
      </w:r>
      <w:r w:rsidR="001F7ED5" w:rsidRPr="00FB3674">
        <w:t xml:space="preserve"> </w:t>
      </w:r>
      <w:r w:rsidRPr="00FB3674">
        <w:t>I.,</w:t>
      </w:r>
      <w:r w:rsidR="001F7ED5" w:rsidRPr="00FB3674">
        <w:t xml:space="preserve"> </w:t>
      </w:r>
      <w:r w:rsidRPr="00FB3674">
        <w:t>did</w:t>
      </w:r>
      <w:r w:rsidR="001F7ED5" w:rsidRPr="00FB3674">
        <w:t xml:space="preserve"> </w:t>
      </w:r>
      <w:r w:rsidRPr="00FB3674">
        <w:t>not</w:t>
      </w:r>
      <w:r w:rsidR="001F7ED5" w:rsidRPr="00FB3674">
        <w:t xml:space="preserve"> </w:t>
      </w:r>
      <w:r w:rsidRPr="00FB3674">
        <w:t>amount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incitement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commit</w:t>
      </w:r>
      <w:r w:rsidR="001F7ED5" w:rsidRPr="00FB3674">
        <w:t xml:space="preserve"> </w:t>
      </w:r>
      <w:r w:rsidRPr="00FB3674">
        <w:t>a</w:t>
      </w:r>
      <w:r w:rsidR="001F7ED5" w:rsidRPr="00FB3674">
        <w:t xml:space="preserve"> </w:t>
      </w:r>
      <w:r w:rsidRPr="00FB3674">
        <w:t>criminal</w:t>
      </w:r>
      <w:r w:rsidR="001F7ED5" w:rsidRPr="00FB3674">
        <w:t xml:space="preserve"> </w:t>
      </w:r>
      <w:r w:rsidRPr="00FB3674">
        <w:t>offence;</w:t>
      </w:r>
      <w:r w:rsidR="001F7ED5" w:rsidRPr="00FB3674">
        <w:t xml:space="preserve"> </w:t>
      </w:r>
      <w:r w:rsidRPr="00FB3674">
        <w:t>instead,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police</w:t>
      </w:r>
      <w:r w:rsidR="001F7ED5" w:rsidRPr="00FB3674">
        <w:t xml:space="preserve"> </w:t>
      </w:r>
      <w:r w:rsidRPr="00FB3674">
        <w:t>officers</w:t>
      </w:r>
      <w:r w:rsidR="001F7ED5" w:rsidRPr="00FB3674">
        <w:t xml:space="preserve"> </w:t>
      </w:r>
      <w:r w:rsidRPr="00FB3674">
        <w:t>had</w:t>
      </w:r>
      <w:r w:rsidR="001F7ED5" w:rsidRPr="00FB3674">
        <w:t xml:space="preserve"> </w:t>
      </w:r>
      <w:r w:rsidRPr="00FB3674">
        <w:t>intercepted</w:t>
      </w:r>
      <w:r w:rsidR="001F7ED5" w:rsidRPr="00FB3674">
        <w:t xml:space="preserve"> </w:t>
      </w:r>
      <w:r w:rsidRPr="00FB3674">
        <w:t>and</w:t>
      </w:r>
      <w:r w:rsidR="001F7ED5" w:rsidRPr="00FB3674">
        <w:t xml:space="preserve"> </w:t>
      </w:r>
      <w:r w:rsidRPr="00FB3674">
        <w:t>thwarted</w:t>
      </w:r>
      <w:r w:rsidR="001F7ED5" w:rsidRPr="00FB3674">
        <w:t xml:space="preserve"> </w:t>
      </w:r>
      <w:r w:rsidRPr="00FB3674">
        <w:t>criminal</w:t>
      </w:r>
      <w:r w:rsidR="001F7ED5" w:rsidRPr="00FB3674">
        <w:t xml:space="preserve"> </w:t>
      </w:r>
      <w:r w:rsidRPr="00FB3674">
        <w:t>activities</w:t>
      </w:r>
      <w:r w:rsidR="001F7ED5" w:rsidRPr="00FB3674">
        <w:t xml:space="preserve"> </w:t>
      </w:r>
      <w:r w:rsidRPr="00FB3674">
        <w:t>already</w:t>
      </w:r>
      <w:r w:rsidR="001F7ED5" w:rsidRPr="00FB3674">
        <w:t xml:space="preserve"> </w:t>
      </w:r>
      <w:r w:rsidRPr="00FB3674">
        <w:t>under</w:t>
      </w:r>
      <w:r w:rsidR="001F7ED5" w:rsidRPr="00FB3674">
        <w:t xml:space="preserve"> </w:t>
      </w:r>
      <w:r w:rsidRPr="00FB3674">
        <w:t>way.</w:t>
      </w:r>
    </w:p>
    <w:p w14:paraId="67323BD3" w14:textId="30E9431E" w:rsidR="001F7ED5" w:rsidRPr="00FB3674" w:rsidRDefault="005D5882" w:rsidP="005D5882">
      <w:pPr>
        <w:pStyle w:val="SingleTxtG"/>
      </w:pPr>
      <w:r w:rsidRPr="00FB3674">
        <w:t>4.10</w:t>
      </w:r>
      <w:r w:rsidRPr="00FB3674">
        <w:tab/>
        <w:t>On</w:t>
      </w:r>
      <w:r w:rsidR="001F7ED5" w:rsidRPr="00FB3674">
        <w:t xml:space="preserve"> </w:t>
      </w:r>
      <w:r w:rsidRPr="00FB3674">
        <w:t>19</w:t>
      </w:r>
      <w:r w:rsidR="001F7ED5" w:rsidRPr="00FB3674">
        <w:t xml:space="preserve"> </w:t>
      </w:r>
      <w:r w:rsidRPr="00FB3674">
        <w:t>March</w:t>
      </w:r>
      <w:r w:rsidR="001F7ED5" w:rsidRPr="00FB3674">
        <w:t xml:space="preserve"> </w:t>
      </w:r>
      <w:r w:rsidRPr="00FB3674">
        <w:t>2007,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Senate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Supreme</w:t>
      </w:r>
      <w:r w:rsidR="001F7ED5" w:rsidRPr="00FB3674">
        <w:t xml:space="preserve"> </w:t>
      </w:r>
      <w:r w:rsidRPr="00FB3674">
        <w:t>Court</w:t>
      </w:r>
      <w:r w:rsidR="001F7ED5" w:rsidRPr="00FB3674">
        <w:t xml:space="preserve"> </w:t>
      </w:r>
      <w:r w:rsidRPr="00FB3674">
        <w:t>rejected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author</w:t>
      </w:r>
      <w:r w:rsidR="00FB3674">
        <w:t>’</w:t>
      </w:r>
      <w:r w:rsidRPr="00FB3674">
        <w:t>s</w:t>
      </w:r>
      <w:r w:rsidR="001F7ED5" w:rsidRPr="00FB3674">
        <w:t xml:space="preserve"> </w:t>
      </w:r>
      <w:r w:rsidRPr="00FB3674">
        <w:t>cassation</w:t>
      </w:r>
      <w:r w:rsidR="001F7ED5" w:rsidRPr="00FB3674">
        <w:t xml:space="preserve"> </w:t>
      </w:r>
      <w:r w:rsidRPr="00FB3674">
        <w:t>complaint,</w:t>
      </w:r>
      <w:r w:rsidR="001F7ED5" w:rsidRPr="00FB3674">
        <w:t xml:space="preserve"> </w:t>
      </w:r>
      <w:r w:rsidRPr="00FB3674">
        <w:t>noting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author</w:t>
      </w:r>
      <w:r w:rsidR="001F7ED5" w:rsidRPr="00FB3674">
        <w:t xml:space="preserve"> </w:t>
      </w:r>
      <w:r w:rsidRPr="00FB3674">
        <w:t>had</w:t>
      </w:r>
      <w:r w:rsidR="001F7ED5" w:rsidRPr="00FB3674">
        <w:t xml:space="preserve"> </w:t>
      </w:r>
      <w:r w:rsidRPr="00FB3674">
        <w:t>not</w:t>
      </w:r>
      <w:r w:rsidR="001F7ED5" w:rsidRPr="00FB3674">
        <w:t xml:space="preserve"> </w:t>
      </w:r>
      <w:r w:rsidRPr="00FB3674">
        <w:t>been</w:t>
      </w:r>
      <w:r w:rsidR="001F7ED5" w:rsidRPr="00FB3674">
        <w:t xml:space="preserve"> </w:t>
      </w:r>
      <w:r w:rsidRPr="00FB3674">
        <w:t>subjected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incitement</w:t>
      </w:r>
      <w:r w:rsidR="001F7ED5" w:rsidRPr="00FB3674">
        <w:t xml:space="preserve"> </w:t>
      </w:r>
      <w:r w:rsidRPr="00FB3674">
        <w:t>by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police</w:t>
      </w:r>
      <w:r w:rsidR="001F7ED5" w:rsidRPr="00FB3674">
        <w:t xml:space="preserve"> </w:t>
      </w:r>
      <w:r w:rsidRPr="00FB3674">
        <w:t>since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authorities</w:t>
      </w:r>
      <w:r w:rsidR="001F7ED5" w:rsidRPr="00FB3674">
        <w:t xml:space="preserve"> </w:t>
      </w:r>
      <w:r w:rsidRPr="00FB3674">
        <w:t>had</w:t>
      </w:r>
      <w:r w:rsidR="001F7ED5" w:rsidRPr="00FB3674">
        <w:t xml:space="preserve"> </w:t>
      </w:r>
      <w:r w:rsidRPr="00FB3674">
        <w:t>at</w:t>
      </w:r>
      <w:r w:rsidR="001F7ED5" w:rsidRPr="00FB3674">
        <w:t xml:space="preserve"> </w:t>
      </w:r>
      <w:r w:rsidRPr="00FB3674">
        <w:t>their</w:t>
      </w:r>
      <w:r w:rsidR="001F7ED5" w:rsidRPr="00FB3674">
        <w:t xml:space="preserve"> </w:t>
      </w:r>
      <w:r w:rsidRPr="00FB3674">
        <w:t>disposal</w:t>
      </w:r>
      <w:r w:rsidR="001F7ED5" w:rsidRPr="00FB3674">
        <w:t xml:space="preserve"> </w:t>
      </w:r>
      <w:r w:rsidRPr="00FB3674">
        <w:t>information</w:t>
      </w:r>
      <w:r w:rsidR="001F7ED5" w:rsidRPr="00FB3674">
        <w:t xml:space="preserve"> </w:t>
      </w:r>
      <w:r w:rsidRPr="00FB3674">
        <w:t>indicating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author</w:t>
      </w:r>
      <w:r w:rsidR="001F7ED5" w:rsidRPr="00FB3674">
        <w:t xml:space="preserve"> </w:t>
      </w:r>
      <w:r w:rsidRPr="00FB3674">
        <w:t>was</w:t>
      </w:r>
      <w:r w:rsidR="001F7ED5" w:rsidRPr="00FB3674">
        <w:t xml:space="preserve"> </w:t>
      </w:r>
      <w:r w:rsidRPr="00FB3674">
        <w:t>involved</w:t>
      </w:r>
      <w:r w:rsidR="001F7ED5" w:rsidRPr="00FB3674">
        <w:t xml:space="preserve"> </w:t>
      </w:r>
      <w:r w:rsidRPr="00FB3674">
        <w:t>in</w:t>
      </w:r>
      <w:r w:rsidR="001F7ED5" w:rsidRPr="00FB3674">
        <w:t xml:space="preserve"> </w:t>
      </w:r>
      <w:r w:rsidRPr="00FB3674">
        <w:t>an</w:t>
      </w:r>
      <w:r w:rsidR="001F7ED5" w:rsidRPr="00FB3674">
        <w:t xml:space="preserve"> </w:t>
      </w:r>
      <w:r w:rsidRPr="00FB3674">
        <w:t>illegal</w:t>
      </w:r>
      <w:r w:rsidR="001F7ED5" w:rsidRPr="00FB3674">
        <w:t xml:space="preserve"> </w:t>
      </w:r>
      <w:r w:rsidRPr="00FB3674">
        <w:t>drug</w:t>
      </w:r>
      <w:r w:rsidR="001F7ED5" w:rsidRPr="00FB3674">
        <w:t xml:space="preserve"> </w:t>
      </w:r>
      <w:r w:rsidRPr="00FB3674">
        <w:t>supply</w:t>
      </w:r>
      <w:r w:rsidR="001F7ED5" w:rsidRPr="00FB3674">
        <w:t xml:space="preserve"> </w:t>
      </w:r>
      <w:r w:rsidRPr="00FB3674">
        <w:t>chain.</w:t>
      </w:r>
    </w:p>
    <w:p w14:paraId="3A3B2337" w14:textId="77777777" w:rsidR="001F7ED5" w:rsidRPr="00FB3674" w:rsidRDefault="005D5882" w:rsidP="005D5882">
      <w:pPr>
        <w:pStyle w:val="SingleTxtG"/>
      </w:pPr>
      <w:r w:rsidRPr="00FB3674">
        <w:t>4.11</w:t>
      </w:r>
      <w:r w:rsidRPr="00FB3674">
        <w:tab/>
        <w:t>On</w:t>
      </w:r>
      <w:r w:rsidR="001F7ED5" w:rsidRPr="00FB3674">
        <w:t xml:space="preserve"> </w:t>
      </w:r>
      <w:r w:rsidRPr="00FB3674">
        <w:t>12</w:t>
      </w:r>
      <w:r w:rsidR="001F7ED5" w:rsidRPr="00FB3674">
        <w:t xml:space="preserve"> </w:t>
      </w:r>
      <w:r w:rsidRPr="00FB3674">
        <w:t>June</w:t>
      </w:r>
      <w:r w:rsidR="001F7ED5" w:rsidRPr="00FB3674">
        <w:t xml:space="preserve"> </w:t>
      </w:r>
      <w:r w:rsidRPr="00FB3674">
        <w:t>2007,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author</w:t>
      </w:r>
      <w:r w:rsidR="001F7ED5" w:rsidRPr="00FB3674">
        <w:t xml:space="preserve"> </w:t>
      </w:r>
      <w:r w:rsidRPr="00FB3674">
        <w:t>lodged</w:t>
      </w:r>
      <w:r w:rsidR="001F7ED5" w:rsidRPr="00FB3674">
        <w:t xml:space="preserve"> </w:t>
      </w:r>
      <w:r w:rsidRPr="00FB3674">
        <w:t>an</w:t>
      </w:r>
      <w:r w:rsidR="001F7ED5" w:rsidRPr="00FB3674">
        <w:t xml:space="preserve"> </w:t>
      </w:r>
      <w:r w:rsidRPr="00FB3674">
        <w:t>application</w:t>
      </w:r>
      <w:r w:rsidR="001F7ED5" w:rsidRPr="00FB3674">
        <w:t xml:space="preserve"> </w:t>
      </w:r>
      <w:r w:rsidRPr="00FB3674">
        <w:t>with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European</w:t>
      </w:r>
      <w:r w:rsidR="001F7ED5" w:rsidRPr="00FB3674">
        <w:t xml:space="preserve"> </w:t>
      </w:r>
      <w:r w:rsidRPr="00FB3674">
        <w:t>Court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Human</w:t>
      </w:r>
      <w:r w:rsidR="001F7ED5" w:rsidRPr="00FB3674">
        <w:t xml:space="preserve"> </w:t>
      </w:r>
      <w:r w:rsidRPr="00FB3674">
        <w:t>Rights</w:t>
      </w:r>
      <w:r w:rsidR="001F7ED5" w:rsidRPr="00FB3674">
        <w:t xml:space="preserve"> </w:t>
      </w:r>
      <w:r w:rsidRPr="00FB3674">
        <w:t>complaining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he</w:t>
      </w:r>
      <w:r w:rsidR="001F7ED5" w:rsidRPr="00FB3674">
        <w:t xml:space="preserve"> </w:t>
      </w:r>
      <w:r w:rsidRPr="00FB3674">
        <w:t>had</w:t>
      </w:r>
      <w:r w:rsidR="001F7ED5" w:rsidRPr="00FB3674">
        <w:t xml:space="preserve"> </w:t>
      </w:r>
      <w:r w:rsidRPr="00FB3674">
        <w:t>been</w:t>
      </w:r>
      <w:r w:rsidR="001F7ED5" w:rsidRPr="00FB3674">
        <w:t xml:space="preserve"> </w:t>
      </w:r>
      <w:r w:rsidRPr="00FB3674">
        <w:t>subjected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incitement</w:t>
      </w:r>
      <w:r w:rsidR="001F7ED5" w:rsidRPr="00FB3674">
        <w:t xml:space="preserve"> </w:t>
      </w:r>
      <w:r w:rsidRPr="00FB3674">
        <w:t>by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police</w:t>
      </w:r>
      <w:r w:rsidR="001F7ED5" w:rsidRPr="00FB3674">
        <w:t xml:space="preserve"> </w:t>
      </w:r>
      <w:r w:rsidRPr="00FB3674">
        <w:t>and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he</w:t>
      </w:r>
      <w:r w:rsidR="001F7ED5" w:rsidRPr="00FB3674">
        <w:t xml:space="preserve"> </w:t>
      </w:r>
      <w:r w:rsidRPr="00FB3674">
        <w:t>had</w:t>
      </w:r>
      <w:r w:rsidR="001F7ED5" w:rsidRPr="00FB3674">
        <w:t xml:space="preserve"> </w:t>
      </w:r>
      <w:r w:rsidRPr="00FB3674">
        <w:t>not</w:t>
      </w:r>
      <w:r w:rsidR="001F7ED5" w:rsidRPr="00FB3674">
        <w:t xml:space="preserve"> </w:t>
      </w:r>
      <w:r w:rsidRPr="00FB3674">
        <w:t>had</w:t>
      </w:r>
      <w:r w:rsidR="001F7ED5" w:rsidRPr="00FB3674">
        <w:t xml:space="preserve"> </w:t>
      </w:r>
      <w:r w:rsidRPr="00FB3674">
        <w:t>a</w:t>
      </w:r>
      <w:r w:rsidR="001F7ED5" w:rsidRPr="00FB3674">
        <w:t xml:space="preserve"> </w:t>
      </w:r>
      <w:r w:rsidRPr="00FB3674">
        <w:t>fair</w:t>
      </w:r>
      <w:r w:rsidR="001F7ED5" w:rsidRPr="00FB3674">
        <w:t xml:space="preserve"> </w:t>
      </w:r>
      <w:r w:rsidRPr="00FB3674">
        <w:t>hearing</w:t>
      </w:r>
      <w:r w:rsidR="001F7ED5" w:rsidRPr="00FB3674">
        <w:t xml:space="preserve"> </w:t>
      </w:r>
      <w:r w:rsidRPr="00FB3674">
        <w:t>in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determination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criminal</w:t>
      </w:r>
      <w:r w:rsidR="001F7ED5" w:rsidRPr="00FB3674">
        <w:t xml:space="preserve"> </w:t>
      </w:r>
      <w:r w:rsidRPr="00FB3674">
        <w:t>charges</w:t>
      </w:r>
      <w:r w:rsidR="001F7ED5" w:rsidRPr="00FB3674">
        <w:t xml:space="preserve"> </w:t>
      </w:r>
      <w:r w:rsidRPr="00FB3674">
        <w:t>against</w:t>
      </w:r>
      <w:r w:rsidR="001F7ED5" w:rsidRPr="00FB3674">
        <w:t xml:space="preserve"> </w:t>
      </w:r>
      <w:r w:rsidRPr="00FB3674">
        <w:t>him.</w:t>
      </w:r>
    </w:p>
    <w:p w14:paraId="104EADEE" w14:textId="55F31F73" w:rsidR="001F7ED5" w:rsidRPr="00FB3674" w:rsidRDefault="005D5882" w:rsidP="005D5882">
      <w:pPr>
        <w:pStyle w:val="SingleTxtG"/>
      </w:pPr>
      <w:r w:rsidRPr="00FB3674">
        <w:t>4.12</w:t>
      </w:r>
      <w:r w:rsidRPr="00FB3674">
        <w:tab/>
        <w:t>On</w:t>
      </w:r>
      <w:r w:rsidR="001F7ED5" w:rsidRPr="00FB3674">
        <w:t xml:space="preserve"> </w:t>
      </w:r>
      <w:r w:rsidRPr="00FB3674">
        <w:t>8</w:t>
      </w:r>
      <w:r w:rsidR="001F7ED5" w:rsidRPr="00FB3674">
        <w:t xml:space="preserve"> </w:t>
      </w:r>
      <w:r w:rsidRPr="00FB3674">
        <w:t>January</w:t>
      </w:r>
      <w:r w:rsidR="001F7ED5" w:rsidRPr="00FB3674">
        <w:t xml:space="preserve"> </w:t>
      </w:r>
      <w:r w:rsidRPr="00FB3674">
        <w:t>2013,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European</w:t>
      </w:r>
      <w:r w:rsidR="001F7ED5" w:rsidRPr="00FB3674">
        <w:t xml:space="preserve"> </w:t>
      </w:r>
      <w:r w:rsidRPr="00FB3674">
        <w:t>Court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Human</w:t>
      </w:r>
      <w:r w:rsidR="001F7ED5" w:rsidRPr="00FB3674">
        <w:t xml:space="preserve"> </w:t>
      </w:r>
      <w:r w:rsidRPr="00FB3674">
        <w:t>Rights</w:t>
      </w:r>
      <w:r w:rsidR="001F7ED5" w:rsidRPr="00FB3674">
        <w:t xml:space="preserve"> </w:t>
      </w:r>
      <w:r w:rsidRPr="00FB3674">
        <w:t>found</w:t>
      </w:r>
      <w:r w:rsidR="001F7ED5" w:rsidRPr="00FB3674">
        <w:t xml:space="preserve"> </w:t>
      </w:r>
      <w:r w:rsidRPr="00FB3674">
        <w:t>a</w:t>
      </w:r>
      <w:r w:rsidR="001F7ED5" w:rsidRPr="00FB3674">
        <w:t xml:space="preserve"> </w:t>
      </w:r>
      <w:r w:rsidRPr="00FB3674">
        <w:t>violation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article</w:t>
      </w:r>
      <w:r w:rsidR="001F7ED5" w:rsidRPr="00FB3674">
        <w:t xml:space="preserve"> </w:t>
      </w:r>
      <w:r w:rsidRPr="00FB3674">
        <w:t>6</w:t>
      </w:r>
      <w:r w:rsidR="001F7ED5" w:rsidRPr="00FB3674">
        <w:t xml:space="preserve"> </w:t>
      </w:r>
      <w:r w:rsidRPr="00FB3674">
        <w:t>(1)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European</w:t>
      </w:r>
      <w:r w:rsidR="001F7ED5" w:rsidRPr="00FB3674">
        <w:t xml:space="preserve"> </w:t>
      </w:r>
      <w:r w:rsidRPr="00FB3674">
        <w:t>Convention</w:t>
      </w:r>
      <w:r w:rsidR="001F7ED5" w:rsidRPr="00FB3674">
        <w:t xml:space="preserve"> </w:t>
      </w:r>
      <w:r w:rsidRPr="00FB3674">
        <w:t>on</w:t>
      </w:r>
      <w:r w:rsidR="001F7ED5" w:rsidRPr="00FB3674">
        <w:t xml:space="preserve"> </w:t>
      </w:r>
      <w:r w:rsidRPr="00FB3674">
        <w:t>Human</w:t>
      </w:r>
      <w:r w:rsidR="001F7ED5" w:rsidRPr="00FB3674">
        <w:t xml:space="preserve"> </w:t>
      </w:r>
      <w:r w:rsidRPr="00FB3674">
        <w:t>Rights.</w:t>
      </w:r>
      <w:r w:rsidR="001F7ED5" w:rsidRPr="00FB3674">
        <w:t xml:space="preserve"> </w:t>
      </w:r>
      <w:r w:rsidRPr="00FB3674">
        <w:t>However,</w:t>
      </w:r>
      <w:r w:rsidR="001F7ED5" w:rsidRPr="00FB3674">
        <w:t xml:space="preserve"> </w:t>
      </w:r>
      <w:r w:rsidRPr="00FB3674">
        <w:t>contrary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author</w:t>
      </w:r>
      <w:r w:rsidR="00FB3674">
        <w:t>’</w:t>
      </w:r>
      <w:r w:rsidRPr="00FB3674">
        <w:t>s</w:t>
      </w:r>
      <w:r w:rsidR="001F7ED5" w:rsidRPr="00FB3674">
        <w:t xml:space="preserve"> </w:t>
      </w:r>
      <w:r w:rsidRPr="00FB3674">
        <w:t>allegations</w:t>
      </w:r>
      <w:r w:rsidR="001F7ED5" w:rsidRPr="00FB3674">
        <w:t xml:space="preserve"> </w:t>
      </w:r>
      <w:r w:rsidRPr="00FB3674">
        <w:t>raised</w:t>
      </w:r>
      <w:r w:rsidR="001F7ED5" w:rsidRPr="00FB3674">
        <w:t xml:space="preserve"> </w:t>
      </w:r>
      <w:r w:rsidRPr="00FB3674">
        <w:t>in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communication</w:t>
      </w:r>
      <w:r w:rsidR="001F7ED5" w:rsidRPr="00FB3674">
        <w:t xml:space="preserve"> </w:t>
      </w:r>
      <w:r w:rsidRPr="00FB3674">
        <w:t>before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Committee,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Court</w:t>
      </w:r>
      <w:r w:rsidR="001F7ED5" w:rsidRPr="00FB3674">
        <w:t xml:space="preserve"> </w:t>
      </w:r>
      <w:r w:rsidRPr="00FB3674">
        <w:t>did</w:t>
      </w:r>
      <w:r w:rsidR="001F7ED5" w:rsidRPr="00FB3674">
        <w:t xml:space="preserve"> </w:t>
      </w:r>
      <w:r w:rsidRPr="00FB3674">
        <w:t>not</w:t>
      </w:r>
      <w:r w:rsidR="001F7ED5" w:rsidRPr="00FB3674">
        <w:t xml:space="preserve"> </w:t>
      </w:r>
      <w:r w:rsidRPr="00FB3674">
        <w:t>find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lastRenderedPageBreak/>
        <w:t>author</w:t>
      </w:r>
      <w:r w:rsidR="001F7ED5" w:rsidRPr="00FB3674">
        <w:t xml:space="preserve"> </w:t>
      </w:r>
      <w:r w:rsidRPr="00FB3674">
        <w:t>had</w:t>
      </w:r>
      <w:r w:rsidR="001F7ED5" w:rsidRPr="00FB3674">
        <w:t xml:space="preserve"> </w:t>
      </w:r>
      <w:r w:rsidRPr="00FB3674">
        <w:t>been</w:t>
      </w:r>
      <w:r w:rsidR="001F7ED5" w:rsidRPr="00FB3674">
        <w:t xml:space="preserve"> </w:t>
      </w:r>
      <w:r w:rsidRPr="00FB3674">
        <w:t>subjected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incitement</w:t>
      </w:r>
      <w:r w:rsidR="001F7ED5" w:rsidRPr="00FB3674">
        <w:t xml:space="preserve"> </w:t>
      </w:r>
      <w:r w:rsidRPr="00FB3674">
        <w:t>by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police.</w:t>
      </w:r>
      <w:r w:rsidR="001F7ED5" w:rsidRPr="00FB3674">
        <w:t xml:space="preserve"> </w:t>
      </w:r>
      <w:r w:rsidRPr="00FB3674">
        <w:t>Instead,</w:t>
      </w:r>
      <w:r w:rsidR="001F7ED5" w:rsidRPr="00FB3674">
        <w:t xml:space="preserve"> </w:t>
      </w:r>
      <w:r w:rsidRPr="00FB3674">
        <w:t>it</w:t>
      </w:r>
      <w:r w:rsidR="001F7ED5" w:rsidRPr="00FB3674">
        <w:t xml:space="preserve"> </w:t>
      </w:r>
      <w:r w:rsidRPr="00FB3674">
        <w:t>held</w:t>
      </w:r>
      <w:r w:rsidR="001F7ED5" w:rsidRPr="00FB3674">
        <w:t xml:space="preserve"> </w:t>
      </w:r>
      <w:r w:rsidRPr="00FB3674">
        <w:t>that,</w:t>
      </w:r>
      <w:r w:rsidR="001F7ED5" w:rsidRPr="00FB3674">
        <w:t xml:space="preserve"> </w:t>
      </w:r>
      <w:r w:rsidRPr="00FB3674">
        <w:t>during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course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criminal</w:t>
      </w:r>
      <w:r w:rsidR="001F7ED5" w:rsidRPr="00FB3674">
        <w:t xml:space="preserve"> </w:t>
      </w:r>
      <w:r w:rsidRPr="00FB3674">
        <w:t>proceedings</w:t>
      </w:r>
      <w:r w:rsidR="001F7ED5" w:rsidRPr="00FB3674">
        <w:t xml:space="preserve"> </w:t>
      </w:r>
      <w:r w:rsidRPr="00FB3674">
        <w:t>against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author,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domestic</w:t>
      </w:r>
      <w:r w:rsidR="001F7ED5" w:rsidRPr="00FB3674">
        <w:t xml:space="preserve"> </w:t>
      </w:r>
      <w:r w:rsidRPr="00FB3674">
        <w:t>courts</w:t>
      </w:r>
      <w:r w:rsidR="001F7ED5" w:rsidRPr="00FB3674">
        <w:t xml:space="preserve"> </w:t>
      </w:r>
      <w:r w:rsidRPr="00FB3674">
        <w:t>had</w:t>
      </w:r>
      <w:r w:rsidR="001F7ED5" w:rsidRPr="00FB3674">
        <w:t xml:space="preserve"> </w:t>
      </w:r>
      <w:r w:rsidRPr="00FB3674">
        <w:t>failed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examine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relevant</w:t>
      </w:r>
      <w:r w:rsidR="001F7ED5" w:rsidRPr="00FB3674">
        <w:t xml:space="preserve"> </w:t>
      </w:r>
      <w:r w:rsidRPr="00FB3674">
        <w:t>decisions</w:t>
      </w:r>
      <w:r w:rsidR="001F7ED5" w:rsidRPr="00FB3674">
        <w:t xml:space="preserve"> </w:t>
      </w:r>
      <w:r w:rsidRPr="00FB3674">
        <w:t>authorizing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special</w:t>
      </w:r>
      <w:r w:rsidR="001F7ED5" w:rsidRPr="00FB3674">
        <w:t xml:space="preserve"> </w:t>
      </w:r>
      <w:r w:rsidRPr="00FB3674">
        <w:t>investigative</w:t>
      </w:r>
      <w:r w:rsidR="001F7ED5" w:rsidRPr="00FB3674">
        <w:t xml:space="preserve"> </w:t>
      </w:r>
      <w:r w:rsidRPr="00FB3674">
        <w:t>measures</w:t>
      </w:r>
      <w:r w:rsidR="001F7ED5" w:rsidRPr="00FB3674">
        <w:t xml:space="preserve"> </w:t>
      </w:r>
      <w:r w:rsidRPr="00FB3674">
        <w:t>against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author</w:t>
      </w:r>
      <w:r w:rsidR="001F7ED5" w:rsidRPr="00FB3674">
        <w:t xml:space="preserve"> </w:t>
      </w:r>
      <w:r w:rsidRPr="00FB3674">
        <w:t>and</w:t>
      </w:r>
      <w:r w:rsidR="001F7ED5" w:rsidRPr="00FB3674">
        <w:t xml:space="preserve"> </w:t>
      </w:r>
      <w:r w:rsidRPr="00FB3674">
        <w:t>thus</w:t>
      </w:r>
      <w:r w:rsidR="001F7ED5" w:rsidRPr="00FB3674">
        <w:t xml:space="preserve"> </w:t>
      </w:r>
      <w:r w:rsidRPr="00FB3674">
        <w:t>had</w:t>
      </w:r>
      <w:r w:rsidR="001F7ED5" w:rsidRPr="00FB3674">
        <w:t xml:space="preserve"> </w:t>
      </w:r>
      <w:r w:rsidRPr="00FB3674">
        <w:t>not</w:t>
      </w:r>
      <w:r w:rsidR="001F7ED5" w:rsidRPr="00FB3674">
        <w:t xml:space="preserve"> </w:t>
      </w:r>
      <w:r w:rsidRPr="00FB3674">
        <w:t>properly</w:t>
      </w:r>
      <w:r w:rsidR="001F7ED5" w:rsidRPr="00FB3674">
        <w:t xml:space="preserve"> </w:t>
      </w:r>
      <w:r w:rsidRPr="00FB3674">
        <w:t>addressed</w:t>
      </w:r>
      <w:r w:rsidR="001F7ED5" w:rsidRPr="00FB3674">
        <w:t xml:space="preserve"> </w:t>
      </w:r>
      <w:r w:rsidRPr="00FB3674">
        <w:t>his</w:t>
      </w:r>
      <w:r w:rsidR="001F7ED5" w:rsidRPr="00FB3674">
        <w:t xml:space="preserve"> </w:t>
      </w:r>
      <w:r w:rsidRPr="00FB3674">
        <w:t>complaint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incitement.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Court</w:t>
      </w:r>
      <w:r w:rsidR="001F7ED5" w:rsidRPr="00FB3674">
        <w:t xml:space="preserve"> </w:t>
      </w:r>
      <w:r w:rsidRPr="00FB3674">
        <w:t>also</w:t>
      </w:r>
      <w:r w:rsidR="001F7ED5" w:rsidRPr="00FB3674">
        <w:t xml:space="preserve"> </w:t>
      </w:r>
      <w:r w:rsidRPr="00FB3674">
        <w:t>considered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most</w:t>
      </w:r>
      <w:r w:rsidR="001F7ED5" w:rsidRPr="00FB3674">
        <w:t xml:space="preserve"> </w:t>
      </w:r>
      <w:r w:rsidRPr="00FB3674">
        <w:t>appropriate</w:t>
      </w:r>
      <w:r w:rsidR="001F7ED5" w:rsidRPr="00FB3674">
        <w:t xml:space="preserve"> </w:t>
      </w:r>
      <w:r w:rsidRPr="00FB3674">
        <w:t>form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redress</w:t>
      </w:r>
      <w:r w:rsidR="001F7ED5" w:rsidRPr="00FB3674">
        <w:t xml:space="preserve"> </w:t>
      </w:r>
      <w:r w:rsidRPr="00FB3674">
        <w:t>would</w:t>
      </w:r>
      <w:r w:rsidR="001F7ED5" w:rsidRPr="00FB3674">
        <w:t xml:space="preserve"> </w:t>
      </w:r>
      <w:r w:rsidRPr="00FB3674">
        <w:t>be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retrial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criminal</w:t>
      </w:r>
      <w:r w:rsidR="001F7ED5" w:rsidRPr="00FB3674">
        <w:t xml:space="preserve"> </w:t>
      </w:r>
      <w:r w:rsidRPr="00FB3674">
        <w:t>proceedings,</w:t>
      </w:r>
      <w:r w:rsidR="001F7ED5" w:rsidRPr="00FB3674">
        <w:t xml:space="preserve"> </w:t>
      </w:r>
      <w:r w:rsidRPr="00FB3674">
        <w:t>should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author</w:t>
      </w:r>
      <w:r w:rsidR="001F7ED5" w:rsidRPr="00FB3674">
        <w:t xml:space="preserve"> </w:t>
      </w:r>
      <w:r w:rsidRPr="00FB3674">
        <w:t>request</w:t>
      </w:r>
      <w:r w:rsidR="001F7ED5" w:rsidRPr="00FB3674">
        <w:t xml:space="preserve"> </w:t>
      </w:r>
      <w:r w:rsidRPr="00FB3674">
        <w:t>such</w:t>
      </w:r>
      <w:r w:rsidR="001F7ED5" w:rsidRPr="00FB3674">
        <w:t xml:space="preserve"> </w:t>
      </w:r>
      <w:r w:rsidRPr="00FB3674">
        <w:t>a</w:t>
      </w:r>
      <w:r w:rsidR="001F7ED5" w:rsidRPr="00FB3674">
        <w:t xml:space="preserve"> </w:t>
      </w:r>
      <w:r w:rsidRPr="00FB3674">
        <w:t>retrial.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Court</w:t>
      </w:r>
      <w:r w:rsidR="00FB3674">
        <w:t>’</w:t>
      </w:r>
      <w:r w:rsidRPr="00FB3674">
        <w:t>s</w:t>
      </w:r>
      <w:r w:rsidR="001F7ED5" w:rsidRPr="00FB3674">
        <w:t xml:space="preserve"> </w:t>
      </w:r>
      <w:r w:rsidRPr="00FB3674">
        <w:t>judgment</w:t>
      </w:r>
      <w:r w:rsidR="001F7ED5" w:rsidRPr="00FB3674">
        <w:t xml:space="preserve"> </w:t>
      </w:r>
      <w:r w:rsidRPr="00FB3674">
        <w:t>became</w:t>
      </w:r>
      <w:r w:rsidR="001F7ED5" w:rsidRPr="00FB3674">
        <w:t xml:space="preserve"> </w:t>
      </w:r>
      <w:r w:rsidRPr="00FB3674">
        <w:t>final</w:t>
      </w:r>
      <w:r w:rsidR="001F7ED5" w:rsidRPr="00FB3674">
        <w:t xml:space="preserve"> </w:t>
      </w:r>
      <w:r w:rsidRPr="00FB3674">
        <w:t>on</w:t>
      </w:r>
      <w:r w:rsidR="001F7ED5" w:rsidRPr="00FB3674">
        <w:t xml:space="preserve"> </w:t>
      </w:r>
      <w:r w:rsidRPr="00FB3674">
        <w:t>8</w:t>
      </w:r>
      <w:r w:rsidR="001F7ED5" w:rsidRPr="00FB3674">
        <w:t xml:space="preserve"> </w:t>
      </w:r>
      <w:r w:rsidRPr="00FB3674">
        <w:t>April</w:t>
      </w:r>
      <w:r w:rsidR="001F7ED5" w:rsidRPr="00FB3674">
        <w:t xml:space="preserve"> </w:t>
      </w:r>
      <w:r w:rsidRPr="00FB3674">
        <w:t>2013.</w:t>
      </w:r>
    </w:p>
    <w:p w14:paraId="0DF3AA59" w14:textId="28A33672" w:rsidR="005D5882" w:rsidRPr="00FB3674" w:rsidRDefault="005D5882" w:rsidP="005D5882">
      <w:pPr>
        <w:pStyle w:val="SingleTxtG"/>
      </w:pPr>
      <w:r w:rsidRPr="00FB3674">
        <w:t>4.13</w:t>
      </w:r>
      <w:r w:rsidRPr="00FB3674">
        <w:tab/>
        <w:t>On</w:t>
      </w:r>
      <w:r w:rsidR="001F7ED5" w:rsidRPr="00FB3674">
        <w:t xml:space="preserve"> </w:t>
      </w:r>
      <w:r w:rsidRPr="00FB3674">
        <w:t>26</w:t>
      </w:r>
      <w:r w:rsidR="001F7ED5" w:rsidRPr="00FB3674">
        <w:t xml:space="preserve"> </w:t>
      </w:r>
      <w:r w:rsidRPr="00FB3674">
        <w:t>September</w:t>
      </w:r>
      <w:r w:rsidR="001F7ED5" w:rsidRPr="00FB3674">
        <w:t xml:space="preserve"> </w:t>
      </w:r>
      <w:r w:rsidRPr="00FB3674">
        <w:t>2014,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Chamber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Criminal</w:t>
      </w:r>
      <w:r w:rsidR="001F7ED5" w:rsidRPr="00FB3674">
        <w:t xml:space="preserve"> </w:t>
      </w:r>
      <w:r w:rsidRPr="00FB3674">
        <w:t>Cases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Supreme</w:t>
      </w:r>
      <w:r w:rsidR="001F7ED5" w:rsidRPr="00FB3674">
        <w:t xml:space="preserve"> </w:t>
      </w:r>
      <w:r w:rsidRPr="00FB3674">
        <w:t>Court</w:t>
      </w:r>
      <w:r w:rsidR="001F7ED5" w:rsidRPr="00FB3674">
        <w:t xml:space="preserve"> </w:t>
      </w:r>
      <w:r w:rsidRPr="00FB3674">
        <w:t>adjudicated</w:t>
      </w:r>
      <w:r w:rsidR="001F7ED5" w:rsidRPr="00FB3674">
        <w:t xml:space="preserve"> </w:t>
      </w:r>
      <w:r w:rsidRPr="00FB3674">
        <w:t>de</w:t>
      </w:r>
      <w:r w:rsidR="001F7ED5" w:rsidRPr="00FB3674">
        <w:t xml:space="preserve"> </w:t>
      </w:r>
      <w:r w:rsidRPr="00FB3674">
        <w:t>novo</w:t>
      </w:r>
      <w:r w:rsidR="001F7ED5" w:rsidRPr="00FB3674">
        <w:rPr>
          <w:i/>
          <w:iCs/>
        </w:rPr>
        <w:t xml:space="preserve"> </w:t>
      </w:r>
      <w:r w:rsidRPr="00FB3674">
        <w:t>the</w:t>
      </w:r>
      <w:r w:rsidR="001F7ED5" w:rsidRPr="00FB3674">
        <w:t xml:space="preserve"> </w:t>
      </w:r>
      <w:r w:rsidRPr="00FB3674">
        <w:t>merits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criminal</w:t>
      </w:r>
      <w:r w:rsidR="001F7ED5" w:rsidRPr="00FB3674">
        <w:t xml:space="preserve"> </w:t>
      </w:r>
      <w:r w:rsidRPr="00FB3674">
        <w:t>proceedings.</w:t>
      </w:r>
      <w:r w:rsidR="001F7ED5" w:rsidRPr="00FB3674">
        <w:t xml:space="preserve"> </w:t>
      </w:r>
      <w:r w:rsidRPr="00FB3674">
        <w:t>In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light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findings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European</w:t>
      </w:r>
      <w:r w:rsidR="001F7ED5" w:rsidRPr="00FB3674">
        <w:t xml:space="preserve"> </w:t>
      </w:r>
      <w:r w:rsidRPr="00FB3674">
        <w:t>Court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Human</w:t>
      </w:r>
      <w:r w:rsidR="001F7ED5" w:rsidRPr="00FB3674">
        <w:t xml:space="preserve"> </w:t>
      </w:r>
      <w:r w:rsidRPr="00FB3674">
        <w:t>Rights,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Chamber</w:t>
      </w:r>
      <w:r w:rsidR="001F7ED5" w:rsidRPr="00FB3674">
        <w:t xml:space="preserve"> </w:t>
      </w:r>
      <w:r w:rsidRPr="00FB3674">
        <w:t>addressed</w:t>
      </w:r>
      <w:r w:rsidR="001F7ED5" w:rsidRPr="00FB3674">
        <w:t xml:space="preserve"> </w:t>
      </w:r>
      <w:r w:rsidRPr="00FB3674">
        <w:t>in</w:t>
      </w:r>
      <w:r w:rsidR="001F7ED5" w:rsidRPr="00FB3674">
        <w:t xml:space="preserve"> </w:t>
      </w:r>
      <w:r w:rsidRPr="00FB3674">
        <w:t>particular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author</w:t>
      </w:r>
      <w:r w:rsidR="00FB3674">
        <w:t>’</w:t>
      </w:r>
      <w:r w:rsidRPr="00FB3674">
        <w:t>s</w:t>
      </w:r>
      <w:r w:rsidR="001F7ED5" w:rsidRPr="00FB3674">
        <w:t xml:space="preserve"> </w:t>
      </w:r>
      <w:r w:rsidRPr="00FB3674">
        <w:t>complaint</w:t>
      </w:r>
      <w:r w:rsidR="001F7ED5" w:rsidRPr="00FB3674">
        <w:t xml:space="preserve"> </w:t>
      </w:r>
      <w:r w:rsidRPr="00FB3674">
        <w:t>concerning</w:t>
      </w:r>
      <w:r w:rsidR="001F7ED5" w:rsidRPr="00FB3674">
        <w:t xml:space="preserve"> </w:t>
      </w:r>
      <w:r w:rsidRPr="00FB3674">
        <w:t>alleged</w:t>
      </w:r>
      <w:r w:rsidR="001F7ED5" w:rsidRPr="00FB3674">
        <w:t xml:space="preserve"> </w:t>
      </w:r>
      <w:r w:rsidRPr="00FB3674">
        <w:t>incitement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commit</w:t>
      </w:r>
      <w:r w:rsidR="001F7ED5" w:rsidRPr="00FB3674">
        <w:t xml:space="preserve"> </w:t>
      </w:r>
      <w:r w:rsidRPr="00FB3674">
        <w:t>a</w:t>
      </w:r>
      <w:r w:rsidR="001F7ED5" w:rsidRPr="00FB3674">
        <w:t xml:space="preserve"> </w:t>
      </w:r>
      <w:r w:rsidRPr="00FB3674">
        <w:t>crime.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domestic</w:t>
      </w:r>
      <w:r w:rsidR="001F7ED5" w:rsidRPr="00FB3674">
        <w:t xml:space="preserve"> </w:t>
      </w:r>
      <w:r w:rsidRPr="00FB3674">
        <w:t>court</w:t>
      </w:r>
      <w:r w:rsidR="001F7ED5" w:rsidRPr="00FB3674">
        <w:t xml:space="preserve"> </w:t>
      </w:r>
      <w:r w:rsidRPr="00FB3674">
        <w:t>obtained</w:t>
      </w:r>
      <w:r w:rsidR="001F7ED5" w:rsidRPr="00FB3674">
        <w:t xml:space="preserve"> </w:t>
      </w:r>
      <w:r w:rsidRPr="00FB3674">
        <w:t>from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law</w:t>
      </w:r>
      <w:r w:rsidR="001F7ED5" w:rsidRPr="00FB3674">
        <w:t xml:space="preserve"> </w:t>
      </w:r>
      <w:r w:rsidRPr="00FB3674">
        <w:t>enforcement</w:t>
      </w:r>
      <w:r w:rsidR="001F7ED5" w:rsidRPr="00FB3674">
        <w:t xml:space="preserve"> </w:t>
      </w:r>
      <w:r w:rsidRPr="00FB3674">
        <w:t>authorities</w:t>
      </w:r>
      <w:r w:rsidR="001F7ED5" w:rsidRPr="00FB3674">
        <w:t xml:space="preserve"> </w:t>
      </w:r>
      <w:r w:rsidRPr="00FB3674">
        <w:t>special</w:t>
      </w:r>
      <w:r w:rsidR="001F7ED5" w:rsidRPr="00FB3674">
        <w:t xml:space="preserve"> </w:t>
      </w:r>
      <w:r w:rsidRPr="00FB3674">
        <w:t>investigative</w:t>
      </w:r>
      <w:r w:rsidR="001F7ED5" w:rsidRPr="00FB3674">
        <w:t xml:space="preserve"> </w:t>
      </w:r>
      <w:r w:rsidRPr="00FB3674">
        <w:t>files</w:t>
      </w:r>
      <w:r w:rsidR="001F7ED5" w:rsidRPr="00FB3674">
        <w:t xml:space="preserve"> </w:t>
      </w:r>
      <w:r w:rsidRPr="00FB3674">
        <w:t>No.7004204</w:t>
      </w:r>
      <w:r w:rsidR="001F7ED5" w:rsidRPr="00FB3674">
        <w:t xml:space="preserve"> </w:t>
      </w:r>
      <w:r w:rsidRPr="00FB3674">
        <w:t>and</w:t>
      </w:r>
      <w:r w:rsidR="001F7ED5" w:rsidRPr="00FB3674">
        <w:t xml:space="preserve"> </w:t>
      </w:r>
      <w:r w:rsidRPr="00FB3674">
        <w:t>No.7019304</w:t>
      </w:r>
      <w:r w:rsidR="001F7ED5" w:rsidRPr="00FB3674">
        <w:t xml:space="preserve"> </w:t>
      </w:r>
      <w:r w:rsidRPr="00FB3674">
        <w:t>pertaining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special</w:t>
      </w:r>
      <w:r w:rsidR="001F7ED5" w:rsidRPr="00FB3674">
        <w:t xml:space="preserve"> </w:t>
      </w:r>
      <w:r w:rsidRPr="00FB3674">
        <w:t>police</w:t>
      </w:r>
      <w:r w:rsidR="001F7ED5" w:rsidRPr="00FB3674">
        <w:t xml:space="preserve"> </w:t>
      </w:r>
      <w:r w:rsidRPr="00FB3674">
        <w:t>operation</w:t>
      </w:r>
      <w:r w:rsidR="001F7ED5" w:rsidRPr="00FB3674">
        <w:t xml:space="preserve"> </w:t>
      </w:r>
      <w:r w:rsidR="002E7C71">
        <w:t>“</w:t>
      </w:r>
      <w:r w:rsidRPr="00FB3674">
        <w:t>Rebus</w:t>
      </w:r>
      <w:r w:rsidR="002E7C71">
        <w:t>”</w:t>
      </w:r>
      <w:r w:rsidR="001F7ED5" w:rsidRPr="00FB3674">
        <w:t xml:space="preserve"> </w:t>
      </w:r>
      <w:r w:rsidRPr="00FB3674">
        <w:t>and</w:t>
      </w:r>
      <w:r w:rsidR="001F7ED5" w:rsidRPr="00FB3674">
        <w:t xml:space="preserve"> </w:t>
      </w:r>
      <w:r w:rsidRPr="00FB3674">
        <w:t>examined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classified</w:t>
      </w:r>
      <w:r w:rsidR="001F7ED5" w:rsidRPr="00FB3674">
        <w:t xml:space="preserve"> </w:t>
      </w:r>
      <w:r w:rsidRPr="00FB3674">
        <w:t>information</w:t>
      </w:r>
      <w:r w:rsidR="001F7ED5" w:rsidRPr="00FB3674">
        <w:t xml:space="preserve"> </w:t>
      </w:r>
      <w:r w:rsidRPr="00FB3674">
        <w:t>contained</w:t>
      </w:r>
      <w:r w:rsidR="001F7ED5" w:rsidRPr="00FB3674">
        <w:t xml:space="preserve"> </w:t>
      </w:r>
      <w:r w:rsidRPr="00FB3674">
        <w:t>therein.</w:t>
      </w:r>
    </w:p>
    <w:p w14:paraId="23737FCE" w14:textId="3FC0B1DB" w:rsidR="001F7ED5" w:rsidRPr="00FB3674" w:rsidRDefault="005D5882" w:rsidP="005D5882">
      <w:pPr>
        <w:pStyle w:val="SingleTxtG"/>
      </w:pPr>
      <w:r w:rsidRPr="00FB3674">
        <w:t>4.14</w:t>
      </w:r>
      <w:r w:rsidRPr="00FB3674">
        <w:tab/>
        <w:t>The</w:t>
      </w:r>
      <w:r w:rsidR="001F7ED5" w:rsidRPr="00FB3674">
        <w:t xml:space="preserve"> </w:t>
      </w:r>
      <w:r w:rsidRPr="00FB3674">
        <w:t>State</w:t>
      </w:r>
      <w:r w:rsidR="001F7ED5" w:rsidRPr="00FB3674">
        <w:t xml:space="preserve"> </w:t>
      </w:r>
      <w:r w:rsidRPr="00FB3674">
        <w:t>party</w:t>
      </w:r>
      <w:r w:rsidR="001F7ED5" w:rsidRPr="00FB3674">
        <w:t xml:space="preserve"> </w:t>
      </w:r>
      <w:r w:rsidRPr="00FB3674">
        <w:t>observes</w:t>
      </w:r>
      <w:r w:rsidR="001F7ED5" w:rsidRPr="00FB3674">
        <w:t xml:space="preserve"> </w:t>
      </w:r>
      <w:r w:rsidRPr="00FB3674">
        <w:t>that,</w:t>
      </w:r>
      <w:r w:rsidR="001F7ED5" w:rsidRPr="00FB3674">
        <w:t xml:space="preserve"> </w:t>
      </w:r>
      <w:r w:rsidRPr="00FB3674">
        <w:t>given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information</w:t>
      </w:r>
      <w:r w:rsidR="001F7ED5" w:rsidRPr="00FB3674">
        <w:t xml:space="preserve"> </w:t>
      </w:r>
      <w:r w:rsidRPr="00FB3674">
        <w:t>obtained</w:t>
      </w:r>
      <w:r w:rsidR="001F7ED5" w:rsidRPr="00FB3674">
        <w:t xml:space="preserve"> </w:t>
      </w:r>
      <w:r w:rsidRPr="00FB3674">
        <w:t>on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special</w:t>
      </w:r>
      <w:r w:rsidR="001F7ED5" w:rsidRPr="00FB3674">
        <w:t xml:space="preserve"> </w:t>
      </w:r>
      <w:r w:rsidRPr="00FB3674">
        <w:t>investigating</w:t>
      </w:r>
      <w:r w:rsidR="001F7ED5" w:rsidRPr="00FB3674">
        <w:t xml:space="preserve"> </w:t>
      </w:r>
      <w:r w:rsidRPr="00FB3674">
        <w:t>measures</w:t>
      </w:r>
      <w:r w:rsidR="001F7ED5" w:rsidRPr="00FB3674">
        <w:t xml:space="preserve"> </w:t>
      </w:r>
      <w:r w:rsidRPr="00FB3674">
        <w:t>remained</w:t>
      </w:r>
      <w:r w:rsidR="001F7ED5" w:rsidRPr="00FB3674">
        <w:t xml:space="preserve"> </w:t>
      </w:r>
      <w:r w:rsidRPr="00FB3674">
        <w:t>classified,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Chamber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Criminal</w:t>
      </w:r>
      <w:r w:rsidR="001F7ED5" w:rsidRPr="00FB3674">
        <w:t xml:space="preserve"> </w:t>
      </w:r>
      <w:r w:rsidRPr="00FB3674">
        <w:t>Cases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Supreme</w:t>
      </w:r>
      <w:r w:rsidR="001F7ED5" w:rsidRPr="00FB3674">
        <w:t xml:space="preserve"> </w:t>
      </w:r>
      <w:r w:rsidRPr="00FB3674">
        <w:t>Court</w:t>
      </w:r>
      <w:r w:rsidR="001F7ED5" w:rsidRPr="00FB3674">
        <w:t xml:space="preserve"> </w:t>
      </w:r>
      <w:r w:rsidRPr="00FB3674">
        <w:t>did</w:t>
      </w:r>
      <w:r w:rsidR="001F7ED5" w:rsidRPr="00FB3674">
        <w:t xml:space="preserve"> </w:t>
      </w:r>
      <w:r w:rsidRPr="00FB3674">
        <w:t>not</w:t>
      </w:r>
      <w:r w:rsidR="001F7ED5" w:rsidRPr="00FB3674">
        <w:t xml:space="preserve"> </w:t>
      </w:r>
      <w:r w:rsidRPr="00FB3674">
        <w:t>refer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findings</w:t>
      </w:r>
      <w:r w:rsidR="001F7ED5" w:rsidRPr="00FB3674">
        <w:t xml:space="preserve"> </w:t>
      </w:r>
      <w:r w:rsidRPr="00FB3674">
        <w:t>contained</w:t>
      </w:r>
      <w:r w:rsidR="001F7ED5" w:rsidRPr="00FB3674">
        <w:t xml:space="preserve"> </w:t>
      </w:r>
      <w:r w:rsidRPr="00FB3674">
        <w:t>in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confidential</w:t>
      </w:r>
      <w:r w:rsidR="001F7ED5" w:rsidRPr="00FB3674">
        <w:t xml:space="preserve"> </w:t>
      </w:r>
      <w:r w:rsidRPr="00FB3674">
        <w:t>case</w:t>
      </w:r>
      <w:r w:rsidR="001F7ED5" w:rsidRPr="00FB3674">
        <w:t xml:space="preserve"> </w:t>
      </w:r>
      <w:r w:rsidRPr="00FB3674">
        <w:t>files</w:t>
      </w:r>
      <w:r w:rsidR="001F7ED5" w:rsidRPr="00FB3674">
        <w:t xml:space="preserve"> </w:t>
      </w:r>
      <w:r w:rsidRPr="00FB3674">
        <w:t>directly.</w:t>
      </w:r>
      <w:r w:rsidR="001F7ED5" w:rsidRPr="00FB3674">
        <w:t xml:space="preserve"> </w:t>
      </w:r>
      <w:r w:rsidRPr="00FB3674">
        <w:t>Instead,</w:t>
      </w:r>
      <w:r w:rsidR="001F7ED5" w:rsidRPr="00FB3674">
        <w:t xml:space="preserve"> </w:t>
      </w:r>
      <w:r w:rsidRPr="00FB3674">
        <w:t>and</w:t>
      </w:r>
      <w:r w:rsidR="001F7ED5" w:rsidRPr="00FB3674">
        <w:t xml:space="preserve"> </w:t>
      </w:r>
      <w:r w:rsidRPr="00FB3674">
        <w:t>having</w:t>
      </w:r>
      <w:r w:rsidR="001F7ED5" w:rsidRPr="00FB3674">
        <w:t xml:space="preserve"> </w:t>
      </w:r>
      <w:r w:rsidRPr="00FB3674">
        <w:t>acquainted</w:t>
      </w:r>
      <w:r w:rsidR="001F7ED5" w:rsidRPr="00FB3674">
        <w:t xml:space="preserve"> </w:t>
      </w:r>
      <w:r w:rsidRPr="00FB3674">
        <w:t>itself</w:t>
      </w:r>
      <w:r w:rsidR="001F7ED5" w:rsidRPr="00FB3674">
        <w:t xml:space="preserve"> </w:t>
      </w:r>
      <w:r w:rsidRPr="00FB3674">
        <w:t>with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classified</w:t>
      </w:r>
      <w:r w:rsidR="001F7ED5" w:rsidRPr="00FB3674">
        <w:t xml:space="preserve"> </w:t>
      </w:r>
      <w:r w:rsidRPr="00FB3674">
        <w:t>case</w:t>
      </w:r>
      <w:r w:rsidR="001F7ED5" w:rsidRPr="00FB3674">
        <w:t xml:space="preserve"> </w:t>
      </w:r>
      <w:r w:rsidRPr="00FB3674">
        <w:t>files,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Chamber</w:t>
      </w:r>
      <w:r w:rsidR="001F7ED5" w:rsidRPr="00FB3674">
        <w:t xml:space="preserve"> </w:t>
      </w:r>
      <w:r w:rsidRPr="00FB3674">
        <w:t>commenced</w:t>
      </w:r>
      <w:r w:rsidR="001F7ED5" w:rsidRPr="00FB3674">
        <w:t xml:space="preserve"> </w:t>
      </w:r>
      <w:r w:rsidRPr="00FB3674">
        <w:t>by</w:t>
      </w:r>
      <w:r w:rsidR="001F7ED5" w:rsidRPr="00FB3674">
        <w:t xml:space="preserve"> </w:t>
      </w:r>
      <w:r w:rsidRPr="00FB3674">
        <w:t>dismissing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author</w:t>
      </w:r>
      <w:r w:rsidR="00FB3674">
        <w:t>’</w:t>
      </w:r>
      <w:r w:rsidRPr="00FB3674">
        <w:t>s</w:t>
      </w:r>
      <w:r w:rsidR="001F7ED5" w:rsidRPr="00FB3674">
        <w:t xml:space="preserve"> </w:t>
      </w:r>
      <w:r w:rsidRPr="00FB3674">
        <w:t>allegations</w:t>
      </w:r>
      <w:r w:rsidR="001F7ED5" w:rsidRPr="00FB3674">
        <w:t xml:space="preserve"> </w:t>
      </w:r>
      <w:r w:rsidRPr="00FB3674">
        <w:t>concerning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lawfulness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special</w:t>
      </w:r>
      <w:r w:rsidR="001F7ED5" w:rsidRPr="00FB3674">
        <w:t xml:space="preserve"> </w:t>
      </w:r>
      <w:r w:rsidRPr="00FB3674">
        <w:t>investigative</w:t>
      </w:r>
      <w:r w:rsidR="001F7ED5" w:rsidRPr="00FB3674">
        <w:t xml:space="preserve"> </w:t>
      </w:r>
      <w:r w:rsidRPr="00FB3674">
        <w:t>measures</w:t>
      </w:r>
      <w:r w:rsidR="001F7ED5" w:rsidRPr="00FB3674">
        <w:t xml:space="preserve"> </w:t>
      </w:r>
      <w:r w:rsidRPr="00FB3674">
        <w:t>against</w:t>
      </w:r>
      <w:r w:rsidR="001F7ED5" w:rsidRPr="00FB3674">
        <w:t xml:space="preserve"> </w:t>
      </w:r>
      <w:r w:rsidRPr="00FB3674">
        <w:t>him.</w:t>
      </w:r>
      <w:r w:rsidR="001F7ED5" w:rsidRPr="00FB3674">
        <w:t xml:space="preserve"> </w:t>
      </w:r>
      <w:r w:rsidRPr="00FB3674">
        <w:t>In</w:t>
      </w:r>
      <w:r w:rsidR="001F7ED5" w:rsidRPr="00FB3674">
        <w:t xml:space="preserve"> </w:t>
      </w:r>
      <w:r w:rsidRPr="00FB3674">
        <w:t>particular,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domestic</w:t>
      </w:r>
      <w:r w:rsidR="001F7ED5" w:rsidRPr="00FB3674">
        <w:t xml:space="preserve"> </w:t>
      </w:r>
      <w:r w:rsidRPr="00FB3674">
        <w:t>court</w:t>
      </w:r>
      <w:r w:rsidR="001F7ED5" w:rsidRPr="00FB3674">
        <w:t xml:space="preserve"> </w:t>
      </w:r>
      <w:r w:rsidRPr="00FB3674">
        <w:t>ascertained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all</w:t>
      </w:r>
      <w:r w:rsidR="001F7ED5" w:rsidRPr="00FB3674">
        <w:t xml:space="preserve"> </w:t>
      </w:r>
      <w:r w:rsidRPr="00FB3674">
        <w:t>disputed</w:t>
      </w:r>
      <w:r w:rsidR="001F7ED5" w:rsidRPr="00FB3674">
        <w:t xml:space="preserve"> </w:t>
      </w:r>
      <w:r w:rsidRPr="00FB3674">
        <w:t>measures,</w:t>
      </w:r>
      <w:r w:rsidR="001F7ED5" w:rsidRPr="00FB3674">
        <w:t xml:space="preserve"> </w:t>
      </w:r>
      <w:r w:rsidRPr="00FB3674">
        <w:t>including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special</w:t>
      </w:r>
      <w:r w:rsidR="001F7ED5" w:rsidRPr="00FB3674">
        <w:t xml:space="preserve"> </w:t>
      </w:r>
      <w:r w:rsidRPr="00FB3674">
        <w:t>investigative</w:t>
      </w:r>
      <w:r w:rsidR="001F7ED5" w:rsidRPr="00FB3674">
        <w:t xml:space="preserve"> </w:t>
      </w:r>
      <w:r w:rsidRPr="00FB3674">
        <w:t>experiment,</w:t>
      </w:r>
      <w:r w:rsidR="001F7ED5" w:rsidRPr="00FB3674">
        <w:t xml:space="preserve"> </w:t>
      </w:r>
      <w:r w:rsidRPr="00FB3674">
        <w:t>had</w:t>
      </w:r>
      <w:r w:rsidR="001F7ED5" w:rsidRPr="00FB3674">
        <w:t xml:space="preserve"> </w:t>
      </w:r>
      <w:r w:rsidRPr="00FB3674">
        <w:t>been</w:t>
      </w:r>
      <w:r w:rsidR="001F7ED5" w:rsidRPr="00FB3674">
        <w:t xml:space="preserve"> </w:t>
      </w:r>
      <w:r w:rsidRPr="00FB3674">
        <w:t>authorized</w:t>
      </w:r>
      <w:r w:rsidR="001F7ED5" w:rsidRPr="00FB3674">
        <w:t xml:space="preserve"> </w:t>
      </w:r>
      <w:r w:rsidRPr="00FB3674">
        <w:t>by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competent</w:t>
      </w:r>
      <w:r w:rsidR="001F7ED5" w:rsidRPr="00FB3674">
        <w:t xml:space="preserve"> </w:t>
      </w:r>
      <w:r w:rsidRPr="00FB3674">
        <w:t>prosecutor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Office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Prosecutor</w:t>
      </w:r>
      <w:r w:rsidR="001F7ED5" w:rsidRPr="00FB3674">
        <w:t xml:space="preserve"> </w:t>
      </w:r>
      <w:r w:rsidRPr="00FB3674">
        <w:t>General</w:t>
      </w:r>
      <w:r w:rsidR="001F7ED5" w:rsidRPr="00FB3674">
        <w:t xml:space="preserve"> </w:t>
      </w:r>
      <w:r w:rsidRPr="00FB3674">
        <w:t>pursuant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relevant</w:t>
      </w:r>
      <w:r w:rsidR="001F7ED5" w:rsidRPr="00FB3674">
        <w:t xml:space="preserve"> </w:t>
      </w:r>
      <w:r w:rsidRPr="00FB3674">
        <w:t>provisions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Law</w:t>
      </w:r>
      <w:r w:rsidR="001F7ED5" w:rsidRPr="00FB3674">
        <w:t xml:space="preserve"> </w:t>
      </w:r>
      <w:r w:rsidRPr="00FB3674">
        <w:t>on</w:t>
      </w:r>
      <w:r w:rsidR="001F7ED5" w:rsidRPr="00FB3674">
        <w:t xml:space="preserve"> </w:t>
      </w:r>
      <w:r w:rsidRPr="00FB3674">
        <w:t>Special</w:t>
      </w:r>
      <w:r w:rsidR="001F7ED5" w:rsidRPr="00FB3674">
        <w:t xml:space="preserve"> </w:t>
      </w:r>
      <w:r w:rsidRPr="00FB3674">
        <w:t>Investigative</w:t>
      </w:r>
      <w:r w:rsidR="001F7ED5" w:rsidRPr="00FB3674">
        <w:t xml:space="preserve"> </w:t>
      </w:r>
      <w:r w:rsidRPr="00FB3674">
        <w:t>Measures.</w:t>
      </w:r>
      <w:r w:rsidR="001F7ED5" w:rsidRPr="00FB3674">
        <w:t xml:space="preserve"> </w:t>
      </w:r>
      <w:r w:rsidRPr="00FB3674">
        <w:t>In</w:t>
      </w:r>
      <w:r w:rsidR="001F7ED5" w:rsidRPr="00FB3674">
        <w:t xml:space="preserve"> </w:t>
      </w:r>
      <w:r w:rsidRPr="00FB3674">
        <w:t>particular,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domestic</w:t>
      </w:r>
      <w:r w:rsidR="001F7ED5" w:rsidRPr="00FB3674">
        <w:t xml:space="preserve"> </w:t>
      </w:r>
      <w:r w:rsidRPr="00FB3674">
        <w:t>court</w:t>
      </w:r>
      <w:r w:rsidR="001F7ED5" w:rsidRPr="00FB3674">
        <w:t xml:space="preserve"> </w:t>
      </w:r>
      <w:r w:rsidRPr="00FB3674">
        <w:t>ascertained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initial</w:t>
      </w:r>
      <w:r w:rsidR="001F7ED5" w:rsidRPr="00FB3674">
        <w:t xml:space="preserve"> </w:t>
      </w:r>
      <w:r w:rsidRPr="00FB3674">
        <w:t>information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was</w:t>
      </w:r>
      <w:r w:rsidR="001F7ED5" w:rsidRPr="00FB3674">
        <w:t xml:space="preserve"> </w:t>
      </w:r>
      <w:r w:rsidRPr="00FB3674">
        <w:t>at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disposal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State</w:t>
      </w:r>
      <w:r w:rsidR="001F7ED5" w:rsidRPr="00FB3674">
        <w:t xml:space="preserve"> </w:t>
      </w:r>
      <w:r w:rsidRPr="00FB3674">
        <w:t>Police</w:t>
      </w:r>
      <w:r w:rsidR="001F7ED5" w:rsidRPr="00FB3674">
        <w:t xml:space="preserve"> </w:t>
      </w:r>
      <w:r w:rsidRPr="00FB3674">
        <w:t>was</w:t>
      </w:r>
      <w:r w:rsidR="001F7ED5" w:rsidRPr="00FB3674">
        <w:t xml:space="preserve"> </w:t>
      </w:r>
      <w:r w:rsidRPr="00FB3674">
        <w:t>more</w:t>
      </w:r>
      <w:r w:rsidR="001F7ED5" w:rsidRPr="00FB3674">
        <w:t xml:space="preserve"> </w:t>
      </w:r>
      <w:r w:rsidRPr="00FB3674">
        <w:t>than</w:t>
      </w:r>
      <w:r w:rsidR="001F7ED5" w:rsidRPr="00FB3674">
        <w:t xml:space="preserve"> </w:t>
      </w:r>
      <w:r w:rsidRPr="00FB3674">
        <w:t>sufficient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warrant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initiation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special</w:t>
      </w:r>
      <w:r w:rsidR="001F7ED5" w:rsidRPr="00FB3674">
        <w:t xml:space="preserve"> </w:t>
      </w:r>
      <w:r w:rsidRPr="00FB3674">
        <w:t>investigative</w:t>
      </w:r>
      <w:r w:rsidR="001F7ED5" w:rsidRPr="00FB3674">
        <w:t xml:space="preserve"> </w:t>
      </w:r>
      <w:r w:rsidRPr="00FB3674">
        <w:t>proceedings</w:t>
      </w:r>
      <w:r w:rsidR="001F7ED5" w:rsidRPr="00FB3674">
        <w:t xml:space="preserve"> </w:t>
      </w:r>
      <w:r w:rsidRPr="00FB3674">
        <w:t>against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author.</w:t>
      </w:r>
    </w:p>
    <w:p w14:paraId="502F6B86" w14:textId="239FA09F" w:rsidR="001F7ED5" w:rsidRPr="00FB3674" w:rsidRDefault="005D5882" w:rsidP="005D5882">
      <w:pPr>
        <w:pStyle w:val="SingleTxtG"/>
      </w:pPr>
      <w:r w:rsidRPr="00FB3674">
        <w:t>4.15</w:t>
      </w:r>
      <w:r w:rsidRPr="00FB3674">
        <w:tab/>
        <w:t>The</w:t>
      </w:r>
      <w:r w:rsidR="001F7ED5" w:rsidRPr="00FB3674">
        <w:t xml:space="preserve"> </w:t>
      </w:r>
      <w:r w:rsidRPr="00FB3674">
        <w:t>State</w:t>
      </w:r>
      <w:r w:rsidR="001F7ED5" w:rsidRPr="00FB3674">
        <w:t xml:space="preserve"> </w:t>
      </w:r>
      <w:r w:rsidRPr="00FB3674">
        <w:t>party</w:t>
      </w:r>
      <w:r w:rsidR="001F7ED5" w:rsidRPr="00FB3674">
        <w:t xml:space="preserve"> </w:t>
      </w:r>
      <w:r w:rsidRPr="00FB3674">
        <w:t>also</w:t>
      </w:r>
      <w:r w:rsidR="001F7ED5" w:rsidRPr="00FB3674">
        <w:t xml:space="preserve"> </w:t>
      </w:r>
      <w:r w:rsidRPr="00FB3674">
        <w:t>observes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domestic</w:t>
      </w:r>
      <w:r w:rsidR="001F7ED5" w:rsidRPr="00FB3674">
        <w:t xml:space="preserve"> </w:t>
      </w:r>
      <w:r w:rsidRPr="00FB3674">
        <w:t>court</w:t>
      </w:r>
      <w:r w:rsidR="001F7ED5" w:rsidRPr="00FB3674">
        <w:t xml:space="preserve"> </w:t>
      </w:r>
      <w:r w:rsidRPr="00FB3674">
        <w:t>then</w:t>
      </w:r>
      <w:r w:rsidR="001F7ED5" w:rsidRPr="00FB3674">
        <w:t xml:space="preserve"> </w:t>
      </w:r>
      <w:r w:rsidRPr="00FB3674">
        <w:t>proceeded</w:t>
      </w:r>
      <w:r w:rsidR="001F7ED5" w:rsidRPr="00FB3674">
        <w:t xml:space="preserve"> </w:t>
      </w:r>
      <w:r w:rsidRPr="00FB3674">
        <w:t>with</w:t>
      </w:r>
      <w:r w:rsidR="001F7ED5" w:rsidRPr="00FB3674">
        <w:t xml:space="preserve"> </w:t>
      </w:r>
      <w:r w:rsidRPr="00FB3674">
        <w:t>analysing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evidence</w:t>
      </w:r>
      <w:r w:rsidR="001F7ED5" w:rsidRPr="00FB3674">
        <w:t xml:space="preserve"> </w:t>
      </w:r>
      <w:r w:rsidRPr="00FB3674">
        <w:t>against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author.</w:t>
      </w:r>
      <w:r w:rsidR="001F7ED5" w:rsidRPr="00FB3674">
        <w:t xml:space="preserve"> </w:t>
      </w:r>
      <w:r w:rsidRPr="00FB3674">
        <w:t>It</w:t>
      </w:r>
      <w:r w:rsidR="001F7ED5" w:rsidRPr="00FB3674">
        <w:t xml:space="preserve"> </w:t>
      </w:r>
      <w:r w:rsidRPr="00FB3674">
        <w:t>analysed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witnesses</w:t>
      </w:r>
      <w:r w:rsidR="00FB3674">
        <w:t>’</w:t>
      </w:r>
      <w:r w:rsidR="001F7ED5" w:rsidRPr="00FB3674">
        <w:t xml:space="preserve"> </w:t>
      </w:r>
      <w:r w:rsidRPr="00FB3674">
        <w:t>testimonies,</w:t>
      </w:r>
      <w:r w:rsidR="001F7ED5" w:rsidRPr="00FB3674">
        <w:t xml:space="preserve"> </w:t>
      </w:r>
      <w:r w:rsidRPr="00FB3674">
        <w:t>including</w:t>
      </w:r>
      <w:r w:rsidR="001F7ED5" w:rsidRPr="00FB3674">
        <w:t xml:space="preserve"> </w:t>
      </w:r>
      <w:r w:rsidRPr="00FB3674">
        <w:t>by</w:t>
      </w:r>
      <w:r w:rsidR="001F7ED5" w:rsidRPr="00FB3674">
        <w:t xml:space="preserve"> </w:t>
      </w:r>
      <w:r w:rsidRPr="00FB3674">
        <w:t>examining</w:t>
      </w:r>
      <w:r w:rsidR="001F7ED5" w:rsidRPr="00FB3674">
        <w:t xml:space="preserve"> </w:t>
      </w:r>
      <w:r w:rsidRPr="00FB3674">
        <w:t>them</w:t>
      </w:r>
      <w:r w:rsidR="001F7ED5" w:rsidRPr="00FB3674">
        <w:t xml:space="preserve"> </w:t>
      </w:r>
      <w:r w:rsidRPr="00FB3674">
        <w:t>against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framework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special</w:t>
      </w:r>
      <w:r w:rsidR="001F7ED5" w:rsidRPr="00FB3674">
        <w:t xml:space="preserve"> </w:t>
      </w:r>
      <w:r w:rsidRPr="00FB3674">
        <w:t>investigative</w:t>
      </w:r>
      <w:r w:rsidR="001F7ED5" w:rsidRPr="00FB3674">
        <w:t xml:space="preserve"> </w:t>
      </w:r>
      <w:r w:rsidRPr="00FB3674">
        <w:t>experiment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had</w:t>
      </w:r>
      <w:r w:rsidR="001F7ED5" w:rsidRPr="00FB3674">
        <w:t xml:space="preserve"> </w:t>
      </w:r>
      <w:r w:rsidRPr="00FB3674">
        <w:t>been</w:t>
      </w:r>
      <w:r w:rsidR="001F7ED5" w:rsidRPr="00FB3674">
        <w:t xml:space="preserve"> </w:t>
      </w:r>
      <w:r w:rsidRPr="00FB3674">
        <w:t>authorized</w:t>
      </w:r>
      <w:r w:rsidR="001F7ED5" w:rsidRPr="00FB3674">
        <w:t xml:space="preserve"> </w:t>
      </w:r>
      <w:r w:rsidRPr="00FB3674">
        <w:t>by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Office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Prosecutor</w:t>
      </w:r>
      <w:r w:rsidR="001F7ED5" w:rsidRPr="00FB3674">
        <w:t xml:space="preserve"> </w:t>
      </w:r>
      <w:r w:rsidRPr="00FB3674">
        <w:t>General,</w:t>
      </w:r>
      <w:r w:rsidR="001F7ED5" w:rsidRPr="00FB3674">
        <w:t xml:space="preserve"> </w:t>
      </w:r>
      <w:r w:rsidRPr="00FB3674">
        <w:t>establishing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strict</w:t>
      </w:r>
      <w:r w:rsidR="001F7ED5" w:rsidRPr="00FB3674">
        <w:t xml:space="preserve"> </w:t>
      </w:r>
      <w:r w:rsidRPr="00FB3674">
        <w:t>rules</w:t>
      </w:r>
      <w:r w:rsidR="001F7ED5" w:rsidRPr="00FB3674">
        <w:t xml:space="preserve"> </w:t>
      </w:r>
      <w:r w:rsidRPr="00FB3674">
        <w:t>and</w:t>
      </w:r>
      <w:r w:rsidR="001F7ED5" w:rsidRPr="00FB3674">
        <w:t xml:space="preserve"> </w:t>
      </w:r>
      <w:r w:rsidRPr="00FB3674">
        <w:t>boundaries</w:t>
      </w:r>
      <w:r w:rsidR="001F7ED5" w:rsidRPr="00FB3674">
        <w:t xml:space="preserve"> </w:t>
      </w:r>
      <w:r w:rsidRPr="00FB3674">
        <w:t>for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actions</w:t>
      </w:r>
      <w:r w:rsidR="001F7ED5" w:rsidRPr="00FB3674">
        <w:t xml:space="preserve"> </w:t>
      </w:r>
      <w:r w:rsidRPr="00FB3674">
        <w:t>allowed</w:t>
      </w:r>
      <w:r w:rsidR="001F7ED5" w:rsidRPr="00FB3674">
        <w:t xml:space="preserve"> </w:t>
      </w:r>
      <w:r w:rsidRPr="00FB3674">
        <w:t>by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undercover</w:t>
      </w:r>
      <w:r w:rsidR="001F7ED5" w:rsidRPr="00FB3674">
        <w:t xml:space="preserve"> </w:t>
      </w:r>
      <w:r w:rsidRPr="00FB3674">
        <w:t>officers.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domestic</w:t>
      </w:r>
      <w:r w:rsidR="001F7ED5" w:rsidRPr="00FB3674">
        <w:t xml:space="preserve"> </w:t>
      </w:r>
      <w:r w:rsidRPr="00FB3674">
        <w:t>court</w:t>
      </w:r>
      <w:r w:rsidR="001F7ED5" w:rsidRPr="00FB3674">
        <w:t xml:space="preserve"> </w:t>
      </w:r>
      <w:r w:rsidRPr="00FB3674">
        <w:t>found</w:t>
      </w:r>
      <w:r w:rsidR="001F7ED5" w:rsidRPr="00FB3674">
        <w:t xml:space="preserve"> </w:t>
      </w:r>
      <w:r w:rsidRPr="00FB3674">
        <w:t>no</w:t>
      </w:r>
      <w:r w:rsidR="001F7ED5" w:rsidRPr="00FB3674">
        <w:t xml:space="preserve"> </w:t>
      </w:r>
      <w:r w:rsidRPr="00FB3674">
        <w:t>deviations</w:t>
      </w:r>
      <w:r w:rsidR="001F7ED5" w:rsidRPr="00FB3674">
        <w:t xml:space="preserve"> </w:t>
      </w:r>
      <w:r w:rsidRPr="00FB3674">
        <w:t>from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authorized</w:t>
      </w:r>
      <w:r w:rsidR="001F7ED5" w:rsidRPr="00FB3674">
        <w:t xml:space="preserve"> </w:t>
      </w:r>
      <w:r w:rsidRPr="00FB3674">
        <w:t>framework,</w:t>
      </w:r>
      <w:r w:rsidR="001F7ED5" w:rsidRPr="00FB3674">
        <w:t xml:space="preserve"> </w:t>
      </w:r>
      <w:r w:rsidRPr="00FB3674">
        <w:t>as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undercover</w:t>
      </w:r>
      <w:r w:rsidR="001F7ED5" w:rsidRPr="00FB3674">
        <w:t xml:space="preserve"> </w:t>
      </w:r>
      <w:r w:rsidRPr="00FB3674">
        <w:t>officials</w:t>
      </w:r>
      <w:r w:rsidR="001F7ED5" w:rsidRPr="00FB3674">
        <w:t xml:space="preserve"> </w:t>
      </w:r>
      <w:r w:rsidRPr="00FB3674">
        <w:t>had</w:t>
      </w:r>
      <w:r w:rsidR="001F7ED5" w:rsidRPr="00FB3674">
        <w:t xml:space="preserve"> </w:t>
      </w:r>
      <w:r w:rsidRPr="00FB3674">
        <w:t>acted</w:t>
      </w:r>
      <w:r w:rsidR="001F7ED5" w:rsidRPr="00FB3674">
        <w:t xml:space="preserve"> </w:t>
      </w:r>
      <w:r w:rsidRPr="00FB3674">
        <w:t>strictly</w:t>
      </w:r>
      <w:r w:rsidR="001F7ED5" w:rsidRPr="00FB3674">
        <w:t xml:space="preserve"> </w:t>
      </w:r>
      <w:r w:rsidRPr="00FB3674">
        <w:t>within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boundaries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Law</w:t>
      </w:r>
      <w:r w:rsidR="001F7ED5" w:rsidRPr="00FB3674">
        <w:t xml:space="preserve"> </w:t>
      </w:r>
      <w:r w:rsidRPr="00FB3674">
        <w:t>on</w:t>
      </w:r>
      <w:r w:rsidR="001F7ED5" w:rsidRPr="00FB3674">
        <w:t xml:space="preserve"> </w:t>
      </w:r>
      <w:r w:rsidRPr="00FB3674">
        <w:t>Special</w:t>
      </w:r>
      <w:r w:rsidR="001F7ED5" w:rsidRPr="00FB3674">
        <w:t xml:space="preserve"> </w:t>
      </w:r>
      <w:r w:rsidRPr="00FB3674">
        <w:t>Investigative</w:t>
      </w:r>
      <w:r w:rsidR="001F7ED5" w:rsidRPr="00FB3674">
        <w:t xml:space="preserve"> </w:t>
      </w:r>
      <w:r w:rsidRPr="00FB3674">
        <w:t>Measures.</w:t>
      </w:r>
      <w:r w:rsidR="001F7ED5" w:rsidRPr="00FB3674">
        <w:t xml:space="preserve"> </w:t>
      </w:r>
      <w:r w:rsidRPr="00FB3674">
        <w:t>Accordingly,</w:t>
      </w:r>
      <w:r w:rsidR="001F7ED5" w:rsidRPr="00FB3674">
        <w:t xml:space="preserve"> </w:t>
      </w:r>
      <w:r w:rsidRPr="00FB3674">
        <w:t>having</w:t>
      </w:r>
      <w:r w:rsidR="001F7ED5" w:rsidRPr="00FB3674">
        <w:t xml:space="preserve"> </w:t>
      </w:r>
      <w:r w:rsidRPr="00FB3674">
        <w:t>acquainted</w:t>
      </w:r>
      <w:r w:rsidR="001F7ED5" w:rsidRPr="00FB3674">
        <w:t xml:space="preserve"> </w:t>
      </w:r>
      <w:r w:rsidRPr="00FB3674">
        <w:t>itself</w:t>
      </w:r>
      <w:r w:rsidR="001F7ED5" w:rsidRPr="00FB3674">
        <w:t xml:space="preserve"> </w:t>
      </w:r>
      <w:r w:rsidRPr="00FB3674">
        <w:t>with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content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classified</w:t>
      </w:r>
      <w:r w:rsidR="001F7ED5" w:rsidRPr="00FB3674">
        <w:t xml:space="preserve"> </w:t>
      </w:r>
      <w:r w:rsidRPr="00FB3674">
        <w:t>case</w:t>
      </w:r>
      <w:r w:rsidR="001F7ED5" w:rsidRPr="00FB3674">
        <w:t xml:space="preserve"> </w:t>
      </w:r>
      <w:r w:rsidRPr="00FB3674">
        <w:t>files,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Chamber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Criminal</w:t>
      </w:r>
      <w:r w:rsidR="001F7ED5" w:rsidRPr="00FB3674">
        <w:t xml:space="preserve"> </w:t>
      </w:r>
      <w:r w:rsidRPr="00FB3674">
        <w:t>Cases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Supreme</w:t>
      </w:r>
      <w:r w:rsidR="001F7ED5" w:rsidRPr="00FB3674">
        <w:t xml:space="preserve"> </w:t>
      </w:r>
      <w:r w:rsidRPr="00FB3674">
        <w:t>Court</w:t>
      </w:r>
      <w:r w:rsidR="001F7ED5" w:rsidRPr="00FB3674">
        <w:t xml:space="preserve"> </w:t>
      </w:r>
      <w:r w:rsidRPr="00FB3674">
        <w:t>was</w:t>
      </w:r>
      <w:r w:rsidR="001F7ED5" w:rsidRPr="00FB3674">
        <w:t xml:space="preserve"> </w:t>
      </w:r>
      <w:r w:rsidRPr="00FB3674">
        <w:t>able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establish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actions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law</w:t>
      </w:r>
      <w:r w:rsidR="001F7ED5" w:rsidRPr="00FB3674">
        <w:t xml:space="preserve"> </w:t>
      </w:r>
      <w:r w:rsidRPr="00FB3674">
        <w:t>enforcement</w:t>
      </w:r>
      <w:r w:rsidR="001F7ED5" w:rsidRPr="00FB3674">
        <w:t xml:space="preserve"> </w:t>
      </w:r>
      <w:r w:rsidRPr="00FB3674">
        <w:t>authorities</w:t>
      </w:r>
      <w:r w:rsidR="001F7ED5" w:rsidRPr="00FB3674">
        <w:t xml:space="preserve"> </w:t>
      </w:r>
      <w:r w:rsidRPr="00FB3674">
        <w:t>did</w:t>
      </w:r>
      <w:r w:rsidR="001F7ED5" w:rsidRPr="00FB3674">
        <w:t xml:space="preserve"> </w:t>
      </w:r>
      <w:r w:rsidRPr="00FB3674">
        <w:t>not</w:t>
      </w:r>
      <w:r w:rsidR="001F7ED5" w:rsidRPr="00FB3674">
        <w:t xml:space="preserve"> </w:t>
      </w:r>
      <w:r w:rsidRPr="00FB3674">
        <w:t>amount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incitement.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domestic</w:t>
      </w:r>
      <w:r w:rsidR="001F7ED5" w:rsidRPr="00FB3674">
        <w:t xml:space="preserve"> </w:t>
      </w:r>
      <w:r w:rsidRPr="00FB3674">
        <w:t>court</w:t>
      </w:r>
      <w:r w:rsidR="001F7ED5" w:rsidRPr="00FB3674">
        <w:t xml:space="preserve"> </w:t>
      </w:r>
      <w:r w:rsidRPr="00FB3674">
        <w:t>then</w:t>
      </w:r>
      <w:r w:rsidR="001F7ED5" w:rsidRPr="00FB3674">
        <w:t xml:space="preserve"> </w:t>
      </w:r>
      <w:r w:rsidRPr="00FB3674">
        <w:t>proceeded</w:t>
      </w:r>
      <w:r w:rsidR="001F7ED5" w:rsidRPr="00FB3674">
        <w:t xml:space="preserve"> </w:t>
      </w:r>
      <w:r w:rsidRPr="00FB3674">
        <w:t>with</w:t>
      </w:r>
      <w:r w:rsidR="001F7ED5" w:rsidRPr="00FB3674">
        <w:t xml:space="preserve"> </w:t>
      </w:r>
      <w:r w:rsidRPr="00FB3674">
        <w:t>acquitting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author</w:t>
      </w:r>
      <w:r w:rsidR="001F7ED5" w:rsidRPr="00FB3674">
        <w:t xml:space="preserve"> </w:t>
      </w:r>
      <w:r w:rsidRPr="00FB3674">
        <w:t>on</w:t>
      </w:r>
      <w:r w:rsidR="001F7ED5" w:rsidRPr="00FB3674">
        <w:t xml:space="preserve"> </w:t>
      </w:r>
      <w:r w:rsidRPr="00FB3674">
        <w:t>one</w:t>
      </w:r>
      <w:r w:rsidR="001F7ED5" w:rsidRPr="00FB3674">
        <w:t xml:space="preserve"> </w:t>
      </w:r>
      <w:r w:rsidRPr="00FB3674">
        <w:t>count</w:t>
      </w:r>
      <w:r w:rsidR="001F7ED5" w:rsidRPr="00FB3674">
        <w:t xml:space="preserve"> </w:t>
      </w:r>
      <w:r w:rsidRPr="00FB3674">
        <w:t>and</w:t>
      </w:r>
      <w:r w:rsidR="001F7ED5" w:rsidRPr="00FB3674">
        <w:t xml:space="preserve"> </w:t>
      </w:r>
      <w:r w:rsidRPr="00FB3674">
        <w:t>finding</w:t>
      </w:r>
      <w:r w:rsidR="001F7ED5" w:rsidRPr="00FB3674">
        <w:t xml:space="preserve"> </w:t>
      </w:r>
      <w:r w:rsidRPr="00FB3674">
        <w:t>him</w:t>
      </w:r>
      <w:r w:rsidR="001F7ED5" w:rsidRPr="00FB3674">
        <w:t xml:space="preserve"> </w:t>
      </w:r>
      <w:r w:rsidRPr="00FB3674">
        <w:t>guilty</w:t>
      </w:r>
      <w:r w:rsidR="001F7ED5" w:rsidRPr="00FB3674">
        <w:t xml:space="preserve"> </w:t>
      </w:r>
      <w:r w:rsidRPr="00FB3674">
        <w:t>on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rest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charges</w:t>
      </w:r>
      <w:r w:rsidR="001F7ED5" w:rsidRPr="00FB3674">
        <w:t xml:space="preserve"> </w:t>
      </w:r>
      <w:r w:rsidRPr="00FB3674">
        <w:t>made</w:t>
      </w:r>
      <w:r w:rsidR="001F7ED5" w:rsidRPr="00FB3674">
        <w:t xml:space="preserve"> </w:t>
      </w:r>
      <w:r w:rsidRPr="00FB3674">
        <w:t>against</w:t>
      </w:r>
      <w:r w:rsidR="001F7ED5" w:rsidRPr="00FB3674">
        <w:t xml:space="preserve"> </w:t>
      </w:r>
      <w:r w:rsidRPr="00FB3674">
        <w:t>him.</w:t>
      </w:r>
    </w:p>
    <w:p w14:paraId="2520FEF0" w14:textId="77777777" w:rsidR="001F7ED5" w:rsidRPr="00FB3674" w:rsidRDefault="005D5882" w:rsidP="005D5882">
      <w:pPr>
        <w:pStyle w:val="SingleTxtG"/>
      </w:pPr>
      <w:r w:rsidRPr="00FB3674">
        <w:t>4.16</w:t>
      </w:r>
      <w:r w:rsidRPr="00FB3674">
        <w:tab/>
        <w:t>The</w:t>
      </w:r>
      <w:r w:rsidR="001F7ED5" w:rsidRPr="00FB3674">
        <w:t xml:space="preserve"> </w:t>
      </w:r>
      <w:r w:rsidRPr="00FB3674">
        <w:t>State</w:t>
      </w:r>
      <w:r w:rsidR="001F7ED5" w:rsidRPr="00FB3674">
        <w:t xml:space="preserve"> </w:t>
      </w:r>
      <w:r w:rsidRPr="00FB3674">
        <w:t>party</w:t>
      </w:r>
      <w:r w:rsidR="001F7ED5" w:rsidRPr="00FB3674">
        <w:t xml:space="preserve"> </w:t>
      </w:r>
      <w:r w:rsidRPr="00FB3674">
        <w:t>further</w:t>
      </w:r>
      <w:r w:rsidR="001F7ED5" w:rsidRPr="00FB3674">
        <w:t xml:space="preserve"> </w:t>
      </w:r>
      <w:r w:rsidRPr="00FB3674">
        <w:t>observes</w:t>
      </w:r>
      <w:r w:rsidR="001F7ED5" w:rsidRPr="00FB3674">
        <w:t xml:space="preserve"> </w:t>
      </w:r>
      <w:r w:rsidRPr="00FB3674">
        <w:t>that,</w:t>
      </w:r>
      <w:r w:rsidR="001F7ED5" w:rsidRPr="00FB3674">
        <w:t xml:space="preserve"> </w:t>
      </w:r>
      <w:r w:rsidRPr="00FB3674">
        <w:t>in</w:t>
      </w:r>
      <w:r w:rsidR="001F7ED5" w:rsidRPr="00FB3674">
        <w:t xml:space="preserve"> </w:t>
      </w:r>
      <w:r w:rsidRPr="00FB3674">
        <w:t>his</w:t>
      </w:r>
      <w:r w:rsidR="001F7ED5" w:rsidRPr="00FB3674">
        <w:t xml:space="preserve"> </w:t>
      </w:r>
      <w:r w:rsidRPr="00FB3674">
        <w:t>cassation</w:t>
      </w:r>
      <w:r w:rsidR="001F7ED5" w:rsidRPr="00FB3674">
        <w:t xml:space="preserve"> </w:t>
      </w:r>
      <w:r w:rsidRPr="00FB3674">
        <w:t>motion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Supreme</w:t>
      </w:r>
      <w:r w:rsidR="001F7ED5" w:rsidRPr="00FB3674">
        <w:t xml:space="preserve"> </w:t>
      </w:r>
      <w:r w:rsidRPr="00FB3674">
        <w:t>Court,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author</w:t>
      </w:r>
      <w:r w:rsidR="001F7ED5" w:rsidRPr="00FB3674">
        <w:t xml:space="preserve"> </w:t>
      </w:r>
      <w:r w:rsidRPr="00FB3674">
        <w:t>had</w:t>
      </w:r>
      <w:r w:rsidR="001F7ED5" w:rsidRPr="00FB3674">
        <w:t xml:space="preserve"> </w:t>
      </w:r>
      <w:r w:rsidRPr="00FB3674">
        <w:t>also</w:t>
      </w:r>
      <w:r w:rsidR="001F7ED5" w:rsidRPr="00FB3674">
        <w:t xml:space="preserve"> </w:t>
      </w:r>
      <w:r w:rsidRPr="00FB3674">
        <w:t>complained,</w:t>
      </w:r>
      <w:r w:rsidR="001F7ED5" w:rsidRPr="00FB3674">
        <w:t xml:space="preserve"> </w:t>
      </w:r>
      <w:r w:rsidRPr="00FB3674">
        <w:t>among</w:t>
      </w:r>
      <w:r w:rsidR="001F7ED5" w:rsidRPr="00FB3674">
        <w:t xml:space="preserve"> </w:t>
      </w:r>
      <w:r w:rsidRPr="00FB3674">
        <w:t>other</w:t>
      </w:r>
      <w:r w:rsidR="001F7ED5" w:rsidRPr="00FB3674">
        <w:t xml:space="preserve"> </w:t>
      </w:r>
      <w:r w:rsidRPr="00FB3674">
        <w:t>issues,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during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appellate</w:t>
      </w:r>
      <w:r w:rsidR="001F7ED5" w:rsidRPr="00FB3674">
        <w:t xml:space="preserve"> </w:t>
      </w:r>
      <w:r w:rsidRPr="00FB3674">
        <w:t>proceedings</w:t>
      </w:r>
      <w:r w:rsidR="001F7ED5" w:rsidRPr="00FB3674">
        <w:t xml:space="preserve"> </w:t>
      </w:r>
      <w:r w:rsidRPr="00FB3674">
        <w:t>he</w:t>
      </w:r>
      <w:r w:rsidR="001F7ED5" w:rsidRPr="00FB3674">
        <w:t xml:space="preserve"> </w:t>
      </w:r>
      <w:r w:rsidRPr="00FB3674">
        <w:t>was</w:t>
      </w:r>
      <w:r w:rsidR="001F7ED5" w:rsidRPr="00FB3674">
        <w:t xml:space="preserve"> </w:t>
      </w:r>
      <w:r w:rsidRPr="00FB3674">
        <w:t>not</w:t>
      </w:r>
      <w:r w:rsidR="001F7ED5" w:rsidRPr="00FB3674">
        <w:t xml:space="preserve"> </w:t>
      </w:r>
      <w:r w:rsidRPr="00FB3674">
        <w:t>granted</w:t>
      </w:r>
      <w:r w:rsidR="001F7ED5" w:rsidRPr="00FB3674">
        <w:t xml:space="preserve"> </w:t>
      </w:r>
      <w:r w:rsidRPr="00FB3674">
        <w:t>access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confidential</w:t>
      </w:r>
      <w:r w:rsidR="001F7ED5" w:rsidRPr="00FB3674">
        <w:t xml:space="preserve"> </w:t>
      </w:r>
      <w:r w:rsidRPr="00FB3674">
        <w:t>case</w:t>
      </w:r>
      <w:r w:rsidR="001F7ED5" w:rsidRPr="00FB3674">
        <w:t xml:space="preserve"> </w:t>
      </w:r>
      <w:r w:rsidRPr="00FB3674">
        <w:t>files</w:t>
      </w:r>
      <w:r w:rsidR="001F7ED5" w:rsidRPr="00FB3674">
        <w:t xml:space="preserve"> </w:t>
      </w:r>
      <w:r w:rsidRPr="00FB3674">
        <w:t>and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only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judges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Chamber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Criminal</w:t>
      </w:r>
      <w:r w:rsidR="001F7ED5" w:rsidRPr="00FB3674">
        <w:t xml:space="preserve"> </w:t>
      </w:r>
      <w:r w:rsidRPr="00FB3674">
        <w:t>Cases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Supreme</w:t>
      </w:r>
      <w:r w:rsidR="001F7ED5" w:rsidRPr="00FB3674">
        <w:t xml:space="preserve"> </w:t>
      </w:r>
      <w:r w:rsidRPr="00FB3674">
        <w:t>Court</w:t>
      </w:r>
      <w:r w:rsidR="001F7ED5" w:rsidRPr="00FB3674">
        <w:t xml:space="preserve"> </w:t>
      </w:r>
      <w:r w:rsidRPr="00FB3674">
        <w:t>had</w:t>
      </w:r>
      <w:r w:rsidR="001F7ED5" w:rsidRPr="00FB3674">
        <w:t xml:space="preserve"> </w:t>
      </w:r>
      <w:r w:rsidRPr="00FB3674">
        <w:t>acquainted</w:t>
      </w:r>
      <w:r w:rsidR="001F7ED5" w:rsidRPr="00FB3674">
        <w:t xml:space="preserve"> </w:t>
      </w:r>
      <w:r w:rsidRPr="00FB3674">
        <w:t>themselves</w:t>
      </w:r>
      <w:r w:rsidR="001F7ED5" w:rsidRPr="00FB3674">
        <w:t xml:space="preserve"> </w:t>
      </w:r>
      <w:r w:rsidRPr="00FB3674">
        <w:t>with</w:t>
      </w:r>
      <w:r w:rsidR="001F7ED5" w:rsidRPr="00FB3674">
        <w:t xml:space="preserve"> </w:t>
      </w:r>
      <w:r w:rsidRPr="00FB3674">
        <w:t>their</w:t>
      </w:r>
      <w:r w:rsidR="001F7ED5" w:rsidRPr="00FB3674">
        <w:t xml:space="preserve"> </w:t>
      </w:r>
      <w:r w:rsidRPr="00FB3674">
        <w:t>contents.</w:t>
      </w:r>
    </w:p>
    <w:p w14:paraId="3ED5BDDF" w14:textId="78AD9901" w:rsidR="001F7ED5" w:rsidRPr="00FB3674" w:rsidRDefault="005D5882" w:rsidP="005D5882">
      <w:pPr>
        <w:pStyle w:val="SingleTxtG"/>
      </w:pPr>
      <w:r w:rsidRPr="00FB3674">
        <w:t>4.17</w:t>
      </w:r>
      <w:r w:rsidRPr="00FB3674">
        <w:tab/>
        <w:t>On</w:t>
      </w:r>
      <w:r w:rsidR="001F7ED5" w:rsidRPr="00FB3674">
        <w:t xml:space="preserve"> </w:t>
      </w:r>
      <w:r w:rsidRPr="00FB3674">
        <w:t>20</w:t>
      </w:r>
      <w:r w:rsidR="001F7ED5" w:rsidRPr="00FB3674">
        <w:t xml:space="preserve"> </w:t>
      </w:r>
      <w:r w:rsidRPr="00FB3674">
        <w:t>February</w:t>
      </w:r>
      <w:r w:rsidR="001F7ED5" w:rsidRPr="00FB3674">
        <w:t xml:space="preserve"> </w:t>
      </w:r>
      <w:r w:rsidRPr="00FB3674">
        <w:t>2015,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Supreme</w:t>
      </w:r>
      <w:r w:rsidR="001F7ED5" w:rsidRPr="00FB3674">
        <w:t xml:space="preserve"> </w:t>
      </w:r>
      <w:r w:rsidRPr="00FB3674">
        <w:t>Court,</w:t>
      </w:r>
      <w:r w:rsidR="001F7ED5" w:rsidRPr="00FB3674">
        <w:t xml:space="preserve"> </w:t>
      </w:r>
      <w:r w:rsidRPr="00FB3674">
        <w:t>acting</w:t>
      </w:r>
      <w:r w:rsidR="001F7ED5" w:rsidRPr="00FB3674">
        <w:t xml:space="preserve"> </w:t>
      </w:r>
      <w:r w:rsidRPr="00FB3674">
        <w:t>as</w:t>
      </w:r>
      <w:r w:rsidR="001F7ED5" w:rsidRPr="00FB3674">
        <w:t xml:space="preserve"> </w:t>
      </w:r>
      <w:r w:rsidRPr="00FB3674">
        <w:t>a</w:t>
      </w:r>
      <w:r w:rsidR="001F7ED5" w:rsidRPr="00FB3674">
        <w:t xml:space="preserve"> </w:t>
      </w:r>
      <w:r w:rsidRPr="00FB3674">
        <w:t>cassation</w:t>
      </w:r>
      <w:r w:rsidR="001F7ED5" w:rsidRPr="00FB3674">
        <w:t xml:space="preserve"> </w:t>
      </w:r>
      <w:r w:rsidRPr="00FB3674">
        <w:t>instance,</w:t>
      </w:r>
      <w:r w:rsidR="001F7ED5" w:rsidRPr="00FB3674">
        <w:t xml:space="preserve"> </w:t>
      </w:r>
      <w:r w:rsidRPr="00FB3674">
        <w:t>examined</w:t>
      </w:r>
      <w:r w:rsidR="001F7ED5" w:rsidRPr="00FB3674">
        <w:t xml:space="preserve"> </w:t>
      </w:r>
      <w:r w:rsidRPr="00FB3674">
        <w:t>and</w:t>
      </w:r>
      <w:r w:rsidR="001F7ED5" w:rsidRPr="00FB3674">
        <w:t xml:space="preserve"> </w:t>
      </w:r>
      <w:r w:rsidRPr="00FB3674">
        <w:t>dismissed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author</w:t>
      </w:r>
      <w:r w:rsidR="00FB3674">
        <w:t>’</w:t>
      </w:r>
      <w:r w:rsidRPr="00FB3674">
        <w:t>s</w:t>
      </w:r>
      <w:r w:rsidR="001F7ED5" w:rsidRPr="00FB3674">
        <w:t xml:space="preserve"> </w:t>
      </w:r>
      <w:r w:rsidRPr="00FB3674">
        <w:t>cassation</w:t>
      </w:r>
      <w:r w:rsidR="001F7ED5" w:rsidRPr="00FB3674">
        <w:t xml:space="preserve"> </w:t>
      </w:r>
      <w:r w:rsidRPr="00FB3674">
        <w:t>complaint.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Supreme</w:t>
      </w:r>
      <w:r w:rsidR="001F7ED5" w:rsidRPr="00FB3674">
        <w:t xml:space="preserve"> </w:t>
      </w:r>
      <w:r w:rsidRPr="00FB3674">
        <w:t>Court</w:t>
      </w:r>
      <w:r w:rsidR="001F7ED5" w:rsidRPr="00FB3674">
        <w:t xml:space="preserve"> </w:t>
      </w:r>
      <w:r w:rsidRPr="00FB3674">
        <w:t>explicitly</w:t>
      </w:r>
      <w:r w:rsidR="001F7ED5" w:rsidRPr="00FB3674">
        <w:t xml:space="preserve"> </w:t>
      </w:r>
      <w:r w:rsidRPr="00FB3674">
        <w:t>underlined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Chamber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Criminal</w:t>
      </w:r>
      <w:r w:rsidR="001F7ED5" w:rsidRPr="00FB3674">
        <w:t xml:space="preserve"> </w:t>
      </w:r>
      <w:r w:rsidRPr="00FB3674">
        <w:t>Cases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Supreme</w:t>
      </w:r>
      <w:r w:rsidR="001F7ED5" w:rsidRPr="00FB3674">
        <w:t xml:space="preserve"> </w:t>
      </w:r>
      <w:r w:rsidRPr="00FB3674">
        <w:t>Court</w:t>
      </w:r>
      <w:r w:rsidR="001F7ED5" w:rsidRPr="00FB3674">
        <w:t xml:space="preserve"> </w:t>
      </w:r>
      <w:r w:rsidRPr="00FB3674">
        <w:t>had</w:t>
      </w:r>
      <w:r w:rsidR="001F7ED5" w:rsidRPr="00FB3674">
        <w:t xml:space="preserve"> </w:t>
      </w:r>
      <w:r w:rsidRPr="00FB3674">
        <w:t>acquainted</w:t>
      </w:r>
      <w:r w:rsidR="001F7ED5" w:rsidRPr="00FB3674">
        <w:t xml:space="preserve"> </w:t>
      </w:r>
      <w:r w:rsidRPr="00FB3674">
        <w:t>itself</w:t>
      </w:r>
      <w:r w:rsidR="001F7ED5" w:rsidRPr="00FB3674">
        <w:t xml:space="preserve"> </w:t>
      </w:r>
      <w:r w:rsidRPr="00FB3674">
        <w:t>with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relevant</w:t>
      </w:r>
      <w:r w:rsidR="001F7ED5" w:rsidRPr="00FB3674">
        <w:t xml:space="preserve"> </w:t>
      </w:r>
      <w:r w:rsidRPr="00FB3674">
        <w:t>classified</w:t>
      </w:r>
      <w:r w:rsidR="001F7ED5" w:rsidRPr="00FB3674">
        <w:t xml:space="preserve"> </w:t>
      </w:r>
      <w:r w:rsidRPr="00FB3674">
        <w:t>case</w:t>
      </w:r>
      <w:r w:rsidR="001F7ED5" w:rsidRPr="00FB3674">
        <w:t xml:space="preserve"> </w:t>
      </w:r>
      <w:r w:rsidRPr="00FB3674">
        <w:t>files</w:t>
      </w:r>
      <w:r w:rsidR="001F7ED5" w:rsidRPr="00FB3674">
        <w:t xml:space="preserve"> </w:t>
      </w:r>
      <w:r w:rsidRPr="00FB3674">
        <w:t>and</w:t>
      </w:r>
      <w:r w:rsidR="001F7ED5" w:rsidRPr="00FB3674">
        <w:t xml:space="preserve"> </w:t>
      </w:r>
      <w:r w:rsidRPr="00FB3674">
        <w:t>ascertained,</w:t>
      </w:r>
      <w:r w:rsidR="001F7ED5" w:rsidRPr="00FB3674">
        <w:t xml:space="preserve"> </w:t>
      </w:r>
      <w:r w:rsidRPr="00FB3674">
        <w:t>in</w:t>
      </w:r>
      <w:r w:rsidR="001F7ED5" w:rsidRPr="00FB3674">
        <w:t xml:space="preserve"> </w:t>
      </w:r>
      <w:r w:rsidRPr="00FB3674">
        <w:t>its</w:t>
      </w:r>
      <w:r w:rsidR="001F7ED5" w:rsidRPr="00FB3674">
        <w:t xml:space="preserve"> </w:t>
      </w:r>
      <w:r w:rsidRPr="00FB3674">
        <w:t>judgment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26</w:t>
      </w:r>
      <w:r w:rsidR="001F7ED5" w:rsidRPr="00FB3674">
        <w:t xml:space="preserve"> </w:t>
      </w:r>
      <w:r w:rsidRPr="00FB3674">
        <w:t>September</w:t>
      </w:r>
      <w:r w:rsidR="001F7ED5" w:rsidRPr="00FB3674">
        <w:t xml:space="preserve"> </w:t>
      </w:r>
      <w:r w:rsidRPr="00FB3674">
        <w:t>2014,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disputed</w:t>
      </w:r>
      <w:r w:rsidR="001F7ED5" w:rsidRPr="00FB3674">
        <w:t xml:space="preserve"> </w:t>
      </w:r>
      <w:r w:rsidRPr="00FB3674">
        <w:t>special</w:t>
      </w:r>
      <w:r w:rsidR="001F7ED5" w:rsidRPr="00FB3674">
        <w:t xml:space="preserve"> </w:t>
      </w:r>
      <w:r w:rsidRPr="00FB3674">
        <w:t>investigative</w:t>
      </w:r>
      <w:r w:rsidR="001F7ED5" w:rsidRPr="00FB3674">
        <w:t xml:space="preserve"> </w:t>
      </w:r>
      <w:r w:rsidRPr="00FB3674">
        <w:t>experiment</w:t>
      </w:r>
      <w:r w:rsidR="001F7ED5" w:rsidRPr="00FB3674">
        <w:t xml:space="preserve"> </w:t>
      </w:r>
      <w:r w:rsidRPr="00FB3674">
        <w:t>had</w:t>
      </w:r>
      <w:r w:rsidR="001F7ED5" w:rsidRPr="00FB3674">
        <w:t xml:space="preserve"> </w:t>
      </w:r>
      <w:r w:rsidRPr="00FB3674">
        <w:t>been</w:t>
      </w:r>
      <w:r w:rsidR="001F7ED5" w:rsidRPr="00FB3674">
        <w:t xml:space="preserve"> </w:t>
      </w:r>
      <w:r w:rsidRPr="00FB3674">
        <w:t>conducted</w:t>
      </w:r>
      <w:r w:rsidR="001F7ED5" w:rsidRPr="00FB3674">
        <w:t xml:space="preserve"> </w:t>
      </w:r>
      <w:r w:rsidRPr="00FB3674">
        <w:t>in</w:t>
      </w:r>
      <w:r w:rsidR="001F7ED5" w:rsidRPr="00FB3674">
        <w:t xml:space="preserve"> </w:t>
      </w:r>
      <w:r w:rsidRPr="00FB3674">
        <w:t>line</w:t>
      </w:r>
      <w:r w:rsidR="001F7ED5" w:rsidRPr="00FB3674">
        <w:t xml:space="preserve"> </w:t>
      </w:r>
      <w:r w:rsidRPr="00FB3674">
        <w:t>with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prior</w:t>
      </w:r>
      <w:r w:rsidR="001F7ED5" w:rsidRPr="00FB3674">
        <w:t xml:space="preserve"> </w:t>
      </w:r>
      <w:r w:rsidRPr="00FB3674">
        <w:t>prosecutorial</w:t>
      </w:r>
      <w:r w:rsidR="001F7ED5" w:rsidRPr="00FB3674">
        <w:t xml:space="preserve"> </w:t>
      </w:r>
      <w:r w:rsidRPr="00FB3674">
        <w:t>authorization.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Supreme</w:t>
      </w:r>
      <w:r w:rsidR="001F7ED5" w:rsidRPr="00FB3674">
        <w:t xml:space="preserve"> </w:t>
      </w:r>
      <w:r w:rsidRPr="00FB3674">
        <w:t>Court</w:t>
      </w:r>
      <w:r w:rsidR="001F7ED5" w:rsidRPr="00FB3674">
        <w:t xml:space="preserve"> </w:t>
      </w:r>
      <w:r w:rsidRPr="00FB3674">
        <w:t>also</w:t>
      </w:r>
      <w:r w:rsidR="001F7ED5" w:rsidRPr="00FB3674">
        <w:t xml:space="preserve"> </w:t>
      </w:r>
      <w:r w:rsidRPr="00FB3674">
        <w:t>addressed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author</w:t>
      </w:r>
      <w:r w:rsidR="00FB3674">
        <w:t>’</w:t>
      </w:r>
      <w:r w:rsidRPr="00FB3674">
        <w:t>s</w:t>
      </w:r>
      <w:r w:rsidR="001F7ED5" w:rsidRPr="00FB3674">
        <w:t xml:space="preserve"> </w:t>
      </w:r>
      <w:r w:rsidRPr="00FB3674">
        <w:t>complaint</w:t>
      </w:r>
      <w:r w:rsidR="001F7ED5" w:rsidRPr="00FB3674">
        <w:t xml:space="preserve"> </w:t>
      </w:r>
      <w:r w:rsidRPr="00FB3674">
        <w:t>regarding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right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disclosure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defence</w:t>
      </w:r>
      <w:r w:rsidR="001F7ED5" w:rsidRPr="00FB3674">
        <w:t xml:space="preserve"> </w:t>
      </w:r>
      <w:r w:rsidRPr="00FB3674">
        <w:t>and</w:t>
      </w:r>
      <w:r w:rsidR="001F7ED5" w:rsidRPr="00FB3674">
        <w:t xml:space="preserve"> </w:t>
      </w:r>
      <w:r w:rsidRPr="00FB3674">
        <w:t>referred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relevant</w:t>
      </w:r>
      <w:r w:rsidR="001F7ED5" w:rsidRPr="00FB3674">
        <w:t xml:space="preserve"> </w:t>
      </w:r>
      <w:r w:rsidRPr="00FB3674">
        <w:t>case</w:t>
      </w:r>
      <w:r w:rsidR="001F7ED5" w:rsidRPr="00FB3674">
        <w:t xml:space="preserve"> </w:t>
      </w:r>
      <w:r w:rsidRPr="00FB3674">
        <w:t>law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European</w:t>
      </w:r>
      <w:r w:rsidR="001F7ED5" w:rsidRPr="00FB3674">
        <w:t xml:space="preserve"> </w:t>
      </w:r>
      <w:r w:rsidRPr="00FB3674">
        <w:t>Court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Human</w:t>
      </w:r>
      <w:r w:rsidR="001F7ED5" w:rsidRPr="00FB3674">
        <w:t xml:space="preserve"> </w:t>
      </w:r>
      <w:r w:rsidRPr="00FB3674">
        <w:t>Rights,</w:t>
      </w:r>
      <w:r w:rsidR="001F7ED5" w:rsidRPr="00FB3674">
        <w:t xml:space="preserve"> </w:t>
      </w:r>
      <w:r w:rsidRPr="00FB3674">
        <w:t>stating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right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disclosure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defence</w:t>
      </w:r>
      <w:r w:rsidR="001F7ED5" w:rsidRPr="00FB3674">
        <w:t xml:space="preserve"> </w:t>
      </w:r>
      <w:r w:rsidRPr="00FB3674">
        <w:t>was</w:t>
      </w:r>
      <w:r w:rsidR="001F7ED5" w:rsidRPr="00FB3674">
        <w:t xml:space="preserve"> </w:t>
      </w:r>
      <w:r w:rsidRPr="00FB3674">
        <w:t>not</w:t>
      </w:r>
      <w:r w:rsidR="001F7ED5" w:rsidRPr="00FB3674">
        <w:t xml:space="preserve"> </w:t>
      </w:r>
      <w:r w:rsidRPr="00FB3674">
        <w:t>an</w:t>
      </w:r>
      <w:r w:rsidR="001F7ED5" w:rsidRPr="00FB3674">
        <w:t xml:space="preserve"> </w:t>
      </w:r>
      <w:r w:rsidRPr="00FB3674">
        <w:t>absolute</w:t>
      </w:r>
      <w:r w:rsidR="001F7ED5" w:rsidRPr="00FB3674">
        <w:t xml:space="preserve"> </w:t>
      </w:r>
      <w:r w:rsidRPr="00FB3674">
        <w:t>right</w:t>
      </w:r>
      <w:r w:rsidR="001F7ED5" w:rsidRPr="00FB3674">
        <w:t xml:space="preserve"> </w:t>
      </w:r>
      <w:r w:rsidRPr="00FB3674">
        <w:t>and</w:t>
      </w:r>
      <w:r w:rsidR="001F7ED5" w:rsidRPr="00FB3674">
        <w:t xml:space="preserve"> </w:t>
      </w:r>
      <w:r w:rsidRPr="00FB3674">
        <w:t>must</w:t>
      </w:r>
      <w:r w:rsidR="001F7ED5" w:rsidRPr="00FB3674">
        <w:t xml:space="preserve"> </w:t>
      </w:r>
      <w:r w:rsidRPr="00FB3674">
        <w:t>be</w:t>
      </w:r>
      <w:r w:rsidR="001F7ED5" w:rsidRPr="00FB3674">
        <w:t xml:space="preserve"> </w:t>
      </w:r>
      <w:r w:rsidRPr="00FB3674">
        <w:t>balanced</w:t>
      </w:r>
      <w:r w:rsidR="001F7ED5" w:rsidRPr="00FB3674">
        <w:t xml:space="preserve"> </w:t>
      </w:r>
      <w:r w:rsidRPr="00FB3674">
        <w:t>against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public</w:t>
      </w:r>
      <w:r w:rsidR="001F7ED5" w:rsidRPr="00FB3674">
        <w:t xml:space="preserve"> </w:t>
      </w:r>
      <w:r w:rsidRPr="00FB3674">
        <w:t>interest</w:t>
      </w:r>
      <w:r w:rsidR="001F7ED5" w:rsidRPr="00FB3674">
        <w:t xml:space="preserve"> </w:t>
      </w:r>
      <w:r w:rsidRPr="00FB3674">
        <w:t>and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need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protect</w:t>
      </w:r>
      <w:r w:rsidR="001F7ED5" w:rsidRPr="00FB3674">
        <w:t xml:space="preserve"> </w:t>
      </w:r>
      <w:r w:rsidRPr="00FB3674">
        <w:t>third</w:t>
      </w:r>
      <w:r w:rsidR="001F7ED5" w:rsidRPr="00FB3674">
        <w:t xml:space="preserve"> </w:t>
      </w:r>
      <w:r w:rsidRPr="00FB3674">
        <w:t>parties.</w:t>
      </w:r>
      <w:r w:rsidR="001F7ED5" w:rsidRPr="00FB3674">
        <w:t xml:space="preserve"> </w:t>
      </w:r>
      <w:r w:rsidRPr="00FB3674">
        <w:t>In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opinion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Supreme</w:t>
      </w:r>
      <w:r w:rsidR="001F7ED5" w:rsidRPr="00FB3674">
        <w:t xml:space="preserve"> </w:t>
      </w:r>
      <w:r w:rsidRPr="00FB3674">
        <w:t>Court,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author</w:t>
      </w:r>
      <w:r w:rsidR="00FB3674">
        <w:t>’</w:t>
      </w:r>
      <w:r w:rsidRPr="00FB3674">
        <w:t>s</w:t>
      </w:r>
      <w:r w:rsidR="001F7ED5" w:rsidRPr="00FB3674">
        <w:t xml:space="preserve"> </w:t>
      </w:r>
      <w:r w:rsidRPr="00FB3674">
        <w:t>case</w:t>
      </w:r>
      <w:r w:rsidR="001F7ED5" w:rsidRPr="00FB3674">
        <w:t xml:space="preserve"> </w:t>
      </w:r>
      <w:r w:rsidRPr="00FB3674">
        <w:t>involved</w:t>
      </w:r>
      <w:r w:rsidR="001F7ED5" w:rsidRPr="00FB3674">
        <w:t xml:space="preserve"> </w:t>
      </w:r>
      <w:r w:rsidRPr="00FB3674">
        <w:t>exactly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same</w:t>
      </w:r>
      <w:r w:rsidR="001F7ED5" w:rsidRPr="00FB3674">
        <w:t xml:space="preserve"> </w:t>
      </w:r>
      <w:r w:rsidRPr="00FB3674">
        <w:t>challenge</w:t>
      </w:r>
      <w:r w:rsidR="001F7ED5" w:rsidRPr="00FB3674">
        <w:t xml:space="preserve"> </w:t>
      </w:r>
      <w:r w:rsidRPr="00FB3674">
        <w:t>and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judiciary</w:t>
      </w:r>
      <w:r w:rsidR="001F7ED5" w:rsidRPr="00FB3674">
        <w:t xml:space="preserve"> </w:t>
      </w:r>
      <w:r w:rsidRPr="00FB3674">
        <w:t>was</w:t>
      </w:r>
      <w:r w:rsidR="001F7ED5" w:rsidRPr="00FB3674">
        <w:t xml:space="preserve"> </w:t>
      </w:r>
      <w:r w:rsidRPr="00FB3674">
        <w:t>obliged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restrict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right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disclosure.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Supreme</w:t>
      </w:r>
      <w:r w:rsidR="001F7ED5" w:rsidRPr="00FB3674">
        <w:t xml:space="preserve"> </w:t>
      </w:r>
      <w:r w:rsidRPr="00FB3674">
        <w:t>Court</w:t>
      </w:r>
      <w:r w:rsidR="001F7ED5" w:rsidRPr="00FB3674">
        <w:t xml:space="preserve"> </w:t>
      </w:r>
      <w:r w:rsidRPr="00FB3674">
        <w:t>also</w:t>
      </w:r>
      <w:r w:rsidR="001F7ED5" w:rsidRPr="00FB3674">
        <w:t xml:space="preserve"> </w:t>
      </w:r>
      <w:r w:rsidRPr="00FB3674">
        <w:t>considered</w:t>
      </w:r>
      <w:r w:rsidR="001F7ED5" w:rsidRPr="00FB3674">
        <w:t xml:space="preserve"> </w:t>
      </w:r>
      <w:r w:rsidRPr="00FB3674">
        <w:t>that,</w:t>
      </w:r>
      <w:r w:rsidR="001F7ED5" w:rsidRPr="00FB3674">
        <w:t xml:space="preserve"> </w:t>
      </w:r>
      <w:r w:rsidRPr="00FB3674">
        <w:t>despite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need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restrict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right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disclosure,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appellate</w:t>
      </w:r>
      <w:r w:rsidR="001F7ED5" w:rsidRPr="00FB3674">
        <w:t xml:space="preserve"> </w:t>
      </w:r>
      <w:r w:rsidRPr="00FB3674">
        <w:t>court</w:t>
      </w:r>
      <w:r w:rsidR="001F7ED5" w:rsidRPr="00FB3674">
        <w:t xml:space="preserve"> </w:t>
      </w:r>
      <w:r w:rsidRPr="00FB3674">
        <w:t>had</w:t>
      </w:r>
      <w:r w:rsidR="001F7ED5" w:rsidRPr="00FB3674">
        <w:t xml:space="preserve"> </w:t>
      </w:r>
      <w:r w:rsidRPr="00FB3674">
        <w:t>provided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necessary</w:t>
      </w:r>
      <w:r w:rsidR="001F7ED5" w:rsidRPr="00FB3674">
        <w:t xml:space="preserve"> </w:t>
      </w:r>
      <w:r w:rsidRPr="00FB3674">
        <w:t>safeguards,</w:t>
      </w:r>
      <w:r w:rsidR="001F7ED5" w:rsidRPr="00FB3674">
        <w:t xml:space="preserve"> </w:t>
      </w:r>
      <w:r w:rsidRPr="00FB3674">
        <w:t>as</w:t>
      </w:r>
      <w:r w:rsidR="001F7ED5" w:rsidRPr="00FB3674">
        <w:t xml:space="preserve"> </w:t>
      </w:r>
      <w:r w:rsidRPr="00FB3674">
        <w:t>it</w:t>
      </w:r>
      <w:r w:rsidR="001F7ED5" w:rsidRPr="00FB3674">
        <w:t xml:space="preserve"> </w:t>
      </w:r>
      <w:r w:rsidRPr="00FB3674">
        <w:t>had,</w:t>
      </w:r>
      <w:r w:rsidR="001F7ED5" w:rsidRPr="00FB3674">
        <w:t xml:space="preserve"> </w:t>
      </w:r>
      <w:r w:rsidRPr="00FB3674">
        <w:t>being</w:t>
      </w:r>
      <w:r w:rsidR="001F7ED5" w:rsidRPr="00FB3674">
        <w:t xml:space="preserve"> </w:t>
      </w:r>
      <w:r w:rsidRPr="00FB3674">
        <w:t>an</w:t>
      </w:r>
      <w:r w:rsidR="001F7ED5" w:rsidRPr="00FB3674">
        <w:t xml:space="preserve"> </w:t>
      </w:r>
      <w:r w:rsidRPr="00FB3674">
        <w:t>independent</w:t>
      </w:r>
      <w:r w:rsidR="001F7ED5" w:rsidRPr="00FB3674">
        <w:t xml:space="preserve"> </w:t>
      </w:r>
      <w:r w:rsidRPr="00FB3674">
        <w:t>and</w:t>
      </w:r>
      <w:r w:rsidR="001F7ED5" w:rsidRPr="00FB3674">
        <w:t xml:space="preserve"> </w:t>
      </w:r>
      <w:r w:rsidRPr="00FB3674">
        <w:t>impartial</w:t>
      </w:r>
      <w:r w:rsidR="001F7ED5" w:rsidRPr="00FB3674">
        <w:t xml:space="preserve"> </w:t>
      </w:r>
      <w:r w:rsidRPr="00FB3674">
        <w:t>tribunal,</w:t>
      </w:r>
      <w:r w:rsidR="001F7ED5" w:rsidRPr="00FB3674">
        <w:t xml:space="preserve"> </w:t>
      </w:r>
      <w:r w:rsidRPr="00FB3674">
        <w:t>duly</w:t>
      </w:r>
      <w:r w:rsidR="001F7ED5" w:rsidRPr="00FB3674">
        <w:t xml:space="preserve"> </w:t>
      </w:r>
      <w:r w:rsidRPr="00FB3674">
        <w:t>acquainted</w:t>
      </w:r>
      <w:r w:rsidR="001F7ED5" w:rsidRPr="00FB3674">
        <w:t xml:space="preserve"> </w:t>
      </w:r>
      <w:r w:rsidRPr="00FB3674">
        <w:t>itself</w:t>
      </w:r>
      <w:r w:rsidR="001F7ED5" w:rsidRPr="00FB3674">
        <w:t xml:space="preserve"> </w:t>
      </w:r>
      <w:r w:rsidRPr="00FB3674">
        <w:t>with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contents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disputed</w:t>
      </w:r>
      <w:r w:rsidR="001F7ED5" w:rsidRPr="00FB3674">
        <w:t xml:space="preserve"> </w:t>
      </w:r>
      <w:r w:rsidRPr="00FB3674">
        <w:t>case</w:t>
      </w:r>
      <w:r w:rsidR="001F7ED5" w:rsidRPr="00FB3674">
        <w:t xml:space="preserve"> </w:t>
      </w:r>
      <w:r w:rsidRPr="00FB3674">
        <w:t>files</w:t>
      </w:r>
      <w:r w:rsidR="001F7ED5" w:rsidRPr="00FB3674">
        <w:t xml:space="preserve"> </w:t>
      </w:r>
      <w:r w:rsidRPr="00FB3674">
        <w:t>before</w:t>
      </w:r>
      <w:r w:rsidR="001F7ED5" w:rsidRPr="00FB3674">
        <w:t xml:space="preserve"> </w:t>
      </w:r>
      <w:r w:rsidRPr="00FB3674">
        <w:t>ruling</w:t>
      </w:r>
      <w:r w:rsidR="001F7ED5" w:rsidRPr="00FB3674">
        <w:t xml:space="preserve"> </w:t>
      </w:r>
      <w:r w:rsidRPr="00FB3674">
        <w:t>out</w:t>
      </w:r>
      <w:r w:rsidR="001F7ED5" w:rsidRPr="00FB3674">
        <w:t xml:space="preserve"> </w:t>
      </w:r>
      <w:r w:rsidRPr="00FB3674">
        <w:t>their</w:t>
      </w:r>
      <w:r w:rsidR="001F7ED5" w:rsidRPr="00FB3674">
        <w:t xml:space="preserve"> </w:t>
      </w:r>
      <w:r w:rsidRPr="00FB3674">
        <w:t>disclosure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defence</w:t>
      </w:r>
      <w:r w:rsidR="001F7ED5" w:rsidRPr="00FB3674">
        <w:t xml:space="preserve"> </w:t>
      </w:r>
      <w:r w:rsidRPr="00FB3674">
        <w:t>and</w:t>
      </w:r>
      <w:r w:rsidR="001F7ED5" w:rsidRPr="00FB3674">
        <w:t xml:space="preserve"> </w:t>
      </w:r>
      <w:r w:rsidRPr="00FB3674">
        <w:t>thus</w:t>
      </w:r>
      <w:r w:rsidR="001F7ED5" w:rsidRPr="00FB3674">
        <w:t xml:space="preserve"> </w:t>
      </w:r>
      <w:r w:rsidRPr="00FB3674">
        <w:t>was</w:t>
      </w:r>
      <w:r w:rsidR="001F7ED5" w:rsidRPr="00FB3674">
        <w:t xml:space="preserve"> </w:t>
      </w:r>
      <w:r w:rsidRPr="00FB3674">
        <w:t>in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position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adopt</w:t>
      </w:r>
      <w:r w:rsidR="001F7ED5" w:rsidRPr="00FB3674">
        <w:t xml:space="preserve"> </w:t>
      </w:r>
      <w:r w:rsidRPr="00FB3674">
        <w:t>a</w:t>
      </w:r>
      <w:r w:rsidR="001F7ED5" w:rsidRPr="00FB3674">
        <w:t xml:space="preserve"> </w:t>
      </w:r>
      <w:r w:rsidRPr="00FB3674">
        <w:t>well-informed</w:t>
      </w:r>
      <w:r w:rsidR="001F7ED5" w:rsidRPr="00FB3674">
        <w:t xml:space="preserve"> </w:t>
      </w:r>
      <w:r w:rsidRPr="00FB3674">
        <w:t>decision.</w:t>
      </w:r>
    </w:p>
    <w:p w14:paraId="2F071824" w14:textId="7DE11453" w:rsidR="005D5882" w:rsidRPr="00FB3674" w:rsidRDefault="005D5882" w:rsidP="005D5882">
      <w:pPr>
        <w:pStyle w:val="SingleTxtG"/>
      </w:pPr>
      <w:r w:rsidRPr="00FB3674">
        <w:t>4.18</w:t>
      </w:r>
      <w:r w:rsidRPr="00FB3674">
        <w:tab/>
        <w:t>On</w:t>
      </w:r>
      <w:r w:rsidR="001F7ED5" w:rsidRPr="00FB3674">
        <w:t xml:space="preserve"> </w:t>
      </w:r>
      <w:r w:rsidRPr="00FB3674">
        <w:t>6</w:t>
      </w:r>
      <w:r w:rsidR="001F7ED5" w:rsidRPr="00FB3674">
        <w:t xml:space="preserve"> </w:t>
      </w:r>
      <w:r w:rsidRPr="00FB3674">
        <w:t>September</w:t>
      </w:r>
      <w:r w:rsidR="001F7ED5" w:rsidRPr="00FB3674">
        <w:t xml:space="preserve"> </w:t>
      </w:r>
      <w:r w:rsidRPr="00FB3674">
        <w:t>2016,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Committee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Ministers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Council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Europe</w:t>
      </w:r>
      <w:r w:rsidR="001F7ED5" w:rsidRPr="00FB3674">
        <w:t xml:space="preserve"> </w:t>
      </w:r>
      <w:r w:rsidRPr="00FB3674">
        <w:t>concluded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all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measures</w:t>
      </w:r>
      <w:r w:rsidR="001F7ED5" w:rsidRPr="00FB3674">
        <w:t xml:space="preserve"> </w:t>
      </w:r>
      <w:r w:rsidRPr="00FB3674">
        <w:t>required</w:t>
      </w:r>
      <w:r w:rsidR="001F7ED5" w:rsidRPr="00FB3674">
        <w:t xml:space="preserve"> </w:t>
      </w:r>
      <w:r w:rsidRPr="00FB3674">
        <w:t>for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execution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judgment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European</w:t>
      </w:r>
      <w:r w:rsidR="001F7ED5" w:rsidRPr="00FB3674">
        <w:t xml:space="preserve"> </w:t>
      </w:r>
      <w:r w:rsidRPr="00FB3674">
        <w:t>Court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lastRenderedPageBreak/>
        <w:t>Human</w:t>
      </w:r>
      <w:r w:rsidR="001F7ED5" w:rsidRPr="00FB3674">
        <w:t xml:space="preserve"> </w:t>
      </w:r>
      <w:r w:rsidRPr="00FB3674">
        <w:t>Rights</w:t>
      </w:r>
      <w:r w:rsidR="001F7ED5" w:rsidRPr="00FB3674">
        <w:t xml:space="preserve"> </w:t>
      </w:r>
      <w:r w:rsidRPr="00FB3674">
        <w:t>had</w:t>
      </w:r>
      <w:r w:rsidR="001F7ED5" w:rsidRPr="00FB3674">
        <w:t xml:space="preserve"> </w:t>
      </w:r>
      <w:r w:rsidRPr="00FB3674">
        <w:t>been</w:t>
      </w:r>
      <w:r w:rsidR="001F7ED5" w:rsidRPr="00FB3674">
        <w:t xml:space="preserve"> </w:t>
      </w:r>
      <w:r w:rsidRPr="00FB3674">
        <w:t>implemented</w:t>
      </w:r>
      <w:r w:rsidR="001F7ED5" w:rsidRPr="00FB3674">
        <w:t xml:space="preserve"> </w:t>
      </w:r>
      <w:r w:rsidRPr="00FB3674">
        <w:t>and</w:t>
      </w:r>
      <w:r w:rsidR="001F7ED5" w:rsidRPr="00FB3674">
        <w:t xml:space="preserve"> </w:t>
      </w:r>
      <w:r w:rsidRPr="00FB3674">
        <w:t>decided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close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examination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rPr>
          <w:i/>
          <w:iCs/>
        </w:rPr>
        <w:t>Baltiņš</w:t>
      </w:r>
      <w:r w:rsidR="001F7ED5" w:rsidRPr="00FB3674">
        <w:rPr>
          <w:i/>
          <w:iCs/>
        </w:rPr>
        <w:t xml:space="preserve"> </w:t>
      </w:r>
      <w:r w:rsidRPr="00FB3674">
        <w:rPr>
          <w:i/>
          <w:iCs/>
        </w:rPr>
        <w:t>v.</w:t>
      </w:r>
      <w:r w:rsidR="001F7ED5" w:rsidRPr="00FB3674">
        <w:rPr>
          <w:i/>
          <w:iCs/>
        </w:rPr>
        <w:t xml:space="preserve"> </w:t>
      </w:r>
      <w:r w:rsidRPr="00FB3674">
        <w:rPr>
          <w:i/>
          <w:iCs/>
        </w:rPr>
        <w:t>Latvia</w:t>
      </w:r>
      <w:r w:rsidRPr="00FB3674">
        <w:t>.</w:t>
      </w:r>
      <w:r w:rsidRPr="00FB3674">
        <w:rPr>
          <w:rStyle w:val="FootnoteReference"/>
        </w:rPr>
        <w:footnoteReference w:id="5"/>
      </w:r>
    </w:p>
    <w:p w14:paraId="7D9F9F2D" w14:textId="20D4EFE6" w:rsidR="001F7ED5" w:rsidRPr="00FB3674" w:rsidRDefault="005D5882" w:rsidP="005D5882">
      <w:pPr>
        <w:pStyle w:val="SingleTxtG"/>
      </w:pPr>
      <w:r w:rsidRPr="00FB3674">
        <w:t>4.19</w:t>
      </w:r>
      <w:r w:rsidRPr="00FB3674">
        <w:tab/>
        <w:t>The</w:t>
      </w:r>
      <w:r w:rsidR="001F7ED5" w:rsidRPr="00FB3674">
        <w:t xml:space="preserve"> </w:t>
      </w:r>
      <w:r w:rsidRPr="00FB3674">
        <w:t>State</w:t>
      </w:r>
      <w:r w:rsidR="001F7ED5" w:rsidRPr="00FB3674">
        <w:t xml:space="preserve"> </w:t>
      </w:r>
      <w:r w:rsidRPr="00FB3674">
        <w:t>party</w:t>
      </w:r>
      <w:r w:rsidR="001F7ED5" w:rsidRPr="00FB3674">
        <w:t xml:space="preserve"> </w:t>
      </w:r>
      <w:r w:rsidRPr="00FB3674">
        <w:t>observes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author</w:t>
      </w:r>
      <w:r w:rsidR="00FB3674">
        <w:t>’</w:t>
      </w:r>
      <w:r w:rsidRPr="00FB3674">
        <w:t>s</w:t>
      </w:r>
      <w:r w:rsidR="001F7ED5" w:rsidRPr="00FB3674">
        <w:t xml:space="preserve"> </w:t>
      </w:r>
      <w:r w:rsidRPr="00FB3674">
        <w:t>repeated</w:t>
      </w:r>
      <w:r w:rsidR="001F7ED5" w:rsidRPr="00FB3674">
        <w:t xml:space="preserve"> </w:t>
      </w:r>
      <w:r w:rsidRPr="00FB3674">
        <w:t>allegations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he</w:t>
      </w:r>
      <w:r w:rsidR="001F7ED5" w:rsidRPr="00FB3674">
        <w:t xml:space="preserve"> </w:t>
      </w:r>
      <w:r w:rsidRPr="00FB3674">
        <w:t>was</w:t>
      </w:r>
      <w:r w:rsidR="001F7ED5" w:rsidRPr="00FB3674">
        <w:t xml:space="preserve"> </w:t>
      </w:r>
      <w:r w:rsidRPr="00FB3674">
        <w:t>incited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commit</w:t>
      </w:r>
      <w:r w:rsidR="001F7ED5" w:rsidRPr="00FB3674">
        <w:t xml:space="preserve"> </w:t>
      </w:r>
      <w:r w:rsidRPr="00FB3674">
        <w:t>a</w:t>
      </w:r>
      <w:r w:rsidR="001F7ED5" w:rsidRPr="00FB3674">
        <w:t xml:space="preserve"> </w:t>
      </w:r>
      <w:r w:rsidRPr="00FB3674">
        <w:t>criminal</w:t>
      </w:r>
      <w:r w:rsidR="001F7ED5" w:rsidRPr="00FB3674">
        <w:t xml:space="preserve"> </w:t>
      </w:r>
      <w:r w:rsidRPr="00FB3674">
        <w:t>offence</w:t>
      </w:r>
      <w:r w:rsidR="001F7ED5" w:rsidRPr="00FB3674">
        <w:t xml:space="preserve"> </w:t>
      </w:r>
      <w:r w:rsidRPr="00FB3674">
        <w:t>are</w:t>
      </w:r>
      <w:r w:rsidR="001F7ED5" w:rsidRPr="00FB3674">
        <w:t xml:space="preserve"> </w:t>
      </w:r>
      <w:r w:rsidRPr="00FB3674">
        <w:t>incompatible</w:t>
      </w:r>
      <w:r w:rsidR="001F7ED5" w:rsidRPr="00FB3674">
        <w:t xml:space="preserve"> </w:t>
      </w:r>
      <w:r w:rsidRPr="00FB3674">
        <w:t>with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Covenant,</w:t>
      </w:r>
      <w:r w:rsidR="001F7ED5" w:rsidRPr="00FB3674">
        <w:t xml:space="preserve"> </w:t>
      </w:r>
      <w:r w:rsidRPr="00FB3674">
        <w:t>as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author</w:t>
      </w:r>
      <w:r w:rsidR="001F7ED5" w:rsidRPr="00FB3674">
        <w:t xml:space="preserve"> </w:t>
      </w:r>
      <w:r w:rsidRPr="00FB3674">
        <w:t>has</w:t>
      </w:r>
      <w:r w:rsidR="001F7ED5" w:rsidRPr="00FB3674">
        <w:t xml:space="preserve"> </w:t>
      </w:r>
      <w:r w:rsidRPr="00FB3674">
        <w:t>failed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substantiate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alleged</w:t>
      </w:r>
      <w:r w:rsidR="001F7ED5" w:rsidRPr="00FB3674">
        <w:t xml:space="preserve"> </w:t>
      </w:r>
      <w:r w:rsidRPr="00FB3674">
        <w:t>violation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article</w:t>
      </w:r>
      <w:r w:rsidR="001F7ED5" w:rsidRPr="00FB3674">
        <w:t xml:space="preserve"> </w:t>
      </w:r>
      <w:r w:rsidRPr="00FB3674">
        <w:t>14</w:t>
      </w:r>
      <w:r w:rsidR="001F7ED5" w:rsidRPr="00FB3674">
        <w:t xml:space="preserve"> </w:t>
      </w:r>
      <w:r w:rsidRPr="00FB3674">
        <w:t>(1).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State</w:t>
      </w:r>
      <w:r w:rsidR="001F7ED5" w:rsidRPr="00FB3674">
        <w:t xml:space="preserve"> </w:t>
      </w:r>
      <w:r w:rsidRPr="00FB3674">
        <w:t>party</w:t>
      </w:r>
      <w:r w:rsidR="001F7ED5" w:rsidRPr="00FB3674">
        <w:t xml:space="preserve"> </w:t>
      </w:r>
      <w:r w:rsidRPr="00FB3674">
        <w:t>recalls</w:t>
      </w:r>
      <w:r w:rsidR="001F7ED5" w:rsidRPr="00FB3674">
        <w:t xml:space="preserve"> </w:t>
      </w:r>
      <w:r w:rsidRPr="00FB3674">
        <w:t>that,</w:t>
      </w:r>
      <w:r w:rsidR="001F7ED5" w:rsidRPr="00FB3674">
        <w:t xml:space="preserve"> </w:t>
      </w:r>
      <w:r w:rsidRPr="00FB3674">
        <w:t>according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its</w:t>
      </w:r>
      <w:r w:rsidR="001F7ED5" w:rsidRPr="00FB3674">
        <w:t xml:space="preserve"> </w:t>
      </w:r>
      <w:r w:rsidRPr="00FB3674">
        <w:t>well-established</w:t>
      </w:r>
      <w:r w:rsidR="001F7ED5" w:rsidRPr="00FB3674">
        <w:t xml:space="preserve"> </w:t>
      </w:r>
      <w:r w:rsidRPr="00FB3674">
        <w:t>jurisprudence,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Committee</w:t>
      </w:r>
      <w:r w:rsidR="001F7ED5" w:rsidRPr="00FB3674">
        <w:t xml:space="preserve"> </w:t>
      </w:r>
      <w:r w:rsidRPr="00FB3674">
        <w:t>cannot</w:t>
      </w:r>
      <w:r w:rsidR="001F7ED5" w:rsidRPr="00FB3674">
        <w:t xml:space="preserve"> </w:t>
      </w:r>
      <w:r w:rsidRPr="00FB3674">
        <w:t>act</w:t>
      </w:r>
      <w:r w:rsidR="001F7ED5" w:rsidRPr="00FB3674">
        <w:t xml:space="preserve"> </w:t>
      </w:r>
      <w:r w:rsidRPr="00FB3674">
        <w:t>as</w:t>
      </w:r>
      <w:r w:rsidR="001F7ED5" w:rsidRPr="00FB3674">
        <w:t xml:space="preserve"> </w:t>
      </w:r>
      <w:r w:rsidRPr="00FB3674">
        <w:t>a</w:t>
      </w:r>
      <w:r w:rsidR="001F7ED5" w:rsidRPr="00FB3674">
        <w:t xml:space="preserve"> </w:t>
      </w:r>
      <w:r w:rsidR="002E7C71">
        <w:t>“</w:t>
      </w:r>
      <w:r w:rsidRPr="00FB3674">
        <w:t>fourth</w:t>
      </w:r>
      <w:r w:rsidR="001F7ED5" w:rsidRPr="00FB3674">
        <w:t xml:space="preserve"> </w:t>
      </w:r>
      <w:r w:rsidRPr="00FB3674">
        <w:t>instance</w:t>
      </w:r>
      <w:r w:rsidR="002E7C71">
        <w:t>”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re-assess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findings</w:t>
      </w:r>
      <w:r w:rsidR="001F7ED5" w:rsidRPr="00FB3674">
        <w:t xml:space="preserve"> </w:t>
      </w:r>
      <w:r w:rsidRPr="00FB3674">
        <w:t>made</w:t>
      </w:r>
      <w:r w:rsidR="001F7ED5" w:rsidRPr="00FB3674">
        <w:t xml:space="preserve"> </w:t>
      </w:r>
      <w:r w:rsidRPr="00FB3674">
        <w:t>by</w:t>
      </w:r>
      <w:r w:rsidR="001F7ED5" w:rsidRPr="00FB3674">
        <w:t xml:space="preserve"> </w:t>
      </w:r>
      <w:r w:rsidRPr="00FB3674">
        <w:t>competent</w:t>
      </w:r>
      <w:r w:rsidR="001F7ED5" w:rsidRPr="00FB3674">
        <w:t xml:space="preserve"> </w:t>
      </w:r>
      <w:r w:rsidRPr="00FB3674">
        <w:t>and</w:t>
      </w:r>
      <w:r w:rsidR="001F7ED5" w:rsidRPr="00FB3674">
        <w:t xml:space="preserve"> </w:t>
      </w:r>
      <w:r w:rsidRPr="00FB3674">
        <w:t>impartial</w:t>
      </w:r>
      <w:r w:rsidR="001F7ED5" w:rsidRPr="00FB3674">
        <w:t xml:space="preserve"> </w:t>
      </w:r>
      <w:r w:rsidRPr="00FB3674">
        <w:t>domestic</w:t>
      </w:r>
      <w:r w:rsidR="001F7ED5" w:rsidRPr="00FB3674">
        <w:t xml:space="preserve"> </w:t>
      </w:r>
      <w:r w:rsidRPr="00FB3674">
        <w:t>judicial</w:t>
      </w:r>
      <w:r w:rsidR="001F7ED5" w:rsidRPr="00FB3674">
        <w:t xml:space="preserve"> </w:t>
      </w:r>
      <w:r w:rsidRPr="00FB3674">
        <w:t>instances,</w:t>
      </w:r>
      <w:r w:rsidRPr="00FB3674">
        <w:rPr>
          <w:rStyle w:val="FootnoteReference"/>
        </w:rPr>
        <w:footnoteReference w:id="6"/>
      </w:r>
      <w:r w:rsidR="001F7ED5" w:rsidRPr="00FB3674">
        <w:t xml:space="preserve"> </w:t>
      </w:r>
      <w:r w:rsidRPr="00FB3674">
        <w:t>and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it</w:t>
      </w:r>
      <w:r w:rsidR="001F7ED5" w:rsidRPr="00FB3674">
        <w:t xml:space="preserve"> </w:t>
      </w:r>
      <w:r w:rsidRPr="00FB3674">
        <w:t>is</w:t>
      </w:r>
      <w:r w:rsidR="001F7ED5" w:rsidRPr="00FB3674">
        <w:t xml:space="preserve"> </w:t>
      </w:r>
      <w:r w:rsidRPr="00FB3674">
        <w:t>generally</w:t>
      </w:r>
      <w:r w:rsidR="001F7ED5" w:rsidRPr="00FB3674">
        <w:t xml:space="preserve"> </w:t>
      </w:r>
      <w:r w:rsidRPr="00FB3674">
        <w:t>for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courts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States</w:t>
      </w:r>
      <w:r w:rsidR="001F7ED5" w:rsidRPr="00FB3674">
        <w:t xml:space="preserve"> </w:t>
      </w:r>
      <w:r w:rsidRPr="00FB3674">
        <w:t>parties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Covenant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review</w:t>
      </w:r>
      <w:r w:rsidR="001F7ED5" w:rsidRPr="00FB3674">
        <w:t xml:space="preserve"> </w:t>
      </w:r>
      <w:r w:rsidRPr="00FB3674">
        <w:t>facts</w:t>
      </w:r>
      <w:r w:rsidR="001F7ED5" w:rsidRPr="00FB3674">
        <w:t xml:space="preserve"> </w:t>
      </w:r>
      <w:r w:rsidRPr="00FB3674">
        <w:t>and</w:t>
      </w:r>
      <w:r w:rsidR="001F7ED5" w:rsidRPr="00FB3674">
        <w:t xml:space="preserve"> </w:t>
      </w:r>
      <w:r w:rsidRPr="00FB3674">
        <w:t>evidence,</w:t>
      </w:r>
      <w:r w:rsidR="001F7ED5" w:rsidRPr="00FB3674">
        <w:t xml:space="preserve"> </w:t>
      </w:r>
      <w:r w:rsidRPr="00FB3674">
        <w:t>or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application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domestic</w:t>
      </w:r>
      <w:r w:rsidR="001F7ED5" w:rsidRPr="00FB3674">
        <w:t xml:space="preserve"> </w:t>
      </w:r>
      <w:r w:rsidRPr="00FB3674">
        <w:t>legislation.</w:t>
      </w:r>
      <w:r w:rsidRPr="00FB3674">
        <w:rPr>
          <w:rStyle w:val="FootnoteReference"/>
        </w:rPr>
        <w:footnoteReference w:id="7"/>
      </w:r>
      <w:r w:rsidR="001F7ED5" w:rsidRPr="00FB3674">
        <w:t xml:space="preserve"> </w:t>
      </w:r>
      <w:r w:rsidRPr="00FB3674">
        <w:t>In</w:t>
      </w:r>
      <w:r w:rsidR="001F7ED5" w:rsidRPr="00FB3674">
        <w:t xml:space="preserve"> </w:t>
      </w:r>
      <w:r w:rsidRPr="00FB3674">
        <w:t>this</w:t>
      </w:r>
      <w:r w:rsidR="001F7ED5" w:rsidRPr="00FB3674">
        <w:t xml:space="preserve"> </w:t>
      </w:r>
      <w:r w:rsidRPr="00FB3674">
        <w:t>context,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State</w:t>
      </w:r>
      <w:r w:rsidR="001F7ED5" w:rsidRPr="00FB3674">
        <w:t xml:space="preserve"> </w:t>
      </w:r>
      <w:r w:rsidRPr="00FB3674">
        <w:t>party</w:t>
      </w:r>
      <w:r w:rsidR="001F7ED5" w:rsidRPr="00FB3674">
        <w:t xml:space="preserve"> </w:t>
      </w:r>
      <w:r w:rsidRPr="00FB3674">
        <w:t>asserts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neither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exception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arbitrariness,</w:t>
      </w:r>
      <w:r w:rsidR="001F7ED5" w:rsidRPr="00FB3674">
        <w:t xml:space="preserve"> </w:t>
      </w:r>
      <w:r w:rsidRPr="00FB3674">
        <w:t>nor</w:t>
      </w:r>
      <w:r w:rsidR="001F7ED5" w:rsidRPr="00FB3674">
        <w:t xml:space="preserve"> </w:t>
      </w:r>
      <w:r w:rsidRPr="00FB3674">
        <w:t>a</w:t>
      </w:r>
      <w:r w:rsidR="001F7ED5" w:rsidRPr="00FB3674">
        <w:t xml:space="preserve"> </w:t>
      </w:r>
      <w:r w:rsidRPr="00FB3674">
        <w:t>denial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justice</w:t>
      </w:r>
      <w:r w:rsidR="001F7ED5" w:rsidRPr="00FB3674">
        <w:t xml:space="preserve"> </w:t>
      </w:r>
      <w:r w:rsidRPr="00FB3674">
        <w:t>is</w:t>
      </w:r>
      <w:r w:rsidR="001F7ED5" w:rsidRPr="00FB3674">
        <w:t xml:space="preserve"> </w:t>
      </w:r>
      <w:r w:rsidRPr="00FB3674">
        <w:t>applicable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author</w:t>
      </w:r>
      <w:r w:rsidR="00FB3674">
        <w:t>’</w:t>
      </w:r>
      <w:r w:rsidRPr="00FB3674">
        <w:t>s</w:t>
      </w:r>
      <w:r w:rsidR="001F7ED5" w:rsidRPr="00FB3674">
        <w:t xml:space="preserve"> </w:t>
      </w:r>
      <w:r w:rsidRPr="00FB3674">
        <w:t>case.</w:t>
      </w:r>
    </w:p>
    <w:p w14:paraId="37D860D6" w14:textId="5C474182" w:rsidR="005D5882" w:rsidRPr="00FB3674" w:rsidRDefault="005D5882" w:rsidP="005D5882">
      <w:pPr>
        <w:pStyle w:val="SingleTxtG"/>
      </w:pPr>
      <w:r w:rsidRPr="00FB3674">
        <w:t>4.20</w:t>
      </w:r>
      <w:r w:rsidRPr="00FB3674">
        <w:tab/>
        <w:t>Referring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author</w:t>
      </w:r>
      <w:r w:rsidR="00FB3674">
        <w:t>’</w:t>
      </w:r>
      <w:r w:rsidRPr="00FB3674">
        <w:t>s</w:t>
      </w:r>
      <w:r w:rsidR="001F7ED5" w:rsidRPr="00FB3674">
        <w:t xml:space="preserve"> </w:t>
      </w:r>
      <w:r w:rsidRPr="00FB3674">
        <w:t>statements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undercover</w:t>
      </w:r>
      <w:r w:rsidR="001F7ED5" w:rsidRPr="00FB3674">
        <w:t xml:space="preserve"> </w:t>
      </w:r>
      <w:r w:rsidRPr="00FB3674">
        <w:t>police</w:t>
      </w:r>
      <w:r w:rsidR="001F7ED5" w:rsidRPr="00FB3674">
        <w:t xml:space="preserve"> </w:t>
      </w:r>
      <w:r w:rsidRPr="00FB3674">
        <w:t>agent</w:t>
      </w:r>
      <w:r w:rsidR="001F7ED5" w:rsidRPr="00FB3674">
        <w:t xml:space="preserve"> </w:t>
      </w:r>
      <w:r w:rsidRPr="00FB3674">
        <w:t>had</w:t>
      </w:r>
      <w:r w:rsidR="001F7ED5" w:rsidRPr="00FB3674">
        <w:t xml:space="preserve"> </w:t>
      </w:r>
      <w:r w:rsidRPr="00FB3674">
        <w:t>not</w:t>
      </w:r>
      <w:r w:rsidR="001F7ED5" w:rsidRPr="00FB3674">
        <w:t xml:space="preserve"> </w:t>
      </w:r>
      <w:r w:rsidRPr="00FB3674">
        <w:t>intercepted</w:t>
      </w:r>
      <w:r w:rsidR="001F7ED5" w:rsidRPr="00FB3674">
        <w:t xml:space="preserve"> </w:t>
      </w:r>
      <w:r w:rsidRPr="00FB3674">
        <w:t>an</w:t>
      </w:r>
      <w:r w:rsidR="001F7ED5" w:rsidRPr="00FB3674">
        <w:t xml:space="preserve"> </w:t>
      </w:r>
      <w:r w:rsidRPr="00FB3674">
        <w:t>ongoing</w:t>
      </w:r>
      <w:r w:rsidR="001F7ED5" w:rsidRPr="00FB3674">
        <w:t xml:space="preserve"> </w:t>
      </w:r>
      <w:r w:rsidRPr="00FB3674">
        <w:t>criminal</w:t>
      </w:r>
      <w:r w:rsidR="001F7ED5" w:rsidRPr="00FB3674">
        <w:t xml:space="preserve"> </w:t>
      </w:r>
      <w:r w:rsidRPr="00FB3674">
        <w:t>activity</w:t>
      </w:r>
      <w:r w:rsidR="001F7ED5" w:rsidRPr="00FB3674">
        <w:t xml:space="preserve"> </w:t>
      </w:r>
      <w:r w:rsidRPr="00FB3674">
        <w:t>but</w:t>
      </w:r>
      <w:r w:rsidR="001F7ED5" w:rsidRPr="00FB3674">
        <w:t xml:space="preserve"> </w:t>
      </w:r>
      <w:r w:rsidRPr="00FB3674">
        <w:t>had</w:t>
      </w:r>
      <w:r w:rsidR="001F7ED5" w:rsidRPr="00FB3674">
        <w:t xml:space="preserve"> </w:t>
      </w:r>
      <w:r w:rsidRPr="00FB3674">
        <w:t>initiated</w:t>
      </w:r>
      <w:r w:rsidR="001F7ED5" w:rsidRPr="00FB3674">
        <w:t xml:space="preserve"> </w:t>
      </w:r>
      <w:r w:rsidRPr="00FB3674">
        <w:t>it</w:t>
      </w:r>
      <w:r w:rsidR="001F7ED5" w:rsidRPr="00FB3674">
        <w:t xml:space="preserve"> </w:t>
      </w:r>
      <w:r w:rsidRPr="00FB3674">
        <w:t>himself</w:t>
      </w:r>
      <w:r w:rsidR="001F7ED5" w:rsidRPr="00FB3674">
        <w:t xml:space="preserve"> </w:t>
      </w:r>
      <w:r w:rsidRPr="00FB3674">
        <w:t>by</w:t>
      </w:r>
      <w:r w:rsidR="001F7ED5" w:rsidRPr="00FB3674">
        <w:t xml:space="preserve"> </w:t>
      </w:r>
      <w:r w:rsidRPr="00FB3674">
        <w:t>sending</w:t>
      </w:r>
      <w:r w:rsidR="001F7ED5" w:rsidRPr="00FB3674">
        <w:t xml:space="preserve"> </w:t>
      </w:r>
      <w:r w:rsidRPr="00FB3674">
        <w:t>text</w:t>
      </w:r>
      <w:r w:rsidR="001F7ED5" w:rsidRPr="00FB3674">
        <w:t xml:space="preserve"> </w:t>
      </w:r>
      <w:r w:rsidRPr="00FB3674">
        <w:t>messages</w:t>
      </w:r>
      <w:r w:rsidR="001F7ED5" w:rsidRPr="00FB3674">
        <w:t xml:space="preserve"> </w:t>
      </w:r>
      <w:r w:rsidRPr="00FB3674">
        <w:t>and</w:t>
      </w:r>
      <w:r w:rsidR="001F7ED5" w:rsidRPr="00FB3674">
        <w:t xml:space="preserve"> </w:t>
      </w:r>
      <w:r w:rsidRPr="00FB3674">
        <w:t>bringing</w:t>
      </w:r>
      <w:r w:rsidR="001F7ED5" w:rsidRPr="00FB3674">
        <w:t xml:space="preserve"> </w:t>
      </w:r>
      <w:r w:rsidRPr="00FB3674">
        <w:t>about</w:t>
      </w:r>
      <w:r w:rsidR="001F7ED5" w:rsidRPr="00FB3674">
        <w:t xml:space="preserve"> </w:t>
      </w:r>
      <w:r w:rsidRPr="00FB3674">
        <w:t>a</w:t>
      </w:r>
      <w:r w:rsidR="001F7ED5" w:rsidRPr="00FB3674">
        <w:t xml:space="preserve"> </w:t>
      </w:r>
      <w:r w:rsidRPr="00FB3674">
        <w:t>supposedly</w:t>
      </w:r>
      <w:r w:rsidR="001F7ED5" w:rsidRPr="00FB3674">
        <w:t xml:space="preserve"> </w:t>
      </w:r>
      <w:r w:rsidRPr="00FB3674">
        <w:t>accidental</w:t>
      </w:r>
      <w:r w:rsidR="001F7ED5" w:rsidRPr="00FB3674">
        <w:t xml:space="preserve"> </w:t>
      </w:r>
      <w:r w:rsidRPr="00FB3674">
        <w:t>meeting,</w:t>
      </w:r>
      <w:r w:rsidR="001F7ED5" w:rsidRPr="00FB3674">
        <w:t xml:space="preserve"> </w:t>
      </w:r>
      <w:r w:rsidRPr="00FB3674">
        <w:t>thus</w:t>
      </w:r>
      <w:r w:rsidR="001F7ED5" w:rsidRPr="00FB3674">
        <w:t xml:space="preserve"> </w:t>
      </w:r>
      <w:r w:rsidRPr="00FB3674">
        <w:t>repeatedly</w:t>
      </w:r>
      <w:r w:rsidR="001F7ED5" w:rsidRPr="00FB3674">
        <w:t xml:space="preserve"> </w:t>
      </w:r>
      <w:r w:rsidRPr="00FB3674">
        <w:t>encouraging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author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supply</w:t>
      </w:r>
      <w:r w:rsidR="001F7ED5" w:rsidRPr="00FB3674">
        <w:t xml:space="preserve"> </w:t>
      </w:r>
      <w:r w:rsidRPr="00FB3674">
        <w:t>him</w:t>
      </w:r>
      <w:r w:rsidR="001F7ED5" w:rsidRPr="00FB3674">
        <w:t xml:space="preserve"> </w:t>
      </w:r>
      <w:r w:rsidRPr="00FB3674">
        <w:t>with</w:t>
      </w:r>
      <w:r w:rsidR="001F7ED5" w:rsidRPr="00FB3674">
        <w:t xml:space="preserve"> </w:t>
      </w:r>
      <w:r w:rsidRPr="00FB3674">
        <w:t>drugs,</w:t>
      </w:r>
      <w:r w:rsidR="001F7ED5" w:rsidRPr="00FB3674">
        <w:t xml:space="preserve"> </w:t>
      </w:r>
      <w:r w:rsidRPr="00FB3674">
        <w:t>and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undercover</w:t>
      </w:r>
      <w:r w:rsidR="001F7ED5" w:rsidRPr="00FB3674">
        <w:t xml:space="preserve"> </w:t>
      </w:r>
      <w:r w:rsidRPr="00FB3674">
        <w:t>police</w:t>
      </w:r>
      <w:r w:rsidR="001F7ED5" w:rsidRPr="00FB3674">
        <w:t xml:space="preserve"> </w:t>
      </w:r>
      <w:r w:rsidRPr="00FB3674">
        <w:t>agent</w:t>
      </w:r>
      <w:r w:rsidR="001F7ED5" w:rsidRPr="00FB3674">
        <w:t xml:space="preserve"> </w:t>
      </w:r>
      <w:r w:rsidRPr="00FB3674">
        <w:t>had</w:t>
      </w:r>
      <w:r w:rsidR="001F7ED5" w:rsidRPr="00FB3674">
        <w:t xml:space="preserve"> </w:t>
      </w:r>
      <w:r w:rsidRPr="00FB3674">
        <w:t>not</w:t>
      </w:r>
      <w:r w:rsidR="001F7ED5" w:rsidRPr="00FB3674">
        <w:t xml:space="preserve"> </w:t>
      </w:r>
      <w:r w:rsidRPr="00FB3674">
        <w:t>acted</w:t>
      </w:r>
      <w:r w:rsidR="001F7ED5" w:rsidRPr="00FB3674">
        <w:t xml:space="preserve"> </w:t>
      </w:r>
      <w:r w:rsidRPr="00FB3674">
        <w:t>in</w:t>
      </w:r>
      <w:r w:rsidR="001F7ED5" w:rsidRPr="00FB3674">
        <w:t xml:space="preserve"> </w:t>
      </w:r>
      <w:r w:rsidRPr="00FB3674">
        <w:t>a</w:t>
      </w:r>
      <w:r w:rsidR="001F7ED5" w:rsidRPr="00FB3674">
        <w:t xml:space="preserve"> </w:t>
      </w:r>
      <w:r w:rsidRPr="00FB3674">
        <w:t>passive</w:t>
      </w:r>
      <w:r w:rsidR="001F7ED5" w:rsidRPr="00FB3674">
        <w:t xml:space="preserve"> </w:t>
      </w:r>
      <w:r w:rsidRPr="00FB3674">
        <w:t>manner</w:t>
      </w:r>
      <w:r w:rsidR="001F7ED5" w:rsidRPr="00FB3674">
        <w:t xml:space="preserve"> </w:t>
      </w:r>
      <w:r w:rsidRPr="00FB3674">
        <w:t>but,</w:t>
      </w:r>
      <w:r w:rsidR="001F7ED5" w:rsidRPr="00FB3674">
        <w:t xml:space="preserve"> </w:t>
      </w:r>
      <w:r w:rsidRPr="00FB3674">
        <w:t>rather,</w:t>
      </w:r>
      <w:r w:rsidR="001F7ED5" w:rsidRPr="00FB3674">
        <w:t xml:space="preserve"> </w:t>
      </w:r>
      <w:r w:rsidRPr="00FB3674">
        <w:t>had</w:t>
      </w:r>
      <w:r w:rsidR="001F7ED5" w:rsidRPr="00FB3674">
        <w:t xml:space="preserve"> </w:t>
      </w:r>
      <w:r w:rsidRPr="00FB3674">
        <w:t>incited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author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commit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offence,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State</w:t>
      </w:r>
      <w:r w:rsidR="001F7ED5" w:rsidRPr="00FB3674">
        <w:t xml:space="preserve"> </w:t>
      </w:r>
      <w:r w:rsidRPr="00FB3674">
        <w:t>party</w:t>
      </w:r>
      <w:r w:rsidR="001F7ED5" w:rsidRPr="00FB3674">
        <w:t xml:space="preserve"> </w:t>
      </w:r>
      <w:r w:rsidRPr="00FB3674">
        <w:t>observes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by</w:t>
      </w:r>
      <w:r w:rsidR="001F7ED5" w:rsidRPr="00FB3674">
        <w:t xml:space="preserve"> </w:t>
      </w:r>
      <w:r w:rsidRPr="00FB3674">
        <w:t>doing</w:t>
      </w:r>
      <w:r w:rsidR="001F7ED5" w:rsidRPr="00FB3674">
        <w:t xml:space="preserve"> </w:t>
      </w:r>
      <w:r w:rsidRPr="00FB3674">
        <w:t>this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author</w:t>
      </w:r>
      <w:r w:rsidR="001F7ED5" w:rsidRPr="00FB3674">
        <w:t xml:space="preserve"> </w:t>
      </w:r>
      <w:r w:rsidRPr="00FB3674">
        <w:t>is</w:t>
      </w:r>
      <w:r w:rsidR="001F7ED5" w:rsidRPr="00FB3674">
        <w:t xml:space="preserve"> </w:t>
      </w:r>
      <w:r w:rsidRPr="00FB3674">
        <w:t>seeking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have</w:t>
      </w:r>
      <w:r w:rsidR="001F7ED5" w:rsidRPr="00FB3674">
        <w:t xml:space="preserve"> </w:t>
      </w:r>
      <w:r w:rsidRPr="00FB3674">
        <w:t>facts</w:t>
      </w:r>
      <w:r w:rsidR="001F7ED5" w:rsidRPr="00FB3674">
        <w:t xml:space="preserve"> </w:t>
      </w:r>
      <w:r w:rsidRPr="00FB3674">
        <w:t>and</w:t>
      </w:r>
      <w:r w:rsidR="001F7ED5" w:rsidRPr="00FB3674">
        <w:t xml:space="preserve"> </w:t>
      </w:r>
      <w:r w:rsidRPr="00FB3674">
        <w:t>evidence</w:t>
      </w:r>
      <w:r w:rsidR="001F7ED5" w:rsidRPr="00FB3674">
        <w:t xml:space="preserve"> </w:t>
      </w:r>
      <w:r w:rsidRPr="00FB3674">
        <w:t>underpinning</w:t>
      </w:r>
      <w:r w:rsidR="001F7ED5" w:rsidRPr="00FB3674">
        <w:t xml:space="preserve"> </w:t>
      </w:r>
      <w:r w:rsidRPr="00FB3674">
        <w:t>his</w:t>
      </w:r>
      <w:r w:rsidR="001F7ED5" w:rsidRPr="00FB3674">
        <w:t xml:space="preserve"> </w:t>
      </w:r>
      <w:r w:rsidRPr="00FB3674">
        <w:t>conviction</w:t>
      </w:r>
      <w:r w:rsidR="001F7ED5" w:rsidRPr="00FB3674">
        <w:t xml:space="preserve"> </w:t>
      </w:r>
      <w:r w:rsidRPr="00FB3674">
        <w:t>re-examined,</w:t>
      </w:r>
      <w:r w:rsidR="001F7ED5" w:rsidRPr="00FB3674">
        <w:t xml:space="preserve"> </w:t>
      </w:r>
      <w:r w:rsidRPr="00FB3674">
        <w:t>notwithstanding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fact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his</w:t>
      </w:r>
      <w:r w:rsidR="001F7ED5" w:rsidRPr="00FB3674">
        <w:t xml:space="preserve"> </w:t>
      </w:r>
      <w:r w:rsidRPr="00FB3674">
        <w:t>criminal</w:t>
      </w:r>
      <w:r w:rsidR="001F7ED5" w:rsidRPr="00FB3674">
        <w:t xml:space="preserve"> </w:t>
      </w:r>
      <w:r w:rsidRPr="00FB3674">
        <w:t>case</w:t>
      </w:r>
      <w:r w:rsidR="001F7ED5" w:rsidRPr="00FB3674">
        <w:t xml:space="preserve"> </w:t>
      </w:r>
      <w:r w:rsidRPr="00FB3674">
        <w:t>was</w:t>
      </w:r>
      <w:r w:rsidR="001F7ED5" w:rsidRPr="00FB3674">
        <w:t xml:space="preserve"> </w:t>
      </w:r>
      <w:r w:rsidRPr="00FB3674">
        <w:rPr>
          <w:iCs/>
        </w:rPr>
        <w:t>de</w:t>
      </w:r>
      <w:r w:rsidR="001F7ED5" w:rsidRPr="00FB3674">
        <w:rPr>
          <w:iCs/>
        </w:rPr>
        <w:t xml:space="preserve"> </w:t>
      </w:r>
      <w:r w:rsidRPr="00FB3674">
        <w:rPr>
          <w:iCs/>
        </w:rPr>
        <w:t>novo</w:t>
      </w:r>
      <w:r w:rsidR="001F7ED5" w:rsidRPr="00FB3674">
        <w:t xml:space="preserve"> </w:t>
      </w:r>
      <w:r w:rsidRPr="00FB3674">
        <w:t>adjudicated</w:t>
      </w:r>
      <w:r w:rsidR="001F7ED5" w:rsidRPr="00FB3674">
        <w:t xml:space="preserve"> </w:t>
      </w:r>
      <w:r w:rsidRPr="00FB3674">
        <w:t>by</w:t>
      </w:r>
      <w:r w:rsidR="001F7ED5" w:rsidRPr="00FB3674">
        <w:t xml:space="preserve"> </w:t>
      </w:r>
      <w:r w:rsidRPr="00FB3674">
        <w:t>instances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national</w:t>
      </w:r>
      <w:r w:rsidR="001F7ED5" w:rsidRPr="00FB3674">
        <w:t xml:space="preserve"> </w:t>
      </w:r>
      <w:r w:rsidRPr="00FB3674">
        <w:t>judiciary</w:t>
      </w:r>
      <w:r w:rsidR="001F7ED5" w:rsidRPr="00FB3674">
        <w:t xml:space="preserve"> </w:t>
      </w:r>
      <w:r w:rsidRPr="00FB3674">
        <w:t>at</w:t>
      </w:r>
      <w:r w:rsidR="001F7ED5" w:rsidRPr="00FB3674">
        <w:t xml:space="preserve"> </w:t>
      </w:r>
      <w:r w:rsidRPr="00FB3674">
        <w:t>two</w:t>
      </w:r>
      <w:r w:rsidR="001F7ED5" w:rsidRPr="00FB3674">
        <w:t xml:space="preserve"> </w:t>
      </w:r>
      <w:r w:rsidRPr="00FB3674">
        <w:t>different</w:t>
      </w:r>
      <w:r w:rsidR="001F7ED5" w:rsidRPr="00FB3674">
        <w:t xml:space="preserve"> </w:t>
      </w:r>
      <w:r w:rsidRPr="00FB3674">
        <w:t>levels.</w:t>
      </w:r>
    </w:p>
    <w:p w14:paraId="0307C524" w14:textId="11F86B58" w:rsidR="005D5882" w:rsidRPr="00FB3674" w:rsidRDefault="005D5882" w:rsidP="005D5882">
      <w:pPr>
        <w:pStyle w:val="SingleTxtG"/>
      </w:pPr>
      <w:r w:rsidRPr="00FB3674">
        <w:t>4.21</w:t>
      </w:r>
      <w:r w:rsidRPr="00FB3674">
        <w:tab/>
        <w:t>The</w:t>
      </w:r>
      <w:r w:rsidR="001F7ED5" w:rsidRPr="00FB3674">
        <w:t xml:space="preserve"> </w:t>
      </w:r>
      <w:r w:rsidRPr="00FB3674">
        <w:t>State</w:t>
      </w:r>
      <w:r w:rsidR="001F7ED5" w:rsidRPr="00FB3674">
        <w:t xml:space="preserve"> </w:t>
      </w:r>
      <w:r w:rsidRPr="00FB3674">
        <w:t>party</w:t>
      </w:r>
      <w:r w:rsidR="001F7ED5" w:rsidRPr="00FB3674">
        <w:t xml:space="preserve"> </w:t>
      </w:r>
      <w:r w:rsidRPr="00FB3674">
        <w:t>stresses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judgment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Chamber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Criminal</w:t>
      </w:r>
      <w:r w:rsidR="001F7ED5" w:rsidRPr="00FB3674">
        <w:t xml:space="preserve"> </w:t>
      </w:r>
      <w:r w:rsidRPr="00FB3674">
        <w:t>Cases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Supreme</w:t>
      </w:r>
      <w:r w:rsidR="001F7ED5" w:rsidRPr="00FB3674">
        <w:t xml:space="preserve"> </w:t>
      </w:r>
      <w:r w:rsidRPr="00FB3674">
        <w:t>Court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26</w:t>
      </w:r>
      <w:r w:rsidR="001F7ED5" w:rsidRPr="00FB3674">
        <w:t xml:space="preserve"> </w:t>
      </w:r>
      <w:r w:rsidRPr="00FB3674">
        <w:t>September</w:t>
      </w:r>
      <w:r w:rsidR="001F7ED5" w:rsidRPr="00FB3674">
        <w:t xml:space="preserve"> </w:t>
      </w:r>
      <w:r w:rsidRPr="00FB3674">
        <w:t>2014</w:t>
      </w:r>
      <w:r w:rsidR="001F7ED5" w:rsidRPr="00FB3674">
        <w:t xml:space="preserve"> </w:t>
      </w:r>
      <w:r w:rsidRPr="00FB3674">
        <w:t>was</w:t>
      </w:r>
      <w:r w:rsidR="001F7ED5" w:rsidRPr="00FB3674">
        <w:t xml:space="preserve"> </w:t>
      </w:r>
      <w:r w:rsidRPr="00FB3674">
        <w:t>extensively</w:t>
      </w:r>
      <w:r w:rsidR="001F7ED5" w:rsidRPr="00FB3674">
        <w:t xml:space="preserve"> </w:t>
      </w:r>
      <w:r w:rsidRPr="00FB3674">
        <w:t>based</w:t>
      </w:r>
      <w:r w:rsidR="001F7ED5" w:rsidRPr="00FB3674">
        <w:t xml:space="preserve"> </w:t>
      </w:r>
      <w:r w:rsidRPr="00FB3674">
        <w:t>on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information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domestic</w:t>
      </w:r>
      <w:r w:rsidR="001F7ED5" w:rsidRPr="00FB3674">
        <w:t xml:space="preserve"> </w:t>
      </w:r>
      <w:r w:rsidRPr="00FB3674">
        <w:t>court</w:t>
      </w:r>
      <w:r w:rsidR="001F7ED5" w:rsidRPr="00FB3674">
        <w:t xml:space="preserve"> </w:t>
      </w:r>
      <w:r w:rsidRPr="00FB3674">
        <w:t>had</w:t>
      </w:r>
      <w:r w:rsidR="001F7ED5" w:rsidRPr="00FB3674">
        <w:t xml:space="preserve"> </w:t>
      </w:r>
      <w:r w:rsidRPr="00FB3674">
        <w:t>obtained</w:t>
      </w:r>
      <w:r w:rsidR="001F7ED5" w:rsidRPr="00FB3674">
        <w:t xml:space="preserve"> </w:t>
      </w:r>
      <w:r w:rsidRPr="00FB3674">
        <w:t>from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classified</w:t>
      </w:r>
      <w:r w:rsidR="001F7ED5" w:rsidRPr="00FB3674">
        <w:t xml:space="preserve"> </w:t>
      </w:r>
      <w:r w:rsidRPr="00FB3674">
        <w:t>special</w:t>
      </w:r>
      <w:r w:rsidR="001F7ED5" w:rsidRPr="00FB3674">
        <w:t xml:space="preserve"> </w:t>
      </w:r>
      <w:r w:rsidRPr="00FB3674">
        <w:t>investigative</w:t>
      </w:r>
      <w:r w:rsidR="001F7ED5" w:rsidRPr="00FB3674">
        <w:t xml:space="preserve"> </w:t>
      </w:r>
      <w:r w:rsidRPr="00FB3674">
        <w:t>files</w:t>
      </w:r>
      <w:r w:rsidR="001F7ED5" w:rsidRPr="00FB3674">
        <w:t xml:space="preserve"> </w:t>
      </w:r>
      <w:r w:rsidRPr="00FB3674">
        <w:t>(No.</w:t>
      </w:r>
      <w:r w:rsidR="00DC2D02" w:rsidRPr="00FB3674">
        <w:t xml:space="preserve"> </w:t>
      </w:r>
      <w:r w:rsidRPr="00FB3674">
        <w:t>7004204</w:t>
      </w:r>
      <w:r w:rsidR="001F7ED5" w:rsidRPr="00FB3674">
        <w:t xml:space="preserve"> </w:t>
      </w:r>
      <w:r w:rsidRPr="00FB3674">
        <w:t>and</w:t>
      </w:r>
      <w:r w:rsidR="001F7ED5" w:rsidRPr="00FB3674">
        <w:t xml:space="preserve"> </w:t>
      </w:r>
      <w:r w:rsidRPr="00FB3674">
        <w:t>No.</w:t>
      </w:r>
      <w:r w:rsidR="00DC2D02" w:rsidRPr="00FB3674">
        <w:t xml:space="preserve"> </w:t>
      </w:r>
      <w:r w:rsidRPr="00FB3674">
        <w:t>7019304)</w:t>
      </w:r>
      <w:r w:rsidR="001F7ED5" w:rsidRPr="00FB3674">
        <w:t xml:space="preserve"> </w:t>
      </w:r>
      <w:r w:rsidRPr="00FB3674">
        <w:t>pertaining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special</w:t>
      </w:r>
      <w:r w:rsidR="001F7ED5" w:rsidRPr="00FB3674">
        <w:t xml:space="preserve"> </w:t>
      </w:r>
      <w:r w:rsidRPr="00FB3674">
        <w:t>police</w:t>
      </w:r>
      <w:r w:rsidR="001F7ED5" w:rsidRPr="00FB3674">
        <w:t xml:space="preserve"> </w:t>
      </w:r>
      <w:r w:rsidRPr="00FB3674">
        <w:t>operation</w:t>
      </w:r>
      <w:r w:rsidR="001F7ED5" w:rsidRPr="00FB3674">
        <w:t xml:space="preserve"> </w:t>
      </w:r>
      <w:r w:rsidR="002E7C71">
        <w:t>“</w:t>
      </w:r>
      <w:r w:rsidRPr="00FB3674">
        <w:t>Rebus</w:t>
      </w:r>
      <w:r w:rsidR="002E7C71">
        <w:t>”</w:t>
      </w:r>
      <w:r w:rsidRPr="00FB3674">
        <w:t>.</w:t>
      </w:r>
      <w:r w:rsidR="001F7ED5" w:rsidRPr="00FB3674">
        <w:t xml:space="preserve"> </w:t>
      </w:r>
      <w:r w:rsidRPr="00FB3674">
        <w:t>Namely,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Chamber</w:t>
      </w:r>
      <w:r w:rsidR="001F7ED5" w:rsidRPr="00FB3674">
        <w:t xml:space="preserve"> </w:t>
      </w:r>
      <w:r w:rsidRPr="00FB3674">
        <w:t>had</w:t>
      </w:r>
      <w:r w:rsidR="001F7ED5" w:rsidRPr="00FB3674">
        <w:t xml:space="preserve"> </w:t>
      </w:r>
      <w:r w:rsidRPr="00FB3674">
        <w:t>fully</w:t>
      </w:r>
      <w:r w:rsidR="001F7ED5" w:rsidRPr="00FB3674">
        <w:t xml:space="preserve"> </w:t>
      </w:r>
      <w:r w:rsidRPr="00FB3674">
        <w:t>assessed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classified</w:t>
      </w:r>
      <w:r w:rsidR="001F7ED5" w:rsidRPr="00FB3674">
        <w:t xml:space="preserve"> </w:t>
      </w:r>
      <w:r w:rsidRPr="00FB3674">
        <w:t>information</w:t>
      </w:r>
      <w:r w:rsidR="001F7ED5" w:rsidRPr="00FB3674">
        <w:t xml:space="preserve"> </w:t>
      </w:r>
      <w:r w:rsidRPr="00FB3674">
        <w:t>contained</w:t>
      </w:r>
      <w:r w:rsidR="001F7ED5" w:rsidRPr="00FB3674">
        <w:t xml:space="preserve"> </w:t>
      </w:r>
      <w:r w:rsidRPr="00FB3674">
        <w:t>in</w:t>
      </w:r>
      <w:r w:rsidR="001F7ED5" w:rsidRPr="00FB3674">
        <w:t xml:space="preserve"> </w:t>
      </w:r>
      <w:r w:rsidRPr="00FB3674">
        <w:t>both</w:t>
      </w:r>
      <w:r w:rsidR="001F7ED5" w:rsidRPr="00FB3674">
        <w:t xml:space="preserve"> </w:t>
      </w:r>
      <w:r w:rsidRPr="00FB3674">
        <w:t>case</w:t>
      </w:r>
      <w:r w:rsidR="001F7ED5" w:rsidRPr="00FB3674">
        <w:t xml:space="preserve"> </w:t>
      </w:r>
      <w:r w:rsidRPr="00FB3674">
        <w:t>files,</w:t>
      </w:r>
      <w:r w:rsidR="001F7ED5" w:rsidRPr="00FB3674">
        <w:t xml:space="preserve"> </w:t>
      </w:r>
      <w:r w:rsidRPr="00FB3674">
        <w:t>which</w:t>
      </w:r>
      <w:r w:rsidR="001F7ED5" w:rsidRPr="00FB3674">
        <w:t xml:space="preserve"> </w:t>
      </w:r>
      <w:r w:rsidRPr="00FB3674">
        <w:t>had</w:t>
      </w:r>
      <w:r w:rsidR="001F7ED5" w:rsidRPr="00FB3674">
        <w:t xml:space="preserve"> </w:t>
      </w:r>
      <w:r w:rsidRPr="00FB3674">
        <w:t>allowed</w:t>
      </w:r>
      <w:r w:rsidR="001F7ED5" w:rsidRPr="00FB3674">
        <w:t xml:space="preserve"> </w:t>
      </w:r>
      <w:r w:rsidRPr="00FB3674">
        <w:t>it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decide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actions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law</w:t>
      </w:r>
      <w:r w:rsidR="001F7ED5" w:rsidRPr="00FB3674">
        <w:t xml:space="preserve"> </w:t>
      </w:r>
      <w:r w:rsidRPr="00FB3674">
        <w:t>enforcement</w:t>
      </w:r>
      <w:r w:rsidR="001F7ED5" w:rsidRPr="00FB3674">
        <w:t xml:space="preserve"> </w:t>
      </w:r>
      <w:r w:rsidRPr="00FB3674">
        <w:t>authorities</w:t>
      </w:r>
      <w:r w:rsidR="001F7ED5" w:rsidRPr="00FB3674">
        <w:t xml:space="preserve"> </w:t>
      </w:r>
      <w:r w:rsidRPr="00FB3674">
        <w:t>did</w:t>
      </w:r>
      <w:r w:rsidR="001F7ED5" w:rsidRPr="00FB3674">
        <w:t xml:space="preserve"> </w:t>
      </w:r>
      <w:r w:rsidRPr="00FB3674">
        <w:t>not</w:t>
      </w:r>
      <w:r w:rsidR="001F7ED5" w:rsidRPr="00FB3674">
        <w:t xml:space="preserve"> </w:t>
      </w:r>
      <w:r w:rsidRPr="00FB3674">
        <w:t>amount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incitement</w:t>
      </w:r>
      <w:r w:rsidR="001F7ED5" w:rsidRPr="00FB3674">
        <w:t xml:space="preserve"> </w:t>
      </w:r>
      <w:r w:rsidRPr="00FB3674">
        <w:t>and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undercover</w:t>
      </w:r>
      <w:r w:rsidR="001F7ED5" w:rsidRPr="00FB3674">
        <w:t xml:space="preserve"> </w:t>
      </w:r>
      <w:r w:rsidRPr="00FB3674">
        <w:t>police</w:t>
      </w:r>
      <w:r w:rsidR="001F7ED5" w:rsidRPr="00FB3674">
        <w:t xml:space="preserve"> </w:t>
      </w:r>
      <w:r w:rsidRPr="00FB3674">
        <w:t>officers</w:t>
      </w:r>
      <w:r w:rsidR="001F7ED5" w:rsidRPr="00FB3674">
        <w:t xml:space="preserve"> </w:t>
      </w:r>
      <w:r w:rsidRPr="00FB3674">
        <w:t>had</w:t>
      </w:r>
      <w:r w:rsidR="001F7ED5" w:rsidRPr="00FB3674">
        <w:t xml:space="preserve"> </w:t>
      </w:r>
      <w:r w:rsidRPr="00FB3674">
        <w:t>merely</w:t>
      </w:r>
      <w:r w:rsidR="001F7ED5" w:rsidRPr="00FB3674">
        <w:t xml:space="preserve"> </w:t>
      </w:r>
      <w:r w:rsidRPr="00FB3674">
        <w:t>thwarted</w:t>
      </w:r>
      <w:r w:rsidR="001F7ED5" w:rsidRPr="00FB3674">
        <w:t xml:space="preserve"> </w:t>
      </w:r>
      <w:r w:rsidRPr="00FB3674">
        <w:t>criminal</w:t>
      </w:r>
      <w:r w:rsidR="001F7ED5" w:rsidRPr="00FB3674">
        <w:t xml:space="preserve"> </w:t>
      </w:r>
      <w:r w:rsidRPr="00FB3674">
        <w:t>activities</w:t>
      </w:r>
      <w:r w:rsidR="001F7ED5" w:rsidRPr="00FB3674">
        <w:t xml:space="preserve"> </w:t>
      </w:r>
      <w:r w:rsidRPr="00FB3674">
        <w:t>already</w:t>
      </w:r>
      <w:r w:rsidR="001F7ED5" w:rsidRPr="00FB3674">
        <w:t xml:space="preserve"> </w:t>
      </w:r>
      <w:r w:rsidRPr="00FB3674">
        <w:t>under</w:t>
      </w:r>
      <w:r w:rsidR="001F7ED5" w:rsidRPr="00FB3674">
        <w:t xml:space="preserve"> </w:t>
      </w:r>
      <w:r w:rsidRPr="00FB3674">
        <w:t>way.</w:t>
      </w:r>
    </w:p>
    <w:p w14:paraId="0BB035E5" w14:textId="53550593" w:rsidR="001F7ED5" w:rsidRPr="00FB3674" w:rsidRDefault="005D5882" w:rsidP="005D5882">
      <w:pPr>
        <w:pStyle w:val="SingleTxtG"/>
      </w:pPr>
      <w:r w:rsidRPr="00FB3674">
        <w:t>4.22</w:t>
      </w:r>
      <w:r w:rsidRPr="00FB3674">
        <w:tab/>
        <w:t>The</w:t>
      </w:r>
      <w:r w:rsidR="001F7ED5" w:rsidRPr="00FB3674">
        <w:t xml:space="preserve"> </w:t>
      </w:r>
      <w:r w:rsidRPr="00FB3674">
        <w:t>Supreme</w:t>
      </w:r>
      <w:r w:rsidR="001F7ED5" w:rsidRPr="00FB3674">
        <w:t xml:space="preserve"> </w:t>
      </w:r>
      <w:r w:rsidRPr="00FB3674">
        <w:t>Court</w:t>
      </w:r>
      <w:r w:rsidR="001F7ED5" w:rsidRPr="00FB3674">
        <w:t xml:space="preserve"> </w:t>
      </w:r>
      <w:r w:rsidRPr="00FB3674">
        <w:t>confirmed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its</w:t>
      </w:r>
      <w:r w:rsidR="001F7ED5" w:rsidRPr="00FB3674">
        <w:t xml:space="preserve"> </w:t>
      </w:r>
      <w:r w:rsidRPr="00FB3674">
        <w:t>Chamber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Criminal</w:t>
      </w:r>
      <w:r w:rsidR="001F7ED5" w:rsidRPr="00FB3674">
        <w:t xml:space="preserve"> </w:t>
      </w:r>
      <w:r w:rsidRPr="00FB3674">
        <w:t>Cases</w:t>
      </w:r>
      <w:r w:rsidR="001F7ED5" w:rsidRPr="00FB3674">
        <w:t xml:space="preserve"> </w:t>
      </w:r>
      <w:r w:rsidRPr="00FB3674">
        <w:t>had</w:t>
      </w:r>
      <w:r w:rsidR="001F7ED5" w:rsidRPr="00FB3674">
        <w:t xml:space="preserve"> </w:t>
      </w:r>
      <w:r w:rsidRPr="00FB3674">
        <w:t>duly</w:t>
      </w:r>
      <w:r w:rsidR="001F7ED5" w:rsidRPr="00FB3674">
        <w:t xml:space="preserve"> </w:t>
      </w:r>
      <w:r w:rsidRPr="00FB3674">
        <w:t>acquainted</w:t>
      </w:r>
      <w:r w:rsidR="001F7ED5" w:rsidRPr="00FB3674">
        <w:t xml:space="preserve"> </w:t>
      </w:r>
      <w:r w:rsidRPr="00FB3674">
        <w:t>itself</w:t>
      </w:r>
      <w:r w:rsidR="001F7ED5" w:rsidRPr="00FB3674">
        <w:t xml:space="preserve"> </w:t>
      </w:r>
      <w:r w:rsidRPr="00FB3674">
        <w:t>with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relevant</w:t>
      </w:r>
      <w:r w:rsidR="001F7ED5" w:rsidRPr="00FB3674">
        <w:t xml:space="preserve"> </w:t>
      </w:r>
      <w:r w:rsidRPr="00FB3674">
        <w:t>classified</w:t>
      </w:r>
      <w:r w:rsidR="001F7ED5" w:rsidRPr="00FB3674">
        <w:t xml:space="preserve"> </w:t>
      </w:r>
      <w:r w:rsidRPr="00FB3674">
        <w:t>case</w:t>
      </w:r>
      <w:r w:rsidR="001F7ED5" w:rsidRPr="00FB3674">
        <w:t xml:space="preserve"> </w:t>
      </w:r>
      <w:r w:rsidRPr="00FB3674">
        <w:t>files</w:t>
      </w:r>
      <w:r w:rsidR="001F7ED5" w:rsidRPr="00FB3674">
        <w:t xml:space="preserve"> </w:t>
      </w:r>
      <w:r w:rsidRPr="00FB3674">
        <w:t>and</w:t>
      </w:r>
      <w:r w:rsidR="001F7ED5" w:rsidRPr="00FB3674">
        <w:t xml:space="preserve"> </w:t>
      </w:r>
      <w:r w:rsidRPr="00FB3674">
        <w:t>that,</w:t>
      </w:r>
      <w:r w:rsidR="001F7ED5" w:rsidRPr="00FB3674">
        <w:t xml:space="preserve"> </w:t>
      </w:r>
      <w:r w:rsidRPr="00FB3674">
        <w:t>as</w:t>
      </w:r>
      <w:r w:rsidR="001F7ED5" w:rsidRPr="00FB3674">
        <w:t xml:space="preserve"> </w:t>
      </w:r>
      <w:r w:rsidRPr="00FB3674">
        <w:t>a</w:t>
      </w:r>
      <w:r w:rsidR="001F7ED5" w:rsidRPr="00FB3674">
        <w:t xml:space="preserve"> </w:t>
      </w:r>
      <w:r w:rsidRPr="00FB3674">
        <w:t>result,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Chamber</w:t>
      </w:r>
      <w:r w:rsidR="001F7ED5" w:rsidRPr="00FB3674">
        <w:t xml:space="preserve"> </w:t>
      </w:r>
      <w:r w:rsidRPr="00FB3674">
        <w:t>had</w:t>
      </w:r>
      <w:r w:rsidR="001F7ED5" w:rsidRPr="00FB3674">
        <w:t xml:space="preserve"> </w:t>
      </w:r>
      <w:r w:rsidRPr="00FB3674">
        <w:t>concluded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initial</w:t>
      </w:r>
      <w:r w:rsidR="001F7ED5" w:rsidRPr="00FB3674">
        <w:t xml:space="preserve"> </w:t>
      </w:r>
      <w:r w:rsidRPr="00FB3674">
        <w:t>information</w:t>
      </w:r>
      <w:r w:rsidR="001F7ED5" w:rsidRPr="00FB3674">
        <w:t xml:space="preserve"> </w:t>
      </w:r>
      <w:r w:rsidRPr="00FB3674">
        <w:t>at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disposal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law</w:t>
      </w:r>
      <w:r w:rsidR="001F7ED5" w:rsidRPr="00FB3674">
        <w:t xml:space="preserve"> </w:t>
      </w:r>
      <w:r w:rsidRPr="00FB3674">
        <w:t>enforcement</w:t>
      </w:r>
      <w:r w:rsidR="001F7ED5" w:rsidRPr="00FB3674">
        <w:t xml:space="preserve"> </w:t>
      </w:r>
      <w:r w:rsidRPr="00FB3674">
        <w:t>authorities</w:t>
      </w:r>
      <w:r w:rsidR="001F7ED5" w:rsidRPr="00FB3674">
        <w:t xml:space="preserve"> </w:t>
      </w:r>
      <w:r w:rsidRPr="00FB3674">
        <w:t>was</w:t>
      </w:r>
      <w:r w:rsidR="001F7ED5" w:rsidRPr="00FB3674">
        <w:t xml:space="preserve"> </w:t>
      </w:r>
      <w:r w:rsidRPr="00FB3674">
        <w:t>more</w:t>
      </w:r>
      <w:r w:rsidR="001F7ED5" w:rsidRPr="00FB3674">
        <w:t xml:space="preserve"> </w:t>
      </w:r>
      <w:r w:rsidRPr="00FB3674">
        <w:t>than</w:t>
      </w:r>
      <w:r w:rsidR="001F7ED5" w:rsidRPr="00FB3674">
        <w:t xml:space="preserve"> </w:t>
      </w:r>
      <w:r w:rsidRPr="00FB3674">
        <w:t>sufficient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warrant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opening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special</w:t>
      </w:r>
      <w:r w:rsidR="001F7ED5" w:rsidRPr="00FB3674">
        <w:t xml:space="preserve"> </w:t>
      </w:r>
      <w:r w:rsidRPr="00FB3674">
        <w:t>investigative</w:t>
      </w:r>
      <w:r w:rsidR="001F7ED5" w:rsidRPr="00FB3674">
        <w:t xml:space="preserve"> </w:t>
      </w:r>
      <w:r w:rsidRPr="00FB3674">
        <w:t>proceedings</w:t>
      </w:r>
      <w:r w:rsidR="001F7ED5" w:rsidRPr="00FB3674">
        <w:t xml:space="preserve"> </w:t>
      </w:r>
      <w:r w:rsidRPr="00FB3674">
        <w:t>against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author</w:t>
      </w:r>
      <w:r w:rsidR="001F7ED5" w:rsidRPr="00FB3674">
        <w:t xml:space="preserve"> </w:t>
      </w:r>
      <w:r w:rsidRPr="00FB3674">
        <w:t>and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conduct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special</w:t>
      </w:r>
      <w:r w:rsidR="001F7ED5" w:rsidRPr="00FB3674">
        <w:t xml:space="preserve"> </w:t>
      </w:r>
      <w:r w:rsidRPr="00FB3674">
        <w:t>investigative</w:t>
      </w:r>
      <w:r w:rsidR="001F7ED5" w:rsidRPr="00FB3674">
        <w:t xml:space="preserve"> </w:t>
      </w:r>
      <w:r w:rsidRPr="00FB3674">
        <w:t>experiment.</w:t>
      </w:r>
      <w:r w:rsidR="001F7ED5" w:rsidRPr="00FB3674">
        <w:t xml:space="preserve"> </w:t>
      </w:r>
      <w:r w:rsidRPr="00FB3674">
        <w:t>Thus,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Supreme</w:t>
      </w:r>
      <w:r w:rsidR="001F7ED5" w:rsidRPr="00FB3674">
        <w:t xml:space="preserve"> </w:t>
      </w:r>
      <w:r w:rsidRPr="00FB3674">
        <w:t>Court</w:t>
      </w:r>
      <w:r w:rsidR="001F7ED5" w:rsidRPr="00FB3674">
        <w:t xml:space="preserve"> </w:t>
      </w:r>
      <w:r w:rsidRPr="00FB3674">
        <w:t>had</w:t>
      </w:r>
      <w:r w:rsidR="001F7ED5" w:rsidRPr="00FB3674">
        <w:t xml:space="preserve"> </w:t>
      </w:r>
      <w:r w:rsidRPr="00FB3674">
        <w:t>ascertained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there</w:t>
      </w:r>
      <w:r w:rsidR="001F7ED5" w:rsidRPr="00FB3674">
        <w:t xml:space="preserve"> </w:t>
      </w:r>
      <w:r w:rsidRPr="00FB3674">
        <w:t>had</w:t>
      </w:r>
      <w:r w:rsidR="001F7ED5" w:rsidRPr="00FB3674">
        <w:t xml:space="preserve"> </w:t>
      </w:r>
      <w:r w:rsidRPr="00FB3674">
        <w:t>been</w:t>
      </w:r>
      <w:r w:rsidR="001F7ED5" w:rsidRPr="00FB3674">
        <w:t xml:space="preserve"> </w:t>
      </w:r>
      <w:r w:rsidRPr="00FB3674">
        <w:t>no</w:t>
      </w:r>
      <w:r w:rsidR="001F7ED5" w:rsidRPr="00FB3674">
        <w:t xml:space="preserve"> </w:t>
      </w:r>
      <w:r w:rsidRPr="00FB3674">
        <w:t>incitement</w:t>
      </w:r>
      <w:r w:rsidR="001F7ED5" w:rsidRPr="00FB3674">
        <w:t xml:space="preserve"> </w:t>
      </w:r>
      <w:r w:rsidRPr="00FB3674">
        <w:t>by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police</w:t>
      </w:r>
      <w:r w:rsidR="001F7ED5" w:rsidRPr="00FB3674">
        <w:t xml:space="preserve"> </w:t>
      </w:r>
      <w:r w:rsidRPr="00FB3674">
        <w:t>and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undercover</w:t>
      </w:r>
      <w:r w:rsidR="001F7ED5" w:rsidRPr="00FB3674">
        <w:t xml:space="preserve"> </w:t>
      </w:r>
      <w:r w:rsidRPr="00FB3674">
        <w:t>police</w:t>
      </w:r>
      <w:r w:rsidR="001F7ED5" w:rsidRPr="00FB3674">
        <w:t xml:space="preserve"> </w:t>
      </w:r>
      <w:r w:rsidRPr="00FB3674">
        <w:t>officers</w:t>
      </w:r>
      <w:r w:rsidR="001F7ED5" w:rsidRPr="00FB3674">
        <w:t xml:space="preserve"> </w:t>
      </w:r>
      <w:r w:rsidRPr="00FB3674">
        <w:t>had</w:t>
      </w:r>
      <w:r w:rsidR="001F7ED5" w:rsidRPr="00FB3674">
        <w:t xml:space="preserve"> </w:t>
      </w:r>
      <w:r w:rsidRPr="00FB3674">
        <w:t>merely</w:t>
      </w:r>
      <w:r w:rsidR="001F7ED5" w:rsidRPr="00FB3674">
        <w:t xml:space="preserve"> </w:t>
      </w:r>
      <w:r w:rsidRPr="00FB3674">
        <w:t>thwarted</w:t>
      </w:r>
      <w:r w:rsidR="001F7ED5" w:rsidRPr="00FB3674">
        <w:t xml:space="preserve"> </w:t>
      </w:r>
      <w:r w:rsidRPr="00FB3674">
        <w:t>ongoing</w:t>
      </w:r>
      <w:r w:rsidR="001F7ED5" w:rsidRPr="00FB3674">
        <w:t xml:space="preserve"> </w:t>
      </w:r>
      <w:r w:rsidRPr="00FB3674">
        <w:t>criminal</w:t>
      </w:r>
      <w:r w:rsidR="001F7ED5" w:rsidRPr="00FB3674">
        <w:t xml:space="preserve"> </w:t>
      </w:r>
      <w:r w:rsidRPr="00FB3674">
        <w:t>activities.</w:t>
      </w:r>
      <w:r w:rsidR="001F7ED5" w:rsidRPr="00FB3674">
        <w:t xml:space="preserve"> </w:t>
      </w:r>
      <w:r w:rsidRPr="00FB3674">
        <w:t>As</w:t>
      </w:r>
      <w:r w:rsidR="001F7ED5" w:rsidRPr="00FB3674">
        <w:t xml:space="preserve"> </w:t>
      </w:r>
      <w:r w:rsidRPr="00FB3674">
        <w:t>a</w:t>
      </w:r>
      <w:r w:rsidR="001F7ED5" w:rsidRPr="00FB3674">
        <w:t xml:space="preserve"> </w:t>
      </w:r>
      <w:r w:rsidRPr="00FB3674">
        <w:t>result,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Supreme</w:t>
      </w:r>
      <w:r w:rsidR="001F7ED5" w:rsidRPr="00FB3674">
        <w:t xml:space="preserve"> </w:t>
      </w:r>
      <w:r w:rsidRPr="00FB3674">
        <w:t>Court</w:t>
      </w:r>
      <w:r w:rsidR="001F7ED5" w:rsidRPr="00FB3674">
        <w:t xml:space="preserve"> </w:t>
      </w:r>
      <w:r w:rsidRPr="00FB3674">
        <w:t>had</w:t>
      </w:r>
      <w:r w:rsidR="001F7ED5" w:rsidRPr="00FB3674">
        <w:t xml:space="preserve"> </w:t>
      </w:r>
      <w:r w:rsidRPr="00FB3674">
        <w:t>ruled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author</w:t>
      </w:r>
      <w:r w:rsidR="00FB3674">
        <w:t>’</w:t>
      </w:r>
      <w:r w:rsidRPr="00FB3674">
        <w:t>s</w:t>
      </w:r>
      <w:r w:rsidR="001F7ED5" w:rsidRPr="00FB3674">
        <w:t xml:space="preserve"> </w:t>
      </w:r>
      <w:r w:rsidRPr="00FB3674">
        <w:t>allegations</w:t>
      </w:r>
      <w:r w:rsidR="001F7ED5" w:rsidRPr="00FB3674">
        <w:t xml:space="preserve"> </w:t>
      </w:r>
      <w:r w:rsidRPr="00FB3674">
        <w:t>were</w:t>
      </w:r>
      <w:r w:rsidR="001F7ED5" w:rsidRPr="00FB3674">
        <w:t xml:space="preserve"> </w:t>
      </w:r>
      <w:r w:rsidRPr="00FB3674">
        <w:t>completely</w:t>
      </w:r>
      <w:r w:rsidR="001F7ED5" w:rsidRPr="00FB3674">
        <w:t xml:space="preserve"> </w:t>
      </w:r>
      <w:r w:rsidRPr="00FB3674">
        <w:t>unfounded.</w:t>
      </w:r>
    </w:p>
    <w:p w14:paraId="022F2051" w14:textId="468598B3" w:rsidR="001F7ED5" w:rsidRPr="00FB3674" w:rsidRDefault="005D5882" w:rsidP="005D5882">
      <w:pPr>
        <w:pStyle w:val="SingleTxtG"/>
      </w:pPr>
      <w:r w:rsidRPr="00FB3674">
        <w:t>4.23</w:t>
      </w:r>
      <w:r w:rsidRPr="00FB3674">
        <w:tab/>
        <w:t>In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connection,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State</w:t>
      </w:r>
      <w:r w:rsidR="001F7ED5" w:rsidRPr="00FB3674">
        <w:t xml:space="preserve"> </w:t>
      </w:r>
      <w:r w:rsidRPr="00FB3674">
        <w:t>party</w:t>
      </w:r>
      <w:r w:rsidR="001F7ED5" w:rsidRPr="00FB3674">
        <w:t xml:space="preserve"> </w:t>
      </w:r>
      <w:r w:rsidRPr="00FB3674">
        <w:t>recalls</w:t>
      </w:r>
      <w:r w:rsidR="001F7ED5" w:rsidRPr="00FB3674">
        <w:t xml:space="preserve"> </w:t>
      </w:r>
      <w:r w:rsidRPr="00FB3674">
        <w:t>that,</w:t>
      </w:r>
      <w:r w:rsidR="001F7ED5" w:rsidRPr="00FB3674">
        <w:t xml:space="preserve"> </w:t>
      </w:r>
      <w:r w:rsidRPr="00FB3674">
        <w:t>in</w:t>
      </w:r>
      <w:r w:rsidR="001F7ED5" w:rsidRPr="00FB3674">
        <w:t xml:space="preserve"> </w:t>
      </w:r>
      <w:r w:rsidRPr="00FB3674">
        <w:t>accordance</w:t>
      </w:r>
      <w:r w:rsidR="001F7ED5" w:rsidRPr="00FB3674">
        <w:t xml:space="preserve"> </w:t>
      </w:r>
      <w:r w:rsidRPr="00FB3674">
        <w:t>with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Committee</w:t>
      </w:r>
      <w:r w:rsidR="00FB3674">
        <w:t>’</w:t>
      </w:r>
      <w:r w:rsidRPr="00FB3674">
        <w:t>s</w:t>
      </w:r>
      <w:r w:rsidR="001F7ED5" w:rsidRPr="00FB3674">
        <w:t xml:space="preserve"> </w:t>
      </w:r>
      <w:r w:rsidRPr="00FB3674">
        <w:t>jurisprudence,</w:t>
      </w:r>
      <w:r w:rsidRPr="00FB3674">
        <w:rPr>
          <w:rStyle w:val="FootnoteReference"/>
        </w:rPr>
        <w:footnoteReference w:id="8"/>
      </w:r>
      <w:r w:rsidR="001F7ED5" w:rsidRPr="00FB3674">
        <w:t xml:space="preserve"> </w:t>
      </w:r>
      <w:r w:rsidRPr="00FB3674">
        <w:t>when</w:t>
      </w:r>
      <w:r w:rsidR="001F7ED5" w:rsidRPr="00FB3674">
        <w:t xml:space="preserve"> </w:t>
      </w:r>
      <w:r w:rsidRPr="00FB3674">
        <w:t>an</w:t>
      </w:r>
      <w:r w:rsidR="001F7ED5" w:rsidRPr="00FB3674">
        <w:t xml:space="preserve"> </w:t>
      </w:r>
      <w:r w:rsidRPr="00FB3674">
        <w:t>author</w:t>
      </w:r>
      <w:r w:rsidR="00FB3674">
        <w:t>’</w:t>
      </w:r>
      <w:r w:rsidRPr="00FB3674">
        <w:t>s</w:t>
      </w:r>
      <w:r w:rsidR="001F7ED5" w:rsidRPr="00FB3674">
        <w:t xml:space="preserve"> </w:t>
      </w:r>
      <w:r w:rsidRPr="00FB3674">
        <w:t>allegations</w:t>
      </w:r>
      <w:r w:rsidR="001F7ED5" w:rsidRPr="00FB3674">
        <w:t xml:space="preserve"> </w:t>
      </w:r>
      <w:r w:rsidRPr="00FB3674">
        <w:t>have</w:t>
      </w:r>
      <w:r w:rsidR="001F7ED5" w:rsidRPr="00FB3674">
        <w:t xml:space="preserve"> </w:t>
      </w:r>
      <w:r w:rsidRPr="00FB3674">
        <w:t>been</w:t>
      </w:r>
      <w:r w:rsidR="001F7ED5" w:rsidRPr="00FB3674">
        <w:t xml:space="preserve"> </w:t>
      </w:r>
      <w:r w:rsidRPr="00FB3674">
        <w:t>presented,</w:t>
      </w:r>
      <w:r w:rsidR="001F7ED5" w:rsidRPr="00FB3674">
        <w:t xml:space="preserve"> </w:t>
      </w:r>
      <w:r w:rsidRPr="00FB3674">
        <w:t>duly</w:t>
      </w:r>
      <w:r w:rsidR="001F7ED5" w:rsidRPr="00FB3674">
        <w:t xml:space="preserve"> </w:t>
      </w:r>
      <w:r w:rsidRPr="00FB3674">
        <w:t>examined</w:t>
      </w:r>
      <w:r w:rsidR="001F7ED5" w:rsidRPr="00FB3674">
        <w:t xml:space="preserve"> </w:t>
      </w:r>
      <w:r w:rsidRPr="00FB3674">
        <w:t>and</w:t>
      </w:r>
      <w:r w:rsidR="001F7ED5" w:rsidRPr="00FB3674">
        <w:t xml:space="preserve"> </w:t>
      </w:r>
      <w:r w:rsidRPr="00FB3674">
        <w:t>recognized</w:t>
      </w:r>
      <w:r w:rsidR="001F7ED5" w:rsidRPr="00FB3674">
        <w:t xml:space="preserve"> </w:t>
      </w:r>
      <w:r w:rsidRPr="00FB3674">
        <w:t>as</w:t>
      </w:r>
      <w:r w:rsidR="001F7ED5" w:rsidRPr="00FB3674">
        <w:t xml:space="preserve"> </w:t>
      </w:r>
      <w:r w:rsidRPr="00FB3674">
        <w:t>unfounded</w:t>
      </w:r>
      <w:r w:rsidR="001F7ED5" w:rsidRPr="00FB3674">
        <w:t xml:space="preserve"> </w:t>
      </w:r>
      <w:r w:rsidRPr="00FB3674">
        <w:t>by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national</w:t>
      </w:r>
      <w:r w:rsidR="001F7ED5" w:rsidRPr="00FB3674">
        <w:t xml:space="preserve"> </w:t>
      </w:r>
      <w:r w:rsidRPr="00FB3674">
        <w:t>courts,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author</w:t>
      </w:r>
      <w:r w:rsidR="00FB3674">
        <w:t>’</w:t>
      </w:r>
      <w:r w:rsidRPr="00FB3674">
        <w:t>s</w:t>
      </w:r>
      <w:r w:rsidR="001F7ED5" w:rsidRPr="00FB3674">
        <w:t xml:space="preserve"> </w:t>
      </w:r>
      <w:r w:rsidRPr="00FB3674">
        <w:t>claim</w:t>
      </w:r>
      <w:r w:rsidR="001F7ED5" w:rsidRPr="00FB3674">
        <w:t xml:space="preserve"> </w:t>
      </w:r>
      <w:r w:rsidRPr="00FB3674">
        <w:t>must</w:t>
      </w:r>
      <w:r w:rsidR="001F7ED5" w:rsidRPr="00FB3674">
        <w:t xml:space="preserve"> </w:t>
      </w:r>
      <w:r w:rsidRPr="00FB3674">
        <w:t>be</w:t>
      </w:r>
      <w:r w:rsidR="001F7ED5" w:rsidRPr="00FB3674">
        <w:t xml:space="preserve"> </w:t>
      </w:r>
      <w:r w:rsidRPr="00FB3674">
        <w:t>considered</w:t>
      </w:r>
      <w:r w:rsidR="001F7ED5" w:rsidRPr="00FB3674">
        <w:t xml:space="preserve"> </w:t>
      </w:r>
      <w:r w:rsidRPr="00FB3674">
        <w:t>unsubstantiated</w:t>
      </w:r>
      <w:r w:rsidR="001F7ED5" w:rsidRPr="00FB3674">
        <w:t xml:space="preserve"> </w:t>
      </w:r>
      <w:r w:rsidRPr="00FB3674">
        <w:t>for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purposes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admissibility</w:t>
      </w:r>
      <w:r w:rsidR="001F7ED5" w:rsidRPr="00FB3674">
        <w:t xml:space="preserve"> </w:t>
      </w:r>
      <w:r w:rsidRPr="00FB3674">
        <w:t>before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Committee.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State</w:t>
      </w:r>
      <w:r w:rsidR="001F7ED5" w:rsidRPr="00FB3674">
        <w:t xml:space="preserve"> </w:t>
      </w:r>
      <w:r w:rsidRPr="00FB3674">
        <w:t>party</w:t>
      </w:r>
      <w:r w:rsidR="001F7ED5" w:rsidRPr="00FB3674">
        <w:t xml:space="preserve"> </w:t>
      </w:r>
      <w:r w:rsidRPr="00FB3674">
        <w:t>believes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domestic</w:t>
      </w:r>
      <w:r w:rsidR="001F7ED5" w:rsidRPr="00FB3674">
        <w:t xml:space="preserve"> </w:t>
      </w:r>
      <w:r w:rsidRPr="00FB3674">
        <w:t>judicial</w:t>
      </w:r>
      <w:r w:rsidR="001F7ED5" w:rsidRPr="00FB3674">
        <w:t xml:space="preserve"> </w:t>
      </w:r>
      <w:r w:rsidRPr="00FB3674">
        <w:t>proceedings,</w:t>
      </w:r>
      <w:r w:rsidR="001F7ED5" w:rsidRPr="00FB3674">
        <w:t xml:space="preserve"> </w:t>
      </w:r>
      <w:r w:rsidRPr="00FB3674">
        <w:t>including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examination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allegations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incitement</w:t>
      </w:r>
      <w:r w:rsidR="001F7ED5" w:rsidRPr="00FB3674">
        <w:t xml:space="preserve"> </w:t>
      </w:r>
      <w:r w:rsidRPr="00FB3674">
        <w:t>by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police,</w:t>
      </w:r>
      <w:r w:rsidR="001F7ED5" w:rsidRPr="00FB3674">
        <w:t xml:space="preserve"> </w:t>
      </w:r>
      <w:r w:rsidRPr="00FB3674">
        <w:t>as</w:t>
      </w:r>
      <w:r w:rsidR="001F7ED5" w:rsidRPr="00FB3674">
        <w:t xml:space="preserve"> </w:t>
      </w:r>
      <w:r w:rsidRPr="00FB3674">
        <w:t>a</w:t>
      </w:r>
      <w:r w:rsidR="001F7ED5" w:rsidRPr="00FB3674">
        <w:t xml:space="preserve"> </w:t>
      </w:r>
      <w:r w:rsidRPr="00FB3674">
        <w:t>whole</w:t>
      </w:r>
      <w:r w:rsidR="001F7ED5" w:rsidRPr="00FB3674">
        <w:t xml:space="preserve"> </w:t>
      </w:r>
      <w:r w:rsidRPr="00FB3674">
        <w:t>do</w:t>
      </w:r>
      <w:r w:rsidR="001F7ED5" w:rsidRPr="00FB3674">
        <w:t xml:space="preserve"> </w:t>
      </w:r>
      <w:r w:rsidRPr="00FB3674">
        <w:t>not</w:t>
      </w:r>
      <w:r w:rsidR="001F7ED5" w:rsidRPr="00FB3674">
        <w:t xml:space="preserve"> </w:t>
      </w:r>
      <w:r w:rsidRPr="00FB3674">
        <w:t>disclose</w:t>
      </w:r>
      <w:r w:rsidR="001F7ED5" w:rsidRPr="00FB3674">
        <w:t xml:space="preserve"> </w:t>
      </w:r>
      <w:r w:rsidRPr="00FB3674">
        <w:t>any</w:t>
      </w:r>
      <w:r w:rsidR="001F7ED5" w:rsidRPr="00FB3674">
        <w:t xml:space="preserve"> </w:t>
      </w:r>
      <w:r w:rsidRPr="00FB3674">
        <w:t>fact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would</w:t>
      </w:r>
      <w:r w:rsidR="001F7ED5" w:rsidRPr="00FB3674">
        <w:t xml:space="preserve"> </w:t>
      </w:r>
      <w:r w:rsidRPr="00FB3674">
        <w:t>give</w:t>
      </w:r>
      <w:r w:rsidR="001F7ED5" w:rsidRPr="00FB3674">
        <w:t xml:space="preserve"> </w:t>
      </w:r>
      <w:r w:rsidRPr="00FB3674">
        <w:t>grounds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assert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they</w:t>
      </w:r>
      <w:r w:rsidR="001F7ED5" w:rsidRPr="00FB3674">
        <w:t xml:space="preserve"> </w:t>
      </w:r>
      <w:r w:rsidRPr="00FB3674">
        <w:t>were</w:t>
      </w:r>
      <w:r w:rsidR="001F7ED5" w:rsidRPr="00FB3674">
        <w:t xml:space="preserve"> </w:t>
      </w:r>
      <w:r w:rsidRPr="00FB3674">
        <w:t>manifestly</w:t>
      </w:r>
      <w:r w:rsidR="001F7ED5" w:rsidRPr="00FB3674">
        <w:t xml:space="preserve"> </w:t>
      </w:r>
      <w:r w:rsidRPr="00FB3674">
        <w:t>tainted</w:t>
      </w:r>
      <w:r w:rsidR="001F7ED5" w:rsidRPr="00FB3674">
        <w:t xml:space="preserve"> </w:t>
      </w:r>
      <w:r w:rsidRPr="00FB3674">
        <w:t>by</w:t>
      </w:r>
      <w:r w:rsidR="001F7ED5" w:rsidRPr="00FB3674">
        <w:t xml:space="preserve"> </w:t>
      </w:r>
      <w:r w:rsidRPr="00FB3674">
        <w:t>arbitrariness</w:t>
      </w:r>
      <w:r w:rsidR="001F7ED5" w:rsidRPr="00FB3674">
        <w:t xml:space="preserve"> </w:t>
      </w:r>
      <w:r w:rsidRPr="00FB3674">
        <w:t>or</w:t>
      </w:r>
      <w:r w:rsidR="001F7ED5" w:rsidRPr="00FB3674">
        <w:t xml:space="preserve"> </w:t>
      </w:r>
      <w:r w:rsidRPr="00FB3674">
        <w:t>amounted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a</w:t>
      </w:r>
      <w:r w:rsidR="001F7ED5" w:rsidRPr="00FB3674">
        <w:t xml:space="preserve"> </w:t>
      </w:r>
      <w:r w:rsidRPr="00FB3674">
        <w:t>denial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justice.</w:t>
      </w:r>
      <w:r w:rsidR="001F7ED5" w:rsidRPr="00FB3674">
        <w:t xml:space="preserve"> </w:t>
      </w:r>
      <w:r w:rsidRPr="00FB3674">
        <w:t>Thus,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State</w:t>
      </w:r>
      <w:r w:rsidR="001F7ED5" w:rsidRPr="00FB3674">
        <w:t xml:space="preserve"> </w:t>
      </w:r>
      <w:r w:rsidRPr="00FB3674">
        <w:t>party</w:t>
      </w:r>
      <w:r w:rsidR="001F7ED5" w:rsidRPr="00FB3674">
        <w:t xml:space="preserve"> </w:t>
      </w:r>
      <w:r w:rsidRPr="00FB3674">
        <w:t>observes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author</w:t>
      </w:r>
      <w:r w:rsidR="001F7ED5" w:rsidRPr="00FB3674">
        <w:t xml:space="preserve"> </w:t>
      </w:r>
      <w:r w:rsidRPr="00FB3674">
        <w:t>had</w:t>
      </w:r>
      <w:r w:rsidR="001F7ED5" w:rsidRPr="00FB3674">
        <w:t xml:space="preserve"> </w:t>
      </w:r>
      <w:r w:rsidRPr="00FB3674">
        <w:t>failed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substantiate</w:t>
      </w:r>
      <w:r w:rsidR="001F7ED5" w:rsidRPr="00FB3674">
        <w:t xml:space="preserve"> </w:t>
      </w:r>
      <w:r w:rsidRPr="00FB3674">
        <w:t>his</w:t>
      </w:r>
      <w:r w:rsidR="001F7ED5" w:rsidRPr="00FB3674">
        <w:t xml:space="preserve"> </w:t>
      </w:r>
      <w:r w:rsidRPr="00FB3674">
        <w:t>claim</w:t>
      </w:r>
      <w:r w:rsidR="001F7ED5" w:rsidRPr="00FB3674">
        <w:t xml:space="preserve"> </w:t>
      </w:r>
      <w:r w:rsidRPr="00FB3674">
        <w:t>alleging</w:t>
      </w:r>
      <w:r w:rsidR="001F7ED5" w:rsidRPr="00FB3674">
        <w:t xml:space="preserve"> </w:t>
      </w:r>
      <w:r w:rsidRPr="00FB3674">
        <w:t>incitement</w:t>
      </w:r>
      <w:r w:rsidR="001F7ED5" w:rsidRPr="00FB3674">
        <w:t xml:space="preserve"> </w:t>
      </w:r>
      <w:r w:rsidRPr="00FB3674">
        <w:t>by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police</w:t>
      </w:r>
      <w:r w:rsidR="001F7ED5" w:rsidRPr="00FB3674">
        <w:t xml:space="preserve"> </w:t>
      </w:r>
      <w:r w:rsidRPr="00FB3674">
        <w:t>for</w:t>
      </w:r>
      <w:r w:rsidR="001F7ED5" w:rsidRPr="00FB3674">
        <w:t xml:space="preserve"> </w:t>
      </w:r>
      <w:r w:rsidRPr="00FB3674">
        <w:t>purposes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admissibility,</w:t>
      </w:r>
      <w:r w:rsidR="001F7ED5" w:rsidRPr="00FB3674">
        <w:t xml:space="preserve"> </w:t>
      </w:r>
      <w:r w:rsidRPr="00FB3674">
        <w:t>and</w:t>
      </w:r>
      <w:r w:rsidR="001F7ED5" w:rsidRPr="00FB3674">
        <w:t xml:space="preserve"> </w:t>
      </w:r>
      <w:r w:rsidRPr="00FB3674">
        <w:t>this</w:t>
      </w:r>
      <w:r w:rsidR="001F7ED5" w:rsidRPr="00FB3674">
        <w:t xml:space="preserve"> </w:t>
      </w:r>
      <w:r w:rsidRPr="00FB3674">
        <w:t>part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communication</w:t>
      </w:r>
      <w:r w:rsidR="001F7ED5" w:rsidRPr="00FB3674">
        <w:t xml:space="preserve"> </w:t>
      </w:r>
      <w:r w:rsidRPr="00FB3674">
        <w:t>must</w:t>
      </w:r>
      <w:r w:rsidR="001F7ED5" w:rsidRPr="00FB3674">
        <w:t xml:space="preserve"> </w:t>
      </w:r>
      <w:r w:rsidRPr="00FB3674">
        <w:t>be</w:t>
      </w:r>
      <w:r w:rsidR="001F7ED5" w:rsidRPr="00FB3674">
        <w:t xml:space="preserve"> </w:t>
      </w:r>
      <w:r w:rsidRPr="00FB3674">
        <w:t>declared</w:t>
      </w:r>
      <w:r w:rsidR="001F7ED5" w:rsidRPr="00FB3674">
        <w:t xml:space="preserve"> </w:t>
      </w:r>
      <w:r w:rsidRPr="00FB3674">
        <w:t>as</w:t>
      </w:r>
      <w:r w:rsidR="001F7ED5" w:rsidRPr="00FB3674">
        <w:t xml:space="preserve"> </w:t>
      </w:r>
      <w:r w:rsidRPr="00FB3674">
        <w:t>incompatible</w:t>
      </w:r>
      <w:r w:rsidR="001F7ED5" w:rsidRPr="00FB3674">
        <w:t xml:space="preserve"> </w:t>
      </w:r>
      <w:r w:rsidRPr="00FB3674">
        <w:t>with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provisions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Covenant</w:t>
      </w:r>
      <w:r w:rsidR="001F7ED5" w:rsidRPr="00FB3674">
        <w:t xml:space="preserve"> </w:t>
      </w:r>
      <w:r w:rsidRPr="00FB3674">
        <w:t>and</w:t>
      </w:r>
      <w:r w:rsidR="001F7ED5" w:rsidRPr="00FB3674">
        <w:t xml:space="preserve"> </w:t>
      </w:r>
      <w:r w:rsidRPr="00FB3674">
        <w:t>therefore</w:t>
      </w:r>
      <w:r w:rsidR="001F7ED5" w:rsidRPr="00FB3674">
        <w:t xml:space="preserve"> </w:t>
      </w:r>
      <w:r w:rsidRPr="00FB3674">
        <w:t>inadmissible</w:t>
      </w:r>
      <w:r w:rsidR="001F7ED5" w:rsidRPr="00FB3674">
        <w:t xml:space="preserve"> </w:t>
      </w:r>
      <w:r w:rsidRPr="00FB3674">
        <w:t>under</w:t>
      </w:r>
      <w:r w:rsidR="001F7ED5" w:rsidRPr="00FB3674">
        <w:t xml:space="preserve"> </w:t>
      </w:r>
      <w:r w:rsidRPr="00FB3674">
        <w:t>article</w:t>
      </w:r>
      <w:r w:rsidR="001F7ED5" w:rsidRPr="00FB3674">
        <w:t xml:space="preserve"> </w:t>
      </w:r>
      <w:r w:rsidRPr="00FB3674">
        <w:t>3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Optional</w:t>
      </w:r>
      <w:r w:rsidR="001F7ED5" w:rsidRPr="00FB3674">
        <w:t xml:space="preserve"> </w:t>
      </w:r>
      <w:r w:rsidRPr="00FB3674">
        <w:t>Protocol.</w:t>
      </w:r>
    </w:p>
    <w:p w14:paraId="0A41EA4A" w14:textId="77777777" w:rsidR="001F7ED5" w:rsidRPr="00FB3674" w:rsidRDefault="005D5882" w:rsidP="005D5882">
      <w:pPr>
        <w:pStyle w:val="SingleTxtG"/>
        <w:rPr>
          <w:rStyle w:val="FootnoteReference"/>
        </w:rPr>
      </w:pPr>
      <w:r w:rsidRPr="00FB3674">
        <w:t>4.24</w:t>
      </w:r>
      <w:r w:rsidRPr="00FB3674">
        <w:tab/>
        <w:t>Referring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fairness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trial,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State</w:t>
      </w:r>
      <w:r w:rsidR="001F7ED5" w:rsidRPr="00FB3674">
        <w:t xml:space="preserve"> </w:t>
      </w:r>
      <w:r w:rsidRPr="00FB3674">
        <w:t>party</w:t>
      </w:r>
      <w:r w:rsidR="001F7ED5" w:rsidRPr="00FB3674">
        <w:t xml:space="preserve"> </w:t>
      </w:r>
      <w:r w:rsidRPr="00FB3674">
        <w:t>observes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author</w:t>
      </w:r>
      <w:r w:rsidR="001F7ED5" w:rsidRPr="00FB3674">
        <w:t xml:space="preserve"> </w:t>
      </w:r>
      <w:r w:rsidRPr="00FB3674">
        <w:t>has</w:t>
      </w:r>
      <w:r w:rsidR="001F7ED5" w:rsidRPr="00FB3674">
        <w:t xml:space="preserve"> </w:t>
      </w:r>
      <w:r w:rsidRPr="00FB3674">
        <w:t>failed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substantiate</w:t>
      </w:r>
      <w:r w:rsidR="001F7ED5" w:rsidRPr="00FB3674">
        <w:t xml:space="preserve"> </w:t>
      </w:r>
      <w:r w:rsidRPr="00FB3674">
        <w:t>his</w:t>
      </w:r>
      <w:r w:rsidR="001F7ED5" w:rsidRPr="00FB3674">
        <w:t xml:space="preserve"> </w:t>
      </w:r>
      <w:r w:rsidRPr="00FB3674">
        <w:t>claims</w:t>
      </w:r>
      <w:r w:rsidR="001F7ED5" w:rsidRPr="00FB3674">
        <w:t xml:space="preserve"> </w:t>
      </w:r>
      <w:r w:rsidRPr="00FB3674">
        <w:t>under</w:t>
      </w:r>
      <w:r w:rsidR="001F7ED5" w:rsidRPr="00FB3674">
        <w:t xml:space="preserve"> </w:t>
      </w:r>
      <w:r w:rsidRPr="00FB3674">
        <w:t>article</w:t>
      </w:r>
      <w:r w:rsidR="001F7ED5" w:rsidRPr="00FB3674">
        <w:t xml:space="preserve"> </w:t>
      </w:r>
      <w:r w:rsidRPr="00FB3674">
        <w:t>14</w:t>
      </w:r>
      <w:r w:rsidR="001F7ED5" w:rsidRPr="00FB3674">
        <w:t xml:space="preserve"> </w:t>
      </w:r>
      <w:r w:rsidRPr="00FB3674">
        <w:t>(1).</w:t>
      </w:r>
      <w:r w:rsidR="001F7ED5" w:rsidRPr="00FB3674">
        <w:t xml:space="preserve"> </w:t>
      </w:r>
      <w:r w:rsidRPr="00FB3674">
        <w:t>Furthermore,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State</w:t>
      </w:r>
      <w:r w:rsidR="001F7ED5" w:rsidRPr="00FB3674">
        <w:t xml:space="preserve"> </w:t>
      </w:r>
      <w:r w:rsidRPr="00FB3674">
        <w:t>party</w:t>
      </w:r>
      <w:r w:rsidR="001F7ED5" w:rsidRPr="00FB3674">
        <w:t xml:space="preserve"> </w:t>
      </w:r>
      <w:r w:rsidRPr="00FB3674">
        <w:t>notes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Committee</w:t>
      </w:r>
      <w:r w:rsidR="001F7ED5" w:rsidRPr="00FB3674">
        <w:t xml:space="preserve"> </w:t>
      </w:r>
      <w:r w:rsidRPr="00FB3674">
        <w:t>has</w:t>
      </w:r>
      <w:r w:rsidR="001F7ED5" w:rsidRPr="00FB3674">
        <w:t xml:space="preserve"> </w:t>
      </w:r>
      <w:r w:rsidRPr="00FB3674">
        <w:t>established</w:t>
      </w:r>
      <w:r w:rsidR="001F7ED5" w:rsidRPr="00FB3674">
        <w:t xml:space="preserve"> </w:t>
      </w:r>
      <w:r w:rsidRPr="00FB3674">
        <w:t>in</w:t>
      </w:r>
      <w:r w:rsidR="001F7ED5" w:rsidRPr="00FB3674">
        <w:t xml:space="preserve"> </w:t>
      </w:r>
      <w:r w:rsidRPr="00FB3674">
        <w:t>its</w:t>
      </w:r>
      <w:r w:rsidR="001F7ED5" w:rsidRPr="00FB3674">
        <w:t xml:space="preserve"> </w:t>
      </w:r>
      <w:r w:rsidRPr="00FB3674">
        <w:t>jurisprudence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requirement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impartiality</w:t>
      </w:r>
      <w:r w:rsidR="001F7ED5" w:rsidRPr="00FB3674">
        <w:t xml:space="preserve"> </w:t>
      </w:r>
      <w:r w:rsidRPr="00FB3674">
        <w:t>has</w:t>
      </w:r>
      <w:r w:rsidR="001F7ED5" w:rsidRPr="00FB3674">
        <w:t xml:space="preserve"> </w:t>
      </w:r>
      <w:r w:rsidRPr="00FB3674">
        <w:t>two</w:t>
      </w:r>
      <w:r w:rsidR="001F7ED5" w:rsidRPr="00FB3674">
        <w:t xml:space="preserve"> </w:t>
      </w:r>
      <w:r w:rsidRPr="00FB3674">
        <w:t>aspects.</w:t>
      </w:r>
      <w:r w:rsidR="001F7ED5" w:rsidRPr="00FB3674">
        <w:t xml:space="preserve"> </w:t>
      </w:r>
      <w:r w:rsidRPr="00FB3674">
        <w:t>First,</w:t>
      </w:r>
      <w:r w:rsidR="001F7ED5" w:rsidRPr="00FB3674">
        <w:t xml:space="preserve"> </w:t>
      </w:r>
      <w:r w:rsidRPr="00FB3674">
        <w:t>judges</w:t>
      </w:r>
      <w:r w:rsidR="001F7ED5" w:rsidRPr="00FB3674">
        <w:t xml:space="preserve"> </w:t>
      </w:r>
      <w:r w:rsidRPr="00FB3674">
        <w:t>must</w:t>
      </w:r>
      <w:r w:rsidR="001F7ED5" w:rsidRPr="00FB3674">
        <w:t xml:space="preserve"> </w:t>
      </w:r>
      <w:r w:rsidRPr="00FB3674">
        <w:t>not</w:t>
      </w:r>
      <w:r w:rsidR="001F7ED5" w:rsidRPr="00FB3674">
        <w:t xml:space="preserve"> </w:t>
      </w:r>
      <w:r w:rsidRPr="00FB3674">
        <w:t>allow</w:t>
      </w:r>
      <w:r w:rsidR="001F7ED5" w:rsidRPr="00FB3674">
        <w:t xml:space="preserve"> </w:t>
      </w:r>
      <w:r w:rsidRPr="00FB3674">
        <w:t>their</w:t>
      </w:r>
      <w:r w:rsidR="001F7ED5" w:rsidRPr="00FB3674">
        <w:t xml:space="preserve"> </w:t>
      </w:r>
      <w:r w:rsidRPr="00FB3674">
        <w:t>judgment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be</w:t>
      </w:r>
      <w:r w:rsidR="001F7ED5" w:rsidRPr="00FB3674">
        <w:t xml:space="preserve"> </w:t>
      </w:r>
      <w:r w:rsidRPr="00FB3674">
        <w:t>influenced</w:t>
      </w:r>
      <w:r w:rsidR="001F7ED5" w:rsidRPr="00FB3674">
        <w:t xml:space="preserve"> </w:t>
      </w:r>
      <w:r w:rsidRPr="00FB3674">
        <w:t>by</w:t>
      </w:r>
      <w:r w:rsidR="001F7ED5" w:rsidRPr="00FB3674">
        <w:t xml:space="preserve"> </w:t>
      </w:r>
      <w:r w:rsidRPr="00FB3674">
        <w:t>personal</w:t>
      </w:r>
      <w:r w:rsidR="001F7ED5" w:rsidRPr="00FB3674">
        <w:t xml:space="preserve"> </w:t>
      </w:r>
      <w:r w:rsidRPr="00FB3674">
        <w:t>bias</w:t>
      </w:r>
      <w:r w:rsidR="001F7ED5" w:rsidRPr="00FB3674">
        <w:t xml:space="preserve"> </w:t>
      </w:r>
      <w:r w:rsidRPr="00FB3674">
        <w:t>or</w:t>
      </w:r>
      <w:r w:rsidR="001F7ED5" w:rsidRPr="00FB3674">
        <w:t xml:space="preserve"> </w:t>
      </w:r>
      <w:r w:rsidRPr="00FB3674">
        <w:t>prejudice,</w:t>
      </w:r>
      <w:r w:rsidR="001F7ED5" w:rsidRPr="00FB3674">
        <w:t xml:space="preserve"> </w:t>
      </w:r>
      <w:r w:rsidRPr="00FB3674">
        <w:t>nor</w:t>
      </w:r>
      <w:r w:rsidR="001F7ED5" w:rsidRPr="00FB3674">
        <w:t xml:space="preserve"> </w:t>
      </w:r>
      <w:r w:rsidRPr="00FB3674">
        <w:t>harbour</w:t>
      </w:r>
      <w:r w:rsidR="001F7ED5" w:rsidRPr="00FB3674">
        <w:t xml:space="preserve"> </w:t>
      </w:r>
      <w:r w:rsidRPr="00FB3674">
        <w:t>preconceptions</w:t>
      </w:r>
      <w:r w:rsidR="001F7ED5" w:rsidRPr="00FB3674">
        <w:t xml:space="preserve"> </w:t>
      </w:r>
      <w:r w:rsidRPr="00FB3674">
        <w:t>about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particular</w:t>
      </w:r>
      <w:r w:rsidR="001F7ED5" w:rsidRPr="00FB3674">
        <w:t xml:space="preserve"> </w:t>
      </w:r>
      <w:r w:rsidRPr="00FB3674">
        <w:t>case</w:t>
      </w:r>
      <w:r w:rsidR="001F7ED5" w:rsidRPr="00FB3674">
        <w:t xml:space="preserve"> </w:t>
      </w:r>
      <w:r w:rsidRPr="00FB3674">
        <w:t>before</w:t>
      </w:r>
      <w:r w:rsidR="001F7ED5" w:rsidRPr="00FB3674">
        <w:t xml:space="preserve"> </w:t>
      </w:r>
      <w:r w:rsidRPr="00FB3674">
        <w:t>them,</w:t>
      </w:r>
      <w:r w:rsidR="001F7ED5" w:rsidRPr="00FB3674">
        <w:t xml:space="preserve"> </w:t>
      </w:r>
      <w:r w:rsidRPr="00FB3674">
        <w:t>nor</w:t>
      </w:r>
      <w:r w:rsidR="001F7ED5" w:rsidRPr="00FB3674">
        <w:t xml:space="preserve"> </w:t>
      </w:r>
      <w:r w:rsidRPr="00FB3674">
        <w:t>act</w:t>
      </w:r>
      <w:r w:rsidR="001F7ED5" w:rsidRPr="00FB3674">
        <w:t xml:space="preserve"> </w:t>
      </w:r>
      <w:r w:rsidRPr="00FB3674">
        <w:t>in</w:t>
      </w:r>
      <w:r w:rsidR="001F7ED5" w:rsidRPr="00FB3674">
        <w:t xml:space="preserve"> </w:t>
      </w:r>
      <w:r w:rsidRPr="00FB3674">
        <w:t>ways</w:t>
      </w:r>
      <w:r w:rsidR="001F7ED5" w:rsidRPr="00FB3674">
        <w:t xml:space="preserve"> </w:t>
      </w:r>
      <w:r w:rsidRPr="00FB3674">
        <w:lastRenderedPageBreak/>
        <w:t>that</w:t>
      </w:r>
      <w:r w:rsidR="001F7ED5" w:rsidRPr="00FB3674">
        <w:t xml:space="preserve"> </w:t>
      </w:r>
      <w:r w:rsidRPr="00FB3674">
        <w:t>improperly</w:t>
      </w:r>
      <w:r w:rsidR="001F7ED5" w:rsidRPr="00FB3674">
        <w:t xml:space="preserve"> </w:t>
      </w:r>
      <w:r w:rsidRPr="00FB3674">
        <w:t>promote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interests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one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parties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detriment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other.</w:t>
      </w:r>
      <w:r w:rsidR="001F7ED5" w:rsidRPr="00FB3674">
        <w:t xml:space="preserve"> </w:t>
      </w:r>
      <w:r w:rsidRPr="00FB3674">
        <w:t>Second,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tribunal</w:t>
      </w:r>
      <w:r w:rsidR="001F7ED5" w:rsidRPr="00FB3674">
        <w:t xml:space="preserve"> </w:t>
      </w:r>
      <w:r w:rsidRPr="00FB3674">
        <w:t>must</w:t>
      </w:r>
      <w:r w:rsidR="001F7ED5" w:rsidRPr="00FB3674">
        <w:t xml:space="preserve"> </w:t>
      </w:r>
      <w:r w:rsidRPr="00FB3674">
        <w:t>also</w:t>
      </w:r>
      <w:r w:rsidR="001F7ED5" w:rsidRPr="00FB3674">
        <w:t xml:space="preserve"> </w:t>
      </w:r>
      <w:r w:rsidRPr="00FB3674">
        <w:t>appear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a</w:t>
      </w:r>
      <w:r w:rsidR="001F7ED5" w:rsidRPr="00FB3674">
        <w:t xml:space="preserve"> </w:t>
      </w:r>
      <w:r w:rsidRPr="00FB3674">
        <w:t>reasonable</w:t>
      </w:r>
      <w:r w:rsidR="001F7ED5" w:rsidRPr="00FB3674">
        <w:t xml:space="preserve"> </w:t>
      </w:r>
      <w:r w:rsidRPr="00FB3674">
        <w:t>observer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be</w:t>
      </w:r>
      <w:r w:rsidR="001F7ED5" w:rsidRPr="00FB3674">
        <w:t xml:space="preserve"> </w:t>
      </w:r>
      <w:r w:rsidRPr="00FB3674">
        <w:t>impartial.</w:t>
      </w:r>
      <w:r w:rsidRPr="00FB3674">
        <w:rPr>
          <w:rStyle w:val="FootnoteReference"/>
        </w:rPr>
        <w:footnoteReference w:id="9"/>
      </w:r>
    </w:p>
    <w:p w14:paraId="5DA0CDAB" w14:textId="4604F5C2" w:rsidR="001F7ED5" w:rsidRPr="00FB3674" w:rsidRDefault="005D5882" w:rsidP="005D5882">
      <w:pPr>
        <w:pStyle w:val="SingleTxtG"/>
      </w:pPr>
      <w:r w:rsidRPr="00FB3674">
        <w:t>4.25</w:t>
      </w:r>
      <w:r w:rsidRPr="00FB3674">
        <w:tab/>
        <w:t>The</w:t>
      </w:r>
      <w:r w:rsidR="001F7ED5" w:rsidRPr="00FB3674">
        <w:t xml:space="preserve"> </w:t>
      </w:r>
      <w:r w:rsidRPr="00FB3674">
        <w:t>State</w:t>
      </w:r>
      <w:r w:rsidR="001F7ED5" w:rsidRPr="00FB3674">
        <w:t xml:space="preserve"> </w:t>
      </w:r>
      <w:r w:rsidRPr="00FB3674">
        <w:t>party</w:t>
      </w:r>
      <w:r w:rsidR="001F7ED5" w:rsidRPr="00FB3674">
        <w:t xml:space="preserve"> </w:t>
      </w:r>
      <w:r w:rsidRPr="00FB3674">
        <w:t>notes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author</w:t>
      </w:r>
      <w:r w:rsidR="001F7ED5" w:rsidRPr="00FB3674">
        <w:t xml:space="preserve"> </w:t>
      </w:r>
      <w:r w:rsidRPr="00FB3674">
        <w:t>has</w:t>
      </w:r>
      <w:r w:rsidR="001F7ED5" w:rsidRPr="00FB3674">
        <w:t xml:space="preserve"> </w:t>
      </w:r>
      <w:r w:rsidRPr="00FB3674">
        <w:t>failed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indicate</w:t>
      </w:r>
      <w:r w:rsidR="001F7ED5" w:rsidRPr="00FB3674">
        <w:t xml:space="preserve"> </w:t>
      </w:r>
      <w:r w:rsidRPr="00FB3674">
        <w:t>a</w:t>
      </w:r>
      <w:r w:rsidR="001F7ED5" w:rsidRPr="00FB3674">
        <w:t xml:space="preserve"> </w:t>
      </w:r>
      <w:r w:rsidRPr="00FB3674">
        <w:t>single</w:t>
      </w:r>
      <w:r w:rsidR="001F7ED5" w:rsidRPr="00FB3674">
        <w:t xml:space="preserve"> </w:t>
      </w:r>
      <w:r w:rsidRPr="00FB3674">
        <w:t>instance</w:t>
      </w:r>
      <w:r w:rsidR="001F7ED5" w:rsidRPr="00FB3674">
        <w:t xml:space="preserve"> </w:t>
      </w:r>
      <w:r w:rsidRPr="00FB3674">
        <w:t>during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course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de</w:t>
      </w:r>
      <w:r w:rsidR="001F7ED5" w:rsidRPr="00FB3674">
        <w:t xml:space="preserve"> </w:t>
      </w:r>
      <w:r w:rsidRPr="00FB3674">
        <w:t>novo</w:t>
      </w:r>
      <w:r w:rsidR="001F7ED5" w:rsidRPr="00FB3674">
        <w:rPr>
          <w:i/>
          <w:iCs/>
        </w:rPr>
        <w:t xml:space="preserve"> </w:t>
      </w:r>
      <w:r w:rsidRPr="00FB3674">
        <w:t>adjudication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criminal</w:t>
      </w:r>
      <w:r w:rsidR="001F7ED5" w:rsidRPr="00FB3674">
        <w:t xml:space="preserve"> </w:t>
      </w:r>
      <w:r w:rsidRPr="00FB3674">
        <w:t>proceedings</w:t>
      </w:r>
      <w:r w:rsidR="001F7ED5" w:rsidRPr="00FB3674">
        <w:t xml:space="preserve"> </w:t>
      </w:r>
      <w:r w:rsidRPr="00FB3674">
        <w:t>against</w:t>
      </w:r>
      <w:r w:rsidR="001F7ED5" w:rsidRPr="00FB3674">
        <w:t xml:space="preserve"> </w:t>
      </w:r>
      <w:r w:rsidRPr="00FB3674">
        <w:t>him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domestic</w:t>
      </w:r>
      <w:r w:rsidR="001F7ED5" w:rsidRPr="00FB3674">
        <w:t xml:space="preserve"> </w:t>
      </w:r>
      <w:r w:rsidRPr="00FB3674">
        <w:t>tribunals</w:t>
      </w:r>
      <w:r w:rsidR="001F7ED5" w:rsidRPr="00FB3674">
        <w:t xml:space="preserve"> </w:t>
      </w:r>
      <w:r w:rsidRPr="00FB3674">
        <w:t>acting</w:t>
      </w:r>
      <w:r w:rsidR="001F7ED5" w:rsidRPr="00FB3674">
        <w:t xml:space="preserve"> </w:t>
      </w:r>
      <w:r w:rsidRPr="00FB3674">
        <w:t>in</w:t>
      </w:r>
      <w:r w:rsidR="001F7ED5" w:rsidRPr="00FB3674">
        <w:t xml:space="preserve"> </w:t>
      </w:r>
      <w:r w:rsidRPr="00FB3674">
        <w:t>a</w:t>
      </w:r>
      <w:r w:rsidR="001F7ED5" w:rsidRPr="00FB3674">
        <w:t xml:space="preserve"> </w:t>
      </w:r>
      <w:r w:rsidRPr="00FB3674">
        <w:t>manner</w:t>
      </w:r>
      <w:r w:rsidR="001F7ED5" w:rsidRPr="00FB3674">
        <w:t xml:space="preserve"> </w:t>
      </w:r>
      <w:r w:rsidRPr="00FB3674">
        <w:t>indicating</w:t>
      </w:r>
      <w:r w:rsidR="001F7ED5" w:rsidRPr="00FB3674">
        <w:t xml:space="preserve"> </w:t>
      </w:r>
      <w:r w:rsidRPr="00FB3674">
        <w:t>personal</w:t>
      </w:r>
      <w:r w:rsidR="001F7ED5" w:rsidRPr="00FB3674">
        <w:t xml:space="preserve"> </w:t>
      </w:r>
      <w:r w:rsidRPr="00FB3674">
        <w:t>bias</w:t>
      </w:r>
      <w:r w:rsidR="001F7ED5" w:rsidRPr="00FB3674">
        <w:t xml:space="preserve"> </w:t>
      </w:r>
      <w:r w:rsidRPr="00FB3674">
        <w:t>or</w:t>
      </w:r>
      <w:r w:rsidR="001F7ED5" w:rsidRPr="00FB3674">
        <w:t xml:space="preserve"> </w:t>
      </w:r>
      <w:r w:rsidRPr="00FB3674">
        <w:t>prejudice</w:t>
      </w:r>
      <w:r w:rsidR="001F7ED5" w:rsidRPr="00FB3674">
        <w:t xml:space="preserve"> </w:t>
      </w:r>
      <w:r w:rsidRPr="00FB3674">
        <w:t>against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author,</w:t>
      </w:r>
      <w:r w:rsidR="001F7ED5" w:rsidRPr="00FB3674">
        <w:t xml:space="preserve"> </w:t>
      </w:r>
      <w:r w:rsidRPr="00FB3674">
        <w:t>or</w:t>
      </w:r>
      <w:r w:rsidR="001F7ED5" w:rsidRPr="00FB3674">
        <w:t xml:space="preserve"> </w:t>
      </w:r>
      <w:r w:rsidRPr="00FB3674">
        <w:t>acting</w:t>
      </w:r>
      <w:r w:rsidR="001F7ED5" w:rsidRPr="00FB3674">
        <w:t xml:space="preserve"> </w:t>
      </w:r>
      <w:r w:rsidRPr="00FB3674">
        <w:t>in</w:t>
      </w:r>
      <w:r w:rsidR="001F7ED5" w:rsidRPr="00FB3674">
        <w:t xml:space="preserve"> </w:t>
      </w:r>
      <w:r w:rsidRPr="00FB3674">
        <w:t>a</w:t>
      </w:r>
      <w:r w:rsidR="001F7ED5" w:rsidRPr="00FB3674">
        <w:t xml:space="preserve"> </w:t>
      </w:r>
      <w:r w:rsidRPr="00FB3674">
        <w:t>manner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would</w:t>
      </w:r>
      <w:r w:rsidR="001F7ED5" w:rsidRPr="00FB3674">
        <w:t xml:space="preserve"> </w:t>
      </w:r>
      <w:r w:rsidRPr="00FB3674">
        <w:t>not</w:t>
      </w:r>
      <w:r w:rsidR="001F7ED5" w:rsidRPr="00FB3674">
        <w:t xml:space="preserve"> </w:t>
      </w:r>
      <w:r w:rsidRPr="00FB3674">
        <w:t>appear</w:t>
      </w:r>
      <w:r w:rsidR="001F7ED5" w:rsidRPr="00FB3674">
        <w:t xml:space="preserve"> </w:t>
      </w:r>
      <w:r w:rsidRPr="00FB3674">
        <w:t>impartial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a</w:t>
      </w:r>
      <w:r w:rsidR="001F7ED5" w:rsidRPr="00FB3674">
        <w:t xml:space="preserve"> </w:t>
      </w:r>
      <w:r w:rsidRPr="00FB3674">
        <w:t>reasonable</w:t>
      </w:r>
      <w:r w:rsidR="001F7ED5" w:rsidRPr="00FB3674">
        <w:t xml:space="preserve"> </w:t>
      </w:r>
      <w:r w:rsidRPr="00FB3674">
        <w:t>observer.</w:t>
      </w:r>
      <w:r w:rsidR="001F7ED5" w:rsidRPr="00FB3674">
        <w:t xml:space="preserve"> </w:t>
      </w:r>
      <w:r w:rsidRPr="00FB3674">
        <w:t>Instead,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author</w:t>
      </w:r>
      <w:r w:rsidR="00FB3674">
        <w:t>’</w:t>
      </w:r>
      <w:r w:rsidRPr="00FB3674">
        <w:t>s</w:t>
      </w:r>
      <w:r w:rsidR="001F7ED5" w:rsidRPr="00FB3674">
        <w:t xml:space="preserve"> </w:t>
      </w:r>
      <w:r w:rsidRPr="00FB3674">
        <w:t>complaint</w:t>
      </w:r>
      <w:r w:rsidR="001F7ED5" w:rsidRPr="00FB3674">
        <w:t xml:space="preserve"> </w:t>
      </w:r>
      <w:r w:rsidRPr="00FB3674">
        <w:t>is</w:t>
      </w:r>
      <w:r w:rsidR="001F7ED5" w:rsidRPr="00FB3674">
        <w:t xml:space="preserve"> </w:t>
      </w:r>
      <w:r w:rsidRPr="00FB3674">
        <w:t>based</w:t>
      </w:r>
      <w:r w:rsidR="001F7ED5" w:rsidRPr="00FB3674">
        <w:t xml:space="preserve"> </w:t>
      </w:r>
      <w:r w:rsidRPr="00FB3674">
        <w:t>on</w:t>
      </w:r>
      <w:r w:rsidR="001F7ED5" w:rsidRPr="00FB3674">
        <w:t xml:space="preserve"> </w:t>
      </w:r>
      <w:r w:rsidRPr="00FB3674">
        <w:t>his</w:t>
      </w:r>
      <w:r w:rsidR="001F7ED5" w:rsidRPr="00FB3674">
        <w:t xml:space="preserve"> </w:t>
      </w:r>
      <w:r w:rsidRPr="00FB3674">
        <w:t>dissatisfaction</w:t>
      </w:r>
      <w:r w:rsidR="001F7ED5" w:rsidRPr="00FB3674">
        <w:t xml:space="preserve"> </w:t>
      </w:r>
      <w:r w:rsidRPr="00FB3674">
        <w:t>with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fact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Chamber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Criminal</w:t>
      </w:r>
      <w:r w:rsidR="001F7ED5" w:rsidRPr="00FB3674">
        <w:t xml:space="preserve"> </w:t>
      </w:r>
      <w:r w:rsidRPr="00FB3674">
        <w:t>Cases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Supreme</w:t>
      </w:r>
      <w:r w:rsidR="001F7ED5" w:rsidRPr="00FB3674">
        <w:t xml:space="preserve"> </w:t>
      </w:r>
      <w:r w:rsidRPr="00FB3674">
        <w:t>Court,</w:t>
      </w:r>
      <w:r w:rsidR="001F7ED5" w:rsidRPr="00FB3674">
        <w:t xml:space="preserve"> </w:t>
      </w:r>
      <w:r w:rsidRPr="00FB3674">
        <w:t>under</w:t>
      </w:r>
      <w:r w:rsidR="001F7ED5" w:rsidRPr="00FB3674">
        <w:t xml:space="preserve"> </w:t>
      </w:r>
      <w:r w:rsidRPr="00FB3674">
        <w:t>article</w:t>
      </w:r>
      <w:r w:rsidR="001F7ED5" w:rsidRPr="00FB3674">
        <w:t xml:space="preserve"> </w:t>
      </w:r>
      <w:r w:rsidRPr="00FB3674">
        <w:t>500</w:t>
      </w:r>
      <w:r w:rsidR="001F7ED5" w:rsidRPr="00FB3674">
        <w:t xml:space="preserve"> </w:t>
      </w:r>
      <w:r w:rsidRPr="00FB3674">
        <w:t>(4)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Code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Criminal</w:t>
      </w:r>
      <w:r w:rsidR="001F7ED5" w:rsidRPr="00FB3674">
        <w:t xml:space="preserve"> </w:t>
      </w:r>
      <w:r w:rsidRPr="00FB3674">
        <w:t>Procedure,</w:t>
      </w:r>
      <w:r w:rsidR="001F7ED5" w:rsidRPr="00FB3674">
        <w:t xml:space="preserve"> </w:t>
      </w:r>
      <w:r w:rsidRPr="00FB3674">
        <w:t>denied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author</w:t>
      </w:r>
      <w:r w:rsidR="001F7ED5" w:rsidRPr="00FB3674">
        <w:t xml:space="preserve"> </w:t>
      </w:r>
      <w:r w:rsidRPr="00FB3674">
        <w:t>access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confidential</w:t>
      </w:r>
      <w:r w:rsidR="001F7ED5" w:rsidRPr="00FB3674">
        <w:t xml:space="preserve"> </w:t>
      </w:r>
      <w:r w:rsidRPr="00FB3674">
        <w:t>case</w:t>
      </w:r>
      <w:r w:rsidR="001F7ED5" w:rsidRPr="00FB3674">
        <w:t xml:space="preserve"> </w:t>
      </w:r>
      <w:r w:rsidRPr="00FB3674">
        <w:t>files.</w:t>
      </w:r>
    </w:p>
    <w:p w14:paraId="1BE586E8" w14:textId="77777777" w:rsidR="001F7ED5" w:rsidRPr="00FB3674" w:rsidRDefault="005D5882" w:rsidP="005D5882">
      <w:pPr>
        <w:pStyle w:val="SingleTxtG"/>
      </w:pPr>
      <w:r w:rsidRPr="00FB3674">
        <w:t>4.26</w:t>
      </w:r>
      <w:r w:rsidRPr="00FB3674">
        <w:tab/>
        <w:t>In</w:t>
      </w:r>
      <w:r w:rsidR="001F7ED5" w:rsidRPr="00FB3674">
        <w:t xml:space="preserve"> </w:t>
      </w:r>
      <w:r w:rsidRPr="00FB3674">
        <w:t>this</w:t>
      </w:r>
      <w:r w:rsidR="001F7ED5" w:rsidRPr="00FB3674">
        <w:t xml:space="preserve"> </w:t>
      </w:r>
      <w:r w:rsidRPr="00FB3674">
        <w:t>context,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State</w:t>
      </w:r>
      <w:r w:rsidR="001F7ED5" w:rsidRPr="00FB3674">
        <w:t xml:space="preserve"> </w:t>
      </w:r>
      <w:r w:rsidRPr="00FB3674">
        <w:t>party</w:t>
      </w:r>
      <w:r w:rsidR="001F7ED5" w:rsidRPr="00FB3674">
        <w:t xml:space="preserve"> </w:t>
      </w:r>
      <w:r w:rsidRPr="00FB3674">
        <w:t>submits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although</w:t>
      </w:r>
      <w:r w:rsidR="001F7ED5" w:rsidRPr="00FB3674">
        <w:t xml:space="preserve"> </w:t>
      </w:r>
      <w:r w:rsidRPr="00FB3674">
        <w:t>article</w:t>
      </w:r>
      <w:r w:rsidR="001F7ED5" w:rsidRPr="00FB3674">
        <w:t xml:space="preserve"> </w:t>
      </w:r>
      <w:r w:rsidRPr="00FB3674">
        <w:t>14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Covenant</w:t>
      </w:r>
      <w:r w:rsidR="001F7ED5" w:rsidRPr="00FB3674">
        <w:t xml:space="preserve"> </w:t>
      </w:r>
      <w:r w:rsidRPr="00FB3674">
        <w:t>protects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right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a</w:t>
      </w:r>
      <w:r w:rsidR="001F7ED5" w:rsidRPr="00FB3674">
        <w:t xml:space="preserve"> </w:t>
      </w:r>
      <w:r w:rsidRPr="00FB3674">
        <w:t>fair</w:t>
      </w:r>
      <w:r w:rsidR="001F7ED5" w:rsidRPr="00FB3674">
        <w:t xml:space="preserve"> </w:t>
      </w:r>
      <w:r w:rsidRPr="00FB3674">
        <w:t>trial</w:t>
      </w:r>
      <w:r w:rsidR="001F7ED5" w:rsidRPr="00FB3674">
        <w:t xml:space="preserve"> </w:t>
      </w:r>
      <w:r w:rsidRPr="00FB3674">
        <w:t>and</w:t>
      </w:r>
      <w:r w:rsidR="001F7ED5" w:rsidRPr="00FB3674">
        <w:t xml:space="preserve"> </w:t>
      </w:r>
      <w:r w:rsidRPr="00FB3674">
        <w:t>although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right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accused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have</w:t>
      </w:r>
      <w:r w:rsidR="001F7ED5" w:rsidRPr="00FB3674">
        <w:t xml:space="preserve"> </w:t>
      </w:r>
      <w:r w:rsidRPr="00FB3674">
        <w:t>adequate</w:t>
      </w:r>
      <w:r w:rsidR="001F7ED5" w:rsidRPr="00FB3674">
        <w:t xml:space="preserve"> </w:t>
      </w:r>
      <w:r w:rsidRPr="00FB3674">
        <w:t>facilities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prepare</w:t>
      </w:r>
      <w:r w:rsidR="001F7ED5" w:rsidRPr="00FB3674">
        <w:t xml:space="preserve"> </w:t>
      </w:r>
      <w:r w:rsidRPr="00FB3674">
        <w:t>their</w:t>
      </w:r>
      <w:r w:rsidR="001F7ED5" w:rsidRPr="00FB3674">
        <w:t xml:space="preserve"> </w:t>
      </w:r>
      <w:r w:rsidRPr="00FB3674">
        <w:t>defence</w:t>
      </w:r>
      <w:r w:rsidR="001F7ED5" w:rsidRPr="00FB3674">
        <w:t xml:space="preserve"> </w:t>
      </w:r>
      <w:r w:rsidRPr="00FB3674">
        <w:t>remains</w:t>
      </w:r>
      <w:r w:rsidR="001F7ED5" w:rsidRPr="00FB3674">
        <w:t xml:space="preserve"> </w:t>
      </w:r>
      <w:r w:rsidRPr="00FB3674">
        <w:t>an</w:t>
      </w:r>
      <w:r w:rsidR="001F7ED5" w:rsidRPr="00FB3674">
        <w:t xml:space="preserve"> </w:t>
      </w:r>
      <w:r w:rsidRPr="00FB3674">
        <w:t>essential</w:t>
      </w:r>
      <w:r w:rsidR="001F7ED5" w:rsidRPr="00FB3674">
        <w:t xml:space="preserve"> </w:t>
      </w:r>
      <w:r w:rsidRPr="00FB3674">
        <w:t>element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right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a</w:t>
      </w:r>
      <w:r w:rsidR="001F7ED5" w:rsidRPr="00FB3674">
        <w:t xml:space="preserve"> </w:t>
      </w:r>
      <w:r w:rsidRPr="00FB3674">
        <w:t>fair</w:t>
      </w:r>
      <w:r w:rsidR="001F7ED5" w:rsidRPr="00FB3674">
        <w:t xml:space="preserve"> </w:t>
      </w:r>
      <w:r w:rsidRPr="00FB3674">
        <w:t>trial,</w:t>
      </w:r>
      <w:r w:rsidR="001F7ED5" w:rsidRPr="00FB3674">
        <w:t xml:space="preserve"> </w:t>
      </w:r>
      <w:r w:rsidRPr="00FB3674">
        <w:t>article</w:t>
      </w:r>
      <w:r w:rsidR="001F7ED5" w:rsidRPr="00FB3674">
        <w:t xml:space="preserve"> </w:t>
      </w:r>
      <w:r w:rsidRPr="00FB3674">
        <w:t>14</w:t>
      </w:r>
      <w:r w:rsidR="001F7ED5" w:rsidRPr="00FB3674">
        <w:t xml:space="preserve"> </w:t>
      </w:r>
      <w:r w:rsidRPr="00FB3674">
        <w:t>does</w:t>
      </w:r>
      <w:r w:rsidR="001F7ED5" w:rsidRPr="00FB3674">
        <w:t xml:space="preserve"> </w:t>
      </w:r>
      <w:r w:rsidRPr="00FB3674">
        <w:t>not</w:t>
      </w:r>
      <w:r w:rsidR="001F7ED5" w:rsidRPr="00FB3674">
        <w:t xml:space="preserve"> </w:t>
      </w:r>
      <w:r w:rsidRPr="00FB3674">
        <w:t>set</w:t>
      </w:r>
      <w:r w:rsidR="001F7ED5" w:rsidRPr="00FB3674">
        <w:t xml:space="preserve"> </w:t>
      </w:r>
      <w:r w:rsidRPr="00FB3674">
        <w:t>out</w:t>
      </w:r>
      <w:r w:rsidR="001F7ED5" w:rsidRPr="00FB3674">
        <w:t xml:space="preserve"> </w:t>
      </w:r>
      <w:r w:rsidRPr="00FB3674">
        <w:t>an</w:t>
      </w:r>
      <w:r w:rsidR="001F7ED5" w:rsidRPr="00FB3674">
        <w:t xml:space="preserve"> </w:t>
      </w:r>
      <w:r w:rsidRPr="00FB3674">
        <w:t>explicit</w:t>
      </w:r>
      <w:r w:rsidR="001F7ED5" w:rsidRPr="00FB3674">
        <w:t xml:space="preserve"> </w:t>
      </w:r>
      <w:r w:rsidRPr="00FB3674">
        <w:t>right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accused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have</w:t>
      </w:r>
      <w:r w:rsidR="001F7ED5" w:rsidRPr="00FB3674">
        <w:t xml:space="preserve"> </w:t>
      </w:r>
      <w:r w:rsidRPr="00FB3674">
        <w:t>direct</w:t>
      </w:r>
      <w:r w:rsidR="001F7ED5" w:rsidRPr="00FB3674">
        <w:t xml:space="preserve"> </w:t>
      </w:r>
      <w:r w:rsidRPr="00FB3674">
        <w:t>access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all</w:t>
      </w:r>
      <w:r w:rsidR="001F7ED5" w:rsidRPr="00FB3674">
        <w:t xml:space="preserve"> </w:t>
      </w:r>
      <w:r w:rsidRPr="00FB3674">
        <w:t>documents</w:t>
      </w:r>
      <w:r w:rsidR="001F7ED5" w:rsidRPr="00FB3674">
        <w:t xml:space="preserve"> </w:t>
      </w:r>
      <w:r w:rsidRPr="00FB3674">
        <w:t>used</w:t>
      </w:r>
      <w:r w:rsidR="001F7ED5" w:rsidRPr="00FB3674">
        <w:t xml:space="preserve"> </w:t>
      </w:r>
      <w:r w:rsidRPr="00FB3674">
        <w:t>in</w:t>
      </w:r>
      <w:r w:rsidR="001F7ED5" w:rsidRPr="00FB3674">
        <w:t xml:space="preserve"> </w:t>
      </w:r>
      <w:r w:rsidRPr="00FB3674">
        <w:t>a</w:t>
      </w:r>
      <w:r w:rsidR="001F7ED5" w:rsidRPr="00FB3674">
        <w:t xml:space="preserve"> </w:t>
      </w:r>
      <w:r w:rsidRPr="00FB3674">
        <w:t>trial</w:t>
      </w:r>
      <w:r w:rsidR="001F7ED5" w:rsidRPr="00FB3674">
        <w:t xml:space="preserve"> </w:t>
      </w:r>
      <w:r w:rsidRPr="00FB3674">
        <w:t>against</w:t>
      </w:r>
      <w:r w:rsidR="001F7ED5" w:rsidRPr="00FB3674">
        <w:t xml:space="preserve"> </w:t>
      </w:r>
      <w:r w:rsidRPr="00FB3674">
        <w:t>them.</w:t>
      </w:r>
      <w:r w:rsidRPr="00FB3674">
        <w:rPr>
          <w:rStyle w:val="FootnoteReference"/>
        </w:rPr>
        <w:footnoteReference w:id="10"/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question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must</w:t>
      </w:r>
      <w:r w:rsidR="001F7ED5" w:rsidRPr="00FB3674">
        <w:t xml:space="preserve"> </w:t>
      </w:r>
      <w:r w:rsidRPr="00FB3674">
        <w:t>be</w:t>
      </w:r>
      <w:r w:rsidR="001F7ED5" w:rsidRPr="00FB3674">
        <w:t xml:space="preserve"> </w:t>
      </w:r>
      <w:r w:rsidRPr="00FB3674">
        <w:t>answered</w:t>
      </w:r>
      <w:r w:rsidR="001F7ED5" w:rsidRPr="00FB3674">
        <w:t xml:space="preserve"> </w:t>
      </w:r>
      <w:r w:rsidRPr="00FB3674">
        <w:t>in</w:t>
      </w:r>
      <w:r w:rsidR="001F7ED5" w:rsidRPr="00FB3674">
        <w:t xml:space="preserve"> </w:t>
      </w:r>
      <w:r w:rsidRPr="00FB3674">
        <w:t>such</w:t>
      </w:r>
      <w:r w:rsidR="001F7ED5" w:rsidRPr="00FB3674">
        <w:t xml:space="preserve"> </w:t>
      </w:r>
      <w:r w:rsidRPr="00FB3674">
        <w:t>situations</w:t>
      </w:r>
      <w:r w:rsidR="001F7ED5" w:rsidRPr="00FB3674">
        <w:t xml:space="preserve"> </w:t>
      </w:r>
      <w:r w:rsidRPr="00FB3674">
        <w:t>is</w:t>
      </w:r>
      <w:r w:rsidR="001F7ED5" w:rsidRPr="00FB3674">
        <w:t xml:space="preserve"> </w:t>
      </w:r>
      <w:r w:rsidRPr="00FB3674">
        <w:t>whether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use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such</w:t>
      </w:r>
      <w:r w:rsidR="001F7ED5" w:rsidRPr="00FB3674">
        <w:t xml:space="preserve"> </w:t>
      </w:r>
      <w:r w:rsidRPr="00FB3674">
        <w:t>material</w:t>
      </w:r>
      <w:r w:rsidR="001F7ED5" w:rsidRPr="00FB3674">
        <w:t xml:space="preserve"> </w:t>
      </w:r>
      <w:r w:rsidRPr="00FB3674">
        <w:t>has</w:t>
      </w:r>
      <w:r w:rsidR="001F7ED5" w:rsidRPr="00FB3674">
        <w:t xml:space="preserve"> </w:t>
      </w:r>
      <w:r w:rsidRPr="00FB3674">
        <w:t>violated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fairness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proceedings</w:t>
      </w:r>
      <w:r w:rsidR="001F7ED5" w:rsidRPr="00FB3674">
        <w:t xml:space="preserve"> </w:t>
      </w:r>
      <w:r w:rsidRPr="00FB3674">
        <w:t>as</w:t>
      </w:r>
      <w:r w:rsidR="001F7ED5" w:rsidRPr="00FB3674">
        <w:t xml:space="preserve"> </w:t>
      </w:r>
      <w:r w:rsidRPr="00FB3674">
        <w:t>a</w:t>
      </w:r>
      <w:r w:rsidR="001F7ED5" w:rsidRPr="00FB3674">
        <w:t xml:space="preserve"> </w:t>
      </w:r>
      <w:r w:rsidRPr="00FB3674">
        <w:t>whole</w:t>
      </w:r>
      <w:r w:rsidR="001F7ED5" w:rsidRPr="00FB3674">
        <w:t xml:space="preserve"> </w:t>
      </w:r>
      <w:r w:rsidRPr="00FB3674">
        <w:t>and</w:t>
      </w:r>
      <w:r w:rsidR="001F7ED5" w:rsidRPr="00FB3674">
        <w:t xml:space="preserve"> </w:t>
      </w:r>
      <w:r w:rsidRPr="00FB3674">
        <w:t>whether</w:t>
      </w:r>
      <w:r w:rsidR="001F7ED5" w:rsidRPr="00FB3674">
        <w:t xml:space="preserve"> </w:t>
      </w:r>
      <w:r w:rsidRPr="00FB3674">
        <w:t>there</w:t>
      </w:r>
      <w:r w:rsidR="001F7ED5" w:rsidRPr="00FB3674">
        <w:t xml:space="preserve"> </w:t>
      </w:r>
      <w:r w:rsidRPr="00FB3674">
        <w:t>were</w:t>
      </w:r>
      <w:r w:rsidR="001F7ED5" w:rsidRPr="00FB3674">
        <w:t xml:space="preserve"> </w:t>
      </w:r>
      <w:r w:rsidRPr="00FB3674">
        <w:t>adequate</w:t>
      </w:r>
      <w:r w:rsidR="001F7ED5" w:rsidRPr="00FB3674">
        <w:t xml:space="preserve"> </w:t>
      </w:r>
      <w:r w:rsidRPr="00FB3674">
        <w:t>safeguards</w:t>
      </w:r>
      <w:r w:rsidR="001F7ED5" w:rsidRPr="00FB3674">
        <w:t xml:space="preserve"> </w:t>
      </w:r>
      <w:r w:rsidRPr="00FB3674">
        <w:t>in</w:t>
      </w:r>
      <w:r w:rsidR="001F7ED5" w:rsidRPr="00FB3674">
        <w:t xml:space="preserve"> </w:t>
      </w:r>
      <w:r w:rsidRPr="00FB3674">
        <w:t>place.</w:t>
      </w:r>
    </w:p>
    <w:p w14:paraId="71B8B2F2" w14:textId="77777777" w:rsidR="001F7ED5" w:rsidRPr="00FB3674" w:rsidRDefault="005D5882" w:rsidP="005D5882">
      <w:pPr>
        <w:pStyle w:val="SingleTxtG"/>
      </w:pPr>
      <w:r w:rsidRPr="00FB3674">
        <w:t>4.27</w:t>
      </w:r>
      <w:r w:rsidRPr="00FB3674">
        <w:tab/>
        <w:t>The</w:t>
      </w:r>
      <w:r w:rsidR="001F7ED5" w:rsidRPr="00FB3674">
        <w:t xml:space="preserve"> </w:t>
      </w:r>
      <w:r w:rsidRPr="00FB3674">
        <w:t>State</w:t>
      </w:r>
      <w:r w:rsidR="001F7ED5" w:rsidRPr="00FB3674">
        <w:t xml:space="preserve"> </w:t>
      </w:r>
      <w:r w:rsidRPr="00FB3674">
        <w:t>party</w:t>
      </w:r>
      <w:r w:rsidR="001F7ED5" w:rsidRPr="00FB3674">
        <w:t xml:space="preserve"> </w:t>
      </w:r>
      <w:r w:rsidRPr="00FB3674">
        <w:t>recalls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issue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safeguards</w:t>
      </w:r>
      <w:r w:rsidR="001F7ED5" w:rsidRPr="00FB3674">
        <w:t xml:space="preserve"> </w:t>
      </w:r>
      <w:r w:rsidRPr="00FB3674">
        <w:t>had</w:t>
      </w:r>
      <w:r w:rsidR="001F7ED5" w:rsidRPr="00FB3674">
        <w:t xml:space="preserve"> </w:t>
      </w:r>
      <w:r w:rsidRPr="00FB3674">
        <w:t>already</w:t>
      </w:r>
      <w:r w:rsidR="001F7ED5" w:rsidRPr="00FB3674">
        <w:t xml:space="preserve"> </w:t>
      </w:r>
      <w:r w:rsidRPr="00FB3674">
        <w:t>been</w:t>
      </w:r>
      <w:r w:rsidR="001F7ED5" w:rsidRPr="00FB3674">
        <w:t xml:space="preserve"> </w:t>
      </w:r>
      <w:r w:rsidRPr="00FB3674">
        <w:t>addressed</w:t>
      </w:r>
      <w:r w:rsidR="001F7ED5" w:rsidRPr="00FB3674">
        <w:t xml:space="preserve"> </w:t>
      </w:r>
      <w:r w:rsidRPr="00FB3674">
        <w:t>by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Supreme</w:t>
      </w:r>
      <w:r w:rsidR="001F7ED5" w:rsidRPr="00FB3674">
        <w:t xml:space="preserve"> </w:t>
      </w:r>
      <w:r w:rsidRPr="00FB3674">
        <w:t>Court,</w:t>
      </w:r>
      <w:r w:rsidR="001F7ED5" w:rsidRPr="00FB3674">
        <w:t xml:space="preserve"> </w:t>
      </w:r>
      <w:r w:rsidRPr="00FB3674">
        <w:t>which</w:t>
      </w:r>
      <w:r w:rsidR="001F7ED5" w:rsidRPr="00FB3674">
        <w:t xml:space="preserve"> </w:t>
      </w:r>
      <w:r w:rsidRPr="00FB3674">
        <w:t>considered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Chamber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Criminal</w:t>
      </w:r>
      <w:r w:rsidR="001F7ED5" w:rsidRPr="00FB3674">
        <w:t xml:space="preserve"> </w:t>
      </w:r>
      <w:r w:rsidRPr="00FB3674">
        <w:t>Cases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Supreme</w:t>
      </w:r>
      <w:r w:rsidR="001F7ED5" w:rsidRPr="00FB3674">
        <w:t xml:space="preserve"> </w:t>
      </w:r>
      <w:r w:rsidRPr="00FB3674">
        <w:t>Court,</w:t>
      </w:r>
      <w:r w:rsidR="001F7ED5" w:rsidRPr="00FB3674">
        <w:t xml:space="preserve"> </w:t>
      </w:r>
      <w:r w:rsidRPr="00FB3674">
        <w:t>being</w:t>
      </w:r>
      <w:r w:rsidR="001F7ED5" w:rsidRPr="00FB3674">
        <w:t xml:space="preserve"> </w:t>
      </w:r>
      <w:r w:rsidRPr="00FB3674">
        <w:t>an</w:t>
      </w:r>
      <w:r w:rsidR="001F7ED5" w:rsidRPr="00FB3674">
        <w:t xml:space="preserve"> </w:t>
      </w:r>
      <w:r w:rsidRPr="00FB3674">
        <w:t>independent</w:t>
      </w:r>
      <w:r w:rsidR="001F7ED5" w:rsidRPr="00FB3674">
        <w:t xml:space="preserve"> </w:t>
      </w:r>
      <w:r w:rsidRPr="00FB3674">
        <w:t>and</w:t>
      </w:r>
      <w:r w:rsidR="001F7ED5" w:rsidRPr="00FB3674">
        <w:t xml:space="preserve"> </w:t>
      </w:r>
      <w:r w:rsidRPr="00FB3674">
        <w:t>impartial</w:t>
      </w:r>
      <w:r w:rsidR="001F7ED5" w:rsidRPr="00FB3674">
        <w:t xml:space="preserve"> </w:t>
      </w:r>
      <w:r w:rsidRPr="00FB3674">
        <w:t>tribunal,</w:t>
      </w:r>
      <w:r w:rsidR="001F7ED5" w:rsidRPr="00FB3674">
        <w:t xml:space="preserve"> </w:t>
      </w:r>
      <w:r w:rsidRPr="00FB3674">
        <w:t>was</w:t>
      </w:r>
      <w:r w:rsidR="001F7ED5" w:rsidRPr="00FB3674">
        <w:t xml:space="preserve"> </w:t>
      </w:r>
      <w:r w:rsidRPr="00FB3674">
        <w:t>able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ensure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necessary</w:t>
      </w:r>
      <w:r w:rsidR="001F7ED5" w:rsidRPr="00FB3674">
        <w:t xml:space="preserve"> </w:t>
      </w:r>
      <w:r w:rsidRPr="00FB3674">
        <w:t>safeguards.</w:t>
      </w:r>
      <w:r w:rsidR="001F7ED5" w:rsidRPr="00FB3674">
        <w:t xml:space="preserve"> </w:t>
      </w:r>
      <w:r w:rsidRPr="00FB3674">
        <w:t>In</w:t>
      </w:r>
      <w:r w:rsidR="001F7ED5" w:rsidRPr="00FB3674">
        <w:t xml:space="preserve"> </w:t>
      </w:r>
      <w:r w:rsidRPr="00FB3674">
        <w:t>other</w:t>
      </w:r>
      <w:r w:rsidR="001F7ED5" w:rsidRPr="00FB3674">
        <w:t xml:space="preserve"> </w:t>
      </w:r>
      <w:r w:rsidRPr="00FB3674">
        <w:t>words,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decision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deny</w:t>
      </w:r>
      <w:r w:rsidR="001F7ED5" w:rsidRPr="00FB3674">
        <w:t xml:space="preserve"> </w:t>
      </w:r>
      <w:r w:rsidRPr="00FB3674">
        <w:t>disclosure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defence</w:t>
      </w:r>
      <w:r w:rsidR="001F7ED5" w:rsidRPr="00FB3674">
        <w:t xml:space="preserve"> </w:t>
      </w:r>
      <w:r w:rsidRPr="00FB3674">
        <w:t>was</w:t>
      </w:r>
      <w:r w:rsidR="001F7ED5" w:rsidRPr="00FB3674">
        <w:t xml:space="preserve"> </w:t>
      </w:r>
      <w:r w:rsidRPr="00FB3674">
        <w:t>not</w:t>
      </w:r>
      <w:r w:rsidR="001F7ED5" w:rsidRPr="00FB3674">
        <w:t xml:space="preserve"> </w:t>
      </w:r>
      <w:r w:rsidRPr="00FB3674">
        <w:t>adopted</w:t>
      </w:r>
      <w:r w:rsidR="001F7ED5" w:rsidRPr="00FB3674">
        <w:t xml:space="preserve"> </w:t>
      </w:r>
      <w:r w:rsidRPr="00FB3674">
        <w:t>in</w:t>
      </w:r>
      <w:r w:rsidR="001F7ED5" w:rsidRPr="00FB3674">
        <w:t xml:space="preserve"> </w:t>
      </w:r>
      <w:r w:rsidRPr="00FB3674">
        <w:t>an</w:t>
      </w:r>
      <w:r w:rsidR="001F7ED5" w:rsidRPr="00FB3674">
        <w:t xml:space="preserve"> </w:t>
      </w:r>
      <w:r w:rsidRPr="00FB3674">
        <w:t>arbitrary</w:t>
      </w:r>
      <w:r w:rsidR="001F7ED5" w:rsidRPr="00FB3674">
        <w:t xml:space="preserve"> </w:t>
      </w:r>
      <w:r w:rsidRPr="00FB3674">
        <w:t>manner.</w:t>
      </w:r>
      <w:r w:rsidR="001F7ED5" w:rsidRPr="00FB3674">
        <w:t xml:space="preserve"> </w:t>
      </w:r>
      <w:r w:rsidRPr="00FB3674">
        <w:t>Instead,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Chamber</w:t>
      </w:r>
      <w:r w:rsidR="001F7ED5" w:rsidRPr="00FB3674">
        <w:t xml:space="preserve"> </w:t>
      </w:r>
      <w:r w:rsidRPr="00FB3674">
        <w:t>duly</w:t>
      </w:r>
      <w:r w:rsidR="001F7ED5" w:rsidRPr="00FB3674">
        <w:t xml:space="preserve"> </w:t>
      </w:r>
      <w:r w:rsidRPr="00FB3674">
        <w:t>acquainted</w:t>
      </w:r>
      <w:r w:rsidR="001F7ED5" w:rsidRPr="00FB3674">
        <w:t xml:space="preserve"> </w:t>
      </w:r>
      <w:r w:rsidRPr="00FB3674">
        <w:t>itself</w:t>
      </w:r>
      <w:r w:rsidR="001F7ED5" w:rsidRPr="00FB3674">
        <w:t xml:space="preserve"> </w:t>
      </w:r>
      <w:r w:rsidRPr="00FB3674">
        <w:t>with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contents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disputed</w:t>
      </w:r>
      <w:r w:rsidR="001F7ED5" w:rsidRPr="00FB3674">
        <w:t xml:space="preserve"> </w:t>
      </w:r>
      <w:r w:rsidRPr="00FB3674">
        <w:t>confidential</w:t>
      </w:r>
      <w:r w:rsidR="001F7ED5" w:rsidRPr="00FB3674">
        <w:t xml:space="preserve"> </w:t>
      </w:r>
      <w:r w:rsidRPr="00FB3674">
        <w:t>case</w:t>
      </w:r>
      <w:r w:rsidR="001F7ED5" w:rsidRPr="00FB3674">
        <w:t xml:space="preserve"> </w:t>
      </w:r>
      <w:r w:rsidRPr="00FB3674">
        <w:t>files</w:t>
      </w:r>
      <w:r w:rsidR="001F7ED5" w:rsidRPr="00FB3674">
        <w:t xml:space="preserve"> </w:t>
      </w:r>
      <w:r w:rsidRPr="00FB3674">
        <w:t>prior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ruling</w:t>
      </w:r>
      <w:r w:rsidR="001F7ED5" w:rsidRPr="00FB3674">
        <w:t xml:space="preserve"> </w:t>
      </w:r>
      <w:r w:rsidRPr="00FB3674">
        <w:t>out</w:t>
      </w:r>
      <w:r w:rsidR="001F7ED5" w:rsidRPr="00FB3674">
        <w:t xml:space="preserve"> </w:t>
      </w:r>
      <w:r w:rsidRPr="00FB3674">
        <w:t>disclosure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defence</w:t>
      </w:r>
      <w:r w:rsidR="001F7ED5" w:rsidRPr="00FB3674">
        <w:t xml:space="preserve"> </w:t>
      </w:r>
      <w:r w:rsidRPr="00FB3674">
        <w:t>and</w:t>
      </w:r>
      <w:r w:rsidR="001F7ED5" w:rsidRPr="00FB3674">
        <w:t xml:space="preserve"> </w:t>
      </w:r>
      <w:r w:rsidRPr="00FB3674">
        <w:t>was</w:t>
      </w:r>
      <w:r w:rsidR="001F7ED5" w:rsidRPr="00FB3674">
        <w:t xml:space="preserve"> </w:t>
      </w:r>
      <w:r w:rsidRPr="00FB3674">
        <w:t>thus,</w:t>
      </w:r>
      <w:r w:rsidR="001F7ED5" w:rsidRPr="00FB3674">
        <w:t xml:space="preserve"> </w:t>
      </w:r>
      <w:r w:rsidRPr="00FB3674">
        <w:t>in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opinion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Supreme</w:t>
      </w:r>
      <w:r w:rsidR="001F7ED5" w:rsidRPr="00FB3674">
        <w:t xml:space="preserve"> </w:t>
      </w:r>
      <w:r w:rsidRPr="00FB3674">
        <w:t>Court,</w:t>
      </w:r>
      <w:r w:rsidR="001F7ED5" w:rsidRPr="00FB3674">
        <w:t xml:space="preserve"> </w:t>
      </w:r>
      <w:r w:rsidRPr="00FB3674">
        <w:t>in</w:t>
      </w:r>
      <w:r w:rsidR="001F7ED5" w:rsidRPr="00FB3674">
        <w:t xml:space="preserve"> </w:t>
      </w:r>
      <w:r w:rsidRPr="00FB3674">
        <w:t>a</w:t>
      </w:r>
      <w:r w:rsidR="001F7ED5" w:rsidRPr="00FB3674">
        <w:t xml:space="preserve"> </w:t>
      </w:r>
      <w:r w:rsidRPr="00FB3674">
        <w:t>position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adopt</w:t>
      </w:r>
      <w:r w:rsidR="001F7ED5" w:rsidRPr="00FB3674">
        <w:t xml:space="preserve"> </w:t>
      </w:r>
      <w:r w:rsidRPr="00FB3674">
        <w:t>a</w:t>
      </w:r>
      <w:r w:rsidR="001F7ED5" w:rsidRPr="00FB3674">
        <w:t xml:space="preserve"> </w:t>
      </w:r>
      <w:r w:rsidRPr="00FB3674">
        <w:t>well-informed</w:t>
      </w:r>
      <w:r w:rsidR="001F7ED5" w:rsidRPr="00FB3674">
        <w:t xml:space="preserve"> </w:t>
      </w:r>
      <w:r w:rsidRPr="00FB3674">
        <w:t>decision</w:t>
      </w:r>
      <w:r w:rsidR="001F7ED5" w:rsidRPr="00FB3674">
        <w:t xml:space="preserve"> </w:t>
      </w:r>
      <w:r w:rsidRPr="00FB3674">
        <w:t>on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subject.</w:t>
      </w:r>
    </w:p>
    <w:p w14:paraId="4006C070" w14:textId="5EFD6CA7" w:rsidR="001F7ED5" w:rsidRPr="00FB3674" w:rsidRDefault="005D5882" w:rsidP="005D5882">
      <w:pPr>
        <w:pStyle w:val="SingleTxtG"/>
      </w:pPr>
      <w:r w:rsidRPr="00FB3674">
        <w:t>4.28</w:t>
      </w:r>
      <w:r w:rsidRPr="00FB3674">
        <w:tab/>
        <w:t>The</w:t>
      </w:r>
      <w:r w:rsidR="001F7ED5" w:rsidRPr="00FB3674">
        <w:t xml:space="preserve"> </w:t>
      </w:r>
      <w:r w:rsidRPr="00FB3674">
        <w:t>State</w:t>
      </w:r>
      <w:r w:rsidR="001F7ED5" w:rsidRPr="00FB3674">
        <w:t xml:space="preserve"> </w:t>
      </w:r>
      <w:r w:rsidRPr="00FB3674">
        <w:t>party</w:t>
      </w:r>
      <w:r w:rsidR="001F7ED5" w:rsidRPr="00FB3674">
        <w:t xml:space="preserve"> </w:t>
      </w:r>
      <w:r w:rsidRPr="00FB3674">
        <w:t>observes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author</w:t>
      </w:r>
      <w:r w:rsidR="001F7ED5" w:rsidRPr="00FB3674">
        <w:t xml:space="preserve"> </w:t>
      </w:r>
      <w:r w:rsidRPr="00FB3674">
        <w:t>has</w:t>
      </w:r>
      <w:r w:rsidR="001F7ED5" w:rsidRPr="00FB3674">
        <w:t xml:space="preserve"> </w:t>
      </w:r>
      <w:r w:rsidRPr="00FB3674">
        <w:t>failed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substantiate,</w:t>
      </w:r>
      <w:r w:rsidR="001F7ED5" w:rsidRPr="00FB3674">
        <w:t xml:space="preserve"> </w:t>
      </w:r>
      <w:r w:rsidRPr="00FB3674">
        <w:t>for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purposes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admissibility,</w:t>
      </w:r>
      <w:r w:rsidR="001F7ED5" w:rsidRPr="00FB3674">
        <w:t xml:space="preserve"> </w:t>
      </w:r>
      <w:r w:rsidRPr="00FB3674">
        <w:t>his</w:t>
      </w:r>
      <w:r w:rsidR="001F7ED5" w:rsidRPr="00FB3674">
        <w:t xml:space="preserve"> </w:t>
      </w:r>
      <w:r w:rsidRPr="00FB3674">
        <w:t>allegation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a</w:t>
      </w:r>
      <w:r w:rsidR="001F7ED5" w:rsidRPr="00FB3674">
        <w:t xml:space="preserve"> </w:t>
      </w:r>
      <w:r w:rsidRPr="00FB3674">
        <w:t>violation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presumption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innocence</w:t>
      </w:r>
      <w:r w:rsidR="001F7ED5" w:rsidRPr="00FB3674">
        <w:t xml:space="preserve"> </w:t>
      </w:r>
      <w:r w:rsidRPr="00FB3674">
        <w:t>and</w:t>
      </w:r>
      <w:r w:rsidR="001F7ED5" w:rsidRPr="00FB3674">
        <w:t xml:space="preserve"> </w:t>
      </w:r>
      <w:r w:rsidRPr="00FB3674">
        <w:t>argues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this</w:t>
      </w:r>
      <w:r w:rsidR="001F7ED5" w:rsidRPr="00FB3674">
        <w:t xml:space="preserve"> </w:t>
      </w:r>
      <w:r w:rsidRPr="00FB3674">
        <w:t>part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communication</w:t>
      </w:r>
      <w:r w:rsidR="001F7ED5" w:rsidRPr="00FB3674">
        <w:t xml:space="preserve"> </w:t>
      </w:r>
      <w:r w:rsidRPr="00FB3674">
        <w:t>must</w:t>
      </w:r>
      <w:r w:rsidR="001F7ED5" w:rsidRPr="00FB3674">
        <w:t xml:space="preserve"> </w:t>
      </w:r>
      <w:r w:rsidRPr="00FB3674">
        <w:t>be</w:t>
      </w:r>
      <w:r w:rsidR="001F7ED5" w:rsidRPr="00FB3674">
        <w:t xml:space="preserve"> </w:t>
      </w:r>
      <w:r w:rsidRPr="00FB3674">
        <w:t>declared</w:t>
      </w:r>
      <w:r w:rsidR="001F7ED5" w:rsidRPr="00FB3674">
        <w:t xml:space="preserve"> </w:t>
      </w:r>
      <w:r w:rsidRPr="00FB3674">
        <w:t>as</w:t>
      </w:r>
      <w:r w:rsidR="001F7ED5" w:rsidRPr="00FB3674">
        <w:t xml:space="preserve"> </w:t>
      </w:r>
      <w:r w:rsidRPr="00FB3674">
        <w:t>incompatible</w:t>
      </w:r>
      <w:r w:rsidR="001F7ED5" w:rsidRPr="00FB3674">
        <w:t xml:space="preserve"> </w:t>
      </w:r>
      <w:r w:rsidRPr="00FB3674">
        <w:t>with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provisions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Covenant</w:t>
      </w:r>
      <w:r w:rsidR="001F7ED5" w:rsidRPr="00FB3674">
        <w:t xml:space="preserve"> </w:t>
      </w:r>
      <w:r w:rsidRPr="00FB3674">
        <w:t>and</w:t>
      </w:r>
      <w:r w:rsidR="001F7ED5" w:rsidRPr="00FB3674">
        <w:t xml:space="preserve"> </w:t>
      </w:r>
      <w:r w:rsidRPr="00FB3674">
        <w:t>therefore</w:t>
      </w:r>
      <w:r w:rsidR="001F7ED5" w:rsidRPr="00FB3674">
        <w:t xml:space="preserve"> </w:t>
      </w:r>
      <w:r w:rsidRPr="00FB3674">
        <w:t>inadmissible</w:t>
      </w:r>
      <w:r w:rsidR="001F7ED5" w:rsidRPr="00FB3674">
        <w:t xml:space="preserve"> </w:t>
      </w:r>
      <w:r w:rsidRPr="00FB3674">
        <w:t>under</w:t>
      </w:r>
      <w:r w:rsidR="001F7ED5" w:rsidRPr="00FB3674">
        <w:t xml:space="preserve"> </w:t>
      </w:r>
      <w:r w:rsidRPr="00FB3674">
        <w:t>article</w:t>
      </w:r>
      <w:r w:rsidR="001F7ED5" w:rsidRPr="00FB3674">
        <w:t xml:space="preserve"> </w:t>
      </w:r>
      <w:r w:rsidRPr="00FB3674">
        <w:t>2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Optional</w:t>
      </w:r>
      <w:r w:rsidR="001F7ED5" w:rsidRPr="00FB3674">
        <w:t xml:space="preserve"> </w:t>
      </w:r>
      <w:r w:rsidRPr="00FB3674">
        <w:t>Protocol.</w:t>
      </w:r>
      <w:r w:rsidR="001F7ED5" w:rsidRPr="00FB3674">
        <w:t xml:space="preserve"> </w:t>
      </w:r>
      <w:r w:rsidRPr="00FB3674">
        <w:t>Referring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author</w:t>
      </w:r>
      <w:r w:rsidR="00FB3674">
        <w:t>’</w:t>
      </w:r>
      <w:r w:rsidRPr="00FB3674">
        <w:t>s</w:t>
      </w:r>
      <w:r w:rsidR="001F7ED5" w:rsidRPr="00FB3674">
        <w:t xml:space="preserve"> </w:t>
      </w:r>
      <w:r w:rsidRPr="00FB3674">
        <w:t>submission,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State</w:t>
      </w:r>
      <w:r w:rsidR="001F7ED5" w:rsidRPr="00FB3674">
        <w:t xml:space="preserve"> </w:t>
      </w:r>
      <w:r w:rsidRPr="00FB3674">
        <w:t>party</w:t>
      </w:r>
      <w:r w:rsidR="001F7ED5" w:rsidRPr="00FB3674">
        <w:t xml:space="preserve"> </w:t>
      </w:r>
      <w:r w:rsidRPr="00FB3674">
        <w:t>is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a</w:t>
      </w:r>
      <w:r w:rsidR="001F7ED5" w:rsidRPr="00FB3674">
        <w:t xml:space="preserve"> </w:t>
      </w:r>
      <w:r w:rsidRPr="00FB3674">
        <w:t>firm</w:t>
      </w:r>
      <w:r w:rsidR="001F7ED5" w:rsidRPr="00FB3674">
        <w:t xml:space="preserve"> </w:t>
      </w:r>
      <w:r w:rsidRPr="00FB3674">
        <w:t>view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author</w:t>
      </w:r>
      <w:r w:rsidR="001F7ED5" w:rsidRPr="00FB3674">
        <w:t xml:space="preserve"> </w:t>
      </w:r>
      <w:r w:rsidRPr="00FB3674">
        <w:t>has</w:t>
      </w:r>
      <w:r w:rsidR="001F7ED5" w:rsidRPr="00FB3674">
        <w:t xml:space="preserve"> </w:t>
      </w:r>
      <w:r w:rsidRPr="00FB3674">
        <w:t>not</w:t>
      </w:r>
      <w:r w:rsidR="001F7ED5" w:rsidRPr="00FB3674">
        <w:t xml:space="preserve"> </w:t>
      </w:r>
      <w:r w:rsidRPr="00FB3674">
        <w:t>put</w:t>
      </w:r>
      <w:r w:rsidR="001F7ED5" w:rsidRPr="00FB3674">
        <w:t xml:space="preserve"> </w:t>
      </w:r>
      <w:r w:rsidRPr="00FB3674">
        <w:t>forward</w:t>
      </w:r>
      <w:r w:rsidR="001F7ED5" w:rsidRPr="00FB3674">
        <w:t xml:space="preserve"> </w:t>
      </w:r>
      <w:r w:rsidRPr="00FB3674">
        <w:t>any</w:t>
      </w:r>
      <w:r w:rsidR="001F7ED5" w:rsidRPr="00FB3674">
        <w:t xml:space="preserve"> </w:t>
      </w:r>
      <w:r w:rsidRPr="00FB3674">
        <w:t>single</w:t>
      </w:r>
      <w:r w:rsidR="001F7ED5" w:rsidRPr="00FB3674">
        <w:t xml:space="preserve"> </w:t>
      </w:r>
      <w:r w:rsidRPr="00FB3674">
        <w:t>fact</w:t>
      </w:r>
      <w:r w:rsidR="001F7ED5" w:rsidRPr="00FB3674">
        <w:t xml:space="preserve"> </w:t>
      </w:r>
      <w:r w:rsidRPr="00FB3674">
        <w:t>or</w:t>
      </w:r>
      <w:r w:rsidR="001F7ED5" w:rsidRPr="00FB3674">
        <w:t xml:space="preserve"> </w:t>
      </w:r>
      <w:r w:rsidRPr="00FB3674">
        <w:t>provided</w:t>
      </w:r>
      <w:r w:rsidR="001F7ED5" w:rsidRPr="00FB3674">
        <w:t xml:space="preserve"> </w:t>
      </w:r>
      <w:r w:rsidRPr="00FB3674">
        <w:t>any</w:t>
      </w:r>
      <w:r w:rsidR="001F7ED5" w:rsidRPr="00FB3674">
        <w:t xml:space="preserve"> </w:t>
      </w:r>
      <w:r w:rsidRPr="00FB3674">
        <w:t>information</w:t>
      </w:r>
      <w:r w:rsidR="001F7ED5" w:rsidRPr="00FB3674">
        <w:t xml:space="preserve"> </w:t>
      </w:r>
      <w:r w:rsidRPr="00FB3674">
        <w:t>on</w:t>
      </w:r>
      <w:r w:rsidR="001F7ED5" w:rsidRPr="00FB3674">
        <w:t xml:space="preserve"> </w:t>
      </w:r>
      <w:r w:rsidRPr="00FB3674">
        <w:t>any</w:t>
      </w:r>
      <w:r w:rsidR="001F7ED5" w:rsidRPr="00FB3674">
        <w:t xml:space="preserve"> </w:t>
      </w:r>
      <w:r w:rsidRPr="00FB3674">
        <w:t>specific</w:t>
      </w:r>
      <w:r w:rsidR="001F7ED5" w:rsidRPr="00FB3674">
        <w:t xml:space="preserve"> </w:t>
      </w:r>
      <w:r w:rsidRPr="00FB3674">
        <w:t>incident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would</w:t>
      </w:r>
      <w:r w:rsidR="001F7ED5" w:rsidRPr="00FB3674">
        <w:t xml:space="preserve"> </w:t>
      </w:r>
      <w:r w:rsidRPr="00FB3674">
        <w:t>lead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conclusion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conduct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domestic</w:t>
      </w:r>
      <w:r w:rsidR="001F7ED5" w:rsidRPr="00FB3674">
        <w:t xml:space="preserve"> </w:t>
      </w:r>
      <w:r w:rsidRPr="00FB3674">
        <w:t>judicial</w:t>
      </w:r>
      <w:r w:rsidR="001F7ED5" w:rsidRPr="00FB3674">
        <w:t xml:space="preserve"> </w:t>
      </w:r>
      <w:r w:rsidRPr="00FB3674">
        <w:t>courts</w:t>
      </w:r>
      <w:r w:rsidR="001F7ED5" w:rsidRPr="00FB3674">
        <w:t xml:space="preserve"> </w:t>
      </w:r>
      <w:r w:rsidRPr="00FB3674">
        <w:t>had</w:t>
      </w:r>
      <w:r w:rsidR="001F7ED5" w:rsidRPr="00FB3674">
        <w:t xml:space="preserve"> </w:t>
      </w:r>
      <w:r w:rsidRPr="00FB3674">
        <w:t>adversely</w:t>
      </w:r>
      <w:r w:rsidR="001F7ED5" w:rsidRPr="00FB3674">
        <w:t xml:space="preserve"> </w:t>
      </w:r>
      <w:r w:rsidRPr="00FB3674">
        <w:t>affected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author</w:t>
      </w:r>
      <w:r w:rsidR="00FB3674">
        <w:t>’</w:t>
      </w:r>
      <w:r w:rsidRPr="00FB3674">
        <w:t>s</w:t>
      </w:r>
      <w:r w:rsidR="001F7ED5" w:rsidRPr="00FB3674">
        <w:t xml:space="preserve"> </w:t>
      </w:r>
      <w:r w:rsidRPr="00FB3674">
        <w:t>right,</w:t>
      </w:r>
      <w:r w:rsidR="001F7ED5" w:rsidRPr="00FB3674">
        <w:t xml:space="preserve"> </w:t>
      </w:r>
      <w:r w:rsidRPr="00FB3674">
        <w:t>protected</w:t>
      </w:r>
      <w:r w:rsidR="001F7ED5" w:rsidRPr="00FB3674">
        <w:t xml:space="preserve"> </w:t>
      </w:r>
      <w:r w:rsidRPr="00FB3674">
        <w:t>under</w:t>
      </w:r>
      <w:r w:rsidR="001F7ED5" w:rsidRPr="00FB3674">
        <w:t xml:space="preserve"> </w:t>
      </w:r>
      <w:r w:rsidRPr="00FB3674">
        <w:t>article</w:t>
      </w:r>
      <w:r w:rsidR="001F7ED5" w:rsidRPr="00FB3674">
        <w:t xml:space="preserve"> </w:t>
      </w:r>
      <w:r w:rsidRPr="00FB3674">
        <w:t>14</w:t>
      </w:r>
      <w:r w:rsidR="001F7ED5" w:rsidRPr="00FB3674">
        <w:t xml:space="preserve"> </w:t>
      </w:r>
      <w:r w:rsidRPr="00FB3674">
        <w:t>(2)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Covenant,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be</w:t>
      </w:r>
      <w:r w:rsidR="001F7ED5" w:rsidRPr="00FB3674">
        <w:t xml:space="preserve"> </w:t>
      </w:r>
      <w:r w:rsidRPr="00FB3674">
        <w:t>presumed</w:t>
      </w:r>
      <w:r w:rsidR="001F7ED5" w:rsidRPr="00FB3674">
        <w:t xml:space="preserve"> </w:t>
      </w:r>
      <w:r w:rsidRPr="00FB3674">
        <w:t>innocent</w:t>
      </w:r>
      <w:r w:rsidR="001F7ED5" w:rsidRPr="00FB3674">
        <w:t xml:space="preserve"> </w:t>
      </w:r>
      <w:r w:rsidRPr="00FB3674">
        <w:t>until</w:t>
      </w:r>
      <w:r w:rsidR="001F7ED5" w:rsidRPr="00FB3674">
        <w:t xml:space="preserve"> </w:t>
      </w:r>
      <w:r w:rsidRPr="00FB3674">
        <w:t>proven</w:t>
      </w:r>
      <w:r w:rsidR="001F7ED5" w:rsidRPr="00FB3674">
        <w:t xml:space="preserve"> </w:t>
      </w:r>
      <w:r w:rsidRPr="00FB3674">
        <w:t>guilty</w:t>
      </w:r>
      <w:r w:rsidR="001F7ED5" w:rsidRPr="00FB3674">
        <w:t xml:space="preserve"> </w:t>
      </w:r>
      <w:r w:rsidRPr="00FB3674">
        <w:t>according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law.</w:t>
      </w:r>
    </w:p>
    <w:p w14:paraId="5EF18ECB" w14:textId="588DBC42" w:rsidR="005D5882" w:rsidRPr="00FB3674" w:rsidRDefault="005D5882" w:rsidP="005D5882">
      <w:pPr>
        <w:pStyle w:val="SingleTxtG"/>
      </w:pPr>
      <w:r w:rsidRPr="00FB3674">
        <w:t>4.29</w:t>
      </w:r>
      <w:r w:rsidRPr="00FB3674">
        <w:tab/>
        <w:t>The</w:t>
      </w:r>
      <w:r w:rsidR="001F7ED5" w:rsidRPr="00FB3674">
        <w:t xml:space="preserve"> </w:t>
      </w:r>
      <w:r w:rsidRPr="00FB3674">
        <w:t>State</w:t>
      </w:r>
      <w:r w:rsidR="001F7ED5" w:rsidRPr="00FB3674">
        <w:t xml:space="preserve"> </w:t>
      </w:r>
      <w:r w:rsidRPr="00FB3674">
        <w:t>party</w:t>
      </w:r>
      <w:r w:rsidR="001F7ED5" w:rsidRPr="00FB3674">
        <w:t xml:space="preserve"> </w:t>
      </w:r>
      <w:r w:rsidRPr="00FB3674">
        <w:t>invites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Committee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declare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author</w:t>
      </w:r>
      <w:r w:rsidR="00FB3674">
        <w:t>’</w:t>
      </w:r>
      <w:r w:rsidRPr="00FB3674">
        <w:t>s</w:t>
      </w:r>
      <w:r w:rsidR="001F7ED5" w:rsidRPr="00FB3674">
        <w:t xml:space="preserve"> </w:t>
      </w:r>
      <w:r w:rsidRPr="00FB3674">
        <w:t>complaint</w:t>
      </w:r>
      <w:r w:rsidR="001F7ED5" w:rsidRPr="00FB3674">
        <w:t xml:space="preserve"> </w:t>
      </w:r>
      <w:r w:rsidRPr="00FB3674">
        <w:t>inadmissible</w:t>
      </w:r>
      <w:r w:rsidR="001F7ED5" w:rsidRPr="00FB3674">
        <w:t xml:space="preserve"> </w:t>
      </w:r>
      <w:r w:rsidRPr="00FB3674">
        <w:t>pursuant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articles</w:t>
      </w:r>
      <w:r w:rsidR="001F7ED5" w:rsidRPr="00FB3674">
        <w:t xml:space="preserve"> </w:t>
      </w:r>
      <w:r w:rsidRPr="00FB3674">
        <w:t>3</w:t>
      </w:r>
      <w:r w:rsidR="001F7ED5" w:rsidRPr="00FB3674">
        <w:t xml:space="preserve"> </w:t>
      </w:r>
      <w:r w:rsidRPr="00FB3674">
        <w:t>and</w:t>
      </w:r>
      <w:r w:rsidR="001F7ED5" w:rsidRPr="00FB3674">
        <w:t xml:space="preserve"> </w:t>
      </w:r>
      <w:r w:rsidRPr="00FB3674">
        <w:t>5</w:t>
      </w:r>
      <w:r w:rsidR="001F7ED5" w:rsidRPr="00FB3674">
        <w:t xml:space="preserve"> </w:t>
      </w:r>
      <w:r w:rsidRPr="00FB3674">
        <w:t>(2)</w:t>
      </w:r>
      <w:r w:rsidR="001F7ED5" w:rsidRPr="00FB3674">
        <w:t xml:space="preserve"> </w:t>
      </w:r>
      <w:r w:rsidRPr="00FB3674">
        <w:t>(a)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Optional</w:t>
      </w:r>
      <w:r w:rsidR="001F7ED5" w:rsidRPr="00FB3674">
        <w:t xml:space="preserve"> </w:t>
      </w:r>
      <w:r w:rsidRPr="00FB3674">
        <w:t>Protocol</w:t>
      </w:r>
      <w:r w:rsidR="001F7ED5" w:rsidRPr="00FB3674">
        <w:t xml:space="preserve"> </w:t>
      </w:r>
      <w:r w:rsidRPr="00FB3674">
        <w:t>as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same</w:t>
      </w:r>
      <w:r w:rsidR="001F7ED5" w:rsidRPr="00FB3674">
        <w:t xml:space="preserve"> </w:t>
      </w:r>
      <w:r w:rsidRPr="00FB3674">
        <w:t>matter</w:t>
      </w:r>
      <w:r w:rsidR="001F7ED5" w:rsidRPr="00FB3674">
        <w:t xml:space="preserve"> </w:t>
      </w:r>
      <w:r w:rsidRPr="00FB3674">
        <w:t>has</w:t>
      </w:r>
      <w:r w:rsidR="001F7ED5" w:rsidRPr="00FB3674">
        <w:t xml:space="preserve"> </w:t>
      </w:r>
      <w:r w:rsidRPr="00FB3674">
        <w:t>been</w:t>
      </w:r>
      <w:r w:rsidR="001F7ED5" w:rsidRPr="00FB3674">
        <w:t xml:space="preserve"> </w:t>
      </w:r>
      <w:r w:rsidRPr="00FB3674">
        <w:t>examined</w:t>
      </w:r>
      <w:r w:rsidR="001F7ED5" w:rsidRPr="00FB3674">
        <w:t xml:space="preserve"> </w:t>
      </w:r>
      <w:r w:rsidRPr="00FB3674">
        <w:t>under</w:t>
      </w:r>
      <w:r w:rsidR="001F7ED5" w:rsidRPr="00FB3674">
        <w:t xml:space="preserve"> </w:t>
      </w:r>
      <w:r w:rsidRPr="00FB3674">
        <w:t>another</w:t>
      </w:r>
      <w:r w:rsidR="001F7ED5" w:rsidRPr="00FB3674">
        <w:t xml:space="preserve"> </w:t>
      </w:r>
      <w:r w:rsidRPr="00FB3674">
        <w:t>procedure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international</w:t>
      </w:r>
      <w:r w:rsidR="001F7ED5" w:rsidRPr="00FB3674">
        <w:t xml:space="preserve"> </w:t>
      </w:r>
      <w:r w:rsidRPr="00FB3674">
        <w:t>settlement.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State</w:t>
      </w:r>
      <w:r w:rsidR="001F7ED5" w:rsidRPr="00FB3674">
        <w:t xml:space="preserve"> </w:t>
      </w:r>
      <w:r w:rsidRPr="00FB3674">
        <w:t>party</w:t>
      </w:r>
      <w:r w:rsidR="001F7ED5" w:rsidRPr="00FB3674">
        <w:t xml:space="preserve"> </w:t>
      </w:r>
      <w:r w:rsidRPr="00FB3674">
        <w:t>recalls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Committee</w:t>
      </w:r>
      <w:r w:rsidR="001F7ED5" w:rsidRPr="00FB3674">
        <w:t xml:space="preserve"> </w:t>
      </w:r>
      <w:r w:rsidRPr="00FB3674">
        <w:t>has</w:t>
      </w:r>
      <w:r w:rsidR="001F7ED5" w:rsidRPr="00FB3674">
        <w:t xml:space="preserve"> </w:t>
      </w:r>
      <w:r w:rsidRPr="00FB3674">
        <w:t>in</w:t>
      </w:r>
      <w:r w:rsidR="001F7ED5" w:rsidRPr="00FB3674">
        <w:t xml:space="preserve"> </w:t>
      </w:r>
      <w:r w:rsidRPr="00FB3674">
        <w:t>its</w:t>
      </w:r>
      <w:r w:rsidR="001F7ED5" w:rsidRPr="00FB3674">
        <w:t xml:space="preserve"> </w:t>
      </w:r>
      <w:r w:rsidRPr="00FB3674">
        <w:t>jurisprudence</w:t>
      </w:r>
      <w:r w:rsidRPr="00FB3674">
        <w:rPr>
          <w:rStyle w:val="FootnoteReference"/>
        </w:rPr>
        <w:footnoteReference w:id="11"/>
      </w:r>
      <w:r w:rsidR="001F7ED5" w:rsidRPr="00FB3674">
        <w:t xml:space="preserve"> </w:t>
      </w:r>
      <w:r w:rsidRPr="00FB3674">
        <w:t>concluded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it</w:t>
      </w:r>
      <w:r w:rsidR="001F7ED5" w:rsidRPr="00FB3674">
        <w:t xml:space="preserve"> </w:t>
      </w:r>
      <w:r w:rsidRPr="00FB3674">
        <w:t>would</w:t>
      </w:r>
      <w:r w:rsidR="001F7ED5" w:rsidRPr="00FB3674">
        <w:t xml:space="preserve"> </w:t>
      </w:r>
      <w:r w:rsidRPr="00FB3674">
        <w:t>be</w:t>
      </w:r>
      <w:r w:rsidR="001F7ED5" w:rsidRPr="00FB3674">
        <w:t xml:space="preserve"> </w:t>
      </w:r>
      <w:r w:rsidRPr="00FB3674">
        <w:t>reluctant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examine</w:t>
      </w:r>
      <w:r w:rsidR="001F7ED5" w:rsidRPr="00FB3674">
        <w:t xml:space="preserve"> </w:t>
      </w:r>
      <w:r w:rsidRPr="00FB3674">
        <w:t>a</w:t>
      </w:r>
      <w:r w:rsidR="001F7ED5" w:rsidRPr="00FB3674">
        <w:t xml:space="preserve"> </w:t>
      </w:r>
      <w:r w:rsidRPr="00FB3674">
        <w:t>case</w:t>
      </w:r>
      <w:r w:rsidR="001F7ED5" w:rsidRPr="00FB3674">
        <w:t xml:space="preserve"> </w:t>
      </w:r>
      <w:r w:rsidRPr="00FB3674">
        <w:t>already</w:t>
      </w:r>
      <w:r w:rsidR="001F7ED5" w:rsidRPr="00FB3674">
        <w:t xml:space="preserve"> </w:t>
      </w:r>
      <w:r w:rsidRPr="00FB3674">
        <w:t>considered</w:t>
      </w:r>
      <w:r w:rsidR="001F7ED5" w:rsidRPr="00FB3674">
        <w:t xml:space="preserve"> </w:t>
      </w:r>
      <w:r w:rsidRPr="00FB3674">
        <w:t>by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European</w:t>
      </w:r>
      <w:r w:rsidR="001F7ED5" w:rsidRPr="00FB3674">
        <w:t xml:space="preserve"> </w:t>
      </w:r>
      <w:r w:rsidRPr="00FB3674">
        <w:t>Court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Human</w:t>
      </w:r>
      <w:r w:rsidR="001F7ED5" w:rsidRPr="00FB3674">
        <w:t xml:space="preserve"> </w:t>
      </w:r>
      <w:r w:rsidRPr="00FB3674">
        <w:t>Rights</w:t>
      </w:r>
      <w:r w:rsidR="001F7ED5" w:rsidRPr="00FB3674">
        <w:t xml:space="preserve"> </w:t>
      </w:r>
      <w:r w:rsidRPr="00FB3674">
        <w:t>insofar</w:t>
      </w:r>
      <w:r w:rsidR="001F7ED5" w:rsidRPr="00FB3674">
        <w:t xml:space="preserve"> </w:t>
      </w:r>
      <w:r w:rsidRPr="00FB3674">
        <w:t>as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provisions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Covenant</w:t>
      </w:r>
      <w:r w:rsidR="001F7ED5" w:rsidRPr="00FB3674">
        <w:t xml:space="preserve"> </w:t>
      </w:r>
      <w:r w:rsidRPr="00FB3674">
        <w:t>and</w:t>
      </w:r>
      <w:r w:rsidR="001F7ED5" w:rsidRPr="00FB3674">
        <w:t xml:space="preserve"> </w:t>
      </w:r>
      <w:r w:rsidRPr="00FB3674">
        <w:t>those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Convention</w:t>
      </w:r>
      <w:r w:rsidR="001F7ED5" w:rsidRPr="00FB3674">
        <w:t xml:space="preserve"> </w:t>
      </w:r>
      <w:r w:rsidRPr="00FB3674">
        <w:t>invoked</w:t>
      </w:r>
      <w:r w:rsidR="001F7ED5" w:rsidRPr="00FB3674">
        <w:t xml:space="preserve"> </w:t>
      </w:r>
      <w:r w:rsidRPr="00FB3674">
        <w:t>by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alleged</w:t>
      </w:r>
      <w:r w:rsidR="001F7ED5" w:rsidRPr="00FB3674">
        <w:t xml:space="preserve"> </w:t>
      </w:r>
      <w:r w:rsidRPr="00FB3674">
        <w:t>victim</w:t>
      </w:r>
      <w:r w:rsidR="001F7ED5" w:rsidRPr="00FB3674">
        <w:t xml:space="preserve"> </w:t>
      </w:r>
      <w:r w:rsidRPr="00FB3674">
        <w:t>converge.</w:t>
      </w:r>
    </w:p>
    <w:p w14:paraId="73FFF2F6" w14:textId="460F34DE" w:rsidR="005D5882" w:rsidRPr="00FB3674" w:rsidRDefault="005D5882" w:rsidP="005D5882">
      <w:pPr>
        <w:pStyle w:val="SingleTxtG"/>
      </w:pPr>
      <w:r w:rsidRPr="00FB3674">
        <w:t>4.30</w:t>
      </w:r>
      <w:r w:rsidRPr="00FB3674">
        <w:tab/>
        <w:t>Finally,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State</w:t>
      </w:r>
      <w:r w:rsidR="001F7ED5" w:rsidRPr="00FB3674">
        <w:t xml:space="preserve"> </w:t>
      </w:r>
      <w:r w:rsidRPr="00FB3674">
        <w:t>party</w:t>
      </w:r>
      <w:r w:rsidR="001F7ED5" w:rsidRPr="00FB3674">
        <w:t xml:space="preserve"> </w:t>
      </w:r>
      <w:r w:rsidRPr="00FB3674">
        <w:t>draws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Committee</w:t>
      </w:r>
      <w:r w:rsidR="00FB3674">
        <w:t>’</w:t>
      </w:r>
      <w:r w:rsidRPr="00FB3674">
        <w:t>s</w:t>
      </w:r>
      <w:r w:rsidR="001F7ED5" w:rsidRPr="00FB3674">
        <w:t xml:space="preserve"> </w:t>
      </w:r>
      <w:r w:rsidRPr="00FB3674">
        <w:t>attention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fact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author</w:t>
      </w:r>
      <w:r w:rsidR="001F7ED5" w:rsidRPr="00FB3674">
        <w:t xml:space="preserve"> </w:t>
      </w:r>
      <w:r w:rsidRPr="00FB3674">
        <w:t>lodged</w:t>
      </w:r>
      <w:r w:rsidR="001F7ED5" w:rsidRPr="00FB3674">
        <w:t xml:space="preserve"> </w:t>
      </w:r>
      <w:r w:rsidRPr="00FB3674">
        <w:t>his</w:t>
      </w:r>
      <w:r w:rsidR="001F7ED5" w:rsidRPr="00FB3674">
        <w:t xml:space="preserve"> </w:t>
      </w:r>
      <w:r w:rsidRPr="00FB3674">
        <w:t>communication</w:t>
      </w:r>
      <w:r w:rsidR="001F7ED5" w:rsidRPr="00FB3674">
        <w:t xml:space="preserve"> </w:t>
      </w:r>
      <w:r w:rsidRPr="00FB3674">
        <w:t>with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Committee</w:t>
      </w:r>
      <w:r w:rsidR="001F7ED5" w:rsidRPr="00FB3674">
        <w:t xml:space="preserve"> </w:t>
      </w:r>
      <w:r w:rsidRPr="00FB3674">
        <w:t>two</w:t>
      </w:r>
      <w:r w:rsidR="001F7ED5" w:rsidRPr="00FB3674">
        <w:t xml:space="preserve"> </w:t>
      </w:r>
      <w:r w:rsidRPr="00FB3674">
        <w:t>years</w:t>
      </w:r>
      <w:r w:rsidR="001F7ED5" w:rsidRPr="00FB3674">
        <w:t xml:space="preserve"> </w:t>
      </w:r>
      <w:r w:rsidRPr="00FB3674">
        <w:t>and</w:t>
      </w:r>
      <w:r w:rsidR="001F7ED5" w:rsidRPr="00FB3674">
        <w:t xml:space="preserve"> </w:t>
      </w:r>
      <w:r w:rsidRPr="00FB3674">
        <w:t>eight</w:t>
      </w:r>
      <w:r w:rsidR="001F7ED5" w:rsidRPr="00FB3674">
        <w:t xml:space="preserve"> </w:t>
      </w:r>
      <w:r w:rsidRPr="00FB3674">
        <w:t>months</w:t>
      </w:r>
      <w:r w:rsidR="001F7ED5" w:rsidRPr="00FB3674">
        <w:t xml:space="preserve"> </w:t>
      </w:r>
      <w:r w:rsidRPr="00FB3674">
        <w:t>after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adoption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final</w:t>
      </w:r>
      <w:r w:rsidR="001F7ED5" w:rsidRPr="00FB3674">
        <w:t xml:space="preserve"> </w:t>
      </w:r>
      <w:r w:rsidRPr="00FB3674">
        <w:t>decision</w:t>
      </w:r>
      <w:r w:rsidR="001F7ED5" w:rsidRPr="00FB3674">
        <w:t xml:space="preserve"> </w:t>
      </w:r>
      <w:r w:rsidRPr="00FB3674">
        <w:t>by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cassation</w:t>
      </w:r>
      <w:r w:rsidR="001F7ED5" w:rsidRPr="00FB3674">
        <w:t xml:space="preserve"> </w:t>
      </w:r>
      <w:r w:rsidRPr="00FB3674">
        <w:t>instance</w:t>
      </w:r>
      <w:r w:rsidR="001F7ED5" w:rsidRPr="00FB3674">
        <w:t xml:space="preserve"> </w:t>
      </w:r>
      <w:r w:rsidRPr="00FB3674">
        <w:t>and</w:t>
      </w:r>
      <w:r w:rsidR="001F7ED5" w:rsidRPr="00FB3674">
        <w:t xml:space="preserve"> </w:t>
      </w:r>
      <w:r w:rsidRPr="00FB3674">
        <w:t>one</w:t>
      </w:r>
      <w:r w:rsidR="001F7ED5" w:rsidRPr="00FB3674">
        <w:t xml:space="preserve"> </w:t>
      </w:r>
      <w:r w:rsidRPr="00FB3674">
        <w:t>year</w:t>
      </w:r>
      <w:r w:rsidR="001F7ED5" w:rsidRPr="00FB3674">
        <w:t xml:space="preserve"> </w:t>
      </w:r>
      <w:r w:rsidRPr="00FB3674">
        <w:t>after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adoption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decision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European</w:t>
      </w:r>
      <w:r w:rsidR="001F7ED5" w:rsidRPr="00FB3674">
        <w:t xml:space="preserve"> </w:t>
      </w:r>
      <w:r w:rsidRPr="00FB3674">
        <w:t>Court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Human</w:t>
      </w:r>
      <w:r w:rsidR="001F7ED5" w:rsidRPr="00FB3674">
        <w:t xml:space="preserve"> </w:t>
      </w:r>
      <w:r w:rsidRPr="00FB3674">
        <w:t>Rights.</w:t>
      </w:r>
      <w:r w:rsidR="001F7ED5" w:rsidRPr="00FB3674">
        <w:rPr>
          <w:color w:val="000000"/>
          <w:lang w:eastAsia="de-DE"/>
        </w:rPr>
        <w:t xml:space="preserve"> </w:t>
      </w:r>
      <w:r w:rsidRPr="00FB3674">
        <w:rPr>
          <w:color w:val="000000"/>
          <w:lang w:eastAsia="de-DE"/>
        </w:rPr>
        <w:t>The</w:t>
      </w:r>
      <w:r w:rsidR="001F7ED5" w:rsidRPr="00FB3674">
        <w:rPr>
          <w:color w:val="000000"/>
          <w:lang w:eastAsia="de-DE"/>
        </w:rPr>
        <w:t xml:space="preserve"> </w:t>
      </w:r>
      <w:r w:rsidRPr="00FB3674">
        <w:rPr>
          <w:color w:val="000000"/>
          <w:lang w:eastAsia="de-DE"/>
        </w:rPr>
        <w:t>State</w:t>
      </w:r>
      <w:r w:rsidR="001F7ED5" w:rsidRPr="00FB3674">
        <w:rPr>
          <w:color w:val="000000"/>
          <w:lang w:eastAsia="de-DE"/>
        </w:rPr>
        <w:t xml:space="preserve"> </w:t>
      </w:r>
      <w:r w:rsidRPr="00FB3674">
        <w:rPr>
          <w:color w:val="000000"/>
          <w:lang w:eastAsia="de-DE"/>
        </w:rPr>
        <w:t>party</w:t>
      </w:r>
      <w:r w:rsidR="001F7ED5" w:rsidRPr="00FB3674">
        <w:rPr>
          <w:color w:val="000000"/>
          <w:lang w:eastAsia="de-DE"/>
        </w:rPr>
        <w:t xml:space="preserve"> </w:t>
      </w:r>
      <w:r w:rsidRPr="00FB3674">
        <w:rPr>
          <w:color w:val="000000"/>
          <w:lang w:eastAsia="de-DE"/>
        </w:rPr>
        <w:t>is</w:t>
      </w:r>
      <w:r w:rsidR="001F7ED5" w:rsidRPr="00FB3674">
        <w:rPr>
          <w:color w:val="000000"/>
          <w:lang w:eastAsia="de-DE"/>
        </w:rPr>
        <w:t xml:space="preserve"> </w:t>
      </w:r>
      <w:r w:rsidRPr="00FB3674">
        <w:rPr>
          <w:color w:val="000000"/>
          <w:lang w:eastAsia="de-DE"/>
        </w:rPr>
        <w:t>of</w:t>
      </w:r>
      <w:r w:rsidR="001F7ED5" w:rsidRPr="00FB3674">
        <w:rPr>
          <w:color w:val="000000"/>
          <w:lang w:eastAsia="de-DE"/>
        </w:rPr>
        <w:t xml:space="preserve"> </w:t>
      </w:r>
      <w:r w:rsidRPr="00FB3674">
        <w:rPr>
          <w:color w:val="000000"/>
          <w:lang w:eastAsia="de-DE"/>
        </w:rPr>
        <w:t>the</w:t>
      </w:r>
      <w:r w:rsidR="001F7ED5" w:rsidRPr="00FB3674">
        <w:rPr>
          <w:color w:val="000000"/>
          <w:lang w:eastAsia="de-DE"/>
        </w:rPr>
        <w:t xml:space="preserve"> </w:t>
      </w:r>
      <w:r w:rsidRPr="00FB3674">
        <w:rPr>
          <w:color w:val="000000"/>
          <w:lang w:eastAsia="de-DE"/>
        </w:rPr>
        <w:t>opinion</w:t>
      </w:r>
      <w:r w:rsidR="001F7ED5" w:rsidRPr="00FB3674">
        <w:rPr>
          <w:color w:val="000000"/>
          <w:lang w:eastAsia="de-DE"/>
        </w:rPr>
        <w:t xml:space="preserve"> </w:t>
      </w:r>
      <w:r w:rsidRPr="00FB3674">
        <w:rPr>
          <w:color w:val="000000"/>
          <w:lang w:eastAsia="de-DE"/>
        </w:rPr>
        <w:t>that,</w:t>
      </w:r>
      <w:r w:rsidR="001F7ED5" w:rsidRPr="00FB3674">
        <w:rPr>
          <w:color w:val="000000"/>
          <w:lang w:eastAsia="de-DE"/>
        </w:rPr>
        <w:t xml:space="preserve"> </w:t>
      </w:r>
      <w:r w:rsidRPr="00FB3674">
        <w:rPr>
          <w:color w:val="000000"/>
          <w:lang w:eastAsia="de-DE"/>
        </w:rPr>
        <w:t>i</w:t>
      </w:r>
      <w:r w:rsidRPr="00FB3674">
        <w:t>n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absence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an</w:t>
      </w:r>
      <w:r w:rsidR="001F7ED5" w:rsidRPr="00FB3674">
        <w:t xml:space="preserve"> </w:t>
      </w:r>
      <w:r w:rsidRPr="00FB3674">
        <w:t>explanation,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Committee</w:t>
      </w:r>
      <w:r w:rsidR="001F7ED5" w:rsidRPr="00FB3674">
        <w:t xml:space="preserve"> </w:t>
      </w:r>
      <w:r w:rsidRPr="00FB3674">
        <w:t>may</w:t>
      </w:r>
      <w:r w:rsidR="001F7ED5" w:rsidRPr="00FB3674">
        <w:t xml:space="preserve"> </w:t>
      </w:r>
      <w:r w:rsidRPr="00FB3674">
        <w:t>consider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submitting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communication</w:t>
      </w:r>
      <w:r w:rsidR="001F7ED5" w:rsidRPr="00FB3674">
        <w:t xml:space="preserve"> </w:t>
      </w:r>
      <w:r w:rsidRPr="00FB3674">
        <w:t>after</w:t>
      </w:r>
      <w:r w:rsidR="001F7ED5" w:rsidRPr="00FB3674">
        <w:t xml:space="preserve"> </w:t>
      </w:r>
      <w:r w:rsidRPr="00FB3674">
        <w:t>a</w:t>
      </w:r>
      <w:r w:rsidR="001F7ED5" w:rsidRPr="00FB3674">
        <w:t xml:space="preserve"> </w:t>
      </w:r>
      <w:r w:rsidRPr="00FB3674">
        <w:t>long</w:t>
      </w:r>
      <w:r w:rsidR="001F7ED5" w:rsidRPr="00FB3674">
        <w:t xml:space="preserve"> </w:t>
      </w:r>
      <w:r w:rsidRPr="00FB3674">
        <w:t>delay</w:t>
      </w:r>
      <w:r w:rsidR="001F7ED5" w:rsidRPr="00FB3674">
        <w:t xml:space="preserve"> </w:t>
      </w:r>
      <w:r w:rsidRPr="00FB3674">
        <w:t>amounts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an</w:t>
      </w:r>
      <w:r w:rsidR="001F7ED5" w:rsidRPr="00FB3674">
        <w:t xml:space="preserve"> </w:t>
      </w:r>
      <w:r w:rsidRPr="00FB3674">
        <w:t>abuse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right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submission</w:t>
      </w:r>
      <w:r w:rsidR="001F7ED5" w:rsidRPr="00FB3674">
        <w:t xml:space="preserve"> </w:t>
      </w:r>
      <w:r w:rsidRPr="00FB3674">
        <w:t>and</w:t>
      </w:r>
      <w:r w:rsidR="001F7ED5" w:rsidRPr="00FB3674">
        <w:t xml:space="preserve"> </w:t>
      </w:r>
      <w:r w:rsidRPr="00FB3674">
        <w:t>find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communication</w:t>
      </w:r>
      <w:r w:rsidR="001F7ED5" w:rsidRPr="00FB3674">
        <w:t xml:space="preserve"> </w:t>
      </w:r>
      <w:r w:rsidRPr="00FB3674">
        <w:t>inadmissible</w:t>
      </w:r>
      <w:r w:rsidR="001F7ED5" w:rsidRPr="00FB3674">
        <w:t xml:space="preserve"> </w:t>
      </w:r>
      <w:r w:rsidRPr="00FB3674">
        <w:t>under</w:t>
      </w:r>
      <w:r w:rsidR="001F7ED5" w:rsidRPr="00FB3674">
        <w:t xml:space="preserve"> </w:t>
      </w:r>
      <w:r w:rsidRPr="00FB3674">
        <w:t>article</w:t>
      </w:r>
      <w:r w:rsidR="001F7ED5" w:rsidRPr="00FB3674">
        <w:t xml:space="preserve"> </w:t>
      </w:r>
      <w:r w:rsidRPr="00FB3674">
        <w:t>3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Optional</w:t>
      </w:r>
      <w:r w:rsidR="001F7ED5" w:rsidRPr="00FB3674">
        <w:t xml:space="preserve"> </w:t>
      </w:r>
      <w:r w:rsidRPr="00FB3674">
        <w:t>Protocol.</w:t>
      </w:r>
    </w:p>
    <w:p w14:paraId="3D18B2D1" w14:textId="543D1211" w:rsidR="005D5882" w:rsidRPr="00FB3674" w:rsidRDefault="005D5882" w:rsidP="004A5C52">
      <w:pPr>
        <w:pStyle w:val="H23G"/>
      </w:pPr>
      <w:r w:rsidRPr="00FB3674">
        <w:tab/>
      </w:r>
      <w:r w:rsidRPr="00FB3674">
        <w:tab/>
        <w:t>Author</w:t>
      </w:r>
      <w:r w:rsidR="00FB3674">
        <w:t>’</w:t>
      </w:r>
      <w:r w:rsidRPr="00FB3674">
        <w:t>s</w:t>
      </w:r>
      <w:r w:rsidR="001F7ED5" w:rsidRPr="00FB3674">
        <w:t xml:space="preserve"> </w:t>
      </w:r>
      <w:r w:rsidRPr="00FB3674">
        <w:t>comments</w:t>
      </w:r>
      <w:r w:rsidR="001F7ED5" w:rsidRPr="00FB3674">
        <w:t xml:space="preserve"> </w:t>
      </w:r>
      <w:r w:rsidRPr="00FB3674">
        <w:t>on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State</w:t>
      </w:r>
      <w:r w:rsidR="001F7ED5" w:rsidRPr="00FB3674">
        <w:t xml:space="preserve"> </w:t>
      </w:r>
      <w:r w:rsidRPr="00FB3674">
        <w:t>party</w:t>
      </w:r>
      <w:r w:rsidR="00FB3674">
        <w:t>’</w:t>
      </w:r>
      <w:r w:rsidRPr="00FB3674">
        <w:t>s</w:t>
      </w:r>
      <w:r w:rsidR="001F7ED5" w:rsidRPr="00FB3674">
        <w:t xml:space="preserve"> </w:t>
      </w:r>
      <w:r w:rsidRPr="00FB3674">
        <w:t>observations</w:t>
      </w:r>
    </w:p>
    <w:p w14:paraId="7790C1AE" w14:textId="0A481EE5" w:rsidR="005D5882" w:rsidRPr="00FB3674" w:rsidRDefault="005D5882" w:rsidP="005D5882">
      <w:pPr>
        <w:pStyle w:val="SingleTxtG"/>
      </w:pPr>
      <w:r w:rsidRPr="00FB3674">
        <w:t>5.1</w:t>
      </w:r>
      <w:r w:rsidRPr="00FB3674">
        <w:tab/>
        <w:t>On</w:t>
      </w:r>
      <w:r w:rsidR="001F7ED5" w:rsidRPr="00FB3674">
        <w:t xml:space="preserve"> </w:t>
      </w:r>
      <w:r w:rsidRPr="00FB3674">
        <w:t>19</w:t>
      </w:r>
      <w:r w:rsidR="001F7ED5" w:rsidRPr="00FB3674">
        <w:t xml:space="preserve"> </w:t>
      </w:r>
      <w:r w:rsidRPr="00FB3674">
        <w:t>July</w:t>
      </w:r>
      <w:r w:rsidR="001F7ED5" w:rsidRPr="00FB3674">
        <w:t xml:space="preserve"> </w:t>
      </w:r>
      <w:r w:rsidRPr="00FB3674">
        <w:t>2018,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author</w:t>
      </w:r>
      <w:r w:rsidR="001F7ED5" w:rsidRPr="00FB3674">
        <w:t xml:space="preserve"> </w:t>
      </w:r>
      <w:r w:rsidRPr="00FB3674">
        <w:t>submits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he</w:t>
      </w:r>
      <w:r w:rsidR="001F7ED5" w:rsidRPr="00FB3674">
        <w:t xml:space="preserve"> </w:t>
      </w:r>
      <w:r w:rsidRPr="00FB3674">
        <w:t>is</w:t>
      </w:r>
      <w:r w:rsidR="001F7ED5" w:rsidRPr="00FB3674">
        <w:t xml:space="preserve"> </w:t>
      </w:r>
      <w:r w:rsidRPr="00FB3674">
        <w:t>aware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competence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European</w:t>
      </w:r>
      <w:r w:rsidR="001F7ED5" w:rsidRPr="00FB3674">
        <w:t xml:space="preserve"> </w:t>
      </w:r>
      <w:r w:rsidRPr="00FB3674">
        <w:t>Court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Human</w:t>
      </w:r>
      <w:r w:rsidR="001F7ED5" w:rsidRPr="00FB3674">
        <w:t xml:space="preserve"> </w:t>
      </w:r>
      <w:r w:rsidRPr="00FB3674">
        <w:t>Rights</w:t>
      </w:r>
      <w:r w:rsidR="001F7ED5" w:rsidRPr="00FB3674">
        <w:t xml:space="preserve"> </w:t>
      </w:r>
      <w:r w:rsidRPr="00FB3674">
        <w:t>and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Committee,</w:t>
      </w:r>
      <w:r w:rsidR="001F7ED5" w:rsidRPr="00FB3674">
        <w:t xml:space="preserve"> </w:t>
      </w:r>
      <w:r w:rsidRPr="00FB3674">
        <w:t>neither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which</w:t>
      </w:r>
      <w:r w:rsidR="001F7ED5" w:rsidRPr="00FB3674">
        <w:t xml:space="preserve"> </w:t>
      </w:r>
      <w:r w:rsidRPr="00FB3674">
        <w:t>can</w:t>
      </w:r>
      <w:r w:rsidR="001F7ED5" w:rsidRPr="00FB3674">
        <w:t xml:space="preserve"> </w:t>
      </w:r>
      <w:r w:rsidRPr="00FB3674">
        <w:t>act</w:t>
      </w:r>
      <w:r w:rsidR="001F7ED5" w:rsidRPr="00FB3674">
        <w:t xml:space="preserve"> </w:t>
      </w:r>
      <w:r w:rsidRPr="00FB3674">
        <w:t>as</w:t>
      </w:r>
      <w:r w:rsidR="001F7ED5" w:rsidRPr="00FB3674">
        <w:t xml:space="preserve"> </w:t>
      </w:r>
      <w:r w:rsidRPr="00FB3674">
        <w:t>a</w:t>
      </w:r>
      <w:r w:rsidR="001F7ED5" w:rsidRPr="00FB3674">
        <w:t xml:space="preserve"> </w:t>
      </w:r>
      <w:r w:rsidR="002E7C71">
        <w:t>“</w:t>
      </w:r>
      <w:r w:rsidRPr="00FB3674">
        <w:t>fourth</w:t>
      </w:r>
      <w:r w:rsidR="001F7ED5" w:rsidRPr="00FB3674">
        <w:t xml:space="preserve"> </w:t>
      </w:r>
      <w:r w:rsidRPr="00FB3674">
        <w:t>instance</w:t>
      </w:r>
      <w:r w:rsidR="002E7C71">
        <w:t>”</w:t>
      </w:r>
      <w:r w:rsidR="001F7ED5" w:rsidRPr="00FB3674">
        <w:t xml:space="preserve"> </w:t>
      </w:r>
      <w:r w:rsidRPr="00FB3674">
        <w:t>and</w:t>
      </w:r>
      <w:r w:rsidR="001F7ED5" w:rsidRPr="00FB3674">
        <w:t xml:space="preserve"> </w:t>
      </w:r>
      <w:r w:rsidRPr="00FB3674">
        <w:t>reassess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findings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domestic</w:t>
      </w:r>
      <w:r w:rsidR="001F7ED5" w:rsidRPr="00FB3674">
        <w:t xml:space="preserve"> </w:t>
      </w:r>
      <w:r w:rsidRPr="00FB3674">
        <w:t>courts.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author</w:t>
      </w:r>
      <w:r w:rsidR="001F7ED5" w:rsidRPr="00FB3674">
        <w:t xml:space="preserve"> </w:t>
      </w:r>
      <w:r w:rsidRPr="00FB3674">
        <w:t>notes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European</w:t>
      </w:r>
      <w:r w:rsidR="001F7ED5" w:rsidRPr="00FB3674">
        <w:t xml:space="preserve"> </w:t>
      </w:r>
      <w:r w:rsidRPr="00FB3674">
        <w:lastRenderedPageBreak/>
        <w:t>Court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Human</w:t>
      </w:r>
      <w:r w:rsidR="001F7ED5" w:rsidRPr="00FB3674">
        <w:t xml:space="preserve"> </w:t>
      </w:r>
      <w:r w:rsidRPr="00FB3674">
        <w:t>Rights</w:t>
      </w:r>
      <w:r w:rsidR="001F7ED5" w:rsidRPr="00FB3674">
        <w:t xml:space="preserve"> </w:t>
      </w:r>
      <w:r w:rsidRPr="00FB3674">
        <w:t>concluded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most</w:t>
      </w:r>
      <w:r w:rsidR="001F7ED5" w:rsidRPr="00FB3674">
        <w:t xml:space="preserve"> </w:t>
      </w:r>
      <w:r w:rsidRPr="00FB3674">
        <w:t>appropriate</w:t>
      </w:r>
      <w:r w:rsidR="001F7ED5" w:rsidRPr="00FB3674">
        <w:t xml:space="preserve"> </w:t>
      </w:r>
      <w:r w:rsidRPr="00FB3674">
        <w:t>form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redress</w:t>
      </w:r>
      <w:r w:rsidR="001F7ED5" w:rsidRPr="00FB3674">
        <w:t xml:space="preserve"> </w:t>
      </w:r>
      <w:r w:rsidRPr="00FB3674">
        <w:t>would</w:t>
      </w:r>
      <w:r w:rsidR="001F7ED5" w:rsidRPr="00FB3674">
        <w:t xml:space="preserve"> </w:t>
      </w:r>
      <w:r w:rsidRPr="00FB3674">
        <w:t>be</w:t>
      </w:r>
      <w:r w:rsidR="001F7ED5" w:rsidRPr="00FB3674">
        <w:t xml:space="preserve"> </w:t>
      </w:r>
      <w:r w:rsidRPr="00FB3674">
        <w:t>retrial,</w:t>
      </w:r>
      <w:r w:rsidR="001F7ED5" w:rsidRPr="00FB3674">
        <w:t xml:space="preserve"> </w:t>
      </w:r>
      <w:r w:rsidRPr="00FB3674">
        <w:t>since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domestic</w:t>
      </w:r>
      <w:r w:rsidR="001F7ED5" w:rsidRPr="00FB3674">
        <w:t xml:space="preserve"> </w:t>
      </w:r>
      <w:r w:rsidRPr="00FB3674">
        <w:t>courts</w:t>
      </w:r>
      <w:r w:rsidR="001F7ED5" w:rsidRPr="00FB3674">
        <w:t xml:space="preserve"> </w:t>
      </w:r>
      <w:r w:rsidRPr="00FB3674">
        <w:t>had</w:t>
      </w:r>
      <w:r w:rsidR="001F7ED5" w:rsidRPr="00FB3674">
        <w:t xml:space="preserve"> </w:t>
      </w:r>
      <w:r w:rsidRPr="00FB3674">
        <w:t>failed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address</w:t>
      </w:r>
      <w:r w:rsidR="001F7ED5" w:rsidRPr="00FB3674">
        <w:t xml:space="preserve"> </w:t>
      </w:r>
      <w:r w:rsidRPr="00FB3674">
        <w:t>his</w:t>
      </w:r>
      <w:r w:rsidR="001F7ED5" w:rsidRPr="00FB3674">
        <w:t xml:space="preserve"> </w:t>
      </w:r>
      <w:r w:rsidRPr="00FB3674">
        <w:t>incitement</w:t>
      </w:r>
      <w:r w:rsidR="001F7ED5" w:rsidRPr="00FB3674">
        <w:t xml:space="preserve"> </w:t>
      </w:r>
      <w:r w:rsidRPr="00FB3674">
        <w:t>complaint</w:t>
      </w:r>
      <w:r w:rsidR="001F7ED5" w:rsidRPr="00FB3674">
        <w:t xml:space="preserve"> </w:t>
      </w:r>
      <w:r w:rsidRPr="00FB3674">
        <w:t>and</w:t>
      </w:r>
      <w:r w:rsidR="001F7ED5" w:rsidRPr="00FB3674">
        <w:t xml:space="preserve"> </w:t>
      </w:r>
      <w:r w:rsidRPr="00FB3674">
        <w:t>had</w:t>
      </w:r>
      <w:r w:rsidR="001F7ED5" w:rsidRPr="00FB3674">
        <w:t xml:space="preserve"> </w:t>
      </w:r>
      <w:r w:rsidRPr="00FB3674">
        <w:t>not</w:t>
      </w:r>
      <w:r w:rsidR="001F7ED5" w:rsidRPr="00FB3674">
        <w:t xml:space="preserve"> </w:t>
      </w:r>
      <w:r w:rsidRPr="00FB3674">
        <w:t>acquainted</w:t>
      </w:r>
      <w:r w:rsidR="001F7ED5" w:rsidRPr="00FB3674">
        <w:t xml:space="preserve"> </w:t>
      </w:r>
      <w:r w:rsidRPr="00FB3674">
        <w:t>themselves</w:t>
      </w:r>
      <w:r w:rsidR="001F7ED5" w:rsidRPr="00FB3674">
        <w:t xml:space="preserve"> </w:t>
      </w:r>
      <w:r w:rsidRPr="00FB3674">
        <w:t>with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classified</w:t>
      </w:r>
      <w:r w:rsidR="001F7ED5" w:rsidRPr="00FB3674">
        <w:t xml:space="preserve"> </w:t>
      </w:r>
      <w:r w:rsidRPr="00FB3674">
        <w:t>special</w:t>
      </w:r>
      <w:r w:rsidR="001F7ED5" w:rsidRPr="00FB3674">
        <w:t xml:space="preserve"> </w:t>
      </w:r>
      <w:r w:rsidRPr="00FB3674">
        <w:t>investigative</w:t>
      </w:r>
      <w:r w:rsidR="001F7ED5" w:rsidRPr="00FB3674">
        <w:t xml:space="preserve"> </w:t>
      </w:r>
      <w:r w:rsidRPr="00FB3674">
        <w:t>files</w:t>
      </w:r>
      <w:r w:rsidR="001F7ED5" w:rsidRPr="00FB3674">
        <w:t xml:space="preserve"> </w:t>
      </w:r>
      <w:r w:rsidRPr="00FB3674">
        <w:t>pertaining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special</w:t>
      </w:r>
      <w:r w:rsidR="001F7ED5" w:rsidRPr="00FB3674">
        <w:t xml:space="preserve"> </w:t>
      </w:r>
      <w:r w:rsidRPr="00FB3674">
        <w:t>police</w:t>
      </w:r>
      <w:r w:rsidR="001F7ED5" w:rsidRPr="00FB3674">
        <w:t xml:space="preserve"> </w:t>
      </w:r>
      <w:r w:rsidRPr="00FB3674">
        <w:t>operation</w:t>
      </w:r>
      <w:r w:rsidR="001F7ED5" w:rsidRPr="00FB3674">
        <w:t xml:space="preserve"> </w:t>
      </w:r>
      <w:r w:rsidR="002E7C71">
        <w:t>“</w:t>
      </w:r>
      <w:r w:rsidRPr="00FB3674">
        <w:t>Rebus</w:t>
      </w:r>
      <w:r w:rsidR="002E7C71">
        <w:t>”</w:t>
      </w:r>
      <w:r w:rsidRPr="00FB3674">
        <w:t>.</w:t>
      </w:r>
      <w:r w:rsidR="001F7ED5" w:rsidRPr="00FB3674">
        <w:t xml:space="preserve"> </w:t>
      </w:r>
      <w:r w:rsidRPr="00FB3674">
        <w:t>This</w:t>
      </w:r>
      <w:r w:rsidR="001F7ED5" w:rsidRPr="00FB3674">
        <w:t xml:space="preserve"> </w:t>
      </w:r>
      <w:r w:rsidRPr="00FB3674">
        <w:t>was</w:t>
      </w:r>
      <w:r w:rsidR="001F7ED5" w:rsidRPr="00FB3674">
        <w:t xml:space="preserve"> </w:t>
      </w:r>
      <w:r w:rsidRPr="00FB3674">
        <w:t>done</w:t>
      </w:r>
      <w:r w:rsidR="001F7ED5" w:rsidRPr="00FB3674">
        <w:t xml:space="preserve"> </w:t>
      </w:r>
      <w:r w:rsidRPr="00FB3674">
        <w:t>only</w:t>
      </w:r>
      <w:r w:rsidR="001F7ED5" w:rsidRPr="00FB3674">
        <w:t xml:space="preserve"> </w:t>
      </w:r>
      <w:r w:rsidRPr="00FB3674">
        <w:t>during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retrial.</w:t>
      </w:r>
    </w:p>
    <w:p w14:paraId="5C11C5CF" w14:textId="522F5322" w:rsidR="001F7ED5" w:rsidRPr="00FB3674" w:rsidRDefault="005D5882" w:rsidP="005D5882">
      <w:pPr>
        <w:pStyle w:val="SingleTxtG"/>
      </w:pPr>
      <w:r w:rsidRPr="00FB3674">
        <w:t>5.2</w:t>
      </w:r>
      <w:r w:rsidRPr="00FB3674">
        <w:tab/>
        <w:t>The</w:t>
      </w:r>
      <w:r w:rsidR="001F7ED5" w:rsidRPr="00FB3674">
        <w:t xml:space="preserve"> </w:t>
      </w:r>
      <w:r w:rsidRPr="00FB3674">
        <w:t>author</w:t>
      </w:r>
      <w:r w:rsidR="001F7ED5" w:rsidRPr="00FB3674">
        <w:t xml:space="preserve"> </w:t>
      </w:r>
      <w:r w:rsidRPr="00FB3674">
        <w:t>proposes</w:t>
      </w:r>
      <w:r w:rsidR="001F7ED5" w:rsidRPr="00FB3674">
        <w:t xml:space="preserve"> </w:t>
      </w:r>
      <w:r w:rsidRPr="00FB3674">
        <w:t>two</w:t>
      </w:r>
      <w:r w:rsidR="001F7ED5" w:rsidRPr="00FB3674">
        <w:t xml:space="preserve"> </w:t>
      </w:r>
      <w:r w:rsidRPr="00FB3674">
        <w:t>possible</w:t>
      </w:r>
      <w:r w:rsidR="001F7ED5" w:rsidRPr="00FB3674">
        <w:t xml:space="preserve"> </w:t>
      </w:r>
      <w:r w:rsidRPr="00FB3674">
        <w:t>options</w:t>
      </w:r>
      <w:r w:rsidR="001F7ED5" w:rsidRPr="00FB3674">
        <w:t xml:space="preserve"> </w:t>
      </w:r>
      <w:r w:rsidRPr="00FB3674">
        <w:t>for</w:t>
      </w:r>
      <w:r w:rsidR="001F7ED5" w:rsidRPr="00FB3674">
        <w:t xml:space="preserve"> </w:t>
      </w:r>
      <w:r w:rsidRPr="00FB3674">
        <w:t>addressing</w:t>
      </w:r>
      <w:r w:rsidR="001F7ED5" w:rsidRPr="00FB3674">
        <w:t xml:space="preserve"> </w:t>
      </w:r>
      <w:r w:rsidRPr="00FB3674">
        <w:t>his</w:t>
      </w:r>
      <w:r w:rsidR="001F7ED5" w:rsidRPr="00FB3674">
        <w:t xml:space="preserve"> </w:t>
      </w:r>
      <w:r w:rsidRPr="00FB3674">
        <w:t>claims: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Committee</w:t>
      </w:r>
      <w:r w:rsidR="001F7ED5" w:rsidRPr="00FB3674">
        <w:t xml:space="preserve"> </w:t>
      </w:r>
      <w:r w:rsidRPr="00FB3674">
        <w:t>could</w:t>
      </w:r>
      <w:r w:rsidR="001F7ED5" w:rsidRPr="00FB3674">
        <w:t xml:space="preserve"> </w:t>
      </w:r>
      <w:r w:rsidRPr="00FB3674">
        <w:t>get</w:t>
      </w:r>
      <w:r w:rsidR="001F7ED5" w:rsidRPr="00FB3674">
        <w:t xml:space="preserve"> </w:t>
      </w:r>
      <w:r w:rsidRPr="00FB3674">
        <w:t>acquainted</w:t>
      </w:r>
      <w:r w:rsidR="001F7ED5" w:rsidRPr="00FB3674">
        <w:t xml:space="preserve"> </w:t>
      </w:r>
      <w:r w:rsidRPr="00FB3674">
        <w:t>with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two</w:t>
      </w:r>
      <w:r w:rsidR="001F7ED5" w:rsidRPr="00FB3674">
        <w:t xml:space="preserve"> </w:t>
      </w:r>
      <w:r w:rsidRPr="00FB3674">
        <w:t>classified</w:t>
      </w:r>
      <w:r w:rsidR="001F7ED5" w:rsidRPr="00FB3674">
        <w:t xml:space="preserve"> </w:t>
      </w:r>
      <w:r w:rsidRPr="00FB3674">
        <w:t>special</w:t>
      </w:r>
      <w:r w:rsidR="001F7ED5" w:rsidRPr="00FB3674">
        <w:t xml:space="preserve"> </w:t>
      </w:r>
      <w:r w:rsidRPr="00FB3674">
        <w:t>investigative</w:t>
      </w:r>
      <w:r w:rsidR="001F7ED5" w:rsidRPr="00FB3674">
        <w:t xml:space="preserve"> </w:t>
      </w:r>
      <w:r w:rsidRPr="00FB3674">
        <w:t>files</w:t>
      </w:r>
      <w:r w:rsidR="001F7ED5" w:rsidRPr="00FB3674">
        <w:t xml:space="preserve"> </w:t>
      </w:r>
      <w:r w:rsidRPr="00FB3674">
        <w:t>pertaining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="002E7C71">
        <w:t>“</w:t>
      </w:r>
      <w:r w:rsidRPr="00FB3674">
        <w:t>Rebus</w:t>
      </w:r>
      <w:r w:rsidR="002E7C71">
        <w:t>”</w:t>
      </w:r>
      <w:r w:rsidR="001F7ED5" w:rsidRPr="00FB3674">
        <w:t xml:space="preserve"> </w:t>
      </w:r>
      <w:r w:rsidRPr="00FB3674">
        <w:t>operation</w:t>
      </w:r>
      <w:r w:rsidR="001F7ED5" w:rsidRPr="00FB3674">
        <w:t xml:space="preserve"> </w:t>
      </w:r>
      <w:r w:rsidRPr="00FB3674">
        <w:t>in</w:t>
      </w:r>
      <w:r w:rsidR="001F7ED5" w:rsidRPr="00FB3674">
        <w:t xml:space="preserve"> </w:t>
      </w:r>
      <w:r w:rsidRPr="00FB3674">
        <w:t>order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see</w:t>
      </w:r>
      <w:r w:rsidR="001F7ED5" w:rsidRPr="00FB3674">
        <w:t xml:space="preserve"> </w:t>
      </w:r>
      <w:r w:rsidRPr="00FB3674">
        <w:t>if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domestic</w:t>
      </w:r>
      <w:r w:rsidR="001F7ED5" w:rsidRPr="00FB3674">
        <w:t xml:space="preserve"> </w:t>
      </w:r>
      <w:r w:rsidRPr="00FB3674">
        <w:t>courts</w:t>
      </w:r>
      <w:r w:rsidR="001F7ED5" w:rsidRPr="00FB3674">
        <w:t xml:space="preserve"> </w:t>
      </w:r>
      <w:r w:rsidRPr="00FB3674">
        <w:t>actions</w:t>
      </w:r>
      <w:r w:rsidR="001F7ED5" w:rsidRPr="00FB3674">
        <w:t xml:space="preserve"> </w:t>
      </w:r>
      <w:r w:rsidRPr="00FB3674">
        <w:t>have</w:t>
      </w:r>
      <w:r w:rsidR="001F7ED5" w:rsidRPr="00FB3674">
        <w:t xml:space="preserve"> </w:t>
      </w:r>
      <w:r w:rsidRPr="00FB3674">
        <w:t>acted</w:t>
      </w:r>
      <w:r w:rsidR="001F7ED5" w:rsidRPr="00FB3674">
        <w:t xml:space="preserve"> </w:t>
      </w:r>
      <w:r w:rsidRPr="00FB3674">
        <w:t>in</w:t>
      </w:r>
      <w:r w:rsidR="001F7ED5" w:rsidRPr="00FB3674">
        <w:t xml:space="preserve"> </w:t>
      </w:r>
      <w:r w:rsidRPr="00FB3674">
        <w:t>a</w:t>
      </w:r>
      <w:r w:rsidR="001F7ED5" w:rsidRPr="00FB3674">
        <w:t xml:space="preserve"> </w:t>
      </w:r>
      <w:r w:rsidRPr="00FB3674">
        <w:t>manner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amounts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a</w:t>
      </w:r>
      <w:r w:rsidR="001F7ED5" w:rsidRPr="00FB3674">
        <w:t xml:space="preserve"> </w:t>
      </w:r>
      <w:r w:rsidRPr="00FB3674">
        <w:t>manifest</w:t>
      </w:r>
      <w:r w:rsidR="001F7ED5" w:rsidRPr="00FB3674">
        <w:t xml:space="preserve"> </w:t>
      </w:r>
      <w:r w:rsidRPr="00FB3674">
        <w:t>error</w:t>
      </w:r>
      <w:r w:rsidR="001F7ED5" w:rsidRPr="00FB3674">
        <w:t xml:space="preserve"> </w:t>
      </w:r>
      <w:r w:rsidRPr="00FB3674">
        <w:t>or</w:t>
      </w:r>
      <w:r w:rsidR="001F7ED5" w:rsidRPr="00FB3674">
        <w:t xml:space="preserve"> </w:t>
      </w:r>
      <w:r w:rsidRPr="00FB3674">
        <w:t>denial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justice,</w:t>
      </w:r>
      <w:r w:rsidR="001F7ED5" w:rsidRPr="00FB3674">
        <w:t xml:space="preserve"> </w:t>
      </w:r>
      <w:r w:rsidRPr="00FB3674">
        <w:t>or</w:t>
      </w:r>
      <w:r w:rsidR="001F7ED5" w:rsidRPr="00FB3674">
        <w:t xml:space="preserve"> </w:t>
      </w:r>
      <w:r w:rsidRPr="00FB3674">
        <w:t>conclude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most</w:t>
      </w:r>
      <w:r w:rsidR="001F7ED5" w:rsidRPr="00FB3674">
        <w:t xml:space="preserve"> </w:t>
      </w:r>
      <w:r w:rsidRPr="00FB3674">
        <w:t>appropriate</w:t>
      </w:r>
      <w:r w:rsidR="001F7ED5" w:rsidRPr="00FB3674">
        <w:t xml:space="preserve"> </w:t>
      </w:r>
      <w:r w:rsidRPr="00FB3674">
        <w:t>form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redress</w:t>
      </w:r>
      <w:r w:rsidR="001F7ED5" w:rsidRPr="00FB3674">
        <w:t xml:space="preserve"> </w:t>
      </w:r>
      <w:r w:rsidRPr="00FB3674">
        <w:t>would</w:t>
      </w:r>
      <w:r w:rsidR="001F7ED5" w:rsidRPr="00FB3674">
        <w:t xml:space="preserve"> </w:t>
      </w:r>
      <w:r w:rsidRPr="00FB3674">
        <w:t>be</w:t>
      </w:r>
      <w:r w:rsidR="001F7ED5" w:rsidRPr="00FB3674">
        <w:t xml:space="preserve"> </w:t>
      </w:r>
      <w:r w:rsidRPr="00FB3674">
        <w:t>a</w:t>
      </w:r>
      <w:r w:rsidR="001F7ED5" w:rsidRPr="00FB3674">
        <w:t xml:space="preserve"> </w:t>
      </w:r>
      <w:r w:rsidRPr="00FB3674">
        <w:t>third</w:t>
      </w:r>
      <w:r w:rsidR="001F7ED5" w:rsidRPr="00FB3674">
        <w:t xml:space="preserve"> </w:t>
      </w:r>
      <w:r w:rsidRPr="00FB3674">
        <w:t>retrial.</w:t>
      </w:r>
    </w:p>
    <w:p w14:paraId="03E33D38" w14:textId="5E11630D" w:rsidR="005D5882" w:rsidRPr="00FB3674" w:rsidRDefault="005D5882" w:rsidP="005D5882">
      <w:pPr>
        <w:pStyle w:val="SingleTxtG"/>
      </w:pPr>
      <w:r w:rsidRPr="00FB3674">
        <w:t>5.3</w:t>
      </w:r>
      <w:r w:rsidRPr="00FB3674">
        <w:tab/>
        <w:t>The</w:t>
      </w:r>
      <w:r w:rsidR="001F7ED5" w:rsidRPr="00FB3674">
        <w:t xml:space="preserve"> </w:t>
      </w:r>
      <w:r w:rsidRPr="00FB3674">
        <w:t>author</w:t>
      </w:r>
      <w:r w:rsidR="001F7ED5" w:rsidRPr="00FB3674">
        <w:t xml:space="preserve"> </w:t>
      </w:r>
      <w:r w:rsidRPr="00FB3674">
        <w:t>reiterates</w:t>
      </w:r>
      <w:r w:rsidR="001F7ED5" w:rsidRPr="00FB3674">
        <w:t xml:space="preserve"> </w:t>
      </w:r>
      <w:r w:rsidRPr="00FB3674">
        <w:t>his</w:t>
      </w:r>
      <w:r w:rsidR="001F7ED5" w:rsidRPr="00FB3674">
        <w:t xml:space="preserve"> </w:t>
      </w:r>
      <w:r w:rsidRPr="00FB3674">
        <w:t>request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the</w:t>
      </w:r>
      <w:r w:rsidR="001F7ED5" w:rsidRPr="00FB3674">
        <w:rPr>
          <w:color w:val="FF0000"/>
        </w:rPr>
        <w:t xml:space="preserve"> </w:t>
      </w:r>
      <w:r w:rsidRPr="00FB3674">
        <w:t>Committee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recommend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Latvia</w:t>
      </w:r>
      <w:r w:rsidR="001F7ED5" w:rsidRPr="00FB3674">
        <w:t xml:space="preserve"> </w:t>
      </w:r>
      <w:r w:rsidRPr="00FB3674">
        <w:t>reverse</w:t>
      </w:r>
      <w:r w:rsidR="001F7ED5" w:rsidRPr="00FB3674">
        <w:t xml:space="preserve"> </w:t>
      </w:r>
      <w:r w:rsidRPr="00FB3674">
        <w:t>his</w:t>
      </w:r>
      <w:r w:rsidR="001F7ED5" w:rsidRPr="00FB3674">
        <w:t xml:space="preserve"> </w:t>
      </w:r>
      <w:r w:rsidRPr="00FB3674">
        <w:t>conviction</w:t>
      </w:r>
      <w:r w:rsidR="001F7ED5" w:rsidRPr="00FB3674">
        <w:t xml:space="preserve"> </w:t>
      </w:r>
      <w:r w:rsidRPr="00FB3674">
        <w:t>and</w:t>
      </w:r>
      <w:r w:rsidR="001F7ED5" w:rsidRPr="00FB3674">
        <w:t xml:space="preserve"> </w:t>
      </w:r>
      <w:r w:rsidRPr="00FB3674">
        <w:t>pay</w:t>
      </w:r>
      <w:r w:rsidR="001F7ED5" w:rsidRPr="00FB3674">
        <w:t xml:space="preserve"> </w:t>
      </w:r>
      <w:r w:rsidRPr="00FB3674">
        <w:t>him</w:t>
      </w:r>
      <w:r w:rsidR="001F7ED5" w:rsidRPr="00FB3674">
        <w:t xml:space="preserve"> </w:t>
      </w:r>
      <w:r w:rsidRPr="00FB3674">
        <w:t>compensation</w:t>
      </w:r>
      <w:r w:rsidR="001F7ED5" w:rsidRPr="00FB3674">
        <w:t xml:space="preserve"> </w:t>
      </w:r>
      <w:r w:rsidRPr="00FB3674">
        <w:t>in</w:t>
      </w:r>
      <w:r w:rsidR="001F7ED5" w:rsidRPr="00FB3674">
        <w:t xml:space="preserve"> </w:t>
      </w:r>
      <w:r w:rsidRPr="00FB3674">
        <w:t>accordance</w:t>
      </w:r>
      <w:r w:rsidR="001F7ED5" w:rsidRPr="00FB3674">
        <w:t xml:space="preserve"> </w:t>
      </w:r>
      <w:r w:rsidRPr="00FB3674">
        <w:t>with</w:t>
      </w:r>
      <w:r w:rsidR="001F7ED5" w:rsidRPr="00FB3674">
        <w:t xml:space="preserve"> </w:t>
      </w:r>
      <w:r w:rsidRPr="00FB3674">
        <w:t>article</w:t>
      </w:r>
      <w:r w:rsidR="001F7ED5" w:rsidRPr="00FB3674">
        <w:t xml:space="preserve"> </w:t>
      </w:r>
      <w:r w:rsidRPr="00FB3674">
        <w:t>14</w:t>
      </w:r>
      <w:r w:rsidR="001F7ED5" w:rsidRPr="00FB3674">
        <w:t xml:space="preserve"> </w:t>
      </w:r>
      <w:r w:rsidRPr="00FB3674">
        <w:t>(6)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Covenant.</w:t>
      </w:r>
    </w:p>
    <w:p w14:paraId="3FB051D4" w14:textId="6522ABCA" w:rsidR="005D5882" w:rsidRPr="00FB3674" w:rsidRDefault="005D5882" w:rsidP="005D5882">
      <w:pPr>
        <w:pStyle w:val="SingleTxtG"/>
      </w:pPr>
      <w:r w:rsidRPr="00FB3674">
        <w:t>5.4</w:t>
      </w:r>
      <w:r w:rsidRPr="00FB3674">
        <w:tab/>
        <w:t>Commenting</w:t>
      </w:r>
      <w:r w:rsidR="001F7ED5" w:rsidRPr="00FB3674">
        <w:t xml:space="preserve"> </w:t>
      </w:r>
      <w:r w:rsidRPr="00FB3674">
        <w:t>on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State</w:t>
      </w:r>
      <w:r w:rsidR="001F7ED5" w:rsidRPr="00FB3674">
        <w:t xml:space="preserve"> </w:t>
      </w:r>
      <w:r w:rsidRPr="00FB3674">
        <w:t>party</w:t>
      </w:r>
      <w:r w:rsidR="00FB3674">
        <w:t>’</w:t>
      </w:r>
      <w:r w:rsidRPr="00FB3674">
        <w:t>s</w:t>
      </w:r>
      <w:r w:rsidR="001F7ED5" w:rsidRPr="00FB3674">
        <w:t xml:space="preserve"> </w:t>
      </w:r>
      <w:r w:rsidRPr="00FB3674">
        <w:t>observations</w:t>
      </w:r>
      <w:r w:rsidR="001F7ED5" w:rsidRPr="00FB3674">
        <w:t xml:space="preserve"> </w:t>
      </w:r>
      <w:r w:rsidRPr="00FB3674">
        <w:t>regarding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lack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substantiation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complaints,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author</w:t>
      </w:r>
      <w:r w:rsidR="001F7ED5" w:rsidRPr="00FB3674">
        <w:t xml:space="preserve"> </w:t>
      </w:r>
      <w:r w:rsidRPr="00FB3674">
        <w:t>explains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domestic</w:t>
      </w:r>
      <w:r w:rsidR="001F7ED5" w:rsidRPr="00FB3674">
        <w:t xml:space="preserve"> </w:t>
      </w:r>
      <w:r w:rsidRPr="00FB3674">
        <w:t>courts</w:t>
      </w:r>
      <w:r w:rsidR="001F7ED5" w:rsidRPr="00FB3674">
        <w:t xml:space="preserve"> </w:t>
      </w:r>
      <w:r w:rsidRPr="00FB3674">
        <w:t>breached</w:t>
      </w:r>
      <w:r w:rsidR="001F7ED5" w:rsidRPr="00FB3674">
        <w:t xml:space="preserve"> </w:t>
      </w:r>
      <w:r w:rsidRPr="00FB3674">
        <w:t>his</w:t>
      </w:r>
      <w:r w:rsidR="001F7ED5" w:rsidRPr="00FB3674">
        <w:t xml:space="preserve"> </w:t>
      </w:r>
      <w:r w:rsidRPr="00FB3674">
        <w:t>fundamental</w:t>
      </w:r>
      <w:r w:rsidR="001F7ED5" w:rsidRPr="00FB3674">
        <w:t xml:space="preserve"> </w:t>
      </w:r>
      <w:r w:rsidRPr="00FB3674">
        <w:t>rights</w:t>
      </w:r>
      <w:r w:rsidR="001F7ED5" w:rsidRPr="00FB3674">
        <w:t xml:space="preserve"> </w:t>
      </w:r>
      <w:r w:rsidRPr="00FB3674">
        <w:t>during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retrial.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author</w:t>
      </w:r>
      <w:r w:rsidR="001F7ED5" w:rsidRPr="00FB3674">
        <w:t xml:space="preserve"> </w:t>
      </w:r>
      <w:r w:rsidRPr="00FB3674">
        <w:t>maintains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he</w:t>
      </w:r>
      <w:r w:rsidR="001F7ED5" w:rsidRPr="00FB3674">
        <w:t xml:space="preserve"> </w:t>
      </w:r>
      <w:r w:rsidRPr="00FB3674">
        <w:t>was</w:t>
      </w:r>
      <w:r w:rsidR="001F7ED5" w:rsidRPr="00FB3674">
        <w:t xml:space="preserve"> </w:t>
      </w:r>
      <w:r w:rsidRPr="00FB3674">
        <w:t>a</w:t>
      </w:r>
      <w:r w:rsidR="001F7ED5" w:rsidRPr="00FB3674">
        <w:t xml:space="preserve"> </w:t>
      </w:r>
      <w:r w:rsidRPr="00FB3674">
        <w:t>victim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incitement</w:t>
      </w:r>
      <w:r w:rsidR="001F7ED5" w:rsidRPr="00FB3674">
        <w:t xml:space="preserve"> </w:t>
      </w:r>
      <w:r w:rsidRPr="00FB3674">
        <w:t>by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undercover</w:t>
      </w:r>
      <w:r w:rsidR="001F7ED5" w:rsidRPr="00FB3674">
        <w:t xml:space="preserve"> </w:t>
      </w:r>
      <w:r w:rsidRPr="00FB3674">
        <w:t>police</w:t>
      </w:r>
      <w:r w:rsidR="001F7ED5" w:rsidRPr="00FB3674">
        <w:t xml:space="preserve"> </w:t>
      </w:r>
      <w:r w:rsidRPr="00FB3674">
        <w:t>officer,</w:t>
      </w:r>
      <w:r w:rsidR="001F7ED5" w:rsidRPr="00FB3674">
        <w:t xml:space="preserve"> </w:t>
      </w:r>
      <w:r w:rsidRPr="00FB3674">
        <w:t>I.,</w:t>
      </w:r>
      <w:r w:rsidR="001F7ED5" w:rsidRPr="00FB3674">
        <w:t xml:space="preserve"> </w:t>
      </w:r>
      <w:r w:rsidRPr="00FB3674">
        <w:t>who</w:t>
      </w:r>
      <w:r w:rsidR="001F7ED5" w:rsidRPr="00FB3674">
        <w:t xml:space="preserve"> </w:t>
      </w:r>
      <w:r w:rsidRPr="00FB3674">
        <w:t>did</w:t>
      </w:r>
      <w:r w:rsidR="001F7ED5" w:rsidRPr="00FB3674">
        <w:t xml:space="preserve"> </w:t>
      </w:r>
      <w:r w:rsidRPr="00FB3674">
        <w:t>not</w:t>
      </w:r>
      <w:r w:rsidR="001F7ED5" w:rsidRPr="00FB3674">
        <w:t xml:space="preserve"> </w:t>
      </w:r>
      <w:r w:rsidRPr="00FB3674">
        <w:t>act</w:t>
      </w:r>
      <w:r w:rsidR="001F7ED5" w:rsidRPr="00FB3674">
        <w:t xml:space="preserve"> </w:t>
      </w:r>
      <w:r w:rsidRPr="00FB3674">
        <w:t>in</w:t>
      </w:r>
      <w:r w:rsidR="001F7ED5" w:rsidRPr="00FB3674">
        <w:t xml:space="preserve"> </w:t>
      </w:r>
      <w:r w:rsidRPr="00FB3674">
        <w:t>a</w:t>
      </w:r>
      <w:r w:rsidR="001F7ED5" w:rsidRPr="00FB3674">
        <w:t xml:space="preserve"> </w:t>
      </w:r>
      <w:r w:rsidRPr="00FB3674">
        <w:t>passive</w:t>
      </w:r>
      <w:r w:rsidR="001F7ED5" w:rsidRPr="00FB3674">
        <w:t xml:space="preserve"> </w:t>
      </w:r>
      <w:r w:rsidRPr="00FB3674">
        <w:t>manner</w:t>
      </w:r>
      <w:r w:rsidR="001F7ED5" w:rsidRPr="00FB3674">
        <w:t xml:space="preserve"> </w:t>
      </w:r>
      <w:r w:rsidRPr="00FB3674">
        <w:t>but</w:t>
      </w:r>
      <w:r w:rsidR="001F7ED5" w:rsidRPr="00FB3674">
        <w:t xml:space="preserve"> </w:t>
      </w:r>
      <w:r w:rsidRPr="00FB3674">
        <w:t>rather</w:t>
      </w:r>
      <w:r w:rsidR="001F7ED5" w:rsidRPr="00FB3674">
        <w:t xml:space="preserve"> </w:t>
      </w:r>
      <w:r w:rsidRPr="00FB3674">
        <w:t>incited</w:t>
      </w:r>
      <w:r w:rsidR="001F7ED5" w:rsidRPr="00FB3674">
        <w:t xml:space="preserve"> </w:t>
      </w:r>
      <w:r w:rsidRPr="00FB3674">
        <w:t>him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commit</w:t>
      </w:r>
      <w:r w:rsidR="001F7ED5" w:rsidRPr="00FB3674">
        <w:t xml:space="preserve"> </w:t>
      </w:r>
      <w:r w:rsidRPr="00FB3674">
        <w:t>an</w:t>
      </w:r>
      <w:r w:rsidR="001F7ED5" w:rsidRPr="00FB3674">
        <w:t xml:space="preserve"> </w:t>
      </w:r>
      <w:r w:rsidRPr="00FB3674">
        <w:t>offence,</w:t>
      </w:r>
      <w:r w:rsidR="001F7ED5" w:rsidRPr="00FB3674">
        <w:t xml:space="preserve"> </w:t>
      </w:r>
      <w:r w:rsidRPr="00FB3674">
        <w:t>and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only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evidence</w:t>
      </w:r>
      <w:r w:rsidR="001F7ED5" w:rsidRPr="00FB3674">
        <w:t xml:space="preserve"> </w:t>
      </w:r>
      <w:r w:rsidRPr="00FB3674">
        <w:t>obtained</w:t>
      </w:r>
      <w:r w:rsidR="001F7ED5" w:rsidRPr="00FB3674">
        <w:t xml:space="preserve"> </w:t>
      </w:r>
      <w:r w:rsidRPr="00FB3674">
        <w:t>as</w:t>
      </w:r>
      <w:r w:rsidR="001F7ED5" w:rsidRPr="00FB3674">
        <w:t xml:space="preserve"> </w:t>
      </w:r>
      <w:r w:rsidRPr="00FB3674">
        <w:t>a</w:t>
      </w:r>
      <w:r w:rsidR="001F7ED5" w:rsidRPr="00FB3674">
        <w:t xml:space="preserve"> </w:t>
      </w:r>
      <w:r w:rsidRPr="00FB3674">
        <w:t>result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incitement</w:t>
      </w:r>
      <w:r w:rsidR="001F7ED5" w:rsidRPr="00FB3674">
        <w:t xml:space="preserve"> </w:t>
      </w:r>
      <w:r w:rsidRPr="00FB3674">
        <w:t>could</w:t>
      </w:r>
      <w:r w:rsidR="001F7ED5" w:rsidRPr="00FB3674">
        <w:t xml:space="preserve"> </w:t>
      </w:r>
      <w:r w:rsidRPr="00FB3674">
        <w:t>demonstrate</w:t>
      </w:r>
      <w:r w:rsidR="001F7ED5" w:rsidRPr="00FB3674">
        <w:t xml:space="preserve"> </w:t>
      </w:r>
      <w:r w:rsidRPr="00FB3674">
        <w:t>his</w:t>
      </w:r>
      <w:r w:rsidR="001F7ED5" w:rsidRPr="00FB3674">
        <w:t xml:space="preserve"> </w:t>
      </w:r>
      <w:r w:rsidRPr="00FB3674">
        <w:t>guilt.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author</w:t>
      </w:r>
      <w:r w:rsidR="001F7ED5" w:rsidRPr="00FB3674">
        <w:t xml:space="preserve"> </w:t>
      </w:r>
      <w:r w:rsidRPr="00FB3674">
        <w:t>explains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he</w:t>
      </w:r>
      <w:r w:rsidR="001F7ED5" w:rsidRPr="00FB3674">
        <w:t xml:space="preserve"> </w:t>
      </w:r>
      <w:r w:rsidRPr="00FB3674">
        <w:t>mentioned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issue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incitement</w:t>
      </w:r>
      <w:r w:rsidR="001F7ED5" w:rsidRPr="00FB3674">
        <w:t xml:space="preserve"> </w:t>
      </w:r>
      <w:r w:rsidRPr="00FB3674">
        <w:t>in</w:t>
      </w:r>
      <w:r w:rsidR="001F7ED5" w:rsidRPr="00FB3674">
        <w:t xml:space="preserve"> </w:t>
      </w:r>
      <w:r w:rsidRPr="00FB3674">
        <w:t>his</w:t>
      </w:r>
      <w:r w:rsidR="001F7ED5" w:rsidRPr="00FB3674">
        <w:t xml:space="preserve"> </w:t>
      </w:r>
      <w:r w:rsidRPr="00FB3674">
        <w:t>communication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Committee</w:t>
      </w:r>
      <w:r w:rsidR="001F7ED5" w:rsidRPr="00FB3674">
        <w:t xml:space="preserve"> </w:t>
      </w:r>
      <w:r w:rsidRPr="00FB3674">
        <w:t>so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Committee</w:t>
      </w:r>
      <w:r w:rsidR="001F7ED5" w:rsidRPr="00FB3674">
        <w:t xml:space="preserve"> </w:t>
      </w:r>
      <w:r w:rsidRPr="00FB3674">
        <w:t>could</w:t>
      </w:r>
      <w:r w:rsidR="001F7ED5" w:rsidRPr="00FB3674">
        <w:t xml:space="preserve"> </w:t>
      </w:r>
      <w:r w:rsidRPr="00FB3674">
        <w:t>understand</w:t>
      </w:r>
      <w:r w:rsidR="001F7ED5" w:rsidRPr="00FB3674">
        <w:t xml:space="preserve"> </w:t>
      </w:r>
      <w:r w:rsidRPr="00FB3674">
        <w:t>how</w:t>
      </w:r>
      <w:r w:rsidR="001F7ED5" w:rsidRPr="00FB3674">
        <w:t xml:space="preserve"> </w:t>
      </w:r>
      <w:r w:rsidRPr="00FB3674">
        <w:t>important</w:t>
      </w:r>
      <w:r w:rsidR="001F7ED5" w:rsidRPr="00FB3674">
        <w:t xml:space="preserve"> </w:t>
      </w:r>
      <w:r w:rsidRPr="00FB3674">
        <w:t>it</w:t>
      </w:r>
      <w:r w:rsidR="001F7ED5" w:rsidRPr="00FB3674">
        <w:t xml:space="preserve"> </w:t>
      </w:r>
      <w:r w:rsidRPr="00FB3674">
        <w:t>was</w:t>
      </w:r>
      <w:r w:rsidR="001F7ED5" w:rsidRPr="00FB3674">
        <w:t xml:space="preserve"> </w:t>
      </w:r>
      <w:r w:rsidRPr="00FB3674">
        <w:t>for</w:t>
      </w:r>
      <w:r w:rsidR="001F7ED5" w:rsidRPr="00FB3674">
        <w:t xml:space="preserve"> </w:t>
      </w:r>
      <w:r w:rsidRPr="00FB3674">
        <w:t>him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get</w:t>
      </w:r>
      <w:r w:rsidR="001F7ED5" w:rsidRPr="00FB3674">
        <w:t xml:space="preserve"> </w:t>
      </w:r>
      <w:r w:rsidRPr="00FB3674">
        <w:t>acquainted</w:t>
      </w:r>
      <w:r w:rsidR="001F7ED5" w:rsidRPr="00FB3674">
        <w:t xml:space="preserve"> </w:t>
      </w:r>
      <w:r w:rsidRPr="00FB3674">
        <w:t>with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two</w:t>
      </w:r>
      <w:r w:rsidR="001F7ED5" w:rsidRPr="00FB3674">
        <w:t xml:space="preserve"> </w:t>
      </w:r>
      <w:r w:rsidRPr="00FB3674">
        <w:t>classified</w:t>
      </w:r>
      <w:r w:rsidR="001F7ED5" w:rsidRPr="00FB3674">
        <w:t xml:space="preserve"> </w:t>
      </w:r>
      <w:r w:rsidRPr="00FB3674">
        <w:t>special</w:t>
      </w:r>
      <w:r w:rsidR="001F7ED5" w:rsidRPr="00FB3674">
        <w:t xml:space="preserve"> </w:t>
      </w:r>
      <w:r w:rsidRPr="00FB3674">
        <w:t>investigative</w:t>
      </w:r>
      <w:r w:rsidR="001F7ED5" w:rsidRPr="00FB3674">
        <w:t xml:space="preserve"> </w:t>
      </w:r>
      <w:r w:rsidRPr="00FB3674">
        <w:t>files.</w:t>
      </w:r>
      <w:r w:rsidR="001F7ED5" w:rsidRPr="00FB3674">
        <w:t xml:space="preserve"> </w:t>
      </w:r>
      <w:r w:rsidRPr="00FB3674">
        <w:t>He</w:t>
      </w:r>
      <w:r w:rsidR="001F7ED5" w:rsidRPr="00FB3674">
        <w:t xml:space="preserve"> </w:t>
      </w:r>
      <w:r w:rsidRPr="00FB3674">
        <w:t>was</w:t>
      </w:r>
      <w:r w:rsidR="001F7ED5" w:rsidRPr="00FB3674">
        <w:t xml:space="preserve"> </w:t>
      </w:r>
      <w:r w:rsidRPr="00FB3674">
        <w:t>denied</w:t>
      </w:r>
      <w:r w:rsidR="001F7ED5" w:rsidRPr="00FB3674">
        <w:t xml:space="preserve"> </w:t>
      </w:r>
      <w:r w:rsidRPr="00FB3674">
        <w:t>access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those</w:t>
      </w:r>
      <w:r w:rsidR="001F7ED5" w:rsidRPr="00FB3674">
        <w:t xml:space="preserve"> </w:t>
      </w:r>
      <w:r w:rsidRPr="00FB3674">
        <w:t>classified</w:t>
      </w:r>
      <w:r w:rsidR="001F7ED5" w:rsidRPr="00FB3674">
        <w:t xml:space="preserve"> </w:t>
      </w:r>
      <w:r w:rsidRPr="00FB3674">
        <w:t>files</w:t>
      </w:r>
      <w:r w:rsidR="001F7ED5" w:rsidRPr="00FB3674">
        <w:t xml:space="preserve"> </w:t>
      </w:r>
      <w:r w:rsidRPr="00FB3674">
        <w:t>without</w:t>
      </w:r>
      <w:r w:rsidR="001F7ED5" w:rsidRPr="00FB3674">
        <w:t xml:space="preserve"> </w:t>
      </w:r>
      <w:r w:rsidRPr="00FB3674">
        <w:t>a</w:t>
      </w:r>
      <w:r w:rsidR="001F7ED5" w:rsidRPr="00FB3674">
        <w:t xml:space="preserve"> </w:t>
      </w:r>
      <w:r w:rsidRPr="00FB3674">
        <w:t>detailed</w:t>
      </w:r>
      <w:r w:rsidR="001F7ED5" w:rsidRPr="00FB3674">
        <w:t xml:space="preserve"> </w:t>
      </w:r>
      <w:r w:rsidRPr="00FB3674">
        <w:t>explanation</w:t>
      </w:r>
      <w:r w:rsidR="001F7ED5" w:rsidRPr="00FB3674">
        <w:t xml:space="preserve"> </w:t>
      </w:r>
      <w:r w:rsidRPr="00FB3674">
        <w:t>being</w:t>
      </w:r>
      <w:r w:rsidR="001F7ED5" w:rsidRPr="00FB3674">
        <w:t xml:space="preserve"> </w:t>
      </w:r>
      <w:r w:rsidRPr="00FB3674">
        <w:t>given</w:t>
      </w:r>
      <w:r w:rsidR="001F7ED5" w:rsidRPr="00FB3674">
        <w:t xml:space="preserve"> </w:t>
      </w:r>
      <w:r w:rsidRPr="00FB3674">
        <w:t>as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why</w:t>
      </w:r>
      <w:r w:rsidR="001F7ED5" w:rsidRPr="00FB3674">
        <w:t xml:space="preserve"> </w:t>
      </w:r>
      <w:r w:rsidRPr="00FB3674">
        <w:t>it</w:t>
      </w:r>
      <w:r w:rsidR="001F7ED5" w:rsidRPr="00FB3674">
        <w:t xml:space="preserve"> </w:t>
      </w:r>
      <w:r w:rsidRPr="00FB3674">
        <w:t>was</w:t>
      </w:r>
      <w:r w:rsidR="001F7ED5" w:rsidRPr="00FB3674">
        <w:t xml:space="preserve"> </w:t>
      </w:r>
      <w:r w:rsidRPr="00FB3674">
        <w:t>strictly</w:t>
      </w:r>
      <w:r w:rsidR="001F7ED5" w:rsidRPr="00FB3674">
        <w:t xml:space="preserve"> </w:t>
      </w:r>
      <w:r w:rsidRPr="00FB3674">
        <w:t>necessary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deny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right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disclosure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defence.</w:t>
      </w:r>
    </w:p>
    <w:p w14:paraId="22129F16" w14:textId="49108048" w:rsidR="001F7ED5" w:rsidRPr="00FB3674" w:rsidRDefault="005D5882" w:rsidP="005D5882">
      <w:pPr>
        <w:pStyle w:val="SingleTxtG"/>
      </w:pPr>
      <w:r w:rsidRPr="00FB3674">
        <w:t>5.5</w:t>
      </w:r>
      <w:r w:rsidRPr="00FB3674">
        <w:tab/>
        <w:t>Referring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State</w:t>
      </w:r>
      <w:r w:rsidR="001F7ED5" w:rsidRPr="00FB3674">
        <w:t xml:space="preserve"> </w:t>
      </w:r>
      <w:r w:rsidRPr="00FB3674">
        <w:t>party</w:t>
      </w:r>
      <w:r w:rsidR="00FB3674">
        <w:t>’</w:t>
      </w:r>
      <w:r w:rsidRPr="00FB3674">
        <w:t>s</w:t>
      </w:r>
      <w:r w:rsidR="001F7ED5" w:rsidRPr="00FB3674">
        <w:t xml:space="preserve"> </w:t>
      </w:r>
      <w:r w:rsidRPr="00FB3674">
        <w:t>observations</w:t>
      </w:r>
      <w:r w:rsidR="001F7ED5" w:rsidRPr="00FB3674">
        <w:t xml:space="preserve"> </w:t>
      </w:r>
      <w:r w:rsidRPr="00FB3674">
        <w:t>about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admissibility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his</w:t>
      </w:r>
      <w:r w:rsidR="001F7ED5" w:rsidRPr="00FB3674">
        <w:t xml:space="preserve"> </w:t>
      </w:r>
      <w:r w:rsidRPr="00FB3674">
        <w:t>claims</w:t>
      </w:r>
      <w:r w:rsidR="001F7ED5" w:rsidRPr="00FB3674">
        <w:t xml:space="preserve"> </w:t>
      </w:r>
      <w:r w:rsidRPr="00FB3674">
        <w:t>under</w:t>
      </w:r>
      <w:r w:rsidR="001F7ED5" w:rsidRPr="00FB3674">
        <w:t xml:space="preserve"> </w:t>
      </w:r>
      <w:r w:rsidRPr="00FB3674">
        <w:t>article</w:t>
      </w:r>
      <w:r w:rsidR="001F7ED5" w:rsidRPr="00FB3674">
        <w:t xml:space="preserve"> </w:t>
      </w:r>
      <w:r w:rsidRPr="00FB3674">
        <w:t>14</w:t>
      </w:r>
      <w:r w:rsidR="001F7ED5" w:rsidRPr="00FB3674">
        <w:t xml:space="preserve"> </w:t>
      </w:r>
      <w:r w:rsidRPr="00FB3674">
        <w:t>(2),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author</w:t>
      </w:r>
      <w:r w:rsidR="001F7ED5" w:rsidRPr="00FB3674">
        <w:t xml:space="preserve"> </w:t>
      </w:r>
      <w:r w:rsidRPr="00FB3674">
        <w:t>underlines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prosecution</w:t>
      </w:r>
      <w:r w:rsidR="001F7ED5" w:rsidRPr="00FB3674">
        <w:t xml:space="preserve"> </w:t>
      </w:r>
      <w:r w:rsidRPr="00FB3674">
        <w:t>and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courts</w:t>
      </w:r>
      <w:r w:rsidR="001F7ED5" w:rsidRPr="00FB3674">
        <w:t xml:space="preserve"> </w:t>
      </w:r>
      <w:r w:rsidRPr="00FB3674">
        <w:t>did</w:t>
      </w:r>
      <w:r w:rsidR="001F7ED5" w:rsidRPr="00FB3674">
        <w:t xml:space="preserve"> </w:t>
      </w:r>
      <w:r w:rsidRPr="00FB3674">
        <w:t>not</w:t>
      </w:r>
      <w:r w:rsidR="001F7ED5" w:rsidRPr="00FB3674">
        <w:t xml:space="preserve"> </w:t>
      </w:r>
      <w:r w:rsidRPr="00FB3674">
        <w:t>present</w:t>
      </w:r>
      <w:r w:rsidR="001F7ED5" w:rsidRPr="00FB3674">
        <w:t xml:space="preserve"> </w:t>
      </w:r>
      <w:r w:rsidRPr="00FB3674">
        <w:t>any</w:t>
      </w:r>
      <w:r w:rsidR="001F7ED5" w:rsidRPr="00FB3674">
        <w:t xml:space="preserve"> </w:t>
      </w:r>
      <w:r w:rsidRPr="00FB3674">
        <w:t>direct</w:t>
      </w:r>
      <w:r w:rsidR="001F7ED5" w:rsidRPr="00FB3674">
        <w:t xml:space="preserve"> </w:t>
      </w:r>
      <w:r w:rsidRPr="00FB3674">
        <w:t>evidence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his</w:t>
      </w:r>
      <w:r w:rsidR="001F7ED5" w:rsidRPr="00FB3674">
        <w:t xml:space="preserve"> </w:t>
      </w:r>
      <w:r w:rsidRPr="00FB3674">
        <w:t>guilt,</w:t>
      </w:r>
      <w:r w:rsidR="001F7ED5" w:rsidRPr="00FB3674">
        <w:t xml:space="preserve"> </w:t>
      </w:r>
      <w:r w:rsidRPr="00FB3674">
        <w:t>yet</w:t>
      </w:r>
      <w:r w:rsidR="001F7ED5" w:rsidRPr="00FB3674">
        <w:t xml:space="preserve"> </w:t>
      </w:r>
      <w:r w:rsidRPr="00FB3674">
        <w:t>all</w:t>
      </w:r>
      <w:r w:rsidR="001F7ED5" w:rsidRPr="00FB3674">
        <w:t xml:space="preserve"> </w:t>
      </w:r>
      <w:r w:rsidRPr="00FB3674">
        <w:t>doubts</w:t>
      </w:r>
      <w:r w:rsidR="001F7ED5" w:rsidRPr="00FB3674">
        <w:t xml:space="preserve"> </w:t>
      </w:r>
      <w:r w:rsidRPr="00FB3674">
        <w:t>were</w:t>
      </w:r>
      <w:r w:rsidR="001F7ED5" w:rsidRPr="00FB3674">
        <w:t xml:space="preserve"> </w:t>
      </w:r>
      <w:r w:rsidRPr="00FB3674">
        <w:t>not</w:t>
      </w:r>
      <w:r w:rsidR="001F7ED5" w:rsidRPr="00FB3674">
        <w:t xml:space="preserve"> </w:t>
      </w:r>
      <w:r w:rsidRPr="00FB3674">
        <w:t>interpreted</w:t>
      </w:r>
      <w:r w:rsidR="001F7ED5" w:rsidRPr="00FB3674">
        <w:t xml:space="preserve"> </w:t>
      </w:r>
      <w:r w:rsidRPr="00FB3674">
        <w:t>in</w:t>
      </w:r>
      <w:r w:rsidR="001F7ED5" w:rsidRPr="00FB3674">
        <w:t xml:space="preserve"> </w:t>
      </w:r>
      <w:r w:rsidRPr="00FB3674">
        <w:t>favour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accused.</w:t>
      </w:r>
      <w:r w:rsidR="001F7ED5" w:rsidRPr="00FB3674">
        <w:t xml:space="preserve"> </w:t>
      </w:r>
      <w:r w:rsidRPr="00FB3674">
        <w:t>He</w:t>
      </w:r>
      <w:r w:rsidR="001F7ED5" w:rsidRPr="00FB3674">
        <w:t xml:space="preserve"> </w:t>
      </w:r>
      <w:r w:rsidRPr="00FB3674">
        <w:t>submits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domestic</w:t>
      </w:r>
      <w:r w:rsidR="001F7ED5" w:rsidRPr="00FB3674">
        <w:t xml:space="preserve"> </w:t>
      </w:r>
      <w:r w:rsidRPr="00FB3674">
        <w:t>courts</w:t>
      </w:r>
      <w:r w:rsidR="001F7ED5" w:rsidRPr="00FB3674">
        <w:t xml:space="preserve"> </w:t>
      </w:r>
      <w:r w:rsidRPr="00FB3674">
        <w:t>failed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use</w:t>
      </w:r>
      <w:r w:rsidR="001F7ED5" w:rsidRPr="00FB3674">
        <w:t xml:space="preserve"> </w:t>
      </w:r>
      <w:r w:rsidRPr="00FB3674">
        <w:t>all</w:t>
      </w:r>
      <w:r w:rsidR="001F7ED5" w:rsidRPr="00FB3674">
        <w:t xml:space="preserve"> </w:t>
      </w:r>
      <w:r w:rsidRPr="00FB3674">
        <w:t>legal</w:t>
      </w:r>
      <w:r w:rsidR="001F7ED5" w:rsidRPr="00FB3674">
        <w:t xml:space="preserve"> </w:t>
      </w:r>
      <w:r w:rsidRPr="00FB3674">
        <w:t>options</w:t>
      </w:r>
      <w:r w:rsidR="001F7ED5" w:rsidRPr="00FB3674">
        <w:t xml:space="preserve"> </w:t>
      </w:r>
      <w:r w:rsidRPr="00FB3674">
        <w:t>under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Code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Criminal</w:t>
      </w:r>
      <w:r w:rsidR="001F7ED5" w:rsidRPr="00FB3674">
        <w:t xml:space="preserve"> </w:t>
      </w:r>
      <w:r w:rsidRPr="00FB3674">
        <w:t>Procedure,</w:t>
      </w:r>
      <w:r w:rsidR="001F7ED5" w:rsidRPr="00FB3674">
        <w:t xml:space="preserve"> </w:t>
      </w:r>
      <w:r w:rsidRPr="00FB3674">
        <w:t>which</w:t>
      </w:r>
      <w:r w:rsidR="001F7ED5" w:rsidRPr="00FB3674">
        <w:t xml:space="preserve"> </w:t>
      </w:r>
      <w:r w:rsidRPr="00FB3674">
        <w:t>would</w:t>
      </w:r>
      <w:r w:rsidR="001F7ED5" w:rsidRPr="00FB3674">
        <w:t xml:space="preserve"> </w:t>
      </w:r>
      <w:r w:rsidRPr="00FB3674">
        <w:t>have</w:t>
      </w:r>
      <w:r w:rsidR="001F7ED5" w:rsidRPr="00FB3674">
        <w:t xml:space="preserve"> </w:t>
      </w:r>
      <w:r w:rsidRPr="00FB3674">
        <w:t>allowed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author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get</w:t>
      </w:r>
      <w:r w:rsidR="001F7ED5" w:rsidRPr="00FB3674">
        <w:t xml:space="preserve"> </w:t>
      </w:r>
      <w:r w:rsidRPr="00FB3674">
        <w:t>acquainted</w:t>
      </w:r>
      <w:r w:rsidR="001F7ED5" w:rsidRPr="00FB3674">
        <w:t xml:space="preserve"> </w:t>
      </w:r>
      <w:r w:rsidRPr="00FB3674">
        <w:t>with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two</w:t>
      </w:r>
      <w:r w:rsidR="001F7ED5" w:rsidRPr="00FB3674">
        <w:t xml:space="preserve"> </w:t>
      </w:r>
      <w:r w:rsidRPr="00FB3674">
        <w:t>classified</w:t>
      </w:r>
      <w:r w:rsidR="001F7ED5" w:rsidRPr="00FB3674">
        <w:t xml:space="preserve"> </w:t>
      </w:r>
      <w:r w:rsidRPr="00FB3674">
        <w:t>files</w:t>
      </w:r>
      <w:r w:rsidR="001F7ED5" w:rsidRPr="00FB3674">
        <w:t xml:space="preserve"> </w:t>
      </w:r>
      <w:r w:rsidRPr="00FB3674">
        <w:t>and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fully</w:t>
      </w:r>
      <w:r w:rsidR="001F7ED5" w:rsidRPr="00FB3674">
        <w:t xml:space="preserve"> </w:t>
      </w:r>
      <w:r w:rsidRPr="00FB3674">
        <w:t>exercise</w:t>
      </w:r>
      <w:r w:rsidR="001F7ED5" w:rsidRPr="00FB3674">
        <w:t xml:space="preserve"> </w:t>
      </w:r>
      <w:r w:rsidRPr="00FB3674">
        <w:t>his</w:t>
      </w:r>
      <w:r w:rsidR="001F7ED5" w:rsidRPr="00FB3674">
        <w:t xml:space="preserve"> </w:t>
      </w:r>
      <w:r w:rsidRPr="00FB3674">
        <w:t>fundamental</w:t>
      </w:r>
      <w:r w:rsidR="001F7ED5" w:rsidRPr="00FB3674">
        <w:t xml:space="preserve"> </w:t>
      </w:r>
      <w:r w:rsidRPr="00FB3674">
        <w:t>rights</w:t>
      </w:r>
      <w:r w:rsidR="001F7ED5" w:rsidRPr="00FB3674">
        <w:t xml:space="preserve"> </w:t>
      </w:r>
      <w:r w:rsidRPr="00FB3674">
        <w:t>in</w:t>
      </w:r>
      <w:r w:rsidR="001F7ED5" w:rsidRPr="00FB3674">
        <w:t xml:space="preserve"> </w:t>
      </w:r>
      <w:r w:rsidRPr="00FB3674">
        <w:t>preparing</w:t>
      </w:r>
      <w:r w:rsidR="001F7ED5" w:rsidRPr="00FB3674">
        <w:t xml:space="preserve"> </w:t>
      </w:r>
      <w:r w:rsidRPr="00FB3674">
        <w:t>a</w:t>
      </w:r>
      <w:r w:rsidR="001F7ED5" w:rsidRPr="00FB3674">
        <w:t xml:space="preserve"> </w:t>
      </w:r>
      <w:r w:rsidRPr="00FB3674">
        <w:t>defence,</w:t>
      </w:r>
      <w:r w:rsidR="001F7ED5" w:rsidRPr="00FB3674">
        <w:t xml:space="preserve"> </w:t>
      </w:r>
      <w:r w:rsidRPr="00FB3674">
        <w:t>which</w:t>
      </w:r>
      <w:r w:rsidR="001F7ED5" w:rsidRPr="00FB3674">
        <w:t xml:space="preserve"> </w:t>
      </w:r>
      <w:r w:rsidRPr="00FB3674">
        <w:t>in</w:t>
      </w:r>
      <w:r w:rsidR="001F7ED5" w:rsidRPr="00FB3674">
        <w:t xml:space="preserve"> </w:t>
      </w:r>
      <w:r w:rsidRPr="00FB3674">
        <w:t>turn</w:t>
      </w:r>
      <w:r w:rsidR="001F7ED5" w:rsidRPr="00FB3674">
        <w:t xml:space="preserve"> </w:t>
      </w:r>
      <w:r w:rsidRPr="00FB3674">
        <w:t>led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a</w:t>
      </w:r>
      <w:r w:rsidR="001F7ED5" w:rsidRPr="00FB3674">
        <w:t xml:space="preserve"> </w:t>
      </w:r>
      <w:r w:rsidRPr="00FB3674">
        <w:t>violation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his</w:t>
      </w:r>
      <w:r w:rsidR="001F7ED5" w:rsidRPr="00FB3674">
        <w:t xml:space="preserve"> </w:t>
      </w:r>
      <w:r w:rsidRPr="00FB3674">
        <w:t>right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be</w:t>
      </w:r>
      <w:r w:rsidR="001F7ED5" w:rsidRPr="00FB3674">
        <w:t xml:space="preserve"> </w:t>
      </w:r>
      <w:r w:rsidRPr="00FB3674">
        <w:t>presumed</w:t>
      </w:r>
      <w:r w:rsidR="001F7ED5" w:rsidRPr="00FB3674">
        <w:t xml:space="preserve"> </w:t>
      </w:r>
      <w:r w:rsidRPr="00FB3674">
        <w:t>innocent</w:t>
      </w:r>
      <w:r w:rsidR="001F7ED5" w:rsidRPr="00FB3674">
        <w:t xml:space="preserve"> </w:t>
      </w:r>
      <w:r w:rsidRPr="00FB3674">
        <w:t>until</w:t>
      </w:r>
      <w:r w:rsidR="001F7ED5" w:rsidRPr="00FB3674">
        <w:t xml:space="preserve"> </w:t>
      </w:r>
      <w:r w:rsidRPr="00FB3674">
        <w:t>proven</w:t>
      </w:r>
      <w:r w:rsidR="001F7ED5" w:rsidRPr="00FB3674">
        <w:t xml:space="preserve"> </w:t>
      </w:r>
      <w:r w:rsidRPr="00FB3674">
        <w:t>guilty.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author</w:t>
      </w:r>
      <w:r w:rsidR="001F7ED5" w:rsidRPr="00FB3674">
        <w:t xml:space="preserve"> </w:t>
      </w:r>
      <w:r w:rsidRPr="00FB3674">
        <w:t>explains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throughout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retrial</w:t>
      </w:r>
      <w:r w:rsidR="001F7ED5" w:rsidRPr="00FB3674">
        <w:t xml:space="preserve"> </w:t>
      </w:r>
      <w:r w:rsidRPr="00FB3674">
        <w:t>he</w:t>
      </w:r>
      <w:r w:rsidR="001F7ED5" w:rsidRPr="00FB3674">
        <w:t xml:space="preserve"> </w:t>
      </w:r>
      <w:r w:rsidRPr="00FB3674">
        <w:t>felt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courts</w:t>
      </w:r>
      <w:r w:rsidR="001F7ED5" w:rsidRPr="00FB3674">
        <w:t xml:space="preserve"> </w:t>
      </w:r>
      <w:r w:rsidRPr="00FB3674">
        <w:t>had</w:t>
      </w:r>
      <w:r w:rsidR="001F7ED5" w:rsidRPr="00FB3674">
        <w:t xml:space="preserve"> </w:t>
      </w:r>
      <w:r w:rsidRPr="00FB3674">
        <w:t>acted</w:t>
      </w:r>
      <w:r w:rsidR="001F7ED5" w:rsidRPr="00FB3674">
        <w:t xml:space="preserve"> </w:t>
      </w:r>
      <w:r w:rsidRPr="00FB3674">
        <w:t>in</w:t>
      </w:r>
      <w:r w:rsidR="001F7ED5" w:rsidRPr="00FB3674">
        <w:t xml:space="preserve"> </w:t>
      </w:r>
      <w:r w:rsidRPr="00FB3674">
        <w:t>a</w:t>
      </w:r>
      <w:r w:rsidR="001F7ED5" w:rsidRPr="00FB3674">
        <w:t xml:space="preserve"> </w:t>
      </w:r>
      <w:r w:rsidRPr="00FB3674">
        <w:t>biased</w:t>
      </w:r>
      <w:r w:rsidR="001F7ED5" w:rsidRPr="00FB3674">
        <w:t xml:space="preserve"> </w:t>
      </w:r>
      <w:r w:rsidRPr="00FB3674">
        <w:t>manner</w:t>
      </w:r>
      <w:r w:rsidR="001F7ED5" w:rsidRPr="00FB3674">
        <w:t xml:space="preserve"> </w:t>
      </w:r>
      <w:r w:rsidRPr="00FB3674">
        <w:t>and</w:t>
      </w:r>
      <w:r w:rsidR="001F7ED5" w:rsidRPr="00FB3674">
        <w:t xml:space="preserve"> </w:t>
      </w:r>
      <w:r w:rsidRPr="00FB3674">
        <w:t>were</w:t>
      </w:r>
      <w:r w:rsidR="001F7ED5" w:rsidRPr="00FB3674">
        <w:t xml:space="preserve"> </w:t>
      </w:r>
      <w:r w:rsidRPr="00FB3674">
        <w:t>prejudiced</w:t>
      </w:r>
      <w:r w:rsidR="001F7ED5" w:rsidRPr="00FB3674">
        <w:t xml:space="preserve"> </w:t>
      </w:r>
      <w:r w:rsidRPr="00FB3674">
        <w:t>against</w:t>
      </w:r>
      <w:r w:rsidR="001F7ED5" w:rsidRPr="00FB3674">
        <w:t xml:space="preserve"> </w:t>
      </w:r>
      <w:r w:rsidRPr="00FB3674">
        <w:t>him,</w:t>
      </w:r>
      <w:r w:rsidR="001F7ED5" w:rsidRPr="00FB3674">
        <w:t xml:space="preserve"> </w:t>
      </w:r>
      <w:r w:rsidRPr="00FB3674">
        <w:t>portraying</w:t>
      </w:r>
      <w:r w:rsidR="001F7ED5" w:rsidRPr="00FB3674">
        <w:t xml:space="preserve"> </w:t>
      </w:r>
      <w:r w:rsidRPr="00FB3674">
        <w:t>him</w:t>
      </w:r>
      <w:r w:rsidR="001F7ED5" w:rsidRPr="00FB3674">
        <w:t xml:space="preserve"> </w:t>
      </w:r>
      <w:r w:rsidRPr="00FB3674">
        <w:t>as</w:t>
      </w:r>
      <w:r w:rsidR="001F7ED5" w:rsidRPr="00FB3674">
        <w:t xml:space="preserve"> </w:t>
      </w:r>
      <w:r w:rsidRPr="00FB3674">
        <w:t>guilty</w:t>
      </w:r>
      <w:r w:rsidR="001F7ED5" w:rsidRPr="00FB3674">
        <w:t xml:space="preserve"> </w:t>
      </w:r>
      <w:r w:rsidRPr="00FB3674">
        <w:t>from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beginning</w:t>
      </w:r>
      <w:r w:rsidR="001F7ED5" w:rsidRPr="00FB3674">
        <w:t xml:space="preserve"> </w:t>
      </w:r>
      <w:r w:rsidRPr="00FB3674">
        <w:t>and</w:t>
      </w:r>
      <w:r w:rsidR="001F7ED5" w:rsidRPr="00FB3674">
        <w:t xml:space="preserve"> </w:t>
      </w:r>
      <w:r w:rsidRPr="00FB3674">
        <w:t>giving</w:t>
      </w:r>
      <w:r w:rsidR="001F7ED5" w:rsidRPr="00FB3674">
        <w:t xml:space="preserve"> </w:t>
      </w:r>
      <w:r w:rsidRPr="00FB3674">
        <w:t>him</w:t>
      </w:r>
      <w:r w:rsidR="001F7ED5" w:rsidRPr="00FB3674">
        <w:t xml:space="preserve"> </w:t>
      </w:r>
      <w:r w:rsidRPr="00FB3674">
        <w:t>signs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their</w:t>
      </w:r>
      <w:r w:rsidR="001F7ED5" w:rsidRPr="00FB3674">
        <w:t xml:space="preserve"> </w:t>
      </w:r>
      <w:r w:rsidRPr="00FB3674">
        <w:t>predetermined</w:t>
      </w:r>
      <w:r w:rsidR="001F7ED5" w:rsidRPr="00FB3674">
        <w:t xml:space="preserve"> </w:t>
      </w:r>
      <w:r w:rsidRPr="00FB3674">
        <w:t>judgment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his</w:t>
      </w:r>
      <w:r w:rsidR="001F7ED5" w:rsidRPr="00FB3674">
        <w:t xml:space="preserve"> </w:t>
      </w:r>
      <w:r w:rsidRPr="00FB3674">
        <w:t>guilt.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author</w:t>
      </w:r>
      <w:r w:rsidR="001F7ED5" w:rsidRPr="00FB3674">
        <w:t xml:space="preserve"> </w:t>
      </w:r>
      <w:r w:rsidRPr="00FB3674">
        <w:t>also</w:t>
      </w:r>
      <w:r w:rsidR="001F7ED5" w:rsidRPr="00FB3674">
        <w:t xml:space="preserve"> </w:t>
      </w:r>
      <w:r w:rsidRPr="00FB3674">
        <w:t>mentions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he</w:t>
      </w:r>
      <w:r w:rsidR="001F7ED5" w:rsidRPr="00FB3674">
        <w:t xml:space="preserve"> </w:t>
      </w:r>
      <w:r w:rsidRPr="00FB3674">
        <w:t>is</w:t>
      </w:r>
      <w:r w:rsidR="001F7ED5" w:rsidRPr="00FB3674">
        <w:t xml:space="preserve"> </w:t>
      </w:r>
      <w:r w:rsidRPr="00FB3674">
        <w:t>particularly</w:t>
      </w:r>
      <w:r w:rsidR="001F7ED5" w:rsidRPr="00FB3674">
        <w:t xml:space="preserve"> </w:t>
      </w:r>
      <w:r w:rsidRPr="00FB3674">
        <w:t>sensitive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other</w:t>
      </w:r>
      <w:r w:rsidR="001F7ED5" w:rsidRPr="00FB3674">
        <w:t xml:space="preserve"> </w:t>
      </w:r>
      <w:r w:rsidRPr="00FB3674">
        <w:t>people</w:t>
      </w:r>
      <w:r w:rsidR="00FB3674">
        <w:t>’</w:t>
      </w:r>
      <w:r w:rsidRPr="00FB3674">
        <w:t>s</w:t>
      </w:r>
      <w:r w:rsidR="001F7ED5" w:rsidRPr="00FB3674">
        <w:t xml:space="preserve"> </w:t>
      </w:r>
      <w:r w:rsidRPr="00FB3674">
        <w:t>attitude</w:t>
      </w:r>
      <w:r w:rsidR="001F7ED5" w:rsidRPr="00FB3674">
        <w:t xml:space="preserve"> </w:t>
      </w:r>
      <w:r w:rsidRPr="00FB3674">
        <w:t>towards</w:t>
      </w:r>
      <w:r w:rsidR="001F7ED5" w:rsidRPr="00FB3674">
        <w:t xml:space="preserve"> </w:t>
      </w:r>
      <w:r w:rsidRPr="00FB3674">
        <w:t>him.</w:t>
      </w:r>
    </w:p>
    <w:p w14:paraId="363060F0" w14:textId="018F5DE4" w:rsidR="005D5882" w:rsidRPr="00FB3674" w:rsidRDefault="005D5882" w:rsidP="005D5882">
      <w:pPr>
        <w:pStyle w:val="SingleTxtG"/>
      </w:pPr>
      <w:r w:rsidRPr="00FB3674">
        <w:t>5.6</w:t>
      </w:r>
      <w:r w:rsidRPr="00FB3674">
        <w:tab/>
        <w:t>Referring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State</w:t>
      </w:r>
      <w:r w:rsidR="001F7ED5" w:rsidRPr="00FB3674">
        <w:t xml:space="preserve"> </w:t>
      </w:r>
      <w:r w:rsidRPr="00FB3674">
        <w:t>party</w:t>
      </w:r>
      <w:r w:rsidR="00FB3674">
        <w:t>’</w:t>
      </w:r>
      <w:r w:rsidRPr="00FB3674">
        <w:t>s</w:t>
      </w:r>
      <w:r w:rsidR="001F7ED5" w:rsidRPr="00FB3674">
        <w:t xml:space="preserve"> </w:t>
      </w:r>
      <w:r w:rsidRPr="00FB3674">
        <w:t>argument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same</w:t>
      </w:r>
      <w:r w:rsidR="001F7ED5" w:rsidRPr="00FB3674">
        <w:t xml:space="preserve"> </w:t>
      </w:r>
      <w:r w:rsidRPr="00FB3674">
        <w:t>matter</w:t>
      </w:r>
      <w:r w:rsidR="001F7ED5" w:rsidRPr="00FB3674">
        <w:t xml:space="preserve"> </w:t>
      </w:r>
      <w:r w:rsidRPr="00FB3674">
        <w:t>has</w:t>
      </w:r>
      <w:r w:rsidR="001F7ED5" w:rsidRPr="00FB3674">
        <w:t xml:space="preserve"> </w:t>
      </w:r>
      <w:r w:rsidRPr="00FB3674">
        <w:t>been</w:t>
      </w:r>
      <w:r w:rsidR="001F7ED5" w:rsidRPr="00FB3674">
        <w:t xml:space="preserve"> </w:t>
      </w:r>
      <w:r w:rsidRPr="00FB3674">
        <w:t>examined</w:t>
      </w:r>
      <w:r w:rsidR="001F7ED5" w:rsidRPr="00FB3674">
        <w:t xml:space="preserve"> </w:t>
      </w:r>
      <w:r w:rsidRPr="00FB3674">
        <w:t>under</w:t>
      </w:r>
      <w:r w:rsidR="001F7ED5" w:rsidRPr="00FB3674">
        <w:t xml:space="preserve"> </w:t>
      </w:r>
      <w:r w:rsidRPr="00FB3674">
        <w:t>another</w:t>
      </w:r>
      <w:r w:rsidR="001F7ED5" w:rsidRPr="00FB3674">
        <w:t xml:space="preserve"> </w:t>
      </w:r>
      <w:r w:rsidRPr="00FB3674">
        <w:t>procedure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international</w:t>
      </w:r>
      <w:r w:rsidR="001F7ED5" w:rsidRPr="00FB3674">
        <w:t xml:space="preserve"> </w:t>
      </w:r>
      <w:r w:rsidRPr="00FB3674">
        <w:t>settlement,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author</w:t>
      </w:r>
      <w:r w:rsidR="001F7ED5" w:rsidRPr="00FB3674">
        <w:t xml:space="preserve"> </w:t>
      </w:r>
      <w:r w:rsidRPr="00FB3674">
        <w:t>submits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communication</w:t>
      </w:r>
      <w:r w:rsidR="001F7ED5" w:rsidRPr="00FB3674">
        <w:t xml:space="preserve"> </w:t>
      </w:r>
      <w:r w:rsidRPr="00FB3674">
        <w:t>before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Committee</w:t>
      </w:r>
      <w:r w:rsidR="001F7ED5" w:rsidRPr="00FB3674">
        <w:t xml:space="preserve"> </w:t>
      </w:r>
      <w:r w:rsidRPr="00FB3674">
        <w:t>is</w:t>
      </w:r>
      <w:r w:rsidR="001F7ED5" w:rsidRPr="00FB3674">
        <w:t xml:space="preserve"> </w:t>
      </w:r>
      <w:r w:rsidRPr="00FB3674">
        <w:t>related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retrial</w:t>
      </w:r>
      <w:r w:rsidR="001F7ED5" w:rsidRPr="00FB3674">
        <w:t xml:space="preserve"> </w:t>
      </w:r>
      <w:r w:rsidRPr="00FB3674">
        <w:t>proceedings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led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violation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his</w:t>
      </w:r>
      <w:r w:rsidR="001F7ED5" w:rsidRPr="00FB3674">
        <w:t xml:space="preserve"> </w:t>
      </w:r>
      <w:r w:rsidRPr="00FB3674">
        <w:t>right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a</w:t>
      </w:r>
      <w:r w:rsidR="001F7ED5" w:rsidRPr="00FB3674">
        <w:t xml:space="preserve"> </w:t>
      </w:r>
      <w:r w:rsidRPr="00FB3674">
        <w:t>fair</w:t>
      </w:r>
      <w:r w:rsidR="001F7ED5" w:rsidRPr="00FB3674">
        <w:t xml:space="preserve"> </w:t>
      </w:r>
      <w:r w:rsidRPr="00FB3674">
        <w:t>trial,</w:t>
      </w:r>
      <w:r w:rsidR="001F7ED5" w:rsidRPr="00FB3674">
        <w:t xml:space="preserve"> </w:t>
      </w:r>
      <w:r w:rsidRPr="00FB3674">
        <w:t>following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ruling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European</w:t>
      </w:r>
      <w:r w:rsidR="001F7ED5" w:rsidRPr="00FB3674">
        <w:t xml:space="preserve"> </w:t>
      </w:r>
      <w:r w:rsidRPr="00FB3674">
        <w:t>Court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Human</w:t>
      </w:r>
      <w:r w:rsidR="001F7ED5" w:rsidRPr="00FB3674">
        <w:t xml:space="preserve"> </w:t>
      </w:r>
      <w:r w:rsidRPr="00FB3674">
        <w:t>Rights</w:t>
      </w:r>
      <w:r w:rsidR="001F7ED5" w:rsidRPr="00FB3674">
        <w:t xml:space="preserve"> </w:t>
      </w:r>
      <w:r w:rsidRPr="00FB3674">
        <w:t>in</w:t>
      </w:r>
      <w:r w:rsidR="001F7ED5" w:rsidRPr="00FB3674">
        <w:t xml:space="preserve"> </w:t>
      </w:r>
      <w:r w:rsidRPr="00FB3674">
        <w:t>2013.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author</w:t>
      </w:r>
      <w:r w:rsidR="001F7ED5" w:rsidRPr="00FB3674">
        <w:t xml:space="preserve"> </w:t>
      </w:r>
      <w:r w:rsidRPr="00FB3674">
        <w:t>further</w:t>
      </w:r>
      <w:r w:rsidR="001F7ED5" w:rsidRPr="00FB3674">
        <w:t xml:space="preserve"> </w:t>
      </w:r>
      <w:r w:rsidRPr="00FB3674">
        <w:t>asserts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he</w:t>
      </w:r>
      <w:r w:rsidR="001F7ED5" w:rsidRPr="00FB3674">
        <w:t xml:space="preserve"> </w:t>
      </w:r>
      <w:r w:rsidRPr="00FB3674">
        <w:t>submitted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communication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Committee</w:t>
      </w:r>
      <w:r w:rsidR="001F7ED5" w:rsidRPr="00FB3674">
        <w:t xml:space="preserve"> </w:t>
      </w:r>
      <w:r w:rsidRPr="00FB3674">
        <w:t>within</w:t>
      </w:r>
      <w:r w:rsidR="001F7ED5" w:rsidRPr="00FB3674">
        <w:t xml:space="preserve"> </w:t>
      </w:r>
      <w:r w:rsidRPr="00FB3674">
        <w:t>a</w:t>
      </w:r>
      <w:r w:rsidR="001F7ED5" w:rsidRPr="00FB3674">
        <w:t xml:space="preserve"> </w:t>
      </w:r>
      <w:r w:rsidRPr="00FB3674">
        <w:t>reasonable</w:t>
      </w:r>
      <w:r w:rsidR="001F7ED5" w:rsidRPr="00FB3674">
        <w:t xml:space="preserve"> </w:t>
      </w:r>
      <w:r w:rsidRPr="00FB3674">
        <w:t>time</w:t>
      </w:r>
      <w:r w:rsidR="001F7ED5" w:rsidRPr="00FB3674">
        <w:t xml:space="preserve"> </w:t>
      </w:r>
      <w:r w:rsidRPr="00FB3674">
        <w:t>frame.</w:t>
      </w:r>
    </w:p>
    <w:p w14:paraId="7903ADBA" w14:textId="632F99CF" w:rsidR="005D5882" w:rsidRPr="00FB3674" w:rsidRDefault="005D5882" w:rsidP="004A5C52">
      <w:pPr>
        <w:pStyle w:val="H23G"/>
      </w:pPr>
      <w:r w:rsidRPr="00FB3674">
        <w:tab/>
      </w:r>
      <w:r w:rsidRPr="00FB3674">
        <w:tab/>
        <w:t>State</w:t>
      </w:r>
      <w:r w:rsidR="001F7ED5" w:rsidRPr="00FB3674">
        <w:t xml:space="preserve"> </w:t>
      </w:r>
      <w:r w:rsidRPr="00FB3674">
        <w:t>party</w:t>
      </w:r>
      <w:r w:rsidR="00FB3674">
        <w:t>’</w:t>
      </w:r>
      <w:r w:rsidRPr="00FB3674">
        <w:t>s</w:t>
      </w:r>
      <w:r w:rsidR="001F7ED5" w:rsidRPr="00FB3674">
        <w:t xml:space="preserve"> </w:t>
      </w:r>
      <w:r w:rsidRPr="00FB3674">
        <w:t>observations</w:t>
      </w:r>
      <w:r w:rsidR="001F7ED5" w:rsidRPr="00FB3674">
        <w:t xml:space="preserve"> </w:t>
      </w:r>
      <w:r w:rsidRPr="00FB3674">
        <w:t>on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merits</w:t>
      </w:r>
    </w:p>
    <w:p w14:paraId="1D2CB0E8" w14:textId="2DBEF801" w:rsidR="005D5882" w:rsidRPr="00FB3674" w:rsidRDefault="005D5882" w:rsidP="005D5882">
      <w:pPr>
        <w:pStyle w:val="SingleTxtG"/>
        <w:rPr>
          <w:iCs/>
        </w:rPr>
      </w:pPr>
      <w:r w:rsidRPr="00FB3674">
        <w:t>6.1</w:t>
      </w:r>
      <w:r w:rsidRPr="00FB3674">
        <w:tab/>
        <w:t>By</w:t>
      </w:r>
      <w:r w:rsidR="001F7ED5" w:rsidRPr="00FB3674">
        <w:t xml:space="preserve"> </w:t>
      </w:r>
      <w:r w:rsidRPr="00FB3674">
        <w:t>a</w:t>
      </w:r>
      <w:r w:rsidR="001F7ED5" w:rsidRPr="00FB3674">
        <w:t xml:space="preserve"> </w:t>
      </w:r>
      <w:r w:rsidRPr="00FB3674">
        <w:t>note</w:t>
      </w:r>
      <w:r w:rsidR="001F7ED5" w:rsidRPr="00FB3674">
        <w:t xml:space="preserve"> </w:t>
      </w:r>
      <w:r w:rsidRPr="00FB3674">
        <w:t>verbale</w:t>
      </w:r>
      <w:r w:rsidR="001F7ED5" w:rsidRPr="00FB3674">
        <w:t xml:space="preserve"> </w:t>
      </w:r>
      <w:r w:rsidRPr="00FB3674">
        <w:t>dated</w:t>
      </w:r>
      <w:r w:rsidR="001F7ED5" w:rsidRPr="00FB3674">
        <w:t xml:space="preserve"> </w:t>
      </w:r>
      <w:r w:rsidRPr="00FB3674">
        <w:t>13</w:t>
      </w:r>
      <w:r w:rsidR="001F7ED5" w:rsidRPr="00FB3674">
        <w:t xml:space="preserve"> </w:t>
      </w:r>
      <w:r w:rsidRPr="00FB3674">
        <w:t>August</w:t>
      </w:r>
      <w:r w:rsidR="001F7ED5" w:rsidRPr="00FB3674">
        <w:t xml:space="preserve"> </w:t>
      </w:r>
      <w:r w:rsidRPr="00FB3674">
        <w:t>2018,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State</w:t>
      </w:r>
      <w:r w:rsidR="001F7ED5" w:rsidRPr="00FB3674">
        <w:t xml:space="preserve"> </w:t>
      </w:r>
      <w:r w:rsidRPr="00FB3674">
        <w:t>party</w:t>
      </w:r>
      <w:r w:rsidR="001F7ED5" w:rsidRPr="00FB3674">
        <w:t xml:space="preserve"> </w:t>
      </w:r>
      <w:r w:rsidRPr="00FB3674">
        <w:t>submitted</w:t>
      </w:r>
      <w:r w:rsidR="001F7ED5" w:rsidRPr="00FB3674">
        <w:t xml:space="preserve"> </w:t>
      </w:r>
      <w:r w:rsidRPr="00FB3674">
        <w:t>further</w:t>
      </w:r>
      <w:r w:rsidR="001F7ED5" w:rsidRPr="00FB3674">
        <w:t xml:space="preserve"> </w:t>
      </w:r>
      <w:r w:rsidRPr="00FB3674">
        <w:t>observations.</w:t>
      </w:r>
      <w:r w:rsidR="001F7ED5" w:rsidRPr="00FB3674">
        <w:t xml:space="preserve"> </w:t>
      </w:r>
      <w:r w:rsidRPr="00FB3674">
        <w:t>Regarding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author</w:t>
      </w:r>
      <w:r w:rsidR="00FB3674">
        <w:t>’</w:t>
      </w:r>
      <w:r w:rsidRPr="00FB3674">
        <w:t>s</w:t>
      </w:r>
      <w:r w:rsidR="001F7ED5" w:rsidRPr="00FB3674">
        <w:t xml:space="preserve"> </w:t>
      </w:r>
      <w:r w:rsidRPr="00FB3674">
        <w:t>claims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incitement</w:t>
      </w:r>
      <w:r w:rsidR="001F7ED5" w:rsidRPr="00FB3674">
        <w:t xml:space="preserve"> </w:t>
      </w:r>
      <w:r w:rsidRPr="00FB3674">
        <w:t>by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police,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State</w:t>
      </w:r>
      <w:r w:rsidR="001F7ED5" w:rsidRPr="00FB3674">
        <w:t xml:space="preserve"> </w:t>
      </w:r>
      <w:r w:rsidRPr="00FB3674">
        <w:t>party</w:t>
      </w:r>
      <w:r w:rsidR="001F7ED5" w:rsidRPr="00FB3674">
        <w:t xml:space="preserve"> </w:t>
      </w:r>
      <w:r w:rsidRPr="00FB3674">
        <w:t>observes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rPr>
          <w:iCs/>
        </w:rPr>
        <w:t>judgment</w:t>
      </w:r>
      <w:r w:rsidR="001F7ED5" w:rsidRPr="00FB3674">
        <w:rPr>
          <w:iCs/>
        </w:rPr>
        <w:t xml:space="preserve"> </w:t>
      </w:r>
      <w:r w:rsidRPr="00FB3674">
        <w:rPr>
          <w:iCs/>
        </w:rPr>
        <w:t>of</w:t>
      </w:r>
      <w:r w:rsidR="001F7ED5" w:rsidRPr="00FB3674">
        <w:rPr>
          <w:iCs/>
        </w:rPr>
        <w:t xml:space="preserve"> </w:t>
      </w:r>
      <w:r w:rsidRPr="00FB3674">
        <w:rPr>
          <w:iCs/>
        </w:rPr>
        <w:t>the</w:t>
      </w:r>
      <w:r w:rsidR="001F7ED5" w:rsidRPr="00FB3674">
        <w:rPr>
          <w:iCs/>
        </w:rPr>
        <w:t xml:space="preserve"> </w:t>
      </w:r>
      <w:r w:rsidRPr="00FB3674">
        <w:t>European</w:t>
      </w:r>
      <w:r w:rsidR="001F7ED5" w:rsidRPr="00FB3674">
        <w:t xml:space="preserve"> </w:t>
      </w:r>
      <w:r w:rsidRPr="00FB3674">
        <w:t>Court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Human</w:t>
      </w:r>
      <w:r w:rsidR="001F7ED5" w:rsidRPr="00FB3674">
        <w:t xml:space="preserve"> </w:t>
      </w:r>
      <w:r w:rsidRPr="00FB3674">
        <w:t>Rights</w:t>
      </w:r>
      <w:r w:rsidR="001F7ED5" w:rsidRPr="00FB3674">
        <w:t xml:space="preserve"> </w:t>
      </w:r>
      <w:r w:rsidRPr="00FB3674">
        <w:rPr>
          <w:iCs/>
        </w:rPr>
        <w:t>refers</w:t>
      </w:r>
      <w:r w:rsidR="001F7ED5" w:rsidRPr="00FB3674">
        <w:rPr>
          <w:iCs/>
        </w:rPr>
        <w:t xml:space="preserve"> </w:t>
      </w:r>
      <w:r w:rsidRPr="00FB3674">
        <w:rPr>
          <w:iCs/>
        </w:rPr>
        <w:t>to</w:t>
      </w:r>
      <w:r w:rsidR="001F7ED5" w:rsidRPr="00FB3674">
        <w:rPr>
          <w:iCs/>
        </w:rPr>
        <w:t xml:space="preserve"> </w:t>
      </w:r>
      <w:r w:rsidRPr="00FB3674">
        <w:rPr>
          <w:iCs/>
        </w:rPr>
        <w:t>two</w:t>
      </w:r>
      <w:r w:rsidR="001F7ED5" w:rsidRPr="00FB3674">
        <w:rPr>
          <w:iCs/>
        </w:rPr>
        <w:t xml:space="preserve"> </w:t>
      </w:r>
      <w:r w:rsidRPr="00FB3674">
        <w:rPr>
          <w:iCs/>
        </w:rPr>
        <w:t>distinct</w:t>
      </w:r>
      <w:r w:rsidR="001F7ED5" w:rsidRPr="00FB3674">
        <w:rPr>
          <w:iCs/>
        </w:rPr>
        <w:t xml:space="preserve"> </w:t>
      </w:r>
      <w:r w:rsidRPr="00FB3674">
        <w:rPr>
          <w:iCs/>
        </w:rPr>
        <w:t>obligations</w:t>
      </w:r>
      <w:r w:rsidR="001F7ED5" w:rsidRPr="00FB3674">
        <w:rPr>
          <w:iCs/>
        </w:rPr>
        <w:t xml:space="preserve"> </w:t>
      </w:r>
      <w:r w:rsidRPr="00FB3674">
        <w:rPr>
          <w:iCs/>
        </w:rPr>
        <w:t>of</w:t>
      </w:r>
      <w:r w:rsidR="001F7ED5" w:rsidRPr="00FB3674">
        <w:rPr>
          <w:iCs/>
        </w:rPr>
        <w:t xml:space="preserve"> </w:t>
      </w:r>
      <w:r w:rsidRPr="00FB3674">
        <w:rPr>
          <w:iCs/>
        </w:rPr>
        <w:t>States,</w:t>
      </w:r>
      <w:r w:rsidR="001F7ED5" w:rsidRPr="00FB3674">
        <w:rPr>
          <w:iCs/>
        </w:rPr>
        <w:t xml:space="preserve"> </w:t>
      </w:r>
      <w:r w:rsidRPr="00FB3674">
        <w:rPr>
          <w:iCs/>
        </w:rPr>
        <w:t>both</w:t>
      </w:r>
      <w:r w:rsidR="001F7ED5" w:rsidRPr="00FB3674">
        <w:rPr>
          <w:iCs/>
        </w:rPr>
        <w:t xml:space="preserve"> </w:t>
      </w:r>
      <w:r w:rsidRPr="00FB3674">
        <w:rPr>
          <w:iCs/>
        </w:rPr>
        <w:t>of</w:t>
      </w:r>
      <w:r w:rsidR="001F7ED5" w:rsidRPr="00FB3674">
        <w:rPr>
          <w:iCs/>
        </w:rPr>
        <w:t xml:space="preserve"> </w:t>
      </w:r>
      <w:r w:rsidRPr="00FB3674">
        <w:rPr>
          <w:iCs/>
        </w:rPr>
        <w:t>which</w:t>
      </w:r>
      <w:r w:rsidR="001F7ED5" w:rsidRPr="00FB3674">
        <w:rPr>
          <w:iCs/>
        </w:rPr>
        <w:t xml:space="preserve"> </w:t>
      </w:r>
      <w:r w:rsidRPr="00FB3674">
        <w:rPr>
          <w:iCs/>
        </w:rPr>
        <w:t>relate</w:t>
      </w:r>
      <w:r w:rsidR="001F7ED5" w:rsidRPr="00FB3674">
        <w:rPr>
          <w:iCs/>
        </w:rPr>
        <w:t xml:space="preserve"> </w:t>
      </w:r>
      <w:r w:rsidRPr="00FB3674">
        <w:rPr>
          <w:iCs/>
        </w:rPr>
        <w:t>to</w:t>
      </w:r>
      <w:r w:rsidR="001F7ED5" w:rsidRPr="00FB3674">
        <w:rPr>
          <w:iCs/>
        </w:rPr>
        <w:t xml:space="preserve"> </w:t>
      </w:r>
      <w:r w:rsidRPr="00FB3674">
        <w:rPr>
          <w:iCs/>
        </w:rPr>
        <w:t>the</w:t>
      </w:r>
      <w:r w:rsidR="001F7ED5" w:rsidRPr="00FB3674">
        <w:rPr>
          <w:iCs/>
        </w:rPr>
        <w:t xml:space="preserve"> </w:t>
      </w:r>
      <w:r w:rsidRPr="00FB3674">
        <w:rPr>
          <w:iCs/>
        </w:rPr>
        <w:t>fairness</w:t>
      </w:r>
      <w:r w:rsidR="001F7ED5" w:rsidRPr="00FB3674">
        <w:rPr>
          <w:iCs/>
        </w:rPr>
        <w:t xml:space="preserve"> </w:t>
      </w:r>
      <w:r w:rsidRPr="00FB3674">
        <w:rPr>
          <w:iCs/>
        </w:rPr>
        <w:t>of</w:t>
      </w:r>
      <w:r w:rsidR="001F7ED5" w:rsidRPr="00FB3674">
        <w:rPr>
          <w:iCs/>
        </w:rPr>
        <w:t xml:space="preserve"> </w:t>
      </w:r>
      <w:r w:rsidRPr="00FB3674">
        <w:rPr>
          <w:iCs/>
        </w:rPr>
        <w:t>trials.</w:t>
      </w:r>
    </w:p>
    <w:p w14:paraId="568B8354" w14:textId="4D3DCFE8" w:rsidR="005D5882" w:rsidRPr="00FB3674" w:rsidRDefault="005D5882" w:rsidP="005D5882">
      <w:pPr>
        <w:pStyle w:val="SingleTxtG"/>
      </w:pPr>
      <w:r w:rsidRPr="00FB3674">
        <w:rPr>
          <w:iCs/>
        </w:rPr>
        <w:t>6.2</w:t>
      </w:r>
      <w:r w:rsidRPr="00FB3674">
        <w:rPr>
          <w:iCs/>
        </w:rPr>
        <w:tab/>
        <w:t>The</w:t>
      </w:r>
      <w:r w:rsidR="001F7ED5" w:rsidRPr="00FB3674">
        <w:rPr>
          <w:iCs/>
        </w:rPr>
        <w:t xml:space="preserve"> </w:t>
      </w:r>
      <w:r w:rsidRPr="00FB3674">
        <w:rPr>
          <w:iCs/>
        </w:rPr>
        <w:t>first</w:t>
      </w:r>
      <w:r w:rsidR="001F7ED5" w:rsidRPr="00FB3674">
        <w:rPr>
          <w:iCs/>
        </w:rPr>
        <w:t xml:space="preserve"> </w:t>
      </w:r>
      <w:r w:rsidRPr="00FB3674">
        <w:rPr>
          <w:iCs/>
        </w:rPr>
        <w:t>obligation,</w:t>
      </w:r>
      <w:r w:rsidR="001F7ED5" w:rsidRPr="00FB3674">
        <w:rPr>
          <w:iCs/>
        </w:rPr>
        <w:t xml:space="preserve"> </w:t>
      </w:r>
      <w:r w:rsidRPr="00FB3674">
        <w:rPr>
          <w:iCs/>
        </w:rPr>
        <w:t>ar</w:t>
      </w:r>
      <w:r w:rsidRPr="00FB3674">
        <w:t>i</w:t>
      </w:r>
      <w:r w:rsidRPr="00FB3674">
        <w:rPr>
          <w:iCs/>
        </w:rPr>
        <w:t>sing</w:t>
      </w:r>
      <w:r w:rsidR="001F7ED5" w:rsidRPr="00FB3674">
        <w:rPr>
          <w:iCs/>
        </w:rPr>
        <w:t xml:space="preserve"> </w:t>
      </w:r>
      <w:r w:rsidRPr="00FB3674">
        <w:rPr>
          <w:iCs/>
        </w:rPr>
        <w:t>out</w:t>
      </w:r>
      <w:r w:rsidR="001F7ED5" w:rsidRPr="00FB3674">
        <w:rPr>
          <w:iCs/>
        </w:rPr>
        <w:t xml:space="preserve"> </w:t>
      </w:r>
      <w:r w:rsidRPr="00FB3674">
        <w:rPr>
          <w:iCs/>
        </w:rPr>
        <w:t>of</w:t>
      </w:r>
      <w:r w:rsidR="001F7ED5" w:rsidRPr="00FB3674">
        <w:rPr>
          <w:iCs/>
        </w:rPr>
        <w:t xml:space="preserve"> </w:t>
      </w:r>
      <w:r w:rsidRPr="00FB3674">
        <w:rPr>
          <w:iCs/>
        </w:rPr>
        <w:t>the</w:t>
      </w:r>
      <w:r w:rsidR="001F7ED5" w:rsidRPr="00FB3674">
        <w:rPr>
          <w:iCs/>
        </w:rPr>
        <w:t xml:space="preserve"> </w:t>
      </w:r>
      <w:r w:rsidRPr="00FB3674">
        <w:rPr>
          <w:iCs/>
        </w:rPr>
        <w:t>substantive</w:t>
      </w:r>
      <w:r w:rsidR="001F7ED5" w:rsidRPr="00FB3674">
        <w:rPr>
          <w:iCs/>
        </w:rPr>
        <w:t xml:space="preserve"> </w:t>
      </w:r>
      <w:r w:rsidRPr="00FB3674">
        <w:rPr>
          <w:iCs/>
        </w:rPr>
        <w:t>limb</w:t>
      </w:r>
      <w:r w:rsidR="001F7ED5" w:rsidRPr="00FB3674">
        <w:rPr>
          <w:iCs/>
        </w:rPr>
        <w:t xml:space="preserve"> </w:t>
      </w:r>
      <w:r w:rsidRPr="00FB3674">
        <w:rPr>
          <w:iCs/>
        </w:rPr>
        <w:t>of</w:t>
      </w:r>
      <w:r w:rsidR="001F7ED5" w:rsidRPr="00FB3674">
        <w:rPr>
          <w:iCs/>
        </w:rPr>
        <w:t xml:space="preserve"> </w:t>
      </w:r>
      <w:r w:rsidRPr="00FB3674">
        <w:rPr>
          <w:iCs/>
        </w:rPr>
        <w:t>the</w:t>
      </w:r>
      <w:r w:rsidR="001F7ED5" w:rsidRPr="00FB3674">
        <w:rPr>
          <w:iCs/>
        </w:rPr>
        <w:t xml:space="preserve"> </w:t>
      </w:r>
      <w:r w:rsidRPr="00FB3674">
        <w:rPr>
          <w:iCs/>
        </w:rPr>
        <w:t>right</w:t>
      </w:r>
      <w:r w:rsidR="001F7ED5" w:rsidRPr="00FB3674">
        <w:rPr>
          <w:iCs/>
        </w:rPr>
        <w:t xml:space="preserve"> </w:t>
      </w:r>
      <w:r w:rsidRPr="00FB3674">
        <w:rPr>
          <w:iCs/>
        </w:rPr>
        <w:t>to</w:t>
      </w:r>
      <w:r w:rsidR="001F7ED5" w:rsidRPr="00FB3674">
        <w:rPr>
          <w:iCs/>
        </w:rPr>
        <w:t xml:space="preserve"> </w:t>
      </w:r>
      <w:r w:rsidRPr="00FB3674">
        <w:rPr>
          <w:iCs/>
        </w:rPr>
        <w:t>a</w:t>
      </w:r>
      <w:r w:rsidR="001F7ED5" w:rsidRPr="00FB3674">
        <w:rPr>
          <w:iCs/>
        </w:rPr>
        <w:t xml:space="preserve"> </w:t>
      </w:r>
      <w:r w:rsidRPr="00FB3674">
        <w:rPr>
          <w:iCs/>
        </w:rPr>
        <w:t>fair</w:t>
      </w:r>
      <w:r w:rsidR="001F7ED5" w:rsidRPr="00FB3674">
        <w:rPr>
          <w:iCs/>
        </w:rPr>
        <w:t xml:space="preserve"> </w:t>
      </w:r>
      <w:r w:rsidRPr="00FB3674">
        <w:rPr>
          <w:iCs/>
        </w:rPr>
        <w:t>trial,</w:t>
      </w:r>
      <w:r w:rsidR="001F7ED5" w:rsidRPr="00FB3674">
        <w:rPr>
          <w:iCs/>
        </w:rPr>
        <w:t xml:space="preserve"> </w:t>
      </w:r>
      <w:r w:rsidRPr="00FB3674">
        <w:rPr>
          <w:iCs/>
        </w:rPr>
        <w:t>implies</w:t>
      </w:r>
      <w:r w:rsidR="001F7ED5" w:rsidRPr="00FB3674">
        <w:rPr>
          <w:iCs/>
        </w:rPr>
        <w:t xml:space="preserve"> </w:t>
      </w:r>
      <w:r w:rsidRPr="00FB3674">
        <w:rPr>
          <w:iCs/>
        </w:rPr>
        <w:t>that</w:t>
      </w:r>
      <w:r w:rsidR="001F7ED5" w:rsidRPr="00FB3674">
        <w:rPr>
          <w:iCs/>
        </w:rPr>
        <w:t xml:space="preserve"> </w:t>
      </w:r>
      <w:r w:rsidRPr="00FB3674">
        <w:rPr>
          <w:iCs/>
        </w:rPr>
        <w:t>the</w:t>
      </w:r>
      <w:r w:rsidR="001F7ED5" w:rsidRPr="00FB3674">
        <w:rPr>
          <w:iCs/>
        </w:rPr>
        <w:t xml:space="preserve"> </w:t>
      </w:r>
      <w:r w:rsidRPr="00FB3674">
        <w:t>investigative</w:t>
      </w:r>
      <w:r w:rsidR="001F7ED5" w:rsidRPr="00FB3674">
        <w:t xml:space="preserve"> </w:t>
      </w:r>
      <w:r w:rsidRPr="00FB3674">
        <w:t>activities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law</w:t>
      </w:r>
      <w:r w:rsidR="001F7ED5" w:rsidRPr="00FB3674">
        <w:t xml:space="preserve"> </w:t>
      </w:r>
      <w:r w:rsidRPr="00FB3674">
        <w:t>enforcement</w:t>
      </w:r>
      <w:r w:rsidR="001F7ED5" w:rsidRPr="00FB3674">
        <w:t xml:space="preserve"> </w:t>
      </w:r>
      <w:r w:rsidRPr="00FB3674">
        <w:t>authorities</w:t>
      </w:r>
      <w:r w:rsidR="001F7ED5" w:rsidRPr="00FB3674">
        <w:t xml:space="preserve"> </w:t>
      </w:r>
      <w:r w:rsidRPr="00FB3674">
        <w:t>must</w:t>
      </w:r>
      <w:r w:rsidR="001F7ED5" w:rsidRPr="00FB3674">
        <w:t xml:space="preserve"> </w:t>
      </w:r>
      <w:r w:rsidRPr="00FB3674">
        <w:t>not</w:t>
      </w:r>
      <w:r w:rsidR="001F7ED5" w:rsidRPr="00FB3674">
        <w:t xml:space="preserve"> </w:t>
      </w:r>
      <w:r w:rsidRPr="00FB3674">
        <w:t>go</w:t>
      </w:r>
      <w:r w:rsidR="001F7ED5" w:rsidRPr="00FB3674">
        <w:t xml:space="preserve"> </w:t>
      </w:r>
      <w:r w:rsidRPr="00FB3674">
        <w:t>beyond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undercover</w:t>
      </w:r>
      <w:r w:rsidR="001F7ED5" w:rsidRPr="00FB3674">
        <w:t xml:space="preserve"> </w:t>
      </w:r>
      <w:r w:rsidRPr="00FB3674">
        <w:t>agents,</w:t>
      </w:r>
      <w:r w:rsidR="001F7ED5" w:rsidRPr="00FB3674">
        <w:t xml:space="preserve"> </w:t>
      </w:r>
      <w:r w:rsidRPr="00FB3674">
        <w:t>in</w:t>
      </w:r>
      <w:r w:rsidR="001F7ED5" w:rsidRPr="00FB3674">
        <w:t xml:space="preserve"> </w:t>
      </w:r>
      <w:r w:rsidRPr="00FB3674">
        <w:t>other</w:t>
      </w:r>
      <w:r w:rsidR="001F7ED5" w:rsidRPr="00FB3674">
        <w:t xml:space="preserve"> </w:t>
      </w:r>
      <w:r w:rsidRPr="00FB3674">
        <w:t>words,</w:t>
      </w:r>
      <w:r w:rsidR="001F7ED5" w:rsidRPr="00FB3674">
        <w:t xml:space="preserve"> </w:t>
      </w:r>
      <w:r w:rsidRPr="00FB3674">
        <w:t>it</w:t>
      </w:r>
      <w:r w:rsidR="001F7ED5" w:rsidRPr="00FB3674">
        <w:t xml:space="preserve"> </w:t>
      </w:r>
      <w:r w:rsidRPr="00FB3674">
        <w:t>needs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be</w:t>
      </w:r>
      <w:r w:rsidR="001F7ED5" w:rsidRPr="00FB3674">
        <w:t xml:space="preserve"> </w:t>
      </w:r>
      <w:r w:rsidRPr="00FB3674">
        <w:t>established</w:t>
      </w:r>
      <w:r w:rsidR="001F7ED5" w:rsidRPr="00FB3674">
        <w:t xml:space="preserve"> </w:t>
      </w:r>
      <w:r w:rsidRPr="00FB3674">
        <w:t>whether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offence</w:t>
      </w:r>
      <w:r w:rsidR="001F7ED5" w:rsidRPr="00FB3674">
        <w:t xml:space="preserve"> </w:t>
      </w:r>
      <w:r w:rsidRPr="00FB3674">
        <w:t>would</w:t>
      </w:r>
      <w:r w:rsidR="001F7ED5" w:rsidRPr="00FB3674">
        <w:t xml:space="preserve"> </w:t>
      </w:r>
      <w:r w:rsidRPr="00FB3674">
        <w:t>have</w:t>
      </w:r>
      <w:r w:rsidR="001F7ED5" w:rsidRPr="00FB3674">
        <w:t xml:space="preserve"> </w:t>
      </w:r>
      <w:r w:rsidRPr="00FB3674">
        <w:t>been</w:t>
      </w:r>
      <w:r w:rsidR="001F7ED5" w:rsidRPr="00FB3674">
        <w:t xml:space="preserve"> </w:t>
      </w:r>
      <w:r w:rsidRPr="00FB3674">
        <w:t>committed</w:t>
      </w:r>
      <w:r w:rsidR="001F7ED5" w:rsidRPr="00FB3674">
        <w:t xml:space="preserve"> </w:t>
      </w:r>
      <w:r w:rsidRPr="00FB3674">
        <w:t>without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authorities</w:t>
      </w:r>
      <w:r w:rsidR="00FB3674">
        <w:t>’</w:t>
      </w:r>
      <w:r w:rsidR="001F7ED5" w:rsidRPr="00FB3674">
        <w:t xml:space="preserve"> </w:t>
      </w:r>
      <w:r w:rsidRPr="00FB3674">
        <w:t>intervention.</w:t>
      </w:r>
      <w:r w:rsidRPr="00FB3674">
        <w:rPr>
          <w:rStyle w:val="FootnoteReference"/>
        </w:rPr>
        <w:footnoteReference w:id="12"/>
      </w:r>
      <w:r w:rsidR="001F7ED5" w:rsidRPr="00FB3674">
        <w:t xml:space="preserve"> </w:t>
      </w:r>
      <w:r w:rsidRPr="00FB3674">
        <w:t>Also</w:t>
      </w:r>
      <w:r w:rsidR="001F7ED5" w:rsidRPr="00FB3674">
        <w:t xml:space="preserve"> </w:t>
      </w:r>
      <w:r w:rsidRPr="00FB3674">
        <w:t>with</w:t>
      </w:r>
      <w:r w:rsidR="001F7ED5" w:rsidRPr="00FB3674">
        <w:t xml:space="preserve"> </w:t>
      </w:r>
      <w:r w:rsidRPr="00FB3674">
        <w:t>regard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substantive</w:t>
      </w:r>
      <w:r w:rsidR="001F7ED5" w:rsidRPr="00FB3674">
        <w:t xml:space="preserve"> </w:t>
      </w:r>
      <w:r w:rsidRPr="00FB3674">
        <w:t>obligation,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State</w:t>
      </w:r>
      <w:r w:rsidR="001F7ED5" w:rsidRPr="00FB3674">
        <w:t xml:space="preserve"> </w:t>
      </w:r>
      <w:r w:rsidRPr="00FB3674">
        <w:t>party</w:t>
      </w:r>
      <w:r w:rsidR="001F7ED5" w:rsidRPr="00FB3674">
        <w:t xml:space="preserve"> </w:t>
      </w:r>
      <w:r w:rsidRPr="00FB3674">
        <w:t>emphasizes</w:t>
      </w:r>
      <w:r w:rsidR="001F7ED5" w:rsidRPr="00FB3674">
        <w:t xml:space="preserve"> </w:t>
      </w:r>
      <w:r w:rsidRPr="00FB3674">
        <w:t>that,</w:t>
      </w:r>
      <w:r w:rsidR="001F7ED5" w:rsidRPr="00FB3674">
        <w:t xml:space="preserve"> </w:t>
      </w:r>
      <w:r w:rsidRPr="00FB3674">
        <w:t>contrary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allegations</w:t>
      </w:r>
      <w:r w:rsidR="001F7ED5" w:rsidRPr="00FB3674">
        <w:t xml:space="preserve"> </w:t>
      </w:r>
      <w:r w:rsidRPr="00FB3674">
        <w:t>raised</w:t>
      </w:r>
      <w:r w:rsidR="001F7ED5" w:rsidRPr="00FB3674">
        <w:t xml:space="preserve"> </w:t>
      </w:r>
      <w:r w:rsidRPr="00FB3674">
        <w:t>by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author</w:t>
      </w:r>
      <w:r w:rsidR="001F7ED5" w:rsidRPr="00FB3674">
        <w:t xml:space="preserve"> </w:t>
      </w:r>
      <w:r w:rsidRPr="00FB3674">
        <w:t>in</w:t>
      </w:r>
      <w:r w:rsidR="001F7ED5" w:rsidRPr="00FB3674">
        <w:t xml:space="preserve"> </w:t>
      </w:r>
      <w:r w:rsidRPr="00FB3674">
        <w:t>his</w:t>
      </w:r>
      <w:r w:rsidR="001F7ED5" w:rsidRPr="00FB3674">
        <w:t xml:space="preserve"> </w:t>
      </w:r>
      <w:r w:rsidRPr="00FB3674">
        <w:t>communication,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European</w:t>
      </w:r>
      <w:r w:rsidR="001F7ED5" w:rsidRPr="00FB3674">
        <w:t xml:space="preserve"> </w:t>
      </w:r>
      <w:r w:rsidRPr="00FB3674">
        <w:t>Court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Human</w:t>
      </w:r>
      <w:r w:rsidR="001F7ED5" w:rsidRPr="00FB3674">
        <w:t xml:space="preserve"> </w:t>
      </w:r>
      <w:r w:rsidRPr="00FB3674">
        <w:t>Rights</w:t>
      </w:r>
      <w:r w:rsidR="001F7ED5" w:rsidRPr="00FB3674">
        <w:t xml:space="preserve"> </w:t>
      </w:r>
      <w:r w:rsidRPr="00FB3674">
        <w:t>never</w:t>
      </w:r>
      <w:r w:rsidR="001F7ED5" w:rsidRPr="00FB3674">
        <w:t xml:space="preserve"> </w:t>
      </w:r>
      <w:r w:rsidRPr="00FB3674">
        <w:t>concluded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actions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domestic</w:t>
      </w:r>
      <w:r w:rsidR="001F7ED5" w:rsidRPr="00FB3674">
        <w:t xml:space="preserve"> </w:t>
      </w:r>
      <w:r w:rsidRPr="00FB3674">
        <w:t>law</w:t>
      </w:r>
      <w:r w:rsidR="001F7ED5" w:rsidRPr="00FB3674">
        <w:t xml:space="preserve"> </w:t>
      </w:r>
      <w:r w:rsidRPr="00FB3674">
        <w:t>enforcement</w:t>
      </w:r>
      <w:r w:rsidR="001F7ED5" w:rsidRPr="00FB3674">
        <w:t xml:space="preserve"> </w:t>
      </w:r>
      <w:r w:rsidRPr="00FB3674">
        <w:t>authorities</w:t>
      </w:r>
      <w:r w:rsidR="001F7ED5" w:rsidRPr="00FB3674">
        <w:t xml:space="preserve"> </w:t>
      </w:r>
      <w:r w:rsidRPr="00FB3674">
        <w:t>had</w:t>
      </w:r>
      <w:r w:rsidR="001F7ED5" w:rsidRPr="00FB3674">
        <w:t xml:space="preserve"> </w:t>
      </w:r>
      <w:r w:rsidRPr="00FB3674">
        <w:t>in</w:t>
      </w:r>
      <w:r w:rsidR="001F7ED5" w:rsidRPr="00FB3674">
        <w:t xml:space="preserve"> </w:t>
      </w:r>
      <w:r w:rsidRPr="00FB3674">
        <w:t>fact</w:t>
      </w:r>
      <w:r w:rsidR="001F7ED5" w:rsidRPr="00FB3674">
        <w:t xml:space="preserve"> </w:t>
      </w:r>
      <w:r w:rsidRPr="00FB3674">
        <w:t>gone</w:t>
      </w:r>
      <w:r w:rsidR="001F7ED5" w:rsidRPr="00FB3674">
        <w:t xml:space="preserve"> </w:t>
      </w:r>
      <w:r w:rsidRPr="00FB3674">
        <w:t>beyond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allowed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undercover</w:t>
      </w:r>
      <w:r w:rsidR="001F7ED5" w:rsidRPr="00FB3674">
        <w:t xml:space="preserve"> </w:t>
      </w:r>
      <w:r w:rsidRPr="00FB3674">
        <w:t>agents,</w:t>
      </w:r>
      <w:r w:rsidR="001F7ED5" w:rsidRPr="00FB3674">
        <w:t xml:space="preserve"> </w:t>
      </w:r>
      <w:r w:rsidRPr="00FB3674">
        <w:t>thus</w:t>
      </w:r>
      <w:r w:rsidR="001F7ED5" w:rsidRPr="00FB3674">
        <w:t xml:space="preserve"> </w:t>
      </w:r>
      <w:r w:rsidRPr="00FB3674">
        <w:t>subjecting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author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incitement.</w:t>
      </w:r>
    </w:p>
    <w:p w14:paraId="413A1F8F" w14:textId="732F8299" w:rsidR="005D5882" w:rsidRPr="00FB3674" w:rsidRDefault="005D5882" w:rsidP="005D5882">
      <w:pPr>
        <w:pStyle w:val="SingleTxtG"/>
        <w:rPr>
          <w:rStyle w:val="FootnoteReference"/>
        </w:rPr>
      </w:pPr>
      <w:r w:rsidRPr="00FB3674">
        <w:lastRenderedPageBreak/>
        <w:t>6.3</w:t>
      </w:r>
      <w:r w:rsidRPr="00FB3674">
        <w:tab/>
        <w:t>In</w:t>
      </w:r>
      <w:r w:rsidR="001F7ED5" w:rsidRPr="00FB3674">
        <w:t xml:space="preserve"> </w:t>
      </w:r>
      <w:r w:rsidRPr="00FB3674">
        <w:t>its</w:t>
      </w:r>
      <w:r w:rsidR="001F7ED5" w:rsidRPr="00FB3674">
        <w:t xml:space="preserve"> </w:t>
      </w:r>
      <w:r w:rsidRPr="00FB3674">
        <w:t>conclusions,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European</w:t>
      </w:r>
      <w:r w:rsidR="001F7ED5" w:rsidRPr="00FB3674">
        <w:t xml:space="preserve"> </w:t>
      </w:r>
      <w:r w:rsidRPr="00FB3674">
        <w:t>Court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Human</w:t>
      </w:r>
      <w:r w:rsidR="001F7ED5" w:rsidRPr="00FB3674">
        <w:t xml:space="preserve"> </w:t>
      </w:r>
      <w:r w:rsidRPr="00FB3674">
        <w:t>Rights</w:t>
      </w:r>
      <w:r w:rsidR="001F7ED5" w:rsidRPr="00FB3674">
        <w:t xml:space="preserve"> </w:t>
      </w:r>
      <w:r w:rsidRPr="00FB3674">
        <w:t>referred</w:t>
      </w:r>
      <w:r w:rsidR="001F7ED5" w:rsidRPr="00FB3674">
        <w:t xml:space="preserve"> </w:t>
      </w:r>
      <w:r w:rsidRPr="00FB3674">
        <w:t>instead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an</w:t>
      </w:r>
      <w:r w:rsidR="001F7ED5" w:rsidRPr="00FB3674">
        <w:t xml:space="preserve"> </w:t>
      </w:r>
      <w:r w:rsidRPr="00FB3674">
        <w:t>entirely</w:t>
      </w:r>
      <w:r w:rsidR="001F7ED5" w:rsidRPr="00FB3674">
        <w:t xml:space="preserve"> </w:t>
      </w:r>
      <w:r w:rsidRPr="00FB3674">
        <w:t>different</w:t>
      </w:r>
      <w:r w:rsidR="001F7ED5" w:rsidRPr="00FB3674">
        <w:t xml:space="preserve"> </w:t>
      </w:r>
      <w:r w:rsidRPr="00FB3674">
        <w:t>obligation,</w:t>
      </w:r>
      <w:r w:rsidR="001F7ED5" w:rsidRPr="00FB3674">
        <w:t xml:space="preserve"> </w:t>
      </w:r>
      <w:r w:rsidRPr="00FB3674">
        <w:t>in</w:t>
      </w:r>
      <w:r w:rsidR="001F7ED5" w:rsidRPr="00FB3674">
        <w:t xml:space="preserve"> </w:t>
      </w:r>
      <w:r w:rsidRPr="00FB3674">
        <w:t>other</w:t>
      </w:r>
      <w:r w:rsidR="001F7ED5" w:rsidRPr="00FB3674">
        <w:t xml:space="preserve"> </w:t>
      </w:r>
      <w:r w:rsidRPr="00FB3674">
        <w:t>words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procedural</w:t>
      </w:r>
      <w:r w:rsidR="001F7ED5" w:rsidRPr="00FB3674">
        <w:t xml:space="preserve"> </w:t>
      </w:r>
      <w:r w:rsidRPr="00FB3674">
        <w:t>aspect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right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a</w:t>
      </w:r>
      <w:r w:rsidR="001F7ED5" w:rsidRPr="00FB3674">
        <w:t xml:space="preserve"> </w:t>
      </w:r>
      <w:r w:rsidRPr="00FB3674">
        <w:t>fair</w:t>
      </w:r>
      <w:r w:rsidR="001F7ED5" w:rsidRPr="00FB3674">
        <w:t xml:space="preserve"> </w:t>
      </w:r>
      <w:r w:rsidRPr="00FB3674">
        <w:t>trial</w:t>
      </w:r>
      <w:r w:rsidR="001F7ED5" w:rsidRPr="00FB3674">
        <w:t xml:space="preserve"> </w:t>
      </w:r>
      <w:r w:rsidRPr="00FB3674">
        <w:t>whereby</w:t>
      </w:r>
      <w:r w:rsidR="001F7ED5" w:rsidRPr="00FB3674">
        <w:t xml:space="preserve"> </w:t>
      </w:r>
      <w:r w:rsidRPr="00FB3674">
        <w:t>a</w:t>
      </w:r>
      <w:r w:rsidR="001F7ED5" w:rsidRPr="00FB3674">
        <w:t xml:space="preserve"> </w:t>
      </w:r>
      <w:r w:rsidRPr="00FB3674">
        <w:t>determination</w:t>
      </w:r>
      <w:r w:rsidR="001F7ED5" w:rsidRPr="00FB3674">
        <w:t xml:space="preserve"> </w:t>
      </w:r>
      <w:r w:rsidRPr="00FB3674">
        <w:t>on</w:t>
      </w:r>
      <w:r w:rsidR="001F7ED5" w:rsidRPr="00FB3674">
        <w:t xml:space="preserve"> </w:t>
      </w:r>
      <w:r w:rsidRPr="00FB3674">
        <w:t>a</w:t>
      </w:r>
      <w:r w:rsidR="001F7ED5" w:rsidRPr="00FB3674">
        <w:t xml:space="preserve"> </w:t>
      </w:r>
      <w:r w:rsidRPr="00FB3674">
        <w:t>claim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incitement</w:t>
      </w:r>
      <w:r w:rsidR="001F7ED5" w:rsidRPr="00FB3674">
        <w:t xml:space="preserve"> </w:t>
      </w:r>
      <w:r w:rsidRPr="00FB3674">
        <w:t>has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be</w:t>
      </w:r>
      <w:r w:rsidR="001F7ED5" w:rsidRPr="00FB3674">
        <w:t xml:space="preserve"> </w:t>
      </w:r>
      <w:r w:rsidRPr="00FB3674">
        <w:t>reached</w:t>
      </w:r>
      <w:r w:rsidR="001F7ED5" w:rsidRPr="00FB3674">
        <w:t xml:space="preserve"> </w:t>
      </w:r>
      <w:r w:rsidRPr="00FB3674">
        <w:t>by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domestic</w:t>
      </w:r>
      <w:r w:rsidR="001F7ED5" w:rsidRPr="00FB3674">
        <w:t xml:space="preserve"> </w:t>
      </w:r>
      <w:r w:rsidRPr="00FB3674">
        <w:t>courts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ensure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rights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defence</w:t>
      </w:r>
      <w:r w:rsidR="001F7ED5" w:rsidRPr="00FB3674">
        <w:t xml:space="preserve"> </w:t>
      </w:r>
      <w:r w:rsidRPr="00FB3674">
        <w:t>are</w:t>
      </w:r>
      <w:r w:rsidR="001F7ED5" w:rsidRPr="00FB3674">
        <w:t xml:space="preserve"> </w:t>
      </w:r>
      <w:r w:rsidRPr="00FB3674">
        <w:t>adequately</w:t>
      </w:r>
      <w:r w:rsidR="001F7ED5" w:rsidRPr="00FB3674">
        <w:t xml:space="preserve"> </w:t>
      </w:r>
      <w:r w:rsidRPr="00FB3674">
        <w:t>protected.</w:t>
      </w:r>
      <w:r w:rsidR="001F7ED5" w:rsidRPr="00FB3674">
        <w:t xml:space="preserve"> </w:t>
      </w:r>
      <w:r w:rsidRPr="00FB3674">
        <w:t>In</w:t>
      </w:r>
      <w:r w:rsidR="001F7ED5" w:rsidRPr="00FB3674">
        <w:t xml:space="preserve"> </w:t>
      </w:r>
      <w:r w:rsidRPr="00FB3674">
        <w:t>other</w:t>
      </w:r>
      <w:r w:rsidR="001F7ED5" w:rsidRPr="00FB3674">
        <w:t xml:space="preserve"> </w:t>
      </w:r>
      <w:r w:rsidRPr="00FB3674">
        <w:t>words,</w:t>
      </w:r>
      <w:r w:rsidR="001F7ED5" w:rsidRPr="00FB3674">
        <w:t xml:space="preserve"> </w:t>
      </w:r>
      <w:r w:rsidRPr="00FB3674">
        <w:t>where</w:t>
      </w:r>
      <w:r w:rsidR="001F7ED5" w:rsidRPr="00FB3674">
        <w:t xml:space="preserve"> </w:t>
      </w:r>
      <w:r w:rsidRPr="00FB3674">
        <w:t>an</w:t>
      </w:r>
      <w:r w:rsidR="001F7ED5" w:rsidRPr="00FB3674">
        <w:t xml:space="preserve"> </w:t>
      </w:r>
      <w:r w:rsidRPr="00FB3674">
        <w:t>arguable</w:t>
      </w:r>
      <w:r w:rsidR="001F7ED5" w:rsidRPr="00FB3674">
        <w:t xml:space="preserve"> </w:t>
      </w:r>
      <w:r w:rsidRPr="00FB3674">
        <w:t>claim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incitement</w:t>
      </w:r>
      <w:r w:rsidR="001F7ED5" w:rsidRPr="00FB3674">
        <w:t xml:space="preserve"> </w:t>
      </w:r>
      <w:r w:rsidRPr="00FB3674">
        <w:t>is</w:t>
      </w:r>
      <w:r w:rsidR="001F7ED5" w:rsidRPr="00FB3674">
        <w:t xml:space="preserve"> </w:t>
      </w:r>
      <w:r w:rsidRPr="00FB3674">
        <w:t>made</w:t>
      </w:r>
      <w:r w:rsidR="001F7ED5" w:rsidRPr="00FB3674">
        <w:t xml:space="preserve"> </w:t>
      </w:r>
      <w:r w:rsidRPr="00FB3674">
        <w:t>during</w:t>
      </w:r>
      <w:r w:rsidR="001F7ED5" w:rsidRPr="00FB3674">
        <w:t xml:space="preserve"> </w:t>
      </w:r>
      <w:r w:rsidRPr="00FB3674">
        <w:t>criminal</w:t>
      </w:r>
      <w:r w:rsidR="001F7ED5" w:rsidRPr="00FB3674">
        <w:t xml:space="preserve"> </w:t>
      </w:r>
      <w:r w:rsidRPr="00FB3674">
        <w:t>proceedings,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domestic</w:t>
      </w:r>
      <w:r w:rsidR="001F7ED5" w:rsidRPr="00FB3674">
        <w:t xml:space="preserve"> </w:t>
      </w:r>
      <w:r w:rsidRPr="00FB3674">
        <w:t>courts</w:t>
      </w:r>
      <w:r w:rsidR="001F7ED5" w:rsidRPr="00FB3674">
        <w:t xml:space="preserve"> </w:t>
      </w:r>
      <w:r w:rsidRPr="00FB3674">
        <w:t>have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take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steps</w:t>
      </w:r>
      <w:r w:rsidR="001F7ED5" w:rsidRPr="00FB3674">
        <w:t xml:space="preserve"> </w:t>
      </w:r>
      <w:r w:rsidRPr="00FB3674">
        <w:t>necessary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establish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no</w:t>
      </w:r>
      <w:r w:rsidR="001F7ED5" w:rsidRPr="00FB3674">
        <w:t xml:space="preserve"> </w:t>
      </w:r>
      <w:r w:rsidRPr="00FB3674">
        <w:t>police</w:t>
      </w:r>
      <w:r w:rsidR="001F7ED5" w:rsidRPr="00FB3674">
        <w:t xml:space="preserve"> </w:t>
      </w:r>
      <w:r w:rsidRPr="00FB3674">
        <w:t>incitement</w:t>
      </w:r>
      <w:r w:rsidR="001F7ED5" w:rsidRPr="00FB3674">
        <w:t xml:space="preserve"> </w:t>
      </w:r>
      <w:r w:rsidRPr="00FB3674">
        <w:t>has</w:t>
      </w:r>
      <w:r w:rsidR="001F7ED5" w:rsidRPr="00FB3674">
        <w:t xml:space="preserve"> </w:t>
      </w:r>
      <w:r w:rsidRPr="00FB3674">
        <w:t>taken</w:t>
      </w:r>
      <w:r w:rsidR="001F7ED5" w:rsidRPr="00FB3674">
        <w:t xml:space="preserve"> </w:t>
      </w:r>
      <w:r w:rsidRPr="00FB3674">
        <w:t>place.</w:t>
      </w:r>
      <w:r w:rsidRPr="00FB3674">
        <w:rPr>
          <w:rStyle w:val="FootnoteReference"/>
        </w:rPr>
        <w:footnoteReference w:id="13"/>
      </w:r>
    </w:p>
    <w:p w14:paraId="6DD975F5" w14:textId="45DE9BEA" w:rsidR="005D5882" w:rsidRPr="00FB3674" w:rsidRDefault="005D5882" w:rsidP="005D5882">
      <w:pPr>
        <w:pStyle w:val="SingleTxtG"/>
      </w:pPr>
      <w:r w:rsidRPr="00FB3674">
        <w:t>6.4</w:t>
      </w:r>
      <w:r w:rsidRPr="00FB3674">
        <w:tab/>
        <w:t>The</w:t>
      </w:r>
      <w:r w:rsidR="001F7ED5" w:rsidRPr="00FB3674">
        <w:t xml:space="preserve"> </w:t>
      </w:r>
      <w:r w:rsidRPr="00FB3674">
        <w:t>State</w:t>
      </w:r>
      <w:r w:rsidR="001F7ED5" w:rsidRPr="00FB3674">
        <w:t xml:space="preserve"> </w:t>
      </w:r>
      <w:r w:rsidRPr="00FB3674">
        <w:t>party</w:t>
      </w:r>
      <w:r w:rsidR="001F7ED5" w:rsidRPr="00FB3674">
        <w:t xml:space="preserve"> </w:t>
      </w:r>
      <w:r w:rsidRPr="00FB3674">
        <w:t>observes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it</w:t>
      </w:r>
      <w:r w:rsidR="001F7ED5" w:rsidRPr="00FB3674">
        <w:t xml:space="preserve"> </w:t>
      </w:r>
      <w:r w:rsidRPr="00FB3674">
        <w:t>was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procedural</w:t>
      </w:r>
      <w:r w:rsidR="001F7ED5" w:rsidRPr="00FB3674">
        <w:t xml:space="preserve"> </w:t>
      </w:r>
      <w:r w:rsidRPr="00FB3674">
        <w:t>aspect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right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a</w:t>
      </w:r>
      <w:r w:rsidR="001F7ED5" w:rsidRPr="00FB3674">
        <w:t xml:space="preserve"> </w:t>
      </w:r>
      <w:r w:rsidRPr="00FB3674">
        <w:t>fair</w:t>
      </w:r>
      <w:r w:rsidR="001F7ED5" w:rsidRPr="00FB3674">
        <w:t xml:space="preserve"> </w:t>
      </w:r>
      <w:r w:rsidRPr="00FB3674">
        <w:t>trial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was</w:t>
      </w:r>
      <w:r w:rsidR="001F7ED5" w:rsidRPr="00FB3674">
        <w:t xml:space="preserve"> </w:t>
      </w:r>
      <w:r w:rsidRPr="00FB3674">
        <w:t>at</w:t>
      </w:r>
      <w:r w:rsidR="001F7ED5" w:rsidRPr="00FB3674">
        <w:t xml:space="preserve"> </w:t>
      </w:r>
      <w:r w:rsidRPr="00FB3674">
        <w:t>stake</w:t>
      </w:r>
      <w:r w:rsidR="001F7ED5" w:rsidRPr="00FB3674">
        <w:t xml:space="preserve"> </w:t>
      </w:r>
      <w:r w:rsidRPr="00FB3674">
        <w:t>during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rPr>
          <w:iCs/>
        </w:rPr>
        <w:t>de</w:t>
      </w:r>
      <w:r w:rsidR="001F7ED5" w:rsidRPr="00FB3674">
        <w:rPr>
          <w:iCs/>
        </w:rPr>
        <w:t xml:space="preserve"> </w:t>
      </w:r>
      <w:r w:rsidRPr="00FB3674">
        <w:rPr>
          <w:iCs/>
        </w:rPr>
        <w:t>novo</w:t>
      </w:r>
      <w:r w:rsidR="001F7ED5" w:rsidRPr="00FB3674">
        <w:rPr>
          <w:iCs/>
        </w:rPr>
        <w:t xml:space="preserve"> </w:t>
      </w:r>
      <w:r w:rsidRPr="00FB3674">
        <w:rPr>
          <w:iCs/>
        </w:rPr>
        <w:t>adjudication</w:t>
      </w:r>
      <w:r w:rsidR="001F7ED5" w:rsidRPr="00FB3674">
        <w:rPr>
          <w:iCs/>
        </w:rPr>
        <w:t xml:space="preserve"> </w:t>
      </w:r>
      <w:r w:rsidRPr="00FB3674">
        <w:rPr>
          <w:iCs/>
        </w:rPr>
        <w:t>of</w:t>
      </w:r>
      <w:r w:rsidR="001F7ED5" w:rsidRPr="00FB3674">
        <w:rPr>
          <w:iCs/>
        </w:rPr>
        <w:t xml:space="preserve"> </w:t>
      </w:r>
      <w:r w:rsidRPr="00FB3674">
        <w:rPr>
          <w:iCs/>
        </w:rPr>
        <w:t>the</w:t>
      </w:r>
      <w:r w:rsidR="001F7ED5" w:rsidRPr="00FB3674">
        <w:rPr>
          <w:iCs/>
        </w:rPr>
        <w:t xml:space="preserve"> </w:t>
      </w:r>
      <w:r w:rsidRPr="00FB3674">
        <w:rPr>
          <w:iCs/>
        </w:rPr>
        <w:t>criminal</w:t>
      </w:r>
      <w:r w:rsidR="001F7ED5" w:rsidRPr="00FB3674">
        <w:rPr>
          <w:iCs/>
        </w:rPr>
        <w:t xml:space="preserve"> </w:t>
      </w:r>
      <w:r w:rsidRPr="00FB3674">
        <w:rPr>
          <w:iCs/>
        </w:rPr>
        <w:t>proceedings</w:t>
      </w:r>
      <w:r w:rsidR="001F7ED5" w:rsidRPr="00FB3674">
        <w:rPr>
          <w:iCs/>
        </w:rPr>
        <w:t xml:space="preserve"> </w:t>
      </w:r>
      <w:r w:rsidRPr="00FB3674">
        <w:rPr>
          <w:iCs/>
        </w:rPr>
        <w:t>against</w:t>
      </w:r>
      <w:r w:rsidR="001F7ED5" w:rsidRPr="00FB3674">
        <w:rPr>
          <w:iCs/>
        </w:rPr>
        <w:t xml:space="preserve"> </w:t>
      </w:r>
      <w:r w:rsidRPr="00FB3674">
        <w:rPr>
          <w:iCs/>
        </w:rPr>
        <w:t>the</w:t>
      </w:r>
      <w:r w:rsidR="001F7ED5" w:rsidRPr="00FB3674">
        <w:rPr>
          <w:iCs/>
        </w:rPr>
        <w:t xml:space="preserve"> </w:t>
      </w:r>
      <w:r w:rsidRPr="00FB3674">
        <w:rPr>
          <w:iCs/>
        </w:rPr>
        <w:t>author.</w:t>
      </w:r>
      <w:r w:rsidR="001F7ED5" w:rsidRPr="00FB3674">
        <w:rPr>
          <w:iCs/>
        </w:rPr>
        <w:t xml:space="preserve"> </w:t>
      </w:r>
      <w:r w:rsidRPr="00FB3674">
        <w:rPr>
          <w:iCs/>
        </w:rPr>
        <w:t>The</w:t>
      </w:r>
      <w:r w:rsidR="001F7ED5" w:rsidRPr="00FB3674">
        <w:rPr>
          <w:iCs/>
        </w:rPr>
        <w:t xml:space="preserve"> </w:t>
      </w:r>
      <w:r w:rsidRPr="00FB3674">
        <w:rPr>
          <w:iCs/>
        </w:rPr>
        <w:t>State</w:t>
      </w:r>
      <w:r w:rsidR="001F7ED5" w:rsidRPr="00FB3674">
        <w:rPr>
          <w:iCs/>
        </w:rPr>
        <w:t xml:space="preserve"> </w:t>
      </w:r>
      <w:r w:rsidRPr="00FB3674">
        <w:rPr>
          <w:iCs/>
        </w:rPr>
        <w:t>party</w:t>
      </w:r>
      <w:r w:rsidR="001F7ED5" w:rsidRPr="00FB3674">
        <w:rPr>
          <w:iCs/>
        </w:rPr>
        <w:t xml:space="preserve"> </w:t>
      </w:r>
      <w:r w:rsidRPr="00FB3674">
        <w:rPr>
          <w:iCs/>
        </w:rPr>
        <w:t>underlines</w:t>
      </w:r>
      <w:r w:rsidR="001F7ED5" w:rsidRPr="00FB3674">
        <w:rPr>
          <w:iCs/>
        </w:rPr>
        <w:t xml:space="preserve"> </w:t>
      </w:r>
      <w:r w:rsidRPr="00FB3674">
        <w:rPr>
          <w:iCs/>
        </w:rPr>
        <w:t>that</w:t>
      </w:r>
      <w:r w:rsidR="001F7ED5" w:rsidRPr="00FB3674">
        <w:rPr>
          <w:iCs/>
        </w:rPr>
        <w:t xml:space="preserve"> </w:t>
      </w:r>
      <w:r w:rsidRPr="00FB3674">
        <w:rPr>
          <w:iCs/>
        </w:rPr>
        <w:t>the</w:t>
      </w:r>
      <w:r w:rsidR="001F7ED5" w:rsidRPr="00FB3674">
        <w:rPr>
          <w:iCs/>
        </w:rPr>
        <w:t xml:space="preserve"> </w:t>
      </w:r>
      <w:r w:rsidRPr="00FB3674">
        <w:rPr>
          <w:iCs/>
        </w:rPr>
        <w:t>outcome</w:t>
      </w:r>
      <w:r w:rsidR="001F7ED5" w:rsidRPr="00FB3674">
        <w:rPr>
          <w:iCs/>
        </w:rPr>
        <w:t xml:space="preserve"> </w:t>
      </w:r>
      <w:r w:rsidRPr="00FB3674">
        <w:rPr>
          <w:iCs/>
        </w:rPr>
        <w:t>of</w:t>
      </w:r>
      <w:r w:rsidR="001F7ED5" w:rsidRPr="00FB3674">
        <w:rPr>
          <w:iCs/>
        </w:rPr>
        <w:t xml:space="preserve"> </w:t>
      </w:r>
      <w:r w:rsidRPr="00FB3674">
        <w:rPr>
          <w:iCs/>
        </w:rPr>
        <w:t>de</w:t>
      </w:r>
      <w:r w:rsidR="001F7ED5" w:rsidRPr="00FB3674">
        <w:rPr>
          <w:iCs/>
        </w:rPr>
        <w:t xml:space="preserve"> </w:t>
      </w:r>
      <w:r w:rsidRPr="00FB3674">
        <w:rPr>
          <w:iCs/>
        </w:rPr>
        <w:t>novo</w:t>
      </w:r>
      <w:r w:rsidR="001F7ED5" w:rsidRPr="00FB3674">
        <w:rPr>
          <w:iCs/>
        </w:rPr>
        <w:t xml:space="preserve"> </w:t>
      </w:r>
      <w:r w:rsidRPr="00FB3674">
        <w:rPr>
          <w:iCs/>
        </w:rPr>
        <w:t>adjudication</w:t>
      </w:r>
      <w:r w:rsidRPr="00FB3674">
        <w:t>,</w:t>
      </w:r>
      <w:r w:rsidR="001F7ED5" w:rsidRPr="00FB3674">
        <w:t xml:space="preserve"> </w:t>
      </w:r>
      <w:r w:rsidRPr="00FB3674">
        <w:t>in</w:t>
      </w:r>
      <w:r w:rsidR="001F7ED5" w:rsidRPr="00FB3674">
        <w:t xml:space="preserve"> </w:t>
      </w:r>
      <w:r w:rsidRPr="00FB3674">
        <w:t>turn,</w:t>
      </w:r>
      <w:r w:rsidR="001F7ED5" w:rsidRPr="00FB3674">
        <w:t xml:space="preserve"> </w:t>
      </w:r>
      <w:r w:rsidRPr="00FB3674">
        <w:t>forms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essence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author</w:t>
      </w:r>
      <w:r w:rsidR="00FB3674">
        <w:t>’</w:t>
      </w:r>
      <w:r w:rsidRPr="00FB3674">
        <w:t>s</w:t>
      </w:r>
      <w:r w:rsidR="001F7ED5" w:rsidRPr="00FB3674">
        <w:t xml:space="preserve"> </w:t>
      </w:r>
      <w:r w:rsidRPr="00FB3674">
        <w:t>current</w:t>
      </w:r>
      <w:r w:rsidR="001F7ED5" w:rsidRPr="00FB3674">
        <w:t xml:space="preserve"> </w:t>
      </w:r>
      <w:r w:rsidRPr="00FB3674">
        <w:t>complaint</w:t>
      </w:r>
      <w:r w:rsidR="001F7ED5" w:rsidRPr="00FB3674">
        <w:t xml:space="preserve"> </w:t>
      </w:r>
      <w:r w:rsidRPr="00FB3674">
        <w:t>before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Committee.</w:t>
      </w:r>
    </w:p>
    <w:p w14:paraId="1448BAC4" w14:textId="736AF5C6" w:rsidR="001F7ED5" w:rsidRPr="00FB3674" w:rsidRDefault="005D5882" w:rsidP="005D5882">
      <w:pPr>
        <w:pStyle w:val="SingleTxtG"/>
      </w:pPr>
      <w:r w:rsidRPr="00FB3674">
        <w:t>6.5</w:t>
      </w:r>
      <w:r w:rsidRPr="00FB3674">
        <w:tab/>
        <w:t>The</w:t>
      </w:r>
      <w:r w:rsidR="001F7ED5" w:rsidRPr="00FB3674">
        <w:t xml:space="preserve"> </w:t>
      </w:r>
      <w:r w:rsidRPr="00FB3674">
        <w:t>State</w:t>
      </w:r>
      <w:r w:rsidR="001F7ED5" w:rsidRPr="00FB3674">
        <w:t xml:space="preserve"> </w:t>
      </w:r>
      <w:r w:rsidRPr="00FB3674">
        <w:t>party</w:t>
      </w:r>
      <w:r w:rsidR="001F7ED5" w:rsidRPr="00FB3674">
        <w:t xml:space="preserve"> </w:t>
      </w:r>
      <w:r w:rsidRPr="00FB3674">
        <w:t>recalls</w:t>
      </w:r>
      <w:r w:rsidR="001F7ED5" w:rsidRPr="00FB3674">
        <w:t xml:space="preserve"> </w:t>
      </w:r>
      <w:r w:rsidRPr="00FB3674">
        <w:t>that,</w:t>
      </w:r>
      <w:r w:rsidR="001F7ED5" w:rsidRPr="00FB3674">
        <w:t xml:space="preserve"> </w:t>
      </w:r>
      <w:r w:rsidRPr="00FB3674">
        <w:t>in</w:t>
      </w:r>
      <w:r w:rsidR="001F7ED5" w:rsidRPr="00FB3674">
        <w:t xml:space="preserve"> </w:t>
      </w:r>
      <w:r w:rsidRPr="00FB3674">
        <w:t>its</w:t>
      </w:r>
      <w:r w:rsidR="001F7ED5" w:rsidRPr="00FB3674">
        <w:t xml:space="preserve"> </w:t>
      </w:r>
      <w:r w:rsidRPr="00FB3674">
        <w:t>judgment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8</w:t>
      </w:r>
      <w:r w:rsidR="001F7ED5" w:rsidRPr="00FB3674">
        <w:t xml:space="preserve"> </w:t>
      </w:r>
      <w:r w:rsidRPr="00FB3674">
        <w:t>January</w:t>
      </w:r>
      <w:r w:rsidR="001F7ED5" w:rsidRPr="00FB3674">
        <w:t xml:space="preserve"> </w:t>
      </w:r>
      <w:r w:rsidRPr="00FB3674">
        <w:t>2013,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European</w:t>
      </w:r>
      <w:r w:rsidR="001F7ED5" w:rsidRPr="00FB3674">
        <w:t xml:space="preserve"> </w:t>
      </w:r>
      <w:r w:rsidRPr="00FB3674">
        <w:t>Court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Human</w:t>
      </w:r>
      <w:r w:rsidR="001F7ED5" w:rsidRPr="00FB3674">
        <w:t xml:space="preserve"> </w:t>
      </w:r>
      <w:r w:rsidRPr="00FB3674">
        <w:t>Rights</w:t>
      </w:r>
      <w:r w:rsidR="001F7ED5" w:rsidRPr="00FB3674">
        <w:t xml:space="preserve"> </w:t>
      </w:r>
      <w:r w:rsidRPr="00FB3674">
        <w:t>had</w:t>
      </w:r>
      <w:r w:rsidR="001F7ED5" w:rsidRPr="00FB3674">
        <w:t xml:space="preserve"> </w:t>
      </w:r>
      <w:r w:rsidRPr="00FB3674">
        <w:t>identified</w:t>
      </w:r>
      <w:r w:rsidR="001F7ED5" w:rsidRPr="00FB3674">
        <w:t xml:space="preserve"> </w:t>
      </w:r>
      <w:r w:rsidRPr="00FB3674">
        <w:t>several</w:t>
      </w:r>
      <w:r w:rsidR="001F7ED5" w:rsidRPr="00FB3674">
        <w:t xml:space="preserve"> </w:t>
      </w:r>
      <w:r w:rsidRPr="00FB3674">
        <w:t>deficiencies</w:t>
      </w:r>
      <w:r w:rsidR="001F7ED5" w:rsidRPr="00FB3674">
        <w:t xml:space="preserve"> </w:t>
      </w:r>
      <w:r w:rsidRPr="00FB3674">
        <w:t>with</w:t>
      </w:r>
      <w:r w:rsidR="001F7ED5" w:rsidRPr="00FB3674">
        <w:t xml:space="preserve"> </w:t>
      </w:r>
      <w:r w:rsidRPr="00FB3674">
        <w:t>regard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author</w:t>
      </w:r>
      <w:r w:rsidR="00FB3674">
        <w:t>’</w:t>
      </w:r>
      <w:r w:rsidRPr="00FB3674">
        <w:t>s</w:t>
      </w:r>
      <w:r w:rsidR="001F7ED5" w:rsidRPr="00FB3674">
        <w:t xml:space="preserve"> </w:t>
      </w:r>
      <w:r w:rsidRPr="00FB3674">
        <w:t>initial</w:t>
      </w:r>
      <w:r w:rsidR="001F7ED5" w:rsidRPr="00FB3674">
        <w:t xml:space="preserve"> </w:t>
      </w:r>
      <w:r w:rsidRPr="00FB3674">
        <w:t>trial,</w:t>
      </w:r>
      <w:r w:rsidR="001F7ED5" w:rsidRPr="00FB3674">
        <w:t xml:space="preserve"> </w:t>
      </w:r>
      <w:r w:rsidRPr="00FB3674">
        <w:t>in</w:t>
      </w:r>
      <w:r w:rsidR="001F7ED5" w:rsidRPr="00FB3674">
        <w:t xml:space="preserve"> </w:t>
      </w:r>
      <w:r w:rsidRPr="00FB3674">
        <w:t>particular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lack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in-depth</w:t>
      </w:r>
      <w:r w:rsidR="001F7ED5" w:rsidRPr="00FB3674">
        <w:t xml:space="preserve"> </w:t>
      </w:r>
      <w:r w:rsidRPr="00FB3674">
        <w:t>review</w:t>
      </w:r>
      <w:r w:rsidR="001F7ED5" w:rsidRPr="00FB3674">
        <w:t xml:space="preserve"> </w:t>
      </w:r>
      <w:r w:rsidRPr="00FB3674">
        <w:t>and</w:t>
      </w:r>
      <w:r w:rsidR="001F7ED5" w:rsidRPr="00FB3674">
        <w:t xml:space="preserve"> </w:t>
      </w:r>
      <w:r w:rsidRPr="00FB3674">
        <w:t>assessment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actions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undercover</w:t>
      </w:r>
      <w:r w:rsidR="001F7ED5" w:rsidRPr="00FB3674">
        <w:t xml:space="preserve"> </w:t>
      </w:r>
      <w:r w:rsidRPr="00FB3674">
        <w:t>police</w:t>
      </w:r>
      <w:r w:rsidR="001F7ED5" w:rsidRPr="00FB3674">
        <w:t xml:space="preserve"> </w:t>
      </w:r>
      <w:r w:rsidRPr="00FB3674">
        <w:t>officers</w:t>
      </w:r>
      <w:r w:rsidR="001F7ED5" w:rsidRPr="00FB3674">
        <w:t xml:space="preserve"> </w:t>
      </w:r>
      <w:r w:rsidRPr="00FB3674">
        <w:t>by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competent</w:t>
      </w:r>
      <w:r w:rsidR="001F7ED5" w:rsidRPr="00FB3674">
        <w:t xml:space="preserve"> </w:t>
      </w:r>
      <w:r w:rsidRPr="00FB3674">
        <w:t>domestic</w:t>
      </w:r>
      <w:r w:rsidR="001F7ED5" w:rsidRPr="00FB3674">
        <w:t xml:space="preserve"> </w:t>
      </w:r>
      <w:r w:rsidRPr="00FB3674">
        <w:t>courts,</w:t>
      </w:r>
      <w:r w:rsidR="001F7ED5" w:rsidRPr="00FB3674">
        <w:t xml:space="preserve"> </w:t>
      </w:r>
      <w:r w:rsidRPr="00FB3674">
        <w:t>which</w:t>
      </w:r>
      <w:r w:rsidR="001F7ED5" w:rsidRPr="00FB3674">
        <w:t xml:space="preserve"> </w:t>
      </w:r>
      <w:r w:rsidRPr="00FB3674">
        <w:t>resulted</w:t>
      </w:r>
      <w:r w:rsidR="001F7ED5" w:rsidRPr="00FB3674">
        <w:t xml:space="preserve"> </w:t>
      </w:r>
      <w:r w:rsidRPr="00FB3674">
        <w:t>in</w:t>
      </w:r>
      <w:r w:rsidR="001F7ED5" w:rsidRPr="00FB3674">
        <w:t xml:space="preserve"> </w:t>
      </w:r>
      <w:r w:rsidRPr="00FB3674">
        <w:t>a</w:t>
      </w:r>
      <w:r w:rsidR="001F7ED5" w:rsidRPr="00FB3674">
        <w:t xml:space="preserve"> </w:t>
      </w:r>
      <w:r w:rsidRPr="00FB3674">
        <w:t>violation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procedural</w:t>
      </w:r>
      <w:r w:rsidR="001F7ED5" w:rsidRPr="00FB3674">
        <w:t xml:space="preserve"> </w:t>
      </w:r>
      <w:r w:rsidRPr="00FB3674">
        <w:t>aspect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right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a</w:t>
      </w:r>
      <w:r w:rsidR="001F7ED5" w:rsidRPr="00FB3674">
        <w:t xml:space="preserve"> </w:t>
      </w:r>
      <w:r w:rsidRPr="00FB3674">
        <w:t>fair</w:t>
      </w:r>
      <w:r w:rsidR="001F7ED5" w:rsidRPr="00FB3674">
        <w:t xml:space="preserve"> </w:t>
      </w:r>
      <w:r w:rsidRPr="00FB3674">
        <w:t>trial</w:t>
      </w:r>
      <w:r w:rsidR="001F7ED5" w:rsidRPr="00FB3674">
        <w:t xml:space="preserve"> </w:t>
      </w:r>
      <w:r w:rsidRPr="00FB3674">
        <w:t>and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subsequent</w:t>
      </w:r>
      <w:r w:rsidR="001F7ED5" w:rsidRPr="00FB3674">
        <w:t xml:space="preserve"> </w:t>
      </w:r>
      <w:r w:rsidRPr="00FB3674">
        <w:t>retrial.</w:t>
      </w:r>
    </w:p>
    <w:p w14:paraId="6F58A9DE" w14:textId="2F9F86FB" w:rsidR="005D5882" w:rsidRPr="00FB3674" w:rsidRDefault="005D5882" w:rsidP="005D5882">
      <w:pPr>
        <w:pStyle w:val="SingleTxtG"/>
      </w:pPr>
      <w:r w:rsidRPr="00FB3674">
        <w:t>6.6</w:t>
      </w:r>
      <w:r w:rsidRPr="00FB3674">
        <w:tab/>
        <w:t>In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regard,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competent</w:t>
      </w:r>
      <w:r w:rsidR="001F7ED5" w:rsidRPr="00FB3674">
        <w:t xml:space="preserve"> </w:t>
      </w:r>
      <w:r w:rsidRPr="00FB3674">
        <w:t>domestic</w:t>
      </w:r>
      <w:r w:rsidR="001F7ED5" w:rsidRPr="00FB3674">
        <w:t xml:space="preserve"> </w:t>
      </w:r>
      <w:r w:rsidRPr="00FB3674">
        <w:t>courts</w:t>
      </w:r>
      <w:r w:rsidR="001F7ED5" w:rsidRPr="00FB3674">
        <w:t xml:space="preserve"> </w:t>
      </w:r>
      <w:r w:rsidRPr="00FB3674">
        <w:t>did</w:t>
      </w:r>
      <w:r w:rsidR="001F7ED5" w:rsidRPr="00FB3674">
        <w:t xml:space="preserve"> </w:t>
      </w:r>
      <w:r w:rsidRPr="00FB3674">
        <w:t>their</w:t>
      </w:r>
      <w:r w:rsidR="001F7ED5" w:rsidRPr="00FB3674">
        <w:t xml:space="preserve"> </w:t>
      </w:r>
      <w:r w:rsidRPr="00FB3674">
        <w:t>utmost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thoroughly</w:t>
      </w:r>
      <w:r w:rsidR="001F7ED5" w:rsidRPr="00FB3674">
        <w:t xml:space="preserve"> </w:t>
      </w:r>
      <w:r w:rsidRPr="00FB3674">
        <w:t>address</w:t>
      </w:r>
      <w:r w:rsidR="001F7ED5" w:rsidRPr="00FB3674">
        <w:t xml:space="preserve"> </w:t>
      </w:r>
      <w:r w:rsidRPr="00FB3674">
        <w:t>and</w:t>
      </w:r>
      <w:r w:rsidR="001F7ED5" w:rsidRPr="00FB3674">
        <w:t xml:space="preserve"> </w:t>
      </w:r>
      <w:r w:rsidRPr="00FB3674">
        <w:t>remedy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issues</w:t>
      </w:r>
      <w:r w:rsidR="001F7ED5" w:rsidRPr="00FB3674">
        <w:t xml:space="preserve"> </w:t>
      </w:r>
      <w:r w:rsidRPr="00FB3674">
        <w:t>identified</w:t>
      </w:r>
      <w:r w:rsidR="001F7ED5" w:rsidRPr="00FB3674">
        <w:t xml:space="preserve"> </w:t>
      </w:r>
      <w:r w:rsidRPr="00FB3674">
        <w:t>by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European</w:t>
      </w:r>
      <w:r w:rsidR="001F7ED5" w:rsidRPr="00FB3674">
        <w:t xml:space="preserve"> </w:t>
      </w:r>
      <w:r w:rsidRPr="00FB3674">
        <w:t>Court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Human</w:t>
      </w:r>
      <w:r w:rsidR="001F7ED5" w:rsidRPr="00FB3674">
        <w:t xml:space="preserve"> </w:t>
      </w:r>
      <w:r w:rsidRPr="00FB3674">
        <w:t>Rights</w:t>
      </w:r>
      <w:r w:rsidR="001F7ED5" w:rsidRPr="00FB3674">
        <w:t xml:space="preserve"> </w:t>
      </w:r>
      <w:r w:rsidRPr="00FB3674">
        <w:t>in</w:t>
      </w:r>
      <w:r w:rsidR="001F7ED5" w:rsidRPr="00FB3674">
        <w:t xml:space="preserve"> </w:t>
      </w:r>
      <w:r w:rsidRPr="00FB3674">
        <w:t>its</w:t>
      </w:r>
      <w:r w:rsidR="001F7ED5" w:rsidRPr="00FB3674">
        <w:t xml:space="preserve"> </w:t>
      </w:r>
      <w:r w:rsidRPr="00FB3674">
        <w:t>judgment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8</w:t>
      </w:r>
      <w:r w:rsidR="001F7ED5" w:rsidRPr="00FB3674">
        <w:t xml:space="preserve"> </w:t>
      </w:r>
      <w:r w:rsidRPr="00FB3674">
        <w:t>January</w:t>
      </w:r>
      <w:r w:rsidR="001F7ED5" w:rsidRPr="00FB3674">
        <w:t xml:space="preserve"> </w:t>
      </w:r>
      <w:r w:rsidRPr="00FB3674">
        <w:t>2013</w:t>
      </w:r>
      <w:r w:rsidR="001F7ED5" w:rsidRPr="00FB3674">
        <w:t xml:space="preserve"> </w:t>
      </w:r>
      <w:r w:rsidRPr="00FB3674">
        <w:t>and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fulfil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obligation</w:t>
      </w:r>
      <w:r w:rsidR="001F7ED5" w:rsidRPr="00FB3674">
        <w:t xml:space="preserve"> </w:t>
      </w:r>
      <w:r w:rsidRPr="00FB3674">
        <w:t>arising</w:t>
      </w:r>
      <w:r w:rsidR="001F7ED5" w:rsidRPr="00FB3674">
        <w:t xml:space="preserve"> </w:t>
      </w:r>
      <w:r w:rsidRPr="00FB3674">
        <w:t>out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procedural</w:t>
      </w:r>
      <w:r w:rsidR="001F7ED5" w:rsidRPr="00FB3674">
        <w:t xml:space="preserve"> </w:t>
      </w:r>
      <w:r w:rsidRPr="00FB3674">
        <w:t>aspect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right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a</w:t>
      </w:r>
      <w:r w:rsidR="001F7ED5" w:rsidRPr="00FB3674">
        <w:t xml:space="preserve"> </w:t>
      </w:r>
      <w:r w:rsidRPr="00FB3674">
        <w:t>fair</w:t>
      </w:r>
      <w:r w:rsidR="001F7ED5" w:rsidRPr="00FB3674">
        <w:t xml:space="preserve"> </w:t>
      </w:r>
      <w:r w:rsidRPr="00FB3674">
        <w:t>trial.</w:t>
      </w:r>
      <w:r w:rsidR="001F7ED5" w:rsidRPr="00FB3674">
        <w:t xml:space="preserve"> </w:t>
      </w:r>
      <w:r w:rsidRPr="00FB3674">
        <w:t>Moreover,</w:t>
      </w:r>
      <w:r w:rsidR="001F7ED5" w:rsidRPr="00FB3674">
        <w:t xml:space="preserve"> </w:t>
      </w:r>
      <w:r w:rsidRPr="00FB3674">
        <w:t>during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course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retrial,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domestic</w:t>
      </w:r>
      <w:r w:rsidR="001F7ED5" w:rsidRPr="00FB3674">
        <w:t xml:space="preserve"> </w:t>
      </w:r>
      <w:r w:rsidRPr="00FB3674">
        <w:t>courts</w:t>
      </w:r>
      <w:r w:rsidR="001F7ED5" w:rsidRPr="00FB3674">
        <w:t xml:space="preserve"> </w:t>
      </w:r>
      <w:r w:rsidRPr="00FB3674">
        <w:t>fully</w:t>
      </w:r>
      <w:r w:rsidR="001F7ED5" w:rsidRPr="00FB3674">
        <w:t xml:space="preserve"> </w:t>
      </w:r>
      <w:r w:rsidRPr="00FB3674">
        <w:t>dismissed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author</w:t>
      </w:r>
      <w:r w:rsidR="00FB3674">
        <w:t>’</w:t>
      </w:r>
      <w:r w:rsidRPr="00FB3674">
        <w:t>s</w:t>
      </w:r>
      <w:r w:rsidR="001F7ED5" w:rsidRPr="00FB3674">
        <w:t xml:space="preserve"> </w:t>
      </w:r>
      <w:r w:rsidRPr="00FB3674">
        <w:t>allegations</w:t>
      </w:r>
      <w:r w:rsidR="001F7ED5" w:rsidRPr="00FB3674">
        <w:t xml:space="preserve"> </w:t>
      </w:r>
      <w:r w:rsidRPr="00FB3674">
        <w:t>concerning</w:t>
      </w:r>
      <w:r w:rsidR="001F7ED5" w:rsidRPr="00FB3674">
        <w:t xml:space="preserve"> </w:t>
      </w:r>
      <w:r w:rsidRPr="00FB3674">
        <w:t>incitement</w:t>
      </w:r>
      <w:r w:rsidR="001F7ED5" w:rsidRPr="00FB3674">
        <w:t xml:space="preserve"> </w:t>
      </w:r>
      <w:r w:rsidRPr="00FB3674">
        <w:t>by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police</w:t>
      </w:r>
      <w:r w:rsidR="001F7ED5" w:rsidRPr="00FB3674">
        <w:t xml:space="preserve"> </w:t>
      </w:r>
      <w:r w:rsidRPr="00FB3674">
        <w:t>with</w:t>
      </w:r>
      <w:r w:rsidR="001F7ED5" w:rsidRPr="00FB3674">
        <w:t xml:space="preserve"> </w:t>
      </w:r>
      <w:r w:rsidRPr="00FB3674">
        <w:t>well-reasoned</w:t>
      </w:r>
      <w:r w:rsidR="001F7ED5" w:rsidRPr="00FB3674">
        <w:t xml:space="preserve"> </w:t>
      </w:r>
      <w:r w:rsidRPr="00FB3674">
        <w:t>and</w:t>
      </w:r>
      <w:r w:rsidR="001F7ED5" w:rsidRPr="00FB3674">
        <w:t xml:space="preserve"> </w:t>
      </w:r>
      <w:r w:rsidRPr="00FB3674">
        <w:t>motivated</w:t>
      </w:r>
      <w:r w:rsidR="001F7ED5" w:rsidRPr="00FB3674">
        <w:t xml:space="preserve"> </w:t>
      </w:r>
      <w:r w:rsidRPr="00FB3674">
        <w:t>rulings.</w:t>
      </w:r>
    </w:p>
    <w:p w14:paraId="3779A92D" w14:textId="1ABD3113" w:rsidR="005D5882" w:rsidRPr="00FB3674" w:rsidRDefault="005D5882" w:rsidP="005D5882">
      <w:pPr>
        <w:pStyle w:val="SingleTxtG"/>
      </w:pPr>
      <w:r w:rsidRPr="00FB3674">
        <w:t>6.7</w:t>
      </w:r>
      <w:r w:rsidRPr="00FB3674">
        <w:tab/>
        <w:t>Regarding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author</w:t>
      </w:r>
      <w:r w:rsidR="00FB3674">
        <w:t>’</w:t>
      </w:r>
      <w:r w:rsidRPr="00FB3674">
        <w:t>s</w:t>
      </w:r>
      <w:r w:rsidR="001F7ED5" w:rsidRPr="00FB3674">
        <w:t xml:space="preserve"> </w:t>
      </w:r>
      <w:r w:rsidRPr="00FB3674">
        <w:t>allegations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rPr>
          <w:iCs/>
        </w:rPr>
        <w:t>de</w:t>
      </w:r>
      <w:r w:rsidR="001F7ED5" w:rsidRPr="00FB3674">
        <w:rPr>
          <w:iCs/>
        </w:rPr>
        <w:t xml:space="preserve"> </w:t>
      </w:r>
      <w:r w:rsidRPr="00FB3674">
        <w:rPr>
          <w:iCs/>
        </w:rPr>
        <w:t>novo</w:t>
      </w:r>
      <w:r w:rsidR="001F7ED5" w:rsidRPr="00FB3674">
        <w:t xml:space="preserve"> </w:t>
      </w:r>
      <w:r w:rsidRPr="00FB3674">
        <w:t>adjudication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criminal</w:t>
      </w:r>
      <w:r w:rsidR="001F7ED5" w:rsidRPr="00FB3674">
        <w:t xml:space="preserve"> </w:t>
      </w:r>
      <w:r w:rsidRPr="00FB3674">
        <w:t>proceedings</w:t>
      </w:r>
      <w:r w:rsidR="001F7ED5" w:rsidRPr="00FB3674">
        <w:t xml:space="preserve"> </w:t>
      </w:r>
      <w:r w:rsidRPr="00FB3674">
        <w:t>lacked</w:t>
      </w:r>
      <w:r w:rsidR="001F7ED5" w:rsidRPr="00FB3674">
        <w:t xml:space="preserve"> </w:t>
      </w:r>
      <w:r w:rsidRPr="00FB3674">
        <w:t>impartiality</w:t>
      </w:r>
      <w:r w:rsidR="001F7ED5" w:rsidRPr="00FB3674">
        <w:t xml:space="preserve"> </w:t>
      </w:r>
      <w:r w:rsidRPr="00FB3674">
        <w:t>and</w:t>
      </w:r>
      <w:r w:rsidR="001F7ED5" w:rsidRPr="00FB3674">
        <w:t xml:space="preserve"> </w:t>
      </w:r>
      <w:r w:rsidRPr="00FB3674">
        <w:t>transparency</w:t>
      </w:r>
      <w:r w:rsidR="001F7ED5" w:rsidRPr="00FB3674">
        <w:t xml:space="preserve"> </w:t>
      </w:r>
      <w:r w:rsidRPr="00FB3674">
        <w:t>owing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restrictions</w:t>
      </w:r>
      <w:r w:rsidR="001F7ED5" w:rsidRPr="00FB3674">
        <w:t xml:space="preserve"> </w:t>
      </w:r>
      <w:r w:rsidRPr="00FB3674">
        <w:t>imposed</w:t>
      </w:r>
      <w:r w:rsidR="001F7ED5" w:rsidRPr="00FB3674">
        <w:t xml:space="preserve"> </w:t>
      </w:r>
      <w:r w:rsidRPr="00FB3674">
        <w:t>by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domestic</w:t>
      </w:r>
      <w:r w:rsidR="001F7ED5" w:rsidRPr="00FB3674">
        <w:t xml:space="preserve"> </w:t>
      </w:r>
      <w:r w:rsidRPr="00FB3674">
        <w:t>tribunal</w:t>
      </w:r>
      <w:r w:rsidR="001F7ED5" w:rsidRPr="00FB3674">
        <w:t xml:space="preserve"> </w:t>
      </w:r>
      <w:r w:rsidRPr="00FB3674">
        <w:t>on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right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disclosure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defence,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State</w:t>
      </w:r>
      <w:r w:rsidR="001F7ED5" w:rsidRPr="00FB3674">
        <w:t xml:space="preserve"> </w:t>
      </w:r>
      <w:r w:rsidRPr="00FB3674">
        <w:t>party</w:t>
      </w:r>
      <w:r w:rsidR="001F7ED5" w:rsidRPr="00FB3674">
        <w:t xml:space="preserve"> </w:t>
      </w:r>
      <w:r w:rsidRPr="00FB3674">
        <w:t>is</w:t>
      </w:r>
      <w:r w:rsidR="001F7ED5" w:rsidRPr="00FB3674">
        <w:t xml:space="preserve"> </w:t>
      </w:r>
      <w:r w:rsidRPr="00FB3674">
        <w:t>convinced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author</w:t>
      </w:r>
      <w:r w:rsidR="001F7ED5" w:rsidRPr="00FB3674">
        <w:t xml:space="preserve"> </w:t>
      </w:r>
      <w:r w:rsidRPr="00FB3674">
        <w:t>has</w:t>
      </w:r>
      <w:r w:rsidR="001F7ED5" w:rsidRPr="00FB3674">
        <w:t xml:space="preserve"> </w:t>
      </w:r>
      <w:r w:rsidRPr="00FB3674">
        <w:t>failed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indicate</w:t>
      </w:r>
      <w:r w:rsidR="001F7ED5" w:rsidRPr="00FB3674">
        <w:t xml:space="preserve"> </w:t>
      </w:r>
      <w:r w:rsidRPr="00FB3674">
        <w:t>a</w:t>
      </w:r>
      <w:r w:rsidR="001F7ED5" w:rsidRPr="00FB3674">
        <w:t xml:space="preserve"> </w:t>
      </w:r>
      <w:r w:rsidRPr="00FB3674">
        <w:t>single</w:t>
      </w:r>
      <w:r w:rsidR="001F7ED5" w:rsidRPr="00FB3674">
        <w:t xml:space="preserve"> </w:t>
      </w:r>
      <w:r w:rsidRPr="00FB3674">
        <w:t>instance</w:t>
      </w:r>
      <w:r w:rsidR="001F7ED5" w:rsidRPr="00FB3674">
        <w:t xml:space="preserve"> </w:t>
      </w:r>
      <w:r w:rsidRPr="00FB3674">
        <w:t>where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domestic</w:t>
      </w:r>
      <w:r w:rsidR="001F7ED5" w:rsidRPr="00FB3674">
        <w:t xml:space="preserve"> </w:t>
      </w:r>
      <w:r w:rsidRPr="00FB3674">
        <w:t>tribunals</w:t>
      </w:r>
      <w:r w:rsidR="001F7ED5" w:rsidRPr="00FB3674">
        <w:t xml:space="preserve"> </w:t>
      </w:r>
      <w:r w:rsidRPr="00FB3674">
        <w:t>acted</w:t>
      </w:r>
      <w:r w:rsidR="001F7ED5" w:rsidRPr="00FB3674">
        <w:t xml:space="preserve"> </w:t>
      </w:r>
      <w:r w:rsidRPr="00FB3674">
        <w:t>in</w:t>
      </w:r>
      <w:r w:rsidR="001F7ED5" w:rsidRPr="00FB3674">
        <w:t xml:space="preserve"> </w:t>
      </w:r>
      <w:r w:rsidRPr="00FB3674">
        <w:t>a</w:t>
      </w:r>
      <w:r w:rsidR="001F7ED5" w:rsidRPr="00FB3674">
        <w:t xml:space="preserve"> </w:t>
      </w:r>
      <w:r w:rsidRPr="00FB3674">
        <w:t>manner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would</w:t>
      </w:r>
      <w:r w:rsidR="001F7ED5" w:rsidRPr="00FB3674">
        <w:t xml:space="preserve"> </w:t>
      </w:r>
      <w:r w:rsidRPr="00FB3674">
        <w:t>indicate</w:t>
      </w:r>
      <w:r w:rsidR="001F7ED5" w:rsidRPr="00FB3674">
        <w:t xml:space="preserve"> </w:t>
      </w:r>
      <w:r w:rsidRPr="00FB3674">
        <w:t>personal</w:t>
      </w:r>
      <w:r w:rsidR="001F7ED5" w:rsidRPr="00FB3674">
        <w:t xml:space="preserve"> </w:t>
      </w:r>
      <w:r w:rsidRPr="00FB3674">
        <w:t>bias</w:t>
      </w:r>
      <w:r w:rsidR="001F7ED5" w:rsidRPr="00FB3674">
        <w:t xml:space="preserve"> </w:t>
      </w:r>
      <w:r w:rsidRPr="00FB3674">
        <w:t>or</w:t>
      </w:r>
      <w:r w:rsidR="001F7ED5" w:rsidRPr="00FB3674">
        <w:t xml:space="preserve"> </w:t>
      </w:r>
      <w:r w:rsidRPr="00FB3674">
        <w:t>prejudice</w:t>
      </w:r>
      <w:r w:rsidR="001F7ED5" w:rsidRPr="00FB3674">
        <w:t xml:space="preserve"> </w:t>
      </w:r>
      <w:r w:rsidRPr="00FB3674">
        <w:t>against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author</w:t>
      </w:r>
      <w:r w:rsidR="001F7ED5" w:rsidRPr="00FB3674">
        <w:t xml:space="preserve"> </w:t>
      </w:r>
      <w:r w:rsidRPr="00FB3674">
        <w:t>or</w:t>
      </w:r>
      <w:r w:rsidR="001F7ED5" w:rsidRPr="00FB3674">
        <w:t xml:space="preserve"> </w:t>
      </w:r>
      <w:r w:rsidRPr="00FB3674">
        <w:t>acted</w:t>
      </w:r>
      <w:r w:rsidR="001F7ED5" w:rsidRPr="00FB3674">
        <w:t xml:space="preserve"> </w:t>
      </w:r>
      <w:r w:rsidRPr="00FB3674">
        <w:t>in</w:t>
      </w:r>
      <w:r w:rsidR="001F7ED5" w:rsidRPr="00FB3674">
        <w:t xml:space="preserve"> </w:t>
      </w:r>
      <w:r w:rsidRPr="00FB3674">
        <w:t>a</w:t>
      </w:r>
      <w:r w:rsidR="001F7ED5" w:rsidRPr="00FB3674">
        <w:t xml:space="preserve"> </w:t>
      </w:r>
      <w:r w:rsidRPr="00FB3674">
        <w:t>manner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would</w:t>
      </w:r>
      <w:r w:rsidR="001F7ED5" w:rsidRPr="00FB3674">
        <w:t xml:space="preserve"> </w:t>
      </w:r>
      <w:r w:rsidRPr="00FB3674">
        <w:t>not</w:t>
      </w:r>
      <w:r w:rsidR="001F7ED5" w:rsidRPr="00FB3674">
        <w:t xml:space="preserve"> </w:t>
      </w:r>
      <w:r w:rsidRPr="00FB3674">
        <w:t>appear</w:t>
      </w:r>
      <w:r w:rsidR="001F7ED5" w:rsidRPr="00FB3674">
        <w:t xml:space="preserve"> </w:t>
      </w:r>
      <w:r w:rsidRPr="00FB3674">
        <w:t>impartial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a</w:t>
      </w:r>
      <w:r w:rsidR="001F7ED5" w:rsidRPr="00FB3674">
        <w:t xml:space="preserve"> </w:t>
      </w:r>
      <w:r w:rsidRPr="00FB3674">
        <w:t>reasonable</w:t>
      </w:r>
      <w:r w:rsidR="001F7ED5" w:rsidRPr="00FB3674">
        <w:t xml:space="preserve"> </w:t>
      </w:r>
      <w:r w:rsidRPr="00FB3674">
        <w:t>observer.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State</w:t>
      </w:r>
      <w:r w:rsidR="001F7ED5" w:rsidRPr="00FB3674">
        <w:t xml:space="preserve"> </w:t>
      </w:r>
      <w:r w:rsidRPr="00FB3674">
        <w:t>party</w:t>
      </w:r>
      <w:r w:rsidR="001F7ED5" w:rsidRPr="00FB3674">
        <w:t xml:space="preserve"> </w:t>
      </w:r>
      <w:r w:rsidRPr="00FB3674">
        <w:t>reiterates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article</w:t>
      </w:r>
      <w:r w:rsidR="001F7ED5" w:rsidRPr="00FB3674">
        <w:t xml:space="preserve"> </w:t>
      </w:r>
      <w:r w:rsidRPr="00FB3674">
        <w:t>14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Covenant</w:t>
      </w:r>
      <w:r w:rsidR="001F7ED5" w:rsidRPr="00FB3674">
        <w:t xml:space="preserve"> </w:t>
      </w:r>
      <w:r w:rsidRPr="00FB3674">
        <w:t>does</w:t>
      </w:r>
      <w:r w:rsidR="001F7ED5" w:rsidRPr="00FB3674">
        <w:t xml:space="preserve"> </w:t>
      </w:r>
      <w:r w:rsidRPr="00FB3674">
        <w:t>not</w:t>
      </w:r>
      <w:r w:rsidR="001F7ED5" w:rsidRPr="00FB3674">
        <w:t xml:space="preserve"> </w:t>
      </w:r>
      <w:r w:rsidRPr="00FB3674">
        <w:t>set</w:t>
      </w:r>
      <w:r w:rsidR="001F7ED5" w:rsidRPr="00FB3674">
        <w:t xml:space="preserve"> </w:t>
      </w:r>
      <w:r w:rsidRPr="00FB3674">
        <w:t>out</w:t>
      </w:r>
      <w:r w:rsidR="001F7ED5" w:rsidRPr="00FB3674">
        <w:t xml:space="preserve"> </w:t>
      </w:r>
      <w:r w:rsidRPr="00FB3674">
        <w:t>an</w:t>
      </w:r>
      <w:r w:rsidR="001F7ED5" w:rsidRPr="00FB3674">
        <w:t xml:space="preserve"> </w:t>
      </w:r>
      <w:r w:rsidRPr="00FB3674">
        <w:t>explicit</w:t>
      </w:r>
      <w:r w:rsidR="001F7ED5" w:rsidRPr="00FB3674">
        <w:t xml:space="preserve"> </w:t>
      </w:r>
      <w:r w:rsidRPr="00FB3674">
        <w:t>right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accused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have</w:t>
      </w:r>
      <w:r w:rsidR="001F7ED5" w:rsidRPr="00FB3674">
        <w:t xml:space="preserve"> </w:t>
      </w:r>
      <w:r w:rsidRPr="00FB3674">
        <w:t>direct</w:t>
      </w:r>
      <w:r w:rsidR="001F7ED5" w:rsidRPr="00FB3674">
        <w:t xml:space="preserve"> </w:t>
      </w:r>
      <w:r w:rsidRPr="00FB3674">
        <w:t>access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all</w:t>
      </w:r>
      <w:r w:rsidR="001F7ED5" w:rsidRPr="00FB3674">
        <w:t xml:space="preserve"> </w:t>
      </w:r>
      <w:r w:rsidRPr="00FB3674">
        <w:t>documents</w:t>
      </w:r>
      <w:r w:rsidR="001F7ED5" w:rsidRPr="00FB3674">
        <w:t xml:space="preserve"> </w:t>
      </w:r>
      <w:r w:rsidRPr="00FB3674">
        <w:t>used</w:t>
      </w:r>
      <w:r w:rsidR="001F7ED5" w:rsidRPr="00FB3674">
        <w:t xml:space="preserve"> </w:t>
      </w:r>
      <w:r w:rsidRPr="00FB3674">
        <w:t>in</w:t>
      </w:r>
      <w:r w:rsidR="001F7ED5" w:rsidRPr="00FB3674">
        <w:t xml:space="preserve"> </w:t>
      </w:r>
      <w:r w:rsidRPr="00FB3674">
        <w:t>trials</w:t>
      </w:r>
      <w:r w:rsidR="001F7ED5" w:rsidRPr="00FB3674">
        <w:t xml:space="preserve"> </w:t>
      </w:r>
      <w:r w:rsidRPr="00FB3674">
        <w:t>against</w:t>
      </w:r>
      <w:r w:rsidR="001F7ED5" w:rsidRPr="00FB3674">
        <w:t xml:space="preserve"> </w:t>
      </w:r>
      <w:r w:rsidRPr="00FB3674">
        <w:t>them.</w:t>
      </w:r>
    </w:p>
    <w:p w14:paraId="515C032E" w14:textId="67D97159" w:rsidR="005D5882" w:rsidRPr="00FB3674" w:rsidRDefault="005D5882" w:rsidP="005D5882">
      <w:pPr>
        <w:pStyle w:val="SingleTxtG"/>
      </w:pPr>
      <w:r w:rsidRPr="00FB3674">
        <w:t>6.8</w:t>
      </w:r>
      <w:r w:rsidRPr="00FB3674">
        <w:tab/>
        <w:t>The</w:t>
      </w:r>
      <w:r w:rsidR="001F7ED5" w:rsidRPr="00FB3674">
        <w:t xml:space="preserve"> </w:t>
      </w:r>
      <w:r w:rsidRPr="00FB3674">
        <w:t>State</w:t>
      </w:r>
      <w:r w:rsidR="001F7ED5" w:rsidRPr="00FB3674">
        <w:t xml:space="preserve"> </w:t>
      </w:r>
      <w:r w:rsidRPr="00FB3674">
        <w:t>party</w:t>
      </w:r>
      <w:r w:rsidR="001F7ED5" w:rsidRPr="00FB3674">
        <w:t xml:space="preserve"> </w:t>
      </w:r>
      <w:r w:rsidRPr="00FB3674">
        <w:t>recalls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both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Chamber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Criminal</w:t>
      </w:r>
      <w:r w:rsidR="001F7ED5" w:rsidRPr="00FB3674">
        <w:t xml:space="preserve"> </w:t>
      </w:r>
      <w:r w:rsidRPr="00FB3674">
        <w:t>Cases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Supreme</w:t>
      </w:r>
      <w:r w:rsidR="001F7ED5" w:rsidRPr="00FB3674">
        <w:t xml:space="preserve"> </w:t>
      </w:r>
      <w:r w:rsidRPr="00FB3674">
        <w:t>Court</w:t>
      </w:r>
      <w:r w:rsidR="001F7ED5" w:rsidRPr="00FB3674">
        <w:t xml:space="preserve"> </w:t>
      </w:r>
      <w:r w:rsidRPr="00FB3674">
        <w:t>and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Supreme</w:t>
      </w:r>
      <w:r w:rsidR="001F7ED5" w:rsidRPr="00FB3674">
        <w:t xml:space="preserve"> </w:t>
      </w:r>
      <w:r w:rsidRPr="00FB3674">
        <w:t>Court,</w:t>
      </w:r>
      <w:r w:rsidR="001F7ED5" w:rsidRPr="00FB3674">
        <w:t xml:space="preserve"> </w:t>
      </w:r>
      <w:r w:rsidRPr="00FB3674">
        <w:t>acting</w:t>
      </w:r>
      <w:r w:rsidR="001F7ED5" w:rsidRPr="00FB3674">
        <w:t xml:space="preserve"> </w:t>
      </w:r>
      <w:r w:rsidRPr="00FB3674">
        <w:t>as</w:t>
      </w:r>
      <w:r w:rsidR="001F7ED5" w:rsidRPr="00FB3674">
        <w:t xml:space="preserve"> </w:t>
      </w:r>
      <w:r w:rsidRPr="00FB3674">
        <w:t>a</w:t>
      </w:r>
      <w:r w:rsidR="001F7ED5" w:rsidRPr="00FB3674">
        <w:t xml:space="preserve"> </w:t>
      </w:r>
      <w:r w:rsidRPr="00FB3674">
        <w:t>cassation</w:t>
      </w:r>
      <w:r w:rsidR="001F7ED5" w:rsidRPr="00FB3674">
        <w:t xml:space="preserve"> </w:t>
      </w:r>
      <w:r w:rsidRPr="00FB3674">
        <w:t>instance,</w:t>
      </w:r>
      <w:r w:rsidR="001F7ED5" w:rsidRPr="00FB3674">
        <w:t xml:space="preserve"> </w:t>
      </w:r>
      <w:r w:rsidRPr="00FB3674">
        <w:t>had</w:t>
      </w:r>
      <w:r w:rsidR="001F7ED5" w:rsidRPr="00FB3674">
        <w:t xml:space="preserve"> </w:t>
      </w:r>
      <w:r w:rsidRPr="00FB3674">
        <w:t>already</w:t>
      </w:r>
      <w:r w:rsidR="001F7ED5" w:rsidRPr="00FB3674">
        <w:t xml:space="preserve"> </w:t>
      </w:r>
      <w:r w:rsidRPr="00FB3674">
        <w:t>emphasized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right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disclosure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defence</w:t>
      </w:r>
      <w:r w:rsidR="001F7ED5" w:rsidRPr="00FB3674">
        <w:t xml:space="preserve"> </w:t>
      </w:r>
      <w:r w:rsidRPr="00FB3674">
        <w:t>was</w:t>
      </w:r>
      <w:r w:rsidR="001F7ED5" w:rsidRPr="00FB3674">
        <w:t xml:space="preserve"> </w:t>
      </w:r>
      <w:r w:rsidRPr="00FB3674">
        <w:t>not</w:t>
      </w:r>
      <w:r w:rsidR="001F7ED5" w:rsidRPr="00FB3674">
        <w:t xml:space="preserve"> </w:t>
      </w:r>
      <w:r w:rsidRPr="00FB3674">
        <w:t>an</w:t>
      </w:r>
      <w:r w:rsidR="001F7ED5" w:rsidRPr="00FB3674">
        <w:t xml:space="preserve"> </w:t>
      </w:r>
      <w:r w:rsidRPr="00FB3674">
        <w:t>absolute</w:t>
      </w:r>
      <w:r w:rsidR="001F7ED5" w:rsidRPr="00FB3674">
        <w:t xml:space="preserve"> </w:t>
      </w:r>
      <w:r w:rsidRPr="00FB3674">
        <w:t>right</w:t>
      </w:r>
      <w:r w:rsidR="001F7ED5" w:rsidRPr="00FB3674">
        <w:t xml:space="preserve"> </w:t>
      </w:r>
      <w:r w:rsidRPr="00FB3674">
        <w:t>and</w:t>
      </w:r>
      <w:r w:rsidR="001F7ED5" w:rsidRPr="00FB3674">
        <w:t xml:space="preserve"> </w:t>
      </w:r>
      <w:r w:rsidRPr="00FB3674">
        <w:t>had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be</w:t>
      </w:r>
      <w:r w:rsidR="001F7ED5" w:rsidRPr="00FB3674">
        <w:t xml:space="preserve"> </w:t>
      </w:r>
      <w:r w:rsidRPr="00FB3674">
        <w:t>balanced</w:t>
      </w:r>
      <w:r w:rsidR="001F7ED5" w:rsidRPr="00FB3674">
        <w:t xml:space="preserve"> </w:t>
      </w:r>
      <w:r w:rsidRPr="00FB3674">
        <w:t>against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public</w:t>
      </w:r>
      <w:r w:rsidR="001F7ED5" w:rsidRPr="00FB3674">
        <w:t xml:space="preserve"> </w:t>
      </w:r>
      <w:r w:rsidRPr="00FB3674">
        <w:t>interest</w:t>
      </w:r>
      <w:r w:rsidR="001F7ED5" w:rsidRPr="00FB3674">
        <w:t xml:space="preserve"> </w:t>
      </w:r>
      <w:r w:rsidRPr="00FB3674">
        <w:t>and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need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protect</w:t>
      </w:r>
      <w:r w:rsidR="001F7ED5" w:rsidRPr="00FB3674">
        <w:t xml:space="preserve"> </w:t>
      </w:r>
      <w:r w:rsidRPr="00FB3674">
        <w:t>third</w:t>
      </w:r>
      <w:r w:rsidR="001F7ED5" w:rsidRPr="00FB3674">
        <w:t xml:space="preserve"> </w:t>
      </w:r>
      <w:r w:rsidRPr="00FB3674">
        <w:t>parties.</w:t>
      </w:r>
      <w:r w:rsidR="001F7ED5" w:rsidRPr="00FB3674">
        <w:t xml:space="preserve"> </w:t>
      </w:r>
      <w:r w:rsidRPr="00FB3674">
        <w:t>In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regard,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State</w:t>
      </w:r>
      <w:r w:rsidR="001F7ED5" w:rsidRPr="00FB3674">
        <w:t xml:space="preserve"> </w:t>
      </w:r>
      <w:r w:rsidRPr="00FB3674">
        <w:t>party</w:t>
      </w:r>
      <w:r w:rsidR="001F7ED5" w:rsidRPr="00FB3674">
        <w:t xml:space="preserve"> </w:t>
      </w:r>
      <w:r w:rsidRPr="00FB3674">
        <w:t>wishes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underline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interpretation</w:t>
      </w:r>
      <w:r w:rsidR="001F7ED5" w:rsidRPr="00FB3674">
        <w:t xml:space="preserve"> </w:t>
      </w:r>
      <w:r w:rsidRPr="00FB3674">
        <w:t>provided</w:t>
      </w:r>
      <w:r w:rsidR="001F7ED5" w:rsidRPr="00FB3674">
        <w:t xml:space="preserve"> </w:t>
      </w:r>
      <w:r w:rsidRPr="00FB3674">
        <w:t>by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domestic</w:t>
      </w:r>
      <w:r w:rsidR="001F7ED5" w:rsidRPr="00FB3674">
        <w:t xml:space="preserve"> </w:t>
      </w:r>
      <w:r w:rsidRPr="00FB3674">
        <w:t>judiciary</w:t>
      </w:r>
      <w:r w:rsidR="001F7ED5" w:rsidRPr="00FB3674">
        <w:t xml:space="preserve"> </w:t>
      </w:r>
      <w:r w:rsidRPr="00FB3674">
        <w:t>was</w:t>
      </w:r>
      <w:r w:rsidR="001F7ED5" w:rsidRPr="00FB3674">
        <w:t xml:space="preserve"> </w:t>
      </w:r>
      <w:r w:rsidRPr="00FB3674">
        <w:t>fully</w:t>
      </w:r>
      <w:r w:rsidR="001F7ED5" w:rsidRPr="00FB3674">
        <w:t xml:space="preserve"> </w:t>
      </w:r>
      <w:r w:rsidRPr="00FB3674">
        <w:t>consistent</w:t>
      </w:r>
      <w:r w:rsidR="001F7ED5" w:rsidRPr="00FB3674">
        <w:t xml:space="preserve"> </w:t>
      </w:r>
      <w:r w:rsidRPr="00FB3674">
        <w:t>with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approach</w:t>
      </w:r>
      <w:r w:rsidR="001F7ED5" w:rsidRPr="00FB3674">
        <w:t xml:space="preserve"> </w:t>
      </w:r>
      <w:r w:rsidRPr="00FB3674">
        <w:t>taken</w:t>
      </w:r>
      <w:r w:rsidR="001F7ED5" w:rsidRPr="00FB3674">
        <w:t xml:space="preserve"> </w:t>
      </w:r>
      <w:r w:rsidRPr="00FB3674">
        <w:t>by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Committee.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Supreme</w:t>
      </w:r>
      <w:r w:rsidR="001F7ED5" w:rsidRPr="00FB3674">
        <w:t xml:space="preserve"> </w:t>
      </w:r>
      <w:r w:rsidRPr="00FB3674">
        <w:t>Court</w:t>
      </w:r>
      <w:r w:rsidR="001F7ED5" w:rsidRPr="00FB3674">
        <w:t xml:space="preserve"> </w:t>
      </w:r>
      <w:r w:rsidRPr="00FB3674">
        <w:t>also</w:t>
      </w:r>
      <w:r w:rsidR="001F7ED5" w:rsidRPr="00FB3674">
        <w:t xml:space="preserve"> </w:t>
      </w:r>
      <w:r w:rsidRPr="00FB3674">
        <w:t>indicated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nature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specific</w:t>
      </w:r>
      <w:r w:rsidR="001F7ED5" w:rsidRPr="00FB3674">
        <w:t xml:space="preserve"> </w:t>
      </w:r>
      <w:r w:rsidRPr="00FB3674">
        <w:t>special</w:t>
      </w:r>
      <w:r w:rsidR="001F7ED5" w:rsidRPr="00FB3674">
        <w:t xml:space="preserve"> </w:t>
      </w:r>
      <w:r w:rsidRPr="00FB3674">
        <w:t>investigative</w:t>
      </w:r>
      <w:r w:rsidR="001F7ED5" w:rsidRPr="00FB3674">
        <w:t xml:space="preserve"> </w:t>
      </w:r>
      <w:r w:rsidRPr="00FB3674">
        <w:t>activities</w:t>
      </w:r>
      <w:r w:rsidR="001F7ED5" w:rsidRPr="00FB3674">
        <w:t xml:space="preserve"> </w:t>
      </w:r>
      <w:r w:rsidRPr="00FB3674">
        <w:t>warranted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restriction,</w:t>
      </w:r>
      <w:r w:rsidR="001F7ED5" w:rsidRPr="00FB3674">
        <w:t xml:space="preserve"> </w:t>
      </w:r>
      <w:r w:rsidRPr="00FB3674">
        <w:t>as</w:t>
      </w:r>
      <w:r w:rsidR="001F7ED5" w:rsidRPr="00FB3674">
        <w:t xml:space="preserve"> </w:t>
      </w:r>
      <w:r w:rsidRPr="00FB3674">
        <w:t>it</w:t>
      </w:r>
      <w:r w:rsidR="001F7ED5" w:rsidRPr="00FB3674">
        <w:t xml:space="preserve"> </w:t>
      </w:r>
      <w:r w:rsidRPr="00FB3674">
        <w:t>was</w:t>
      </w:r>
      <w:r w:rsidR="001F7ED5" w:rsidRPr="00FB3674">
        <w:t xml:space="preserve"> </w:t>
      </w:r>
      <w:r w:rsidRPr="00FB3674">
        <w:t>necessary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protect</w:t>
      </w:r>
      <w:r w:rsidR="001F7ED5" w:rsidRPr="00FB3674">
        <w:t xml:space="preserve"> </w:t>
      </w:r>
      <w:r w:rsidRPr="00FB3674">
        <w:t>those</w:t>
      </w:r>
      <w:r w:rsidR="001F7ED5" w:rsidRPr="00FB3674">
        <w:t xml:space="preserve"> </w:t>
      </w:r>
      <w:r w:rsidRPr="00FB3674">
        <w:t>cooperating</w:t>
      </w:r>
      <w:r w:rsidR="001F7ED5" w:rsidRPr="00FB3674">
        <w:t xml:space="preserve"> </w:t>
      </w:r>
      <w:r w:rsidRPr="00FB3674">
        <w:t>with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law</w:t>
      </w:r>
      <w:r w:rsidR="001F7ED5" w:rsidRPr="00FB3674">
        <w:t xml:space="preserve"> </w:t>
      </w:r>
      <w:r w:rsidRPr="00FB3674">
        <w:t>enforcement</w:t>
      </w:r>
      <w:r w:rsidR="001F7ED5" w:rsidRPr="00FB3674">
        <w:t xml:space="preserve"> </w:t>
      </w:r>
      <w:r w:rsidRPr="00FB3674">
        <w:t>agencies.</w:t>
      </w:r>
    </w:p>
    <w:p w14:paraId="51F2E1C3" w14:textId="2C4ADBF0" w:rsidR="005D5882" w:rsidRPr="00FB3674" w:rsidRDefault="005D5882" w:rsidP="005D5882">
      <w:pPr>
        <w:pStyle w:val="SingleTxtG"/>
      </w:pPr>
      <w:r w:rsidRPr="00FB3674">
        <w:t>6.9</w:t>
      </w:r>
      <w:r w:rsidRPr="00FB3674">
        <w:tab/>
        <w:t>The</w:t>
      </w:r>
      <w:r w:rsidR="001F7ED5" w:rsidRPr="00FB3674">
        <w:t xml:space="preserve"> </w:t>
      </w:r>
      <w:r w:rsidRPr="00FB3674">
        <w:t>State</w:t>
      </w:r>
      <w:r w:rsidR="001F7ED5" w:rsidRPr="00FB3674">
        <w:t xml:space="preserve"> </w:t>
      </w:r>
      <w:r w:rsidRPr="00FB3674">
        <w:t>party</w:t>
      </w:r>
      <w:r w:rsidR="001F7ED5" w:rsidRPr="00FB3674">
        <w:t xml:space="preserve"> </w:t>
      </w:r>
      <w:r w:rsidRPr="00FB3674">
        <w:t>recalls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issue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safeguards</w:t>
      </w:r>
      <w:r w:rsidR="001F7ED5" w:rsidRPr="00FB3674">
        <w:t xml:space="preserve"> </w:t>
      </w:r>
      <w:r w:rsidRPr="00FB3674">
        <w:t>has</w:t>
      </w:r>
      <w:r w:rsidR="001F7ED5" w:rsidRPr="00FB3674">
        <w:t xml:space="preserve"> </w:t>
      </w:r>
      <w:r w:rsidRPr="00FB3674">
        <w:t>been</w:t>
      </w:r>
      <w:r w:rsidR="001F7ED5" w:rsidRPr="00FB3674">
        <w:t xml:space="preserve"> </w:t>
      </w:r>
      <w:r w:rsidRPr="00FB3674">
        <w:t>already</w:t>
      </w:r>
      <w:r w:rsidR="001F7ED5" w:rsidRPr="00FB3674">
        <w:t xml:space="preserve"> </w:t>
      </w:r>
      <w:r w:rsidRPr="00FB3674">
        <w:t>addressed</w:t>
      </w:r>
      <w:r w:rsidR="001F7ED5" w:rsidRPr="00FB3674">
        <w:t xml:space="preserve"> </w:t>
      </w:r>
      <w:r w:rsidRPr="00FB3674">
        <w:t>by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Supreme</w:t>
      </w:r>
      <w:r w:rsidR="001F7ED5" w:rsidRPr="00FB3674">
        <w:t xml:space="preserve"> </w:t>
      </w:r>
      <w:r w:rsidRPr="00FB3674">
        <w:t>Court,</w:t>
      </w:r>
      <w:r w:rsidR="001F7ED5" w:rsidRPr="00FB3674">
        <w:t xml:space="preserve"> </w:t>
      </w:r>
      <w:r w:rsidRPr="00FB3674">
        <w:t>which</w:t>
      </w:r>
      <w:r w:rsidR="001F7ED5" w:rsidRPr="00FB3674">
        <w:t xml:space="preserve"> </w:t>
      </w:r>
      <w:r w:rsidRPr="00FB3674">
        <w:t>had</w:t>
      </w:r>
      <w:r w:rsidR="001F7ED5" w:rsidRPr="00FB3674">
        <w:t xml:space="preserve"> </w:t>
      </w:r>
      <w:r w:rsidRPr="00FB3674">
        <w:t>found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decision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rule</w:t>
      </w:r>
      <w:r w:rsidR="001F7ED5" w:rsidRPr="00FB3674">
        <w:t xml:space="preserve"> </w:t>
      </w:r>
      <w:r w:rsidRPr="00FB3674">
        <w:t>out</w:t>
      </w:r>
      <w:r w:rsidR="001F7ED5" w:rsidRPr="00FB3674">
        <w:t xml:space="preserve"> </w:t>
      </w:r>
      <w:r w:rsidRPr="00FB3674">
        <w:t>disclosure</w:t>
      </w:r>
      <w:r w:rsidR="001F7ED5" w:rsidRPr="00FB3674">
        <w:t xml:space="preserve"> </w:t>
      </w:r>
      <w:r w:rsidRPr="00FB3674">
        <w:t>was</w:t>
      </w:r>
      <w:r w:rsidR="001F7ED5" w:rsidRPr="00FB3674">
        <w:t xml:space="preserve"> </w:t>
      </w:r>
      <w:r w:rsidRPr="00FB3674">
        <w:t>not</w:t>
      </w:r>
      <w:r w:rsidR="001F7ED5" w:rsidRPr="00FB3674">
        <w:t xml:space="preserve"> </w:t>
      </w:r>
      <w:r w:rsidRPr="00FB3674">
        <w:t>adopted</w:t>
      </w:r>
      <w:r w:rsidR="001F7ED5" w:rsidRPr="00FB3674">
        <w:t xml:space="preserve"> </w:t>
      </w:r>
      <w:r w:rsidRPr="00FB3674">
        <w:t>in</w:t>
      </w:r>
      <w:r w:rsidR="001F7ED5" w:rsidRPr="00FB3674">
        <w:t xml:space="preserve"> </w:t>
      </w:r>
      <w:r w:rsidRPr="00FB3674">
        <w:t>an</w:t>
      </w:r>
      <w:r w:rsidR="001F7ED5" w:rsidRPr="00FB3674">
        <w:t xml:space="preserve"> </w:t>
      </w:r>
      <w:r w:rsidRPr="00FB3674">
        <w:t>arbitrary</w:t>
      </w:r>
      <w:r w:rsidR="001F7ED5" w:rsidRPr="00FB3674">
        <w:t xml:space="preserve"> </w:t>
      </w:r>
      <w:r w:rsidRPr="00FB3674">
        <w:t>manner.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domestic</w:t>
      </w:r>
      <w:r w:rsidR="001F7ED5" w:rsidRPr="00FB3674">
        <w:t xml:space="preserve"> </w:t>
      </w:r>
      <w:r w:rsidRPr="00FB3674">
        <w:t>court</w:t>
      </w:r>
      <w:r w:rsidR="001F7ED5" w:rsidRPr="00FB3674">
        <w:t xml:space="preserve"> </w:t>
      </w:r>
      <w:r w:rsidRPr="00FB3674">
        <w:t>had</w:t>
      </w:r>
      <w:r w:rsidR="001F7ED5" w:rsidRPr="00FB3674">
        <w:t xml:space="preserve"> </w:t>
      </w:r>
      <w:r w:rsidRPr="00FB3674">
        <w:t>duly</w:t>
      </w:r>
      <w:r w:rsidR="001F7ED5" w:rsidRPr="00FB3674">
        <w:t xml:space="preserve"> </w:t>
      </w:r>
      <w:r w:rsidRPr="00FB3674">
        <w:t>acquainted</w:t>
      </w:r>
      <w:r w:rsidR="001F7ED5" w:rsidRPr="00FB3674">
        <w:t xml:space="preserve"> </w:t>
      </w:r>
      <w:r w:rsidRPr="00FB3674">
        <w:t>itself</w:t>
      </w:r>
      <w:r w:rsidR="001F7ED5" w:rsidRPr="00FB3674">
        <w:t xml:space="preserve"> </w:t>
      </w:r>
      <w:r w:rsidRPr="00FB3674">
        <w:t>with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contents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disputed</w:t>
      </w:r>
      <w:r w:rsidR="001F7ED5" w:rsidRPr="00FB3674">
        <w:t xml:space="preserve"> </w:t>
      </w:r>
      <w:r w:rsidRPr="00FB3674">
        <w:t>confidential</w:t>
      </w:r>
      <w:r w:rsidR="001F7ED5" w:rsidRPr="00FB3674">
        <w:t xml:space="preserve"> </w:t>
      </w:r>
      <w:r w:rsidRPr="00FB3674">
        <w:t>case</w:t>
      </w:r>
      <w:r w:rsidR="001F7ED5" w:rsidRPr="00FB3674">
        <w:t xml:space="preserve"> </w:t>
      </w:r>
      <w:r w:rsidRPr="00FB3674">
        <w:t>files</w:t>
      </w:r>
      <w:r w:rsidR="001F7ED5" w:rsidRPr="00FB3674">
        <w:t xml:space="preserve"> </w:t>
      </w:r>
      <w:r w:rsidRPr="00FB3674">
        <w:t>prior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ruling</w:t>
      </w:r>
      <w:r w:rsidR="001F7ED5" w:rsidRPr="00FB3674">
        <w:t xml:space="preserve"> </w:t>
      </w:r>
      <w:r w:rsidRPr="00FB3674">
        <w:t>out</w:t>
      </w:r>
      <w:r w:rsidR="001F7ED5" w:rsidRPr="00FB3674">
        <w:t xml:space="preserve"> </w:t>
      </w:r>
      <w:r w:rsidRPr="00FB3674">
        <w:t>disclosure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defence</w:t>
      </w:r>
      <w:r w:rsidR="001F7ED5" w:rsidRPr="00FB3674">
        <w:t xml:space="preserve"> </w:t>
      </w:r>
      <w:r w:rsidRPr="00FB3674">
        <w:t>and</w:t>
      </w:r>
      <w:r w:rsidR="001F7ED5" w:rsidRPr="00FB3674">
        <w:t xml:space="preserve"> </w:t>
      </w:r>
      <w:r w:rsidRPr="00FB3674">
        <w:t>thus,</w:t>
      </w:r>
      <w:r w:rsidR="001F7ED5" w:rsidRPr="00FB3674">
        <w:t xml:space="preserve"> </w:t>
      </w:r>
      <w:r w:rsidRPr="00FB3674">
        <w:t>in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opinion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Supreme</w:t>
      </w:r>
      <w:r w:rsidR="001F7ED5" w:rsidRPr="00FB3674">
        <w:t xml:space="preserve"> </w:t>
      </w:r>
      <w:r w:rsidRPr="00FB3674">
        <w:t>Court,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Chamber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Criminal</w:t>
      </w:r>
      <w:r w:rsidR="001F7ED5" w:rsidRPr="00FB3674">
        <w:t xml:space="preserve"> </w:t>
      </w:r>
      <w:r w:rsidRPr="00FB3674">
        <w:t>Cases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Supreme</w:t>
      </w:r>
      <w:r w:rsidR="001F7ED5" w:rsidRPr="00FB3674">
        <w:t xml:space="preserve"> </w:t>
      </w:r>
      <w:r w:rsidRPr="00FB3674">
        <w:t>Court</w:t>
      </w:r>
      <w:r w:rsidR="001F7ED5" w:rsidRPr="00FB3674">
        <w:t xml:space="preserve"> </w:t>
      </w:r>
      <w:r w:rsidRPr="00FB3674">
        <w:t>was</w:t>
      </w:r>
      <w:r w:rsidR="001F7ED5" w:rsidRPr="00FB3674">
        <w:t xml:space="preserve"> </w:t>
      </w:r>
      <w:r w:rsidRPr="00FB3674">
        <w:t>in</w:t>
      </w:r>
      <w:r w:rsidR="001F7ED5" w:rsidRPr="00FB3674">
        <w:t xml:space="preserve"> </w:t>
      </w:r>
      <w:r w:rsidRPr="00FB3674">
        <w:t>a</w:t>
      </w:r>
      <w:r w:rsidR="001F7ED5" w:rsidRPr="00FB3674">
        <w:t xml:space="preserve"> </w:t>
      </w:r>
      <w:r w:rsidRPr="00FB3674">
        <w:t>position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adopt</w:t>
      </w:r>
      <w:r w:rsidR="001F7ED5" w:rsidRPr="00FB3674">
        <w:t xml:space="preserve"> </w:t>
      </w:r>
      <w:r w:rsidRPr="00FB3674">
        <w:t>a</w:t>
      </w:r>
      <w:r w:rsidR="001F7ED5" w:rsidRPr="00FB3674">
        <w:t xml:space="preserve"> </w:t>
      </w:r>
      <w:r w:rsidRPr="00FB3674">
        <w:t>well-informed</w:t>
      </w:r>
      <w:r w:rsidR="001F7ED5" w:rsidRPr="00FB3674">
        <w:t xml:space="preserve"> </w:t>
      </w:r>
      <w:r w:rsidRPr="00FB3674">
        <w:t>decision</w:t>
      </w:r>
      <w:r w:rsidR="001F7ED5" w:rsidRPr="00FB3674">
        <w:t xml:space="preserve"> </w:t>
      </w:r>
      <w:r w:rsidRPr="00FB3674">
        <w:t>on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subject</w:t>
      </w:r>
      <w:r w:rsidR="001F7ED5" w:rsidRPr="00FB3674">
        <w:t xml:space="preserve"> </w:t>
      </w:r>
      <w:r w:rsidRPr="00FB3674">
        <w:t>matter.</w:t>
      </w:r>
    </w:p>
    <w:p w14:paraId="5430D074" w14:textId="1326FDF7" w:rsidR="001F7ED5" w:rsidRPr="00FB3674" w:rsidRDefault="005D5882" w:rsidP="005D5882">
      <w:pPr>
        <w:pStyle w:val="SingleTxtG"/>
      </w:pPr>
      <w:r w:rsidRPr="00FB3674">
        <w:t>6.10</w:t>
      </w:r>
      <w:r w:rsidRPr="00FB3674">
        <w:tab/>
        <w:t>Concerning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right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be</w:t>
      </w:r>
      <w:r w:rsidR="001F7ED5" w:rsidRPr="00FB3674">
        <w:t xml:space="preserve"> </w:t>
      </w:r>
      <w:r w:rsidRPr="00FB3674">
        <w:t>presumed</w:t>
      </w:r>
      <w:r w:rsidR="001F7ED5" w:rsidRPr="00FB3674">
        <w:t xml:space="preserve"> </w:t>
      </w:r>
      <w:r w:rsidRPr="00FB3674">
        <w:t>innocent</w:t>
      </w:r>
      <w:r w:rsidR="001F7ED5" w:rsidRPr="00FB3674">
        <w:t xml:space="preserve"> </w:t>
      </w:r>
      <w:r w:rsidRPr="00FB3674">
        <w:t>until</w:t>
      </w:r>
      <w:r w:rsidR="001F7ED5" w:rsidRPr="00FB3674">
        <w:t xml:space="preserve"> </w:t>
      </w:r>
      <w:r w:rsidRPr="00FB3674">
        <w:t>proven</w:t>
      </w:r>
      <w:r w:rsidR="001F7ED5" w:rsidRPr="00FB3674">
        <w:t xml:space="preserve"> </w:t>
      </w:r>
      <w:r w:rsidRPr="00FB3674">
        <w:t>guilty,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State</w:t>
      </w:r>
      <w:r w:rsidR="001F7ED5" w:rsidRPr="00FB3674">
        <w:t xml:space="preserve"> </w:t>
      </w:r>
      <w:r w:rsidRPr="00FB3674">
        <w:t>party</w:t>
      </w:r>
      <w:r w:rsidR="001F7ED5" w:rsidRPr="00FB3674">
        <w:t xml:space="preserve"> </w:t>
      </w:r>
      <w:r w:rsidRPr="00FB3674">
        <w:t>recalls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Committee</w:t>
      </w:r>
      <w:r w:rsidR="001F7ED5" w:rsidRPr="00FB3674">
        <w:t xml:space="preserve"> </w:t>
      </w:r>
      <w:r w:rsidRPr="00FB3674">
        <w:t>does</w:t>
      </w:r>
      <w:r w:rsidR="001F7ED5" w:rsidRPr="00FB3674">
        <w:t xml:space="preserve"> </w:t>
      </w:r>
      <w:r w:rsidRPr="00FB3674">
        <w:t>not</w:t>
      </w:r>
      <w:r w:rsidR="001F7ED5" w:rsidRPr="00FB3674">
        <w:t xml:space="preserve"> </w:t>
      </w:r>
      <w:r w:rsidRPr="00FB3674">
        <w:t>accept</w:t>
      </w:r>
      <w:r w:rsidR="001F7ED5" w:rsidRPr="00FB3674">
        <w:t xml:space="preserve"> </w:t>
      </w:r>
      <w:r w:rsidRPr="00FB3674">
        <w:t>allegations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violations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are</w:t>
      </w:r>
      <w:r w:rsidR="001F7ED5" w:rsidRPr="00FB3674">
        <w:t xml:space="preserve"> </w:t>
      </w:r>
      <w:r w:rsidRPr="00FB3674">
        <w:t>couched</w:t>
      </w:r>
      <w:r w:rsidR="001F7ED5" w:rsidRPr="00FB3674">
        <w:t xml:space="preserve"> </w:t>
      </w:r>
      <w:r w:rsidRPr="00FB3674">
        <w:t>in</w:t>
      </w:r>
      <w:r w:rsidR="001F7ED5" w:rsidRPr="00FB3674">
        <w:t xml:space="preserve"> </w:t>
      </w:r>
      <w:r w:rsidRPr="00FB3674">
        <w:t>general</w:t>
      </w:r>
      <w:r w:rsidR="001F7ED5" w:rsidRPr="00FB3674">
        <w:t xml:space="preserve"> </w:t>
      </w:r>
      <w:r w:rsidRPr="00FB3674">
        <w:t>terms</w:t>
      </w:r>
      <w:r w:rsidR="001F7ED5" w:rsidRPr="00FB3674">
        <w:t xml:space="preserve"> </w:t>
      </w:r>
      <w:r w:rsidRPr="00FB3674">
        <w:t>without</w:t>
      </w:r>
      <w:r w:rsidR="001F7ED5" w:rsidRPr="00FB3674">
        <w:t xml:space="preserve"> </w:t>
      </w:r>
      <w:r w:rsidRPr="00FB3674">
        <w:t>mentioning</w:t>
      </w:r>
      <w:r w:rsidR="001F7ED5" w:rsidRPr="00FB3674">
        <w:t xml:space="preserve"> </w:t>
      </w:r>
      <w:r w:rsidRPr="00FB3674">
        <w:t>specific</w:t>
      </w:r>
      <w:r w:rsidR="001F7ED5" w:rsidRPr="00FB3674">
        <w:t xml:space="preserve"> </w:t>
      </w:r>
      <w:r w:rsidRPr="00FB3674">
        <w:t>incidents.</w:t>
      </w:r>
      <w:r w:rsidRPr="00FB3674">
        <w:rPr>
          <w:rStyle w:val="FootnoteReference"/>
        </w:rPr>
        <w:footnoteReference w:id="14"/>
      </w:r>
      <w:r w:rsidR="001F7ED5" w:rsidRPr="00FB3674">
        <w:rPr>
          <w:vertAlign w:val="superscript"/>
        </w:rPr>
        <w:t xml:space="preserve"> </w:t>
      </w:r>
      <w:r w:rsidRPr="00FB3674">
        <w:t>The</w:t>
      </w:r>
      <w:r w:rsidR="001F7ED5" w:rsidRPr="00FB3674">
        <w:t xml:space="preserve"> </w:t>
      </w:r>
      <w:r w:rsidRPr="00FB3674">
        <w:t>State</w:t>
      </w:r>
      <w:r w:rsidR="001F7ED5" w:rsidRPr="00FB3674">
        <w:t xml:space="preserve"> </w:t>
      </w:r>
      <w:r w:rsidRPr="00FB3674">
        <w:t>party</w:t>
      </w:r>
      <w:r w:rsidR="001F7ED5" w:rsidRPr="00FB3674">
        <w:t xml:space="preserve"> </w:t>
      </w:r>
      <w:r w:rsidRPr="00FB3674">
        <w:t>maintains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mere</w:t>
      </w:r>
      <w:r w:rsidR="001F7ED5" w:rsidRPr="00FB3674">
        <w:t xml:space="preserve"> </w:t>
      </w:r>
      <w:r w:rsidRPr="00FB3674">
        <w:t>fact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domestic</w:t>
      </w:r>
      <w:r w:rsidR="001F7ED5" w:rsidRPr="00FB3674">
        <w:t xml:space="preserve"> </w:t>
      </w:r>
      <w:r w:rsidRPr="00FB3674">
        <w:t>courts</w:t>
      </w:r>
      <w:r w:rsidR="001F7ED5" w:rsidRPr="00FB3674">
        <w:t xml:space="preserve"> </w:t>
      </w:r>
      <w:r w:rsidRPr="00FB3674">
        <w:t>disagreed</w:t>
      </w:r>
      <w:r w:rsidR="001F7ED5" w:rsidRPr="00FB3674">
        <w:t xml:space="preserve"> </w:t>
      </w:r>
      <w:r w:rsidRPr="00FB3674">
        <w:t>with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author</w:t>
      </w:r>
      <w:r w:rsidR="00FB3674">
        <w:t>’</w:t>
      </w:r>
      <w:r w:rsidRPr="00FB3674">
        <w:t>s</w:t>
      </w:r>
      <w:r w:rsidR="001F7ED5" w:rsidRPr="00FB3674">
        <w:t xml:space="preserve"> </w:t>
      </w:r>
      <w:r w:rsidRPr="00FB3674">
        <w:t>interpretation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events</w:t>
      </w:r>
      <w:r w:rsidR="001F7ED5" w:rsidRPr="00FB3674">
        <w:t xml:space="preserve"> </w:t>
      </w:r>
      <w:r w:rsidRPr="00FB3674">
        <w:t>at</w:t>
      </w:r>
      <w:r w:rsidR="001F7ED5" w:rsidRPr="00FB3674">
        <w:t xml:space="preserve"> </w:t>
      </w:r>
      <w:r w:rsidRPr="00FB3674">
        <w:t>issue</w:t>
      </w:r>
      <w:r w:rsidR="001F7ED5" w:rsidRPr="00FB3674">
        <w:t xml:space="preserve"> </w:t>
      </w:r>
      <w:r w:rsidRPr="00FB3674">
        <w:t>cannot</w:t>
      </w:r>
      <w:r w:rsidR="001F7ED5" w:rsidRPr="00FB3674">
        <w:t xml:space="preserve"> </w:t>
      </w:r>
      <w:r w:rsidRPr="00FB3674">
        <w:t>in</w:t>
      </w:r>
      <w:r w:rsidR="001F7ED5" w:rsidRPr="00FB3674">
        <w:t xml:space="preserve"> </w:t>
      </w:r>
      <w:r w:rsidRPr="00FB3674">
        <w:t>itself</w:t>
      </w:r>
      <w:r w:rsidR="001F7ED5" w:rsidRPr="00FB3674">
        <w:t xml:space="preserve"> </w:t>
      </w:r>
      <w:r w:rsidRPr="00FB3674">
        <w:t>substantiate</w:t>
      </w:r>
      <w:r w:rsidR="001F7ED5" w:rsidRPr="00FB3674">
        <w:t xml:space="preserve"> </w:t>
      </w:r>
      <w:r w:rsidRPr="00FB3674">
        <w:t>and</w:t>
      </w:r>
      <w:r w:rsidR="001F7ED5" w:rsidRPr="00FB3674">
        <w:t xml:space="preserve"> </w:t>
      </w:r>
      <w:r w:rsidRPr="00FB3674">
        <w:t>constitute</w:t>
      </w:r>
      <w:r w:rsidR="001F7ED5" w:rsidRPr="00FB3674">
        <w:t xml:space="preserve"> </w:t>
      </w:r>
      <w:r w:rsidRPr="00FB3674">
        <w:t>a</w:t>
      </w:r>
      <w:r w:rsidR="001F7ED5" w:rsidRPr="00FB3674">
        <w:t xml:space="preserve"> </w:t>
      </w:r>
      <w:r w:rsidRPr="00FB3674">
        <w:t>violation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article</w:t>
      </w:r>
      <w:r w:rsidR="001F7ED5" w:rsidRPr="00FB3674">
        <w:t xml:space="preserve"> </w:t>
      </w:r>
      <w:r w:rsidRPr="00FB3674">
        <w:t>14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Covenant.</w:t>
      </w:r>
      <w:r w:rsidRPr="00FB3674">
        <w:rPr>
          <w:rStyle w:val="FootnoteReference"/>
        </w:rPr>
        <w:footnoteReference w:id="15"/>
      </w:r>
      <w:r w:rsidR="001F7ED5" w:rsidRPr="00FB3674">
        <w:t xml:space="preserve"> </w:t>
      </w:r>
      <w:r w:rsidRPr="00FB3674">
        <w:t>In</w:t>
      </w:r>
      <w:r w:rsidR="001F7ED5" w:rsidRPr="00FB3674">
        <w:t xml:space="preserve"> </w:t>
      </w:r>
      <w:r w:rsidRPr="00FB3674">
        <w:t>this</w:t>
      </w:r>
      <w:r w:rsidR="001F7ED5" w:rsidRPr="00FB3674">
        <w:t xml:space="preserve"> </w:t>
      </w:r>
      <w:r w:rsidRPr="00FB3674">
        <w:t>context,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reasoning</w:t>
      </w:r>
      <w:r w:rsidR="001F7ED5" w:rsidRPr="00FB3674">
        <w:t xml:space="preserve"> </w:t>
      </w:r>
      <w:r w:rsidRPr="00FB3674">
        <w:t>used</w:t>
      </w:r>
      <w:r w:rsidR="001F7ED5" w:rsidRPr="00FB3674">
        <w:t xml:space="preserve"> </w:t>
      </w:r>
      <w:r w:rsidRPr="00FB3674">
        <w:t>by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domestic</w:t>
      </w:r>
      <w:r w:rsidR="001F7ED5" w:rsidRPr="00FB3674">
        <w:t xml:space="preserve"> </w:t>
      </w:r>
      <w:r w:rsidRPr="00FB3674">
        <w:t>courts</w:t>
      </w:r>
      <w:r w:rsidR="001F7ED5" w:rsidRPr="00FB3674">
        <w:t xml:space="preserve"> </w:t>
      </w:r>
      <w:r w:rsidRPr="00FB3674">
        <w:t>and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final</w:t>
      </w:r>
      <w:r w:rsidR="001F7ED5" w:rsidRPr="00FB3674">
        <w:t xml:space="preserve"> </w:t>
      </w:r>
      <w:r w:rsidRPr="00FB3674">
        <w:t>ruling</w:t>
      </w:r>
      <w:r w:rsidR="001F7ED5" w:rsidRPr="00FB3674">
        <w:t xml:space="preserve"> </w:t>
      </w:r>
      <w:r w:rsidRPr="00FB3674">
        <w:t>on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author</w:t>
      </w:r>
      <w:r w:rsidR="00FB3674">
        <w:t>’</w:t>
      </w:r>
      <w:r w:rsidRPr="00FB3674">
        <w:t>s</w:t>
      </w:r>
      <w:r w:rsidR="001F7ED5" w:rsidRPr="00FB3674">
        <w:t xml:space="preserve"> </w:t>
      </w:r>
      <w:r w:rsidRPr="00FB3674">
        <w:t>conviction</w:t>
      </w:r>
      <w:r w:rsidR="001F7ED5" w:rsidRPr="00FB3674">
        <w:t xml:space="preserve"> </w:t>
      </w:r>
      <w:r w:rsidRPr="00FB3674">
        <w:rPr>
          <w:iCs/>
        </w:rPr>
        <w:t>per</w:t>
      </w:r>
      <w:r w:rsidR="001F7ED5" w:rsidRPr="00FB3674">
        <w:rPr>
          <w:iCs/>
        </w:rPr>
        <w:t xml:space="preserve"> </w:t>
      </w:r>
      <w:r w:rsidRPr="00FB3674">
        <w:rPr>
          <w:iCs/>
        </w:rPr>
        <w:t>se</w:t>
      </w:r>
      <w:r w:rsidR="001F7ED5" w:rsidRPr="00FB3674">
        <w:rPr>
          <w:i/>
        </w:rPr>
        <w:t xml:space="preserve"> </w:t>
      </w:r>
      <w:r w:rsidRPr="00FB3674">
        <w:t>cannot</w:t>
      </w:r>
      <w:r w:rsidR="001F7ED5" w:rsidRPr="00FB3674">
        <w:t xml:space="preserve"> </w:t>
      </w:r>
      <w:r w:rsidRPr="00FB3674">
        <w:t>be</w:t>
      </w:r>
      <w:r w:rsidR="001F7ED5" w:rsidRPr="00FB3674">
        <w:t xml:space="preserve"> </w:t>
      </w:r>
      <w:r w:rsidRPr="00FB3674">
        <w:t>seen</w:t>
      </w:r>
      <w:r w:rsidR="001F7ED5" w:rsidRPr="00FB3674">
        <w:t xml:space="preserve"> </w:t>
      </w:r>
      <w:r w:rsidRPr="00FB3674">
        <w:t>as</w:t>
      </w:r>
      <w:r w:rsidR="001F7ED5" w:rsidRPr="00FB3674">
        <w:t xml:space="preserve"> </w:t>
      </w:r>
      <w:r w:rsidRPr="00FB3674">
        <w:t>amounting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a</w:t>
      </w:r>
      <w:r w:rsidR="001F7ED5" w:rsidRPr="00FB3674">
        <w:t xml:space="preserve"> </w:t>
      </w:r>
      <w:r w:rsidRPr="00FB3674">
        <w:t>denial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benefit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doubt.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State</w:t>
      </w:r>
      <w:r w:rsidR="001F7ED5" w:rsidRPr="00FB3674">
        <w:t xml:space="preserve"> </w:t>
      </w:r>
      <w:r w:rsidRPr="00FB3674">
        <w:t>party</w:t>
      </w:r>
      <w:r w:rsidR="001F7ED5" w:rsidRPr="00FB3674">
        <w:t xml:space="preserve"> </w:t>
      </w:r>
      <w:r w:rsidRPr="00FB3674">
        <w:t>concludes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domestic</w:t>
      </w:r>
      <w:r w:rsidR="001F7ED5" w:rsidRPr="00FB3674">
        <w:t xml:space="preserve"> </w:t>
      </w:r>
      <w:r w:rsidRPr="00FB3674">
        <w:t>courts</w:t>
      </w:r>
      <w:r w:rsidR="001F7ED5" w:rsidRPr="00FB3674">
        <w:t xml:space="preserve"> </w:t>
      </w:r>
      <w:r w:rsidRPr="00FB3674">
        <w:t>examined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criminal</w:t>
      </w:r>
      <w:r w:rsidR="001F7ED5" w:rsidRPr="00FB3674">
        <w:t xml:space="preserve"> </w:t>
      </w:r>
      <w:r w:rsidRPr="00FB3674">
        <w:t>case</w:t>
      </w:r>
      <w:r w:rsidR="001F7ED5" w:rsidRPr="00FB3674">
        <w:t xml:space="preserve"> </w:t>
      </w:r>
      <w:r w:rsidRPr="00FB3674">
        <w:t>in</w:t>
      </w:r>
      <w:r w:rsidR="001F7ED5" w:rsidRPr="00FB3674">
        <w:t xml:space="preserve"> </w:t>
      </w:r>
      <w:r w:rsidRPr="00FB3674">
        <w:t>depth,</w:t>
      </w:r>
      <w:r w:rsidR="001F7ED5" w:rsidRPr="00FB3674">
        <w:t xml:space="preserve"> </w:t>
      </w:r>
      <w:r w:rsidRPr="00FB3674">
        <w:t>both</w:t>
      </w:r>
      <w:r w:rsidR="001F7ED5" w:rsidRPr="00FB3674">
        <w:t xml:space="preserve"> </w:t>
      </w:r>
      <w:r w:rsidRPr="00FB3674">
        <w:t>on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lastRenderedPageBreak/>
        <w:t>basis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evidence</w:t>
      </w:r>
      <w:r w:rsidR="001F7ED5" w:rsidRPr="00FB3674">
        <w:t xml:space="preserve"> </w:t>
      </w:r>
      <w:r w:rsidRPr="00FB3674">
        <w:t>and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law,</w:t>
      </w:r>
      <w:r w:rsidR="001F7ED5" w:rsidRPr="00FB3674">
        <w:t xml:space="preserve"> </w:t>
      </w:r>
      <w:r w:rsidRPr="00FB3674">
        <w:t>in</w:t>
      </w:r>
      <w:r w:rsidR="001F7ED5" w:rsidRPr="00FB3674">
        <w:t xml:space="preserve"> </w:t>
      </w:r>
      <w:r w:rsidRPr="00FB3674">
        <w:t>order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exclude</w:t>
      </w:r>
      <w:r w:rsidR="001F7ED5" w:rsidRPr="00FB3674">
        <w:t xml:space="preserve"> </w:t>
      </w:r>
      <w:r w:rsidRPr="00FB3674">
        <w:t>any</w:t>
      </w:r>
      <w:r w:rsidR="001F7ED5" w:rsidRPr="00FB3674">
        <w:t xml:space="preserve"> </w:t>
      </w:r>
      <w:r w:rsidRPr="00FB3674">
        <w:t>reasonable</w:t>
      </w:r>
      <w:r w:rsidR="001F7ED5" w:rsidRPr="00FB3674">
        <w:t xml:space="preserve"> </w:t>
      </w:r>
      <w:r w:rsidRPr="00FB3674">
        <w:t>doubt</w:t>
      </w:r>
      <w:r w:rsidR="001F7ED5" w:rsidRPr="00FB3674">
        <w:t xml:space="preserve"> </w:t>
      </w:r>
      <w:r w:rsidRPr="00FB3674">
        <w:t>about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author</w:t>
      </w:r>
      <w:r w:rsidR="00FB3674">
        <w:t>’</w:t>
      </w:r>
      <w:r w:rsidRPr="00FB3674">
        <w:t>s</w:t>
      </w:r>
      <w:r w:rsidR="001F7ED5" w:rsidRPr="00FB3674">
        <w:t xml:space="preserve"> </w:t>
      </w:r>
      <w:r w:rsidRPr="00FB3674">
        <w:t>guilt.</w:t>
      </w:r>
    </w:p>
    <w:p w14:paraId="412FBDC2" w14:textId="2BA36449" w:rsidR="005D5882" w:rsidRPr="00FB3674" w:rsidRDefault="005D5882" w:rsidP="004A5C52">
      <w:pPr>
        <w:pStyle w:val="H23G"/>
      </w:pPr>
      <w:r w:rsidRPr="00FB3674">
        <w:tab/>
      </w:r>
      <w:r w:rsidRPr="00FB3674">
        <w:tab/>
        <w:t>Author</w:t>
      </w:r>
      <w:r w:rsidR="00FB3674">
        <w:t>’</w:t>
      </w:r>
      <w:r w:rsidRPr="00FB3674">
        <w:t>s</w:t>
      </w:r>
      <w:r w:rsidR="001F7ED5" w:rsidRPr="00FB3674">
        <w:t xml:space="preserve"> </w:t>
      </w:r>
      <w:r w:rsidRPr="00FB3674">
        <w:t>comments</w:t>
      </w:r>
      <w:r w:rsidR="001F7ED5" w:rsidRPr="00FB3674">
        <w:t xml:space="preserve"> </w:t>
      </w:r>
      <w:r w:rsidRPr="00FB3674">
        <w:t>on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State</w:t>
      </w:r>
      <w:r w:rsidR="001F7ED5" w:rsidRPr="00FB3674">
        <w:t xml:space="preserve"> </w:t>
      </w:r>
      <w:r w:rsidRPr="00FB3674">
        <w:t>party</w:t>
      </w:r>
      <w:r w:rsidR="00FB3674">
        <w:t>’</w:t>
      </w:r>
      <w:r w:rsidRPr="00FB3674">
        <w:t>s</w:t>
      </w:r>
      <w:r w:rsidR="001F7ED5" w:rsidRPr="00FB3674">
        <w:t xml:space="preserve"> </w:t>
      </w:r>
      <w:r w:rsidRPr="00FB3674">
        <w:t>observations</w:t>
      </w:r>
    </w:p>
    <w:p w14:paraId="5F8FA067" w14:textId="2AB75A9E" w:rsidR="005D5882" w:rsidRPr="00FB3674" w:rsidRDefault="005D5882" w:rsidP="005D5882">
      <w:pPr>
        <w:pStyle w:val="SingleTxtG"/>
      </w:pPr>
      <w:r w:rsidRPr="00FB3674">
        <w:t>7.</w:t>
      </w:r>
      <w:r w:rsidRPr="00FB3674">
        <w:tab/>
        <w:t>On</w:t>
      </w:r>
      <w:r w:rsidR="001F7ED5" w:rsidRPr="00FB3674">
        <w:t xml:space="preserve"> </w:t>
      </w:r>
      <w:r w:rsidRPr="00FB3674">
        <w:t>25</w:t>
      </w:r>
      <w:r w:rsidR="001F7ED5" w:rsidRPr="00FB3674">
        <w:t xml:space="preserve"> </w:t>
      </w:r>
      <w:r w:rsidRPr="00FB3674">
        <w:t>October</w:t>
      </w:r>
      <w:r w:rsidR="001F7ED5" w:rsidRPr="00FB3674">
        <w:t xml:space="preserve"> </w:t>
      </w:r>
      <w:r w:rsidRPr="00FB3674">
        <w:t>2018,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author</w:t>
      </w:r>
      <w:r w:rsidR="001F7ED5" w:rsidRPr="00FB3674">
        <w:t xml:space="preserve"> </w:t>
      </w:r>
      <w:r w:rsidRPr="00FB3674">
        <w:t>maintained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he</w:t>
      </w:r>
      <w:r w:rsidR="001F7ED5" w:rsidRPr="00FB3674">
        <w:t xml:space="preserve"> </w:t>
      </w:r>
      <w:r w:rsidRPr="00FB3674">
        <w:t>was</w:t>
      </w:r>
      <w:r w:rsidR="001F7ED5" w:rsidRPr="00FB3674">
        <w:t xml:space="preserve"> </w:t>
      </w:r>
      <w:r w:rsidRPr="00FB3674">
        <w:t>not</w:t>
      </w:r>
      <w:r w:rsidR="001F7ED5" w:rsidRPr="00FB3674">
        <w:t xml:space="preserve"> </w:t>
      </w:r>
      <w:r w:rsidRPr="00FB3674">
        <w:t>able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get</w:t>
      </w:r>
      <w:r w:rsidR="001F7ED5" w:rsidRPr="00FB3674">
        <w:t xml:space="preserve"> </w:t>
      </w:r>
      <w:r w:rsidRPr="00FB3674">
        <w:t>acquainted</w:t>
      </w:r>
      <w:r w:rsidR="001F7ED5" w:rsidRPr="00FB3674">
        <w:t xml:space="preserve"> </w:t>
      </w:r>
      <w:r w:rsidRPr="00FB3674">
        <w:t>with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classified</w:t>
      </w:r>
      <w:r w:rsidR="001F7ED5" w:rsidRPr="00FB3674">
        <w:t xml:space="preserve"> </w:t>
      </w:r>
      <w:r w:rsidRPr="00FB3674">
        <w:t>files</w:t>
      </w:r>
      <w:r w:rsidR="001F7ED5" w:rsidRPr="00FB3674">
        <w:t xml:space="preserve"> </w:t>
      </w:r>
      <w:r w:rsidRPr="00FB3674">
        <w:t>and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files</w:t>
      </w:r>
      <w:r w:rsidR="001F7ED5" w:rsidRPr="00FB3674">
        <w:t xml:space="preserve"> </w:t>
      </w:r>
      <w:r w:rsidRPr="00FB3674">
        <w:t>had</w:t>
      </w:r>
      <w:r w:rsidR="001F7ED5" w:rsidRPr="00FB3674">
        <w:t xml:space="preserve"> </w:t>
      </w:r>
      <w:r w:rsidRPr="00FB3674">
        <w:t>not</w:t>
      </w:r>
      <w:r w:rsidR="001F7ED5" w:rsidRPr="00FB3674">
        <w:t xml:space="preserve"> </w:t>
      </w:r>
      <w:r w:rsidRPr="00FB3674">
        <w:t>been</w:t>
      </w:r>
      <w:r w:rsidR="001F7ED5" w:rsidRPr="00FB3674">
        <w:t xml:space="preserve"> </w:t>
      </w:r>
      <w:r w:rsidRPr="00FB3674">
        <w:t>verified</w:t>
      </w:r>
      <w:r w:rsidR="001F7ED5" w:rsidRPr="00FB3674">
        <w:t xml:space="preserve"> </w:t>
      </w:r>
      <w:r w:rsidRPr="00FB3674">
        <w:t>by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domestic</w:t>
      </w:r>
      <w:r w:rsidR="001F7ED5" w:rsidRPr="00FB3674">
        <w:t xml:space="preserve"> </w:t>
      </w:r>
      <w:r w:rsidRPr="00FB3674">
        <w:t>courts,</w:t>
      </w:r>
      <w:r w:rsidR="001F7ED5" w:rsidRPr="00FB3674">
        <w:t xml:space="preserve"> </w:t>
      </w:r>
      <w:r w:rsidRPr="00FB3674">
        <w:t>which</w:t>
      </w:r>
      <w:r w:rsidR="001F7ED5" w:rsidRPr="00FB3674">
        <w:t xml:space="preserve"> </w:t>
      </w:r>
      <w:r w:rsidRPr="00FB3674">
        <w:t>had</w:t>
      </w:r>
      <w:r w:rsidR="001F7ED5" w:rsidRPr="00FB3674">
        <w:t xml:space="preserve"> </w:t>
      </w:r>
      <w:r w:rsidRPr="00FB3674">
        <w:t>failed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use</w:t>
      </w:r>
      <w:r w:rsidR="001F7ED5" w:rsidRPr="00FB3674">
        <w:t xml:space="preserve"> </w:t>
      </w:r>
      <w:r w:rsidRPr="00FB3674">
        <w:t>all</w:t>
      </w:r>
      <w:r w:rsidR="001F7ED5" w:rsidRPr="00FB3674">
        <w:t xml:space="preserve"> </w:t>
      </w:r>
      <w:r w:rsidRPr="00FB3674">
        <w:t>available</w:t>
      </w:r>
      <w:r w:rsidR="001F7ED5" w:rsidRPr="00FB3674">
        <w:t xml:space="preserve"> </w:t>
      </w:r>
      <w:r w:rsidRPr="00FB3674">
        <w:t>legal</w:t>
      </w:r>
      <w:r w:rsidR="001F7ED5" w:rsidRPr="00FB3674">
        <w:t xml:space="preserve"> </w:t>
      </w:r>
      <w:r w:rsidRPr="00FB3674">
        <w:t>options,</w:t>
      </w:r>
      <w:r w:rsidR="001F7ED5" w:rsidRPr="00FB3674">
        <w:t xml:space="preserve"> </w:t>
      </w:r>
      <w:r w:rsidRPr="00FB3674">
        <w:t>which</w:t>
      </w:r>
      <w:r w:rsidR="001F7ED5" w:rsidRPr="00FB3674">
        <w:t xml:space="preserve"> </w:t>
      </w:r>
      <w:r w:rsidRPr="00FB3674">
        <w:t>in</w:t>
      </w:r>
      <w:r w:rsidR="001F7ED5" w:rsidRPr="00FB3674">
        <w:t xml:space="preserve"> </w:t>
      </w:r>
      <w:r w:rsidRPr="00FB3674">
        <w:t>turn</w:t>
      </w:r>
      <w:r w:rsidR="001F7ED5" w:rsidRPr="00FB3674">
        <w:t xml:space="preserve"> </w:t>
      </w:r>
      <w:r w:rsidRPr="00FB3674">
        <w:t>would</w:t>
      </w:r>
      <w:r w:rsidR="001F7ED5" w:rsidRPr="00FB3674">
        <w:t xml:space="preserve"> </w:t>
      </w:r>
      <w:r w:rsidRPr="00FB3674">
        <w:t>have</w:t>
      </w:r>
      <w:r w:rsidR="001F7ED5" w:rsidRPr="00FB3674">
        <w:t xml:space="preserve"> </w:t>
      </w:r>
      <w:r w:rsidRPr="00FB3674">
        <w:t>allowed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author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exercise</w:t>
      </w:r>
      <w:r w:rsidR="001F7ED5" w:rsidRPr="00FB3674">
        <w:t xml:space="preserve"> </w:t>
      </w:r>
      <w:r w:rsidRPr="00FB3674">
        <w:t>his</w:t>
      </w:r>
      <w:r w:rsidR="001F7ED5" w:rsidRPr="00FB3674">
        <w:t xml:space="preserve"> </w:t>
      </w:r>
      <w:r w:rsidRPr="00FB3674">
        <w:t>right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defend</w:t>
      </w:r>
      <w:r w:rsidR="001F7ED5" w:rsidRPr="00FB3674">
        <w:t xml:space="preserve"> </w:t>
      </w:r>
      <w:r w:rsidRPr="00FB3674">
        <w:t>himself.</w:t>
      </w:r>
    </w:p>
    <w:p w14:paraId="240982F6" w14:textId="3BAD910E" w:rsidR="005D5882" w:rsidRPr="00FB3674" w:rsidRDefault="005D5882" w:rsidP="004A5C52">
      <w:pPr>
        <w:pStyle w:val="H23G"/>
      </w:pPr>
      <w:r w:rsidRPr="00FB3674">
        <w:tab/>
      </w:r>
      <w:r w:rsidRPr="00FB3674">
        <w:tab/>
        <w:t>Issues</w:t>
      </w:r>
      <w:r w:rsidR="001F7ED5" w:rsidRPr="00FB3674">
        <w:t xml:space="preserve"> </w:t>
      </w:r>
      <w:r w:rsidRPr="00FB3674">
        <w:t>and</w:t>
      </w:r>
      <w:r w:rsidR="001F7ED5" w:rsidRPr="00FB3674">
        <w:t xml:space="preserve"> </w:t>
      </w:r>
      <w:r w:rsidRPr="00FB3674">
        <w:t>proceedings</w:t>
      </w:r>
      <w:r w:rsidR="001F7ED5" w:rsidRPr="00FB3674">
        <w:t xml:space="preserve"> </w:t>
      </w:r>
      <w:r w:rsidRPr="00FB3674">
        <w:t>before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Committee</w:t>
      </w:r>
    </w:p>
    <w:p w14:paraId="1BF1CE4B" w14:textId="79C36ADB" w:rsidR="005D5882" w:rsidRPr="00FB3674" w:rsidRDefault="005D5882" w:rsidP="004A5C52">
      <w:pPr>
        <w:pStyle w:val="H4G"/>
      </w:pPr>
      <w:r w:rsidRPr="00FB3674">
        <w:tab/>
      </w:r>
      <w:r w:rsidRPr="00FB3674">
        <w:tab/>
        <w:t>Consideration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admissibility</w:t>
      </w:r>
    </w:p>
    <w:p w14:paraId="2683CC32" w14:textId="5D2272C8" w:rsidR="005D5882" w:rsidRPr="00FB3674" w:rsidRDefault="005D5882" w:rsidP="005D5882">
      <w:pPr>
        <w:pStyle w:val="SingleTxtG"/>
      </w:pPr>
      <w:r w:rsidRPr="00FB3674">
        <w:t>8.1</w:t>
      </w:r>
      <w:r w:rsidRPr="00FB3674">
        <w:tab/>
        <w:t>Before</w:t>
      </w:r>
      <w:r w:rsidR="001F7ED5" w:rsidRPr="00FB3674">
        <w:t xml:space="preserve"> </w:t>
      </w:r>
      <w:r w:rsidRPr="00FB3674">
        <w:t>considering</w:t>
      </w:r>
      <w:r w:rsidR="001F7ED5" w:rsidRPr="00FB3674">
        <w:t xml:space="preserve"> </w:t>
      </w:r>
      <w:r w:rsidRPr="00FB3674">
        <w:t>any</w:t>
      </w:r>
      <w:r w:rsidR="001F7ED5" w:rsidRPr="00FB3674">
        <w:t xml:space="preserve"> </w:t>
      </w:r>
      <w:r w:rsidRPr="00FB3674">
        <w:t>claim</w:t>
      </w:r>
      <w:r w:rsidR="001F7ED5" w:rsidRPr="00FB3674">
        <w:t xml:space="preserve"> </w:t>
      </w:r>
      <w:r w:rsidRPr="00FB3674">
        <w:t>contained</w:t>
      </w:r>
      <w:r w:rsidR="001F7ED5" w:rsidRPr="00FB3674">
        <w:t xml:space="preserve"> </w:t>
      </w:r>
      <w:r w:rsidRPr="00FB3674">
        <w:t>in</w:t>
      </w:r>
      <w:r w:rsidR="001F7ED5" w:rsidRPr="00FB3674">
        <w:t xml:space="preserve"> </w:t>
      </w:r>
      <w:r w:rsidRPr="00FB3674">
        <w:t>a</w:t>
      </w:r>
      <w:r w:rsidR="001F7ED5" w:rsidRPr="00FB3674">
        <w:t xml:space="preserve"> </w:t>
      </w:r>
      <w:r w:rsidRPr="00FB3674">
        <w:t>communication,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Committee</w:t>
      </w:r>
      <w:r w:rsidR="001F7ED5" w:rsidRPr="00FB3674">
        <w:t xml:space="preserve"> </w:t>
      </w:r>
      <w:r w:rsidRPr="00FB3674">
        <w:t>must</w:t>
      </w:r>
      <w:r w:rsidR="001F7ED5" w:rsidRPr="00FB3674">
        <w:t xml:space="preserve"> </w:t>
      </w:r>
      <w:r w:rsidRPr="00FB3674">
        <w:t>decide,</w:t>
      </w:r>
      <w:r w:rsidR="001F7ED5" w:rsidRPr="00FB3674">
        <w:t xml:space="preserve"> </w:t>
      </w:r>
      <w:r w:rsidRPr="00FB3674">
        <w:t>in</w:t>
      </w:r>
      <w:r w:rsidR="001F7ED5" w:rsidRPr="00FB3674">
        <w:t xml:space="preserve"> </w:t>
      </w:r>
      <w:r w:rsidRPr="00FB3674">
        <w:t>accordance</w:t>
      </w:r>
      <w:r w:rsidR="001F7ED5" w:rsidRPr="00FB3674">
        <w:t xml:space="preserve"> </w:t>
      </w:r>
      <w:r w:rsidRPr="00FB3674">
        <w:t>with</w:t>
      </w:r>
      <w:r w:rsidR="001F7ED5" w:rsidRPr="00FB3674">
        <w:t xml:space="preserve"> </w:t>
      </w:r>
      <w:r w:rsidRPr="00FB3674">
        <w:t>rule</w:t>
      </w:r>
      <w:r w:rsidR="001F7ED5" w:rsidRPr="00FB3674">
        <w:t xml:space="preserve"> </w:t>
      </w:r>
      <w:r w:rsidRPr="00FB3674">
        <w:t>97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its</w:t>
      </w:r>
      <w:r w:rsidR="001F7ED5" w:rsidRPr="00FB3674">
        <w:t xml:space="preserve"> </w:t>
      </w:r>
      <w:r w:rsidRPr="00FB3674">
        <w:t>rules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procedure,</w:t>
      </w:r>
      <w:r w:rsidR="001F7ED5" w:rsidRPr="00FB3674">
        <w:t xml:space="preserve"> </w:t>
      </w:r>
      <w:r w:rsidRPr="00FB3674">
        <w:t>whether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communication</w:t>
      </w:r>
      <w:r w:rsidR="001F7ED5" w:rsidRPr="00FB3674">
        <w:t xml:space="preserve"> </w:t>
      </w:r>
      <w:r w:rsidRPr="00FB3674">
        <w:t>is</w:t>
      </w:r>
      <w:r w:rsidR="001F7ED5" w:rsidRPr="00FB3674">
        <w:t xml:space="preserve"> </w:t>
      </w:r>
      <w:r w:rsidRPr="00FB3674">
        <w:t>admissible</w:t>
      </w:r>
      <w:r w:rsidR="001F7ED5" w:rsidRPr="00FB3674">
        <w:t xml:space="preserve"> </w:t>
      </w:r>
      <w:r w:rsidRPr="00FB3674">
        <w:t>under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Optional</w:t>
      </w:r>
      <w:r w:rsidR="001F7ED5" w:rsidRPr="00FB3674">
        <w:t xml:space="preserve"> </w:t>
      </w:r>
      <w:r w:rsidRPr="00FB3674">
        <w:t>Protocol.</w:t>
      </w:r>
    </w:p>
    <w:p w14:paraId="293D4F71" w14:textId="0E1CBA48" w:rsidR="005D5882" w:rsidRPr="00FB3674" w:rsidRDefault="005D5882" w:rsidP="005D5882">
      <w:pPr>
        <w:pStyle w:val="SingleTxtG"/>
      </w:pPr>
      <w:r w:rsidRPr="00FB3674">
        <w:t>8.2</w:t>
      </w:r>
      <w:r w:rsidRPr="00FB3674">
        <w:tab/>
        <w:t>The</w:t>
      </w:r>
      <w:r w:rsidR="001F7ED5" w:rsidRPr="00FB3674">
        <w:t xml:space="preserve"> </w:t>
      </w:r>
      <w:r w:rsidRPr="00FB3674">
        <w:t>Committee</w:t>
      </w:r>
      <w:r w:rsidR="001F7ED5" w:rsidRPr="00FB3674">
        <w:t xml:space="preserve"> </w:t>
      </w:r>
      <w:r w:rsidRPr="00FB3674">
        <w:t>takes</w:t>
      </w:r>
      <w:r w:rsidR="001F7ED5" w:rsidRPr="00FB3674">
        <w:t xml:space="preserve"> </w:t>
      </w:r>
      <w:r w:rsidRPr="00FB3674">
        <w:t>note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State</w:t>
      </w:r>
      <w:r w:rsidR="001F7ED5" w:rsidRPr="00FB3674">
        <w:t xml:space="preserve"> </w:t>
      </w:r>
      <w:r w:rsidRPr="00FB3674">
        <w:t>party</w:t>
      </w:r>
      <w:r w:rsidR="00FB3674">
        <w:t>’</w:t>
      </w:r>
      <w:r w:rsidRPr="00FB3674">
        <w:t>s</w:t>
      </w:r>
      <w:r w:rsidR="001F7ED5" w:rsidRPr="00FB3674">
        <w:t xml:space="preserve"> </w:t>
      </w:r>
      <w:r w:rsidRPr="00FB3674">
        <w:t>submission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complaint</w:t>
      </w:r>
      <w:r w:rsidR="001F7ED5" w:rsidRPr="00FB3674">
        <w:t xml:space="preserve"> </w:t>
      </w:r>
      <w:r w:rsidRPr="00FB3674">
        <w:t>should</w:t>
      </w:r>
      <w:r w:rsidR="001F7ED5" w:rsidRPr="00FB3674">
        <w:t xml:space="preserve"> </w:t>
      </w:r>
      <w:r w:rsidRPr="00FB3674">
        <w:t>be</w:t>
      </w:r>
      <w:r w:rsidR="001F7ED5" w:rsidRPr="00FB3674">
        <w:t xml:space="preserve"> </w:t>
      </w:r>
      <w:r w:rsidRPr="00FB3674">
        <w:t>declared</w:t>
      </w:r>
      <w:r w:rsidR="001F7ED5" w:rsidRPr="00FB3674">
        <w:t xml:space="preserve"> </w:t>
      </w:r>
      <w:r w:rsidRPr="00FB3674">
        <w:t>inadmissible</w:t>
      </w:r>
      <w:r w:rsidR="001F7ED5" w:rsidRPr="00FB3674">
        <w:t xml:space="preserve"> </w:t>
      </w:r>
      <w:r w:rsidRPr="00FB3674">
        <w:t>as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same</w:t>
      </w:r>
      <w:r w:rsidR="001F7ED5" w:rsidRPr="00FB3674">
        <w:t xml:space="preserve"> </w:t>
      </w:r>
      <w:r w:rsidRPr="00FB3674">
        <w:t>matter</w:t>
      </w:r>
      <w:r w:rsidR="001F7ED5" w:rsidRPr="00FB3674">
        <w:t xml:space="preserve"> </w:t>
      </w:r>
      <w:r w:rsidRPr="00FB3674">
        <w:t>has</w:t>
      </w:r>
      <w:r w:rsidR="001F7ED5" w:rsidRPr="00FB3674">
        <w:t xml:space="preserve"> </w:t>
      </w:r>
      <w:r w:rsidRPr="00FB3674">
        <w:t>been</w:t>
      </w:r>
      <w:r w:rsidR="001F7ED5" w:rsidRPr="00FB3674">
        <w:t xml:space="preserve"> </w:t>
      </w:r>
      <w:r w:rsidRPr="00FB3674">
        <w:t>examined</w:t>
      </w:r>
      <w:r w:rsidR="001F7ED5" w:rsidRPr="00FB3674">
        <w:t xml:space="preserve"> </w:t>
      </w:r>
      <w:r w:rsidRPr="00FB3674">
        <w:t>under</w:t>
      </w:r>
      <w:r w:rsidR="001F7ED5" w:rsidRPr="00FB3674">
        <w:t xml:space="preserve"> </w:t>
      </w:r>
      <w:r w:rsidRPr="00FB3674">
        <w:t>another</w:t>
      </w:r>
      <w:r w:rsidR="001F7ED5" w:rsidRPr="00FB3674">
        <w:t xml:space="preserve"> </w:t>
      </w:r>
      <w:r w:rsidRPr="00FB3674">
        <w:t>procedure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international</w:t>
      </w:r>
      <w:r w:rsidR="001F7ED5" w:rsidRPr="00FB3674">
        <w:t xml:space="preserve"> </w:t>
      </w:r>
      <w:r w:rsidRPr="00FB3674">
        <w:t>settlement,</w:t>
      </w:r>
      <w:r w:rsidR="001F7ED5" w:rsidRPr="00FB3674">
        <w:t xml:space="preserve"> </w:t>
      </w:r>
      <w:r w:rsidRPr="00FB3674">
        <w:t>namely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European</w:t>
      </w:r>
      <w:r w:rsidR="001F7ED5" w:rsidRPr="00FB3674">
        <w:t xml:space="preserve"> </w:t>
      </w:r>
      <w:r w:rsidRPr="00FB3674">
        <w:t>Court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Human</w:t>
      </w:r>
      <w:r w:rsidR="001F7ED5" w:rsidRPr="00FB3674">
        <w:t xml:space="preserve"> </w:t>
      </w:r>
      <w:r w:rsidRPr="00FB3674">
        <w:t>Rights.</w:t>
      </w:r>
      <w:r w:rsidR="001F7ED5" w:rsidRPr="00FB3674">
        <w:t xml:space="preserve"> </w:t>
      </w:r>
      <w:r w:rsidRPr="00FB3674">
        <w:t>It</w:t>
      </w:r>
      <w:r w:rsidR="001F7ED5" w:rsidRPr="00FB3674">
        <w:t xml:space="preserve"> </w:t>
      </w:r>
      <w:r w:rsidRPr="00FB3674">
        <w:t>notes</w:t>
      </w:r>
      <w:r w:rsidR="001F7ED5" w:rsidRPr="00FB3674">
        <w:t xml:space="preserve"> </w:t>
      </w:r>
      <w:r w:rsidRPr="00FB3674">
        <w:t>that,</w:t>
      </w:r>
      <w:r w:rsidR="001F7ED5" w:rsidRPr="00FB3674">
        <w:t xml:space="preserve"> </w:t>
      </w:r>
      <w:r w:rsidRPr="00FB3674">
        <w:t>when</w:t>
      </w:r>
      <w:r w:rsidR="001F7ED5" w:rsidRPr="00FB3674">
        <w:t xml:space="preserve"> </w:t>
      </w:r>
      <w:r w:rsidRPr="00FB3674">
        <w:t>it</w:t>
      </w:r>
      <w:r w:rsidR="001F7ED5" w:rsidRPr="00FB3674">
        <w:t xml:space="preserve"> </w:t>
      </w:r>
      <w:r w:rsidRPr="00FB3674">
        <w:t>acceded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Optional</w:t>
      </w:r>
      <w:r w:rsidR="001F7ED5" w:rsidRPr="00FB3674">
        <w:t xml:space="preserve"> </w:t>
      </w:r>
      <w:r w:rsidRPr="00FB3674">
        <w:t>Protocol,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State</w:t>
      </w:r>
      <w:r w:rsidR="001F7ED5" w:rsidRPr="00FB3674">
        <w:t xml:space="preserve"> </w:t>
      </w:r>
      <w:r w:rsidRPr="00FB3674">
        <w:t>party</w:t>
      </w:r>
      <w:r w:rsidR="001F7ED5" w:rsidRPr="00FB3674">
        <w:t xml:space="preserve"> </w:t>
      </w:r>
      <w:r w:rsidRPr="00FB3674">
        <w:t>did</w:t>
      </w:r>
      <w:r w:rsidR="001F7ED5" w:rsidRPr="00FB3674">
        <w:t xml:space="preserve"> </w:t>
      </w:r>
      <w:r w:rsidRPr="00FB3674">
        <w:t>not</w:t>
      </w:r>
      <w:r w:rsidR="001F7ED5" w:rsidRPr="00FB3674">
        <w:t xml:space="preserve"> </w:t>
      </w:r>
      <w:r w:rsidRPr="00FB3674">
        <w:t>make</w:t>
      </w:r>
      <w:r w:rsidR="001F7ED5" w:rsidRPr="00FB3674">
        <w:t xml:space="preserve"> </w:t>
      </w:r>
      <w:r w:rsidRPr="00FB3674">
        <w:t>a</w:t>
      </w:r>
      <w:r w:rsidR="001F7ED5" w:rsidRPr="00FB3674">
        <w:t xml:space="preserve"> </w:t>
      </w:r>
      <w:r w:rsidRPr="00FB3674">
        <w:t>declaration,</w:t>
      </w:r>
      <w:r w:rsidR="001F7ED5" w:rsidRPr="00FB3674">
        <w:t xml:space="preserve"> </w:t>
      </w:r>
      <w:r w:rsidRPr="00FB3674">
        <w:t>inter</w:t>
      </w:r>
      <w:r w:rsidR="001F7ED5" w:rsidRPr="00FB3674">
        <w:t xml:space="preserve"> </w:t>
      </w:r>
      <w:r w:rsidRPr="00FB3674">
        <w:t>alia,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reflect</w:t>
      </w:r>
      <w:r w:rsidR="001F7ED5" w:rsidRPr="00FB3674">
        <w:t xml:space="preserve"> </w:t>
      </w:r>
      <w:r w:rsidRPr="00FB3674">
        <w:t>its</w:t>
      </w:r>
      <w:r w:rsidR="001F7ED5" w:rsidRPr="00FB3674">
        <w:t xml:space="preserve"> </w:t>
      </w:r>
      <w:r w:rsidRPr="00FB3674">
        <w:t>position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Committee</w:t>
      </w:r>
      <w:r w:rsidR="001F7ED5" w:rsidRPr="00FB3674">
        <w:t xml:space="preserve"> </w:t>
      </w:r>
      <w:r w:rsidRPr="00FB3674">
        <w:t>should</w:t>
      </w:r>
      <w:r w:rsidR="001F7ED5" w:rsidRPr="00FB3674">
        <w:t xml:space="preserve"> </w:t>
      </w:r>
      <w:r w:rsidRPr="00FB3674">
        <w:t>not</w:t>
      </w:r>
      <w:r w:rsidR="001F7ED5" w:rsidRPr="00FB3674">
        <w:t xml:space="preserve"> </w:t>
      </w:r>
      <w:r w:rsidRPr="00FB3674">
        <w:t>consider</w:t>
      </w:r>
      <w:r w:rsidR="001F7ED5" w:rsidRPr="00FB3674">
        <w:t xml:space="preserve"> </w:t>
      </w:r>
      <w:r w:rsidRPr="00FB3674">
        <w:t>any</w:t>
      </w:r>
      <w:r w:rsidR="001F7ED5" w:rsidRPr="00FB3674">
        <w:t xml:space="preserve"> </w:t>
      </w:r>
      <w:r w:rsidRPr="00FB3674">
        <w:t>communication</w:t>
      </w:r>
      <w:r w:rsidR="001F7ED5" w:rsidRPr="00FB3674">
        <w:t xml:space="preserve"> </w:t>
      </w:r>
      <w:r w:rsidRPr="00FB3674">
        <w:t>unless</w:t>
      </w:r>
      <w:r w:rsidR="001F7ED5" w:rsidRPr="00FB3674">
        <w:t xml:space="preserve"> </w:t>
      </w:r>
      <w:r w:rsidRPr="00FB3674">
        <w:t>it</w:t>
      </w:r>
      <w:r w:rsidR="001F7ED5" w:rsidRPr="00FB3674">
        <w:t xml:space="preserve"> </w:t>
      </w:r>
      <w:r w:rsidRPr="00FB3674">
        <w:t>has</w:t>
      </w:r>
      <w:r w:rsidR="001F7ED5" w:rsidRPr="00FB3674">
        <w:t xml:space="preserve"> </w:t>
      </w:r>
      <w:r w:rsidRPr="00FB3674">
        <w:t>been</w:t>
      </w:r>
      <w:r w:rsidR="001F7ED5" w:rsidRPr="00FB3674">
        <w:t xml:space="preserve"> </w:t>
      </w:r>
      <w:r w:rsidRPr="00FB3674">
        <w:t>ascertained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same</w:t>
      </w:r>
      <w:r w:rsidR="001F7ED5" w:rsidRPr="00FB3674">
        <w:t xml:space="preserve"> </w:t>
      </w:r>
      <w:r w:rsidRPr="00FB3674">
        <w:t>matter</w:t>
      </w:r>
      <w:r w:rsidR="001F7ED5" w:rsidRPr="00FB3674">
        <w:t xml:space="preserve"> </w:t>
      </w:r>
      <w:r w:rsidRPr="00FB3674">
        <w:t>is</w:t>
      </w:r>
      <w:r w:rsidR="001F7ED5" w:rsidRPr="00FB3674">
        <w:t xml:space="preserve"> </w:t>
      </w:r>
      <w:r w:rsidRPr="00FB3674">
        <w:t>not</w:t>
      </w:r>
      <w:r w:rsidR="001F7ED5" w:rsidRPr="00FB3674">
        <w:t xml:space="preserve"> </w:t>
      </w:r>
      <w:r w:rsidRPr="00FB3674">
        <w:t>being</w:t>
      </w:r>
      <w:r w:rsidR="001F7ED5" w:rsidRPr="00FB3674">
        <w:t xml:space="preserve"> </w:t>
      </w:r>
      <w:r w:rsidRPr="00FB3674">
        <w:t>examined</w:t>
      </w:r>
      <w:r w:rsidR="001F7ED5" w:rsidRPr="00FB3674">
        <w:t xml:space="preserve"> </w:t>
      </w:r>
      <w:r w:rsidRPr="00FB3674">
        <w:t>under</w:t>
      </w:r>
      <w:r w:rsidR="001F7ED5" w:rsidRPr="00FB3674">
        <w:t xml:space="preserve"> </w:t>
      </w:r>
      <w:r w:rsidRPr="00FB3674">
        <w:t>another</w:t>
      </w:r>
      <w:r w:rsidR="001F7ED5" w:rsidRPr="00FB3674">
        <w:t xml:space="preserve"> </w:t>
      </w:r>
      <w:r w:rsidRPr="00FB3674">
        <w:t>procedure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international</w:t>
      </w:r>
      <w:r w:rsidR="001F7ED5" w:rsidRPr="00FB3674">
        <w:t xml:space="preserve"> </w:t>
      </w:r>
      <w:r w:rsidRPr="00FB3674">
        <w:t>investigation</w:t>
      </w:r>
      <w:r w:rsidR="001F7ED5" w:rsidRPr="00FB3674">
        <w:t xml:space="preserve"> </w:t>
      </w:r>
      <w:r w:rsidRPr="00FB3674">
        <w:t>or</w:t>
      </w:r>
      <w:r w:rsidR="001F7ED5" w:rsidRPr="00FB3674">
        <w:t xml:space="preserve"> </w:t>
      </w:r>
      <w:r w:rsidRPr="00FB3674">
        <w:t>settlement.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Committee</w:t>
      </w:r>
      <w:r w:rsidR="001F7ED5" w:rsidRPr="00FB3674">
        <w:t xml:space="preserve"> </w:t>
      </w:r>
      <w:r w:rsidRPr="00FB3674">
        <w:t>observes,</w:t>
      </w:r>
      <w:r w:rsidR="001F7ED5" w:rsidRPr="00FB3674">
        <w:t xml:space="preserve"> </w:t>
      </w:r>
      <w:r w:rsidRPr="00FB3674">
        <w:t>however,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European</w:t>
      </w:r>
      <w:r w:rsidR="001F7ED5" w:rsidRPr="00FB3674">
        <w:t xml:space="preserve"> </w:t>
      </w:r>
      <w:r w:rsidRPr="00FB3674">
        <w:t>Court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Human</w:t>
      </w:r>
      <w:r w:rsidR="001F7ED5" w:rsidRPr="00FB3674">
        <w:t xml:space="preserve"> </w:t>
      </w:r>
      <w:r w:rsidRPr="00FB3674">
        <w:t>Rights</w:t>
      </w:r>
      <w:r w:rsidR="001F7ED5" w:rsidRPr="00FB3674">
        <w:t xml:space="preserve"> </w:t>
      </w:r>
      <w:r w:rsidRPr="00FB3674">
        <w:t>found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author</w:t>
      </w:r>
      <w:r w:rsidR="00FB3674">
        <w:t>’</w:t>
      </w:r>
      <w:r w:rsidRPr="00FB3674">
        <w:t>s</w:t>
      </w:r>
      <w:r w:rsidR="001F7ED5" w:rsidRPr="00FB3674">
        <w:t xml:space="preserve"> </w:t>
      </w:r>
      <w:r w:rsidRPr="00FB3674">
        <w:t>second</w:t>
      </w:r>
      <w:r w:rsidR="001F7ED5" w:rsidRPr="00FB3674">
        <w:rPr>
          <w:color w:val="FF0000"/>
        </w:rPr>
        <w:t xml:space="preserve"> </w:t>
      </w:r>
      <w:r w:rsidRPr="00FB3674">
        <w:t>complaint</w:t>
      </w:r>
      <w:r w:rsidR="001F7ED5" w:rsidRPr="00FB3674">
        <w:t xml:space="preserve"> </w:t>
      </w:r>
      <w:r w:rsidRPr="00FB3674">
        <w:t>inadmissible</w:t>
      </w:r>
      <w:r w:rsidR="001F7ED5" w:rsidRPr="00FB3674">
        <w:t xml:space="preserve"> </w:t>
      </w:r>
      <w:r w:rsidRPr="00FB3674">
        <w:t>in</w:t>
      </w:r>
      <w:r w:rsidR="001F7ED5" w:rsidRPr="00FB3674">
        <w:t xml:space="preserve"> </w:t>
      </w:r>
      <w:r w:rsidRPr="00FB3674">
        <w:t>December</w:t>
      </w:r>
      <w:r w:rsidR="001F7ED5" w:rsidRPr="00FB3674">
        <w:t xml:space="preserve"> </w:t>
      </w:r>
      <w:r w:rsidRPr="00FB3674">
        <w:t>2016.</w:t>
      </w:r>
      <w:r w:rsidR="001F7ED5" w:rsidRPr="00FB3674">
        <w:t xml:space="preserve"> </w:t>
      </w:r>
      <w:r w:rsidRPr="00FB3674">
        <w:t>Since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same</w:t>
      </w:r>
      <w:r w:rsidR="001F7ED5" w:rsidRPr="00FB3674">
        <w:t xml:space="preserve"> </w:t>
      </w:r>
      <w:r w:rsidRPr="00FB3674">
        <w:t>matter</w:t>
      </w:r>
      <w:r w:rsidR="001F7ED5" w:rsidRPr="00FB3674">
        <w:t xml:space="preserve"> </w:t>
      </w:r>
      <w:r w:rsidRPr="00FB3674">
        <w:t>is</w:t>
      </w:r>
      <w:r w:rsidR="001F7ED5" w:rsidRPr="00FB3674">
        <w:t xml:space="preserve"> </w:t>
      </w:r>
      <w:r w:rsidRPr="00FB3674">
        <w:t>not</w:t>
      </w:r>
      <w:r w:rsidR="001F7ED5" w:rsidRPr="00FB3674">
        <w:t xml:space="preserve"> </w:t>
      </w:r>
      <w:r w:rsidRPr="00FB3674">
        <w:t>currently</w:t>
      </w:r>
      <w:r w:rsidR="001F7ED5" w:rsidRPr="00FB3674">
        <w:t xml:space="preserve"> </w:t>
      </w:r>
      <w:r w:rsidRPr="00FB3674">
        <w:t>being</w:t>
      </w:r>
      <w:r w:rsidR="001F7ED5" w:rsidRPr="00FB3674">
        <w:t xml:space="preserve"> </w:t>
      </w:r>
      <w:r w:rsidRPr="00FB3674">
        <w:t>examined</w:t>
      </w:r>
      <w:r w:rsidR="001F7ED5" w:rsidRPr="00FB3674">
        <w:t xml:space="preserve"> </w:t>
      </w:r>
      <w:r w:rsidRPr="00FB3674">
        <w:t>under</w:t>
      </w:r>
      <w:r w:rsidR="001F7ED5" w:rsidRPr="00FB3674">
        <w:t xml:space="preserve"> </w:t>
      </w:r>
      <w:r w:rsidRPr="00FB3674">
        <w:t>another</w:t>
      </w:r>
      <w:r w:rsidR="001F7ED5" w:rsidRPr="00FB3674">
        <w:t xml:space="preserve"> </w:t>
      </w:r>
      <w:r w:rsidRPr="00FB3674">
        <w:t>procedure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international</w:t>
      </w:r>
      <w:r w:rsidR="001F7ED5" w:rsidRPr="00FB3674">
        <w:t xml:space="preserve"> </w:t>
      </w:r>
      <w:r w:rsidRPr="00FB3674">
        <w:t>investigation</w:t>
      </w:r>
      <w:r w:rsidR="001F7ED5" w:rsidRPr="00FB3674">
        <w:t xml:space="preserve"> </w:t>
      </w:r>
      <w:r w:rsidRPr="00FB3674">
        <w:t>or</w:t>
      </w:r>
      <w:r w:rsidR="001F7ED5" w:rsidRPr="00FB3674">
        <w:t xml:space="preserve"> </w:t>
      </w:r>
      <w:r w:rsidRPr="00FB3674">
        <w:t>settlement,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Committee</w:t>
      </w:r>
      <w:r w:rsidR="001F7ED5" w:rsidRPr="00FB3674">
        <w:t xml:space="preserve"> </w:t>
      </w:r>
      <w:r w:rsidRPr="00FB3674">
        <w:t>find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it</w:t>
      </w:r>
      <w:r w:rsidR="001F7ED5" w:rsidRPr="00FB3674">
        <w:t xml:space="preserve"> </w:t>
      </w:r>
      <w:r w:rsidRPr="00FB3674">
        <w:t>is</w:t>
      </w:r>
      <w:r w:rsidR="001F7ED5" w:rsidRPr="00FB3674">
        <w:t xml:space="preserve"> </w:t>
      </w:r>
      <w:r w:rsidRPr="00FB3674">
        <w:t>not</w:t>
      </w:r>
      <w:r w:rsidR="001F7ED5" w:rsidRPr="00FB3674">
        <w:t xml:space="preserve"> </w:t>
      </w:r>
      <w:r w:rsidRPr="00FB3674">
        <w:t>precluded</w:t>
      </w:r>
      <w:r w:rsidR="001F7ED5" w:rsidRPr="00FB3674">
        <w:t xml:space="preserve"> </w:t>
      </w:r>
      <w:r w:rsidRPr="00FB3674">
        <w:t>from</w:t>
      </w:r>
      <w:r w:rsidR="001F7ED5" w:rsidRPr="00FB3674">
        <w:t xml:space="preserve"> </w:t>
      </w:r>
      <w:r w:rsidRPr="00FB3674">
        <w:t>considering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author</w:t>
      </w:r>
      <w:r w:rsidR="00FB3674">
        <w:t>’</w:t>
      </w:r>
      <w:r w:rsidRPr="00FB3674">
        <w:t>s</w:t>
      </w:r>
      <w:r w:rsidR="001F7ED5" w:rsidRPr="00FB3674">
        <w:t xml:space="preserve"> </w:t>
      </w:r>
      <w:r w:rsidRPr="00FB3674">
        <w:t>complaint</w:t>
      </w:r>
      <w:r w:rsidR="001F7ED5" w:rsidRPr="00FB3674">
        <w:t xml:space="preserve"> </w:t>
      </w:r>
      <w:r w:rsidRPr="00FB3674">
        <w:t>under</w:t>
      </w:r>
      <w:r w:rsidR="001F7ED5" w:rsidRPr="00FB3674">
        <w:t xml:space="preserve"> </w:t>
      </w:r>
      <w:r w:rsidRPr="00FB3674">
        <w:t>article</w:t>
      </w:r>
      <w:r w:rsidR="001F7ED5" w:rsidRPr="00FB3674">
        <w:t xml:space="preserve"> </w:t>
      </w:r>
      <w:r w:rsidRPr="00FB3674">
        <w:t>5</w:t>
      </w:r>
      <w:r w:rsidR="001F7ED5" w:rsidRPr="00FB3674">
        <w:t xml:space="preserve"> </w:t>
      </w:r>
      <w:r w:rsidRPr="00FB3674">
        <w:t>(2)</w:t>
      </w:r>
      <w:r w:rsidR="001F7ED5" w:rsidRPr="00FB3674">
        <w:t xml:space="preserve"> </w:t>
      </w:r>
      <w:r w:rsidRPr="00FB3674">
        <w:t>(a)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Optional</w:t>
      </w:r>
      <w:r w:rsidR="001F7ED5" w:rsidRPr="00FB3674">
        <w:t xml:space="preserve"> </w:t>
      </w:r>
      <w:r w:rsidRPr="00FB3674">
        <w:t>Protocol.</w:t>
      </w:r>
    </w:p>
    <w:p w14:paraId="301D5B26" w14:textId="31676A48" w:rsidR="005D5882" w:rsidRPr="00FB3674" w:rsidRDefault="005D5882" w:rsidP="005D5882">
      <w:pPr>
        <w:pStyle w:val="SingleTxtG"/>
      </w:pPr>
      <w:r w:rsidRPr="00FB3674">
        <w:t>8.3</w:t>
      </w:r>
      <w:r w:rsidRPr="00FB3674">
        <w:tab/>
        <w:t>The</w:t>
      </w:r>
      <w:r w:rsidR="001F7ED5" w:rsidRPr="00FB3674">
        <w:t xml:space="preserve"> </w:t>
      </w:r>
      <w:r w:rsidRPr="00FB3674">
        <w:t>Committee</w:t>
      </w:r>
      <w:r w:rsidR="001F7ED5" w:rsidRPr="00FB3674">
        <w:t xml:space="preserve"> </w:t>
      </w:r>
      <w:r w:rsidRPr="00FB3674">
        <w:t>also</w:t>
      </w:r>
      <w:r w:rsidR="001F7ED5" w:rsidRPr="00FB3674">
        <w:t xml:space="preserve"> </w:t>
      </w:r>
      <w:r w:rsidRPr="00FB3674">
        <w:t>takes</w:t>
      </w:r>
      <w:r w:rsidR="001F7ED5" w:rsidRPr="00FB3674">
        <w:t xml:space="preserve"> </w:t>
      </w:r>
      <w:r w:rsidRPr="00FB3674">
        <w:t>note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State</w:t>
      </w:r>
      <w:r w:rsidR="001F7ED5" w:rsidRPr="00FB3674">
        <w:t xml:space="preserve"> </w:t>
      </w:r>
      <w:r w:rsidRPr="00FB3674">
        <w:t>party</w:t>
      </w:r>
      <w:r w:rsidR="00FB3674">
        <w:t>’</w:t>
      </w:r>
      <w:r w:rsidRPr="00FB3674">
        <w:t>s</w:t>
      </w:r>
      <w:r w:rsidR="001F7ED5" w:rsidRPr="00FB3674">
        <w:t xml:space="preserve"> </w:t>
      </w:r>
      <w:r w:rsidRPr="00FB3674">
        <w:t>argument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author</w:t>
      </w:r>
      <w:r w:rsidR="001F7ED5" w:rsidRPr="00FB3674">
        <w:t xml:space="preserve"> </w:t>
      </w:r>
      <w:r w:rsidRPr="00FB3674">
        <w:t>abused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right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submission</w:t>
      </w:r>
      <w:r w:rsidR="001F7ED5" w:rsidRPr="00FB3674">
        <w:t xml:space="preserve"> </w:t>
      </w:r>
      <w:r w:rsidRPr="00FB3674">
        <w:t>with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Committee</w:t>
      </w:r>
      <w:r w:rsidR="001F7ED5" w:rsidRPr="00FB3674">
        <w:t xml:space="preserve"> </w:t>
      </w:r>
      <w:r w:rsidRPr="00FB3674">
        <w:t>since</w:t>
      </w:r>
      <w:r w:rsidR="001F7ED5" w:rsidRPr="00FB3674">
        <w:t xml:space="preserve"> </w:t>
      </w:r>
      <w:r w:rsidRPr="00FB3674">
        <w:t>he</w:t>
      </w:r>
      <w:r w:rsidR="001F7ED5" w:rsidRPr="00FB3674">
        <w:t xml:space="preserve"> </w:t>
      </w:r>
      <w:r w:rsidRPr="00FB3674">
        <w:t>lodged</w:t>
      </w:r>
      <w:r w:rsidR="001F7ED5" w:rsidRPr="00FB3674">
        <w:t xml:space="preserve"> </w:t>
      </w:r>
      <w:r w:rsidRPr="00FB3674">
        <w:t>his</w:t>
      </w:r>
      <w:r w:rsidR="001F7ED5" w:rsidRPr="00FB3674">
        <w:t xml:space="preserve"> </w:t>
      </w:r>
      <w:r w:rsidRPr="00FB3674">
        <w:t>communication</w:t>
      </w:r>
      <w:r w:rsidR="001F7ED5" w:rsidRPr="00FB3674">
        <w:t xml:space="preserve"> </w:t>
      </w:r>
      <w:r w:rsidRPr="00FB3674">
        <w:t>after</w:t>
      </w:r>
      <w:r w:rsidR="001F7ED5" w:rsidRPr="00FB3674">
        <w:t xml:space="preserve"> </w:t>
      </w:r>
      <w:r w:rsidRPr="00FB3674">
        <w:t>a</w:t>
      </w:r>
      <w:r w:rsidR="001F7ED5" w:rsidRPr="00FB3674">
        <w:t xml:space="preserve"> </w:t>
      </w:r>
      <w:r w:rsidRPr="00FB3674">
        <w:t>long</w:t>
      </w:r>
      <w:r w:rsidR="001F7ED5" w:rsidRPr="00FB3674">
        <w:t xml:space="preserve"> </w:t>
      </w:r>
      <w:r w:rsidRPr="00FB3674">
        <w:t>delay,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is,</w:t>
      </w:r>
      <w:r w:rsidR="001F7ED5" w:rsidRPr="00FB3674">
        <w:rPr>
          <w:color w:val="FF0000"/>
        </w:rPr>
        <w:t xml:space="preserve"> </w:t>
      </w:r>
      <w:r w:rsidRPr="00FB3674">
        <w:t>after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adoption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final</w:t>
      </w:r>
      <w:r w:rsidR="001F7ED5" w:rsidRPr="00FB3674">
        <w:t xml:space="preserve"> </w:t>
      </w:r>
      <w:r w:rsidRPr="00FB3674">
        <w:t>decision</w:t>
      </w:r>
      <w:r w:rsidR="001F7ED5" w:rsidRPr="00FB3674">
        <w:t xml:space="preserve"> </w:t>
      </w:r>
      <w:r w:rsidRPr="00FB3674">
        <w:t>by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cassation</w:t>
      </w:r>
      <w:r w:rsidR="001F7ED5" w:rsidRPr="00FB3674">
        <w:t xml:space="preserve"> </w:t>
      </w:r>
      <w:r w:rsidRPr="00FB3674">
        <w:t>instance</w:t>
      </w:r>
      <w:r w:rsidR="001F7ED5" w:rsidRPr="00FB3674">
        <w:t xml:space="preserve"> </w:t>
      </w:r>
      <w:r w:rsidRPr="00FB3674">
        <w:t>and</w:t>
      </w:r>
      <w:r w:rsidR="001F7ED5" w:rsidRPr="00FB3674">
        <w:t xml:space="preserve"> </w:t>
      </w:r>
      <w:r w:rsidRPr="00FB3674">
        <w:t>after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adoption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decision</w:t>
      </w:r>
      <w:r w:rsidR="001F7ED5" w:rsidRPr="00FB3674">
        <w:t xml:space="preserve"> </w:t>
      </w:r>
      <w:r w:rsidRPr="00FB3674">
        <w:t>taken</w:t>
      </w:r>
      <w:r w:rsidR="001F7ED5" w:rsidRPr="00FB3674">
        <w:t xml:space="preserve"> </w:t>
      </w:r>
      <w:r w:rsidRPr="00FB3674">
        <w:t>by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European</w:t>
      </w:r>
      <w:r w:rsidR="001F7ED5" w:rsidRPr="00FB3674">
        <w:t xml:space="preserve"> </w:t>
      </w:r>
      <w:r w:rsidRPr="00FB3674">
        <w:t>Court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Human</w:t>
      </w:r>
      <w:r w:rsidR="001F7ED5" w:rsidRPr="00FB3674">
        <w:t xml:space="preserve"> </w:t>
      </w:r>
      <w:r w:rsidRPr="00FB3674">
        <w:t>Rights,</w:t>
      </w:r>
      <w:r w:rsidR="001F7ED5" w:rsidRPr="00FB3674">
        <w:t xml:space="preserve"> </w:t>
      </w:r>
      <w:r w:rsidRPr="00FB3674">
        <w:t>sitting</w:t>
      </w:r>
      <w:r w:rsidR="001F7ED5" w:rsidRPr="00FB3674">
        <w:t xml:space="preserve"> </w:t>
      </w:r>
      <w:r w:rsidRPr="00FB3674">
        <w:t>in</w:t>
      </w:r>
      <w:r w:rsidR="001F7ED5" w:rsidRPr="00FB3674">
        <w:t xml:space="preserve"> </w:t>
      </w:r>
      <w:r w:rsidRPr="00FB3674">
        <w:t>a</w:t>
      </w:r>
      <w:r w:rsidR="001F7ED5" w:rsidRPr="00FB3674">
        <w:t xml:space="preserve"> </w:t>
      </w:r>
      <w:r w:rsidRPr="00FB3674">
        <w:t>single</w:t>
      </w:r>
      <w:r w:rsidR="001F7ED5" w:rsidRPr="00FB3674">
        <w:t xml:space="preserve"> </w:t>
      </w:r>
      <w:r w:rsidRPr="00FB3674">
        <w:t>judge</w:t>
      </w:r>
      <w:r w:rsidR="001F7ED5" w:rsidRPr="00FB3674">
        <w:t xml:space="preserve"> </w:t>
      </w:r>
      <w:r w:rsidRPr="00FB3674">
        <w:t>formation,</w:t>
      </w:r>
      <w:r w:rsidR="001F7ED5" w:rsidRPr="00FB3674">
        <w:t xml:space="preserve"> </w:t>
      </w:r>
      <w:r w:rsidRPr="00FB3674">
        <w:t>without</w:t>
      </w:r>
      <w:r w:rsidR="001F7ED5" w:rsidRPr="00FB3674">
        <w:t xml:space="preserve"> </w:t>
      </w:r>
      <w:r w:rsidRPr="00FB3674">
        <w:t>a</w:t>
      </w:r>
      <w:r w:rsidR="001F7ED5" w:rsidRPr="00FB3674">
        <w:t xml:space="preserve"> </w:t>
      </w:r>
      <w:r w:rsidRPr="00FB3674">
        <w:t>valid</w:t>
      </w:r>
      <w:r w:rsidR="001F7ED5" w:rsidRPr="00FB3674">
        <w:t xml:space="preserve"> </w:t>
      </w:r>
      <w:r w:rsidRPr="00FB3674">
        <w:t>explanation.</w:t>
      </w:r>
      <w:r w:rsidR="001F7ED5" w:rsidRPr="00FB3674">
        <w:t xml:space="preserve"> </w:t>
      </w:r>
      <w:r w:rsidRPr="00FB3674">
        <w:t>However,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Committee</w:t>
      </w:r>
      <w:r w:rsidR="001F7ED5" w:rsidRPr="00FB3674">
        <w:t xml:space="preserve"> </w:t>
      </w:r>
      <w:r w:rsidRPr="00FB3674">
        <w:t>notes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communication</w:t>
      </w:r>
      <w:r w:rsidR="001F7ED5" w:rsidRPr="00FB3674">
        <w:t xml:space="preserve"> </w:t>
      </w:r>
      <w:r w:rsidRPr="00FB3674">
        <w:t>was</w:t>
      </w:r>
      <w:r w:rsidR="001F7ED5" w:rsidRPr="00FB3674">
        <w:t xml:space="preserve"> </w:t>
      </w:r>
      <w:r w:rsidRPr="00FB3674">
        <w:t>submitted</w:t>
      </w:r>
      <w:r w:rsidR="001F7ED5" w:rsidRPr="00FB3674">
        <w:t xml:space="preserve"> </w:t>
      </w:r>
      <w:r w:rsidRPr="00FB3674">
        <w:t>two</w:t>
      </w:r>
      <w:r w:rsidR="001F7ED5" w:rsidRPr="00FB3674">
        <w:t xml:space="preserve"> </w:t>
      </w:r>
      <w:r w:rsidRPr="00FB3674">
        <w:t>and</w:t>
      </w:r>
      <w:r w:rsidR="001F7ED5" w:rsidRPr="00FB3674">
        <w:t xml:space="preserve"> </w:t>
      </w:r>
      <w:r w:rsidRPr="00FB3674">
        <w:t>a</w:t>
      </w:r>
      <w:r w:rsidR="001F7ED5" w:rsidRPr="00FB3674">
        <w:t xml:space="preserve"> </w:t>
      </w:r>
      <w:r w:rsidRPr="00FB3674">
        <w:t>half</w:t>
      </w:r>
      <w:r w:rsidR="001F7ED5" w:rsidRPr="00FB3674">
        <w:t xml:space="preserve"> </w:t>
      </w:r>
      <w:r w:rsidRPr="00FB3674">
        <w:t>years</w:t>
      </w:r>
      <w:r w:rsidR="001F7ED5" w:rsidRPr="00FB3674">
        <w:t xml:space="preserve"> </w:t>
      </w:r>
      <w:r w:rsidRPr="00FB3674">
        <w:t>after</w:t>
      </w:r>
      <w:r w:rsidR="001F7ED5" w:rsidRPr="00FB3674">
        <w:t xml:space="preserve"> </w:t>
      </w:r>
      <w:r w:rsidRPr="00FB3674">
        <w:t>exhaustion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domestic</w:t>
      </w:r>
      <w:r w:rsidR="001F7ED5" w:rsidRPr="00FB3674">
        <w:t xml:space="preserve"> </w:t>
      </w:r>
      <w:r w:rsidRPr="00FB3674">
        <w:t>remedies</w:t>
      </w:r>
      <w:r w:rsidR="001F7ED5" w:rsidRPr="00FB3674">
        <w:t xml:space="preserve"> </w:t>
      </w:r>
      <w:r w:rsidRPr="00FB3674">
        <w:t>and</w:t>
      </w:r>
      <w:r w:rsidR="001F7ED5" w:rsidRPr="00FB3674">
        <w:t xml:space="preserve"> </w:t>
      </w:r>
      <w:r w:rsidRPr="00FB3674">
        <w:t>one</w:t>
      </w:r>
      <w:r w:rsidR="001F7ED5" w:rsidRPr="00FB3674">
        <w:t xml:space="preserve"> </w:t>
      </w:r>
      <w:r w:rsidRPr="00FB3674">
        <w:t>year</w:t>
      </w:r>
      <w:r w:rsidR="001F7ED5" w:rsidRPr="00FB3674">
        <w:t xml:space="preserve"> </w:t>
      </w:r>
      <w:r w:rsidRPr="00FB3674">
        <w:t>after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adoption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decision</w:t>
      </w:r>
      <w:r w:rsidR="001F7ED5" w:rsidRPr="00FB3674">
        <w:t xml:space="preserve"> </w:t>
      </w:r>
      <w:r w:rsidRPr="00FB3674">
        <w:t>by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Court.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Committee</w:t>
      </w:r>
      <w:r w:rsidR="001F7ED5" w:rsidRPr="00FB3674">
        <w:t xml:space="preserve"> </w:t>
      </w:r>
      <w:r w:rsidRPr="00FB3674">
        <w:t>notes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communication</w:t>
      </w:r>
      <w:r w:rsidR="001F7ED5" w:rsidRPr="00FB3674">
        <w:t xml:space="preserve"> </w:t>
      </w:r>
      <w:r w:rsidRPr="00FB3674">
        <w:t>was</w:t>
      </w:r>
      <w:r w:rsidR="001F7ED5" w:rsidRPr="00FB3674">
        <w:t xml:space="preserve"> </w:t>
      </w:r>
      <w:r w:rsidRPr="00FB3674">
        <w:t>submitted</w:t>
      </w:r>
      <w:r w:rsidR="001F7ED5" w:rsidRPr="00FB3674">
        <w:t xml:space="preserve"> </w:t>
      </w:r>
      <w:r w:rsidRPr="00FB3674">
        <w:t>well</w:t>
      </w:r>
      <w:r w:rsidR="001F7ED5" w:rsidRPr="00FB3674">
        <w:t xml:space="preserve"> </w:t>
      </w:r>
      <w:r w:rsidRPr="00FB3674">
        <w:t>within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five-year</w:t>
      </w:r>
      <w:r w:rsidR="001F7ED5" w:rsidRPr="00FB3674">
        <w:t xml:space="preserve"> </w:t>
      </w:r>
      <w:r w:rsidRPr="00FB3674">
        <w:t>time</w:t>
      </w:r>
      <w:r w:rsidR="001F7ED5" w:rsidRPr="00FB3674">
        <w:t xml:space="preserve"> </w:t>
      </w:r>
      <w:r w:rsidRPr="00FB3674">
        <w:t>frame</w:t>
      </w:r>
      <w:r w:rsidR="001F7ED5" w:rsidRPr="00FB3674">
        <w:t xml:space="preserve"> </w:t>
      </w:r>
      <w:r w:rsidRPr="00FB3674">
        <w:t>from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exhaustion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domestic</w:t>
      </w:r>
      <w:r w:rsidR="001F7ED5" w:rsidRPr="00FB3674">
        <w:t xml:space="preserve"> </w:t>
      </w:r>
      <w:r w:rsidRPr="00FB3674">
        <w:t>remedies</w:t>
      </w:r>
      <w:r w:rsidR="001F7ED5" w:rsidRPr="00FB3674">
        <w:t xml:space="preserve"> </w:t>
      </w:r>
      <w:r w:rsidRPr="00FB3674">
        <w:t>and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three-year</w:t>
      </w:r>
      <w:r w:rsidR="001F7ED5" w:rsidRPr="00FB3674">
        <w:t xml:space="preserve"> </w:t>
      </w:r>
      <w:r w:rsidRPr="00FB3674">
        <w:t>time</w:t>
      </w:r>
      <w:r w:rsidR="001F7ED5" w:rsidRPr="00FB3674">
        <w:t xml:space="preserve"> </w:t>
      </w:r>
      <w:r w:rsidRPr="00FB3674">
        <w:t>frame</w:t>
      </w:r>
      <w:r w:rsidR="001F7ED5" w:rsidRPr="00FB3674">
        <w:t xml:space="preserve"> </w:t>
      </w:r>
      <w:r w:rsidRPr="00FB3674">
        <w:t>from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Court</w:t>
      </w:r>
      <w:r w:rsidR="00FB3674">
        <w:t>’</w:t>
      </w:r>
      <w:r w:rsidRPr="00FB3674">
        <w:t>s</w:t>
      </w:r>
      <w:r w:rsidR="001F7ED5" w:rsidRPr="00FB3674">
        <w:t xml:space="preserve"> </w:t>
      </w:r>
      <w:r w:rsidRPr="00FB3674">
        <w:t>decision</w:t>
      </w:r>
      <w:r w:rsidR="001F7ED5" w:rsidRPr="00FB3674">
        <w:t xml:space="preserve"> </w:t>
      </w:r>
      <w:r w:rsidRPr="00FB3674">
        <w:t>established</w:t>
      </w:r>
      <w:r w:rsidR="001F7ED5" w:rsidRPr="00FB3674">
        <w:t xml:space="preserve"> </w:t>
      </w:r>
      <w:r w:rsidRPr="00FB3674">
        <w:t>in</w:t>
      </w:r>
      <w:r w:rsidR="001F7ED5" w:rsidRPr="00FB3674">
        <w:t xml:space="preserve"> </w:t>
      </w:r>
      <w:r w:rsidRPr="00FB3674">
        <w:t>rule</w:t>
      </w:r>
      <w:r w:rsidR="001F7ED5" w:rsidRPr="00FB3674">
        <w:t xml:space="preserve"> </w:t>
      </w:r>
      <w:r w:rsidRPr="00FB3674">
        <w:t>99</w:t>
      </w:r>
      <w:r w:rsidR="001F7ED5" w:rsidRPr="00FB3674">
        <w:t xml:space="preserve"> </w:t>
      </w:r>
      <w:r w:rsidRPr="00FB3674">
        <w:t>(c)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its</w:t>
      </w:r>
      <w:r w:rsidR="001F7ED5" w:rsidRPr="00FB3674">
        <w:t xml:space="preserve"> </w:t>
      </w:r>
      <w:r w:rsidRPr="00FB3674">
        <w:t>rules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procedure.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Committee</w:t>
      </w:r>
      <w:r w:rsidR="001F7ED5" w:rsidRPr="00FB3674">
        <w:t xml:space="preserve"> </w:t>
      </w:r>
      <w:r w:rsidRPr="00FB3674">
        <w:t>therefore</w:t>
      </w:r>
      <w:r w:rsidR="001F7ED5" w:rsidRPr="00FB3674">
        <w:t xml:space="preserve"> </w:t>
      </w:r>
      <w:r w:rsidRPr="00FB3674">
        <w:t>concludes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delays</w:t>
      </w:r>
      <w:r w:rsidR="001F7ED5" w:rsidRPr="00FB3674">
        <w:t xml:space="preserve"> </w:t>
      </w:r>
      <w:r w:rsidRPr="00FB3674">
        <w:t>in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present</w:t>
      </w:r>
      <w:r w:rsidR="001F7ED5" w:rsidRPr="00FB3674">
        <w:t xml:space="preserve"> </w:t>
      </w:r>
      <w:r w:rsidRPr="00FB3674">
        <w:t>case</w:t>
      </w:r>
      <w:r w:rsidR="001F7ED5" w:rsidRPr="00FB3674">
        <w:t xml:space="preserve"> </w:t>
      </w:r>
      <w:r w:rsidRPr="00FB3674">
        <w:t>cannot</w:t>
      </w:r>
      <w:r w:rsidR="001F7ED5" w:rsidRPr="00FB3674">
        <w:t xml:space="preserve"> </w:t>
      </w:r>
      <w:r w:rsidRPr="00FB3674">
        <w:t>constitute</w:t>
      </w:r>
      <w:r w:rsidR="001F7ED5" w:rsidRPr="00FB3674">
        <w:t xml:space="preserve"> </w:t>
      </w:r>
      <w:r w:rsidRPr="00FB3674">
        <w:t>an</w:t>
      </w:r>
      <w:r w:rsidR="001F7ED5" w:rsidRPr="00FB3674">
        <w:t xml:space="preserve"> </w:t>
      </w:r>
      <w:r w:rsidRPr="00FB3674">
        <w:t>abuse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right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submission,</w:t>
      </w:r>
      <w:r w:rsidR="001F7ED5" w:rsidRPr="00FB3674">
        <w:t xml:space="preserve"> </w:t>
      </w:r>
      <w:r w:rsidRPr="00FB3674">
        <w:t>and</w:t>
      </w:r>
      <w:r w:rsidR="001F7ED5" w:rsidRPr="00FB3674">
        <w:t xml:space="preserve"> </w:t>
      </w:r>
      <w:r w:rsidRPr="00FB3674">
        <w:t>considers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it</w:t>
      </w:r>
      <w:r w:rsidR="001F7ED5" w:rsidRPr="00FB3674">
        <w:t xml:space="preserve"> </w:t>
      </w:r>
      <w:r w:rsidRPr="00FB3674">
        <w:t>is</w:t>
      </w:r>
      <w:r w:rsidR="001F7ED5" w:rsidRPr="00FB3674">
        <w:t xml:space="preserve"> </w:t>
      </w:r>
      <w:r w:rsidRPr="00FB3674">
        <w:t>not</w:t>
      </w:r>
      <w:r w:rsidR="001F7ED5" w:rsidRPr="00FB3674">
        <w:t xml:space="preserve"> </w:t>
      </w:r>
      <w:r w:rsidRPr="00FB3674">
        <w:t>precluded</w:t>
      </w:r>
      <w:r w:rsidR="001F7ED5" w:rsidRPr="00FB3674">
        <w:t xml:space="preserve"> </w:t>
      </w:r>
      <w:r w:rsidRPr="00FB3674">
        <w:t>by</w:t>
      </w:r>
      <w:r w:rsidR="001F7ED5" w:rsidRPr="00FB3674">
        <w:t xml:space="preserve"> </w:t>
      </w:r>
      <w:r w:rsidRPr="00FB3674">
        <w:t>article</w:t>
      </w:r>
      <w:r w:rsidR="001F7ED5" w:rsidRPr="00FB3674">
        <w:t xml:space="preserve"> </w:t>
      </w:r>
      <w:r w:rsidRPr="00FB3674">
        <w:t>3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Optional</w:t>
      </w:r>
      <w:r w:rsidR="001F7ED5" w:rsidRPr="00FB3674">
        <w:t xml:space="preserve"> </w:t>
      </w:r>
      <w:r w:rsidRPr="00FB3674">
        <w:t>Protocol</w:t>
      </w:r>
      <w:r w:rsidR="001F7ED5" w:rsidRPr="00FB3674">
        <w:t xml:space="preserve"> </w:t>
      </w:r>
      <w:r w:rsidRPr="00FB3674">
        <w:t>from</w:t>
      </w:r>
      <w:r w:rsidR="001F7ED5" w:rsidRPr="00FB3674">
        <w:t xml:space="preserve"> </w:t>
      </w:r>
      <w:r w:rsidRPr="00FB3674">
        <w:t>examining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communication</w:t>
      </w:r>
    </w:p>
    <w:p w14:paraId="713E8403" w14:textId="34FCEF3D" w:rsidR="005D5882" w:rsidRPr="00FB3674" w:rsidRDefault="005D5882" w:rsidP="005D5882">
      <w:pPr>
        <w:pStyle w:val="SingleTxtG"/>
      </w:pPr>
      <w:r w:rsidRPr="00FB3674">
        <w:t>8.4</w:t>
      </w:r>
      <w:r w:rsidRPr="00FB3674">
        <w:tab/>
        <w:t>The</w:t>
      </w:r>
      <w:r w:rsidR="001F7ED5" w:rsidRPr="00FB3674">
        <w:t xml:space="preserve"> </w:t>
      </w:r>
      <w:r w:rsidRPr="00FB3674">
        <w:t>Committee</w:t>
      </w:r>
      <w:r w:rsidR="001F7ED5" w:rsidRPr="00FB3674">
        <w:t xml:space="preserve"> </w:t>
      </w:r>
      <w:r w:rsidRPr="00FB3674">
        <w:t>further</w:t>
      </w:r>
      <w:r w:rsidR="001F7ED5" w:rsidRPr="00FB3674">
        <w:t xml:space="preserve"> </w:t>
      </w:r>
      <w:r w:rsidRPr="00FB3674">
        <w:t>takes</w:t>
      </w:r>
      <w:r w:rsidR="001F7ED5" w:rsidRPr="00FB3674">
        <w:t xml:space="preserve"> </w:t>
      </w:r>
      <w:r w:rsidRPr="00FB3674">
        <w:t>note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author</w:t>
      </w:r>
      <w:r w:rsidR="00FB3674">
        <w:t>’</w:t>
      </w:r>
      <w:r w:rsidRPr="00FB3674">
        <w:t>s</w:t>
      </w:r>
      <w:r w:rsidR="001F7ED5" w:rsidRPr="00FB3674">
        <w:t xml:space="preserve"> </w:t>
      </w:r>
      <w:r w:rsidRPr="00FB3674">
        <w:t>claims</w:t>
      </w:r>
      <w:r w:rsidR="001F7ED5" w:rsidRPr="00FB3674">
        <w:t xml:space="preserve"> </w:t>
      </w:r>
      <w:r w:rsidRPr="00FB3674">
        <w:t>under</w:t>
      </w:r>
      <w:r w:rsidR="001F7ED5" w:rsidRPr="00FB3674">
        <w:t xml:space="preserve"> </w:t>
      </w:r>
      <w:r w:rsidRPr="00FB3674">
        <w:t>article</w:t>
      </w:r>
      <w:r w:rsidR="001F7ED5" w:rsidRPr="00FB3674">
        <w:t xml:space="preserve"> </w:t>
      </w:r>
      <w:r w:rsidRPr="00FB3674">
        <w:t>14</w:t>
      </w:r>
      <w:r w:rsidR="001F7ED5" w:rsidRPr="00FB3674">
        <w:t xml:space="preserve"> </w:t>
      </w:r>
      <w:r w:rsidRPr="00FB3674">
        <w:t>(1)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Covenant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domestic</w:t>
      </w:r>
      <w:r w:rsidR="001F7ED5" w:rsidRPr="00FB3674">
        <w:t xml:space="preserve"> </w:t>
      </w:r>
      <w:r w:rsidRPr="00FB3674">
        <w:t>proceedings</w:t>
      </w:r>
      <w:r w:rsidR="001F7ED5" w:rsidRPr="00FB3674">
        <w:t xml:space="preserve"> </w:t>
      </w:r>
      <w:r w:rsidRPr="00FB3674">
        <w:t>were</w:t>
      </w:r>
      <w:r w:rsidR="001F7ED5" w:rsidRPr="00FB3674">
        <w:t xml:space="preserve"> </w:t>
      </w:r>
      <w:r w:rsidRPr="00FB3674">
        <w:t>neither</w:t>
      </w:r>
      <w:r w:rsidR="001F7ED5" w:rsidRPr="00FB3674">
        <w:t xml:space="preserve"> </w:t>
      </w:r>
      <w:r w:rsidRPr="00FB3674">
        <w:t>transparent</w:t>
      </w:r>
      <w:r w:rsidR="001F7ED5" w:rsidRPr="00FB3674">
        <w:t xml:space="preserve"> </w:t>
      </w:r>
      <w:r w:rsidRPr="00FB3674">
        <w:t>nor</w:t>
      </w:r>
      <w:r w:rsidR="001F7ED5" w:rsidRPr="00FB3674">
        <w:t xml:space="preserve"> </w:t>
      </w:r>
      <w:r w:rsidRPr="00FB3674">
        <w:t>impartial</w:t>
      </w:r>
      <w:r w:rsidR="001F7ED5" w:rsidRPr="00FB3674">
        <w:t xml:space="preserve"> </w:t>
      </w:r>
      <w:r w:rsidRPr="00FB3674">
        <w:t>since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court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appeal</w:t>
      </w:r>
      <w:r w:rsidR="001F7ED5" w:rsidRPr="00FB3674">
        <w:t xml:space="preserve"> </w:t>
      </w:r>
      <w:r w:rsidRPr="00FB3674">
        <w:t>and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Supreme</w:t>
      </w:r>
      <w:r w:rsidR="001F7ED5" w:rsidRPr="00FB3674">
        <w:t xml:space="preserve"> </w:t>
      </w:r>
      <w:r w:rsidRPr="00FB3674">
        <w:t>Court,</w:t>
      </w:r>
      <w:r w:rsidR="001F7ED5" w:rsidRPr="00FB3674">
        <w:t xml:space="preserve"> </w:t>
      </w:r>
      <w:r w:rsidRPr="00FB3674">
        <w:t>acting</w:t>
      </w:r>
      <w:r w:rsidR="001F7ED5" w:rsidRPr="00FB3674">
        <w:t xml:space="preserve"> </w:t>
      </w:r>
      <w:r w:rsidRPr="00FB3674">
        <w:t>as</w:t>
      </w:r>
      <w:r w:rsidR="001F7ED5" w:rsidRPr="00FB3674">
        <w:t xml:space="preserve"> </w:t>
      </w:r>
      <w:r w:rsidRPr="00FB3674">
        <w:t>a</w:t>
      </w:r>
      <w:r w:rsidR="001F7ED5" w:rsidRPr="00FB3674">
        <w:t xml:space="preserve"> </w:t>
      </w:r>
      <w:r w:rsidRPr="00FB3674">
        <w:t>cassation</w:t>
      </w:r>
      <w:r w:rsidR="001F7ED5" w:rsidRPr="00FB3674">
        <w:t xml:space="preserve"> </w:t>
      </w:r>
      <w:r w:rsidRPr="00FB3674">
        <w:t>instance,</w:t>
      </w:r>
      <w:r w:rsidR="001F7ED5" w:rsidRPr="00FB3674">
        <w:t xml:space="preserve"> </w:t>
      </w:r>
      <w:r w:rsidRPr="00FB3674">
        <w:t>failed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verify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information</w:t>
      </w:r>
      <w:r w:rsidR="001F7ED5" w:rsidRPr="00FB3674">
        <w:t xml:space="preserve"> </w:t>
      </w:r>
      <w:r w:rsidRPr="00FB3674">
        <w:t>contained</w:t>
      </w:r>
      <w:r w:rsidR="001F7ED5" w:rsidRPr="00FB3674">
        <w:t xml:space="preserve"> </w:t>
      </w:r>
      <w:r w:rsidRPr="00FB3674">
        <w:t>in</w:t>
      </w:r>
      <w:r w:rsidR="001F7ED5" w:rsidRPr="00FB3674">
        <w:t xml:space="preserve"> </w:t>
      </w:r>
      <w:r w:rsidRPr="00FB3674">
        <w:t>two</w:t>
      </w:r>
      <w:r w:rsidR="001F7ED5" w:rsidRPr="00FB3674">
        <w:t xml:space="preserve"> </w:t>
      </w:r>
      <w:r w:rsidRPr="00FB3674">
        <w:t>special</w:t>
      </w:r>
      <w:r w:rsidR="001F7ED5" w:rsidRPr="00FB3674">
        <w:t xml:space="preserve"> </w:t>
      </w:r>
      <w:r w:rsidRPr="00FB3674">
        <w:t>investigative</w:t>
      </w:r>
      <w:r w:rsidR="001F7ED5" w:rsidRPr="00FB3674">
        <w:t xml:space="preserve"> </w:t>
      </w:r>
      <w:r w:rsidRPr="00FB3674">
        <w:t>files</w:t>
      </w:r>
      <w:r w:rsidR="001F7ED5" w:rsidRPr="00FB3674">
        <w:t xml:space="preserve"> </w:t>
      </w:r>
      <w:r w:rsidRPr="00FB3674">
        <w:t>pertaining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police</w:t>
      </w:r>
      <w:r w:rsidR="001F7ED5" w:rsidRPr="00FB3674">
        <w:t xml:space="preserve"> </w:t>
      </w:r>
      <w:r w:rsidRPr="00FB3674">
        <w:t>operation</w:t>
      </w:r>
      <w:r w:rsidR="001F7ED5" w:rsidRPr="00FB3674">
        <w:t xml:space="preserve"> </w:t>
      </w:r>
      <w:r w:rsidR="002E7C71">
        <w:t>“</w:t>
      </w:r>
      <w:r w:rsidRPr="00FB3674">
        <w:t>Rebus</w:t>
      </w:r>
      <w:r w:rsidR="002E7C71">
        <w:t>”</w:t>
      </w:r>
      <w:r w:rsidR="001F7ED5" w:rsidRPr="00FB3674">
        <w:t xml:space="preserve"> </w:t>
      </w:r>
      <w:r w:rsidRPr="00FB3674">
        <w:t>during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court</w:t>
      </w:r>
      <w:r w:rsidR="001F7ED5" w:rsidRPr="00FB3674">
        <w:t xml:space="preserve"> </w:t>
      </w:r>
      <w:r w:rsidRPr="00FB3674">
        <w:t>hearings</w:t>
      </w:r>
      <w:r w:rsidR="001F7ED5" w:rsidRPr="00FB3674">
        <w:t xml:space="preserve"> </w:t>
      </w:r>
      <w:r w:rsidRPr="00FB3674">
        <w:t>and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author</w:t>
      </w:r>
      <w:r w:rsidR="001F7ED5" w:rsidRPr="00FB3674">
        <w:t xml:space="preserve"> </w:t>
      </w:r>
      <w:r w:rsidRPr="00FB3674">
        <w:t>was</w:t>
      </w:r>
      <w:r w:rsidR="001F7ED5" w:rsidRPr="00FB3674">
        <w:t xml:space="preserve"> </w:t>
      </w:r>
      <w:r w:rsidRPr="00FB3674">
        <w:t>denied</w:t>
      </w:r>
      <w:r w:rsidR="001F7ED5" w:rsidRPr="00FB3674">
        <w:t xml:space="preserve"> </w:t>
      </w:r>
      <w:r w:rsidRPr="00FB3674">
        <w:t>access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those</w:t>
      </w:r>
      <w:r w:rsidR="001F7ED5" w:rsidRPr="00FB3674">
        <w:t xml:space="preserve"> </w:t>
      </w:r>
      <w:r w:rsidRPr="00FB3674">
        <w:t>classified</w:t>
      </w:r>
      <w:r w:rsidR="001F7ED5" w:rsidRPr="00FB3674">
        <w:t xml:space="preserve"> </w:t>
      </w:r>
      <w:r w:rsidRPr="00FB3674">
        <w:t>files</w:t>
      </w:r>
      <w:r w:rsidR="001F7ED5" w:rsidRPr="00FB3674">
        <w:t xml:space="preserve"> </w:t>
      </w:r>
      <w:r w:rsidRPr="00FB3674">
        <w:t>without</w:t>
      </w:r>
      <w:r w:rsidR="001F7ED5" w:rsidRPr="00FB3674">
        <w:t xml:space="preserve"> </w:t>
      </w:r>
      <w:r w:rsidRPr="00FB3674">
        <w:t>a</w:t>
      </w:r>
      <w:r w:rsidR="001F7ED5" w:rsidRPr="00FB3674">
        <w:t xml:space="preserve"> </w:t>
      </w:r>
      <w:r w:rsidRPr="00FB3674">
        <w:t>detailed</w:t>
      </w:r>
      <w:r w:rsidR="001F7ED5" w:rsidRPr="00FB3674">
        <w:t xml:space="preserve"> </w:t>
      </w:r>
      <w:r w:rsidRPr="00FB3674">
        <w:t>explanation</w:t>
      </w:r>
      <w:r w:rsidR="001F7ED5" w:rsidRPr="00FB3674">
        <w:t xml:space="preserve"> </w:t>
      </w:r>
      <w:r w:rsidRPr="00FB3674">
        <w:t>being</w:t>
      </w:r>
      <w:r w:rsidR="001F7ED5" w:rsidRPr="00FB3674">
        <w:t xml:space="preserve"> </w:t>
      </w:r>
      <w:r w:rsidRPr="00FB3674">
        <w:t>given</w:t>
      </w:r>
      <w:r w:rsidR="001F7ED5" w:rsidRPr="00FB3674">
        <w:t xml:space="preserve"> </w:t>
      </w:r>
      <w:r w:rsidRPr="00FB3674">
        <w:t>as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why</w:t>
      </w:r>
      <w:r w:rsidR="001F7ED5" w:rsidRPr="00FB3674">
        <w:t xml:space="preserve"> </w:t>
      </w:r>
      <w:r w:rsidRPr="00FB3674">
        <w:t>it</w:t>
      </w:r>
      <w:r w:rsidR="001F7ED5" w:rsidRPr="00FB3674">
        <w:t xml:space="preserve"> </w:t>
      </w:r>
      <w:r w:rsidRPr="00FB3674">
        <w:t>was</w:t>
      </w:r>
      <w:r w:rsidR="001F7ED5" w:rsidRPr="00FB3674">
        <w:t xml:space="preserve"> </w:t>
      </w:r>
      <w:r w:rsidRPr="00FB3674">
        <w:t>strictly</w:t>
      </w:r>
      <w:r w:rsidR="001F7ED5" w:rsidRPr="00FB3674">
        <w:t xml:space="preserve"> </w:t>
      </w:r>
      <w:r w:rsidRPr="00FB3674">
        <w:t>necessary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deny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right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disclosure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information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defence.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Committee</w:t>
      </w:r>
      <w:r w:rsidR="001F7ED5" w:rsidRPr="00FB3674">
        <w:t xml:space="preserve"> </w:t>
      </w:r>
      <w:r w:rsidRPr="00FB3674">
        <w:t>notes,</w:t>
      </w:r>
      <w:r w:rsidR="001F7ED5" w:rsidRPr="00FB3674">
        <w:t xml:space="preserve"> </w:t>
      </w:r>
      <w:r w:rsidRPr="00FB3674">
        <w:t>however,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competent</w:t>
      </w:r>
      <w:r w:rsidR="001F7ED5" w:rsidRPr="00FB3674">
        <w:t xml:space="preserve"> </w:t>
      </w:r>
      <w:r w:rsidRPr="00FB3674">
        <w:t>domestic</w:t>
      </w:r>
      <w:r w:rsidR="001F7ED5" w:rsidRPr="00FB3674">
        <w:t xml:space="preserve"> </w:t>
      </w:r>
      <w:r w:rsidRPr="00FB3674">
        <w:t>courts</w:t>
      </w:r>
      <w:r w:rsidR="001F7ED5" w:rsidRPr="00FB3674">
        <w:t xml:space="preserve"> </w:t>
      </w:r>
      <w:r w:rsidRPr="00FB3674">
        <w:t>appear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have</w:t>
      </w:r>
      <w:r w:rsidR="001F7ED5" w:rsidRPr="00FB3674">
        <w:t xml:space="preserve"> </w:t>
      </w:r>
      <w:r w:rsidRPr="00FB3674">
        <w:t>done</w:t>
      </w:r>
      <w:r w:rsidR="001F7ED5" w:rsidRPr="00FB3674">
        <w:t xml:space="preserve"> </w:t>
      </w:r>
      <w:r w:rsidRPr="00FB3674">
        <w:t>their</w:t>
      </w:r>
      <w:r w:rsidR="001F7ED5" w:rsidRPr="00FB3674">
        <w:t xml:space="preserve"> </w:t>
      </w:r>
      <w:r w:rsidRPr="00FB3674">
        <w:t>utmost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thoroughly</w:t>
      </w:r>
      <w:r w:rsidR="001F7ED5" w:rsidRPr="00FB3674">
        <w:t xml:space="preserve"> </w:t>
      </w:r>
      <w:r w:rsidRPr="00FB3674">
        <w:t>address</w:t>
      </w:r>
      <w:r w:rsidR="001F7ED5" w:rsidRPr="00FB3674">
        <w:t xml:space="preserve"> </w:t>
      </w:r>
      <w:r w:rsidRPr="00FB3674">
        <w:t>and</w:t>
      </w:r>
      <w:r w:rsidR="001F7ED5" w:rsidRPr="00FB3674">
        <w:t xml:space="preserve"> </w:t>
      </w:r>
      <w:r w:rsidRPr="00FB3674">
        <w:t>remedy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procedural</w:t>
      </w:r>
      <w:r w:rsidR="001F7ED5" w:rsidRPr="00FB3674">
        <w:t xml:space="preserve"> </w:t>
      </w:r>
      <w:r w:rsidRPr="00FB3674">
        <w:t>issues</w:t>
      </w:r>
      <w:r w:rsidR="001F7ED5" w:rsidRPr="00FB3674">
        <w:t xml:space="preserve"> </w:t>
      </w:r>
      <w:r w:rsidRPr="00FB3674">
        <w:t>identified</w:t>
      </w:r>
      <w:r w:rsidR="001F7ED5" w:rsidRPr="00FB3674">
        <w:t xml:space="preserve"> </w:t>
      </w:r>
      <w:r w:rsidRPr="00FB3674">
        <w:t>by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European</w:t>
      </w:r>
      <w:r w:rsidR="001F7ED5" w:rsidRPr="00FB3674">
        <w:t xml:space="preserve"> </w:t>
      </w:r>
      <w:r w:rsidRPr="00FB3674">
        <w:t>Court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Human</w:t>
      </w:r>
      <w:r w:rsidR="001F7ED5" w:rsidRPr="00FB3674">
        <w:t xml:space="preserve"> </w:t>
      </w:r>
      <w:r w:rsidRPr="00FB3674">
        <w:t>Rights</w:t>
      </w:r>
      <w:r w:rsidR="001F7ED5" w:rsidRPr="00FB3674">
        <w:t xml:space="preserve"> </w:t>
      </w:r>
      <w:r w:rsidRPr="00FB3674">
        <w:t>in</w:t>
      </w:r>
      <w:r w:rsidR="001F7ED5" w:rsidRPr="00FB3674">
        <w:t xml:space="preserve"> </w:t>
      </w:r>
      <w:r w:rsidRPr="00FB3674">
        <w:t>its</w:t>
      </w:r>
      <w:r w:rsidR="001F7ED5" w:rsidRPr="00FB3674">
        <w:t xml:space="preserve"> </w:t>
      </w:r>
      <w:r w:rsidRPr="00FB3674">
        <w:t>judgment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8</w:t>
      </w:r>
      <w:r w:rsidR="001F7ED5" w:rsidRPr="00FB3674">
        <w:t xml:space="preserve"> </w:t>
      </w:r>
      <w:r w:rsidRPr="00FB3674">
        <w:t>January</w:t>
      </w:r>
      <w:r w:rsidR="001F7ED5" w:rsidRPr="00FB3674">
        <w:t xml:space="preserve"> </w:t>
      </w:r>
      <w:r w:rsidRPr="00FB3674">
        <w:t>2013,</w:t>
      </w:r>
      <w:r w:rsidR="001F7ED5" w:rsidRPr="00FB3674">
        <w:t xml:space="preserve"> </w:t>
      </w:r>
      <w:r w:rsidRPr="00FB3674">
        <w:t>and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appellate</w:t>
      </w:r>
      <w:r w:rsidR="001F7ED5" w:rsidRPr="00FB3674">
        <w:t xml:space="preserve"> </w:t>
      </w:r>
      <w:r w:rsidRPr="00FB3674">
        <w:t>court</w:t>
      </w:r>
      <w:r w:rsidR="001F7ED5" w:rsidRPr="00FB3674">
        <w:t xml:space="preserve"> </w:t>
      </w:r>
      <w:r w:rsidRPr="00FB3674">
        <w:t>had</w:t>
      </w:r>
      <w:r w:rsidR="001F7ED5" w:rsidRPr="00FB3674">
        <w:t xml:space="preserve"> </w:t>
      </w:r>
      <w:r w:rsidRPr="00FB3674">
        <w:t>provided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necessary</w:t>
      </w:r>
      <w:r w:rsidR="001F7ED5" w:rsidRPr="00FB3674">
        <w:t xml:space="preserve"> </w:t>
      </w:r>
      <w:r w:rsidRPr="00FB3674">
        <w:t>safeguards</w:t>
      </w:r>
      <w:r w:rsidR="001F7ED5" w:rsidRPr="00FB3674">
        <w:t xml:space="preserve"> </w:t>
      </w:r>
      <w:r w:rsidRPr="00FB3674">
        <w:t>and</w:t>
      </w:r>
      <w:r w:rsidR="001F7ED5" w:rsidRPr="00FB3674">
        <w:t xml:space="preserve"> </w:t>
      </w:r>
      <w:r w:rsidRPr="00FB3674">
        <w:t>duly</w:t>
      </w:r>
      <w:r w:rsidR="001F7ED5" w:rsidRPr="00FB3674">
        <w:t xml:space="preserve"> </w:t>
      </w:r>
      <w:r w:rsidRPr="00FB3674">
        <w:t>acquainted</w:t>
      </w:r>
      <w:r w:rsidR="001F7ED5" w:rsidRPr="00FB3674">
        <w:t xml:space="preserve"> </w:t>
      </w:r>
      <w:r w:rsidRPr="00FB3674">
        <w:t>itself</w:t>
      </w:r>
      <w:r w:rsidR="001F7ED5" w:rsidRPr="00FB3674">
        <w:t xml:space="preserve"> </w:t>
      </w:r>
      <w:r w:rsidRPr="00FB3674">
        <w:t>with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contents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two</w:t>
      </w:r>
      <w:r w:rsidR="001F7ED5" w:rsidRPr="00FB3674">
        <w:t xml:space="preserve"> </w:t>
      </w:r>
      <w:r w:rsidRPr="00FB3674">
        <w:t>disputed</w:t>
      </w:r>
      <w:r w:rsidR="001F7ED5" w:rsidRPr="00FB3674">
        <w:t xml:space="preserve"> </w:t>
      </w:r>
      <w:r w:rsidRPr="00FB3674">
        <w:t>classified</w:t>
      </w:r>
      <w:r w:rsidR="001F7ED5" w:rsidRPr="00FB3674">
        <w:t xml:space="preserve"> </w:t>
      </w:r>
      <w:r w:rsidRPr="00FB3674">
        <w:t>files</w:t>
      </w:r>
      <w:r w:rsidR="001F7ED5" w:rsidRPr="00FB3674">
        <w:t xml:space="preserve"> </w:t>
      </w:r>
      <w:r w:rsidRPr="00FB3674">
        <w:t>before</w:t>
      </w:r>
      <w:r w:rsidR="001F7ED5" w:rsidRPr="00FB3674">
        <w:t xml:space="preserve"> </w:t>
      </w:r>
      <w:r w:rsidRPr="00FB3674">
        <w:t>ruling</w:t>
      </w:r>
      <w:r w:rsidR="001F7ED5" w:rsidRPr="00FB3674">
        <w:t xml:space="preserve"> </w:t>
      </w:r>
      <w:r w:rsidRPr="00FB3674">
        <w:t>out</w:t>
      </w:r>
      <w:r w:rsidR="001F7ED5" w:rsidRPr="00FB3674">
        <w:t xml:space="preserve"> </w:t>
      </w:r>
      <w:r w:rsidRPr="00FB3674">
        <w:t>their</w:t>
      </w:r>
      <w:r w:rsidR="001F7ED5" w:rsidRPr="00FB3674">
        <w:t xml:space="preserve"> </w:t>
      </w:r>
      <w:r w:rsidRPr="00FB3674">
        <w:t>disclosure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defence.</w:t>
      </w:r>
      <w:r w:rsidR="001F7ED5" w:rsidRPr="00FB3674">
        <w:t xml:space="preserve"> </w:t>
      </w:r>
      <w:r w:rsidRPr="00FB3674">
        <w:t>In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respect,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Committee</w:t>
      </w:r>
      <w:r w:rsidR="001F7ED5" w:rsidRPr="00FB3674">
        <w:t xml:space="preserve"> </w:t>
      </w:r>
      <w:r w:rsidRPr="00FB3674">
        <w:t>finds</w:t>
      </w:r>
      <w:r w:rsidR="001F7ED5" w:rsidRPr="00FB3674">
        <w:t xml:space="preserve"> </w:t>
      </w:r>
      <w:r w:rsidRPr="00FB3674">
        <w:t>particularly</w:t>
      </w:r>
      <w:r w:rsidR="001F7ED5" w:rsidRPr="00FB3674">
        <w:t xml:space="preserve"> </w:t>
      </w:r>
      <w:r w:rsidRPr="00FB3674">
        <w:t>relevant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State</w:t>
      </w:r>
      <w:r w:rsidR="001F7ED5" w:rsidRPr="00FB3674">
        <w:t xml:space="preserve"> </w:t>
      </w:r>
      <w:r w:rsidRPr="00FB3674">
        <w:t>party</w:t>
      </w:r>
      <w:r w:rsidR="00FB3674">
        <w:t>’</w:t>
      </w:r>
      <w:r w:rsidRPr="00FB3674">
        <w:t>s</w:t>
      </w:r>
      <w:r w:rsidR="001F7ED5" w:rsidRPr="00FB3674">
        <w:t xml:space="preserve"> </w:t>
      </w:r>
      <w:r w:rsidRPr="00FB3674">
        <w:t>argument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such</w:t>
      </w:r>
      <w:r w:rsidR="001F7ED5" w:rsidRPr="00FB3674">
        <w:t xml:space="preserve"> </w:t>
      </w:r>
      <w:r w:rsidRPr="00FB3674">
        <w:t>a</w:t>
      </w:r>
      <w:r w:rsidR="001F7ED5" w:rsidRPr="00FB3674">
        <w:t xml:space="preserve"> </w:t>
      </w:r>
      <w:r w:rsidRPr="00FB3674">
        <w:t>restriction</w:t>
      </w:r>
      <w:r w:rsidR="001F7ED5" w:rsidRPr="00FB3674">
        <w:t xml:space="preserve"> </w:t>
      </w:r>
      <w:r w:rsidRPr="00FB3674">
        <w:t>was</w:t>
      </w:r>
      <w:r w:rsidR="001F7ED5" w:rsidRPr="00FB3674">
        <w:t xml:space="preserve"> </w:t>
      </w:r>
      <w:r w:rsidRPr="00FB3674">
        <w:t>particularly</w:t>
      </w:r>
      <w:r w:rsidR="001F7ED5" w:rsidRPr="00FB3674">
        <w:t xml:space="preserve"> </w:t>
      </w:r>
      <w:r w:rsidRPr="00FB3674">
        <w:t>necessary</w:t>
      </w:r>
      <w:r w:rsidR="001F7ED5" w:rsidRPr="00FB3674">
        <w:t xml:space="preserve"> </w:t>
      </w:r>
      <w:r w:rsidRPr="00FB3674">
        <w:t>in</w:t>
      </w:r>
      <w:r w:rsidR="001F7ED5" w:rsidRPr="00FB3674">
        <w:t xml:space="preserve"> </w:t>
      </w:r>
      <w:r w:rsidRPr="00FB3674">
        <w:t>order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protect</w:t>
      </w:r>
      <w:r w:rsidR="001F7ED5" w:rsidRPr="00FB3674">
        <w:t xml:space="preserve"> </w:t>
      </w:r>
      <w:r w:rsidRPr="00FB3674">
        <w:t>both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fundamental</w:t>
      </w:r>
      <w:r w:rsidR="001F7ED5" w:rsidRPr="00FB3674">
        <w:t xml:space="preserve"> </w:t>
      </w:r>
      <w:r w:rsidRPr="00FB3674">
        <w:t>rights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third</w:t>
      </w:r>
      <w:r w:rsidR="001F7ED5" w:rsidRPr="00FB3674">
        <w:t xml:space="preserve"> </w:t>
      </w:r>
      <w:r w:rsidRPr="00FB3674">
        <w:t>parties,</w:t>
      </w:r>
      <w:r w:rsidR="001F7ED5" w:rsidRPr="00FB3674">
        <w:t xml:space="preserve"> </w:t>
      </w:r>
      <w:r w:rsidRPr="00FB3674">
        <w:t>namely</w:t>
      </w:r>
      <w:r w:rsidR="001F7ED5" w:rsidRPr="00FB3674">
        <w:t xml:space="preserve"> </w:t>
      </w:r>
      <w:r w:rsidRPr="00FB3674">
        <w:t>those</w:t>
      </w:r>
      <w:r w:rsidR="001F7ED5" w:rsidRPr="00FB3674">
        <w:t xml:space="preserve"> </w:t>
      </w:r>
      <w:r w:rsidRPr="00FB3674">
        <w:t>cooperating</w:t>
      </w:r>
      <w:r w:rsidR="001F7ED5" w:rsidRPr="00FB3674">
        <w:t xml:space="preserve"> </w:t>
      </w:r>
      <w:r w:rsidRPr="00FB3674">
        <w:t>with</w:t>
      </w:r>
      <w:r w:rsidR="001F7ED5" w:rsidRPr="00FB3674">
        <w:t xml:space="preserve"> </w:t>
      </w:r>
      <w:r w:rsidRPr="00FB3674">
        <w:t>law</w:t>
      </w:r>
      <w:r w:rsidR="001F7ED5" w:rsidRPr="00FB3674">
        <w:t xml:space="preserve"> </w:t>
      </w:r>
      <w:r w:rsidRPr="00FB3674">
        <w:t>enforcement</w:t>
      </w:r>
      <w:r w:rsidR="001F7ED5" w:rsidRPr="00FB3674">
        <w:t xml:space="preserve"> </w:t>
      </w:r>
      <w:r w:rsidRPr="00FB3674">
        <w:t>agencies,</w:t>
      </w:r>
      <w:r w:rsidR="001F7ED5" w:rsidRPr="00FB3674">
        <w:t xml:space="preserve"> </w:t>
      </w:r>
      <w:r w:rsidRPr="00FB3674">
        <w:t>and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public</w:t>
      </w:r>
      <w:r w:rsidR="001F7ED5" w:rsidRPr="00FB3674">
        <w:t xml:space="preserve"> </w:t>
      </w:r>
      <w:r w:rsidRPr="00FB3674">
        <w:t>interest,</w:t>
      </w:r>
      <w:r w:rsidR="001F7ED5" w:rsidRPr="00FB3674">
        <w:t xml:space="preserve"> </w:t>
      </w:r>
      <w:r w:rsidRPr="00FB3674">
        <w:t>therefore</w:t>
      </w:r>
      <w:r w:rsidR="001F7ED5" w:rsidRPr="00FB3674">
        <w:t xml:space="preserve"> </w:t>
      </w:r>
      <w:r w:rsidRPr="00FB3674">
        <w:t>ensuring</w:t>
      </w:r>
      <w:r w:rsidR="001F7ED5" w:rsidRPr="00FB3674">
        <w:t xml:space="preserve"> </w:t>
      </w:r>
      <w:r w:rsidRPr="00FB3674">
        <w:t>a</w:t>
      </w:r>
      <w:r w:rsidR="001F7ED5" w:rsidRPr="00FB3674">
        <w:t xml:space="preserve"> </w:t>
      </w:r>
      <w:r w:rsidRPr="00FB3674">
        <w:t>reasonable</w:t>
      </w:r>
      <w:r w:rsidR="001F7ED5" w:rsidRPr="00FB3674">
        <w:t xml:space="preserve"> </w:t>
      </w:r>
      <w:r w:rsidRPr="00FB3674">
        <w:t>balance</w:t>
      </w:r>
      <w:r w:rsidR="001F7ED5" w:rsidRPr="00FB3674">
        <w:t xml:space="preserve"> </w:t>
      </w:r>
      <w:r w:rsidRPr="00FB3674">
        <w:t>between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public</w:t>
      </w:r>
      <w:r w:rsidR="001F7ED5" w:rsidRPr="00FB3674">
        <w:t xml:space="preserve"> </w:t>
      </w:r>
      <w:r w:rsidRPr="00FB3674">
        <w:t>interest</w:t>
      </w:r>
      <w:r w:rsidR="001F7ED5" w:rsidRPr="00FB3674">
        <w:t xml:space="preserve"> </w:t>
      </w:r>
      <w:r w:rsidRPr="00FB3674">
        <w:t>and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interest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accused.</w:t>
      </w:r>
      <w:r w:rsidR="001F7ED5" w:rsidRPr="00FB3674">
        <w:t xml:space="preserve"> </w:t>
      </w:r>
      <w:r w:rsidRPr="00FB3674">
        <w:t>In</w:t>
      </w:r>
      <w:r w:rsidR="001F7ED5" w:rsidRPr="00FB3674">
        <w:t xml:space="preserve"> </w:t>
      </w:r>
      <w:r w:rsidRPr="00FB3674">
        <w:t>such</w:t>
      </w:r>
      <w:r w:rsidR="001F7ED5" w:rsidRPr="00FB3674">
        <w:t xml:space="preserve"> </w:t>
      </w:r>
      <w:r w:rsidRPr="00FB3674">
        <w:t>circumstances,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Committee</w:t>
      </w:r>
      <w:r w:rsidR="001F7ED5" w:rsidRPr="00FB3674">
        <w:t xml:space="preserve"> </w:t>
      </w:r>
      <w:r w:rsidRPr="00FB3674">
        <w:t>considers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domestic</w:t>
      </w:r>
      <w:r w:rsidR="001F7ED5" w:rsidRPr="00FB3674">
        <w:t xml:space="preserve"> </w:t>
      </w:r>
      <w:r w:rsidRPr="00FB3674">
        <w:t>courts</w:t>
      </w:r>
      <w:r w:rsidR="001F7ED5" w:rsidRPr="00FB3674">
        <w:t xml:space="preserve"> </w:t>
      </w:r>
      <w:r w:rsidRPr="00FB3674">
        <w:t>had</w:t>
      </w:r>
      <w:r w:rsidR="001F7ED5" w:rsidRPr="00FB3674">
        <w:t xml:space="preserve"> </w:t>
      </w:r>
      <w:r w:rsidRPr="00FB3674">
        <w:t>assessed</w:t>
      </w:r>
      <w:r w:rsidR="001F7ED5" w:rsidRPr="00FB3674">
        <w:t xml:space="preserve"> </w:t>
      </w:r>
      <w:r w:rsidRPr="00FB3674">
        <w:t>whether</w:t>
      </w:r>
      <w:r w:rsidR="001F7ED5" w:rsidRPr="00FB3674">
        <w:t xml:space="preserve"> </w:t>
      </w:r>
      <w:r w:rsidRPr="00FB3674">
        <w:t>it</w:t>
      </w:r>
      <w:r w:rsidR="001F7ED5" w:rsidRPr="00FB3674">
        <w:t xml:space="preserve"> </w:t>
      </w:r>
      <w:r w:rsidRPr="00FB3674">
        <w:t>was</w:t>
      </w:r>
      <w:r w:rsidR="001F7ED5" w:rsidRPr="00FB3674">
        <w:t xml:space="preserve"> </w:t>
      </w:r>
      <w:r w:rsidRPr="00FB3674">
        <w:t>necessary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deny</w:t>
      </w:r>
      <w:r w:rsidR="001F7ED5" w:rsidRPr="00FB3674">
        <w:t xml:space="preserve"> </w:t>
      </w:r>
      <w:r w:rsidRPr="00FB3674">
        <w:t>disclosure.</w:t>
      </w:r>
      <w:r w:rsidR="001F7ED5" w:rsidRPr="00FB3674">
        <w:t xml:space="preserve"> </w:t>
      </w:r>
      <w:r w:rsidRPr="00FB3674">
        <w:t>In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light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these</w:t>
      </w:r>
      <w:r w:rsidR="001F7ED5" w:rsidRPr="00FB3674">
        <w:t xml:space="preserve"> </w:t>
      </w:r>
      <w:r w:rsidRPr="00FB3674">
        <w:t>considerations,</w:t>
      </w:r>
      <w:r w:rsidR="001F7ED5" w:rsidRPr="00FB3674">
        <w:t xml:space="preserve"> </w:t>
      </w:r>
      <w:r w:rsidRPr="00FB3674">
        <w:t>and</w:t>
      </w:r>
      <w:r w:rsidR="001F7ED5" w:rsidRPr="00FB3674">
        <w:t xml:space="preserve"> </w:t>
      </w:r>
      <w:r w:rsidRPr="00FB3674">
        <w:t>in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absence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any</w:t>
      </w:r>
      <w:r w:rsidR="001F7ED5" w:rsidRPr="00FB3674">
        <w:t xml:space="preserve"> </w:t>
      </w:r>
      <w:r w:rsidRPr="00FB3674">
        <w:lastRenderedPageBreak/>
        <w:t>other</w:t>
      </w:r>
      <w:r w:rsidR="001F7ED5" w:rsidRPr="00FB3674">
        <w:t xml:space="preserve"> </w:t>
      </w:r>
      <w:r w:rsidRPr="00FB3674">
        <w:t>information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pertinence</w:t>
      </w:r>
      <w:r w:rsidR="001F7ED5" w:rsidRPr="00FB3674">
        <w:t xml:space="preserve"> </w:t>
      </w:r>
      <w:r w:rsidRPr="00FB3674">
        <w:t>on</w:t>
      </w:r>
      <w:r w:rsidR="001F7ED5" w:rsidRPr="00FB3674">
        <w:t xml:space="preserve"> </w:t>
      </w:r>
      <w:r w:rsidRPr="00FB3674">
        <w:t>file,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Committee</w:t>
      </w:r>
      <w:r w:rsidR="001F7ED5" w:rsidRPr="00FB3674">
        <w:t xml:space="preserve"> </w:t>
      </w:r>
      <w:r w:rsidRPr="00FB3674">
        <w:t>considers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author</w:t>
      </w:r>
      <w:r w:rsidR="001F7ED5" w:rsidRPr="00FB3674">
        <w:t xml:space="preserve"> </w:t>
      </w:r>
      <w:r w:rsidRPr="00FB3674">
        <w:t>has</w:t>
      </w:r>
      <w:r w:rsidR="001F7ED5" w:rsidRPr="00FB3674">
        <w:t xml:space="preserve"> </w:t>
      </w:r>
      <w:r w:rsidRPr="00FB3674">
        <w:t>failed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sufficiently</w:t>
      </w:r>
      <w:r w:rsidR="001F7ED5" w:rsidRPr="00FB3674">
        <w:t xml:space="preserve"> </w:t>
      </w:r>
      <w:r w:rsidRPr="00FB3674">
        <w:t>substantiate</w:t>
      </w:r>
      <w:r w:rsidR="001F7ED5" w:rsidRPr="00FB3674">
        <w:t xml:space="preserve"> </w:t>
      </w:r>
      <w:r w:rsidRPr="00FB3674">
        <w:t>this</w:t>
      </w:r>
      <w:r w:rsidR="001F7ED5" w:rsidRPr="00FB3674">
        <w:t xml:space="preserve"> </w:t>
      </w:r>
      <w:r w:rsidRPr="00FB3674">
        <w:t>claim</w:t>
      </w:r>
      <w:r w:rsidR="001F7ED5" w:rsidRPr="00FB3674">
        <w:t xml:space="preserve"> </w:t>
      </w:r>
      <w:r w:rsidRPr="00FB3674">
        <w:t>and</w:t>
      </w:r>
      <w:r w:rsidR="001F7ED5" w:rsidRPr="00FB3674">
        <w:t xml:space="preserve"> declares </w:t>
      </w:r>
      <w:r w:rsidRPr="00FB3674">
        <w:t>it</w:t>
      </w:r>
      <w:r w:rsidR="001F7ED5" w:rsidRPr="00FB3674">
        <w:t xml:space="preserve"> </w:t>
      </w:r>
      <w:r w:rsidRPr="00FB3674">
        <w:t>inadmissible</w:t>
      </w:r>
      <w:r w:rsidR="001F7ED5" w:rsidRPr="00FB3674">
        <w:t xml:space="preserve"> </w:t>
      </w:r>
      <w:r w:rsidRPr="00FB3674">
        <w:t>under</w:t>
      </w:r>
      <w:r w:rsidR="001F7ED5" w:rsidRPr="00FB3674">
        <w:t xml:space="preserve"> </w:t>
      </w:r>
      <w:r w:rsidRPr="00FB3674">
        <w:t>article</w:t>
      </w:r>
      <w:r w:rsidR="001F7ED5" w:rsidRPr="00FB3674">
        <w:t xml:space="preserve"> </w:t>
      </w:r>
      <w:r w:rsidRPr="00FB3674">
        <w:t>2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Optional</w:t>
      </w:r>
      <w:r w:rsidR="001F7ED5" w:rsidRPr="00FB3674">
        <w:t xml:space="preserve"> </w:t>
      </w:r>
      <w:r w:rsidRPr="00FB3674">
        <w:t>Protocol.</w:t>
      </w:r>
    </w:p>
    <w:p w14:paraId="065B64AC" w14:textId="1B0AC62B" w:rsidR="005D5882" w:rsidRPr="00FB3674" w:rsidRDefault="005D5882" w:rsidP="005D5882">
      <w:pPr>
        <w:pStyle w:val="SingleTxtG"/>
      </w:pPr>
      <w:r w:rsidRPr="00FB3674">
        <w:t>8.5</w:t>
      </w:r>
      <w:r w:rsidRPr="00FB3674">
        <w:tab/>
        <w:t>The</w:t>
      </w:r>
      <w:r w:rsidR="001F7ED5" w:rsidRPr="00FB3674">
        <w:t xml:space="preserve"> </w:t>
      </w:r>
      <w:r w:rsidRPr="00FB3674">
        <w:t>Committee</w:t>
      </w:r>
      <w:r w:rsidR="001F7ED5" w:rsidRPr="00FB3674">
        <w:t xml:space="preserve"> </w:t>
      </w:r>
      <w:r w:rsidRPr="00FB3674">
        <w:t>notes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author</w:t>
      </w:r>
      <w:r w:rsidR="00FB3674">
        <w:t>’</w:t>
      </w:r>
      <w:r w:rsidRPr="00FB3674">
        <w:t>s</w:t>
      </w:r>
      <w:r w:rsidR="001F7ED5" w:rsidRPr="00FB3674">
        <w:t xml:space="preserve"> </w:t>
      </w:r>
      <w:r w:rsidRPr="00FB3674">
        <w:t>claims</w:t>
      </w:r>
      <w:r w:rsidR="001F7ED5" w:rsidRPr="00FB3674">
        <w:t xml:space="preserve"> </w:t>
      </w:r>
      <w:r w:rsidRPr="00FB3674">
        <w:t>under</w:t>
      </w:r>
      <w:r w:rsidR="001F7ED5" w:rsidRPr="00FB3674">
        <w:t xml:space="preserve"> </w:t>
      </w:r>
      <w:r w:rsidRPr="00FB3674">
        <w:t>article</w:t>
      </w:r>
      <w:r w:rsidR="001F7ED5" w:rsidRPr="00FB3674">
        <w:t xml:space="preserve"> </w:t>
      </w:r>
      <w:r w:rsidRPr="00FB3674">
        <w:t>14</w:t>
      </w:r>
      <w:r w:rsidR="001F7ED5" w:rsidRPr="00FB3674">
        <w:t xml:space="preserve"> </w:t>
      </w:r>
      <w:r w:rsidRPr="00FB3674">
        <w:t>(2)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Covenant.</w:t>
      </w:r>
      <w:r w:rsidR="001F7ED5" w:rsidRPr="00FB3674">
        <w:t xml:space="preserve"> </w:t>
      </w:r>
      <w:r w:rsidRPr="00FB3674">
        <w:t>In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absence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any</w:t>
      </w:r>
      <w:r w:rsidR="001F7ED5" w:rsidRPr="00FB3674">
        <w:t xml:space="preserve"> </w:t>
      </w:r>
      <w:r w:rsidRPr="00FB3674">
        <w:t>further</w:t>
      </w:r>
      <w:r w:rsidR="001F7ED5" w:rsidRPr="00FB3674">
        <w:t xml:space="preserve"> </w:t>
      </w:r>
      <w:r w:rsidRPr="00FB3674">
        <w:t>pertinent</w:t>
      </w:r>
      <w:r w:rsidR="001F7ED5" w:rsidRPr="00FB3674">
        <w:t xml:space="preserve"> </w:t>
      </w:r>
      <w:r w:rsidRPr="00FB3674">
        <w:t>information</w:t>
      </w:r>
      <w:r w:rsidR="001F7ED5" w:rsidRPr="00FB3674">
        <w:t xml:space="preserve"> </w:t>
      </w:r>
      <w:r w:rsidRPr="00FB3674">
        <w:t>or</w:t>
      </w:r>
      <w:r w:rsidR="001F7ED5" w:rsidRPr="00FB3674">
        <w:t xml:space="preserve"> </w:t>
      </w:r>
      <w:r w:rsidRPr="00FB3674">
        <w:t>explanations</w:t>
      </w:r>
      <w:r w:rsidR="001F7ED5" w:rsidRPr="00FB3674">
        <w:t xml:space="preserve"> </w:t>
      </w:r>
      <w:r w:rsidRPr="00FB3674">
        <w:t>on</w:t>
      </w:r>
      <w:r w:rsidR="001F7ED5" w:rsidRPr="00FB3674">
        <w:t xml:space="preserve"> </w:t>
      </w:r>
      <w:r w:rsidRPr="00FB3674">
        <w:t>file,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Committee</w:t>
      </w:r>
      <w:r w:rsidR="001F7ED5" w:rsidRPr="00FB3674">
        <w:t xml:space="preserve"> </w:t>
      </w:r>
      <w:r w:rsidRPr="00FB3674">
        <w:t>considers,</w:t>
      </w:r>
      <w:r w:rsidR="001F7ED5" w:rsidRPr="00FB3674">
        <w:t xml:space="preserve"> </w:t>
      </w:r>
      <w:r w:rsidRPr="00FB3674">
        <w:t>however,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author</w:t>
      </w:r>
      <w:r w:rsidR="001F7ED5" w:rsidRPr="00FB3674">
        <w:t xml:space="preserve"> </w:t>
      </w:r>
      <w:r w:rsidRPr="00FB3674">
        <w:t>has</w:t>
      </w:r>
      <w:r w:rsidR="001F7ED5" w:rsidRPr="00FB3674">
        <w:t xml:space="preserve"> </w:t>
      </w:r>
      <w:r w:rsidRPr="00FB3674">
        <w:t>failed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sufficiently</w:t>
      </w:r>
      <w:r w:rsidR="001F7ED5" w:rsidRPr="00FB3674">
        <w:t xml:space="preserve"> </w:t>
      </w:r>
      <w:r w:rsidRPr="00FB3674">
        <w:t>substantiate,</w:t>
      </w:r>
      <w:r w:rsidR="001F7ED5" w:rsidRPr="00FB3674">
        <w:t xml:space="preserve"> </w:t>
      </w:r>
      <w:r w:rsidRPr="00FB3674">
        <w:t>for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purposes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admissibility,</w:t>
      </w:r>
      <w:r w:rsidR="001F7ED5" w:rsidRPr="00FB3674">
        <w:t xml:space="preserve"> </w:t>
      </w:r>
      <w:r w:rsidRPr="00FB3674">
        <w:t>this</w:t>
      </w:r>
      <w:r w:rsidR="001F7ED5" w:rsidRPr="00FB3674">
        <w:t xml:space="preserve"> </w:t>
      </w:r>
      <w:r w:rsidRPr="00FB3674">
        <w:t>allegation.</w:t>
      </w:r>
      <w:r w:rsidR="001F7ED5" w:rsidRPr="00FB3674">
        <w:t xml:space="preserve"> </w:t>
      </w:r>
      <w:r w:rsidRPr="00FB3674">
        <w:t>Accordingly,</w:t>
      </w:r>
      <w:r w:rsidR="001F7ED5" w:rsidRPr="00FB3674">
        <w:t xml:space="preserve"> </w:t>
      </w:r>
      <w:r w:rsidRPr="00FB3674">
        <w:t>it</w:t>
      </w:r>
      <w:r w:rsidR="001F7ED5" w:rsidRPr="00FB3674">
        <w:t xml:space="preserve"> </w:t>
      </w:r>
      <w:r w:rsidRPr="00FB3674">
        <w:t>declares</w:t>
      </w:r>
      <w:r w:rsidR="001F7ED5" w:rsidRPr="00FB3674">
        <w:t xml:space="preserve"> </w:t>
      </w:r>
      <w:r w:rsidRPr="00FB3674">
        <w:t>this</w:t>
      </w:r>
      <w:r w:rsidR="001F7ED5" w:rsidRPr="00FB3674">
        <w:t xml:space="preserve"> </w:t>
      </w:r>
      <w:r w:rsidRPr="00FB3674">
        <w:t>part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communication</w:t>
      </w:r>
      <w:r w:rsidR="001F7ED5" w:rsidRPr="00FB3674">
        <w:t xml:space="preserve"> </w:t>
      </w:r>
      <w:r w:rsidRPr="00FB3674">
        <w:t>inadmissible</w:t>
      </w:r>
      <w:r w:rsidR="001F7ED5" w:rsidRPr="00FB3674">
        <w:t xml:space="preserve"> </w:t>
      </w:r>
      <w:r w:rsidRPr="00FB3674">
        <w:t>under</w:t>
      </w:r>
      <w:r w:rsidR="001F7ED5" w:rsidRPr="00FB3674">
        <w:t xml:space="preserve"> </w:t>
      </w:r>
      <w:r w:rsidRPr="00FB3674">
        <w:t>article</w:t>
      </w:r>
      <w:r w:rsidR="001F7ED5" w:rsidRPr="00FB3674">
        <w:t xml:space="preserve"> </w:t>
      </w:r>
      <w:r w:rsidRPr="00FB3674">
        <w:t>2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Optional</w:t>
      </w:r>
      <w:r w:rsidR="001F7ED5" w:rsidRPr="00FB3674">
        <w:t xml:space="preserve"> </w:t>
      </w:r>
      <w:r w:rsidRPr="00FB3674">
        <w:t>Protocol.</w:t>
      </w:r>
    </w:p>
    <w:p w14:paraId="7B31DE71" w14:textId="2D4992BD" w:rsidR="005D5882" w:rsidRPr="00FB3674" w:rsidRDefault="005D5882" w:rsidP="005D5882">
      <w:pPr>
        <w:pStyle w:val="SingleTxtG"/>
      </w:pPr>
      <w:r w:rsidRPr="00FB3674">
        <w:t>8.6</w:t>
      </w:r>
      <w:r w:rsidRPr="00FB3674">
        <w:tab/>
        <w:t>As</w:t>
      </w:r>
      <w:r w:rsidR="001F7ED5" w:rsidRPr="00FB3674">
        <w:t xml:space="preserve"> </w:t>
      </w:r>
      <w:r w:rsidRPr="00FB3674">
        <w:t>regards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author</w:t>
      </w:r>
      <w:r w:rsidR="00FB3674">
        <w:t>’</w:t>
      </w:r>
      <w:r w:rsidRPr="00FB3674">
        <w:t>s</w:t>
      </w:r>
      <w:r w:rsidR="001F7ED5" w:rsidRPr="00FB3674">
        <w:t xml:space="preserve"> </w:t>
      </w:r>
      <w:r w:rsidRPr="00FB3674">
        <w:t>allegations</w:t>
      </w:r>
      <w:r w:rsidR="001F7ED5" w:rsidRPr="00FB3674">
        <w:t xml:space="preserve"> </w:t>
      </w:r>
      <w:r w:rsidRPr="00FB3674">
        <w:t>under</w:t>
      </w:r>
      <w:r w:rsidR="001F7ED5" w:rsidRPr="00FB3674">
        <w:t xml:space="preserve"> </w:t>
      </w:r>
      <w:r w:rsidRPr="00FB3674">
        <w:t>article</w:t>
      </w:r>
      <w:r w:rsidR="001F7ED5" w:rsidRPr="00FB3674">
        <w:t xml:space="preserve"> </w:t>
      </w:r>
      <w:r w:rsidRPr="00FB3674">
        <w:t>14</w:t>
      </w:r>
      <w:r w:rsidR="001F7ED5" w:rsidRPr="00FB3674">
        <w:t xml:space="preserve"> </w:t>
      </w:r>
      <w:r w:rsidRPr="00FB3674">
        <w:t>(6)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Covenant,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Committee</w:t>
      </w:r>
      <w:r w:rsidR="001F7ED5" w:rsidRPr="00FB3674">
        <w:t xml:space="preserve"> </w:t>
      </w:r>
      <w:r w:rsidRPr="00FB3674">
        <w:t>observes</w:t>
      </w:r>
      <w:r w:rsidR="001F7ED5" w:rsidRPr="00FB3674">
        <w:t xml:space="preserve"> </w:t>
      </w:r>
      <w:r w:rsidRPr="00FB3674">
        <w:t>that,</w:t>
      </w:r>
      <w:r w:rsidR="001F7ED5" w:rsidRPr="00FB3674">
        <w:t xml:space="preserve"> </w:t>
      </w:r>
      <w:r w:rsidRPr="00FB3674">
        <w:t>in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present</w:t>
      </w:r>
      <w:r w:rsidR="001F7ED5" w:rsidRPr="00FB3674">
        <w:t xml:space="preserve"> </w:t>
      </w:r>
      <w:r w:rsidRPr="00FB3674">
        <w:t>case,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author</w:t>
      </w:r>
      <w:r w:rsidR="00FB3674">
        <w:t>’</w:t>
      </w:r>
      <w:r w:rsidRPr="00FB3674">
        <w:t>s</w:t>
      </w:r>
      <w:r w:rsidR="001F7ED5" w:rsidRPr="00FB3674">
        <w:t xml:space="preserve"> </w:t>
      </w:r>
      <w:r w:rsidRPr="00FB3674">
        <w:t>conviction</w:t>
      </w:r>
      <w:r w:rsidR="001F7ED5" w:rsidRPr="00FB3674">
        <w:t xml:space="preserve"> </w:t>
      </w:r>
      <w:r w:rsidRPr="00FB3674">
        <w:t>has</w:t>
      </w:r>
      <w:r w:rsidR="001F7ED5" w:rsidRPr="00FB3674">
        <w:t xml:space="preserve"> </w:t>
      </w:r>
      <w:r w:rsidRPr="00FB3674">
        <w:t>never</w:t>
      </w:r>
      <w:r w:rsidR="001F7ED5" w:rsidRPr="00FB3674">
        <w:t xml:space="preserve"> </w:t>
      </w:r>
      <w:r w:rsidRPr="00FB3674">
        <w:t>been</w:t>
      </w:r>
      <w:r w:rsidR="001F7ED5" w:rsidRPr="00FB3674">
        <w:t xml:space="preserve"> </w:t>
      </w:r>
      <w:r w:rsidRPr="00FB3674">
        <w:t>reversed</w:t>
      </w:r>
      <w:r w:rsidR="001F7ED5" w:rsidRPr="00FB3674">
        <w:t xml:space="preserve"> </w:t>
      </w:r>
      <w:r w:rsidRPr="00FB3674">
        <w:t>by</w:t>
      </w:r>
      <w:r w:rsidR="001F7ED5" w:rsidRPr="00FB3674">
        <w:t xml:space="preserve"> </w:t>
      </w:r>
      <w:r w:rsidRPr="00FB3674">
        <w:t>any</w:t>
      </w:r>
      <w:r w:rsidR="001F7ED5" w:rsidRPr="00FB3674">
        <w:t xml:space="preserve"> </w:t>
      </w:r>
      <w:r w:rsidRPr="00FB3674">
        <w:t>later</w:t>
      </w:r>
      <w:r w:rsidR="001F7ED5" w:rsidRPr="00FB3674">
        <w:t xml:space="preserve"> </w:t>
      </w:r>
      <w:r w:rsidRPr="00FB3674">
        <w:t>judicial</w:t>
      </w:r>
      <w:r w:rsidR="001F7ED5" w:rsidRPr="00FB3674">
        <w:t xml:space="preserve"> </w:t>
      </w:r>
      <w:r w:rsidRPr="00FB3674">
        <w:t>decision</w:t>
      </w:r>
      <w:r w:rsidR="001F7ED5" w:rsidRPr="00FB3674">
        <w:t xml:space="preserve"> </w:t>
      </w:r>
      <w:r w:rsidRPr="00FB3674">
        <w:t>and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author</w:t>
      </w:r>
      <w:r w:rsidR="001F7ED5" w:rsidRPr="00FB3674">
        <w:t xml:space="preserve"> </w:t>
      </w:r>
      <w:r w:rsidRPr="00FB3674">
        <w:t>has</w:t>
      </w:r>
      <w:r w:rsidR="001F7ED5" w:rsidRPr="00FB3674">
        <w:t xml:space="preserve"> </w:t>
      </w:r>
      <w:r w:rsidRPr="00FB3674">
        <w:t>never</w:t>
      </w:r>
      <w:r w:rsidR="001F7ED5" w:rsidRPr="00FB3674">
        <w:t xml:space="preserve"> </w:t>
      </w:r>
      <w:r w:rsidRPr="00FB3674">
        <w:t>been</w:t>
      </w:r>
      <w:r w:rsidR="001F7ED5" w:rsidRPr="00FB3674">
        <w:t xml:space="preserve"> </w:t>
      </w:r>
      <w:r w:rsidRPr="00FB3674">
        <w:t>pardoned.</w:t>
      </w:r>
      <w:r w:rsidR="001F7ED5" w:rsidRPr="00FB3674">
        <w:t xml:space="preserve"> </w:t>
      </w:r>
      <w:r w:rsidRPr="00FB3674">
        <w:t>Accordingly,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Committee</w:t>
      </w:r>
      <w:r w:rsidR="001F7ED5" w:rsidRPr="00FB3674">
        <w:t xml:space="preserve"> </w:t>
      </w:r>
      <w:r w:rsidRPr="00FB3674">
        <w:t>considers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article</w:t>
      </w:r>
      <w:r w:rsidR="001F7ED5" w:rsidRPr="00FB3674">
        <w:t xml:space="preserve"> </w:t>
      </w:r>
      <w:r w:rsidRPr="00FB3674">
        <w:t>14</w:t>
      </w:r>
      <w:r w:rsidR="001F7ED5" w:rsidRPr="00FB3674">
        <w:t xml:space="preserve"> </w:t>
      </w:r>
      <w:r w:rsidRPr="00FB3674">
        <w:t>(6)</w:t>
      </w:r>
      <w:r w:rsidR="001F7ED5" w:rsidRPr="00FB3674">
        <w:t xml:space="preserve"> </w:t>
      </w:r>
      <w:r w:rsidRPr="00FB3674">
        <w:t>does</w:t>
      </w:r>
      <w:r w:rsidR="001F7ED5" w:rsidRPr="00FB3674">
        <w:t xml:space="preserve"> </w:t>
      </w:r>
      <w:r w:rsidRPr="00FB3674">
        <w:t>not</w:t>
      </w:r>
      <w:r w:rsidR="001F7ED5" w:rsidRPr="00FB3674">
        <w:t xml:space="preserve"> </w:t>
      </w:r>
      <w:r w:rsidRPr="00FB3674">
        <w:t>apply</w:t>
      </w:r>
      <w:r w:rsidR="001F7ED5" w:rsidRPr="00FB3674">
        <w:t xml:space="preserve"> </w:t>
      </w:r>
      <w:r w:rsidRPr="00FB3674">
        <w:t>in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present</w:t>
      </w:r>
      <w:r w:rsidR="001F7ED5" w:rsidRPr="00FB3674">
        <w:t xml:space="preserve"> </w:t>
      </w:r>
      <w:r w:rsidRPr="00FB3674">
        <w:t>case</w:t>
      </w:r>
      <w:r w:rsidR="001F7ED5" w:rsidRPr="00FB3674">
        <w:t xml:space="preserve"> </w:t>
      </w:r>
      <w:r w:rsidRPr="00FB3674">
        <w:t>and</w:t>
      </w:r>
      <w:r w:rsidR="001F7ED5" w:rsidRPr="00FB3674">
        <w:t xml:space="preserve"> </w:t>
      </w:r>
      <w:r w:rsidRPr="00FB3674">
        <w:t>that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author</w:t>
      </w:r>
      <w:r w:rsidR="00FB3674">
        <w:t>’</w:t>
      </w:r>
      <w:r w:rsidRPr="00FB3674">
        <w:t>s</w:t>
      </w:r>
      <w:r w:rsidR="001F7ED5" w:rsidRPr="00FB3674">
        <w:t xml:space="preserve"> </w:t>
      </w:r>
      <w:r w:rsidRPr="00FB3674">
        <w:t>claim</w:t>
      </w:r>
      <w:r w:rsidR="001F7ED5" w:rsidRPr="00FB3674">
        <w:t xml:space="preserve"> </w:t>
      </w:r>
      <w:r w:rsidRPr="00FB3674">
        <w:t>is</w:t>
      </w:r>
      <w:r w:rsidR="001F7ED5" w:rsidRPr="00FB3674">
        <w:t xml:space="preserve"> </w:t>
      </w:r>
      <w:r w:rsidRPr="00FB3674">
        <w:t>inadmissible</w:t>
      </w:r>
      <w:r w:rsidR="001F7ED5" w:rsidRPr="00FB3674">
        <w:t xml:space="preserve"> </w:t>
      </w:r>
      <w:r w:rsidRPr="00FB3674">
        <w:rPr>
          <w:i/>
          <w:iCs/>
        </w:rPr>
        <w:t>ratione</w:t>
      </w:r>
      <w:r w:rsidR="001F7ED5" w:rsidRPr="00FB3674">
        <w:rPr>
          <w:i/>
          <w:iCs/>
        </w:rPr>
        <w:t xml:space="preserve"> </w:t>
      </w:r>
      <w:r w:rsidRPr="00FB3674">
        <w:rPr>
          <w:i/>
          <w:iCs/>
        </w:rPr>
        <w:t>materiae</w:t>
      </w:r>
      <w:r w:rsidR="001F7ED5" w:rsidRPr="00FB3674">
        <w:t xml:space="preserve"> </w:t>
      </w:r>
      <w:r w:rsidRPr="00FB3674">
        <w:t>under</w:t>
      </w:r>
      <w:r w:rsidR="001F7ED5" w:rsidRPr="00FB3674">
        <w:t xml:space="preserve"> </w:t>
      </w:r>
      <w:r w:rsidRPr="00FB3674">
        <w:t>article</w:t>
      </w:r>
      <w:r w:rsidR="001F7ED5" w:rsidRPr="00FB3674">
        <w:t xml:space="preserve"> </w:t>
      </w:r>
      <w:r w:rsidRPr="00FB3674">
        <w:t>3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Optional</w:t>
      </w:r>
      <w:r w:rsidR="001F7ED5" w:rsidRPr="00FB3674">
        <w:t xml:space="preserve"> </w:t>
      </w:r>
      <w:r w:rsidRPr="00FB3674">
        <w:t>Covenant.</w:t>
      </w:r>
    </w:p>
    <w:p w14:paraId="432F8B96" w14:textId="38A24D26" w:rsidR="005D5882" w:rsidRPr="00FB3674" w:rsidRDefault="005D5882" w:rsidP="005D5882">
      <w:pPr>
        <w:pStyle w:val="SingleTxtG"/>
      </w:pPr>
      <w:r w:rsidRPr="00FB3674">
        <w:t>9.</w:t>
      </w:r>
      <w:r w:rsidRPr="00FB3674">
        <w:tab/>
        <w:t>The</w:t>
      </w:r>
      <w:r w:rsidR="001F7ED5" w:rsidRPr="00FB3674">
        <w:t xml:space="preserve"> </w:t>
      </w:r>
      <w:r w:rsidRPr="00FB3674">
        <w:t>Committee</w:t>
      </w:r>
      <w:r w:rsidR="001F7ED5" w:rsidRPr="00FB3674">
        <w:t xml:space="preserve"> </w:t>
      </w:r>
      <w:r w:rsidRPr="00FB3674">
        <w:t>therefore</w:t>
      </w:r>
      <w:r w:rsidR="001F7ED5" w:rsidRPr="00FB3674">
        <w:t xml:space="preserve"> </w:t>
      </w:r>
      <w:r w:rsidRPr="00FB3674">
        <w:t>decides:</w:t>
      </w:r>
    </w:p>
    <w:p w14:paraId="120AE11F" w14:textId="54017E01" w:rsidR="005D5882" w:rsidRPr="00FB3674" w:rsidRDefault="005D5882" w:rsidP="005D5882">
      <w:pPr>
        <w:pStyle w:val="SingleTxtG"/>
      </w:pPr>
      <w:r w:rsidRPr="00FB3674">
        <w:tab/>
        <w:t>(a)</w:t>
      </w:r>
      <w:r w:rsidRPr="00FB3674">
        <w:tab/>
        <w:t>That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communication</w:t>
      </w:r>
      <w:r w:rsidR="001F7ED5" w:rsidRPr="00FB3674">
        <w:t xml:space="preserve"> </w:t>
      </w:r>
      <w:r w:rsidRPr="00FB3674">
        <w:t>is</w:t>
      </w:r>
      <w:r w:rsidR="001F7ED5" w:rsidRPr="00FB3674">
        <w:t xml:space="preserve"> </w:t>
      </w:r>
      <w:r w:rsidRPr="00FB3674">
        <w:t>inadmissible</w:t>
      </w:r>
      <w:r w:rsidR="001F7ED5" w:rsidRPr="00FB3674">
        <w:t xml:space="preserve"> </w:t>
      </w:r>
      <w:r w:rsidRPr="00FB3674">
        <w:t>under</w:t>
      </w:r>
      <w:r w:rsidR="001F7ED5" w:rsidRPr="00FB3674">
        <w:t xml:space="preserve"> </w:t>
      </w:r>
      <w:r w:rsidRPr="00FB3674">
        <w:t>articles</w:t>
      </w:r>
      <w:r w:rsidR="001F7ED5" w:rsidRPr="00FB3674">
        <w:t xml:space="preserve"> </w:t>
      </w:r>
      <w:r w:rsidRPr="00FB3674">
        <w:t>2</w:t>
      </w:r>
      <w:r w:rsidR="001F7ED5" w:rsidRPr="00FB3674">
        <w:t xml:space="preserve"> </w:t>
      </w:r>
      <w:r w:rsidRPr="00FB3674">
        <w:t>and</w:t>
      </w:r>
      <w:r w:rsidR="001F7ED5" w:rsidRPr="00FB3674">
        <w:t xml:space="preserve"> </w:t>
      </w:r>
      <w:r w:rsidRPr="00FB3674">
        <w:t>3</w:t>
      </w:r>
      <w:r w:rsidR="001F7ED5" w:rsidRPr="00FB3674">
        <w:t xml:space="preserve"> </w:t>
      </w:r>
      <w:r w:rsidRPr="00FB3674">
        <w:t>of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Optional</w:t>
      </w:r>
      <w:r w:rsidR="001F7ED5" w:rsidRPr="00FB3674">
        <w:t xml:space="preserve"> </w:t>
      </w:r>
      <w:r w:rsidRPr="00FB3674">
        <w:t>Protocol;</w:t>
      </w:r>
    </w:p>
    <w:p w14:paraId="466B1DC1" w14:textId="5343E031" w:rsidR="005D5882" w:rsidRPr="00FB3674" w:rsidRDefault="005D5882" w:rsidP="005D5882">
      <w:pPr>
        <w:pStyle w:val="SingleTxtG"/>
      </w:pPr>
      <w:r w:rsidRPr="00FB3674">
        <w:tab/>
        <w:t>(b)</w:t>
      </w:r>
      <w:r w:rsidRPr="00FB3674">
        <w:tab/>
        <w:t>That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present</w:t>
      </w:r>
      <w:r w:rsidR="001F7ED5" w:rsidRPr="00FB3674">
        <w:t xml:space="preserve"> </w:t>
      </w:r>
      <w:r w:rsidRPr="00FB3674">
        <w:t>decision</w:t>
      </w:r>
      <w:r w:rsidR="001F7ED5" w:rsidRPr="00FB3674">
        <w:t xml:space="preserve"> </w:t>
      </w:r>
      <w:r w:rsidRPr="00FB3674">
        <w:t>shall</w:t>
      </w:r>
      <w:r w:rsidR="001F7ED5" w:rsidRPr="00FB3674">
        <w:t xml:space="preserve"> </w:t>
      </w:r>
      <w:r w:rsidRPr="00FB3674">
        <w:t>be</w:t>
      </w:r>
      <w:r w:rsidR="001F7ED5" w:rsidRPr="00FB3674">
        <w:t xml:space="preserve"> </w:t>
      </w:r>
      <w:r w:rsidRPr="00FB3674">
        <w:t>transmitted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State</w:t>
      </w:r>
      <w:r w:rsidR="001F7ED5" w:rsidRPr="00FB3674">
        <w:t xml:space="preserve"> </w:t>
      </w:r>
      <w:r w:rsidRPr="00FB3674">
        <w:t>party</w:t>
      </w:r>
      <w:r w:rsidR="001F7ED5" w:rsidRPr="00FB3674">
        <w:t xml:space="preserve"> </w:t>
      </w:r>
      <w:r w:rsidRPr="00FB3674">
        <w:t>and</w:t>
      </w:r>
      <w:r w:rsidR="001F7ED5" w:rsidRPr="00FB3674">
        <w:t xml:space="preserve"> </w:t>
      </w:r>
      <w:r w:rsidRPr="00FB3674">
        <w:t>to</w:t>
      </w:r>
      <w:r w:rsidR="001F7ED5" w:rsidRPr="00FB3674">
        <w:t xml:space="preserve"> </w:t>
      </w:r>
      <w:r w:rsidRPr="00FB3674">
        <w:t>the</w:t>
      </w:r>
      <w:r w:rsidR="001F7ED5" w:rsidRPr="00FB3674">
        <w:t xml:space="preserve"> </w:t>
      </w:r>
      <w:r w:rsidRPr="00FB3674">
        <w:t>author.</w:t>
      </w:r>
    </w:p>
    <w:p w14:paraId="350ACFB2" w14:textId="34FDEC7A" w:rsidR="004A5C52" w:rsidRPr="00FB3674" w:rsidRDefault="004A5C52" w:rsidP="004A5C52">
      <w:pPr>
        <w:spacing w:before="240"/>
        <w:jc w:val="center"/>
        <w:rPr>
          <w:u w:val="single"/>
        </w:rPr>
      </w:pPr>
      <w:r w:rsidRPr="00FB3674">
        <w:rPr>
          <w:u w:val="single"/>
        </w:rPr>
        <w:tab/>
      </w:r>
      <w:r w:rsidRPr="00FB3674">
        <w:rPr>
          <w:u w:val="single"/>
        </w:rPr>
        <w:tab/>
      </w:r>
      <w:r w:rsidRPr="00FB3674">
        <w:rPr>
          <w:u w:val="single"/>
        </w:rPr>
        <w:tab/>
      </w:r>
    </w:p>
    <w:sectPr w:rsidR="004A5C52" w:rsidRPr="00FB3674" w:rsidSect="00472FE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E958F" w14:textId="77777777" w:rsidR="00FC5ABB" w:rsidRPr="00B903E5" w:rsidRDefault="00FC5ABB" w:rsidP="00B903E5">
      <w:pPr>
        <w:pStyle w:val="Footer"/>
      </w:pPr>
    </w:p>
  </w:endnote>
  <w:endnote w:type="continuationSeparator" w:id="0">
    <w:p w14:paraId="2612CA4F" w14:textId="77777777" w:rsidR="00FC5ABB" w:rsidRPr="00B903E5" w:rsidRDefault="00FC5ABB" w:rsidP="00B903E5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757AB" w14:textId="1BB4043A" w:rsidR="00FC5ABB" w:rsidRDefault="00FC5ABB" w:rsidP="005D5882">
    <w:pPr>
      <w:pStyle w:val="Footer"/>
      <w:tabs>
        <w:tab w:val="right" w:pos="9638"/>
      </w:tabs>
    </w:pPr>
    <w:r w:rsidRPr="005D5882">
      <w:rPr>
        <w:b/>
        <w:bCs/>
        <w:sz w:val="18"/>
      </w:rPr>
      <w:fldChar w:fldCharType="begin"/>
    </w:r>
    <w:r w:rsidRPr="005D5882">
      <w:rPr>
        <w:b/>
        <w:bCs/>
        <w:sz w:val="18"/>
      </w:rPr>
      <w:instrText xml:space="preserve"> PAGE  \* MERGEFORMAT </w:instrText>
    </w:r>
    <w:r w:rsidRPr="005D5882">
      <w:rPr>
        <w:b/>
        <w:bCs/>
        <w:sz w:val="18"/>
      </w:rPr>
      <w:fldChar w:fldCharType="separate"/>
    </w:r>
    <w:r w:rsidR="006F0721">
      <w:rPr>
        <w:b/>
        <w:bCs/>
        <w:noProof/>
        <w:sz w:val="18"/>
      </w:rPr>
      <w:t>10</w:t>
    </w:r>
    <w:r w:rsidRPr="005D5882">
      <w:rPr>
        <w:b/>
        <w:bCs/>
        <w:sz w:val="18"/>
      </w:rPr>
      <w:fldChar w:fldCharType="end"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3D1D2" w14:textId="43B0D185" w:rsidR="00FC5ABB" w:rsidRDefault="00FC5ABB" w:rsidP="005D5882">
    <w:pPr>
      <w:pStyle w:val="Footer"/>
      <w:tabs>
        <w:tab w:val="right" w:pos="9638"/>
      </w:tabs>
    </w:pPr>
    <w:r>
      <w:tab/>
    </w:r>
    <w:r w:rsidRPr="005D5882">
      <w:rPr>
        <w:b/>
        <w:bCs/>
        <w:sz w:val="18"/>
      </w:rPr>
      <w:fldChar w:fldCharType="begin"/>
    </w:r>
    <w:r w:rsidRPr="005D5882">
      <w:rPr>
        <w:b/>
        <w:bCs/>
        <w:sz w:val="18"/>
      </w:rPr>
      <w:instrText xml:space="preserve"> PAGE  \* MERGEFORMAT </w:instrText>
    </w:r>
    <w:r w:rsidRPr="005D5882">
      <w:rPr>
        <w:b/>
        <w:bCs/>
        <w:sz w:val="18"/>
      </w:rPr>
      <w:fldChar w:fldCharType="separate"/>
    </w:r>
    <w:r w:rsidR="006F0721">
      <w:rPr>
        <w:b/>
        <w:bCs/>
        <w:noProof/>
        <w:sz w:val="18"/>
      </w:rPr>
      <w:t>11</w:t>
    </w:r>
    <w:r w:rsidRPr="005D5882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DC4B9" w14:textId="19A3A97F" w:rsidR="002A55CD" w:rsidRPr="002A55CD" w:rsidRDefault="002A55CD" w:rsidP="002A55CD">
    <w:pPr>
      <w:pStyle w:val="Footer"/>
      <w:rPr>
        <w:sz w:val="20"/>
      </w:rPr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0A4A4EA1" wp14:editId="5FB721CC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</w:rPr>
      <w:t>GE.22-00974(E)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7D8E979" wp14:editId="7FD11759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4ECC7" w14:textId="77777777" w:rsidR="00FC5ABB" w:rsidRPr="00B903E5" w:rsidRDefault="00FC5ABB" w:rsidP="00B903E5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4F17021F" w14:textId="77777777" w:rsidR="00FC5ABB" w:rsidRPr="00B903E5" w:rsidRDefault="00FC5ABB" w:rsidP="00B903E5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14:paraId="6184AAD4" w14:textId="00A2937E" w:rsidR="00FC5ABB" w:rsidRPr="004A5C52" w:rsidRDefault="00FC5ABB">
      <w:pPr>
        <w:pStyle w:val="FootnoteText"/>
        <w:rPr>
          <w:lang w:val="en-US"/>
        </w:rPr>
      </w:pPr>
      <w:r w:rsidRPr="004A5C52">
        <w:rPr>
          <w:rStyle w:val="FootnoteReference"/>
        </w:rPr>
        <w:tab/>
      </w:r>
      <w:r w:rsidRPr="004A5C52">
        <w:rPr>
          <w:rStyle w:val="FootnoteReference"/>
          <w:sz w:val="20"/>
          <w:vertAlign w:val="baseline"/>
        </w:rPr>
        <w:t>*</w:t>
      </w:r>
      <w:r w:rsidRPr="004A5C52">
        <w:rPr>
          <w:rStyle w:val="FootnoteReference"/>
          <w:sz w:val="20"/>
          <w:vertAlign w:val="baseline"/>
        </w:rPr>
        <w:tab/>
      </w:r>
      <w:r w:rsidRPr="004A5C52">
        <w:t>Adopted</w:t>
      </w:r>
      <w:r w:rsidR="001F7ED5">
        <w:t xml:space="preserve"> </w:t>
      </w:r>
      <w:r w:rsidRPr="004A5C52">
        <w:t>by</w:t>
      </w:r>
      <w:r w:rsidR="001F7ED5">
        <w:t xml:space="preserve"> </w:t>
      </w:r>
      <w:r w:rsidRPr="004A5C52">
        <w:t>the</w:t>
      </w:r>
      <w:r w:rsidR="001F7ED5">
        <w:t xml:space="preserve"> </w:t>
      </w:r>
      <w:r w:rsidRPr="004A5C52">
        <w:t>Committee</w:t>
      </w:r>
      <w:r w:rsidR="001F7ED5">
        <w:t xml:space="preserve"> </w:t>
      </w:r>
      <w:r w:rsidRPr="004A5C52">
        <w:t>at</w:t>
      </w:r>
      <w:r w:rsidR="001F7ED5">
        <w:t xml:space="preserve"> </w:t>
      </w:r>
      <w:r w:rsidRPr="004A5C52">
        <w:t>its</w:t>
      </w:r>
      <w:r w:rsidR="001F7ED5">
        <w:t xml:space="preserve"> </w:t>
      </w:r>
      <w:r w:rsidRPr="004A5C52">
        <w:t>133rd</w:t>
      </w:r>
      <w:r w:rsidR="001F7ED5">
        <w:t xml:space="preserve"> </w:t>
      </w:r>
      <w:r w:rsidRPr="004A5C52">
        <w:t>session</w:t>
      </w:r>
      <w:r w:rsidR="001F7ED5">
        <w:t xml:space="preserve"> </w:t>
      </w:r>
      <w:r w:rsidRPr="004A5C52">
        <w:t>(11</w:t>
      </w:r>
      <w:r w:rsidR="001F7ED5">
        <w:t xml:space="preserve"> </w:t>
      </w:r>
      <w:r w:rsidRPr="004A5C52">
        <w:t>October–5</w:t>
      </w:r>
      <w:r w:rsidR="001F7ED5">
        <w:t xml:space="preserve"> </w:t>
      </w:r>
      <w:r w:rsidRPr="004A5C52">
        <w:t>November</w:t>
      </w:r>
      <w:r w:rsidR="001F7ED5">
        <w:t xml:space="preserve"> </w:t>
      </w:r>
      <w:r w:rsidRPr="004A5C52">
        <w:t>2021).</w:t>
      </w:r>
    </w:p>
  </w:footnote>
  <w:footnote w:id="2">
    <w:p w14:paraId="31D6E4E7" w14:textId="72E970BC" w:rsidR="00FC5ABB" w:rsidRPr="004A5C52" w:rsidRDefault="00FC5ABB">
      <w:pPr>
        <w:pStyle w:val="FootnoteText"/>
        <w:rPr>
          <w:lang w:val="en-US"/>
        </w:rPr>
      </w:pPr>
      <w:r w:rsidRPr="004A5C52">
        <w:rPr>
          <w:rStyle w:val="FootnoteReference"/>
        </w:rPr>
        <w:tab/>
      </w:r>
      <w:r w:rsidRPr="004A5C52">
        <w:rPr>
          <w:rStyle w:val="FootnoteReference"/>
          <w:sz w:val="20"/>
          <w:vertAlign w:val="baseline"/>
        </w:rPr>
        <w:t>**</w:t>
      </w:r>
      <w:r w:rsidRPr="004A5C52">
        <w:rPr>
          <w:rStyle w:val="FootnoteReference"/>
          <w:sz w:val="20"/>
          <w:vertAlign w:val="baseline"/>
        </w:rPr>
        <w:tab/>
      </w:r>
      <w:r w:rsidRPr="004A5C52">
        <w:t>The</w:t>
      </w:r>
      <w:r w:rsidR="001F7ED5">
        <w:t xml:space="preserve"> </w:t>
      </w:r>
      <w:r w:rsidRPr="004A5C52">
        <w:t>following</w:t>
      </w:r>
      <w:r w:rsidR="001F7ED5">
        <w:t xml:space="preserve"> </w:t>
      </w:r>
      <w:r w:rsidRPr="004A5C52">
        <w:t>members</w:t>
      </w:r>
      <w:r w:rsidR="001F7ED5">
        <w:t xml:space="preserve"> </w:t>
      </w:r>
      <w:r w:rsidRPr="004A5C52">
        <w:t>of</w:t>
      </w:r>
      <w:r w:rsidR="001F7ED5">
        <w:t xml:space="preserve"> </w:t>
      </w:r>
      <w:r w:rsidRPr="004A5C52">
        <w:t>the</w:t>
      </w:r>
      <w:r w:rsidR="001F7ED5">
        <w:t xml:space="preserve"> </w:t>
      </w:r>
      <w:r w:rsidRPr="004A5C52">
        <w:t>Committee</w:t>
      </w:r>
      <w:r w:rsidR="001F7ED5">
        <w:t xml:space="preserve"> </w:t>
      </w:r>
      <w:r w:rsidRPr="004A5C52">
        <w:t>participated</w:t>
      </w:r>
      <w:r w:rsidR="001F7ED5">
        <w:t xml:space="preserve"> </w:t>
      </w:r>
      <w:r w:rsidRPr="004A5C52">
        <w:t>in</w:t>
      </w:r>
      <w:r w:rsidR="001F7ED5">
        <w:t xml:space="preserve"> </w:t>
      </w:r>
      <w:r w:rsidRPr="004A5C52">
        <w:t>the</w:t>
      </w:r>
      <w:r w:rsidR="001F7ED5">
        <w:t xml:space="preserve"> </w:t>
      </w:r>
      <w:r w:rsidRPr="004A5C52">
        <w:t>examination</w:t>
      </w:r>
      <w:r w:rsidR="001F7ED5">
        <w:t xml:space="preserve"> </w:t>
      </w:r>
      <w:r w:rsidRPr="004A5C52">
        <w:t>of</w:t>
      </w:r>
      <w:r w:rsidR="001F7ED5">
        <w:t xml:space="preserve"> </w:t>
      </w:r>
      <w:r w:rsidRPr="004A5C52">
        <w:t>the</w:t>
      </w:r>
      <w:r w:rsidR="001F7ED5">
        <w:t xml:space="preserve"> </w:t>
      </w:r>
      <w:r w:rsidRPr="004A5C52">
        <w:t>present</w:t>
      </w:r>
      <w:r w:rsidR="001F7ED5">
        <w:t xml:space="preserve"> </w:t>
      </w:r>
      <w:r w:rsidRPr="004A5C52">
        <w:t>communication:</w:t>
      </w:r>
      <w:r w:rsidR="001F7ED5">
        <w:t xml:space="preserve"> </w:t>
      </w:r>
      <w:r w:rsidRPr="004A5C52">
        <w:t>Wafaa</w:t>
      </w:r>
      <w:r w:rsidR="001F7ED5">
        <w:t xml:space="preserve"> </w:t>
      </w:r>
      <w:r w:rsidRPr="004A5C52">
        <w:t>Ashraf</w:t>
      </w:r>
      <w:r w:rsidR="001F7ED5">
        <w:t xml:space="preserve"> </w:t>
      </w:r>
      <w:r w:rsidRPr="004A5C52">
        <w:t>Moharram</w:t>
      </w:r>
      <w:r w:rsidR="001F7ED5">
        <w:t xml:space="preserve"> </w:t>
      </w:r>
      <w:r w:rsidRPr="004A5C52">
        <w:t>Bassim,</w:t>
      </w:r>
      <w:r w:rsidR="001F7ED5">
        <w:t xml:space="preserve"> </w:t>
      </w:r>
      <w:r w:rsidRPr="004A5C52">
        <w:t>Yadh</w:t>
      </w:r>
      <w:r w:rsidR="001F7ED5">
        <w:t xml:space="preserve"> </w:t>
      </w:r>
      <w:r w:rsidRPr="004A5C52">
        <w:t>Ben</w:t>
      </w:r>
      <w:r w:rsidR="001F7ED5">
        <w:t xml:space="preserve"> </w:t>
      </w:r>
      <w:r w:rsidRPr="004A5C52">
        <w:t>Achour,</w:t>
      </w:r>
      <w:r w:rsidR="001F7ED5">
        <w:t xml:space="preserve"> </w:t>
      </w:r>
      <w:r w:rsidRPr="004A5C52">
        <w:t>Arif</w:t>
      </w:r>
      <w:r w:rsidR="001F7ED5">
        <w:t xml:space="preserve"> </w:t>
      </w:r>
      <w:r w:rsidRPr="004A5C52">
        <w:t>Bulkan,</w:t>
      </w:r>
      <w:r w:rsidR="001F7ED5">
        <w:t xml:space="preserve"> </w:t>
      </w:r>
      <w:r w:rsidRPr="004A5C52">
        <w:t>Mahjoub</w:t>
      </w:r>
      <w:r w:rsidR="001F7ED5">
        <w:t xml:space="preserve"> </w:t>
      </w:r>
      <w:r w:rsidRPr="004A5C52">
        <w:t>El</w:t>
      </w:r>
      <w:r w:rsidR="001F7ED5">
        <w:t xml:space="preserve"> </w:t>
      </w:r>
      <w:r w:rsidRPr="004A5C52">
        <w:t>Haiba,</w:t>
      </w:r>
      <w:r w:rsidR="001F7ED5">
        <w:t xml:space="preserve"> </w:t>
      </w:r>
      <w:r w:rsidRPr="004A5C52">
        <w:t>Furuya</w:t>
      </w:r>
      <w:r w:rsidR="001F7ED5">
        <w:t xml:space="preserve"> </w:t>
      </w:r>
      <w:r w:rsidRPr="004A5C52">
        <w:t>Shuichi,</w:t>
      </w:r>
      <w:r w:rsidR="001F7ED5">
        <w:t xml:space="preserve"> </w:t>
      </w:r>
      <w:r w:rsidRPr="004A5C52">
        <w:t>Carlos</w:t>
      </w:r>
      <w:r w:rsidR="001F7ED5">
        <w:t xml:space="preserve"> </w:t>
      </w:r>
      <w:r w:rsidRPr="004A5C52">
        <w:t>Gómez</w:t>
      </w:r>
      <w:r w:rsidR="001F7ED5">
        <w:t xml:space="preserve"> </w:t>
      </w:r>
      <w:r w:rsidRPr="004A5C52">
        <w:t>Martínez,</w:t>
      </w:r>
      <w:r w:rsidR="001F7ED5">
        <w:t xml:space="preserve"> </w:t>
      </w:r>
      <w:r w:rsidRPr="004A5C52">
        <w:t>Marcia</w:t>
      </w:r>
      <w:r w:rsidR="001F7ED5">
        <w:t xml:space="preserve"> </w:t>
      </w:r>
      <w:r w:rsidRPr="004A5C52">
        <w:t>V.J.</w:t>
      </w:r>
      <w:r w:rsidR="001F7ED5">
        <w:t xml:space="preserve"> </w:t>
      </w:r>
      <w:r w:rsidRPr="004A5C52">
        <w:t>Kran,</w:t>
      </w:r>
      <w:r w:rsidR="001F7ED5">
        <w:t xml:space="preserve"> </w:t>
      </w:r>
      <w:r w:rsidRPr="004A5C52">
        <w:t>Duncan</w:t>
      </w:r>
      <w:r w:rsidR="001F7ED5">
        <w:t xml:space="preserve"> </w:t>
      </w:r>
      <w:r w:rsidRPr="004A5C52">
        <w:t>Laki</w:t>
      </w:r>
      <w:r w:rsidR="001F7ED5">
        <w:t xml:space="preserve"> </w:t>
      </w:r>
      <w:r w:rsidRPr="004A5C52">
        <w:t>Muhumuza,</w:t>
      </w:r>
      <w:r w:rsidR="001F7ED5">
        <w:t xml:space="preserve"> </w:t>
      </w:r>
      <w:r w:rsidRPr="004A5C52">
        <w:t>Photini</w:t>
      </w:r>
      <w:r w:rsidR="001F7ED5">
        <w:t xml:space="preserve"> </w:t>
      </w:r>
      <w:r w:rsidRPr="004A5C52">
        <w:t>Pazartzis,</w:t>
      </w:r>
      <w:r w:rsidR="001F7ED5">
        <w:t xml:space="preserve"> </w:t>
      </w:r>
      <w:r w:rsidRPr="004A5C52">
        <w:t>Vasilka</w:t>
      </w:r>
      <w:r w:rsidR="001F7ED5">
        <w:t xml:space="preserve"> </w:t>
      </w:r>
      <w:r w:rsidRPr="004A5C52">
        <w:t>Sancin,</w:t>
      </w:r>
      <w:r w:rsidR="001F7ED5">
        <w:t xml:space="preserve"> </w:t>
      </w:r>
      <w:r w:rsidRPr="004A5C52">
        <w:t>José</w:t>
      </w:r>
      <w:r w:rsidR="001F7ED5">
        <w:t xml:space="preserve"> </w:t>
      </w:r>
      <w:r w:rsidRPr="004A5C52">
        <w:t>Manuel</w:t>
      </w:r>
      <w:r w:rsidR="001F7ED5">
        <w:t xml:space="preserve"> </w:t>
      </w:r>
      <w:r w:rsidRPr="004A5C52">
        <w:t>Santos</w:t>
      </w:r>
      <w:r w:rsidR="001F7ED5">
        <w:t xml:space="preserve"> </w:t>
      </w:r>
      <w:r w:rsidRPr="004A5C52">
        <w:t>Pais,</w:t>
      </w:r>
      <w:r w:rsidR="001F7ED5">
        <w:t xml:space="preserve"> </w:t>
      </w:r>
      <w:r w:rsidRPr="004A5C52">
        <w:t>Soh</w:t>
      </w:r>
      <w:r w:rsidR="001F7ED5">
        <w:t xml:space="preserve"> </w:t>
      </w:r>
      <w:r w:rsidRPr="004A5C52">
        <w:t>Changrok,</w:t>
      </w:r>
      <w:r w:rsidR="001F7ED5">
        <w:t xml:space="preserve"> </w:t>
      </w:r>
      <w:r w:rsidRPr="004A5C52">
        <w:t>Kobauyah</w:t>
      </w:r>
      <w:r w:rsidR="001F7ED5">
        <w:t xml:space="preserve"> </w:t>
      </w:r>
      <w:r w:rsidRPr="004A5C52">
        <w:t>Tchamdja</w:t>
      </w:r>
      <w:r w:rsidR="001F7ED5">
        <w:t xml:space="preserve"> </w:t>
      </w:r>
      <w:r w:rsidRPr="004A5C52">
        <w:t>Kpatcha,</w:t>
      </w:r>
      <w:r w:rsidR="001F7ED5">
        <w:t xml:space="preserve"> </w:t>
      </w:r>
      <w:r w:rsidRPr="004A5C52">
        <w:t>Hélène</w:t>
      </w:r>
      <w:r w:rsidR="001F7ED5">
        <w:t xml:space="preserve"> </w:t>
      </w:r>
      <w:r w:rsidRPr="004A5C52">
        <w:t>Tigroudja,</w:t>
      </w:r>
      <w:r w:rsidR="001F7ED5">
        <w:t xml:space="preserve"> </w:t>
      </w:r>
      <w:r w:rsidRPr="004A5C52">
        <w:t>Imeru</w:t>
      </w:r>
      <w:r w:rsidR="001F7ED5">
        <w:t xml:space="preserve"> </w:t>
      </w:r>
      <w:r w:rsidRPr="004A5C52">
        <w:t>Tamerat</w:t>
      </w:r>
      <w:r w:rsidR="001F7ED5">
        <w:t xml:space="preserve"> </w:t>
      </w:r>
      <w:r w:rsidRPr="004A5C52">
        <w:t>Yigezu</w:t>
      </w:r>
      <w:r w:rsidR="001F7ED5">
        <w:t xml:space="preserve"> </w:t>
      </w:r>
      <w:r w:rsidRPr="004A5C52">
        <w:t>and</w:t>
      </w:r>
      <w:r w:rsidR="001F7ED5">
        <w:t xml:space="preserve"> </w:t>
      </w:r>
      <w:r w:rsidRPr="004A5C52">
        <w:t>Gentian</w:t>
      </w:r>
      <w:r w:rsidR="001F7ED5">
        <w:t xml:space="preserve"> </w:t>
      </w:r>
      <w:r w:rsidRPr="004A5C52">
        <w:t>Zyberi.</w:t>
      </w:r>
    </w:p>
  </w:footnote>
  <w:footnote w:id="3">
    <w:p w14:paraId="46DA1D7B" w14:textId="33A538EB" w:rsidR="00FC5ABB" w:rsidRPr="004A5C52" w:rsidRDefault="00FC5ABB" w:rsidP="005D5882">
      <w:pPr>
        <w:pStyle w:val="FootnoteText"/>
      </w:pPr>
      <w:r w:rsidRPr="004A5C52">
        <w:tab/>
      </w:r>
      <w:r w:rsidRPr="001F7ED5">
        <w:rPr>
          <w:rStyle w:val="FootnoteReference"/>
        </w:rPr>
        <w:footnoteRef/>
      </w:r>
      <w:r w:rsidR="001F7ED5" w:rsidRPr="001F7ED5">
        <w:rPr>
          <w:rStyle w:val="FootnoteReference"/>
        </w:rPr>
        <w:t xml:space="preserve"> </w:t>
      </w:r>
      <w:r w:rsidRPr="004A5C52">
        <w:tab/>
        <w:t>In</w:t>
      </w:r>
      <w:r w:rsidR="001F7ED5">
        <w:t xml:space="preserve"> </w:t>
      </w:r>
      <w:r w:rsidRPr="004A5C52">
        <w:t>line</w:t>
      </w:r>
      <w:r w:rsidR="001F7ED5">
        <w:t xml:space="preserve"> </w:t>
      </w:r>
      <w:r w:rsidRPr="004A5C52">
        <w:t>with</w:t>
      </w:r>
      <w:r w:rsidR="001F7ED5">
        <w:t xml:space="preserve"> </w:t>
      </w:r>
      <w:r w:rsidRPr="004A5C52">
        <w:t>articles</w:t>
      </w:r>
      <w:r w:rsidR="001F7ED5">
        <w:t xml:space="preserve"> </w:t>
      </w:r>
      <w:r w:rsidRPr="004A5C52">
        <w:t>4</w:t>
      </w:r>
      <w:r w:rsidR="001F7ED5">
        <w:t xml:space="preserve"> </w:t>
      </w:r>
      <w:r w:rsidRPr="004A5C52">
        <w:t>(2)</w:t>
      </w:r>
      <w:r w:rsidR="001F7ED5">
        <w:t xml:space="preserve"> </w:t>
      </w:r>
      <w:r w:rsidRPr="004A5C52">
        <w:t>and</w:t>
      </w:r>
      <w:r w:rsidR="001F7ED5">
        <w:t xml:space="preserve"> </w:t>
      </w:r>
      <w:r w:rsidRPr="004A5C52">
        <w:t>15</w:t>
      </w:r>
      <w:r w:rsidR="001F7ED5">
        <w:t xml:space="preserve"> </w:t>
      </w:r>
      <w:r w:rsidRPr="004A5C52">
        <w:t>(1)</w:t>
      </w:r>
      <w:r w:rsidR="001F7ED5">
        <w:t xml:space="preserve"> </w:t>
      </w:r>
      <w:r w:rsidRPr="004A5C52">
        <w:t>of</w:t>
      </w:r>
      <w:r w:rsidR="001F7ED5">
        <w:t xml:space="preserve"> </w:t>
      </w:r>
      <w:r w:rsidRPr="004A5C52">
        <w:t>the</w:t>
      </w:r>
      <w:r w:rsidR="001F7ED5">
        <w:t xml:space="preserve"> </w:t>
      </w:r>
      <w:r w:rsidRPr="004A5C52">
        <w:t>Law</w:t>
      </w:r>
      <w:r w:rsidR="001F7ED5">
        <w:t xml:space="preserve"> </w:t>
      </w:r>
      <w:r w:rsidRPr="004A5C52">
        <w:t>on</w:t>
      </w:r>
      <w:r w:rsidR="001F7ED5">
        <w:t xml:space="preserve"> </w:t>
      </w:r>
      <w:r w:rsidRPr="004A5C52">
        <w:t>Special</w:t>
      </w:r>
      <w:r w:rsidR="001F7ED5">
        <w:t xml:space="preserve"> </w:t>
      </w:r>
      <w:r w:rsidRPr="004A5C52">
        <w:t>Investigative</w:t>
      </w:r>
      <w:r w:rsidR="001F7ED5">
        <w:t xml:space="preserve"> </w:t>
      </w:r>
      <w:r w:rsidRPr="004A5C52">
        <w:t>Measures</w:t>
      </w:r>
      <w:r w:rsidR="001F7ED5">
        <w:t xml:space="preserve"> </w:t>
      </w:r>
      <w:r w:rsidRPr="004A5C52">
        <w:t>of</w:t>
      </w:r>
      <w:r w:rsidR="001F7ED5">
        <w:t xml:space="preserve"> </w:t>
      </w:r>
      <w:r w:rsidRPr="004A5C52">
        <w:t>Latvia.</w:t>
      </w:r>
    </w:p>
  </w:footnote>
  <w:footnote w:id="4">
    <w:p w14:paraId="38A9D7F8" w14:textId="29167ADC" w:rsidR="00FC5ABB" w:rsidRPr="004A5C52" w:rsidRDefault="00FC5ABB" w:rsidP="005D5882">
      <w:pPr>
        <w:pStyle w:val="FootnoteText"/>
      </w:pPr>
      <w:r w:rsidRPr="004A5C52">
        <w:tab/>
      </w:r>
      <w:r w:rsidRPr="001F7ED5">
        <w:rPr>
          <w:rStyle w:val="FootnoteReference"/>
        </w:rPr>
        <w:footnoteRef/>
      </w:r>
      <w:r w:rsidR="001F7ED5" w:rsidRPr="001F7ED5">
        <w:rPr>
          <w:rStyle w:val="FootnoteReference"/>
        </w:rPr>
        <w:t xml:space="preserve"> </w:t>
      </w:r>
      <w:r w:rsidRPr="004A5C52">
        <w:tab/>
        <w:t>European</w:t>
      </w:r>
      <w:r w:rsidR="001F7ED5">
        <w:t xml:space="preserve"> </w:t>
      </w:r>
      <w:r w:rsidRPr="004A5C52">
        <w:t>Court</w:t>
      </w:r>
      <w:r w:rsidR="001F7ED5">
        <w:t xml:space="preserve"> </w:t>
      </w:r>
      <w:r w:rsidRPr="004A5C52">
        <w:t>of</w:t>
      </w:r>
      <w:r w:rsidR="001F7ED5">
        <w:t xml:space="preserve"> </w:t>
      </w:r>
      <w:r w:rsidRPr="004A5C52">
        <w:t>Human</w:t>
      </w:r>
      <w:r w:rsidR="001F7ED5">
        <w:t xml:space="preserve"> </w:t>
      </w:r>
      <w:r w:rsidRPr="004A5C52">
        <w:t>Rights,</w:t>
      </w:r>
      <w:r w:rsidR="001F7ED5">
        <w:t xml:space="preserve"> </w:t>
      </w:r>
      <w:r w:rsidRPr="004A5C52">
        <w:rPr>
          <w:i/>
        </w:rPr>
        <w:t>Jasper</w:t>
      </w:r>
      <w:r w:rsidR="001F7ED5">
        <w:rPr>
          <w:i/>
        </w:rPr>
        <w:t xml:space="preserve"> </w:t>
      </w:r>
      <w:r w:rsidRPr="004A5C52">
        <w:rPr>
          <w:i/>
        </w:rPr>
        <w:t>v.</w:t>
      </w:r>
      <w:r w:rsidR="001F7ED5">
        <w:rPr>
          <w:i/>
        </w:rPr>
        <w:t xml:space="preserve"> </w:t>
      </w:r>
      <w:r w:rsidRPr="004A5C52">
        <w:rPr>
          <w:i/>
        </w:rPr>
        <w:t>the</w:t>
      </w:r>
      <w:r w:rsidR="001F7ED5">
        <w:rPr>
          <w:i/>
        </w:rPr>
        <w:t xml:space="preserve"> </w:t>
      </w:r>
      <w:r w:rsidRPr="004A5C52">
        <w:rPr>
          <w:i/>
        </w:rPr>
        <w:t>United</w:t>
      </w:r>
      <w:r w:rsidR="001F7ED5">
        <w:rPr>
          <w:i/>
        </w:rPr>
        <w:t xml:space="preserve"> </w:t>
      </w:r>
      <w:r w:rsidRPr="004A5C52">
        <w:rPr>
          <w:i/>
        </w:rPr>
        <w:t>Kingdom</w:t>
      </w:r>
      <w:r w:rsidRPr="004A5C52">
        <w:t>,</w:t>
      </w:r>
      <w:r w:rsidR="001F7ED5">
        <w:t xml:space="preserve"> </w:t>
      </w:r>
      <w:r w:rsidRPr="004A5C52">
        <w:t>Application</w:t>
      </w:r>
      <w:r w:rsidR="001F7ED5">
        <w:t xml:space="preserve"> </w:t>
      </w:r>
      <w:r w:rsidRPr="004A5C52">
        <w:t>No.</w:t>
      </w:r>
      <w:r w:rsidR="001F7ED5">
        <w:t xml:space="preserve"> </w:t>
      </w:r>
      <w:r w:rsidRPr="004A5C52">
        <w:t>27052/95.</w:t>
      </w:r>
    </w:p>
  </w:footnote>
  <w:footnote w:id="5">
    <w:p w14:paraId="66CF083A" w14:textId="3B684D42" w:rsidR="00FC5ABB" w:rsidRPr="004A5C52" w:rsidRDefault="00FC5ABB" w:rsidP="005D5882">
      <w:pPr>
        <w:pStyle w:val="FootnoteText"/>
      </w:pPr>
      <w:r w:rsidRPr="004A5C52">
        <w:tab/>
      </w:r>
      <w:r w:rsidRPr="001F7ED5">
        <w:rPr>
          <w:rStyle w:val="FootnoteReference"/>
        </w:rPr>
        <w:footnoteRef/>
      </w:r>
      <w:r w:rsidRPr="001F7ED5">
        <w:rPr>
          <w:rStyle w:val="FootnoteReference"/>
        </w:rPr>
        <w:tab/>
      </w:r>
      <w:r w:rsidRPr="004A5C52">
        <w:t>The</w:t>
      </w:r>
      <w:r w:rsidR="001F7ED5">
        <w:t xml:space="preserve"> </w:t>
      </w:r>
      <w:r w:rsidRPr="004A5C52">
        <w:t>State</w:t>
      </w:r>
      <w:r w:rsidR="001F7ED5">
        <w:t xml:space="preserve"> </w:t>
      </w:r>
      <w:r w:rsidRPr="004A5C52">
        <w:t>party</w:t>
      </w:r>
      <w:r w:rsidR="001F7ED5">
        <w:t xml:space="preserve"> </w:t>
      </w:r>
      <w:r w:rsidRPr="004A5C52">
        <w:t>provided</w:t>
      </w:r>
      <w:r w:rsidR="001F7ED5">
        <w:t xml:space="preserve"> </w:t>
      </w:r>
      <w:r w:rsidRPr="004A5C52">
        <w:t>a</w:t>
      </w:r>
      <w:r w:rsidR="001F7ED5">
        <w:t xml:space="preserve"> </w:t>
      </w:r>
      <w:r w:rsidRPr="004A5C52">
        <w:t>copy</w:t>
      </w:r>
      <w:r w:rsidR="001F7ED5">
        <w:t xml:space="preserve"> </w:t>
      </w:r>
      <w:r w:rsidRPr="004A5C52">
        <w:t>of</w:t>
      </w:r>
      <w:r w:rsidR="001F7ED5">
        <w:t xml:space="preserve"> </w:t>
      </w:r>
      <w:r w:rsidRPr="004A5C52">
        <w:t>the</w:t>
      </w:r>
      <w:r w:rsidR="001F7ED5">
        <w:t xml:space="preserve"> </w:t>
      </w:r>
      <w:r w:rsidRPr="004A5C52">
        <w:t>decision.</w:t>
      </w:r>
    </w:p>
  </w:footnote>
  <w:footnote w:id="6">
    <w:p w14:paraId="2F7B8FAF" w14:textId="1C0F750D" w:rsidR="00FC5ABB" w:rsidRPr="004A5C52" w:rsidRDefault="00FC5ABB" w:rsidP="005D5882">
      <w:pPr>
        <w:pStyle w:val="FootnoteText"/>
      </w:pPr>
      <w:r w:rsidRPr="004A5C52">
        <w:tab/>
      </w:r>
      <w:r w:rsidRPr="001F7ED5">
        <w:rPr>
          <w:rStyle w:val="FootnoteReference"/>
        </w:rPr>
        <w:footnoteRef/>
      </w:r>
      <w:r w:rsidRPr="001F7ED5">
        <w:rPr>
          <w:rStyle w:val="FootnoteReference"/>
        </w:rPr>
        <w:tab/>
      </w:r>
      <w:r w:rsidRPr="004A5C52">
        <w:t>Human</w:t>
      </w:r>
      <w:r w:rsidR="001F7ED5">
        <w:t xml:space="preserve"> </w:t>
      </w:r>
      <w:r w:rsidRPr="004A5C52">
        <w:t>Rights</w:t>
      </w:r>
      <w:r w:rsidR="001F7ED5">
        <w:t xml:space="preserve"> </w:t>
      </w:r>
      <w:r w:rsidRPr="004A5C52">
        <w:t>Committee,</w:t>
      </w:r>
      <w:r w:rsidR="001F7ED5">
        <w:t xml:space="preserve"> </w:t>
      </w:r>
      <w:r w:rsidRPr="004A5C52">
        <w:rPr>
          <w:i/>
          <w:iCs/>
        </w:rPr>
        <w:t>G.</w:t>
      </w:r>
      <w:r w:rsidR="001F7ED5">
        <w:rPr>
          <w:i/>
          <w:iCs/>
        </w:rPr>
        <w:t xml:space="preserve"> </w:t>
      </w:r>
      <w:r w:rsidRPr="004A5C52">
        <w:rPr>
          <w:i/>
          <w:iCs/>
        </w:rPr>
        <w:t>A.</w:t>
      </w:r>
      <w:r w:rsidR="001F7ED5">
        <w:rPr>
          <w:i/>
          <w:iCs/>
        </w:rPr>
        <w:t xml:space="preserve"> </w:t>
      </w:r>
      <w:r w:rsidRPr="004A5C52">
        <w:rPr>
          <w:i/>
          <w:iCs/>
        </w:rPr>
        <w:t>van</w:t>
      </w:r>
      <w:r w:rsidR="001F7ED5">
        <w:rPr>
          <w:i/>
          <w:iCs/>
        </w:rPr>
        <w:t xml:space="preserve"> </w:t>
      </w:r>
      <w:r w:rsidRPr="004A5C52">
        <w:rPr>
          <w:i/>
          <w:iCs/>
        </w:rPr>
        <w:t>Meurs</w:t>
      </w:r>
      <w:r w:rsidR="001F7ED5">
        <w:rPr>
          <w:i/>
          <w:iCs/>
        </w:rPr>
        <w:t xml:space="preserve"> </w:t>
      </w:r>
      <w:r w:rsidRPr="004A5C52">
        <w:rPr>
          <w:i/>
          <w:iCs/>
        </w:rPr>
        <w:t>v.</w:t>
      </w:r>
      <w:r w:rsidR="001F7ED5">
        <w:rPr>
          <w:i/>
          <w:iCs/>
        </w:rPr>
        <w:t xml:space="preserve"> </w:t>
      </w:r>
      <w:r w:rsidRPr="004A5C52">
        <w:rPr>
          <w:i/>
          <w:iCs/>
        </w:rPr>
        <w:t>the</w:t>
      </w:r>
      <w:r w:rsidR="001F7ED5">
        <w:rPr>
          <w:i/>
          <w:iCs/>
        </w:rPr>
        <w:t xml:space="preserve"> </w:t>
      </w:r>
      <w:r w:rsidRPr="004A5C52">
        <w:rPr>
          <w:i/>
          <w:iCs/>
        </w:rPr>
        <w:t>Netherlands</w:t>
      </w:r>
      <w:r w:rsidRPr="004A5C52">
        <w:t>,</w:t>
      </w:r>
      <w:r w:rsidR="001F7ED5">
        <w:t xml:space="preserve"> </w:t>
      </w:r>
      <w:r w:rsidRPr="004A5C52">
        <w:t>communication</w:t>
      </w:r>
      <w:r w:rsidR="001F7ED5">
        <w:t xml:space="preserve"> </w:t>
      </w:r>
      <w:r w:rsidRPr="004A5C52">
        <w:t>No.</w:t>
      </w:r>
      <w:r w:rsidR="001F7ED5">
        <w:t xml:space="preserve"> </w:t>
      </w:r>
      <w:r w:rsidRPr="004A5C52">
        <w:t>215/1986.</w:t>
      </w:r>
    </w:p>
  </w:footnote>
  <w:footnote w:id="7">
    <w:p w14:paraId="3243F4A8" w14:textId="313CC914" w:rsidR="00FC5ABB" w:rsidRPr="004A5C52" w:rsidRDefault="00FC5ABB" w:rsidP="005D5882">
      <w:pPr>
        <w:pStyle w:val="FootnoteText"/>
      </w:pPr>
      <w:r w:rsidRPr="004A5C52">
        <w:tab/>
      </w:r>
      <w:r w:rsidRPr="001F7ED5">
        <w:rPr>
          <w:rStyle w:val="FootnoteReference"/>
        </w:rPr>
        <w:footnoteRef/>
      </w:r>
      <w:r w:rsidR="001F7ED5" w:rsidRPr="001F7ED5">
        <w:rPr>
          <w:rStyle w:val="FootnoteReference"/>
        </w:rPr>
        <w:t xml:space="preserve"> </w:t>
      </w:r>
      <w:r w:rsidRPr="004A5C52">
        <w:tab/>
        <w:t>Human</w:t>
      </w:r>
      <w:r w:rsidR="001F7ED5">
        <w:t xml:space="preserve"> </w:t>
      </w:r>
      <w:r w:rsidRPr="004A5C52">
        <w:t>Rights</w:t>
      </w:r>
      <w:r w:rsidR="001F7ED5">
        <w:t xml:space="preserve"> </w:t>
      </w:r>
      <w:r w:rsidRPr="004A5C52">
        <w:t>Committee,</w:t>
      </w:r>
      <w:r w:rsidR="001F7ED5">
        <w:t xml:space="preserve"> </w:t>
      </w:r>
      <w:r w:rsidRPr="004A5C52">
        <w:t>general</w:t>
      </w:r>
      <w:r w:rsidR="001F7ED5">
        <w:t xml:space="preserve"> </w:t>
      </w:r>
      <w:r w:rsidRPr="004A5C52">
        <w:t>comment</w:t>
      </w:r>
      <w:r w:rsidR="001F7ED5">
        <w:t xml:space="preserve"> </w:t>
      </w:r>
      <w:r w:rsidRPr="004A5C52">
        <w:t>No.</w:t>
      </w:r>
      <w:r w:rsidR="001F7ED5">
        <w:t xml:space="preserve"> </w:t>
      </w:r>
      <w:r w:rsidRPr="004A5C52">
        <w:t>32</w:t>
      </w:r>
      <w:r w:rsidR="001F7ED5">
        <w:t xml:space="preserve"> </w:t>
      </w:r>
      <w:r w:rsidRPr="004A5C52">
        <w:t>(2007),</w:t>
      </w:r>
      <w:r w:rsidR="001F7ED5">
        <w:t xml:space="preserve"> </w:t>
      </w:r>
      <w:r w:rsidRPr="004A5C52">
        <w:t>para.</w:t>
      </w:r>
      <w:r w:rsidR="001F7ED5">
        <w:t xml:space="preserve"> </w:t>
      </w:r>
      <w:r w:rsidRPr="004A5C52">
        <w:t>26.</w:t>
      </w:r>
    </w:p>
  </w:footnote>
  <w:footnote w:id="8">
    <w:p w14:paraId="740DA0D4" w14:textId="240CD1B6" w:rsidR="00FC5ABB" w:rsidRPr="004A5C52" w:rsidRDefault="00FC5ABB" w:rsidP="005D5882">
      <w:pPr>
        <w:pStyle w:val="FootnoteText"/>
        <w:rPr>
          <w:lang w:val="es-ES"/>
        </w:rPr>
      </w:pPr>
      <w:r w:rsidRPr="004A5C52">
        <w:tab/>
      </w:r>
      <w:r w:rsidRPr="001F7ED5">
        <w:rPr>
          <w:rStyle w:val="FootnoteReference"/>
        </w:rPr>
        <w:footnoteRef/>
      </w:r>
      <w:r w:rsidRPr="001F7ED5">
        <w:rPr>
          <w:rStyle w:val="FootnoteReference"/>
        </w:rPr>
        <w:tab/>
      </w:r>
      <w:r w:rsidRPr="004A5C52">
        <w:rPr>
          <w:i/>
          <w:iCs/>
        </w:rPr>
        <w:t>Gridin</w:t>
      </w:r>
      <w:r w:rsidR="001F7ED5">
        <w:rPr>
          <w:i/>
          <w:iCs/>
        </w:rPr>
        <w:t xml:space="preserve"> </w:t>
      </w:r>
      <w:r w:rsidRPr="004A5C52">
        <w:rPr>
          <w:i/>
          <w:iCs/>
        </w:rPr>
        <w:t>v.</w:t>
      </w:r>
      <w:r w:rsidR="001F7ED5">
        <w:rPr>
          <w:i/>
          <w:iCs/>
        </w:rPr>
        <w:t xml:space="preserve"> </w:t>
      </w:r>
      <w:r w:rsidRPr="004A5C52">
        <w:rPr>
          <w:i/>
          <w:iCs/>
        </w:rPr>
        <w:t>Russian</w:t>
      </w:r>
      <w:r w:rsidR="001F7ED5">
        <w:rPr>
          <w:i/>
          <w:iCs/>
        </w:rPr>
        <w:t xml:space="preserve"> </w:t>
      </w:r>
      <w:r w:rsidRPr="004A5C52">
        <w:rPr>
          <w:i/>
          <w:iCs/>
        </w:rPr>
        <w:t>Federation</w:t>
      </w:r>
      <w:r w:rsidR="001F7ED5">
        <w:rPr>
          <w:i/>
          <w:iCs/>
        </w:rPr>
        <w:t xml:space="preserve"> </w:t>
      </w:r>
      <w:r w:rsidRPr="004A5C52">
        <w:t>(</w:t>
      </w:r>
      <w:hyperlink r:id="rId1" w:history="1">
        <w:r w:rsidRPr="004A5C52">
          <w:rPr>
            <w:rStyle w:val="Hyperlink"/>
            <w:u w:val="none"/>
          </w:rPr>
          <w:t>CCPR/C/69/D/770/1997</w:t>
        </w:r>
      </w:hyperlink>
      <w:r w:rsidR="001F7ED5">
        <w:t xml:space="preserve"> </w:t>
      </w:r>
      <w:r w:rsidRPr="004A5C52">
        <w:t>and</w:t>
      </w:r>
      <w:r w:rsidR="001F7ED5">
        <w:t xml:space="preserve"> </w:t>
      </w:r>
      <w:hyperlink r:id="rId2" w:history="1">
        <w:r w:rsidRPr="004A5C52">
          <w:rPr>
            <w:rStyle w:val="Hyperlink"/>
            <w:u w:val="none"/>
          </w:rPr>
          <w:t>CCPR/C/69/D/770/1997/Corr.1</w:t>
        </w:r>
      </w:hyperlink>
      <w:r w:rsidRPr="004A5C52">
        <w:t>),</w:t>
      </w:r>
      <w:r w:rsidR="001F7ED5">
        <w:t xml:space="preserve"> </w:t>
      </w:r>
      <w:r w:rsidRPr="004A5C52">
        <w:t>paras.</w:t>
      </w:r>
      <w:r w:rsidR="001F7ED5">
        <w:t xml:space="preserve"> </w:t>
      </w:r>
      <w:r w:rsidRPr="004A5C52">
        <w:rPr>
          <w:lang w:val="es-ES"/>
        </w:rPr>
        <w:t>6.4–6.5.</w:t>
      </w:r>
    </w:p>
  </w:footnote>
  <w:footnote w:id="9">
    <w:p w14:paraId="49DFD003" w14:textId="02DC66C1" w:rsidR="00FC5ABB" w:rsidRPr="004A5C52" w:rsidRDefault="00FC5ABB" w:rsidP="005D5882">
      <w:pPr>
        <w:pStyle w:val="FootnoteText"/>
        <w:rPr>
          <w:lang w:val="es-ES"/>
        </w:rPr>
      </w:pPr>
      <w:r w:rsidRPr="004A5C52">
        <w:rPr>
          <w:lang w:val="es-ES"/>
        </w:rPr>
        <w:tab/>
      </w:r>
      <w:r w:rsidRPr="001F7ED5">
        <w:rPr>
          <w:rStyle w:val="FootnoteReference"/>
        </w:rPr>
        <w:footnoteRef/>
      </w:r>
      <w:r w:rsidRPr="001F7ED5">
        <w:rPr>
          <w:rStyle w:val="FootnoteReference"/>
        </w:rPr>
        <w:tab/>
      </w:r>
      <w:r w:rsidRPr="004A5C52">
        <w:rPr>
          <w:lang w:val="es-ES"/>
        </w:rPr>
        <w:t>General</w:t>
      </w:r>
      <w:r w:rsidR="001F7ED5">
        <w:rPr>
          <w:lang w:val="es-ES"/>
        </w:rPr>
        <w:t xml:space="preserve"> </w:t>
      </w:r>
      <w:r w:rsidRPr="004A5C52">
        <w:rPr>
          <w:lang w:val="es-ES"/>
        </w:rPr>
        <w:t>comment</w:t>
      </w:r>
      <w:r w:rsidR="001F7ED5">
        <w:rPr>
          <w:lang w:val="es-ES"/>
        </w:rPr>
        <w:t xml:space="preserve"> </w:t>
      </w:r>
      <w:r w:rsidRPr="004A5C52">
        <w:rPr>
          <w:lang w:val="es-ES"/>
        </w:rPr>
        <w:t>No.</w:t>
      </w:r>
      <w:r w:rsidR="001F7ED5">
        <w:rPr>
          <w:lang w:val="es-ES"/>
        </w:rPr>
        <w:t xml:space="preserve"> </w:t>
      </w:r>
      <w:r w:rsidRPr="004A5C52">
        <w:rPr>
          <w:lang w:val="es-ES"/>
        </w:rPr>
        <w:t>32</w:t>
      </w:r>
      <w:r w:rsidR="001F7ED5">
        <w:rPr>
          <w:lang w:val="es-ES"/>
        </w:rPr>
        <w:t xml:space="preserve"> </w:t>
      </w:r>
      <w:r w:rsidRPr="004A5C52">
        <w:rPr>
          <w:lang w:val="es-ES"/>
        </w:rPr>
        <w:t>(2007)</w:t>
      </w:r>
      <w:r w:rsidRPr="004A5C52">
        <w:rPr>
          <w:bCs/>
          <w:lang w:val="es-ES"/>
        </w:rPr>
        <w:t>,</w:t>
      </w:r>
      <w:r w:rsidR="001F7ED5">
        <w:rPr>
          <w:bCs/>
          <w:lang w:val="es-ES"/>
        </w:rPr>
        <w:t xml:space="preserve"> </w:t>
      </w:r>
      <w:r w:rsidRPr="004A5C52">
        <w:rPr>
          <w:bCs/>
          <w:lang w:val="es-ES"/>
        </w:rPr>
        <w:t>para.</w:t>
      </w:r>
      <w:r w:rsidR="001F7ED5">
        <w:rPr>
          <w:bCs/>
          <w:lang w:val="es-ES"/>
        </w:rPr>
        <w:t xml:space="preserve"> </w:t>
      </w:r>
      <w:r w:rsidRPr="004A5C52">
        <w:rPr>
          <w:bCs/>
          <w:lang w:val="es-ES"/>
        </w:rPr>
        <w:t>21.</w:t>
      </w:r>
    </w:p>
  </w:footnote>
  <w:footnote w:id="10">
    <w:p w14:paraId="2A3BEB9E" w14:textId="5D6198D8" w:rsidR="00FC5ABB" w:rsidRPr="004A5C52" w:rsidRDefault="00FC5ABB" w:rsidP="005D5882">
      <w:pPr>
        <w:pStyle w:val="FootnoteText"/>
        <w:rPr>
          <w:lang w:val="es-ES"/>
        </w:rPr>
      </w:pPr>
      <w:r w:rsidRPr="004A5C52">
        <w:rPr>
          <w:lang w:val="es-ES"/>
        </w:rPr>
        <w:tab/>
      </w:r>
      <w:r w:rsidRPr="001F7ED5">
        <w:rPr>
          <w:rStyle w:val="FootnoteReference"/>
        </w:rPr>
        <w:footnoteRef/>
      </w:r>
      <w:r w:rsidRPr="001F7ED5">
        <w:rPr>
          <w:rStyle w:val="FootnoteReference"/>
        </w:rPr>
        <w:tab/>
      </w:r>
      <w:r w:rsidRPr="004A5C52">
        <w:rPr>
          <w:i/>
          <w:iCs/>
          <w:lang w:val="en-US"/>
        </w:rPr>
        <w:t>Harward</w:t>
      </w:r>
      <w:r w:rsidR="001F7ED5">
        <w:rPr>
          <w:i/>
          <w:iCs/>
          <w:lang w:val="en-US"/>
        </w:rPr>
        <w:t xml:space="preserve"> </w:t>
      </w:r>
      <w:r w:rsidRPr="004A5C52">
        <w:rPr>
          <w:i/>
          <w:iCs/>
          <w:lang w:val="en-US"/>
        </w:rPr>
        <w:t>v.</w:t>
      </w:r>
      <w:r w:rsidR="001F7ED5">
        <w:rPr>
          <w:i/>
          <w:iCs/>
          <w:lang w:val="en-US"/>
        </w:rPr>
        <w:t xml:space="preserve"> </w:t>
      </w:r>
      <w:r w:rsidRPr="004A5C52">
        <w:rPr>
          <w:i/>
          <w:iCs/>
          <w:lang w:val="en-US"/>
        </w:rPr>
        <w:t>Norway</w:t>
      </w:r>
      <w:r w:rsidR="001F7ED5">
        <w:rPr>
          <w:lang w:val="en-US"/>
        </w:rPr>
        <w:t xml:space="preserve"> </w:t>
      </w:r>
      <w:r w:rsidRPr="004A5C52">
        <w:rPr>
          <w:lang w:val="en-US"/>
        </w:rPr>
        <w:t>(</w:t>
      </w:r>
      <w:hyperlink r:id="rId3" w:history="1">
        <w:r w:rsidRPr="004A5C52">
          <w:rPr>
            <w:rStyle w:val="Hyperlink"/>
            <w:u w:val="none"/>
            <w:lang w:val="en-US"/>
          </w:rPr>
          <w:t>CCPR/C/51/D/451/1991</w:t>
        </w:r>
      </w:hyperlink>
      <w:r w:rsidRPr="004A5C52">
        <w:rPr>
          <w:lang w:val="en-US"/>
        </w:rPr>
        <w:t>),</w:t>
      </w:r>
      <w:r w:rsidR="001F7ED5">
        <w:rPr>
          <w:lang w:val="en-US"/>
        </w:rPr>
        <w:t xml:space="preserve"> </w:t>
      </w:r>
      <w:r w:rsidRPr="004A5C52">
        <w:rPr>
          <w:lang w:val="en-US"/>
        </w:rPr>
        <w:t>para.</w:t>
      </w:r>
      <w:r w:rsidR="001F7ED5">
        <w:rPr>
          <w:lang w:val="en-US"/>
        </w:rPr>
        <w:t xml:space="preserve"> </w:t>
      </w:r>
      <w:r w:rsidRPr="004A5C52">
        <w:rPr>
          <w:lang w:val="es-ES"/>
        </w:rPr>
        <w:t>9.4.</w:t>
      </w:r>
    </w:p>
  </w:footnote>
  <w:footnote w:id="11">
    <w:p w14:paraId="57CACEC9" w14:textId="1B13F050" w:rsidR="00FC5ABB" w:rsidRPr="004A5C52" w:rsidRDefault="00FC5ABB" w:rsidP="005D5882">
      <w:pPr>
        <w:pStyle w:val="FootnoteText"/>
      </w:pPr>
      <w:r w:rsidRPr="004A5C52">
        <w:rPr>
          <w:lang w:val="es-ES"/>
        </w:rPr>
        <w:tab/>
      </w:r>
      <w:r w:rsidRPr="001F7ED5">
        <w:rPr>
          <w:rStyle w:val="FootnoteReference"/>
        </w:rPr>
        <w:footnoteRef/>
      </w:r>
      <w:r w:rsidRPr="001F7ED5">
        <w:rPr>
          <w:rStyle w:val="FootnoteReference"/>
        </w:rPr>
        <w:tab/>
      </w:r>
      <w:r w:rsidRPr="004A5C52">
        <w:rPr>
          <w:i/>
          <w:iCs/>
          <w:lang w:val="es-ES"/>
        </w:rPr>
        <w:t>Kollar</w:t>
      </w:r>
      <w:r w:rsidR="001F7ED5">
        <w:rPr>
          <w:i/>
          <w:iCs/>
          <w:lang w:val="es-ES"/>
        </w:rPr>
        <w:t xml:space="preserve"> </w:t>
      </w:r>
      <w:r w:rsidRPr="004A5C52">
        <w:rPr>
          <w:i/>
          <w:iCs/>
          <w:lang w:val="es-ES"/>
        </w:rPr>
        <w:t>v.</w:t>
      </w:r>
      <w:r w:rsidR="001F7ED5">
        <w:rPr>
          <w:i/>
          <w:iCs/>
          <w:lang w:val="es-ES"/>
        </w:rPr>
        <w:t xml:space="preserve"> </w:t>
      </w:r>
      <w:r w:rsidRPr="004A5C52">
        <w:rPr>
          <w:i/>
          <w:iCs/>
          <w:lang w:val="es-ES"/>
        </w:rPr>
        <w:t>Austria</w:t>
      </w:r>
      <w:r w:rsidR="001F7ED5">
        <w:rPr>
          <w:lang w:val="es-ES"/>
        </w:rPr>
        <w:t xml:space="preserve"> </w:t>
      </w:r>
      <w:r w:rsidRPr="004A5C52">
        <w:rPr>
          <w:lang w:val="es-ES"/>
        </w:rPr>
        <w:t>(</w:t>
      </w:r>
      <w:hyperlink r:id="rId4" w:history="1">
        <w:r w:rsidRPr="004A5C52">
          <w:rPr>
            <w:rStyle w:val="Hyperlink"/>
            <w:u w:val="none"/>
            <w:lang w:val="es-ES"/>
          </w:rPr>
          <w:t>CCPR/C/78/D/989/2001</w:t>
        </w:r>
      </w:hyperlink>
      <w:r w:rsidRPr="004A5C52">
        <w:rPr>
          <w:lang w:val="es-ES"/>
        </w:rPr>
        <w:t>),</w:t>
      </w:r>
      <w:r w:rsidR="001F7ED5">
        <w:rPr>
          <w:lang w:val="es-ES"/>
        </w:rPr>
        <w:t xml:space="preserve"> </w:t>
      </w:r>
      <w:r w:rsidRPr="004A5C52">
        <w:rPr>
          <w:lang w:val="es-ES"/>
        </w:rPr>
        <w:t>para.</w:t>
      </w:r>
      <w:r w:rsidR="001F7ED5">
        <w:rPr>
          <w:lang w:val="es-ES"/>
        </w:rPr>
        <w:t xml:space="preserve"> </w:t>
      </w:r>
      <w:r w:rsidRPr="004A5C52">
        <w:t>8.6.</w:t>
      </w:r>
    </w:p>
  </w:footnote>
  <w:footnote w:id="12">
    <w:p w14:paraId="1A6BCC50" w14:textId="19966372" w:rsidR="00FC5ABB" w:rsidRPr="004A5C52" w:rsidRDefault="00FC5ABB" w:rsidP="005D5882">
      <w:pPr>
        <w:pStyle w:val="FootnoteText"/>
      </w:pPr>
      <w:r w:rsidRPr="004A5C52">
        <w:tab/>
      </w:r>
      <w:r w:rsidRPr="001F7ED5">
        <w:rPr>
          <w:rStyle w:val="FootnoteReference"/>
        </w:rPr>
        <w:footnoteRef/>
      </w:r>
      <w:r w:rsidR="001F7ED5" w:rsidRPr="001F7ED5">
        <w:rPr>
          <w:rStyle w:val="FootnoteReference"/>
        </w:rPr>
        <w:t xml:space="preserve"> </w:t>
      </w:r>
      <w:r w:rsidRPr="004A5C52">
        <w:tab/>
        <w:t>European</w:t>
      </w:r>
      <w:r w:rsidR="001F7ED5">
        <w:t xml:space="preserve"> </w:t>
      </w:r>
      <w:r w:rsidRPr="004A5C52">
        <w:t>Court</w:t>
      </w:r>
      <w:r w:rsidR="001F7ED5">
        <w:t xml:space="preserve"> </w:t>
      </w:r>
      <w:r w:rsidRPr="004A5C52">
        <w:t>of</w:t>
      </w:r>
      <w:r w:rsidR="001F7ED5">
        <w:t xml:space="preserve"> </w:t>
      </w:r>
      <w:r w:rsidRPr="004A5C52">
        <w:t>Human</w:t>
      </w:r>
      <w:r w:rsidR="001F7ED5">
        <w:t xml:space="preserve"> </w:t>
      </w:r>
      <w:r w:rsidRPr="004A5C52">
        <w:t>Rights,</w:t>
      </w:r>
      <w:r w:rsidR="001F7ED5">
        <w:t xml:space="preserve"> </w:t>
      </w:r>
      <w:r w:rsidRPr="004A5C52">
        <w:rPr>
          <w:i/>
        </w:rPr>
        <w:t>Baltiņš</w:t>
      </w:r>
      <w:r w:rsidR="001F7ED5">
        <w:rPr>
          <w:i/>
        </w:rPr>
        <w:t xml:space="preserve"> </w:t>
      </w:r>
      <w:r w:rsidRPr="004A5C52">
        <w:rPr>
          <w:i/>
        </w:rPr>
        <w:t>v.</w:t>
      </w:r>
      <w:r w:rsidR="001F7ED5">
        <w:rPr>
          <w:i/>
        </w:rPr>
        <w:t xml:space="preserve"> </w:t>
      </w:r>
      <w:r w:rsidRPr="004A5C52">
        <w:rPr>
          <w:i/>
        </w:rPr>
        <w:t>Latvia</w:t>
      </w:r>
      <w:r w:rsidRPr="004A5C52">
        <w:t>,</w:t>
      </w:r>
      <w:r w:rsidR="001F7ED5">
        <w:t xml:space="preserve"> </w:t>
      </w:r>
      <w:r w:rsidRPr="004A5C52">
        <w:t>Application</w:t>
      </w:r>
      <w:r w:rsidR="001F7ED5">
        <w:t xml:space="preserve"> </w:t>
      </w:r>
      <w:r w:rsidRPr="004A5C52">
        <w:t>No.</w:t>
      </w:r>
      <w:r w:rsidR="001F7ED5">
        <w:t xml:space="preserve"> </w:t>
      </w:r>
      <w:r w:rsidRPr="004A5C52">
        <w:t>25282/07,</w:t>
      </w:r>
      <w:r w:rsidR="001F7ED5">
        <w:t xml:space="preserve"> </w:t>
      </w:r>
      <w:r w:rsidRPr="004A5C52">
        <w:t>judgment</w:t>
      </w:r>
      <w:r w:rsidR="001F7ED5">
        <w:t xml:space="preserve"> </w:t>
      </w:r>
      <w:r w:rsidRPr="004A5C52">
        <w:t>of</w:t>
      </w:r>
      <w:r w:rsidR="001F7ED5">
        <w:t xml:space="preserve"> </w:t>
      </w:r>
      <w:r w:rsidRPr="004A5C52">
        <w:t>8</w:t>
      </w:r>
      <w:r w:rsidR="001F7ED5">
        <w:t xml:space="preserve"> </w:t>
      </w:r>
      <w:r w:rsidRPr="004A5C52">
        <w:t>January</w:t>
      </w:r>
      <w:r w:rsidR="001F7ED5">
        <w:t xml:space="preserve"> </w:t>
      </w:r>
      <w:r w:rsidRPr="004A5C52">
        <w:t>2013,</w:t>
      </w:r>
      <w:r w:rsidR="001F7ED5">
        <w:t xml:space="preserve"> </w:t>
      </w:r>
      <w:r w:rsidRPr="004A5C52">
        <w:t>para.</w:t>
      </w:r>
      <w:r w:rsidR="001F7ED5">
        <w:t xml:space="preserve"> </w:t>
      </w:r>
      <w:r w:rsidRPr="004A5C52">
        <w:t>56.</w:t>
      </w:r>
    </w:p>
  </w:footnote>
  <w:footnote w:id="13">
    <w:p w14:paraId="3489E3FE" w14:textId="35336CFD" w:rsidR="00FC5ABB" w:rsidRPr="004A5C52" w:rsidRDefault="00FC5ABB" w:rsidP="005D5882">
      <w:pPr>
        <w:pStyle w:val="FootnoteText"/>
      </w:pPr>
      <w:r w:rsidRPr="004A5C52">
        <w:tab/>
      </w:r>
      <w:r w:rsidRPr="001F7ED5">
        <w:rPr>
          <w:rStyle w:val="FootnoteReference"/>
        </w:rPr>
        <w:footnoteRef/>
      </w:r>
      <w:r w:rsidR="001F7ED5" w:rsidRPr="001F7ED5">
        <w:rPr>
          <w:rStyle w:val="FootnoteReference"/>
        </w:rPr>
        <w:t xml:space="preserve"> </w:t>
      </w:r>
      <w:r w:rsidRPr="004A5C52">
        <w:tab/>
        <w:t>Ibid.,</w:t>
      </w:r>
      <w:r w:rsidR="001F7ED5">
        <w:t xml:space="preserve"> </w:t>
      </w:r>
      <w:r w:rsidRPr="004A5C52">
        <w:t>para.</w:t>
      </w:r>
      <w:r w:rsidR="001F7ED5">
        <w:t xml:space="preserve"> </w:t>
      </w:r>
      <w:r w:rsidRPr="004A5C52">
        <w:t>57.</w:t>
      </w:r>
    </w:p>
  </w:footnote>
  <w:footnote w:id="14">
    <w:p w14:paraId="28FC5354" w14:textId="1096DE78" w:rsidR="00FC5ABB" w:rsidRPr="004A5C52" w:rsidRDefault="00FC5ABB" w:rsidP="005D5882">
      <w:pPr>
        <w:pStyle w:val="FootnoteText"/>
      </w:pPr>
      <w:r w:rsidRPr="004A5C52">
        <w:tab/>
      </w:r>
      <w:r w:rsidRPr="001F7ED5">
        <w:rPr>
          <w:rStyle w:val="FootnoteReference"/>
        </w:rPr>
        <w:footnoteRef/>
      </w:r>
      <w:r w:rsidR="001F7ED5" w:rsidRPr="001F7ED5">
        <w:rPr>
          <w:rStyle w:val="FootnoteReference"/>
        </w:rPr>
        <w:t xml:space="preserve"> </w:t>
      </w:r>
      <w:r w:rsidRPr="004A5C52">
        <w:tab/>
        <w:t>See,</w:t>
      </w:r>
      <w:r w:rsidR="001F7ED5">
        <w:t xml:space="preserve"> </w:t>
      </w:r>
      <w:r w:rsidRPr="004A5C52">
        <w:t>for</w:t>
      </w:r>
      <w:r w:rsidR="001F7ED5">
        <w:t xml:space="preserve"> </w:t>
      </w:r>
      <w:r w:rsidRPr="004A5C52">
        <w:t>example,</w:t>
      </w:r>
      <w:r w:rsidR="001F7ED5">
        <w:t xml:space="preserve"> </w:t>
      </w:r>
      <w:r w:rsidRPr="004A5C52">
        <w:rPr>
          <w:bCs/>
          <w:i/>
        </w:rPr>
        <w:t>Cámpora</w:t>
      </w:r>
      <w:r w:rsidR="001F7ED5">
        <w:rPr>
          <w:bCs/>
          <w:i/>
        </w:rPr>
        <w:t xml:space="preserve"> </w:t>
      </w:r>
      <w:r w:rsidRPr="004A5C52">
        <w:rPr>
          <w:bCs/>
          <w:i/>
        </w:rPr>
        <w:t>Schweizer</w:t>
      </w:r>
      <w:r w:rsidR="001F7ED5">
        <w:rPr>
          <w:bCs/>
          <w:i/>
        </w:rPr>
        <w:t xml:space="preserve"> </w:t>
      </w:r>
      <w:r w:rsidRPr="004A5C52">
        <w:rPr>
          <w:bCs/>
          <w:i/>
        </w:rPr>
        <w:t>v.</w:t>
      </w:r>
      <w:r w:rsidR="001F7ED5">
        <w:rPr>
          <w:bCs/>
          <w:i/>
        </w:rPr>
        <w:t xml:space="preserve"> </w:t>
      </w:r>
      <w:r w:rsidRPr="004A5C52">
        <w:rPr>
          <w:bCs/>
          <w:i/>
        </w:rPr>
        <w:t>Uruguay</w:t>
      </w:r>
      <w:r w:rsidRPr="004A5C52">
        <w:rPr>
          <w:bCs/>
        </w:rPr>
        <w:t>,</w:t>
      </w:r>
      <w:r w:rsidR="001F7ED5">
        <w:rPr>
          <w:bCs/>
        </w:rPr>
        <w:t xml:space="preserve"> </w:t>
      </w:r>
      <w:r w:rsidRPr="004A5C52">
        <w:t>communication</w:t>
      </w:r>
      <w:r w:rsidR="001F7ED5">
        <w:t xml:space="preserve"> </w:t>
      </w:r>
      <w:r w:rsidRPr="004A5C52">
        <w:t>No.</w:t>
      </w:r>
      <w:r w:rsidR="001F7ED5">
        <w:t xml:space="preserve"> </w:t>
      </w:r>
      <w:r w:rsidRPr="004A5C52">
        <w:rPr>
          <w:bCs/>
        </w:rPr>
        <w:t>66/1980,</w:t>
      </w:r>
      <w:r w:rsidR="001F7ED5">
        <w:rPr>
          <w:bCs/>
        </w:rPr>
        <w:t xml:space="preserve"> </w:t>
      </w:r>
      <w:r w:rsidRPr="004A5C52">
        <w:t>para.</w:t>
      </w:r>
      <w:r w:rsidR="001F7ED5">
        <w:t xml:space="preserve"> </w:t>
      </w:r>
      <w:r w:rsidRPr="004A5C52">
        <w:t>17.5.</w:t>
      </w:r>
    </w:p>
  </w:footnote>
  <w:footnote w:id="15">
    <w:p w14:paraId="73157F00" w14:textId="631FE7B3" w:rsidR="00FC5ABB" w:rsidRPr="004A5C52" w:rsidRDefault="00FC5ABB" w:rsidP="005D5882">
      <w:pPr>
        <w:pStyle w:val="FootnoteText"/>
      </w:pPr>
      <w:r w:rsidRPr="004A5C52">
        <w:tab/>
      </w:r>
      <w:r w:rsidRPr="001F7ED5">
        <w:rPr>
          <w:rStyle w:val="FootnoteReference"/>
        </w:rPr>
        <w:footnoteRef/>
      </w:r>
      <w:r w:rsidR="001F7ED5" w:rsidRPr="001F7ED5">
        <w:rPr>
          <w:rStyle w:val="FootnoteReference"/>
        </w:rPr>
        <w:t xml:space="preserve"> </w:t>
      </w:r>
      <w:r w:rsidRPr="004A5C52">
        <w:tab/>
      </w:r>
      <w:r w:rsidRPr="004A5C52">
        <w:rPr>
          <w:i/>
        </w:rPr>
        <w:t>Bertelli</w:t>
      </w:r>
      <w:r w:rsidR="001F7ED5">
        <w:rPr>
          <w:i/>
        </w:rPr>
        <w:t xml:space="preserve"> </w:t>
      </w:r>
      <w:r w:rsidRPr="004A5C52">
        <w:rPr>
          <w:i/>
        </w:rPr>
        <w:t>Gálvez</w:t>
      </w:r>
      <w:r w:rsidR="001F7ED5">
        <w:rPr>
          <w:i/>
        </w:rPr>
        <w:t xml:space="preserve"> </w:t>
      </w:r>
      <w:r w:rsidRPr="004A5C52">
        <w:rPr>
          <w:i/>
        </w:rPr>
        <w:t>v.</w:t>
      </w:r>
      <w:r w:rsidR="001F7ED5">
        <w:rPr>
          <w:i/>
        </w:rPr>
        <w:t xml:space="preserve"> </w:t>
      </w:r>
      <w:r w:rsidRPr="004A5C52">
        <w:rPr>
          <w:i/>
        </w:rPr>
        <w:t>Spain</w:t>
      </w:r>
      <w:r w:rsidR="001F7ED5">
        <w:t xml:space="preserve"> </w:t>
      </w:r>
      <w:r w:rsidRPr="004A5C52">
        <w:t>(</w:t>
      </w:r>
      <w:hyperlink r:id="rId5" w:history="1">
        <w:r w:rsidRPr="004A5C52">
          <w:rPr>
            <w:rStyle w:val="Hyperlink"/>
            <w:u w:val="none"/>
          </w:rPr>
          <w:t>CCPR/C/84/D/1389/2005</w:t>
        </w:r>
      </w:hyperlink>
      <w:r w:rsidRPr="004A5C52">
        <w:t>),</w:t>
      </w:r>
      <w:r w:rsidR="001F7ED5">
        <w:t xml:space="preserve"> </w:t>
      </w:r>
      <w:r w:rsidRPr="004A5C52">
        <w:t>para.</w:t>
      </w:r>
      <w:r w:rsidR="001F7ED5">
        <w:t xml:space="preserve"> </w:t>
      </w:r>
      <w:r w:rsidRPr="004A5C52">
        <w:t>4.5.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7D5E8" w14:textId="77777777" w:rsidR="00FC5ABB" w:rsidRDefault="00FC5ABB" w:rsidP="005D5882">
    <w:pPr>
      <w:pStyle w:val="Header"/>
    </w:pPr>
    <w:r>
      <w:t>CCPR/C/133/D/3124/2018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89328" w14:textId="77777777" w:rsidR="00FC5ABB" w:rsidRDefault="00FC5ABB" w:rsidP="005D5882">
    <w:pPr>
      <w:pStyle w:val="Header"/>
      <w:jc w:val="right"/>
    </w:pPr>
    <w:r>
      <w:t>CCPR/C/133/D/3124/2018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17E9E"/>
    <w:multiLevelType w:val="hybridMultilevel"/>
    <w:tmpl w:val="9C061A44"/>
    <w:lvl w:ilvl="0" w:tplc="8B38596C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b w:val="0"/>
        <w:i w:val="0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6E120CC8">
      <w:start w:val="5"/>
      <w:numFmt w:val="bullet"/>
      <w:lvlText w:val="-"/>
      <w:lvlJc w:val="left"/>
      <w:pPr>
        <w:tabs>
          <w:tab w:val="num" w:pos="4374"/>
        </w:tabs>
        <w:ind w:left="4374" w:hanging="360"/>
      </w:pPr>
      <w:rPr>
        <w:rFonts w:ascii="Times New Roman" w:eastAsia="Times New Roman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B5B73"/>
    <w:multiLevelType w:val="multilevel"/>
    <w:tmpl w:val="06E0FFD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25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cs="Times New Roman" w:hint="default"/>
      </w:rPr>
    </w:lvl>
  </w:abstractNum>
  <w:abstractNum w:abstractNumId="4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827439E"/>
    <w:multiLevelType w:val="multilevel"/>
    <w:tmpl w:val="8984F2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048" w:hanging="1440"/>
      </w:pPr>
      <w:rPr>
        <w:rFonts w:hint="default"/>
      </w:rPr>
    </w:lvl>
  </w:abstractNum>
  <w:abstractNum w:abstractNumId="6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57CA8"/>
    <w:multiLevelType w:val="multilevel"/>
    <w:tmpl w:val="2EC82B0C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9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62116750"/>
    <w:multiLevelType w:val="hybridMultilevel"/>
    <w:tmpl w:val="54828B94"/>
    <w:lvl w:ilvl="0" w:tplc="160AFEEC">
      <w:start w:val="1"/>
      <w:numFmt w:val="decimal"/>
      <w:lvlText w:val="%1."/>
      <w:lvlJc w:val="left"/>
      <w:pPr>
        <w:ind w:left="1710" w:hanging="576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2" w15:restartNumberingAfterBreak="0">
    <w:nsid w:val="649579C7"/>
    <w:multiLevelType w:val="hybridMultilevel"/>
    <w:tmpl w:val="C21650E2"/>
    <w:lvl w:ilvl="0" w:tplc="05D4030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93D6312"/>
    <w:multiLevelType w:val="multilevel"/>
    <w:tmpl w:val="03FE75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9"/>
  </w:num>
  <w:num w:numId="5">
    <w:abstractNumId w:val="10"/>
  </w:num>
  <w:num w:numId="6">
    <w:abstractNumId w:val="14"/>
  </w:num>
  <w:num w:numId="7">
    <w:abstractNumId w:val="4"/>
  </w:num>
  <w:num w:numId="8">
    <w:abstractNumId w:val="2"/>
  </w:num>
  <w:num w:numId="9">
    <w:abstractNumId w:val="13"/>
  </w:num>
  <w:num w:numId="10">
    <w:abstractNumId w:val="11"/>
  </w:num>
  <w:num w:numId="11">
    <w:abstractNumId w:val="3"/>
  </w:num>
  <w:num w:numId="12">
    <w:abstractNumId w:val="12"/>
  </w:num>
  <w:num w:numId="13">
    <w:abstractNumId w:val="15"/>
  </w:num>
  <w:num w:numId="14">
    <w:abstractNumId w:val="5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evenAndOddHeaders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8F2"/>
    <w:rsid w:val="00046E92"/>
    <w:rsid w:val="0006523D"/>
    <w:rsid w:val="000820E8"/>
    <w:rsid w:val="00131D7A"/>
    <w:rsid w:val="00165C15"/>
    <w:rsid w:val="001F7ED5"/>
    <w:rsid w:val="00247E2C"/>
    <w:rsid w:val="002A55CD"/>
    <w:rsid w:val="002C78F2"/>
    <w:rsid w:val="002D6C53"/>
    <w:rsid w:val="002E7C71"/>
    <w:rsid w:val="002F5595"/>
    <w:rsid w:val="00334F6A"/>
    <w:rsid w:val="00342AC8"/>
    <w:rsid w:val="0038060B"/>
    <w:rsid w:val="003B4550"/>
    <w:rsid w:val="00461253"/>
    <w:rsid w:val="00472FED"/>
    <w:rsid w:val="004A5C52"/>
    <w:rsid w:val="005042C2"/>
    <w:rsid w:val="0053536C"/>
    <w:rsid w:val="005D5882"/>
    <w:rsid w:val="005D65FD"/>
    <w:rsid w:val="00651312"/>
    <w:rsid w:val="00671529"/>
    <w:rsid w:val="006F0721"/>
    <w:rsid w:val="007268F9"/>
    <w:rsid w:val="007327A0"/>
    <w:rsid w:val="007C52B0"/>
    <w:rsid w:val="00817E57"/>
    <w:rsid w:val="00892361"/>
    <w:rsid w:val="008D3450"/>
    <w:rsid w:val="008E3D64"/>
    <w:rsid w:val="009411B4"/>
    <w:rsid w:val="009D0139"/>
    <w:rsid w:val="009F5CDC"/>
    <w:rsid w:val="00A23459"/>
    <w:rsid w:val="00A775CF"/>
    <w:rsid w:val="00B06045"/>
    <w:rsid w:val="00B53AA5"/>
    <w:rsid w:val="00B903E5"/>
    <w:rsid w:val="00C35A27"/>
    <w:rsid w:val="00CA1AEA"/>
    <w:rsid w:val="00CB23E4"/>
    <w:rsid w:val="00D327D6"/>
    <w:rsid w:val="00DB065A"/>
    <w:rsid w:val="00DB489A"/>
    <w:rsid w:val="00DC2D02"/>
    <w:rsid w:val="00E02C2B"/>
    <w:rsid w:val="00E05879"/>
    <w:rsid w:val="00ED6C48"/>
    <w:rsid w:val="00F41F0F"/>
    <w:rsid w:val="00F65F5D"/>
    <w:rsid w:val="00F86A3A"/>
    <w:rsid w:val="00FA5743"/>
    <w:rsid w:val="00FB3674"/>
    <w:rsid w:val="00FC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7DC2E9E4"/>
  <w15:docId w15:val="{5B61488A-3E1C-4658-B2CE-875A14D7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87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892361"/>
    <w:pPr>
      <w:tabs>
        <w:tab w:val="left" w:pos="1701"/>
        <w:tab w:val="left" w:pos="2268"/>
      </w:tabs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165C15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5C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C15"/>
    <w:rPr>
      <w:rFonts w:ascii="Tahoma" w:eastAsia="Times New Roman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5D588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FC5AB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5AB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F7E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undocs.org/en/CCPR/C/51/D/451/1991" TargetMode="External"/><Relationship Id="rId2" Type="http://schemas.openxmlformats.org/officeDocument/2006/relationships/hyperlink" Target="http://undocs.org/en/CCPR/C/69/D/770/1997/Corr.1" TargetMode="External"/><Relationship Id="rId1" Type="http://schemas.openxmlformats.org/officeDocument/2006/relationships/hyperlink" Target="https://undocs.org/en/CCPR/C/69/D/770/1997" TargetMode="External"/><Relationship Id="rId5" Type="http://schemas.openxmlformats.org/officeDocument/2006/relationships/hyperlink" Target="http://undocs.org/en/CCPR/C/84/D/1389/2005" TargetMode="External"/><Relationship Id="rId4" Type="http://schemas.openxmlformats.org/officeDocument/2006/relationships/hyperlink" Target="http://undocs.org/en/CCPR/C/78/D/989/200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%20without%20Compatibility\COVERPAGES\CCP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90774-B1F4-4325-9A7A-2AF208309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11</Pages>
  <Words>6704</Words>
  <Characters>35208</Characters>
  <Application>Microsoft Office Word</Application>
  <DocSecurity>0</DocSecurity>
  <Lines>515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CCPR/C/133/D/3124/2018</vt:lpstr>
    </vt:vector>
  </TitlesOfParts>
  <Company>DCM</Company>
  <LinksUpToDate>false</LinksUpToDate>
  <CharactersWithSpaces>41838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CCPR/C/133/D/3124/2018</dc:title>
  <dc:subject>2200974</dc:subject>
  <dc:creator>Una Philippa GILTSOFF</dc:creator>
  <cp:keywords/>
  <dc:description/>
  <cp:lastModifiedBy>Una Philippa GILTSOFF</cp:lastModifiedBy>
  <cp:revision>2</cp:revision>
  <dcterms:created xsi:type="dcterms:W3CDTF">2022-01-27T10:48:00Z</dcterms:created>
  <dcterms:modified xsi:type="dcterms:W3CDTF">2022-01-27T10:48:00Z</dcterms:modified>
</cp:coreProperties>
</file>