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052A1FB" w14:textId="77777777" w:rsidTr="005B51C4">
        <w:trPr>
          <w:trHeight w:hRule="exact" w:val="851"/>
        </w:trPr>
        <w:tc>
          <w:tcPr>
            <w:tcW w:w="1274" w:type="dxa"/>
            <w:tcBorders>
              <w:bottom w:val="single" w:sz="4" w:space="0" w:color="auto"/>
            </w:tcBorders>
            <w:shd w:val="clear" w:color="auto" w:fill="auto"/>
          </w:tcPr>
          <w:p w14:paraId="4513B78E" w14:textId="77777777" w:rsidR="006B3E27" w:rsidRPr="00C175A6" w:rsidRDefault="006B3E27" w:rsidP="00402D37">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20758CFE"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8AEADE9" w14:textId="1B2A328C" w:rsidR="006B3E27" w:rsidRPr="006505F1" w:rsidRDefault="006505F1" w:rsidP="006505F1">
            <w:pPr>
              <w:bidi w:val="0"/>
              <w:rPr>
                <w:szCs w:val="20"/>
              </w:rPr>
            </w:pPr>
            <w:r w:rsidRPr="002531A3">
              <w:rPr>
                <w:sz w:val="40"/>
                <w:szCs w:val="20"/>
              </w:rPr>
              <w:t>CCPR</w:t>
            </w:r>
            <w:r w:rsidRPr="002531A3">
              <w:rPr>
                <w:szCs w:val="20"/>
              </w:rPr>
              <w:t>/C/</w:t>
            </w:r>
            <w:r w:rsidRPr="008257F2">
              <w:rPr>
                <w:szCs w:val="20"/>
              </w:rPr>
              <w:t>133</w:t>
            </w:r>
            <w:r w:rsidRPr="002531A3">
              <w:rPr>
                <w:szCs w:val="20"/>
              </w:rPr>
              <w:t>/D/</w:t>
            </w:r>
            <w:r w:rsidRPr="008257F2">
              <w:rPr>
                <w:szCs w:val="20"/>
              </w:rPr>
              <w:t>3124</w:t>
            </w:r>
            <w:r w:rsidRPr="002531A3">
              <w:rPr>
                <w:szCs w:val="20"/>
              </w:rPr>
              <w:t>/</w:t>
            </w:r>
            <w:r w:rsidRPr="008257F2">
              <w:rPr>
                <w:szCs w:val="20"/>
              </w:rPr>
              <w:t>2018</w:t>
            </w:r>
          </w:p>
        </w:tc>
      </w:tr>
      <w:tr w:rsidR="006B3E27" w:rsidRPr="00C175A6" w14:paraId="7C563F12" w14:textId="77777777" w:rsidTr="005B51C4">
        <w:trPr>
          <w:trHeight w:hRule="exact" w:val="2835"/>
        </w:trPr>
        <w:tc>
          <w:tcPr>
            <w:tcW w:w="1274" w:type="dxa"/>
            <w:tcBorders>
              <w:top w:val="single" w:sz="4" w:space="0" w:color="auto"/>
              <w:bottom w:val="single" w:sz="12" w:space="0" w:color="auto"/>
            </w:tcBorders>
            <w:shd w:val="clear" w:color="auto" w:fill="auto"/>
          </w:tcPr>
          <w:p w14:paraId="3D1CE7F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E2232C7" wp14:editId="5102A3B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8FB90AD" w14:textId="77777777" w:rsidR="006B3E27" w:rsidRPr="008257F2" w:rsidRDefault="00ED7442" w:rsidP="00730446">
            <w:pPr>
              <w:spacing w:before="120" w:after="40" w:line="640" w:lineRule="exact"/>
              <w:ind w:left="57"/>
              <w:rPr>
                <w:b/>
                <w:bCs/>
                <w:sz w:val="46"/>
                <w:szCs w:val="46"/>
              </w:rPr>
            </w:pPr>
            <w:r w:rsidRPr="008257F2">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BA5E06F" w14:textId="77777777" w:rsidR="006B3E27" w:rsidRDefault="006505F1" w:rsidP="004B27E0">
            <w:pPr>
              <w:bidi w:val="0"/>
              <w:spacing w:before="240"/>
              <w:rPr>
                <w:szCs w:val="20"/>
              </w:rPr>
            </w:pPr>
            <w:r>
              <w:rPr>
                <w:szCs w:val="20"/>
              </w:rPr>
              <w:t>Distr.: General</w:t>
            </w:r>
          </w:p>
          <w:p w14:paraId="7F975039" w14:textId="71B90620" w:rsidR="006505F1" w:rsidRDefault="00517810" w:rsidP="006505F1">
            <w:pPr>
              <w:bidi w:val="0"/>
              <w:spacing w:line="240" w:lineRule="exact"/>
              <w:jc w:val="left"/>
              <w:rPr>
                <w:szCs w:val="20"/>
              </w:rPr>
            </w:pPr>
            <w:r w:rsidRPr="008257F2">
              <w:rPr>
                <w:szCs w:val="20"/>
              </w:rPr>
              <w:t>27</w:t>
            </w:r>
            <w:r>
              <w:rPr>
                <w:szCs w:val="20"/>
              </w:rPr>
              <w:t xml:space="preserve"> January </w:t>
            </w:r>
            <w:r w:rsidRPr="008257F2">
              <w:rPr>
                <w:szCs w:val="20"/>
              </w:rPr>
              <w:t>2022</w:t>
            </w:r>
          </w:p>
          <w:p w14:paraId="03F0EA7F" w14:textId="77777777" w:rsidR="006505F1" w:rsidRDefault="006505F1" w:rsidP="006505F1">
            <w:pPr>
              <w:bidi w:val="0"/>
              <w:spacing w:line="240" w:lineRule="exact"/>
              <w:jc w:val="left"/>
              <w:rPr>
                <w:szCs w:val="20"/>
              </w:rPr>
            </w:pPr>
            <w:r>
              <w:rPr>
                <w:szCs w:val="20"/>
              </w:rPr>
              <w:t>Arabic</w:t>
            </w:r>
          </w:p>
          <w:p w14:paraId="05E9FB31" w14:textId="337442F2" w:rsidR="006505F1" w:rsidRPr="006505F1" w:rsidRDefault="006505F1" w:rsidP="006505F1">
            <w:pPr>
              <w:bidi w:val="0"/>
              <w:spacing w:line="240" w:lineRule="exact"/>
              <w:jc w:val="left"/>
              <w:rPr>
                <w:szCs w:val="20"/>
              </w:rPr>
            </w:pPr>
            <w:r>
              <w:rPr>
                <w:szCs w:val="20"/>
              </w:rPr>
              <w:t>Original: English</w:t>
            </w:r>
          </w:p>
        </w:tc>
      </w:tr>
    </w:tbl>
    <w:p w14:paraId="18E45517" w14:textId="77777777" w:rsidR="00517810" w:rsidRPr="008257F2" w:rsidRDefault="00517810" w:rsidP="00517810">
      <w:pPr>
        <w:spacing w:before="120" w:line="360" w:lineRule="exact"/>
        <w:textDirection w:val="tbRlV"/>
        <w:rPr>
          <w:b/>
          <w:sz w:val="26"/>
          <w:szCs w:val="26"/>
          <w:lang w:val="fr-CH" w:eastAsia="zh-TW" w:bidi="en-GB"/>
        </w:rPr>
      </w:pPr>
      <w:r w:rsidRPr="008257F2">
        <w:rPr>
          <w:b/>
          <w:bCs/>
          <w:sz w:val="26"/>
          <w:szCs w:val="26"/>
          <w:rtl/>
        </w:rPr>
        <w:t>اللجنة المعنية بحقوق الإنسان</w:t>
      </w:r>
    </w:p>
    <w:p w14:paraId="0AA11931" w14:textId="3A6B564B" w:rsidR="00517810" w:rsidRPr="008257F2" w:rsidRDefault="00517810" w:rsidP="00517810">
      <w:pPr>
        <w:pStyle w:val="HChGA"/>
        <w:rPr>
          <w:lang w:val="en-US" w:eastAsia="zh-TW" w:bidi="en-GB"/>
        </w:rPr>
      </w:pPr>
      <w:r w:rsidRPr="008257F2">
        <w:rPr>
          <w:rtl/>
        </w:rPr>
        <w:tab/>
      </w:r>
      <w:r w:rsidRPr="008257F2">
        <w:rPr>
          <w:rtl/>
        </w:rPr>
        <w:tab/>
        <w:t>قرار اعتمدته اللجنة بموجب البروتوكول الاختياري بشأن البلاغ رقم</w:t>
      </w:r>
      <w:r w:rsidRPr="008257F2">
        <w:rPr>
          <w:rFonts w:hint="cs"/>
          <w:rtl/>
        </w:rPr>
        <w:t> </w:t>
      </w:r>
      <w:r w:rsidRPr="008257F2">
        <w:rPr>
          <w:rFonts w:ascii="Traditional Arabic"/>
          <w:rtl/>
        </w:rPr>
        <w:t>3124/2018</w:t>
      </w:r>
      <w:r w:rsidRPr="008257F2">
        <w:rPr>
          <w:rStyle w:val="FootnoteReference"/>
          <w:rFonts w:ascii="Traditional Arabic"/>
          <w:bCs w:val="0"/>
          <w:sz w:val="26"/>
          <w:szCs w:val="26"/>
          <w:vertAlign w:val="baseline"/>
          <w:rtl/>
        </w:rPr>
        <w:footnoteReference w:customMarkFollows="1" w:id="1"/>
        <w:t>*</w:t>
      </w:r>
      <w:r w:rsidRPr="008257F2">
        <w:rPr>
          <w:bCs w:val="0"/>
          <w:sz w:val="34"/>
          <w:szCs w:val="34"/>
          <w:rtl/>
          <w:lang w:val="en-US" w:eastAsia="zh-TW"/>
        </w:rPr>
        <w:t xml:space="preserve"> </w:t>
      </w:r>
      <w:r w:rsidRPr="008257F2">
        <w:rPr>
          <w:rStyle w:val="FootnoteReference"/>
          <w:bCs w:val="0"/>
          <w:sz w:val="26"/>
          <w:szCs w:val="26"/>
          <w:vertAlign w:val="baseline"/>
          <w:rtl/>
          <w:lang w:val="en-US" w:eastAsia="zh-TW"/>
        </w:rPr>
        <w:footnoteReference w:customMarkFollows="1" w:id="2"/>
        <w:t>**</w:t>
      </w:r>
    </w:p>
    <w:p w14:paraId="61502B5D" w14:textId="18DE68E2"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بلاغ مقدم من:</w:t>
      </w:r>
      <w:r>
        <w:rPr>
          <w:rtl/>
        </w:rPr>
        <w:tab/>
      </w:r>
      <w:r w:rsidRPr="00517810">
        <w:rPr>
          <w:rtl/>
        </w:rPr>
        <w:t>غ. ب. (لا يمثله محام)</w:t>
      </w:r>
    </w:p>
    <w:p w14:paraId="5B9C8253" w14:textId="77C78C56"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الشخص المدعى أنه ضحية:</w:t>
      </w:r>
      <w:r>
        <w:rPr>
          <w:rtl/>
        </w:rPr>
        <w:tab/>
      </w:r>
      <w:r w:rsidRPr="00517810">
        <w:rPr>
          <w:rtl/>
        </w:rPr>
        <w:t>صاحب البلاغ</w:t>
      </w:r>
    </w:p>
    <w:p w14:paraId="1E408771" w14:textId="6D2E3B08"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الدولة الطرف:</w:t>
      </w:r>
      <w:r>
        <w:rPr>
          <w:rtl/>
        </w:rPr>
        <w:tab/>
      </w:r>
      <w:r w:rsidRPr="00517810">
        <w:rPr>
          <w:rtl/>
        </w:rPr>
        <w:t>لاتفيا</w:t>
      </w:r>
    </w:p>
    <w:p w14:paraId="2C98B2FF" w14:textId="4C4ED622"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تاريخ تقديم البلاغ:</w:t>
      </w:r>
      <w:r>
        <w:rPr>
          <w:rtl/>
        </w:rPr>
        <w:tab/>
      </w:r>
      <w:r w:rsidRPr="008257F2">
        <w:rPr>
          <w:rtl/>
        </w:rPr>
        <w:t>12</w:t>
      </w:r>
      <w:r w:rsidRPr="00517810">
        <w:rPr>
          <w:rtl/>
        </w:rPr>
        <w:t xml:space="preserve"> تشرين الأول/أكتوبر </w:t>
      </w:r>
      <w:r w:rsidRPr="008257F2">
        <w:rPr>
          <w:rtl/>
        </w:rPr>
        <w:t>2017</w:t>
      </w:r>
      <w:r w:rsidRPr="00517810">
        <w:rPr>
          <w:rtl/>
        </w:rPr>
        <w:t xml:space="preserve"> (تاريخ الرسالة الأولى)</w:t>
      </w:r>
    </w:p>
    <w:p w14:paraId="7917BC45" w14:textId="49D07863"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الوثائق المرجعية:</w:t>
      </w:r>
      <w:r>
        <w:rPr>
          <w:rtl/>
        </w:rPr>
        <w:tab/>
      </w:r>
      <w:r w:rsidRPr="009B4073">
        <w:rPr>
          <w:spacing w:val="-3"/>
          <w:rtl/>
        </w:rPr>
        <w:t xml:space="preserve">القرار المتخذ بموجب المادة </w:t>
      </w:r>
      <w:r w:rsidRPr="008257F2">
        <w:rPr>
          <w:spacing w:val="-3"/>
          <w:rtl/>
        </w:rPr>
        <w:t>92</w:t>
      </w:r>
      <w:r w:rsidRPr="009B4073">
        <w:rPr>
          <w:spacing w:val="-3"/>
          <w:rtl/>
        </w:rPr>
        <w:t xml:space="preserve"> من النظام الداخلي للجنة</w:t>
      </w:r>
      <w:r w:rsidR="002531A3">
        <w:rPr>
          <w:rtl/>
        </w:rPr>
        <w:t>،</w:t>
      </w:r>
      <w:r w:rsidRPr="00517810">
        <w:rPr>
          <w:rtl/>
        </w:rPr>
        <w:t xml:space="preserve"> والمحال إلى الدولة الطرف في </w:t>
      </w:r>
      <w:r w:rsidRPr="008257F2">
        <w:rPr>
          <w:rtl/>
        </w:rPr>
        <w:t>14</w:t>
      </w:r>
      <w:r w:rsidRPr="00517810">
        <w:rPr>
          <w:rtl/>
        </w:rPr>
        <w:t xml:space="preserve"> شباط/فبراير </w:t>
      </w:r>
      <w:r w:rsidRPr="008257F2">
        <w:rPr>
          <w:rtl/>
        </w:rPr>
        <w:t>2018</w:t>
      </w:r>
      <w:r w:rsidRPr="00517810">
        <w:rPr>
          <w:rtl/>
        </w:rPr>
        <w:t xml:space="preserve"> (لم يصدر في شكل وثيقة)</w:t>
      </w:r>
    </w:p>
    <w:p w14:paraId="1E9EA8E4" w14:textId="6F067D20"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تاريخ اعتماد القرار:</w:t>
      </w:r>
      <w:r>
        <w:rPr>
          <w:rtl/>
        </w:rPr>
        <w:tab/>
      </w:r>
      <w:r w:rsidRPr="008257F2">
        <w:rPr>
          <w:rtl/>
        </w:rPr>
        <w:t>5</w:t>
      </w:r>
      <w:r w:rsidRPr="00517810">
        <w:rPr>
          <w:rtl/>
        </w:rPr>
        <w:t xml:space="preserve"> تشرين الثاني/نوفمبر </w:t>
      </w:r>
      <w:r w:rsidRPr="008257F2">
        <w:rPr>
          <w:rtl/>
        </w:rPr>
        <w:t>2021</w:t>
      </w:r>
    </w:p>
    <w:p w14:paraId="47C1F630" w14:textId="7800859F"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الموضوع:</w:t>
      </w:r>
      <w:r>
        <w:rPr>
          <w:rtl/>
        </w:rPr>
        <w:tab/>
      </w:r>
      <w:r w:rsidRPr="00517810">
        <w:rPr>
          <w:rtl/>
        </w:rPr>
        <w:t>الكشف عن الملفات السرية للدفاع</w:t>
      </w:r>
    </w:p>
    <w:p w14:paraId="770E7496" w14:textId="133F7ED1"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المسائل الإجرائية:</w:t>
      </w:r>
      <w:r>
        <w:rPr>
          <w:rtl/>
        </w:rPr>
        <w:tab/>
      </w:r>
      <w:r w:rsidRPr="00517810">
        <w:rPr>
          <w:rtl/>
        </w:rPr>
        <w:t>المقبولية</w:t>
      </w:r>
    </w:p>
    <w:p w14:paraId="009BA6F1" w14:textId="5011604F"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المسائل الموضوعية:</w:t>
      </w:r>
      <w:r>
        <w:rPr>
          <w:rtl/>
        </w:rPr>
        <w:tab/>
      </w:r>
      <w:r w:rsidRPr="00517810">
        <w:rPr>
          <w:rtl/>
        </w:rPr>
        <w:t>المحاكمة العادلة؛ قرينة البراءة</w:t>
      </w:r>
    </w:p>
    <w:p w14:paraId="6E60162F" w14:textId="72717D30"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مواد العهد:</w:t>
      </w:r>
      <w:r>
        <w:rPr>
          <w:rtl/>
        </w:rPr>
        <w:tab/>
      </w:r>
      <w:r w:rsidRPr="008257F2">
        <w:rPr>
          <w:rtl/>
        </w:rPr>
        <w:t>14</w:t>
      </w:r>
      <w:r w:rsidRPr="00517810">
        <w:rPr>
          <w:rtl/>
        </w:rPr>
        <w:t>(</w:t>
      </w:r>
      <w:r w:rsidRPr="008257F2">
        <w:rPr>
          <w:rtl/>
        </w:rPr>
        <w:t>1</w:t>
      </w:r>
      <w:r w:rsidRPr="00517810">
        <w:rPr>
          <w:rtl/>
        </w:rPr>
        <w:t>) و(</w:t>
      </w:r>
      <w:r w:rsidRPr="008257F2">
        <w:rPr>
          <w:rtl/>
        </w:rPr>
        <w:t>2</w:t>
      </w:r>
      <w:r w:rsidRPr="00517810">
        <w:rPr>
          <w:rtl/>
        </w:rPr>
        <w:t>) و(</w:t>
      </w:r>
      <w:r w:rsidRPr="008257F2">
        <w:rPr>
          <w:rtl/>
        </w:rPr>
        <w:t>6</w:t>
      </w:r>
      <w:r w:rsidRPr="00517810">
        <w:rPr>
          <w:rtl/>
        </w:rPr>
        <w:t>)؛</w:t>
      </w:r>
    </w:p>
    <w:p w14:paraId="773FF079" w14:textId="45CB94FA" w:rsidR="00517810" w:rsidRPr="00517810" w:rsidRDefault="00517810" w:rsidP="00517810">
      <w:pPr>
        <w:pStyle w:val="SingleTxtGA"/>
        <w:tabs>
          <w:tab w:val="clear" w:pos="1928"/>
          <w:tab w:val="clear" w:pos="2608"/>
          <w:tab w:val="clear" w:pos="3289"/>
          <w:tab w:val="clear" w:pos="3969"/>
          <w:tab w:val="clear" w:pos="4649"/>
          <w:tab w:val="clear" w:pos="5330"/>
        </w:tabs>
        <w:ind w:left="4649" w:hanging="2721"/>
      </w:pPr>
      <w:r w:rsidRPr="008257F2">
        <w:rPr>
          <w:i/>
          <w:iCs/>
          <w:rtl/>
        </w:rPr>
        <w:t>مواد البروتوكول الاختياري:</w:t>
      </w:r>
      <w:r>
        <w:rPr>
          <w:rtl/>
        </w:rPr>
        <w:tab/>
      </w:r>
      <w:r w:rsidRPr="008257F2">
        <w:rPr>
          <w:rtl/>
        </w:rPr>
        <w:t>2</w:t>
      </w:r>
      <w:r w:rsidRPr="00517810">
        <w:rPr>
          <w:rtl/>
        </w:rPr>
        <w:t xml:space="preserve"> و</w:t>
      </w:r>
      <w:r w:rsidRPr="008257F2">
        <w:rPr>
          <w:rtl/>
        </w:rPr>
        <w:t>3</w:t>
      </w:r>
      <w:r w:rsidRPr="00517810">
        <w:rPr>
          <w:rtl/>
        </w:rPr>
        <w:t xml:space="preserve"> و</w:t>
      </w:r>
      <w:r w:rsidRPr="008257F2">
        <w:rPr>
          <w:rtl/>
        </w:rPr>
        <w:t>5</w:t>
      </w:r>
      <w:r w:rsidRPr="00517810">
        <w:rPr>
          <w:rtl/>
        </w:rPr>
        <w:t>(</w:t>
      </w:r>
      <w:r w:rsidRPr="008257F2">
        <w:rPr>
          <w:rtl/>
        </w:rPr>
        <w:t>2</w:t>
      </w:r>
      <w:r w:rsidRPr="00517810">
        <w:rPr>
          <w:rtl/>
        </w:rPr>
        <w:t>)(ب)</w:t>
      </w:r>
    </w:p>
    <w:p w14:paraId="799E02F7" w14:textId="7B79B354" w:rsidR="00517810" w:rsidRPr="00A91733" w:rsidRDefault="00517810" w:rsidP="00A91733">
      <w:pPr>
        <w:pStyle w:val="SingleTxtGA"/>
        <w:spacing w:before="240"/>
        <w:rPr>
          <w:lang w:val="ar-SA" w:eastAsia="zh-TW" w:bidi="en-GB"/>
        </w:rPr>
      </w:pPr>
      <w:r w:rsidRPr="008257F2">
        <w:rPr>
          <w:rtl/>
        </w:rPr>
        <w:t>1</w:t>
      </w:r>
      <w:r w:rsidRPr="00A91733">
        <w:rPr>
          <w:rtl/>
        </w:rPr>
        <w:t>-</w:t>
      </w:r>
      <w:r w:rsidRPr="00A91733">
        <w:rPr>
          <w:rtl/>
        </w:rPr>
        <w:tab/>
        <w:t>صاحب البلاغ هو غ.</w:t>
      </w:r>
      <w:r w:rsidR="00EA7571">
        <w:rPr>
          <w:rFonts w:hint="cs"/>
          <w:rtl/>
        </w:rPr>
        <w:t xml:space="preserve"> </w:t>
      </w:r>
      <w:r w:rsidRPr="00A91733">
        <w:rPr>
          <w:rtl/>
        </w:rPr>
        <w:t>ب.</w:t>
      </w:r>
      <w:r w:rsidR="002531A3">
        <w:rPr>
          <w:rtl/>
        </w:rPr>
        <w:t>،</w:t>
      </w:r>
      <w:r w:rsidRPr="00A91733">
        <w:rPr>
          <w:rtl/>
        </w:rPr>
        <w:t xml:space="preserve"> مواطن من لاتفيا. وهو يدعي أن الدولة الطرف انتهكت حقوقه المكفولة بموجب المادة </w:t>
      </w:r>
      <w:r w:rsidRPr="008257F2">
        <w:rPr>
          <w:rtl/>
        </w:rPr>
        <w:t>14</w:t>
      </w:r>
      <w:r w:rsidRPr="00A91733">
        <w:rPr>
          <w:rtl/>
        </w:rPr>
        <w:t>(</w:t>
      </w:r>
      <w:r w:rsidRPr="008257F2">
        <w:rPr>
          <w:rtl/>
        </w:rPr>
        <w:t>1</w:t>
      </w:r>
      <w:r w:rsidRPr="00A91733">
        <w:rPr>
          <w:rtl/>
        </w:rPr>
        <w:t>) و(</w:t>
      </w:r>
      <w:r w:rsidRPr="008257F2">
        <w:rPr>
          <w:rtl/>
        </w:rPr>
        <w:t>2</w:t>
      </w:r>
      <w:r w:rsidRPr="00A91733">
        <w:rPr>
          <w:rtl/>
        </w:rPr>
        <w:t>) و(</w:t>
      </w:r>
      <w:r w:rsidRPr="008257F2">
        <w:rPr>
          <w:rtl/>
        </w:rPr>
        <w:t>6</w:t>
      </w:r>
      <w:r w:rsidRPr="00A91733">
        <w:rPr>
          <w:rtl/>
        </w:rPr>
        <w:t xml:space="preserve">) من العهد. وقد دخل البروتوكول الاختياري حيز النفاذ بالنسبة للاتفيا في </w:t>
      </w:r>
      <w:r w:rsidRPr="008257F2">
        <w:rPr>
          <w:rtl/>
        </w:rPr>
        <w:t>22</w:t>
      </w:r>
      <w:r w:rsidRPr="00A91733">
        <w:rPr>
          <w:rtl/>
        </w:rPr>
        <w:t xml:space="preserve"> أيلول/سبتمبر </w:t>
      </w:r>
      <w:r w:rsidRPr="008257F2">
        <w:rPr>
          <w:rtl/>
        </w:rPr>
        <w:t>1994</w:t>
      </w:r>
      <w:r w:rsidRPr="00A91733">
        <w:rPr>
          <w:rtl/>
        </w:rPr>
        <w:t>. ولا يمثل صاحبَ البلاغ محامٍ.</w:t>
      </w:r>
    </w:p>
    <w:p w14:paraId="3DE4C1FB" w14:textId="77777777" w:rsidR="00517810" w:rsidRPr="008257F2" w:rsidRDefault="00517810" w:rsidP="00A91733">
      <w:pPr>
        <w:pStyle w:val="H23GA"/>
        <w:rPr>
          <w:lang w:val="ar-SA" w:eastAsia="zh-TW" w:bidi="en-GB"/>
        </w:rPr>
      </w:pPr>
      <w:r w:rsidRPr="008257F2">
        <w:rPr>
          <w:rtl/>
        </w:rPr>
        <w:lastRenderedPageBreak/>
        <w:tab/>
      </w:r>
      <w:r w:rsidRPr="008257F2">
        <w:rPr>
          <w:rtl/>
        </w:rPr>
        <w:tab/>
        <w:t>الوقائع كما عرضها صاحب البلاغ</w:t>
      </w:r>
    </w:p>
    <w:p w14:paraId="0BF28497" w14:textId="40038E6E"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1</w:t>
      </w:r>
      <w:r w:rsidRPr="00A91733">
        <w:rPr>
          <w:rFonts w:eastAsiaTheme="minorEastAsia"/>
          <w:rtl/>
        </w:rPr>
        <w:tab/>
        <w:t xml:space="preserve">في تشرين الأول/أكتوبر وتشرين الثاني/نوفمبر </w:t>
      </w:r>
      <w:r w:rsidRPr="008257F2">
        <w:rPr>
          <w:rFonts w:eastAsiaTheme="minorEastAsia"/>
          <w:rtl/>
        </w:rPr>
        <w:t>2004</w:t>
      </w:r>
      <w:r w:rsidR="002531A3">
        <w:rPr>
          <w:rFonts w:eastAsiaTheme="minorEastAsia"/>
          <w:rtl/>
        </w:rPr>
        <w:t>،</w:t>
      </w:r>
      <w:r w:rsidRPr="00A91733">
        <w:rPr>
          <w:rFonts w:eastAsiaTheme="minorEastAsia"/>
          <w:rtl/>
        </w:rPr>
        <w:t xml:space="preserve"> أجرت الشرطة تحقيقات ميدانية خاصة ضد صاحب البلاغ</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3"/>
      </w:r>
      <w:r w:rsidR="00A91733" w:rsidRPr="007D2254">
        <w:rPr>
          <w:rStyle w:val="FootnoteReference"/>
          <w:rFonts w:eastAsiaTheme="minorEastAsia"/>
          <w:szCs w:val="22"/>
          <w:rtl/>
        </w:rPr>
        <w:t>)</w:t>
      </w:r>
      <w:r w:rsidRPr="00A91733">
        <w:rPr>
          <w:rFonts w:eastAsiaTheme="minorEastAsia"/>
          <w:rtl/>
        </w:rPr>
        <w:t>. وفي إطار هذه التحقيقات</w:t>
      </w:r>
      <w:r w:rsidR="002531A3">
        <w:rPr>
          <w:rFonts w:eastAsiaTheme="minorEastAsia"/>
          <w:rtl/>
        </w:rPr>
        <w:t>،</w:t>
      </w:r>
      <w:r w:rsidRPr="00A91733">
        <w:rPr>
          <w:rFonts w:eastAsiaTheme="minorEastAsia"/>
          <w:rtl/>
        </w:rPr>
        <w:t xml:space="preserve"> اتصل بصاحب البلاغ ضابط شرطة سري</w:t>
      </w:r>
      <w:r w:rsidR="002531A3">
        <w:rPr>
          <w:rFonts w:eastAsiaTheme="minorEastAsia"/>
          <w:rtl/>
        </w:rPr>
        <w:t>،</w:t>
      </w:r>
      <w:r w:rsidRPr="00A91733">
        <w:rPr>
          <w:rFonts w:eastAsiaTheme="minorEastAsia"/>
          <w:rtl/>
        </w:rPr>
        <w:t xml:space="preserve"> يدعى إ.</w:t>
      </w:r>
      <w:r w:rsidR="002531A3">
        <w:rPr>
          <w:rFonts w:eastAsiaTheme="minorEastAsia"/>
          <w:rtl/>
        </w:rPr>
        <w:t>،</w:t>
      </w:r>
      <w:r w:rsidRPr="00A91733">
        <w:rPr>
          <w:rFonts w:eastAsiaTheme="minorEastAsia"/>
          <w:rtl/>
        </w:rPr>
        <w:t xml:space="preserve"> زاعماً أنه تاجر مخدرات</w:t>
      </w:r>
      <w:r w:rsidR="002531A3">
        <w:rPr>
          <w:rFonts w:eastAsiaTheme="minorEastAsia"/>
          <w:rtl/>
        </w:rPr>
        <w:t>،</w:t>
      </w:r>
      <w:r w:rsidRPr="00A91733">
        <w:rPr>
          <w:rFonts w:eastAsiaTheme="minorEastAsia"/>
          <w:rtl/>
        </w:rPr>
        <w:t xml:space="preserve"> وأقنعه بأن يصبح وسيطاً في الاتجار بالمخدرات. ويدفع صاحب البلاغ بأن إ.</w:t>
      </w:r>
      <w:r w:rsidR="002531A3">
        <w:rPr>
          <w:rFonts w:eastAsiaTheme="minorEastAsia"/>
          <w:rtl/>
        </w:rPr>
        <w:t>،</w:t>
      </w:r>
      <w:r w:rsidRPr="00A91733">
        <w:rPr>
          <w:rFonts w:eastAsiaTheme="minorEastAsia"/>
          <w:rtl/>
        </w:rPr>
        <w:t xml:space="preserve"> الذي كان يرتدي دائماً ملابس مدنية أثناء لقاءاتهما</w:t>
      </w:r>
      <w:r w:rsidR="002531A3">
        <w:rPr>
          <w:rFonts w:eastAsiaTheme="minorEastAsia"/>
          <w:rtl/>
        </w:rPr>
        <w:t>،</w:t>
      </w:r>
      <w:r w:rsidRPr="00A91733">
        <w:rPr>
          <w:rFonts w:eastAsiaTheme="minorEastAsia"/>
          <w:rtl/>
        </w:rPr>
        <w:t xml:space="preserve"> لم يتدخل في الأنشطة الإجرامية الجارية بالفعل</w:t>
      </w:r>
      <w:r w:rsidR="002531A3">
        <w:rPr>
          <w:rFonts w:eastAsiaTheme="minorEastAsia"/>
          <w:rtl/>
        </w:rPr>
        <w:t>،</w:t>
      </w:r>
      <w:r w:rsidRPr="00A91733">
        <w:rPr>
          <w:rFonts w:eastAsiaTheme="minorEastAsia"/>
          <w:rtl/>
        </w:rPr>
        <w:t xml:space="preserve"> بل</w:t>
      </w:r>
      <w:r w:rsidR="00A91733">
        <w:rPr>
          <w:rFonts w:eastAsiaTheme="minorEastAsia" w:hint="cs"/>
          <w:rtl/>
        </w:rPr>
        <w:t> </w:t>
      </w:r>
      <w:r w:rsidRPr="00A91733">
        <w:rPr>
          <w:rFonts w:eastAsiaTheme="minorEastAsia"/>
          <w:rtl/>
        </w:rPr>
        <w:t>بادر بها بنفسه بإرسال رسائل نصية إلى صاحب البلاغ</w:t>
      </w:r>
      <w:r w:rsidR="002531A3">
        <w:rPr>
          <w:rFonts w:eastAsiaTheme="minorEastAsia"/>
          <w:rtl/>
        </w:rPr>
        <w:t>،</w:t>
      </w:r>
      <w:r w:rsidRPr="00A91733">
        <w:rPr>
          <w:rFonts w:eastAsiaTheme="minorEastAsia"/>
          <w:rtl/>
        </w:rPr>
        <w:t xml:space="preserve"> وبالحث على لقاء يُزعم أنه كان عرضياً</w:t>
      </w:r>
      <w:r w:rsidR="002531A3">
        <w:rPr>
          <w:rFonts w:eastAsiaTheme="minorEastAsia"/>
          <w:rtl/>
        </w:rPr>
        <w:t>،</w:t>
      </w:r>
      <w:r w:rsidRPr="00A91733">
        <w:rPr>
          <w:rFonts w:eastAsiaTheme="minorEastAsia"/>
          <w:rtl/>
        </w:rPr>
        <w:t xml:space="preserve"> وبتشجيعه مراراً وتكراراً على تزويده بالمخدرات. ويلاحظ صاحب البلاغ أن الشرطي السري لم يتصرف بطريقة سلبية بل حرضه على ارتكاب الجريمة التي وقعت في </w:t>
      </w:r>
      <w:r w:rsidRPr="008257F2">
        <w:rPr>
          <w:rFonts w:eastAsiaTheme="minorEastAsia"/>
          <w:rtl/>
        </w:rPr>
        <w:t>3</w:t>
      </w:r>
      <w:r w:rsidRPr="00A91733">
        <w:rPr>
          <w:rFonts w:eastAsiaTheme="minorEastAsia"/>
          <w:rtl/>
        </w:rPr>
        <w:t xml:space="preserve"> تشرين الثاني/نوفمبر </w:t>
      </w:r>
      <w:r w:rsidRPr="008257F2">
        <w:rPr>
          <w:rFonts w:eastAsiaTheme="minorEastAsia"/>
          <w:rtl/>
        </w:rPr>
        <w:t>2004</w:t>
      </w:r>
      <w:r w:rsidR="002531A3">
        <w:rPr>
          <w:rFonts w:eastAsiaTheme="minorEastAsia"/>
          <w:rtl/>
        </w:rPr>
        <w:t>،</w:t>
      </w:r>
      <w:r w:rsidRPr="00A91733">
        <w:rPr>
          <w:rFonts w:eastAsiaTheme="minorEastAsia"/>
          <w:rtl/>
        </w:rPr>
        <w:t xml:space="preserve"> عندما اشترى إ. مخدرات من صاحب البلاغ.</w:t>
      </w:r>
    </w:p>
    <w:p w14:paraId="71D5567D" w14:textId="299628B5"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2</w:t>
      </w:r>
      <w:r w:rsidRPr="00A91733">
        <w:rPr>
          <w:rFonts w:eastAsiaTheme="minorEastAsia"/>
          <w:rtl/>
        </w:rPr>
        <w:tab/>
        <w:t xml:space="preserve">وفي </w:t>
      </w:r>
      <w:r w:rsidRPr="008257F2">
        <w:rPr>
          <w:rFonts w:eastAsiaTheme="minorEastAsia"/>
          <w:rtl/>
        </w:rPr>
        <w:t>21</w:t>
      </w:r>
      <w:r w:rsidRPr="00A91733">
        <w:rPr>
          <w:rFonts w:eastAsiaTheme="minorEastAsia"/>
          <w:rtl/>
        </w:rPr>
        <w:t xml:space="preserve"> تشرين الأول/أكتوبر </w:t>
      </w:r>
      <w:r w:rsidRPr="008257F2">
        <w:rPr>
          <w:rFonts w:eastAsiaTheme="minorEastAsia"/>
          <w:rtl/>
        </w:rPr>
        <w:t>2005</w:t>
      </w:r>
      <w:r w:rsidR="002531A3">
        <w:rPr>
          <w:rFonts w:eastAsiaTheme="minorEastAsia"/>
          <w:rtl/>
        </w:rPr>
        <w:t>،</w:t>
      </w:r>
      <w:r w:rsidRPr="00A91733">
        <w:rPr>
          <w:rFonts w:eastAsiaTheme="minorEastAsia"/>
          <w:rtl/>
        </w:rPr>
        <w:t xml:space="preserve"> أدانت محكمة ريغا الإقليمية صاحب البلاغ بتهمة اقتناء مواد مخدرة وحيازتها من دون إذن مع ظروف مشددة بقصد بيعها</w:t>
      </w:r>
      <w:r w:rsidR="002531A3">
        <w:rPr>
          <w:rFonts w:eastAsiaTheme="minorEastAsia"/>
          <w:rtl/>
        </w:rPr>
        <w:t>،</w:t>
      </w:r>
      <w:r w:rsidRPr="00A91733">
        <w:rPr>
          <w:rFonts w:eastAsiaTheme="minorEastAsia"/>
          <w:rtl/>
        </w:rPr>
        <w:t xml:space="preserve"> وحكمت عليه بالسجن لمدة </w:t>
      </w:r>
      <w:r w:rsidRPr="008257F2">
        <w:rPr>
          <w:rFonts w:eastAsiaTheme="minorEastAsia"/>
          <w:rtl/>
        </w:rPr>
        <w:t>10</w:t>
      </w:r>
      <w:r w:rsidRPr="00A91733">
        <w:rPr>
          <w:rFonts w:eastAsiaTheme="minorEastAsia"/>
          <w:rtl/>
        </w:rPr>
        <w:t xml:space="preserve"> سنوات وبمصادرة أمواله. ورفضت دائرة القضايا الجنائية في المحكمة العليا ومجلس الشيوخ في المحكمة العليا شكوى صاحب البلاغ المتعلقة بالاستئناف والنقض في </w:t>
      </w:r>
      <w:r w:rsidRPr="008257F2">
        <w:rPr>
          <w:rFonts w:eastAsiaTheme="minorEastAsia"/>
          <w:rtl/>
        </w:rPr>
        <w:t>15</w:t>
      </w:r>
      <w:r w:rsidRPr="00A91733">
        <w:rPr>
          <w:rFonts w:eastAsiaTheme="minorEastAsia"/>
          <w:rtl/>
        </w:rPr>
        <w:t xml:space="preserve"> أيلول/سبتمبر </w:t>
      </w:r>
      <w:r w:rsidRPr="008257F2">
        <w:rPr>
          <w:rFonts w:eastAsiaTheme="minorEastAsia"/>
          <w:rtl/>
        </w:rPr>
        <w:t>2006</w:t>
      </w:r>
      <w:r w:rsidRPr="00A91733">
        <w:rPr>
          <w:rFonts w:eastAsiaTheme="minorEastAsia"/>
          <w:rtl/>
        </w:rPr>
        <w:t xml:space="preserve"> و</w:t>
      </w:r>
      <w:r w:rsidRPr="008257F2">
        <w:rPr>
          <w:rFonts w:eastAsiaTheme="minorEastAsia"/>
          <w:rtl/>
        </w:rPr>
        <w:t>19</w:t>
      </w:r>
      <w:r w:rsidRPr="00A91733">
        <w:rPr>
          <w:rFonts w:eastAsiaTheme="minorEastAsia"/>
          <w:rtl/>
        </w:rPr>
        <w:t xml:space="preserve"> آذار/مارس </w:t>
      </w:r>
      <w:r w:rsidRPr="008257F2">
        <w:rPr>
          <w:rFonts w:eastAsiaTheme="minorEastAsia"/>
          <w:rtl/>
        </w:rPr>
        <w:t>2007</w:t>
      </w:r>
      <w:r w:rsidRPr="00A91733">
        <w:rPr>
          <w:rFonts w:eastAsiaTheme="minorEastAsia"/>
          <w:rtl/>
        </w:rPr>
        <w:t xml:space="preserve"> على التوالي.</w:t>
      </w:r>
    </w:p>
    <w:p w14:paraId="2063FE1C" w14:textId="4970271E"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3</w:t>
      </w:r>
      <w:r w:rsidRPr="00A91733">
        <w:rPr>
          <w:rFonts w:eastAsiaTheme="minorEastAsia"/>
          <w:rtl/>
        </w:rPr>
        <w:tab/>
        <w:t xml:space="preserve">وفي </w:t>
      </w:r>
      <w:r w:rsidRPr="008257F2">
        <w:rPr>
          <w:rFonts w:eastAsiaTheme="minorEastAsia"/>
          <w:rtl/>
        </w:rPr>
        <w:t>12</w:t>
      </w:r>
      <w:r w:rsidRPr="00A91733">
        <w:rPr>
          <w:rFonts w:eastAsiaTheme="minorEastAsia"/>
          <w:rtl/>
        </w:rPr>
        <w:t xml:space="preserve"> حزيران/يونيه </w:t>
      </w:r>
      <w:r w:rsidRPr="008257F2">
        <w:rPr>
          <w:rFonts w:eastAsiaTheme="minorEastAsia"/>
          <w:rtl/>
        </w:rPr>
        <w:t>2007</w:t>
      </w:r>
      <w:r w:rsidR="002531A3">
        <w:rPr>
          <w:rFonts w:eastAsiaTheme="minorEastAsia"/>
          <w:rtl/>
        </w:rPr>
        <w:t>،</w:t>
      </w:r>
      <w:r w:rsidRPr="00A91733">
        <w:rPr>
          <w:rFonts w:eastAsiaTheme="minorEastAsia"/>
          <w:rtl/>
        </w:rPr>
        <w:t xml:space="preserve"> قدم صاحب البلاغ التماساً إلى المحكمة الأوروبية لحقوق الإنسان. وفي </w:t>
      </w:r>
      <w:r w:rsidRPr="008257F2">
        <w:rPr>
          <w:rFonts w:eastAsiaTheme="minorEastAsia"/>
          <w:rtl/>
        </w:rPr>
        <w:t>8</w:t>
      </w:r>
      <w:r w:rsidRPr="00A91733">
        <w:rPr>
          <w:rFonts w:eastAsiaTheme="minorEastAsia"/>
          <w:rtl/>
        </w:rPr>
        <w:t xml:space="preserve"> كانون الثاني/يناير </w:t>
      </w:r>
      <w:r w:rsidRPr="008257F2">
        <w:rPr>
          <w:rFonts w:eastAsiaTheme="minorEastAsia"/>
          <w:rtl/>
        </w:rPr>
        <w:t>2013</w:t>
      </w:r>
      <w:r w:rsidR="002531A3">
        <w:rPr>
          <w:rFonts w:eastAsiaTheme="minorEastAsia"/>
          <w:rtl/>
        </w:rPr>
        <w:t>،</w:t>
      </w:r>
      <w:r w:rsidRPr="00A91733">
        <w:rPr>
          <w:rFonts w:eastAsiaTheme="minorEastAsia"/>
          <w:rtl/>
        </w:rPr>
        <w:t xml:space="preserve"> ذكرت هذه المحكمة</w:t>
      </w:r>
      <w:r w:rsidR="002531A3">
        <w:rPr>
          <w:rFonts w:eastAsiaTheme="minorEastAsia"/>
          <w:rtl/>
        </w:rPr>
        <w:t>،</w:t>
      </w:r>
      <w:r w:rsidRPr="00A91733">
        <w:rPr>
          <w:rFonts w:eastAsiaTheme="minorEastAsia"/>
          <w:rtl/>
        </w:rPr>
        <w:t xml:space="preserve"> في جملة أمور</w:t>
      </w:r>
      <w:r w:rsidR="002531A3">
        <w:rPr>
          <w:rFonts w:eastAsiaTheme="minorEastAsia"/>
          <w:rtl/>
        </w:rPr>
        <w:t>،</w:t>
      </w:r>
      <w:r w:rsidRPr="00A91733">
        <w:rPr>
          <w:rFonts w:eastAsiaTheme="minorEastAsia"/>
          <w:rtl/>
        </w:rPr>
        <w:t xml:space="preserve"> أنه حيثما يقع على عاتق الادعاء إثبات عدم وجود تحريض</w:t>
      </w:r>
      <w:r w:rsidR="002531A3">
        <w:rPr>
          <w:rFonts w:eastAsiaTheme="minorEastAsia"/>
          <w:rtl/>
        </w:rPr>
        <w:t>،</w:t>
      </w:r>
      <w:r w:rsidRPr="00A91733">
        <w:rPr>
          <w:rFonts w:eastAsiaTheme="minorEastAsia"/>
          <w:rtl/>
        </w:rPr>
        <w:t xml:space="preserve"> فإن صلاحية المحاكم المحلية في ضمان محاكمة عادلة ستقوض إذا توصلت هذه المحاكم</w:t>
      </w:r>
      <w:r w:rsidR="002531A3">
        <w:rPr>
          <w:rFonts w:eastAsiaTheme="minorEastAsia"/>
          <w:rtl/>
        </w:rPr>
        <w:t>،</w:t>
      </w:r>
      <w:r w:rsidRPr="00A91733">
        <w:rPr>
          <w:rFonts w:eastAsiaTheme="minorEastAsia"/>
          <w:rtl/>
        </w:rPr>
        <w:t xml:space="preserve"> لدى تقييم دفوع التحريض</w:t>
      </w:r>
      <w:r w:rsidR="002531A3">
        <w:rPr>
          <w:rFonts w:eastAsiaTheme="minorEastAsia"/>
          <w:rtl/>
        </w:rPr>
        <w:t>،</w:t>
      </w:r>
      <w:r w:rsidRPr="00A91733">
        <w:rPr>
          <w:rFonts w:eastAsiaTheme="minorEastAsia"/>
          <w:rtl/>
        </w:rPr>
        <w:t xml:space="preserve"> إلى استنتاجاتها بالاعتماد على معلومات لم</w:t>
      </w:r>
      <w:r w:rsidR="00A91733">
        <w:rPr>
          <w:rFonts w:eastAsiaTheme="minorEastAsia" w:hint="cs"/>
          <w:rtl/>
        </w:rPr>
        <w:t> </w:t>
      </w:r>
      <w:r w:rsidRPr="00A91733">
        <w:rPr>
          <w:rFonts w:eastAsiaTheme="minorEastAsia"/>
          <w:rtl/>
        </w:rPr>
        <w:t xml:space="preserve">يتم التحقق منها وكانت في حوزة الادعاء وحده. وخلصت المحكمة إلى حدوث انتهاك للمادة </w:t>
      </w:r>
      <w:r w:rsidRPr="008257F2">
        <w:rPr>
          <w:rFonts w:eastAsiaTheme="minorEastAsia"/>
          <w:rtl/>
        </w:rPr>
        <w:t>6</w:t>
      </w:r>
      <w:r w:rsidRPr="00A91733">
        <w:rPr>
          <w:rFonts w:eastAsiaTheme="minorEastAsia"/>
          <w:rtl/>
        </w:rPr>
        <w:t>(</w:t>
      </w:r>
      <w:r w:rsidRPr="008257F2">
        <w:rPr>
          <w:rFonts w:eastAsiaTheme="minorEastAsia"/>
          <w:rtl/>
        </w:rPr>
        <w:t>1</w:t>
      </w:r>
      <w:r w:rsidRPr="00A91733">
        <w:rPr>
          <w:rFonts w:eastAsiaTheme="minorEastAsia"/>
          <w:rtl/>
        </w:rPr>
        <w:t>) من اتفاقية حماية حقوق الإنسان والحريات الأساسية (الاتفاقية الأوروبية لحقوق الإنسان)</w:t>
      </w:r>
      <w:r w:rsidR="002531A3">
        <w:rPr>
          <w:rFonts w:eastAsiaTheme="minorEastAsia"/>
          <w:rtl/>
        </w:rPr>
        <w:t>،</w:t>
      </w:r>
      <w:r w:rsidRPr="00A91733">
        <w:rPr>
          <w:rFonts w:eastAsiaTheme="minorEastAsia"/>
          <w:rtl/>
        </w:rPr>
        <w:t xml:space="preserve"> مشيرة إلى أن المحاكم المحلية لم تتناول على النحو الواجب</w:t>
      </w:r>
      <w:r w:rsidR="002531A3">
        <w:rPr>
          <w:rFonts w:eastAsiaTheme="minorEastAsia"/>
          <w:rtl/>
        </w:rPr>
        <w:t>،</w:t>
      </w:r>
      <w:r w:rsidRPr="00A91733">
        <w:rPr>
          <w:rFonts w:eastAsiaTheme="minorEastAsia"/>
          <w:rtl/>
        </w:rPr>
        <w:t xml:space="preserve"> في الدعوى الجنائية ضد صاحب البلاغ</w:t>
      </w:r>
      <w:r w:rsidR="002531A3">
        <w:rPr>
          <w:rFonts w:eastAsiaTheme="minorEastAsia"/>
          <w:rtl/>
        </w:rPr>
        <w:t>،</w:t>
      </w:r>
      <w:r w:rsidRPr="00A91733">
        <w:rPr>
          <w:rFonts w:eastAsiaTheme="minorEastAsia"/>
          <w:rtl/>
        </w:rPr>
        <w:t xml:space="preserve"> ادعاءه بالتحريض ولم تنظر في القرارات ذات الصلة التي تأذن باتخاذ تدابير التحقيقات الخاصة. ورأت المحكمة أن أنسب شكل من أشكال الانتصاف هو إعادة محاكمة صاحب البلاغ. ومنحت أيضاً </w:t>
      </w:r>
      <w:r w:rsidRPr="008257F2">
        <w:rPr>
          <w:rFonts w:eastAsiaTheme="minorEastAsia"/>
          <w:rtl/>
        </w:rPr>
        <w:t>000</w:t>
      </w:r>
      <w:r w:rsidRPr="00A91733">
        <w:rPr>
          <w:rFonts w:eastAsiaTheme="minorEastAsia"/>
          <w:rtl/>
        </w:rPr>
        <w:t xml:space="preserve"> </w:t>
      </w:r>
      <w:r w:rsidRPr="008257F2">
        <w:rPr>
          <w:rFonts w:eastAsiaTheme="minorEastAsia"/>
          <w:rtl/>
        </w:rPr>
        <w:t>5</w:t>
      </w:r>
      <w:r w:rsidRPr="00A91733">
        <w:rPr>
          <w:rFonts w:eastAsiaTheme="minorEastAsia"/>
          <w:rtl/>
        </w:rPr>
        <w:t xml:space="preserve"> يورو كتعويض عن الأضرار غير المالية.</w:t>
      </w:r>
    </w:p>
    <w:p w14:paraId="37184606" w14:textId="1134C8C9"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4</w:t>
      </w:r>
      <w:r w:rsidRPr="00A91733">
        <w:rPr>
          <w:rFonts w:eastAsiaTheme="minorEastAsia"/>
          <w:rtl/>
        </w:rPr>
        <w:tab/>
        <w:t xml:space="preserve">وفي </w:t>
      </w:r>
      <w:r w:rsidRPr="008257F2">
        <w:rPr>
          <w:rFonts w:eastAsiaTheme="minorEastAsia"/>
          <w:rtl/>
        </w:rPr>
        <w:t>20</w:t>
      </w:r>
      <w:r w:rsidRPr="00A91733">
        <w:rPr>
          <w:rFonts w:eastAsiaTheme="minorEastAsia"/>
          <w:rtl/>
        </w:rPr>
        <w:t xml:space="preserve"> حزيران/يونيه </w:t>
      </w:r>
      <w:r w:rsidRPr="008257F2">
        <w:rPr>
          <w:rFonts w:eastAsiaTheme="minorEastAsia"/>
          <w:rtl/>
        </w:rPr>
        <w:t>2013</w:t>
      </w:r>
      <w:r w:rsidR="002531A3">
        <w:rPr>
          <w:rFonts w:eastAsiaTheme="minorEastAsia"/>
          <w:rtl/>
        </w:rPr>
        <w:t>،</w:t>
      </w:r>
      <w:r w:rsidRPr="00A91733">
        <w:rPr>
          <w:rFonts w:eastAsiaTheme="minorEastAsia"/>
          <w:rtl/>
        </w:rPr>
        <w:t xml:space="preserve"> أعاد النائب العام الرئيسي في مكتب الادعاء المتخصص المعني بالجريمة المنظمة والفروع فتح الدعوى الجنائية على أساس الوقائع المكتشفة حديثاً.</w:t>
      </w:r>
    </w:p>
    <w:p w14:paraId="39432374" w14:textId="5D0E6C70"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5</w:t>
      </w:r>
      <w:r w:rsidRPr="00A91733">
        <w:rPr>
          <w:rFonts w:eastAsiaTheme="minorEastAsia"/>
          <w:rtl/>
        </w:rPr>
        <w:tab/>
        <w:t xml:space="preserve">وفي </w:t>
      </w:r>
      <w:r w:rsidRPr="008257F2">
        <w:rPr>
          <w:rFonts w:eastAsiaTheme="minorEastAsia"/>
          <w:rtl/>
        </w:rPr>
        <w:t>1</w:t>
      </w:r>
      <w:r w:rsidRPr="00A91733">
        <w:rPr>
          <w:rFonts w:eastAsiaTheme="minorEastAsia"/>
          <w:rtl/>
        </w:rPr>
        <w:t xml:space="preserve"> تشرين الأول/أكتوبر </w:t>
      </w:r>
      <w:r w:rsidRPr="008257F2">
        <w:rPr>
          <w:rFonts w:eastAsiaTheme="minorEastAsia"/>
          <w:rtl/>
        </w:rPr>
        <w:t>2013</w:t>
      </w:r>
      <w:r w:rsidR="002531A3">
        <w:rPr>
          <w:rFonts w:eastAsiaTheme="minorEastAsia"/>
          <w:rtl/>
        </w:rPr>
        <w:t>،</w:t>
      </w:r>
      <w:r w:rsidRPr="00A91733">
        <w:rPr>
          <w:rFonts w:eastAsiaTheme="minorEastAsia"/>
          <w:rtl/>
        </w:rPr>
        <w:t xml:space="preserve"> ألغى مجلس الشيوخ في المحكمة العليا قراره المؤرخ </w:t>
      </w:r>
      <w:r w:rsidRPr="008257F2">
        <w:rPr>
          <w:rFonts w:eastAsiaTheme="minorEastAsia"/>
          <w:rtl/>
        </w:rPr>
        <w:t>19</w:t>
      </w:r>
      <w:r w:rsidRPr="00A91733">
        <w:rPr>
          <w:rFonts w:eastAsiaTheme="minorEastAsia"/>
          <w:rtl/>
        </w:rPr>
        <w:t xml:space="preserve"> آذار/مارس </w:t>
      </w:r>
      <w:r w:rsidRPr="008257F2">
        <w:rPr>
          <w:rFonts w:eastAsiaTheme="minorEastAsia"/>
          <w:rtl/>
        </w:rPr>
        <w:t>2007</w:t>
      </w:r>
      <w:r w:rsidRPr="00A91733">
        <w:rPr>
          <w:rFonts w:eastAsiaTheme="minorEastAsia"/>
          <w:rtl/>
        </w:rPr>
        <w:t xml:space="preserve"> وقرار دائرة القضايا الجنائية المؤرخ </w:t>
      </w:r>
      <w:r w:rsidRPr="008257F2">
        <w:rPr>
          <w:rFonts w:eastAsiaTheme="minorEastAsia"/>
          <w:rtl/>
        </w:rPr>
        <w:t>15</w:t>
      </w:r>
      <w:r w:rsidRPr="00A91733">
        <w:rPr>
          <w:rFonts w:eastAsiaTheme="minorEastAsia"/>
          <w:rtl/>
        </w:rPr>
        <w:t xml:space="preserve"> أيلول/سبتمبر </w:t>
      </w:r>
      <w:r w:rsidRPr="008257F2">
        <w:rPr>
          <w:rFonts w:eastAsiaTheme="minorEastAsia"/>
          <w:rtl/>
        </w:rPr>
        <w:t>2006</w:t>
      </w:r>
      <w:r w:rsidRPr="00A91733">
        <w:rPr>
          <w:rFonts w:eastAsiaTheme="minorEastAsia"/>
          <w:rtl/>
        </w:rPr>
        <w:t xml:space="preserve"> وأعاد فتح الدعوى الجنائية. وأحيلت القضية إلى دائرة القضايا الجنائية للبت فيها من جديد من أجل النظر في استنتاج المحكمة الأوروبية لحقوق الإنسان الذي يفيد بوقوع انتهاك لحقوق الإنسان لصاحب البلاغ.</w:t>
      </w:r>
    </w:p>
    <w:p w14:paraId="5FB3F9B9" w14:textId="4F151119" w:rsidR="00517810" w:rsidRPr="00A91733" w:rsidRDefault="00517810" w:rsidP="00A91733">
      <w:pPr>
        <w:pStyle w:val="SingleTxtGA"/>
        <w:rPr>
          <w:rFonts w:eastAsiaTheme="minorEastAsia"/>
          <w:lang w:val="fr-CH" w:eastAsia="zh-TW" w:bidi="en-GB"/>
        </w:rPr>
      </w:pPr>
      <w:r w:rsidRPr="008257F2">
        <w:rPr>
          <w:rFonts w:eastAsiaTheme="minorEastAsia"/>
          <w:rtl/>
        </w:rPr>
        <w:t>2</w:t>
      </w:r>
      <w:r w:rsidRPr="00A91733">
        <w:rPr>
          <w:rFonts w:eastAsiaTheme="minorEastAsia"/>
          <w:rtl/>
        </w:rPr>
        <w:t>-</w:t>
      </w:r>
      <w:r w:rsidRPr="008257F2">
        <w:rPr>
          <w:rFonts w:eastAsiaTheme="minorEastAsia"/>
          <w:rtl/>
        </w:rPr>
        <w:t>6</w:t>
      </w:r>
      <w:r w:rsidRPr="00A91733">
        <w:rPr>
          <w:rFonts w:eastAsiaTheme="minorEastAsia"/>
          <w:rtl/>
        </w:rPr>
        <w:tab/>
        <w:t xml:space="preserve">وفي </w:t>
      </w:r>
      <w:r w:rsidRPr="008257F2">
        <w:rPr>
          <w:rFonts w:eastAsiaTheme="minorEastAsia"/>
          <w:rtl/>
        </w:rPr>
        <w:t>26</w:t>
      </w:r>
      <w:r w:rsidRPr="00A91733">
        <w:rPr>
          <w:rFonts w:eastAsiaTheme="minorEastAsia"/>
          <w:rtl/>
        </w:rPr>
        <w:t xml:space="preserve"> أيلول/سبتمبر </w:t>
      </w:r>
      <w:r w:rsidRPr="008257F2">
        <w:rPr>
          <w:rFonts w:eastAsiaTheme="minorEastAsia"/>
          <w:rtl/>
        </w:rPr>
        <w:t>2014</w:t>
      </w:r>
      <w:r w:rsidR="002531A3">
        <w:rPr>
          <w:rFonts w:eastAsiaTheme="minorEastAsia"/>
          <w:rtl/>
        </w:rPr>
        <w:t>،</w:t>
      </w:r>
      <w:r w:rsidRPr="00A91733">
        <w:rPr>
          <w:rFonts w:eastAsiaTheme="minorEastAsia"/>
          <w:rtl/>
        </w:rPr>
        <w:t xml:space="preserve"> فصلت دائرة القضايا الجنائية من جديد في الأسس الموضوعية للدعوى الجنائية</w:t>
      </w:r>
      <w:r w:rsidR="002531A3">
        <w:rPr>
          <w:rFonts w:eastAsiaTheme="minorEastAsia"/>
          <w:rtl/>
        </w:rPr>
        <w:t>،</w:t>
      </w:r>
      <w:r w:rsidRPr="00A91733">
        <w:rPr>
          <w:rFonts w:eastAsiaTheme="minorEastAsia"/>
          <w:rtl/>
        </w:rPr>
        <w:t xml:space="preserve"> وتناولت ادعاء صاحب البلاغ بأنه حُرض على ارتكاب جريمة</w:t>
      </w:r>
      <w:r w:rsidR="002531A3">
        <w:rPr>
          <w:rFonts w:eastAsiaTheme="minorEastAsia"/>
          <w:rtl/>
        </w:rPr>
        <w:t>،</w:t>
      </w:r>
      <w:r w:rsidRPr="00A91733">
        <w:rPr>
          <w:rFonts w:eastAsiaTheme="minorEastAsia"/>
          <w:rtl/>
        </w:rPr>
        <w:t xml:space="preserve"> وبحثت المعلومات السرية. ورفضت الدائرة ادعاءات صاحب البلاغ المتعلقة بمشروعية تدابير التحقيقات الخاصة المتخذة ضده ورأت أن الإجراءات التي اتخذتها سلطات إنفاذ القانون لا تشكل تحريضاً من الشرطة. ويدفع</w:t>
      </w:r>
      <w:r w:rsidR="00FF2573">
        <w:rPr>
          <w:rFonts w:eastAsiaTheme="minorEastAsia" w:hint="cs"/>
          <w:rtl/>
        </w:rPr>
        <w:t> </w:t>
      </w:r>
      <w:r w:rsidRPr="00A91733">
        <w:rPr>
          <w:rFonts w:eastAsiaTheme="minorEastAsia"/>
          <w:rtl/>
        </w:rPr>
        <w:t>صاحب</w:t>
      </w:r>
      <w:r w:rsidR="002531A3">
        <w:rPr>
          <w:rFonts w:eastAsiaTheme="minorEastAsia" w:hint="cs"/>
          <w:rtl/>
        </w:rPr>
        <w:t> </w:t>
      </w:r>
      <w:r w:rsidRPr="00A91733">
        <w:rPr>
          <w:rFonts w:eastAsiaTheme="minorEastAsia"/>
          <w:rtl/>
        </w:rPr>
        <w:t>البلاغ بأن الدائرة</w:t>
      </w:r>
      <w:r w:rsidR="002531A3">
        <w:rPr>
          <w:rFonts w:eastAsiaTheme="minorEastAsia"/>
          <w:rtl/>
        </w:rPr>
        <w:t>،</w:t>
      </w:r>
      <w:r w:rsidRPr="00A91733">
        <w:rPr>
          <w:rFonts w:eastAsiaTheme="minorEastAsia"/>
          <w:rtl/>
        </w:rPr>
        <w:t xml:space="preserve"> بصفتها محكمة استئناف</w:t>
      </w:r>
      <w:r w:rsidR="002531A3">
        <w:rPr>
          <w:rFonts w:eastAsiaTheme="minorEastAsia"/>
          <w:rtl/>
        </w:rPr>
        <w:t>،</w:t>
      </w:r>
      <w:r w:rsidRPr="00A91733">
        <w:rPr>
          <w:rFonts w:eastAsiaTheme="minorEastAsia"/>
          <w:rtl/>
        </w:rPr>
        <w:t xml:space="preserve"> نظرت في ملفي التحقيقات الخاصة المتعلقين </w:t>
      </w:r>
      <w:r w:rsidRPr="00A91733">
        <w:rPr>
          <w:rFonts w:eastAsiaTheme="minorEastAsia"/>
          <w:rtl/>
        </w:rPr>
        <w:lastRenderedPageBreak/>
        <w:t>بعملية</w:t>
      </w:r>
      <w:r w:rsidR="002531A3">
        <w:rPr>
          <w:rFonts w:eastAsiaTheme="minorEastAsia" w:hint="cs"/>
          <w:rtl/>
        </w:rPr>
        <w:t> </w:t>
      </w:r>
      <w:r w:rsidRPr="00A91733">
        <w:rPr>
          <w:rFonts w:eastAsiaTheme="minorEastAsia"/>
          <w:rtl/>
        </w:rPr>
        <w:t>الشرطة "</w:t>
      </w:r>
      <w:r w:rsidRPr="00A91733">
        <w:rPr>
          <w:rFonts w:eastAsiaTheme="minorEastAsia"/>
        </w:rPr>
        <w:t>Rebus</w:t>
      </w:r>
      <w:r w:rsidRPr="00A91733">
        <w:rPr>
          <w:rFonts w:eastAsiaTheme="minorEastAsia"/>
          <w:rtl/>
        </w:rPr>
        <w:t>" ولكنها لم تدرجهما مع المعلومات الأخرى المتعلقة بالقضية. ويدفع أيضاً بأن المحكمة لم تُشر مباشرةً إلى عملية الشرطة "</w:t>
      </w:r>
      <w:r w:rsidRPr="00A91733">
        <w:rPr>
          <w:rFonts w:eastAsiaTheme="minorEastAsia"/>
        </w:rPr>
        <w:t>Rebus</w:t>
      </w:r>
      <w:r w:rsidRPr="00A91733">
        <w:rPr>
          <w:rFonts w:eastAsiaTheme="minorEastAsia"/>
          <w:rtl/>
        </w:rPr>
        <w:t>" في قرارها بشأن المبدأ الذي يفيد بأن المعلومات التي يُتوصل إليها عن طريق تدابير التحقيقات الخاصة ينبغي أن تظل سرية. ويعتقد صاحب البلاغ أن محكمة الاستئناف نظرت في الملفين</w:t>
      </w:r>
      <w:r w:rsidR="002531A3">
        <w:rPr>
          <w:rFonts w:eastAsiaTheme="minorEastAsia"/>
          <w:rtl/>
        </w:rPr>
        <w:t>،</w:t>
      </w:r>
      <w:r w:rsidRPr="00A91733">
        <w:rPr>
          <w:rFonts w:eastAsiaTheme="minorEastAsia"/>
          <w:rtl/>
        </w:rPr>
        <w:t xml:space="preserve"> لكنه يعرب عن القلق من عدم التحقق من المعلومات الواردة في الملفين أثناء جلسة المحكمة. ويشكك صاحب البلاغ في موثوقية المعلومات الواردة في الملفين</w:t>
      </w:r>
      <w:r w:rsidR="002531A3">
        <w:rPr>
          <w:rFonts w:eastAsiaTheme="minorEastAsia"/>
          <w:rtl/>
        </w:rPr>
        <w:t>،</w:t>
      </w:r>
      <w:r w:rsidRPr="00A91733">
        <w:rPr>
          <w:rFonts w:eastAsiaTheme="minorEastAsia"/>
          <w:rtl/>
        </w:rPr>
        <w:t xml:space="preserve"> مشيراً إلى أن معلومات التحقيقات الخاصة تتألف في كثير من الأحيان من مجرد تكهنات وافتراضات وتخمينات.</w:t>
      </w:r>
    </w:p>
    <w:p w14:paraId="16800D38" w14:textId="1F3A4491"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7</w:t>
      </w:r>
      <w:r w:rsidRPr="00A91733">
        <w:rPr>
          <w:rFonts w:eastAsiaTheme="minorEastAsia"/>
          <w:rtl/>
        </w:rPr>
        <w:tab/>
        <w:t xml:space="preserve">وفي </w:t>
      </w:r>
      <w:r w:rsidRPr="008257F2">
        <w:rPr>
          <w:rFonts w:eastAsiaTheme="minorEastAsia"/>
          <w:rtl/>
        </w:rPr>
        <w:t>20</w:t>
      </w:r>
      <w:r w:rsidRPr="00A91733">
        <w:rPr>
          <w:rFonts w:eastAsiaTheme="minorEastAsia"/>
          <w:rtl/>
        </w:rPr>
        <w:t xml:space="preserve"> شباط/فبراير </w:t>
      </w:r>
      <w:r w:rsidRPr="008257F2">
        <w:rPr>
          <w:rFonts w:eastAsiaTheme="minorEastAsia"/>
          <w:rtl/>
        </w:rPr>
        <w:t>2015</w:t>
      </w:r>
      <w:r w:rsidR="002531A3">
        <w:rPr>
          <w:rFonts w:eastAsiaTheme="minorEastAsia"/>
          <w:rtl/>
        </w:rPr>
        <w:t>،</w:t>
      </w:r>
      <w:r w:rsidRPr="00A91733">
        <w:rPr>
          <w:rFonts w:eastAsiaTheme="minorEastAsia"/>
          <w:rtl/>
        </w:rPr>
        <w:t xml:space="preserve"> رفضت المحكمة العليا</w:t>
      </w:r>
      <w:r w:rsidR="002531A3">
        <w:rPr>
          <w:rFonts w:eastAsiaTheme="minorEastAsia"/>
          <w:rtl/>
        </w:rPr>
        <w:t>،</w:t>
      </w:r>
      <w:r w:rsidRPr="00A91733">
        <w:rPr>
          <w:rFonts w:eastAsiaTheme="minorEastAsia"/>
          <w:rtl/>
        </w:rPr>
        <w:t xml:space="preserve"> بصفتها هيئة نقض</w:t>
      </w:r>
      <w:r w:rsidR="002531A3">
        <w:rPr>
          <w:rFonts w:eastAsiaTheme="minorEastAsia"/>
          <w:rtl/>
        </w:rPr>
        <w:t>،</w:t>
      </w:r>
      <w:r w:rsidRPr="00A91733">
        <w:rPr>
          <w:rFonts w:eastAsiaTheme="minorEastAsia"/>
          <w:rtl/>
        </w:rPr>
        <w:t xml:space="preserve"> طعون صاحب البلاغ. ورأت أن الضمانات اللازمة قد أتيحت</w:t>
      </w:r>
      <w:r w:rsidR="002531A3">
        <w:rPr>
          <w:rFonts w:eastAsiaTheme="minorEastAsia"/>
          <w:rtl/>
        </w:rPr>
        <w:t>،</w:t>
      </w:r>
      <w:r w:rsidRPr="00A91733">
        <w:rPr>
          <w:rFonts w:eastAsiaTheme="minorEastAsia"/>
          <w:rtl/>
        </w:rPr>
        <w:t xml:space="preserve"> لأن محكمة الاستئناف اطلعت على النحو الواجب على محتويات ملفي القضية المتنازع عليهما قبل استبعاد الكشف عنها للدفاع</w:t>
      </w:r>
      <w:r w:rsidR="002531A3">
        <w:rPr>
          <w:rFonts w:eastAsiaTheme="minorEastAsia"/>
          <w:rtl/>
        </w:rPr>
        <w:t>،</w:t>
      </w:r>
      <w:r w:rsidRPr="00A91733">
        <w:rPr>
          <w:rFonts w:eastAsiaTheme="minorEastAsia"/>
          <w:rtl/>
        </w:rPr>
        <w:t xml:space="preserve"> وكانت من ثم في وضع يمكّنها من اتخاذ قرار مستنير.</w:t>
      </w:r>
    </w:p>
    <w:p w14:paraId="4987DD1C" w14:textId="3F37C3D7"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8</w:t>
      </w:r>
      <w:r w:rsidRPr="00A91733">
        <w:rPr>
          <w:rFonts w:eastAsiaTheme="minorEastAsia"/>
          <w:rtl/>
        </w:rPr>
        <w:tab/>
        <w:t>ويدفع صاحب البلاغ بأن المحكمة العليا تناولت ادعاءاته المتعلقة بحرمانه من الاطلاع على ملفي التحقيقات الخاصة واستشهدت بالسوابق القضائية للمحكمة الأوروبية لحقوق الإنسان</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4"/>
      </w:r>
      <w:r w:rsidR="00A91733" w:rsidRPr="007D2254">
        <w:rPr>
          <w:rStyle w:val="FootnoteReference"/>
          <w:rFonts w:eastAsiaTheme="minorEastAsia"/>
          <w:szCs w:val="22"/>
          <w:rtl/>
        </w:rPr>
        <w:t>)</w:t>
      </w:r>
      <w:r w:rsidR="002531A3">
        <w:rPr>
          <w:rFonts w:eastAsiaTheme="minorEastAsia" w:hint="cs"/>
          <w:rtl/>
        </w:rPr>
        <w:t>،</w:t>
      </w:r>
      <w:r w:rsidRPr="00A91733">
        <w:rPr>
          <w:rFonts w:eastAsiaTheme="minorEastAsia"/>
          <w:rtl/>
        </w:rPr>
        <w:t xml:space="preserve"> التي أكدت أن الحق في الكشف عن المعلومات للدفاع ليس مطلقاً ويجب في ظروف معينة الموازنة بينه وبين المصلحة العامة والحاجة إلى حماية أطراف ثالثة. ويدفع صاحب البلاغ بأن محكمة الاستئناف والمحكمة العليا احتجتا بأن التقييد المفروض على الحق في الكشف للدفاع عن ملفي التحقيقات الخاصة المتعلقين بعملية الشرطة "</w:t>
      </w:r>
      <w:r w:rsidRPr="00A91733">
        <w:rPr>
          <w:rFonts w:eastAsiaTheme="minorEastAsia"/>
        </w:rPr>
        <w:t>Rebus</w:t>
      </w:r>
      <w:r w:rsidRPr="00A91733">
        <w:rPr>
          <w:rFonts w:eastAsiaTheme="minorEastAsia"/>
          <w:rtl/>
        </w:rPr>
        <w:t xml:space="preserve">" يستند إلى المادتين </w:t>
      </w:r>
      <w:r w:rsidRPr="008257F2">
        <w:rPr>
          <w:rFonts w:eastAsiaTheme="minorEastAsia"/>
          <w:rtl/>
        </w:rPr>
        <w:t>8</w:t>
      </w:r>
      <w:r w:rsidRPr="00A91733">
        <w:rPr>
          <w:rFonts w:eastAsiaTheme="minorEastAsia"/>
          <w:rtl/>
        </w:rPr>
        <w:t>(</w:t>
      </w:r>
      <w:r w:rsidRPr="008257F2">
        <w:rPr>
          <w:rFonts w:eastAsiaTheme="minorEastAsia"/>
          <w:rtl/>
        </w:rPr>
        <w:t>3</w:t>
      </w:r>
      <w:r w:rsidRPr="00A91733">
        <w:rPr>
          <w:rFonts w:eastAsiaTheme="minorEastAsia"/>
          <w:rtl/>
        </w:rPr>
        <w:t>) و</w:t>
      </w:r>
      <w:r w:rsidRPr="008257F2">
        <w:rPr>
          <w:rFonts w:eastAsiaTheme="minorEastAsia"/>
          <w:rtl/>
        </w:rPr>
        <w:t>24</w:t>
      </w:r>
      <w:r w:rsidRPr="00A91733">
        <w:rPr>
          <w:rFonts w:eastAsiaTheme="minorEastAsia"/>
          <w:rtl/>
        </w:rPr>
        <w:t>(</w:t>
      </w:r>
      <w:r w:rsidRPr="008257F2">
        <w:rPr>
          <w:rFonts w:eastAsiaTheme="minorEastAsia"/>
          <w:rtl/>
        </w:rPr>
        <w:t>1</w:t>
      </w:r>
      <w:r w:rsidRPr="00A91733">
        <w:rPr>
          <w:rFonts w:eastAsiaTheme="minorEastAsia"/>
          <w:rtl/>
        </w:rPr>
        <w:t>) من قانون تدابير التحقيقات الخاصة اللتين تنصان على أن المعلومات الواردة في ملفات التحقيقات الخاصة هي سر من أسرار الدولة. وعلاوة على ذلك</w:t>
      </w:r>
      <w:r w:rsidR="002531A3">
        <w:rPr>
          <w:rFonts w:eastAsiaTheme="minorEastAsia"/>
          <w:rtl/>
        </w:rPr>
        <w:t>،</w:t>
      </w:r>
      <w:r w:rsidRPr="00A91733">
        <w:rPr>
          <w:rFonts w:eastAsiaTheme="minorEastAsia"/>
          <w:rtl/>
        </w:rPr>
        <w:t xml:space="preserve"> أعلنت المحكمة العليا أن هذا التقييد ضروري بصفة خاصة لحماية الحقوق الأساسية للأطراف الثالثة والمصلحة العامة على السواء</w:t>
      </w:r>
      <w:r w:rsidR="002531A3">
        <w:rPr>
          <w:rFonts w:eastAsiaTheme="minorEastAsia"/>
          <w:rtl/>
        </w:rPr>
        <w:t>،</w:t>
      </w:r>
      <w:r w:rsidRPr="00A91733">
        <w:rPr>
          <w:rFonts w:eastAsiaTheme="minorEastAsia"/>
          <w:rtl/>
        </w:rPr>
        <w:t xml:space="preserve"> وأن محكمة الاستئناف</w:t>
      </w:r>
      <w:r w:rsidR="002531A3">
        <w:rPr>
          <w:rFonts w:eastAsiaTheme="minorEastAsia"/>
          <w:rtl/>
        </w:rPr>
        <w:t>،</w:t>
      </w:r>
      <w:r w:rsidRPr="00A91733">
        <w:rPr>
          <w:rFonts w:eastAsiaTheme="minorEastAsia"/>
          <w:rtl/>
        </w:rPr>
        <w:t xml:space="preserve"> بفرضها ذلك القيد</w:t>
      </w:r>
      <w:r w:rsidR="002531A3">
        <w:rPr>
          <w:rFonts w:eastAsiaTheme="minorEastAsia"/>
          <w:rtl/>
        </w:rPr>
        <w:t>،</w:t>
      </w:r>
      <w:r w:rsidRPr="00A91733">
        <w:rPr>
          <w:rFonts w:eastAsiaTheme="minorEastAsia"/>
          <w:rtl/>
        </w:rPr>
        <w:t xml:space="preserve"> قد كفلت توازناً معقولاً بين المصلحة العامة ومصلحة المتهم.</w:t>
      </w:r>
    </w:p>
    <w:p w14:paraId="7C3A44C0" w14:textId="698D03CA" w:rsidR="00517810" w:rsidRPr="00A91733" w:rsidRDefault="00517810" w:rsidP="00A91733">
      <w:pPr>
        <w:pStyle w:val="SingleTxtGA"/>
        <w:rPr>
          <w:rFonts w:eastAsiaTheme="minorEastAsia"/>
          <w:lang w:val="ar-SA" w:eastAsia="zh-TW" w:bidi="en-GB"/>
        </w:rPr>
      </w:pPr>
      <w:r w:rsidRPr="008257F2">
        <w:rPr>
          <w:rFonts w:eastAsiaTheme="minorEastAsia"/>
          <w:rtl/>
        </w:rPr>
        <w:t>2</w:t>
      </w:r>
      <w:r w:rsidRPr="00A91733">
        <w:rPr>
          <w:rFonts w:eastAsiaTheme="minorEastAsia"/>
          <w:rtl/>
        </w:rPr>
        <w:t>-</w:t>
      </w:r>
      <w:r w:rsidRPr="008257F2">
        <w:rPr>
          <w:rFonts w:eastAsiaTheme="minorEastAsia"/>
          <w:rtl/>
        </w:rPr>
        <w:t>9</w:t>
      </w:r>
      <w:r w:rsidRPr="00A91733">
        <w:rPr>
          <w:rFonts w:eastAsiaTheme="minorEastAsia"/>
          <w:rtl/>
        </w:rPr>
        <w:tab/>
        <w:t>ويطعن صاحب البلاغ في حجة المحكمة العليا بالإشارة إلى أن الأساس القانوني لفرض التقييد لا ينبغي أن يستند إلى القانون المتعلق بتدابير التحقيقات الخاصة</w:t>
      </w:r>
      <w:r w:rsidR="002531A3">
        <w:rPr>
          <w:rFonts w:eastAsiaTheme="minorEastAsia"/>
          <w:rtl/>
        </w:rPr>
        <w:t>،</w:t>
      </w:r>
      <w:r w:rsidRPr="00A91733">
        <w:rPr>
          <w:rFonts w:eastAsiaTheme="minorEastAsia"/>
          <w:rtl/>
        </w:rPr>
        <w:t xml:space="preserve"> بل إلى المادة </w:t>
      </w:r>
      <w:r w:rsidRPr="008257F2">
        <w:rPr>
          <w:rFonts w:eastAsiaTheme="minorEastAsia"/>
          <w:rtl/>
        </w:rPr>
        <w:t>6</w:t>
      </w:r>
      <w:r w:rsidRPr="00A91733">
        <w:rPr>
          <w:rFonts w:eastAsiaTheme="minorEastAsia"/>
          <w:rtl/>
        </w:rPr>
        <w:t>(</w:t>
      </w:r>
      <w:r w:rsidRPr="008257F2">
        <w:rPr>
          <w:rFonts w:eastAsiaTheme="minorEastAsia"/>
          <w:rtl/>
        </w:rPr>
        <w:t>1</w:t>
      </w:r>
      <w:r w:rsidRPr="00A91733">
        <w:rPr>
          <w:rFonts w:eastAsiaTheme="minorEastAsia"/>
          <w:rtl/>
        </w:rPr>
        <w:t>) من الاتفاقية الأوروبية لحقوق الإنسان</w:t>
      </w:r>
      <w:r w:rsidR="002531A3">
        <w:rPr>
          <w:rFonts w:eastAsiaTheme="minorEastAsia"/>
          <w:rtl/>
        </w:rPr>
        <w:t>،</w:t>
      </w:r>
      <w:r w:rsidRPr="00A91733">
        <w:rPr>
          <w:rFonts w:eastAsiaTheme="minorEastAsia"/>
          <w:rtl/>
        </w:rPr>
        <w:t xml:space="preserve"> ويرى أن المحكمة لم توضح السبب الذي يبرر أن هذا التقييد ضروري تماماً. ويعتقد صاحب البلاغ أيضاً أن السابقة القضائية للمحكمة الأوروبية لحقوق الإنسان التي اقتبستها المحكمة العليا ليست ذات صلة بالموضوع. ويجادل بأن محكمة الاستئناف لم تستخدم جميع الخيارات القانونية المنصوص عليها في قانون الإجراءات الجنائية</w:t>
      </w:r>
      <w:r w:rsidR="002531A3">
        <w:rPr>
          <w:rFonts w:eastAsiaTheme="minorEastAsia"/>
          <w:rtl/>
        </w:rPr>
        <w:t>،</w:t>
      </w:r>
      <w:r w:rsidRPr="00A91733">
        <w:rPr>
          <w:rFonts w:eastAsiaTheme="minorEastAsia"/>
          <w:rtl/>
        </w:rPr>
        <w:t xml:space="preserve"> الأمر الذي كان من شأنه أن يسمح للدفاع بممارسة حقه في فحص الملفين فحصاً كاملاً. أما فيما يتعلق بموقف المحكمة العليا من أن التقييد المفروض يهدف إلى حماية المصلحة العامة</w:t>
      </w:r>
      <w:r w:rsidR="002531A3">
        <w:rPr>
          <w:rFonts w:eastAsiaTheme="minorEastAsia"/>
          <w:rtl/>
        </w:rPr>
        <w:t>،</w:t>
      </w:r>
      <w:r w:rsidRPr="00A91733">
        <w:rPr>
          <w:rFonts w:eastAsiaTheme="minorEastAsia"/>
          <w:rtl/>
        </w:rPr>
        <w:t xml:space="preserve"> فيشير صاحب البلاغ إلى أنه لا يفهم أي مصلحة عامة كانت ستُمس لو سُمح له بالاطلاع على المعلومات التي اعتُبرت</w:t>
      </w:r>
      <w:r w:rsidR="002531A3">
        <w:rPr>
          <w:rFonts w:eastAsiaTheme="minorEastAsia"/>
          <w:rtl/>
        </w:rPr>
        <w:t>،</w:t>
      </w:r>
      <w:r w:rsidRPr="00A91733">
        <w:rPr>
          <w:rFonts w:eastAsiaTheme="minorEastAsia"/>
          <w:rtl/>
        </w:rPr>
        <w:t xml:space="preserve"> في نهاية المطاف</w:t>
      </w:r>
      <w:r w:rsidR="002531A3">
        <w:rPr>
          <w:rFonts w:eastAsiaTheme="minorEastAsia"/>
          <w:rtl/>
        </w:rPr>
        <w:t>،</w:t>
      </w:r>
      <w:r w:rsidRPr="00A91733">
        <w:rPr>
          <w:rFonts w:eastAsiaTheme="minorEastAsia"/>
          <w:rtl/>
        </w:rPr>
        <w:t xml:space="preserve"> دليلاً هاماً جداً. واتُّهم صاحب البلاغ بارتكاب جريمة لا تُعرّض أمن الدولة للخطر وليست عنيفة. والجريمة التي اتُّهم بارتكابها لم تسئ إلى المصلحة العامة بدرجة خطيرة تستدعي تقييداً شديداً للغاية لحقه الأساسي في الدفاع عن نفسه. ولذلك</w:t>
      </w:r>
      <w:r w:rsidR="002531A3">
        <w:rPr>
          <w:rFonts w:eastAsiaTheme="minorEastAsia"/>
          <w:rtl/>
        </w:rPr>
        <w:t>،</w:t>
      </w:r>
      <w:r w:rsidRPr="00A91733">
        <w:rPr>
          <w:rFonts w:eastAsiaTheme="minorEastAsia"/>
          <w:rtl/>
        </w:rPr>
        <w:t xml:space="preserve"> يخلص صاحب البلاغ إلى أن المحكمة العليا لم تُقم توازناً معقولاً بين المصلحة العامة ومصلحة المتهم.</w:t>
      </w:r>
    </w:p>
    <w:p w14:paraId="626C61D3" w14:textId="1DDDFE79" w:rsidR="00517810" w:rsidRPr="00A91733" w:rsidRDefault="00517810" w:rsidP="00A91733">
      <w:pPr>
        <w:pStyle w:val="SingleTxtGA"/>
        <w:rPr>
          <w:rFonts w:eastAsiaTheme="minorEastAsia"/>
          <w:lang w:val="fr-CH" w:eastAsia="zh-TW" w:bidi="en-GB"/>
        </w:rPr>
      </w:pPr>
      <w:r w:rsidRPr="008257F2">
        <w:rPr>
          <w:rFonts w:eastAsiaTheme="minorEastAsia"/>
          <w:rtl/>
        </w:rPr>
        <w:t>2</w:t>
      </w:r>
      <w:r w:rsidRPr="00A91733">
        <w:rPr>
          <w:rFonts w:eastAsiaTheme="minorEastAsia"/>
          <w:rtl/>
        </w:rPr>
        <w:t>-</w:t>
      </w:r>
      <w:r w:rsidRPr="008257F2">
        <w:rPr>
          <w:rFonts w:eastAsiaTheme="minorEastAsia"/>
          <w:rtl/>
        </w:rPr>
        <w:t>10</w:t>
      </w:r>
      <w:r w:rsidRPr="00A91733">
        <w:rPr>
          <w:rFonts w:eastAsiaTheme="minorEastAsia"/>
          <w:rtl/>
        </w:rPr>
        <w:tab/>
        <w:t xml:space="preserve">وفي </w:t>
      </w:r>
      <w:r w:rsidRPr="008257F2">
        <w:rPr>
          <w:rFonts w:eastAsiaTheme="minorEastAsia"/>
          <w:rtl/>
        </w:rPr>
        <w:t>1</w:t>
      </w:r>
      <w:r w:rsidRPr="00A91733">
        <w:rPr>
          <w:rFonts w:eastAsiaTheme="minorEastAsia"/>
          <w:rtl/>
        </w:rPr>
        <w:t xml:space="preserve"> كانون الأول/ديسمبر </w:t>
      </w:r>
      <w:r w:rsidRPr="008257F2">
        <w:rPr>
          <w:rFonts w:eastAsiaTheme="minorEastAsia"/>
          <w:rtl/>
        </w:rPr>
        <w:t>2016</w:t>
      </w:r>
      <w:r w:rsidR="002531A3">
        <w:rPr>
          <w:rFonts w:eastAsiaTheme="minorEastAsia"/>
          <w:rtl/>
        </w:rPr>
        <w:t>،</w:t>
      </w:r>
      <w:r w:rsidRPr="00A91733">
        <w:rPr>
          <w:rFonts w:eastAsiaTheme="minorEastAsia"/>
          <w:rtl/>
        </w:rPr>
        <w:t xml:space="preserve"> رفضت المحكمة الأوروبية لحقوق الإنسان</w:t>
      </w:r>
      <w:r w:rsidR="002531A3">
        <w:rPr>
          <w:rFonts w:eastAsiaTheme="minorEastAsia"/>
          <w:rtl/>
        </w:rPr>
        <w:t>،</w:t>
      </w:r>
      <w:r w:rsidRPr="00A91733">
        <w:rPr>
          <w:rFonts w:eastAsiaTheme="minorEastAsia"/>
          <w:rtl/>
        </w:rPr>
        <w:t xml:space="preserve"> بناءً على قرار قاض منفرد</w:t>
      </w:r>
      <w:r w:rsidR="002531A3">
        <w:rPr>
          <w:rFonts w:eastAsiaTheme="minorEastAsia"/>
          <w:rtl/>
        </w:rPr>
        <w:t>،</w:t>
      </w:r>
      <w:r w:rsidRPr="00A91733">
        <w:rPr>
          <w:rFonts w:eastAsiaTheme="minorEastAsia"/>
          <w:rtl/>
        </w:rPr>
        <w:t xml:space="preserve"> شكوى صاحب البلاغ بشأن حكمها الصادر في قضية </w:t>
      </w:r>
      <w:r w:rsidRPr="008257F2">
        <w:rPr>
          <w:rFonts w:eastAsiaTheme="minorEastAsia"/>
          <w:i/>
          <w:iCs/>
          <w:rtl/>
        </w:rPr>
        <w:t>بالتينش ضد لاتفيا</w:t>
      </w:r>
      <w:r w:rsidR="002531A3">
        <w:rPr>
          <w:rFonts w:eastAsiaTheme="minorEastAsia"/>
          <w:rtl/>
        </w:rPr>
        <w:t>،</w:t>
      </w:r>
      <w:r w:rsidRPr="00A91733">
        <w:rPr>
          <w:rFonts w:eastAsiaTheme="minorEastAsia"/>
          <w:rtl/>
        </w:rPr>
        <w:t xml:space="preserve"> وأعلنت عدم قبول الشكوى لعدم استيفاء معايير المقبولية المنصوص عليها في المادتين </w:t>
      </w:r>
      <w:r w:rsidRPr="008257F2">
        <w:rPr>
          <w:rFonts w:eastAsiaTheme="minorEastAsia"/>
          <w:rtl/>
        </w:rPr>
        <w:t>34</w:t>
      </w:r>
      <w:r w:rsidRPr="00A91733">
        <w:rPr>
          <w:rFonts w:eastAsiaTheme="minorEastAsia"/>
          <w:rtl/>
        </w:rPr>
        <w:t xml:space="preserve"> و</w:t>
      </w:r>
      <w:r w:rsidRPr="008257F2">
        <w:rPr>
          <w:rFonts w:eastAsiaTheme="minorEastAsia"/>
          <w:rtl/>
        </w:rPr>
        <w:t>35</w:t>
      </w:r>
      <w:r w:rsidRPr="00A91733">
        <w:rPr>
          <w:rFonts w:eastAsiaTheme="minorEastAsia"/>
          <w:rtl/>
        </w:rPr>
        <w:t xml:space="preserve"> من الاتفاقية الأوروبية لحقوق الإنسان.</w:t>
      </w:r>
    </w:p>
    <w:p w14:paraId="72F1C107" w14:textId="77777777" w:rsidR="00517810" w:rsidRPr="008257F2" w:rsidRDefault="00517810" w:rsidP="00A91733">
      <w:pPr>
        <w:pStyle w:val="H23GA"/>
        <w:rPr>
          <w:lang w:val="ar-SA" w:eastAsia="zh-TW" w:bidi="en-GB"/>
        </w:rPr>
      </w:pPr>
      <w:r w:rsidRPr="008257F2">
        <w:rPr>
          <w:rtl/>
        </w:rPr>
        <w:lastRenderedPageBreak/>
        <w:tab/>
      </w:r>
      <w:r w:rsidRPr="008257F2">
        <w:rPr>
          <w:rtl/>
        </w:rPr>
        <w:tab/>
        <w:t>الشكوى</w:t>
      </w:r>
    </w:p>
    <w:p w14:paraId="3F872088" w14:textId="066F0D45" w:rsidR="00517810" w:rsidRPr="00A91733" w:rsidRDefault="00517810" w:rsidP="00A91733">
      <w:pPr>
        <w:pStyle w:val="SingleTxtGA"/>
        <w:rPr>
          <w:rFonts w:eastAsiaTheme="minorEastAsia"/>
          <w:lang w:val="ar-SA" w:eastAsia="zh-TW" w:bidi="en-GB"/>
        </w:rPr>
      </w:pPr>
      <w:r w:rsidRPr="008257F2">
        <w:rPr>
          <w:rFonts w:eastAsiaTheme="minorEastAsia"/>
          <w:rtl/>
        </w:rPr>
        <w:t>3</w:t>
      </w:r>
      <w:r w:rsidRPr="00A91733">
        <w:rPr>
          <w:rFonts w:eastAsiaTheme="minorEastAsia"/>
          <w:rtl/>
        </w:rPr>
        <w:t>-</w:t>
      </w:r>
      <w:r w:rsidRPr="008257F2">
        <w:rPr>
          <w:rFonts w:eastAsiaTheme="minorEastAsia"/>
          <w:rtl/>
        </w:rPr>
        <w:t>1</w:t>
      </w:r>
      <w:r w:rsidRPr="00A91733">
        <w:rPr>
          <w:rFonts w:eastAsiaTheme="minorEastAsia"/>
          <w:rtl/>
        </w:rPr>
        <w:tab/>
        <w:t xml:space="preserve">يدعي صاحب البلاغ أن الدولة الطرف انتهكت حقوقه بموجب المادة </w:t>
      </w:r>
      <w:r w:rsidRPr="008257F2">
        <w:rPr>
          <w:rFonts w:eastAsiaTheme="minorEastAsia"/>
          <w:rtl/>
        </w:rPr>
        <w:t>14</w:t>
      </w:r>
      <w:r w:rsidRPr="00A91733">
        <w:rPr>
          <w:rFonts w:eastAsiaTheme="minorEastAsia"/>
          <w:rtl/>
        </w:rPr>
        <w:t>(</w:t>
      </w:r>
      <w:r w:rsidRPr="008257F2">
        <w:rPr>
          <w:rFonts w:eastAsiaTheme="minorEastAsia"/>
          <w:rtl/>
        </w:rPr>
        <w:t>1</w:t>
      </w:r>
      <w:r w:rsidRPr="00A91733">
        <w:rPr>
          <w:rFonts w:eastAsiaTheme="minorEastAsia"/>
          <w:rtl/>
        </w:rPr>
        <w:t>) من العهد لأن محكمة الاستئناف والمحكمة العليا</w:t>
      </w:r>
      <w:r w:rsidR="002531A3">
        <w:rPr>
          <w:rFonts w:eastAsiaTheme="minorEastAsia"/>
          <w:rtl/>
        </w:rPr>
        <w:t>،</w:t>
      </w:r>
      <w:r w:rsidRPr="00A91733">
        <w:rPr>
          <w:rFonts w:eastAsiaTheme="minorEastAsia"/>
          <w:rtl/>
        </w:rPr>
        <w:t xml:space="preserve"> بصفتهما هيئتا نقض</w:t>
      </w:r>
      <w:r w:rsidR="002531A3">
        <w:rPr>
          <w:rFonts w:eastAsiaTheme="minorEastAsia"/>
          <w:rtl/>
        </w:rPr>
        <w:t>،</w:t>
      </w:r>
      <w:r w:rsidRPr="00A91733">
        <w:rPr>
          <w:rFonts w:eastAsiaTheme="minorEastAsia"/>
          <w:rtl/>
        </w:rPr>
        <w:t xml:space="preserve"> لم تتحققا</w:t>
      </w:r>
      <w:r w:rsidR="002531A3">
        <w:rPr>
          <w:rFonts w:eastAsiaTheme="minorEastAsia"/>
          <w:rtl/>
        </w:rPr>
        <w:t>،</w:t>
      </w:r>
      <w:r w:rsidRPr="00A91733">
        <w:rPr>
          <w:rFonts w:eastAsiaTheme="minorEastAsia"/>
          <w:rtl/>
        </w:rPr>
        <w:t xml:space="preserve"> أثناء الجلسات</w:t>
      </w:r>
      <w:r w:rsidR="002531A3">
        <w:rPr>
          <w:rFonts w:eastAsiaTheme="minorEastAsia"/>
          <w:rtl/>
        </w:rPr>
        <w:t>،</w:t>
      </w:r>
      <w:r w:rsidRPr="00A91733">
        <w:rPr>
          <w:rFonts w:eastAsiaTheme="minorEastAsia"/>
          <w:rtl/>
        </w:rPr>
        <w:t xml:space="preserve"> من المعلومات التي ترد في ملفي تحقيقات خاصة يتعلقان بعملية الشرطة "</w:t>
      </w:r>
      <w:r w:rsidRPr="00A91733">
        <w:rPr>
          <w:rFonts w:eastAsiaTheme="minorEastAsia"/>
        </w:rPr>
        <w:t>Rebus</w:t>
      </w:r>
      <w:r w:rsidRPr="00A91733">
        <w:rPr>
          <w:rFonts w:eastAsiaTheme="minorEastAsia"/>
          <w:rtl/>
        </w:rPr>
        <w:t>" أثناء جلسات المحكمة</w:t>
      </w:r>
      <w:r w:rsidR="002531A3">
        <w:rPr>
          <w:rFonts w:eastAsiaTheme="minorEastAsia"/>
          <w:rtl/>
        </w:rPr>
        <w:t>،</w:t>
      </w:r>
      <w:r w:rsidRPr="00A91733">
        <w:rPr>
          <w:rFonts w:eastAsiaTheme="minorEastAsia"/>
          <w:rtl/>
        </w:rPr>
        <w:t xml:space="preserve"> والتي لم يكن ينبغي اعتبارها دليلاً بل كان ينبغي</w:t>
      </w:r>
      <w:r w:rsidR="002531A3">
        <w:rPr>
          <w:rFonts w:eastAsiaTheme="minorEastAsia"/>
          <w:rtl/>
        </w:rPr>
        <w:t>،</w:t>
      </w:r>
      <w:r w:rsidRPr="00A91733">
        <w:rPr>
          <w:rFonts w:eastAsiaTheme="minorEastAsia"/>
          <w:rtl/>
        </w:rPr>
        <w:t xml:space="preserve"> بدلاً من ذلك</w:t>
      </w:r>
      <w:r w:rsidR="002531A3">
        <w:rPr>
          <w:rFonts w:eastAsiaTheme="minorEastAsia"/>
          <w:rtl/>
        </w:rPr>
        <w:t>،</w:t>
      </w:r>
      <w:r w:rsidRPr="00A91733">
        <w:rPr>
          <w:rFonts w:eastAsiaTheme="minorEastAsia"/>
          <w:rtl/>
        </w:rPr>
        <w:t xml:space="preserve"> إخضاعها لقاعدة الاستبعاد. ولم يكن القيد المفروض على حق الدفاع في الكشف له أثناء المحاكمة عن المعلومات المتعلقة بعملية الشرطة "</w:t>
      </w:r>
      <w:r w:rsidRPr="00A91733">
        <w:rPr>
          <w:rFonts w:eastAsiaTheme="minorEastAsia"/>
        </w:rPr>
        <w:t>Rebus</w:t>
      </w:r>
      <w:r w:rsidRPr="00A91733">
        <w:rPr>
          <w:rFonts w:eastAsiaTheme="minorEastAsia"/>
          <w:rtl/>
        </w:rPr>
        <w:t>" قيداً شفافاً ولا محايداً.</w:t>
      </w:r>
    </w:p>
    <w:p w14:paraId="3DF7C5F7" w14:textId="4697F3F9" w:rsidR="00517810" w:rsidRPr="00A91733" w:rsidRDefault="00517810" w:rsidP="00A91733">
      <w:pPr>
        <w:pStyle w:val="SingleTxtGA"/>
        <w:rPr>
          <w:rFonts w:eastAsiaTheme="minorEastAsia"/>
          <w:lang w:val="ar-SA" w:eastAsia="zh-TW" w:bidi="en-GB"/>
        </w:rPr>
      </w:pPr>
      <w:r w:rsidRPr="008257F2">
        <w:rPr>
          <w:rFonts w:eastAsiaTheme="minorEastAsia"/>
          <w:rtl/>
        </w:rPr>
        <w:t>3</w:t>
      </w:r>
      <w:r w:rsidRPr="00A91733">
        <w:rPr>
          <w:rFonts w:eastAsiaTheme="minorEastAsia"/>
          <w:rtl/>
        </w:rPr>
        <w:t>-</w:t>
      </w:r>
      <w:r w:rsidRPr="008257F2">
        <w:rPr>
          <w:rFonts w:eastAsiaTheme="minorEastAsia"/>
          <w:rtl/>
        </w:rPr>
        <w:t>2</w:t>
      </w:r>
      <w:r w:rsidRPr="00A91733">
        <w:rPr>
          <w:rFonts w:eastAsiaTheme="minorEastAsia"/>
          <w:rtl/>
        </w:rPr>
        <w:tab/>
        <w:t>وعلاوة على ذلك</w:t>
      </w:r>
      <w:r w:rsidR="002531A3">
        <w:rPr>
          <w:rFonts w:eastAsiaTheme="minorEastAsia"/>
          <w:rtl/>
        </w:rPr>
        <w:t>،</w:t>
      </w:r>
      <w:r w:rsidRPr="00A91733">
        <w:rPr>
          <w:rFonts w:eastAsiaTheme="minorEastAsia"/>
          <w:rtl/>
        </w:rPr>
        <w:t xml:space="preserve"> يدعي صاحب البلاغ أن حقه في افتراض براءته إلى أن تثبت إدانته</w:t>
      </w:r>
      <w:r w:rsidR="002531A3">
        <w:rPr>
          <w:rFonts w:eastAsiaTheme="minorEastAsia"/>
          <w:rtl/>
        </w:rPr>
        <w:t>،</w:t>
      </w:r>
      <w:r w:rsidRPr="00A91733">
        <w:rPr>
          <w:rFonts w:eastAsiaTheme="minorEastAsia"/>
          <w:rtl/>
        </w:rPr>
        <w:t xml:space="preserve"> المنصوص عليه في المادة </w:t>
      </w:r>
      <w:r w:rsidRPr="008257F2">
        <w:rPr>
          <w:rFonts w:eastAsiaTheme="minorEastAsia"/>
          <w:rtl/>
        </w:rPr>
        <w:t>14</w:t>
      </w:r>
      <w:r w:rsidRPr="00A91733">
        <w:rPr>
          <w:rFonts w:eastAsiaTheme="minorEastAsia"/>
          <w:rtl/>
        </w:rPr>
        <w:t>(</w:t>
      </w:r>
      <w:r w:rsidRPr="008257F2">
        <w:rPr>
          <w:rFonts w:eastAsiaTheme="minorEastAsia"/>
          <w:rtl/>
        </w:rPr>
        <w:t>2</w:t>
      </w:r>
      <w:r w:rsidRPr="00A91733">
        <w:rPr>
          <w:rFonts w:eastAsiaTheme="minorEastAsia"/>
          <w:rtl/>
        </w:rPr>
        <w:t>) من العهد</w:t>
      </w:r>
      <w:r w:rsidR="002531A3">
        <w:rPr>
          <w:rFonts w:eastAsiaTheme="minorEastAsia"/>
          <w:rtl/>
        </w:rPr>
        <w:t>،</w:t>
      </w:r>
      <w:r w:rsidRPr="00A91733">
        <w:rPr>
          <w:rFonts w:eastAsiaTheme="minorEastAsia"/>
          <w:rtl/>
        </w:rPr>
        <w:t xml:space="preserve"> قد انتُهك لأن المحاكم المحلية لم تستطع أن تُثبت أنه كان سيرتكب الجريمة التي اتُّهم بها لو لم يحرَّض على ارتكابها. وخلصت المحاكم إلى أنه مذنب لأنها لم</w:t>
      </w:r>
      <w:r w:rsidR="00EA7571">
        <w:rPr>
          <w:rFonts w:eastAsiaTheme="minorEastAsia" w:hint="cs"/>
          <w:rtl/>
        </w:rPr>
        <w:t> </w:t>
      </w:r>
      <w:r w:rsidRPr="00A91733">
        <w:rPr>
          <w:rFonts w:eastAsiaTheme="minorEastAsia"/>
          <w:rtl/>
        </w:rPr>
        <w:t>تفسر الشكوك القائمة لصالحه.</w:t>
      </w:r>
    </w:p>
    <w:p w14:paraId="65727649" w14:textId="0ED2A4CC" w:rsidR="00517810" w:rsidRPr="00A91733" w:rsidRDefault="00517810" w:rsidP="00A91733">
      <w:pPr>
        <w:pStyle w:val="SingleTxtGA"/>
        <w:rPr>
          <w:rFonts w:eastAsiaTheme="minorEastAsia"/>
          <w:lang w:val="fr-CH" w:eastAsia="zh-TW" w:bidi="en-GB"/>
        </w:rPr>
      </w:pPr>
      <w:r w:rsidRPr="008257F2">
        <w:rPr>
          <w:rFonts w:eastAsiaTheme="minorEastAsia"/>
          <w:rtl/>
        </w:rPr>
        <w:t>3</w:t>
      </w:r>
      <w:r w:rsidRPr="00A91733">
        <w:rPr>
          <w:rFonts w:eastAsiaTheme="minorEastAsia"/>
          <w:rtl/>
        </w:rPr>
        <w:t>-</w:t>
      </w:r>
      <w:r w:rsidRPr="008257F2">
        <w:rPr>
          <w:rFonts w:eastAsiaTheme="minorEastAsia"/>
          <w:rtl/>
        </w:rPr>
        <w:t>3</w:t>
      </w:r>
      <w:r w:rsidRPr="00A91733">
        <w:rPr>
          <w:rFonts w:eastAsiaTheme="minorEastAsia"/>
          <w:rtl/>
        </w:rPr>
        <w:tab/>
      </w:r>
      <w:r w:rsidRPr="00ED75F6">
        <w:rPr>
          <w:rFonts w:eastAsiaTheme="minorEastAsia"/>
          <w:spacing w:val="-3"/>
          <w:rtl/>
        </w:rPr>
        <w:t>ويطلب صاحب البلاغ إلى اللجنة أن توصي لاتفيا بإلغاء إدانته ودفع تعويض له وفقاً للمادة</w:t>
      </w:r>
      <w:r w:rsidR="00A91733" w:rsidRPr="00ED75F6">
        <w:rPr>
          <w:rFonts w:eastAsiaTheme="minorEastAsia" w:hint="cs"/>
          <w:spacing w:val="-3"/>
          <w:rtl/>
        </w:rPr>
        <w:t> </w:t>
      </w:r>
      <w:r w:rsidRPr="008257F2">
        <w:rPr>
          <w:rFonts w:eastAsiaTheme="minorEastAsia"/>
          <w:spacing w:val="-3"/>
          <w:rtl/>
        </w:rPr>
        <w:t>14</w:t>
      </w:r>
      <w:r w:rsidRPr="00ED75F6">
        <w:rPr>
          <w:rFonts w:eastAsiaTheme="minorEastAsia"/>
          <w:spacing w:val="-3"/>
          <w:rtl/>
        </w:rPr>
        <w:t>(</w:t>
      </w:r>
      <w:r w:rsidRPr="008257F2">
        <w:rPr>
          <w:rFonts w:eastAsiaTheme="minorEastAsia"/>
          <w:spacing w:val="-3"/>
          <w:rtl/>
        </w:rPr>
        <w:t>6</w:t>
      </w:r>
      <w:r w:rsidRPr="00ED75F6">
        <w:rPr>
          <w:rFonts w:eastAsiaTheme="minorEastAsia"/>
          <w:spacing w:val="-3"/>
          <w:rtl/>
        </w:rPr>
        <w:t>)</w:t>
      </w:r>
      <w:r w:rsidRPr="00A91733">
        <w:rPr>
          <w:rFonts w:eastAsiaTheme="minorEastAsia"/>
          <w:rtl/>
        </w:rPr>
        <w:t xml:space="preserve"> من العهد.</w:t>
      </w:r>
    </w:p>
    <w:p w14:paraId="7330BB63" w14:textId="77777777" w:rsidR="00517810" w:rsidRPr="008257F2" w:rsidRDefault="00517810" w:rsidP="00A91733">
      <w:pPr>
        <w:pStyle w:val="H23GA"/>
        <w:rPr>
          <w:lang w:val="ar-SA" w:eastAsia="zh-TW" w:bidi="en-GB"/>
        </w:rPr>
      </w:pPr>
      <w:r w:rsidRPr="008257F2">
        <w:rPr>
          <w:rtl/>
        </w:rPr>
        <w:tab/>
      </w:r>
      <w:r w:rsidRPr="008257F2">
        <w:rPr>
          <w:rtl/>
        </w:rPr>
        <w:tab/>
        <w:t>ملاحظات الدولة الطرف بشأن المقبولية</w:t>
      </w:r>
    </w:p>
    <w:p w14:paraId="2F91C23F" w14:textId="39ED1C64" w:rsidR="00517810" w:rsidRPr="00ED75F6" w:rsidRDefault="00517810" w:rsidP="00A91733">
      <w:pPr>
        <w:pStyle w:val="SingleTxtGA"/>
        <w:rPr>
          <w:rFonts w:eastAsiaTheme="minorEastAsia"/>
          <w:spacing w:val="-2"/>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1</w:t>
      </w:r>
      <w:r w:rsidRPr="00A91733">
        <w:rPr>
          <w:rFonts w:eastAsiaTheme="minorEastAsia"/>
          <w:rtl/>
        </w:rPr>
        <w:tab/>
        <w:t xml:space="preserve">قدمت الدولة الطرف ملاحظاتها في مذكرة شفوية </w:t>
      </w:r>
      <w:r w:rsidRPr="007D2254">
        <w:rPr>
          <w:rFonts w:eastAsiaTheme="minorEastAsia"/>
          <w:rtl/>
        </w:rPr>
        <w:t xml:space="preserve">مؤرخة </w:t>
      </w:r>
      <w:r w:rsidRPr="008257F2">
        <w:rPr>
          <w:rFonts w:eastAsiaTheme="minorEastAsia"/>
          <w:rtl/>
        </w:rPr>
        <w:t>1</w:t>
      </w:r>
      <w:r w:rsidR="00EA7571" w:rsidRPr="008257F2">
        <w:rPr>
          <w:rFonts w:eastAsiaTheme="minorEastAsia" w:hint="cs"/>
          <w:rtl/>
        </w:rPr>
        <w:t>2</w:t>
      </w:r>
      <w:r w:rsidRPr="007D2254">
        <w:rPr>
          <w:rFonts w:eastAsiaTheme="minorEastAsia"/>
          <w:rtl/>
        </w:rPr>
        <w:t xml:space="preserve"> نيس</w:t>
      </w:r>
      <w:r w:rsidRPr="00A91733">
        <w:rPr>
          <w:rFonts w:eastAsiaTheme="minorEastAsia"/>
          <w:rtl/>
        </w:rPr>
        <w:t xml:space="preserve">ان/أبريل </w:t>
      </w:r>
      <w:r w:rsidRPr="008257F2">
        <w:rPr>
          <w:rFonts w:eastAsiaTheme="minorEastAsia"/>
          <w:rtl/>
        </w:rPr>
        <w:t>2018</w:t>
      </w:r>
      <w:r w:rsidRPr="00A91733">
        <w:rPr>
          <w:rFonts w:eastAsiaTheme="minorEastAsia"/>
          <w:rtl/>
        </w:rPr>
        <w:t>. وتفيد بأن شعبة شرطة الدولة المكلفة بمكافحة المخدرات تلقت</w:t>
      </w:r>
      <w:r w:rsidR="002531A3">
        <w:rPr>
          <w:rFonts w:eastAsiaTheme="minorEastAsia"/>
          <w:rtl/>
        </w:rPr>
        <w:t>،</w:t>
      </w:r>
      <w:r w:rsidRPr="00A91733">
        <w:rPr>
          <w:rFonts w:eastAsiaTheme="minorEastAsia"/>
          <w:rtl/>
        </w:rPr>
        <w:t xml:space="preserve"> في شباط/فبراير </w:t>
      </w:r>
      <w:r w:rsidRPr="008257F2">
        <w:rPr>
          <w:rFonts w:eastAsiaTheme="minorEastAsia"/>
          <w:rtl/>
        </w:rPr>
        <w:t>2004</w:t>
      </w:r>
      <w:r w:rsidR="002531A3">
        <w:rPr>
          <w:rFonts w:eastAsiaTheme="minorEastAsia"/>
          <w:rtl/>
        </w:rPr>
        <w:t>،</w:t>
      </w:r>
      <w:r w:rsidRPr="00A91733">
        <w:rPr>
          <w:rFonts w:eastAsiaTheme="minorEastAsia"/>
          <w:rtl/>
        </w:rPr>
        <w:t xml:space="preserve"> معلومات من مخبري الشرطة يزعمون فيها أن صاحب البلاغ متورط في جرائم متصلة بالمخدرات. وبناءً على ذلك</w:t>
      </w:r>
      <w:r w:rsidR="002531A3">
        <w:rPr>
          <w:rFonts w:eastAsiaTheme="minorEastAsia"/>
          <w:rtl/>
        </w:rPr>
        <w:t>،</w:t>
      </w:r>
      <w:r w:rsidRPr="00A91733">
        <w:rPr>
          <w:rFonts w:eastAsiaTheme="minorEastAsia"/>
          <w:rtl/>
        </w:rPr>
        <w:t xml:space="preserve"> شرع </w:t>
      </w:r>
      <w:r w:rsidRPr="00ED75F6">
        <w:rPr>
          <w:rFonts w:eastAsiaTheme="minorEastAsia"/>
          <w:spacing w:val="-2"/>
          <w:rtl/>
        </w:rPr>
        <w:t xml:space="preserve">مسؤولو الشعبة في إجراءات التحقيقات الخاصة (ملف القضية رقم </w:t>
      </w:r>
      <w:r w:rsidRPr="008257F2">
        <w:rPr>
          <w:rFonts w:eastAsiaTheme="minorEastAsia"/>
          <w:spacing w:val="-2"/>
          <w:rtl/>
        </w:rPr>
        <w:t>7004204</w:t>
      </w:r>
      <w:r w:rsidRPr="00ED75F6">
        <w:rPr>
          <w:rFonts w:eastAsiaTheme="minorEastAsia"/>
          <w:spacing w:val="-2"/>
          <w:rtl/>
        </w:rPr>
        <w:t>).</w:t>
      </w:r>
    </w:p>
    <w:p w14:paraId="05D5B957" w14:textId="0CAAC29A" w:rsidR="00517810" w:rsidRPr="00A91733" w:rsidRDefault="00517810" w:rsidP="00A91733">
      <w:pPr>
        <w:pStyle w:val="SingleTxtGA"/>
        <w:rPr>
          <w:rFonts w:eastAsiaTheme="minorEastAsia"/>
          <w:lang w:val="fr-CH" w:eastAsia="zh-TW" w:bidi="en-GB"/>
        </w:rPr>
      </w:pPr>
      <w:r w:rsidRPr="008257F2">
        <w:rPr>
          <w:rFonts w:eastAsiaTheme="minorEastAsia"/>
          <w:spacing w:val="-2"/>
          <w:rtl/>
        </w:rPr>
        <w:t>4</w:t>
      </w:r>
      <w:r w:rsidRPr="00ED75F6">
        <w:rPr>
          <w:rFonts w:eastAsiaTheme="minorEastAsia"/>
          <w:spacing w:val="-2"/>
          <w:rtl/>
        </w:rPr>
        <w:t>-</w:t>
      </w:r>
      <w:r w:rsidRPr="008257F2">
        <w:rPr>
          <w:rFonts w:eastAsiaTheme="minorEastAsia"/>
          <w:spacing w:val="-2"/>
          <w:rtl/>
        </w:rPr>
        <w:t>2</w:t>
      </w:r>
      <w:r w:rsidRPr="00ED75F6">
        <w:rPr>
          <w:rFonts w:eastAsiaTheme="minorEastAsia"/>
          <w:spacing w:val="-2"/>
          <w:rtl/>
        </w:rPr>
        <w:tab/>
        <w:t xml:space="preserve">وفي </w:t>
      </w:r>
      <w:r w:rsidRPr="008257F2">
        <w:rPr>
          <w:rFonts w:eastAsiaTheme="minorEastAsia"/>
          <w:spacing w:val="-2"/>
          <w:rtl/>
        </w:rPr>
        <w:t>27</w:t>
      </w:r>
      <w:r w:rsidRPr="00ED75F6">
        <w:rPr>
          <w:rFonts w:eastAsiaTheme="minorEastAsia"/>
          <w:spacing w:val="-2"/>
          <w:rtl/>
        </w:rPr>
        <w:t xml:space="preserve"> تشرين الأول/أكتوبر </w:t>
      </w:r>
      <w:r w:rsidRPr="008257F2">
        <w:rPr>
          <w:rFonts w:eastAsiaTheme="minorEastAsia"/>
          <w:spacing w:val="-2"/>
          <w:rtl/>
        </w:rPr>
        <w:t>2004</w:t>
      </w:r>
      <w:r w:rsidR="002531A3" w:rsidRPr="00ED75F6">
        <w:rPr>
          <w:rFonts w:eastAsiaTheme="minorEastAsia"/>
          <w:spacing w:val="-2"/>
          <w:rtl/>
        </w:rPr>
        <w:t>،</w:t>
      </w:r>
      <w:r w:rsidRPr="00ED75F6">
        <w:rPr>
          <w:rFonts w:eastAsiaTheme="minorEastAsia"/>
          <w:spacing w:val="-2"/>
          <w:rtl/>
        </w:rPr>
        <w:t xml:space="preserve"> بدأت الشعبة المرحلة التالية من أنشطة التحقيقات</w:t>
      </w:r>
      <w:r w:rsidR="00ED75F6" w:rsidRPr="00ED75F6">
        <w:rPr>
          <w:rFonts w:eastAsiaTheme="minorEastAsia" w:hint="cs"/>
          <w:spacing w:val="-2"/>
          <w:rtl/>
        </w:rPr>
        <w:t xml:space="preserve"> </w:t>
      </w:r>
      <w:r w:rsidRPr="00ED75F6">
        <w:rPr>
          <w:rFonts w:eastAsiaTheme="minorEastAsia"/>
          <w:spacing w:val="-2"/>
          <w:rtl/>
        </w:rPr>
        <w:t>الخاصة</w:t>
      </w:r>
      <w:r w:rsidR="002531A3">
        <w:rPr>
          <w:rFonts w:eastAsiaTheme="minorEastAsia"/>
          <w:rtl/>
        </w:rPr>
        <w:t>،</w:t>
      </w:r>
      <w:r w:rsidRPr="00A91733">
        <w:rPr>
          <w:rFonts w:eastAsiaTheme="minorEastAsia"/>
          <w:rtl/>
        </w:rPr>
        <w:t xml:space="preserve"> وفتحت ملف القضية رقم </w:t>
      </w:r>
      <w:r w:rsidRPr="008257F2">
        <w:rPr>
          <w:rFonts w:eastAsiaTheme="minorEastAsia"/>
          <w:rtl/>
        </w:rPr>
        <w:t>7019304</w:t>
      </w:r>
      <w:r w:rsidR="002531A3">
        <w:rPr>
          <w:rFonts w:eastAsiaTheme="minorEastAsia"/>
          <w:rtl/>
        </w:rPr>
        <w:t>،</w:t>
      </w:r>
      <w:r w:rsidRPr="00A91733">
        <w:rPr>
          <w:rFonts w:eastAsiaTheme="minorEastAsia"/>
          <w:rtl/>
        </w:rPr>
        <w:t xml:space="preserve"> وأبلغت مكتب المدعي العام بمضمون تلك الأنشطة</w:t>
      </w:r>
      <w:r w:rsidR="00ED75F6">
        <w:rPr>
          <w:rFonts w:eastAsiaTheme="minorEastAsia" w:hint="cs"/>
          <w:rtl/>
        </w:rPr>
        <w:t xml:space="preserve"> </w:t>
      </w:r>
      <w:r w:rsidRPr="00A91733">
        <w:rPr>
          <w:rFonts w:eastAsiaTheme="minorEastAsia"/>
          <w:rtl/>
        </w:rPr>
        <w:t>ونطاقها.</w:t>
      </w:r>
    </w:p>
    <w:p w14:paraId="7333F8E6" w14:textId="676D8E42"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3</w:t>
      </w:r>
      <w:r w:rsidRPr="00A91733">
        <w:rPr>
          <w:rFonts w:eastAsiaTheme="minorEastAsia"/>
          <w:rtl/>
        </w:rPr>
        <w:tab/>
        <w:t xml:space="preserve">وفي الفترة من </w:t>
      </w:r>
      <w:r w:rsidRPr="008257F2">
        <w:rPr>
          <w:rFonts w:eastAsiaTheme="minorEastAsia"/>
          <w:rtl/>
        </w:rPr>
        <w:t>2</w:t>
      </w:r>
      <w:r w:rsidRPr="00A91733">
        <w:rPr>
          <w:rFonts w:eastAsiaTheme="minorEastAsia"/>
          <w:rtl/>
        </w:rPr>
        <w:t xml:space="preserve"> تشرين الثاني/نوفمبر إلى </w:t>
      </w:r>
      <w:r w:rsidRPr="008257F2">
        <w:rPr>
          <w:rFonts w:eastAsiaTheme="minorEastAsia"/>
          <w:rtl/>
        </w:rPr>
        <w:t>1</w:t>
      </w:r>
      <w:r w:rsidRPr="00A91733">
        <w:rPr>
          <w:rFonts w:eastAsiaTheme="minorEastAsia"/>
          <w:rtl/>
        </w:rPr>
        <w:t xml:space="preserve"> كانون الأول/ديسمبر </w:t>
      </w:r>
      <w:r w:rsidRPr="008257F2">
        <w:rPr>
          <w:rFonts w:eastAsiaTheme="minorEastAsia"/>
          <w:rtl/>
        </w:rPr>
        <w:t>2004</w:t>
      </w:r>
      <w:r w:rsidR="002531A3">
        <w:rPr>
          <w:rFonts w:eastAsiaTheme="minorEastAsia"/>
          <w:rtl/>
        </w:rPr>
        <w:t>،</w:t>
      </w:r>
      <w:r w:rsidRPr="00A91733">
        <w:rPr>
          <w:rFonts w:eastAsiaTheme="minorEastAsia"/>
          <w:rtl/>
        </w:rPr>
        <w:t xml:space="preserve"> أذن مكتب المدعي العام بإجراء عدة تحقيقات ميدانية خاصة ضد صاحب البلاغ</w:t>
      </w:r>
      <w:r w:rsidR="002531A3">
        <w:rPr>
          <w:rFonts w:eastAsiaTheme="minorEastAsia"/>
          <w:rtl/>
        </w:rPr>
        <w:t>،</w:t>
      </w:r>
      <w:r w:rsidRPr="00A91733">
        <w:rPr>
          <w:rFonts w:eastAsiaTheme="minorEastAsia"/>
          <w:rtl/>
        </w:rPr>
        <w:t xml:space="preserve"> التقى خلالها صاحب البلاغ بضابط شرطة سري</w:t>
      </w:r>
      <w:r w:rsidR="002531A3">
        <w:rPr>
          <w:rFonts w:eastAsiaTheme="minorEastAsia"/>
          <w:rtl/>
        </w:rPr>
        <w:t>،</w:t>
      </w:r>
      <w:r w:rsidRPr="00A91733">
        <w:rPr>
          <w:rFonts w:eastAsiaTheme="minorEastAsia"/>
          <w:rtl/>
        </w:rPr>
        <w:t xml:space="preserve"> يسمى إ.</w:t>
      </w:r>
      <w:r w:rsidR="002531A3">
        <w:rPr>
          <w:rFonts w:eastAsiaTheme="minorEastAsia"/>
          <w:rtl/>
        </w:rPr>
        <w:t>،</w:t>
      </w:r>
      <w:r w:rsidRPr="00A91733">
        <w:rPr>
          <w:rFonts w:eastAsiaTheme="minorEastAsia"/>
          <w:rtl/>
        </w:rPr>
        <w:t xml:space="preserve"> وزوده بالميثامفيتامين وناقش معه إمكانية إمداده بالمخدرات بانتظام. وسُجلت جميع</w:t>
      </w:r>
      <w:r w:rsidR="00FF2573">
        <w:rPr>
          <w:rFonts w:eastAsiaTheme="minorEastAsia" w:hint="cs"/>
          <w:rtl/>
        </w:rPr>
        <w:t> </w:t>
      </w:r>
      <w:r w:rsidRPr="00A91733">
        <w:rPr>
          <w:rFonts w:eastAsiaTheme="minorEastAsia"/>
          <w:rtl/>
        </w:rPr>
        <w:t>المحادثات بين صاحب البلاغ وإ.</w:t>
      </w:r>
      <w:r w:rsidR="002531A3">
        <w:rPr>
          <w:rFonts w:eastAsiaTheme="minorEastAsia"/>
          <w:rtl/>
        </w:rPr>
        <w:t>،</w:t>
      </w:r>
      <w:r w:rsidRPr="00A91733">
        <w:rPr>
          <w:rFonts w:eastAsiaTheme="minorEastAsia"/>
          <w:rtl/>
        </w:rPr>
        <w:t xml:space="preserve"> بما في ذلك المحادثات الهاتفية. وتوقفت لقاءات صاحب البلاغ</w:t>
      </w:r>
      <w:r w:rsidR="00FF2573">
        <w:rPr>
          <w:rFonts w:eastAsiaTheme="minorEastAsia" w:hint="cs"/>
          <w:rtl/>
        </w:rPr>
        <w:t> </w:t>
      </w:r>
      <w:r w:rsidR="00A91733">
        <w:rPr>
          <w:rFonts w:eastAsiaTheme="minorEastAsia"/>
          <w:rtl/>
        </w:rPr>
        <w:t>و</w:t>
      </w:r>
      <w:r w:rsidRPr="00A91733">
        <w:rPr>
          <w:rFonts w:eastAsiaTheme="minorEastAsia"/>
          <w:rtl/>
        </w:rPr>
        <w:t xml:space="preserve">إ. في </w:t>
      </w:r>
      <w:r w:rsidRPr="008257F2">
        <w:rPr>
          <w:rFonts w:eastAsiaTheme="minorEastAsia"/>
          <w:rtl/>
        </w:rPr>
        <w:t>1</w:t>
      </w:r>
      <w:r w:rsidRPr="00A91733">
        <w:rPr>
          <w:rFonts w:eastAsiaTheme="minorEastAsia"/>
          <w:rtl/>
        </w:rPr>
        <w:t xml:space="preserve"> كانون الأول/ديسمبر </w:t>
      </w:r>
      <w:r w:rsidRPr="008257F2">
        <w:rPr>
          <w:rFonts w:eastAsiaTheme="minorEastAsia"/>
          <w:rtl/>
        </w:rPr>
        <w:t>2004</w:t>
      </w:r>
      <w:r w:rsidR="002531A3">
        <w:rPr>
          <w:rFonts w:eastAsiaTheme="minorEastAsia"/>
          <w:rtl/>
        </w:rPr>
        <w:t>،</w:t>
      </w:r>
      <w:r w:rsidRPr="00A91733">
        <w:rPr>
          <w:rFonts w:eastAsiaTheme="minorEastAsia"/>
          <w:rtl/>
        </w:rPr>
        <w:t xml:space="preserve"> عندما اتصل به صاحب البلاغ واشتكى من أن الأموال التي تلقاها من إ. مقابل المخدرات كانت موسومة بمادة كيميائية.</w:t>
      </w:r>
    </w:p>
    <w:p w14:paraId="2BE07589" w14:textId="3B949790"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4</w:t>
      </w:r>
      <w:r w:rsidRPr="00A91733">
        <w:rPr>
          <w:rFonts w:eastAsiaTheme="minorEastAsia"/>
          <w:rtl/>
        </w:rPr>
        <w:tab/>
        <w:t xml:space="preserve">وفي </w:t>
      </w:r>
      <w:r w:rsidRPr="008257F2">
        <w:rPr>
          <w:rFonts w:eastAsiaTheme="minorEastAsia"/>
          <w:rtl/>
        </w:rPr>
        <w:t>1</w:t>
      </w:r>
      <w:r w:rsidRPr="00A91733">
        <w:rPr>
          <w:rFonts w:eastAsiaTheme="minorEastAsia"/>
          <w:rtl/>
        </w:rPr>
        <w:t xml:space="preserve"> كانون الأول/ديسمبر </w:t>
      </w:r>
      <w:r w:rsidRPr="008257F2">
        <w:rPr>
          <w:rFonts w:eastAsiaTheme="minorEastAsia"/>
          <w:rtl/>
        </w:rPr>
        <w:t>2004</w:t>
      </w:r>
      <w:r w:rsidR="002531A3">
        <w:rPr>
          <w:rFonts w:eastAsiaTheme="minorEastAsia"/>
          <w:rtl/>
        </w:rPr>
        <w:t>،</w:t>
      </w:r>
      <w:r w:rsidRPr="00A91733">
        <w:rPr>
          <w:rFonts w:eastAsiaTheme="minorEastAsia"/>
          <w:rtl/>
        </w:rPr>
        <w:t xml:space="preserve"> شرعت الشعبة المكلفة بمكافحة المخدرات في دعوى جنائية ضد صاحب البلاغ بتهمة اقتناء مواد مخدرة وحيازتها من دون إذن مع ظروف مشددة بقصد بيعها.</w:t>
      </w:r>
    </w:p>
    <w:p w14:paraId="5D09C47C" w14:textId="36C65213"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5</w:t>
      </w:r>
      <w:r w:rsidRPr="00A91733">
        <w:rPr>
          <w:rFonts w:eastAsiaTheme="minorEastAsia"/>
          <w:rtl/>
        </w:rPr>
        <w:tab/>
        <w:t xml:space="preserve">وفي </w:t>
      </w:r>
      <w:r w:rsidRPr="008257F2">
        <w:rPr>
          <w:rFonts w:eastAsiaTheme="minorEastAsia"/>
          <w:rtl/>
        </w:rPr>
        <w:t>6</w:t>
      </w:r>
      <w:r w:rsidRPr="00A91733">
        <w:rPr>
          <w:rFonts w:eastAsiaTheme="minorEastAsia"/>
          <w:rtl/>
        </w:rPr>
        <w:t xml:space="preserve"> كانون الأول/ديسمبر </w:t>
      </w:r>
      <w:r w:rsidRPr="008257F2">
        <w:rPr>
          <w:rFonts w:eastAsiaTheme="minorEastAsia"/>
          <w:rtl/>
        </w:rPr>
        <w:t>2004</w:t>
      </w:r>
      <w:r w:rsidR="002531A3">
        <w:rPr>
          <w:rFonts w:eastAsiaTheme="minorEastAsia"/>
          <w:rtl/>
        </w:rPr>
        <w:t>،</w:t>
      </w:r>
      <w:r w:rsidRPr="00A91733">
        <w:rPr>
          <w:rFonts w:eastAsiaTheme="minorEastAsia"/>
          <w:rtl/>
        </w:rPr>
        <w:t xml:space="preserve"> ألقى ضباط شرطة من الشعبة القبض على صاحب البلاغ. وفتشوا منزله وصادروا عدة مواد كأدلة. وأكد فحص الطب الشرعي أن المواد المصادرة تحتوي على آثار كيميائية للميثامفيتامين والكوكايين.</w:t>
      </w:r>
    </w:p>
    <w:p w14:paraId="5AC3C055" w14:textId="0BE0A3CF"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6</w:t>
      </w:r>
      <w:r w:rsidRPr="00A91733">
        <w:rPr>
          <w:rFonts w:eastAsiaTheme="minorEastAsia"/>
          <w:rtl/>
        </w:rPr>
        <w:tab/>
        <w:t xml:space="preserve">وفي </w:t>
      </w:r>
      <w:r w:rsidRPr="008257F2">
        <w:rPr>
          <w:rFonts w:eastAsiaTheme="minorEastAsia"/>
          <w:rtl/>
        </w:rPr>
        <w:t>4</w:t>
      </w:r>
      <w:r w:rsidRPr="00A91733">
        <w:rPr>
          <w:rFonts w:eastAsiaTheme="minorEastAsia"/>
          <w:rtl/>
        </w:rPr>
        <w:t xml:space="preserve"> كانون الثاني/يناير </w:t>
      </w:r>
      <w:r w:rsidRPr="008257F2">
        <w:rPr>
          <w:rFonts w:eastAsiaTheme="minorEastAsia"/>
          <w:rtl/>
        </w:rPr>
        <w:t>2005</w:t>
      </w:r>
      <w:r w:rsidR="002531A3">
        <w:rPr>
          <w:rFonts w:eastAsiaTheme="minorEastAsia"/>
          <w:rtl/>
        </w:rPr>
        <w:t>،</w:t>
      </w:r>
      <w:r w:rsidRPr="00A91733">
        <w:rPr>
          <w:rFonts w:eastAsiaTheme="minorEastAsia"/>
          <w:rtl/>
        </w:rPr>
        <w:t xml:space="preserve"> اتُّهم صاحب البلاغ باقتناء مواد مخدرة وحيازتها من دون إذن بقصد بيعها. وفي </w:t>
      </w:r>
      <w:r w:rsidRPr="008257F2">
        <w:rPr>
          <w:rFonts w:eastAsiaTheme="minorEastAsia"/>
          <w:rtl/>
        </w:rPr>
        <w:t>21</w:t>
      </w:r>
      <w:r w:rsidRPr="00A91733">
        <w:rPr>
          <w:rFonts w:eastAsiaTheme="minorEastAsia"/>
          <w:rtl/>
        </w:rPr>
        <w:t xml:space="preserve"> تشرين الأول/أكتوبر </w:t>
      </w:r>
      <w:r w:rsidRPr="008257F2">
        <w:rPr>
          <w:rFonts w:eastAsiaTheme="minorEastAsia"/>
          <w:rtl/>
        </w:rPr>
        <w:t>2005</w:t>
      </w:r>
      <w:r w:rsidR="002531A3">
        <w:rPr>
          <w:rFonts w:eastAsiaTheme="minorEastAsia"/>
          <w:rtl/>
        </w:rPr>
        <w:t>،</w:t>
      </w:r>
      <w:r w:rsidRPr="00A91733">
        <w:rPr>
          <w:rFonts w:eastAsiaTheme="minorEastAsia"/>
          <w:rtl/>
        </w:rPr>
        <w:t xml:space="preserve"> أدانت محكمة ريغا الإقليمية صاحب البلاغ باقتناء مواد مخدرة وحيازتها من دون إذن مع ظروف مشددة بقصد بيعها</w:t>
      </w:r>
      <w:r w:rsidR="002531A3">
        <w:rPr>
          <w:rFonts w:eastAsiaTheme="minorEastAsia"/>
          <w:rtl/>
        </w:rPr>
        <w:t>،</w:t>
      </w:r>
      <w:r w:rsidRPr="00A91733">
        <w:rPr>
          <w:rFonts w:eastAsiaTheme="minorEastAsia"/>
          <w:rtl/>
        </w:rPr>
        <w:t xml:space="preserve"> وحكمت عليه بالسجن لمدة </w:t>
      </w:r>
      <w:r w:rsidRPr="008257F2">
        <w:rPr>
          <w:rFonts w:eastAsiaTheme="minorEastAsia"/>
          <w:rtl/>
        </w:rPr>
        <w:t>10</w:t>
      </w:r>
      <w:r w:rsidRPr="00A91733">
        <w:rPr>
          <w:rFonts w:eastAsiaTheme="minorEastAsia"/>
          <w:rtl/>
        </w:rPr>
        <w:t xml:space="preserve"> سنوات ومصادرة ممتلكاته وإخضاعه لإشراف الشرطة لمدة ثلاث سنوات.</w:t>
      </w:r>
    </w:p>
    <w:p w14:paraId="22B65D50" w14:textId="13EF100F" w:rsidR="00517810" w:rsidRPr="008257F2" w:rsidRDefault="00517810" w:rsidP="00A91733">
      <w:pPr>
        <w:pStyle w:val="SingleTxtGA"/>
        <w:rPr>
          <w:rFonts w:eastAsiaTheme="minorEastAsia"/>
          <w:i/>
          <w:iCs/>
          <w:lang w:val="ar-SA" w:eastAsia="zh-TW" w:bidi="en-GB"/>
        </w:rPr>
      </w:pPr>
      <w:r w:rsidRPr="008257F2">
        <w:rPr>
          <w:rFonts w:eastAsiaTheme="minorEastAsia"/>
          <w:rtl/>
        </w:rPr>
        <w:lastRenderedPageBreak/>
        <w:t>4</w:t>
      </w:r>
      <w:r w:rsidRPr="00A91733">
        <w:rPr>
          <w:rFonts w:eastAsiaTheme="minorEastAsia"/>
          <w:rtl/>
        </w:rPr>
        <w:t>-</w:t>
      </w:r>
      <w:r w:rsidRPr="008257F2">
        <w:rPr>
          <w:rFonts w:eastAsiaTheme="minorEastAsia"/>
          <w:rtl/>
        </w:rPr>
        <w:t>7</w:t>
      </w:r>
      <w:r w:rsidRPr="00A91733">
        <w:rPr>
          <w:rFonts w:eastAsiaTheme="minorEastAsia"/>
          <w:rtl/>
        </w:rPr>
        <w:tab/>
        <w:t xml:space="preserve">وفي </w:t>
      </w:r>
      <w:r w:rsidRPr="008257F2">
        <w:rPr>
          <w:rFonts w:eastAsiaTheme="minorEastAsia"/>
          <w:rtl/>
        </w:rPr>
        <w:t>15</w:t>
      </w:r>
      <w:r w:rsidRPr="00A91733">
        <w:rPr>
          <w:rFonts w:eastAsiaTheme="minorEastAsia"/>
          <w:rtl/>
        </w:rPr>
        <w:t xml:space="preserve"> أيلول/سبتمبر </w:t>
      </w:r>
      <w:r w:rsidRPr="008257F2">
        <w:rPr>
          <w:rFonts w:eastAsiaTheme="minorEastAsia"/>
          <w:rtl/>
        </w:rPr>
        <w:t>2006</w:t>
      </w:r>
      <w:r w:rsidR="002531A3">
        <w:rPr>
          <w:rFonts w:eastAsiaTheme="minorEastAsia"/>
          <w:rtl/>
        </w:rPr>
        <w:t>،</w:t>
      </w:r>
      <w:r w:rsidRPr="00A91733">
        <w:rPr>
          <w:rFonts w:eastAsiaTheme="minorEastAsia"/>
          <w:rtl/>
        </w:rPr>
        <w:t xml:space="preserve"> أيدت دائرة القضايا الجنائية في المحكمة العليا</w:t>
      </w:r>
      <w:r w:rsidR="002531A3">
        <w:rPr>
          <w:rFonts w:eastAsiaTheme="minorEastAsia"/>
          <w:rtl/>
        </w:rPr>
        <w:t>،</w:t>
      </w:r>
      <w:r w:rsidRPr="00A91733">
        <w:rPr>
          <w:rFonts w:eastAsiaTheme="minorEastAsia"/>
          <w:rtl/>
        </w:rPr>
        <w:t xml:space="preserve"> بصفتها هيئة الاستئناف</w:t>
      </w:r>
      <w:r w:rsidR="002531A3">
        <w:rPr>
          <w:rFonts w:eastAsiaTheme="minorEastAsia"/>
          <w:rtl/>
        </w:rPr>
        <w:t>،</w:t>
      </w:r>
      <w:r w:rsidRPr="00A91733">
        <w:rPr>
          <w:rFonts w:eastAsiaTheme="minorEastAsia"/>
          <w:rtl/>
        </w:rPr>
        <w:t xml:space="preserve"> حكم محكمة ريغا الإقليمية. وقدم صاحب البلاغ شكوى بالنقض إلى مجلس الشيوخ في المحكمة العليا</w:t>
      </w:r>
      <w:r w:rsidR="002531A3">
        <w:rPr>
          <w:rFonts w:eastAsiaTheme="minorEastAsia"/>
          <w:rtl/>
        </w:rPr>
        <w:t>،</w:t>
      </w:r>
      <w:r w:rsidRPr="00A91733">
        <w:rPr>
          <w:rFonts w:eastAsiaTheme="minorEastAsia"/>
          <w:rtl/>
        </w:rPr>
        <w:t xml:space="preserve"> مدعياً أن الشرطة حرضته على ارتكاب جريمة</w:t>
      </w:r>
      <w:r w:rsidR="002531A3">
        <w:rPr>
          <w:rFonts w:eastAsiaTheme="minorEastAsia"/>
          <w:rtl/>
        </w:rPr>
        <w:t>،</w:t>
      </w:r>
      <w:r w:rsidRPr="00A91733">
        <w:rPr>
          <w:rFonts w:eastAsiaTheme="minorEastAsia"/>
          <w:rtl/>
        </w:rPr>
        <w:t xml:space="preserve"> مما يشكل انتهاكاً لقانون تدابير التحقيقات</w:t>
      </w:r>
      <w:r w:rsidR="00A91733">
        <w:rPr>
          <w:rFonts w:eastAsiaTheme="minorEastAsia" w:hint="cs"/>
          <w:rtl/>
        </w:rPr>
        <w:t> </w:t>
      </w:r>
      <w:r w:rsidRPr="00A91733">
        <w:rPr>
          <w:rFonts w:eastAsiaTheme="minorEastAsia"/>
          <w:rtl/>
        </w:rPr>
        <w:t>الخاصة.</w:t>
      </w:r>
    </w:p>
    <w:p w14:paraId="49269722" w14:textId="3D69CBA2"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8</w:t>
      </w:r>
      <w:r w:rsidRPr="00A91733">
        <w:rPr>
          <w:rFonts w:eastAsiaTheme="minorEastAsia"/>
          <w:rtl/>
        </w:rPr>
        <w:tab/>
        <w:t xml:space="preserve">وفي </w:t>
      </w:r>
      <w:r w:rsidRPr="008257F2">
        <w:rPr>
          <w:rFonts w:eastAsiaTheme="minorEastAsia"/>
          <w:rtl/>
        </w:rPr>
        <w:t>1</w:t>
      </w:r>
      <w:r w:rsidRPr="00A91733">
        <w:rPr>
          <w:rFonts w:eastAsiaTheme="minorEastAsia"/>
          <w:rtl/>
        </w:rPr>
        <w:t xml:space="preserve"> آذار/مارس </w:t>
      </w:r>
      <w:r w:rsidRPr="008257F2">
        <w:rPr>
          <w:rFonts w:eastAsiaTheme="minorEastAsia"/>
          <w:rtl/>
        </w:rPr>
        <w:t>2007</w:t>
      </w:r>
      <w:r w:rsidR="002531A3">
        <w:rPr>
          <w:rFonts w:eastAsiaTheme="minorEastAsia"/>
          <w:rtl/>
        </w:rPr>
        <w:t>،</w:t>
      </w:r>
      <w:r w:rsidRPr="00A91733">
        <w:rPr>
          <w:rFonts w:eastAsiaTheme="minorEastAsia"/>
          <w:rtl/>
        </w:rPr>
        <w:t xml:space="preserve"> طلب مجلس الشيوخ في المحكمة العليا إلى مكتب المدعي العام تقديم معلومات عن الادعاءات الواردة في شكوى النقض التي قدمها صاحب البلاغ.</w:t>
      </w:r>
    </w:p>
    <w:p w14:paraId="6880E1B8" w14:textId="3ACFD36C"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9</w:t>
      </w:r>
      <w:r w:rsidRPr="00A91733">
        <w:rPr>
          <w:rFonts w:eastAsiaTheme="minorEastAsia"/>
          <w:rtl/>
        </w:rPr>
        <w:tab/>
        <w:t xml:space="preserve">وفي </w:t>
      </w:r>
      <w:r w:rsidRPr="008257F2">
        <w:rPr>
          <w:rFonts w:eastAsiaTheme="minorEastAsia"/>
          <w:rtl/>
        </w:rPr>
        <w:t>13</w:t>
      </w:r>
      <w:r w:rsidRPr="00A91733">
        <w:rPr>
          <w:rFonts w:eastAsiaTheme="minorEastAsia"/>
          <w:rtl/>
        </w:rPr>
        <w:t xml:space="preserve"> آذار/مارس </w:t>
      </w:r>
      <w:r w:rsidRPr="008257F2">
        <w:rPr>
          <w:rFonts w:eastAsiaTheme="minorEastAsia"/>
          <w:rtl/>
        </w:rPr>
        <w:t>2007</w:t>
      </w:r>
      <w:r w:rsidR="002531A3">
        <w:rPr>
          <w:rFonts w:eastAsiaTheme="minorEastAsia"/>
          <w:rtl/>
        </w:rPr>
        <w:t>،</w:t>
      </w:r>
      <w:r w:rsidRPr="00A91733">
        <w:rPr>
          <w:rFonts w:eastAsiaTheme="minorEastAsia"/>
          <w:rtl/>
        </w:rPr>
        <w:t xml:space="preserve"> أبلغ مكتب المدعي العام مجلس الشيوخ في المحكمة العليا بأنشطة التحقيقات الخاصة ضد صاحب البلاغ وأكد أن أعمال ضابط الشرطة السري</w:t>
      </w:r>
      <w:r w:rsidR="002531A3">
        <w:rPr>
          <w:rFonts w:eastAsiaTheme="minorEastAsia"/>
          <w:rtl/>
        </w:rPr>
        <w:t>،</w:t>
      </w:r>
      <w:r w:rsidRPr="00A91733">
        <w:rPr>
          <w:rFonts w:eastAsiaTheme="minorEastAsia"/>
          <w:rtl/>
        </w:rPr>
        <w:t xml:space="preserve"> إ. لم تشكل تحريضاً على ارتكاب جريمة؛ بل إن ضباط الشرطة اعترضوا وأحبطوا أنشطة إجرامية كانت جارية بالفعل.</w:t>
      </w:r>
    </w:p>
    <w:p w14:paraId="33603F0A" w14:textId="46E66A04"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10</w:t>
      </w:r>
      <w:r w:rsidRPr="00A91733">
        <w:rPr>
          <w:rFonts w:eastAsiaTheme="minorEastAsia"/>
          <w:rtl/>
        </w:rPr>
        <w:tab/>
        <w:t xml:space="preserve">وفي </w:t>
      </w:r>
      <w:r w:rsidRPr="008257F2">
        <w:rPr>
          <w:rFonts w:eastAsiaTheme="minorEastAsia"/>
          <w:rtl/>
        </w:rPr>
        <w:t>19</w:t>
      </w:r>
      <w:r w:rsidRPr="00A91733">
        <w:rPr>
          <w:rFonts w:eastAsiaTheme="minorEastAsia"/>
          <w:rtl/>
        </w:rPr>
        <w:t xml:space="preserve"> آذار/مارس </w:t>
      </w:r>
      <w:r w:rsidRPr="008257F2">
        <w:rPr>
          <w:rFonts w:eastAsiaTheme="minorEastAsia"/>
          <w:rtl/>
        </w:rPr>
        <w:t>2007</w:t>
      </w:r>
      <w:r w:rsidR="002531A3">
        <w:rPr>
          <w:rFonts w:eastAsiaTheme="minorEastAsia"/>
          <w:rtl/>
        </w:rPr>
        <w:t>،</w:t>
      </w:r>
      <w:r w:rsidRPr="00A91733">
        <w:rPr>
          <w:rFonts w:eastAsiaTheme="minorEastAsia"/>
          <w:rtl/>
        </w:rPr>
        <w:t xml:space="preserve"> رفض مجلس الشيوخ في المحكمة العليا شكوى النقض التي قدمها صاحب البلاغ</w:t>
      </w:r>
      <w:r w:rsidR="002531A3">
        <w:rPr>
          <w:rFonts w:eastAsiaTheme="minorEastAsia"/>
          <w:rtl/>
        </w:rPr>
        <w:t>،</w:t>
      </w:r>
      <w:r w:rsidRPr="00A91733">
        <w:rPr>
          <w:rFonts w:eastAsiaTheme="minorEastAsia"/>
          <w:rtl/>
        </w:rPr>
        <w:t xml:space="preserve"> مشيراً إلى أن صاحب البلاغ لم يتعرض للتحريض من الشرطة لأن السلطات كانت تملك معلومات تدل على أن صاحب البلاغ متورط في سلسلة غير مشروعة للإمداد بالمخدرات.</w:t>
      </w:r>
    </w:p>
    <w:p w14:paraId="0E5F2B64" w14:textId="4D6B7692" w:rsidR="00517810" w:rsidRPr="00E40F37" w:rsidRDefault="00517810" w:rsidP="00A91733">
      <w:pPr>
        <w:pStyle w:val="SingleTxtGA"/>
        <w:rPr>
          <w:rFonts w:eastAsiaTheme="minorEastAsia"/>
          <w:lang w:val="en-US" w:eastAsia="zh-TW" w:bidi="en-GB"/>
        </w:rPr>
      </w:pPr>
      <w:r w:rsidRPr="008257F2">
        <w:rPr>
          <w:rFonts w:eastAsiaTheme="minorEastAsia"/>
          <w:rtl/>
        </w:rPr>
        <w:t>4</w:t>
      </w:r>
      <w:r w:rsidRPr="00A91733">
        <w:rPr>
          <w:rFonts w:eastAsiaTheme="minorEastAsia"/>
          <w:rtl/>
        </w:rPr>
        <w:t>-</w:t>
      </w:r>
      <w:r w:rsidRPr="008257F2">
        <w:rPr>
          <w:rFonts w:eastAsiaTheme="minorEastAsia"/>
          <w:rtl/>
        </w:rPr>
        <w:t>11</w:t>
      </w:r>
      <w:r w:rsidRPr="00A91733">
        <w:rPr>
          <w:rFonts w:eastAsiaTheme="minorEastAsia"/>
          <w:rtl/>
        </w:rPr>
        <w:tab/>
        <w:t xml:space="preserve">وفي </w:t>
      </w:r>
      <w:r w:rsidRPr="008257F2">
        <w:rPr>
          <w:rFonts w:eastAsiaTheme="minorEastAsia"/>
          <w:rtl/>
        </w:rPr>
        <w:t>12</w:t>
      </w:r>
      <w:r w:rsidRPr="00A91733">
        <w:rPr>
          <w:rFonts w:eastAsiaTheme="minorEastAsia"/>
          <w:rtl/>
        </w:rPr>
        <w:t xml:space="preserve"> حزيران/يونيه </w:t>
      </w:r>
      <w:r w:rsidRPr="008257F2">
        <w:rPr>
          <w:rFonts w:eastAsiaTheme="minorEastAsia"/>
          <w:rtl/>
        </w:rPr>
        <w:t>2007</w:t>
      </w:r>
      <w:r w:rsidR="002531A3">
        <w:rPr>
          <w:rFonts w:eastAsiaTheme="minorEastAsia"/>
          <w:rtl/>
        </w:rPr>
        <w:t>،</w:t>
      </w:r>
      <w:r w:rsidRPr="00A91733">
        <w:rPr>
          <w:rFonts w:eastAsiaTheme="minorEastAsia"/>
          <w:rtl/>
        </w:rPr>
        <w:t xml:space="preserve"> قدم صاحب البلاغ طلباً إلى المحكمة الأوروبية لحقوق الإنسان يشكو فيه من تعرضه للتحريض من الشرطة وعدم الاستفادة من محاكمة عادلة للبت في التهم الجنائية الموجهة إليه.</w:t>
      </w:r>
    </w:p>
    <w:p w14:paraId="74105D1D" w14:textId="73F880D0"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12</w:t>
      </w:r>
      <w:r w:rsidRPr="00A91733">
        <w:rPr>
          <w:rFonts w:eastAsiaTheme="minorEastAsia"/>
          <w:rtl/>
        </w:rPr>
        <w:tab/>
        <w:t xml:space="preserve">وفي </w:t>
      </w:r>
      <w:r w:rsidRPr="008257F2">
        <w:rPr>
          <w:rFonts w:eastAsiaTheme="minorEastAsia"/>
          <w:rtl/>
        </w:rPr>
        <w:t>8</w:t>
      </w:r>
      <w:r w:rsidRPr="00A91733">
        <w:rPr>
          <w:rFonts w:eastAsiaTheme="minorEastAsia"/>
          <w:rtl/>
        </w:rPr>
        <w:t xml:space="preserve"> كانون الثاني/يناير </w:t>
      </w:r>
      <w:r w:rsidRPr="008257F2">
        <w:rPr>
          <w:rFonts w:eastAsiaTheme="minorEastAsia"/>
          <w:rtl/>
        </w:rPr>
        <w:t>2013</w:t>
      </w:r>
      <w:r w:rsidR="002531A3">
        <w:rPr>
          <w:rFonts w:eastAsiaTheme="minorEastAsia"/>
          <w:rtl/>
        </w:rPr>
        <w:t>،</w:t>
      </w:r>
      <w:r w:rsidRPr="00A91733">
        <w:rPr>
          <w:rFonts w:eastAsiaTheme="minorEastAsia"/>
          <w:rtl/>
        </w:rPr>
        <w:t xml:space="preserve"> خلصت المحكمة الأوروبية لحقوق الإنسان إلى وجود انتهاك للمادة </w:t>
      </w:r>
      <w:r w:rsidRPr="008257F2">
        <w:rPr>
          <w:rFonts w:eastAsiaTheme="minorEastAsia"/>
          <w:rtl/>
        </w:rPr>
        <w:t>6</w:t>
      </w:r>
      <w:r w:rsidRPr="00A91733">
        <w:rPr>
          <w:rFonts w:eastAsiaTheme="minorEastAsia"/>
          <w:rtl/>
        </w:rPr>
        <w:t>(</w:t>
      </w:r>
      <w:r w:rsidRPr="008257F2">
        <w:rPr>
          <w:rFonts w:eastAsiaTheme="minorEastAsia"/>
          <w:rtl/>
        </w:rPr>
        <w:t>1</w:t>
      </w:r>
      <w:r w:rsidRPr="00A91733">
        <w:rPr>
          <w:rFonts w:eastAsiaTheme="minorEastAsia"/>
          <w:rtl/>
        </w:rPr>
        <w:t>) من الاتفاقية الأوروبية لحقوق الإنسان. ومع ذلك</w:t>
      </w:r>
      <w:r w:rsidR="002531A3">
        <w:rPr>
          <w:rFonts w:eastAsiaTheme="minorEastAsia"/>
          <w:rtl/>
        </w:rPr>
        <w:t>،</w:t>
      </w:r>
      <w:r w:rsidRPr="00A91733">
        <w:rPr>
          <w:rFonts w:eastAsiaTheme="minorEastAsia"/>
          <w:rtl/>
        </w:rPr>
        <w:t xml:space="preserve"> فخلافاً لادعاءات صاحب البلاغ التي أثيرت في البلاغ المعروض على اللجنة</w:t>
      </w:r>
      <w:r w:rsidR="002531A3">
        <w:rPr>
          <w:rFonts w:eastAsiaTheme="minorEastAsia"/>
          <w:rtl/>
        </w:rPr>
        <w:t>،</w:t>
      </w:r>
      <w:r w:rsidRPr="00A91733">
        <w:rPr>
          <w:rFonts w:eastAsiaTheme="minorEastAsia"/>
          <w:rtl/>
        </w:rPr>
        <w:t xml:space="preserve"> لم تجد المحكمة أن صاحب البلاغ قد تعرض للتحريض من</w:t>
      </w:r>
      <w:r w:rsidR="00EA7571">
        <w:rPr>
          <w:rFonts w:eastAsiaTheme="minorEastAsia" w:hint="cs"/>
          <w:rtl/>
        </w:rPr>
        <w:t> </w:t>
      </w:r>
      <w:r w:rsidRPr="00A91733">
        <w:rPr>
          <w:rFonts w:eastAsiaTheme="minorEastAsia"/>
          <w:rtl/>
        </w:rPr>
        <w:t>الشرطة. وبدلاً من ذلك</w:t>
      </w:r>
      <w:r w:rsidR="002531A3">
        <w:rPr>
          <w:rFonts w:eastAsiaTheme="minorEastAsia"/>
          <w:rtl/>
        </w:rPr>
        <w:t>،</w:t>
      </w:r>
      <w:r w:rsidRPr="00A91733">
        <w:rPr>
          <w:rFonts w:eastAsiaTheme="minorEastAsia"/>
          <w:rtl/>
        </w:rPr>
        <w:t xml:space="preserve"> رأت أن المحاكم المحلية لم تنظر</w:t>
      </w:r>
      <w:r w:rsidR="002531A3">
        <w:rPr>
          <w:rFonts w:eastAsiaTheme="minorEastAsia"/>
          <w:rtl/>
        </w:rPr>
        <w:t>،</w:t>
      </w:r>
      <w:r w:rsidRPr="00A91733">
        <w:rPr>
          <w:rFonts w:eastAsiaTheme="minorEastAsia"/>
          <w:rtl/>
        </w:rPr>
        <w:t xml:space="preserve"> أثناء سير الدعوى الجنائية ضد صاحب البلاغ</w:t>
      </w:r>
      <w:r w:rsidR="002531A3">
        <w:rPr>
          <w:rFonts w:eastAsiaTheme="minorEastAsia"/>
          <w:rtl/>
        </w:rPr>
        <w:t>،</w:t>
      </w:r>
      <w:r w:rsidRPr="00A91733">
        <w:rPr>
          <w:rFonts w:eastAsiaTheme="minorEastAsia"/>
          <w:rtl/>
        </w:rPr>
        <w:t xml:space="preserve"> في القرارات ذات الصلة التي تأذن باتخاذ تدابير التحقيقات الخاصة ضد صاحب البلاغ</w:t>
      </w:r>
      <w:r w:rsidR="002531A3">
        <w:rPr>
          <w:rFonts w:eastAsiaTheme="minorEastAsia"/>
          <w:rtl/>
        </w:rPr>
        <w:t>،</w:t>
      </w:r>
      <w:r w:rsidRPr="00A91733">
        <w:rPr>
          <w:rFonts w:eastAsiaTheme="minorEastAsia"/>
          <w:rtl/>
        </w:rPr>
        <w:t xml:space="preserve"> ومن</w:t>
      </w:r>
      <w:r w:rsidR="00EA7571">
        <w:rPr>
          <w:rFonts w:eastAsiaTheme="minorEastAsia" w:hint="cs"/>
          <w:rtl/>
        </w:rPr>
        <w:t> </w:t>
      </w:r>
      <w:r w:rsidRPr="00A91733">
        <w:rPr>
          <w:rFonts w:eastAsiaTheme="minorEastAsia"/>
          <w:rtl/>
        </w:rPr>
        <w:t>ثم</w:t>
      </w:r>
      <w:r w:rsidR="00EA7571">
        <w:rPr>
          <w:rFonts w:eastAsiaTheme="minorEastAsia" w:hint="cs"/>
          <w:rtl/>
        </w:rPr>
        <w:t> </w:t>
      </w:r>
      <w:r w:rsidRPr="00A91733">
        <w:rPr>
          <w:rFonts w:eastAsiaTheme="minorEastAsia"/>
          <w:rtl/>
        </w:rPr>
        <w:t>لم تعالج على النحو الواجب شكواه المتعلقة بالتحريض. ورأت المحكمة أيضاً أن أنسب شكل من</w:t>
      </w:r>
      <w:r w:rsidR="00EA7571">
        <w:rPr>
          <w:rFonts w:eastAsiaTheme="minorEastAsia" w:hint="cs"/>
          <w:rtl/>
        </w:rPr>
        <w:t> </w:t>
      </w:r>
      <w:r w:rsidRPr="00A91733">
        <w:rPr>
          <w:rFonts w:eastAsiaTheme="minorEastAsia"/>
          <w:rtl/>
        </w:rPr>
        <w:t>أشكال الانتصاف هو إعادة المحاكمة في الدعوى الجنائية</w:t>
      </w:r>
      <w:r w:rsidR="002531A3">
        <w:rPr>
          <w:rFonts w:eastAsiaTheme="minorEastAsia"/>
          <w:rtl/>
        </w:rPr>
        <w:t>،</w:t>
      </w:r>
      <w:r w:rsidRPr="00A91733">
        <w:rPr>
          <w:rFonts w:eastAsiaTheme="minorEastAsia"/>
          <w:rtl/>
        </w:rPr>
        <w:t xml:space="preserve"> إذا طلب صاحب البلاغ ذلك. وأصبح حكم المحكمة نهائياً في </w:t>
      </w:r>
      <w:r w:rsidRPr="008257F2">
        <w:rPr>
          <w:rFonts w:eastAsiaTheme="minorEastAsia"/>
          <w:rtl/>
        </w:rPr>
        <w:t>8</w:t>
      </w:r>
      <w:r w:rsidRPr="00A91733">
        <w:rPr>
          <w:rFonts w:eastAsiaTheme="minorEastAsia"/>
          <w:rtl/>
        </w:rPr>
        <w:t xml:space="preserve"> نيسان/أبريل </w:t>
      </w:r>
      <w:r w:rsidRPr="008257F2">
        <w:rPr>
          <w:rFonts w:eastAsiaTheme="minorEastAsia"/>
          <w:rtl/>
        </w:rPr>
        <w:t>2013</w:t>
      </w:r>
      <w:r w:rsidRPr="00A91733">
        <w:rPr>
          <w:rFonts w:eastAsiaTheme="minorEastAsia"/>
          <w:rtl/>
        </w:rPr>
        <w:t>.</w:t>
      </w:r>
    </w:p>
    <w:p w14:paraId="32D10DCF" w14:textId="06B0AC65"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13</w:t>
      </w:r>
      <w:r w:rsidRPr="00A91733">
        <w:rPr>
          <w:rFonts w:eastAsiaTheme="minorEastAsia"/>
          <w:rtl/>
        </w:rPr>
        <w:tab/>
        <w:t xml:space="preserve">وفي </w:t>
      </w:r>
      <w:r w:rsidRPr="008257F2">
        <w:rPr>
          <w:rFonts w:eastAsiaTheme="minorEastAsia"/>
          <w:rtl/>
        </w:rPr>
        <w:t>26</w:t>
      </w:r>
      <w:r w:rsidRPr="00A91733">
        <w:rPr>
          <w:rFonts w:eastAsiaTheme="minorEastAsia"/>
          <w:rtl/>
        </w:rPr>
        <w:t xml:space="preserve"> أيلول/سبتمبر </w:t>
      </w:r>
      <w:r w:rsidRPr="008257F2">
        <w:rPr>
          <w:rFonts w:eastAsiaTheme="minorEastAsia"/>
          <w:rtl/>
        </w:rPr>
        <w:t>2014</w:t>
      </w:r>
      <w:r w:rsidR="002531A3">
        <w:rPr>
          <w:rFonts w:eastAsiaTheme="minorEastAsia"/>
          <w:rtl/>
        </w:rPr>
        <w:t>،</w:t>
      </w:r>
      <w:r w:rsidRPr="00A91733">
        <w:rPr>
          <w:rFonts w:eastAsiaTheme="minorEastAsia"/>
          <w:rtl/>
        </w:rPr>
        <w:t xml:space="preserve"> فصلت دائرة القضايا الجنائية في المحكمة العليا من جديد في الأسس الموضوعية للدعوى الجنائية. وفي ضوء استنتاجات المحكمة الأوروبية لحقوق الإنسان</w:t>
      </w:r>
      <w:r w:rsidR="002531A3">
        <w:rPr>
          <w:rFonts w:eastAsiaTheme="minorEastAsia"/>
          <w:rtl/>
        </w:rPr>
        <w:t>،</w:t>
      </w:r>
      <w:r w:rsidRPr="00A91733">
        <w:rPr>
          <w:rFonts w:eastAsiaTheme="minorEastAsia"/>
          <w:rtl/>
        </w:rPr>
        <w:t xml:space="preserve"> تناولت </w:t>
      </w:r>
      <w:r w:rsidRPr="00ED75F6">
        <w:rPr>
          <w:rFonts w:eastAsiaTheme="minorEastAsia"/>
          <w:spacing w:val="-2"/>
          <w:rtl/>
        </w:rPr>
        <w:t>الدائرة على وجه الخصوص شكوى صاحب البلاغ المتعلقة بالتحريض المزعوم على ارتكاب جريمة. وتلقت</w:t>
      </w:r>
      <w:r w:rsidRPr="00A91733">
        <w:rPr>
          <w:rFonts w:eastAsiaTheme="minorEastAsia"/>
          <w:rtl/>
        </w:rPr>
        <w:t xml:space="preserve"> المحكمة المحلية من سلطات إنفاذ القانون ملفي التحقيقات الخاصة رقم </w:t>
      </w:r>
      <w:r w:rsidRPr="008257F2">
        <w:rPr>
          <w:rFonts w:eastAsiaTheme="minorEastAsia"/>
          <w:rtl/>
        </w:rPr>
        <w:t>7004204</w:t>
      </w:r>
      <w:r w:rsidRPr="00A91733">
        <w:rPr>
          <w:rFonts w:eastAsiaTheme="minorEastAsia"/>
          <w:rtl/>
        </w:rPr>
        <w:t xml:space="preserve"> ورقم</w:t>
      </w:r>
      <w:r w:rsidR="00ED75F6">
        <w:rPr>
          <w:rFonts w:eastAsiaTheme="minorEastAsia" w:hint="cs"/>
          <w:rtl/>
        </w:rPr>
        <w:t xml:space="preserve"> </w:t>
      </w:r>
      <w:r w:rsidRPr="008257F2">
        <w:rPr>
          <w:rFonts w:eastAsiaTheme="minorEastAsia"/>
          <w:rtl/>
        </w:rPr>
        <w:t>7019304</w:t>
      </w:r>
      <w:r w:rsidRPr="00A91733">
        <w:rPr>
          <w:rFonts w:eastAsiaTheme="minorEastAsia"/>
          <w:rtl/>
        </w:rPr>
        <w:t xml:space="preserve"> المتعلقين بعملية الشرطة الخاصة "</w:t>
      </w:r>
      <w:r w:rsidRPr="00A91733">
        <w:rPr>
          <w:rFonts w:eastAsiaTheme="minorEastAsia"/>
        </w:rPr>
        <w:t>Rebus</w:t>
      </w:r>
      <w:r w:rsidRPr="00A91733">
        <w:rPr>
          <w:rFonts w:eastAsiaTheme="minorEastAsia"/>
          <w:rtl/>
        </w:rPr>
        <w:t>" وبحثت المعلومات السرية الواردة فيهما.</w:t>
      </w:r>
    </w:p>
    <w:p w14:paraId="190B83CF" w14:textId="28EC7F39"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14</w:t>
      </w:r>
      <w:r w:rsidRPr="00A91733">
        <w:rPr>
          <w:rFonts w:eastAsiaTheme="minorEastAsia"/>
          <w:rtl/>
        </w:rPr>
        <w:tab/>
        <w:t>وتلاحظ الدولة الطرف أنه بالنظر إلى استمرار سرية المعلومات المتلقاة بشأن تدابير التحقيقات الخاصة</w:t>
      </w:r>
      <w:r w:rsidR="002531A3">
        <w:rPr>
          <w:rFonts w:eastAsiaTheme="minorEastAsia"/>
          <w:rtl/>
        </w:rPr>
        <w:t>،</w:t>
      </w:r>
      <w:r w:rsidRPr="00A91733">
        <w:rPr>
          <w:rFonts w:eastAsiaTheme="minorEastAsia"/>
          <w:rtl/>
        </w:rPr>
        <w:t xml:space="preserve"> فإن دائرة القضايا الجنائية في المحكمة العليا لم تشر مباشرة إلى الاستنتاجات الواردة في ملفي القضية السريين. وبدلاً من ذلك</w:t>
      </w:r>
      <w:r w:rsidR="002531A3">
        <w:rPr>
          <w:rFonts w:eastAsiaTheme="minorEastAsia"/>
          <w:rtl/>
        </w:rPr>
        <w:t>،</w:t>
      </w:r>
      <w:r w:rsidRPr="00A91733">
        <w:rPr>
          <w:rFonts w:eastAsiaTheme="minorEastAsia"/>
          <w:rtl/>
        </w:rPr>
        <w:t xml:space="preserve"> فإن الدائرة بدأت</w:t>
      </w:r>
      <w:r w:rsidR="002531A3">
        <w:rPr>
          <w:rFonts w:eastAsiaTheme="minorEastAsia"/>
          <w:rtl/>
        </w:rPr>
        <w:t>،</w:t>
      </w:r>
      <w:r w:rsidRPr="00A91733">
        <w:rPr>
          <w:rFonts w:eastAsiaTheme="minorEastAsia"/>
          <w:rtl/>
        </w:rPr>
        <w:t xml:space="preserve"> بعد أن اطلعت على ملفي القضية السريين</w:t>
      </w:r>
      <w:r w:rsidR="002531A3">
        <w:rPr>
          <w:rFonts w:eastAsiaTheme="minorEastAsia"/>
          <w:rtl/>
        </w:rPr>
        <w:t>،</w:t>
      </w:r>
      <w:r w:rsidRPr="00A91733">
        <w:rPr>
          <w:rFonts w:eastAsiaTheme="minorEastAsia"/>
          <w:rtl/>
        </w:rPr>
        <w:t xml:space="preserve"> برفض ادعاءات صاحب البلاغ المتعلقة بمشروعية تدابير التحقيقات الخاصة المتخذة ضده. وتأكدت المحكمة المحلية</w:t>
      </w:r>
      <w:r w:rsidR="002531A3">
        <w:rPr>
          <w:rFonts w:eastAsiaTheme="minorEastAsia"/>
          <w:rtl/>
        </w:rPr>
        <w:t>،</w:t>
      </w:r>
      <w:r w:rsidRPr="00A91733">
        <w:rPr>
          <w:rFonts w:eastAsiaTheme="minorEastAsia"/>
          <w:rtl/>
        </w:rPr>
        <w:t xml:space="preserve"> على وجه الخصوص</w:t>
      </w:r>
      <w:r w:rsidR="002531A3">
        <w:rPr>
          <w:rFonts w:eastAsiaTheme="minorEastAsia"/>
          <w:rtl/>
        </w:rPr>
        <w:t>،</w:t>
      </w:r>
      <w:r w:rsidRPr="00A91733">
        <w:rPr>
          <w:rFonts w:eastAsiaTheme="minorEastAsia"/>
          <w:rtl/>
        </w:rPr>
        <w:t xml:space="preserve"> من أن جميع التدابير المتنازع عليها</w:t>
      </w:r>
      <w:r w:rsidR="002531A3">
        <w:rPr>
          <w:rFonts w:eastAsiaTheme="minorEastAsia"/>
          <w:rtl/>
        </w:rPr>
        <w:t>،</w:t>
      </w:r>
      <w:r w:rsidRPr="00A91733">
        <w:rPr>
          <w:rFonts w:eastAsiaTheme="minorEastAsia"/>
          <w:rtl/>
        </w:rPr>
        <w:t xml:space="preserve"> بما في ذلك التحقيقات الميدانية الخاصة</w:t>
      </w:r>
      <w:r w:rsidR="002531A3">
        <w:rPr>
          <w:rFonts w:eastAsiaTheme="minorEastAsia"/>
          <w:rtl/>
        </w:rPr>
        <w:t>،</w:t>
      </w:r>
      <w:r w:rsidRPr="00A91733">
        <w:rPr>
          <w:rFonts w:eastAsiaTheme="minorEastAsia"/>
          <w:rtl/>
        </w:rPr>
        <w:t xml:space="preserve"> قد اتُّخذت بإذن من النائب العام المختص في مكتب المدعي العام عملاً بالأحكام ذات الصلة من قانون تدابير التحقيقات الخاصة. وتأكدت المحكمة المحلية</w:t>
      </w:r>
      <w:r w:rsidR="002531A3">
        <w:rPr>
          <w:rFonts w:eastAsiaTheme="minorEastAsia"/>
          <w:rtl/>
        </w:rPr>
        <w:t>،</w:t>
      </w:r>
      <w:r w:rsidRPr="00A91733">
        <w:rPr>
          <w:rFonts w:eastAsiaTheme="minorEastAsia"/>
          <w:rtl/>
        </w:rPr>
        <w:t xml:space="preserve"> بصفة خاصة</w:t>
      </w:r>
      <w:r w:rsidR="002531A3">
        <w:rPr>
          <w:rFonts w:eastAsiaTheme="minorEastAsia"/>
          <w:rtl/>
        </w:rPr>
        <w:t>،</w:t>
      </w:r>
      <w:r w:rsidRPr="00A91733">
        <w:rPr>
          <w:rFonts w:eastAsiaTheme="minorEastAsia"/>
          <w:rtl/>
        </w:rPr>
        <w:t xml:space="preserve"> من أن المعلومات الأولية الموجودة لدى شرطة الدولة تكفي وتزيد لتبرير مباشرة إجراءات التحقيقات الخاصة ضد صاحب البلاغ.</w:t>
      </w:r>
    </w:p>
    <w:p w14:paraId="69CC6C38" w14:textId="1448BD5E" w:rsidR="00517810" w:rsidRPr="00A91733" w:rsidRDefault="00517810" w:rsidP="00A91733">
      <w:pPr>
        <w:pStyle w:val="SingleTxtGA"/>
        <w:rPr>
          <w:rFonts w:eastAsiaTheme="minorEastAsia"/>
          <w:lang w:val="ar-SA" w:eastAsia="zh-TW" w:bidi="en-GB"/>
        </w:rPr>
      </w:pPr>
      <w:r w:rsidRPr="008257F2">
        <w:rPr>
          <w:rFonts w:eastAsiaTheme="minorEastAsia"/>
          <w:rtl/>
        </w:rPr>
        <w:lastRenderedPageBreak/>
        <w:t>4</w:t>
      </w:r>
      <w:r w:rsidRPr="00A91733">
        <w:rPr>
          <w:rFonts w:eastAsiaTheme="minorEastAsia"/>
          <w:rtl/>
        </w:rPr>
        <w:t>-</w:t>
      </w:r>
      <w:r w:rsidRPr="008257F2">
        <w:rPr>
          <w:rFonts w:eastAsiaTheme="minorEastAsia"/>
          <w:rtl/>
        </w:rPr>
        <w:t>15</w:t>
      </w:r>
      <w:r w:rsidRPr="00A91733">
        <w:rPr>
          <w:rFonts w:eastAsiaTheme="minorEastAsia"/>
          <w:rtl/>
        </w:rPr>
        <w:tab/>
        <w:t>وتلاحظ الدولة الطرف أيضاً أن المحكمة المحلية شرعت بعد ذلك في تحليل الأدلة المقدمة ضد صاحب البلاغ. وحللت شهادات الشهود</w:t>
      </w:r>
      <w:r w:rsidR="002531A3">
        <w:rPr>
          <w:rFonts w:eastAsiaTheme="minorEastAsia"/>
          <w:rtl/>
        </w:rPr>
        <w:t>،</w:t>
      </w:r>
      <w:r w:rsidRPr="00A91733">
        <w:rPr>
          <w:rFonts w:eastAsiaTheme="minorEastAsia"/>
          <w:rtl/>
        </w:rPr>
        <w:t xml:space="preserve"> بطرق منها بحثها في إطار التحقيقات الميدانية الخاصة التي أذن بها مكتب المدعي العام</w:t>
      </w:r>
      <w:r w:rsidR="002531A3">
        <w:rPr>
          <w:rFonts w:eastAsiaTheme="minorEastAsia"/>
          <w:rtl/>
        </w:rPr>
        <w:t>،</w:t>
      </w:r>
      <w:r w:rsidRPr="00A91733">
        <w:rPr>
          <w:rFonts w:eastAsiaTheme="minorEastAsia"/>
          <w:rtl/>
        </w:rPr>
        <w:t xml:space="preserve"> ووضع القواعد والحدود الصارمة للأعمال التي يسمح بها الضباط السريون. ولم تجد المحكمة المحلية أي خروج عن الإطار المأذون به</w:t>
      </w:r>
      <w:r w:rsidR="002531A3">
        <w:rPr>
          <w:rFonts w:eastAsiaTheme="minorEastAsia"/>
          <w:rtl/>
        </w:rPr>
        <w:t>،</w:t>
      </w:r>
      <w:r w:rsidRPr="00A91733">
        <w:rPr>
          <w:rFonts w:eastAsiaTheme="minorEastAsia"/>
          <w:rtl/>
        </w:rPr>
        <w:t xml:space="preserve"> لأن الضباط السريين تصرفوا ضمن حدود قانون تدابير التحقيقات الخاصة تماماً. وبناءً على ذلك</w:t>
      </w:r>
      <w:r w:rsidR="002531A3">
        <w:rPr>
          <w:rFonts w:eastAsiaTheme="minorEastAsia"/>
          <w:rtl/>
        </w:rPr>
        <w:t>،</w:t>
      </w:r>
      <w:r w:rsidRPr="00A91733">
        <w:rPr>
          <w:rFonts w:eastAsiaTheme="minorEastAsia"/>
          <w:rtl/>
        </w:rPr>
        <w:t xml:space="preserve"> فقد تمكنت دائرة القضايا الجنائية في المحكمة العليا</w:t>
      </w:r>
      <w:r w:rsidR="002531A3">
        <w:rPr>
          <w:rFonts w:eastAsiaTheme="minorEastAsia"/>
          <w:rtl/>
        </w:rPr>
        <w:t>،</w:t>
      </w:r>
      <w:r w:rsidRPr="00A91733">
        <w:rPr>
          <w:rFonts w:eastAsiaTheme="minorEastAsia"/>
          <w:rtl/>
        </w:rPr>
        <w:t xml:space="preserve"> بعد أن اطلعت على مضمون ملفي القضية السريين</w:t>
      </w:r>
      <w:r w:rsidR="002531A3">
        <w:rPr>
          <w:rFonts w:eastAsiaTheme="minorEastAsia"/>
          <w:rtl/>
        </w:rPr>
        <w:t>،</w:t>
      </w:r>
      <w:r w:rsidRPr="00A91733">
        <w:rPr>
          <w:rFonts w:eastAsiaTheme="minorEastAsia"/>
          <w:rtl/>
        </w:rPr>
        <w:t xml:space="preserve"> من أن تثبت أن أعمال سلطات إنفاذ القانون لم تشكل تحريضاً. ثم مضت المحكمة المحلية في تبرئة صاحب البلاغ من تهمة واحدة وإدانته في بقية التهم الموجهة إليه.</w:t>
      </w:r>
    </w:p>
    <w:p w14:paraId="6260A03F" w14:textId="053A1F5D"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16</w:t>
      </w:r>
      <w:r w:rsidRPr="00A91733">
        <w:rPr>
          <w:rFonts w:eastAsiaTheme="minorEastAsia"/>
          <w:rtl/>
        </w:rPr>
        <w:tab/>
        <w:t>وتلاحظ الدولة الطرف كذلك أن صاحب البلاغ اشتكى أيضاً</w:t>
      </w:r>
      <w:r w:rsidR="002531A3">
        <w:rPr>
          <w:rFonts w:eastAsiaTheme="minorEastAsia"/>
          <w:rtl/>
        </w:rPr>
        <w:t>،</w:t>
      </w:r>
      <w:r w:rsidRPr="00A91733">
        <w:rPr>
          <w:rFonts w:eastAsiaTheme="minorEastAsia"/>
          <w:rtl/>
        </w:rPr>
        <w:t xml:space="preserve"> في التماسه بالنقض المقدم إلى المحكمة العليا</w:t>
      </w:r>
      <w:r w:rsidR="002531A3">
        <w:rPr>
          <w:rFonts w:eastAsiaTheme="minorEastAsia"/>
          <w:rtl/>
        </w:rPr>
        <w:t>،</w:t>
      </w:r>
      <w:r w:rsidRPr="00A91733">
        <w:rPr>
          <w:rFonts w:eastAsiaTheme="minorEastAsia"/>
          <w:rtl/>
        </w:rPr>
        <w:t xml:space="preserve"> من جملة أمور منها أنه لم يُسمح له</w:t>
      </w:r>
      <w:r w:rsidR="002531A3">
        <w:rPr>
          <w:rFonts w:eastAsiaTheme="minorEastAsia"/>
          <w:rtl/>
        </w:rPr>
        <w:t>،</w:t>
      </w:r>
      <w:r w:rsidRPr="00A91733">
        <w:rPr>
          <w:rFonts w:eastAsiaTheme="minorEastAsia"/>
          <w:rtl/>
        </w:rPr>
        <w:t xml:space="preserve"> أثناء دعوى الاستئناف</w:t>
      </w:r>
      <w:r w:rsidR="002531A3">
        <w:rPr>
          <w:rFonts w:eastAsiaTheme="minorEastAsia"/>
          <w:rtl/>
        </w:rPr>
        <w:t>،</w:t>
      </w:r>
      <w:r w:rsidRPr="00A91733">
        <w:rPr>
          <w:rFonts w:eastAsiaTheme="minorEastAsia"/>
          <w:rtl/>
        </w:rPr>
        <w:t xml:space="preserve"> بالاطلاع على ملفي القضية السريين</w:t>
      </w:r>
      <w:r w:rsidR="002531A3">
        <w:rPr>
          <w:rFonts w:eastAsiaTheme="minorEastAsia"/>
          <w:rtl/>
        </w:rPr>
        <w:t>،</w:t>
      </w:r>
      <w:r w:rsidRPr="00A91733">
        <w:rPr>
          <w:rFonts w:eastAsiaTheme="minorEastAsia"/>
          <w:rtl/>
        </w:rPr>
        <w:t xml:space="preserve"> وأن قضاة دائرة القضايا الجنائية في المحكمة العليا اطلعوا دون سواهم على محتويات الملفين.</w:t>
      </w:r>
    </w:p>
    <w:p w14:paraId="2FF06D0D" w14:textId="23A8F12B" w:rsidR="00517810" w:rsidRPr="00A91733" w:rsidRDefault="00517810" w:rsidP="00A91733">
      <w:pPr>
        <w:pStyle w:val="SingleTxtGA"/>
        <w:rPr>
          <w:rFonts w:eastAsiaTheme="minorEastAsia"/>
          <w:lang w:val="fr-CH" w:eastAsia="zh-TW" w:bidi="en-GB"/>
        </w:rPr>
      </w:pPr>
      <w:r w:rsidRPr="008257F2">
        <w:rPr>
          <w:rFonts w:eastAsiaTheme="minorEastAsia"/>
          <w:rtl/>
        </w:rPr>
        <w:t>4</w:t>
      </w:r>
      <w:r w:rsidRPr="00A91733">
        <w:rPr>
          <w:rFonts w:eastAsiaTheme="minorEastAsia"/>
          <w:rtl/>
        </w:rPr>
        <w:t>-</w:t>
      </w:r>
      <w:r w:rsidRPr="008257F2">
        <w:rPr>
          <w:rFonts w:eastAsiaTheme="minorEastAsia"/>
          <w:rtl/>
        </w:rPr>
        <w:t>17</w:t>
      </w:r>
      <w:r w:rsidRPr="00A91733">
        <w:rPr>
          <w:rFonts w:eastAsiaTheme="minorEastAsia"/>
          <w:rtl/>
        </w:rPr>
        <w:tab/>
        <w:t xml:space="preserve">وفي </w:t>
      </w:r>
      <w:r w:rsidRPr="008257F2">
        <w:rPr>
          <w:rFonts w:eastAsiaTheme="minorEastAsia"/>
          <w:rtl/>
        </w:rPr>
        <w:t>20</w:t>
      </w:r>
      <w:r w:rsidRPr="00A91733">
        <w:rPr>
          <w:rFonts w:eastAsiaTheme="minorEastAsia"/>
          <w:rtl/>
        </w:rPr>
        <w:t xml:space="preserve"> شباط/فبراير </w:t>
      </w:r>
      <w:r w:rsidRPr="008257F2">
        <w:rPr>
          <w:rFonts w:eastAsiaTheme="minorEastAsia"/>
          <w:rtl/>
        </w:rPr>
        <w:t>2015</w:t>
      </w:r>
      <w:r w:rsidR="002531A3">
        <w:rPr>
          <w:rFonts w:eastAsiaTheme="minorEastAsia"/>
          <w:rtl/>
        </w:rPr>
        <w:t>،</w:t>
      </w:r>
      <w:r w:rsidRPr="00A91733">
        <w:rPr>
          <w:rFonts w:eastAsiaTheme="minorEastAsia"/>
          <w:rtl/>
        </w:rPr>
        <w:t xml:space="preserve"> نظرت المحكمة العليا</w:t>
      </w:r>
      <w:r w:rsidR="002531A3">
        <w:rPr>
          <w:rFonts w:eastAsiaTheme="minorEastAsia"/>
          <w:rtl/>
        </w:rPr>
        <w:t>،</w:t>
      </w:r>
      <w:r w:rsidRPr="00A91733">
        <w:rPr>
          <w:rFonts w:eastAsiaTheme="minorEastAsia"/>
          <w:rtl/>
        </w:rPr>
        <w:t xml:space="preserve"> بصفتها هيئة نقض</w:t>
      </w:r>
      <w:r w:rsidR="002531A3">
        <w:rPr>
          <w:rFonts w:eastAsiaTheme="minorEastAsia"/>
          <w:rtl/>
        </w:rPr>
        <w:t>،</w:t>
      </w:r>
      <w:r w:rsidRPr="00A91733">
        <w:rPr>
          <w:rFonts w:eastAsiaTheme="minorEastAsia"/>
          <w:rtl/>
        </w:rPr>
        <w:t xml:space="preserve"> في شكوى النقض التي قدمها صاحب البلاغ ورفضتها. وأكدت المحكمة العليا صراحة أن دائرة القضايا الجنائية في المحكمة</w:t>
      </w:r>
      <w:r w:rsidR="00ED75F6">
        <w:rPr>
          <w:rFonts w:eastAsiaTheme="minorEastAsia" w:hint="cs"/>
          <w:rtl/>
        </w:rPr>
        <w:t xml:space="preserve"> </w:t>
      </w:r>
      <w:r w:rsidRPr="00ED75F6">
        <w:rPr>
          <w:rFonts w:eastAsiaTheme="minorEastAsia"/>
          <w:spacing w:val="-2"/>
          <w:rtl/>
        </w:rPr>
        <w:t>العليا قد اطّلعت على ملفي القضية السريين المعنيين وتثبتت</w:t>
      </w:r>
      <w:r w:rsidR="002531A3" w:rsidRPr="00ED75F6">
        <w:rPr>
          <w:rFonts w:eastAsiaTheme="minorEastAsia"/>
          <w:spacing w:val="-2"/>
          <w:rtl/>
        </w:rPr>
        <w:t>،</w:t>
      </w:r>
      <w:r w:rsidRPr="00ED75F6">
        <w:rPr>
          <w:rFonts w:eastAsiaTheme="minorEastAsia"/>
          <w:spacing w:val="-2"/>
          <w:rtl/>
        </w:rPr>
        <w:t xml:space="preserve"> في حكمها المؤرخ </w:t>
      </w:r>
      <w:r w:rsidRPr="008257F2">
        <w:rPr>
          <w:rFonts w:eastAsiaTheme="minorEastAsia"/>
          <w:spacing w:val="-2"/>
          <w:rtl/>
        </w:rPr>
        <w:t>26</w:t>
      </w:r>
      <w:r w:rsidRPr="00ED75F6">
        <w:rPr>
          <w:rFonts w:eastAsiaTheme="minorEastAsia"/>
          <w:spacing w:val="-2"/>
          <w:rtl/>
        </w:rPr>
        <w:t xml:space="preserve"> أيلول/سبتمبر </w:t>
      </w:r>
      <w:r w:rsidRPr="008257F2">
        <w:rPr>
          <w:rFonts w:eastAsiaTheme="minorEastAsia"/>
          <w:spacing w:val="-2"/>
          <w:rtl/>
        </w:rPr>
        <w:t>2014</w:t>
      </w:r>
      <w:r w:rsidR="002531A3" w:rsidRPr="00ED75F6">
        <w:rPr>
          <w:rFonts w:eastAsiaTheme="minorEastAsia"/>
          <w:spacing w:val="-2"/>
          <w:rtl/>
        </w:rPr>
        <w:t>،</w:t>
      </w:r>
      <w:r w:rsidRPr="00A91733">
        <w:rPr>
          <w:rFonts w:eastAsiaTheme="minorEastAsia"/>
          <w:rtl/>
        </w:rPr>
        <w:t xml:space="preserve"> من أن التحقيقات الميدانية الخاصة المتنازع عليها قد أجريت وفقاً لإذن مسبق من الادعاء العام. وتناولت المحكمة العليا أيضاً شكوى صاحب البلاغ فيما يتعلق بالحق في الكشف عن المعلومات للدفاع</w:t>
      </w:r>
      <w:r w:rsidR="002531A3">
        <w:rPr>
          <w:rFonts w:eastAsiaTheme="minorEastAsia"/>
          <w:rtl/>
        </w:rPr>
        <w:t>،</w:t>
      </w:r>
      <w:r w:rsidRPr="00A91733">
        <w:rPr>
          <w:rFonts w:eastAsiaTheme="minorEastAsia"/>
          <w:rtl/>
        </w:rPr>
        <w:t xml:space="preserve"> وأشارت إلى السوابق القضائية ذات الصلة للمحكمة الأوروبية لحقوق الإنسان</w:t>
      </w:r>
      <w:r w:rsidR="002531A3">
        <w:rPr>
          <w:rFonts w:eastAsiaTheme="minorEastAsia"/>
          <w:rtl/>
        </w:rPr>
        <w:t>،</w:t>
      </w:r>
      <w:r w:rsidRPr="00A91733">
        <w:rPr>
          <w:rFonts w:eastAsiaTheme="minorEastAsia"/>
          <w:rtl/>
        </w:rPr>
        <w:t xml:space="preserve"> وأفادت بأن الحق في الكشف عن المعلومات للدفاع ليس حقاً مطلقاً ويجب الموازنة بينه وبين المصلحة العامة والحاجة إلى حماية أطراف ثالثة. ورأت المحكمة العليا أن قضية صاحب البلاغ تنطوي على نفس الطعن بالضبط</w:t>
      </w:r>
      <w:r w:rsidR="002531A3">
        <w:rPr>
          <w:rFonts w:eastAsiaTheme="minorEastAsia"/>
          <w:rtl/>
        </w:rPr>
        <w:t>،</w:t>
      </w:r>
      <w:r w:rsidRPr="00A91733">
        <w:rPr>
          <w:rFonts w:eastAsiaTheme="minorEastAsia"/>
          <w:rtl/>
        </w:rPr>
        <w:t xml:space="preserve"> وأن السلطة القضائية ملزمة بتقييد الحق في الكشف. ورأت المحكمة العليا أيضاً أنه على الرغم من الحاجة إلى تقييد الحق في الكشف</w:t>
      </w:r>
      <w:r w:rsidR="002531A3">
        <w:rPr>
          <w:rFonts w:eastAsiaTheme="minorEastAsia"/>
          <w:rtl/>
        </w:rPr>
        <w:t>،</w:t>
      </w:r>
      <w:r w:rsidRPr="00A91733">
        <w:rPr>
          <w:rFonts w:eastAsiaTheme="minorEastAsia"/>
          <w:rtl/>
        </w:rPr>
        <w:t xml:space="preserve"> فإن محكمة الاستئناف قد أتاحت الضمانات اللازمة</w:t>
      </w:r>
      <w:r w:rsidR="002531A3">
        <w:rPr>
          <w:rFonts w:eastAsiaTheme="minorEastAsia"/>
          <w:rtl/>
        </w:rPr>
        <w:t>،</w:t>
      </w:r>
      <w:r w:rsidRPr="00A91733">
        <w:rPr>
          <w:rFonts w:eastAsiaTheme="minorEastAsia"/>
          <w:rtl/>
        </w:rPr>
        <w:t xml:space="preserve"> لأنها اطلعت على النحو الواجب</w:t>
      </w:r>
      <w:r w:rsidR="002531A3">
        <w:rPr>
          <w:rFonts w:eastAsiaTheme="minorEastAsia"/>
          <w:rtl/>
        </w:rPr>
        <w:t>،</w:t>
      </w:r>
      <w:r w:rsidRPr="00A91733">
        <w:rPr>
          <w:rFonts w:eastAsiaTheme="minorEastAsia"/>
          <w:rtl/>
        </w:rPr>
        <w:t xml:space="preserve"> بصفتها هيئة قضائية مستقلة ومحايدة</w:t>
      </w:r>
      <w:r w:rsidR="002531A3">
        <w:rPr>
          <w:rFonts w:eastAsiaTheme="minorEastAsia"/>
          <w:rtl/>
        </w:rPr>
        <w:t>،</w:t>
      </w:r>
      <w:r w:rsidRPr="00A91733">
        <w:rPr>
          <w:rFonts w:eastAsiaTheme="minorEastAsia"/>
          <w:rtl/>
        </w:rPr>
        <w:t xml:space="preserve"> على محتويات ملفي القضية المتنازع عليهما قبل استبعاد الكشف عنها للدفاع</w:t>
      </w:r>
      <w:r w:rsidR="002531A3">
        <w:rPr>
          <w:rFonts w:eastAsiaTheme="minorEastAsia"/>
          <w:rtl/>
        </w:rPr>
        <w:t>،</w:t>
      </w:r>
      <w:r w:rsidRPr="00A91733">
        <w:rPr>
          <w:rFonts w:eastAsiaTheme="minorEastAsia"/>
          <w:rtl/>
        </w:rPr>
        <w:t xml:space="preserve"> وتمكنت بالتالي من اتخاذ قرار مستنير.</w:t>
      </w:r>
    </w:p>
    <w:p w14:paraId="35944F3C" w14:textId="353F7588" w:rsidR="00517810" w:rsidRPr="00A91733" w:rsidRDefault="00517810" w:rsidP="00A91733">
      <w:pPr>
        <w:pStyle w:val="SingleTxtGA"/>
        <w:rPr>
          <w:rFonts w:eastAsiaTheme="minorEastAsia"/>
          <w:lang w:val="fr-CH" w:eastAsia="zh-TW" w:bidi="en-GB"/>
        </w:rPr>
      </w:pPr>
      <w:r w:rsidRPr="008257F2">
        <w:rPr>
          <w:rFonts w:eastAsiaTheme="minorEastAsia"/>
          <w:rtl/>
        </w:rPr>
        <w:t>4</w:t>
      </w:r>
      <w:r w:rsidRPr="00A91733">
        <w:rPr>
          <w:rFonts w:eastAsiaTheme="minorEastAsia"/>
          <w:rtl/>
        </w:rPr>
        <w:t>-</w:t>
      </w:r>
      <w:r w:rsidRPr="008257F2">
        <w:rPr>
          <w:rFonts w:eastAsiaTheme="minorEastAsia"/>
          <w:rtl/>
        </w:rPr>
        <w:t>18</w:t>
      </w:r>
      <w:r w:rsidRPr="00A91733">
        <w:rPr>
          <w:rFonts w:eastAsiaTheme="minorEastAsia"/>
          <w:rtl/>
        </w:rPr>
        <w:tab/>
        <w:t xml:space="preserve">وفي </w:t>
      </w:r>
      <w:r w:rsidRPr="008257F2">
        <w:rPr>
          <w:rFonts w:eastAsiaTheme="minorEastAsia"/>
          <w:rtl/>
        </w:rPr>
        <w:t>6</w:t>
      </w:r>
      <w:r w:rsidRPr="00A91733">
        <w:rPr>
          <w:rFonts w:eastAsiaTheme="minorEastAsia"/>
          <w:rtl/>
        </w:rPr>
        <w:t xml:space="preserve"> أيلول/سبتمبر </w:t>
      </w:r>
      <w:r w:rsidRPr="008257F2">
        <w:rPr>
          <w:rFonts w:eastAsiaTheme="minorEastAsia"/>
          <w:rtl/>
        </w:rPr>
        <w:t>2016</w:t>
      </w:r>
      <w:r w:rsidR="002531A3">
        <w:rPr>
          <w:rFonts w:eastAsiaTheme="minorEastAsia"/>
          <w:rtl/>
        </w:rPr>
        <w:t>،</w:t>
      </w:r>
      <w:r w:rsidRPr="00A91733">
        <w:rPr>
          <w:rFonts w:eastAsiaTheme="minorEastAsia"/>
          <w:rtl/>
        </w:rPr>
        <w:t xml:space="preserve"> خلصت لجنة وزراء مجلس أوروبا إلى أن جميع التدابير اللازمة</w:t>
      </w:r>
      <w:r w:rsidR="00A91733">
        <w:rPr>
          <w:rFonts w:eastAsiaTheme="minorEastAsia" w:hint="cs"/>
          <w:rtl/>
        </w:rPr>
        <w:t> </w:t>
      </w:r>
      <w:r w:rsidRPr="00A91733">
        <w:rPr>
          <w:rFonts w:eastAsiaTheme="minorEastAsia"/>
          <w:rtl/>
        </w:rPr>
        <w:t>لتنفيذ حكم المحكمة الأوروبية لحقوق الإنسان قد نُفذت</w:t>
      </w:r>
      <w:r w:rsidR="002531A3">
        <w:rPr>
          <w:rFonts w:eastAsiaTheme="minorEastAsia"/>
          <w:rtl/>
        </w:rPr>
        <w:t>،</w:t>
      </w:r>
      <w:r w:rsidRPr="00A91733">
        <w:rPr>
          <w:rFonts w:eastAsiaTheme="minorEastAsia"/>
          <w:rtl/>
        </w:rPr>
        <w:t xml:space="preserve"> وقررت إغلاق باب النظر في قضية </w:t>
      </w:r>
      <w:r w:rsidRPr="008257F2">
        <w:rPr>
          <w:rFonts w:eastAsiaTheme="minorEastAsia"/>
          <w:i/>
          <w:iCs/>
          <w:rtl/>
        </w:rPr>
        <w:t>بالتينش ضد لاتفيا</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5"/>
      </w:r>
      <w:r w:rsidR="00A91733" w:rsidRPr="007D2254">
        <w:rPr>
          <w:rStyle w:val="FootnoteReference"/>
          <w:rFonts w:eastAsiaTheme="minorEastAsia"/>
          <w:szCs w:val="22"/>
          <w:rtl/>
        </w:rPr>
        <w:t>)</w:t>
      </w:r>
      <w:r w:rsidRPr="00A91733">
        <w:rPr>
          <w:rFonts w:eastAsiaTheme="minorEastAsia"/>
          <w:rtl/>
        </w:rPr>
        <w:t>.</w:t>
      </w:r>
    </w:p>
    <w:p w14:paraId="15B07D87" w14:textId="09C2C33E" w:rsidR="00517810" w:rsidRPr="00A91733" w:rsidRDefault="00517810" w:rsidP="00A91733">
      <w:pPr>
        <w:pStyle w:val="SingleTxtGA"/>
        <w:rPr>
          <w:rFonts w:eastAsiaTheme="minorEastAsia"/>
          <w:lang w:val="fr-CH" w:eastAsia="zh-TW" w:bidi="en-GB"/>
        </w:rPr>
      </w:pPr>
      <w:r w:rsidRPr="008257F2">
        <w:rPr>
          <w:rFonts w:eastAsiaTheme="minorEastAsia"/>
          <w:rtl/>
        </w:rPr>
        <w:t>4</w:t>
      </w:r>
      <w:r w:rsidRPr="00A91733">
        <w:rPr>
          <w:rFonts w:eastAsiaTheme="minorEastAsia"/>
          <w:rtl/>
        </w:rPr>
        <w:t>-</w:t>
      </w:r>
      <w:r w:rsidRPr="008257F2">
        <w:rPr>
          <w:rFonts w:eastAsiaTheme="minorEastAsia"/>
          <w:rtl/>
        </w:rPr>
        <w:t>19</w:t>
      </w:r>
      <w:r w:rsidRPr="00A91733">
        <w:rPr>
          <w:rFonts w:eastAsiaTheme="minorEastAsia"/>
          <w:rtl/>
        </w:rPr>
        <w:tab/>
        <w:t>وتلاحظ الدولة الطرف أن ادعاءات صاحب البلاغ المتكررة بأنه حُرض على ارتكاب جريمة هي ادعاءات تتنافى مع العهد</w:t>
      </w:r>
      <w:r w:rsidR="002531A3">
        <w:rPr>
          <w:rFonts w:eastAsiaTheme="minorEastAsia"/>
          <w:rtl/>
        </w:rPr>
        <w:t>،</w:t>
      </w:r>
      <w:r w:rsidRPr="00A91733">
        <w:rPr>
          <w:rFonts w:eastAsiaTheme="minorEastAsia"/>
          <w:rtl/>
        </w:rPr>
        <w:t xml:space="preserve"> لأن صاحب البلاغ لم يُثبت الانتهاك المزعوم للمادة </w:t>
      </w:r>
      <w:r w:rsidRPr="008257F2">
        <w:rPr>
          <w:rFonts w:eastAsiaTheme="minorEastAsia"/>
          <w:rtl/>
        </w:rPr>
        <w:t>14</w:t>
      </w:r>
      <w:r w:rsidRPr="00A91733">
        <w:rPr>
          <w:rFonts w:eastAsiaTheme="minorEastAsia"/>
          <w:rtl/>
        </w:rPr>
        <w:t>(</w:t>
      </w:r>
      <w:r w:rsidRPr="008257F2">
        <w:rPr>
          <w:rFonts w:eastAsiaTheme="minorEastAsia"/>
          <w:rtl/>
        </w:rPr>
        <w:t>1</w:t>
      </w:r>
      <w:r w:rsidRPr="00A91733">
        <w:rPr>
          <w:rFonts w:eastAsiaTheme="minorEastAsia"/>
          <w:rtl/>
        </w:rPr>
        <w:t>). وتُذكر الدولة الطرف بأن اللجنة لا يمكنها</w:t>
      </w:r>
      <w:r w:rsidR="002531A3">
        <w:rPr>
          <w:rFonts w:eastAsiaTheme="minorEastAsia"/>
          <w:rtl/>
        </w:rPr>
        <w:t>،</w:t>
      </w:r>
      <w:r w:rsidRPr="00A91733">
        <w:rPr>
          <w:rFonts w:eastAsiaTheme="minorEastAsia"/>
          <w:rtl/>
        </w:rPr>
        <w:t xml:space="preserve"> وفقاً لاجتهاداتها القضائية الراسخة</w:t>
      </w:r>
      <w:r w:rsidR="002531A3">
        <w:rPr>
          <w:rFonts w:eastAsiaTheme="minorEastAsia"/>
          <w:rtl/>
        </w:rPr>
        <w:t>،</w:t>
      </w:r>
      <w:r w:rsidRPr="00A91733">
        <w:rPr>
          <w:rFonts w:eastAsiaTheme="minorEastAsia"/>
          <w:rtl/>
        </w:rPr>
        <w:t xml:space="preserve"> أن تضطلع بدور "هيئة رابعة" تعيد تقييم استنتاجات الهيئات القضائية المحلية المختصة والمحايدة</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6"/>
      </w:r>
      <w:r w:rsidR="00A91733" w:rsidRPr="007D2254">
        <w:rPr>
          <w:rStyle w:val="FootnoteReference"/>
          <w:rFonts w:eastAsiaTheme="minorEastAsia"/>
          <w:szCs w:val="22"/>
          <w:rtl/>
        </w:rPr>
        <w:t>)</w:t>
      </w:r>
      <w:r w:rsidR="002531A3">
        <w:rPr>
          <w:rFonts w:eastAsiaTheme="minorEastAsia"/>
          <w:rtl/>
        </w:rPr>
        <w:t>،</w:t>
      </w:r>
      <w:r w:rsidRPr="00A91733">
        <w:rPr>
          <w:rFonts w:eastAsiaTheme="minorEastAsia"/>
          <w:rtl/>
        </w:rPr>
        <w:t xml:space="preserve"> وبأن محاكم الدول الأطراف في العهد هي التي تعيد النظر عموماً في الوقائع والأدلة</w:t>
      </w:r>
      <w:r w:rsidR="002531A3">
        <w:rPr>
          <w:rFonts w:eastAsiaTheme="minorEastAsia"/>
          <w:rtl/>
        </w:rPr>
        <w:t>،</w:t>
      </w:r>
      <w:r w:rsidRPr="00A91733">
        <w:rPr>
          <w:rFonts w:eastAsiaTheme="minorEastAsia"/>
          <w:rtl/>
        </w:rPr>
        <w:t xml:space="preserve"> أو في تطبيق التشريعات المحلية</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7"/>
      </w:r>
      <w:r w:rsidR="00A91733" w:rsidRPr="007D2254">
        <w:rPr>
          <w:rStyle w:val="FootnoteReference"/>
          <w:rFonts w:eastAsiaTheme="minorEastAsia"/>
          <w:szCs w:val="22"/>
          <w:rtl/>
        </w:rPr>
        <w:t>)</w:t>
      </w:r>
      <w:r w:rsidRPr="00A91733">
        <w:rPr>
          <w:rFonts w:eastAsiaTheme="minorEastAsia"/>
          <w:rtl/>
        </w:rPr>
        <w:t>. وفي هذا السياق</w:t>
      </w:r>
      <w:r w:rsidR="002531A3">
        <w:rPr>
          <w:rFonts w:eastAsiaTheme="minorEastAsia"/>
          <w:rtl/>
        </w:rPr>
        <w:t>،</w:t>
      </w:r>
      <w:r w:rsidRPr="00A91733">
        <w:rPr>
          <w:rFonts w:eastAsiaTheme="minorEastAsia"/>
          <w:rtl/>
        </w:rPr>
        <w:t xml:space="preserve"> تؤكد الدولة الطرف أنه لا ينطبق على قضية صاحب البلاغ استثناء التعسف ولا الحرمان من العدالة.</w:t>
      </w:r>
    </w:p>
    <w:p w14:paraId="2ECC5785" w14:textId="76C6E48F"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20</w:t>
      </w:r>
      <w:r w:rsidRPr="00A91733">
        <w:rPr>
          <w:rFonts w:eastAsiaTheme="minorEastAsia"/>
          <w:rtl/>
        </w:rPr>
        <w:tab/>
        <w:t>وتشير الدولة الطرف إلى أقوال صاحب البلاغ التي تفيد بأن الشرطي السري لم يعترض نشاطاً إجرامياً جارياً بل بدأه بنفسه بإرسال رسائل نصية وعقد لقاء يُزعم أنه كان عرضياً</w:t>
      </w:r>
      <w:r w:rsidR="002531A3">
        <w:rPr>
          <w:rFonts w:eastAsiaTheme="minorEastAsia"/>
          <w:rtl/>
        </w:rPr>
        <w:t>،</w:t>
      </w:r>
      <w:r w:rsidRPr="00A91733">
        <w:rPr>
          <w:rFonts w:eastAsiaTheme="minorEastAsia"/>
          <w:rtl/>
        </w:rPr>
        <w:t xml:space="preserve"> فشجع بذلك صاحب </w:t>
      </w:r>
      <w:r w:rsidRPr="00A91733">
        <w:rPr>
          <w:rFonts w:eastAsiaTheme="minorEastAsia"/>
          <w:rtl/>
        </w:rPr>
        <w:lastRenderedPageBreak/>
        <w:t>البلاغ مراراً وتكراراً على تزويده بالمخدرات</w:t>
      </w:r>
      <w:r w:rsidR="002531A3">
        <w:rPr>
          <w:rFonts w:eastAsiaTheme="minorEastAsia"/>
          <w:rtl/>
        </w:rPr>
        <w:t>،</w:t>
      </w:r>
      <w:r w:rsidRPr="00A91733">
        <w:rPr>
          <w:rFonts w:eastAsiaTheme="minorEastAsia"/>
          <w:rtl/>
        </w:rPr>
        <w:t xml:space="preserve"> وبأن الشرطي السري لم يتصرف بطريقة سلبية بل حرض بالأحرى صاحب البلاغ على ارتكاب الجريمة</w:t>
      </w:r>
      <w:r w:rsidR="002531A3">
        <w:rPr>
          <w:rFonts w:eastAsiaTheme="minorEastAsia"/>
          <w:rtl/>
        </w:rPr>
        <w:t>،</w:t>
      </w:r>
      <w:r w:rsidRPr="00A91733">
        <w:rPr>
          <w:rFonts w:eastAsiaTheme="minorEastAsia"/>
          <w:rtl/>
        </w:rPr>
        <w:t xml:space="preserve"> لكن الدولة الطرف تلاحظ أن صاحب البلاغ يسعى من أقواله تلك إلى أن يعاد النظر في الوقائع والأدلة التي تقوم عليها إدانته</w:t>
      </w:r>
      <w:r w:rsidR="002531A3">
        <w:rPr>
          <w:rFonts w:eastAsiaTheme="minorEastAsia"/>
          <w:rtl/>
        </w:rPr>
        <w:t>،</w:t>
      </w:r>
      <w:r w:rsidRPr="00A91733">
        <w:rPr>
          <w:rFonts w:eastAsiaTheme="minorEastAsia"/>
          <w:rtl/>
        </w:rPr>
        <w:t xml:space="preserve"> على الرغم من أن قضيته الجنائية قد فصلت فيها من جديد هيئات قضائية وطنية على مستويين مختلفين.</w:t>
      </w:r>
    </w:p>
    <w:p w14:paraId="70465AFC" w14:textId="480B6B2A"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21</w:t>
      </w:r>
      <w:r w:rsidRPr="00A91733">
        <w:rPr>
          <w:rFonts w:eastAsiaTheme="minorEastAsia"/>
          <w:rtl/>
        </w:rPr>
        <w:tab/>
        <w:t>وتشدد الدولة الطرف على أن الحكم الصادر عن دائرة القضايا الجنائية في المحكمة العليا في</w:t>
      </w:r>
      <w:r w:rsidR="00A91733">
        <w:rPr>
          <w:rFonts w:eastAsiaTheme="minorEastAsia" w:hint="cs"/>
          <w:rtl/>
        </w:rPr>
        <w:t> </w:t>
      </w:r>
      <w:r w:rsidRPr="008257F2">
        <w:rPr>
          <w:rFonts w:eastAsiaTheme="minorEastAsia"/>
          <w:rtl/>
        </w:rPr>
        <w:t>26</w:t>
      </w:r>
      <w:r w:rsidRPr="00A91733">
        <w:rPr>
          <w:rFonts w:eastAsiaTheme="minorEastAsia"/>
          <w:rtl/>
        </w:rPr>
        <w:t xml:space="preserve"> أيلول/سبتمبر </w:t>
      </w:r>
      <w:r w:rsidRPr="008257F2">
        <w:rPr>
          <w:rFonts w:eastAsiaTheme="minorEastAsia"/>
          <w:rtl/>
        </w:rPr>
        <w:t>2014</w:t>
      </w:r>
      <w:r w:rsidRPr="00A91733">
        <w:rPr>
          <w:rFonts w:eastAsiaTheme="minorEastAsia"/>
          <w:rtl/>
        </w:rPr>
        <w:t xml:space="preserve"> استند على نطاق واسع إلى المعلومات التي حصلت عليها المحكمة المحلية من ملفي التحقيقات الخاصة السريين (رقم </w:t>
      </w:r>
      <w:r w:rsidRPr="008257F2">
        <w:rPr>
          <w:rFonts w:eastAsiaTheme="minorEastAsia"/>
          <w:rtl/>
        </w:rPr>
        <w:t>7004204</w:t>
      </w:r>
      <w:r w:rsidRPr="00A91733">
        <w:rPr>
          <w:rFonts w:eastAsiaTheme="minorEastAsia"/>
          <w:rtl/>
        </w:rPr>
        <w:t xml:space="preserve"> ورقم </w:t>
      </w:r>
      <w:r w:rsidRPr="008257F2">
        <w:rPr>
          <w:rFonts w:eastAsiaTheme="minorEastAsia"/>
          <w:rtl/>
        </w:rPr>
        <w:t>7019304</w:t>
      </w:r>
      <w:r w:rsidRPr="00A91733">
        <w:rPr>
          <w:rFonts w:eastAsiaTheme="minorEastAsia"/>
          <w:rtl/>
        </w:rPr>
        <w:t>) بشأن عملية الشرطة الخاصة "</w:t>
      </w:r>
      <w:r w:rsidRPr="00A91733">
        <w:rPr>
          <w:rFonts w:eastAsiaTheme="minorEastAsia"/>
        </w:rPr>
        <w:t>Rebus</w:t>
      </w:r>
      <w:r w:rsidRPr="00A91733">
        <w:rPr>
          <w:rFonts w:eastAsiaTheme="minorEastAsia"/>
          <w:rtl/>
        </w:rPr>
        <w:t>". وأجرت الدائرة</w:t>
      </w:r>
      <w:r w:rsidR="002531A3">
        <w:rPr>
          <w:rFonts w:eastAsiaTheme="minorEastAsia"/>
          <w:rtl/>
        </w:rPr>
        <w:t>،</w:t>
      </w:r>
      <w:r w:rsidRPr="00A91733">
        <w:rPr>
          <w:rFonts w:eastAsiaTheme="minorEastAsia"/>
          <w:rtl/>
        </w:rPr>
        <w:t xml:space="preserve"> على وجه التحديد</w:t>
      </w:r>
      <w:r w:rsidR="002531A3">
        <w:rPr>
          <w:rFonts w:eastAsiaTheme="minorEastAsia"/>
          <w:rtl/>
        </w:rPr>
        <w:t>،</w:t>
      </w:r>
      <w:r w:rsidRPr="00A91733">
        <w:rPr>
          <w:rFonts w:eastAsiaTheme="minorEastAsia"/>
          <w:rtl/>
        </w:rPr>
        <w:t xml:space="preserve"> تقييماً كاملاً للمعلومات السرية الواردة في ملفي القضية</w:t>
      </w:r>
      <w:r w:rsidR="002531A3">
        <w:rPr>
          <w:rFonts w:eastAsiaTheme="minorEastAsia"/>
          <w:rtl/>
        </w:rPr>
        <w:t>،</w:t>
      </w:r>
      <w:r w:rsidRPr="00A91733">
        <w:rPr>
          <w:rFonts w:eastAsiaTheme="minorEastAsia"/>
          <w:rtl/>
        </w:rPr>
        <w:t xml:space="preserve"> مما سمح لها بأن تقرر أن الإجراءات التي اتخذتها سلطات إنفاذ القانون لم تشكل تحريضاً وأن ضباط الشرطة السريين لم يعمدوا سوى إلى إحباط أنشطة إجرامية جارية بالفعل.</w:t>
      </w:r>
    </w:p>
    <w:p w14:paraId="561D754C" w14:textId="6B12B083"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22</w:t>
      </w:r>
      <w:r w:rsidRPr="00A91733">
        <w:rPr>
          <w:rFonts w:eastAsiaTheme="minorEastAsia"/>
          <w:rtl/>
        </w:rPr>
        <w:tab/>
        <w:t>وأكدت المحكمة العليا أن دائرة القضايا الجنائية التابعة لها قد اطلعت على النحو الواجب على ملفي القضية السريين ذوي الصلة</w:t>
      </w:r>
      <w:r w:rsidR="002531A3">
        <w:rPr>
          <w:rFonts w:eastAsiaTheme="minorEastAsia"/>
          <w:rtl/>
        </w:rPr>
        <w:t>،</w:t>
      </w:r>
      <w:r w:rsidRPr="00A91733">
        <w:rPr>
          <w:rFonts w:eastAsiaTheme="minorEastAsia"/>
          <w:rtl/>
        </w:rPr>
        <w:t xml:space="preserve"> وأنها خلصت من ثم إلى أن المعلومات الأولية المتاحة لسلطات إنفاذ القانون كانت تكفي وتزيد لتبرير فتح إجراءات التحقيقات الخاصة ضد صاحب البلاغ والاضطلاع بالتحقيقات الميدانية الخاصة. وهكذا</w:t>
      </w:r>
      <w:r w:rsidR="002531A3">
        <w:rPr>
          <w:rFonts w:eastAsiaTheme="minorEastAsia"/>
          <w:rtl/>
        </w:rPr>
        <w:t>،</w:t>
      </w:r>
      <w:r w:rsidRPr="00A91733">
        <w:rPr>
          <w:rFonts w:eastAsiaTheme="minorEastAsia"/>
          <w:rtl/>
        </w:rPr>
        <w:t xml:space="preserve"> تأكدت المحكمة العليا من عدم وجود أي تحريض من الشرطة</w:t>
      </w:r>
      <w:r w:rsidR="002531A3">
        <w:rPr>
          <w:rFonts w:eastAsiaTheme="minorEastAsia"/>
          <w:rtl/>
        </w:rPr>
        <w:t>،</w:t>
      </w:r>
      <w:r w:rsidRPr="00A91733">
        <w:rPr>
          <w:rFonts w:eastAsiaTheme="minorEastAsia"/>
          <w:rtl/>
        </w:rPr>
        <w:t xml:space="preserve"> وتثبتت من أن ضباط الشرطة السريين لم يعمدوا سوى إلى إحباط أنشطة إجرامية جارية. ونتيجة لذلك</w:t>
      </w:r>
      <w:r w:rsidR="002531A3">
        <w:rPr>
          <w:rFonts w:eastAsiaTheme="minorEastAsia"/>
          <w:rtl/>
        </w:rPr>
        <w:t>،</w:t>
      </w:r>
      <w:r w:rsidRPr="00A91733">
        <w:rPr>
          <w:rFonts w:eastAsiaTheme="minorEastAsia"/>
          <w:rtl/>
        </w:rPr>
        <w:t xml:space="preserve"> قضت المحكمة العليا بأن ادعاءات صاحب البلاغ لا أساس لها من الصحة على الإطلاق.</w:t>
      </w:r>
    </w:p>
    <w:p w14:paraId="4329D946" w14:textId="52776DE7"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23</w:t>
      </w:r>
      <w:r w:rsidRPr="00A91733">
        <w:rPr>
          <w:rFonts w:eastAsiaTheme="minorEastAsia"/>
          <w:rtl/>
        </w:rPr>
        <w:tab/>
        <w:t>وفي هذا الصدد</w:t>
      </w:r>
      <w:r w:rsidR="002531A3">
        <w:rPr>
          <w:rFonts w:eastAsiaTheme="minorEastAsia"/>
          <w:rtl/>
        </w:rPr>
        <w:t>،</w:t>
      </w:r>
      <w:r w:rsidRPr="00A91733">
        <w:rPr>
          <w:rFonts w:eastAsiaTheme="minorEastAsia"/>
          <w:rtl/>
        </w:rPr>
        <w:t xml:space="preserve"> تُذكر الدولة الطرف بأنه وفقاً للاجتهادات القضائية للجنة</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8"/>
      </w:r>
      <w:r w:rsidR="00A91733" w:rsidRPr="007D2254">
        <w:rPr>
          <w:rStyle w:val="FootnoteReference"/>
          <w:rFonts w:eastAsiaTheme="minorEastAsia"/>
          <w:szCs w:val="22"/>
          <w:rtl/>
        </w:rPr>
        <w:t>)</w:t>
      </w:r>
      <w:r w:rsidR="002531A3">
        <w:rPr>
          <w:rFonts w:eastAsiaTheme="minorEastAsia"/>
          <w:rtl/>
        </w:rPr>
        <w:t>،</w:t>
      </w:r>
      <w:r w:rsidRPr="00A91733">
        <w:rPr>
          <w:rFonts w:eastAsiaTheme="minorEastAsia"/>
          <w:rtl/>
        </w:rPr>
        <w:t xml:space="preserve"> عندما تُعرض ادعاءات صاحب البلاغ وتنظر فيها المحاكم الوطنية على النحو الواجب وتقر بأنها لا تس</w:t>
      </w:r>
      <w:r w:rsidR="00A91733">
        <w:rPr>
          <w:rFonts w:eastAsiaTheme="minorEastAsia" w:hint="cs"/>
          <w:rtl/>
        </w:rPr>
        <w:t>تن</w:t>
      </w:r>
      <w:r w:rsidRPr="00A91733">
        <w:rPr>
          <w:rFonts w:eastAsiaTheme="minorEastAsia"/>
          <w:rtl/>
        </w:rPr>
        <w:t>د إلى أساس</w:t>
      </w:r>
      <w:r w:rsidR="002531A3">
        <w:rPr>
          <w:rFonts w:eastAsiaTheme="minorEastAsia"/>
          <w:rtl/>
        </w:rPr>
        <w:t>،</w:t>
      </w:r>
      <w:r w:rsidRPr="00A91733">
        <w:rPr>
          <w:rFonts w:eastAsiaTheme="minorEastAsia"/>
          <w:rtl/>
        </w:rPr>
        <w:t xml:space="preserve"> يجب اعتبار ادعاء صاحب البلاغ غير مدعوم بأدلة لأغراض المقبولية أمام اللجنة. وتعتقد الدولة الطرف أن الإجراءات القضائية المحلية</w:t>
      </w:r>
      <w:r w:rsidR="002531A3">
        <w:rPr>
          <w:rFonts w:eastAsiaTheme="minorEastAsia"/>
          <w:rtl/>
        </w:rPr>
        <w:t>،</w:t>
      </w:r>
      <w:r w:rsidRPr="00A91733">
        <w:rPr>
          <w:rFonts w:eastAsiaTheme="minorEastAsia"/>
          <w:rtl/>
        </w:rPr>
        <w:t xml:space="preserve"> بما في ذلك النظر في ادعاءات التحريض من الشرطة</w:t>
      </w:r>
      <w:r w:rsidR="002531A3">
        <w:rPr>
          <w:rFonts w:eastAsiaTheme="minorEastAsia"/>
          <w:rtl/>
        </w:rPr>
        <w:t>،</w:t>
      </w:r>
      <w:r w:rsidRPr="00A91733">
        <w:rPr>
          <w:rFonts w:eastAsiaTheme="minorEastAsia"/>
          <w:rtl/>
        </w:rPr>
        <w:t xml:space="preserve"> لا تكشف في مجملها عن أي واقعة من شأنها أن تشكل أساساً للتأكيد على أن الإجراءات كانت مشوبة بشكل واضح بالتعسف أو أنها بلغت حد الحرمان من العدالة. وعليه</w:t>
      </w:r>
      <w:r w:rsidR="002531A3">
        <w:rPr>
          <w:rFonts w:eastAsiaTheme="minorEastAsia"/>
          <w:rtl/>
        </w:rPr>
        <w:t>،</w:t>
      </w:r>
      <w:r w:rsidRPr="00A91733">
        <w:rPr>
          <w:rFonts w:eastAsiaTheme="minorEastAsia"/>
          <w:rtl/>
        </w:rPr>
        <w:t xml:space="preserve"> تلاحظ الدولة الطرف أن صاحب البلاغ لم يثبت ادعاءه المتعلق بالتحريض من الشرطة لأغراض المقبولية</w:t>
      </w:r>
      <w:r w:rsidR="002531A3">
        <w:rPr>
          <w:rFonts w:eastAsiaTheme="minorEastAsia"/>
          <w:rtl/>
        </w:rPr>
        <w:t>،</w:t>
      </w:r>
      <w:r w:rsidRPr="00A91733">
        <w:rPr>
          <w:rFonts w:eastAsiaTheme="minorEastAsia"/>
          <w:rtl/>
        </w:rPr>
        <w:t xml:space="preserve"> ويجب إعلان هذا الجزء من البلاغ متعارضاً مع أحكام العهد واعتباره من ثم غير مقبول بموجب المادة </w:t>
      </w:r>
      <w:r w:rsidRPr="008257F2">
        <w:rPr>
          <w:rFonts w:eastAsiaTheme="minorEastAsia"/>
          <w:rtl/>
        </w:rPr>
        <w:t>3</w:t>
      </w:r>
      <w:r w:rsidRPr="00A91733">
        <w:rPr>
          <w:rFonts w:eastAsiaTheme="minorEastAsia"/>
          <w:rtl/>
        </w:rPr>
        <w:t xml:space="preserve"> من البروتوكول الاختياري.</w:t>
      </w:r>
    </w:p>
    <w:p w14:paraId="37812527" w14:textId="4EE05A5E" w:rsidR="00517810" w:rsidRPr="00EA7571" w:rsidRDefault="00517810" w:rsidP="00A91733">
      <w:pPr>
        <w:pStyle w:val="SingleTxtGA"/>
        <w:rPr>
          <w:rStyle w:val="FootnoteReference"/>
          <w:rFonts w:eastAsiaTheme="minorEastAsia"/>
          <w:szCs w:val="22"/>
          <w:lang w:val="en-US" w:eastAsia="zh-TW"/>
        </w:rPr>
      </w:pPr>
      <w:r w:rsidRPr="008257F2">
        <w:rPr>
          <w:rFonts w:eastAsiaTheme="minorEastAsia"/>
          <w:rtl/>
        </w:rPr>
        <w:t>4</w:t>
      </w:r>
      <w:r w:rsidRPr="00A91733">
        <w:rPr>
          <w:rFonts w:eastAsiaTheme="minorEastAsia"/>
          <w:rtl/>
        </w:rPr>
        <w:t>-</w:t>
      </w:r>
      <w:r w:rsidRPr="008257F2">
        <w:rPr>
          <w:rFonts w:eastAsiaTheme="minorEastAsia"/>
          <w:rtl/>
        </w:rPr>
        <w:t>24</w:t>
      </w:r>
      <w:r w:rsidRPr="00A91733">
        <w:rPr>
          <w:rFonts w:eastAsiaTheme="minorEastAsia"/>
          <w:rtl/>
        </w:rPr>
        <w:tab/>
        <w:t>وفيما يتعلق بعدالة المحاكمة</w:t>
      </w:r>
      <w:r w:rsidR="002531A3">
        <w:rPr>
          <w:rFonts w:eastAsiaTheme="minorEastAsia"/>
          <w:rtl/>
        </w:rPr>
        <w:t>،</w:t>
      </w:r>
      <w:r w:rsidRPr="00A91733">
        <w:rPr>
          <w:rFonts w:eastAsiaTheme="minorEastAsia"/>
          <w:rtl/>
        </w:rPr>
        <w:t xml:space="preserve"> تلاحظ الدولة الطرف أن صاحب البلاغ لم يثبت ادعاءاته بموجب المادة </w:t>
      </w:r>
      <w:r w:rsidRPr="008257F2">
        <w:rPr>
          <w:rFonts w:eastAsiaTheme="minorEastAsia"/>
          <w:rtl/>
        </w:rPr>
        <w:t>14</w:t>
      </w:r>
      <w:r w:rsidRPr="00A91733">
        <w:rPr>
          <w:rFonts w:eastAsiaTheme="minorEastAsia"/>
          <w:rtl/>
        </w:rPr>
        <w:t>(</w:t>
      </w:r>
      <w:r w:rsidRPr="008257F2">
        <w:rPr>
          <w:rFonts w:eastAsiaTheme="minorEastAsia"/>
          <w:rtl/>
        </w:rPr>
        <w:t>1</w:t>
      </w:r>
      <w:r w:rsidRPr="00A91733">
        <w:rPr>
          <w:rFonts w:eastAsiaTheme="minorEastAsia"/>
          <w:rtl/>
        </w:rPr>
        <w:t>). وعلاوة على ذلك</w:t>
      </w:r>
      <w:r w:rsidR="002531A3">
        <w:rPr>
          <w:rFonts w:eastAsiaTheme="minorEastAsia"/>
          <w:rtl/>
        </w:rPr>
        <w:t>،</w:t>
      </w:r>
      <w:r w:rsidRPr="00A91733">
        <w:rPr>
          <w:rFonts w:eastAsiaTheme="minorEastAsia"/>
          <w:rtl/>
        </w:rPr>
        <w:t xml:space="preserve"> ترى الدولة الطرف أن اللجنة قد أثبتت في اجتهاداتها القضائية أن لشرط الحياد جانبين. أولاً</w:t>
      </w:r>
      <w:r w:rsidR="002531A3">
        <w:rPr>
          <w:rFonts w:eastAsiaTheme="minorEastAsia"/>
          <w:rtl/>
        </w:rPr>
        <w:t>،</w:t>
      </w:r>
      <w:r w:rsidRPr="00A91733">
        <w:rPr>
          <w:rFonts w:eastAsiaTheme="minorEastAsia"/>
          <w:rtl/>
        </w:rPr>
        <w:t xml:space="preserve"> لا يجب أن يؤثر القضاة في أحكامهم بتحيزهم أو تحاملهم</w:t>
      </w:r>
      <w:r w:rsidR="002531A3">
        <w:rPr>
          <w:rFonts w:eastAsiaTheme="minorEastAsia"/>
          <w:rtl/>
        </w:rPr>
        <w:t>،</w:t>
      </w:r>
      <w:r w:rsidRPr="00A91733">
        <w:rPr>
          <w:rFonts w:eastAsiaTheme="minorEastAsia"/>
          <w:rtl/>
        </w:rPr>
        <w:t xml:space="preserve"> ولا يجب أن تكون لديهم مفاهيم مسبقة عن القضية المعروضة عليهم</w:t>
      </w:r>
      <w:r w:rsidR="002531A3">
        <w:rPr>
          <w:rFonts w:eastAsiaTheme="minorEastAsia"/>
          <w:rtl/>
        </w:rPr>
        <w:t>،</w:t>
      </w:r>
      <w:r w:rsidRPr="00A91733">
        <w:rPr>
          <w:rFonts w:eastAsiaTheme="minorEastAsia"/>
          <w:rtl/>
        </w:rPr>
        <w:t xml:space="preserve"> ولا يجبوا أن يتصرفوا بطريقة تؤدي على نحو غير لائق إلى</w:t>
      </w:r>
      <w:r w:rsidR="00EA7571">
        <w:rPr>
          <w:rFonts w:eastAsiaTheme="minorEastAsia" w:hint="cs"/>
          <w:rtl/>
        </w:rPr>
        <w:t> </w:t>
      </w:r>
      <w:r w:rsidRPr="00A91733">
        <w:rPr>
          <w:rFonts w:eastAsiaTheme="minorEastAsia"/>
          <w:rtl/>
        </w:rPr>
        <w:t>تعزيز مصالح طرف على حساب الطرف الآخر. وثانياً</w:t>
      </w:r>
      <w:r w:rsidR="002531A3">
        <w:rPr>
          <w:rFonts w:eastAsiaTheme="minorEastAsia"/>
          <w:rtl/>
        </w:rPr>
        <w:t>،</w:t>
      </w:r>
      <w:r w:rsidRPr="00A91733">
        <w:rPr>
          <w:rFonts w:eastAsiaTheme="minorEastAsia"/>
          <w:rtl/>
        </w:rPr>
        <w:t xml:space="preserve"> يجب أيضاً أن تبدو الهيئة القضائية محايدة في عين المراقب النزيه</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9"/>
      </w:r>
      <w:r w:rsidR="00A91733" w:rsidRPr="007D2254">
        <w:rPr>
          <w:rStyle w:val="FootnoteReference"/>
          <w:rFonts w:eastAsiaTheme="minorEastAsia"/>
          <w:szCs w:val="22"/>
          <w:rtl/>
        </w:rPr>
        <w:t>)</w:t>
      </w:r>
      <w:r w:rsidRPr="00A91733">
        <w:rPr>
          <w:rFonts w:eastAsiaTheme="minorEastAsia"/>
          <w:rtl/>
        </w:rPr>
        <w:t>.</w:t>
      </w:r>
    </w:p>
    <w:p w14:paraId="707B1106" w14:textId="78BB7F18"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25</w:t>
      </w:r>
      <w:r w:rsidRPr="00A91733">
        <w:rPr>
          <w:rFonts w:eastAsiaTheme="minorEastAsia"/>
          <w:rtl/>
        </w:rPr>
        <w:tab/>
        <w:t>وتلاحظ الدولة الطرف أن صاحب البلاغ لم يعرض</w:t>
      </w:r>
      <w:r w:rsidR="002531A3">
        <w:rPr>
          <w:rFonts w:eastAsiaTheme="minorEastAsia"/>
          <w:rtl/>
        </w:rPr>
        <w:t>،</w:t>
      </w:r>
      <w:r w:rsidRPr="00A91733">
        <w:rPr>
          <w:rFonts w:eastAsiaTheme="minorEastAsia"/>
          <w:rtl/>
        </w:rPr>
        <w:t xml:space="preserve"> أثناء الفصل من جديد في الدعوى الجنائية المرفوعة ضده</w:t>
      </w:r>
      <w:r w:rsidR="002531A3">
        <w:rPr>
          <w:rFonts w:eastAsiaTheme="minorEastAsia"/>
          <w:rtl/>
        </w:rPr>
        <w:t>،</w:t>
      </w:r>
      <w:r w:rsidRPr="00A91733">
        <w:rPr>
          <w:rFonts w:eastAsiaTheme="minorEastAsia"/>
          <w:rtl/>
        </w:rPr>
        <w:t xml:space="preserve"> أي مثال يدل على أن الهيئات القضائية المحلية تصرفت بطريقة تدل على تحيز أو تحامل ضده</w:t>
      </w:r>
      <w:r w:rsidR="002531A3">
        <w:rPr>
          <w:rFonts w:eastAsiaTheme="minorEastAsia"/>
          <w:rtl/>
        </w:rPr>
        <w:t>،</w:t>
      </w:r>
      <w:r w:rsidRPr="00A91733">
        <w:rPr>
          <w:rFonts w:eastAsiaTheme="minorEastAsia"/>
          <w:rtl/>
        </w:rPr>
        <w:t xml:space="preserve"> أو بطريقة لا تبدو محايدة في عين المراقب النزيه. وبدلاً من ذلك</w:t>
      </w:r>
      <w:r w:rsidR="002531A3">
        <w:rPr>
          <w:rFonts w:eastAsiaTheme="minorEastAsia"/>
          <w:rtl/>
        </w:rPr>
        <w:t>،</w:t>
      </w:r>
      <w:r w:rsidRPr="00A91733">
        <w:rPr>
          <w:rFonts w:eastAsiaTheme="minorEastAsia"/>
          <w:rtl/>
        </w:rPr>
        <w:t xml:space="preserve"> تستند شكوى صاحب </w:t>
      </w:r>
      <w:r w:rsidRPr="00A91733">
        <w:rPr>
          <w:rFonts w:eastAsiaTheme="minorEastAsia"/>
          <w:rtl/>
        </w:rPr>
        <w:lastRenderedPageBreak/>
        <w:t>البلاغ إلى عدم رضاه عن رفض دائرة القضايا الجنائية في المحكمة العليا</w:t>
      </w:r>
      <w:r w:rsidR="002531A3">
        <w:rPr>
          <w:rFonts w:eastAsiaTheme="minorEastAsia"/>
          <w:rtl/>
        </w:rPr>
        <w:t>،</w:t>
      </w:r>
      <w:r w:rsidRPr="00A91733">
        <w:rPr>
          <w:rFonts w:eastAsiaTheme="minorEastAsia"/>
          <w:rtl/>
        </w:rPr>
        <w:t xml:space="preserve"> بموجب المادة </w:t>
      </w:r>
      <w:r w:rsidRPr="008257F2">
        <w:rPr>
          <w:rFonts w:eastAsiaTheme="minorEastAsia"/>
          <w:rtl/>
        </w:rPr>
        <w:t>500</w:t>
      </w:r>
      <w:r w:rsidRPr="00A91733">
        <w:rPr>
          <w:rFonts w:eastAsiaTheme="minorEastAsia"/>
          <w:rtl/>
        </w:rPr>
        <w:t>(</w:t>
      </w:r>
      <w:r w:rsidRPr="008257F2">
        <w:rPr>
          <w:rFonts w:eastAsiaTheme="minorEastAsia"/>
          <w:rtl/>
        </w:rPr>
        <w:t>4</w:t>
      </w:r>
      <w:r w:rsidRPr="00A91733">
        <w:rPr>
          <w:rFonts w:eastAsiaTheme="minorEastAsia"/>
          <w:rtl/>
        </w:rPr>
        <w:t>) من قانون الإجراءات الجنائية</w:t>
      </w:r>
      <w:r w:rsidR="002531A3">
        <w:rPr>
          <w:rFonts w:eastAsiaTheme="minorEastAsia"/>
          <w:rtl/>
        </w:rPr>
        <w:t>،</w:t>
      </w:r>
      <w:r w:rsidRPr="00A91733">
        <w:rPr>
          <w:rFonts w:eastAsiaTheme="minorEastAsia"/>
          <w:rtl/>
        </w:rPr>
        <w:t xml:space="preserve"> اطِّلاعه على ملفي القضية السريين.</w:t>
      </w:r>
    </w:p>
    <w:p w14:paraId="3C48F470" w14:textId="5E27C489"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26</w:t>
      </w:r>
      <w:r w:rsidRPr="00A91733">
        <w:rPr>
          <w:rFonts w:eastAsiaTheme="minorEastAsia"/>
          <w:rtl/>
        </w:rPr>
        <w:tab/>
        <w:t>وفي هذا السياق</w:t>
      </w:r>
      <w:r w:rsidR="002531A3">
        <w:rPr>
          <w:rFonts w:eastAsiaTheme="minorEastAsia"/>
          <w:rtl/>
        </w:rPr>
        <w:t>،</w:t>
      </w:r>
      <w:r w:rsidRPr="00A91733">
        <w:rPr>
          <w:rFonts w:eastAsiaTheme="minorEastAsia"/>
          <w:rtl/>
        </w:rPr>
        <w:t xml:space="preserve"> تدفع الدولة الطرف بأنه على الرغم من أن المادة </w:t>
      </w:r>
      <w:r w:rsidRPr="008257F2">
        <w:rPr>
          <w:rFonts w:eastAsiaTheme="minorEastAsia"/>
          <w:rtl/>
        </w:rPr>
        <w:t>14</w:t>
      </w:r>
      <w:r w:rsidRPr="00A91733">
        <w:rPr>
          <w:rFonts w:eastAsiaTheme="minorEastAsia"/>
          <w:rtl/>
        </w:rPr>
        <w:t xml:space="preserve"> من العهد تحمي الحق في محاكمة عادلة</w:t>
      </w:r>
      <w:r w:rsidR="002531A3">
        <w:rPr>
          <w:rFonts w:eastAsiaTheme="minorEastAsia"/>
          <w:rtl/>
        </w:rPr>
        <w:t>،</w:t>
      </w:r>
      <w:r w:rsidRPr="00A91733">
        <w:rPr>
          <w:rFonts w:eastAsiaTheme="minorEastAsia"/>
          <w:rtl/>
        </w:rPr>
        <w:t xml:space="preserve"> وعلى الرغم من أن حق المتهمين في الحصول على التسهيلات الكافية لإعداد دفاعهم يظل عنصراً أساسياً من عناصر الحق في محاكمة عادلة</w:t>
      </w:r>
      <w:r w:rsidR="002531A3">
        <w:rPr>
          <w:rFonts w:eastAsiaTheme="minorEastAsia"/>
          <w:rtl/>
        </w:rPr>
        <w:t>،</w:t>
      </w:r>
      <w:r w:rsidRPr="00A91733">
        <w:rPr>
          <w:rFonts w:eastAsiaTheme="minorEastAsia"/>
          <w:rtl/>
        </w:rPr>
        <w:t xml:space="preserve"> فإن المادة </w:t>
      </w:r>
      <w:r w:rsidRPr="008257F2">
        <w:rPr>
          <w:rFonts w:eastAsiaTheme="minorEastAsia"/>
          <w:rtl/>
        </w:rPr>
        <w:t>14</w:t>
      </w:r>
      <w:r w:rsidRPr="00A91733">
        <w:rPr>
          <w:rFonts w:eastAsiaTheme="minorEastAsia"/>
          <w:rtl/>
        </w:rPr>
        <w:t xml:space="preserve"> لا تنص على حق صريح للمتهمين في الاطلاع مباشرة على جميع الوثائق المستخدمة في محاكمة ضدهم</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10"/>
      </w:r>
      <w:r w:rsidR="00A91733" w:rsidRPr="007D2254">
        <w:rPr>
          <w:rStyle w:val="FootnoteReference"/>
          <w:rFonts w:eastAsiaTheme="minorEastAsia"/>
          <w:szCs w:val="22"/>
          <w:rtl/>
        </w:rPr>
        <w:t>)</w:t>
      </w:r>
      <w:r w:rsidRPr="00A91733">
        <w:rPr>
          <w:rFonts w:eastAsiaTheme="minorEastAsia"/>
          <w:rtl/>
        </w:rPr>
        <w:t>. والسؤال الذي يجب الإجابة عليه في هذه الحالات هو ما إذا كان استخدام هذه المواد قد انتهك عدالة الإجراءات برمتها</w:t>
      </w:r>
      <w:r w:rsidR="002531A3">
        <w:rPr>
          <w:rFonts w:eastAsiaTheme="minorEastAsia"/>
          <w:rtl/>
        </w:rPr>
        <w:t>،</w:t>
      </w:r>
      <w:r w:rsidRPr="00A91733">
        <w:rPr>
          <w:rFonts w:eastAsiaTheme="minorEastAsia"/>
          <w:rtl/>
        </w:rPr>
        <w:t xml:space="preserve"> وما</w:t>
      </w:r>
      <w:r w:rsidR="00A91733">
        <w:rPr>
          <w:rFonts w:eastAsiaTheme="minorEastAsia" w:hint="cs"/>
          <w:rtl/>
        </w:rPr>
        <w:t> </w:t>
      </w:r>
      <w:r w:rsidRPr="00A91733">
        <w:rPr>
          <w:rFonts w:eastAsiaTheme="minorEastAsia"/>
          <w:rtl/>
        </w:rPr>
        <w:t>إذا أتيحت الضمانات الكافية.</w:t>
      </w:r>
    </w:p>
    <w:p w14:paraId="55D63DD5" w14:textId="76622E3D"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27</w:t>
      </w:r>
      <w:r w:rsidRPr="00A91733">
        <w:rPr>
          <w:rFonts w:eastAsiaTheme="minorEastAsia"/>
          <w:rtl/>
        </w:rPr>
        <w:tab/>
        <w:t>وتذكّر الدولة الطرف بأن مسألة الضمانات قد عالجتها بالفعل المحكمة العليا التي رأت أن دائرة القضايا الجنائية التابعة لها</w:t>
      </w:r>
      <w:r w:rsidR="002531A3">
        <w:rPr>
          <w:rFonts w:eastAsiaTheme="minorEastAsia"/>
          <w:rtl/>
        </w:rPr>
        <w:t>،</w:t>
      </w:r>
      <w:r w:rsidRPr="00A91733">
        <w:rPr>
          <w:rFonts w:eastAsiaTheme="minorEastAsia"/>
          <w:rtl/>
        </w:rPr>
        <w:t xml:space="preserve"> بصفتها هيئة قضائية مستقلة ومحايدة</w:t>
      </w:r>
      <w:r w:rsidR="002531A3">
        <w:rPr>
          <w:rFonts w:eastAsiaTheme="minorEastAsia"/>
          <w:rtl/>
        </w:rPr>
        <w:t>،</w:t>
      </w:r>
      <w:r w:rsidRPr="00A91733">
        <w:rPr>
          <w:rFonts w:eastAsiaTheme="minorEastAsia"/>
          <w:rtl/>
        </w:rPr>
        <w:t xml:space="preserve"> قد تمكنت من توفير الضمانات اللازمة. وبعبارة أخرى</w:t>
      </w:r>
      <w:r w:rsidR="002531A3">
        <w:rPr>
          <w:rFonts w:eastAsiaTheme="minorEastAsia"/>
          <w:rtl/>
        </w:rPr>
        <w:t>،</w:t>
      </w:r>
      <w:r w:rsidRPr="00A91733">
        <w:rPr>
          <w:rFonts w:eastAsiaTheme="minorEastAsia"/>
          <w:rtl/>
        </w:rPr>
        <w:t xml:space="preserve"> فإن قرار رفض الكشف عن المعلومات للدفاع لم يُتخذ بطريقة تعسفية. وبدل</w:t>
      </w:r>
      <w:r w:rsidR="00A91733">
        <w:rPr>
          <w:rFonts w:eastAsiaTheme="minorEastAsia"/>
          <w:rtl/>
        </w:rPr>
        <w:t xml:space="preserve">اً </w:t>
      </w:r>
      <w:r w:rsidRPr="00A91733">
        <w:rPr>
          <w:rFonts w:eastAsiaTheme="minorEastAsia"/>
          <w:rtl/>
        </w:rPr>
        <w:t>من</w:t>
      </w:r>
      <w:r w:rsidR="00A91733">
        <w:rPr>
          <w:rFonts w:eastAsiaTheme="minorEastAsia" w:hint="cs"/>
          <w:rtl/>
        </w:rPr>
        <w:t> </w:t>
      </w:r>
      <w:r w:rsidRPr="00A91733">
        <w:rPr>
          <w:rFonts w:eastAsiaTheme="minorEastAsia"/>
          <w:rtl/>
        </w:rPr>
        <w:t>ذلك</w:t>
      </w:r>
      <w:r w:rsidR="002531A3">
        <w:rPr>
          <w:rFonts w:eastAsiaTheme="minorEastAsia"/>
          <w:rtl/>
        </w:rPr>
        <w:t>،</w:t>
      </w:r>
      <w:r w:rsidRPr="00A91733">
        <w:rPr>
          <w:rFonts w:eastAsiaTheme="minorEastAsia"/>
          <w:rtl/>
        </w:rPr>
        <w:t xml:space="preserve"> اطلعت الدائرة على النحو الواجب على محتويات ملفي القضية السريين المتنازع عليهما قبل أن تستبعد الكشف عنها للدفاع</w:t>
      </w:r>
      <w:r w:rsidR="002531A3">
        <w:rPr>
          <w:rFonts w:eastAsiaTheme="minorEastAsia"/>
          <w:rtl/>
        </w:rPr>
        <w:t>،</w:t>
      </w:r>
      <w:r w:rsidRPr="00A91733">
        <w:rPr>
          <w:rFonts w:eastAsiaTheme="minorEastAsia"/>
          <w:rtl/>
        </w:rPr>
        <w:t xml:space="preserve"> وتمكنت من ثم</w:t>
      </w:r>
      <w:r w:rsidR="002531A3">
        <w:rPr>
          <w:rFonts w:eastAsiaTheme="minorEastAsia"/>
          <w:rtl/>
        </w:rPr>
        <w:t>،</w:t>
      </w:r>
      <w:r w:rsidRPr="00A91733">
        <w:rPr>
          <w:rFonts w:eastAsiaTheme="minorEastAsia"/>
          <w:rtl/>
        </w:rPr>
        <w:t xml:space="preserve"> وفقاً للمحكمة العليا</w:t>
      </w:r>
      <w:r w:rsidR="002531A3">
        <w:rPr>
          <w:rFonts w:eastAsiaTheme="minorEastAsia"/>
          <w:rtl/>
        </w:rPr>
        <w:t>،</w:t>
      </w:r>
      <w:r w:rsidRPr="00A91733">
        <w:rPr>
          <w:rFonts w:eastAsiaTheme="minorEastAsia"/>
          <w:rtl/>
        </w:rPr>
        <w:t xml:space="preserve"> من اتخاذ قرار مستنير بشأن هذا</w:t>
      </w:r>
      <w:r w:rsidR="00A91733">
        <w:rPr>
          <w:rFonts w:eastAsiaTheme="minorEastAsia" w:hint="cs"/>
          <w:rtl/>
        </w:rPr>
        <w:t> </w:t>
      </w:r>
      <w:r w:rsidRPr="00A91733">
        <w:rPr>
          <w:rFonts w:eastAsiaTheme="minorEastAsia"/>
          <w:rtl/>
        </w:rPr>
        <w:t>الموضوع.</w:t>
      </w:r>
    </w:p>
    <w:p w14:paraId="170F09B8" w14:textId="000D3FB4"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28</w:t>
      </w:r>
      <w:r w:rsidRPr="00A91733">
        <w:rPr>
          <w:rFonts w:eastAsiaTheme="minorEastAsia"/>
          <w:rtl/>
        </w:rPr>
        <w:tab/>
        <w:t>وتلاحظ الدولة الطرف أن صاحب البلاغ لم يثبت</w:t>
      </w:r>
      <w:r w:rsidR="002531A3">
        <w:rPr>
          <w:rFonts w:eastAsiaTheme="minorEastAsia"/>
          <w:rtl/>
        </w:rPr>
        <w:t>،</w:t>
      </w:r>
      <w:r w:rsidRPr="00A91733">
        <w:rPr>
          <w:rFonts w:eastAsiaTheme="minorEastAsia"/>
          <w:rtl/>
        </w:rPr>
        <w:t xml:space="preserve"> لأغراض المقبولية</w:t>
      </w:r>
      <w:r w:rsidR="002531A3">
        <w:rPr>
          <w:rFonts w:eastAsiaTheme="minorEastAsia"/>
          <w:rtl/>
        </w:rPr>
        <w:t>،</w:t>
      </w:r>
      <w:r w:rsidRPr="00A91733">
        <w:rPr>
          <w:rFonts w:eastAsiaTheme="minorEastAsia"/>
          <w:rtl/>
        </w:rPr>
        <w:t xml:space="preserve"> ادعاءه حدوث انتهاك لقرينة البراءة</w:t>
      </w:r>
      <w:r w:rsidR="002531A3">
        <w:rPr>
          <w:rFonts w:eastAsiaTheme="minorEastAsia"/>
          <w:rtl/>
        </w:rPr>
        <w:t>،</w:t>
      </w:r>
      <w:r w:rsidRPr="00A91733">
        <w:rPr>
          <w:rFonts w:eastAsiaTheme="minorEastAsia"/>
          <w:rtl/>
        </w:rPr>
        <w:t xml:space="preserve"> وتجادل بأنه يجب إعلان هذا الجزء من البلاغ متعارضاً مع أحكام العهد واعتباره من ثم غير مقبول بموجب المادة </w:t>
      </w:r>
      <w:r w:rsidRPr="008257F2">
        <w:rPr>
          <w:rFonts w:eastAsiaTheme="minorEastAsia"/>
          <w:rtl/>
        </w:rPr>
        <w:t>2</w:t>
      </w:r>
      <w:r w:rsidRPr="00A91733">
        <w:rPr>
          <w:rFonts w:eastAsiaTheme="minorEastAsia"/>
          <w:rtl/>
        </w:rPr>
        <w:t xml:space="preserve"> من البروتوكول الاختياري. ورداً على دفوع صاحب البلاغ</w:t>
      </w:r>
      <w:r w:rsidR="002531A3">
        <w:rPr>
          <w:rFonts w:eastAsiaTheme="minorEastAsia"/>
          <w:rtl/>
        </w:rPr>
        <w:t>،</w:t>
      </w:r>
      <w:r w:rsidRPr="00A91733">
        <w:rPr>
          <w:rFonts w:eastAsiaTheme="minorEastAsia"/>
          <w:rtl/>
        </w:rPr>
        <w:t xml:space="preserve"> تعتقد الدولة الطرف اعتقاداً راسخاً أن صاحب البلاغ لم يقدم أي واقعة واحدة ولا أي معلومات عن أي حادث محدد من شأنه أن يؤدي إلى استنتاج مفاده أن سلوك المحاكم القضائية المحلية قد أثر سلباً على حقه في افتراض براءته إلى أن تثبت إدانته وفقاً للقانون</w:t>
      </w:r>
      <w:r w:rsidR="002531A3">
        <w:rPr>
          <w:rFonts w:eastAsiaTheme="minorEastAsia"/>
          <w:rtl/>
        </w:rPr>
        <w:t>،</w:t>
      </w:r>
      <w:r w:rsidRPr="00A91733">
        <w:rPr>
          <w:rFonts w:eastAsiaTheme="minorEastAsia"/>
          <w:rtl/>
        </w:rPr>
        <w:t xml:space="preserve"> وهو الحق المكفول بالحماية بموجب المادة </w:t>
      </w:r>
      <w:r w:rsidRPr="008257F2">
        <w:rPr>
          <w:rFonts w:eastAsiaTheme="minorEastAsia"/>
          <w:rtl/>
        </w:rPr>
        <w:t>14</w:t>
      </w:r>
      <w:r w:rsidRPr="00A91733">
        <w:rPr>
          <w:rFonts w:eastAsiaTheme="minorEastAsia"/>
          <w:rtl/>
        </w:rPr>
        <w:t>(</w:t>
      </w:r>
      <w:r w:rsidRPr="008257F2">
        <w:rPr>
          <w:rFonts w:eastAsiaTheme="minorEastAsia"/>
          <w:rtl/>
        </w:rPr>
        <w:t>2</w:t>
      </w:r>
      <w:r w:rsidRPr="00A91733">
        <w:rPr>
          <w:rFonts w:eastAsiaTheme="minorEastAsia"/>
          <w:rtl/>
        </w:rPr>
        <w:t>) من</w:t>
      </w:r>
      <w:r w:rsidR="00A91733">
        <w:rPr>
          <w:rFonts w:eastAsiaTheme="minorEastAsia" w:hint="cs"/>
          <w:rtl/>
        </w:rPr>
        <w:t> </w:t>
      </w:r>
      <w:r w:rsidRPr="00A91733">
        <w:rPr>
          <w:rFonts w:eastAsiaTheme="minorEastAsia"/>
          <w:rtl/>
        </w:rPr>
        <w:t>العهد.</w:t>
      </w:r>
    </w:p>
    <w:p w14:paraId="36F49C8E" w14:textId="2E788EBB"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29</w:t>
      </w:r>
      <w:r w:rsidRPr="00A91733">
        <w:rPr>
          <w:rFonts w:eastAsiaTheme="minorEastAsia"/>
          <w:rtl/>
        </w:rPr>
        <w:tab/>
        <w:t xml:space="preserve">وتدعو الدولة الطرف اللجنة إلى إعلان عدم مقبولية شكوى صاحب البلاغ عملاً بالمادتين </w:t>
      </w:r>
      <w:r w:rsidRPr="008257F2">
        <w:rPr>
          <w:rFonts w:eastAsiaTheme="minorEastAsia"/>
          <w:rtl/>
        </w:rPr>
        <w:t>3</w:t>
      </w:r>
      <w:r w:rsidRPr="00A91733">
        <w:rPr>
          <w:rFonts w:eastAsiaTheme="minorEastAsia"/>
          <w:rtl/>
        </w:rPr>
        <w:t xml:space="preserve"> و</w:t>
      </w:r>
      <w:r w:rsidRPr="008257F2">
        <w:rPr>
          <w:rFonts w:eastAsiaTheme="minorEastAsia"/>
          <w:rtl/>
        </w:rPr>
        <w:t>5</w:t>
      </w:r>
      <w:r w:rsidRPr="00A91733">
        <w:rPr>
          <w:rFonts w:eastAsiaTheme="minorEastAsia"/>
          <w:rtl/>
        </w:rPr>
        <w:t>(</w:t>
      </w:r>
      <w:r w:rsidRPr="008257F2">
        <w:rPr>
          <w:rFonts w:eastAsiaTheme="minorEastAsia"/>
          <w:rtl/>
        </w:rPr>
        <w:t>2</w:t>
      </w:r>
      <w:r w:rsidRPr="00A91733">
        <w:rPr>
          <w:rFonts w:eastAsiaTheme="minorEastAsia"/>
          <w:rtl/>
        </w:rPr>
        <w:t>)(أ) من البروتوكول الاختياري لأن المسألة نفسها قد بحثت في إطار إجراء آخر من إجراءات التسوية الدولية. وتذكّر الدولة الطرف بأن اللجنة خلصت في اجتهاداتها القضائية</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11"/>
      </w:r>
      <w:r w:rsidR="00A91733" w:rsidRPr="007D2254">
        <w:rPr>
          <w:rStyle w:val="FootnoteReference"/>
          <w:rFonts w:eastAsiaTheme="minorEastAsia"/>
          <w:szCs w:val="22"/>
          <w:rtl/>
        </w:rPr>
        <w:t>)</w:t>
      </w:r>
      <w:r w:rsidRPr="00A91733">
        <w:rPr>
          <w:rFonts w:eastAsiaTheme="minorEastAsia"/>
          <w:rtl/>
        </w:rPr>
        <w:t xml:space="preserve"> إلى أنها ستتردد في النظر في قضية سبق أن نظرت فيها المحكمة الأوروبية لحقوق الإنسان بقدر ما تتقارب أحكام العهد وأحكام الاتفاقية التي احتج بها الشخص المدعى أنه ضحية.</w:t>
      </w:r>
    </w:p>
    <w:p w14:paraId="6126BCB7" w14:textId="4C63439C" w:rsidR="00517810" w:rsidRPr="00A91733" w:rsidRDefault="00517810" w:rsidP="00A91733">
      <w:pPr>
        <w:pStyle w:val="SingleTxtGA"/>
        <w:rPr>
          <w:rFonts w:eastAsiaTheme="minorEastAsia"/>
          <w:lang w:val="ar-SA" w:eastAsia="zh-TW" w:bidi="en-GB"/>
        </w:rPr>
      </w:pPr>
      <w:r w:rsidRPr="008257F2">
        <w:rPr>
          <w:rFonts w:eastAsiaTheme="minorEastAsia"/>
          <w:rtl/>
        </w:rPr>
        <w:t>4</w:t>
      </w:r>
      <w:r w:rsidRPr="00A91733">
        <w:rPr>
          <w:rFonts w:eastAsiaTheme="minorEastAsia"/>
          <w:rtl/>
        </w:rPr>
        <w:t>-</w:t>
      </w:r>
      <w:r w:rsidRPr="008257F2">
        <w:rPr>
          <w:rFonts w:eastAsiaTheme="minorEastAsia"/>
          <w:rtl/>
        </w:rPr>
        <w:t>30</w:t>
      </w:r>
      <w:r w:rsidRPr="00A91733">
        <w:rPr>
          <w:rFonts w:eastAsiaTheme="minorEastAsia"/>
          <w:rtl/>
        </w:rPr>
        <w:tab/>
        <w:t>وأخيراً</w:t>
      </w:r>
      <w:r w:rsidR="002531A3">
        <w:rPr>
          <w:rFonts w:eastAsiaTheme="minorEastAsia"/>
          <w:rtl/>
        </w:rPr>
        <w:t>،</w:t>
      </w:r>
      <w:r w:rsidRPr="00A91733">
        <w:rPr>
          <w:rFonts w:eastAsiaTheme="minorEastAsia"/>
          <w:rtl/>
        </w:rPr>
        <w:t xml:space="preserve"> توجه الدولة الطرف انتباه اللجنة إلى أن صاحب البلاغ قدم بلاغه إلى اللجنة بعد سنتين وثمانية أشهر من اعتماد هيئة النقض القرار النهائي وبعد سنة من اعتماد قرار المحكمة الأوروبية لحقوق الإنسان. وترى الدولة الطرف أنه في غياب الإيضاحات اللازمة</w:t>
      </w:r>
      <w:r w:rsidR="002531A3">
        <w:rPr>
          <w:rFonts w:eastAsiaTheme="minorEastAsia"/>
          <w:rtl/>
        </w:rPr>
        <w:t>،</w:t>
      </w:r>
      <w:r w:rsidRPr="00A91733">
        <w:rPr>
          <w:rFonts w:eastAsiaTheme="minorEastAsia"/>
          <w:rtl/>
        </w:rPr>
        <w:t xml:space="preserve"> يجوز للجنة أن تعتبر أن تقديم البلاغ بعد مرور أجل طويل يشكل إساءة استعمال للحق في تقديم البلاغات</w:t>
      </w:r>
      <w:r w:rsidR="002531A3">
        <w:rPr>
          <w:rFonts w:eastAsiaTheme="minorEastAsia"/>
          <w:rtl/>
        </w:rPr>
        <w:t>،</w:t>
      </w:r>
      <w:r w:rsidRPr="00A91733">
        <w:rPr>
          <w:rFonts w:eastAsiaTheme="minorEastAsia"/>
          <w:rtl/>
        </w:rPr>
        <w:t xml:space="preserve"> وأن تستنج أن هذا البلاغ غير مقبول بموجب المادة </w:t>
      </w:r>
      <w:r w:rsidRPr="008257F2">
        <w:rPr>
          <w:rFonts w:eastAsiaTheme="minorEastAsia"/>
          <w:rtl/>
        </w:rPr>
        <w:t>3</w:t>
      </w:r>
      <w:r w:rsidRPr="00A91733">
        <w:rPr>
          <w:rFonts w:eastAsiaTheme="minorEastAsia"/>
          <w:rtl/>
        </w:rPr>
        <w:t xml:space="preserve"> من البروتوكول الاختياري.</w:t>
      </w:r>
    </w:p>
    <w:p w14:paraId="26229D1C" w14:textId="77777777" w:rsidR="00517810" w:rsidRPr="008257F2" w:rsidRDefault="00517810" w:rsidP="00A91733">
      <w:pPr>
        <w:pStyle w:val="H23GA"/>
        <w:rPr>
          <w:lang w:val="ar-SA" w:eastAsia="zh-TW" w:bidi="en-GB"/>
        </w:rPr>
      </w:pPr>
      <w:r w:rsidRPr="008257F2">
        <w:rPr>
          <w:rtl/>
        </w:rPr>
        <w:tab/>
      </w:r>
      <w:r w:rsidRPr="008257F2">
        <w:rPr>
          <w:rtl/>
        </w:rPr>
        <w:tab/>
        <w:t>تعليقات صاحب البلاغ على ملاحظات الدولة الطرف</w:t>
      </w:r>
    </w:p>
    <w:p w14:paraId="18F212D7" w14:textId="3C294D98" w:rsidR="00517810" w:rsidRPr="00A91733" w:rsidRDefault="00517810" w:rsidP="00A91733">
      <w:pPr>
        <w:pStyle w:val="SingleTxtGA"/>
        <w:rPr>
          <w:rFonts w:eastAsiaTheme="minorEastAsia"/>
          <w:lang w:val="ar-SA" w:eastAsia="zh-TW" w:bidi="en-GB"/>
        </w:rPr>
      </w:pPr>
      <w:r w:rsidRPr="008257F2">
        <w:rPr>
          <w:rFonts w:eastAsiaTheme="minorEastAsia"/>
          <w:rtl/>
        </w:rPr>
        <w:t>5</w:t>
      </w:r>
      <w:r w:rsidRPr="00A91733">
        <w:rPr>
          <w:rFonts w:eastAsiaTheme="minorEastAsia"/>
          <w:rtl/>
        </w:rPr>
        <w:t>-</w:t>
      </w:r>
      <w:r w:rsidRPr="008257F2">
        <w:rPr>
          <w:rFonts w:eastAsiaTheme="minorEastAsia"/>
          <w:rtl/>
        </w:rPr>
        <w:t>1</w:t>
      </w:r>
      <w:r w:rsidRPr="00A91733">
        <w:rPr>
          <w:rFonts w:eastAsiaTheme="minorEastAsia"/>
          <w:rtl/>
        </w:rPr>
        <w:tab/>
        <w:t xml:space="preserve">في </w:t>
      </w:r>
      <w:r w:rsidRPr="008257F2">
        <w:rPr>
          <w:rFonts w:eastAsiaTheme="minorEastAsia"/>
          <w:rtl/>
        </w:rPr>
        <w:t>19</w:t>
      </w:r>
      <w:r w:rsidRPr="00A91733">
        <w:rPr>
          <w:rFonts w:eastAsiaTheme="minorEastAsia"/>
          <w:rtl/>
        </w:rPr>
        <w:t xml:space="preserve"> تموز/يوليه </w:t>
      </w:r>
      <w:r w:rsidRPr="008257F2">
        <w:rPr>
          <w:rFonts w:eastAsiaTheme="minorEastAsia"/>
          <w:rtl/>
        </w:rPr>
        <w:t>2018</w:t>
      </w:r>
      <w:r w:rsidR="002531A3">
        <w:rPr>
          <w:rFonts w:eastAsiaTheme="minorEastAsia"/>
          <w:rtl/>
        </w:rPr>
        <w:t>،</w:t>
      </w:r>
      <w:r w:rsidRPr="00A91733">
        <w:rPr>
          <w:rFonts w:eastAsiaTheme="minorEastAsia"/>
          <w:rtl/>
        </w:rPr>
        <w:t xml:space="preserve"> يدفع صاحب البلاغ بأنه على علم باختصاص المحكمة الأوروبية لحقوق الإنسان واللجنة اللتين لا يمكن لأي منهما أن تعمل بصفتها "هيئة رابعة" وأن تعيد تقييم استنتاجات </w:t>
      </w:r>
      <w:r w:rsidRPr="00A91733">
        <w:rPr>
          <w:rFonts w:eastAsiaTheme="minorEastAsia"/>
          <w:rtl/>
        </w:rPr>
        <w:lastRenderedPageBreak/>
        <w:t>المحاكم المحلية. ويلاحظ صاحب البلاغ أن المحكمة الأوروبية لحقوق الإنسان خلصت إلى أن أنسب شكل من أشكال الانتصاف هو إعادة المحاكمة</w:t>
      </w:r>
      <w:r w:rsidR="002531A3">
        <w:rPr>
          <w:rFonts w:eastAsiaTheme="minorEastAsia"/>
          <w:rtl/>
        </w:rPr>
        <w:t>،</w:t>
      </w:r>
      <w:r w:rsidRPr="00A91733">
        <w:rPr>
          <w:rFonts w:eastAsiaTheme="minorEastAsia"/>
          <w:rtl/>
        </w:rPr>
        <w:t xml:space="preserve"> لأن المحاكم المحلية لم تعالج شكواه المتعلقة بالتحريض ولم تطّلع على ملفي التحقيقات الخاصة السريين المتعلقين بعملية الشرطة الخاصة "</w:t>
      </w:r>
      <w:r w:rsidRPr="00A91733">
        <w:rPr>
          <w:rFonts w:eastAsiaTheme="minorEastAsia"/>
        </w:rPr>
        <w:t>Rebus</w:t>
      </w:r>
      <w:r w:rsidRPr="00A91733">
        <w:rPr>
          <w:rFonts w:eastAsiaTheme="minorEastAsia"/>
          <w:rtl/>
        </w:rPr>
        <w:t>". ولم يتم ذلك إلا أثناء إعادة المحاكمة.</w:t>
      </w:r>
    </w:p>
    <w:p w14:paraId="19C98984" w14:textId="6B41A4BE" w:rsidR="00517810" w:rsidRPr="00A91733" w:rsidRDefault="00517810" w:rsidP="00A91733">
      <w:pPr>
        <w:pStyle w:val="SingleTxtGA"/>
        <w:rPr>
          <w:rFonts w:eastAsiaTheme="minorEastAsia"/>
          <w:lang w:val="fr-CH" w:eastAsia="zh-TW" w:bidi="en-GB"/>
        </w:rPr>
      </w:pPr>
      <w:r w:rsidRPr="008257F2">
        <w:rPr>
          <w:rFonts w:eastAsiaTheme="minorEastAsia"/>
          <w:rtl/>
        </w:rPr>
        <w:t>5</w:t>
      </w:r>
      <w:r w:rsidRPr="00A91733">
        <w:rPr>
          <w:rFonts w:eastAsiaTheme="minorEastAsia"/>
          <w:rtl/>
        </w:rPr>
        <w:t>-</w:t>
      </w:r>
      <w:r w:rsidRPr="008257F2">
        <w:rPr>
          <w:rFonts w:eastAsiaTheme="minorEastAsia"/>
          <w:rtl/>
        </w:rPr>
        <w:t>2</w:t>
      </w:r>
      <w:r w:rsidRPr="00A91733">
        <w:rPr>
          <w:rFonts w:eastAsiaTheme="minorEastAsia"/>
          <w:rtl/>
        </w:rPr>
        <w:tab/>
        <w:t>ويقترح صاحب البلاغ خيارين ممكنين لتناول ادعاءاته: يمكن للجنة أن تطّلع على ملفي التحقيقات الخاصة السريين المتعلقين بعملية "</w:t>
      </w:r>
      <w:r w:rsidRPr="007D2254">
        <w:rPr>
          <w:rFonts w:eastAsiaTheme="minorEastAsia"/>
        </w:rPr>
        <w:t>Rebus</w:t>
      </w:r>
      <w:r w:rsidRPr="00A91733">
        <w:rPr>
          <w:rFonts w:eastAsiaTheme="minorEastAsia"/>
          <w:rtl/>
        </w:rPr>
        <w:t>" من أجل معرفة ما إذا كانت المحاكم المحلية قد تصرفت بطريقة تشكل خطأً واضحاً أو إنكاراً للعدالة</w:t>
      </w:r>
      <w:r w:rsidR="002531A3">
        <w:rPr>
          <w:rFonts w:eastAsiaTheme="minorEastAsia"/>
          <w:rtl/>
        </w:rPr>
        <w:t>،</w:t>
      </w:r>
      <w:r w:rsidRPr="00A91733">
        <w:rPr>
          <w:rFonts w:eastAsiaTheme="minorEastAsia"/>
          <w:rtl/>
        </w:rPr>
        <w:t xml:space="preserve"> أو أن تخلص إلى أن أنسب شكل من أشكال الانتصاف هو إعادة المحاكمة مرة ثالثة.</w:t>
      </w:r>
    </w:p>
    <w:p w14:paraId="63AD4466" w14:textId="7D6D24D9" w:rsidR="00517810" w:rsidRPr="00A91733" w:rsidRDefault="00517810" w:rsidP="00A91733">
      <w:pPr>
        <w:pStyle w:val="SingleTxtGA"/>
        <w:rPr>
          <w:rFonts w:eastAsiaTheme="minorEastAsia"/>
          <w:lang w:val="fr-CH" w:eastAsia="zh-TW" w:bidi="en-GB"/>
        </w:rPr>
      </w:pPr>
      <w:r w:rsidRPr="008257F2">
        <w:rPr>
          <w:rFonts w:eastAsiaTheme="minorEastAsia"/>
          <w:rtl/>
        </w:rPr>
        <w:t>5</w:t>
      </w:r>
      <w:r w:rsidRPr="00A91733">
        <w:rPr>
          <w:rFonts w:eastAsiaTheme="minorEastAsia"/>
          <w:rtl/>
        </w:rPr>
        <w:t>-</w:t>
      </w:r>
      <w:r w:rsidRPr="008257F2">
        <w:rPr>
          <w:rFonts w:eastAsiaTheme="minorEastAsia"/>
          <w:rtl/>
        </w:rPr>
        <w:t>3</w:t>
      </w:r>
      <w:r w:rsidRPr="00A91733">
        <w:rPr>
          <w:rFonts w:eastAsiaTheme="minorEastAsia"/>
          <w:rtl/>
        </w:rPr>
        <w:tab/>
        <w:t>ويجدد صاحب البلاغ تأكيد طلبه إلى اللجنة أن توصي لاتفيا بإلغاء إدانته ودفع تعويض له</w:t>
      </w:r>
      <w:r w:rsidR="002F5400">
        <w:rPr>
          <w:rFonts w:eastAsiaTheme="minorEastAsia" w:hint="cs"/>
          <w:rtl/>
        </w:rPr>
        <w:t> </w:t>
      </w:r>
      <w:r w:rsidRPr="00A91733">
        <w:rPr>
          <w:rFonts w:eastAsiaTheme="minorEastAsia"/>
          <w:rtl/>
        </w:rPr>
        <w:t xml:space="preserve">وفقاً للمادة </w:t>
      </w:r>
      <w:r w:rsidRPr="008257F2">
        <w:rPr>
          <w:rFonts w:eastAsiaTheme="minorEastAsia"/>
          <w:rtl/>
        </w:rPr>
        <w:t>14</w:t>
      </w:r>
      <w:r w:rsidRPr="00A91733">
        <w:rPr>
          <w:rFonts w:eastAsiaTheme="minorEastAsia"/>
          <w:rtl/>
        </w:rPr>
        <w:t>(</w:t>
      </w:r>
      <w:r w:rsidRPr="008257F2">
        <w:rPr>
          <w:rFonts w:eastAsiaTheme="minorEastAsia"/>
          <w:rtl/>
        </w:rPr>
        <w:t>6</w:t>
      </w:r>
      <w:r w:rsidRPr="00A91733">
        <w:rPr>
          <w:rFonts w:eastAsiaTheme="minorEastAsia"/>
          <w:rtl/>
        </w:rPr>
        <w:t>) من العهد.</w:t>
      </w:r>
    </w:p>
    <w:p w14:paraId="0925E6C8" w14:textId="4CEA8A8C" w:rsidR="00517810" w:rsidRPr="00A91733" w:rsidRDefault="00517810" w:rsidP="00A91733">
      <w:pPr>
        <w:pStyle w:val="SingleTxtGA"/>
        <w:rPr>
          <w:rFonts w:eastAsiaTheme="minorEastAsia"/>
          <w:lang w:val="ar-SA" w:eastAsia="zh-TW" w:bidi="en-GB"/>
        </w:rPr>
      </w:pPr>
      <w:r w:rsidRPr="008257F2">
        <w:rPr>
          <w:rFonts w:eastAsiaTheme="minorEastAsia"/>
          <w:rtl/>
        </w:rPr>
        <w:t>5</w:t>
      </w:r>
      <w:r w:rsidRPr="00A91733">
        <w:rPr>
          <w:rFonts w:eastAsiaTheme="minorEastAsia"/>
          <w:rtl/>
        </w:rPr>
        <w:t>-</w:t>
      </w:r>
      <w:r w:rsidRPr="008257F2">
        <w:rPr>
          <w:rFonts w:eastAsiaTheme="minorEastAsia"/>
          <w:rtl/>
        </w:rPr>
        <w:t>4</w:t>
      </w:r>
      <w:r w:rsidRPr="00A91733">
        <w:rPr>
          <w:rFonts w:eastAsiaTheme="minorEastAsia"/>
          <w:rtl/>
        </w:rPr>
        <w:tab/>
        <w:t>وتعليقاً على ملاحظات الدولة الطرف بشأن عدم وجود أدلة تدعم الشكاوى</w:t>
      </w:r>
      <w:r w:rsidR="002531A3">
        <w:rPr>
          <w:rFonts w:eastAsiaTheme="minorEastAsia"/>
          <w:rtl/>
        </w:rPr>
        <w:t>،</w:t>
      </w:r>
      <w:r w:rsidRPr="00A91733">
        <w:rPr>
          <w:rFonts w:eastAsiaTheme="minorEastAsia"/>
          <w:rtl/>
        </w:rPr>
        <w:t xml:space="preserve"> يوضح صاحب البلاغ أن المحاكم المحلية انتهكت حقوقه الأساسية أثناء إعادة المحاكمة. ويؤكد أنه وقع ضحية تحريض من ضابط الشرطة السري</w:t>
      </w:r>
      <w:r w:rsidR="002531A3">
        <w:rPr>
          <w:rFonts w:eastAsiaTheme="minorEastAsia"/>
          <w:rtl/>
        </w:rPr>
        <w:t>،</w:t>
      </w:r>
      <w:r w:rsidRPr="00A91733">
        <w:rPr>
          <w:rFonts w:eastAsiaTheme="minorEastAsia"/>
          <w:rtl/>
        </w:rPr>
        <w:t xml:space="preserve"> إ.</w:t>
      </w:r>
      <w:r w:rsidR="002531A3">
        <w:rPr>
          <w:rFonts w:eastAsiaTheme="minorEastAsia"/>
          <w:rtl/>
        </w:rPr>
        <w:t>،</w:t>
      </w:r>
      <w:r w:rsidRPr="00A91733">
        <w:rPr>
          <w:rFonts w:eastAsiaTheme="minorEastAsia"/>
          <w:rtl/>
        </w:rPr>
        <w:t xml:space="preserve"> الذي لم يتصرف بطريقة سلبية بل حرضه على ارتكاب جريمة</w:t>
      </w:r>
      <w:r w:rsidR="002531A3">
        <w:rPr>
          <w:rFonts w:eastAsiaTheme="minorEastAsia"/>
          <w:rtl/>
        </w:rPr>
        <w:t>،</w:t>
      </w:r>
      <w:r w:rsidRPr="00A91733">
        <w:rPr>
          <w:rFonts w:eastAsiaTheme="minorEastAsia"/>
          <w:rtl/>
        </w:rPr>
        <w:t xml:space="preserve"> وأن الأدلة التي استقيت نتيجة لذلك التحريض هي وحدها التي يمكن أن تثبت إدانته. ويوضح صاحب البلاغ أنه ذكر مسألة التحريض في بلاغه إلى اللجنة حتى تتمكن من فهم مدى أهمية اطّلاعه على ملفي التحقيقات الخاصة السريين. وحُرم من الاطلاع على الملفين السريين من دون أن يُقدَّم إليه تفسير مفصل لسبب اعتبار الحرمان من الحق في كشف المعلومات للدفاع ضرورياً تماماً.</w:t>
      </w:r>
    </w:p>
    <w:p w14:paraId="0E134573" w14:textId="5A0FA361" w:rsidR="00517810" w:rsidRPr="00A91733" w:rsidRDefault="00517810" w:rsidP="00A91733">
      <w:pPr>
        <w:pStyle w:val="SingleTxtGA"/>
        <w:rPr>
          <w:rFonts w:eastAsiaTheme="minorEastAsia"/>
          <w:lang w:val="ar-SA" w:eastAsia="zh-TW" w:bidi="en-GB"/>
        </w:rPr>
      </w:pPr>
      <w:r w:rsidRPr="008257F2">
        <w:rPr>
          <w:rFonts w:eastAsiaTheme="minorEastAsia"/>
          <w:rtl/>
        </w:rPr>
        <w:t>5</w:t>
      </w:r>
      <w:r w:rsidRPr="00A91733">
        <w:rPr>
          <w:rFonts w:eastAsiaTheme="minorEastAsia"/>
          <w:rtl/>
        </w:rPr>
        <w:t>-</w:t>
      </w:r>
      <w:r w:rsidRPr="008257F2">
        <w:rPr>
          <w:rFonts w:eastAsiaTheme="minorEastAsia"/>
          <w:rtl/>
        </w:rPr>
        <w:t>5</w:t>
      </w:r>
      <w:r w:rsidRPr="00A91733">
        <w:rPr>
          <w:rFonts w:eastAsiaTheme="minorEastAsia"/>
          <w:rtl/>
        </w:rPr>
        <w:tab/>
        <w:t xml:space="preserve">وفيما يتعلق بملاحظات الدولة الطرف بشأن مقبولية ادعاءاته بموجب المادة </w:t>
      </w:r>
      <w:r w:rsidRPr="008257F2">
        <w:rPr>
          <w:rFonts w:eastAsiaTheme="minorEastAsia"/>
          <w:rtl/>
        </w:rPr>
        <w:t>14</w:t>
      </w:r>
      <w:r w:rsidRPr="00A91733">
        <w:rPr>
          <w:rFonts w:eastAsiaTheme="minorEastAsia"/>
          <w:rtl/>
        </w:rPr>
        <w:t>(</w:t>
      </w:r>
      <w:r w:rsidRPr="008257F2">
        <w:rPr>
          <w:rFonts w:eastAsiaTheme="minorEastAsia"/>
          <w:rtl/>
        </w:rPr>
        <w:t>2</w:t>
      </w:r>
      <w:r w:rsidRPr="00A91733">
        <w:rPr>
          <w:rFonts w:eastAsiaTheme="minorEastAsia"/>
          <w:rtl/>
        </w:rPr>
        <w:t>)</w:t>
      </w:r>
      <w:r w:rsidR="002531A3">
        <w:rPr>
          <w:rFonts w:eastAsiaTheme="minorEastAsia"/>
          <w:rtl/>
        </w:rPr>
        <w:t>،</w:t>
      </w:r>
      <w:r w:rsidRPr="00A91733">
        <w:rPr>
          <w:rFonts w:eastAsiaTheme="minorEastAsia"/>
          <w:rtl/>
        </w:rPr>
        <w:t xml:space="preserve"> يؤكد</w:t>
      </w:r>
      <w:r w:rsidR="00DA3DC9">
        <w:rPr>
          <w:rFonts w:eastAsiaTheme="minorEastAsia" w:hint="cs"/>
          <w:rtl/>
        </w:rPr>
        <w:t> </w:t>
      </w:r>
      <w:r w:rsidRPr="00A91733">
        <w:rPr>
          <w:rFonts w:eastAsiaTheme="minorEastAsia"/>
          <w:rtl/>
        </w:rPr>
        <w:t>صاحب البلاغ أن مكتب الادعاء والمحاكم لم يقدما أي دليل مباشر على إدانته</w:t>
      </w:r>
      <w:r w:rsidR="002531A3">
        <w:rPr>
          <w:rFonts w:eastAsiaTheme="minorEastAsia"/>
          <w:rtl/>
        </w:rPr>
        <w:t>،</w:t>
      </w:r>
      <w:r w:rsidRPr="00A91733">
        <w:rPr>
          <w:rFonts w:eastAsiaTheme="minorEastAsia"/>
          <w:rtl/>
        </w:rPr>
        <w:t xml:space="preserve"> ومع ذلك لم تفسر جميع الشكوك لصالح المتهم. ويدفع بأن المحاكم المحلية لم تستخدم جميع الخيارات القانونية المتاحة بموجب قانون الإجراءات الجنائية</w:t>
      </w:r>
      <w:r w:rsidR="002531A3">
        <w:rPr>
          <w:rFonts w:eastAsiaTheme="minorEastAsia"/>
          <w:rtl/>
        </w:rPr>
        <w:t>،</w:t>
      </w:r>
      <w:r w:rsidRPr="00A91733">
        <w:rPr>
          <w:rFonts w:eastAsiaTheme="minorEastAsia"/>
          <w:rtl/>
        </w:rPr>
        <w:t xml:space="preserve"> الأمر الذي كان من شأنه أن يسمح لصاحب البلاغ بأن يطّلع على الملفين السريين وأن يمارس حقوقه الأساسية ممارسةً كاملة في إعداد الدفاع</w:t>
      </w:r>
      <w:r w:rsidR="002531A3">
        <w:rPr>
          <w:rFonts w:eastAsiaTheme="minorEastAsia"/>
          <w:rtl/>
        </w:rPr>
        <w:t>،</w:t>
      </w:r>
      <w:r w:rsidRPr="00A91733">
        <w:rPr>
          <w:rFonts w:eastAsiaTheme="minorEastAsia"/>
          <w:rtl/>
        </w:rPr>
        <w:t xml:space="preserve"> مما أدى بدوره إلى انتهاك حقه في افتراض براءته إلى أن تثبت إدانته. ويبين صاحب البلاغ أنه شعر طوال فترة إعادة المحاكمة بأن المحاكم تصرفت بطريقة متحيزة وأنها تحاملت عليه</w:t>
      </w:r>
      <w:r w:rsidR="002531A3">
        <w:rPr>
          <w:rFonts w:eastAsiaTheme="minorEastAsia"/>
          <w:rtl/>
        </w:rPr>
        <w:t>،</w:t>
      </w:r>
      <w:r w:rsidRPr="00A91733">
        <w:rPr>
          <w:rFonts w:eastAsiaTheme="minorEastAsia"/>
          <w:rtl/>
        </w:rPr>
        <w:t xml:space="preserve"> وصورته في صورة مذنب منذ البداية وألمحت إليه ببتها سلفاً في ذنبه. ويذكر صاحب البلاغ أيضاً أنه متأثر جداً بموقف الآخرين منه.</w:t>
      </w:r>
    </w:p>
    <w:p w14:paraId="145C0880" w14:textId="270130F3" w:rsidR="00517810" w:rsidRPr="00A91733" w:rsidRDefault="00517810" w:rsidP="00A91733">
      <w:pPr>
        <w:pStyle w:val="SingleTxtGA"/>
        <w:rPr>
          <w:rFonts w:eastAsiaTheme="minorEastAsia"/>
          <w:lang w:val="ar-SA" w:eastAsia="zh-TW" w:bidi="en-GB"/>
        </w:rPr>
      </w:pPr>
      <w:r w:rsidRPr="008257F2">
        <w:rPr>
          <w:rFonts w:eastAsiaTheme="minorEastAsia"/>
          <w:rtl/>
        </w:rPr>
        <w:t>5</w:t>
      </w:r>
      <w:r w:rsidRPr="00A91733">
        <w:rPr>
          <w:rFonts w:eastAsiaTheme="minorEastAsia"/>
          <w:rtl/>
        </w:rPr>
        <w:t>-</w:t>
      </w:r>
      <w:r w:rsidRPr="008257F2">
        <w:rPr>
          <w:rFonts w:eastAsiaTheme="minorEastAsia"/>
          <w:rtl/>
        </w:rPr>
        <w:t>6</w:t>
      </w:r>
      <w:r w:rsidRPr="00A91733">
        <w:rPr>
          <w:rFonts w:eastAsiaTheme="minorEastAsia"/>
          <w:rtl/>
        </w:rPr>
        <w:tab/>
        <w:t>وفيما يتعلق بحجة الدولة الطرف بأن المسألة نفسها قد بُحثت بموجب إجراء آخر من إجراءات التسوية الدولية</w:t>
      </w:r>
      <w:r w:rsidR="002531A3">
        <w:rPr>
          <w:rFonts w:eastAsiaTheme="minorEastAsia"/>
          <w:rtl/>
        </w:rPr>
        <w:t>،</w:t>
      </w:r>
      <w:r w:rsidRPr="00A91733">
        <w:rPr>
          <w:rFonts w:eastAsiaTheme="minorEastAsia"/>
          <w:rtl/>
        </w:rPr>
        <w:t xml:space="preserve"> يدفع صاحب البلاغ بأن البلاغ المعروض على اللجنة يتعلق بإجراءات إعادة المحاكمة التي أدت إلى انتهاك حقه في محاكمة عادلة</w:t>
      </w:r>
      <w:r w:rsidR="002531A3">
        <w:rPr>
          <w:rFonts w:eastAsiaTheme="minorEastAsia"/>
          <w:rtl/>
        </w:rPr>
        <w:t>،</w:t>
      </w:r>
      <w:r w:rsidRPr="00A91733">
        <w:rPr>
          <w:rFonts w:eastAsiaTheme="minorEastAsia"/>
          <w:rtl/>
        </w:rPr>
        <w:t xml:space="preserve"> عقب صدور حكم المحكمة الأوروبية لحقوق الإنسان في عام </w:t>
      </w:r>
      <w:r w:rsidRPr="008257F2">
        <w:rPr>
          <w:rFonts w:eastAsiaTheme="minorEastAsia"/>
          <w:rtl/>
        </w:rPr>
        <w:t>2013</w:t>
      </w:r>
      <w:r w:rsidRPr="00A91733">
        <w:rPr>
          <w:rFonts w:eastAsiaTheme="minorEastAsia"/>
          <w:rtl/>
        </w:rPr>
        <w:t>. ويؤكد كذلك أنه قدم البلاغ إلى اللجنة في غضون إطار زمني معقول.</w:t>
      </w:r>
    </w:p>
    <w:p w14:paraId="29BEC110" w14:textId="77777777" w:rsidR="00517810" w:rsidRPr="008257F2" w:rsidRDefault="00517810" w:rsidP="00A91733">
      <w:pPr>
        <w:pStyle w:val="H23GA"/>
        <w:rPr>
          <w:lang w:val="ar-SA" w:eastAsia="zh-TW" w:bidi="en-GB"/>
        </w:rPr>
      </w:pPr>
      <w:r w:rsidRPr="008257F2">
        <w:rPr>
          <w:rtl/>
        </w:rPr>
        <w:tab/>
      </w:r>
      <w:r w:rsidRPr="008257F2">
        <w:rPr>
          <w:rtl/>
        </w:rPr>
        <w:tab/>
        <w:t>ملاحظات الدولة الطرف بشأن المقبولية</w:t>
      </w:r>
    </w:p>
    <w:p w14:paraId="16013CE3" w14:textId="1C84B38A" w:rsidR="00517810" w:rsidRPr="008257F2" w:rsidRDefault="00517810" w:rsidP="00A91733">
      <w:pPr>
        <w:pStyle w:val="SingleTxtGA"/>
        <w:rPr>
          <w:rFonts w:eastAsiaTheme="minorEastAsia"/>
          <w:iCs/>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1</w:t>
      </w:r>
      <w:r w:rsidRPr="00A91733">
        <w:rPr>
          <w:rFonts w:eastAsiaTheme="minorEastAsia"/>
          <w:rtl/>
        </w:rPr>
        <w:tab/>
        <w:t xml:space="preserve">قدمت الدولة الطرف ملاحظاتها في مذكرة شفوية مؤرخة </w:t>
      </w:r>
      <w:r w:rsidRPr="008257F2">
        <w:rPr>
          <w:rFonts w:eastAsiaTheme="minorEastAsia"/>
          <w:rtl/>
        </w:rPr>
        <w:t>13</w:t>
      </w:r>
      <w:r w:rsidRPr="00A91733">
        <w:rPr>
          <w:rFonts w:eastAsiaTheme="minorEastAsia"/>
          <w:rtl/>
        </w:rPr>
        <w:t xml:space="preserve"> آب/أغسطس </w:t>
      </w:r>
      <w:r w:rsidRPr="008257F2">
        <w:rPr>
          <w:rFonts w:eastAsiaTheme="minorEastAsia"/>
          <w:rtl/>
        </w:rPr>
        <w:t>2018</w:t>
      </w:r>
      <w:r w:rsidRPr="00A91733">
        <w:rPr>
          <w:rFonts w:eastAsiaTheme="minorEastAsia"/>
          <w:rtl/>
        </w:rPr>
        <w:t>. وفيما يتعلق بادعاءات صاحب البلاغ المتعلقة بتحريض الشرطة</w:t>
      </w:r>
      <w:r w:rsidR="002531A3">
        <w:rPr>
          <w:rFonts w:eastAsiaTheme="minorEastAsia"/>
          <w:rtl/>
        </w:rPr>
        <w:t>،</w:t>
      </w:r>
      <w:r w:rsidRPr="00A91733">
        <w:rPr>
          <w:rFonts w:eastAsiaTheme="minorEastAsia"/>
          <w:rtl/>
        </w:rPr>
        <w:t xml:space="preserve"> تلاحظ الدولة الطرف أن حكم المحكمة الأوروبية لحقوق الإنسان يشير إلى التزامين منفصلين يقعان على عاتق الدول ويرتبط كلاهما بعدالة المحاكمات.</w:t>
      </w:r>
    </w:p>
    <w:p w14:paraId="48897B2C" w14:textId="5EBB638A" w:rsidR="00517810" w:rsidRPr="002531A3" w:rsidRDefault="00517810" w:rsidP="00A91733">
      <w:pPr>
        <w:pStyle w:val="SingleTxtGA"/>
        <w:rPr>
          <w:rFonts w:eastAsiaTheme="minorEastAsia"/>
          <w:spacing w:val="-4"/>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2</w:t>
      </w:r>
      <w:r w:rsidRPr="00A91733">
        <w:rPr>
          <w:rFonts w:eastAsiaTheme="minorEastAsia"/>
          <w:rtl/>
        </w:rPr>
        <w:tab/>
        <w:t>ينطوي الالتزام الأول</w:t>
      </w:r>
      <w:r w:rsidR="002531A3">
        <w:rPr>
          <w:rFonts w:eastAsiaTheme="minorEastAsia"/>
          <w:rtl/>
        </w:rPr>
        <w:t>،</w:t>
      </w:r>
      <w:r w:rsidRPr="00A91733">
        <w:rPr>
          <w:rFonts w:eastAsiaTheme="minorEastAsia"/>
          <w:rtl/>
        </w:rPr>
        <w:t xml:space="preserve"> الناشئ عن الشق الموضوعي من الحق في محاكمة عادلة</w:t>
      </w:r>
      <w:r w:rsidR="002531A3">
        <w:rPr>
          <w:rFonts w:eastAsiaTheme="minorEastAsia"/>
          <w:rtl/>
        </w:rPr>
        <w:t>،</w:t>
      </w:r>
      <w:r w:rsidRPr="00A91733">
        <w:rPr>
          <w:rFonts w:eastAsiaTheme="minorEastAsia"/>
          <w:rtl/>
        </w:rPr>
        <w:t xml:space="preserve"> على أن</w:t>
      </w:r>
      <w:r w:rsidR="00A362E2">
        <w:rPr>
          <w:rFonts w:eastAsiaTheme="minorEastAsia" w:hint="cs"/>
          <w:rtl/>
        </w:rPr>
        <w:t> </w:t>
      </w:r>
      <w:r w:rsidRPr="00A91733">
        <w:rPr>
          <w:rFonts w:eastAsiaTheme="minorEastAsia"/>
          <w:rtl/>
        </w:rPr>
        <w:t xml:space="preserve">أنشطة التحقيق التي تضطلع بها سلطات إنفاذ القانون يجب ألا تتجاوز أنشطة التحقيق التي يقوم بها </w:t>
      </w:r>
      <w:r w:rsidRPr="002531A3">
        <w:rPr>
          <w:rFonts w:eastAsiaTheme="minorEastAsia"/>
          <w:spacing w:val="-4"/>
          <w:rtl/>
        </w:rPr>
        <w:lastRenderedPageBreak/>
        <w:t>العملاء السريون</w:t>
      </w:r>
      <w:r w:rsidR="002531A3" w:rsidRPr="002531A3">
        <w:rPr>
          <w:rFonts w:eastAsiaTheme="minorEastAsia"/>
          <w:spacing w:val="-4"/>
          <w:rtl/>
        </w:rPr>
        <w:t>،</w:t>
      </w:r>
      <w:r w:rsidRPr="002531A3">
        <w:rPr>
          <w:rFonts w:eastAsiaTheme="minorEastAsia"/>
          <w:spacing w:val="-4"/>
          <w:rtl/>
        </w:rPr>
        <w:t xml:space="preserve"> وبعبارة أخرى</w:t>
      </w:r>
      <w:r w:rsidR="002531A3" w:rsidRPr="002531A3">
        <w:rPr>
          <w:rFonts w:eastAsiaTheme="minorEastAsia"/>
          <w:spacing w:val="-4"/>
          <w:rtl/>
        </w:rPr>
        <w:t>،</w:t>
      </w:r>
      <w:r w:rsidRPr="002531A3">
        <w:rPr>
          <w:rFonts w:eastAsiaTheme="minorEastAsia"/>
          <w:spacing w:val="-4"/>
          <w:rtl/>
        </w:rPr>
        <w:t xml:space="preserve"> يلزم إثبات ما إذا كانت الجريمة ستُرتكب من دون تدخل السلطات</w:t>
      </w:r>
      <w:r w:rsidR="00A91733" w:rsidRPr="007D2254">
        <w:rPr>
          <w:rStyle w:val="FootnoteReference"/>
          <w:rFonts w:eastAsiaTheme="minorEastAsia"/>
          <w:spacing w:val="-4"/>
          <w:szCs w:val="22"/>
          <w:rtl/>
        </w:rPr>
        <w:t>(</w:t>
      </w:r>
      <w:r w:rsidR="00A91733" w:rsidRPr="008257F2">
        <w:rPr>
          <w:rStyle w:val="FootnoteReference"/>
          <w:rFonts w:eastAsiaTheme="minorEastAsia"/>
          <w:spacing w:val="-4"/>
          <w:szCs w:val="22"/>
          <w:lang w:val="en-US"/>
        </w:rPr>
        <w:footnoteReference w:id="12"/>
      </w:r>
      <w:r w:rsidR="00A91733" w:rsidRPr="007D2254">
        <w:rPr>
          <w:rStyle w:val="FootnoteReference"/>
          <w:rFonts w:eastAsiaTheme="minorEastAsia"/>
          <w:spacing w:val="-4"/>
          <w:szCs w:val="22"/>
          <w:rtl/>
        </w:rPr>
        <w:t>)</w:t>
      </w:r>
      <w:r w:rsidRPr="002531A3">
        <w:rPr>
          <w:rFonts w:eastAsiaTheme="minorEastAsia"/>
          <w:spacing w:val="-4"/>
          <w:rtl/>
        </w:rPr>
        <w:t>. وفيما</w:t>
      </w:r>
      <w:r w:rsidR="00A362E2">
        <w:rPr>
          <w:rFonts w:eastAsiaTheme="minorEastAsia" w:hint="cs"/>
          <w:spacing w:val="-4"/>
          <w:rtl/>
        </w:rPr>
        <w:t> </w:t>
      </w:r>
      <w:r w:rsidRPr="002531A3">
        <w:rPr>
          <w:rFonts w:eastAsiaTheme="minorEastAsia"/>
          <w:spacing w:val="-4"/>
          <w:rtl/>
        </w:rPr>
        <w:t>يتعلق أيضاً بالالتزام الموضوعي</w:t>
      </w:r>
      <w:r w:rsidR="002531A3" w:rsidRPr="002531A3">
        <w:rPr>
          <w:rFonts w:eastAsiaTheme="minorEastAsia"/>
          <w:spacing w:val="-4"/>
          <w:rtl/>
        </w:rPr>
        <w:t>،</w:t>
      </w:r>
      <w:r w:rsidRPr="002531A3">
        <w:rPr>
          <w:rFonts w:eastAsiaTheme="minorEastAsia"/>
          <w:spacing w:val="-4"/>
          <w:rtl/>
        </w:rPr>
        <w:t xml:space="preserve"> تشدد الدولة الطرف على أن المحكمة الأوروبية لحقوق الإنسان</w:t>
      </w:r>
      <w:r w:rsidR="002531A3" w:rsidRPr="002531A3">
        <w:rPr>
          <w:rFonts w:eastAsiaTheme="minorEastAsia"/>
          <w:spacing w:val="-4"/>
          <w:rtl/>
        </w:rPr>
        <w:t>،</w:t>
      </w:r>
      <w:r w:rsidRPr="002531A3">
        <w:rPr>
          <w:rFonts w:eastAsiaTheme="minorEastAsia"/>
          <w:spacing w:val="-4"/>
          <w:rtl/>
        </w:rPr>
        <w:t xml:space="preserve"> خلافاً</w:t>
      </w:r>
      <w:r w:rsidR="00FF2573">
        <w:rPr>
          <w:rFonts w:eastAsiaTheme="minorEastAsia" w:hint="cs"/>
          <w:spacing w:val="-4"/>
          <w:rtl/>
        </w:rPr>
        <w:t> </w:t>
      </w:r>
      <w:r w:rsidRPr="002531A3">
        <w:rPr>
          <w:rFonts w:eastAsiaTheme="minorEastAsia"/>
          <w:spacing w:val="-4"/>
          <w:rtl/>
        </w:rPr>
        <w:t>للادعاءات التي أثارها صاحب البلاغ في بلاغه</w:t>
      </w:r>
      <w:r w:rsidR="002531A3" w:rsidRPr="002531A3">
        <w:rPr>
          <w:rFonts w:eastAsiaTheme="minorEastAsia"/>
          <w:spacing w:val="-4"/>
          <w:rtl/>
        </w:rPr>
        <w:t>،</w:t>
      </w:r>
      <w:r w:rsidRPr="002531A3">
        <w:rPr>
          <w:rFonts w:eastAsiaTheme="minorEastAsia"/>
          <w:spacing w:val="-4"/>
          <w:rtl/>
        </w:rPr>
        <w:t xml:space="preserve"> لم تخلص قط إلى أن إجراءات سلطات إنفاذ</w:t>
      </w:r>
      <w:r w:rsidR="002F5400" w:rsidRPr="002531A3">
        <w:rPr>
          <w:rFonts w:eastAsiaTheme="minorEastAsia" w:hint="cs"/>
          <w:spacing w:val="-4"/>
          <w:rtl/>
        </w:rPr>
        <w:t> </w:t>
      </w:r>
      <w:r w:rsidRPr="002531A3">
        <w:rPr>
          <w:rFonts w:eastAsiaTheme="minorEastAsia"/>
          <w:spacing w:val="-4"/>
          <w:rtl/>
        </w:rPr>
        <w:t>القانون المحلية قد تجاوزت في الواقع الإجراءات المسموح بها للعملاء السريين</w:t>
      </w:r>
      <w:r w:rsidR="002531A3" w:rsidRPr="002531A3">
        <w:rPr>
          <w:rFonts w:eastAsiaTheme="minorEastAsia"/>
          <w:spacing w:val="-4"/>
          <w:rtl/>
        </w:rPr>
        <w:t>،</w:t>
      </w:r>
      <w:r w:rsidRPr="002531A3">
        <w:rPr>
          <w:rFonts w:eastAsiaTheme="minorEastAsia"/>
          <w:spacing w:val="-4"/>
          <w:rtl/>
        </w:rPr>
        <w:t xml:space="preserve"> مما عرّض صاحب البلاغ للتحريض.</w:t>
      </w:r>
    </w:p>
    <w:p w14:paraId="5D47355A" w14:textId="71D381D4" w:rsidR="00517810" w:rsidRPr="00A362E2" w:rsidRDefault="00517810" w:rsidP="00A91733">
      <w:pPr>
        <w:pStyle w:val="SingleTxtGA"/>
        <w:rPr>
          <w:rStyle w:val="FootnoteReference"/>
          <w:rFonts w:eastAsiaTheme="minorEastAsia"/>
          <w:spacing w:val="-4"/>
          <w:szCs w:val="22"/>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3</w:t>
      </w:r>
      <w:r w:rsidRPr="00A91733">
        <w:rPr>
          <w:rFonts w:eastAsiaTheme="minorEastAsia"/>
          <w:rtl/>
        </w:rPr>
        <w:tab/>
      </w:r>
      <w:r w:rsidRPr="00A362E2">
        <w:rPr>
          <w:rFonts w:eastAsiaTheme="minorEastAsia"/>
          <w:spacing w:val="-4"/>
          <w:rtl/>
        </w:rPr>
        <w:t>وبدلاً من ذلك</w:t>
      </w:r>
      <w:r w:rsidR="002531A3" w:rsidRPr="00A362E2">
        <w:rPr>
          <w:rFonts w:eastAsiaTheme="minorEastAsia"/>
          <w:spacing w:val="-4"/>
          <w:rtl/>
        </w:rPr>
        <w:t>،</w:t>
      </w:r>
      <w:r w:rsidRPr="00A362E2">
        <w:rPr>
          <w:rFonts w:eastAsiaTheme="minorEastAsia"/>
          <w:spacing w:val="-4"/>
          <w:rtl/>
        </w:rPr>
        <w:t xml:space="preserve"> أشارت المحكمة الأوروبية لحقوق الإنسان في استنتاجاتها إلى التزام مختلف تماماً</w:t>
      </w:r>
      <w:r w:rsidR="002531A3" w:rsidRPr="00A362E2">
        <w:rPr>
          <w:rFonts w:eastAsiaTheme="minorEastAsia"/>
          <w:spacing w:val="-4"/>
          <w:rtl/>
        </w:rPr>
        <w:t>،</w:t>
      </w:r>
      <w:r w:rsidRPr="00A362E2">
        <w:rPr>
          <w:rFonts w:eastAsiaTheme="minorEastAsia"/>
          <w:spacing w:val="-4"/>
          <w:rtl/>
        </w:rPr>
        <w:t xml:space="preserve"> ألا وهو الجانب الإجرائي من الحق في محاكمة عادلة يتعين بموجبه على المحاكم المحلية أن تبت في ادعاء التحريض لضمان حماية كافية لحقوق الدفاع. وبعبارة أخرى</w:t>
      </w:r>
      <w:r w:rsidR="002531A3" w:rsidRPr="00A362E2">
        <w:rPr>
          <w:rFonts w:eastAsiaTheme="minorEastAsia"/>
          <w:spacing w:val="-4"/>
          <w:rtl/>
        </w:rPr>
        <w:t>،</w:t>
      </w:r>
      <w:r w:rsidRPr="00A362E2">
        <w:rPr>
          <w:rFonts w:eastAsiaTheme="minorEastAsia"/>
          <w:spacing w:val="-4"/>
          <w:rtl/>
        </w:rPr>
        <w:t xml:space="preserve"> عند تقديم ادعاء وجيه بالتحريض أثناء محاكمة جنائية</w:t>
      </w:r>
      <w:r w:rsidR="002531A3" w:rsidRPr="00A362E2">
        <w:rPr>
          <w:rFonts w:eastAsiaTheme="minorEastAsia"/>
          <w:spacing w:val="-4"/>
          <w:rtl/>
        </w:rPr>
        <w:t>،</w:t>
      </w:r>
      <w:r w:rsidRPr="00A362E2">
        <w:rPr>
          <w:rFonts w:eastAsiaTheme="minorEastAsia"/>
          <w:spacing w:val="-4"/>
          <w:rtl/>
        </w:rPr>
        <w:t xml:space="preserve"> يتعين على المحاكم المحلية اتخاذ الخطوات اللازمة لإثبات عدم حدوث أي تحريض من الشرطة</w:t>
      </w:r>
      <w:r w:rsidR="00A91733" w:rsidRPr="007D2254">
        <w:rPr>
          <w:rStyle w:val="FootnoteReference"/>
          <w:rFonts w:eastAsiaTheme="minorEastAsia"/>
          <w:spacing w:val="-4"/>
          <w:szCs w:val="22"/>
          <w:rtl/>
        </w:rPr>
        <w:t>(</w:t>
      </w:r>
      <w:r w:rsidR="00A91733" w:rsidRPr="008257F2">
        <w:rPr>
          <w:rStyle w:val="FootnoteReference"/>
          <w:rFonts w:eastAsiaTheme="minorEastAsia"/>
          <w:spacing w:val="-4"/>
          <w:szCs w:val="22"/>
          <w:lang w:val="en-US"/>
        </w:rPr>
        <w:footnoteReference w:id="13"/>
      </w:r>
      <w:r w:rsidR="00A91733" w:rsidRPr="007D2254">
        <w:rPr>
          <w:rStyle w:val="FootnoteReference"/>
          <w:rFonts w:eastAsiaTheme="minorEastAsia"/>
          <w:spacing w:val="-4"/>
          <w:szCs w:val="22"/>
          <w:rtl/>
        </w:rPr>
        <w:t>)</w:t>
      </w:r>
      <w:r w:rsidRPr="00A362E2">
        <w:rPr>
          <w:rFonts w:eastAsiaTheme="minorEastAsia"/>
          <w:spacing w:val="-4"/>
          <w:rtl/>
        </w:rPr>
        <w:t>.</w:t>
      </w:r>
    </w:p>
    <w:p w14:paraId="0FD6ACE4" w14:textId="77777777" w:rsidR="00517810" w:rsidRPr="00A91733" w:rsidRDefault="00517810" w:rsidP="00A91733">
      <w:pPr>
        <w:pStyle w:val="SingleTxtGA"/>
        <w:rPr>
          <w:rFonts w:eastAsiaTheme="minorEastAsia"/>
          <w:lang w:val="fr-CH" w:eastAsia="zh-TW" w:bidi="en-GB"/>
        </w:rPr>
      </w:pPr>
      <w:r w:rsidRPr="008257F2">
        <w:rPr>
          <w:rFonts w:eastAsiaTheme="minorEastAsia"/>
          <w:rtl/>
        </w:rPr>
        <w:t>6</w:t>
      </w:r>
      <w:r w:rsidRPr="00A91733">
        <w:rPr>
          <w:rFonts w:eastAsiaTheme="minorEastAsia"/>
          <w:rtl/>
        </w:rPr>
        <w:t>-</w:t>
      </w:r>
      <w:r w:rsidRPr="008257F2">
        <w:rPr>
          <w:rFonts w:eastAsiaTheme="minorEastAsia"/>
          <w:rtl/>
        </w:rPr>
        <w:t>4</w:t>
      </w:r>
      <w:r w:rsidRPr="00A91733">
        <w:rPr>
          <w:rFonts w:eastAsiaTheme="minorEastAsia"/>
          <w:rtl/>
        </w:rPr>
        <w:tab/>
        <w:t>وتلاحظ الدولة الطرف أن الجانب الإجرائي من الحق في محاكمة عادلة هو الذي كان على المحك أثناء الفصل من جديد في المحاكمة الجنائية لصاحب البلاغ. وتشدد الدولة الطرف على أن نتيجة الفصل في الدعوى من جديد تشكل بدورها جوهر الشكوى الحالية التي قدمها صاحب البلاغ أمام اللجنة.</w:t>
      </w:r>
    </w:p>
    <w:p w14:paraId="39B36F96" w14:textId="5148F86D" w:rsidR="00517810" w:rsidRPr="00A91733" w:rsidRDefault="00517810" w:rsidP="00A91733">
      <w:pPr>
        <w:pStyle w:val="SingleTxtGA"/>
        <w:rPr>
          <w:rFonts w:eastAsiaTheme="minorEastAsia"/>
          <w:lang w:val="ar-SA" w:eastAsia="zh-TW" w:bidi="en-GB"/>
        </w:rPr>
      </w:pPr>
      <w:r w:rsidRPr="008257F2">
        <w:rPr>
          <w:rFonts w:eastAsiaTheme="minorEastAsia"/>
          <w:spacing w:val="-2"/>
          <w:rtl/>
        </w:rPr>
        <w:t>6</w:t>
      </w:r>
      <w:r w:rsidRPr="00ED75F6">
        <w:rPr>
          <w:rFonts w:eastAsiaTheme="minorEastAsia"/>
          <w:spacing w:val="-2"/>
          <w:rtl/>
        </w:rPr>
        <w:t>-</w:t>
      </w:r>
      <w:r w:rsidRPr="008257F2">
        <w:rPr>
          <w:rFonts w:eastAsiaTheme="minorEastAsia"/>
          <w:spacing w:val="-2"/>
          <w:rtl/>
        </w:rPr>
        <w:t>5</w:t>
      </w:r>
      <w:r w:rsidRPr="00ED75F6">
        <w:rPr>
          <w:rFonts w:eastAsiaTheme="minorEastAsia"/>
          <w:spacing w:val="-2"/>
          <w:rtl/>
        </w:rPr>
        <w:tab/>
        <w:t>وتذكّر الدولة الطرف بأن المحكمة الأوروبية لحقوق الإنسان قد حددت</w:t>
      </w:r>
      <w:r w:rsidR="002531A3" w:rsidRPr="00ED75F6">
        <w:rPr>
          <w:rFonts w:eastAsiaTheme="minorEastAsia"/>
          <w:spacing w:val="-2"/>
          <w:rtl/>
        </w:rPr>
        <w:t>،</w:t>
      </w:r>
      <w:r w:rsidRPr="00ED75F6">
        <w:rPr>
          <w:rFonts w:eastAsiaTheme="minorEastAsia"/>
          <w:spacing w:val="-2"/>
          <w:rtl/>
        </w:rPr>
        <w:t xml:space="preserve"> في حكمها الصادر في</w:t>
      </w:r>
      <w:r w:rsidR="00ED75F6" w:rsidRPr="00ED75F6">
        <w:rPr>
          <w:rFonts w:eastAsiaTheme="minorEastAsia" w:hint="cs"/>
          <w:spacing w:val="-2"/>
          <w:rtl/>
        </w:rPr>
        <w:t xml:space="preserve"> </w:t>
      </w:r>
      <w:r w:rsidRPr="008257F2">
        <w:rPr>
          <w:rFonts w:eastAsiaTheme="minorEastAsia"/>
          <w:rtl/>
        </w:rPr>
        <w:t>8</w:t>
      </w:r>
      <w:r w:rsidRPr="00A91733">
        <w:rPr>
          <w:rFonts w:eastAsiaTheme="minorEastAsia"/>
          <w:rtl/>
        </w:rPr>
        <w:t xml:space="preserve"> كانون الثاني/يناير </w:t>
      </w:r>
      <w:r w:rsidRPr="008257F2">
        <w:rPr>
          <w:rFonts w:eastAsiaTheme="minorEastAsia"/>
          <w:rtl/>
        </w:rPr>
        <w:t>2013</w:t>
      </w:r>
      <w:r w:rsidR="002531A3">
        <w:rPr>
          <w:rFonts w:eastAsiaTheme="minorEastAsia"/>
          <w:rtl/>
        </w:rPr>
        <w:t>،</w:t>
      </w:r>
      <w:r w:rsidRPr="00A91733">
        <w:rPr>
          <w:rFonts w:eastAsiaTheme="minorEastAsia"/>
          <w:rtl/>
        </w:rPr>
        <w:t xml:space="preserve"> عدة أوجه قصور فيما يتعلق بالمحاكمة الأولية لصاحب البلاغ</w:t>
      </w:r>
      <w:r w:rsidR="002531A3">
        <w:rPr>
          <w:rFonts w:eastAsiaTheme="minorEastAsia"/>
          <w:rtl/>
        </w:rPr>
        <w:t>،</w:t>
      </w:r>
      <w:r w:rsidRPr="00A91733">
        <w:rPr>
          <w:rFonts w:eastAsiaTheme="minorEastAsia"/>
          <w:rtl/>
        </w:rPr>
        <w:t xml:space="preserve"> ولا</w:t>
      </w:r>
      <w:r w:rsidR="002F5400">
        <w:rPr>
          <w:rFonts w:eastAsiaTheme="minorEastAsia" w:hint="cs"/>
          <w:rtl/>
        </w:rPr>
        <w:t> </w:t>
      </w:r>
      <w:r w:rsidRPr="00A91733">
        <w:rPr>
          <w:rFonts w:eastAsiaTheme="minorEastAsia"/>
          <w:rtl/>
        </w:rPr>
        <w:t>سيما عدم اضطلاع المحاكم المحلية المختصة بمراجعة وتقييم متعمقين لأعمال ضباط الشرطة السريين</w:t>
      </w:r>
      <w:r w:rsidR="002531A3">
        <w:rPr>
          <w:rFonts w:eastAsiaTheme="minorEastAsia"/>
          <w:rtl/>
        </w:rPr>
        <w:t>،</w:t>
      </w:r>
      <w:r w:rsidRPr="00A91733">
        <w:rPr>
          <w:rFonts w:eastAsiaTheme="minorEastAsia"/>
          <w:rtl/>
        </w:rPr>
        <w:t xml:space="preserve"> مما</w:t>
      </w:r>
      <w:r w:rsidR="00A91733">
        <w:rPr>
          <w:rFonts w:eastAsiaTheme="minorEastAsia" w:hint="cs"/>
          <w:rtl/>
        </w:rPr>
        <w:t> </w:t>
      </w:r>
      <w:r w:rsidRPr="00A91733">
        <w:rPr>
          <w:rFonts w:eastAsiaTheme="minorEastAsia"/>
          <w:rtl/>
        </w:rPr>
        <w:t>أدى إلى انتهاك الجانب الإجرائي من الحق في محاكمة عادلة وإعادة المحاكمة لاحقاً.</w:t>
      </w:r>
    </w:p>
    <w:p w14:paraId="33CC8F48" w14:textId="4EFA8B42" w:rsidR="00517810" w:rsidRPr="00A362E2" w:rsidRDefault="00517810" w:rsidP="00A91733">
      <w:pPr>
        <w:pStyle w:val="SingleTxtGA"/>
        <w:rPr>
          <w:rFonts w:eastAsiaTheme="minorEastAsia"/>
          <w:spacing w:val="-6"/>
          <w:lang w:val="en-US" w:eastAsia="zh-TW" w:bidi="en-GB"/>
        </w:rPr>
      </w:pPr>
      <w:r w:rsidRPr="008257F2">
        <w:rPr>
          <w:rFonts w:eastAsiaTheme="minorEastAsia"/>
          <w:spacing w:val="-4"/>
          <w:rtl/>
        </w:rPr>
        <w:t>6</w:t>
      </w:r>
      <w:r w:rsidRPr="00A362E2">
        <w:rPr>
          <w:rFonts w:eastAsiaTheme="minorEastAsia"/>
          <w:spacing w:val="-4"/>
          <w:rtl/>
        </w:rPr>
        <w:t>-</w:t>
      </w:r>
      <w:r w:rsidRPr="008257F2">
        <w:rPr>
          <w:rFonts w:eastAsiaTheme="minorEastAsia"/>
          <w:spacing w:val="-4"/>
          <w:rtl/>
        </w:rPr>
        <w:t>6</w:t>
      </w:r>
      <w:r w:rsidRPr="00A362E2">
        <w:rPr>
          <w:rFonts w:eastAsiaTheme="minorEastAsia"/>
          <w:spacing w:val="-4"/>
          <w:rtl/>
        </w:rPr>
        <w:tab/>
        <w:t>وفي هذا الصدد</w:t>
      </w:r>
      <w:r w:rsidR="002531A3" w:rsidRPr="00A362E2">
        <w:rPr>
          <w:rFonts w:eastAsiaTheme="minorEastAsia"/>
          <w:spacing w:val="-4"/>
          <w:rtl/>
        </w:rPr>
        <w:t>،</w:t>
      </w:r>
      <w:r w:rsidRPr="00A362E2">
        <w:rPr>
          <w:rFonts w:eastAsiaTheme="minorEastAsia"/>
          <w:spacing w:val="-4"/>
          <w:rtl/>
        </w:rPr>
        <w:t xml:space="preserve"> بذلت المحاكم المحلية المختصة قصارى جهدها لتعالج وتصحح بشكل واف المسائل التي حددتها المحكمة الأوروبية لحقوق الإنسان في حكمها المؤرخ </w:t>
      </w:r>
      <w:r w:rsidRPr="008257F2">
        <w:rPr>
          <w:rFonts w:eastAsiaTheme="minorEastAsia"/>
          <w:spacing w:val="-4"/>
          <w:rtl/>
        </w:rPr>
        <w:t>8</w:t>
      </w:r>
      <w:r w:rsidRPr="00A362E2">
        <w:rPr>
          <w:rFonts w:eastAsiaTheme="minorEastAsia"/>
          <w:spacing w:val="-4"/>
          <w:rtl/>
        </w:rPr>
        <w:t xml:space="preserve"> كانون الثاني/يناير </w:t>
      </w:r>
      <w:r w:rsidRPr="008257F2">
        <w:rPr>
          <w:rFonts w:eastAsiaTheme="minorEastAsia"/>
          <w:spacing w:val="-4"/>
          <w:rtl/>
        </w:rPr>
        <w:t>2013</w:t>
      </w:r>
      <w:r w:rsidR="002531A3" w:rsidRPr="00A362E2">
        <w:rPr>
          <w:rFonts w:eastAsiaTheme="minorEastAsia"/>
          <w:spacing w:val="-4"/>
          <w:rtl/>
        </w:rPr>
        <w:t>،</w:t>
      </w:r>
      <w:r w:rsidRPr="00A362E2">
        <w:rPr>
          <w:rFonts w:eastAsiaTheme="minorEastAsia"/>
          <w:spacing w:val="-4"/>
          <w:rtl/>
        </w:rPr>
        <w:t xml:space="preserve"> ولتفي </w:t>
      </w:r>
      <w:r w:rsidRPr="00A362E2">
        <w:rPr>
          <w:rFonts w:eastAsiaTheme="minorEastAsia"/>
          <w:spacing w:val="-6"/>
          <w:rtl/>
        </w:rPr>
        <w:t>بالالتزام الناشئ عن الجانب الإجرائي من الحق في محاكمة عادلة. وعلاوة على ذلك</w:t>
      </w:r>
      <w:r w:rsidR="002531A3" w:rsidRPr="00A362E2">
        <w:rPr>
          <w:rFonts w:eastAsiaTheme="minorEastAsia"/>
          <w:spacing w:val="-6"/>
          <w:rtl/>
        </w:rPr>
        <w:t>،</w:t>
      </w:r>
      <w:r w:rsidRPr="00A362E2">
        <w:rPr>
          <w:rFonts w:eastAsiaTheme="minorEastAsia"/>
          <w:spacing w:val="-6"/>
          <w:rtl/>
        </w:rPr>
        <w:t xml:space="preserve"> رفضت المحاكم المحلية</w:t>
      </w:r>
      <w:r w:rsidR="002531A3" w:rsidRPr="00A362E2">
        <w:rPr>
          <w:rFonts w:eastAsiaTheme="minorEastAsia"/>
          <w:spacing w:val="-6"/>
          <w:rtl/>
        </w:rPr>
        <w:t>،</w:t>
      </w:r>
      <w:r w:rsidRPr="00A362E2">
        <w:rPr>
          <w:rFonts w:eastAsiaTheme="minorEastAsia"/>
          <w:spacing w:val="-6"/>
          <w:rtl/>
        </w:rPr>
        <w:t xml:space="preserve"> أثناء إعادة المحاكمة</w:t>
      </w:r>
      <w:r w:rsidR="002531A3" w:rsidRPr="00A362E2">
        <w:rPr>
          <w:rFonts w:eastAsiaTheme="minorEastAsia"/>
          <w:spacing w:val="-6"/>
          <w:rtl/>
        </w:rPr>
        <w:t>،</w:t>
      </w:r>
      <w:r w:rsidRPr="00A362E2">
        <w:rPr>
          <w:rFonts w:eastAsiaTheme="minorEastAsia"/>
          <w:spacing w:val="-6"/>
          <w:rtl/>
        </w:rPr>
        <w:t xml:space="preserve"> رفضاً تاماً ادعاءات صاحب البلاغ المتعلقة بتحريض الشرطة بإصدار أحكام معللة ومبررة.</w:t>
      </w:r>
    </w:p>
    <w:p w14:paraId="49A18310" w14:textId="0B893B48" w:rsidR="00517810" w:rsidRPr="00A91733" w:rsidRDefault="00517810" w:rsidP="00A91733">
      <w:pPr>
        <w:pStyle w:val="SingleTxtGA"/>
        <w:rPr>
          <w:rFonts w:eastAsiaTheme="minorEastAsia"/>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7</w:t>
      </w:r>
      <w:r w:rsidRPr="00A91733">
        <w:rPr>
          <w:rFonts w:eastAsiaTheme="minorEastAsia"/>
          <w:rtl/>
        </w:rPr>
        <w:tab/>
        <w:t>وفيما يتعلق بادعاءات صاحب البلاغ أن الفصل من جديد في المحاكمة الجنائية يفتقر إلى الحياد والشفافية بسبب القيود التي فرضتها الهيئة القضائية المحلية على الحق في الكشف عن المعلومات للدفاع</w:t>
      </w:r>
      <w:r w:rsidR="002531A3">
        <w:rPr>
          <w:rFonts w:eastAsiaTheme="minorEastAsia"/>
          <w:rtl/>
        </w:rPr>
        <w:t>،</w:t>
      </w:r>
      <w:r w:rsidRPr="00A91733">
        <w:rPr>
          <w:rFonts w:eastAsiaTheme="minorEastAsia"/>
          <w:rtl/>
        </w:rPr>
        <w:t xml:space="preserve"> فإن الدولة الطرف مقتنعة بأن صاحب البلاغ لم يقدم مثالاً واحداً يدل على أن الهيئات القضائية المحلية تصرفت بطريقة تشير إلى تحيز شخصي أو تحامل ضده</w:t>
      </w:r>
      <w:r w:rsidR="002531A3">
        <w:rPr>
          <w:rFonts w:eastAsiaTheme="minorEastAsia"/>
          <w:rtl/>
        </w:rPr>
        <w:t>،</w:t>
      </w:r>
      <w:r w:rsidRPr="00A91733">
        <w:rPr>
          <w:rFonts w:eastAsiaTheme="minorEastAsia"/>
          <w:rtl/>
        </w:rPr>
        <w:t xml:space="preserve"> أو أنها تصرفت بطريقة لا تبدو محايدة في عين المراقب النزيه. وتؤكد الدولة الطرف من جديد أن المادة </w:t>
      </w:r>
      <w:r w:rsidRPr="008257F2">
        <w:rPr>
          <w:rFonts w:eastAsiaTheme="minorEastAsia"/>
          <w:rtl/>
        </w:rPr>
        <w:t>14</w:t>
      </w:r>
      <w:r w:rsidRPr="00A91733">
        <w:rPr>
          <w:rFonts w:eastAsiaTheme="minorEastAsia"/>
          <w:rtl/>
        </w:rPr>
        <w:t xml:space="preserve"> من العهد لا تنص على حق صريح للمتهمين في الحصول مباشرة على جميع الوثائق المستخدمة في محاكماتهم.</w:t>
      </w:r>
    </w:p>
    <w:p w14:paraId="542DE8B5" w14:textId="5142B10B" w:rsidR="00517810" w:rsidRPr="002531A3" w:rsidRDefault="00517810" w:rsidP="00A91733">
      <w:pPr>
        <w:pStyle w:val="SingleTxtGA"/>
        <w:rPr>
          <w:rFonts w:eastAsiaTheme="minorEastAsia"/>
          <w:spacing w:val="-4"/>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8</w:t>
      </w:r>
      <w:r w:rsidRPr="002531A3">
        <w:rPr>
          <w:rFonts w:eastAsiaTheme="minorEastAsia"/>
          <w:spacing w:val="-4"/>
          <w:rtl/>
        </w:rPr>
        <w:tab/>
        <w:t>وتذكّر الدولة الطرف بأن المحكمة العليا ودائرة القضايا الجنائية التابعة لها كلاهما أكد بالفعل</w:t>
      </w:r>
      <w:r w:rsidR="002531A3" w:rsidRPr="002531A3">
        <w:rPr>
          <w:rFonts w:eastAsiaTheme="minorEastAsia"/>
          <w:spacing w:val="-4"/>
          <w:rtl/>
        </w:rPr>
        <w:t>،</w:t>
      </w:r>
      <w:r w:rsidRPr="002531A3">
        <w:rPr>
          <w:rFonts w:eastAsiaTheme="minorEastAsia"/>
          <w:spacing w:val="-4"/>
          <w:rtl/>
        </w:rPr>
        <w:t xml:space="preserve"> بصفته هيئة نقض</w:t>
      </w:r>
      <w:r w:rsidR="002531A3" w:rsidRPr="002531A3">
        <w:rPr>
          <w:rFonts w:eastAsiaTheme="minorEastAsia"/>
          <w:spacing w:val="-4"/>
          <w:rtl/>
        </w:rPr>
        <w:t>،</w:t>
      </w:r>
      <w:r w:rsidRPr="002531A3">
        <w:rPr>
          <w:rFonts w:eastAsiaTheme="minorEastAsia"/>
          <w:spacing w:val="-4"/>
          <w:rtl/>
        </w:rPr>
        <w:t xml:space="preserve"> أن الحق في الكشف عن المعلومات للدفاع ليس حقاً مطلقاً ويجب الموازنة بينه وبين المصلحة العامة والحاجة إلى حماية الأطراف الثالثة. وفي هذا الصدد</w:t>
      </w:r>
      <w:r w:rsidR="002531A3" w:rsidRPr="002531A3">
        <w:rPr>
          <w:rFonts w:eastAsiaTheme="minorEastAsia"/>
          <w:spacing w:val="-4"/>
          <w:rtl/>
        </w:rPr>
        <w:t>،</w:t>
      </w:r>
      <w:r w:rsidRPr="002531A3">
        <w:rPr>
          <w:rFonts w:eastAsiaTheme="minorEastAsia"/>
          <w:spacing w:val="-4"/>
          <w:rtl/>
        </w:rPr>
        <w:t xml:space="preserve"> تود الدولة الطرف أن تشدد على أن التفسير الذي قدمه القضاء المحلي يتسق تماماً مع النهج الذي اتبعته اللجنة. وأشارت المحكمة العليا أيضاً إلى أن طبيعة أنشطة التحقيقات الخاصة المحددة تبرر التقييد</w:t>
      </w:r>
      <w:r w:rsidR="002531A3" w:rsidRPr="002531A3">
        <w:rPr>
          <w:rFonts w:eastAsiaTheme="minorEastAsia"/>
          <w:spacing w:val="-4"/>
          <w:rtl/>
        </w:rPr>
        <w:t>،</w:t>
      </w:r>
      <w:r w:rsidRPr="002531A3">
        <w:rPr>
          <w:rFonts w:eastAsiaTheme="minorEastAsia"/>
          <w:spacing w:val="-4"/>
          <w:rtl/>
        </w:rPr>
        <w:t xml:space="preserve"> بالنظر إلى ضرورة حماية المتعاونين مع وكالات إنفاذ القانون.</w:t>
      </w:r>
    </w:p>
    <w:p w14:paraId="0045572D" w14:textId="64D9B159" w:rsidR="00517810" w:rsidRPr="00A91733" w:rsidRDefault="00517810" w:rsidP="00A91733">
      <w:pPr>
        <w:pStyle w:val="SingleTxtGA"/>
        <w:rPr>
          <w:rFonts w:eastAsiaTheme="minorEastAsia"/>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9</w:t>
      </w:r>
      <w:r w:rsidRPr="00A91733">
        <w:rPr>
          <w:rFonts w:eastAsiaTheme="minorEastAsia"/>
          <w:rtl/>
        </w:rPr>
        <w:tab/>
        <w:t xml:space="preserve">وتذكّر الدولة الطرف بأن مسألة الضمانات قد عالجتها بالفعل المحكمة العليا التي خلصت إلى أن قرار استبعاد الكشف لم يُتخذ بطريقة تعسفية. وقد اطلعت المحكمة المحلية على النحو الواجب على </w:t>
      </w:r>
      <w:r w:rsidRPr="00A91733">
        <w:rPr>
          <w:rFonts w:eastAsiaTheme="minorEastAsia"/>
          <w:rtl/>
        </w:rPr>
        <w:lastRenderedPageBreak/>
        <w:t>محتويات ملفي القضية السريين المتنازع عليهما قبل أن تستبعد الكشف عن المعلومات للدفاع</w:t>
      </w:r>
      <w:r w:rsidR="002531A3">
        <w:rPr>
          <w:rFonts w:eastAsiaTheme="minorEastAsia"/>
          <w:rtl/>
        </w:rPr>
        <w:t>،</w:t>
      </w:r>
      <w:r w:rsidRPr="00A91733">
        <w:rPr>
          <w:rFonts w:eastAsiaTheme="minorEastAsia"/>
          <w:rtl/>
        </w:rPr>
        <w:t xml:space="preserve"> ومن</w:t>
      </w:r>
      <w:r w:rsidR="00DA3DC9">
        <w:rPr>
          <w:rFonts w:eastAsiaTheme="minorEastAsia" w:hint="cs"/>
          <w:rtl/>
        </w:rPr>
        <w:t> </w:t>
      </w:r>
      <w:r w:rsidRPr="00A91733">
        <w:rPr>
          <w:rFonts w:eastAsiaTheme="minorEastAsia"/>
          <w:rtl/>
        </w:rPr>
        <w:t>ثم</w:t>
      </w:r>
      <w:r w:rsidR="00A91733">
        <w:rPr>
          <w:rFonts w:eastAsiaTheme="minorEastAsia" w:hint="cs"/>
          <w:rtl/>
        </w:rPr>
        <w:t> </w:t>
      </w:r>
      <w:r w:rsidRPr="00A91733">
        <w:rPr>
          <w:rFonts w:eastAsiaTheme="minorEastAsia"/>
          <w:rtl/>
        </w:rPr>
        <w:t>رأت أن دائرة القضايا الجنائية التابعة لها قد تمكنت من اتخاذ قرار مستنير بشأن الموضوع.</w:t>
      </w:r>
    </w:p>
    <w:p w14:paraId="7F2E10A4" w14:textId="11EF1780" w:rsidR="00517810" w:rsidRPr="00A91733" w:rsidRDefault="00517810" w:rsidP="00A91733">
      <w:pPr>
        <w:pStyle w:val="SingleTxtGA"/>
        <w:rPr>
          <w:rFonts w:eastAsiaTheme="minorEastAsia"/>
          <w:lang w:val="ar-SA" w:eastAsia="zh-TW" w:bidi="en-GB"/>
        </w:rPr>
      </w:pPr>
      <w:r w:rsidRPr="008257F2">
        <w:rPr>
          <w:rFonts w:eastAsiaTheme="minorEastAsia"/>
          <w:rtl/>
        </w:rPr>
        <w:t>6</w:t>
      </w:r>
      <w:r w:rsidRPr="00A91733">
        <w:rPr>
          <w:rFonts w:eastAsiaTheme="minorEastAsia"/>
          <w:rtl/>
        </w:rPr>
        <w:t>-</w:t>
      </w:r>
      <w:r w:rsidRPr="008257F2">
        <w:rPr>
          <w:rFonts w:eastAsiaTheme="minorEastAsia"/>
          <w:rtl/>
        </w:rPr>
        <w:t>10</w:t>
      </w:r>
      <w:r w:rsidRPr="00A91733">
        <w:rPr>
          <w:rFonts w:eastAsiaTheme="minorEastAsia"/>
          <w:rtl/>
        </w:rPr>
        <w:tab/>
        <w:t>وفيما يتعلق بالحق في قرينة البراءة إلى أن تثبت الإدانة</w:t>
      </w:r>
      <w:r w:rsidR="002531A3">
        <w:rPr>
          <w:rFonts w:eastAsiaTheme="minorEastAsia"/>
          <w:rtl/>
        </w:rPr>
        <w:t>،</w:t>
      </w:r>
      <w:r w:rsidRPr="00A91733">
        <w:rPr>
          <w:rFonts w:eastAsiaTheme="minorEastAsia"/>
          <w:rtl/>
        </w:rPr>
        <w:t xml:space="preserve"> تذكّر الدولة الطرف بأن اللجنة لا تقبل ادعاءات الانتهاكات التي صيغت بعبارات عامة دون ذكر حوادث بعينها</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14"/>
      </w:r>
      <w:r w:rsidR="00A91733" w:rsidRPr="007D2254">
        <w:rPr>
          <w:rStyle w:val="FootnoteReference"/>
          <w:rFonts w:eastAsiaTheme="minorEastAsia"/>
          <w:szCs w:val="22"/>
          <w:rtl/>
        </w:rPr>
        <w:t>)</w:t>
      </w:r>
      <w:r w:rsidRPr="00A91733">
        <w:rPr>
          <w:rFonts w:eastAsiaTheme="minorEastAsia"/>
          <w:rtl/>
        </w:rPr>
        <w:t xml:space="preserve">. وتؤكد الدولة الطرف أن مجرد عدم موافقة المحاكم المحلية على تفسير صاحب البلاغ للأحداث المعنية لا يمكن أن يثبت في حد ذاته وقوع انتهاك للمادة </w:t>
      </w:r>
      <w:r w:rsidRPr="008257F2">
        <w:rPr>
          <w:rFonts w:eastAsiaTheme="minorEastAsia"/>
          <w:rtl/>
        </w:rPr>
        <w:t>14</w:t>
      </w:r>
      <w:r w:rsidRPr="00A91733">
        <w:rPr>
          <w:rFonts w:eastAsiaTheme="minorEastAsia"/>
          <w:rtl/>
        </w:rPr>
        <w:t xml:space="preserve"> من العهد</w:t>
      </w:r>
      <w:r w:rsidR="00A91733" w:rsidRPr="007D2254">
        <w:rPr>
          <w:rStyle w:val="FootnoteReference"/>
          <w:rFonts w:eastAsiaTheme="minorEastAsia"/>
          <w:szCs w:val="22"/>
          <w:rtl/>
        </w:rPr>
        <w:t>(</w:t>
      </w:r>
      <w:r w:rsidR="00A91733" w:rsidRPr="008257F2">
        <w:rPr>
          <w:rStyle w:val="FootnoteReference"/>
          <w:rFonts w:eastAsiaTheme="minorEastAsia"/>
          <w:szCs w:val="22"/>
          <w:lang w:val="en-US"/>
        </w:rPr>
        <w:footnoteReference w:id="15"/>
      </w:r>
      <w:r w:rsidR="00A91733" w:rsidRPr="007D2254">
        <w:rPr>
          <w:rStyle w:val="FootnoteReference"/>
          <w:rFonts w:eastAsiaTheme="minorEastAsia"/>
          <w:szCs w:val="22"/>
          <w:rtl/>
        </w:rPr>
        <w:t>)</w:t>
      </w:r>
      <w:r w:rsidRPr="00A91733">
        <w:rPr>
          <w:rFonts w:eastAsiaTheme="minorEastAsia"/>
          <w:rtl/>
        </w:rPr>
        <w:t>. وفي هذا السياق</w:t>
      </w:r>
      <w:r w:rsidR="002531A3">
        <w:rPr>
          <w:rFonts w:eastAsiaTheme="minorEastAsia"/>
          <w:rtl/>
        </w:rPr>
        <w:t>،</w:t>
      </w:r>
      <w:r w:rsidRPr="00A91733">
        <w:rPr>
          <w:rFonts w:eastAsiaTheme="minorEastAsia"/>
          <w:rtl/>
        </w:rPr>
        <w:t xml:space="preserve"> لا يمكن القول إن تعليل المحاكم المحلية والحكم النهائي بشأن إدانة صاحب البلاغ في حد ذاتهما يشكلان حرماناً من قرينة الشك. وتختتم الدولة الطرف بالإشارة إلى أن المحاكم المحلية نظرت في القضية الجنائية بعمق</w:t>
      </w:r>
      <w:r w:rsidR="002531A3">
        <w:rPr>
          <w:rFonts w:eastAsiaTheme="minorEastAsia"/>
          <w:rtl/>
        </w:rPr>
        <w:t>،</w:t>
      </w:r>
      <w:r w:rsidRPr="00A91733">
        <w:rPr>
          <w:rFonts w:eastAsiaTheme="minorEastAsia"/>
          <w:rtl/>
        </w:rPr>
        <w:t xml:space="preserve"> استناداً إلى الأدلة وإلى القانون على السواء</w:t>
      </w:r>
      <w:r w:rsidR="002531A3">
        <w:rPr>
          <w:rFonts w:eastAsiaTheme="minorEastAsia"/>
          <w:rtl/>
        </w:rPr>
        <w:t>،</w:t>
      </w:r>
      <w:r w:rsidRPr="00A91733">
        <w:rPr>
          <w:rFonts w:eastAsiaTheme="minorEastAsia"/>
          <w:rtl/>
        </w:rPr>
        <w:t xml:space="preserve"> بغية استبعاد أي شك معقول في ذنب صاحب البلاغ.</w:t>
      </w:r>
    </w:p>
    <w:p w14:paraId="254165BB" w14:textId="77777777" w:rsidR="00517810" w:rsidRPr="008257F2" w:rsidRDefault="00517810" w:rsidP="00A91733">
      <w:pPr>
        <w:pStyle w:val="H23GA"/>
        <w:rPr>
          <w:lang w:val="ar-SA" w:eastAsia="zh-TW" w:bidi="en-GB"/>
        </w:rPr>
      </w:pPr>
      <w:r w:rsidRPr="008257F2">
        <w:rPr>
          <w:rtl/>
        </w:rPr>
        <w:tab/>
      </w:r>
      <w:r w:rsidRPr="008257F2">
        <w:rPr>
          <w:rtl/>
        </w:rPr>
        <w:tab/>
        <w:t>تعليقات صاحب البلاغ على ملاحظات الدولة الطرف</w:t>
      </w:r>
    </w:p>
    <w:p w14:paraId="58E88C6D" w14:textId="4B62D78B" w:rsidR="00517810" w:rsidRPr="00A91733" w:rsidRDefault="00517810" w:rsidP="00A91733">
      <w:pPr>
        <w:pStyle w:val="SingleTxtGA"/>
        <w:rPr>
          <w:rFonts w:eastAsiaTheme="minorEastAsia"/>
          <w:lang w:val="ar-SA" w:eastAsia="zh-TW" w:bidi="en-GB"/>
        </w:rPr>
      </w:pPr>
      <w:r w:rsidRPr="008257F2">
        <w:rPr>
          <w:rFonts w:eastAsiaTheme="minorEastAsia"/>
          <w:rtl/>
        </w:rPr>
        <w:t>7</w:t>
      </w:r>
      <w:r w:rsidRPr="00A91733">
        <w:rPr>
          <w:rFonts w:eastAsiaTheme="minorEastAsia"/>
          <w:rtl/>
        </w:rPr>
        <w:t>-</w:t>
      </w:r>
      <w:r w:rsidRPr="00A91733">
        <w:rPr>
          <w:rFonts w:eastAsiaTheme="minorEastAsia"/>
          <w:rtl/>
        </w:rPr>
        <w:tab/>
        <w:t xml:space="preserve">في </w:t>
      </w:r>
      <w:r w:rsidRPr="008257F2">
        <w:rPr>
          <w:rFonts w:eastAsiaTheme="minorEastAsia"/>
          <w:rtl/>
        </w:rPr>
        <w:t>25</w:t>
      </w:r>
      <w:r w:rsidRPr="00A91733">
        <w:rPr>
          <w:rFonts w:eastAsiaTheme="minorEastAsia"/>
          <w:rtl/>
        </w:rPr>
        <w:t xml:space="preserve"> تشرين الأول/أكتوبر </w:t>
      </w:r>
      <w:r w:rsidRPr="008257F2">
        <w:rPr>
          <w:rFonts w:eastAsiaTheme="minorEastAsia"/>
          <w:rtl/>
        </w:rPr>
        <w:t>2018</w:t>
      </w:r>
      <w:r w:rsidR="002531A3">
        <w:rPr>
          <w:rFonts w:eastAsiaTheme="minorEastAsia"/>
          <w:rtl/>
        </w:rPr>
        <w:t>،</w:t>
      </w:r>
      <w:r w:rsidRPr="00A91733">
        <w:rPr>
          <w:rFonts w:eastAsiaTheme="minorEastAsia"/>
          <w:rtl/>
        </w:rPr>
        <w:t xml:space="preserve"> أكد صاحب البلاغ أنه لم يتمكن من الاطلاع على الملفين السريين وأن المحاكم المحلية لم تتحقق منهما</w:t>
      </w:r>
      <w:r w:rsidR="002531A3">
        <w:rPr>
          <w:rFonts w:eastAsiaTheme="minorEastAsia"/>
          <w:rtl/>
        </w:rPr>
        <w:t>،</w:t>
      </w:r>
      <w:r w:rsidRPr="00A91733">
        <w:rPr>
          <w:rFonts w:eastAsiaTheme="minorEastAsia"/>
          <w:rtl/>
        </w:rPr>
        <w:t xml:space="preserve"> ولم تستخدم جميع الخيارات القانونية المتاحة</w:t>
      </w:r>
      <w:r w:rsidR="002531A3">
        <w:rPr>
          <w:rFonts w:eastAsiaTheme="minorEastAsia"/>
          <w:rtl/>
        </w:rPr>
        <w:t>،</w:t>
      </w:r>
      <w:r w:rsidRPr="00A91733">
        <w:rPr>
          <w:rFonts w:eastAsiaTheme="minorEastAsia"/>
          <w:rtl/>
        </w:rPr>
        <w:t xml:space="preserve"> الأمر الذي كان سيسمح بدوره لصاحب البلاغ بممارسة حقه في الدفاع عن نفسه.</w:t>
      </w:r>
    </w:p>
    <w:p w14:paraId="6C60151A" w14:textId="77777777" w:rsidR="00517810" w:rsidRPr="008257F2" w:rsidRDefault="00517810" w:rsidP="00A91733">
      <w:pPr>
        <w:pStyle w:val="H23GA"/>
        <w:rPr>
          <w:lang w:val="en-US" w:eastAsia="zh-TW" w:bidi="en-GB"/>
        </w:rPr>
      </w:pPr>
      <w:r w:rsidRPr="008257F2">
        <w:rPr>
          <w:rtl/>
        </w:rPr>
        <w:tab/>
      </w:r>
      <w:r w:rsidRPr="008257F2">
        <w:rPr>
          <w:rtl/>
        </w:rPr>
        <w:tab/>
        <w:t>المسائل والإجراءات المعروضة على اللجنة</w:t>
      </w:r>
    </w:p>
    <w:p w14:paraId="3D1668AD" w14:textId="77777777" w:rsidR="00517810" w:rsidRPr="008257F2" w:rsidRDefault="00517810" w:rsidP="00A91733">
      <w:pPr>
        <w:pStyle w:val="H4GA"/>
        <w:rPr>
          <w:lang w:val="en-US" w:eastAsia="zh-TW" w:bidi="en-GB"/>
        </w:rPr>
      </w:pPr>
      <w:r w:rsidRPr="008257F2">
        <w:rPr>
          <w:rtl/>
        </w:rPr>
        <w:tab/>
      </w:r>
      <w:r w:rsidRPr="008257F2">
        <w:rPr>
          <w:rtl/>
        </w:rPr>
        <w:tab/>
        <w:t>النظر في المقبولية</w:t>
      </w:r>
    </w:p>
    <w:p w14:paraId="1FBA93C9" w14:textId="7B29076E" w:rsidR="00517810" w:rsidRPr="00A362E2" w:rsidRDefault="00517810" w:rsidP="00A91733">
      <w:pPr>
        <w:pStyle w:val="SingleTxtGA"/>
        <w:rPr>
          <w:rFonts w:eastAsiaTheme="minorEastAsia"/>
          <w:spacing w:val="-4"/>
          <w:lang w:val="ar-SA" w:eastAsia="zh-TW" w:bidi="en-GB"/>
        </w:rPr>
      </w:pPr>
      <w:r w:rsidRPr="008257F2">
        <w:rPr>
          <w:rFonts w:eastAsiaTheme="minorEastAsia"/>
          <w:spacing w:val="-4"/>
          <w:rtl/>
        </w:rPr>
        <w:t>8</w:t>
      </w:r>
      <w:r w:rsidRPr="00A362E2">
        <w:rPr>
          <w:rFonts w:eastAsiaTheme="minorEastAsia"/>
          <w:spacing w:val="-4"/>
          <w:rtl/>
        </w:rPr>
        <w:t>-</w:t>
      </w:r>
      <w:r w:rsidRPr="008257F2">
        <w:rPr>
          <w:rFonts w:eastAsiaTheme="minorEastAsia"/>
          <w:spacing w:val="-4"/>
          <w:rtl/>
        </w:rPr>
        <w:t>1</w:t>
      </w:r>
      <w:r w:rsidRPr="00A362E2">
        <w:rPr>
          <w:rFonts w:eastAsiaTheme="minorEastAsia"/>
          <w:spacing w:val="-4"/>
          <w:rtl/>
        </w:rPr>
        <w:tab/>
        <w:t>قبل النظر في أي ادعاء يرد في بلاغ ما</w:t>
      </w:r>
      <w:r w:rsidR="002531A3" w:rsidRPr="00A362E2">
        <w:rPr>
          <w:rFonts w:eastAsiaTheme="minorEastAsia"/>
          <w:spacing w:val="-4"/>
          <w:rtl/>
        </w:rPr>
        <w:t>،</w:t>
      </w:r>
      <w:r w:rsidRPr="00A362E2">
        <w:rPr>
          <w:rFonts w:eastAsiaTheme="minorEastAsia"/>
          <w:spacing w:val="-4"/>
          <w:rtl/>
        </w:rPr>
        <w:t xml:space="preserve"> يتعين على اللجنة أن تقرر</w:t>
      </w:r>
      <w:r w:rsidR="002531A3" w:rsidRPr="00A362E2">
        <w:rPr>
          <w:rFonts w:eastAsiaTheme="minorEastAsia"/>
          <w:spacing w:val="-4"/>
          <w:rtl/>
        </w:rPr>
        <w:t>،</w:t>
      </w:r>
      <w:r w:rsidRPr="00A362E2">
        <w:rPr>
          <w:rFonts w:eastAsiaTheme="minorEastAsia"/>
          <w:spacing w:val="-4"/>
          <w:rtl/>
        </w:rPr>
        <w:t xml:space="preserve"> وفقاً للمادة </w:t>
      </w:r>
      <w:r w:rsidRPr="008257F2">
        <w:rPr>
          <w:rFonts w:eastAsiaTheme="minorEastAsia"/>
          <w:spacing w:val="-4"/>
          <w:rtl/>
        </w:rPr>
        <w:t>97</w:t>
      </w:r>
      <w:r w:rsidRPr="00A362E2">
        <w:rPr>
          <w:rFonts w:eastAsiaTheme="minorEastAsia"/>
          <w:spacing w:val="-4"/>
          <w:rtl/>
        </w:rPr>
        <w:t xml:space="preserve"> من نظامها الداخلي</w:t>
      </w:r>
      <w:r w:rsidR="002531A3" w:rsidRPr="00A362E2">
        <w:rPr>
          <w:rFonts w:eastAsiaTheme="minorEastAsia"/>
          <w:spacing w:val="-4"/>
          <w:rtl/>
        </w:rPr>
        <w:t>،</w:t>
      </w:r>
      <w:r w:rsidRPr="00A362E2">
        <w:rPr>
          <w:rFonts w:eastAsiaTheme="minorEastAsia"/>
          <w:spacing w:val="-4"/>
          <w:rtl/>
        </w:rPr>
        <w:t xml:space="preserve"> ما إذا كان البلاغ مقبولاً أم لا بموجب البروتوكول الاختياري.</w:t>
      </w:r>
    </w:p>
    <w:p w14:paraId="53C43ED0" w14:textId="6FB432BB" w:rsidR="00517810" w:rsidRPr="00A91733" w:rsidRDefault="00517810" w:rsidP="00A91733">
      <w:pPr>
        <w:pStyle w:val="SingleTxtGA"/>
        <w:rPr>
          <w:rFonts w:eastAsiaTheme="minorEastAsia"/>
          <w:lang w:val="fr-CH" w:eastAsia="zh-TW" w:bidi="en-GB"/>
        </w:rPr>
      </w:pPr>
      <w:r w:rsidRPr="008257F2">
        <w:rPr>
          <w:rFonts w:eastAsiaTheme="minorEastAsia"/>
          <w:spacing w:val="-4"/>
          <w:rtl/>
        </w:rPr>
        <w:t>8</w:t>
      </w:r>
      <w:r w:rsidRPr="00A362E2">
        <w:rPr>
          <w:rFonts w:eastAsiaTheme="minorEastAsia"/>
          <w:spacing w:val="-4"/>
          <w:rtl/>
        </w:rPr>
        <w:t>-</w:t>
      </w:r>
      <w:r w:rsidRPr="008257F2">
        <w:rPr>
          <w:rFonts w:eastAsiaTheme="minorEastAsia"/>
          <w:spacing w:val="-4"/>
          <w:rtl/>
        </w:rPr>
        <w:t>2</w:t>
      </w:r>
      <w:r w:rsidRPr="00A362E2">
        <w:rPr>
          <w:rFonts w:eastAsiaTheme="minorEastAsia"/>
          <w:spacing w:val="-4"/>
          <w:rtl/>
        </w:rPr>
        <w:tab/>
        <w:t>وتحيط اللجنة علماً بقول الدولة الطرف الذي يدعو إلى إعلان الشكوى غير مقبولة</w:t>
      </w:r>
      <w:r w:rsidR="002531A3" w:rsidRPr="00A362E2">
        <w:rPr>
          <w:rFonts w:eastAsiaTheme="minorEastAsia"/>
          <w:spacing w:val="-4"/>
          <w:rtl/>
        </w:rPr>
        <w:t>،</w:t>
      </w:r>
      <w:r w:rsidRPr="00A362E2">
        <w:rPr>
          <w:rFonts w:eastAsiaTheme="minorEastAsia"/>
          <w:spacing w:val="-4"/>
          <w:rtl/>
        </w:rPr>
        <w:t xml:space="preserve"> لأن المسألة نفسها قد بُحثت في إطار إجراء آخر من إجراءات التسوية الدولية</w:t>
      </w:r>
      <w:r w:rsidR="002531A3" w:rsidRPr="00A362E2">
        <w:rPr>
          <w:rFonts w:eastAsiaTheme="minorEastAsia"/>
          <w:spacing w:val="-4"/>
          <w:rtl/>
        </w:rPr>
        <w:t>،</w:t>
      </w:r>
      <w:r w:rsidRPr="00A362E2">
        <w:rPr>
          <w:rFonts w:eastAsiaTheme="minorEastAsia"/>
          <w:spacing w:val="-4"/>
          <w:rtl/>
        </w:rPr>
        <w:t xml:space="preserve"> أي في إطار المحكمة الأوروبية لحقوق الإنسان. وتلاحظ أن الدولة الطرف</w:t>
      </w:r>
      <w:r w:rsidR="002531A3" w:rsidRPr="00A362E2">
        <w:rPr>
          <w:rFonts w:eastAsiaTheme="minorEastAsia"/>
          <w:spacing w:val="-4"/>
          <w:rtl/>
        </w:rPr>
        <w:t>،</w:t>
      </w:r>
      <w:r w:rsidRPr="00A362E2">
        <w:rPr>
          <w:rFonts w:eastAsiaTheme="minorEastAsia"/>
          <w:spacing w:val="-4"/>
          <w:rtl/>
        </w:rPr>
        <w:t xml:space="preserve"> لدى انضمامها إلى البروتوكول الاختياري</w:t>
      </w:r>
      <w:r w:rsidR="002531A3" w:rsidRPr="00A362E2">
        <w:rPr>
          <w:rFonts w:eastAsiaTheme="minorEastAsia"/>
          <w:spacing w:val="-4"/>
          <w:rtl/>
        </w:rPr>
        <w:t>،</w:t>
      </w:r>
      <w:r w:rsidRPr="00A362E2">
        <w:rPr>
          <w:rFonts w:eastAsiaTheme="minorEastAsia"/>
          <w:spacing w:val="-4"/>
          <w:rtl/>
        </w:rPr>
        <w:t xml:space="preserve"> لم تصدر إعلاناً توضح فيه جملة أمور منها موقفها الذي ترى فيه أن اللجنة لا ينبغي أن تنظر في أي بلاغ ما لم تتأكد من أن المسألة نفسها ليست قيد النظر بموجب إجراء آخر من إجراءات التحقيق الدولي أو التسوية الدولية. غير</w:t>
      </w:r>
      <w:r w:rsidR="002F5400" w:rsidRPr="00A362E2">
        <w:rPr>
          <w:rFonts w:eastAsiaTheme="minorEastAsia" w:hint="cs"/>
          <w:spacing w:val="-4"/>
          <w:rtl/>
        </w:rPr>
        <w:t> </w:t>
      </w:r>
      <w:r w:rsidRPr="00A362E2">
        <w:rPr>
          <w:rFonts w:eastAsiaTheme="minorEastAsia"/>
          <w:spacing w:val="-4"/>
          <w:rtl/>
        </w:rPr>
        <w:t xml:space="preserve">أن اللجنة تلاحظ أن المحكمة الأوروبية لحقوق الإنسان خلصت في كانون الأول/ديسمبر </w:t>
      </w:r>
      <w:r w:rsidRPr="008257F2">
        <w:rPr>
          <w:rFonts w:eastAsiaTheme="minorEastAsia"/>
          <w:spacing w:val="-4"/>
          <w:rtl/>
        </w:rPr>
        <w:t>2016</w:t>
      </w:r>
      <w:r w:rsidRPr="00A362E2">
        <w:rPr>
          <w:rFonts w:eastAsiaTheme="minorEastAsia"/>
          <w:spacing w:val="-4"/>
          <w:rtl/>
        </w:rPr>
        <w:t xml:space="preserve"> إلى عدم مقبولية شكوى صاحب البلاغ الثانية. ولما لم تكن المسألة نفسها قيد البحث حالياً في إطار إجراء</w:t>
      </w:r>
      <w:r w:rsidRPr="00A91733">
        <w:rPr>
          <w:rFonts w:eastAsiaTheme="minorEastAsia"/>
          <w:rtl/>
        </w:rPr>
        <w:t xml:space="preserve"> آخر من إجراءات التحقيق الدولي أو التسوية الدولية</w:t>
      </w:r>
      <w:r w:rsidR="002531A3">
        <w:rPr>
          <w:rFonts w:eastAsiaTheme="minorEastAsia"/>
          <w:rtl/>
        </w:rPr>
        <w:t>،</w:t>
      </w:r>
      <w:r w:rsidRPr="00A91733">
        <w:rPr>
          <w:rFonts w:eastAsiaTheme="minorEastAsia"/>
          <w:rtl/>
        </w:rPr>
        <w:t xml:space="preserve"> فإن اللجنة ترى أنه ليس هناك ما يمنعها من النظر في شكوى صاحب البلاغ بموجب الفقرة </w:t>
      </w:r>
      <w:r w:rsidRPr="008257F2">
        <w:rPr>
          <w:rFonts w:eastAsiaTheme="minorEastAsia"/>
          <w:rtl/>
        </w:rPr>
        <w:t>5</w:t>
      </w:r>
      <w:r w:rsidRPr="00A91733">
        <w:rPr>
          <w:rFonts w:eastAsiaTheme="minorEastAsia"/>
          <w:rtl/>
        </w:rPr>
        <w:t>(</w:t>
      </w:r>
      <w:r w:rsidRPr="008257F2">
        <w:rPr>
          <w:rFonts w:eastAsiaTheme="minorEastAsia"/>
          <w:rtl/>
        </w:rPr>
        <w:t>2</w:t>
      </w:r>
      <w:r w:rsidRPr="00A91733">
        <w:rPr>
          <w:rFonts w:eastAsiaTheme="minorEastAsia"/>
          <w:rtl/>
        </w:rPr>
        <w:t>)(أ) من البروتوكول الاختياري.</w:t>
      </w:r>
    </w:p>
    <w:p w14:paraId="2AAAA5A1" w14:textId="4E7D7991" w:rsidR="00517810" w:rsidRPr="00FF2573" w:rsidRDefault="00517810" w:rsidP="00A91733">
      <w:pPr>
        <w:pStyle w:val="SingleTxtGA"/>
        <w:rPr>
          <w:rFonts w:eastAsiaTheme="minorEastAsia"/>
          <w:lang w:val="en-US" w:eastAsia="zh-TW" w:bidi="en-GB"/>
        </w:rPr>
      </w:pPr>
      <w:r w:rsidRPr="008257F2">
        <w:rPr>
          <w:rFonts w:eastAsiaTheme="minorEastAsia"/>
          <w:rtl/>
        </w:rPr>
        <w:t>8</w:t>
      </w:r>
      <w:r w:rsidRPr="00A91733">
        <w:rPr>
          <w:rFonts w:eastAsiaTheme="minorEastAsia"/>
          <w:rtl/>
        </w:rPr>
        <w:t>-</w:t>
      </w:r>
      <w:r w:rsidRPr="008257F2">
        <w:rPr>
          <w:rFonts w:eastAsiaTheme="minorEastAsia"/>
          <w:rtl/>
        </w:rPr>
        <w:t>3</w:t>
      </w:r>
      <w:r w:rsidRPr="00A91733">
        <w:rPr>
          <w:rFonts w:eastAsiaTheme="minorEastAsia"/>
          <w:rtl/>
        </w:rPr>
        <w:tab/>
        <w:t>وتحيط اللجنة علماً أيضاً بحجة الدولة الطرف بأن صاحب البلاغ أساء استعمال الحق في تقديم البلاغات إلى اللجنة لأنه قدم بلاغه بعد طول تأخير</w:t>
      </w:r>
      <w:r w:rsidR="002531A3">
        <w:rPr>
          <w:rFonts w:eastAsiaTheme="minorEastAsia"/>
          <w:rtl/>
        </w:rPr>
        <w:t>،</w:t>
      </w:r>
      <w:r w:rsidRPr="00A91733">
        <w:rPr>
          <w:rFonts w:eastAsiaTheme="minorEastAsia"/>
          <w:rtl/>
        </w:rPr>
        <w:t xml:space="preserve"> أي بعد اتخاذ القرار النهائي في هيئة النقض</w:t>
      </w:r>
      <w:r w:rsidR="002531A3">
        <w:rPr>
          <w:rFonts w:eastAsiaTheme="minorEastAsia"/>
          <w:rtl/>
        </w:rPr>
        <w:t>،</w:t>
      </w:r>
      <w:r w:rsidRPr="00A91733">
        <w:rPr>
          <w:rFonts w:eastAsiaTheme="minorEastAsia"/>
          <w:rtl/>
        </w:rPr>
        <w:t xml:space="preserve"> وبعد اعتماد القرار الذي اتخذته المحكمة الأوروبية لحقوق الإنسان</w:t>
      </w:r>
      <w:r w:rsidR="002531A3">
        <w:rPr>
          <w:rFonts w:eastAsiaTheme="minorEastAsia"/>
          <w:rtl/>
        </w:rPr>
        <w:t>،</w:t>
      </w:r>
      <w:r w:rsidRPr="00A91733">
        <w:rPr>
          <w:rFonts w:eastAsiaTheme="minorEastAsia"/>
          <w:rtl/>
        </w:rPr>
        <w:t xml:space="preserve"> وهو قرار قاض منفرد</w:t>
      </w:r>
      <w:r w:rsidR="002531A3">
        <w:rPr>
          <w:rFonts w:eastAsiaTheme="minorEastAsia"/>
          <w:rtl/>
        </w:rPr>
        <w:t>،</w:t>
      </w:r>
      <w:r w:rsidRPr="00A91733">
        <w:rPr>
          <w:rFonts w:eastAsiaTheme="minorEastAsia"/>
          <w:rtl/>
        </w:rPr>
        <w:t xml:space="preserve"> من دون تفسير مقبول. غير أن اللجنة تلاحظ أن البلاغ قُدم بعد سنتين ونصف من استنفاد سبل الانتصاف المحلية وبعد</w:t>
      </w:r>
      <w:r w:rsidR="00DA3DC9">
        <w:rPr>
          <w:rFonts w:eastAsiaTheme="minorEastAsia" w:hint="cs"/>
          <w:rtl/>
        </w:rPr>
        <w:t> </w:t>
      </w:r>
      <w:r w:rsidRPr="00A91733">
        <w:rPr>
          <w:rFonts w:eastAsiaTheme="minorEastAsia"/>
          <w:rtl/>
        </w:rPr>
        <w:t>سنة من اعتماد المحكمة للقرار. وترى اللجنة أن البلاغ قُدم بالفعل في غضون الفترة الزمنية المحددة في خمس سنوات من استنفاد سبل الانتصاف المحلية والفترة الزمنية المحددة في ثلاث سنوات من قرار المحكمة</w:t>
      </w:r>
      <w:r w:rsidR="002531A3">
        <w:rPr>
          <w:rFonts w:eastAsiaTheme="minorEastAsia"/>
          <w:rtl/>
        </w:rPr>
        <w:t>،</w:t>
      </w:r>
      <w:r w:rsidRPr="00A91733">
        <w:rPr>
          <w:rFonts w:eastAsiaTheme="minorEastAsia"/>
          <w:rtl/>
        </w:rPr>
        <w:t xml:space="preserve"> حسبما تنص عليه المادة </w:t>
      </w:r>
      <w:r w:rsidRPr="008257F2">
        <w:rPr>
          <w:rFonts w:eastAsiaTheme="minorEastAsia"/>
          <w:rtl/>
        </w:rPr>
        <w:t>99</w:t>
      </w:r>
      <w:r w:rsidRPr="00A91733">
        <w:rPr>
          <w:rFonts w:eastAsiaTheme="minorEastAsia"/>
          <w:rtl/>
        </w:rPr>
        <w:t>(ج) من نظامها الداخلي. وعليه</w:t>
      </w:r>
      <w:r w:rsidR="002531A3">
        <w:rPr>
          <w:rFonts w:eastAsiaTheme="minorEastAsia"/>
          <w:rtl/>
        </w:rPr>
        <w:t>،</w:t>
      </w:r>
      <w:r w:rsidRPr="00A91733">
        <w:rPr>
          <w:rFonts w:eastAsiaTheme="minorEastAsia"/>
          <w:rtl/>
        </w:rPr>
        <w:t xml:space="preserve"> تخلص اللجنة إلى أن التأخير في </w:t>
      </w:r>
      <w:r w:rsidRPr="00A91733">
        <w:rPr>
          <w:rFonts w:eastAsiaTheme="minorEastAsia"/>
          <w:rtl/>
        </w:rPr>
        <w:lastRenderedPageBreak/>
        <w:t>هذه القضية لا يمكن أن يشكل إساءة استعمال للحق في تقديم البلاغات</w:t>
      </w:r>
      <w:r w:rsidR="002531A3">
        <w:rPr>
          <w:rFonts w:eastAsiaTheme="minorEastAsia"/>
          <w:rtl/>
        </w:rPr>
        <w:t>،</w:t>
      </w:r>
      <w:r w:rsidRPr="00A91733">
        <w:rPr>
          <w:rFonts w:eastAsiaTheme="minorEastAsia"/>
          <w:rtl/>
        </w:rPr>
        <w:t xml:space="preserve"> وترى أن المادة </w:t>
      </w:r>
      <w:r w:rsidRPr="008257F2">
        <w:rPr>
          <w:rFonts w:eastAsiaTheme="minorEastAsia"/>
          <w:rtl/>
        </w:rPr>
        <w:t>3</w:t>
      </w:r>
      <w:r w:rsidRPr="00A91733">
        <w:rPr>
          <w:rFonts w:eastAsiaTheme="minorEastAsia"/>
          <w:rtl/>
        </w:rPr>
        <w:t xml:space="preserve"> من البروتوكول الاختياري لا تمنعها من النظر في البلاغ.</w:t>
      </w:r>
    </w:p>
    <w:p w14:paraId="6FA0D2D3" w14:textId="09C8DC39" w:rsidR="00517810" w:rsidRPr="00A91733" w:rsidRDefault="00517810" w:rsidP="00A91733">
      <w:pPr>
        <w:pStyle w:val="SingleTxtGA"/>
        <w:rPr>
          <w:rFonts w:eastAsiaTheme="minorEastAsia"/>
          <w:lang w:val="fr-CH" w:eastAsia="zh-TW" w:bidi="en-GB"/>
        </w:rPr>
      </w:pPr>
      <w:r w:rsidRPr="008257F2">
        <w:rPr>
          <w:rFonts w:eastAsiaTheme="minorEastAsia"/>
          <w:rtl/>
        </w:rPr>
        <w:t>8</w:t>
      </w:r>
      <w:r w:rsidRPr="00A91733">
        <w:rPr>
          <w:rFonts w:eastAsiaTheme="minorEastAsia"/>
          <w:rtl/>
        </w:rPr>
        <w:t>-</w:t>
      </w:r>
      <w:r w:rsidRPr="008257F2">
        <w:rPr>
          <w:rFonts w:eastAsiaTheme="minorEastAsia"/>
          <w:rtl/>
        </w:rPr>
        <w:t>4</w:t>
      </w:r>
      <w:r w:rsidRPr="00A91733">
        <w:rPr>
          <w:rFonts w:eastAsiaTheme="minorEastAsia"/>
          <w:rtl/>
        </w:rPr>
        <w:tab/>
        <w:t xml:space="preserve">وتحيط اللجنة علماً كذلك بادعاءات صاحب البلاغ بموجب المادة </w:t>
      </w:r>
      <w:r w:rsidRPr="008257F2">
        <w:rPr>
          <w:rFonts w:eastAsiaTheme="minorEastAsia"/>
          <w:rtl/>
        </w:rPr>
        <w:t>14</w:t>
      </w:r>
      <w:r w:rsidRPr="00A91733">
        <w:rPr>
          <w:rFonts w:eastAsiaTheme="minorEastAsia"/>
          <w:rtl/>
        </w:rPr>
        <w:t>(</w:t>
      </w:r>
      <w:r w:rsidRPr="008257F2">
        <w:rPr>
          <w:rFonts w:eastAsiaTheme="minorEastAsia"/>
          <w:rtl/>
        </w:rPr>
        <w:t>1</w:t>
      </w:r>
      <w:r w:rsidRPr="00A91733">
        <w:rPr>
          <w:rFonts w:eastAsiaTheme="minorEastAsia"/>
          <w:rtl/>
        </w:rPr>
        <w:t>) من العهد أن الإجراءات المحلية لم تكن شفافة ولا نزيهة لأن محكمة الاستئناف والمحكمة العليا</w:t>
      </w:r>
      <w:r w:rsidR="002531A3">
        <w:rPr>
          <w:rFonts w:eastAsiaTheme="minorEastAsia"/>
          <w:rtl/>
        </w:rPr>
        <w:t>،</w:t>
      </w:r>
      <w:r w:rsidRPr="00A91733">
        <w:rPr>
          <w:rFonts w:eastAsiaTheme="minorEastAsia"/>
          <w:rtl/>
        </w:rPr>
        <w:t xml:space="preserve"> بصفتهما هيئتي نقض</w:t>
      </w:r>
      <w:r w:rsidR="002531A3">
        <w:rPr>
          <w:rFonts w:eastAsiaTheme="minorEastAsia"/>
          <w:rtl/>
        </w:rPr>
        <w:t>،</w:t>
      </w:r>
      <w:r w:rsidRPr="00A91733">
        <w:rPr>
          <w:rFonts w:eastAsiaTheme="minorEastAsia"/>
          <w:rtl/>
        </w:rPr>
        <w:t xml:space="preserve"> لم تتحققا أثناء جلسات الاستماع من المعلومات الواردة في ملفي تحقيقات خاصة يتعلقان بعملية الشرطة "</w:t>
      </w:r>
      <w:r w:rsidRPr="00A91733">
        <w:rPr>
          <w:rFonts w:eastAsiaTheme="minorEastAsia"/>
        </w:rPr>
        <w:t>Rebus</w:t>
      </w:r>
      <w:r w:rsidRPr="00A91733">
        <w:rPr>
          <w:rFonts w:eastAsiaTheme="minorEastAsia"/>
          <w:rtl/>
        </w:rPr>
        <w:t>"</w:t>
      </w:r>
      <w:r w:rsidR="002531A3">
        <w:rPr>
          <w:rFonts w:eastAsiaTheme="minorEastAsia"/>
          <w:rtl/>
        </w:rPr>
        <w:t>،</w:t>
      </w:r>
      <w:r w:rsidRPr="00A91733">
        <w:rPr>
          <w:rFonts w:eastAsiaTheme="minorEastAsia"/>
          <w:rtl/>
        </w:rPr>
        <w:t xml:space="preserve"> وبأن صاحب البلاغ مُنع من الاطلاع على الملفين السريين من دون تفسير مفصل يبين سبب اعتبار رفض الكشف عن تلك المعلومات للدفاع ضرورياً تماماً. غير أن اللجنة تلاحظ أن المحاكم المحلية المختصة قد بذلت قصارى جهدها على ما يبدو لكي تعالج وتصحح على نحو واف المسائل الإجرائية التي حددتها المحكمة الأوروبية لحقوق الإنسان في حكمها المؤرخ </w:t>
      </w:r>
      <w:r w:rsidRPr="008257F2">
        <w:rPr>
          <w:rFonts w:eastAsiaTheme="minorEastAsia"/>
          <w:rtl/>
        </w:rPr>
        <w:t>8</w:t>
      </w:r>
      <w:r w:rsidRPr="00A91733">
        <w:rPr>
          <w:rFonts w:eastAsiaTheme="minorEastAsia"/>
          <w:rtl/>
        </w:rPr>
        <w:t xml:space="preserve"> كانون الثاني/يناير </w:t>
      </w:r>
      <w:r w:rsidRPr="008257F2">
        <w:rPr>
          <w:rFonts w:eastAsiaTheme="minorEastAsia"/>
          <w:rtl/>
        </w:rPr>
        <w:t>2013</w:t>
      </w:r>
      <w:r w:rsidR="002531A3">
        <w:rPr>
          <w:rFonts w:eastAsiaTheme="minorEastAsia"/>
          <w:rtl/>
        </w:rPr>
        <w:t>،</w:t>
      </w:r>
      <w:r w:rsidRPr="00A91733">
        <w:rPr>
          <w:rFonts w:eastAsiaTheme="minorEastAsia"/>
          <w:rtl/>
        </w:rPr>
        <w:t xml:space="preserve"> وأن محكمة الاستئناف أتاحت الضمانات اللازمة واطلعت على النحو الواجب على محتويات الملفين السريين المتنازع عليهما قبل استبعاد الكشف عنها للدفاع. وفي هذا الصدد</w:t>
      </w:r>
      <w:r w:rsidR="002531A3">
        <w:rPr>
          <w:rFonts w:eastAsiaTheme="minorEastAsia"/>
          <w:rtl/>
        </w:rPr>
        <w:t>،</w:t>
      </w:r>
      <w:r w:rsidRPr="00A91733">
        <w:rPr>
          <w:rFonts w:eastAsiaTheme="minorEastAsia"/>
          <w:rtl/>
        </w:rPr>
        <w:t xml:space="preserve"> ترى اللجنة أن ثمة قدراً كبيراً من الوجاهة في حجة الدولة الطرف بأن هذا التقييد كان ضرورياً بوجه خاص لحماية الحقوق الأساسية للأطراف الثالثة</w:t>
      </w:r>
      <w:r w:rsidR="002531A3">
        <w:rPr>
          <w:rFonts w:eastAsiaTheme="minorEastAsia"/>
          <w:rtl/>
        </w:rPr>
        <w:t>،</w:t>
      </w:r>
      <w:r w:rsidRPr="00A91733">
        <w:rPr>
          <w:rFonts w:eastAsiaTheme="minorEastAsia"/>
          <w:rtl/>
        </w:rPr>
        <w:t xml:space="preserve"> أي الأطراف التي تتعاون مع وكالات إنفاذ القانون</w:t>
      </w:r>
      <w:r w:rsidR="002531A3">
        <w:rPr>
          <w:rFonts w:eastAsiaTheme="minorEastAsia"/>
          <w:rtl/>
        </w:rPr>
        <w:t>،</w:t>
      </w:r>
      <w:r w:rsidRPr="00A91733">
        <w:rPr>
          <w:rFonts w:eastAsiaTheme="minorEastAsia"/>
          <w:rtl/>
        </w:rPr>
        <w:t xml:space="preserve"> ولحماية المصلحة العامة</w:t>
      </w:r>
      <w:r w:rsidR="002531A3">
        <w:rPr>
          <w:rFonts w:eastAsiaTheme="minorEastAsia"/>
          <w:rtl/>
        </w:rPr>
        <w:t>،</w:t>
      </w:r>
      <w:r w:rsidRPr="00A91733">
        <w:rPr>
          <w:rFonts w:eastAsiaTheme="minorEastAsia"/>
          <w:rtl/>
        </w:rPr>
        <w:t xml:space="preserve"> وأسهم من ثم في كفالة توازن معقول بين المصلحة العامة ومصلحة المتهم. وفي ظل هذه الظروف</w:t>
      </w:r>
      <w:r w:rsidR="002531A3">
        <w:rPr>
          <w:rFonts w:eastAsiaTheme="minorEastAsia"/>
          <w:rtl/>
        </w:rPr>
        <w:t>،</w:t>
      </w:r>
      <w:r w:rsidRPr="00A91733">
        <w:rPr>
          <w:rFonts w:eastAsiaTheme="minorEastAsia"/>
          <w:rtl/>
        </w:rPr>
        <w:t xml:space="preserve"> ترى اللجنة أن المحاكم المحلية قد قيّمت ما إذا كان من الضروري رفض الكشف. وفي ضوء هذه الاعتبارات</w:t>
      </w:r>
      <w:r w:rsidR="002531A3">
        <w:rPr>
          <w:rFonts w:eastAsiaTheme="minorEastAsia"/>
          <w:rtl/>
        </w:rPr>
        <w:t>،</w:t>
      </w:r>
      <w:r w:rsidRPr="00A91733">
        <w:rPr>
          <w:rFonts w:eastAsiaTheme="minorEastAsia"/>
          <w:rtl/>
        </w:rPr>
        <w:t xml:space="preserve"> ونظراً لغياب أي معلومات أخرى لها صلة بملف القضية</w:t>
      </w:r>
      <w:r w:rsidR="002531A3">
        <w:rPr>
          <w:rFonts w:eastAsiaTheme="minorEastAsia"/>
          <w:rtl/>
        </w:rPr>
        <w:t>،</w:t>
      </w:r>
      <w:r w:rsidRPr="00A91733">
        <w:rPr>
          <w:rFonts w:eastAsiaTheme="minorEastAsia"/>
          <w:rtl/>
        </w:rPr>
        <w:t xml:space="preserve"> ترى اللجنة أن صاحب البلاغ لم يثبت هذا الادعاء بالأدلة الكافية</w:t>
      </w:r>
      <w:r w:rsidR="002531A3">
        <w:rPr>
          <w:rFonts w:eastAsiaTheme="minorEastAsia"/>
          <w:rtl/>
        </w:rPr>
        <w:t>،</w:t>
      </w:r>
      <w:r w:rsidRPr="00A91733">
        <w:rPr>
          <w:rFonts w:eastAsiaTheme="minorEastAsia"/>
          <w:rtl/>
        </w:rPr>
        <w:t xml:space="preserve"> وتعلن أنه غير مقبول بموجب المادة </w:t>
      </w:r>
      <w:r w:rsidRPr="008257F2">
        <w:rPr>
          <w:rFonts w:eastAsiaTheme="minorEastAsia"/>
          <w:rtl/>
        </w:rPr>
        <w:t>2</w:t>
      </w:r>
      <w:r w:rsidRPr="00A91733">
        <w:rPr>
          <w:rFonts w:eastAsiaTheme="minorEastAsia"/>
          <w:rtl/>
        </w:rPr>
        <w:t xml:space="preserve"> من البروتوكول الاختياري.</w:t>
      </w:r>
    </w:p>
    <w:p w14:paraId="07C4D17B" w14:textId="639D8B1C" w:rsidR="00517810" w:rsidRPr="00035F8F" w:rsidRDefault="00517810" w:rsidP="00A91733">
      <w:pPr>
        <w:pStyle w:val="SingleTxtGA"/>
        <w:rPr>
          <w:rFonts w:eastAsiaTheme="minorEastAsia"/>
          <w:lang w:val="en-US" w:eastAsia="zh-TW" w:bidi="en-GB"/>
        </w:rPr>
      </w:pPr>
      <w:r w:rsidRPr="008257F2">
        <w:rPr>
          <w:rFonts w:eastAsiaTheme="minorEastAsia"/>
          <w:rtl/>
        </w:rPr>
        <w:t>8</w:t>
      </w:r>
      <w:r w:rsidRPr="00A91733">
        <w:rPr>
          <w:rFonts w:eastAsiaTheme="minorEastAsia"/>
          <w:rtl/>
        </w:rPr>
        <w:t>-</w:t>
      </w:r>
      <w:r w:rsidRPr="008257F2">
        <w:rPr>
          <w:rFonts w:eastAsiaTheme="minorEastAsia"/>
          <w:rtl/>
        </w:rPr>
        <w:t>5</w:t>
      </w:r>
      <w:r w:rsidRPr="00A91733">
        <w:rPr>
          <w:rFonts w:eastAsiaTheme="minorEastAsia"/>
          <w:rtl/>
        </w:rPr>
        <w:tab/>
        <w:t xml:space="preserve">وتحيط اللجنة علماً بادعاءات صاحب البلاغ بمقتضى المادة </w:t>
      </w:r>
      <w:r w:rsidRPr="008257F2">
        <w:rPr>
          <w:rFonts w:eastAsiaTheme="minorEastAsia"/>
          <w:rtl/>
        </w:rPr>
        <w:t>14</w:t>
      </w:r>
      <w:r w:rsidRPr="00A91733">
        <w:rPr>
          <w:rFonts w:eastAsiaTheme="minorEastAsia"/>
          <w:rtl/>
        </w:rPr>
        <w:t>(</w:t>
      </w:r>
      <w:r w:rsidRPr="008257F2">
        <w:rPr>
          <w:rFonts w:eastAsiaTheme="minorEastAsia"/>
          <w:rtl/>
        </w:rPr>
        <w:t>2</w:t>
      </w:r>
      <w:r w:rsidRPr="00A91733">
        <w:rPr>
          <w:rFonts w:eastAsiaTheme="minorEastAsia"/>
          <w:rtl/>
        </w:rPr>
        <w:t>) من العهد. غير أنها ترى</w:t>
      </w:r>
      <w:r w:rsidR="002531A3">
        <w:rPr>
          <w:rFonts w:eastAsiaTheme="minorEastAsia"/>
          <w:rtl/>
        </w:rPr>
        <w:t>،</w:t>
      </w:r>
      <w:r w:rsidRPr="00A91733">
        <w:rPr>
          <w:rFonts w:eastAsiaTheme="minorEastAsia"/>
          <w:rtl/>
        </w:rPr>
        <w:t xml:space="preserve"> في غياب أي معلومات أو توضيحات إضافية في الملف</w:t>
      </w:r>
      <w:r w:rsidR="002531A3">
        <w:rPr>
          <w:rFonts w:eastAsiaTheme="minorEastAsia"/>
          <w:rtl/>
        </w:rPr>
        <w:t>،</w:t>
      </w:r>
      <w:r w:rsidRPr="00A91733">
        <w:rPr>
          <w:rFonts w:eastAsiaTheme="minorEastAsia"/>
          <w:rtl/>
        </w:rPr>
        <w:t xml:space="preserve"> أن صاحب البلاغ لم يدعم هذه الادعاءات بما</w:t>
      </w:r>
      <w:r w:rsidR="00A91733">
        <w:rPr>
          <w:rFonts w:eastAsiaTheme="minorEastAsia" w:hint="cs"/>
          <w:rtl/>
        </w:rPr>
        <w:t> </w:t>
      </w:r>
      <w:r w:rsidRPr="00A91733">
        <w:rPr>
          <w:rFonts w:eastAsiaTheme="minorEastAsia"/>
          <w:rtl/>
        </w:rPr>
        <w:t>يكفي من الأدلة لأغراض المقبولية. وبناءً على ذلك</w:t>
      </w:r>
      <w:r w:rsidR="002531A3">
        <w:rPr>
          <w:rFonts w:eastAsiaTheme="minorEastAsia"/>
          <w:rtl/>
        </w:rPr>
        <w:t>،</w:t>
      </w:r>
      <w:r w:rsidRPr="00A91733">
        <w:rPr>
          <w:rFonts w:eastAsiaTheme="minorEastAsia"/>
          <w:rtl/>
        </w:rPr>
        <w:t xml:space="preserve"> تعلن اللج</w:t>
      </w:r>
      <w:r w:rsidR="004022BD">
        <w:rPr>
          <w:rFonts w:eastAsiaTheme="minorEastAsia" w:hint="cs"/>
          <w:rtl/>
        </w:rPr>
        <w:t>ن</w:t>
      </w:r>
      <w:r w:rsidRPr="00A91733">
        <w:rPr>
          <w:rFonts w:eastAsiaTheme="minorEastAsia"/>
          <w:rtl/>
        </w:rPr>
        <w:t xml:space="preserve">ة أن هذا الشق من البلاغ غير مقبول بموجب المادة </w:t>
      </w:r>
      <w:r w:rsidRPr="008257F2">
        <w:rPr>
          <w:rFonts w:eastAsiaTheme="minorEastAsia"/>
          <w:rtl/>
        </w:rPr>
        <w:t>2</w:t>
      </w:r>
      <w:r w:rsidRPr="00A91733">
        <w:rPr>
          <w:rFonts w:eastAsiaTheme="minorEastAsia"/>
          <w:rtl/>
        </w:rPr>
        <w:t xml:space="preserve"> من البروتوكول الاختياري.</w:t>
      </w:r>
    </w:p>
    <w:p w14:paraId="24A513A8" w14:textId="0B67064B" w:rsidR="00517810" w:rsidRPr="00656872" w:rsidRDefault="00517810" w:rsidP="00A91733">
      <w:pPr>
        <w:pStyle w:val="SingleTxtGA"/>
        <w:rPr>
          <w:rFonts w:eastAsiaTheme="minorEastAsia"/>
          <w:lang w:val="en-US" w:eastAsia="zh-TW" w:bidi="en-GB"/>
        </w:rPr>
      </w:pPr>
      <w:r w:rsidRPr="008257F2">
        <w:rPr>
          <w:rFonts w:eastAsiaTheme="minorEastAsia"/>
          <w:rtl/>
        </w:rPr>
        <w:t>8</w:t>
      </w:r>
      <w:r w:rsidRPr="00A91733">
        <w:rPr>
          <w:rFonts w:eastAsiaTheme="minorEastAsia"/>
          <w:rtl/>
        </w:rPr>
        <w:t>-</w:t>
      </w:r>
      <w:r w:rsidRPr="008257F2">
        <w:rPr>
          <w:rFonts w:eastAsiaTheme="minorEastAsia"/>
          <w:rtl/>
        </w:rPr>
        <w:t>6</w:t>
      </w:r>
      <w:r w:rsidRPr="00A91733">
        <w:rPr>
          <w:rFonts w:eastAsiaTheme="minorEastAsia"/>
          <w:rtl/>
        </w:rPr>
        <w:tab/>
        <w:t xml:space="preserve">وفيما يتعلق بادعاءات صاحب البلاغ بموجب المادة </w:t>
      </w:r>
      <w:r w:rsidRPr="008257F2">
        <w:rPr>
          <w:rFonts w:eastAsiaTheme="minorEastAsia"/>
          <w:rtl/>
        </w:rPr>
        <w:t>14</w:t>
      </w:r>
      <w:r w:rsidRPr="00A91733">
        <w:rPr>
          <w:rFonts w:eastAsiaTheme="minorEastAsia"/>
          <w:rtl/>
        </w:rPr>
        <w:t>(</w:t>
      </w:r>
      <w:r w:rsidRPr="008257F2">
        <w:rPr>
          <w:rFonts w:eastAsiaTheme="minorEastAsia"/>
          <w:rtl/>
        </w:rPr>
        <w:t>6</w:t>
      </w:r>
      <w:r w:rsidRPr="00A91733">
        <w:rPr>
          <w:rFonts w:eastAsiaTheme="minorEastAsia"/>
          <w:rtl/>
        </w:rPr>
        <w:t>) من العهد</w:t>
      </w:r>
      <w:r w:rsidR="002531A3">
        <w:rPr>
          <w:rFonts w:eastAsiaTheme="minorEastAsia"/>
          <w:rtl/>
        </w:rPr>
        <w:t>،</w:t>
      </w:r>
      <w:r w:rsidRPr="00A91733">
        <w:rPr>
          <w:rFonts w:eastAsiaTheme="minorEastAsia"/>
          <w:rtl/>
        </w:rPr>
        <w:t xml:space="preserve"> تلاحظ اللجنة أن إدانة صاحب البلاغ في هذه القضية لم يبطلها بعد أي قرار قضائي وأنه لم يصدر قط أي عفو عن صاحب البلاغ. وعليه</w:t>
      </w:r>
      <w:r w:rsidR="002531A3">
        <w:rPr>
          <w:rFonts w:eastAsiaTheme="minorEastAsia"/>
          <w:rtl/>
        </w:rPr>
        <w:t>،</w:t>
      </w:r>
      <w:r w:rsidRPr="00A91733">
        <w:rPr>
          <w:rFonts w:eastAsiaTheme="minorEastAsia"/>
          <w:rtl/>
        </w:rPr>
        <w:t xml:space="preserve"> ترى اللجنة أن المادة </w:t>
      </w:r>
      <w:r w:rsidRPr="008257F2">
        <w:rPr>
          <w:rFonts w:eastAsiaTheme="minorEastAsia"/>
          <w:rtl/>
        </w:rPr>
        <w:t>14</w:t>
      </w:r>
      <w:r w:rsidRPr="00A91733">
        <w:rPr>
          <w:rFonts w:eastAsiaTheme="minorEastAsia"/>
          <w:rtl/>
        </w:rPr>
        <w:t>(</w:t>
      </w:r>
      <w:r w:rsidRPr="008257F2">
        <w:rPr>
          <w:rFonts w:eastAsiaTheme="minorEastAsia"/>
          <w:rtl/>
        </w:rPr>
        <w:t>6</w:t>
      </w:r>
      <w:r w:rsidRPr="00A91733">
        <w:rPr>
          <w:rFonts w:eastAsiaTheme="minorEastAsia"/>
          <w:rtl/>
        </w:rPr>
        <w:t xml:space="preserve">) لا تسري في هذه القضية وأن مطالبة صاحب البلاغ غير مقبولة من </w:t>
      </w:r>
      <w:r w:rsidRPr="007D2254">
        <w:rPr>
          <w:rFonts w:eastAsiaTheme="minorEastAsia"/>
          <w:rtl/>
        </w:rPr>
        <w:t>حي</w:t>
      </w:r>
      <w:r w:rsidR="00035F8F">
        <w:rPr>
          <w:rFonts w:eastAsiaTheme="minorEastAsia" w:hint="cs"/>
          <w:rtl/>
        </w:rPr>
        <w:t>ث</w:t>
      </w:r>
      <w:r w:rsidRPr="007D2254">
        <w:rPr>
          <w:rFonts w:eastAsiaTheme="minorEastAsia"/>
          <w:rtl/>
        </w:rPr>
        <w:t xml:space="preserve"> </w:t>
      </w:r>
      <w:r w:rsidRPr="008257F2">
        <w:rPr>
          <w:rFonts w:eastAsiaTheme="minorEastAsia"/>
          <w:i/>
          <w:iCs/>
          <w:rtl/>
        </w:rPr>
        <w:t>الاختصاص الموضوعي</w:t>
      </w:r>
      <w:r w:rsidRPr="00A91733">
        <w:rPr>
          <w:rFonts w:eastAsiaTheme="minorEastAsia"/>
          <w:rtl/>
        </w:rPr>
        <w:t xml:space="preserve"> بموجب المادة </w:t>
      </w:r>
      <w:r w:rsidRPr="008257F2">
        <w:rPr>
          <w:rFonts w:eastAsiaTheme="minorEastAsia"/>
          <w:rtl/>
        </w:rPr>
        <w:t>3</w:t>
      </w:r>
      <w:r w:rsidRPr="00A91733">
        <w:rPr>
          <w:rFonts w:eastAsiaTheme="minorEastAsia"/>
          <w:rtl/>
        </w:rPr>
        <w:t xml:space="preserve"> من البروتوكول الاختياري.</w:t>
      </w:r>
    </w:p>
    <w:p w14:paraId="6BEFE1CE" w14:textId="56C72E53" w:rsidR="00517810" w:rsidRPr="00A91733" w:rsidRDefault="00517810" w:rsidP="00A91733">
      <w:pPr>
        <w:pStyle w:val="SingleTxtGA"/>
        <w:rPr>
          <w:rFonts w:eastAsiaTheme="minorEastAsia"/>
          <w:rtl/>
          <w:lang w:val="fr-CH" w:eastAsia="zh-TW"/>
        </w:rPr>
      </w:pPr>
      <w:r w:rsidRPr="008257F2">
        <w:rPr>
          <w:rFonts w:eastAsiaTheme="minorEastAsia"/>
          <w:rtl/>
        </w:rPr>
        <w:t>9</w:t>
      </w:r>
      <w:r w:rsidRPr="00A91733">
        <w:rPr>
          <w:rFonts w:eastAsiaTheme="minorEastAsia"/>
          <w:rtl/>
        </w:rPr>
        <w:t>-</w:t>
      </w:r>
      <w:r w:rsidRPr="00A91733">
        <w:rPr>
          <w:rFonts w:eastAsiaTheme="minorEastAsia"/>
          <w:rtl/>
        </w:rPr>
        <w:tab/>
        <w:t>وبناءً عليه</w:t>
      </w:r>
      <w:r w:rsidR="002531A3">
        <w:rPr>
          <w:rFonts w:eastAsiaTheme="minorEastAsia"/>
          <w:rtl/>
        </w:rPr>
        <w:t>،</w:t>
      </w:r>
      <w:r w:rsidRPr="00A91733">
        <w:rPr>
          <w:rFonts w:eastAsiaTheme="minorEastAsia"/>
          <w:rtl/>
        </w:rPr>
        <w:t xml:space="preserve"> تقرر اللجنة ما يلي:</w:t>
      </w:r>
    </w:p>
    <w:p w14:paraId="6CB68A81" w14:textId="77777777" w:rsidR="00517810" w:rsidRPr="00A91733" w:rsidRDefault="00517810" w:rsidP="00A91733">
      <w:pPr>
        <w:pStyle w:val="SingleTxtGA"/>
        <w:rPr>
          <w:rFonts w:eastAsiaTheme="minorEastAsia"/>
          <w:rtl/>
          <w:lang w:val="ar-SA" w:eastAsia="zh-TW" w:bidi="ar-DZ"/>
        </w:rPr>
      </w:pPr>
      <w:r w:rsidRPr="00A91733">
        <w:rPr>
          <w:rFonts w:eastAsiaTheme="minorEastAsia"/>
          <w:rtl/>
        </w:rPr>
        <w:tab/>
        <w:t>(أ)</w:t>
      </w:r>
      <w:r w:rsidRPr="00A91733">
        <w:rPr>
          <w:rFonts w:eastAsiaTheme="minorEastAsia"/>
          <w:rtl/>
        </w:rPr>
        <w:tab/>
        <w:t xml:space="preserve">عدم قبول البلاغ بموجب المادتين </w:t>
      </w:r>
      <w:r w:rsidRPr="008257F2">
        <w:rPr>
          <w:rFonts w:eastAsiaTheme="minorEastAsia"/>
          <w:rtl/>
        </w:rPr>
        <w:t>2</w:t>
      </w:r>
      <w:r w:rsidRPr="00A91733">
        <w:rPr>
          <w:rFonts w:eastAsiaTheme="minorEastAsia"/>
          <w:rtl/>
        </w:rPr>
        <w:t xml:space="preserve"> و</w:t>
      </w:r>
      <w:r w:rsidRPr="008257F2">
        <w:rPr>
          <w:rFonts w:eastAsiaTheme="minorEastAsia"/>
          <w:rtl/>
        </w:rPr>
        <w:t>3</w:t>
      </w:r>
      <w:r w:rsidRPr="00A91733">
        <w:rPr>
          <w:rFonts w:eastAsiaTheme="minorEastAsia"/>
          <w:rtl/>
        </w:rPr>
        <w:t xml:space="preserve"> من البروتوكول الاختياري؛</w:t>
      </w:r>
    </w:p>
    <w:p w14:paraId="31EC5BA5" w14:textId="3F5C2C98" w:rsidR="00517810" w:rsidRDefault="00517810" w:rsidP="00A91733">
      <w:pPr>
        <w:pStyle w:val="SingleTxtGA"/>
        <w:rPr>
          <w:rFonts w:eastAsiaTheme="minorEastAsia"/>
          <w:lang w:val="ar-SA" w:eastAsia="zh-TW" w:bidi="en-GB"/>
        </w:rPr>
      </w:pPr>
      <w:r w:rsidRPr="00A91733">
        <w:rPr>
          <w:rFonts w:eastAsiaTheme="minorEastAsia"/>
          <w:rtl/>
        </w:rPr>
        <w:tab/>
        <w:t>(ب)</w:t>
      </w:r>
      <w:r w:rsidRPr="00A91733">
        <w:rPr>
          <w:rFonts w:eastAsiaTheme="minorEastAsia"/>
          <w:rtl/>
        </w:rPr>
        <w:tab/>
        <w:t>إحالة هذا القرار إلى الدولة الطرف وصاحب البلاغ.</w:t>
      </w:r>
    </w:p>
    <w:p w14:paraId="0910AAE5" w14:textId="5F78D43A" w:rsidR="00A91733" w:rsidRPr="00A91733" w:rsidRDefault="00A91733" w:rsidP="00A362E2">
      <w:pPr>
        <w:pStyle w:val="SingleTxtGA"/>
        <w:spacing w:before="120" w:after="0"/>
        <w:jc w:val="center"/>
        <w:rPr>
          <w:u w:val="single"/>
          <w:rtl/>
          <w:lang w:eastAsia="zh-TW"/>
        </w:rPr>
      </w:pPr>
      <w:r>
        <w:rPr>
          <w:u w:val="single"/>
          <w:rtl/>
          <w:lang w:eastAsia="zh-TW"/>
        </w:rPr>
        <w:tab/>
      </w:r>
      <w:r>
        <w:rPr>
          <w:u w:val="single"/>
          <w:rtl/>
          <w:lang w:eastAsia="zh-TW"/>
        </w:rPr>
        <w:tab/>
      </w:r>
      <w:r>
        <w:rPr>
          <w:u w:val="single"/>
          <w:rtl/>
          <w:lang w:eastAsia="zh-TW"/>
        </w:rPr>
        <w:tab/>
      </w:r>
    </w:p>
    <w:sectPr w:rsidR="00A91733" w:rsidRPr="00A91733" w:rsidSect="006505F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4672" w14:textId="77777777" w:rsidR="00B73930" w:rsidRPr="002901D9" w:rsidRDefault="00B73930" w:rsidP="00DC4D4B">
      <w:pPr>
        <w:spacing w:after="60" w:line="240" w:lineRule="auto"/>
        <w:ind w:left="57"/>
        <w:rPr>
          <w:i/>
          <w:iCs/>
        </w:rPr>
      </w:pPr>
      <w:r>
        <w:rPr>
          <w:rFonts w:hint="cs"/>
          <w:i/>
          <w:iCs/>
          <w:rtl/>
        </w:rPr>
        <w:t>الحواشي</w:t>
      </w:r>
    </w:p>
  </w:endnote>
  <w:endnote w:type="continuationSeparator" w:id="0">
    <w:p w14:paraId="0E0AB156" w14:textId="77777777" w:rsidR="00B73930" w:rsidRDefault="00B7393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55A0" w14:textId="7075A512" w:rsidR="00402D37" w:rsidRPr="00402D37" w:rsidRDefault="00402D37" w:rsidP="00402D37">
    <w:pPr>
      <w:pStyle w:val="Footer"/>
      <w:tabs>
        <w:tab w:val="right" w:pos="9638"/>
      </w:tabs>
      <w:rPr>
        <w:b/>
        <w:sz w:val="18"/>
        <w:lang w:val="en-US"/>
      </w:rPr>
    </w:pPr>
    <w:r>
      <w:rPr>
        <w:lang w:val="en-US"/>
      </w:rPr>
      <w:t>GE.22-00974</w:t>
    </w:r>
    <w:r>
      <w:rPr>
        <w:lang w:val="en-US"/>
      </w:rPr>
      <w:tab/>
    </w:r>
    <w:r w:rsidRPr="00402D37">
      <w:rPr>
        <w:b/>
        <w:sz w:val="18"/>
        <w:lang w:val="en-US"/>
      </w:rPr>
      <w:fldChar w:fldCharType="begin"/>
    </w:r>
    <w:r w:rsidRPr="00402D37">
      <w:rPr>
        <w:b/>
        <w:sz w:val="18"/>
        <w:lang w:val="en-US"/>
      </w:rPr>
      <w:instrText xml:space="preserve"> PAGE  \* MERGEFORMAT </w:instrText>
    </w:r>
    <w:r w:rsidRPr="00402D37">
      <w:rPr>
        <w:b/>
        <w:sz w:val="18"/>
        <w:lang w:val="en-US"/>
      </w:rPr>
      <w:fldChar w:fldCharType="separate"/>
    </w:r>
    <w:r w:rsidRPr="00402D37">
      <w:rPr>
        <w:b/>
        <w:noProof/>
        <w:sz w:val="18"/>
        <w:lang w:val="en-US"/>
      </w:rPr>
      <w:t>2</w:t>
    </w:r>
    <w:r w:rsidRPr="00402D3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F256" w14:textId="7724D444" w:rsidR="006959B0" w:rsidRPr="00402D37" w:rsidRDefault="00402D37" w:rsidP="00402D3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GE.22-00974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AC98" w14:textId="242D03E3" w:rsidR="00DE50B1" w:rsidRPr="00402D37" w:rsidRDefault="00402D37" w:rsidP="00402D3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FA12730" wp14:editId="71CB181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22-00974 (A)</w:t>
    </w:r>
    <w:r>
      <w:rPr>
        <w:noProof/>
        <w:sz w:val="20"/>
        <w:lang w:val="en-US"/>
      </w:rPr>
      <w:drawing>
        <wp:anchor distT="0" distB="0" distL="114300" distR="114300" simplePos="0" relativeHeight="251659264" behindDoc="0" locked="0" layoutInCell="1" allowOverlap="1" wp14:anchorId="72EEF7B3" wp14:editId="700ED9A7">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1F0F" w14:textId="77777777" w:rsidR="00B73930" w:rsidRPr="008A49D2" w:rsidRDefault="00B7393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CED21CE" w14:textId="77777777" w:rsidR="00B73930" w:rsidRDefault="00B73930" w:rsidP="00656392">
      <w:pPr>
        <w:spacing w:line="240" w:lineRule="auto"/>
      </w:pPr>
      <w:r>
        <w:continuationSeparator/>
      </w:r>
    </w:p>
  </w:footnote>
  <w:footnote w:id="1">
    <w:p w14:paraId="5793E849" w14:textId="799E73CD" w:rsidR="00517810" w:rsidRPr="00A91733" w:rsidRDefault="00517810" w:rsidP="00517810">
      <w:pPr>
        <w:pStyle w:val="FootnoteText1"/>
        <w:rPr>
          <w:rFonts w:eastAsiaTheme="minorEastAsia"/>
          <w:rtl/>
        </w:rPr>
      </w:pPr>
      <w:r w:rsidRPr="008E7DB1">
        <w:rPr>
          <w:rFonts w:eastAsiaTheme="minorEastAsia"/>
          <w:sz w:val="24"/>
          <w:szCs w:val="24"/>
          <w:rtl/>
        </w:rPr>
        <w:t>*</w:t>
      </w:r>
      <w:r w:rsidRPr="00A91733">
        <w:rPr>
          <w:rFonts w:eastAsiaTheme="minorEastAsia"/>
          <w:rtl/>
        </w:rPr>
        <w:tab/>
        <w:t xml:space="preserve">اعتمدته اللجنة في دورتها </w:t>
      </w:r>
      <w:r w:rsidRPr="008257F2">
        <w:rPr>
          <w:rFonts w:eastAsiaTheme="minorEastAsia"/>
          <w:rtl/>
        </w:rPr>
        <w:t>133</w:t>
      </w:r>
      <w:r w:rsidRPr="00A91733">
        <w:rPr>
          <w:rFonts w:eastAsiaTheme="minorEastAsia"/>
          <w:rtl/>
        </w:rPr>
        <w:t xml:space="preserve"> (</w:t>
      </w:r>
      <w:r w:rsidRPr="008257F2">
        <w:rPr>
          <w:rFonts w:eastAsiaTheme="minorEastAsia"/>
          <w:rtl/>
        </w:rPr>
        <w:t>11</w:t>
      </w:r>
      <w:r w:rsidRPr="00A91733">
        <w:rPr>
          <w:rFonts w:eastAsiaTheme="minorEastAsia"/>
          <w:rtl/>
        </w:rPr>
        <w:t xml:space="preserve"> تشرين الأول/أكتوبر - </w:t>
      </w:r>
      <w:r w:rsidRPr="008257F2">
        <w:rPr>
          <w:rFonts w:eastAsiaTheme="minorEastAsia"/>
          <w:rtl/>
        </w:rPr>
        <w:t>5</w:t>
      </w:r>
      <w:r w:rsidRPr="00A91733">
        <w:rPr>
          <w:rFonts w:eastAsiaTheme="minorEastAsia"/>
          <w:rtl/>
        </w:rPr>
        <w:t xml:space="preserve"> تشرين الثاني/نوفمبر </w:t>
      </w:r>
      <w:r w:rsidRPr="008257F2">
        <w:rPr>
          <w:rFonts w:eastAsiaTheme="minorEastAsia"/>
          <w:rtl/>
        </w:rPr>
        <w:t>2021</w:t>
      </w:r>
      <w:r w:rsidRPr="00A91733">
        <w:rPr>
          <w:rFonts w:eastAsiaTheme="minorEastAsia"/>
          <w:rtl/>
        </w:rPr>
        <w:t>).</w:t>
      </w:r>
    </w:p>
  </w:footnote>
  <w:footnote w:id="2">
    <w:p w14:paraId="41FDA857" w14:textId="22BACDE7" w:rsidR="00517810" w:rsidRPr="00A91733" w:rsidRDefault="00517810" w:rsidP="00517810">
      <w:pPr>
        <w:pStyle w:val="FootnoteText1"/>
        <w:rPr>
          <w:rFonts w:eastAsiaTheme="minorEastAsia"/>
          <w:rtl/>
        </w:rPr>
      </w:pPr>
      <w:r w:rsidRPr="008E7DB1">
        <w:rPr>
          <w:rFonts w:eastAsiaTheme="minorEastAsia"/>
          <w:sz w:val="24"/>
          <w:szCs w:val="24"/>
          <w:rtl/>
        </w:rPr>
        <w:t>**</w:t>
      </w:r>
      <w:r w:rsidRPr="00A91733">
        <w:rPr>
          <w:rFonts w:eastAsiaTheme="minorEastAsia"/>
          <w:rtl/>
        </w:rPr>
        <w:tab/>
        <w:t>شارك أعضاء اللجنة التالية أسماؤهم في دراسة هذا البلاغ: وفاء أشرف محرم بسيم</w:t>
      </w:r>
      <w:r w:rsidR="002531A3">
        <w:rPr>
          <w:rFonts w:eastAsiaTheme="minorEastAsia"/>
          <w:rtl/>
        </w:rPr>
        <w:t>،</w:t>
      </w:r>
      <w:r w:rsidRPr="00A91733">
        <w:rPr>
          <w:rFonts w:eastAsiaTheme="minorEastAsia"/>
          <w:rtl/>
        </w:rPr>
        <w:t xml:space="preserve"> عياض بن عاشور</w:t>
      </w:r>
      <w:r w:rsidR="002531A3">
        <w:rPr>
          <w:rFonts w:eastAsiaTheme="minorEastAsia"/>
          <w:rtl/>
        </w:rPr>
        <w:t>،</w:t>
      </w:r>
      <w:r w:rsidRPr="00A91733">
        <w:rPr>
          <w:rFonts w:eastAsiaTheme="minorEastAsia"/>
          <w:rtl/>
        </w:rPr>
        <w:t xml:space="preserve"> عارف بلقان</w:t>
      </w:r>
      <w:r w:rsidR="002531A3">
        <w:rPr>
          <w:rFonts w:eastAsiaTheme="minorEastAsia"/>
          <w:rtl/>
        </w:rPr>
        <w:t>،</w:t>
      </w:r>
      <w:r w:rsidRPr="00A91733">
        <w:rPr>
          <w:rFonts w:eastAsiaTheme="minorEastAsia"/>
          <w:rtl/>
        </w:rPr>
        <w:t xml:space="preserve"> محجوب الهيبة</w:t>
      </w:r>
      <w:r w:rsidR="002531A3">
        <w:rPr>
          <w:rFonts w:eastAsiaTheme="minorEastAsia"/>
          <w:rtl/>
        </w:rPr>
        <w:t>،</w:t>
      </w:r>
      <w:r w:rsidRPr="00A91733">
        <w:rPr>
          <w:rFonts w:eastAsiaTheme="minorEastAsia"/>
          <w:rtl/>
        </w:rPr>
        <w:t xml:space="preserve"> فورويا شويتشي</w:t>
      </w:r>
      <w:r w:rsidR="002531A3">
        <w:rPr>
          <w:rFonts w:eastAsiaTheme="minorEastAsia"/>
          <w:rtl/>
        </w:rPr>
        <w:t>،</w:t>
      </w:r>
      <w:r w:rsidRPr="00A91733">
        <w:rPr>
          <w:rFonts w:eastAsiaTheme="minorEastAsia"/>
          <w:rtl/>
        </w:rPr>
        <w:t xml:space="preserve"> كارلوس غوميز مارتينيز</w:t>
      </w:r>
      <w:r w:rsidR="002531A3">
        <w:rPr>
          <w:rFonts w:eastAsiaTheme="minorEastAsia"/>
          <w:rtl/>
        </w:rPr>
        <w:t>،</w:t>
      </w:r>
      <w:r w:rsidRPr="00A91733">
        <w:rPr>
          <w:rFonts w:eastAsiaTheme="minorEastAsia"/>
          <w:rtl/>
        </w:rPr>
        <w:t xml:space="preserve"> مارسيا ف. ج. كران</w:t>
      </w:r>
      <w:r w:rsidR="002531A3">
        <w:rPr>
          <w:rFonts w:eastAsiaTheme="minorEastAsia"/>
          <w:rtl/>
        </w:rPr>
        <w:t>،</w:t>
      </w:r>
      <w:r w:rsidRPr="00A91733">
        <w:rPr>
          <w:rFonts w:eastAsiaTheme="minorEastAsia"/>
          <w:rtl/>
        </w:rPr>
        <w:t xml:space="preserve"> دنكان لاكي موهوموزا</w:t>
      </w:r>
      <w:r w:rsidR="002531A3">
        <w:rPr>
          <w:rFonts w:eastAsiaTheme="minorEastAsia"/>
          <w:rtl/>
        </w:rPr>
        <w:t>،</w:t>
      </w:r>
      <w:r w:rsidRPr="00A91733">
        <w:rPr>
          <w:rFonts w:eastAsiaTheme="minorEastAsia"/>
          <w:rtl/>
        </w:rPr>
        <w:t xml:space="preserve"> فوتيني بزاغتزيس</w:t>
      </w:r>
      <w:r w:rsidR="002531A3">
        <w:rPr>
          <w:rFonts w:eastAsiaTheme="minorEastAsia"/>
          <w:rtl/>
        </w:rPr>
        <w:t>،</w:t>
      </w:r>
      <w:r w:rsidRPr="00A91733">
        <w:rPr>
          <w:rFonts w:eastAsiaTheme="minorEastAsia"/>
          <w:rtl/>
        </w:rPr>
        <w:t xml:space="preserve"> فاسيلكا سانسين</w:t>
      </w:r>
      <w:r w:rsidR="002531A3">
        <w:rPr>
          <w:rFonts w:eastAsiaTheme="minorEastAsia"/>
          <w:rtl/>
        </w:rPr>
        <w:t>،</w:t>
      </w:r>
      <w:r w:rsidRPr="00A91733">
        <w:rPr>
          <w:rFonts w:eastAsiaTheme="minorEastAsia"/>
          <w:rtl/>
        </w:rPr>
        <w:t xml:space="preserve"> خوسيه مانويل سانتوس بيس</w:t>
      </w:r>
      <w:r w:rsidR="002531A3">
        <w:rPr>
          <w:rFonts w:eastAsiaTheme="minorEastAsia"/>
          <w:rtl/>
        </w:rPr>
        <w:t>،</w:t>
      </w:r>
      <w:r w:rsidRPr="00A91733">
        <w:rPr>
          <w:rFonts w:eastAsiaTheme="minorEastAsia"/>
          <w:rtl/>
        </w:rPr>
        <w:t xml:space="preserve"> سوه تشانغروك</w:t>
      </w:r>
      <w:r w:rsidR="002531A3">
        <w:rPr>
          <w:rFonts w:eastAsiaTheme="minorEastAsia"/>
          <w:rtl/>
        </w:rPr>
        <w:t>،</w:t>
      </w:r>
      <w:r w:rsidRPr="00A91733">
        <w:rPr>
          <w:rFonts w:eastAsiaTheme="minorEastAsia"/>
          <w:rtl/>
        </w:rPr>
        <w:t xml:space="preserve"> كوباوياه تشامدجا كباتشا</w:t>
      </w:r>
      <w:r w:rsidR="002531A3">
        <w:rPr>
          <w:rFonts w:eastAsiaTheme="minorEastAsia"/>
          <w:rtl/>
        </w:rPr>
        <w:t>،</w:t>
      </w:r>
      <w:r w:rsidRPr="00A91733">
        <w:rPr>
          <w:rFonts w:eastAsiaTheme="minorEastAsia"/>
          <w:rtl/>
        </w:rPr>
        <w:t xml:space="preserve"> إيلين تيغرودجا</w:t>
      </w:r>
      <w:r w:rsidR="002531A3">
        <w:rPr>
          <w:rFonts w:eastAsiaTheme="minorEastAsia"/>
          <w:rtl/>
        </w:rPr>
        <w:t>،</w:t>
      </w:r>
      <w:r w:rsidRPr="00A91733">
        <w:rPr>
          <w:rFonts w:eastAsiaTheme="minorEastAsia"/>
          <w:rtl/>
        </w:rPr>
        <w:t xml:space="preserve"> إيميرو تامرات إغيزو</w:t>
      </w:r>
      <w:r w:rsidR="002531A3">
        <w:rPr>
          <w:rFonts w:eastAsiaTheme="minorEastAsia"/>
          <w:rtl/>
        </w:rPr>
        <w:t>،</w:t>
      </w:r>
      <w:r w:rsidRPr="00A91733">
        <w:rPr>
          <w:rFonts w:eastAsiaTheme="minorEastAsia"/>
          <w:rtl/>
        </w:rPr>
        <w:t xml:space="preserve"> جينتيان</w:t>
      </w:r>
      <w:r w:rsidR="00A91733" w:rsidRPr="00A91733">
        <w:rPr>
          <w:rFonts w:eastAsiaTheme="minorEastAsia" w:hint="cs"/>
          <w:rtl/>
        </w:rPr>
        <w:t> </w:t>
      </w:r>
      <w:r w:rsidRPr="00A91733">
        <w:rPr>
          <w:rFonts w:eastAsiaTheme="minorEastAsia"/>
          <w:rtl/>
        </w:rPr>
        <w:t>زبيري.</w:t>
      </w:r>
    </w:p>
  </w:footnote>
  <w:footnote w:id="3">
    <w:p w14:paraId="0C23CAFC" w14:textId="7395C8D6"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 xml:space="preserve">تمشياً مع المادتين </w:t>
      </w:r>
      <w:r w:rsidRPr="008257F2">
        <w:rPr>
          <w:rFonts w:eastAsiaTheme="minorEastAsia"/>
          <w:rtl/>
        </w:rPr>
        <w:t>4</w:t>
      </w:r>
      <w:r w:rsidRPr="00A91733">
        <w:rPr>
          <w:rFonts w:eastAsiaTheme="minorEastAsia"/>
          <w:rtl/>
        </w:rPr>
        <w:t>(</w:t>
      </w:r>
      <w:r w:rsidRPr="008257F2">
        <w:rPr>
          <w:rFonts w:eastAsiaTheme="minorEastAsia"/>
          <w:rtl/>
        </w:rPr>
        <w:t>2</w:t>
      </w:r>
      <w:r w:rsidRPr="00A91733">
        <w:rPr>
          <w:rFonts w:eastAsiaTheme="minorEastAsia"/>
          <w:rtl/>
        </w:rPr>
        <w:t>) و</w:t>
      </w:r>
      <w:r w:rsidRPr="008257F2">
        <w:rPr>
          <w:rFonts w:eastAsiaTheme="minorEastAsia"/>
          <w:rtl/>
        </w:rPr>
        <w:t>15</w:t>
      </w:r>
      <w:r w:rsidRPr="00A91733">
        <w:rPr>
          <w:rFonts w:eastAsiaTheme="minorEastAsia"/>
          <w:rtl/>
        </w:rPr>
        <w:t>(</w:t>
      </w:r>
      <w:r w:rsidRPr="008257F2">
        <w:rPr>
          <w:rFonts w:eastAsiaTheme="minorEastAsia"/>
          <w:rtl/>
        </w:rPr>
        <w:t>1</w:t>
      </w:r>
      <w:r w:rsidRPr="00A91733">
        <w:rPr>
          <w:rFonts w:eastAsiaTheme="minorEastAsia"/>
          <w:rtl/>
        </w:rPr>
        <w:t>) من قانون لاتفيا المتعلق بتدابير التحقيقات الخاصة.</w:t>
      </w:r>
    </w:p>
  </w:footnote>
  <w:footnote w:id="4">
    <w:p w14:paraId="47D083C4" w14:textId="028DB796" w:rsidR="00A91733" w:rsidRPr="00A91733" w:rsidRDefault="00A91733" w:rsidP="00A91733">
      <w:pPr>
        <w:pStyle w:val="FootnoteText1"/>
        <w:textDirection w:val="tbRlV"/>
        <w:rPr>
          <w:rFonts w:eastAsiaTheme="minorEastAsia"/>
          <w:lang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r>
      <w:r w:rsidRPr="00A91733">
        <w:rPr>
          <w:rFonts w:eastAsiaTheme="minorEastAsia"/>
        </w:rPr>
        <w:t xml:space="preserve">European Court of Human Rights, </w:t>
      </w:r>
      <w:r w:rsidRPr="008257F2">
        <w:rPr>
          <w:rFonts w:eastAsiaTheme="minorEastAsia"/>
          <w:i/>
          <w:iCs/>
        </w:rPr>
        <w:t>Jasper v. the United Kingdom</w:t>
      </w:r>
      <w:r w:rsidRPr="00A91733">
        <w:rPr>
          <w:rFonts w:eastAsiaTheme="minorEastAsia"/>
        </w:rPr>
        <w:t xml:space="preserve">, Application No. </w:t>
      </w:r>
      <w:r w:rsidR="00DA3DC9" w:rsidRPr="008257F2">
        <w:rPr>
          <w:rFonts w:eastAsiaTheme="minorEastAsia"/>
        </w:rPr>
        <w:t>27052</w:t>
      </w:r>
      <w:r w:rsidR="00DA3DC9" w:rsidRPr="00A91733">
        <w:rPr>
          <w:rFonts w:eastAsiaTheme="minorEastAsia"/>
        </w:rPr>
        <w:t>/</w:t>
      </w:r>
      <w:r w:rsidR="00DA3DC9" w:rsidRPr="008257F2">
        <w:rPr>
          <w:rFonts w:eastAsiaTheme="minorEastAsia"/>
        </w:rPr>
        <w:t>95</w:t>
      </w:r>
      <w:r w:rsidRPr="00A91733">
        <w:rPr>
          <w:rFonts w:eastAsiaTheme="minorEastAsia"/>
          <w:rtl/>
        </w:rPr>
        <w:t>.</w:t>
      </w:r>
    </w:p>
  </w:footnote>
  <w:footnote w:id="5">
    <w:p w14:paraId="23142A71" w14:textId="22F46F2D"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أرفقت الدولة الطرف نسخة من هذا القرار.</w:t>
      </w:r>
    </w:p>
  </w:footnote>
  <w:footnote w:id="6">
    <w:p w14:paraId="56C64D1D" w14:textId="41C9B297"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اللجنة المعنية بحقوق الإنسان</w:t>
      </w:r>
      <w:r w:rsidR="002531A3">
        <w:rPr>
          <w:rFonts w:eastAsiaTheme="minorEastAsia"/>
          <w:rtl/>
        </w:rPr>
        <w:t>،</w:t>
      </w:r>
      <w:r w:rsidRPr="00A91733">
        <w:rPr>
          <w:rFonts w:eastAsiaTheme="minorEastAsia"/>
          <w:rtl/>
        </w:rPr>
        <w:t xml:space="preserve"> </w:t>
      </w:r>
      <w:r w:rsidRPr="008257F2">
        <w:rPr>
          <w:rFonts w:eastAsiaTheme="minorEastAsia"/>
          <w:i/>
          <w:iCs/>
          <w:rtl/>
        </w:rPr>
        <w:t>غ. أ. فان مور ضد هولندا</w:t>
      </w:r>
      <w:r w:rsidR="002531A3">
        <w:rPr>
          <w:rFonts w:eastAsiaTheme="minorEastAsia"/>
          <w:rtl/>
        </w:rPr>
        <w:t>،</w:t>
      </w:r>
      <w:r w:rsidRPr="00A91733">
        <w:rPr>
          <w:rFonts w:eastAsiaTheme="minorEastAsia"/>
          <w:rtl/>
        </w:rPr>
        <w:t xml:space="preserve"> البلاغ رقم </w:t>
      </w:r>
      <w:r w:rsidRPr="008257F2">
        <w:rPr>
          <w:rFonts w:eastAsiaTheme="minorEastAsia"/>
          <w:rtl/>
        </w:rPr>
        <w:t>215</w:t>
      </w:r>
      <w:r w:rsidRPr="00A91733">
        <w:rPr>
          <w:rFonts w:eastAsiaTheme="minorEastAsia"/>
          <w:rtl/>
        </w:rPr>
        <w:t>/</w:t>
      </w:r>
      <w:r w:rsidRPr="008257F2">
        <w:rPr>
          <w:rFonts w:eastAsiaTheme="minorEastAsia"/>
          <w:rtl/>
        </w:rPr>
        <w:t>1986</w:t>
      </w:r>
      <w:r w:rsidRPr="00A91733">
        <w:rPr>
          <w:rFonts w:eastAsiaTheme="minorEastAsia"/>
          <w:rtl/>
        </w:rPr>
        <w:t>.</w:t>
      </w:r>
    </w:p>
  </w:footnote>
  <w:footnote w:id="7">
    <w:p w14:paraId="2B0391BC" w14:textId="24045184" w:rsidR="00A91733" w:rsidRPr="00EA7571" w:rsidRDefault="00A91733" w:rsidP="00A91733">
      <w:pPr>
        <w:pStyle w:val="FootnoteText1"/>
        <w:textDirection w:val="tbRlV"/>
        <w:rPr>
          <w:rFonts w:eastAsiaTheme="minorEastAsia"/>
          <w:lang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اللجنة المعنية بحقوق الإنسان</w:t>
      </w:r>
      <w:r w:rsidR="002531A3">
        <w:rPr>
          <w:rFonts w:eastAsiaTheme="minorEastAsia"/>
          <w:rtl/>
        </w:rPr>
        <w:t>،</w:t>
      </w:r>
      <w:r w:rsidRPr="00A91733">
        <w:rPr>
          <w:rFonts w:eastAsiaTheme="minorEastAsia"/>
          <w:rtl/>
        </w:rPr>
        <w:t xml:space="preserve"> التعليق العام رقم </w:t>
      </w:r>
      <w:r w:rsidRPr="008257F2">
        <w:rPr>
          <w:rFonts w:eastAsiaTheme="minorEastAsia"/>
          <w:rtl/>
        </w:rPr>
        <w:t>32</w:t>
      </w:r>
      <w:r w:rsidRPr="00A91733">
        <w:rPr>
          <w:rFonts w:eastAsiaTheme="minorEastAsia"/>
          <w:rtl/>
        </w:rPr>
        <w:t>(</w:t>
      </w:r>
      <w:r w:rsidRPr="008257F2">
        <w:rPr>
          <w:rFonts w:eastAsiaTheme="minorEastAsia"/>
          <w:rtl/>
        </w:rPr>
        <w:t>2007</w:t>
      </w:r>
      <w:r w:rsidRPr="00A91733">
        <w:rPr>
          <w:rFonts w:eastAsiaTheme="minorEastAsia"/>
          <w:rtl/>
        </w:rPr>
        <w:t>)</w:t>
      </w:r>
      <w:r w:rsidR="002531A3">
        <w:rPr>
          <w:rFonts w:eastAsiaTheme="minorEastAsia"/>
          <w:rtl/>
        </w:rPr>
        <w:t>،</w:t>
      </w:r>
      <w:r w:rsidRPr="00A91733">
        <w:rPr>
          <w:rFonts w:eastAsiaTheme="minorEastAsia"/>
          <w:rtl/>
        </w:rPr>
        <w:t xml:space="preserve"> الفقرة </w:t>
      </w:r>
      <w:r w:rsidRPr="008257F2">
        <w:rPr>
          <w:rFonts w:eastAsiaTheme="minorEastAsia"/>
          <w:rtl/>
        </w:rPr>
        <w:t>26</w:t>
      </w:r>
      <w:r w:rsidRPr="00A91733">
        <w:rPr>
          <w:rFonts w:eastAsiaTheme="minorEastAsia"/>
          <w:rtl/>
        </w:rPr>
        <w:t>.</w:t>
      </w:r>
    </w:p>
  </w:footnote>
  <w:footnote w:id="8">
    <w:p w14:paraId="5CF15284" w14:textId="2F25CC95" w:rsidR="00A91733" w:rsidRPr="00EA7571" w:rsidRDefault="00A91733" w:rsidP="00A91733">
      <w:pPr>
        <w:pStyle w:val="FootnoteText1"/>
        <w:textDirection w:val="tbRlV"/>
        <w:rPr>
          <w:rFonts w:eastAsiaTheme="minorEastAsia"/>
          <w:spacing w:val="-4"/>
          <w:lang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r>
      <w:r w:rsidRPr="008257F2">
        <w:rPr>
          <w:rFonts w:eastAsiaTheme="minorEastAsia"/>
          <w:i/>
          <w:iCs/>
          <w:spacing w:val="-4"/>
          <w:rtl/>
        </w:rPr>
        <w:t xml:space="preserve">غريدين ضد الاتحاد الروسي </w:t>
      </w:r>
      <w:r w:rsidRPr="00A91733">
        <w:rPr>
          <w:rFonts w:eastAsiaTheme="minorEastAsia"/>
          <w:spacing w:val="-4"/>
          <w:rtl/>
        </w:rPr>
        <w:t>(</w:t>
      </w:r>
      <w:hyperlink r:id="rId1" w:history="1">
        <w:r w:rsidRPr="002531A3">
          <w:rPr>
            <w:rStyle w:val="Hyperlink"/>
            <w:rFonts w:eastAsiaTheme="minorEastAsia"/>
            <w:spacing w:val="-4"/>
          </w:rPr>
          <w:t>CCPR/C/</w:t>
        </w:r>
        <w:r w:rsidRPr="008257F2">
          <w:rPr>
            <w:rStyle w:val="Hyperlink"/>
            <w:rFonts w:eastAsiaTheme="minorEastAsia"/>
            <w:spacing w:val="-4"/>
          </w:rPr>
          <w:t>69</w:t>
        </w:r>
        <w:r w:rsidRPr="002531A3">
          <w:rPr>
            <w:rStyle w:val="Hyperlink"/>
            <w:rFonts w:eastAsiaTheme="minorEastAsia"/>
            <w:spacing w:val="-4"/>
          </w:rPr>
          <w:t>/D/</w:t>
        </w:r>
        <w:r w:rsidRPr="008257F2">
          <w:rPr>
            <w:rStyle w:val="Hyperlink"/>
            <w:rFonts w:eastAsiaTheme="minorEastAsia"/>
            <w:spacing w:val="-4"/>
          </w:rPr>
          <w:t>770</w:t>
        </w:r>
        <w:r w:rsidRPr="002531A3">
          <w:rPr>
            <w:rStyle w:val="Hyperlink"/>
            <w:rFonts w:eastAsiaTheme="minorEastAsia"/>
            <w:spacing w:val="-4"/>
          </w:rPr>
          <w:t>/</w:t>
        </w:r>
        <w:r w:rsidRPr="008257F2">
          <w:rPr>
            <w:rStyle w:val="Hyperlink"/>
            <w:rFonts w:eastAsiaTheme="minorEastAsia"/>
            <w:spacing w:val="-4"/>
          </w:rPr>
          <w:t>1997</w:t>
        </w:r>
      </w:hyperlink>
      <w:r w:rsidR="002531A3" w:rsidRPr="00A91733">
        <w:rPr>
          <w:rFonts w:eastAsiaTheme="minorEastAsia"/>
          <w:spacing w:val="-4"/>
          <w:rtl/>
        </w:rPr>
        <w:t xml:space="preserve"> و</w:t>
      </w:r>
      <w:hyperlink r:id="rId2" w:history="1">
        <w:r w:rsidR="002531A3" w:rsidRPr="002531A3">
          <w:rPr>
            <w:rStyle w:val="Hyperlink"/>
            <w:rFonts w:eastAsiaTheme="minorEastAsia"/>
            <w:spacing w:val="-4"/>
          </w:rPr>
          <w:t>C</w:t>
        </w:r>
        <w:r w:rsidRPr="002531A3">
          <w:rPr>
            <w:rStyle w:val="Hyperlink"/>
            <w:rFonts w:eastAsiaTheme="minorEastAsia"/>
            <w:spacing w:val="-4"/>
          </w:rPr>
          <w:t>CPR/C/</w:t>
        </w:r>
        <w:r w:rsidRPr="008257F2">
          <w:rPr>
            <w:rStyle w:val="Hyperlink"/>
            <w:rFonts w:eastAsiaTheme="minorEastAsia"/>
            <w:spacing w:val="-4"/>
          </w:rPr>
          <w:t>69</w:t>
        </w:r>
        <w:r w:rsidRPr="002531A3">
          <w:rPr>
            <w:rStyle w:val="Hyperlink"/>
            <w:rFonts w:eastAsiaTheme="minorEastAsia"/>
            <w:spacing w:val="-4"/>
          </w:rPr>
          <w:t>/D/</w:t>
        </w:r>
        <w:r w:rsidRPr="008257F2">
          <w:rPr>
            <w:rStyle w:val="Hyperlink"/>
            <w:rFonts w:eastAsiaTheme="minorEastAsia"/>
            <w:spacing w:val="-4"/>
          </w:rPr>
          <w:t>770</w:t>
        </w:r>
        <w:r w:rsidRPr="002531A3">
          <w:rPr>
            <w:rStyle w:val="Hyperlink"/>
            <w:rFonts w:eastAsiaTheme="minorEastAsia"/>
            <w:spacing w:val="-4"/>
          </w:rPr>
          <w:t>/</w:t>
        </w:r>
        <w:r w:rsidRPr="008257F2">
          <w:rPr>
            <w:rStyle w:val="Hyperlink"/>
            <w:rFonts w:eastAsiaTheme="minorEastAsia"/>
            <w:spacing w:val="-4"/>
          </w:rPr>
          <w:t>1997</w:t>
        </w:r>
        <w:r w:rsidRPr="002531A3">
          <w:rPr>
            <w:rStyle w:val="Hyperlink"/>
            <w:rFonts w:eastAsiaTheme="minorEastAsia"/>
            <w:spacing w:val="-4"/>
          </w:rPr>
          <w:t>/Corr.</w:t>
        </w:r>
        <w:r w:rsidRPr="008257F2">
          <w:rPr>
            <w:rStyle w:val="Hyperlink"/>
            <w:rFonts w:eastAsiaTheme="minorEastAsia"/>
            <w:spacing w:val="-4"/>
          </w:rPr>
          <w:t>1</w:t>
        </w:r>
      </w:hyperlink>
      <w:r w:rsidRPr="00A91733">
        <w:rPr>
          <w:rFonts w:eastAsiaTheme="minorEastAsia"/>
          <w:spacing w:val="-4"/>
          <w:rtl/>
        </w:rPr>
        <w:t>)</w:t>
      </w:r>
      <w:r w:rsidR="002531A3">
        <w:rPr>
          <w:rFonts w:eastAsiaTheme="minorEastAsia"/>
          <w:spacing w:val="-4"/>
          <w:rtl/>
        </w:rPr>
        <w:t>،</w:t>
      </w:r>
      <w:r w:rsidRPr="00A91733">
        <w:rPr>
          <w:rFonts w:eastAsiaTheme="minorEastAsia"/>
          <w:spacing w:val="-4"/>
          <w:rtl/>
        </w:rPr>
        <w:t xml:space="preserve"> الفقرتان </w:t>
      </w:r>
      <w:r w:rsidRPr="008257F2">
        <w:rPr>
          <w:rFonts w:eastAsiaTheme="minorEastAsia"/>
          <w:spacing w:val="-4"/>
          <w:rtl/>
        </w:rPr>
        <w:t>6</w:t>
      </w:r>
      <w:r w:rsidRPr="00A91733">
        <w:rPr>
          <w:rFonts w:eastAsiaTheme="minorEastAsia"/>
          <w:spacing w:val="-4"/>
          <w:rtl/>
        </w:rPr>
        <w:t>-</w:t>
      </w:r>
      <w:r w:rsidRPr="008257F2">
        <w:rPr>
          <w:rFonts w:eastAsiaTheme="minorEastAsia"/>
          <w:spacing w:val="-4"/>
          <w:rtl/>
        </w:rPr>
        <w:t>4</w:t>
      </w:r>
      <w:r w:rsidRPr="00A91733">
        <w:rPr>
          <w:rFonts w:eastAsiaTheme="minorEastAsia"/>
          <w:spacing w:val="-4"/>
          <w:rtl/>
        </w:rPr>
        <w:t xml:space="preserve"> و</w:t>
      </w:r>
      <w:r w:rsidRPr="008257F2">
        <w:rPr>
          <w:rFonts w:eastAsiaTheme="minorEastAsia"/>
          <w:spacing w:val="-4"/>
          <w:rtl/>
        </w:rPr>
        <w:t>6</w:t>
      </w:r>
      <w:r w:rsidRPr="00A91733">
        <w:rPr>
          <w:rFonts w:eastAsiaTheme="minorEastAsia"/>
          <w:spacing w:val="-4"/>
          <w:rtl/>
        </w:rPr>
        <w:t>-</w:t>
      </w:r>
      <w:r w:rsidRPr="008257F2">
        <w:rPr>
          <w:rFonts w:eastAsiaTheme="minorEastAsia"/>
          <w:spacing w:val="-4"/>
          <w:rtl/>
        </w:rPr>
        <w:t>5</w:t>
      </w:r>
      <w:r w:rsidRPr="00A91733">
        <w:rPr>
          <w:rFonts w:eastAsiaTheme="minorEastAsia"/>
          <w:spacing w:val="-4"/>
          <w:rtl/>
        </w:rPr>
        <w:t>.</w:t>
      </w:r>
    </w:p>
  </w:footnote>
  <w:footnote w:id="9">
    <w:p w14:paraId="7C93954E" w14:textId="4CE2A3F1"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 xml:space="preserve">التعليق العام رقم </w:t>
      </w:r>
      <w:r w:rsidRPr="008257F2">
        <w:rPr>
          <w:rFonts w:eastAsiaTheme="minorEastAsia"/>
          <w:rtl/>
        </w:rPr>
        <w:t>32</w:t>
      </w:r>
      <w:r w:rsidRPr="00A91733">
        <w:rPr>
          <w:rFonts w:eastAsiaTheme="minorEastAsia"/>
          <w:rtl/>
        </w:rPr>
        <w:t>(</w:t>
      </w:r>
      <w:r w:rsidRPr="008257F2">
        <w:rPr>
          <w:rFonts w:eastAsiaTheme="minorEastAsia"/>
          <w:rtl/>
        </w:rPr>
        <w:t>2007</w:t>
      </w:r>
      <w:r w:rsidRPr="00A91733">
        <w:rPr>
          <w:rFonts w:eastAsiaTheme="minorEastAsia"/>
          <w:rtl/>
        </w:rPr>
        <w:t>)</w:t>
      </w:r>
      <w:r w:rsidR="002531A3">
        <w:rPr>
          <w:rFonts w:eastAsiaTheme="minorEastAsia"/>
          <w:rtl/>
        </w:rPr>
        <w:t>،</w:t>
      </w:r>
      <w:r w:rsidRPr="00A91733">
        <w:rPr>
          <w:rFonts w:eastAsiaTheme="minorEastAsia"/>
          <w:rtl/>
        </w:rPr>
        <w:t xml:space="preserve"> الفقرة </w:t>
      </w:r>
      <w:r w:rsidRPr="008257F2">
        <w:rPr>
          <w:rFonts w:eastAsiaTheme="minorEastAsia"/>
          <w:rtl/>
        </w:rPr>
        <w:t>21</w:t>
      </w:r>
      <w:r w:rsidRPr="00A91733">
        <w:rPr>
          <w:rFonts w:eastAsiaTheme="minorEastAsia"/>
          <w:rtl/>
        </w:rPr>
        <w:t>.</w:t>
      </w:r>
    </w:p>
  </w:footnote>
  <w:footnote w:id="10">
    <w:p w14:paraId="3B85AD07" w14:textId="0F09364B"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r>
      <w:r w:rsidRPr="008257F2">
        <w:rPr>
          <w:rFonts w:eastAsiaTheme="minorEastAsia"/>
          <w:i/>
          <w:iCs/>
          <w:rtl/>
        </w:rPr>
        <w:t>هاروارد ضد النرويج</w:t>
      </w:r>
      <w:r w:rsidRPr="00A91733">
        <w:rPr>
          <w:rFonts w:eastAsiaTheme="minorEastAsia"/>
          <w:rtl/>
        </w:rPr>
        <w:t xml:space="preserve"> (</w:t>
      </w:r>
      <w:hyperlink r:id="rId3" w:history="1">
        <w:r w:rsidRPr="002531A3">
          <w:rPr>
            <w:rStyle w:val="Hyperlink"/>
            <w:rFonts w:eastAsiaTheme="minorEastAsia"/>
          </w:rPr>
          <w:t>CCPR/C/</w:t>
        </w:r>
        <w:r w:rsidRPr="008257F2">
          <w:rPr>
            <w:rStyle w:val="Hyperlink"/>
            <w:rFonts w:eastAsiaTheme="minorEastAsia"/>
          </w:rPr>
          <w:t>51</w:t>
        </w:r>
        <w:r w:rsidRPr="002531A3">
          <w:rPr>
            <w:rStyle w:val="Hyperlink"/>
            <w:rFonts w:eastAsiaTheme="minorEastAsia"/>
          </w:rPr>
          <w:t>/D/</w:t>
        </w:r>
        <w:r w:rsidRPr="008257F2">
          <w:rPr>
            <w:rStyle w:val="Hyperlink"/>
            <w:rFonts w:eastAsiaTheme="minorEastAsia"/>
          </w:rPr>
          <w:t>451</w:t>
        </w:r>
        <w:r w:rsidRPr="002531A3">
          <w:rPr>
            <w:rStyle w:val="Hyperlink"/>
            <w:rFonts w:eastAsiaTheme="minorEastAsia"/>
          </w:rPr>
          <w:t>/</w:t>
        </w:r>
        <w:r w:rsidRPr="008257F2">
          <w:rPr>
            <w:rStyle w:val="Hyperlink"/>
            <w:rFonts w:eastAsiaTheme="minorEastAsia"/>
          </w:rPr>
          <w:t>1991</w:t>
        </w:r>
      </w:hyperlink>
      <w:r w:rsidRPr="00A91733">
        <w:rPr>
          <w:rFonts w:eastAsiaTheme="minorEastAsia"/>
          <w:rtl/>
        </w:rPr>
        <w:t>)</w:t>
      </w:r>
      <w:r w:rsidR="002531A3">
        <w:rPr>
          <w:rFonts w:eastAsiaTheme="minorEastAsia"/>
          <w:rtl/>
        </w:rPr>
        <w:t>،</w:t>
      </w:r>
      <w:r w:rsidRPr="00A91733">
        <w:rPr>
          <w:rFonts w:eastAsiaTheme="minorEastAsia"/>
          <w:rtl/>
        </w:rPr>
        <w:t xml:space="preserve"> الفقرة </w:t>
      </w:r>
      <w:r w:rsidRPr="008257F2">
        <w:rPr>
          <w:rFonts w:eastAsiaTheme="minorEastAsia"/>
          <w:rtl/>
        </w:rPr>
        <w:t>9</w:t>
      </w:r>
      <w:r w:rsidRPr="00A91733">
        <w:rPr>
          <w:rFonts w:eastAsiaTheme="minorEastAsia"/>
          <w:rtl/>
        </w:rPr>
        <w:t>-</w:t>
      </w:r>
      <w:r w:rsidRPr="008257F2">
        <w:rPr>
          <w:rFonts w:eastAsiaTheme="minorEastAsia"/>
          <w:rtl/>
        </w:rPr>
        <w:t>4</w:t>
      </w:r>
      <w:r w:rsidRPr="00A91733">
        <w:rPr>
          <w:rFonts w:eastAsiaTheme="minorEastAsia"/>
          <w:rtl/>
        </w:rPr>
        <w:t>.</w:t>
      </w:r>
    </w:p>
  </w:footnote>
  <w:footnote w:id="11">
    <w:p w14:paraId="62086EBA" w14:textId="6909790B"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r>
      <w:r w:rsidRPr="008257F2">
        <w:rPr>
          <w:rFonts w:eastAsiaTheme="minorEastAsia"/>
          <w:i/>
          <w:iCs/>
          <w:rtl/>
        </w:rPr>
        <w:t>كولار ضد النمسا</w:t>
      </w:r>
      <w:r w:rsidRPr="00A91733">
        <w:rPr>
          <w:rFonts w:eastAsiaTheme="minorEastAsia"/>
          <w:rtl/>
        </w:rPr>
        <w:t xml:space="preserve"> (</w:t>
      </w:r>
      <w:hyperlink r:id="rId4" w:history="1">
        <w:r w:rsidRPr="002531A3">
          <w:rPr>
            <w:rStyle w:val="Hyperlink"/>
            <w:rFonts w:eastAsiaTheme="minorEastAsia"/>
          </w:rPr>
          <w:t>CCPR/C/</w:t>
        </w:r>
        <w:r w:rsidRPr="008257F2">
          <w:rPr>
            <w:rStyle w:val="Hyperlink"/>
            <w:rFonts w:eastAsiaTheme="minorEastAsia"/>
          </w:rPr>
          <w:t>78</w:t>
        </w:r>
        <w:r w:rsidRPr="002531A3">
          <w:rPr>
            <w:rStyle w:val="Hyperlink"/>
            <w:rFonts w:eastAsiaTheme="minorEastAsia"/>
          </w:rPr>
          <w:t>/D/</w:t>
        </w:r>
        <w:r w:rsidRPr="008257F2">
          <w:rPr>
            <w:rStyle w:val="Hyperlink"/>
            <w:rFonts w:eastAsiaTheme="minorEastAsia"/>
          </w:rPr>
          <w:t>989</w:t>
        </w:r>
        <w:r w:rsidRPr="002531A3">
          <w:rPr>
            <w:rStyle w:val="Hyperlink"/>
            <w:rFonts w:eastAsiaTheme="minorEastAsia"/>
          </w:rPr>
          <w:t>/</w:t>
        </w:r>
        <w:r w:rsidRPr="008257F2">
          <w:rPr>
            <w:rStyle w:val="Hyperlink"/>
            <w:rFonts w:eastAsiaTheme="minorEastAsia"/>
          </w:rPr>
          <w:t>2001</w:t>
        </w:r>
      </w:hyperlink>
      <w:r w:rsidRPr="00A91733">
        <w:rPr>
          <w:rFonts w:eastAsiaTheme="minorEastAsia"/>
          <w:rtl/>
        </w:rPr>
        <w:t>)</w:t>
      </w:r>
      <w:r w:rsidR="002531A3">
        <w:rPr>
          <w:rFonts w:eastAsiaTheme="minorEastAsia"/>
          <w:rtl/>
        </w:rPr>
        <w:t>،</w:t>
      </w:r>
      <w:r w:rsidRPr="00A91733">
        <w:rPr>
          <w:rFonts w:eastAsiaTheme="minorEastAsia"/>
          <w:rtl/>
        </w:rPr>
        <w:t xml:space="preserve"> الفقرة </w:t>
      </w:r>
      <w:r w:rsidRPr="008257F2">
        <w:rPr>
          <w:rFonts w:eastAsiaTheme="minorEastAsia"/>
          <w:rtl/>
        </w:rPr>
        <w:t>8</w:t>
      </w:r>
      <w:r w:rsidRPr="00A91733">
        <w:rPr>
          <w:rFonts w:eastAsiaTheme="minorEastAsia"/>
          <w:rtl/>
        </w:rPr>
        <w:t>-</w:t>
      </w:r>
      <w:r w:rsidRPr="008257F2">
        <w:rPr>
          <w:rFonts w:eastAsiaTheme="minorEastAsia"/>
          <w:rtl/>
        </w:rPr>
        <w:t>6</w:t>
      </w:r>
      <w:r w:rsidRPr="00A91733">
        <w:rPr>
          <w:rFonts w:eastAsiaTheme="minorEastAsia"/>
          <w:rtl/>
        </w:rPr>
        <w:t>.</w:t>
      </w:r>
    </w:p>
  </w:footnote>
  <w:footnote w:id="12">
    <w:p w14:paraId="12911576" w14:textId="2072B540" w:rsidR="00A91733" w:rsidRPr="00A91733" w:rsidRDefault="00A91733" w:rsidP="00A91733">
      <w:pPr>
        <w:pStyle w:val="FootnoteText1"/>
        <w:textDirection w:val="tbRlV"/>
        <w:rPr>
          <w:rFonts w:eastAsiaTheme="minorEastAsia"/>
          <w:lang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r>
      <w:r w:rsidR="003418D7" w:rsidRPr="004A5C52">
        <w:t>European</w:t>
      </w:r>
      <w:r w:rsidR="003418D7">
        <w:t xml:space="preserve"> </w:t>
      </w:r>
      <w:r w:rsidR="003418D7" w:rsidRPr="004A5C52">
        <w:t>Court</w:t>
      </w:r>
      <w:r w:rsidR="003418D7">
        <w:t xml:space="preserve"> </w:t>
      </w:r>
      <w:r w:rsidR="003418D7" w:rsidRPr="004A5C52">
        <w:t>of</w:t>
      </w:r>
      <w:r w:rsidR="003418D7">
        <w:t xml:space="preserve"> </w:t>
      </w:r>
      <w:r w:rsidR="003418D7" w:rsidRPr="004A5C52">
        <w:t>Human</w:t>
      </w:r>
      <w:r w:rsidR="003418D7">
        <w:t xml:space="preserve"> </w:t>
      </w:r>
      <w:r w:rsidR="003418D7" w:rsidRPr="004A5C52">
        <w:t>Rights,</w:t>
      </w:r>
      <w:r w:rsidR="003418D7">
        <w:t xml:space="preserve"> </w:t>
      </w:r>
      <w:r w:rsidR="003418D7" w:rsidRPr="008257F2">
        <w:rPr>
          <w:i/>
        </w:rPr>
        <w:t>Baltiņš v. Latvia</w:t>
      </w:r>
      <w:r w:rsidR="003418D7" w:rsidRPr="004A5C52">
        <w:t>,</w:t>
      </w:r>
      <w:r w:rsidR="003418D7">
        <w:t xml:space="preserve"> </w:t>
      </w:r>
      <w:r w:rsidR="003418D7" w:rsidRPr="004A5C52">
        <w:t>Application</w:t>
      </w:r>
      <w:r w:rsidR="003418D7">
        <w:t xml:space="preserve"> </w:t>
      </w:r>
      <w:r w:rsidR="003418D7" w:rsidRPr="004A5C52">
        <w:t>No.</w:t>
      </w:r>
      <w:r w:rsidR="003418D7">
        <w:t xml:space="preserve"> </w:t>
      </w:r>
      <w:r w:rsidR="003418D7" w:rsidRPr="008257F2">
        <w:t>25282</w:t>
      </w:r>
      <w:r w:rsidR="003418D7" w:rsidRPr="004A5C52">
        <w:t>/</w:t>
      </w:r>
      <w:r w:rsidR="003418D7" w:rsidRPr="008257F2">
        <w:t>07</w:t>
      </w:r>
      <w:r w:rsidR="003418D7" w:rsidRPr="004A5C52">
        <w:t>,</w:t>
      </w:r>
      <w:r w:rsidR="003418D7">
        <w:t xml:space="preserve"> </w:t>
      </w:r>
      <w:r w:rsidR="003418D7" w:rsidRPr="004A5C52">
        <w:t>judgment</w:t>
      </w:r>
      <w:r w:rsidR="003418D7">
        <w:t xml:space="preserve"> </w:t>
      </w:r>
      <w:r w:rsidR="003418D7" w:rsidRPr="004A5C52">
        <w:t>of</w:t>
      </w:r>
      <w:r w:rsidR="003418D7">
        <w:t xml:space="preserve"> </w:t>
      </w:r>
      <w:r w:rsidR="003418D7" w:rsidRPr="008257F2">
        <w:t>8</w:t>
      </w:r>
      <w:r w:rsidR="003418D7">
        <w:t xml:space="preserve"> </w:t>
      </w:r>
      <w:r w:rsidR="003418D7" w:rsidRPr="004A5C52">
        <w:t>January</w:t>
      </w:r>
      <w:r w:rsidR="003418D7">
        <w:t xml:space="preserve"> </w:t>
      </w:r>
      <w:r w:rsidR="003418D7" w:rsidRPr="008257F2">
        <w:t>2013</w:t>
      </w:r>
      <w:r w:rsidR="003418D7" w:rsidRPr="004A5C52">
        <w:t>,</w:t>
      </w:r>
      <w:r w:rsidR="003418D7">
        <w:t xml:space="preserve"> </w:t>
      </w:r>
      <w:r w:rsidR="003418D7" w:rsidRPr="004A5C52">
        <w:t>para.</w:t>
      </w:r>
      <w:r w:rsidR="003418D7">
        <w:t xml:space="preserve"> </w:t>
      </w:r>
      <w:r w:rsidR="003418D7" w:rsidRPr="008257F2">
        <w:t>56</w:t>
      </w:r>
      <w:r w:rsidRPr="00A91733">
        <w:rPr>
          <w:rFonts w:eastAsiaTheme="minorEastAsia"/>
          <w:rtl/>
        </w:rPr>
        <w:t>.</w:t>
      </w:r>
    </w:p>
  </w:footnote>
  <w:footnote w:id="13">
    <w:p w14:paraId="0B1CCFF8" w14:textId="5945CB68"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المرجع نفسه</w:t>
      </w:r>
      <w:r w:rsidR="002531A3">
        <w:rPr>
          <w:rFonts w:eastAsiaTheme="minorEastAsia"/>
          <w:rtl/>
        </w:rPr>
        <w:t>،</w:t>
      </w:r>
      <w:r w:rsidRPr="00A91733">
        <w:rPr>
          <w:rFonts w:eastAsiaTheme="minorEastAsia"/>
          <w:rtl/>
        </w:rPr>
        <w:t xml:space="preserve"> الفقرة </w:t>
      </w:r>
      <w:r w:rsidRPr="008257F2">
        <w:rPr>
          <w:rFonts w:eastAsiaTheme="minorEastAsia"/>
          <w:rtl/>
        </w:rPr>
        <w:t>57</w:t>
      </w:r>
      <w:r w:rsidRPr="00A91733">
        <w:rPr>
          <w:rFonts w:eastAsiaTheme="minorEastAsia"/>
          <w:rtl/>
        </w:rPr>
        <w:t>.</w:t>
      </w:r>
    </w:p>
  </w:footnote>
  <w:footnote w:id="14">
    <w:p w14:paraId="08997AE9" w14:textId="7484AE29" w:rsidR="00A91733" w:rsidRPr="00A91733" w:rsidRDefault="00A91733" w:rsidP="00A91733">
      <w:pPr>
        <w:pStyle w:val="FootnoteText1"/>
        <w:textDirection w:val="tbRlV"/>
        <w:rPr>
          <w:rFonts w:eastAsiaTheme="minorEastAsia"/>
          <w:lang w:val="ar-SA"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t>انظر</w:t>
      </w:r>
      <w:r w:rsidR="002531A3">
        <w:rPr>
          <w:rFonts w:eastAsiaTheme="minorEastAsia"/>
          <w:rtl/>
        </w:rPr>
        <w:t>،</w:t>
      </w:r>
      <w:r w:rsidRPr="00A91733">
        <w:rPr>
          <w:rFonts w:eastAsiaTheme="minorEastAsia"/>
          <w:rtl/>
        </w:rPr>
        <w:t xml:space="preserve"> على سبيل المثال</w:t>
      </w:r>
      <w:r w:rsidR="002531A3">
        <w:rPr>
          <w:rFonts w:eastAsiaTheme="minorEastAsia"/>
          <w:rtl/>
        </w:rPr>
        <w:t>،</w:t>
      </w:r>
      <w:r w:rsidRPr="00A91733">
        <w:rPr>
          <w:rFonts w:eastAsiaTheme="minorEastAsia"/>
          <w:rtl/>
        </w:rPr>
        <w:t xml:space="preserve"> </w:t>
      </w:r>
      <w:r w:rsidRPr="008257F2">
        <w:rPr>
          <w:rFonts w:eastAsiaTheme="minorEastAsia"/>
          <w:i/>
          <w:iCs/>
          <w:rtl/>
        </w:rPr>
        <w:t>كامبورا شافيزر ضد أوروغواي</w:t>
      </w:r>
      <w:r w:rsidR="002531A3">
        <w:rPr>
          <w:rFonts w:eastAsiaTheme="minorEastAsia"/>
          <w:rtl/>
        </w:rPr>
        <w:t>،</w:t>
      </w:r>
      <w:r w:rsidRPr="00A91733">
        <w:rPr>
          <w:rFonts w:eastAsiaTheme="minorEastAsia"/>
          <w:rtl/>
        </w:rPr>
        <w:t xml:space="preserve"> البلاغ رقم </w:t>
      </w:r>
      <w:r w:rsidRPr="008257F2">
        <w:rPr>
          <w:rFonts w:eastAsiaTheme="minorEastAsia"/>
          <w:rtl/>
        </w:rPr>
        <w:t>66</w:t>
      </w:r>
      <w:r w:rsidRPr="00A91733">
        <w:rPr>
          <w:rFonts w:eastAsiaTheme="minorEastAsia"/>
          <w:rtl/>
        </w:rPr>
        <w:t>/</w:t>
      </w:r>
      <w:r w:rsidRPr="008257F2">
        <w:rPr>
          <w:rFonts w:eastAsiaTheme="minorEastAsia"/>
          <w:rtl/>
        </w:rPr>
        <w:t>1980</w:t>
      </w:r>
      <w:r w:rsidR="002531A3">
        <w:rPr>
          <w:rFonts w:eastAsiaTheme="minorEastAsia"/>
          <w:rtl/>
        </w:rPr>
        <w:t>،</w:t>
      </w:r>
      <w:r w:rsidRPr="00A91733">
        <w:rPr>
          <w:rFonts w:eastAsiaTheme="minorEastAsia"/>
          <w:rtl/>
        </w:rPr>
        <w:t xml:space="preserve"> الفقرة </w:t>
      </w:r>
      <w:r w:rsidRPr="008257F2">
        <w:rPr>
          <w:rFonts w:eastAsiaTheme="minorEastAsia"/>
          <w:rtl/>
        </w:rPr>
        <w:t>17</w:t>
      </w:r>
      <w:r w:rsidRPr="00A91733">
        <w:rPr>
          <w:rFonts w:eastAsiaTheme="minorEastAsia"/>
          <w:rtl/>
        </w:rPr>
        <w:t>-</w:t>
      </w:r>
      <w:r w:rsidRPr="008257F2">
        <w:rPr>
          <w:rFonts w:eastAsiaTheme="minorEastAsia"/>
          <w:rtl/>
        </w:rPr>
        <w:t>5</w:t>
      </w:r>
      <w:r w:rsidRPr="00A91733">
        <w:rPr>
          <w:rFonts w:eastAsiaTheme="minorEastAsia"/>
          <w:rtl/>
        </w:rPr>
        <w:t>.</w:t>
      </w:r>
    </w:p>
  </w:footnote>
  <w:footnote w:id="15">
    <w:p w14:paraId="4AE6EE31" w14:textId="0B032162" w:rsidR="00A91733" w:rsidRPr="00A91733" w:rsidRDefault="00A91733" w:rsidP="00A91733">
      <w:pPr>
        <w:pStyle w:val="FootnoteText1"/>
        <w:textDirection w:val="tbRlV"/>
        <w:rPr>
          <w:rFonts w:eastAsiaTheme="minorEastAsia"/>
          <w:lang w:val="fr-CH" w:eastAsia="zh-TW" w:bidi="en-GB"/>
        </w:rPr>
      </w:pPr>
      <w:r w:rsidRPr="007D2254">
        <w:rPr>
          <w:rStyle w:val="FootnoteReference"/>
          <w:rFonts w:eastAsiaTheme="minorEastAsia"/>
          <w:vertAlign w:val="baseline"/>
          <w:rtl/>
        </w:rPr>
        <w:t>(</w:t>
      </w:r>
      <w:r w:rsidRPr="008257F2">
        <w:rPr>
          <w:rStyle w:val="FootnoteReference"/>
          <w:rFonts w:eastAsiaTheme="minorEastAsia"/>
          <w:vertAlign w:val="baseline"/>
        </w:rPr>
        <w:footnoteRef/>
      </w:r>
      <w:r w:rsidRPr="007D2254">
        <w:rPr>
          <w:rStyle w:val="FootnoteReference"/>
          <w:rFonts w:eastAsiaTheme="minorEastAsia"/>
          <w:vertAlign w:val="baseline"/>
          <w:rtl/>
        </w:rPr>
        <w:t>)</w:t>
      </w:r>
      <w:r w:rsidRPr="00A91733">
        <w:rPr>
          <w:rFonts w:eastAsiaTheme="minorEastAsia"/>
          <w:rtl/>
        </w:rPr>
        <w:tab/>
      </w:r>
      <w:r w:rsidRPr="008257F2">
        <w:rPr>
          <w:rFonts w:eastAsiaTheme="minorEastAsia"/>
          <w:i/>
          <w:iCs/>
          <w:rtl/>
        </w:rPr>
        <w:t>بيرتيلي غالفيز ضد إسبانيا</w:t>
      </w:r>
      <w:r w:rsidRPr="00A91733">
        <w:rPr>
          <w:rFonts w:eastAsiaTheme="minorEastAsia"/>
          <w:rtl/>
        </w:rPr>
        <w:t xml:space="preserve"> (</w:t>
      </w:r>
      <w:hyperlink r:id="rId5" w:history="1">
        <w:r w:rsidRPr="002531A3">
          <w:rPr>
            <w:rStyle w:val="Hyperlink"/>
            <w:rFonts w:eastAsiaTheme="minorEastAsia"/>
          </w:rPr>
          <w:t>CCPR/C/</w:t>
        </w:r>
        <w:r w:rsidRPr="008257F2">
          <w:rPr>
            <w:rStyle w:val="Hyperlink"/>
            <w:rFonts w:eastAsiaTheme="minorEastAsia"/>
          </w:rPr>
          <w:t>84</w:t>
        </w:r>
        <w:r w:rsidRPr="002531A3">
          <w:rPr>
            <w:rStyle w:val="Hyperlink"/>
            <w:rFonts w:eastAsiaTheme="minorEastAsia"/>
          </w:rPr>
          <w:t>/D/</w:t>
        </w:r>
        <w:r w:rsidRPr="008257F2">
          <w:rPr>
            <w:rStyle w:val="Hyperlink"/>
            <w:rFonts w:eastAsiaTheme="minorEastAsia"/>
          </w:rPr>
          <w:t>1389</w:t>
        </w:r>
        <w:r w:rsidRPr="002531A3">
          <w:rPr>
            <w:rStyle w:val="Hyperlink"/>
            <w:rFonts w:eastAsiaTheme="minorEastAsia"/>
          </w:rPr>
          <w:t>/</w:t>
        </w:r>
        <w:r w:rsidRPr="008257F2">
          <w:rPr>
            <w:rStyle w:val="Hyperlink"/>
            <w:rFonts w:eastAsiaTheme="minorEastAsia"/>
          </w:rPr>
          <w:t>2005</w:t>
        </w:r>
      </w:hyperlink>
      <w:r w:rsidRPr="00A91733">
        <w:rPr>
          <w:rFonts w:eastAsiaTheme="minorEastAsia"/>
          <w:rtl/>
        </w:rPr>
        <w:t>)</w:t>
      </w:r>
      <w:r w:rsidR="002531A3">
        <w:rPr>
          <w:rFonts w:eastAsiaTheme="minorEastAsia"/>
          <w:rtl/>
        </w:rPr>
        <w:t>،</w:t>
      </w:r>
      <w:r w:rsidRPr="00A91733">
        <w:rPr>
          <w:rFonts w:eastAsiaTheme="minorEastAsia"/>
          <w:rtl/>
        </w:rPr>
        <w:t xml:space="preserve"> الفقرة </w:t>
      </w:r>
      <w:r w:rsidRPr="008257F2">
        <w:rPr>
          <w:rFonts w:eastAsiaTheme="minorEastAsia"/>
          <w:rtl/>
        </w:rPr>
        <w:t>4</w:t>
      </w:r>
      <w:r w:rsidRPr="00A91733">
        <w:rPr>
          <w:rFonts w:eastAsiaTheme="minorEastAsia"/>
          <w:rtl/>
        </w:rPr>
        <w:t>-</w:t>
      </w:r>
      <w:r w:rsidRPr="008257F2">
        <w:rPr>
          <w:rFonts w:eastAsiaTheme="minorEastAsia"/>
          <w:rtl/>
        </w:rPr>
        <w:t>5</w:t>
      </w:r>
      <w:r w:rsidRPr="00A91733">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55B" w14:textId="7BAF8C3A" w:rsidR="00402D37" w:rsidRPr="00402D37" w:rsidRDefault="00402D37" w:rsidP="00402D3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F5560">
      <w:t>CCPR/C/133/D/3124/2018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9DE" w14:textId="5344C136" w:rsidR="00402D37" w:rsidRPr="00402D37" w:rsidRDefault="00402D37" w:rsidP="00402D3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F5560">
      <w:t>CCPR/C/133/D/3124/2018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30"/>
    <w:rsid w:val="000076D5"/>
    <w:rsid w:val="00035F8F"/>
    <w:rsid w:val="00043663"/>
    <w:rsid w:val="000437B8"/>
    <w:rsid w:val="000505CF"/>
    <w:rsid w:val="000D701C"/>
    <w:rsid w:val="000E2A71"/>
    <w:rsid w:val="00145577"/>
    <w:rsid w:val="00160263"/>
    <w:rsid w:val="00181F96"/>
    <w:rsid w:val="001872B1"/>
    <w:rsid w:val="001A1371"/>
    <w:rsid w:val="001B043F"/>
    <w:rsid w:val="001B346A"/>
    <w:rsid w:val="001C1DF0"/>
    <w:rsid w:val="001C2243"/>
    <w:rsid w:val="001E1CAD"/>
    <w:rsid w:val="001E290D"/>
    <w:rsid w:val="002144FA"/>
    <w:rsid w:val="0023469A"/>
    <w:rsid w:val="00241315"/>
    <w:rsid w:val="00243C8A"/>
    <w:rsid w:val="002531A3"/>
    <w:rsid w:val="00263AE4"/>
    <w:rsid w:val="00267A0E"/>
    <w:rsid w:val="002901D9"/>
    <w:rsid w:val="002976C2"/>
    <w:rsid w:val="002F5400"/>
    <w:rsid w:val="003068BC"/>
    <w:rsid w:val="003260FF"/>
    <w:rsid w:val="003418D7"/>
    <w:rsid w:val="00343D95"/>
    <w:rsid w:val="00363A18"/>
    <w:rsid w:val="00374341"/>
    <w:rsid w:val="003D1062"/>
    <w:rsid w:val="00402051"/>
    <w:rsid w:val="004022BD"/>
    <w:rsid w:val="00402D37"/>
    <w:rsid w:val="00420D7B"/>
    <w:rsid w:val="00443119"/>
    <w:rsid w:val="00450B21"/>
    <w:rsid w:val="00453B63"/>
    <w:rsid w:val="00455780"/>
    <w:rsid w:val="0046323F"/>
    <w:rsid w:val="004B0A1C"/>
    <w:rsid w:val="004B27E0"/>
    <w:rsid w:val="004D298E"/>
    <w:rsid w:val="004F5560"/>
    <w:rsid w:val="005044B3"/>
    <w:rsid w:val="00517810"/>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05F1"/>
    <w:rsid w:val="00652221"/>
    <w:rsid w:val="00656392"/>
    <w:rsid w:val="00656872"/>
    <w:rsid w:val="006645EC"/>
    <w:rsid w:val="0068781D"/>
    <w:rsid w:val="006959B0"/>
    <w:rsid w:val="006B3E27"/>
    <w:rsid w:val="006B6507"/>
    <w:rsid w:val="006C104C"/>
    <w:rsid w:val="006C632E"/>
    <w:rsid w:val="00717FB3"/>
    <w:rsid w:val="00730446"/>
    <w:rsid w:val="00733704"/>
    <w:rsid w:val="0078071A"/>
    <w:rsid w:val="00787022"/>
    <w:rsid w:val="00787E1E"/>
    <w:rsid w:val="007D2254"/>
    <w:rsid w:val="008257F2"/>
    <w:rsid w:val="00852A9A"/>
    <w:rsid w:val="008A49D2"/>
    <w:rsid w:val="008A5A6D"/>
    <w:rsid w:val="008E7DB1"/>
    <w:rsid w:val="008F49E1"/>
    <w:rsid w:val="0090370F"/>
    <w:rsid w:val="009269D2"/>
    <w:rsid w:val="00942135"/>
    <w:rsid w:val="0094468C"/>
    <w:rsid w:val="009521B0"/>
    <w:rsid w:val="00957437"/>
    <w:rsid w:val="00982139"/>
    <w:rsid w:val="009867A8"/>
    <w:rsid w:val="00991F44"/>
    <w:rsid w:val="00996849"/>
    <w:rsid w:val="009A0CFB"/>
    <w:rsid w:val="009A7E9F"/>
    <w:rsid w:val="009B4073"/>
    <w:rsid w:val="009C17EC"/>
    <w:rsid w:val="009E5018"/>
    <w:rsid w:val="00A03700"/>
    <w:rsid w:val="00A053F2"/>
    <w:rsid w:val="00A12B37"/>
    <w:rsid w:val="00A362E2"/>
    <w:rsid w:val="00A54828"/>
    <w:rsid w:val="00A91733"/>
    <w:rsid w:val="00A97E1F"/>
    <w:rsid w:val="00AB512E"/>
    <w:rsid w:val="00AB6758"/>
    <w:rsid w:val="00AB727F"/>
    <w:rsid w:val="00B13763"/>
    <w:rsid w:val="00B477A4"/>
    <w:rsid w:val="00B54045"/>
    <w:rsid w:val="00B63ADD"/>
    <w:rsid w:val="00B73930"/>
    <w:rsid w:val="00B868B3"/>
    <w:rsid w:val="00BB09A0"/>
    <w:rsid w:val="00C175A6"/>
    <w:rsid w:val="00C41DCF"/>
    <w:rsid w:val="00C42AF7"/>
    <w:rsid w:val="00C438D7"/>
    <w:rsid w:val="00C62C20"/>
    <w:rsid w:val="00C81B50"/>
    <w:rsid w:val="00C902EF"/>
    <w:rsid w:val="00CB0011"/>
    <w:rsid w:val="00CB3F72"/>
    <w:rsid w:val="00CB6622"/>
    <w:rsid w:val="00CD1801"/>
    <w:rsid w:val="00CF56F9"/>
    <w:rsid w:val="00CF65C6"/>
    <w:rsid w:val="00D00A89"/>
    <w:rsid w:val="00D10EF1"/>
    <w:rsid w:val="00D42810"/>
    <w:rsid w:val="00D60DD5"/>
    <w:rsid w:val="00D90622"/>
    <w:rsid w:val="00D914A7"/>
    <w:rsid w:val="00DA3DC9"/>
    <w:rsid w:val="00DC4D4B"/>
    <w:rsid w:val="00DD13C3"/>
    <w:rsid w:val="00DD596E"/>
    <w:rsid w:val="00DD621E"/>
    <w:rsid w:val="00DE50B1"/>
    <w:rsid w:val="00DF0138"/>
    <w:rsid w:val="00DF0575"/>
    <w:rsid w:val="00E2228E"/>
    <w:rsid w:val="00E40F37"/>
    <w:rsid w:val="00E70E04"/>
    <w:rsid w:val="00E77E6C"/>
    <w:rsid w:val="00E83ED5"/>
    <w:rsid w:val="00EA7571"/>
    <w:rsid w:val="00EC05A7"/>
    <w:rsid w:val="00EC4B6B"/>
    <w:rsid w:val="00EC68A5"/>
    <w:rsid w:val="00ED7442"/>
    <w:rsid w:val="00ED75F6"/>
    <w:rsid w:val="00EF1EE5"/>
    <w:rsid w:val="00EF5C43"/>
    <w:rsid w:val="00F10DAB"/>
    <w:rsid w:val="00F46D42"/>
    <w:rsid w:val="00F763B4"/>
    <w:rsid w:val="00F900C3"/>
    <w:rsid w:val="00F92DD3"/>
    <w:rsid w:val="00FC6EDD"/>
    <w:rsid w:val="00FD46E2"/>
    <w:rsid w:val="00FE502A"/>
    <w:rsid w:val="00FF257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F401A9"/>
  <w15:docId w15:val="{E5AC6B37-4673-46B0-94AF-6E815716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51/D/451/1991" TargetMode="External"/><Relationship Id="rId2" Type="http://schemas.openxmlformats.org/officeDocument/2006/relationships/hyperlink" Target="http://undocs.org/ar/CCPR/C/69/D/770/1997/Corr.1" TargetMode="External"/><Relationship Id="rId1" Type="http://schemas.openxmlformats.org/officeDocument/2006/relationships/hyperlink" Target="http://undocs.org/ar/CCPR/C/69/D/770/1997" TargetMode="External"/><Relationship Id="rId5" Type="http://schemas.openxmlformats.org/officeDocument/2006/relationships/hyperlink" Target="http://undocs.org/ar/CCPR/C/84/D/1389/2005" TargetMode="External"/><Relationship Id="rId4" Type="http://schemas.openxmlformats.org/officeDocument/2006/relationships/hyperlink" Target="http://undocs.org/ar/CCPR/C/78/D/989/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5137</Words>
  <Characters>26973</Characters>
  <Application>Microsoft Office Word</Application>
  <DocSecurity>0</DocSecurity>
  <Lines>396</Lines>
  <Paragraphs>88</Paragraphs>
  <ScaleCrop>false</ScaleCrop>
  <HeadingPairs>
    <vt:vector size="2" baseType="variant">
      <vt:variant>
        <vt:lpstr>Title</vt:lpstr>
      </vt:variant>
      <vt:variant>
        <vt:i4>1</vt:i4>
      </vt:variant>
    </vt:vector>
  </HeadingPairs>
  <TitlesOfParts>
    <vt:vector size="1" baseType="lpstr">
      <vt:lpstr>CCPR/C/133/D/3124/2018</vt:lpstr>
    </vt:vector>
  </TitlesOfParts>
  <Company>DCM</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CCPR/C/133/D/3124/2018</dc:title>
  <dc:subject>GE.2200974(A)</dc:subject>
  <dc:creator>Muntaha BUHNAM - SOU</dc:creator>
  <cp:keywords>GE.2223732(A)</cp:keywords>
  <dc:description>اعتمدته اللجنة في دورتها 133 (11 تشرين الأول/أكتوبر - 5 تشرين الثاني/نوفمبر 2021).</dc:description>
  <cp:lastModifiedBy>Jamila Chedad</cp:lastModifiedBy>
  <cp:revision>3</cp:revision>
  <cp:lastPrinted>2022-05-03T07:41:00Z</cp:lastPrinted>
  <dcterms:created xsi:type="dcterms:W3CDTF">2022-05-03T07:41:00Z</dcterms:created>
  <dcterms:modified xsi:type="dcterms:W3CDTF">2022-05-03T07:41:00Z</dcterms:modified>
  <cp:category>Finale</cp:category>
</cp:coreProperties>
</file>