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405E879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FEAB83" w14:textId="77777777" w:rsidR="002D5AAC" w:rsidRDefault="002D5AAC" w:rsidP="007364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F069AF5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B735EBB" w14:textId="02921B68" w:rsidR="002D5AAC" w:rsidRDefault="00736475" w:rsidP="00736475">
            <w:pPr>
              <w:jc w:val="right"/>
            </w:pPr>
            <w:r w:rsidRPr="00736475">
              <w:rPr>
                <w:sz w:val="40"/>
              </w:rPr>
              <w:t>CCPR</w:t>
            </w:r>
            <w:r>
              <w:t>/C/131/D/2863/2016</w:t>
            </w:r>
          </w:p>
        </w:tc>
      </w:tr>
      <w:tr w:rsidR="002D5AAC" w:rsidRPr="00A51EEE" w14:paraId="41A8BE12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1B4612B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46FC31" wp14:editId="5E45A3B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008817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3AF9994" w14:textId="77777777" w:rsidR="002D5AAC" w:rsidRPr="00A51EEE" w:rsidRDefault="00736475" w:rsidP="00BC3629">
            <w:pPr>
              <w:spacing w:before="240"/>
              <w:rPr>
                <w:lang w:val="en-US"/>
              </w:rPr>
            </w:pPr>
            <w:r w:rsidRPr="00A51EEE">
              <w:rPr>
                <w:lang w:val="en-US"/>
              </w:rPr>
              <w:t>Distr.: General</w:t>
            </w:r>
          </w:p>
          <w:p w14:paraId="02F2629A" w14:textId="77777777" w:rsidR="00736475" w:rsidRPr="00A51EEE" w:rsidRDefault="00736475" w:rsidP="00736475">
            <w:pPr>
              <w:spacing w:line="240" w:lineRule="exact"/>
              <w:rPr>
                <w:lang w:val="en-US"/>
              </w:rPr>
            </w:pPr>
            <w:r w:rsidRPr="00A51EEE">
              <w:rPr>
                <w:lang w:val="en-US"/>
              </w:rPr>
              <w:t>4 May 2021</w:t>
            </w:r>
          </w:p>
          <w:p w14:paraId="23C2A24B" w14:textId="77777777" w:rsidR="00736475" w:rsidRPr="00A51EEE" w:rsidRDefault="00736475" w:rsidP="00736475">
            <w:pPr>
              <w:spacing w:line="240" w:lineRule="exact"/>
              <w:rPr>
                <w:lang w:val="en-US"/>
              </w:rPr>
            </w:pPr>
            <w:r w:rsidRPr="00A51EEE">
              <w:rPr>
                <w:lang w:val="en-US"/>
              </w:rPr>
              <w:t>Russian</w:t>
            </w:r>
          </w:p>
          <w:p w14:paraId="7F71892F" w14:textId="23FA0BFA" w:rsidR="00736475" w:rsidRPr="00A51EEE" w:rsidRDefault="00736475" w:rsidP="00736475">
            <w:pPr>
              <w:spacing w:line="240" w:lineRule="exact"/>
              <w:rPr>
                <w:lang w:val="en-US"/>
              </w:rPr>
            </w:pPr>
            <w:r w:rsidRPr="00A51EEE">
              <w:rPr>
                <w:lang w:val="en-US"/>
              </w:rPr>
              <w:t>Original: English</w:t>
            </w:r>
          </w:p>
        </w:tc>
      </w:tr>
    </w:tbl>
    <w:p w14:paraId="04DC9FA3" w14:textId="77777777" w:rsidR="00736475" w:rsidRPr="001C7DBE" w:rsidRDefault="00736475" w:rsidP="00736475">
      <w:pPr>
        <w:spacing w:before="120"/>
        <w:rPr>
          <w:sz w:val="24"/>
          <w:szCs w:val="24"/>
        </w:rPr>
      </w:pPr>
      <w:r w:rsidRPr="001C7DBE">
        <w:rPr>
          <w:b/>
          <w:bCs/>
          <w:sz w:val="24"/>
          <w:szCs w:val="24"/>
        </w:rPr>
        <w:t>Комитет по правам человека</w:t>
      </w:r>
    </w:p>
    <w:p w14:paraId="746ED199" w14:textId="10BD037E" w:rsidR="00736475" w:rsidRPr="0064331C" w:rsidRDefault="00736475" w:rsidP="00736475">
      <w:pPr>
        <w:pStyle w:val="HChG"/>
      </w:pPr>
      <w:r w:rsidRPr="00D13276">
        <w:tab/>
      </w:r>
      <w:r w:rsidRPr="00D13276">
        <w:tab/>
      </w:r>
      <w:r w:rsidRPr="00B02986">
        <w:rPr>
          <w:szCs w:val="28"/>
        </w:rPr>
        <w:t>Соображения, принятые Комитетом в соответствии с</w:t>
      </w:r>
      <w:r>
        <w:rPr>
          <w:szCs w:val="28"/>
          <w:lang w:val="en-US"/>
        </w:rPr>
        <w:t> </w:t>
      </w:r>
      <w:r w:rsidRPr="001C7DBE">
        <w:rPr>
          <w:color w:val="333333"/>
          <w:szCs w:val="28"/>
          <w:shd w:val="clear" w:color="auto" w:fill="FFFFFF"/>
        </w:rPr>
        <w:t>пунктом 4 статьи 5</w:t>
      </w:r>
      <w:r w:rsidRPr="006D176F">
        <w:rPr>
          <w:szCs w:val="28"/>
        </w:rPr>
        <w:t xml:space="preserve"> Факультативного протокола в</w:t>
      </w:r>
      <w:r>
        <w:rPr>
          <w:szCs w:val="28"/>
          <w:lang w:val="en-US"/>
        </w:rPr>
        <w:t> </w:t>
      </w:r>
      <w:r w:rsidRPr="006D176F">
        <w:rPr>
          <w:szCs w:val="28"/>
        </w:rPr>
        <w:t>отношении сообщения № 2863/2016</w:t>
      </w:r>
      <w:r w:rsidRPr="00736475">
        <w:rPr>
          <w:rStyle w:val="aa"/>
          <w:b w:val="0"/>
          <w:bCs/>
          <w:sz w:val="20"/>
          <w:szCs w:val="28"/>
          <w:vertAlign w:val="baseline"/>
        </w:rPr>
        <w:footnoteReference w:customMarkFollows="1" w:id="1"/>
        <w:t>*</w:t>
      </w:r>
      <w:r w:rsidRPr="00736475">
        <w:rPr>
          <w:szCs w:val="28"/>
        </w:rPr>
        <w:t xml:space="preserve"> </w:t>
      </w:r>
      <w:r w:rsidRPr="00736475">
        <w:rPr>
          <w:rStyle w:val="aa"/>
          <w:b w:val="0"/>
          <w:bCs/>
          <w:sz w:val="20"/>
          <w:szCs w:val="28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736475" w:rsidRPr="0064331C" w14:paraId="184EED5F" w14:textId="77777777" w:rsidTr="00A85105">
        <w:tc>
          <w:tcPr>
            <w:tcW w:w="2933" w:type="dxa"/>
            <w:hideMark/>
          </w:tcPr>
          <w:p w14:paraId="5A6BD2B1" w14:textId="7CA61ABF" w:rsidR="00736475" w:rsidRPr="0064331C" w:rsidRDefault="00736475" w:rsidP="00736475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D13276">
              <w:rPr>
                <w:i/>
                <w:iCs/>
              </w:rPr>
              <w:t>Сообщение представлено:</w:t>
            </w:r>
          </w:p>
        </w:tc>
        <w:tc>
          <w:tcPr>
            <w:tcW w:w="3871" w:type="dxa"/>
          </w:tcPr>
          <w:p w14:paraId="757EB0BB" w14:textId="4953B11E" w:rsidR="00736475" w:rsidRPr="0064331C" w:rsidRDefault="00736475">
            <w:pPr>
              <w:spacing w:after="120"/>
            </w:pPr>
            <w:r w:rsidRPr="00D13276">
              <w:t>Андреем Андреевым</w:t>
            </w:r>
          </w:p>
        </w:tc>
      </w:tr>
      <w:tr w:rsidR="00736475" w:rsidRPr="0064331C" w14:paraId="5D888E57" w14:textId="77777777" w:rsidTr="00A85105">
        <w:tc>
          <w:tcPr>
            <w:tcW w:w="2933" w:type="dxa"/>
            <w:hideMark/>
          </w:tcPr>
          <w:p w14:paraId="26F51DAB" w14:textId="68FC9619" w:rsidR="00736475" w:rsidRPr="0064331C" w:rsidRDefault="00736475">
            <w:pPr>
              <w:spacing w:after="120"/>
              <w:ind w:left="35"/>
              <w:rPr>
                <w:i/>
              </w:rPr>
            </w:pPr>
            <w:r w:rsidRPr="00D13276">
              <w:rPr>
                <w:i/>
                <w:iCs/>
              </w:rPr>
              <w:t>Предполагаемая жертва:</w:t>
            </w:r>
          </w:p>
        </w:tc>
        <w:tc>
          <w:tcPr>
            <w:tcW w:w="3871" w:type="dxa"/>
          </w:tcPr>
          <w:p w14:paraId="247FFFE4" w14:textId="539DB1EF" w:rsidR="00736475" w:rsidRPr="0064331C" w:rsidRDefault="00736475">
            <w:pPr>
              <w:spacing w:after="120"/>
            </w:pPr>
            <w:r w:rsidRPr="00D13276">
              <w:t>автор</w:t>
            </w:r>
          </w:p>
        </w:tc>
      </w:tr>
      <w:tr w:rsidR="00736475" w:rsidRPr="0064331C" w14:paraId="48053568" w14:textId="77777777" w:rsidTr="00A85105">
        <w:tc>
          <w:tcPr>
            <w:tcW w:w="2933" w:type="dxa"/>
            <w:hideMark/>
          </w:tcPr>
          <w:p w14:paraId="5AC98881" w14:textId="77777777" w:rsidR="00736475" w:rsidRPr="0064331C" w:rsidRDefault="0073647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14:paraId="0086A218" w14:textId="2CA5F2AC" w:rsidR="00736475" w:rsidRPr="0064331C" w:rsidRDefault="00736475" w:rsidP="00736475">
            <w:pPr>
              <w:spacing w:after="120"/>
            </w:pPr>
            <w:r w:rsidRPr="00736475">
              <w:t>Беларусь</w:t>
            </w:r>
          </w:p>
        </w:tc>
      </w:tr>
      <w:tr w:rsidR="00736475" w:rsidRPr="0064331C" w14:paraId="368F6FF4" w14:textId="77777777" w:rsidTr="00A85105">
        <w:tc>
          <w:tcPr>
            <w:tcW w:w="2933" w:type="dxa"/>
            <w:hideMark/>
          </w:tcPr>
          <w:p w14:paraId="0ADEA396" w14:textId="77777777" w:rsidR="00736475" w:rsidRPr="0064331C" w:rsidRDefault="0073647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14:paraId="1A367767" w14:textId="353E8294" w:rsidR="00736475" w:rsidRPr="0064331C" w:rsidRDefault="00736475">
            <w:pPr>
              <w:spacing w:after="120"/>
            </w:pPr>
            <w:r w:rsidRPr="00D13276">
              <w:t xml:space="preserve">5 мая 2014 года </w:t>
            </w:r>
            <w:r>
              <w:br/>
            </w:r>
            <w:r w:rsidRPr="00D13276">
              <w:t>(первоначальное представление)</w:t>
            </w:r>
          </w:p>
        </w:tc>
      </w:tr>
      <w:tr w:rsidR="00736475" w:rsidRPr="0064331C" w14:paraId="22EB79F1" w14:textId="77777777" w:rsidTr="00A85105">
        <w:tc>
          <w:tcPr>
            <w:tcW w:w="2933" w:type="dxa"/>
            <w:hideMark/>
          </w:tcPr>
          <w:p w14:paraId="37C6ACB2" w14:textId="77777777" w:rsidR="00736475" w:rsidRPr="0064331C" w:rsidRDefault="0073647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14:paraId="5BDC0653" w14:textId="7C4F733C" w:rsidR="00736475" w:rsidRPr="0064331C" w:rsidRDefault="00736475">
            <w:pPr>
              <w:spacing w:after="120"/>
            </w:pPr>
            <w:r w:rsidRPr="00D13276">
              <w:t>решение, принятое в соответствии с правилом 92 правил процедуры Комитета и</w:t>
            </w:r>
            <w:r>
              <w:rPr>
                <w:lang w:val="en-US"/>
              </w:rPr>
              <w:t> </w:t>
            </w:r>
            <w:r w:rsidRPr="00D13276">
              <w:t>препровожденное государству-участнику 22</w:t>
            </w:r>
            <w:r>
              <w:rPr>
                <w:lang w:val="en-US"/>
              </w:rPr>
              <w:t> </w:t>
            </w:r>
            <w:r w:rsidRPr="00D13276">
              <w:t>ноября 2016 года (в виде документа не издавалось)</w:t>
            </w:r>
          </w:p>
        </w:tc>
      </w:tr>
      <w:tr w:rsidR="00736475" w:rsidRPr="0064331C" w14:paraId="1E9F28D6" w14:textId="77777777" w:rsidTr="00A85105">
        <w:tc>
          <w:tcPr>
            <w:tcW w:w="2933" w:type="dxa"/>
            <w:hideMark/>
          </w:tcPr>
          <w:p w14:paraId="3EB1D995" w14:textId="77777777" w:rsidR="00736475" w:rsidRPr="0064331C" w:rsidRDefault="0073647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vAlign w:val="bottom"/>
          </w:tcPr>
          <w:p w14:paraId="47F50A76" w14:textId="31B3CC79" w:rsidR="00736475" w:rsidRPr="0064331C" w:rsidRDefault="00736475">
            <w:pPr>
              <w:spacing w:after="120"/>
            </w:pPr>
            <w:r w:rsidRPr="00D13276">
              <w:t>25 марта 2021 года</w:t>
            </w:r>
          </w:p>
        </w:tc>
      </w:tr>
      <w:tr w:rsidR="00736475" w:rsidRPr="0064331C" w14:paraId="2561A411" w14:textId="77777777" w:rsidTr="00A85105">
        <w:tc>
          <w:tcPr>
            <w:tcW w:w="2933" w:type="dxa"/>
            <w:hideMark/>
          </w:tcPr>
          <w:p w14:paraId="5AEE56A8" w14:textId="77777777" w:rsidR="00736475" w:rsidRPr="0064331C" w:rsidRDefault="0073647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14:paraId="047F5EB9" w14:textId="29D5F48F" w:rsidR="00736475" w:rsidRPr="0064331C" w:rsidRDefault="00736475">
            <w:pPr>
              <w:spacing w:after="120"/>
            </w:pPr>
            <w:r w:rsidRPr="00D13276">
              <w:t>наказание автора за распространение политических листовок</w:t>
            </w:r>
          </w:p>
        </w:tc>
      </w:tr>
      <w:tr w:rsidR="00736475" w:rsidRPr="0064331C" w14:paraId="6313800F" w14:textId="77777777" w:rsidTr="00A85105">
        <w:tc>
          <w:tcPr>
            <w:tcW w:w="2933" w:type="dxa"/>
            <w:hideMark/>
          </w:tcPr>
          <w:p w14:paraId="2DDFF73E" w14:textId="77777777" w:rsidR="00736475" w:rsidRPr="0064331C" w:rsidRDefault="0073647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041CE1EA" w14:textId="087BBF99" w:rsidR="00736475" w:rsidRPr="0064331C" w:rsidRDefault="00736475">
            <w:pPr>
              <w:spacing w:after="120"/>
            </w:pPr>
            <w:r w:rsidRPr="00D13276">
              <w:t xml:space="preserve">исчерпание внутренних средств правовой защиты; злоупотребление правом на представление индивидуальных </w:t>
            </w:r>
            <w:r>
              <w:t>жалоб</w:t>
            </w:r>
          </w:p>
        </w:tc>
      </w:tr>
      <w:tr w:rsidR="00736475" w:rsidRPr="0064331C" w14:paraId="4D41AF52" w14:textId="77777777" w:rsidTr="00A85105">
        <w:tc>
          <w:tcPr>
            <w:tcW w:w="2933" w:type="dxa"/>
            <w:hideMark/>
          </w:tcPr>
          <w:p w14:paraId="7E24A62C" w14:textId="77777777" w:rsidR="00736475" w:rsidRPr="0064331C" w:rsidRDefault="0073647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</w:tcPr>
          <w:p w14:paraId="5F07E74F" w14:textId="1ABDCCD1" w:rsidR="00736475" w:rsidRPr="0064331C" w:rsidRDefault="00736475">
            <w:pPr>
              <w:spacing w:after="120"/>
            </w:pPr>
            <w:r w:rsidRPr="00D13276">
              <w:t>свобода выражения мнений; свобода искать, получать и распространять информацию</w:t>
            </w:r>
          </w:p>
        </w:tc>
      </w:tr>
      <w:tr w:rsidR="00736475" w:rsidRPr="0064331C" w14:paraId="2B69CAE7" w14:textId="77777777" w:rsidTr="00A85105">
        <w:tc>
          <w:tcPr>
            <w:tcW w:w="2933" w:type="dxa"/>
            <w:hideMark/>
          </w:tcPr>
          <w:p w14:paraId="6BEFACA9" w14:textId="2EBB013C" w:rsidR="00736475" w:rsidRPr="0064331C" w:rsidRDefault="0073647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64BFC15C" w14:textId="2E095070" w:rsidR="00736475" w:rsidRPr="0064331C" w:rsidRDefault="00736475">
            <w:pPr>
              <w:spacing w:after="120"/>
            </w:pPr>
            <w:r w:rsidRPr="001C7DBE">
              <w:rPr>
                <w:color w:val="333333"/>
                <w:szCs w:val="20"/>
                <w:shd w:val="clear" w:color="auto" w:fill="FFFFFF"/>
              </w:rPr>
              <w:t>пункт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C7DBE">
              <w:rPr>
                <w:color w:val="333333"/>
                <w:szCs w:val="20"/>
                <w:shd w:val="clear" w:color="auto" w:fill="FFFFFF"/>
              </w:rPr>
              <w:t>2 статьи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C7DBE">
              <w:rPr>
                <w:color w:val="333333"/>
                <w:szCs w:val="20"/>
                <w:shd w:val="clear" w:color="auto" w:fill="FFFFFF"/>
              </w:rPr>
              <w:t>19</w:t>
            </w:r>
          </w:p>
        </w:tc>
      </w:tr>
      <w:tr w:rsidR="00736475" w:rsidRPr="0064331C" w14:paraId="3CFFD1B4" w14:textId="77777777" w:rsidTr="00A85105">
        <w:tc>
          <w:tcPr>
            <w:tcW w:w="2933" w:type="dxa"/>
            <w:hideMark/>
          </w:tcPr>
          <w:p w14:paraId="1499C9A6" w14:textId="77777777" w:rsidR="00736475" w:rsidRPr="0064331C" w:rsidRDefault="0073647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</w:tcPr>
          <w:p w14:paraId="6AD9B4F4" w14:textId="07D97F2D" w:rsidR="00736475" w:rsidRPr="0064331C" w:rsidRDefault="00736475">
            <w:pPr>
              <w:spacing w:after="120"/>
            </w:pPr>
            <w:r w:rsidRPr="001C7DBE">
              <w:rPr>
                <w:szCs w:val="20"/>
              </w:rPr>
              <w:t>статья 3 и пункт 2 b) статьи 5</w:t>
            </w:r>
          </w:p>
        </w:tc>
      </w:tr>
    </w:tbl>
    <w:p w14:paraId="6125B19E" w14:textId="77777777" w:rsidR="00736475" w:rsidRPr="00D13276" w:rsidRDefault="00736475" w:rsidP="00736475">
      <w:pPr>
        <w:pStyle w:val="SingleTxtG"/>
        <w:spacing w:before="240"/>
      </w:pPr>
      <w:r w:rsidRPr="00D13276">
        <w:t>1.</w:t>
      </w:r>
      <w:r w:rsidRPr="00D13276">
        <w:tab/>
        <w:t xml:space="preserve">Автором сообщения является Андрей Андреев, гражданин Беларуси 1947 года рождения. Он утверждает, что государство-участник нарушило его права, предусмотренные </w:t>
      </w:r>
      <w:r w:rsidRPr="00C872FF">
        <w:rPr>
          <w:color w:val="333333"/>
          <w:shd w:val="clear" w:color="auto" w:fill="FFFFFF"/>
        </w:rPr>
        <w:t>пункт</w:t>
      </w:r>
      <w:r>
        <w:rPr>
          <w:color w:val="333333"/>
          <w:shd w:val="clear" w:color="auto" w:fill="FFFFFF"/>
        </w:rPr>
        <w:t xml:space="preserve">ом </w:t>
      </w:r>
      <w:r w:rsidRPr="00C872FF">
        <w:rPr>
          <w:color w:val="333333"/>
          <w:shd w:val="clear" w:color="auto" w:fill="FFFFFF"/>
        </w:rPr>
        <w:t>2 статьи19</w:t>
      </w:r>
      <w:r w:rsidRPr="00D13276">
        <w:t xml:space="preserve"> Пакта. Факультативный протокол вступил в силу для государства-участника 30 декабря 1992 года. Автор не представлен адвокатом.</w:t>
      </w:r>
    </w:p>
    <w:p w14:paraId="7E1BE744" w14:textId="77777777" w:rsidR="00736475" w:rsidRPr="00D13276" w:rsidRDefault="00736475" w:rsidP="00736475">
      <w:pPr>
        <w:pStyle w:val="H23G"/>
        <w:ind w:left="0" w:firstLine="0"/>
      </w:pPr>
      <w:r w:rsidRPr="00D13276">
        <w:lastRenderedPageBreak/>
        <w:tab/>
      </w:r>
      <w:r w:rsidRPr="00D13276">
        <w:tab/>
      </w:r>
      <w:r w:rsidRPr="00D13276">
        <w:rPr>
          <w:bCs/>
        </w:rPr>
        <w:t>Факты в изложении автора</w:t>
      </w:r>
    </w:p>
    <w:p w14:paraId="0F8418FD" w14:textId="77777777" w:rsidR="00736475" w:rsidRPr="00D13276" w:rsidRDefault="00736475" w:rsidP="00736475">
      <w:pPr>
        <w:pStyle w:val="SingleTxtG"/>
        <w:ind w:left="1170" w:right="1170"/>
      </w:pPr>
      <w:r w:rsidRPr="00D13276">
        <w:t>2.1</w:t>
      </w:r>
      <w:r w:rsidRPr="00D13276">
        <w:tab/>
        <w:t xml:space="preserve">Автор является членом политической партии </w:t>
      </w:r>
      <w:r>
        <w:t>«</w:t>
      </w:r>
      <w:r w:rsidRPr="00D13276">
        <w:t>Справедливый мир</w:t>
      </w:r>
      <w:r>
        <w:t>»</w:t>
      </w:r>
      <w:r w:rsidRPr="00D13276">
        <w:t>. 13 августа 2013 года он распространял политические листовки в многоквартирном доме в Витебске. В тот же день, примерно в 12 ч</w:t>
      </w:r>
      <w:r>
        <w:t>асов дня</w:t>
      </w:r>
      <w:r w:rsidRPr="00D13276">
        <w:t>, он был задержан сотрудниками милиции за совершение правонарушения, предусмотренного часть</w:t>
      </w:r>
      <w:r>
        <w:t>ю</w:t>
      </w:r>
      <w:r w:rsidRPr="00D13276">
        <w:t xml:space="preserve"> 2 стать</w:t>
      </w:r>
      <w:r>
        <w:t>и</w:t>
      </w:r>
      <w:r w:rsidRPr="00D13276">
        <w:t xml:space="preserve"> 22.9 Кодекса об административных правонарушениях (нарушение законодательства о средствах массовой информации).</w:t>
      </w:r>
    </w:p>
    <w:p w14:paraId="59BF49FF" w14:textId="4C28E6E1" w:rsidR="00736475" w:rsidRPr="00D13276" w:rsidRDefault="00736475" w:rsidP="00736475">
      <w:pPr>
        <w:pStyle w:val="SingleTxtG"/>
        <w:ind w:left="1170" w:right="1170"/>
      </w:pPr>
      <w:r w:rsidRPr="00D13276">
        <w:t>2.2</w:t>
      </w:r>
      <w:r w:rsidRPr="00D13276">
        <w:tab/>
        <w:t>5 сентября 2013 года суд Октябрьского района города Витебска признал автора виновным в совершении административного правонарушения, предусмотренного часть</w:t>
      </w:r>
      <w:r>
        <w:t>ю</w:t>
      </w:r>
      <w:r w:rsidRPr="00D13276">
        <w:t xml:space="preserve"> 2 стать</w:t>
      </w:r>
      <w:r>
        <w:t>и</w:t>
      </w:r>
      <w:r w:rsidRPr="00D13276">
        <w:t xml:space="preserve"> 22.9 Кодекса об административных правонарушениях, а именно в незаконном распространении агитационных материалов политического характера </w:t>
      </w:r>
      <w:r>
        <w:t>—</w:t>
      </w:r>
      <w:r w:rsidRPr="00D13276">
        <w:t xml:space="preserve"> продукции иностранного средства массовой информации, и </w:t>
      </w:r>
      <w:r>
        <w:t>приговорил его к штрафу в размере</w:t>
      </w:r>
      <w:r w:rsidRPr="00D13276">
        <w:t xml:space="preserve"> 2 м</w:t>
      </w:r>
      <w:r>
        <w:t>лн</w:t>
      </w:r>
      <w:r w:rsidRPr="00D13276">
        <w:t xml:space="preserve"> рублей</w:t>
      </w:r>
      <w:r w:rsidRPr="00150C0E">
        <w:rPr>
          <w:rStyle w:val="aa"/>
        </w:rPr>
        <w:footnoteReference w:id="3"/>
      </w:r>
      <w:r w:rsidRPr="00D13276">
        <w:t xml:space="preserve">. По мнению суда, иностранная полиграфическая организация должна была получить предварительное разрешение </w:t>
      </w:r>
      <w:r>
        <w:t>в</w:t>
      </w:r>
      <w:r w:rsidRPr="00D13276">
        <w:t xml:space="preserve"> Министерств</w:t>
      </w:r>
      <w:r>
        <w:t>е</w:t>
      </w:r>
      <w:r w:rsidRPr="00D13276">
        <w:t xml:space="preserve"> информации; однако такого разрешения у автора не было.</w:t>
      </w:r>
    </w:p>
    <w:p w14:paraId="1A869C4C" w14:textId="77777777" w:rsidR="00736475" w:rsidRPr="00D13276" w:rsidRDefault="00736475" w:rsidP="00736475">
      <w:pPr>
        <w:pStyle w:val="SingleTxtG"/>
        <w:ind w:left="1170" w:right="1170"/>
      </w:pPr>
      <w:r w:rsidRPr="00D13276">
        <w:t>2.3</w:t>
      </w:r>
      <w:r w:rsidRPr="00D13276">
        <w:tab/>
        <w:t>12 сентября 2013 года автор обжаловал решение районного суда в Витебском областном суде, утверждая, в частности, что политические листовки были напечатаны с соблюдением соответствующих технических правил, с единственной целью проинформировать население о важных социально-политических вопросах и что, следовательно, их нельзя считать периодическими изданиями средств массовой информации по смыслу част</w:t>
      </w:r>
      <w:r>
        <w:t>и</w:t>
      </w:r>
      <w:r w:rsidRPr="00D13276">
        <w:t xml:space="preserve"> 2 статьи 22.9 Кодекса об административных правонарушениях. 25 сентября 2013 года Витебский областной суд оставил решение суда первой инстанции</w:t>
      </w:r>
      <w:r>
        <w:t xml:space="preserve"> без изменений</w:t>
      </w:r>
      <w:r w:rsidRPr="00D13276">
        <w:t>.</w:t>
      </w:r>
    </w:p>
    <w:p w14:paraId="3926CF39" w14:textId="77777777" w:rsidR="00736475" w:rsidRPr="00D13276" w:rsidRDefault="00736475" w:rsidP="00736475">
      <w:pPr>
        <w:pStyle w:val="SingleTxtG"/>
        <w:ind w:left="1170" w:right="1170"/>
      </w:pPr>
      <w:r w:rsidRPr="00D13276">
        <w:t>2.4</w:t>
      </w:r>
      <w:r w:rsidRPr="00D13276">
        <w:tab/>
        <w:t>15 октября 2013 года автор обратился с надзорной жалобой к Председателю Витебского областного суда. 15 ноября 2013 года его жалоба была оставлена без удовлетворения. Его надзорная жалоба в Верховный суд от 11 декабря 2013 года была отклонена 3 февраля 2014 года.</w:t>
      </w:r>
    </w:p>
    <w:p w14:paraId="20E89FB7" w14:textId="77777777" w:rsidR="00736475" w:rsidRPr="00D13276" w:rsidRDefault="00736475" w:rsidP="00736475">
      <w:pPr>
        <w:pStyle w:val="H23G"/>
      </w:pPr>
      <w:r w:rsidRPr="00D13276">
        <w:tab/>
      </w:r>
      <w:r w:rsidRPr="00D13276">
        <w:tab/>
      </w:r>
      <w:r w:rsidRPr="00D13276">
        <w:rPr>
          <w:bCs/>
        </w:rPr>
        <w:t>Жалоба</w:t>
      </w:r>
    </w:p>
    <w:p w14:paraId="1743F970" w14:textId="77777777" w:rsidR="00736475" w:rsidRPr="00D13276" w:rsidRDefault="00736475" w:rsidP="00736475">
      <w:pPr>
        <w:pStyle w:val="SingleTxtG"/>
        <w:ind w:left="1170" w:right="1170"/>
      </w:pPr>
      <w:r w:rsidRPr="00D13276">
        <w:t>3.</w:t>
      </w:r>
      <w:r w:rsidRPr="00D13276">
        <w:tab/>
        <w:t xml:space="preserve">Автор утверждает, что государство-участник нарушило его права, предусмотренные </w:t>
      </w:r>
      <w:r>
        <w:t xml:space="preserve">пунктом 2 </w:t>
      </w:r>
      <w:r w:rsidRPr="00D13276">
        <w:t>стать</w:t>
      </w:r>
      <w:r>
        <w:t>и</w:t>
      </w:r>
      <w:r w:rsidRPr="00D13276">
        <w:t xml:space="preserve"> 19 Пакта. В распространявшихся им политических листовках не содержалось информации, которая могла бы ограничить права и свободы других людей, оскорбить или обидеть других людей или являлась бы проявлением неуважения к профессиональной репутации государственных служащих. Кроме того, в листовках не содержалось подстрекательства к общественным беспорядкам, и они не угрожали общественной безопасности, здоровью или нравственности населения. Назначение ему наказания в виде штрафа за распространение политических листовок лишило его права искать, получать и распространять всякого рода информацию и идеи.</w:t>
      </w:r>
    </w:p>
    <w:p w14:paraId="25C4FBE1" w14:textId="77777777" w:rsidR="00736475" w:rsidRPr="00D13276" w:rsidRDefault="00736475" w:rsidP="00736475">
      <w:pPr>
        <w:pStyle w:val="H23G"/>
      </w:pPr>
      <w:r w:rsidRPr="00D13276">
        <w:tab/>
      </w:r>
      <w:r w:rsidRPr="00D13276">
        <w:tab/>
      </w:r>
      <w:r w:rsidRPr="00D13276">
        <w:rPr>
          <w:bCs/>
        </w:rPr>
        <w:t>Замечания государства-участника в отношении приемлемости и существа сообщения</w:t>
      </w:r>
    </w:p>
    <w:p w14:paraId="10FFB770" w14:textId="7BCF0153" w:rsidR="00736475" w:rsidRPr="00D13276" w:rsidRDefault="00736475" w:rsidP="00736475">
      <w:pPr>
        <w:pStyle w:val="SingleTxtG"/>
      </w:pPr>
      <w:r w:rsidRPr="00D13276">
        <w:t>4.1</w:t>
      </w:r>
      <w:r w:rsidRPr="00D13276">
        <w:tab/>
        <w:t>В вербальной ноте от 23 января 2017 года государство-участник представило свои замечания относительно приемлемости и существа сообщения. Оно отмечает, что автор не подавал надзорную жалобу на решение Верховного суда от 3 февраля 2014</w:t>
      </w:r>
      <w:r>
        <w:t> </w:t>
      </w:r>
      <w:r w:rsidRPr="00D13276">
        <w:t>года ни в прокуратуру, ни Председателю Верховного суда. Срок подачи жалобы в порядке надзора в прокуратуру истек 26 марта 2014 года, и обратиться к этому средству правовой защиты</w:t>
      </w:r>
      <w:r>
        <w:t xml:space="preserve"> </w:t>
      </w:r>
      <w:r w:rsidRPr="00D13276">
        <w:t>автор больше не может. Однако автор мог подать надзорную жалобу Председателю Верховного суда; срок подачи такой жалобы не ограничен.</w:t>
      </w:r>
    </w:p>
    <w:p w14:paraId="3D2D0F37" w14:textId="77777777" w:rsidR="00736475" w:rsidRPr="00D13276" w:rsidRDefault="00736475" w:rsidP="00736475">
      <w:pPr>
        <w:pStyle w:val="SingleTxtG"/>
      </w:pPr>
      <w:r w:rsidRPr="00D13276">
        <w:t>4.2</w:t>
      </w:r>
      <w:r w:rsidRPr="00D13276">
        <w:tab/>
        <w:t xml:space="preserve">Государство-участник утверждает, что ввиду того, что автор не исчерпал внутренние средства правовой защиты, жалобу следует рассматривать как </w:t>
      </w:r>
      <w:r w:rsidRPr="00D13276">
        <w:lastRenderedPageBreak/>
        <w:t>злоупотребление правом на представление индивидуальных сообщений в соответствии со статьей 3 Факультативного протокола.</w:t>
      </w:r>
    </w:p>
    <w:p w14:paraId="04AD8E6C" w14:textId="77777777" w:rsidR="00736475" w:rsidRPr="00D13276" w:rsidRDefault="00736475" w:rsidP="00736475">
      <w:pPr>
        <w:pStyle w:val="H23G"/>
      </w:pPr>
      <w:r w:rsidRPr="00D13276">
        <w:tab/>
      </w:r>
      <w:r w:rsidRPr="00D13276">
        <w:tab/>
      </w:r>
      <w:r w:rsidRPr="00D13276">
        <w:rPr>
          <w:bCs/>
        </w:rPr>
        <w:t xml:space="preserve">Комментарии автора </w:t>
      </w:r>
      <w:r>
        <w:rPr>
          <w:bCs/>
        </w:rPr>
        <w:t>к</w:t>
      </w:r>
      <w:r w:rsidRPr="00D13276">
        <w:rPr>
          <w:bCs/>
        </w:rPr>
        <w:t xml:space="preserve"> замечаниям государства-участника в отношении приемлемости и существа сообщения</w:t>
      </w:r>
    </w:p>
    <w:p w14:paraId="113D65C2" w14:textId="77777777" w:rsidR="00736475" w:rsidRPr="00D13276" w:rsidRDefault="00736475" w:rsidP="00736475">
      <w:pPr>
        <w:pStyle w:val="SingleTxtG"/>
      </w:pPr>
      <w:r w:rsidRPr="00D13276">
        <w:t>5.1</w:t>
      </w:r>
      <w:r w:rsidRPr="00D13276">
        <w:tab/>
        <w:t xml:space="preserve">14 августа 2017 года автор представил свои комментарии </w:t>
      </w:r>
      <w:r>
        <w:t>к</w:t>
      </w:r>
      <w:r w:rsidRPr="00D13276">
        <w:t xml:space="preserve"> замечаниям государства-участника, повторив свои утверждения о том, что государство-участник без всяких законных оснований нарушило его право на распространение информации, предусмотренное </w:t>
      </w:r>
      <w:r>
        <w:t>пунктом 2</w:t>
      </w:r>
      <w:r w:rsidRPr="00D13276">
        <w:t xml:space="preserve"> стать</w:t>
      </w:r>
      <w:r>
        <w:t>и</w:t>
      </w:r>
      <w:r w:rsidRPr="00D13276">
        <w:t xml:space="preserve"> 19 Пакта.</w:t>
      </w:r>
    </w:p>
    <w:p w14:paraId="7B757081" w14:textId="77777777" w:rsidR="00736475" w:rsidRPr="00D13276" w:rsidRDefault="00736475" w:rsidP="00736475">
      <w:pPr>
        <w:pStyle w:val="SingleTxtG"/>
      </w:pPr>
      <w:r w:rsidRPr="00D13276">
        <w:t>5.2</w:t>
      </w:r>
      <w:r w:rsidRPr="00D13276">
        <w:tab/>
        <w:t>Автор утверждает, что исчерпал все имевшиеся в его распоряжении внутренние средства правовой защиты. Он утверждает, что подача жалобы в порядке надзора в прокуратуру не является эффективным средством правовой защиты.</w:t>
      </w:r>
    </w:p>
    <w:p w14:paraId="636A0B6F" w14:textId="77777777" w:rsidR="00736475" w:rsidRPr="00D13276" w:rsidRDefault="00736475" w:rsidP="00736475">
      <w:pPr>
        <w:pStyle w:val="H23G"/>
      </w:pPr>
      <w:r w:rsidRPr="00D13276">
        <w:tab/>
      </w:r>
      <w:r w:rsidRPr="00D13276">
        <w:tab/>
      </w:r>
      <w:r w:rsidRPr="00D13276">
        <w:tab/>
      </w:r>
      <w:r w:rsidRPr="00D13276">
        <w:rPr>
          <w:bCs/>
        </w:rPr>
        <w:t>Вопросы и процедура их рассмотрения в Комитете</w:t>
      </w:r>
    </w:p>
    <w:p w14:paraId="764583DA" w14:textId="77777777" w:rsidR="00736475" w:rsidRPr="00D13276" w:rsidRDefault="00736475" w:rsidP="00736475">
      <w:pPr>
        <w:pStyle w:val="H4G"/>
      </w:pPr>
      <w:r w:rsidRPr="00D13276">
        <w:tab/>
      </w:r>
      <w:r w:rsidRPr="00D13276">
        <w:tab/>
      </w:r>
      <w:r w:rsidRPr="00D13276">
        <w:rPr>
          <w:iCs/>
        </w:rPr>
        <w:t>Рассмотрение вопроса о приемлемости</w:t>
      </w:r>
    </w:p>
    <w:p w14:paraId="63E03CED" w14:textId="77777777" w:rsidR="00736475" w:rsidRPr="00D13276" w:rsidRDefault="00736475" w:rsidP="00736475">
      <w:pPr>
        <w:pStyle w:val="SingleTxtG"/>
        <w:rPr>
          <w:bCs/>
        </w:rPr>
      </w:pPr>
      <w:r w:rsidRPr="00D13276">
        <w:t>6.1</w:t>
      </w:r>
      <w:r w:rsidRPr="00D13276">
        <w:tab/>
        <w:t>Согласно правилу 97 своих правил процедуры, прежде чем рассматривать содержащиеся в сообщении жалобы, Комитет должен установить, является ли данное сообщение приемлемым в соответствии с Факультативным протоколом к Пакту.</w:t>
      </w:r>
    </w:p>
    <w:p w14:paraId="2C8E3E52" w14:textId="77777777" w:rsidR="00736475" w:rsidRPr="00D13276" w:rsidRDefault="00736475" w:rsidP="00736475">
      <w:pPr>
        <w:pStyle w:val="SingleTxtG"/>
      </w:pPr>
      <w:r w:rsidRPr="00D13276">
        <w:t>6.2</w:t>
      </w:r>
      <w:r w:rsidRPr="00D13276">
        <w:tab/>
      </w:r>
      <w:r w:rsidRPr="001C7DBE">
        <w:rPr>
          <w:color w:val="333333"/>
          <w:shd w:val="clear" w:color="auto" w:fill="FFFFFF"/>
        </w:rPr>
        <w:t>Согласно требованиям</w:t>
      </w:r>
      <w:r w:rsidRPr="004A12C0">
        <w:t xml:space="preserve"> </w:t>
      </w:r>
      <w:r w:rsidRPr="00D13276">
        <w:t>пункт</w:t>
      </w:r>
      <w:r>
        <w:t>а</w:t>
      </w:r>
      <w:r w:rsidRPr="00D13276">
        <w:t xml:space="preserve"> 2 а) стать</w:t>
      </w:r>
      <w:r>
        <w:t>и</w:t>
      </w:r>
      <w:r w:rsidRPr="00D13276">
        <w:t xml:space="preserve">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67F98AAE" w14:textId="57985BFA" w:rsidR="00736475" w:rsidRPr="00D13276" w:rsidRDefault="00736475" w:rsidP="00736475">
      <w:pPr>
        <w:pStyle w:val="SingleTxtG"/>
      </w:pPr>
      <w:r w:rsidRPr="00D13276">
        <w:t>6.3</w:t>
      </w:r>
      <w:r w:rsidRPr="00D13276">
        <w:tab/>
        <w:t xml:space="preserve">Комитет принимает к сведению замечание государства-участника о том, что автор не исчерпал внутренние средства правовой защиты, поскольку он не подал надзорную жалобу Председателю Верховного суда. Комитет </w:t>
      </w:r>
      <w:r>
        <w:t xml:space="preserve">также </w:t>
      </w:r>
      <w:r w:rsidRPr="00D13276">
        <w:t>принимает к сведению утверждение автора о том, что он исчерпал все имевшиеся в его распоряжении средства правовой защиты. Комитет ссылается на свою правовую практику, согласно которой обращение к председателю какого-либо суда с ходатайством о пересмотре в порядке надзора судебных решений, вступивших в законную силу и зависящих от дискреционных полномочий судьи, представляет собой чрезвычайное средство правовой защиты и что государство-участник должно привести разумные доводы в обоснование того, что с учетом обстоятельств конкретного дела такая жалоба является эффективным средством правовой защиты</w:t>
      </w:r>
      <w:r w:rsidRPr="00150C0E">
        <w:rPr>
          <w:sz w:val="18"/>
          <w:vertAlign w:val="superscript"/>
        </w:rPr>
        <w:footnoteReference w:id="4"/>
      </w:r>
      <w:r w:rsidRPr="00D13276">
        <w:t xml:space="preserve">. Ввиду того, что государство-участник не предоставило подробной информации в этой связи, Комитет </w:t>
      </w:r>
      <w:r>
        <w:t>полагает</w:t>
      </w:r>
      <w:r w:rsidRPr="00D13276">
        <w:t>, что требования пункт</w:t>
      </w:r>
      <w:r>
        <w:t>а</w:t>
      </w:r>
      <w:r w:rsidRPr="00D13276">
        <w:t xml:space="preserve"> 2 b)</w:t>
      </w:r>
      <w:r>
        <w:t xml:space="preserve"> </w:t>
      </w:r>
      <w:r w:rsidRPr="00D13276">
        <w:t>статьи 5 Факультативного протокола не препятствуют рассмотрению им настоящего сообщения.</w:t>
      </w:r>
    </w:p>
    <w:p w14:paraId="6B4A2C92" w14:textId="6EEB7C58" w:rsidR="00736475" w:rsidRPr="00D13276" w:rsidRDefault="00736475" w:rsidP="00736475">
      <w:pPr>
        <w:pStyle w:val="SingleTxtG"/>
      </w:pPr>
      <w:r w:rsidRPr="00D13276">
        <w:t>6.4</w:t>
      </w:r>
      <w:r w:rsidRPr="00D13276">
        <w:tab/>
        <w:t>Комитет считает, что автор достаточно обосновал остальные жалобы по</w:t>
      </w:r>
      <w:r w:rsidRPr="00973DB3">
        <w:t xml:space="preserve"> </w:t>
      </w:r>
      <w:r w:rsidRPr="00D13276">
        <w:t>пункт</w:t>
      </w:r>
      <w:r>
        <w:t>у</w:t>
      </w:r>
      <w:r w:rsidR="001B5843">
        <w:t> </w:t>
      </w:r>
      <w:r w:rsidRPr="00D13276">
        <w:t>2 стать</w:t>
      </w:r>
      <w:r>
        <w:t>и</w:t>
      </w:r>
      <w:r w:rsidRPr="00D13276">
        <w:t xml:space="preserve"> 19 Пакта для целей приемлемости</w:t>
      </w:r>
      <w:r w:rsidR="001B5843">
        <w:t>,</w:t>
      </w:r>
      <w:r w:rsidRPr="00D13276">
        <w:t xml:space="preserve"> и приступает к их рассмотрению по существу.</w:t>
      </w:r>
    </w:p>
    <w:p w14:paraId="179CC471" w14:textId="77777777" w:rsidR="00736475" w:rsidRPr="00D13276" w:rsidRDefault="00736475" w:rsidP="00736475">
      <w:pPr>
        <w:pStyle w:val="H4G"/>
      </w:pPr>
      <w:r w:rsidRPr="00D13276">
        <w:tab/>
      </w:r>
      <w:r w:rsidRPr="00D13276">
        <w:tab/>
      </w:r>
      <w:r w:rsidRPr="00D13276">
        <w:rPr>
          <w:iCs/>
        </w:rPr>
        <w:t>Рассмотрение по существу</w:t>
      </w:r>
    </w:p>
    <w:p w14:paraId="7428F000" w14:textId="77777777" w:rsidR="00736475" w:rsidRPr="00D13276" w:rsidRDefault="00736475" w:rsidP="00736475">
      <w:pPr>
        <w:pStyle w:val="SingleTxtG"/>
      </w:pPr>
      <w:r w:rsidRPr="00D13276">
        <w:t>7.1</w:t>
      </w:r>
      <w:r w:rsidRPr="00D13276">
        <w:tab/>
        <w:t>В соответствии с</w:t>
      </w:r>
      <w:r w:rsidRPr="00D33255">
        <w:t xml:space="preserve"> </w:t>
      </w:r>
      <w:r w:rsidRPr="00D13276">
        <w:t>пункт</w:t>
      </w:r>
      <w:r>
        <w:t>ом</w:t>
      </w:r>
      <w:r w:rsidRPr="00D13276">
        <w:t xml:space="preserve"> 1 стать</w:t>
      </w:r>
      <w:r>
        <w:t>и</w:t>
      </w:r>
      <w:r w:rsidRPr="00D13276">
        <w:t xml:space="preserve"> 5 Факультативного протокола Комитет рассмотрел сообщение с учетом всей информации, предоставленной ему сторонами.</w:t>
      </w:r>
    </w:p>
    <w:p w14:paraId="618C1EBE" w14:textId="376262A6" w:rsidR="00736475" w:rsidRPr="00D13276" w:rsidRDefault="00736475" w:rsidP="00736475">
      <w:pPr>
        <w:pStyle w:val="SingleTxtG"/>
      </w:pPr>
      <w:r w:rsidRPr="00D13276">
        <w:t>7.2</w:t>
      </w:r>
      <w:r w:rsidRPr="00D13276">
        <w:tab/>
        <w:t>Комитет принимает к сведению утверждение автора о том, что его право свободно распространять информацию было ограничено в нарушение</w:t>
      </w:r>
      <w:r w:rsidRPr="002272B4">
        <w:t xml:space="preserve"> </w:t>
      </w:r>
      <w:r w:rsidRPr="00D13276">
        <w:t>пункт</w:t>
      </w:r>
      <w:r>
        <w:t>а</w:t>
      </w:r>
      <w:r w:rsidRPr="00D13276">
        <w:t xml:space="preserve"> 2 статьи</w:t>
      </w:r>
      <w:r w:rsidR="001733A0">
        <w:t> </w:t>
      </w:r>
      <w:r w:rsidRPr="00D13276">
        <w:t>19 Пакта, поскольку он был наказан за распространение политических листовок и тем самым лишен возможности в дальнейшем распространять содержащуюся в них информацию.</w:t>
      </w:r>
    </w:p>
    <w:p w14:paraId="57844AD8" w14:textId="77777777" w:rsidR="00736475" w:rsidRPr="00D13276" w:rsidRDefault="00736475" w:rsidP="00736475">
      <w:pPr>
        <w:pStyle w:val="SingleTxtG"/>
      </w:pPr>
      <w:r w:rsidRPr="00D13276">
        <w:lastRenderedPageBreak/>
        <w:t>7.3</w:t>
      </w:r>
      <w:r w:rsidRPr="00D13276">
        <w:tab/>
        <w:t xml:space="preserve">Комитет должен рассмотреть вопрос об обоснованности ограничений свободы автора распространять информацию по какому-либо </w:t>
      </w:r>
      <w:r>
        <w:t xml:space="preserve">из </w:t>
      </w:r>
      <w:r w:rsidRPr="00D13276">
        <w:t>критери</w:t>
      </w:r>
      <w:r>
        <w:t>ев</w:t>
      </w:r>
      <w:r w:rsidRPr="00D13276">
        <w:t>, предусмотренн</w:t>
      </w:r>
      <w:r>
        <w:t>ых</w:t>
      </w:r>
      <w:r w:rsidRPr="00D13276">
        <w:t xml:space="preserve"> в</w:t>
      </w:r>
      <w:r w:rsidRPr="00F039E5">
        <w:t xml:space="preserve"> </w:t>
      </w:r>
      <w:r w:rsidRPr="00D13276">
        <w:t>пункт</w:t>
      </w:r>
      <w:r>
        <w:t>е</w:t>
      </w:r>
      <w:r w:rsidRPr="00D13276">
        <w:t xml:space="preserve"> 3 стать</w:t>
      </w:r>
      <w:r>
        <w:t>и</w:t>
      </w:r>
      <w:r w:rsidRPr="00D13276">
        <w:t xml:space="preserve"> 19 Пакта.</w:t>
      </w:r>
    </w:p>
    <w:p w14:paraId="093828EC" w14:textId="07DDCFA5" w:rsidR="00736475" w:rsidRPr="00D13276" w:rsidRDefault="00736475" w:rsidP="00736475">
      <w:pPr>
        <w:pStyle w:val="SingleTxtG"/>
      </w:pPr>
      <w:r w:rsidRPr="00D13276">
        <w:t>7.4</w:t>
      </w:r>
      <w:r w:rsidRPr="00D13276">
        <w:tab/>
        <w:t>Комитет ссылается на свое замечание общего порядка № 34 (2011), в котором он заявил</w:t>
      </w:r>
      <w:r>
        <w:t>,</w:t>
      </w:r>
      <w:r w:rsidRPr="00D13276">
        <w:t xml:space="preserve"> среди прочего, что свобода выражения мнений имеет ключевое значение для любого общества и является основополагающим элементом любого свободного и демократического общества (п</w:t>
      </w:r>
      <w:r>
        <w:t>.</w:t>
      </w:r>
      <w:r w:rsidRPr="00D13276">
        <w:t xml:space="preserve"> 34). Он отмечает, что </w:t>
      </w:r>
      <w:r>
        <w:t xml:space="preserve">пунктом 3 </w:t>
      </w:r>
      <w:r w:rsidRPr="00D13276">
        <w:t>стать</w:t>
      </w:r>
      <w:r>
        <w:t>и</w:t>
      </w:r>
      <w:r w:rsidRPr="00D13276">
        <w:t xml:space="preserve"> 19 допускаются </w:t>
      </w:r>
      <w:r w:rsidRPr="001C7DBE">
        <w:rPr>
          <w:color w:val="333333"/>
          <w:shd w:val="clear" w:color="auto" w:fill="FFFFFF"/>
        </w:rPr>
        <w:t xml:space="preserve">некоторые </w:t>
      </w:r>
      <w:r w:rsidRPr="00D13276">
        <w:t xml:space="preserve">ограничения свободы выражения мнений, включая свободу распространять информацию и идеи, только при </w:t>
      </w:r>
      <w:r>
        <w:t xml:space="preserve">том </w:t>
      </w:r>
      <w:r w:rsidRPr="00D13276">
        <w:t xml:space="preserve">условии, что они установлены законом и являются необходимыми: для уважения прав и репутации других лиц; </w:t>
      </w:r>
      <w:r>
        <w:t xml:space="preserve">или </w:t>
      </w:r>
      <w:r w:rsidRPr="00D13276">
        <w:t>для охраны государственной безопасности, общественного порядка, здоровья или нравственности населения. Наконец, любое ограничение свободы выражения мнений не должно быть слишком широким по своему характеру, т.</w:t>
      </w:r>
      <w:r w:rsidR="001733A0">
        <w:t> </w:t>
      </w:r>
      <w:r w:rsidRPr="00D13276">
        <w:t>е. оно должно являться наименее ограничительной мерой, позволяющей обеспеч</w:t>
      </w:r>
      <w:r>
        <w:t>ить</w:t>
      </w:r>
      <w:r w:rsidRPr="00D13276">
        <w:t xml:space="preserve"> соответствующ</w:t>
      </w:r>
      <w:r>
        <w:t>ую</w:t>
      </w:r>
      <w:r w:rsidRPr="00D13276">
        <w:t xml:space="preserve"> защитн</w:t>
      </w:r>
      <w:r>
        <w:t>ую</w:t>
      </w:r>
      <w:r w:rsidRPr="00D13276">
        <w:t xml:space="preserve"> функци</w:t>
      </w:r>
      <w:r>
        <w:t>ю</w:t>
      </w:r>
      <w:r w:rsidRPr="00D13276">
        <w:t>, и быть соразмерным защищаемому интересу. Комитет напоминает, что именно государство-участник должно доказать, что ограничения прав автора по статье</w:t>
      </w:r>
      <w:r w:rsidR="001733A0">
        <w:t> </w:t>
      </w:r>
      <w:r w:rsidRPr="00D13276">
        <w:t>19 Пакта были необходимы и соразмерны</w:t>
      </w:r>
      <w:r w:rsidRPr="00150C0E">
        <w:rPr>
          <w:sz w:val="18"/>
          <w:szCs w:val="18"/>
          <w:vertAlign w:val="superscript"/>
        </w:rPr>
        <w:footnoteReference w:id="5"/>
      </w:r>
      <w:r w:rsidRPr="00D13276">
        <w:t>.</w:t>
      </w:r>
    </w:p>
    <w:p w14:paraId="4A86A127" w14:textId="6236220C" w:rsidR="00736475" w:rsidRPr="00D13276" w:rsidRDefault="00736475" w:rsidP="00736475">
      <w:pPr>
        <w:pStyle w:val="SingleTxtG"/>
      </w:pPr>
      <w:r w:rsidRPr="00D13276">
        <w:t>7.5</w:t>
      </w:r>
      <w:r w:rsidRPr="00D13276">
        <w:tab/>
        <w:t>Комитет отмечает, что в настоящем деле запрет распространения печатных материалов на том основании, что у автора не имелось специального разрешения Министерства информации, и наложение на автора значительного штрафа вызывают серьезные сомнения в необходимости и соразмерности ограничений прав автора по статье 19 Пакта. Комитет далее отмечает, что государство-участник не привело конкретных оснований в поддержку довода о необходимости ограничений, наложенных на автора, как это</w:t>
      </w:r>
      <w:r>
        <w:t>го</w:t>
      </w:r>
      <w:r w:rsidRPr="00D13276">
        <w:t xml:space="preserve"> требу</w:t>
      </w:r>
      <w:r>
        <w:t>ют положения</w:t>
      </w:r>
      <w:r w:rsidRPr="00D13276">
        <w:t xml:space="preserve"> пункт</w:t>
      </w:r>
      <w:r w:rsidR="00845AE4">
        <w:t>а</w:t>
      </w:r>
      <w:r w:rsidRPr="00D13276">
        <w:t xml:space="preserve"> 3</w:t>
      </w:r>
      <w:r>
        <w:t xml:space="preserve"> </w:t>
      </w:r>
      <w:r w:rsidRPr="00D13276">
        <w:t>стать</w:t>
      </w:r>
      <w:r>
        <w:t>и</w:t>
      </w:r>
      <w:r w:rsidRPr="00D13276">
        <w:t xml:space="preserve"> 19 Пакта</w:t>
      </w:r>
      <w:r w:rsidRPr="00150C0E">
        <w:rPr>
          <w:rStyle w:val="aa"/>
        </w:rPr>
        <w:footnoteReference w:id="6"/>
      </w:r>
      <w:r w:rsidRPr="00D13276">
        <w:t>. Не</w:t>
      </w:r>
      <w:r w:rsidR="00845AE4">
        <w:t> </w:t>
      </w:r>
      <w:r w:rsidRPr="00D13276">
        <w:t>продемонстрировало государство-участник и то</w:t>
      </w:r>
      <w:r>
        <w:t>го</w:t>
      </w:r>
      <w:r w:rsidRPr="00D13276">
        <w:t>, что избранные меры носили наименее ограничительный характер или были соразмерны тому интересу, на защиту которого они направлены. Комитет полагает, что в обстоятельствах</w:t>
      </w:r>
      <w:r>
        <w:t xml:space="preserve"> настоящего дела</w:t>
      </w:r>
      <w:r w:rsidRPr="00D13276">
        <w:t xml:space="preserve"> </w:t>
      </w:r>
      <w:r w:rsidRPr="006D176F">
        <w:t>наложенные на автора ограничения, хотя и основанные на внутреннем законодательстве, не являются обоснованными в соответствии с пунктом 3 статьи</w:t>
      </w:r>
      <w:r>
        <w:t> </w:t>
      </w:r>
      <w:r w:rsidRPr="006D176F">
        <w:t xml:space="preserve">19 Пакта. </w:t>
      </w:r>
      <w:r w:rsidRPr="001C7DBE">
        <w:rPr>
          <w:color w:val="333333"/>
          <w:shd w:val="clear" w:color="auto" w:fill="FFFFFF"/>
        </w:rPr>
        <w:t>Поэтому он приходит к выводу, что права автора, предусмотренные пунктом</w:t>
      </w:r>
      <w:r>
        <w:rPr>
          <w:color w:val="333333"/>
          <w:shd w:val="clear" w:color="auto" w:fill="FFFFFF"/>
        </w:rPr>
        <w:t> </w:t>
      </w:r>
      <w:r w:rsidRPr="001C7DBE">
        <w:rPr>
          <w:color w:val="333333"/>
          <w:shd w:val="clear" w:color="auto" w:fill="FFFFFF"/>
        </w:rPr>
        <w:t>2 статьи</w:t>
      </w:r>
      <w:r>
        <w:rPr>
          <w:color w:val="333333"/>
          <w:shd w:val="clear" w:color="auto" w:fill="FFFFFF"/>
        </w:rPr>
        <w:t xml:space="preserve"> </w:t>
      </w:r>
      <w:r w:rsidRPr="001C7DBE">
        <w:rPr>
          <w:color w:val="333333"/>
          <w:shd w:val="clear" w:color="auto" w:fill="FFFFFF"/>
        </w:rPr>
        <w:t>19 Пакта, были нарушены</w:t>
      </w:r>
      <w:r w:rsidRPr="00150C0E">
        <w:rPr>
          <w:rStyle w:val="aa"/>
        </w:rPr>
        <w:footnoteReference w:id="7"/>
      </w:r>
      <w:r w:rsidRPr="00D13276">
        <w:t>.</w:t>
      </w:r>
    </w:p>
    <w:p w14:paraId="29E13095" w14:textId="77777777" w:rsidR="00736475" w:rsidRPr="00D13276" w:rsidRDefault="00736475" w:rsidP="00736475">
      <w:pPr>
        <w:pStyle w:val="SingleTxtG"/>
      </w:pPr>
      <w:r w:rsidRPr="00D13276">
        <w:t>8.</w:t>
      </w:r>
      <w:r w:rsidRPr="00D13276">
        <w:tab/>
        <w:t>Действуя в соответствии с</w:t>
      </w:r>
      <w:r>
        <w:t xml:space="preserve"> пунктом 4</w:t>
      </w:r>
      <w:r w:rsidRPr="00D13276">
        <w:t xml:space="preserve"> стать</w:t>
      </w:r>
      <w:r>
        <w:t>и</w:t>
      </w:r>
      <w:r w:rsidRPr="00D13276">
        <w:t xml:space="preserve"> 5 Факультативного протокола, Комитет заключает, что представленные ему факты свидетельствуют о нарушении государством-участником прав автора, предусмотренных </w:t>
      </w:r>
      <w:r>
        <w:t xml:space="preserve">пунктом 2 </w:t>
      </w:r>
      <w:r w:rsidRPr="00D13276">
        <w:t>стать</w:t>
      </w:r>
      <w:r>
        <w:t>и</w:t>
      </w:r>
      <w:r w:rsidRPr="00D13276">
        <w:t xml:space="preserve"> 19 Пакта.</w:t>
      </w:r>
    </w:p>
    <w:p w14:paraId="3F118EAF" w14:textId="77777777" w:rsidR="00736475" w:rsidRPr="00D13276" w:rsidRDefault="00736475" w:rsidP="00736475">
      <w:pPr>
        <w:pStyle w:val="SingleTxtG"/>
      </w:pPr>
      <w:r w:rsidRPr="00D13276">
        <w:t>9.</w:t>
      </w:r>
      <w:r w:rsidRPr="00D13276">
        <w:tab/>
        <w:t>В соответствии с</w:t>
      </w:r>
      <w:r>
        <w:t xml:space="preserve"> </w:t>
      </w:r>
      <w:r w:rsidRPr="00D13276">
        <w:t>пункт</w:t>
      </w:r>
      <w:r>
        <w:t>ом</w:t>
      </w:r>
      <w:r w:rsidRPr="00D13276">
        <w:t xml:space="preserve"> 3 а) стать</w:t>
      </w:r>
      <w:r>
        <w:t>и</w:t>
      </w:r>
      <w:r w:rsidRPr="00D13276">
        <w:t xml:space="preserve"> 2 Пакта государство-участник обязано предоставить автору эффективное средство правовой защиты. Для этого должно быть предоставлено полное возмещение лицам, чьи права по Пакту были нарушены. </w:t>
      </w:r>
      <w:r>
        <w:t>Таким образом</w:t>
      </w:r>
      <w:r w:rsidRPr="00D13276">
        <w:t>, государство-участник обязано, среди прочего, предпринять надлежащие шаги для предоставления автору соответствующей компенсации, в том числе возместить сумму штрафа и любые судебные издержки, понесенные автором в связи с разбирательствами в национальных судах. Государство-участник обязано также принять все необходимые меры для недопущения подобных нарушений в будущем.</w:t>
      </w:r>
    </w:p>
    <w:p w14:paraId="1F9B9F26" w14:textId="77777777" w:rsidR="00736475" w:rsidRPr="00D13276" w:rsidRDefault="00736475" w:rsidP="00736475">
      <w:pPr>
        <w:pStyle w:val="SingleTxtG"/>
      </w:pPr>
      <w:r w:rsidRPr="00D13276">
        <w:t>10.</w:t>
      </w:r>
      <w:r w:rsidRPr="00D13276">
        <w:tab/>
      </w:r>
      <w:r w:rsidRPr="000B7D3B">
        <w:rPr>
          <w:color w:val="333333"/>
          <w:shd w:val="clear" w:color="auto" w:fill="FFFFFF"/>
        </w:rPr>
        <w:t>Принимая во внимание, что,</w:t>
      </w:r>
      <w:r w:rsidRPr="00D13276">
        <w:t xml:space="preserve"> присоединившись к Факультативному протоколу, государство-участник признало компетенцию Комитета определять</w:t>
      </w:r>
      <w:r w:rsidRPr="000B7D3B">
        <w:rPr>
          <w:color w:val="333333"/>
          <w:shd w:val="clear" w:color="auto" w:fill="FFFFFF"/>
        </w:rPr>
        <w:t>, имело ли место нарушение Пакта,</w:t>
      </w:r>
      <w:r w:rsidRPr="00D13276">
        <w:t xml:space="preserve"> и что согласно статье 2 Пакта государство-участник обязалось обеспечивать всем находящимся в пределах его территории или под его юрисдикцией лицам </w:t>
      </w:r>
      <w:r w:rsidRPr="000B7D3B">
        <w:rPr>
          <w:color w:val="333333"/>
          <w:shd w:val="clear" w:color="auto" w:fill="FFFFFF"/>
        </w:rPr>
        <w:t>признаваемые в Пакте</w:t>
      </w:r>
      <w:r w:rsidRPr="00D13276">
        <w:t xml:space="preserve"> права</w:t>
      </w:r>
      <w:r>
        <w:t>,</w:t>
      </w:r>
      <w:r w:rsidRPr="000E0FA6">
        <w:rPr>
          <w:color w:val="333333"/>
          <w:shd w:val="clear" w:color="auto" w:fill="FFFFFF"/>
        </w:rPr>
        <w:t xml:space="preserve"> </w:t>
      </w:r>
      <w:r w:rsidRPr="000B7D3B">
        <w:rPr>
          <w:color w:val="333333"/>
          <w:shd w:val="clear" w:color="auto" w:fill="FFFFFF"/>
        </w:rPr>
        <w:t>а также</w:t>
      </w:r>
      <w:r w:rsidRPr="001C7DBE">
        <w:rPr>
          <w:color w:val="333333"/>
          <w:shd w:val="clear" w:color="auto" w:fill="FFFFFF"/>
        </w:rPr>
        <w:t xml:space="preserve"> эффективные и обладающие исковой силой средства</w:t>
      </w:r>
      <w:r w:rsidRPr="000B7D3B">
        <w:rPr>
          <w:color w:val="333333"/>
          <w:shd w:val="clear" w:color="auto" w:fill="FFFFFF"/>
        </w:rPr>
        <w:t xml:space="preserve"> правовой защиты</w:t>
      </w:r>
      <w:r w:rsidRPr="00D13276">
        <w:t xml:space="preserve"> в случае установления факта нарушения, Комитет хотел бы получить от государства-участника</w:t>
      </w:r>
      <w:r w:rsidRPr="00D33976">
        <w:t xml:space="preserve"> </w:t>
      </w:r>
      <w:r w:rsidRPr="00D13276">
        <w:t xml:space="preserve">в течение 180 дней информацию о принятых мерах по </w:t>
      </w:r>
      <w:r w:rsidRPr="000B7D3B">
        <w:rPr>
          <w:color w:val="333333"/>
          <w:shd w:val="clear" w:color="auto" w:fill="FFFFFF"/>
        </w:rPr>
        <w:t>осуществлению</w:t>
      </w:r>
      <w:r w:rsidRPr="001C7DBE">
        <w:rPr>
          <w:color w:val="333333"/>
          <w:shd w:val="clear" w:color="auto" w:fill="FFFFFF"/>
        </w:rPr>
        <w:t xml:space="preserve"> Соображений Комитета.</w:t>
      </w:r>
      <w:r w:rsidRPr="00D13276">
        <w:t xml:space="preserve"> Государству-участнику </w:t>
      </w:r>
      <w:r w:rsidRPr="00D13276">
        <w:lastRenderedPageBreak/>
        <w:t>предлагается также обнародовать</w:t>
      </w:r>
      <w:r>
        <w:t xml:space="preserve"> настоящие Соображения</w:t>
      </w:r>
      <w:r w:rsidRPr="00D13276">
        <w:t xml:space="preserve"> и </w:t>
      </w:r>
      <w:r w:rsidRPr="001C7DBE">
        <w:rPr>
          <w:color w:val="333333"/>
          <w:shd w:val="clear" w:color="auto" w:fill="FFFFFF"/>
        </w:rPr>
        <w:t>обеспечить их широкое распространение</w:t>
      </w:r>
      <w:r w:rsidRPr="00D13276">
        <w:t xml:space="preserve"> на своих официальных языках.</w:t>
      </w:r>
    </w:p>
    <w:p w14:paraId="542C69A1" w14:textId="68010580" w:rsidR="00381C24" w:rsidRPr="00BC18B2" w:rsidRDefault="00736475" w:rsidP="00736475">
      <w:pPr>
        <w:pStyle w:val="SingleTxtG"/>
        <w:spacing w:before="240" w:after="0"/>
        <w:jc w:val="center"/>
      </w:pPr>
      <w:r w:rsidRPr="00D13276">
        <w:rPr>
          <w:u w:val="single"/>
        </w:rPr>
        <w:tab/>
      </w:r>
      <w:r w:rsidRPr="00D13276">
        <w:rPr>
          <w:u w:val="single"/>
        </w:rPr>
        <w:tab/>
      </w:r>
      <w:r w:rsidRPr="00D13276">
        <w:rPr>
          <w:u w:val="single"/>
        </w:rPr>
        <w:tab/>
      </w:r>
      <w:r w:rsidRPr="00D13276">
        <w:rPr>
          <w:u w:val="single"/>
        </w:rPr>
        <w:tab/>
      </w:r>
    </w:p>
    <w:sectPr w:rsidR="00381C24" w:rsidRPr="00BC18B2" w:rsidSect="00736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631D" w14:textId="77777777" w:rsidR="00C7083D" w:rsidRPr="00A312BC" w:rsidRDefault="00C7083D" w:rsidP="00A312BC"/>
  </w:endnote>
  <w:endnote w:type="continuationSeparator" w:id="0">
    <w:p w14:paraId="6A0906EC" w14:textId="77777777" w:rsidR="00C7083D" w:rsidRPr="00A312BC" w:rsidRDefault="00C7083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A8BD" w14:textId="60F86AEF" w:rsidR="00736475" w:rsidRPr="00736475" w:rsidRDefault="00736475">
    <w:pPr>
      <w:pStyle w:val="a8"/>
    </w:pPr>
    <w:r w:rsidRPr="00736475">
      <w:rPr>
        <w:b/>
        <w:sz w:val="18"/>
      </w:rPr>
      <w:fldChar w:fldCharType="begin"/>
    </w:r>
    <w:r w:rsidRPr="00736475">
      <w:rPr>
        <w:b/>
        <w:sz w:val="18"/>
      </w:rPr>
      <w:instrText xml:space="preserve"> PAGE  \* MERGEFORMAT </w:instrText>
    </w:r>
    <w:r w:rsidRPr="00736475">
      <w:rPr>
        <w:b/>
        <w:sz w:val="18"/>
      </w:rPr>
      <w:fldChar w:fldCharType="separate"/>
    </w:r>
    <w:r w:rsidRPr="00736475">
      <w:rPr>
        <w:b/>
        <w:noProof/>
        <w:sz w:val="18"/>
      </w:rPr>
      <w:t>2</w:t>
    </w:r>
    <w:r w:rsidRPr="00736475">
      <w:rPr>
        <w:b/>
        <w:sz w:val="18"/>
      </w:rPr>
      <w:fldChar w:fldCharType="end"/>
    </w:r>
    <w:r>
      <w:rPr>
        <w:b/>
        <w:sz w:val="18"/>
      </w:rPr>
      <w:tab/>
    </w:r>
    <w:r>
      <w:t>GE.21-05884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3111" w14:textId="3B2D49C7" w:rsidR="00736475" w:rsidRPr="00736475" w:rsidRDefault="00736475" w:rsidP="00736475">
    <w:pPr>
      <w:pStyle w:val="a8"/>
      <w:tabs>
        <w:tab w:val="clear" w:pos="9639"/>
        <w:tab w:val="right" w:pos="9638"/>
      </w:tabs>
      <w:rPr>
        <w:b/>
        <w:sz w:val="18"/>
      </w:rPr>
    </w:pPr>
    <w:r>
      <w:t>GE.21-05884</w:t>
    </w:r>
    <w:r>
      <w:tab/>
    </w:r>
    <w:r w:rsidRPr="00736475">
      <w:rPr>
        <w:b/>
        <w:sz w:val="18"/>
      </w:rPr>
      <w:fldChar w:fldCharType="begin"/>
    </w:r>
    <w:r w:rsidRPr="00736475">
      <w:rPr>
        <w:b/>
        <w:sz w:val="18"/>
      </w:rPr>
      <w:instrText xml:space="preserve"> PAGE  \* MERGEFORMAT </w:instrText>
    </w:r>
    <w:r w:rsidRPr="00736475">
      <w:rPr>
        <w:b/>
        <w:sz w:val="18"/>
      </w:rPr>
      <w:fldChar w:fldCharType="separate"/>
    </w:r>
    <w:r w:rsidRPr="00736475">
      <w:rPr>
        <w:b/>
        <w:noProof/>
        <w:sz w:val="18"/>
      </w:rPr>
      <w:t>3</w:t>
    </w:r>
    <w:r w:rsidRPr="007364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27AD" w14:textId="0DB49765" w:rsidR="00042B72" w:rsidRPr="00736475" w:rsidRDefault="00736475" w:rsidP="007364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D028DC" wp14:editId="64C5E78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21-05884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6D6CF7" wp14:editId="68ABA5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040621  140621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8680" w14:textId="77777777" w:rsidR="00C7083D" w:rsidRPr="001075E9" w:rsidRDefault="00C7083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F0B7ED" w14:textId="77777777" w:rsidR="00C7083D" w:rsidRDefault="00C7083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872815" w14:textId="4B243A11" w:rsidR="00736475" w:rsidRPr="00D13276" w:rsidRDefault="00736475" w:rsidP="00736475">
      <w:pPr>
        <w:pStyle w:val="ad"/>
      </w:pPr>
      <w:r>
        <w:tab/>
      </w:r>
      <w:r w:rsidRPr="00736475">
        <w:rPr>
          <w:sz w:val="20"/>
        </w:rPr>
        <w:t>*</w:t>
      </w:r>
      <w:r>
        <w:tab/>
        <w:t xml:space="preserve">Приняты Комитетом на его </w:t>
      </w:r>
      <w:r w:rsidR="00457853">
        <w:t>сто тридцать первой</w:t>
      </w:r>
      <w:r>
        <w:t xml:space="preserve"> сессии (1–26 марта 2021 года).</w:t>
      </w:r>
    </w:p>
  </w:footnote>
  <w:footnote w:id="2">
    <w:p w14:paraId="67196EE4" w14:textId="53641C9B" w:rsidR="00736475" w:rsidRPr="00845AE4" w:rsidRDefault="00736475" w:rsidP="00736475">
      <w:pPr>
        <w:pStyle w:val="ad"/>
        <w:rPr>
          <w:color w:val="000000" w:themeColor="text1"/>
        </w:rPr>
      </w:pPr>
      <w:r>
        <w:tab/>
      </w:r>
      <w:r w:rsidRPr="00736475">
        <w:rPr>
          <w:sz w:val="20"/>
        </w:rPr>
        <w:t>**</w:t>
      </w:r>
      <w:r>
        <w:tab/>
        <w:t xml:space="preserve">В рассмотрении настоящего сообщения приняли участие следующие члены Комитета: </w:t>
      </w:r>
      <w:r w:rsidRPr="00845AE4">
        <w:rPr>
          <w:color w:val="000000" w:themeColor="text1"/>
        </w:rPr>
        <w:t>Тания Мария Абдо Рочоль, Вафа Ашраф Мохаррам Бассим, Яд Бен Ашур, Ариф Балкан, Махджуб эль-Хайба, Фуруя Сюити, Карлос Гомес Мартинес, Марсия В.Дж. Кран, Данкан Лаки Мухумуза, Фотини Пазардзис, Василька Санцин, Жозе Мануэл Сантуш Паиш, Чхангрок Сох, Кобойя Чамджа Кпача, Элен Тигруджа, Имэру Тэмэрэт Йыгэзу и Гентиан Зюбери.</w:t>
      </w:r>
    </w:p>
  </w:footnote>
  <w:footnote w:id="3">
    <w:p w14:paraId="55C002AF" w14:textId="77777777" w:rsidR="00736475" w:rsidRPr="00D13276" w:rsidRDefault="00736475" w:rsidP="00736475">
      <w:pPr>
        <w:pStyle w:val="ad"/>
      </w:pPr>
      <w:r>
        <w:tab/>
      </w:r>
      <w:r w:rsidRPr="00150C0E">
        <w:rPr>
          <w:rStyle w:val="aa"/>
        </w:rPr>
        <w:footnoteRef/>
      </w:r>
      <w:r>
        <w:tab/>
      </w:r>
      <w:r>
        <w:tab/>
        <w:t>Примерно 220 долл. США в эквиваленте на тот момент.</w:t>
      </w:r>
    </w:p>
  </w:footnote>
  <w:footnote w:id="4">
    <w:p w14:paraId="4233D5F5" w14:textId="03FD59A2" w:rsidR="00736475" w:rsidRPr="00D13276" w:rsidRDefault="00736475" w:rsidP="00736475">
      <w:pPr>
        <w:pStyle w:val="ad"/>
      </w:pPr>
      <w:r w:rsidRPr="006A714E">
        <w:tab/>
      </w:r>
      <w:r w:rsidRPr="00150C0E">
        <w:rPr>
          <w:rStyle w:val="aa"/>
        </w:rPr>
        <w:footnoteRef/>
      </w:r>
      <w:r>
        <w:tab/>
      </w:r>
      <w:r>
        <w:rPr>
          <w:i/>
          <w:iCs/>
        </w:rPr>
        <w:t>Гелазаускас против Литвы</w:t>
      </w:r>
      <w:r>
        <w:t xml:space="preserve"> (CCPR/C/77/D/836/1998), п. 7.4, </w:t>
      </w:r>
      <w:r>
        <w:rPr>
          <w:i/>
          <w:iCs/>
        </w:rPr>
        <w:t xml:space="preserve">Секерко против Беларуси </w:t>
      </w:r>
      <w:r>
        <w:t xml:space="preserve">(CCPR/C/109/D/1851/2008), п. 8.3, и </w:t>
      </w:r>
      <w:r>
        <w:rPr>
          <w:i/>
          <w:iCs/>
        </w:rPr>
        <w:t xml:space="preserve">Шумилин против Беларуси </w:t>
      </w:r>
      <w:r>
        <w:t>(CCPR/C/105/D/1784/2008), п. 8.3.</w:t>
      </w:r>
    </w:p>
  </w:footnote>
  <w:footnote w:id="5">
    <w:p w14:paraId="59A3DE6F" w14:textId="77777777" w:rsidR="00736475" w:rsidRPr="00D13276" w:rsidRDefault="00736475" w:rsidP="00736475">
      <w:pPr>
        <w:pStyle w:val="ad"/>
      </w:pPr>
      <w:r w:rsidRPr="00544A4F">
        <w:tab/>
      </w:r>
      <w:r w:rsidRPr="00150C0E">
        <w:rPr>
          <w:rStyle w:val="aa"/>
        </w:rPr>
        <w:footnoteRef/>
      </w:r>
      <w:r>
        <w:tab/>
      </w:r>
      <w:r>
        <w:rPr>
          <w:i/>
          <w:iCs/>
        </w:rPr>
        <w:t xml:space="preserve">Андросенко против Беларуси </w:t>
      </w:r>
      <w:r>
        <w:t>(CCPR/C/116/D/2092/2011), п. 7.3.</w:t>
      </w:r>
    </w:p>
  </w:footnote>
  <w:footnote w:id="6">
    <w:p w14:paraId="7E993EA2" w14:textId="77777777" w:rsidR="00736475" w:rsidRPr="00D13276" w:rsidRDefault="00736475" w:rsidP="00736475">
      <w:pPr>
        <w:pStyle w:val="ad"/>
        <w:widowControl w:val="0"/>
        <w:tabs>
          <w:tab w:val="clear" w:pos="1021"/>
          <w:tab w:val="right" w:pos="1020"/>
        </w:tabs>
      </w:pPr>
      <w:r w:rsidRPr="00544A4F">
        <w:tab/>
      </w:r>
      <w:r w:rsidRPr="00150C0E">
        <w:rPr>
          <w:rStyle w:val="aa"/>
        </w:rPr>
        <w:footnoteRef/>
      </w:r>
      <w:r>
        <w:tab/>
      </w:r>
      <w:r>
        <w:rPr>
          <w:i/>
          <w:iCs/>
        </w:rPr>
        <w:t xml:space="preserve">Залесская против Беларуси </w:t>
      </w:r>
      <w:r>
        <w:t>(CCPR/C/101/D/1604/2007), п. 10.5.</w:t>
      </w:r>
    </w:p>
  </w:footnote>
  <w:footnote w:id="7">
    <w:p w14:paraId="5804C5C9" w14:textId="5A218759" w:rsidR="00736475" w:rsidRPr="00D13276" w:rsidRDefault="00736475" w:rsidP="00736475">
      <w:pPr>
        <w:pStyle w:val="ad"/>
        <w:widowControl w:val="0"/>
        <w:tabs>
          <w:tab w:val="clear" w:pos="1021"/>
          <w:tab w:val="right" w:pos="1020"/>
        </w:tabs>
      </w:pPr>
      <w:r w:rsidRPr="00544A4F">
        <w:tab/>
      </w:r>
      <w:r w:rsidRPr="00150C0E">
        <w:rPr>
          <w:rStyle w:val="aa"/>
        </w:rPr>
        <w:footnoteRef/>
      </w:r>
      <w:r>
        <w:tab/>
      </w:r>
      <w:r>
        <w:rPr>
          <w:i/>
          <w:iCs/>
        </w:rPr>
        <w:t>Светик против Беларуси</w:t>
      </w:r>
      <w:r>
        <w:t xml:space="preserve"> (CCPR/C/81/D/927/2000), п. 7.3;</w:t>
      </w:r>
      <w:r w:rsidR="00A51EEE">
        <w:t xml:space="preserve"> и</w:t>
      </w:r>
      <w:r>
        <w:t xml:space="preserve"> </w:t>
      </w:r>
      <w:r>
        <w:rPr>
          <w:i/>
          <w:iCs/>
        </w:rPr>
        <w:t>Щетко и Щетко против Беларуси</w:t>
      </w:r>
      <w:r>
        <w:t xml:space="preserve"> (CCPR/C/87/D/1009/2001), п. 7.5.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9C14" w14:textId="441CA641" w:rsidR="00736475" w:rsidRPr="00736475" w:rsidRDefault="00F2461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CCPR/C/131/D/2863/2016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977A" w14:textId="4A5027B7" w:rsidR="00736475" w:rsidRPr="00736475" w:rsidRDefault="00F24618" w:rsidP="0073647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CCPR/C/131/D/2863/2016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DF1D3" w14:textId="77777777" w:rsidR="00736475" w:rsidRDefault="00736475" w:rsidP="0073647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3D"/>
    <w:rsid w:val="00033EE1"/>
    <w:rsid w:val="000358F2"/>
    <w:rsid w:val="00042B72"/>
    <w:rsid w:val="000558BD"/>
    <w:rsid w:val="000B57E7"/>
    <w:rsid w:val="000B6373"/>
    <w:rsid w:val="000F09DF"/>
    <w:rsid w:val="000F61B2"/>
    <w:rsid w:val="001042C3"/>
    <w:rsid w:val="001075E9"/>
    <w:rsid w:val="00150C0E"/>
    <w:rsid w:val="001733A0"/>
    <w:rsid w:val="00180183"/>
    <w:rsid w:val="0018024D"/>
    <w:rsid w:val="0018649F"/>
    <w:rsid w:val="00196389"/>
    <w:rsid w:val="001B3EF6"/>
    <w:rsid w:val="001B5843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6A7A"/>
    <w:rsid w:val="00307FB6"/>
    <w:rsid w:val="00317339"/>
    <w:rsid w:val="00322004"/>
    <w:rsid w:val="0032326A"/>
    <w:rsid w:val="003375C6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57853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36475"/>
    <w:rsid w:val="0075523D"/>
    <w:rsid w:val="00757357"/>
    <w:rsid w:val="00787D3A"/>
    <w:rsid w:val="00791B9D"/>
    <w:rsid w:val="007D7AE7"/>
    <w:rsid w:val="00825F8D"/>
    <w:rsid w:val="00834B71"/>
    <w:rsid w:val="00845AE4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51EEE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7083D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24618"/>
    <w:rsid w:val="00F418D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18D03"/>
  <w15:docId w15:val="{D116035F-0CA5-4A8F-B027-8867D9F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3647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5</Pages>
  <Words>1497</Words>
  <Characters>10066</Characters>
  <Application>Microsoft Office Word</Application>
  <DocSecurity>0</DocSecurity>
  <Lines>199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CCPR/C/131/D/2863/2016</vt:lpstr>
      <vt:lpstr>A/</vt:lpstr>
      <vt:lpstr>A/</vt:lpstr>
    </vt:vector>
  </TitlesOfParts>
  <Company>DCM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CCPR/C/131/D/2863/2016</dc:title>
  <dc:subject/>
  <dc:creator>Olga OVTCHINNIKOVA</dc:creator>
  <cp:keywords/>
  <cp:lastModifiedBy>Ioulia Goussarova</cp:lastModifiedBy>
  <cp:revision>3</cp:revision>
  <cp:lastPrinted>2021-06-14T09:57:00Z</cp:lastPrinted>
  <dcterms:created xsi:type="dcterms:W3CDTF">2021-06-14T09:57:00Z</dcterms:created>
  <dcterms:modified xsi:type="dcterms:W3CDTF">2021-06-14T09:57:00Z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