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779D8EFF" w14:textId="77777777" w:rsidTr="005B51C4">
        <w:trPr>
          <w:trHeight w:hRule="exact" w:val="851"/>
        </w:trPr>
        <w:tc>
          <w:tcPr>
            <w:tcW w:w="1274" w:type="dxa"/>
            <w:tcBorders>
              <w:bottom w:val="single" w:sz="4" w:space="0" w:color="auto"/>
            </w:tcBorders>
            <w:shd w:val="clear" w:color="auto" w:fill="auto"/>
          </w:tcPr>
          <w:p w14:paraId="40A08797" w14:textId="77777777" w:rsidR="006B3E27" w:rsidRPr="00C175A6" w:rsidRDefault="006B3E27" w:rsidP="00800FAA">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697E9534"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382ED491" w14:textId="4A2C98A3" w:rsidR="006B3E27" w:rsidRPr="00481B54" w:rsidRDefault="00481B54" w:rsidP="00481B54">
            <w:pPr>
              <w:bidi w:val="0"/>
              <w:rPr>
                <w:szCs w:val="20"/>
              </w:rPr>
            </w:pPr>
            <w:r w:rsidRPr="00481B54">
              <w:rPr>
                <w:sz w:val="40"/>
                <w:szCs w:val="20"/>
              </w:rPr>
              <w:t>CCPR</w:t>
            </w:r>
            <w:r>
              <w:rPr>
                <w:szCs w:val="20"/>
              </w:rPr>
              <w:t>/C/131/D/2863/2016</w:t>
            </w:r>
          </w:p>
        </w:tc>
      </w:tr>
      <w:tr w:rsidR="006B3E27" w:rsidRPr="00C175A6" w14:paraId="0759605E" w14:textId="77777777" w:rsidTr="005B51C4">
        <w:trPr>
          <w:trHeight w:hRule="exact" w:val="2835"/>
        </w:trPr>
        <w:tc>
          <w:tcPr>
            <w:tcW w:w="1274" w:type="dxa"/>
            <w:tcBorders>
              <w:top w:val="single" w:sz="4" w:space="0" w:color="auto"/>
              <w:bottom w:val="single" w:sz="12" w:space="0" w:color="auto"/>
            </w:tcBorders>
            <w:shd w:val="clear" w:color="auto" w:fill="auto"/>
          </w:tcPr>
          <w:p w14:paraId="7283C20C"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4D580117" wp14:editId="442EBD46">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43B8387A"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697C7AF4" w14:textId="77777777" w:rsidR="00451D9C" w:rsidRDefault="00451D9C" w:rsidP="00451D9C">
            <w:pPr>
              <w:bidi w:val="0"/>
              <w:spacing w:before="240"/>
            </w:pPr>
            <w:r>
              <w:t>Distr.: General</w:t>
            </w:r>
          </w:p>
          <w:p w14:paraId="6785D1FB" w14:textId="77777777" w:rsidR="00451D9C" w:rsidRDefault="00451D9C" w:rsidP="00451D9C">
            <w:pPr>
              <w:bidi w:val="0"/>
            </w:pPr>
            <w:r>
              <w:t>4 May 2021</w:t>
            </w:r>
          </w:p>
          <w:p w14:paraId="13D5873E" w14:textId="1F3E680B" w:rsidR="00451D9C" w:rsidRDefault="00451D9C" w:rsidP="00451D9C">
            <w:pPr>
              <w:bidi w:val="0"/>
            </w:pPr>
            <w:r>
              <w:t>Arabic</w:t>
            </w:r>
          </w:p>
          <w:p w14:paraId="0D5B6C60" w14:textId="01B20F13" w:rsidR="00481B54" w:rsidRPr="00481B54" w:rsidRDefault="00451D9C" w:rsidP="00451D9C">
            <w:pPr>
              <w:bidi w:val="0"/>
              <w:spacing w:line="240" w:lineRule="exact"/>
              <w:jc w:val="left"/>
              <w:rPr>
                <w:szCs w:val="20"/>
              </w:rPr>
            </w:pPr>
            <w:r>
              <w:t>Original: English</w:t>
            </w:r>
          </w:p>
        </w:tc>
      </w:tr>
    </w:tbl>
    <w:p w14:paraId="0B5FC374" w14:textId="77777777" w:rsidR="00451D9C" w:rsidRPr="00451D9C" w:rsidRDefault="00451D9C" w:rsidP="00451D9C">
      <w:pPr>
        <w:spacing w:before="120" w:line="360" w:lineRule="exact"/>
        <w:textDirection w:val="tbRlV"/>
        <w:rPr>
          <w:rFonts w:ascii="Simplified Arabic" w:hAnsi="Simplified Arabic"/>
          <w:sz w:val="26"/>
          <w:szCs w:val="26"/>
          <w:lang w:val="ar-SA" w:eastAsia="zh-TW" w:bidi="en-GB"/>
        </w:rPr>
      </w:pPr>
      <w:r w:rsidRPr="00451D9C">
        <w:rPr>
          <w:rFonts w:ascii="Simplified Arabic" w:hAnsi="Simplified Arabic"/>
          <w:b/>
          <w:bCs/>
          <w:sz w:val="26"/>
          <w:szCs w:val="26"/>
          <w:rtl/>
        </w:rPr>
        <w:t>اللجنة المعنية بحقوق الإنسان</w:t>
      </w:r>
    </w:p>
    <w:p w14:paraId="73D9E56C" w14:textId="1D87C75B" w:rsidR="00451D9C" w:rsidRPr="00451D9C" w:rsidRDefault="00451D9C" w:rsidP="00451D9C">
      <w:pPr>
        <w:pStyle w:val="HChGA"/>
        <w:rPr>
          <w:lang w:val="en-US" w:eastAsia="zh-TW" w:bidi="en-GB"/>
        </w:rPr>
      </w:pPr>
      <w:r w:rsidRPr="004C219B">
        <w:rPr>
          <w:rtl/>
        </w:rPr>
        <w:tab/>
      </w:r>
      <w:r w:rsidRPr="004C219B">
        <w:rPr>
          <w:rtl/>
        </w:rPr>
        <w:tab/>
        <w:t>آراء اعتمدتها اللجنة بموجب المادة 5(4) من البروتوكول الاختياري، بشأن البلاغ رقم 2863/2016</w:t>
      </w:r>
      <w:r w:rsidRPr="00451D9C">
        <w:rPr>
          <w:rStyle w:val="FootnoteReference"/>
          <w:rFonts w:ascii="Simplified Arabic" w:hAnsi="Simplified Arabic"/>
          <w:b w:val="0"/>
          <w:sz w:val="22"/>
          <w:szCs w:val="22"/>
          <w:vertAlign w:val="baseline"/>
          <w:rtl/>
        </w:rPr>
        <w:footnoteReference w:customMarkFollows="1" w:id="1"/>
        <w:t>*</w:t>
      </w:r>
      <w:r w:rsidRPr="00451D9C">
        <w:rPr>
          <w:rtl/>
        </w:rPr>
        <w:t xml:space="preserve"> </w:t>
      </w:r>
      <w:r w:rsidRPr="00451D9C">
        <w:rPr>
          <w:rStyle w:val="FootnoteReference"/>
          <w:rFonts w:ascii="Simplified Arabic" w:hAnsi="Simplified Arabic"/>
          <w:b w:val="0"/>
          <w:sz w:val="22"/>
          <w:szCs w:val="22"/>
          <w:vertAlign w:val="baseline"/>
          <w:rtl/>
        </w:rPr>
        <w:footnoteReference w:customMarkFollows="1" w:id="2"/>
        <w:t>**</w:t>
      </w:r>
      <w:r w:rsidRPr="00451D9C">
        <w:rPr>
          <w:rtl/>
        </w:rPr>
        <w:t xml:space="preserve"> </w:t>
      </w:r>
    </w:p>
    <w:p w14:paraId="0943477D" w14:textId="5D685D3C" w:rsidR="00451D9C" w:rsidRPr="004C219B" w:rsidRDefault="00451D9C" w:rsidP="00451D9C">
      <w:pPr>
        <w:pStyle w:val="SingleTxtGA"/>
        <w:tabs>
          <w:tab w:val="clear" w:pos="1928"/>
          <w:tab w:val="clear" w:pos="2608"/>
          <w:tab w:val="clear" w:pos="3289"/>
          <w:tab w:val="clear" w:pos="3969"/>
        </w:tabs>
        <w:ind w:left="4151" w:hanging="2223"/>
        <w:rPr>
          <w:lang w:val="ar-SA" w:eastAsia="zh-TW" w:bidi="en-GB"/>
        </w:rPr>
      </w:pPr>
      <w:r w:rsidRPr="004C219B">
        <w:rPr>
          <w:i/>
          <w:iCs/>
          <w:rtl/>
        </w:rPr>
        <w:t>بلاغ مقدم من:</w:t>
      </w:r>
      <w:r>
        <w:rPr>
          <w:rtl/>
        </w:rPr>
        <w:tab/>
      </w:r>
      <w:r w:rsidRPr="004C219B">
        <w:rPr>
          <w:rtl/>
        </w:rPr>
        <w:t xml:space="preserve">أندريه </w:t>
      </w:r>
      <w:proofErr w:type="spellStart"/>
      <w:r w:rsidRPr="004C219B">
        <w:rPr>
          <w:rtl/>
        </w:rPr>
        <w:t>أندرييف</w:t>
      </w:r>
      <w:proofErr w:type="spellEnd"/>
    </w:p>
    <w:p w14:paraId="751A4592" w14:textId="77777777" w:rsidR="00451D9C" w:rsidRPr="004C219B" w:rsidRDefault="00451D9C" w:rsidP="00451D9C">
      <w:pPr>
        <w:pStyle w:val="SingleTxtGA"/>
        <w:tabs>
          <w:tab w:val="clear" w:pos="1928"/>
          <w:tab w:val="clear" w:pos="2608"/>
          <w:tab w:val="clear" w:pos="3289"/>
          <w:tab w:val="clear" w:pos="3969"/>
        </w:tabs>
        <w:ind w:left="4151" w:hanging="2223"/>
        <w:rPr>
          <w:lang w:val="ar-SA" w:eastAsia="zh-TW" w:bidi="en-GB"/>
        </w:rPr>
      </w:pPr>
      <w:r w:rsidRPr="004C219B">
        <w:rPr>
          <w:i/>
          <w:iCs/>
          <w:rtl/>
        </w:rPr>
        <w:t>الشخص المدعى أنه ضحية:</w:t>
      </w:r>
      <w:r w:rsidRPr="004C219B">
        <w:rPr>
          <w:rtl/>
        </w:rPr>
        <w:tab/>
        <w:t>صاحب البلاغ</w:t>
      </w:r>
    </w:p>
    <w:p w14:paraId="0BEBF6F7" w14:textId="77777777" w:rsidR="00451D9C" w:rsidRPr="004C219B" w:rsidRDefault="00451D9C" w:rsidP="00451D9C">
      <w:pPr>
        <w:pStyle w:val="SingleTxtGA"/>
        <w:tabs>
          <w:tab w:val="clear" w:pos="1928"/>
          <w:tab w:val="clear" w:pos="2608"/>
          <w:tab w:val="clear" w:pos="3289"/>
          <w:tab w:val="clear" w:pos="3969"/>
        </w:tabs>
        <w:ind w:left="4151" w:hanging="2223"/>
        <w:rPr>
          <w:lang w:val="ar-SA" w:eastAsia="zh-TW" w:bidi="en-GB"/>
        </w:rPr>
      </w:pPr>
      <w:r w:rsidRPr="004C219B">
        <w:rPr>
          <w:i/>
          <w:iCs/>
          <w:rtl/>
        </w:rPr>
        <w:t>الدولة الطرف:</w:t>
      </w:r>
      <w:r w:rsidRPr="004C219B">
        <w:rPr>
          <w:rtl/>
        </w:rPr>
        <w:tab/>
        <w:t>بيلاروس</w:t>
      </w:r>
    </w:p>
    <w:p w14:paraId="766E1E32" w14:textId="77777777" w:rsidR="00451D9C" w:rsidRPr="004C219B" w:rsidRDefault="00451D9C" w:rsidP="00451D9C">
      <w:pPr>
        <w:pStyle w:val="SingleTxtGA"/>
        <w:tabs>
          <w:tab w:val="clear" w:pos="1928"/>
          <w:tab w:val="clear" w:pos="2608"/>
          <w:tab w:val="clear" w:pos="3289"/>
          <w:tab w:val="clear" w:pos="3969"/>
        </w:tabs>
        <w:ind w:left="4151" w:hanging="2223"/>
        <w:rPr>
          <w:lang w:val="ar-SA" w:eastAsia="zh-TW" w:bidi="en-GB"/>
        </w:rPr>
      </w:pPr>
      <w:r w:rsidRPr="004C219B">
        <w:rPr>
          <w:i/>
          <w:iCs/>
          <w:rtl/>
        </w:rPr>
        <w:t>تاريخ تقديم البلاغ:</w:t>
      </w:r>
      <w:r w:rsidRPr="004C219B">
        <w:rPr>
          <w:rtl/>
        </w:rPr>
        <w:tab/>
      </w:r>
      <w:r>
        <w:rPr>
          <w:rtl/>
        </w:rPr>
        <w:t>5 أيار/مايو 2014</w:t>
      </w:r>
      <w:r w:rsidRPr="004C219B">
        <w:rPr>
          <w:rtl/>
        </w:rPr>
        <w:t xml:space="preserve"> (</w:t>
      </w:r>
      <w:r>
        <w:rPr>
          <w:rtl/>
        </w:rPr>
        <w:t>تاريخ ال</w:t>
      </w:r>
      <w:r w:rsidRPr="004C219B">
        <w:rPr>
          <w:rtl/>
        </w:rPr>
        <w:t xml:space="preserve">رسالة </w:t>
      </w:r>
      <w:r>
        <w:rPr>
          <w:rtl/>
        </w:rPr>
        <w:t>ال</w:t>
      </w:r>
      <w:r w:rsidRPr="004C219B">
        <w:rPr>
          <w:rtl/>
        </w:rPr>
        <w:t>أولى)</w:t>
      </w:r>
    </w:p>
    <w:p w14:paraId="79895467" w14:textId="77777777" w:rsidR="00451D9C" w:rsidRPr="00451D9C" w:rsidRDefault="00451D9C" w:rsidP="00451D9C">
      <w:pPr>
        <w:pStyle w:val="SingleTxtGA"/>
        <w:tabs>
          <w:tab w:val="clear" w:pos="1928"/>
          <w:tab w:val="clear" w:pos="2608"/>
          <w:tab w:val="clear" w:pos="3289"/>
          <w:tab w:val="clear" w:pos="3969"/>
        </w:tabs>
        <w:ind w:left="4151" w:hanging="2223"/>
        <w:rPr>
          <w:spacing w:val="-4"/>
          <w:lang w:val="ar-SA" w:eastAsia="zh-TW" w:bidi="en-GB"/>
        </w:rPr>
      </w:pPr>
      <w:r w:rsidRPr="00451D9C">
        <w:rPr>
          <w:i/>
          <w:iCs/>
          <w:spacing w:val="-4"/>
          <w:rtl/>
        </w:rPr>
        <w:t>الوثائق المرجعية:</w:t>
      </w:r>
      <w:r w:rsidRPr="00451D9C">
        <w:rPr>
          <w:spacing w:val="-4"/>
          <w:rtl/>
        </w:rPr>
        <w:tab/>
        <w:t>القرار المتخذ عملاً بالمادة 92 من النظام الداخلي للجنة، والمحال إلى الدولة الطرف في 22 تشرين الثاني/نوفمبر 2016 (لم يصدر في شكل وثيقة)</w:t>
      </w:r>
    </w:p>
    <w:p w14:paraId="2477F785" w14:textId="77777777" w:rsidR="00451D9C" w:rsidRPr="004C219B" w:rsidRDefault="00451D9C" w:rsidP="00451D9C">
      <w:pPr>
        <w:pStyle w:val="SingleTxtGA"/>
        <w:tabs>
          <w:tab w:val="clear" w:pos="1928"/>
          <w:tab w:val="clear" w:pos="2608"/>
          <w:tab w:val="clear" w:pos="3289"/>
          <w:tab w:val="clear" w:pos="3969"/>
        </w:tabs>
        <w:ind w:left="4151" w:hanging="2223"/>
        <w:rPr>
          <w:i/>
          <w:lang w:val="ar-SA" w:eastAsia="zh-TW" w:bidi="en-GB"/>
        </w:rPr>
      </w:pPr>
      <w:r w:rsidRPr="004C219B">
        <w:rPr>
          <w:i/>
          <w:iCs/>
          <w:rtl/>
        </w:rPr>
        <w:t>تاريخ اعتماد الآراء:</w:t>
      </w:r>
      <w:r w:rsidRPr="004C219B">
        <w:rPr>
          <w:rtl/>
        </w:rPr>
        <w:tab/>
        <w:t>25 آذار/مارس 2021</w:t>
      </w:r>
    </w:p>
    <w:p w14:paraId="295F65C9" w14:textId="07CDA61C" w:rsidR="00451D9C" w:rsidRPr="004C219B" w:rsidRDefault="00451D9C" w:rsidP="00451D9C">
      <w:pPr>
        <w:pStyle w:val="SingleTxtGA"/>
        <w:tabs>
          <w:tab w:val="clear" w:pos="1928"/>
          <w:tab w:val="clear" w:pos="2608"/>
          <w:tab w:val="clear" w:pos="3289"/>
          <w:tab w:val="clear" w:pos="3969"/>
        </w:tabs>
        <w:ind w:left="4151" w:hanging="2223"/>
        <w:rPr>
          <w:lang w:val="ar-SA" w:eastAsia="zh-TW" w:bidi="en-GB"/>
        </w:rPr>
      </w:pPr>
      <w:r w:rsidRPr="004C219B">
        <w:rPr>
          <w:i/>
          <w:iCs/>
          <w:rtl/>
        </w:rPr>
        <w:t>الموضوع:</w:t>
      </w:r>
      <w:r w:rsidRPr="004C219B">
        <w:rPr>
          <w:rtl/>
        </w:rPr>
        <w:tab/>
        <w:t>معاقبة صاحب البلاغ على توزيع منشورات سياسية</w:t>
      </w:r>
    </w:p>
    <w:p w14:paraId="4BD099E6" w14:textId="77777777" w:rsidR="00451D9C" w:rsidRPr="004C219B" w:rsidRDefault="00451D9C" w:rsidP="00451D9C">
      <w:pPr>
        <w:pStyle w:val="SingleTxtGA"/>
        <w:tabs>
          <w:tab w:val="clear" w:pos="1928"/>
          <w:tab w:val="clear" w:pos="2608"/>
          <w:tab w:val="clear" w:pos="3289"/>
          <w:tab w:val="clear" w:pos="3969"/>
        </w:tabs>
        <w:ind w:left="4151" w:hanging="2223"/>
        <w:rPr>
          <w:i/>
          <w:lang w:val="ar-SA" w:eastAsia="zh-TW" w:bidi="en-GB"/>
        </w:rPr>
      </w:pPr>
      <w:r w:rsidRPr="004C219B">
        <w:rPr>
          <w:i/>
          <w:iCs/>
          <w:rtl/>
        </w:rPr>
        <w:t>المسائل الإجرائية</w:t>
      </w:r>
      <w:r w:rsidRPr="004C219B">
        <w:rPr>
          <w:i/>
          <w:iCs/>
        </w:rPr>
        <w:t>:</w:t>
      </w:r>
      <w:r w:rsidRPr="004C219B">
        <w:rPr>
          <w:rtl/>
        </w:rPr>
        <w:t xml:space="preserve"> </w:t>
      </w:r>
      <w:r w:rsidRPr="004C219B">
        <w:rPr>
          <w:rtl/>
        </w:rPr>
        <w:tab/>
        <w:t xml:space="preserve">استنفاد سبل الانتصاف المحلية؛ </w:t>
      </w:r>
      <w:r>
        <w:rPr>
          <w:rtl/>
        </w:rPr>
        <w:t>و</w:t>
      </w:r>
      <w:r w:rsidRPr="004C219B">
        <w:rPr>
          <w:rtl/>
        </w:rPr>
        <w:t>إساءة استخدام الحق في تقديم شكاوى فردية</w:t>
      </w:r>
    </w:p>
    <w:p w14:paraId="1CACEA25" w14:textId="77777777" w:rsidR="00451D9C" w:rsidRPr="004C219B" w:rsidRDefault="00451D9C" w:rsidP="00451D9C">
      <w:pPr>
        <w:pStyle w:val="SingleTxtGA"/>
        <w:tabs>
          <w:tab w:val="clear" w:pos="1928"/>
          <w:tab w:val="clear" w:pos="2608"/>
          <w:tab w:val="clear" w:pos="3289"/>
          <w:tab w:val="clear" w:pos="3969"/>
        </w:tabs>
        <w:ind w:left="4151" w:hanging="2223"/>
        <w:rPr>
          <w:lang w:val="ar-SA" w:eastAsia="zh-TW" w:bidi="en-GB"/>
        </w:rPr>
      </w:pPr>
      <w:r w:rsidRPr="004C219B">
        <w:rPr>
          <w:i/>
          <w:iCs/>
          <w:rtl/>
        </w:rPr>
        <w:t>المسألة الموضوعية</w:t>
      </w:r>
      <w:r w:rsidRPr="004C219B">
        <w:rPr>
          <w:i/>
          <w:iCs/>
        </w:rPr>
        <w:t>:</w:t>
      </w:r>
      <w:r w:rsidRPr="004C219B">
        <w:rPr>
          <w:rtl/>
        </w:rPr>
        <w:t xml:space="preserve"> </w:t>
      </w:r>
      <w:r w:rsidRPr="004C219B">
        <w:rPr>
          <w:rtl/>
        </w:rPr>
        <w:tab/>
        <w:t xml:space="preserve">حرية التعبير؛ </w:t>
      </w:r>
      <w:r>
        <w:rPr>
          <w:rtl/>
        </w:rPr>
        <w:t>و</w:t>
      </w:r>
      <w:r w:rsidRPr="004C219B">
        <w:rPr>
          <w:rtl/>
        </w:rPr>
        <w:t>حرية التماس المعلومات وتلقيها ونقلها</w:t>
      </w:r>
    </w:p>
    <w:p w14:paraId="309F3BE6" w14:textId="3940AFF3" w:rsidR="00451D9C" w:rsidRPr="004C219B" w:rsidRDefault="00451D9C" w:rsidP="00451D9C">
      <w:pPr>
        <w:pStyle w:val="SingleTxtGA"/>
        <w:tabs>
          <w:tab w:val="clear" w:pos="1928"/>
          <w:tab w:val="clear" w:pos="2608"/>
          <w:tab w:val="clear" w:pos="3289"/>
          <w:tab w:val="clear" w:pos="3969"/>
        </w:tabs>
        <w:ind w:left="4151" w:hanging="2223"/>
        <w:rPr>
          <w:lang w:val="ar-SA" w:eastAsia="zh-TW" w:bidi="en-GB"/>
        </w:rPr>
      </w:pPr>
      <w:r w:rsidRPr="004C219B">
        <w:rPr>
          <w:i/>
          <w:iCs/>
          <w:rtl/>
        </w:rPr>
        <w:t>مادة العهد:</w:t>
      </w:r>
      <w:r w:rsidRPr="004C219B">
        <w:rPr>
          <w:rtl/>
        </w:rPr>
        <w:tab/>
        <w:t>19(2)</w:t>
      </w:r>
    </w:p>
    <w:p w14:paraId="67C9B1B5" w14:textId="1355FCB3" w:rsidR="00451D9C" w:rsidRPr="004C219B" w:rsidRDefault="00451D9C" w:rsidP="00451D9C">
      <w:pPr>
        <w:pStyle w:val="SingleTxtGA"/>
        <w:tabs>
          <w:tab w:val="clear" w:pos="1928"/>
          <w:tab w:val="clear" w:pos="2608"/>
          <w:tab w:val="clear" w:pos="3289"/>
          <w:tab w:val="clear" w:pos="3969"/>
        </w:tabs>
        <w:ind w:left="4151" w:hanging="2223"/>
        <w:rPr>
          <w:iCs/>
          <w:lang w:val="ar-SA" w:eastAsia="zh-TW" w:bidi="en-GB"/>
        </w:rPr>
      </w:pPr>
      <w:r w:rsidRPr="004C219B">
        <w:rPr>
          <w:i/>
          <w:iCs/>
          <w:rtl/>
        </w:rPr>
        <w:t>مواد البروتوكول الاختياري:</w:t>
      </w:r>
      <w:r w:rsidRPr="004C219B">
        <w:rPr>
          <w:rtl/>
        </w:rPr>
        <w:tab/>
        <w:t>3 و5(2)(ب)</w:t>
      </w:r>
    </w:p>
    <w:p w14:paraId="3FB34DB6" w14:textId="77777777" w:rsidR="00451D9C" w:rsidRPr="004C219B" w:rsidRDefault="00451D9C" w:rsidP="00451D9C">
      <w:pPr>
        <w:pStyle w:val="SingleTxtGA"/>
        <w:rPr>
          <w:lang w:val="ar-SA" w:eastAsia="zh-TW" w:bidi="en-GB"/>
        </w:rPr>
      </w:pPr>
      <w:r w:rsidRPr="004C219B">
        <w:rPr>
          <w:rtl/>
        </w:rPr>
        <w:t>1-</w:t>
      </w:r>
      <w:r w:rsidRPr="004C219B">
        <w:rPr>
          <w:rtl/>
        </w:rPr>
        <w:tab/>
        <w:t xml:space="preserve">صاحب البلاغ هو </w:t>
      </w:r>
      <w:r w:rsidRPr="009F77E0">
        <w:rPr>
          <w:rtl/>
        </w:rPr>
        <w:t xml:space="preserve">أندريه </w:t>
      </w:r>
      <w:proofErr w:type="spellStart"/>
      <w:r w:rsidRPr="009F77E0">
        <w:rPr>
          <w:rtl/>
        </w:rPr>
        <w:t>أندرييف</w:t>
      </w:r>
      <w:proofErr w:type="spellEnd"/>
      <w:r w:rsidRPr="009F77E0">
        <w:rPr>
          <w:rtl/>
        </w:rPr>
        <w:t xml:space="preserve"> </w:t>
      </w:r>
      <w:r>
        <w:rPr>
          <w:rtl/>
        </w:rPr>
        <w:t>ال</w:t>
      </w:r>
      <w:r w:rsidRPr="004C219B">
        <w:rPr>
          <w:rtl/>
        </w:rPr>
        <w:t xml:space="preserve">مواطن </w:t>
      </w:r>
      <w:r>
        <w:rPr>
          <w:rtl/>
        </w:rPr>
        <w:t>ال</w:t>
      </w:r>
      <w:r w:rsidRPr="004C219B">
        <w:rPr>
          <w:rtl/>
        </w:rPr>
        <w:t xml:space="preserve">بيلاروسي </w:t>
      </w:r>
      <w:r>
        <w:rPr>
          <w:rtl/>
        </w:rPr>
        <w:t>المولود</w:t>
      </w:r>
      <w:r w:rsidRPr="004C219B">
        <w:rPr>
          <w:rtl/>
        </w:rPr>
        <w:t xml:space="preserve"> في عام 19</w:t>
      </w:r>
      <w:r>
        <w:rPr>
          <w:rtl/>
        </w:rPr>
        <w:t>47</w:t>
      </w:r>
      <w:r w:rsidRPr="004C219B">
        <w:rPr>
          <w:rtl/>
        </w:rPr>
        <w:t xml:space="preserve">. وهو يدَّعي أن الدولة الطرف انتهكت </w:t>
      </w:r>
      <w:r>
        <w:rPr>
          <w:rtl/>
          <w:lang w:val="en-US" w:bidi="ar-YE"/>
        </w:rPr>
        <w:t>ال</w:t>
      </w:r>
      <w:r w:rsidRPr="004C219B">
        <w:rPr>
          <w:rtl/>
        </w:rPr>
        <w:t xml:space="preserve">حقوق </w:t>
      </w:r>
      <w:r>
        <w:rPr>
          <w:rtl/>
        </w:rPr>
        <w:t>التي تكفلها له</w:t>
      </w:r>
      <w:r w:rsidRPr="004C219B">
        <w:rPr>
          <w:rtl/>
        </w:rPr>
        <w:t xml:space="preserve"> المادة 19(2) من العهد. و</w:t>
      </w:r>
      <w:r>
        <w:rPr>
          <w:rtl/>
        </w:rPr>
        <w:t xml:space="preserve">قد </w:t>
      </w:r>
      <w:r w:rsidRPr="004C219B">
        <w:rPr>
          <w:rtl/>
        </w:rPr>
        <w:t>دخل البروتوكول الاختياري حيز النفاذ بالنسبة للدولة الطرف في 30 كانون الأول/ديسمبر 1992. ولا يمثل صاحبَ البلاغ محامٍ.</w:t>
      </w:r>
    </w:p>
    <w:p w14:paraId="5CB91A9A" w14:textId="77777777" w:rsidR="00451D9C" w:rsidRPr="004C219B" w:rsidRDefault="00451D9C" w:rsidP="00451D9C">
      <w:pPr>
        <w:pStyle w:val="H23GA"/>
        <w:rPr>
          <w:lang w:val="ar-SA" w:eastAsia="zh-TW" w:bidi="en-GB"/>
        </w:rPr>
      </w:pPr>
      <w:r w:rsidRPr="004C219B">
        <w:rPr>
          <w:rtl/>
        </w:rPr>
        <w:lastRenderedPageBreak/>
        <w:tab/>
      </w:r>
      <w:r w:rsidRPr="004C219B">
        <w:rPr>
          <w:rtl/>
        </w:rPr>
        <w:tab/>
        <w:t>الوقائع كما عرضها صاحب البلاغ</w:t>
      </w:r>
    </w:p>
    <w:p w14:paraId="443E7DD5" w14:textId="64CC2ADB" w:rsidR="00451D9C" w:rsidRPr="004C219B" w:rsidRDefault="00451D9C" w:rsidP="00451D9C">
      <w:pPr>
        <w:pStyle w:val="SingleTxtGA"/>
        <w:rPr>
          <w:lang w:val="ar-SA" w:eastAsia="zh-TW" w:bidi="en-GB"/>
        </w:rPr>
      </w:pPr>
      <w:r w:rsidRPr="00451D9C">
        <w:rPr>
          <w:spacing w:val="-4"/>
          <w:rtl/>
        </w:rPr>
        <w:t>2-1</w:t>
      </w:r>
      <w:r w:rsidRPr="00451D9C">
        <w:rPr>
          <w:spacing w:val="-4"/>
          <w:rtl/>
        </w:rPr>
        <w:tab/>
        <w:t>صاحب البلاغ عضو في الحزب السياسي "العالم العادل". وكان في يوم 13 آب/أغسطس 2013</w:t>
      </w:r>
      <w:r>
        <w:rPr>
          <w:rtl/>
        </w:rPr>
        <w:t xml:space="preserve"> </w:t>
      </w:r>
      <w:r w:rsidRPr="004C219B">
        <w:rPr>
          <w:rtl/>
        </w:rPr>
        <w:t xml:space="preserve">يوزع منشورات سياسية في مبنى سكني في </w:t>
      </w:r>
      <w:proofErr w:type="spellStart"/>
      <w:r w:rsidRPr="004C219B">
        <w:rPr>
          <w:rtl/>
        </w:rPr>
        <w:t>فيتيبسك</w:t>
      </w:r>
      <w:proofErr w:type="spellEnd"/>
      <w:r w:rsidRPr="004C219B">
        <w:rPr>
          <w:rtl/>
        </w:rPr>
        <w:t>. و</w:t>
      </w:r>
      <w:r w:rsidRPr="00671BDA">
        <w:rPr>
          <w:rtl/>
        </w:rPr>
        <w:t xml:space="preserve">في </w:t>
      </w:r>
      <w:r>
        <w:rPr>
          <w:rtl/>
        </w:rPr>
        <w:t>نحو</w:t>
      </w:r>
      <w:r w:rsidRPr="00671BDA">
        <w:rPr>
          <w:rtl/>
        </w:rPr>
        <w:t xml:space="preserve"> الساعة 12:00 </w:t>
      </w:r>
      <w:r>
        <w:rPr>
          <w:rtl/>
        </w:rPr>
        <w:t xml:space="preserve">من </w:t>
      </w:r>
      <w:r w:rsidRPr="00671BDA">
        <w:rPr>
          <w:rtl/>
        </w:rPr>
        <w:t>ظهر</w:t>
      </w:r>
      <w:r w:rsidRPr="004C219B">
        <w:rPr>
          <w:rtl/>
        </w:rPr>
        <w:t xml:space="preserve"> اليوم نفسه</w:t>
      </w:r>
      <w:r>
        <w:rPr>
          <w:rtl/>
        </w:rPr>
        <w:t xml:space="preserve">، </w:t>
      </w:r>
      <w:r w:rsidRPr="004C219B">
        <w:rPr>
          <w:rtl/>
        </w:rPr>
        <w:t>اعتقله ضباط شرطة لارتكابه جريمة بموجب المادة 22-9(2) من قانون الجرائم الإدارية (انتهاك التشريع المتعلق بوسائط الإعلام الجماهيري).</w:t>
      </w:r>
    </w:p>
    <w:p w14:paraId="2C6E1FD5" w14:textId="77442E73" w:rsidR="00451D9C" w:rsidRPr="004C219B" w:rsidRDefault="00451D9C" w:rsidP="00451D9C">
      <w:pPr>
        <w:pStyle w:val="SingleTxtGA"/>
        <w:rPr>
          <w:lang w:val="ar-SA" w:eastAsia="zh-TW" w:bidi="en-GB"/>
        </w:rPr>
      </w:pPr>
      <w:r w:rsidRPr="004C219B">
        <w:rPr>
          <w:rtl/>
        </w:rPr>
        <w:t>2-2</w:t>
      </w:r>
      <w:r w:rsidRPr="004C219B">
        <w:rPr>
          <w:rtl/>
        </w:rPr>
        <w:tab/>
        <w:t xml:space="preserve">وفي 5 أيلول/سبتمبر 2013، أدانت محكمة </w:t>
      </w:r>
      <w:proofErr w:type="spellStart"/>
      <w:r w:rsidRPr="004C219B">
        <w:rPr>
          <w:rtl/>
        </w:rPr>
        <w:t>أو</w:t>
      </w:r>
      <w:r>
        <w:rPr>
          <w:rtl/>
        </w:rPr>
        <w:t>ك</w:t>
      </w:r>
      <w:r w:rsidRPr="004C219B">
        <w:rPr>
          <w:rtl/>
        </w:rPr>
        <w:t>تيابرسك</w:t>
      </w:r>
      <w:proofErr w:type="spellEnd"/>
      <w:r w:rsidRPr="004C219B">
        <w:rPr>
          <w:rtl/>
        </w:rPr>
        <w:t xml:space="preserve"> المحلية في </w:t>
      </w:r>
      <w:proofErr w:type="spellStart"/>
      <w:r w:rsidRPr="004C219B">
        <w:rPr>
          <w:rtl/>
        </w:rPr>
        <w:t>فيتيبسك</w:t>
      </w:r>
      <w:proofErr w:type="spellEnd"/>
      <w:r w:rsidRPr="004C219B">
        <w:rPr>
          <w:rtl/>
        </w:rPr>
        <w:t xml:space="preserve"> صاحب البلاغ بموجب المادة 22-9(2) من قانون الجرائم الإدارية </w:t>
      </w:r>
      <w:r>
        <w:rPr>
          <w:rtl/>
        </w:rPr>
        <w:t>ل</w:t>
      </w:r>
      <w:r w:rsidRPr="004C219B">
        <w:rPr>
          <w:rtl/>
        </w:rPr>
        <w:t>توزيع</w:t>
      </w:r>
      <w:r>
        <w:rPr>
          <w:rtl/>
        </w:rPr>
        <w:t>ه</w:t>
      </w:r>
      <w:r w:rsidRPr="00FC3D66">
        <w:rPr>
          <w:rtl/>
        </w:rPr>
        <w:t xml:space="preserve"> بصورة غير قانونية</w:t>
      </w:r>
      <w:r w:rsidRPr="004C219B">
        <w:rPr>
          <w:rtl/>
        </w:rPr>
        <w:t xml:space="preserve"> مواد </w:t>
      </w:r>
      <w:r>
        <w:rPr>
          <w:rtl/>
        </w:rPr>
        <w:t>حملة</w:t>
      </w:r>
      <w:r w:rsidRPr="004C219B">
        <w:rPr>
          <w:rtl/>
        </w:rPr>
        <w:t xml:space="preserve"> إعلامية</w:t>
      </w:r>
      <w:r>
        <w:rPr>
          <w:rtl/>
        </w:rPr>
        <w:t xml:space="preserve"> جماهيرية</w:t>
      </w:r>
      <w:r w:rsidRPr="004C219B">
        <w:rPr>
          <w:rtl/>
        </w:rPr>
        <w:t xml:space="preserve"> أجنبية ذات طابع سياسي و</w:t>
      </w:r>
      <w:r>
        <w:rPr>
          <w:rtl/>
        </w:rPr>
        <w:t>حكمت عليه بغرامة قدرها</w:t>
      </w:r>
      <w:r w:rsidRPr="004C219B">
        <w:rPr>
          <w:rtl/>
        </w:rPr>
        <w:t xml:space="preserve"> مليون</w:t>
      </w:r>
      <w:r>
        <w:rPr>
          <w:rtl/>
        </w:rPr>
        <w:t>ا</w:t>
      </w:r>
      <w:r w:rsidRPr="004C219B">
        <w:rPr>
          <w:rtl/>
        </w:rPr>
        <w:t xml:space="preserve"> </w:t>
      </w:r>
      <w:proofErr w:type="gramStart"/>
      <w:r w:rsidRPr="004C219B">
        <w:rPr>
          <w:rtl/>
        </w:rPr>
        <w:t>روبل</w:t>
      </w:r>
      <w:r w:rsidRPr="00451D9C">
        <w:rPr>
          <w:rFonts w:hint="cs"/>
          <w:vertAlign w:val="superscript"/>
          <w:rtl/>
        </w:rPr>
        <w:t>(</w:t>
      </w:r>
      <w:proofErr w:type="gramEnd"/>
      <w:r w:rsidRPr="00451D9C">
        <w:rPr>
          <w:rStyle w:val="FootnoteReference"/>
          <w:szCs w:val="22"/>
          <w:rtl/>
        </w:rPr>
        <w:footnoteReference w:id="3"/>
      </w:r>
      <w:r w:rsidRPr="00451D9C">
        <w:rPr>
          <w:rFonts w:hint="cs"/>
          <w:vertAlign w:val="superscript"/>
          <w:rtl/>
        </w:rPr>
        <w:t>)</w:t>
      </w:r>
      <w:r>
        <w:rPr>
          <w:rFonts w:hint="cs"/>
          <w:rtl/>
        </w:rPr>
        <w:t>.</w:t>
      </w:r>
      <w:r w:rsidRPr="004C219B">
        <w:rPr>
          <w:rtl/>
        </w:rPr>
        <w:t xml:space="preserve"> </w:t>
      </w:r>
      <w:r>
        <w:rPr>
          <w:rtl/>
        </w:rPr>
        <w:t>وقضت</w:t>
      </w:r>
      <w:r w:rsidRPr="004C219B">
        <w:rPr>
          <w:rtl/>
        </w:rPr>
        <w:t xml:space="preserve"> </w:t>
      </w:r>
      <w:r>
        <w:rPr>
          <w:rtl/>
        </w:rPr>
        <w:t>ا</w:t>
      </w:r>
      <w:r w:rsidRPr="004C219B">
        <w:rPr>
          <w:rtl/>
        </w:rPr>
        <w:t>لمحكمة</w:t>
      </w:r>
      <w:r>
        <w:rPr>
          <w:rtl/>
        </w:rPr>
        <w:t xml:space="preserve"> بأنه كان ينبغي</w:t>
      </w:r>
      <w:r>
        <w:rPr>
          <w:rFonts w:hint="cs"/>
          <w:rtl/>
          <w:lang w:bidi="ar-YE"/>
        </w:rPr>
        <w:t xml:space="preserve"> </w:t>
      </w:r>
      <w:r>
        <w:rPr>
          <w:rtl/>
          <w:lang w:bidi="ar-YE"/>
        </w:rPr>
        <w:t>ل</w:t>
      </w:r>
      <w:r w:rsidRPr="004C219B">
        <w:rPr>
          <w:rtl/>
        </w:rPr>
        <w:t xml:space="preserve">شركة الطباعة الأجنبية </w:t>
      </w:r>
      <w:r>
        <w:rPr>
          <w:rtl/>
        </w:rPr>
        <w:t xml:space="preserve">أن تحصل </w:t>
      </w:r>
      <w:r w:rsidRPr="004C219B">
        <w:rPr>
          <w:rtl/>
        </w:rPr>
        <w:t xml:space="preserve">على إذن مسبق من وزارة الإعلام؛ غير أن صاحب البلاغ لم </w:t>
      </w:r>
      <w:r>
        <w:rPr>
          <w:rtl/>
        </w:rPr>
        <w:t>يحصل على</w:t>
      </w:r>
      <w:r w:rsidRPr="004C219B">
        <w:rPr>
          <w:rtl/>
        </w:rPr>
        <w:t xml:space="preserve"> إذن من هذا القبيل.</w:t>
      </w:r>
    </w:p>
    <w:p w14:paraId="17C804D9" w14:textId="4FCBB530" w:rsidR="00451D9C" w:rsidRPr="004C219B" w:rsidRDefault="00451D9C" w:rsidP="00451D9C">
      <w:pPr>
        <w:pStyle w:val="SingleTxtGA"/>
        <w:rPr>
          <w:lang w:val="ar-SA" w:eastAsia="zh-TW" w:bidi="en-GB"/>
        </w:rPr>
      </w:pPr>
      <w:r w:rsidRPr="004C219B">
        <w:rPr>
          <w:rtl/>
        </w:rPr>
        <w:t>2-3</w:t>
      </w:r>
      <w:r w:rsidRPr="004C219B">
        <w:rPr>
          <w:rtl/>
        </w:rPr>
        <w:tab/>
        <w:t xml:space="preserve">وفي 12 أيلول/سبتمبر 2013، استأنف صاحب البلاغ قرار المحكمة المحلية أمام محكمة </w:t>
      </w:r>
      <w:proofErr w:type="spellStart"/>
      <w:r w:rsidRPr="004C219B">
        <w:rPr>
          <w:rtl/>
        </w:rPr>
        <w:t>فيتيبسك</w:t>
      </w:r>
      <w:proofErr w:type="spellEnd"/>
      <w:r w:rsidRPr="004C219B">
        <w:rPr>
          <w:rtl/>
        </w:rPr>
        <w:t xml:space="preserve"> الإقليمية </w:t>
      </w:r>
      <w:r>
        <w:rPr>
          <w:rtl/>
        </w:rPr>
        <w:t>وادعى</w:t>
      </w:r>
      <w:r w:rsidRPr="004C219B">
        <w:rPr>
          <w:rtl/>
        </w:rPr>
        <w:t>، في جملة أمور، أن المنشورات السياسية ط</w:t>
      </w:r>
      <w:r>
        <w:rPr>
          <w:rtl/>
        </w:rPr>
        <w:t>ُ</w:t>
      </w:r>
      <w:r w:rsidRPr="004C219B">
        <w:rPr>
          <w:rtl/>
        </w:rPr>
        <w:t>بعت وفقا</w:t>
      </w:r>
      <w:r>
        <w:rPr>
          <w:rFonts w:hint="cs"/>
          <w:rtl/>
        </w:rPr>
        <w:t>ً</w:t>
      </w:r>
      <w:r w:rsidRPr="004C219B">
        <w:rPr>
          <w:rtl/>
        </w:rPr>
        <w:t xml:space="preserve"> للأنظمة التقنية اللازمة </w:t>
      </w:r>
      <w:r>
        <w:rPr>
          <w:rtl/>
        </w:rPr>
        <w:t>ولم يكن المراد منها سوى</w:t>
      </w:r>
      <w:r w:rsidRPr="004C219B">
        <w:rPr>
          <w:rtl/>
        </w:rPr>
        <w:t xml:space="preserve"> إعلام السكان بمسائل اجتماعية وسياسية </w:t>
      </w:r>
      <w:r>
        <w:rPr>
          <w:rtl/>
        </w:rPr>
        <w:t>مهمة</w:t>
      </w:r>
      <w:r w:rsidRPr="004C219B">
        <w:rPr>
          <w:rtl/>
        </w:rPr>
        <w:t>، وبالتالي لا يمكن اعتبارها منشورات إعلامية</w:t>
      </w:r>
      <w:r>
        <w:rPr>
          <w:rtl/>
        </w:rPr>
        <w:t xml:space="preserve"> جماهيرية</w:t>
      </w:r>
      <w:r w:rsidRPr="004C219B">
        <w:rPr>
          <w:rtl/>
        </w:rPr>
        <w:t xml:space="preserve"> دورية بالمعنى المقصود في المادة 22-9(2) من قانون الجرائم الإدارية. وفي 25 أيلول/سبتمبر 2013، أيدت محكمة </w:t>
      </w:r>
      <w:proofErr w:type="spellStart"/>
      <w:r w:rsidRPr="004C219B">
        <w:rPr>
          <w:rtl/>
        </w:rPr>
        <w:t>فيتيبسك</w:t>
      </w:r>
      <w:proofErr w:type="spellEnd"/>
      <w:r w:rsidRPr="004C219B">
        <w:rPr>
          <w:rtl/>
        </w:rPr>
        <w:t xml:space="preserve"> الإقليمية حكم المحكمة </w:t>
      </w:r>
      <w:r>
        <w:rPr>
          <w:rtl/>
        </w:rPr>
        <w:t>المحلية</w:t>
      </w:r>
      <w:r w:rsidRPr="004C219B">
        <w:rPr>
          <w:rtl/>
        </w:rPr>
        <w:t>.</w:t>
      </w:r>
    </w:p>
    <w:p w14:paraId="6F6EC3D5" w14:textId="77777777" w:rsidR="00451D9C" w:rsidRPr="004C219B" w:rsidRDefault="00451D9C" w:rsidP="00451D9C">
      <w:pPr>
        <w:pStyle w:val="SingleTxtGA"/>
        <w:rPr>
          <w:lang w:val="ar-SA" w:eastAsia="zh-TW" w:bidi="en-GB"/>
        </w:rPr>
      </w:pPr>
      <w:r w:rsidRPr="004C219B">
        <w:rPr>
          <w:rtl/>
        </w:rPr>
        <w:t>2-4</w:t>
      </w:r>
      <w:r w:rsidRPr="004C219B">
        <w:rPr>
          <w:rtl/>
        </w:rPr>
        <w:tab/>
        <w:t xml:space="preserve">وفي 15 تشرين الأول/أكتوبر 2013، </w:t>
      </w:r>
      <w:r>
        <w:rPr>
          <w:rtl/>
        </w:rPr>
        <w:t>قدم</w:t>
      </w:r>
      <w:r w:rsidRPr="004C219B">
        <w:rPr>
          <w:rtl/>
        </w:rPr>
        <w:t xml:space="preserve"> صاحب البلاغ </w:t>
      </w:r>
      <w:r>
        <w:rPr>
          <w:rtl/>
        </w:rPr>
        <w:t xml:space="preserve">التماساً لإجراء </w:t>
      </w:r>
      <w:r w:rsidRPr="004C219B">
        <w:rPr>
          <w:rtl/>
        </w:rPr>
        <w:t xml:space="preserve">مراجعة </w:t>
      </w:r>
      <w:r>
        <w:rPr>
          <w:rtl/>
        </w:rPr>
        <w:t>قضائية إشرافية</w:t>
      </w:r>
      <w:r w:rsidRPr="004C219B">
        <w:rPr>
          <w:rtl/>
        </w:rPr>
        <w:t xml:space="preserve"> إلى رئيس محكمة </w:t>
      </w:r>
      <w:proofErr w:type="spellStart"/>
      <w:r w:rsidRPr="004C219B">
        <w:rPr>
          <w:rtl/>
        </w:rPr>
        <w:t>فيتيبسك</w:t>
      </w:r>
      <w:proofErr w:type="spellEnd"/>
      <w:r w:rsidRPr="004C219B">
        <w:rPr>
          <w:rtl/>
        </w:rPr>
        <w:t xml:space="preserve"> الإقليمية. ورُفِض </w:t>
      </w:r>
      <w:r>
        <w:rPr>
          <w:rtl/>
        </w:rPr>
        <w:t>التماس</w:t>
      </w:r>
      <w:r w:rsidRPr="004C219B">
        <w:rPr>
          <w:rtl/>
        </w:rPr>
        <w:t xml:space="preserve">ه في 15 تشرين الثاني/نوفمبر 2013. وفي 3 شباط/فبراير 2014، رفض </w:t>
      </w:r>
      <w:r>
        <w:rPr>
          <w:rtl/>
        </w:rPr>
        <w:t>التماسه</w:t>
      </w:r>
      <w:r w:rsidRPr="009372FC">
        <w:rPr>
          <w:rtl/>
        </w:rPr>
        <w:t xml:space="preserve"> المؤرخ 11 كانون الأول/ديسمبر 2013</w:t>
      </w:r>
      <w:r>
        <w:rPr>
          <w:rtl/>
        </w:rPr>
        <w:t xml:space="preserve">، المقدم إلى </w:t>
      </w:r>
      <w:r w:rsidRPr="009372FC">
        <w:rPr>
          <w:rtl/>
        </w:rPr>
        <w:t>المحكمة العليا</w:t>
      </w:r>
      <w:r>
        <w:rPr>
          <w:rtl/>
        </w:rPr>
        <w:t xml:space="preserve">، الذي طلب فيه إجراء </w:t>
      </w:r>
      <w:r w:rsidRPr="004C219B">
        <w:rPr>
          <w:rtl/>
        </w:rPr>
        <w:t xml:space="preserve">مراجعة </w:t>
      </w:r>
      <w:r>
        <w:rPr>
          <w:rtl/>
        </w:rPr>
        <w:t>قضائي</w:t>
      </w:r>
      <w:r w:rsidRPr="004C219B">
        <w:rPr>
          <w:rtl/>
        </w:rPr>
        <w:t>ة</w:t>
      </w:r>
      <w:r>
        <w:rPr>
          <w:rtl/>
        </w:rPr>
        <w:t xml:space="preserve"> إشرافية</w:t>
      </w:r>
      <w:r w:rsidRPr="004C219B">
        <w:rPr>
          <w:rtl/>
        </w:rPr>
        <w:t>.</w:t>
      </w:r>
    </w:p>
    <w:p w14:paraId="075BBBC4" w14:textId="77777777" w:rsidR="00451D9C" w:rsidRPr="00451D9C" w:rsidRDefault="00451D9C" w:rsidP="00451D9C">
      <w:pPr>
        <w:pStyle w:val="H23GA"/>
        <w:rPr>
          <w:lang w:val="en-US" w:eastAsia="zh-TW" w:bidi="en-GB"/>
        </w:rPr>
      </w:pPr>
      <w:r w:rsidRPr="004C219B">
        <w:rPr>
          <w:rtl/>
        </w:rPr>
        <w:tab/>
      </w:r>
      <w:r w:rsidRPr="004C219B">
        <w:rPr>
          <w:rtl/>
        </w:rPr>
        <w:tab/>
        <w:t>الشكوى</w:t>
      </w:r>
    </w:p>
    <w:p w14:paraId="653F0B91" w14:textId="77777777" w:rsidR="00451D9C" w:rsidRPr="004C219B" w:rsidRDefault="00451D9C" w:rsidP="00451D9C">
      <w:pPr>
        <w:pStyle w:val="SingleTxtGA"/>
        <w:rPr>
          <w:lang w:val="ar-SA" w:eastAsia="zh-TW" w:bidi="en-GB"/>
        </w:rPr>
      </w:pPr>
      <w:r w:rsidRPr="004C219B">
        <w:rPr>
          <w:rtl/>
        </w:rPr>
        <w:t>3-</w:t>
      </w:r>
      <w:r w:rsidRPr="004C219B">
        <w:rPr>
          <w:rtl/>
        </w:rPr>
        <w:tab/>
        <w:t>يدَّعي</w:t>
      </w:r>
      <w:r>
        <w:rPr>
          <w:rtl/>
        </w:rPr>
        <w:t xml:space="preserve"> صاحب البلاغ</w:t>
      </w:r>
      <w:r w:rsidRPr="004C219B">
        <w:rPr>
          <w:rtl/>
        </w:rPr>
        <w:t xml:space="preserve"> أن الدولة الطرف انتهكت حقوقه </w:t>
      </w:r>
      <w:r>
        <w:rPr>
          <w:rtl/>
        </w:rPr>
        <w:t>التي تكفلها</w:t>
      </w:r>
      <w:r w:rsidRPr="004C219B">
        <w:rPr>
          <w:rtl/>
        </w:rPr>
        <w:t xml:space="preserve"> المادة 19(2) من العهد. </w:t>
      </w:r>
      <w:r>
        <w:rPr>
          <w:rtl/>
        </w:rPr>
        <w:t>وأفاد بأن</w:t>
      </w:r>
      <w:r w:rsidRPr="004C219B">
        <w:rPr>
          <w:rtl/>
        </w:rPr>
        <w:t xml:space="preserve"> المنشورات السياسية التي وزعها</w:t>
      </w:r>
      <w:r>
        <w:rPr>
          <w:rtl/>
        </w:rPr>
        <w:t xml:space="preserve"> لم تتضمن</w:t>
      </w:r>
      <w:r w:rsidRPr="004C219B">
        <w:rPr>
          <w:rtl/>
        </w:rPr>
        <w:t xml:space="preserve"> أي معلومات يمكن أن تحد من حقوق الآخرين وحرياتهم، أو </w:t>
      </w:r>
      <w:r>
        <w:rPr>
          <w:rtl/>
        </w:rPr>
        <w:t xml:space="preserve">أن </w:t>
      </w:r>
      <w:r w:rsidRPr="004C219B">
        <w:rPr>
          <w:rtl/>
        </w:rPr>
        <w:t xml:space="preserve">تهين الآخرين أو تسيء إليهم، أو </w:t>
      </w:r>
      <w:r>
        <w:rPr>
          <w:rtl/>
        </w:rPr>
        <w:t>أن تحط</w:t>
      </w:r>
      <w:r w:rsidRPr="004C219B">
        <w:rPr>
          <w:rtl/>
        </w:rPr>
        <w:t xml:space="preserve"> من السمعة المهنية للمسؤولين العموميين. وعلاوة على ذلك، </w:t>
      </w:r>
      <w:r>
        <w:rPr>
          <w:rtl/>
        </w:rPr>
        <w:t>لم تحرض</w:t>
      </w:r>
      <w:r w:rsidRPr="004C219B">
        <w:rPr>
          <w:rtl/>
        </w:rPr>
        <w:t xml:space="preserve"> المنشورات على الفوضى العامة </w:t>
      </w:r>
      <w:r>
        <w:rPr>
          <w:rtl/>
        </w:rPr>
        <w:t>ولم</w:t>
      </w:r>
      <w:r w:rsidRPr="004C219B">
        <w:rPr>
          <w:rtl/>
        </w:rPr>
        <w:t xml:space="preserve"> تعر</w:t>
      </w:r>
      <w:r>
        <w:rPr>
          <w:rtl/>
        </w:rPr>
        <w:t>ِّ</w:t>
      </w:r>
      <w:r w:rsidRPr="004C219B">
        <w:rPr>
          <w:rtl/>
        </w:rPr>
        <w:t>ض السلامة العامة والصحة</w:t>
      </w:r>
      <w:r>
        <w:rPr>
          <w:rtl/>
        </w:rPr>
        <w:t xml:space="preserve"> العامة</w:t>
      </w:r>
      <w:r w:rsidRPr="004C219B">
        <w:rPr>
          <w:rtl/>
        </w:rPr>
        <w:t xml:space="preserve"> وا</w:t>
      </w:r>
      <w:r>
        <w:rPr>
          <w:rtl/>
        </w:rPr>
        <w:t>لآداب العامة</w:t>
      </w:r>
      <w:r w:rsidRPr="004C219B">
        <w:rPr>
          <w:rtl/>
        </w:rPr>
        <w:t xml:space="preserve"> للخطر. </w:t>
      </w:r>
      <w:r>
        <w:rPr>
          <w:rtl/>
        </w:rPr>
        <w:t>وأدى تغريمه بسبب</w:t>
      </w:r>
      <w:r w:rsidRPr="004C219B">
        <w:rPr>
          <w:rtl/>
        </w:rPr>
        <w:t xml:space="preserve"> توزيع</w:t>
      </w:r>
      <w:r>
        <w:rPr>
          <w:rtl/>
        </w:rPr>
        <w:t>ه</w:t>
      </w:r>
      <w:r w:rsidRPr="004C219B">
        <w:rPr>
          <w:rtl/>
        </w:rPr>
        <w:t xml:space="preserve"> منشورات سياسية </w:t>
      </w:r>
      <w:r>
        <w:rPr>
          <w:rtl/>
        </w:rPr>
        <w:t>إلى حرمانه</w:t>
      </w:r>
      <w:r w:rsidRPr="004C219B">
        <w:rPr>
          <w:rtl/>
        </w:rPr>
        <w:t xml:space="preserve"> من حقه في التماس المعلومات والأفكار بجميع أنواعها</w:t>
      </w:r>
      <w:r>
        <w:rPr>
          <w:rtl/>
        </w:rPr>
        <w:t xml:space="preserve"> </w:t>
      </w:r>
      <w:r w:rsidRPr="004C219B">
        <w:rPr>
          <w:rtl/>
        </w:rPr>
        <w:t>و</w:t>
      </w:r>
      <w:r>
        <w:rPr>
          <w:rtl/>
        </w:rPr>
        <w:t xml:space="preserve">في </w:t>
      </w:r>
      <w:r w:rsidRPr="004C219B">
        <w:rPr>
          <w:rtl/>
        </w:rPr>
        <w:t>تلقي</w:t>
      </w:r>
      <w:r>
        <w:rPr>
          <w:rtl/>
        </w:rPr>
        <w:t>ها</w:t>
      </w:r>
      <w:r w:rsidRPr="004C219B">
        <w:rPr>
          <w:rtl/>
        </w:rPr>
        <w:t xml:space="preserve"> ونقل</w:t>
      </w:r>
      <w:r>
        <w:rPr>
          <w:rtl/>
        </w:rPr>
        <w:t>ها</w:t>
      </w:r>
      <w:r w:rsidRPr="004C219B">
        <w:rPr>
          <w:rtl/>
        </w:rPr>
        <w:t>.</w:t>
      </w:r>
    </w:p>
    <w:p w14:paraId="3EABB0D0" w14:textId="77777777" w:rsidR="00451D9C" w:rsidRPr="004C219B" w:rsidRDefault="00451D9C" w:rsidP="00451D9C">
      <w:pPr>
        <w:pStyle w:val="H23GA"/>
        <w:rPr>
          <w:lang w:val="ar-SA" w:eastAsia="zh-TW" w:bidi="en-GB"/>
        </w:rPr>
      </w:pPr>
      <w:r w:rsidRPr="004C219B">
        <w:rPr>
          <w:rtl/>
        </w:rPr>
        <w:tab/>
      </w:r>
      <w:r w:rsidRPr="004C219B">
        <w:rPr>
          <w:rtl/>
        </w:rPr>
        <w:tab/>
        <w:t>ملاحظات الدولة الطرف بشأن مقبولية البلاغ وأسسه الموضوعية</w:t>
      </w:r>
    </w:p>
    <w:p w14:paraId="5BAAEE0F" w14:textId="04E0AB72" w:rsidR="00451D9C" w:rsidRPr="004C219B" w:rsidRDefault="00451D9C" w:rsidP="00451D9C">
      <w:pPr>
        <w:pStyle w:val="SingleTxtGA"/>
        <w:rPr>
          <w:lang w:val="ar-SA" w:eastAsia="zh-TW" w:bidi="en-GB"/>
        </w:rPr>
      </w:pPr>
      <w:r w:rsidRPr="004C219B">
        <w:rPr>
          <w:rtl/>
        </w:rPr>
        <w:t>4-1</w:t>
      </w:r>
      <w:r w:rsidRPr="004C219B">
        <w:rPr>
          <w:rtl/>
        </w:rPr>
        <w:tab/>
      </w:r>
      <w:r w:rsidRPr="00B16DFB">
        <w:rPr>
          <w:rtl/>
        </w:rPr>
        <w:t>قدمت الدولة الطرف</w:t>
      </w:r>
      <w:r>
        <w:rPr>
          <w:rtl/>
        </w:rPr>
        <w:t xml:space="preserve">، </w:t>
      </w:r>
      <w:r w:rsidRPr="004C219B">
        <w:rPr>
          <w:rtl/>
        </w:rPr>
        <w:t xml:space="preserve">في مذكرة شفوية مؤرخة 23 كانون الثاني/يناير 2017، ملاحظاتها </w:t>
      </w:r>
      <w:r>
        <w:rPr>
          <w:rtl/>
        </w:rPr>
        <w:t>بشأن</w:t>
      </w:r>
      <w:r w:rsidRPr="004C219B">
        <w:rPr>
          <w:rtl/>
        </w:rPr>
        <w:t xml:space="preserve"> المقبولية والأسس الموضوعية. وتلاحظ</w:t>
      </w:r>
      <w:r>
        <w:rPr>
          <w:rtl/>
        </w:rPr>
        <w:t xml:space="preserve"> الدولة الطرف في ملاحظاتها</w:t>
      </w:r>
      <w:r w:rsidRPr="004C219B">
        <w:rPr>
          <w:rtl/>
        </w:rPr>
        <w:t xml:space="preserve"> أن صاحب البلاغ لم يستأنف قرار المحكمة العليا </w:t>
      </w:r>
      <w:r>
        <w:rPr>
          <w:rtl/>
        </w:rPr>
        <w:t>الصادر في</w:t>
      </w:r>
      <w:r w:rsidRPr="004C219B">
        <w:rPr>
          <w:rtl/>
        </w:rPr>
        <w:t xml:space="preserve"> 3 شباط/فبراير 2014، سواء أمام مكتب المدعي العام أو أمام رئيس المحكمة العليا بموجب إجراء </w:t>
      </w:r>
      <w:bookmarkStart w:id="0" w:name="_Hlk71840242"/>
      <w:r w:rsidRPr="004C219B">
        <w:rPr>
          <w:rtl/>
        </w:rPr>
        <w:t xml:space="preserve">المراجعة </w:t>
      </w:r>
      <w:r>
        <w:rPr>
          <w:rtl/>
        </w:rPr>
        <w:t>القضائية</w:t>
      </w:r>
      <w:bookmarkEnd w:id="0"/>
      <w:r>
        <w:rPr>
          <w:rtl/>
        </w:rPr>
        <w:t xml:space="preserve"> الإشرافية</w:t>
      </w:r>
      <w:r w:rsidRPr="004C219B">
        <w:rPr>
          <w:rtl/>
        </w:rPr>
        <w:t xml:space="preserve">. </w:t>
      </w:r>
      <w:r>
        <w:rPr>
          <w:rtl/>
        </w:rPr>
        <w:t>وانقضت</w:t>
      </w:r>
      <w:r w:rsidRPr="004C219B">
        <w:rPr>
          <w:rtl/>
        </w:rPr>
        <w:t xml:space="preserve"> المهلة المحددة لتقديم طلب </w:t>
      </w:r>
      <w:r w:rsidRPr="003A2F6F">
        <w:rPr>
          <w:rtl/>
        </w:rPr>
        <w:t xml:space="preserve">المراجعة القضائية </w:t>
      </w:r>
      <w:r>
        <w:rPr>
          <w:rtl/>
        </w:rPr>
        <w:t xml:space="preserve">الإشرافية </w:t>
      </w:r>
      <w:r w:rsidRPr="004C219B">
        <w:rPr>
          <w:rtl/>
        </w:rPr>
        <w:t>إلى مكتب المدعي العام في 26 آذار/مارس 2014 ولم يعد سبيل الانتصاف</w:t>
      </w:r>
      <w:r>
        <w:rPr>
          <w:rtl/>
        </w:rPr>
        <w:t xml:space="preserve"> هذا</w:t>
      </w:r>
      <w:r w:rsidRPr="004C219B">
        <w:rPr>
          <w:rtl/>
        </w:rPr>
        <w:t xml:space="preserve"> متاحا</w:t>
      </w:r>
      <w:r>
        <w:rPr>
          <w:rFonts w:hint="cs"/>
          <w:rtl/>
        </w:rPr>
        <w:t>ً</w:t>
      </w:r>
      <w:r w:rsidRPr="004C219B">
        <w:rPr>
          <w:rtl/>
        </w:rPr>
        <w:t xml:space="preserve"> لصاحب البلاغ. غير أن</w:t>
      </w:r>
      <w:r>
        <w:rPr>
          <w:rtl/>
        </w:rPr>
        <w:t xml:space="preserve">ه </w:t>
      </w:r>
      <w:r w:rsidRPr="004C219B">
        <w:rPr>
          <w:rtl/>
        </w:rPr>
        <w:t>كان بإمكان</w:t>
      </w:r>
      <w:r>
        <w:rPr>
          <w:rtl/>
        </w:rPr>
        <w:t xml:space="preserve"> صاحب البلاغ</w:t>
      </w:r>
      <w:r w:rsidRPr="004C219B">
        <w:rPr>
          <w:rtl/>
        </w:rPr>
        <w:t xml:space="preserve"> أن </w:t>
      </w:r>
      <w:r>
        <w:rPr>
          <w:rtl/>
        </w:rPr>
        <w:t>يلتمس من</w:t>
      </w:r>
      <w:r w:rsidRPr="00DF7C2C">
        <w:rPr>
          <w:rtl/>
        </w:rPr>
        <w:t xml:space="preserve"> رئيس المحكمة العليا</w:t>
      </w:r>
      <w:r w:rsidRPr="004C219B">
        <w:rPr>
          <w:rtl/>
        </w:rPr>
        <w:t xml:space="preserve"> </w:t>
      </w:r>
      <w:r>
        <w:rPr>
          <w:rtl/>
        </w:rPr>
        <w:t>إجراء مراجعة قضائية إشرافية</w:t>
      </w:r>
      <w:r w:rsidRPr="004C219B">
        <w:rPr>
          <w:rtl/>
        </w:rPr>
        <w:t xml:space="preserve">، </w:t>
      </w:r>
      <w:r>
        <w:rPr>
          <w:rtl/>
        </w:rPr>
        <w:t>وهو التماس غير مقيد زمنيا</w:t>
      </w:r>
      <w:r>
        <w:rPr>
          <w:rFonts w:hint="cs"/>
          <w:rtl/>
        </w:rPr>
        <w:t>ً</w:t>
      </w:r>
      <w:r>
        <w:rPr>
          <w:rtl/>
        </w:rPr>
        <w:t>.</w:t>
      </w:r>
    </w:p>
    <w:p w14:paraId="477B8EC3" w14:textId="77777777" w:rsidR="00451D9C" w:rsidRPr="00451D9C" w:rsidRDefault="00451D9C" w:rsidP="00451D9C">
      <w:pPr>
        <w:pStyle w:val="SingleTxtGA"/>
        <w:rPr>
          <w:spacing w:val="-4"/>
          <w:lang w:val="ar-SA" w:eastAsia="zh-TW" w:bidi="en-GB"/>
        </w:rPr>
      </w:pPr>
      <w:r w:rsidRPr="00451D9C">
        <w:rPr>
          <w:spacing w:val="-4"/>
          <w:rtl/>
        </w:rPr>
        <w:t>4-2</w:t>
      </w:r>
      <w:r w:rsidRPr="00451D9C">
        <w:rPr>
          <w:spacing w:val="-4"/>
          <w:rtl/>
        </w:rPr>
        <w:tab/>
        <w:t>وتدفع الدولة الطرف بالقول إنه نظرا لعدم استنفاد صاحب البلاغ سبل الانتصاف المحلية، ينبغي اعتبار الشكوى إساءةً لاستعمال الحق في تقديم بلاغ فردي بموجب المادة 3 من البروتوكول الاختياري.</w:t>
      </w:r>
    </w:p>
    <w:p w14:paraId="6A20BC75" w14:textId="77777777" w:rsidR="00451D9C" w:rsidRPr="004C219B" w:rsidRDefault="00451D9C" w:rsidP="00451D9C">
      <w:pPr>
        <w:pStyle w:val="H23G"/>
        <w:bidi/>
        <w:textDirection w:val="tbRlV"/>
        <w:rPr>
          <w:rFonts w:ascii="Simplified Arabic" w:hAnsi="Simplified Arabic"/>
          <w:sz w:val="22"/>
          <w:szCs w:val="22"/>
          <w:lang w:val="ar-SA" w:eastAsia="zh-TW" w:bidi="en-GB"/>
        </w:rPr>
      </w:pPr>
      <w:r w:rsidRPr="004C219B">
        <w:rPr>
          <w:rFonts w:ascii="Simplified Arabic" w:hAnsi="Simplified Arabic"/>
          <w:sz w:val="22"/>
          <w:szCs w:val="22"/>
          <w:rtl/>
        </w:rPr>
        <w:tab/>
      </w:r>
      <w:r w:rsidRPr="004C219B">
        <w:rPr>
          <w:rFonts w:ascii="Simplified Arabic" w:hAnsi="Simplified Arabic"/>
          <w:sz w:val="22"/>
          <w:szCs w:val="22"/>
          <w:rtl/>
        </w:rPr>
        <w:tab/>
      </w:r>
      <w:r w:rsidRPr="00A2255A">
        <w:rPr>
          <w:rFonts w:ascii="Simplified Arabic" w:hAnsi="Simplified Arabic"/>
          <w:b w:val="0"/>
          <w:bCs/>
          <w:sz w:val="22"/>
          <w:szCs w:val="22"/>
          <w:rtl/>
        </w:rPr>
        <w:t>تعليقات صاحب البلاغ على</w:t>
      </w:r>
      <w:r>
        <w:rPr>
          <w:rFonts w:ascii="Simplified Arabic" w:hAnsi="Simplified Arabic"/>
          <w:sz w:val="22"/>
          <w:szCs w:val="22"/>
          <w:rtl/>
        </w:rPr>
        <w:t xml:space="preserve"> </w:t>
      </w:r>
      <w:r w:rsidRPr="004C219B">
        <w:rPr>
          <w:rFonts w:ascii="Simplified Arabic" w:hAnsi="Simplified Arabic"/>
          <w:bCs/>
          <w:sz w:val="22"/>
          <w:szCs w:val="22"/>
          <w:rtl/>
        </w:rPr>
        <w:t>ملاحظات الدولة الطرف بشأن مقبولية البلاغ وأسسه الموضوعية</w:t>
      </w:r>
    </w:p>
    <w:p w14:paraId="04EACABF" w14:textId="3A1DF77A" w:rsidR="00451D9C" w:rsidRPr="00C453F5" w:rsidRDefault="00451D9C" w:rsidP="00451D9C">
      <w:pPr>
        <w:pStyle w:val="SingleTxtGA"/>
        <w:rPr>
          <w:lang w:val="en-US" w:eastAsia="zh-TW" w:bidi="en-GB"/>
        </w:rPr>
      </w:pPr>
      <w:r w:rsidRPr="004C219B">
        <w:rPr>
          <w:rtl/>
        </w:rPr>
        <w:t>5-1</w:t>
      </w:r>
      <w:r w:rsidRPr="004C219B">
        <w:rPr>
          <w:rtl/>
        </w:rPr>
        <w:tab/>
        <w:t xml:space="preserve">في 14 آب/أغسطس 2017، قدم صاحب البلاغ تعليقاته على ملاحظات الدولة الطرف، </w:t>
      </w:r>
      <w:r>
        <w:rPr>
          <w:rtl/>
        </w:rPr>
        <w:t>كرر فيها</w:t>
      </w:r>
      <w:r w:rsidRPr="004C219B">
        <w:rPr>
          <w:rtl/>
        </w:rPr>
        <w:t xml:space="preserve"> ادعاءاته أن الدولة الطرف انتهكت حقه في نقل المعلومات بموجب المادة 19(2) من العهد دون أي أسباب مشروعة.</w:t>
      </w:r>
    </w:p>
    <w:p w14:paraId="3E70A6A0" w14:textId="77777777" w:rsidR="00451D9C" w:rsidRPr="004C219B" w:rsidRDefault="00451D9C" w:rsidP="00451D9C">
      <w:pPr>
        <w:pStyle w:val="SingleTxtGA"/>
        <w:rPr>
          <w:lang w:val="ar-SA" w:eastAsia="zh-TW" w:bidi="en-GB"/>
        </w:rPr>
      </w:pPr>
      <w:r w:rsidRPr="004C219B">
        <w:rPr>
          <w:rtl/>
        </w:rPr>
        <w:t>5-2</w:t>
      </w:r>
      <w:r w:rsidRPr="004C219B">
        <w:rPr>
          <w:rtl/>
        </w:rPr>
        <w:tab/>
        <w:t>و</w:t>
      </w:r>
      <w:r>
        <w:rPr>
          <w:rtl/>
        </w:rPr>
        <w:t>ي</w:t>
      </w:r>
      <w:r w:rsidRPr="004C219B">
        <w:rPr>
          <w:rtl/>
        </w:rPr>
        <w:t xml:space="preserve">دعي صاحب البلاغ </w:t>
      </w:r>
      <w:r>
        <w:rPr>
          <w:rtl/>
        </w:rPr>
        <w:t xml:space="preserve">أنه </w:t>
      </w:r>
      <w:r w:rsidRPr="004C219B">
        <w:rPr>
          <w:rtl/>
        </w:rPr>
        <w:t>استنف</w:t>
      </w:r>
      <w:r>
        <w:rPr>
          <w:rtl/>
        </w:rPr>
        <w:t>د</w:t>
      </w:r>
      <w:r w:rsidRPr="004C219B">
        <w:rPr>
          <w:rtl/>
        </w:rPr>
        <w:t xml:space="preserve"> جميع سبل الانتصاف ا</w:t>
      </w:r>
      <w:r>
        <w:rPr>
          <w:rtl/>
        </w:rPr>
        <w:t>لمحلي</w:t>
      </w:r>
      <w:r w:rsidRPr="004C219B">
        <w:rPr>
          <w:rtl/>
        </w:rPr>
        <w:t xml:space="preserve">ة المتاحة له. </w:t>
      </w:r>
      <w:r>
        <w:rPr>
          <w:rtl/>
        </w:rPr>
        <w:t>ويفيد بأن تقديم</w:t>
      </w:r>
      <w:r w:rsidRPr="004C219B">
        <w:rPr>
          <w:rtl/>
        </w:rPr>
        <w:t xml:space="preserve"> طلب </w:t>
      </w:r>
      <w:r>
        <w:rPr>
          <w:rtl/>
        </w:rPr>
        <w:t xml:space="preserve">لإجراء </w:t>
      </w:r>
      <w:r w:rsidRPr="004C219B">
        <w:rPr>
          <w:rtl/>
        </w:rPr>
        <w:t xml:space="preserve">مراجعة </w:t>
      </w:r>
      <w:r>
        <w:rPr>
          <w:rtl/>
        </w:rPr>
        <w:t>قضائية إشرافية</w:t>
      </w:r>
      <w:r w:rsidRPr="004C219B">
        <w:rPr>
          <w:rtl/>
        </w:rPr>
        <w:t xml:space="preserve"> إلى مكتب المدعي العام ليس سبيل انتصاف فعالا</w:t>
      </w:r>
      <w:r>
        <w:rPr>
          <w:rtl/>
        </w:rPr>
        <w:t>ً</w:t>
      </w:r>
      <w:r w:rsidRPr="004C219B">
        <w:rPr>
          <w:rtl/>
        </w:rPr>
        <w:t>.</w:t>
      </w:r>
    </w:p>
    <w:p w14:paraId="02B52C88" w14:textId="2AABCC9A" w:rsidR="00451D9C" w:rsidRPr="004C219B" w:rsidRDefault="00451D9C" w:rsidP="00451D9C">
      <w:pPr>
        <w:pStyle w:val="H23GA"/>
        <w:rPr>
          <w:lang w:val="ar-SA" w:eastAsia="zh-TW" w:bidi="en-GB"/>
        </w:rPr>
      </w:pPr>
      <w:r w:rsidRPr="004C219B">
        <w:rPr>
          <w:rtl/>
        </w:rPr>
        <w:tab/>
      </w:r>
      <w:r w:rsidRPr="004C219B">
        <w:rPr>
          <w:rtl/>
        </w:rPr>
        <w:tab/>
        <w:t>ال</w:t>
      </w:r>
      <w:r>
        <w:rPr>
          <w:rtl/>
        </w:rPr>
        <w:t>مسائل</w:t>
      </w:r>
      <w:r w:rsidRPr="004C219B">
        <w:rPr>
          <w:rtl/>
        </w:rPr>
        <w:t xml:space="preserve"> والإجراءات المعروضة على اللجنة</w:t>
      </w:r>
    </w:p>
    <w:p w14:paraId="7B7A202A" w14:textId="77777777" w:rsidR="00451D9C" w:rsidRPr="004C219B" w:rsidRDefault="00451D9C" w:rsidP="00451D9C">
      <w:pPr>
        <w:pStyle w:val="H4GA"/>
        <w:rPr>
          <w:lang w:val="ar-SA" w:eastAsia="zh-TW" w:bidi="en-GB"/>
        </w:rPr>
      </w:pPr>
      <w:r w:rsidRPr="004C219B">
        <w:rPr>
          <w:rtl/>
        </w:rPr>
        <w:tab/>
      </w:r>
      <w:r w:rsidRPr="004C219B">
        <w:rPr>
          <w:rtl/>
        </w:rPr>
        <w:tab/>
        <w:t>النظر في المقبولية</w:t>
      </w:r>
    </w:p>
    <w:p w14:paraId="1730E565" w14:textId="77777777" w:rsidR="00451D9C" w:rsidRPr="004C219B" w:rsidRDefault="00451D9C" w:rsidP="002C0D79">
      <w:pPr>
        <w:pStyle w:val="SingleTxtGA"/>
        <w:spacing w:line="340" w:lineRule="exact"/>
        <w:rPr>
          <w:bCs/>
          <w:lang w:val="ar-SA" w:eastAsia="zh-TW" w:bidi="en-GB"/>
        </w:rPr>
      </w:pPr>
      <w:r w:rsidRPr="004C219B">
        <w:rPr>
          <w:rtl/>
        </w:rPr>
        <w:t>6-1</w:t>
      </w:r>
      <w:r w:rsidRPr="004C219B">
        <w:rPr>
          <w:rtl/>
        </w:rPr>
        <w:tab/>
        <w:t>قبل النظر في أي ادعاء يرد في بلاغ ما، يجب على اللجنة أن تقرر، وفقاً للمادة 97 من نظامها الداخلي، ما إذا كان البلاغ مقبولاً أم لا بموجب البروتوكول الاختياري.</w:t>
      </w:r>
    </w:p>
    <w:p w14:paraId="49DD2118" w14:textId="77777777" w:rsidR="00451D9C" w:rsidRPr="004C219B" w:rsidRDefault="00451D9C" w:rsidP="002C0D79">
      <w:pPr>
        <w:pStyle w:val="SingleTxtGA"/>
        <w:spacing w:line="340" w:lineRule="exact"/>
        <w:rPr>
          <w:lang w:val="ar-SA" w:eastAsia="zh-TW" w:bidi="en-GB"/>
        </w:rPr>
      </w:pPr>
      <w:r w:rsidRPr="004C219B">
        <w:rPr>
          <w:rtl/>
        </w:rPr>
        <w:t>6-2</w:t>
      </w:r>
      <w:r w:rsidRPr="004C219B">
        <w:rPr>
          <w:rtl/>
        </w:rPr>
        <w:tab/>
        <w:t>وقد تأكدت اللجنة، وفقاً لما تنص عليه المادة 5(2)(أ) من البروتوكول الاختياري، من أن المسألة نفسها ليست قيد النظر في إطار إجراء آخر من إجراءات التحقيق الدولي أو التسوية الدولية.</w:t>
      </w:r>
    </w:p>
    <w:p w14:paraId="434B618C" w14:textId="75656F9F" w:rsidR="00451D9C" w:rsidRPr="004C219B" w:rsidRDefault="00451D9C" w:rsidP="002C0D79">
      <w:pPr>
        <w:pStyle w:val="SingleTxtGA"/>
        <w:spacing w:line="340" w:lineRule="exact"/>
        <w:rPr>
          <w:lang w:val="ar-SA" w:eastAsia="zh-TW" w:bidi="en-GB"/>
        </w:rPr>
      </w:pPr>
      <w:r w:rsidRPr="004C219B">
        <w:rPr>
          <w:rtl/>
        </w:rPr>
        <w:t>6-3</w:t>
      </w:r>
      <w:r w:rsidRPr="004C219B">
        <w:rPr>
          <w:rtl/>
        </w:rPr>
        <w:tab/>
        <w:t xml:space="preserve">وتحيط اللجنة علماً بملاحظة الدولة الطرف أن صاحب البلاغ لم يستنفد سبل الانتصاف المحلية لأنه لم </w:t>
      </w:r>
      <w:r>
        <w:rPr>
          <w:rtl/>
        </w:rPr>
        <w:t>يقدم طلباً لإجراء مراجعة قضائية إشرافية إلى رئيس المحكمة العليا.</w:t>
      </w:r>
      <w:r w:rsidRPr="004C219B">
        <w:rPr>
          <w:rtl/>
        </w:rPr>
        <w:t xml:space="preserve"> وتحيط اللجنة علماً </w:t>
      </w:r>
      <w:r>
        <w:rPr>
          <w:rtl/>
        </w:rPr>
        <w:t>أيضاً باحتجاج</w:t>
      </w:r>
      <w:r w:rsidRPr="004C219B">
        <w:rPr>
          <w:rtl/>
        </w:rPr>
        <w:t xml:space="preserve"> صاحب البلاغ </w:t>
      </w:r>
      <w:r>
        <w:rPr>
          <w:rtl/>
        </w:rPr>
        <w:t>بأنه استنفد</w:t>
      </w:r>
      <w:r w:rsidRPr="004C219B">
        <w:rPr>
          <w:rtl/>
        </w:rPr>
        <w:t xml:space="preserve"> جميع سبل الانتصاف المحلية المتاحة له. وتذكّر اللجنة ب</w:t>
      </w:r>
      <w:r>
        <w:rPr>
          <w:rtl/>
        </w:rPr>
        <w:t>قراراتها السابقة</w:t>
      </w:r>
      <w:r w:rsidRPr="004C219B">
        <w:rPr>
          <w:rtl/>
        </w:rPr>
        <w:t xml:space="preserve"> التي </w:t>
      </w:r>
      <w:r>
        <w:rPr>
          <w:rtl/>
        </w:rPr>
        <w:t>قررت فيها</w:t>
      </w:r>
      <w:r w:rsidRPr="004C219B">
        <w:rPr>
          <w:rtl/>
        </w:rPr>
        <w:t xml:space="preserve"> أن تقديم طلب لإجراء مراجعة قضائية </w:t>
      </w:r>
      <w:r>
        <w:rPr>
          <w:rtl/>
        </w:rPr>
        <w:t>إشرافية إلى</w:t>
      </w:r>
      <w:r w:rsidRPr="004C219B">
        <w:rPr>
          <w:rtl/>
        </w:rPr>
        <w:t xml:space="preserve"> رئيس محكمة </w:t>
      </w:r>
      <w:r>
        <w:rPr>
          <w:rtl/>
        </w:rPr>
        <w:t>في</w:t>
      </w:r>
      <w:r w:rsidRPr="004C219B">
        <w:rPr>
          <w:rtl/>
        </w:rPr>
        <w:t xml:space="preserve"> قرارات محاكم أصبحت نافذة وتعتمد على </w:t>
      </w:r>
      <w:r>
        <w:rPr>
          <w:rtl/>
        </w:rPr>
        <w:t>ال</w:t>
      </w:r>
      <w:r w:rsidRPr="004C219B">
        <w:rPr>
          <w:rtl/>
        </w:rPr>
        <w:t>سلطة ا</w:t>
      </w:r>
      <w:r>
        <w:rPr>
          <w:rtl/>
        </w:rPr>
        <w:t>لتقديرية ل</w:t>
      </w:r>
      <w:r w:rsidRPr="004C219B">
        <w:rPr>
          <w:rtl/>
        </w:rPr>
        <w:t>لقاضي يمثل سبيل انتصاف استثنائياً وأن</w:t>
      </w:r>
      <w:r>
        <w:rPr>
          <w:rtl/>
        </w:rPr>
        <w:t>ه يجب على</w:t>
      </w:r>
      <w:r w:rsidRPr="004C219B">
        <w:rPr>
          <w:rtl/>
        </w:rPr>
        <w:t xml:space="preserve"> الدولة الطرف أن </w:t>
      </w:r>
      <w:r>
        <w:rPr>
          <w:rtl/>
        </w:rPr>
        <w:t>تثبت</w:t>
      </w:r>
      <w:r w:rsidRPr="004C219B">
        <w:rPr>
          <w:rtl/>
        </w:rPr>
        <w:t xml:space="preserve"> </w:t>
      </w:r>
      <w:r>
        <w:rPr>
          <w:rtl/>
        </w:rPr>
        <w:t>وجود احتمال معقول</w:t>
      </w:r>
      <w:r w:rsidRPr="004C219B">
        <w:rPr>
          <w:rtl/>
        </w:rPr>
        <w:t xml:space="preserve"> أن توفر هذه الطلبات سبيل انتصاف فعالاً في ظروف </w:t>
      </w:r>
      <w:proofErr w:type="gramStart"/>
      <w:r w:rsidRPr="004C219B">
        <w:rPr>
          <w:rtl/>
        </w:rPr>
        <w:t>القضية</w:t>
      </w:r>
      <w:r w:rsidRPr="00451D9C">
        <w:rPr>
          <w:rFonts w:hint="cs"/>
          <w:vertAlign w:val="superscript"/>
          <w:rtl/>
        </w:rPr>
        <w:t>(</w:t>
      </w:r>
      <w:proofErr w:type="gramEnd"/>
      <w:r w:rsidRPr="00451D9C">
        <w:rPr>
          <w:vertAlign w:val="superscript"/>
          <w:rtl/>
        </w:rPr>
        <w:footnoteReference w:id="4"/>
      </w:r>
      <w:r w:rsidRPr="00451D9C">
        <w:rPr>
          <w:rFonts w:hint="cs"/>
          <w:vertAlign w:val="superscript"/>
          <w:rtl/>
        </w:rPr>
        <w:t>)</w:t>
      </w:r>
      <w:r>
        <w:rPr>
          <w:rFonts w:hint="cs"/>
          <w:rtl/>
        </w:rPr>
        <w:t>.</w:t>
      </w:r>
      <w:r w:rsidRPr="004C219B">
        <w:rPr>
          <w:rtl/>
        </w:rPr>
        <w:t xml:space="preserve"> </w:t>
      </w:r>
      <w:r>
        <w:rPr>
          <w:rtl/>
        </w:rPr>
        <w:t xml:space="preserve">ونظراً لأن </w:t>
      </w:r>
      <w:r w:rsidRPr="004C219B">
        <w:rPr>
          <w:rtl/>
        </w:rPr>
        <w:t xml:space="preserve">الدولة الطرف لم </w:t>
      </w:r>
      <w:r>
        <w:rPr>
          <w:rtl/>
        </w:rPr>
        <w:t>تقدم معلومات مفصلة</w:t>
      </w:r>
      <w:r w:rsidRPr="004C219B">
        <w:rPr>
          <w:rtl/>
        </w:rPr>
        <w:t xml:space="preserve"> في هذا الصدد، ترى اللجنة أن المادة 5(2)(ب) من البروتوكول الاختياري لا تمنعها من النظر في البلاغ.</w:t>
      </w:r>
    </w:p>
    <w:p w14:paraId="3DEA0ACE" w14:textId="4BB00F30" w:rsidR="00451D9C" w:rsidRPr="00451D9C" w:rsidRDefault="00451D9C" w:rsidP="002C0D79">
      <w:pPr>
        <w:pStyle w:val="SingleTxtGA"/>
        <w:spacing w:line="340" w:lineRule="exact"/>
        <w:rPr>
          <w:lang w:val="en-US" w:eastAsia="zh-TW" w:bidi="en-GB"/>
        </w:rPr>
      </w:pPr>
      <w:r w:rsidRPr="004C219B">
        <w:rPr>
          <w:rtl/>
        </w:rPr>
        <w:t>6-4</w:t>
      </w:r>
      <w:r w:rsidRPr="004C219B">
        <w:rPr>
          <w:rtl/>
        </w:rPr>
        <w:tab/>
        <w:t>وترى اللجنة أن صاحب البلاغ قد</w:t>
      </w:r>
      <w:r>
        <w:rPr>
          <w:rtl/>
        </w:rPr>
        <w:t xml:space="preserve"> أثبت ب</w:t>
      </w:r>
      <w:r w:rsidRPr="004C219B">
        <w:rPr>
          <w:rtl/>
        </w:rPr>
        <w:t>أدلة كافية ادعاءات</w:t>
      </w:r>
      <w:r>
        <w:rPr>
          <w:rtl/>
        </w:rPr>
        <w:t>ه الأخرى التي تثير قضايا</w:t>
      </w:r>
      <w:r w:rsidRPr="004C219B">
        <w:rPr>
          <w:rtl/>
        </w:rPr>
        <w:t xml:space="preserve"> بموجب المادة </w:t>
      </w:r>
      <w:r>
        <w:rPr>
          <w:rtl/>
        </w:rPr>
        <w:t>19(2)</w:t>
      </w:r>
      <w:r w:rsidRPr="004C219B">
        <w:rPr>
          <w:rtl/>
        </w:rPr>
        <w:t xml:space="preserve"> من العهد لأغراض المقبولية، وتشرع بناء</w:t>
      </w:r>
      <w:r>
        <w:rPr>
          <w:rtl/>
        </w:rPr>
        <w:t>ً</w:t>
      </w:r>
      <w:r w:rsidRPr="004C219B">
        <w:rPr>
          <w:rtl/>
        </w:rPr>
        <w:t xml:space="preserve"> على ذلك في النظر في أسس البلاغ الموضوعية.</w:t>
      </w:r>
      <w:r w:rsidRPr="004C219B" w:rsidDel="00074F5E">
        <w:rPr>
          <w:rFonts w:cs="Times New Roman"/>
          <w:rtl/>
        </w:rPr>
        <w:t xml:space="preserve"> </w:t>
      </w:r>
    </w:p>
    <w:p w14:paraId="56AD5D99" w14:textId="77777777" w:rsidR="00451D9C" w:rsidRPr="004C219B" w:rsidRDefault="00451D9C" w:rsidP="00451D9C">
      <w:pPr>
        <w:pStyle w:val="H4GA"/>
        <w:rPr>
          <w:lang w:val="ar-SA" w:eastAsia="zh-TW" w:bidi="en-GB"/>
        </w:rPr>
      </w:pPr>
      <w:r w:rsidRPr="004C219B">
        <w:rPr>
          <w:rtl/>
        </w:rPr>
        <w:tab/>
      </w:r>
      <w:r w:rsidRPr="004C219B">
        <w:rPr>
          <w:rtl/>
        </w:rPr>
        <w:tab/>
        <w:t>النظر في الأسس الموضوعية</w:t>
      </w:r>
    </w:p>
    <w:p w14:paraId="53EC8B7A" w14:textId="77777777" w:rsidR="00451D9C" w:rsidRPr="004C219B" w:rsidRDefault="00451D9C" w:rsidP="00451D9C">
      <w:pPr>
        <w:pStyle w:val="SingleTxtGA"/>
        <w:rPr>
          <w:lang w:val="ar-SA" w:eastAsia="zh-TW" w:bidi="en-GB"/>
        </w:rPr>
      </w:pPr>
      <w:r w:rsidRPr="004C219B">
        <w:rPr>
          <w:rtl/>
        </w:rPr>
        <w:t>7-1</w:t>
      </w:r>
      <w:r w:rsidRPr="004C219B">
        <w:rPr>
          <w:rtl/>
        </w:rPr>
        <w:tab/>
        <w:t>نظرت اللجنة في هذا البلاغ في ضوء جميع المعلومات التي أتاحها لها الطرفان، وفقاً لما تقتضيه المادة 5(1) من البروتوكول الاختياري.</w:t>
      </w:r>
    </w:p>
    <w:p w14:paraId="34AF9971" w14:textId="5EC2F305" w:rsidR="00451D9C" w:rsidRPr="004C219B" w:rsidRDefault="00451D9C" w:rsidP="00451D9C">
      <w:pPr>
        <w:pStyle w:val="SingleTxtGA"/>
        <w:rPr>
          <w:lang w:val="ar-SA" w:eastAsia="zh-TW" w:bidi="en-GB"/>
        </w:rPr>
      </w:pPr>
      <w:r w:rsidRPr="004C219B">
        <w:rPr>
          <w:rtl/>
        </w:rPr>
        <w:t>7-2</w:t>
      </w:r>
      <w:r w:rsidRPr="004C219B">
        <w:rPr>
          <w:rtl/>
        </w:rPr>
        <w:tab/>
        <w:t>وتلاحظ اللجنة ادعاء صاحب البلاغ أن حقه في نقل المعلومات بحرية قد ق</w:t>
      </w:r>
      <w:r>
        <w:rPr>
          <w:rtl/>
        </w:rPr>
        <w:t>ُ</w:t>
      </w:r>
      <w:r w:rsidRPr="004C219B">
        <w:rPr>
          <w:rtl/>
        </w:rPr>
        <w:t>ي</w:t>
      </w:r>
      <w:r>
        <w:rPr>
          <w:rtl/>
        </w:rPr>
        <w:t>ِّ</w:t>
      </w:r>
      <w:r w:rsidRPr="004C219B">
        <w:rPr>
          <w:rtl/>
        </w:rPr>
        <w:t xml:space="preserve">د، </w:t>
      </w:r>
      <w:r>
        <w:rPr>
          <w:rtl/>
        </w:rPr>
        <w:t>مما ينتهك</w:t>
      </w:r>
      <w:r w:rsidRPr="004C219B">
        <w:rPr>
          <w:rtl/>
        </w:rPr>
        <w:t xml:space="preserve"> </w:t>
      </w:r>
      <w:r>
        <w:rPr>
          <w:rtl/>
        </w:rPr>
        <w:t>ا</w:t>
      </w:r>
      <w:r w:rsidRPr="004C219B">
        <w:rPr>
          <w:rtl/>
        </w:rPr>
        <w:t>لمادة</w:t>
      </w:r>
      <w:r>
        <w:rPr>
          <w:rFonts w:hint="cs"/>
          <w:rtl/>
        </w:rPr>
        <w:t> </w:t>
      </w:r>
      <w:r w:rsidRPr="004C219B">
        <w:rPr>
          <w:rtl/>
        </w:rPr>
        <w:t xml:space="preserve">19(2) من العهد، </w:t>
      </w:r>
      <w:r>
        <w:rPr>
          <w:rtl/>
        </w:rPr>
        <w:t>حيث</w:t>
      </w:r>
      <w:r w:rsidRPr="004C219B">
        <w:rPr>
          <w:rtl/>
        </w:rPr>
        <w:t xml:space="preserve"> عوقب </w:t>
      </w:r>
      <w:r>
        <w:rPr>
          <w:rtl/>
        </w:rPr>
        <w:t xml:space="preserve">على </w:t>
      </w:r>
      <w:r w:rsidRPr="004C219B">
        <w:rPr>
          <w:rtl/>
        </w:rPr>
        <w:t>توزيعه منشورات سياسية، وبالتالي م</w:t>
      </w:r>
      <w:r>
        <w:rPr>
          <w:rtl/>
        </w:rPr>
        <w:t>ُ</w:t>
      </w:r>
      <w:r w:rsidRPr="004C219B">
        <w:rPr>
          <w:rtl/>
        </w:rPr>
        <w:t>نع من مواصلة نقل المعلومات ال</w:t>
      </w:r>
      <w:r>
        <w:rPr>
          <w:rtl/>
        </w:rPr>
        <w:t>مضمَّنة في</w:t>
      </w:r>
      <w:r w:rsidRPr="004C219B">
        <w:rPr>
          <w:rtl/>
        </w:rPr>
        <w:t>ها.</w:t>
      </w:r>
    </w:p>
    <w:p w14:paraId="4F9E60E3" w14:textId="77777777" w:rsidR="00451D9C" w:rsidRPr="004C219B" w:rsidRDefault="00451D9C" w:rsidP="00451D9C">
      <w:pPr>
        <w:pStyle w:val="SingleTxtGA"/>
        <w:rPr>
          <w:lang w:val="ar-SA" w:eastAsia="zh-TW" w:bidi="en-GB"/>
        </w:rPr>
      </w:pPr>
      <w:r w:rsidRPr="004C219B">
        <w:rPr>
          <w:rtl/>
        </w:rPr>
        <w:t>7-3</w:t>
      </w:r>
      <w:r w:rsidRPr="004C219B">
        <w:rPr>
          <w:rtl/>
        </w:rPr>
        <w:tab/>
        <w:t>ويتعيّن على اللجنة أن تنظر فيما إذا كان</w:t>
      </w:r>
      <w:r>
        <w:rPr>
          <w:rtl/>
        </w:rPr>
        <w:t xml:space="preserve"> يمكن تبرير</w:t>
      </w:r>
      <w:r w:rsidRPr="004C219B">
        <w:rPr>
          <w:rtl/>
        </w:rPr>
        <w:t xml:space="preserve"> القيود المفروضة على حرية صاحب البلاغ في نقل المعلومات بموجب أي معيار من المعايير </w:t>
      </w:r>
      <w:r>
        <w:rPr>
          <w:rtl/>
        </w:rPr>
        <w:t xml:space="preserve">المنصوص عليها </w:t>
      </w:r>
      <w:r w:rsidRPr="004C219B">
        <w:rPr>
          <w:rtl/>
        </w:rPr>
        <w:t>في المادة 19(3) من العهد.</w:t>
      </w:r>
    </w:p>
    <w:p w14:paraId="09F7C055" w14:textId="13580D81" w:rsidR="00451D9C" w:rsidRPr="004C219B" w:rsidRDefault="00451D9C" w:rsidP="00451D9C">
      <w:pPr>
        <w:pStyle w:val="SingleTxtGA"/>
        <w:rPr>
          <w:lang w:val="ar-SA" w:eastAsia="zh-TW" w:bidi="en-GB"/>
        </w:rPr>
      </w:pPr>
      <w:r w:rsidRPr="004C219B">
        <w:rPr>
          <w:rtl/>
        </w:rPr>
        <w:t>7-4</w:t>
      </w:r>
      <w:r w:rsidRPr="004C219B">
        <w:rPr>
          <w:rtl/>
        </w:rPr>
        <w:tab/>
      </w:r>
      <w:r w:rsidRPr="00451D9C">
        <w:rPr>
          <w:spacing w:val="-2"/>
          <w:rtl/>
        </w:rPr>
        <w:t>وتذكّر اللجنة في هذا الصدد بتعليقها العام رقم 34(2011) الذي ذكرت فيه، في جملة أمور، أن حرية التعبير أساسية لأي مجتمع وتشكل الركن الركين لكل مجتمع تسوده الحرية والديمقراطية (الفقرة 34).</w:t>
      </w:r>
      <w:r w:rsidRPr="004C219B">
        <w:rPr>
          <w:rtl/>
        </w:rPr>
        <w:t xml:space="preserve"> وتلاحظ </w:t>
      </w:r>
      <w:r>
        <w:rPr>
          <w:rtl/>
        </w:rPr>
        <w:t xml:space="preserve">اللجنة </w:t>
      </w:r>
      <w:r w:rsidRPr="004C219B">
        <w:rPr>
          <w:rtl/>
        </w:rPr>
        <w:t xml:space="preserve">أن المادة 19(3) من الاتفاقية لا تسمح بفرض قيود معينة على حرية التعبير، بما </w:t>
      </w:r>
      <w:r>
        <w:rPr>
          <w:rtl/>
        </w:rPr>
        <w:t>في ذلك</w:t>
      </w:r>
      <w:r w:rsidRPr="004C219B">
        <w:rPr>
          <w:rtl/>
        </w:rPr>
        <w:t xml:space="preserve"> حرية نقل المعلومات والأفكار، إلا </w:t>
      </w:r>
      <w:r>
        <w:rPr>
          <w:rtl/>
        </w:rPr>
        <w:t xml:space="preserve">إذا كانت </w:t>
      </w:r>
      <w:r w:rsidRPr="004C219B">
        <w:rPr>
          <w:rtl/>
        </w:rPr>
        <w:t>هذه القيود</w:t>
      </w:r>
      <w:r>
        <w:rPr>
          <w:rtl/>
        </w:rPr>
        <w:t xml:space="preserve"> منصوصاً عليها في القانون و</w:t>
      </w:r>
      <w:r w:rsidRPr="004C219B">
        <w:rPr>
          <w:rtl/>
        </w:rPr>
        <w:t>كانت</w:t>
      </w:r>
      <w:r>
        <w:rPr>
          <w:rtl/>
        </w:rPr>
        <w:t xml:space="preserve"> ضرورية</w:t>
      </w:r>
      <w:r w:rsidRPr="004C219B">
        <w:rPr>
          <w:rtl/>
        </w:rPr>
        <w:t xml:space="preserve"> </w:t>
      </w:r>
      <w:r>
        <w:rPr>
          <w:rtl/>
        </w:rPr>
        <w:t>ل</w:t>
      </w:r>
      <w:r w:rsidRPr="004C219B">
        <w:rPr>
          <w:rtl/>
        </w:rPr>
        <w:t xml:space="preserve">احترام حقوق الآخرين أو سمعتهم؛ </w:t>
      </w:r>
      <w:r>
        <w:rPr>
          <w:rtl/>
        </w:rPr>
        <w:t>أو</w:t>
      </w:r>
      <w:r w:rsidRPr="004C219B">
        <w:rPr>
          <w:rtl/>
        </w:rPr>
        <w:t xml:space="preserve"> </w:t>
      </w:r>
      <w:r>
        <w:rPr>
          <w:rtl/>
        </w:rPr>
        <w:t>ل</w:t>
      </w:r>
      <w:r w:rsidRPr="004C219B">
        <w:rPr>
          <w:rtl/>
        </w:rPr>
        <w:t xml:space="preserve">حماية الأمن القومي أو النظام العام أو الصحة العامة أو الآداب العامة. وأخيراً، </w:t>
      </w:r>
      <w:r>
        <w:rPr>
          <w:rtl/>
        </w:rPr>
        <w:t>يجب ألّا يكون</w:t>
      </w:r>
      <w:r w:rsidRPr="004C219B">
        <w:rPr>
          <w:rtl/>
        </w:rPr>
        <w:t xml:space="preserve"> أي قيد </w:t>
      </w:r>
      <w:r>
        <w:rPr>
          <w:rtl/>
        </w:rPr>
        <w:t xml:space="preserve">يُفرض </w:t>
      </w:r>
      <w:r w:rsidRPr="004C219B">
        <w:rPr>
          <w:rtl/>
        </w:rPr>
        <w:t xml:space="preserve">على حرية التعبير </w:t>
      </w:r>
      <w:r>
        <w:rPr>
          <w:rtl/>
        </w:rPr>
        <w:t xml:space="preserve">ذا طابع </w:t>
      </w:r>
      <w:r w:rsidRPr="004C219B">
        <w:rPr>
          <w:rtl/>
        </w:rPr>
        <w:t xml:space="preserve">فضفاض، </w:t>
      </w:r>
      <w:r>
        <w:rPr>
          <w:rtl/>
        </w:rPr>
        <w:t>أي أن هذا القيد يجب أن</w:t>
      </w:r>
      <w:r w:rsidRPr="004C219B">
        <w:rPr>
          <w:rtl/>
        </w:rPr>
        <w:t xml:space="preserve"> يكون التدبير الأقل </w:t>
      </w:r>
      <w:r>
        <w:rPr>
          <w:rtl/>
        </w:rPr>
        <w:t>اقتحاماً</w:t>
      </w:r>
      <w:r w:rsidRPr="004C219B">
        <w:rPr>
          <w:rtl/>
        </w:rPr>
        <w:t xml:space="preserve"> من بين التدابير التي قد تحقِّق الحماية المطلوبة وأن يتناسب مع المصلحة المراد حمايتها. وتُذكّر اللجنة بأن</w:t>
      </w:r>
      <w:r>
        <w:rPr>
          <w:rtl/>
        </w:rPr>
        <w:t>ه يقع على عاتق</w:t>
      </w:r>
      <w:r w:rsidRPr="004C219B">
        <w:rPr>
          <w:rtl/>
        </w:rPr>
        <w:t xml:space="preserve"> الدولة الطرف </w:t>
      </w:r>
      <w:r>
        <w:rPr>
          <w:rtl/>
        </w:rPr>
        <w:t>عبءُ إ</w:t>
      </w:r>
      <w:r w:rsidRPr="004C219B">
        <w:rPr>
          <w:rtl/>
        </w:rPr>
        <w:t>ثب</w:t>
      </w:r>
      <w:r>
        <w:rPr>
          <w:rtl/>
        </w:rPr>
        <w:t>ا</w:t>
      </w:r>
      <w:r w:rsidRPr="004C219B">
        <w:rPr>
          <w:rtl/>
        </w:rPr>
        <w:t xml:space="preserve">ت وجه الضرورة والتناسب في القيود المفروضة على حقوق صاحب البلاغ </w:t>
      </w:r>
      <w:r>
        <w:rPr>
          <w:rtl/>
        </w:rPr>
        <w:t>التي تكفلها</w:t>
      </w:r>
      <w:r w:rsidRPr="004C219B">
        <w:rPr>
          <w:rtl/>
        </w:rPr>
        <w:t xml:space="preserve"> المادة 19 من </w:t>
      </w:r>
      <w:proofErr w:type="gramStart"/>
      <w:r w:rsidRPr="004C219B">
        <w:rPr>
          <w:rtl/>
        </w:rPr>
        <w:t>العهد</w:t>
      </w:r>
      <w:r w:rsidR="002C0D79" w:rsidRPr="002C0D79">
        <w:rPr>
          <w:rFonts w:hint="cs"/>
          <w:vertAlign w:val="superscript"/>
          <w:rtl/>
        </w:rPr>
        <w:t>(</w:t>
      </w:r>
      <w:proofErr w:type="gramEnd"/>
      <w:r w:rsidRPr="002C0D79">
        <w:rPr>
          <w:vertAlign w:val="superscript"/>
          <w:rtl/>
        </w:rPr>
        <w:footnoteReference w:id="5"/>
      </w:r>
      <w:r w:rsidR="002C0D79" w:rsidRPr="002C0D79">
        <w:rPr>
          <w:rFonts w:hint="cs"/>
          <w:vertAlign w:val="superscript"/>
          <w:rtl/>
        </w:rPr>
        <w:t>)</w:t>
      </w:r>
      <w:r w:rsidR="002C0D79">
        <w:rPr>
          <w:rFonts w:hint="cs"/>
          <w:rtl/>
        </w:rPr>
        <w:t>.</w:t>
      </w:r>
    </w:p>
    <w:p w14:paraId="009A2485" w14:textId="5C60E096" w:rsidR="00451D9C" w:rsidRPr="004C219B" w:rsidRDefault="00451D9C" w:rsidP="00451D9C">
      <w:pPr>
        <w:pStyle w:val="SingleTxtGA"/>
        <w:rPr>
          <w:lang w:val="ar-SA" w:eastAsia="zh-TW" w:bidi="en-GB"/>
        </w:rPr>
      </w:pPr>
      <w:r w:rsidRPr="004C219B">
        <w:rPr>
          <w:rtl/>
        </w:rPr>
        <w:t>7-5</w:t>
      </w:r>
      <w:r w:rsidRPr="004C219B">
        <w:rPr>
          <w:rtl/>
        </w:rPr>
        <w:tab/>
        <w:t xml:space="preserve">وتلاحظ اللجنة أن حظر توزيع المواد المطبوعة في هذه القضية </w:t>
      </w:r>
      <w:r>
        <w:rPr>
          <w:rtl/>
        </w:rPr>
        <w:t>بسبب عدم حصول</w:t>
      </w:r>
      <w:r w:rsidRPr="004C219B">
        <w:rPr>
          <w:rtl/>
        </w:rPr>
        <w:t xml:space="preserve"> صاحب البلاغ </w:t>
      </w:r>
      <w:r>
        <w:rPr>
          <w:rtl/>
        </w:rPr>
        <w:t xml:space="preserve">على إذن خاص بذلك من وزارة الإعلام، وأن فرض غرامة كبيرة عليه، </w:t>
      </w:r>
      <w:r w:rsidRPr="004C219B">
        <w:rPr>
          <w:rtl/>
        </w:rPr>
        <w:t xml:space="preserve">يثيران شكوكاً خطيرة بشأن ضرورة وتناسب القيود المفروضة على حقوق صاحب البلاغ بموجب المادة 19 من العهد. وتلاحظ اللجنة كذلك أن الدولة الطرف لم </w:t>
      </w:r>
      <w:r>
        <w:rPr>
          <w:rtl/>
        </w:rPr>
        <w:t>تحتج</w:t>
      </w:r>
      <w:r w:rsidRPr="004C219B">
        <w:rPr>
          <w:rtl/>
        </w:rPr>
        <w:t xml:space="preserve"> بأي أس</w:t>
      </w:r>
      <w:r>
        <w:rPr>
          <w:rtl/>
        </w:rPr>
        <w:t>س</w:t>
      </w:r>
      <w:r w:rsidRPr="004C219B">
        <w:rPr>
          <w:rtl/>
        </w:rPr>
        <w:t xml:space="preserve"> محددة </w:t>
      </w:r>
      <w:r>
        <w:rPr>
          <w:rtl/>
        </w:rPr>
        <w:t>ل</w:t>
      </w:r>
      <w:r w:rsidRPr="004C219B">
        <w:rPr>
          <w:rtl/>
        </w:rPr>
        <w:t>دعم ضرورة القيود</w:t>
      </w:r>
      <w:r>
        <w:rPr>
          <w:rtl/>
        </w:rPr>
        <w:t xml:space="preserve"> المفروضة</w:t>
      </w:r>
      <w:r w:rsidRPr="004C219B">
        <w:rPr>
          <w:rtl/>
        </w:rPr>
        <w:t xml:space="preserve"> على صاحب البلاغ على النحو </w:t>
      </w:r>
      <w:r>
        <w:rPr>
          <w:rtl/>
        </w:rPr>
        <w:t>الذي تشترطه</w:t>
      </w:r>
      <w:r w:rsidRPr="004C219B">
        <w:rPr>
          <w:rtl/>
        </w:rPr>
        <w:t xml:space="preserve"> المادة 19(3) من </w:t>
      </w:r>
      <w:proofErr w:type="gramStart"/>
      <w:r w:rsidRPr="004C219B">
        <w:rPr>
          <w:rtl/>
        </w:rPr>
        <w:t>العهد</w:t>
      </w:r>
      <w:r w:rsidR="002C0D79" w:rsidRPr="002C0D79">
        <w:rPr>
          <w:rFonts w:hint="cs"/>
          <w:vertAlign w:val="superscript"/>
          <w:rtl/>
        </w:rPr>
        <w:t>(</w:t>
      </w:r>
      <w:proofErr w:type="gramEnd"/>
      <w:r w:rsidRPr="002C0D79">
        <w:rPr>
          <w:rStyle w:val="FootnoteReference"/>
          <w:rFonts w:ascii="Simplified Arabic" w:hAnsi="Simplified Arabic"/>
          <w:rtl/>
        </w:rPr>
        <w:footnoteReference w:id="6"/>
      </w:r>
      <w:r w:rsidR="002C0D79" w:rsidRPr="002C0D79">
        <w:rPr>
          <w:rFonts w:hint="cs"/>
          <w:vertAlign w:val="superscript"/>
          <w:rtl/>
        </w:rPr>
        <w:t>)</w:t>
      </w:r>
      <w:r w:rsidR="002C0D79">
        <w:rPr>
          <w:rFonts w:hint="cs"/>
          <w:rtl/>
        </w:rPr>
        <w:t>.</w:t>
      </w:r>
      <w:r w:rsidRPr="004C219B">
        <w:rPr>
          <w:rtl/>
        </w:rPr>
        <w:t xml:space="preserve"> </w:t>
      </w:r>
      <w:r>
        <w:rPr>
          <w:rtl/>
        </w:rPr>
        <w:t>ولم تثبت</w:t>
      </w:r>
      <w:r w:rsidRPr="004C219B">
        <w:rPr>
          <w:rtl/>
        </w:rPr>
        <w:t xml:space="preserve"> الدولة الطرف </w:t>
      </w:r>
      <w:r>
        <w:rPr>
          <w:rtl/>
        </w:rPr>
        <w:t>كذلك</w:t>
      </w:r>
      <w:r w:rsidRPr="004C219B">
        <w:rPr>
          <w:rtl/>
        </w:rPr>
        <w:t xml:space="preserve"> أن التدابير المختارة </w:t>
      </w:r>
      <w:r>
        <w:rPr>
          <w:rtl/>
        </w:rPr>
        <w:t>هي الأقل اقتحاماً</w:t>
      </w:r>
      <w:r w:rsidRPr="004C219B">
        <w:rPr>
          <w:rtl/>
        </w:rPr>
        <w:t xml:space="preserve"> من حيث طابعها </w:t>
      </w:r>
      <w:r>
        <w:rPr>
          <w:rtl/>
        </w:rPr>
        <w:t>أو أنها متناسبة</w:t>
      </w:r>
      <w:r w:rsidRPr="004C219B">
        <w:rPr>
          <w:rtl/>
        </w:rPr>
        <w:t xml:space="preserve"> مع المصلحة التي </w:t>
      </w:r>
      <w:r>
        <w:rPr>
          <w:rtl/>
        </w:rPr>
        <w:t>استهدفت هذه التدابير</w:t>
      </w:r>
      <w:r w:rsidRPr="004C219B">
        <w:rPr>
          <w:rtl/>
        </w:rPr>
        <w:t xml:space="preserve"> حمايتها. وترى اللجنة، بالنظر إلى ملابسات</w:t>
      </w:r>
      <w:r>
        <w:rPr>
          <w:rtl/>
        </w:rPr>
        <w:t xml:space="preserve"> هذه</w:t>
      </w:r>
      <w:r w:rsidRPr="004C219B">
        <w:rPr>
          <w:rtl/>
        </w:rPr>
        <w:t xml:space="preserve"> القضية، أن </w:t>
      </w:r>
      <w:r>
        <w:rPr>
          <w:rtl/>
        </w:rPr>
        <w:t>القيود</w:t>
      </w:r>
      <w:r w:rsidRPr="004C219B">
        <w:rPr>
          <w:rtl/>
        </w:rPr>
        <w:t xml:space="preserve"> التي </w:t>
      </w:r>
      <w:r>
        <w:rPr>
          <w:rtl/>
        </w:rPr>
        <w:t>فُرضت</w:t>
      </w:r>
      <w:r w:rsidRPr="004C219B">
        <w:rPr>
          <w:rtl/>
        </w:rPr>
        <w:t xml:space="preserve"> على صاحب البلاغ، رغم استنادها إلى القانون المحلي، </w:t>
      </w:r>
      <w:r>
        <w:rPr>
          <w:rtl/>
        </w:rPr>
        <w:t>لا تبررها</w:t>
      </w:r>
      <w:r w:rsidRPr="004C219B">
        <w:rPr>
          <w:rtl/>
        </w:rPr>
        <w:t xml:space="preserve"> المادة 19</w:t>
      </w:r>
      <w:r>
        <w:rPr>
          <w:rtl/>
        </w:rPr>
        <w:t xml:space="preserve">(3) </w:t>
      </w:r>
      <w:r w:rsidRPr="004C219B">
        <w:rPr>
          <w:rtl/>
        </w:rPr>
        <w:t>من العهد. و</w:t>
      </w:r>
      <w:r>
        <w:rPr>
          <w:rtl/>
        </w:rPr>
        <w:t xml:space="preserve">لذلك </w:t>
      </w:r>
      <w:r w:rsidRPr="004C219B">
        <w:rPr>
          <w:rtl/>
        </w:rPr>
        <w:t>تخلص</w:t>
      </w:r>
      <w:r>
        <w:rPr>
          <w:rtl/>
        </w:rPr>
        <w:t xml:space="preserve"> اللجنة</w:t>
      </w:r>
      <w:r w:rsidRPr="004C219B">
        <w:rPr>
          <w:rtl/>
        </w:rPr>
        <w:t xml:space="preserve"> إلى أن حقوق صاحب البلاغ بموجب المادة 19(2) من العهد</w:t>
      </w:r>
      <w:r>
        <w:rPr>
          <w:rtl/>
        </w:rPr>
        <w:t xml:space="preserve"> قد</w:t>
      </w:r>
      <w:r w:rsidRPr="004C219B">
        <w:rPr>
          <w:rtl/>
        </w:rPr>
        <w:t xml:space="preserve"> </w:t>
      </w:r>
      <w:proofErr w:type="gramStart"/>
      <w:r w:rsidRPr="004C219B">
        <w:rPr>
          <w:rtl/>
        </w:rPr>
        <w:t>انت</w:t>
      </w:r>
      <w:r>
        <w:rPr>
          <w:rtl/>
        </w:rPr>
        <w:t>ُ</w:t>
      </w:r>
      <w:r w:rsidRPr="004C219B">
        <w:rPr>
          <w:rtl/>
        </w:rPr>
        <w:t>هكت</w:t>
      </w:r>
      <w:r w:rsidR="002C0D79" w:rsidRPr="002C0D79">
        <w:rPr>
          <w:rFonts w:hint="cs"/>
          <w:vertAlign w:val="superscript"/>
          <w:rtl/>
        </w:rPr>
        <w:t>(</w:t>
      </w:r>
      <w:proofErr w:type="gramEnd"/>
      <w:r w:rsidRPr="002C0D79">
        <w:rPr>
          <w:rStyle w:val="FootnoteReference"/>
          <w:rFonts w:ascii="Simplified Arabic" w:hAnsi="Simplified Arabic"/>
          <w:rtl/>
        </w:rPr>
        <w:footnoteReference w:id="7"/>
      </w:r>
      <w:r w:rsidR="002C0D79" w:rsidRPr="002C0D79">
        <w:rPr>
          <w:rFonts w:hint="cs"/>
          <w:vertAlign w:val="superscript"/>
          <w:rtl/>
        </w:rPr>
        <w:t>)</w:t>
      </w:r>
      <w:r w:rsidR="002C0D79">
        <w:rPr>
          <w:rFonts w:hint="cs"/>
          <w:rtl/>
        </w:rPr>
        <w:t>.</w:t>
      </w:r>
    </w:p>
    <w:p w14:paraId="3477B92A" w14:textId="2CF2C20B" w:rsidR="00451D9C" w:rsidRPr="00C453F5" w:rsidRDefault="00451D9C" w:rsidP="00451D9C">
      <w:pPr>
        <w:pStyle w:val="SingleTxtGA"/>
        <w:rPr>
          <w:lang w:val="en-US" w:eastAsia="zh-TW" w:bidi="en-GB"/>
        </w:rPr>
      </w:pPr>
      <w:r w:rsidRPr="004C219B">
        <w:rPr>
          <w:rtl/>
        </w:rPr>
        <w:t>8-</w:t>
      </w:r>
      <w:r w:rsidRPr="004C219B">
        <w:rPr>
          <w:rtl/>
        </w:rPr>
        <w:tab/>
        <w:t>واللجنة، إذ تتصرف بموجب المادة 5(4) من البروتوكول الاختياري، ترى أن الوقائع المعروضة عليها تكشف عن انتهاك الدولة الطرف لحقوق صاحب البلاغ التي تكفلها المادة 19(2) من العهد.</w:t>
      </w:r>
      <w:r w:rsidRPr="004C219B">
        <w:rPr>
          <w:rFonts w:cs="Times New Roman"/>
          <w:rtl/>
        </w:rPr>
        <w:t>‬</w:t>
      </w:r>
      <w:r w:rsidR="00C453F5">
        <w:rPr>
          <w:lang w:val="en-US" w:eastAsia="zh-TW" w:bidi="en-GB"/>
        </w:rPr>
        <w:t xml:space="preserve"> </w:t>
      </w:r>
    </w:p>
    <w:p w14:paraId="70075899" w14:textId="1670DB4E" w:rsidR="00451D9C" w:rsidRPr="004C219B" w:rsidRDefault="00451D9C" w:rsidP="00451D9C">
      <w:pPr>
        <w:pStyle w:val="SingleTxtGA"/>
        <w:rPr>
          <w:lang w:val="ar-SA" w:eastAsia="zh-TW" w:bidi="en-GB"/>
        </w:rPr>
      </w:pPr>
      <w:r w:rsidRPr="004C219B">
        <w:rPr>
          <w:rtl/>
        </w:rPr>
        <w:t>9-</w:t>
      </w:r>
      <w:r w:rsidRPr="004C219B">
        <w:rPr>
          <w:rtl/>
        </w:rPr>
        <w:tab/>
        <w:t xml:space="preserve">وعملاً بأحكام المادة 2(3)(أ) من العهد، يقع على عاتق الدولة الطرف </w:t>
      </w:r>
      <w:r>
        <w:rPr>
          <w:rtl/>
        </w:rPr>
        <w:t xml:space="preserve">واجب </w:t>
      </w:r>
      <w:r w:rsidRPr="004C219B">
        <w:rPr>
          <w:rtl/>
        </w:rPr>
        <w:t xml:space="preserve">توفير سبيل انتصاف فعال لصاحب البلاغ. </w:t>
      </w:r>
      <w:r>
        <w:rPr>
          <w:rtl/>
        </w:rPr>
        <w:t>و</w:t>
      </w:r>
      <w:r w:rsidRPr="00C65696">
        <w:rPr>
          <w:rtl/>
        </w:rPr>
        <w:t>يقتضي منها ذلك جبر الأضرار التي لحقت بمن انتُهِكت حقوقه التي يكفلها العهد جبراً تاماً.</w:t>
      </w:r>
      <w:r w:rsidRPr="004C219B">
        <w:rPr>
          <w:rtl/>
        </w:rPr>
        <w:t xml:space="preserve"> </w:t>
      </w:r>
      <w:r>
        <w:rPr>
          <w:rtl/>
        </w:rPr>
        <w:t>وبناءً على ذلك</w:t>
      </w:r>
      <w:r w:rsidRPr="004C219B">
        <w:rPr>
          <w:rtl/>
        </w:rPr>
        <w:t xml:space="preserve">، فإن الدولة الطرف مُلزمة، في جملة أمور، باتخاذ الخطوات المناسبة </w:t>
      </w:r>
      <w:r>
        <w:rPr>
          <w:rtl/>
        </w:rPr>
        <w:t xml:space="preserve">لتقديم تعويض مناسب لصاحب البلاغ، يشمل </w:t>
      </w:r>
      <w:r w:rsidRPr="004C219B">
        <w:rPr>
          <w:rtl/>
        </w:rPr>
        <w:t xml:space="preserve">سداد قيمة </w:t>
      </w:r>
      <w:r>
        <w:rPr>
          <w:rtl/>
        </w:rPr>
        <w:t>ا</w:t>
      </w:r>
      <w:r w:rsidRPr="004C219B">
        <w:rPr>
          <w:rtl/>
        </w:rPr>
        <w:t>لغرامة وأي تكاليف قانونية تكبدها فيما</w:t>
      </w:r>
      <w:r w:rsidR="002C0D79">
        <w:rPr>
          <w:rFonts w:hint="cs"/>
          <w:rtl/>
        </w:rPr>
        <w:t> </w:t>
      </w:r>
      <w:r w:rsidRPr="004C219B">
        <w:rPr>
          <w:rtl/>
        </w:rPr>
        <w:t>يتعلق بالإجراءات المحلية. ويتعين عل</w:t>
      </w:r>
      <w:r>
        <w:rPr>
          <w:rtl/>
        </w:rPr>
        <w:t>ى الدولة الطرف</w:t>
      </w:r>
      <w:r w:rsidRPr="004C219B">
        <w:rPr>
          <w:rtl/>
        </w:rPr>
        <w:t xml:space="preserve"> أيضا</w:t>
      </w:r>
      <w:r w:rsidR="002C0D79">
        <w:rPr>
          <w:rFonts w:hint="cs"/>
          <w:rtl/>
        </w:rPr>
        <w:t>ً</w:t>
      </w:r>
      <w:r w:rsidRPr="004C219B">
        <w:rPr>
          <w:rtl/>
        </w:rPr>
        <w:t xml:space="preserve"> اتخاذ جميع التدابير اللازمة لمنع حدوث انتهاكات مماثلة في المستقبل.</w:t>
      </w:r>
    </w:p>
    <w:p w14:paraId="64DED0D7" w14:textId="77777777" w:rsidR="00451D9C" w:rsidRPr="002C0D79" w:rsidRDefault="00451D9C" w:rsidP="00451D9C">
      <w:pPr>
        <w:pStyle w:val="SingleTxtGA"/>
        <w:rPr>
          <w:spacing w:val="-4"/>
          <w:lang w:val="en-US" w:eastAsia="zh-TW" w:bidi="en-GB"/>
        </w:rPr>
      </w:pPr>
      <w:r w:rsidRPr="002C0D79">
        <w:rPr>
          <w:spacing w:val="-4"/>
          <w:rtl/>
        </w:rPr>
        <w:t>10-</w:t>
      </w:r>
      <w:r w:rsidRPr="002C0D79">
        <w:rPr>
          <w:spacing w:val="-4"/>
          <w:rtl/>
        </w:rPr>
        <w:tab/>
        <w:t>وإذ تضع اللجنة في اعتبارها أن الدولة الطرف، عندما أصبحت طرفاً في البروتوكول الاختياري، قد اعترفت باختصاص اللجنة في تحديد ما إذا كان قد حدث انتهاك لأحكام العهد أم لا، وأنها قد تعهدت، عملاً بالمادة 2 من العهد، بأن تضمن تمتع جميع الأفراد الموجودين في إقليمها أو الخاضعين لولايتها بالحقوق المعترف بها في العهد وبأن توفر سبيل انتصاف فعالاً وقابلاً للإنفاذ في حال ثبوت حدوث انتهاك، فإنها تعرب عن رغبتها في أن تتلقى من الدولة الطرف، في غضون 180 يوماً، معلومات عن التدابير المتخذة لتنفيذ آرائها.</w:t>
      </w:r>
      <w:r w:rsidRPr="002C0D79">
        <w:rPr>
          <w:rFonts w:cs="Times New Roman"/>
          <w:spacing w:val="-4"/>
          <w:rtl/>
        </w:rPr>
        <w:t>‬</w:t>
      </w:r>
      <w:r w:rsidRPr="002C0D79">
        <w:rPr>
          <w:spacing w:val="-4"/>
          <w:rtl/>
        </w:rPr>
        <w:t xml:space="preserve"> وتطلب اللجنة إلى الدولة الطرف أيضاً نشر هذه الآراء وتعميمها على نطاق واسع بلغاتها الرسمية. </w:t>
      </w:r>
    </w:p>
    <w:p w14:paraId="13981999" w14:textId="4D1AB502" w:rsidR="00451D9C" w:rsidRPr="00451D9C" w:rsidRDefault="00451D9C" w:rsidP="00451D9C">
      <w:pPr>
        <w:pStyle w:val="SingleTxtGA"/>
        <w:jc w:val="center"/>
        <w:rPr>
          <w:u w:val="single"/>
          <w:rtl/>
        </w:rPr>
      </w:pPr>
      <w:r>
        <w:rPr>
          <w:u w:val="single"/>
          <w:rtl/>
        </w:rPr>
        <w:tab/>
      </w:r>
      <w:r>
        <w:rPr>
          <w:u w:val="single"/>
          <w:rtl/>
        </w:rPr>
        <w:tab/>
      </w:r>
      <w:r>
        <w:rPr>
          <w:u w:val="single"/>
          <w:rtl/>
        </w:rPr>
        <w:tab/>
      </w:r>
    </w:p>
    <w:sectPr w:rsidR="00451D9C" w:rsidRPr="00451D9C" w:rsidSect="00481B54">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95B38" w14:textId="77777777" w:rsidR="009617F6" w:rsidRPr="002901D9" w:rsidRDefault="009617F6" w:rsidP="00DC4D4B">
      <w:pPr>
        <w:spacing w:after="60" w:line="240" w:lineRule="auto"/>
        <w:ind w:left="57"/>
        <w:rPr>
          <w:i/>
          <w:iCs/>
        </w:rPr>
      </w:pPr>
      <w:r>
        <w:rPr>
          <w:rFonts w:hint="cs"/>
          <w:i/>
          <w:iCs/>
          <w:rtl/>
        </w:rPr>
        <w:t>الحواشي</w:t>
      </w:r>
    </w:p>
  </w:endnote>
  <w:endnote w:type="continuationSeparator" w:id="0">
    <w:p w14:paraId="076943A5" w14:textId="77777777" w:rsidR="009617F6" w:rsidRDefault="009617F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E11B2" w14:textId="265EE11B" w:rsidR="00800FAA" w:rsidRPr="00800FAA" w:rsidRDefault="00800FAA" w:rsidP="00800FAA">
    <w:pPr>
      <w:pStyle w:val="Footer"/>
      <w:tabs>
        <w:tab w:val="right" w:pos="9638"/>
      </w:tabs>
      <w:rPr>
        <w:b/>
        <w:sz w:val="18"/>
        <w:lang w:val="en-US"/>
      </w:rPr>
    </w:pPr>
    <w:r>
      <w:rPr>
        <w:lang w:val="en-US"/>
      </w:rPr>
      <w:t>GE.21-05884</w:t>
    </w:r>
    <w:r>
      <w:rPr>
        <w:lang w:val="en-US"/>
      </w:rPr>
      <w:tab/>
    </w:r>
    <w:r w:rsidRPr="00800FAA">
      <w:rPr>
        <w:b/>
        <w:sz w:val="18"/>
        <w:lang w:val="en-US"/>
      </w:rPr>
      <w:fldChar w:fldCharType="begin"/>
    </w:r>
    <w:r w:rsidRPr="00800FAA">
      <w:rPr>
        <w:b/>
        <w:sz w:val="18"/>
        <w:lang w:val="en-US"/>
      </w:rPr>
      <w:instrText xml:space="preserve"> PAGE  \* MERGEFORMAT </w:instrText>
    </w:r>
    <w:r w:rsidRPr="00800FAA">
      <w:rPr>
        <w:b/>
        <w:sz w:val="18"/>
        <w:lang w:val="en-US"/>
      </w:rPr>
      <w:fldChar w:fldCharType="separate"/>
    </w:r>
    <w:r w:rsidRPr="00800FAA">
      <w:rPr>
        <w:b/>
        <w:noProof/>
        <w:sz w:val="18"/>
        <w:lang w:val="en-US"/>
      </w:rPr>
      <w:t>2</w:t>
    </w:r>
    <w:r w:rsidRPr="00800FAA">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51E9" w14:textId="6A51D107" w:rsidR="006959B0" w:rsidRPr="00800FAA" w:rsidRDefault="00800FAA" w:rsidP="00800FAA">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GE.21-05884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9846B" w14:textId="5FB899DC" w:rsidR="00DE50B1" w:rsidRPr="00800FAA" w:rsidRDefault="00800FAA" w:rsidP="00800FAA">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6F2CA2AD" wp14:editId="1FB5C2D5">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21-05884 (A)</w:t>
    </w:r>
    <w:r>
      <w:rPr>
        <w:noProof/>
        <w:sz w:val="20"/>
        <w:lang w:val="en-US"/>
      </w:rPr>
      <w:drawing>
        <wp:anchor distT="0" distB="0" distL="114300" distR="114300" simplePos="0" relativeHeight="251659264" behindDoc="0" locked="0" layoutInCell="1" allowOverlap="1" wp14:anchorId="5335E2A0" wp14:editId="0B387E26">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122D" w14:textId="77777777" w:rsidR="009617F6" w:rsidRPr="000437B8" w:rsidRDefault="009617F6" w:rsidP="00F10DAB">
      <w:pPr>
        <w:pStyle w:val="Footer"/>
        <w:bidi/>
        <w:spacing w:after="80" w:line="200" w:lineRule="exact"/>
        <w:ind w:left="680"/>
      </w:pPr>
      <w:r>
        <w:rPr>
          <w:rtl/>
        </w:rPr>
        <w:t>__________</w:t>
      </w:r>
    </w:p>
  </w:footnote>
  <w:footnote w:type="continuationSeparator" w:id="0">
    <w:p w14:paraId="5F5F8FEB" w14:textId="77777777" w:rsidR="009617F6" w:rsidRDefault="009617F6" w:rsidP="00656392">
      <w:pPr>
        <w:spacing w:line="240" w:lineRule="auto"/>
      </w:pPr>
      <w:r>
        <w:continuationSeparator/>
      </w:r>
    </w:p>
  </w:footnote>
  <w:footnote w:id="1">
    <w:p w14:paraId="52FEB5E0" w14:textId="20C415DF" w:rsidR="00451D9C" w:rsidRPr="00451D9C" w:rsidRDefault="00451D9C" w:rsidP="00451D9C">
      <w:pPr>
        <w:pStyle w:val="FootnoteText1"/>
        <w:textDirection w:val="tbRlV"/>
        <w:rPr>
          <w:rFonts w:eastAsiaTheme="minorEastAsia"/>
          <w:lang w:val="ar-SA" w:eastAsia="zh-TW" w:bidi="en-GB"/>
        </w:rPr>
      </w:pPr>
      <w:r w:rsidRPr="00451D9C">
        <w:rPr>
          <w:rFonts w:eastAsiaTheme="minorEastAsia"/>
        </w:rPr>
        <w:t>*</w:t>
      </w:r>
      <w:r w:rsidRPr="00451D9C">
        <w:rPr>
          <w:rFonts w:eastAsiaTheme="minorEastAsia"/>
          <w:rtl/>
        </w:rPr>
        <w:tab/>
        <w:t>اعتمدتها اللجنة في دورتها 131 (1-26 آذار/مارس 2021).</w:t>
      </w:r>
    </w:p>
  </w:footnote>
  <w:footnote w:id="2">
    <w:p w14:paraId="10943030" w14:textId="1364E579" w:rsidR="00451D9C" w:rsidRPr="00451D9C" w:rsidRDefault="00451D9C" w:rsidP="00451D9C">
      <w:pPr>
        <w:pStyle w:val="FootnoteText1"/>
        <w:textDirection w:val="tbRlV"/>
        <w:rPr>
          <w:rFonts w:eastAsiaTheme="minorEastAsia"/>
          <w:lang w:val="ar-SA" w:eastAsia="zh-TW" w:bidi="en-GB"/>
        </w:rPr>
      </w:pPr>
      <w:r w:rsidRPr="00451D9C">
        <w:rPr>
          <w:rFonts w:eastAsiaTheme="minorEastAsia"/>
        </w:rPr>
        <w:t>**</w:t>
      </w:r>
      <w:r w:rsidRPr="00451D9C">
        <w:rPr>
          <w:rFonts w:eastAsiaTheme="minorEastAsia"/>
          <w:rtl/>
        </w:rPr>
        <w:tab/>
        <w:t xml:space="preserve">شارك في دراسة هذا البلاغ أعضاء اللجنة التالية أسماؤهم: تانيا ماريا أبدو </w:t>
      </w:r>
      <w:proofErr w:type="spellStart"/>
      <w:r w:rsidRPr="00451D9C">
        <w:rPr>
          <w:rFonts w:eastAsiaTheme="minorEastAsia"/>
          <w:rtl/>
        </w:rPr>
        <w:t>روتشول</w:t>
      </w:r>
      <w:proofErr w:type="spellEnd"/>
      <w:r w:rsidRPr="00451D9C">
        <w:rPr>
          <w:rFonts w:eastAsiaTheme="minorEastAsia"/>
          <w:rtl/>
        </w:rPr>
        <w:t xml:space="preserve">، ووفاء أشرف محرم بسيم، وعياض بن عاشور، وعارف بلقان، والمحجوب الهيبة، </w:t>
      </w:r>
      <w:proofErr w:type="spellStart"/>
      <w:r w:rsidRPr="00451D9C">
        <w:rPr>
          <w:rFonts w:eastAsiaTheme="minorEastAsia"/>
          <w:rtl/>
        </w:rPr>
        <w:t>وفورويا</w:t>
      </w:r>
      <w:proofErr w:type="spellEnd"/>
      <w:r w:rsidRPr="00451D9C">
        <w:rPr>
          <w:rFonts w:eastAsiaTheme="minorEastAsia"/>
          <w:rtl/>
        </w:rPr>
        <w:t xml:space="preserve"> </w:t>
      </w:r>
      <w:proofErr w:type="spellStart"/>
      <w:r w:rsidRPr="00451D9C">
        <w:rPr>
          <w:rFonts w:eastAsiaTheme="minorEastAsia"/>
          <w:rtl/>
        </w:rPr>
        <w:t>سويتشي</w:t>
      </w:r>
      <w:proofErr w:type="spellEnd"/>
      <w:r w:rsidRPr="00451D9C">
        <w:rPr>
          <w:rFonts w:eastAsiaTheme="minorEastAsia"/>
          <w:rtl/>
        </w:rPr>
        <w:t xml:space="preserve">، وكارلوس غوميز مارتينيز، </w:t>
      </w:r>
      <w:proofErr w:type="spellStart"/>
      <w:r w:rsidRPr="00451D9C">
        <w:rPr>
          <w:rFonts w:eastAsiaTheme="minorEastAsia"/>
          <w:rtl/>
        </w:rPr>
        <w:t>ومارسيا</w:t>
      </w:r>
      <w:proofErr w:type="spellEnd"/>
      <w:r w:rsidRPr="00451D9C">
        <w:rPr>
          <w:rFonts w:eastAsiaTheme="minorEastAsia"/>
          <w:rtl/>
        </w:rPr>
        <w:t xml:space="preserve"> ف. ج. كران، </w:t>
      </w:r>
      <w:proofErr w:type="spellStart"/>
      <w:r w:rsidRPr="00451D9C">
        <w:rPr>
          <w:rFonts w:eastAsiaTheme="minorEastAsia"/>
          <w:rtl/>
        </w:rPr>
        <w:t>ودنكان</w:t>
      </w:r>
      <w:proofErr w:type="spellEnd"/>
      <w:r w:rsidRPr="00451D9C">
        <w:rPr>
          <w:rFonts w:eastAsiaTheme="minorEastAsia"/>
          <w:rtl/>
        </w:rPr>
        <w:t xml:space="preserve"> </w:t>
      </w:r>
      <w:proofErr w:type="spellStart"/>
      <w:r w:rsidRPr="00451D9C">
        <w:rPr>
          <w:rFonts w:eastAsiaTheme="minorEastAsia"/>
          <w:rtl/>
        </w:rPr>
        <w:t>لاكي</w:t>
      </w:r>
      <w:proofErr w:type="spellEnd"/>
      <w:r w:rsidRPr="00451D9C">
        <w:rPr>
          <w:rFonts w:eastAsiaTheme="minorEastAsia"/>
          <w:rtl/>
        </w:rPr>
        <w:t xml:space="preserve"> </w:t>
      </w:r>
      <w:proofErr w:type="spellStart"/>
      <w:r w:rsidRPr="00451D9C">
        <w:rPr>
          <w:rFonts w:eastAsiaTheme="minorEastAsia"/>
          <w:rtl/>
        </w:rPr>
        <w:t>موهوموزا</w:t>
      </w:r>
      <w:proofErr w:type="spellEnd"/>
      <w:r w:rsidRPr="00451D9C">
        <w:rPr>
          <w:rFonts w:eastAsiaTheme="minorEastAsia"/>
          <w:rtl/>
        </w:rPr>
        <w:t xml:space="preserve">، وفوتيني </w:t>
      </w:r>
      <w:proofErr w:type="spellStart"/>
      <w:r w:rsidRPr="00451D9C">
        <w:rPr>
          <w:rFonts w:eastAsiaTheme="minorEastAsia"/>
          <w:rtl/>
        </w:rPr>
        <w:t>بازارتزيس</w:t>
      </w:r>
      <w:proofErr w:type="spellEnd"/>
      <w:r w:rsidRPr="00451D9C">
        <w:rPr>
          <w:rFonts w:eastAsiaTheme="minorEastAsia"/>
          <w:rtl/>
        </w:rPr>
        <w:t xml:space="preserve">، </w:t>
      </w:r>
      <w:proofErr w:type="spellStart"/>
      <w:r w:rsidRPr="00451D9C">
        <w:rPr>
          <w:rFonts w:eastAsiaTheme="minorEastAsia"/>
          <w:rtl/>
        </w:rPr>
        <w:t>وفاسيلكا</w:t>
      </w:r>
      <w:proofErr w:type="spellEnd"/>
      <w:r w:rsidRPr="00451D9C">
        <w:rPr>
          <w:rFonts w:eastAsiaTheme="minorEastAsia"/>
          <w:rtl/>
        </w:rPr>
        <w:t xml:space="preserve"> </w:t>
      </w:r>
      <w:proofErr w:type="spellStart"/>
      <w:r w:rsidRPr="00451D9C">
        <w:rPr>
          <w:rFonts w:eastAsiaTheme="minorEastAsia"/>
          <w:rtl/>
        </w:rPr>
        <w:t>سانشين</w:t>
      </w:r>
      <w:proofErr w:type="spellEnd"/>
      <w:r w:rsidRPr="00451D9C">
        <w:rPr>
          <w:rFonts w:eastAsiaTheme="minorEastAsia"/>
          <w:rtl/>
        </w:rPr>
        <w:t xml:space="preserve">، وخوسيه مانويل سانتوس </w:t>
      </w:r>
      <w:proofErr w:type="spellStart"/>
      <w:r w:rsidRPr="00451D9C">
        <w:rPr>
          <w:rFonts w:eastAsiaTheme="minorEastAsia"/>
          <w:rtl/>
        </w:rPr>
        <w:t>باييس</w:t>
      </w:r>
      <w:proofErr w:type="spellEnd"/>
      <w:r w:rsidRPr="00451D9C">
        <w:rPr>
          <w:rFonts w:eastAsiaTheme="minorEastAsia"/>
          <w:rtl/>
        </w:rPr>
        <w:t xml:space="preserve">، </w:t>
      </w:r>
      <w:proofErr w:type="spellStart"/>
      <w:r w:rsidRPr="00451D9C">
        <w:rPr>
          <w:rFonts w:eastAsiaTheme="minorEastAsia"/>
          <w:rtl/>
        </w:rPr>
        <w:t>وسوه</w:t>
      </w:r>
      <w:proofErr w:type="spellEnd"/>
      <w:r w:rsidRPr="00451D9C">
        <w:rPr>
          <w:rFonts w:eastAsiaTheme="minorEastAsia"/>
          <w:rtl/>
        </w:rPr>
        <w:t xml:space="preserve"> </w:t>
      </w:r>
      <w:proofErr w:type="spellStart"/>
      <w:r w:rsidRPr="00451D9C">
        <w:rPr>
          <w:rFonts w:eastAsiaTheme="minorEastAsia"/>
          <w:rtl/>
        </w:rPr>
        <w:t>تشانغروك</w:t>
      </w:r>
      <w:proofErr w:type="spellEnd"/>
      <w:r w:rsidRPr="00451D9C">
        <w:rPr>
          <w:rFonts w:eastAsiaTheme="minorEastAsia"/>
          <w:rtl/>
        </w:rPr>
        <w:t xml:space="preserve">، </w:t>
      </w:r>
      <w:proofErr w:type="spellStart"/>
      <w:r w:rsidRPr="00451D9C">
        <w:rPr>
          <w:rFonts w:eastAsiaTheme="minorEastAsia"/>
          <w:rtl/>
        </w:rPr>
        <w:t>وكوبايواه</w:t>
      </w:r>
      <w:proofErr w:type="spellEnd"/>
      <w:r w:rsidRPr="00451D9C">
        <w:rPr>
          <w:rFonts w:eastAsiaTheme="minorEastAsia"/>
          <w:rtl/>
        </w:rPr>
        <w:t xml:space="preserve"> </w:t>
      </w:r>
      <w:proofErr w:type="spellStart"/>
      <w:r w:rsidRPr="00451D9C">
        <w:rPr>
          <w:rFonts w:eastAsiaTheme="minorEastAsia"/>
          <w:rtl/>
        </w:rPr>
        <w:t>تشامدجا</w:t>
      </w:r>
      <w:proofErr w:type="spellEnd"/>
      <w:r w:rsidRPr="00451D9C">
        <w:rPr>
          <w:rFonts w:eastAsiaTheme="minorEastAsia"/>
          <w:rtl/>
        </w:rPr>
        <w:t xml:space="preserve"> </w:t>
      </w:r>
      <w:proofErr w:type="spellStart"/>
      <w:r w:rsidRPr="00451D9C">
        <w:rPr>
          <w:rFonts w:eastAsiaTheme="minorEastAsia"/>
          <w:rtl/>
        </w:rPr>
        <w:t>كباتشا</w:t>
      </w:r>
      <w:proofErr w:type="spellEnd"/>
      <w:r w:rsidRPr="00451D9C">
        <w:rPr>
          <w:rFonts w:eastAsiaTheme="minorEastAsia"/>
          <w:rtl/>
        </w:rPr>
        <w:t xml:space="preserve">، وهيلين </w:t>
      </w:r>
      <w:proofErr w:type="spellStart"/>
      <w:r w:rsidRPr="00451D9C">
        <w:rPr>
          <w:rFonts w:eastAsiaTheme="minorEastAsia"/>
          <w:rtl/>
        </w:rPr>
        <w:t>تيغرودجا</w:t>
      </w:r>
      <w:proofErr w:type="spellEnd"/>
      <w:r w:rsidRPr="00451D9C">
        <w:rPr>
          <w:rFonts w:eastAsiaTheme="minorEastAsia"/>
          <w:rtl/>
        </w:rPr>
        <w:t xml:space="preserve">، </w:t>
      </w:r>
      <w:proofErr w:type="spellStart"/>
      <w:r w:rsidRPr="00451D9C">
        <w:rPr>
          <w:rFonts w:eastAsiaTheme="minorEastAsia"/>
          <w:rtl/>
        </w:rPr>
        <w:t>وإمميرو</w:t>
      </w:r>
      <w:proofErr w:type="spellEnd"/>
      <w:r w:rsidRPr="00451D9C">
        <w:rPr>
          <w:rFonts w:eastAsiaTheme="minorEastAsia"/>
          <w:rtl/>
        </w:rPr>
        <w:t xml:space="preserve"> </w:t>
      </w:r>
      <w:proofErr w:type="spellStart"/>
      <w:r w:rsidRPr="00451D9C">
        <w:rPr>
          <w:rFonts w:eastAsiaTheme="minorEastAsia"/>
          <w:rtl/>
        </w:rPr>
        <w:t>تامرات</w:t>
      </w:r>
      <w:proofErr w:type="spellEnd"/>
      <w:r w:rsidRPr="00451D9C">
        <w:rPr>
          <w:rFonts w:eastAsiaTheme="minorEastAsia"/>
          <w:rtl/>
        </w:rPr>
        <w:t xml:space="preserve"> </w:t>
      </w:r>
      <w:proofErr w:type="spellStart"/>
      <w:r w:rsidRPr="00451D9C">
        <w:rPr>
          <w:rFonts w:eastAsiaTheme="minorEastAsia"/>
          <w:rtl/>
        </w:rPr>
        <w:t>إغيزو</w:t>
      </w:r>
      <w:proofErr w:type="spellEnd"/>
      <w:r w:rsidRPr="00451D9C">
        <w:rPr>
          <w:rFonts w:eastAsiaTheme="minorEastAsia"/>
          <w:rtl/>
        </w:rPr>
        <w:t xml:space="preserve">، </w:t>
      </w:r>
      <w:proofErr w:type="spellStart"/>
      <w:r w:rsidRPr="00451D9C">
        <w:rPr>
          <w:rFonts w:eastAsiaTheme="minorEastAsia"/>
          <w:rtl/>
        </w:rPr>
        <w:t>وجنتيان</w:t>
      </w:r>
      <w:proofErr w:type="spellEnd"/>
      <w:r w:rsidRPr="00451D9C">
        <w:rPr>
          <w:rFonts w:eastAsiaTheme="minorEastAsia"/>
          <w:rtl/>
        </w:rPr>
        <w:t xml:space="preserve"> </w:t>
      </w:r>
      <w:proofErr w:type="spellStart"/>
      <w:r w:rsidRPr="00451D9C">
        <w:rPr>
          <w:rFonts w:eastAsiaTheme="minorEastAsia"/>
          <w:rtl/>
        </w:rPr>
        <w:t>زيبيري</w:t>
      </w:r>
      <w:proofErr w:type="spellEnd"/>
      <w:r w:rsidRPr="00451D9C">
        <w:rPr>
          <w:rFonts w:eastAsiaTheme="minorEastAsia"/>
          <w:rtl/>
        </w:rPr>
        <w:t>.</w:t>
      </w:r>
    </w:p>
  </w:footnote>
  <w:footnote w:id="3">
    <w:p w14:paraId="200964CD" w14:textId="2EC0E5E8" w:rsidR="00451D9C" w:rsidRPr="00451D9C" w:rsidRDefault="00451D9C" w:rsidP="00451D9C">
      <w:pPr>
        <w:pStyle w:val="FootnoteText1"/>
        <w:textDirection w:val="tbRlV"/>
        <w:rPr>
          <w:rFonts w:eastAsiaTheme="minorEastAsia"/>
          <w:lang w:val="ar-SA" w:eastAsia="zh-TW" w:bidi="en-GB"/>
        </w:rPr>
      </w:pPr>
      <w:r w:rsidRPr="00451D9C">
        <w:rPr>
          <w:rFonts w:eastAsiaTheme="minorEastAsia"/>
          <w:rtl/>
        </w:rPr>
        <w:t>(</w:t>
      </w:r>
      <w:r w:rsidRPr="00451D9C">
        <w:rPr>
          <w:rStyle w:val="FootnoteReference"/>
          <w:rFonts w:eastAsiaTheme="minorEastAsia"/>
          <w:vertAlign w:val="baseline"/>
          <w:rtl/>
        </w:rPr>
        <w:footnoteRef/>
      </w:r>
      <w:r w:rsidRPr="00451D9C">
        <w:rPr>
          <w:rFonts w:eastAsiaTheme="minorEastAsia"/>
          <w:rtl/>
        </w:rPr>
        <w:t>)</w:t>
      </w:r>
      <w:r w:rsidRPr="00451D9C">
        <w:rPr>
          <w:rFonts w:eastAsiaTheme="minorEastAsia"/>
          <w:rtl/>
        </w:rPr>
        <w:tab/>
        <w:t>يعادل نحو 220 دولاراً في ذلك الوقت.</w:t>
      </w:r>
    </w:p>
  </w:footnote>
  <w:footnote w:id="4">
    <w:p w14:paraId="236CCB44" w14:textId="1E532050" w:rsidR="00451D9C" w:rsidRPr="00451D9C" w:rsidRDefault="00451D9C" w:rsidP="00451D9C">
      <w:pPr>
        <w:pStyle w:val="FootnoteText1"/>
        <w:textDirection w:val="tbRlV"/>
        <w:rPr>
          <w:rFonts w:eastAsiaTheme="minorEastAsia"/>
          <w:spacing w:val="-4"/>
          <w:lang w:val="ar-SA" w:eastAsia="zh-TW" w:bidi="en-GB"/>
        </w:rPr>
      </w:pPr>
      <w:r w:rsidRPr="00451D9C">
        <w:rPr>
          <w:rFonts w:eastAsiaTheme="minorEastAsia"/>
          <w:spacing w:val="-4"/>
          <w:rtl/>
        </w:rPr>
        <w:t>(</w:t>
      </w:r>
      <w:r w:rsidRPr="00451D9C">
        <w:rPr>
          <w:rStyle w:val="FootnoteReference"/>
          <w:rFonts w:eastAsiaTheme="minorEastAsia"/>
          <w:spacing w:val="-4"/>
          <w:vertAlign w:val="baseline"/>
          <w:rtl/>
        </w:rPr>
        <w:footnoteRef/>
      </w:r>
      <w:r w:rsidRPr="00451D9C">
        <w:rPr>
          <w:rFonts w:eastAsiaTheme="minorEastAsia"/>
          <w:spacing w:val="-4"/>
          <w:rtl/>
        </w:rPr>
        <w:t>)</w:t>
      </w:r>
      <w:r w:rsidRPr="00451D9C">
        <w:rPr>
          <w:rFonts w:eastAsiaTheme="minorEastAsia"/>
          <w:spacing w:val="-4"/>
          <w:rtl/>
        </w:rPr>
        <w:tab/>
      </w:r>
      <w:r w:rsidRPr="00451D9C">
        <w:rPr>
          <w:rFonts w:eastAsiaTheme="minorEastAsia"/>
          <w:i/>
          <w:iCs/>
          <w:spacing w:val="-4"/>
          <w:rtl/>
        </w:rPr>
        <w:t xml:space="preserve">قضية </w:t>
      </w:r>
      <w:proofErr w:type="spellStart"/>
      <w:r w:rsidRPr="00451D9C">
        <w:rPr>
          <w:rFonts w:eastAsiaTheme="minorEastAsia"/>
          <w:i/>
          <w:iCs/>
          <w:spacing w:val="-4"/>
          <w:rtl/>
        </w:rPr>
        <w:t>جيلازاوسكاس</w:t>
      </w:r>
      <w:proofErr w:type="spellEnd"/>
      <w:r w:rsidRPr="00451D9C">
        <w:rPr>
          <w:rFonts w:eastAsiaTheme="minorEastAsia"/>
          <w:i/>
          <w:iCs/>
          <w:spacing w:val="-4"/>
          <w:rtl/>
        </w:rPr>
        <w:t xml:space="preserve"> ضد ليتوانيا</w:t>
      </w:r>
      <w:r w:rsidRPr="00451D9C">
        <w:rPr>
          <w:rFonts w:eastAsiaTheme="minorEastAsia"/>
          <w:spacing w:val="-4"/>
          <w:rtl/>
        </w:rPr>
        <w:t xml:space="preserve"> (</w:t>
      </w:r>
      <w:r w:rsidRPr="00451D9C">
        <w:rPr>
          <w:rFonts w:eastAsiaTheme="minorEastAsia"/>
          <w:spacing w:val="-4"/>
        </w:rPr>
        <w:t>CCPR/C/77/D/836/1998</w:t>
      </w:r>
      <w:r w:rsidRPr="00451D9C">
        <w:rPr>
          <w:rFonts w:eastAsiaTheme="minorEastAsia"/>
          <w:spacing w:val="-4"/>
          <w:rtl/>
        </w:rPr>
        <w:t xml:space="preserve">)، الفقرة 7-4، </w:t>
      </w:r>
      <w:r w:rsidRPr="00451D9C">
        <w:rPr>
          <w:rFonts w:eastAsiaTheme="minorEastAsia"/>
          <w:i/>
          <w:iCs/>
          <w:spacing w:val="-4"/>
          <w:rtl/>
        </w:rPr>
        <w:t xml:space="preserve">وقضية </w:t>
      </w:r>
      <w:proofErr w:type="spellStart"/>
      <w:r w:rsidRPr="00451D9C">
        <w:rPr>
          <w:rFonts w:eastAsiaTheme="minorEastAsia"/>
          <w:i/>
          <w:iCs/>
          <w:spacing w:val="-4"/>
          <w:rtl/>
        </w:rPr>
        <w:t>سيكيركو</w:t>
      </w:r>
      <w:proofErr w:type="spellEnd"/>
      <w:r w:rsidRPr="00451D9C">
        <w:rPr>
          <w:rFonts w:eastAsiaTheme="minorEastAsia"/>
          <w:i/>
          <w:iCs/>
          <w:spacing w:val="-4"/>
          <w:rtl/>
        </w:rPr>
        <w:t xml:space="preserve"> ضد بيلاروس </w:t>
      </w:r>
      <w:r w:rsidRPr="00451D9C">
        <w:rPr>
          <w:rFonts w:eastAsiaTheme="minorEastAsia"/>
          <w:spacing w:val="-4"/>
          <w:rtl/>
        </w:rPr>
        <w:t>(</w:t>
      </w:r>
      <w:r w:rsidRPr="00451D9C">
        <w:rPr>
          <w:rFonts w:eastAsiaTheme="minorEastAsia"/>
          <w:spacing w:val="-4"/>
        </w:rPr>
        <w:t>CCPR/C/109/D/1851/2008</w:t>
      </w:r>
      <w:r w:rsidRPr="00451D9C">
        <w:rPr>
          <w:rFonts w:eastAsiaTheme="minorEastAsia"/>
          <w:spacing w:val="-4"/>
          <w:rtl/>
        </w:rPr>
        <w:t xml:space="preserve">)، الفقرة 8-3، </w:t>
      </w:r>
      <w:r w:rsidRPr="00451D9C">
        <w:rPr>
          <w:rFonts w:eastAsiaTheme="minorEastAsia"/>
          <w:i/>
          <w:iCs/>
          <w:spacing w:val="-4"/>
          <w:rtl/>
        </w:rPr>
        <w:t xml:space="preserve">وقضية </w:t>
      </w:r>
      <w:proofErr w:type="spellStart"/>
      <w:r w:rsidRPr="00451D9C">
        <w:rPr>
          <w:rFonts w:eastAsiaTheme="minorEastAsia"/>
          <w:i/>
          <w:iCs/>
          <w:spacing w:val="-4"/>
          <w:rtl/>
        </w:rPr>
        <w:t>شوميلين</w:t>
      </w:r>
      <w:proofErr w:type="spellEnd"/>
      <w:r w:rsidRPr="00451D9C">
        <w:rPr>
          <w:rFonts w:eastAsiaTheme="minorEastAsia"/>
          <w:i/>
          <w:iCs/>
          <w:spacing w:val="-4"/>
          <w:rtl/>
        </w:rPr>
        <w:t xml:space="preserve"> ضد بيلاروس</w:t>
      </w:r>
      <w:r w:rsidRPr="00451D9C">
        <w:rPr>
          <w:rFonts w:eastAsiaTheme="minorEastAsia"/>
          <w:spacing w:val="-4"/>
          <w:rtl/>
        </w:rPr>
        <w:t xml:space="preserve"> (</w:t>
      </w:r>
      <w:r w:rsidRPr="00451D9C">
        <w:rPr>
          <w:rFonts w:eastAsiaTheme="minorEastAsia"/>
          <w:spacing w:val="-4"/>
        </w:rPr>
        <w:t>CCPR/C/105/D/1784/2008</w:t>
      </w:r>
      <w:r w:rsidRPr="00451D9C">
        <w:rPr>
          <w:rFonts w:eastAsiaTheme="minorEastAsia"/>
          <w:spacing w:val="-4"/>
          <w:rtl/>
        </w:rPr>
        <w:t>)، الفقرة 8-3.</w:t>
      </w:r>
    </w:p>
  </w:footnote>
  <w:footnote w:id="5">
    <w:p w14:paraId="1FBEAB6C" w14:textId="7992445D" w:rsidR="00451D9C" w:rsidRPr="00451D9C" w:rsidRDefault="00451D9C" w:rsidP="00451D9C">
      <w:pPr>
        <w:pStyle w:val="FootnoteText1"/>
        <w:textDirection w:val="tbRlV"/>
        <w:rPr>
          <w:rFonts w:eastAsiaTheme="minorEastAsia"/>
          <w:lang w:val="ar-SA" w:eastAsia="zh-TW" w:bidi="en-GB"/>
        </w:rPr>
      </w:pPr>
      <w:r w:rsidRPr="00451D9C">
        <w:rPr>
          <w:rFonts w:eastAsiaTheme="minorEastAsia"/>
          <w:rtl/>
        </w:rPr>
        <w:t>(</w:t>
      </w:r>
      <w:r w:rsidRPr="00451D9C">
        <w:rPr>
          <w:rStyle w:val="FootnoteReference"/>
          <w:rFonts w:eastAsiaTheme="minorEastAsia"/>
          <w:vertAlign w:val="baseline"/>
          <w:rtl/>
        </w:rPr>
        <w:footnoteRef/>
      </w:r>
      <w:r w:rsidRPr="00451D9C">
        <w:rPr>
          <w:rFonts w:eastAsiaTheme="minorEastAsia"/>
          <w:rtl/>
        </w:rPr>
        <w:t>)</w:t>
      </w:r>
      <w:r w:rsidRPr="00451D9C">
        <w:rPr>
          <w:rFonts w:eastAsiaTheme="minorEastAsia"/>
          <w:rtl/>
        </w:rPr>
        <w:tab/>
      </w:r>
      <w:r w:rsidRPr="002C0D79">
        <w:rPr>
          <w:rFonts w:eastAsiaTheme="minorEastAsia"/>
          <w:i/>
          <w:iCs/>
          <w:rtl/>
        </w:rPr>
        <w:t xml:space="preserve">قضية </w:t>
      </w:r>
      <w:proofErr w:type="spellStart"/>
      <w:r w:rsidRPr="002C0D79">
        <w:rPr>
          <w:rFonts w:eastAsiaTheme="minorEastAsia"/>
          <w:i/>
          <w:iCs/>
          <w:rtl/>
        </w:rPr>
        <w:t>أندروسينكو</w:t>
      </w:r>
      <w:proofErr w:type="spellEnd"/>
      <w:r w:rsidRPr="002C0D79">
        <w:rPr>
          <w:rFonts w:eastAsiaTheme="minorEastAsia"/>
          <w:i/>
          <w:iCs/>
          <w:rtl/>
        </w:rPr>
        <w:t xml:space="preserve"> ضد بيلاروس</w:t>
      </w:r>
      <w:r w:rsidRPr="00451D9C">
        <w:rPr>
          <w:rFonts w:eastAsiaTheme="minorEastAsia"/>
          <w:rtl/>
        </w:rPr>
        <w:t xml:space="preserve"> (</w:t>
      </w:r>
      <w:r w:rsidRPr="00451D9C">
        <w:rPr>
          <w:rFonts w:eastAsiaTheme="minorEastAsia"/>
        </w:rPr>
        <w:t>CCPR/C/116/D/2092/2011</w:t>
      </w:r>
      <w:r w:rsidRPr="00451D9C">
        <w:rPr>
          <w:rFonts w:eastAsiaTheme="minorEastAsia"/>
          <w:rtl/>
        </w:rPr>
        <w:t>)، الفقرة 7-3.</w:t>
      </w:r>
    </w:p>
  </w:footnote>
  <w:footnote w:id="6">
    <w:p w14:paraId="70C31F27" w14:textId="7EE792B6" w:rsidR="00451D9C" w:rsidRPr="00451D9C" w:rsidRDefault="00451D9C" w:rsidP="00451D9C">
      <w:pPr>
        <w:pStyle w:val="FootnoteText1"/>
        <w:textDirection w:val="tbRlV"/>
        <w:rPr>
          <w:rFonts w:eastAsiaTheme="minorEastAsia"/>
          <w:lang w:val="ar-SA" w:eastAsia="zh-TW" w:bidi="en-GB"/>
        </w:rPr>
      </w:pPr>
      <w:r w:rsidRPr="00451D9C">
        <w:rPr>
          <w:rFonts w:eastAsiaTheme="minorEastAsia"/>
          <w:rtl/>
        </w:rPr>
        <w:t>(</w:t>
      </w:r>
      <w:r w:rsidRPr="00451D9C">
        <w:rPr>
          <w:rStyle w:val="FootnoteReference"/>
          <w:rFonts w:eastAsiaTheme="minorEastAsia"/>
          <w:vertAlign w:val="baseline"/>
          <w:rtl/>
        </w:rPr>
        <w:footnoteRef/>
      </w:r>
      <w:r w:rsidRPr="00451D9C">
        <w:rPr>
          <w:rFonts w:eastAsiaTheme="minorEastAsia"/>
          <w:rtl/>
        </w:rPr>
        <w:t>)</w:t>
      </w:r>
      <w:r w:rsidRPr="00451D9C">
        <w:rPr>
          <w:rFonts w:eastAsiaTheme="minorEastAsia"/>
          <w:rtl/>
        </w:rPr>
        <w:tab/>
      </w:r>
      <w:r w:rsidRPr="002C0D79">
        <w:rPr>
          <w:rFonts w:eastAsiaTheme="minorEastAsia"/>
          <w:i/>
          <w:iCs/>
          <w:rtl/>
        </w:rPr>
        <w:t xml:space="preserve">قضية </w:t>
      </w:r>
      <w:proofErr w:type="spellStart"/>
      <w:r w:rsidRPr="002C0D79">
        <w:rPr>
          <w:rFonts w:eastAsiaTheme="minorEastAsia"/>
          <w:i/>
          <w:iCs/>
          <w:rtl/>
        </w:rPr>
        <w:t>زالسكايا</w:t>
      </w:r>
      <w:proofErr w:type="spellEnd"/>
      <w:r w:rsidRPr="002C0D79">
        <w:rPr>
          <w:rFonts w:eastAsiaTheme="minorEastAsia"/>
          <w:i/>
          <w:iCs/>
          <w:rtl/>
        </w:rPr>
        <w:t xml:space="preserve"> ضد بيلاروس</w:t>
      </w:r>
      <w:r w:rsidRPr="00451D9C">
        <w:rPr>
          <w:rFonts w:eastAsiaTheme="minorEastAsia"/>
          <w:rtl/>
        </w:rPr>
        <w:t xml:space="preserve"> (</w:t>
      </w:r>
      <w:r w:rsidRPr="00451D9C">
        <w:rPr>
          <w:rFonts w:eastAsiaTheme="minorEastAsia"/>
        </w:rPr>
        <w:t>CCPR/C/101/D/1604/2007</w:t>
      </w:r>
      <w:r w:rsidRPr="00451D9C">
        <w:rPr>
          <w:rFonts w:eastAsiaTheme="minorEastAsia"/>
          <w:rtl/>
        </w:rPr>
        <w:t>)، الفقرة 10-5.</w:t>
      </w:r>
    </w:p>
  </w:footnote>
  <w:footnote w:id="7">
    <w:p w14:paraId="088F21F8" w14:textId="25D28489" w:rsidR="00451D9C" w:rsidRPr="00451D9C" w:rsidRDefault="00451D9C" w:rsidP="00451D9C">
      <w:pPr>
        <w:pStyle w:val="FootnoteText1"/>
        <w:textDirection w:val="tbRlV"/>
        <w:rPr>
          <w:rFonts w:eastAsiaTheme="minorEastAsia"/>
          <w:lang w:eastAsia="zh-TW" w:bidi="en-GB"/>
        </w:rPr>
      </w:pPr>
      <w:r w:rsidRPr="00451D9C">
        <w:rPr>
          <w:rFonts w:eastAsiaTheme="minorEastAsia"/>
          <w:rtl/>
        </w:rPr>
        <w:t>(</w:t>
      </w:r>
      <w:r w:rsidRPr="00451D9C">
        <w:rPr>
          <w:rStyle w:val="FootnoteReference"/>
          <w:rFonts w:eastAsiaTheme="minorEastAsia"/>
          <w:vertAlign w:val="baseline"/>
          <w:rtl/>
        </w:rPr>
        <w:footnoteRef/>
      </w:r>
      <w:r w:rsidRPr="00451D9C">
        <w:rPr>
          <w:rFonts w:eastAsiaTheme="minorEastAsia"/>
          <w:rtl/>
        </w:rPr>
        <w:t>)</w:t>
      </w:r>
      <w:r w:rsidRPr="00451D9C">
        <w:rPr>
          <w:rFonts w:eastAsiaTheme="minorEastAsia"/>
          <w:rtl/>
        </w:rPr>
        <w:tab/>
      </w:r>
      <w:r w:rsidRPr="002C0D79">
        <w:rPr>
          <w:rFonts w:eastAsiaTheme="minorEastAsia"/>
          <w:i/>
          <w:iCs/>
          <w:rtl/>
        </w:rPr>
        <w:t xml:space="preserve">قضية </w:t>
      </w:r>
      <w:proofErr w:type="spellStart"/>
      <w:r w:rsidRPr="002C0D79">
        <w:rPr>
          <w:rFonts w:eastAsiaTheme="minorEastAsia"/>
          <w:i/>
          <w:iCs/>
          <w:rtl/>
        </w:rPr>
        <w:t>سفيتيك</w:t>
      </w:r>
      <w:proofErr w:type="spellEnd"/>
      <w:r w:rsidRPr="002C0D79">
        <w:rPr>
          <w:rFonts w:eastAsiaTheme="minorEastAsia"/>
          <w:i/>
          <w:iCs/>
          <w:rtl/>
        </w:rPr>
        <w:t xml:space="preserve"> ضد بيلاروس</w:t>
      </w:r>
      <w:r w:rsidRPr="00451D9C">
        <w:rPr>
          <w:rFonts w:eastAsiaTheme="minorEastAsia"/>
          <w:rtl/>
        </w:rPr>
        <w:t xml:space="preserve"> (</w:t>
      </w:r>
      <w:r w:rsidRPr="00451D9C">
        <w:rPr>
          <w:rFonts w:eastAsiaTheme="minorEastAsia"/>
        </w:rPr>
        <w:t>CCPR/C/81/D/927/2000</w:t>
      </w:r>
      <w:r w:rsidRPr="00451D9C">
        <w:rPr>
          <w:rFonts w:eastAsiaTheme="minorEastAsia"/>
          <w:rtl/>
        </w:rPr>
        <w:t xml:space="preserve">)، الفقرة 7-3؛ </w:t>
      </w:r>
      <w:r w:rsidRPr="002C0D79">
        <w:rPr>
          <w:rFonts w:eastAsiaTheme="minorEastAsia"/>
          <w:i/>
          <w:iCs/>
          <w:rtl/>
        </w:rPr>
        <w:t xml:space="preserve">وقضية </w:t>
      </w:r>
      <w:proofErr w:type="spellStart"/>
      <w:r w:rsidRPr="002C0D79">
        <w:rPr>
          <w:rFonts w:eastAsiaTheme="minorEastAsia"/>
          <w:i/>
          <w:iCs/>
          <w:rtl/>
        </w:rPr>
        <w:t>شيتكو</w:t>
      </w:r>
      <w:proofErr w:type="spellEnd"/>
      <w:r w:rsidRPr="002C0D79">
        <w:rPr>
          <w:rFonts w:eastAsiaTheme="minorEastAsia"/>
          <w:i/>
          <w:iCs/>
          <w:rtl/>
        </w:rPr>
        <w:t xml:space="preserve"> </w:t>
      </w:r>
      <w:proofErr w:type="spellStart"/>
      <w:r w:rsidRPr="002C0D79">
        <w:rPr>
          <w:rFonts w:eastAsiaTheme="minorEastAsia"/>
          <w:i/>
          <w:iCs/>
          <w:rtl/>
        </w:rPr>
        <w:t>وشيتكو</w:t>
      </w:r>
      <w:proofErr w:type="spellEnd"/>
      <w:r w:rsidRPr="002C0D79">
        <w:rPr>
          <w:rFonts w:eastAsiaTheme="minorEastAsia"/>
          <w:i/>
          <w:iCs/>
          <w:rtl/>
        </w:rPr>
        <w:t xml:space="preserve"> ضد بيلاروس</w:t>
      </w:r>
      <w:r w:rsidRPr="00451D9C">
        <w:rPr>
          <w:rFonts w:eastAsiaTheme="minorEastAsia"/>
          <w:rtl/>
        </w:rPr>
        <w:t xml:space="preserve"> (</w:t>
      </w:r>
      <w:r w:rsidRPr="00451D9C">
        <w:rPr>
          <w:rFonts w:eastAsiaTheme="minorEastAsia"/>
        </w:rPr>
        <w:t>CCPR/C/87/D/1009/2001</w:t>
      </w:r>
      <w:r w:rsidRPr="00451D9C">
        <w:rPr>
          <w:rFonts w:eastAsiaTheme="minorEastAsia"/>
          <w:rtl/>
        </w:rPr>
        <w:t>)، الفقرة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FE25" w14:textId="0566D34C" w:rsidR="00800FAA" w:rsidRPr="00800FAA" w:rsidRDefault="00800FAA" w:rsidP="00800FAA">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94E6A">
      <w:t>CCPR/C/131/D/2863/2016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22850" w14:textId="1A4FE895" w:rsidR="00800FAA" w:rsidRPr="00800FAA" w:rsidRDefault="00800FAA" w:rsidP="00800FAA">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94E6A">
      <w:t>CCPR/C/131/D/2863/2016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F6"/>
    <w:rsid w:val="000076D5"/>
    <w:rsid w:val="00043663"/>
    <w:rsid w:val="000437B8"/>
    <w:rsid w:val="000505CF"/>
    <w:rsid w:val="000D701C"/>
    <w:rsid w:val="000E2A71"/>
    <w:rsid w:val="00145577"/>
    <w:rsid w:val="00160263"/>
    <w:rsid w:val="00181F96"/>
    <w:rsid w:val="001872B1"/>
    <w:rsid w:val="001A1371"/>
    <w:rsid w:val="001B043F"/>
    <w:rsid w:val="001B346A"/>
    <w:rsid w:val="001E1CAD"/>
    <w:rsid w:val="001E290D"/>
    <w:rsid w:val="001F5025"/>
    <w:rsid w:val="002144FA"/>
    <w:rsid w:val="0023469A"/>
    <w:rsid w:val="00243C8A"/>
    <w:rsid w:val="00267A0E"/>
    <w:rsid w:val="002901D9"/>
    <w:rsid w:val="002976C2"/>
    <w:rsid w:val="002C0D79"/>
    <w:rsid w:val="003068BC"/>
    <w:rsid w:val="003260FF"/>
    <w:rsid w:val="00343D95"/>
    <w:rsid w:val="00363A18"/>
    <w:rsid w:val="00374341"/>
    <w:rsid w:val="003D1062"/>
    <w:rsid w:val="00402051"/>
    <w:rsid w:val="00420D7B"/>
    <w:rsid w:val="00450B21"/>
    <w:rsid w:val="00451D9C"/>
    <w:rsid w:val="00453B63"/>
    <w:rsid w:val="00455780"/>
    <w:rsid w:val="00481B54"/>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203E"/>
    <w:rsid w:val="005F30EE"/>
    <w:rsid w:val="005F5271"/>
    <w:rsid w:val="0060473A"/>
    <w:rsid w:val="00617024"/>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800FAA"/>
    <w:rsid w:val="00852A9A"/>
    <w:rsid w:val="008F49E1"/>
    <w:rsid w:val="0090370F"/>
    <w:rsid w:val="009269D2"/>
    <w:rsid w:val="00942135"/>
    <w:rsid w:val="009521B0"/>
    <w:rsid w:val="00957437"/>
    <w:rsid w:val="009617F6"/>
    <w:rsid w:val="00982139"/>
    <w:rsid w:val="009867A8"/>
    <w:rsid w:val="00991F44"/>
    <w:rsid w:val="009A0CFB"/>
    <w:rsid w:val="009A7E9F"/>
    <w:rsid w:val="009C17EC"/>
    <w:rsid w:val="009E5018"/>
    <w:rsid w:val="00A03700"/>
    <w:rsid w:val="00A053F2"/>
    <w:rsid w:val="00A12B37"/>
    <w:rsid w:val="00A54828"/>
    <w:rsid w:val="00A97E1F"/>
    <w:rsid w:val="00AB512E"/>
    <w:rsid w:val="00AB6758"/>
    <w:rsid w:val="00AB727F"/>
    <w:rsid w:val="00B13763"/>
    <w:rsid w:val="00B477A4"/>
    <w:rsid w:val="00B54045"/>
    <w:rsid w:val="00B63ADD"/>
    <w:rsid w:val="00B94E6A"/>
    <w:rsid w:val="00BB09A0"/>
    <w:rsid w:val="00C175A6"/>
    <w:rsid w:val="00C41DCF"/>
    <w:rsid w:val="00C42AF7"/>
    <w:rsid w:val="00C438D7"/>
    <w:rsid w:val="00C453F5"/>
    <w:rsid w:val="00C62C20"/>
    <w:rsid w:val="00C81B50"/>
    <w:rsid w:val="00C902EF"/>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ADC04D"/>
  <w15:docId w15:val="{6DE682A0-1C16-4024-ADA8-090C39F5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4</Pages>
  <Words>1504</Words>
  <Characters>7555</Characters>
  <Application>Microsoft Office Word</Application>
  <DocSecurity>0</DocSecurity>
  <Lines>129</Lines>
  <Paragraphs>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CCPR/C/131/D/2863/2016</vt:lpstr>
      <vt:lpstr>    آراء اعتمدتها اللجنة بموجب المادة 5(4) من البروتوكول الاختياري، بشأن البلاغ رق</vt:lpstr>
    </vt:vector>
  </TitlesOfParts>
  <Company>DCM</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CCPR/C/131/D/2863/2016</dc:title>
  <dc:subject>GE.2105884(A)</dc:subject>
  <dc:creator>Ibrahim BALAN - </dc:creator>
  <cp:keywords>GE.(A)</cp:keywords>
  <dc:description>_x000d_
_x000d_
Arabic_x000d_
</dc:description>
  <cp:lastModifiedBy>Ibrahim Balan</cp:lastModifiedBy>
  <cp:revision>3</cp:revision>
  <cp:lastPrinted>2021-05-26T09:49:00Z</cp:lastPrinted>
  <dcterms:created xsi:type="dcterms:W3CDTF">2021-05-26T09:49:00Z</dcterms:created>
  <dcterms:modified xsi:type="dcterms:W3CDTF">2021-05-26T09:49:00Z</dcterms:modified>
  <cp:category>Finale</cp:category>
</cp:coreProperties>
</file>